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AE604" w14:textId="191D5057" w:rsidR="00E40854" w:rsidRPr="008606F9" w:rsidRDefault="006015D1" w:rsidP="00E003AE">
      <w:r>
        <w:rPr>
          <w:noProof/>
        </w:rPr>
        <w:drawing>
          <wp:anchor distT="0" distB="0" distL="114300" distR="114300" simplePos="0" relativeHeight="251658241" behindDoc="1" locked="1" layoutInCell="1" allowOverlap="1" wp14:anchorId="149FE5E3" wp14:editId="7D4F7163">
            <wp:simplePos x="0" y="0"/>
            <wp:positionH relativeFrom="character">
              <wp:posOffset>-929005</wp:posOffset>
            </wp:positionH>
            <wp:positionV relativeFrom="paragraph">
              <wp:posOffset>-1097915</wp:posOffset>
            </wp:positionV>
            <wp:extent cx="7574400" cy="10710000"/>
            <wp:effectExtent l="0" t="0" r="7620" b="0"/>
            <wp:wrapNone/>
            <wp:docPr id="23964035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640354"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4400" cy="10710000"/>
                    </a:xfrm>
                    <a:prstGeom prst="rect">
                      <a:avLst/>
                    </a:prstGeom>
                  </pic:spPr>
                </pic:pic>
              </a:graphicData>
            </a:graphic>
            <wp14:sizeRelH relativeFrom="page">
              <wp14:pctWidth>0</wp14:pctWidth>
            </wp14:sizeRelH>
            <wp14:sizeRelV relativeFrom="page">
              <wp14:pctHeight>0</wp14:pctHeight>
            </wp14:sizeRelV>
          </wp:anchor>
        </w:drawing>
      </w:r>
    </w:p>
    <w:p w14:paraId="2AA41E28" w14:textId="070B4B67" w:rsidR="00221D8F" w:rsidRPr="006015D1" w:rsidRDefault="00343C7B" w:rsidP="006015D1">
      <w:pPr>
        <w:pStyle w:val="Heading1"/>
        <w:spacing w:before="1080"/>
      </w:pPr>
      <w:bookmarkStart w:id="0" w:name="_Toc193826667"/>
      <w:bookmarkStart w:id="1" w:name="_Toc194066930"/>
      <w:bookmarkStart w:id="2" w:name="_Toc194311400"/>
      <w:r w:rsidRPr="006015D1">
        <w:t xml:space="preserve">Secure Jobs, Better Pay </w:t>
      </w:r>
      <w:r w:rsidR="006015D1" w:rsidRPr="006015D1">
        <w:rPr>
          <w:b/>
          <w:bCs/>
        </w:rPr>
        <w:t>R</w:t>
      </w:r>
      <w:r w:rsidRPr="006015D1">
        <w:rPr>
          <w:b/>
          <w:bCs/>
        </w:rPr>
        <w:t>eview</w:t>
      </w:r>
      <w:bookmarkEnd w:id="0"/>
      <w:bookmarkEnd w:id="1"/>
      <w:bookmarkEnd w:id="2"/>
    </w:p>
    <w:p w14:paraId="4803DAF4" w14:textId="7172DE0C" w:rsidR="009D2BA6" w:rsidRPr="00C5340E" w:rsidRDefault="00597C4C" w:rsidP="009D2BA6">
      <w:pPr>
        <w:pStyle w:val="Subtitle"/>
        <w:rPr>
          <w:noProof/>
        </w:rPr>
      </w:pPr>
      <w:r w:rsidRPr="00C5340E">
        <w:rPr>
          <w:noProof/>
        </w:rPr>
        <mc:AlternateContent>
          <mc:Choice Requires="wps">
            <w:drawing>
              <wp:anchor distT="0" distB="0" distL="114300" distR="114300" simplePos="0" relativeHeight="251658240" behindDoc="0" locked="0" layoutInCell="1" allowOverlap="1" wp14:anchorId="5C3F95DF" wp14:editId="3E64EBA7">
                <wp:simplePos x="0" y="0"/>
                <wp:positionH relativeFrom="column">
                  <wp:posOffset>22225</wp:posOffset>
                </wp:positionH>
                <wp:positionV relativeFrom="paragraph">
                  <wp:posOffset>134433</wp:posOffset>
                </wp:positionV>
                <wp:extent cx="900000" cy="60008"/>
                <wp:effectExtent l="0" t="0" r="14605" b="16510"/>
                <wp:wrapNone/>
                <wp:docPr id="1532669240"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900000" cy="60008"/>
                        </a:xfrm>
                        <a:prstGeom prst="rect">
                          <a:avLst/>
                        </a:prstGeom>
                        <a:solidFill>
                          <a:schemeClr val="tx1"/>
                        </a:solidFill>
                        <a:ln>
                          <a:solidFill>
                            <a:srgbClr val="009B9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BDDDB7" id="Rectangle 4" o:spid="_x0000_s1026" alt="&quot;&quot;" style="position:absolute;margin-left:1.75pt;margin-top:10.6pt;width:70.85pt;height:4.7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" fillcolor="#0d2c6c [3213]" strokecolor="#009b9f" strokeweight="1pt"/>
            </w:pict>
          </mc:Fallback>
        </mc:AlternateContent>
      </w:r>
      <w:r w:rsidR="00E50DD3">
        <w:rPr>
          <w:noProof/>
        </w:rPr>
        <w:t>Report</w:t>
      </w:r>
    </w:p>
    <w:p w14:paraId="75259D40" w14:textId="383E9E15" w:rsidR="00597C4C" w:rsidRPr="00C5340E" w:rsidRDefault="00E50DD3" w:rsidP="009D2BA6">
      <w:pPr>
        <w:pStyle w:val="Cover-Date"/>
        <w:rPr>
          <w:noProof/>
        </w:rPr>
      </w:pPr>
      <w:r>
        <w:rPr>
          <w:noProof/>
        </w:rPr>
        <w:t>31 March</w:t>
      </w:r>
      <w:r w:rsidR="00343C7B" w:rsidRPr="00C5340E">
        <w:rPr>
          <w:noProof/>
        </w:rPr>
        <w:t xml:space="preserve"> 2025</w:t>
      </w:r>
    </w:p>
    <w:p w14:paraId="2C5154CB" w14:textId="4C364AA8" w:rsidR="00107D87" w:rsidRPr="006015D1" w:rsidRDefault="00E50DD3" w:rsidP="007D0D87">
      <w:pPr>
        <w:pStyle w:val="Cover-Preparedby"/>
        <w:sectPr w:rsidR="00107D87" w:rsidRPr="006015D1" w:rsidSect="009F3142">
          <w:pgSz w:w="11906" w:h="16838"/>
          <w:pgMar w:top="1701" w:right="1440" w:bottom="0" w:left="1440" w:header="709" w:footer="709" w:gutter="0"/>
          <w:cols w:space="708"/>
          <w:titlePg/>
          <w:docGrid w:linePitch="360"/>
        </w:sectPr>
      </w:pPr>
      <w:r>
        <w:t>Emeritus Professor Mark Bray and Professor Alison Preston</w:t>
      </w:r>
    </w:p>
    <w:p w14:paraId="612A5232" w14:textId="77777777" w:rsidR="00ED0754" w:rsidRDefault="00107D87" w:rsidP="009B6102">
      <w:pPr>
        <w:spacing w:before="6600"/>
      </w:pPr>
      <w:r>
        <w:rPr>
          <w:noProof/>
        </w:rPr>
        <w:lastRenderedPageBreak/>
        <w:drawing>
          <wp:inline distT="0" distB="0" distL="0" distR="0" wp14:anchorId="63BEE554" wp14:editId="2D70C3D3">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702E404C" w14:textId="30A5BC01" w:rsidR="00A339C9" w:rsidRPr="00167CB8" w:rsidRDefault="00A339C9" w:rsidP="00ED0754">
      <w:r w:rsidRPr="396ABCA7">
        <w:t xml:space="preserve">All material presented in this draft report is provided under a </w:t>
      </w:r>
      <w:hyperlink r:id="rId10">
        <w:r w:rsidRPr="396ABCA7">
          <w:rPr>
            <w:rStyle w:val="Hyperlink"/>
          </w:rPr>
          <w:t>Creative Commons Attribution 4.0 International</w:t>
        </w:r>
      </w:hyperlink>
      <w:r w:rsidRPr="396ABCA7">
        <w:t xml:space="preserve"> (https://creativecommons.org/licenses/by/4.0/) licence, with the exception of the Commonwealth Coat of Arms, the Department’s logo, any material protected by a trade mark and where otherwise noted.</w:t>
      </w:r>
    </w:p>
    <w:p w14:paraId="42D36D5A" w14:textId="77777777" w:rsidR="0011475D" w:rsidRDefault="00A339C9" w:rsidP="00A339C9">
      <w:pPr>
        <w:spacing w:after="240"/>
      </w:pPr>
      <w:r w:rsidRPr="00167CB8">
        <w:t xml:space="preserve">The details of the relevant licence conditions are available on the Creative Commons website (accessible using the links provided) as is the full legal code for the </w:t>
      </w:r>
      <w:hyperlink r:id="rId11" w:history="1">
        <w:r w:rsidRPr="00167CB8">
          <w:rPr>
            <w:rStyle w:val="Hyperlink"/>
          </w:rPr>
          <w:t>CC BY 4.0 International</w:t>
        </w:r>
      </w:hyperlink>
      <w:r w:rsidRPr="00167CB8">
        <w:t xml:space="preserve"> (https://creativecommons.org/licenses/by/4.0/legalcode)</w:t>
      </w:r>
    </w:p>
    <w:p w14:paraId="09252CF0" w14:textId="74D8F8F3" w:rsidR="00A339C9" w:rsidRPr="00167CB8" w:rsidRDefault="00A339C9" w:rsidP="00ED0754">
      <w:pPr>
        <w:spacing w:after="600"/>
      </w:pPr>
      <w:r w:rsidRPr="00167CB8">
        <w:t xml:space="preserve">The document must be attributed as the </w:t>
      </w:r>
      <w:r w:rsidRPr="00C015E5">
        <w:rPr>
          <w:i/>
        </w:rPr>
        <w:t>Secure Jobs, Better Pay Review</w:t>
      </w:r>
      <w:r w:rsidRPr="00167CB8">
        <w:t>.</w:t>
      </w:r>
    </w:p>
    <w:p w14:paraId="2BA417F0" w14:textId="77777777" w:rsidR="00A339C9" w:rsidRPr="00167CB8" w:rsidRDefault="00A339C9" w:rsidP="00A339C9">
      <w:pPr>
        <w:rPr>
          <w:b/>
          <w:bCs/>
          <w:sz w:val="28"/>
          <w:szCs w:val="28"/>
          <w:lang w:val="en-US"/>
        </w:rPr>
      </w:pPr>
      <w:r w:rsidRPr="00167CB8">
        <w:rPr>
          <w:b/>
          <w:bCs/>
          <w:sz w:val="28"/>
          <w:szCs w:val="28"/>
          <w:lang w:val="en-US"/>
        </w:rPr>
        <w:t>Disclaimer</w:t>
      </w:r>
    </w:p>
    <w:p w14:paraId="51370C1B" w14:textId="77777777" w:rsidR="00A339C9" w:rsidRPr="00167CB8" w:rsidRDefault="00A339C9" w:rsidP="00A339C9">
      <w:r w:rsidRPr="396ABCA7">
        <w:t>This document uses unit record data from the Household, Income and Labour Dynamics in Australia (HILDA) Survey. The unit record data from the HILDA Survey was obtained from the Australian Data Archive, which is hosted by The Australian National University. The HILDA Survey was initiated and is funded by the Australian Government Department of Social Services (DSS) and is managed by the Melbourne Institute of Applied Economic and Social Research (Melbourne Institute). The findings and views based on the data, however, are those of the authors and should not be attributed to the Australian Government, DSS, the Melbourne Institute, the Australian Data Archive or The Australian National University and none of those entities bear any responsibility for the analysis or interpretation of the unit record data from the HILDA Survey provided by the authors.</w:t>
      </w:r>
    </w:p>
    <w:p w14:paraId="06DECB37" w14:textId="77777777" w:rsidR="00A14E38" w:rsidRDefault="00A14E38">
      <w:pPr>
        <w:spacing w:after="160"/>
        <w:sectPr w:rsidR="00A14E38" w:rsidSect="00A14E38">
          <w:footerReference w:type="default" r:id="rId12"/>
          <w:pgSz w:w="11906" w:h="16838"/>
          <w:pgMar w:top="1440" w:right="1440" w:bottom="1440" w:left="1440" w:header="708" w:footer="708" w:gutter="0"/>
          <w:pgNumType w:start="1"/>
          <w:cols w:space="720"/>
        </w:sectPr>
      </w:pPr>
    </w:p>
    <w:p w14:paraId="65FA7A39" w14:textId="77777777" w:rsidR="00C53E99" w:rsidRDefault="00AF1F18" w:rsidP="00205275">
      <w:pPr>
        <w:pStyle w:val="TOCHeading"/>
        <w:rPr>
          <w:noProof/>
        </w:rPr>
      </w:pPr>
      <w:bookmarkStart w:id="3" w:name="_Toc193826668"/>
      <w:bookmarkStart w:id="4" w:name="_Toc194066931"/>
      <w:bookmarkStart w:id="5" w:name="_Toc194311401"/>
      <w:r w:rsidRPr="00343C7B">
        <w:lastRenderedPageBreak/>
        <w:t>Contents</w:t>
      </w:r>
      <w:bookmarkStart w:id="6" w:name="_Toc193826669"/>
      <w:bookmarkStart w:id="7" w:name="_Toc192258073"/>
      <w:bookmarkStart w:id="8" w:name="_Toc189260177"/>
      <w:bookmarkStart w:id="9" w:name="_Toc189260194"/>
      <w:bookmarkStart w:id="10" w:name="_Toc189393510"/>
      <w:bookmarkStart w:id="11" w:name="_Hlk189235932"/>
      <w:bookmarkEnd w:id="3"/>
      <w:bookmarkEnd w:id="4"/>
      <w:bookmarkEnd w:id="5"/>
      <w:r w:rsidR="00D82BD0">
        <w:fldChar w:fldCharType="begin"/>
      </w:r>
      <w:r w:rsidR="00D82BD0">
        <w:instrText xml:space="preserve"> TOC \o "1-3" \h \z \u </w:instrText>
      </w:r>
      <w:r w:rsidR="00D82BD0">
        <w:fldChar w:fldCharType="separate"/>
      </w:r>
    </w:p>
    <w:p w14:paraId="2F8F9B49" w14:textId="5933BF53" w:rsidR="00C53E99" w:rsidRDefault="00C53E99" w:rsidP="00A14E38">
      <w:pPr>
        <w:pStyle w:val="TOC2"/>
        <w:rPr>
          <w:rFonts w:eastAsiaTheme="minorEastAsia"/>
          <w:noProof/>
          <w:kern w:val="2"/>
          <w:sz w:val="24"/>
          <w:szCs w:val="24"/>
          <w:lang w:eastAsia="en-AU"/>
          <w14:ligatures w14:val="standardContextual"/>
        </w:rPr>
      </w:pPr>
      <w:hyperlink w:anchor="_Toc194311404" w:history="1">
        <w:r w:rsidRPr="000839E2">
          <w:rPr>
            <w:rStyle w:val="Hyperlink"/>
            <w:noProof/>
          </w:rPr>
          <w:t>Executive summary</w:t>
        </w:r>
        <w:r>
          <w:rPr>
            <w:noProof/>
            <w:webHidden/>
          </w:rPr>
          <w:tab/>
        </w:r>
        <w:r>
          <w:rPr>
            <w:noProof/>
            <w:webHidden/>
          </w:rPr>
          <w:fldChar w:fldCharType="begin"/>
        </w:r>
        <w:r>
          <w:rPr>
            <w:noProof/>
            <w:webHidden/>
          </w:rPr>
          <w:instrText xml:space="preserve"> PAGEREF _Toc194311404 \h </w:instrText>
        </w:r>
        <w:r>
          <w:rPr>
            <w:noProof/>
            <w:webHidden/>
          </w:rPr>
        </w:r>
        <w:r>
          <w:rPr>
            <w:noProof/>
            <w:webHidden/>
          </w:rPr>
          <w:fldChar w:fldCharType="separate"/>
        </w:r>
        <w:r w:rsidR="009B6102">
          <w:rPr>
            <w:noProof/>
            <w:webHidden/>
          </w:rPr>
          <w:t>9</w:t>
        </w:r>
        <w:r>
          <w:rPr>
            <w:noProof/>
            <w:webHidden/>
          </w:rPr>
          <w:fldChar w:fldCharType="end"/>
        </w:r>
      </w:hyperlink>
    </w:p>
    <w:p w14:paraId="3345189C" w14:textId="73B6D41D" w:rsidR="00C53E99" w:rsidRDefault="00C53E99" w:rsidP="00A14E38">
      <w:pPr>
        <w:pStyle w:val="TOC2"/>
        <w:rPr>
          <w:rFonts w:eastAsiaTheme="minorEastAsia"/>
          <w:noProof/>
          <w:kern w:val="2"/>
          <w:sz w:val="24"/>
          <w:szCs w:val="24"/>
          <w:lang w:eastAsia="en-AU"/>
          <w14:ligatures w14:val="standardContextual"/>
        </w:rPr>
      </w:pPr>
      <w:hyperlink w:anchor="_Toc194311405" w:history="1">
        <w:r w:rsidRPr="000839E2">
          <w:rPr>
            <w:rStyle w:val="Hyperlink"/>
            <w:noProof/>
          </w:rPr>
          <w:t>Overview</w:t>
        </w:r>
        <w:r>
          <w:rPr>
            <w:noProof/>
            <w:webHidden/>
          </w:rPr>
          <w:tab/>
        </w:r>
        <w:r>
          <w:rPr>
            <w:noProof/>
            <w:webHidden/>
          </w:rPr>
          <w:fldChar w:fldCharType="begin"/>
        </w:r>
        <w:r>
          <w:rPr>
            <w:noProof/>
            <w:webHidden/>
          </w:rPr>
          <w:instrText xml:space="preserve"> PAGEREF _Toc194311405 \h </w:instrText>
        </w:r>
        <w:r>
          <w:rPr>
            <w:noProof/>
            <w:webHidden/>
          </w:rPr>
        </w:r>
        <w:r>
          <w:rPr>
            <w:noProof/>
            <w:webHidden/>
          </w:rPr>
          <w:fldChar w:fldCharType="separate"/>
        </w:r>
        <w:r w:rsidR="009B6102">
          <w:rPr>
            <w:noProof/>
            <w:webHidden/>
          </w:rPr>
          <w:t>11</w:t>
        </w:r>
        <w:r>
          <w:rPr>
            <w:noProof/>
            <w:webHidden/>
          </w:rPr>
          <w:fldChar w:fldCharType="end"/>
        </w:r>
      </w:hyperlink>
    </w:p>
    <w:p w14:paraId="7CCDF162" w14:textId="0393DC0D" w:rsidR="00C53E99" w:rsidRDefault="00C53E99">
      <w:pPr>
        <w:pStyle w:val="TOC3"/>
        <w:tabs>
          <w:tab w:val="right" w:leader="dot" w:pos="9016"/>
        </w:tabs>
        <w:rPr>
          <w:rFonts w:eastAsiaTheme="minorEastAsia"/>
          <w:noProof/>
          <w:kern w:val="2"/>
          <w:sz w:val="24"/>
          <w:szCs w:val="24"/>
          <w:lang w:eastAsia="en-AU"/>
          <w14:ligatures w14:val="standardContextual"/>
        </w:rPr>
      </w:pPr>
      <w:hyperlink w:anchor="_Toc194311406" w:history="1">
        <w:r w:rsidRPr="000839E2">
          <w:rPr>
            <w:rStyle w:val="Hyperlink"/>
            <w:noProof/>
          </w:rPr>
          <w:t>Chapter 1. Introduction</w:t>
        </w:r>
        <w:r>
          <w:rPr>
            <w:noProof/>
            <w:webHidden/>
          </w:rPr>
          <w:tab/>
        </w:r>
        <w:r>
          <w:rPr>
            <w:noProof/>
            <w:webHidden/>
          </w:rPr>
          <w:fldChar w:fldCharType="begin"/>
        </w:r>
        <w:r>
          <w:rPr>
            <w:noProof/>
            <w:webHidden/>
          </w:rPr>
          <w:instrText xml:space="preserve"> PAGEREF _Toc194311406 \h </w:instrText>
        </w:r>
        <w:r>
          <w:rPr>
            <w:noProof/>
            <w:webHidden/>
          </w:rPr>
        </w:r>
        <w:r>
          <w:rPr>
            <w:noProof/>
            <w:webHidden/>
          </w:rPr>
          <w:fldChar w:fldCharType="separate"/>
        </w:r>
        <w:r w:rsidR="009B6102">
          <w:rPr>
            <w:noProof/>
            <w:webHidden/>
          </w:rPr>
          <w:t>11</w:t>
        </w:r>
        <w:r>
          <w:rPr>
            <w:noProof/>
            <w:webHidden/>
          </w:rPr>
          <w:fldChar w:fldCharType="end"/>
        </w:r>
      </w:hyperlink>
    </w:p>
    <w:p w14:paraId="03B23F35" w14:textId="379FEAEF" w:rsidR="00C53E99" w:rsidRDefault="00C53E99">
      <w:pPr>
        <w:pStyle w:val="TOC3"/>
        <w:tabs>
          <w:tab w:val="right" w:leader="dot" w:pos="9016"/>
        </w:tabs>
        <w:rPr>
          <w:rFonts w:eastAsiaTheme="minorEastAsia"/>
          <w:noProof/>
          <w:kern w:val="2"/>
          <w:sz w:val="24"/>
          <w:szCs w:val="24"/>
          <w:lang w:eastAsia="en-AU"/>
          <w14:ligatures w14:val="standardContextual"/>
        </w:rPr>
      </w:pPr>
      <w:hyperlink w:anchor="_Toc194311407" w:history="1">
        <w:r w:rsidRPr="000839E2">
          <w:rPr>
            <w:rStyle w:val="Hyperlink"/>
            <w:noProof/>
          </w:rPr>
          <w:t>Chapter 2. Recommendations</w:t>
        </w:r>
        <w:r>
          <w:rPr>
            <w:noProof/>
            <w:webHidden/>
          </w:rPr>
          <w:tab/>
        </w:r>
        <w:r>
          <w:rPr>
            <w:noProof/>
            <w:webHidden/>
          </w:rPr>
          <w:fldChar w:fldCharType="begin"/>
        </w:r>
        <w:r>
          <w:rPr>
            <w:noProof/>
            <w:webHidden/>
          </w:rPr>
          <w:instrText xml:space="preserve"> PAGEREF _Toc194311407 \h </w:instrText>
        </w:r>
        <w:r>
          <w:rPr>
            <w:noProof/>
            <w:webHidden/>
          </w:rPr>
        </w:r>
        <w:r>
          <w:rPr>
            <w:noProof/>
            <w:webHidden/>
          </w:rPr>
          <w:fldChar w:fldCharType="separate"/>
        </w:r>
        <w:r w:rsidR="009B6102">
          <w:rPr>
            <w:noProof/>
            <w:webHidden/>
          </w:rPr>
          <w:t>18</w:t>
        </w:r>
        <w:r>
          <w:rPr>
            <w:noProof/>
            <w:webHidden/>
          </w:rPr>
          <w:fldChar w:fldCharType="end"/>
        </w:r>
      </w:hyperlink>
    </w:p>
    <w:p w14:paraId="682F7871" w14:textId="06D3EDC5" w:rsidR="00C53E99" w:rsidRDefault="00C53E99" w:rsidP="00A14E38">
      <w:pPr>
        <w:pStyle w:val="TOC2"/>
        <w:rPr>
          <w:rFonts w:eastAsiaTheme="minorEastAsia"/>
          <w:noProof/>
          <w:kern w:val="2"/>
          <w:sz w:val="24"/>
          <w:szCs w:val="24"/>
          <w:lang w:eastAsia="en-AU"/>
          <w14:ligatures w14:val="standardContextual"/>
        </w:rPr>
      </w:pPr>
      <w:hyperlink w:anchor="_Toc194311408" w:history="1">
        <w:r w:rsidRPr="000839E2">
          <w:rPr>
            <w:rStyle w:val="Hyperlink"/>
            <w:noProof/>
          </w:rPr>
          <w:t>Part 1. Institutions</w:t>
        </w:r>
        <w:r>
          <w:rPr>
            <w:noProof/>
            <w:webHidden/>
          </w:rPr>
          <w:tab/>
        </w:r>
        <w:r>
          <w:rPr>
            <w:noProof/>
            <w:webHidden/>
          </w:rPr>
          <w:fldChar w:fldCharType="begin"/>
        </w:r>
        <w:r>
          <w:rPr>
            <w:noProof/>
            <w:webHidden/>
          </w:rPr>
          <w:instrText xml:space="preserve"> PAGEREF _Toc194311408 \h </w:instrText>
        </w:r>
        <w:r>
          <w:rPr>
            <w:noProof/>
            <w:webHidden/>
          </w:rPr>
        </w:r>
        <w:r>
          <w:rPr>
            <w:noProof/>
            <w:webHidden/>
          </w:rPr>
          <w:fldChar w:fldCharType="separate"/>
        </w:r>
        <w:r w:rsidR="009B6102">
          <w:rPr>
            <w:noProof/>
            <w:webHidden/>
          </w:rPr>
          <w:t>21</w:t>
        </w:r>
        <w:r>
          <w:rPr>
            <w:noProof/>
            <w:webHidden/>
          </w:rPr>
          <w:fldChar w:fldCharType="end"/>
        </w:r>
      </w:hyperlink>
    </w:p>
    <w:p w14:paraId="002C7CFE" w14:textId="64AC10FC" w:rsidR="00C53E99" w:rsidRDefault="00C53E99">
      <w:pPr>
        <w:pStyle w:val="TOC3"/>
        <w:tabs>
          <w:tab w:val="right" w:leader="dot" w:pos="9016"/>
        </w:tabs>
        <w:rPr>
          <w:rFonts w:eastAsiaTheme="minorEastAsia"/>
          <w:noProof/>
          <w:kern w:val="2"/>
          <w:sz w:val="24"/>
          <w:szCs w:val="24"/>
          <w:lang w:eastAsia="en-AU"/>
          <w14:ligatures w14:val="standardContextual"/>
        </w:rPr>
      </w:pPr>
      <w:hyperlink w:anchor="_Toc194311409" w:history="1">
        <w:r w:rsidRPr="000839E2">
          <w:rPr>
            <w:rStyle w:val="Hyperlink"/>
            <w:noProof/>
          </w:rPr>
          <w:t>Chapter 3. Introduction to institutions</w:t>
        </w:r>
        <w:r>
          <w:rPr>
            <w:noProof/>
            <w:webHidden/>
          </w:rPr>
          <w:tab/>
        </w:r>
        <w:r>
          <w:rPr>
            <w:noProof/>
            <w:webHidden/>
          </w:rPr>
          <w:fldChar w:fldCharType="begin"/>
        </w:r>
        <w:r>
          <w:rPr>
            <w:noProof/>
            <w:webHidden/>
          </w:rPr>
          <w:instrText xml:space="preserve"> PAGEREF _Toc194311409 \h </w:instrText>
        </w:r>
        <w:r>
          <w:rPr>
            <w:noProof/>
            <w:webHidden/>
          </w:rPr>
        </w:r>
        <w:r>
          <w:rPr>
            <w:noProof/>
            <w:webHidden/>
          </w:rPr>
          <w:fldChar w:fldCharType="separate"/>
        </w:r>
        <w:r w:rsidR="009B6102">
          <w:rPr>
            <w:noProof/>
            <w:webHidden/>
          </w:rPr>
          <w:t>22</w:t>
        </w:r>
        <w:r>
          <w:rPr>
            <w:noProof/>
            <w:webHidden/>
          </w:rPr>
          <w:fldChar w:fldCharType="end"/>
        </w:r>
      </w:hyperlink>
    </w:p>
    <w:p w14:paraId="45C3CC01" w14:textId="0375D7FA" w:rsidR="00C53E99" w:rsidRDefault="00C53E99">
      <w:pPr>
        <w:pStyle w:val="TOC3"/>
        <w:tabs>
          <w:tab w:val="right" w:leader="dot" w:pos="9016"/>
        </w:tabs>
        <w:rPr>
          <w:rFonts w:eastAsiaTheme="minorEastAsia"/>
          <w:noProof/>
          <w:kern w:val="2"/>
          <w:sz w:val="24"/>
          <w:szCs w:val="24"/>
          <w:lang w:eastAsia="en-AU"/>
          <w14:ligatures w14:val="standardContextual"/>
        </w:rPr>
      </w:pPr>
      <w:hyperlink w:anchor="_Toc194311410" w:history="1">
        <w:r w:rsidRPr="000839E2">
          <w:rPr>
            <w:rStyle w:val="Hyperlink"/>
            <w:noProof/>
          </w:rPr>
          <w:t>Chapter 4. Abolition of the Australian Building and Construction Commission</w:t>
        </w:r>
        <w:r>
          <w:rPr>
            <w:noProof/>
            <w:webHidden/>
          </w:rPr>
          <w:tab/>
        </w:r>
        <w:r>
          <w:rPr>
            <w:noProof/>
            <w:webHidden/>
          </w:rPr>
          <w:fldChar w:fldCharType="begin"/>
        </w:r>
        <w:r>
          <w:rPr>
            <w:noProof/>
            <w:webHidden/>
          </w:rPr>
          <w:instrText xml:space="preserve"> PAGEREF _Toc194311410 \h </w:instrText>
        </w:r>
        <w:r>
          <w:rPr>
            <w:noProof/>
            <w:webHidden/>
          </w:rPr>
        </w:r>
        <w:r>
          <w:rPr>
            <w:noProof/>
            <w:webHidden/>
          </w:rPr>
          <w:fldChar w:fldCharType="separate"/>
        </w:r>
        <w:r w:rsidR="009B6102">
          <w:rPr>
            <w:noProof/>
            <w:webHidden/>
          </w:rPr>
          <w:t>26</w:t>
        </w:r>
        <w:r>
          <w:rPr>
            <w:noProof/>
            <w:webHidden/>
          </w:rPr>
          <w:fldChar w:fldCharType="end"/>
        </w:r>
      </w:hyperlink>
    </w:p>
    <w:p w14:paraId="037610E5" w14:textId="0D9AB41F" w:rsidR="00C53E99" w:rsidRDefault="00C53E99">
      <w:pPr>
        <w:pStyle w:val="TOC3"/>
        <w:tabs>
          <w:tab w:val="right" w:leader="dot" w:pos="9016"/>
        </w:tabs>
        <w:rPr>
          <w:rFonts w:eastAsiaTheme="minorEastAsia"/>
          <w:noProof/>
          <w:kern w:val="2"/>
          <w:sz w:val="24"/>
          <w:szCs w:val="24"/>
          <w:lang w:eastAsia="en-AU"/>
          <w14:ligatures w14:val="standardContextual"/>
        </w:rPr>
      </w:pPr>
      <w:hyperlink w:anchor="_Toc194311411" w:history="1">
        <w:r w:rsidRPr="000839E2">
          <w:rPr>
            <w:rStyle w:val="Hyperlink"/>
            <w:noProof/>
          </w:rPr>
          <w:t>Chapter 5. Establishment of National Construction Industry Forum</w:t>
        </w:r>
        <w:r>
          <w:rPr>
            <w:noProof/>
            <w:webHidden/>
          </w:rPr>
          <w:tab/>
        </w:r>
        <w:r>
          <w:rPr>
            <w:noProof/>
            <w:webHidden/>
          </w:rPr>
          <w:fldChar w:fldCharType="begin"/>
        </w:r>
        <w:r>
          <w:rPr>
            <w:noProof/>
            <w:webHidden/>
          </w:rPr>
          <w:instrText xml:space="preserve"> PAGEREF _Toc194311411 \h </w:instrText>
        </w:r>
        <w:r>
          <w:rPr>
            <w:noProof/>
            <w:webHidden/>
          </w:rPr>
        </w:r>
        <w:r>
          <w:rPr>
            <w:noProof/>
            <w:webHidden/>
          </w:rPr>
          <w:fldChar w:fldCharType="separate"/>
        </w:r>
        <w:r w:rsidR="009B6102">
          <w:rPr>
            <w:noProof/>
            <w:webHidden/>
          </w:rPr>
          <w:t>45</w:t>
        </w:r>
        <w:r>
          <w:rPr>
            <w:noProof/>
            <w:webHidden/>
          </w:rPr>
          <w:fldChar w:fldCharType="end"/>
        </w:r>
      </w:hyperlink>
    </w:p>
    <w:p w14:paraId="6372CA7A" w14:textId="37A77064" w:rsidR="00C53E99" w:rsidRDefault="00C53E99">
      <w:pPr>
        <w:pStyle w:val="TOC3"/>
        <w:tabs>
          <w:tab w:val="right" w:leader="dot" w:pos="9016"/>
        </w:tabs>
        <w:rPr>
          <w:rFonts w:eastAsiaTheme="minorEastAsia"/>
          <w:noProof/>
          <w:kern w:val="2"/>
          <w:sz w:val="24"/>
          <w:szCs w:val="24"/>
          <w:lang w:eastAsia="en-AU"/>
          <w14:ligatures w14:val="standardContextual"/>
        </w:rPr>
      </w:pPr>
      <w:hyperlink w:anchor="_Toc194311412" w:history="1">
        <w:r w:rsidRPr="000839E2">
          <w:rPr>
            <w:rStyle w:val="Hyperlink"/>
            <w:noProof/>
          </w:rPr>
          <w:t>Chapter 6. Abolition of the Registered Organisations Commission</w:t>
        </w:r>
        <w:r>
          <w:rPr>
            <w:noProof/>
            <w:webHidden/>
          </w:rPr>
          <w:tab/>
        </w:r>
        <w:r>
          <w:rPr>
            <w:noProof/>
            <w:webHidden/>
          </w:rPr>
          <w:fldChar w:fldCharType="begin"/>
        </w:r>
        <w:r>
          <w:rPr>
            <w:noProof/>
            <w:webHidden/>
          </w:rPr>
          <w:instrText xml:space="preserve"> PAGEREF _Toc194311412 \h </w:instrText>
        </w:r>
        <w:r>
          <w:rPr>
            <w:noProof/>
            <w:webHidden/>
          </w:rPr>
        </w:r>
        <w:r>
          <w:rPr>
            <w:noProof/>
            <w:webHidden/>
          </w:rPr>
          <w:fldChar w:fldCharType="separate"/>
        </w:r>
        <w:r w:rsidR="009B6102">
          <w:rPr>
            <w:noProof/>
            <w:webHidden/>
          </w:rPr>
          <w:t>53</w:t>
        </w:r>
        <w:r>
          <w:rPr>
            <w:noProof/>
            <w:webHidden/>
          </w:rPr>
          <w:fldChar w:fldCharType="end"/>
        </w:r>
      </w:hyperlink>
    </w:p>
    <w:p w14:paraId="45CE8762" w14:textId="72F90C60" w:rsidR="00C53E99" w:rsidRDefault="00C53E99">
      <w:pPr>
        <w:pStyle w:val="TOC3"/>
        <w:tabs>
          <w:tab w:val="right" w:leader="dot" w:pos="9016"/>
        </w:tabs>
        <w:rPr>
          <w:rFonts w:eastAsiaTheme="minorEastAsia"/>
          <w:noProof/>
          <w:kern w:val="2"/>
          <w:sz w:val="24"/>
          <w:szCs w:val="24"/>
          <w:lang w:eastAsia="en-AU"/>
          <w14:ligatures w14:val="standardContextual"/>
        </w:rPr>
      </w:pPr>
      <w:hyperlink w:anchor="_Toc194311413" w:history="1">
        <w:r w:rsidRPr="000839E2">
          <w:rPr>
            <w:rStyle w:val="Hyperlink"/>
            <w:noProof/>
          </w:rPr>
          <w:t>Chapter 7. Additional registered organisations enforcement options</w:t>
        </w:r>
        <w:r>
          <w:rPr>
            <w:noProof/>
            <w:webHidden/>
          </w:rPr>
          <w:tab/>
        </w:r>
        <w:r>
          <w:rPr>
            <w:noProof/>
            <w:webHidden/>
          </w:rPr>
          <w:fldChar w:fldCharType="begin"/>
        </w:r>
        <w:r>
          <w:rPr>
            <w:noProof/>
            <w:webHidden/>
          </w:rPr>
          <w:instrText xml:space="preserve"> PAGEREF _Toc194311413 \h </w:instrText>
        </w:r>
        <w:r>
          <w:rPr>
            <w:noProof/>
            <w:webHidden/>
          </w:rPr>
        </w:r>
        <w:r>
          <w:rPr>
            <w:noProof/>
            <w:webHidden/>
          </w:rPr>
          <w:fldChar w:fldCharType="separate"/>
        </w:r>
        <w:r w:rsidR="009B6102">
          <w:rPr>
            <w:noProof/>
            <w:webHidden/>
          </w:rPr>
          <w:t>65</w:t>
        </w:r>
        <w:r>
          <w:rPr>
            <w:noProof/>
            <w:webHidden/>
          </w:rPr>
          <w:fldChar w:fldCharType="end"/>
        </w:r>
      </w:hyperlink>
    </w:p>
    <w:p w14:paraId="1F2C8502" w14:textId="1A830661" w:rsidR="00C53E99" w:rsidRDefault="00C53E99" w:rsidP="00A14E38">
      <w:pPr>
        <w:pStyle w:val="TOC2"/>
        <w:rPr>
          <w:rFonts w:eastAsiaTheme="minorEastAsia"/>
          <w:noProof/>
          <w:kern w:val="2"/>
          <w:sz w:val="24"/>
          <w:szCs w:val="24"/>
          <w:lang w:eastAsia="en-AU"/>
          <w14:ligatures w14:val="standardContextual"/>
        </w:rPr>
      </w:pPr>
      <w:hyperlink w:anchor="_Toc194311414" w:history="1">
        <w:r w:rsidRPr="000839E2">
          <w:rPr>
            <w:rStyle w:val="Hyperlink"/>
            <w:noProof/>
          </w:rPr>
          <w:t>Part 2. Bargaining and agreements</w:t>
        </w:r>
        <w:r>
          <w:rPr>
            <w:noProof/>
            <w:webHidden/>
          </w:rPr>
          <w:tab/>
        </w:r>
        <w:r>
          <w:rPr>
            <w:noProof/>
            <w:webHidden/>
          </w:rPr>
          <w:fldChar w:fldCharType="begin"/>
        </w:r>
        <w:r>
          <w:rPr>
            <w:noProof/>
            <w:webHidden/>
          </w:rPr>
          <w:instrText xml:space="preserve"> PAGEREF _Toc194311414 \h </w:instrText>
        </w:r>
        <w:r>
          <w:rPr>
            <w:noProof/>
            <w:webHidden/>
          </w:rPr>
        </w:r>
        <w:r>
          <w:rPr>
            <w:noProof/>
            <w:webHidden/>
          </w:rPr>
          <w:fldChar w:fldCharType="separate"/>
        </w:r>
        <w:r w:rsidR="009B6102">
          <w:rPr>
            <w:noProof/>
            <w:webHidden/>
          </w:rPr>
          <w:t>70</w:t>
        </w:r>
        <w:r>
          <w:rPr>
            <w:noProof/>
            <w:webHidden/>
          </w:rPr>
          <w:fldChar w:fldCharType="end"/>
        </w:r>
      </w:hyperlink>
    </w:p>
    <w:p w14:paraId="09F75F5E" w14:textId="07B28418" w:rsidR="00C53E99" w:rsidRDefault="00C53E99">
      <w:pPr>
        <w:pStyle w:val="TOC3"/>
        <w:tabs>
          <w:tab w:val="right" w:leader="dot" w:pos="9016"/>
        </w:tabs>
        <w:rPr>
          <w:rFonts w:eastAsiaTheme="minorEastAsia"/>
          <w:noProof/>
          <w:kern w:val="2"/>
          <w:sz w:val="24"/>
          <w:szCs w:val="24"/>
          <w:lang w:eastAsia="en-AU"/>
          <w14:ligatures w14:val="standardContextual"/>
        </w:rPr>
      </w:pPr>
      <w:hyperlink w:anchor="_Toc194311415" w:history="1">
        <w:r w:rsidRPr="000839E2">
          <w:rPr>
            <w:rStyle w:val="Hyperlink"/>
            <w:noProof/>
          </w:rPr>
          <w:t>Chapter 8. Introduction to collective bargaining and collective agreements</w:t>
        </w:r>
        <w:r>
          <w:rPr>
            <w:noProof/>
            <w:webHidden/>
          </w:rPr>
          <w:tab/>
        </w:r>
        <w:r>
          <w:rPr>
            <w:noProof/>
            <w:webHidden/>
          </w:rPr>
          <w:fldChar w:fldCharType="begin"/>
        </w:r>
        <w:r>
          <w:rPr>
            <w:noProof/>
            <w:webHidden/>
          </w:rPr>
          <w:instrText xml:space="preserve"> PAGEREF _Toc194311415 \h </w:instrText>
        </w:r>
        <w:r>
          <w:rPr>
            <w:noProof/>
            <w:webHidden/>
          </w:rPr>
        </w:r>
        <w:r>
          <w:rPr>
            <w:noProof/>
            <w:webHidden/>
          </w:rPr>
          <w:fldChar w:fldCharType="separate"/>
        </w:r>
        <w:r w:rsidR="009B6102">
          <w:rPr>
            <w:noProof/>
            <w:webHidden/>
          </w:rPr>
          <w:t>71</w:t>
        </w:r>
        <w:r>
          <w:rPr>
            <w:noProof/>
            <w:webHidden/>
          </w:rPr>
          <w:fldChar w:fldCharType="end"/>
        </w:r>
      </w:hyperlink>
    </w:p>
    <w:p w14:paraId="7212511E" w14:textId="2C0B452D" w:rsidR="00C53E99" w:rsidRDefault="00C53E99">
      <w:pPr>
        <w:pStyle w:val="TOC3"/>
        <w:tabs>
          <w:tab w:val="right" w:leader="dot" w:pos="9016"/>
        </w:tabs>
        <w:rPr>
          <w:rFonts w:eastAsiaTheme="minorEastAsia"/>
          <w:noProof/>
          <w:kern w:val="2"/>
          <w:sz w:val="24"/>
          <w:szCs w:val="24"/>
          <w:lang w:eastAsia="en-AU"/>
          <w14:ligatures w14:val="standardContextual"/>
        </w:rPr>
      </w:pPr>
      <w:hyperlink w:anchor="_Toc194311416" w:history="1">
        <w:r w:rsidRPr="000839E2">
          <w:rPr>
            <w:rStyle w:val="Hyperlink"/>
            <w:noProof/>
          </w:rPr>
          <w:t>Chapter 9. Initiating bargaining</w:t>
        </w:r>
        <w:r>
          <w:rPr>
            <w:noProof/>
            <w:webHidden/>
          </w:rPr>
          <w:tab/>
        </w:r>
        <w:r>
          <w:rPr>
            <w:noProof/>
            <w:webHidden/>
          </w:rPr>
          <w:fldChar w:fldCharType="begin"/>
        </w:r>
        <w:r>
          <w:rPr>
            <w:noProof/>
            <w:webHidden/>
          </w:rPr>
          <w:instrText xml:space="preserve"> PAGEREF _Toc194311416 \h </w:instrText>
        </w:r>
        <w:r>
          <w:rPr>
            <w:noProof/>
            <w:webHidden/>
          </w:rPr>
        </w:r>
        <w:r>
          <w:rPr>
            <w:noProof/>
            <w:webHidden/>
          </w:rPr>
          <w:fldChar w:fldCharType="separate"/>
        </w:r>
        <w:r w:rsidR="009B6102">
          <w:rPr>
            <w:noProof/>
            <w:webHidden/>
          </w:rPr>
          <w:t>96</w:t>
        </w:r>
        <w:r>
          <w:rPr>
            <w:noProof/>
            <w:webHidden/>
          </w:rPr>
          <w:fldChar w:fldCharType="end"/>
        </w:r>
      </w:hyperlink>
    </w:p>
    <w:p w14:paraId="43BEE00A" w14:textId="39E5DB1F" w:rsidR="00C53E99" w:rsidRDefault="00C53E99">
      <w:pPr>
        <w:pStyle w:val="TOC3"/>
        <w:tabs>
          <w:tab w:val="right" w:leader="dot" w:pos="9016"/>
        </w:tabs>
        <w:rPr>
          <w:rFonts w:eastAsiaTheme="minorEastAsia"/>
          <w:noProof/>
          <w:kern w:val="2"/>
          <w:sz w:val="24"/>
          <w:szCs w:val="24"/>
          <w:lang w:eastAsia="en-AU"/>
          <w14:ligatures w14:val="standardContextual"/>
        </w:rPr>
      </w:pPr>
      <w:hyperlink w:anchor="_Toc194311417" w:history="1">
        <w:r w:rsidRPr="000839E2">
          <w:rPr>
            <w:rStyle w:val="Hyperlink"/>
            <w:noProof/>
          </w:rPr>
          <w:t>Chapter 10. Cooperative workplaces</w:t>
        </w:r>
        <w:r>
          <w:rPr>
            <w:noProof/>
            <w:webHidden/>
          </w:rPr>
          <w:tab/>
        </w:r>
        <w:r>
          <w:rPr>
            <w:noProof/>
            <w:webHidden/>
          </w:rPr>
          <w:fldChar w:fldCharType="begin"/>
        </w:r>
        <w:r>
          <w:rPr>
            <w:noProof/>
            <w:webHidden/>
          </w:rPr>
          <w:instrText xml:space="preserve"> PAGEREF _Toc194311417 \h </w:instrText>
        </w:r>
        <w:r>
          <w:rPr>
            <w:noProof/>
            <w:webHidden/>
          </w:rPr>
        </w:r>
        <w:r>
          <w:rPr>
            <w:noProof/>
            <w:webHidden/>
          </w:rPr>
          <w:fldChar w:fldCharType="separate"/>
        </w:r>
        <w:r w:rsidR="009B6102">
          <w:rPr>
            <w:noProof/>
            <w:webHidden/>
          </w:rPr>
          <w:t>106</w:t>
        </w:r>
        <w:r>
          <w:rPr>
            <w:noProof/>
            <w:webHidden/>
          </w:rPr>
          <w:fldChar w:fldCharType="end"/>
        </w:r>
      </w:hyperlink>
    </w:p>
    <w:p w14:paraId="0CA5A818" w14:textId="1528FBBC" w:rsidR="00C53E99" w:rsidRDefault="00C53E99">
      <w:pPr>
        <w:pStyle w:val="TOC3"/>
        <w:tabs>
          <w:tab w:val="right" w:leader="dot" w:pos="9016"/>
        </w:tabs>
        <w:rPr>
          <w:rFonts w:eastAsiaTheme="minorEastAsia"/>
          <w:noProof/>
          <w:kern w:val="2"/>
          <w:sz w:val="24"/>
          <w:szCs w:val="24"/>
          <w:lang w:eastAsia="en-AU"/>
          <w14:ligatures w14:val="standardContextual"/>
        </w:rPr>
      </w:pPr>
      <w:hyperlink w:anchor="_Toc194311418" w:history="1">
        <w:r w:rsidRPr="000839E2">
          <w:rPr>
            <w:rStyle w:val="Hyperlink"/>
            <w:noProof/>
          </w:rPr>
          <w:t>Chapter 11. Supported bargaining</w:t>
        </w:r>
        <w:r>
          <w:rPr>
            <w:noProof/>
            <w:webHidden/>
          </w:rPr>
          <w:tab/>
        </w:r>
        <w:r>
          <w:rPr>
            <w:noProof/>
            <w:webHidden/>
          </w:rPr>
          <w:fldChar w:fldCharType="begin"/>
        </w:r>
        <w:r>
          <w:rPr>
            <w:noProof/>
            <w:webHidden/>
          </w:rPr>
          <w:instrText xml:space="preserve"> PAGEREF _Toc194311418 \h </w:instrText>
        </w:r>
        <w:r>
          <w:rPr>
            <w:noProof/>
            <w:webHidden/>
          </w:rPr>
        </w:r>
        <w:r>
          <w:rPr>
            <w:noProof/>
            <w:webHidden/>
          </w:rPr>
          <w:fldChar w:fldCharType="separate"/>
        </w:r>
        <w:r w:rsidR="009B6102">
          <w:rPr>
            <w:noProof/>
            <w:webHidden/>
          </w:rPr>
          <w:t>111</w:t>
        </w:r>
        <w:r>
          <w:rPr>
            <w:noProof/>
            <w:webHidden/>
          </w:rPr>
          <w:fldChar w:fldCharType="end"/>
        </w:r>
      </w:hyperlink>
    </w:p>
    <w:p w14:paraId="4A2E46A2" w14:textId="2E546B32" w:rsidR="00C53E99" w:rsidRDefault="00C53E99">
      <w:pPr>
        <w:pStyle w:val="TOC3"/>
        <w:tabs>
          <w:tab w:val="right" w:leader="dot" w:pos="9016"/>
        </w:tabs>
        <w:rPr>
          <w:rFonts w:eastAsiaTheme="minorEastAsia"/>
          <w:noProof/>
          <w:kern w:val="2"/>
          <w:sz w:val="24"/>
          <w:szCs w:val="24"/>
          <w:lang w:eastAsia="en-AU"/>
          <w14:ligatures w14:val="standardContextual"/>
        </w:rPr>
      </w:pPr>
      <w:hyperlink w:anchor="_Toc194311419" w:history="1">
        <w:r w:rsidRPr="000839E2">
          <w:rPr>
            <w:rStyle w:val="Hyperlink"/>
            <w:noProof/>
          </w:rPr>
          <w:t>Chapter 12. Single-interest employer authorisations</w:t>
        </w:r>
        <w:r>
          <w:rPr>
            <w:noProof/>
            <w:webHidden/>
          </w:rPr>
          <w:tab/>
        </w:r>
        <w:r>
          <w:rPr>
            <w:noProof/>
            <w:webHidden/>
          </w:rPr>
          <w:fldChar w:fldCharType="begin"/>
        </w:r>
        <w:r>
          <w:rPr>
            <w:noProof/>
            <w:webHidden/>
          </w:rPr>
          <w:instrText xml:space="preserve"> PAGEREF _Toc194311419 \h </w:instrText>
        </w:r>
        <w:r>
          <w:rPr>
            <w:noProof/>
            <w:webHidden/>
          </w:rPr>
        </w:r>
        <w:r>
          <w:rPr>
            <w:noProof/>
            <w:webHidden/>
          </w:rPr>
          <w:fldChar w:fldCharType="separate"/>
        </w:r>
        <w:r w:rsidR="009B6102">
          <w:rPr>
            <w:noProof/>
            <w:webHidden/>
          </w:rPr>
          <w:t>122</w:t>
        </w:r>
        <w:r>
          <w:rPr>
            <w:noProof/>
            <w:webHidden/>
          </w:rPr>
          <w:fldChar w:fldCharType="end"/>
        </w:r>
      </w:hyperlink>
    </w:p>
    <w:p w14:paraId="6C588B3E" w14:textId="7ED092A5" w:rsidR="00C53E99" w:rsidRDefault="00C53E99">
      <w:pPr>
        <w:pStyle w:val="TOC3"/>
        <w:tabs>
          <w:tab w:val="right" w:leader="dot" w:pos="9016"/>
        </w:tabs>
        <w:rPr>
          <w:rFonts w:eastAsiaTheme="minorEastAsia"/>
          <w:noProof/>
          <w:kern w:val="2"/>
          <w:sz w:val="24"/>
          <w:szCs w:val="24"/>
          <w:lang w:eastAsia="en-AU"/>
          <w14:ligatures w14:val="standardContextual"/>
        </w:rPr>
      </w:pPr>
      <w:hyperlink w:anchor="_Toc194311420" w:history="1">
        <w:r w:rsidRPr="000839E2">
          <w:rPr>
            <w:rStyle w:val="Hyperlink"/>
            <w:noProof/>
          </w:rPr>
          <w:t>Chapter 13. Excluded work</w:t>
        </w:r>
        <w:r>
          <w:rPr>
            <w:noProof/>
            <w:webHidden/>
          </w:rPr>
          <w:tab/>
        </w:r>
        <w:r>
          <w:rPr>
            <w:noProof/>
            <w:webHidden/>
          </w:rPr>
          <w:fldChar w:fldCharType="begin"/>
        </w:r>
        <w:r>
          <w:rPr>
            <w:noProof/>
            <w:webHidden/>
          </w:rPr>
          <w:instrText xml:space="preserve"> PAGEREF _Toc194311420 \h </w:instrText>
        </w:r>
        <w:r>
          <w:rPr>
            <w:noProof/>
            <w:webHidden/>
          </w:rPr>
        </w:r>
        <w:r>
          <w:rPr>
            <w:noProof/>
            <w:webHidden/>
          </w:rPr>
          <w:fldChar w:fldCharType="separate"/>
        </w:r>
        <w:r w:rsidR="009B6102">
          <w:rPr>
            <w:noProof/>
            <w:webHidden/>
          </w:rPr>
          <w:t>134</w:t>
        </w:r>
        <w:r>
          <w:rPr>
            <w:noProof/>
            <w:webHidden/>
          </w:rPr>
          <w:fldChar w:fldCharType="end"/>
        </w:r>
      </w:hyperlink>
    </w:p>
    <w:p w14:paraId="1BE2B3ED" w14:textId="0B06E72D" w:rsidR="00C53E99" w:rsidRDefault="00C53E99">
      <w:pPr>
        <w:pStyle w:val="TOC3"/>
        <w:tabs>
          <w:tab w:val="right" w:leader="dot" w:pos="9016"/>
        </w:tabs>
        <w:rPr>
          <w:rFonts w:eastAsiaTheme="minorEastAsia"/>
          <w:noProof/>
          <w:kern w:val="2"/>
          <w:sz w:val="24"/>
          <w:szCs w:val="24"/>
          <w:lang w:eastAsia="en-AU"/>
          <w14:ligatures w14:val="standardContextual"/>
        </w:rPr>
      </w:pPr>
      <w:hyperlink w:anchor="_Toc194311421" w:history="1">
        <w:r w:rsidRPr="000839E2">
          <w:rPr>
            <w:rStyle w:val="Hyperlink"/>
            <w:noProof/>
          </w:rPr>
          <w:t>Chapter 14. Bargaining disputes</w:t>
        </w:r>
        <w:r>
          <w:rPr>
            <w:noProof/>
            <w:webHidden/>
          </w:rPr>
          <w:tab/>
        </w:r>
        <w:r>
          <w:rPr>
            <w:noProof/>
            <w:webHidden/>
          </w:rPr>
          <w:fldChar w:fldCharType="begin"/>
        </w:r>
        <w:r>
          <w:rPr>
            <w:noProof/>
            <w:webHidden/>
          </w:rPr>
          <w:instrText xml:space="preserve"> PAGEREF _Toc194311421 \h </w:instrText>
        </w:r>
        <w:r>
          <w:rPr>
            <w:noProof/>
            <w:webHidden/>
          </w:rPr>
        </w:r>
        <w:r>
          <w:rPr>
            <w:noProof/>
            <w:webHidden/>
          </w:rPr>
          <w:fldChar w:fldCharType="separate"/>
        </w:r>
        <w:r w:rsidR="009B6102">
          <w:rPr>
            <w:noProof/>
            <w:webHidden/>
          </w:rPr>
          <w:t>137</w:t>
        </w:r>
        <w:r>
          <w:rPr>
            <w:noProof/>
            <w:webHidden/>
          </w:rPr>
          <w:fldChar w:fldCharType="end"/>
        </w:r>
      </w:hyperlink>
    </w:p>
    <w:p w14:paraId="631D3BE0" w14:textId="70741FBE" w:rsidR="00C53E99" w:rsidRDefault="00C53E99">
      <w:pPr>
        <w:pStyle w:val="TOC3"/>
        <w:tabs>
          <w:tab w:val="right" w:leader="dot" w:pos="9016"/>
        </w:tabs>
        <w:rPr>
          <w:rFonts w:eastAsiaTheme="minorEastAsia"/>
          <w:noProof/>
          <w:kern w:val="2"/>
          <w:sz w:val="24"/>
          <w:szCs w:val="24"/>
          <w:lang w:eastAsia="en-AU"/>
          <w14:ligatures w14:val="standardContextual"/>
        </w:rPr>
      </w:pPr>
      <w:hyperlink w:anchor="_Toc194311422" w:history="1">
        <w:r w:rsidRPr="000839E2">
          <w:rPr>
            <w:rStyle w:val="Hyperlink"/>
            <w:noProof/>
          </w:rPr>
          <w:t>Chapter 15. Industrial action</w:t>
        </w:r>
        <w:r>
          <w:rPr>
            <w:noProof/>
            <w:webHidden/>
          </w:rPr>
          <w:tab/>
        </w:r>
        <w:r>
          <w:rPr>
            <w:noProof/>
            <w:webHidden/>
          </w:rPr>
          <w:fldChar w:fldCharType="begin"/>
        </w:r>
        <w:r>
          <w:rPr>
            <w:noProof/>
            <w:webHidden/>
          </w:rPr>
          <w:instrText xml:space="preserve"> PAGEREF _Toc194311422 \h </w:instrText>
        </w:r>
        <w:r>
          <w:rPr>
            <w:noProof/>
            <w:webHidden/>
          </w:rPr>
        </w:r>
        <w:r>
          <w:rPr>
            <w:noProof/>
            <w:webHidden/>
          </w:rPr>
          <w:fldChar w:fldCharType="separate"/>
        </w:r>
        <w:r w:rsidR="009B6102">
          <w:rPr>
            <w:noProof/>
            <w:webHidden/>
          </w:rPr>
          <w:t>151</w:t>
        </w:r>
        <w:r>
          <w:rPr>
            <w:noProof/>
            <w:webHidden/>
          </w:rPr>
          <w:fldChar w:fldCharType="end"/>
        </w:r>
      </w:hyperlink>
    </w:p>
    <w:p w14:paraId="738EE3BA" w14:textId="43D920AF" w:rsidR="00C53E99" w:rsidRDefault="00C53E99">
      <w:pPr>
        <w:pStyle w:val="TOC3"/>
        <w:tabs>
          <w:tab w:val="right" w:leader="dot" w:pos="9016"/>
        </w:tabs>
        <w:rPr>
          <w:rFonts w:eastAsiaTheme="minorEastAsia"/>
          <w:noProof/>
          <w:kern w:val="2"/>
          <w:sz w:val="24"/>
          <w:szCs w:val="24"/>
          <w:lang w:eastAsia="en-AU"/>
          <w14:ligatures w14:val="standardContextual"/>
        </w:rPr>
      </w:pPr>
      <w:hyperlink w:anchor="_Toc194311423" w:history="1">
        <w:r w:rsidRPr="000839E2">
          <w:rPr>
            <w:rStyle w:val="Hyperlink"/>
            <w:noProof/>
          </w:rPr>
          <w:t>Chapter 16. Enterprise agreement approval</w:t>
        </w:r>
        <w:r>
          <w:rPr>
            <w:noProof/>
            <w:webHidden/>
          </w:rPr>
          <w:tab/>
        </w:r>
        <w:r>
          <w:rPr>
            <w:noProof/>
            <w:webHidden/>
          </w:rPr>
          <w:fldChar w:fldCharType="begin"/>
        </w:r>
        <w:r>
          <w:rPr>
            <w:noProof/>
            <w:webHidden/>
          </w:rPr>
          <w:instrText xml:space="preserve"> PAGEREF _Toc194311423 \h </w:instrText>
        </w:r>
        <w:r>
          <w:rPr>
            <w:noProof/>
            <w:webHidden/>
          </w:rPr>
        </w:r>
        <w:r>
          <w:rPr>
            <w:noProof/>
            <w:webHidden/>
          </w:rPr>
          <w:fldChar w:fldCharType="separate"/>
        </w:r>
        <w:r w:rsidR="009B6102">
          <w:rPr>
            <w:noProof/>
            <w:webHidden/>
          </w:rPr>
          <w:t>156</w:t>
        </w:r>
        <w:r>
          <w:rPr>
            <w:noProof/>
            <w:webHidden/>
          </w:rPr>
          <w:fldChar w:fldCharType="end"/>
        </w:r>
      </w:hyperlink>
    </w:p>
    <w:p w14:paraId="4BC3513A" w14:textId="358E6E73" w:rsidR="00C53E99" w:rsidRDefault="00C53E99">
      <w:pPr>
        <w:pStyle w:val="TOC3"/>
        <w:tabs>
          <w:tab w:val="right" w:leader="dot" w:pos="9016"/>
        </w:tabs>
        <w:rPr>
          <w:rFonts w:eastAsiaTheme="minorEastAsia"/>
          <w:noProof/>
          <w:kern w:val="2"/>
          <w:sz w:val="24"/>
          <w:szCs w:val="24"/>
          <w:lang w:eastAsia="en-AU"/>
          <w14:ligatures w14:val="standardContextual"/>
        </w:rPr>
      </w:pPr>
      <w:hyperlink w:anchor="_Toc194311424" w:history="1">
        <w:r w:rsidRPr="000839E2">
          <w:rPr>
            <w:rStyle w:val="Hyperlink"/>
            <w:noProof/>
          </w:rPr>
          <w:t>Chapter 17. Better Off Overall Test</w:t>
        </w:r>
        <w:r>
          <w:rPr>
            <w:noProof/>
            <w:webHidden/>
          </w:rPr>
          <w:tab/>
        </w:r>
        <w:r>
          <w:rPr>
            <w:noProof/>
            <w:webHidden/>
          </w:rPr>
          <w:fldChar w:fldCharType="begin"/>
        </w:r>
        <w:r>
          <w:rPr>
            <w:noProof/>
            <w:webHidden/>
          </w:rPr>
          <w:instrText xml:space="preserve"> PAGEREF _Toc194311424 \h </w:instrText>
        </w:r>
        <w:r>
          <w:rPr>
            <w:noProof/>
            <w:webHidden/>
          </w:rPr>
        </w:r>
        <w:r>
          <w:rPr>
            <w:noProof/>
            <w:webHidden/>
          </w:rPr>
          <w:fldChar w:fldCharType="separate"/>
        </w:r>
        <w:r w:rsidR="009B6102">
          <w:rPr>
            <w:noProof/>
            <w:webHidden/>
          </w:rPr>
          <w:t>165</w:t>
        </w:r>
        <w:r>
          <w:rPr>
            <w:noProof/>
            <w:webHidden/>
          </w:rPr>
          <w:fldChar w:fldCharType="end"/>
        </w:r>
      </w:hyperlink>
    </w:p>
    <w:p w14:paraId="1F100540" w14:textId="3234BE55" w:rsidR="00C53E99" w:rsidRDefault="00C53E99">
      <w:pPr>
        <w:pStyle w:val="TOC3"/>
        <w:tabs>
          <w:tab w:val="right" w:leader="dot" w:pos="9016"/>
        </w:tabs>
        <w:rPr>
          <w:rFonts w:eastAsiaTheme="minorEastAsia"/>
          <w:noProof/>
          <w:kern w:val="2"/>
          <w:sz w:val="24"/>
          <w:szCs w:val="24"/>
          <w:lang w:eastAsia="en-AU"/>
          <w14:ligatures w14:val="standardContextual"/>
        </w:rPr>
      </w:pPr>
      <w:hyperlink w:anchor="_Toc194311425" w:history="1">
        <w:r w:rsidRPr="000839E2">
          <w:rPr>
            <w:rStyle w:val="Hyperlink"/>
            <w:noProof/>
          </w:rPr>
          <w:t>Chapter 18. Dealing with errors in enterprise agreements</w:t>
        </w:r>
        <w:r>
          <w:rPr>
            <w:noProof/>
            <w:webHidden/>
          </w:rPr>
          <w:tab/>
        </w:r>
        <w:r>
          <w:rPr>
            <w:noProof/>
            <w:webHidden/>
          </w:rPr>
          <w:fldChar w:fldCharType="begin"/>
        </w:r>
        <w:r>
          <w:rPr>
            <w:noProof/>
            <w:webHidden/>
          </w:rPr>
          <w:instrText xml:space="preserve"> PAGEREF _Toc194311425 \h </w:instrText>
        </w:r>
        <w:r>
          <w:rPr>
            <w:noProof/>
            <w:webHidden/>
          </w:rPr>
        </w:r>
        <w:r>
          <w:rPr>
            <w:noProof/>
            <w:webHidden/>
          </w:rPr>
          <w:fldChar w:fldCharType="separate"/>
        </w:r>
        <w:r w:rsidR="009B6102">
          <w:rPr>
            <w:noProof/>
            <w:webHidden/>
          </w:rPr>
          <w:t>175</w:t>
        </w:r>
        <w:r>
          <w:rPr>
            <w:noProof/>
            <w:webHidden/>
          </w:rPr>
          <w:fldChar w:fldCharType="end"/>
        </w:r>
      </w:hyperlink>
    </w:p>
    <w:p w14:paraId="44A6204C" w14:textId="58D24548" w:rsidR="00C53E99" w:rsidRDefault="00C53E99">
      <w:pPr>
        <w:pStyle w:val="TOC3"/>
        <w:tabs>
          <w:tab w:val="right" w:leader="dot" w:pos="9016"/>
        </w:tabs>
        <w:rPr>
          <w:rFonts w:eastAsiaTheme="minorEastAsia"/>
          <w:noProof/>
          <w:kern w:val="2"/>
          <w:sz w:val="24"/>
          <w:szCs w:val="24"/>
          <w:lang w:eastAsia="en-AU"/>
          <w14:ligatures w14:val="standardContextual"/>
        </w:rPr>
      </w:pPr>
      <w:hyperlink w:anchor="_Toc194311426" w:history="1">
        <w:r w:rsidRPr="000839E2">
          <w:rPr>
            <w:rStyle w:val="Hyperlink"/>
            <w:noProof/>
          </w:rPr>
          <w:t>Chapter 19. Varying enterprise agreements to remove employers and their employees</w:t>
        </w:r>
        <w:r>
          <w:rPr>
            <w:noProof/>
            <w:webHidden/>
          </w:rPr>
          <w:tab/>
        </w:r>
        <w:r>
          <w:rPr>
            <w:noProof/>
            <w:webHidden/>
          </w:rPr>
          <w:fldChar w:fldCharType="begin"/>
        </w:r>
        <w:r>
          <w:rPr>
            <w:noProof/>
            <w:webHidden/>
          </w:rPr>
          <w:instrText xml:space="preserve"> PAGEREF _Toc194311426 \h </w:instrText>
        </w:r>
        <w:r>
          <w:rPr>
            <w:noProof/>
            <w:webHidden/>
          </w:rPr>
        </w:r>
        <w:r>
          <w:rPr>
            <w:noProof/>
            <w:webHidden/>
          </w:rPr>
          <w:fldChar w:fldCharType="separate"/>
        </w:r>
        <w:r w:rsidR="009B6102">
          <w:rPr>
            <w:noProof/>
            <w:webHidden/>
          </w:rPr>
          <w:t>179</w:t>
        </w:r>
        <w:r>
          <w:rPr>
            <w:noProof/>
            <w:webHidden/>
          </w:rPr>
          <w:fldChar w:fldCharType="end"/>
        </w:r>
      </w:hyperlink>
    </w:p>
    <w:p w14:paraId="3431D85B" w14:textId="68F63877" w:rsidR="00C53E99" w:rsidRDefault="00C53E99">
      <w:pPr>
        <w:pStyle w:val="TOC3"/>
        <w:tabs>
          <w:tab w:val="right" w:leader="dot" w:pos="9016"/>
        </w:tabs>
        <w:rPr>
          <w:rFonts w:eastAsiaTheme="minorEastAsia"/>
          <w:noProof/>
          <w:kern w:val="2"/>
          <w:sz w:val="24"/>
          <w:szCs w:val="24"/>
          <w:lang w:eastAsia="en-AU"/>
          <w14:ligatures w14:val="standardContextual"/>
        </w:rPr>
      </w:pPr>
      <w:hyperlink w:anchor="_Toc194311427" w:history="1">
        <w:r w:rsidRPr="000839E2">
          <w:rPr>
            <w:rStyle w:val="Hyperlink"/>
            <w:noProof/>
          </w:rPr>
          <w:t>Chapter 20. Termination of agreements</w:t>
        </w:r>
        <w:r>
          <w:rPr>
            <w:noProof/>
            <w:webHidden/>
          </w:rPr>
          <w:tab/>
        </w:r>
        <w:r>
          <w:rPr>
            <w:noProof/>
            <w:webHidden/>
          </w:rPr>
          <w:fldChar w:fldCharType="begin"/>
        </w:r>
        <w:r>
          <w:rPr>
            <w:noProof/>
            <w:webHidden/>
          </w:rPr>
          <w:instrText xml:space="preserve"> PAGEREF _Toc194311427 \h </w:instrText>
        </w:r>
        <w:r>
          <w:rPr>
            <w:noProof/>
            <w:webHidden/>
          </w:rPr>
        </w:r>
        <w:r>
          <w:rPr>
            <w:noProof/>
            <w:webHidden/>
          </w:rPr>
          <w:fldChar w:fldCharType="separate"/>
        </w:r>
        <w:r w:rsidR="009B6102">
          <w:rPr>
            <w:noProof/>
            <w:webHidden/>
          </w:rPr>
          <w:t>182</w:t>
        </w:r>
        <w:r>
          <w:rPr>
            <w:noProof/>
            <w:webHidden/>
          </w:rPr>
          <w:fldChar w:fldCharType="end"/>
        </w:r>
      </w:hyperlink>
    </w:p>
    <w:p w14:paraId="7745DF3E" w14:textId="7C578984" w:rsidR="00C53E99" w:rsidRDefault="00C53E99">
      <w:pPr>
        <w:pStyle w:val="TOC3"/>
        <w:tabs>
          <w:tab w:val="right" w:leader="dot" w:pos="9016"/>
        </w:tabs>
        <w:rPr>
          <w:rFonts w:eastAsiaTheme="minorEastAsia"/>
          <w:noProof/>
          <w:kern w:val="2"/>
          <w:sz w:val="24"/>
          <w:szCs w:val="24"/>
          <w:lang w:eastAsia="en-AU"/>
          <w14:ligatures w14:val="standardContextual"/>
        </w:rPr>
      </w:pPr>
      <w:hyperlink w:anchor="_Toc194311428" w:history="1">
        <w:r w:rsidRPr="000839E2">
          <w:rPr>
            <w:rStyle w:val="Hyperlink"/>
            <w:noProof/>
          </w:rPr>
          <w:t>Chapter 21. Sunsetting of ‘zombie’ agreements</w:t>
        </w:r>
        <w:r>
          <w:rPr>
            <w:noProof/>
            <w:webHidden/>
          </w:rPr>
          <w:tab/>
        </w:r>
        <w:r>
          <w:rPr>
            <w:noProof/>
            <w:webHidden/>
          </w:rPr>
          <w:fldChar w:fldCharType="begin"/>
        </w:r>
        <w:r>
          <w:rPr>
            <w:noProof/>
            <w:webHidden/>
          </w:rPr>
          <w:instrText xml:space="preserve"> PAGEREF _Toc194311428 \h </w:instrText>
        </w:r>
        <w:r>
          <w:rPr>
            <w:noProof/>
            <w:webHidden/>
          </w:rPr>
        </w:r>
        <w:r>
          <w:rPr>
            <w:noProof/>
            <w:webHidden/>
          </w:rPr>
          <w:fldChar w:fldCharType="separate"/>
        </w:r>
        <w:r w:rsidR="009B6102">
          <w:rPr>
            <w:noProof/>
            <w:webHidden/>
          </w:rPr>
          <w:t>189</w:t>
        </w:r>
        <w:r>
          <w:rPr>
            <w:noProof/>
            <w:webHidden/>
          </w:rPr>
          <w:fldChar w:fldCharType="end"/>
        </w:r>
      </w:hyperlink>
    </w:p>
    <w:p w14:paraId="4E92329A" w14:textId="4D0C37F3" w:rsidR="00C53E99" w:rsidRDefault="00C53E99" w:rsidP="00A14E38">
      <w:pPr>
        <w:pStyle w:val="TOC2"/>
        <w:rPr>
          <w:rFonts w:eastAsiaTheme="minorEastAsia"/>
          <w:noProof/>
          <w:kern w:val="2"/>
          <w:sz w:val="24"/>
          <w:szCs w:val="24"/>
          <w:lang w:eastAsia="en-AU"/>
          <w14:ligatures w14:val="standardContextual"/>
        </w:rPr>
      </w:pPr>
      <w:hyperlink w:anchor="_Toc194311429" w:history="1">
        <w:r w:rsidRPr="000839E2">
          <w:rPr>
            <w:rStyle w:val="Hyperlink"/>
            <w:noProof/>
          </w:rPr>
          <w:t>Part 3. Job security and gender equality</w:t>
        </w:r>
        <w:r>
          <w:rPr>
            <w:noProof/>
            <w:webHidden/>
          </w:rPr>
          <w:tab/>
        </w:r>
        <w:r>
          <w:rPr>
            <w:noProof/>
            <w:webHidden/>
          </w:rPr>
          <w:fldChar w:fldCharType="begin"/>
        </w:r>
        <w:r>
          <w:rPr>
            <w:noProof/>
            <w:webHidden/>
          </w:rPr>
          <w:instrText xml:space="preserve"> PAGEREF _Toc194311429 \h </w:instrText>
        </w:r>
        <w:r>
          <w:rPr>
            <w:noProof/>
            <w:webHidden/>
          </w:rPr>
        </w:r>
        <w:r>
          <w:rPr>
            <w:noProof/>
            <w:webHidden/>
          </w:rPr>
          <w:fldChar w:fldCharType="separate"/>
        </w:r>
        <w:r w:rsidR="009B6102">
          <w:rPr>
            <w:noProof/>
            <w:webHidden/>
          </w:rPr>
          <w:t>196</w:t>
        </w:r>
        <w:r>
          <w:rPr>
            <w:noProof/>
            <w:webHidden/>
          </w:rPr>
          <w:fldChar w:fldCharType="end"/>
        </w:r>
      </w:hyperlink>
    </w:p>
    <w:p w14:paraId="59AC1922" w14:textId="56F6A271" w:rsidR="00C53E99" w:rsidRDefault="00C53E99">
      <w:pPr>
        <w:pStyle w:val="TOC3"/>
        <w:tabs>
          <w:tab w:val="right" w:leader="dot" w:pos="9016"/>
        </w:tabs>
        <w:rPr>
          <w:rFonts w:eastAsiaTheme="minorEastAsia"/>
          <w:noProof/>
          <w:kern w:val="2"/>
          <w:sz w:val="24"/>
          <w:szCs w:val="24"/>
          <w:lang w:eastAsia="en-AU"/>
          <w14:ligatures w14:val="standardContextual"/>
        </w:rPr>
      </w:pPr>
      <w:hyperlink w:anchor="_Toc194311430" w:history="1">
        <w:r w:rsidRPr="000839E2">
          <w:rPr>
            <w:rStyle w:val="Hyperlink"/>
            <w:noProof/>
          </w:rPr>
          <w:t>Chapter 22. Introduction to job security and gender equality</w:t>
        </w:r>
        <w:r>
          <w:rPr>
            <w:noProof/>
            <w:webHidden/>
          </w:rPr>
          <w:tab/>
        </w:r>
        <w:r>
          <w:rPr>
            <w:noProof/>
            <w:webHidden/>
          </w:rPr>
          <w:fldChar w:fldCharType="begin"/>
        </w:r>
        <w:r>
          <w:rPr>
            <w:noProof/>
            <w:webHidden/>
          </w:rPr>
          <w:instrText xml:space="preserve"> PAGEREF _Toc194311430 \h </w:instrText>
        </w:r>
        <w:r>
          <w:rPr>
            <w:noProof/>
            <w:webHidden/>
          </w:rPr>
        </w:r>
        <w:r>
          <w:rPr>
            <w:noProof/>
            <w:webHidden/>
          </w:rPr>
          <w:fldChar w:fldCharType="separate"/>
        </w:r>
        <w:r w:rsidR="009B6102">
          <w:rPr>
            <w:noProof/>
            <w:webHidden/>
          </w:rPr>
          <w:t>197</w:t>
        </w:r>
        <w:r>
          <w:rPr>
            <w:noProof/>
            <w:webHidden/>
          </w:rPr>
          <w:fldChar w:fldCharType="end"/>
        </w:r>
      </w:hyperlink>
    </w:p>
    <w:p w14:paraId="3A4D095D" w14:textId="1DE6DFDF" w:rsidR="00C53E99" w:rsidRDefault="00C53E99">
      <w:pPr>
        <w:pStyle w:val="TOC3"/>
        <w:tabs>
          <w:tab w:val="right" w:leader="dot" w:pos="9016"/>
        </w:tabs>
        <w:rPr>
          <w:rFonts w:eastAsiaTheme="minorEastAsia"/>
          <w:noProof/>
          <w:kern w:val="2"/>
          <w:sz w:val="24"/>
          <w:szCs w:val="24"/>
          <w:lang w:eastAsia="en-AU"/>
          <w14:ligatures w14:val="standardContextual"/>
        </w:rPr>
      </w:pPr>
      <w:hyperlink w:anchor="_Toc194311431" w:history="1">
        <w:r w:rsidRPr="000839E2">
          <w:rPr>
            <w:rStyle w:val="Hyperlink"/>
            <w:noProof/>
          </w:rPr>
          <w:t>Chapter 23. Paid family and domestic violence leave</w:t>
        </w:r>
        <w:r>
          <w:rPr>
            <w:noProof/>
            <w:webHidden/>
          </w:rPr>
          <w:tab/>
        </w:r>
        <w:r>
          <w:rPr>
            <w:noProof/>
            <w:webHidden/>
          </w:rPr>
          <w:fldChar w:fldCharType="begin"/>
        </w:r>
        <w:r>
          <w:rPr>
            <w:noProof/>
            <w:webHidden/>
          </w:rPr>
          <w:instrText xml:space="preserve"> PAGEREF _Toc194311431 \h </w:instrText>
        </w:r>
        <w:r>
          <w:rPr>
            <w:noProof/>
            <w:webHidden/>
          </w:rPr>
        </w:r>
        <w:r>
          <w:rPr>
            <w:noProof/>
            <w:webHidden/>
          </w:rPr>
          <w:fldChar w:fldCharType="separate"/>
        </w:r>
        <w:r w:rsidR="009B6102">
          <w:rPr>
            <w:noProof/>
            <w:webHidden/>
          </w:rPr>
          <w:t>213</w:t>
        </w:r>
        <w:r>
          <w:rPr>
            <w:noProof/>
            <w:webHidden/>
          </w:rPr>
          <w:fldChar w:fldCharType="end"/>
        </w:r>
      </w:hyperlink>
    </w:p>
    <w:p w14:paraId="386D10B9" w14:textId="22535D8A" w:rsidR="00C53E99" w:rsidRDefault="00C53E99">
      <w:pPr>
        <w:pStyle w:val="TOC3"/>
        <w:tabs>
          <w:tab w:val="right" w:leader="dot" w:pos="9016"/>
        </w:tabs>
        <w:rPr>
          <w:rFonts w:eastAsiaTheme="minorEastAsia"/>
          <w:noProof/>
          <w:kern w:val="2"/>
          <w:sz w:val="24"/>
          <w:szCs w:val="24"/>
          <w:lang w:eastAsia="en-AU"/>
          <w14:ligatures w14:val="standardContextual"/>
        </w:rPr>
      </w:pPr>
      <w:hyperlink w:anchor="_Toc194311432" w:history="1">
        <w:r w:rsidRPr="000839E2">
          <w:rPr>
            <w:rStyle w:val="Hyperlink"/>
            <w:noProof/>
          </w:rPr>
          <w:t>Chapter 24. Objects of the Fair Work Act</w:t>
        </w:r>
        <w:r>
          <w:rPr>
            <w:noProof/>
            <w:webHidden/>
          </w:rPr>
          <w:tab/>
        </w:r>
        <w:r>
          <w:rPr>
            <w:noProof/>
            <w:webHidden/>
          </w:rPr>
          <w:fldChar w:fldCharType="begin"/>
        </w:r>
        <w:r>
          <w:rPr>
            <w:noProof/>
            <w:webHidden/>
          </w:rPr>
          <w:instrText xml:space="preserve"> PAGEREF _Toc194311432 \h </w:instrText>
        </w:r>
        <w:r>
          <w:rPr>
            <w:noProof/>
            <w:webHidden/>
          </w:rPr>
        </w:r>
        <w:r>
          <w:rPr>
            <w:noProof/>
            <w:webHidden/>
          </w:rPr>
          <w:fldChar w:fldCharType="separate"/>
        </w:r>
        <w:r w:rsidR="009B6102">
          <w:rPr>
            <w:noProof/>
            <w:webHidden/>
          </w:rPr>
          <w:t>216</w:t>
        </w:r>
        <w:r>
          <w:rPr>
            <w:noProof/>
            <w:webHidden/>
          </w:rPr>
          <w:fldChar w:fldCharType="end"/>
        </w:r>
      </w:hyperlink>
    </w:p>
    <w:p w14:paraId="4B275E2D" w14:textId="500BEEB6" w:rsidR="00C53E99" w:rsidRDefault="00C53E99">
      <w:pPr>
        <w:pStyle w:val="TOC3"/>
        <w:tabs>
          <w:tab w:val="right" w:leader="dot" w:pos="9016"/>
        </w:tabs>
        <w:rPr>
          <w:rFonts w:eastAsiaTheme="minorEastAsia"/>
          <w:noProof/>
          <w:kern w:val="2"/>
          <w:sz w:val="24"/>
          <w:szCs w:val="24"/>
          <w:lang w:eastAsia="en-AU"/>
          <w14:ligatures w14:val="standardContextual"/>
        </w:rPr>
      </w:pPr>
      <w:hyperlink w:anchor="_Toc194311433" w:history="1">
        <w:r w:rsidRPr="000839E2">
          <w:rPr>
            <w:rStyle w:val="Hyperlink"/>
            <w:noProof/>
          </w:rPr>
          <w:t>Chapter 25. Equal remuneration</w:t>
        </w:r>
        <w:r>
          <w:rPr>
            <w:noProof/>
            <w:webHidden/>
          </w:rPr>
          <w:tab/>
        </w:r>
        <w:r>
          <w:rPr>
            <w:noProof/>
            <w:webHidden/>
          </w:rPr>
          <w:fldChar w:fldCharType="begin"/>
        </w:r>
        <w:r>
          <w:rPr>
            <w:noProof/>
            <w:webHidden/>
          </w:rPr>
          <w:instrText xml:space="preserve"> PAGEREF _Toc194311433 \h </w:instrText>
        </w:r>
        <w:r>
          <w:rPr>
            <w:noProof/>
            <w:webHidden/>
          </w:rPr>
        </w:r>
        <w:r>
          <w:rPr>
            <w:noProof/>
            <w:webHidden/>
          </w:rPr>
          <w:fldChar w:fldCharType="separate"/>
        </w:r>
        <w:r w:rsidR="009B6102">
          <w:rPr>
            <w:noProof/>
            <w:webHidden/>
          </w:rPr>
          <w:t>222</w:t>
        </w:r>
        <w:r>
          <w:rPr>
            <w:noProof/>
            <w:webHidden/>
          </w:rPr>
          <w:fldChar w:fldCharType="end"/>
        </w:r>
      </w:hyperlink>
    </w:p>
    <w:p w14:paraId="4054BD70" w14:textId="25E5FB86" w:rsidR="00C53E99" w:rsidRDefault="00C53E99">
      <w:pPr>
        <w:pStyle w:val="TOC3"/>
        <w:tabs>
          <w:tab w:val="right" w:leader="dot" w:pos="9016"/>
        </w:tabs>
        <w:rPr>
          <w:rFonts w:eastAsiaTheme="minorEastAsia"/>
          <w:noProof/>
          <w:kern w:val="2"/>
          <w:sz w:val="24"/>
          <w:szCs w:val="24"/>
          <w:lang w:eastAsia="en-AU"/>
          <w14:ligatures w14:val="standardContextual"/>
        </w:rPr>
      </w:pPr>
      <w:hyperlink w:anchor="_Toc194311434" w:history="1">
        <w:r w:rsidRPr="000839E2">
          <w:rPr>
            <w:rStyle w:val="Hyperlink"/>
            <w:noProof/>
          </w:rPr>
          <w:t>Chapter 26. Expert panels</w:t>
        </w:r>
        <w:r>
          <w:rPr>
            <w:noProof/>
            <w:webHidden/>
          </w:rPr>
          <w:tab/>
        </w:r>
        <w:r>
          <w:rPr>
            <w:noProof/>
            <w:webHidden/>
          </w:rPr>
          <w:fldChar w:fldCharType="begin"/>
        </w:r>
        <w:r>
          <w:rPr>
            <w:noProof/>
            <w:webHidden/>
          </w:rPr>
          <w:instrText xml:space="preserve"> PAGEREF _Toc194311434 \h </w:instrText>
        </w:r>
        <w:r>
          <w:rPr>
            <w:noProof/>
            <w:webHidden/>
          </w:rPr>
        </w:r>
        <w:r>
          <w:rPr>
            <w:noProof/>
            <w:webHidden/>
          </w:rPr>
          <w:fldChar w:fldCharType="separate"/>
        </w:r>
        <w:r w:rsidR="009B6102">
          <w:rPr>
            <w:noProof/>
            <w:webHidden/>
          </w:rPr>
          <w:t>231</w:t>
        </w:r>
        <w:r>
          <w:rPr>
            <w:noProof/>
            <w:webHidden/>
          </w:rPr>
          <w:fldChar w:fldCharType="end"/>
        </w:r>
      </w:hyperlink>
    </w:p>
    <w:p w14:paraId="0DF44A68" w14:textId="29385568" w:rsidR="00C53E99" w:rsidRDefault="00C53E99">
      <w:pPr>
        <w:pStyle w:val="TOC3"/>
        <w:tabs>
          <w:tab w:val="right" w:leader="dot" w:pos="9016"/>
        </w:tabs>
        <w:rPr>
          <w:rFonts w:eastAsiaTheme="minorEastAsia"/>
          <w:noProof/>
          <w:kern w:val="2"/>
          <w:sz w:val="24"/>
          <w:szCs w:val="24"/>
          <w:lang w:eastAsia="en-AU"/>
          <w14:ligatures w14:val="standardContextual"/>
        </w:rPr>
      </w:pPr>
      <w:hyperlink w:anchor="_Toc194311435" w:history="1">
        <w:r w:rsidRPr="000839E2">
          <w:rPr>
            <w:rStyle w:val="Hyperlink"/>
            <w:noProof/>
          </w:rPr>
          <w:t>Chapter 27. Prohibiting pay secrecy</w:t>
        </w:r>
        <w:r>
          <w:rPr>
            <w:noProof/>
            <w:webHidden/>
          </w:rPr>
          <w:tab/>
        </w:r>
        <w:r>
          <w:rPr>
            <w:noProof/>
            <w:webHidden/>
          </w:rPr>
          <w:fldChar w:fldCharType="begin"/>
        </w:r>
        <w:r>
          <w:rPr>
            <w:noProof/>
            <w:webHidden/>
          </w:rPr>
          <w:instrText xml:space="preserve"> PAGEREF _Toc194311435 \h </w:instrText>
        </w:r>
        <w:r>
          <w:rPr>
            <w:noProof/>
            <w:webHidden/>
          </w:rPr>
        </w:r>
        <w:r>
          <w:rPr>
            <w:noProof/>
            <w:webHidden/>
          </w:rPr>
          <w:fldChar w:fldCharType="separate"/>
        </w:r>
        <w:r w:rsidR="009B6102">
          <w:rPr>
            <w:noProof/>
            <w:webHidden/>
          </w:rPr>
          <w:t>237</w:t>
        </w:r>
        <w:r>
          <w:rPr>
            <w:noProof/>
            <w:webHidden/>
          </w:rPr>
          <w:fldChar w:fldCharType="end"/>
        </w:r>
      </w:hyperlink>
    </w:p>
    <w:p w14:paraId="6FD72DA7" w14:textId="07E9BABD" w:rsidR="00C53E99" w:rsidRDefault="00C53E99">
      <w:pPr>
        <w:pStyle w:val="TOC3"/>
        <w:tabs>
          <w:tab w:val="right" w:leader="dot" w:pos="9016"/>
        </w:tabs>
        <w:rPr>
          <w:rFonts w:eastAsiaTheme="minorEastAsia"/>
          <w:noProof/>
          <w:kern w:val="2"/>
          <w:sz w:val="24"/>
          <w:szCs w:val="24"/>
          <w:lang w:eastAsia="en-AU"/>
          <w14:ligatures w14:val="standardContextual"/>
        </w:rPr>
      </w:pPr>
      <w:hyperlink w:anchor="_Toc194311436" w:history="1">
        <w:r w:rsidRPr="000839E2">
          <w:rPr>
            <w:rStyle w:val="Hyperlink"/>
            <w:noProof/>
          </w:rPr>
          <w:t>Chapter 28. Prohibiting sexual harassment in connection with work</w:t>
        </w:r>
        <w:r>
          <w:rPr>
            <w:noProof/>
            <w:webHidden/>
          </w:rPr>
          <w:tab/>
        </w:r>
        <w:r>
          <w:rPr>
            <w:noProof/>
            <w:webHidden/>
          </w:rPr>
          <w:fldChar w:fldCharType="begin"/>
        </w:r>
        <w:r>
          <w:rPr>
            <w:noProof/>
            <w:webHidden/>
          </w:rPr>
          <w:instrText xml:space="preserve"> PAGEREF _Toc194311436 \h </w:instrText>
        </w:r>
        <w:r>
          <w:rPr>
            <w:noProof/>
            <w:webHidden/>
          </w:rPr>
        </w:r>
        <w:r>
          <w:rPr>
            <w:noProof/>
            <w:webHidden/>
          </w:rPr>
          <w:fldChar w:fldCharType="separate"/>
        </w:r>
        <w:r w:rsidR="009B6102">
          <w:rPr>
            <w:noProof/>
            <w:webHidden/>
          </w:rPr>
          <w:t>243</w:t>
        </w:r>
        <w:r>
          <w:rPr>
            <w:noProof/>
            <w:webHidden/>
          </w:rPr>
          <w:fldChar w:fldCharType="end"/>
        </w:r>
      </w:hyperlink>
    </w:p>
    <w:p w14:paraId="2CFF5083" w14:textId="1BE8BA6C" w:rsidR="00C53E99" w:rsidRDefault="00C53E99">
      <w:pPr>
        <w:pStyle w:val="TOC3"/>
        <w:tabs>
          <w:tab w:val="right" w:leader="dot" w:pos="9016"/>
        </w:tabs>
        <w:rPr>
          <w:rFonts w:eastAsiaTheme="minorEastAsia"/>
          <w:noProof/>
          <w:kern w:val="2"/>
          <w:sz w:val="24"/>
          <w:szCs w:val="24"/>
          <w:lang w:eastAsia="en-AU"/>
          <w14:ligatures w14:val="standardContextual"/>
        </w:rPr>
      </w:pPr>
      <w:hyperlink w:anchor="_Toc194311437" w:history="1">
        <w:r w:rsidRPr="000839E2">
          <w:rPr>
            <w:rStyle w:val="Hyperlink"/>
            <w:noProof/>
          </w:rPr>
          <w:t>Chapter 29. Anti-discrimination and special measures</w:t>
        </w:r>
        <w:r>
          <w:rPr>
            <w:noProof/>
            <w:webHidden/>
          </w:rPr>
          <w:tab/>
        </w:r>
        <w:r>
          <w:rPr>
            <w:noProof/>
            <w:webHidden/>
          </w:rPr>
          <w:fldChar w:fldCharType="begin"/>
        </w:r>
        <w:r>
          <w:rPr>
            <w:noProof/>
            <w:webHidden/>
          </w:rPr>
          <w:instrText xml:space="preserve"> PAGEREF _Toc194311437 \h </w:instrText>
        </w:r>
        <w:r>
          <w:rPr>
            <w:noProof/>
            <w:webHidden/>
          </w:rPr>
        </w:r>
        <w:r>
          <w:rPr>
            <w:noProof/>
            <w:webHidden/>
          </w:rPr>
          <w:fldChar w:fldCharType="separate"/>
        </w:r>
        <w:r w:rsidR="009B6102">
          <w:rPr>
            <w:noProof/>
            <w:webHidden/>
          </w:rPr>
          <w:t>251</w:t>
        </w:r>
        <w:r>
          <w:rPr>
            <w:noProof/>
            <w:webHidden/>
          </w:rPr>
          <w:fldChar w:fldCharType="end"/>
        </w:r>
      </w:hyperlink>
    </w:p>
    <w:p w14:paraId="59C07A58" w14:textId="4177622F" w:rsidR="00C53E99" w:rsidRDefault="00C53E99">
      <w:pPr>
        <w:pStyle w:val="TOC3"/>
        <w:tabs>
          <w:tab w:val="right" w:leader="dot" w:pos="9016"/>
        </w:tabs>
        <w:rPr>
          <w:rFonts w:eastAsiaTheme="minorEastAsia"/>
          <w:noProof/>
          <w:kern w:val="2"/>
          <w:sz w:val="24"/>
          <w:szCs w:val="24"/>
          <w:lang w:eastAsia="en-AU"/>
          <w14:ligatures w14:val="standardContextual"/>
        </w:rPr>
      </w:pPr>
      <w:hyperlink w:anchor="_Toc194311438" w:history="1">
        <w:r w:rsidRPr="000839E2">
          <w:rPr>
            <w:rStyle w:val="Hyperlink"/>
            <w:noProof/>
          </w:rPr>
          <w:t>Chapter 30. Fixed term contracts</w:t>
        </w:r>
        <w:r>
          <w:rPr>
            <w:noProof/>
            <w:webHidden/>
          </w:rPr>
          <w:tab/>
        </w:r>
        <w:r>
          <w:rPr>
            <w:noProof/>
            <w:webHidden/>
          </w:rPr>
          <w:fldChar w:fldCharType="begin"/>
        </w:r>
        <w:r>
          <w:rPr>
            <w:noProof/>
            <w:webHidden/>
          </w:rPr>
          <w:instrText xml:space="preserve"> PAGEREF _Toc194311438 \h </w:instrText>
        </w:r>
        <w:r>
          <w:rPr>
            <w:noProof/>
            <w:webHidden/>
          </w:rPr>
        </w:r>
        <w:r>
          <w:rPr>
            <w:noProof/>
            <w:webHidden/>
          </w:rPr>
          <w:fldChar w:fldCharType="separate"/>
        </w:r>
        <w:r w:rsidR="009B6102">
          <w:rPr>
            <w:noProof/>
            <w:webHidden/>
          </w:rPr>
          <w:t>256</w:t>
        </w:r>
        <w:r>
          <w:rPr>
            <w:noProof/>
            <w:webHidden/>
          </w:rPr>
          <w:fldChar w:fldCharType="end"/>
        </w:r>
      </w:hyperlink>
    </w:p>
    <w:p w14:paraId="48226A1E" w14:textId="0BB9BB4E" w:rsidR="00C53E99" w:rsidRDefault="00C53E99">
      <w:pPr>
        <w:pStyle w:val="TOC3"/>
        <w:tabs>
          <w:tab w:val="right" w:leader="dot" w:pos="9016"/>
        </w:tabs>
        <w:rPr>
          <w:rFonts w:eastAsiaTheme="minorEastAsia"/>
          <w:noProof/>
          <w:kern w:val="2"/>
          <w:sz w:val="24"/>
          <w:szCs w:val="24"/>
          <w:lang w:eastAsia="en-AU"/>
          <w14:ligatures w14:val="standardContextual"/>
        </w:rPr>
      </w:pPr>
      <w:hyperlink w:anchor="_Toc194311439" w:history="1">
        <w:r w:rsidRPr="000839E2">
          <w:rPr>
            <w:rStyle w:val="Hyperlink"/>
            <w:noProof/>
          </w:rPr>
          <w:t>Chapter 31. Flexible work</w:t>
        </w:r>
        <w:r>
          <w:rPr>
            <w:noProof/>
            <w:webHidden/>
          </w:rPr>
          <w:tab/>
        </w:r>
        <w:r>
          <w:rPr>
            <w:noProof/>
            <w:webHidden/>
          </w:rPr>
          <w:fldChar w:fldCharType="begin"/>
        </w:r>
        <w:r>
          <w:rPr>
            <w:noProof/>
            <w:webHidden/>
          </w:rPr>
          <w:instrText xml:space="preserve"> PAGEREF _Toc194311439 \h </w:instrText>
        </w:r>
        <w:r>
          <w:rPr>
            <w:noProof/>
            <w:webHidden/>
          </w:rPr>
        </w:r>
        <w:r>
          <w:rPr>
            <w:noProof/>
            <w:webHidden/>
          </w:rPr>
          <w:fldChar w:fldCharType="separate"/>
        </w:r>
        <w:r w:rsidR="009B6102">
          <w:rPr>
            <w:noProof/>
            <w:webHidden/>
          </w:rPr>
          <w:t>270</w:t>
        </w:r>
        <w:r>
          <w:rPr>
            <w:noProof/>
            <w:webHidden/>
          </w:rPr>
          <w:fldChar w:fldCharType="end"/>
        </w:r>
      </w:hyperlink>
    </w:p>
    <w:p w14:paraId="6B4DED2B" w14:textId="6D3D68F8" w:rsidR="00C53E99" w:rsidRDefault="00C53E99">
      <w:pPr>
        <w:pStyle w:val="TOC3"/>
        <w:tabs>
          <w:tab w:val="right" w:leader="dot" w:pos="9016"/>
        </w:tabs>
        <w:rPr>
          <w:rFonts w:eastAsiaTheme="minorEastAsia"/>
          <w:noProof/>
          <w:kern w:val="2"/>
          <w:sz w:val="24"/>
          <w:szCs w:val="24"/>
          <w:lang w:eastAsia="en-AU"/>
          <w14:ligatures w14:val="standardContextual"/>
        </w:rPr>
      </w:pPr>
      <w:hyperlink w:anchor="_Toc194311440" w:history="1">
        <w:r w:rsidRPr="000839E2">
          <w:rPr>
            <w:rStyle w:val="Hyperlink"/>
            <w:noProof/>
          </w:rPr>
          <w:t>Chapter 32. Unpaid parental leave</w:t>
        </w:r>
        <w:r>
          <w:rPr>
            <w:noProof/>
            <w:webHidden/>
          </w:rPr>
          <w:tab/>
        </w:r>
        <w:r>
          <w:rPr>
            <w:noProof/>
            <w:webHidden/>
          </w:rPr>
          <w:fldChar w:fldCharType="begin"/>
        </w:r>
        <w:r>
          <w:rPr>
            <w:noProof/>
            <w:webHidden/>
          </w:rPr>
          <w:instrText xml:space="preserve"> PAGEREF _Toc194311440 \h </w:instrText>
        </w:r>
        <w:r>
          <w:rPr>
            <w:noProof/>
            <w:webHidden/>
          </w:rPr>
        </w:r>
        <w:r>
          <w:rPr>
            <w:noProof/>
            <w:webHidden/>
          </w:rPr>
          <w:fldChar w:fldCharType="separate"/>
        </w:r>
        <w:r w:rsidR="009B6102">
          <w:rPr>
            <w:noProof/>
            <w:webHidden/>
          </w:rPr>
          <w:t>277</w:t>
        </w:r>
        <w:r>
          <w:rPr>
            <w:noProof/>
            <w:webHidden/>
          </w:rPr>
          <w:fldChar w:fldCharType="end"/>
        </w:r>
      </w:hyperlink>
    </w:p>
    <w:p w14:paraId="27907685" w14:textId="20B1A930" w:rsidR="00C53E99" w:rsidRDefault="00C53E99" w:rsidP="00A14E38">
      <w:pPr>
        <w:pStyle w:val="TOC2"/>
        <w:rPr>
          <w:rFonts w:eastAsiaTheme="minorEastAsia"/>
          <w:noProof/>
          <w:kern w:val="2"/>
          <w:sz w:val="24"/>
          <w:szCs w:val="24"/>
          <w:lang w:eastAsia="en-AU"/>
          <w14:ligatures w14:val="standardContextual"/>
        </w:rPr>
      </w:pPr>
      <w:hyperlink w:anchor="_Toc194311441" w:history="1">
        <w:r w:rsidRPr="000839E2">
          <w:rPr>
            <w:rStyle w:val="Hyperlink"/>
            <w:noProof/>
          </w:rPr>
          <w:t>Part 4. Miscellaneous</w:t>
        </w:r>
        <w:r>
          <w:rPr>
            <w:noProof/>
            <w:webHidden/>
          </w:rPr>
          <w:tab/>
        </w:r>
        <w:r>
          <w:rPr>
            <w:noProof/>
            <w:webHidden/>
          </w:rPr>
          <w:fldChar w:fldCharType="begin"/>
        </w:r>
        <w:r>
          <w:rPr>
            <w:noProof/>
            <w:webHidden/>
          </w:rPr>
          <w:instrText xml:space="preserve"> PAGEREF _Toc194311441 \h </w:instrText>
        </w:r>
        <w:r>
          <w:rPr>
            <w:noProof/>
            <w:webHidden/>
          </w:rPr>
        </w:r>
        <w:r>
          <w:rPr>
            <w:noProof/>
            <w:webHidden/>
          </w:rPr>
          <w:fldChar w:fldCharType="separate"/>
        </w:r>
        <w:r w:rsidR="009B6102">
          <w:rPr>
            <w:noProof/>
            <w:webHidden/>
          </w:rPr>
          <w:t>280</w:t>
        </w:r>
        <w:r>
          <w:rPr>
            <w:noProof/>
            <w:webHidden/>
          </w:rPr>
          <w:fldChar w:fldCharType="end"/>
        </w:r>
      </w:hyperlink>
    </w:p>
    <w:p w14:paraId="6C1F955E" w14:textId="536FF190" w:rsidR="00C53E99" w:rsidRDefault="00C53E99">
      <w:pPr>
        <w:pStyle w:val="TOC3"/>
        <w:tabs>
          <w:tab w:val="right" w:leader="dot" w:pos="9016"/>
        </w:tabs>
        <w:rPr>
          <w:rFonts w:eastAsiaTheme="minorEastAsia"/>
          <w:noProof/>
          <w:kern w:val="2"/>
          <w:sz w:val="24"/>
          <w:szCs w:val="24"/>
          <w:lang w:eastAsia="en-AU"/>
          <w14:ligatures w14:val="standardContextual"/>
        </w:rPr>
      </w:pPr>
      <w:hyperlink w:anchor="_Toc194311442" w:history="1">
        <w:r w:rsidRPr="000839E2">
          <w:rPr>
            <w:rStyle w:val="Hyperlink"/>
            <w:noProof/>
          </w:rPr>
          <w:t>Chapter 33. Enhancing small claims process</w:t>
        </w:r>
        <w:r>
          <w:rPr>
            <w:noProof/>
            <w:webHidden/>
          </w:rPr>
          <w:tab/>
        </w:r>
        <w:r>
          <w:rPr>
            <w:noProof/>
            <w:webHidden/>
          </w:rPr>
          <w:fldChar w:fldCharType="begin"/>
        </w:r>
        <w:r>
          <w:rPr>
            <w:noProof/>
            <w:webHidden/>
          </w:rPr>
          <w:instrText xml:space="preserve"> PAGEREF _Toc194311442 \h </w:instrText>
        </w:r>
        <w:r>
          <w:rPr>
            <w:noProof/>
            <w:webHidden/>
          </w:rPr>
        </w:r>
        <w:r>
          <w:rPr>
            <w:noProof/>
            <w:webHidden/>
          </w:rPr>
          <w:fldChar w:fldCharType="separate"/>
        </w:r>
        <w:r w:rsidR="009B6102">
          <w:rPr>
            <w:noProof/>
            <w:webHidden/>
          </w:rPr>
          <w:t>281</w:t>
        </w:r>
        <w:r>
          <w:rPr>
            <w:noProof/>
            <w:webHidden/>
          </w:rPr>
          <w:fldChar w:fldCharType="end"/>
        </w:r>
      </w:hyperlink>
    </w:p>
    <w:p w14:paraId="12B23B2D" w14:textId="0D490FD9" w:rsidR="00C53E99" w:rsidRDefault="00C53E99">
      <w:pPr>
        <w:pStyle w:val="TOC3"/>
        <w:tabs>
          <w:tab w:val="right" w:leader="dot" w:pos="9016"/>
        </w:tabs>
        <w:rPr>
          <w:rFonts w:eastAsiaTheme="minorEastAsia"/>
          <w:noProof/>
          <w:kern w:val="2"/>
          <w:sz w:val="24"/>
          <w:szCs w:val="24"/>
          <w:lang w:eastAsia="en-AU"/>
          <w14:ligatures w14:val="standardContextual"/>
        </w:rPr>
      </w:pPr>
      <w:hyperlink w:anchor="_Toc194311443" w:history="1">
        <w:r w:rsidRPr="000839E2">
          <w:rPr>
            <w:rStyle w:val="Hyperlink"/>
            <w:noProof/>
          </w:rPr>
          <w:t>Chapter 34. Prohibiting employer advertisements with pay rates that would contravene the Act</w:t>
        </w:r>
        <w:r>
          <w:rPr>
            <w:noProof/>
            <w:webHidden/>
          </w:rPr>
          <w:tab/>
        </w:r>
        <w:r>
          <w:rPr>
            <w:noProof/>
            <w:webHidden/>
          </w:rPr>
          <w:fldChar w:fldCharType="begin"/>
        </w:r>
        <w:r>
          <w:rPr>
            <w:noProof/>
            <w:webHidden/>
          </w:rPr>
          <w:instrText xml:space="preserve"> PAGEREF _Toc194311443 \h </w:instrText>
        </w:r>
        <w:r>
          <w:rPr>
            <w:noProof/>
            <w:webHidden/>
          </w:rPr>
        </w:r>
        <w:r>
          <w:rPr>
            <w:noProof/>
            <w:webHidden/>
          </w:rPr>
          <w:fldChar w:fldCharType="separate"/>
        </w:r>
        <w:r w:rsidR="009B6102">
          <w:rPr>
            <w:noProof/>
            <w:webHidden/>
          </w:rPr>
          <w:t>292</w:t>
        </w:r>
        <w:r>
          <w:rPr>
            <w:noProof/>
            <w:webHidden/>
          </w:rPr>
          <w:fldChar w:fldCharType="end"/>
        </w:r>
      </w:hyperlink>
    </w:p>
    <w:p w14:paraId="5A94E2EC" w14:textId="3FE6EBA4" w:rsidR="00C53E99" w:rsidRDefault="00C53E99">
      <w:pPr>
        <w:pStyle w:val="TOC3"/>
        <w:tabs>
          <w:tab w:val="right" w:leader="dot" w:pos="9016"/>
        </w:tabs>
        <w:rPr>
          <w:rFonts w:eastAsiaTheme="minorEastAsia"/>
          <w:noProof/>
          <w:kern w:val="2"/>
          <w:sz w:val="24"/>
          <w:szCs w:val="24"/>
          <w:lang w:eastAsia="en-AU"/>
          <w14:ligatures w14:val="standardContextual"/>
        </w:rPr>
      </w:pPr>
      <w:hyperlink w:anchor="_Toc194311444" w:history="1">
        <w:r w:rsidRPr="000839E2">
          <w:rPr>
            <w:rStyle w:val="Hyperlink"/>
            <w:noProof/>
          </w:rPr>
          <w:t>Chapter 35. Having regard to certain additional matters</w:t>
        </w:r>
        <w:r>
          <w:rPr>
            <w:noProof/>
            <w:webHidden/>
          </w:rPr>
          <w:tab/>
        </w:r>
        <w:r>
          <w:rPr>
            <w:noProof/>
            <w:webHidden/>
          </w:rPr>
          <w:fldChar w:fldCharType="begin"/>
        </w:r>
        <w:r>
          <w:rPr>
            <w:noProof/>
            <w:webHidden/>
          </w:rPr>
          <w:instrText xml:space="preserve"> PAGEREF _Toc194311444 \h </w:instrText>
        </w:r>
        <w:r>
          <w:rPr>
            <w:noProof/>
            <w:webHidden/>
          </w:rPr>
        </w:r>
        <w:r>
          <w:rPr>
            <w:noProof/>
            <w:webHidden/>
          </w:rPr>
          <w:fldChar w:fldCharType="separate"/>
        </w:r>
        <w:r w:rsidR="009B6102">
          <w:rPr>
            <w:noProof/>
            <w:webHidden/>
          </w:rPr>
          <w:t>297</w:t>
        </w:r>
        <w:r>
          <w:rPr>
            <w:noProof/>
            <w:webHidden/>
          </w:rPr>
          <w:fldChar w:fldCharType="end"/>
        </w:r>
      </w:hyperlink>
    </w:p>
    <w:p w14:paraId="1CD24CB5" w14:textId="0001F575" w:rsidR="00C53E99" w:rsidRDefault="00C53E99">
      <w:pPr>
        <w:pStyle w:val="TOC3"/>
        <w:tabs>
          <w:tab w:val="right" w:leader="dot" w:pos="9016"/>
        </w:tabs>
        <w:rPr>
          <w:rFonts w:eastAsiaTheme="minorEastAsia"/>
          <w:noProof/>
          <w:kern w:val="2"/>
          <w:sz w:val="24"/>
          <w:szCs w:val="24"/>
          <w:lang w:eastAsia="en-AU"/>
          <w14:ligatures w14:val="standardContextual"/>
        </w:rPr>
      </w:pPr>
      <w:hyperlink w:anchor="_Toc194311445" w:history="1">
        <w:r w:rsidRPr="000839E2">
          <w:rPr>
            <w:rStyle w:val="Hyperlink"/>
            <w:noProof/>
          </w:rPr>
          <w:t>Chapter 36. Amendment of the Safety, Rehabilitation and Compensation Act 1988</w:t>
        </w:r>
        <w:r>
          <w:rPr>
            <w:noProof/>
            <w:webHidden/>
          </w:rPr>
          <w:tab/>
        </w:r>
        <w:r>
          <w:rPr>
            <w:noProof/>
            <w:webHidden/>
          </w:rPr>
          <w:fldChar w:fldCharType="begin"/>
        </w:r>
        <w:r>
          <w:rPr>
            <w:noProof/>
            <w:webHidden/>
          </w:rPr>
          <w:instrText xml:space="preserve"> PAGEREF _Toc194311445 \h </w:instrText>
        </w:r>
        <w:r>
          <w:rPr>
            <w:noProof/>
            <w:webHidden/>
          </w:rPr>
        </w:r>
        <w:r>
          <w:rPr>
            <w:noProof/>
            <w:webHidden/>
          </w:rPr>
          <w:fldChar w:fldCharType="separate"/>
        </w:r>
        <w:r w:rsidR="009B6102">
          <w:rPr>
            <w:noProof/>
            <w:webHidden/>
          </w:rPr>
          <w:t>301</w:t>
        </w:r>
        <w:r>
          <w:rPr>
            <w:noProof/>
            <w:webHidden/>
          </w:rPr>
          <w:fldChar w:fldCharType="end"/>
        </w:r>
      </w:hyperlink>
    </w:p>
    <w:p w14:paraId="4AD56E7B" w14:textId="2E68F13B" w:rsidR="00C53E99" w:rsidRDefault="00C53E99">
      <w:pPr>
        <w:pStyle w:val="TOC3"/>
        <w:tabs>
          <w:tab w:val="right" w:leader="dot" w:pos="9016"/>
        </w:tabs>
        <w:rPr>
          <w:rFonts w:eastAsiaTheme="minorEastAsia"/>
          <w:noProof/>
          <w:kern w:val="2"/>
          <w:sz w:val="24"/>
          <w:szCs w:val="24"/>
          <w:lang w:eastAsia="en-AU"/>
          <w14:ligatures w14:val="standardContextual"/>
        </w:rPr>
      </w:pPr>
      <w:hyperlink w:anchor="_Toc194311446" w:history="1">
        <w:r w:rsidRPr="000839E2">
          <w:rPr>
            <w:rStyle w:val="Hyperlink"/>
            <w:noProof/>
          </w:rPr>
          <w:t xml:space="preserve">Chapter 37. Closing Loopholes Act: Right of entry </w:t>
        </w:r>
        <w:r w:rsidRPr="000839E2">
          <w:rPr>
            <w:rStyle w:val="Hyperlink"/>
            <w:rFonts w:ascii="Symbol" w:eastAsia="Symbol" w:hAnsi="Symbol" w:cs="Symbol"/>
            <w:noProof/>
          </w:rPr>
          <w:sym w:font="Symbol" w:char="F02D"/>
        </w:r>
        <w:r w:rsidRPr="000839E2">
          <w:rPr>
            <w:rStyle w:val="Hyperlink"/>
            <w:noProof/>
          </w:rPr>
          <w:t xml:space="preserve"> assisting health and safety representatives</w:t>
        </w:r>
        <w:r>
          <w:rPr>
            <w:noProof/>
            <w:webHidden/>
          </w:rPr>
          <w:tab/>
        </w:r>
        <w:r>
          <w:rPr>
            <w:noProof/>
            <w:webHidden/>
          </w:rPr>
          <w:fldChar w:fldCharType="begin"/>
        </w:r>
        <w:r>
          <w:rPr>
            <w:noProof/>
            <w:webHidden/>
          </w:rPr>
          <w:instrText xml:space="preserve"> PAGEREF _Toc194311446 \h </w:instrText>
        </w:r>
        <w:r>
          <w:rPr>
            <w:noProof/>
            <w:webHidden/>
          </w:rPr>
        </w:r>
        <w:r>
          <w:rPr>
            <w:noProof/>
            <w:webHidden/>
          </w:rPr>
          <w:fldChar w:fldCharType="separate"/>
        </w:r>
        <w:r w:rsidR="009B6102">
          <w:rPr>
            <w:noProof/>
            <w:webHidden/>
          </w:rPr>
          <w:t>303</w:t>
        </w:r>
        <w:r>
          <w:rPr>
            <w:noProof/>
            <w:webHidden/>
          </w:rPr>
          <w:fldChar w:fldCharType="end"/>
        </w:r>
      </w:hyperlink>
    </w:p>
    <w:p w14:paraId="78FC3D65" w14:textId="632F197F" w:rsidR="00C53E99" w:rsidRDefault="00C53E99" w:rsidP="00A14E38">
      <w:pPr>
        <w:pStyle w:val="TOC2"/>
        <w:rPr>
          <w:rFonts w:eastAsiaTheme="minorEastAsia"/>
          <w:noProof/>
          <w:kern w:val="2"/>
          <w:sz w:val="24"/>
          <w:szCs w:val="24"/>
          <w:lang w:eastAsia="en-AU"/>
          <w14:ligatures w14:val="standardContextual"/>
        </w:rPr>
      </w:pPr>
      <w:hyperlink w:anchor="_Toc194311447" w:history="1">
        <w:r w:rsidRPr="000839E2">
          <w:rPr>
            <w:rStyle w:val="Hyperlink"/>
            <w:noProof/>
          </w:rPr>
          <w:t>Bibliography</w:t>
        </w:r>
        <w:r>
          <w:rPr>
            <w:noProof/>
            <w:webHidden/>
          </w:rPr>
          <w:tab/>
        </w:r>
        <w:r>
          <w:rPr>
            <w:noProof/>
            <w:webHidden/>
          </w:rPr>
          <w:fldChar w:fldCharType="begin"/>
        </w:r>
        <w:r>
          <w:rPr>
            <w:noProof/>
            <w:webHidden/>
          </w:rPr>
          <w:instrText xml:space="preserve"> PAGEREF _Toc194311447 \h </w:instrText>
        </w:r>
        <w:r>
          <w:rPr>
            <w:noProof/>
            <w:webHidden/>
          </w:rPr>
        </w:r>
        <w:r>
          <w:rPr>
            <w:noProof/>
            <w:webHidden/>
          </w:rPr>
          <w:fldChar w:fldCharType="separate"/>
        </w:r>
        <w:r w:rsidR="009B6102">
          <w:rPr>
            <w:noProof/>
            <w:webHidden/>
          </w:rPr>
          <w:t>309</w:t>
        </w:r>
        <w:r>
          <w:rPr>
            <w:noProof/>
            <w:webHidden/>
          </w:rPr>
          <w:fldChar w:fldCharType="end"/>
        </w:r>
      </w:hyperlink>
    </w:p>
    <w:p w14:paraId="7FCC4E4A" w14:textId="014B7C14" w:rsidR="00C53E99" w:rsidRDefault="00C53E99" w:rsidP="00A14E38">
      <w:pPr>
        <w:pStyle w:val="TOC2"/>
        <w:rPr>
          <w:rFonts w:eastAsiaTheme="minorEastAsia"/>
          <w:noProof/>
          <w:kern w:val="2"/>
          <w:sz w:val="24"/>
          <w:szCs w:val="24"/>
          <w:lang w:eastAsia="en-AU"/>
          <w14:ligatures w14:val="standardContextual"/>
        </w:rPr>
      </w:pPr>
      <w:hyperlink w:anchor="_Toc194311448" w:history="1">
        <w:r w:rsidRPr="000839E2">
          <w:rPr>
            <w:rStyle w:val="Hyperlink"/>
            <w:noProof/>
          </w:rPr>
          <w:t>Appendix 1 – Labour market and wages</w:t>
        </w:r>
        <w:r>
          <w:rPr>
            <w:noProof/>
            <w:webHidden/>
          </w:rPr>
          <w:tab/>
        </w:r>
        <w:r>
          <w:rPr>
            <w:noProof/>
            <w:webHidden/>
          </w:rPr>
          <w:fldChar w:fldCharType="begin"/>
        </w:r>
        <w:r>
          <w:rPr>
            <w:noProof/>
            <w:webHidden/>
          </w:rPr>
          <w:instrText xml:space="preserve"> PAGEREF _Toc194311448 \h </w:instrText>
        </w:r>
        <w:r>
          <w:rPr>
            <w:noProof/>
            <w:webHidden/>
          </w:rPr>
        </w:r>
        <w:r>
          <w:rPr>
            <w:noProof/>
            <w:webHidden/>
          </w:rPr>
          <w:fldChar w:fldCharType="separate"/>
        </w:r>
        <w:r w:rsidR="009B6102">
          <w:rPr>
            <w:noProof/>
            <w:webHidden/>
          </w:rPr>
          <w:t>319</w:t>
        </w:r>
        <w:r>
          <w:rPr>
            <w:noProof/>
            <w:webHidden/>
          </w:rPr>
          <w:fldChar w:fldCharType="end"/>
        </w:r>
      </w:hyperlink>
    </w:p>
    <w:p w14:paraId="55750D8E" w14:textId="05AF20FF" w:rsidR="00C53E99" w:rsidRDefault="00C53E99" w:rsidP="00A14E38">
      <w:pPr>
        <w:pStyle w:val="TOC2"/>
        <w:rPr>
          <w:rFonts w:eastAsiaTheme="minorEastAsia"/>
          <w:noProof/>
          <w:kern w:val="2"/>
          <w:sz w:val="24"/>
          <w:szCs w:val="24"/>
          <w:lang w:eastAsia="en-AU"/>
          <w14:ligatures w14:val="standardContextual"/>
        </w:rPr>
      </w:pPr>
      <w:hyperlink w:anchor="_Toc194311452" w:history="1">
        <w:r w:rsidRPr="000839E2">
          <w:rPr>
            <w:rStyle w:val="Hyperlink"/>
            <w:noProof/>
          </w:rPr>
          <w:t>Appendix 2 – Federal Workplace Agreements Database</w:t>
        </w:r>
        <w:r>
          <w:rPr>
            <w:noProof/>
            <w:webHidden/>
          </w:rPr>
          <w:tab/>
        </w:r>
        <w:r>
          <w:rPr>
            <w:noProof/>
            <w:webHidden/>
          </w:rPr>
          <w:fldChar w:fldCharType="begin"/>
        </w:r>
        <w:r>
          <w:rPr>
            <w:noProof/>
            <w:webHidden/>
          </w:rPr>
          <w:instrText xml:space="preserve"> PAGEREF _Toc194311452 \h </w:instrText>
        </w:r>
        <w:r>
          <w:rPr>
            <w:noProof/>
            <w:webHidden/>
          </w:rPr>
        </w:r>
        <w:r>
          <w:rPr>
            <w:noProof/>
            <w:webHidden/>
          </w:rPr>
          <w:fldChar w:fldCharType="separate"/>
        </w:r>
        <w:r w:rsidR="009B6102">
          <w:rPr>
            <w:noProof/>
            <w:webHidden/>
          </w:rPr>
          <w:t>388</w:t>
        </w:r>
        <w:r>
          <w:rPr>
            <w:noProof/>
            <w:webHidden/>
          </w:rPr>
          <w:fldChar w:fldCharType="end"/>
        </w:r>
      </w:hyperlink>
    </w:p>
    <w:p w14:paraId="0695E897" w14:textId="2B66B7FA" w:rsidR="00C53E99" w:rsidRDefault="00C53E99" w:rsidP="00A14E38">
      <w:pPr>
        <w:pStyle w:val="TOC2"/>
        <w:rPr>
          <w:rFonts w:eastAsiaTheme="minorEastAsia"/>
          <w:noProof/>
          <w:kern w:val="2"/>
          <w:sz w:val="24"/>
          <w:szCs w:val="24"/>
          <w:lang w:eastAsia="en-AU"/>
          <w14:ligatures w14:val="standardContextual"/>
        </w:rPr>
      </w:pPr>
      <w:hyperlink w:anchor="_Toc194311453" w:history="1">
        <w:r w:rsidRPr="000839E2">
          <w:rPr>
            <w:rStyle w:val="Hyperlink"/>
            <w:noProof/>
          </w:rPr>
          <w:t>Appendix 3 – Fair Work Commission data</w:t>
        </w:r>
        <w:r>
          <w:rPr>
            <w:noProof/>
            <w:webHidden/>
          </w:rPr>
          <w:tab/>
        </w:r>
        <w:r>
          <w:rPr>
            <w:noProof/>
            <w:webHidden/>
          </w:rPr>
          <w:fldChar w:fldCharType="begin"/>
        </w:r>
        <w:r>
          <w:rPr>
            <w:noProof/>
            <w:webHidden/>
          </w:rPr>
          <w:instrText xml:space="preserve"> PAGEREF _Toc194311453 \h </w:instrText>
        </w:r>
        <w:r>
          <w:rPr>
            <w:noProof/>
            <w:webHidden/>
          </w:rPr>
        </w:r>
        <w:r>
          <w:rPr>
            <w:noProof/>
            <w:webHidden/>
          </w:rPr>
          <w:fldChar w:fldCharType="separate"/>
        </w:r>
        <w:r w:rsidR="009B6102">
          <w:rPr>
            <w:noProof/>
            <w:webHidden/>
          </w:rPr>
          <w:t>404</w:t>
        </w:r>
        <w:r>
          <w:rPr>
            <w:noProof/>
            <w:webHidden/>
          </w:rPr>
          <w:fldChar w:fldCharType="end"/>
        </w:r>
      </w:hyperlink>
    </w:p>
    <w:p w14:paraId="46E0CA28" w14:textId="64B213B6" w:rsidR="00C53E99" w:rsidRDefault="00C53E99" w:rsidP="00A14E38">
      <w:pPr>
        <w:pStyle w:val="TOC2"/>
        <w:rPr>
          <w:rFonts w:eastAsiaTheme="minorEastAsia"/>
          <w:noProof/>
          <w:kern w:val="2"/>
          <w:sz w:val="24"/>
          <w:szCs w:val="24"/>
          <w:lang w:eastAsia="en-AU"/>
          <w14:ligatures w14:val="standardContextual"/>
        </w:rPr>
      </w:pPr>
      <w:hyperlink w:anchor="_Toc194311459" w:history="1">
        <w:r w:rsidRPr="000839E2">
          <w:rPr>
            <w:rStyle w:val="Hyperlink"/>
            <w:noProof/>
          </w:rPr>
          <w:t>Appendix 4 – Productivity and the industrial relations system</w:t>
        </w:r>
        <w:r>
          <w:rPr>
            <w:noProof/>
            <w:webHidden/>
          </w:rPr>
          <w:tab/>
        </w:r>
        <w:r>
          <w:rPr>
            <w:noProof/>
            <w:webHidden/>
          </w:rPr>
          <w:fldChar w:fldCharType="begin"/>
        </w:r>
        <w:r>
          <w:rPr>
            <w:noProof/>
            <w:webHidden/>
          </w:rPr>
          <w:instrText xml:space="preserve"> PAGEREF _Toc194311459 \h </w:instrText>
        </w:r>
        <w:r>
          <w:rPr>
            <w:noProof/>
            <w:webHidden/>
          </w:rPr>
        </w:r>
        <w:r>
          <w:rPr>
            <w:noProof/>
            <w:webHidden/>
          </w:rPr>
          <w:fldChar w:fldCharType="separate"/>
        </w:r>
        <w:r w:rsidR="009B6102">
          <w:rPr>
            <w:noProof/>
            <w:webHidden/>
          </w:rPr>
          <w:t>414</w:t>
        </w:r>
        <w:r>
          <w:rPr>
            <w:noProof/>
            <w:webHidden/>
          </w:rPr>
          <w:fldChar w:fldCharType="end"/>
        </w:r>
      </w:hyperlink>
    </w:p>
    <w:p w14:paraId="05D642DA" w14:textId="27E2555E" w:rsidR="00C53E99" w:rsidRDefault="00C53E99" w:rsidP="00A14E38">
      <w:pPr>
        <w:pStyle w:val="TOC2"/>
        <w:rPr>
          <w:rFonts w:eastAsiaTheme="minorEastAsia"/>
          <w:noProof/>
          <w:kern w:val="2"/>
          <w:sz w:val="24"/>
          <w:szCs w:val="24"/>
          <w:lang w:eastAsia="en-AU"/>
          <w14:ligatures w14:val="standardContextual"/>
        </w:rPr>
      </w:pPr>
      <w:hyperlink w:anchor="_Toc194311466" w:history="1">
        <w:r w:rsidRPr="000839E2">
          <w:rPr>
            <w:rStyle w:val="Hyperlink"/>
            <w:noProof/>
          </w:rPr>
          <w:t>Appendix 5 – Additional tables</w:t>
        </w:r>
        <w:r>
          <w:rPr>
            <w:noProof/>
            <w:webHidden/>
          </w:rPr>
          <w:tab/>
        </w:r>
        <w:r>
          <w:rPr>
            <w:noProof/>
            <w:webHidden/>
          </w:rPr>
          <w:fldChar w:fldCharType="begin"/>
        </w:r>
        <w:r>
          <w:rPr>
            <w:noProof/>
            <w:webHidden/>
          </w:rPr>
          <w:instrText xml:space="preserve"> PAGEREF _Toc194311466 \h </w:instrText>
        </w:r>
        <w:r>
          <w:rPr>
            <w:noProof/>
            <w:webHidden/>
          </w:rPr>
        </w:r>
        <w:r>
          <w:rPr>
            <w:noProof/>
            <w:webHidden/>
          </w:rPr>
          <w:fldChar w:fldCharType="separate"/>
        </w:r>
        <w:r w:rsidR="009B6102">
          <w:rPr>
            <w:noProof/>
            <w:webHidden/>
          </w:rPr>
          <w:t>437</w:t>
        </w:r>
        <w:r>
          <w:rPr>
            <w:noProof/>
            <w:webHidden/>
          </w:rPr>
          <w:fldChar w:fldCharType="end"/>
        </w:r>
      </w:hyperlink>
    </w:p>
    <w:p w14:paraId="07CF4797" w14:textId="466CFCC8" w:rsidR="00C53E99" w:rsidRDefault="00C53E99" w:rsidP="00A14E38">
      <w:pPr>
        <w:pStyle w:val="TOC2"/>
        <w:rPr>
          <w:rFonts w:eastAsiaTheme="minorEastAsia"/>
          <w:noProof/>
          <w:kern w:val="2"/>
          <w:sz w:val="24"/>
          <w:szCs w:val="24"/>
          <w:lang w:eastAsia="en-AU"/>
          <w14:ligatures w14:val="standardContextual"/>
        </w:rPr>
      </w:pPr>
      <w:hyperlink w:anchor="_Toc194311467" w:history="1">
        <w:r w:rsidRPr="000839E2">
          <w:rPr>
            <w:rStyle w:val="Hyperlink"/>
            <w:noProof/>
          </w:rPr>
          <w:t>Appendix 6 – Acronyms and abbreviations</w:t>
        </w:r>
        <w:r>
          <w:rPr>
            <w:noProof/>
            <w:webHidden/>
          </w:rPr>
          <w:tab/>
        </w:r>
        <w:r>
          <w:rPr>
            <w:noProof/>
            <w:webHidden/>
          </w:rPr>
          <w:fldChar w:fldCharType="begin"/>
        </w:r>
        <w:r>
          <w:rPr>
            <w:noProof/>
            <w:webHidden/>
          </w:rPr>
          <w:instrText xml:space="preserve"> PAGEREF _Toc194311467 \h </w:instrText>
        </w:r>
        <w:r>
          <w:rPr>
            <w:noProof/>
            <w:webHidden/>
          </w:rPr>
        </w:r>
        <w:r>
          <w:rPr>
            <w:noProof/>
            <w:webHidden/>
          </w:rPr>
          <w:fldChar w:fldCharType="separate"/>
        </w:r>
        <w:r w:rsidR="009B6102">
          <w:rPr>
            <w:noProof/>
            <w:webHidden/>
          </w:rPr>
          <w:t>439</w:t>
        </w:r>
        <w:r>
          <w:rPr>
            <w:noProof/>
            <w:webHidden/>
          </w:rPr>
          <w:fldChar w:fldCharType="end"/>
        </w:r>
      </w:hyperlink>
    </w:p>
    <w:p w14:paraId="35FA2DA5" w14:textId="1C0D4D93" w:rsidR="00C53E99" w:rsidRDefault="00C53E99" w:rsidP="00A14E38">
      <w:pPr>
        <w:pStyle w:val="TOC2"/>
        <w:rPr>
          <w:rFonts w:eastAsiaTheme="minorEastAsia"/>
          <w:noProof/>
          <w:kern w:val="2"/>
          <w:sz w:val="24"/>
          <w:szCs w:val="24"/>
          <w:lang w:eastAsia="en-AU"/>
          <w14:ligatures w14:val="standardContextual"/>
        </w:rPr>
      </w:pPr>
      <w:hyperlink w:anchor="_Toc194311468" w:history="1">
        <w:r w:rsidRPr="000839E2">
          <w:rPr>
            <w:rStyle w:val="Hyperlink"/>
            <w:noProof/>
          </w:rPr>
          <w:t>Appendix 7 – Terms of Reference</w:t>
        </w:r>
        <w:r>
          <w:rPr>
            <w:noProof/>
            <w:webHidden/>
          </w:rPr>
          <w:tab/>
        </w:r>
        <w:r>
          <w:rPr>
            <w:noProof/>
            <w:webHidden/>
          </w:rPr>
          <w:fldChar w:fldCharType="begin"/>
        </w:r>
        <w:r>
          <w:rPr>
            <w:noProof/>
            <w:webHidden/>
          </w:rPr>
          <w:instrText xml:space="preserve"> PAGEREF _Toc194311468 \h </w:instrText>
        </w:r>
        <w:r>
          <w:rPr>
            <w:noProof/>
            <w:webHidden/>
          </w:rPr>
        </w:r>
        <w:r>
          <w:rPr>
            <w:noProof/>
            <w:webHidden/>
          </w:rPr>
          <w:fldChar w:fldCharType="separate"/>
        </w:r>
        <w:r w:rsidR="009B6102">
          <w:rPr>
            <w:noProof/>
            <w:webHidden/>
          </w:rPr>
          <w:t>443</w:t>
        </w:r>
        <w:r>
          <w:rPr>
            <w:noProof/>
            <w:webHidden/>
          </w:rPr>
          <w:fldChar w:fldCharType="end"/>
        </w:r>
      </w:hyperlink>
    </w:p>
    <w:p w14:paraId="304CE8BB" w14:textId="6E8978AB" w:rsidR="00C53E99" w:rsidRDefault="00C53E99" w:rsidP="00A14E38">
      <w:pPr>
        <w:pStyle w:val="TOC2"/>
        <w:rPr>
          <w:rFonts w:eastAsiaTheme="minorEastAsia"/>
          <w:noProof/>
          <w:kern w:val="2"/>
          <w:sz w:val="24"/>
          <w:szCs w:val="24"/>
          <w:lang w:eastAsia="en-AU"/>
          <w14:ligatures w14:val="standardContextual"/>
        </w:rPr>
      </w:pPr>
      <w:hyperlink w:anchor="_Toc194311470" w:history="1">
        <w:r w:rsidRPr="000839E2">
          <w:rPr>
            <w:rStyle w:val="Hyperlink"/>
            <w:noProof/>
          </w:rPr>
          <w:t>Appendix 8 – Stakeholder input</w:t>
        </w:r>
        <w:r>
          <w:rPr>
            <w:noProof/>
            <w:webHidden/>
          </w:rPr>
          <w:tab/>
        </w:r>
        <w:r>
          <w:rPr>
            <w:noProof/>
            <w:webHidden/>
          </w:rPr>
          <w:fldChar w:fldCharType="begin"/>
        </w:r>
        <w:r>
          <w:rPr>
            <w:noProof/>
            <w:webHidden/>
          </w:rPr>
          <w:instrText xml:space="preserve"> PAGEREF _Toc194311470 \h </w:instrText>
        </w:r>
        <w:r>
          <w:rPr>
            <w:noProof/>
            <w:webHidden/>
          </w:rPr>
        </w:r>
        <w:r>
          <w:rPr>
            <w:noProof/>
            <w:webHidden/>
          </w:rPr>
          <w:fldChar w:fldCharType="separate"/>
        </w:r>
        <w:r w:rsidR="009B6102">
          <w:rPr>
            <w:noProof/>
            <w:webHidden/>
          </w:rPr>
          <w:t>446</w:t>
        </w:r>
        <w:r>
          <w:rPr>
            <w:noProof/>
            <w:webHidden/>
          </w:rPr>
          <w:fldChar w:fldCharType="end"/>
        </w:r>
      </w:hyperlink>
    </w:p>
    <w:p w14:paraId="69FF4DD3" w14:textId="019F8E64" w:rsidR="00C53E99" w:rsidRDefault="00C53E99" w:rsidP="00A14E38">
      <w:pPr>
        <w:pStyle w:val="TOC2"/>
        <w:rPr>
          <w:rFonts w:eastAsiaTheme="minorEastAsia"/>
          <w:noProof/>
          <w:kern w:val="2"/>
          <w:sz w:val="24"/>
          <w:szCs w:val="24"/>
          <w:lang w:eastAsia="en-AU"/>
          <w14:ligatures w14:val="standardContextual"/>
        </w:rPr>
      </w:pPr>
      <w:hyperlink w:anchor="_Toc194311473" w:history="1">
        <w:r w:rsidRPr="000839E2">
          <w:rPr>
            <w:rStyle w:val="Hyperlink"/>
            <w:noProof/>
          </w:rPr>
          <w:t>Appendix 9 – The FWC and pay equity</w:t>
        </w:r>
        <w:r>
          <w:rPr>
            <w:noProof/>
            <w:webHidden/>
          </w:rPr>
          <w:tab/>
        </w:r>
        <w:r>
          <w:rPr>
            <w:noProof/>
            <w:webHidden/>
          </w:rPr>
          <w:fldChar w:fldCharType="begin"/>
        </w:r>
        <w:r>
          <w:rPr>
            <w:noProof/>
            <w:webHidden/>
          </w:rPr>
          <w:instrText xml:space="preserve"> PAGEREF _Toc194311473 \h </w:instrText>
        </w:r>
        <w:r>
          <w:rPr>
            <w:noProof/>
            <w:webHidden/>
          </w:rPr>
        </w:r>
        <w:r>
          <w:rPr>
            <w:noProof/>
            <w:webHidden/>
          </w:rPr>
          <w:fldChar w:fldCharType="separate"/>
        </w:r>
        <w:r w:rsidR="009B6102">
          <w:rPr>
            <w:noProof/>
            <w:webHidden/>
          </w:rPr>
          <w:t>452</w:t>
        </w:r>
        <w:r>
          <w:rPr>
            <w:noProof/>
            <w:webHidden/>
          </w:rPr>
          <w:fldChar w:fldCharType="end"/>
        </w:r>
      </w:hyperlink>
    </w:p>
    <w:p w14:paraId="0C31B42C" w14:textId="14B55CFC" w:rsidR="00C53E99" w:rsidRDefault="00C53E99" w:rsidP="00A14E38">
      <w:pPr>
        <w:pStyle w:val="TOC2"/>
        <w:rPr>
          <w:rFonts w:eastAsiaTheme="minorEastAsia"/>
          <w:noProof/>
          <w:kern w:val="2"/>
          <w:sz w:val="24"/>
          <w:szCs w:val="24"/>
          <w:lang w:eastAsia="en-AU"/>
          <w14:ligatures w14:val="standardContextual"/>
        </w:rPr>
      </w:pPr>
      <w:hyperlink w:anchor="_Toc194311478" w:history="1">
        <w:r w:rsidRPr="000839E2">
          <w:rPr>
            <w:rStyle w:val="Hyperlink"/>
            <w:noProof/>
          </w:rPr>
          <w:t>Appendix 10 – The Fair Work framework</w:t>
        </w:r>
        <w:r>
          <w:rPr>
            <w:noProof/>
            <w:webHidden/>
          </w:rPr>
          <w:tab/>
        </w:r>
        <w:r>
          <w:rPr>
            <w:noProof/>
            <w:webHidden/>
          </w:rPr>
          <w:fldChar w:fldCharType="begin"/>
        </w:r>
        <w:r>
          <w:rPr>
            <w:noProof/>
            <w:webHidden/>
          </w:rPr>
          <w:instrText xml:space="preserve"> PAGEREF _Toc194311478 \h </w:instrText>
        </w:r>
        <w:r>
          <w:rPr>
            <w:noProof/>
            <w:webHidden/>
          </w:rPr>
        </w:r>
        <w:r>
          <w:rPr>
            <w:noProof/>
            <w:webHidden/>
          </w:rPr>
          <w:fldChar w:fldCharType="separate"/>
        </w:r>
        <w:r w:rsidR="009B6102">
          <w:rPr>
            <w:noProof/>
            <w:webHidden/>
          </w:rPr>
          <w:t>456</w:t>
        </w:r>
        <w:r>
          <w:rPr>
            <w:noProof/>
            <w:webHidden/>
          </w:rPr>
          <w:fldChar w:fldCharType="end"/>
        </w:r>
      </w:hyperlink>
    </w:p>
    <w:p w14:paraId="2F1F5489" w14:textId="68462CAF" w:rsidR="004146FA" w:rsidRDefault="00D82BD0" w:rsidP="00A14E38">
      <w:pPr>
        <w:pStyle w:val="TOC2"/>
        <w:rPr>
          <w:rFonts w:asciiTheme="majorHAnsi" w:eastAsiaTheme="majorEastAsia" w:hAnsiTheme="majorHAnsi" w:cstheme="majorBidi"/>
          <w:b/>
          <w:color w:val="009B9F" w:themeColor="background2"/>
          <w:sz w:val="44"/>
          <w:szCs w:val="26"/>
        </w:rPr>
      </w:pPr>
      <w:r>
        <w:fldChar w:fldCharType="end"/>
      </w:r>
      <w:r w:rsidR="004146FA">
        <w:br w:type="page"/>
      </w:r>
    </w:p>
    <w:p w14:paraId="49EA31FE" w14:textId="2DBC6299" w:rsidR="00130D84" w:rsidRDefault="00130D84" w:rsidP="00C0474E">
      <w:pPr>
        <w:pStyle w:val="Heading2"/>
      </w:pPr>
      <w:bookmarkStart w:id="12" w:name="_Toc194066932"/>
      <w:bookmarkStart w:id="13" w:name="_Toc194311402"/>
      <w:r>
        <w:lastRenderedPageBreak/>
        <w:t>Tables</w:t>
      </w:r>
      <w:bookmarkEnd w:id="6"/>
      <w:bookmarkEnd w:id="12"/>
      <w:bookmarkEnd w:id="13"/>
    </w:p>
    <w:p w14:paraId="61FFF63D" w14:textId="48664BEF" w:rsidR="004005EA" w:rsidRDefault="00130D84" w:rsidP="008E1DA2">
      <w:pPr>
        <w:pStyle w:val="TableofFigures"/>
        <w:tabs>
          <w:tab w:val="right" w:leader="dot" w:pos="9016"/>
        </w:tabs>
        <w:spacing w:line="278" w:lineRule="auto"/>
        <w:ind w:left="1134" w:hanging="1134"/>
        <w:rPr>
          <w:noProof/>
          <w:kern w:val="2"/>
          <w:lang w:eastAsia="en-AU"/>
          <w14:ligatures w14:val="standardContextual"/>
        </w:rPr>
      </w:pPr>
      <w:r>
        <w:fldChar w:fldCharType="begin"/>
      </w:r>
      <w:r>
        <w:instrText xml:space="preserve"> TOC \h \z \c "Table" </w:instrText>
      </w:r>
      <w:r>
        <w:fldChar w:fldCharType="separate"/>
      </w:r>
      <w:hyperlink w:anchor="_Toc194251425" w:history="1">
        <w:r w:rsidR="004005EA" w:rsidRPr="00610405">
          <w:rPr>
            <w:rStyle w:val="Hyperlink"/>
            <w:noProof/>
          </w:rPr>
          <w:t>Table 1: Fair Work Ombudsman requests for assistance completed in the building and construction sector, 2020</w:t>
        </w:r>
        <w:r w:rsidR="004005EA" w:rsidRPr="00610405">
          <w:rPr>
            <w:rStyle w:val="Hyperlink"/>
            <w:rFonts w:ascii="Symbol" w:eastAsia="Symbol" w:hAnsi="Symbol" w:cs="Symbol"/>
            <w:noProof/>
          </w:rPr>
          <w:t></w:t>
        </w:r>
        <w:r w:rsidR="004005EA" w:rsidRPr="00610405">
          <w:rPr>
            <w:rStyle w:val="Hyperlink"/>
            <w:noProof/>
          </w:rPr>
          <w:t>21 to 2024</w:t>
        </w:r>
        <w:r w:rsidR="004005EA" w:rsidRPr="00610405">
          <w:rPr>
            <w:rStyle w:val="Hyperlink"/>
            <w:rFonts w:ascii="Symbol" w:eastAsia="Symbol" w:hAnsi="Symbol" w:cs="Symbol"/>
            <w:noProof/>
          </w:rPr>
          <w:t></w:t>
        </w:r>
        <w:r w:rsidR="004005EA" w:rsidRPr="00610405">
          <w:rPr>
            <w:rStyle w:val="Hyperlink"/>
            <w:noProof/>
          </w:rPr>
          <w:t>25 (to 31 December 2024)</w:t>
        </w:r>
        <w:r w:rsidR="004005EA">
          <w:rPr>
            <w:noProof/>
            <w:webHidden/>
          </w:rPr>
          <w:tab/>
        </w:r>
        <w:r w:rsidR="004005EA">
          <w:rPr>
            <w:noProof/>
            <w:webHidden/>
          </w:rPr>
          <w:fldChar w:fldCharType="begin"/>
        </w:r>
        <w:r w:rsidR="004005EA">
          <w:rPr>
            <w:noProof/>
            <w:webHidden/>
          </w:rPr>
          <w:instrText xml:space="preserve"> PAGEREF _Toc194251425 \h </w:instrText>
        </w:r>
        <w:r w:rsidR="004005EA">
          <w:rPr>
            <w:noProof/>
            <w:webHidden/>
          </w:rPr>
        </w:r>
        <w:r w:rsidR="004005EA">
          <w:rPr>
            <w:noProof/>
            <w:webHidden/>
          </w:rPr>
          <w:fldChar w:fldCharType="separate"/>
        </w:r>
        <w:r w:rsidR="009B6102">
          <w:rPr>
            <w:noProof/>
            <w:webHidden/>
          </w:rPr>
          <w:t>31</w:t>
        </w:r>
        <w:r w:rsidR="004005EA">
          <w:rPr>
            <w:noProof/>
            <w:webHidden/>
          </w:rPr>
          <w:fldChar w:fldCharType="end"/>
        </w:r>
      </w:hyperlink>
    </w:p>
    <w:p w14:paraId="339673FA" w14:textId="07A8F178"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26" w:history="1">
        <w:r w:rsidRPr="00610405">
          <w:rPr>
            <w:rStyle w:val="Hyperlink"/>
            <w:noProof/>
          </w:rPr>
          <w:t>Table 2: Fair Work Ombudsman recoveries for the building and construction sector, 2020</w:t>
        </w:r>
        <w:r w:rsidRPr="00610405">
          <w:rPr>
            <w:rStyle w:val="Hyperlink"/>
            <w:rFonts w:ascii="Symbol" w:eastAsia="Symbol" w:hAnsi="Symbol" w:cs="Symbol"/>
            <w:noProof/>
          </w:rPr>
          <w:t></w:t>
        </w:r>
        <w:r w:rsidRPr="00610405">
          <w:rPr>
            <w:rStyle w:val="Hyperlink"/>
            <w:noProof/>
          </w:rPr>
          <w:t>21 to 2024</w:t>
        </w:r>
        <w:r w:rsidRPr="00610405">
          <w:rPr>
            <w:rStyle w:val="Hyperlink"/>
            <w:rFonts w:ascii="Symbol" w:eastAsia="Symbol" w:hAnsi="Symbol" w:cs="Symbol"/>
            <w:noProof/>
          </w:rPr>
          <w:t></w:t>
        </w:r>
        <w:r w:rsidRPr="00610405">
          <w:rPr>
            <w:rStyle w:val="Hyperlink"/>
            <w:noProof/>
          </w:rPr>
          <w:t>25 (to 31 December 2024)</w:t>
        </w:r>
        <w:r>
          <w:rPr>
            <w:noProof/>
            <w:webHidden/>
          </w:rPr>
          <w:tab/>
        </w:r>
        <w:r>
          <w:rPr>
            <w:noProof/>
            <w:webHidden/>
          </w:rPr>
          <w:fldChar w:fldCharType="begin"/>
        </w:r>
        <w:r>
          <w:rPr>
            <w:noProof/>
            <w:webHidden/>
          </w:rPr>
          <w:instrText xml:space="preserve"> PAGEREF _Toc194251426 \h </w:instrText>
        </w:r>
        <w:r>
          <w:rPr>
            <w:noProof/>
            <w:webHidden/>
          </w:rPr>
        </w:r>
        <w:r>
          <w:rPr>
            <w:noProof/>
            <w:webHidden/>
          </w:rPr>
          <w:fldChar w:fldCharType="separate"/>
        </w:r>
        <w:r w:rsidR="009B6102">
          <w:rPr>
            <w:noProof/>
            <w:webHidden/>
          </w:rPr>
          <w:t>31</w:t>
        </w:r>
        <w:r>
          <w:rPr>
            <w:noProof/>
            <w:webHidden/>
          </w:rPr>
          <w:fldChar w:fldCharType="end"/>
        </w:r>
      </w:hyperlink>
    </w:p>
    <w:p w14:paraId="2DEC144A" w14:textId="0EE11A4D"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27" w:history="1">
        <w:r w:rsidRPr="00610405">
          <w:rPr>
            <w:rStyle w:val="Hyperlink"/>
            <w:noProof/>
          </w:rPr>
          <w:t>Table 3: Australian Building and Construction Commission wage recoveries, 2017</w:t>
        </w:r>
        <w:r w:rsidRPr="00610405">
          <w:rPr>
            <w:rStyle w:val="Hyperlink"/>
            <w:rFonts w:ascii="Symbol" w:eastAsia="Symbol" w:hAnsi="Symbol" w:cs="Symbol"/>
            <w:noProof/>
          </w:rPr>
          <w:t></w:t>
        </w:r>
        <w:r w:rsidRPr="00610405">
          <w:rPr>
            <w:rStyle w:val="Hyperlink"/>
            <w:noProof/>
          </w:rPr>
          <w:t>18 to 2022</w:t>
        </w:r>
        <w:r w:rsidRPr="00610405">
          <w:rPr>
            <w:rStyle w:val="Hyperlink"/>
            <w:rFonts w:ascii="Symbol" w:eastAsia="Symbol" w:hAnsi="Symbol" w:cs="Symbol"/>
            <w:noProof/>
          </w:rPr>
          <w:t></w:t>
        </w:r>
        <w:r w:rsidRPr="00610405">
          <w:rPr>
            <w:rStyle w:val="Hyperlink"/>
            <w:noProof/>
          </w:rPr>
          <w:t>23</w:t>
        </w:r>
        <w:r>
          <w:rPr>
            <w:noProof/>
            <w:webHidden/>
          </w:rPr>
          <w:tab/>
        </w:r>
        <w:r>
          <w:rPr>
            <w:noProof/>
            <w:webHidden/>
          </w:rPr>
          <w:fldChar w:fldCharType="begin"/>
        </w:r>
        <w:r>
          <w:rPr>
            <w:noProof/>
            <w:webHidden/>
          </w:rPr>
          <w:instrText xml:space="preserve"> PAGEREF _Toc194251427 \h </w:instrText>
        </w:r>
        <w:r>
          <w:rPr>
            <w:noProof/>
            <w:webHidden/>
          </w:rPr>
        </w:r>
        <w:r>
          <w:rPr>
            <w:noProof/>
            <w:webHidden/>
          </w:rPr>
          <w:fldChar w:fldCharType="separate"/>
        </w:r>
        <w:r w:rsidR="009B6102">
          <w:rPr>
            <w:noProof/>
            <w:webHidden/>
          </w:rPr>
          <w:t>32</w:t>
        </w:r>
        <w:r>
          <w:rPr>
            <w:noProof/>
            <w:webHidden/>
          </w:rPr>
          <w:fldChar w:fldCharType="end"/>
        </w:r>
      </w:hyperlink>
    </w:p>
    <w:p w14:paraId="54D325E3" w14:textId="53060823"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28" w:history="1">
        <w:r w:rsidRPr="00610405">
          <w:rPr>
            <w:rStyle w:val="Hyperlink"/>
            <w:noProof/>
          </w:rPr>
          <w:t>Table 4: Fair Work Ombudsman compliance and enforcement work in the building and construction sector, 2020</w:t>
        </w:r>
        <w:r w:rsidRPr="00610405">
          <w:rPr>
            <w:rStyle w:val="Hyperlink"/>
            <w:rFonts w:ascii="Symbol" w:eastAsia="Symbol" w:hAnsi="Symbol" w:cs="Symbol"/>
            <w:noProof/>
          </w:rPr>
          <w:t></w:t>
        </w:r>
        <w:r w:rsidRPr="00610405">
          <w:rPr>
            <w:rStyle w:val="Hyperlink"/>
            <w:noProof/>
          </w:rPr>
          <w:t>21 to 2024</w:t>
        </w:r>
        <w:r w:rsidRPr="00610405">
          <w:rPr>
            <w:rStyle w:val="Hyperlink"/>
            <w:rFonts w:ascii="Symbol" w:eastAsia="Symbol" w:hAnsi="Symbol" w:cs="Symbol"/>
            <w:noProof/>
          </w:rPr>
          <w:t></w:t>
        </w:r>
        <w:r w:rsidRPr="00610405">
          <w:rPr>
            <w:rStyle w:val="Hyperlink"/>
            <w:noProof/>
          </w:rPr>
          <w:t>25 (to 31 December 2024)</w:t>
        </w:r>
        <w:r>
          <w:rPr>
            <w:noProof/>
            <w:webHidden/>
          </w:rPr>
          <w:tab/>
        </w:r>
        <w:r>
          <w:rPr>
            <w:noProof/>
            <w:webHidden/>
          </w:rPr>
          <w:fldChar w:fldCharType="begin"/>
        </w:r>
        <w:r>
          <w:rPr>
            <w:noProof/>
            <w:webHidden/>
          </w:rPr>
          <w:instrText xml:space="preserve"> PAGEREF _Toc194251428 \h </w:instrText>
        </w:r>
        <w:r>
          <w:rPr>
            <w:noProof/>
            <w:webHidden/>
          </w:rPr>
        </w:r>
        <w:r>
          <w:rPr>
            <w:noProof/>
            <w:webHidden/>
          </w:rPr>
          <w:fldChar w:fldCharType="separate"/>
        </w:r>
        <w:r w:rsidR="009B6102">
          <w:rPr>
            <w:noProof/>
            <w:webHidden/>
          </w:rPr>
          <w:t>33</w:t>
        </w:r>
        <w:r>
          <w:rPr>
            <w:noProof/>
            <w:webHidden/>
          </w:rPr>
          <w:fldChar w:fldCharType="end"/>
        </w:r>
      </w:hyperlink>
    </w:p>
    <w:p w14:paraId="4361487C" w14:textId="3ABE26B5"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29" w:history="1">
        <w:r w:rsidRPr="00610405">
          <w:rPr>
            <w:rStyle w:val="Hyperlink"/>
            <w:noProof/>
          </w:rPr>
          <w:t>Table 5: Australian Building and Construction Commission compliance and enforcement work in the building and construction sector, 2016</w:t>
        </w:r>
        <w:r w:rsidRPr="00610405">
          <w:rPr>
            <w:rStyle w:val="Hyperlink"/>
            <w:rFonts w:ascii="Symbol" w:eastAsia="Symbol" w:hAnsi="Symbol" w:cs="Symbol"/>
            <w:noProof/>
          </w:rPr>
          <w:t></w:t>
        </w:r>
        <w:r w:rsidRPr="00610405">
          <w:rPr>
            <w:rStyle w:val="Hyperlink"/>
            <w:noProof/>
          </w:rPr>
          <w:t>17 to 2022</w:t>
        </w:r>
        <w:r w:rsidRPr="00610405">
          <w:rPr>
            <w:rStyle w:val="Hyperlink"/>
            <w:rFonts w:ascii="Symbol" w:eastAsia="Symbol" w:hAnsi="Symbol" w:cs="Symbol"/>
            <w:noProof/>
          </w:rPr>
          <w:t></w:t>
        </w:r>
        <w:r w:rsidRPr="00610405">
          <w:rPr>
            <w:rStyle w:val="Hyperlink"/>
            <w:noProof/>
          </w:rPr>
          <w:t>23</w:t>
        </w:r>
        <w:r>
          <w:rPr>
            <w:noProof/>
            <w:webHidden/>
          </w:rPr>
          <w:tab/>
        </w:r>
        <w:r>
          <w:rPr>
            <w:noProof/>
            <w:webHidden/>
          </w:rPr>
          <w:fldChar w:fldCharType="begin"/>
        </w:r>
        <w:r>
          <w:rPr>
            <w:noProof/>
            <w:webHidden/>
          </w:rPr>
          <w:instrText xml:space="preserve"> PAGEREF _Toc194251429 \h </w:instrText>
        </w:r>
        <w:r>
          <w:rPr>
            <w:noProof/>
            <w:webHidden/>
          </w:rPr>
        </w:r>
        <w:r>
          <w:rPr>
            <w:noProof/>
            <w:webHidden/>
          </w:rPr>
          <w:fldChar w:fldCharType="separate"/>
        </w:r>
        <w:r w:rsidR="009B6102">
          <w:rPr>
            <w:noProof/>
            <w:webHidden/>
          </w:rPr>
          <w:t>35</w:t>
        </w:r>
        <w:r>
          <w:rPr>
            <w:noProof/>
            <w:webHidden/>
          </w:rPr>
          <w:fldChar w:fldCharType="end"/>
        </w:r>
      </w:hyperlink>
    </w:p>
    <w:p w14:paraId="0626A0C8" w14:textId="43E49949"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30" w:history="1">
        <w:r w:rsidRPr="00610405">
          <w:rPr>
            <w:rStyle w:val="Hyperlink"/>
            <w:noProof/>
          </w:rPr>
          <w:t>Table 6: Major education activities undertaken Registered Organisations Commission and Fair Work Commission</w:t>
        </w:r>
        <w:r>
          <w:rPr>
            <w:noProof/>
            <w:webHidden/>
          </w:rPr>
          <w:tab/>
        </w:r>
        <w:r>
          <w:rPr>
            <w:noProof/>
            <w:webHidden/>
          </w:rPr>
          <w:fldChar w:fldCharType="begin"/>
        </w:r>
        <w:r>
          <w:rPr>
            <w:noProof/>
            <w:webHidden/>
          </w:rPr>
          <w:instrText xml:space="preserve"> PAGEREF _Toc194251430 \h </w:instrText>
        </w:r>
        <w:r>
          <w:rPr>
            <w:noProof/>
            <w:webHidden/>
          </w:rPr>
        </w:r>
        <w:r>
          <w:rPr>
            <w:noProof/>
            <w:webHidden/>
          </w:rPr>
          <w:fldChar w:fldCharType="separate"/>
        </w:r>
        <w:r w:rsidR="009B6102">
          <w:rPr>
            <w:noProof/>
            <w:webHidden/>
          </w:rPr>
          <w:t>56</w:t>
        </w:r>
        <w:r>
          <w:rPr>
            <w:noProof/>
            <w:webHidden/>
          </w:rPr>
          <w:fldChar w:fldCharType="end"/>
        </w:r>
      </w:hyperlink>
    </w:p>
    <w:p w14:paraId="12F2C312" w14:textId="36349232"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31" w:history="1">
        <w:r w:rsidRPr="00610405">
          <w:rPr>
            <w:rStyle w:val="Hyperlink"/>
            <w:noProof/>
          </w:rPr>
          <w:t xml:space="preserve">Table 7: Infringement notice provisions in the </w:t>
        </w:r>
        <w:r w:rsidRPr="00610405">
          <w:rPr>
            <w:rStyle w:val="Hyperlink"/>
            <w:i/>
            <w:noProof/>
          </w:rPr>
          <w:t>Fair Work (Registered Organisations) Act 2009</w:t>
        </w:r>
        <w:r w:rsidRPr="00610405">
          <w:rPr>
            <w:rStyle w:val="Hyperlink"/>
            <w:noProof/>
          </w:rPr>
          <w:t xml:space="preserve"> and the maximum penalty units</w:t>
        </w:r>
        <w:r>
          <w:rPr>
            <w:noProof/>
            <w:webHidden/>
          </w:rPr>
          <w:tab/>
        </w:r>
        <w:r>
          <w:rPr>
            <w:noProof/>
            <w:webHidden/>
          </w:rPr>
          <w:fldChar w:fldCharType="begin"/>
        </w:r>
        <w:r>
          <w:rPr>
            <w:noProof/>
            <w:webHidden/>
          </w:rPr>
          <w:instrText xml:space="preserve"> PAGEREF _Toc194251431 \h </w:instrText>
        </w:r>
        <w:r>
          <w:rPr>
            <w:noProof/>
            <w:webHidden/>
          </w:rPr>
        </w:r>
        <w:r>
          <w:rPr>
            <w:noProof/>
            <w:webHidden/>
          </w:rPr>
          <w:fldChar w:fldCharType="separate"/>
        </w:r>
        <w:r w:rsidR="009B6102">
          <w:rPr>
            <w:noProof/>
            <w:webHidden/>
          </w:rPr>
          <w:t>67</w:t>
        </w:r>
        <w:r>
          <w:rPr>
            <w:noProof/>
            <w:webHidden/>
          </w:rPr>
          <w:fldChar w:fldCharType="end"/>
        </w:r>
      </w:hyperlink>
    </w:p>
    <w:p w14:paraId="063235AD" w14:textId="442CCB0D"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32" w:history="1">
        <w:r w:rsidRPr="00610405">
          <w:rPr>
            <w:rStyle w:val="Hyperlink"/>
            <w:noProof/>
          </w:rPr>
          <w:t>Table 8: The dimensions of collective bargaining</w:t>
        </w:r>
        <w:r>
          <w:rPr>
            <w:noProof/>
            <w:webHidden/>
          </w:rPr>
          <w:tab/>
        </w:r>
        <w:r>
          <w:rPr>
            <w:noProof/>
            <w:webHidden/>
          </w:rPr>
          <w:fldChar w:fldCharType="begin"/>
        </w:r>
        <w:r>
          <w:rPr>
            <w:noProof/>
            <w:webHidden/>
          </w:rPr>
          <w:instrText xml:space="preserve"> PAGEREF _Toc194251432 \h </w:instrText>
        </w:r>
        <w:r>
          <w:rPr>
            <w:noProof/>
            <w:webHidden/>
          </w:rPr>
        </w:r>
        <w:r>
          <w:rPr>
            <w:noProof/>
            <w:webHidden/>
          </w:rPr>
          <w:fldChar w:fldCharType="separate"/>
        </w:r>
        <w:r w:rsidR="009B6102">
          <w:rPr>
            <w:noProof/>
            <w:webHidden/>
          </w:rPr>
          <w:t>72</w:t>
        </w:r>
        <w:r>
          <w:rPr>
            <w:noProof/>
            <w:webHidden/>
          </w:rPr>
          <w:fldChar w:fldCharType="end"/>
        </w:r>
      </w:hyperlink>
    </w:p>
    <w:p w14:paraId="4F41E0CC" w14:textId="30E8D892"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33" w:history="1">
        <w:r w:rsidRPr="00610405">
          <w:rPr>
            <w:rStyle w:val="Hyperlink"/>
            <w:noProof/>
          </w:rPr>
          <w:t>Table 9: New single-enterprise and multi-enterprise agreements approved, 2013</w:t>
        </w:r>
        <w:r w:rsidRPr="00610405">
          <w:rPr>
            <w:rStyle w:val="Hyperlink"/>
            <w:rFonts w:ascii="Symbol" w:eastAsia="Symbol" w:hAnsi="Symbol" w:cs="Symbol"/>
            <w:noProof/>
          </w:rPr>
          <w:t></w:t>
        </w:r>
        <w:r w:rsidRPr="00610405">
          <w:rPr>
            <w:rStyle w:val="Hyperlink"/>
            <w:noProof/>
          </w:rPr>
          <w:t>2022</w:t>
        </w:r>
        <w:r>
          <w:rPr>
            <w:noProof/>
            <w:webHidden/>
          </w:rPr>
          <w:tab/>
        </w:r>
        <w:r>
          <w:rPr>
            <w:noProof/>
            <w:webHidden/>
          </w:rPr>
          <w:fldChar w:fldCharType="begin"/>
        </w:r>
        <w:r>
          <w:rPr>
            <w:noProof/>
            <w:webHidden/>
          </w:rPr>
          <w:instrText xml:space="preserve"> PAGEREF _Toc194251433 \h </w:instrText>
        </w:r>
        <w:r>
          <w:rPr>
            <w:noProof/>
            <w:webHidden/>
          </w:rPr>
        </w:r>
        <w:r>
          <w:rPr>
            <w:noProof/>
            <w:webHidden/>
          </w:rPr>
          <w:fldChar w:fldCharType="separate"/>
        </w:r>
        <w:r w:rsidR="009B6102">
          <w:rPr>
            <w:noProof/>
            <w:webHidden/>
          </w:rPr>
          <w:t>76</w:t>
        </w:r>
        <w:r>
          <w:rPr>
            <w:noProof/>
            <w:webHidden/>
          </w:rPr>
          <w:fldChar w:fldCharType="end"/>
        </w:r>
      </w:hyperlink>
    </w:p>
    <w:p w14:paraId="2D59DFBB" w14:textId="12D488E2"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34" w:history="1">
        <w:r w:rsidRPr="00610405">
          <w:rPr>
            <w:rStyle w:val="Hyperlink"/>
            <w:noProof/>
          </w:rPr>
          <w:t>Table 10: Average annual wage increase (%) in federal enterprise agreements, 1993 to 2024</w:t>
        </w:r>
        <w:r>
          <w:rPr>
            <w:noProof/>
            <w:webHidden/>
          </w:rPr>
          <w:tab/>
        </w:r>
        <w:r>
          <w:rPr>
            <w:noProof/>
            <w:webHidden/>
          </w:rPr>
          <w:fldChar w:fldCharType="begin"/>
        </w:r>
        <w:r>
          <w:rPr>
            <w:noProof/>
            <w:webHidden/>
          </w:rPr>
          <w:instrText xml:space="preserve"> PAGEREF _Toc194251434 \h </w:instrText>
        </w:r>
        <w:r>
          <w:rPr>
            <w:noProof/>
            <w:webHidden/>
          </w:rPr>
        </w:r>
        <w:r>
          <w:rPr>
            <w:noProof/>
            <w:webHidden/>
          </w:rPr>
          <w:fldChar w:fldCharType="separate"/>
        </w:r>
        <w:r w:rsidR="009B6102">
          <w:rPr>
            <w:noProof/>
            <w:webHidden/>
          </w:rPr>
          <w:t>87</w:t>
        </w:r>
        <w:r>
          <w:rPr>
            <w:noProof/>
            <w:webHidden/>
          </w:rPr>
          <w:fldChar w:fldCharType="end"/>
        </w:r>
      </w:hyperlink>
    </w:p>
    <w:p w14:paraId="6BE8D8CE" w14:textId="0CD20057"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35" w:history="1">
        <w:r w:rsidRPr="00610405">
          <w:rPr>
            <w:rStyle w:val="Hyperlink"/>
            <w:noProof/>
          </w:rPr>
          <w:t>Table 11: Supported bargaining authorisations granted by the Fair Work Commission, as of 21 February 2025</w:t>
        </w:r>
        <w:r>
          <w:rPr>
            <w:noProof/>
            <w:webHidden/>
          </w:rPr>
          <w:tab/>
        </w:r>
        <w:r>
          <w:rPr>
            <w:noProof/>
            <w:webHidden/>
          </w:rPr>
          <w:fldChar w:fldCharType="begin"/>
        </w:r>
        <w:r>
          <w:rPr>
            <w:noProof/>
            <w:webHidden/>
          </w:rPr>
          <w:instrText xml:space="preserve"> PAGEREF _Toc194251435 \h </w:instrText>
        </w:r>
        <w:r>
          <w:rPr>
            <w:noProof/>
            <w:webHidden/>
          </w:rPr>
        </w:r>
        <w:r>
          <w:rPr>
            <w:noProof/>
            <w:webHidden/>
          </w:rPr>
          <w:fldChar w:fldCharType="separate"/>
        </w:r>
        <w:r w:rsidR="009B6102">
          <w:rPr>
            <w:noProof/>
            <w:webHidden/>
          </w:rPr>
          <w:t>114</w:t>
        </w:r>
        <w:r>
          <w:rPr>
            <w:noProof/>
            <w:webHidden/>
          </w:rPr>
          <w:fldChar w:fldCharType="end"/>
        </w:r>
      </w:hyperlink>
    </w:p>
    <w:p w14:paraId="5ED248CD" w14:textId="5FA1A893"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36" w:history="1">
        <w:r w:rsidRPr="00610405">
          <w:rPr>
            <w:rStyle w:val="Hyperlink"/>
            <w:noProof/>
          </w:rPr>
          <w:t>Table 12: Single-interest employer authorisations made, as of 21 February 2025</w:t>
        </w:r>
        <w:r>
          <w:rPr>
            <w:noProof/>
            <w:webHidden/>
          </w:rPr>
          <w:tab/>
        </w:r>
        <w:r>
          <w:rPr>
            <w:noProof/>
            <w:webHidden/>
          </w:rPr>
          <w:fldChar w:fldCharType="begin"/>
        </w:r>
        <w:r>
          <w:rPr>
            <w:noProof/>
            <w:webHidden/>
          </w:rPr>
          <w:instrText xml:space="preserve"> PAGEREF _Toc194251436 \h </w:instrText>
        </w:r>
        <w:r>
          <w:rPr>
            <w:noProof/>
            <w:webHidden/>
          </w:rPr>
        </w:r>
        <w:r>
          <w:rPr>
            <w:noProof/>
            <w:webHidden/>
          </w:rPr>
          <w:fldChar w:fldCharType="separate"/>
        </w:r>
        <w:r w:rsidR="009B6102">
          <w:rPr>
            <w:noProof/>
            <w:webHidden/>
          </w:rPr>
          <w:t>126</w:t>
        </w:r>
        <w:r>
          <w:rPr>
            <w:noProof/>
            <w:webHidden/>
          </w:rPr>
          <w:fldChar w:fldCharType="end"/>
        </w:r>
      </w:hyperlink>
    </w:p>
    <w:p w14:paraId="443FC4F4" w14:textId="701907C6"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37" w:history="1">
        <w:r w:rsidRPr="00610405">
          <w:rPr>
            <w:rStyle w:val="Hyperlink"/>
            <w:noProof/>
          </w:rPr>
          <w:t>Table 13: Intractable bargaining declarations made, as of 21 February 2025</w:t>
        </w:r>
        <w:r>
          <w:rPr>
            <w:noProof/>
            <w:webHidden/>
          </w:rPr>
          <w:tab/>
        </w:r>
        <w:r>
          <w:rPr>
            <w:noProof/>
            <w:webHidden/>
          </w:rPr>
          <w:fldChar w:fldCharType="begin"/>
        </w:r>
        <w:r>
          <w:rPr>
            <w:noProof/>
            <w:webHidden/>
          </w:rPr>
          <w:instrText xml:space="preserve"> PAGEREF _Toc194251437 \h </w:instrText>
        </w:r>
        <w:r>
          <w:rPr>
            <w:noProof/>
            <w:webHidden/>
          </w:rPr>
        </w:r>
        <w:r>
          <w:rPr>
            <w:noProof/>
            <w:webHidden/>
          </w:rPr>
          <w:fldChar w:fldCharType="separate"/>
        </w:r>
        <w:r w:rsidR="009B6102">
          <w:rPr>
            <w:noProof/>
            <w:webHidden/>
          </w:rPr>
          <w:t>142</w:t>
        </w:r>
        <w:r>
          <w:rPr>
            <w:noProof/>
            <w:webHidden/>
          </w:rPr>
          <w:fldChar w:fldCharType="end"/>
        </w:r>
      </w:hyperlink>
    </w:p>
    <w:p w14:paraId="5D738E5E" w14:textId="01DB53EB"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38" w:history="1">
        <w:r w:rsidRPr="00610405">
          <w:rPr>
            <w:rStyle w:val="Hyperlink"/>
            <w:noProof/>
          </w:rPr>
          <w:t>Table 14: Intractable bargaining workplace determinations made, as of 21 February 2025</w:t>
        </w:r>
        <w:r>
          <w:rPr>
            <w:noProof/>
            <w:webHidden/>
          </w:rPr>
          <w:tab/>
        </w:r>
        <w:r>
          <w:rPr>
            <w:noProof/>
            <w:webHidden/>
          </w:rPr>
          <w:fldChar w:fldCharType="begin"/>
        </w:r>
        <w:r>
          <w:rPr>
            <w:noProof/>
            <w:webHidden/>
          </w:rPr>
          <w:instrText xml:space="preserve"> PAGEREF _Toc194251438 \h </w:instrText>
        </w:r>
        <w:r>
          <w:rPr>
            <w:noProof/>
            <w:webHidden/>
          </w:rPr>
        </w:r>
        <w:r>
          <w:rPr>
            <w:noProof/>
            <w:webHidden/>
          </w:rPr>
          <w:fldChar w:fldCharType="separate"/>
        </w:r>
        <w:r w:rsidR="009B6102">
          <w:rPr>
            <w:noProof/>
            <w:webHidden/>
          </w:rPr>
          <w:t>143</w:t>
        </w:r>
        <w:r>
          <w:rPr>
            <w:noProof/>
            <w:webHidden/>
          </w:rPr>
          <w:fldChar w:fldCharType="end"/>
        </w:r>
      </w:hyperlink>
    </w:p>
    <w:p w14:paraId="3529A229" w14:textId="671FDFC1"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39" w:history="1">
        <w:r w:rsidRPr="00610405">
          <w:rPr>
            <w:rStyle w:val="Hyperlink"/>
            <w:noProof/>
          </w:rPr>
          <w:t>Table 15: Agreement approval applications and approval timeliness</w:t>
        </w:r>
        <w:r>
          <w:rPr>
            <w:noProof/>
            <w:webHidden/>
          </w:rPr>
          <w:tab/>
        </w:r>
        <w:r>
          <w:rPr>
            <w:noProof/>
            <w:webHidden/>
          </w:rPr>
          <w:fldChar w:fldCharType="begin"/>
        </w:r>
        <w:r>
          <w:rPr>
            <w:noProof/>
            <w:webHidden/>
          </w:rPr>
          <w:instrText xml:space="preserve"> PAGEREF _Toc194251439 \h </w:instrText>
        </w:r>
        <w:r>
          <w:rPr>
            <w:noProof/>
            <w:webHidden/>
          </w:rPr>
        </w:r>
        <w:r>
          <w:rPr>
            <w:noProof/>
            <w:webHidden/>
          </w:rPr>
          <w:fldChar w:fldCharType="separate"/>
        </w:r>
        <w:r w:rsidR="009B6102">
          <w:rPr>
            <w:noProof/>
            <w:webHidden/>
          </w:rPr>
          <w:t>169</w:t>
        </w:r>
        <w:r>
          <w:rPr>
            <w:noProof/>
            <w:webHidden/>
          </w:rPr>
          <w:fldChar w:fldCharType="end"/>
        </w:r>
      </w:hyperlink>
    </w:p>
    <w:p w14:paraId="193EDBF5" w14:textId="0FFCAB05"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40" w:history="1">
        <w:r w:rsidRPr="00610405">
          <w:rPr>
            <w:rStyle w:val="Hyperlink"/>
            <w:noProof/>
          </w:rPr>
          <w:t>Table 16: Outcomes of enterprise agreement applications, by calendar year</w:t>
        </w:r>
        <w:r>
          <w:rPr>
            <w:noProof/>
            <w:webHidden/>
          </w:rPr>
          <w:tab/>
        </w:r>
        <w:r>
          <w:rPr>
            <w:noProof/>
            <w:webHidden/>
          </w:rPr>
          <w:fldChar w:fldCharType="begin"/>
        </w:r>
        <w:r>
          <w:rPr>
            <w:noProof/>
            <w:webHidden/>
          </w:rPr>
          <w:instrText xml:space="preserve"> PAGEREF _Toc194251440 \h </w:instrText>
        </w:r>
        <w:r>
          <w:rPr>
            <w:noProof/>
            <w:webHidden/>
          </w:rPr>
        </w:r>
        <w:r>
          <w:rPr>
            <w:noProof/>
            <w:webHidden/>
          </w:rPr>
          <w:fldChar w:fldCharType="separate"/>
        </w:r>
        <w:r w:rsidR="009B6102">
          <w:rPr>
            <w:noProof/>
            <w:webHidden/>
          </w:rPr>
          <w:t>169</w:t>
        </w:r>
        <w:r>
          <w:rPr>
            <w:noProof/>
            <w:webHidden/>
          </w:rPr>
          <w:fldChar w:fldCharType="end"/>
        </w:r>
      </w:hyperlink>
    </w:p>
    <w:p w14:paraId="1B891069" w14:textId="1AA29970"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41" w:history="1">
        <w:r w:rsidRPr="00610405">
          <w:rPr>
            <w:rStyle w:val="Hyperlink"/>
            <w:noProof/>
          </w:rPr>
          <w:t>Table 17: Agreement variation applications, 2019</w:t>
        </w:r>
        <w:r w:rsidRPr="00610405">
          <w:rPr>
            <w:rStyle w:val="Hyperlink"/>
            <w:rFonts w:ascii="Symbol" w:eastAsia="Symbol" w:hAnsi="Symbol" w:cs="Symbol"/>
            <w:noProof/>
          </w:rPr>
          <w:t></w:t>
        </w:r>
        <w:r w:rsidRPr="00610405">
          <w:rPr>
            <w:rStyle w:val="Hyperlink"/>
            <w:noProof/>
          </w:rPr>
          <w:t>20 to 2023</w:t>
        </w:r>
        <w:r w:rsidRPr="00610405">
          <w:rPr>
            <w:rStyle w:val="Hyperlink"/>
            <w:rFonts w:ascii="Symbol" w:eastAsia="Symbol" w:hAnsi="Symbol" w:cs="Symbol"/>
            <w:noProof/>
          </w:rPr>
          <w:t></w:t>
        </w:r>
        <w:r w:rsidRPr="00610405">
          <w:rPr>
            <w:rStyle w:val="Hyperlink"/>
            <w:noProof/>
          </w:rPr>
          <w:t>24</w:t>
        </w:r>
        <w:r>
          <w:rPr>
            <w:noProof/>
            <w:webHidden/>
          </w:rPr>
          <w:tab/>
        </w:r>
        <w:r>
          <w:rPr>
            <w:noProof/>
            <w:webHidden/>
          </w:rPr>
          <w:fldChar w:fldCharType="begin"/>
        </w:r>
        <w:r>
          <w:rPr>
            <w:noProof/>
            <w:webHidden/>
          </w:rPr>
          <w:instrText xml:space="preserve"> PAGEREF _Toc194251441 \h </w:instrText>
        </w:r>
        <w:r>
          <w:rPr>
            <w:noProof/>
            <w:webHidden/>
          </w:rPr>
        </w:r>
        <w:r>
          <w:rPr>
            <w:noProof/>
            <w:webHidden/>
          </w:rPr>
          <w:fldChar w:fldCharType="separate"/>
        </w:r>
        <w:r w:rsidR="009B6102">
          <w:rPr>
            <w:noProof/>
            <w:webHidden/>
          </w:rPr>
          <w:t>176</w:t>
        </w:r>
        <w:r>
          <w:rPr>
            <w:noProof/>
            <w:webHidden/>
          </w:rPr>
          <w:fldChar w:fldCharType="end"/>
        </w:r>
      </w:hyperlink>
    </w:p>
    <w:p w14:paraId="74474DC7" w14:textId="733D2DFE"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42" w:history="1">
        <w:r w:rsidRPr="00610405">
          <w:rPr>
            <w:rStyle w:val="Hyperlink"/>
            <w:noProof/>
          </w:rPr>
          <w:t>Table 18: Number of applications to terminate an agreement after nominal expiry date</w:t>
        </w:r>
        <w:r>
          <w:rPr>
            <w:noProof/>
            <w:webHidden/>
          </w:rPr>
          <w:tab/>
        </w:r>
        <w:r>
          <w:rPr>
            <w:noProof/>
            <w:webHidden/>
          </w:rPr>
          <w:fldChar w:fldCharType="begin"/>
        </w:r>
        <w:r>
          <w:rPr>
            <w:noProof/>
            <w:webHidden/>
          </w:rPr>
          <w:instrText xml:space="preserve"> PAGEREF _Toc194251442 \h </w:instrText>
        </w:r>
        <w:r>
          <w:rPr>
            <w:noProof/>
            <w:webHidden/>
          </w:rPr>
        </w:r>
        <w:r>
          <w:rPr>
            <w:noProof/>
            <w:webHidden/>
          </w:rPr>
          <w:fldChar w:fldCharType="separate"/>
        </w:r>
        <w:r w:rsidR="009B6102">
          <w:rPr>
            <w:noProof/>
            <w:webHidden/>
          </w:rPr>
          <w:t>185</w:t>
        </w:r>
        <w:r>
          <w:rPr>
            <w:noProof/>
            <w:webHidden/>
          </w:rPr>
          <w:fldChar w:fldCharType="end"/>
        </w:r>
      </w:hyperlink>
    </w:p>
    <w:p w14:paraId="6E7FCFFD" w14:textId="4816CD09"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43" w:history="1">
        <w:r w:rsidRPr="00610405">
          <w:rPr>
            <w:rStyle w:val="Hyperlink"/>
            <w:noProof/>
          </w:rPr>
          <w:t>Table 19: Contested applications to terminate an enterprise agreement after its nominal expiry date</w:t>
        </w:r>
        <w:r>
          <w:rPr>
            <w:noProof/>
            <w:webHidden/>
          </w:rPr>
          <w:tab/>
        </w:r>
        <w:r>
          <w:rPr>
            <w:noProof/>
            <w:webHidden/>
          </w:rPr>
          <w:fldChar w:fldCharType="begin"/>
        </w:r>
        <w:r>
          <w:rPr>
            <w:noProof/>
            <w:webHidden/>
          </w:rPr>
          <w:instrText xml:space="preserve"> PAGEREF _Toc194251443 \h </w:instrText>
        </w:r>
        <w:r>
          <w:rPr>
            <w:noProof/>
            <w:webHidden/>
          </w:rPr>
        </w:r>
        <w:r>
          <w:rPr>
            <w:noProof/>
            <w:webHidden/>
          </w:rPr>
          <w:fldChar w:fldCharType="separate"/>
        </w:r>
        <w:r w:rsidR="009B6102">
          <w:rPr>
            <w:noProof/>
            <w:webHidden/>
          </w:rPr>
          <w:t>186</w:t>
        </w:r>
        <w:r>
          <w:rPr>
            <w:noProof/>
            <w:webHidden/>
          </w:rPr>
          <w:fldChar w:fldCharType="end"/>
        </w:r>
      </w:hyperlink>
    </w:p>
    <w:p w14:paraId="385B1120" w14:textId="6BBB2EF9"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44" w:history="1">
        <w:r w:rsidRPr="00610405">
          <w:rPr>
            <w:rStyle w:val="Hyperlink"/>
            <w:noProof/>
          </w:rPr>
          <w:t xml:space="preserve">Table 20: Applications to extend the default period for a zombie agreement (agreement-based transitional instrument, Division 2B State employment agreements and enterprise agreements made during the bridging period), 6 December 2022 </w:t>
        </w:r>
        <w:r w:rsidRPr="00610405">
          <w:rPr>
            <w:rStyle w:val="Hyperlink"/>
            <w:rFonts w:ascii="Symbol" w:eastAsia="Symbol" w:hAnsi="Symbol" w:cs="Symbol"/>
            <w:noProof/>
          </w:rPr>
          <w:t></w:t>
        </w:r>
        <w:r w:rsidRPr="00610405">
          <w:rPr>
            <w:rStyle w:val="Hyperlink"/>
            <w:noProof/>
          </w:rPr>
          <w:t xml:space="preserve"> 31 December 2024</w:t>
        </w:r>
        <w:r>
          <w:rPr>
            <w:noProof/>
            <w:webHidden/>
          </w:rPr>
          <w:tab/>
        </w:r>
        <w:r>
          <w:rPr>
            <w:noProof/>
            <w:webHidden/>
          </w:rPr>
          <w:fldChar w:fldCharType="begin"/>
        </w:r>
        <w:r>
          <w:rPr>
            <w:noProof/>
            <w:webHidden/>
          </w:rPr>
          <w:instrText xml:space="preserve"> PAGEREF _Toc194251444 \h </w:instrText>
        </w:r>
        <w:r>
          <w:rPr>
            <w:noProof/>
            <w:webHidden/>
          </w:rPr>
        </w:r>
        <w:r>
          <w:rPr>
            <w:noProof/>
            <w:webHidden/>
          </w:rPr>
          <w:fldChar w:fldCharType="separate"/>
        </w:r>
        <w:r w:rsidR="009B6102">
          <w:rPr>
            <w:noProof/>
            <w:webHidden/>
          </w:rPr>
          <w:t>192</w:t>
        </w:r>
        <w:r>
          <w:rPr>
            <w:noProof/>
            <w:webHidden/>
          </w:rPr>
          <w:fldChar w:fldCharType="end"/>
        </w:r>
      </w:hyperlink>
    </w:p>
    <w:p w14:paraId="18ACC7FA" w14:textId="0AADD06D"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45" w:history="1">
        <w:r w:rsidRPr="00610405">
          <w:rPr>
            <w:rStyle w:val="Hyperlink"/>
            <w:noProof/>
          </w:rPr>
          <w:t>Table 21: Employment, by status of employment in main job, 2014 and 2024</w:t>
        </w:r>
        <w:r>
          <w:rPr>
            <w:noProof/>
            <w:webHidden/>
          </w:rPr>
          <w:tab/>
        </w:r>
        <w:r>
          <w:rPr>
            <w:noProof/>
            <w:webHidden/>
          </w:rPr>
          <w:fldChar w:fldCharType="begin"/>
        </w:r>
        <w:r>
          <w:rPr>
            <w:noProof/>
            <w:webHidden/>
          </w:rPr>
          <w:instrText xml:space="preserve"> PAGEREF _Toc194251445 \h </w:instrText>
        </w:r>
        <w:r>
          <w:rPr>
            <w:noProof/>
            <w:webHidden/>
          </w:rPr>
        </w:r>
        <w:r>
          <w:rPr>
            <w:noProof/>
            <w:webHidden/>
          </w:rPr>
          <w:fldChar w:fldCharType="separate"/>
        </w:r>
        <w:r w:rsidR="009B6102">
          <w:rPr>
            <w:noProof/>
            <w:webHidden/>
          </w:rPr>
          <w:t>205</w:t>
        </w:r>
        <w:r>
          <w:rPr>
            <w:noProof/>
            <w:webHidden/>
          </w:rPr>
          <w:fldChar w:fldCharType="end"/>
        </w:r>
      </w:hyperlink>
    </w:p>
    <w:p w14:paraId="37808302" w14:textId="2B1F46E0"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46" w:history="1">
        <w:r w:rsidRPr="00610405">
          <w:rPr>
            <w:rStyle w:val="Hyperlink"/>
            <w:noProof/>
          </w:rPr>
          <w:t>Table 22: High-level overview of the key differences between pathways</w:t>
        </w:r>
        <w:r>
          <w:rPr>
            <w:noProof/>
            <w:webHidden/>
          </w:rPr>
          <w:tab/>
        </w:r>
        <w:r>
          <w:rPr>
            <w:noProof/>
            <w:webHidden/>
          </w:rPr>
          <w:fldChar w:fldCharType="begin"/>
        </w:r>
        <w:r>
          <w:rPr>
            <w:noProof/>
            <w:webHidden/>
          </w:rPr>
          <w:instrText xml:space="preserve"> PAGEREF _Toc194251446 \h </w:instrText>
        </w:r>
        <w:r>
          <w:rPr>
            <w:noProof/>
            <w:webHidden/>
          </w:rPr>
        </w:r>
        <w:r>
          <w:rPr>
            <w:noProof/>
            <w:webHidden/>
          </w:rPr>
          <w:fldChar w:fldCharType="separate"/>
        </w:r>
        <w:r w:rsidR="009B6102">
          <w:rPr>
            <w:noProof/>
            <w:webHidden/>
          </w:rPr>
          <w:t>246</w:t>
        </w:r>
        <w:r>
          <w:rPr>
            <w:noProof/>
            <w:webHidden/>
          </w:rPr>
          <w:fldChar w:fldCharType="end"/>
        </w:r>
      </w:hyperlink>
    </w:p>
    <w:p w14:paraId="582EBE9D" w14:textId="0804E7B4"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47" w:history="1">
        <w:r w:rsidRPr="00610405">
          <w:rPr>
            <w:rStyle w:val="Hyperlink"/>
            <w:noProof/>
          </w:rPr>
          <w:t>Table 23: Applications to the Fair Work Commission to deal with sexual harassment</w:t>
        </w:r>
        <w:r>
          <w:rPr>
            <w:noProof/>
            <w:webHidden/>
          </w:rPr>
          <w:tab/>
        </w:r>
        <w:r>
          <w:rPr>
            <w:noProof/>
            <w:webHidden/>
          </w:rPr>
          <w:fldChar w:fldCharType="begin"/>
        </w:r>
        <w:r>
          <w:rPr>
            <w:noProof/>
            <w:webHidden/>
          </w:rPr>
          <w:instrText xml:space="preserve"> PAGEREF _Toc194251447 \h </w:instrText>
        </w:r>
        <w:r>
          <w:rPr>
            <w:noProof/>
            <w:webHidden/>
          </w:rPr>
        </w:r>
        <w:r>
          <w:rPr>
            <w:noProof/>
            <w:webHidden/>
          </w:rPr>
          <w:fldChar w:fldCharType="separate"/>
        </w:r>
        <w:r w:rsidR="009B6102">
          <w:rPr>
            <w:noProof/>
            <w:webHidden/>
          </w:rPr>
          <w:t>247</w:t>
        </w:r>
        <w:r>
          <w:rPr>
            <w:noProof/>
            <w:webHidden/>
          </w:rPr>
          <w:fldChar w:fldCharType="end"/>
        </w:r>
      </w:hyperlink>
    </w:p>
    <w:p w14:paraId="1453738A" w14:textId="20168ABA"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48" w:history="1">
        <w:r w:rsidRPr="00610405">
          <w:rPr>
            <w:rStyle w:val="Hyperlink"/>
            <w:noProof/>
          </w:rPr>
          <w:t>Table 24: Office of the Fair Work Ombudsman, enforcement outcomes, 2019</w:t>
        </w:r>
        <w:r w:rsidRPr="00610405">
          <w:rPr>
            <w:rStyle w:val="Hyperlink"/>
            <w:rFonts w:ascii="Symbol" w:eastAsia="Symbol" w:hAnsi="Symbol" w:cs="Symbol"/>
            <w:noProof/>
          </w:rPr>
          <w:t></w:t>
        </w:r>
        <w:r w:rsidRPr="00610405">
          <w:rPr>
            <w:rStyle w:val="Hyperlink"/>
            <w:noProof/>
          </w:rPr>
          <w:t>20 to 2023</w:t>
        </w:r>
        <w:r w:rsidRPr="00610405">
          <w:rPr>
            <w:rStyle w:val="Hyperlink"/>
            <w:rFonts w:ascii="Symbol" w:eastAsia="Symbol" w:hAnsi="Symbol" w:cs="Symbol"/>
            <w:noProof/>
          </w:rPr>
          <w:t></w:t>
        </w:r>
        <w:r w:rsidRPr="00610405">
          <w:rPr>
            <w:rStyle w:val="Hyperlink"/>
            <w:noProof/>
          </w:rPr>
          <w:t>24</w:t>
        </w:r>
        <w:r>
          <w:rPr>
            <w:noProof/>
            <w:webHidden/>
          </w:rPr>
          <w:tab/>
        </w:r>
        <w:r>
          <w:rPr>
            <w:noProof/>
            <w:webHidden/>
          </w:rPr>
          <w:fldChar w:fldCharType="begin"/>
        </w:r>
        <w:r>
          <w:rPr>
            <w:noProof/>
            <w:webHidden/>
          </w:rPr>
          <w:instrText xml:space="preserve"> PAGEREF _Toc194251448 \h </w:instrText>
        </w:r>
        <w:r>
          <w:rPr>
            <w:noProof/>
            <w:webHidden/>
          </w:rPr>
        </w:r>
        <w:r>
          <w:rPr>
            <w:noProof/>
            <w:webHidden/>
          </w:rPr>
          <w:fldChar w:fldCharType="separate"/>
        </w:r>
        <w:r w:rsidR="009B6102">
          <w:rPr>
            <w:noProof/>
            <w:webHidden/>
          </w:rPr>
          <w:t>286</w:t>
        </w:r>
        <w:r>
          <w:rPr>
            <w:noProof/>
            <w:webHidden/>
          </w:rPr>
          <w:fldChar w:fldCharType="end"/>
        </w:r>
      </w:hyperlink>
    </w:p>
    <w:p w14:paraId="60843B30" w14:textId="4D209D47"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49" w:history="1">
        <w:r w:rsidRPr="00610405">
          <w:rPr>
            <w:rStyle w:val="Hyperlink"/>
            <w:noProof/>
          </w:rPr>
          <w:t>Table 25: Data views / downloads of translated resources</w:t>
        </w:r>
        <w:r>
          <w:rPr>
            <w:noProof/>
            <w:webHidden/>
          </w:rPr>
          <w:tab/>
        </w:r>
        <w:r>
          <w:rPr>
            <w:noProof/>
            <w:webHidden/>
          </w:rPr>
          <w:fldChar w:fldCharType="begin"/>
        </w:r>
        <w:r>
          <w:rPr>
            <w:noProof/>
            <w:webHidden/>
          </w:rPr>
          <w:instrText xml:space="preserve"> PAGEREF _Toc194251449 \h </w:instrText>
        </w:r>
        <w:r>
          <w:rPr>
            <w:noProof/>
            <w:webHidden/>
          </w:rPr>
        </w:r>
        <w:r>
          <w:rPr>
            <w:noProof/>
            <w:webHidden/>
          </w:rPr>
          <w:fldChar w:fldCharType="separate"/>
        </w:r>
        <w:r w:rsidR="009B6102">
          <w:rPr>
            <w:noProof/>
            <w:webHidden/>
          </w:rPr>
          <w:t>298</w:t>
        </w:r>
        <w:r>
          <w:rPr>
            <w:noProof/>
            <w:webHidden/>
          </w:rPr>
          <w:fldChar w:fldCharType="end"/>
        </w:r>
      </w:hyperlink>
    </w:p>
    <w:p w14:paraId="4BDF9A45" w14:textId="3477E9C2"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50" w:history="1">
        <w:r w:rsidRPr="00610405">
          <w:rPr>
            <w:rStyle w:val="Hyperlink"/>
            <w:noProof/>
          </w:rPr>
          <w:t>Table 26: Selected indicators of labour force status, November 2012 to November 2024, Australia</w:t>
        </w:r>
        <w:r>
          <w:rPr>
            <w:noProof/>
            <w:webHidden/>
          </w:rPr>
          <w:tab/>
        </w:r>
        <w:r>
          <w:rPr>
            <w:noProof/>
            <w:webHidden/>
          </w:rPr>
          <w:fldChar w:fldCharType="begin"/>
        </w:r>
        <w:r>
          <w:rPr>
            <w:noProof/>
            <w:webHidden/>
          </w:rPr>
          <w:instrText xml:space="preserve"> PAGEREF _Toc194251450 \h </w:instrText>
        </w:r>
        <w:r>
          <w:rPr>
            <w:noProof/>
            <w:webHidden/>
          </w:rPr>
        </w:r>
        <w:r>
          <w:rPr>
            <w:noProof/>
            <w:webHidden/>
          </w:rPr>
          <w:fldChar w:fldCharType="separate"/>
        </w:r>
        <w:r w:rsidR="009B6102">
          <w:rPr>
            <w:noProof/>
            <w:webHidden/>
          </w:rPr>
          <w:t>321</w:t>
        </w:r>
        <w:r>
          <w:rPr>
            <w:noProof/>
            <w:webHidden/>
          </w:rPr>
          <w:fldChar w:fldCharType="end"/>
        </w:r>
      </w:hyperlink>
    </w:p>
    <w:p w14:paraId="5C2E303E" w14:textId="40A97791"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51" w:history="1">
        <w:r w:rsidRPr="00610405">
          <w:rPr>
            <w:rStyle w:val="Hyperlink"/>
            <w:noProof/>
          </w:rPr>
          <w:t>Table 27: Employment growth and distribution by industry division, Australia</w:t>
        </w:r>
        <w:r>
          <w:rPr>
            <w:noProof/>
            <w:webHidden/>
          </w:rPr>
          <w:tab/>
        </w:r>
        <w:r>
          <w:rPr>
            <w:noProof/>
            <w:webHidden/>
          </w:rPr>
          <w:fldChar w:fldCharType="begin"/>
        </w:r>
        <w:r>
          <w:rPr>
            <w:noProof/>
            <w:webHidden/>
          </w:rPr>
          <w:instrText xml:space="preserve"> PAGEREF _Toc194251451 \h </w:instrText>
        </w:r>
        <w:r>
          <w:rPr>
            <w:noProof/>
            <w:webHidden/>
          </w:rPr>
        </w:r>
        <w:r>
          <w:rPr>
            <w:noProof/>
            <w:webHidden/>
          </w:rPr>
          <w:fldChar w:fldCharType="separate"/>
        </w:r>
        <w:r w:rsidR="009B6102">
          <w:rPr>
            <w:noProof/>
            <w:webHidden/>
          </w:rPr>
          <w:t>323</w:t>
        </w:r>
        <w:r>
          <w:rPr>
            <w:noProof/>
            <w:webHidden/>
          </w:rPr>
          <w:fldChar w:fldCharType="end"/>
        </w:r>
      </w:hyperlink>
    </w:p>
    <w:p w14:paraId="72FD98EE" w14:textId="42895886"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52" w:history="1">
        <w:r w:rsidRPr="00610405">
          <w:rPr>
            <w:rStyle w:val="Hyperlink"/>
            <w:noProof/>
          </w:rPr>
          <w:t>Table 28: Employment growth by one-digit occupation division and distribution of employment by occupation, Australia</w:t>
        </w:r>
        <w:r>
          <w:rPr>
            <w:noProof/>
            <w:webHidden/>
          </w:rPr>
          <w:tab/>
        </w:r>
        <w:r>
          <w:rPr>
            <w:noProof/>
            <w:webHidden/>
          </w:rPr>
          <w:fldChar w:fldCharType="begin"/>
        </w:r>
        <w:r>
          <w:rPr>
            <w:noProof/>
            <w:webHidden/>
          </w:rPr>
          <w:instrText xml:space="preserve"> PAGEREF _Toc194251452 \h </w:instrText>
        </w:r>
        <w:r>
          <w:rPr>
            <w:noProof/>
            <w:webHidden/>
          </w:rPr>
        </w:r>
        <w:r>
          <w:rPr>
            <w:noProof/>
            <w:webHidden/>
          </w:rPr>
          <w:fldChar w:fldCharType="separate"/>
        </w:r>
        <w:r w:rsidR="009B6102">
          <w:rPr>
            <w:noProof/>
            <w:webHidden/>
          </w:rPr>
          <w:t>324</w:t>
        </w:r>
        <w:r>
          <w:rPr>
            <w:noProof/>
            <w:webHidden/>
          </w:rPr>
          <w:fldChar w:fldCharType="end"/>
        </w:r>
      </w:hyperlink>
    </w:p>
    <w:p w14:paraId="05E0DD92" w14:textId="247B9687"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53" w:history="1">
        <w:r w:rsidRPr="00610405">
          <w:rPr>
            <w:rStyle w:val="Hyperlink"/>
            <w:noProof/>
          </w:rPr>
          <w:t>Table 29: Employed persons by sex and status in employment of main job</w:t>
        </w:r>
        <w:r>
          <w:rPr>
            <w:noProof/>
            <w:webHidden/>
          </w:rPr>
          <w:tab/>
        </w:r>
        <w:r>
          <w:rPr>
            <w:noProof/>
            <w:webHidden/>
          </w:rPr>
          <w:fldChar w:fldCharType="begin"/>
        </w:r>
        <w:r>
          <w:rPr>
            <w:noProof/>
            <w:webHidden/>
          </w:rPr>
          <w:instrText xml:space="preserve"> PAGEREF _Toc194251453 \h </w:instrText>
        </w:r>
        <w:r>
          <w:rPr>
            <w:noProof/>
            <w:webHidden/>
          </w:rPr>
        </w:r>
        <w:r>
          <w:rPr>
            <w:noProof/>
            <w:webHidden/>
          </w:rPr>
          <w:fldChar w:fldCharType="separate"/>
        </w:r>
        <w:r w:rsidR="009B6102">
          <w:rPr>
            <w:noProof/>
            <w:webHidden/>
          </w:rPr>
          <w:t>328</w:t>
        </w:r>
        <w:r>
          <w:rPr>
            <w:noProof/>
            <w:webHidden/>
          </w:rPr>
          <w:fldChar w:fldCharType="end"/>
        </w:r>
      </w:hyperlink>
    </w:p>
    <w:p w14:paraId="1EA0EE4D" w14:textId="26A4F6D1"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54" w:history="1">
        <w:r w:rsidRPr="00610405">
          <w:rPr>
            <w:rStyle w:val="Hyperlink"/>
            <w:noProof/>
          </w:rPr>
          <w:t>Table 30: Working arrangements, Australia</w:t>
        </w:r>
        <w:r>
          <w:rPr>
            <w:noProof/>
            <w:webHidden/>
          </w:rPr>
          <w:tab/>
        </w:r>
        <w:r>
          <w:rPr>
            <w:noProof/>
            <w:webHidden/>
          </w:rPr>
          <w:fldChar w:fldCharType="begin"/>
        </w:r>
        <w:r>
          <w:rPr>
            <w:noProof/>
            <w:webHidden/>
          </w:rPr>
          <w:instrText xml:space="preserve"> PAGEREF _Toc194251454 \h </w:instrText>
        </w:r>
        <w:r>
          <w:rPr>
            <w:noProof/>
            <w:webHidden/>
          </w:rPr>
        </w:r>
        <w:r>
          <w:rPr>
            <w:noProof/>
            <w:webHidden/>
          </w:rPr>
          <w:fldChar w:fldCharType="separate"/>
        </w:r>
        <w:r w:rsidR="009B6102">
          <w:rPr>
            <w:noProof/>
            <w:webHidden/>
          </w:rPr>
          <w:t>329</w:t>
        </w:r>
        <w:r>
          <w:rPr>
            <w:noProof/>
            <w:webHidden/>
          </w:rPr>
          <w:fldChar w:fldCharType="end"/>
        </w:r>
      </w:hyperlink>
    </w:p>
    <w:p w14:paraId="1EE2C5A9" w14:textId="31F4CA4F"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55" w:history="1">
        <w:r w:rsidRPr="00610405">
          <w:rPr>
            <w:rStyle w:val="Hyperlink"/>
            <w:noProof/>
          </w:rPr>
          <w:t>Table 31: Fixed term employment, by status in main job</w:t>
        </w:r>
        <w:r>
          <w:rPr>
            <w:noProof/>
            <w:webHidden/>
          </w:rPr>
          <w:tab/>
        </w:r>
        <w:r>
          <w:rPr>
            <w:noProof/>
            <w:webHidden/>
          </w:rPr>
          <w:fldChar w:fldCharType="begin"/>
        </w:r>
        <w:r>
          <w:rPr>
            <w:noProof/>
            <w:webHidden/>
          </w:rPr>
          <w:instrText xml:space="preserve"> PAGEREF _Toc194251455 \h </w:instrText>
        </w:r>
        <w:r>
          <w:rPr>
            <w:noProof/>
            <w:webHidden/>
          </w:rPr>
        </w:r>
        <w:r>
          <w:rPr>
            <w:noProof/>
            <w:webHidden/>
          </w:rPr>
          <w:fldChar w:fldCharType="separate"/>
        </w:r>
        <w:r w:rsidR="009B6102">
          <w:rPr>
            <w:noProof/>
            <w:webHidden/>
          </w:rPr>
          <w:t>330</w:t>
        </w:r>
        <w:r>
          <w:rPr>
            <w:noProof/>
            <w:webHidden/>
          </w:rPr>
          <w:fldChar w:fldCharType="end"/>
        </w:r>
      </w:hyperlink>
    </w:p>
    <w:p w14:paraId="7CC59505" w14:textId="45548C64"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56" w:history="1">
        <w:r w:rsidRPr="00610405">
          <w:rPr>
            <w:rStyle w:val="Hyperlink"/>
            <w:noProof/>
          </w:rPr>
          <w:t>Table 32: Fixed term employment, by duration of employment in main job</w:t>
        </w:r>
        <w:r>
          <w:rPr>
            <w:noProof/>
            <w:webHidden/>
          </w:rPr>
          <w:tab/>
        </w:r>
        <w:r>
          <w:rPr>
            <w:noProof/>
            <w:webHidden/>
          </w:rPr>
          <w:fldChar w:fldCharType="begin"/>
        </w:r>
        <w:r>
          <w:rPr>
            <w:noProof/>
            <w:webHidden/>
          </w:rPr>
          <w:instrText xml:space="preserve"> PAGEREF _Toc194251456 \h </w:instrText>
        </w:r>
        <w:r>
          <w:rPr>
            <w:noProof/>
            <w:webHidden/>
          </w:rPr>
        </w:r>
        <w:r>
          <w:rPr>
            <w:noProof/>
            <w:webHidden/>
          </w:rPr>
          <w:fldChar w:fldCharType="separate"/>
        </w:r>
        <w:r w:rsidR="009B6102">
          <w:rPr>
            <w:noProof/>
            <w:webHidden/>
          </w:rPr>
          <w:t>330</w:t>
        </w:r>
        <w:r>
          <w:rPr>
            <w:noProof/>
            <w:webHidden/>
          </w:rPr>
          <w:fldChar w:fldCharType="end"/>
        </w:r>
      </w:hyperlink>
    </w:p>
    <w:p w14:paraId="42F2DC99" w14:textId="657B243D"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57" w:history="1">
        <w:r w:rsidRPr="00610405">
          <w:rPr>
            <w:rStyle w:val="Hyperlink"/>
            <w:noProof/>
          </w:rPr>
          <w:t>Table 33: Fixed term employment, by expectation of future employment in main job</w:t>
        </w:r>
        <w:r>
          <w:rPr>
            <w:noProof/>
            <w:webHidden/>
          </w:rPr>
          <w:tab/>
        </w:r>
        <w:r>
          <w:rPr>
            <w:noProof/>
            <w:webHidden/>
          </w:rPr>
          <w:fldChar w:fldCharType="begin"/>
        </w:r>
        <w:r>
          <w:rPr>
            <w:noProof/>
            <w:webHidden/>
          </w:rPr>
          <w:instrText xml:space="preserve"> PAGEREF _Toc194251457 \h </w:instrText>
        </w:r>
        <w:r>
          <w:rPr>
            <w:noProof/>
            <w:webHidden/>
          </w:rPr>
        </w:r>
        <w:r>
          <w:rPr>
            <w:noProof/>
            <w:webHidden/>
          </w:rPr>
          <w:fldChar w:fldCharType="separate"/>
        </w:r>
        <w:r w:rsidR="009B6102">
          <w:rPr>
            <w:noProof/>
            <w:webHidden/>
          </w:rPr>
          <w:t>330</w:t>
        </w:r>
        <w:r>
          <w:rPr>
            <w:noProof/>
            <w:webHidden/>
          </w:rPr>
          <w:fldChar w:fldCharType="end"/>
        </w:r>
      </w:hyperlink>
    </w:p>
    <w:p w14:paraId="7A05B61E" w14:textId="2BB33CA3"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58" w:history="1">
        <w:r w:rsidRPr="00610405">
          <w:rPr>
            <w:rStyle w:val="Hyperlink"/>
            <w:noProof/>
          </w:rPr>
          <w:t>Table 34: Fixed term employment, by occupation of main job</w:t>
        </w:r>
        <w:r>
          <w:rPr>
            <w:noProof/>
            <w:webHidden/>
          </w:rPr>
          <w:tab/>
        </w:r>
        <w:r>
          <w:rPr>
            <w:noProof/>
            <w:webHidden/>
          </w:rPr>
          <w:fldChar w:fldCharType="begin"/>
        </w:r>
        <w:r>
          <w:rPr>
            <w:noProof/>
            <w:webHidden/>
          </w:rPr>
          <w:instrText xml:space="preserve"> PAGEREF _Toc194251458 \h </w:instrText>
        </w:r>
        <w:r>
          <w:rPr>
            <w:noProof/>
            <w:webHidden/>
          </w:rPr>
        </w:r>
        <w:r>
          <w:rPr>
            <w:noProof/>
            <w:webHidden/>
          </w:rPr>
          <w:fldChar w:fldCharType="separate"/>
        </w:r>
        <w:r w:rsidR="009B6102">
          <w:rPr>
            <w:noProof/>
            <w:webHidden/>
          </w:rPr>
          <w:t>331</w:t>
        </w:r>
        <w:r>
          <w:rPr>
            <w:noProof/>
            <w:webHidden/>
          </w:rPr>
          <w:fldChar w:fldCharType="end"/>
        </w:r>
      </w:hyperlink>
    </w:p>
    <w:p w14:paraId="48288340" w14:textId="629AC643"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59" w:history="1">
        <w:r w:rsidRPr="00610405">
          <w:rPr>
            <w:rStyle w:val="Hyperlink"/>
            <w:noProof/>
          </w:rPr>
          <w:t>Table 35: Fixed term employment, by industry of main job</w:t>
        </w:r>
        <w:r>
          <w:rPr>
            <w:noProof/>
            <w:webHidden/>
          </w:rPr>
          <w:tab/>
        </w:r>
        <w:r>
          <w:rPr>
            <w:noProof/>
            <w:webHidden/>
          </w:rPr>
          <w:fldChar w:fldCharType="begin"/>
        </w:r>
        <w:r>
          <w:rPr>
            <w:noProof/>
            <w:webHidden/>
          </w:rPr>
          <w:instrText xml:space="preserve"> PAGEREF _Toc194251459 \h </w:instrText>
        </w:r>
        <w:r>
          <w:rPr>
            <w:noProof/>
            <w:webHidden/>
          </w:rPr>
        </w:r>
        <w:r>
          <w:rPr>
            <w:noProof/>
            <w:webHidden/>
          </w:rPr>
          <w:fldChar w:fldCharType="separate"/>
        </w:r>
        <w:r w:rsidR="009B6102">
          <w:rPr>
            <w:noProof/>
            <w:webHidden/>
          </w:rPr>
          <w:t>332</w:t>
        </w:r>
        <w:r>
          <w:rPr>
            <w:noProof/>
            <w:webHidden/>
          </w:rPr>
          <w:fldChar w:fldCharType="end"/>
        </w:r>
      </w:hyperlink>
    </w:p>
    <w:p w14:paraId="55400CE2" w14:textId="4565588D"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60" w:history="1">
        <w:r w:rsidRPr="00610405">
          <w:rPr>
            <w:rStyle w:val="Hyperlink"/>
            <w:noProof/>
          </w:rPr>
          <w:t>Table 36: Trade union membership by occupation, August 2024</w:t>
        </w:r>
        <w:r>
          <w:rPr>
            <w:noProof/>
            <w:webHidden/>
          </w:rPr>
          <w:tab/>
        </w:r>
        <w:r>
          <w:rPr>
            <w:noProof/>
            <w:webHidden/>
          </w:rPr>
          <w:fldChar w:fldCharType="begin"/>
        </w:r>
        <w:r>
          <w:rPr>
            <w:noProof/>
            <w:webHidden/>
          </w:rPr>
          <w:instrText xml:space="preserve"> PAGEREF _Toc194251460 \h </w:instrText>
        </w:r>
        <w:r>
          <w:rPr>
            <w:noProof/>
            <w:webHidden/>
          </w:rPr>
        </w:r>
        <w:r>
          <w:rPr>
            <w:noProof/>
            <w:webHidden/>
          </w:rPr>
          <w:fldChar w:fldCharType="separate"/>
        </w:r>
        <w:r w:rsidR="009B6102">
          <w:rPr>
            <w:noProof/>
            <w:webHidden/>
          </w:rPr>
          <w:t>336</w:t>
        </w:r>
        <w:r>
          <w:rPr>
            <w:noProof/>
            <w:webHidden/>
          </w:rPr>
          <w:fldChar w:fldCharType="end"/>
        </w:r>
      </w:hyperlink>
    </w:p>
    <w:p w14:paraId="153B23C1" w14:textId="77A3C4F3"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61" w:history="1">
        <w:r w:rsidRPr="00610405">
          <w:rPr>
            <w:rStyle w:val="Hyperlink"/>
            <w:noProof/>
          </w:rPr>
          <w:t>Table 37: Union membership (%) by employment status and method of pay setting status in main job, 2012 to 2023</w:t>
        </w:r>
        <w:r>
          <w:rPr>
            <w:noProof/>
            <w:webHidden/>
          </w:rPr>
          <w:tab/>
        </w:r>
        <w:r>
          <w:rPr>
            <w:noProof/>
            <w:webHidden/>
          </w:rPr>
          <w:fldChar w:fldCharType="begin"/>
        </w:r>
        <w:r>
          <w:rPr>
            <w:noProof/>
            <w:webHidden/>
          </w:rPr>
          <w:instrText xml:space="preserve"> PAGEREF _Toc194251461 \h </w:instrText>
        </w:r>
        <w:r>
          <w:rPr>
            <w:noProof/>
            <w:webHidden/>
          </w:rPr>
        </w:r>
        <w:r>
          <w:rPr>
            <w:noProof/>
            <w:webHidden/>
          </w:rPr>
          <w:fldChar w:fldCharType="separate"/>
        </w:r>
        <w:r w:rsidR="009B6102">
          <w:rPr>
            <w:noProof/>
            <w:webHidden/>
          </w:rPr>
          <w:t>337</w:t>
        </w:r>
        <w:r>
          <w:rPr>
            <w:noProof/>
            <w:webHidden/>
          </w:rPr>
          <w:fldChar w:fldCharType="end"/>
        </w:r>
      </w:hyperlink>
    </w:p>
    <w:p w14:paraId="18D75AF0" w14:textId="6168D0D9"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62" w:history="1">
        <w:r w:rsidRPr="00610405">
          <w:rPr>
            <w:rStyle w:val="Hyperlink"/>
            <w:noProof/>
          </w:rPr>
          <w:t>Table 38: Share of fixed term contract holders who earn over the high income threshold, 2001 to 2023</w:t>
        </w:r>
        <w:r>
          <w:rPr>
            <w:noProof/>
            <w:webHidden/>
          </w:rPr>
          <w:tab/>
        </w:r>
        <w:r>
          <w:rPr>
            <w:noProof/>
            <w:webHidden/>
          </w:rPr>
          <w:fldChar w:fldCharType="begin"/>
        </w:r>
        <w:r>
          <w:rPr>
            <w:noProof/>
            <w:webHidden/>
          </w:rPr>
          <w:instrText xml:space="preserve"> PAGEREF _Toc194251462 \h </w:instrText>
        </w:r>
        <w:r>
          <w:rPr>
            <w:noProof/>
            <w:webHidden/>
          </w:rPr>
        </w:r>
        <w:r>
          <w:rPr>
            <w:noProof/>
            <w:webHidden/>
          </w:rPr>
          <w:fldChar w:fldCharType="separate"/>
        </w:r>
        <w:r w:rsidR="009B6102">
          <w:rPr>
            <w:noProof/>
            <w:webHidden/>
          </w:rPr>
          <w:t>342</w:t>
        </w:r>
        <w:r>
          <w:rPr>
            <w:noProof/>
            <w:webHidden/>
          </w:rPr>
          <w:fldChar w:fldCharType="end"/>
        </w:r>
      </w:hyperlink>
    </w:p>
    <w:p w14:paraId="18C86907" w14:textId="45C41363"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63" w:history="1">
        <w:r w:rsidRPr="00610405">
          <w:rPr>
            <w:rStyle w:val="Hyperlink"/>
            <w:noProof/>
          </w:rPr>
          <w:t>Table 39: Logit regressions –characteristics of employees who transition from fixed-to-fixed and from fixed-to-permanent contracts, 2001 to 2023</w:t>
        </w:r>
        <w:r>
          <w:rPr>
            <w:noProof/>
            <w:webHidden/>
          </w:rPr>
          <w:tab/>
        </w:r>
        <w:r>
          <w:rPr>
            <w:noProof/>
            <w:webHidden/>
          </w:rPr>
          <w:fldChar w:fldCharType="begin"/>
        </w:r>
        <w:r>
          <w:rPr>
            <w:noProof/>
            <w:webHidden/>
          </w:rPr>
          <w:instrText xml:space="preserve"> PAGEREF _Toc194251463 \h </w:instrText>
        </w:r>
        <w:r>
          <w:rPr>
            <w:noProof/>
            <w:webHidden/>
          </w:rPr>
        </w:r>
        <w:r>
          <w:rPr>
            <w:noProof/>
            <w:webHidden/>
          </w:rPr>
          <w:fldChar w:fldCharType="separate"/>
        </w:r>
        <w:r w:rsidR="009B6102">
          <w:rPr>
            <w:noProof/>
            <w:webHidden/>
          </w:rPr>
          <w:t>344</w:t>
        </w:r>
        <w:r>
          <w:rPr>
            <w:noProof/>
            <w:webHidden/>
          </w:rPr>
          <w:fldChar w:fldCharType="end"/>
        </w:r>
      </w:hyperlink>
    </w:p>
    <w:p w14:paraId="5B720217" w14:textId="44C11EEF"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64" w:history="1">
        <w:r w:rsidRPr="00610405">
          <w:rPr>
            <w:rStyle w:val="Hyperlink"/>
            <w:noProof/>
          </w:rPr>
          <w:t>Table 40: Source of wage data in Australia</w:t>
        </w:r>
        <w:r>
          <w:rPr>
            <w:noProof/>
            <w:webHidden/>
          </w:rPr>
          <w:tab/>
        </w:r>
        <w:r>
          <w:rPr>
            <w:noProof/>
            <w:webHidden/>
          </w:rPr>
          <w:fldChar w:fldCharType="begin"/>
        </w:r>
        <w:r>
          <w:rPr>
            <w:noProof/>
            <w:webHidden/>
          </w:rPr>
          <w:instrText xml:space="preserve"> PAGEREF _Toc194251464 \h </w:instrText>
        </w:r>
        <w:r>
          <w:rPr>
            <w:noProof/>
            <w:webHidden/>
          </w:rPr>
        </w:r>
        <w:r>
          <w:rPr>
            <w:noProof/>
            <w:webHidden/>
          </w:rPr>
          <w:fldChar w:fldCharType="separate"/>
        </w:r>
        <w:r w:rsidR="009B6102">
          <w:rPr>
            <w:noProof/>
            <w:webHidden/>
          </w:rPr>
          <w:t>347</w:t>
        </w:r>
        <w:r>
          <w:rPr>
            <w:noProof/>
            <w:webHidden/>
          </w:rPr>
          <w:fldChar w:fldCharType="end"/>
        </w:r>
      </w:hyperlink>
    </w:p>
    <w:p w14:paraId="3FC7104F" w14:textId="23B753E0"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65" w:history="1">
        <w:r w:rsidRPr="00610405">
          <w:rPr>
            <w:rStyle w:val="Hyperlink"/>
            <w:noProof/>
          </w:rPr>
          <w:t>Table 41: Real and nominal wage growth</w:t>
        </w:r>
        <w:r>
          <w:rPr>
            <w:noProof/>
            <w:webHidden/>
          </w:rPr>
          <w:tab/>
        </w:r>
        <w:r>
          <w:rPr>
            <w:noProof/>
            <w:webHidden/>
          </w:rPr>
          <w:fldChar w:fldCharType="begin"/>
        </w:r>
        <w:r>
          <w:rPr>
            <w:noProof/>
            <w:webHidden/>
          </w:rPr>
          <w:instrText xml:space="preserve"> PAGEREF _Toc194251465 \h </w:instrText>
        </w:r>
        <w:r>
          <w:rPr>
            <w:noProof/>
            <w:webHidden/>
          </w:rPr>
        </w:r>
        <w:r>
          <w:rPr>
            <w:noProof/>
            <w:webHidden/>
          </w:rPr>
          <w:fldChar w:fldCharType="separate"/>
        </w:r>
        <w:r w:rsidR="009B6102">
          <w:rPr>
            <w:noProof/>
            <w:webHidden/>
          </w:rPr>
          <w:t>350</w:t>
        </w:r>
        <w:r>
          <w:rPr>
            <w:noProof/>
            <w:webHidden/>
          </w:rPr>
          <w:fldChar w:fldCharType="end"/>
        </w:r>
      </w:hyperlink>
    </w:p>
    <w:p w14:paraId="52C98C60" w14:textId="2AF7A899"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66" w:history="1">
        <w:r w:rsidRPr="00610405">
          <w:rPr>
            <w:rStyle w:val="Hyperlink"/>
            <w:noProof/>
          </w:rPr>
          <w:t>Table 42: Nominal and real wage growth by industry and sectors, December 2010 to December 2024</w:t>
        </w:r>
        <w:r>
          <w:rPr>
            <w:noProof/>
            <w:webHidden/>
          </w:rPr>
          <w:tab/>
        </w:r>
        <w:r>
          <w:rPr>
            <w:noProof/>
            <w:webHidden/>
          </w:rPr>
          <w:fldChar w:fldCharType="begin"/>
        </w:r>
        <w:r>
          <w:rPr>
            <w:noProof/>
            <w:webHidden/>
          </w:rPr>
          <w:instrText xml:space="preserve"> PAGEREF _Toc194251466 \h </w:instrText>
        </w:r>
        <w:r>
          <w:rPr>
            <w:noProof/>
            <w:webHidden/>
          </w:rPr>
        </w:r>
        <w:r>
          <w:rPr>
            <w:noProof/>
            <w:webHidden/>
          </w:rPr>
          <w:fldChar w:fldCharType="separate"/>
        </w:r>
        <w:r w:rsidR="009B6102">
          <w:rPr>
            <w:noProof/>
            <w:webHidden/>
          </w:rPr>
          <w:t>352</w:t>
        </w:r>
        <w:r>
          <w:rPr>
            <w:noProof/>
            <w:webHidden/>
          </w:rPr>
          <w:fldChar w:fldCharType="end"/>
        </w:r>
      </w:hyperlink>
    </w:p>
    <w:p w14:paraId="191B2B60" w14:textId="32075512"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67" w:history="1">
        <w:r w:rsidRPr="00610405">
          <w:rPr>
            <w:rStyle w:val="Hyperlink"/>
            <w:noProof/>
          </w:rPr>
          <w:t>Table 43: Nominal and real wage growth by pay setting method, 2010 to 2024</w:t>
        </w:r>
        <w:r>
          <w:rPr>
            <w:noProof/>
            <w:webHidden/>
          </w:rPr>
          <w:tab/>
        </w:r>
        <w:r>
          <w:rPr>
            <w:noProof/>
            <w:webHidden/>
          </w:rPr>
          <w:fldChar w:fldCharType="begin"/>
        </w:r>
        <w:r>
          <w:rPr>
            <w:noProof/>
            <w:webHidden/>
          </w:rPr>
          <w:instrText xml:space="preserve"> PAGEREF _Toc194251467 \h </w:instrText>
        </w:r>
        <w:r>
          <w:rPr>
            <w:noProof/>
            <w:webHidden/>
          </w:rPr>
        </w:r>
        <w:r>
          <w:rPr>
            <w:noProof/>
            <w:webHidden/>
          </w:rPr>
          <w:fldChar w:fldCharType="separate"/>
        </w:r>
        <w:r w:rsidR="009B6102">
          <w:rPr>
            <w:noProof/>
            <w:webHidden/>
          </w:rPr>
          <w:t>355</w:t>
        </w:r>
        <w:r>
          <w:rPr>
            <w:noProof/>
            <w:webHidden/>
          </w:rPr>
          <w:fldChar w:fldCharType="end"/>
        </w:r>
      </w:hyperlink>
    </w:p>
    <w:p w14:paraId="425BB5F3" w14:textId="5ACCB6C1"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68" w:history="1">
        <w:r w:rsidRPr="00610405">
          <w:rPr>
            <w:rStyle w:val="Hyperlink"/>
            <w:noProof/>
          </w:rPr>
          <w:t>Table 44: Quarterly contribution to wage growth by pay setting method, 2010 to 2024</w:t>
        </w:r>
        <w:r>
          <w:rPr>
            <w:noProof/>
            <w:webHidden/>
          </w:rPr>
          <w:tab/>
        </w:r>
        <w:r>
          <w:rPr>
            <w:noProof/>
            <w:webHidden/>
          </w:rPr>
          <w:fldChar w:fldCharType="begin"/>
        </w:r>
        <w:r>
          <w:rPr>
            <w:noProof/>
            <w:webHidden/>
          </w:rPr>
          <w:instrText xml:space="preserve"> PAGEREF _Toc194251468 \h </w:instrText>
        </w:r>
        <w:r>
          <w:rPr>
            <w:noProof/>
            <w:webHidden/>
          </w:rPr>
        </w:r>
        <w:r>
          <w:rPr>
            <w:noProof/>
            <w:webHidden/>
          </w:rPr>
          <w:fldChar w:fldCharType="separate"/>
        </w:r>
        <w:r w:rsidR="009B6102">
          <w:rPr>
            <w:noProof/>
            <w:webHidden/>
          </w:rPr>
          <w:t>358</w:t>
        </w:r>
        <w:r>
          <w:rPr>
            <w:noProof/>
            <w:webHidden/>
          </w:rPr>
          <w:fldChar w:fldCharType="end"/>
        </w:r>
      </w:hyperlink>
    </w:p>
    <w:p w14:paraId="53600E55" w14:textId="65BA4208"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69" w:history="1">
        <w:r w:rsidRPr="00610405">
          <w:rPr>
            <w:rStyle w:val="Hyperlink"/>
            <w:noProof/>
          </w:rPr>
          <w:t>Table 45: Contribution (%-point) to wage growth over the four quarters to December of each year, December 2011 to December 2024</w:t>
        </w:r>
        <w:r>
          <w:rPr>
            <w:noProof/>
            <w:webHidden/>
          </w:rPr>
          <w:tab/>
        </w:r>
        <w:r>
          <w:rPr>
            <w:noProof/>
            <w:webHidden/>
          </w:rPr>
          <w:fldChar w:fldCharType="begin"/>
        </w:r>
        <w:r>
          <w:rPr>
            <w:noProof/>
            <w:webHidden/>
          </w:rPr>
          <w:instrText xml:space="preserve"> PAGEREF _Toc194251469 \h </w:instrText>
        </w:r>
        <w:r>
          <w:rPr>
            <w:noProof/>
            <w:webHidden/>
          </w:rPr>
        </w:r>
        <w:r>
          <w:rPr>
            <w:noProof/>
            <w:webHidden/>
          </w:rPr>
          <w:fldChar w:fldCharType="separate"/>
        </w:r>
        <w:r w:rsidR="009B6102">
          <w:rPr>
            <w:noProof/>
            <w:webHidden/>
          </w:rPr>
          <w:t>361</w:t>
        </w:r>
        <w:r>
          <w:rPr>
            <w:noProof/>
            <w:webHidden/>
          </w:rPr>
          <w:fldChar w:fldCharType="end"/>
        </w:r>
      </w:hyperlink>
    </w:p>
    <w:p w14:paraId="2712B1AA" w14:textId="28C9739B"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70" w:history="1">
        <w:r w:rsidRPr="00610405">
          <w:rPr>
            <w:rStyle w:val="Hyperlink"/>
            <w:noProof/>
          </w:rPr>
          <w:t>Table 46: Contribution (%) of different pay setting arrangements to total wage growth in each year, 2011 to 2024</w:t>
        </w:r>
        <w:r>
          <w:rPr>
            <w:noProof/>
            <w:webHidden/>
          </w:rPr>
          <w:tab/>
        </w:r>
        <w:r>
          <w:rPr>
            <w:noProof/>
            <w:webHidden/>
          </w:rPr>
          <w:fldChar w:fldCharType="begin"/>
        </w:r>
        <w:r>
          <w:rPr>
            <w:noProof/>
            <w:webHidden/>
          </w:rPr>
          <w:instrText xml:space="preserve"> PAGEREF _Toc194251470 \h </w:instrText>
        </w:r>
        <w:r>
          <w:rPr>
            <w:noProof/>
            <w:webHidden/>
          </w:rPr>
        </w:r>
        <w:r>
          <w:rPr>
            <w:noProof/>
            <w:webHidden/>
          </w:rPr>
          <w:fldChar w:fldCharType="separate"/>
        </w:r>
        <w:r w:rsidR="009B6102">
          <w:rPr>
            <w:noProof/>
            <w:webHidden/>
          </w:rPr>
          <w:t>363</w:t>
        </w:r>
        <w:r>
          <w:rPr>
            <w:noProof/>
            <w:webHidden/>
          </w:rPr>
          <w:fldChar w:fldCharType="end"/>
        </w:r>
      </w:hyperlink>
    </w:p>
    <w:p w14:paraId="133697FC" w14:textId="5E9CD975"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71" w:history="1">
        <w:r w:rsidRPr="00610405">
          <w:rPr>
            <w:rStyle w:val="Hyperlink"/>
            <w:noProof/>
          </w:rPr>
          <w:t>Table 47: Changes in average weekly ordinary time earnings  and gender wage gap since 2022</w:t>
        </w:r>
        <w:r>
          <w:rPr>
            <w:noProof/>
            <w:webHidden/>
          </w:rPr>
          <w:tab/>
        </w:r>
        <w:r>
          <w:rPr>
            <w:noProof/>
            <w:webHidden/>
          </w:rPr>
          <w:fldChar w:fldCharType="begin"/>
        </w:r>
        <w:r>
          <w:rPr>
            <w:noProof/>
            <w:webHidden/>
          </w:rPr>
          <w:instrText xml:space="preserve"> PAGEREF _Toc194251471 \h </w:instrText>
        </w:r>
        <w:r>
          <w:rPr>
            <w:noProof/>
            <w:webHidden/>
          </w:rPr>
        </w:r>
        <w:r>
          <w:rPr>
            <w:noProof/>
            <w:webHidden/>
          </w:rPr>
          <w:fldChar w:fldCharType="separate"/>
        </w:r>
        <w:r w:rsidR="009B6102">
          <w:rPr>
            <w:noProof/>
            <w:webHidden/>
          </w:rPr>
          <w:t>367</w:t>
        </w:r>
        <w:r>
          <w:rPr>
            <w:noProof/>
            <w:webHidden/>
          </w:rPr>
          <w:fldChar w:fldCharType="end"/>
        </w:r>
      </w:hyperlink>
    </w:p>
    <w:p w14:paraId="30714E21" w14:textId="78944864"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72" w:history="1">
        <w:r w:rsidRPr="00610405">
          <w:rPr>
            <w:rStyle w:val="Hyperlink"/>
            <w:noProof/>
          </w:rPr>
          <w:t>Table 48: Number of employees by employment status and method of pay setting, May 2023</w:t>
        </w:r>
        <w:r>
          <w:rPr>
            <w:noProof/>
            <w:webHidden/>
          </w:rPr>
          <w:tab/>
        </w:r>
        <w:r>
          <w:rPr>
            <w:noProof/>
            <w:webHidden/>
          </w:rPr>
          <w:fldChar w:fldCharType="begin"/>
        </w:r>
        <w:r>
          <w:rPr>
            <w:noProof/>
            <w:webHidden/>
          </w:rPr>
          <w:instrText xml:space="preserve"> PAGEREF _Toc194251472 \h </w:instrText>
        </w:r>
        <w:r>
          <w:rPr>
            <w:noProof/>
            <w:webHidden/>
          </w:rPr>
        </w:r>
        <w:r>
          <w:rPr>
            <w:noProof/>
            <w:webHidden/>
          </w:rPr>
          <w:fldChar w:fldCharType="separate"/>
        </w:r>
        <w:r w:rsidR="009B6102">
          <w:rPr>
            <w:noProof/>
            <w:webHidden/>
          </w:rPr>
          <w:t>370</w:t>
        </w:r>
        <w:r>
          <w:rPr>
            <w:noProof/>
            <w:webHidden/>
          </w:rPr>
          <w:fldChar w:fldCharType="end"/>
        </w:r>
      </w:hyperlink>
    </w:p>
    <w:p w14:paraId="05CF0895" w14:textId="76ECA24F"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73" w:history="1">
        <w:r w:rsidRPr="00610405">
          <w:rPr>
            <w:rStyle w:val="Hyperlink"/>
            <w:noProof/>
          </w:rPr>
          <w:t>Table 49: Distribution of employees over different methods of pay setting</w:t>
        </w:r>
        <w:r>
          <w:rPr>
            <w:noProof/>
            <w:webHidden/>
          </w:rPr>
          <w:tab/>
        </w:r>
        <w:r>
          <w:rPr>
            <w:noProof/>
            <w:webHidden/>
          </w:rPr>
          <w:fldChar w:fldCharType="begin"/>
        </w:r>
        <w:r>
          <w:rPr>
            <w:noProof/>
            <w:webHidden/>
          </w:rPr>
          <w:instrText xml:space="preserve"> PAGEREF _Toc194251473 \h </w:instrText>
        </w:r>
        <w:r>
          <w:rPr>
            <w:noProof/>
            <w:webHidden/>
          </w:rPr>
        </w:r>
        <w:r>
          <w:rPr>
            <w:noProof/>
            <w:webHidden/>
          </w:rPr>
          <w:fldChar w:fldCharType="separate"/>
        </w:r>
        <w:r w:rsidR="009B6102">
          <w:rPr>
            <w:noProof/>
            <w:webHidden/>
          </w:rPr>
          <w:t>371</w:t>
        </w:r>
        <w:r>
          <w:rPr>
            <w:noProof/>
            <w:webHidden/>
          </w:rPr>
          <w:fldChar w:fldCharType="end"/>
        </w:r>
      </w:hyperlink>
    </w:p>
    <w:p w14:paraId="7288DF44" w14:textId="12D1B184"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74" w:history="1">
        <w:r w:rsidRPr="00610405">
          <w:rPr>
            <w:rStyle w:val="Hyperlink"/>
            <w:noProof/>
          </w:rPr>
          <w:t>Table 50: Average hourly total cash earnings of non-managerial employees employed full-time and paid at the adult rate, by method of pay setting, May 2023</w:t>
        </w:r>
        <w:r>
          <w:rPr>
            <w:noProof/>
            <w:webHidden/>
          </w:rPr>
          <w:tab/>
        </w:r>
        <w:r>
          <w:rPr>
            <w:noProof/>
            <w:webHidden/>
          </w:rPr>
          <w:fldChar w:fldCharType="begin"/>
        </w:r>
        <w:r>
          <w:rPr>
            <w:noProof/>
            <w:webHidden/>
          </w:rPr>
          <w:instrText xml:space="preserve"> PAGEREF _Toc194251474 \h </w:instrText>
        </w:r>
        <w:r>
          <w:rPr>
            <w:noProof/>
            <w:webHidden/>
          </w:rPr>
        </w:r>
        <w:r>
          <w:rPr>
            <w:noProof/>
            <w:webHidden/>
          </w:rPr>
          <w:fldChar w:fldCharType="separate"/>
        </w:r>
        <w:r w:rsidR="009B6102">
          <w:rPr>
            <w:noProof/>
            <w:webHidden/>
          </w:rPr>
          <w:t>372</w:t>
        </w:r>
        <w:r>
          <w:rPr>
            <w:noProof/>
            <w:webHidden/>
          </w:rPr>
          <w:fldChar w:fldCharType="end"/>
        </w:r>
      </w:hyperlink>
    </w:p>
    <w:p w14:paraId="07EA3B2D" w14:textId="6D7735E4"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75" w:history="1">
        <w:r w:rsidRPr="00610405">
          <w:rPr>
            <w:rStyle w:val="Hyperlink"/>
            <w:noProof/>
          </w:rPr>
          <w:t>Table 51: Average hourly (total cash) earnings by sector, employer size and method of pay setting, May 2023</w:t>
        </w:r>
        <w:r>
          <w:rPr>
            <w:noProof/>
            <w:webHidden/>
          </w:rPr>
          <w:tab/>
        </w:r>
        <w:r>
          <w:rPr>
            <w:noProof/>
            <w:webHidden/>
          </w:rPr>
          <w:fldChar w:fldCharType="begin"/>
        </w:r>
        <w:r>
          <w:rPr>
            <w:noProof/>
            <w:webHidden/>
          </w:rPr>
          <w:instrText xml:space="preserve"> PAGEREF _Toc194251475 \h </w:instrText>
        </w:r>
        <w:r>
          <w:rPr>
            <w:noProof/>
            <w:webHidden/>
          </w:rPr>
        </w:r>
        <w:r>
          <w:rPr>
            <w:noProof/>
            <w:webHidden/>
          </w:rPr>
          <w:fldChar w:fldCharType="separate"/>
        </w:r>
        <w:r w:rsidR="009B6102">
          <w:rPr>
            <w:noProof/>
            <w:webHidden/>
          </w:rPr>
          <w:t>372</w:t>
        </w:r>
        <w:r>
          <w:rPr>
            <w:noProof/>
            <w:webHidden/>
          </w:rPr>
          <w:fldChar w:fldCharType="end"/>
        </w:r>
      </w:hyperlink>
    </w:p>
    <w:p w14:paraId="3FECF069" w14:textId="76B7756A"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76" w:history="1">
        <w:r w:rsidRPr="00610405">
          <w:rPr>
            <w:rStyle w:val="Hyperlink"/>
            <w:noProof/>
          </w:rPr>
          <w:t>Table 52: Trends in methods of pay setting of employees, disaggregate by gender, 2008</w:t>
        </w:r>
        <w:r w:rsidRPr="00610405">
          <w:rPr>
            <w:rStyle w:val="Hyperlink"/>
            <w:rFonts w:ascii="Symbol" w:eastAsia="Symbol" w:hAnsi="Symbol" w:cs="Symbol"/>
            <w:noProof/>
          </w:rPr>
          <w:t></w:t>
        </w:r>
        <w:r w:rsidRPr="00610405">
          <w:rPr>
            <w:rStyle w:val="Hyperlink"/>
            <w:noProof/>
          </w:rPr>
          <w:t>09 to 2022</w:t>
        </w:r>
        <w:r w:rsidRPr="00610405">
          <w:rPr>
            <w:rStyle w:val="Hyperlink"/>
            <w:rFonts w:ascii="Symbol" w:eastAsia="Symbol" w:hAnsi="Symbol" w:cs="Symbol"/>
            <w:noProof/>
          </w:rPr>
          <w:t></w:t>
        </w:r>
        <w:r w:rsidRPr="00610405">
          <w:rPr>
            <w:rStyle w:val="Hyperlink"/>
            <w:noProof/>
          </w:rPr>
          <w:t>23</w:t>
        </w:r>
        <w:r>
          <w:rPr>
            <w:noProof/>
            <w:webHidden/>
          </w:rPr>
          <w:tab/>
        </w:r>
        <w:r>
          <w:rPr>
            <w:noProof/>
            <w:webHidden/>
          </w:rPr>
          <w:fldChar w:fldCharType="begin"/>
        </w:r>
        <w:r>
          <w:rPr>
            <w:noProof/>
            <w:webHidden/>
          </w:rPr>
          <w:instrText xml:space="preserve"> PAGEREF _Toc194251476 \h </w:instrText>
        </w:r>
        <w:r>
          <w:rPr>
            <w:noProof/>
            <w:webHidden/>
          </w:rPr>
        </w:r>
        <w:r>
          <w:rPr>
            <w:noProof/>
            <w:webHidden/>
          </w:rPr>
          <w:fldChar w:fldCharType="separate"/>
        </w:r>
        <w:r w:rsidR="009B6102">
          <w:rPr>
            <w:noProof/>
            <w:webHidden/>
          </w:rPr>
          <w:t>376</w:t>
        </w:r>
        <w:r>
          <w:rPr>
            <w:noProof/>
            <w:webHidden/>
          </w:rPr>
          <w:fldChar w:fldCharType="end"/>
        </w:r>
      </w:hyperlink>
    </w:p>
    <w:p w14:paraId="7FCFB56C" w14:textId="309B2F12"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77" w:history="1">
        <w:r w:rsidRPr="00610405">
          <w:rPr>
            <w:rStyle w:val="Hyperlink"/>
            <w:noProof/>
          </w:rPr>
          <w:t>Table 53: Trends in methods of pay setting of employees, disaggregate by hours employed in main job, 2008</w:t>
        </w:r>
        <w:r w:rsidRPr="00610405">
          <w:rPr>
            <w:rStyle w:val="Hyperlink"/>
            <w:rFonts w:ascii="Symbol" w:eastAsia="Symbol" w:hAnsi="Symbol" w:cs="Symbol"/>
            <w:noProof/>
          </w:rPr>
          <w:t></w:t>
        </w:r>
        <w:r w:rsidRPr="00610405">
          <w:rPr>
            <w:rStyle w:val="Hyperlink"/>
            <w:noProof/>
          </w:rPr>
          <w:t>09 to 2022</w:t>
        </w:r>
        <w:r w:rsidRPr="00610405">
          <w:rPr>
            <w:rStyle w:val="Hyperlink"/>
            <w:rFonts w:ascii="Symbol" w:eastAsia="Symbol" w:hAnsi="Symbol" w:cs="Symbol"/>
            <w:noProof/>
          </w:rPr>
          <w:t></w:t>
        </w:r>
        <w:r w:rsidRPr="00610405">
          <w:rPr>
            <w:rStyle w:val="Hyperlink"/>
            <w:noProof/>
          </w:rPr>
          <w:t>23</w:t>
        </w:r>
        <w:r>
          <w:rPr>
            <w:noProof/>
            <w:webHidden/>
          </w:rPr>
          <w:tab/>
        </w:r>
        <w:r>
          <w:rPr>
            <w:noProof/>
            <w:webHidden/>
          </w:rPr>
          <w:fldChar w:fldCharType="begin"/>
        </w:r>
        <w:r>
          <w:rPr>
            <w:noProof/>
            <w:webHidden/>
          </w:rPr>
          <w:instrText xml:space="preserve"> PAGEREF _Toc194251477 \h </w:instrText>
        </w:r>
        <w:r>
          <w:rPr>
            <w:noProof/>
            <w:webHidden/>
          </w:rPr>
        </w:r>
        <w:r>
          <w:rPr>
            <w:noProof/>
            <w:webHidden/>
          </w:rPr>
          <w:fldChar w:fldCharType="separate"/>
        </w:r>
        <w:r w:rsidR="009B6102">
          <w:rPr>
            <w:noProof/>
            <w:webHidden/>
          </w:rPr>
          <w:t>377</w:t>
        </w:r>
        <w:r>
          <w:rPr>
            <w:noProof/>
            <w:webHidden/>
          </w:rPr>
          <w:fldChar w:fldCharType="end"/>
        </w:r>
      </w:hyperlink>
    </w:p>
    <w:p w14:paraId="5E6FE2CC" w14:textId="07FAC19C"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78" w:history="1">
        <w:r w:rsidRPr="00610405">
          <w:rPr>
            <w:rStyle w:val="Hyperlink"/>
            <w:noProof/>
          </w:rPr>
          <w:t>Table 54: Descriptive statistics concerning employees in Australia, 2012 to 2022 (pooled)</w:t>
        </w:r>
        <w:r>
          <w:rPr>
            <w:noProof/>
            <w:webHidden/>
          </w:rPr>
          <w:tab/>
        </w:r>
        <w:r>
          <w:rPr>
            <w:noProof/>
            <w:webHidden/>
          </w:rPr>
          <w:fldChar w:fldCharType="begin"/>
        </w:r>
        <w:r>
          <w:rPr>
            <w:noProof/>
            <w:webHidden/>
          </w:rPr>
          <w:instrText xml:space="preserve"> PAGEREF _Toc194251478 \h </w:instrText>
        </w:r>
        <w:r>
          <w:rPr>
            <w:noProof/>
            <w:webHidden/>
          </w:rPr>
        </w:r>
        <w:r>
          <w:rPr>
            <w:noProof/>
            <w:webHidden/>
          </w:rPr>
          <w:fldChar w:fldCharType="separate"/>
        </w:r>
        <w:r w:rsidR="009B6102">
          <w:rPr>
            <w:noProof/>
            <w:webHidden/>
          </w:rPr>
          <w:t>380</w:t>
        </w:r>
        <w:r>
          <w:rPr>
            <w:noProof/>
            <w:webHidden/>
          </w:rPr>
          <w:fldChar w:fldCharType="end"/>
        </w:r>
      </w:hyperlink>
    </w:p>
    <w:p w14:paraId="055CA1FA" w14:textId="336DA888"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79" w:history="1">
        <w:r w:rsidRPr="00610405">
          <w:rPr>
            <w:rStyle w:val="Hyperlink"/>
            <w:noProof/>
          </w:rPr>
          <w:t>Table 55: Distribution of pay setting methods across industries, 2012 and 2022</w:t>
        </w:r>
        <w:r>
          <w:rPr>
            <w:noProof/>
            <w:webHidden/>
          </w:rPr>
          <w:tab/>
        </w:r>
        <w:r>
          <w:rPr>
            <w:noProof/>
            <w:webHidden/>
          </w:rPr>
          <w:fldChar w:fldCharType="begin"/>
        </w:r>
        <w:r>
          <w:rPr>
            <w:noProof/>
            <w:webHidden/>
          </w:rPr>
          <w:instrText xml:space="preserve"> PAGEREF _Toc194251479 \h </w:instrText>
        </w:r>
        <w:r>
          <w:rPr>
            <w:noProof/>
            <w:webHidden/>
          </w:rPr>
        </w:r>
        <w:r>
          <w:rPr>
            <w:noProof/>
            <w:webHidden/>
          </w:rPr>
          <w:fldChar w:fldCharType="separate"/>
        </w:r>
        <w:r w:rsidR="009B6102">
          <w:rPr>
            <w:noProof/>
            <w:webHidden/>
          </w:rPr>
          <w:t>381</w:t>
        </w:r>
        <w:r>
          <w:rPr>
            <w:noProof/>
            <w:webHidden/>
          </w:rPr>
          <w:fldChar w:fldCharType="end"/>
        </w:r>
      </w:hyperlink>
    </w:p>
    <w:p w14:paraId="4DBE9C95" w14:textId="12DD9BA1"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80" w:history="1">
        <w:r w:rsidRPr="00610405">
          <w:rPr>
            <w:rStyle w:val="Hyperlink"/>
            <w:noProof/>
          </w:rPr>
          <w:t>Table 56: Correlates of real weekly wages, estimates from ordinary least squares and fixed effects regression</w:t>
        </w:r>
        <w:r>
          <w:rPr>
            <w:noProof/>
            <w:webHidden/>
          </w:rPr>
          <w:tab/>
        </w:r>
        <w:r>
          <w:rPr>
            <w:noProof/>
            <w:webHidden/>
          </w:rPr>
          <w:fldChar w:fldCharType="begin"/>
        </w:r>
        <w:r>
          <w:rPr>
            <w:noProof/>
            <w:webHidden/>
          </w:rPr>
          <w:instrText xml:space="preserve"> PAGEREF _Toc194251480 \h </w:instrText>
        </w:r>
        <w:r>
          <w:rPr>
            <w:noProof/>
            <w:webHidden/>
          </w:rPr>
        </w:r>
        <w:r>
          <w:rPr>
            <w:noProof/>
            <w:webHidden/>
          </w:rPr>
          <w:fldChar w:fldCharType="separate"/>
        </w:r>
        <w:r w:rsidR="009B6102">
          <w:rPr>
            <w:noProof/>
            <w:webHidden/>
          </w:rPr>
          <w:t>383</w:t>
        </w:r>
        <w:r>
          <w:rPr>
            <w:noProof/>
            <w:webHidden/>
          </w:rPr>
          <w:fldChar w:fldCharType="end"/>
        </w:r>
      </w:hyperlink>
    </w:p>
    <w:p w14:paraId="2489D2C7" w14:textId="0362C097"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81" w:history="1">
        <w:r w:rsidRPr="00610405">
          <w:rPr>
            <w:rStyle w:val="Hyperlink"/>
            <w:noProof/>
          </w:rPr>
          <w:t>Table 57: The gender wage gap using regression analysis, 2008 to 2023</w:t>
        </w:r>
        <w:r>
          <w:rPr>
            <w:noProof/>
            <w:webHidden/>
          </w:rPr>
          <w:tab/>
        </w:r>
        <w:r>
          <w:rPr>
            <w:noProof/>
            <w:webHidden/>
          </w:rPr>
          <w:fldChar w:fldCharType="begin"/>
        </w:r>
        <w:r>
          <w:rPr>
            <w:noProof/>
            <w:webHidden/>
          </w:rPr>
          <w:instrText xml:space="preserve"> PAGEREF _Toc194251481 \h </w:instrText>
        </w:r>
        <w:r>
          <w:rPr>
            <w:noProof/>
            <w:webHidden/>
          </w:rPr>
        </w:r>
        <w:r>
          <w:rPr>
            <w:noProof/>
            <w:webHidden/>
          </w:rPr>
          <w:fldChar w:fldCharType="separate"/>
        </w:r>
        <w:r w:rsidR="009B6102">
          <w:rPr>
            <w:noProof/>
            <w:webHidden/>
          </w:rPr>
          <w:t>386</w:t>
        </w:r>
        <w:r>
          <w:rPr>
            <w:noProof/>
            <w:webHidden/>
          </w:rPr>
          <w:fldChar w:fldCharType="end"/>
        </w:r>
      </w:hyperlink>
    </w:p>
    <w:p w14:paraId="5667DD2E" w14:textId="06454BD4"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82" w:history="1">
        <w:r w:rsidRPr="00610405">
          <w:rPr>
            <w:rStyle w:val="Hyperlink"/>
            <w:noProof/>
          </w:rPr>
          <w:t>Table 58: Number and coverage of new non-union agreements, 2012 to 2024</w:t>
        </w:r>
        <w:r>
          <w:rPr>
            <w:noProof/>
            <w:webHidden/>
          </w:rPr>
          <w:tab/>
        </w:r>
        <w:r>
          <w:rPr>
            <w:noProof/>
            <w:webHidden/>
          </w:rPr>
          <w:fldChar w:fldCharType="begin"/>
        </w:r>
        <w:r>
          <w:rPr>
            <w:noProof/>
            <w:webHidden/>
          </w:rPr>
          <w:instrText xml:space="preserve"> PAGEREF _Toc194251482 \h </w:instrText>
        </w:r>
        <w:r>
          <w:rPr>
            <w:noProof/>
            <w:webHidden/>
          </w:rPr>
        </w:r>
        <w:r>
          <w:rPr>
            <w:noProof/>
            <w:webHidden/>
          </w:rPr>
          <w:fldChar w:fldCharType="separate"/>
        </w:r>
        <w:r w:rsidR="009B6102">
          <w:rPr>
            <w:noProof/>
            <w:webHidden/>
          </w:rPr>
          <w:t>388</w:t>
        </w:r>
        <w:r>
          <w:rPr>
            <w:noProof/>
            <w:webHidden/>
          </w:rPr>
          <w:fldChar w:fldCharType="end"/>
        </w:r>
      </w:hyperlink>
    </w:p>
    <w:p w14:paraId="699D1316" w14:textId="2034138C"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83" w:history="1">
        <w:r w:rsidRPr="00610405">
          <w:rPr>
            <w:rStyle w:val="Hyperlink"/>
            <w:noProof/>
          </w:rPr>
          <w:t>Table 59: Number and coverage of current non-union collective agreements, December of each year</w:t>
        </w:r>
        <w:r>
          <w:rPr>
            <w:noProof/>
            <w:webHidden/>
          </w:rPr>
          <w:tab/>
        </w:r>
        <w:r>
          <w:rPr>
            <w:noProof/>
            <w:webHidden/>
          </w:rPr>
          <w:fldChar w:fldCharType="begin"/>
        </w:r>
        <w:r>
          <w:rPr>
            <w:noProof/>
            <w:webHidden/>
          </w:rPr>
          <w:instrText xml:space="preserve"> PAGEREF _Toc194251483 \h </w:instrText>
        </w:r>
        <w:r>
          <w:rPr>
            <w:noProof/>
            <w:webHidden/>
          </w:rPr>
        </w:r>
        <w:r>
          <w:rPr>
            <w:noProof/>
            <w:webHidden/>
          </w:rPr>
          <w:fldChar w:fldCharType="separate"/>
        </w:r>
        <w:r w:rsidR="009B6102">
          <w:rPr>
            <w:noProof/>
            <w:webHidden/>
          </w:rPr>
          <w:t>389</w:t>
        </w:r>
        <w:r>
          <w:rPr>
            <w:noProof/>
            <w:webHidden/>
          </w:rPr>
          <w:fldChar w:fldCharType="end"/>
        </w:r>
      </w:hyperlink>
    </w:p>
    <w:p w14:paraId="49F229FA" w14:textId="61C86B3C"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84" w:history="1">
        <w:r w:rsidRPr="00610405">
          <w:rPr>
            <w:rStyle w:val="Hyperlink"/>
            <w:noProof/>
          </w:rPr>
          <w:t>Table 60: New approved agreements by calendar year, 2009 to 2024</w:t>
        </w:r>
        <w:r>
          <w:rPr>
            <w:noProof/>
            <w:webHidden/>
          </w:rPr>
          <w:tab/>
        </w:r>
        <w:r>
          <w:rPr>
            <w:noProof/>
            <w:webHidden/>
          </w:rPr>
          <w:fldChar w:fldCharType="begin"/>
        </w:r>
        <w:r>
          <w:rPr>
            <w:noProof/>
            <w:webHidden/>
          </w:rPr>
          <w:instrText xml:space="preserve"> PAGEREF _Toc194251484 \h </w:instrText>
        </w:r>
        <w:r>
          <w:rPr>
            <w:noProof/>
            <w:webHidden/>
          </w:rPr>
        </w:r>
        <w:r>
          <w:rPr>
            <w:noProof/>
            <w:webHidden/>
          </w:rPr>
          <w:fldChar w:fldCharType="separate"/>
        </w:r>
        <w:r w:rsidR="009B6102">
          <w:rPr>
            <w:noProof/>
            <w:webHidden/>
          </w:rPr>
          <w:t>393</w:t>
        </w:r>
        <w:r>
          <w:rPr>
            <w:noProof/>
            <w:webHidden/>
          </w:rPr>
          <w:fldChar w:fldCharType="end"/>
        </w:r>
      </w:hyperlink>
    </w:p>
    <w:p w14:paraId="6A4146BE" w14:textId="4572B931"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85" w:history="1">
        <w:r w:rsidRPr="00610405">
          <w:rPr>
            <w:rStyle w:val="Hyperlink"/>
            <w:noProof/>
          </w:rPr>
          <w:t>Table 61: Current single and multi-employer agreements as at September, 2009 to 2024</w:t>
        </w:r>
        <w:r>
          <w:rPr>
            <w:noProof/>
            <w:webHidden/>
          </w:rPr>
          <w:tab/>
        </w:r>
        <w:r>
          <w:rPr>
            <w:noProof/>
            <w:webHidden/>
          </w:rPr>
          <w:fldChar w:fldCharType="begin"/>
        </w:r>
        <w:r>
          <w:rPr>
            <w:noProof/>
            <w:webHidden/>
          </w:rPr>
          <w:instrText xml:space="preserve"> PAGEREF _Toc194251485 \h </w:instrText>
        </w:r>
        <w:r>
          <w:rPr>
            <w:noProof/>
            <w:webHidden/>
          </w:rPr>
        </w:r>
        <w:r>
          <w:rPr>
            <w:noProof/>
            <w:webHidden/>
          </w:rPr>
          <w:fldChar w:fldCharType="separate"/>
        </w:r>
        <w:r w:rsidR="009B6102">
          <w:rPr>
            <w:noProof/>
            <w:webHidden/>
          </w:rPr>
          <w:t>394</w:t>
        </w:r>
        <w:r>
          <w:rPr>
            <w:noProof/>
            <w:webHidden/>
          </w:rPr>
          <w:fldChar w:fldCharType="end"/>
        </w:r>
      </w:hyperlink>
    </w:p>
    <w:p w14:paraId="6543C894" w14:textId="335D9CC0"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86" w:history="1">
        <w:r w:rsidRPr="00610405">
          <w:rPr>
            <w:rStyle w:val="Hyperlink"/>
            <w:noProof/>
          </w:rPr>
          <w:t>Table 62: Average annualised wage increase (%) in federal enterprise agreements, 1993 to 2024</w:t>
        </w:r>
        <w:r>
          <w:rPr>
            <w:noProof/>
            <w:webHidden/>
          </w:rPr>
          <w:tab/>
        </w:r>
        <w:r>
          <w:rPr>
            <w:noProof/>
            <w:webHidden/>
          </w:rPr>
          <w:fldChar w:fldCharType="begin"/>
        </w:r>
        <w:r>
          <w:rPr>
            <w:noProof/>
            <w:webHidden/>
          </w:rPr>
          <w:instrText xml:space="preserve"> PAGEREF _Toc194251486 \h </w:instrText>
        </w:r>
        <w:r>
          <w:rPr>
            <w:noProof/>
            <w:webHidden/>
          </w:rPr>
        </w:r>
        <w:r>
          <w:rPr>
            <w:noProof/>
            <w:webHidden/>
          </w:rPr>
          <w:fldChar w:fldCharType="separate"/>
        </w:r>
        <w:r w:rsidR="009B6102">
          <w:rPr>
            <w:noProof/>
            <w:webHidden/>
          </w:rPr>
          <w:t>400</w:t>
        </w:r>
        <w:r>
          <w:rPr>
            <w:noProof/>
            <w:webHidden/>
          </w:rPr>
          <w:fldChar w:fldCharType="end"/>
        </w:r>
      </w:hyperlink>
    </w:p>
    <w:p w14:paraId="7472C2A2" w14:textId="777CE015"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87" w:history="1">
        <w:r w:rsidRPr="00610405">
          <w:rPr>
            <w:rStyle w:val="Hyperlink"/>
            <w:noProof/>
          </w:rPr>
          <w:t>Table 63: New approved and current federal agreements by sector and number of employees, 2021 to 2024</w:t>
        </w:r>
        <w:r>
          <w:rPr>
            <w:noProof/>
            <w:webHidden/>
          </w:rPr>
          <w:tab/>
        </w:r>
        <w:r>
          <w:rPr>
            <w:noProof/>
            <w:webHidden/>
          </w:rPr>
          <w:fldChar w:fldCharType="begin"/>
        </w:r>
        <w:r>
          <w:rPr>
            <w:noProof/>
            <w:webHidden/>
          </w:rPr>
          <w:instrText xml:space="preserve"> PAGEREF _Toc194251487 \h </w:instrText>
        </w:r>
        <w:r>
          <w:rPr>
            <w:noProof/>
            <w:webHidden/>
          </w:rPr>
        </w:r>
        <w:r>
          <w:rPr>
            <w:noProof/>
            <w:webHidden/>
          </w:rPr>
          <w:fldChar w:fldCharType="separate"/>
        </w:r>
        <w:r w:rsidR="009B6102">
          <w:rPr>
            <w:noProof/>
            <w:webHidden/>
          </w:rPr>
          <w:t>401</w:t>
        </w:r>
        <w:r>
          <w:rPr>
            <w:noProof/>
            <w:webHidden/>
          </w:rPr>
          <w:fldChar w:fldCharType="end"/>
        </w:r>
      </w:hyperlink>
    </w:p>
    <w:p w14:paraId="71A1BE21" w14:textId="75FFE4A0"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88" w:history="1">
        <w:r w:rsidRPr="00610405">
          <w:rPr>
            <w:rStyle w:val="Hyperlink"/>
            <w:noProof/>
          </w:rPr>
          <w:t>Table 64: Average annualised wage increases by sector, 2022 to 2024</w:t>
        </w:r>
        <w:r>
          <w:rPr>
            <w:noProof/>
            <w:webHidden/>
          </w:rPr>
          <w:tab/>
        </w:r>
        <w:r>
          <w:rPr>
            <w:noProof/>
            <w:webHidden/>
          </w:rPr>
          <w:fldChar w:fldCharType="begin"/>
        </w:r>
        <w:r>
          <w:rPr>
            <w:noProof/>
            <w:webHidden/>
          </w:rPr>
          <w:instrText xml:space="preserve"> PAGEREF _Toc194251488 \h </w:instrText>
        </w:r>
        <w:r>
          <w:rPr>
            <w:noProof/>
            <w:webHidden/>
          </w:rPr>
        </w:r>
        <w:r>
          <w:rPr>
            <w:noProof/>
            <w:webHidden/>
          </w:rPr>
          <w:fldChar w:fldCharType="separate"/>
        </w:r>
        <w:r w:rsidR="009B6102">
          <w:rPr>
            <w:noProof/>
            <w:webHidden/>
          </w:rPr>
          <w:t>402</w:t>
        </w:r>
        <w:r>
          <w:rPr>
            <w:noProof/>
            <w:webHidden/>
          </w:rPr>
          <w:fldChar w:fldCharType="end"/>
        </w:r>
      </w:hyperlink>
    </w:p>
    <w:p w14:paraId="6507ECCD" w14:textId="2116275F"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89" w:history="1">
        <w:r w:rsidRPr="00610405">
          <w:rPr>
            <w:rStyle w:val="Hyperlink"/>
            <w:noProof/>
          </w:rPr>
          <w:t>Table 65: Agreements approved in the quarter by agreement type (non-greenfields agreements), 2021 to 2024</w:t>
        </w:r>
        <w:r>
          <w:rPr>
            <w:noProof/>
            <w:webHidden/>
          </w:rPr>
          <w:tab/>
        </w:r>
        <w:r>
          <w:rPr>
            <w:noProof/>
            <w:webHidden/>
          </w:rPr>
          <w:fldChar w:fldCharType="begin"/>
        </w:r>
        <w:r>
          <w:rPr>
            <w:noProof/>
            <w:webHidden/>
          </w:rPr>
          <w:instrText xml:space="preserve"> PAGEREF _Toc194251489 \h </w:instrText>
        </w:r>
        <w:r>
          <w:rPr>
            <w:noProof/>
            <w:webHidden/>
          </w:rPr>
        </w:r>
        <w:r>
          <w:rPr>
            <w:noProof/>
            <w:webHidden/>
          </w:rPr>
          <w:fldChar w:fldCharType="separate"/>
        </w:r>
        <w:r w:rsidR="009B6102">
          <w:rPr>
            <w:noProof/>
            <w:webHidden/>
          </w:rPr>
          <w:t>403</w:t>
        </w:r>
        <w:r>
          <w:rPr>
            <w:noProof/>
            <w:webHidden/>
          </w:rPr>
          <w:fldChar w:fldCharType="end"/>
        </w:r>
      </w:hyperlink>
    </w:p>
    <w:p w14:paraId="7C145534" w14:textId="653184B7"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90" w:history="1">
        <w:r w:rsidRPr="00610405">
          <w:rPr>
            <w:rStyle w:val="Hyperlink"/>
            <w:noProof/>
          </w:rPr>
          <w:t>Table 66: Monthly enterprise agreement applications, 2021 to 2024</w:t>
        </w:r>
        <w:r>
          <w:rPr>
            <w:noProof/>
            <w:webHidden/>
          </w:rPr>
          <w:tab/>
        </w:r>
        <w:r>
          <w:rPr>
            <w:noProof/>
            <w:webHidden/>
          </w:rPr>
          <w:fldChar w:fldCharType="begin"/>
        </w:r>
        <w:r>
          <w:rPr>
            <w:noProof/>
            <w:webHidden/>
          </w:rPr>
          <w:instrText xml:space="preserve"> PAGEREF _Toc194251490 \h </w:instrText>
        </w:r>
        <w:r>
          <w:rPr>
            <w:noProof/>
            <w:webHidden/>
          </w:rPr>
        </w:r>
        <w:r>
          <w:rPr>
            <w:noProof/>
            <w:webHidden/>
          </w:rPr>
          <w:fldChar w:fldCharType="separate"/>
        </w:r>
        <w:r w:rsidR="009B6102">
          <w:rPr>
            <w:noProof/>
            <w:webHidden/>
          </w:rPr>
          <w:t>404</w:t>
        </w:r>
        <w:r>
          <w:rPr>
            <w:noProof/>
            <w:webHidden/>
          </w:rPr>
          <w:fldChar w:fldCharType="end"/>
        </w:r>
      </w:hyperlink>
    </w:p>
    <w:p w14:paraId="331598D6" w14:textId="71B26A9D"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91" w:history="1">
        <w:r w:rsidRPr="00610405">
          <w:rPr>
            <w:rStyle w:val="Hyperlink"/>
            <w:noProof/>
          </w:rPr>
          <w:t>Table 67: Outcomes of enterprise agreement approval applications, by type of agreement</w:t>
        </w:r>
        <w:r>
          <w:rPr>
            <w:noProof/>
            <w:webHidden/>
          </w:rPr>
          <w:tab/>
        </w:r>
        <w:r>
          <w:rPr>
            <w:noProof/>
            <w:webHidden/>
          </w:rPr>
          <w:fldChar w:fldCharType="begin"/>
        </w:r>
        <w:r>
          <w:rPr>
            <w:noProof/>
            <w:webHidden/>
          </w:rPr>
          <w:instrText xml:space="preserve"> PAGEREF _Toc194251491 \h </w:instrText>
        </w:r>
        <w:r>
          <w:rPr>
            <w:noProof/>
            <w:webHidden/>
          </w:rPr>
        </w:r>
        <w:r>
          <w:rPr>
            <w:noProof/>
            <w:webHidden/>
          </w:rPr>
          <w:fldChar w:fldCharType="separate"/>
        </w:r>
        <w:r w:rsidR="009B6102">
          <w:rPr>
            <w:noProof/>
            <w:webHidden/>
          </w:rPr>
          <w:t>407</w:t>
        </w:r>
        <w:r>
          <w:rPr>
            <w:noProof/>
            <w:webHidden/>
          </w:rPr>
          <w:fldChar w:fldCharType="end"/>
        </w:r>
      </w:hyperlink>
    </w:p>
    <w:p w14:paraId="5E9527C7" w14:textId="749453BC"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92" w:history="1">
        <w:r w:rsidRPr="00610405">
          <w:rPr>
            <w:rStyle w:val="Hyperlink"/>
            <w:noProof/>
          </w:rPr>
          <w:t>Table 68: Outcomes of enterprise agreement approval application, by calendar year, 2022 to 2024</w:t>
        </w:r>
        <w:r>
          <w:rPr>
            <w:noProof/>
            <w:webHidden/>
          </w:rPr>
          <w:tab/>
        </w:r>
        <w:r>
          <w:rPr>
            <w:noProof/>
            <w:webHidden/>
          </w:rPr>
          <w:fldChar w:fldCharType="begin"/>
        </w:r>
        <w:r>
          <w:rPr>
            <w:noProof/>
            <w:webHidden/>
          </w:rPr>
          <w:instrText xml:space="preserve"> PAGEREF _Toc194251492 \h </w:instrText>
        </w:r>
        <w:r>
          <w:rPr>
            <w:noProof/>
            <w:webHidden/>
          </w:rPr>
        </w:r>
        <w:r>
          <w:rPr>
            <w:noProof/>
            <w:webHidden/>
          </w:rPr>
          <w:fldChar w:fldCharType="separate"/>
        </w:r>
        <w:r w:rsidR="009B6102">
          <w:rPr>
            <w:noProof/>
            <w:webHidden/>
          </w:rPr>
          <w:t>408</w:t>
        </w:r>
        <w:r>
          <w:rPr>
            <w:noProof/>
            <w:webHidden/>
          </w:rPr>
          <w:fldChar w:fldCharType="end"/>
        </w:r>
      </w:hyperlink>
    </w:p>
    <w:p w14:paraId="1B23D590" w14:textId="0B2B54E8"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93" w:history="1">
        <w:r w:rsidRPr="00610405">
          <w:rPr>
            <w:rStyle w:val="Hyperlink"/>
            <w:noProof/>
          </w:rPr>
          <w:t>Table 69: Median calendar days to approval decision, 2021</w:t>
        </w:r>
        <w:r w:rsidRPr="00610405">
          <w:rPr>
            <w:rStyle w:val="Hyperlink"/>
            <w:rFonts w:ascii="Symbol" w:eastAsia="Symbol" w:hAnsi="Symbol" w:cs="Symbol"/>
            <w:noProof/>
          </w:rPr>
          <w:t></w:t>
        </w:r>
        <w:r w:rsidRPr="00610405">
          <w:rPr>
            <w:rStyle w:val="Hyperlink"/>
            <w:noProof/>
          </w:rPr>
          <w:t>22 to 2023</w:t>
        </w:r>
        <w:r w:rsidRPr="00610405">
          <w:rPr>
            <w:rStyle w:val="Hyperlink"/>
            <w:rFonts w:ascii="Symbol" w:eastAsia="Symbol" w:hAnsi="Symbol" w:cs="Symbol"/>
            <w:noProof/>
          </w:rPr>
          <w:t></w:t>
        </w:r>
        <w:r w:rsidRPr="00610405">
          <w:rPr>
            <w:rStyle w:val="Hyperlink"/>
            <w:noProof/>
          </w:rPr>
          <w:t>24</w:t>
        </w:r>
        <w:r>
          <w:rPr>
            <w:noProof/>
            <w:webHidden/>
          </w:rPr>
          <w:tab/>
        </w:r>
        <w:r>
          <w:rPr>
            <w:noProof/>
            <w:webHidden/>
          </w:rPr>
          <w:fldChar w:fldCharType="begin"/>
        </w:r>
        <w:r>
          <w:rPr>
            <w:noProof/>
            <w:webHidden/>
          </w:rPr>
          <w:instrText xml:space="preserve"> PAGEREF _Toc194251493 \h </w:instrText>
        </w:r>
        <w:r>
          <w:rPr>
            <w:noProof/>
            <w:webHidden/>
          </w:rPr>
        </w:r>
        <w:r>
          <w:rPr>
            <w:noProof/>
            <w:webHidden/>
          </w:rPr>
          <w:fldChar w:fldCharType="separate"/>
        </w:r>
        <w:r w:rsidR="009B6102">
          <w:rPr>
            <w:noProof/>
            <w:webHidden/>
          </w:rPr>
          <w:t>409</w:t>
        </w:r>
        <w:r>
          <w:rPr>
            <w:noProof/>
            <w:webHidden/>
          </w:rPr>
          <w:fldChar w:fldCharType="end"/>
        </w:r>
      </w:hyperlink>
    </w:p>
    <w:p w14:paraId="48C4A7BD" w14:textId="72FEAB75"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94" w:history="1">
        <w:r w:rsidRPr="00610405">
          <w:rPr>
            <w:rStyle w:val="Hyperlink"/>
            <w:noProof/>
          </w:rPr>
          <w:t>Table 70: Applications to the Fair Work Commission in relation to sexual harassment, 2021 to 2024</w:t>
        </w:r>
        <w:r>
          <w:rPr>
            <w:noProof/>
            <w:webHidden/>
          </w:rPr>
          <w:tab/>
        </w:r>
        <w:r>
          <w:rPr>
            <w:noProof/>
            <w:webHidden/>
          </w:rPr>
          <w:fldChar w:fldCharType="begin"/>
        </w:r>
        <w:r>
          <w:rPr>
            <w:noProof/>
            <w:webHidden/>
          </w:rPr>
          <w:instrText xml:space="preserve"> PAGEREF _Toc194251494 \h </w:instrText>
        </w:r>
        <w:r>
          <w:rPr>
            <w:noProof/>
            <w:webHidden/>
          </w:rPr>
        </w:r>
        <w:r>
          <w:rPr>
            <w:noProof/>
            <w:webHidden/>
          </w:rPr>
          <w:fldChar w:fldCharType="separate"/>
        </w:r>
        <w:r w:rsidR="009B6102">
          <w:rPr>
            <w:noProof/>
            <w:webHidden/>
          </w:rPr>
          <w:t>413</w:t>
        </w:r>
        <w:r>
          <w:rPr>
            <w:noProof/>
            <w:webHidden/>
          </w:rPr>
          <w:fldChar w:fldCharType="end"/>
        </w:r>
      </w:hyperlink>
    </w:p>
    <w:p w14:paraId="3B63E0DE" w14:textId="61B0D058"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95" w:history="1">
        <w:r w:rsidRPr="00610405">
          <w:rPr>
            <w:rStyle w:val="Hyperlink"/>
            <w:noProof/>
          </w:rPr>
          <w:t>Table 71: Annual growth in labour productivity, Australia, 2012 to 2024</w:t>
        </w:r>
        <w:r>
          <w:rPr>
            <w:noProof/>
            <w:webHidden/>
          </w:rPr>
          <w:tab/>
        </w:r>
        <w:r>
          <w:rPr>
            <w:noProof/>
            <w:webHidden/>
          </w:rPr>
          <w:fldChar w:fldCharType="begin"/>
        </w:r>
        <w:r>
          <w:rPr>
            <w:noProof/>
            <w:webHidden/>
          </w:rPr>
          <w:instrText xml:space="preserve"> PAGEREF _Toc194251495 \h </w:instrText>
        </w:r>
        <w:r>
          <w:rPr>
            <w:noProof/>
            <w:webHidden/>
          </w:rPr>
        </w:r>
        <w:r>
          <w:rPr>
            <w:noProof/>
            <w:webHidden/>
          </w:rPr>
          <w:fldChar w:fldCharType="separate"/>
        </w:r>
        <w:r w:rsidR="009B6102">
          <w:rPr>
            <w:noProof/>
            <w:webHidden/>
          </w:rPr>
          <w:t>422</w:t>
        </w:r>
        <w:r>
          <w:rPr>
            <w:noProof/>
            <w:webHidden/>
          </w:rPr>
          <w:fldChar w:fldCharType="end"/>
        </w:r>
      </w:hyperlink>
    </w:p>
    <w:p w14:paraId="01B66B03" w14:textId="3EC4C716"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96" w:history="1">
        <w:r w:rsidRPr="00610405">
          <w:rPr>
            <w:rStyle w:val="Hyperlink"/>
            <w:noProof/>
          </w:rPr>
          <w:t>Table 72: Average annual growth in labour productivity, Australia, 1998 to 2024</w:t>
        </w:r>
        <w:r>
          <w:rPr>
            <w:noProof/>
            <w:webHidden/>
          </w:rPr>
          <w:tab/>
        </w:r>
        <w:r>
          <w:rPr>
            <w:noProof/>
            <w:webHidden/>
          </w:rPr>
          <w:fldChar w:fldCharType="begin"/>
        </w:r>
        <w:r>
          <w:rPr>
            <w:noProof/>
            <w:webHidden/>
          </w:rPr>
          <w:instrText xml:space="preserve"> PAGEREF _Toc194251496 \h </w:instrText>
        </w:r>
        <w:r>
          <w:rPr>
            <w:noProof/>
            <w:webHidden/>
          </w:rPr>
        </w:r>
        <w:r>
          <w:rPr>
            <w:noProof/>
            <w:webHidden/>
          </w:rPr>
          <w:fldChar w:fldCharType="separate"/>
        </w:r>
        <w:r w:rsidR="009B6102">
          <w:rPr>
            <w:noProof/>
            <w:webHidden/>
          </w:rPr>
          <w:t>422</w:t>
        </w:r>
        <w:r>
          <w:rPr>
            <w:noProof/>
            <w:webHidden/>
          </w:rPr>
          <w:fldChar w:fldCharType="end"/>
        </w:r>
      </w:hyperlink>
    </w:p>
    <w:p w14:paraId="4E33F4B5" w14:textId="5E078C25"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97" w:history="1">
        <w:r w:rsidRPr="00610405">
          <w:rPr>
            <w:rStyle w:val="Hyperlink"/>
            <w:noProof/>
          </w:rPr>
          <w:t>Table 73: Average annual growth in labour productivity by industry (market sector), Australia, 1998 to 2024</w:t>
        </w:r>
        <w:r>
          <w:rPr>
            <w:noProof/>
            <w:webHidden/>
          </w:rPr>
          <w:tab/>
        </w:r>
        <w:r>
          <w:rPr>
            <w:noProof/>
            <w:webHidden/>
          </w:rPr>
          <w:fldChar w:fldCharType="begin"/>
        </w:r>
        <w:r>
          <w:rPr>
            <w:noProof/>
            <w:webHidden/>
          </w:rPr>
          <w:instrText xml:space="preserve"> PAGEREF _Toc194251497 \h </w:instrText>
        </w:r>
        <w:r>
          <w:rPr>
            <w:noProof/>
            <w:webHidden/>
          </w:rPr>
        </w:r>
        <w:r>
          <w:rPr>
            <w:noProof/>
            <w:webHidden/>
          </w:rPr>
          <w:fldChar w:fldCharType="separate"/>
        </w:r>
        <w:r w:rsidR="009B6102">
          <w:rPr>
            <w:noProof/>
            <w:webHidden/>
          </w:rPr>
          <w:t>423</w:t>
        </w:r>
        <w:r>
          <w:rPr>
            <w:noProof/>
            <w:webHidden/>
          </w:rPr>
          <w:fldChar w:fldCharType="end"/>
        </w:r>
      </w:hyperlink>
    </w:p>
    <w:p w14:paraId="3A3F9A73" w14:textId="0769092F" w:rsidR="004005EA" w:rsidRDefault="004005EA" w:rsidP="008E1DA2">
      <w:pPr>
        <w:pStyle w:val="TableofFigures"/>
        <w:tabs>
          <w:tab w:val="right" w:leader="dot" w:pos="9016"/>
        </w:tabs>
        <w:spacing w:line="278" w:lineRule="auto"/>
        <w:ind w:left="1134" w:hanging="1134"/>
        <w:rPr>
          <w:noProof/>
          <w:kern w:val="2"/>
          <w:lang w:eastAsia="en-AU"/>
          <w14:ligatures w14:val="standardContextual"/>
        </w:rPr>
      </w:pPr>
      <w:hyperlink w:anchor="_Toc194251498" w:history="1">
        <w:r w:rsidRPr="00610405">
          <w:rPr>
            <w:rStyle w:val="Hyperlink"/>
            <w:noProof/>
          </w:rPr>
          <w:t>Table 74: Federal Court proceedings commenced by the regulator</w:t>
        </w:r>
        <w:r>
          <w:rPr>
            <w:noProof/>
            <w:webHidden/>
          </w:rPr>
          <w:tab/>
        </w:r>
        <w:r>
          <w:rPr>
            <w:noProof/>
            <w:webHidden/>
          </w:rPr>
          <w:fldChar w:fldCharType="begin"/>
        </w:r>
        <w:r>
          <w:rPr>
            <w:noProof/>
            <w:webHidden/>
          </w:rPr>
          <w:instrText xml:space="preserve"> PAGEREF _Toc194251498 \h </w:instrText>
        </w:r>
        <w:r>
          <w:rPr>
            <w:noProof/>
            <w:webHidden/>
          </w:rPr>
        </w:r>
        <w:r>
          <w:rPr>
            <w:noProof/>
            <w:webHidden/>
          </w:rPr>
          <w:fldChar w:fldCharType="separate"/>
        </w:r>
        <w:r w:rsidR="009B6102">
          <w:rPr>
            <w:noProof/>
            <w:webHidden/>
          </w:rPr>
          <w:t>437</w:t>
        </w:r>
        <w:r>
          <w:rPr>
            <w:noProof/>
            <w:webHidden/>
          </w:rPr>
          <w:fldChar w:fldCharType="end"/>
        </w:r>
      </w:hyperlink>
    </w:p>
    <w:p w14:paraId="50EB38D8" w14:textId="3514FE54" w:rsidR="00130D84" w:rsidRDefault="00130D84" w:rsidP="00950CFE">
      <w:pPr>
        <w:pStyle w:val="Heading2"/>
      </w:pPr>
      <w:r>
        <w:lastRenderedPageBreak/>
        <w:fldChar w:fldCharType="end"/>
      </w:r>
      <w:bookmarkStart w:id="14" w:name="_Toc193826670"/>
      <w:bookmarkStart w:id="15" w:name="_Toc194066933"/>
      <w:bookmarkStart w:id="16" w:name="_Toc194311403"/>
      <w:r>
        <w:t>Figures</w:t>
      </w:r>
      <w:bookmarkEnd w:id="14"/>
      <w:bookmarkEnd w:id="15"/>
      <w:bookmarkEnd w:id="16"/>
    </w:p>
    <w:p w14:paraId="755A8CA1" w14:textId="7390AA8A" w:rsidR="008E1DA2" w:rsidRDefault="0017305C" w:rsidP="003170D1">
      <w:pPr>
        <w:pStyle w:val="TableofFigures"/>
        <w:tabs>
          <w:tab w:val="right" w:leader="dot" w:pos="9016"/>
        </w:tabs>
        <w:ind w:left="1134" w:hanging="1134"/>
        <w:rPr>
          <w:noProof/>
          <w:kern w:val="2"/>
          <w:lang w:eastAsia="en-AU"/>
          <w14:ligatures w14:val="standardContextual"/>
        </w:rPr>
      </w:pPr>
      <w:r>
        <w:fldChar w:fldCharType="begin"/>
      </w:r>
      <w:r>
        <w:instrText xml:space="preserve"> TOC \h \z \c "Figure" </w:instrText>
      </w:r>
      <w:r>
        <w:fldChar w:fldCharType="separate"/>
      </w:r>
      <w:hyperlink w:anchor="_Toc194251499" w:history="1">
        <w:r w:rsidR="008E1DA2" w:rsidRPr="00B35D0A">
          <w:rPr>
            <w:rStyle w:val="Hyperlink"/>
            <w:noProof/>
          </w:rPr>
          <w:t>Figure 1: The enforcement pyramid</w:t>
        </w:r>
        <w:r w:rsidR="008E1DA2">
          <w:rPr>
            <w:noProof/>
            <w:webHidden/>
          </w:rPr>
          <w:tab/>
        </w:r>
        <w:r w:rsidR="008E1DA2">
          <w:rPr>
            <w:noProof/>
            <w:webHidden/>
          </w:rPr>
          <w:fldChar w:fldCharType="begin"/>
        </w:r>
        <w:r w:rsidR="008E1DA2">
          <w:rPr>
            <w:noProof/>
            <w:webHidden/>
          </w:rPr>
          <w:instrText xml:space="preserve"> PAGEREF _Toc194251499 \h </w:instrText>
        </w:r>
        <w:r w:rsidR="008E1DA2">
          <w:rPr>
            <w:noProof/>
            <w:webHidden/>
          </w:rPr>
        </w:r>
        <w:r w:rsidR="008E1DA2">
          <w:rPr>
            <w:noProof/>
            <w:webHidden/>
          </w:rPr>
          <w:fldChar w:fldCharType="separate"/>
        </w:r>
        <w:r w:rsidR="009B6102">
          <w:rPr>
            <w:noProof/>
            <w:webHidden/>
          </w:rPr>
          <w:t>24</w:t>
        </w:r>
        <w:r w:rsidR="008E1DA2">
          <w:rPr>
            <w:noProof/>
            <w:webHidden/>
          </w:rPr>
          <w:fldChar w:fldCharType="end"/>
        </w:r>
      </w:hyperlink>
    </w:p>
    <w:p w14:paraId="2DD1F640" w14:textId="5386E457"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00" w:history="1">
        <w:r w:rsidRPr="00B35D0A">
          <w:rPr>
            <w:rStyle w:val="Hyperlink"/>
            <w:noProof/>
          </w:rPr>
          <w:t>Figure 2: The Fair Work Ombudsman Compliance Triangle</w:t>
        </w:r>
        <w:r>
          <w:rPr>
            <w:noProof/>
            <w:webHidden/>
          </w:rPr>
          <w:tab/>
        </w:r>
        <w:r>
          <w:rPr>
            <w:noProof/>
            <w:webHidden/>
          </w:rPr>
          <w:fldChar w:fldCharType="begin"/>
        </w:r>
        <w:r>
          <w:rPr>
            <w:noProof/>
            <w:webHidden/>
          </w:rPr>
          <w:instrText xml:space="preserve"> PAGEREF _Toc194251500 \h </w:instrText>
        </w:r>
        <w:r>
          <w:rPr>
            <w:noProof/>
            <w:webHidden/>
          </w:rPr>
        </w:r>
        <w:r>
          <w:rPr>
            <w:noProof/>
            <w:webHidden/>
          </w:rPr>
          <w:fldChar w:fldCharType="separate"/>
        </w:r>
        <w:r w:rsidR="009B6102">
          <w:rPr>
            <w:noProof/>
            <w:webHidden/>
          </w:rPr>
          <w:t>36</w:t>
        </w:r>
        <w:r>
          <w:rPr>
            <w:noProof/>
            <w:webHidden/>
          </w:rPr>
          <w:fldChar w:fldCharType="end"/>
        </w:r>
      </w:hyperlink>
    </w:p>
    <w:p w14:paraId="6AE0AF2B" w14:textId="12FB7C03"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01" w:history="1">
        <w:r w:rsidRPr="00B35D0A">
          <w:rPr>
            <w:rStyle w:val="Hyperlink"/>
            <w:noProof/>
          </w:rPr>
          <w:t>Figure 3: Number of new agreements approved and number of employees covered, 2010 to 2024, annual to September quarter</w:t>
        </w:r>
        <w:r>
          <w:rPr>
            <w:noProof/>
            <w:webHidden/>
          </w:rPr>
          <w:tab/>
        </w:r>
        <w:r>
          <w:rPr>
            <w:noProof/>
            <w:webHidden/>
          </w:rPr>
          <w:fldChar w:fldCharType="begin"/>
        </w:r>
        <w:r>
          <w:rPr>
            <w:noProof/>
            <w:webHidden/>
          </w:rPr>
          <w:instrText xml:space="preserve"> PAGEREF _Toc194251501 \h </w:instrText>
        </w:r>
        <w:r>
          <w:rPr>
            <w:noProof/>
            <w:webHidden/>
          </w:rPr>
        </w:r>
        <w:r>
          <w:rPr>
            <w:noProof/>
            <w:webHidden/>
          </w:rPr>
          <w:fldChar w:fldCharType="separate"/>
        </w:r>
        <w:r w:rsidR="009B6102">
          <w:rPr>
            <w:noProof/>
            <w:webHidden/>
          </w:rPr>
          <w:t>80</w:t>
        </w:r>
        <w:r>
          <w:rPr>
            <w:noProof/>
            <w:webHidden/>
          </w:rPr>
          <w:fldChar w:fldCharType="end"/>
        </w:r>
      </w:hyperlink>
    </w:p>
    <w:p w14:paraId="48ACEE1F" w14:textId="78377A39"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02" w:history="1">
        <w:r w:rsidRPr="00B35D0A">
          <w:rPr>
            <w:rStyle w:val="Hyperlink"/>
            <w:noProof/>
          </w:rPr>
          <w:t>Figure 4: Number of current enterprise agreements and the employees covered by them, 2010 to 2024, end of September</w:t>
        </w:r>
        <w:r>
          <w:rPr>
            <w:noProof/>
            <w:webHidden/>
          </w:rPr>
          <w:tab/>
        </w:r>
        <w:r>
          <w:rPr>
            <w:noProof/>
            <w:webHidden/>
          </w:rPr>
          <w:fldChar w:fldCharType="begin"/>
        </w:r>
        <w:r>
          <w:rPr>
            <w:noProof/>
            <w:webHidden/>
          </w:rPr>
          <w:instrText xml:space="preserve"> PAGEREF _Toc194251502 \h </w:instrText>
        </w:r>
        <w:r>
          <w:rPr>
            <w:noProof/>
            <w:webHidden/>
          </w:rPr>
        </w:r>
        <w:r>
          <w:rPr>
            <w:noProof/>
            <w:webHidden/>
          </w:rPr>
          <w:fldChar w:fldCharType="separate"/>
        </w:r>
        <w:r w:rsidR="009B6102">
          <w:rPr>
            <w:noProof/>
            <w:webHidden/>
          </w:rPr>
          <w:t>81</w:t>
        </w:r>
        <w:r>
          <w:rPr>
            <w:noProof/>
            <w:webHidden/>
          </w:rPr>
          <w:fldChar w:fldCharType="end"/>
        </w:r>
      </w:hyperlink>
    </w:p>
    <w:p w14:paraId="2D37EB83" w14:textId="04561A6E"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03" w:history="1">
        <w:r w:rsidRPr="00B35D0A">
          <w:rPr>
            <w:rStyle w:val="Hyperlink"/>
            <w:noProof/>
          </w:rPr>
          <w:t>Figure 5: Trends in enterprise agreement approvals by agreement size, Australia, 2009  to 2024</w:t>
        </w:r>
        <w:r>
          <w:rPr>
            <w:noProof/>
            <w:webHidden/>
          </w:rPr>
          <w:tab/>
        </w:r>
        <w:r>
          <w:rPr>
            <w:noProof/>
            <w:webHidden/>
          </w:rPr>
          <w:fldChar w:fldCharType="begin"/>
        </w:r>
        <w:r>
          <w:rPr>
            <w:noProof/>
            <w:webHidden/>
          </w:rPr>
          <w:instrText xml:space="preserve"> PAGEREF _Toc194251503 \h </w:instrText>
        </w:r>
        <w:r>
          <w:rPr>
            <w:noProof/>
            <w:webHidden/>
          </w:rPr>
        </w:r>
        <w:r>
          <w:rPr>
            <w:noProof/>
            <w:webHidden/>
          </w:rPr>
          <w:fldChar w:fldCharType="separate"/>
        </w:r>
        <w:r w:rsidR="009B6102">
          <w:rPr>
            <w:noProof/>
            <w:webHidden/>
          </w:rPr>
          <w:t>83</w:t>
        </w:r>
        <w:r>
          <w:rPr>
            <w:noProof/>
            <w:webHidden/>
          </w:rPr>
          <w:fldChar w:fldCharType="end"/>
        </w:r>
      </w:hyperlink>
    </w:p>
    <w:p w14:paraId="5552C8AB" w14:textId="2602D3F1"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04" w:history="1">
        <w:r w:rsidRPr="00B35D0A">
          <w:rPr>
            <w:rStyle w:val="Hyperlink"/>
            <w:noProof/>
          </w:rPr>
          <w:t>Figure 6: Nominal and real wage growth in Australia, December 2010 to December 2024, indexed to December 2010</w:t>
        </w:r>
        <w:r>
          <w:rPr>
            <w:noProof/>
            <w:webHidden/>
          </w:rPr>
          <w:tab/>
        </w:r>
        <w:r>
          <w:rPr>
            <w:noProof/>
            <w:webHidden/>
          </w:rPr>
          <w:fldChar w:fldCharType="begin"/>
        </w:r>
        <w:r>
          <w:rPr>
            <w:noProof/>
            <w:webHidden/>
          </w:rPr>
          <w:instrText xml:space="preserve"> PAGEREF _Toc194251504 \h </w:instrText>
        </w:r>
        <w:r>
          <w:rPr>
            <w:noProof/>
            <w:webHidden/>
          </w:rPr>
        </w:r>
        <w:r>
          <w:rPr>
            <w:noProof/>
            <w:webHidden/>
          </w:rPr>
          <w:fldChar w:fldCharType="separate"/>
        </w:r>
        <w:r w:rsidR="009B6102">
          <w:rPr>
            <w:noProof/>
            <w:webHidden/>
          </w:rPr>
          <w:t>84</w:t>
        </w:r>
        <w:r>
          <w:rPr>
            <w:noProof/>
            <w:webHidden/>
          </w:rPr>
          <w:fldChar w:fldCharType="end"/>
        </w:r>
      </w:hyperlink>
    </w:p>
    <w:p w14:paraId="63E93E48" w14:textId="1A0185D9"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05" w:history="1">
        <w:r w:rsidRPr="00B35D0A">
          <w:rPr>
            <w:rStyle w:val="Hyperlink"/>
            <w:noProof/>
          </w:rPr>
          <w:t>Figure 7: Nominal and real quarterly wage growth in Australia, December 2010 to December 2024</w:t>
        </w:r>
        <w:r>
          <w:rPr>
            <w:noProof/>
            <w:webHidden/>
          </w:rPr>
          <w:tab/>
        </w:r>
        <w:r>
          <w:rPr>
            <w:noProof/>
            <w:webHidden/>
          </w:rPr>
          <w:fldChar w:fldCharType="begin"/>
        </w:r>
        <w:r>
          <w:rPr>
            <w:noProof/>
            <w:webHidden/>
          </w:rPr>
          <w:instrText xml:space="preserve"> PAGEREF _Toc194251505 \h </w:instrText>
        </w:r>
        <w:r>
          <w:rPr>
            <w:noProof/>
            <w:webHidden/>
          </w:rPr>
        </w:r>
        <w:r>
          <w:rPr>
            <w:noProof/>
            <w:webHidden/>
          </w:rPr>
          <w:fldChar w:fldCharType="separate"/>
        </w:r>
        <w:r w:rsidR="009B6102">
          <w:rPr>
            <w:noProof/>
            <w:webHidden/>
          </w:rPr>
          <w:t>85</w:t>
        </w:r>
        <w:r>
          <w:rPr>
            <w:noProof/>
            <w:webHidden/>
          </w:rPr>
          <w:fldChar w:fldCharType="end"/>
        </w:r>
      </w:hyperlink>
    </w:p>
    <w:p w14:paraId="06073B28" w14:textId="7AE43791"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06" w:history="1">
        <w:r w:rsidRPr="00B35D0A">
          <w:rPr>
            <w:rStyle w:val="Hyperlink"/>
            <w:noProof/>
          </w:rPr>
          <w:t>Figure 8: Contribution of pay setting method to annual growth in nominal wages, December 2011 to December 2024</w:t>
        </w:r>
        <w:r>
          <w:rPr>
            <w:noProof/>
            <w:webHidden/>
          </w:rPr>
          <w:tab/>
        </w:r>
        <w:r>
          <w:rPr>
            <w:noProof/>
            <w:webHidden/>
          </w:rPr>
          <w:fldChar w:fldCharType="begin"/>
        </w:r>
        <w:r>
          <w:rPr>
            <w:noProof/>
            <w:webHidden/>
          </w:rPr>
          <w:instrText xml:space="preserve"> PAGEREF _Toc194251506 \h </w:instrText>
        </w:r>
        <w:r>
          <w:rPr>
            <w:noProof/>
            <w:webHidden/>
          </w:rPr>
        </w:r>
        <w:r>
          <w:rPr>
            <w:noProof/>
            <w:webHidden/>
          </w:rPr>
          <w:fldChar w:fldCharType="separate"/>
        </w:r>
        <w:r w:rsidR="009B6102">
          <w:rPr>
            <w:noProof/>
            <w:webHidden/>
          </w:rPr>
          <w:t>86</w:t>
        </w:r>
        <w:r>
          <w:rPr>
            <w:noProof/>
            <w:webHidden/>
          </w:rPr>
          <w:fldChar w:fldCharType="end"/>
        </w:r>
      </w:hyperlink>
    </w:p>
    <w:p w14:paraId="5E752FB1" w14:textId="22ECF692"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07" w:history="1">
        <w:r w:rsidRPr="00B35D0A">
          <w:rPr>
            <w:rStyle w:val="Hyperlink"/>
            <w:noProof/>
          </w:rPr>
          <w:t>Figure 9: Real wage and productivity growth, June 2012 to September 2024</w:t>
        </w:r>
        <w:r>
          <w:rPr>
            <w:noProof/>
            <w:webHidden/>
          </w:rPr>
          <w:tab/>
        </w:r>
        <w:r>
          <w:rPr>
            <w:noProof/>
            <w:webHidden/>
          </w:rPr>
          <w:fldChar w:fldCharType="begin"/>
        </w:r>
        <w:r>
          <w:rPr>
            <w:noProof/>
            <w:webHidden/>
          </w:rPr>
          <w:instrText xml:space="preserve"> PAGEREF _Toc194251507 \h </w:instrText>
        </w:r>
        <w:r>
          <w:rPr>
            <w:noProof/>
            <w:webHidden/>
          </w:rPr>
        </w:r>
        <w:r>
          <w:rPr>
            <w:noProof/>
            <w:webHidden/>
          </w:rPr>
          <w:fldChar w:fldCharType="separate"/>
        </w:r>
        <w:r w:rsidR="009B6102">
          <w:rPr>
            <w:noProof/>
            <w:webHidden/>
          </w:rPr>
          <w:t>88</w:t>
        </w:r>
        <w:r>
          <w:rPr>
            <w:noProof/>
            <w:webHidden/>
          </w:rPr>
          <w:fldChar w:fldCharType="end"/>
        </w:r>
      </w:hyperlink>
    </w:p>
    <w:p w14:paraId="50B3820D" w14:textId="03EE3A1E"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08" w:history="1">
        <w:r w:rsidRPr="00B35D0A">
          <w:rPr>
            <w:rStyle w:val="Hyperlink"/>
            <w:noProof/>
          </w:rPr>
          <w:t>Figure 10: Real unit labour costs, June 1994 to September 2024</w:t>
        </w:r>
        <w:r>
          <w:rPr>
            <w:noProof/>
            <w:webHidden/>
          </w:rPr>
          <w:tab/>
        </w:r>
        <w:r>
          <w:rPr>
            <w:noProof/>
            <w:webHidden/>
          </w:rPr>
          <w:fldChar w:fldCharType="begin"/>
        </w:r>
        <w:r>
          <w:rPr>
            <w:noProof/>
            <w:webHidden/>
          </w:rPr>
          <w:instrText xml:space="preserve"> PAGEREF _Toc194251508 \h </w:instrText>
        </w:r>
        <w:r>
          <w:rPr>
            <w:noProof/>
            <w:webHidden/>
          </w:rPr>
        </w:r>
        <w:r>
          <w:rPr>
            <w:noProof/>
            <w:webHidden/>
          </w:rPr>
          <w:fldChar w:fldCharType="separate"/>
        </w:r>
        <w:r w:rsidR="009B6102">
          <w:rPr>
            <w:noProof/>
            <w:webHidden/>
          </w:rPr>
          <w:t>89</w:t>
        </w:r>
        <w:r>
          <w:rPr>
            <w:noProof/>
            <w:webHidden/>
          </w:rPr>
          <w:fldChar w:fldCharType="end"/>
        </w:r>
      </w:hyperlink>
    </w:p>
    <w:p w14:paraId="11910404" w14:textId="37CF8923"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09" w:history="1">
        <w:r w:rsidRPr="00B35D0A">
          <w:rPr>
            <w:rStyle w:val="Hyperlink"/>
            <w:noProof/>
          </w:rPr>
          <w:t>Figure 11: Quarterly average annual wage increase (%) for approved and current agreements, 2021 to 2024</w:t>
        </w:r>
        <w:r>
          <w:rPr>
            <w:noProof/>
            <w:webHidden/>
          </w:rPr>
          <w:tab/>
        </w:r>
        <w:r>
          <w:rPr>
            <w:noProof/>
            <w:webHidden/>
          </w:rPr>
          <w:fldChar w:fldCharType="begin"/>
        </w:r>
        <w:r>
          <w:rPr>
            <w:noProof/>
            <w:webHidden/>
          </w:rPr>
          <w:instrText xml:space="preserve"> PAGEREF _Toc194251509 \h </w:instrText>
        </w:r>
        <w:r>
          <w:rPr>
            <w:noProof/>
            <w:webHidden/>
          </w:rPr>
        </w:r>
        <w:r>
          <w:rPr>
            <w:noProof/>
            <w:webHidden/>
          </w:rPr>
          <w:fldChar w:fldCharType="separate"/>
        </w:r>
        <w:r w:rsidR="009B6102">
          <w:rPr>
            <w:noProof/>
            <w:webHidden/>
          </w:rPr>
          <w:t>94</w:t>
        </w:r>
        <w:r>
          <w:rPr>
            <w:noProof/>
            <w:webHidden/>
          </w:rPr>
          <w:fldChar w:fldCharType="end"/>
        </w:r>
      </w:hyperlink>
    </w:p>
    <w:p w14:paraId="0353D863" w14:textId="61B29E60"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10" w:history="1">
        <w:r w:rsidRPr="00B35D0A">
          <w:rPr>
            <w:rStyle w:val="Hyperlink"/>
            <w:noProof/>
          </w:rPr>
          <w:t>Figure 12: Outcomes (number) of majority support determination (s 236) applications, 2022 to 2024</w:t>
        </w:r>
        <w:r>
          <w:rPr>
            <w:noProof/>
            <w:webHidden/>
          </w:rPr>
          <w:tab/>
        </w:r>
        <w:r>
          <w:rPr>
            <w:noProof/>
            <w:webHidden/>
          </w:rPr>
          <w:fldChar w:fldCharType="begin"/>
        </w:r>
        <w:r>
          <w:rPr>
            <w:noProof/>
            <w:webHidden/>
          </w:rPr>
          <w:instrText xml:space="preserve"> PAGEREF _Toc194251510 \h </w:instrText>
        </w:r>
        <w:r>
          <w:rPr>
            <w:noProof/>
            <w:webHidden/>
          </w:rPr>
        </w:r>
        <w:r>
          <w:rPr>
            <w:noProof/>
            <w:webHidden/>
          </w:rPr>
          <w:fldChar w:fldCharType="separate"/>
        </w:r>
        <w:r w:rsidR="009B6102">
          <w:rPr>
            <w:noProof/>
            <w:webHidden/>
          </w:rPr>
          <w:t>99</w:t>
        </w:r>
        <w:r>
          <w:rPr>
            <w:noProof/>
            <w:webHidden/>
          </w:rPr>
          <w:fldChar w:fldCharType="end"/>
        </w:r>
      </w:hyperlink>
    </w:p>
    <w:p w14:paraId="42A0F3A7" w14:textId="793FE574"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11" w:history="1">
        <w:r w:rsidRPr="00B35D0A">
          <w:rPr>
            <w:rStyle w:val="Hyperlink"/>
            <w:noProof/>
          </w:rPr>
          <w:t>Figure 13: Number employed (‘000) by gender and employment status, February 1978 to December 2024</w:t>
        </w:r>
        <w:r>
          <w:rPr>
            <w:noProof/>
            <w:webHidden/>
          </w:rPr>
          <w:tab/>
        </w:r>
        <w:r>
          <w:rPr>
            <w:noProof/>
            <w:webHidden/>
          </w:rPr>
          <w:fldChar w:fldCharType="begin"/>
        </w:r>
        <w:r>
          <w:rPr>
            <w:noProof/>
            <w:webHidden/>
          </w:rPr>
          <w:instrText xml:space="preserve"> PAGEREF _Toc194251511 \h </w:instrText>
        </w:r>
        <w:r>
          <w:rPr>
            <w:noProof/>
            <w:webHidden/>
          </w:rPr>
        </w:r>
        <w:r>
          <w:rPr>
            <w:noProof/>
            <w:webHidden/>
          </w:rPr>
          <w:fldChar w:fldCharType="separate"/>
        </w:r>
        <w:r w:rsidR="009B6102">
          <w:rPr>
            <w:noProof/>
            <w:webHidden/>
          </w:rPr>
          <w:t>199</w:t>
        </w:r>
        <w:r>
          <w:rPr>
            <w:noProof/>
            <w:webHidden/>
          </w:rPr>
          <w:fldChar w:fldCharType="end"/>
        </w:r>
      </w:hyperlink>
    </w:p>
    <w:p w14:paraId="33B03586" w14:textId="313930BC"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12" w:history="1">
        <w:r w:rsidRPr="00B35D0A">
          <w:rPr>
            <w:rStyle w:val="Hyperlink"/>
            <w:noProof/>
          </w:rPr>
          <w:t>Figure 14: Male labour force participation, by age, 1979 to</w:t>
        </w:r>
        <w:r w:rsidRPr="00B35D0A">
          <w:rPr>
            <w:rStyle w:val="Hyperlink"/>
            <w:rFonts w:ascii="Symbol" w:eastAsia="Symbol" w:hAnsi="Symbol" w:cs="Symbol"/>
            <w:noProof/>
          </w:rPr>
          <w:t></w:t>
        </w:r>
        <w:r w:rsidRPr="00B35D0A">
          <w:rPr>
            <w:rStyle w:val="Hyperlink"/>
            <w:noProof/>
          </w:rPr>
          <w:t>2024</w:t>
        </w:r>
        <w:r>
          <w:rPr>
            <w:noProof/>
            <w:webHidden/>
          </w:rPr>
          <w:tab/>
        </w:r>
        <w:r>
          <w:rPr>
            <w:noProof/>
            <w:webHidden/>
          </w:rPr>
          <w:fldChar w:fldCharType="begin"/>
        </w:r>
        <w:r>
          <w:rPr>
            <w:noProof/>
            <w:webHidden/>
          </w:rPr>
          <w:instrText xml:space="preserve"> PAGEREF _Toc194251512 \h </w:instrText>
        </w:r>
        <w:r>
          <w:rPr>
            <w:noProof/>
            <w:webHidden/>
          </w:rPr>
        </w:r>
        <w:r>
          <w:rPr>
            <w:noProof/>
            <w:webHidden/>
          </w:rPr>
          <w:fldChar w:fldCharType="separate"/>
        </w:r>
        <w:r w:rsidR="009B6102">
          <w:rPr>
            <w:noProof/>
            <w:webHidden/>
          </w:rPr>
          <w:t>200</w:t>
        </w:r>
        <w:r>
          <w:rPr>
            <w:noProof/>
            <w:webHidden/>
          </w:rPr>
          <w:fldChar w:fldCharType="end"/>
        </w:r>
      </w:hyperlink>
    </w:p>
    <w:p w14:paraId="0A0216B9" w14:textId="3D39D9A3"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13" w:history="1">
        <w:r w:rsidRPr="00B35D0A">
          <w:rPr>
            <w:rStyle w:val="Hyperlink"/>
            <w:noProof/>
          </w:rPr>
          <w:t>Figure 15: Female labour force participation, by age, 1979 to 2024</w:t>
        </w:r>
        <w:r>
          <w:rPr>
            <w:noProof/>
            <w:webHidden/>
          </w:rPr>
          <w:tab/>
        </w:r>
        <w:r>
          <w:rPr>
            <w:noProof/>
            <w:webHidden/>
          </w:rPr>
          <w:fldChar w:fldCharType="begin"/>
        </w:r>
        <w:r>
          <w:rPr>
            <w:noProof/>
            <w:webHidden/>
          </w:rPr>
          <w:instrText xml:space="preserve"> PAGEREF _Toc194251513 \h </w:instrText>
        </w:r>
        <w:r>
          <w:rPr>
            <w:noProof/>
            <w:webHidden/>
          </w:rPr>
        </w:r>
        <w:r>
          <w:rPr>
            <w:noProof/>
            <w:webHidden/>
          </w:rPr>
          <w:fldChar w:fldCharType="separate"/>
        </w:r>
        <w:r w:rsidR="009B6102">
          <w:rPr>
            <w:noProof/>
            <w:webHidden/>
          </w:rPr>
          <w:t>201</w:t>
        </w:r>
        <w:r>
          <w:rPr>
            <w:noProof/>
            <w:webHidden/>
          </w:rPr>
          <w:fldChar w:fldCharType="end"/>
        </w:r>
      </w:hyperlink>
    </w:p>
    <w:p w14:paraId="0D2E5DCC" w14:textId="30B28084"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14" w:history="1">
        <w:r w:rsidRPr="00B35D0A">
          <w:rPr>
            <w:rStyle w:val="Hyperlink"/>
            <w:noProof/>
          </w:rPr>
          <w:t>Figure 16: Female full-time employment as a share of total employment, by age, 1979</w:t>
        </w:r>
        <w:r w:rsidRPr="00B35D0A">
          <w:rPr>
            <w:rStyle w:val="Hyperlink"/>
            <w:rFonts w:ascii="Symbol" w:eastAsia="Symbol" w:hAnsi="Symbol" w:cs="Symbol"/>
            <w:noProof/>
          </w:rPr>
          <w:t></w:t>
        </w:r>
        <w:r w:rsidRPr="00B35D0A">
          <w:rPr>
            <w:rStyle w:val="Hyperlink"/>
            <w:rFonts w:ascii="Symbol" w:eastAsia="Symbol" w:hAnsi="Symbol" w:cs="Symbol"/>
            <w:noProof/>
          </w:rPr>
          <w:t></w:t>
        </w:r>
        <w:r w:rsidRPr="00B35D0A">
          <w:rPr>
            <w:rStyle w:val="Hyperlink"/>
            <w:rFonts w:ascii="Symbol" w:eastAsia="Symbol" w:hAnsi="Symbol" w:cs="Symbol"/>
            <w:noProof/>
          </w:rPr>
          <w:t></w:t>
        </w:r>
        <w:r w:rsidRPr="00B35D0A">
          <w:rPr>
            <w:rStyle w:val="Hyperlink"/>
            <w:rFonts w:ascii="Symbol" w:eastAsia="Symbol" w:hAnsi="Symbol" w:cs="Symbol"/>
            <w:noProof/>
          </w:rPr>
          <w:t></w:t>
        </w:r>
        <w:r w:rsidRPr="00B35D0A">
          <w:rPr>
            <w:rStyle w:val="Hyperlink"/>
            <w:noProof/>
          </w:rPr>
          <w:t>2024</w:t>
        </w:r>
        <w:r>
          <w:rPr>
            <w:noProof/>
            <w:webHidden/>
          </w:rPr>
          <w:tab/>
        </w:r>
        <w:r>
          <w:rPr>
            <w:noProof/>
            <w:webHidden/>
          </w:rPr>
          <w:fldChar w:fldCharType="begin"/>
        </w:r>
        <w:r>
          <w:rPr>
            <w:noProof/>
            <w:webHidden/>
          </w:rPr>
          <w:instrText xml:space="preserve"> PAGEREF _Toc194251514 \h </w:instrText>
        </w:r>
        <w:r>
          <w:rPr>
            <w:noProof/>
            <w:webHidden/>
          </w:rPr>
        </w:r>
        <w:r>
          <w:rPr>
            <w:noProof/>
            <w:webHidden/>
          </w:rPr>
          <w:fldChar w:fldCharType="separate"/>
        </w:r>
        <w:r w:rsidR="009B6102">
          <w:rPr>
            <w:noProof/>
            <w:webHidden/>
          </w:rPr>
          <w:t>202</w:t>
        </w:r>
        <w:r>
          <w:rPr>
            <w:noProof/>
            <w:webHidden/>
          </w:rPr>
          <w:fldChar w:fldCharType="end"/>
        </w:r>
      </w:hyperlink>
    </w:p>
    <w:p w14:paraId="46D1237D" w14:textId="4FC95A7D"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15" w:history="1">
        <w:r w:rsidRPr="00B35D0A">
          <w:rPr>
            <w:rStyle w:val="Hyperlink"/>
            <w:noProof/>
          </w:rPr>
          <w:t>Figure 17: Gender differences in employment by industry, 2024</w:t>
        </w:r>
        <w:r>
          <w:rPr>
            <w:noProof/>
            <w:webHidden/>
          </w:rPr>
          <w:tab/>
        </w:r>
        <w:r>
          <w:rPr>
            <w:noProof/>
            <w:webHidden/>
          </w:rPr>
          <w:fldChar w:fldCharType="begin"/>
        </w:r>
        <w:r>
          <w:rPr>
            <w:noProof/>
            <w:webHidden/>
          </w:rPr>
          <w:instrText xml:space="preserve"> PAGEREF _Toc194251515 \h </w:instrText>
        </w:r>
        <w:r>
          <w:rPr>
            <w:noProof/>
            <w:webHidden/>
          </w:rPr>
        </w:r>
        <w:r>
          <w:rPr>
            <w:noProof/>
            <w:webHidden/>
          </w:rPr>
          <w:fldChar w:fldCharType="separate"/>
        </w:r>
        <w:r w:rsidR="009B6102">
          <w:rPr>
            <w:noProof/>
            <w:webHidden/>
          </w:rPr>
          <w:t>203</w:t>
        </w:r>
        <w:r>
          <w:rPr>
            <w:noProof/>
            <w:webHidden/>
          </w:rPr>
          <w:fldChar w:fldCharType="end"/>
        </w:r>
      </w:hyperlink>
    </w:p>
    <w:p w14:paraId="604B5E15" w14:textId="1BD4CA48"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16" w:history="1">
        <w:r w:rsidRPr="00B35D0A">
          <w:rPr>
            <w:rStyle w:val="Hyperlink"/>
            <w:noProof/>
          </w:rPr>
          <w:t>Figure 18: Number employed (‘000) by industry, 2009 and 2024</w:t>
        </w:r>
        <w:r>
          <w:rPr>
            <w:noProof/>
            <w:webHidden/>
          </w:rPr>
          <w:tab/>
        </w:r>
        <w:r>
          <w:rPr>
            <w:noProof/>
            <w:webHidden/>
          </w:rPr>
          <w:fldChar w:fldCharType="begin"/>
        </w:r>
        <w:r>
          <w:rPr>
            <w:noProof/>
            <w:webHidden/>
          </w:rPr>
          <w:instrText xml:space="preserve"> PAGEREF _Toc194251516 \h </w:instrText>
        </w:r>
        <w:r>
          <w:rPr>
            <w:noProof/>
            <w:webHidden/>
          </w:rPr>
        </w:r>
        <w:r>
          <w:rPr>
            <w:noProof/>
            <w:webHidden/>
          </w:rPr>
          <w:fldChar w:fldCharType="separate"/>
        </w:r>
        <w:r w:rsidR="009B6102">
          <w:rPr>
            <w:noProof/>
            <w:webHidden/>
          </w:rPr>
          <w:t>204</w:t>
        </w:r>
        <w:r>
          <w:rPr>
            <w:noProof/>
            <w:webHidden/>
          </w:rPr>
          <w:fldChar w:fldCharType="end"/>
        </w:r>
      </w:hyperlink>
    </w:p>
    <w:p w14:paraId="46652624" w14:textId="1ABA8125"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17" w:history="1">
        <w:r w:rsidRPr="00B35D0A">
          <w:rPr>
            <w:rStyle w:val="Hyperlink"/>
            <w:noProof/>
          </w:rPr>
          <w:t>Figure 19: Trends in employment, by status of employment in main job, 2014 to 2024</w:t>
        </w:r>
        <w:r>
          <w:rPr>
            <w:noProof/>
            <w:webHidden/>
          </w:rPr>
          <w:tab/>
        </w:r>
        <w:r>
          <w:rPr>
            <w:noProof/>
            <w:webHidden/>
          </w:rPr>
          <w:fldChar w:fldCharType="begin"/>
        </w:r>
        <w:r>
          <w:rPr>
            <w:noProof/>
            <w:webHidden/>
          </w:rPr>
          <w:instrText xml:space="preserve"> PAGEREF _Toc194251517 \h </w:instrText>
        </w:r>
        <w:r>
          <w:rPr>
            <w:noProof/>
            <w:webHidden/>
          </w:rPr>
        </w:r>
        <w:r>
          <w:rPr>
            <w:noProof/>
            <w:webHidden/>
          </w:rPr>
          <w:fldChar w:fldCharType="separate"/>
        </w:r>
        <w:r w:rsidR="009B6102">
          <w:rPr>
            <w:noProof/>
            <w:webHidden/>
          </w:rPr>
          <w:t>205</w:t>
        </w:r>
        <w:r>
          <w:rPr>
            <w:noProof/>
            <w:webHidden/>
          </w:rPr>
          <w:fldChar w:fldCharType="end"/>
        </w:r>
      </w:hyperlink>
    </w:p>
    <w:p w14:paraId="31751D1A" w14:textId="131E1322"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18" w:history="1">
        <w:r w:rsidRPr="00B35D0A">
          <w:rPr>
            <w:rStyle w:val="Hyperlink"/>
            <w:noProof/>
          </w:rPr>
          <w:t>Figure 20: Trends in the gender wage gap in the full-time labour market, 1984 to 2024</w:t>
        </w:r>
        <w:r>
          <w:rPr>
            <w:noProof/>
            <w:webHidden/>
          </w:rPr>
          <w:tab/>
        </w:r>
        <w:r>
          <w:rPr>
            <w:noProof/>
            <w:webHidden/>
          </w:rPr>
          <w:fldChar w:fldCharType="begin"/>
        </w:r>
        <w:r>
          <w:rPr>
            <w:noProof/>
            <w:webHidden/>
          </w:rPr>
          <w:instrText xml:space="preserve"> PAGEREF _Toc194251518 \h </w:instrText>
        </w:r>
        <w:r>
          <w:rPr>
            <w:noProof/>
            <w:webHidden/>
          </w:rPr>
        </w:r>
        <w:r>
          <w:rPr>
            <w:noProof/>
            <w:webHidden/>
          </w:rPr>
          <w:fldChar w:fldCharType="separate"/>
        </w:r>
        <w:r w:rsidR="009B6102">
          <w:rPr>
            <w:noProof/>
            <w:webHidden/>
          </w:rPr>
          <w:t>210</w:t>
        </w:r>
        <w:r>
          <w:rPr>
            <w:noProof/>
            <w:webHidden/>
          </w:rPr>
          <w:fldChar w:fldCharType="end"/>
        </w:r>
      </w:hyperlink>
    </w:p>
    <w:p w14:paraId="74EA491B" w14:textId="77DF46E4"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19" w:history="1">
        <w:r w:rsidRPr="00B35D0A">
          <w:rPr>
            <w:rStyle w:val="Hyperlink"/>
            <w:noProof/>
          </w:rPr>
          <w:t>Figure 21: How the current limitation on fixed term contracts works</w:t>
        </w:r>
        <w:r>
          <w:rPr>
            <w:noProof/>
            <w:webHidden/>
          </w:rPr>
          <w:tab/>
        </w:r>
        <w:r>
          <w:rPr>
            <w:noProof/>
            <w:webHidden/>
          </w:rPr>
          <w:fldChar w:fldCharType="begin"/>
        </w:r>
        <w:r>
          <w:rPr>
            <w:noProof/>
            <w:webHidden/>
          </w:rPr>
          <w:instrText xml:space="preserve"> PAGEREF _Toc194251519 \h </w:instrText>
        </w:r>
        <w:r>
          <w:rPr>
            <w:noProof/>
            <w:webHidden/>
          </w:rPr>
        </w:r>
        <w:r>
          <w:rPr>
            <w:noProof/>
            <w:webHidden/>
          </w:rPr>
          <w:fldChar w:fldCharType="separate"/>
        </w:r>
        <w:r w:rsidR="009B6102">
          <w:rPr>
            <w:noProof/>
            <w:webHidden/>
          </w:rPr>
          <w:t>258</w:t>
        </w:r>
        <w:r>
          <w:rPr>
            <w:noProof/>
            <w:webHidden/>
          </w:rPr>
          <w:fldChar w:fldCharType="end"/>
        </w:r>
      </w:hyperlink>
    </w:p>
    <w:p w14:paraId="5B0388C4" w14:textId="2B635016"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20" w:history="1">
        <w:r w:rsidRPr="00B35D0A">
          <w:rPr>
            <w:rStyle w:val="Hyperlink"/>
            <w:noProof/>
          </w:rPr>
          <w:t>Figure 22: Trends in fixed term employment, 2014 to 2024</w:t>
        </w:r>
        <w:r>
          <w:rPr>
            <w:noProof/>
            <w:webHidden/>
          </w:rPr>
          <w:tab/>
        </w:r>
        <w:r>
          <w:rPr>
            <w:noProof/>
            <w:webHidden/>
          </w:rPr>
          <w:fldChar w:fldCharType="begin"/>
        </w:r>
        <w:r>
          <w:rPr>
            <w:noProof/>
            <w:webHidden/>
          </w:rPr>
          <w:instrText xml:space="preserve"> PAGEREF _Toc194251520 \h </w:instrText>
        </w:r>
        <w:r>
          <w:rPr>
            <w:noProof/>
            <w:webHidden/>
          </w:rPr>
        </w:r>
        <w:r>
          <w:rPr>
            <w:noProof/>
            <w:webHidden/>
          </w:rPr>
          <w:fldChar w:fldCharType="separate"/>
        </w:r>
        <w:r w:rsidR="009B6102">
          <w:rPr>
            <w:noProof/>
            <w:webHidden/>
          </w:rPr>
          <w:t>260</w:t>
        </w:r>
        <w:r>
          <w:rPr>
            <w:noProof/>
            <w:webHidden/>
          </w:rPr>
          <w:fldChar w:fldCharType="end"/>
        </w:r>
      </w:hyperlink>
    </w:p>
    <w:p w14:paraId="31A2C010" w14:textId="641711A6"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21" w:history="1">
        <w:r w:rsidRPr="00B35D0A">
          <w:rPr>
            <w:rStyle w:val="Hyperlink"/>
            <w:noProof/>
          </w:rPr>
          <w:t>Figure 23: The number of small claims applications filed, finalised and pending, 2019</w:t>
        </w:r>
        <w:r w:rsidRPr="00B35D0A">
          <w:rPr>
            <w:rStyle w:val="Hyperlink"/>
            <w:rFonts w:ascii="Symbol" w:eastAsia="Symbol" w:hAnsi="Symbol" w:cs="Symbol"/>
            <w:noProof/>
          </w:rPr>
          <w:t></w:t>
        </w:r>
        <w:r w:rsidRPr="00B35D0A">
          <w:rPr>
            <w:rStyle w:val="Hyperlink"/>
            <w:noProof/>
          </w:rPr>
          <w:t>20 to 2023</w:t>
        </w:r>
        <w:r w:rsidRPr="00B35D0A">
          <w:rPr>
            <w:rStyle w:val="Hyperlink"/>
            <w:rFonts w:ascii="Symbol" w:eastAsia="Symbol" w:hAnsi="Symbol" w:cs="Symbol"/>
            <w:noProof/>
          </w:rPr>
          <w:t></w:t>
        </w:r>
        <w:r w:rsidRPr="00B35D0A">
          <w:rPr>
            <w:rStyle w:val="Hyperlink"/>
            <w:noProof/>
          </w:rPr>
          <w:t>24</w:t>
        </w:r>
        <w:r>
          <w:rPr>
            <w:noProof/>
            <w:webHidden/>
          </w:rPr>
          <w:tab/>
        </w:r>
        <w:r>
          <w:rPr>
            <w:noProof/>
            <w:webHidden/>
          </w:rPr>
          <w:fldChar w:fldCharType="begin"/>
        </w:r>
        <w:r>
          <w:rPr>
            <w:noProof/>
            <w:webHidden/>
          </w:rPr>
          <w:instrText xml:space="preserve"> PAGEREF _Toc194251521 \h </w:instrText>
        </w:r>
        <w:r>
          <w:rPr>
            <w:noProof/>
            <w:webHidden/>
          </w:rPr>
        </w:r>
        <w:r>
          <w:rPr>
            <w:noProof/>
            <w:webHidden/>
          </w:rPr>
          <w:fldChar w:fldCharType="separate"/>
        </w:r>
        <w:r w:rsidR="009B6102">
          <w:rPr>
            <w:noProof/>
            <w:webHidden/>
          </w:rPr>
          <w:t>284</w:t>
        </w:r>
        <w:r>
          <w:rPr>
            <w:noProof/>
            <w:webHidden/>
          </w:rPr>
          <w:fldChar w:fldCharType="end"/>
        </w:r>
      </w:hyperlink>
    </w:p>
    <w:p w14:paraId="4BAEFF20" w14:textId="62EEAFDB"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22" w:history="1">
        <w:r w:rsidRPr="00B35D0A">
          <w:rPr>
            <w:rStyle w:val="Hyperlink"/>
            <w:noProof/>
          </w:rPr>
          <w:t>Figure 24: Industry size (employment) and distribution of employment</w:t>
        </w:r>
        <w:r>
          <w:rPr>
            <w:noProof/>
            <w:webHidden/>
          </w:rPr>
          <w:tab/>
        </w:r>
        <w:r>
          <w:rPr>
            <w:noProof/>
            <w:webHidden/>
          </w:rPr>
          <w:fldChar w:fldCharType="begin"/>
        </w:r>
        <w:r>
          <w:rPr>
            <w:noProof/>
            <w:webHidden/>
          </w:rPr>
          <w:instrText xml:space="preserve"> PAGEREF _Toc194251522 \h </w:instrText>
        </w:r>
        <w:r>
          <w:rPr>
            <w:noProof/>
            <w:webHidden/>
          </w:rPr>
        </w:r>
        <w:r>
          <w:rPr>
            <w:noProof/>
            <w:webHidden/>
          </w:rPr>
          <w:fldChar w:fldCharType="separate"/>
        </w:r>
        <w:r w:rsidR="009B6102">
          <w:rPr>
            <w:noProof/>
            <w:webHidden/>
          </w:rPr>
          <w:t>325</w:t>
        </w:r>
        <w:r>
          <w:rPr>
            <w:noProof/>
            <w:webHidden/>
          </w:rPr>
          <w:fldChar w:fldCharType="end"/>
        </w:r>
      </w:hyperlink>
    </w:p>
    <w:p w14:paraId="137E5C40" w14:textId="392DEF87"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23" w:history="1">
        <w:r w:rsidRPr="00B35D0A">
          <w:rPr>
            <w:rStyle w:val="Hyperlink"/>
            <w:noProof/>
          </w:rPr>
          <w:t>Figure 25: Trends in casual employment, women</w:t>
        </w:r>
        <w:r>
          <w:rPr>
            <w:noProof/>
            <w:webHidden/>
          </w:rPr>
          <w:tab/>
        </w:r>
        <w:r>
          <w:rPr>
            <w:noProof/>
            <w:webHidden/>
          </w:rPr>
          <w:fldChar w:fldCharType="begin"/>
        </w:r>
        <w:r>
          <w:rPr>
            <w:noProof/>
            <w:webHidden/>
          </w:rPr>
          <w:instrText xml:space="preserve"> PAGEREF _Toc194251523 \h </w:instrText>
        </w:r>
        <w:r>
          <w:rPr>
            <w:noProof/>
            <w:webHidden/>
          </w:rPr>
        </w:r>
        <w:r>
          <w:rPr>
            <w:noProof/>
            <w:webHidden/>
          </w:rPr>
          <w:fldChar w:fldCharType="separate"/>
        </w:r>
        <w:r w:rsidR="009B6102">
          <w:rPr>
            <w:noProof/>
            <w:webHidden/>
          </w:rPr>
          <w:t>326</w:t>
        </w:r>
        <w:r>
          <w:rPr>
            <w:noProof/>
            <w:webHidden/>
          </w:rPr>
          <w:fldChar w:fldCharType="end"/>
        </w:r>
      </w:hyperlink>
    </w:p>
    <w:p w14:paraId="71A5ACC2" w14:textId="7CF9AE6D"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24" w:history="1">
        <w:r w:rsidRPr="00B35D0A">
          <w:rPr>
            <w:rStyle w:val="Hyperlink"/>
            <w:noProof/>
          </w:rPr>
          <w:t>Figure 26: Trends in casual employment, men</w:t>
        </w:r>
        <w:r>
          <w:rPr>
            <w:noProof/>
            <w:webHidden/>
          </w:rPr>
          <w:tab/>
        </w:r>
        <w:r>
          <w:rPr>
            <w:noProof/>
            <w:webHidden/>
          </w:rPr>
          <w:fldChar w:fldCharType="begin"/>
        </w:r>
        <w:r>
          <w:rPr>
            <w:noProof/>
            <w:webHidden/>
          </w:rPr>
          <w:instrText xml:space="preserve"> PAGEREF _Toc194251524 \h </w:instrText>
        </w:r>
        <w:r>
          <w:rPr>
            <w:noProof/>
            <w:webHidden/>
          </w:rPr>
        </w:r>
        <w:r>
          <w:rPr>
            <w:noProof/>
            <w:webHidden/>
          </w:rPr>
          <w:fldChar w:fldCharType="separate"/>
        </w:r>
        <w:r w:rsidR="009B6102">
          <w:rPr>
            <w:noProof/>
            <w:webHidden/>
          </w:rPr>
          <w:t>327</w:t>
        </w:r>
        <w:r>
          <w:rPr>
            <w:noProof/>
            <w:webHidden/>
          </w:rPr>
          <w:fldChar w:fldCharType="end"/>
        </w:r>
      </w:hyperlink>
    </w:p>
    <w:p w14:paraId="7BE18070" w14:textId="18C2B445"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25" w:history="1">
        <w:r w:rsidRPr="00B35D0A">
          <w:rPr>
            <w:rStyle w:val="Hyperlink"/>
            <w:noProof/>
          </w:rPr>
          <w:t>Figure 27: Trends in fixed term employment, 2014 to 2024</w:t>
        </w:r>
        <w:r>
          <w:rPr>
            <w:noProof/>
            <w:webHidden/>
          </w:rPr>
          <w:tab/>
        </w:r>
        <w:r>
          <w:rPr>
            <w:noProof/>
            <w:webHidden/>
          </w:rPr>
          <w:fldChar w:fldCharType="begin"/>
        </w:r>
        <w:r>
          <w:rPr>
            <w:noProof/>
            <w:webHidden/>
          </w:rPr>
          <w:instrText xml:space="preserve"> PAGEREF _Toc194251525 \h </w:instrText>
        </w:r>
        <w:r>
          <w:rPr>
            <w:noProof/>
            <w:webHidden/>
          </w:rPr>
        </w:r>
        <w:r>
          <w:rPr>
            <w:noProof/>
            <w:webHidden/>
          </w:rPr>
          <w:fldChar w:fldCharType="separate"/>
        </w:r>
        <w:r w:rsidR="009B6102">
          <w:rPr>
            <w:noProof/>
            <w:webHidden/>
          </w:rPr>
          <w:t>333</w:t>
        </w:r>
        <w:r>
          <w:rPr>
            <w:noProof/>
            <w:webHidden/>
          </w:rPr>
          <w:fldChar w:fldCharType="end"/>
        </w:r>
      </w:hyperlink>
    </w:p>
    <w:p w14:paraId="15095388" w14:textId="5E294957"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26" w:history="1">
        <w:r w:rsidRPr="00B35D0A">
          <w:rPr>
            <w:rStyle w:val="Hyperlink"/>
            <w:noProof/>
          </w:rPr>
          <w:t>Figure 28: Trade union membership (%), Australia, 2004 to 2024</w:t>
        </w:r>
        <w:r>
          <w:rPr>
            <w:noProof/>
            <w:webHidden/>
          </w:rPr>
          <w:tab/>
        </w:r>
        <w:r>
          <w:rPr>
            <w:noProof/>
            <w:webHidden/>
          </w:rPr>
          <w:fldChar w:fldCharType="begin"/>
        </w:r>
        <w:r>
          <w:rPr>
            <w:noProof/>
            <w:webHidden/>
          </w:rPr>
          <w:instrText xml:space="preserve"> PAGEREF _Toc194251526 \h </w:instrText>
        </w:r>
        <w:r>
          <w:rPr>
            <w:noProof/>
            <w:webHidden/>
          </w:rPr>
        </w:r>
        <w:r>
          <w:rPr>
            <w:noProof/>
            <w:webHidden/>
          </w:rPr>
          <w:fldChar w:fldCharType="separate"/>
        </w:r>
        <w:r w:rsidR="009B6102">
          <w:rPr>
            <w:noProof/>
            <w:webHidden/>
          </w:rPr>
          <w:t>334</w:t>
        </w:r>
        <w:r>
          <w:rPr>
            <w:noProof/>
            <w:webHidden/>
          </w:rPr>
          <w:fldChar w:fldCharType="end"/>
        </w:r>
      </w:hyperlink>
    </w:p>
    <w:p w14:paraId="21D65236" w14:textId="2FF62778"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27" w:history="1">
        <w:r w:rsidRPr="00B35D0A">
          <w:rPr>
            <w:rStyle w:val="Hyperlink"/>
            <w:noProof/>
          </w:rPr>
          <w:t>Figure 29: Trade union membership by industry, Australia, August 2024</w:t>
        </w:r>
        <w:r>
          <w:rPr>
            <w:noProof/>
            <w:webHidden/>
          </w:rPr>
          <w:tab/>
        </w:r>
        <w:r>
          <w:rPr>
            <w:noProof/>
            <w:webHidden/>
          </w:rPr>
          <w:fldChar w:fldCharType="begin"/>
        </w:r>
        <w:r>
          <w:rPr>
            <w:noProof/>
            <w:webHidden/>
          </w:rPr>
          <w:instrText xml:space="preserve"> PAGEREF _Toc194251527 \h </w:instrText>
        </w:r>
        <w:r>
          <w:rPr>
            <w:noProof/>
            <w:webHidden/>
          </w:rPr>
        </w:r>
        <w:r>
          <w:rPr>
            <w:noProof/>
            <w:webHidden/>
          </w:rPr>
          <w:fldChar w:fldCharType="separate"/>
        </w:r>
        <w:r w:rsidR="009B6102">
          <w:rPr>
            <w:noProof/>
            <w:webHidden/>
          </w:rPr>
          <w:t>335</w:t>
        </w:r>
        <w:r>
          <w:rPr>
            <w:noProof/>
            <w:webHidden/>
          </w:rPr>
          <w:fldChar w:fldCharType="end"/>
        </w:r>
      </w:hyperlink>
    </w:p>
    <w:p w14:paraId="361CB83C" w14:textId="01441EF0"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28" w:history="1">
        <w:r w:rsidRPr="00B35D0A">
          <w:rPr>
            <w:rStyle w:val="Hyperlink"/>
            <w:noProof/>
          </w:rPr>
          <w:t>Figure 30: Perceived satisfaction with ability to balance work and non-work commitments, employees, Australia</w:t>
        </w:r>
        <w:r>
          <w:rPr>
            <w:noProof/>
            <w:webHidden/>
          </w:rPr>
          <w:tab/>
        </w:r>
        <w:r>
          <w:rPr>
            <w:noProof/>
            <w:webHidden/>
          </w:rPr>
          <w:fldChar w:fldCharType="begin"/>
        </w:r>
        <w:r>
          <w:rPr>
            <w:noProof/>
            <w:webHidden/>
          </w:rPr>
          <w:instrText xml:space="preserve"> PAGEREF _Toc194251528 \h </w:instrText>
        </w:r>
        <w:r>
          <w:rPr>
            <w:noProof/>
            <w:webHidden/>
          </w:rPr>
        </w:r>
        <w:r>
          <w:rPr>
            <w:noProof/>
            <w:webHidden/>
          </w:rPr>
          <w:fldChar w:fldCharType="separate"/>
        </w:r>
        <w:r w:rsidR="009B6102">
          <w:rPr>
            <w:noProof/>
            <w:webHidden/>
          </w:rPr>
          <w:t>338</w:t>
        </w:r>
        <w:r>
          <w:rPr>
            <w:noProof/>
            <w:webHidden/>
          </w:rPr>
          <w:fldChar w:fldCharType="end"/>
        </w:r>
      </w:hyperlink>
    </w:p>
    <w:p w14:paraId="06D4AEBE" w14:textId="5DB1F273"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29" w:history="1">
        <w:r w:rsidRPr="00B35D0A">
          <w:rPr>
            <w:rStyle w:val="Hyperlink"/>
            <w:noProof/>
          </w:rPr>
          <w:t>Figure 31: Share of employees who report being able to work some or all of their usual hours in their main job at home, 2012 to 2023</w:t>
        </w:r>
        <w:r>
          <w:rPr>
            <w:noProof/>
            <w:webHidden/>
          </w:rPr>
          <w:tab/>
        </w:r>
        <w:r>
          <w:rPr>
            <w:noProof/>
            <w:webHidden/>
          </w:rPr>
          <w:fldChar w:fldCharType="begin"/>
        </w:r>
        <w:r>
          <w:rPr>
            <w:noProof/>
            <w:webHidden/>
          </w:rPr>
          <w:instrText xml:space="preserve"> PAGEREF _Toc194251529 \h </w:instrText>
        </w:r>
        <w:r>
          <w:rPr>
            <w:noProof/>
            <w:webHidden/>
          </w:rPr>
        </w:r>
        <w:r>
          <w:rPr>
            <w:noProof/>
            <w:webHidden/>
          </w:rPr>
          <w:fldChar w:fldCharType="separate"/>
        </w:r>
        <w:r w:rsidR="009B6102">
          <w:rPr>
            <w:noProof/>
            <w:webHidden/>
          </w:rPr>
          <w:t>339</w:t>
        </w:r>
        <w:r>
          <w:rPr>
            <w:noProof/>
            <w:webHidden/>
          </w:rPr>
          <w:fldChar w:fldCharType="end"/>
        </w:r>
      </w:hyperlink>
    </w:p>
    <w:p w14:paraId="28405371" w14:textId="6CEB5703"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30" w:history="1">
        <w:r w:rsidRPr="00B35D0A">
          <w:rPr>
            <w:rStyle w:val="Hyperlink"/>
            <w:noProof/>
          </w:rPr>
          <w:t>Figure 32: Trends in the number of employees who are employed via a fixed term contract, by gender, 2001 to 2023</w:t>
        </w:r>
        <w:r>
          <w:rPr>
            <w:noProof/>
            <w:webHidden/>
          </w:rPr>
          <w:tab/>
        </w:r>
        <w:r>
          <w:rPr>
            <w:noProof/>
            <w:webHidden/>
          </w:rPr>
          <w:fldChar w:fldCharType="begin"/>
        </w:r>
        <w:r>
          <w:rPr>
            <w:noProof/>
            <w:webHidden/>
          </w:rPr>
          <w:instrText xml:space="preserve"> PAGEREF _Toc194251530 \h </w:instrText>
        </w:r>
        <w:r>
          <w:rPr>
            <w:noProof/>
            <w:webHidden/>
          </w:rPr>
        </w:r>
        <w:r>
          <w:rPr>
            <w:noProof/>
            <w:webHidden/>
          </w:rPr>
          <w:fldChar w:fldCharType="separate"/>
        </w:r>
        <w:r w:rsidR="009B6102">
          <w:rPr>
            <w:noProof/>
            <w:webHidden/>
          </w:rPr>
          <w:t>340</w:t>
        </w:r>
        <w:r>
          <w:rPr>
            <w:noProof/>
            <w:webHidden/>
          </w:rPr>
          <w:fldChar w:fldCharType="end"/>
        </w:r>
      </w:hyperlink>
    </w:p>
    <w:p w14:paraId="46CDD42B" w14:textId="189C8130"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31" w:history="1">
        <w:r w:rsidRPr="00B35D0A">
          <w:rPr>
            <w:rStyle w:val="Hyperlink"/>
            <w:noProof/>
          </w:rPr>
          <w:t>Figure 33: Trends in the share of employees who are on fixed term contracts, by gender, 2001 to 2023</w:t>
        </w:r>
        <w:r>
          <w:rPr>
            <w:noProof/>
            <w:webHidden/>
          </w:rPr>
          <w:tab/>
        </w:r>
        <w:r>
          <w:rPr>
            <w:noProof/>
            <w:webHidden/>
          </w:rPr>
          <w:fldChar w:fldCharType="begin"/>
        </w:r>
        <w:r>
          <w:rPr>
            <w:noProof/>
            <w:webHidden/>
          </w:rPr>
          <w:instrText xml:space="preserve"> PAGEREF _Toc194251531 \h </w:instrText>
        </w:r>
        <w:r>
          <w:rPr>
            <w:noProof/>
            <w:webHidden/>
          </w:rPr>
        </w:r>
        <w:r>
          <w:rPr>
            <w:noProof/>
            <w:webHidden/>
          </w:rPr>
          <w:fldChar w:fldCharType="separate"/>
        </w:r>
        <w:r w:rsidR="009B6102">
          <w:rPr>
            <w:noProof/>
            <w:webHidden/>
          </w:rPr>
          <w:t>341</w:t>
        </w:r>
        <w:r>
          <w:rPr>
            <w:noProof/>
            <w:webHidden/>
          </w:rPr>
          <w:fldChar w:fldCharType="end"/>
        </w:r>
      </w:hyperlink>
    </w:p>
    <w:p w14:paraId="61513F59" w14:textId="05C138C2"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32" w:history="1">
        <w:r w:rsidRPr="00B35D0A">
          <w:rPr>
            <w:rStyle w:val="Hyperlink"/>
            <w:noProof/>
          </w:rPr>
          <w:t>Figure 34: Fixed term contract transition analysis, 2001 to 2023</w:t>
        </w:r>
        <w:r>
          <w:rPr>
            <w:noProof/>
            <w:webHidden/>
          </w:rPr>
          <w:tab/>
        </w:r>
        <w:r>
          <w:rPr>
            <w:noProof/>
            <w:webHidden/>
          </w:rPr>
          <w:fldChar w:fldCharType="begin"/>
        </w:r>
        <w:r>
          <w:rPr>
            <w:noProof/>
            <w:webHidden/>
          </w:rPr>
          <w:instrText xml:space="preserve"> PAGEREF _Toc194251532 \h </w:instrText>
        </w:r>
        <w:r>
          <w:rPr>
            <w:noProof/>
            <w:webHidden/>
          </w:rPr>
        </w:r>
        <w:r>
          <w:rPr>
            <w:noProof/>
            <w:webHidden/>
          </w:rPr>
          <w:fldChar w:fldCharType="separate"/>
        </w:r>
        <w:r w:rsidR="009B6102">
          <w:rPr>
            <w:noProof/>
            <w:webHidden/>
          </w:rPr>
          <w:t>343</w:t>
        </w:r>
        <w:r>
          <w:rPr>
            <w:noProof/>
            <w:webHidden/>
          </w:rPr>
          <w:fldChar w:fldCharType="end"/>
        </w:r>
      </w:hyperlink>
    </w:p>
    <w:p w14:paraId="04F82F59" w14:textId="1DAC2235"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33" w:history="1">
        <w:r w:rsidRPr="00B35D0A">
          <w:rPr>
            <w:rStyle w:val="Hyperlink"/>
            <w:noProof/>
          </w:rPr>
          <w:t>Figure 35: Nominal and real wage growth in Australia indexed to December 2010</w:t>
        </w:r>
        <w:r>
          <w:rPr>
            <w:noProof/>
            <w:webHidden/>
          </w:rPr>
          <w:tab/>
        </w:r>
        <w:r>
          <w:rPr>
            <w:noProof/>
            <w:webHidden/>
          </w:rPr>
          <w:fldChar w:fldCharType="begin"/>
        </w:r>
        <w:r>
          <w:rPr>
            <w:noProof/>
            <w:webHidden/>
          </w:rPr>
          <w:instrText xml:space="preserve"> PAGEREF _Toc194251533 \h </w:instrText>
        </w:r>
        <w:r>
          <w:rPr>
            <w:noProof/>
            <w:webHidden/>
          </w:rPr>
        </w:r>
        <w:r>
          <w:rPr>
            <w:noProof/>
            <w:webHidden/>
          </w:rPr>
          <w:fldChar w:fldCharType="separate"/>
        </w:r>
        <w:r w:rsidR="009B6102">
          <w:rPr>
            <w:noProof/>
            <w:webHidden/>
          </w:rPr>
          <w:t>349</w:t>
        </w:r>
        <w:r>
          <w:rPr>
            <w:noProof/>
            <w:webHidden/>
          </w:rPr>
          <w:fldChar w:fldCharType="end"/>
        </w:r>
      </w:hyperlink>
    </w:p>
    <w:p w14:paraId="403D2008" w14:textId="4143FD7A"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34" w:history="1">
        <w:r w:rsidRPr="00B35D0A">
          <w:rPr>
            <w:rStyle w:val="Hyperlink"/>
            <w:noProof/>
          </w:rPr>
          <w:t>Figure 36: Nominal and real annual wage growth in Australia, December 2010 to December 2024</w:t>
        </w:r>
        <w:r>
          <w:rPr>
            <w:noProof/>
            <w:webHidden/>
          </w:rPr>
          <w:tab/>
        </w:r>
        <w:r>
          <w:rPr>
            <w:noProof/>
            <w:webHidden/>
          </w:rPr>
          <w:fldChar w:fldCharType="begin"/>
        </w:r>
        <w:r>
          <w:rPr>
            <w:noProof/>
            <w:webHidden/>
          </w:rPr>
          <w:instrText xml:space="preserve"> PAGEREF _Toc194251534 \h </w:instrText>
        </w:r>
        <w:r>
          <w:rPr>
            <w:noProof/>
            <w:webHidden/>
          </w:rPr>
        </w:r>
        <w:r>
          <w:rPr>
            <w:noProof/>
            <w:webHidden/>
          </w:rPr>
          <w:fldChar w:fldCharType="separate"/>
        </w:r>
        <w:r w:rsidR="009B6102">
          <w:rPr>
            <w:noProof/>
            <w:webHidden/>
          </w:rPr>
          <w:t>351</w:t>
        </w:r>
        <w:r>
          <w:rPr>
            <w:noProof/>
            <w:webHidden/>
          </w:rPr>
          <w:fldChar w:fldCharType="end"/>
        </w:r>
      </w:hyperlink>
    </w:p>
    <w:p w14:paraId="04029D50" w14:textId="46EC7D53"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35" w:history="1">
        <w:r w:rsidRPr="00B35D0A">
          <w:rPr>
            <w:rStyle w:val="Hyperlink"/>
            <w:noProof/>
          </w:rPr>
          <w:t>Figure 37: Growth in nominal wages by method of pay setting, December 2010 to December 2024</w:t>
        </w:r>
        <w:r>
          <w:rPr>
            <w:noProof/>
            <w:webHidden/>
          </w:rPr>
          <w:tab/>
        </w:r>
        <w:r>
          <w:rPr>
            <w:noProof/>
            <w:webHidden/>
          </w:rPr>
          <w:fldChar w:fldCharType="begin"/>
        </w:r>
        <w:r>
          <w:rPr>
            <w:noProof/>
            <w:webHidden/>
          </w:rPr>
          <w:instrText xml:space="preserve"> PAGEREF _Toc194251535 \h </w:instrText>
        </w:r>
        <w:r>
          <w:rPr>
            <w:noProof/>
            <w:webHidden/>
          </w:rPr>
        </w:r>
        <w:r>
          <w:rPr>
            <w:noProof/>
            <w:webHidden/>
          </w:rPr>
          <w:fldChar w:fldCharType="separate"/>
        </w:r>
        <w:r w:rsidR="009B6102">
          <w:rPr>
            <w:noProof/>
            <w:webHidden/>
          </w:rPr>
          <w:t>353</w:t>
        </w:r>
        <w:r>
          <w:rPr>
            <w:noProof/>
            <w:webHidden/>
          </w:rPr>
          <w:fldChar w:fldCharType="end"/>
        </w:r>
      </w:hyperlink>
    </w:p>
    <w:p w14:paraId="7359C7B2" w14:textId="41ADAF3C"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36" w:history="1">
        <w:r w:rsidRPr="00B35D0A">
          <w:rPr>
            <w:rStyle w:val="Hyperlink"/>
            <w:noProof/>
          </w:rPr>
          <w:t>Figure 38: Contribution of pay setting method to annual growth in nominal wages, December 2011 to December 2024</w:t>
        </w:r>
        <w:r>
          <w:rPr>
            <w:noProof/>
            <w:webHidden/>
          </w:rPr>
          <w:tab/>
        </w:r>
        <w:r>
          <w:rPr>
            <w:noProof/>
            <w:webHidden/>
          </w:rPr>
          <w:fldChar w:fldCharType="begin"/>
        </w:r>
        <w:r>
          <w:rPr>
            <w:noProof/>
            <w:webHidden/>
          </w:rPr>
          <w:instrText xml:space="preserve"> PAGEREF _Toc194251536 \h </w:instrText>
        </w:r>
        <w:r>
          <w:rPr>
            <w:noProof/>
            <w:webHidden/>
          </w:rPr>
        </w:r>
        <w:r>
          <w:rPr>
            <w:noProof/>
            <w:webHidden/>
          </w:rPr>
          <w:fldChar w:fldCharType="separate"/>
        </w:r>
        <w:r w:rsidR="009B6102">
          <w:rPr>
            <w:noProof/>
            <w:webHidden/>
          </w:rPr>
          <w:t>362</w:t>
        </w:r>
        <w:r>
          <w:rPr>
            <w:noProof/>
            <w:webHidden/>
          </w:rPr>
          <w:fldChar w:fldCharType="end"/>
        </w:r>
      </w:hyperlink>
    </w:p>
    <w:p w14:paraId="564EFC5C" w14:textId="0D5EB794"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37" w:history="1">
        <w:r w:rsidRPr="00B35D0A">
          <w:rPr>
            <w:rStyle w:val="Hyperlink"/>
            <w:noProof/>
          </w:rPr>
          <w:t>Figure 39: Trends in National Minimum Wage relative to average weekly ordinary time earnings of men employed full-time, 2001 to 2024</w:t>
        </w:r>
        <w:r>
          <w:rPr>
            <w:noProof/>
            <w:webHidden/>
          </w:rPr>
          <w:tab/>
        </w:r>
        <w:r>
          <w:rPr>
            <w:noProof/>
            <w:webHidden/>
          </w:rPr>
          <w:fldChar w:fldCharType="begin"/>
        </w:r>
        <w:r>
          <w:rPr>
            <w:noProof/>
            <w:webHidden/>
          </w:rPr>
          <w:instrText xml:space="preserve"> PAGEREF _Toc194251537 \h </w:instrText>
        </w:r>
        <w:r>
          <w:rPr>
            <w:noProof/>
            <w:webHidden/>
          </w:rPr>
        </w:r>
        <w:r>
          <w:rPr>
            <w:noProof/>
            <w:webHidden/>
          </w:rPr>
          <w:fldChar w:fldCharType="separate"/>
        </w:r>
        <w:r w:rsidR="009B6102">
          <w:rPr>
            <w:noProof/>
            <w:webHidden/>
          </w:rPr>
          <w:t>364</w:t>
        </w:r>
        <w:r>
          <w:rPr>
            <w:noProof/>
            <w:webHidden/>
          </w:rPr>
          <w:fldChar w:fldCharType="end"/>
        </w:r>
      </w:hyperlink>
    </w:p>
    <w:p w14:paraId="2F3449A3" w14:textId="1B163763"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38" w:history="1">
        <w:r w:rsidRPr="00B35D0A">
          <w:rPr>
            <w:rStyle w:val="Hyperlink"/>
            <w:noProof/>
          </w:rPr>
          <w:t>Figure 40: Trends in average weekly ordinary time earnings of men and women and in the gender wage gap</w:t>
        </w:r>
        <w:r>
          <w:rPr>
            <w:noProof/>
            <w:webHidden/>
          </w:rPr>
          <w:tab/>
        </w:r>
        <w:r>
          <w:rPr>
            <w:noProof/>
            <w:webHidden/>
          </w:rPr>
          <w:fldChar w:fldCharType="begin"/>
        </w:r>
        <w:r>
          <w:rPr>
            <w:noProof/>
            <w:webHidden/>
          </w:rPr>
          <w:instrText xml:space="preserve"> PAGEREF _Toc194251538 \h </w:instrText>
        </w:r>
        <w:r>
          <w:rPr>
            <w:noProof/>
            <w:webHidden/>
          </w:rPr>
        </w:r>
        <w:r>
          <w:rPr>
            <w:noProof/>
            <w:webHidden/>
          </w:rPr>
          <w:fldChar w:fldCharType="separate"/>
        </w:r>
        <w:r w:rsidR="009B6102">
          <w:rPr>
            <w:noProof/>
            <w:webHidden/>
          </w:rPr>
          <w:t>365</w:t>
        </w:r>
        <w:r>
          <w:rPr>
            <w:noProof/>
            <w:webHidden/>
          </w:rPr>
          <w:fldChar w:fldCharType="end"/>
        </w:r>
      </w:hyperlink>
    </w:p>
    <w:p w14:paraId="03F9C17E" w14:textId="3EA3332C"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39" w:history="1">
        <w:r w:rsidRPr="00B35D0A">
          <w:rPr>
            <w:rStyle w:val="Hyperlink"/>
            <w:noProof/>
          </w:rPr>
          <w:t>Figure 41: Trends in the gender wage gap in the full-time labour market, 1984 to 2024</w:t>
        </w:r>
        <w:r>
          <w:rPr>
            <w:noProof/>
            <w:webHidden/>
          </w:rPr>
          <w:tab/>
        </w:r>
        <w:r>
          <w:rPr>
            <w:noProof/>
            <w:webHidden/>
          </w:rPr>
          <w:fldChar w:fldCharType="begin"/>
        </w:r>
        <w:r>
          <w:rPr>
            <w:noProof/>
            <w:webHidden/>
          </w:rPr>
          <w:instrText xml:space="preserve"> PAGEREF _Toc194251539 \h </w:instrText>
        </w:r>
        <w:r>
          <w:rPr>
            <w:noProof/>
            <w:webHidden/>
          </w:rPr>
        </w:r>
        <w:r>
          <w:rPr>
            <w:noProof/>
            <w:webHidden/>
          </w:rPr>
          <w:fldChar w:fldCharType="separate"/>
        </w:r>
        <w:r w:rsidR="009B6102">
          <w:rPr>
            <w:noProof/>
            <w:webHidden/>
          </w:rPr>
          <w:t>366</w:t>
        </w:r>
        <w:r>
          <w:rPr>
            <w:noProof/>
            <w:webHidden/>
          </w:rPr>
          <w:fldChar w:fldCharType="end"/>
        </w:r>
      </w:hyperlink>
    </w:p>
    <w:p w14:paraId="1F80B8FF" w14:textId="0A11DC3E"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40" w:history="1">
        <w:r w:rsidRPr="00B35D0A">
          <w:rPr>
            <w:rStyle w:val="Hyperlink"/>
            <w:noProof/>
          </w:rPr>
          <w:t>Figure 42: Trends in the gender wage gap based on total earnings, 2012 to 2024</w:t>
        </w:r>
        <w:r>
          <w:rPr>
            <w:noProof/>
            <w:webHidden/>
          </w:rPr>
          <w:tab/>
        </w:r>
        <w:r>
          <w:rPr>
            <w:noProof/>
            <w:webHidden/>
          </w:rPr>
          <w:fldChar w:fldCharType="begin"/>
        </w:r>
        <w:r>
          <w:rPr>
            <w:noProof/>
            <w:webHidden/>
          </w:rPr>
          <w:instrText xml:space="preserve"> PAGEREF _Toc194251540 \h </w:instrText>
        </w:r>
        <w:r>
          <w:rPr>
            <w:noProof/>
            <w:webHidden/>
          </w:rPr>
        </w:r>
        <w:r>
          <w:rPr>
            <w:noProof/>
            <w:webHidden/>
          </w:rPr>
          <w:fldChar w:fldCharType="separate"/>
        </w:r>
        <w:r w:rsidR="009B6102">
          <w:rPr>
            <w:noProof/>
            <w:webHidden/>
          </w:rPr>
          <w:t>368</w:t>
        </w:r>
        <w:r>
          <w:rPr>
            <w:noProof/>
            <w:webHidden/>
          </w:rPr>
          <w:fldChar w:fldCharType="end"/>
        </w:r>
      </w:hyperlink>
    </w:p>
    <w:p w14:paraId="2845C749" w14:textId="743DB07E"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41" w:history="1">
        <w:r w:rsidRPr="00B35D0A">
          <w:rPr>
            <w:rStyle w:val="Hyperlink"/>
            <w:noProof/>
          </w:rPr>
          <w:t>Figure 43: Average weekly total earnings of adult men employed full-time industry and the associated gender wage gap, May 2024</w:t>
        </w:r>
        <w:r>
          <w:rPr>
            <w:noProof/>
            <w:webHidden/>
          </w:rPr>
          <w:tab/>
        </w:r>
        <w:r>
          <w:rPr>
            <w:noProof/>
            <w:webHidden/>
          </w:rPr>
          <w:fldChar w:fldCharType="begin"/>
        </w:r>
        <w:r>
          <w:rPr>
            <w:noProof/>
            <w:webHidden/>
          </w:rPr>
          <w:instrText xml:space="preserve"> PAGEREF _Toc194251541 \h </w:instrText>
        </w:r>
        <w:r>
          <w:rPr>
            <w:noProof/>
            <w:webHidden/>
          </w:rPr>
        </w:r>
        <w:r>
          <w:rPr>
            <w:noProof/>
            <w:webHidden/>
          </w:rPr>
          <w:fldChar w:fldCharType="separate"/>
        </w:r>
        <w:r w:rsidR="009B6102">
          <w:rPr>
            <w:noProof/>
            <w:webHidden/>
          </w:rPr>
          <w:t>369</w:t>
        </w:r>
        <w:r>
          <w:rPr>
            <w:noProof/>
            <w:webHidden/>
          </w:rPr>
          <w:fldChar w:fldCharType="end"/>
        </w:r>
      </w:hyperlink>
    </w:p>
    <w:p w14:paraId="17FAFB49" w14:textId="4F3904D4"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42" w:history="1">
        <w:r w:rsidRPr="00B35D0A">
          <w:rPr>
            <w:rStyle w:val="Hyperlink"/>
            <w:noProof/>
          </w:rPr>
          <w:t>Figure 44: Growth in average annual wages of member OECD countries, 2011 to 2023</w:t>
        </w:r>
        <w:r>
          <w:rPr>
            <w:noProof/>
            <w:webHidden/>
          </w:rPr>
          <w:tab/>
        </w:r>
        <w:r>
          <w:rPr>
            <w:noProof/>
            <w:webHidden/>
          </w:rPr>
          <w:fldChar w:fldCharType="begin"/>
        </w:r>
        <w:r>
          <w:rPr>
            <w:noProof/>
            <w:webHidden/>
          </w:rPr>
          <w:instrText xml:space="preserve"> PAGEREF _Toc194251542 \h </w:instrText>
        </w:r>
        <w:r>
          <w:rPr>
            <w:noProof/>
            <w:webHidden/>
          </w:rPr>
        </w:r>
        <w:r>
          <w:rPr>
            <w:noProof/>
            <w:webHidden/>
          </w:rPr>
          <w:fldChar w:fldCharType="separate"/>
        </w:r>
        <w:r w:rsidR="009B6102">
          <w:rPr>
            <w:noProof/>
            <w:webHidden/>
          </w:rPr>
          <w:t>373</w:t>
        </w:r>
        <w:r>
          <w:rPr>
            <w:noProof/>
            <w:webHidden/>
          </w:rPr>
          <w:fldChar w:fldCharType="end"/>
        </w:r>
      </w:hyperlink>
    </w:p>
    <w:p w14:paraId="1286E91A" w14:textId="60AEF751"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43" w:history="1">
        <w:r w:rsidRPr="00B35D0A">
          <w:rPr>
            <w:rStyle w:val="Hyperlink"/>
            <w:noProof/>
          </w:rPr>
          <w:t>Figure 45: Average annual wage by OECD member country, benchmarked to average annual wages in the United States, 2023</w:t>
        </w:r>
        <w:r>
          <w:rPr>
            <w:noProof/>
            <w:webHidden/>
          </w:rPr>
          <w:tab/>
        </w:r>
        <w:r>
          <w:rPr>
            <w:noProof/>
            <w:webHidden/>
          </w:rPr>
          <w:fldChar w:fldCharType="begin"/>
        </w:r>
        <w:r>
          <w:rPr>
            <w:noProof/>
            <w:webHidden/>
          </w:rPr>
          <w:instrText xml:space="preserve"> PAGEREF _Toc194251543 \h </w:instrText>
        </w:r>
        <w:r>
          <w:rPr>
            <w:noProof/>
            <w:webHidden/>
          </w:rPr>
        </w:r>
        <w:r>
          <w:rPr>
            <w:noProof/>
            <w:webHidden/>
          </w:rPr>
          <w:fldChar w:fldCharType="separate"/>
        </w:r>
        <w:r w:rsidR="009B6102">
          <w:rPr>
            <w:noProof/>
            <w:webHidden/>
          </w:rPr>
          <w:t>374</w:t>
        </w:r>
        <w:r>
          <w:rPr>
            <w:noProof/>
            <w:webHidden/>
          </w:rPr>
          <w:fldChar w:fldCharType="end"/>
        </w:r>
      </w:hyperlink>
    </w:p>
    <w:p w14:paraId="5CA94C28" w14:textId="09904211"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44" w:history="1">
        <w:r w:rsidRPr="00B35D0A">
          <w:rPr>
            <w:rStyle w:val="Hyperlink"/>
            <w:noProof/>
          </w:rPr>
          <w:t>Figure 46: Trends in method of pay setting, 2008</w:t>
        </w:r>
        <w:r w:rsidRPr="00B35D0A">
          <w:rPr>
            <w:rStyle w:val="Hyperlink"/>
            <w:rFonts w:ascii="Symbol" w:eastAsia="Symbol" w:hAnsi="Symbol" w:cs="Symbol"/>
            <w:noProof/>
          </w:rPr>
          <w:t></w:t>
        </w:r>
        <w:r w:rsidRPr="00B35D0A">
          <w:rPr>
            <w:rStyle w:val="Hyperlink"/>
            <w:noProof/>
          </w:rPr>
          <w:t>09 to 2022</w:t>
        </w:r>
        <w:r w:rsidRPr="00B35D0A">
          <w:rPr>
            <w:rStyle w:val="Hyperlink"/>
            <w:rFonts w:ascii="Symbol" w:eastAsia="Symbol" w:hAnsi="Symbol" w:cs="Symbol"/>
            <w:noProof/>
          </w:rPr>
          <w:t></w:t>
        </w:r>
        <w:r w:rsidRPr="00B35D0A">
          <w:rPr>
            <w:rStyle w:val="Hyperlink"/>
            <w:noProof/>
          </w:rPr>
          <w:t>23</w:t>
        </w:r>
        <w:r>
          <w:rPr>
            <w:noProof/>
            <w:webHidden/>
          </w:rPr>
          <w:tab/>
        </w:r>
        <w:r>
          <w:rPr>
            <w:noProof/>
            <w:webHidden/>
          </w:rPr>
          <w:fldChar w:fldCharType="begin"/>
        </w:r>
        <w:r>
          <w:rPr>
            <w:noProof/>
            <w:webHidden/>
          </w:rPr>
          <w:instrText xml:space="preserve"> PAGEREF _Toc194251544 \h </w:instrText>
        </w:r>
        <w:r>
          <w:rPr>
            <w:noProof/>
            <w:webHidden/>
          </w:rPr>
        </w:r>
        <w:r>
          <w:rPr>
            <w:noProof/>
            <w:webHidden/>
          </w:rPr>
          <w:fldChar w:fldCharType="separate"/>
        </w:r>
        <w:r w:rsidR="009B6102">
          <w:rPr>
            <w:noProof/>
            <w:webHidden/>
          </w:rPr>
          <w:t>375</w:t>
        </w:r>
        <w:r>
          <w:rPr>
            <w:noProof/>
            <w:webHidden/>
          </w:rPr>
          <w:fldChar w:fldCharType="end"/>
        </w:r>
      </w:hyperlink>
    </w:p>
    <w:p w14:paraId="65DB7FD5" w14:textId="72D6DB0C"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45" w:history="1">
        <w:r w:rsidRPr="00B35D0A">
          <w:rPr>
            <w:rStyle w:val="Hyperlink"/>
            <w:noProof/>
          </w:rPr>
          <w:t>Figure 47: Trends in the natural logarithm of hourly wages by method of pay setting, Australia, 2008 to 2022</w:t>
        </w:r>
        <w:r>
          <w:rPr>
            <w:noProof/>
            <w:webHidden/>
          </w:rPr>
          <w:tab/>
        </w:r>
        <w:r>
          <w:rPr>
            <w:noProof/>
            <w:webHidden/>
          </w:rPr>
          <w:fldChar w:fldCharType="begin"/>
        </w:r>
        <w:r>
          <w:rPr>
            <w:noProof/>
            <w:webHidden/>
          </w:rPr>
          <w:instrText xml:space="preserve"> PAGEREF _Toc194251545 \h </w:instrText>
        </w:r>
        <w:r>
          <w:rPr>
            <w:noProof/>
            <w:webHidden/>
          </w:rPr>
        </w:r>
        <w:r>
          <w:rPr>
            <w:noProof/>
            <w:webHidden/>
          </w:rPr>
          <w:fldChar w:fldCharType="separate"/>
        </w:r>
        <w:r w:rsidR="009B6102">
          <w:rPr>
            <w:noProof/>
            <w:webHidden/>
          </w:rPr>
          <w:t>378</w:t>
        </w:r>
        <w:r>
          <w:rPr>
            <w:noProof/>
            <w:webHidden/>
          </w:rPr>
          <w:fldChar w:fldCharType="end"/>
        </w:r>
      </w:hyperlink>
    </w:p>
    <w:p w14:paraId="30C3FE66" w14:textId="4D939E71"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46" w:history="1">
        <w:r w:rsidRPr="00B35D0A">
          <w:rPr>
            <w:rStyle w:val="Hyperlink"/>
            <w:noProof/>
          </w:rPr>
          <w:t>Figure 48: Trends in the gender wage gap among full-timers and all employees</w:t>
        </w:r>
        <w:r>
          <w:rPr>
            <w:noProof/>
            <w:webHidden/>
          </w:rPr>
          <w:tab/>
        </w:r>
        <w:r>
          <w:rPr>
            <w:noProof/>
            <w:webHidden/>
          </w:rPr>
          <w:fldChar w:fldCharType="begin"/>
        </w:r>
        <w:r>
          <w:rPr>
            <w:noProof/>
            <w:webHidden/>
          </w:rPr>
          <w:instrText xml:space="preserve"> PAGEREF _Toc194251546 \h </w:instrText>
        </w:r>
        <w:r>
          <w:rPr>
            <w:noProof/>
            <w:webHidden/>
          </w:rPr>
        </w:r>
        <w:r>
          <w:rPr>
            <w:noProof/>
            <w:webHidden/>
          </w:rPr>
          <w:fldChar w:fldCharType="separate"/>
        </w:r>
        <w:r w:rsidR="009B6102">
          <w:rPr>
            <w:noProof/>
            <w:webHidden/>
          </w:rPr>
          <w:t>384</w:t>
        </w:r>
        <w:r>
          <w:rPr>
            <w:noProof/>
            <w:webHidden/>
          </w:rPr>
          <w:fldChar w:fldCharType="end"/>
        </w:r>
      </w:hyperlink>
    </w:p>
    <w:p w14:paraId="6A0357BC" w14:textId="2A5FAE6B"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47" w:history="1">
        <w:r w:rsidRPr="00B35D0A">
          <w:rPr>
            <w:rStyle w:val="Hyperlink"/>
            <w:noProof/>
          </w:rPr>
          <w:t>Figure 49: Trends in the gender pay gap among large (100 or more employees) private sector employees, 2013</w:t>
        </w:r>
        <w:r w:rsidRPr="00B35D0A">
          <w:rPr>
            <w:rStyle w:val="Hyperlink"/>
            <w:rFonts w:ascii="Symbol" w:eastAsia="Symbol" w:hAnsi="Symbol" w:cs="Symbol"/>
            <w:noProof/>
          </w:rPr>
          <w:t></w:t>
        </w:r>
        <w:r w:rsidRPr="00B35D0A">
          <w:rPr>
            <w:rStyle w:val="Hyperlink"/>
            <w:noProof/>
          </w:rPr>
          <w:t>14 to 2023</w:t>
        </w:r>
        <w:r w:rsidRPr="00B35D0A">
          <w:rPr>
            <w:rStyle w:val="Hyperlink"/>
            <w:rFonts w:ascii="Symbol" w:eastAsia="Symbol" w:hAnsi="Symbol" w:cs="Symbol"/>
            <w:noProof/>
          </w:rPr>
          <w:t></w:t>
        </w:r>
        <w:r w:rsidRPr="00B35D0A">
          <w:rPr>
            <w:rStyle w:val="Hyperlink"/>
            <w:noProof/>
          </w:rPr>
          <w:t>24</w:t>
        </w:r>
        <w:r>
          <w:rPr>
            <w:noProof/>
            <w:webHidden/>
          </w:rPr>
          <w:tab/>
        </w:r>
        <w:r>
          <w:rPr>
            <w:noProof/>
            <w:webHidden/>
          </w:rPr>
          <w:fldChar w:fldCharType="begin"/>
        </w:r>
        <w:r>
          <w:rPr>
            <w:noProof/>
            <w:webHidden/>
          </w:rPr>
          <w:instrText xml:space="preserve"> PAGEREF _Toc194251547 \h </w:instrText>
        </w:r>
        <w:r>
          <w:rPr>
            <w:noProof/>
            <w:webHidden/>
          </w:rPr>
        </w:r>
        <w:r>
          <w:rPr>
            <w:noProof/>
            <w:webHidden/>
          </w:rPr>
          <w:fldChar w:fldCharType="separate"/>
        </w:r>
        <w:r w:rsidR="009B6102">
          <w:rPr>
            <w:noProof/>
            <w:webHidden/>
          </w:rPr>
          <w:t>387</w:t>
        </w:r>
        <w:r>
          <w:rPr>
            <w:noProof/>
            <w:webHidden/>
          </w:rPr>
          <w:fldChar w:fldCharType="end"/>
        </w:r>
      </w:hyperlink>
    </w:p>
    <w:p w14:paraId="1D49A87B" w14:textId="78E1AE9F"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48" w:history="1">
        <w:r w:rsidRPr="00B35D0A">
          <w:rPr>
            <w:rStyle w:val="Hyperlink"/>
            <w:noProof/>
          </w:rPr>
          <w:t>Figure 50: Number of new agreements approved and employees covered, year to September quarter, 2010 to 2024</w:t>
        </w:r>
        <w:r>
          <w:rPr>
            <w:noProof/>
            <w:webHidden/>
          </w:rPr>
          <w:tab/>
        </w:r>
        <w:r>
          <w:rPr>
            <w:noProof/>
            <w:webHidden/>
          </w:rPr>
          <w:fldChar w:fldCharType="begin"/>
        </w:r>
        <w:r>
          <w:rPr>
            <w:noProof/>
            <w:webHidden/>
          </w:rPr>
          <w:instrText xml:space="preserve"> PAGEREF _Toc194251548 \h </w:instrText>
        </w:r>
        <w:r>
          <w:rPr>
            <w:noProof/>
            <w:webHidden/>
          </w:rPr>
        </w:r>
        <w:r>
          <w:rPr>
            <w:noProof/>
            <w:webHidden/>
          </w:rPr>
          <w:fldChar w:fldCharType="separate"/>
        </w:r>
        <w:r w:rsidR="009B6102">
          <w:rPr>
            <w:noProof/>
            <w:webHidden/>
          </w:rPr>
          <w:t>390</w:t>
        </w:r>
        <w:r>
          <w:rPr>
            <w:noProof/>
            <w:webHidden/>
          </w:rPr>
          <w:fldChar w:fldCharType="end"/>
        </w:r>
      </w:hyperlink>
    </w:p>
    <w:p w14:paraId="2DD140B7" w14:textId="47ABB921"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49" w:history="1">
        <w:r w:rsidRPr="00B35D0A">
          <w:rPr>
            <w:rStyle w:val="Hyperlink"/>
            <w:noProof/>
          </w:rPr>
          <w:t>Figure 51: Number of new agreements approved by the quarter and number of employees, June 2021 to September 2024</w:t>
        </w:r>
        <w:r>
          <w:rPr>
            <w:noProof/>
            <w:webHidden/>
          </w:rPr>
          <w:tab/>
        </w:r>
        <w:r>
          <w:rPr>
            <w:noProof/>
            <w:webHidden/>
          </w:rPr>
          <w:fldChar w:fldCharType="begin"/>
        </w:r>
        <w:r>
          <w:rPr>
            <w:noProof/>
            <w:webHidden/>
          </w:rPr>
          <w:instrText xml:space="preserve"> PAGEREF _Toc194251549 \h </w:instrText>
        </w:r>
        <w:r>
          <w:rPr>
            <w:noProof/>
            <w:webHidden/>
          </w:rPr>
        </w:r>
        <w:r>
          <w:rPr>
            <w:noProof/>
            <w:webHidden/>
          </w:rPr>
          <w:fldChar w:fldCharType="separate"/>
        </w:r>
        <w:r w:rsidR="009B6102">
          <w:rPr>
            <w:noProof/>
            <w:webHidden/>
          </w:rPr>
          <w:t>391</w:t>
        </w:r>
        <w:r>
          <w:rPr>
            <w:noProof/>
            <w:webHidden/>
          </w:rPr>
          <w:fldChar w:fldCharType="end"/>
        </w:r>
      </w:hyperlink>
    </w:p>
    <w:p w14:paraId="4FAC71A3" w14:textId="2A28AB70"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50" w:history="1">
        <w:r w:rsidRPr="00B35D0A">
          <w:rPr>
            <w:rStyle w:val="Hyperlink"/>
            <w:noProof/>
          </w:rPr>
          <w:t>Figure 52: Trends in approval of new agreements and their coverage (by single and multi-employer), year to September quarter, 2010 to 2024</w:t>
        </w:r>
        <w:r>
          <w:rPr>
            <w:noProof/>
            <w:webHidden/>
          </w:rPr>
          <w:tab/>
        </w:r>
        <w:r>
          <w:rPr>
            <w:noProof/>
            <w:webHidden/>
          </w:rPr>
          <w:fldChar w:fldCharType="begin"/>
        </w:r>
        <w:r>
          <w:rPr>
            <w:noProof/>
            <w:webHidden/>
          </w:rPr>
          <w:instrText xml:space="preserve"> PAGEREF _Toc194251550 \h </w:instrText>
        </w:r>
        <w:r>
          <w:rPr>
            <w:noProof/>
            <w:webHidden/>
          </w:rPr>
        </w:r>
        <w:r>
          <w:rPr>
            <w:noProof/>
            <w:webHidden/>
          </w:rPr>
          <w:fldChar w:fldCharType="separate"/>
        </w:r>
        <w:r w:rsidR="009B6102">
          <w:rPr>
            <w:noProof/>
            <w:webHidden/>
          </w:rPr>
          <w:t>392</w:t>
        </w:r>
        <w:r>
          <w:rPr>
            <w:noProof/>
            <w:webHidden/>
          </w:rPr>
          <w:fldChar w:fldCharType="end"/>
        </w:r>
      </w:hyperlink>
    </w:p>
    <w:p w14:paraId="25906D28" w14:textId="0E102163"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51" w:history="1">
        <w:r w:rsidRPr="00B35D0A">
          <w:rPr>
            <w:rStyle w:val="Hyperlink"/>
            <w:noProof/>
          </w:rPr>
          <w:t>Figure 53: Trends in approval of union and non-union agreements, year to September quarter, 2010 to 2024</w:t>
        </w:r>
        <w:r>
          <w:rPr>
            <w:noProof/>
            <w:webHidden/>
          </w:rPr>
          <w:tab/>
        </w:r>
        <w:r>
          <w:rPr>
            <w:noProof/>
            <w:webHidden/>
          </w:rPr>
          <w:fldChar w:fldCharType="begin"/>
        </w:r>
        <w:r>
          <w:rPr>
            <w:noProof/>
            <w:webHidden/>
          </w:rPr>
          <w:instrText xml:space="preserve"> PAGEREF _Toc194251551 \h </w:instrText>
        </w:r>
        <w:r>
          <w:rPr>
            <w:noProof/>
            <w:webHidden/>
          </w:rPr>
        </w:r>
        <w:r>
          <w:rPr>
            <w:noProof/>
            <w:webHidden/>
          </w:rPr>
          <w:fldChar w:fldCharType="separate"/>
        </w:r>
        <w:r w:rsidR="009B6102">
          <w:rPr>
            <w:noProof/>
            <w:webHidden/>
          </w:rPr>
          <w:t>395</w:t>
        </w:r>
        <w:r>
          <w:rPr>
            <w:noProof/>
            <w:webHidden/>
          </w:rPr>
          <w:fldChar w:fldCharType="end"/>
        </w:r>
      </w:hyperlink>
    </w:p>
    <w:p w14:paraId="30B8636F" w14:textId="1A760601"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52" w:history="1">
        <w:r w:rsidRPr="00B35D0A">
          <w:rPr>
            <w:rStyle w:val="Hyperlink"/>
            <w:noProof/>
          </w:rPr>
          <w:t>Figure 54: Trends in enterprise agreement approvals by industry, September 2009 to September 2024</w:t>
        </w:r>
        <w:r>
          <w:rPr>
            <w:noProof/>
            <w:webHidden/>
          </w:rPr>
          <w:tab/>
        </w:r>
        <w:r>
          <w:rPr>
            <w:noProof/>
            <w:webHidden/>
          </w:rPr>
          <w:fldChar w:fldCharType="begin"/>
        </w:r>
        <w:r>
          <w:rPr>
            <w:noProof/>
            <w:webHidden/>
          </w:rPr>
          <w:instrText xml:space="preserve"> PAGEREF _Toc194251552 \h </w:instrText>
        </w:r>
        <w:r>
          <w:rPr>
            <w:noProof/>
            <w:webHidden/>
          </w:rPr>
        </w:r>
        <w:r>
          <w:rPr>
            <w:noProof/>
            <w:webHidden/>
          </w:rPr>
          <w:fldChar w:fldCharType="separate"/>
        </w:r>
        <w:r w:rsidR="009B6102">
          <w:rPr>
            <w:noProof/>
            <w:webHidden/>
          </w:rPr>
          <w:t>396</w:t>
        </w:r>
        <w:r>
          <w:rPr>
            <w:noProof/>
            <w:webHidden/>
          </w:rPr>
          <w:fldChar w:fldCharType="end"/>
        </w:r>
      </w:hyperlink>
    </w:p>
    <w:p w14:paraId="2CCB733D" w14:textId="3C03BF4F"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53" w:history="1">
        <w:r w:rsidRPr="00B35D0A">
          <w:rPr>
            <w:rStyle w:val="Hyperlink"/>
            <w:noProof/>
          </w:rPr>
          <w:t>Figure 55: Trends in enterprise agreement approvals by cohort size, September 2009 to September 2024</w:t>
        </w:r>
        <w:r>
          <w:rPr>
            <w:noProof/>
            <w:webHidden/>
          </w:rPr>
          <w:tab/>
        </w:r>
        <w:r>
          <w:rPr>
            <w:noProof/>
            <w:webHidden/>
          </w:rPr>
          <w:fldChar w:fldCharType="begin"/>
        </w:r>
        <w:r>
          <w:rPr>
            <w:noProof/>
            <w:webHidden/>
          </w:rPr>
          <w:instrText xml:space="preserve"> PAGEREF _Toc194251553 \h </w:instrText>
        </w:r>
        <w:r>
          <w:rPr>
            <w:noProof/>
            <w:webHidden/>
          </w:rPr>
        </w:r>
        <w:r>
          <w:rPr>
            <w:noProof/>
            <w:webHidden/>
          </w:rPr>
          <w:fldChar w:fldCharType="separate"/>
        </w:r>
        <w:r w:rsidR="009B6102">
          <w:rPr>
            <w:noProof/>
            <w:webHidden/>
          </w:rPr>
          <w:t>397</w:t>
        </w:r>
        <w:r>
          <w:rPr>
            <w:noProof/>
            <w:webHidden/>
          </w:rPr>
          <w:fldChar w:fldCharType="end"/>
        </w:r>
      </w:hyperlink>
    </w:p>
    <w:p w14:paraId="1410C3CE" w14:textId="02135C76"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54" w:history="1">
        <w:r w:rsidRPr="00B35D0A">
          <w:rPr>
            <w:rStyle w:val="Hyperlink"/>
            <w:noProof/>
          </w:rPr>
          <w:t>Figure 56: Number of current enterprise agreements and employees covered, September quarters 2009 to 2024</w:t>
        </w:r>
        <w:r>
          <w:rPr>
            <w:noProof/>
            <w:webHidden/>
          </w:rPr>
          <w:tab/>
        </w:r>
        <w:r>
          <w:rPr>
            <w:noProof/>
            <w:webHidden/>
          </w:rPr>
          <w:fldChar w:fldCharType="begin"/>
        </w:r>
        <w:r>
          <w:rPr>
            <w:noProof/>
            <w:webHidden/>
          </w:rPr>
          <w:instrText xml:space="preserve"> PAGEREF _Toc194251554 \h </w:instrText>
        </w:r>
        <w:r>
          <w:rPr>
            <w:noProof/>
            <w:webHidden/>
          </w:rPr>
        </w:r>
        <w:r>
          <w:rPr>
            <w:noProof/>
            <w:webHidden/>
          </w:rPr>
          <w:fldChar w:fldCharType="separate"/>
        </w:r>
        <w:r w:rsidR="009B6102">
          <w:rPr>
            <w:noProof/>
            <w:webHidden/>
          </w:rPr>
          <w:t>398</w:t>
        </w:r>
        <w:r>
          <w:rPr>
            <w:noProof/>
            <w:webHidden/>
          </w:rPr>
          <w:fldChar w:fldCharType="end"/>
        </w:r>
      </w:hyperlink>
    </w:p>
    <w:p w14:paraId="623464BD" w14:textId="0A193D44"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55" w:history="1">
        <w:r w:rsidRPr="00B35D0A">
          <w:rPr>
            <w:rStyle w:val="Hyperlink"/>
            <w:noProof/>
          </w:rPr>
          <w:t>Figure 57: Average annualised wage growth in union and non-union agreements, September 2021 to September 2024</w:t>
        </w:r>
        <w:r>
          <w:rPr>
            <w:noProof/>
            <w:webHidden/>
          </w:rPr>
          <w:tab/>
        </w:r>
        <w:r>
          <w:rPr>
            <w:noProof/>
            <w:webHidden/>
          </w:rPr>
          <w:fldChar w:fldCharType="begin"/>
        </w:r>
        <w:r>
          <w:rPr>
            <w:noProof/>
            <w:webHidden/>
          </w:rPr>
          <w:instrText xml:space="preserve"> PAGEREF _Toc194251555 \h </w:instrText>
        </w:r>
        <w:r>
          <w:rPr>
            <w:noProof/>
            <w:webHidden/>
          </w:rPr>
        </w:r>
        <w:r>
          <w:rPr>
            <w:noProof/>
            <w:webHidden/>
          </w:rPr>
          <w:fldChar w:fldCharType="separate"/>
        </w:r>
        <w:r w:rsidR="009B6102">
          <w:rPr>
            <w:noProof/>
            <w:webHidden/>
          </w:rPr>
          <w:t>399</w:t>
        </w:r>
        <w:r>
          <w:rPr>
            <w:noProof/>
            <w:webHidden/>
          </w:rPr>
          <w:fldChar w:fldCharType="end"/>
        </w:r>
      </w:hyperlink>
    </w:p>
    <w:p w14:paraId="0F099BA0" w14:textId="693664FA"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56" w:history="1">
        <w:r w:rsidRPr="00B35D0A">
          <w:rPr>
            <w:rStyle w:val="Hyperlink"/>
            <w:noProof/>
          </w:rPr>
          <w:t>Figure 58: Monthly enterprise agreement approval applications, July 2021 to December 2024</w:t>
        </w:r>
        <w:r>
          <w:rPr>
            <w:noProof/>
            <w:webHidden/>
          </w:rPr>
          <w:tab/>
        </w:r>
        <w:r>
          <w:rPr>
            <w:noProof/>
            <w:webHidden/>
          </w:rPr>
          <w:fldChar w:fldCharType="begin"/>
        </w:r>
        <w:r>
          <w:rPr>
            <w:noProof/>
            <w:webHidden/>
          </w:rPr>
          <w:instrText xml:space="preserve"> PAGEREF _Toc194251556 \h </w:instrText>
        </w:r>
        <w:r>
          <w:rPr>
            <w:noProof/>
            <w:webHidden/>
          </w:rPr>
        </w:r>
        <w:r>
          <w:rPr>
            <w:noProof/>
            <w:webHidden/>
          </w:rPr>
          <w:fldChar w:fldCharType="separate"/>
        </w:r>
        <w:r w:rsidR="009B6102">
          <w:rPr>
            <w:noProof/>
            <w:webHidden/>
          </w:rPr>
          <w:t>406</w:t>
        </w:r>
        <w:r>
          <w:rPr>
            <w:noProof/>
            <w:webHidden/>
          </w:rPr>
          <w:fldChar w:fldCharType="end"/>
        </w:r>
      </w:hyperlink>
    </w:p>
    <w:p w14:paraId="7EA4115A" w14:textId="592B1BA3"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57" w:history="1">
        <w:r w:rsidRPr="00B35D0A">
          <w:rPr>
            <w:rStyle w:val="Hyperlink"/>
            <w:noProof/>
          </w:rPr>
          <w:t>Figure 59: Approval decisions plot by financial year, 2021 to 2024</w:t>
        </w:r>
        <w:r>
          <w:rPr>
            <w:noProof/>
            <w:webHidden/>
          </w:rPr>
          <w:tab/>
        </w:r>
        <w:r>
          <w:rPr>
            <w:noProof/>
            <w:webHidden/>
          </w:rPr>
          <w:fldChar w:fldCharType="begin"/>
        </w:r>
        <w:r>
          <w:rPr>
            <w:noProof/>
            <w:webHidden/>
          </w:rPr>
          <w:instrText xml:space="preserve"> PAGEREF _Toc194251557 \h </w:instrText>
        </w:r>
        <w:r>
          <w:rPr>
            <w:noProof/>
            <w:webHidden/>
          </w:rPr>
        </w:r>
        <w:r>
          <w:rPr>
            <w:noProof/>
            <w:webHidden/>
          </w:rPr>
          <w:fldChar w:fldCharType="separate"/>
        </w:r>
        <w:r w:rsidR="009B6102">
          <w:rPr>
            <w:noProof/>
            <w:webHidden/>
          </w:rPr>
          <w:t>409</w:t>
        </w:r>
        <w:r>
          <w:rPr>
            <w:noProof/>
            <w:webHidden/>
          </w:rPr>
          <w:fldChar w:fldCharType="end"/>
        </w:r>
      </w:hyperlink>
    </w:p>
    <w:p w14:paraId="773AADCA" w14:textId="7AB44B36"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58" w:history="1">
        <w:r w:rsidRPr="00B35D0A">
          <w:rPr>
            <w:rStyle w:val="Hyperlink"/>
            <w:noProof/>
          </w:rPr>
          <w:t>Figure 60: Outcomes of majority support determination (s 236) applications, 2022 to 2024</w:t>
        </w:r>
        <w:r>
          <w:rPr>
            <w:noProof/>
            <w:webHidden/>
          </w:rPr>
          <w:tab/>
        </w:r>
        <w:r>
          <w:rPr>
            <w:noProof/>
            <w:webHidden/>
          </w:rPr>
          <w:fldChar w:fldCharType="begin"/>
        </w:r>
        <w:r>
          <w:rPr>
            <w:noProof/>
            <w:webHidden/>
          </w:rPr>
          <w:instrText xml:space="preserve"> PAGEREF _Toc194251558 \h </w:instrText>
        </w:r>
        <w:r>
          <w:rPr>
            <w:noProof/>
            <w:webHidden/>
          </w:rPr>
        </w:r>
        <w:r>
          <w:rPr>
            <w:noProof/>
            <w:webHidden/>
          </w:rPr>
          <w:fldChar w:fldCharType="separate"/>
        </w:r>
        <w:r w:rsidR="009B6102">
          <w:rPr>
            <w:noProof/>
            <w:webHidden/>
          </w:rPr>
          <w:t>410</w:t>
        </w:r>
        <w:r>
          <w:rPr>
            <w:noProof/>
            <w:webHidden/>
          </w:rPr>
          <w:fldChar w:fldCharType="end"/>
        </w:r>
      </w:hyperlink>
    </w:p>
    <w:p w14:paraId="212A2794" w14:textId="7B58A62B"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59" w:history="1">
        <w:r w:rsidRPr="00B35D0A">
          <w:rPr>
            <w:rStyle w:val="Hyperlink"/>
            <w:noProof/>
          </w:rPr>
          <w:t>Figure 61: Monthly applications for a protected action ballot order (s 437), July 2021 to December 2024</w:t>
        </w:r>
        <w:r>
          <w:rPr>
            <w:noProof/>
            <w:webHidden/>
          </w:rPr>
          <w:tab/>
        </w:r>
        <w:r>
          <w:rPr>
            <w:noProof/>
            <w:webHidden/>
          </w:rPr>
          <w:fldChar w:fldCharType="begin"/>
        </w:r>
        <w:r>
          <w:rPr>
            <w:noProof/>
            <w:webHidden/>
          </w:rPr>
          <w:instrText xml:space="preserve"> PAGEREF _Toc194251559 \h </w:instrText>
        </w:r>
        <w:r>
          <w:rPr>
            <w:noProof/>
            <w:webHidden/>
          </w:rPr>
        </w:r>
        <w:r>
          <w:rPr>
            <w:noProof/>
            <w:webHidden/>
          </w:rPr>
          <w:fldChar w:fldCharType="separate"/>
        </w:r>
        <w:r w:rsidR="009B6102">
          <w:rPr>
            <w:noProof/>
            <w:webHidden/>
          </w:rPr>
          <w:t>411</w:t>
        </w:r>
        <w:r>
          <w:rPr>
            <w:noProof/>
            <w:webHidden/>
          </w:rPr>
          <w:fldChar w:fldCharType="end"/>
        </w:r>
      </w:hyperlink>
    </w:p>
    <w:p w14:paraId="693D22B8" w14:textId="77AF6478"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60" w:history="1">
        <w:r w:rsidRPr="00B35D0A">
          <w:rPr>
            <w:rStyle w:val="Hyperlink"/>
            <w:noProof/>
          </w:rPr>
          <w:t>Figure 62: Historical industrial disputes, quarterly, 1985 to 2024</w:t>
        </w:r>
        <w:r>
          <w:rPr>
            <w:noProof/>
            <w:webHidden/>
          </w:rPr>
          <w:tab/>
        </w:r>
        <w:r>
          <w:rPr>
            <w:noProof/>
            <w:webHidden/>
          </w:rPr>
          <w:fldChar w:fldCharType="begin"/>
        </w:r>
        <w:r>
          <w:rPr>
            <w:noProof/>
            <w:webHidden/>
          </w:rPr>
          <w:instrText xml:space="preserve"> PAGEREF _Toc194251560 \h </w:instrText>
        </w:r>
        <w:r>
          <w:rPr>
            <w:noProof/>
            <w:webHidden/>
          </w:rPr>
        </w:r>
        <w:r>
          <w:rPr>
            <w:noProof/>
            <w:webHidden/>
          </w:rPr>
          <w:fldChar w:fldCharType="separate"/>
        </w:r>
        <w:r w:rsidR="009B6102">
          <w:rPr>
            <w:noProof/>
            <w:webHidden/>
          </w:rPr>
          <w:t>412</w:t>
        </w:r>
        <w:r>
          <w:rPr>
            <w:noProof/>
            <w:webHidden/>
          </w:rPr>
          <w:fldChar w:fldCharType="end"/>
        </w:r>
      </w:hyperlink>
    </w:p>
    <w:p w14:paraId="6969D165" w14:textId="1C7AE200"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61" w:history="1">
        <w:r w:rsidRPr="00B35D0A">
          <w:rPr>
            <w:rStyle w:val="Hyperlink"/>
            <w:noProof/>
          </w:rPr>
          <w:t>Figure 63: Productivity in the market sector, 1995 to 2024</w:t>
        </w:r>
        <w:r>
          <w:rPr>
            <w:noProof/>
            <w:webHidden/>
          </w:rPr>
          <w:tab/>
        </w:r>
        <w:r>
          <w:rPr>
            <w:noProof/>
            <w:webHidden/>
          </w:rPr>
          <w:fldChar w:fldCharType="begin"/>
        </w:r>
        <w:r>
          <w:rPr>
            <w:noProof/>
            <w:webHidden/>
          </w:rPr>
          <w:instrText xml:space="preserve"> PAGEREF _Toc194251561 \h </w:instrText>
        </w:r>
        <w:r>
          <w:rPr>
            <w:noProof/>
            <w:webHidden/>
          </w:rPr>
        </w:r>
        <w:r>
          <w:rPr>
            <w:noProof/>
            <w:webHidden/>
          </w:rPr>
          <w:fldChar w:fldCharType="separate"/>
        </w:r>
        <w:r w:rsidR="009B6102">
          <w:rPr>
            <w:noProof/>
            <w:webHidden/>
          </w:rPr>
          <w:t>419</w:t>
        </w:r>
        <w:r>
          <w:rPr>
            <w:noProof/>
            <w:webHidden/>
          </w:rPr>
          <w:fldChar w:fldCharType="end"/>
        </w:r>
      </w:hyperlink>
    </w:p>
    <w:p w14:paraId="1B9306C1" w14:textId="0558AAD9"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62" w:history="1">
        <w:r w:rsidRPr="00B35D0A">
          <w:rPr>
            <w:rStyle w:val="Hyperlink"/>
            <w:noProof/>
          </w:rPr>
          <w:t>Figure 64: Estimates of labour productivity growth for select industries, Australia, 1995 to 2024</w:t>
        </w:r>
        <w:r>
          <w:rPr>
            <w:noProof/>
            <w:webHidden/>
          </w:rPr>
          <w:tab/>
        </w:r>
        <w:r>
          <w:rPr>
            <w:noProof/>
            <w:webHidden/>
          </w:rPr>
          <w:fldChar w:fldCharType="begin"/>
        </w:r>
        <w:r>
          <w:rPr>
            <w:noProof/>
            <w:webHidden/>
          </w:rPr>
          <w:instrText xml:space="preserve"> PAGEREF _Toc194251562 \h </w:instrText>
        </w:r>
        <w:r>
          <w:rPr>
            <w:noProof/>
            <w:webHidden/>
          </w:rPr>
        </w:r>
        <w:r>
          <w:rPr>
            <w:noProof/>
            <w:webHidden/>
          </w:rPr>
          <w:fldChar w:fldCharType="separate"/>
        </w:r>
        <w:r w:rsidR="009B6102">
          <w:rPr>
            <w:noProof/>
            <w:webHidden/>
          </w:rPr>
          <w:t>424</w:t>
        </w:r>
        <w:r>
          <w:rPr>
            <w:noProof/>
            <w:webHidden/>
          </w:rPr>
          <w:fldChar w:fldCharType="end"/>
        </w:r>
      </w:hyperlink>
    </w:p>
    <w:p w14:paraId="7276E5A3" w14:textId="303A4BC2"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63" w:history="1">
        <w:r w:rsidRPr="00B35D0A">
          <w:rPr>
            <w:rStyle w:val="Hyperlink"/>
            <w:noProof/>
          </w:rPr>
          <w:t>Figure 65: Labour productivity and real average hourly compensation – market sector</w:t>
        </w:r>
        <w:r>
          <w:rPr>
            <w:noProof/>
            <w:webHidden/>
          </w:rPr>
          <w:tab/>
        </w:r>
        <w:r>
          <w:rPr>
            <w:noProof/>
            <w:webHidden/>
          </w:rPr>
          <w:fldChar w:fldCharType="begin"/>
        </w:r>
        <w:r>
          <w:rPr>
            <w:noProof/>
            <w:webHidden/>
          </w:rPr>
          <w:instrText xml:space="preserve"> PAGEREF _Toc194251563 \h </w:instrText>
        </w:r>
        <w:r>
          <w:rPr>
            <w:noProof/>
            <w:webHidden/>
          </w:rPr>
        </w:r>
        <w:r>
          <w:rPr>
            <w:noProof/>
            <w:webHidden/>
          </w:rPr>
          <w:fldChar w:fldCharType="separate"/>
        </w:r>
        <w:r w:rsidR="009B6102">
          <w:rPr>
            <w:noProof/>
            <w:webHidden/>
          </w:rPr>
          <w:t>433</w:t>
        </w:r>
        <w:r>
          <w:rPr>
            <w:noProof/>
            <w:webHidden/>
          </w:rPr>
          <w:fldChar w:fldCharType="end"/>
        </w:r>
      </w:hyperlink>
    </w:p>
    <w:p w14:paraId="5654A203" w14:textId="0DA23E0F"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64" w:history="1">
        <w:r w:rsidRPr="00B35D0A">
          <w:rPr>
            <w:rStyle w:val="Hyperlink"/>
            <w:noProof/>
          </w:rPr>
          <w:t>Figure 66: Labour share of GDP, 1959 to 2024</w:t>
        </w:r>
        <w:r>
          <w:rPr>
            <w:noProof/>
            <w:webHidden/>
          </w:rPr>
          <w:tab/>
        </w:r>
        <w:r>
          <w:rPr>
            <w:noProof/>
            <w:webHidden/>
          </w:rPr>
          <w:fldChar w:fldCharType="begin"/>
        </w:r>
        <w:r>
          <w:rPr>
            <w:noProof/>
            <w:webHidden/>
          </w:rPr>
          <w:instrText xml:space="preserve"> PAGEREF _Toc194251564 \h </w:instrText>
        </w:r>
        <w:r>
          <w:rPr>
            <w:noProof/>
            <w:webHidden/>
          </w:rPr>
        </w:r>
        <w:r>
          <w:rPr>
            <w:noProof/>
            <w:webHidden/>
          </w:rPr>
          <w:fldChar w:fldCharType="separate"/>
        </w:r>
        <w:r w:rsidR="009B6102">
          <w:rPr>
            <w:noProof/>
            <w:webHidden/>
          </w:rPr>
          <w:t>434</w:t>
        </w:r>
        <w:r>
          <w:rPr>
            <w:noProof/>
            <w:webHidden/>
          </w:rPr>
          <w:fldChar w:fldCharType="end"/>
        </w:r>
      </w:hyperlink>
    </w:p>
    <w:p w14:paraId="07D83A6A" w14:textId="67313C91" w:rsidR="008E1DA2" w:rsidRDefault="008E1DA2" w:rsidP="003170D1">
      <w:pPr>
        <w:pStyle w:val="TableofFigures"/>
        <w:tabs>
          <w:tab w:val="right" w:leader="dot" w:pos="9016"/>
        </w:tabs>
        <w:ind w:left="1134" w:hanging="1134"/>
        <w:rPr>
          <w:noProof/>
          <w:kern w:val="2"/>
          <w:lang w:eastAsia="en-AU"/>
          <w14:ligatures w14:val="standardContextual"/>
        </w:rPr>
      </w:pPr>
      <w:hyperlink w:anchor="_Toc194251565" w:history="1">
        <w:r w:rsidRPr="00B35D0A">
          <w:rPr>
            <w:rStyle w:val="Hyperlink"/>
            <w:noProof/>
          </w:rPr>
          <w:t>Figure 67:  Real unit labour costs, June 1994 to September 2024</w:t>
        </w:r>
        <w:r>
          <w:rPr>
            <w:noProof/>
            <w:webHidden/>
          </w:rPr>
          <w:tab/>
        </w:r>
        <w:r>
          <w:rPr>
            <w:noProof/>
            <w:webHidden/>
          </w:rPr>
          <w:fldChar w:fldCharType="begin"/>
        </w:r>
        <w:r>
          <w:rPr>
            <w:noProof/>
            <w:webHidden/>
          </w:rPr>
          <w:instrText xml:space="preserve"> PAGEREF _Toc194251565 \h </w:instrText>
        </w:r>
        <w:r>
          <w:rPr>
            <w:noProof/>
            <w:webHidden/>
          </w:rPr>
        </w:r>
        <w:r>
          <w:rPr>
            <w:noProof/>
            <w:webHidden/>
          </w:rPr>
          <w:fldChar w:fldCharType="separate"/>
        </w:r>
        <w:r w:rsidR="009B6102">
          <w:rPr>
            <w:noProof/>
            <w:webHidden/>
          </w:rPr>
          <w:t>435</w:t>
        </w:r>
        <w:r>
          <w:rPr>
            <w:noProof/>
            <w:webHidden/>
          </w:rPr>
          <w:fldChar w:fldCharType="end"/>
        </w:r>
      </w:hyperlink>
    </w:p>
    <w:p w14:paraId="79592D28" w14:textId="0D45A883" w:rsidR="00D82BD0" w:rsidRDefault="0017305C" w:rsidP="00D82BD0">
      <w:pPr>
        <w:spacing w:after="160"/>
        <w:rPr>
          <w:rFonts w:asciiTheme="majorHAnsi" w:eastAsiaTheme="majorEastAsia" w:hAnsiTheme="majorHAnsi" w:cstheme="majorBidi"/>
          <w:b/>
          <w:color w:val="009B9F" w:themeColor="background2"/>
          <w:sz w:val="44"/>
          <w:szCs w:val="26"/>
        </w:rPr>
      </w:pPr>
      <w:r>
        <w:fldChar w:fldCharType="end"/>
      </w:r>
      <w:r w:rsidR="00D82BD0">
        <w:br w:type="page"/>
      </w:r>
    </w:p>
    <w:p w14:paraId="6D265988" w14:textId="7120DE2A" w:rsidR="00D82BD0" w:rsidRDefault="00D82BD0" w:rsidP="00D82BD0">
      <w:pPr>
        <w:pStyle w:val="Heading2"/>
      </w:pPr>
      <w:bookmarkStart w:id="17" w:name="_Toc194311404"/>
      <w:r>
        <w:lastRenderedPageBreak/>
        <w:t xml:space="preserve">Executive </w:t>
      </w:r>
      <w:r w:rsidR="001618FB">
        <w:t>s</w:t>
      </w:r>
      <w:r>
        <w:t>ummary</w:t>
      </w:r>
      <w:bookmarkEnd w:id="7"/>
      <w:bookmarkEnd w:id="17"/>
    </w:p>
    <w:p w14:paraId="3C720927" w14:textId="5DAADEC6" w:rsidR="0011475D" w:rsidRDefault="00D82BD0" w:rsidP="00D82BD0">
      <w:r>
        <w:t xml:space="preserve">The Review Panel was tasked with considering the operation of the </w:t>
      </w:r>
      <w:r w:rsidRPr="00AC5A33">
        <w:rPr>
          <w:i/>
        </w:rPr>
        <w:t>Fair Work Legislation Amendment (Secure Jobs, Better Pay) Act 2022</w:t>
      </w:r>
      <w:r>
        <w:t xml:space="preserve"> (Cth) reforms, especially their appropriateness, effectiveness and consequences (intended or otherwise) and whether any further amendments are required to improve their </w:t>
      </w:r>
      <w:r w:rsidRPr="005055E9">
        <w:t xml:space="preserve">operation. The Panel was also required to consider Part 16A of Schedule 1 to the </w:t>
      </w:r>
      <w:r w:rsidRPr="005055E9">
        <w:rPr>
          <w:i/>
        </w:rPr>
        <w:t>Fair Work Legislation Amendment (Closing</w:t>
      </w:r>
      <w:r w:rsidRPr="00AC5A33">
        <w:rPr>
          <w:i/>
        </w:rPr>
        <w:t xml:space="preserve"> Loopholes Act) 2023</w:t>
      </w:r>
      <w:r>
        <w:t xml:space="preserve"> (Cth)</w:t>
      </w:r>
      <w:r w:rsidR="00206551">
        <w:t>.</w:t>
      </w:r>
      <w:r>
        <w:t xml:space="preserve"> </w:t>
      </w:r>
    </w:p>
    <w:p w14:paraId="4F9608CE" w14:textId="23E42A61" w:rsidR="00D82BD0" w:rsidRDefault="00D82BD0" w:rsidP="00D82BD0">
      <w:r>
        <w:t xml:space="preserve">Overall, the Review Panel found that the reforms are operating appropriately, effectively and with minimal unintended consequences. The </w:t>
      </w:r>
      <w:r w:rsidRPr="005055E9">
        <w:t>Review was, however, constrained by significant data limitations caused by the short period of time between the commencement of the reforms</w:t>
      </w:r>
      <w:r>
        <w:t xml:space="preserve"> and the Review. As such, the Panel’s primary recommendation is a further review of the Secure Jobs, Better Pay Act in two to three years, informed by additional data and further evidence.</w:t>
      </w:r>
    </w:p>
    <w:p w14:paraId="49DCA0F9" w14:textId="0A008FB5" w:rsidR="00D82BD0" w:rsidRDefault="00D82BD0" w:rsidP="00D82BD0">
      <w:r>
        <w:t>The intentions behind the Secure Jobs, Better Pay Act fall into four main areas, each of which represents a part of th</w:t>
      </w:r>
      <w:r w:rsidR="005055E9">
        <w:t>is</w:t>
      </w:r>
      <w:r>
        <w:t xml:space="preserve"> report</w:t>
      </w:r>
      <w:r w:rsidR="005055E9">
        <w:t>,</w:t>
      </w:r>
      <w:r>
        <w:t xml:space="preserve"> </w:t>
      </w:r>
      <w:r w:rsidR="005055E9">
        <w:t xml:space="preserve">and the parts present </w:t>
      </w:r>
      <w:r>
        <w:t xml:space="preserve">chapters </w:t>
      </w:r>
      <w:r w:rsidR="005055E9">
        <w:t xml:space="preserve">that </w:t>
      </w:r>
      <w:r>
        <w:t xml:space="preserve">focus on the main amendments. </w:t>
      </w:r>
      <w:r w:rsidR="00FC38E6">
        <w:t>I</w:t>
      </w:r>
      <w:r w:rsidRPr="0092350F">
        <w:t>ntroductory chapter</w:t>
      </w:r>
      <w:r w:rsidR="00FC38E6">
        <w:t>s</w:t>
      </w:r>
      <w:r>
        <w:t xml:space="preserve"> </w:t>
      </w:r>
      <w:r w:rsidR="00FC38E6">
        <w:t xml:space="preserve">explore </w:t>
      </w:r>
      <w:r>
        <w:t xml:space="preserve">the common themes raised in the constituent chapters. The report as a whole is also preceded by </w:t>
      </w:r>
      <w:r w:rsidR="005055E9" w:rsidRPr="00B94493">
        <w:t>C</w:t>
      </w:r>
      <w:r w:rsidRPr="005055E9">
        <w:t>hapter</w:t>
      </w:r>
      <w:r>
        <w:t xml:space="preserve"> 1, which provides an introduction to the report</w:t>
      </w:r>
      <w:r w:rsidR="005055E9">
        <w:t>;</w:t>
      </w:r>
      <w:r>
        <w:t xml:space="preserve"> and </w:t>
      </w:r>
      <w:r w:rsidR="005055E9">
        <w:t>C</w:t>
      </w:r>
      <w:r>
        <w:t>hapter 2, which lists the report’s recommendations.</w:t>
      </w:r>
    </w:p>
    <w:p w14:paraId="30185E01" w14:textId="0459CA79" w:rsidR="00D82BD0" w:rsidRDefault="00D82BD0" w:rsidP="005055E9">
      <w:r>
        <w:t xml:space="preserve">The first part (Part 1) comprises </w:t>
      </w:r>
      <w:r w:rsidR="005055E9">
        <w:t>C</w:t>
      </w:r>
      <w:r>
        <w:t>hapters 3</w:t>
      </w:r>
      <w:r w:rsidR="001618FB">
        <w:rPr>
          <w:rFonts w:ascii="Symbol" w:eastAsia="Symbol" w:hAnsi="Symbol" w:cs="Symbol"/>
        </w:rPr>
        <w:sym w:font="Symbol" w:char="F02D"/>
      </w:r>
      <w:r>
        <w:t xml:space="preserve">7 and focuses on themes of institutional integration and new regulatory strategies (see </w:t>
      </w:r>
      <w:r w:rsidR="005055E9">
        <w:t>C</w:t>
      </w:r>
      <w:r>
        <w:t>hapter 3 for an introduction to Part 1). The two most substantial and controversial reforms involved</w:t>
      </w:r>
      <w:r w:rsidR="00B94493">
        <w:t xml:space="preserve"> </w:t>
      </w:r>
      <w:r w:rsidRPr="005055E9">
        <w:t>the abolition of the Australian Building and Construction Commission (ABCC) and the transfer of many of its regulatory functions to the Fair Work Ombudsman (FWO) (</w:t>
      </w:r>
      <w:r w:rsidR="005055E9" w:rsidRPr="005055E9">
        <w:t>C</w:t>
      </w:r>
      <w:r w:rsidRPr="005055E9">
        <w:t>hapter 4)</w:t>
      </w:r>
      <w:r w:rsidR="00B94493">
        <w:t xml:space="preserve"> and </w:t>
      </w:r>
      <w:r w:rsidRPr="005055E9">
        <w:t>the transferral of the functions previously performed by the Registered Organisations Commission (ROC) to the General Manager (GM) of the Fair Work Commission (FWC) (</w:t>
      </w:r>
      <w:r w:rsidR="005055E9">
        <w:t>C</w:t>
      </w:r>
      <w:r w:rsidRPr="005055E9">
        <w:t xml:space="preserve">hapter 6). </w:t>
      </w:r>
      <w:r>
        <w:t xml:space="preserve">The remaining chapters in this part </w:t>
      </w:r>
      <w:r w:rsidR="005055E9">
        <w:t xml:space="preserve">are </w:t>
      </w:r>
      <w:r>
        <w:t>a chapter on the National Construction Industry Forum (NCIF) (</w:t>
      </w:r>
      <w:r w:rsidR="005055E9">
        <w:t>C</w:t>
      </w:r>
      <w:r>
        <w:t xml:space="preserve">hapter 5) and a more limited chapter on additional enforcement options granted to the FWC </w:t>
      </w:r>
      <w:r w:rsidR="001618FB">
        <w:t xml:space="preserve">GM </w:t>
      </w:r>
      <w:r>
        <w:t>to regulate registered organisations (</w:t>
      </w:r>
      <w:r w:rsidR="005055E9">
        <w:t>C</w:t>
      </w:r>
      <w:r>
        <w:t>hapter 7).</w:t>
      </w:r>
    </w:p>
    <w:p w14:paraId="31DB1545" w14:textId="2A3A449E" w:rsidR="00D82BD0" w:rsidRDefault="00D82BD0" w:rsidP="00D82BD0">
      <w:r>
        <w:t xml:space="preserve">The second part of the report (Part 2) comprises </w:t>
      </w:r>
      <w:r w:rsidR="005055E9">
        <w:t>C</w:t>
      </w:r>
      <w:r>
        <w:t>hapters 8</w:t>
      </w:r>
      <w:r w:rsidR="001618FB">
        <w:rPr>
          <w:rFonts w:ascii="Symbol" w:eastAsia="Symbol" w:hAnsi="Symbol" w:cs="Symbol"/>
        </w:rPr>
        <w:sym w:font="Symbol" w:char="F02D"/>
      </w:r>
      <w:r>
        <w:t>21 and focuses on themes of increasing wages and restoring collective bargaining. It begins with an extended introduction backgrounding collective bargaining and collective agreements in Australia, exploring the motivations behind the bargaining amendments and overviewing the broad collective bargaining and economic effects of the Secure Jobs, Better Pay Act. This part of the report then explores the ways in which the reforms aim to expand the incidence and coverage of collective bargaining and thereby raise wages. It also considers the appropriateness, effectiveness and any unintended consequences of the bargaining amendments so far. Some of these focus on reducing barriers to single-enterprise bargaining and freeing up single-enterprise bargaining (</w:t>
      </w:r>
      <w:r w:rsidR="005055E9">
        <w:t>C</w:t>
      </w:r>
      <w:r>
        <w:t>hapters 9, 14</w:t>
      </w:r>
      <w:r w:rsidR="001618FB">
        <w:rPr>
          <w:rFonts w:ascii="Symbol" w:eastAsia="Symbol" w:hAnsi="Symbol" w:cs="Symbol"/>
        </w:rPr>
        <w:sym w:font="Symbol" w:char="F02D"/>
      </w:r>
      <w:r>
        <w:t>21), while others analyse the amendments aimed at re-establishing multi-employer bargaining (</w:t>
      </w:r>
      <w:r w:rsidR="005055E9">
        <w:t>C</w:t>
      </w:r>
      <w:r>
        <w:t>hapter</w:t>
      </w:r>
      <w:r w:rsidR="005055E9">
        <w:t>s</w:t>
      </w:r>
      <w:r>
        <w:t xml:space="preserve"> 10</w:t>
      </w:r>
      <w:r w:rsidR="001618FB">
        <w:rPr>
          <w:rFonts w:ascii="Symbol" w:eastAsia="Symbol" w:hAnsi="Symbol" w:cs="Symbol"/>
        </w:rPr>
        <w:sym w:font="Symbol" w:char="F02D"/>
      </w:r>
      <w:r>
        <w:t>13). While none of these reforms have been in place for long, the early signs show that the incidence and coverage of collective bargaining is increasing and wages (plus other indicators of workers’ economic circumstances) have started to improve. Again, however, a definitive assessment is not possible on account of data limitations and the short time since the amendments came into operation.</w:t>
      </w:r>
    </w:p>
    <w:p w14:paraId="3CCBC7CA" w14:textId="4F18D681" w:rsidR="00D82BD0" w:rsidRDefault="00D82BD0" w:rsidP="00D82BD0">
      <w:r>
        <w:t xml:space="preserve">The third part (Part 3) comprises </w:t>
      </w:r>
      <w:r w:rsidR="005055E9">
        <w:t>C</w:t>
      </w:r>
      <w:r>
        <w:t>hapters 22</w:t>
      </w:r>
      <w:r w:rsidR="001618FB">
        <w:rPr>
          <w:rFonts w:ascii="Symbol" w:eastAsia="Symbol" w:hAnsi="Symbol" w:cs="Symbol"/>
        </w:rPr>
        <w:sym w:font="Symbol" w:char="F02D"/>
      </w:r>
      <w:r>
        <w:t xml:space="preserve">32 and focuses on the (often overlapping) themes of job security and gender equality. It begins with an introductory chapter, which </w:t>
      </w:r>
      <w:r>
        <w:lastRenderedPageBreak/>
        <w:t xml:space="preserve">provides background to the historical problems of job insecurity and gender-based inequality in Australia generally and the labour market in particular. Thereafter, various chapters address specific substantive amendments, frequently aimed at advancing job security and gender equality at the same time. Some do this by establishing new employment rights and consequent enforcement mechanisms (such as </w:t>
      </w:r>
      <w:r w:rsidR="005055E9">
        <w:t>C</w:t>
      </w:r>
      <w:r>
        <w:t>hapters 23, 24 and 27</w:t>
      </w:r>
      <w:r w:rsidR="001618FB">
        <w:rPr>
          <w:rFonts w:ascii="Symbol" w:eastAsia="Symbol" w:hAnsi="Symbol" w:cs="Symbol"/>
        </w:rPr>
        <w:sym w:font="Symbol" w:char="F02D"/>
      </w:r>
      <w:r>
        <w:t xml:space="preserve">31), while others focus on strategies within the existing institutional arrangements, especially the </w:t>
      </w:r>
      <w:r w:rsidR="001618FB" w:rsidRPr="005055E9">
        <w:t>FWC</w:t>
      </w:r>
      <w:r w:rsidR="001618FB">
        <w:t xml:space="preserve"> </w:t>
      </w:r>
      <w:r>
        <w:t>(</w:t>
      </w:r>
      <w:r w:rsidR="005055E9">
        <w:t>C</w:t>
      </w:r>
      <w:r>
        <w:t>hapters 25, 26, 28 and 32). In most cases, however, data gaps reduce substantially the capacity of the Review Panel to evaluate evidence, especially broader data on the ‘shadow effect’ of the amendments in affected workplaces.</w:t>
      </w:r>
    </w:p>
    <w:p w14:paraId="70BC7469" w14:textId="3A86BB30" w:rsidR="00D82BD0" w:rsidRDefault="00D82BD0" w:rsidP="00D82BD0">
      <w:r>
        <w:t xml:space="preserve">The fourth part (Part 4) comprises </w:t>
      </w:r>
      <w:r w:rsidR="005055E9">
        <w:t>C</w:t>
      </w:r>
      <w:r>
        <w:t>hapters 33</w:t>
      </w:r>
      <w:r w:rsidR="001618FB">
        <w:rPr>
          <w:rFonts w:ascii="Symbol" w:eastAsia="Symbol" w:hAnsi="Symbol" w:cs="Symbol"/>
        </w:rPr>
        <w:t>-</w:t>
      </w:r>
      <w:r w:rsidR="00BD627D">
        <w:t xml:space="preserve">37 </w:t>
      </w:r>
      <w:r>
        <w:t xml:space="preserve">and focuses on more miscellaneous themes. It </w:t>
      </w:r>
      <w:r w:rsidR="006E649D">
        <w:t>examines</w:t>
      </w:r>
      <w:r>
        <w:t xml:space="preserve"> the operation of amendments on enhancing the small claims process (</w:t>
      </w:r>
      <w:r w:rsidR="005055E9">
        <w:t>C</w:t>
      </w:r>
      <w:r>
        <w:t>hapter 3</w:t>
      </w:r>
      <w:r w:rsidR="005055E9">
        <w:t>3</w:t>
      </w:r>
      <w:r>
        <w:t>), prohibiting job advertisements with incorrect pay rates (</w:t>
      </w:r>
      <w:r w:rsidR="005055E9">
        <w:t>C</w:t>
      </w:r>
      <w:r>
        <w:t>hapter 3</w:t>
      </w:r>
      <w:r w:rsidR="005055E9">
        <w:t>4</w:t>
      </w:r>
      <w:r>
        <w:t>), the requirement that the FWC and FWO make educational materials and resources available in multiple languages (</w:t>
      </w:r>
      <w:r w:rsidR="005055E9">
        <w:t>C</w:t>
      </w:r>
      <w:r>
        <w:t>hapter 3</w:t>
      </w:r>
      <w:r w:rsidR="005055E9">
        <w:t>5</w:t>
      </w:r>
      <w:r>
        <w:t>) and streamlining access to workers’ compensation for firefighters (</w:t>
      </w:r>
      <w:r w:rsidR="005055E9">
        <w:t>C</w:t>
      </w:r>
      <w:r>
        <w:t>hapter 3</w:t>
      </w:r>
      <w:r w:rsidR="005055E9">
        <w:t>6</w:t>
      </w:r>
      <w:r>
        <w:t xml:space="preserve">). It ends with </w:t>
      </w:r>
      <w:r w:rsidR="005055E9">
        <w:t>C</w:t>
      </w:r>
      <w:r>
        <w:t>hapter 3</w:t>
      </w:r>
      <w:r w:rsidR="005055E9">
        <w:t>7</w:t>
      </w:r>
      <w:r>
        <w:t xml:space="preserve">, which explores the operation of later Closing Loopholes </w:t>
      </w:r>
      <w:r w:rsidR="005055E9">
        <w:t xml:space="preserve">Act </w:t>
      </w:r>
      <w:r>
        <w:t xml:space="preserve">reforms designed to permit </w:t>
      </w:r>
      <w:r w:rsidRPr="005055E9">
        <w:t>Health and Safety Representative</w:t>
      </w:r>
      <w:r>
        <w:t xml:space="preserve"> assistants the right of entry to workplaces unfettered by the need to first gain </w:t>
      </w:r>
      <w:r w:rsidRPr="005055E9">
        <w:t>federal right of entry permits. The Review Panel finds that, generally, the changes included at Part 4 are working as intended, but they</w:t>
      </w:r>
      <w:r>
        <w:t xml:space="preserve"> need to be monitored closely before further changes can be supported.</w:t>
      </w:r>
    </w:p>
    <w:p w14:paraId="2A18F350" w14:textId="7CB19BCF" w:rsidR="001B32AE" w:rsidRDefault="00D82BD0" w:rsidP="00BD627D">
      <w:r>
        <w:t xml:space="preserve">Beyond these four substantive parts of the report, a </w:t>
      </w:r>
      <w:r w:rsidR="005055E9" w:rsidRPr="006E649D">
        <w:t>b</w:t>
      </w:r>
      <w:r w:rsidRPr="005055E9">
        <w:t>ibliography</w:t>
      </w:r>
      <w:r>
        <w:t xml:space="preserve"> of references and </w:t>
      </w:r>
      <w:r w:rsidR="001618FB">
        <w:t xml:space="preserve">10 </w:t>
      </w:r>
      <w:r>
        <w:t>appendices are also provided.</w:t>
      </w:r>
    </w:p>
    <w:p w14:paraId="36633208" w14:textId="108E526F" w:rsidR="00D82BD0" w:rsidRPr="0092350F" w:rsidRDefault="00D82BD0" w:rsidP="0092350F">
      <w:pPr>
        <w:pStyle w:val="Heading2"/>
      </w:pPr>
      <w:r>
        <w:br w:type="page"/>
      </w:r>
      <w:bookmarkStart w:id="18" w:name="_Toc192258074"/>
      <w:bookmarkStart w:id="19" w:name="_Toc194311405"/>
      <w:r w:rsidRPr="0092350F">
        <w:lastRenderedPageBreak/>
        <w:t>Overview</w:t>
      </w:r>
      <w:bookmarkEnd w:id="8"/>
      <w:bookmarkEnd w:id="9"/>
      <w:bookmarkEnd w:id="10"/>
      <w:bookmarkEnd w:id="18"/>
      <w:bookmarkEnd w:id="19"/>
    </w:p>
    <w:p w14:paraId="16833433" w14:textId="77777777" w:rsidR="00D82BD0" w:rsidRPr="00167CB8" w:rsidRDefault="00D82BD0" w:rsidP="00D82BD0">
      <w:pPr>
        <w:pStyle w:val="Heading3"/>
      </w:pPr>
      <w:bookmarkStart w:id="20" w:name="_Toc189260195"/>
      <w:bookmarkStart w:id="21" w:name="_Toc189393511"/>
      <w:bookmarkStart w:id="22" w:name="_Toc194311406"/>
      <w:r w:rsidRPr="00167CB8">
        <w:t>Chapter 1. Introduction</w:t>
      </w:r>
      <w:bookmarkEnd w:id="20"/>
      <w:bookmarkEnd w:id="21"/>
      <w:bookmarkEnd w:id="22"/>
    </w:p>
    <w:p w14:paraId="42765375" w14:textId="3FB8996A" w:rsidR="00D82BD0" w:rsidRPr="00167CB8" w:rsidRDefault="00D82BD0" w:rsidP="00D82BD0">
      <w:r w:rsidRPr="00167CB8">
        <w:t xml:space="preserve">This Review Panel was tasked with considering </w:t>
      </w:r>
      <w:r>
        <w:t xml:space="preserve">whether </w:t>
      </w:r>
      <w:r w:rsidRPr="00167CB8">
        <w:t xml:space="preserve">the </w:t>
      </w:r>
      <w:r>
        <w:t xml:space="preserve">operation of amendments to the </w:t>
      </w:r>
      <w:r>
        <w:rPr>
          <w:i/>
          <w:iCs/>
        </w:rPr>
        <w:t xml:space="preserve">Fair Work Act 2009 </w:t>
      </w:r>
      <w:r>
        <w:t xml:space="preserve">(Cth) </w:t>
      </w:r>
      <w:r w:rsidR="00391224">
        <w:t xml:space="preserve">(Fair Work Act) </w:t>
      </w:r>
      <w:r>
        <w:t xml:space="preserve">as a result of the </w:t>
      </w:r>
      <w:r w:rsidRPr="00167CB8">
        <w:rPr>
          <w:i/>
          <w:iCs/>
        </w:rPr>
        <w:t xml:space="preserve">Fair Work Legislation Amendment (Secure Jobs, Better Pay) Act </w:t>
      </w:r>
      <w:r w:rsidRPr="00167CB8">
        <w:rPr>
          <w:i/>
        </w:rPr>
        <w:t>2022</w:t>
      </w:r>
      <w:r w:rsidRPr="00167CB8">
        <w:t xml:space="preserve"> (Cth) </w:t>
      </w:r>
      <w:r w:rsidRPr="00167CB8">
        <w:rPr>
          <w:iCs/>
        </w:rPr>
        <w:t>(Secure Jobs, Better Pay Act)</w:t>
      </w:r>
      <w:r w:rsidRPr="00167CB8">
        <w:rPr>
          <w:i/>
          <w:iCs/>
        </w:rPr>
        <w:t xml:space="preserve"> </w:t>
      </w:r>
      <w:r>
        <w:t xml:space="preserve">are appropriate and effective, whether there are any unintended consequences and whether any further legislative amendments are necessary </w:t>
      </w:r>
      <w:r w:rsidRPr="00167CB8">
        <w:t>to improve the operation of the amendments or rectify any unintended consequences that are identified</w:t>
      </w:r>
      <w:r>
        <w:t>.</w:t>
      </w:r>
      <w:r w:rsidRPr="00167CB8">
        <w:t xml:space="preserve"> The Panel was also asked to </w:t>
      </w:r>
      <w:r>
        <w:t xml:space="preserve">similarly </w:t>
      </w:r>
      <w:r w:rsidRPr="00167CB8">
        <w:t xml:space="preserve">consider Part 16A of Schedule 1 to </w:t>
      </w:r>
      <w:r w:rsidRPr="00167CB8">
        <w:rPr>
          <w:i/>
          <w:iCs/>
        </w:rPr>
        <w:t>the</w:t>
      </w:r>
      <w:r w:rsidRPr="00167CB8">
        <w:t xml:space="preserve"> </w:t>
      </w:r>
      <w:r w:rsidRPr="00167CB8">
        <w:rPr>
          <w:i/>
          <w:iCs/>
        </w:rPr>
        <w:t>Fair Work Legislation Amendment (Closing Loopholes Act) 2023</w:t>
      </w:r>
      <w:r w:rsidRPr="00167CB8">
        <w:t xml:space="preserve"> (Cth) (Closing Loopholes Act).</w:t>
      </w:r>
    </w:p>
    <w:p w14:paraId="506C7B8E" w14:textId="77777777" w:rsidR="00D82BD0" w:rsidRPr="00167CB8" w:rsidRDefault="00D82BD0" w:rsidP="00D82BD0">
      <w:r w:rsidRPr="00167CB8">
        <w:t xml:space="preserve">This </w:t>
      </w:r>
      <w:r>
        <w:t>final</w:t>
      </w:r>
      <w:r w:rsidRPr="00167CB8">
        <w:t xml:space="preserve"> report reflects the considerations of the Review Panel</w:t>
      </w:r>
      <w:r>
        <w:t xml:space="preserve">, its </w:t>
      </w:r>
      <w:r w:rsidRPr="00167CB8">
        <w:t>findings and recommendations.</w:t>
      </w:r>
    </w:p>
    <w:p w14:paraId="6CCCDE6F" w14:textId="77777777" w:rsidR="00D82BD0" w:rsidRPr="00167CB8" w:rsidRDefault="00D82BD0" w:rsidP="00D82BD0">
      <w:r w:rsidRPr="00167CB8">
        <w:t xml:space="preserve">This introductory chapter is designed to assist readers to understand the </w:t>
      </w:r>
      <w:r>
        <w:t>final</w:t>
      </w:r>
      <w:r w:rsidRPr="00167CB8">
        <w:t xml:space="preserve"> report as a whole. Towards this end, it begins by exploring </w:t>
      </w:r>
      <w:r>
        <w:t>two</w:t>
      </w:r>
      <w:r w:rsidRPr="00167CB8">
        <w:t xml:space="preserve"> contexts that proved influential: the highly adversarial environment in which the Review was undertaken; and the limited time and data available to assess the amendments. The chapter then provides an overview of the Review Panel’s approach, a brief preview of the main findings and a summary of the report’s structure.</w:t>
      </w:r>
    </w:p>
    <w:p w14:paraId="0A7E3F17" w14:textId="77777777" w:rsidR="00D82BD0" w:rsidRPr="00A679CC" w:rsidRDefault="00D82BD0" w:rsidP="000A3581">
      <w:pPr>
        <w:pStyle w:val="Heading4"/>
      </w:pPr>
      <w:r w:rsidRPr="00A679CC">
        <w:t>1.1 The impact of adversarialism on the Review</w:t>
      </w:r>
    </w:p>
    <w:p w14:paraId="28470516" w14:textId="77777777" w:rsidR="00D82BD0" w:rsidRPr="00167CB8" w:rsidRDefault="00D82BD0" w:rsidP="00D82BD0">
      <w:r w:rsidRPr="396ABCA7">
        <w:t xml:space="preserve">Australia has adversarial </w:t>
      </w:r>
      <w:r w:rsidRPr="00167CB8">
        <w:t>system</w:t>
      </w:r>
      <w:r>
        <w:t>s</w:t>
      </w:r>
      <w:r w:rsidRPr="396ABCA7">
        <w:t xml:space="preserve"> of industrial relations and politics. In this context, Australian governments make choices about the ‘correct’ balance to be struck in industrial relations legislation – choices that reflect, amongst other things, the government’s perceptions of the current state of play in industrial relations and its policy preferences.</w:t>
      </w:r>
    </w:p>
    <w:p w14:paraId="479AEB84" w14:textId="6D15C015" w:rsidR="00D82BD0" w:rsidRPr="00167CB8" w:rsidRDefault="00D82BD0" w:rsidP="00D82BD0">
      <w:r w:rsidRPr="396ABCA7">
        <w:t xml:space="preserve">The history of the </w:t>
      </w:r>
      <w:r w:rsidRPr="00391224">
        <w:t>Fair Work Act</w:t>
      </w:r>
      <w:r w:rsidRPr="396ABCA7">
        <w:t xml:space="preserve"> reflects this tradition, with ongoing attempts by governments to find balance (or ‘fairness’) between productivity and workers’ rights, individual and collective flexibility, and the needs of employers and employees.</w:t>
      </w:r>
      <w:r w:rsidRPr="396ABCA7">
        <w:rPr>
          <w:rStyle w:val="FootnoteReference"/>
        </w:rPr>
        <w:footnoteReference w:id="2"/>
      </w:r>
      <w:r w:rsidRPr="396ABCA7">
        <w:t xml:space="preserve"> The first review of the Fair Work Act</w:t>
      </w:r>
      <w:r w:rsidRPr="396ABCA7">
        <w:rPr>
          <w:i/>
          <w:iCs/>
        </w:rPr>
        <w:t xml:space="preserve"> </w:t>
      </w:r>
      <w:r w:rsidRPr="396ABCA7">
        <w:t>(conducted by the distinguished reviewers Professor Emeritus Ron McCallum AO, Dr John Edwards and the Hon Michael Moore), for example, noted that for ‘well over a century Australians have debated what is the right legal framework for wages, working conditions and employment’.</w:t>
      </w:r>
      <w:r w:rsidRPr="396ABCA7">
        <w:rPr>
          <w:vertAlign w:val="superscript"/>
        </w:rPr>
        <w:footnoteReference w:id="3"/>
      </w:r>
      <w:r w:rsidRPr="396ABCA7">
        <w:t xml:space="preserve"> </w:t>
      </w:r>
      <w:r w:rsidRPr="00167CB8">
        <w:t xml:space="preserve">The Secure Jobs, Better Pay </w:t>
      </w:r>
      <w:r w:rsidR="0092350F">
        <w:t xml:space="preserve">Act </w:t>
      </w:r>
      <w:r w:rsidRPr="00167CB8">
        <w:t xml:space="preserve">reforms continue </w:t>
      </w:r>
      <w:r>
        <w:t xml:space="preserve">in </w:t>
      </w:r>
      <w:r w:rsidRPr="00167CB8">
        <w:t xml:space="preserve">this </w:t>
      </w:r>
      <w:r>
        <w:t>vein</w:t>
      </w:r>
      <w:r w:rsidRPr="00167CB8">
        <w:t xml:space="preserve">. </w:t>
      </w:r>
      <w:r>
        <w:t>Moreover, t</w:t>
      </w:r>
      <w:r w:rsidRPr="00167CB8">
        <w:t>he Review Panel found a divergence of opinion – strongly held and forcefully expressed</w:t>
      </w:r>
      <w:r>
        <w:t xml:space="preserve">, even when they fell outside the scope of the </w:t>
      </w:r>
      <w:r w:rsidR="0092350F">
        <w:t>R</w:t>
      </w:r>
      <w:r>
        <w:t>eview</w:t>
      </w:r>
      <w:r w:rsidRPr="00167CB8">
        <w:t xml:space="preserve"> – between the major stakeholders over whether the amendments </w:t>
      </w:r>
      <w:r>
        <w:t>struck</w:t>
      </w:r>
      <w:r w:rsidRPr="00167CB8">
        <w:t xml:space="preserve"> the ‘right’ balance.</w:t>
      </w:r>
    </w:p>
    <w:p w14:paraId="1D4A0E95" w14:textId="77777777" w:rsidR="00D82BD0" w:rsidRPr="00167CB8" w:rsidRDefault="00D82BD0" w:rsidP="00D82BD0">
      <w:r w:rsidRPr="396ABCA7">
        <w:t xml:space="preserve">The choices made by the </w:t>
      </w:r>
      <w:r>
        <w:t xml:space="preserve">current </w:t>
      </w:r>
      <w:r w:rsidRPr="396ABCA7">
        <w:t xml:space="preserve">Australian Government were welcomed by some. In particular, the amendments were lauded by the Australian Council of Trade Unions as a ‘critical </w:t>
      </w:r>
      <w:r w:rsidRPr="396ABCA7">
        <w:lastRenderedPageBreak/>
        <w:t>and welcome measure to get wages moving in this country’,</w:t>
      </w:r>
      <w:r w:rsidRPr="396ABCA7">
        <w:rPr>
          <w:rStyle w:val="FootnoteReference"/>
        </w:rPr>
        <w:footnoteReference w:id="4"/>
      </w:r>
      <w:r w:rsidRPr="396ABCA7">
        <w:t xml:space="preserve"> while most unions responded to it positively.</w:t>
      </w:r>
    </w:p>
    <w:p w14:paraId="3D1E259F" w14:textId="7A6DA5C6" w:rsidR="00D82BD0" w:rsidRPr="00167CB8" w:rsidRDefault="00D82BD0" w:rsidP="00D82BD0">
      <w:r w:rsidRPr="396ABCA7">
        <w:t>Community sector representatives also welcomed the (then) Bill as an ‘opportunity to strengthen the industrial relations system for community organisations and their workforces, improving the pay, conditions and quality of employment in the sector’.</w:t>
      </w:r>
      <w:r w:rsidRPr="396ABCA7">
        <w:rPr>
          <w:rStyle w:val="FootnoteReference"/>
        </w:rPr>
        <w:footnoteReference w:id="5"/>
      </w:r>
    </w:p>
    <w:p w14:paraId="48962724" w14:textId="03B9284D" w:rsidR="00D82BD0" w:rsidRPr="00167CB8" w:rsidRDefault="00D82BD0" w:rsidP="00D82BD0">
      <w:r w:rsidRPr="00167CB8">
        <w:t>Others, especially employer representatives, were far more negative, suggesting the provisions would lead to ‘reduced productivity, industry-wide strikes, lengthy delays, surging costs, falling revenue, job losses and foregone opportunities</w:t>
      </w:r>
      <w:r w:rsidR="001618FB">
        <w:t>’</w:t>
      </w:r>
      <w:r>
        <w:t>.</w:t>
      </w:r>
      <w:r w:rsidRPr="00167CB8">
        <w:rPr>
          <w:rStyle w:val="FootnoteReference"/>
        </w:rPr>
        <w:footnoteReference w:id="6"/>
      </w:r>
      <w:r w:rsidRPr="00167CB8">
        <w:t xml:space="preserve"> </w:t>
      </w:r>
      <w:r>
        <w:t>A second-</w:t>
      </w:r>
      <w:r w:rsidRPr="00B71922">
        <w:t>round</w:t>
      </w:r>
      <w:r>
        <w:t xml:space="preserve"> written</w:t>
      </w:r>
      <w:r w:rsidRPr="00B71922">
        <w:t xml:space="preserve"> submission (on the draft report) argued that the report was ‘economically dangerous, for its findings risk compounding and further exacerbating the reduction in Australians’ living </w:t>
      </w:r>
      <w:r w:rsidRPr="0092350F">
        <w:t>standard’.</w:t>
      </w:r>
      <w:r w:rsidR="00F72FCB">
        <w:rPr>
          <w:rStyle w:val="FootnoteReference"/>
        </w:rPr>
        <w:footnoteReference w:id="7"/>
      </w:r>
    </w:p>
    <w:p w14:paraId="43687CE0" w14:textId="31B2E035" w:rsidR="00D82BD0" w:rsidRPr="00167CB8" w:rsidRDefault="00D82BD0" w:rsidP="00D82BD0">
      <w:r w:rsidRPr="00167CB8">
        <w:t xml:space="preserve">In this way, the adversarial – often hostile – attitudes and policy positions revealed by the stakeholder submissions are typical of ‘the Australian way’. </w:t>
      </w:r>
      <w:r>
        <w:t>The challenge is, however, that a</w:t>
      </w:r>
      <w:r w:rsidRPr="00167CB8">
        <w:t xml:space="preserve">dversarialism makes independent assessments – like the one contained in this report – more difficult. </w:t>
      </w:r>
      <w:r>
        <w:t xml:space="preserve">Not only were the parties far apart </w:t>
      </w:r>
      <w:r w:rsidRPr="0092350F">
        <w:t xml:space="preserve">on many issues but </w:t>
      </w:r>
      <w:r w:rsidR="0092350F" w:rsidRPr="00E84D9E">
        <w:t xml:space="preserve">also, </w:t>
      </w:r>
      <w:r w:rsidRPr="0092350F">
        <w:t>when parties</w:t>
      </w:r>
      <w:r w:rsidRPr="00167CB8">
        <w:t xml:space="preserve"> disagree, they tend not to trust each other. The sharing and analysis of information is incomplete and tends to favour one side while ignoring the other. </w:t>
      </w:r>
      <w:r>
        <w:t xml:space="preserve">This involves ‘cherry picking’ the parts of data or arguments that are most convenient to support different positions. </w:t>
      </w:r>
      <w:r w:rsidRPr="00167CB8">
        <w:t xml:space="preserve">The exchanges in the Review process tended, therefore, to be ‘zero </w:t>
      </w:r>
      <w:r w:rsidRPr="0092350F">
        <w:t>sum games’ rather than</w:t>
      </w:r>
      <w:r w:rsidRPr="00167CB8">
        <w:t xml:space="preserve"> the mutual gains ventures that are often evident when transparency and shared learning creates added value for all.</w:t>
      </w:r>
    </w:p>
    <w:p w14:paraId="1A8B6D53" w14:textId="77777777" w:rsidR="00D82BD0" w:rsidRPr="00167CB8" w:rsidRDefault="00D82BD0" w:rsidP="00E84D9E">
      <w:pPr>
        <w:pStyle w:val="Heading4"/>
      </w:pPr>
      <w:r w:rsidRPr="00167CB8">
        <w:t>1.2 The impacts of limited time and data on the Review</w:t>
      </w:r>
    </w:p>
    <w:p w14:paraId="71EDDBB8" w14:textId="73DF8CEB" w:rsidR="00D82BD0" w:rsidRPr="00167CB8" w:rsidRDefault="00D82BD0" w:rsidP="00D82BD0">
      <w:r w:rsidRPr="396ABCA7">
        <w:t xml:space="preserve">The limited time available for the Review can be seen in its background. The Secure Jobs, Better Pay Act received </w:t>
      </w:r>
      <w:r w:rsidR="008B6582">
        <w:t>R</w:t>
      </w:r>
      <w:r w:rsidR="008B6582" w:rsidRPr="396ABCA7">
        <w:t xml:space="preserve">oyal </w:t>
      </w:r>
      <w:r w:rsidR="008B6582">
        <w:t>A</w:t>
      </w:r>
      <w:r w:rsidR="008B6582" w:rsidRPr="396ABCA7">
        <w:t xml:space="preserve">ssent </w:t>
      </w:r>
      <w:r w:rsidRPr="396ABCA7">
        <w:t xml:space="preserve">on 6 December 2022. Section 4 of the Act mandated that a review start within </w:t>
      </w:r>
      <w:r w:rsidR="001618FB">
        <w:t>two</w:t>
      </w:r>
      <w:r w:rsidRPr="396ABCA7">
        <w:t xml:space="preserve"> years (see the Terms of Reference in Appendix 7). The various provisions of the Act, however, commenced operation at different times. Some provisions began operation immediately, but others (as mentioned throughout the report) commenced on 6 March 2023, 6 June 2023 and even 6 December 2023.</w:t>
      </w:r>
      <w:r w:rsidRPr="396ABCA7">
        <w:rPr>
          <w:rStyle w:val="FootnoteReference"/>
        </w:rPr>
        <w:footnoteReference w:id="8"/>
      </w:r>
    </w:p>
    <w:p w14:paraId="4D13287D" w14:textId="4C21E711" w:rsidR="00D82BD0" w:rsidRPr="00167CB8" w:rsidRDefault="00D82BD0" w:rsidP="00D82BD0">
      <w:r w:rsidRPr="396ABCA7">
        <w:t xml:space="preserve">Part 16A of Schedule 1 to the Closing Loopholes Act, which addresses right of entry provisions in the Fair Work Act authorising union representatives to gain greater access to workplaces without the usual permissions relevant under the Fair Work Act, commenced on 15 December 2023. This amending legislation also contained a requirement for a review to start within two years, but it mandated that the review of Part 16A commence within just </w:t>
      </w:r>
      <w:r w:rsidR="001618FB">
        <w:t>nine</w:t>
      </w:r>
      <w:r w:rsidRPr="396ABCA7">
        <w:t xml:space="preserve"> months.</w:t>
      </w:r>
    </w:p>
    <w:p w14:paraId="73052CFB" w14:textId="60E9BBBE" w:rsidR="00D82BD0" w:rsidRPr="00DC3376" w:rsidRDefault="00D82BD0" w:rsidP="00D82BD0">
      <w:r w:rsidRPr="396ABCA7">
        <w:t xml:space="preserve">The period between the conduct of the Review and the commencement of parts of the legislation was therefore brief. This had consequences for the data that was available from </w:t>
      </w:r>
      <w:r w:rsidRPr="396ABCA7">
        <w:lastRenderedPageBreak/>
        <w:t xml:space="preserve">independent agencies and made it particularly </w:t>
      </w:r>
      <w:r>
        <w:t>difficult</w:t>
      </w:r>
      <w:r w:rsidRPr="396ABCA7">
        <w:t xml:space="preserve"> to assess whether the amendments were having their intended effect or not. This </w:t>
      </w:r>
      <w:r w:rsidRPr="00DC3376">
        <w:t>can be seen in two ways.</w:t>
      </w:r>
    </w:p>
    <w:p w14:paraId="289B96C4" w14:textId="0FDE905F" w:rsidR="00D82BD0" w:rsidRPr="00167CB8" w:rsidRDefault="00D82BD0" w:rsidP="00D82BD0">
      <w:r w:rsidRPr="00DC3376">
        <w:t>First, routine data reported by government agencies – like the Australian Bureau of Statistics (ABS), the Department of Employment and Workplace Relations (DEWR), the Fair Work Ombudsman (FWO) and the Fair Work Commission (FWC) – is subject</w:t>
      </w:r>
      <w:r w:rsidRPr="00167CB8">
        <w:t xml:space="preserve"> to understandable time lags. ABS data on </w:t>
      </w:r>
      <w:r>
        <w:t xml:space="preserve">the numbers and distribution of workers receiving wage increases by different </w:t>
      </w:r>
      <w:r w:rsidRPr="00167CB8">
        <w:t>methods</w:t>
      </w:r>
      <w:r>
        <w:t xml:space="preserve"> (i.e. enterprise agreements, individual arrangements and awards)</w:t>
      </w:r>
      <w:r w:rsidRPr="00167CB8">
        <w:t xml:space="preserve">, for example, are only gathered and published bi-annually, making their most recent data applicable to May 2023. Data on collective agreements </w:t>
      </w:r>
      <w:r w:rsidRPr="0092350F">
        <w:t>published by DEWR from</w:t>
      </w:r>
      <w:r w:rsidRPr="00167CB8">
        <w:t xml:space="preserve"> the Workplace Agreements Database was also subject to time lags, resulting in only </w:t>
      </w:r>
      <w:r>
        <w:t>seven</w:t>
      </w:r>
      <w:r w:rsidRPr="00167CB8">
        <w:t xml:space="preserve"> quarters (1¾ years) being available before the completion of this report</w:t>
      </w:r>
      <w:r>
        <w:t xml:space="preserve"> at a time when the average duration of agreements was closer to three years and the maximum under the Act was four years</w:t>
      </w:r>
      <w:r w:rsidRPr="00167CB8">
        <w:t>. These time delays meant that much quantitative data was often not up to date. Sometimes, as-yet</w:t>
      </w:r>
      <w:r>
        <w:t>-</w:t>
      </w:r>
      <w:r w:rsidRPr="00167CB8">
        <w:t>unreported quantitative data was provided by the agencies, but this could not always meet requirements.</w:t>
      </w:r>
    </w:p>
    <w:p w14:paraId="73F3A129" w14:textId="275E4A85" w:rsidR="00D82BD0" w:rsidRPr="00167CB8" w:rsidRDefault="00D82BD0" w:rsidP="00D82BD0">
      <w:r w:rsidRPr="00167CB8">
        <w:t>Similarly, an important source of qualitative data was the decisions of tribunals (</w:t>
      </w:r>
      <w:r w:rsidRPr="0092350F">
        <w:t>like the FWC</w:t>
      </w:r>
      <w:r w:rsidR="0092350F">
        <w:t>)</w:t>
      </w:r>
      <w:r w:rsidRPr="0092350F">
        <w:t xml:space="preserve"> or</w:t>
      </w:r>
      <w:r w:rsidRPr="00167CB8">
        <w:t xml:space="preserve"> courts (</w:t>
      </w:r>
      <w:r>
        <w:t>e.g.</w:t>
      </w:r>
      <w:r w:rsidRPr="00167CB8">
        <w:t xml:space="preserve"> the Federal Court</w:t>
      </w:r>
      <w:r>
        <w:t xml:space="preserve"> or even the High Court</w:t>
      </w:r>
      <w:r w:rsidRPr="00167CB8">
        <w:t xml:space="preserve">), but these were often not finalised before completion of the Review. They usually require the initiation of disputes by affected individuals or organisations, which invariably (and properly) follow </w:t>
      </w:r>
      <w:r>
        <w:t xml:space="preserve">legal </w:t>
      </w:r>
      <w:r w:rsidRPr="00167CB8">
        <w:t>procedures. They also involve prospects of appeal. These decisions are often necessary in setting the ground rules on how the amendments operate in practice beyond the boundaries of the specific disputes.</w:t>
      </w:r>
    </w:p>
    <w:p w14:paraId="647A986E" w14:textId="2D5C54E7" w:rsidR="00D82BD0" w:rsidRDefault="00D82BD0" w:rsidP="00D82BD0">
      <w:r w:rsidRPr="00167CB8">
        <w:t xml:space="preserve">Second, the Review Panel was mostly unable to systematically consider the impact </w:t>
      </w:r>
      <w:r>
        <w:t xml:space="preserve">of the amendments </w:t>
      </w:r>
      <w:r w:rsidRPr="00167CB8">
        <w:t>on individual workplaces where there had not been legal proceedings, disputes or other regulatory action. In these situations, changes flow from voluntary compliance with the amendments. These ‘shadow effects’</w:t>
      </w:r>
      <w:r>
        <w:t xml:space="preserve"> – </w:t>
      </w:r>
      <w:r w:rsidRPr="00167CB8">
        <w:t>such as an employer taking additional steps to protect workers from sexual harassment</w:t>
      </w:r>
      <w:r>
        <w:t xml:space="preserve"> or reducing their use of fixed</w:t>
      </w:r>
      <w:r w:rsidR="00800964">
        <w:t xml:space="preserve"> </w:t>
      </w:r>
      <w:r>
        <w:t xml:space="preserve">term contracts or bargaining between the parties that has not been subject to intervention by the FWC – </w:t>
      </w:r>
      <w:r w:rsidRPr="00167CB8">
        <w:t>are part of the ultimate goal of the legislative provisions. The law enables and influences changes in behaviour. It also carves out definitions of unacceptable behaviour</w:t>
      </w:r>
      <w:r>
        <w:t xml:space="preserve"> and</w:t>
      </w:r>
      <w:r w:rsidRPr="00167CB8">
        <w:t xml:space="preserve"> provi</w:t>
      </w:r>
      <w:r>
        <w:t xml:space="preserve">sions providing </w:t>
      </w:r>
      <w:r w:rsidRPr="00167CB8">
        <w:t xml:space="preserve">for </w:t>
      </w:r>
      <w:r w:rsidRPr="0092350F">
        <w:t>sanctions against them.</w:t>
      </w:r>
    </w:p>
    <w:p w14:paraId="4E369B96" w14:textId="3FFD7F40" w:rsidR="00D82BD0" w:rsidRPr="00167CB8" w:rsidRDefault="00D82BD0" w:rsidP="00D82BD0">
      <w:r w:rsidRPr="00167CB8">
        <w:t xml:space="preserve">To comprehensively </w:t>
      </w:r>
      <w:r>
        <w:t xml:space="preserve">consider whether the operation of the amendments is appropriate and effective, </w:t>
      </w:r>
      <w:r w:rsidRPr="00167CB8">
        <w:t xml:space="preserve">the Review </w:t>
      </w:r>
      <w:r>
        <w:t xml:space="preserve">must consider these shadow effects. This, however, would require the implementation of a comprehensive program of research, involving quantitative and qualitative data (e.g. case studies and focus groups). Unfortunately, this was not feasible within the </w:t>
      </w:r>
      <w:r w:rsidRPr="00167CB8">
        <w:t xml:space="preserve">time available </w:t>
      </w:r>
      <w:r>
        <w:t>for</w:t>
      </w:r>
      <w:r w:rsidRPr="00167CB8">
        <w:t xml:space="preserve"> this Review</w:t>
      </w:r>
      <w:r>
        <w:t>.</w:t>
      </w:r>
    </w:p>
    <w:p w14:paraId="13806444" w14:textId="77777777" w:rsidR="0011475D" w:rsidRDefault="00D82BD0" w:rsidP="00D82BD0">
      <w:r>
        <w:t xml:space="preserve">Faced with data limitations, </w:t>
      </w:r>
      <w:r w:rsidRPr="00167CB8">
        <w:t>the Review relied on the stakeholders who reported on the</w:t>
      </w:r>
      <w:r>
        <w:t xml:space="preserve"> operation</w:t>
      </w:r>
      <w:r w:rsidRPr="00167CB8">
        <w:t xml:space="preserve"> </w:t>
      </w:r>
      <w:r>
        <w:t xml:space="preserve">of </w:t>
      </w:r>
      <w:r w:rsidRPr="00167CB8">
        <w:t>amendments</w:t>
      </w:r>
      <w:r>
        <w:t xml:space="preserve"> based on feedback</w:t>
      </w:r>
      <w:r w:rsidRPr="00167CB8">
        <w:t xml:space="preserve"> they had received from their members. However, this data was rarely reported</w:t>
      </w:r>
      <w:r>
        <w:t xml:space="preserve"> or presented in ways</w:t>
      </w:r>
      <w:r w:rsidRPr="00167CB8">
        <w:t xml:space="preserve"> that </w:t>
      </w:r>
      <w:r>
        <w:t>could be considered complete or reliable</w:t>
      </w:r>
      <w:r w:rsidRPr="00167CB8">
        <w:t>. For example, it was often not revealed how many members had provided such feedback or how statistically representative the sample was; the form of the feedback reported; or the exact wording of questions to which members were responding, despite an express request from the Review Panel in its call for submissions.</w:t>
      </w:r>
      <w:r>
        <w:t xml:space="preserve"> Indeed, </w:t>
      </w:r>
      <w:r w:rsidRPr="00167CB8">
        <w:t>stakeholders often filled in data gaps with opinions about what they considered was ‘likely’ to happen, based on their experiences, expectations or beliefs.</w:t>
      </w:r>
    </w:p>
    <w:p w14:paraId="0DF60D5A" w14:textId="77777777" w:rsidR="0011475D" w:rsidRDefault="00D82BD0" w:rsidP="00141B26">
      <w:pPr>
        <w:pStyle w:val="Heading4"/>
      </w:pPr>
      <w:r w:rsidRPr="00167CB8">
        <w:lastRenderedPageBreak/>
        <w:t>1.3 Review background</w:t>
      </w:r>
    </w:p>
    <w:p w14:paraId="56D6CDE9" w14:textId="20CF57F1" w:rsidR="00D82BD0" w:rsidRPr="00167CB8" w:rsidRDefault="00D82BD0" w:rsidP="00D82BD0">
      <w:r w:rsidRPr="00167CB8">
        <w:t xml:space="preserve">On 2 October 2024 the Minister for Employment and Workplace Relations, Senator the Hon Murray Watt, announced the appointment of Emeritus Professor Mark Bray and Professor Alison Preston to conduct an independent review of the </w:t>
      </w:r>
      <w:r w:rsidRPr="00167CB8" w:rsidDel="008C62CF">
        <w:t>Secure Jobs, Better Pay</w:t>
      </w:r>
      <w:r w:rsidRPr="00167CB8">
        <w:t xml:space="preserve"> Act and of the amendments made by Part 16A of Schedule 1 to the </w:t>
      </w:r>
      <w:r w:rsidRPr="00167CB8" w:rsidDel="008C62CF">
        <w:t>Closing Loopholes</w:t>
      </w:r>
      <w:r w:rsidRPr="00167CB8">
        <w:t xml:space="preserve"> Act.</w:t>
      </w:r>
    </w:p>
    <w:p w14:paraId="09A659F6" w14:textId="77777777" w:rsidR="00D82BD0" w:rsidRPr="00167CB8" w:rsidRDefault="00D82BD0" w:rsidP="00D82BD0">
      <w:r w:rsidRPr="00167CB8">
        <w:t>A secretariat was appointed within DEWR to assist the Review Panel in undertaking its review. The Panel is grateful to the secretariat for their assistance in undertaking this large task. Any views expressed in this report</w:t>
      </w:r>
      <w:r>
        <w:t>, however,</w:t>
      </w:r>
      <w:r w:rsidRPr="00167CB8">
        <w:t xml:space="preserve"> are those of the Review Panel.</w:t>
      </w:r>
    </w:p>
    <w:p w14:paraId="4DD5DE93" w14:textId="77777777" w:rsidR="00D82BD0" w:rsidRPr="00167CB8" w:rsidRDefault="00D82BD0" w:rsidP="00D82BD0">
      <w:r w:rsidRPr="00167CB8">
        <w:t xml:space="preserve">The draft report was delivered to </w:t>
      </w:r>
      <w:r>
        <w:t xml:space="preserve">DEWR and </w:t>
      </w:r>
      <w:r w:rsidRPr="00167CB8">
        <w:t xml:space="preserve">Minister Watt on Friday </w:t>
      </w:r>
      <w:r>
        <w:t>24</w:t>
      </w:r>
      <w:r w:rsidRPr="00167CB8">
        <w:t xml:space="preserve"> January 2025 and </w:t>
      </w:r>
      <w:r>
        <w:t xml:space="preserve">then edited. It was </w:t>
      </w:r>
      <w:r w:rsidRPr="00167CB8">
        <w:t>published on the Review’s website on Monday 3 February 2025.</w:t>
      </w:r>
    </w:p>
    <w:p w14:paraId="20C88DB0" w14:textId="03EDC711" w:rsidR="00D82BD0" w:rsidRPr="00167CB8" w:rsidRDefault="00D82BD0" w:rsidP="00D82BD0">
      <w:r>
        <w:t xml:space="preserve">Thereafter, as described below, further consultation was undertaken with stakeholders, data was updated where possible and modification of the report by the Panel </w:t>
      </w:r>
      <w:r w:rsidR="0092350F">
        <w:t xml:space="preserve">was </w:t>
      </w:r>
      <w:r>
        <w:t>completed. The final report was submitted to the Minister on 31 March 2025.</w:t>
      </w:r>
    </w:p>
    <w:p w14:paraId="48F05C13" w14:textId="77777777" w:rsidR="00D82BD0" w:rsidRPr="00167CB8" w:rsidRDefault="00D82BD0" w:rsidP="00453447">
      <w:pPr>
        <w:pStyle w:val="Heading5"/>
      </w:pPr>
      <w:r w:rsidRPr="00167CB8">
        <w:t>1.3.1 Terms of Reference</w:t>
      </w:r>
    </w:p>
    <w:p w14:paraId="48091526" w14:textId="77777777" w:rsidR="00D82BD0" w:rsidRPr="00167CB8" w:rsidRDefault="00D82BD0" w:rsidP="00D82BD0">
      <w:r w:rsidRPr="00167CB8">
        <w:t>The Review’s Terms of Reference are available at Appendix 7.</w:t>
      </w:r>
    </w:p>
    <w:p w14:paraId="1F7D4140" w14:textId="77777777" w:rsidR="00D82BD0" w:rsidRPr="00167CB8" w:rsidRDefault="00D82BD0" w:rsidP="00453447">
      <w:pPr>
        <w:pStyle w:val="Heading5"/>
      </w:pPr>
      <w:r w:rsidRPr="00167CB8">
        <w:t>1.3.2 Consultation</w:t>
      </w:r>
    </w:p>
    <w:p w14:paraId="233D040D" w14:textId="77CAFA7E" w:rsidR="00D82BD0" w:rsidRPr="00167CB8" w:rsidRDefault="00D82BD0" w:rsidP="00D82BD0">
      <w:r w:rsidRPr="00167CB8">
        <w:t xml:space="preserve">The </w:t>
      </w:r>
      <w:r w:rsidR="0092350F">
        <w:t xml:space="preserve">Review </w:t>
      </w:r>
      <w:r w:rsidRPr="0092350F">
        <w:t>Panel</w:t>
      </w:r>
      <w:r w:rsidRPr="00167CB8">
        <w:t xml:space="preserve"> conducted consultation with key stakeholders. The commencement of the Review was announced by Minister Watt on 2 October 2024 and interested parties were encouraged to engage with the reviewers and provide their perspectives.</w:t>
      </w:r>
    </w:p>
    <w:p w14:paraId="76D12B5B" w14:textId="09E46304" w:rsidR="00D82BD0" w:rsidRPr="00167CB8" w:rsidRDefault="00D82BD0" w:rsidP="00D82BD0">
      <w:r w:rsidRPr="00167CB8">
        <w:t xml:space="preserve">On 18 October 2024 a call for </w:t>
      </w:r>
      <w:r>
        <w:t xml:space="preserve">written </w:t>
      </w:r>
      <w:r w:rsidRPr="00167CB8">
        <w:t>submissions was made and interested parties were encouraged to provide evidence to the Review. The deadline for written submissions was 29 November 2024.</w:t>
      </w:r>
    </w:p>
    <w:p w14:paraId="51792A95" w14:textId="5193C3D5" w:rsidR="00D82BD0" w:rsidRPr="00167CB8" w:rsidRDefault="00D82BD0" w:rsidP="00D82BD0">
      <w:r w:rsidRPr="00167CB8">
        <w:t>Over</w:t>
      </w:r>
      <w:r>
        <w:t xml:space="preserve"> three</w:t>
      </w:r>
      <w:r w:rsidRPr="00167CB8">
        <w:t xml:space="preserve"> days covering Wednesday 30 October 2024 to Friday 1 November 2024</w:t>
      </w:r>
      <w:r>
        <w:t>,</w:t>
      </w:r>
      <w:r w:rsidRPr="00167CB8">
        <w:t xml:space="preserve"> the Panel held a series of meetings and roundtable consultations with peak employer groups, unions and academics.</w:t>
      </w:r>
    </w:p>
    <w:p w14:paraId="30637EF4" w14:textId="33CBE16C" w:rsidR="00D82BD0" w:rsidRDefault="00D82BD0" w:rsidP="00D82BD0">
      <w:r w:rsidRPr="00167CB8">
        <w:t xml:space="preserve">In response to the request from the Review Panel, 47 </w:t>
      </w:r>
      <w:r>
        <w:t xml:space="preserve">written </w:t>
      </w:r>
      <w:r w:rsidRPr="00167CB8">
        <w:t>submissions were received, 46 of which were published on the Review website</w:t>
      </w:r>
      <w:r>
        <w:t xml:space="preserve"> and </w:t>
      </w:r>
      <w:r w:rsidRPr="006762E8">
        <w:t xml:space="preserve">listed in </w:t>
      </w:r>
      <w:r w:rsidRPr="00141B26">
        <w:t>Appendix 8</w:t>
      </w:r>
      <w:r w:rsidR="00DC3376" w:rsidRPr="006762E8">
        <w:t xml:space="preserve"> </w:t>
      </w:r>
      <w:r w:rsidRPr="006762E8">
        <w:t>to this report</w:t>
      </w:r>
      <w:r w:rsidRPr="00167CB8">
        <w:t>.</w:t>
      </w:r>
    </w:p>
    <w:p w14:paraId="740A34E6" w14:textId="3CE8432E" w:rsidR="00D82BD0" w:rsidRDefault="00D82BD0" w:rsidP="00D82BD0">
      <w:r>
        <w:t>After the draft report was published at the beginning of February 2025, t</w:t>
      </w:r>
      <w:r w:rsidRPr="00167CB8">
        <w:t xml:space="preserve">he </w:t>
      </w:r>
      <w:r w:rsidR="00185C1B">
        <w:t xml:space="preserve">Review </w:t>
      </w:r>
      <w:r w:rsidRPr="00167CB8">
        <w:t xml:space="preserve">Panel </w:t>
      </w:r>
      <w:r>
        <w:t xml:space="preserve">called for further written submissions (due by 16 February). The </w:t>
      </w:r>
      <w:r w:rsidR="00185C1B">
        <w:t>R</w:t>
      </w:r>
      <w:r>
        <w:t xml:space="preserve">eview received 40 such submissions, which were published on the website and are </w:t>
      </w:r>
      <w:r w:rsidRPr="006762E8">
        <w:t xml:space="preserve">listed in </w:t>
      </w:r>
      <w:r w:rsidRPr="00141B26">
        <w:t>Appendix 8</w:t>
      </w:r>
      <w:r w:rsidRPr="006762E8">
        <w:t>.</w:t>
      </w:r>
    </w:p>
    <w:p w14:paraId="469C48BA" w14:textId="7F20C082" w:rsidR="00D82BD0" w:rsidRDefault="00D82BD0" w:rsidP="00D82BD0">
      <w:r>
        <w:t xml:space="preserve">The </w:t>
      </w:r>
      <w:r w:rsidR="00185C1B">
        <w:t xml:space="preserve">Review </w:t>
      </w:r>
      <w:r>
        <w:t xml:space="preserve">Panel also </w:t>
      </w:r>
      <w:r w:rsidRPr="00167CB8">
        <w:t xml:space="preserve">held </w:t>
      </w:r>
      <w:r>
        <w:t xml:space="preserve">further </w:t>
      </w:r>
      <w:r w:rsidRPr="00167CB8">
        <w:t xml:space="preserve">consultations with major stakeholders </w:t>
      </w:r>
      <w:r>
        <w:t>on Wednesday 19 and Thursday 20 February 2025.</w:t>
      </w:r>
    </w:p>
    <w:p w14:paraId="749ED412" w14:textId="77777777" w:rsidR="00D82BD0" w:rsidRPr="00167CB8" w:rsidRDefault="00D82BD0" w:rsidP="00D82BD0">
      <w:r w:rsidRPr="00167CB8">
        <w:t>The Panel expresses its gratitude to the stakeholders for their contributions.</w:t>
      </w:r>
    </w:p>
    <w:p w14:paraId="0C3AA1D7" w14:textId="77777777" w:rsidR="00D82BD0" w:rsidRPr="00167CB8" w:rsidRDefault="00D82BD0" w:rsidP="00453447">
      <w:pPr>
        <w:pStyle w:val="Heading5"/>
      </w:pPr>
      <w:r w:rsidRPr="00167CB8">
        <w:t>1.3.3 Approach to the Review</w:t>
      </w:r>
    </w:p>
    <w:p w14:paraId="405F6CC7" w14:textId="77777777" w:rsidR="00D82BD0" w:rsidRPr="009E4947" w:rsidRDefault="00D82BD0" w:rsidP="00D82BD0">
      <w:r w:rsidRPr="009E4947">
        <w:t xml:space="preserve">One aspect of the </w:t>
      </w:r>
      <w:r>
        <w:t>R</w:t>
      </w:r>
      <w:r w:rsidRPr="009E4947">
        <w:t>eview’s Terms of Reference is especially important because it determine</w:t>
      </w:r>
      <w:r>
        <w:t>d</w:t>
      </w:r>
      <w:r w:rsidRPr="009E4947">
        <w:t xml:space="preserve"> the approach taken by the Panel to the </w:t>
      </w:r>
      <w:r>
        <w:t>R</w:t>
      </w:r>
      <w:r w:rsidRPr="009E4947">
        <w:t xml:space="preserve">eview. The Terms of Reference state that the </w:t>
      </w:r>
      <w:r>
        <w:t>R</w:t>
      </w:r>
      <w:r w:rsidRPr="009E4947">
        <w:t>eview must ‘consider whether the operation of the amendments are appropriate and effective’. The words ‘the operation of’ are vital because they show that this is an ‘operational’ review, in which the focus is strictly on how the amendments have played out in practice.</w:t>
      </w:r>
    </w:p>
    <w:p w14:paraId="27DCE68F" w14:textId="43ED1EEF" w:rsidR="00D82BD0" w:rsidRPr="009E4947" w:rsidRDefault="00D82BD0" w:rsidP="00D82BD0">
      <w:r w:rsidRPr="009E4947">
        <w:lastRenderedPageBreak/>
        <w:t xml:space="preserve">In other words, the Panel was not asked to consider the appropriateness of the amendments themselves but, rather, their operation. This may appear to some as an exercise in semantics, but the Panel was not asked to question the choices or decisions exercised by the government or the parliament in relation to </w:t>
      </w:r>
      <w:r w:rsidRPr="0092350F">
        <w:t xml:space="preserve">the </w:t>
      </w:r>
      <w:r w:rsidR="0092350F">
        <w:t>Secure Jobs, Better Pay</w:t>
      </w:r>
      <w:r w:rsidR="0092350F" w:rsidRPr="0092350F">
        <w:t xml:space="preserve"> </w:t>
      </w:r>
      <w:r w:rsidRPr="0092350F">
        <w:t>Act.</w:t>
      </w:r>
    </w:p>
    <w:p w14:paraId="6085D4BD" w14:textId="54C66021" w:rsidR="00D82BD0" w:rsidRPr="00167CB8" w:rsidRDefault="00D82BD0" w:rsidP="00D82BD0">
      <w:r>
        <w:t>Consistent with the Terms of Reference, t</w:t>
      </w:r>
      <w:r w:rsidRPr="00167CB8">
        <w:t xml:space="preserve">he Review Panel has sought to </w:t>
      </w:r>
      <w:r>
        <w:t xml:space="preserve">describe the actual amendments and </w:t>
      </w:r>
      <w:r w:rsidRPr="00167CB8">
        <w:t>undertake an evidenced-based analysis of the</w:t>
      </w:r>
      <w:r>
        <w:t>ir operation</w:t>
      </w:r>
      <w:r w:rsidRPr="00167CB8">
        <w:t>, comparing their effects with the Australian Government’s stated intent.</w:t>
      </w:r>
      <w:r>
        <w:t xml:space="preserve"> This latter intent was mostly derived from the legislation’s Explanatory Memoranda and </w:t>
      </w:r>
      <w:r w:rsidRPr="0092350F">
        <w:t xml:space="preserve">the Minister’s </w:t>
      </w:r>
      <w:r w:rsidR="0092350F">
        <w:t>second r</w:t>
      </w:r>
      <w:r w:rsidRPr="0092350F">
        <w:t xml:space="preserve">eading </w:t>
      </w:r>
      <w:r w:rsidR="0092350F">
        <w:t>s</w:t>
      </w:r>
      <w:r w:rsidRPr="0092350F">
        <w:t>peech</w:t>
      </w:r>
      <w:r>
        <w:t xml:space="preserve"> to parliament.</w:t>
      </w:r>
    </w:p>
    <w:p w14:paraId="093F39DE" w14:textId="65BF196B" w:rsidR="00D82BD0" w:rsidRPr="00167CB8" w:rsidRDefault="00D82BD0" w:rsidP="00D82BD0">
      <w:r w:rsidRPr="00167CB8">
        <w:t>The analysis incorporates data and statistics from sources, including the ABS, FWC, FWO, DEWR, and the Household</w:t>
      </w:r>
      <w:r w:rsidR="00A412EB">
        <w:t>,</w:t>
      </w:r>
      <w:r w:rsidRPr="00167CB8">
        <w:t xml:space="preserve"> Income and Labour Dynamics Australia (HILDA) </w:t>
      </w:r>
      <w:r>
        <w:t>S</w:t>
      </w:r>
      <w:r w:rsidRPr="00167CB8">
        <w:t>urvey. It also draws on academic research, case law and additional evidence such as case studies submitted or discussed during consultations.</w:t>
      </w:r>
      <w:r>
        <w:t xml:space="preserve"> </w:t>
      </w:r>
      <w:r w:rsidRPr="00626A5E">
        <w:t>For ongoing matters or applications drawn on as evidence, the Review Panel has considered updates until 21 February 2025.</w:t>
      </w:r>
    </w:p>
    <w:p w14:paraId="599BC001" w14:textId="77777777" w:rsidR="00D82BD0" w:rsidRPr="00167CB8" w:rsidRDefault="00D82BD0" w:rsidP="00D82BD0">
      <w:r w:rsidRPr="396ABCA7">
        <w:t xml:space="preserve">Given the contested nature of much of the subject matter, the Review Panel has assessed available evidence and offered independent insights based on the </w:t>
      </w:r>
      <w:r>
        <w:t>P</w:t>
      </w:r>
      <w:r w:rsidRPr="00167CB8">
        <w:t>anel</w:t>
      </w:r>
      <w:r w:rsidRPr="396ABCA7">
        <w:t xml:space="preserve"> members’ expertise and experience.</w:t>
      </w:r>
    </w:p>
    <w:p w14:paraId="4721D5B5" w14:textId="77777777" w:rsidR="00D82BD0" w:rsidRPr="00A679CC" w:rsidRDefault="00D82BD0" w:rsidP="00453447">
      <w:pPr>
        <w:pStyle w:val="Heading5"/>
      </w:pPr>
      <w:r w:rsidRPr="00A679CC">
        <w:t>1.3.4 Limitations</w:t>
      </w:r>
    </w:p>
    <w:p w14:paraId="78105771" w14:textId="45F7E629" w:rsidR="00D82BD0" w:rsidRPr="00167CB8" w:rsidRDefault="00D82BD0" w:rsidP="00D82BD0">
      <w:r w:rsidRPr="00167CB8">
        <w:t>The Review Panel has made use of all available evidence</w:t>
      </w:r>
      <w:r>
        <w:t>, but</w:t>
      </w:r>
      <w:r w:rsidRPr="00167CB8">
        <w:t xml:space="preserve"> data limitations and the impact of subsequent amending Acts have made it difficult to reach definitive conclusions on some </w:t>
      </w:r>
      <w:r w:rsidR="0092350F">
        <w:t xml:space="preserve">Secure Jobs, Better </w:t>
      </w:r>
      <w:r w:rsidR="0092350F" w:rsidRPr="00FF122F">
        <w:t xml:space="preserve">Pay </w:t>
      </w:r>
      <w:r w:rsidRPr="00FF122F">
        <w:t>amendments. The Review</w:t>
      </w:r>
      <w:r w:rsidRPr="00167CB8">
        <w:t xml:space="preserve"> Panel has also been cautious about delineating the impact of </w:t>
      </w:r>
      <w:r w:rsidRPr="0092350F">
        <w:t xml:space="preserve">the </w:t>
      </w:r>
      <w:r w:rsidR="0092350F" w:rsidRPr="00653808">
        <w:t xml:space="preserve">Secure Jobs, Better Pay </w:t>
      </w:r>
      <w:r w:rsidRPr="0092350F">
        <w:t>amendments</w:t>
      </w:r>
      <w:r w:rsidRPr="00167CB8">
        <w:t xml:space="preserve"> from the impact of the broader context, including global economic forces. To address the availability of data for future reviews and evidence-based policymaking, the Review Panel considers </w:t>
      </w:r>
      <w:r w:rsidR="00653808">
        <w:t>that data for the workplace relations system will need to be improved.</w:t>
      </w:r>
    </w:p>
    <w:p w14:paraId="25F79053" w14:textId="77777777" w:rsidR="00D82BD0" w:rsidRPr="00167CB8" w:rsidRDefault="00D82BD0" w:rsidP="00453447">
      <w:pPr>
        <w:pStyle w:val="Heading5"/>
      </w:pPr>
      <w:r w:rsidRPr="00167CB8">
        <w:t>1.3.5 Preview of the findings</w:t>
      </w:r>
    </w:p>
    <w:p w14:paraId="256886D0" w14:textId="7A41DFC5" w:rsidR="00D82BD0" w:rsidRPr="00167CB8" w:rsidRDefault="00D82BD0" w:rsidP="00D82BD0">
      <w:r w:rsidRPr="396ABCA7">
        <w:t>The Review Panel has found that the Secure Jobs, Better Pay reforms are, on the whole, achieving the Australian Government’s intent, operating appropriately and effectively and with minimal unintended consequences.</w:t>
      </w:r>
    </w:p>
    <w:p w14:paraId="3608980E" w14:textId="60AD5F2B" w:rsidR="00D82BD0" w:rsidRPr="00167CB8" w:rsidRDefault="00D82BD0" w:rsidP="00D82BD0">
      <w:r>
        <w:t>The Panel, however, agrees with several</w:t>
      </w:r>
      <w:r w:rsidRPr="00167CB8">
        <w:t xml:space="preserve"> stakeholders </w:t>
      </w:r>
      <w:r>
        <w:t>who argue that</w:t>
      </w:r>
      <w:r w:rsidRPr="00167CB8">
        <w:t xml:space="preserve"> it is too soon and there </w:t>
      </w:r>
      <w:r>
        <w:t>has been</w:t>
      </w:r>
      <w:r w:rsidRPr="00167CB8">
        <w:t xml:space="preserve"> insufficient time for the impact of the amendments to be fully assessed. Stakeholders such as Maritime Industry Australia Ltd, Chamber of Commerce and Industry of Western Australia, </w:t>
      </w:r>
      <w:r w:rsidRPr="00167CB8">
        <w:rPr>
          <w:bCs/>
          <w:iCs/>
          <w:szCs w:val="18"/>
        </w:rPr>
        <w:t>Australian Resources &amp; Energy Employer Association</w:t>
      </w:r>
      <w:r w:rsidRPr="00167CB8">
        <w:t xml:space="preserve">, Australian Chamber of </w:t>
      </w:r>
      <w:r w:rsidRPr="00DC3376">
        <w:t xml:space="preserve">Commerce and Industry </w:t>
      </w:r>
      <w:r w:rsidRPr="00167CB8">
        <w:t>and Law Council of Australia submit that a further review of the provisions should be undertaken in due course.</w:t>
      </w:r>
    </w:p>
    <w:p w14:paraId="02BE174C" w14:textId="7890601B" w:rsidR="00D82BD0" w:rsidRPr="00D0420B" w:rsidRDefault="00D82BD0" w:rsidP="00D82BD0">
      <w:r>
        <w:t>T</w:t>
      </w:r>
      <w:r w:rsidRPr="00D0420B">
        <w:t>he Review Panel’s main recommendation</w:t>
      </w:r>
      <w:r w:rsidR="00185C1B">
        <w:t>,</w:t>
      </w:r>
      <w:r w:rsidRPr="00D0420B">
        <w:t xml:space="preserve"> </w:t>
      </w:r>
      <w:r>
        <w:t>therefore</w:t>
      </w:r>
      <w:r w:rsidR="00185C1B">
        <w:t>,</w:t>
      </w:r>
      <w:r>
        <w:t xml:space="preserve"> </w:t>
      </w:r>
      <w:r w:rsidRPr="00D0420B">
        <w:t>is that the Australian Government should undertake a further review after as many data gaps as possible have been filled.</w:t>
      </w:r>
    </w:p>
    <w:p w14:paraId="519079A7" w14:textId="04AE4EBA" w:rsidR="00D82BD0" w:rsidRPr="00D0420B" w:rsidRDefault="00D82BD0" w:rsidP="00D82BD0">
      <w:r w:rsidRPr="00D0420B">
        <w:t xml:space="preserve">Specifically, the Panel finds that the government should fund the collection of essential qualitative and quantitative data, </w:t>
      </w:r>
      <w:r>
        <w:t xml:space="preserve">through </w:t>
      </w:r>
      <w:r w:rsidRPr="00D0420B">
        <w:t xml:space="preserve">both one-off research projects to assess specific amendments and the regular collection of suitable data necessary to monitor developments in the workplace relations system on </w:t>
      </w:r>
      <w:r w:rsidRPr="00FF122F">
        <w:t>an ongoing basis</w:t>
      </w:r>
      <w:r w:rsidRPr="00D0420B">
        <w:t xml:space="preserve">. In both cases, quantitative data derived from representative surveys are vital to assess the overall incidence of relevant workplace </w:t>
      </w:r>
      <w:r w:rsidRPr="00D0420B">
        <w:lastRenderedPageBreak/>
        <w:t>behaviours, but so are detailed qualitative case studies to explore the processes at work in particular enterprises and/or industries and the reasons for the success/failure of behavioural change initiatives. The collection of data like this might have the added benefit of breaking down adversarialism and providing a stronger basis for future evidence-based policy in the broader industrial relations field.</w:t>
      </w:r>
    </w:p>
    <w:p w14:paraId="2E97DA9B" w14:textId="77777777" w:rsidR="00D82BD0" w:rsidRPr="00167CB8" w:rsidRDefault="00D82BD0" w:rsidP="00D82BD0">
      <w:r w:rsidRPr="00167CB8">
        <w:t xml:space="preserve">Efforts </w:t>
      </w:r>
      <w:r>
        <w:t xml:space="preserve">to fill data gaps </w:t>
      </w:r>
      <w:r w:rsidRPr="00167CB8">
        <w:t>should focus, in particular, on the collation of data suitable for a detailed and rigorous analysis of</w:t>
      </w:r>
      <w:r>
        <w:t xml:space="preserve"> the following topics, </w:t>
      </w:r>
      <w:r w:rsidRPr="00626A5E">
        <w:t>noting this is not an exhaustive list</w:t>
      </w:r>
      <w:r w:rsidRPr="00167CB8">
        <w:t>:</w:t>
      </w:r>
    </w:p>
    <w:p w14:paraId="283DC61F" w14:textId="77777777" w:rsidR="0011475D" w:rsidRPr="00653808" w:rsidRDefault="00D82BD0" w:rsidP="009B4A83">
      <w:pPr>
        <w:pStyle w:val="ListBullet"/>
        <w:numPr>
          <w:ilvl w:val="0"/>
          <w:numId w:val="1"/>
        </w:numPr>
        <w:ind w:left="284" w:hanging="284"/>
      </w:pPr>
      <w:r w:rsidRPr="00FF122F">
        <w:t>the mechanism used to commence bargaining in all matters</w:t>
      </w:r>
    </w:p>
    <w:p w14:paraId="27D0C2CF" w14:textId="2945B0D2" w:rsidR="00D82BD0" w:rsidRPr="00FF122F" w:rsidRDefault="00D82BD0" w:rsidP="009B4A83">
      <w:pPr>
        <w:pStyle w:val="ListBullet"/>
        <w:numPr>
          <w:ilvl w:val="0"/>
          <w:numId w:val="1"/>
        </w:numPr>
        <w:ind w:left="284" w:hanging="284"/>
      </w:pPr>
      <w:r w:rsidRPr="00FF122F">
        <w:t xml:space="preserve">the type of multi-employer agreement (i.e. cooperative workplace agreement, supported bargaining agreement </w:t>
      </w:r>
      <w:r w:rsidRPr="00DC3376">
        <w:t>or single</w:t>
      </w:r>
      <w:r w:rsidR="00FF122F" w:rsidRPr="00DC3376">
        <w:t>-</w:t>
      </w:r>
      <w:r w:rsidRPr="00DC3376">
        <w:t>interest employer</w:t>
      </w:r>
      <w:r w:rsidRPr="00FF122F">
        <w:t xml:space="preserve"> agreement) and the size of the employer the agreement relates to</w:t>
      </w:r>
    </w:p>
    <w:p w14:paraId="0ECE415D" w14:textId="719D4127" w:rsidR="00D82BD0" w:rsidRPr="00FF122F" w:rsidRDefault="00D82BD0" w:rsidP="009B4A83">
      <w:pPr>
        <w:pStyle w:val="ListBullet"/>
        <w:numPr>
          <w:ilvl w:val="0"/>
          <w:numId w:val="1"/>
        </w:numPr>
        <w:ind w:left="284" w:hanging="284"/>
      </w:pPr>
      <w:r w:rsidRPr="00FF122F">
        <w:t>the incidence and coverage of enterprise agreements that have nominally expired more than five years ago and identification of the wages and conditions under these instruments as compared to the applicable modern awards</w:t>
      </w:r>
    </w:p>
    <w:p w14:paraId="19AE4F2D" w14:textId="77777777" w:rsidR="00D82BD0" w:rsidRPr="00FF122F" w:rsidRDefault="00D82BD0" w:rsidP="009B4A83">
      <w:pPr>
        <w:pStyle w:val="ListBullet"/>
        <w:numPr>
          <w:ilvl w:val="0"/>
          <w:numId w:val="1"/>
        </w:numPr>
        <w:ind w:left="284" w:hanging="284"/>
      </w:pPr>
      <w:r w:rsidRPr="00FF122F">
        <w:t>the effect of collective bargaining on gender equality</w:t>
      </w:r>
    </w:p>
    <w:p w14:paraId="4F202246" w14:textId="643682C2" w:rsidR="00D82BD0" w:rsidRPr="00FF122F" w:rsidRDefault="00D82BD0" w:rsidP="009B4A83">
      <w:pPr>
        <w:pStyle w:val="ListBullet"/>
        <w:numPr>
          <w:ilvl w:val="0"/>
          <w:numId w:val="1"/>
        </w:numPr>
        <w:ind w:left="284" w:hanging="284"/>
      </w:pPr>
      <w:r w:rsidRPr="00FF122F">
        <w:t>the new pay transparency laws</w:t>
      </w:r>
    </w:p>
    <w:p w14:paraId="1ECFC8B9" w14:textId="3EA81126" w:rsidR="00D82BD0" w:rsidRPr="00FF122F" w:rsidRDefault="00D82BD0" w:rsidP="009B4A83">
      <w:pPr>
        <w:pStyle w:val="ListBullet"/>
        <w:numPr>
          <w:ilvl w:val="0"/>
          <w:numId w:val="1"/>
        </w:numPr>
        <w:ind w:left="284" w:hanging="284"/>
      </w:pPr>
      <w:r w:rsidRPr="00FF122F">
        <w:t>the use of fixed</w:t>
      </w:r>
      <w:r w:rsidR="00800964">
        <w:t xml:space="preserve"> </w:t>
      </w:r>
      <w:r w:rsidRPr="00FF122F">
        <w:t>term contracts, including their length, frequency of renewals, context for why they are used, the application of various exceptions in practice and the experience of individuals on fixed</w:t>
      </w:r>
      <w:r w:rsidR="00800964">
        <w:t xml:space="preserve"> </w:t>
      </w:r>
      <w:r w:rsidRPr="00FF122F">
        <w:t>term contracts</w:t>
      </w:r>
    </w:p>
    <w:p w14:paraId="24542D43" w14:textId="77777777" w:rsidR="00D82BD0" w:rsidRPr="00FF122F" w:rsidRDefault="00D82BD0" w:rsidP="009B4A83">
      <w:pPr>
        <w:pStyle w:val="ListBullet"/>
        <w:numPr>
          <w:ilvl w:val="0"/>
          <w:numId w:val="1"/>
        </w:numPr>
        <w:ind w:left="284" w:hanging="284"/>
      </w:pPr>
      <w:r w:rsidRPr="00FF122F">
        <w:t>the actual use of flexible working arrangements and the effects of the right to request them on workplaces and employees</w:t>
      </w:r>
    </w:p>
    <w:p w14:paraId="4C5924D4" w14:textId="77777777" w:rsidR="00D82BD0" w:rsidRPr="00FF122F" w:rsidRDefault="00D82BD0" w:rsidP="009B4A83">
      <w:pPr>
        <w:pStyle w:val="ListBullet"/>
        <w:numPr>
          <w:ilvl w:val="0"/>
          <w:numId w:val="1"/>
        </w:numPr>
        <w:ind w:left="284" w:hanging="284"/>
      </w:pPr>
      <w:r w:rsidRPr="00FF122F">
        <w:t>the application and impact of the amendments prohibiting employer advertisements with pay rates that would contravene the Fair Work Act in practice</w:t>
      </w:r>
    </w:p>
    <w:p w14:paraId="12E6A96B" w14:textId="77777777" w:rsidR="00D82BD0" w:rsidRPr="00FF122F" w:rsidRDefault="00D82BD0" w:rsidP="009B4A83">
      <w:pPr>
        <w:pStyle w:val="ListBullet"/>
        <w:numPr>
          <w:ilvl w:val="0"/>
          <w:numId w:val="1"/>
        </w:numPr>
        <w:ind w:left="284" w:hanging="284"/>
      </w:pPr>
      <w:r w:rsidRPr="00FF122F">
        <w:t>the use of the right of entry amendments (from the Closing Loopholes Act).</w:t>
      </w:r>
    </w:p>
    <w:p w14:paraId="35FE1D87" w14:textId="77777777" w:rsidR="00D82BD0" w:rsidRPr="00167CB8" w:rsidRDefault="00D82BD0" w:rsidP="00D82BD0">
      <w:r w:rsidRPr="00167CB8">
        <w:t xml:space="preserve">The Review Panel acknowledges that, in some cases where new data is sought, it may not be possible to make historical comparisons. </w:t>
      </w:r>
      <w:r>
        <w:t xml:space="preserve">This makes the ‘before-and-after’ story difficult to tell. But </w:t>
      </w:r>
      <w:r w:rsidRPr="00167CB8">
        <w:t xml:space="preserve">sufficient time </w:t>
      </w:r>
      <w:r>
        <w:t xml:space="preserve">must be allowed </w:t>
      </w:r>
      <w:r w:rsidRPr="00167CB8">
        <w:t>for data to be collected and for the amendments to play out</w:t>
      </w:r>
      <w:r>
        <w:t>. T</w:t>
      </w:r>
      <w:r w:rsidRPr="00167CB8">
        <w:t>he Review Panel</w:t>
      </w:r>
      <w:r>
        <w:t xml:space="preserve"> therefore</w:t>
      </w:r>
      <w:r w:rsidRPr="00167CB8">
        <w:t xml:space="preserve"> considers a subsequent review should occur in </w:t>
      </w:r>
      <w:r>
        <w:t>two to three</w:t>
      </w:r>
      <w:r w:rsidRPr="00167CB8">
        <w:t xml:space="preserve"> years</w:t>
      </w:r>
      <w:r>
        <w:t>.</w:t>
      </w:r>
    </w:p>
    <w:p w14:paraId="70BF8B99" w14:textId="497D6010" w:rsidR="00D82BD0" w:rsidRPr="00167CB8" w:rsidRDefault="00D82BD0" w:rsidP="00D82BD0">
      <w:pPr>
        <w:rPr>
          <w:b/>
          <w:bCs/>
        </w:rPr>
      </w:pPr>
      <w:r w:rsidRPr="00167CB8">
        <w:rPr>
          <w:b/>
          <w:bCs/>
        </w:rPr>
        <w:t xml:space="preserve">Recommendation 1: The Australian Government should undertake a further review into </w:t>
      </w:r>
      <w:r w:rsidR="00FF122F">
        <w:rPr>
          <w:b/>
          <w:bCs/>
        </w:rPr>
        <w:t xml:space="preserve">the </w:t>
      </w:r>
      <w:r w:rsidRPr="00167CB8">
        <w:rPr>
          <w:b/>
          <w:bCs/>
        </w:rPr>
        <w:t xml:space="preserve">operation of the </w:t>
      </w:r>
      <w:r w:rsidRPr="00167CB8">
        <w:rPr>
          <w:b/>
          <w:bCs/>
          <w:i/>
          <w:iCs/>
        </w:rPr>
        <w:t>Fair Work Legislation Amendment (Secure Jobs, Better Pay) Act 2022</w:t>
      </w:r>
      <w:r w:rsidRPr="00167CB8">
        <w:rPr>
          <w:b/>
          <w:bCs/>
        </w:rPr>
        <w:t xml:space="preserve"> in </w:t>
      </w:r>
      <w:r>
        <w:rPr>
          <w:b/>
          <w:bCs/>
        </w:rPr>
        <w:t>two</w:t>
      </w:r>
      <w:r w:rsidRPr="00167CB8">
        <w:rPr>
          <w:b/>
          <w:bCs/>
        </w:rPr>
        <w:t xml:space="preserve"> to </w:t>
      </w:r>
      <w:r>
        <w:rPr>
          <w:b/>
          <w:bCs/>
        </w:rPr>
        <w:t>three</w:t>
      </w:r>
      <w:r w:rsidRPr="00167CB8">
        <w:rPr>
          <w:b/>
          <w:bCs/>
        </w:rPr>
        <w:t xml:space="preserve"> years</w:t>
      </w:r>
      <w:r>
        <w:rPr>
          <w:b/>
          <w:bCs/>
        </w:rPr>
        <w:t>.</w:t>
      </w:r>
      <w:r w:rsidRPr="00167CB8">
        <w:rPr>
          <w:b/>
          <w:bCs/>
        </w:rPr>
        <w:t xml:space="preserve"> The </w:t>
      </w:r>
      <w:r w:rsidR="00FF122F">
        <w:rPr>
          <w:b/>
          <w:bCs/>
        </w:rPr>
        <w:t>g</w:t>
      </w:r>
      <w:r w:rsidRPr="00167CB8">
        <w:rPr>
          <w:b/>
          <w:bCs/>
        </w:rPr>
        <w:t>overnment should consult with stakeholders to determine the most appropriate timeframe</w:t>
      </w:r>
      <w:r>
        <w:rPr>
          <w:b/>
          <w:bCs/>
        </w:rPr>
        <w:t xml:space="preserve">, </w:t>
      </w:r>
      <w:r w:rsidRPr="000759AC">
        <w:rPr>
          <w:b/>
        </w:rPr>
        <w:t>research and data requirements,</w:t>
      </w:r>
      <w:r w:rsidRPr="00167CB8">
        <w:rPr>
          <w:b/>
          <w:bCs/>
        </w:rPr>
        <w:t xml:space="preserve"> </w:t>
      </w:r>
      <w:r w:rsidRPr="00626A5E">
        <w:rPr>
          <w:b/>
        </w:rPr>
        <w:t>and terms of reference</w:t>
      </w:r>
      <w:r>
        <w:rPr>
          <w:b/>
          <w:bCs/>
        </w:rPr>
        <w:t xml:space="preserve"> </w:t>
      </w:r>
      <w:r w:rsidRPr="00167CB8">
        <w:rPr>
          <w:b/>
          <w:bCs/>
        </w:rPr>
        <w:t>for a further review.</w:t>
      </w:r>
    </w:p>
    <w:p w14:paraId="7F5B5853" w14:textId="77777777" w:rsidR="00D82BD0" w:rsidRPr="00167CB8" w:rsidRDefault="00D82BD0" w:rsidP="00453447">
      <w:pPr>
        <w:pStyle w:val="Heading5"/>
      </w:pPr>
      <w:r w:rsidRPr="00167CB8">
        <w:t>1.3.6 The structure of the report</w:t>
      </w:r>
    </w:p>
    <w:p w14:paraId="6E587025" w14:textId="77777777" w:rsidR="00D82BD0" w:rsidRPr="00167CB8" w:rsidRDefault="00D82BD0" w:rsidP="00D82BD0">
      <w:r w:rsidRPr="396ABCA7">
        <w:t xml:space="preserve">The Review Panel identified </w:t>
      </w:r>
      <w:r>
        <w:t>four</w:t>
      </w:r>
      <w:r w:rsidRPr="396ABCA7">
        <w:t xml:space="preserve"> key aspirations of the Australian Government’s Secure Jobs, Better Pay reforms:</w:t>
      </w:r>
    </w:p>
    <w:p w14:paraId="51D32F5B" w14:textId="77777777" w:rsidR="00D82BD0" w:rsidRPr="00FF122F" w:rsidRDefault="00D82BD0" w:rsidP="00653808">
      <w:pPr>
        <w:pStyle w:val="ListBullet"/>
        <w:numPr>
          <w:ilvl w:val="0"/>
          <w:numId w:val="1"/>
        </w:numPr>
        <w:ind w:left="284" w:hanging="284"/>
      </w:pPr>
      <w:r w:rsidRPr="00FF122F">
        <w:t>Integrating institutions</w:t>
      </w:r>
    </w:p>
    <w:p w14:paraId="2DCC8FE6" w14:textId="77777777" w:rsidR="00D82BD0" w:rsidRPr="00FF122F" w:rsidRDefault="00D82BD0" w:rsidP="00653808">
      <w:pPr>
        <w:pStyle w:val="ListBullet"/>
        <w:numPr>
          <w:ilvl w:val="0"/>
          <w:numId w:val="1"/>
        </w:numPr>
        <w:ind w:left="284" w:hanging="284"/>
      </w:pPr>
      <w:r w:rsidRPr="00FF122F">
        <w:t>Advancing wages</w:t>
      </w:r>
    </w:p>
    <w:p w14:paraId="1BB93C3B" w14:textId="77777777" w:rsidR="00D82BD0" w:rsidRPr="00FF122F" w:rsidRDefault="00D82BD0" w:rsidP="00653808">
      <w:pPr>
        <w:pStyle w:val="ListBullet"/>
        <w:numPr>
          <w:ilvl w:val="0"/>
          <w:numId w:val="1"/>
        </w:numPr>
        <w:ind w:left="284" w:hanging="284"/>
      </w:pPr>
      <w:r w:rsidRPr="00FF122F">
        <w:t>Closing the gender pay gap and improving gender equality</w:t>
      </w:r>
    </w:p>
    <w:p w14:paraId="2C485676" w14:textId="77777777" w:rsidR="00D82BD0" w:rsidRPr="00FF122F" w:rsidRDefault="00D82BD0" w:rsidP="00653808">
      <w:pPr>
        <w:pStyle w:val="ListBullet"/>
        <w:numPr>
          <w:ilvl w:val="0"/>
          <w:numId w:val="1"/>
        </w:numPr>
        <w:ind w:left="284" w:hanging="284"/>
      </w:pPr>
      <w:r w:rsidRPr="00FF122F">
        <w:t>Improving job security.</w:t>
      </w:r>
    </w:p>
    <w:p w14:paraId="6E29BB17" w14:textId="143F3588" w:rsidR="00D82BD0" w:rsidRPr="00167CB8" w:rsidRDefault="00D82BD0" w:rsidP="00653808">
      <w:r>
        <w:lastRenderedPageBreak/>
        <w:t xml:space="preserve">These are </w:t>
      </w:r>
      <w:r w:rsidRPr="000759AC">
        <w:t>addressed across four parts of the report</w:t>
      </w:r>
      <w:r w:rsidR="003F65BB">
        <w:t xml:space="preserve">, which have </w:t>
      </w:r>
      <w:r w:rsidR="00D06513">
        <w:t>introductory chapters</w:t>
      </w:r>
      <w:r w:rsidR="00653808">
        <w:t xml:space="preserve"> </w:t>
      </w:r>
      <w:r w:rsidRPr="00167CB8">
        <w:t>focusing on the main themes.</w:t>
      </w:r>
    </w:p>
    <w:p w14:paraId="31BE1503" w14:textId="55C4F87E" w:rsidR="00D82BD0" w:rsidRPr="00167CB8" w:rsidRDefault="00D82BD0" w:rsidP="00185C1B">
      <w:r w:rsidRPr="00167CB8">
        <w:t>To ensure consistency, each chapter</w:t>
      </w:r>
      <w:r w:rsidRPr="00167CB8" w:rsidDel="008D7126">
        <w:t xml:space="preserve"> </w:t>
      </w:r>
      <w:r>
        <w:t xml:space="preserve">on specific amendments begins with the amendments themselves and then identifies the intent behind them. The data and analysis that follows </w:t>
      </w:r>
      <w:r w:rsidRPr="00167CB8">
        <w:t xml:space="preserve">is divided into </w:t>
      </w:r>
      <w:r>
        <w:t>three</w:t>
      </w:r>
      <w:r w:rsidRPr="00167CB8">
        <w:t xml:space="preserve"> </w:t>
      </w:r>
      <w:r w:rsidRPr="00FF122F">
        <w:t>sections:</w:t>
      </w:r>
      <w:r w:rsidRPr="00167CB8">
        <w:t xml:space="preserve"> one addressing quantitative data, another focusing on qualitative data (including case studies and decisions), and a third presenting insights from stakeholders and submissions. If no quantitative or qualitative data is available, this will be noted.</w:t>
      </w:r>
      <w:r>
        <w:t xml:space="preserve"> Each chapter concludes with the key findings and any recommendations.</w:t>
      </w:r>
      <w:bookmarkEnd w:id="11"/>
    </w:p>
    <w:p w14:paraId="6438D593" w14:textId="77777777" w:rsidR="00D82BD0" w:rsidRPr="00167CB8" w:rsidRDefault="00D82BD0" w:rsidP="005C750B">
      <w:r w:rsidRPr="00167CB8">
        <w:br w:type="page"/>
      </w:r>
    </w:p>
    <w:p w14:paraId="73665F29" w14:textId="1E0B0F8D" w:rsidR="00D82BD0" w:rsidRPr="00167CB8" w:rsidRDefault="00D82BD0" w:rsidP="00D82BD0">
      <w:pPr>
        <w:pStyle w:val="Heading3"/>
      </w:pPr>
      <w:bookmarkStart w:id="23" w:name="_Toc188277903"/>
      <w:bookmarkStart w:id="24" w:name="_Toc189260196"/>
      <w:bookmarkStart w:id="25" w:name="_Toc189393512"/>
      <w:bookmarkStart w:id="26" w:name="_Toc194311407"/>
      <w:r w:rsidRPr="00167CB8">
        <w:lastRenderedPageBreak/>
        <w:t xml:space="preserve">Chapter </w:t>
      </w:r>
      <w:r w:rsidRPr="00167CB8" w:rsidDel="007B2AFD">
        <w:t>2</w:t>
      </w:r>
      <w:r w:rsidRPr="00167CB8">
        <w:t xml:space="preserve">. </w:t>
      </w:r>
      <w:bookmarkEnd w:id="23"/>
      <w:bookmarkEnd w:id="24"/>
      <w:bookmarkEnd w:id="25"/>
      <w:r>
        <w:t>R</w:t>
      </w:r>
      <w:r w:rsidRPr="00167CB8">
        <w:t>ecommendations</w:t>
      </w:r>
      <w:bookmarkEnd w:id="26"/>
    </w:p>
    <w:p w14:paraId="395DA447" w14:textId="4337EE33" w:rsidR="00D82BD0" w:rsidRPr="00167CB8" w:rsidRDefault="00D82BD0" w:rsidP="00D82BD0">
      <w:r w:rsidRPr="396ABCA7">
        <w:rPr>
          <w:b/>
          <w:bCs/>
        </w:rPr>
        <w:t xml:space="preserve">Recommendation 1: </w:t>
      </w:r>
      <w:r w:rsidRPr="396ABCA7">
        <w:t xml:space="preserve">The Australian Government should undertake a further review into </w:t>
      </w:r>
      <w:r w:rsidR="00B765BA">
        <w:t>the</w:t>
      </w:r>
      <w:r w:rsidRPr="396ABCA7">
        <w:t xml:space="preserve"> operation of the </w:t>
      </w:r>
      <w:r w:rsidRPr="396ABCA7">
        <w:rPr>
          <w:i/>
          <w:iCs/>
        </w:rPr>
        <w:t>Fair Work Legislation Amendment (Secure Jobs, Better Pay) Act 2022</w:t>
      </w:r>
      <w:r w:rsidRPr="396ABCA7">
        <w:t xml:space="preserve"> in </w:t>
      </w:r>
      <w:r>
        <w:t>two</w:t>
      </w:r>
      <w:r w:rsidRPr="396ABCA7">
        <w:t xml:space="preserve"> to </w:t>
      </w:r>
      <w:r>
        <w:t>three</w:t>
      </w:r>
      <w:r w:rsidRPr="396ABCA7">
        <w:t xml:space="preserve"> years. The </w:t>
      </w:r>
      <w:r w:rsidR="00E231F5">
        <w:t>g</w:t>
      </w:r>
      <w:r w:rsidRPr="396ABCA7">
        <w:t>overnment should consult with stakeholders to determine the most appropriate timeframe</w:t>
      </w:r>
      <w:r>
        <w:t xml:space="preserve">, </w:t>
      </w:r>
      <w:r w:rsidRPr="006C29F2">
        <w:t>research and data requirements, and terms of reference</w:t>
      </w:r>
      <w:r>
        <w:t xml:space="preserve"> </w:t>
      </w:r>
      <w:r w:rsidRPr="396ABCA7">
        <w:t>for a further review.</w:t>
      </w:r>
    </w:p>
    <w:p w14:paraId="5873FF59" w14:textId="5C56F0F1" w:rsidR="00D82BD0" w:rsidRPr="00453447" w:rsidRDefault="00D82BD0" w:rsidP="005C750B">
      <w:pPr>
        <w:pStyle w:val="Heading4"/>
      </w:pPr>
      <w:r w:rsidRPr="00453447">
        <w:t xml:space="preserve">Part 1 </w:t>
      </w:r>
      <w:r w:rsidR="00185C1B" w:rsidRPr="00453447">
        <w:rPr>
          <w:rFonts w:ascii="Symbol" w:eastAsia="Symbol" w:hAnsi="Symbol" w:cs="Symbol"/>
        </w:rPr>
        <w:sym w:font="Symbol" w:char="F02D"/>
      </w:r>
      <w:r w:rsidRPr="00453447">
        <w:t xml:space="preserve"> Institutions</w:t>
      </w:r>
    </w:p>
    <w:p w14:paraId="765ED6D7" w14:textId="01D5ED63" w:rsidR="0011475D" w:rsidRDefault="00D82BD0" w:rsidP="00D82BD0">
      <w:r w:rsidRPr="00167CB8">
        <w:rPr>
          <w:b/>
          <w:bCs/>
        </w:rPr>
        <w:t>Recommendation 2:</w:t>
      </w:r>
      <w:r w:rsidRPr="00167CB8">
        <w:t xml:space="preserve"> The</w:t>
      </w:r>
      <w:r>
        <w:t xml:space="preserve"> </w:t>
      </w:r>
      <w:r w:rsidRPr="00167CB8">
        <w:t xml:space="preserve">National Construction Industry Forum </w:t>
      </w:r>
      <w:r w:rsidR="00E231F5">
        <w:t xml:space="preserve">should </w:t>
      </w:r>
      <w:r w:rsidRPr="00167CB8">
        <w:t>continue its work developing and implementing the Building and Construction Industry sector Blueprint to bring cultural change to the industry.</w:t>
      </w:r>
    </w:p>
    <w:p w14:paraId="4CD762A3" w14:textId="4DCEB22B" w:rsidR="0011475D" w:rsidRDefault="00D82BD0" w:rsidP="00D82BD0">
      <w:r w:rsidRPr="396ABCA7">
        <w:rPr>
          <w:b/>
          <w:bCs/>
        </w:rPr>
        <w:t>Recommendation 3:</w:t>
      </w:r>
      <w:r w:rsidRPr="396ABCA7">
        <w:t xml:space="preserve">  The Australian Government </w:t>
      </w:r>
      <w:r w:rsidR="00E231F5">
        <w:t xml:space="preserve">should </w:t>
      </w:r>
      <w:r w:rsidRPr="396ABCA7">
        <w:t xml:space="preserve">consider utilising the </w:t>
      </w:r>
      <w:r w:rsidR="00E231F5" w:rsidRPr="00167CB8">
        <w:t xml:space="preserve">National Construction Industry Forum </w:t>
      </w:r>
      <w:r w:rsidRPr="396ABCA7">
        <w:t>as a model tripartite forum to advise the Australian Government on other industries.</w:t>
      </w:r>
    </w:p>
    <w:p w14:paraId="3A01B25D" w14:textId="0E8BD9C6" w:rsidR="00D82BD0" w:rsidRPr="00167CB8" w:rsidRDefault="00D82BD0" w:rsidP="00D82BD0">
      <w:pPr>
        <w:rPr>
          <w:bCs/>
          <w:color w:val="FF0000"/>
        </w:rPr>
      </w:pPr>
      <w:r w:rsidRPr="00167CB8">
        <w:rPr>
          <w:b/>
        </w:rPr>
        <w:t>Recommendation 4:</w:t>
      </w:r>
      <w:r w:rsidRPr="00167CB8">
        <w:rPr>
          <w:bCs/>
        </w:rPr>
        <w:t xml:space="preserve"> The Australian Government </w:t>
      </w:r>
      <w:r w:rsidR="00E231F5">
        <w:rPr>
          <w:bCs/>
        </w:rPr>
        <w:t xml:space="preserve">should </w:t>
      </w:r>
      <w:r w:rsidRPr="00167CB8">
        <w:rPr>
          <w:bCs/>
        </w:rPr>
        <w:t>consult, including with the General Manager of the Fair Work Commission, to consider whether penalty amounts</w:t>
      </w:r>
      <w:r w:rsidRPr="00167CB8" w:rsidDel="00FA542E">
        <w:rPr>
          <w:bCs/>
        </w:rPr>
        <w:t xml:space="preserve"> </w:t>
      </w:r>
      <w:r w:rsidRPr="00167CB8">
        <w:rPr>
          <w:bCs/>
        </w:rPr>
        <w:t xml:space="preserve">payable under </w:t>
      </w:r>
      <w:r w:rsidR="00E231F5">
        <w:rPr>
          <w:bCs/>
        </w:rPr>
        <w:t>i</w:t>
      </w:r>
      <w:r w:rsidRPr="00167CB8">
        <w:rPr>
          <w:bCs/>
        </w:rPr>
        <w:t xml:space="preserve">nfringement </w:t>
      </w:r>
      <w:r w:rsidR="00E231F5">
        <w:rPr>
          <w:bCs/>
        </w:rPr>
        <w:t>n</w:t>
      </w:r>
      <w:r w:rsidRPr="00167CB8">
        <w:rPr>
          <w:bCs/>
        </w:rPr>
        <w:t xml:space="preserve">otices are proportionate to the contraventions that are subject to an </w:t>
      </w:r>
      <w:r w:rsidR="00E231F5">
        <w:rPr>
          <w:bCs/>
        </w:rPr>
        <w:t>i</w:t>
      </w:r>
      <w:r w:rsidRPr="00167CB8">
        <w:rPr>
          <w:bCs/>
        </w:rPr>
        <w:t xml:space="preserve">nfringement </w:t>
      </w:r>
      <w:r w:rsidR="00E231F5">
        <w:rPr>
          <w:bCs/>
        </w:rPr>
        <w:t>n</w:t>
      </w:r>
      <w:r w:rsidRPr="00167CB8">
        <w:rPr>
          <w:bCs/>
        </w:rPr>
        <w:t xml:space="preserve">otice under the </w:t>
      </w:r>
      <w:r w:rsidRPr="00167CB8">
        <w:rPr>
          <w:bCs/>
          <w:i/>
          <w:iCs/>
        </w:rPr>
        <w:t>Fair Work (Registered Organisations) Act 2009</w:t>
      </w:r>
      <w:r w:rsidRPr="00167CB8">
        <w:rPr>
          <w:bCs/>
        </w:rPr>
        <w:t>.</w:t>
      </w:r>
    </w:p>
    <w:p w14:paraId="6E247BCA" w14:textId="223766D3" w:rsidR="00D82BD0" w:rsidRPr="00C435CF" w:rsidRDefault="00D82BD0" w:rsidP="005C750B">
      <w:pPr>
        <w:pStyle w:val="Heading4"/>
      </w:pPr>
      <w:r>
        <w:t xml:space="preserve">Part 2 </w:t>
      </w:r>
      <w:r w:rsidR="00185C1B">
        <w:rPr>
          <w:rFonts w:ascii="Symbol" w:eastAsia="Symbol" w:hAnsi="Symbol" w:cs="Symbol"/>
        </w:rPr>
        <w:sym w:font="Symbol" w:char="F02D"/>
      </w:r>
      <w:r>
        <w:t xml:space="preserve"> </w:t>
      </w:r>
      <w:r w:rsidRPr="00C435CF">
        <w:t>Bargaining and agreements</w:t>
      </w:r>
    </w:p>
    <w:p w14:paraId="082CC281" w14:textId="64071873" w:rsidR="0011475D" w:rsidRDefault="00D82BD0" w:rsidP="00D82BD0">
      <w:pPr>
        <w:rPr>
          <w:b/>
          <w:bCs/>
        </w:rPr>
      </w:pPr>
      <w:r w:rsidRPr="006C29F2">
        <w:rPr>
          <w:b/>
        </w:rPr>
        <w:t>Recommendation 5:</w:t>
      </w:r>
      <w:r w:rsidRPr="006C29F2">
        <w:t xml:space="preserve"> </w:t>
      </w:r>
      <w:r w:rsidRPr="007B3049">
        <w:t>The</w:t>
      </w:r>
      <w:r w:rsidRPr="007B3049" w:rsidDel="00E47E83">
        <w:t xml:space="preserve"> </w:t>
      </w:r>
      <w:r w:rsidR="00E47E83">
        <w:t xml:space="preserve">Fair Work Commission </w:t>
      </w:r>
      <w:r w:rsidRPr="007B3049">
        <w:t xml:space="preserve">should publish guidance and education materials to assist </w:t>
      </w:r>
      <w:r w:rsidRPr="00853486">
        <w:t xml:space="preserve">employers and </w:t>
      </w:r>
      <w:r w:rsidRPr="007B3049">
        <w:t xml:space="preserve">bargaining representatives </w:t>
      </w:r>
      <w:r w:rsidRPr="00853486">
        <w:t xml:space="preserve">of employees </w:t>
      </w:r>
      <w:r w:rsidRPr="007B3049">
        <w:t xml:space="preserve">to understand their obligations in relation to a request to bargain under s 173(2A) of the </w:t>
      </w:r>
      <w:r w:rsidRPr="0009196B">
        <w:rPr>
          <w:i/>
        </w:rPr>
        <w:t>Fair Work Act</w:t>
      </w:r>
      <w:r w:rsidR="00E47E83" w:rsidRPr="0009196B">
        <w:rPr>
          <w:i/>
        </w:rPr>
        <w:t xml:space="preserve"> 2009</w:t>
      </w:r>
      <w:r w:rsidR="00E47E83">
        <w:t xml:space="preserve"> (Cth)</w:t>
      </w:r>
      <w:r w:rsidRPr="00853486">
        <w:t>.</w:t>
      </w:r>
    </w:p>
    <w:p w14:paraId="122B8BA9" w14:textId="5D48725C" w:rsidR="00D82BD0" w:rsidRDefault="00D82BD0" w:rsidP="00D82BD0">
      <w:pPr>
        <w:rPr>
          <w:b/>
          <w:bCs/>
        </w:rPr>
      </w:pPr>
      <w:r w:rsidRPr="006C29F2">
        <w:rPr>
          <w:b/>
        </w:rPr>
        <w:t xml:space="preserve">Recommendation </w:t>
      </w:r>
      <w:r w:rsidRPr="00E47E83">
        <w:rPr>
          <w:b/>
        </w:rPr>
        <w:t xml:space="preserve">6: </w:t>
      </w:r>
      <w:r w:rsidRPr="00E47E83">
        <w:t>The Fair Work Act</w:t>
      </w:r>
      <w:r w:rsidRPr="00813FA6">
        <w:rPr>
          <w:i/>
        </w:rPr>
        <w:t xml:space="preserve"> </w:t>
      </w:r>
      <w:r w:rsidRPr="006C29F2">
        <w:t xml:space="preserve">should be amended to rectify the technical issue with undertakings identified by the </w:t>
      </w:r>
      <w:r w:rsidR="00E47E83">
        <w:t xml:space="preserve">Fair Work Commission </w:t>
      </w:r>
      <w:r w:rsidRPr="006C29F2">
        <w:t xml:space="preserve">in </w:t>
      </w:r>
      <w:r w:rsidRPr="006C29F2">
        <w:rPr>
          <w:i/>
        </w:rPr>
        <w:t>Application by Nest Employee Services Pty Ltd T/A Nido Early School</w:t>
      </w:r>
      <w:r w:rsidRPr="006C29F2">
        <w:t xml:space="preserve"> [2025] FWCA 282.</w:t>
      </w:r>
    </w:p>
    <w:p w14:paraId="2B9983B3" w14:textId="5808E678" w:rsidR="00D82BD0" w:rsidRPr="00167CB8" w:rsidRDefault="00D82BD0" w:rsidP="00D82BD0">
      <w:r w:rsidRPr="00167CB8">
        <w:rPr>
          <w:b/>
          <w:bCs/>
        </w:rPr>
        <w:t xml:space="preserve">Recommendation </w:t>
      </w:r>
      <w:r>
        <w:rPr>
          <w:b/>
          <w:bCs/>
        </w:rPr>
        <w:t>7</w:t>
      </w:r>
      <w:r w:rsidRPr="00167CB8">
        <w:rPr>
          <w:b/>
          <w:bCs/>
        </w:rPr>
        <w:t>:</w:t>
      </w:r>
      <w:r w:rsidRPr="00167CB8">
        <w:t xml:space="preserve"> The mandatory conference in s 448A of the Fair Work Act should be amended to provide the </w:t>
      </w:r>
      <w:r w:rsidR="00E47E83">
        <w:t>Fair Work Commission</w:t>
      </w:r>
      <w:r w:rsidR="00E47E83" w:rsidRPr="00167CB8">
        <w:t xml:space="preserve"> </w:t>
      </w:r>
      <w:r w:rsidRPr="00167CB8">
        <w:t>with the discretion not to conduct a conference if there is agreement of relevant bargaining representatives.</w:t>
      </w:r>
    </w:p>
    <w:p w14:paraId="6DBAD936" w14:textId="3C4F9652" w:rsidR="0011475D" w:rsidRDefault="00D82BD0" w:rsidP="00D82BD0">
      <w:pPr>
        <w:rPr>
          <w:b/>
        </w:rPr>
      </w:pPr>
      <w:r w:rsidRPr="00167CB8">
        <w:rPr>
          <w:b/>
          <w:bCs/>
        </w:rPr>
        <w:t xml:space="preserve">Recommendation </w:t>
      </w:r>
      <w:r>
        <w:rPr>
          <w:b/>
          <w:bCs/>
        </w:rPr>
        <w:t>8</w:t>
      </w:r>
      <w:r w:rsidRPr="00167CB8">
        <w:rPr>
          <w:b/>
          <w:bCs/>
        </w:rPr>
        <w:t>:</w:t>
      </w:r>
      <w:r w:rsidRPr="00167CB8">
        <w:t xml:space="preserve"> The Australian Government </w:t>
      </w:r>
      <w:r w:rsidR="00E47E83">
        <w:t xml:space="preserve">should </w:t>
      </w:r>
      <w:r w:rsidRPr="00167CB8">
        <w:t xml:space="preserve">amend the Fair Work Act to ensure the </w:t>
      </w:r>
      <w:r>
        <w:t>S</w:t>
      </w:r>
      <w:r w:rsidRPr="00167CB8">
        <w:t xml:space="preserve">tatement of </w:t>
      </w:r>
      <w:r>
        <w:t>P</w:t>
      </w:r>
      <w:r w:rsidRPr="00167CB8">
        <w:t xml:space="preserve">rinciples on </w:t>
      </w:r>
      <w:r>
        <w:t>G</w:t>
      </w:r>
      <w:r w:rsidRPr="00167CB8">
        <w:t xml:space="preserve">enuine </w:t>
      </w:r>
      <w:r>
        <w:t>A</w:t>
      </w:r>
      <w:r w:rsidRPr="00167CB8">
        <w:t xml:space="preserve">greement is a </w:t>
      </w:r>
      <w:r w:rsidRPr="00F458B5">
        <w:t xml:space="preserve">more </w:t>
      </w:r>
      <w:r w:rsidRPr="00167CB8">
        <w:t xml:space="preserve">complete statement of the </w:t>
      </w:r>
      <w:r w:rsidRPr="00F458B5">
        <w:t xml:space="preserve">procedural </w:t>
      </w:r>
      <w:r w:rsidRPr="00167CB8">
        <w:t xml:space="preserve">matters </w:t>
      </w:r>
      <w:r>
        <w:t>the</w:t>
      </w:r>
      <w:r w:rsidRPr="00167CB8">
        <w:t xml:space="preserve"> </w:t>
      </w:r>
      <w:r w:rsidR="00E47E83">
        <w:t>Fair Work Commission</w:t>
      </w:r>
      <w:r w:rsidR="00E47E83" w:rsidRPr="00167CB8">
        <w:t xml:space="preserve"> </w:t>
      </w:r>
      <w:r w:rsidRPr="00167CB8">
        <w:t>must consider in relation to whether a proposed enterprise agreement has been genuinely agreed.</w:t>
      </w:r>
    </w:p>
    <w:p w14:paraId="279B4D23" w14:textId="51FB2293" w:rsidR="00D82BD0" w:rsidRPr="00167CB8" w:rsidRDefault="00D82BD0" w:rsidP="00D82BD0">
      <w:r w:rsidRPr="396ABCA7">
        <w:rPr>
          <w:b/>
          <w:bCs/>
        </w:rPr>
        <w:t xml:space="preserve">Recommendation </w:t>
      </w:r>
      <w:r>
        <w:rPr>
          <w:b/>
          <w:bCs/>
        </w:rPr>
        <w:t>9</w:t>
      </w:r>
      <w:r w:rsidRPr="396ABCA7">
        <w:rPr>
          <w:b/>
          <w:bCs/>
        </w:rPr>
        <w:t>:</w:t>
      </w:r>
      <w:r w:rsidRPr="396ABCA7">
        <w:t xml:space="preserve"> The</w:t>
      </w:r>
      <w:r w:rsidRPr="396ABCA7" w:rsidDel="00E47E83">
        <w:t xml:space="preserve"> </w:t>
      </w:r>
      <w:r w:rsidR="00E47E83">
        <w:t xml:space="preserve">Fair Work Commission should </w:t>
      </w:r>
      <w:r w:rsidRPr="396ABCA7">
        <w:t>regularly engage with its Enterprise Agreements and Bargaining Advisory Group to consider and advise on the operation of the Statement of Principles o</w:t>
      </w:r>
      <w:r w:rsidR="00FE05EA">
        <w:t>n</w:t>
      </w:r>
      <w:r w:rsidRPr="396ABCA7">
        <w:t xml:space="preserve"> Genuine Agreement to ensure it is operating appropriately and effectively.</w:t>
      </w:r>
    </w:p>
    <w:p w14:paraId="0BEAFB14" w14:textId="0B7DB683" w:rsidR="00D82BD0" w:rsidRPr="00C435CF" w:rsidRDefault="00D82BD0" w:rsidP="005C750B">
      <w:pPr>
        <w:pStyle w:val="Heading4"/>
      </w:pPr>
      <w:r>
        <w:t xml:space="preserve">Part 3 </w:t>
      </w:r>
      <w:r w:rsidR="00185C1B">
        <w:rPr>
          <w:rFonts w:ascii="Symbol" w:eastAsia="Symbol" w:hAnsi="Symbol" w:cs="Symbol"/>
        </w:rPr>
        <w:sym w:font="Symbol" w:char="F02D"/>
      </w:r>
      <w:r>
        <w:t xml:space="preserve"> </w:t>
      </w:r>
      <w:r w:rsidRPr="00C435CF">
        <w:t>Job security and gender equality</w:t>
      </w:r>
    </w:p>
    <w:p w14:paraId="50AEED0E" w14:textId="33E7DCC2" w:rsidR="00D82BD0" w:rsidRPr="00167CB8" w:rsidRDefault="00D82BD0" w:rsidP="00D82BD0">
      <w:pPr>
        <w:rPr>
          <w:rStyle w:val="Emphasis"/>
          <w:i w:val="0"/>
          <w:iCs w:val="0"/>
        </w:rPr>
      </w:pPr>
      <w:r w:rsidRPr="396ABCA7">
        <w:rPr>
          <w:rStyle w:val="Emphasis"/>
          <w:b/>
          <w:bCs/>
          <w:i w:val="0"/>
          <w:iCs w:val="0"/>
        </w:rPr>
        <w:t xml:space="preserve">Recommendation </w:t>
      </w:r>
      <w:r>
        <w:rPr>
          <w:rStyle w:val="Emphasis"/>
          <w:b/>
          <w:bCs/>
          <w:i w:val="0"/>
          <w:iCs w:val="0"/>
        </w:rPr>
        <w:t>10</w:t>
      </w:r>
      <w:r w:rsidRPr="396ABCA7">
        <w:rPr>
          <w:rStyle w:val="Emphasis"/>
          <w:b/>
          <w:bCs/>
          <w:i w:val="0"/>
          <w:iCs w:val="0"/>
        </w:rPr>
        <w:t>:</w:t>
      </w:r>
      <w:r w:rsidRPr="396ABCA7">
        <w:rPr>
          <w:rStyle w:val="Emphasis"/>
          <w:i w:val="0"/>
          <w:iCs w:val="0"/>
        </w:rPr>
        <w:t xml:space="preserve"> The Review Panel encourages the </w:t>
      </w:r>
      <w:r w:rsidR="00E47E83">
        <w:rPr>
          <w:rStyle w:val="Emphasis"/>
          <w:i w:val="0"/>
          <w:iCs w:val="0"/>
        </w:rPr>
        <w:t xml:space="preserve">Fair Work Commission </w:t>
      </w:r>
      <w:r w:rsidRPr="396ABCA7">
        <w:rPr>
          <w:rStyle w:val="Emphasis"/>
          <w:i w:val="0"/>
          <w:iCs w:val="0"/>
        </w:rPr>
        <w:t xml:space="preserve">to continue its program of work to advance gender equality, particularly by addressing the low pay in other </w:t>
      </w:r>
      <w:r w:rsidRPr="396ABCA7">
        <w:rPr>
          <w:rStyle w:val="Emphasis"/>
          <w:i w:val="0"/>
          <w:iCs w:val="0"/>
        </w:rPr>
        <w:lastRenderedPageBreak/>
        <w:t>female</w:t>
      </w:r>
      <w:r w:rsidR="00E47E83">
        <w:rPr>
          <w:rStyle w:val="Emphasis"/>
          <w:i w:val="0"/>
          <w:iCs w:val="0"/>
        </w:rPr>
        <w:t>-</w:t>
      </w:r>
      <w:r w:rsidRPr="396ABCA7">
        <w:rPr>
          <w:rStyle w:val="Emphasis"/>
          <w:i w:val="0"/>
          <w:iCs w:val="0"/>
        </w:rPr>
        <w:t>dominated sectors (beyond care work), and to set out broader principles for identifying and addressing work value and gender undervaluation.</w:t>
      </w:r>
    </w:p>
    <w:p w14:paraId="61C9142A" w14:textId="78A284C2" w:rsidR="00D82BD0" w:rsidRPr="00167CB8" w:rsidRDefault="00D82BD0" w:rsidP="00D82BD0">
      <w:pPr>
        <w:rPr>
          <w:rStyle w:val="Emphasis"/>
          <w:i w:val="0"/>
          <w:iCs w:val="0"/>
        </w:rPr>
      </w:pPr>
      <w:r w:rsidRPr="396ABCA7">
        <w:rPr>
          <w:rStyle w:val="Emphasis"/>
          <w:b/>
          <w:bCs/>
          <w:i w:val="0"/>
          <w:iCs w:val="0"/>
        </w:rPr>
        <w:t>Recommendation 1</w:t>
      </w:r>
      <w:r>
        <w:rPr>
          <w:rStyle w:val="Emphasis"/>
          <w:b/>
          <w:bCs/>
          <w:i w:val="0"/>
          <w:iCs w:val="0"/>
        </w:rPr>
        <w:t>1</w:t>
      </w:r>
      <w:r w:rsidRPr="396ABCA7">
        <w:rPr>
          <w:rStyle w:val="Emphasis"/>
          <w:b/>
          <w:bCs/>
          <w:i w:val="0"/>
          <w:iCs w:val="0"/>
        </w:rPr>
        <w:t xml:space="preserve">: </w:t>
      </w:r>
      <w:r w:rsidRPr="396ABCA7">
        <w:rPr>
          <w:rStyle w:val="Emphasis"/>
          <w:i w:val="0"/>
          <w:iCs w:val="0"/>
        </w:rPr>
        <w:t xml:space="preserve">The </w:t>
      </w:r>
      <w:r w:rsidR="00E47E83">
        <w:rPr>
          <w:rStyle w:val="Emphasis"/>
          <w:i w:val="0"/>
          <w:iCs w:val="0"/>
        </w:rPr>
        <w:t>Fair Work Commission should</w:t>
      </w:r>
      <w:r w:rsidR="00E47E83" w:rsidRPr="396ABCA7">
        <w:rPr>
          <w:rStyle w:val="Emphasis"/>
          <w:i w:val="0"/>
          <w:iCs w:val="0"/>
        </w:rPr>
        <w:t xml:space="preserve"> </w:t>
      </w:r>
      <w:r w:rsidRPr="396ABCA7">
        <w:rPr>
          <w:rStyle w:val="Emphasis"/>
          <w:i w:val="0"/>
          <w:iCs w:val="0"/>
        </w:rPr>
        <w:t>continue to support parties and facilitate proceedings to address gender undervaluation, including through undertaking research and gathering evidence to support future work value proceedings.</w:t>
      </w:r>
    </w:p>
    <w:p w14:paraId="7A17868A" w14:textId="6761CF4B" w:rsidR="00D82BD0" w:rsidRPr="00167CB8" w:rsidRDefault="00D82BD0" w:rsidP="00D82BD0">
      <w:pPr>
        <w:rPr>
          <w:rStyle w:val="Emphasis"/>
          <w:i w:val="0"/>
          <w:iCs w:val="0"/>
        </w:rPr>
      </w:pPr>
      <w:r w:rsidRPr="00167CB8">
        <w:rPr>
          <w:rStyle w:val="Emphasis"/>
          <w:b/>
          <w:bCs/>
          <w:i w:val="0"/>
          <w:iCs w:val="0"/>
        </w:rPr>
        <w:t>Recommendation 1</w:t>
      </w:r>
      <w:r>
        <w:rPr>
          <w:rStyle w:val="Emphasis"/>
          <w:b/>
          <w:bCs/>
          <w:i w:val="0"/>
          <w:iCs w:val="0"/>
        </w:rPr>
        <w:t>2</w:t>
      </w:r>
      <w:r w:rsidRPr="00167CB8">
        <w:rPr>
          <w:rStyle w:val="Emphasis"/>
          <w:b/>
          <w:bCs/>
          <w:i w:val="0"/>
          <w:iCs w:val="0"/>
        </w:rPr>
        <w:t>:</w:t>
      </w:r>
      <w:r w:rsidRPr="00167CB8">
        <w:rPr>
          <w:rStyle w:val="Emphasis"/>
          <w:i w:val="0"/>
          <w:iCs w:val="0"/>
        </w:rPr>
        <w:t xml:space="preserve"> The Australian Government </w:t>
      </w:r>
      <w:r w:rsidR="00E47E83">
        <w:rPr>
          <w:rStyle w:val="Emphasis"/>
          <w:i w:val="0"/>
          <w:iCs w:val="0"/>
        </w:rPr>
        <w:t xml:space="preserve">should </w:t>
      </w:r>
      <w:r w:rsidRPr="00167CB8">
        <w:rPr>
          <w:rStyle w:val="Emphasis"/>
          <w:i w:val="0"/>
          <w:iCs w:val="0"/>
        </w:rPr>
        <w:t xml:space="preserve">take steps to advise the </w:t>
      </w:r>
      <w:r w:rsidR="00E47E83">
        <w:rPr>
          <w:rStyle w:val="Emphasis"/>
          <w:i w:val="0"/>
          <w:iCs w:val="0"/>
        </w:rPr>
        <w:t xml:space="preserve">Fair Work Commission </w:t>
      </w:r>
      <w:r w:rsidRPr="00167CB8">
        <w:rPr>
          <w:rStyle w:val="Emphasis"/>
          <w:i w:val="0"/>
          <w:iCs w:val="0"/>
        </w:rPr>
        <w:t xml:space="preserve">and stakeholders of its position on funding for the outcomes of </w:t>
      </w:r>
      <w:r w:rsidR="00E47E83">
        <w:rPr>
          <w:rStyle w:val="Emphasis"/>
          <w:i w:val="0"/>
          <w:iCs w:val="0"/>
        </w:rPr>
        <w:t xml:space="preserve">Fair Work Commission </w:t>
      </w:r>
      <w:r w:rsidRPr="00167CB8">
        <w:rPr>
          <w:rStyle w:val="Emphasis"/>
          <w:i w:val="0"/>
          <w:iCs w:val="0"/>
        </w:rPr>
        <w:t>reviews to address gender undervaluation at the earliest opportunities.</w:t>
      </w:r>
    </w:p>
    <w:p w14:paraId="739162ED" w14:textId="77777777" w:rsidR="00D82BD0" w:rsidRPr="00167CB8" w:rsidRDefault="00D82BD0" w:rsidP="00D82BD0">
      <w:r w:rsidRPr="006C29F2">
        <w:rPr>
          <w:b/>
        </w:rPr>
        <w:t>Recommendation 1</w:t>
      </w:r>
      <w:r>
        <w:rPr>
          <w:b/>
        </w:rPr>
        <w:t>3</w:t>
      </w:r>
      <w:r w:rsidRPr="006C29F2">
        <w:rPr>
          <w:b/>
        </w:rPr>
        <w:t xml:space="preserve">: </w:t>
      </w:r>
      <w:r w:rsidRPr="006C29F2">
        <w:t>The Australian Government should actively monitor wage-setting practices</w:t>
      </w:r>
      <w:r>
        <w:t>, especially in enterprise agreements,</w:t>
      </w:r>
      <w:r w:rsidRPr="006C29F2">
        <w:t xml:space="preserve"> to ensure that modern award outcomes lead to sustained improvements in gender pay equity.</w:t>
      </w:r>
    </w:p>
    <w:p w14:paraId="3508FBE6" w14:textId="302C5886" w:rsidR="0011475D" w:rsidRDefault="00D82BD0" w:rsidP="00D82BD0">
      <w:pPr>
        <w:rPr>
          <w:rStyle w:val="Emphasis"/>
          <w:i w:val="0"/>
          <w:iCs w:val="0"/>
        </w:rPr>
      </w:pPr>
      <w:r w:rsidRPr="396ABCA7">
        <w:rPr>
          <w:rStyle w:val="Emphasis"/>
          <w:b/>
          <w:bCs/>
          <w:i w:val="0"/>
          <w:iCs w:val="0"/>
        </w:rPr>
        <w:t>Recommendation 1</w:t>
      </w:r>
      <w:r>
        <w:rPr>
          <w:rStyle w:val="Emphasis"/>
          <w:b/>
          <w:bCs/>
          <w:i w:val="0"/>
          <w:iCs w:val="0"/>
        </w:rPr>
        <w:t>4</w:t>
      </w:r>
      <w:r w:rsidRPr="396ABCA7">
        <w:rPr>
          <w:rStyle w:val="Emphasis"/>
          <w:b/>
          <w:bCs/>
          <w:i w:val="0"/>
          <w:iCs w:val="0"/>
        </w:rPr>
        <w:t>:</w:t>
      </w:r>
      <w:r w:rsidRPr="396ABCA7">
        <w:rPr>
          <w:rStyle w:val="Emphasis"/>
          <w:i w:val="0"/>
          <w:iCs w:val="0"/>
        </w:rPr>
        <w:t xml:space="preserve"> The Australian Government </w:t>
      </w:r>
      <w:r w:rsidR="00E47E83">
        <w:rPr>
          <w:rStyle w:val="Emphasis"/>
          <w:i w:val="0"/>
          <w:iCs w:val="0"/>
        </w:rPr>
        <w:t xml:space="preserve">should </w:t>
      </w:r>
      <w:r w:rsidRPr="396ABCA7">
        <w:rPr>
          <w:rStyle w:val="Emphasis"/>
          <w:i w:val="0"/>
          <w:iCs w:val="0"/>
        </w:rPr>
        <w:t>amend the Fair Work Act at s 620(1)(b) to include gender pay equity as an additional area of expertise when appointing Expert Panel Members to the Annual Wage Review Expert Panel.</w:t>
      </w:r>
    </w:p>
    <w:p w14:paraId="5E82D0B8" w14:textId="4C4D3772" w:rsidR="00D82BD0" w:rsidRPr="00167CB8" w:rsidRDefault="00D82BD0" w:rsidP="00D82BD0">
      <w:pPr>
        <w:rPr>
          <w:rStyle w:val="Emphasis"/>
          <w:bCs/>
          <w:i w:val="0"/>
          <w:iCs w:val="0"/>
          <w:lang w:val="en-US"/>
        </w:rPr>
      </w:pPr>
      <w:r w:rsidRPr="00167CB8">
        <w:rPr>
          <w:rStyle w:val="Emphasis"/>
          <w:b/>
          <w:i w:val="0"/>
          <w:iCs w:val="0"/>
          <w:lang w:val="en-US"/>
        </w:rPr>
        <w:t>Recommendation 1</w:t>
      </w:r>
      <w:r>
        <w:rPr>
          <w:rStyle w:val="Emphasis"/>
          <w:b/>
          <w:i w:val="0"/>
          <w:iCs w:val="0"/>
          <w:lang w:val="en-US"/>
        </w:rPr>
        <w:t>5</w:t>
      </w:r>
      <w:r w:rsidRPr="00167CB8">
        <w:rPr>
          <w:rStyle w:val="Emphasis"/>
          <w:b/>
          <w:i w:val="0"/>
          <w:iCs w:val="0"/>
          <w:lang w:val="en-US"/>
        </w:rPr>
        <w:t>:</w:t>
      </w:r>
      <w:r w:rsidRPr="00167CB8">
        <w:rPr>
          <w:rStyle w:val="Emphasis"/>
          <w:bCs/>
          <w:i w:val="0"/>
          <w:iCs w:val="0"/>
          <w:lang w:val="en-US"/>
        </w:rPr>
        <w:t xml:space="preserve"> The Fair Work Act should be amended to provide the </w:t>
      </w:r>
      <w:r w:rsidR="00E47E83">
        <w:rPr>
          <w:rStyle w:val="Emphasis"/>
          <w:bCs/>
          <w:i w:val="0"/>
          <w:iCs w:val="0"/>
          <w:lang w:val="en-US"/>
        </w:rPr>
        <w:t xml:space="preserve">Fair Work Commission </w:t>
      </w:r>
      <w:r w:rsidRPr="00167CB8">
        <w:rPr>
          <w:rStyle w:val="Emphasis"/>
          <w:bCs/>
          <w:i w:val="0"/>
          <w:iCs w:val="0"/>
          <w:lang w:val="en-US"/>
        </w:rPr>
        <w:t>President with greater discretion in determining when a Care and Community Sector Expert Panel is required.</w:t>
      </w:r>
    </w:p>
    <w:p w14:paraId="5B8E14E2" w14:textId="77777777" w:rsidR="00D82BD0" w:rsidRPr="00167CB8" w:rsidRDefault="00D82BD0" w:rsidP="00D82BD0">
      <w:pPr>
        <w:rPr>
          <w:rStyle w:val="Emphasis"/>
          <w:i w:val="0"/>
          <w:lang w:val="en-US"/>
        </w:rPr>
      </w:pPr>
      <w:r w:rsidRPr="00167CB8">
        <w:rPr>
          <w:b/>
          <w:bCs/>
        </w:rPr>
        <w:t>Recommendation 1</w:t>
      </w:r>
      <w:r>
        <w:rPr>
          <w:b/>
          <w:bCs/>
        </w:rPr>
        <w:t>6</w:t>
      </w:r>
      <w:r w:rsidRPr="00167CB8">
        <w:rPr>
          <w:b/>
          <w:bCs/>
        </w:rPr>
        <w:t>:</w:t>
      </w:r>
      <w:r w:rsidRPr="00167CB8">
        <w:t xml:space="preserve">  The Australian Government should undertake further research and consider whether it is appropriate to extend the protected attributes in the Fair Work Act to </w:t>
      </w:r>
      <w:r>
        <w:t>explicitly cover perimenopause</w:t>
      </w:r>
      <w:r w:rsidRPr="00167CB8">
        <w:t xml:space="preserve"> and menopause.</w:t>
      </w:r>
    </w:p>
    <w:p w14:paraId="74C40D79" w14:textId="6A8DE1D3" w:rsidR="00D82BD0" w:rsidRPr="004E50FE" w:rsidRDefault="00D82BD0" w:rsidP="00D82BD0">
      <w:r>
        <w:rPr>
          <w:b/>
          <w:bCs/>
        </w:rPr>
        <w:t xml:space="preserve">Recommendation 17: </w:t>
      </w:r>
      <w:r w:rsidR="005B1080" w:rsidRPr="005B1080">
        <w:t>Stakehol</w:t>
      </w:r>
      <w:r w:rsidR="005B1080" w:rsidRPr="004E50FE">
        <w:t>ders should seek variations to modern awards to tailor the limitation on the use of fixed term contracts to their industry or occupation</w:t>
      </w:r>
      <w:r w:rsidRPr="004E50FE">
        <w:t>.</w:t>
      </w:r>
    </w:p>
    <w:p w14:paraId="2045BFF6" w14:textId="1F2C9703" w:rsidR="00D82BD0" w:rsidRPr="004E50FE" w:rsidRDefault="00D82BD0" w:rsidP="00D82BD0">
      <w:r w:rsidRPr="004E50FE">
        <w:rPr>
          <w:b/>
        </w:rPr>
        <w:t xml:space="preserve">Recommendation 18: </w:t>
      </w:r>
      <w:r w:rsidR="004E50FE" w:rsidRPr="004E50FE">
        <w:t>The Australian Government should undertake a short, final period of consultation to identify targeted improvements to the limitation on fixed term contracts to address issues which cannot currently be resolved through modern awards and make the limitation more readily applicable in practice</w:t>
      </w:r>
      <w:r w:rsidRPr="004E50FE">
        <w:t>.</w:t>
      </w:r>
    </w:p>
    <w:p w14:paraId="2EE21483" w14:textId="196B731A" w:rsidR="00D82BD0" w:rsidRPr="00C435CF" w:rsidRDefault="00D82BD0" w:rsidP="005C750B">
      <w:pPr>
        <w:pStyle w:val="Heading4"/>
      </w:pPr>
      <w:r w:rsidRPr="004E50FE">
        <w:t xml:space="preserve">Part 4 </w:t>
      </w:r>
      <w:r w:rsidR="00185C1B" w:rsidRPr="004E50FE">
        <w:rPr>
          <w:rFonts w:ascii="Symbol" w:eastAsia="Symbol" w:hAnsi="Symbol" w:cs="Symbol"/>
        </w:rPr>
        <w:sym w:font="Symbol" w:char="F02D"/>
      </w:r>
      <w:r w:rsidRPr="004E50FE">
        <w:t xml:space="preserve"> Miscellaneous</w:t>
      </w:r>
    </w:p>
    <w:p w14:paraId="3239BEC1" w14:textId="77777777" w:rsidR="00D82BD0" w:rsidRPr="00167CB8" w:rsidRDefault="00D82BD0" w:rsidP="00D82BD0">
      <w:r w:rsidRPr="006762E8">
        <w:rPr>
          <w:b/>
          <w:bCs/>
        </w:rPr>
        <w:t>Recommendation 19:</w:t>
      </w:r>
      <w:r w:rsidRPr="006762E8">
        <w:t xml:space="preserve"> Consistent with recommendations 9 and 10 of the Department of</w:t>
      </w:r>
      <w:r w:rsidRPr="00167CB8">
        <w:t xml:space="preserve"> Employment and Workplace Relations’ </w:t>
      </w:r>
      <w:r w:rsidRPr="00241640">
        <w:rPr>
          <w:i/>
          <w:iCs/>
        </w:rPr>
        <w:t>Review of the Fair Work Act Small Claims Procedure</w:t>
      </w:r>
      <w:r w:rsidRPr="00167CB8">
        <w:t>:</w:t>
      </w:r>
    </w:p>
    <w:p w14:paraId="0A8661B0" w14:textId="77777777" w:rsidR="0011475D" w:rsidRDefault="00D82BD0" w:rsidP="00C65C5B">
      <w:pPr>
        <w:pStyle w:val="ListParagraph"/>
        <w:numPr>
          <w:ilvl w:val="0"/>
          <w:numId w:val="18"/>
        </w:numPr>
        <w:ind w:left="360"/>
        <w:rPr>
          <w:sz w:val="22"/>
          <w:szCs w:val="22"/>
        </w:rPr>
      </w:pPr>
      <w:r w:rsidRPr="396ABCA7">
        <w:rPr>
          <w:sz w:val="22"/>
          <w:szCs w:val="22"/>
        </w:rPr>
        <w:t>9. The Government should undertake further work to consider whether additional funding is required for legal assistance in small claims matters, to enable:</w:t>
      </w:r>
    </w:p>
    <w:p w14:paraId="1D8D60B1" w14:textId="77777777" w:rsidR="0011475D" w:rsidRDefault="00D82BD0" w:rsidP="00BE7E8C">
      <w:pPr>
        <w:pStyle w:val="ListParagraph"/>
        <w:rPr>
          <w:sz w:val="22"/>
          <w:szCs w:val="22"/>
        </w:rPr>
      </w:pPr>
      <w:r w:rsidRPr="00167CB8">
        <w:rPr>
          <w:sz w:val="22"/>
          <w:szCs w:val="22"/>
        </w:rPr>
        <w:t>a. the establishment of duty lawyer services</w:t>
      </w:r>
    </w:p>
    <w:p w14:paraId="7F421324" w14:textId="77777777" w:rsidR="0011475D" w:rsidRDefault="00D82BD0" w:rsidP="00BE7E8C">
      <w:pPr>
        <w:pStyle w:val="ListParagraph"/>
        <w:rPr>
          <w:sz w:val="22"/>
          <w:szCs w:val="22"/>
        </w:rPr>
      </w:pPr>
      <w:r w:rsidRPr="00167CB8">
        <w:rPr>
          <w:sz w:val="22"/>
          <w:szCs w:val="22"/>
        </w:rPr>
        <w:t>b. the provision of targeted community legal education initiatives, and</w:t>
      </w:r>
    </w:p>
    <w:p w14:paraId="16974730" w14:textId="53C31D26" w:rsidR="00D82BD0" w:rsidRPr="00167CB8" w:rsidRDefault="00D82BD0" w:rsidP="00BE7E8C">
      <w:pPr>
        <w:pStyle w:val="ListParagraph"/>
        <w:rPr>
          <w:sz w:val="22"/>
          <w:szCs w:val="22"/>
        </w:rPr>
      </w:pPr>
      <w:r w:rsidRPr="396ABCA7">
        <w:rPr>
          <w:sz w:val="22"/>
          <w:szCs w:val="22"/>
        </w:rPr>
        <w:t>c. legal assistance providers to assist and represent more workers.</w:t>
      </w:r>
    </w:p>
    <w:p w14:paraId="0C8F4DC4" w14:textId="77777777" w:rsidR="0011475D" w:rsidRPr="00AD1B11" w:rsidRDefault="00D82BD0" w:rsidP="00C65C5B">
      <w:pPr>
        <w:pStyle w:val="ListParagraph"/>
        <w:numPr>
          <w:ilvl w:val="0"/>
          <w:numId w:val="18"/>
        </w:numPr>
        <w:ind w:left="360"/>
      </w:pPr>
      <w:r w:rsidRPr="396ABCA7">
        <w:rPr>
          <w:sz w:val="22"/>
          <w:szCs w:val="22"/>
        </w:rPr>
        <w:t xml:space="preserve">10. Once data on the effects of the increased monetary cap becomes available, the Department of Employment and Workplace Relations should consider whether any additional changes to the small claims procedure under the </w:t>
      </w:r>
      <w:r w:rsidRPr="00F720EE">
        <w:rPr>
          <w:i/>
          <w:sz w:val="22"/>
          <w:szCs w:val="22"/>
        </w:rPr>
        <w:t>Fair Work Act 2009</w:t>
      </w:r>
      <w:r w:rsidRPr="396ABCA7">
        <w:rPr>
          <w:sz w:val="22"/>
          <w:szCs w:val="22"/>
        </w:rPr>
        <w:t xml:space="preserve"> are necessary.</w:t>
      </w:r>
    </w:p>
    <w:p w14:paraId="4976810F" w14:textId="4249BFD7" w:rsidR="00D82BD0" w:rsidRPr="00167CB8" w:rsidRDefault="00D82BD0" w:rsidP="00D82BD0">
      <w:pPr>
        <w:rPr>
          <w:rFonts w:cstheme="minorHAnsi"/>
          <w:bCs/>
          <w:iCs/>
          <w:lang w:val="en-US"/>
        </w:rPr>
      </w:pPr>
      <w:r w:rsidRPr="006762E8">
        <w:rPr>
          <w:rFonts w:cstheme="minorHAnsi"/>
          <w:b/>
          <w:bCs/>
          <w:iCs/>
          <w:lang w:val="en-US"/>
        </w:rPr>
        <w:lastRenderedPageBreak/>
        <w:t>Recommendation 20:</w:t>
      </w:r>
      <w:r w:rsidRPr="006762E8">
        <w:rPr>
          <w:rFonts w:cstheme="minorHAnsi"/>
          <w:bCs/>
          <w:iCs/>
          <w:lang w:val="en-US"/>
        </w:rPr>
        <w:t xml:space="preserve"> The Fair Work Ombudsman should engage with job advertising</w:t>
      </w:r>
      <w:r w:rsidRPr="00167CB8">
        <w:rPr>
          <w:rFonts w:cstheme="minorHAnsi"/>
          <w:bCs/>
          <w:iCs/>
          <w:lang w:val="en-US"/>
        </w:rPr>
        <w:t xml:space="preserve"> platforms and other technology stakeholders to ensure that all job advertisements include accurate and lawful information, supported by the FWO’s public education initiatives and materials.</w:t>
      </w:r>
    </w:p>
    <w:p w14:paraId="62420738" w14:textId="41ED5B85" w:rsidR="00D82BD0" w:rsidRPr="00167CB8" w:rsidRDefault="00D82BD0" w:rsidP="00D82BD0">
      <w:pPr>
        <w:rPr>
          <w:rFonts w:cstheme="minorHAnsi"/>
          <w:bCs/>
          <w:iCs/>
          <w:lang w:val="en-US"/>
        </w:rPr>
      </w:pPr>
      <w:r w:rsidRPr="000759AC">
        <w:rPr>
          <w:b/>
        </w:rPr>
        <w:t>Recommendation </w:t>
      </w:r>
      <w:r>
        <w:rPr>
          <w:b/>
        </w:rPr>
        <w:t>21</w:t>
      </w:r>
      <w:r w:rsidRPr="000759AC">
        <w:rPr>
          <w:b/>
        </w:rPr>
        <w:t xml:space="preserve">: </w:t>
      </w:r>
      <w:r w:rsidRPr="000759AC">
        <w:t xml:space="preserve">The Australian Government </w:t>
      </w:r>
      <w:r w:rsidRPr="00B373CB">
        <w:t xml:space="preserve">should monitor </w:t>
      </w:r>
      <w:r w:rsidRPr="00B373CB">
        <w:rPr>
          <w:rFonts w:ascii="Aptos" w:eastAsia="Aptos" w:hAnsi="Aptos" w:cs="Aptos"/>
        </w:rPr>
        <w:t xml:space="preserve">Health and Safety </w:t>
      </w:r>
      <w:r w:rsidRPr="006762E8">
        <w:rPr>
          <w:rFonts w:ascii="Aptos" w:eastAsia="Aptos" w:hAnsi="Aptos" w:cs="Aptos"/>
        </w:rPr>
        <w:t xml:space="preserve">Representative </w:t>
      </w:r>
      <w:r w:rsidRPr="006762E8">
        <w:t>assistants</w:t>
      </w:r>
      <w:r w:rsidRPr="00B373CB">
        <w:t xml:space="preserve"> accessing workplaces</w:t>
      </w:r>
      <w:r w:rsidRPr="000759AC">
        <w:t xml:space="preserve"> without right of entry permits and take immediate action to address any indications of misuse, particularly in the building and construction industry.</w:t>
      </w:r>
    </w:p>
    <w:p w14:paraId="1A1BE954" w14:textId="77777777" w:rsidR="00D82BD0" w:rsidRPr="00167CB8" w:rsidRDefault="00D82BD0" w:rsidP="00D82BD0">
      <w:pPr>
        <w:pStyle w:val="Heading2"/>
      </w:pPr>
      <w:r w:rsidRPr="00167CB8">
        <w:br w:type="page"/>
      </w:r>
      <w:bookmarkStart w:id="27" w:name="_Toc189260178"/>
      <w:bookmarkStart w:id="28" w:name="_Toc189260197"/>
      <w:bookmarkStart w:id="29" w:name="_Toc189393513"/>
      <w:bookmarkStart w:id="30" w:name="_Toc192258075"/>
      <w:bookmarkStart w:id="31" w:name="_Toc194311408"/>
      <w:r w:rsidRPr="00167CB8">
        <w:lastRenderedPageBreak/>
        <w:t>Part</w:t>
      </w:r>
      <w:bookmarkStart w:id="32" w:name="_Toc188277904"/>
      <w:r w:rsidRPr="00167CB8">
        <w:t xml:space="preserve"> 1. Institutions</w:t>
      </w:r>
      <w:bookmarkEnd w:id="27"/>
      <w:bookmarkEnd w:id="28"/>
      <w:bookmarkEnd w:id="29"/>
      <w:bookmarkEnd w:id="30"/>
      <w:bookmarkEnd w:id="31"/>
      <w:bookmarkEnd w:id="32"/>
    </w:p>
    <w:p w14:paraId="3BD30A44" w14:textId="6B7895E5" w:rsidR="00D82BD0" w:rsidRPr="00167CB8" w:rsidRDefault="00D82BD0" w:rsidP="00D82BD0">
      <w:r w:rsidRPr="00167CB8">
        <w:t xml:space="preserve">The Secure Jobs, Better Pay amendments include </w:t>
      </w:r>
      <w:r>
        <w:t>two</w:t>
      </w:r>
      <w:r w:rsidRPr="00167CB8">
        <w:t xml:space="preserve"> major institutional changes and consequential amendments: first, the winding up of the Australian Building and Construction Commission</w:t>
      </w:r>
      <w:r>
        <w:t xml:space="preserve"> </w:t>
      </w:r>
      <w:r w:rsidRPr="00167CB8">
        <w:t>and its integration with the Fair Work Ombudsman; and, second, the winding up of the Registered Organisations Commission, its administrative integration with the Fair Work Commission</w:t>
      </w:r>
      <w:r>
        <w:t xml:space="preserve"> </w:t>
      </w:r>
      <w:r w:rsidRPr="00167CB8">
        <w:t>and the transfer of its powers to the General Manager as a regulator.</w:t>
      </w:r>
    </w:p>
    <w:p w14:paraId="2A3DA8DF" w14:textId="0ADABAE5" w:rsidR="00D82BD0" w:rsidRPr="00167CB8" w:rsidRDefault="00D82BD0" w:rsidP="00D82BD0">
      <w:r w:rsidRPr="396ABCA7">
        <w:t xml:space="preserve">Chapter 3 provides an introduction to </w:t>
      </w:r>
      <w:r w:rsidRPr="004A1003">
        <w:t xml:space="preserve">this </w:t>
      </w:r>
      <w:r w:rsidR="00FF122F" w:rsidRPr="004A1003">
        <w:t>p</w:t>
      </w:r>
      <w:r w:rsidRPr="004A1003">
        <w:t>art on institutions</w:t>
      </w:r>
      <w:r w:rsidRPr="396ABCA7">
        <w:t xml:space="preserve"> that identifies and briefly introduces </w:t>
      </w:r>
      <w:r>
        <w:t>two</w:t>
      </w:r>
      <w:r w:rsidRPr="396ABCA7">
        <w:t xml:space="preserve"> themes found by the Review Panel to lie behind these amendments: the primary theme of institutional integration; and a secondary theme of advancing a more conciliatory regulatory style.</w:t>
      </w:r>
    </w:p>
    <w:p w14:paraId="1A844882" w14:textId="77777777" w:rsidR="00D82BD0" w:rsidRPr="00167CB8" w:rsidRDefault="00D82BD0" w:rsidP="00D82BD0">
      <w:r w:rsidRPr="396ABCA7">
        <w:t>These themes reflect policy choices of government, which in turn flow from what government sees as the weaknesses of the policy options implemented by previous governments; namely, institutional separation and a more confrontational regulatory style respectively.</w:t>
      </w:r>
    </w:p>
    <w:p w14:paraId="5FDE605E" w14:textId="77777777" w:rsidR="00D82BD0" w:rsidRPr="00167CB8" w:rsidRDefault="00D82BD0" w:rsidP="00D82BD0">
      <w:r w:rsidRPr="396ABCA7">
        <w:t>In this way, this introduction is designed to explore the rationales behind the institutional changes delivered by the Secure Jobs, Better Pay amendments and to anticipate the results of the institutional changes that follow.</w:t>
      </w:r>
    </w:p>
    <w:p w14:paraId="7123D860" w14:textId="77777777" w:rsidR="00D82BD0" w:rsidRPr="00167CB8" w:rsidRDefault="00D82BD0" w:rsidP="00D82BD0">
      <w:pPr>
        <w:spacing w:after="160"/>
        <w:rPr>
          <w:rFonts w:eastAsiaTheme="majorEastAsia" w:cstheme="majorBidi"/>
          <w:b/>
          <w:color w:val="0D2C6C" w:themeColor="text1"/>
          <w:sz w:val="32"/>
          <w:szCs w:val="24"/>
        </w:rPr>
      </w:pPr>
      <w:bookmarkStart w:id="33" w:name="_Toc188277905"/>
      <w:r w:rsidRPr="00167CB8">
        <w:br w:type="page"/>
      </w:r>
    </w:p>
    <w:p w14:paraId="0730E01A" w14:textId="77777777" w:rsidR="00D82BD0" w:rsidRPr="00167CB8" w:rsidRDefault="00D82BD0" w:rsidP="00D82BD0">
      <w:pPr>
        <w:pStyle w:val="Heading3"/>
        <w:rPr>
          <w:rFonts w:asciiTheme="minorHAnsi" w:hAnsiTheme="minorHAnsi"/>
        </w:rPr>
      </w:pPr>
      <w:bookmarkStart w:id="34" w:name="_Toc189260198"/>
      <w:bookmarkStart w:id="35" w:name="_Toc189393514"/>
      <w:bookmarkStart w:id="36" w:name="_Toc194311409"/>
      <w:r w:rsidRPr="00167CB8">
        <w:rPr>
          <w:rFonts w:asciiTheme="minorHAnsi" w:hAnsiTheme="minorHAnsi"/>
        </w:rPr>
        <w:lastRenderedPageBreak/>
        <w:t xml:space="preserve">Chapter 3. Introduction to </w:t>
      </w:r>
      <w:r>
        <w:rPr>
          <w:rFonts w:asciiTheme="minorHAnsi" w:hAnsiTheme="minorHAnsi"/>
        </w:rPr>
        <w:t>institutions</w:t>
      </w:r>
      <w:bookmarkEnd w:id="33"/>
      <w:bookmarkEnd w:id="34"/>
      <w:bookmarkEnd w:id="35"/>
      <w:bookmarkEnd w:id="36"/>
    </w:p>
    <w:p w14:paraId="7911F76B" w14:textId="00621D79" w:rsidR="00D82BD0" w:rsidRPr="00167CB8" w:rsidRDefault="00D82BD0" w:rsidP="00D82BD0">
      <w:pPr>
        <w:rPr>
          <w:rFonts w:cs="Calibri"/>
        </w:rPr>
      </w:pPr>
      <w:r w:rsidRPr="396ABCA7">
        <w:rPr>
          <w:rFonts w:cs="Calibri"/>
        </w:rPr>
        <w:t>There is a long history of specialist and industry-specific regulation within Australian industrial relations. There have been corresponding longstanding debates over whether regulation should be dealt with by integrated institutional arrangements or those that recognise the special circumstances of industries or industrial matters. These debates have been shaped not only by politics – for example, one government reversing the policy decisions of a previous government – but also by differing perspectives among stakeholders, including employer groups, unions and policy experts.</w:t>
      </w:r>
    </w:p>
    <w:p w14:paraId="414DC9FE" w14:textId="77777777" w:rsidR="00D82BD0" w:rsidRPr="00167CB8" w:rsidRDefault="00D82BD0" w:rsidP="00D82BD0">
      <w:pPr>
        <w:rPr>
          <w:rFonts w:cs="Calibri"/>
        </w:rPr>
      </w:pPr>
      <w:r w:rsidRPr="396ABCA7">
        <w:rPr>
          <w:rFonts w:cs="Calibri"/>
        </w:rPr>
        <w:t xml:space="preserve">For example, the Committee of Review into Australian Industrial Relations Law and Systems (Hancock Inquiry) </w:t>
      </w:r>
      <w:r w:rsidRPr="396ABCA7">
        <w:rPr>
          <w:rFonts w:ascii="Symbol" w:eastAsia="Symbol" w:hAnsi="Symbol" w:cs="Symbol"/>
        </w:rPr>
        <w:t>-</w:t>
      </w:r>
      <w:r w:rsidRPr="396ABCA7">
        <w:rPr>
          <w:rFonts w:cs="Calibri"/>
        </w:rPr>
        <w:t xml:space="preserve"> an independent review that reported in April 1985 </w:t>
      </w:r>
      <w:r w:rsidRPr="396ABCA7">
        <w:rPr>
          <w:rFonts w:ascii="Symbol" w:eastAsia="Symbol" w:hAnsi="Symbol" w:cs="Symbol"/>
        </w:rPr>
        <w:t>-</w:t>
      </w:r>
      <w:r w:rsidRPr="396ABCA7">
        <w:rPr>
          <w:rFonts w:cs="Calibri"/>
        </w:rPr>
        <w:t xml:space="preserve"> identified a wide range of specialist institutional arrangements operating at the time, including those responsible for industrial relations in the Australian Capital Territory, the maritime industry, the waterside industry, Commonwealth projects, flight crew officers, the coal mining industry, academic salaries and the federal public sector, amongst many others.</w:t>
      </w:r>
      <w:r w:rsidRPr="396ABCA7">
        <w:rPr>
          <w:rStyle w:val="FootnoteReference"/>
          <w:rFonts w:cs="Calibri"/>
        </w:rPr>
        <w:footnoteReference w:id="9"/>
      </w:r>
      <w:r w:rsidRPr="396ABCA7">
        <w:rPr>
          <w:rFonts w:cs="Calibri"/>
        </w:rPr>
        <w:t xml:space="preserve"> That inquiry advocated the integration of most of these specialist tribunals/agencies into the ‘mainstream’ associated with the Australian Conciliation and Arbitration Commission </w:t>
      </w:r>
      <w:r w:rsidRPr="396ABCA7">
        <w:rPr>
          <w:rFonts w:ascii="Symbol" w:eastAsia="Symbol" w:hAnsi="Symbol" w:cs="Symbol"/>
        </w:rPr>
        <w:t>-</w:t>
      </w:r>
      <w:r w:rsidRPr="396ABCA7">
        <w:rPr>
          <w:rFonts w:cs="Calibri"/>
        </w:rPr>
        <w:t xml:space="preserve"> an outcome achieved through the </w:t>
      </w:r>
      <w:r w:rsidRPr="396ABCA7">
        <w:rPr>
          <w:rFonts w:cs="Calibri"/>
          <w:i/>
          <w:iCs/>
        </w:rPr>
        <w:t>Industrial Relations Act</w:t>
      </w:r>
      <w:r w:rsidRPr="396ABCA7">
        <w:rPr>
          <w:rFonts w:cs="Calibri"/>
        </w:rPr>
        <w:t xml:space="preserve"> </w:t>
      </w:r>
      <w:r w:rsidRPr="396ABCA7">
        <w:rPr>
          <w:rFonts w:cs="Calibri"/>
          <w:i/>
          <w:iCs/>
        </w:rPr>
        <w:t>1988</w:t>
      </w:r>
      <w:r w:rsidRPr="396ABCA7">
        <w:rPr>
          <w:rFonts w:cs="Calibri"/>
        </w:rPr>
        <w:t xml:space="preserve"> (Cth).</w:t>
      </w:r>
    </w:p>
    <w:p w14:paraId="604AF481" w14:textId="77777777" w:rsidR="00D82BD0" w:rsidRPr="00167CB8" w:rsidRDefault="00D82BD0" w:rsidP="00D82BD0">
      <w:pPr>
        <w:rPr>
          <w:rFonts w:cs="Calibri"/>
        </w:rPr>
      </w:pPr>
      <w:r w:rsidRPr="00167CB8">
        <w:rPr>
          <w:rFonts w:cs="Calibri"/>
        </w:rPr>
        <w:t>Subsequently, varying levels of separation and integration of specialist tribunals have occurred for decades, including:</w:t>
      </w:r>
    </w:p>
    <w:p w14:paraId="3692F3E5" w14:textId="77777777" w:rsidR="00D82BD0" w:rsidRPr="00167CB8" w:rsidRDefault="00D82BD0" w:rsidP="009B4A83">
      <w:pPr>
        <w:pStyle w:val="ListBullet"/>
        <w:numPr>
          <w:ilvl w:val="0"/>
          <w:numId w:val="1"/>
        </w:numPr>
        <w:ind w:left="284" w:hanging="284"/>
      </w:pPr>
      <w:r w:rsidRPr="00167CB8">
        <w:t>in the 1990s and 2000s, the separation of agencies from the Australian Industrial Relations Commission, and later Fair Work Australia (FWA) and the Fair Work Commission (FWC), to regulate industrial relations in specific industries (especially building and construction)</w:t>
      </w:r>
      <w:r w:rsidRPr="00BB134F">
        <w:rPr>
          <w:vertAlign w:val="superscript"/>
        </w:rPr>
        <w:footnoteReference w:id="10"/>
      </w:r>
      <w:r w:rsidRPr="00167CB8">
        <w:t xml:space="preserve"> and specific industrial matters (e.g. the approval of workplace agreements through the Workplace Authority</w:t>
      </w:r>
      <w:r w:rsidRPr="00BB134F">
        <w:rPr>
          <w:vertAlign w:val="superscript"/>
        </w:rPr>
        <w:footnoteReference w:id="11"/>
      </w:r>
      <w:r w:rsidRPr="00167CB8">
        <w:t xml:space="preserve"> and to determination of minimum wages through the Australian Fair Pay Commission)</w:t>
      </w:r>
      <w:r w:rsidRPr="00BB134F">
        <w:rPr>
          <w:vertAlign w:val="superscript"/>
        </w:rPr>
        <w:footnoteReference w:id="12"/>
      </w:r>
    </w:p>
    <w:p w14:paraId="3EA37BC6" w14:textId="77777777" w:rsidR="00D82BD0" w:rsidRPr="00167CB8" w:rsidRDefault="00D82BD0" w:rsidP="009B4A83">
      <w:pPr>
        <w:pStyle w:val="ListBullet"/>
        <w:numPr>
          <w:ilvl w:val="0"/>
          <w:numId w:val="1"/>
        </w:numPr>
        <w:ind w:left="284" w:hanging="284"/>
      </w:pPr>
      <w:r w:rsidRPr="00167CB8">
        <w:t>in the early 2010s, the integration of specialist agencies, such as the abolition of the Office of the Employment Advocate and the Australian Fair Pay Commission into the then FWA and now the FWC</w:t>
      </w:r>
    </w:p>
    <w:p w14:paraId="20D01DC5" w14:textId="77777777" w:rsidR="00D82BD0" w:rsidRPr="00167CB8" w:rsidRDefault="00D82BD0" w:rsidP="009B4A83">
      <w:pPr>
        <w:pStyle w:val="ListBullet"/>
        <w:numPr>
          <w:ilvl w:val="0"/>
          <w:numId w:val="1"/>
        </w:numPr>
        <w:ind w:left="284" w:hanging="284"/>
      </w:pPr>
      <w:r w:rsidRPr="00167CB8">
        <w:t>in the early 2010s to 2022, the separation again of specialist agencies regulating registered organisations (i.e. the Registered Organisations Commission (ROC)) and the building and construction industry (i.e. the Australian Building and Construction Commission (ABCC)).</w:t>
      </w:r>
    </w:p>
    <w:p w14:paraId="6B12C2F0" w14:textId="77777777" w:rsidR="00D82BD0" w:rsidRPr="00167CB8" w:rsidRDefault="00D82BD0" w:rsidP="00D82BD0">
      <w:pPr>
        <w:rPr>
          <w:rFonts w:cs="Calibri"/>
        </w:rPr>
      </w:pPr>
      <w:r w:rsidRPr="396ABCA7">
        <w:rPr>
          <w:rFonts w:cs="Calibri"/>
        </w:rPr>
        <w:t>To generalise across the decades, the reasons behind increased separation in institutional arrangements have varied from case to case,</w:t>
      </w:r>
      <w:r w:rsidRPr="396ABCA7">
        <w:rPr>
          <w:rStyle w:val="FootnoteReference"/>
          <w:rFonts w:cs="Calibri"/>
        </w:rPr>
        <w:footnoteReference w:id="13"/>
      </w:r>
      <w:r w:rsidRPr="396ABCA7">
        <w:rPr>
          <w:rFonts w:cs="Calibri"/>
        </w:rPr>
        <w:t xml:space="preserve"> but the </w:t>
      </w:r>
      <w:r>
        <w:rPr>
          <w:rFonts w:cs="Calibri"/>
        </w:rPr>
        <w:t>two</w:t>
      </w:r>
      <w:r w:rsidRPr="396ABCA7">
        <w:rPr>
          <w:rFonts w:cs="Calibri"/>
        </w:rPr>
        <w:t xml:space="preserve"> principal factors involve combinations of the following:</w:t>
      </w:r>
      <w:r w:rsidRPr="396ABCA7">
        <w:rPr>
          <w:rStyle w:val="FootnoteReference"/>
          <w:rFonts w:cs="Calibri"/>
        </w:rPr>
        <w:footnoteReference w:id="14"/>
      </w:r>
    </w:p>
    <w:p w14:paraId="49CD701E" w14:textId="5FFBEDF7" w:rsidR="00D82BD0" w:rsidRPr="00167CB8" w:rsidRDefault="00D82BD0" w:rsidP="009B4A83">
      <w:pPr>
        <w:pStyle w:val="ListBullet"/>
        <w:numPr>
          <w:ilvl w:val="0"/>
          <w:numId w:val="1"/>
        </w:numPr>
        <w:ind w:left="284" w:hanging="284"/>
      </w:pPr>
      <w:r w:rsidRPr="396ABCA7">
        <w:lastRenderedPageBreak/>
        <w:t xml:space="preserve">the </w:t>
      </w:r>
      <w:r w:rsidRPr="396ABCA7">
        <w:rPr>
          <w:i/>
          <w:iCs/>
        </w:rPr>
        <w:t>Constitution</w:t>
      </w:r>
      <w:r w:rsidRPr="396ABCA7">
        <w:t xml:space="preserve">, so that a number of early specialist tribunals were established not under the conciliation and arbitration powers of the </w:t>
      </w:r>
      <w:r w:rsidRPr="009B4A83">
        <w:t>Constitution</w:t>
      </w:r>
      <w:r w:rsidRPr="396ABCA7">
        <w:t xml:space="preserve"> but under other powers, such as the interstate trade </w:t>
      </w:r>
      <w:r w:rsidR="00FF122F">
        <w:t xml:space="preserve">power </w:t>
      </w:r>
      <w:r w:rsidRPr="396ABCA7">
        <w:t xml:space="preserve">or the foreign affairs power. The </w:t>
      </w:r>
      <w:r w:rsidRPr="009B4A83">
        <w:t>Constitution</w:t>
      </w:r>
      <w:r w:rsidRPr="396ABCA7">
        <w:t xml:space="preserve">, however, became less important after the move to a dominant reliance of the corporations power under the </w:t>
      </w:r>
      <w:r w:rsidRPr="00FF122F">
        <w:t>Work Choices amendments</w:t>
      </w:r>
      <w:r w:rsidRPr="396ABCA7">
        <w:t xml:space="preserve"> – a move that was confirmed by the High Court in 2006</w:t>
      </w:r>
    </w:p>
    <w:p w14:paraId="6952FD59" w14:textId="4B0C50E4" w:rsidR="00D82BD0" w:rsidRPr="00167CB8" w:rsidRDefault="00D82BD0" w:rsidP="009B4A83">
      <w:pPr>
        <w:pStyle w:val="ListBullet"/>
        <w:numPr>
          <w:ilvl w:val="0"/>
          <w:numId w:val="1"/>
        </w:numPr>
        <w:ind w:left="284" w:hanging="284"/>
      </w:pPr>
      <w:r w:rsidRPr="396ABCA7">
        <w:t>high levels of industrial disputation in specific industries, which meant that they represented either political ‘problems’ for governments or they provided governments with the opportunity to use separation to gain political ‘advantages’.</w:t>
      </w:r>
    </w:p>
    <w:p w14:paraId="2FCE1FFE" w14:textId="77777777" w:rsidR="00D82BD0" w:rsidRPr="00167CB8" w:rsidRDefault="00D82BD0" w:rsidP="00D82BD0">
      <w:pPr>
        <w:rPr>
          <w:rFonts w:cs="Calibri"/>
        </w:rPr>
      </w:pPr>
      <w:r w:rsidRPr="396ABCA7">
        <w:rPr>
          <w:rFonts w:cs="Calibri"/>
        </w:rPr>
        <w:t>The issue of institutional separation/integration has again been raised through the Secure Jobs, Better Pay amendments, which have integrated the previously separate ABCC and ROC within ‘mainstream’ institutions: the FWO and FWC respectively. The then Minister for Employment and Workplace Relations, the Hon Tony Burke MP, for example, in the second reading speech for the Fair Work Legislation Amendment (Secure Jobs, Better Pay) Bill 2022 (Secure Jobs, Better Pay Bill), stated that the ABCC and the ROC were ‘ineffective and discredited institutions, more concerned about prosecuting workers and their representatives than tackling rampant wage theft or addressing workplace safety, or educating and promoting good workplace relations’. He went on to anticipate institutional integration:</w:t>
      </w:r>
    </w:p>
    <w:p w14:paraId="11AE12E4" w14:textId="77777777" w:rsidR="00D82BD0" w:rsidRPr="00167CB8" w:rsidRDefault="00D82BD0" w:rsidP="00D55A73">
      <w:pPr>
        <w:pStyle w:val="Quote"/>
      </w:pPr>
      <w:r w:rsidRPr="00167CB8">
        <w:t xml:space="preserve">This bill [i.e. the Secure Jobs, Better Pay amendments] will abolish the ABCC and the Registered Organisations Commission. The Fair Work Ombudsman will be the workplace relations regulator for all industries and the general manager of the Fair Work Commission will be the regulator on registered </w:t>
      </w:r>
      <w:r w:rsidRPr="00FF122F">
        <w:t>organisations.</w:t>
      </w:r>
    </w:p>
    <w:p w14:paraId="5E177078" w14:textId="24E84D2F" w:rsidR="00D82BD0" w:rsidRPr="00167CB8" w:rsidRDefault="00D82BD0" w:rsidP="00D82BD0">
      <w:pPr>
        <w:rPr>
          <w:rFonts w:cs="Calibri"/>
        </w:rPr>
      </w:pPr>
      <w:r w:rsidRPr="396ABCA7">
        <w:rPr>
          <w:rFonts w:cs="Calibri"/>
        </w:rPr>
        <w:t xml:space="preserve">This Panel broadly supports integration rather than separation, for reasons similar to those articulated by </w:t>
      </w:r>
      <w:r w:rsidR="0058379D">
        <w:rPr>
          <w:rFonts w:cs="Calibri"/>
        </w:rPr>
        <w:t xml:space="preserve">the </w:t>
      </w:r>
      <w:r w:rsidRPr="396ABCA7">
        <w:rPr>
          <w:rFonts w:cs="Calibri"/>
        </w:rPr>
        <w:t xml:space="preserve">Hancock </w:t>
      </w:r>
      <w:r w:rsidR="0058379D">
        <w:rPr>
          <w:rFonts w:cs="Calibri"/>
        </w:rPr>
        <w:t>Inquiry</w:t>
      </w:r>
      <w:r w:rsidRPr="396ABCA7">
        <w:rPr>
          <w:rFonts w:cs="Calibri"/>
        </w:rPr>
        <w:t>.</w:t>
      </w:r>
      <w:r w:rsidRPr="396ABCA7">
        <w:rPr>
          <w:rStyle w:val="FootnoteReference"/>
          <w:rFonts w:cs="Calibri"/>
        </w:rPr>
        <w:footnoteReference w:id="15"/>
      </w:r>
      <w:r w:rsidRPr="396ABCA7">
        <w:rPr>
          <w:rFonts w:cs="Calibri"/>
        </w:rPr>
        <w:t xml:space="preserve"> First, there is the observation that an integrated system (rather than a fragmented one) is more likely to be accepted and especially understood by the industrial relations parties and the community more generally. Second, integration encourages consistency and equity in outcomes. Third, there is the admirable objective of administrative efficiency, which is likely to be greater under an integrated system.</w:t>
      </w:r>
    </w:p>
    <w:p w14:paraId="44429BE9" w14:textId="0540C2B3" w:rsidR="00D82BD0" w:rsidRPr="00167CB8" w:rsidRDefault="00D82BD0" w:rsidP="00D82BD0">
      <w:pPr>
        <w:rPr>
          <w:rFonts w:cs="Calibri"/>
        </w:rPr>
      </w:pPr>
      <w:r w:rsidRPr="396ABCA7">
        <w:rPr>
          <w:rFonts w:cs="Calibri"/>
        </w:rPr>
        <w:t>An additional – fourth – reason goes well beyond the Hancock Inquiry report by focusing on the political advantage perceived to flow from the choice between institutional integration and separation. More specifically, there seems little doubt that between 2005 and 2020 institutional separation was preferred for the regulation of the building and construction industry because government saw advantage in separation. Integration of the industry under the Secure Jobs, Better Pay amendments suggests a different political assessment.</w:t>
      </w:r>
    </w:p>
    <w:p w14:paraId="4A641E33" w14:textId="341AACC7" w:rsidR="00D82BD0" w:rsidRPr="00167CB8" w:rsidRDefault="00D82BD0" w:rsidP="00D82BD0">
      <w:pPr>
        <w:rPr>
          <w:rFonts w:cs="Calibri"/>
        </w:rPr>
      </w:pPr>
      <w:r w:rsidRPr="00167CB8">
        <w:rPr>
          <w:rFonts w:cs="Calibri"/>
        </w:rPr>
        <w:t>Beyond the broad rationale of integrating institutional arrangements with the ‘mainstream’, governments of different political persuasions have associated institutional arrangements with the adoption of specific ‘regulatory strategies’; indeed, governments have generally indicated their preferred regulatory strategies through the legislative provisions governing them and, to a lesser extent, the individuals that governments appoint to lead regulatory institutions.</w:t>
      </w:r>
    </w:p>
    <w:p w14:paraId="7DE75B39" w14:textId="77777777" w:rsidR="00D82BD0" w:rsidRPr="00167CB8" w:rsidRDefault="00D82BD0" w:rsidP="00D82BD0">
      <w:pPr>
        <w:rPr>
          <w:rFonts w:cs="Calibri"/>
        </w:rPr>
      </w:pPr>
      <w:r w:rsidRPr="396ABCA7">
        <w:rPr>
          <w:rFonts w:cs="Calibri"/>
        </w:rPr>
        <w:lastRenderedPageBreak/>
        <w:t>Gunningham provides a good overview of the development of ideas about regulatory strategies.</w:t>
      </w:r>
      <w:r w:rsidRPr="396ABCA7">
        <w:rPr>
          <w:rStyle w:val="FootnoteReference"/>
          <w:rFonts w:cs="Calibri"/>
        </w:rPr>
        <w:footnoteReference w:id="16"/>
      </w:r>
      <w:r w:rsidRPr="396ABCA7">
        <w:rPr>
          <w:rFonts w:cs="Calibri"/>
        </w:rPr>
        <w:t xml:space="preserve"> He says that early thinking tended to identify </w:t>
      </w:r>
      <w:r>
        <w:rPr>
          <w:rFonts w:cs="Calibri"/>
        </w:rPr>
        <w:t>two</w:t>
      </w:r>
      <w:r w:rsidRPr="396ABCA7">
        <w:rPr>
          <w:rFonts w:cs="Calibri"/>
        </w:rPr>
        <w:t xml:space="preserve"> broad strategies used by regulatory authorities: ‘punish’ or ‘persuade’. Under the former, emphasis was given to ‘a confrontational style of enforcement and sanctioning of rule-breaking behaviour’,</w:t>
      </w:r>
      <w:r w:rsidRPr="396ABCA7">
        <w:rPr>
          <w:rStyle w:val="FootnoteReference"/>
          <w:rFonts w:cs="Calibri"/>
        </w:rPr>
        <w:footnoteReference w:id="17"/>
      </w:r>
      <w:r w:rsidRPr="396ABCA7">
        <w:rPr>
          <w:rFonts w:cs="Calibri"/>
        </w:rPr>
        <w:t xml:space="preserve"> while the latter emphasised ‘cooperation rather than confrontation and conciliation rather than coercion’.</w:t>
      </w:r>
      <w:r w:rsidRPr="396ABCA7">
        <w:rPr>
          <w:rStyle w:val="FootnoteReference"/>
          <w:rFonts w:cs="Calibri"/>
        </w:rPr>
        <w:footnoteReference w:id="18"/>
      </w:r>
      <w:r w:rsidRPr="396ABCA7">
        <w:rPr>
          <w:rFonts w:cs="Calibri"/>
        </w:rPr>
        <w:t xml:space="preserve"> Broadly, the unresolved problem of this analysis was that the </w:t>
      </w:r>
      <w:r>
        <w:rPr>
          <w:rFonts w:cs="Calibri"/>
        </w:rPr>
        <w:t>two</w:t>
      </w:r>
      <w:r w:rsidRPr="396ABCA7">
        <w:rPr>
          <w:rFonts w:cs="Calibri"/>
        </w:rPr>
        <w:t xml:space="preserve"> strategies were considered alternative extremes rather than complementary components of a single regulatory effort. It is not an ‘either/or’ situation.</w:t>
      </w:r>
    </w:p>
    <w:p w14:paraId="2FA38B99" w14:textId="4F74CA6A" w:rsidR="00D82BD0" w:rsidRPr="002F3BED" w:rsidRDefault="00D82BD0" w:rsidP="00D82BD0">
      <w:r w:rsidRPr="00167CB8">
        <w:rPr>
          <w:rFonts w:cs="Calibri"/>
        </w:rPr>
        <w:t xml:space="preserve">Ayres and Braithwaite’s notion of ‘responsive regulation’ was subsequently considered an attempt to overcome this weakness, especially by developing the concept of an ‘enforcement </w:t>
      </w:r>
      <w:r w:rsidRPr="00BC2FFB">
        <w:rPr>
          <w:rFonts w:cs="Calibri"/>
        </w:rPr>
        <w:t>pyramid’ (see Figure 1).</w:t>
      </w:r>
      <w:r w:rsidRPr="00BC2FFB">
        <w:rPr>
          <w:rStyle w:val="FootnoteReference"/>
          <w:rFonts w:cs="Calibri"/>
        </w:rPr>
        <w:footnoteReference w:id="19"/>
      </w:r>
      <w:r w:rsidRPr="00BC2FFB">
        <w:rPr>
          <w:rFonts w:cs="Calibri"/>
        </w:rPr>
        <w:t xml:space="preserve"> In this pyramid</w:t>
      </w:r>
      <w:r w:rsidRPr="00167CB8">
        <w:rPr>
          <w:rFonts w:cs="Calibri"/>
        </w:rPr>
        <w:t>, the most common regulatory responses by agencies (at the base of the pyramid) were persuasion or warnings, directions and negotiated outcomes. As the regulatory agency worked up the pyramid towards less common strategies, the strategies became increasingly punitive, emphasising civil and then criminal penalties and finally reaching licence revocation or ‘incapacitation’ at the top.</w:t>
      </w:r>
    </w:p>
    <w:p w14:paraId="55854DBF" w14:textId="77777777" w:rsidR="00A069B5" w:rsidRDefault="008275E1" w:rsidP="007F380D">
      <w:pPr>
        <w:pStyle w:val="Caption"/>
      </w:pPr>
      <w:bookmarkStart w:id="37" w:name="_Ref188392314"/>
      <w:bookmarkStart w:id="38" w:name="_Toc189310807"/>
      <w:bookmarkStart w:id="39" w:name="_Toc194251499"/>
      <w:r>
        <w:t xml:space="preserve">Figure </w:t>
      </w:r>
      <w:r>
        <w:fldChar w:fldCharType="begin"/>
      </w:r>
      <w:r>
        <w:instrText xml:space="preserve"> SEQ Figure \* ARABIC </w:instrText>
      </w:r>
      <w:r>
        <w:fldChar w:fldCharType="separate"/>
      </w:r>
      <w:r w:rsidR="00DE5F5E">
        <w:rPr>
          <w:noProof/>
        </w:rPr>
        <w:t>1</w:t>
      </w:r>
      <w:r>
        <w:fldChar w:fldCharType="end"/>
      </w:r>
      <w:r>
        <w:t xml:space="preserve">: </w:t>
      </w:r>
      <w:r w:rsidR="00D82BD0" w:rsidRPr="00167CB8">
        <w:t>The enforcement pyramid</w:t>
      </w:r>
      <w:bookmarkEnd w:id="37"/>
      <w:bookmarkEnd w:id="38"/>
      <w:bookmarkEnd w:id="39"/>
    </w:p>
    <w:p w14:paraId="302F4A05" w14:textId="18C8417E" w:rsidR="00D82BD0" w:rsidRPr="00167CB8" w:rsidRDefault="00933FE9" w:rsidP="00A069B5">
      <w:pPr>
        <w:pStyle w:val="Caption"/>
        <w:jc w:val="center"/>
      </w:pPr>
      <w:r>
        <w:rPr>
          <w:b w:val="0"/>
          <w:bCs w:val="0"/>
          <w:noProof/>
        </w:rPr>
        <w:drawing>
          <wp:inline distT="0" distB="0" distL="0" distR="0" wp14:anchorId="7072016F" wp14:editId="60ADE8AC">
            <wp:extent cx="4369435" cy="3396615"/>
            <wp:effectExtent l="0" t="0" r="0" b="0"/>
            <wp:docPr id="1175441528" name="Picture 1" descr="A diagram of an enforcement pyramid.&#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441528" name="Picture 1" descr="A diagram of an enforcement pyramid.&#10;&#10;See alt-text following the sour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69435" cy="3396615"/>
                    </a:xfrm>
                    <a:prstGeom prst="rect">
                      <a:avLst/>
                    </a:prstGeom>
                  </pic:spPr>
                </pic:pic>
              </a:graphicData>
            </a:graphic>
          </wp:inline>
        </w:drawing>
      </w:r>
    </w:p>
    <w:p w14:paraId="26340F00" w14:textId="095A3F69" w:rsidR="00A069B5" w:rsidRDefault="00D82BD0" w:rsidP="00D82BD0">
      <w:pPr>
        <w:pStyle w:val="Source"/>
      </w:pPr>
      <w:r w:rsidRPr="396ABCA7">
        <w:rPr>
          <w:b/>
          <w:bCs/>
        </w:rPr>
        <w:t>Source:</w:t>
      </w:r>
      <w:r w:rsidRPr="396ABCA7">
        <w:t xml:space="preserve"> Ayres and Braithwaite.</w:t>
      </w:r>
      <w:r w:rsidRPr="396ABCA7">
        <w:rPr>
          <w:rStyle w:val="FootnoteReference"/>
        </w:rPr>
        <w:footnoteReference w:id="20"/>
      </w:r>
    </w:p>
    <w:p w14:paraId="663F619B" w14:textId="77777777" w:rsidR="00A069B5" w:rsidRDefault="00A069B5">
      <w:pPr>
        <w:spacing w:after="160"/>
        <w:rPr>
          <w:sz w:val="18"/>
        </w:rPr>
      </w:pPr>
      <w:r>
        <w:br w:type="page"/>
      </w:r>
    </w:p>
    <w:p w14:paraId="6F710571" w14:textId="77777777" w:rsidR="00D82BD0" w:rsidRPr="00E20865" w:rsidRDefault="00D82BD0" w:rsidP="00D82BD0">
      <w:pPr>
        <w:rPr>
          <w:rFonts w:cs="Calibri"/>
          <w:sz w:val="18"/>
          <w:szCs w:val="18"/>
        </w:rPr>
      </w:pPr>
      <w:r w:rsidRPr="00742A75">
        <w:rPr>
          <w:rFonts w:cs="Calibri"/>
          <w:b/>
          <w:sz w:val="18"/>
          <w:szCs w:val="18"/>
        </w:rPr>
        <w:lastRenderedPageBreak/>
        <w:t>Alt-text:</w:t>
      </w:r>
      <w:r w:rsidRPr="00742A75">
        <w:rPr>
          <w:rFonts w:cs="Calibri"/>
          <w:sz w:val="18"/>
          <w:szCs w:val="18"/>
        </w:rPr>
        <w:t xml:space="preserve"> A triangular or 'pyramid' shaped graphic separated into six parts to represent enforcement options in regulatory practice. The base of the triangle, representing an initial and common regulatory response is 'Persuasion', and each part of the increasingly more responsive regulatory approaches to potential non-compliance are 'Warning Letter', 'Civil Penalty', 'Criminal Penalty', 'Licence Suspension' Licence revocation'.</w:t>
      </w:r>
    </w:p>
    <w:p w14:paraId="5DEAA294" w14:textId="77777777" w:rsidR="00D82BD0" w:rsidRPr="00167CB8" w:rsidRDefault="00D82BD0" w:rsidP="00D82BD0">
      <w:pPr>
        <w:rPr>
          <w:rFonts w:cs="Calibri"/>
        </w:rPr>
      </w:pPr>
      <w:r w:rsidRPr="396ABCA7">
        <w:rPr>
          <w:rFonts w:cs="Calibri"/>
        </w:rPr>
        <w:t>The advantage of this ‘responsive’ approach is the recognition it gives to the possibility of the same agency advancing different strategic responses to address different types of problems. This type of analysis therefore tends to focus attention on attributes of the regulatory problems.</w:t>
      </w:r>
    </w:p>
    <w:p w14:paraId="0D6C0294" w14:textId="698EEFC6" w:rsidR="00D82BD0" w:rsidRPr="00167CB8" w:rsidRDefault="00D82BD0" w:rsidP="00D82BD0">
      <w:pPr>
        <w:rPr>
          <w:rFonts w:cs="Calibri"/>
        </w:rPr>
      </w:pPr>
      <w:r w:rsidRPr="396ABCA7">
        <w:rPr>
          <w:rFonts w:cs="Calibri"/>
        </w:rPr>
        <w:t xml:space="preserve">An alternative explanation of regulatory choice focuses on the attributes of the Australian governments establishing the legislative base for regulation or for the regulatory agency itself. This approach to explanation – which overlaps with some of the factors discussed above as explaining the choice </w:t>
      </w:r>
      <w:r w:rsidRPr="00FF122F">
        <w:rPr>
          <w:rFonts w:cs="Calibri"/>
        </w:rPr>
        <w:t xml:space="preserve">between institutional integration </w:t>
      </w:r>
      <w:r w:rsidR="00FF122F">
        <w:rPr>
          <w:rFonts w:cs="Calibri"/>
        </w:rPr>
        <w:t xml:space="preserve">and </w:t>
      </w:r>
      <w:r w:rsidRPr="00FF122F">
        <w:rPr>
          <w:rFonts w:cs="Calibri"/>
        </w:rPr>
        <w:t>institutional</w:t>
      </w:r>
      <w:r w:rsidRPr="396ABCA7">
        <w:rPr>
          <w:rFonts w:cs="Calibri"/>
        </w:rPr>
        <w:t xml:space="preserve"> separation – suggests that decisions about the most appropriate regulatory strategy for addressing different problems were influenced by the political judgements made by governments. In other words, it might be expected – other things being equal – that governments would choose regulatory strategies that they thought would bring them advantage.</w:t>
      </w:r>
    </w:p>
    <w:p w14:paraId="03AB9015" w14:textId="77777777" w:rsidR="00D82BD0" w:rsidRPr="00167CB8" w:rsidRDefault="00D82BD0" w:rsidP="00D82BD0">
      <w:pPr>
        <w:spacing w:after="160"/>
        <w:rPr>
          <w:rFonts w:cs="Calibri"/>
        </w:rPr>
      </w:pPr>
      <w:r w:rsidRPr="00167CB8">
        <w:rPr>
          <w:rFonts w:cs="Calibri"/>
        </w:rPr>
        <w:br w:type="page"/>
      </w:r>
    </w:p>
    <w:p w14:paraId="67C31E76" w14:textId="77777777" w:rsidR="00D82BD0" w:rsidRPr="00167CB8" w:rsidRDefault="00D82BD0" w:rsidP="00D82BD0">
      <w:pPr>
        <w:pStyle w:val="Heading3"/>
        <w:rPr>
          <w:rFonts w:asciiTheme="minorHAnsi" w:hAnsiTheme="minorHAnsi"/>
        </w:rPr>
      </w:pPr>
      <w:bookmarkStart w:id="40" w:name="_Toc187421560"/>
      <w:bookmarkStart w:id="41" w:name="_Toc187946362"/>
      <w:bookmarkStart w:id="42" w:name="_Toc188277906"/>
      <w:bookmarkStart w:id="43" w:name="_Toc189260199"/>
      <w:bookmarkStart w:id="44" w:name="_Toc189393515"/>
      <w:bookmarkStart w:id="45" w:name="_Toc194311410"/>
      <w:r w:rsidRPr="00167CB8">
        <w:rPr>
          <w:rFonts w:asciiTheme="minorHAnsi" w:hAnsiTheme="minorHAnsi"/>
        </w:rPr>
        <w:lastRenderedPageBreak/>
        <w:t xml:space="preserve">Chapter 4. </w:t>
      </w:r>
      <w:bookmarkEnd w:id="40"/>
      <w:bookmarkEnd w:id="41"/>
      <w:r w:rsidRPr="00167CB8">
        <w:rPr>
          <w:rFonts w:asciiTheme="minorHAnsi" w:hAnsiTheme="minorHAnsi"/>
        </w:rPr>
        <w:t>Abolition of the Australian Building and Construction Commission</w:t>
      </w:r>
      <w:bookmarkEnd w:id="42"/>
      <w:bookmarkEnd w:id="43"/>
      <w:bookmarkEnd w:id="44"/>
      <w:bookmarkEnd w:id="45"/>
    </w:p>
    <w:p w14:paraId="437494D8" w14:textId="360794E2" w:rsidR="00D82BD0" w:rsidRPr="00167CB8" w:rsidRDefault="00D82BD0" w:rsidP="00D82BD0">
      <w:r w:rsidRPr="396ABCA7">
        <w:t xml:space="preserve">This chapter follows the </w:t>
      </w:r>
      <w:r w:rsidRPr="00457BDB">
        <w:t>abolition of the Australian Building and Construction Commission (ABCC) and its integration into the Fair Work Ombudsman (FWO), exploring the connection with the two themes highlighted in the previous chapter; namely, institutional integration and new regulatory strategies.</w:t>
      </w:r>
    </w:p>
    <w:p w14:paraId="6A7F0599" w14:textId="77777777" w:rsidR="00D82BD0" w:rsidRPr="00167CB8" w:rsidRDefault="00D82BD0" w:rsidP="00D82BD0">
      <w:pPr>
        <w:pStyle w:val="Heading4"/>
      </w:pPr>
      <w:bookmarkStart w:id="46" w:name="_Toc185851504"/>
      <w:bookmarkStart w:id="47" w:name="_Toc187421561"/>
      <w:bookmarkStart w:id="48" w:name="_Toc187946363"/>
      <w:bookmarkStart w:id="49" w:name="_Toc188277907"/>
      <w:bookmarkStart w:id="50" w:name="_Toc189260200"/>
      <w:bookmarkStart w:id="51" w:name="_Toc189393516"/>
      <w:r w:rsidRPr="00167CB8">
        <w:t xml:space="preserve">4.1 </w:t>
      </w:r>
      <w:bookmarkEnd w:id="46"/>
      <w:bookmarkEnd w:id="47"/>
      <w:bookmarkEnd w:id="48"/>
      <w:r w:rsidRPr="00167CB8">
        <w:t>Amendments and intent</w:t>
      </w:r>
      <w:bookmarkEnd w:id="49"/>
      <w:bookmarkEnd w:id="50"/>
      <w:bookmarkEnd w:id="51"/>
    </w:p>
    <w:p w14:paraId="2606A456" w14:textId="57C89404" w:rsidR="00D82BD0" w:rsidRDefault="00D82BD0" w:rsidP="00D82BD0">
      <w:r w:rsidRPr="00167CB8">
        <w:t xml:space="preserve">The Secure Jobs, Better Pay Act abolished the commercial building and construction industry-specific regulator, the ABCC. The Secure Jobs, Better Pay Act also </w:t>
      </w:r>
      <w:r w:rsidRPr="00457BDB">
        <w:t>repealed the Code for the Tendering and Performance o</w:t>
      </w:r>
      <w:r w:rsidR="0085375D">
        <w:t>f</w:t>
      </w:r>
      <w:r w:rsidRPr="00457BDB">
        <w:t xml:space="preserve"> Building Work 2016 (Building Code). Regul</w:t>
      </w:r>
      <w:r w:rsidRPr="00167CB8">
        <w:t>atory responsibility for oversight of</w:t>
      </w:r>
      <w:r>
        <w:t xml:space="preserve"> </w:t>
      </w:r>
      <w:r w:rsidRPr="00167CB8">
        <w:t>the building and construction sector was reintegrated into the FWO</w:t>
      </w:r>
      <w:r>
        <w:t xml:space="preserve"> (with the exception of </w:t>
      </w:r>
      <w:r w:rsidR="00B519C6">
        <w:t>work health and safety w</w:t>
      </w:r>
      <w:r w:rsidR="003E35AE">
        <w:t>hich remains regulated by</w:t>
      </w:r>
      <w:r>
        <w:t xml:space="preserve"> the Federal Safety Commissioner).</w:t>
      </w:r>
      <w:bookmarkStart w:id="52" w:name="_Toc187421563"/>
      <w:bookmarkStart w:id="53" w:name="_Toc187946365"/>
    </w:p>
    <w:p w14:paraId="67DB4457" w14:textId="745D4231" w:rsidR="00D82BD0" w:rsidRPr="00167CB8" w:rsidRDefault="00D82BD0" w:rsidP="00D82BD0">
      <w:pPr>
        <w:pStyle w:val="Heading5"/>
        <w:rPr>
          <w:rFonts w:asciiTheme="minorHAnsi" w:hAnsiTheme="minorHAnsi"/>
        </w:rPr>
      </w:pPr>
      <w:r w:rsidRPr="00167CB8">
        <w:t>4.1.1 Secure Jobs, Better Pay amendments</w:t>
      </w:r>
      <w:bookmarkEnd w:id="52"/>
      <w:bookmarkEnd w:id="53"/>
    </w:p>
    <w:p w14:paraId="61D9BA49" w14:textId="77777777" w:rsidR="00D82BD0" w:rsidRPr="00167CB8" w:rsidRDefault="00D82BD0" w:rsidP="00D82BD0">
      <w:r w:rsidRPr="00167CB8">
        <w:t>Part 3 of Schedule 1 of the Secure Jobs, Better Pay Act:</w:t>
      </w:r>
    </w:p>
    <w:p w14:paraId="78CC65F2" w14:textId="44CED7E2" w:rsidR="00D82BD0" w:rsidRPr="00457BDB" w:rsidRDefault="00D82BD0" w:rsidP="00B40A91">
      <w:pPr>
        <w:pStyle w:val="ListBullet"/>
        <w:numPr>
          <w:ilvl w:val="0"/>
          <w:numId w:val="1"/>
        </w:numPr>
        <w:ind w:left="284" w:hanging="284"/>
      </w:pPr>
      <w:r w:rsidRPr="00457BDB">
        <w:t xml:space="preserve">abolished the ABCC by repealing relevant the parts of the </w:t>
      </w:r>
      <w:r w:rsidRPr="00457BDB">
        <w:rPr>
          <w:i/>
          <w:iCs/>
        </w:rPr>
        <w:t xml:space="preserve">Building and Construction Industry (Improving Productivity) Act 2016 </w:t>
      </w:r>
      <w:r w:rsidRPr="00926086">
        <w:t>(Cth)</w:t>
      </w:r>
      <w:r w:rsidRPr="00457BDB">
        <w:t xml:space="preserve"> (BCIIP Act)</w:t>
      </w:r>
    </w:p>
    <w:p w14:paraId="546FF68A" w14:textId="65F86B56" w:rsidR="00D82BD0" w:rsidRPr="00167CB8" w:rsidRDefault="00D82BD0" w:rsidP="00B40A91">
      <w:pPr>
        <w:pStyle w:val="ListBullet"/>
        <w:numPr>
          <w:ilvl w:val="0"/>
          <w:numId w:val="1"/>
        </w:numPr>
        <w:ind w:left="284" w:hanging="284"/>
      </w:pPr>
      <w:r w:rsidRPr="00167CB8">
        <w:t>repealed the Building Code</w:t>
      </w:r>
    </w:p>
    <w:p w14:paraId="6651EF43" w14:textId="77777777" w:rsidR="00D82BD0" w:rsidRPr="00167CB8" w:rsidRDefault="00D82BD0" w:rsidP="00B40A91">
      <w:pPr>
        <w:pStyle w:val="ListBullet"/>
        <w:numPr>
          <w:ilvl w:val="0"/>
          <w:numId w:val="1"/>
        </w:numPr>
        <w:ind w:left="284" w:hanging="284"/>
      </w:pPr>
      <w:r w:rsidRPr="00167CB8">
        <w:t>removed provisions for higher penalties for building industry participants and the broader circumstances in which they apply</w:t>
      </w:r>
    </w:p>
    <w:p w14:paraId="7054C317" w14:textId="19EF01A1" w:rsidR="00D82BD0" w:rsidRPr="00167CB8" w:rsidRDefault="00D82BD0" w:rsidP="00B40A91">
      <w:pPr>
        <w:pStyle w:val="ListBullet"/>
        <w:numPr>
          <w:ilvl w:val="0"/>
          <w:numId w:val="1"/>
        </w:numPr>
        <w:ind w:left="284" w:hanging="284"/>
      </w:pPr>
      <w:r w:rsidRPr="396ABCA7">
        <w:t>provided for transitional arrangements for the abolition of the ABCC, including transferring investigations and pending court proceedings to the FWO.</w:t>
      </w:r>
      <w:r w:rsidRPr="396ABCA7">
        <w:rPr>
          <w:rStyle w:val="FootnoteReference"/>
        </w:rPr>
        <w:footnoteReference w:id="21"/>
      </w:r>
      <w:r w:rsidR="00B40A91" w:rsidRPr="00B40A91" w:rsidDel="00B40A91">
        <w:t xml:space="preserve"> </w:t>
      </w:r>
    </w:p>
    <w:p w14:paraId="7ECD3CD1" w14:textId="77777777" w:rsidR="00D82BD0" w:rsidRPr="00167CB8" w:rsidRDefault="00D82BD0" w:rsidP="00D82BD0">
      <w:r w:rsidRPr="396ABCA7">
        <w:t xml:space="preserve">Provisions relating to the Work Health and Safety Accreditation Scheme and Office of the Federal Safety Commissioner were retained in a renamed Act, the </w:t>
      </w:r>
      <w:r w:rsidRPr="396ABCA7">
        <w:rPr>
          <w:i/>
          <w:iCs/>
        </w:rPr>
        <w:t>Federal Safety Commissioner Act 2022</w:t>
      </w:r>
      <w:r w:rsidRPr="396ABCA7">
        <w:t xml:space="preserve"> (Cth).</w:t>
      </w:r>
      <w:r w:rsidRPr="396ABCA7">
        <w:rPr>
          <w:rStyle w:val="FootnoteReference"/>
        </w:rPr>
        <w:footnoteReference w:id="22"/>
      </w:r>
      <w:bookmarkStart w:id="54" w:name="_Toc185594490"/>
    </w:p>
    <w:p w14:paraId="22A31AAF" w14:textId="38F8276F" w:rsidR="00D82BD0" w:rsidRPr="00167CB8" w:rsidRDefault="00D82BD0" w:rsidP="00D82BD0">
      <w:r w:rsidRPr="396ABCA7">
        <w:t>These amendments commenced</w:t>
      </w:r>
      <w:r>
        <w:t xml:space="preserve"> </w:t>
      </w:r>
      <w:r w:rsidRPr="00742A75">
        <w:t xml:space="preserve">in stages. The transitional period and </w:t>
      </w:r>
      <w:r>
        <w:t xml:space="preserve">the </w:t>
      </w:r>
      <w:r w:rsidRPr="00742A75">
        <w:t>repeal of building industry specific regulation and penalties commenced on 7 December 2022 (the day after Royal Assent), while the amendments relating to the abolition of the ABCC commenced</w:t>
      </w:r>
      <w:r w:rsidRPr="396ABCA7">
        <w:t xml:space="preserve"> on 6 February 2023</w:t>
      </w:r>
      <w:r>
        <w:t>.</w:t>
      </w:r>
    </w:p>
    <w:bookmarkEnd w:id="54"/>
    <w:p w14:paraId="66436FAF" w14:textId="77777777" w:rsidR="00D82BD0" w:rsidRPr="00167CB8" w:rsidRDefault="00D82BD0" w:rsidP="00D82BD0">
      <w:r w:rsidRPr="396ABCA7">
        <w:t>While many of the FWO’s powers are the same as</w:t>
      </w:r>
      <w:r>
        <w:t>,</w:t>
      </w:r>
      <w:r w:rsidRPr="396ABCA7">
        <w:t xml:space="preserve"> or similar to</w:t>
      </w:r>
      <w:r>
        <w:t>,</w:t>
      </w:r>
      <w:r w:rsidRPr="396ABCA7">
        <w:t xml:space="preserve"> those of the former ABCC, not all the powers of the ABCC are available to the FWO. Key differences in the powers of the agencies are outlined below.</w:t>
      </w:r>
    </w:p>
    <w:p w14:paraId="44206AAF" w14:textId="6DFB1F66" w:rsidR="00D82BD0" w:rsidRPr="00167CB8" w:rsidRDefault="00D82BD0" w:rsidP="00D82BD0">
      <w:r w:rsidRPr="00167CB8">
        <w:t>First, there</w:t>
      </w:r>
      <w:r w:rsidRPr="00167CB8" w:rsidDel="00195B24">
        <w:t xml:space="preserve"> </w:t>
      </w:r>
      <w:r w:rsidRPr="00167CB8">
        <w:t>were differences between the agencies’ powers to issue notices. The FWO can apply to the Administrative Review Tribunal for a ‘FWO notice’, which is a written notice that may require a person to provide information, produce documents or attend and answer questions relevant to the investigation.</w:t>
      </w:r>
      <w:r w:rsidRPr="00167CB8">
        <w:rPr>
          <w:vertAlign w:val="superscript"/>
        </w:rPr>
        <w:footnoteReference w:id="23"/>
      </w:r>
      <w:r w:rsidRPr="00167CB8">
        <w:t xml:space="preserve"> The </w:t>
      </w:r>
      <w:r w:rsidR="00AE030A">
        <w:t>Australian Building and Construction</w:t>
      </w:r>
      <w:r w:rsidR="00B92AD2">
        <w:t xml:space="preserve"> </w:t>
      </w:r>
      <w:r w:rsidR="00B92AD2">
        <w:lastRenderedPageBreak/>
        <w:t>Commissioner</w:t>
      </w:r>
      <w:r w:rsidR="00AE030A" w:rsidRPr="00167CB8">
        <w:t xml:space="preserve"> </w:t>
      </w:r>
      <w:r w:rsidR="00AE030A">
        <w:t>(ABC</w:t>
      </w:r>
      <w:r w:rsidR="00B92AD2">
        <w:t xml:space="preserve"> Commissioner</w:t>
      </w:r>
      <w:r w:rsidR="00AE030A">
        <w:t xml:space="preserve">) </w:t>
      </w:r>
      <w:r w:rsidRPr="00167CB8">
        <w:t xml:space="preserve">had a generally similar power to apply to an Administrative Appeals Tribunal presidential member for an </w:t>
      </w:r>
      <w:r>
        <w:t>‘</w:t>
      </w:r>
      <w:r w:rsidRPr="00167CB8">
        <w:t>examination notice</w:t>
      </w:r>
      <w:r>
        <w:t>’</w:t>
      </w:r>
      <w:r w:rsidRPr="00167CB8">
        <w:t>.</w:t>
      </w:r>
      <w:r w:rsidRPr="00167CB8">
        <w:rPr>
          <w:vertAlign w:val="superscript"/>
        </w:rPr>
        <w:footnoteReference w:id="24"/>
      </w:r>
    </w:p>
    <w:p w14:paraId="2AA99ACF" w14:textId="63D1496E" w:rsidR="00D82BD0" w:rsidRPr="00167CB8" w:rsidRDefault="00D82BD0" w:rsidP="00D82BD0">
      <w:r w:rsidRPr="00167CB8">
        <w:t xml:space="preserve">A key difference between </w:t>
      </w:r>
      <w:r>
        <w:t>‘</w:t>
      </w:r>
      <w:r w:rsidRPr="00167CB8">
        <w:t>FWO notices</w:t>
      </w:r>
      <w:r>
        <w:t>’</w:t>
      </w:r>
      <w:r w:rsidRPr="00167CB8">
        <w:t xml:space="preserve"> and </w:t>
      </w:r>
      <w:r>
        <w:t>the ABC Commissioner’s ‘</w:t>
      </w:r>
      <w:r w:rsidRPr="00167CB8">
        <w:t>examination notices</w:t>
      </w:r>
      <w:r>
        <w:t>’</w:t>
      </w:r>
      <w:r w:rsidRPr="00167CB8">
        <w:t xml:space="preserve"> is that the FWO can only issue a </w:t>
      </w:r>
      <w:r>
        <w:t>‘</w:t>
      </w:r>
      <w:r w:rsidRPr="00167CB8">
        <w:t>FWO notice</w:t>
      </w:r>
      <w:r>
        <w:t>’</w:t>
      </w:r>
      <w:r w:rsidRPr="00167CB8">
        <w:t xml:space="preserve"> in relation to a defined set of suspected contraventions of the </w:t>
      </w:r>
      <w:r w:rsidRPr="007C2F33">
        <w:rPr>
          <w:iCs/>
        </w:rPr>
        <w:t>Fair Work Act,</w:t>
      </w:r>
      <w:r w:rsidRPr="00167CB8">
        <w:t xml:space="preserve"> a fair work instrument or a safety net contractual entitlement. </w:t>
      </w:r>
      <w:r>
        <w:t>More specifically, t</w:t>
      </w:r>
      <w:r w:rsidRPr="00167CB8">
        <w:t xml:space="preserve">he </w:t>
      </w:r>
      <w:r>
        <w:t>‘</w:t>
      </w:r>
      <w:r w:rsidRPr="00167CB8">
        <w:t>FWO notices</w:t>
      </w:r>
      <w:r>
        <w:t>’</w:t>
      </w:r>
      <w:r w:rsidRPr="00167CB8">
        <w:t xml:space="preserve"> must relate directly or indirectly to underpayments, unreasonable deductions or requirements on employees to spend or pay amounts paid or payable, unfair dismissal, bullying, workplace sexual harassment, unlawful discrimination, </w:t>
      </w:r>
      <w:r w:rsidRPr="00AE030A">
        <w:t>National Employment Standards (NES) contraventions</w:t>
      </w:r>
      <w:r w:rsidRPr="00167CB8">
        <w:t>, underpayment of entitlements under</w:t>
      </w:r>
      <w:r w:rsidRPr="00167CB8" w:rsidDel="00B138DF">
        <w:t xml:space="preserve"> </w:t>
      </w:r>
      <w:r w:rsidRPr="00167CB8">
        <w:t>a minimum standards order or road transport contractual chain order, unfair deactivation of an employee-like worker or unfair termination of a regulated road transport contractor, or coercion of an employee by an employer.</w:t>
      </w:r>
      <w:r w:rsidRPr="00167CB8">
        <w:rPr>
          <w:vertAlign w:val="superscript"/>
        </w:rPr>
        <w:footnoteReference w:id="25"/>
      </w:r>
    </w:p>
    <w:p w14:paraId="47A4CBDE" w14:textId="1F3C0807" w:rsidR="00D82BD0" w:rsidRPr="00167CB8" w:rsidRDefault="00D82BD0" w:rsidP="00D82BD0">
      <w:r w:rsidRPr="396ABCA7">
        <w:t xml:space="preserve">In contrast, the ABC Commissioner could issue an </w:t>
      </w:r>
      <w:r>
        <w:t>‘</w:t>
      </w:r>
      <w:r w:rsidRPr="396ABCA7">
        <w:t>examination notice</w:t>
      </w:r>
      <w:r>
        <w:t>’</w:t>
      </w:r>
      <w:r w:rsidRPr="396ABCA7">
        <w:t xml:space="preserve"> if they believed that on reasonable grounds the person had ‘information or documents relevant to an investigation</w:t>
      </w:r>
      <w:r w:rsidR="003826FA">
        <w:t xml:space="preserve"> </w:t>
      </w:r>
      <w:r w:rsidRPr="396ABCA7">
        <w:t>… into a suspected contravention by a building industry participant of the BCIIP Act</w:t>
      </w:r>
      <w:r w:rsidRPr="396ABCA7" w:rsidDel="00B138DF">
        <w:t xml:space="preserve"> </w:t>
      </w:r>
      <w:r w:rsidRPr="396ABCA7">
        <w:t>or a designated building law’.</w:t>
      </w:r>
      <w:r w:rsidRPr="396ABCA7">
        <w:rPr>
          <w:vertAlign w:val="superscript"/>
        </w:rPr>
        <w:footnoteReference w:id="26"/>
      </w:r>
      <w:r>
        <w:t xml:space="preserve"> </w:t>
      </w:r>
      <w:r w:rsidRPr="00742A75">
        <w:t xml:space="preserve">Under </w:t>
      </w:r>
      <w:r w:rsidR="00AE030A" w:rsidRPr="00742A75">
        <w:t>s</w:t>
      </w:r>
      <w:r w:rsidR="00AE030A">
        <w:t xml:space="preserve"> </w:t>
      </w:r>
      <w:r w:rsidRPr="00742A75">
        <w:t xml:space="preserve">5 of the BCIIP Act a designated building law is the </w:t>
      </w:r>
      <w:r w:rsidRPr="00742A75">
        <w:rPr>
          <w:i/>
        </w:rPr>
        <w:t>Independent Contactors Act 2006</w:t>
      </w:r>
      <w:r w:rsidRPr="00742A75">
        <w:t xml:space="preserve">, </w:t>
      </w:r>
      <w:r w:rsidRPr="007B6AF7">
        <w:t>the Fair Work Act, Fair Work Transitional Act or</w:t>
      </w:r>
      <w:r w:rsidRPr="00742A75">
        <w:t xml:space="preserve"> a Commonwealth industrial instrument.</w:t>
      </w:r>
    </w:p>
    <w:p w14:paraId="182DE73B" w14:textId="43238DC4" w:rsidR="00D82BD0" w:rsidRPr="00167CB8" w:rsidRDefault="00D82BD0" w:rsidP="00D82BD0">
      <w:r w:rsidRPr="00167CB8">
        <w:t xml:space="preserve">Second, the FWO’s power to issue a </w:t>
      </w:r>
      <w:r>
        <w:t>‘</w:t>
      </w:r>
      <w:r w:rsidRPr="00167CB8">
        <w:t>compliance notice</w:t>
      </w:r>
      <w:r>
        <w:t>’</w:t>
      </w:r>
      <w:r w:rsidRPr="00167CB8">
        <w:t xml:space="preserve"> is limited to certain entitlement-related provisions (among others, a provision of the NES, a term of a modern awards or enterprise agreements, a term of a workplace determination, a term of a national minimum wage order, or a term of an equal remuneration order),</w:t>
      </w:r>
      <w:r w:rsidRPr="00167CB8">
        <w:rPr>
          <w:rStyle w:val="FootnoteReference"/>
        </w:rPr>
        <w:footnoteReference w:id="27"/>
      </w:r>
      <w:r w:rsidRPr="00167CB8">
        <w:t xml:space="preserve"> whereas the ABCC power to issue a </w:t>
      </w:r>
      <w:r>
        <w:t>‘</w:t>
      </w:r>
      <w:r w:rsidRPr="00167CB8">
        <w:t>compliance notice</w:t>
      </w:r>
      <w:r>
        <w:t>’</w:t>
      </w:r>
      <w:r w:rsidRPr="00167CB8">
        <w:t xml:space="preserve"> was broader and related to contraventions (directly or indirectly) of the BCIIP Act, a designed building law or the Building Code that related to building work.</w:t>
      </w:r>
      <w:r w:rsidRPr="00167CB8">
        <w:rPr>
          <w:rStyle w:val="FootnoteReference"/>
        </w:rPr>
        <w:footnoteReference w:id="28"/>
      </w:r>
    </w:p>
    <w:p w14:paraId="340C8545" w14:textId="322667E2" w:rsidR="00D82BD0" w:rsidRPr="00167CB8" w:rsidRDefault="00D82BD0" w:rsidP="00D82BD0">
      <w:pPr>
        <w:spacing w:after="120"/>
      </w:pPr>
      <w:r w:rsidRPr="00167CB8">
        <w:t xml:space="preserve">Third, there were also differences between the power of FWO and </w:t>
      </w:r>
      <w:r w:rsidR="008B62CB">
        <w:t>Australian B</w:t>
      </w:r>
      <w:r w:rsidR="00E529F1">
        <w:t>uilding and Construction Inspectors</w:t>
      </w:r>
      <w:r w:rsidRPr="00167CB8">
        <w:t xml:space="preserve"> </w:t>
      </w:r>
      <w:r w:rsidR="00E529F1">
        <w:t>(</w:t>
      </w:r>
      <w:r w:rsidRPr="00167CB8">
        <w:t>ABC inspectors</w:t>
      </w:r>
      <w:r w:rsidR="00E529F1">
        <w:t>)</w:t>
      </w:r>
      <w:r w:rsidRPr="00167CB8">
        <w:t xml:space="preserve"> to enter premises. FWO inspectors cannot enter part of a premises that is used for residential purposes unless they reasonably believe the work is being performed on that part of the premises.</w:t>
      </w:r>
      <w:r w:rsidRPr="00167CB8">
        <w:rPr>
          <w:rStyle w:val="FootnoteReference"/>
        </w:rPr>
        <w:footnoteReference w:id="29"/>
      </w:r>
      <w:r w:rsidRPr="00167CB8">
        <w:t xml:space="preserve"> ABC inspectors had broader powers to enter premises, with limitation if some parts of the premises were used for residential purposes.</w:t>
      </w:r>
      <w:r w:rsidRPr="00167CB8">
        <w:rPr>
          <w:rStyle w:val="FootnoteReference"/>
        </w:rPr>
        <w:footnoteReference w:id="30"/>
      </w:r>
      <w:r w:rsidRPr="00167CB8">
        <w:t xml:space="preserve"> The ABC inspectors could enter residential premises if they had a reasonable belief that building work was being performed on that part of the premises.</w:t>
      </w:r>
    </w:p>
    <w:p w14:paraId="5F6182CE" w14:textId="0DBE0930" w:rsidR="00D82BD0" w:rsidRPr="00167CB8" w:rsidRDefault="00D82BD0" w:rsidP="00D82BD0">
      <w:r w:rsidRPr="00167CB8">
        <w:t>Fourth, the ABC Commissioner could also intervene in civil proceedings that arose under the BCIIP Act or a designated building law, involved a building industry participant or building work, and were in the public interest.</w:t>
      </w:r>
      <w:r w:rsidRPr="00167CB8">
        <w:rPr>
          <w:rStyle w:val="FootnoteReference"/>
        </w:rPr>
        <w:footnoteReference w:id="31"/>
      </w:r>
      <w:r w:rsidRPr="00167CB8">
        <w:t xml:space="preserve"> The ABC Commissioner could also intervene or make submissions in a matter before the </w:t>
      </w:r>
      <w:r w:rsidR="007F2D9E">
        <w:t>Fair Work Commission (</w:t>
      </w:r>
      <w:r w:rsidRPr="00167CB8">
        <w:t>FWC</w:t>
      </w:r>
      <w:r w:rsidR="007F2D9E">
        <w:t>)</w:t>
      </w:r>
      <w:r w:rsidRPr="00167CB8">
        <w:t xml:space="preserve"> that arises under the Fair Work Act involving a building industry participant or building work.</w:t>
      </w:r>
      <w:r w:rsidRPr="00167CB8">
        <w:rPr>
          <w:rStyle w:val="FootnoteReference"/>
        </w:rPr>
        <w:footnoteReference w:id="32"/>
      </w:r>
    </w:p>
    <w:p w14:paraId="3AE3F167" w14:textId="77777777" w:rsidR="00D82BD0" w:rsidRPr="00167CB8" w:rsidRDefault="00D82BD0" w:rsidP="00D82BD0">
      <w:r w:rsidRPr="396ABCA7">
        <w:lastRenderedPageBreak/>
        <w:t>In contrast, while the Minister for Employment and Workplace Relations can intervene in matters that arise under the Fair Work Act or make submissions before the FWC in certain circumstances, the FWO cannot.</w:t>
      </w:r>
      <w:r w:rsidRPr="396ABCA7">
        <w:rPr>
          <w:rStyle w:val="FootnoteReference"/>
        </w:rPr>
        <w:footnoteReference w:id="33"/>
      </w:r>
    </w:p>
    <w:p w14:paraId="55B0CAB8" w14:textId="3A092942" w:rsidR="00D82BD0" w:rsidRPr="00167CB8" w:rsidRDefault="00D82BD0" w:rsidP="00D82BD0">
      <w:pPr>
        <w:rPr>
          <w:i/>
        </w:rPr>
      </w:pPr>
      <w:r w:rsidRPr="00167CB8">
        <w:t>There</w:t>
      </w:r>
      <w:r w:rsidRPr="00167CB8" w:rsidDel="00D71448">
        <w:t xml:space="preserve"> </w:t>
      </w:r>
      <w:r w:rsidRPr="00167CB8">
        <w:t xml:space="preserve">were </w:t>
      </w:r>
      <w:r>
        <w:t xml:space="preserve">some </w:t>
      </w:r>
      <w:r w:rsidRPr="00167CB8">
        <w:t>other differences between ABCC and FWO powers. For example, the ABC Commissioner could publish details of noncompliance if they believed it was in the public interest to do so.</w:t>
      </w:r>
      <w:r w:rsidRPr="00167CB8">
        <w:rPr>
          <w:rStyle w:val="FootnoteReference"/>
        </w:rPr>
        <w:footnoteReference w:id="34"/>
      </w:r>
      <w:r w:rsidRPr="00CB081A">
        <w:rPr>
          <w:rStyle w:val="FootnoteReference"/>
          <w:vertAlign w:val="baseline"/>
        </w:rPr>
        <w:t xml:space="preserve"> </w:t>
      </w:r>
      <w:r w:rsidRPr="00167CB8">
        <w:t xml:space="preserve">Further, </w:t>
      </w:r>
      <w:r w:rsidRPr="00AE030A">
        <w:t>the BCIIP Act also did</w:t>
      </w:r>
      <w:r w:rsidRPr="00167CB8">
        <w:t xml:space="preserve"> not excuse a person from giving information on the ground that to do so would contravene another law (although</w:t>
      </w:r>
      <w:r w:rsidR="00C976FB">
        <w:t>,</w:t>
      </w:r>
      <w:r w:rsidRPr="00167CB8">
        <w:t xml:space="preserve"> if the person gave information under an examination notice, they were protected from liability for contravening the other law).</w:t>
      </w:r>
      <w:r w:rsidRPr="00167CB8">
        <w:rPr>
          <w:rStyle w:val="FootnoteReference"/>
        </w:rPr>
        <w:footnoteReference w:id="35"/>
      </w:r>
    </w:p>
    <w:p w14:paraId="7A5DC790" w14:textId="4F68CDA0" w:rsidR="00D82BD0" w:rsidRPr="00167CB8" w:rsidRDefault="00D82BD0" w:rsidP="00D82BD0">
      <w:r w:rsidRPr="00167CB8">
        <w:t>The</w:t>
      </w:r>
      <w:r w:rsidRPr="00167CB8" w:rsidDel="00CF6DA2">
        <w:t xml:space="preserve"> </w:t>
      </w:r>
      <w:r w:rsidRPr="00167CB8">
        <w:t>Secure Jobs, Better Pay amendments</w:t>
      </w:r>
      <w:r>
        <w:t xml:space="preserve"> </w:t>
      </w:r>
      <w:r w:rsidRPr="00742A75">
        <w:t>removed building industry specific penalty provisions so that the Fair Work Act penalty regime applied.</w:t>
      </w:r>
      <w:r>
        <w:t xml:space="preserve"> </w:t>
      </w:r>
      <w:r w:rsidRPr="00167CB8">
        <w:t xml:space="preserve">For </w:t>
      </w:r>
      <w:r>
        <w:t>certain</w:t>
      </w:r>
      <w:r w:rsidRPr="00167CB8">
        <w:t xml:space="preserve"> contraventions</w:t>
      </w:r>
      <w:r>
        <w:t xml:space="preserve"> that had equivalents under the BCIIP Act</w:t>
      </w:r>
      <w:r w:rsidRPr="00167CB8">
        <w:t>, the Fair Work Act prescribes maximum penalties of 300 penalty units for bodies corporate</w:t>
      </w:r>
      <w:r>
        <w:t xml:space="preserve">, </w:t>
      </w:r>
      <w:r w:rsidRPr="00167CB8">
        <w:t xml:space="preserve">compared to 1,000 penalty units for bodies corporate </w:t>
      </w:r>
      <w:r>
        <w:t>u</w:t>
      </w:r>
      <w:r w:rsidRPr="00167CB8">
        <w:t xml:space="preserve">nder the repealed BCIIP Act. For similar civil penalty provisions which appeared in both Acts </w:t>
      </w:r>
      <w:r w:rsidRPr="00167CB8">
        <w:rPr>
          <w:rFonts w:ascii="Symbol" w:eastAsia="Symbol" w:hAnsi="Symbol" w:cs="Symbol"/>
        </w:rPr>
        <w:t>-</w:t>
      </w:r>
      <w:r w:rsidRPr="00167CB8">
        <w:t xml:space="preserve"> for example, coercion in relation to allocation of </w:t>
      </w:r>
      <w:r w:rsidRPr="00AE030A">
        <w:t>duties</w:t>
      </w:r>
      <w:r w:rsidR="009E0877">
        <w:t>, etc</w:t>
      </w:r>
      <w:r w:rsidRPr="00167CB8">
        <w:t>;</w:t>
      </w:r>
      <w:r w:rsidRPr="00167CB8">
        <w:rPr>
          <w:vertAlign w:val="superscript"/>
        </w:rPr>
        <w:footnoteReference w:id="36"/>
      </w:r>
      <w:r w:rsidRPr="00167CB8">
        <w:t xml:space="preserve"> coercion in relation to making, varying, terminating, etc enterprise agreements;</w:t>
      </w:r>
      <w:r w:rsidRPr="00167CB8">
        <w:rPr>
          <w:vertAlign w:val="superscript"/>
        </w:rPr>
        <w:footnoteReference w:id="37"/>
      </w:r>
      <w:r w:rsidRPr="00167CB8">
        <w:t xml:space="preserve"> taking action against a building employer due to coverage by particular instruments;</w:t>
      </w:r>
      <w:r w:rsidRPr="00167CB8">
        <w:rPr>
          <w:vertAlign w:val="superscript"/>
        </w:rPr>
        <w:footnoteReference w:id="38"/>
      </w:r>
      <w:r w:rsidRPr="00167CB8">
        <w:t xml:space="preserve"> and hindering or obstructing authorised officers</w:t>
      </w:r>
      <w:r w:rsidRPr="00167CB8">
        <w:rPr>
          <w:vertAlign w:val="superscript"/>
        </w:rPr>
        <w:footnoteReference w:id="39"/>
      </w:r>
      <w:r w:rsidRPr="00167CB8">
        <w:t xml:space="preserve"> </w:t>
      </w:r>
      <w:r w:rsidRPr="00167CB8">
        <w:rPr>
          <w:rFonts w:ascii="Symbol" w:eastAsia="Symbol" w:hAnsi="Symbol" w:cs="Symbol"/>
        </w:rPr>
        <w:t>-</w:t>
      </w:r>
      <w:r w:rsidRPr="00167CB8">
        <w:t xml:space="preserve"> the maximum penalties were higher for bodies corporate under the BCIIP Act.</w:t>
      </w:r>
    </w:p>
    <w:p w14:paraId="52B18CCE" w14:textId="44A2FE0E" w:rsidR="0011475D" w:rsidRDefault="00D82BD0" w:rsidP="00D82BD0">
      <w:r w:rsidRPr="00742A75">
        <w:t>While the Fair Work Act included civil penalties for organising or engaging in industrial action before the nominal expiry date of an enterprise agreement (</w:t>
      </w:r>
      <w:r w:rsidR="00AE030A" w:rsidRPr="00AE030A">
        <w:t>s</w:t>
      </w:r>
      <w:r w:rsidR="00AE030A">
        <w:t xml:space="preserve"> </w:t>
      </w:r>
      <w:r w:rsidRPr="00742A75">
        <w:t>417) and contravening an order that unprotected industrial action stop or not occur (</w:t>
      </w:r>
      <w:r w:rsidR="00AE030A" w:rsidRPr="00742A75">
        <w:t>s</w:t>
      </w:r>
      <w:r w:rsidR="00AE030A">
        <w:t xml:space="preserve"> </w:t>
      </w:r>
      <w:r w:rsidRPr="00742A75">
        <w:t>421), these only attracted civil penalties of 300 penalty units for bodies corporate. The BCIIP Act, however, included civil penalties in relation to engaging in or organising unlawful industrial action and engaging in unlawful picketing, each attracted civil penalties of 1,000 penalty units for bodies corporate.</w:t>
      </w:r>
      <w:r w:rsidRPr="00742A75">
        <w:rPr>
          <w:rStyle w:val="FootnoteReference"/>
        </w:rPr>
        <w:footnoteReference w:id="40"/>
      </w:r>
    </w:p>
    <w:p w14:paraId="5E82BBBD" w14:textId="70A70682" w:rsidR="00D82BD0" w:rsidRPr="00742A75" w:rsidRDefault="00D82BD0" w:rsidP="00D82BD0">
      <w:r w:rsidRPr="00742A75">
        <w:t>The Review Panel notes that unlawful picketing behaviour is likely covered by other federal and state and territory legislation including:</w:t>
      </w:r>
    </w:p>
    <w:p w14:paraId="586919B3" w14:textId="5833551E" w:rsidR="00D82BD0" w:rsidRPr="00742A75" w:rsidRDefault="00D82BD0" w:rsidP="00B40A91">
      <w:pPr>
        <w:pStyle w:val="ListBullet"/>
        <w:numPr>
          <w:ilvl w:val="0"/>
          <w:numId w:val="1"/>
        </w:numPr>
        <w:ind w:left="284" w:hanging="284"/>
      </w:pPr>
      <w:r w:rsidRPr="00742A75">
        <w:t>the Fair Work Act</w:t>
      </w:r>
    </w:p>
    <w:p w14:paraId="530BD246" w14:textId="789B2D61" w:rsidR="00D82BD0" w:rsidRPr="00742A75" w:rsidRDefault="00D82BD0" w:rsidP="00B40A91">
      <w:pPr>
        <w:pStyle w:val="ListBullet"/>
        <w:numPr>
          <w:ilvl w:val="0"/>
          <w:numId w:val="1"/>
        </w:numPr>
        <w:ind w:left="284" w:hanging="284"/>
      </w:pPr>
      <w:r w:rsidRPr="00742A75">
        <w:t xml:space="preserve">the </w:t>
      </w:r>
      <w:r w:rsidRPr="00742A75">
        <w:rPr>
          <w:i/>
        </w:rPr>
        <w:t>Competition and Consumer Act 2010</w:t>
      </w:r>
      <w:r w:rsidR="00AE030A" w:rsidRPr="00B40A91">
        <w:rPr>
          <w:i/>
        </w:rPr>
        <w:t xml:space="preserve"> (Cth)</w:t>
      </w:r>
    </w:p>
    <w:p w14:paraId="038B5347" w14:textId="4E06FF2D" w:rsidR="00C976FB" w:rsidRPr="00B40A91" w:rsidRDefault="00C976FB" w:rsidP="00B40A91">
      <w:pPr>
        <w:pStyle w:val="ListBullet"/>
        <w:numPr>
          <w:ilvl w:val="0"/>
          <w:numId w:val="1"/>
        </w:numPr>
        <w:ind w:left="284" w:hanging="284"/>
        <w:rPr>
          <w:i/>
        </w:rPr>
      </w:pPr>
      <w:r>
        <w:rPr>
          <w:iCs/>
        </w:rPr>
        <w:t xml:space="preserve">the </w:t>
      </w:r>
      <w:r w:rsidR="00D82BD0" w:rsidRPr="00742A75">
        <w:rPr>
          <w:i/>
        </w:rPr>
        <w:t>Crimes Act 1900</w:t>
      </w:r>
      <w:r w:rsidR="00D82BD0" w:rsidRPr="00B40A91">
        <w:rPr>
          <w:i/>
        </w:rPr>
        <w:t xml:space="preserve"> (NSW</w:t>
      </w:r>
      <w:r w:rsidRPr="00742A75">
        <w:rPr>
          <w:i/>
        </w:rPr>
        <w:t>)</w:t>
      </w:r>
    </w:p>
    <w:p w14:paraId="078EB700" w14:textId="6A682FA5" w:rsidR="00D82BD0" w:rsidRPr="00742A75" w:rsidRDefault="00C976FB" w:rsidP="00B40A91">
      <w:pPr>
        <w:pStyle w:val="ListBullet"/>
        <w:numPr>
          <w:ilvl w:val="0"/>
          <w:numId w:val="1"/>
        </w:numPr>
        <w:ind w:left="284" w:hanging="284"/>
      </w:pPr>
      <w:r>
        <w:rPr>
          <w:iCs/>
        </w:rPr>
        <w:t xml:space="preserve">the </w:t>
      </w:r>
      <w:r w:rsidR="00D82BD0" w:rsidRPr="00742A75">
        <w:rPr>
          <w:i/>
        </w:rPr>
        <w:t>Summary Offences Act 1988</w:t>
      </w:r>
      <w:r w:rsidR="00D82BD0" w:rsidRPr="00B40A91">
        <w:rPr>
          <w:i/>
        </w:rPr>
        <w:t xml:space="preserve"> (NSW)</w:t>
      </w:r>
    </w:p>
    <w:p w14:paraId="090F403D" w14:textId="33FF96AE" w:rsidR="00D82BD0" w:rsidRPr="00742A75" w:rsidRDefault="00C976FB" w:rsidP="00B40A91">
      <w:pPr>
        <w:pStyle w:val="ListBullet"/>
        <w:numPr>
          <w:ilvl w:val="0"/>
          <w:numId w:val="1"/>
        </w:numPr>
        <w:ind w:left="284" w:hanging="284"/>
      </w:pPr>
      <w:r>
        <w:t>c</w:t>
      </w:r>
      <w:r w:rsidR="00D82BD0" w:rsidRPr="00742A75">
        <w:t>ommon law torts of nuisance and intimidation.</w:t>
      </w:r>
    </w:p>
    <w:p w14:paraId="29201158" w14:textId="0E6A44DB" w:rsidR="00D82BD0" w:rsidRPr="00167CB8" w:rsidRDefault="00D82BD0" w:rsidP="00D82BD0">
      <w:r w:rsidRPr="396ABCA7">
        <w:t xml:space="preserve">The penalty for failing to comply with a </w:t>
      </w:r>
      <w:r>
        <w:t>‘</w:t>
      </w:r>
      <w:r w:rsidRPr="396ABCA7">
        <w:t>FWO notice</w:t>
      </w:r>
      <w:r>
        <w:t>’</w:t>
      </w:r>
      <w:r w:rsidRPr="396ABCA7">
        <w:t xml:space="preserve"> is a civil penalty under the Fair Work Act,</w:t>
      </w:r>
      <w:r w:rsidRPr="396ABCA7">
        <w:rPr>
          <w:rStyle w:val="FootnoteReference"/>
        </w:rPr>
        <w:footnoteReference w:id="41"/>
      </w:r>
      <w:r w:rsidRPr="396ABCA7">
        <w:t xml:space="preserve"> while under the BCIIP Act failing to comply with an </w:t>
      </w:r>
      <w:r>
        <w:t>‘</w:t>
      </w:r>
      <w:r w:rsidRPr="396ABCA7">
        <w:t>examination notice</w:t>
      </w:r>
      <w:r>
        <w:t>’</w:t>
      </w:r>
      <w:r w:rsidRPr="396ABCA7" w:rsidDel="00E22EFD">
        <w:t xml:space="preserve"> </w:t>
      </w:r>
      <w:r w:rsidRPr="396ABCA7">
        <w:t xml:space="preserve">was a criminal offence with up to </w:t>
      </w:r>
      <w:r w:rsidR="00C976FB">
        <w:t>six</w:t>
      </w:r>
      <w:r w:rsidRPr="396ABCA7">
        <w:t xml:space="preserve"> months imprisonment and/or up to a maximum of 30 penalty units.</w:t>
      </w:r>
      <w:r w:rsidRPr="396ABCA7">
        <w:rPr>
          <w:rStyle w:val="FootnoteReference"/>
        </w:rPr>
        <w:footnoteReference w:id="42"/>
      </w:r>
    </w:p>
    <w:p w14:paraId="6F6BA7E0" w14:textId="77777777" w:rsidR="0011475D" w:rsidRDefault="00D82BD0" w:rsidP="00D82BD0">
      <w:pPr>
        <w:pStyle w:val="Heading5"/>
        <w:rPr>
          <w:rFonts w:asciiTheme="minorHAnsi" w:hAnsiTheme="minorHAnsi"/>
        </w:rPr>
      </w:pPr>
      <w:bookmarkStart w:id="55" w:name="_Toc187421565"/>
      <w:bookmarkStart w:id="56" w:name="_Toc187946367"/>
      <w:r w:rsidRPr="00167CB8">
        <w:rPr>
          <w:rFonts w:asciiTheme="minorHAnsi" w:hAnsiTheme="minorHAnsi"/>
        </w:rPr>
        <w:lastRenderedPageBreak/>
        <w:t>4.1.2 Intent of Secure Jobs, Better Pay amendments</w:t>
      </w:r>
      <w:bookmarkEnd w:id="55"/>
      <w:bookmarkEnd w:id="56"/>
    </w:p>
    <w:p w14:paraId="7295E05C" w14:textId="3FC6ED20" w:rsidR="0011475D" w:rsidRDefault="00D82BD0" w:rsidP="00D82BD0">
      <w:r w:rsidRPr="396ABCA7">
        <w:t xml:space="preserve">The Secure Jobs, Beter Pay </w:t>
      </w:r>
      <w:r w:rsidRPr="007B6AF7">
        <w:t xml:space="preserve">amendments </w:t>
      </w:r>
      <w:r w:rsidR="007B6AF7">
        <w:t xml:space="preserve">were </w:t>
      </w:r>
      <w:r w:rsidRPr="007B6AF7">
        <w:t>intended to reintegrate</w:t>
      </w:r>
      <w:r w:rsidRPr="396ABCA7">
        <w:t xml:space="preserve"> the ABCC and regulatory responsibility for the commercial building and construction sector into the FWO.</w:t>
      </w:r>
      <w:r w:rsidRPr="396ABCA7">
        <w:rPr>
          <w:rFonts w:ascii="Aptos" w:hAnsi="Aptos"/>
          <w:color w:val="000000"/>
          <w:shd w:val="clear" w:color="auto" w:fill="FFFFFF"/>
        </w:rPr>
        <w:t xml:space="preserve"> T</w:t>
      </w:r>
      <w:r w:rsidRPr="396ABCA7">
        <w:t xml:space="preserve">he then Minister for Employment and Workplace Relations, the Hon Tony Burke MP, stated in the second reading speech for the </w:t>
      </w:r>
      <w:r w:rsidRPr="007B6AF7">
        <w:t>Secure Jobs, Better Pay Bill that</w:t>
      </w:r>
      <w:r w:rsidRPr="007B6AF7" w:rsidDel="0064597C">
        <w:t xml:space="preserve"> </w:t>
      </w:r>
      <w:r w:rsidRPr="007B6AF7">
        <w:t>‘[t]his</w:t>
      </w:r>
      <w:r w:rsidRPr="396ABCA7">
        <w:t xml:space="preserve"> bill will abolish the ABCC [and the </w:t>
      </w:r>
      <w:r w:rsidR="007F2D9E">
        <w:t>Registered Organisations Commission (</w:t>
      </w:r>
      <w:r w:rsidRPr="396ABCA7">
        <w:t>ROC</w:t>
      </w:r>
      <w:r w:rsidR="007F2D9E">
        <w:t>)</w:t>
      </w:r>
      <w:r w:rsidRPr="396ABCA7">
        <w:t>]. The Fair Work Ombudsman will be the workplace relations regulator for all industries’.</w:t>
      </w:r>
    </w:p>
    <w:p w14:paraId="4093B8C0" w14:textId="10143730" w:rsidR="00D82BD0" w:rsidRPr="00167CB8" w:rsidRDefault="00D82BD0" w:rsidP="00D82BD0">
      <w:r w:rsidRPr="396ABCA7">
        <w:t>The Minister had previously stated that ‘[b]uilding workers should be subject to the same laws and regulations as all other workers’; however, the Building Code meant that ‘construction employers and workers on Government-funded building sites have been subject to restrictions that don’t apply to people in other industries’.</w:t>
      </w:r>
      <w:r w:rsidRPr="396ABCA7">
        <w:rPr>
          <w:vertAlign w:val="superscript"/>
        </w:rPr>
        <w:footnoteReference w:id="43"/>
      </w:r>
    </w:p>
    <w:p w14:paraId="2B0D98F2" w14:textId="77777777" w:rsidR="0011475D" w:rsidRDefault="00D82BD0" w:rsidP="00D82BD0">
      <w:r w:rsidRPr="396ABCA7">
        <w:t>This aspect of the Secure Jobs, Better Pay amendments was strongly opposed</w:t>
      </w:r>
      <w:r>
        <w:t xml:space="preserve"> by the Opposition and employer groups</w:t>
      </w:r>
      <w:r w:rsidRPr="396ABCA7">
        <w:t>. In the dissenting report of the Senate Education and Employment Legislation Committee Inquiry into the Fair Work Legislation Amendment (Secure Jobs, Better Pay) Bill 2022, employer groups asserted that the ABCC had ensured the rule of law and driven cultural change in the industry.</w:t>
      </w:r>
      <w:r w:rsidRPr="396ABCA7">
        <w:rPr>
          <w:vertAlign w:val="superscript"/>
        </w:rPr>
        <w:footnoteReference w:id="44"/>
      </w:r>
      <w:r w:rsidRPr="396ABCA7">
        <w:t xml:space="preserve"> They also noted that higher penalties should remain.</w:t>
      </w:r>
      <w:r w:rsidRPr="396ABCA7">
        <w:rPr>
          <w:vertAlign w:val="superscript"/>
        </w:rPr>
        <w:footnoteReference w:id="45"/>
      </w:r>
    </w:p>
    <w:p w14:paraId="33A996C4" w14:textId="265B2FDE" w:rsidR="00D82BD0" w:rsidRPr="00167CB8" w:rsidRDefault="00D82BD0" w:rsidP="00D82BD0">
      <w:r w:rsidRPr="396ABCA7">
        <w:t>The dissenting report also stated that the FWO is not a like-for-like replacement for the ABCC and is not the best equipped or resourced agency to apply the law on building and construction sites. Concern with lower maximum penalties for building and construction participants was also noted.</w:t>
      </w:r>
      <w:r w:rsidRPr="396ABCA7">
        <w:rPr>
          <w:vertAlign w:val="superscript"/>
        </w:rPr>
        <w:footnoteReference w:id="46"/>
      </w:r>
      <w:r w:rsidRPr="396ABCA7">
        <w:t xml:space="preserve"> The Review Panel notes that submissions by employer groups to the Review made similar points about the FWO’s appropriateness for regulating the sector.</w:t>
      </w:r>
      <w:r w:rsidRPr="396ABCA7">
        <w:rPr>
          <w:rStyle w:val="FootnoteReference"/>
        </w:rPr>
        <w:footnoteReference w:id="47"/>
      </w:r>
    </w:p>
    <w:p w14:paraId="0C09BA58" w14:textId="77777777" w:rsidR="00D82BD0" w:rsidRPr="00167CB8" w:rsidRDefault="00D82BD0" w:rsidP="00D82BD0">
      <w:r w:rsidRPr="00167CB8">
        <w:t>In addition to reintegrating commercial building and construction into the broader regulatory framework of the FWO, the Australian Government intended for a more collaborative and conciliatory approach to be taken in regulating the sector.</w:t>
      </w:r>
    </w:p>
    <w:p w14:paraId="6C3E6CFA" w14:textId="1289A46A" w:rsidR="00D82BD0" w:rsidRPr="00167CB8" w:rsidRDefault="00D82BD0" w:rsidP="00D82BD0">
      <w:r w:rsidRPr="396ABCA7">
        <w:t>In the second reading speech, the then Minister for Employment and Workplace Relations, the Hon Tony Burke MP, described the ABCC (and ROC) as ‘ineffective and discredited institutions, more concerned about prosecuting workers and their representatives than tackling rampant wage theft or addressing workplace safety, or educating and promoting good workplace relations’.</w:t>
      </w:r>
      <w:r w:rsidRPr="396ABCA7">
        <w:rPr>
          <w:vertAlign w:val="superscript"/>
        </w:rPr>
        <w:footnoteReference w:id="48"/>
      </w:r>
    </w:p>
    <w:p w14:paraId="31E796B3" w14:textId="77777777" w:rsidR="00D82BD0" w:rsidRPr="00167CB8" w:rsidRDefault="00D82BD0" w:rsidP="00D82BD0">
      <w:r w:rsidRPr="396ABCA7">
        <w:t xml:space="preserve">When </w:t>
      </w:r>
      <w:r w:rsidRPr="00C10784">
        <w:t>the Building Code was amended</w:t>
      </w:r>
      <w:r w:rsidRPr="396ABCA7">
        <w:t xml:space="preserve"> in July 2022, the then Minister for Employment and Workplace Relations also described the ABCC as having been ‘set up by the Liberals and </w:t>
      </w:r>
      <w:r w:rsidRPr="396ABCA7">
        <w:lastRenderedPageBreak/>
        <w:t>Nationals to discredit and dismantle unions and undermine the pay, conditions and job security of ordinary Australian workers’.</w:t>
      </w:r>
      <w:r w:rsidRPr="396ABCA7">
        <w:rPr>
          <w:rStyle w:val="FootnoteReference"/>
        </w:rPr>
        <w:footnoteReference w:id="49"/>
      </w:r>
    </w:p>
    <w:p w14:paraId="1C8D2FD0" w14:textId="54C292F1" w:rsidR="00D82BD0" w:rsidRPr="00167CB8" w:rsidRDefault="00D82BD0" w:rsidP="00D82BD0">
      <w:r>
        <w:t xml:space="preserve">Notwithstanding the </w:t>
      </w:r>
      <w:r w:rsidR="00C10784">
        <w:t>g</w:t>
      </w:r>
      <w:r>
        <w:t xml:space="preserve">overnment’s intent to deliver a more conciliatory regulatory strategy, it must be acknowledged that more punitive options continue to be available to the FWO. This is in line with </w:t>
      </w:r>
      <w:r w:rsidRPr="00167CB8">
        <w:rPr>
          <w:rFonts w:cs="Calibri"/>
        </w:rPr>
        <w:t>Braithwaite’s</w:t>
      </w:r>
      <w:r>
        <w:t xml:space="preserve"> model.</w:t>
      </w:r>
    </w:p>
    <w:p w14:paraId="6F700FC8" w14:textId="3C7A2EA4" w:rsidR="00D82BD0" w:rsidRPr="003823D9" w:rsidRDefault="00D82BD0" w:rsidP="003823D9">
      <w:pPr>
        <w:pStyle w:val="Heading4"/>
      </w:pPr>
      <w:bookmarkStart w:id="57" w:name="_Toc187421566"/>
      <w:bookmarkStart w:id="58" w:name="_Toc187946368"/>
      <w:bookmarkStart w:id="59" w:name="_Toc188277908"/>
      <w:bookmarkStart w:id="60" w:name="_Toc189260201"/>
      <w:bookmarkStart w:id="61" w:name="_Toc189393517"/>
      <w:r w:rsidRPr="003823D9">
        <w:t>4.2 Impact and issues</w:t>
      </w:r>
      <w:bookmarkEnd w:id="57"/>
      <w:bookmarkEnd w:id="58"/>
      <w:bookmarkEnd w:id="59"/>
      <w:bookmarkEnd w:id="60"/>
      <w:bookmarkEnd w:id="61"/>
    </w:p>
    <w:p w14:paraId="391A67F7" w14:textId="4F07E1DC" w:rsidR="00D82BD0" w:rsidRPr="00167CB8" w:rsidRDefault="00D82BD0" w:rsidP="00D82BD0">
      <w:r w:rsidRPr="396ABCA7">
        <w:t>The FWO has had responsibility for enforcing the Fair Work Act in the building and construction sector and investigations of alleged contraventions since 10 November 2022.</w:t>
      </w:r>
      <w:r w:rsidRPr="396ABCA7">
        <w:rPr>
          <w:vertAlign w:val="superscript"/>
        </w:rPr>
        <w:footnoteReference w:id="50"/>
      </w:r>
      <w:r w:rsidRPr="396ABCA7">
        <w:t xml:space="preserve"> Responsibility for existing litigation matters transferred to the FWO from </w:t>
      </w:r>
      <w:r>
        <w:t>7</w:t>
      </w:r>
      <w:r w:rsidRPr="396ABCA7">
        <w:t xml:space="preserve"> </w:t>
      </w:r>
      <w:r>
        <w:t>December 2022.</w:t>
      </w:r>
      <w:r w:rsidRPr="396ABCA7">
        <w:t xml:space="preserve"> The Review Panel notes that the FWO’s functions more broadly are to provide education, assistance, advice and guidance to employers and employees; promote and </w:t>
      </w:r>
      <w:r w:rsidRPr="396ABCA7" w:rsidDel="001E0A89">
        <w:t>monitor</w:t>
      </w:r>
      <w:r w:rsidRPr="396ABCA7">
        <w:t xml:space="preserve"> compliance with workplace laws; and take appropriate enforcement action.</w:t>
      </w:r>
      <w:r w:rsidRPr="396ABCA7">
        <w:rPr>
          <w:vertAlign w:val="superscript"/>
        </w:rPr>
        <w:footnoteReference w:id="51"/>
      </w:r>
      <w:r>
        <w:t xml:space="preserve"> The ABC Commissioner had similar functions of monitoring and promoting standards of conduct; investigating suspected contraventions; instituting, or intervening in, proceedings; providing assistance and advice; and disseminating information.</w:t>
      </w:r>
      <w:r>
        <w:rPr>
          <w:rStyle w:val="FootnoteReference"/>
        </w:rPr>
        <w:footnoteReference w:id="52"/>
      </w:r>
    </w:p>
    <w:p w14:paraId="45132F65" w14:textId="76006F0B" w:rsidR="00D82BD0" w:rsidRPr="00167CB8" w:rsidRDefault="00D82BD0" w:rsidP="00D82BD0">
      <w:r w:rsidRPr="396ABCA7">
        <w:t xml:space="preserve">The FWO received additional funding of $69.9 million over </w:t>
      </w:r>
      <w:r w:rsidR="00C976FB">
        <w:t>four</w:t>
      </w:r>
      <w:r w:rsidRPr="396ABCA7">
        <w:t xml:space="preserve"> years in the October 2022</w:t>
      </w:r>
      <w:r w:rsidRPr="396ABCA7">
        <w:rPr>
          <w:rFonts w:ascii="Symbol" w:eastAsia="Symbol" w:hAnsi="Symbol" w:cs="Symbol"/>
        </w:rPr>
        <w:t>-</w:t>
      </w:r>
      <w:r w:rsidRPr="396ABCA7">
        <w:t>23 federal budget to more comprehensively regulate the Fair Work Act in the commercial building and construction industry.</w:t>
      </w:r>
      <w:r w:rsidRPr="396ABCA7">
        <w:rPr>
          <w:rStyle w:val="FootnoteReference"/>
        </w:rPr>
        <w:footnoteReference w:id="53"/>
      </w:r>
      <w:r w:rsidRPr="396ABCA7">
        <w:t xml:space="preserve"> </w:t>
      </w:r>
      <w:r w:rsidRPr="00742A75">
        <w:t>The FWO also received the ABCC’s unspent appropriation in the 2022</w:t>
      </w:r>
      <w:r w:rsidR="00C976FB">
        <w:rPr>
          <w:rFonts w:ascii="Symbol" w:eastAsia="Symbol" w:hAnsi="Symbol" w:cs="Symbol"/>
        </w:rPr>
        <w:sym w:font="Symbol" w:char="F02D"/>
      </w:r>
      <w:r w:rsidRPr="00742A75">
        <w:t>23 budget of $20.343 million.</w:t>
      </w:r>
      <w:r>
        <w:rPr>
          <w:rStyle w:val="FootnoteReference"/>
        </w:rPr>
        <w:footnoteReference w:id="54"/>
      </w:r>
      <w:r>
        <w:t xml:space="preserve"> </w:t>
      </w:r>
      <w:r w:rsidRPr="008C0A19">
        <w:t>In response to changing government priorities and the referral of ABCC powers, in 2022 the FWO also set up an Industrial Compliance Branch to deliver industrial compliance work, including (but not limited to) the building and construction sector.</w:t>
      </w:r>
      <w:r w:rsidRPr="008C0A19">
        <w:rPr>
          <w:vertAlign w:val="superscript"/>
        </w:rPr>
        <w:footnoteReference w:id="55"/>
      </w:r>
    </w:p>
    <w:p w14:paraId="0C0E062B" w14:textId="77777777" w:rsidR="00D82BD0" w:rsidRPr="00E104C2" w:rsidRDefault="00D82BD0" w:rsidP="00D82BD0">
      <w:pPr>
        <w:rPr>
          <w:rFonts w:eastAsia="MS Mincho" w:cs="Arial"/>
        </w:rPr>
      </w:pPr>
      <w:r w:rsidRPr="00BA6B67">
        <w:rPr>
          <w:rFonts w:eastAsia="MS Mincho" w:cs="Arial"/>
        </w:rPr>
        <w:t>Th</w:t>
      </w:r>
      <w:r>
        <w:rPr>
          <w:rFonts w:eastAsia="MS Mincho" w:cs="Arial"/>
        </w:rPr>
        <w:t xml:space="preserve">e following </w:t>
      </w:r>
      <w:r w:rsidRPr="00BA6B67">
        <w:rPr>
          <w:rFonts w:eastAsia="MS Mincho" w:cs="Arial"/>
        </w:rPr>
        <w:t>section</w:t>
      </w:r>
      <w:r>
        <w:rPr>
          <w:rFonts w:eastAsia="MS Mincho" w:cs="Arial"/>
        </w:rPr>
        <w:t>s</w:t>
      </w:r>
      <w:r w:rsidRPr="00BA6B67">
        <w:rPr>
          <w:rFonts w:eastAsia="MS Mincho" w:cs="Arial"/>
        </w:rPr>
        <w:t xml:space="preserve"> will </w:t>
      </w:r>
      <w:r>
        <w:rPr>
          <w:rFonts w:eastAsia="MS Mincho" w:cs="Arial"/>
        </w:rPr>
        <w:t>examine quantitative and qualitative evidence about the abolition of the ABCC and transfer of responsibility for commercial building and construction to the FWO. It will then summarise the submissions of stakeholders.</w:t>
      </w:r>
    </w:p>
    <w:p w14:paraId="110F563F" w14:textId="77777777" w:rsidR="00D82BD0" w:rsidRPr="00B061A5" w:rsidRDefault="00D82BD0" w:rsidP="008275E1">
      <w:pPr>
        <w:pStyle w:val="Heading5"/>
      </w:pPr>
      <w:bookmarkStart w:id="62" w:name="_Toc187421567"/>
      <w:bookmarkStart w:id="63" w:name="_Toc187946369"/>
      <w:r w:rsidRPr="00B061A5">
        <w:t>4.2.1 Quantitative evidence</w:t>
      </w:r>
      <w:bookmarkEnd w:id="62"/>
      <w:bookmarkEnd w:id="63"/>
    </w:p>
    <w:p w14:paraId="146C7253" w14:textId="1EB7A8EA" w:rsidR="00D82BD0" w:rsidRPr="00167CB8" w:rsidRDefault="00D82BD0" w:rsidP="00D82BD0">
      <w:pPr>
        <w:rPr>
          <w:rFonts w:eastAsia="MS Mincho" w:cs="Arial"/>
        </w:rPr>
      </w:pPr>
      <w:r w:rsidRPr="396ABCA7">
        <w:rPr>
          <w:rFonts w:eastAsia="MS Mincho" w:cs="Arial"/>
        </w:rPr>
        <w:t xml:space="preserve">To understand impacts of the amendments, the Review Panel has been assisted by data from the FWO and other publicly available information. </w:t>
      </w:r>
      <w:r>
        <w:rPr>
          <w:rFonts w:eastAsia="MS Mincho" w:cs="Arial"/>
        </w:rPr>
        <w:t>It must be acknowledged, however,</w:t>
      </w:r>
      <w:r w:rsidRPr="00167CB8">
        <w:rPr>
          <w:rFonts w:eastAsia="MS Mincho" w:cs="Arial"/>
        </w:rPr>
        <w:t xml:space="preserve"> that the FWO data in relation to the building and construction sector covers the entire building and construction sector, not only the commercial building and construction sector</w:t>
      </w:r>
      <w:r>
        <w:rPr>
          <w:rFonts w:eastAsia="MS Mincho" w:cs="Arial"/>
        </w:rPr>
        <w:t>, which was the focus of ABCC data</w:t>
      </w:r>
      <w:r w:rsidRPr="00167CB8">
        <w:rPr>
          <w:rFonts w:eastAsia="MS Mincho" w:cs="Arial"/>
        </w:rPr>
        <w:t xml:space="preserve">. In addition, the available data for ABCC activities is more limited than that available for the FWO. These matters make a direct comparison between FWO and ABCC data </w:t>
      </w:r>
      <w:r w:rsidRPr="00167CB8">
        <w:rPr>
          <w:rFonts w:eastAsia="MS Mincho" w:cs="Arial"/>
        </w:rPr>
        <w:lastRenderedPageBreak/>
        <w:t xml:space="preserve">difficult. </w:t>
      </w:r>
      <w:r>
        <w:rPr>
          <w:rFonts w:eastAsia="MS Mincho" w:cs="Arial"/>
        </w:rPr>
        <w:t>Further, the Panel notes that when examining FWO data it has considered broad data for the 2020</w:t>
      </w:r>
      <w:r w:rsidR="00C976FB">
        <w:rPr>
          <w:rFonts w:ascii="Symbol" w:eastAsia="Symbol" w:hAnsi="Symbol" w:cs="Symbol"/>
        </w:rPr>
        <w:sym w:font="Symbol" w:char="F02D"/>
      </w:r>
      <w:r>
        <w:rPr>
          <w:rFonts w:eastAsia="MS Mincho" w:cs="Arial"/>
        </w:rPr>
        <w:t>21 to 2024</w:t>
      </w:r>
      <w:r w:rsidR="00C976FB">
        <w:rPr>
          <w:rFonts w:ascii="Symbol" w:eastAsia="Symbol" w:hAnsi="Symbol" w:cs="Symbol"/>
        </w:rPr>
        <w:sym w:font="Symbol" w:char="F02D"/>
      </w:r>
      <w:r>
        <w:rPr>
          <w:rFonts w:eastAsia="MS Mincho" w:cs="Arial"/>
        </w:rPr>
        <w:t xml:space="preserve">25 (to 31 December) financial years as well as more specific data for the timeframe that more closely aligns with the FWO’s having responsibility for the entire building and construction sector (i.e. </w:t>
      </w:r>
      <w:r w:rsidRPr="00C10784">
        <w:rPr>
          <w:rFonts w:eastAsia="MS Mincho" w:cs="Arial"/>
        </w:rPr>
        <w:t>from the</w:t>
      </w:r>
      <w:r>
        <w:rPr>
          <w:rFonts w:eastAsia="MS Mincho" w:cs="Arial"/>
        </w:rPr>
        <w:t xml:space="preserve"> 2022</w:t>
      </w:r>
      <w:r w:rsidR="00C976FB">
        <w:rPr>
          <w:rFonts w:ascii="Symbol" w:eastAsia="Symbol" w:hAnsi="Symbol" w:cs="Symbol"/>
        </w:rPr>
        <w:sym w:font="Symbol" w:char="F02D"/>
      </w:r>
      <w:r>
        <w:rPr>
          <w:rFonts w:eastAsia="MS Mincho" w:cs="Arial"/>
        </w:rPr>
        <w:t>23 financial year).</w:t>
      </w:r>
    </w:p>
    <w:p w14:paraId="1F6A9FEA" w14:textId="57F7DF6C" w:rsidR="00D82BD0" w:rsidRDefault="00D82BD0" w:rsidP="00D82BD0">
      <w:pPr>
        <w:rPr>
          <w:rFonts w:eastAsia="MS Mincho" w:cs="Arial"/>
        </w:rPr>
      </w:pPr>
      <w:r>
        <w:rPr>
          <w:rFonts w:eastAsia="MS Mincho" w:cs="Arial"/>
        </w:rPr>
        <w:t xml:space="preserve">The FWO and ABCC quantitative data presented below falls into categories which broadly follow the types of regulatory instruments available to </w:t>
      </w:r>
      <w:r w:rsidR="00BB3F71">
        <w:rPr>
          <w:rFonts w:eastAsia="MS Mincho" w:cs="Arial"/>
        </w:rPr>
        <w:t>and the work of</w:t>
      </w:r>
      <w:r>
        <w:rPr>
          <w:rFonts w:eastAsia="MS Mincho" w:cs="Arial"/>
        </w:rPr>
        <w:t xml:space="preserve"> the FWO and ABCC respectively. </w:t>
      </w:r>
      <w:r w:rsidRPr="002E5AEC">
        <w:rPr>
          <w:rFonts w:eastAsia="MS Mincho" w:cs="Arial"/>
        </w:rPr>
        <w:t>This includes requests for assistance, wage recoveries, site inspections, investigations</w:t>
      </w:r>
      <w:r>
        <w:rPr>
          <w:rFonts w:eastAsia="MS Mincho" w:cs="Arial"/>
        </w:rPr>
        <w:t>,</w:t>
      </w:r>
      <w:r w:rsidRPr="002E5AEC">
        <w:rPr>
          <w:rFonts w:eastAsia="MS Mincho" w:cs="Arial"/>
        </w:rPr>
        <w:t xml:space="preserve"> use of enforcement tools</w:t>
      </w:r>
      <w:r>
        <w:rPr>
          <w:rFonts w:eastAsia="MS Mincho" w:cs="Arial"/>
        </w:rPr>
        <w:t>,</w:t>
      </w:r>
      <w:r w:rsidRPr="002E5AEC">
        <w:rPr>
          <w:rFonts w:eastAsia="MS Mincho" w:cs="Arial"/>
        </w:rPr>
        <w:t xml:space="preserve"> and litigation and penalties (including matters that transferred from the ABCC to the FWO).</w:t>
      </w:r>
    </w:p>
    <w:p w14:paraId="58858B9A" w14:textId="3DF73F1F" w:rsidR="00D82BD0" w:rsidRDefault="00D82BD0" w:rsidP="00D82BD0">
      <w:pPr>
        <w:rPr>
          <w:rFonts w:eastAsia="MS Mincho" w:cs="Arial"/>
        </w:rPr>
      </w:pPr>
      <w:r>
        <w:rPr>
          <w:rFonts w:eastAsia="MS Mincho" w:cs="Arial"/>
        </w:rPr>
        <w:t>First, t</w:t>
      </w:r>
      <w:r w:rsidRPr="0840B6AE">
        <w:rPr>
          <w:rFonts w:eastAsia="MS Mincho" w:cs="Arial"/>
        </w:rPr>
        <w:t xml:space="preserve">he </w:t>
      </w:r>
      <w:r>
        <w:rPr>
          <w:rFonts w:eastAsia="MS Mincho" w:cs="Arial"/>
        </w:rPr>
        <w:t xml:space="preserve">building and </w:t>
      </w:r>
      <w:r w:rsidRPr="0840B6AE">
        <w:rPr>
          <w:rFonts w:eastAsia="MS Mincho" w:cs="Arial"/>
        </w:rPr>
        <w:t>construction sector is over-</w:t>
      </w:r>
      <w:r w:rsidRPr="00C10784">
        <w:rPr>
          <w:rFonts w:eastAsia="MS Mincho" w:cs="Arial"/>
        </w:rPr>
        <w:t xml:space="preserve">represented in ‘requests for assistance’ </w:t>
      </w:r>
      <w:r w:rsidRPr="0840B6AE">
        <w:rPr>
          <w:rFonts w:eastAsia="MS Mincho" w:cs="Arial"/>
        </w:rPr>
        <w:t>to the FWO</w:t>
      </w:r>
      <w:r>
        <w:rPr>
          <w:rFonts w:eastAsia="MS Mincho" w:cs="Arial"/>
        </w:rPr>
        <w:t>, data on which is presented in Table 1</w:t>
      </w:r>
      <w:r w:rsidRPr="0840B6AE">
        <w:rPr>
          <w:rFonts w:eastAsia="MS Mincho" w:cs="Arial"/>
        </w:rPr>
        <w:t>. Th</w:t>
      </w:r>
      <w:r>
        <w:rPr>
          <w:rFonts w:eastAsia="MS Mincho" w:cs="Arial"/>
        </w:rPr>
        <w:t>is</w:t>
      </w:r>
      <w:r w:rsidRPr="0840B6AE">
        <w:rPr>
          <w:rFonts w:eastAsia="MS Mincho" w:cs="Arial"/>
        </w:rPr>
        <w:t xml:space="preserve"> sector employs around 9%</w:t>
      </w:r>
      <w:r w:rsidRPr="0840B6AE">
        <w:rPr>
          <w:rFonts w:eastAsia="MS Mincho" w:cs="Arial"/>
          <w:vertAlign w:val="superscript"/>
        </w:rPr>
        <w:t xml:space="preserve"> </w:t>
      </w:r>
      <w:r w:rsidRPr="0840B6AE">
        <w:rPr>
          <w:rFonts w:eastAsia="MS Mincho" w:cs="Arial"/>
        </w:rPr>
        <w:t>of the Australian workforce</w:t>
      </w:r>
      <w:r w:rsidRPr="0840B6AE">
        <w:rPr>
          <w:rFonts w:eastAsia="MS Mincho" w:cs="Arial"/>
          <w:vertAlign w:val="superscript"/>
        </w:rPr>
        <w:footnoteReference w:id="56"/>
      </w:r>
      <w:r w:rsidRPr="0840B6AE">
        <w:rPr>
          <w:rFonts w:eastAsia="MS Mincho" w:cs="Arial"/>
        </w:rPr>
        <w:t xml:space="preserve"> and accounted for 14% of disputes received by the FWO in 2023</w:t>
      </w:r>
      <w:r w:rsidRPr="0840B6AE">
        <w:rPr>
          <w:rFonts w:ascii="Symbol" w:eastAsia="Symbol" w:hAnsi="Symbol" w:cs="Symbol"/>
        </w:rPr>
        <w:t>-</w:t>
      </w:r>
      <w:r w:rsidRPr="0840B6AE">
        <w:rPr>
          <w:rFonts w:eastAsia="MS Mincho" w:cs="Arial"/>
        </w:rPr>
        <w:t>24.</w:t>
      </w:r>
      <w:r w:rsidRPr="0840B6AE">
        <w:rPr>
          <w:rStyle w:val="FootnoteReference"/>
          <w:rFonts w:eastAsia="MS Mincho" w:cs="Arial"/>
        </w:rPr>
        <w:footnoteReference w:id="57"/>
      </w:r>
      <w:r w:rsidRPr="0840B6AE">
        <w:rPr>
          <w:rFonts w:eastAsia="MS Mincho" w:cs="Arial"/>
        </w:rPr>
        <w:t xml:space="preserve"> The FWO notes this is ‘in part due to rapidly growing employment numbers (including </w:t>
      </w:r>
      <w:r w:rsidRPr="396ABCA7">
        <w:rPr>
          <w:rFonts w:eastAsia="MS Mincho" w:cs="Arial"/>
        </w:rPr>
        <w:t>apprenticeships</w:t>
      </w:r>
      <w:r w:rsidRPr="0840B6AE">
        <w:rPr>
          <w:rFonts w:eastAsia="MS Mincho" w:cs="Arial"/>
        </w:rPr>
        <w:t xml:space="preserve"> and trainees) in recent years’.</w:t>
      </w:r>
      <w:r w:rsidRPr="0840B6AE">
        <w:rPr>
          <w:rFonts w:eastAsia="MS Mincho" w:cs="Arial"/>
          <w:vertAlign w:val="superscript"/>
        </w:rPr>
        <w:footnoteReference w:id="58"/>
      </w:r>
    </w:p>
    <w:p w14:paraId="2768BB79" w14:textId="77777777" w:rsidR="000D35EC" w:rsidRPr="00167CB8" w:rsidRDefault="000D35EC" w:rsidP="00D82BD0">
      <w:pPr>
        <w:rPr>
          <w:rFonts w:eastAsia="MS Mincho" w:cs="Arial"/>
        </w:rPr>
      </w:pPr>
    </w:p>
    <w:p w14:paraId="16498A9C" w14:textId="4C98B30F" w:rsidR="00D82BD0" w:rsidRPr="00167CB8" w:rsidRDefault="008275E1" w:rsidP="007F380D">
      <w:pPr>
        <w:pStyle w:val="Caption"/>
      </w:pPr>
      <w:bookmarkStart w:id="64" w:name="_Toc194251425"/>
      <w:r>
        <w:t xml:space="preserve">Table </w:t>
      </w:r>
      <w:r>
        <w:fldChar w:fldCharType="begin"/>
      </w:r>
      <w:r>
        <w:instrText xml:space="preserve"> SEQ Table \* ARABIC </w:instrText>
      </w:r>
      <w:r>
        <w:fldChar w:fldCharType="separate"/>
      </w:r>
      <w:r w:rsidR="00DE5F5E">
        <w:rPr>
          <w:noProof/>
        </w:rPr>
        <w:t>1</w:t>
      </w:r>
      <w:r>
        <w:fldChar w:fldCharType="end"/>
      </w:r>
      <w:r>
        <w:t xml:space="preserve">: </w:t>
      </w:r>
      <w:r w:rsidR="00C10784">
        <w:t>Fair Work Ombudsman</w:t>
      </w:r>
      <w:r w:rsidR="00C10784" w:rsidRPr="00167CB8">
        <w:t xml:space="preserve"> </w:t>
      </w:r>
      <w:r w:rsidR="00D82BD0" w:rsidRPr="00167CB8">
        <w:t>requests for assistance completed in the building and construction sector, 2020</w:t>
      </w:r>
      <w:r w:rsidR="002B1057">
        <w:rPr>
          <w:rFonts w:ascii="Symbol" w:eastAsia="Symbol" w:hAnsi="Symbol" w:cs="Symbol"/>
        </w:rPr>
        <w:t>-</w:t>
      </w:r>
      <w:r w:rsidR="00D82BD0" w:rsidRPr="00167CB8">
        <w:t>21 to 2024</w:t>
      </w:r>
      <w:r w:rsidR="002B1057">
        <w:rPr>
          <w:rFonts w:ascii="Symbol" w:eastAsia="Symbol" w:hAnsi="Symbol" w:cs="Symbol"/>
        </w:rPr>
        <w:t>-</w:t>
      </w:r>
      <w:r w:rsidR="00D82BD0" w:rsidRPr="00167CB8">
        <w:t xml:space="preserve">25 (to 31 </w:t>
      </w:r>
      <w:r w:rsidR="00D56DB1">
        <w:t>December</w:t>
      </w:r>
      <w:r w:rsidR="00D56DB1" w:rsidRPr="00167CB8">
        <w:t xml:space="preserve"> </w:t>
      </w:r>
      <w:r w:rsidR="00D82BD0" w:rsidRPr="00167CB8">
        <w:t>2024)</w:t>
      </w:r>
      <w:bookmarkEnd w:id="64"/>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89"/>
        <w:gridCol w:w="1134"/>
        <w:gridCol w:w="992"/>
        <w:gridCol w:w="992"/>
        <w:gridCol w:w="992"/>
        <w:gridCol w:w="1134"/>
        <w:gridCol w:w="851"/>
      </w:tblGrid>
      <w:tr w:rsidR="00D82BD0" w:rsidRPr="00167CB8" w14:paraId="710D9652" w14:textId="77777777" w:rsidTr="004A576C">
        <w:trPr>
          <w:jc w:val="center"/>
        </w:trPr>
        <w:tc>
          <w:tcPr>
            <w:tcW w:w="26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573939" w14:textId="77777777" w:rsidR="00D82BD0" w:rsidRPr="00167CB8" w:rsidRDefault="00D82BD0" w:rsidP="0044422E">
            <w:pPr>
              <w:spacing w:line="240" w:lineRule="auto"/>
              <w:rPr>
                <w:rFonts w:eastAsia="MS Mincho" w:cs="Arial"/>
                <w:sz w:val="20"/>
                <w:szCs w:val="20"/>
              </w:rPr>
            </w:pPr>
            <w:r w:rsidRPr="396ABCA7">
              <w:rPr>
                <w:rFonts w:eastAsia="MS Mincho" w:cs="Arial"/>
                <w:sz w:val="20"/>
                <w:szCs w:val="20"/>
              </w:rPr>
              <w:t>Financial year</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3AFC2D" w14:textId="77777777" w:rsidR="00D82BD0" w:rsidRPr="00167CB8" w:rsidRDefault="00D82BD0" w:rsidP="0044422E">
            <w:pPr>
              <w:spacing w:line="240" w:lineRule="auto"/>
              <w:jc w:val="right"/>
              <w:rPr>
                <w:rFonts w:eastAsia="MS Mincho" w:cs="Arial"/>
                <w:b/>
                <w:sz w:val="20"/>
                <w:szCs w:val="20"/>
              </w:rPr>
            </w:pPr>
            <w:r w:rsidRPr="00167CB8">
              <w:rPr>
                <w:rFonts w:eastAsia="MS Mincho" w:cs="Arial"/>
                <w:b/>
                <w:color w:val="000000"/>
                <w:sz w:val="20"/>
                <w:szCs w:val="20"/>
              </w:rPr>
              <w:t>2020</w:t>
            </w:r>
            <w:r w:rsidRPr="00167CB8">
              <w:rPr>
                <w:rFonts w:ascii="Symbol" w:eastAsia="Symbol" w:hAnsi="Symbol" w:cs="Symbol"/>
                <w:b/>
                <w:color w:val="000000"/>
                <w:sz w:val="20"/>
                <w:szCs w:val="20"/>
              </w:rPr>
              <w:t>-</w:t>
            </w:r>
            <w:r w:rsidRPr="00167CB8">
              <w:rPr>
                <w:rFonts w:eastAsia="MS Mincho" w:cs="Arial"/>
                <w:b/>
                <w:color w:val="000000"/>
                <w:sz w:val="20"/>
                <w:szCs w:val="20"/>
              </w:rPr>
              <w:t>21</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E9143A" w14:textId="77777777" w:rsidR="00D82BD0" w:rsidRPr="00167CB8" w:rsidRDefault="00D82BD0" w:rsidP="0044422E">
            <w:pPr>
              <w:spacing w:line="240" w:lineRule="auto"/>
              <w:jc w:val="right"/>
              <w:rPr>
                <w:rFonts w:eastAsia="MS Mincho" w:cs="Arial"/>
                <w:b/>
                <w:sz w:val="20"/>
                <w:szCs w:val="20"/>
              </w:rPr>
            </w:pPr>
            <w:r w:rsidRPr="00167CB8">
              <w:rPr>
                <w:rFonts w:eastAsia="MS Mincho" w:cs="Arial"/>
                <w:b/>
                <w:color w:val="000000"/>
                <w:sz w:val="20"/>
                <w:szCs w:val="20"/>
              </w:rPr>
              <w:t>2021</w:t>
            </w:r>
            <w:r w:rsidRPr="00167CB8">
              <w:rPr>
                <w:rFonts w:ascii="Symbol" w:eastAsia="Symbol" w:hAnsi="Symbol" w:cs="Symbol"/>
                <w:b/>
                <w:color w:val="000000"/>
                <w:sz w:val="20"/>
                <w:szCs w:val="20"/>
              </w:rPr>
              <w:t>-</w:t>
            </w:r>
            <w:r w:rsidRPr="00167CB8">
              <w:rPr>
                <w:rFonts w:eastAsia="MS Mincho" w:cs="Arial"/>
                <w:b/>
                <w:color w:val="000000"/>
                <w:sz w:val="20"/>
                <w:szCs w:val="20"/>
              </w:rPr>
              <w:t>22</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9D2A9" w14:textId="77777777" w:rsidR="00D82BD0" w:rsidRPr="00167CB8" w:rsidRDefault="00D82BD0" w:rsidP="0044422E">
            <w:pPr>
              <w:spacing w:line="240" w:lineRule="auto"/>
              <w:jc w:val="right"/>
              <w:rPr>
                <w:rFonts w:eastAsia="MS Mincho" w:cs="Arial"/>
                <w:b/>
                <w:sz w:val="20"/>
                <w:szCs w:val="20"/>
              </w:rPr>
            </w:pPr>
            <w:r w:rsidRPr="00167CB8">
              <w:rPr>
                <w:rFonts w:eastAsia="MS Mincho" w:cs="Arial"/>
                <w:b/>
                <w:color w:val="000000"/>
                <w:sz w:val="20"/>
                <w:szCs w:val="20"/>
              </w:rPr>
              <w:t>2022</w:t>
            </w:r>
            <w:r w:rsidRPr="00167CB8">
              <w:rPr>
                <w:rFonts w:ascii="Symbol" w:eastAsia="Symbol" w:hAnsi="Symbol" w:cs="Symbol"/>
                <w:b/>
                <w:color w:val="000000"/>
                <w:sz w:val="20"/>
                <w:szCs w:val="20"/>
              </w:rPr>
              <w:t>-</w:t>
            </w:r>
            <w:r w:rsidRPr="00167CB8">
              <w:rPr>
                <w:rFonts w:eastAsia="MS Mincho" w:cs="Arial"/>
                <w:b/>
                <w:color w:val="000000"/>
                <w:sz w:val="20"/>
                <w:szCs w:val="20"/>
              </w:rPr>
              <w:t>23</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D34BD9" w14:textId="77777777" w:rsidR="00D82BD0" w:rsidRPr="00167CB8" w:rsidRDefault="00D82BD0" w:rsidP="0044422E">
            <w:pPr>
              <w:spacing w:line="240" w:lineRule="auto"/>
              <w:jc w:val="right"/>
              <w:rPr>
                <w:rFonts w:eastAsia="MS Mincho" w:cs="Arial"/>
                <w:b/>
                <w:sz w:val="20"/>
                <w:szCs w:val="20"/>
              </w:rPr>
            </w:pPr>
            <w:r w:rsidRPr="00167CB8">
              <w:rPr>
                <w:rFonts w:eastAsia="MS Mincho" w:cs="Arial"/>
                <w:b/>
                <w:color w:val="000000"/>
                <w:sz w:val="20"/>
                <w:szCs w:val="20"/>
              </w:rPr>
              <w:t>2023</w:t>
            </w:r>
            <w:r w:rsidRPr="00167CB8">
              <w:rPr>
                <w:rFonts w:ascii="Symbol" w:eastAsia="Symbol" w:hAnsi="Symbol" w:cs="Symbol"/>
                <w:b/>
                <w:color w:val="000000"/>
                <w:sz w:val="20"/>
                <w:szCs w:val="20"/>
              </w:rPr>
              <w:t>-</w:t>
            </w:r>
            <w:r w:rsidRPr="00167CB8">
              <w:rPr>
                <w:rFonts w:eastAsia="MS Mincho" w:cs="Arial"/>
                <w:b/>
                <w:color w:val="000000"/>
                <w:sz w:val="20"/>
                <w:szCs w:val="20"/>
              </w:rPr>
              <w:t>24</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11B55A" w14:textId="77777777" w:rsidR="00D82BD0" w:rsidRPr="00167CB8" w:rsidRDefault="00D82BD0" w:rsidP="0044422E">
            <w:pPr>
              <w:spacing w:line="240" w:lineRule="auto"/>
              <w:jc w:val="right"/>
              <w:rPr>
                <w:rFonts w:eastAsia="MS Mincho" w:cs="Arial"/>
                <w:b/>
                <w:sz w:val="20"/>
                <w:szCs w:val="20"/>
              </w:rPr>
            </w:pPr>
            <w:r w:rsidRPr="00167CB8">
              <w:rPr>
                <w:rFonts w:eastAsia="MS Mincho" w:cs="Arial"/>
                <w:b/>
                <w:sz w:val="20"/>
                <w:szCs w:val="20"/>
              </w:rPr>
              <w:t>2024</w:t>
            </w:r>
            <w:r w:rsidRPr="00167CB8">
              <w:rPr>
                <w:rFonts w:ascii="Symbol" w:eastAsia="Symbol" w:hAnsi="Symbol" w:cs="Symbol"/>
                <w:b/>
                <w:sz w:val="20"/>
                <w:szCs w:val="20"/>
              </w:rPr>
              <w:t>-</w:t>
            </w:r>
            <w:r w:rsidRPr="00167CB8">
              <w:rPr>
                <w:rFonts w:eastAsia="MS Mincho" w:cs="Arial"/>
                <w:b/>
                <w:sz w:val="20"/>
                <w:szCs w:val="20"/>
              </w:rPr>
              <w:t xml:space="preserve">25 to 31 </w:t>
            </w:r>
            <w:r>
              <w:rPr>
                <w:rFonts w:eastAsia="MS Mincho" w:cs="Arial"/>
                <w:b/>
                <w:sz w:val="20"/>
                <w:szCs w:val="20"/>
              </w:rPr>
              <w:t>Dec</w:t>
            </w:r>
          </w:p>
        </w:tc>
        <w:tc>
          <w:tcPr>
            <w:tcW w:w="851" w:type="dxa"/>
            <w:tcBorders>
              <w:top w:val="single" w:sz="4" w:space="0" w:color="auto"/>
              <w:left w:val="single" w:sz="4" w:space="0" w:color="auto"/>
              <w:bottom w:val="single" w:sz="4" w:space="0" w:color="auto"/>
              <w:right w:val="single" w:sz="4" w:space="0" w:color="auto"/>
            </w:tcBorders>
            <w:hideMark/>
          </w:tcPr>
          <w:p w14:paraId="1E6703E8" w14:textId="77777777" w:rsidR="00D82BD0" w:rsidRPr="00167CB8" w:rsidRDefault="00D82BD0" w:rsidP="00481134">
            <w:pPr>
              <w:spacing w:line="240" w:lineRule="auto"/>
              <w:ind w:left="6" w:right="57"/>
              <w:jc w:val="right"/>
              <w:rPr>
                <w:rFonts w:eastAsia="MS Mincho" w:cs="Arial"/>
                <w:b/>
                <w:sz w:val="20"/>
                <w:szCs w:val="20"/>
              </w:rPr>
            </w:pPr>
            <w:r w:rsidRPr="00167CB8">
              <w:rPr>
                <w:rFonts w:eastAsia="MS Mincho" w:cs="Arial"/>
                <w:b/>
                <w:sz w:val="20"/>
                <w:szCs w:val="20"/>
              </w:rPr>
              <w:t>Total</w:t>
            </w:r>
          </w:p>
        </w:tc>
      </w:tr>
      <w:tr w:rsidR="00D82BD0" w:rsidRPr="00167CB8" w14:paraId="2F32A62B" w14:textId="77777777" w:rsidTr="004A576C">
        <w:trPr>
          <w:jc w:val="center"/>
        </w:trPr>
        <w:tc>
          <w:tcPr>
            <w:tcW w:w="26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4CCD16" w14:textId="77777777" w:rsidR="00D82BD0" w:rsidRPr="00167CB8" w:rsidRDefault="00D82BD0" w:rsidP="0044422E">
            <w:pPr>
              <w:spacing w:line="240" w:lineRule="auto"/>
              <w:rPr>
                <w:rFonts w:eastAsia="MS Mincho" w:cs="Arial"/>
                <w:sz w:val="20"/>
                <w:szCs w:val="20"/>
              </w:rPr>
            </w:pPr>
            <w:r w:rsidRPr="396ABCA7">
              <w:rPr>
                <w:rFonts w:eastAsia="MS Mincho" w:cs="Arial"/>
                <w:sz w:val="20"/>
                <w:szCs w:val="20"/>
              </w:rPr>
              <w:t>Number of requests for assistance completed</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64A439" w14:textId="77777777" w:rsidR="00D82BD0" w:rsidRPr="00167CB8" w:rsidRDefault="00D82BD0" w:rsidP="0044422E">
            <w:pPr>
              <w:spacing w:line="240" w:lineRule="auto"/>
              <w:jc w:val="right"/>
              <w:rPr>
                <w:rFonts w:eastAsia="MS Mincho" w:cs="Arial"/>
                <w:sz w:val="20"/>
                <w:szCs w:val="20"/>
              </w:rPr>
            </w:pPr>
            <w:r w:rsidRPr="00167CB8">
              <w:rPr>
                <w:rFonts w:eastAsia="MS Mincho" w:cs="Arial"/>
                <w:sz w:val="20"/>
                <w:szCs w:val="20"/>
              </w:rPr>
              <w:t>2,350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FD19BE" w14:textId="77777777" w:rsidR="00D82BD0" w:rsidRPr="00167CB8" w:rsidRDefault="00D82BD0" w:rsidP="0044422E">
            <w:pPr>
              <w:spacing w:line="240" w:lineRule="auto"/>
              <w:jc w:val="right"/>
              <w:rPr>
                <w:rFonts w:eastAsia="MS Mincho" w:cs="Arial"/>
                <w:sz w:val="20"/>
                <w:szCs w:val="20"/>
              </w:rPr>
            </w:pPr>
            <w:r w:rsidRPr="00167CB8">
              <w:rPr>
                <w:rFonts w:eastAsia="MS Mincho" w:cs="Arial"/>
                <w:sz w:val="20"/>
                <w:szCs w:val="20"/>
              </w:rPr>
              <w:t>2,436</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D14B3D" w14:textId="77777777" w:rsidR="00D82BD0" w:rsidRPr="00167CB8" w:rsidRDefault="00D82BD0" w:rsidP="0044422E">
            <w:pPr>
              <w:spacing w:line="240" w:lineRule="auto"/>
              <w:jc w:val="right"/>
              <w:rPr>
                <w:rFonts w:eastAsia="MS Mincho" w:cs="Arial"/>
                <w:sz w:val="20"/>
                <w:szCs w:val="20"/>
              </w:rPr>
            </w:pPr>
            <w:r w:rsidRPr="00167CB8">
              <w:rPr>
                <w:rFonts w:eastAsia="MS Mincho" w:cs="Arial"/>
                <w:sz w:val="20"/>
                <w:szCs w:val="20"/>
              </w:rPr>
              <w:t>2,068</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404C5C" w14:textId="77777777" w:rsidR="00D82BD0" w:rsidRPr="00167CB8" w:rsidRDefault="00D82BD0" w:rsidP="0044422E">
            <w:pPr>
              <w:spacing w:line="240" w:lineRule="auto"/>
              <w:jc w:val="right"/>
              <w:rPr>
                <w:rFonts w:eastAsia="MS Mincho" w:cs="Arial"/>
                <w:sz w:val="20"/>
                <w:szCs w:val="20"/>
              </w:rPr>
            </w:pPr>
            <w:r w:rsidRPr="00167CB8">
              <w:rPr>
                <w:rFonts w:eastAsia="MS Mincho" w:cs="Arial"/>
                <w:sz w:val="20"/>
                <w:szCs w:val="20"/>
              </w:rPr>
              <w:t>2,509</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BE402A" w14:textId="77777777" w:rsidR="00D82BD0" w:rsidRPr="00167CB8" w:rsidRDefault="00D82BD0" w:rsidP="0044422E">
            <w:pPr>
              <w:spacing w:line="240" w:lineRule="auto"/>
              <w:jc w:val="right"/>
              <w:rPr>
                <w:rFonts w:eastAsia="MS Mincho" w:cs="Arial"/>
                <w:sz w:val="20"/>
                <w:szCs w:val="20"/>
              </w:rPr>
            </w:pPr>
            <w:r w:rsidRPr="004132CE">
              <w:rPr>
                <w:rFonts w:eastAsia="MS Mincho" w:cs="Arial"/>
                <w:sz w:val="20"/>
                <w:szCs w:val="20"/>
                <w:lang w:val="en-GB"/>
              </w:rPr>
              <w:t>1,367</w:t>
            </w:r>
          </w:p>
        </w:tc>
        <w:tc>
          <w:tcPr>
            <w:tcW w:w="851" w:type="dxa"/>
            <w:tcBorders>
              <w:top w:val="single" w:sz="4" w:space="0" w:color="auto"/>
              <w:left w:val="single" w:sz="4" w:space="0" w:color="auto"/>
              <w:bottom w:val="single" w:sz="4" w:space="0" w:color="auto"/>
              <w:right w:val="single" w:sz="4" w:space="0" w:color="auto"/>
            </w:tcBorders>
            <w:hideMark/>
          </w:tcPr>
          <w:p w14:paraId="27B03D76" w14:textId="77777777" w:rsidR="00D82BD0" w:rsidRPr="00167CB8" w:rsidRDefault="00D82BD0" w:rsidP="00481134">
            <w:pPr>
              <w:spacing w:line="240" w:lineRule="auto"/>
              <w:ind w:left="6" w:right="57"/>
              <w:jc w:val="right"/>
              <w:rPr>
                <w:rFonts w:eastAsia="MS Mincho" w:cs="Arial"/>
                <w:sz w:val="20"/>
                <w:szCs w:val="20"/>
              </w:rPr>
            </w:pPr>
            <w:r w:rsidRPr="00167CB8">
              <w:rPr>
                <w:rFonts w:eastAsia="MS Mincho" w:cs="Arial"/>
                <w:sz w:val="20"/>
                <w:szCs w:val="20"/>
              </w:rPr>
              <w:t>10,</w:t>
            </w:r>
            <w:r>
              <w:rPr>
                <w:rFonts w:eastAsia="MS Mincho" w:cs="Arial"/>
                <w:sz w:val="20"/>
                <w:szCs w:val="20"/>
              </w:rPr>
              <w:t>7</w:t>
            </w:r>
            <w:r w:rsidRPr="00167CB8">
              <w:rPr>
                <w:rFonts w:eastAsia="MS Mincho" w:cs="Arial"/>
                <w:sz w:val="20"/>
                <w:szCs w:val="20"/>
              </w:rPr>
              <w:t>30</w:t>
            </w:r>
          </w:p>
        </w:tc>
      </w:tr>
    </w:tbl>
    <w:p w14:paraId="451D9258" w14:textId="78085EE3" w:rsidR="00D82BD0" w:rsidRPr="00167CB8" w:rsidRDefault="00D82BD0" w:rsidP="00D82BD0">
      <w:pPr>
        <w:pStyle w:val="Source"/>
      </w:pPr>
      <w:r w:rsidRPr="00167CB8">
        <w:rPr>
          <w:b/>
          <w:bCs/>
        </w:rPr>
        <w:t>Source:</w:t>
      </w:r>
      <w:r w:rsidRPr="00167CB8">
        <w:t xml:space="preserve"> Data provided to the Review by the </w:t>
      </w:r>
      <w:r w:rsidR="007F2D9E">
        <w:t>Fair Work Ombudsman</w:t>
      </w:r>
      <w:r w:rsidRPr="00167CB8">
        <w:t>.</w:t>
      </w:r>
    </w:p>
    <w:p w14:paraId="1A8401D4" w14:textId="163FEC16" w:rsidR="00D82BD0" w:rsidRDefault="00D82BD0" w:rsidP="00D82BD0">
      <w:pPr>
        <w:rPr>
          <w:rFonts w:eastAsia="MS Mincho" w:cs="Arial"/>
        </w:rPr>
      </w:pPr>
      <w:r>
        <w:rPr>
          <w:rFonts w:eastAsia="MS Mincho" w:cs="Arial"/>
        </w:rPr>
        <w:t>Second, t</w:t>
      </w:r>
      <w:r w:rsidRPr="396ABCA7">
        <w:rPr>
          <w:rFonts w:eastAsia="MS Mincho" w:cs="Arial"/>
        </w:rPr>
        <w:t xml:space="preserve">he FWO’s </w:t>
      </w:r>
      <w:r>
        <w:rPr>
          <w:rFonts w:eastAsia="MS Mincho" w:cs="Arial"/>
        </w:rPr>
        <w:t>‘</w:t>
      </w:r>
      <w:r w:rsidRPr="004A7338">
        <w:rPr>
          <w:rFonts w:eastAsia="MS Mincho" w:cs="Arial"/>
        </w:rPr>
        <w:t>wage recoveries</w:t>
      </w:r>
      <w:r>
        <w:rPr>
          <w:rFonts w:eastAsia="MS Mincho" w:cs="Arial"/>
        </w:rPr>
        <w:t>’</w:t>
      </w:r>
      <w:r w:rsidRPr="396ABCA7">
        <w:rPr>
          <w:rFonts w:eastAsia="MS Mincho" w:cs="Arial"/>
        </w:rPr>
        <w:t xml:space="preserve"> from 2020</w:t>
      </w:r>
      <w:r w:rsidRPr="396ABCA7">
        <w:rPr>
          <w:rFonts w:ascii="Symbol" w:eastAsia="Symbol" w:hAnsi="Symbol" w:cs="Symbol"/>
        </w:rPr>
        <w:t>-</w:t>
      </w:r>
      <w:r w:rsidRPr="396ABCA7">
        <w:rPr>
          <w:rFonts w:eastAsia="MS Mincho" w:cs="Arial"/>
        </w:rPr>
        <w:t>21 to 2024</w:t>
      </w:r>
      <w:r w:rsidRPr="396ABCA7">
        <w:rPr>
          <w:rFonts w:ascii="Symbol" w:eastAsia="Symbol" w:hAnsi="Symbol" w:cs="Symbol"/>
        </w:rPr>
        <w:t>-</w:t>
      </w:r>
      <w:r w:rsidRPr="396ABCA7">
        <w:rPr>
          <w:rFonts w:eastAsia="MS Mincho" w:cs="Arial"/>
        </w:rPr>
        <w:t xml:space="preserve">25 (to 31 </w:t>
      </w:r>
      <w:r>
        <w:rPr>
          <w:rFonts w:eastAsia="MS Mincho" w:cs="Arial"/>
        </w:rPr>
        <w:t>December</w:t>
      </w:r>
      <w:r w:rsidRPr="396ABCA7">
        <w:rPr>
          <w:rFonts w:eastAsia="MS Mincho" w:cs="Arial"/>
        </w:rPr>
        <w:t xml:space="preserve"> 2024) for the building and construction sector are outlined in </w:t>
      </w:r>
      <w:r w:rsidRPr="005176C5">
        <w:rPr>
          <w:rFonts w:eastAsia="MS Mincho" w:cs="Arial"/>
        </w:rPr>
        <w:t>Table 2.</w:t>
      </w:r>
      <w:r w:rsidRPr="396ABCA7">
        <w:rPr>
          <w:rFonts w:eastAsia="MS Mincho" w:cs="Arial"/>
        </w:rPr>
        <w:t xml:space="preserve"> The FWO has had responsibility for the sector since 10 November 2022 (over </w:t>
      </w:r>
      <w:r w:rsidR="002B1057">
        <w:rPr>
          <w:rFonts w:eastAsia="MS Mincho" w:cs="Arial"/>
        </w:rPr>
        <w:t>four</w:t>
      </w:r>
      <w:r w:rsidRPr="396ABCA7">
        <w:rPr>
          <w:rFonts w:eastAsia="MS Mincho" w:cs="Arial"/>
        </w:rPr>
        <w:t xml:space="preserve"> months into the 2022</w:t>
      </w:r>
      <w:r w:rsidRPr="396ABCA7">
        <w:rPr>
          <w:rFonts w:ascii="Symbol" w:eastAsia="Symbol" w:hAnsi="Symbol" w:cs="Symbol"/>
        </w:rPr>
        <w:t>-</w:t>
      </w:r>
      <w:r w:rsidRPr="396ABCA7">
        <w:rPr>
          <w:rFonts w:eastAsia="MS Mincho" w:cs="Arial"/>
        </w:rPr>
        <w:t>23 financial year). In the period from 10 November 2022 to 31 December 2024, the FWO recovered $9,177,595 in wages and entitlements for workers in the building and construction sector.</w:t>
      </w:r>
    </w:p>
    <w:p w14:paraId="53CC6925" w14:textId="34084FE0" w:rsidR="002B1057" w:rsidRDefault="002B1057">
      <w:pPr>
        <w:spacing w:after="160"/>
        <w:rPr>
          <w:rFonts w:eastAsia="MS Mincho" w:cs="Arial"/>
        </w:rPr>
      </w:pPr>
    </w:p>
    <w:p w14:paraId="5546DCE9" w14:textId="0C1518AE" w:rsidR="00D82BD0" w:rsidRPr="00167CB8" w:rsidRDefault="004E1A76" w:rsidP="004E1A76">
      <w:pPr>
        <w:pStyle w:val="Caption"/>
      </w:pPr>
      <w:bookmarkStart w:id="65" w:name="_Toc194251426"/>
      <w:r>
        <w:t xml:space="preserve">Table </w:t>
      </w:r>
      <w:r>
        <w:fldChar w:fldCharType="begin"/>
      </w:r>
      <w:r>
        <w:instrText xml:space="preserve"> SEQ Table \* ARABIC </w:instrText>
      </w:r>
      <w:r>
        <w:fldChar w:fldCharType="separate"/>
      </w:r>
      <w:r w:rsidR="00DE5F5E">
        <w:rPr>
          <w:noProof/>
        </w:rPr>
        <w:t>2</w:t>
      </w:r>
      <w:r>
        <w:fldChar w:fldCharType="end"/>
      </w:r>
      <w:r>
        <w:t>: Fa</w:t>
      </w:r>
      <w:r w:rsidR="00C10784">
        <w:t>ir Work Ombudsman</w:t>
      </w:r>
      <w:r w:rsidR="00C10784" w:rsidRPr="00167CB8">
        <w:t xml:space="preserve"> </w:t>
      </w:r>
      <w:r w:rsidR="00D82BD0" w:rsidRPr="00167CB8">
        <w:t>recoveries for the building and construction sector</w:t>
      </w:r>
      <w:r w:rsidR="00C10784">
        <w:t>,</w:t>
      </w:r>
      <w:r w:rsidR="00D82BD0" w:rsidRPr="00167CB8">
        <w:t xml:space="preserve"> 2020</w:t>
      </w:r>
      <w:r w:rsidR="00D82BD0" w:rsidRPr="00167CB8">
        <w:rPr>
          <w:rFonts w:ascii="Symbol" w:eastAsia="Symbol" w:hAnsi="Symbol" w:cs="Symbol"/>
        </w:rPr>
        <w:t>-</w:t>
      </w:r>
      <w:r w:rsidR="00D82BD0" w:rsidRPr="00167CB8">
        <w:t>21 to 2024</w:t>
      </w:r>
      <w:r w:rsidR="00D82BD0" w:rsidRPr="00167CB8">
        <w:rPr>
          <w:rFonts w:ascii="Symbol" w:eastAsia="Symbol" w:hAnsi="Symbol" w:cs="Symbol"/>
        </w:rPr>
        <w:t>-</w:t>
      </w:r>
      <w:r w:rsidR="00D82BD0" w:rsidRPr="00167CB8">
        <w:t xml:space="preserve">25 (to 31 </w:t>
      </w:r>
      <w:r w:rsidR="00D56DB1">
        <w:t>December</w:t>
      </w:r>
      <w:r w:rsidR="00D56DB1" w:rsidRPr="00167CB8">
        <w:t xml:space="preserve"> </w:t>
      </w:r>
      <w:r w:rsidR="00D82BD0" w:rsidRPr="00167CB8">
        <w:t>2024)</w:t>
      </w:r>
      <w:bookmarkEnd w:id="65"/>
    </w:p>
    <w:tbl>
      <w:tblPr>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96"/>
        <w:gridCol w:w="1158"/>
        <w:gridCol w:w="1159"/>
        <w:gridCol w:w="1158"/>
        <w:gridCol w:w="1159"/>
        <w:gridCol w:w="1158"/>
        <w:gridCol w:w="1159"/>
      </w:tblGrid>
      <w:tr w:rsidR="00D82BD0" w:rsidRPr="00167CB8" w14:paraId="44671DF7" w14:textId="77777777" w:rsidTr="00923D7D">
        <w:trPr>
          <w:jc w:val="center"/>
        </w:trPr>
        <w:tc>
          <w:tcPr>
            <w:tcW w:w="1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95A7A5" w14:textId="77777777" w:rsidR="00D82BD0" w:rsidRPr="00167CB8" w:rsidRDefault="00D82BD0" w:rsidP="00923D7D">
            <w:pPr>
              <w:spacing w:line="240" w:lineRule="auto"/>
              <w:rPr>
                <w:rFonts w:eastAsia="MS Mincho" w:cs="Arial"/>
                <w:sz w:val="20"/>
                <w:szCs w:val="20"/>
              </w:rPr>
            </w:pPr>
            <w:r w:rsidRPr="396ABCA7">
              <w:rPr>
                <w:rFonts w:eastAsia="MS Mincho" w:cs="Arial"/>
                <w:sz w:val="20"/>
                <w:szCs w:val="20"/>
              </w:rPr>
              <w:t>Financial year</w:t>
            </w:r>
          </w:p>
        </w:tc>
        <w:tc>
          <w:tcPr>
            <w:tcW w:w="11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4D25FA" w14:textId="77777777" w:rsidR="00D82BD0" w:rsidRPr="00167CB8" w:rsidRDefault="00D82BD0" w:rsidP="00923D7D">
            <w:pPr>
              <w:spacing w:line="240" w:lineRule="auto"/>
              <w:jc w:val="right"/>
              <w:rPr>
                <w:rFonts w:eastAsia="MS Mincho" w:cs="Arial"/>
                <w:b/>
                <w:sz w:val="20"/>
                <w:szCs w:val="20"/>
              </w:rPr>
            </w:pPr>
            <w:r w:rsidRPr="00167CB8">
              <w:rPr>
                <w:rFonts w:eastAsia="MS Mincho" w:cs="Arial"/>
                <w:b/>
                <w:color w:val="000000"/>
                <w:sz w:val="20"/>
                <w:szCs w:val="20"/>
              </w:rPr>
              <w:t>2020</w:t>
            </w:r>
            <w:r w:rsidRPr="00167CB8">
              <w:rPr>
                <w:rFonts w:ascii="Symbol" w:eastAsia="Symbol" w:hAnsi="Symbol" w:cs="Symbol"/>
                <w:b/>
                <w:color w:val="000000"/>
                <w:sz w:val="20"/>
                <w:szCs w:val="20"/>
              </w:rPr>
              <w:t>-</w:t>
            </w:r>
            <w:r w:rsidRPr="00167CB8">
              <w:rPr>
                <w:rFonts w:eastAsia="MS Mincho" w:cs="Arial"/>
                <w:b/>
                <w:color w:val="000000"/>
                <w:sz w:val="20"/>
                <w:szCs w:val="20"/>
              </w:rPr>
              <w:t>21</w:t>
            </w:r>
          </w:p>
        </w:tc>
        <w:tc>
          <w:tcPr>
            <w:tcW w:w="11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B6DB22" w14:textId="77777777" w:rsidR="00D82BD0" w:rsidRPr="00167CB8" w:rsidRDefault="00D82BD0" w:rsidP="00923D7D">
            <w:pPr>
              <w:spacing w:line="240" w:lineRule="auto"/>
              <w:jc w:val="right"/>
              <w:rPr>
                <w:rFonts w:eastAsia="MS Mincho" w:cs="Arial"/>
                <w:b/>
                <w:sz w:val="20"/>
                <w:szCs w:val="20"/>
              </w:rPr>
            </w:pPr>
            <w:r w:rsidRPr="00167CB8">
              <w:rPr>
                <w:rFonts w:eastAsia="MS Mincho" w:cs="Arial"/>
                <w:b/>
                <w:color w:val="000000"/>
                <w:sz w:val="20"/>
                <w:szCs w:val="20"/>
              </w:rPr>
              <w:t>2021</w:t>
            </w:r>
            <w:r w:rsidRPr="00167CB8">
              <w:rPr>
                <w:rFonts w:ascii="Symbol" w:eastAsia="Symbol" w:hAnsi="Symbol" w:cs="Symbol"/>
                <w:b/>
                <w:color w:val="000000"/>
                <w:sz w:val="20"/>
                <w:szCs w:val="20"/>
              </w:rPr>
              <w:t>-</w:t>
            </w:r>
            <w:r w:rsidRPr="00167CB8">
              <w:rPr>
                <w:rFonts w:eastAsia="MS Mincho" w:cs="Arial"/>
                <w:b/>
                <w:color w:val="000000"/>
                <w:sz w:val="20"/>
                <w:szCs w:val="20"/>
              </w:rPr>
              <w:t>22</w:t>
            </w:r>
          </w:p>
        </w:tc>
        <w:tc>
          <w:tcPr>
            <w:tcW w:w="11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01962D" w14:textId="77777777" w:rsidR="00D82BD0" w:rsidRPr="00167CB8" w:rsidRDefault="00D82BD0" w:rsidP="00923D7D">
            <w:pPr>
              <w:spacing w:line="240" w:lineRule="auto"/>
              <w:jc w:val="right"/>
              <w:rPr>
                <w:rFonts w:eastAsia="MS Mincho" w:cs="Arial"/>
                <w:b/>
                <w:sz w:val="20"/>
                <w:szCs w:val="20"/>
              </w:rPr>
            </w:pPr>
            <w:r w:rsidRPr="00167CB8">
              <w:rPr>
                <w:rFonts w:eastAsia="MS Mincho" w:cs="Arial"/>
                <w:b/>
                <w:color w:val="000000"/>
                <w:sz w:val="20"/>
                <w:szCs w:val="20"/>
              </w:rPr>
              <w:t>2022</w:t>
            </w:r>
            <w:r w:rsidRPr="00167CB8">
              <w:rPr>
                <w:rFonts w:ascii="Symbol" w:eastAsia="Symbol" w:hAnsi="Symbol" w:cs="Symbol"/>
                <w:b/>
                <w:color w:val="000000"/>
                <w:sz w:val="20"/>
                <w:szCs w:val="20"/>
              </w:rPr>
              <w:t>-</w:t>
            </w:r>
            <w:r w:rsidRPr="00167CB8">
              <w:rPr>
                <w:rFonts w:eastAsia="MS Mincho" w:cs="Arial"/>
                <w:b/>
                <w:color w:val="000000"/>
                <w:sz w:val="20"/>
                <w:szCs w:val="20"/>
              </w:rPr>
              <w:t>23</w:t>
            </w:r>
          </w:p>
        </w:tc>
        <w:tc>
          <w:tcPr>
            <w:tcW w:w="11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EAE255" w14:textId="77777777" w:rsidR="00D82BD0" w:rsidRPr="00167CB8" w:rsidRDefault="00D82BD0" w:rsidP="00923D7D">
            <w:pPr>
              <w:spacing w:line="240" w:lineRule="auto"/>
              <w:jc w:val="right"/>
              <w:rPr>
                <w:rFonts w:eastAsia="MS Mincho" w:cs="Arial"/>
                <w:b/>
                <w:sz w:val="20"/>
                <w:szCs w:val="20"/>
              </w:rPr>
            </w:pPr>
            <w:r w:rsidRPr="00167CB8">
              <w:rPr>
                <w:rFonts w:eastAsia="MS Mincho" w:cs="Arial"/>
                <w:b/>
                <w:color w:val="000000"/>
                <w:sz w:val="20"/>
                <w:szCs w:val="20"/>
              </w:rPr>
              <w:t>2023</w:t>
            </w:r>
            <w:r w:rsidRPr="00167CB8">
              <w:rPr>
                <w:rFonts w:ascii="Symbol" w:eastAsia="Symbol" w:hAnsi="Symbol" w:cs="Symbol"/>
                <w:b/>
                <w:color w:val="000000"/>
                <w:sz w:val="20"/>
                <w:szCs w:val="20"/>
              </w:rPr>
              <w:t>-</w:t>
            </w:r>
            <w:r w:rsidRPr="00167CB8">
              <w:rPr>
                <w:rFonts w:eastAsia="MS Mincho" w:cs="Arial"/>
                <w:b/>
                <w:color w:val="000000"/>
                <w:sz w:val="20"/>
                <w:szCs w:val="20"/>
              </w:rPr>
              <w:t>24</w:t>
            </w:r>
          </w:p>
        </w:tc>
        <w:tc>
          <w:tcPr>
            <w:tcW w:w="11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F9DA9A" w14:textId="77777777" w:rsidR="00D82BD0" w:rsidRPr="00167CB8" w:rsidRDefault="00D82BD0" w:rsidP="00923D7D">
            <w:pPr>
              <w:spacing w:line="240" w:lineRule="auto"/>
              <w:jc w:val="right"/>
              <w:rPr>
                <w:rFonts w:eastAsia="MS Mincho" w:cs="Arial"/>
                <w:b/>
                <w:sz w:val="20"/>
                <w:szCs w:val="20"/>
              </w:rPr>
            </w:pPr>
            <w:r w:rsidRPr="00167CB8">
              <w:rPr>
                <w:rFonts w:eastAsia="MS Mincho" w:cs="Arial"/>
                <w:b/>
                <w:sz w:val="20"/>
                <w:szCs w:val="20"/>
              </w:rPr>
              <w:t>2024</w:t>
            </w:r>
            <w:r w:rsidRPr="00167CB8">
              <w:rPr>
                <w:rFonts w:ascii="Symbol" w:eastAsia="Symbol" w:hAnsi="Symbol" w:cs="Symbol"/>
                <w:b/>
                <w:sz w:val="20"/>
                <w:szCs w:val="20"/>
              </w:rPr>
              <w:t>-</w:t>
            </w:r>
            <w:r w:rsidRPr="00167CB8">
              <w:rPr>
                <w:rFonts w:eastAsia="MS Mincho" w:cs="Arial"/>
                <w:b/>
                <w:sz w:val="20"/>
                <w:szCs w:val="20"/>
              </w:rPr>
              <w:t xml:space="preserve">25 to 31 </w:t>
            </w:r>
            <w:r>
              <w:rPr>
                <w:rFonts w:eastAsia="MS Mincho" w:cs="Arial"/>
                <w:b/>
                <w:sz w:val="20"/>
                <w:szCs w:val="20"/>
              </w:rPr>
              <w:t>Dec</w:t>
            </w:r>
          </w:p>
        </w:tc>
        <w:tc>
          <w:tcPr>
            <w:tcW w:w="1159" w:type="dxa"/>
            <w:tcBorders>
              <w:top w:val="single" w:sz="4" w:space="0" w:color="auto"/>
              <w:left w:val="single" w:sz="4" w:space="0" w:color="auto"/>
              <w:bottom w:val="single" w:sz="4" w:space="0" w:color="auto"/>
              <w:right w:val="single" w:sz="4" w:space="0" w:color="auto"/>
            </w:tcBorders>
            <w:hideMark/>
          </w:tcPr>
          <w:p w14:paraId="1A442C60" w14:textId="77777777" w:rsidR="00D82BD0" w:rsidRPr="00167CB8" w:rsidRDefault="00D82BD0" w:rsidP="00AD5AC9">
            <w:pPr>
              <w:spacing w:line="240" w:lineRule="auto"/>
              <w:ind w:right="57"/>
              <w:jc w:val="right"/>
              <w:rPr>
                <w:rFonts w:eastAsia="MS Mincho" w:cs="Arial"/>
                <w:b/>
                <w:sz w:val="20"/>
                <w:szCs w:val="20"/>
              </w:rPr>
            </w:pPr>
            <w:r w:rsidRPr="00167CB8">
              <w:rPr>
                <w:rFonts w:eastAsia="MS Mincho" w:cs="Arial"/>
                <w:b/>
                <w:sz w:val="20"/>
                <w:szCs w:val="20"/>
              </w:rPr>
              <w:t>Total</w:t>
            </w:r>
          </w:p>
        </w:tc>
      </w:tr>
      <w:tr w:rsidR="00D82BD0" w:rsidRPr="00167CB8" w14:paraId="71E261B0" w14:textId="77777777">
        <w:trPr>
          <w:jc w:val="center"/>
        </w:trPr>
        <w:tc>
          <w:tcPr>
            <w:tcW w:w="1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F56452" w14:textId="77777777" w:rsidR="00D82BD0" w:rsidRPr="00167CB8" w:rsidRDefault="00D82BD0" w:rsidP="00923D7D">
            <w:pPr>
              <w:spacing w:line="240" w:lineRule="auto"/>
              <w:rPr>
                <w:rFonts w:eastAsia="MS Mincho" w:cs="Arial"/>
                <w:bCs/>
                <w:sz w:val="20"/>
                <w:szCs w:val="20"/>
              </w:rPr>
            </w:pPr>
            <w:r w:rsidRPr="00167CB8">
              <w:rPr>
                <w:rFonts w:eastAsia="MS Mincho" w:cs="Arial"/>
                <w:bCs/>
                <w:sz w:val="20"/>
                <w:szCs w:val="20"/>
              </w:rPr>
              <w:t>Total recoveries</w:t>
            </w:r>
          </w:p>
        </w:tc>
        <w:tc>
          <w:tcPr>
            <w:tcW w:w="11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168497" w14:textId="77777777" w:rsidR="00D82BD0" w:rsidRPr="00FB1BBC" w:rsidRDefault="00D82BD0" w:rsidP="00923D7D">
            <w:pPr>
              <w:spacing w:line="240" w:lineRule="auto"/>
              <w:jc w:val="right"/>
              <w:rPr>
                <w:rFonts w:eastAsia="MS Mincho" w:cs="Arial"/>
                <w:sz w:val="18"/>
                <w:szCs w:val="18"/>
              </w:rPr>
            </w:pPr>
            <w:r w:rsidRPr="00FB1BBC">
              <w:rPr>
                <w:sz w:val="18"/>
                <w:szCs w:val="18"/>
              </w:rPr>
              <w:t>$2,552,141</w:t>
            </w:r>
          </w:p>
        </w:tc>
        <w:tc>
          <w:tcPr>
            <w:tcW w:w="11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E976CA" w14:textId="77777777" w:rsidR="00D82BD0" w:rsidRPr="00FB1BBC" w:rsidRDefault="00D82BD0" w:rsidP="00923D7D">
            <w:pPr>
              <w:spacing w:line="240" w:lineRule="auto"/>
              <w:jc w:val="right"/>
              <w:rPr>
                <w:rFonts w:eastAsia="MS Mincho" w:cs="Arial"/>
                <w:sz w:val="18"/>
                <w:szCs w:val="18"/>
              </w:rPr>
            </w:pPr>
            <w:r w:rsidRPr="00FB1BBC">
              <w:rPr>
                <w:sz w:val="18"/>
                <w:szCs w:val="18"/>
              </w:rPr>
              <w:t>$2,177,692</w:t>
            </w:r>
          </w:p>
        </w:tc>
        <w:tc>
          <w:tcPr>
            <w:tcW w:w="11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7EE65E" w14:textId="77777777" w:rsidR="00D82BD0" w:rsidRPr="00FB1BBC" w:rsidRDefault="00D82BD0" w:rsidP="00923D7D">
            <w:pPr>
              <w:spacing w:line="240" w:lineRule="auto"/>
              <w:jc w:val="right"/>
              <w:rPr>
                <w:rFonts w:eastAsia="MS Mincho" w:cs="Arial"/>
                <w:sz w:val="18"/>
                <w:szCs w:val="18"/>
              </w:rPr>
            </w:pPr>
            <w:r w:rsidRPr="00FB1BBC">
              <w:rPr>
                <w:sz w:val="18"/>
                <w:szCs w:val="18"/>
              </w:rPr>
              <w:t>$4,215,968</w:t>
            </w:r>
          </w:p>
        </w:tc>
        <w:tc>
          <w:tcPr>
            <w:tcW w:w="11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588CD4" w14:textId="77777777" w:rsidR="00D82BD0" w:rsidRPr="00FB1BBC" w:rsidRDefault="00D82BD0" w:rsidP="00923D7D">
            <w:pPr>
              <w:spacing w:line="240" w:lineRule="auto"/>
              <w:jc w:val="right"/>
              <w:rPr>
                <w:rFonts w:eastAsia="MS Mincho" w:cs="Arial"/>
                <w:sz w:val="18"/>
                <w:szCs w:val="18"/>
              </w:rPr>
            </w:pPr>
            <w:r w:rsidRPr="00FB1BBC">
              <w:rPr>
                <w:sz w:val="18"/>
                <w:szCs w:val="18"/>
              </w:rPr>
              <w:t>$3,031,089</w:t>
            </w:r>
          </w:p>
        </w:tc>
        <w:tc>
          <w:tcPr>
            <w:tcW w:w="11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1F4AF9" w14:textId="77777777" w:rsidR="00D82BD0" w:rsidRPr="00FB1BBC" w:rsidRDefault="00D82BD0" w:rsidP="00923D7D">
            <w:pPr>
              <w:spacing w:line="240" w:lineRule="auto"/>
              <w:jc w:val="right"/>
              <w:rPr>
                <w:rFonts w:eastAsia="MS Mincho" w:cs="Arial"/>
                <w:sz w:val="18"/>
                <w:szCs w:val="18"/>
              </w:rPr>
            </w:pPr>
            <w:r w:rsidRPr="00FB1BBC">
              <w:rPr>
                <w:sz w:val="18"/>
                <w:szCs w:val="18"/>
              </w:rPr>
              <w:t>$</w:t>
            </w:r>
            <w:r w:rsidRPr="000211D9">
              <w:rPr>
                <w:sz w:val="18"/>
                <w:szCs w:val="18"/>
              </w:rPr>
              <w:t>1,539,991</w:t>
            </w:r>
          </w:p>
        </w:tc>
        <w:tc>
          <w:tcPr>
            <w:tcW w:w="1159" w:type="dxa"/>
            <w:tcBorders>
              <w:top w:val="single" w:sz="4" w:space="0" w:color="auto"/>
              <w:left w:val="single" w:sz="4" w:space="0" w:color="auto"/>
              <w:bottom w:val="single" w:sz="4" w:space="0" w:color="auto"/>
              <w:right w:val="single" w:sz="4" w:space="0" w:color="auto"/>
            </w:tcBorders>
            <w:hideMark/>
          </w:tcPr>
          <w:p w14:paraId="4E8C27DE" w14:textId="3DED23E9" w:rsidR="00D82BD0" w:rsidRPr="00FB1BBC" w:rsidRDefault="00D82BD0" w:rsidP="00AD5AC9">
            <w:pPr>
              <w:spacing w:line="240" w:lineRule="auto"/>
              <w:ind w:right="57"/>
              <w:jc w:val="right"/>
              <w:rPr>
                <w:rFonts w:eastAsia="MS Mincho" w:cs="Arial"/>
                <w:sz w:val="18"/>
                <w:szCs w:val="18"/>
              </w:rPr>
            </w:pPr>
            <w:r w:rsidRPr="00FB1BBC">
              <w:rPr>
                <w:sz w:val="18"/>
                <w:szCs w:val="18"/>
              </w:rPr>
              <w:t>$13,</w:t>
            </w:r>
            <w:r>
              <w:rPr>
                <w:sz w:val="18"/>
                <w:szCs w:val="18"/>
              </w:rPr>
              <w:t>516,881</w:t>
            </w:r>
          </w:p>
        </w:tc>
      </w:tr>
    </w:tbl>
    <w:p w14:paraId="14CA8850" w14:textId="56DAC8E9" w:rsidR="00D82BD0" w:rsidRPr="00167CB8" w:rsidRDefault="00D82BD0" w:rsidP="00D82BD0">
      <w:pPr>
        <w:pStyle w:val="Source"/>
      </w:pPr>
      <w:r w:rsidRPr="00923D7D">
        <w:rPr>
          <w:b/>
          <w:bCs/>
        </w:rPr>
        <w:t>Source:</w:t>
      </w:r>
      <w:r w:rsidRPr="00167CB8">
        <w:t xml:space="preserve"> </w:t>
      </w:r>
      <w:r w:rsidR="00C10784">
        <w:tab/>
      </w:r>
      <w:r w:rsidRPr="00167CB8">
        <w:t xml:space="preserve">Data provided to the Review by the </w:t>
      </w:r>
      <w:r w:rsidR="00C10784">
        <w:t>Fair Work Ombudsman</w:t>
      </w:r>
      <w:r w:rsidRPr="00167CB8">
        <w:t>.</w:t>
      </w:r>
    </w:p>
    <w:p w14:paraId="70556467" w14:textId="14321287" w:rsidR="00D82BD0" w:rsidRDefault="00D82BD0" w:rsidP="00923D7D">
      <w:pPr>
        <w:spacing w:after="160"/>
        <w:rPr>
          <w:rFonts w:eastAsia="MS Mincho" w:cs="Arial"/>
        </w:rPr>
      </w:pPr>
      <w:r w:rsidRPr="396ABCA7">
        <w:rPr>
          <w:rFonts w:eastAsia="MS Mincho" w:cs="Arial"/>
        </w:rPr>
        <w:lastRenderedPageBreak/>
        <w:t>Publicly available information shows the ABCC’s total wage recoveries were ‘more than $5.7</w:t>
      </w:r>
      <w:r w:rsidR="00C10784">
        <w:rPr>
          <w:rFonts w:eastAsia="MS Mincho" w:cs="Arial"/>
        </w:rPr>
        <w:t> </w:t>
      </w:r>
      <w:r w:rsidRPr="396ABCA7">
        <w:rPr>
          <w:rFonts w:eastAsia="MS Mincho" w:cs="Arial"/>
        </w:rPr>
        <w:t xml:space="preserve">million’ over the </w:t>
      </w:r>
      <w:r w:rsidR="002B1057">
        <w:rPr>
          <w:rFonts w:eastAsia="MS Mincho" w:cs="Arial"/>
        </w:rPr>
        <w:t>five</w:t>
      </w:r>
      <w:r w:rsidRPr="396ABCA7">
        <w:rPr>
          <w:rFonts w:eastAsia="MS Mincho" w:cs="Arial"/>
        </w:rPr>
        <w:t xml:space="preserve"> years and </w:t>
      </w:r>
      <w:r w:rsidR="002B1057">
        <w:rPr>
          <w:rFonts w:eastAsia="MS Mincho" w:cs="Arial"/>
        </w:rPr>
        <w:t>seven</w:t>
      </w:r>
      <w:r w:rsidRPr="396ABCA7">
        <w:rPr>
          <w:rFonts w:eastAsia="MS Mincho" w:cs="Arial"/>
        </w:rPr>
        <w:t xml:space="preserve"> months from December 2016 to 30 June 2022.</w:t>
      </w:r>
      <w:r w:rsidRPr="396ABCA7">
        <w:rPr>
          <w:rFonts w:eastAsia="MS Mincho" w:cs="Arial"/>
          <w:vertAlign w:val="superscript"/>
        </w:rPr>
        <w:footnoteReference w:id="59"/>
      </w:r>
      <w:r w:rsidRPr="396ABCA7">
        <w:rPr>
          <w:rFonts w:eastAsia="MS Mincho" w:cs="Arial"/>
        </w:rPr>
        <w:t xml:space="preserve"> The ABCC </w:t>
      </w:r>
      <w:r w:rsidRPr="00C10784">
        <w:rPr>
          <w:rFonts w:eastAsia="MS Mincho" w:cs="Arial"/>
        </w:rPr>
        <w:t>notes</w:t>
      </w:r>
      <w:r w:rsidRPr="396ABCA7">
        <w:rPr>
          <w:rFonts w:eastAsia="MS Mincho" w:cs="Arial"/>
        </w:rPr>
        <w:t xml:space="preserve"> that this included $2.5 million in 2021</w:t>
      </w:r>
      <w:r w:rsidRPr="396ABCA7">
        <w:rPr>
          <w:rFonts w:ascii="Symbol" w:eastAsia="Symbol" w:hAnsi="Symbol" w:cs="Symbol"/>
        </w:rPr>
        <w:t>-</w:t>
      </w:r>
      <w:r w:rsidRPr="396ABCA7">
        <w:rPr>
          <w:rFonts w:eastAsia="MS Mincho" w:cs="Arial"/>
        </w:rPr>
        <w:t>22, which was an ‘increase of more than 182% from the previous reporting period’.</w:t>
      </w:r>
      <w:r>
        <w:rPr>
          <w:rStyle w:val="FootnoteReference"/>
          <w:rFonts w:eastAsia="MS Mincho" w:cs="Arial"/>
        </w:rPr>
        <w:footnoteReference w:id="60"/>
      </w:r>
      <w:r>
        <w:rPr>
          <w:rFonts w:eastAsia="MS Mincho" w:cs="Arial"/>
        </w:rPr>
        <w:t xml:space="preserve"> A breakdown of ABCC recoveries by year is </w:t>
      </w:r>
      <w:r w:rsidRPr="00024722">
        <w:rPr>
          <w:rFonts w:eastAsia="MS Mincho" w:cs="Arial"/>
        </w:rPr>
        <w:t>provided in Table 3,</w:t>
      </w:r>
      <w:r>
        <w:rPr>
          <w:rFonts w:eastAsia="MS Mincho" w:cs="Arial"/>
        </w:rPr>
        <w:t xml:space="preserve"> which shows that from 2017</w:t>
      </w:r>
      <w:r w:rsidR="002B1057">
        <w:rPr>
          <w:rFonts w:ascii="Symbol" w:eastAsia="Symbol" w:hAnsi="Symbol" w:cs="Symbol"/>
        </w:rPr>
        <w:t>-</w:t>
      </w:r>
      <w:r>
        <w:rPr>
          <w:rFonts w:eastAsia="MS Mincho" w:cs="Arial"/>
        </w:rPr>
        <w:t>18 to 2022</w:t>
      </w:r>
      <w:r w:rsidR="002B1057">
        <w:rPr>
          <w:rFonts w:ascii="Symbol" w:eastAsia="Symbol" w:hAnsi="Symbol" w:cs="Symbol"/>
        </w:rPr>
        <w:t>-</w:t>
      </w:r>
      <w:r>
        <w:rPr>
          <w:rFonts w:eastAsia="MS Mincho" w:cs="Arial"/>
        </w:rPr>
        <w:t>23, after no wage recoveries</w:t>
      </w:r>
      <w:r w:rsidR="00417FC1">
        <w:rPr>
          <w:rFonts w:eastAsia="MS Mincho" w:cs="Arial"/>
        </w:rPr>
        <w:t xml:space="preserve"> </w:t>
      </w:r>
      <w:r w:rsidR="00476BB1">
        <w:rPr>
          <w:rFonts w:eastAsia="MS Mincho" w:cs="Arial"/>
        </w:rPr>
        <w:t xml:space="preserve">were </w:t>
      </w:r>
      <w:r w:rsidR="00417FC1">
        <w:rPr>
          <w:rFonts w:eastAsia="MS Mincho" w:cs="Arial"/>
        </w:rPr>
        <w:t>reported in the ABCC</w:t>
      </w:r>
      <w:r w:rsidR="001F2E31">
        <w:rPr>
          <w:rFonts w:eastAsia="MS Mincho" w:cs="Arial"/>
        </w:rPr>
        <w:t xml:space="preserve"> </w:t>
      </w:r>
      <w:r w:rsidR="001F2E31">
        <w:rPr>
          <w:rFonts w:eastAsia="MS Mincho" w:cs="Arial"/>
          <w:i/>
          <w:iCs/>
        </w:rPr>
        <w:t xml:space="preserve">Annual </w:t>
      </w:r>
      <w:r w:rsidR="001F2E31" w:rsidRPr="001F2E31">
        <w:rPr>
          <w:rFonts w:eastAsia="MS Mincho" w:cs="Arial"/>
          <w:i/>
          <w:iCs/>
        </w:rPr>
        <w:t>Report</w:t>
      </w:r>
      <w:r w:rsidR="00417FC1" w:rsidRPr="001F2E31">
        <w:rPr>
          <w:rFonts w:eastAsia="MS Mincho" w:cs="Arial"/>
          <w:i/>
          <w:iCs/>
        </w:rPr>
        <w:t xml:space="preserve"> 2016–17</w:t>
      </w:r>
      <w:r>
        <w:rPr>
          <w:rFonts w:eastAsia="MS Mincho" w:cs="Arial"/>
        </w:rPr>
        <w:t>, the ABCC recovered $</w:t>
      </w:r>
      <w:r w:rsidRPr="003F0D1A">
        <w:rPr>
          <w:rFonts w:eastAsia="MS Mincho" w:cs="Arial"/>
        </w:rPr>
        <w:t>5,998,885</w:t>
      </w:r>
      <w:r>
        <w:rPr>
          <w:rFonts w:eastAsia="MS Mincho" w:cs="Arial"/>
        </w:rPr>
        <w:t xml:space="preserve"> in unpaid wages.</w:t>
      </w:r>
    </w:p>
    <w:p w14:paraId="5509FC06" w14:textId="77777777" w:rsidR="000D35EC" w:rsidRDefault="000D35EC" w:rsidP="00923D7D">
      <w:pPr>
        <w:spacing w:after="160"/>
        <w:rPr>
          <w:rFonts w:eastAsia="MS Mincho" w:cs="Arial"/>
        </w:rPr>
      </w:pPr>
    </w:p>
    <w:p w14:paraId="16F9BED4" w14:textId="7E0A6B5F" w:rsidR="00D82BD0" w:rsidRPr="00167CB8" w:rsidRDefault="008275E1" w:rsidP="007F380D">
      <w:pPr>
        <w:pStyle w:val="Caption"/>
      </w:pPr>
      <w:bookmarkStart w:id="66" w:name="_Toc194251427"/>
      <w:r>
        <w:t xml:space="preserve">Table </w:t>
      </w:r>
      <w:r>
        <w:fldChar w:fldCharType="begin"/>
      </w:r>
      <w:r>
        <w:instrText xml:space="preserve"> SEQ Table \* ARABIC </w:instrText>
      </w:r>
      <w:r>
        <w:fldChar w:fldCharType="separate"/>
      </w:r>
      <w:r w:rsidR="00DE5F5E">
        <w:rPr>
          <w:noProof/>
        </w:rPr>
        <w:t>3</w:t>
      </w:r>
      <w:r>
        <w:fldChar w:fldCharType="end"/>
      </w:r>
      <w:r>
        <w:t xml:space="preserve">: </w:t>
      </w:r>
      <w:r w:rsidR="00C10784">
        <w:t xml:space="preserve">Australian Building and Construction Commission </w:t>
      </w:r>
      <w:r w:rsidR="00D82BD0">
        <w:t>wage</w:t>
      </w:r>
      <w:r w:rsidR="00D82BD0" w:rsidRPr="00167CB8">
        <w:t xml:space="preserve"> recoveries</w:t>
      </w:r>
      <w:r w:rsidR="00C10784">
        <w:t>,</w:t>
      </w:r>
      <w:r w:rsidR="00D82BD0" w:rsidRPr="00167CB8">
        <w:t xml:space="preserve"> </w:t>
      </w:r>
      <w:r w:rsidR="009E0F1B">
        <w:t>2017</w:t>
      </w:r>
      <w:r w:rsidR="002B1057">
        <w:rPr>
          <w:rFonts w:ascii="Symbol" w:eastAsia="Symbol" w:hAnsi="Symbol" w:cs="Symbol"/>
        </w:rPr>
        <w:t>-</w:t>
      </w:r>
      <w:r w:rsidR="00D82BD0">
        <w:t>1</w:t>
      </w:r>
      <w:r w:rsidR="009E0F1B">
        <w:t>8</w:t>
      </w:r>
      <w:r w:rsidR="00D82BD0">
        <w:t xml:space="preserve"> to 2022</w:t>
      </w:r>
      <w:r w:rsidR="002B1057">
        <w:rPr>
          <w:rFonts w:ascii="Symbol" w:eastAsia="Symbol" w:hAnsi="Symbol" w:cs="Symbol"/>
        </w:rPr>
        <w:t>-</w:t>
      </w:r>
      <w:r w:rsidR="00D82BD0">
        <w:t>23</w:t>
      </w:r>
      <w:bookmarkEnd w:id="66"/>
    </w:p>
    <w:tbl>
      <w:tblPr>
        <w:tblW w:w="91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13"/>
        <w:gridCol w:w="1069"/>
        <w:gridCol w:w="1222"/>
        <w:gridCol w:w="1222"/>
        <w:gridCol w:w="1070"/>
        <w:gridCol w:w="1192"/>
        <w:gridCol w:w="992"/>
        <w:gridCol w:w="1086"/>
      </w:tblGrid>
      <w:tr w:rsidR="00D82BD0" w:rsidRPr="00167CB8" w14:paraId="59B808AF" w14:textId="77777777" w:rsidTr="00923D7D">
        <w:trPr>
          <w:trHeight w:val="732"/>
        </w:trPr>
        <w:tc>
          <w:tcPr>
            <w:tcW w:w="13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1A84CA" w14:textId="77777777" w:rsidR="00D82BD0" w:rsidRPr="00167CB8" w:rsidRDefault="00D82BD0" w:rsidP="00923D7D">
            <w:pPr>
              <w:spacing w:line="240" w:lineRule="auto"/>
              <w:rPr>
                <w:rFonts w:eastAsia="MS Mincho" w:cs="Arial"/>
                <w:sz w:val="20"/>
                <w:szCs w:val="20"/>
              </w:rPr>
            </w:pPr>
            <w:r w:rsidRPr="396ABCA7">
              <w:rPr>
                <w:rFonts w:eastAsia="MS Mincho" w:cs="Arial"/>
                <w:sz w:val="20"/>
                <w:szCs w:val="20"/>
              </w:rPr>
              <w:t>Financial year</w:t>
            </w:r>
          </w:p>
        </w:tc>
        <w:tc>
          <w:tcPr>
            <w:tcW w:w="10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64EE95" w14:textId="2D919ECB" w:rsidR="00D82BD0" w:rsidRPr="00167CB8" w:rsidRDefault="00D82BD0" w:rsidP="00923D7D">
            <w:pPr>
              <w:spacing w:line="240" w:lineRule="auto"/>
              <w:jc w:val="right"/>
              <w:rPr>
                <w:rFonts w:eastAsia="MS Mincho" w:cs="Arial"/>
                <w:b/>
                <w:sz w:val="20"/>
                <w:szCs w:val="20"/>
              </w:rPr>
            </w:pPr>
            <w:r>
              <w:rPr>
                <w:rFonts w:eastAsia="MS Mincho" w:cs="Arial"/>
                <w:b/>
                <w:sz w:val="20"/>
                <w:szCs w:val="20"/>
              </w:rPr>
              <w:t>2017</w:t>
            </w:r>
            <w:r w:rsidR="002B1057">
              <w:rPr>
                <w:rFonts w:ascii="Symbol" w:eastAsia="Symbol" w:hAnsi="Symbol" w:cs="Symbol"/>
                <w:b/>
                <w:sz w:val="20"/>
                <w:szCs w:val="20"/>
              </w:rPr>
              <w:sym w:font="Symbol" w:char="F02D"/>
            </w:r>
            <w:r>
              <w:rPr>
                <w:rFonts w:eastAsia="MS Mincho" w:cs="Arial"/>
                <w:b/>
                <w:sz w:val="20"/>
                <w:szCs w:val="20"/>
              </w:rPr>
              <w:t>18</w:t>
            </w:r>
          </w:p>
        </w:tc>
        <w:tc>
          <w:tcPr>
            <w:tcW w:w="12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21A29F" w14:textId="77777777" w:rsidR="00D82BD0" w:rsidRPr="00167CB8" w:rsidRDefault="00D82BD0" w:rsidP="00923D7D">
            <w:pPr>
              <w:spacing w:line="240" w:lineRule="auto"/>
              <w:jc w:val="right"/>
              <w:rPr>
                <w:rFonts w:eastAsia="MS Mincho" w:cs="Arial"/>
                <w:b/>
                <w:sz w:val="20"/>
                <w:szCs w:val="20"/>
              </w:rPr>
            </w:pPr>
            <w:r w:rsidRPr="00167CB8">
              <w:rPr>
                <w:rFonts w:eastAsia="MS Mincho" w:cs="Arial"/>
                <w:b/>
                <w:sz w:val="20"/>
                <w:szCs w:val="20"/>
              </w:rPr>
              <w:t>2018</w:t>
            </w:r>
            <w:r w:rsidRPr="00167CB8">
              <w:rPr>
                <w:rFonts w:ascii="Symbol" w:eastAsia="Symbol" w:hAnsi="Symbol" w:cs="Symbol"/>
                <w:b/>
                <w:sz w:val="20"/>
                <w:szCs w:val="20"/>
              </w:rPr>
              <w:t>-</w:t>
            </w:r>
            <w:r w:rsidRPr="00167CB8">
              <w:rPr>
                <w:rFonts w:eastAsia="MS Mincho" w:cs="Arial"/>
                <w:b/>
                <w:sz w:val="20"/>
                <w:szCs w:val="20"/>
              </w:rPr>
              <w:t>19</w:t>
            </w:r>
          </w:p>
        </w:tc>
        <w:tc>
          <w:tcPr>
            <w:tcW w:w="12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687517" w14:textId="77777777" w:rsidR="00D82BD0" w:rsidRPr="00167CB8" w:rsidRDefault="00D82BD0" w:rsidP="00923D7D">
            <w:pPr>
              <w:spacing w:line="240" w:lineRule="auto"/>
              <w:jc w:val="right"/>
              <w:rPr>
                <w:rFonts w:eastAsia="MS Mincho" w:cs="Arial"/>
                <w:b/>
                <w:sz w:val="20"/>
                <w:szCs w:val="20"/>
              </w:rPr>
            </w:pPr>
            <w:r w:rsidRPr="00167CB8">
              <w:rPr>
                <w:rFonts w:eastAsia="MS Mincho" w:cs="Arial"/>
                <w:b/>
                <w:sz w:val="20"/>
                <w:szCs w:val="20"/>
              </w:rPr>
              <w:t>2019</w:t>
            </w:r>
            <w:r w:rsidRPr="00167CB8">
              <w:rPr>
                <w:rFonts w:ascii="Symbol" w:eastAsia="Symbol" w:hAnsi="Symbol" w:cs="Symbol"/>
                <w:b/>
                <w:sz w:val="20"/>
                <w:szCs w:val="20"/>
              </w:rPr>
              <w:t>-</w:t>
            </w:r>
            <w:r w:rsidRPr="00167CB8">
              <w:rPr>
                <w:rFonts w:eastAsia="MS Mincho" w:cs="Arial"/>
                <w:b/>
                <w:sz w:val="20"/>
                <w:szCs w:val="20"/>
              </w:rPr>
              <w:t>20</w:t>
            </w:r>
          </w:p>
        </w:tc>
        <w:tc>
          <w:tcPr>
            <w:tcW w:w="10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60F08F" w14:textId="77777777" w:rsidR="00D82BD0" w:rsidRPr="00167CB8" w:rsidRDefault="00D82BD0" w:rsidP="00923D7D">
            <w:pPr>
              <w:spacing w:line="240" w:lineRule="auto"/>
              <w:jc w:val="right"/>
              <w:rPr>
                <w:rFonts w:eastAsia="MS Mincho" w:cs="Arial"/>
                <w:b/>
                <w:sz w:val="20"/>
                <w:szCs w:val="20"/>
              </w:rPr>
            </w:pPr>
            <w:r w:rsidRPr="00167CB8">
              <w:rPr>
                <w:rFonts w:eastAsia="MS Mincho" w:cs="Arial"/>
                <w:b/>
                <w:sz w:val="20"/>
                <w:szCs w:val="20"/>
              </w:rPr>
              <w:t>2020</w:t>
            </w:r>
            <w:r w:rsidRPr="00167CB8">
              <w:rPr>
                <w:rFonts w:ascii="Symbol" w:eastAsia="Symbol" w:hAnsi="Symbol" w:cs="Symbol"/>
                <w:b/>
                <w:sz w:val="20"/>
                <w:szCs w:val="20"/>
              </w:rPr>
              <w:t>-</w:t>
            </w:r>
            <w:r w:rsidRPr="00167CB8">
              <w:rPr>
                <w:rFonts w:eastAsia="MS Mincho" w:cs="Arial"/>
                <w:b/>
                <w:sz w:val="20"/>
                <w:szCs w:val="20"/>
              </w:rPr>
              <w:t>21</w:t>
            </w:r>
          </w:p>
        </w:tc>
        <w:tc>
          <w:tcPr>
            <w:tcW w:w="11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F98BCC" w14:textId="77777777" w:rsidR="00D82BD0" w:rsidRPr="00167CB8" w:rsidRDefault="00D82BD0" w:rsidP="00923D7D">
            <w:pPr>
              <w:spacing w:line="240" w:lineRule="auto"/>
              <w:jc w:val="right"/>
              <w:rPr>
                <w:rFonts w:eastAsia="MS Mincho" w:cs="Arial"/>
                <w:b/>
                <w:sz w:val="20"/>
                <w:szCs w:val="20"/>
              </w:rPr>
            </w:pPr>
            <w:r w:rsidRPr="00167CB8">
              <w:rPr>
                <w:rFonts w:eastAsia="MS Mincho" w:cs="Arial"/>
                <w:b/>
                <w:sz w:val="20"/>
                <w:szCs w:val="20"/>
              </w:rPr>
              <w:t>2021</w:t>
            </w:r>
            <w:r w:rsidRPr="00167CB8">
              <w:rPr>
                <w:rFonts w:ascii="Symbol" w:eastAsia="Symbol" w:hAnsi="Symbol" w:cs="Symbol"/>
                <w:b/>
                <w:sz w:val="20"/>
                <w:szCs w:val="20"/>
              </w:rPr>
              <w:t>-</w:t>
            </w:r>
            <w:r w:rsidRPr="00167CB8">
              <w:rPr>
                <w:rFonts w:eastAsia="MS Mincho" w:cs="Arial"/>
                <w:b/>
                <w:sz w:val="20"/>
                <w:szCs w:val="20"/>
              </w:rPr>
              <w:t>22</w:t>
            </w:r>
          </w:p>
        </w:tc>
        <w:tc>
          <w:tcPr>
            <w:tcW w:w="992" w:type="dxa"/>
            <w:tcBorders>
              <w:top w:val="single" w:sz="4" w:space="0" w:color="auto"/>
              <w:left w:val="single" w:sz="4" w:space="0" w:color="auto"/>
              <w:bottom w:val="single" w:sz="4" w:space="0" w:color="auto"/>
              <w:right w:val="single" w:sz="4" w:space="0" w:color="auto"/>
            </w:tcBorders>
          </w:tcPr>
          <w:p w14:paraId="4D74CF86" w14:textId="1AD3B176" w:rsidR="00D82BD0" w:rsidRDefault="00D82BD0" w:rsidP="00923D7D">
            <w:pPr>
              <w:spacing w:line="240" w:lineRule="auto"/>
              <w:jc w:val="right"/>
              <w:rPr>
                <w:rFonts w:eastAsia="MS Mincho" w:cs="Arial"/>
                <w:b/>
                <w:sz w:val="20"/>
                <w:szCs w:val="20"/>
              </w:rPr>
            </w:pPr>
            <w:r>
              <w:rPr>
                <w:rFonts w:eastAsia="MS Mincho" w:cs="Arial"/>
                <w:b/>
                <w:sz w:val="20"/>
                <w:szCs w:val="20"/>
              </w:rPr>
              <w:t>2022</w:t>
            </w:r>
            <w:r w:rsidR="002B1057">
              <w:rPr>
                <w:rFonts w:ascii="Symbol" w:eastAsia="Symbol" w:hAnsi="Symbol" w:cs="Symbol"/>
                <w:b/>
                <w:sz w:val="20"/>
                <w:szCs w:val="20"/>
              </w:rPr>
              <w:sym w:font="Symbol" w:char="F02D"/>
            </w:r>
            <w:r>
              <w:rPr>
                <w:rFonts w:eastAsia="MS Mincho" w:cs="Arial"/>
                <w:b/>
                <w:sz w:val="20"/>
                <w:szCs w:val="20"/>
              </w:rPr>
              <w:t>23</w:t>
            </w:r>
          </w:p>
        </w:tc>
        <w:tc>
          <w:tcPr>
            <w:tcW w:w="1086" w:type="dxa"/>
            <w:tcBorders>
              <w:top w:val="single" w:sz="4" w:space="0" w:color="auto"/>
              <w:left w:val="single" w:sz="4" w:space="0" w:color="auto"/>
              <w:bottom w:val="single" w:sz="4" w:space="0" w:color="auto"/>
              <w:right w:val="single" w:sz="4" w:space="0" w:color="auto"/>
            </w:tcBorders>
          </w:tcPr>
          <w:p w14:paraId="154A2D49" w14:textId="77777777" w:rsidR="00D82BD0" w:rsidRPr="00167CB8" w:rsidRDefault="00D82BD0" w:rsidP="00AD5AC9">
            <w:pPr>
              <w:spacing w:line="240" w:lineRule="auto"/>
              <w:ind w:right="57"/>
              <w:jc w:val="right"/>
              <w:rPr>
                <w:rFonts w:eastAsia="MS Mincho" w:cs="Arial"/>
                <w:b/>
                <w:sz w:val="20"/>
                <w:szCs w:val="20"/>
              </w:rPr>
            </w:pPr>
            <w:r>
              <w:rPr>
                <w:rFonts w:eastAsia="MS Mincho" w:cs="Arial"/>
                <w:b/>
                <w:sz w:val="20"/>
                <w:szCs w:val="20"/>
              </w:rPr>
              <w:t>Total</w:t>
            </w:r>
          </w:p>
        </w:tc>
      </w:tr>
      <w:tr w:rsidR="00D82BD0" w:rsidRPr="00FB1BBC" w14:paraId="00EA7FC3" w14:textId="77777777">
        <w:trPr>
          <w:trHeight w:val="719"/>
        </w:trPr>
        <w:tc>
          <w:tcPr>
            <w:tcW w:w="13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320023" w14:textId="77777777" w:rsidR="00D82BD0" w:rsidRPr="00167CB8" w:rsidRDefault="00D82BD0" w:rsidP="00923D7D">
            <w:pPr>
              <w:spacing w:line="240" w:lineRule="auto"/>
              <w:rPr>
                <w:rFonts w:eastAsia="MS Mincho" w:cs="Arial"/>
                <w:bCs/>
                <w:sz w:val="20"/>
                <w:szCs w:val="20"/>
              </w:rPr>
            </w:pPr>
            <w:r w:rsidRPr="00167CB8">
              <w:rPr>
                <w:rFonts w:eastAsia="MS Mincho" w:cs="Arial"/>
                <w:bCs/>
                <w:sz w:val="20"/>
                <w:szCs w:val="20"/>
              </w:rPr>
              <w:t>Total recoveries</w:t>
            </w:r>
          </w:p>
        </w:tc>
        <w:tc>
          <w:tcPr>
            <w:tcW w:w="10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3BFB09" w14:textId="77777777" w:rsidR="00D82BD0" w:rsidRPr="00FB1BBC" w:rsidRDefault="00D82BD0" w:rsidP="00923D7D">
            <w:pPr>
              <w:spacing w:line="240" w:lineRule="auto"/>
              <w:jc w:val="right"/>
              <w:rPr>
                <w:rFonts w:eastAsia="MS Mincho" w:cs="Arial"/>
                <w:sz w:val="18"/>
                <w:szCs w:val="18"/>
              </w:rPr>
            </w:pPr>
            <w:r>
              <w:rPr>
                <w:rFonts w:eastAsia="MS Mincho" w:cs="Arial"/>
                <w:sz w:val="18"/>
                <w:szCs w:val="18"/>
              </w:rPr>
              <w:t>$</w:t>
            </w:r>
            <w:r w:rsidRPr="00962A3F">
              <w:rPr>
                <w:rFonts w:eastAsia="MS Mincho" w:cs="Arial"/>
                <w:sz w:val="18"/>
                <w:szCs w:val="18"/>
              </w:rPr>
              <w:t>262,398</w:t>
            </w:r>
          </w:p>
        </w:tc>
        <w:tc>
          <w:tcPr>
            <w:tcW w:w="12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1A4436" w14:textId="77777777" w:rsidR="00D82BD0" w:rsidRPr="00FB1BBC" w:rsidRDefault="00D82BD0" w:rsidP="00923D7D">
            <w:pPr>
              <w:spacing w:line="240" w:lineRule="auto"/>
              <w:jc w:val="right"/>
              <w:rPr>
                <w:rFonts w:eastAsia="MS Mincho" w:cs="Arial"/>
                <w:sz w:val="18"/>
                <w:szCs w:val="18"/>
              </w:rPr>
            </w:pPr>
            <w:r>
              <w:rPr>
                <w:rFonts w:eastAsia="MS Mincho" w:cs="Arial"/>
                <w:sz w:val="18"/>
                <w:szCs w:val="18"/>
              </w:rPr>
              <w:t>$</w:t>
            </w:r>
            <w:r w:rsidRPr="00BD71C3">
              <w:rPr>
                <w:rFonts w:eastAsia="MS Mincho" w:cs="Arial"/>
                <w:sz w:val="18"/>
                <w:szCs w:val="18"/>
              </w:rPr>
              <w:t>823,724</w:t>
            </w:r>
          </w:p>
        </w:tc>
        <w:tc>
          <w:tcPr>
            <w:tcW w:w="12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B7B171" w14:textId="77777777" w:rsidR="00D82BD0" w:rsidRPr="00FB1BBC" w:rsidRDefault="00D82BD0" w:rsidP="00923D7D">
            <w:pPr>
              <w:spacing w:line="240" w:lineRule="auto"/>
              <w:jc w:val="right"/>
              <w:rPr>
                <w:rFonts w:eastAsia="MS Mincho" w:cs="Arial"/>
                <w:sz w:val="18"/>
                <w:szCs w:val="18"/>
              </w:rPr>
            </w:pPr>
            <w:r>
              <w:rPr>
                <w:rFonts w:eastAsia="MS Mincho" w:cs="Arial"/>
                <w:sz w:val="18"/>
                <w:szCs w:val="18"/>
              </w:rPr>
              <w:t>$</w:t>
            </w:r>
            <w:r w:rsidRPr="00527993">
              <w:rPr>
                <w:rFonts w:eastAsia="MS Mincho" w:cs="Arial"/>
                <w:sz w:val="18"/>
                <w:szCs w:val="18"/>
              </w:rPr>
              <w:t>1,117,330</w:t>
            </w:r>
          </w:p>
        </w:tc>
        <w:tc>
          <w:tcPr>
            <w:tcW w:w="10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1F367B" w14:textId="77777777" w:rsidR="00D82BD0" w:rsidRPr="00FB1BBC" w:rsidRDefault="00D82BD0" w:rsidP="00923D7D">
            <w:pPr>
              <w:spacing w:line="240" w:lineRule="auto"/>
              <w:jc w:val="right"/>
              <w:rPr>
                <w:rFonts w:eastAsia="MS Mincho" w:cs="Arial"/>
                <w:sz w:val="18"/>
                <w:szCs w:val="18"/>
              </w:rPr>
            </w:pPr>
            <w:r>
              <w:rPr>
                <w:rFonts w:eastAsia="MS Mincho" w:cs="Arial"/>
                <w:sz w:val="18"/>
                <w:szCs w:val="18"/>
              </w:rPr>
              <w:t>$</w:t>
            </w:r>
            <w:r w:rsidRPr="002B2231">
              <w:rPr>
                <w:rFonts w:eastAsia="MS Mincho" w:cs="Arial"/>
                <w:sz w:val="18"/>
                <w:szCs w:val="18"/>
              </w:rPr>
              <w:t>902,464</w:t>
            </w:r>
          </w:p>
        </w:tc>
        <w:tc>
          <w:tcPr>
            <w:tcW w:w="11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7A0565" w14:textId="77777777" w:rsidR="00D82BD0" w:rsidRPr="00FB1BBC" w:rsidRDefault="00D82BD0" w:rsidP="00923D7D">
            <w:pPr>
              <w:spacing w:line="240" w:lineRule="auto"/>
              <w:jc w:val="right"/>
              <w:rPr>
                <w:rFonts w:eastAsia="MS Mincho" w:cs="Arial"/>
                <w:sz w:val="18"/>
                <w:szCs w:val="18"/>
              </w:rPr>
            </w:pPr>
            <w:r>
              <w:rPr>
                <w:rFonts w:eastAsia="MS Mincho" w:cs="Arial"/>
                <w:sz w:val="18"/>
                <w:szCs w:val="18"/>
              </w:rPr>
              <w:t>$</w:t>
            </w:r>
            <w:r w:rsidRPr="00204BC4">
              <w:rPr>
                <w:rFonts w:eastAsia="MS Mincho" w:cs="Arial"/>
                <w:sz w:val="18"/>
                <w:szCs w:val="18"/>
              </w:rPr>
              <w:t>2,569,852</w:t>
            </w:r>
          </w:p>
        </w:tc>
        <w:tc>
          <w:tcPr>
            <w:tcW w:w="992" w:type="dxa"/>
            <w:tcBorders>
              <w:top w:val="single" w:sz="4" w:space="0" w:color="auto"/>
              <w:left w:val="single" w:sz="4" w:space="0" w:color="auto"/>
              <w:bottom w:val="single" w:sz="4" w:space="0" w:color="auto"/>
              <w:right w:val="single" w:sz="4" w:space="0" w:color="auto"/>
            </w:tcBorders>
          </w:tcPr>
          <w:p w14:paraId="112DBF13" w14:textId="77777777" w:rsidR="00D82BD0" w:rsidRPr="00FB1BBC" w:rsidRDefault="00D82BD0" w:rsidP="00923D7D">
            <w:pPr>
              <w:spacing w:line="240" w:lineRule="auto"/>
              <w:jc w:val="right"/>
              <w:rPr>
                <w:rFonts w:eastAsia="MS Mincho" w:cs="Arial"/>
                <w:sz w:val="18"/>
                <w:szCs w:val="18"/>
              </w:rPr>
            </w:pPr>
            <w:r>
              <w:rPr>
                <w:rFonts w:eastAsia="MS Mincho" w:cs="Arial"/>
                <w:sz w:val="18"/>
                <w:szCs w:val="18"/>
              </w:rPr>
              <w:t>$</w:t>
            </w:r>
            <w:r w:rsidRPr="001C37FB">
              <w:rPr>
                <w:rFonts w:eastAsia="MS Mincho" w:cs="Arial"/>
                <w:sz w:val="18"/>
                <w:szCs w:val="18"/>
              </w:rPr>
              <w:t>323,117</w:t>
            </w:r>
          </w:p>
        </w:tc>
        <w:tc>
          <w:tcPr>
            <w:tcW w:w="1086" w:type="dxa"/>
            <w:tcBorders>
              <w:top w:val="single" w:sz="4" w:space="0" w:color="auto"/>
              <w:left w:val="single" w:sz="4" w:space="0" w:color="auto"/>
              <w:bottom w:val="single" w:sz="4" w:space="0" w:color="auto"/>
              <w:right w:val="single" w:sz="4" w:space="0" w:color="auto"/>
            </w:tcBorders>
          </w:tcPr>
          <w:p w14:paraId="2307E50A" w14:textId="77777777" w:rsidR="00D82BD0" w:rsidRPr="00FB1BBC" w:rsidRDefault="00D82BD0" w:rsidP="00AD5AC9">
            <w:pPr>
              <w:spacing w:line="240" w:lineRule="auto"/>
              <w:ind w:right="57"/>
              <w:jc w:val="right"/>
              <w:rPr>
                <w:rFonts w:eastAsia="MS Mincho" w:cs="Arial"/>
                <w:sz w:val="18"/>
                <w:szCs w:val="18"/>
              </w:rPr>
            </w:pPr>
            <w:r>
              <w:rPr>
                <w:rFonts w:eastAsia="MS Mincho" w:cs="Arial"/>
                <w:sz w:val="18"/>
                <w:szCs w:val="18"/>
              </w:rPr>
              <w:t>$</w:t>
            </w:r>
            <w:r w:rsidRPr="00FB2B45">
              <w:rPr>
                <w:rFonts w:eastAsia="MS Mincho" w:cs="Arial"/>
                <w:sz w:val="18"/>
                <w:szCs w:val="18"/>
              </w:rPr>
              <w:t>5,998,885</w:t>
            </w:r>
          </w:p>
        </w:tc>
      </w:tr>
    </w:tbl>
    <w:p w14:paraId="03CF2ED3" w14:textId="1829F2D0" w:rsidR="0011475D" w:rsidRDefault="00D82BD0" w:rsidP="00923D7D">
      <w:pPr>
        <w:pStyle w:val="Source"/>
        <w:ind w:left="720" w:hanging="720"/>
      </w:pPr>
      <w:r w:rsidRPr="00167CB8">
        <w:rPr>
          <w:b/>
          <w:bCs/>
        </w:rPr>
        <w:t>Source:</w:t>
      </w:r>
      <w:r w:rsidRPr="00167CB8">
        <w:t xml:space="preserve"> </w:t>
      </w:r>
      <w:r w:rsidR="00C10784">
        <w:tab/>
        <w:t>Australian Building and Construction Commission a</w:t>
      </w:r>
      <w:r>
        <w:t xml:space="preserve">nnual </w:t>
      </w:r>
      <w:r w:rsidR="00C10784">
        <w:t>r</w:t>
      </w:r>
      <w:r>
        <w:t>eports</w:t>
      </w:r>
      <w:r w:rsidR="00C10784">
        <w:t>,</w:t>
      </w:r>
      <w:r>
        <w:t xml:space="preserve"> </w:t>
      </w:r>
      <w:r w:rsidR="00F274A7">
        <w:t>various</w:t>
      </w:r>
      <w:r w:rsidR="001A0054">
        <w:t xml:space="preserve">; </w:t>
      </w:r>
      <w:r w:rsidR="001A0054" w:rsidRPr="001A0054">
        <w:t xml:space="preserve">Fair Work Ombudsman, </w:t>
      </w:r>
      <w:r w:rsidR="001A0054" w:rsidRPr="001A0054">
        <w:rPr>
          <w:i/>
          <w:iCs/>
        </w:rPr>
        <w:t>Annual report 2022-23</w:t>
      </w:r>
      <w:r w:rsidR="001A0054" w:rsidRPr="001A0054">
        <w:t>.</w:t>
      </w:r>
    </w:p>
    <w:p w14:paraId="54BED73A" w14:textId="77777777" w:rsidR="0011475D" w:rsidRDefault="00D82BD0" w:rsidP="00D82BD0">
      <w:pPr>
        <w:rPr>
          <w:rFonts w:eastAsia="MS Mincho" w:cs="Arial"/>
        </w:rPr>
      </w:pPr>
      <w:r>
        <w:rPr>
          <w:rFonts w:eastAsia="MS Mincho" w:cs="Arial"/>
        </w:rPr>
        <w:t>Third, t</w:t>
      </w:r>
      <w:r w:rsidRPr="396ABCA7">
        <w:rPr>
          <w:rFonts w:eastAsia="MS Mincho" w:cs="Arial"/>
        </w:rPr>
        <w:t xml:space="preserve">he FWO’s </w:t>
      </w:r>
      <w:r>
        <w:rPr>
          <w:rFonts w:eastAsia="MS Mincho" w:cs="Arial"/>
        </w:rPr>
        <w:t>‘</w:t>
      </w:r>
      <w:r w:rsidRPr="396ABCA7">
        <w:rPr>
          <w:rFonts w:eastAsia="MS Mincho" w:cs="Arial"/>
        </w:rPr>
        <w:t>compliance and enforcement</w:t>
      </w:r>
      <w:r>
        <w:rPr>
          <w:rFonts w:eastAsia="MS Mincho" w:cs="Arial"/>
        </w:rPr>
        <w:t>’</w:t>
      </w:r>
      <w:r w:rsidRPr="396ABCA7">
        <w:rPr>
          <w:rFonts w:eastAsia="MS Mincho" w:cs="Arial"/>
        </w:rPr>
        <w:t xml:space="preserve"> work in the building and construction sector is </w:t>
      </w:r>
      <w:r w:rsidRPr="00E75838">
        <w:rPr>
          <w:rFonts w:eastAsia="MS Mincho" w:cs="Arial"/>
        </w:rPr>
        <w:t>shown in Table 4; this</w:t>
      </w:r>
      <w:r w:rsidRPr="396ABCA7">
        <w:rPr>
          <w:rFonts w:eastAsia="MS Mincho" w:cs="Arial"/>
        </w:rPr>
        <w:t xml:space="preserve"> includes the number of investigations undertaken, matters completed, and enforcement tools used by the FWO in the building and construction sector from 2020</w:t>
      </w:r>
      <w:r w:rsidRPr="396ABCA7">
        <w:rPr>
          <w:rFonts w:ascii="Symbol" w:eastAsia="Symbol" w:hAnsi="Symbol" w:cs="Symbol"/>
        </w:rPr>
        <w:t>-</w:t>
      </w:r>
      <w:r w:rsidRPr="396ABCA7">
        <w:rPr>
          <w:rFonts w:eastAsia="MS Mincho" w:cs="Arial"/>
        </w:rPr>
        <w:t>21 to 2024</w:t>
      </w:r>
      <w:r w:rsidRPr="396ABCA7">
        <w:rPr>
          <w:rFonts w:ascii="Symbol" w:eastAsia="Symbol" w:hAnsi="Symbol" w:cs="Symbol"/>
        </w:rPr>
        <w:t>-</w:t>
      </w:r>
      <w:r w:rsidRPr="396ABCA7">
        <w:rPr>
          <w:rFonts w:eastAsia="MS Mincho" w:cs="Arial"/>
        </w:rPr>
        <w:t xml:space="preserve">25 (to 31 </w:t>
      </w:r>
      <w:r>
        <w:rPr>
          <w:rFonts w:eastAsia="MS Mincho" w:cs="Arial"/>
        </w:rPr>
        <w:t xml:space="preserve">December </w:t>
      </w:r>
      <w:r w:rsidRPr="396ABCA7">
        <w:rPr>
          <w:rFonts w:eastAsia="MS Mincho" w:cs="Arial"/>
        </w:rPr>
        <w:t>2024). Th</w:t>
      </w:r>
      <w:r>
        <w:rPr>
          <w:rFonts w:eastAsia="MS Mincho" w:cs="Arial"/>
        </w:rPr>
        <w:t>e data also</w:t>
      </w:r>
      <w:r w:rsidRPr="396ABCA7">
        <w:rPr>
          <w:rFonts w:eastAsia="MS Mincho" w:cs="Arial"/>
        </w:rPr>
        <w:t xml:space="preserve"> includes litigations, which the FWO undertakes where appropriate (generally in response to serious, significant and/or systemic noncompliance) and where it is in the public interest.</w:t>
      </w:r>
      <w:r w:rsidRPr="396ABCA7">
        <w:rPr>
          <w:rStyle w:val="FootnoteReference"/>
          <w:rFonts w:eastAsia="MS Mincho" w:cs="Arial"/>
        </w:rPr>
        <w:footnoteReference w:id="61"/>
      </w:r>
    </w:p>
    <w:p w14:paraId="6F0588ED" w14:textId="4D876BD3" w:rsidR="00B41023" w:rsidRDefault="00B41023">
      <w:pPr>
        <w:spacing w:after="160"/>
      </w:pPr>
      <w:r>
        <w:br w:type="page"/>
      </w:r>
    </w:p>
    <w:p w14:paraId="4262ECAD" w14:textId="401EBDC9" w:rsidR="00D82BD0" w:rsidRPr="00167CB8" w:rsidRDefault="008275E1" w:rsidP="007F380D">
      <w:pPr>
        <w:pStyle w:val="Caption"/>
      </w:pPr>
      <w:bookmarkStart w:id="67" w:name="_Toc194251428"/>
      <w:r>
        <w:lastRenderedPageBreak/>
        <w:t xml:space="preserve">Table </w:t>
      </w:r>
      <w:r>
        <w:fldChar w:fldCharType="begin"/>
      </w:r>
      <w:r>
        <w:instrText xml:space="preserve"> SEQ Table \* ARABIC </w:instrText>
      </w:r>
      <w:r>
        <w:fldChar w:fldCharType="separate"/>
      </w:r>
      <w:r w:rsidR="00DE5F5E">
        <w:rPr>
          <w:noProof/>
        </w:rPr>
        <w:t>4</w:t>
      </w:r>
      <w:r>
        <w:fldChar w:fldCharType="end"/>
      </w:r>
      <w:r>
        <w:t xml:space="preserve">: </w:t>
      </w:r>
      <w:r w:rsidR="00C10784">
        <w:t>Fair Work Ombudsman</w:t>
      </w:r>
      <w:r w:rsidR="00C10784" w:rsidRPr="00167CB8">
        <w:t xml:space="preserve"> </w:t>
      </w:r>
      <w:r w:rsidR="00D82BD0">
        <w:t xml:space="preserve">compliance and enforcement work in the </w:t>
      </w:r>
      <w:r w:rsidR="00D82BD0" w:rsidRPr="00167CB8">
        <w:t>building and construction sector</w:t>
      </w:r>
      <w:r w:rsidR="00C10784">
        <w:t>,</w:t>
      </w:r>
      <w:r w:rsidR="00D82BD0" w:rsidRPr="00167CB8">
        <w:t xml:space="preserve"> </w:t>
      </w:r>
      <w:r w:rsidR="00D82BD0">
        <w:t>2020</w:t>
      </w:r>
      <w:r w:rsidR="002B1057">
        <w:rPr>
          <w:rFonts w:ascii="Symbol" w:eastAsia="Symbol" w:hAnsi="Symbol" w:cs="Symbol"/>
        </w:rPr>
        <w:t>-</w:t>
      </w:r>
      <w:r w:rsidR="00D82BD0">
        <w:t>21 to 2024</w:t>
      </w:r>
      <w:r w:rsidR="002B1057">
        <w:rPr>
          <w:rFonts w:ascii="Symbol" w:eastAsia="Symbol" w:hAnsi="Symbol" w:cs="Symbol"/>
        </w:rPr>
        <w:t>-</w:t>
      </w:r>
      <w:r w:rsidR="00D82BD0">
        <w:t>25 (to 31 December 2024)</w:t>
      </w:r>
      <w:bookmarkEnd w:id="67"/>
    </w:p>
    <w:tbl>
      <w:tblPr>
        <w:tblW w:w="97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2"/>
        <w:gridCol w:w="3012"/>
        <w:gridCol w:w="1027"/>
        <w:gridCol w:w="1027"/>
        <w:gridCol w:w="1028"/>
        <w:gridCol w:w="1027"/>
        <w:gridCol w:w="1027"/>
        <w:gridCol w:w="1028"/>
      </w:tblGrid>
      <w:tr w:rsidR="00D56DB1" w:rsidRPr="00167CB8" w14:paraId="00962B91" w14:textId="77777777" w:rsidTr="00042D16">
        <w:trPr>
          <w:cantSplit/>
          <w:trHeight w:val="20"/>
        </w:trPr>
        <w:tc>
          <w:tcPr>
            <w:tcW w:w="532" w:type="dxa"/>
            <w:tcBorders>
              <w:top w:val="single" w:sz="4" w:space="0" w:color="auto"/>
              <w:left w:val="single" w:sz="4" w:space="0" w:color="auto"/>
              <w:bottom w:val="single" w:sz="4" w:space="0" w:color="auto"/>
              <w:right w:val="single" w:sz="4" w:space="0" w:color="auto"/>
            </w:tcBorders>
            <w:vAlign w:val="center"/>
          </w:tcPr>
          <w:p w14:paraId="681E76FF" w14:textId="77777777" w:rsidR="00D82BD0" w:rsidRDefault="00D82BD0" w:rsidP="000C7F36">
            <w:pPr>
              <w:spacing w:after="0" w:line="240" w:lineRule="auto"/>
              <w:rPr>
                <w:rFonts w:eastAsia="MS Mincho" w:cs="Arial"/>
                <w:b/>
                <w:sz w:val="20"/>
                <w:szCs w:val="20"/>
              </w:rPr>
            </w:pPr>
            <w:r>
              <w:rPr>
                <w:rFonts w:eastAsia="MS Mincho" w:cs="Arial"/>
                <w:b/>
                <w:sz w:val="20"/>
                <w:szCs w:val="20"/>
              </w:rPr>
              <w:t>Row</w:t>
            </w:r>
          </w:p>
        </w:tc>
        <w:tc>
          <w:tcPr>
            <w:tcW w:w="30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C7FFC8" w14:textId="77777777" w:rsidR="00D82BD0" w:rsidRPr="00167CB8" w:rsidRDefault="00D82BD0" w:rsidP="000C7F36">
            <w:pPr>
              <w:spacing w:after="0" w:line="240" w:lineRule="auto"/>
              <w:rPr>
                <w:rFonts w:eastAsia="MS Mincho" w:cs="Arial"/>
                <w:b/>
                <w:sz w:val="20"/>
                <w:szCs w:val="20"/>
              </w:rPr>
            </w:pPr>
            <w:r>
              <w:rPr>
                <w:rFonts w:eastAsia="MS Mincho" w:cs="Arial"/>
                <w:b/>
                <w:sz w:val="20"/>
                <w:szCs w:val="20"/>
              </w:rPr>
              <w:t>FWO measures</w:t>
            </w:r>
          </w:p>
        </w:tc>
        <w:tc>
          <w:tcPr>
            <w:tcW w:w="10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6E697C" w14:textId="08D3A39C" w:rsidR="00D82BD0" w:rsidRPr="00167CB8" w:rsidRDefault="00D82BD0" w:rsidP="00042D16">
            <w:pPr>
              <w:spacing w:after="0" w:line="240" w:lineRule="auto"/>
              <w:jc w:val="right"/>
              <w:rPr>
                <w:rFonts w:eastAsia="MS Mincho" w:cs="Arial"/>
                <w:b/>
                <w:sz w:val="20"/>
                <w:szCs w:val="20"/>
              </w:rPr>
            </w:pPr>
            <w:r w:rsidRPr="00167CB8">
              <w:rPr>
                <w:rFonts w:eastAsia="MS Mincho" w:cs="Arial"/>
                <w:b/>
                <w:color w:val="000000"/>
                <w:sz w:val="20"/>
                <w:szCs w:val="20"/>
              </w:rPr>
              <w:t>2020</w:t>
            </w:r>
            <w:r w:rsidRPr="00167CB8">
              <w:rPr>
                <w:rFonts w:ascii="Symbol" w:eastAsia="Symbol" w:hAnsi="Symbol" w:cs="Symbol"/>
                <w:b/>
                <w:color w:val="000000"/>
                <w:sz w:val="20"/>
                <w:szCs w:val="20"/>
              </w:rPr>
              <w:t>-</w:t>
            </w:r>
            <w:r w:rsidRPr="00167CB8">
              <w:rPr>
                <w:rFonts w:eastAsia="MS Mincho" w:cs="Arial"/>
                <w:b/>
                <w:color w:val="000000"/>
                <w:sz w:val="20"/>
                <w:szCs w:val="20"/>
              </w:rPr>
              <w:t>21</w:t>
            </w:r>
          </w:p>
        </w:tc>
        <w:tc>
          <w:tcPr>
            <w:tcW w:w="10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29D66D" w14:textId="19F75A87" w:rsidR="00D82BD0" w:rsidRPr="00167CB8" w:rsidRDefault="00D82BD0" w:rsidP="00042D16">
            <w:pPr>
              <w:spacing w:after="0" w:line="240" w:lineRule="auto"/>
              <w:jc w:val="right"/>
              <w:rPr>
                <w:rFonts w:eastAsia="MS Mincho" w:cs="Arial"/>
                <w:b/>
                <w:sz w:val="20"/>
                <w:szCs w:val="20"/>
              </w:rPr>
            </w:pPr>
            <w:r w:rsidRPr="00167CB8">
              <w:rPr>
                <w:rFonts w:eastAsia="MS Mincho" w:cs="Arial"/>
                <w:b/>
                <w:color w:val="000000"/>
                <w:sz w:val="20"/>
                <w:szCs w:val="20"/>
              </w:rPr>
              <w:t>2021</w:t>
            </w:r>
            <w:r w:rsidRPr="00167CB8">
              <w:rPr>
                <w:rFonts w:ascii="Symbol" w:eastAsia="Symbol" w:hAnsi="Symbol" w:cs="Symbol"/>
                <w:b/>
                <w:color w:val="000000"/>
                <w:sz w:val="20"/>
                <w:szCs w:val="20"/>
              </w:rPr>
              <w:t>-</w:t>
            </w:r>
            <w:r w:rsidRPr="00167CB8">
              <w:rPr>
                <w:rFonts w:eastAsia="MS Mincho" w:cs="Arial"/>
                <w:b/>
                <w:color w:val="000000"/>
                <w:sz w:val="20"/>
                <w:szCs w:val="20"/>
              </w:rPr>
              <w:t>22</w:t>
            </w: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D8AD5C" w14:textId="160B6354" w:rsidR="00D82BD0" w:rsidRPr="00167CB8" w:rsidRDefault="00D82BD0" w:rsidP="00042D16">
            <w:pPr>
              <w:spacing w:after="0" w:line="240" w:lineRule="auto"/>
              <w:jc w:val="right"/>
              <w:rPr>
                <w:rFonts w:eastAsia="MS Mincho" w:cs="Arial"/>
                <w:b/>
                <w:sz w:val="20"/>
                <w:szCs w:val="20"/>
              </w:rPr>
            </w:pPr>
            <w:r w:rsidRPr="00167CB8">
              <w:rPr>
                <w:rFonts w:eastAsia="MS Mincho" w:cs="Arial"/>
                <w:b/>
                <w:color w:val="000000"/>
                <w:sz w:val="20"/>
                <w:szCs w:val="20"/>
              </w:rPr>
              <w:t>2022</w:t>
            </w:r>
            <w:r w:rsidRPr="00167CB8">
              <w:rPr>
                <w:rFonts w:ascii="Symbol" w:eastAsia="Symbol" w:hAnsi="Symbol" w:cs="Symbol"/>
                <w:b/>
                <w:color w:val="000000"/>
                <w:sz w:val="20"/>
                <w:szCs w:val="20"/>
              </w:rPr>
              <w:t>-</w:t>
            </w:r>
            <w:r w:rsidRPr="00167CB8">
              <w:rPr>
                <w:rFonts w:eastAsia="MS Mincho" w:cs="Arial"/>
                <w:b/>
                <w:color w:val="000000"/>
                <w:sz w:val="20"/>
                <w:szCs w:val="20"/>
              </w:rPr>
              <w:t>23</w:t>
            </w:r>
          </w:p>
        </w:tc>
        <w:tc>
          <w:tcPr>
            <w:tcW w:w="10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DD9E62" w14:textId="46FDF6A3" w:rsidR="00D82BD0" w:rsidRPr="00167CB8" w:rsidRDefault="00D82BD0" w:rsidP="00042D16">
            <w:pPr>
              <w:spacing w:after="0" w:line="240" w:lineRule="auto"/>
              <w:jc w:val="right"/>
              <w:rPr>
                <w:rFonts w:eastAsia="MS Mincho" w:cs="Arial"/>
                <w:b/>
                <w:sz w:val="20"/>
                <w:szCs w:val="20"/>
              </w:rPr>
            </w:pPr>
            <w:r w:rsidRPr="00167CB8">
              <w:rPr>
                <w:rFonts w:eastAsia="MS Mincho" w:cs="Arial"/>
                <w:b/>
                <w:color w:val="000000"/>
                <w:sz w:val="20"/>
                <w:szCs w:val="20"/>
              </w:rPr>
              <w:t>2023</w:t>
            </w:r>
            <w:r w:rsidRPr="00167CB8">
              <w:rPr>
                <w:rFonts w:ascii="Symbol" w:eastAsia="Symbol" w:hAnsi="Symbol" w:cs="Symbol"/>
                <w:b/>
                <w:color w:val="000000"/>
                <w:sz w:val="20"/>
                <w:szCs w:val="20"/>
              </w:rPr>
              <w:t>-</w:t>
            </w:r>
            <w:r w:rsidRPr="00167CB8">
              <w:rPr>
                <w:rFonts w:eastAsia="MS Mincho" w:cs="Arial"/>
                <w:b/>
                <w:color w:val="000000"/>
                <w:sz w:val="20"/>
                <w:szCs w:val="20"/>
              </w:rPr>
              <w:t>24</w:t>
            </w:r>
          </w:p>
        </w:tc>
        <w:tc>
          <w:tcPr>
            <w:tcW w:w="10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120565" w14:textId="46FC9230" w:rsidR="00D82BD0" w:rsidRPr="00E65DA7" w:rsidRDefault="00D82BD0" w:rsidP="00042D16">
            <w:pPr>
              <w:spacing w:after="0" w:line="240" w:lineRule="auto"/>
              <w:jc w:val="right"/>
              <w:rPr>
                <w:rFonts w:eastAsia="MS Mincho" w:cs="Arial"/>
                <w:b/>
                <w:sz w:val="20"/>
                <w:szCs w:val="20"/>
              </w:rPr>
            </w:pPr>
            <w:r w:rsidRPr="00167CB8">
              <w:rPr>
                <w:rFonts w:eastAsia="MS Mincho" w:cs="Arial"/>
                <w:b/>
                <w:sz w:val="20"/>
                <w:szCs w:val="20"/>
              </w:rPr>
              <w:t>2024</w:t>
            </w:r>
            <w:r w:rsidRPr="00167CB8">
              <w:rPr>
                <w:rFonts w:ascii="Symbol" w:eastAsia="Symbol" w:hAnsi="Symbol" w:cs="Symbol"/>
                <w:b/>
                <w:sz w:val="20"/>
                <w:szCs w:val="20"/>
              </w:rPr>
              <w:t>-</w:t>
            </w:r>
            <w:r w:rsidRPr="00167CB8">
              <w:rPr>
                <w:rFonts w:eastAsia="MS Mincho" w:cs="Arial"/>
                <w:b/>
                <w:sz w:val="20"/>
                <w:szCs w:val="20"/>
              </w:rPr>
              <w:t>25 to</w:t>
            </w:r>
            <w:r w:rsidR="00D56DB1">
              <w:rPr>
                <w:rFonts w:eastAsia="MS Mincho" w:cs="Arial"/>
                <w:b/>
                <w:sz w:val="20"/>
                <w:szCs w:val="20"/>
              </w:rPr>
              <w:t xml:space="preserve"> </w:t>
            </w:r>
            <w:r w:rsidRPr="00167CB8">
              <w:rPr>
                <w:rFonts w:eastAsia="MS Mincho" w:cs="Arial"/>
                <w:b/>
                <w:sz w:val="20"/>
                <w:szCs w:val="20"/>
              </w:rPr>
              <w:t>31</w:t>
            </w:r>
            <w:r w:rsidR="00EB38D9">
              <w:rPr>
                <w:rFonts w:eastAsia="MS Mincho" w:cs="Arial"/>
                <w:b/>
                <w:sz w:val="20"/>
                <w:szCs w:val="20"/>
              </w:rPr>
              <w:t> </w:t>
            </w:r>
            <w:r>
              <w:rPr>
                <w:rFonts w:eastAsia="MS Mincho" w:cs="Arial"/>
                <w:b/>
                <w:sz w:val="20"/>
                <w:szCs w:val="20"/>
              </w:rPr>
              <w:t>Dec</w:t>
            </w:r>
          </w:p>
        </w:tc>
        <w:tc>
          <w:tcPr>
            <w:tcW w:w="1028" w:type="dxa"/>
            <w:tcBorders>
              <w:top w:val="single" w:sz="4" w:space="0" w:color="auto"/>
              <w:left w:val="single" w:sz="4" w:space="0" w:color="auto"/>
              <w:bottom w:val="single" w:sz="4" w:space="0" w:color="auto"/>
              <w:right w:val="single" w:sz="4" w:space="0" w:color="auto"/>
            </w:tcBorders>
          </w:tcPr>
          <w:p w14:paraId="7465CDD4" w14:textId="77777777" w:rsidR="00D82BD0" w:rsidRPr="00923D7D" w:rsidRDefault="00D82BD0" w:rsidP="00BE16F3">
            <w:pPr>
              <w:spacing w:afterLines="60" w:after="144" w:line="240" w:lineRule="auto"/>
              <w:ind w:right="57"/>
              <w:jc w:val="right"/>
              <w:rPr>
                <w:rFonts w:eastAsia="MS Mincho" w:cs="Arial"/>
                <w:b/>
                <w:bCs/>
                <w:sz w:val="20"/>
                <w:szCs w:val="20"/>
              </w:rPr>
            </w:pPr>
            <w:r w:rsidRPr="00923D7D">
              <w:rPr>
                <w:rFonts w:eastAsia="MS Mincho" w:cs="Arial"/>
                <w:b/>
                <w:bCs/>
                <w:sz w:val="20"/>
                <w:szCs w:val="20"/>
              </w:rPr>
              <w:t>Total</w:t>
            </w:r>
          </w:p>
        </w:tc>
      </w:tr>
      <w:tr w:rsidR="00D82BD0" w:rsidRPr="00167CB8" w14:paraId="06092765" w14:textId="77777777" w:rsidTr="00BE16F3">
        <w:trPr>
          <w:trHeight w:val="20"/>
        </w:trPr>
        <w:tc>
          <w:tcPr>
            <w:tcW w:w="532" w:type="dxa"/>
            <w:tcBorders>
              <w:top w:val="single" w:sz="4" w:space="0" w:color="auto"/>
              <w:left w:val="single" w:sz="4" w:space="0" w:color="auto"/>
              <w:bottom w:val="single" w:sz="4" w:space="0" w:color="auto"/>
              <w:right w:val="single" w:sz="4" w:space="0" w:color="auto"/>
            </w:tcBorders>
            <w:vAlign w:val="center"/>
          </w:tcPr>
          <w:p w14:paraId="1C11FC5F" w14:textId="77777777" w:rsidR="00D82BD0" w:rsidRDefault="00D82BD0" w:rsidP="00EB38D9">
            <w:pPr>
              <w:spacing w:afterLines="60" w:after="144"/>
              <w:jc w:val="center"/>
              <w:rPr>
                <w:rFonts w:eastAsia="MS Mincho" w:cs="Arial"/>
                <w:sz w:val="20"/>
                <w:szCs w:val="20"/>
              </w:rPr>
            </w:pPr>
            <w:r>
              <w:rPr>
                <w:rFonts w:eastAsia="MS Mincho" w:cs="Arial"/>
                <w:sz w:val="20"/>
                <w:szCs w:val="20"/>
              </w:rPr>
              <w:t>A</w:t>
            </w:r>
          </w:p>
        </w:tc>
        <w:tc>
          <w:tcPr>
            <w:tcW w:w="30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90B7FCF" w14:textId="19E335B9" w:rsidR="00D82BD0" w:rsidRPr="00167CB8" w:rsidRDefault="00D82BD0" w:rsidP="00D56DB1">
            <w:pPr>
              <w:spacing w:afterLines="60" w:after="144"/>
              <w:jc w:val="right"/>
              <w:rPr>
                <w:rFonts w:eastAsia="MS Mincho" w:cs="Arial"/>
                <w:sz w:val="20"/>
                <w:szCs w:val="20"/>
              </w:rPr>
            </w:pPr>
            <w:r w:rsidRPr="00167CB8">
              <w:rPr>
                <w:rFonts w:eastAsia="MS Mincho" w:cs="Arial"/>
                <w:sz w:val="20"/>
                <w:szCs w:val="20"/>
              </w:rPr>
              <w:t>N</w:t>
            </w:r>
            <w:r>
              <w:rPr>
                <w:rFonts w:eastAsia="MS Mincho" w:cs="Arial"/>
                <w:sz w:val="20"/>
                <w:szCs w:val="20"/>
              </w:rPr>
              <w:t xml:space="preserve">o. </w:t>
            </w:r>
            <w:r w:rsidRPr="00167CB8">
              <w:rPr>
                <w:rFonts w:eastAsia="MS Mincho" w:cs="Arial"/>
                <w:sz w:val="20"/>
                <w:szCs w:val="20"/>
              </w:rPr>
              <w:t>investigations</w:t>
            </w:r>
            <w:r w:rsidRPr="000313AE">
              <w:rPr>
                <w:rFonts w:eastAsia="MS Mincho" w:cs="Arial"/>
                <w:sz w:val="20"/>
                <w:szCs w:val="20"/>
                <w:vertAlign w:val="superscript"/>
              </w:rPr>
              <w:t>#</w:t>
            </w:r>
          </w:p>
        </w:tc>
        <w:tc>
          <w:tcPr>
            <w:tcW w:w="10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9330F7D" w14:textId="77777777" w:rsidR="00D82BD0" w:rsidRPr="00167CB8" w:rsidRDefault="00D82BD0" w:rsidP="00EB38D9">
            <w:pPr>
              <w:spacing w:afterLines="60" w:after="144"/>
              <w:jc w:val="right"/>
              <w:rPr>
                <w:rFonts w:eastAsia="MS Mincho" w:cs="Arial"/>
                <w:sz w:val="20"/>
                <w:szCs w:val="20"/>
              </w:rPr>
            </w:pPr>
            <w:r w:rsidRPr="00167CB8">
              <w:rPr>
                <w:rFonts w:eastAsia="MS Mincho" w:cs="Arial"/>
                <w:sz w:val="20"/>
                <w:szCs w:val="20"/>
              </w:rPr>
              <w:t>411</w:t>
            </w:r>
          </w:p>
        </w:tc>
        <w:tc>
          <w:tcPr>
            <w:tcW w:w="10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E60434" w14:textId="77777777" w:rsidR="00D82BD0" w:rsidRPr="00167CB8" w:rsidRDefault="00D82BD0" w:rsidP="00EB38D9">
            <w:pPr>
              <w:spacing w:afterLines="60" w:after="144"/>
              <w:jc w:val="right"/>
              <w:rPr>
                <w:rFonts w:eastAsia="MS Mincho" w:cs="Arial"/>
                <w:sz w:val="20"/>
                <w:szCs w:val="20"/>
              </w:rPr>
            </w:pPr>
            <w:r w:rsidRPr="00167CB8">
              <w:rPr>
                <w:rFonts w:eastAsia="MS Mincho" w:cs="Arial"/>
                <w:sz w:val="20"/>
                <w:szCs w:val="20"/>
              </w:rPr>
              <w:t>627</w:t>
            </w: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3C17E9" w14:textId="77777777" w:rsidR="00D82BD0" w:rsidRPr="00167CB8" w:rsidRDefault="00D82BD0" w:rsidP="00EB38D9">
            <w:pPr>
              <w:spacing w:afterLines="60" w:after="144"/>
              <w:jc w:val="right"/>
              <w:rPr>
                <w:rFonts w:eastAsia="MS Mincho" w:cs="Arial"/>
                <w:sz w:val="20"/>
                <w:szCs w:val="20"/>
              </w:rPr>
            </w:pPr>
            <w:r w:rsidRPr="00167CB8">
              <w:rPr>
                <w:rFonts w:eastAsia="MS Mincho" w:cs="Arial"/>
                <w:sz w:val="20"/>
                <w:szCs w:val="20"/>
              </w:rPr>
              <w:t>547</w:t>
            </w:r>
          </w:p>
        </w:tc>
        <w:tc>
          <w:tcPr>
            <w:tcW w:w="10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96DF106" w14:textId="77777777" w:rsidR="00D82BD0" w:rsidRPr="00167CB8" w:rsidRDefault="00D82BD0" w:rsidP="00EB38D9">
            <w:pPr>
              <w:spacing w:afterLines="60" w:after="144"/>
              <w:jc w:val="right"/>
              <w:rPr>
                <w:rFonts w:eastAsia="MS Mincho" w:cs="Arial"/>
                <w:sz w:val="20"/>
                <w:szCs w:val="20"/>
              </w:rPr>
            </w:pPr>
            <w:r w:rsidRPr="00167CB8">
              <w:rPr>
                <w:rFonts w:eastAsia="MS Mincho" w:cs="Arial"/>
                <w:sz w:val="20"/>
                <w:szCs w:val="20"/>
              </w:rPr>
              <w:t>627</w:t>
            </w:r>
          </w:p>
        </w:tc>
        <w:tc>
          <w:tcPr>
            <w:tcW w:w="10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C479E8" w14:textId="77777777" w:rsidR="00D82BD0" w:rsidRPr="00167CB8" w:rsidRDefault="00D82BD0" w:rsidP="00EB38D9">
            <w:pPr>
              <w:spacing w:afterLines="60" w:after="144"/>
              <w:jc w:val="right"/>
              <w:rPr>
                <w:rFonts w:eastAsia="MS Mincho" w:cs="Arial"/>
                <w:sz w:val="20"/>
                <w:szCs w:val="20"/>
              </w:rPr>
            </w:pPr>
            <w:r w:rsidRPr="00937BDB">
              <w:rPr>
                <w:rFonts w:eastAsia="MS Mincho" w:cs="Arial"/>
                <w:sz w:val="20"/>
                <w:szCs w:val="20"/>
              </w:rPr>
              <w:t>179</w:t>
            </w:r>
          </w:p>
        </w:tc>
        <w:tc>
          <w:tcPr>
            <w:tcW w:w="1028" w:type="dxa"/>
            <w:tcBorders>
              <w:top w:val="single" w:sz="4" w:space="0" w:color="auto"/>
              <w:left w:val="single" w:sz="4" w:space="0" w:color="auto"/>
              <w:bottom w:val="single" w:sz="4" w:space="0" w:color="auto"/>
              <w:right w:val="single" w:sz="4" w:space="0" w:color="auto"/>
            </w:tcBorders>
          </w:tcPr>
          <w:p w14:paraId="5185688F" w14:textId="77777777" w:rsidR="00D82BD0" w:rsidRPr="00937BDB" w:rsidRDefault="00D82BD0" w:rsidP="00BE16F3">
            <w:pPr>
              <w:spacing w:afterLines="60" w:after="144"/>
              <w:ind w:right="57"/>
              <w:jc w:val="right"/>
              <w:rPr>
                <w:rFonts w:eastAsia="MS Mincho" w:cs="Arial"/>
                <w:sz w:val="20"/>
                <w:szCs w:val="20"/>
              </w:rPr>
            </w:pPr>
            <w:r w:rsidRPr="00910C3B">
              <w:rPr>
                <w:rFonts w:eastAsia="MS Mincho" w:cs="Arial"/>
                <w:sz w:val="20"/>
                <w:szCs w:val="20"/>
              </w:rPr>
              <w:t>2</w:t>
            </w:r>
            <w:r>
              <w:rPr>
                <w:rFonts w:eastAsia="MS Mincho" w:cs="Arial"/>
                <w:sz w:val="20"/>
                <w:szCs w:val="20"/>
              </w:rPr>
              <w:t>,</w:t>
            </w:r>
            <w:r w:rsidRPr="00910C3B">
              <w:rPr>
                <w:rFonts w:eastAsia="MS Mincho" w:cs="Arial"/>
                <w:sz w:val="20"/>
                <w:szCs w:val="20"/>
              </w:rPr>
              <w:t>391</w:t>
            </w:r>
          </w:p>
        </w:tc>
      </w:tr>
      <w:tr w:rsidR="00D82BD0" w:rsidRPr="00167CB8" w14:paraId="208D9411" w14:textId="77777777" w:rsidTr="00BE16F3">
        <w:trPr>
          <w:trHeight w:val="20"/>
        </w:trPr>
        <w:tc>
          <w:tcPr>
            <w:tcW w:w="532" w:type="dxa"/>
            <w:tcBorders>
              <w:top w:val="single" w:sz="4" w:space="0" w:color="auto"/>
              <w:left w:val="single" w:sz="4" w:space="0" w:color="auto"/>
              <w:bottom w:val="single" w:sz="4" w:space="0" w:color="auto"/>
              <w:right w:val="single" w:sz="4" w:space="0" w:color="auto"/>
            </w:tcBorders>
            <w:vAlign w:val="center"/>
          </w:tcPr>
          <w:p w14:paraId="28390152" w14:textId="77777777" w:rsidR="00D82BD0" w:rsidRDefault="00D82BD0" w:rsidP="00EB38D9">
            <w:pPr>
              <w:spacing w:afterLines="60" w:after="144"/>
              <w:jc w:val="center"/>
              <w:rPr>
                <w:rFonts w:eastAsia="MS Mincho" w:cs="Arial"/>
                <w:sz w:val="20"/>
                <w:szCs w:val="20"/>
              </w:rPr>
            </w:pPr>
            <w:r>
              <w:rPr>
                <w:rFonts w:eastAsia="MS Mincho" w:cs="Arial"/>
                <w:sz w:val="20"/>
                <w:szCs w:val="20"/>
              </w:rPr>
              <w:t>B</w:t>
            </w:r>
          </w:p>
        </w:tc>
        <w:tc>
          <w:tcPr>
            <w:tcW w:w="30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F46009" w14:textId="389944C9" w:rsidR="00D82BD0" w:rsidRPr="00167CB8" w:rsidRDefault="00D82BD0" w:rsidP="00D56DB1">
            <w:pPr>
              <w:spacing w:afterLines="60" w:after="144"/>
              <w:jc w:val="right"/>
              <w:rPr>
                <w:rFonts w:eastAsia="MS Mincho" w:cs="Arial"/>
                <w:sz w:val="20"/>
                <w:szCs w:val="20"/>
              </w:rPr>
            </w:pPr>
            <w:r w:rsidRPr="00167CB8">
              <w:rPr>
                <w:rFonts w:eastAsia="MS Mincho" w:cs="Arial"/>
                <w:sz w:val="20"/>
                <w:szCs w:val="20"/>
              </w:rPr>
              <w:t>N</w:t>
            </w:r>
            <w:r>
              <w:rPr>
                <w:rFonts w:eastAsia="MS Mincho" w:cs="Arial"/>
                <w:sz w:val="20"/>
                <w:szCs w:val="20"/>
              </w:rPr>
              <w:t xml:space="preserve">o. </w:t>
            </w:r>
            <w:r w:rsidRPr="00167CB8">
              <w:rPr>
                <w:rFonts w:eastAsia="MS Mincho" w:cs="Arial"/>
                <w:sz w:val="20"/>
                <w:szCs w:val="20"/>
              </w:rPr>
              <w:t>compliance notices issued</w:t>
            </w:r>
          </w:p>
        </w:tc>
        <w:tc>
          <w:tcPr>
            <w:tcW w:w="10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150A6C" w14:textId="77777777" w:rsidR="00D82BD0" w:rsidRPr="00167CB8" w:rsidRDefault="00D82BD0" w:rsidP="00EB38D9">
            <w:pPr>
              <w:spacing w:afterLines="60" w:after="144"/>
              <w:jc w:val="right"/>
              <w:rPr>
                <w:rFonts w:eastAsia="MS Mincho" w:cs="Arial"/>
                <w:sz w:val="20"/>
                <w:szCs w:val="20"/>
              </w:rPr>
            </w:pPr>
            <w:r w:rsidRPr="00167CB8">
              <w:rPr>
                <w:rFonts w:eastAsia="MS Mincho" w:cs="Arial"/>
                <w:sz w:val="20"/>
                <w:szCs w:val="20"/>
              </w:rPr>
              <w:t>252</w:t>
            </w:r>
          </w:p>
        </w:tc>
        <w:tc>
          <w:tcPr>
            <w:tcW w:w="10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3D79D9" w14:textId="77777777" w:rsidR="00D82BD0" w:rsidRPr="00167CB8" w:rsidRDefault="00D82BD0" w:rsidP="00EB38D9">
            <w:pPr>
              <w:spacing w:afterLines="60" w:after="144"/>
              <w:jc w:val="right"/>
              <w:rPr>
                <w:rFonts w:eastAsia="MS Mincho" w:cs="Arial"/>
                <w:sz w:val="20"/>
                <w:szCs w:val="20"/>
              </w:rPr>
            </w:pPr>
            <w:r w:rsidRPr="00167CB8">
              <w:rPr>
                <w:rFonts w:eastAsia="MS Mincho" w:cs="Arial"/>
                <w:sz w:val="20"/>
                <w:szCs w:val="20"/>
              </w:rPr>
              <w:t>367</w:t>
            </w: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783E8B" w14:textId="77777777" w:rsidR="00D82BD0" w:rsidRPr="00167CB8" w:rsidRDefault="00D82BD0" w:rsidP="00EB38D9">
            <w:pPr>
              <w:spacing w:afterLines="60" w:after="144"/>
              <w:jc w:val="right"/>
              <w:rPr>
                <w:rFonts w:eastAsia="MS Mincho" w:cs="Arial"/>
                <w:sz w:val="20"/>
                <w:szCs w:val="20"/>
              </w:rPr>
            </w:pPr>
            <w:r w:rsidRPr="00167CB8">
              <w:rPr>
                <w:rFonts w:eastAsia="MS Mincho" w:cs="Arial"/>
                <w:sz w:val="20"/>
                <w:szCs w:val="20"/>
              </w:rPr>
              <w:t>363</w:t>
            </w:r>
          </w:p>
        </w:tc>
        <w:tc>
          <w:tcPr>
            <w:tcW w:w="10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0423A0" w14:textId="77777777" w:rsidR="00D82BD0" w:rsidRPr="00167CB8" w:rsidRDefault="00D82BD0" w:rsidP="00EB38D9">
            <w:pPr>
              <w:spacing w:afterLines="60" w:after="144"/>
              <w:jc w:val="right"/>
              <w:rPr>
                <w:rFonts w:eastAsia="MS Mincho" w:cs="Arial"/>
                <w:sz w:val="20"/>
                <w:szCs w:val="20"/>
              </w:rPr>
            </w:pPr>
            <w:r w:rsidRPr="00167CB8">
              <w:rPr>
                <w:rFonts w:eastAsia="MS Mincho" w:cs="Arial"/>
                <w:sz w:val="20"/>
                <w:szCs w:val="20"/>
              </w:rPr>
              <w:t>390</w:t>
            </w:r>
          </w:p>
        </w:tc>
        <w:tc>
          <w:tcPr>
            <w:tcW w:w="10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D795C1" w14:textId="77777777" w:rsidR="00D82BD0" w:rsidRPr="00167CB8" w:rsidRDefault="00D82BD0" w:rsidP="00EB38D9">
            <w:pPr>
              <w:spacing w:afterLines="60" w:after="144"/>
              <w:jc w:val="right"/>
              <w:rPr>
                <w:rFonts w:eastAsia="MS Mincho" w:cs="Arial"/>
                <w:sz w:val="20"/>
                <w:szCs w:val="20"/>
              </w:rPr>
            </w:pPr>
            <w:r w:rsidRPr="00B87E5D">
              <w:rPr>
                <w:rFonts w:eastAsia="MS Mincho" w:cs="Arial"/>
                <w:sz w:val="20"/>
                <w:szCs w:val="20"/>
              </w:rPr>
              <w:t>70</w:t>
            </w:r>
          </w:p>
        </w:tc>
        <w:tc>
          <w:tcPr>
            <w:tcW w:w="1028" w:type="dxa"/>
            <w:tcBorders>
              <w:top w:val="single" w:sz="4" w:space="0" w:color="auto"/>
              <w:left w:val="single" w:sz="4" w:space="0" w:color="auto"/>
              <w:bottom w:val="single" w:sz="4" w:space="0" w:color="auto"/>
              <w:right w:val="single" w:sz="4" w:space="0" w:color="auto"/>
            </w:tcBorders>
          </w:tcPr>
          <w:p w14:paraId="4C98E4C7" w14:textId="77777777" w:rsidR="00D82BD0" w:rsidRPr="00B87E5D" w:rsidRDefault="00D82BD0" w:rsidP="00BE16F3">
            <w:pPr>
              <w:spacing w:afterLines="60" w:after="144"/>
              <w:ind w:right="57"/>
              <w:jc w:val="right"/>
              <w:rPr>
                <w:rFonts w:eastAsia="MS Mincho" w:cs="Arial"/>
                <w:sz w:val="20"/>
                <w:szCs w:val="20"/>
              </w:rPr>
            </w:pPr>
            <w:r w:rsidRPr="00910C3B">
              <w:rPr>
                <w:rFonts w:eastAsia="MS Mincho" w:cs="Arial"/>
                <w:sz w:val="20"/>
                <w:szCs w:val="20"/>
              </w:rPr>
              <w:t>1</w:t>
            </w:r>
            <w:r>
              <w:rPr>
                <w:rFonts w:eastAsia="MS Mincho" w:cs="Arial"/>
                <w:sz w:val="20"/>
                <w:szCs w:val="20"/>
              </w:rPr>
              <w:t>,</w:t>
            </w:r>
            <w:r w:rsidRPr="00910C3B">
              <w:rPr>
                <w:rFonts w:eastAsia="MS Mincho" w:cs="Arial"/>
                <w:sz w:val="20"/>
                <w:szCs w:val="20"/>
              </w:rPr>
              <w:t>442</w:t>
            </w:r>
          </w:p>
        </w:tc>
      </w:tr>
      <w:tr w:rsidR="00D82BD0" w:rsidRPr="00167CB8" w14:paraId="01B74BE5" w14:textId="77777777" w:rsidTr="00BE16F3">
        <w:trPr>
          <w:trHeight w:val="20"/>
        </w:trPr>
        <w:tc>
          <w:tcPr>
            <w:tcW w:w="532" w:type="dxa"/>
            <w:tcBorders>
              <w:top w:val="single" w:sz="4" w:space="0" w:color="auto"/>
              <w:left w:val="single" w:sz="4" w:space="0" w:color="auto"/>
              <w:bottom w:val="single" w:sz="4" w:space="0" w:color="auto"/>
              <w:right w:val="single" w:sz="4" w:space="0" w:color="auto"/>
            </w:tcBorders>
            <w:vAlign w:val="center"/>
          </w:tcPr>
          <w:p w14:paraId="7276079F" w14:textId="77777777" w:rsidR="00D82BD0" w:rsidRDefault="00D82BD0" w:rsidP="00EB38D9">
            <w:pPr>
              <w:spacing w:afterLines="60" w:after="144"/>
              <w:jc w:val="center"/>
              <w:rPr>
                <w:rFonts w:eastAsia="MS Mincho" w:cs="Arial"/>
                <w:sz w:val="20"/>
                <w:szCs w:val="20"/>
              </w:rPr>
            </w:pPr>
            <w:r>
              <w:rPr>
                <w:rFonts w:eastAsia="MS Mincho" w:cs="Arial"/>
                <w:sz w:val="20"/>
                <w:szCs w:val="20"/>
              </w:rPr>
              <w:t>C</w:t>
            </w:r>
          </w:p>
        </w:tc>
        <w:tc>
          <w:tcPr>
            <w:tcW w:w="30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0F487D" w14:textId="77777777" w:rsidR="00D82BD0" w:rsidRPr="00167CB8" w:rsidRDefault="00D82BD0" w:rsidP="00D56DB1">
            <w:pPr>
              <w:spacing w:afterLines="60" w:after="144"/>
              <w:jc w:val="right"/>
              <w:rPr>
                <w:rFonts w:eastAsia="MS Mincho" w:cs="Arial"/>
                <w:sz w:val="20"/>
                <w:szCs w:val="20"/>
              </w:rPr>
            </w:pPr>
            <w:r w:rsidRPr="00167CB8">
              <w:rPr>
                <w:rFonts w:eastAsia="MS Mincho" w:cs="Arial"/>
                <w:sz w:val="20"/>
                <w:szCs w:val="20"/>
              </w:rPr>
              <w:t>N</w:t>
            </w:r>
            <w:r>
              <w:rPr>
                <w:rFonts w:eastAsia="MS Mincho" w:cs="Arial"/>
                <w:sz w:val="20"/>
                <w:szCs w:val="20"/>
              </w:rPr>
              <w:t>o.</w:t>
            </w:r>
            <w:r w:rsidRPr="00167CB8">
              <w:rPr>
                <w:rFonts w:eastAsia="MS Mincho" w:cs="Arial"/>
                <w:sz w:val="20"/>
                <w:szCs w:val="20"/>
              </w:rPr>
              <w:t xml:space="preserve"> infringement notices issued</w:t>
            </w:r>
          </w:p>
        </w:tc>
        <w:tc>
          <w:tcPr>
            <w:tcW w:w="10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5CA247" w14:textId="77777777" w:rsidR="00D82BD0" w:rsidRPr="00167CB8" w:rsidRDefault="00D82BD0" w:rsidP="00EB38D9">
            <w:pPr>
              <w:spacing w:afterLines="60" w:after="144"/>
              <w:jc w:val="right"/>
              <w:rPr>
                <w:rFonts w:eastAsia="MS Mincho" w:cs="Arial"/>
                <w:sz w:val="20"/>
                <w:szCs w:val="20"/>
              </w:rPr>
            </w:pPr>
            <w:r w:rsidRPr="00167CB8">
              <w:rPr>
                <w:rFonts w:eastAsia="MS Mincho" w:cs="Arial"/>
                <w:sz w:val="20"/>
                <w:szCs w:val="20"/>
              </w:rPr>
              <w:t>39</w:t>
            </w:r>
          </w:p>
        </w:tc>
        <w:tc>
          <w:tcPr>
            <w:tcW w:w="10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CA407B" w14:textId="77777777" w:rsidR="00D82BD0" w:rsidRPr="00167CB8" w:rsidRDefault="00D82BD0" w:rsidP="00EB38D9">
            <w:pPr>
              <w:spacing w:afterLines="60" w:after="144"/>
              <w:jc w:val="right"/>
              <w:rPr>
                <w:rFonts w:eastAsia="MS Mincho" w:cs="Arial"/>
                <w:sz w:val="20"/>
                <w:szCs w:val="20"/>
              </w:rPr>
            </w:pPr>
            <w:r w:rsidRPr="00167CB8">
              <w:rPr>
                <w:rFonts w:eastAsia="MS Mincho" w:cs="Arial"/>
                <w:sz w:val="20"/>
                <w:szCs w:val="20"/>
              </w:rPr>
              <w:t>45</w:t>
            </w: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187B7C" w14:textId="77777777" w:rsidR="00D82BD0" w:rsidRPr="00167CB8" w:rsidRDefault="00D82BD0" w:rsidP="00EB38D9">
            <w:pPr>
              <w:spacing w:afterLines="60" w:after="144"/>
              <w:jc w:val="right"/>
              <w:rPr>
                <w:rFonts w:eastAsia="MS Mincho" w:cs="Arial"/>
                <w:sz w:val="20"/>
                <w:szCs w:val="20"/>
              </w:rPr>
            </w:pPr>
            <w:r w:rsidRPr="00167CB8">
              <w:rPr>
                <w:rFonts w:eastAsia="MS Mincho" w:cs="Arial"/>
                <w:sz w:val="20"/>
                <w:szCs w:val="20"/>
              </w:rPr>
              <w:t>64</w:t>
            </w:r>
          </w:p>
        </w:tc>
        <w:tc>
          <w:tcPr>
            <w:tcW w:w="10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4624DA" w14:textId="77777777" w:rsidR="00D82BD0" w:rsidRPr="00167CB8" w:rsidRDefault="00D82BD0" w:rsidP="00EB38D9">
            <w:pPr>
              <w:spacing w:afterLines="60" w:after="144"/>
              <w:jc w:val="right"/>
              <w:rPr>
                <w:rFonts w:eastAsia="MS Mincho" w:cs="Arial"/>
                <w:sz w:val="20"/>
                <w:szCs w:val="20"/>
              </w:rPr>
            </w:pPr>
            <w:r w:rsidRPr="00167CB8">
              <w:rPr>
                <w:rFonts w:eastAsia="MS Mincho" w:cs="Arial"/>
                <w:sz w:val="20"/>
                <w:szCs w:val="20"/>
              </w:rPr>
              <w:t>60</w:t>
            </w:r>
          </w:p>
        </w:tc>
        <w:tc>
          <w:tcPr>
            <w:tcW w:w="10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00B31C" w14:textId="77777777" w:rsidR="00D82BD0" w:rsidRPr="00167CB8" w:rsidRDefault="00D82BD0" w:rsidP="00EB38D9">
            <w:pPr>
              <w:spacing w:afterLines="60" w:after="144"/>
              <w:jc w:val="right"/>
              <w:rPr>
                <w:rFonts w:eastAsia="MS Mincho" w:cs="Arial"/>
                <w:sz w:val="20"/>
                <w:szCs w:val="20"/>
              </w:rPr>
            </w:pPr>
            <w:r w:rsidRPr="00B87E5D">
              <w:rPr>
                <w:rFonts w:eastAsia="MS Mincho" w:cs="Arial"/>
                <w:sz w:val="20"/>
                <w:szCs w:val="20"/>
              </w:rPr>
              <w:t>15</w:t>
            </w:r>
          </w:p>
        </w:tc>
        <w:tc>
          <w:tcPr>
            <w:tcW w:w="1028" w:type="dxa"/>
            <w:tcBorders>
              <w:top w:val="single" w:sz="4" w:space="0" w:color="auto"/>
              <w:left w:val="single" w:sz="4" w:space="0" w:color="auto"/>
              <w:bottom w:val="single" w:sz="4" w:space="0" w:color="auto"/>
              <w:right w:val="single" w:sz="4" w:space="0" w:color="auto"/>
            </w:tcBorders>
          </w:tcPr>
          <w:p w14:paraId="0DE412F0" w14:textId="77777777" w:rsidR="00D82BD0" w:rsidRPr="00B87E5D" w:rsidRDefault="00D82BD0" w:rsidP="00BE16F3">
            <w:pPr>
              <w:spacing w:afterLines="60" w:after="144"/>
              <w:ind w:right="57"/>
              <w:jc w:val="right"/>
              <w:rPr>
                <w:rFonts w:eastAsia="MS Mincho" w:cs="Arial"/>
                <w:sz w:val="20"/>
                <w:szCs w:val="20"/>
              </w:rPr>
            </w:pPr>
            <w:r w:rsidRPr="00910C3B">
              <w:rPr>
                <w:rFonts w:eastAsia="MS Mincho" w:cs="Arial"/>
                <w:sz w:val="20"/>
                <w:szCs w:val="20"/>
              </w:rPr>
              <w:t>223</w:t>
            </w:r>
          </w:p>
        </w:tc>
      </w:tr>
      <w:tr w:rsidR="00D82BD0" w:rsidRPr="00167CB8" w14:paraId="6EB2067A" w14:textId="77777777" w:rsidTr="00BE16F3">
        <w:trPr>
          <w:trHeight w:val="20"/>
        </w:trPr>
        <w:tc>
          <w:tcPr>
            <w:tcW w:w="532" w:type="dxa"/>
            <w:tcBorders>
              <w:top w:val="single" w:sz="4" w:space="0" w:color="auto"/>
              <w:left w:val="single" w:sz="4" w:space="0" w:color="auto"/>
              <w:bottom w:val="single" w:sz="4" w:space="0" w:color="auto"/>
              <w:right w:val="single" w:sz="4" w:space="0" w:color="auto"/>
            </w:tcBorders>
            <w:vAlign w:val="center"/>
          </w:tcPr>
          <w:p w14:paraId="6FE74756" w14:textId="77777777" w:rsidR="00D82BD0" w:rsidRDefault="00D82BD0" w:rsidP="00EB38D9">
            <w:pPr>
              <w:spacing w:afterLines="60" w:after="144"/>
              <w:jc w:val="center"/>
              <w:rPr>
                <w:rFonts w:eastAsia="MS Mincho" w:cs="Arial"/>
                <w:sz w:val="20"/>
                <w:szCs w:val="20"/>
              </w:rPr>
            </w:pPr>
            <w:r>
              <w:rPr>
                <w:rFonts w:eastAsia="MS Mincho" w:cs="Arial"/>
                <w:sz w:val="20"/>
                <w:szCs w:val="20"/>
              </w:rPr>
              <w:t>D</w:t>
            </w:r>
          </w:p>
        </w:tc>
        <w:tc>
          <w:tcPr>
            <w:tcW w:w="30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A8A276" w14:textId="77777777" w:rsidR="00D82BD0" w:rsidRPr="00167CB8" w:rsidRDefault="00D82BD0" w:rsidP="00D56DB1">
            <w:pPr>
              <w:spacing w:afterLines="60" w:after="144"/>
              <w:jc w:val="right"/>
              <w:rPr>
                <w:rFonts w:eastAsia="MS Mincho" w:cs="Arial"/>
                <w:sz w:val="20"/>
                <w:szCs w:val="20"/>
              </w:rPr>
            </w:pPr>
            <w:r w:rsidRPr="00167CB8">
              <w:rPr>
                <w:rFonts w:eastAsia="MS Mincho" w:cs="Arial"/>
                <w:sz w:val="20"/>
                <w:szCs w:val="20"/>
              </w:rPr>
              <w:t>N</w:t>
            </w:r>
            <w:r>
              <w:rPr>
                <w:rFonts w:eastAsia="MS Mincho" w:cs="Arial"/>
                <w:sz w:val="20"/>
                <w:szCs w:val="20"/>
              </w:rPr>
              <w:t>o.</w:t>
            </w:r>
            <w:r w:rsidRPr="00167CB8">
              <w:rPr>
                <w:rFonts w:eastAsia="MS Mincho" w:cs="Arial"/>
                <w:sz w:val="20"/>
                <w:szCs w:val="20"/>
              </w:rPr>
              <w:t xml:space="preserve"> enforceable undertakings</w:t>
            </w:r>
          </w:p>
        </w:tc>
        <w:tc>
          <w:tcPr>
            <w:tcW w:w="10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6D48C8" w14:textId="77777777" w:rsidR="00D82BD0" w:rsidRPr="00167CB8" w:rsidRDefault="00D82BD0" w:rsidP="00EB38D9">
            <w:pPr>
              <w:spacing w:afterLines="60" w:after="144"/>
              <w:jc w:val="right"/>
              <w:rPr>
                <w:rFonts w:eastAsia="MS Mincho" w:cs="Arial"/>
                <w:sz w:val="20"/>
                <w:szCs w:val="20"/>
              </w:rPr>
            </w:pPr>
            <w:r w:rsidRPr="00167CB8">
              <w:rPr>
                <w:rFonts w:ascii="Symbol" w:eastAsia="Symbol" w:hAnsi="Symbol" w:cs="Symbol"/>
                <w:sz w:val="20"/>
                <w:szCs w:val="20"/>
              </w:rPr>
              <w:t>-</w:t>
            </w:r>
          </w:p>
        </w:tc>
        <w:tc>
          <w:tcPr>
            <w:tcW w:w="10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8DF82D" w14:textId="77777777" w:rsidR="00D82BD0" w:rsidRPr="00167CB8" w:rsidRDefault="00D82BD0" w:rsidP="00EB38D9">
            <w:pPr>
              <w:spacing w:afterLines="60" w:after="144"/>
              <w:jc w:val="right"/>
              <w:rPr>
                <w:rFonts w:eastAsia="MS Mincho" w:cs="Arial"/>
                <w:sz w:val="20"/>
                <w:szCs w:val="20"/>
              </w:rPr>
            </w:pPr>
            <w:r w:rsidRPr="00167CB8">
              <w:rPr>
                <w:rFonts w:ascii="Symbol" w:eastAsia="Symbol" w:hAnsi="Symbol" w:cs="Symbol"/>
                <w:sz w:val="20"/>
                <w:szCs w:val="20"/>
              </w:rPr>
              <w:t>-</w:t>
            </w: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768FD1" w14:textId="77777777" w:rsidR="00D82BD0" w:rsidRPr="00167CB8" w:rsidRDefault="00D82BD0" w:rsidP="00EB38D9">
            <w:pPr>
              <w:spacing w:afterLines="60" w:after="144"/>
              <w:jc w:val="right"/>
              <w:rPr>
                <w:rFonts w:eastAsia="MS Mincho" w:cs="Arial"/>
                <w:sz w:val="20"/>
                <w:szCs w:val="20"/>
              </w:rPr>
            </w:pPr>
            <w:r w:rsidRPr="00167CB8">
              <w:rPr>
                <w:rFonts w:ascii="Symbol" w:eastAsia="Symbol" w:hAnsi="Symbol" w:cs="Symbol"/>
                <w:sz w:val="20"/>
                <w:szCs w:val="20"/>
              </w:rPr>
              <w:t>-</w:t>
            </w:r>
          </w:p>
        </w:tc>
        <w:tc>
          <w:tcPr>
            <w:tcW w:w="10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782AFB" w14:textId="77777777" w:rsidR="00D82BD0" w:rsidRPr="00167CB8" w:rsidRDefault="00D82BD0" w:rsidP="00EB38D9">
            <w:pPr>
              <w:spacing w:afterLines="60" w:after="144"/>
              <w:jc w:val="right"/>
              <w:rPr>
                <w:rFonts w:eastAsia="MS Mincho" w:cs="Arial"/>
                <w:sz w:val="20"/>
                <w:szCs w:val="20"/>
              </w:rPr>
            </w:pPr>
            <w:r w:rsidRPr="00167CB8">
              <w:rPr>
                <w:rFonts w:ascii="Symbol" w:eastAsia="Symbol" w:hAnsi="Symbol" w:cs="Symbol"/>
                <w:sz w:val="20"/>
                <w:szCs w:val="20"/>
              </w:rPr>
              <w:t>-</w:t>
            </w:r>
          </w:p>
        </w:tc>
        <w:tc>
          <w:tcPr>
            <w:tcW w:w="10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15A1CB" w14:textId="77777777" w:rsidR="00D82BD0" w:rsidRPr="00167CB8" w:rsidRDefault="00D82BD0" w:rsidP="00EB38D9">
            <w:pPr>
              <w:spacing w:afterLines="60" w:after="144"/>
              <w:jc w:val="right"/>
              <w:rPr>
                <w:rFonts w:eastAsia="MS Mincho" w:cs="Arial"/>
                <w:sz w:val="20"/>
                <w:szCs w:val="20"/>
              </w:rPr>
            </w:pPr>
            <w:r w:rsidRPr="00167CB8">
              <w:rPr>
                <w:rFonts w:ascii="Symbol" w:eastAsia="Symbol" w:hAnsi="Symbol" w:cs="Symbol"/>
                <w:sz w:val="20"/>
                <w:szCs w:val="20"/>
              </w:rPr>
              <w:t>-</w:t>
            </w:r>
          </w:p>
        </w:tc>
        <w:tc>
          <w:tcPr>
            <w:tcW w:w="1028" w:type="dxa"/>
            <w:tcBorders>
              <w:top w:val="single" w:sz="4" w:space="0" w:color="auto"/>
              <w:left w:val="single" w:sz="4" w:space="0" w:color="auto"/>
              <w:bottom w:val="single" w:sz="4" w:space="0" w:color="auto"/>
              <w:right w:val="single" w:sz="4" w:space="0" w:color="auto"/>
            </w:tcBorders>
          </w:tcPr>
          <w:p w14:paraId="4EECD4F1" w14:textId="77777777" w:rsidR="00D82BD0" w:rsidRPr="00910C3B" w:rsidRDefault="00D82BD0" w:rsidP="00BE16F3">
            <w:pPr>
              <w:spacing w:afterLines="60" w:after="144"/>
              <w:ind w:right="57"/>
              <w:jc w:val="right"/>
              <w:rPr>
                <w:rFonts w:eastAsia="MS Mincho" w:cs="Arial"/>
                <w:sz w:val="20"/>
                <w:szCs w:val="20"/>
              </w:rPr>
            </w:pPr>
            <w:r w:rsidRPr="00167CB8">
              <w:rPr>
                <w:rFonts w:ascii="Symbol" w:eastAsia="Symbol" w:hAnsi="Symbol" w:cs="Symbol"/>
                <w:sz w:val="20"/>
                <w:szCs w:val="20"/>
              </w:rPr>
              <w:t>-</w:t>
            </w:r>
          </w:p>
        </w:tc>
      </w:tr>
      <w:tr w:rsidR="00D82BD0" w:rsidRPr="00167CB8" w14:paraId="55C704B6" w14:textId="77777777" w:rsidTr="00BE16F3">
        <w:trPr>
          <w:trHeight w:val="20"/>
        </w:trPr>
        <w:tc>
          <w:tcPr>
            <w:tcW w:w="532" w:type="dxa"/>
            <w:tcBorders>
              <w:top w:val="single" w:sz="4" w:space="0" w:color="auto"/>
              <w:left w:val="single" w:sz="4" w:space="0" w:color="auto"/>
              <w:bottom w:val="single" w:sz="4" w:space="0" w:color="auto"/>
              <w:right w:val="single" w:sz="4" w:space="0" w:color="auto"/>
            </w:tcBorders>
            <w:vAlign w:val="center"/>
          </w:tcPr>
          <w:p w14:paraId="3EAF69DC" w14:textId="77777777" w:rsidR="00D82BD0" w:rsidRDefault="00D82BD0" w:rsidP="00EB38D9">
            <w:pPr>
              <w:spacing w:afterLines="60" w:after="144"/>
              <w:jc w:val="center"/>
              <w:rPr>
                <w:rFonts w:eastAsia="MS Mincho" w:cs="Arial"/>
                <w:sz w:val="20"/>
                <w:szCs w:val="20"/>
              </w:rPr>
            </w:pPr>
            <w:r>
              <w:rPr>
                <w:rFonts w:eastAsia="MS Mincho" w:cs="Arial"/>
                <w:sz w:val="20"/>
                <w:szCs w:val="20"/>
              </w:rPr>
              <w:t>E</w:t>
            </w:r>
          </w:p>
        </w:tc>
        <w:tc>
          <w:tcPr>
            <w:tcW w:w="30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7CFA5B" w14:textId="553122A1" w:rsidR="00D82BD0" w:rsidRDefault="00D82BD0" w:rsidP="00D56DB1">
            <w:pPr>
              <w:spacing w:afterLines="60" w:after="144"/>
              <w:jc w:val="right"/>
              <w:rPr>
                <w:rFonts w:eastAsia="MS Mincho" w:cs="Arial"/>
                <w:sz w:val="20"/>
                <w:szCs w:val="20"/>
              </w:rPr>
            </w:pPr>
            <w:r>
              <w:rPr>
                <w:rFonts w:eastAsia="MS Mincho" w:cs="Arial"/>
                <w:sz w:val="20"/>
                <w:szCs w:val="20"/>
              </w:rPr>
              <w:t>Total number of proactive matters</w:t>
            </w:r>
            <w:r w:rsidR="00874358">
              <w:rPr>
                <w:rFonts w:eastAsia="MS Mincho" w:cs="Arial"/>
                <w:sz w:val="20"/>
                <w:szCs w:val="20"/>
              </w:rPr>
              <w:t>*</w:t>
            </w:r>
          </w:p>
        </w:tc>
        <w:tc>
          <w:tcPr>
            <w:tcW w:w="10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9D624E" w14:textId="77777777" w:rsidR="00D82BD0" w:rsidRPr="00167CB8" w:rsidRDefault="00D82BD0" w:rsidP="00EB38D9">
            <w:pPr>
              <w:spacing w:afterLines="60" w:after="144"/>
              <w:jc w:val="right"/>
              <w:rPr>
                <w:rFonts w:ascii="Symbol" w:eastAsia="Symbol" w:hAnsi="Symbol" w:cs="Symbol"/>
                <w:sz w:val="20"/>
                <w:szCs w:val="20"/>
              </w:rPr>
            </w:pPr>
            <w:r w:rsidRPr="00E742A8">
              <w:rPr>
                <w:lang w:val="en-GB"/>
              </w:rPr>
              <w:t>77</w:t>
            </w:r>
          </w:p>
        </w:tc>
        <w:tc>
          <w:tcPr>
            <w:tcW w:w="10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D11DBB" w14:textId="77777777" w:rsidR="00D82BD0" w:rsidRPr="00167CB8" w:rsidRDefault="00D82BD0" w:rsidP="00EB38D9">
            <w:pPr>
              <w:spacing w:afterLines="60" w:after="144"/>
              <w:jc w:val="right"/>
              <w:rPr>
                <w:rFonts w:ascii="Symbol" w:eastAsia="Symbol" w:hAnsi="Symbol" w:cs="Symbol"/>
                <w:sz w:val="20"/>
                <w:szCs w:val="20"/>
              </w:rPr>
            </w:pPr>
            <w:r w:rsidRPr="00E742A8">
              <w:rPr>
                <w:lang w:val="en-GB"/>
              </w:rPr>
              <w:t>46</w:t>
            </w: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6E6F25" w14:textId="77777777" w:rsidR="00D82BD0" w:rsidRPr="00167CB8" w:rsidRDefault="00D82BD0" w:rsidP="00EB38D9">
            <w:pPr>
              <w:spacing w:afterLines="60" w:after="144"/>
              <w:jc w:val="right"/>
              <w:rPr>
                <w:rFonts w:ascii="Symbol" w:eastAsia="Symbol" w:hAnsi="Symbol" w:cs="Symbol"/>
                <w:sz w:val="20"/>
                <w:szCs w:val="20"/>
              </w:rPr>
            </w:pPr>
            <w:r w:rsidRPr="00E742A8">
              <w:rPr>
                <w:lang w:val="en-GB"/>
              </w:rPr>
              <w:t>19</w:t>
            </w:r>
          </w:p>
        </w:tc>
        <w:tc>
          <w:tcPr>
            <w:tcW w:w="10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AA9A9D" w14:textId="77777777" w:rsidR="00D82BD0" w:rsidRPr="00167CB8" w:rsidRDefault="00D82BD0" w:rsidP="00EB38D9">
            <w:pPr>
              <w:spacing w:afterLines="60" w:after="144"/>
              <w:jc w:val="right"/>
              <w:rPr>
                <w:rFonts w:ascii="Symbol" w:eastAsia="Symbol" w:hAnsi="Symbol" w:cs="Symbol"/>
                <w:sz w:val="20"/>
                <w:szCs w:val="20"/>
              </w:rPr>
            </w:pPr>
            <w:r w:rsidRPr="00E742A8">
              <w:rPr>
                <w:lang w:val="en-GB"/>
              </w:rPr>
              <w:t>32</w:t>
            </w:r>
          </w:p>
        </w:tc>
        <w:tc>
          <w:tcPr>
            <w:tcW w:w="10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FA270C" w14:textId="77777777" w:rsidR="00D82BD0" w:rsidRPr="00167CB8" w:rsidRDefault="00D82BD0" w:rsidP="00EB38D9">
            <w:pPr>
              <w:spacing w:afterLines="60" w:after="144"/>
              <w:jc w:val="right"/>
              <w:rPr>
                <w:rFonts w:ascii="Symbol" w:eastAsia="Symbol" w:hAnsi="Symbol" w:cs="Symbol"/>
                <w:sz w:val="20"/>
                <w:szCs w:val="20"/>
              </w:rPr>
            </w:pPr>
            <w:r w:rsidRPr="00E742A8">
              <w:rPr>
                <w:lang w:val="en-GB"/>
              </w:rPr>
              <w:t>16</w:t>
            </w:r>
          </w:p>
        </w:tc>
        <w:tc>
          <w:tcPr>
            <w:tcW w:w="1028" w:type="dxa"/>
            <w:tcBorders>
              <w:top w:val="single" w:sz="4" w:space="0" w:color="auto"/>
              <w:left w:val="single" w:sz="4" w:space="0" w:color="auto"/>
              <w:bottom w:val="single" w:sz="4" w:space="0" w:color="auto"/>
              <w:right w:val="single" w:sz="4" w:space="0" w:color="auto"/>
            </w:tcBorders>
          </w:tcPr>
          <w:p w14:paraId="45B898B4" w14:textId="3A34954B" w:rsidR="00D82BD0" w:rsidRPr="00910C3B" w:rsidRDefault="00D82BD0" w:rsidP="00BE16F3">
            <w:pPr>
              <w:spacing w:afterLines="60" w:after="144"/>
              <w:ind w:right="57"/>
              <w:jc w:val="right"/>
              <w:rPr>
                <w:rFonts w:eastAsia="MS Mincho" w:cs="Arial"/>
                <w:sz w:val="20"/>
                <w:szCs w:val="20"/>
              </w:rPr>
            </w:pPr>
            <w:r w:rsidRPr="00910C3B">
              <w:rPr>
                <w:rFonts w:eastAsia="MS Mincho" w:cs="Arial"/>
                <w:sz w:val="20"/>
                <w:szCs w:val="20"/>
              </w:rPr>
              <w:t>1</w:t>
            </w:r>
            <w:r w:rsidR="00983A59">
              <w:rPr>
                <w:rFonts w:eastAsia="MS Mincho" w:cs="Arial"/>
                <w:sz w:val="20"/>
                <w:szCs w:val="20"/>
              </w:rPr>
              <w:t>90</w:t>
            </w:r>
          </w:p>
        </w:tc>
      </w:tr>
      <w:tr w:rsidR="00D82BD0" w:rsidRPr="00167CB8" w14:paraId="769D2EE7" w14:textId="77777777" w:rsidTr="00BE16F3">
        <w:trPr>
          <w:trHeight w:val="20"/>
        </w:trPr>
        <w:tc>
          <w:tcPr>
            <w:tcW w:w="532" w:type="dxa"/>
            <w:tcBorders>
              <w:top w:val="single" w:sz="4" w:space="0" w:color="auto"/>
              <w:left w:val="single" w:sz="4" w:space="0" w:color="auto"/>
              <w:bottom w:val="single" w:sz="4" w:space="0" w:color="auto"/>
              <w:right w:val="single" w:sz="4" w:space="0" w:color="auto"/>
            </w:tcBorders>
            <w:vAlign w:val="center"/>
          </w:tcPr>
          <w:p w14:paraId="4F0C935B" w14:textId="77777777" w:rsidR="00D82BD0" w:rsidRDefault="00D82BD0" w:rsidP="00EB38D9">
            <w:pPr>
              <w:spacing w:afterLines="60" w:after="144"/>
              <w:jc w:val="center"/>
              <w:rPr>
                <w:rFonts w:eastAsia="MS Mincho" w:cs="Arial"/>
                <w:sz w:val="20"/>
                <w:szCs w:val="20"/>
              </w:rPr>
            </w:pPr>
            <w:r>
              <w:rPr>
                <w:rFonts w:eastAsia="MS Mincho" w:cs="Arial"/>
                <w:sz w:val="20"/>
                <w:szCs w:val="20"/>
              </w:rPr>
              <w:t>F</w:t>
            </w:r>
          </w:p>
        </w:tc>
        <w:tc>
          <w:tcPr>
            <w:tcW w:w="30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7DF0B6" w14:textId="77777777" w:rsidR="00D82BD0" w:rsidRDefault="00D82BD0" w:rsidP="00D56DB1">
            <w:pPr>
              <w:spacing w:afterLines="60" w:after="144"/>
              <w:jc w:val="right"/>
              <w:rPr>
                <w:rFonts w:eastAsia="MS Mincho" w:cs="Arial"/>
                <w:sz w:val="20"/>
                <w:szCs w:val="20"/>
              </w:rPr>
            </w:pPr>
            <w:r>
              <w:rPr>
                <w:rFonts w:eastAsia="MS Mincho" w:cs="Arial"/>
                <w:sz w:val="20"/>
                <w:szCs w:val="20"/>
              </w:rPr>
              <w:t>Total number of site inspections</w:t>
            </w:r>
          </w:p>
        </w:tc>
        <w:tc>
          <w:tcPr>
            <w:tcW w:w="10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884A1C" w14:textId="77777777" w:rsidR="00D82BD0" w:rsidRPr="00167CB8" w:rsidRDefault="00D82BD0" w:rsidP="00EB38D9">
            <w:pPr>
              <w:spacing w:afterLines="60" w:after="144"/>
              <w:jc w:val="right"/>
              <w:rPr>
                <w:rFonts w:ascii="Symbol" w:eastAsia="Symbol" w:hAnsi="Symbol" w:cs="Symbol"/>
                <w:sz w:val="20"/>
                <w:szCs w:val="20"/>
              </w:rPr>
            </w:pPr>
            <w:r>
              <w:rPr>
                <w:rFonts w:ascii="Symbol" w:eastAsia="Symbol" w:hAnsi="Symbol" w:cs="Symbol"/>
                <w:sz w:val="20"/>
                <w:szCs w:val="20"/>
              </w:rPr>
              <w:t>-</w:t>
            </w:r>
          </w:p>
        </w:tc>
        <w:tc>
          <w:tcPr>
            <w:tcW w:w="10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9005C4" w14:textId="77777777" w:rsidR="00D82BD0" w:rsidRPr="00167CB8" w:rsidRDefault="00D82BD0" w:rsidP="00EB38D9">
            <w:pPr>
              <w:spacing w:afterLines="60" w:after="144"/>
              <w:jc w:val="right"/>
              <w:rPr>
                <w:rFonts w:ascii="Symbol" w:eastAsia="Symbol" w:hAnsi="Symbol" w:cs="Symbol"/>
                <w:sz w:val="20"/>
                <w:szCs w:val="20"/>
              </w:rPr>
            </w:pPr>
            <w:r>
              <w:rPr>
                <w:rFonts w:ascii="Symbol" w:eastAsia="Symbol" w:hAnsi="Symbol" w:cs="Symbol"/>
                <w:sz w:val="20"/>
                <w:szCs w:val="20"/>
              </w:rPr>
              <w:t>-</w:t>
            </w: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39F1C3" w14:textId="77777777" w:rsidR="00D82BD0" w:rsidRPr="00167CB8" w:rsidRDefault="00D82BD0" w:rsidP="00EB38D9">
            <w:pPr>
              <w:spacing w:afterLines="60" w:after="144"/>
              <w:jc w:val="right"/>
              <w:rPr>
                <w:rFonts w:ascii="Symbol" w:eastAsia="Symbol" w:hAnsi="Symbol" w:cs="Symbol"/>
                <w:sz w:val="20"/>
                <w:szCs w:val="20"/>
              </w:rPr>
            </w:pPr>
            <w:r>
              <w:rPr>
                <w:rFonts w:ascii="Symbol" w:eastAsia="Symbol" w:hAnsi="Symbol" w:cs="Symbol"/>
                <w:sz w:val="20"/>
                <w:szCs w:val="20"/>
              </w:rPr>
              <w:t>-</w:t>
            </w:r>
          </w:p>
        </w:tc>
        <w:tc>
          <w:tcPr>
            <w:tcW w:w="10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FCC392" w14:textId="77777777" w:rsidR="00D82BD0" w:rsidRPr="00167CB8" w:rsidRDefault="00D82BD0" w:rsidP="00EB38D9">
            <w:pPr>
              <w:spacing w:afterLines="60" w:after="144"/>
              <w:jc w:val="right"/>
              <w:rPr>
                <w:rFonts w:ascii="Symbol" w:eastAsia="Symbol" w:hAnsi="Symbol" w:cs="Symbol"/>
                <w:sz w:val="20"/>
                <w:szCs w:val="20"/>
              </w:rPr>
            </w:pPr>
            <w:r w:rsidRPr="00E742A8">
              <w:rPr>
                <w:lang w:val="en-GB"/>
              </w:rPr>
              <w:t>26</w:t>
            </w:r>
          </w:p>
        </w:tc>
        <w:tc>
          <w:tcPr>
            <w:tcW w:w="10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E78A16" w14:textId="77777777" w:rsidR="00D82BD0" w:rsidRPr="00167CB8" w:rsidRDefault="00D82BD0" w:rsidP="00EB38D9">
            <w:pPr>
              <w:spacing w:afterLines="60" w:after="144"/>
              <w:jc w:val="right"/>
              <w:rPr>
                <w:rFonts w:ascii="Symbol" w:eastAsia="Symbol" w:hAnsi="Symbol" w:cs="Symbol"/>
                <w:sz w:val="20"/>
                <w:szCs w:val="20"/>
              </w:rPr>
            </w:pPr>
            <w:r w:rsidRPr="00E742A8">
              <w:rPr>
                <w:lang w:val="en-GB"/>
              </w:rPr>
              <w:t>50</w:t>
            </w:r>
          </w:p>
        </w:tc>
        <w:tc>
          <w:tcPr>
            <w:tcW w:w="1028" w:type="dxa"/>
            <w:tcBorders>
              <w:top w:val="single" w:sz="4" w:space="0" w:color="auto"/>
              <w:left w:val="single" w:sz="4" w:space="0" w:color="auto"/>
              <w:bottom w:val="single" w:sz="4" w:space="0" w:color="auto"/>
              <w:right w:val="single" w:sz="4" w:space="0" w:color="auto"/>
            </w:tcBorders>
          </w:tcPr>
          <w:p w14:paraId="16A943DD" w14:textId="77777777" w:rsidR="00D82BD0" w:rsidRPr="00910C3B" w:rsidRDefault="00D82BD0" w:rsidP="00BE16F3">
            <w:pPr>
              <w:spacing w:afterLines="60" w:after="144"/>
              <w:ind w:right="57"/>
              <w:jc w:val="right"/>
              <w:rPr>
                <w:rFonts w:eastAsia="MS Mincho" w:cs="Arial"/>
                <w:sz w:val="20"/>
                <w:szCs w:val="20"/>
              </w:rPr>
            </w:pPr>
            <w:r w:rsidRPr="00910C3B">
              <w:rPr>
                <w:rFonts w:eastAsia="MS Mincho" w:cs="Arial"/>
                <w:sz w:val="20"/>
                <w:szCs w:val="20"/>
              </w:rPr>
              <w:t>76</w:t>
            </w:r>
          </w:p>
        </w:tc>
      </w:tr>
      <w:tr w:rsidR="00D82BD0" w:rsidRPr="00167CB8" w14:paraId="1160CCA4" w14:textId="77777777" w:rsidTr="00BE16F3">
        <w:trPr>
          <w:trHeight w:val="20"/>
        </w:trPr>
        <w:tc>
          <w:tcPr>
            <w:tcW w:w="532" w:type="dxa"/>
            <w:tcBorders>
              <w:top w:val="single" w:sz="4" w:space="0" w:color="auto"/>
              <w:left w:val="single" w:sz="4" w:space="0" w:color="auto"/>
              <w:bottom w:val="single" w:sz="4" w:space="0" w:color="auto"/>
              <w:right w:val="single" w:sz="4" w:space="0" w:color="auto"/>
            </w:tcBorders>
            <w:vAlign w:val="center"/>
          </w:tcPr>
          <w:p w14:paraId="071D47E9" w14:textId="77777777" w:rsidR="00D82BD0" w:rsidRDefault="00D82BD0" w:rsidP="00EB38D9">
            <w:pPr>
              <w:spacing w:afterLines="60" w:after="144"/>
              <w:jc w:val="center"/>
              <w:rPr>
                <w:rFonts w:eastAsia="MS Mincho" w:cs="Arial"/>
                <w:sz w:val="20"/>
                <w:szCs w:val="20"/>
              </w:rPr>
            </w:pPr>
            <w:r>
              <w:rPr>
                <w:rFonts w:eastAsia="MS Mincho" w:cs="Arial"/>
                <w:sz w:val="20"/>
                <w:szCs w:val="20"/>
              </w:rPr>
              <w:t>G</w:t>
            </w:r>
          </w:p>
        </w:tc>
        <w:tc>
          <w:tcPr>
            <w:tcW w:w="30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5C7004" w14:textId="77777777" w:rsidR="00D82BD0" w:rsidRPr="00167CB8" w:rsidRDefault="00D82BD0" w:rsidP="00D56DB1">
            <w:pPr>
              <w:spacing w:afterLines="60" w:after="144"/>
              <w:jc w:val="right"/>
              <w:rPr>
                <w:rFonts w:eastAsia="MS Mincho" w:cs="Arial"/>
                <w:sz w:val="20"/>
                <w:szCs w:val="20"/>
              </w:rPr>
            </w:pPr>
            <w:r w:rsidRPr="00167CB8">
              <w:rPr>
                <w:rFonts w:eastAsia="MS Mincho" w:cs="Arial"/>
                <w:sz w:val="20"/>
                <w:szCs w:val="20"/>
              </w:rPr>
              <w:t>Number of litigations</w:t>
            </w:r>
          </w:p>
        </w:tc>
        <w:tc>
          <w:tcPr>
            <w:tcW w:w="10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421009" w14:textId="77777777" w:rsidR="00D82BD0" w:rsidRPr="00167CB8" w:rsidRDefault="00D82BD0" w:rsidP="00EB38D9">
            <w:pPr>
              <w:spacing w:afterLines="60" w:after="144"/>
              <w:jc w:val="right"/>
              <w:rPr>
                <w:rFonts w:eastAsia="MS Mincho" w:cs="Arial"/>
                <w:sz w:val="20"/>
                <w:szCs w:val="20"/>
              </w:rPr>
            </w:pPr>
            <w:r w:rsidRPr="00167CB8">
              <w:rPr>
                <w:rFonts w:eastAsia="MS Mincho" w:cs="Arial"/>
                <w:sz w:val="20"/>
                <w:szCs w:val="20"/>
              </w:rPr>
              <w:t>5</w:t>
            </w:r>
          </w:p>
        </w:tc>
        <w:tc>
          <w:tcPr>
            <w:tcW w:w="10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6E0728" w14:textId="77777777" w:rsidR="00D82BD0" w:rsidRPr="00167CB8" w:rsidRDefault="00D82BD0" w:rsidP="00EB38D9">
            <w:pPr>
              <w:spacing w:afterLines="60" w:after="144"/>
              <w:jc w:val="right"/>
              <w:rPr>
                <w:rFonts w:eastAsia="MS Mincho" w:cs="Arial"/>
                <w:sz w:val="20"/>
                <w:szCs w:val="20"/>
              </w:rPr>
            </w:pPr>
            <w:r w:rsidRPr="00167CB8">
              <w:rPr>
                <w:rFonts w:eastAsia="MS Mincho" w:cs="Arial"/>
                <w:sz w:val="20"/>
                <w:szCs w:val="20"/>
              </w:rPr>
              <w:t>16</w:t>
            </w: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1553DB" w14:textId="77777777" w:rsidR="00D82BD0" w:rsidRPr="00167CB8" w:rsidRDefault="00D82BD0" w:rsidP="00EB38D9">
            <w:pPr>
              <w:spacing w:afterLines="60" w:after="144"/>
              <w:jc w:val="right"/>
              <w:rPr>
                <w:rFonts w:eastAsia="MS Mincho" w:cs="Arial"/>
                <w:sz w:val="20"/>
                <w:szCs w:val="20"/>
              </w:rPr>
            </w:pPr>
            <w:r w:rsidRPr="00167CB8">
              <w:rPr>
                <w:rFonts w:eastAsia="MS Mincho" w:cs="Arial"/>
                <w:sz w:val="20"/>
                <w:szCs w:val="20"/>
              </w:rPr>
              <w:t>18</w:t>
            </w:r>
          </w:p>
        </w:tc>
        <w:tc>
          <w:tcPr>
            <w:tcW w:w="10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3EFFF4" w14:textId="77777777" w:rsidR="00D82BD0" w:rsidRPr="00167CB8" w:rsidRDefault="00D82BD0" w:rsidP="00EB38D9">
            <w:pPr>
              <w:spacing w:afterLines="60" w:after="144"/>
              <w:jc w:val="right"/>
              <w:rPr>
                <w:rFonts w:eastAsia="MS Mincho" w:cs="Arial"/>
                <w:sz w:val="20"/>
                <w:szCs w:val="20"/>
              </w:rPr>
            </w:pPr>
            <w:r w:rsidRPr="00167CB8">
              <w:rPr>
                <w:rFonts w:eastAsia="MS Mincho" w:cs="Arial"/>
                <w:sz w:val="20"/>
                <w:szCs w:val="20"/>
              </w:rPr>
              <w:t>10</w:t>
            </w:r>
          </w:p>
        </w:tc>
        <w:tc>
          <w:tcPr>
            <w:tcW w:w="10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EE162C" w14:textId="77777777" w:rsidR="00D82BD0" w:rsidRPr="00167CB8" w:rsidRDefault="00D82BD0" w:rsidP="00EB38D9">
            <w:pPr>
              <w:spacing w:afterLines="60" w:after="144"/>
              <w:jc w:val="right"/>
              <w:rPr>
                <w:rFonts w:eastAsia="MS Mincho" w:cs="Arial"/>
                <w:sz w:val="20"/>
                <w:szCs w:val="20"/>
              </w:rPr>
            </w:pPr>
            <w:r w:rsidRPr="00331453">
              <w:rPr>
                <w:rFonts w:eastAsia="MS Mincho" w:cs="Arial"/>
                <w:sz w:val="20"/>
                <w:szCs w:val="20"/>
              </w:rPr>
              <w:t>8</w:t>
            </w:r>
          </w:p>
        </w:tc>
        <w:tc>
          <w:tcPr>
            <w:tcW w:w="1028" w:type="dxa"/>
            <w:tcBorders>
              <w:top w:val="single" w:sz="4" w:space="0" w:color="auto"/>
              <w:left w:val="single" w:sz="4" w:space="0" w:color="auto"/>
              <w:bottom w:val="single" w:sz="4" w:space="0" w:color="auto"/>
              <w:right w:val="single" w:sz="4" w:space="0" w:color="auto"/>
            </w:tcBorders>
          </w:tcPr>
          <w:p w14:paraId="37D56A6E" w14:textId="77777777" w:rsidR="00D82BD0" w:rsidRPr="00331453" w:rsidRDefault="00D82BD0" w:rsidP="00BE16F3">
            <w:pPr>
              <w:spacing w:afterLines="60" w:after="144"/>
              <w:ind w:right="57"/>
              <w:jc w:val="right"/>
              <w:rPr>
                <w:rFonts w:eastAsia="MS Mincho" w:cs="Arial"/>
                <w:sz w:val="20"/>
                <w:szCs w:val="20"/>
              </w:rPr>
            </w:pPr>
            <w:r w:rsidRPr="00910C3B">
              <w:rPr>
                <w:rFonts w:eastAsia="MS Mincho" w:cs="Arial"/>
                <w:sz w:val="20"/>
                <w:szCs w:val="20"/>
              </w:rPr>
              <w:t>57</w:t>
            </w:r>
          </w:p>
        </w:tc>
      </w:tr>
      <w:tr w:rsidR="00D82BD0" w:rsidRPr="00167CB8" w14:paraId="102A68F1" w14:textId="77777777" w:rsidTr="00BE16F3">
        <w:trPr>
          <w:trHeight w:val="20"/>
        </w:trPr>
        <w:tc>
          <w:tcPr>
            <w:tcW w:w="532" w:type="dxa"/>
            <w:tcBorders>
              <w:top w:val="single" w:sz="4" w:space="0" w:color="auto"/>
              <w:left w:val="single" w:sz="4" w:space="0" w:color="auto"/>
              <w:bottom w:val="single" w:sz="4" w:space="0" w:color="auto"/>
              <w:right w:val="single" w:sz="4" w:space="0" w:color="auto"/>
            </w:tcBorders>
            <w:vAlign w:val="center"/>
          </w:tcPr>
          <w:p w14:paraId="4997586A" w14:textId="77777777" w:rsidR="00D82BD0" w:rsidRDefault="00D82BD0" w:rsidP="00EB38D9">
            <w:pPr>
              <w:spacing w:afterLines="60" w:after="144"/>
              <w:jc w:val="center"/>
              <w:rPr>
                <w:rFonts w:eastAsia="MS Mincho" w:cs="Arial"/>
                <w:sz w:val="20"/>
                <w:szCs w:val="20"/>
              </w:rPr>
            </w:pPr>
            <w:r>
              <w:rPr>
                <w:rFonts w:eastAsia="MS Mincho" w:cs="Arial"/>
                <w:sz w:val="20"/>
                <w:szCs w:val="20"/>
              </w:rPr>
              <w:t>H</w:t>
            </w:r>
          </w:p>
        </w:tc>
        <w:tc>
          <w:tcPr>
            <w:tcW w:w="30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27B41F" w14:textId="77777777" w:rsidR="00D82BD0" w:rsidRPr="00167CB8" w:rsidRDefault="00D82BD0" w:rsidP="00D56DB1">
            <w:pPr>
              <w:spacing w:afterLines="60" w:after="144"/>
              <w:jc w:val="right"/>
              <w:rPr>
                <w:rFonts w:eastAsia="MS Mincho" w:cs="Arial"/>
                <w:sz w:val="20"/>
                <w:szCs w:val="20"/>
              </w:rPr>
            </w:pPr>
            <w:r w:rsidRPr="00167CB8">
              <w:rPr>
                <w:rFonts w:eastAsia="MS Mincho" w:cs="Arial"/>
                <w:sz w:val="20"/>
                <w:szCs w:val="20"/>
              </w:rPr>
              <w:t>Total court-ordered penalties</w:t>
            </w:r>
            <w:r>
              <w:rPr>
                <w:rFonts w:eastAsia="MS Mincho" w:cs="Arial"/>
                <w:sz w:val="20"/>
                <w:szCs w:val="20"/>
              </w:rPr>
              <w:t xml:space="preserve"> ($000s)</w:t>
            </w:r>
          </w:p>
        </w:tc>
        <w:tc>
          <w:tcPr>
            <w:tcW w:w="10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35EC64" w14:textId="77777777" w:rsidR="00D82BD0" w:rsidRPr="00167CB8" w:rsidRDefault="00D82BD0" w:rsidP="00EB38D9">
            <w:pPr>
              <w:spacing w:afterLines="60" w:after="144"/>
              <w:jc w:val="right"/>
              <w:rPr>
                <w:rFonts w:eastAsia="MS Mincho" w:cs="Arial"/>
                <w:sz w:val="20"/>
                <w:szCs w:val="20"/>
              </w:rPr>
            </w:pPr>
            <w:r w:rsidRPr="00167CB8">
              <w:rPr>
                <w:rFonts w:eastAsia="MS Mincho" w:cs="Arial"/>
                <w:sz w:val="20"/>
                <w:szCs w:val="20"/>
              </w:rPr>
              <w:t>12</w:t>
            </w:r>
            <w:r>
              <w:rPr>
                <w:rFonts w:eastAsia="MS Mincho" w:cs="Arial"/>
                <w:sz w:val="20"/>
                <w:szCs w:val="20"/>
              </w:rPr>
              <w:t>2</w:t>
            </w:r>
          </w:p>
        </w:tc>
        <w:tc>
          <w:tcPr>
            <w:tcW w:w="10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BA9E16" w14:textId="77777777" w:rsidR="00D82BD0" w:rsidRPr="00167CB8" w:rsidRDefault="00D82BD0" w:rsidP="00EB38D9">
            <w:pPr>
              <w:spacing w:afterLines="60" w:after="144"/>
              <w:jc w:val="right"/>
              <w:rPr>
                <w:rFonts w:eastAsia="MS Mincho" w:cs="Arial"/>
                <w:sz w:val="20"/>
                <w:szCs w:val="20"/>
              </w:rPr>
            </w:pPr>
            <w:r w:rsidRPr="00167CB8">
              <w:rPr>
                <w:rFonts w:eastAsia="MS Mincho" w:cs="Arial"/>
                <w:sz w:val="20"/>
                <w:szCs w:val="20"/>
              </w:rPr>
              <w:t>7</w:t>
            </w:r>
            <w:r>
              <w:rPr>
                <w:rFonts w:eastAsia="MS Mincho" w:cs="Arial"/>
                <w:sz w:val="20"/>
                <w:szCs w:val="20"/>
              </w:rPr>
              <w:t>4</w:t>
            </w: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4F58BB" w14:textId="77777777" w:rsidR="00D82BD0" w:rsidRPr="00167CB8" w:rsidRDefault="00D82BD0" w:rsidP="00EB38D9">
            <w:pPr>
              <w:spacing w:afterLines="60" w:after="144"/>
              <w:jc w:val="right"/>
              <w:rPr>
                <w:rFonts w:eastAsia="MS Mincho" w:cs="Arial"/>
                <w:sz w:val="20"/>
                <w:szCs w:val="20"/>
              </w:rPr>
            </w:pPr>
            <w:r w:rsidRPr="00167CB8">
              <w:rPr>
                <w:rFonts w:eastAsia="MS Mincho" w:cs="Arial"/>
                <w:sz w:val="20"/>
                <w:szCs w:val="20"/>
              </w:rPr>
              <w:t>1,096</w:t>
            </w:r>
          </w:p>
        </w:tc>
        <w:tc>
          <w:tcPr>
            <w:tcW w:w="10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0BD440" w14:textId="77777777" w:rsidR="00D82BD0" w:rsidRPr="00167CB8" w:rsidRDefault="00D82BD0" w:rsidP="00EB38D9">
            <w:pPr>
              <w:spacing w:afterLines="60" w:after="144"/>
              <w:jc w:val="right"/>
              <w:rPr>
                <w:rFonts w:eastAsia="MS Mincho" w:cs="Arial"/>
                <w:sz w:val="20"/>
                <w:szCs w:val="20"/>
              </w:rPr>
            </w:pPr>
            <w:r w:rsidRPr="00167CB8">
              <w:rPr>
                <w:rFonts w:eastAsia="MS Mincho" w:cs="Arial"/>
                <w:sz w:val="20"/>
                <w:szCs w:val="20"/>
              </w:rPr>
              <w:t>1,3</w:t>
            </w:r>
            <w:r>
              <w:rPr>
                <w:rFonts w:eastAsia="MS Mincho" w:cs="Arial"/>
                <w:sz w:val="20"/>
                <w:szCs w:val="20"/>
              </w:rPr>
              <w:t>50</w:t>
            </w:r>
          </w:p>
        </w:tc>
        <w:tc>
          <w:tcPr>
            <w:tcW w:w="10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DA7EAE" w14:textId="77777777" w:rsidR="00D82BD0" w:rsidRPr="00167CB8" w:rsidRDefault="00D82BD0" w:rsidP="00EB38D9">
            <w:pPr>
              <w:spacing w:afterLines="60" w:after="144"/>
              <w:jc w:val="right"/>
              <w:rPr>
                <w:rFonts w:eastAsia="MS Mincho" w:cs="Arial"/>
                <w:sz w:val="20"/>
                <w:szCs w:val="20"/>
              </w:rPr>
            </w:pPr>
            <w:r w:rsidRPr="002741E0">
              <w:rPr>
                <w:rFonts w:eastAsia="MS Mincho" w:cs="Arial"/>
                <w:sz w:val="20"/>
                <w:szCs w:val="20"/>
              </w:rPr>
              <w:t>58</w:t>
            </w:r>
            <w:r>
              <w:rPr>
                <w:rFonts w:eastAsia="MS Mincho" w:cs="Arial"/>
                <w:sz w:val="20"/>
                <w:szCs w:val="20"/>
              </w:rPr>
              <w:t>2</w:t>
            </w:r>
          </w:p>
        </w:tc>
        <w:tc>
          <w:tcPr>
            <w:tcW w:w="1028" w:type="dxa"/>
            <w:tcBorders>
              <w:top w:val="single" w:sz="4" w:space="0" w:color="auto"/>
              <w:left w:val="single" w:sz="4" w:space="0" w:color="auto"/>
              <w:bottom w:val="single" w:sz="4" w:space="0" w:color="auto"/>
              <w:right w:val="single" w:sz="4" w:space="0" w:color="auto"/>
            </w:tcBorders>
          </w:tcPr>
          <w:p w14:paraId="3D3AB479" w14:textId="77777777" w:rsidR="00D82BD0" w:rsidRPr="002741E0" w:rsidRDefault="00D82BD0" w:rsidP="00BE16F3">
            <w:pPr>
              <w:spacing w:afterLines="60" w:after="144"/>
              <w:ind w:right="57"/>
              <w:jc w:val="right"/>
              <w:rPr>
                <w:rFonts w:eastAsia="MS Mincho" w:cs="Arial"/>
                <w:sz w:val="20"/>
                <w:szCs w:val="20"/>
              </w:rPr>
            </w:pPr>
            <w:r w:rsidRPr="00910C3B">
              <w:rPr>
                <w:rFonts w:eastAsia="MS Mincho" w:cs="Arial"/>
                <w:sz w:val="20"/>
                <w:szCs w:val="20"/>
              </w:rPr>
              <w:t>3</w:t>
            </w:r>
            <w:r>
              <w:rPr>
                <w:rFonts w:eastAsia="MS Mincho" w:cs="Arial"/>
                <w:sz w:val="20"/>
                <w:szCs w:val="20"/>
              </w:rPr>
              <w:t>,</w:t>
            </w:r>
            <w:r w:rsidRPr="00910C3B">
              <w:rPr>
                <w:rFonts w:eastAsia="MS Mincho" w:cs="Arial"/>
                <w:sz w:val="20"/>
                <w:szCs w:val="20"/>
              </w:rPr>
              <w:t>224</w:t>
            </w:r>
          </w:p>
        </w:tc>
      </w:tr>
      <w:tr w:rsidR="00D82BD0" w:rsidRPr="00167CB8" w14:paraId="3533AD49" w14:textId="77777777" w:rsidTr="00BE16F3">
        <w:trPr>
          <w:trHeight w:val="20"/>
        </w:trPr>
        <w:tc>
          <w:tcPr>
            <w:tcW w:w="532" w:type="dxa"/>
            <w:tcBorders>
              <w:top w:val="single" w:sz="4" w:space="0" w:color="auto"/>
              <w:left w:val="single" w:sz="4" w:space="0" w:color="auto"/>
              <w:bottom w:val="single" w:sz="4" w:space="0" w:color="auto"/>
              <w:right w:val="single" w:sz="4" w:space="0" w:color="auto"/>
            </w:tcBorders>
            <w:vAlign w:val="center"/>
          </w:tcPr>
          <w:p w14:paraId="46089701" w14:textId="77777777" w:rsidR="00D82BD0" w:rsidRDefault="00D82BD0" w:rsidP="00EB38D9">
            <w:pPr>
              <w:spacing w:afterLines="60" w:after="144"/>
              <w:jc w:val="center"/>
              <w:rPr>
                <w:rFonts w:eastAsia="MS Mincho" w:cs="Arial"/>
                <w:sz w:val="20"/>
                <w:szCs w:val="20"/>
              </w:rPr>
            </w:pPr>
            <w:r>
              <w:rPr>
                <w:rFonts w:eastAsia="MS Mincho" w:cs="Arial"/>
                <w:sz w:val="20"/>
                <w:szCs w:val="20"/>
              </w:rPr>
              <w:t>I</w:t>
            </w:r>
          </w:p>
        </w:tc>
        <w:tc>
          <w:tcPr>
            <w:tcW w:w="30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95D6B5" w14:textId="77777777" w:rsidR="00D82BD0" w:rsidRPr="00167CB8" w:rsidRDefault="00D82BD0" w:rsidP="00D56DB1">
            <w:pPr>
              <w:spacing w:after="60"/>
              <w:jc w:val="right"/>
              <w:rPr>
                <w:rFonts w:eastAsia="MS Mincho" w:cs="Arial"/>
                <w:sz w:val="20"/>
                <w:szCs w:val="20"/>
              </w:rPr>
            </w:pPr>
            <w:r w:rsidRPr="00167CB8">
              <w:rPr>
                <w:rFonts w:eastAsia="MS Mincho" w:cs="Arial"/>
                <w:sz w:val="20"/>
                <w:szCs w:val="20"/>
              </w:rPr>
              <w:t>Total matters completed overall</w:t>
            </w:r>
          </w:p>
        </w:tc>
        <w:tc>
          <w:tcPr>
            <w:tcW w:w="10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5AB352" w14:textId="77777777" w:rsidR="00D82BD0" w:rsidRPr="00167CB8" w:rsidRDefault="00D82BD0" w:rsidP="00EB38D9">
            <w:pPr>
              <w:spacing w:afterLines="60" w:after="144"/>
              <w:jc w:val="right"/>
              <w:rPr>
                <w:rFonts w:eastAsia="MS Mincho" w:cs="Arial"/>
                <w:sz w:val="20"/>
                <w:szCs w:val="20"/>
              </w:rPr>
            </w:pPr>
            <w:r w:rsidRPr="00167CB8">
              <w:rPr>
                <w:rFonts w:eastAsia="MS Mincho" w:cs="Arial"/>
                <w:sz w:val="20"/>
                <w:szCs w:val="20"/>
              </w:rPr>
              <w:t>2,428</w:t>
            </w:r>
          </w:p>
        </w:tc>
        <w:tc>
          <w:tcPr>
            <w:tcW w:w="10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9E3B44" w14:textId="77777777" w:rsidR="00D82BD0" w:rsidRPr="00167CB8" w:rsidRDefault="00D82BD0" w:rsidP="00EB38D9">
            <w:pPr>
              <w:spacing w:afterLines="60" w:after="144"/>
              <w:jc w:val="right"/>
              <w:rPr>
                <w:rFonts w:eastAsia="MS Mincho" w:cs="Arial"/>
                <w:sz w:val="20"/>
                <w:szCs w:val="20"/>
              </w:rPr>
            </w:pPr>
            <w:r w:rsidRPr="00167CB8">
              <w:rPr>
                <w:rFonts w:eastAsia="MS Mincho" w:cs="Arial"/>
                <w:sz w:val="20"/>
                <w:szCs w:val="20"/>
              </w:rPr>
              <w:t>2,482</w:t>
            </w: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545773" w14:textId="77777777" w:rsidR="00D82BD0" w:rsidRPr="00167CB8" w:rsidRDefault="00D82BD0" w:rsidP="00EB38D9">
            <w:pPr>
              <w:spacing w:afterLines="60" w:after="144"/>
              <w:jc w:val="right"/>
              <w:rPr>
                <w:rFonts w:eastAsia="MS Mincho" w:cs="Arial"/>
                <w:sz w:val="20"/>
                <w:szCs w:val="20"/>
              </w:rPr>
            </w:pPr>
            <w:r w:rsidRPr="00167CB8">
              <w:rPr>
                <w:rFonts w:eastAsia="MS Mincho" w:cs="Arial"/>
                <w:sz w:val="20"/>
                <w:szCs w:val="20"/>
              </w:rPr>
              <w:t>2,089</w:t>
            </w:r>
          </w:p>
        </w:tc>
        <w:tc>
          <w:tcPr>
            <w:tcW w:w="10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ABB603" w14:textId="77777777" w:rsidR="00D82BD0" w:rsidRPr="00167CB8" w:rsidRDefault="00D82BD0" w:rsidP="00EB38D9">
            <w:pPr>
              <w:spacing w:afterLines="60" w:after="144"/>
              <w:jc w:val="right"/>
              <w:rPr>
                <w:rFonts w:eastAsia="MS Mincho" w:cs="Arial"/>
                <w:sz w:val="20"/>
                <w:szCs w:val="20"/>
              </w:rPr>
            </w:pPr>
            <w:r w:rsidRPr="00167CB8">
              <w:rPr>
                <w:rFonts w:eastAsia="MS Mincho" w:cs="Arial"/>
                <w:sz w:val="20"/>
                <w:szCs w:val="20"/>
              </w:rPr>
              <w:t>2,543</w:t>
            </w:r>
          </w:p>
        </w:tc>
        <w:tc>
          <w:tcPr>
            <w:tcW w:w="10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7265C3" w14:textId="77777777" w:rsidR="00D82BD0" w:rsidRPr="00167CB8" w:rsidRDefault="00D82BD0" w:rsidP="00EB38D9">
            <w:pPr>
              <w:pStyle w:val="xmsonormal"/>
              <w:spacing w:after="60"/>
              <w:jc w:val="right"/>
              <w:rPr>
                <w:rFonts w:eastAsia="MS Mincho" w:cs="Arial"/>
                <w:sz w:val="20"/>
                <w:szCs w:val="20"/>
              </w:rPr>
            </w:pPr>
            <w:r>
              <w:rPr>
                <w:sz w:val="20"/>
                <w:szCs w:val="20"/>
              </w:rPr>
              <w:t>1,385</w:t>
            </w:r>
          </w:p>
        </w:tc>
        <w:tc>
          <w:tcPr>
            <w:tcW w:w="1028" w:type="dxa"/>
            <w:tcBorders>
              <w:top w:val="single" w:sz="4" w:space="0" w:color="auto"/>
              <w:left w:val="single" w:sz="4" w:space="0" w:color="auto"/>
              <w:bottom w:val="single" w:sz="4" w:space="0" w:color="auto"/>
              <w:right w:val="single" w:sz="4" w:space="0" w:color="auto"/>
            </w:tcBorders>
          </w:tcPr>
          <w:p w14:paraId="77B6A70E" w14:textId="77777777" w:rsidR="00D82BD0" w:rsidRPr="00910C3B" w:rsidRDefault="00D82BD0" w:rsidP="00BE16F3">
            <w:pPr>
              <w:spacing w:afterLines="60" w:after="144"/>
              <w:ind w:right="57"/>
              <w:jc w:val="right"/>
              <w:rPr>
                <w:rFonts w:eastAsia="MS Mincho" w:cs="Arial"/>
                <w:sz w:val="20"/>
                <w:szCs w:val="20"/>
              </w:rPr>
            </w:pPr>
            <w:r w:rsidRPr="00910C3B">
              <w:rPr>
                <w:rFonts w:eastAsia="MS Mincho" w:cs="Arial"/>
                <w:sz w:val="20"/>
                <w:szCs w:val="20"/>
              </w:rPr>
              <w:t>10</w:t>
            </w:r>
            <w:r>
              <w:rPr>
                <w:rFonts w:eastAsia="MS Mincho" w:cs="Arial"/>
                <w:sz w:val="20"/>
                <w:szCs w:val="20"/>
              </w:rPr>
              <w:t>,</w:t>
            </w:r>
            <w:r w:rsidRPr="00910C3B">
              <w:rPr>
                <w:rFonts w:eastAsia="MS Mincho" w:cs="Arial"/>
                <w:sz w:val="20"/>
                <w:szCs w:val="20"/>
              </w:rPr>
              <w:t>927</w:t>
            </w:r>
          </w:p>
        </w:tc>
      </w:tr>
    </w:tbl>
    <w:p w14:paraId="31B104ED" w14:textId="38538F2C" w:rsidR="008275E1" w:rsidRPr="00167CB8" w:rsidRDefault="00D82BD0" w:rsidP="008275E1">
      <w:pPr>
        <w:pStyle w:val="Source"/>
      </w:pPr>
      <w:r w:rsidRPr="008275E1">
        <w:rPr>
          <w:b/>
          <w:bCs/>
        </w:rPr>
        <w:t>Note</w:t>
      </w:r>
      <w:r w:rsidRPr="00923D7D">
        <w:rPr>
          <w:b/>
          <w:bCs/>
        </w:rPr>
        <w:t>:</w:t>
      </w:r>
      <w:r w:rsidR="008275E1" w:rsidRPr="008275E1">
        <w:t xml:space="preserve"> </w:t>
      </w:r>
      <w:r w:rsidR="008275E1" w:rsidRPr="00246E35">
        <w:t>FWO:</w:t>
      </w:r>
      <w:r w:rsidR="008275E1">
        <w:t xml:space="preserve"> Fair Work Ombudsman; </w:t>
      </w:r>
      <w:r w:rsidRPr="008275E1">
        <w:t># The reduction in investigations (Row A) in 2024</w:t>
      </w:r>
      <w:r w:rsidR="002B1057" w:rsidRPr="008275E1">
        <w:rPr>
          <w:rFonts w:ascii="Symbol" w:eastAsia="Symbol" w:hAnsi="Symbol" w:cs="Symbol"/>
        </w:rPr>
        <w:t>-</w:t>
      </w:r>
      <w:r w:rsidRPr="008275E1">
        <w:t>25 is due to a change to the FWO’s internal request fo</w:t>
      </w:r>
      <w:r w:rsidR="008275E1" w:rsidRPr="008275E1">
        <w:t xml:space="preserve">r </w:t>
      </w:r>
      <w:r w:rsidRPr="008275E1">
        <w:t>assistance processes and the fact that only half the financial year data is reported.</w:t>
      </w:r>
    </w:p>
    <w:p w14:paraId="000FBC75" w14:textId="49259673" w:rsidR="003245F5" w:rsidRPr="00167CB8" w:rsidRDefault="00874358" w:rsidP="003245F5">
      <w:pPr>
        <w:pStyle w:val="Source"/>
      </w:pPr>
      <w:r>
        <w:t>*</w:t>
      </w:r>
      <w:r w:rsidR="003245F5">
        <w:t>Proactive matters are investigations that are tailored programs of work where the FWO engages with workplaces to assess compliance with workplace laws. Activities include checking employment records, visiting workplaces, asking employers to fix issues, and educating employers and employees. They are planned based on intelligence including anonymous tip-offs and RfAs.</w:t>
      </w:r>
      <w:r w:rsidR="00694A25">
        <w:rPr>
          <w:rStyle w:val="FootnoteReference"/>
        </w:rPr>
        <w:footnoteReference w:id="62"/>
      </w:r>
      <w:r w:rsidR="003245F5">
        <w:t xml:space="preserve">  </w:t>
      </w:r>
    </w:p>
    <w:p w14:paraId="7A29508A" w14:textId="643D4B8B" w:rsidR="00D82BD0" w:rsidRPr="00167CB8" w:rsidRDefault="00D82BD0" w:rsidP="00D82BD0">
      <w:pPr>
        <w:pStyle w:val="Source"/>
      </w:pPr>
      <w:r w:rsidRPr="00167CB8">
        <w:rPr>
          <w:b/>
          <w:bCs/>
        </w:rPr>
        <w:t>Source:</w:t>
      </w:r>
      <w:r w:rsidRPr="00167CB8">
        <w:t xml:space="preserve"> </w:t>
      </w:r>
      <w:r w:rsidR="00C10784">
        <w:tab/>
      </w:r>
      <w:r w:rsidRPr="00167CB8">
        <w:t>Data provided by the FWO.</w:t>
      </w:r>
    </w:p>
    <w:p w14:paraId="21AA5A74" w14:textId="77777777" w:rsidR="009C6692" w:rsidRPr="00167CB8" w:rsidRDefault="009C6692" w:rsidP="009C6692">
      <w:pPr>
        <w:rPr>
          <w:rFonts w:eastAsia="MS Mincho" w:cs="Arial"/>
        </w:rPr>
      </w:pPr>
      <w:r w:rsidRPr="000C7F36">
        <w:rPr>
          <w:rFonts w:eastAsia="MS Mincho" w:cs="Arial"/>
          <w:b/>
        </w:rPr>
        <w:t>Investigations:</w:t>
      </w:r>
      <w:r w:rsidRPr="00D55D77">
        <w:rPr>
          <w:rFonts w:eastAsia="MS Mincho" w:cs="Arial"/>
        </w:rPr>
        <w:t xml:space="preserve"> Row A in Table </w:t>
      </w:r>
      <w:r>
        <w:rPr>
          <w:rFonts w:eastAsia="MS Mincho" w:cs="Arial"/>
        </w:rPr>
        <w:t xml:space="preserve">4 shows that, </w:t>
      </w:r>
      <w:r w:rsidRPr="396ABCA7">
        <w:rPr>
          <w:rFonts w:eastAsia="MS Mincho" w:cs="Arial"/>
        </w:rPr>
        <w:t>from 2022</w:t>
      </w:r>
      <w:r w:rsidRPr="396ABCA7">
        <w:rPr>
          <w:rFonts w:ascii="Symbol" w:eastAsia="Symbol" w:hAnsi="Symbol" w:cs="Symbol"/>
        </w:rPr>
        <w:t>-</w:t>
      </w:r>
      <w:r w:rsidRPr="396ABCA7">
        <w:rPr>
          <w:rFonts w:eastAsia="MS Mincho" w:cs="Arial"/>
        </w:rPr>
        <w:t>23 to 2024</w:t>
      </w:r>
      <w:r w:rsidRPr="396ABCA7">
        <w:rPr>
          <w:rFonts w:ascii="Symbol" w:eastAsia="Symbol" w:hAnsi="Symbol" w:cs="Symbol"/>
        </w:rPr>
        <w:t>-</w:t>
      </w:r>
      <w:r w:rsidRPr="396ABCA7">
        <w:rPr>
          <w:rFonts w:eastAsia="MS Mincho" w:cs="Arial"/>
        </w:rPr>
        <w:t xml:space="preserve">25 (to 31 </w:t>
      </w:r>
      <w:r>
        <w:rPr>
          <w:rFonts w:eastAsia="MS Mincho" w:cs="Arial"/>
        </w:rPr>
        <w:t>December</w:t>
      </w:r>
      <w:r w:rsidRPr="396ABCA7">
        <w:rPr>
          <w:rFonts w:eastAsia="MS Mincho" w:cs="Arial"/>
        </w:rPr>
        <w:t>), the FWO commenced</w:t>
      </w:r>
      <w:r>
        <w:rPr>
          <w:rFonts w:eastAsia="MS Mincho" w:cs="Arial"/>
        </w:rPr>
        <w:t xml:space="preserve"> 1,353</w:t>
      </w:r>
      <w:r w:rsidRPr="396ABCA7">
        <w:rPr>
          <w:rFonts w:eastAsia="MS Mincho" w:cs="Arial"/>
        </w:rPr>
        <w:t xml:space="preserve"> investigations</w:t>
      </w:r>
      <w:r>
        <w:rPr>
          <w:rFonts w:eastAsia="MS Mincho" w:cs="Arial"/>
        </w:rPr>
        <w:t xml:space="preserve"> (547+627+179) in the building and construction sector</w:t>
      </w:r>
      <w:r w:rsidRPr="396ABCA7">
        <w:rPr>
          <w:rFonts w:eastAsia="MS Mincho" w:cs="Arial"/>
        </w:rPr>
        <w:t>.</w:t>
      </w:r>
      <w:r>
        <w:rPr>
          <w:rFonts w:eastAsia="MS Mincho" w:cs="Arial"/>
        </w:rPr>
        <w:t xml:space="preserve"> More broadly, from 2020</w:t>
      </w:r>
      <w:r>
        <w:rPr>
          <w:rFonts w:ascii="Symbol" w:eastAsia="Symbol" w:hAnsi="Symbol" w:cs="Symbol"/>
        </w:rPr>
        <w:t>-</w:t>
      </w:r>
      <w:r>
        <w:rPr>
          <w:rFonts w:eastAsia="MS Mincho" w:cs="Arial"/>
        </w:rPr>
        <w:t>21 to 2024</w:t>
      </w:r>
      <w:r>
        <w:rPr>
          <w:rFonts w:ascii="Symbol" w:eastAsia="Symbol" w:hAnsi="Symbol" w:cs="Symbol"/>
        </w:rPr>
        <w:t>-</w:t>
      </w:r>
      <w:r>
        <w:rPr>
          <w:rFonts w:eastAsia="MS Mincho" w:cs="Arial"/>
        </w:rPr>
        <w:t xml:space="preserve">25 (to 31 December), the FWO commenced 2,391 investigations (total Row A). </w:t>
      </w:r>
      <w:r w:rsidRPr="0043467C">
        <w:rPr>
          <w:rFonts w:eastAsia="MS Mincho" w:cs="Arial"/>
        </w:rPr>
        <w:t>As outlined in Row</w:t>
      </w:r>
      <w:r>
        <w:rPr>
          <w:rFonts w:eastAsia="MS Mincho" w:cs="Arial"/>
        </w:rPr>
        <w:t>s</w:t>
      </w:r>
      <w:r w:rsidRPr="0043467C">
        <w:rPr>
          <w:rFonts w:eastAsia="MS Mincho" w:cs="Arial"/>
        </w:rPr>
        <w:t xml:space="preserve"> A and B of Table </w:t>
      </w:r>
      <w:r>
        <w:rPr>
          <w:rFonts w:eastAsia="MS Mincho" w:cs="Arial"/>
        </w:rPr>
        <w:t>5</w:t>
      </w:r>
      <w:r w:rsidRPr="0043467C">
        <w:rPr>
          <w:rFonts w:eastAsia="MS Mincho" w:cs="Arial"/>
        </w:rPr>
        <w:t>, between</w:t>
      </w:r>
      <w:r w:rsidRPr="396ABCA7">
        <w:rPr>
          <w:rFonts w:eastAsia="MS Mincho" w:cs="Arial"/>
        </w:rPr>
        <w:t xml:space="preserve"> </w:t>
      </w:r>
      <w:r>
        <w:rPr>
          <w:rFonts w:eastAsia="MS Mincho" w:cs="Arial"/>
        </w:rPr>
        <w:t>2016–17</w:t>
      </w:r>
      <w:r w:rsidRPr="396ABCA7">
        <w:rPr>
          <w:rFonts w:eastAsia="MS Mincho" w:cs="Arial"/>
        </w:rPr>
        <w:t xml:space="preserve"> </w:t>
      </w:r>
      <w:r>
        <w:rPr>
          <w:rFonts w:eastAsia="MS Mincho" w:cs="Arial"/>
        </w:rPr>
        <w:t xml:space="preserve">and </w:t>
      </w:r>
      <w:r w:rsidRPr="396ABCA7">
        <w:rPr>
          <w:rFonts w:eastAsia="MS Mincho" w:cs="Arial"/>
        </w:rPr>
        <w:t>2022</w:t>
      </w:r>
      <w:r w:rsidRPr="396ABCA7">
        <w:rPr>
          <w:rFonts w:ascii="Symbol" w:eastAsia="Symbol" w:hAnsi="Symbol" w:cs="Symbol"/>
        </w:rPr>
        <w:t>-</w:t>
      </w:r>
      <w:r w:rsidRPr="396ABCA7">
        <w:rPr>
          <w:rFonts w:eastAsia="MS Mincho" w:cs="Arial"/>
        </w:rPr>
        <w:t xml:space="preserve">23, the ABCC commenced </w:t>
      </w:r>
      <w:r>
        <w:rPr>
          <w:rFonts w:eastAsia="MS Mincho" w:cs="Arial"/>
        </w:rPr>
        <w:t>946</w:t>
      </w:r>
      <w:r w:rsidRPr="396ABCA7">
        <w:rPr>
          <w:rFonts w:eastAsia="MS Mincho" w:cs="Arial"/>
        </w:rPr>
        <w:t xml:space="preserve"> investigations </w:t>
      </w:r>
      <w:r>
        <w:rPr>
          <w:rFonts w:eastAsia="MS Mincho" w:cs="Arial"/>
        </w:rPr>
        <w:t xml:space="preserve">(total Row A) </w:t>
      </w:r>
      <w:r w:rsidRPr="396ABCA7">
        <w:rPr>
          <w:rFonts w:eastAsia="MS Mincho" w:cs="Arial"/>
        </w:rPr>
        <w:t xml:space="preserve">and finalised </w:t>
      </w:r>
      <w:r>
        <w:rPr>
          <w:rFonts w:eastAsia="MS Mincho" w:cs="Arial"/>
        </w:rPr>
        <w:t>1,007</w:t>
      </w:r>
      <w:r w:rsidRPr="396ABCA7">
        <w:rPr>
          <w:rFonts w:eastAsia="MS Mincho" w:cs="Arial"/>
        </w:rPr>
        <w:t xml:space="preserve"> investigations</w:t>
      </w:r>
      <w:r>
        <w:rPr>
          <w:rFonts w:eastAsia="MS Mincho" w:cs="Arial"/>
        </w:rPr>
        <w:t xml:space="preserve"> (total Row B) in the industry.</w:t>
      </w:r>
      <w:r>
        <w:rPr>
          <w:rStyle w:val="FootnoteReference"/>
          <w:rFonts w:eastAsia="MS Mincho" w:cs="Arial"/>
        </w:rPr>
        <w:footnoteReference w:id="63"/>
      </w:r>
    </w:p>
    <w:p w14:paraId="1F5CCEF6" w14:textId="77777777" w:rsidR="009C6692" w:rsidRPr="00D57D51" w:rsidRDefault="009C6692" w:rsidP="009C6692">
      <w:pPr>
        <w:pStyle w:val="Source"/>
        <w:rPr>
          <w:rFonts w:eastAsia="MS Mincho" w:cs="Arial"/>
          <w:sz w:val="22"/>
        </w:rPr>
      </w:pPr>
      <w:r w:rsidRPr="000C7F36">
        <w:rPr>
          <w:rFonts w:eastAsia="MS Mincho" w:cs="Arial"/>
          <w:b/>
          <w:sz w:val="22"/>
        </w:rPr>
        <w:t>Compliance and infringement notices:</w:t>
      </w:r>
      <w:r w:rsidRPr="0003279E">
        <w:rPr>
          <w:rFonts w:eastAsia="MS Mincho" w:cs="Arial"/>
          <w:sz w:val="22"/>
        </w:rPr>
        <w:t xml:space="preserve"> Row B of Table </w:t>
      </w:r>
      <w:r>
        <w:rPr>
          <w:rFonts w:eastAsia="MS Mincho" w:cs="Arial"/>
          <w:sz w:val="22"/>
        </w:rPr>
        <w:t>4</w:t>
      </w:r>
      <w:r w:rsidRPr="0003279E">
        <w:rPr>
          <w:rFonts w:eastAsia="MS Mincho" w:cs="Arial"/>
          <w:sz w:val="22"/>
        </w:rPr>
        <w:t xml:space="preserve"> shows that</w:t>
      </w:r>
      <w:r>
        <w:rPr>
          <w:rFonts w:eastAsia="MS Mincho" w:cs="Arial"/>
          <w:sz w:val="22"/>
        </w:rPr>
        <w:t>,</w:t>
      </w:r>
      <w:r w:rsidRPr="0003279E">
        <w:rPr>
          <w:rFonts w:eastAsia="MS Mincho" w:cs="Arial"/>
          <w:sz w:val="22"/>
        </w:rPr>
        <w:t xml:space="preserve"> between 2022</w:t>
      </w:r>
      <w:r>
        <w:rPr>
          <w:rFonts w:ascii="Symbol" w:eastAsia="Symbol" w:hAnsi="Symbol" w:cs="Symbol"/>
          <w:sz w:val="22"/>
        </w:rPr>
        <w:t>-</w:t>
      </w:r>
      <w:r w:rsidRPr="0003279E">
        <w:rPr>
          <w:rFonts w:eastAsia="MS Mincho" w:cs="Arial"/>
          <w:sz w:val="22"/>
        </w:rPr>
        <w:t xml:space="preserve">23 </w:t>
      </w:r>
      <w:r>
        <w:rPr>
          <w:rFonts w:eastAsia="MS Mincho" w:cs="Arial"/>
          <w:sz w:val="22"/>
        </w:rPr>
        <w:t xml:space="preserve">and </w:t>
      </w:r>
      <w:r w:rsidRPr="0003279E">
        <w:rPr>
          <w:rFonts w:eastAsia="MS Mincho" w:cs="Arial"/>
          <w:sz w:val="22"/>
        </w:rPr>
        <w:t>2024</w:t>
      </w:r>
      <w:r>
        <w:rPr>
          <w:rFonts w:ascii="Symbol" w:eastAsia="Symbol" w:hAnsi="Symbol" w:cs="Symbol"/>
          <w:sz w:val="22"/>
        </w:rPr>
        <w:t>-</w:t>
      </w:r>
      <w:r w:rsidRPr="0003279E">
        <w:rPr>
          <w:rFonts w:eastAsia="MS Mincho" w:cs="Arial"/>
          <w:sz w:val="22"/>
        </w:rPr>
        <w:t xml:space="preserve">25 (to 31 December), the FWO issued 823 compliance notices </w:t>
      </w:r>
      <w:r>
        <w:rPr>
          <w:rFonts w:eastAsia="MS Mincho" w:cs="Arial"/>
          <w:sz w:val="22"/>
        </w:rPr>
        <w:t xml:space="preserve">(363+390+70) </w:t>
      </w:r>
      <w:r w:rsidRPr="0003279E">
        <w:rPr>
          <w:rFonts w:eastAsia="MS Mincho" w:cs="Arial"/>
          <w:sz w:val="22"/>
        </w:rPr>
        <w:t>to stakeholders in the building and construction sector. More broadly, from 2020</w:t>
      </w:r>
      <w:r>
        <w:rPr>
          <w:rFonts w:ascii="Symbol" w:eastAsia="Symbol" w:hAnsi="Symbol" w:cs="Symbol"/>
          <w:sz w:val="22"/>
        </w:rPr>
        <w:t>-</w:t>
      </w:r>
      <w:r w:rsidRPr="0003279E">
        <w:rPr>
          <w:rFonts w:eastAsia="MS Mincho" w:cs="Arial"/>
          <w:sz w:val="22"/>
        </w:rPr>
        <w:t xml:space="preserve">21 </w:t>
      </w:r>
      <w:r w:rsidRPr="00C10784">
        <w:rPr>
          <w:rFonts w:eastAsia="MS Mincho" w:cs="Arial"/>
          <w:sz w:val="22"/>
        </w:rPr>
        <w:t>to 2024</w:t>
      </w:r>
      <w:r w:rsidRPr="00C10784">
        <w:rPr>
          <w:rFonts w:ascii="Symbol" w:eastAsia="Symbol" w:hAnsi="Symbol" w:cs="Symbol"/>
          <w:sz w:val="22"/>
        </w:rPr>
        <w:t>-</w:t>
      </w:r>
      <w:r w:rsidRPr="00C10784">
        <w:rPr>
          <w:rFonts w:eastAsia="MS Mincho" w:cs="Arial"/>
          <w:sz w:val="22"/>
        </w:rPr>
        <w:t>25 (to 31 December), th</w:t>
      </w:r>
      <w:r w:rsidRPr="0003279E">
        <w:rPr>
          <w:rFonts w:eastAsia="MS Mincho" w:cs="Arial"/>
          <w:sz w:val="22"/>
        </w:rPr>
        <w:t>e FWO issued 1,442 compliance notices. Row C of Table</w:t>
      </w:r>
      <w:r>
        <w:rPr>
          <w:rFonts w:eastAsia="MS Mincho" w:cs="Arial"/>
          <w:sz w:val="22"/>
        </w:rPr>
        <w:t xml:space="preserve"> 4</w:t>
      </w:r>
      <w:r w:rsidRPr="0003279E">
        <w:rPr>
          <w:rFonts w:eastAsia="MS Mincho" w:cs="Arial"/>
          <w:sz w:val="22"/>
        </w:rPr>
        <w:t xml:space="preserve"> shows that</w:t>
      </w:r>
      <w:r>
        <w:rPr>
          <w:rFonts w:eastAsia="MS Mincho" w:cs="Arial"/>
          <w:sz w:val="22"/>
        </w:rPr>
        <w:t>,</w:t>
      </w:r>
      <w:r w:rsidRPr="0003279E">
        <w:rPr>
          <w:rFonts w:eastAsia="MS Mincho" w:cs="Arial"/>
          <w:sz w:val="22"/>
        </w:rPr>
        <w:t xml:space="preserve"> between 2022</w:t>
      </w:r>
      <w:r>
        <w:rPr>
          <w:rFonts w:ascii="Symbol" w:eastAsia="Symbol" w:hAnsi="Symbol" w:cs="Symbol"/>
          <w:sz w:val="22"/>
        </w:rPr>
        <w:t>-</w:t>
      </w:r>
      <w:r w:rsidRPr="0003279E">
        <w:rPr>
          <w:rFonts w:eastAsia="MS Mincho" w:cs="Arial"/>
          <w:sz w:val="22"/>
        </w:rPr>
        <w:t xml:space="preserve">23 </w:t>
      </w:r>
      <w:r>
        <w:rPr>
          <w:rFonts w:eastAsia="MS Mincho" w:cs="Arial"/>
          <w:sz w:val="22"/>
        </w:rPr>
        <w:t>and</w:t>
      </w:r>
      <w:r w:rsidRPr="0003279E">
        <w:rPr>
          <w:rFonts w:eastAsia="MS Mincho" w:cs="Arial"/>
          <w:sz w:val="22"/>
        </w:rPr>
        <w:t xml:space="preserve"> 2024</w:t>
      </w:r>
      <w:r>
        <w:rPr>
          <w:rFonts w:ascii="Symbol" w:eastAsia="Symbol" w:hAnsi="Symbol" w:cs="Symbol"/>
          <w:sz w:val="22"/>
        </w:rPr>
        <w:t>-</w:t>
      </w:r>
      <w:r w:rsidRPr="0003279E">
        <w:rPr>
          <w:rFonts w:eastAsia="MS Mincho" w:cs="Arial"/>
          <w:sz w:val="22"/>
        </w:rPr>
        <w:t>25 (to 31 December), the FWO issued 139 infringement notices</w:t>
      </w:r>
      <w:r>
        <w:rPr>
          <w:rFonts w:eastAsia="MS Mincho" w:cs="Arial"/>
          <w:sz w:val="22"/>
        </w:rPr>
        <w:t xml:space="preserve"> (64+60+15). More broadly, from 2020</w:t>
      </w:r>
      <w:r>
        <w:rPr>
          <w:rFonts w:ascii="Symbol" w:eastAsia="Symbol" w:hAnsi="Symbol" w:cs="Symbol"/>
          <w:sz w:val="22"/>
        </w:rPr>
        <w:t>-</w:t>
      </w:r>
      <w:r>
        <w:rPr>
          <w:rFonts w:eastAsia="MS Mincho" w:cs="Arial"/>
          <w:sz w:val="22"/>
        </w:rPr>
        <w:t>21 to 2024</w:t>
      </w:r>
      <w:r>
        <w:rPr>
          <w:rFonts w:ascii="Symbol" w:eastAsia="Symbol" w:hAnsi="Symbol" w:cs="Symbol"/>
          <w:sz w:val="22"/>
        </w:rPr>
        <w:t>-</w:t>
      </w:r>
      <w:r>
        <w:rPr>
          <w:rFonts w:eastAsia="MS Mincho" w:cs="Arial"/>
          <w:sz w:val="22"/>
        </w:rPr>
        <w:t>25 (to 31 December), the FWO issued 223 infringement notices.</w:t>
      </w:r>
    </w:p>
    <w:p w14:paraId="691CF330" w14:textId="3048460A" w:rsidR="00D82BD0" w:rsidRDefault="00D82BD0" w:rsidP="00D82BD0">
      <w:pPr>
        <w:pStyle w:val="Source"/>
        <w:rPr>
          <w:rFonts w:eastAsia="MS Mincho" w:cs="Arial"/>
          <w:sz w:val="22"/>
        </w:rPr>
      </w:pPr>
      <w:r w:rsidRPr="000C7F36">
        <w:rPr>
          <w:rFonts w:eastAsia="MS Mincho" w:cs="Arial"/>
          <w:b/>
          <w:sz w:val="22"/>
        </w:rPr>
        <w:lastRenderedPageBreak/>
        <w:t>Enforceable undertakings:</w:t>
      </w:r>
      <w:r>
        <w:rPr>
          <w:rFonts w:eastAsia="MS Mincho" w:cs="Arial"/>
          <w:sz w:val="22"/>
        </w:rPr>
        <w:t xml:space="preserve"> </w:t>
      </w:r>
      <w:r w:rsidRPr="007D107C">
        <w:rPr>
          <w:rFonts w:eastAsia="MS Mincho" w:cs="Arial"/>
          <w:sz w:val="22"/>
        </w:rPr>
        <w:t xml:space="preserve">As seen in Row D of Table </w:t>
      </w:r>
      <w:r>
        <w:rPr>
          <w:rFonts w:eastAsia="MS Mincho" w:cs="Arial"/>
          <w:sz w:val="22"/>
        </w:rPr>
        <w:t>4</w:t>
      </w:r>
      <w:r w:rsidRPr="007D107C">
        <w:rPr>
          <w:rFonts w:eastAsia="MS Mincho" w:cs="Arial"/>
          <w:sz w:val="22"/>
        </w:rPr>
        <w:t>, the FWO</w:t>
      </w:r>
      <w:r>
        <w:rPr>
          <w:rFonts w:eastAsia="MS Mincho" w:cs="Arial"/>
          <w:sz w:val="22"/>
        </w:rPr>
        <w:t xml:space="preserve"> has not issued any enforceable undertakings in the building and construction sector.</w:t>
      </w:r>
    </w:p>
    <w:p w14:paraId="16AA6709" w14:textId="22FB1C68" w:rsidR="00D82BD0" w:rsidRPr="00D57D51" w:rsidRDefault="00D82BD0" w:rsidP="00D82BD0">
      <w:pPr>
        <w:pStyle w:val="Source"/>
        <w:rPr>
          <w:rFonts w:eastAsia="MS Mincho" w:cs="Arial"/>
          <w:sz w:val="22"/>
        </w:rPr>
      </w:pPr>
      <w:r w:rsidRPr="000C7F36">
        <w:rPr>
          <w:rFonts w:eastAsia="MS Mincho" w:cs="Arial"/>
          <w:b/>
          <w:sz w:val="22"/>
        </w:rPr>
        <w:t>Proactive matters:</w:t>
      </w:r>
      <w:r w:rsidRPr="007D107C">
        <w:rPr>
          <w:rFonts w:eastAsia="MS Mincho" w:cs="Arial"/>
          <w:i/>
          <w:iCs/>
          <w:sz w:val="22"/>
        </w:rPr>
        <w:t xml:space="preserve"> </w:t>
      </w:r>
      <w:r w:rsidRPr="007D107C">
        <w:rPr>
          <w:rFonts w:eastAsia="MS Mincho" w:cs="Arial"/>
          <w:sz w:val="22"/>
        </w:rPr>
        <w:t xml:space="preserve">Row E of Table </w:t>
      </w:r>
      <w:r>
        <w:rPr>
          <w:rFonts w:eastAsia="MS Mincho" w:cs="Arial"/>
          <w:sz w:val="22"/>
        </w:rPr>
        <w:t>4</w:t>
      </w:r>
      <w:r w:rsidRPr="007D107C">
        <w:rPr>
          <w:rFonts w:eastAsia="MS Mincho" w:cs="Arial"/>
          <w:sz w:val="22"/>
        </w:rPr>
        <w:t xml:space="preserve"> shows that the </w:t>
      </w:r>
      <w:r w:rsidRPr="00C10784">
        <w:rPr>
          <w:rFonts w:eastAsia="MS Mincho" w:cs="Arial"/>
          <w:sz w:val="22"/>
        </w:rPr>
        <w:t>FWO has undertaken</w:t>
      </w:r>
      <w:r w:rsidRPr="007D107C">
        <w:rPr>
          <w:rFonts w:eastAsia="MS Mincho" w:cs="Arial"/>
          <w:sz w:val="22"/>
        </w:rPr>
        <w:t xml:space="preserve"> </w:t>
      </w:r>
      <w:r>
        <w:rPr>
          <w:rFonts w:eastAsia="MS Mincho" w:cs="Arial"/>
          <w:sz w:val="22"/>
        </w:rPr>
        <w:t>67</w:t>
      </w:r>
      <w:r w:rsidRPr="007D107C">
        <w:rPr>
          <w:rFonts w:eastAsia="MS Mincho" w:cs="Arial"/>
          <w:sz w:val="22"/>
        </w:rPr>
        <w:t xml:space="preserve"> proactive matters from 2022</w:t>
      </w:r>
      <w:r w:rsidR="002B1057">
        <w:rPr>
          <w:rFonts w:ascii="Symbol" w:eastAsia="Symbol" w:hAnsi="Symbol" w:cs="Symbol"/>
          <w:sz w:val="22"/>
        </w:rPr>
        <w:sym w:font="Symbol" w:char="F02D"/>
      </w:r>
      <w:r w:rsidRPr="007D107C">
        <w:rPr>
          <w:rFonts w:eastAsia="MS Mincho" w:cs="Arial"/>
          <w:sz w:val="22"/>
        </w:rPr>
        <w:t>23 to 2024</w:t>
      </w:r>
      <w:r w:rsidR="002B1057">
        <w:rPr>
          <w:rFonts w:ascii="Symbol" w:eastAsia="Symbol" w:hAnsi="Symbol" w:cs="Symbol"/>
          <w:sz w:val="22"/>
        </w:rPr>
        <w:sym w:font="Symbol" w:char="F02D"/>
      </w:r>
      <w:r w:rsidRPr="007D107C">
        <w:rPr>
          <w:rFonts w:eastAsia="MS Mincho" w:cs="Arial"/>
          <w:sz w:val="22"/>
        </w:rPr>
        <w:t xml:space="preserve">25 (to 31 December) </w:t>
      </w:r>
      <w:r>
        <w:rPr>
          <w:rFonts w:eastAsia="MS Mincho" w:cs="Arial"/>
          <w:sz w:val="22"/>
        </w:rPr>
        <w:t>(19+32+16)</w:t>
      </w:r>
      <w:r w:rsidR="00BF2A73">
        <w:rPr>
          <w:rFonts w:eastAsia="MS Mincho" w:cs="Arial"/>
          <w:sz w:val="22"/>
        </w:rPr>
        <w:t>.</w:t>
      </w:r>
      <w:r>
        <w:rPr>
          <w:rFonts w:eastAsia="MS Mincho" w:cs="Arial"/>
          <w:sz w:val="22"/>
        </w:rPr>
        <w:t xml:space="preserve"> More broadly, from 2020</w:t>
      </w:r>
      <w:r w:rsidR="002B1057">
        <w:rPr>
          <w:rFonts w:ascii="Symbol" w:eastAsia="Symbol" w:hAnsi="Symbol" w:cs="Symbol"/>
          <w:sz w:val="22"/>
        </w:rPr>
        <w:sym w:font="Symbol" w:char="F02D"/>
      </w:r>
      <w:r>
        <w:rPr>
          <w:rFonts w:eastAsia="MS Mincho" w:cs="Arial"/>
          <w:sz w:val="22"/>
        </w:rPr>
        <w:t>21 to 2024</w:t>
      </w:r>
      <w:r w:rsidR="002B1057">
        <w:rPr>
          <w:rFonts w:ascii="Symbol" w:eastAsia="Symbol" w:hAnsi="Symbol" w:cs="Symbol"/>
          <w:sz w:val="22"/>
        </w:rPr>
        <w:sym w:font="Symbol" w:char="F02D"/>
      </w:r>
      <w:r>
        <w:rPr>
          <w:rFonts w:eastAsia="MS Mincho" w:cs="Arial"/>
          <w:sz w:val="22"/>
        </w:rPr>
        <w:t>25</w:t>
      </w:r>
      <w:r w:rsidR="00F87AA4">
        <w:rPr>
          <w:rFonts w:eastAsia="MS Mincho" w:cs="Arial"/>
          <w:sz w:val="22"/>
        </w:rPr>
        <w:t xml:space="preserve"> (to 31 December)</w:t>
      </w:r>
      <w:r>
        <w:rPr>
          <w:rFonts w:eastAsia="MS Mincho" w:cs="Arial"/>
          <w:sz w:val="22"/>
        </w:rPr>
        <w:t>, the FWO has undertaken 1</w:t>
      </w:r>
      <w:r w:rsidR="00BF2A73">
        <w:rPr>
          <w:rFonts w:eastAsia="MS Mincho" w:cs="Arial"/>
          <w:sz w:val="22"/>
        </w:rPr>
        <w:t>90</w:t>
      </w:r>
      <w:r>
        <w:rPr>
          <w:rFonts w:eastAsia="MS Mincho" w:cs="Arial"/>
          <w:sz w:val="22"/>
        </w:rPr>
        <w:t xml:space="preserve"> proactive matters.</w:t>
      </w:r>
    </w:p>
    <w:p w14:paraId="223F7BA5" w14:textId="3874CF9C" w:rsidR="00D82BD0" w:rsidRPr="00D57D51" w:rsidRDefault="00D82BD0" w:rsidP="00D82BD0">
      <w:pPr>
        <w:rPr>
          <w:rFonts w:eastAsia="MS Mincho" w:cs="Arial"/>
        </w:rPr>
      </w:pPr>
      <w:r w:rsidRPr="000C7F36">
        <w:rPr>
          <w:rFonts w:eastAsia="MS Mincho" w:cs="Arial"/>
          <w:b/>
        </w:rPr>
        <w:t>Site inspections:</w:t>
      </w:r>
      <w:r w:rsidRPr="00723EEE">
        <w:rPr>
          <w:rFonts w:eastAsia="MS Mincho" w:cs="Arial"/>
          <w:i/>
          <w:iCs/>
        </w:rPr>
        <w:t xml:space="preserve"> </w:t>
      </w:r>
      <w:r w:rsidRPr="00723EEE">
        <w:rPr>
          <w:rFonts w:eastAsia="MS Mincho" w:cs="Arial"/>
        </w:rPr>
        <w:t>Row F of Table 4 shows</w:t>
      </w:r>
      <w:r>
        <w:rPr>
          <w:rFonts w:eastAsia="MS Mincho" w:cs="Arial"/>
        </w:rPr>
        <w:t xml:space="preserve"> that the FWO </w:t>
      </w:r>
      <w:r w:rsidRPr="00C10784">
        <w:rPr>
          <w:rFonts w:eastAsia="MS Mincho" w:cs="Arial"/>
        </w:rPr>
        <w:t>has undertaken</w:t>
      </w:r>
      <w:r>
        <w:rPr>
          <w:rFonts w:eastAsia="MS Mincho" w:cs="Arial"/>
        </w:rPr>
        <w:t xml:space="preserve"> 76 site inspections in the building and construction sector from 2023</w:t>
      </w:r>
      <w:r w:rsidR="002B1057">
        <w:rPr>
          <w:rFonts w:ascii="Symbol" w:eastAsia="Symbol" w:hAnsi="Symbol" w:cs="Symbol"/>
        </w:rPr>
        <w:t>-</w:t>
      </w:r>
      <w:r>
        <w:rPr>
          <w:rFonts w:eastAsia="MS Mincho" w:cs="Arial"/>
        </w:rPr>
        <w:t>24 to 2024</w:t>
      </w:r>
      <w:r w:rsidR="002B1057">
        <w:rPr>
          <w:rFonts w:ascii="Symbol" w:eastAsia="Symbol" w:hAnsi="Symbol" w:cs="Symbol"/>
        </w:rPr>
        <w:t>-</w:t>
      </w:r>
      <w:r>
        <w:rPr>
          <w:rFonts w:eastAsia="MS Mincho" w:cs="Arial"/>
        </w:rPr>
        <w:t>25 (to 31 December 2024). The FWO chose only to undertake site visits when they were considered important in advancing an investigation. In contrast, t</w:t>
      </w:r>
      <w:r w:rsidRPr="396ABCA7">
        <w:rPr>
          <w:rFonts w:eastAsia="MS Mincho" w:cs="Arial"/>
        </w:rPr>
        <w:t>he ABCC</w:t>
      </w:r>
      <w:r w:rsidR="00F647AF">
        <w:rPr>
          <w:rFonts w:eastAsia="MS Mincho" w:cs="Arial"/>
        </w:rPr>
        <w:t xml:space="preserve"> considered site visits important in themselves and</w:t>
      </w:r>
      <w:r w:rsidRPr="396ABCA7">
        <w:rPr>
          <w:rFonts w:eastAsia="MS Mincho" w:cs="Arial"/>
        </w:rPr>
        <w:t xml:space="preserve"> had a key performance indicator relating to </w:t>
      </w:r>
      <w:r w:rsidRPr="00723EEE">
        <w:rPr>
          <w:rFonts w:eastAsia="MS Mincho" w:cs="Arial"/>
        </w:rPr>
        <w:t xml:space="preserve">such visits. Row </w:t>
      </w:r>
      <w:r w:rsidR="009978C8">
        <w:rPr>
          <w:rFonts w:eastAsia="MS Mincho" w:cs="Arial"/>
        </w:rPr>
        <w:t>C</w:t>
      </w:r>
      <w:r w:rsidR="009978C8" w:rsidRPr="00723EEE">
        <w:rPr>
          <w:rFonts w:eastAsia="MS Mincho" w:cs="Arial"/>
        </w:rPr>
        <w:t xml:space="preserve"> </w:t>
      </w:r>
      <w:r w:rsidRPr="00723EEE">
        <w:rPr>
          <w:rFonts w:eastAsia="MS Mincho" w:cs="Arial"/>
        </w:rPr>
        <w:t>of Table 5</w:t>
      </w:r>
      <w:r>
        <w:rPr>
          <w:rFonts w:eastAsia="MS Mincho" w:cs="Arial"/>
        </w:rPr>
        <w:t xml:space="preserve"> shows that the ABCC </w:t>
      </w:r>
      <w:r w:rsidRPr="396ABCA7">
        <w:rPr>
          <w:rFonts w:eastAsia="MS Mincho" w:cs="Arial"/>
        </w:rPr>
        <w:t>undert</w:t>
      </w:r>
      <w:r>
        <w:rPr>
          <w:rFonts w:eastAsia="MS Mincho" w:cs="Arial"/>
        </w:rPr>
        <w:t>ook a total of</w:t>
      </w:r>
      <w:r w:rsidRPr="396ABCA7">
        <w:rPr>
          <w:rFonts w:eastAsia="MS Mincho" w:cs="Arial"/>
        </w:rPr>
        <w:t xml:space="preserve"> </w:t>
      </w:r>
      <w:r w:rsidR="00D82171">
        <w:rPr>
          <w:rFonts w:eastAsia="MS Mincho" w:cs="Arial"/>
        </w:rPr>
        <w:t>7,750</w:t>
      </w:r>
      <w:r>
        <w:rPr>
          <w:rFonts w:eastAsia="MS Mincho" w:cs="Arial"/>
        </w:rPr>
        <w:t xml:space="preserve"> site visits from </w:t>
      </w:r>
      <w:r w:rsidR="00D82171">
        <w:rPr>
          <w:rFonts w:eastAsia="MS Mincho" w:cs="Arial"/>
        </w:rPr>
        <w:t>2016–17</w:t>
      </w:r>
      <w:r>
        <w:rPr>
          <w:rFonts w:eastAsia="MS Mincho" w:cs="Arial"/>
        </w:rPr>
        <w:t xml:space="preserve"> to 2021</w:t>
      </w:r>
      <w:r w:rsidR="002B1057">
        <w:rPr>
          <w:rFonts w:ascii="Symbol" w:eastAsia="Symbol" w:hAnsi="Symbol" w:cs="Symbol"/>
        </w:rPr>
        <w:t>-</w:t>
      </w:r>
      <w:r>
        <w:rPr>
          <w:rFonts w:eastAsia="MS Mincho" w:cs="Arial"/>
        </w:rPr>
        <w:t>22.</w:t>
      </w:r>
    </w:p>
    <w:p w14:paraId="78772555" w14:textId="767368E5" w:rsidR="00D82BD0" w:rsidRPr="006664F6" w:rsidRDefault="00D82BD0" w:rsidP="00D82BD0">
      <w:pPr>
        <w:rPr>
          <w:rFonts w:eastAsia="MS Mincho" w:cs="Arial"/>
        </w:rPr>
      </w:pPr>
      <w:r w:rsidRPr="000C7F36">
        <w:rPr>
          <w:rFonts w:eastAsia="MS Mincho" w:cs="Arial"/>
          <w:b/>
        </w:rPr>
        <w:t>Litigations:</w:t>
      </w:r>
      <w:r>
        <w:rPr>
          <w:rFonts w:eastAsia="MS Mincho" w:cs="Arial"/>
        </w:rPr>
        <w:t xml:space="preserve"> B</w:t>
      </w:r>
      <w:r w:rsidRPr="396ABCA7">
        <w:rPr>
          <w:rFonts w:eastAsia="MS Mincho" w:cs="Arial"/>
        </w:rPr>
        <w:t>etween 2020</w:t>
      </w:r>
      <w:r w:rsidRPr="396ABCA7">
        <w:rPr>
          <w:rFonts w:ascii="Symbol" w:eastAsia="Symbol" w:hAnsi="Symbol" w:cs="Symbol"/>
        </w:rPr>
        <w:t>-</w:t>
      </w:r>
      <w:r w:rsidRPr="396ABCA7">
        <w:rPr>
          <w:rFonts w:eastAsia="MS Mincho" w:cs="Arial"/>
        </w:rPr>
        <w:t>21 and 2024</w:t>
      </w:r>
      <w:r w:rsidRPr="396ABCA7">
        <w:rPr>
          <w:rFonts w:ascii="Symbol" w:eastAsia="Symbol" w:hAnsi="Symbol" w:cs="Symbol"/>
        </w:rPr>
        <w:t>-</w:t>
      </w:r>
      <w:r w:rsidRPr="396ABCA7">
        <w:rPr>
          <w:rFonts w:eastAsia="MS Mincho" w:cs="Arial"/>
        </w:rPr>
        <w:t xml:space="preserve">25 (to 31 </w:t>
      </w:r>
      <w:r>
        <w:rPr>
          <w:rFonts w:eastAsia="MS Mincho" w:cs="Arial"/>
        </w:rPr>
        <w:t>December</w:t>
      </w:r>
      <w:r w:rsidRPr="396ABCA7">
        <w:rPr>
          <w:rFonts w:eastAsia="MS Mincho" w:cs="Arial"/>
        </w:rPr>
        <w:t xml:space="preserve"> 2024), the FWO commenced 5</w:t>
      </w:r>
      <w:r>
        <w:rPr>
          <w:rFonts w:eastAsia="MS Mincho" w:cs="Arial"/>
        </w:rPr>
        <w:t>7</w:t>
      </w:r>
      <w:r w:rsidRPr="396ABCA7">
        <w:rPr>
          <w:rFonts w:eastAsia="MS Mincho" w:cs="Arial"/>
        </w:rPr>
        <w:t xml:space="preserve"> litigations and </w:t>
      </w:r>
      <w:r w:rsidRPr="006664F6">
        <w:rPr>
          <w:rFonts w:eastAsia="MS Mincho" w:cs="Arial"/>
        </w:rPr>
        <w:t>secured $3.2 million in court-ordered penalties in the building and construction sector (see Rows G and H of Table 4). Since 2022</w:t>
      </w:r>
      <w:r w:rsidR="002B1057">
        <w:rPr>
          <w:rFonts w:ascii="Symbol" w:eastAsia="Symbol" w:hAnsi="Symbol" w:cs="Symbol"/>
        </w:rPr>
        <w:sym w:font="Symbol" w:char="F02D"/>
      </w:r>
      <w:r w:rsidRPr="006664F6">
        <w:rPr>
          <w:rFonts w:eastAsia="MS Mincho" w:cs="Arial"/>
        </w:rPr>
        <w:t>23 (to December 2024), the FWO has commenced 36 litigations and secured $3.0 million in court</w:t>
      </w:r>
      <w:r w:rsidR="002B1057">
        <w:rPr>
          <w:rFonts w:eastAsia="MS Mincho" w:cs="Arial"/>
        </w:rPr>
        <w:t>-</w:t>
      </w:r>
      <w:r w:rsidRPr="006664F6">
        <w:rPr>
          <w:rFonts w:eastAsia="MS Mincho" w:cs="Arial"/>
        </w:rPr>
        <w:t>ordered penalties. This timeframe includes the period in which the FWO has been responsible for the entire building and construction sector.</w:t>
      </w:r>
    </w:p>
    <w:p w14:paraId="0DE01728" w14:textId="23E16B9D" w:rsidR="00D82BD0" w:rsidRPr="006664F6" w:rsidRDefault="00D82BD0" w:rsidP="00D82BD0">
      <w:pPr>
        <w:rPr>
          <w:rFonts w:eastAsia="MS Mincho" w:cs="Arial"/>
        </w:rPr>
      </w:pPr>
      <w:r w:rsidRPr="006664F6">
        <w:rPr>
          <w:rFonts w:eastAsia="MS Mincho" w:cs="Arial"/>
        </w:rPr>
        <w:t xml:space="preserve">The ABCC </w:t>
      </w:r>
      <w:r w:rsidRPr="002773D7">
        <w:rPr>
          <w:rFonts w:eastAsia="MS Mincho" w:cs="Arial"/>
          <w:i/>
          <w:iCs/>
        </w:rPr>
        <w:t>Annual Report 2021</w:t>
      </w:r>
      <w:r w:rsidR="00270906">
        <w:rPr>
          <w:rFonts w:ascii="Symbol" w:eastAsia="Symbol" w:hAnsi="Symbol" w:cs="Symbol"/>
        </w:rPr>
        <w:t>-</w:t>
      </w:r>
      <w:r w:rsidRPr="002773D7">
        <w:rPr>
          <w:rFonts w:eastAsia="MS Mincho" w:cs="Arial"/>
          <w:i/>
          <w:iCs/>
        </w:rPr>
        <w:t>22</w:t>
      </w:r>
      <w:r w:rsidRPr="006664F6">
        <w:rPr>
          <w:rFonts w:eastAsia="MS Mincho" w:cs="Arial"/>
        </w:rPr>
        <w:t xml:space="preserve"> outlines that</w:t>
      </w:r>
      <w:r w:rsidR="002B1057">
        <w:rPr>
          <w:rFonts w:eastAsia="MS Mincho" w:cs="Arial"/>
        </w:rPr>
        <w:t>,</w:t>
      </w:r>
      <w:r w:rsidRPr="006664F6">
        <w:rPr>
          <w:rFonts w:eastAsia="MS Mincho" w:cs="Arial"/>
        </w:rPr>
        <w:t xml:space="preserve"> from 2 December 2016 to the end of the 2021</w:t>
      </w:r>
      <w:r w:rsidRPr="006664F6">
        <w:rPr>
          <w:rFonts w:ascii="Symbol" w:eastAsia="Symbol" w:hAnsi="Symbol" w:cs="Symbol"/>
        </w:rPr>
        <w:t>-</w:t>
      </w:r>
      <w:r w:rsidRPr="006664F6">
        <w:rPr>
          <w:rFonts w:eastAsia="MS Mincho" w:cs="Arial"/>
        </w:rPr>
        <w:t>22 financial year, the ABCC finalised 110 ‘court proceedings’, resulting in a total of $17,330,718 in court-ordered penalties.</w:t>
      </w:r>
      <w:r w:rsidRPr="006664F6">
        <w:rPr>
          <w:rStyle w:val="FootnoteReference"/>
          <w:rFonts w:eastAsia="MS Mincho" w:cs="Arial"/>
        </w:rPr>
        <w:footnoteReference w:id="64"/>
      </w:r>
      <w:r w:rsidRPr="006664F6">
        <w:rPr>
          <w:rFonts w:eastAsia="MS Mincho" w:cs="Arial"/>
        </w:rPr>
        <w:t xml:space="preserve"> The ABCC finalised a further </w:t>
      </w:r>
      <w:r w:rsidR="002B1057">
        <w:rPr>
          <w:rFonts w:eastAsia="MS Mincho" w:cs="Arial"/>
        </w:rPr>
        <w:t xml:space="preserve">eight </w:t>
      </w:r>
      <w:r w:rsidRPr="006664F6">
        <w:rPr>
          <w:rFonts w:eastAsia="MS Mincho" w:cs="Arial"/>
        </w:rPr>
        <w:t>proceedings in 2022</w:t>
      </w:r>
      <w:r w:rsidRPr="006664F6">
        <w:rPr>
          <w:rFonts w:ascii="Symbol" w:eastAsia="Symbol" w:hAnsi="Symbol" w:cs="Symbol"/>
        </w:rPr>
        <w:t>-</w:t>
      </w:r>
      <w:r w:rsidRPr="006664F6">
        <w:rPr>
          <w:rFonts w:eastAsia="MS Mincho" w:cs="Arial"/>
        </w:rPr>
        <w:t>23.</w:t>
      </w:r>
      <w:r w:rsidRPr="006664F6">
        <w:rPr>
          <w:rStyle w:val="FootnoteReference"/>
          <w:rFonts w:eastAsia="MS Mincho" w:cs="Arial"/>
        </w:rPr>
        <w:footnoteReference w:id="65"/>
      </w:r>
    </w:p>
    <w:p w14:paraId="68E514F2" w14:textId="79446964" w:rsidR="00D82BD0" w:rsidRDefault="00D82BD0" w:rsidP="00D82BD0">
      <w:pPr>
        <w:rPr>
          <w:rFonts w:eastAsia="MS Mincho" w:cs="Arial"/>
        </w:rPr>
      </w:pPr>
      <w:r w:rsidRPr="006664F6">
        <w:rPr>
          <w:rFonts w:eastAsia="MS Mincho" w:cs="Arial"/>
        </w:rPr>
        <w:t>The Review Panel also notes that, as shown in Row I of Table 4, from 2022</w:t>
      </w:r>
      <w:r w:rsidR="002B1057">
        <w:rPr>
          <w:rFonts w:ascii="Symbol" w:eastAsia="Symbol" w:hAnsi="Symbol" w:cs="Symbol"/>
        </w:rPr>
        <w:sym w:font="Symbol" w:char="F02D"/>
      </w:r>
      <w:r w:rsidRPr="006664F6">
        <w:rPr>
          <w:rFonts w:eastAsia="MS Mincho" w:cs="Arial"/>
        </w:rPr>
        <w:t>23 to 2024</w:t>
      </w:r>
      <w:r w:rsidR="002B1057">
        <w:rPr>
          <w:rFonts w:ascii="Symbol" w:eastAsia="Symbol" w:hAnsi="Symbol" w:cs="Symbol"/>
        </w:rPr>
        <w:sym w:font="Symbol" w:char="F02D"/>
      </w:r>
      <w:r w:rsidRPr="006664F6">
        <w:rPr>
          <w:rFonts w:eastAsia="MS Mincho" w:cs="Arial"/>
        </w:rPr>
        <w:t>25 (to 31 December), the FWO completed 6,017 total matters in the building</w:t>
      </w:r>
      <w:r>
        <w:rPr>
          <w:rFonts w:eastAsia="MS Mincho" w:cs="Arial"/>
        </w:rPr>
        <w:t xml:space="preserve"> and construction sector (2,089+2,543+1,385). More broadly, from 2020</w:t>
      </w:r>
      <w:r w:rsidR="002B1057">
        <w:rPr>
          <w:rFonts w:ascii="Symbol" w:eastAsia="Symbol" w:hAnsi="Symbol" w:cs="Symbol"/>
        </w:rPr>
        <w:sym w:font="Symbol" w:char="F02D"/>
      </w:r>
      <w:r>
        <w:rPr>
          <w:rFonts w:eastAsia="MS Mincho" w:cs="Arial"/>
        </w:rPr>
        <w:t>21 to 2024</w:t>
      </w:r>
      <w:r w:rsidR="002B1057">
        <w:rPr>
          <w:rFonts w:ascii="Symbol" w:eastAsia="Symbol" w:hAnsi="Symbol" w:cs="Symbol"/>
        </w:rPr>
        <w:sym w:font="Symbol" w:char="F02D"/>
      </w:r>
      <w:r>
        <w:rPr>
          <w:rFonts w:eastAsia="MS Mincho" w:cs="Arial"/>
        </w:rPr>
        <w:t>25 (to 31 December) the FWO completed 10,927 total matters in the building and construction sector.</w:t>
      </w:r>
    </w:p>
    <w:p w14:paraId="376189B1" w14:textId="38ED9507" w:rsidR="00D82BD0" w:rsidRPr="00167CB8" w:rsidRDefault="00D82BD0" w:rsidP="00D82BD0">
      <w:pPr>
        <w:rPr>
          <w:rFonts w:eastAsia="MS Mincho" w:cs="Arial"/>
        </w:rPr>
      </w:pPr>
      <w:r w:rsidRPr="396ABCA7">
        <w:rPr>
          <w:rFonts w:eastAsia="MS Mincho" w:cs="Arial"/>
        </w:rPr>
        <w:t>Court proceedings and wage matters were also transferred from the ABCC to the FWO, with the FWO taking carriage of all ABCC court proceedings on 6 December 2022. This resulted in 41 matters being transferred from the ABCC to the FWO.</w:t>
      </w:r>
      <w:r w:rsidRPr="396ABCA7">
        <w:rPr>
          <w:rFonts w:eastAsia="MS Mincho" w:cs="Arial"/>
          <w:vertAlign w:val="superscript"/>
        </w:rPr>
        <w:footnoteReference w:id="66"/>
      </w:r>
      <w:r w:rsidRPr="396ABCA7">
        <w:rPr>
          <w:rFonts w:eastAsia="MS Mincho" w:cs="Arial"/>
        </w:rPr>
        <w:t xml:space="preserve"> Of these matters,</w:t>
      </w:r>
      <w:r>
        <w:rPr>
          <w:rFonts w:eastAsia="MS Mincho" w:cs="Arial"/>
        </w:rPr>
        <w:t xml:space="preserve"> as at 31 December 2024,</w:t>
      </w:r>
      <w:r w:rsidRPr="396ABCA7">
        <w:rPr>
          <w:rFonts w:eastAsia="MS Mincho" w:cs="Arial"/>
        </w:rPr>
        <w:t xml:space="preserve"> 39 </w:t>
      </w:r>
      <w:r>
        <w:rPr>
          <w:rFonts w:eastAsia="MS Mincho" w:cs="Arial"/>
        </w:rPr>
        <w:t>cases</w:t>
      </w:r>
      <w:r w:rsidRPr="396ABCA7">
        <w:rPr>
          <w:rFonts w:eastAsia="MS Mincho" w:cs="Arial"/>
        </w:rPr>
        <w:t xml:space="preserve"> have been finalised (of which </w:t>
      </w:r>
      <w:r>
        <w:rPr>
          <w:rFonts w:eastAsia="MS Mincho" w:cs="Arial"/>
        </w:rPr>
        <w:t>nine</w:t>
      </w:r>
      <w:r w:rsidRPr="396ABCA7">
        <w:rPr>
          <w:rFonts w:eastAsia="MS Mincho" w:cs="Arial"/>
        </w:rPr>
        <w:t xml:space="preserve"> have been wholly discontinued by the FWO) and </w:t>
      </w:r>
      <w:r>
        <w:rPr>
          <w:rFonts w:eastAsia="MS Mincho" w:cs="Arial"/>
        </w:rPr>
        <w:t xml:space="preserve">two </w:t>
      </w:r>
      <w:r w:rsidRPr="396ABCA7">
        <w:rPr>
          <w:rFonts w:eastAsia="MS Mincho" w:cs="Arial"/>
        </w:rPr>
        <w:t>remain before the courts. Of the transferred cases that have been finalised, the FWO has recovered penalties that total $3,668,466.</w:t>
      </w:r>
    </w:p>
    <w:p w14:paraId="33EC15DB" w14:textId="77777777" w:rsidR="00D82BD0" w:rsidRPr="00167CB8" w:rsidRDefault="00D82BD0" w:rsidP="00D82BD0">
      <w:pPr>
        <w:rPr>
          <w:rFonts w:eastAsia="MS Mincho" w:cs="Arial"/>
        </w:rPr>
      </w:pPr>
      <w:r w:rsidRPr="00167CB8">
        <w:rPr>
          <w:rFonts w:eastAsia="MS Mincho" w:cs="Arial"/>
        </w:rPr>
        <w:t xml:space="preserve">In addition to these court proceedings, 31 matters relating to wages and entitlements were transferred to the FWO from the ABCC. </w:t>
      </w:r>
      <w:r>
        <w:rPr>
          <w:rFonts w:eastAsia="MS Mincho" w:cs="Arial"/>
        </w:rPr>
        <w:t xml:space="preserve">Thirty </w:t>
      </w:r>
      <w:r w:rsidRPr="00167CB8">
        <w:rPr>
          <w:rFonts w:eastAsia="MS Mincho" w:cs="Arial"/>
        </w:rPr>
        <w:t>of these matters have been finalised, resulting in $85,428 recovered.</w:t>
      </w:r>
    </w:p>
    <w:p w14:paraId="030F4223" w14:textId="2DCDF559" w:rsidR="00D82BD0" w:rsidRDefault="00D82BD0" w:rsidP="00D82BD0">
      <w:pPr>
        <w:rPr>
          <w:rFonts w:eastAsia="MS Mincho" w:cs="Arial"/>
        </w:rPr>
      </w:pPr>
      <w:r w:rsidRPr="002E5AEC">
        <w:rPr>
          <w:rFonts w:eastAsia="MS Mincho" w:cs="Arial"/>
        </w:rPr>
        <w:t xml:space="preserve">As of 21 February 2025 the FWO has also commenced two litigations against the </w:t>
      </w:r>
      <w:r w:rsidR="007F2D9E" w:rsidRPr="007F2D9E">
        <w:rPr>
          <w:rFonts w:eastAsia="MS Mincho" w:cs="Arial"/>
        </w:rPr>
        <w:t>Construction, Forestry, Maritime, Mining and Energy Union (</w:t>
      </w:r>
      <w:r w:rsidRPr="007F2D9E">
        <w:rPr>
          <w:rFonts w:eastAsia="MS Mincho" w:cs="Arial"/>
        </w:rPr>
        <w:t>CFMEU</w:t>
      </w:r>
      <w:r w:rsidR="007F2D9E" w:rsidRPr="007F2D9E">
        <w:rPr>
          <w:rFonts w:eastAsia="MS Mincho" w:cs="Arial"/>
        </w:rPr>
        <w:t>)</w:t>
      </w:r>
      <w:r w:rsidRPr="007F2D9E">
        <w:rPr>
          <w:rFonts w:eastAsia="MS Mincho" w:cs="Arial"/>
        </w:rPr>
        <w:t xml:space="preserve"> and its officials</w:t>
      </w:r>
      <w:r w:rsidRPr="002E5AEC">
        <w:rPr>
          <w:rFonts w:eastAsia="MS Mincho" w:cs="Arial"/>
        </w:rPr>
        <w:t xml:space="preserve"> since the transfer of responsibility for the commercial building and construction sector. </w:t>
      </w:r>
      <w:r w:rsidRPr="00F46E84">
        <w:rPr>
          <w:rFonts w:eastAsia="MS Mincho" w:cs="Arial"/>
        </w:rPr>
        <w:t xml:space="preserve">These are discussed </w:t>
      </w:r>
      <w:r w:rsidRPr="00C10784">
        <w:rPr>
          <w:rFonts w:eastAsia="MS Mincho" w:cs="Arial"/>
        </w:rPr>
        <w:t xml:space="preserve">in detail in </w:t>
      </w:r>
      <w:r w:rsidR="00C10784" w:rsidRPr="00A96ADF">
        <w:rPr>
          <w:rFonts w:eastAsia="MS Mincho" w:cs="Arial"/>
        </w:rPr>
        <w:t xml:space="preserve">section </w:t>
      </w:r>
      <w:r w:rsidRPr="00C10784">
        <w:rPr>
          <w:rFonts w:eastAsia="MS Mincho" w:cs="Arial"/>
        </w:rPr>
        <w:t>4.2.2.</w:t>
      </w:r>
    </w:p>
    <w:p w14:paraId="14AFBCA4" w14:textId="77777777" w:rsidR="00B96E94" w:rsidRDefault="00B96E94" w:rsidP="00B96E94">
      <w:pPr>
        <w:rPr>
          <w:rFonts w:eastAsia="MS Mincho" w:cs="Arial"/>
        </w:rPr>
      </w:pPr>
      <w:r>
        <w:rPr>
          <w:rFonts w:eastAsia="MS Mincho" w:cs="Arial"/>
        </w:rPr>
        <w:lastRenderedPageBreak/>
        <w:t>Broadly consistent (but not perfectly comparable) data for the ABCC’s compliance and enforcement work in the commercial building and construction sector, including investigations and litigations, is provided in Table 5.</w:t>
      </w:r>
    </w:p>
    <w:p w14:paraId="34E49680" w14:textId="7D7D1D4F" w:rsidR="00B96E94" w:rsidRPr="00167CB8" w:rsidRDefault="00B96E94" w:rsidP="00B96E94">
      <w:pPr>
        <w:pStyle w:val="Caption"/>
      </w:pPr>
      <w:bookmarkStart w:id="68" w:name="_Toc194251429"/>
      <w:r>
        <w:t xml:space="preserve">Table </w:t>
      </w:r>
      <w:r>
        <w:fldChar w:fldCharType="begin"/>
      </w:r>
      <w:r>
        <w:instrText xml:space="preserve"> SEQ Table \* ARABIC </w:instrText>
      </w:r>
      <w:r>
        <w:fldChar w:fldCharType="separate"/>
      </w:r>
      <w:r w:rsidR="00DE5F5E">
        <w:rPr>
          <w:noProof/>
        </w:rPr>
        <w:t>5</w:t>
      </w:r>
      <w:r>
        <w:fldChar w:fldCharType="end"/>
      </w:r>
      <w:r>
        <w:t xml:space="preserve">: Australian Building and Construction Commission compliance and enforcement work in the </w:t>
      </w:r>
      <w:r w:rsidRPr="00167CB8">
        <w:t>building and construction sector</w:t>
      </w:r>
      <w:r>
        <w:t>, 2016</w:t>
      </w:r>
      <w:r>
        <w:rPr>
          <w:rFonts w:ascii="Symbol" w:eastAsia="Symbol" w:hAnsi="Symbol" w:cs="Symbol"/>
        </w:rPr>
        <w:t>-</w:t>
      </w:r>
      <w:r>
        <w:t>17 to 2022</w:t>
      </w:r>
      <w:r>
        <w:rPr>
          <w:rFonts w:ascii="Symbol" w:eastAsia="Symbol" w:hAnsi="Symbol" w:cs="Symbol"/>
        </w:rPr>
        <w:t>-</w:t>
      </w:r>
      <w:r>
        <w:t>23</w:t>
      </w:r>
      <w:bookmarkEnd w:id="68"/>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6"/>
        <w:gridCol w:w="1701"/>
        <w:gridCol w:w="1032"/>
        <w:gridCol w:w="891"/>
        <w:gridCol w:w="891"/>
        <w:gridCol w:w="891"/>
        <w:gridCol w:w="891"/>
        <w:gridCol w:w="891"/>
        <w:gridCol w:w="891"/>
        <w:gridCol w:w="709"/>
      </w:tblGrid>
      <w:tr w:rsidR="00B96E94" w:rsidRPr="000C7F36" w14:paraId="6F5B2D1C" w14:textId="77777777" w:rsidTr="00BA2F33">
        <w:trPr>
          <w:cantSplit/>
          <w:trHeight w:val="20"/>
        </w:trPr>
        <w:tc>
          <w:tcPr>
            <w:tcW w:w="426" w:type="dxa"/>
            <w:tcBorders>
              <w:top w:val="single" w:sz="4" w:space="0" w:color="auto"/>
              <w:left w:val="single" w:sz="4" w:space="0" w:color="auto"/>
              <w:bottom w:val="single" w:sz="4" w:space="0" w:color="auto"/>
              <w:right w:val="single" w:sz="4" w:space="0" w:color="auto"/>
            </w:tcBorders>
            <w:vAlign w:val="center"/>
          </w:tcPr>
          <w:p w14:paraId="406E8BCF" w14:textId="77777777" w:rsidR="00B96E94" w:rsidRPr="000C7F36" w:rsidRDefault="00B96E94">
            <w:pPr>
              <w:spacing w:after="0"/>
              <w:rPr>
                <w:b/>
                <w:sz w:val="18"/>
                <w:szCs w:val="18"/>
              </w:rPr>
            </w:pPr>
            <w:r w:rsidRPr="000C7F36">
              <w:rPr>
                <w:b/>
                <w:sz w:val="18"/>
                <w:szCs w:val="18"/>
              </w:rPr>
              <w:t>Row</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F65FD6" w14:textId="77777777" w:rsidR="00B96E94" w:rsidRPr="000C7F36" w:rsidRDefault="00B96E94">
            <w:pPr>
              <w:spacing w:after="0"/>
              <w:rPr>
                <w:b/>
                <w:sz w:val="18"/>
                <w:szCs w:val="18"/>
              </w:rPr>
            </w:pPr>
            <w:r w:rsidRPr="000C7F36">
              <w:rPr>
                <w:b/>
                <w:sz w:val="18"/>
                <w:szCs w:val="18"/>
              </w:rPr>
              <w:t>ABCC measures</w:t>
            </w:r>
          </w:p>
        </w:tc>
        <w:tc>
          <w:tcPr>
            <w:tcW w:w="1032" w:type="dxa"/>
            <w:tcBorders>
              <w:top w:val="single" w:sz="4" w:space="0" w:color="auto"/>
              <w:left w:val="single" w:sz="4" w:space="0" w:color="auto"/>
              <w:bottom w:val="single" w:sz="4" w:space="0" w:color="auto"/>
              <w:right w:val="single" w:sz="4" w:space="0" w:color="auto"/>
            </w:tcBorders>
            <w:vAlign w:val="center"/>
          </w:tcPr>
          <w:p w14:paraId="65C77433" w14:textId="77777777" w:rsidR="00B96E94" w:rsidRPr="000C7F36" w:rsidRDefault="00B96E94">
            <w:pPr>
              <w:spacing w:after="0"/>
              <w:rPr>
                <w:b/>
                <w:sz w:val="18"/>
                <w:szCs w:val="18"/>
              </w:rPr>
            </w:pPr>
            <w:r w:rsidRPr="000C7F36">
              <w:rPr>
                <w:b/>
                <w:sz w:val="18"/>
                <w:szCs w:val="18"/>
              </w:rPr>
              <w:t>2016-17</w:t>
            </w:r>
            <w:r w:rsidRPr="000C7F36">
              <w:rPr>
                <w:b/>
                <w:sz w:val="18"/>
                <w:szCs w:val="18"/>
                <w:vertAlign w:val="superscript"/>
              </w:rPr>
              <w:footnoteReference w:id="67"/>
            </w:r>
          </w:p>
        </w:tc>
        <w:tc>
          <w:tcPr>
            <w:tcW w:w="891" w:type="dxa"/>
            <w:tcBorders>
              <w:top w:val="single" w:sz="4" w:space="0" w:color="auto"/>
              <w:left w:val="single" w:sz="4" w:space="0" w:color="auto"/>
              <w:bottom w:val="single" w:sz="4" w:space="0" w:color="auto"/>
              <w:right w:val="single" w:sz="4" w:space="0" w:color="auto"/>
            </w:tcBorders>
            <w:vAlign w:val="center"/>
          </w:tcPr>
          <w:p w14:paraId="2FC1B241" w14:textId="77777777" w:rsidR="00B96E94" w:rsidRPr="000C7F36" w:rsidRDefault="00B96E94">
            <w:pPr>
              <w:spacing w:after="0"/>
              <w:rPr>
                <w:b/>
                <w:sz w:val="18"/>
                <w:szCs w:val="18"/>
              </w:rPr>
            </w:pPr>
            <w:r w:rsidRPr="000C7F36">
              <w:rPr>
                <w:b/>
                <w:sz w:val="18"/>
                <w:szCs w:val="18"/>
              </w:rPr>
              <w:t>2017-18</w:t>
            </w:r>
          </w:p>
        </w:tc>
        <w:tc>
          <w:tcPr>
            <w:tcW w:w="8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E02667" w14:textId="77777777" w:rsidR="00B96E94" w:rsidRPr="000C7F36" w:rsidRDefault="00B96E94">
            <w:pPr>
              <w:spacing w:after="0"/>
              <w:rPr>
                <w:b/>
                <w:sz w:val="18"/>
                <w:szCs w:val="18"/>
              </w:rPr>
            </w:pPr>
            <w:r w:rsidRPr="000C7F36">
              <w:rPr>
                <w:b/>
                <w:sz w:val="18"/>
                <w:szCs w:val="18"/>
              </w:rPr>
              <w:t>2018</w:t>
            </w:r>
            <w:r w:rsidRPr="000C7F36">
              <w:rPr>
                <w:b/>
                <w:bCs/>
                <w:sz w:val="18"/>
                <w:szCs w:val="18"/>
              </w:rPr>
              <w:t>-</w:t>
            </w:r>
            <w:r w:rsidRPr="000C7F36">
              <w:rPr>
                <w:b/>
                <w:sz w:val="18"/>
                <w:szCs w:val="18"/>
              </w:rPr>
              <w:t>19</w:t>
            </w:r>
          </w:p>
        </w:tc>
        <w:tc>
          <w:tcPr>
            <w:tcW w:w="8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2E1F81" w14:textId="77777777" w:rsidR="00B96E94" w:rsidRPr="000C7F36" w:rsidRDefault="00B96E94">
            <w:pPr>
              <w:spacing w:after="0"/>
              <w:rPr>
                <w:b/>
                <w:sz w:val="18"/>
                <w:szCs w:val="18"/>
              </w:rPr>
            </w:pPr>
            <w:r w:rsidRPr="000C7F36">
              <w:rPr>
                <w:b/>
                <w:sz w:val="18"/>
                <w:szCs w:val="18"/>
              </w:rPr>
              <w:t>2019</w:t>
            </w:r>
            <w:r w:rsidRPr="000C7F36">
              <w:rPr>
                <w:b/>
                <w:bCs/>
                <w:sz w:val="18"/>
                <w:szCs w:val="18"/>
              </w:rPr>
              <w:t>-</w:t>
            </w:r>
            <w:r w:rsidRPr="000C7F36">
              <w:rPr>
                <w:b/>
                <w:sz w:val="18"/>
                <w:szCs w:val="18"/>
              </w:rPr>
              <w:t>20</w:t>
            </w:r>
          </w:p>
        </w:tc>
        <w:tc>
          <w:tcPr>
            <w:tcW w:w="8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7B426D" w14:textId="77777777" w:rsidR="00B96E94" w:rsidRPr="000C7F36" w:rsidRDefault="00B96E94">
            <w:pPr>
              <w:spacing w:after="0"/>
              <w:rPr>
                <w:b/>
                <w:sz w:val="18"/>
                <w:szCs w:val="18"/>
              </w:rPr>
            </w:pPr>
            <w:r w:rsidRPr="000C7F36">
              <w:rPr>
                <w:b/>
                <w:sz w:val="18"/>
                <w:szCs w:val="18"/>
              </w:rPr>
              <w:t>2020</w:t>
            </w:r>
            <w:r w:rsidRPr="000C7F36">
              <w:rPr>
                <w:b/>
                <w:bCs/>
                <w:sz w:val="18"/>
                <w:szCs w:val="18"/>
              </w:rPr>
              <w:t>-</w:t>
            </w:r>
            <w:r w:rsidRPr="000C7F36">
              <w:rPr>
                <w:b/>
                <w:sz w:val="18"/>
                <w:szCs w:val="18"/>
              </w:rPr>
              <w:t>21</w:t>
            </w:r>
          </w:p>
        </w:tc>
        <w:tc>
          <w:tcPr>
            <w:tcW w:w="8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B009AB" w14:textId="77777777" w:rsidR="00B96E94" w:rsidRPr="000C7F36" w:rsidRDefault="00B96E94">
            <w:pPr>
              <w:spacing w:after="0"/>
              <w:rPr>
                <w:b/>
                <w:sz w:val="18"/>
                <w:szCs w:val="18"/>
              </w:rPr>
            </w:pPr>
            <w:r w:rsidRPr="000C7F36">
              <w:rPr>
                <w:b/>
                <w:sz w:val="18"/>
                <w:szCs w:val="18"/>
              </w:rPr>
              <w:t>2021-22</w:t>
            </w:r>
          </w:p>
        </w:tc>
        <w:tc>
          <w:tcPr>
            <w:tcW w:w="891" w:type="dxa"/>
            <w:tcBorders>
              <w:top w:val="single" w:sz="4" w:space="0" w:color="auto"/>
              <w:left w:val="single" w:sz="4" w:space="0" w:color="auto"/>
              <w:bottom w:val="single" w:sz="4" w:space="0" w:color="auto"/>
              <w:right w:val="single" w:sz="4" w:space="0" w:color="auto"/>
            </w:tcBorders>
            <w:vAlign w:val="center"/>
          </w:tcPr>
          <w:p w14:paraId="756FB631" w14:textId="77777777" w:rsidR="00B96E94" w:rsidRPr="000C7F36" w:rsidRDefault="00B96E94">
            <w:pPr>
              <w:spacing w:after="0"/>
              <w:rPr>
                <w:b/>
                <w:sz w:val="18"/>
                <w:szCs w:val="18"/>
              </w:rPr>
            </w:pPr>
            <w:r w:rsidRPr="000C7F36">
              <w:rPr>
                <w:b/>
                <w:sz w:val="18"/>
                <w:szCs w:val="18"/>
              </w:rPr>
              <w:t>2022-23</w:t>
            </w:r>
          </w:p>
        </w:tc>
        <w:tc>
          <w:tcPr>
            <w:tcW w:w="709" w:type="dxa"/>
            <w:tcBorders>
              <w:top w:val="single" w:sz="4" w:space="0" w:color="auto"/>
              <w:left w:val="single" w:sz="4" w:space="0" w:color="auto"/>
              <w:bottom w:val="single" w:sz="4" w:space="0" w:color="auto"/>
              <w:right w:val="single" w:sz="4" w:space="0" w:color="auto"/>
            </w:tcBorders>
            <w:vAlign w:val="center"/>
          </w:tcPr>
          <w:p w14:paraId="59AD7B2C" w14:textId="77777777" w:rsidR="00B96E94" w:rsidRPr="000C7F36" w:rsidRDefault="00B96E94">
            <w:pPr>
              <w:spacing w:after="0"/>
              <w:rPr>
                <w:b/>
                <w:sz w:val="18"/>
                <w:szCs w:val="18"/>
              </w:rPr>
            </w:pPr>
            <w:r w:rsidRPr="000C7F36">
              <w:rPr>
                <w:b/>
                <w:sz w:val="18"/>
                <w:szCs w:val="18"/>
              </w:rPr>
              <w:t>Total</w:t>
            </w:r>
          </w:p>
        </w:tc>
      </w:tr>
      <w:tr w:rsidR="00B96E94" w:rsidRPr="000C7F36" w14:paraId="41AE25B8" w14:textId="77777777">
        <w:trPr>
          <w:trHeight w:val="20"/>
        </w:trPr>
        <w:tc>
          <w:tcPr>
            <w:tcW w:w="426" w:type="dxa"/>
            <w:tcBorders>
              <w:top w:val="single" w:sz="4" w:space="0" w:color="auto"/>
              <w:left w:val="single" w:sz="4" w:space="0" w:color="auto"/>
              <w:bottom w:val="single" w:sz="4" w:space="0" w:color="auto"/>
              <w:right w:val="single" w:sz="4" w:space="0" w:color="auto"/>
            </w:tcBorders>
            <w:vAlign w:val="center"/>
          </w:tcPr>
          <w:p w14:paraId="17DE7B1E" w14:textId="77777777" w:rsidR="00B96E94" w:rsidRPr="000C7F36" w:rsidRDefault="00B96E94">
            <w:pPr>
              <w:spacing w:after="0"/>
              <w:jc w:val="center"/>
              <w:rPr>
                <w:sz w:val="20"/>
                <w:szCs w:val="20"/>
              </w:rPr>
            </w:pPr>
            <w:r w:rsidRPr="000C7F36">
              <w:rPr>
                <w:sz w:val="20"/>
                <w:szCs w:val="20"/>
              </w:rPr>
              <w:t>A</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25EFC3" w14:textId="77777777" w:rsidR="00B96E94" w:rsidRPr="000C7F36" w:rsidRDefault="00B96E94">
            <w:pPr>
              <w:spacing w:after="0"/>
              <w:rPr>
                <w:sz w:val="20"/>
                <w:szCs w:val="20"/>
              </w:rPr>
            </w:pPr>
            <w:r w:rsidRPr="000C7F36">
              <w:rPr>
                <w:sz w:val="20"/>
                <w:szCs w:val="20"/>
              </w:rPr>
              <w:t>Investigations commenced</w:t>
            </w:r>
          </w:p>
        </w:tc>
        <w:tc>
          <w:tcPr>
            <w:tcW w:w="1032" w:type="dxa"/>
            <w:tcBorders>
              <w:top w:val="single" w:sz="4" w:space="0" w:color="auto"/>
              <w:left w:val="single" w:sz="4" w:space="0" w:color="auto"/>
              <w:bottom w:val="single" w:sz="4" w:space="0" w:color="auto"/>
              <w:right w:val="single" w:sz="4" w:space="0" w:color="auto"/>
            </w:tcBorders>
            <w:vAlign w:val="center"/>
          </w:tcPr>
          <w:p w14:paraId="436BD8B7" w14:textId="77777777" w:rsidR="00B96E94" w:rsidRPr="000C7F36" w:rsidRDefault="00B96E94">
            <w:pPr>
              <w:spacing w:after="0"/>
              <w:ind w:left="57"/>
              <w:rPr>
                <w:sz w:val="20"/>
                <w:szCs w:val="20"/>
              </w:rPr>
            </w:pPr>
            <w:r w:rsidRPr="000C7F36">
              <w:rPr>
                <w:sz w:val="20"/>
                <w:szCs w:val="20"/>
              </w:rPr>
              <w:t>142</w:t>
            </w:r>
          </w:p>
        </w:tc>
        <w:tc>
          <w:tcPr>
            <w:tcW w:w="891" w:type="dxa"/>
            <w:tcBorders>
              <w:top w:val="single" w:sz="4" w:space="0" w:color="auto"/>
              <w:left w:val="single" w:sz="4" w:space="0" w:color="auto"/>
              <w:bottom w:val="single" w:sz="4" w:space="0" w:color="auto"/>
              <w:right w:val="single" w:sz="4" w:space="0" w:color="auto"/>
            </w:tcBorders>
            <w:vAlign w:val="center"/>
          </w:tcPr>
          <w:p w14:paraId="1B65CC42" w14:textId="77777777" w:rsidR="00B96E94" w:rsidRPr="000C7F36" w:rsidRDefault="00B96E94">
            <w:pPr>
              <w:spacing w:after="0"/>
              <w:ind w:left="57"/>
              <w:rPr>
                <w:sz w:val="20"/>
                <w:szCs w:val="20"/>
              </w:rPr>
            </w:pPr>
            <w:r w:rsidRPr="000C7F36">
              <w:rPr>
                <w:sz w:val="20"/>
                <w:szCs w:val="20"/>
              </w:rPr>
              <w:t>125</w:t>
            </w:r>
          </w:p>
        </w:tc>
        <w:tc>
          <w:tcPr>
            <w:tcW w:w="8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59C968" w14:textId="77777777" w:rsidR="00B96E94" w:rsidRPr="000C7F36" w:rsidRDefault="00B96E94">
            <w:pPr>
              <w:spacing w:after="0"/>
              <w:rPr>
                <w:sz w:val="20"/>
                <w:szCs w:val="20"/>
              </w:rPr>
            </w:pPr>
            <w:r w:rsidRPr="000C7F36">
              <w:rPr>
                <w:sz w:val="20"/>
                <w:szCs w:val="20"/>
              </w:rPr>
              <w:t>206</w:t>
            </w:r>
          </w:p>
        </w:tc>
        <w:tc>
          <w:tcPr>
            <w:tcW w:w="8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9074EC" w14:textId="77777777" w:rsidR="00B96E94" w:rsidRPr="000C7F36" w:rsidRDefault="00B96E94">
            <w:pPr>
              <w:spacing w:after="0"/>
              <w:rPr>
                <w:sz w:val="20"/>
                <w:szCs w:val="20"/>
              </w:rPr>
            </w:pPr>
            <w:r w:rsidRPr="000C7F36">
              <w:rPr>
                <w:sz w:val="20"/>
                <w:szCs w:val="20"/>
              </w:rPr>
              <w:t>162</w:t>
            </w:r>
          </w:p>
        </w:tc>
        <w:tc>
          <w:tcPr>
            <w:tcW w:w="8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E248EA" w14:textId="77777777" w:rsidR="00B96E94" w:rsidRPr="000C7F36" w:rsidRDefault="00B96E94">
            <w:pPr>
              <w:spacing w:after="0"/>
              <w:rPr>
                <w:sz w:val="20"/>
                <w:szCs w:val="20"/>
              </w:rPr>
            </w:pPr>
            <w:r w:rsidRPr="000C7F36">
              <w:rPr>
                <w:sz w:val="20"/>
                <w:szCs w:val="20"/>
              </w:rPr>
              <w:t>117</w:t>
            </w:r>
          </w:p>
        </w:tc>
        <w:tc>
          <w:tcPr>
            <w:tcW w:w="8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142846" w14:textId="77777777" w:rsidR="00B96E94" w:rsidRPr="000C7F36" w:rsidRDefault="00B96E94">
            <w:pPr>
              <w:spacing w:after="0"/>
              <w:rPr>
                <w:sz w:val="20"/>
                <w:szCs w:val="20"/>
              </w:rPr>
            </w:pPr>
            <w:r w:rsidRPr="000C7F36">
              <w:rPr>
                <w:sz w:val="20"/>
                <w:szCs w:val="20"/>
              </w:rPr>
              <w:t>164</w:t>
            </w:r>
          </w:p>
        </w:tc>
        <w:tc>
          <w:tcPr>
            <w:tcW w:w="891" w:type="dxa"/>
            <w:tcBorders>
              <w:top w:val="single" w:sz="4" w:space="0" w:color="auto"/>
              <w:left w:val="single" w:sz="4" w:space="0" w:color="auto"/>
              <w:bottom w:val="single" w:sz="4" w:space="0" w:color="auto"/>
              <w:right w:val="single" w:sz="4" w:space="0" w:color="auto"/>
            </w:tcBorders>
            <w:vAlign w:val="center"/>
          </w:tcPr>
          <w:p w14:paraId="3A59FB98" w14:textId="77777777" w:rsidR="00B96E94" w:rsidRPr="000C7F36" w:rsidRDefault="00B96E94">
            <w:pPr>
              <w:spacing w:after="0"/>
              <w:ind w:left="57"/>
              <w:rPr>
                <w:sz w:val="20"/>
                <w:szCs w:val="20"/>
              </w:rPr>
            </w:pPr>
            <w:r w:rsidRPr="000C7F36">
              <w:rPr>
                <w:sz w:val="20"/>
                <w:szCs w:val="20"/>
              </w:rPr>
              <w:t>30</w:t>
            </w:r>
          </w:p>
        </w:tc>
        <w:tc>
          <w:tcPr>
            <w:tcW w:w="709" w:type="dxa"/>
            <w:tcBorders>
              <w:top w:val="single" w:sz="4" w:space="0" w:color="auto"/>
              <w:left w:val="single" w:sz="4" w:space="0" w:color="auto"/>
              <w:bottom w:val="single" w:sz="4" w:space="0" w:color="auto"/>
              <w:right w:val="single" w:sz="4" w:space="0" w:color="auto"/>
            </w:tcBorders>
            <w:vAlign w:val="center"/>
          </w:tcPr>
          <w:p w14:paraId="2915BADB" w14:textId="77777777" w:rsidR="00B96E94" w:rsidRPr="000C7F36" w:rsidRDefault="00B96E94">
            <w:pPr>
              <w:spacing w:after="0"/>
              <w:ind w:left="57"/>
              <w:rPr>
                <w:sz w:val="20"/>
                <w:szCs w:val="20"/>
              </w:rPr>
            </w:pPr>
            <w:r w:rsidRPr="000C7F36">
              <w:rPr>
                <w:sz w:val="20"/>
                <w:szCs w:val="20"/>
              </w:rPr>
              <w:t>946</w:t>
            </w:r>
          </w:p>
        </w:tc>
      </w:tr>
      <w:tr w:rsidR="00B96E94" w:rsidRPr="000C7F36" w14:paraId="3BCE84D6" w14:textId="77777777">
        <w:trPr>
          <w:trHeight w:val="20"/>
        </w:trPr>
        <w:tc>
          <w:tcPr>
            <w:tcW w:w="426" w:type="dxa"/>
            <w:tcBorders>
              <w:top w:val="single" w:sz="4" w:space="0" w:color="auto"/>
              <w:left w:val="single" w:sz="4" w:space="0" w:color="auto"/>
              <w:bottom w:val="single" w:sz="4" w:space="0" w:color="auto"/>
              <w:right w:val="single" w:sz="4" w:space="0" w:color="auto"/>
            </w:tcBorders>
            <w:vAlign w:val="center"/>
          </w:tcPr>
          <w:p w14:paraId="50E9EC98" w14:textId="77777777" w:rsidR="00B96E94" w:rsidRPr="000C7F36" w:rsidRDefault="00B96E94">
            <w:pPr>
              <w:spacing w:after="0"/>
              <w:jc w:val="center"/>
              <w:rPr>
                <w:sz w:val="20"/>
                <w:szCs w:val="20"/>
              </w:rPr>
            </w:pPr>
            <w:r w:rsidRPr="000C7F36">
              <w:rPr>
                <w:sz w:val="20"/>
                <w:szCs w:val="20"/>
              </w:rPr>
              <w:t>B</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265A83" w14:textId="77777777" w:rsidR="00B96E94" w:rsidRPr="000C7F36" w:rsidRDefault="00B96E94">
            <w:pPr>
              <w:spacing w:after="0"/>
              <w:rPr>
                <w:sz w:val="20"/>
                <w:szCs w:val="20"/>
              </w:rPr>
            </w:pPr>
            <w:r w:rsidRPr="000C7F36">
              <w:rPr>
                <w:sz w:val="20"/>
                <w:szCs w:val="20"/>
              </w:rPr>
              <w:t>Investigations finalised+</w:t>
            </w:r>
          </w:p>
        </w:tc>
        <w:tc>
          <w:tcPr>
            <w:tcW w:w="1032" w:type="dxa"/>
            <w:tcBorders>
              <w:top w:val="single" w:sz="4" w:space="0" w:color="auto"/>
              <w:left w:val="single" w:sz="4" w:space="0" w:color="auto"/>
              <w:bottom w:val="single" w:sz="4" w:space="0" w:color="auto"/>
              <w:right w:val="single" w:sz="4" w:space="0" w:color="auto"/>
            </w:tcBorders>
            <w:vAlign w:val="center"/>
          </w:tcPr>
          <w:p w14:paraId="0F6B1E85" w14:textId="77777777" w:rsidR="00B96E94" w:rsidRPr="000C7F36" w:rsidRDefault="00B96E94">
            <w:pPr>
              <w:spacing w:after="0"/>
              <w:ind w:left="57"/>
              <w:rPr>
                <w:sz w:val="20"/>
                <w:szCs w:val="20"/>
              </w:rPr>
            </w:pPr>
            <w:r w:rsidRPr="000C7F36">
              <w:rPr>
                <w:sz w:val="20"/>
                <w:szCs w:val="20"/>
              </w:rPr>
              <w:t>154</w:t>
            </w:r>
          </w:p>
        </w:tc>
        <w:tc>
          <w:tcPr>
            <w:tcW w:w="891" w:type="dxa"/>
            <w:tcBorders>
              <w:top w:val="single" w:sz="4" w:space="0" w:color="auto"/>
              <w:left w:val="single" w:sz="4" w:space="0" w:color="auto"/>
              <w:bottom w:val="single" w:sz="4" w:space="0" w:color="auto"/>
              <w:right w:val="single" w:sz="4" w:space="0" w:color="auto"/>
            </w:tcBorders>
            <w:vAlign w:val="center"/>
          </w:tcPr>
          <w:p w14:paraId="1B7EA05F" w14:textId="77777777" w:rsidR="00B96E94" w:rsidRPr="000C7F36" w:rsidRDefault="00B96E94">
            <w:pPr>
              <w:spacing w:after="0"/>
              <w:ind w:left="57"/>
              <w:rPr>
                <w:sz w:val="20"/>
                <w:szCs w:val="20"/>
              </w:rPr>
            </w:pPr>
            <w:r w:rsidRPr="000C7F36">
              <w:rPr>
                <w:sz w:val="20"/>
                <w:szCs w:val="20"/>
              </w:rPr>
              <w:t>107</w:t>
            </w:r>
          </w:p>
        </w:tc>
        <w:tc>
          <w:tcPr>
            <w:tcW w:w="8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DB1DFF" w14:textId="77777777" w:rsidR="00B96E94" w:rsidRPr="000C7F36" w:rsidRDefault="00B96E94">
            <w:pPr>
              <w:spacing w:after="0"/>
              <w:rPr>
                <w:sz w:val="20"/>
                <w:szCs w:val="20"/>
              </w:rPr>
            </w:pPr>
            <w:r w:rsidRPr="000C7F36">
              <w:rPr>
                <w:sz w:val="20"/>
                <w:szCs w:val="20"/>
              </w:rPr>
              <w:t>216</w:t>
            </w:r>
          </w:p>
        </w:tc>
        <w:tc>
          <w:tcPr>
            <w:tcW w:w="8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1AB665" w14:textId="77777777" w:rsidR="00B96E94" w:rsidRPr="000C7F36" w:rsidRDefault="00B96E94">
            <w:pPr>
              <w:spacing w:after="0"/>
              <w:rPr>
                <w:sz w:val="20"/>
                <w:szCs w:val="20"/>
              </w:rPr>
            </w:pPr>
            <w:r w:rsidRPr="000C7F36">
              <w:rPr>
                <w:sz w:val="20"/>
                <w:szCs w:val="20"/>
              </w:rPr>
              <w:t>147</w:t>
            </w:r>
          </w:p>
        </w:tc>
        <w:tc>
          <w:tcPr>
            <w:tcW w:w="8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D43D12" w14:textId="77777777" w:rsidR="00B96E94" w:rsidRPr="000C7F36" w:rsidRDefault="00B96E94">
            <w:pPr>
              <w:spacing w:after="0"/>
              <w:rPr>
                <w:sz w:val="20"/>
                <w:szCs w:val="20"/>
              </w:rPr>
            </w:pPr>
            <w:r w:rsidRPr="000C7F36">
              <w:rPr>
                <w:sz w:val="20"/>
                <w:szCs w:val="20"/>
              </w:rPr>
              <w:t>134</w:t>
            </w:r>
          </w:p>
        </w:tc>
        <w:tc>
          <w:tcPr>
            <w:tcW w:w="8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37C975" w14:textId="77777777" w:rsidR="00B96E94" w:rsidRPr="000C7F36" w:rsidRDefault="00B96E94">
            <w:pPr>
              <w:spacing w:after="0"/>
              <w:rPr>
                <w:sz w:val="20"/>
                <w:szCs w:val="20"/>
              </w:rPr>
            </w:pPr>
            <w:r w:rsidRPr="000C7F36">
              <w:rPr>
                <w:sz w:val="20"/>
                <w:szCs w:val="20"/>
              </w:rPr>
              <w:t>171</w:t>
            </w:r>
          </w:p>
        </w:tc>
        <w:tc>
          <w:tcPr>
            <w:tcW w:w="891" w:type="dxa"/>
            <w:tcBorders>
              <w:top w:val="single" w:sz="4" w:space="0" w:color="auto"/>
              <w:left w:val="single" w:sz="4" w:space="0" w:color="auto"/>
              <w:bottom w:val="single" w:sz="4" w:space="0" w:color="auto"/>
              <w:right w:val="single" w:sz="4" w:space="0" w:color="auto"/>
            </w:tcBorders>
            <w:vAlign w:val="center"/>
          </w:tcPr>
          <w:p w14:paraId="57387940" w14:textId="77777777" w:rsidR="00B96E94" w:rsidRPr="000C7F36" w:rsidRDefault="00B96E94">
            <w:pPr>
              <w:spacing w:after="0"/>
              <w:ind w:left="57"/>
              <w:rPr>
                <w:sz w:val="20"/>
                <w:szCs w:val="20"/>
              </w:rPr>
            </w:pPr>
            <w:r w:rsidRPr="000C7F36">
              <w:rPr>
                <w:sz w:val="20"/>
                <w:szCs w:val="20"/>
              </w:rPr>
              <w:t>78</w:t>
            </w:r>
          </w:p>
        </w:tc>
        <w:tc>
          <w:tcPr>
            <w:tcW w:w="709" w:type="dxa"/>
            <w:tcBorders>
              <w:top w:val="single" w:sz="4" w:space="0" w:color="auto"/>
              <w:left w:val="single" w:sz="4" w:space="0" w:color="auto"/>
              <w:bottom w:val="single" w:sz="4" w:space="0" w:color="auto"/>
              <w:right w:val="single" w:sz="4" w:space="0" w:color="auto"/>
            </w:tcBorders>
            <w:vAlign w:val="center"/>
          </w:tcPr>
          <w:p w14:paraId="2C906DBC" w14:textId="77777777" w:rsidR="00B96E94" w:rsidRPr="000C7F36" w:rsidRDefault="00B96E94">
            <w:pPr>
              <w:spacing w:after="0"/>
              <w:ind w:left="57"/>
              <w:rPr>
                <w:sz w:val="20"/>
                <w:szCs w:val="20"/>
              </w:rPr>
            </w:pPr>
            <w:r w:rsidRPr="000C7F36">
              <w:rPr>
                <w:sz w:val="20"/>
                <w:szCs w:val="20"/>
              </w:rPr>
              <w:t>1,007</w:t>
            </w:r>
          </w:p>
        </w:tc>
      </w:tr>
      <w:tr w:rsidR="00B96E94" w:rsidRPr="000C7F36" w14:paraId="057AC9A6" w14:textId="77777777">
        <w:trPr>
          <w:trHeight w:val="20"/>
        </w:trPr>
        <w:tc>
          <w:tcPr>
            <w:tcW w:w="426" w:type="dxa"/>
            <w:tcBorders>
              <w:top w:val="single" w:sz="4" w:space="0" w:color="auto"/>
              <w:left w:val="single" w:sz="4" w:space="0" w:color="auto"/>
              <w:bottom w:val="single" w:sz="4" w:space="0" w:color="auto"/>
              <w:right w:val="single" w:sz="4" w:space="0" w:color="auto"/>
            </w:tcBorders>
            <w:vAlign w:val="center"/>
          </w:tcPr>
          <w:p w14:paraId="7CCAE0C7" w14:textId="77777777" w:rsidR="00B96E94" w:rsidRPr="000C7F36" w:rsidRDefault="00B96E94">
            <w:pPr>
              <w:spacing w:after="0"/>
              <w:jc w:val="center"/>
              <w:rPr>
                <w:sz w:val="20"/>
                <w:szCs w:val="20"/>
              </w:rPr>
            </w:pPr>
            <w:r w:rsidRPr="000C7F36">
              <w:rPr>
                <w:sz w:val="20"/>
                <w:szCs w:val="20"/>
              </w:rPr>
              <w:t>C</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1E26BC" w14:textId="77777777" w:rsidR="00B96E94" w:rsidRPr="000C7F36" w:rsidRDefault="00B96E94">
            <w:pPr>
              <w:spacing w:after="0"/>
              <w:rPr>
                <w:sz w:val="20"/>
                <w:szCs w:val="20"/>
              </w:rPr>
            </w:pPr>
            <w:r w:rsidRPr="000C7F36">
              <w:rPr>
                <w:sz w:val="20"/>
                <w:szCs w:val="20"/>
              </w:rPr>
              <w:t>Site visits</w:t>
            </w:r>
          </w:p>
        </w:tc>
        <w:tc>
          <w:tcPr>
            <w:tcW w:w="1032" w:type="dxa"/>
            <w:tcBorders>
              <w:top w:val="single" w:sz="4" w:space="0" w:color="auto"/>
              <w:left w:val="single" w:sz="4" w:space="0" w:color="auto"/>
              <w:bottom w:val="single" w:sz="4" w:space="0" w:color="auto"/>
              <w:right w:val="single" w:sz="4" w:space="0" w:color="auto"/>
            </w:tcBorders>
            <w:vAlign w:val="center"/>
          </w:tcPr>
          <w:p w14:paraId="35C0B843" w14:textId="77777777" w:rsidR="00B96E94" w:rsidRPr="000C7F36" w:rsidRDefault="00B96E94">
            <w:pPr>
              <w:spacing w:after="0"/>
              <w:ind w:left="57"/>
              <w:rPr>
                <w:sz w:val="20"/>
                <w:szCs w:val="20"/>
              </w:rPr>
            </w:pPr>
            <w:r w:rsidRPr="000C7F36">
              <w:rPr>
                <w:sz w:val="20"/>
                <w:szCs w:val="20"/>
              </w:rPr>
              <w:t>1,058</w:t>
            </w:r>
          </w:p>
        </w:tc>
        <w:tc>
          <w:tcPr>
            <w:tcW w:w="891" w:type="dxa"/>
            <w:tcBorders>
              <w:top w:val="single" w:sz="4" w:space="0" w:color="auto"/>
              <w:left w:val="single" w:sz="4" w:space="0" w:color="auto"/>
              <w:bottom w:val="single" w:sz="4" w:space="0" w:color="auto"/>
              <w:right w:val="single" w:sz="4" w:space="0" w:color="auto"/>
            </w:tcBorders>
            <w:vAlign w:val="center"/>
          </w:tcPr>
          <w:p w14:paraId="3D69C47F" w14:textId="77777777" w:rsidR="00B96E94" w:rsidRPr="000C7F36" w:rsidRDefault="00B96E94">
            <w:pPr>
              <w:spacing w:after="0"/>
              <w:ind w:left="57"/>
              <w:rPr>
                <w:sz w:val="20"/>
                <w:szCs w:val="20"/>
              </w:rPr>
            </w:pPr>
            <w:r w:rsidRPr="000C7F36">
              <w:rPr>
                <w:sz w:val="20"/>
                <w:szCs w:val="20"/>
              </w:rPr>
              <w:t>1,070</w:t>
            </w:r>
          </w:p>
        </w:tc>
        <w:tc>
          <w:tcPr>
            <w:tcW w:w="8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A41408" w14:textId="77777777" w:rsidR="00B96E94" w:rsidRPr="000C7F36" w:rsidRDefault="00B96E94">
            <w:pPr>
              <w:spacing w:after="0"/>
              <w:rPr>
                <w:sz w:val="20"/>
                <w:szCs w:val="20"/>
              </w:rPr>
            </w:pPr>
            <w:r w:rsidRPr="000C7F36">
              <w:rPr>
                <w:sz w:val="20"/>
                <w:szCs w:val="20"/>
              </w:rPr>
              <w:t>1,382</w:t>
            </w:r>
          </w:p>
        </w:tc>
        <w:tc>
          <w:tcPr>
            <w:tcW w:w="8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A12CDB" w14:textId="77777777" w:rsidR="00B96E94" w:rsidRPr="000C7F36" w:rsidRDefault="00B96E94">
            <w:pPr>
              <w:spacing w:after="0"/>
              <w:rPr>
                <w:sz w:val="20"/>
                <w:szCs w:val="20"/>
              </w:rPr>
            </w:pPr>
            <w:r w:rsidRPr="000C7F36">
              <w:rPr>
                <w:sz w:val="20"/>
                <w:szCs w:val="20"/>
              </w:rPr>
              <w:t>1,371</w:t>
            </w:r>
          </w:p>
        </w:tc>
        <w:tc>
          <w:tcPr>
            <w:tcW w:w="8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429F01" w14:textId="77777777" w:rsidR="00B96E94" w:rsidRPr="000C7F36" w:rsidRDefault="00B96E94">
            <w:pPr>
              <w:spacing w:after="0"/>
              <w:rPr>
                <w:sz w:val="20"/>
                <w:szCs w:val="20"/>
              </w:rPr>
            </w:pPr>
            <w:r w:rsidRPr="000C7F36">
              <w:rPr>
                <w:sz w:val="20"/>
                <w:szCs w:val="20"/>
              </w:rPr>
              <w:t>1,543</w:t>
            </w:r>
          </w:p>
        </w:tc>
        <w:tc>
          <w:tcPr>
            <w:tcW w:w="8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DAD437" w14:textId="77777777" w:rsidR="00B96E94" w:rsidRPr="000C7F36" w:rsidRDefault="00B96E94">
            <w:pPr>
              <w:spacing w:after="0"/>
              <w:rPr>
                <w:sz w:val="20"/>
                <w:szCs w:val="20"/>
              </w:rPr>
            </w:pPr>
            <w:r w:rsidRPr="000C7F36">
              <w:rPr>
                <w:sz w:val="20"/>
                <w:szCs w:val="20"/>
              </w:rPr>
              <w:t>1,326</w:t>
            </w:r>
          </w:p>
        </w:tc>
        <w:tc>
          <w:tcPr>
            <w:tcW w:w="891" w:type="dxa"/>
            <w:tcBorders>
              <w:top w:val="single" w:sz="4" w:space="0" w:color="auto"/>
              <w:left w:val="single" w:sz="4" w:space="0" w:color="auto"/>
              <w:bottom w:val="single" w:sz="4" w:space="0" w:color="auto"/>
              <w:right w:val="single" w:sz="4" w:space="0" w:color="auto"/>
            </w:tcBorders>
            <w:vAlign w:val="center"/>
          </w:tcPr>
          <w:p w14:paraId="580BF634" w14:textId="77777777" w:rsidR="00B96E94" w:rsidRPr="000C7F36" w:rsidRDefault="00B96E94">
            <w:pPr>
              <w:spacing w:after="0"/>
              <w:ind w:left="57"/>
              <w:rPr>
                <w:sz w:val="20"/>
                <w:szCs w:val="20"/>
              </w:rPr>
            </w:pPr>
            <w:r w:rsidRPr="000C7F36">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5DF119E2" w14:textId="77777777" w:rsidR="00B96E94" w:rsidRPr="000C7F36" w:rsidRDefault="00B96E94">
            <w:pPr>
              <w:spacing w:after="0"/>
              <w:ind w:left="57"/>
              <w:rPr>
                <w:sz w:val="20"/>
                <w:szCs w:val="20"/>
              </w:rPr>
            </w:pPr>
            <w:r w:rsidRPr="000C7F36">
              <w:rPr>
                <w:sz w:val="20"/>
                <w:szCs w:val="20"/>
              </w:rPr>
              <w:t>7,750</w:t>
            </w:r>
          </w:p>
        </w:tc>
      </w:tr>
      <w:tr w:rsidR="00B96E94" w:rsidRPr="000C7F36" w14:paraId="4A1E4B39" w14:textId="77777777">
        <w:trPr>
          <w:trHeight w:val="20"/>
        </w:trPr>
        <w:tc>
          <w:tcPr>
            <w:tcW w:w="426" w:type="dxa"/>
            <w:tcBorders>
              <w:top w:val="single" w:sz="4" w:space="0" w:color="auto"/>
              <w:left w:val="single" w:sz="4" w:space="0" w:color="auto"/>
              <w:bottom w:val="single" w:sz="4" w:space="0" w:color="auto"/>
              <w:right w:val="single" w:sz="4" w:space="0" w:color="auto"/>
            </w:tcBorders>
            <w:vAlign w:val="center"/>
          </w:tcPr>
          <w:p w14:paraId="529690EA" w14:textId="77777777" w:rsidR="00B96E94" w:rsidRPr="000C7F36" w:rsidRDefault="00B96E94">
            <w:pPr>
              <w:spacing w:after="0"/>
              <w:jc w:val="center"/>
              <w:rPr>
                <w:sz w:val="20"/>
                <w:szCs w:val="20"/>
              </w:rPr>
            </w:pPr>
            <w:r w:rsidRPr="000C7F36">
              <w:rPr>
                <w:sz w:val="20"/>
                <w:szCs w:val="20"/>
              </w:rPr>
              <w:t>D</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422FE8" w14:textId="77777777" w:rsidR="00B96E94" w:rsidRPr="000C7F36" w:rsidRDefault="00B96E94">
            <w:pPr>
              <w:spacing w:after="0"/>
              <w:rPr>
                <w:sz w:val="20"/>
                <w:szCs w:val="20"/>
              </w:rPr>
            </w:pPr>
            <w:r w:rsidRPr="000C7F36">
              <w:rPr>
                <w:sz w:val="20"/>
                <w:szCs w:val="20"/>
              </w:rPr>
              <w:t>Court proceedings finalised</w:t>
            </w:r>
          </w:p>
        </w:tc>
        <w:tc>
          <w:tcPr>
            <w:tcW w:w="1032" w:type="dxa"/>
            <w:tcBorders>
              <w:top w:val="single" w:sz="4" w:space="0" w:color="auto"/>
              <w:left w:val="single" w:sz="4" w:space="0" w:color="auto"/>
              <w:bottom w:val="single" w:sz="4" w:space="0" w:color="auto"/>
              <w:right w:val="single" w:sz="4" w:space="0" w:color="auto"/>
            </w:tcBorders>
            <w:vAlign w:val="center"/>
          </w:tcPr>
          <w:p w14:paraId="0734BB64" w14:textId="77777777" w:rsidR="00B96E94" w:rsidRPr="000C7F36" w:rsidRDefault="00B96E94">
            <w:pPr>
              <w:spacing w:after="0"/>
              <w:ind w:left="57"/>
              <w:rPr>
                <w:sz w:val="20"/>
                <w:szCs w:val="20"/>
              </w:rPr>
            </w:pPr>
            <w:r w:rsidRPr="000C7F36">
              <w:rPr>
                <w:sz w:val="20"/>
                <w:szCs w:val="20"/>
              </w:rPr>
              <w:t>26</w:t>
            </w:r>
          </w:p>
        </w:tc>
        <w:tc>
          <w:tcPr>
            <w:tcW w:w="891" w:type="dxa"/>
            <w:tcBorders>
              <w:top w:val="single" w:sz="4" w:space="0" w:color="auto"/>
              <w:left w:val="single" w:sz="4" w:space="0" w:color="auto"/>
              <w:bottom w:val="single" w:sz="4" w:space="0" w:color="auto"/>
              <w:right w:val="single" w:sz="4" w:space="0" w:color="auto"/>
            </w:tcBorders>
            <w:vAlign w:val="center"/>
          </w:tcPr>
          <w:p w14:paraId="0D059238" w14:textId="77777777" w:rsidR="00B96E94" w:rsidRPr="000C7F36" w:rsidRDefault="00B96E94">
            <w:pPr>
              <w:spacing w:after="0"/>
              <w:ind w:left="57"/>
              <w:rPr>
                <w:sz w:val="20"/>
                <w:szCs w:val="20"/>
              </w:rPr>
            </w:pPr>
            <w:r w:rsidRPr="000C7F36">
              <w:rPr>
                <w:sz w:val="20"/>
                <w:szCs w:val="20"/>
              </w:rPr>
              <w:t>17</w:t>
            </w:r>
          </w:p>
        </w:tc>
        <w:tc>
          <w:tcPr>
            <w:tcW w:w="8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C72C3C" w14:textId="77777777" w:rsidR="00B96E94" w:rsidRPr="000C7F36" w:rsidRDefault="00B96E94">
            <w:pPr>
              <w:spacing w:after="0"/>
              <w:rPr>
                <w:sz w:val="20"/>
                <w:szCs w:val="20"/>
              </w:rPr>
            </w:pPr>
            <w:r w:rsidRPr="000C7F36">
              <w:rPr>
                <w:sz w:val="20"/>
                <w:szCs w:val="20"/>
              </w:rPr>
              <w:t>16</w:t>
            </w:r>
          </w:p>
        </w:tc>
        <w:tc>
          <w:tcPr>
            <w:tcW w:w="8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F8D4FC" w14:textId="77777777" w:rsidR="00B96E94" w:rsidRPr="000C7F36" w:rsidRDefault="00B96E94">
            <w:pPr>
              <w:spacing w:after="0"/>
              <w:rPr>
                <w:sz w:val="20"/>
                <w:szCs w:val="20"/>
              </w:rPr>
            </w:pPr>
            <w:r w:rsidRPr="000C7F36">
              <w:rPr>
                <w:sz w:val="20"/>
                <w:szCs w:val="20"/>
              </w:rPr>
              <w:t>22</w:t>
            </w:r>
          </w:p>
        </w:tc>
        <w:tc>
          <w:tcPr>
            <w:tcW w:w="8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0FA38F" w14:textId="77777777" w:rsidR="00B96E94" w:rsidRPr="000C7F36" w:rsidRDefault="00B96E94">
            <w:pPr>
              <w:spacing w:after="0"/>
              <w:rPr>
                <w:sz w:val="20"/>
                <w:szCs w:val="20"/>
              </w:rPr>
            </w:pPr>
            <w:r w:rsidRPr="000C7F36">
              <w:rPr>
                <w:sz w:val="20"/>
                <w:szCs w:val="20"/>
              </w:rPr>
              <w:t>17</w:t>
            </w:r>
          </w:p>
        </w:tc>
        <w:tc>
          <w:tcPr>
            <w:tcW w:w="8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0280E3" w14:textId="77777777" w:rsidR="00B96E94" w:rsidRPr="000C7F36" w:rsidRDefault="00B96E94">
            <w:pPr>
              <w:spacing w:after="0"/>
              <w:rPr>
                <w:sz w:val="20"/>
                <w:szCs w:val="20"/>
              </w:rPr>
            </w:pPr>
            <w:r w:rsidRPr="000C7F36">
              <w:rPr>
                <w:sz w:val="20"/>
                <w:szCs w:val="20"/>
              </w:rPr>
              <w:t>22</w:t>
            </w:r>
          </w:p>
        </w:tc>
        <w:tc>
          <w:tcPr>
            <w:tcW w:w="891" w:type="dxa"/>
            <w:tcBorders>
              <w:top w:val="single" w:sz="4" w:space="0" w:color="auto"/>
              <w:left w:val="single" w:sz="4" w:space="0" w:color="auto"/>
              <w:bottom w:val="single" w:sz="4" w:space="0" w:color="auto"/>
              <w:right w:val="single" w:sz="4" w:space="0" w:color="auto"/>
            </w:tcBorders>
            <w:vAlign w:val="center"/>
          </w:tcPr>
          <w:p w14:paraId="4717596F" w14:textId="77777777" w:rsidR="00B96E94" w:rsidRPr="000C7F36" w:rsidRDefault="00B96E94">
            <w:pPr>
              <w:spacing w:after="0"/>
              <w:ind w:left="57"/>
              <w:rPr>
                <w:sz w:val="20"/>
                <w:szCs w:val="20"/>
              </w:rPr>
            </w:pPr>
            <w:r w:rsidRPr="000C7F36">
              <w:rPr>
                <w:sz w:val="20"/>
                <w:szCs w:val="20"/>
              </w:rPr>
              <w:t>8</w:t>
            </w:r>
          </w:p>
        </w:tc>
        <w:tc>
          <w:tcPr>
            <w:tcW w:w="709" w:type="dxa"/>
            <w:tcBorders>
              <w:top w:val="single" w:sz="4" w:space="0" w:color="auto"/>
              <w:left w:val="single" w:sz="4" w:space="0" w:color="auto"/>
              <w:bottom w:val="single" w:sz="4" w:space="0" w:color="auto"/>
              <w:right w:val="single" w:sz="4" w:space="0" w:color="auto"/>
            </w:tcBorders>
            <w:vAlign w:val="center"/>
          </w:tcPr>
          <w:p w14:paraId="65CED069" w14:textId="77777777" w:rsidR="00B96E94" w:rsidRPr="000C7F36" w:rsidRDefault="00B96E94">
            <w:pPr>
              <w:spacing w:after="0"/>
              <w:ind w:left="57"/>
              <w:rPr>
                <w:sz w:val="20"/>
                <w:szCs w:val="20"/>
              </w:rPr>
            </w:pPr>
            <w:r w:rsidRPr="000C7F36">
              <w:rPr>
                <w:sz w:val="20"/>
                <w:szCs w:val="20"/>
              </w:rPr>
              <w:t>128</w:t>
            </w:r>
          </w:p>
        </w:tc>
      </w:tr>
      <w:tr w:rsidR="00B96E94" w:rsidRPr="000C7F36" w14:paraId="7AB15D99" w14:textId="77777777">
        <w:trPr>
          <w:trHeight w:val="20"/>
        </w:trPr>
        <w:tc>
          <w:tcPr>
            <w:tcW w:w="426" w:type="dxa"/>
            <w:tcBorders>
              <w:top w:val="single" w:sz="4" w:space="0" w:color="auto"/>
              <w:left w:val="single" w:sz="4" w:space="0" w:color="auto"/>
              <w:bottom w:val="single" w:sz="4" w:space="0" w:color="auto"/>
              <w:right w:val="single" w:sz="4" w:space="0" w:color="auto"/>
            </w:tcBorders>
            <w:vAlign w:val="center"/>
          </w:tcPr>
          <w:p w14:paraId="0738A5F3" w14:textId="77777777" w:rsidR="00B96E94" w:rsidRPr="000C7F36" w:rsidRDefault="00B96E94">
            <w:pPr>
              <w:spacing w:after="0"/>
              <w:jc w:val="center"/>
              <w:rPr>
                <w:sz w:val="20"/>
                <w:szCs w:val="20"/>
              </w:rPr>
            </w:pPr>
            <w:r w:rsidRPr="000C7F36">
              <w:rPr>
                <w:sz w:val="20"/>
                <w:szCs w:val="20"/>
              </w:rPr>
              <w:t>E</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42FF65" w14:textId="77777777" w:rsidR="00B96E94" w:rsidRPr="000C7F36" w:rsidRDefault="00B96E94">
            <w:pPr>
              <w:spacing w:after="0"/>
              <w:rPr>
                <w:sz w:val="20"/>
                <w:szCs w:val="20"/>
              </w:rPr>
            </w:pPr>
            <w:r w:rsidRPr="000C7F36">
              <w:rPr>
                <w:sz w:val="20"/>
                <w:szCs w:val="20"/>
              </w:rPr>
              <w:t>Penalties imposed ($000s)</w:t>
            </w:r>
          </w:p>
        </w:tc>
        <w:tc>
          <w:tcPr>
            <w:tcW w:w="1032" w:type="dxa"/>
            <w:tcBorders>
              <w:top w:val="single" w:sz="4" w:space="0" w:color="auto"/>
              <w:left w:val="single" w:sz="4" w:space="0" w:color="auto"/>
              <w:bottom w:val="single" w:sz="4" w:space="0" w:color="auto"/>
              <w:right w:val="single" w:sz="4" w:space="0" w:color="auto"/>
            </w:tcBorders>
            <w:vAlign w:val="center"/>
          </w:tcPr>
          <w:p w14:paraId="5C4C8E4C" w14:textId="77777777" w:rsidR="00B96E94" w:rsidRPr="000C7F36" w:rsidRDefault="00B96E94">
            <w:pPr>
              <w:spacing w:after="0"/>
              <w:ind w:left="57"/>
              <w:rPr>
                <w:sz w:val="20"/>
                <w:szCs w:val="20"/>
              </w:rPr>
            </w:pPr>
            <w:r w:rsidRPr="000C7F36">
              <w:rPr>
                <w:sz w:val="20"/>
                <w:szCs w:val="20"/>
              </w:rPr>
              <w:t>2,147</w:t>
            </w:r>
          </w:p>
        </w:tc>
        <w:tc>
          <w:tcPr>
            <w:tcW w:w="891" w:type="dxa"/>
            <w:tcBorders>
              <w:top w:val="single" w:sz="4" w:space="0" w:color="auto"/>
              <w:left w:val="single" w:sz="4" w:space="0" w:color="auto"/>
              <w:bottom w:val="single" w:sz="4" w:space="0" w:color="auto"/>
              <w:right w:val="single" w:sz="4" w:space="0" w:color="auto"/>
            </w:tcBorders>
            <w:vAlign w:val="center"/>
          </w:tcPr>
          <w:p w14:paraId="7FFBD3D2" w14:textId="77777777" w:rsidR="00B96E94" w:rsidRPr="000C7F36" w:rsidRDefault="00B96E94">
            <w:pPr>
              <w:spacing w:after="0"/>
              <w:ind w:left="57"/>
              <w:rPr>
                <w:sz w:val="20"/>
                <w:szCs w:val="20"/>
              </w:rPr>
            </w:pPr>
            <w:r w:rsidRPr="000C7F36">
              <w:rPr>
                <w:sz w:val="20"/>
                <w:szCs w:val="20"/>
              </w:rPr>
              <w:t>5,988</w:t>
            </w:r>
          </w:p>
        </w:tc>
        <w:tc>
          <w:tcPr>
            <w:tcW w:w="8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FA13CD" w14:textId="77777777" w:rsidR="00B96E94" w:rsidRPr="000C7F36" w:rsidRDefault="00B96E94">
            <w:pPr>
              <w:spacing w:after="0"/>
              <w:rPr>
                <w:sz w:val="20"/>
                <w:szCs w:val="20"/>
              </w:rPr>
            </w:pPr>
            <w:r w:rsidRPr="000C7F36">
              <w:rPr>
                <w:sz w:val="20"/>
                <w:szCs w:val="20"/>
              </w:rPr>
              <w:t>4,257</w:t>
            </w:r>
          </w:p>
        </w:tc>
        <w:tc>
          <w:tcPr>
            <w:tcW w:w="8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D68AB1" w14:textId="77777777" w:rsidR="00B96E94" w:rsidRPr="000C7F36" w:rsidRDefault="00B96E94">
            <w:pPr>
              <w:spacing w:after="0"/>
              <w:rPr>
                <w:sz w:val="20"/>
                <w:szCs w:val="20"/>
              </w:rPr>
            </w:pPr>
            <w:r w:rsidRPr="000C7F36">
              <w:rPr>
                <w:sz w:val="20"/>
                <w:szCs w:val="20"/>
              </w:rPr>
              <w:t>2,034</w:t>
            </w:r>
          </w:p>
        </w:tc>
        <w:tc>
          <w:tcPr>
            <w:tcW w:w="8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93A5CE" w14:textId="77777777" w:rsidR="00B96E94" w:rsidRPr="000C7F36" w:rsidRDefault="00B96E94">
            <w:pPr>
              <w:spacing w:after="0"/>
              <w:rPr>
                <w:sz w:val="20"/>
                <w:szCs w:val="20"/>
              </w:rPr>
            </w:pPr>
            <w:r w:rsidRPr="000C7F36">
              <w:rPr>
                <w:sz w:val="20"/>
                <w:szCs w:val="20"/>
              </w:rPr>
              <w:t>3,492</w:t>
            </w:r>
          </w:p>
        </w:tc>
        <w:tc>
          <w:tcPr>
            <w:tcW w:w="8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4CB330" w14:textId="77777777" w:rsidR="00B96E94" w:rsidRPr="000C7F36" w:rsidRDefault="00B96E94">
            <w:pPr>
              <w:spacing w:after="0"/>
              <w:rPr>
                <w:sz w:val="20"/>
                <w:szCs w:val="20"/>
              </w:rPr>
            </w:pPr>
            <w:r w:rsidRPr="000C7F36">
              <w:rPr>
                <w:sz w:val="20"/>
                <w:szCs w:val="20"/>
              </w:rPr>
              <w:t>3,087</w:t>
            </w:r>
          </w:p>
        </w:tc>
        <w:tc>
          <w:tcPr>
            <w:tcW w:w="891" w:type="dxa"/>
            <w:tcBorders>
              <w:top w:val="single" w:sz="4" w:space="0" w:color="auto"/>
              <w:left w:val="single" w:sz="4" w:space="0" w:color="auto"/>
              <w:bottom w:val="single" w:sz="4" w:space="0" w:color="auto"/>
              <w:right w:val="single" w:sz="4" w:space="0" w:color="auto"/>
            </w:tcBorders>
            <w:vAlign w:val="center"/>
          </w:tcPr>
          <w:p w14:paraId="0F833319" w14:textId="77777777" w:rsidR="00B96E94" w:rsidRPr="000C7F36" w:rsidRDefault="00B96E94">
            <w:pPr>
              <w:spacing w:after="0"/>
              <w:ind w:left="57"/>
              <w:rPr>
                <w:sz w:val="20"/>
                <w:szCs w:val="20"/>
              </w:rPr>
            </w:pPr>
            <w:r w:rsidRPr="000C7F36">
              <w:rPr>
                <w:sz w:val="20"/>
                <w:szCs w:val="20"/>
              </w:rPr>
              <w:t>1,321</w:t>
            </w:r>
          </w:p>
        </w:tc>
        <w:tc>
          <w:tcPr>
            <w:tcW w:w="709" w:type="dxa"/>
            <w:tcBorders>
              <w:top w:val="single" w:sz="4" w:space="0" w:color="auto"/>
              <w:left w:val="single" w:sz="4" w:space="0" w:color="auto"/>
              <w:bottom w:val="single" w:sz="4" w:space="0" w:color="auto"/>
              <w:right w:val="single" w:sz="4" w:space="0" w:color="auto"/>
            </w:tcBorders>
            <w:vAlign w:val="center"/>
          </w:tcPr>
          <w:p w14:paraId="374C06E5" w14:textId="77777777" w:rsidR="00B96E94" w:rsidRPr="000C7F36" w:rsidRDefault="00B96E94">
            <w:pPr>
              <w:spacing w:after="0"/>
              <w:ind w:left="57"/>
              <w:rPr>
                <w:sz w:val="20"/>
                <w:szCs w:val="20"/>
              </w:rPr>
            </w:pPr>
            <w:r w:rsidRPr="000C7F36">
              <w:rPr>
                <w:sz w:val="20"/>
                <w:szCs w:val="20"/>
              </w:rPr>
              <w:t>22,326</w:t>
            </w:r>
          </w:p>
        </w:tc>
      </w:tr>
    </w:tbl>
    <w:p w14:paraId="0160B1B2" w14:textId="77777777" w:rsidR="00B96E94" w:rsidRPr="008275E1" w:rsidRDefault="00B96E94" w:rsidP="00B96E94">
      <w:pPr>
        <w:pStyle w:val="Source"/>
      </w:pPr>
      <w:r w:rsidRPr="008275E1">
        <w:rPr>
          <w:b/>
          <w:bCs/>
        </w:rPr>
        <w:t>Notes:</w:t>
      </w:r>
      <w:r w:rsidRPr="008275E1">
        <w:t xml:space="preserve"> </w:t>
      </w:r>
      <w:r>
        <w:t xml:space="preserve">ABCC: Australian Building and Construction Commission; </w:t>
      </w:r>
      <w:r w:rsidRPr="008275E1">
        <w:t>+ Investigations were often ‘finalised’ in years after they were ‘commenced’</w:t>
      </w:r>
      <w:r>
        <w:t xml:space="preserve">; </w:t>
      </w:r>
      <w:r w:rsidRPr="008275E1">
        <w:t>* Data not available to the Review Panel.</w:t>
      </w:r>
    </w:p>
    <w:p w14:paraId="758D978F" w14:textId="77777777" w:rsidR="00B96E94" w:rsidRPr="008275E1" w:rsidRDefault="00B96E94" w:rsidP="00B96E94">
      <w:pPr>
        <w:pStyle w:val="Source"/>
      </w:pPr>
      <w:r w:rsidRPr="008275E1">
        <w:rPr>
          <w:b/>
          <w:bCs/>
        </w:rPr>
        <w:t>Source:</w:t>
      </w:r>
      <w:r w:rsidRPr="008275E1">
        <w:t xml:space="preserve"> </w:t>
      </w:r>
      <w:r>
        <w:t>ABCC</w:t>
      </w:r>
      <w:r w:rsidRPr="008275E1">
        <w:t xml:space="preserve"> annual reports, </w:t>
      </w:r>
      <w:r>
        <w:t xml:space="preserve">various; </w:t>
      </w:r>
      <w:r w:rsidRPr="001A0054">
        <w:t xml:space="preserve">Fair Work Ombudsman, </w:t>
      </w:r>
      <w:r w:rsidRPr="001A0054">
        <w:rPr>
          <w:i/>
          <w:iCs/>
        </w:rPr>
        <w:t>Annual report 2022-</w:t>
      </w:r>
      <w:r w:rsidRPr="001A0054">
        <w:rPr>
          <w:i/>
        </w:rPr>
        <w:t>23</w:t>
      </w:r>
    </w:p>
    <w:p w14:paraId="7BE82A67" w14:textId="77777777" w:rsidR="00B96E94" w:rsidRPr="00F46E84" w:rsidRDefault="00B96E94" w:rsidP="00D82BD0">
      <w:pPr>
        <w:rPr>
          <w:rFonts w:eastAsia="MS Mincho" w:cs="Arial"/>
        </w:rPr>
      </w:pPr>
    </w:p>
    <w:p w14:paraId="7B68E871" w14:textId="77777777" w:rsidR="00D82BD0" w:rsidRPr="00A96ADF" w:rsidRDefault="00D82BD0" w:rsidP="008275E1">
      <w:pPr>
        <w:pStyle w:val="Heading5"/>
      </w:pPr>
      <w:bookmarkStart w:id="69" w:name="_Toc187421568"/>
      <w:bookmarkStart w:id="70" w:name="_Toc187946370"/>
      <w:r w:rsidRPr="00A96ADF">
        <w:t>4.2.2 Qualitative evidence</w:t>
      </w:r>
      <w:bookmarkEnd w:id="69"/>
      <w:bookmarkEnd w:id="70"/>
    </w:p>
    <w:p w14:paraId="02AA2BF2" w14:textId="278B0153" w:rsidR="00D82BD0" w:rsidRPr="007456F6" w:rsidRDefault="00D82BD0" w:rsidP="00D82BD0">
      <w:r>
        <w:rPr>
          <w:rFonts w:eastAsia="MS Mincho" w:cs="Arial"/>
        </w:rPr>
        <w:t>This section will examine qualitative evidence, focusing on four main areas of activity: the FWO’s compliance and enforcement policy; the FWO’s education and engagement with the building and construction industry; administration of the CFMEU; and more information on two litigations commenced by the FWO against the CFMEU.</w:t>
      </w:r>
    </w:p>
    <w:p w14:paraId="556494E4" w14:textId="1CA7180C" w:rsidR="00D82BD0" w:rsidRPr="00167CB8" w:rsidRDefault="00D82BD0" w:rsidP="00D82BD0">
      <w:pPr>
        <w:rPr>
          <w:rFonts w:eastAsia="MS Mincho" w:cs="Arial"/>
        </w:rPr>
      </w:pPr>
      <w:r>
        <w:rPr>
          <w:rFonts w:eastAsia="MS Mincho" w:cs="Arial"/>
        </w:rPr>
        <w:t>First, the</w:t>
      </w:r>
      <w:r w:rsidRPr="396ABCA7">
        <w:rPr>
          <w:rFonts w:eastAsia="MS Mincho" w:cs="Arial"/>
        </w:rPr>
        <w:t xml:space="preserve"> FWO released a new </w:t>
      </w:r>
      <w:r w:rsidRPr="00C10784">
        <w:rPr>
          <w:rFonts w:eastAsia="MS Mincho" w:cs="Arial"/>
        </w:rPr>
        <w:t>Compliance and Enforcement Policy in January</w:t>
      </w:r>
      <w:r w:rsidRPr="396ABCA7">
        <w:rPr>
          <w:rFonts w:eastAsia="MS Mincho" w:cs="Arial"/>
        </w:rPr>
        <w:t xml:space="preserve"> 2025 which guides the </w:t>
      </w:r>
      <w:r w:rsidRPr="00C10784">
        <w:rPr>
          <w:rFonts w:eastAsia="MS Mincho" w:cs="Arial"/>
        </w:rPr>
        <w:t>agenc</w:t>
      </w:r>
      <w:r w:rsidR="00F3521D" w:rsidRPr="00A96ADF">
        <w:rPr>
          <w:rFonts w:eastAsia="MS Mincho" w:cs="Arial"/>
        </w:rPr>
        <w:t>y’s</w:t>
      </w:r>
      <w:r w:rsidRPr="00C10784">
        <w:rPr>
          <w:rFonts w:eastAsia="MS Mincho" w:cs="Arial"/>
        </w:rPr>
        <w:t xml:space="preserve"> </w:t>
      </w:r>
      <w:r w:rsidRPr="00EC3517">
        <w:rPr>
          <w:rFonts w:eastAsia="MS Mincho" w:cs="Arial"/>
        </w:rPr>
        <w:t>fulfilment</w:t>
      </w:r>
      <w:r w:rsidRPr="396ABCA7">
        <w:rPr>
          <w:rFonts w:eastAsia="MS Mincho" w:cs="Arial"/>
        </w:rPr>
        <w:t xml:space="preserve"> of its compliance and enforcement functions and use of compliance and enforcement powers.</w:t>
      </w:r>
      <w:r w:rsidRPr="396ABCA7">
        <w:rPr>
          <w:rStyle w:val="FootnoteReference"/>
          <w:rFonts w:eastAsia="MS Mincho" w:cs="Arial"/>
        </w:rPr>
        <w:footnoteReference w:id="68"/>
      </w:r>
      <w:r w:rsidRPr="396ABCA7">
        <w:rPr>
          <w:rFonts w:eastAsia="MS Mincho" w:cs="Arial"/>
        </w:rPr>
        <w:t xml:space="preserve"> The </w:t>
      </w:r>
      <w:r w:rsidR="00F3521D">
        <w:rPr>
          <w:rFonts w:eastAsia="MS Mincho" w:cs="Arial"/>
        </w:rPr>
        <w:t>p</w:t>
      </w:r>
      <w:r w:rsidRPr="396ABCA7">
        <w:rPr>
          <w:rFonts w:eastAsia="MS Mincho" w:cs="Arial"/>
        </w:rPr>
        <w:t>olicy outlines the FWO’s compliance and enforcement regulatory model, which is driven by the ‘</w:t>
      </w:r>
      <w:r w:rsidRPr="00C5074A">
        <w:rPr>
          <w:rFonts w:eastAsia="MS Mincho" w:cs="Arial"/>
        </w:rPr>
        <w:t>Compliance Triangle’, as seen in Figure 2</w:t>
      </w:r>
      <w:r w:rsidRPr="396ABCA7">
        <w:rPr>
          <w:rFonts w:eastAsia="MS Mincho" w:cs="Arial"/>
        </w:rPr>
        <w:t xml:space="preserve"> below.</w:t>
      </w:r>
    </w:p>
    <w:p w14:paraId="0EB0CE98" w14:textId="1A8577B7" w:rsidR="00D82BD0" w:rsidRPr="00167CB8" w:rsidRDefault="00EC3517" w:rsidP="007F380D">
      <w:pPr>
        <w:pStyle w:val="Caption"/>
      </w:pPr>
      <w:bookmarkStart w:id="71" w:name="_Toc194251500"/>
      <w:r>
        <w:lastRenderedPageBreak/>
        <w:t xml:space="preserve">Figure </w:t>
      </w:r>
      <w:r>
        <w:fldChar w:fldCharType="begin"/>
      </w:r>
      <w:r>
        <w:instrText xml:space="preserve"> SEQ Figure \* ARABIC </w:instrText>
      </w:r>
      <w:r>
        <w:fldChar w:fldCharType="separate"/>
      </w:r>
      <w:r w:rsidR="00DE5F5E">
        <w:rPr>
          <w:noProof/>
        </w:rPr>
        <w:t>2</w:t>
      </w:r>
      <w:r>
        <w:fldChar w:fldCharType="end"/>
      </w:r>
      <w:r>
        <w:t xml:space="preserve">: </w:t>
      </w:r>
      <w:r w:rsidR="00D82BD0" w:rsidRPr="00167CB8">
        <w:t xml:space="preserve">The </w:t>
      </w:r>
      <w:r w:rsidR="00C10784">
        <w:t xml:space="preserve">Fair Work Ombudsman </w:t>
      </w:r>
      <w:r w:rsidR="00D82BD0" w:rsidRPr="00167CB8">
        <w:t>Compliance Triangle</w:t>
      </w:r>
      <w:bookmarkEnd w:id="71"/>
    </w:p>
    <w:p w14:paraId="2FF24695" w14:textId="77777777" w:rsidR="00D82BD0" w:rsidRPr="00167CB8" w:rsidRDefault="00D82BD0" w:rsidP="00D82BD0">
      <w:pPr>
        <w:keepNext/>
        <w:jc w:val="center"/>
        <w:rPr>
          <w:rFonts w:eastAsia="MS Mincho" w:cs="Arial"/>
        </w:rPr>
      </w:pPr>
      <w:r w:rsidRPr="00167CB8">
        <w:rPr>
          <w:rFonts w:eastAsia="MS Mincho" w:cs="Arial"/>
          <w:noProof/>
        </w:rPr>
        <w:drawing>
          <wp:inline distT="0" distB="0" distL="0" distR="0" wp14:anchorId="79E33BBE" wp14:editId="1FAFF9E0">
            <wp:extent cx="3234906" cy="2933535"/>
            <wp:effectExtent l="0" t="0" r="3810" b="635"/>
            <wp:docPr id="1934269409" name="Picture 1" descr="A diagram of a compliance triangle.&#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269409" name="Picture 1" descr="A diagram of a compliance triangle.&#10;&#10;See alt-text following the Source."/>
                    <pic:cNvPicPr/>
                  </pic:nvPicPr>
                  <pic:blipFill>
                    <a:blip r:embed="rId14"/>
                    <a:stretch>
                      <a:fillRect/>
                    </a:stretch>
                  </pic:blipFill>
                  <pic:spPr>
                    <a:xfrm>
                      <a:off x="0" y="0"/>
                      <a:ext cx="3250348" cy="2947538"/>
                    </a:xfrm>
                    <a:prstGeom prst="rect">
                      <a:avLst/>
                    </a:prstGeom>
                  </pic:spPr>
                </pic:pic>
              </a:graphicData>
            </a:graphic>
          </wp:inline>
        </w:drawing>
      </w:r>
    </w:p>
    <w:p w14:paraId="7C8A7FCB" w14:textId="7A10F124" w:rsidR="00D82BD0" w:rsidRPr="001C5828" w:rsidRDefault="00D82BD0" w:rsidP="00C75CE5">
      <w:pPr>
        <w:pStyle w:val="Source"/>
      </w:pPr>
      <w:r w:rsidRPr="00C75CE5">
        <w:rPr>
          <w:rFonts w:eastAsia="MS Mincho" w:cs="Arial"/>
          <w:b/>
          <w:bCs/>
        </w:rPr>
        <w:t>Source:</w:t>
      </w:r>
      <w:r w:rsidRPr="001C5828">
        <w:rPr>
          <w:rFonts w:eastAsia="MS Mincho" w:cs="Arial"/>
        </w:rPr>
        <w:t xml:space="preserve"> </w:t>
      </w:r>
      <w:r w:rsidR="00C10784">
        <w:rPr>
          <w:rFonts w:eastAsia="MS Mincho" w:cs="Arial"/>
        </w:rPr>
        <w:tab/>
      </w:r>
      <w:r w:rsidRPr="001C5828">
        <w:t xml:space="preserve">Fair Work Ombudsman, </w:t>
      </w:r>
      <w:r w:rsidRPr="00C10784">
        <w:rPr>
          <w:i/>
        </w:rPr>
        <w:t>Compliance and Enforcement Policy</w:t>
      </w:r>
      <w:r w:rsidRPr="001C5828">
        <w:t xml:space="preserve"> (2025).</w:t>
      </w:r>
      <w:r w:rsidRPr="001C5828">
        <w:rPr>
          <w:rStyle w:val="FootnoteReference"/>
          <w:rFonts w:eastAsia="MS Mincho" w:cs="Arial"/>
        </w:rPr>
        <w:footnoteReference w:id="69"/>
      </w:r>
    </w:p>
    <w:p w14:paraId="7C27AC47" w14:textId="05464B85" w:rsidR="0011475D" w:rsidRDefault="00D82BD0" w:rsidP="00D82BD0">
      <w:pPr>
        <w:rPr>
          <w:rFonts w:eastAsia="MS Mincho" w:cs="Arial"/>
          <w:sz w:val="18"/>
          <w:szCs w:val="18"/>
        </w:rPr>
      </w:pPr>
      <w:r w:rsidRPr="001C5828">
        <w:rPr>
          <w:rFonts w:eastAsia="MS Mincho" w:cs="Arial"/>
          <w:b/>
          <w:sz w:val="18"/>
          <w:szCs w:val="18"/>
        </w:rPr>
        <w:t>Alt-text:</w:t>
      </w:r>
      <w:r w:rsidRPr="001C5828">
        <w:rPr>
          <w:rFonts w:eastAsia="MS Mincho" w:cs="Arial"/>
          <w:sz w:val="18"/>
          <w:szCs w:val="18"/>
        </w:rPr>
        <w:t xml:space="preserve"> A triangular shaped graphic separated into three parts to represent enforcement options in regulatory practice. The base of the triangle, representing an initial and common regulatory response is 'Voluntary </w:t>
      </w:r>
      <w:r w:rsidR="00C10784">
        <w:rPr>
          <w:rFonts w:eastAsia="MS Mincho" w:cs="Arial"/>
          <w:sz w:val="18"/>
          <w:szCs w:val="18"/>
        </w:rPr>
        <w:t>c</w:t>
      </w:r>
      <w:r w:rsidRPr="001C5828">
        <w:rPr>
          <w:rFonts w:eastAsia="MS Mincho" w:cs="Arial"/>
          <w:sz w:val="18"/>
          <w:szCs w:val="18"/>
        </w:rPr>
        <w:t xml:space="preserve">ompliance', and each part of the increasingly more responsive regulatory approaches to potential non-compliance are ‘Guided </w:t>
      </w:r>
      <w:r w:rsidR="00C10784">
        <w:rPr>
          <w:rFonts w:eastAsia="MS Mincho" w:cs="Arial"/>
          <w:sz w:val="18"/>
          <w:szCs w:val="18"/>
        </w:rPr>
        <w:t>c</w:t>
      </w:r>
      <w:r w:rsidRPr="001C5828">
        <w:rPr>
          <w:rFonts w:eastAsia="MS Mincho" w:cs="Arial"/>
          <w:sz w:val="18"/>
          <w:szCs w:val="18"/>
        </w:rPr>
        <w:t>ompliance’ with the top part of the triangle representing ‘Enforced compliance’.</w:t>
      </w:r>
    </w:p>
    <w:p w14:paraId="326B93DB" w14:textId="08071412" w:rsidR="00D82BD0" w:rsidRPr="00167CB8" w:rsidRDefault="00D82BD0" w:rsidP="00D82BD0">
      <w:pPr>
        <w:rPr>
          <w:rFonts w:eastAsia="MS Mincho" w:cs="Arial"/>
        </w:rPr>
      </w:pPr>
      <w:r w:rsidRPr="00167CB8">
        <w:rPr>
          <w:rFonts w:eastAsia="MS Mincho" w:cs="Arial"/>
        </w:rPr>
        <w:t xml:space="preserve">In this regulatory model, </w:t>
      </w:r>
      <w:r>
        <w:rPr>
          <w:rFonts w:eastAsia="MS Mincho" w:cs="Arial"/>
        </w:rPr>
        <w:t>most</w:t>
      </w:r>
      <w:r w:rsidRPr="00167CB8">
        <w:rPr>
          <w:rFonts w:eastAsia="MS Mincho" w:cs="Arial"/>
        </w:rPr>
        <w:t xml:space="preserve"> requests for assistance are responded to through the FWO providing information, education and advice to ‘support cooperation between parties’ and ‘encourage voluntary compliance’.</w:t>
      </w:r>
      <w:r w:rsidRPr="00167CB8">
        <w:rPr>
          <w:rStyle w:val="FootnoteReference"/>
          <w:rFonts w:eastAsia="MS Mincho" w:cs="Arial"/>
        </w:rPr>
        <w:footnoteReference w:id="70"/>
      </w:r>
      <w:r w:rsidRPr="00167CB8">
        <w:rPr>
          <w:rFonts w:eastAsia="MS Mincho" w:cs="Arial"/>
        </w:rPr>
        <w:t xml:space="preserve"> </w:t>
      </w:r>
      <w:r>
        <w:rPr>
          <w:rFonts w:eastAsia="MS Mincho" w:cs="Arial"/>
        </w:rPr>
        <w:t>In this way</w:t>
      </w:r>
      <w:r w:rsidRPr="00167CB8">
        <w:rPr>
          <w:rFonts w:eastAsia="MS Mincho" w:cs="Arial"/>
        </w:rPr>
        <w:t>, the FWO raises stakeholder awareness of rights and obligations under workplace law, promotes engagement at the workplace</w:t>
      </w:r>
      <w:r w:rsidR="00F3521D">
        <w:rPr>
          <w:rFonts w:eastAsia="MS Mincho" w:cs="Arial"/>
        </w:rPr>
        <w:t xml:space="preserve"> </w:t>
      </w:r>
      <w:r w:rsidRPr="00167CB8">
        <w:rPr>
          <w:rFonts w:eastAsia="MS Mincho" w:cs="Arial"/>
        </w:rPr>
        <w:t>level, and ‘builds capabilities that sustain compliance’.</w:t>
      </w:r>
      <w:r w:rsidRPr="00167CB8">
        <w:rPr>
          <w:rStyle w:val="FootnoteReference"/>
          <w:rFonts w:eastAsia="MS Mincho" w:cs="Arial"/>
        </w:rPr>
        <w:footnoteReference w:id="71"/>
      </w:r>
    </w:p>
    <w:p w14:paraId="6413FAF1" w14:textId="69590ABD" w:rsidR="00D82BD0" w:rsidRPr="00167CB8" w:rsidRDefault="00D82BD0" w:rsidP="00D82BD0">
      <w:pPr>
        <w:rPr>
          <w:rFonts w:eastAsia="MS Mincho" w:cs="Arial"/>
        </w:rPr>
      </w:pPr>
      <w:r w:rsidRPr="396ABCA7">
        <w:rPr>
          <w:rFonts w:eastAsia="MS Mincho" w:cs="Arial"/>
        </w:rPr>
        <w:t>The second largest number of requests for assistance fall in the middle tier, under which the FWO undertakes guided compliance (usually following an investigation).</w:t>
      </w:r>
      <w:r w:rsidRPr="396ABCA7">
        <w:rPr>
          <w:rStyle w:val="FootnoteReference"/>
          <w:rFonts w:eastAsia="MS Mincho" w:cs="Arial"/>
        </w:rPr>
        <w:footnoteReference w:id="72"/>
      </w:r>
      <w:r w:rsidRPr="396ABCA7">
        <w:rPr>
          <w:rFonts w:eastAsia="MS Mincho" w:cs="Arial"/>
        </w:rPr>
        <w:t xml:space="preserve"> This most commonly involves the FWO issuing compliance notices but can involve use of other enforcement tools such as contravention letters.</w:t>
      </w:r>
      <w:r w:rsidRPr="396ABCA7">
        <w:rPr>
          <w:rStyle w:val="FootnoteReference"/>
          <w:rFonts w:eastAsia="MS Mincho" w:cs="Arial"/>
        </w:rPr>
        <w:footnoteReference w:id="73"/>
      </w:r>
    </w:p>
    <w:p w14:paraId="6D8EED34" w14:textId="73D2E3ED" w:rsidR="00D82BD0" w:rsidRPr="00167CB8" w:rsidRDefault="00D82BD0" w:rsidP="00D82BD0">
      <w:pPr>
        <w:rPr>
          <w:rFonts w:eastAsia="MS Mincho" w:cs="Arial"/>
          <w:i/>
          <w:iCs/>
        </w:rPr>
      </w:pPr>
      <w:r w:rsidRPr="396ABCA7">
        <w:rPr>
          <w:rFonts w:eastAsia="MS Mincho" w:cs="Arial"/>
        </w:rPr>
        <w:t>The smallest number of requests for assistance fall into the ‘</w:t>
      </w:r>
      <w:r w:rsidR="00C10784">
        <w:rPr>
          <w:rFonts w:eastAsia="MS Mincho" w:cs="Arial"/>
        </w:rPr>
        <w:t>E</w:t>
      </w:r>
      <w:r w:rsidRPr="396ABCA7">
        <w:rPr>
          <w:rFonts w:eastAsia="MS Mincho" w:cs="Arial"/>
        </w:rPr>
        <w:t>nforced compliance’ tier of the triangle, which deals with significant noncompliance that warrants a stronger enforcement response, such as litigation.</w:t>
      </w:r>
      <w:r w:rsidRPr="396ABCA7">
        <w:rPr>
          <w:rStyle w:val="FootnoteReference"/>
          <w:rFonts w:eastAsia="MS Mincho" w:cs="Arial"/>
        </w:rPr>
        <w:footnoteReference w:id="74"/>
      </w:r>
    </w:p>
    <w:p w14:paraId="1F2ED52F" w14:textId="47E6195C" w:rsidR="00D82BD0" w:rsidRPr="00167CB8" w:rsidDel="007E36B6" w:rsidRDefault="00D82BD0" w:rsidP="00D82BD0">
      <w:pPr>
        <w:rPr>
          <w:rFonts w:eastAsia="MS Mincho" w:cs="Arial"/>
        </w:rPr>
      </w:pPr>
      <w:r>
        <w:rPr>
          <w:rFonts w:eastAsia="MS Mincho" w:cs="Arial"/>
        </w:rPr>
        <w:lastRenderedPageBreak/>
        <w:t>The second are</w:t>
      </w:r>
      <w:r w:rsidR="00F3521D">
        <w:rPr>
          <w:rFonts w:eastAsia="MS Mincho" w:cs="Arial"/>
        </w:rPr>
        <w:t>a</w:t>
      </w:r>
      <w:r>
        <w:rPr>
          <w:rFonts w:eastAsia="MS Mincho" w:cs="Arial"/>
        </w:rPr>
        <w:t xml:space="preserve"> of FWO activity focuses on its education and engagement with the building and construction industry. I</w:t>
      </w:r>
      <w:r w:rsidRPr="00167CB8">
        <w:rPr>
          <w:rFonts w:eastAsia="MS Mincho" w:cs="Arial"/>
        </w:rPr>
        <w:t>n response to taking on responsibility for the commercial building and construction sector, t</w:t>
      </w:r>
      <w:r w:rsidRPr="00167CB8" w:rsidDel="007E36B6">
        <w:rPr>
          <w:rFonts w:eastAsia="MS Mincho" w:cs="Arial"/>
        </w:rPr>
        <w:t xml:space="preserve">he FWO </w:t>
      </w:r>
      <w:r w:rsidRPr="00167CB8">
        <w:rPr>
          <w:rFonts w:eastAsia="MS Mincho" w:cs="Arial"/>
        </w:rPr>
        <w:t>‘</w:t>
      </w:r>
      <w:r w:rsidRPr="00167CB8" w:rsidDel="007E36B6">
        <w:rPr>
          <w:rFonts w:eastAsia="MS Mincho" w:cs="Arial"/>
        </w:rPr>
        <w:t>published</w:t>
      </w:r>
      <w:r w:rsidRPr="00167CB8">
        <w:rPr>
          <w:rFonts w:eastAsia="MS Mincho" w:cs="Arial"/>
        </w:rPr>
        <w:t xml:space="preserve"> [its]</w:t>
      </w:r>
      <w:r w:rsidRPr="00167CB8" w:rsidDel="007E36B6">
        <w:rPr>
          <w:rFonts w:eastAsia="MS Mincho" w:cs="Arial"/>
        </w:rPr>
        <w:t xml:space="preserve"> tailored industry information with pathways to other relevant information across the website</w:t>
      </w:r>
      <w:r w:rsidRPr="00167CB8">
        <w:rPr>
          <w:rFonts w:eastAsia="MS Mincho" w:cs="Arial"/>
        </w:rPr>
        <w:t>’</w:t>
      </w:r>
      <w:r w:rsidRPr="00167CB8" w:rsidDel="007E36B6">
        <w:rPr>
          <w:rFonts w:eastAsia="MS Mincho" w:cs="Arial"/>
        </w:rPr>
        <w:t xml:space="preserve">, </w:t>
      </w:r>
      <w:r w:rsidRPr="00167CB8">
        <w:rPr>
          <w:rFonts w:eastAsia="MS Mincho" w:cs="Arial"/>
        </w:rPr>
        <w:t>‘</w:t>
      </w:r>
      <w:r w:rsidRPr="00167CB8" w:rsidDel="007E36B6">
        <w:rPr>
          <w:rFonts w:eastAsia="MS Mincho" w:cs="Arial"/>
        </w:rPr>
        <w:t xml:space="preserve">made changes across </w:t>
      </w:r>
      <w:r w:rsidRPr="00167CB8">
        <w:rPr>
          <w:rFonts w:eastAsia="MS Mincho" w:cs="Arial"/>
        </w:rPr>
        <w:t>[its]</w:t>
      </w:r>
      <w:r w:rsidRPr="00167CB8" w:rsidDel="007E36B6">
        <w:rPr>
          <w:rFonts w:eastAsia="MS Mincho" w:cs="Arial"/>
        </w:rPr>
        <w:t xml:space="preserve"> website to promote important information for the industry and to ensure relevant information is easy to find</w:t>
      </w:r>
      <w:r w:rsidRPr="00167CB8">
        <w:rPr>
          <w:rFonts w:eastAsia="MS Mincho" w:cs="Arial"/>
        </w:rPr>
        <w:t>’ and ‘</w:t>
      </w:r>
      <w:r w:rsidRPr="00167CB8" w:rsidDel="007E36B6">
        <w:rPr>
          <w:rFonts w:eastAsia="MS Mincho" w:cs="Arial"/>
        </w:rPr>
        <w:t xml:space="preserve">updated existing </w:t>
      </w:r>
      <w:r w:rsidRPr="00167CB8">
        <w:rPr>
          <w:rFonts w:eastAsia="MS Mincho" w:cs="Arial"/>
        </w:rPr>
        <w:t xml:space="preserve">[web] </w:t>
      </w:r>
      <w:r w:rsidRPr="00167CB8" w:rsidDel="007E36B6">
        <w:rPr>
          <w:rFonts w:eastAsia="MS Mincho" w:cs="Arial"/>
        </w:rPr>
        <w:t>information with comprehensive industry-specific information</w:t>
      </w:r>
      <w:r w:rsidRPr="00167CB8">
        <w:rPr>
          <w:rFonts w:eastAsia="MS Mincho" w:cs="Arial"/>
        </w:rPr>
        <w:t>’</w:t>
      </w:r>
      <w:r w:rsidRPr="00167CB8" w:rsidDel="007E36B6">
        <w:rPr>
          <w:rFonts w:eastAsia="MS Mincho" w:cs="Arial"/>
        </w:rPr>
        <w:t>.</w:t>
      </w:r>
      <w:r w:rsidRPr="00167CB8" w:rsidDel="007E36B6">
        <w:rPr>
          <w:rFonts w:eastAsia="MS Mincho" w:cs="Arial"/>
          <w:vertAlign w:val="superscript"/>
        </w:rPr>
        <w:footnoteReference w:id="75"/>
      </w:r>
      <w:r w:rsidRPr="00167CB8" w:rsidDel="007E36B6">
        <w:rPr>
          <w:rFonts w:eastAsia="MS Mincho" w:cs="Arial"/>
        </w:rPr>
        <w:t xml:space="preserve"> </w:t>
      </w:r>
      <w:r w:rsidRPr="00167CB8">
        <w:rPr>
          <w:rFonts w:eastAsia="MS Mincho" w:cs="Arial"/>
        </w:rPr>
        <w:t>The FWO has</w:t>
      </w:r>
      <w:r w:rsidRPr="00167CB8" w:rsidDel="007E36B6">
        <w:rPr>
          <w:rFonts w:eastAsia="MS Mincho" w:cs="Arial"/>
        </w:rPr>
        <w:t xml:space="preserve"> conducted user testing to ensure the information meets the needs of industry employers and employees.</w:t>
      </w:r>
      <w:r w:rsidRPr="00167CB8" w:rsidDel="007E36B6">
        <w:rPr>
          <w:rFonts w:eastAsia="MS Mincho" w:cs="Arial"/>
          <w:vertAlign w:val="superscript"/>
        </w:rPr>
        <w:footnoteReference w:id="76"/>
      </w:r>
    </w:p>
    <w:p w14:paraId="62B53820" w14:textId="1388D655" w:rsidR="00D82BD0" w:rsidRPr="00167CB8" w:rsidDel="007E36B6" w:rsidRDefault="00D82BD0" w:rsidP="00D82BD0">
      <w:pPr>
        <w:rPr>
          <w:rFonts w:eastAsia="MS Mincho" w:cs="Arial"/>
        </w:rPr>
      </w:pPr>
      <w:r w:rsidRPr="00167CB8" w:rsidDel="007E36B6">
        <w:rPr>
          <w:rFonts w:eastAsia="MS Mincho" w:cs="Arial"/>
        </w:rPr>
        <w:t>In December 2023 the FWO launched a dedicated section of their website,</w:t>
      </w:r>
      <w:r>
        <w:rPr>
          <w:rFonts w:eastAsia="MS Mincho" w:cs="Arial"/>
        </w:rPr>
        <w:t xml:space="preserve"> entitled</w:t>
      </w:r>
      <w:r w:rsidRPr="00167CB8" w:rsidDel="007E36B6">
        <w:rPr>
          <w:rFonts w:eastAsia="MS Mincho" w:cs="Arial"/>
        </w:rPr>
        <w:t xml:space="preserve"> </w:t>
      </w:r>
      <w:r w:rsidRPr="00167CB8">
        <w:rPr>
          <w:rFonts w:eastAsia="MS Mincho" w:cs="Arial"/>
        </w:rPr>
        <w:t>‘</w:t>
      </w:r>
      <w:r w:rsidRPr="00167CB8" w:rsidDel="007E36B6">
        <w:rPr>
          <w:rFonts w:eastAsia="MS Mincho" w:cs="Arial"/>
        </w:rPr>
        <w:t xml:space="preserve">Find help for </w:t>
      </w:r>
      <w:r w:rsidRPr="00167CB8">
        <w:rPr>
          <w:rFonts w:eastAsia="MS Mincho" w:cs="Arial"/>
        </w:rPr>
        <w:t>b</w:t>
      </w:r>
      <w:r w:rsidRPr="00167CB8" w:rsidDel="007E36B6">
        <w:rPr>
          <w:rFonts w:eastAsia="MS Mincho" w:cs="Arial"/>
        </w:rPr>
        <w:t>uilding and construction industry</w:t>
      </w:r>
      <w:r w:rsidRPr="00167CB8">
        <w:rPr>
          <w:rFonts w:eastAsia="MS Mincho" w:cs="Arial"/>
        </w:rPr>
        <w:t>’</w:t>
      </w:r>
      <w:r>
        <w:rPr>
          <w:rFonts w:eastAsia="MS Mincho" w:cs="Arial"/>
        </w:rPr>
        <w:t>. This</w:t>
      </w:r>
      <w:r w:rsidRPr="00167CB8" w:rsidDel="007E36B6">
        <w:rPr>
          <w:rFonts w:eastAsia="MS Mincho" w:cs="Arial"/>
        </w:rPr>
        <w:t xml:space="preserve"> contains information on understanding the building and construction industry (and which awards apply), entitlements and allowances under the Building and Construction Award, apprentice entitlements in the industry and workplace protections.</w:t>
      </w:r>
      <w:r w:rsidRPr="00167CB8" w:rsidDel="007E36B6">
        <w:rPr>
          <w:rFonts w:eastAsia="MS Mincho" w:cs="Arial"/>
          <w:vertAlign w:val="superscript"/>
        </w:rPr>
        <w:footnoteReference w:id="77"/>
      </w:r>
      <w:r w:rsidRPr="00167CB8" w:rsidDel="007E36B6">
        <w:rPr>
          <w:rFonts w:eastAsia="MS Mincho" w:cs="Arial"/>
        </w:rPr>
        <w:t xml:space="preserve"> The FWO updated their dedicated existing website information and resources to ensure they provide appropriate information for the whole building and construction industry.</w:t>
      </w:r>
      <w:r w:rsidRPr="00167CB8" w:rsidDel="007E36B6">
        <w:rPr>
          <w:rFonts w:eastAsia="MS Mincho" w:cs="Arial"/>
          <w:vertAlign w:val="superscript"/>
        </w:rPr>
        <w:footnoteReference w:id="78"/>
      </w:r>
    </w:p>
    <w:p w14:paraId="0EDB02DA" w14:textId="4D86ABC8" w:rsidR="0011475D" w:rsidRDefault="00D82BD0" w:rsidP="00D82BD0">
      <w:pPr>
        <w:rPr>
          <w:rFonts w:eastAsia="MS Mincho" w:cs="Arial"/>
        </w:rPr>
      </w:pPr>
      <w:r w:rsidRPr="396ABCA7" w:rsidDel="007E36B6">
        <w:rPr>
          <w:rFonts w:eastAsia="MS Mincho" w:cs="Arial"/>
        </w:rPr>
        <w:t xml:space="preserve">The FWO is </w:t>
      </w:r>
      <w:r>
        <w:rPr>
          <w:rFonts w:eastAsia="MS Mincho" w:cs="Arial"/>
        </w:rPr>
        <w:t xml:space="preserve">also </w:t>
      </w:r>
      <w:r w:rsidRPr="396ABCA7" w:rsidDel="007E36B6">
        <w:rPr>
          <w:rFonts w:eastAsia="MS Mincho" w:cs="Arial"/>
        </w:rPr>
        <w:t xml:space="preserve">engaging directly with the construction industry on an ongoing basis regarding the changes to its role </w:t>
      </w:r>
      <w:r w:rsidRPr="007F2D9E" w:rsidDel="007E36B6">
        <w:rPr>
          <w:rFonts w:eastAsia="MS Mincho" w:cs="Arial"/>
        </w:rPr>
        <w:t xml:space="preserve">enforcing the Fair Work Act in </w:t>
      </w:r>
      <w:r w:rsidRPr="007F2D9E">
        <w:rPr>
          <w:rFonts w:eastAsia="MS Mincho" w:cs="Arial"/>
        </w:rPr>
        <w:t>the</w:t>
      </w:r>
      <w:r w:rsidRPr="396ABCA7">
        <w:rPr>
          <w:rFonts w:eastAsia="MS Mincho" w:cs="Arial"/>
        </w:rPr>
        <w:t xml:space="preserve"> </w:t>
      </w:r>
      <w:r w:rsidRPr="396ABCA7" w:rsidDel="007E36B6">
        <w:rPr>
          <w:rFonts w:eastAsia="MS Mincho" w:cs="Arial"/>
        </w:rPr>
        <w:t>commercial building and construction</w:t>
      </w:r>
      <w:r w:rsidRPr="396ABCA7">
        <w:rPr>
          <w:rFonts w:eastAsia="MS Mincho" w:cs="Arial"/>
        </w:rPr>
        <w:t xml:space="preserve"> sector</w:t>
      </w:r>
      <w:r w:rsidRPr="396ABCA7" w:rsidDel="007E36B6">
        <w:rPr>
          <w:rFonts w:eastAsia="MS Mincho" w:cs="Arial"/>
        </w:rPr>
        <w:t xml:space="preserve">. </w:t>
      </w:r>
      <w:r w:rsidRPr="396ABCA7">
        <w:rPr>
          <w:rFonts w:eastAsia="MS Mincho" w:cs="Arial"/>
        </w:rPr>
        <w:t>In 2023</w:t>
      </w:r>
      <w:r w:rsidRPr="396ABCA7">
        <w:rPr>
          <w:rFonts w:ascii="Symbol" w:eastAsia="Symbol" w:hAnsi="Symbol" w:cs="Symbol"/>
        </w:rPr>
        <w:t>-</w:t>
      </w:r>
      <w:r w:rsidRPr="396ABCA7">
        <w:rPr>
          <w:rFonts w:eastAsia="MS Mincho" w:cs="Arial"/>
        </w:rPr>
        <w:t>24</w:t>
      </w:r>
      <w:r>
        <w:rPr>
          <w:rFonts w:eastAsia="MS Mincho" w:cs="Arial"/>
        </w:rPr>
        <w:t>, for example,</w:t>
      </w:r>
      <w:r w:rsidRPr="396ABCA7">
        <w:rPr>
          <w:rFonts w:eastAsia="MS Mincho" w:cs="Arial"/>
        </w:rPr>
        <w:t xml:space="preserve"> the FWO had ‘focused on resetting expectation and standards of behaviour within the industry – particularly within the education space … and engagement with key stakeholders’ such as though </w:t>
      </w:r>
      <w:r w:rsidRPr="007F2D9E">
        <w:rPr>
          <w:rFonts w:eastAsia="MS Mincho" w:cs="Arial"/>
        </w:rPr>
        <w:t>the Building and Construction Reference Group.</w:t>
      </w:r>
      <w:r w:rsidRPr="007F2D9E">
        <w:rPr>
          <w:rStyle w:val="FootnoteReference"/>
          <w:rFonts w:eastAsia="MS Mincho" w:cs="Arial"/>
        </w:rPr>
        <w:footnoteReference w:id="79"/>
      </w:r>
    </w:p>
    <w:p w14:paraId="0F7A2ADB" w14:textId="46B015C1" w:rsidR="0011475D" w:rsidRDefault="00D82BD0" w:rsidP="00D82BD0">
      <w:pPr>
        <w:jc w:val="both"/>
        <w:rPr>
          <w:rFonts w:eastAsia="MS Mincho" w:cs="Arial"/>
        </w:rPr>
      </w:pPr>
      <w:r>
        <w:rPr>
          <w:rFonts w:eastAsia="MS Mincho" w:cs="Arial"/>
        </w:rPr>
        <w:t>Relatedly, t</w:t>
      </w:r>
      <w:r w:rsidRPr="396ABCA7">
        <w:rPr>
          <w:rFonts w:eastAsia="MS Mincho" w:cs="Arial"/>
        </w:rPr>
        <w:t xml:space="preserve">he FWO’s October 2023 </w:t>
      </w:r>
      <w:r>
        <w:rPr>
          <w:rFonts w:eastAsia="MS Mincho" w:cs="Arial"/>
        </w:rPr>
        <w:t>‘</w:t>
      </w:r>
      <w:r w:rsidRPr="396ABCA7">
        <w:rPr>
          <w:rFonts w:eastAsia="MS Mincho" w:cs="Arial"/>
        </w:rPr>
        <w:t>Regulator Statement of Intent</w:t>
      </w:r>
      <w:r>
        <w:rPr>
          <w:rFonts w:eastAsia="MS Mincho" w:cs="Arial"/>
        </w:rPr>
        <w:t>’</w:t>
      </w:r>
      <w:r w:rsidRPr="396ABCA7">
        <w:rPr>
          <w:rFonts w:eastAsia="MS Mincho" w:cs="Arial"/>
        </w:rPr>
        <w:t xml:space="preserve"> indicated a shift towards tripartism, collaboration and engagement in their approach to regulation and building a culture of compliance.</w:t>
      </w:r>
      <w:r w:rsidRPr="396ABCA7">
        <w:rPr>
          <w:rFonts w:eastAsia="MS Mincho" w:cs="Arial"/>
          <w:vertAlign w:val="superscript"/>
        </w:rPr>
        <w:footnoteReference w:id="80"/>
      </w:r>
      <w:r w:rsidRPr="396ABCA7">
        <w:rPr>
          <w:rFonts w:eastAsia="MS Mincho" w:cs="Arial"/>
        </w:rPr>
        <w:t xml:space="preserve"> This led to the development of tripartite advisory </w:t>
      </w:r>
      <w:r w:rsidRPr="007B6AF7">
        <w:rPr>
          <w:rFonts w:eastAsia="MS Mincho" w:cs="Arial"/>
        </w:rPr>
        <w:t>and priority sector reference groups.</w:t>
      </w:r>
      <w:r w:rsidRPr="007B6AF7">
        <w:rPr>
          <w:rFonts w:eastAsia="MS Mincho" w:cs="Arial"/>
          <w:vertAlign w:val="superscript"/>
        </w:rPr>
        <w:footnoteReference w:id="81"/>
      </w:r>
      <w:r w:rsidRPr="007B6AF7">
        <w:rPr>
          <w:rFonts w:eastAsia="MS Mincho" w:cs="Arial"/>
        </w:rPr>
        <w:t xml:space="preserve"> One such reference group relevant to this </w:t>
      </w:r>
      <w:r w:rsidR="00F3521D" w:rsidRPr="007B6AF7">
        <w:rPr>
          <w:rFonts w:eastAsia="MS Mincho" w:cs="Arial"/>
        </w:rPr>
        <w:t>R</w:t>
      </w:r>
      <w:r w:rsidRPr="007B6AF7">
        <w:rPr>
          <w:rFonts w:eastAsia="MS Mincho" w:cs="Arial"/>
        </w:rPr>
        <w:t xml:space="preserve">eview is the </w:t>
      </w:r>
      <w:r w:rsidR="00601844">
        <w:rPr>
          <w:rFonts w:eastAsia="MS Mincho" w:cs="Arial"/>
        </w:rPr>
        <w:t>aforementioned</w:t>
      </w:r>
      <w:r w:rsidRPr="007B6AF7">
        <w:rPr>
          <w:rFonts w:eastAsia="MS Mincho" w:cs="Arial"/>
        </w:rPr>
        <w:t xml:space="preserve"> </w:t>
      </w:r>
      <w:r w:rsidR="00601844">
        <w:rPr>
          <w:rFonts w:eastAsia="MS Mincho" w:cs="Arial"/>
        </w:rPr>
        <w:t>B</w:t>
      </w:r>
      <w:r w:rsidRPr="007B6AF7">
        <w:rPr>
          <w:rFonts w:eastAsia="MS Mincho" w:cs="Arial"/>
        </w:rPr>
        <w:t xml:space="preserve">uilding and </w:t>
      </w:r>
      <w:r w:rsidR="00342FC4">
        <w:rPr>
          <w:rFonts w:eastAsia="MS Mincho" w:cs="Arial"/>
        </w:rPr>
        <w:t>Co</w:t>
      </w:r>
      <w:r w:rsidRPr="007B6AF7">
        <w:rPr>
          <w:rFonts w:eastAsia="MS Mincho" w:cs="Arial"/>
        </w:rPr>
        <w:t xml:space="preserve">nstruction </w:t>
      </w:r>
      <w:r w:rsidR="00601844">
        <w:rPr>
          <w:rFonts w:eastAsia="MS Mincho" w:cs="Arial"/>
        </w:rPr>
        <w:t>R</w:t>
      </w:r>
      <w:r w:rsidRPr="007B6AF7">
        <w:rPr>
          <w:rFonts w:eastAsia="MS Mincho" w:cs="Arial"/>
        </w:rPr>
        <w:t xml:space="preserve">eference </w:t>
      </w:r>
      <w:r w:rsidR="00601844">
        <w:rPr>
          <w:rFonts w:eastAsia="MS Mincho" w:cs="Arial"/>
        </w:rPr>
        <w:t>G</w:t>
      </w:r>
      <w:r w:rsidRPr="007B6AF7">
        <w:rPr>
          <w:rFonts w:eastAsia="MS Mincho" w:cs="Arial"/>
        </w:rPr>
        <w:t>roup, which was established in early 2024. The reference group</w:t>
      </w:r>
      <w:r w:rsidRPr="396ABCA7">
        <w:rPr>
          <w:rFonts w:eastAsia="MS Mincho" w:cs="Arial"/>
        </w:rPr>
        <w:t xml:space="preserve"> helps to </w:t>
      </w:r>
      <w:r w:rsidRPr="00C10784">
        <w:rPr>
          <w:rFonts w:eastAsia="MS Mincho" w:cs="Arial"/>
        </w:rPr>
        <w:t xml:space="preserve">ensure regular communication with stakeholders on industry issues; </w:t>
      </w:r>
      <w:r w:rsidR="00F3521D" w:rsidRPr="00C10784">
        <w:rPr>
          <w:rFonts w:eastAsia="MS Mincho" w:cs="Arial"/>
        </w:rPr>
        <w:t>provide</w:t>
      </w:r>
      <w:r w:rsidR="00F3521D" w:rsidRPr="0058058F">
        <w:rPr>
          <w:rFonts w:eastAsia="MS Mincho" w:cs="Arial"/>
        </w:rPr>
        <w:t>s</w:t>
      </w:r>
      <w:r w:rsidR="00F3521D" w:rsidRPr="00C10784">
        <w:rPr>
          <w:rFonts w:eastAsia="MS Mincho" w:cs="Arial"/>
        </w:rPr>
        <w:t xml:space="preserve"> </w:t>
      </w:r>
      <w:r w:rsidRPr="00C10784">
        <w:rPr>
          <w:rFonts w:eastAsia="MS Mincho" w:cs="Arial"/>
        </w:rPr>
        <w:t>opportunities to seek input on FWO advice, education resources and activities; and identif</w:t>
      </w:r>
      <w:r w:rsidR="00F3521D" w:rsidRPr="009917E8">
        <w:rPr>
          <w:rFonts w:eastAsia="MS Mincho" w:cs="Arial"/>
        </w:rPr>
        <w:t>ies</w:t>
      </w:r>
      <w:r w:rsidRPr="00C10784">
        <w:rPr>
          <w:rFonts w:eastAsia="MS Mincho" w:cs="Arial"/>
        </w:rPr>
        <w:t xml:space="preserve"> opportunities</w:t>
      </w:r>
      <w:r w:rsidRPr="396ABCA7">
        <w:rPr>
          <w:rFonts w:eastAsia="MS Mincho" w:cs="Arial"/>
        </w:rPr>
        <w:t xml:space="preserve"> and initiatives to promote compliance.</w:t>
      </w:r>
      <w:r w:rsidRPr="396ABCA7">
        <w:rPr>
          <w:rStyle w:val="FootnoteReference"/>
          <w:rFonts w:eastAsia="MS Mincho" w:cs="Arial"/>
        </w:rPr>
        <w:footnoteReference w:id="82"/>
      </w:r>
    </w:p>
    <w:p w14:paraId="6D9E0646" w14:textId="0DEDD710" w:rsidR="0011475D" w:rsidRDefault="00D82BD0" w:rsidP="00D82BD0">
      <w:pPr>
        <w:jc w:val="both"/>
        <w:rPr>
          <w:rFonts w:eastAsia="MS Mincho" w:cs="Arial"/>
        </w:rPr>
      </w:pPr>
      <w:r>
        <w:rPr>
          <w:rFonts w:eastAsia="MS Mincho" w:cs="Arial"/>
        </w:rPr>
        <w:t xml:space="preserve">The FWO has also met with a range of stakeholders since taking responsibility for regulating the entire building and construction industry, including unions </w:t>
      </w:r>
      <w:r w:rsidRPr="00E70DE0">
        <w:rPr>
          <w:rFonts w:cs="Calibri"/>
        </w:rPr>
        <w:t>(</w:t>
      </w:r>
      <w:r w:rsidR="007F2D9E" w:rsidRPr="007F2D9E">
        <w:rPr>
          <w:rFonts w:cs="Calibri"/>
        </w:rPr>
        <w:t>Australian Council of Trade Unions (</w:t>
      </w:r>
      <w:r w:rsidRPr="007F2D9E">
        <w:rPr>
          <w:rFonts w:cs="Calibri"/>
        </w:rPr>
        <w:t>ACTU</w:t>
      </w:r>
      <w:r w:rsidR="007F2D9E" w:rsidRPr="009917E8">
        <w:rPr>
          <w:rFonts w:cs="Calibri"/>
        </w:rPr>
        <w:t>)</w:t>
      </w:r>
      <w:r w:rsidRPr="007F2D9E">
        <w:rPr>
          <w:rFonts w:cs="Calibri"/>
        </w:rPr>
        <w:t xml:space="preserve">, </w:t>
      </w:r>
      <w:r w:rsidR="007F2D9E" w:rsidRPr="009917E8">
        <w:rPr>
          <w:rFonts w:cs="Calibri"/>
        </w:rPr>
        <w:t>Electrical Trades Union</w:t>
      </w:r>
      <w:r w:rsidRPr="007F2D9E">
        <w:rPr>
          <w:rFonts w:cs="Calibri"/>
        </w:rPr>
        <w:t xml:space="preserve">, CFMEU Construction </w:t>
      </w:r>
      <w:r w:rsidR="00DD6284" w:rsidRPr="007F2D9E">
        <w:rPr>
          <w:rFonts w:cs="Calibri"/>
        </w:rPr>
        <w:t xml:space="preserve">and </w:t>
      </w:r>
      <w:r w:rsidRPr="007F2D9E">
        <w:rPr>
          <w:rFonts w:cs="Calibri"/>
        </w:rPr>
        <w:t xml:space="preserve">General Division, </w:t>
      </w:r>
      <w:r w:rsidR="007F2D9E" w:rsidRPr="009917E8">
        <w:rPr>
          <w:rFonts w:cs="Calibri"/>
        </w:rPr>
        <w:t>Australian Workers’ Union</w:t>
      </w:r>
      <w:r w:rsidR="007F2D9E" w:rsidRPr="007F2D9E">
        <w:rPr>
          <w:rFonts w:cs="Calibri"/>
        </w:rPr>
        <w:t xml:space="preserve"> </w:t>
      </w:r>
      <w:r w:rsidRPr="007F2D9E">
        <w:rPr>
          <w:rFonts w:cs="Calibri"/>
        </w:rPr>
        <w:t xml:space="preserve">and </w:t>
      </w:r>
      <w:r w:rsidR="007F2D9E" w:rsidRPr="007F2D9E">
        <w:rPr>
          <w:rFonts w:cs="Calibri"/>
        </w:rPr>
        <w:t>Australian Manufacturing Workers’ Union</w:t>
      </w:r>
      <w:r w:rsidRPr="007F2D9E">
        <w:rPr>
          <w:rFonts w:cs="Calibri"/>
        </w:rPr>
        <w:t>)</w:t>
      </w:r>
      <w:r w:rsidRPr="007F2D9E">
        <w:rPr>
          <w:rFonts w:eastAsia="MS Mincho" w:cs="Arial"/>
        </w:rPr>
        <w:t>, employer organisations (</w:t>
      </w:r>
      <w:r w:rsidR="007F2D9E" w:rsidRPr="007F2D9E">
        <w:rPr>
          <w:rFonts w:eastAsia="MS Mincho" w:cs="Arial"/>
        </w:rPr>
        <w:t>Master Builders Australia (</w:t>
      </w:r>
      <w:r w:rsidRPr="007F2D9E">
        <w:rPr>
          <w:rFonts w:cs="Calibri"/>
        </w:rPr>
        <w:t>MBA</w:t>
      </w:r>
      <w:r w:rsidR="007F2D9E" w:rsidRPr="009917E8">
        <w:rPr>
          <w:rFonts w:cs="Calibri"/>
        </w:rPr>
        <w:t>)</w:t>
      </w:r>
      <w:r w:rsidRPr="007F2D9E">
        <w:rPr>
          <w:rFonts w:cs="Calibri"/>
        </w:rPr>
        <w:t xml:space="preserve">, </w:t>
      </w:r>
      <w:r w:rsidR="007F2D9E" w:rsidRPr="007F2D9E">
        <w:rPr>
          <w:rFonts w:cs="Calibri"/>
        </w:rPr>
        <w:t>National Electrical and Communications Association</w:t>
      </w:r>
      <w:r w:rsidR="00C734F0">
        <w:rPr>
          <w:rFonts w:cs="Calibri"/>
        </w:rPr>
        <w:t>,</w:t>
      </w:r>
      <w:r w:rsidR="007F2D9E" w:rsidRPr="007F2D9E">
        <w:rPr>
          <w:rFonts w:cs="Calibri"/>
        </w:rPr>
        <w:t xml:space="preserve"> and Civil Contractors Federation</w:t>
      </w:r>
      <w:r>
        <w:rPr>
          <w:rFonts w:eastAsia="MS Mincho" w:cs="Arial"/>
        </w:rPr>
        <w:t>) and government bodies (</w:t>
      </w:r>
      <w:r w:rsidRPr="00E70DE0">
        <w:rPr>
          <w:rFonts w:cs="Calibri"/>
        </w:rPr>
        <w:t xml:space="preserve">FWC, Safe Work Australia, Comcare, NSW Fair Trading, </w:t>
      </w:r>
      <w:r w:rsidRPr="00E70DE0">
        <w:rPr>
          <w:rFonts w:cs="Calibri"/>
        </w:rPr>
        <w:lastRenderedPageBreak/>
        <w:t>Q</w:t>
      </w:r>
      <w:r w:rsidR="00F3521D">
        <w:rPr>
          <w:rFonts w:cs="Calibri"/>
        </w:rPr>
        <w:t>ueensland</w:t>
      </w:r>
      <w:r w:rsidRPr="00E70DE0">
        <w:rPr>
          <w:rFonts w:cs="Calibri"/>
        </w:rPr>
        <w:t xml:space="preserve"> Department of Energy and Public Works and Heads of Workplace Safety Authorities</w:t>
      </w:r>
      <w:r>
        <w:rPr>
          <w:rFonts w:cs="Calibri"/>
        </w:rPr>
        <w:t>)</w:t>
      </w:r>
      <w:r>
        <w:rPr>
          <w:rFonts w:eastAsia="MS Mincho" w:cs="Arial"/>
        </w:rPr>
        <w:t>.</w:t>
      </w:r>
      <w:r>
        <w:rPr>
          <w:rStyle w:val="FootnoteReference"/>
          <w:rFonts w:eastAsia="MS Mincho" w:cs="Arial"/>
        </w:rPr>
        <w:footnoteReference w:id="83"/>
      </w:r>
    </w:p>
    <w:p w14:paraId="0418BCD8" w14:textId="2336BC55" w:rsidR="00D82BD0" w:rsidRPr="00167CB8" w:rsidRDefault="00D82BD0" w:rsidP="00D82BD0">
      <w:r>
        <w:t xml:space="preserve">The third area of FWO activity surrounds the </w:t>
      </w:r>
      <w:r w:rsidR="00F41814">
        <w:t>media reports relating to allegations against the</w:t>
      </w:r>
      <w:r>
        <w:t xml:space="preserve"> CFMEU. O</w:t>
      </w:r>
      <w:r w:rsidRPr="00167CB8">
        <w:t xml:space="preserve">n 13 July 2024 a joint media investigation by the </w:t>
      </w:r>
      <w:r w:rsidRPr="00167CB8">
        <w:rPr>
          <w:i/>
          <w:iCs/>
        </w:rPr>
        <w:t>Australian Financial Review</w:t>
      </w:r>
      <w:r w:rsidRPr="00167CB8">
        <w:t xml:space="preserve">, the </w:t>
      </w:r>
      <w:r w:rsidRPr="00167CB8">
        <w:rPr>
          <w:i/>
          <w:iCs/>
        </w:rPr>
        <w:t>Age</w:t>
      </w:r>
      <w:r w:rsidRPr="00167CB8">
        <w:t xml:space="preserve">, the </w:t>
      </w:r>
      <w:r w:rsidRPr="00167CB8">
        <w:rPr>
          <w:i/>
          <w:iCs/>
        </w:rPr>
        <w:t>Sydney Morning Herald</w:t>
      </w:r>
      <w:r w:rsidRPr="00167CB8">
        <w:t xml:space="preserve"> and </w:t>
      </w:r>
      <w:r w:rsidRPr="00167CB8">
        <w:rPr>
          <w:i/>
          <w:iCs/>
        </w:rPr>
        <w:t xml:space="preserve">60 </w:t>
      </w:r>
      <w:r w:rsidR="00DD6284">
        <w:rPr>
          <w:i/>
          <w:iCs/>
        </w:rPr>
        <w:t>M</w:t>
      </w:r>
      <w:r w:rsidRPr="00167CB8">
        <w:rPr>
          <w:i/>
          <w:iCs/>
        </w:rPr>
        <w:t>inutes</w:t>
      </w:r>
      <w:r w:rsidRPr="00167CB8">
        <w:t xml:space="preserve"> alleged criminality and corruption on Australian Government and state government funded projects,</w:t>
      </w:r>
      <w:r w:rsidRPr="00167CB8">
        <w:rPr>
          <w:rStyle w:val="FootnoteReference"/>
        </w:rPr>
        <w:footnoteReference w:id="84"/>
      </w:r>
      <w:r w:rsidRPr="00167CB8">
        <w:t xml:space="preserve"> including accusations of corruption, intimidation and threats of violence in Victoria, Tasmania, New South Wales, Queensland and Western Australian branches of the Construction and General Division of the CFMEU. They have also alleged criminals were acting as CFMEU delegates on Australian and </w:t>
      </w:r>
      <w:r w:rsidR="00CC0CD5">
        <w:t>s</w:t>
      </w:r>
      <w:r w:rsidRPr="00167CB8">
        <w:t xml:space="preserve">tate </w:t>
      </w:r>
      <w:r w:rsidR="00CC0CD5">
        <w:t>g</w:t>
      </w:r>
      <w:r w:rsidRPr="00167CB8">
        <w:t>overnment funded projects, particularly in Victoria.</w:t>
      </w:r>
    </w:p>
    <w:p w14:paraId="44116FDA" w14:textId="416F198E" w:rsidR="00D82BD0" w:rsidRDefault="00D82BD0" w:rsidP="00D82BD0">
      <w:r w:rsidRPr="00167CB8">
        <w:t>On 23 August 2024, in response to these allegations,</w:t>
      </w:r>
      <w:r w:rsidRPr="00167CB8">
        <w:rPr>
          <w:vertAlign w:val="superscript"/>
        </w:rPr>
        <w:footnoteReference w:id="85"/>
      </w:r>
      <w:r w:rsidRPr="00167CB8">
        <w:t xml:space="preserve"> the </w:t>
      </w:r>
      <w:r>
        <w:t xml:space="preserve"> Attorney-General, the Hon Mark Dreyfus KC MP,</w:t>
      </w:r>
      <w:r w:rsidRPr="00167CB8">
        <w:t xml:space="preserve"> placed the Construction and General Division of the CFMEU and all of its branches into administration for a period of up to </w:t>
      </w:r>
      <w:r w:rsidR="00CC0CD5">
        <w:t>five</w:t>
      </w:r>
      <w:r w:rsidRPr="00167CB8">
        <w:t xml:space="preserve"> years.</w:t>
      </w:r>
      <w:r w:rsidRPr="00167CB8">
        <w:rPr>
          <w:vertAlign w:val="superscript"/>
        </w:rPr>
        <w:footnoteReference w:id="86"/>
      </w:r>
      <w:r w:rsidRPr="00167CB8">
        <w:t xml:space="preserve"> The administration</w:t>
      </w:r>
      <w:r>
        <w:t xml:space="preserve"> scheme</w:t>
      </w:r>
      <w:r w:rsidRPr="00167CB8">
        <w:t xml:space="preserve"> is aimed at ‘ensuring that the Construction and General Division and its Divisional branches return to a position where they are democratically controlled and operate effectively and lawfully in the interests of members’.</w:t>
      </w:r>
      <w:r w:rsidRPr="00167CB8">
        <w:rPr>
          <w:vertAlign w:val="superscript"/>
        </w:rPr>
        <w:footnoteReference w:id="87"/>
      </w:r>
    </w:p>
    <w:p w14:paraId="6BFCDFAD" w14:textId="35DB42C2" w:rsidR="00D82BD0" w:rsidRPr="0016602B" w:rsidRDefault="00D82BD0" w:rsidP="00D82BD0">
      <w:r w:rsidRPr="0016602B">
        <w:t>The Review Panel acknowledges that the administrator is a temporary body</w:t>
      </w:r>
      <w:r w:rsidR="00F95F5E" w:rsidRPr="0016602B">
        <w:rPr>
          <w:rStyle w:val="FootnoteReference"/>
        </w:rPr>
        <w:footnoteReference w:id="88"/>
      </w:r>
      <w:r w:rsidR="00F95F5E">
        <w:t xml:space="preserve"> </w:t>
      </w:r>
      <w:r w:rsidRPr="0016602B">
        <w:t xml:space="preserve"> and </w:t>
      </w:r>
      <w:r>
        <w:t xml:space="preserve">it </w:t>
      </w:r>
      <w:r w:rsidRPr="0016602B">
        <w:t xml:space="preserve">is </w:t>
      </w:r>
      <w:r>
        <w:t xml:space="preserve">currently </w:t>
      </w:r>
      <w:r w:rsidRPr="0016602B">
        <w:t>subject to a High Court challenge</w:t>
      </w:r>
      <w:r>
        <w:t xml:space="preserve">, both of which impact on its operations. Its potential, however, was recently demonstrated. The administrator is required to provide the Minister with a report about the operations of the scheme no later than </w:t>
      </w:r>
      <w:r w:rsidR="00CC0CD5">
        <w:t>six</w:t>
      </w:r>
      <w:r>
        <w:t xml:space="preserve"> months after the administration and </w:t>
      </w:r>
      <w:r w:rsidRPr="00697207">
        <w:t>every six months subsequently until the administration ends. The first report was published on 24 February 2025</w:t>
      </w:r>
      <w:r>
        <w:t>.</w:t>
      </w:r>
      <w:r>
        <w:rPr>
          <w:rStyle w:val="FootnoteReference"/>
        </w:rPr>
        <w:footnoteReference w:id="89"/>
      </w:r>
      <w:r>
        <w:t xml:space="preserve"> It </w:t>
      </w:r>
      <w:r w:rsidRPr="0016602B">
        <w:t>outlined the activities of the administrator, including in addressing corruption, prohibiting menacing conduct, whistleblowers and integrity.</w:t>
      </w:r>
      <w:r w:rsidRPr="0016602B">
        <w:rPr>
          <w:rStyle w:val="FootnoteReference"/>
        </w:rPr>
        <w:footnoteReference w:id="90"/>
      </w:r>
      <w:r w:rsidRPr="0016602B">
        <w:t xml:space="preserve"> It also includes reports on investigations into </w:t>
      </w:r>
      <w:r w:rsidR="00535927">
        <w:t xml:space="preserve">the </w:t>
      </w:r>
      <w:r w:rsidRPr="0016602B">
        <w:t xml:space="preserve">Victorian and Tasmanian </w:t>
      </w:r>
      <w:r w:rsidR="00DD6284">
        <w:t>b</w:t>
      </w:r>
      <w:r w:rsidRPr="0016602B">
        <w:t xml:space="preserve">ranches of the CFMEU’s Construction and General Division as </w:t>
      </w:r>
      <w:r w:rsidRPr="004A1003">
        <w:t>part of the ‘Building Bad’ reports, an inquiry</w:t>
      </w:r>
      <w:r w:rsidRPr="0016602B">
        <w:t xml:space="preserve"> into the conduct of a former Assistant Secretary of the South Australian </w:t>
      </w:r>
      <w:r w:rsidR="00DD6284">
        <w:t>b</w:t>
      </w:r>
      <w:r w:rsidRPr="0016602B">
        <w:t xml:space="preserve">ranch of the CFMEU, an </w:t>
      </w:r>
      <w:r w:rsidRPr="0016602B">
        <w:lastRenderedPageBreak/>
        <w:t>investigation of legal fees paid by the CFMEU to McGirr &amp; Associates in July 2024, and an inquiry into violence and menacing conduct within the Queensland construction industry.</w:t>
      </w:r>
      <w:r w:rsidRPr="0016602B">
        <w:rPr>
          <w:rStyle w:val="FootnoteReference"/>
        </w:rPr>
        <w:footnoteReference w:id="91"/>
      </w:r>
    </w:p>
    <w:p w14:paraId="5F1DD5C0" w14:textId="777D15EB" w:rsidR="00D82BD0" w:rsidRPr="00167CB8" w:rsidRDefault="00D82BD0" w:rsidP="00D82BD0">
      <w:pPr>
        <w:rPr>
          <w:rFonts w:eastAsia="MS Mincho" w:cs="Arial"/>
        </w:rPr>
      </w:pPr>
      <w:r w:rsidRPr="396ABCA7">
        <w:rPr>
          <w:rFonts w:eastAsia="MS Mincho" w:cs="Arial"/>
        </w:rPr>
        <w:t xml:space="preserve">In response to </w:t>
      </w:r>
      <w:r w:rsidR="00A20303">
        <w:rPr>
          <w:rFonts w:eastAsia="MS Mincho" w:cs="Arial"/>
        </w:rPr>
        <w:t>the</w:t>
      </w:r>
      <w:r w:rsidRPr="396ABCA7">
        <w:rPr>
          <w:rFonts w:eastAsia="MS Mincho" w:cs="Arial"/>
        </w:rPr>
        <w:t xml:space="preserve"> </w:t>
      </w:r>
      <w:r>
        <w:rPr>
          <w:rFonts w:eastAsia="MS Mincho" w:cs="Arial"/>
        </w:rPr>
        <w:t>media</w:t>
      </w:r>
      <w:r w:rsidRPr="396ABCA7">
        <w:rPr>
          <w:rFonts w:eastAsia="MS Mincho" w:cs="Arial"/>
        </w:rPr>
        <w:t xml:space="preserve"> allegations</w:t>
      </w:r>
      <w:r>
        <w:rPr>
          <w:rFonts w:eastAsia="MS Mincho" w:cs="Arial"/>
        </w:rPr>
        <w:t xml:space="preserve"> about the CFMEU</w:t>
      </w:r>
      <w:r w:rsidRPr="396ABCA7">
        <w:rPr>
          <w:rFonts w:eastAsia="MS Mincho" w:cs="Arial"/>
        </w:rPr>
        <w:t xml:space="preserve">, the </w:t>
      </w:r>
      <w:r w:rsidR="002C31C8">
        <w:rPr>
          <w:rFonts w:eastAsia="MS Mincho" w:cs="Arial"/>
        </w:rPr>
        <w:t>then</w:t>
      </w:r>
      <w:r w:rsidRPr="396ABCA7">
        <w:rPr>
          <w:rFonts w:eastAsia="MS Mincho" w:cs="Arial"/>
        </w:rPr>
        <w:t xml:space="preserve"> Minister for Employment and Workplace Relations, the Hon Tony Burke MP, also wrote to the Fair Work Ombudsman, Anna Booth, on 17 July 2024 requesting the FWO investigate alleged serious misconduct within the branches of the Construction and General Division of the CFMEU.</w:t>
      </w:r>
      <w:r w:rsidRPr="396ABCA7">
        <w:rPr>
          <w:rFonts w:eastAsia="MS Mincho" w:cs="Arial"/>
          <w:vertAlign w:val="superscript"/>
        </w:rPr>
        <w:footnoteReference w:id="92"/>
      </w:r>
      <w:r>
        <w:rPr>
          <w:rFonts w:eastAsia="MS Mincho" w:cs="Arial"/>
        </w:rPr>
        <w:t xml:space="preserve"> </w:t>
      </w:r>
      <w:r>
        <w:t>T</w:t>
      </w:r>
      <w:r w:rsidRPr="001529B3">
        <w:t>he Australian Federal Police is separately assisting to address the allegations.</w:t>
      </w:r>
    </w:p>
    <w:p w14:paraId="169E01CA" w14:textId="2B77CF23" w:rsidR="00D82BD0" w:rsidRPr="00167CB8" w:rsidRDefault="00D82BD0" w:rsidP="00D82BD0">
      <w:pPr>
        <w:rPr>
          <w:rFonts w:eastAsia="MS Mincho" w:cs="Arial"/>
        </w:rPr>
      </w:pPr>
      <w:r w:rsidRPr="396ABCA7">
        <w:rPr>
          <w:rFonts w:eastAsia="MS Mincho" w:cs="Arial"/>
        </w:rPr>
        <w:t>On 16 October 2024 the Minister for Employment and Workplace Relations, Senator the Hon Murray Watt, commented that the ‘FWO’s report [relating to the investigations into the CFMEU requested by the then Minister] complements the ongoing work being done by the administrator of the union’ and that there were 42 ongoing investigations.</w:t>
      </w:r>
      <w:r>
        <w:rPr>
          <w:rStyle w:val="FootnoteReference"/>
          <w:rFonts w:eastAsia="MS Mincho" w:cs="Arial"/>
        </w:rPr>
        <w:footnoteReference w:id="93"/>
      </w:r>
      <w:r w:rsidRPr="396ABCA7">
        <w:rPr>
          <w:rFonts w:eastAsia="MS Mincho" w:cs="Arial"/>
        </w:rPr>
        <w:t xml:space="preserve"> </w:t>
      </w:r>
      <w:r w:rsidR="00DD6284">
        <w:rPr>
          <w:rFonts w:eastAsia="MS Mincho" w:cs="Arial"/>
        </w:rPr>
        <w:t>Notably</w:t>
      </w:r>
      <w:r w:rsidRPr="00DD6284">
        <w:rPr>
          <w:rFonts w:eastAsia="MS Mincho" w:cs="Arial"/>
        </w:rPr>
        <w:t>, ac</w:t>
      </w:r>
      <w:r>
        <w:rPr>
          <w:rFonts w:eastAsia="MS Mincho" w:cs="Arial"/>
        </w:rPr>
        <w:t xml:space="preserve">cording to the FWO, </w:t>
      </w:r>
      <w:r w:rsidR="00CC0CD5">
        <w:rPr>
          <w:rFonts w:eastAsia="MS Mincho" w:cs="Arial"/>
        </w:rPr>
        <w:t>nine</w:t>
      </w:r>
      <w:r w:rsidRPr="396ABCA7">
        <w:rPr>
          <w:rFonts w:eastAsia="MS Mincho" w:cs="Arial"/>
        </w:rPr>
        <w:t xml:space="preserve"> of these were on foot prior to the Minister’s request. </w:t>
      </w:r>
      <w:r>
        <w:rPr>
          <w:rFonts w:eastAsia="MS Mincho" w:cs="Arial"/>
        </w:rPr>
        <w:t xml:space="preserve">Media reports indicate that in their investigations the FWO was preparing to interview witnesses and gather evidence through issuing notices to produce documents, as </w:t>
      </w:r>
      <w:r w:rsidRPr="004A1003">
        <w:rPr>
          <w:rFonts w:eastAsia="MS Mincho" w:cs="Arial"/>
        </w:rPr>
        <w:t>well as conducting site</w:t>
      </w:r>
      <w:r>
        <w:rPr>
          <w:rFonts w:eastAsia="MS Mincho" w:cs="Arial"/>
        </w:rPr>
        <w:t xml:space="preserve"> visits.</w:t>
      </w:r>
      <w:r>
        <w:rPr>
          <w:rStyle w:val="FootnoteReference"/>
          <w:rFonts w:eastAsia="MS Mincho" w:cs="Arial"/>
        </w:rPr>
        <w:footnoteReference w:id="94"/>
      </w:r>
    </w:p>
    <w:p w14:paraId="46B77075" w14:textId="3FB39307" w:rsidR="00D82BD0" w:rsidRPr="005D5A04" w:rsidRDefault="00D82BD0" w:rsidP="00D82BD0">
      <w:pPr>
        <w:rPr>
          <w:rFonts w:eastAsia="MS Mincho" w:cs="Arial"/>
        </w:rPr>
      </w:pPr>
      <w:r>
        <w:rPr>
          <w:rFonts w:eastAsia="MS Mincho" w:cs="Arial"/>
        </w:rPr>
        <w:t xml:space="preserve">The fourth and final area of FWO activity involves two litigations commenced by the FWO against the CFMEU. </w:t>
      </w:r>
      <w:r w:rsidR="00CC0CD5">
        <w:rPr>
          <w:rFonts w:eastAsia="MS Mincho" w:cs="Arial"/>
        </w:rPr>
        <w:t xml:space="preserve">It </w:t>
      </w:r>
      <w:r>
        <w:rPr>
          <w:rFonts w:eastAsia="MS Mincho" w:cs="Arial"/>
        </w:rPr>
        <w:t>commenced the first of these proceedings i</w:t>
      </w:r>
      <w:r w:rsidRPr="005D5A04">
        <w:rPr>
          <w:rFonts w:eastAsia="MS Mincho" w:cs="Arial"/>
        </w:rPr>
        <w:t>n October 2024</w:t>
      </w:r>
      <w:r w:rsidRPr="00DD6284">
        <w:rPr>
          <w:rFonts w:eastAsia="MS Mincho" w:cs="Arial"/>
        </w:rPr>
        <w:t xml:space="preserve">. </w:t>
      </w:r>
      <w:r w:rsidR="00DD6284" w:rsidRPr="001006DF">
        <w:rPr>
          <w:rFonts w:eastAsia="MS Mincho" w:cs="Arial"/>
        </w:rPr>
        <w:t xml:space="preserve">The matter </w:t>
      </w:r>
      <w:r w:rsidRPr="00DD6284">
        <w:rPr>
          <w:rFonts w:eastAsia="MS Mincho" w:cs="Arial"/>
        </w:rPr>
        <w:t>involved</w:t>
      </w:r>
      <w:r>
        <w:rPr>
          <w:rFonts w:eastAsia="MS Mincho" w:cs="Arial"/>
        </w:rPr>
        <w:t xml:space="preserve"> legal action </w:t>
      </w:r>
      <w:r w:rsidRPr="005D5A04">
        <w:rPr>
          <w:rFonts w:eastAsia="MS Mincho" w:cs="Arial"/>
        </w:rPr>
        <w:t xml:space="preserve">in the Federal Circuit and Family Court against the CFMEU and one of its officials, Stephen Parker, for alleged contraventions </w:t>
      </w:r>
      <w:r w:rsidRPr="00DD6284">
        <w:rPr>
          <w:rFonts w:eastAsia="MS Mincho" w:cs="Arial"/>
        </w:rPr>
        <w:t>of s</w:t>
      </w:r>
      <w:r w:rsidR="00CC0CD5" w:rsidRPr="00DD6284">
        <w:rPr>
          <w:rFonts w:eastAsia="MS Mincho" w:cs="Arial"/>
        </w:rPr>
        <w:t> </w:t>
      </w:r>
      <w:r w:rsidRPr="00DD6284">
        <w:rPr>
          <w:rFonts w:eastAsia="MS Mincho" w:cs="Arial"/>
        </w:rPr>
        <w:t>500</w:t>
      </w:r>
      <w:r w:rsidRPr="005D5A04">
        <w:rPr>
          <w:rFonts w:eastAsia="MS Mincho" w:cs="Arial"/>
        </w:rPr>
        <w:t xml:space="preserve"> of the Fair Work Act relating to improper conduct, hindering or obstruction of workers</w:t>
      </w:r>
      <w:r w:rsidR="00CC0CD5">
        <w:rPr>
          <w:rFonts w:eastAsia="MS Mincho" w:cs="Arial"/>
        </w:rPr>
        <w:t>;</w:t>
      </w:r>
      <w:r w:rsidRPr="005D5A04">
        <w:rPr>
          <w:rFonts w:eastAsia="Times New Roman"/>
        </w:rPr>
        <w:t xml:space="preserve"> </w:t>
      </w:r>
      <w:r w:rsidRPr="005D5A04">
        <w:rPr>
          <w:rFonts w:eastAsia="MS Mincho" w:cs="Arial"/>
        </w:rPr>
        <w:t>and s</w:t>
      </w:r>
      <w:r w:rsidR="00CC0CD5">
        <w:rPr>
          <w:rFonts w:eastAsia="MS Mincho" w:cs="Arial"/>
        </w:rPr>
        <w:t> </w:t>
      </w:r>
      <w:r w:rsidRPr="005D5A04">
        <w:rPr>
          <w:rFonts w:eastAsia="MS Mincho" w:cs="Arial"/>
        </w:rPr>
        <w:t>499 of the Fair Work Act relating to failure to comply with health and safety requirements at the ‘Nine the Esplanade’ construction project in the Perth CBD.</w:t>
      </w:r>
      <w:r w:rsidRPr="005D5A04">
        <w:rPr>
          <w:rStyle w:val="FootnoteReference"/>
          <w:rFonts w:eastAsia="MS Mincho" w:cs="Arial"/>
        </w:rPr>
        <w:footnoteReference w:id="95"/>
      </w:r>
    </w:p>
    <w:p w14:paraId="229FCFEA" w14:textId="121BE608" w:rsidR="0011475D" w:rsidRDefault="00D82BD0" w:rsidP="00D82BD0">
      <w:pPr>
        <w:rPr>
          <w:rFonts w:eastAsia="MS Mincho" w:cs="Arial"/>
        </w:rPr>
      </w:pPr>
      <w:r w:rsidRPr="005D5A04">
        <w:rPr>
          <w:rFonts w:eastAsia="MS Mincho" w:cs="Arial"/>
        </w:rPr>
        <w:t xml:space="preserve">On 19 February 2025 the FWO commenced </w:t>
      </w:r>
      <w:r>
        <w:rPr>
          <w:rFonts w:eastAsia="MS Mincho" w:cs="Arial"/>
        </w:rPr>
        <w:t xml:space="preserve">the second of these </w:t>
      </w:r>
      <w:r w:rsidRPr="005D5A04">
        <w:rPr>
          <w:rFonts w:eastAsia="MS Mincho" w:cs="Arial"/>
        </w:rPr>
        <w:t>legal action</w:t>
      </w:r>
      <w:r>
        <w:rPr>
          <w:rFonts w:eastAsia="MS Mincho" w:cs="Arial"/>
        </w:rPr>
        <w:t>s</w:t>
      </w:r>
      <w:r w:rsidRPr="005D5A04">
        <w:rPr>
          <w:rFonts w:eastAsia="MS Mincho" w:cs="Arial"/>
        </w:rPr>
        <w:t xml:space="preserve"> against the CFMEU and its former Victorian Secretary John Setka in the Federal Court. The FWO alleges Mr Setka contravened s</w:t>
      </w:r>
      <w:r w:rsidR="00CC0CD5">
        <w:rPr>
          <w:rFonts w:eastAsia="MS Mincho" w:cs="Arial"/>
        </w:rPr>
        <w:t> </w:t>
      </w:r>
      <w:r w:rsidRPr="005D5A04">
        <w:rPr>
          <w:rFonts w:eastAsia="MS Mincho" w:cs="Arial"/>
        </w:rPr>
        <w:t xml:space="preserve">355 of the Fair Work Act by intending to coerce the Australian Football League (AFL) into dismissing </w:t>
      </w:r>
      <w:r w:rsidRPr="00DD6284">
        <w:rPr>
          <w:rFonts w:eastAsia="MS Mincho" w:cs="Arial"/>
        </w:rPr>
        <w:t>former ABCC Commissioner</w:t>
      </w:r>
      <w:r w:rsidRPr="005D5A04">
        <w:rPr>
          <w:rFonts w:eastAsia="MS Mincho" w:cs="Arial"/>
        </w:rPr>
        <w:t xml:space="preserve"> Stephen McBurney</w:t>
      </w:r>
      <w:r w:rsidR="00CC0CD5">
        <w:rPr>
          <w:rFonts w:eastAsia="MS Mincho" w:cs="Arial"/>
        </w:rPr>
        <w:t>;</w:t>
      </w:r>
      <w:r w:rsidRPr="005D5A04">
        <w:rPr>
          <w:rFonts w:eastAsia="MS Mincho" w:cs="Arial"/>
        </w:rPr>
        <w:t xml:space="preserve"> and s</w:t>
      </w:r>
      <w:r w:rsidR="00CC0CD5">
        <w:rPr>
          <w:rFonts w:eastAsia="MS Mincho" w:cs="Arial"/>
        </w:rPr>
        <w:t> </w:t>
      </w:r>
      <w:r w:rsidRPr="005D5A04">
        <w:rPr>
          <w:rFonts w:eastAsia="MS Mincho" w:cs="Arial"/>
        </w:rPr>
        <w:t>340 of the Fair Work Act by taking adverse action against Mr McBurney for exercising workplace rights, including initiating and/or participating in more than 50 court actions against the CFMEU as ABC Commissioner.</w:t>
      </w:r>
      <w:r w:rsidRPr="005D5A04">
        <w:rPr>
          <w:rStyle w:val="FootnoteReference"/>
          <w:rFonts w:eastAsia="MS Mincho" w:cs="Arial"/>
        </w:rPr>
        <w:footnoteReference w:id="96"/>
      </w:r>
    </w:p>
    <w:p w14:paraId="7CF339CA" w14:textId="13830BF6" w:rsidR="00D82BD0" w:rsidRPr="005D5A04" w:rsidRDefault="00D82BD0" w:rsidP="00D82BD0">
      <w:pPr>
        <w:rPr>
          <w:rFonts w:eastAsia="MS Mincho" w:cs="Arial"/>
        </w:rPr>
      </w:pPr>
      <w:r w:rsidRPr="005D5A04">
        <w:rPr>
          <w:rFonts w:eastAsia="MS Mincho" w:cs="Arial"/>
        </w:rPr>
        <w:lastRenderedPageBreak/>
        <w:t xml:space="preserve">In </w:t>
      </w:r>
      <w:r w:rsidR="00CC0CD5">
        <w:rPr>
          <w:rFonts w:eastAsia="MS Mincho" w:cs="Arial"/>
        </w:rPr>
        <w:t>m</w:t>
      </w:r>
      <w:r w:rsidRPr="005D5A04">
        <w:rPr>
          <w:rFonts w:eastAsia="MS Mincho" w:cs="Arial"/>
        </w:rPr>
        <w:t xml:space="preserve">edia </w:t>
      </w:r>
      <w:r w:rsidR="00CC0CD5">
        <w:rPr>
          <w:rFonts w:eastAsia="MS Mincho" w:cs="Arial"/>
        </w:rPr>
        <w:t>r</w:t>
      </w:r>
      <w:r w:rsidRPr="005D5A04">
        <w:rPr>
          <w:rFonts w:eastAsia="MS Mincho" w:cs="Arial"/>
        </w:rPr>
        <w:t>eleases, the Fair Work Ombudsman, Anna Booth, highlighted the CFMEU’s extensive history of noncompliance and that as an independent regulator the FWO will take action to deter unlawful conduct.</w:t>
      </w:r>
      <w:r w:rsidRPr="005D5A04">
        <w:rPr>
          <w:rStyle w:val="FootnoteReference"/>
          <w:rFonts w:eastAsia="MS Mincho" w:cs="Arial"/>
        </w:rPr>
        <w:footnoteReference w:id="97"/>
      </w:r>
      <w:r w:rsidRPr="005D5A04">
        <w:rPr>
          <w:rFonts w:eastAsia="MS Mincho" w:cs="Arial"/>
        </w:rPr>
        <w:t xml:space="preserve"> Ms Booth also stated that ‘improving compliance across the building and construction industry is a priority for the Fair Work Ombudsman, and we will continue to hold to account those acting unlawfully’.</w:t>
      </w:r>
      <w:r w:rsidRPr="005D5A04">
        <w:rPr>
          <w:rStyle w:val="FootnoteReference"/>
          <w:rFonts w:eastAsia="MS Mincho" w:cs="Arial"/>
        </w:rPr>
        <w:footnoteReference w:id="98"/>
      </w:r>
    </w:p>
    <w:p w14:paraId="19FD00E2" w14:textId="77777777" w:rsidR="00D82BD0" w:rsidRPr="00536A9C" w:rsidRDefault="00D82BD0" w:rsidP="00EC3517">
      <w:pPr>
        <w:pStyle w:val="Heading5"/>
      </w:pPr>
      <w:bookmarkStart w:id="72" w:name="_Toc187421569"/>
      <w:bookmarkStart w:id="73" w:name="_Toc187946371"/>
      <w:r w:rsidRPr="00536A9C">
        <w:t>4.2.3 Stakeholder views</w:t>
      </w:r>
      <w:bookmarkEnd w:id="72"/>
      <w:bookmarkEnd w:id="73"/>
    </w:p>
    <w:p w14:paraId="1A179361" w14:textId="381E8EDF" w:rsidR="00D82BD0" w:rsidRPr="00167CB8" w:rsidRDefault="00D82BD0" w:rsidP="00D82BD0">
      <w:r w:rsidRPr="00167CB8">
        <w:t>In their submissions to the Review, stakeholders expressed a range of views on the abolition of the ABCC and the transfer of responsibility for the commercial building and construction sector</w:t>
      </w:r>
      <w:r w:rsidR="00132376">
        <w:t xml:space="preserve"> to the FWO</w:t>
      </w:r>
      <w:r w:rsidRPr="00167CB8">
        <w:t>.</w:t>
      </w:r>
    </w:p>
    <w:p w14:paraId="157DA956" w14:textId="213BAB1B" w:rsidR="00D82BD0" w:rsidRPr="00167CB8" w:rsidRDefault="00D82BD0" w:rsidP="00D82BD0">
      <w:r w:rsidRPr="00167CB8">
        <w:t>Employee organisations expressed support for the amendments.</w:t>
      </w:r>
      <w:r>
        <w:t xml:space="preserve"> In particular, u</w:t>
      </w:r>
      <w:r w:rsidRPr="396ABCA7">
        <w:t xml:space="preserve">nions submitted that the ABCC was politically motivated and ineffective. The </w:t>
      </w:r>
      <w:r w:rsidRPr="00D60078">
        <w:t>ACTU</w:t>
      </w:r>
      <w:r w:rsidRPr="396ABCA7">
        <w:t xml:space="preserve"> stated that the ABCC was a ‘highly politicised organisation’. It also stated that the ABCC</w:t>
      </w:r>
      <w:r w:rsidRPr="396ABCA7" w:rsidDel="00C66B1C">
        <w:t xml:space="preserve"> </w:t>
      </w:r>
      <w:r w:rsidRPr="396ABCA7">
        <w:t>‘did nothing to uncover or investigate the recent issues identified in the Construction and General Division (C&amp;G) of the CFMEU, now being handled by the Administrator’.</w:t>
      </w:r>
      <w:r w:rsidRPr="396ABCA7">
        <w:rPr>
          <w:rStyle w:val="FootnoteReference"/>
        </w:rPr>
        <w:footnoteReference w:id="99"/>
      </w:r>
    </w:p>
    <w:p w14:paraId="10D60B75" w14:textId="6FB8B21F" w:rsidR="00D82BD0" w:rsidRPr="00167CB8" w:rsidRDefault="00D82BD0" w:rsidP="00D82BD0">
      <w:r w:rsidRPr="00167CB8">
        <w:t xml:space="preserve">The Construction and General Division of the CFMEU stated </w:t>
      </w:r>
      <w:r w:rsidR="00DD6284">
        <w:t xml:space="preserve">that </w:t>
      </w:r>
      <w:r w:rsidRPr="00167CB8">
        <w:t>the ABCC and Building Code were ‘an ideologically driven and authoritarian organisation focused almost exclusively on de-unionising the construction industry’, citing cases brought against the Construction and General Division of the CFMEU by the ABCC.</w:t>
      </w:r>
      <w:r w:rsidRPr="00167CB8">
        <w:rPr>
          <w:rStyle w:val="FootnoteReference"/>
        </w:rPr>
        <w:footnoteReference w:id="100"/>
      </w:r>
      <w:r w:rsidRPr="00167CB8">
        <w:t xml:space="preserve"> It also argued</w:t>
      </w:r>
      <w:r w:rsidR="00DD6284">
        <w:t xml:space="preserve"> that</w:t>
      </w:r>
      <w:r w:rsidRPr="00167CB8">
        <w:t xml:space="preserve"> ‘construction workers did not have the same rights as other workers’</w:t>
      </w:r>
      <w:r w:rsidR="00CC0CD5">
        <w:t>.</w:t>
      </w:r>
      <w:r w:rsidRPr="00167CB8">
        <w:rPr>
          <w:rStyle w:val="FootnoteReference"/>
        </w:rPr>
        <w:footnoteReference w:id="101"/>
      </w:r>
    </w:p>
    <w:p w14:paraId="4B0BF5FA" w14:textId="6197F598" w:rsidR="00FB28AF" w:rsidRDefault="00D82BD0" w:rsidP="00D82BD0">
      <w:r w:rsidRPr="396ABCA7">
        <w:t>The</w:t>
      </w:r>
      <w:r w:rsidR="00D87E89">
        <w:t xml:space="preserve"> </w:t>
      </w:r>
      <w:r w:rsidR="00D87E89" w:rsidRPr="396ABCA7">
        <w:t>Construction and General Division</w:t>
      </w:r>
      <w:r w:rsidRPr="396ABCA7">
        <w:t xml:space="preserve"> </w:t>
      </w:r>
      <w:r w:rsidR="00C730FA">
        <w:t>of the</w:t>
      </w:r>
      <w:r w:rsidRPr="396ABCA7">
        <w:t xml:space="preserve"> CFMEU also argued</w:t>
      </w:r>
      <w:r w:rsidR="00DD6284">
        <w:t xml:space="preserve"> that</w:t>
      </w:r>
      <w:r w:rsidRPr="396ABCA7">
        <w:t xml:space="preserve"> the ABCC failed to address endemic issues in the industry, such as ‘wage theft, sham contracting and work health safety issues’.</w:t>
      </w:r>
      <w:r w:rsidR="00E9098E">
        <w:rPr>
          <w:rStyle w:val="FootnoteReference"/>
        </w:rPr>
        <w:footnoteReference w:id="102"/>
      </w:r>
      <w:r w:rsidRPr="396ABCA7">
        <w:t xml:space="preserve"> The Construction and General Division of the CFMEU also submitted that the ABCC ran </w:t>
      </w:r>
      <w:r w:rsidR="00CC0CD5">
        <w:t>only three</w:t>
      </w:r>
      <w:r w:rsidRPr="396ABCA7">
        <w:t xml:space="preserve"> cases against employers to recover unpaid wages, did not pursue any sham contracting matters and commenced </w:t>
      </w:r>
      <w:r w:rsidR="00CC0CD5">
        <w:t xml:space="preserve">only three </w:t>
      </w:r>
      <w:r w:rsidRPr="396ABCA7">
        <w:t>prosecutions of employers.</w:t>
      </w:r>
      <w:r w:rsidRPr="396ABCA7">
        <w:rPr>
          <w:rStyle w:val="FootnoteReference"/>
        </w:rPr>
        <w:footnoteReference w:id="103"/>
      </w:r>
      <w:r w:rsidRPr="396ABCA7">
        <w:t xml:space="preserve"> It cited PwC modelling from 2019 that found the construction industry made up 10% of the national workforce but almost 25% of estimated annual underpayments of workers.</w:t>
      </w:r>
      <w:r w:rsidRPr="396ABCA7">
        <w:rPr>
          <w:rStyle w:val="FootnoteReference"/>
        </w:rPr>
        <w:footnoteReference w:id="104"/>
      </w:r>
    </w:p>
    <w:p w14:paraId="7E82385B" w14:textId="4362C237" w:rsidR="00D82BD0" w:rsidRPr="00167CB8" w:rsidRDefault="00D82BD0" w:rsidP="00D82BD0">
      <w:r w:rsidRPr="00167CB8">
        <w:lastRenderedPageBreak/>
        <w:t>Employer groups were critical of the abolition of the ABCC and called for the ABCC and the Building Code to be re-established. There was a common sentiment that a specialised regulator such as the ABCC is needed to regulate the building and construction sector.</w:t>
      </w:r>
    </w:p>
    <w:p w14:paraId="64B8E561" w14:textId="0E0716DB" w:rsidR="00D82BD0" w:rsidRPr="00167CB8" w:rsidRDefault="00D82BD0" w:rsidP="00D82BD0">
      <w:pPr>
        <w:tabs>
          <w:tab w:val="left" w:pos="1620"/>
        </w:tabs>
      </w:pPr>
      <w:r w:rsidRPr="396ABCA7">
        <w:t xml:space="preserve">Employer groups expressed significant concern about adverse impacts arising from the abolition of the ABCC. In particular, employer groups perceived </w:t>
      </w:r>
      <w:r>
        <w:t xml:space="preserve">a </w:t>
      </w:r>
      <w:r w:rsidRPr="396ABCA7">
        <w:t>lack of enforcement and oversight of the activities of the CFMEU. Ai Group stated that the ABCC was abolished in the face of entrenched unacceptable CFMEU conduct.</w:t>
      </w:r>
      <w:r w:rsidRPr="396ABCA7">
        <w:rPr>
          <w:rStyle w:val="FootnoteReference"/>
        </w:rPr>
        <w:footnoteReference w:id="105"/>
      </w:r>
      <w:r w:rsidRPr="396ABCA7">
        <w:t xml:space="preserve"> The Business Council of Australia (BCA) noted the need for industry-specific solutions, stating that ‘at the heart of these problems is the systemic culture of lawbreaking and recidivism of the … construction and general division of the CFMEU’ and that</w:t>
      </w:r>
      <w:r w:rsidRPr="396ABCA7" w:rsidDel="00100509">
        <w:t xml:space="preserve"> </w:t>
      </w:r>
      <w:r w:rsidRPr="396ABCA7">
        <w:t>‘[c]ourts have found that the CFMEU has repeatedly and deliberately breached industrial legislation, undertaking disruptive, threatening, and abusive behaviour towards employers and employees’.</w:t>
      </w:r>
      <w:r w:rsidRPr="396ABCA7">
        <w:rPr>
          <w:rStyle w:val="FootnoteReference"/>
        </w:rPr>
        <w:footnoteReference w:id="106"/>
      </w:r>
    </w:p>
    <w:p w14:paraId="2444B0DA" w14:textId="7A5C3ED8" w:rsidR="00D82BD0" w:rsidRPr="00167CB8" w:rsidRDefault="00D82BD0" w:rsidP="00D82BD0">
      <w:pPr>
        <w:tabs>
          <w:tab w:val="left" w:pos="1620"/>
        </w:tabs>
      </w:pPr>
      <w:r w:rsidRPr="00DD6284">
        <w:t>The Housing Industry Association (HIA) argued</w:t>
      </w:r>
      <w:r w:rsidRPr="00167CB8">
        <w:t xml:space="preserve"> </w:t>
      </w:r>
      <w:r w:rsidR="00DD6284">
        <w:t xml:space="preserve">that </w:t>
      </w:r>
      <w:r w:rsidRPr="00167CB8">
        <w:t>the abolition of the ABCC has resulted in a regulatory gap at the time allegations about the CFMEU have come to light and highlighted contraventions by the union since 2003, ‘resulting in over $24 million in penalties, and $4</w:t>
      </w:r>
      <w:r w:rsidR="00DD6284">
        <w:t> </w:t>
      </w:r>
      <w:r w:rsidRPr="00167CB8">
        <w:t>million ordered against office holders, employees, delegates and members’.</w:t>
      </w:r>
      <w:r w:rsidRPr="00167CB8">
        <w:rPr>
          <w:rStyle w:val="FootnoteReference"/>
        </w:rPr>
        <w:footnoteReference w:id="107"/>
      </w:r>
      <w:r w:rsidRPr="00167CB8">
        <w:t xml:space="preserve"> </w:t>
      </w:r>
      <w:r w:rsidR="00DD6284">
        <w:t xml:space="preserve">The </w:t>
      </w:r>
      <w:r w:rsidR="00D60078">
        <w:t xml:space="preserve">Minerals Council of Australia </w:t>
      </w:r>
      <w:r>
        <w:t>also</w:t>
      </w:r>
      <w:r w:rsidRPr="00167CB8">
        <w:t xml:space="preserve"> argued </w:t>
      </w:r>
      <w:r w:rsidR="00DD6284">
        <w:t xml:space="preserve">that </w:t>
      </w:r>
      <w:r w:rsidRPr="00167CB8">
        <w:t>the abolition of the ABCC has weakened union accountability.</w:t>
      </w:r>
      <w:r w:rsidRPr="00167CB8">
        <w:rPr>
          <w:rStyle w:val="FootnoteReference"/>
        </w:rPr>
        <w:footnoteReference w:id="108"/>
      </w:r>
      <w:r w:rsidRPr="00167CB8">
        <w:t xml:space="preserve"> MBA </w:t>
      </w:r>
      <w:r>
        <w:t xml:space="preserve">also </w:t>
      </w:r>
      <w:r w:rsidRPr="00167CB8">
        <w:t>argued that the abolition of the ABCC and Building Code has led to the return of ‘historical unlawful and anti-productive practices, leaving the industry without the necessary protections or an effective regulator to assist them enforce their rights’.</w:t>
      </w:r>
      <w:r w:rsidRPr="00167CB8">
        <w:rPr>
          <w:rStyle w:val="FootnoteReference"/>
        </w:rPr>
        <w:footnoteReference w:id="109"/>
      </w:r>
    </w:p>
    <w:p w14:paraId="7A416346" w14:textId="6F3C802C" w:rsidR="00D82BD0" w:rsidRPr="00167CB8" w:rsidRDefault="00D82BD0" w:rsidP="00D82BD0">
      <w:pPr>
        <w:tabs>
          <w:tab w:val="left" w:pos="1620"/>
        </w:tabs>
      </w:pPr>
      <w:r w:rsidRPr="00167CB8">
        <w:t xml:space="preserve">The </w:t>
      </w:r>
      <w:r w:rsidRPr="00DD6284">
        <w:t xml:space="preserve">Australian Resources &amp; Energy Employer Association </w:t>
      </w:r>
      <w:r w:rsidRPr="00167CB8">
        <w:t>argued that the abolition of the ABCC led to the Australian Government needing to place the Construction and General Division of the CFMEU into administration.</w:t>
      </w:r>
      <w:r w:rsidRPr="00167CB8">
        <w:rPr>
          <w:rStyle w:val="FootnoteReference"/>
        </w:rPr>
        <w:footnoteReference w:id="110"/>
      </w:r>
      <w:r w:rsidRPr="00167CB8">
        <w:t xml:space="preserve"> </w:t>
      </w:r>
      <w:r w:rsidRPr="00DD6284">
        <w:t>Master Electricians Australia believes</w:t>
      </w:r>
      <w:r w:rsidRPr="00167CB8">
        <w:t xml:space="preserve"> that cultural change within the CFMEU now depends solely on its administrator and that reinstating the ABCC would likely result in changed behaviour.</w:t>
      </w:r>
      <w:r w:rsidRPr="00167CB8">
        <w:rPr>
          <w:rStyle w:val="FootnoteReference"/>
        </w:rPr>
        <w:footnoteReference w:id="111"/>
      </w:r>
    </w:p>
    <w:p w14:paraId="398A6A98" w14:textId="40518137" w:rsidR="00D82BD0" w:rsidRPr="00167CB8" w:rsidRDefault="00D82BD0" w:rsidP="00D82BD0">
      <w:pPr>
        <w:tabs>
          <w:tab w:val="left" w:pos="1620"/>
        </w:tabs>
      </w:pPr>
      <w:r w:rsidRPr="00167CB8">
        <w:t xml:space="preserve">Many employer groups argued </w:t>
      </w:r>
      <w:r w:rsidR="00DD6284">
        <w:t xml:space="preserve">that </w:t>
      </w:r>
      <w:r w:rsidRPr="00167CB8">
        <w:t xml:space="preserve">the FWO is not an effective replacement for the ABCC. MBA said it believes issues in the industry have been made worse by the FWO not being an effective replacement for the ABCC, </w:t>
      </w:r>
      <w:r w:rsidR="00511F41">
        <w:t>and stated</w:t>
      </w:r>
      <w:r w:rsidRPr="00167CB8">
        <w:t xml:space="preserve"> the FWO had not filed a new case against the CFMEU following the ABCC’s abolition and discontinued or partially discontinued 12 of the 41 cases transferred from the ABCC.</w:t>
      </w:r>
      <w:r w:rsidRPr="00167CB8">
        <w:rPr>
          <w:rStyle w:val="FootnoteReference"/>
        </w:rPr>
        <w:footnoteReference w:id="112"/>
      </w:r>
      <w:r w:rsidRPr="00167CB8">
        <w:t xml:space="preserve"> It also stated </w:t>
      </w:r>
      <w:r w:rsidR="00DD6284">
        <w:t xml:space="preserve">that </w:t>
      </w:r>
      <w:r w:rsidRPr="00167CB8">
        <w:t>the FWO does not have the appropriate resources or powers to effectively regulate widely known industry problems.</w:t>
      </w:r>
      <w:r w:rsidRPr="00167CB8">
        <w:rPr>
          <w:rStyle w:val="FootnoteReference"/>
        </w:rPr>
        <w:footnoteReference w:id="113"/>
      </w:r>
    </w:p>
    <w:p w14:paraId="0E280DEE" w14:textId="22B7F292" w:rsidR="00D82BD0" w:rsidRPr="00167CB8" w:rsidRDefault="00D82BD0" w:rsidP="00D82BD0">
      <w:r w:rsidRPr="00167CB8">
        <w:t xml:space="preserve">The </w:t>
      </w:r>
      <w:r w:rsidRPr="00DD6284">
        <w:t>Australian Chamber of Commerce and Industry (ACCI)</w:t>
      </w:r>
      <w:r w:rsidRPr="00167CB8">
        <w:t xml:space="preserve"> also noted comments by Judge Vasta in relation to the ‘partial discontinuation of a matter where it [the FWO] abandoned “the most serious”</w:t>
      </w:r>
      <w:r w:rsidRPr="00167CB8">
        <w:rPr>
          <w:rStyle w:val="FootnoteReference"/>
        </w:rPr>
        <w:footnoteReference w:id="114"/>
      </w:r>
      <w:r w:rsidRPr="00167CB8">
        <w:t xml:space="preserve"> claim involving threats of violence and corruption allegations</w:t>
      </w:r>
      <w:r w:rsidR="00CC0CD5">
        <w:t>’</w:t>
      </w:r>
      <w:r>
        <w:t>.</w:t>
      </w:r>
      <w:r w:rsidRPr="00167CB8">
        <w:rPr>
          <w:rStyle w:val="FootnoteReference"/>
        </w:rPr>
        <w:footnoteReference w:id="115"/>
      </w:r>
      <w:r w:rsidRPr="00167CB8">
        <w:t xml:space="preserve"> </w:t>
      </w:r>
      <w:r w:rsidRPr="00167CB8">
        <w:lastRenderedPageBreak/>
        <w:t>Judge Vasta stated that ‘there may be a perception that the FWO had not complied with the obligations as a model litigant’ and that:</w:t>
      </w:r>
      <w:r w:rsidR="00750D2B">
        <w:rPr>
          <w:rStyle w:val="FootnoteReference"/>
        </w:rPr>
        <w:footnoteReference w:id="116"/>
      </w:r>
    </w:p>
    <w:p w14:paraId="31AB2C98" w14:textId="059046BD" w:rsidR="00D82BD0" w:rsidRPr="00167CB8" w:rsidRDefault="00D3473A" w:rsidP="00D55A73">
      <w:pPr>
        <w:pStyle w:val="Quote"/>
      </w:pPr>
      <w:r>
        <w:t>[T]</w:t>
      </w:r>
      <w:r w:rsidR="00D82BD0" w:rsidRPr="00167CB8">
        <w:t xml:space="preserve">he perception may very well be that the FWO has, by its own actions, not lived up to its purpose. Whilst it must treat all victims equally and all perpetrators equally, the perception here may very well be an Orwellian one; that is, that some victims, and some perpetrators, are more equal </w:t>
      </w:r>
      <w:r w:rsidR="00D82BD0" w:rsidRPr="00DD6284">
        <w:t>than others.</w:t>
      </w:r>
    </w:p>
    <w:p w14:paraId="0EDA817D" w14:textId="463AC659" w:rsidR="00D82BD0" w:rsidRPr="00167CB8" w:rsidRDefault="00D82BD0" w:rsidP="00D82BD0">
      <w:pPr>
        <w:tabs>
          <w:tab w:val="left" w:pos="1620"/>
        </w:tabs>
      </w:pPr>
      <w:r w:rsidRPr="00167CB8">
        <w:t>MBA argued that studies have identified an adverse impact on construction costs and the national housing crisis.</w:t>
      </w:r>
      <w:r w:rsidRPr="00167CB8">
        <w:rPr>
          <w:rStyle w:val="FootnoteReference"/>
        </w:rPr>
        <w:footnoteReference w:id="117"/>
      </w:r>
      <w:r w:rsidRPr="00167CB8">
        <w:t xml:space="preserve"> For example, </w:t>
      </w:r>
      <w:r w:rsidR="00DD6284">
        <w:t xml:space="preserve">the </w:t>
      </w:r>
      <w:r w:rsidRPr="00167CB8">
        <w:t xml:space="preserve">MBA cited a finding that the cost of a </w:t>
      </w:r>
      <w:r w:rsidR="00BA21BB">
        <w:t>two</w:t>
      </w:r>
      <w:r w:rsidRPr="00167CB8">
        <w:t>-bedroom apartment increased by 33% and up to 96 days per year were lost</w:t>
      </w:r>
      <w:r w:rsidR="00BA21BB">
        <w:t>;</w:t>
      </w:r>
      <w:r w:rsidRPr="00167CB8">
        <w:t xml:space="preserve"> and other analysis that the amendments added 10% to the cost of construction of an apartment.</w:t>
      </w:r>
      <w:r w:rsidRPr="00167CB8">
        <w:rPr>
          <w:rStyle w:val="FootnoteReference"/>
        </w:rPr>
        <w:footnoteReference w:id="118"/>
      </w:r>
    </w:p>
    <w:p w14:paraId="6FA649B6" w14:textId="5D68983C" w:rsidR="00D82BD0" w:rsidRDefault="00D82BD0" w:rsidP="00D82BD0">
      <w:r w:rsidRPr="396ABCA7">
        <w:t>Ai Group and HIA recommended that, if the ABCC is not to be re-established, there should be a dedicated division within the FWO with responsibility for regulating the building and construction sector and with the necessary resourcing and powers to regulate the sector. MBA noted the need for the ‘full range’ of ABCC powers, including ‘unlawful picketing, coercion, compulsory examination and investigations powers and increases in penalties for such conduct’.</w:t>
      </w:r>
      <w:r w:rsidRPr="396ABCA7">
        <w:rPr>
          <w:rStyle w:val="FootnoteReference"/>
        </w:rPr>
        <w:footnoteReference w:id="119"/>
      </w:r>
    </w:p>
    <w:p w14:paraId="5966B8E3" w14:textId="14838DF4" w:rsidR="00D82BD0" w:rsidRPr="00701FFE" w:rsidRDefault="00D82BD0" w:rsidP="00D82BD0">
      <w:bookmarkStart w:id="74" w:name="_Hlk191569138"/>
      <w:r w:rsidRPr="00701FFE">
        <w:t xml:space="preserve">In response to the draft report, employer groups were critical of the Review Panel’s lack </w:t>
      </w:r>
      <w:r w:rsidRPr="00DD6284">
        <w:t xml:space="preserve">of recommendations </w:t>
      </w:r>
      <w:r w:rsidR="00DD6284" w:rsidRPr="00211506">
        <w:t xml:space="preserve">on </w:t>
      </w:r>
      <w:r w:rsidRPr="00DD6284">
        <w:t>the</w:t>
      </w:r>
      <w:r w:rsidRPr="00701FFE">
        <w:t xml:space="preserve"> re-establishment of an industry-specific regulator.</w:t>
      </w:r>
    </w:p>
    <w:p w14:paraId="54CFBA59" w14:textId="6391D1D0" w:rsidR="00D82BD0" w:rsidRPr="00701FFE" w:rsidRDefault="00D82BD0" w:rsidP="00D82BD0">
      <w:pPr>
        <w:spacing w:after="160" w:line="278" w:lineRule="auto"/>
      </w:pPr>
      <w:r w:rsidRPr="00701FFE">
        <w:t xml:space="preserve">HIA, ACCI, </w:t>
      </w:r>
      <w:r w:rsidR="0074180A">
        <w:t xml:space="preserve">the </w:t>
      </w:r>
      <w:r w:rsidR="00D60078" w:rsidRPr="00D60078">
        <w:t xml:space="preserve">Chamber of Commerce and Industry </w:t>
      </w:r>
      <w:r w:rsidR="00FA42C8">
        <w:t>of</w:t>
      </w:r>
      <w:r w:rsidR="00D60078" w:rsidRPr="00D60078">
        <w:t xml:space="preserve"> Western Australia</w:t>
      </w:r>
      <w:r w:rsidRPr="00701FFE">
        <w:t>, BCA and Ai Group indicate that further amendments are necessary. ACCI</w:t>
      </w:r>
      <w:r w:rsidRPr="00701FFE">
        <w:rPr>
          <w:rStyle w:val="FootnoteReference"/>
        </w:rPr>
        <w:footnoteReference w:id="120"/>
      </w:r>
      <w:r w:rsidRPr="00701FFE">
        <w:t xml:space="preserve"> and Ai Group</w:t>
      </w:r>
      <w:r w:rsidRPr="00701FFE">
        <w:rPr>
          <w:rStyle w:val="FootnoteReference"/>
        </w:rPr>
        <w:footnoteReference w:id="121"/>
      </w:r>
      <w:r w:rsidRPr="00701FFE">
        <w:t xml:space="preserve"> called for the reinstatement of the ABCC ‘or a comparable body’,</w:t>
      </w:r>
      <w:r w:rsidRPr="00701FFE">
        <w:rPr>
          <w:rStyle w:val="FootnoteReference"/>
        </w:rPr>
        <w:footnoteReference w:id="122"/>
      </w:r>
      <w:r w:rsidRPr="00701FFE">
        <w:t xml:space="preserve"> with Ai Group reiterating that ‘[a]bolishing the ABCC</w:t>
      </w:r>
      <w:r w:rsidR="00BA21BB">
        <w:t xml:space="preserve"> </w:t>
      </w:r>
      <w:r w:rsidRPr="00701FFE">
        <w:t>… took away proper policing and prosecution aimed at discouraging calculated lawbreaking’</w:t>
      </w:r>
      <w:r w:rsidR="00BA21BB">
        <w:t>.</w:t>
      </w:r>
      <w:r w:rsidRPr="00701FFE">
        <w:rPr>
          <w:rStyle w:val="FootnoteReference"/>
        </w:rPr>
        <w:footnoteReference w:id="123"/>
      </w:r>
      <w:r w:rsidRPr="00701FFE">
        <w:t xml:space="preserve"> HIA restated its recommendation to expand the FWO’s powers and penalties and establish a dedicated construction industry ‘unit’ within the FWO.</w:t>
      </w:r>
      <w:r w:rsidRPr="00701FFE">
        <w:rPr>
          <w:rStyle w:val="FootnoteReference"/>
        </w:rPr>
        <w:footnoteReference w:id="124"/>
      </w:r>
    </w:p>
    <w:p w14:paraId="402CD906" w14:textId="777295A4" w:rsidR="00D82BD0" w:rsidRPr="00701FFE" w:rsidRDefault="00D82BD0" w:rsidP="00D82BD0">
      <w:r w:rsidRPr="00701FFE">
        <w:t>BCA reiterated that alleged egregious CFMEU conduct supported the ‘need for an industry-specific regulator’.</w:t>
      </w:r>
      <w:r w:rsidRPr="00701FFE">
        <w:rPr>
          <w:rStyle w:val="FootnoteReference"/>
        </w:rPr>
        <w:footnoteReference w:id="125"/>
      </w:r>
      <w:r w:rsidRPr="00701FFE">
        <w:t xml:space="preserve"> BCA also </w:t>
      </w:r>
      <w:r w:rsidRPr="00DD6284">
        <w:t>note</w:t>
      </w:r>
      <w:r w:rsidR="00DD6284" w:rsidRPr="00AF5236">
        <w:t>d</w:t>
      </w:r>
      <w:r w:rsidRPr="00DD6284">
        <w:t xml:space="preserve"> the High Court challenge to</w:t>
      </w:r>
      <w:r w:rsidRPr="00701FFE">
        <w:t xml:space="preserve"> the administrator</w:t>
      </w:r>
      <w:r w:rsidR="00BA21BB">
        <w:t>;</w:t>
      </w:r>
      <w:r w:rsidRPr="00701FFE">
        <w:t xml:space="preserve"> that the administrator is ‘not the answer to whether the abolition of the ABCC’ is operating appropriately, effectively and without unintended consequences</w:t>
      </w:r>
      <w:r w:rsidR="00BA21BB">
        <w:t>;</w:t>
      </w:r>
      <w:r w:rsidRPr="00701FFE">
        <w:rPr>
          <w:rStyle w:val="FootnoteReference"/>
        </w:rPr>
        <w:footnoteReference w:id="126"/>
      </w:r>
      <w:r w:rsidRPr="00701FFE">
        <w:t xml:space="preserve"> and that</w:t>
      </w:r>
      <w:r w:rsidR="00BA21BB">
        <w:t>,</w:t>
      </w:r>
      <w:r w:rsidRPr="00701FFE">
        <w:t xml:space="preserve"> being temporary, it cannot be a ‘permanent foil to’ the CFMEU’s ‘corrupt conduct’.</w:t>
      </w:r>
      <w:r w:rsidRPr="00701FFE">
        <w:rPr>
          <w:rStyle w:val="FootnoteReference"/>
        </w:rPr>
        <w:footnoteReference w:id="127"/>
      </w:r>
    </w:p>
    <w:p w14:paraId="138E9C37" w14:textId="3BD54239" w:rsidR="00D82BD0" w:rsidRPr="00701FFE" w:rsidRDefault="00D82BD0" w:rsidP="00D82BD0">
      <w:r w:rsidRPr="00701FFE">
        <w:lastRenderedPageBreak/>
        <w:t xml:space="preserve">BCA challenged the assertion </w:t>
      </w:r>
      <w:r>
        <w:t xml:space="preserve">that </w:t>
      </w:r>
      <w:r w:rsidRPr="00701FFE">
        <w:t xml:space="preserve">the Review Panel had not been presented with evidence </w:t>
      </w:r>
      <w:r w:rsidR="00DD6284">
        <w:t xml:space="preserve">that </w:t>
      </w:r>
      <w:r w:rsidRPr="00701FFE">
        <w:t xml:space="preserve">the ABCC necessarily increased compliance, stating </w:t>
      </w:r>
      <w:r w:rsidR="00DD6284">
        <w:t xml:space="preserve">that </w:t>
      </w:r>
      <w:r w:rsidRPr="00701FFE">
        <w:t xml:space="preserve">the ABCC litigated more breaches of workplace laws than the FWO and that the Building Code ‘prevented some of the industrial practices impugned in the </w:t>
      </w:r>
      <w:r w:rsidRPr="00701FFE">
        <w:rPr>
          <w:i/>
        </w:rPr>
        <w:t>Building Bad</w:t>
      </w:r>
      <w:r w:rsidRPr="00701FFE">
        <w:t xml:space="preserve"> reporting’.</w:t>
      </w:r>
      <w:r w:rsidRPr="00701FFE">
        <w:rPr>
          <w:rStyle w:val="FootnoteReference"/>
        </w:rPr>
        <w:footnoteReference w:id="128"/>
      </w:r>
    </w:p>
    <w:p w14:paraId="610BA612" w14:textId="5EBDC28D" w:rsidR="00D82BD0" w:rsidRPr="00701FFE" w:rsidRDefault="00D82BD0" w:rsidP="00D82BD0">
      <w:r w:rsidRPr="00701FFE">
        <w:t>Ai Group stated that ‘if the ABCC had been in place, the response to the Building Bad revelations could have been more rapid, and more effective’ and that the allegations ‘underscored the folly and short-sightedness of abolishing the ABCC’</w:t>
      </w:r>
      <w:r w:rsidR="00BA21BB">
        <w:t>.</w:t>
      </w:r>
      <w:r w:rsidRPr="00701FFE">
        <w:rPr>
          <w:rStyle w:val="FootnoteReference"/>
        </w:rPr>
        <w:footnoteReference w:id="129"/>
      </w:r>
    </w:p>
    <w:p w14:paraId="16EEF44E" w14:textId="228740A6" w:rsidR="00D82BD0" w:rsidRPr="00D21DAF" w:rsidRDefault="00D82BD0" w:rsidP="00D82BD0">
      <w:r w:rsidRPr="00701FFE">
        <w:t>Contradicting the ACTU’s original submission, ACCI stated that the ABCC was not responsible for investigating the issues that led to the appointment of the administrator.</w:t>
      </w:r>
      <w:r w:rsidRPr="00701FFE">
        <w:rPr>
          <w:rStyle w:val="FootnoteReference"/>
        </w:rPr>
        <w:footnoteReference w:id="130"/>
      </w:r>
      <w:r w:rsidRPr="00701FFE">
        <w:t xml:space="preserve"> ACCI also refuted that the ABCC had a ‘strong focus on litigation’, stating its compliance approach was strongly focused on education and assistance.</w:t>
      </w:r>
      <w:r w:rsidRPr="00701FFE">
        <w:rPr>
          <w:rStyle w:val="FootnoteReference"/>
        </w:rPr>
        <w:footnoteReference w:id="131"/>
      </w:r>
    </w:p>
    <w:p w14:paraId="681F2029" w14:textId="77777777" w:rsidR="00D82BD0" w:rsidRPr="001E679C" w:rsidRDefault="00D82BD0" w:rsidP="00EC3517">
      <w:pPr>
        <w:pStyle w:val="Heading4"/>
      </w:pPr>
      <w:bookmarkStart w:id="75" w:name="_Toc187421570"/>
      <w:bookmarkStart w:id="76" w:name="_Toc187946372"/>
      <w:bookmarkStart w:id="77" w:name="_Toc188277909"/>
      <w:bookmarkStart w:id="78" w:name="_Toc189260202"/>
      <w:bookmarkStart w:id="79" w:name="_Toc189393518"/>
      <w:bookmarkEnd w:id="74"/>
      <w:r w:rsidRPr="001E679C">
        <w:t>4.3 Findings and recommendations</w:t>
      </w:r>
      <w:bookmarkEnd w:id="75"/>
      <w:bookmarkEnd w:id="76"/>
      <w:bookmarkEnd w:id="77"/>
      <w:bookmarkEnd w:id="78"/>
      <w:bookmarkEnd w:id="79"/>
    </w:p>
    <w:p w14:paraId="0D21BE35" w14:textId="57D5C443" w:rsidR="00D82BD0" w:rsidRPr="00167CB8" w:rsidRDefault="00D82BD0" w:rsidP="00D82BD0">
      <w:r w:rsidRPr="396ABCA7">
        <w:t xml:space="preserve">The Review Panel considers that the amendments abolishing the ABCC and the transfer of responsibilities for the regulation of the commercial building and construction sector to the FWO are </w:t>
      </w:r>
      <w:r>
        <w:t xml:space="preserve">largely </w:t>
      </w:r>
      <w:r w:rsidRPr="396ABCA7">
        <w:t xml:space="preserve">operating as intended. </w:t>
      </w:r>
      <w:r>
        <w:t xml:space="preserve">In particular, </w:t>
      </w:r>
      <w:r w:rsidRPr="00167CB8">
        <w:t xml:space="preserve">the amendments have achieved their intent of making the commercial building and construction sector subject to the same laws and regulations as other sectors. The amendments have also resulted in the </w:t>
      </w:r>
      <w:r>
        <w:t xml:space="preserve">implementation of a different </w:t>
      </w:r>
      <w:r w:rsidRPr="00167CB8">
        <w:t xml:space="preserve">regulatory </w:t>
      </w:r>
      <w:r>
        <w:t xml:space="preserve">strategy </w:t>
      </w:r>
      <w:r w:rsidRPr="00167CB8">
        <w:t>by the FWO</w:t>
      </w:r>
      <w:r>
        <w:t xml:space="preserve"> as compared to the ABCC</w:t>
      </w:r>
      <w:r w:rsidRPr="00167CB8">
        <w:t>.</w:t>
      </w:r>
    </w:p>
    <w:p w14:paraId="628AADA6" w14:textId="2F6E9139" w:rsidR="00D82BD0" w:rsidRDefault="00D82BD0" w:rsidP="00D82BD0">
      <w:r>
        <w:t xml:space="preserve">The evidence provided in </w:t>
      </w:r>
      <w:r w:rsidRPr="00DD6284">
        <w:t>section</w:t>
      </w:r>
      <w:r w:rsidR="00BA21BB" w:rsidRPr="00DD6284">
        <w:t>s</w:t>
      </w:r>
      <w:r>
        <w:t xml:space="preserve"> 4.2.1 (quantitative) and 4.2.2 (qualitative) support these conclusions. The former (i.e. quantitative) data shows that the number of interventions by the FWO is comparable with the former ABCC, although they indicate different emphases. The ABCC undertook more site visits and won greater penalties against noncompliance, indicating a more punitive approach to regulation. In contrast, the FWO focused more on investigations, wage recovery and the development of a compliance culture, although </w:t>
      </w:r>
      <w:r w:rsidRPr="00DD6284">
        <w:t>litigation remained to play an im</w:t>
      </w:r>
      <w:r>
        <w:t>portant role in the FWO’s regulatory activities. The latter (i.e. qualitative) evidence also demonstrated that the types of regulatory activities undertaken by the FWO emphasised education through its website and changing behaviour through tripartite consultation. Together, these reflect the intent behind the new amendments and the operation of a different regulatory strategy.</w:t>
      </w:r>
    </w:p>
    <w:p w14:paraId="7D34B48F" w14:textId="1371C31B" w:rsidR="00D82BD0" w:rsidRDefault="00D82BD0" w:rsidP="00D82BD0">
      <w:r>
        <w:t xml:space="preserve">The two rounds of stakeholder views, reported in </w:t>
      </w:r>
      <w:r w:rsidRPr="00CA4264">
        <w:t>section</w:t>
      </w:r>
      <w:r>
        <w:t xml:space="preserve"> 4.2.3, demonstrate the deeply held and often opposing positions adopted by employers and unions towards the regulation of the building and construction industry. The Review Panel acknowledge</w:t>
      </w:r>
      <w:r w:rsidR="00CA4264">
        <w:t>s</w:t>
      </w:r>
      <w:r>
        <w:t xml:space="preserve"> that it is the general position of employer associations that the ABCC or a comparable industry-specific body be created to regulate the commercial building and construction sector. E</w:t>
      </w:r>
      <w:r w:rsidRPr="396ABCA7">
        <w:t xml:space="preserve">mployer submissions </w:t>
      </w:r>
      <w:r>
        <w:t>also focused on</w:t>
      </w:r>
      <w:r w:rsidRPr="396ABCA7">
        <w:t xml:space="preserve"> the powers and penalties in the Fair Work Act</w:t>
      </w:r>
      <w:r w:rsidR="00BA21BB">
        <w:t>,</w:t>
      </w:r>
      <w:r>
        <w:t xml:space="preserve"> </w:t>
      </w:r>
      <w:r w:rsidRPr="396ABCA7">
        <w:t>includ</w:t>
      </w:r>
      <w:r>
        <w:t>ing</w:t>
      </w:r>
      <w:r w:rsidRPr="396ABCA7">
        <w:t xml:space="preserve"> the HIA’s comments that the amendments ‘reduce the disincentives to engage in such behaviour and are being pursued despite the fact the current penalties are apparently insufficient to deter union misconduct’.</w:t>
      </w:r>
      <w:r w:rsidRPr="396ABCA7">
        <w:rPr>
          <w:rStyle w:val="FootnoteReference"/>
        </w:rPr>
        <w:footnoteReference w:id="132"/>
      </w:r>
    </w:p>
    <w:p w14:paraId="69FFCA6F" w14:textId="77777777" w:rsidR="00D82BD0" w:rsidRDefault="00D82BD0" w:rsidP="00D82BD0">
      <w:r>
        <w:lastRenderedPageBreak/>
        <w:t xml:space="preserve">No evidence, however, was presented that convinced the Review Panel that the </w:t>
      </w:r>
      <w:r w:rsidRPr="396ABCA7">
        <w:t>regulatory approach of the ABCC or the powers and penalties that were available to that agency necessarily resulted in greater compliance in the commercial building and construction sector.</w:t>
      </w:r>
      <w:r>
        <w:t xml:space="preserve"> Indeed, the FWO’s performance was in some ways superior, despite claims to the contrary.</w:t>
      </w:r>
    </w:p>
    <w:p w14:paraId="1505E12A" w14:textId="767E9107" w:rsidR="00D82BD0" w:rsidRDefault="00D82BD0" w:rsidP="00D82BD0">
      <w:r>
        <w:t xml:space="preserve">This chapter also showed, albeit less rigorously because they did not flow directly from the Secure Jobs, Better Pay amendments, that the FWO was not acting alone when confronting the egregious conduct of the CFMEU and reforming the building and construction industry. The actions of the regulator (i.e. the FWO) are complemented by the parties themselves (employers, workers and unions) as well as other state agencies </w:t>
      </w:r>
      <w:r w:rsidR="00F26EB5">
        <w:t>and bodies</w:t>
      </w:r>
      <w:r>
        <w:t xml:space="preserve"> such as the </w:t>
      </w:r>
      <w:r w:rsidR="00D60078" w:rsidRPr="00D60078">
        <w:t>National Construction Industry Forum</w:t>
      </w:r>
      <w:r>
        <w:t xml:space="preserve"> (see </w:t>
      </w:r>
      <w:r w:rsidR="00CA4264">
        <w:t>C</w:t>
      </w:r>
      <w:r>
        <w:t>hapter 5 below), the administrator of the CFMEU and both federal and state policing authorities. The compliance problems (among both unions and employers) that these parties are addressing are long-term features of the building and construction industry. They consequently require a combination of shorter</w:t>
      </w:r>
      <w:r w:rsidR="00BA21BB">
        <w:t xml:space="preserve"> </w:t>
      </w:r>
      <w:r>
        <w:t>term and longer</w:t>
      </w:r>
      <w:r w:rsidR="00BA21BB">
        <w:t xml:space="preserve"> </w:t>
      </w:r>
      <w:r>
        <w:t>term solutions. G</w:t>
      </w:r>
      <w:r w:rsidRPr="00B20F58">
        <w:t>iven sufficient time</w:t>
      </w:r>
      <w:r>
        <w:t xml:space="preserve"> and commitment</w:t>
      </w:r>
      <w:r w:rsidRPr="00B20F58">
        <w:t xml:space="preserve">, the </w:t>
      </w:r>
      <w:r>
        <w:t xml:space="preserve">operation of the </w:t>
      </w:r>
      <w:r w:rsidRPr="00B20F58">
        <w:t>new framework provide</w:t>
      </w:r>
      <w:r>
        <w:t>s</w:t>
      </w:r>
      <w:r w:rsidRPr="00B20F58">
        <w:t xml:space="preserve"> the opportunity </w:t>
      </w:r>
      <w:r>
        <w:t>to develop</w:t>
      </w:r>
      <w:r w:rsidRPr="00B20F58">
        <w:t xml:space="preserve"> a more </w:t>
      </w:r>
      <w:r>
        <w:t xml:space="preserve">effective and </w:t>
      </w:r>
      <w:r w:rsidRPr="00B20F58">
        <w:t xml:space="preserve">collaborative industrial relations </w:t>
      </w:r>
      <w:r>
        <w:t>approach that is consistent with the intent of the amendments</w:t>
      </w:r>
      <w:r w:rsidRPr="00B20F58">
        <w:t>.</w:t>
      </w:r>
    </w:p>
    <w:p w14:paraId="1D9BBDC2" w14:textId="7FF06FC8" w:rsidR="00D82BD0" w:rsidRPr="00167CB8" w:rsidRDefault="00D82BD0" w:rsidP="00D82BD0">
      <w:r>
        <w:t>In summary</w:t>
      </w:r>
      <w:r w:rsidRPr="00167CB8">
        <w:t>, the Review Panel does not make any recommendations relating to the abolition of the ABCC.</w:t>
      </w:r>
      <w:r w:rsidRPr="00167CB8">
        <w:br w:type="page"/>
      </w:r>
    </w:p>
    <w:p w14:paraId="796D4DA5" w14:textId="77777777" w:rsidR="001137B9" w:rsidRPr="00B80F82" w:rsidRDefault="001137B9" w:rsidP="00EC3517">
      <w:pPr>
        <w:pStyle w:val="Heading3"/>
      </w:pPr>
      <w:bookmarkStart w:id="80" w:name="_Toc187946373"/>
      <w:bookmarkStart w:id="81" w:name="_Toc188277910"/>
      <w:bookmarkStart w:id="82" w:name="_Toc189260203"/>
      <w:bookmarkStart w:id="83" w:name="_Toc189393519"/>
      <w:bookmarkStart w:id="84" w:name="_Toc194311411"/>
      <w:bookmarkStart w:id="85" w:name="_Hlk191645285"/>
      <w:r w:rsidRPr="00B80F82">
        <w:lastRenderedPageBreak/>
        <w:t>Chapter 5. Establishment of National Construction Industry Forum</w:t>
      </w:r>
      <w:bookmarkStart w:id="86" w:name="_Toc187421572"/>
      <w:bookmarkEnd w:id="80"/>
      <w:bookmarkEnd w:id="81"/>
      <w:bookmarkEnd w:id="82"/>
      <w:bookmarkEnd w:id="83"/>
      <w:bookmarkEnd w:id="84"/>
    </w:p>
    <w:bookmarkEnd w:id="85"/>
    <w:p w14:paraId="71489A1D" w14:textId="5EDDF4C0" w:rsidR="001137B9" w:rsidRPr="00167CB8" w:rsidRDefault="001137B9" w:rsidP="001137B9">
      <w:r w:rsidRPr="396ABCA7">
        <w:t xml:space="preserve">The Secure Jobs, Better Pay Act </w:t>
      </w:r>
      <w:r w:rsidRPr="00A249B0">
        <w:t>established the National Construction Industry Forum (NCIF)</w:t>
      </w:r>
      <w:r w:rsidRPr="396ABCA7">
        <w:t xml:space="preserve"> from 1 July 2023. Members of the NCIF were initially announced on 23 July 2023 and membership was expanded in September 2024.</w:t>
      </w:r>
      <w:bookmarkEnd w:id="86"/>
    </w:p>
    <w:p w14:paraId="094D4F63" w14:textId="77777777" w:rsidR="001137B9" w:rsidRPr="00167CB8" w:rsidRDefault="001137B9" w:rsidP="001137B9">
      <w:r w:rsidRPr="00167CB8">
        <w:t>The NCIF is a tripartite body that provides advice to government on a broad range of issues in relation to work in the building and construction industry. In this way, the NCIF links with the theme of these amendments towards a more conciliatory approach to the building and construction industry than recent Coalition governments.</w:t>
      </w:r>
    </w:p>
    <w:p w14:paraId="75EB3E63" w14:textId="2624E8B4" w:rsidR="001137B9" w:rsidRPr="00167CB8" w:rsidRDefault="001137B9" w:rsidP="001137B9">
      <w:r w:rsidRPr="00167CB8">
        <w:t>In announcing the inaugural members, the Minister for Employment and Workplace Relations noted that the NCIF was an outcome of the Jobs and Skills Summit that ‘brought together business, unions and governments to talk about shared challenges facing our economy – including workplaces in the building and construction industry’.</w:t>
      </w:r>
      <w:r w:rsidRPr="00167CB8">
        <w:rPr>
          <w:vertAlign w:val="superscript"/>
        </w:rPr>
        <w:footnoteReference w:id="133"/>
      </w:r>
      <w:r w:rsidRPr="00167CB8">
        <w:t xml:space="preserve"> He also noted that at the Jobs and Skills Summit ‘[w]e agreed to work together, taking a tripartite approach – a principle of equal and shared collaboration between governments, unions and industry – on matters that affect workers and businesses’ and that the NCIF will do this.</w:t>
      </w:r>
      <w:r w:rsidRPr="00167CB8">
        <w:rPr>
          <w:vertAlign w:val="superscript"/>
        </w:rPr>
        <w:footnoteReference w:id="134"/>
      </w:r>
      <w:r w:rsidRPr="00167CB8">
        <w:t xml:space="preserve"> The Minister noted that ‘as a priority the Forum will look at issues around gender equity, particularly the recruitment and retainment of women workers’.</w:t>
      </w:r>
      <w:r w:rsidRPr="00167CB8">
        <w:rPr>
          <w:rStyle w:val="FootnoteReference"/>
        </w:rPr>
        <w:footnoteReference w:id="135"/>
      </w:r>
    </w:p>
    <w:p w14:paraId="5CC5495C" w14:textId="77777777" w:rsidR="001137B9" w:rsidRPr="00B80F82" w:rsidRDefault="001137B9" w:rsidP="00EC3517">
      <w:pPr>
        <w:pStyle w:val="Heading4"/>
      </w:pPr>
      <w:bookmarkStart w:id="87" w:name="_Toc187421573"/>
      <w:bookmarkStart w:id="88" w:name="_Toc187946374"/>
      <w:bookmarkStart w:id="89" w:name="_Toc188277911"/>
      <w:bookmarkStart w:id="90" w:name="_Toc189260204"/>
      <w:bookmarkStart w:id="91" w:name="_Toc189393520"/>
      <w:r w:rsidRPr="00B80F82">
        <w:t>5.1 Amendments and intent</w:t>
      </w:r>
      <w:bookmarkEnd w:id="87"/>
      <w:bookmarkEnd w:id="88"/>
      <w:bookmarkEnd w:id="89"/>
      <w:bookmarkEnd w:id="90"/>
      <w:bookmarkEnd w:id="91"/>
    </w:p>
    <w:p w14:paraId="179C2FC2" w14:textId="77777777" w:rsidR="001137B9" w:rsidRPr="00167CB8" w:rsidRDefault="001137B9" w:rsidP="001137B9">
      <w:r w:rsidRPr="396ABCA7">
        <w:t>This section provides an outline of the amendments in the Secure Jobs, Better Pay Act that established the NCIF.</w:t>
      </w:r>
      <w:r w:rsidRPr="396ABCA7">
        <w:rPr>
          <w:rStyle w:val="FootnoteReference"/>
        </w:rPr>
        <w:footnoteReference w:id="136"/>
      </w:r>
      <w:r w:rsidRPr="396ABCA7">
        <w:t xml:space="preserve"> It also provides information on the intent of the changes.</w:t>
      </w:r>
    </w:p>
    <w:p w14:paraId="5DE0D714" w14:textId="77777777" w:rsidR="001137B9" w:rsidRPr="00B80F82" w:rsidRDefault="001137B9" w:rsidP="00EC3517">
      <w:pPr>
        <w:pStyle w:val="Heading5"/>
      </w:pPr>
      <w:bookmarkStart w:id="92" w:name="_Toc187421574"/>
      <w:bookmarkStart w:id="93" w:name="_Toc187946375"/>
      <w:r w:rsidRPr="00B80F82">
        <w:t>5.1.1 Secure Jobs, Better Pay amendments</w:t>
      </w:r>
      <w:bookmarkEnd w:id="92"/>
      <w:bookmarkEnd w:id="93"/>
    </w:p>
    <w:p w14:paraId="15A7FD8C" w14:textId="06C4C643" w:rsidR="001137B9" w:rsidRPr="00167CB8" w:rsidRDefault="001137B9" w:rsidP="001137B9">
      <w:r w:rsidRPr="396ABCA7">
        <w:t xml:space="preserve">The Secure Jobs, Better Pay Act amended the </w:t>
      </w:r>
      <w:r w:rsidRPr="000B639B">
        <w:t>Fair Work Act</w:t>
      </w:r>
      <w:r w:rsidRPr="00A52E2B">
        <w:rPr>
          <w:i/>
          <w:iCs/>
        </w:rPr>
        <w:t xml:space="preserve"> </w:t>
      </w:r>
      <w:r w:rsidRPr="396ABCA7">
        <w:t>by inserting new Part 6-4D of Chapter 6 to establish the NCIF.</w:t>
      </w:r>
    </w:p>
    <w:p w14:paraId="68B6B12F" w14:textId="6C965F0A" w:rsidR="001137B9" w:rsidRPr="00167CB8" w:rsidRDefault="001137B9" w:rsidP="001137B9">
      <w:r w:rsidRPr="00167CB8">
        <w:t>Section 789GZD of the Fair Work Act sets out the function of the NCIF as follows:</w:t>
      </w:r>
    </w:p>
    <w:p w14:paraId="43B8434C" w14:textId="77777777" w:rsidR="001137B9" w:rsidRPr="00167CB8" w:rsidRDefault="001137B9" w:rsidP="00D55A73">
      <w:pPr>
        <w:pStyle w:val="Quote"/>
      </w:pPr>
      <w:bookmarkStart w:id="94" w:name="_Toc185579528"/>
      <w:bookmarkStart w:id="95" w:name="_Toc187946376"/>
      <w:r w:rsidRPr="00167CB8">
        <w:t>789GZD Function of the Forum</w:t>
      </w:r>
      <w:bookmarkEnd w:id="94"/>
      <w:bookmarkEnd w:id="95"/>
    </w:p>
    <w:p w14:paraId="0EFA91AE" w14:textId="77777777" w:rsidR="001137B9" w:rsidRPr="00167CB8" w:rsidRDefault="001137B9" w:rsidP="00952BA7">
      <w:pPr>
        <w:pStyle w:val="Quote"/>
      </w:pPr>
      <w:r w:rsidRPr="00167CB8">
        <w:t>(1)</w:t>
      </w:r>
      <w:r w:rsidRPr="00167CB8">
        <w:tab/>
        <w:t>The function of the National Construction Industry Forum is to provide advice to the Government in relation to work in the building and construction industry.</w:t>
      </w:r>
    </w:p>
    <w:p w14:paraId="3DB3763C" w14:textId="77777777" w:rsidR="001137B9" w:rsidRPr="00167CB8" w:rsidRDefault="001137B9" w:rsidP="00952BA7">
      <w:pPr>
        <w:pStyle w:val="Quote"/>
      </w:pPr>
      <w:r w:rsidRPr="00167CB8">
        <w:t>(2)</w:t>
      </w:r>
      <w:r w:rsidRPr="00167CB8">
        <w:tab/>
        <w:t>The matters in relation to which the Forum may provide advice include, but are not limited to, the following:</w:t>
      </w:r>
    </w:p>
    <w:p w14:paraId="28CBB437" w14:textId="77777777" w:rsidR="001137B9" w:rsidRPr="00167CB8" w:rsidRDefault="001137B9" w:rsidP="00D55A73">
      <w:pPr>
        <w:pStyle w:val="Quote"/>
      </w:pPr>
      <w:r w:rsidRPr="00167CB8">
        <w:tab/>
        <w:t>(a)</w:t>
      </w:r>
      <w:r w:rsidRPr="00167CB8">
        <w:tab/>
        <w:t>workplace relations;</w:t>
      </w:r>
    </w:p>
    <w:p w14:paraId="29CD6258" w14:textId="77777777" w:rsidR="001137B9" w:rsidRPr="00167CB8" w:rsidRDefault="001137B9" w:rsidP="00D55A73">
      <w:pPr>
        <w:pStyle w:val="Quote"/>
      </w:pPr>
      <w:r w:rsidRPr="00167CB8">
        <w:lastRenderedPageBreak/>
        <w:tab/>
        <w:t>(b)</w:t>
      </w:r>
      <w:r w:rsidRPr="00167CB8">
        <w:tab/>
        <w:t>skills and training;</w:t>
      </w:r>
    </w:p>
    <w:p w14:paraId="4742A4EE" w14:textId="77777777" w:rsidR="001137B9" w:rsidRPr="00167CB8" w:rsidRDefault="001137B9" w:rsidP="00D55A73">
      <w:pPr>
        <w:pStyle w:val="Quote"/>
      </w:pPr>
      <w:r w:rsidRPr="00167CB8">
        <w:tab/>
        <w:t>(c)</w:t>
      </w:r>
      <w:r w:rsidRPr="00167CB8">
        <w:tab/>
        <w:t>safety;</w:t>
      </w:r>
    </w:p>
    <w:p w14:paraId="62BE2BEE" w14:textId="77777777" w:rsidR="001137B9" w:rsidRPr="00167CB8" w:rsidRDefault="001137B9" w:rsidP="00D55A73">
      <w:pPr>
        <w:pStyle w:val="Quote"/>
      </w:pPr>
      <w:r w:rsidRPr="00167CB8">
        <w:tab/>
        <w:t>(d)</w:t>
      </w:r>
      <w:r w:rsidRPr="00167CB8">
        <w:tab/>
        <w:t>productivity;</w:t>
      </w:r>
    </w:p>
    <w:p w14:paraId="34A831C3" w14:textId="77777777" w:rsidR="001137B9" w:rsidRPr="00167CB8" w:rsidRDefault="001137B9" w:rsidP="00D55A73">
      <w:pPr>
        <w:pStyle w:val="Quote"/>
      </w:pPr>
      <w:r w:rsidRPr="00167CB8">
        <w:tab/>
        <w:t>(e)</w:t>
      </w:r>
      <w:r w:rsidRPr="00167CB8">
        <w:tab/>
        <w:t>diversity and gender equity;</w:t>
      </w:r>
    </w:p>
    <w:p w14:paraId="3389D9B0" w14:textId="77777777" w:rsidR="001137B9" w:rsidRPr="00167CB8" w:rsidRDefault="001137B9" w:rsidP="00D55A73">
      <w:pPr>
        <w:pStyle w:val="Quote"/>
      </w:pPr>
      <w:r w:rsidRPr="00167CB8">
        <w:tab/>
        <w:t>(f)</w:t>
      </w:r>
      <w:r w:rsidRPr="00167CB8">
        <w:tab/>
        <w:t>industry culture.</w:t>
      </w:r>
    </w:p>
    <w:p w14:paraId="4A70F23B" w14:textId="77777777" w:rsidR="001137B9" w:rsidRPr="00167CB8" w:rsidRDefault="001137B9" w:rsidP="00D55A73">
      <w:pPr>
        <w:pStyle w:val="Quote"/>
      </w:pPr>
      <w:r w:rsidRPr="00167CB8">
        <w:t>(3)</w:t>
      </w:r>
      <w:r w:rsidRPr="00167CB8">
        <w:tab/>
        <w:t>Matters for advice may be:</w:t>
      </w:r>
    </w:p>
    <w:p w14:paraId="6A098B3C" w14:textId="77777777" w:rsidR="001137B9" w:rsidRPr="00167CB8" w:rsidRDefault="001137B9" w:rsidP="00D55A73">
      <w:pPr>
        <w:pStyle w:val="Quote"/>
      </w:pPr>
      <w:r w:rsidRPr="00167CB8">
        <w:tab/>
        <w:t>(a)</w:t>
      </w:r>
      <w:r w:rsidRPr="00167CB8">
        <w:tab/>
        <w:t>raised by the Government; or</w:t>
      </w:r>
    </w:p>
    <w:p w14:paraId="0B2F79C8" w14:textId="77777777" w:rsidR="001137B9" w:rsidRPr="00167CB8" w:rsidRDefault="001137B9" w:rsidP="00D55A73">
      <w:pPr>
        <w:pStyle w:val="Quote"/>
      </w:pPr>
      <w:r w:rsidRPr="00167CB8">
        <w:tab/>
        <w:t>(b)</w:t>
      </w:r>
      <w:r w:rsidRPr="00167CB8">
        <w:tab/>
        <w:t>agreed between the members of the Forum.</w:t>
      </w:r>
    </w:p>
    <w:p w14:paraId="30F7A989" w14:textId="77777777" w:rsidR="0011475D" w:rsidRDefault="001137B9" w:rsidP="001137B9">
      <w:r w:rsidRPr="00167CB8">
        <w:t>Section 789GZE of the Fair Work Act outlines the membership of the NCIF and provides:</w:t>
      </w:r>
    </w:p>
    <w:p w14:paraId="6A92E893" w14:textId="67F8057E" w:rsidR="001137B9" w:rsidRPr="00167CB8" w:rsidRDefault="001137B9" w:rsidP="00D55A73">
      <w:pPr>
        <w:pStyle w:val="Quote"/>
      </w:pPr>
      <w:bookmarkStart w:id="96" w:name="_Toc185579529"/>
      <w:bookmarkStart w:id="97" w:name="_Toc187946377"/>
      <w:r w:rsidRPr="00167CB8">
        <w:rPr>
          <w:rStyle w:val="CharSectno0"/>
          <w:rFonts w:asciiTheme="minorHAnsi" w:hAnsiTheme="minorHAnsi"/>
        </w:rPr>
        <w:t>789GZE</w:t>
      </w:r>
      <w:r w:rsidRPr="00167CB8">
        <w:t xml:space="preserve"> Membership</w:t>
      </w:r>
      <w:bookmarkEnd w:id="96"/>
      <w:bookmarkEnd w:id="97"/>
    </w:p>
    <w:p w14:paraId="20F133E2" w14:textId="77777777" w:rsidR="001137B9" w:rsidRPr="00167CB8" w:rsidRDefault="001137B9" w:rsidP="00D55A73">
      <w:pPr>
        <w:pStyle w:val="Quote"/>
      </w:pPr>
      <w:r w:rsidRPr="00167CB8">
        <w:t>(1)</w:t>
      </w:r>
      <w:r w:rsidRPr="00167CB8">
        <w:tab/>
        <w:t>The members of the National Construction Industry Forum are:</w:t>
      </w:r>
    </w:p>
    <w:p w14:paraId="60602ED4" w14:textId="77777777" w:rsidR="001137B9" w:rsidRPr="00167CB8" w:rsidRDefault="001137B9" w:rsidP="008B5ADC">
      <w:pPr>
        <w:pStyle w:val="Quote"/>
      </w:pPr>
      <w:r w:rsidRPr="00167CB8">
        <w:tab/>
      </w:r>
      <w:r w:rsidRPr="00167CB8">
        <w:tab/>
        <w:t>(a)</w:t>
      </w:r>
      <w:r w:rsidRPr="00167CB8">
        <w:tab/>
        <w:t>the Minister; and</w:t>
      </w:r>
    </w:p>
    <w:p w14:paraId="64F17107" w14:textId="77777777" w:rsidR="001137B9" w:rsidRPr="00167CB8" w:rsidRDefault="001137B9" w:rsidP="008B5ADC">
      <w:pPr>
        <w:pStyle w:val="Quote"/>
      </w:pPr>
      <w:r w:rsidRPr="00167CB8">
        <w:tab/>
      </w:r>
      <w:r w:rsidRPr="00167CB8">
        <w:tab/>
        <w:t>(b)</w:t>
      </w:r>
      <w:r w:rsidRPr="00167CB8">
        <w:tab/>
        <w:t>the Infrastructure Minister; and</w:t>
      </w:r>
    </w:p>
    <w:p w14:paraId="1D89F69B" w14:textId="77777777" w:rsidR="001137B9" w:rsidRPr="00167CB8" w:rsidRDefault="001137B9" w:rsidP="008B5ADC">
      <w:pPr>
        <w:pStyle w:val="Quote"/>
      </w:pPr>
      <w:r w:rsidRPr="00167CB8">
        <w:tab/>
      </w:r>
      <w:r w:rsidRPr="00167CB8">
        <w:tab/>
        <w:t>(c)</w:t>
      </w:r>
      <w:r w:rsidRPr="00167CB8">
        <w:tab/>
        <w:t>the Industry Minister; and</w:t>
      </w:r>
    </w:p>
    <w:p w14:paraId="50C662B6" w14:textId="77777777" w:rsidR="001137B9" w:rsidRPr="00167CB8" w:rsidRDefault="001137B9" w:rsidP="008B5ADC">
      <w:pPr>
        <w:pStyle w:val="Quote"/>
      </w:pPr>
      <w:r w:rsidRPr="00167CB8">
        <w:tab/>
      </w:r>
      <w:r w:rsidRPr="00167CB8">
        <w:tab/>
        <w:t>(d)</w:t>
      </w:r>
      <w:r w:rsidRPr="00167CB8">
        <w:tab/>
        <w:t>the members appointed by the Minister.</w:t>
      </w:r>
    </w:p>
    <w:p w14:paraId="65C5C81E" w14:textId="77777777" w:rsidR="001137B9" w:rsidRPr="00167CB8" w:rsidRDefault="001137B9" w:rsidP="00D55A73">
      <w:pPr>
        <w:pStyle w:val="Quote"/>
      </w:pPr>
      <w:r w:rsidRPr="00167CB8">
        <w:t>(2)</w:t>
      </w:r>
      <w:r w:rsidRPr="00167CB8">
        <w:tab/>
        <w:t>The Minister must appoint:</w:t>
      </w:r>
    </w:p>
    <w:p w14:paraId="6F9B053B" w14:textId="77777777" w:rsidR="001137B9" w:rsidRPr="00167CB8" w:rsidRDefault="001137B9" w:rsidP="00D0269A">
      <w:pPr>
        <w:pStyle w:val="Quote"/>
        <w:ind w:left="2160"/>
      </w:pPr>
      <w:r w:rsidRPr="00167CB8">
        <w:t>(a)</w:t>
      </w:r>
      <w:r w:rsidRPr="00167CB8">
        <w:tab/>
        <w:t>one or more members who have experience representing employees in the building and construction industry; and</w:t>
      </w:r>
    </w:p>
    <w:p w14:paraId="29249C93" w14:textId="77777777" w:rsidR="001137B9" w:rsidRPr="00167CB8" w:rsidRDefault="001137B9" w:rsidP="00D0269A">
      <w:pPr>
        <w:pStyle w:val="Quote"/>
        <w:ind w:left="2160"/>
      </w:pPr>
      <w:r w:rsidRPr="00167CB8">
        <w:t>(b)</w:t>
      </w:r>
      <w:r w:rsidRPr="00167CB8">
        <w:tab/>
        <w:t>an equal number of members who have experience representing employers in the building and construction industry, including at least one member who has experience representing contractors in the building and construction industry, and one member with experience in small to medium sized enterprises in the residential building sector.</w:t>
      </w:r>
    </w:p>
    <w:p w14:paraId="7C977BDB" w14:textId="1B72B126" w:rsidR="001137B9" w:rsidRPr="00167CB8" w:rsidRDefault="001137B9" w:rsidP="00D55A73">
      <w:pPr>
        <w:pStyle w:val="Quote"/>
      </w:pPr>
      <w:r w:rsidRPr="00167CB8">
        <w:t>(3)</w:t>
      </w:r>
      <w:r w:rsidRPr="00167CB8">
        <w:tab/>
        <w:t>The Minister may appoint any other person.</w:t>
      </w:r>
    </w:p>
    <w:p w14:paraId="5A777333" w14:textId="77777777" w:rsidR="001137B9" w:rsidRPr="00167CB8" w:rsidRDefault="001137B9" w:rsidP="001137B9">
      <w:r w:rsidRPr="396ABCA7">
        <w:t>The Secure Jobs, Better Pay Act also established the mechanical provisions for the NCIF, including the chair;</w:t>
      </w:r>
      <w:r w:rsidRPr="396ABCA7">
        <w:rPr>
          <w:rStyle w:val="FootnoteReference"/>
        </w:rPr>
        <w:footnoteReference w:id="137"/>
      </w:r>
      <w:r w:rsidRPr="396ABCA7">
        <w:t xml:space="preserve"> frequency and procedure for meetings;</w:t>
      </w:r>
      <w:r w:rsidRPr="396ABCA7">
        <w:rPr>
          <w:rStyle w:val="FootnoteReference"/>
        </w:rPr>
        <w:footnoteReference w:id="138"/>
      </w:r>
      <w:r w:rsidRPr="396ABCA7">
        <w:t xml:space="preserve"> confidentiality;</w:t>
      </w:r>
      <w:r w:rsidRPr="396ABCA7">
        <w:rPr>
          <w:rStyle w:val="FootnoteReference"/>
        </w:rPr>
        <w:footnoteReference w:id="139"/>
      </w:r>
      <w:r w:rsidRPr="396ABCA7">
        <w:t xml:space="preserve"> travel </w:t>
      </w:r>
      <w:r w:rsidRPr="396ABCA7">
        <w:lastRenderedPageBreak/>
        <w:t>allowance for members;</w:t>
      </w:r>
      <w:r w:rsidRPr="396ABCA7">
        <w:rPr>
          <w:rStyle w:val="FootnoteReference"/>
        </w:rPr>
        <w:footnoteReference w:id="140"/>
      </w:r>
      <w:r w:rsidRPr="396ABCA7">
        <w:t xml:space="preserve"> and the substitution,</w:t>
      </w:r>
      <w:r w:rsidRPr="396ABCA7">
        <w:rPr>
          <w:rStyle w:val="FootnoteReference"/>
        </w:rPr>
        <w:footnoteReference w:id="141"/>
      </w:r>
      <w:r w:rsidRPr="396ABCA7">
        <w:t xml:space="preserve"> resignation</w:t>
      </w:r>
      <w:r w:rsidRPr="396ABCA7">
        <w:rPr>
          <w:rStyle w:val="FootnoteReference"/>
        </w:rPr>
        <w:footnoteReference w:id="142"/>
      </w:r>
      <w:r w:rsidRPr="396ABCA7">
        <w:t xml:space="preserve"> and termination of appointment of members.</w:t>
      </w:r>
      <w:r w:rsidRPr="396ABCA7">
        <w:rPr>
          <w:rStyle w:val="FootnoteReference"/>
        </w:rPr>
        <w:footnoteReference w:id="143"/>
      </w:r>
    </w:p>
    <w:p w14:paraId="4B5086F0" w14:textId="77777777" w:rsidR="0011475D" w:rsidRPr="00B80F82" w:rsidRDefault="001137B9" w:rsidP="00EC3517">
      <w:pPr>
        <w:pStyle w:val="Heading5"/>
      </w:pPr>
      <w:bookmarkStart w:id="98" w:name="_Toc187421575"/>
      <w:bookmarkStart w:id="99" w:name="_Toc187946378"/>
      <w:r w:rsidRPr="00B80F82">
        <w:t>5.1.2 Intent of Secure Jobs, Better Pay amendments</w:t>
      </w:r>
      <w:bookmarkEnd w:id="98"/>
      <w:bookmarkEnd w:id="99"/>
    </w:p>
    <w:p w14:paraId="00727E84" w14:textId="4A4FA126" w:rsidR="001137B9" w:rsidRPr="00167CB8" w:rsidRDefault="001137B9" w:rsidP="001137B9">
      <w:r w:rsidRPr="396ABCA7">
        <w:t>The intent of establishing the NCIF was to give ‘further opportunities for industry participants to organise and have their views heard by government’.</w:t>
      </w:r>
      <w:r w:rsidRPr="396ABCA7">
        <w:rPr>
          <w:vertAlign w:val="superscript"/>
        </w:rPr>
        <w:footnoteReference w:id="144"/>
      </w:r>
    </w:p>
    <w:p w14:paraId="436C367D" w14:textId="0520989B" w:rsidR="001137B9" w:rsidRPr="00167CB8" w:rsidRDefault="001137B9" w:rsidP="001137B9">
      <w:r w:rsidRPr="396ABCA7">
        <w:t>The establishment of the NCIF was an outcome of the Australian Government’s Jobs and Skills Summit. One of the outcomes for immediate action from the summit was to ‘establish a tripartite National Construction Industry Forum to constructively address issues such as mental health, safety, training, apprentices, productivity, culture, diversity and gender equity in the industry’.</w:t>
      </w:r>
      <w:r w:rsidRPr="396ABCA7">
        <w:rPr>
          <w:vertAlign w:val="superscript"/>
        </w:rPr>
        <w:footnoteReference w:id="145"/>
      </w:r>
    </w:p>
    <w:p w14:paraId="29733D84" w14:textId="505809DD" w:rsidR="001137B9" w:rsidRPr="00167CB8" w:rsidRDefault="001137B9" w:rsidP="001137B9">
      <w:r w:rsidRPr="396ABCA7">
        <w:t>The Australian Government has stated that it views the NCIF and tripartism as important factors in driving long-term change in the construction sector and improving industry culture.</w:t>
      </w:r>
      <w:r w:rsidRPr="396ABCA7">
        <w:rPr>
          <w:vertAlign w:val="superscript"/>
        </w:rPr>
        <w:footnoteReference w:id="146"/>
      </w:r>
    </w:p>
    <w:p w14:paraId="450BC9AB" w14:textId="1BC0E0A7" w:rsidR="001137B9" w:rsidRPr="00167CB8" w:rsidRDefault="001137B9" w:rsidP="001137B9">
      <w:r w:rsidRPr="00167CB8">
        <w:t>The use of a tripartite group to encourage cooperation in the building and construction industry and engage stakeholders in advice to the Australian Government is consistent with the different forms of regulation theme outlined in the introduction to this chapter</w:t>
      </w:r>
      <w:r>
        <w:t>.</w:t>
      </w:r>
    </w:p>
    <w:p w14:paraId="7044815B" w14:textId="77777777" w:rsidR="001137B9" w:rsidRPr="00B80F82" w:rsidRDefault="001137B9" w:rsidP="00EC3517">
      <w:pPr>
        <w:pStyle w:val="Heading4"/>
      </w:pPr>
      <w:bookmarkStart w:id="100" w:name="_Toc187421576"/>
      <w:bookmarkStart w:id="101" w:name="_Toc187946379"/>
      <w:bookmarkStart w:id="102" w:name="_Toc188277912"/>
      <w:bookmarkStart w:id="103" w:name="_Toc189260205"/>
      <w:bookmarkStart w:id="104" w:name="_Toc189393521"/>
      <w:r w:rsidRPr="00B80F82">
        <w:t>5.2 Impact and issues</w:t>
      </w:r>
      <w:bookmarkEnd w:id="100"/>
      <w:bookmarkEnd w:id="101"/>
      <w:bookmarkEnd w:id="102"/>
      <w:bookmarkEnd w:id="103"/>
      <w:bookmarkEnd w:id="104"/>
    </w:p>
    <w:p w14:paraId="0F2370E7" w14:textId="77777777" w:rsidR="001137B9" w:rsidRPr="00167CB8" w:rsidRDefault="001137B9" w:rsidP="001137B9">
      <w:r w:rsidRPr="00167CB8">
        <w:t>This section sets out relevant quantitative and qualitative evidence on the NCIF, as well as an outline of the stakeholder views.</w:t>
      </w:r>
    </w:p>
    <w:p w14:paraId="5DAF16AC" w14:textId="77777777" w:rsidR="001137B9" w:rsidRPr="00B80F82" w:rsidRDefault="001137B9" w:rsidP="00EC3517">
      <w:pPr>
        <w:pStyle w:val="Heading5"/>
      </w:pPr>
      <w:bookmarkStart w:id="105" w:name="_Toc187421577"/>
      <w:bookmarkStart w:id="106" w:name="_Toc187946380"/>
      <w:r w:rsidRPr="00B80F82">
        <w:t>5.2.1 Quantitative evidence</w:t>
      </w:r>
      <w:bookmarkEnd w:id="105"/>
      <w:bookmarkEnd w:id="106"/>
    </w:p>
    <w:p w14:paraId="2105ACA3" w14:textId="1BB613CA" w:rsidR="001137B9" w:rsidRPr="00167CB8" w:rsidRDefault="001137B9" w:rsidP="001137B9">
      <w:pPr>
        <w:rPr>
          <w:b/>
          <w:bCs/>
        </w:rPr>
      </w:pPr>
      <w:bookmarkStart w:id="107" w:name="_Toc187421578"/>
      <w:bookmarkStart w:id="108" w:name="_Toc187946381"/>
      <w:r w:rsidRPr="396ABCA7">
        <w:t>The NCIF has held</w:t>
      </w:r>
      <w:r>
        <w:t xml:space="preserve"> three</w:t>
      </w:r>
      <w:r w:rsidRPr="396ABCA7">
        <w:t xml:space="preserve"> meetings as at the time of publication of this report</w:t>
      </w:r>
      <w:bookmarkEnd w:id="107"/>
      <w:r w:rsidRPr="396ABCA7">
        <w:t>.</w:t>
      </w:r>
      <w:r w:rsidRPr="396ABCA7">
        <w:rPr>
          <w:vertAlign w:val="superscript"/>
        </w:rPr>
        <w:footnoteReference w:id="147"/>
      </w:r>
      <w:r w:rsidRPr="396ABCA7">
        <w:rPr>
          <w:b/>
          <w:bCs/>
        </w:rPr>
        <w:t xml:space="preserve"> </w:t>
      </w:r>
      <w:r w:rsidRPr="396ABCA7">
        <w:t xml:space="preserve">These are </w:t>
      </w:r>
      <w:r w:rsidRPr="00214F58">
        <w:t>addressed in section 5.2.2 of this</w:t>
      </w:r>
      <w:r w:rsidRPr="396ABCA7">
        <w:t xml:space="preserve"> report.</w:t>
      </w:r>
      <w:bookmarkEnd w:id="108"/>
    </w:p>
    <w:p w14:paraId="71BCAF1F" w14:textId="77777777" w:rsidR="001137B9" w:rsidRPr="00B80F82" w:rsidRDefault="001137B9" w:rsidP="00EC3517">
      <w:pPr>
        <w:pStyle w:val="Heading5"/>
      </w:pPr>
      <w:bookmarkStart w:id="109" w:name="_Toc187421579"/>
      <w:bookmarkStart w:id="110" w:name="_Toc187946382"/>
      <w:r w:rsidRPr="00B80F82">
        <w:t>5.2.2 Qualitative evidence</w:t>
      </w:r>
      <w:bookmarkEnd w:id="109"/>
      <w:bookmarkEnd w:id="110"/>
    </w:p>
    <w:p w14:paraId="6E972428" w14:textId="77777777" w:rsidR="001137B9" w:rsidRPr="00167CB8" w:rsidRDefault="001137B9" w:rsidP="001137B9">
      <w:r w:rsidRPr="396ABCA7">
        <w:t xml:space="preserve">On 23 </w:t>
      </w:r>
      <w:r w:rsidRPr="00214F58">
        <w:t>July 2023 the then Minister</w:t>
      </w:r>
      <w:r w:rsidRPr="396ABCA7">
        <w:t xml:space="preserve"> for Employment and Workplace Relations, the Hon Tony Burke MP, announced the appointment of 12 representatives to the NCIF from:</w:t>
      </w:r>
    </w:p>
    <w:p w14:paraId="375301F3" w14:textId="77777777" w:rsidR="001137B9" w:rsidRPr="00167CB8" w:rsidRDefault="001137B9" w:rsidP="003F7EE6">
      <w:pPr>
        <w:pStyle w:val="ListBullet"/>
        <w:numPr>
          <w:ilvl w:val="0"/>
          <w:numId w:val="4"/>
        </w:numPr>
      </w:pPr>
      <w:r w:rsidRPr="00167CB8">
        <w:t>Housing Industry Association (HIA)</w:t>
      </w:r>
    </w:p>
    <w:p w14:paraId="067EA504" w14:textId="596AA830" w:rsidR="001137B9" w:rsidRPr="00167CB8" w:rsidRDefault="001137B9" w:rsidP="003F7EE6">
      <w:pPr>
        <w:pStyle w:val="ListBullet"/>
        <w:numPr>
          <w:ilvl w:val="0"/>
          <w:numId w:val="4"/>
        </w:numPr>
      </w:pPr>
      <w:r w:rsidRPr="00167CB8">
        <w:t>National Electrical and Communications Association</w:t>
      </w:r>
    </w:p>
    <w:p w14:paraId="438D46D8" w14:textId="77777777" w:rsidR="001137B9" w:rsidRPr="00167CB8" w:rsidRDefault="001137B9" w:rsidP="003F7EE6">
      <w:pPr>
        <w:pStyle w:val="ListBullet"/>
        <w:numPr>
          <w:ilvl w:val="0"/>
          <w:numId w:val="4"/>
        </w:numPr>
      </w:pPr>
      <w:r w:rsidRPr="00167CB8">
        <w:t>Dexus Funds Management and the Property Council of Australia</w:t>
      </w:r>
    </w:p>
    <w:p w14:paraId="1DE3B5BF" w14:textId="77777777" w:rsidR="001137B9" w:rsidRPr="00167CB8" w:rsidRDefault="001137B9" w:rsidP="003F7EE6">
      <w:pPr>
        <w:pStyle w:val="ListBullet"/>
        <w:numPr>
          <w:ilvl w:val="0"/>
          <w:numId w:val="4"/>
        </w:numPr>
      </w:pPr>
      <w:r w:rsidRPr="00167CB8">
        <w:t>Australian Owned Contractors</w:t>
      </w:r>
    </w:p>
    <w:p w14:paraId="43C01BBB" w14:textId="4563DB07" w:rsidR="001137B9" w:rsidRPr="00167CB8" w:rsidRDefault="001137B9" w:rsidP="003F7EE6">
      <w:pPr>
        <w:pStyle w:val="ListBullet"/>
        <w:numPr>
          <w:ilvl w:val="0"/>
          <w:numId w:val="4"/>
        </w:numPr>
      </w:pPr>
      <w:r w:rsidRPr="00167CB8">
        <w:t>Australian Constructors Association</w:t>
      </w:r>
    </w:p>
    <w:p w14:paraId="3BF4A961" w14:textId="281E24B4" w:rsidR="001137B9" w:rsidRPr="00167CB8" w:rsidRDefault="001137B9" w:rsidP="003F7EE6">
      <w:pPr>
        <w:pStyle w:val="ListBullet"/>
        <w:numPr>
          <w:ilvl w:val="0"/>
          <w:numId w:val="4"/>
        </w:numPr>
      </w:pPr>
      <w:r w:rsidRPr="00167CB8">
        <w:lastRenderedPageBreak/>
        <w:t>Roberts Co</w:t>
      </w:r>
    </w:p>
    <w:p w14:paraId="3412BCEA" w14:textId="77777777" w:rsidR="001137B9" w:rsidRPr="00167CB8" w:rsidRDefault="001137B9" w:rsidP="003F7EE6">
      <w:pPr>
        <w:pStyle w:val="ListBullet"/>
        <w:numPr>
          <w:ilvl w:val="0"/>
          <w:numId w:val="4"/>
        </w:numPr>
      </w:pPr>
      <w:r w:rsidRPr="00167CB8">
        <w:t>Construction, Forestry, Maritime, Mining and Energy Union (CFMEU)</w:t>
      </w:r>
    </w:p>
    <w:p w14:paraId="4DE62C35" w14:textId="77777777" w:rsidR="001137B9" w:rsidRPr="00167CB8" w:rsidRDefault="001137B9" w:rsidP="003F7EE6">
      <w:pPr>
        <w:pStyle w:val="ListBullet"/>
        <w:numPr>
          <w:ilvl w:val="0"/>
          <w:numId w:val="4"/>
        </w:numPr>
      </w:pPr>
      <w:r w:rsidRPr="00167CB8">
        <w:t>Australian Workers’ Union (AWU)</w:t>
      </w:r>
    </w:p>
    <w:p w14:paraId="123AC6DF" w14:textId="53787D07" w:rsidR="001137B9" w:rsidRPr="00167CB8" w:rsidRDefault="001137B9" w:rsidP="003F7EE6">
      <w:pPr>
        <w:pStyle w:val="ListBullet"/>
        <w:numPr>
          <w:ilvl w:val="0"/>
          <w:numId w:val="4"/>
        </w:numPr>
      </w:pPr>
      <w:r w:rsidRPr="00167CB8">
        <w:t>Australian Manufacturing Workers’ Union</w:t>
      </w:r>
    </w:p>
    <w:p w14:paraId="73EC15C7" w14:textId="37EB4F4F" w:rsidR="001137B9" w:rsidRPr="00167CB8" w:rsidRDefault="001137B9" w:rsidP="003F7EE6">
      <w:pPr>
        <w:pStyle w:val="ListBullet"/>
        <w:numPr>
          <w:ilvl w:val="0"/>
          <w:numId w:val="4"/>
        </w:numPr>
      </w:pPr>
      <w:r w:rsidRPr="396ABCA7">
        <w:t>Electrical Trades Union.</w:t>
      </w:r>
      <w:r w:rsidRPr="396ABCA7">
        <w:rPr>
          <w:vertAlign w:val="superscript"/>
        </w:rPr>
        <w:footnoteReference w:id="148"/>
      </w:r>
    </w:p>
    <w:p w14:paraId="430C590C" w14:textId="5E79D23E" w:rsidR="001137B9" w:rsidRPr="00167CB8" w:rsidRDefault="001137B9" w:rsidP="001137B9">
      <w:r w:rsidRPr="396ABCA7">
        <w:t xml:space="preserve">The NCIF held its first meeting on 20 October 2023, and meetings have subsequently been held on 23 February 2024 and 16 October 2024. The NCIF has established </w:t>
      </w:r>
      <w:r>
        <w:t>two</w:t>
      </w:r>
      <w:r w:rsidRPr="396ABCA7">
        <w:t xml:space="preserve"> subcommittees – the Gender Equity Subcommittee (which considers gender equity in the construction sector) and the Financial Viability Subcommittee (which considers financial viability in the construction sector).</w:t>
      </w:r>
      <w:r w:rsidRPr="396ABCA7">
        <w:rPr>
          <w:vertAlign w:val="superscript"/>
        </w:rPr>
        <w:footnoteReference w:id="149"/>
      </w:r>
      <w:r w:rsidRPr="396ABCA7">
        <w:t xml:space="preserve"> The terms of reference for the NCIF largely reflect the legislative requirements of the NCIF.</w:t>
      </w:r>
      <w:r w:rsidRPr="396ABCA7">
        <w:rPr>
          <w:vertAlign w:val="superscript"/>
        </w:rPr>
        <w:footnoteReference w:id="150"/>
      </w:r>
      <w:r w:rsidRPr="396ABCA7">
        <w:t xml:space="preserve"> They were endorsed by NCIF members on 20 October 2023.</w:t>
      </w:r>
    </w:p>
    <w:p w14:paraId="4BC0EE9C" w14:textId="40910CDF" w:rsidR="001137B9" w:rsidRPr="00167CB8" w:rsidRDefault="001137B9" w:rsidP="001137B9">
      <w:r w:rsidRPr="00167CB8">
        <w:t>In September 2024 the Minister for Employment and Workplace Relations, Senator the Hon Murray Watt, announced that the NCIF would be ‘reinvigorated’ to change the culture of the construction industry and to build cooperation, not conflict, and an industry that works for everyone.</w:t>
      </w:r>
      <w:r w:rsidRPr="00167CB8">
        <w:rPr>
          <w:vertAlign w:val="superscript"/>
        </w:rPr>
        <w:footnoteReference w:id="151"/>
      </w:r>
      <w:r w:rsidRPr="00167CB8">
        <w:t xml:space="preserve"> He also announced the NCIF membership would be broadened through the addition of Master Builders Australia (MBA) and the Civil Contractors Federation.</w:t>
      </w:r>
      <w:r w:rsidRPr="00167CB8">
        <w:rPr>
          <w:vertAlign w:val="superscript"/>
        </w:rPr>
        <w:footnoteReference w:id="152"/>
      </w:r>
    </w:p>
    <w:p w14:paraId="438EBAED" w14:textId="73423CCB" w:rsidR="001137B9" w:rsidRPr="00167CB8" w:rsidRDefault="001137B9" w:rsidP="001137B9">
      <w:r w:rsidRPr="396ABCA7">
        <w:t xml:space="preserve">On appointment, the Civil Contractors Federation noted </w:t>
      </w:r>
      <w:r w:rsidR="00214F58">
        <w:t xml:space="preserve">it was </w:t>
      </w:r>
      <w:r w:rsidRPr="396ABCA7">
        <w:t>‘pleased to have been appointed to the NCIF’ and ‘[b]ringing together all key construction stakeholders must be the starting point for the Australian Government to advance necessary reforms that are urgently needed’.</w:t>
      </w:r>
      <w:r w:rsidRPr="396ABCA7">
        <w:rPr>
          <w:vertAlign w:val="superscript"/>
        </w:rPr>
        <w:footnoteReference w:id="153"/>
      </w:r>
      <w:r w:rsidRPr="396ABCA7">
        <w:t xml:space="preserve"> </w:t>
      </w:r>
      <w:r w:rsidR="00214F58">
        <w:t xml:space="preserve">The </w:t>
      </w:r>
      <w:r w:rsidRPr="396ABCA7">
        <w:t xml:space="preserve">MBA noted that </w:t>
      </w:r>
      <w:r w:rsidR="00214F58">
        <w:t xml:space="preserve">its </w:t>
      </w:r>
      <w:r w:rsidRPr="396ABCA7">
        <w:t>appointment to the NCIF was a positive step in tackling key industry challenges. It stated that ‘[i]t’s important that all key stakeholders are around the table to discuss and progress reforms in relation to the massive issues facing the industry’ and ‘[t]his is the opportunity for meaningful and positive change in the industry’.</w:t>
      </w:r>
      <w:r w:rsidRPr="396ABCA7">
        <w:rPr>
          <w:vertAlign w:val="superscript"/>
        </w:rPr>
        <w:footnoteReference w:id="154"/>
      </w:r>
    </w:p>
    <w:p w14:paraId="55A5F149" w14:textId="25B49681" w:rsidR="001137B9" w:rsidRPr="00167CB8" w:rsidRDefault="001137B9" w:rsidP="001137B9">
      <w:r w:rsidRPr="396ABCA7">
        <w:t xml:space="preserve">An NCIF meeting was subsequently held, on 16 October 2024, that discussed collaboratively identifying the key challenges for the sector and using that to underpin a Building and Construction Industry Blueprint (Blueprint) that will ‘[i]dentify and prioritise the industry’s key </w:t>
      </w:r>
      <w:r w:rsidRPr="396ABCA7">
        <w:lastRenderedPageBreak/>
        <w:t>challenges and develop a staged workplan for the Forum to consider appropriate solutions’.</w:t>
      </w:r>
      <w:r w:rsidRPr="396ABCA7">
        <w:rPr>
          <w:vertAlign w:val="superscript"/>
        </w:rPr>
        <w:footnoteReference w:id="155"/>
      </w:r>
      <w:r w:rsidRPr="396ABCA7">
        <w:t xml:space="preserve"> This will include the issue of industry culture.</w:t>
      </w:r>
      <w:r w:rsidRPr="396ABCA7">
        <w:rPr>
          <w:vertAlign w:val="superscript"/>
        </w:rPr>
        <w:footnoteReference w:id="156"/>
      </w:r>
      <w:r w:rsidRPr="396ABCA7">
        <w:t xml:space="preserve"> The Blueprint will be developed within </w:t>
      </w:r>
      <w:r w:rsidR="00BA21BB">
        <w:t>six</w:t>
      </w:r>
      <w:r w:rsidRPr="396ABCA7">
        <w:t xml:space="preserve"> months (from October 2024) and will complement existing work underway.</w:t>
      </w:r>
    </w:p>
    <w:p w14:paraId="5A265988" w14:textId="6AFDE5DF" w:rsidR="001137B9" w:rsidRPr="00167CB8" w:rsidRDefault="001137B9" w:rsidP="001137B9">
      <w:r w:rsidRPr="396ABCA7">
        <w:t>On 21 November 2024 the Minister for Employment and Workplace Relations, Senator the Hon Murray Watt, announced that the Australian Government had appointed Dr Rod Harrison, a former Deputy President of the Australian Industrial Relations Commission and the NSW Industrial Relations Commission, to assist members with developing the Blueprint.</w:t>
      </w:r>
      <w:r w:rsidRPr="396ABCA7">
        <w:rPr>
          <w:vertAlign w:val="superscript"/>
        </w:rPr>
        <w:footnoteReference w:id="157"/>
      </w:r>
    </w:p>
    <w:p w14:paraId="0C459259" w14:textId="7950DE27" w:rsidR="001137B9" w:rsidRPr="00167CB8" w:rsidRDefault="001137B9" w:rsidP="001137B9">
      <w:r w:rsidRPr="00214F58">
        <w:t>Minister Watt also noted</w:t>
      </w:r>
      <w:r w:rsidRPr="396ABCA7">
        <w:t xml:space="preserve"> that the NCIF ‘agreed that real long-term change must come from, and be driven by, the building and construction industry itself, with the support of government’ and reinforced that, to meet the objectives of creating lasting and tangible change within the industry, cooperation is required.</w:t>
      </w:r>
      <w:r w:rsidRPr="396ABCA7">
        <w:rPr>
          <w:vertAlign w:val="superscript"/>
        </w:rPr>
        <w:footnoteReference w:id="158"/>
      </w:r>
      <w:r w:rsidRPr="396ABCA7">
        <w:t xml:space="preserve"> Minister Watt noted that ‘[w]orking together to address the persistent challenges facing [the] industry is key to ensuring it is an industry that works for everyone’.</w:t>
      </w:r>
      <w:r w:rsidRPr="396ABCA7">
        <w:rPr>
          <w:vertAlign w:val="superscript"/>
        </w:rPr>
        <w:footnoteReference w:id="159"/>
      </w:r>
    </w:p>
    <w:p w14:paraId="640C0EF0" w14:textId="2A397D51" w:rsidR="001137B9" w:rsidRPr="00167CB8" w:rsidRDefault="001137B9" w:rsidP="001137B9">
      <w:r w:rsidRPr="396ABCA7">
        <w:t>To these ends, the Review Panel notes former Deputy President Harrison’s experience in promoting cooperation on large-scale construction projects in the Hunter region. The Review Panel is not privy to any future outcomes of the NCIF relating to the Blueprint; however, it believes this experience, which includes using the Fair Work Commission to provide onsite industrial relations leadership and discipline amongst the parties on large projects, offers great potential.</w:t>
      </w:r>
      <w:r w:rsidRPr="396ABCA7">
        <w:rPr>
          <w:rStyle w:val="FootnoteReference"/>
        </w:rPr>
        <w:footnoteReference w:id="160"/>
      </w:r>
    </w:p>
    <w:p w14:paraId="3DA5E647" w14:textId="77777777" w:rsidR="001137B9" w:rsidRPr="00756A1A" w:rsidRDefault="001137B9" w:rsidP="00EC3517">
      <w:pPr>
        <w:pStyle w:val="Heading5"/>
      </w:pPr>
      <w:bookmarkStart w:id="111" w:name="_Toc187421580"/>
      <w:bookmarkStart w:id="112" w:name="_Toc187946383"/>
      <w:r w:rsidRPr="00756A1A">
        <w:t>5.2.3 Stakeholder views</w:t>
      </w:r>
      <w:bookmarkEnd w:id="111"/>
      <w:bookmarkEnd w:id="112"/>
    </w:p>
    <w:p w14:paraId="20800A83" w14:textId="7678CA5C" w:rsidR="001137B9" w:rsidRPr="00167CB8" w:rsidRDefault="001137B9" w:rsidP="001137B9">
      <w:r w:rsidRPr="396ABCA7">
        <w:t>Employee organisations did not provide any views on the NCIF in their submissions to the Review.</w:t>
      </w:r>
    </w:p>
    <w:p w14:paraId="6B1FF976" w14:textId="13FC3179" w:rsidR="001137B9" w:rsidRPr="00167CB8" w:rsidRDefault="001137B9" w:rsidP="001137B9">
      <w:r w:rsidRPr="396ABCA7">
        <w:t>Employer</w:t>
      </w:r>
      <w:r w:rsidRPr="396ABCA7" w:rsidDel="005B7B62">
        <w:t xml:space="preserve"> </w:t>
      </w:r>
      <w:r w:rsidRPr="396ABCA7">
        <w:t xml:space="preserve">associations provided mixed views on the NCIF. In their submission, HIA and </w:t>
      </w:r>
      <w:r w:rsidR="005C50A1">
        <w:t>Australian Chamber of Commerce and Industry (</w:t>
      </w:r>
      <w:r>
        <w:t>ACCI</w:t>
      </w:r>
      <w:r w:rsidR="005C50A1">
        <w:t>)</w:t>
      </w:r>
      <w:r w:rsidRPr="396ABCA7">
        <w:t xml:space="preserve"> were supportive of the NCIF; however, they did not see it as a replacement for an industry-specific regulator. Rather, they see the NCIF as an institution that would work well in parallel with the </w:t>
      </w:r>
      <w:r w:rsidR="00214F58" w:rsidRPr="00214F58">
        <w:t xml:space="preserve">Australian Building and Construction Commission </w:t>
      </w:r>
      <w:r w:rsidR="00214F58">
        <w:t>(</w:t>
      </w:r>
      <w:r w:rsidRPr="396ABCA7">
        <w:t>ABCC</w:t>
      </w:r>
      <w:r w:rsidR="00214F58">
        <w:t>)</w:t>
      </w:r>
      <w:r w:rsidRPr="396ABCA7">
        <w:t xml:space="preserve"> and Building Code.</w:t>
      </w:r>
      <w:r w:rsidRPr="396ABCA7">
        <w:rPr>
          <w:vertAlign w:val="superscript"/>
        </w:rPr>
        <w:footnoteReference w:id="161"/>
      </w:r>
    </w:p>
    <w:p w14:paraId="44B214B6" w14:textId="5C6B98BF" w:rsidR="001137B9" w:rsidRPr="00167CB8" w:rsidRDefault="001137B9" w:rsidP="001137B9">
      <w:r w:rsidRPr="396ABCA7">
        <w:lastRenderedPageBreak/>
        <w:t>In contrast, Ai Group submitted that it was at best premature to form a view on the effectiveness on the NCIF.</w:t>
      </w:r>
      <w:r w:rsidRPr="396ABCA7">
        <w:rPr>
          <w:vertAlign w:val="superscript"/>
        </w:rPr>
        <w:footnoteReference w:id="162"/>
      </w:r>
      <w:r w:rsidRPr="396ABCA7">
        <w:t xml:space="preserve"> It stated that, given the CFMEU’s behaviour, current workplace relations laws (including those that established the NCIF) are blatantly inadequate for addressing issues in the construction industry.</w:t>
      </w:r>
      <w:r w:rsidRPr="396ABCA7">
        <w:rPr>
          <w:vertAlign w:val="superscript"/>
        </w:rPr>
        <w:footnoteReference w:id="163"/>
      </w:r>
    </w:p>
    <w:p w14:paraId="7ED152DE" w14:textId="3DA184F9" w:rsidR="001137B9" w:rsidRPr="00167CB8" w:rsidRDefault="001137B9" w:rsidP="001137B9">
      <w:r w:rsidRPr="396ABCA7">
        <w:t>MBA stated that the NCIF was welcomed by industry and noted its appointment to the NCIF and the development of the industry Blueprint.</w:t>
      </w:r>
      <w:r w:rsidRPr="396ABCA7">
        <w:rPr>
          <w:rStyle w:val="FootnoteReference"/>
        </w:rPr>
        <w:footnoteReference w:id="164"/>
      </w:r>
      <w:r w:rsidRPr="396ABCA7">
        <w:t xml:space="preserve"> It recommended the NCIF remain in operation and ‘[t]hat Government ensure necessary and appropriate funding appropriations are given to the Forum, to enable and support its work and functions’.</w:t>
      </w:r>
      <w:r w:rsidRPr="396ABCA7">
        <w:rPr>
          <w:vertAlign w:val="superscript"/>
        </w:rPr>
        <w:footnoteReference w:id="165"/>
      </w:r>
    </w:p>
    <w:p w14:paraId="3F651D2A" w14:textId="7CE932EA" w:rsidR="001137B9" w:rsidRDefault="001137B9" w:rsidP="001137B9">
      <w:r w:rsidRPr="396ABCA7">
        <w:t>It is telling that there is not significant criticism of the NCIF by stakeholders. The tripartite approach of the NCIF is key to building working relationships in the building and construction sector, understanding issues faced by the sector and providing advice to government. This is seen in the development of the Blueprint, which will bring together the sector to drive much-needed long-term change in the industry.</w:t>
      </w:r>
      <w:r w:rsidRPr="396ABCA7">
        <w:rPr>
          <w:vertAlign w:val="superscript"/>
        </w:rPr>
        <w:footnoteReference w:id="166"/>
      </w:r>
    </w:p>
    <w:p w14:paraId="251C9A51" w14:textId="22C1CFB4" w:rsidR="001137B9" w:rsidRPr="0016602B" w:rsidRDefault="001137B9" w:rsidP="001137B9">
      <w:r w:rsidRPr="0016602B">
        <w:t>Stakeholder responses to the draft report were mixed.</w:t>
      </w:r>
    </w:p>
    <w:p w14:paraId="5558E8E5" w14:textId="3F4C8D8A" w:rsidR="001137B9" w:rsidRPr="0016602B" w:rsidRDefault="005C50A1" w:rsidP="001137B9">
      <w:r>
        <w:t xml:space="preserve">The </w:t>
      </w:r>
      <w:r w:rsidRPr="005C50A1">
        <w:t xml:space="preserve">Chamber of Commerce and Industry of Western Australia </w:t>
      </w:r>
      <w:r w:rsidR="001137B9" w:rsidRPr="0016602B">
        <w:t>stated that ‘[t]o date, there is limited-to-no evidence that the NCIF model has created any tangible outcomes’</w:t>
      </w:r>
      <w:r w:rsidR="001137B9" w:rsidRPr="0016602B">
        <w:rPr>
          <w:rStyle w:val="FootnoteReference"/>
        </w:rPr>
        <w:footnoteReference w:id="167"/>
      </w:r>
      <w:r w:rsidR="001137B9" w:rsidRPr="0016602B">
        <w:t xml:space="preserve"> and that a ‘preferred model’</w:t>
      </w:r>
      <w:r w:rsidR="001137B9" w:rsidRPr="0016602B">
        <w:rPr>
          <w:rStyle w:val="FootnoteReference"/>
        </w:rPr>
        <w:footnoteReference w:id="168"/>
      </w:r>
      <w:r w:rsidR="001137B9" w:rsidRPr="0016602B">
        <w:t xml:space="preserve"> (consistent with equal treatment for all workers and industries) ‘would include additional meetings of the National Workplace Relations Consultative Council (NWRCC), and Safe Work Australia’s members to assist in improving culture of the relevant industry’.</w:t>
      </w:r>
      <w:r w:rsidR="001137B9" w:rsidRPr="0016602B">
        <w:rPr>
          <w:rStyle w:val="FootnoteReference"/>
        </w:rPr>
        <w:footnoteReference w:id="169"/>
      </w:r>
    </w:p>
    <w:p w14:paraId="4EEB805E" w14:textId="0EB471AA" w:rsidR="001137B9" w:rsidRPr="0016602B" w:rsidRDefault="001137B9" w:rsidP="001137B9">
      <w:r w:rsidRPr="0016602B">
        <w:t>ACCI agreed in principle with the proposed recommendations in relation to the NCIF. However, while maintaining their support for the NCIF, ACCI observed the ‘infancy of the forum’ stating that ‘[t]he Review Panel relied on no evidence demonstrating that the NCIF has even partially addressed any of the issues’ of it seeks to address including ‘mental health, safety, training, apprentices, productivity, culture, diversity and gender equity in the industry’.</w:t>
      </w:r>
      <w:r w:rsidRPr="0016602B">
        <w:rPr>
          <w:rStyle w:val="FootnoteReference"/>
        </w:rPr>
        <w:footnoteReference w:id="170"/>
      </w:r>
    </w:p>
    <w:p w14:paraId="3BA8748F" w14:textId="3848701E" w:rsidR="001137B9" w:rsidRPr="0016602B" w:rsidRDefault="001137B9" w:rsidP="001137B9">
      <w:pPr>
        <w:rPr>
          <w:lang w:val="en-GB"/>
        </w:rPr>
      </w:pPr>
      <w:r w:rsidRPr="0016602B">
        <w:rPr>
          <w:lang w:val="en-GB"/>
        </w:rPr>
        <w:t>BCA stated that the Review Panel’s commentary that the NCIF is operating as intended is premature.</w:t>
      </w:r>
      <w:r w:rsidRPr="0016602B">
        <w:rPr>
          <w:rStyle w:val="FootnoteReference"/>
          <w:lang w:val="en-GB"/>
        </w:rPr>
        <w:footnoteReference w:id="171"/>
      </w:r>
      <w:r>
        <w:rPr>
          <w:lang w:val="en-GB"/>
        </w:rPr>
        <w:t xml:space="preserve"> </w:t>
      </w:r>
      <w:r w:rsidRPr="0016602B">
        <w:rPr>
          <w:lang w:val="en-GB"/>
        </w:rPr>
        <w:t>Ai Group stated that the NCIF is a ‘dialogue body</w:t>
      </w:r>
      <w:r w:rsidR="005111BE">
        <w:rPr>
          <w:lang w:val="en-GB"/>
        </w:rPr>
        <w:t xml:space="preserve"> </w:t>
      </w:r>
      <w:r w:rsidRPr="0016602B">
        <w:rPr>
          <w:lang w:val="en-GB"/>
        </w:rPr>
        <w:t>… not a replacement for the ABCC’ and that the proposed recommendation to consider utilising the NCIF as a model tripartite forum for other industries should not be progressed</w:t>
      </w:r>
      <w:r w:rsidR="005111BE">
        <w:rPr>
          <w:lang w:val="en-GB"/>
        </w:rPr>
        <w:t>,</w:t>
      </w:r>
      <w:r w:rsidRPr="0016602B">
        <w:rPr>
          <w:lang w:val="en-GB"/>
        </w:rPr>
        <w:t xml:space="preserve"> as ‘(t)here is no evidence to suggest the NCIF is working well and should be a model for other industries’. They also stated that the ‘NCIF is also not analogous to the</w:t>
      </w:r>
      <w:r w:rsidR="005111BE">
        <w:rPr>
          <w:lang w:val="en-GB"/>
        </w:rPr>
        <w:t xml:space="preserve"> </w:t>
      </w:r>
      <w:r w:rsidRPr="0016602B">
        <w:rPr>
          <w:lang w:val="en-GB"/>
        </w:rPr>
        <w:t>… Office of the Fair Work Building Industry Inspectorate’</w:t>
      </w:r>
      <w:r w:rsidRPr="0016602B">
        <w:rPr>
          <w:rStyle w:val="FootnoteReference"/>
          <w:lang w:val="en-GB"/>
        </w:rPr>
        <w:footnoteReference w:id="172"/>
      </w:r>
      <w:r w:rsidRPr="0016602B">
        <w:rPr>
          <w:lang w:val="en-GB"/>
        </w:rPr>
        <w:t xml:space="preserve"> and</w:t>
      </w:r>
      <w:r w:rsidR="005111BE">
        <w:rPr>
          <w:lang w:val="en-GB"/>
        </w:rPr>
        <w:t>,</w:t>
      </w:r>
      <w:r w:rsidRPr="0016602B">
        <w:rPr>
          <w:lang w:val="en-GB"/>
        </w:rPr>
        <w:t xml:space="preserve"> if further tripartite engagement is considered important, this should</w:t>
      </w:r>
      <w:r w:rsidR="00AE4D0A">
        <w:rPr>
          <w:lang w:val="en-GB"/>
        </w:rPr>
        <w:t xml:space="preserve"> be</w:t>
      </w:r>
      <w:r w:rsidR="00CA7A72">
        <w:rPr>
          <w:lang w:val="en-GB"/>
        </w:rPr>
        <w:t xml:space="preserve"> </w:t>
      </w:r>
      <w:r w:rsidR="00C32865">
        <w:rPr>
          <w:lang w:val="en-GB"/>
        </w:rPr>
        <w:lastRenderedPageBreak/>
        <w:t>discussed</w:t>
      </w:r>
      <w:r w:rsidRPr="0016602B">
        <w:rPr>
          <w:lang w:val="en-GB"/>
        </w:rPr>
        <w:t xml:space="preserve"> by the NWRCC and </w:t>
      </w:r>
      <w:r w:rsidR="004640ED">
        <w:rPr>
          <w:lang w:val="en-GB"/>
        </w:rPr>
        <w:t xml:space="preserve">should </w:t>
      </w:r>
      <w:r w:rsidRPr="0016602B">
        <w:rPr>
          <w:lang w:val="en-GB"/>
        </w:rPr>
        <w:t xml:space="preserve">not </w:t>
      </w:r>
      <w:r w:rsidR="004640ED">
        <w:rPr>
          <w:lang w:val="en-GB"/>
        </w:rPr>
        <w:t xml:space="preserve">be </w:t>
      </w:r>
      <w:r w:rsidRPr="0016602B">
        <w:rPr>
          <w:lang w:val="en-GB"/>
        </w:rPr>
        <w:t>restricted to an NCIF-like approach.</w:t>
      </w:r>
      <w:r w:rsidRPr="0016602B">
        <w:rPr>
          <w:rStyle w:val="FootnoteReference"/>
          <w:lang w:val="en-GB"/>
        </w:rPr>
        <w:footnoteReference w:id="173"/>
      </w:r>
      <w:r w:rsidRPr="0016602B">
        <w:rPr>
          <w:lang w:val="en-GB"/>
        </w:rPr>
        <w:t xml:space="preserve"> Ai Group also recommend</w:t>
      </w:r>
      <w:r w:rsidR="004640ED">
        <w:rPr>
          <w:lang w:val="en-GB"/>
        </w:rPr>
        <w:t>ed</w:t>
      </w:r>
      <w:r w:rsidRPr="0016602B">
        <w:rPr>
          <w:lang w:val="en-GB"/>
        </w:rPr>
        <w:t xml:space="preserve"> that </w:t>
      </w:r>
      <w:r w:rsidR="004640ED">
        <w:rPr>
          <w:lang w:val="en-GB"/>
        </w:rPr>
        <w:t xml:space="preserve">it </w:t>
      </w:r>
      <w:r w:rsidRPr="0016602B">
        <w:rPr>
          <w:lang w:val="en-GB"/>
        </w:rPr>
        <w:t>be invited to join the NCIF.</w:t>
      </w:r>
      <w:r w:rsidRPr="0016602B">
        <w:rPr>
          <w:rStyle w:val="FootnoteReference"/>
          <w:lang w:val="en-GB"/>
        </w:rPr>
        <w:footnoteReference w:id="174"/>
      </w:r>
    </w:p>
    <w:p w14:paraId="488C66B1" w14:textId="50330656" w:rsidR="001137B9" w:rsidRPr="0016602B" w:rsidRDefault="001137B9" w:rsidP="001137B9">
      <w:r w:rsidRPr="0016602B">
        <w:t xml:space="preserve">The </w:t>
      </w:r>
      <w:r w:rsidR="00A249B0">
        <w:t>Australian Council of Trade Unions (</w:t>
      </w:r>
      <w:r w:rsidRPr="0016602B">
        <w:t>ACTU</w:t>
      </w:r>
      <w:r w:rsidR="00A249B0">
        <w:t>)</w:t>
      </w:r>
      <w:r w:rsidRPr="0016602B">
        <w:t xml:space="preserve"> ‘welcome the opportunity to work with the Federal Government on developing suitable tripartite consultative arrangements in relevant sectors’,</w:t>
      </w:r>
      <w:r w:rsidRPr="0016602B">
        <w:rPr>
          <w:rStyle w:val="FootnoteReference"/>
        </w:rPr>
        <w:footnoteReference w:id="175"/>
      </w:r>
      <w:r w:rsidRPr="0016602B">
        <w:t xml:space="preserve"> possibly where worker exploitation is prevalent.</w:t>
      </w:r>
      <w:r w:rsidRPr="0016602B">
        <w:rPr>
          <w:rStyle w:val="FootnoteReference"/>
        </w:rPr>
        <w:footnoteReference w:id="176"/>
      </w:r>
    </w:p>
    <w:p w14:paraId="4D4C7ED9" w14:textId="34811423" w:rsidR="001137B9" w:rsidRPr="00167CB8" w:rsidRDefault="001137B9" w:rsidP="001137B9">
      <w:r w:rsidRPr="0016602B">
        <w:t>The AWU supported the proposed recommendations in relation to the NCIF.</w:t>
      </w:r>
      <w:r w:rsidRPr="0016602B">
        <w:rPr>
          <w:rStyle w:val="FootnoteReference"/>
        </w:rPr>
        <w:footnoteReference w:id="177"/>
      </w:r>
    </w:p>
    <w:p w14:paraId="0AAB2FEA" w14:textId="77777777" w:rsidR="001137B9" w:rsidRPr="0080525E" w:rsidRDefault="001137B9" w:rsidP="00EC3517">
      <w:pPr>
        <w:pStyle w:val="Heading4"/>
      </w:pPr>
      <w:bookmarkStart w:id="113" w:name="_Toc187421581"/>
      <w:bookmarkStart w:id="114" w:name="_Toc187946384"/>
      <w:bookmarkStart w:id="115" w:name="_Toc188277913"/>
      <w:bookmarkStart w:id="116" w:name="_Toc189260206"/>
      <w:bookmarkStart w:id="117" w:name="_Toc189393522"/>
      <w:r w:rsidRPr="0080525E">
        <w:t>5.3 Findings and recommendations</w:t>
      </w:r>
      <w:bookmarkEnd w:id="113"/>
      <w:bookmarkEnd w:id="114"/>
      <w:bookmarkEnd w:id="115"/>
      <w:bookmarkEnd w:id="116"/>
      <w:bookmarkEnd w:id="117"/>
    </w:p>
    <w:p w14:paraId="6459D8C1" w14:textId="15D7A00C" w:rsidR="001137B9" w:rsidRPr="00167CB8" w:rsidRDefault="001137B9" w:rsidP="001137B9">
      <w:r w:rsidRPr="396ABCA7">
        <w:t>The Review Panel finds that the Secure Jobs, Better Pay amendments that establish the NCIF are working as intended.</w:t>
      </w:r>
    </w:p>
    <w:p w14:paraId="65DD5F85" w14:textId="0057E8B1" w:rsidR="001137B9" w:rsidRDefault="001137B9" w:rsidP="001137B9">
      <w:r w:rsidRPr="396ABCA7">
        <w:t xml:space="preserve">The NCIF is still in its infancy, so evidence is limited as to any impact on the building and construction industry. </w:t>
      </w:r>
      <w:r w:rsidRPr="0016602B">
        <w:t>In particular, the Review Panel acknowledge</w:t>
      </w:r>
      <w:r w:rsidR="005111BE">
        <w:t>s</w:t>
      </w:r>
      <w:r w:rsidRPr="0016602B">
        <w:t xml:space="preserve"> employer association feedback in submissions to the draft report that the NCIF has not achieved any outcomes or cultural change at this stage.</w:t>
      </w:r>
      <w:r w:rsidRPr="0016602B">
        <w:rPr>
          <w:rStyle w:val="FootnoteReference"/>
        </w:rPr>
        <w:footnoteReference w:id="178"/>
      </w:r>
    </w:p>
    <w:p w14:paraId="78A6515F" w14:textId="3E16B273" w:rsidR="001137B9" w:rsidRPr="00167CB8" w:rsidRDefault="001137B9" w:rsidP="001137B9">
      <w:r>
        <w:t>This said</w:t>
      </w:r>
      <w:r w:rsidRPr="396ABCA7">
        <w:t>, the Review Panel is encouraged by the work of the NCIF in attempting to drive cultural change and cooperation in the industry, including the development of the Blueprint and the appointment of Dr Rod Harrison to assist with its development.</w:t>
      </w:r>
      <w:r>
        <w:t xml:space="preserve"> Moreover, t</w:t>
      </w:r>
      <w:r w:rsidRPr="396ABCA7">
        <w:t>he Review Panel a</w:t>
      </w:r>
      <w:r>
        <w:t>ccept</w:t>
      </w:r>
      <w:r w:rsidRPr="396ABCA7">
        <w:t xml:space="preserve">s that a tripartite approach is key to building cooperation, understanding issues and providing advice to government on the sector. </w:t>
      </w:r>
      <w:r>
        <w:t>In this way,</w:t>
      </w:r>
      <w:r w:rsidRPr="396ABCA7">
        <w:t xml:space="preserve"> the NCIF has the potential to drive a more conciliatory approach by all industry participants and drive broader cultural change in the industry.</w:t>
      </w:r>
    </w:p>
    <w:p w14:paraId="1F8CA479" w14:textId="7C6E57FE" w:rsidR="001137B9" w:rsidRDefault="001137B9" w:rsidP="001137B9">
      <w:r w:rsidRPr="396ABCA7">
        <w:t xml:space="preserve">The Review Panel is further encouraged by the lack of significant criticism </w:t>
      </w:r>
      <w:r w:rsidR="004640ED">
        <w:t xml:space="preserve">of </w:t>
      </w:r>
      <w:r w:rsidRPr="396ABCA7">
        <w:t>the NCIF. Given the broad issues in the sector and history of adversarialism in the sector, this indicates broad support for the NCIF.</w:t>
      </w:r>
    </w:p>
    <w:p w14:paraId="718E6C47" w14:textId="0787595D" w:rsidR="001137B9" w:rsidRPr="0016602B" w:rsidRDefault="001137B9" w:rsidP="001137B9">
      <w:r w:rsidRPr="0016602B">
        <w:t>The Review Panel also notes Ai Group’s recommendation that they be invited to join the NCIF while acknowledging that membership of the NCIF is a decision for the Minister.</w:t>
      </w:r>
    </w:p>
    <w:p w14:paraId="7FDCD414" w14:textId="4CF7E5F1" w:rsidR="001137B9" w:rsidRPr="00167CB8" w:rsidRDefault="001137B9" w:rsidP="001137B9">
      <w:r w:rsidRPr="0016602B">
        <w:t>The Review Panel also notes comments from employer associations that the NCIF is not a replacement for the ABCC or analogous to the Office of the Fair Work Building Inspectorate.</w:t>
      </w:r>
      <w:r w:rsidRPr="0016602B">
        <w:rPr>
          <w:rStyle w:val="FootnoteReference"/>
        </w:rPr>
        <w:footnoteReference w:id="179"/>
      </w:r>
      <w:r w:rsidRPr="0016602B">
        <w:t xml:space="preserve"> The Panel’s view is that, as a tripartite institution, the NCIF may be able to drive the cultural change that the industry requires, rather than serve as a replacement for an independent industry regulator.</w:t>
      </w:r>
    </w:p>
    <w:p w14:paraId="55C0FFDF" w14:textId="77777777" w:rsidR="001137B9" w:rsidRPr="00167CB8" w:rsidRDefault="001137B9" w:rsidP="001137B9">
      <w:r w:rsidRPr="396ABCA7">
        <w:t xml:space="preserve">The Review Panel finds that </w:t>
      </w:r>
      <w:r>
        <w:t xml:space="preserve">early evidence shows that </w:t>
      </w:r>
      <w:r w:rsidRPr="396ABCA7">
        <w:t>the NCIF is operating as intended and is an appropriate institution to drive tripartism and cultural change.</w:t>
      </w:r>
    </w:p>
    <w:p w14:paraId="6824EA8C" w14:textId="74DA2DEC" w:rsidR="001137B9" w:rsidRPr="00167CB8" w:rsidRDefault="001137B9" w:rsidP="001137B9">
      <w:r w:rsidRPr="00167CB8">
        <w:t xml:space="preserve">The Review Panel makes </w:t>
      </w:r>
      <w:r>
        <w:t>two</w:t>
      </w:r>
      <w:r w:rsidRPr="00167CB8">
        <w:t xml:space="preserve"> recommendations in relation to the NCIF.</w:t>
      </w:r>
    </w:p>
    <w:p w14:paraId="6B46E336" w14:textId="1761C91A" w:rsidR="001137B9" w:rsidRPr="00167CB8" w:rsidRDefault="001137B9" w:rsidP="001137B9">
      <w:pPr>
        <w:rPr>
          <w:b/>
          <w:bCs/>
        </w:rPr>
      </w:pPr>
      <w:r w:rsidRPr="00167CB8">
        <w:rPr>
          <w:b/>
          <w:bCs/>
        </w:rPr>
        <w:lastRenderedPageBreak/>
        <w:t xml:space="preserve">Recommendation 2: The </w:t>
      </w:r>
      <w:r w:rsidR="00A249B0" w:rsidRPr="00A249B0">
        <w:rPr>
          <w:b/>
          <w:bCs/>
        </w:rPr>
        <w:t>National Construction Industry Forum</w:t>
      </w:r>
      <w:r w:rsidRPr="00167CB8">
        <w:rPr>
          <w:b/>
          <w:bCs/>
        </w:rPr>
        <w:t xml:space="preserve"> </w:t>
      </w:r>
      <w:r w:rsidR="004640ED">
        <w:rPr>
          <w:b/>
          <w:bCs/>
        </w:rPr>
        <w:t xml:space="preserve">should </w:t>
      </w:r>
      <w:r w:rsidRPr="00167CB8">
        <w:rPr>
          <w:b/>
          <w:bCs/>
        </w:rPr>
        <w:t>continue its work developing and implementing the Building and Construction Industry sector Blueprint to bring cultural change to the industry.</w:t>
      </w:r>
    </w:p>
    <w:p w14:paraId="19876D1B" w14:textId="0900D7AF" w:rsidR="001137B9" w:rsidRPr="00167CB8" w:rsidRDefault="001137B9" w:rsidP="001137B9">
      <w:pPr>
        <w:rPr>
          <w:b/>
          <w:bCs/>
        </w:rPr>
      </w:pPr>
      <w:r w:rsidRPr="396ABCA7">
        <w:rPr>
          <w:b/>
          <w:bCs/>
        </w:rPr>
        <w:t xml:space="preserve">Recommendation 3: The Australian Government </w:t>
      </w:r>
      <w:r w:rsidR="004640ED">
        <w:rPr>
          <w:b/>
          <w:bCs/>
        </w:rPr>
        <w:t xml:space="preserve">should </w:t>
      </w:r>
      <w:r w:rsidRPr="396ABCA7">
        <w:rPr>
          <w:b/>
          <w:bCs/>
        </w:rPr>
        <w:t xml:space="preserve">consider utilising the </w:t>
      </w:r>
      <w:r w:rsidR="00A249B0" w:rsidRPr="00A249B0">
        <w:rPr>
          <w:b/>
          <w:bCs/>
        </w:rPr>
        <w:t>National Construction Industry Forum</w:t>
      </w:r>
      <w:r w:rsidRPr="396ABCA7">
        <w:rPr>
          <w:b/>
          <w:bCs/>
        </w:rPr>
        <w:t xml:space="preserve"> as a model tripartite forum to advise the Australian Government on other industries.</w:t>
      </w:r>
    </w:p>
    <w:p w14:paraId="7B715A3B" w14:textId="77777777" w:rsidR="001137B9" w:rsidRPr="00167CB8" w:rsidRDefault="001137B9" w:rsidP="001137B9">
      <w:pPr>
        <w:spacing w:after="160"/>
      </w:pPr>
      <w:r w:rsidRPr="00167CB8">
        <w:br w:type="page"/>
      </w:r>
    </w:p>
    <w:p w14:paraId="469F76D4" w14:textId="77777777" w:rsidR="001137B9" w:rsidRPr="001B1D98" w:rsidRDefault="001137B9" w:rsidP="00EC3517">
      <w:pPr>
        <w:pStyle w:val="Heading3"/>
      </w:pPr>
      <w:bookmarkStart w:id="118" w:name="_Toc187421582"/>
      <w:bookmarkStart w:id="119" w:name="_Toc187946385"/>
      <w:bookmarkStart w:id="120" w:name="_Toc188277914"/>
      <w:bookmarkStart w:id="121" w:name="_Toc189260207"/>
      <w:bookmarkStart w:id="122" w:name="_Toc189393523"/>
      <w:bookmarkStart w:id="123" w:name="_Toc194311412"/>
      <w:r w:rsidRPr="001B1D98">
        <w:lastRenderedPageBreak/>
        <w:t>Chapter 6. Abolition of the Registered Organisations Commission</w:t>
      </w:r>
      <w:bookmarkEnd w:id="118"/>
      <w:bookmarkEnd w:id="119"/>
      <w:bookmarkEnd w:id="120"/>
      <w:bookmarkEnd w:id="121"/>
      <w:bookmarkEnd w:id="122"/>
      <w:bookmarkEnd w:id="123"/>
    </w:p>
    <w:p w14:paraId="6E9E8458" w14:textId="77777777" w:rsidR="001137B9" w:rsidRPr="00167CB8" w:rsidRDefault="001137B9" w:rsidP="001137B9">
      <w:bookmarkStart w:id="124" w:name="_Toc185851536"/>
      <w:r w:rsidRPr="00167CB8">
        <w:t>Part 1 of Schedule 1 to the Secure Jobs, Better Pay Act abolished the Registered Organisations Commission (ROC) and transferred the regulatory powers and functions of the Registered Organisations Commissioner to the General Manager of the Fair Work Commission (FWC) from 6 March 2023.</w:t>
      </w:r>
    </w:p>
    <w:p w14:paraId="5248224C" w14:textId="7C1CB329" w:rsidR="001137B9" w:rsidRPr="00167CB8" w:rsidRDefault="001137B9" w:rsidP="001137B9">
      <w:r w:rsidRPr="00167CB8">
        <w:t xml:space="preserve">This returns </w:t>
      </w:r>
      <w:r>
        <w:t xml:space="preserve">it </w:t>
      </w:r>
      <w:r w:rsidRPr="00167CB8">
        <w:t>to the position as it existed prior to the establishment of the ROC on 1 May 2017.</w:t>
      </w:r>
    </w:p>
    <w:p w14:paraId="3458A10A" w14:textId="029239D8" w:rsidR="001137B9" w:rsidRPr="00167CB8" w:rsidRDefault="001137B9" w:rsidP="001137B9">
      <w:r w:rsidRPr="396ABCA7">
        <w:t xml:space="preserve">This Review Panel acknowledges that the Secure Jobs, Better Pay amendments discussed in this report form part of a broader political debate over how federally registered employee associations (unions) and employer associations registered under the </w:t>
      </w:r>
      <w:r w:rsidRPr="396ABCA7">
        <w:rPr>
          <w:i/>
          <w:iCs/>
        </w:rPr>
        <w:t>Fair Work (Registered Organisations) Act 2009</w:t>
      </w:r>
      <w:r w:rsidRPr="396ABCA7">
        <w:t xml:space="preserve"> (Cth) (RO Act) are regulated. This Review Panel focuses appropriately on the limited scope of the Review</w:t>
      </w:r>
      <w:r w:rsidR="005111BE">
        <w:t>,</w:t>
      </w:r>
      <w:r w:rsidRPr="396ABCA7">
        <w:t xml:space="preserve"> which includes the effectiveness, appropriateness and any unintended consequences of the 2022 Secure Jobs, Better Pay amendments.</w:t>
      </w:r>
    </w:p>
    <w:p w14:paraId="4726D7E5" w14:textId="77777777" w:rsidR="001137B9" w:rsidRPr="001B1D98" w:rsidRDefault="001137B9" w:rsidP="00EC3517">
      <w:pPr>
        <w:pStyle w:val="Heading4"/>
      </w:pPr>
      <w:bookmarkStart w:id="125" w:name="_Toc187421583"/>
      <w:bookmarkStart w:id="126" w:name="_Toc187946386"/>
      <w:bookmarkStart w:id="127" w:name="_Toc188277915"/>
      <w:bookmarkStart w:id="128" w:name="_Toc189260208"/>
      <w:bookmarkStart w:id="129" w:name="_Toc189393524"/>
      <w:r w:rsidRPr="001B1D98">
        <w:t>6</w:t>
      </w:r>
      <w:r w:rsidRPr="00EC3517">
        <w:t>.1</w:t>
      </w:r>
      <w:r w:rsidRPr="001B1D98">
        <w:t xml:space="preserve"> Amendments and intent</w:t>
      </w:r>
      <w:bookmarkEnd w:id="125"/>
      <w:bookmarkEnd w:id="126"/>
      <w:bookmarkEnd w:id="127"/>
      <w:bookmarkEnd w:id="128"/>
      <w:bookmarkEnd w:id="129"/>
    </w:p>
    <w:p w14:paraId="38354F2C" w14:textId="77777777" w:rsidR="001137B9" w:rsidRPr="00167CB8" w:rsidRDefault="001137B9" w:rsidP="001137B9">
      <w:r w:rsidRPr="00167CB8">
        <w:t xml:space="preserve">The amendments had the practical consequence of transferring powers and functions of the former ROC to the FWC. </w:t>
      </w:r>
      <w:r>
        <w:t>This section first reports the amendments themselves and then identifies the intent behind them.</w:t>
      </w:r>
    </w:p>
    <w:p w14:paraId="4CA6024E" w14:textId="77777777" w:rsidR="0011475D" w:rsidRPr="001B1D98" w:rsidRDefault="001137B9" w:rsidP="00EC3517">
      <w:pPr>
        <w:pStyle w:val="Heading5"/>
      </w:pPr>
      <w:bookmarkStart w:id="130" w:name="_Toc187421584"/>
      <w:bookmarkStart w:id="131" w:name="_Toc187946387"/>
      <w:r w:rsidRPr="001B1D98">
        <w:t>6.1.1 Secure Jobs, Better Pay amendments</w:t>
      </w:r>
      <w:bookmarkEnd w:id="130"/>
      <w:bookmarkEnd w:id="131"/>
    </w:p>
    <w:p w14:paraId="41E2E7D1" w14:textId="32CBC564" w:rsidR="001137B9" w:rsidRPr="00167CB8" w:rsidRDefault="001137B9" w:rsidP="001137B9">
      <w:r w:rsidRPr="00167CB8">
        <w:t xml:space="preserve">Many of the Secure Jobs, Better Pay amendments substitute the various references to the ROC and its Commissioner with the FWC and its General Manager in both the RO Act and the </w:t>
      </w:r>
      <w:r w:rsidRPr="008021D8">
        <w:t>Fair Work Act</w:t>
      </w:r>
      <w:r w:rsidRPr="00167CB8">
        <w:t>.</w:t>
      </w:r>
    </w:p>
    <w:p w14:paraId="38E41292" w14:textId="419C210F" w:rsidR="001137B9" w:rsidRPr="00167CB8" w:rsidRDefault="001137B9" w:rsidP="001137B9">
      <w:r w:rsidRPr="396ABCA7">
        <w:t>However, the Secure Jobs, Better Pay Act made substantive amendments to the functions of the General Manager under s 329A of the RO Act, inserting a new function in s 329A(2). Section 329A provides:</w:t>
      </w:r>
    </w:p>
    <w:p w14:paraId="20A9361F" w14:textId="77777777" w:rsidR="001137B9" w:rsidRPr="00167CB8" w:rsidRDefault="001137B9" w:rsidP="00D55A73">
      <w:pPr>
        <w:pStyle w:val="Quote"/>
      </w:pPr>
      <w:r w:rsidRPr="00167CB8">
        <w:t>329A Functions of the General Manager</w:t>
      </w:r>
    </w:p>
    <w:p w14:paraId="168DF6E4" w14:textId="77777777" w:rsidR="001137B9" w:rsidRPr="00167CB8" w:rsidRDefault="001137B9" w:rsidP="00D55A73">
      <w:pPr>
        <w:pStyle w:val="Quote"/>
        <w:numPr>
          <w:ilvl w:val="0"/>
          <w:numId w:val="21"/>
        </w:numPr>
      </w:pPr>
      <w:r w:rsidRPr="00167CB8">
        <w:t>The General Manager has the following functions:</w:t>
      </w:r>
    </w:p>
    <w:p w14:paraId="5F454212" w14:textId="77777777" w:rsidR="001137B9" w:rsidRPr="00167CB8" w:rsidRDefault="001137B9" w:rsidP="00D55A73">
      <w:pPr>
        <w:pStyle w:val="Quote"/>
        <w:numPr>
          <w:ilvl w:val="0"/>
          <w:numId w:val="20"/>
        </w:numPr>
      </w:pPr>
      <w:r w:rsidRPr="00167CB8">
        <w:t>to promote:</w:t>
      </w:r>
    </w:p>
    <w:p w14:paraId="7F04A40C" w14:textId="77777777" w:rsidR="001137B9" w:rsidRPr="00167CB8" w:rsidRDefault="001137B9" w:rsidP="00D55A73">
      <w:pPr>
        <w:pStyle w:val="Quote"/>
        <w:numPr>
          <w:ilvl w:val="0"/>
          <w:numId w:val="22"/>
        </w:numPr>
      </w:pPr>
      <w:r w:rsidRPr="00167CB8">
        <w:t>efficient management of organisations and high standards of accountability of organisations and their office holders to their members; and</w:t>
      </w:r>
    </w:p>
    <w:p w14:paraId="701655B2" w14:textId="77777777" w:rsidR="001137B9" w:rsidRPr="00167CB8" w:rsidRDefault="001137B9" w:rsidP="00D55A73">
      <w:pPr>
        <w:pStyle w:val="Quote"/>
        <w:numPr>
          <w:ilvl w:val="0"/>
          <w:numId w:val="22"/>
        </w:numPr>
      </w:pPr>
      <w:r w:rsidRPr="00167CB8">
        <w:t>compliance with financial reporting and accountability requirements of this Act;</w:t>
      </w:r>
    </w:p>
    <w:p w14:paraId="23E278E3" w14:textId="77777777" w:rsidR="001137B9" w:rsidRPr="00167CB8" w:rsidRDefault="001137B9" w:rsidP="00D55A73">
      <w:pPr>
        <w:pStyle w:val="Quote"/>
      </w:pPr>
      <w:r w:rsidRPr="00167CB8">
        <w:t>including by providing education, assistance and advice to organisations and their members;</w:t>
      </w:r>
    </w:p>
    <w:p w14:paraId="4244739B" w14:textId="77777777" w:rsidR="001137B9" w:rsidRPr="00167CB8" w:rsidRDefault="001137B9" w:rsidP="00D55A73">
      <w:pPr>
        <w:pStyle w:val="Quote"/>
        <w:numPr>
          <w:ilvl w:val="0"/>
          <w:numId w:val="20"/>
        </w:numPr>
      </w:pPr>
      <w:r w:rsidRPr="00167CB8">
        <w:t>to monitor acts and practices to ensure they comply with the provisions of this Act providing for the democratic functioning and control of organisations;</w:t>
      </w:r>
    </w:p>
    <w:p w14:paraId="5713E4AA" w14:textId="77777777" w:rsidR="001137B9" w:rsidRPr="00167CB8" w:rsidRDefault="001137B9" w:rsidP="00D55A73">
      <w:pPr>
        <w:pStyle w:val="Quote"/>
        <w:numPr>
          <w:ilvl w:val="0"/>
          <w:numId w:val="20"/>
        </w:numPr>
      </w:pPr>
      <w:r w:rsidRPr="00167CB8">
        <w:lastRenderedPageBreak/>
        <w:t>to do anything incidental to or conducive to the performance of any of the above functions.</w:t>
      </w:r>
    </w:p>
    <w:p w14:paraId="3138220E" w14:textId="77777777" w:rsidR="001137B9" w:rsidRPr="00167CB8" w:rsidRDefault="001137B9" w:rsidP="00D55A73">
      <w:pPr>
        <w:pStyle w:val="Quote"/>
      </w:pPr>
      <w:r w:rsidRPr="00167CB8">
        <w:t>Note: Section 657 of the Fair Work Act sets out the General Manager’s powers.</w:t>
      </w:r>
    </w:p>
    <w:p w14:paraId="517F33D3" w14:textId="77777777" w:rsidR="001137B9" w:rsidRPr="00167CB8" w:rsidRDefault="001137B9" w:rsidP="00D55A73">
      <w:pPr>
        <w:pStyle w:val="Quote"/>
        <w:numPr>
          <w:ilvl w:val="0"/>
          <w:numId w:val="21"/>
        </w:numPr>
      </w:pPr>
      <w:r w:rsidRPr="00167CB8">
        <w:t>In performing functions and exercising powers under this Act, the General Manager must seek to embed within organisations a culture of good governance and voluntary compliance with the law.</w:t>
      </w:r>
    </w:p>
    <w:p w14:paraId="17F3FD19" w14:textId="39DE9621" w:rsidR="001137B9" w:rsidRPr="00167CB8" w:rsidRDefault="001137B9" w:rsidP="001137B9">
      <w:r w:rsidRPr="396ABCA7">
        <w:t>The Secure Jobs, Better Pay Act also gave the General Manager new powers to issue infringement notices and enter into enforceable undertakings, which are discussed in the following chapter.</w:t>
      </w:r>
      <w:bookmarkStart w:id="132" w:name="_Toc187421585"/>
    </w:p>
    <w:p w14:paraId="06415A96" w14:textId="68527A4D" w:rsidR="001137B9" w:rsidRPr="00167CB8" w:rsidRDefault="001137B9" w:rsidP="001137B9">
      <w:r w:rsidRPr="396ABCA7">
        <w:t>These amendments commenced on 6 March 2023.</w:t>
      </w:r>
    </w:p>
    <w:p w14:paraId="143CF04E" w14:textId="77777777" w:rsidR="001137B9" w:rsidRPr="001B1D98" w:rsidRDefault="001137B9" w:rsidP="00EC3517">
      <w:pPr>
        <w:pStyle w:val="Heading5"/>
      </w:pPr>
      <w:bookmarkStart w:id="133" w:name="_Toc187946388"/>
      <w:r w:rsidRPr="001B1D98">
        <w:t xml:space="preserve">6.1.2 Intent of </w:t>
      </w:r>
      <w:bookmarkEnd w:id="132"/>
      <w:bookmarkEnd w:id="133"/>
      <w:r w:rsidRPr="001B1D98">
        <w:t>Secure Jobs, Better Pay amendments</w:t>
      </w:r>
    </w:p>
    <w:p w14:paraId="00DBA294" w14:textId="3A9FB6C2" w:rsidR="001137B9" w:rsidRPr="00167CB8" w:rsidRDefault="001137B9" w:rsidP="001137B9">
      <w:r w:rsidRPr="396ABCA7">
        <w:t>The intent of these provisions was to move the regulatory role of the ROC, which was claimed to be an ineffective and discredited institution, into the FWC and give the General Manager the overt function to seek to embed</w:t>
      </w:r>
      <w:r w:rsidR="00ED7C5F">
        <w:t>,</w:t>
      </w:r>
      <w:r w:rsidRPr="396ABCA7">
        <w:t xml:space="preserve"> by way of education</w:t>
      </w:r>
      <w:r w:rsidR="00ED7C5F">
        <w:t>,</w:t>
      </w:r>
      <w:r w:rsidRPr="396ABCA7">
        <w:t xml:space="preserve"> good governance practices into registered organisations.</w:t>
      </w:r>
    </w:p>
    <w:p w14:paraId="04F8AAC3" w14:textId="4A99C72B" w:rsidR="001137B9" w:rsidRPr="00167CB8" w:rsidRDefault="001137B9" w:rsidP="001137B9">
      <w:r w:rsidRPr="00167CB8">
        <w:t xml:space="preserve">As discussed </w:t>
      </w:r>
      <w:r>
        <w:t>earlier</w:t>
      </w:r>
      <w:r w:rsidRPr="00167CB8">
        <w:t xml:space="preserve"> in the </w:t>
      </w:r>
      <w:r w:rsidR="00E011BF">
        <w:t>Australian Building and Construction Commission (</w:t>
      </w:r>
      <w:r w:rsidRPr="00167CB8">
        <w:t>ABCC</w:t>
      </w:r>
      <w:r w:rsidR="00E011BF">
        <w:t>)</w:t>
      </w:r>
      <w:r w:rsidRPr="00167CB8">
        <w:t xml:space="preserve"> chapter </w:t>
      </w:r>
      <w:r>
        <w:t>(</w:t>
      </w:r>
      <w:r w:rsidRPr="00A249B0">
        <w:t>Chapter 4),</w:t>
      </w:r>
      <w:r w:rsidRPr="00167CB8">
        <w:t xml:space="preserve"> the then Minister for Employment and Workplace Relations, the Hon Tony Burke MP, in the second reading speech for the Secure Jobs, Better Pay Bill stated that the ABCC and the ROC were ‘ineffective and discredited institutions’.</w:t>
      </w:r>
      <w:r w:rsidRPr="00167CB8">
        <w:rPr>
          <w:vertAlign w:val="superscript"/>
        </w:rPr>
        <w:footnoteReference w:id="180"/>
      </w:r>
      <w:r w:rsidRPr="00167CB8">
        <w:t xml:space="preserve"> He also claimed they were ‘more concerned’ with ‘prosecuting workers and their representatives than tackling rampant wage theft or addressing workplace safety, or educating and promoting good workplace relations’.</w:t>
      </w:r>
      <w:r w:rsidRPr="00167CB8">
        <w:rPr>
          <w:rStyle w:val="FootnoteReference"/>
        </w:rPr>
        <w:footnoteReference w:id="181"/>
      </w:r>
      <w:r w:rsidRPr="00167CB8">
        <w:t xml:space="preserve"> This aligns with the theme of different regulatory approaches.</w:t>
      </w:r>
    </w:p>
    <w:p w14:paraId="52BBA7A6" w14:textId="77777777" w:rsidR="001137B9" w:rsidRPr="00167CB8" w:rsidRDefault="001137B9" w:rsidP="001137B9">
      <w:r w:rsidRPr="396ABCA7">
        <w:t>In relation to the General Manager’s additional function in s 329A(2) of the RO Act, the revised Explanatory Memorandum stated that the intention of the new function was to ‘ensure that the General Manager considers education when performing functions under the RO Act’.</w:t>
      </w:r>
      <w:r w:rsidRPr="396ABCA7">
        <w:rPr>
          <w:rStyle w:val="FootnoteReference"/>
        </w:rPr>
        <w:footnoteReference w:id="182"/>
      </w:r>
    </w:p>
    <w:p w14:paraId="041B621C" w14:textId="566BDEE6" w:rsidR="001137B9" w:rsidRPr="00167CB8" w:rsidRDefault="001137B9" w:rsidP="001137B9">
      <w:r w:rsidRPr="396ABCA7">
        <w:t>The broader policy intent described in the Explanatory Memorandum for the abolition of the ROC (and also the ABCC) was aimed at ‘[r]estoring fairness and integrity to workplace relations institutions’.</w:t>
      </w:r>
      <w:r w:rsidRPr="396ABCA7">
        <w:rPr>
          <w:rStyle w:val="FootnoteReference"/>
        </w:rPr>
        <w:footnoteReference w:id="183"/>
      </w:r>
      <w:r w:rsidRPr="396ABCA7">
        <w:t xml:space="preserve"> The Australian Labor Party (ALP) </w:t>
      </w:r>
      <w:r w:rsidR="00A249B0">
        <w:t xml:space="preserve">has </w:t>
      </w:r>
      <w:r w:rsidRPr="396ABCA7">
        <w:t>opposed the establishment of the ROC on each occasion a Bill for its creation has been before parliament. Further, after the</w:t>
      </w:r>
      <w:r w:rsidRPr="396ABCA7" w:rsidDel="00556D07">
        <w:t xml:space="preserve"> </w:t>
      </w:r>
      <w:r w:rsidRPr="396ABCA7">
        <w:t>establishment of the ROC, ALP policy committed to abolishing it, including in its 2022 policy platform. This aligns with the theme of institutional integration.</w:t>
      </w:r>
    </w:p>
    <w:p w14:paraId="298F7562" w14:textId="77777777" w:rsidR="001137B9" w:rsidRPr="001B1D98" w:rsidRDefault="001137B9" w:rsidP="00EC3517">
      <w:pPr>
        <w:pStyle w:val="Heading4"/>
      </w:pPr>
      <w:bookmarkStart w:id="134" w:name="_Toc187421586"/>
      <w:bookmarkStart w:id="135" w:name="_Toc187946389"/>
      <w:bookmarkStart w:id="136" w:name="_Toc188277916"/>
      <w:bookmarkStart w:id="137" w:name="_Toc189260209"/>
      <w:bookmarkStart w:id="138" w:name="_Toc189393525"/>
      <w:r w:rsidRPr="001B1D98">
        <w:t>6.2 Impact and issues</w:t>
      </w:r>
      <w:bookmarkEnd w:id="134"/>
      <w:bookmarkEnd w:id="135"/>
      <w:bookmarkEnd w:id="136"/>
      <w:bookmarkEnd w:id="137"/>
      <w:bookmarkEnd w:id="138"/>
    </w:p>
    <w:p w14:paraId="7F9706B1" w14:textId="77777777" w:rsidR="001137B9" w:rsidRPr="00167CB8" w:rsidRDefault="001137B9" w:rsidP="001137B9">
      <w:r w:rsidRPr="396ABCA7">
        <w:t xml:space="preserve">Since the passing of the amendments, the General Manager has taken on the functions of the ROC and established renewed regulatory functions within the operations of the FWC. </w:t>
      </w:r>
      <w:r>
        <w:t xml:space="preserve">This </w:t>
      </w:r>
      <w:r>
        <w:lastRenderedPageBreak/>
        <w:t>section reviews the evidence about the operation of the amendments – first quantitative evidence, then qualitative evidence and finally the views of stakeholders.</w:t>
      </w:r>
    </w:p>
    <w:p w14:paraId="5FE8A930" w14:textId="77777777" w:rsidR="001137B9" w:rsidRPr="001B1D98" w:rsidRDefault="001137B9" w:rsidP="00EC3517">
      <w:pPr>
        <w:pStyle w:val="Heading5"/>
      </w:pPr>
      <w:bookmarkStart w:id="139" w:name="_Toc187421587"/>
      <w:bookmarkStart w:id="140" w:name="_Toc187946390"/>
      <w:r w:rsidRPr="001B1D98">
        <w:t>6.2.1 Quantitative evidence</w:t>
      </w:r>
      <w:bookmarkEnd w:id="139"/>
      <w:bookmarkEnd w:id="140"/>
    </w:p>
    <w:p w14:paraId="7BAF7E0F" w14:textId="77777777" w:rsidR="001137B9" w:rsidRPr="00167CB8" w:rsidRDefault="001137B9" w:rsidP="001137B9">
      <w:r w:rsidRPr="396ABCA7">
        <w:t xml:space="preserve">The </w:t>
      </w:r>
      <w:r w:rsidRPr="00A249B0">
        <w:t xml:space="preserve">FWC </w:t>
      </w:r>
      <w:r w:rsidRPr="00A249B0">
        <w:rPr>
          <w:i/>
          <w:iCs/>
        </w:rPr>
        <w:t>Annual Report</w:t>
      </w:r>
      <w:r w:rsidRPr="00A249B0">
        <w:t xml:space="preserve"> </w:t>
      </w:r>
      <w:r w:rsidRPr="00A249B0">
        <w:rPr>
          <w:i/>
          <w:iCs/>
        </w:rPr>
        <w:t>2022</w:t>
      </w:r>
      <w:r w:rsidRPr="00A249B0">
        <w:rPr>
          <w:rFonts w:ascii="Symbol" w:eastAsia="Symbol" w:hAnsi="Symbol" w:cs="Symbol"/>
          <w:i/>
          <w:iCs/>
        </w:rPr>
        <w:t>-</w:t>
      </w:r>
      <w:r w:rsidRPr="00A249B0">
        <w:rPr>
          <w:i/>
          <w:iCs/>
        </w:rPr>
        <w:t>23</w:t>
      </w:r>
      <w:r w:rsidRPr="00A249B0">
        <w:t xml:space="preserve"> stated</w:t>
      </w:r>
      <w:r w:rsidRPr="396ABCA7">
        <w:t xml:space="preserve"> that:</w:t>
      </w:r>
      <w:r w:rsidRPr="396ABCA7">
        <w:rPr>
          <w:vertAlign w:val="superscript"/>
        </w:rPr>
        <w:footnoteReference w:id="184"/>
      </w:r>
    </w:p>
    <w:p w14:paraId="16840DAC" w14:textId="77777777" w:rsidR="001137B9" w:rsidRPr="00167CB8" w:rsidRDefault="001137B9" w:rsidP="00D55A73">
      <w:pPr>
        <w:pStyle w:val="Quote"/>
      </w:pPr>
      <w:r w:rsidRPr="00167CB8">
        <w:t>On 6 March 2023, the functions of the Registered Organisations Commissioner were transferred to the General Manager of the Commission. Between 6 March 2023 and 30 June 2023, we received 472 matters relating to these transferred functions.</w:t>
      </w:r>
    </w:p>
    <w:p w14:paraId="630D3BA6" w14:textId="697DA878" w:rsidR="001137B9" w:rsidRPr="00167CB8" w:rsidRDefault="001137B9" w:rsidP="001137B9">
      <w:r w:rsidRPr="00167CB8">
        <w:t xml:space="preserve">Prior to the transfer of any workload from the ROC to the FWC, the FWC </w:t>
      </w:r>
      <w:r w:rsidRPr="00167CB8">
        <w:rPr>
          <w:i/>
          <w:iCs/>
        </w:rPr>
        <w:t>Annual Report 2021</w:t>
      </w:r>
      <w:r w:rsidRPr="00167CB8">
        <w:rPr>
          <w:rFonts w:ascii="Symbol" w:eastAsia="Symbol" w:hAnsi="Symbol" w:cs="Symbol"/>
          <w:i/>
        </w:rPr>
        <w:t>-</w:t>
      </w:r>
      <w:r w:rsidRPr="00167CB8">
        <w:rPr>
          <w:i/>
          <w:iCs/>
        </w:rPr>
        <w:t>22</w:t>
      </w:r>
      <w:r w:rsidRPr="00167CB8">
        <w:t xml:space="preserve"> disclosed that </w:t>
      </w:r>
      <w:r w:rsidRPr="00167CB8">
        <w:rPr>
          <w:bCs/>
        </w:rPr>
        <w:t>211</w:t>
      </w:r>
      <w:r w:rsidRPr="00167CB8">
        <w:rPr>
          <w:b/>
        </w:rPr>
        <w:t xml:space="preserve"> </w:t>
      </w:r>
      <w:r w:rsidRPr="00167CB8">
        <w:t>applications had been lodged under the RO Act.</w:t>
      </w:r>
      <w:r w:rsidRPr="00167CB8">
        <w:rPr>
          <w:vertAlign w:val="superscript"/>
        </w:rPr>
        <w:footnoteReference w:id="185"/>
      </w:r>
      <w:r w:rsidRPr="00167CB8">
        <w:t xml:space="preserve"> The FWC </w:t>
      </w:r>
      <w:r w:rsidRPr="00167CB8">
        <w:rPr>
          <w:i/>
          <w:iCs/>
        </w:rPr>
        <w:t>Annual Report 2022</w:t>
      </w:r>
      <w:r w:rsidRPr="00167CB8">
        <w:rPr>
          <w:rFonts w:ascii="Symbol" w:eastAsia="Symbol" w:hAnsi="Symbol" w:cs="Symbol"/>
          <w:i/>
        </w:rPr>
        <w:t>-</w:t>
      </w:r>
      <w:r w:rsidRPr="00167CB8">
        <w:rPr>
          <w:i/>
          <w:iCs/>
        </w:rPr>
        <w:t>23</w:t>
      </w:r>
      <w:r w:rsidRPr="00167CB8">
        <w:t xml:space="preserve"> disclosed 143</w:t>
      </w:r>
      <w:r w:rsidRPr="00167CB8">
        <w:rPr>
          <w:b/>
        </w:rPr>
        <w:t xml:space="preserve"> </w:t>
      </w:r>
      <w:r w:rsidRPr="00167CB8">
        <w:t>lodgements under the RO Act.</w:t>
      </w:r>
      <w:r w:rsidRPr="00167CB8">
        <w:rPr>
          <w:rStyle w:val="FootnoteReference"/>
        </w:rPr>
        <w:footnoteReference w:id="186"/>
      </w:r>
      <w:r w:rsidRPr="00167CB8">
        <w:t xml:space="preserve"> One formal investigation under the RO Act was transferred from the ROC to the FWC.</w:t>
      </w:r>
      <w:r w:rsidRPr="00167CB8">
        <w:rPr>
          <w:vertAlign w:val="superscript"/>
        </w:rPr>
        <w:footnoteReference w:id="187"/>
      </w:r>
    </w:p>
    <w:p w14:paraId="0DB64A0A" w14:textId="37A0DAD1" w:rsidR="001137B9" w:rsidRPr="00167CB8" w:rsidRDefault="001137B9" w:rsidP="001137B9">
      <w:r w:rsidRPr="396ABCA7">
        <w:t xml:space="preserve">The FWC </w:t>
      </w:r>
      <w:r w:rsidRPr="396ABCA7">
        <w:rPr>
          <w:i/>
          <w:iCs/>
        </w:rPr>
        <w:t>Annual Report 2023</w:t>
      </w:r>
      <w:r w:rsidRPr="396ABCA7">
        <w:rPr>
          <w:rFonts w:ascii="Symbol" w:eastAsia="Symbol" w:hAnsi="Symbol" w:cs="Symbol"/>
          <w:i/>
          <w:iCs/>
        </w:rPr>
        <w:t>-</w:t>
      </w:r>
      <w:r w:rsidRPr="396ABCA7">
        <w:rPr>
          <w:i/>
          <w:iCs/>
        </w:rPr>
        <w:t>24</w:t>
      </w:r>
      <w:r w:rsidRPr="396ABCA7">
        <w:t xml:space="preserve"> is informative, as it covers the first full year following the ROC’s abolition and discloses that the FWC handled 1,618 lodgements pertaining to the RO Act.</w:t>
      </w:r>
      <w:r w:rsidRPr="396ABCA7">
        <w:rPr>
          <w:vertAlign w:val="superscript"/>
        </w:rPr>
        <w:footnoteReference w:id="188"/>
      </w:r>
    </w:p>
    <w:p w14:paraId="25432957" w14:textId="6D6C92CB" w:rsidR="001137B9" w:rsidRPr="00167CB8" w:rsidRDefault="001137B9" w:rsidP="001137B9">
      <w:r w:rsidRPr="396ABCA7">
        <w:t>The increase of 1,475 lodgements in the annual report following the abolition of the ROC compared to prior to its abolition is indicative of the high volume of routine work the ROC performed under RO Act, which transferred to the FWC. That work is substantially made up of applications and lodgements of paperwork that registered organisations are required to lodge with the regulator to be compliant with the RO Act.</w:t>
      </w:r>
    </w:p>
    <w:p w14:paraId="1C95C1EE" w14:textId="3B7950DD" w:rsidR="001137B9" w:rsidRPr="00167CB8" w:rsidRDefault="001137B9" w:rsidP="001137B9">
      <w:r w:rsidRPr="396ABCA7">
        <w:t xml:space="preserve">The FWC reported in its </w:t>
      </w:r>
      <w:r w:rsidRPr="396ABCA7">
        <w:rPr>
          <w:i/>
          <w:iCs/>
        </w:rPr>
        <w:t>Annual Report 2022</w:t>
      </w:r>
      <w:r w:rsidRPr="396ABCA7">
        <w:rPr>
          <w:rFonts w:ascii="Symbol" w:eastAsia="Symbol" w:hAnsi="Symbol" w:cs="Symbol"/>
          <w:i/>
          <w:iCs/>
        </w:rPr>
        <w:t>-</w:t>
      </w:r>
      <w:r w:rsidRPr="396ABCA7">
        <w:rPr>
          <w:i/>
          <w:iCs/>
        </w:rPr>
        <w:t>23</w:t>
      </w:r>
      <w:r w:rsidRPr="396ABCA7">
        <w:t xml:space="preserve"> that 33 major education activities were completed,</w:t>
      </w:r>
      <w:r w:rsidR="00D74EA1">
        <w:rPr>
          <w:rStyle w:val="FootnoteReference"/>
        </w:rPr>
        <w:footnoteReference w:id="189"/>
      </w:r>
      <w:r w:rsidR="00D74EA1" w:rsidRPr="396ABCA7">
        <w:t xml:space="preserve"> </w:t>
      </w:r>
      <w:r w:rsidRPr="396ABCA7">
        <w:t xml:space="preserve">which appears generally comparable to the number of educational activities that were being undertaken by the ROC. In its </w:t>
      </w:r>
      <w:r w:rsidRPr="396ABCA7">
        <w:rPr>
          <w:i/>
          <w:iCs/>
        </w:rPr>
        <w:t>Annual Report 2023</w:t>
      </w:r>
      <w:r w:rsidRPr="396ABCA7">
        <w:rPr>
          <w:rFonts w:ascii="Symbol" w:eastAsia="Symbol" w:hAnsi="Symbol" w:cs="Symbol"/>
          <w:i/>
          <w:iCs/>
        </w:rPr>
        <w:t>-</w:t>
      </w:r>
      <w:r w:rsidRPr="396ABCA7">
        <w:rPr>
          <w:i/>
          <w:iCs/>
        </w:rPr>
        <w:t>24</w:t>
      </w:r>
      <w:r>
        <w:t>,</w:t>
      </w:r>
      <w:r w:rsidRPr="396ABCA7">
        <w:t xml:space="preserve"> the FWC reported that 21 major education activities were </w:t>
      </w:r>
      <w:r w:rsidR="00F01918">
        <w:t>delivered</w:t>
      </w:r>
      <w:r w:rsidRPr="396ABCA7">
        <w:t>.</w:t>
      </w:r>
      <w:r w:rsidRPr="396ABCA7">
        <w:rPr>
          <w:rStyle w:val="FootnoteReference"/>
          <w:rFonts w:eastAsia="Times New Roman" w:cs="Times New Roman"/>
          <w:color w:val="000000"/>
          <w:sz w:val="16"/>
          <w:szCs w:val="16"/>
          <w:lang w:eastAsia="en-AU"/>
        </w:rPr>
        <w:footnoteReference w:id="190"/>
      </w:r>
      <w:r w:rsidRPr="396ABCA7">
        <w:rPr>
          <w:rFonts w:eastAsia="Times New Roman" w:cs="Times New Roman"/>
          <w:color w:val="000000"/>
          <w:sz w:val="16"/>
          <w:szCs w:val="16"/>
          <w:lang w:eastAsia="en-AU"/>
        </w:rPr>
        <w:t xml:space="preserve"> </w:t>
      </w:r>
      <w:r w:rsidRPr="0045716F">
        <w:t xml:space="preserve"> </w:t>
      </w:r>
      <w:r>
        <w:t xml:space="preserve">While the FWC appears to have undertaken fewer ‘major’ education activities compared to the ROC, the following </w:t>
      </w:r>
      <w:r w:rsidRPr="00A249B0">
        <w:t>section</w:t>
      </w:r>
      <w:r>
        <w:t xml:space="preserve"> </w:t>
      </w:r>
      <w:r w:rsidRPr="002C2C2D">
        <w:t xml:space="preserve">discusses the significant education and engagement activities of the FWC since the abolition of the ROC. Table </w:t>
      </w:r>
      <w:r>
        <w:t>6</w:t>
      </w:r>
      <w:r w:rsidRPr="002C2C2D">
        <w:t xml:space="preserve"> shows</w:t>
      </w:r>
      <w:r w:rsidRPr="396ABCA7">
        <w:t xml:space="preserve"> the number of major education activities undertaken by the ROC and the FWC.</w:t>
      </w:r>
    </w:p>
    <w:p w14:paraId="383D7A57" w14:textId="77777777" w:rsidR="001137B9" w:rsidRDefault="001137B9" w:rsidP="001137B9">
      <w:pPr>
        <w:spacing w:after="160"/>
        <w:rPr>
          <w:rFonts w:cs="Calibri"/>
          <w:b/>
          <w:bCs/>
          <w:lang w:val="en-US"/>
        </w:rPr>
      </w:pPr>
      <w:r>
        <w:br w:type="page"/>
      </w:r>
    </w:p>
    <w:p w14:paraId="298B1BE5" w14:textId="3221CB27" w:rsidR="001137B9" w:rsidRPr="00167CB8" w:rsidRDefault="00EC3517" w:rsidP="007F380D">
      <w:pPr>
        <w:pStyle w:val="Caption"/>
      </w:pPr>
      <w:bookmarkStart w:id="141" w:name="_Toc194251430"/>
      <w:r>
        <w:lastRenderedPageBreak/>
        <w:t xml:space="preserve">Table </w:t>
      </w:r>
      <w:r>
        <w:fldChar w:fldCharType="begin"/>
      </w:r>
      <w:r>
        <w:instrText xml:space="preserve"> SEQ Table \* ARABIC </w:instrText>
      </w:r>
      <w:r>
        <w:fldChar w:fldCharType="separate"/>
      </w:r>
      <w:r w:rsidR="00DE5F5E">
        <w:rPr>
          <w:noProof/>
        </w:rPr>
        <w:t>6</w:t>
      </w:r>
      <w:r>
        <w:fldChar w:fldCharType="end"/>
      </w:r>
      <w:r>
        <w:t xml:space="preserve">: </w:t>
      </w:r>
      <w:r w:rsidR="001137B9" w:rsidRPr="00167CB8">
        <w:t>Major education activities undertaken Registered Organisations Commission and Fair Work Commission</w:t>
      </w:r>
      <w:bookmarkEnd w:id="141"/>
    </w:p>
    <w:tbl>
      <w:tblPr>
        <w:tblpPr w:leftFromText="180" w:rightFromText="180" w:vertAnchor="text" w:tblpY="1"/>
        <w:tblOverlap w:val="never"/>
        <w:tblW w:w="8936" w:type="dxa"/>
        <w:tblLayout w:type="fixed"/>
        <w:tblLook w:val="04A0" w:firstRow="1" w:lastRow="0" w:firstColumn="1" w:lastColumn="0" w:noHBand="0" w:noVBand="1"/>
      </w:tblPr>
      <w:tblGrid>
        <w:gridCol w:w="2978"/>
        <w:gridCol w:w="2979"/>
        <w:gridCol w:w="2979"/>
      </w:tblGrid>
      <w:tr w:rsidR="001137B9" w:rsidRPr="006762E8" w14:paraId="70D9A0AA" w14:textId="77777777">
        <w:trPr>
          <w:trHeight w:val="313"/>
        </w:trPr>
        <w:tc>
          <w:tcPr>
            <w:tcW w:w="8936" w:type="dxa"/>
            <w:gridSpan w:val="3"/>
            <w:tcBorders>
              <w:top w:val="single" w:sz="4" w:space="0" w:color="auto"/>
              <w:left w:val="single" w:sz="4" w:space="0" w:color="auto"/>
              <w:bottom w:val="single" w:sz="4" w:space="0" w:color="auto"/>
              <w:right w:val="single" w:sz="4" w:space="0" w:color="auto"/>
            </w:tcBorders>
            <w:noWrap/>
            <w:vAlign w:val="bottom"/>
            <w:hideMark/>
          </w:tcPr>
          <w:p w14:paraId="58B9F42F" w14:textId="77777777" w:rsidR="001137B9" w:rsidRPr="001B1D98" w:rsidRDefault="001137B9" w:rsidP="001B1D98">
            <w:pPr>
              <w:spacing w:line="240" w:lineRule="auto"/>
              <w:rPr>
                <w:rFonts w:eastAsia="Times New Roman" w:cs="Times New Roman"/>
                <w:b/>
                <w:color w:val="000000"/>
                <w:sz w:val="20"/>
                <w:szCs w:val="20"/>
                <w:lang w:eastAsia="en-AU"/>
              </w:rPr>
            </w:pPr>
            <w:r w:rsidRPr="001B1D98">
              <w:rPr>
                <w:rFonts w:eastAsia="Times New Roman" w:cs="Times New Roman"/>
                <w:b/>
                <w:color w:val="000000"/>
                <w:sz w:val="20"/>
                <w:szCs w:val="20"/>
                <w:lang w:eastAsia="en-AU"/>
              </w:rPr>
              <w:t xml:space="preserve">Number of major education activities targeted at organisations and their members by annual report </w:t>
            </w:r>
          </w:p>
        </w:tc>
      </w:tr>
      <w:tr w:rsidR="001137B9" w:rsidRPr="006762E8" w14:paraId="3A44B72F" w14:textId="77777777" w:rsidTr="00F7659D">
        <w:trPr>
          <w:trHeight w:val="313"/>
        </w:trPr>
        <w:tc>
          <w:tcPr>
            <w:tcW w:w="2978" w:type="dxa"/>
            <w:tcBorders>
              <w:top w:val="single" w:sz="4" w:space="0" w:color="auto"/>
              <w:left w:val="single" w:sz="4" w:space="0" w:color="auto"/>
              <w:bottom w:val="single" w:sz="4" w:space="0" w:color="auto"/>
              <w:right w:val="single" w:sz="4" w:space="0" w:color="auto"/>
            </w:tcBorders>
            <w:noWrap/>
            <w:vAlign w:val="center"/>
          </w:tcPr>
          <w:p w14:paraId="67F581AE" w14:textId="77777777" w:rsidR="001137B9" w:rsidRPr="001B1D98" w:rsidRDefault="001137B9" w:rsidP="00E526F6">
            <w:pPr>
              <w:spacing w:after="0" w:line="240" w:lineRule="auto"/>
              <w:rPr>
                <w:rFonts w:eastAsia="Times New Roman" w:cs="Times New Roman"/>
                <w:color w:val="000000"/>
                <w:sz w:val="20"/>
                <w:szCs w:val="20"/>
                <w:lang w:eastAsia="en-AU"/>
              </w:rPr>
            </w:pPr>
            <w:r w:rsidRPr="001B1D98">
              <w:rPr>
                <w:rFonts w:eastAsia="Times New Roman" w:cs="Times New Roman"/>
                <w:color w:val="000000"/>
                <w:sz w:val="20"/>
                <w:szCs w:val="20"/>
                <w:lang w:eastAsia="en-AU"/>
              </w:rPr>
              <w:t>Institution</w:t>
            </w:r>
          </w:p>
        </w:tc>
        <w:tc>
          <w:tcPr>
            <w:tcW w:w="2979" w:type="dxa"/>
            <w:tcBorders>
              <w:top w:val="single" w:sz="4" w:space="0" w:color="auto"/>
              <w:left w:val="nil"/>
              <w:bottom w:val="single" w:sz="4" w:space="0" w:color="auto"/>
              <w:right w:val="single" w:sz="4" w:space="0" w:color="auto"/>
            </w:tcBorders>
            <w:noWrap/>
            <w:vAlign w:val="center"/>
          </w:tcPr>
          <w:p w14:paraId="507CEE04" w14:textId="77777777" w:rsidR="001137B9" w:rsidRPr="001B1D98" w:rsidRDefault="001137B9" w:rsidP="00E526F6">
            <w:pPr>
              <w:spacing w:after="0" w:line="240" w:lineRule="auto"/>
              <w:jc w:val="center"/>
              <w:rPr>
                <w:rFonts w:eastAsia="Times New Roman" w:cs="Times New Roman"/>
                <w:color w:val="000000"/>
                <w:sz w:val="20"/>
                <w:szCs w:val="20"/>
                <w:lang w:eastAsia="en-AU"/>
              </w:rPr>
            </w:pPr>
            <w:r w:rsidRPr="001B1D98">
              <w:rPr>
                <w:rFonts w:eastAsia="Times New Roman" w:cs="Times New Roman"/>
                <w:color w:val="000000"/>
                <w:sz w:val="20"/>
                <w:szCs w:val="20"/>
                <w:lang w:eastAsia="en-AU"/>
              </w:rPr>
              <w:t>Year</w:t>
            </w:r>
          </w:p>
        </w:tc>
        <w:tc>
          <w:tcPr>
            <w:tcW w:w="2979" w:type="dxa"/>
            <w:tcBorders>
              <w:top w:val="single" w:sz="4" w:space="0" w:color="auto"/>
              <w:left w:val="nil"/>
              <w:bottom w:val="single" w:sz="4" w:space="0" w:color="auto"/>
              <w:right w:val="single" w:sz="4" w:space="0" w:color="auto"/>
            </w:tcBorders>
            <w:noWrap/>
            <w:vAlign w:val="center"/>
          </w:tcPr>
          <w:p w14:paraId="6DB45599" w14:textId="2C4C3A56" w:rsidR="001137B9" w:rsidRPr="001B1D98" w:rsidRDefault="001137B9" w:rsidP="00F7659D">
            <w:pPr>
              <w:spacing w:after="0" w:line="240" w:lineRule="auto"/>
              <w:jc w:val="center"/>
              <w:rPr>
                <w:rFonts w:eastAsia="Times New Roman" w:cs="Times New Roman"/>
                <w:color w:val="000000"/>
                <w:sz w:val="20"/>
                <w:szCs w:val="20"/>
                <w:lang w:eastAsia="en-AU"/>
              </w:rPr>
            </w:pPr>
            <w:r w:rsidRPr="001B1D98">
              <w:rPr>
                <w:rFonts w:eastAsia="Times New Roman" w:cs="Times New Roman"/>
                <w:color w:val="000000"/>
                <w:sz w:val="20"/>
                <w:szCs w:val="20"/>
                <w:lang w:eastAsia="en-AU"/>
              </w:rPr>
              <w:t>Number completed</w:t>
            </w:r>
          </w:p>
        </w:tc>
      </w:tr>
      <w:tr w:rsidR="001137B9" w:rsidRPr="006762E8" w14:paraId="33418157" w14:textId="77777777" w:rsidTr="007A2D4E">
        <w:trPr>
          <w:trHeight w:val="313"/>
        </w:trPr>
        <w:tc>
          <w:tcPr>
            <w:tcW w:w="2978" w:type="dxa"/>
            <w:tcBorders>
              <w:top w:val="nil"/>
              <w:left w:val="single" w:sz="4" w:space="0" w:color="auto"/>
              <w:bottom w:val="single" w:sz="4" w:space="0" w:color="auto"/>
              <w:right w:val="single" w:sz="4" w:space="0" w:color="auto"/>
            </w:tcBorders>
            <w:noWrap/>
            <w:vAlign w:val="bottom"/>
            <w:hideMark/>
          </w:tcPr>
          <w:p w14:paraId="79344F6D" w14:textId="77777777" w:rsidR="001137B9" w:rsidRPr="001B1D98" w:rsidRDefault="001137B9" w:rsidP="001B1D98">
            <w:pPr>
              <w:spacing w:after="0" w:line="240" w:lineRule="auto"/>
              <w:rPr>
                <w:rFonts w:eastAsia="Times New Roman" w:cs="Times New Roman"/>
                <w:color w:val="000000"/>
                <w:sz w:val="20"/>
                <w:szCs w:val="20"/>
                <w:lang w:eastAsia="en-AU"/>
              </w:rPr>
            </w:pPr>
            <w:r w:rsidRPr="001B1D98">
              <w:rPr>
                <w:rFonts w:eastAsia="Times New Roman" w:cs="Times New Roman"/>
                <w:color w:val="000000"/>
                <w:sz w:val="20"/>
                <w:szCs w:val="20"/>
                <w:lang w:eastAsia="en-AU"/>
              </w:rPr>
              <w:t>ROC</w:t>
            </w:r>
          </w:p>
        </w:tc>
        <w:tc>
          <w:tcPr>
            <w:tcW w:w="2979" w:type="dxa"/>
            <w:tcBorders>
              <w:top w:val="nil"/>
              <w:left w:val="nil"/>
              <w:bottom w:val="single" w:sz="4" w:space="0" w:color="auto"/>
              <w:right w:val="single" w:sz="4" w:space="0" w:color="auto"/>
            </w:tcBorders>
            <w:noWrap/>
            <w:vAlign w:val="bottom"/>
            <w:hideMark/>
          </w:tcPr>
          <w:p w14:paraId="66D80221" w14:textId="77777777" w:rsidR="001137B9" w:rsidRPr="001B1D98" w:rsidRDefault="001137B9" w:rsidP="007A2D4E">
            <w:pPr>
              <w:spacing w:after="0" w:line="240" w:lineRule="auto"/>
              <w:jc w:val="center"/>
              <w:rPr>
                <w:rFonts w:eastAsia="Times New Roman" w:cs="Times New Roman"/>
                <w:color w:val="000000"/>
                <w:sz w:val="20"/>
                <w:szCs w:val="20"/>
                <w:lang w:eastAsia="en-AU"/>
              </w:rPr>
            </w:pPr>
            <w:r w:rsidRPr="001B1D98">
              <w:rPr>
                <w:rFonts w:eastAsia="Times New Roman" w:cs="Times New Roman"/>
                <w:color w:val="000000"/>
                <w:sz w:val="20"/>
                <w:szCs w:val="20"/>
                <w:lang w:eastAsia="en-AU"/>
              </w:rPr>
              <w:t>2018</w:t>
            </w:r>
            <w:r w:rsidRPr="001B1D98">
              <w:rPr>
                <w:rFonts w:ascii="Symbol" w:eastAsia="Symbol" w:hAnsi="Symbol" w:cs="Symbol"/>
                <w:color w:val="000000"/>
                <w:sz w:val="20"/>
                <w:szCs w:val="20"/>
                <w:lang w:eastAsia="en-AU"/>
              </w:rPr>
              <w:t>-</w:t>
            </w:r>
            <w:r w:rsidRPr="001B1D98">
              <w:rPr>
                <w:rFonts w:eastAsia="Times New Roman" w:cs="Times New Roman"/>
                <w:color w:val="000000"/>
                <w:sz w:val="20"/>
                <w:szCs w:val="20"/>
                <w:lang w:eastAsia="en-AU"/>
              </w:rPr>
              <w:t>19</w:t>
            </w:r>
          </w:p>
        </w:tc>
        <w:tc>
          <w:tcPr>
            <w:tcW w:w="2979" w:type="dxa"/>
            <w:tcBorders>
              <w:top w:val="nil"/>
              <w:left w:val="nil"/>
              <w:bottom w:val="single" w:sz="4" w:space="0" w:color="auto"/>
              <w:right w:val="single" w:sz="4" w:space="0" w:color="auto"/>
            </w:tcBorders>
            <w:noWrap/>
            <w:vAlign w:val="bottom"/>
            <w:hideMark/>
          </w:tcPr>
          <w:p w14:paraId="07D69DCF" w14:textId="77777777" w:rsidR="001137B9" w:rsidRPr="001B1D98" w:rsidRDefault="001137B9" w:rsidP="001B1D98">
            <w:pPr>
              <w:spacing w:after="0" w:line="240" w:lineRule="auto"/>
              <w:jc w:val="center"/>
              <w:rPr>
                <w:rFonts w:eastAsia="Times New Roman" w:cs="Times New Roman"/>
                <w:color w:val="000000"/>
                <w:sz w:val="20"/>
                <w:szCs w:val="20"/>
                <w:lang w:eastAsia="en-AU"/>
              </w:rPr>
            </w:pPr>
            <w:r w:rsidRPr="001B1D98">
              <w:rPr>
                <w:rFonts w:eastAsia="Times New Roman" w:cs="Times New Roman"/>
                <w:color w:val="000000"/>
                <w:sz w:val="20"/>
                <w:szCs w:val="20"/>
                <w:lang w:eastAsia="en-AU"/>
              </w:rPr>
              <w:t>22</w:t>
            </w:r>
          </w:p>
          <w:p w14:paraId="4F70BE4D" w14:textId="77777777" w:rsidR="001137B9" w:rsidRPr="001B1D98" w:rsidRDefault="001137B9" w:rsidP="001B1D98">
            <w:pPr>
              <w:spacing w:after="0" w:line="240" w:lineRule="auto"/>
              <w:rPr>
                <w:rFonts w:eastAsia="Times New Roman" w:cs="Times New Roman"/>
                <w:i/>
                <w:iCs/>
                <w:sz w:val="20"/>
                <w:szCs w:val="20"/>
                <w:lang w:eastAsia="en-AU"/>
              </w:rPr>
            </w:pPr>
          </w:p>
        </w:tc>
      </w:tr>
      <w:tr w:rsidR="001137B9" w:rsidRPr="006762E8" w14:paraId="51B4253B" w14:textId="77777777" w:rsidTr="007A2D4E">
        <w:trPr>
          <w:trHeight w:val="313"/>
        </w:trPr>
        <w:tc>
          <w:tcPr>
            <w:tcW w:w="2978" w:type="dxa"/>
            <w:tcBorders>
              <w:top w:val="nil"/>
              <w:left w:val="single" w:sz="4" w:space="0" w:color="auto"/>
              <w:bottom w:val="single" w:sz="4" w:space="0" w:color="auto"/>
              <w:right w:val="single" w:sz="4" w:space="0" w:color="auto"/>
            </w:tcBorders>
            <w:noWrap/>
            <w:vAlign w:val="bottom"/>
            <w:hideMark/>
          </w:tcPr>
          <w:p w14:paraId="730BB9A0" w14:textId="77777777" w:rsidR="001137B9" w:rsidRPr="001B1D98" w:rsidRDefault="001137B9" w:rsidP="001B1D98">
            <w:pPr>
              <w:spacing w:after="0" w:line="240" w:lineRule="auto"/>
              <w:rPr>
                <w:rFonts w:eastAsia="Times New Roman" w:cs="Times New Roman"/>
                <w:color w:val="000000"/>
                <w:sz w:val="20"/>
                <w:szCs w:val="20"/>
                <w:lang w:eastAsia="en-AU"/>
              </w:rPr>
            </w:pPr>
            <w:r w:rsidRPr="001B1D98">
              <w:rPr>
                <w:rFonts w:eastAsia="Times New Roman" w:cs="Times New Roman"/>
                <w:color w:val="000000"/>
                <w:sz w:val="20"/>
                <w:szCs w:val="20"/>
                <w:lang w:eastAsia="en-AU"/>
              </w:rPr>
              <w:t>ROC</w:t>
            </w:r>
          </w:p>
        </w:tc>
        <w:tc>
          <w:tcPr>
            <w:tcW w:w="2979" w:type="dxa"/>
            <w:tcBorders>
              <w:top w:val="nil"/>
              <w:left w:val="nil"/>
              <w:bottom w:val="single" w:sz="4" w:space="0" w:color="auto"/>
              <w:right w:val="single" w:sz="4" w:space="0" w:color="auto"/>
            </w:tcBorders>
            <w:noWrap/>
            <w:vAlign w:val="bottom"/>
            <w:hideMark/>
          </w:tcPr>
          <w:p w14:paraId="23DD12DB" w14:textId="77777777" w:rsidR="001137B9" w:rsidRPr="001B1D98" w:rsidRDefault="001137B9" w:rsidP="007A2D4E">
            <w:pPr>
              <w:spacing w:after="0" w:line="240" w:lineRule="auto"/>
              <w:jc w:val="center"/>
              <w:rPr>
                <w:rFonts w:eastAsia="Times New Roman" w:cs="Times New Roman"/>
                <w:color w:val="000000"/>
                <w:sz w:val="20"/>
                <w:szCs w:val="20"/>
                <w:lang w:eastAsia="en-AU"/>
              </w:rPr>
            </w:pPr>
            <w:r w:rsidRPr="001B1D98">
              <w:rPr>
                <w:rFonts w:eastAsia="Times New Roman" w:cs="Times New Roman"/>
                <w:color w:val="000000"/>
                <w:sz w:val="20"/>
                <w:szCs w:val="20"/>
                <w:lang w:eastAsia="en-AU"/>
              </w:rPr>
              <w:t>2019</w:t>
            </w:r>
            <w:r w:rsidRPr="001B1D98">
              <w:rPr>
                <w:rFonts w:ascii="Symbol" w:eastAsia="Symbol" w:hAnsi="Symbol" w:cs="Symbol"/>
                <w:color w:val="000000"/>
                <w:sz w:val="20"/>
                <w:szCs w:val="20"/>
                <w:lang w:eastAsia="en-AU"/>
              </w:rPr>
              <w:t>-</w:t>
            </w:r>
            <w:r w:rsidRPr="001B1D98">
              <w:rPr>
                <w:rFonts w:eastAsia="Times New Roman" w:cs="Times New Roman"/>
                <w:color w:val="000000"/>
                <w:sz w:val="20"/>
                <w:szCs w:val="20"/>
                <w:lang w:eastAsia="en-AU"/>
              </w:rPr>
              <w:t>20</w:t>
            </w:r>
          </w:p>
        </w:tc>
        <w:tc>
          <w:tcPr>
            <w:tcW w:w="2979" w:type="dxa"/>
            <w:tcBorders>
              <w:top w:val="nil"/>
              <w:left w:val="nil"/>
              <w:bottom w:val="single" w:sz="4" w:space="0" w:color="auto"/>
              <w:right w:val="single" w:sz="4" w:space="0" w:color="auto"/>
            </w:tcBorders>
            <w:noWrap/>
            <w:vAlign w:val="bottom"/>
            <w:hideMark/>
          </w:tcPr>
          <w:p w14:paraId="73292C67" w14:textId="77777777" w:rsidR="001137B9" w:rsidRPr="001B1D98" w:rsidRDefault="001137B9" w:rsidP="001B1D98">
            <w:pPr>
              <w:spacing w:after="0" w:line="240" w:lineRule="auto"/>
              <w:jc w:val="center"/>
              <w:rPr>
                <w:rFonts w:eastAsia="Times New Roman" w:cs="Times New Roman"/>
                <w:color w:val="000000"/>
                <w:sz w:val="20"/>
                <w:szCs w:val="20"/>
                <w:lang w:eastAsia="en-AU"/>
              </w:rPr>
            </w:pPr>
            <w:r w:rsidRPr="001B1D98">
              <w:rPr>
                <w:rFonts w:eastAsia="Times New Roman" w:cs="Times New Roman"/>
                <w:color w:val="000000"/>
                <w:sz w:val="20"/>
                <w:szCs w:val="20"/>
                <w:lang w:eastAsia="en-AU"/>
              </w:rPr>
              <w:t>36</w:t>
            </w:r>
          </w:p>
          <w:p w14:paraId="0D996B40" w14:textId="77777777" w:rsidR="001137B9" w:rsidRPr="001B1D98" w:rsidRDefault="001137B9" w:rsidP="001B1D98">
            <w:pPr>
              <w:spacing w:after="0" w:line="240" w:lineRule="auto"/>
              <w:rPr>
                <w:rFonts w:eastAsia="Times New Roman" w:cs="Times New Roman"/>
                <w:i/>
                <w:iCs/>
                <w:sz w:val="20"/>
                <w:szCs w:val="20"/>
                <w:lang w:eastAsia="en-AU"/>
              </w:rPr>
            </w:pPr>
          </w:p>
        </w:tc>
      </w:tr>
      <w:tr w:rsidR="001137B9" w:rsidRPr="006762E8" w14:paraId="6E3F7FD0" w14:textId="77777777" w:rsidTr="007A2D4E">
        <w:trPr>
          <w:trHeight w:val="313"/>
        </w:trPr>
        <w:tc>
          <w:tcPr>
            <w:tcW w:w="2978" w:type="dxa"/>
            <w:tcBorders>
              <w:top w:val="nil"/>
              <w:left w:val="single" w:sz="4" w:space="0" w:color="auto"/>
              <w:bottom w:val="single" w:sz="4" w:space="0" w:color="auto"/>
              <w:right w:val="single" w:sz="4" w:space="0" w:color="auto"/>
            </w:tcBorders>
            <w:noWrap/>
            <w:vAlign w:val="bottom"/>
            <w:hideMark/>
          </w:tcPr>
          <w:p w14:paraId="07051E01" w14:textId="77777777" w:rsidR="001137B9" w:rsidRPr="001B1D98" w:rsidRDefault="001137B9" w:rsidP="001B1D98">
            <w:pPr>
              <w:spacing w:after="0" w:line="240" w:lineRule="auto"/>
              <w:rPr>
                <w:rFonts w:eastAsia="Times New Roman" w:cs="Times New Roman"/>
                <w:color w:val="000000"/>
                <w:sz w:val="20"/>
                <w:szCs w:val="20"/>
                <w:lang w:eastAsia="en-AU"/>
              </w:rPr>
            </w:pPr>
            <w:r w:rsidRPr="001B1D98">
              <w:rPr>
                <w:rFonts w:eastAsia="Times New Roman" w:cs="Times New Roman"/>
                <w:color w:val="000000"/>
                <w:sz w:val="20"/>
                <w:szCs w:val="20"/>
                <w:lang w:eastAsia="en-AU"/>
              </w:rPr>
              <w:t>ROC</w:t>
            </w:r>
          </w:p>
        </w:tc>
        <w:tc>
          <w:tcPr>
            <w:tcW w:w="2979" w:type="dxa"/>
            <w:tcBorders>
              <w:top w:val="nil"/>
              <w:left w:val="nil"/>
              <w:bottom w:val="single" w:sz="4" w:space="0" w:color="auto"/>
              <w:right w:val="single" w:sz="4" w:space="0" w:color="auto"/>
            </w:tcBorders>
            <w:noWrap/>
            <w:vAlign w:val="bottom"/>
            <w:hideMark/>
          </w:tcPr>
          <w:p w14:paraId="6A5CD079" w14:textId="77777777" w:rsidR="001137B9" w:rsidRPr="001B1D98" w:rsidRDefault="001137B9" w:rsidP="007A2D4E">
            <w:pPr>
              <w:spacing w:after="0" w:line="240" w:lineRule="auto"/>
              <w:jc w:val="center"/>
              <w:rPr>
                <w:rFonts w:eastAsia="Times New Roman" w:cs="Times New Roman"/>
                <w:color w:val="000000"/>
                <w:sz w:val="20"/>
                <w:szCs w:val="20"/>
                <w:lang w:eastAsia="en-AU"/>
              </w:rPr>
            </w:pPr>
            <w:r w:rsidRPr="001B1D98">
              <w:rPr>
                <w:rFonts w:eastAsia="Times New Roman" w:cs="Times New Roman"/>
                <w:color w:val="000000"/>
                <w:sz w:val="20"/>
                <w:szCs w:val="20"/>
                <w:lang w:eastAsia="en-AU"/>
              </w:rPr>
              <w:t>2020–21</w:t>
            </w:r>
          </w:p>
        </w:tc>
        <w:tc>
          <w:tcPr>
            <w:tcW w:w="2979" w:type="dxa"/>
            <w:tcBorders>
              <w:top w:val="nil"/>
              <w:left w:val="nil"/>
              <w:bottom w:val="single" w:sz="4" w:space="0" w:color="auto"/>
              <w:right w:val="single" w:sz="4" w:space="0" w:color="auto"/>
            </w:tcBorders>
            <w:noWrap/>
            <w:vAlign w:val="bottom"/>
            <w:hideMark/>
          </w:tcPr>
          <w:p w14:paraId="05B69012" w14:textId="77777777" w:rsidR="001137B9" w:rsidRPr="001B1D98" w:rsidRDefault="001137B9" w:rsidP="001B1D98">
            <w:pPr>
              <w:spacing w:after="0" w:line="240" w:lineRule="auto"/>
              <w:jc w:val="center"/>
              <w:rPr>
                <w:rFonts w:eastAsia="Times New Roman" w:cs="Times New Roman"/>
                <w:color w:val="000000"/>
                <w:sz w:val="20"/>
                <w:szCs w:val="20"/>
                <w:lang w:eastAsia="en-AU"/>
              </w:rPr>
            </w:pPr>
            <w:r w:rsidRPr="001B1D98">
              <w:rPr>
                <w:rFonts w:eastAsia="Times New Roman" w:cs="Times New Roman"/>
                <w:color w:val="000000"/>
                <w:sz w:val="20"/>
                <w:szCs w:val="20"/>
                <w:lang w:eastAsia="en-AU"/>
              </w:rPr>
              <w:t>34</w:t>
            </w:r>
          </w:p>
          <w:p w14:paraId="47C1BB69" w14:textId="77777777" w:rsidR="001137B9" w:rsidRPr="001B1D98" w:rsidRDefault="001137B9" w:rsidP="001B1D98">
            <w:pPr>
              <w:spacing w:after="0" w:line="240" w:lineRule="auto"/>
              <w:rPr>
                <w:rFonts w:eastAsia="Times New Roman" w:cs="Times New Roman"/>
                <w:i/>
                <w:iCs/>
                <w:sz w:val="20"/>
                <w:szCs w:val="20"/>
                <w:lang w:eastAsia="en-AU"/>
              </w:rPr>
            </w:pPr>
          </w:p>
        </w:tc>
      </w:tr>
      <w:tr w:rsidR="001137B9" w:rsidRPr="006762E8" w14:paraId="72D769F5" w14:textId="77777777" w:rsidTr="007A2D4E">
        <w:trPr>
          <w:trHeight w:val="313"/>
        </w:trPr>
        <w:tc>
          <w:tcPr>
            <w:tcW w:w="2978" w:type="dxa"/>
            <w:tcBorders>
              <w:top w:val="nil"/>
              <w:left w:val="single" w:sz="4" w:space="0" w:color="auto"/>
              <w:bottom w:val="single" w:sz="4" w:space="0" w:color="auto"/>
              <w:right w:val="single" w:sz="4" w:space="0" w:color="auto"/>
            </w:tcBorders>
            <w:noWrap/>
            <w:vAlign w:val="bottom"/>
            <w:hideMark/>
          </w:tcPr>
          <w:p w14:paraId="15173225" w14:textId="77777777" w:rsidR="001137B9" w:rsidRPr="001B1D98" w:rsidRDefault="001137B9" w:rsidP="001B1D98">
            <w:pPr>
              <w:spacing w:after="0" w:line="240" w:lineRule="auto"/>
              <w:rPr>
                <w:rFonts w:eastAsia="Times New Roman" w:cs="Times New Roman"/>
                <w:color w:val="000000"/>
                <w:sz w:val="20"/>
                <w:szCs w:val="20"/>
                <w:lang w:eastAsia="en-AU"/>
              </w:rPr>
            </w:pPr>
            <w:r w:rsidRPr="001B1D98">
              <w:rPr>
                <w:rFonts w:eastAsia="Times New Roman" w:cs="Times New Roman"/>
                <w:color w:val="000000"/>
                <w:sz w:val="20"/>
                <w:szCs w:val="20"/>
                <w:lang w:eastAsia="en-AU"/>
              </w:rPr>
              <w:t>ROC</w:t>
            </w:r>
          </w:p>
        </w:tc>
        <w:tc>
          <w:tcPr>
            <w:tcW w:w="2979" w:type="dxa"/>
            <w:tcBorders>
              <w:top w:val="nil"/>
              <w:left w:val="nil"/>
              <w:bottom w:val="single" w:sz="4" w:space="0" w:color="auto"/>
              <w:right w:val="single" w:sz="4" w:space="0" w:color="auto"/>
            </w:tcBorders>
            <w:noWrap/>
            <w:vAlign w:val="bottom"/>
            <w:hideMark/>
          </w:tcPr>
          <w:p w14:paraId="35EB785A" w14:textId="77777777" w:rsidR="001137B9" w:rsidRPr="001B1D98" w:rsidRDefault="001137B9" w:rsidP="007A2D4E">
            <w:pPr>
              <w:spacing w:after="0" w:line="240" w:lineRule="auto"/>
              <w:jc w:val="center"/>
              <w:rPr>
                <w:rFonts w:eastAsia="Times New Roman" w:cs="Times New Roman"/>
                <w:color w:val="000000"/>
                <w:sz w:val="20"/>
                <w:szCs w:val="20"/>
                <w:lang w:eastAsia="en-AU"/>
              </w:rPr>
            </w:pPr>
            <w:r w:rsidRPr="001B1D98">
              <w:rPr>
                <w:rFonts w:eastAsia="Times New Roman" w:cs="Times New Roman"/>
                <w:color w:val="000000"/>
                <w:sz w:val="20"/>
                <w:szCs w:val="20"/>
                <w:lang w:eastAsia="en-AU"/>
              </w:rPr>
              <w:t>2021</w:t>
            </w:r>
            <w:r w:rsidRPr="001B1D98">
              <w:rPr>
                <w:rFonts w:ascii="Symbol" w:eastAsia="Symbol" w:hAnsi="Symbol" w:cs="Symbol"/>
                <w:color w:val="000000"/>
                <w:sz w:val="20"/>
                <w:szCs w:val="20"/>
                <w:lang w:eastAsia="en-AU"/>
              </w:rPr>
              <w:t>-</w:t>
            </w:r>
            <w:r w:rsidRPr="001B1D98">
              <w:rPr>
                <w:rFonts w:eastAsia="Times New Roman" w:cs="Times New Roman"/>
                <w:color w:val="000000"/>
                <w:sz w:val="20"/>
                <w:szCs w:val="20"/>
                <w:lang w:eastAsia="en-AU"/>
              </w:rPr>
              <w:t>22</w:t>
            </w:r>
          </w:p>
        </w:tc>
        <w:tc>
          <w:tcPr>
            <w:tcW w:w="2979" w:type="dxa"/>
            <w:tcBorders>
              <w:top w:val="nil"/>
              <w:left w:val="nil"/>
              <w:bottom w:val="single" w:sz="4" w:space="0" w:color="auto"/>
              <w:right w:val="single" w:sz="4" w:space="0" w:color="auto"/>
            </w:tcBorders>
            <w:noWrap/>
            <w:vAlign w:val="bottom"/>
            <w:hideMark/>
          </w:tcPr>
          <w:p w14:paraId="2574F667" w14:textId="77777777" w:rsidR="001137B9" w:rsidRPr="001B1D98" w:rsidRDefault="001137B9" w:rsidP="001B1D98">
            <w:pPr>
              <w:spacing w:after="0" w:line="240" w:lineRule="auto"/>
              <w:jc w:val="center"/>
              <w:rPr>
                <w:rFonts w:eastAsia="Times New Roman" w:cs="Times New Roman"/>
                <w:color w:val="000000"/>
                <w:sz w:val="20"/>
                <w:szCs w:val="20"/>
                <w:lang w:eastAsia="en-AU"/>
              </w:rPr>
            </w:pPr>
            <w:r w:rsidRPr="001B1D98">
              <w:rPr>
                <w:rFonts w:eastAsia="Times New Roman" w:cs="Times New Roman"/>
                <w:color w:val="000000"/>
                <w:sz w:val="20"/>
                <w:szCs w:val="20"/>
                <w:lang w:eastAsia="en-AU"/>
              </w:rPr>
              <w:t>34</w:t>
            </w:r>
          </w:p>
          <w:p w14:paraId="131DA1DD" w14:textId="77777777" w:rsidR="001137B9" w:rsidRPr="001B1D98" w:rsidRDefault="001137B9" w:rsidP="001B1D98">
            <w:pPr>
              <w:spacing w:after="0" w:line="240" w:lineRule="auto"/>
              <w:rPr>
                <w:rFonts w:eastAsia="Times New Roman" w:cs="Times New Roman"/>
                <w:i/>
                <w:iCs/>
                <w:sz w:val="20"/>
                <w:szCs w:val="20"/>
                <w:lang w:eastAsia="en-AU"/>
              </w:rPr>
            </w:pPr>
          </w:p>
        </w:tc>
      </w:tr>
      <w:tr w:rsidR="001137B9" w:rsidRPr="006762E8" w14:paraId="045E42C7" w14:textId="77777777" w:rsidTr="007A2D4E">
        <w:trPr>
          <w:trHeight w:val="313"/>
        </w:trPr>
        <w:tc>
          <w:tcPr>
            <w:tcW w:w="2978" w:type="dxa"/>
            <w:tcBorders>
              <w:top w:val="nil"/>
              <w:left w:val="single" w:sz="4" w:space="0" w:color="auto"/>
              <w:bottom w:val="single" w:sz="4" w:space="0" w:color="auto"/>
              <w:right w:val="single" w:sz="4" w:space="0" w:color="auto"/>
            </w:tcBorders>
            <w:noWrap/>
            <w:vAlign w:val="bottom"/>
            <w:hideMark/>
          </w:tcPr>
          <w:p w14:paraId="4D08D191" w14:textId="77777777" w:rsidR="001137B9" w:rsidRPr="001B1D98" w:rsidRDefault="001137B9" w:rsidP="001B1D98">
            <w:pPr>
              <w:spacing w:after="0" w:line="240" w:lineRule="auto"/>
              <w:rPr>
                <w:rFonts w:eastAsia="Times New Roman" w:cs="Times New Roman"/>
                <w:color w:val="000000"/>
                <w:sz w:val="20"/>
                <w:szCs w:val="20"/>
                <w:lang w:eastAsia="en-AU"/>
              </w:rPr>
            </w:pPr>
            <w:r w:rsidRPr="001B1D98">
              <w:rPr>
                <w:rFonts w:eastAsia="Times New Roman" w:cs="Times New Roman"/>
                <w:color w:val="000000"/>
                <w:sz w:val="20"/>
                <w:szCs w:val="20"/>
                <w:lang w:eastAsia="en-AU"/>
              </w:rPr>
              <w:t>FWC / ROC</w:t>
            </w:r>
          </w:p>
        </w:tc>
        <w:tc>
          <w:tcPr>
            <w:tcW w:w="2979" w:type="dxa"/>
            <w:tcBorders>
              <w:top w:val="nil"/>
              <w:left w:val="nil"/>
              <w:bottom w:val="single" w:sz="4" w:space="0" w:color="auto"/>
              <w:right w:val="single" w:sz="4" w:space="0" w:color="auto"/>
            </w:tcBorders>
            <w:noWrap/>
            <w:vAlign w:val="bottom"/>
            <w:hideMark/>
          </w:tcPr>
          <w:p w14:paraId="665C815D" w14:textId="4F8D03F6" w:rsidR="001137B9" w:rsidRPr="001B1D98" w:rsidRDefault="001137B9" w:rsidP="007A2D4E">
            <w:pPr>
              <w:spacing w:after="0" w:line="240" w:lineRule="auto"/>
              <w:jc w:val="center"/>
              <w:rPr>
                <w:rFonts w:eastAsia="Times New Roman" w:cs="Times New Roman"/>
                <w:color w:val="000000"/>
                <w:sz w:val="20"/>
                <w:szCs w:val="20"/>
                <w:lang w:eastAsia="en-AU"/>
              </w:rPr>
            </w:pPr>
            <w:r w:rsidRPr="001B1D98">
              <w:rPr>
                <w:rFonts w:eastAsia="Times New Roman" w:cs="Times New Roman"/>
                <w:color w:val="000000"/>
                <w:sz w:val="20"/>
                <w:szCs w:val="20"/>
                <w:lang w:eastAsia="en-AU"/>
              </w:rPr>
              <w:t>2022</w:t>
            </w:r>
            <w:r w:rsidRPr="001B1D98">
              <w:rPr>
                <w:rFonts w:ascii="Symbol" w:eastAsia="Symbol" w:hAnsi="Symbol" w:cs="Symbol"/>
                <w:color w:val="000000"/>
                <w:sz w:val="20"/>
                <w:szCs w:val="20"/>
                <w:lang w:eastAsia="en-AU"/>
              </w:rPr>
              <w:t>-</w:t>
            </w:r>
            <w:r w:rsidRPr="001B1D98">
              <w:rPr>
                <w:rFonts w:eastAsia="Times New Roman" w:cs="Times New Roman"/>
                <w:color w:val="000000"/>
                <w:sz w:val="20"/>
                <w:szCs w:val="20"/>
                <w:lang w:eastAsia="en-AU"/>
              </w:rPr>
              <w:t>23</w:t>
            </w:r>
          </w:p>
        </w:tc>
        <w:tc>
          <w:tcPr>
            <w:tcW w:w="2979" w:type="dxa"/>
            <w:tcBorders>
              <w:top w:val="nil"/>
              <w:left w:val="nil"/>
              <w:bottom w:val="single" w:sz="4" w:space="0" w:color="auto"/>
              <w:right w:val="single" w:sz="4" w:space="0" w:color="auto"/>
            </w:tcBorders>
            <w:noWrap/>
            <w:vAlign w:val="bottom"/>
            <w:hideMark/>
          </w:tcPr>
          <w:p w14:paraId="05DBB6E3" w14:textId="77777777" w:rsidR="001137B9" w:rsidRPr="001B1D98" w:rsidRDefault="001137B9" w:rsidP="001B1D98">
            <w:pPr>
              <w:spacing w:after="0" w:line="240" w:lineRule="auto"/>
              <w:jc w:val="center"/>
              <w:rPr>
                <w:rFonts w:eastAsia="Times New Roman" w:cs="Times New Roman"/>
                <w:color w:val="000000"/>
                <w:sz w:val="20"/>
                <w:szCs w:val="20"/>
                <w:lang w:eastAsia="en-AU"/>
              </w:rPr>
            </w:pPr>
            <w:r w:rsidRPr="001B1D98">
              <w:rPr>
                <w:rFonts w:eastAsia="Times New Roman" w:cs="Times New Roman"/>
                <w:color w:val="000000"/>
                <w:sz w:val="20"/>
                <w:szCs w:val="20"/>
                <w:lang w:eastAsia="en-AU"/>
              </w:rPr>
              <w:t>33</w:t>
            </w:r>
          </w:p>
          <w:p w14:paraId="5903DDBB" w14:textId="77777777" w:rsidR="001137B9" w:rsidRPr="001B1D98" w:rsidRDefault="001137B9" w:rsidP="001B1D98">
            <w:pPr>
              <w:spacing w:after="0" w:line="240" w:lineRule="auto"/>
              <w:rPr>
                <w:rFonts w:eastAsia="Times New Roman" w:cs="Times New Roman"/>
                <w:sz w:val="20"/>
                <w:szCs w:val="20"/>
                <w:lang w:eastAsia="en-AU"/>
              </w:rPr>
            </w:pPr>
          </w:p>
        </w:tc>
      </w:tr>
      <w:tr w:rsidR="001137B9" w:rsidRPr="006762E8" w14:paraId="2DA9CCD8" w14:textId="77777777" w:rsidTr="007A2D4E">
        <w:trPr>
          <w:trHeight w:val="313"/>
        </w:trPr>
        <w:tc>
          <w:tcPr>
            <w:tcW w:w="2978" w:type="dxa"/>
            <w:tcBorders>
              <w:top w:val="nil"/>
              <w:left w:val="single" w:sz="4" w:space="0" w:color="auto"/>
              <w:bottom w:val="single" w:sz="4" w:space="0" w:color="auto"/>
              <w:right w:val="single" w:sz="4" w:space="0" w:color="auto"/>
            </w:tcBorders>
            <w:noWrap/>
            <w:vAlign w:val="bottom"/>
            <w:hideMark/>
          </w:tcPr>
          <w:p w14:paraId="2F3478BA" w14:textId="77777777" w:rsidR="001137B9" w:rsidRPr="001B1D98" w:rsidRDefault="001137B9" w:rsidP="001B1D98">
            <w:pPr>
              <w:spacing w:after="0" w:line="240" w:lineRule="auto"/>
              <w:rPr>
                <w:rFonts w:eastAsia="Times New Roman" w:cs="Times New Roman"/>
                <w:color w:val="000000"/>
                <w:sz w:val="20"/>
                <w:szCs w:val="20"/>
                <w:lang w:eastAsia="en-AU"/>
              </w:rPr>
            </w:pPr>
            <w:r w:rsidRPr="001B1D98">
              <w:rPr>
                <w:rFonts w:eastAsia="Times New Roman" w:cs="Times New Roman"/>
                <w:color w:val="000000"/>
                <w:sz w:val="20"/>
                <w:szCs w:val="20"/>
                <w:lang w:eastAsia="en-AU"/>
              </w:rPr>
              <w:t>FWC</w:t>
            </w:r>
          </w:p>
        </w:tc>
        <w:tc>
          <w:tcPr>
            <w:tcW w:w="2979" w:type="dxa"/>
            <w:tcBorders>
              <w:top w:val="nil"/>
              <w:left w:val="nil"/>
              <w:bottom w:val="single" w:sz="4" w:space="0" w:color="auto"/>
              <w:right w:val="single" w:sz="4" w:space="0" w:color="auto"/>
            </w:tcBorders>
            <w:noWrap/>
            <w:vAlign w:val="bottom"/>
            <w:hideMark/>
          </w:tcPr>
          <w:p w14:paraId="0B084666" w14:textId="6FDDD685" w:rsidR="001137B9" w:rsidRPr="001B1D98" w:rsidRDefault="001137B9" w:rsidP="007A2D4E">
            <w:pPr>
              <w:spacing w:after="0" w:line="240" w:lineRule="auto"/>
              <w:jc w:val="center"/>
              <w:rPr>
                <w:rFonts w:eastAsia="Times New Roman" w:cs="Times New Roman"/>
                <w:color w:val="000000"/>
                <w:sz w:val="20"/>
                <w:szCs w:val="20"/>
                <w:lang w:eastAsia="en-AU"/>
              </w:rPr>
            </w:pPr>
            <w:r w:rsidRPr="001B1D98">
              <w:rPr>
                <w:rFonts w:eastAsia="Times New Roman" w:cs="Times New Roman"/>
                <w:color w:val="000000"/>
                <w:sz w:val="20"/>
                <w:szCs w:val="20"/>
                <w:lang w:eastAsia="en-AU"/>
              </w:rPr>
              <w:t>2023</w:t>
            </w:r>
            <w:r w:rsidRPr="001B1D98">
              <w:rPr>
                <w:rFonts w:ascii="Symbol" w:eastAsia="Symbol" w:hAnsi="Symbol" w:cs="Symbol"/>
                <w:color w:val="000000"/>
                <w:sz w:val="20"/>
                <w:szCs w:val="20"/>
                <w:lang w:eastAsia="en-AU"/>
              </w:rPr>
              <w:t>-</w:t>
            </w:r>
            <w:r w:rsidRPr="001B1D98">
              <w:rPr>
                <w:rFonts w:eastAsia="Times New Roman" w:cs="Times New Roman"/>
                <w:color w:val="000000"/>
                <w:sz w:val="20"/>
                <w:szCs w:val="20"/>
                <w:lang w:eastAsia="en-AU"/>
              </w:rPr>
              <w:t>24</w:t>
            </w:r>
          </w:p>
        </w:tc>
        <w:tc>
          <w:tcPr>
            <w:tcW w:w="2979" w:type="dxa"/>
            <w:tcBorders>
              <w:top w:val="nil"/>
              <w:left w:val="nil"/>
              <w:bottom w:val="single" w:sz="4" w:space="0" w:color="auto"/>
              <w:right w:val="single" w:sz="4" w:space="0" w:color="auto"/>
            </w:tcBorders>
            <w:noWrap/>
            <w:vAlign w:val="bottom"/>
            <w:hideMark/>
          </w:tcPr>
          <w:p w14:paraId="57816DD3" w14:textId="77777777" w:rsidR="001137B9" w:rsidRPr="001B1D98" w:rsidRDefault="001137B9" w:rsidP="001B1D98">
            <w:pPr>
              <w:spacing w:after="0" w:line="240" w:lineRule="auto"/>
              <w:jc w:val="center"/>
              <w:rPr>
                <w:rFonts w:eastAsia="Times New Roman" w:cs="Times New Roman"/>
                <w:color w:val="000000"/>
                <w:sz w:val="20"/>
                <w:szCs w:val="20"/>
                <w:lang w:eastAsia="en-AU"/>
              </w:rPr>
            </w:pPr>
            <w:r w:rsidRPr="001B1D98">
              <w:rPr>
                <w:rFonts w:eastAsia="Times New Roman" w:cs="Times New Roman"/>
                <w:color w:val="000000"/>
                <w:sz w:val="20"/>
                <w:szCs w:val="20"/>
                <w:lang w:eastAsia="en-AU"/>
              </w:rPr>
              <w:t>21</w:t>
            </w:r>
          </w:p>
          <w:p w14:paraId="1B5F2F64" w14:textId="77777777" w:rsidR="001137B9" w:rsidRPr="001B1D98" w:rsidRDefault="001137B9" w:rsidP="001B1D98">
            <w:pPr>
              <w:spacing w:after="0" w:line="240" w:lineRule="auto"/>
              <w:rPr>
                <w:rFonts w:eastAsia="Times New Roman" w:cs="Times New Roman"/>
                <w:sz w:val="20"/>
                <w:szCs w:val="20"/>
                <w:lang w:eastAsia="en-AU"/>
              </w:rPr>
            </w:pPr>
          </w:p>
        </w:tc>
      </w:tr>
    </w:tbl>
    <w:p w14:paraId="6624592D" w14:textId="77777777" w:rsidR="001137B9" w:rsidRPr="00167CB8" w:rsidRDefault="001137B9" w:rsidP="001137B9">
      <w:pPr>
        <w:pStyle w:val="Source"/>
      </w:pPr>
      <w:bookmarkStart w:id="142" w:name="_Toc187421588"/>
      <w:r w:rsidRPr="00167CB8">
        <w:rPr>
          <w:b/>
          <w:bCs/>
        </w:rPr>
        <w:t>Note:</w:t>
      </w:r>
      <w:r w:rsidRPr="00167CB8">
        <w:t xml:space="preserve"> ROC: Registered Organisations Commission; FWC: Fair Work Commission.</w:t>
      </w:r>
    </w:p>
    <w:p w14:paraId="1B7E03F8" w14:textId="465EF864" w:rsidR="001137B9" w:rsidRPr="00167CB8" w:rsidRDefault="001137B9" w:rsidP="001137B9">
      <w:pPr>
        <w:pStyle w:val="Source"/>
      </w:pPr>
      <w:r w:rsidRPr="00167CB8">
        <w:rPr>
          <w:b/>
          <w:bCs/>
        </w:rPr>
        <w:t>Source:</w:t>
      </w:r>
      <w:r w:rsidRPr="00167CB8">
        <w:t xml:space="preserve"> Annual reports of the Fair Work Ombudsman and Registered Organisations Commission Entity 2018</w:t>
      </w:r>
      <w:r w:rsidRPr="00167CB8">
        <w:rPr>
          <w:rFonts w:ascii="Symbol" w:eastAsia="Symbol" w:hAnsi="Symbol" w:cs="Symbol"/>
        </w:rPr>
        <w:t>-</w:t>
      </w:r>
      <w:r w:rsidRPr="00167CB8">
        <w:t>19 to 2021</w:t>
      </w:r>
      <w:r w:rsidRPr="00167CB8">
        <w:rPr>
          <w:rFonts w:ascii="Symbol" w:eastAsia="Symbol" w:hAnsi="Symbol" w:cs="Symbol"/>
        </w:rPr>
        <w:t>-</w:t>
      </w:r>
      <w:r w:rsidRPr="00167CB8">
        <w:t>22 and annual reports of the FWC, 2022</w:t>
      </w:r>
      <w:r w:rsidRPr="00167CB8">
        <w:rPr>
          <w:rFonts w:ascii="Symbol" w:eastAsia="Symbol" w:hAnsi="Symbol" w:cs="Symbol"/>
        </w:rPr>
        <w:t>-</w:t>
      </w:r>
      <w:r w:rsidRPr="00167CB8">
        <w:t>23 to 2023</w:t>
      </w:r>
      <w:r w:rsidRPr="00167CB8">
        <w:rPr>
          <w:rFonts w:ascii="Symbol" w:eastAsia="Symbol" w:hAnsi="Symbol" w:cs="Symbol"/>
        </w:rPr>
        <w:t>-</w:t>
      </w:r>
      <w:r w:rsidRPr="00167CB8">
        <w:t>24.</w:t>
      </w:r>
    </w:p>
    <w:p w14:paraId="4C6AF4CB" w14:textId="77777777" w:rsidR="001137B9" w:rsidRDefault="001137B9" w:rsidP="001137B9">
      <w:r w:rsidRPr="396ABCA7">
        <w:t xml:space="preserve">The FWC website maintains a list of all concluded and current formal inquiries and investigations since 2011. The list includes those commenced by the FWC prior to the ROC’s establishment, transferred to the ROC, commenced while the ROC was in operation, and transferred back to the FWC; and any that have been commenced since the ROC was abolished. </w:t>
      </w:r>
      <w:r>
        <w:t>According to this source:</w:t>
      </w:r>
    </w:p>
    <w:p w14:paraId="3E3DF653" w14:textId="5EF369CE" w:rsidR="001137B9" w:rsidRPr="00173B16" w:rsidRDefault="001137B9" w:rsidP="00AE1E64">
      <w:pPr>
        <w:pStyle w:val="ListBullet"/>
        <w:numPr>
          <w:ilvl w:val="0"/>
          <w:numId w:val="1"/>
        </w:numPr>
        <w:ind w:left="284" w:hanging="284"/>
      </w:pPr>
      <w:r w:rsidRPr="00173B16">
        <w:t>The ROC commenced 16 inquiries or investigations related to conduct in employer associations and 20 into unions (or a reporting unit of a union).</w:t>
      </w:r>
      <w:r>
        <w:rPr>
          <w:rStyle w:val="FootnoteReference"/>
        </w:rPr>
        <w:footnoteReference w:id="191"/>
      </w:r>
      <w:r w:rsidRPr="00173B16">
        <w:t xml:space="preserve"> By way of comparison, the FWC, while regulator (prior to 1 May 2017 and between 6 March 2023 and 2</w:t>
      </w:r>
      <w:r>
        <w:t>1</w:t>
      </w:r>
      <w:r w:rsidRPr="00173B16">
        <w:t xml:space="preserve"> February 2025 combined), had commenced inquiries or investigations into </w:t>
      </w:r>
      <w:r w:rsidR="00097209">
        <w:t>four</w:t>
      </w:r>
      <w:r w:rsidRPr="00173B16">
        <w:t xml:space="preserve"> employer associations and 37 into unions (or a reporting unit of a union).</w:t>
      </w:r>
      <w:r>
        <w:rPr>
          <w:rStyle w:val="FootnoteReference"/>
        </w:rPr>
        <w:footnoteReference w:id="192"/>
      </w:r>
    </w:p>
    <w:p w14:paraId="6A1F9B2D" w14:textId="004771E7" w:rsidR="001137B9" w:rsidRPr="00173B16" w:rsidRDefault="001137B9" w:rsidP="00AE1E64">
      <w:pPr>
        <w:pStyle w:val="ListBullet"/>
        <w:numPr>
          <w:ilvl w:val="0"/>
          <w:numId w:val="1"/>
        </w:numPr>
        <w:ind w:left="284" w:hanging="284"/>
      </w:pPr>
      <w:r w:rsidRPr="00173B16">
        <w:t>As at 21 February 2025 the General Manager had commenced two court proceedings since the abolition of the ROC.</w:t>
      </w:r>
      <w:r w:rsidRPr="009415EB">
        <w:rPr>
          <w:vertAlign w:val="superscript"/>
        </w:rPr>
        <w:footnoteReference w:id="193"/>
      </w:r>
      <w:r w:rsidRPr="00173B16">
        <w:t xml:space="preserve"> By way of a general comparison, the ROC only commenced </w:t>
      </w:r>
      <w:r w:rsidR="00097209">
        <w:t>five</w:t>
      </w:r>
      <w:r w:rsidRPr="00173B16">
        <w:t xml:space="preserve"> civil penalty court proceedings during its entire period of operation (from 1 May 2017 to 6 March 2023).</w:t>
      </w:r>
      <w:r>
        <w:rPr>
          <w:rStyle w:val="FootnoteReference"/>
        </w:rPr>
        <w:footnoteReference w:id="194"/>
      </w:r>
      <w:r w:rsidRPr="00173B16">
        <w:t xml:space="preserve"> </w:t>
      </w:r>
      <w:r w:rsidRPr="001B1D98">
        <w:t xml:space="preserve">Table </w:t>
      </w:r>
      <w:r w:rsidR="00916BEA" w:rsidRPr="001B1D98">
        <w:t>7</w:t>
      </w:r>
      <w:r w:rsidR="00916BEA">
        <w:t>4</w:t>
      </w:r>
      <w:r w:rsidR="00916BEA" w:rsidRPr="00C22AA4">
        <w:t xml:space="preserve"> </w:t>
      </w:r>
      <w:r w:rsidRPr="00C22AA4">
        <w:t>in Appendix 5</w:t>
      </w:r>
      <w:r w:rsidRPr="006762E8">
        <w:t xml:space="preserve"> shows the</w:t>
      </w:r>
      <w:r w:rsidRPr="00173B16">
        <w:t xml:space="preserve"> Federal Court proceedings commenced by the regulator.</w:t>
      </w:r>
    </w:p>
    <w:p w14:paraId="5991030F" w14:textId="78CE1286" w:rsidR="001137B9" w:rsidRPr="00167CB8" w:rsidRDefault="001137B9" w:rsidP="001137B9">
      <w:r w:rsidRPr="396ABCA7">
        <w:t>Two court proceedings had been commenced by the ROC and transferred to the General Manager as the applicant on 6 March 2023.</w:t>
      </w:r>
    </w:p>
    <w:p w14:paraId="2B2F3E00" w14:textId="60C83F13" w:rsidR="001137B9" w:rsidRPr="00167CB8" w:rsidRDefault="001137B9" w:rsidP="001137B9">
      <w:r>
        <w:t>First</w:t>
      </w:r>
      <w:r w:rsidRPr="00167CB8">
        <w:t xml:space="preserve">, </w:t>
      </w:r>
      <w:r w:rsidRPr="00167CB8">
        <w:rPr>
          <w:i/>
          <w:iCs/>
        </w:rPr>
        <w:t>Fair Work Commission v Australian Workers</w:t>
      </w:r>
      <w:r w:rsidR="00097209">
        <w:rPr>
          <w:i/>
          <w:iCs/>
        </w:rPr>
        <w:t>’</w:t>
      </w:r>
      <w:r w:rsidRPr="00167CB8">
        <w:rPr>
          <w:i/>
          <w:iCs/>
        </w:rPr>
        <w:t xml:space="preserve"> </w:t>
      </w:r>
      <w:r w:rsidRPr="00A249B0">
        <w:rPr>
          <w:i/>
          <w:iCs/>
        </w:rPr>
        <w:t>Union</w:t>
      </w:r>
      <w:r w:rsidR="00A249B0" w:rsidRPr="001B1D98">
        <w:rPr>
          <w:rStyle w:val="FootnoteReference"/>
        </w:rPr>
        <w:footnoteReference w:id="195"/>
      </w:r>
      <w:r w:rsidRPr="00A249B0">
        <w:t xml:space="preserve"> concluded</w:t>
      </w:r>
      <w:r w:rsidRPr="00167CB8">
        <w:t xml:space="preserve"> (on 21 December 2023) with an agreed penalty of $290,000</w:t>
      </w:r>
      <w:r>
        <w:t>,</w:t>
      </w:r>
      <w:r w:rsidRPr="00167CB8">
        <w:t xml:space="preserve"> which was imposed on the Australian Workers’ Union (AWU), with the AWU expressing contrition and agreeing to publish a joint statement </w:t>
      </w:r>
      <w:r w:rsidRPr="00167CB8">
        <w:lastRenderedPageBreak/>
        <w:t>acknowledging the contraventions and the importance of compliance.</w:t>
      </w:r>
      <w:r w:rsidRPr="00167CB8">
        <w:rPr>
          <w:rStyle w:val="FootnoteReference"/>
        </w:rPr>
        <w:footnoteReference w:id="196"/>
      </w:r>
      <w:r w:rsidRPr="00167CB8">
        <w:t xml:space="preserve"> The AWU admitted to 27,140 contraventions in relation to its keeping of its register of members, reporting of member numbers and failure to remove members from its register of members.</w:t>
      </w:r>
      <w:r w:rsidRPr="00167CB8">
        <w:rPr>
          <w:rStyle w:val="FootnoteReference"/>
        </w:rPr>
        <w:footnoteReference w:id="197"/>
      </w:r>
    </w:p>
    <w:p w14:paraId="4E6A60E3" w14:textId="5B847C20" w:rsidR="001137B9" w:rsidRPr="00167CB8" w:rsidRDefault="001137B9" w:rsidP="001137B9">
      <w:r>
        <w:t>Second,</w:t>
      </w:r>
      <w:r w:rsidRPr="396ABCA7">
        <w:t xml:space="preserve"> </w:t>
      </w:r>
      <w:r w:rsidR="00A249B0">
        <w:t xml:space="preserve">in </w:t>
      </w:r>
      <w:r w:rsidRPr="004B2B09">
        <w:rPr>
          <w:i/>
          <w:iCs/>
        </w:rPr>
        <w:t>General Manager of the</w:t>
      </w:r>
      <w:r w:rsidRPr="396ABCA7">
        <w:t xml:space="preserve"> </w:t>
      </w:r>
      <w:r w:rsidRPr="396ABCA7">
        <w:rPr>
          <w:i/>
          <w:iCs/>
        </w:rPr>
        <w:t>Fair Work Commission v Smyth</w:t>
      </w:r>
      <w:r w:rsidRPr="396ABCA7">
        <w:t>,</w:t>
      </w:r>
      <w:r w:rsidRPr="396ABCA7">
        <w:rPr>
          <w:rStyle w:val="FootnoteReference"/>
        </w:rPr>
        <w:footnoteReference w:id="198"/>
      </w:r>
      <w:r w:rsidRPr="396ABCA7">
        <w:t xml:space="preserve"> the application was dismissed by the Court (on 28 March 2024) in relation to</w:t>
      </w:r>
      <w:r w:rsidRPr="396ABCA7" w:rsidDel="00767953">
        <w:t xml:space="preserve"> </w:t>
      </w:r>
      <w:r w:rsidRPr="396ABCA7">
        <w:t>a technical point on the timeframe of the conduct having elapsed under s 320 of the RO Act.</w:t>
      </w:r>
      <w:r w:rsidRPr="396ABCA7">
        <w:rPr>
          <w:rStyle w:val="FootnoteReference"/>
        </w:rPr>
        <w:footnoteReference w:id="199"/>
      </w:r>
    </w:p>
    <w:p w14:paraId="6213CAF7" w14:textId="222B1C5F" w:rsidR="001137B9" w:rsidRPr="00167CB8" w:rsidRDefault="001137B9" w:rsidP="001137B9">
      <w:r w:rsidRPr="396ABCA7">
        <w:t>One investigation transferred from the ROC to the General Manager led to the General Manager determining to commence Federal Court proceedings on 23 August 2024.</w:t>
      </w:r>
      <w:r w:rsidRPr="396ABCA7">
        <w:rPr>
          <w:rStyle w:val="FootnoteReference"/>
        </w:rPr>
        <w:footnoteReference w:id="200"/>
      </w:r>
    </w:p>
    <w:p w14:paraId="2C5E5227" w14:textId="77777777" w:rsidR="001137B9" w:rsidRPr="00167CB8" w:rsidRDefault="001137B9" w:rsidP="001137B9">
      <w:r w:rsidRPr="396ABCA7">
        <w:t>The General Manager has also taken an active role as the regulator where appropriate. In response to the widespread media reporting of misconduct at the Construction, Forestry and Maritime Employees Union (CFMEU) in 2024 (which has been collectively referred to as the ‘Building Bad’ series of media reporting),</w:t>
      </w:r>
      <w:r w:rsidRPr="396ABCA7">
        <w:rPr>
          <w:rStyle w:val="FootnoteReference"/>
        </w:rPr>
        <w:footnoteReference w:id="201"/>
      </w:r>
      <w:r w:rsidRPr="396ABCA7">
        <w:t xml:space="preserve"> the General Manager sought to place the CFMEU Construction and General Division in administration to address mounting compliance concerns connected with the CFMEU.</w:t>
      </w:r>
      <w:r>
        <w:t xml:space="preserve"> </w:t>
      </w:r>
      <w:r w:rsidRPr="396ABCA7">
        <w:t>The FWC’s media release of 2 August 2024 stated:</w:t>
      </w:r>
      <w:r w:rsidRPr="396ABCA7">
        <w:rPr>
          <w:rStyle w:val="FootnoteReference"/>
        </w:rPr>
        <w:footnoteReference w:id="202"/>
      </w:r>
    </w:p>
    <w:p w14:paraId="398275A4" w14:textId="77777777" w:rsidR="001137B9" w:rsidRPr="00167CB8" w:rsidRDefault="001137B9" w:rsidP="00D55A73">
      <w:pPr>
        <w:pStyle w:val="Quote"/>
      </w:pPr>
      <w:r w:rsidRPr="00167CB8">
        <w:t>The Fair Work Commission’s General Manager, Murray Furlong, has today initiated proceedings in the Federal Court under s.323 of the Fair Work (Registered Organisations) Act 2009 (RO Act) to appoint an independent administrator for the Construction and General Division of the Construction, Forestry and Maritime Employees Union (CFMEU).</w:t>
      </w:r>
    </w:p>
    <w:p w14:paraId="5CE7D564" w14:textId="77777777" w:rsidR="001137B9" w:rsidRPr="00167CB8" w:rsidRDefault="001137B9" w:rsidP="00D55A73">
      <w:pPr>
        <w:pStyle w:val="Quote"/>
      </w:pPr>
      <w:r w:rsidRPr="00167CB8">
        <w:t>…</w:t>
      </w:r>
    </w:p>
    <w:p w14:paraId="44F23BBD" w14:textId="77777777" w:rsidR="001137B9" w:rsidRPr="00167CB8" w:rsidRDefault="001137B9" w:rsidP="00D55A73">
      <w:pPr>
        <w:pStyle w:val="Quote"/>
      </w:pPr>
      <w:r w:rsidRPr="00167CB8">
        <w:t>As part of the commitment to being an open and transparent regulator, the Fair Work Commission’s General Manager is establishing a Building and Construction Industry Committee. The committee will report to the General Manager. The Administrator will also be required to meet with the General Manager regularly throughout the administration to report on the scheme’s progress.</w:t>
      </w:r>
    </w:p>
    <w:p w14:paraId="1BEA9668" w14:textId="77777777" w:rsidR="001137B9" w:rsidRPr="00167CB8" w:rsidRDefault="001137B9" w:rsidP="001137B9">
      <w:r w:rsidRPr="396ABCA7">
        <w:t>Ultimately, parliament legislated a process to facilitate the appointment of an administrator of the CFMEU Construction and General Division, and the General Manager’s court proceedings were withdrawn on 4 September 2024.</w:t>
      </w:r>
      <w:r w:rsidRPr="396ABCA7">
        <w:rPr>
          <w:rStyle w:val="FootnoteReference"/>
        </w:rPr>
        <w:footnoteReference w:id="203"/>
      </w:r>
      <w:r w:rsidRPr="396ABCA7">
        <w:t xml:space="preserve"> The administrator’s role was to ensure that this division and its branches </w:t>
      </w:r>
      <w:r w:rsidRPr="00A249B0">
        <w:t>operate</w:t>
      </w:r>
      <w:r w:rsidRPr="396ABCA7">
        <w:t xml:space="preserve"> lawfully and effectively in the members’ interests, and the </w:t>
      </w:r>
      <w:r w:rsidRPr="00A249B0">
        <w:t>administrator may refer complaints to a law enforcement agency or regulator.</w:t>
      </w:r>
      <w:r w:rsidRPr="00A249B0">
        <w:rPr>
          <w:rStyle w:val="FootnoteReference"/>
        </w:rPr>
        <w:footnoteReference w:id="204"/>
      </w:r>
      <w:r w:rsidRPr="00A249B0">
        <w:t xml:space="preserve"> In a further</w:t>
      </w:r>
      <w:r w:rsidRPr="396ABCA7">
        <w:t xml:space="preserve"> media release of 23 August 2024 the General Manager stated:</w:t>
      </w:r>
      <w:r w:rsidRPr="396ABCA7">
        <w:rPr>
          <w:rStyle w:val="FootnoteReference"/>
        </w:rPr>
        <w:footnoteReference w:id="205"/>
      </w:r>
    </w:p>
    <w:p w14:paraId="551CEF11" w14:textId="77777777" w:rsidR="0011475D" w:rsidRDefault="001137B9" w:rsidP="00D55A73">
      <w:pPr>
        <w:pStyle w:val="Quote"/>
      </w:pPr>
      <w:r w:rsidRPr="00167CB8">
        <w:lastRenderedPageBreak/>
        <w:t>in accordance with the provisions of the Fair Work (Registered Organisations) Amendment (Administration) Act 2024, the Construction and General Division of the Construction, Forestry and Maritime Employees Union (CFMEU) has been placed under administration for up to five years.</w:t>
      </w:r>
    </w:p>
    <w:p w14:paraId="2FA203CF" w14:textId="17B35051" w:rsidR="001137B9" w:rsidRPr="00167CB8" w:rsidRDefault="001137B9" w:rsidP="00D55A73">
      <w:pPr>
        <w:pStyle w:val="Quote"/>
      </w:pPr>
      <w:r w:rsidRPr="00167CB8">
        <w:t>…</w:t>
      </w:r>
    </w:p>
    <w:p w14:paraId="7578F74F" w14:textId="77777777" w:rsidR="001137B9" w:rsidRPr="00167CB8" w:rsidRDefault="001137B9" w:rsidP="00D55A73">
      <w:pPr>
        <w:pStyle w:val="Quote"/>
      </w:pPr>
      <w:r w:rsidRPr="00167CB8">
        <w:t>Today I have signed an instrument to appoint Mr Mark Irving KC as Administrator.</w:t>
      </w:r>
    </w:p>
    <w:p w14:paraId="3CB48D1B" w14:textId="77777777" w:rsidR="001137B9" w:rsidRPr="001B1D98" w:rsidRDefault="001137B9" w:rsidP="00EC3517">
      <w:pPr>
        <w:pStyle w:val="Heading5"/>
      </w:pPr>
      <w:bookmarkStart w:id="143" w:name="_Toc187946391"/>
      <w:r w:rsidRPr="001B1D98">
        <w:t>6.2.2 Qualitative evidence</w:t>
      </w:r>
      <w:bookmarkEnd w:id="142"/>
      <w:bookmarkEnd w:id="143"/>
    </w:p>
    <w:p w14:paraId="759624F0" w14:textId="019B7AB5" w:rsidR="001137B9" w:rsidRPr="00167CB8" w:rsidRDefault="001137B9" w:rsidP="001137B9">
      <w:r w:rsidRPr="396ABCA7">
        <w:t xml:space="preserve">The Review Panel has not identified </w:t>
      </w:r>
      <w:r>
        <w:t>any</w:t>
      </w:r>
      <w:r w:rsidRPr="396ABCA7">
        <w:t xml:space="preserve"> major cases from court</w:t>
      </w:r>
      <w:r>
        <w:t>s</w:t>
      </w:r>
      <w:r w:rsidRPr="396ABCA7">
        <w:t xml:space="preserve"> or tribunal</w:t>
      </w:r>
      <w:r>
        <w:t>s</w:t>
      </w:r>
      <w:r w:rsidRPr="396ABCA7">
        <w:t xml:space="preserve"> that </w:t>
      </w:r>
      <w:r>
        <w:t>have impacted the operation of</w:t>
      </w:r>
      <w:r w:rsidRPr="396ABCA7">
        <w:t xml:space="preserve"> the abolition of the ROC and </w:t>
      </w:r>
      <w:r>
        <w:t xml:space="preserve">the </w:t>
      </w:r>
      <w:r w:rsidRPr="396ABCA7">
        <w:t xml:space="preserve">re-establishment of the General Manager as regulator. Also, there is no qualitative evidence to indicate that the </w:t>
      </w:r>
      <w:r>
        <w:t xml:space="preserve">operation of the </w:t>
      </w:r>
      <w:r w:rsidRPr="396ABCA7">
        <w:t>Secure Jobs, Better Pay Act amendments have led to unintended consequences that would require redress by way of findings and further recommendations in this chapter.</w:t>
      </w:r>
    </w:p>
    <w:p w14:paraId="1C140D1E" w14:textId="5960AC60" w:rsidR="001137B9" w:rsidRPr="00167CB8" w:rsidRDefault="001137B9" w:rsidP="001137B9">
      <w:r w:rsidRPr="00167CB8">
        <w:t>However, one way the Review Panel consider</w:t>
      </w:r>
      <w:r>
        <w:t>ed</w:t>
      </w:r>
      <w:r w:rsidRPr="00167CB8">
        <w:t xml:space="preserve"> the operation of amendments </w:t>
      </w:r>
      <w:r>
        <w:t>wa</w:t>
      </w:r>
      <w:r w:rsidRPr="00167CB8">
        <w:t>s to look at the actions the General Manager has taken since the abolition of the ROC and the approach taken to regulate registered organisations.</w:t>
      </w:r>
    </w:p>
    <w:p w14:paraId="4847EA2D" w14:textId="24029B3B" w:rsidR="001137B9" w:rsidRPr="00167CB8" w:rsidRDefault="001137B9" w:rsidP="001137B9">
      <w:r w:rsidRPr="396ABCA7">
        <w:t>While the regulatory statements presented by the ROC when it was in operation and the current approach by the General Manager demonstrate a generally similar approach to regulatory compliance, there are some observable distinguishing factors. These can be attributed to the approach taken by the agency head.</w:t>
      </w:r>
    </w:p>
    <w:p w14:paraId="09EF959F" w14:textId="5639C410" w:rsidR="001137B9" w:rsidRPr="00167CB8" w:rsidRDefault="001137B9" w:rsidP="001137B9">
      <w:r w:rsidRPr="396ABCA7">
        <w:t xml:space="preserve">On 22 May </w:t>
      </w:r>
      <w:r w:rsidRPr="00E011BF">
        <w:t>2024 the</w:t>
      </w:r>
      <w:r w:rsidRPr="396ABCA7">
        <w:t xml:space="preserve"> General Manager published a new Compliance and Enforcement Policy (Compliance Policy) which emphasised cooperation with registered organisations, stating:</w:t>
      </w:r>
      <w:r w:rsidRPr="396ABCA7">
        <w:rPr>
          <w:vertAlign w:val="superscript"/>
        </w:rPr>
        <w:footnoteReference w:id="206"/>
      </w:r>
    </w:p>
    <w:p w14:paraId="3D527954" w14:textId="60610498" w:rsidR="0011475D" w:rsidRDefault="001137B9" w:rsidP="008B5ADC">
      <w:pPr>
        <w:pStyle w:val="Quote"/>
      </w:pPr>
      <w:r w:rsidRPr="00167CB8">
        <w:t>There are common interests shared by the registered organisations and the General Manager to:</w:t>
      </w:r>
    </w:p>
    <w:p w14:paraId="08AF7583" w14:textId="77777777" w:rsidR="0011475D" w:rsidRDefault="001137B9" w:rsidP="00D55A73">
      <w:pPr>
        <w:pStyle w:val="Quote"/>
        <w:numPr>
          <w:ilvl w:val="0"/>
          <w:numId w:val="23"/>
        </w:numPr>
      </w:pPr>
      <w:r w:rsidRPr="00167CB8">
        <w:t>enhance the democratic functioning of registered organisations</w:t>
      </w:r>
    </w:p>
    <w:p w14:paraId="691A15A3" w14:textId="77777777" w:rsidR="0011475D" w:rsidRDefault="001137B9" w:rsidP="00D55A73">
      <w:pPr>
        <w:pStyle w:val="Quote"/>
        <w:numPr>
          <w:ilvl w:val="0"/>
          <w:numId w:val="23"/>
        </w:numPr>
      </w:pPr>
      <w:r w:rsidRPr="00167CB8">
        <w:t>empower registered organisations to achieve voluntary compliance effectively and efficiently</w:t>
      </w:r>
    </w:p>
    <w:p w14:paraId="76E7BBA9" w14:textId="77777777" w:rsidR="0011475D" w:rsidRDefault="001137B9" w:rsidP="00D55A73">
      <w:pPr>
        <w:pStyle w:val="Quote"/>
        <w:numPr>
          <w:ilvl w:val="0"/>
          <w:numId w:val="23"/>
        </w:numPr>
      </w:pPr>
      <w:r w:rsidRPr="00167CB8">
        <w:t>enable high levels of ongoing compliance, transparency and accountability of registered organisations to their members</w:t>
      </w:r>
    </w:p>
    <w:p w14:paraId="1FB02A54" w14:textId="77777777" w:rsidR="0011475D" w:rsidRDefault="001137B9" w:rsidP="00D55A73">
      <w:pPr>
        <w:pStyle w:val="Quote"/>
        <w:numPr>
          <w:ilvl w:val="0"/>
          <w:numId w:val="23"/>
        </w:numPr>
      </w:pPr>
      <w:r w:rsidRPr="00167CB8">
        <w:t>minimise unnecessary red tape and barriers to achieving compliance</w:t>
      </w:r>
    </w:p>
    <w:p w14:paraId="7E9ED1FF" w14:textId="77777777" w:rsidR="0011475D" w:rsidRDefault="001137B9" w:rsidP="00D55A73">
      <w:pPr>
        <w:pStyle w:val="Quote"/>
        <w:numPr>
          <w:ilvl w:val="0"/>
          <w:numId w:val="23"/>
        </w:numPr>
      </w:pPr>
      <w:r w:rsidRPr="00167CB8">
        <w:t>actively encouraging and supporting members to confidently participate in the running of their organisations.</w:t>
      </w:r>
    </w:p>
    <w:p w14:paraId="00734EE9" w14:textId="4454A731" w:rsidR="001137B9" w:rsidRPr="00167CB8" w:rsidRDefault="001137B9" w:rsidP="00D55A73">
      <w:pPr>
        <w:pStyle w:val="Quote"/>
      </w:pPr>
      <w:r w:rsidRPr="00167CB8">
        <w:t>These common interests are at the centre of the General Manager’s approach to compliance and enforcement.</w:t>
      </w:r>
    </w:p>
    <w:p w14:paraId="62A6E4D5" w14:textId="77777777" w:rsidR="001137B9" w:rsidRPr="00167CB8" w:rsidRDefault="001137B9" w:rsidP="001137B9">
      <w:r w:rsidRPr="396ABCA7">
        <w:lastRenderedPageBreak/>
        <w:t>The Compliance Policy stated the General Manager aims to work closely with registered organisations. Under the heading ‘Cooperation and working closely together’, it outlines the General Manager’s approach:</w:t>
      </w:r>
      <w:r w:rsidRPr="396ABCA7">
        <w:rPr>
          <w:vertAlign w:val="superscript"/>
        </w:rPr>
        <w:footnoteReference w:id="207"/>
      </w:r>
    </w:p>
    <w:p w14:paraId="37A5B551" w14:textId="77777777" w:rsidR="001137B9" w:rsidRPr="00167CB8" w:rsidRDefault="001137B9" w:rsidP="00D55A73">
      <w:pPr>
        <w:pStyle w:val="Quote"/>
      </w:pPr>
      <w:r w:rsidRPr="00167CB8">
        <w:t>We will seek to foster a regulatory environment which encourages organisations to cooperate and genuinely engage in self-reporting to secure voluntary compliance, in order to experience improved outcomes that are faster and more cost effective for the organisation and their members.</w:t>
      </w:r>
    </w:p>
    <w:p w14:paraId="6B29C5FB" w14:textId="2A54CBF2" w:rsidR="001137B9" w:rsidRPr="00167CB8" w:rsidRDefault="001137B9" w:rsidP="001137B9">
      <w:r w:rsidRPr="396ABCA7">
        <w:t>The General Manager has</w:t>
      </w:r>
      <w:r>
        <w:t xml:space="preserve"> intended to undertake </w:t>
      </w:r>
      <w:r w:rsidRPr="0016602B">
        <w:t xml:space="preserve">more impactful and deeper engagement with </w:t>
      </w:r>
      <w:r w:rsidR="00097209">
        <w:t>r</w:t>
      </w:r>
      <w:r w:rsidRPr="0016602B">
        <w:t xml:space="preserve">egistered </w:t>
      </w:r>
      <w:r w:rsidR="00097209">
        <w:t>o</w:t>
      </w:r>
      <w:r w:rsidRPr="0016602B">
        <w:t>rganisations and has</w:t>
      </w:r>
      <w:r>
        <w:t xml:space="preserve"> </w:t>
      </w:r>
      <w:r w:rsidRPr="396ABCA7">
        <w:t>taken strong steps towards creating a cooperative regulatory environment</w:t>
      </w:r>
      <w:r>
        <w:t xml:space="preserve">. </w:t>
      </w:r>
      <w:r w:rsidRPr="396ABCA7">
        <w:t xml:space="preserve">In February 2023, for example, prior to the transfer of the ROC to the FWC, the General Manager established a </w:t>
      </w:r>
      <w:r>
        <w:t>Registered Organisations Commission Transition Advisory Committee (</w:t>
      </w:r>
      <w:r w:rsidRPr="396ABCA7">
        <w:t>ROCTAC</w:t>
      </w:r>
      <w:r>
        <w:t>),</w:t>
      </w:r>
      <w:r w:rsidRPr="396ABCA7">
        <w:t xml:space="preserve"> including senior representatives from the Australian Council of Trade Unions (ACTU), Australian Chamber of Commerce and Industry and Ai Group.</w:t>
      </w:r>
      <w:r w:rsidRPr="396ABCA7">
        <w:rPr>
          <w:vertAlign w:val="superscript"/>
        </w:rPr>
        <w:footnoteReference w:id="208"/>
      </w:r>
    </w:p>
    <w:p w14:paraId="3C9D1B0E" w14:textId="77777777" w:rsidR="001137B9" w:rsidRPr="00167CB8" w:rsidRDefault="001137B9" w:rsidP="001137B9">
      <w:r w:rsidRPr="00167CB8">
        <w:t>In March 2023, shortly after functions had transferred to the FWC, the General Manager commissioned former FWC tribunal members to undertake an external review of registered organisations governance and compliance (the External Review).</w:t>
      </w:r>
      <w:r w:rsidRPr="00167CB8">
        <w:rPr>
          <w:vertAlign w:val="superscript"/>
        </w:rPr>
        <w:footnoteReference w:id="209"/>
      </w:r>
      <w:r w:rsidRPr="00167CB8">
        <w:t xml:space="preserve"> The purpose of the External Review was to assist the General Manager to align their priorities, objectives and role as regulator following the abolition of the ROC.</w:t>
      </w:r>
    </w:p>
    <w:p w14:paraId="7223BF13" w14:textId="26BFE34C" w:rsidR="001137B9" w:rsidRPr="00167CB8" w:rsidRDefault="001137B9" w:rsidP="001137B9">
      <w:r w:rsidRPr="396ABCA7">
        <w:t>The External Review was presented to the General Manager on 21 August 2023 and made 25</w:t>
      </w:r>
      <w:r w:rsidR="00E011BF">
        <w:t> </w:t>
      </w:r>
      <w:r w:rsidRPr="396ABCA7">
        <w:t>recommendations, which included some recommendations for legislative amendment. The External Review stated:</w:t>
      </w:r>
      <w:r w:rsidRPr="396ABCA7">
        <w:rPr>
          <w:vertAlign w:val="superscript"/>
        </w:rPr>
        <w:footnoteReference w:id="210"/>
      </w:r>
    </w:p>
    <w:p w14:paraId="30C2212B" w14:textId="77777777" w:rsidR="0011475D" w:rsidRDefault="001137B9" w:rsidP="00D55A73">
      <w:pPr>
        <w:pStyle w:val="Quote"/>
      </w:pPr>
      <w:r w:rsidRPr="00167CB8">
        <w:t>It is important that in performing their functions under the Act, the General Manager and the staff in the ROSB [Registered Organisations Services Branch] have regard to the underlying purpose of the regulatory scheme. This is not to achieve ‘compliance for compliance’s sake’ but to protect the interests of members of registered organisations (ROs) by:</w:t>
      </w:r>
    </w:p>
    <w:p w14:paraId="0414F632" w14:textId="77777777" w:rsidR="0011475D" w:rsidRDefault="001137B9" w:rsidP="00D55A73">
      <w:pPr>
        <w:pStyle w:val="Quote"/>
        <w:numPr>
          <w:ilvl w:val="0"/>
          <w:numId w:val="19"/>
        </w:numPr>
      </w:pPr>
      <w:r w:rsidRPr="00167CB8">
        <w:t>ensuring that organisations registered are representative of and accountable to their members;</w:t>
      </w:r>
    </w:p>
    <w:p w14:paraId="284D3E54" w14:textId="77777777" w:rsidR="0011475D" w:rsidRDefault="001137B9" w:rsidP="00D55A73">
      <w:pPr>
        <w:pStyle w:val="Quote"/>
        <w:numPr>
          <w:ilvl w:val="0"/>
          <w:numId w:val="19"/>
        </w:numPr>
      </w:pPr>
      <w:r w:rsidRPr="00167CB8">
        <w:t>ensuring that organisations are run democratically;</w:t>
      </w:r>
    </w:p>
    <w:p w14:paraId="279A7046" w14:textId="77777777" w:rsidR="0011475D" w:rsidRDefault="001137B9" w:rsidP="00D55A73">
      <w:pPr>
        <w:pStyle w:val="Quote"/>
        <w:numPr>
          <w:ilvl w:val="0"/>
          <w:numId w:val="19"/>
        </w:numPr>
      </w:pPr>
      <w:r w:rsidRPr="00167CB8">
        <w:t>ensuring that organisations are able to operate effectively;</w:t>
      </w:r>
    </w:p>
    <w:p w14:paraId="1620173C" w14:textId="77777777" w:rsidR="0011475D" w:rsidRDefault="001137B9" w:rsidP="00D55A73">
      <w:pPr>
        <w:pStyle w:val="Quote"/>
        <w:numPr>
          <w:ilvl w:val="0"/>
          <w:numId w:val="19"/>
        </w:numPr>
      </w:pPr>
      <w:r w:rsidRPr="00167CB8">
        <w:t>encouraging members are able to participate in the affairs of their organisation;</w:t>
      </w:r>
    </w:p>
    <w:p w14:paraId="62CAB258" w14:textId="77777777" w:rsidR="0011475D" w:rsidRDefault="001137B9" w:rsidP="00D55A73">
      <w:pPr>
        <w:pStyle w:val="Quote"/>
        <w:numPr>
          <w:ilvl w:val="0"/>
          <w:numId w:val="19"/>
        </w:numPr>
      </w:pPr>
      <w:r w:rsidRPr="00167CB8">
        <w:lastRenderedPageBreak/>
        <w:t>ensuring that financial reporting is in a form that assists members; and</w:t>
      </w:r>
    </w:p>
    <w:p w14:paraId="558C9D9D" w14:textId="77777777" w:rsidR="0011475D" w:rsidRDefault="001137B9" w:rsidP="00D55A73">
      <w:pPr>
        <w:pStyle w:val="Quote"/>
        <w:numPr>
          <w:ilvl w:val="0"/>
          <w:numId w:val="19"/>
        </w:numPr>
      </w:pPr>
      <w:r w:rsidRPr="00167CB8">
        <w:t>organisations are managed efficiently.</w:t>
      </w:r>
    </w:p>
    <w:p w14:paraId="660EE65C" w14:textId="1528B3F6" w:rsidR="001137B9" w:rsidRPr="00167CB8" w:rsidRDefault="001137B9" w:rsidP="00D55A73">
      <w:pPr>
        <w:pStyle w:val="Quote"/>
      </w:pPr>
      <w:r w:rsidRPr="00167CB8">
        <w:t>The focus on protecting the members’ interests needs to be reflected in the Branch’s planning.</w:t>
      </w:r>
    </w:p>
    <w:p w14:paraId="64A83ADA" w14:textId="77777777" w:rsidR="001137B9" w:rsidRDefault="001137B9" w:rsidP="001137B9">
      <w:r w:rsidRPr="00167CB8">
        <w:t>The</w:t>
      </w:r>
      <w:r w:rsidRPr="00167CB8" w:rsidDel="00272772">
        <w:t xml:space="preserve"> </w:t>
      </w:r>
      <w:r w:rsidRPr="00167CB8">
        <w:t>General Manager published a response to the External Review which focused not only on the powers and functions transferred by the Secure Jobs, Better Pay Act but also the operation of the Registered Organisations Services Branch (ROSB) in the FWC, more generally.</w:t>
      </w:r>
      <w:r w:rsidRPr="00167CB8">
        <w:rPr>
          <w:vertAlign w:val="superscript"/>
        </w:rPr>
        <w:footnoteReference w:id="211"/>
      </w:r>
      <w:r w:rsidRPr="00167CB8">
        <w:t xml:space="preserve"> In it the General Manager outlined measures to be taken in response to the External Review and described ‘a permanent advisory group, the Registered Organisations Advisory Committee (ROAC) … to provide advice and assistance to the Commission’.</w:t>
      </w:r>
      <w:r w:rsidRPr="00167CB8">
        <w:rPr>
          <w:vertAlign w:val="superscript"/>
        </w:rPr>
        <w:footnoteReference w:id="212"/>
      </w:r>
    </w:p>
    <w:p w14:paraId="24E69876" w14:textId="50D5CEB9" w:rsidR="001137B9" w:rsidRDefault="001137B9" w:rsidP="001137B9">
      <w:r>
        <w:t xml:space="preserve">In response to the recommendation that the ROSB of the FWC should run regular in-person education activities </w:t>
      </w:r>
      <w:r w:rsidRPr="00E011BF">
        <w:t>and</w:t>
      </w:r>
      <w:r w:rsidR="00226FC0">
        <w:t xml:space="preserve"> in order to</w:t>
      </w:r>
      <w:r w:rsidRPr="00E011BF">
        <w:t xml:space="preserve"> deliver on</w:t>
      </w:r>
      <w:r>
        <w:t xml:space="preserve"> the FWC’s ongoing commitment to provide education and advice to registered organisations and their members, the ROSB has held five events as part of its Registered Organisation and Support Program since April 2024.</w:t>
      </w:r>
      <w:r>
        <w:rPr>
          <w:rStyle w:val="FootnoteReference"/>
        </w:rPr>
        <w:footnoteReference w:id="213"/>
      </w:r>
      <w:r>
        <w:t xml:space="preserve"> In December 2023 the FWC published its Registered Organisations Education and Engagement Strategy 2024</w:t>
      </w:r>
      <w:r w:rsidR="00097209">
        <w:rPr>
          <w:rFonts w:ascii="Symbol" w:eastAsia="Symbol" w:hAnsi="Symbol" w:cs="Symbol"/>
        </w:rPr>
        <w:t>-</w:t>
      </w:r>
      <w:r>
        <w:t>25, which outlined the General Manager’s approach to education and included a list of activities that would be delivered in the 2024 calendar year.</w:t>
      </w:r>
      <w:r>
        <w:rPr>
          <w:rStyle w:val="FootnoteReference"/>
        </w:rPr>
        <w:footnoteReference w:id="214"/>
      </w:r>
      <w:r w:rsidRPr="00057D6B">
        <w:t xml:space="preserve"> </w:t>
      </w:r>
      <w:r>
        <w:t>In December 2024 a further list of activities for the 2025 calendar year was published.</w:t>
      </w:r>
      <w:r>
        <w:rPr>
          <w:rStyle w:val="FootnoteReference"/>
        </w:rPr>
        <w:footnoteReference w:id="215"/>
      </w:r>
      <w:r>
        <w:t xml:space="preserve"> The </w:t>
      </w:r>
      <w:r w:rsidRPr="00E011BF">
        <w:t>list of activities published followed consultation</w:t>
      </w:r>
      <w:r>
        <w:t xml:space="preserve"> with registered organisations and their peak bodies.</w:t>
      </w:r>
    </w:p>
    <w:p w14:paraId="3D73A37C" w14:textId="24C904AD" w:rsidR="001137B9" w:rsidRPr="00167CB8" w:rsidRDefault="001137B9" w:rsidP="001137B9">
      <w:r>
        <w:t>The FWC also provides an outreach service called ‘Government to You’</w:t>
      </w:r>
      <w:r w:rsidR="00E011BF">
        <w:t>,</w:t>
      </w:r>
      <w:r>
        <w:t xml:space="preserve"> where registered organisations can access tailored assistance with their compliance needs.</w:t>
      </w:r>
      <w:r>
        <w:rPr>
          <w:rStyle w:val="FootnoteReference"/>
        </w:rPr>
        <w:footnoteReference w:id="216"/>
      </w:r>
      <w:r>
        <w:t xml:space="preserve"> In 2023</w:t>
      </w:r>
      <w:r w:rsidR="00097209">
        <w:rPr>
          <w:rFonts w:ascii="Symbol" w:eastAsia="Symbol" w:hAnsi="Symbol" w:cs="Symbol"/>
        </w:rPr>
        <w:t>-</w:t>
      </w:r>
      <w:r>
        <w:t xml:space="preserve">24, the FWC delivered </w:t>
      </w:r>
      <w:r w:rsidR="00AA2819">
        <w:t xml:space="preserve">seven </w:t>
      </w:r>
      <w:r>
        <w:t>‘Governance to You’ activities.</w:t>
      </w:r>
      <w:r>
        <w:rPr>
          <w:rStyle w:val="FootnoteReference"/>
        </w:rPr>
        <w:footnoteReference w:id="217"/>
      </w:r>
    </w:p>
    <w:p w14:paraId="1853A3DE" w14:textId="6478C74A" w:rsidR="001137B9" w:rsidRPr="00167CB8" w:rsidRDefault="001137B9" w:rsidP="001137B9">
      <w:r w:rsidRPr="396ABCA7">
        <w:t>The General Manager</w:t>
      </w:r>
      <w:r w:rsidRPr="396ABCA7" w:rsidDel="004B42E3">
        <w:t xml:space="preserve"> </w:t>
      </w:r>
      <w:r w:rsidRPr="396ABCA7">
        <w:t>also initiated a</w:t>
      </w:r>
      <w:r>
        <w:t xml:space="preserve"> Compliance Practitioners’ Reference Group (</w:t>
      </w:r>
      <w:r w:rsidRPr="396ABCA7">
        <w:t>CPRG</w:t>
      </w:r>
      <w:r>
        <w:t>)</w:t>
      </w:r>
      <w:r w:rsidRPr="396ABCA7">
        <w:t xml:space="preserve"> to consult on </w:t>
      </w:r>
      <w:r w:rsidRPr="00E011BF">
        <w:t>technical matters</w:t>
      </w:r>
      <w:r w:rsidR="007927EA">
        <w:t>,</w:t>
      </w:r>
      <w:r w:rsidRPr="00E011BF">
        <w:t xml:space="preserve"> which meets quarterly.</w:t>
      </w:r>
      <w:r w:rsidRPr="00E011BF">
        <w:rPr>
          <w:rStyle w:val="FootnoteReference"/>
        </w:rPr>
        <w:footnoteReference w:id="218"/>
      </w:r>
      <w:r w:rsidRPr="00E011BF">
        <w:t xml:space="preserve"> It aims ‘</w:t>
      </w:r>
      <w:r w:rsidRPr="396ABCA7">
        <w:t>to provide timely feedback on compliance-related issues affecting registered organisations, their members, branches and officers’.</w:t>
      </w:r>
      <w:r w:rsidRPr="396ABCA7">
        <w:rPr>
          <w:rStyle w:val="FootnoteReference"/>
        </w:rPr>
        <w:footnoteReference w:id="219"/>
      </w:r>
    </w:p>
    <w:p w14:paraId="5BC22AA1" w14:textId="61304C1A" w:rsidR="001137B9" w:rsidRPr="00167CB8" w:rsidRDefault="001137B9" w:rsidP="001137B9">
      <w:r w:rsidRPr="396ABCA7">
        <w:lastRenderedPageBreak/>
        <w:t>The General Manager also engages through a ‘General Manager’s Listen and Learn’ program which registered organisations can nominate to participate in.</w:t>
      </w:r>
      <w:r w:rsidRPr="396ABCA7">
        <w:rPr>
          <w:rStyle w:val="FootnoteReference"/>
        </w:rPr>
        <w:footnoteReference w:id="220"/>
      </w:r>
      <w:r w:rsidRPr="396ABCA7">
        <w:t xml:space="preserve"> The FWC stated that the program is ‘a way for us to learn more about the day-to-day experiences of compliance officers working in registered organisations’.</w:t>
      </w:r>
      <w:r w:rsidRPr="396ABCA7">
        <w:rPr>
          <w:rStyle w:val="FootnoteReference"/>
        </w:rPr>
        <w:footnoteReference w:id="221"/>
      </w:r>
    </w:p>
    <w:p w14:paraId="42EA380E" w14:textId="28AABDAA" w:rsidR="001137B9" w:rsidRPr="00167CB8" w:rsidRDefault="001137B9" w:rsidP="001137B9">
      <w:r w:rsidRPr="00167CB8">
        <w:t>Among other steps taken in 2023, in April the General Manager released an interim Compliance and Enforcement Policy.</w:t>
      </w:r>
    </w:p>
    <w:p w14:paraId="2E755B8F" w14:textId="77777777" w:rsidR="001137B9" w:rsidRPr="00167CB8" w:rsidRDefault="001137B9" w:rsidP="001137B9">
      <w:r w:rsidRPr="00167CB8">
        <w:t>The General Manager</w:t>
      </w:r>
      <w:r w:rsidRPr="00167CB8" w:rsidDel="004B42E3">
        <w:t xml:space="preserve"> </w:t>
      </w:r>
      <w:r w:rsidRPr="00167CB8">
        <w:t>also produced an ‘Interim Registered Organisations Engagement and Education Strategy’ for the period July to September 2023.</w:t>
      </w:r>
      <w:r w:rsidRPr="00167CB8">
        <w:rPr>
          <w:vertAlign w:val="superscript"/>
        </w:rPr>
        <w:footnoteReference w:id="222"/>
      </w:r>
      <w:r w:rsidRPr="00167CB8">
        <w:t xml:space="preserve"> It stated that the FWC had maintained continuity with the ROC’s previous educative program engagement with stakeholders and committed</w:t>
      </w:r>
      <w:r w:rsidRPr="00167CB8" w:rsidDel="00866449">
        <w:t xml:space="preserve"> </w:t>
      </w:r>
      <w:r w:rsidRPr="00167CB8">
        <w:t>‘to making it easy for registered organisations to comply with their statutory obligations, and to regularly engage with industry groups and stakeholders to achieve this’.</w:t>
      </w:r>
      <w:r w:rsidRPr="00167CB8">
        <w:rPr>
          <w:vertAlign w:val="superscript"/>
        </w:rPr>
        <w:footnoteReference w:id="223"/>
      </w:r>
    </w:p>
    <w:p w14:paraId="67465B0F" w14:textId="6B1147D6" w:rsidR="001137B9" w:rsidRPr="00167CB8" w:rsidRDefault="001137B9" w:rsidP="001137B9">
      <w:r w:rsidRPr="396ABCA7">
        <w:t>On 6 March 2024 the General Manager produced a 12 Month Review ‘of [the FWC’s] work supporting registered organisations’ which stated:</w:t>
      </w:r>
      <w:r w:rsidRPr="396ABCA7">
        <w:rPr>
          <w:vertAlign w:val="superscript"/>
        </w:rPr>
        <w:footnoteReference w:id="224"/>
      </w:r>
    </w:p>
    <w:p w14:paraId="11202DB0" w14:textId="77777777" w:rsidR="001137B9" w:rsidRPr="00167CB8" w:rsidRDefault="001137B9" w:rsidP="00D55A73">
      <w:pPr>
        <w:pStyle w:val="Quote"/>
      </w:pPr>
      <w:r w:rsidRPr="00167CB8">
        <w:t>Since 6 March 2023, we have successfully transitioned former Registered Organisations Commission (ROC) staff and operational systems. We have undertaken an external governance and compliance review, significantly improved timeliness of entry permit and rule alterations applications and initiated or completed more than 30 projects to enhance service delivery. Throughout this time, we have continued to provide seamless service and assistance to registered organisations.</w:t>
      </w:r>
    </w:p>
    <w:p w14:paraId="1A85673F" w14:textId="77777777" w:rsidR="001137B9" w:rsidRPr="00167CB8" w:rsidRDefault="001137B9" w:rsidP="001137B9">
      <w:r w:rsidRPr="396ABCA7">
        <w:t>The General Manager’s 12 Month Review stated in respect to the ‘transition’ and the establishment of the ROSB in the FWC:</w:t>
      </w:r>
      <w:r w:rsidRPr="396ABCA7">
        <w:rPr>
          <w:vertAlign w:val="superscript"/>
        </w:rPr>
        <w:footnoteReference w:id="225"/>
      </w:r>
    </w:p>
    <w:p w14:paraId="0AD6991B" w14:textId="77777777" w:rsidR="001137B9" w:rsidRPr="00167CB8" w:rsidRDefault="001137B9" w:rsidP="00D55A73">
      <w:pPr>
        <w:pStyle w:val="Quote"/>
      </w:pPr>
      <w:r w:rsidRPr="00167CB8">
        <w:t>As a result of careful planning ahead of 6 March 2023, we were able to transfer the ROC’s people and systems to the Commission with minimal interruption. Registered organisations received uninterrupted services during this time to ensure they could continue to comply with their obligations under the Fair Work (Registered Organisations) Act 2009 (the RO Act). In July 2023, with the team successfully transferred and operating well, we established the Registered Organisations Services Branch (ROSB). We did this by consolidating the Commission’s Registered Organisations (Registration, Permits and Rules) Section with the former ROC team.</w:t>
      </w:r>
    </w:p>
    <w:p w14:paraId="65BC63A5" w14:textId="77777777" w:rsidR="001137B9" w:rsidRPr="00167CB8" w:rsidRDefault="001137B9" w:rsidP="001137B9">
      <w:pPr>
        <w:rPr>
          <w:rFonts w:eastAsia="Aptos" w:cs="Aptos"/>
        </w:rPr>
      </w:pPr>
      <w:r w:rsidRPr="396ABCA7">
        <w:rPr>
          <w:rFonts w:eastAsia="Aptos" w:cs="Aptos"/>
        </w:rPr>
        <w:lastRenderedPageBreak/>
        <w:t xml:space="preserve">In relation to how the </w:t>
      </w:r>
      <w:r w:rsidRPr="396ABCA7">
        <w:t xml:space="preserve">General Manager </w:t>
      </w:r>
      <w:r w:rsidRPr="396ABCA7">
        <w:rPr>
          <w:rFonts w:eastAsia="Aptos" w:cs="Aptos"/>
        </w:rPr>
        <w:t xml:space="preserve">had progressed with the recommendations of the External Review, the </w:t>
      </w:r>
      <w:r w:rsidRPr="396ABCA7">
        <w:t xml:space="preserve">General Manager </w:t>
      </w:r>
      <w:r w:rsidRPr="396ABCA7">
        <w:rPr>
          <w:rFonts w:eastAsia="Aptos" w:cs="Aptos"/>
        </w:rPr>
        <w:t>stated in the 12 Month Review that:</w:t>
      </w:r>
      <w:r w:rsidRPr="396ABCA7">
        <w:rPr>
          <w:rFonts w:eastAsia="Aptos" w:cs="Aptos"/>
          <w:vertAlign w:val="superscript"/>
        </w:rPr>
        <w:footnoteReference w:id="226"/>
      </w:r>
    </w:p>
    <w:p w14:paraId="7AA8170C" w14:textId="77777777" w:rsidR="0011475D" w:rsidRDefault="001137B9" w:rsidP="00D55A73">
      <w:pPr>
        <w:pStyle w:val="Quote"/>
      </w:pPr>
      <w:r w:rsidRPr="00167CB8">
        <w:t>In my response to the review (published on 28 September 2023), I committed to progress each of the approximately 25 recommendations. I am pleased to advise that every recommendation has now either been completed or significant action taken towards implementation or delivery.</w:t>
      </w:r>
    </w:p>
    <w:p w14:paraId="5EC66AC6" w14:textId="0E876130" w:rsidR="001137B9" w:rsidRPr="00167CB8" w:rsidRDefault="001137B9" w:rsidP="00D55A73">
      <w:pPr>
        <w:pStyle w:val="Quote"/>
      </w:pPr>
      <w:r w:rsidRPr="00167CB8">
        <w:t>I noted at the time that some of the recommendations from the review would require legislative change. My powers are confined to the functions prescribed by the RO Act. Information has been provided to the Department of Employment and Workplace Relations for their consideration as the agency responsible for policy across this portfolio of government.</w:t>
      </w:r>
    </w:p>
    <w:p w14:paraId="7CFB2297" w14:textId="77777777" w:rsidR="001137B9" w:rsidRPr="001B1D98" w:rsidRDefault="001137B9" w:rsidP="00EC3517">
      <w:pPr>
        <w:pStyle w:val="Heading5"/>
      </w:pPr>
      <w:bookmarkStart w:id="144" w:name="_Toc187421589"/>
      <w:bookmarkStart w:id="145" w:name="_Toc187946392"/>
      <w:r w:rsidRPr="001B1D98">
        <w:t>6.2.3 Stakeholder views</w:t>
      </w:r>
      <w:bookmarkEnd w:id="144"/>
      <w:bookmarkEnd w:id="145"/>
    </w:p>
    <w:p w14:paraId="496AF3F0" w14:textId="672BE1D9" w:rsidR="001137B9" w:rsidRPr="00167CB8" w:rsidRDefault="001137B9" w:rsidP="001137B9">
      <w:r w:rsidRPr="00167CB8">
        <w:t>In submissions to the Review, employee organisations, the ACTU and the Law Council of Australia provided positive feedback on the abolition of the ROC.</w:t>
      </w:r>
    </w:p>
    <w:p w14:paraId="271D2C69" w14:textId="71FA60E5" w:rsidR="001137B9" w:rsidRPr="00167CB8" w:rsidRDefault="001137B9" w:rsidP="001137B9">
      <w:r w:rsidRPr="396ABCA7">
        <w:t>Generally, the submissions indicated that the abolition of the ROC</w:t>
      </w:r>
      <w:r w:rsidR="00E011BF">
        <w:t xml:space="preserve"> and </w:t>
      </w:r>
      <w:r w:rsidRPr="00E011BF">
        <w:t>transfer</w:t>
      </w:r>
      <w:r w:rsidR="00E011BF">
        <w:t>r</w:t>
      </w:r>
      <w:r w:rsidRPr="00E011BF">
        <w:t>al</w:t>
      </w:r>
      <w:r w:rsidRPr="396ABCA7">
        <w:t xml:space="preserve"> of powers to the FWC (including the inclusion of infringement notice and enforceable undertakings powers) have not been particularly contentious as implemented in practice.</w:t>
      </w:r>
    </w:p>
    <w:p w14:paraId="253D730A" w14:textId="77777777" w:rsidR="001137B9" w:rsidRPr="00167CB8" w:rsidRDefault="001137B9" w:rsidP="001137B9">
      <w:r w:rsidRPr="396ABCA7">
        <w:t>The United Workers Union (UWU) stated:</w:t>
      </w:r>
      <w:r w:rsidRPr="396ABCA7">
        <w:rPr>
          <w:rStyle w:val="FootnoteReference"/>
        </w:rPr>
        <w:footnoteReference w:id="227"/>
      </w:r>
    </w:p>
    <w:p w14:paraId="417317A1" w14:textId="77777777" w:rsidR="001137B9" w:rsidRPr="00167CB8" w:rsidRDefault="001137B9" w:rsidP="00D55A73">
      <w:pPr>
        <w:pStyle w:val="Quote"/>
      </w:pPr>
      <w:r w:rsidRPr="00167CB8">
        <w:t>The abolition of the ROC and transference of the regulatory powers and functions of the Commissioner to the General Manager of the FWC is supported by UWU as a positive development. Registered organisations such as UWU continue to have the same reporting and compliance obligations as they did under the Fair Work (Registered Organisations) Act 2009. However, the changed regulatory approach means that the FWC and Fair Work Ombudsman (FWO) are more appropriately focused on ensuring and supporting compliance, and more willing to engage and listen to unions.</w:t>
      </w:r>
    </w:p>
    <w:p w14:paraId="775E62E3" w14:textId="77777777" w:rsidR="001137B9" w:rsidRPr="00167CB8" w:rsidRDefault="001137B9" w:rsidP="001137B9">
      <w:r w:rsidRPr="396ABCA7">
        <w:t>The ACTU stated:</w:t>
      </w:r>
      <w:r w:rsidRPr="396ABCA7">
        <w:rPr>
          <w:rStyle w:val="FootnoteReference"/>
        </w:rPr>
        <w:footnoteReference w:id="228"/>
      </w:r>
    </w:p>
    <w:p w14:paraId="2E94F588" w14:textId="77777777" w:rsidR="0011475D" w:rsidRDefault="001137B9" w:rsidP="00D55A73">
      <w:pPr>
        <w:pStyle w:val="Quote"/>
      </w:pPr>
      <w:r w:rsidRPr="00167CB8">
        <w:t>[The ROAC and CPRG] have been useful and are supported by the ACTU.</w:t>
      </w:r>
    </w:p>
    <w:p w14:paraId="38A99220" w14:textId="77777777" w:rsidR="0011475D" w:rsidRDefault="001137B9" w:rsidP="00D55A73">
      <w:pPr>
        <w:pStyle w:val="Quote"/>
      </w:pPr>
      <w:r w:rsidRPr="00167CB8">
        <w:t>…</w:t>
      </w:r>
    </w:p>
    <w:p w14:paraId="283E7912" w14:textId="77777777" w:rsidR="0011475D" w:rsidRDefault="001137B9" w:rsidP="00D55A73">
      <w:pPr>
        <w:pStyle w:val="Quote"/>
      </w:pPr>
      <w:r w:rsidRPr="00167CB8">
        <w:t>The General Manager has also published a new Compliance and Enforcement Policy for registered organisations which sets out a commitment to providing a positive regulatory culture through a focus on assistance, education and collaboration.</w:t>
      </w:r>
    </w:p>
    <w:p w14:paraId="3D36200F" w14:textId="77777777" w:rsidR="0011475D" w:rsidRDefault="001137B9" w:rsidP="00D55A73">
      <w:pPr>
        <w:pStyle w:val="Quote"/>
      </w:pPr>
      <w:r w:rsidRPr="00167CB8">
        <w:lastRenderedPageBreak/>
        <w:t>The ACTU is supportive of the stated new focus and ACTU affiliates have reported general improvements in the accessibility, advice and assistance provided by the regulator. Affiliates have reported amongst other things:</w:t>
      </w:r>
    </w:p>
    <w:p w14:paraId="1104AD98" w14:textId="77777777" w:rsidR="0011475D" w:rsidRDefault="001137B9" w:rsidP="00D55A73">
      <w:pPr>
        <w:pStyle w:val="Quote"/>
        <w:numPr>
          <w:ilvl w:val="0"/>
          <w:numId w:val="23"/>
        </w:numPr>
      </w:pPr>
      <w:r w:rsidRPr="00167CB8">
        <w:t>An approach characterised by a substantially less accusatory and combative ‘policing’ of union activity.</w:t>
      </w:r>
    </w:p>
    <w:p w14:paraId="2051D0E8" w14:textId="77777777" w:rsidR="0011475D" w:rsidRDefault="001137B9" w:rsidP="00D55A73">
      <w:pPr>
        <w:pStyle w:val="Quote"/>
        <w:numPr>
          <w:ilvl w:val="0"/>
          <w:numId w:val="23"/>
        </w:numPr>
      </w:pPr>
      <w:r w:rsidRPr="00167CB8">
        <w:t>A more constructive and less punitive approach to accidental administrative error or omissions in reporting.</w:t>
      </w:r>
    </w:p>
    <w:p w14:paraId="7DF56E1C" w14:textId="77777777" w:rsidR="0011475D" w:rsidRDefault="001137B9" w:rsidP="00D55A73">
      <w:pPr>
        <w:pStyle w:val="Quote"/>
        <w:numPr>
          <w:ilvl w:val="0"/>
          <w:numId w:val="23"/>
        </w:numPr>
      </w:pPr>
      <w:r w:rsidRPr="00167CB8">
        <w:t>Improved consultation around issues affecting registered organisations.</w:t>
      </w:r>
    </w:p>
    <w:p w14:paraId="287333D4" w14:textId="77777777" w:rsidR="0011475D" w:rsidRDefault="001137B9" w:rsidP="00D55A73">
      <w:pPr>
        <w:pStyle w:val="Quote"/>
        <w:numPr>
          <w:ilvl w:val="0"/>
          <w:numId w:val="23"/>
        </w:numPr>
      </w:pPr>
      <w:r w:rsidRPr="00167CB8">
        <w:t>A greater emphasis on education and providing assistance to unions to achieve best practise compliance.</w:t>
      </w:r>
    </w:p>
    <w:p w14:paraId="4706F818" w14:textId="4B8E2D78" w:rsidR="001137B9" w:rsidRPr="00167CB8" w:rsidRDefault="001137B9" w:rsidP="00D55A73">
      <w:pPr>
        <w:pStyle w:val="Quote"/>
        <w:numPr>
          <w:ilvl w:val="0"/>
          <w:numId w:val="23"/>
        </w:numPr>
      </w:pPr>
      <w:r w:rsidRPr="00167CB8">
        <w:t>A useful and overdue streamlining of administrative processes and improved timeliness with respect to right of entry permits and governance training.</w:t>
      </w:r>
    </w:p>
    <w:p w14:paraId="71688A41" w14:textId="77777777" w:rsidR="001137B9" w:rsidRPr="00167CB8" w:rsidRDefault="001137B9" w:rsidP="00D55A73">
      <w:pPr>
        <w:pStyle w:val="Quote"/>
      </w:pPr>
      <w:r w:rsidRPr="00167CB8">
        <w:t>Overall, the ACTU believes that the change of approach has assisted affiliates to pursue better governance and voluntary compliance with the FW(RO) Act.</w:t>
      </w:r>
    </w:p>
    <w:p w14:paraId="528CE223" w14:textId="77777777" w:rsidR="001137B9" w:rsidRPr="00167CB8" w:rsidRDefault="001137B9" w:rsidP="00D55A73">
      <w:pPr>
        <w:pStyle w:val="Quote"/>
      </w:pPr>
      <w:r w:rsidRPr="00167CB8">
        <w:t>Further, to be able to report positive feedback from a significant number of affiliates at the same time the regulator remains notably active in the investigative and compliance space demonstrates what appears to be an improvement in the sophistication of the approach of the regulator. It is our view that the positive steps that appear to have been taken to move away from ‘gotcha moment’ regulatory enforcement to a greater focus on the primary goals of the regulation of registered organisations are directly attributable to the changes made by SJBP Act.</w:t>
      </w:r>
    </w:p>
    <w:p w14:paraId="01CC42BE" w14:textId="77777777" w:rsidR="001137B9" w:rsidRPr="00167CB8" w:rsidRDefault="001137B9" w:rsidP="001137B9">
      <w:r w:rsidRPr="396ABCA7">
        <w:t>The Law Council of Australia stated that ‘[f]eedback received from our membership is that this has been a positive operational change, and we welcome what appears to be an enhanced consultative approach by the Commission as a result’.</w:t>
      </w:r>
      <w:r w:rsidRPr="396ABCA7">
        <w:rPr>
          <w:rStyle w:val="FootnoteReference"/>
        </w:rPr>
        <w:footnoteReference w:id="229"/>
      </w:r>
    </w:p>
    <w:p w14:paraId="14292754" w14:textId="77777777" w:rsidR="001137B9" w:rsidRPr="00167CB8" w:rsidRDefault="001137B9" w:rsidP="001137B9">
      <w:r w:rsidRPr="396ABCA7">
        <w:rPr>
          <w:rFonts w:ascii="Aptos" w:eastAsia="Aptos" w:hAnsi="Aptos" w:cs="Aptos"/>
        </w:rPr>
        <w:t>The Australian Resources &amp; Energy Employer Association (AREEA)</w:t>
      </w:r>
      <w:r w:rsidRPr="396ABCA7">
        <w:t xml:space="preserve"> stated that there is now a single body for regulation of registered organisations:</w:t>
      </w:r>
      <w:r w:rsidRPr="396ABCA7">
        <w:rPr>
          <w:rStyle w:val="FootnoteReference"/>
        </w:rPr>
        <w:footnoteReference w:id="230"/>
      </w:r>
    </w:p>
    <w:p w14:paraId="09D66CC1" w14:textId="77777777" w:rsidR="001137B9" w:rsidRPr="00167CB8" w:rsidRDefault="001137B9" w:rsidP="00D55A73">
      <w:pPr>
        <w:pStyle w:val="Quote"/>
      </w:pPr>
      <w:r w:rsidRPr="00167CB8">
        <w:t>AREEA has historically been agnostic on the need for a separate body to regulate registered organisations such as trade unions. Arguably the ROC has had little impact on the militancy and persistent lawbreaking of unions such as the CFMEU.</w:t>
      </w:r>
    </w:p>
    <w:p w14:paraId="0216EB2E" w14:textId="77777777" w:rsidR="001137B9" w:rsidRPr="00167CB8" w:rsidRDefault="001137B9" w:rsidP="00D55A73">
      <w:pPr>
        <w:pStyle w:val="Quote"/>
      </w:pPr>
      <w:r w:rsidRPr="00167CB8">
        <w:t>…</w:t>
      </w:r>
    </w:p>
    <w:p w14:paraId="4448E6A1" w14:textId="77777777" w:rsidR="001137B9" w:rsidRPr="00167CB8" w:rsidRDefault="001137B9" w:rsidP="00D55A73">
      <w:pPr>
        <w:pStyle w:val="Quote"/>
      </w:pPr>
      <w:r w:rsidRPr="00167CB8">
        <w:lastRenderedPageBreak/>
        <w:t>Transferring the ROC functions and powers to the FWC means there is now a single body with regulatory responsibilities for registered organisations, provided it is appropriate [sic] resourced.</w:t>
      </w:r>
    </w:p>
    <w:p w14:paraId="3BC47AB1" w14:textId="19C05EA9" w:rsidR="001137B9" w:rsidRPr="00167CB8" w:rsidRDefault="001137B9" w:rsidP="001137B9">
      <w:r w:rsidRPr="396ABCA7">
        <w:t xml:space="preserve">AREEA also advocated for registered organisations to be regulated by </w:t>
      </w:r>
      <w:r w:rsidR="005D1BA7">
        <w:t>the Australian Securities and Investments Commission</w:t>
      </w:r>
      <w:r w:rsidRPr="005D1BA7">
        <w:t>:</w:t>
      </w:r>
      <w:r w:rsidRPr="005D1BA7">
        <w:rPr>
          <w:rStyle w:val="FootnoteReference"/>
        </w:rPr>
        <w:footnoteReference w:id="231"/>
      </w:r>
    </w:p>
    <w:p w14:paraId="7BA3BEB9" w14:textId="77777777" w:rsidR="001137B9" w:rsidRPr="00167CB8" w:rsidRDefault="001137B9" w:rsidP="00D55A73">
      <w:pPr>
        <w:pStyle w:val="Quote"/>
      </w:pPr>
      <w:r w:rsidRPr="00167CB8">
        <w:t>For the record, AREEA’s longstanding position has been that all Registered Organisations should fall under the jurisdiction of the Corporations Act 2001 and regulated by the Australian Securities and Investment Commission (ASIC). Many unions and registered employer groups are large multi-million-dollar businesses. It makes little sense for such organisations to be subject to their own set of rules and held to a lesser standard of governance and transparency than other Australian business.</w:t>
      </w:r>
    </w:p>
    <w:p w14:paraId="53D8CB06" w14:textId="4D560453" w:rsidR="001137B9" w:rsidRDefault="00E011BF" w:rsidP="001137B9">
      <w:r w:rsidRPr="5AA253EB">
        <w:t xml:space="preserve">The </w:t>
      </w:r>
      <w:r w:rsidR="009E7219" w:rsidRPr="5AA253EB">
        <w:t>Housing Industry Association</w:t>
      </w:r>
      <w:r w:rsidR="001137B9" w:rsidRPr="5AA253EB">
        <w:t xml:space="preserve"> made similar recommendations that governance requirements for unions mirror the obligations under the </w:t>
      </w:r>
      <w:r w:rsidR="001137B9" w:rsidRPr="5AA253EB">
        <w:rPr>
          <w:i/>
        </w:rPr>
        <w:t>Corporations Act 2001</w:t>
      </w:r>
      <w:r w:rsidR="009E7219" w:rsidRPr="5AA253EB">
        <w:t xml:space="preserve"> (Cth)</w:t>
      </w:r>
      <w:r w:rsidR="001137B9" w:rsidRPr="5AA253EB">
        <w:t>.</w:t>
      </w:r>
      <w:r w:rsidR="001137B9" w:rsidRPr="5AA253EB">
        <w:rPr>
          <w:rStyle w:val="FootnoteReference"/>
        </w:rPr>
        <w:footnoteReference w:id="232"/>
      </w:r>
    </w:p>
    <w:p w14:paraId="3EF17CEC" w14:textId="2EB854D9" w:rsidR="001137B9" w:rsidRPr="00167CB8" w:rsidRDefault="001137B9" w:rsidP="001137B9">
      <w:pPr>
        <w:rPr>
          <w:lang w:val="en-US"/>
        </w:rPr>
      </w:pPr>
      <w:r w:rsidRPr="0016602B">
        <w:rPr>
          <w:lang w:val="en-US"/>
        </w:rPr>
        <w:t>Stakeholders did not provide commentary on the abolition of the ROC in submissions in response to the draft report.</w:t>
      </w:r>
    </w:p>
    <w:p w14:paraId="5152381C" w14:textId="77777777" w:rsidR="001137B9" w:rsidRPr="001B1D98" w:rsidRDefault="001137B9" w:rsidP="00EC3517">
      <w:pPr>
        <w:pStyle w:val="Heading4"/>
      </w:pPr>
      <w:bookmarkStart w:id="146" w:name="_Toc187421590"/>
      <w:bookmarkStart w:id="147" w:name="_Toc187946394"/>
      <w:bookmarkStart w:id="148" w:name="_Toc188277917"/>
      <w:bookmarkStart w:id="149" w:name="_Toc189260210"/>
      <w:bookmarkStart w:id="150" w:name="_Toc189393526"/>
      <w:r w:rsidRPr="001B1D98">
        <w:t>6.3 Findings and recommendations</w:t>
      </w:r>
      <w:bookmarkEnd w:id="146"/>
      <w:bookmarkEnd w:id="147"/>
      <w:bookmarkEnd w:id="148"/>
      <w:bookmarkEnd w:id="149"/>
      <w:bookmarkEnd w:id="150"/>
    </w:p>
    <w:p w14:paraId="5A3F63DC" w14:textId="0C7DE9EF" w:rsidR="001137B9" w:rsidRPr="00167CB8" w:rsidRDefault="001137B9" w:rsidP="001137B9">
      <w:r w:rsidRPr="396ABCA7">
        <w:t xml:space="preserve">The Review Panel finds that the </w:t>
      </w:r>
      <w:r>
        <w:t xml:space="preserve">operation of the </w:t>
      </w:r>
      <w:r w:rsidRPr="396ABCA7">
        <w:t>amendments ha</w:t>
      </w:r>
      <w:r>
        <w:t>s</w:t>
      </w:r>
      <w:r w:rsidRPr="396ABCA7">
        <w:t xml:space="preserve"> been effective and appropriate. The Review Panel has not identified unintended consequences that would lead to specific recommendations. The transfer of the regulatory powers and functions of the ROC to the General Manager of the FWC from 6 March 2023 appears to have worked successfully.</w:t>
      </w:r>
    </w:p>
    <w:p w14:paraId="4CE6D905" w14:textId="77777777" w:rsidR="001137B9" w:rsidRPr="00167CB8" w:rsidRDefault="001137B9" w:rsidP="001137B9">
      <w:r w:rsidRPr="00167CB8">
        <w:t>The Review Panel finds these amendments have enabled the General Manager to adopt a different regulatory approach to the ROC as the regulator of registered organisations.</w:t>
      </w:r>
    </w:p>
    <w:p w14:paraId="4F207673" w14:textId="09891DC9" w:rsidR="001137B9" w:rsidRPr="00167CB8" w:rsidRDefault="001137B9" w:rsidP="001137B9">
      <w:r w:rsidRPr="00167CB8">
        <w:t xml:space="preserve">The available qualitative evidence suggests that the General Manager is committed to engagement, consultation and addressing compliance using a variety of methods, including the </w:t>
      </w:r>
      <w:r w:rsidRPr="00167CB8">
        <w:rPr>
          <w:rFonts w:ascii="Aptos" w:eastAsia="Aptos" w:hAnsi="Aptos" w:cs="Aptos"/>
        </w:rPr>
        <w:t>CPRG</w:t>
      </w:r>
      <w:r w:rsidRPr="00167CB8">
        <w:t xml:space="preserve"> and advisory ROCTAC, and has embraced a regulatory approach that can be differentiated from the ROC.</w:t>
      </w:r>
    </w:p>
    <w:p w14:paraId="2B6CE741" w14:textId="46C4302C" w:rsidR="001137B9" w:rsidRPr="00167CB8" w:rsidRDefault="001137B9" w:rsidP="001137B9">
      <w:r w:rsidRPr="396ABCA7">
        <w:t>The Review Panel makes no recommendations regarding the abolition of the ROC.</w:t>
      </w:r>
    </w:p>
    <w:p w14:paraId="0BF07B6A" w14:textId="77777777" w:rsidR="001137B9" w:rsidRPr="00167CB8" w:rsidRDefault="001137B9" w:rsidP="001137B9">
      <w:pPr>
        <w:spacing w:after="160"/>
      </w:pPr>
      <w:r w:rsidRPr="00167CB8">
        <w:br w:type="page"/>
      </w:r>
    </w:p>
    <w:p w14:paraId="23BB39F9" w14:textId="77777777" w:rsidR="001137B9" w:rsidRPr="00FD7E24" w:rsidRDefault="001137B9" w:rsidP="00EC3517">
      <w:pPr>
        <w:pStyle w:val="Heading3"/>
      </w:pPr>
      <w:bookmarkStart w:id="151" w:name="_Toc187946396"/>
      <w:bookmarkStart w:id="152" w:name="_Toc188277918"/>
      <w:bookmarkStart w:id="153" w:name="_Toc189260211"/>
      <w:bookmarkStart w:id="154" w:name="_Toc189393527"/>
      <w:bookmarkStart w:id="155" w:name="_Toc194311413"/>
      <w:r w:rsidRPr="00FD7E24">
        <w:lastRenderedPageBreak/>
        <w:t>Chapter 7. Additional registered organisations enforcement options</w:t>
      </w:r>
      <w:bookmarkEnd w:id="151"/>
      <w:bookmarkEnd w:id="152"/>
      <w:bookmarkEnd w:id="153"/>
      <w:bookmarkEnd w:id="154"/>
      <w:bookmarkEnd w:id="155"/>
    </w:p>
    <w:p w14:paraId="60ABBC3A" w14:textId="7019B019" w:rsidR="001137B9" w:rsidRPr="00167CB8" w:rsidRDefault="001137B9" w:rsidP="001137B9">
      <w:bookmarkStart w:id="156" w:name="_Hlk187666042"/>
      <w:r w:rsidRPr="396ABCA7">
        <w:t xml:space="preserve">These amendments operate in conjunction with the abolition of the Registered Organisations Commission (ROC) discussed </w:t>
      </w:r>
      <w:r w:rsidRPr="000E0121">
        <w:t>in Chapter 6</w:t>
      </w:r>
      <w:r w:rsidRPr="396ABCA7">
        <w:t xml:space="preserve"> of this report. The Secure Jobs, Better Pay Act introduced </w:t>
      </w:r>
      <w:r>
        <w:t>two</w:t>
      </w:r>
      <w:r w:rsidRPr="396ABCA7">
        <w:t xml:space="preserve"> new regulatory enforcement options into the </w:t>
      </w:r>
      <w:r w:rsidRPr="396ABCA7">
        <w:rPr>
          <w:i/>
          <w:iCs/>
        </w:rPr>
        <w:t>Fair Work (Registered Organisations) Act 2009</w:t>
      </w:r>
      <w:r w:rsidRPr="396ABCA7">
        <w:t xml:space="preserve"> (Cth) (RO Act).</w:t>
      </w:r>
    </w:p>
    <w:p w14:paraId="3760F4CE" w14:textId="77777777" w:rsidR="001137B9" w:rsidRPr="00167CB8" w:rsidRDefault="001137B9" w:rsidP="001137B9">
      <w:r w:rsidRPr="396ABCA7">
        <w:t>Where noncompliance has been identified, the amendments provide the General Manager with the power to issue infringement notices and enter into enforceable undertakings. These are new enforcement powers that the ROC did not have access to under previous legislation.</w:t>
      </w:r>
    </w:p>
    <w:p w14:paraId="1D9C66B8" w14:textId="77777777" w:rsidR="001137B9" w:rsidRPr="00207D26" w:rsidRDefault="001137B9" w:rsidP="00EC3517">
      <w:pPr>
        <w:pStyle w:val="Heading4"/>
      </w:pPr>
      <w:bookmarkStart w:id="157" w:name="_Toc187946397"/>
      <w:bookmarkStart w:id="158" w:name="_Toc188277919"/>
      <w:bookmarkStart w:id="159" w:name="_Toc189260212"/>
      <w:bookmarkStart w:id="160" w:name="_Toc189393528"/>
      <w:bookmarkEnd w:id="156"/>
      <w:r w:rsidRPr="00207D26">
        <w:t>7.1 Amendments and intent</w:t>
      </w:r>
      <w:bookmarkEnd w:id="157"/>
      <w:bookmarkEnd w:id="158"/>
      <w:bookmarkEnd w:id="159"/>
      <w:bookmarkEnd w:id="160"/>
    </w:p>
    <w:p w14:paraId="141D5931" w14:textId="198C9504" w:rsidR="001137B9" w:rsidRPr="00167CB8" w:rsidRDefault="001137B9" w:rsidP="001137B9">
      <w:r w:rsidRPr="396ABCA7">
        <w:t xml:space="preserve">The new powers operate under the RO Act in conjunction with and by reference to the </w:t>
      </w:r>
      <w:r w:rsidRPr="396ABCA7">
        <w:rPr>
          <w:i/>
          <w:iCs/>
        </w:rPr>
        <w:t>Regulatory Powers (Standard Provisions) Act 2014</w:t>
      </w:r>
      <w:r w:rsidRPr="396ABCA7">
        <w:t xml:space="preserve"> (Cth) (Regulatory Powers Act). All of the existing enforcement options that the ROC had under the RO Act continue, including the options to make inquiries,</w:t>
      </w:r>
      <w:r w:rsidRPr="396ABCA7">
        <w:rPr>
          <w:rStyle w:val="FootnoteReference"/>
        </w:rPr>
        <w:footnoteReference w:id="233"/>
      </w:r>
      <w:r w:rsidRPr="396ABCA7">
        <w:t xml:space="preserve"> conduct investigations</w:t>
      </w:r>
      <w:r w:rsidRPr="396ABCA7">
        <w:rPr>
          <w:rStyle w:val="FootnoteReference"/>
        </w:rPr>
        <w:footnoteReference w:id="234"/>
      </w:r>
      <w:r w:rsidRPr="396ABCA7">
        <w:t xml:space="preserve"> and commence proceedings.</w:t>
      </w:r>
      <w:r w:rsidRPr="396ABCA7">
        <w:rPr>
          <w:rStyle w:val="FootnoteReference"/>
        </w:rPr>
        <w:footnoteReference w:id="235"/>
      </w:r>
    </w:p>
    <w:p w14:paraId="752ABD27" w14:textId="77777777" w:rsidR="0011475D" w:rsidRPr="00207D26" w:rsidRDefault="001137B9" w:rsidP="00EC3517">
      <w:pPr>
        <w:pStyle w:val="Heading5"/>
      </w:pPr>
      <w:r w:rsidRPr="00207D26">
        <w:t>7.1.1 Secure Jobs, Better Pay amendments</w:t>
      </w:r>
    </w:p>
    <w:p w14:paraId="4B2B2E26" w14:textId="50F9B724" w:rsidR="001137B9" w:rsidRPr="00167CB8" w:rsidRDefault="001137B9" w:rsidP="001137B9">
      <w:r w:rsidRPr="396ABCA7">
        <w:t xml:space="preserve">Part 2 of Schedule 1 to the Secure Jobs, Better Pay Act added ss 316A and 316B to the RO Act. Section 316A of the RO Act contains a list of 64 provisions of the RO Act and includes </w:t>
      </w:r>
      <w:r>
        <w:t>nine</w:t>
      </w:r>
      <w:r w:rsidRPr="396ABCA7">
        <w:t xml:space="preserve"> provisions in the </w:t>
      </w:r>
      <w:r w:rsidRPr="396ABCA7">
        <w:rPr>
          <w:i/>
          <w:iCs/>
        </w:rPr>
        <w:t>Fair Work (Registered Organisations) Regulations 2009</w:t>
      </w:r>
      <w:r w:rsidRPr="396ABCA7">
        <w:t xml:space="preserve"> which can be ‘subject to an infringement notice’.</w:t>
      </w:r>
      <w:r w:rsidRPr="396ABCA7">
        <w:rPr>
          <w:rStyle w:val="FootnoteReference"/>
        </w:rPr>
        <w:footnoteReference w:id="236"/>
      </w:r>
    </w:p>
    <w:p w14:paraId="52964E61" w14:textId="23E85D10" w:rsidR="001137B9" w:rsidRPr="00167CB8" w:rsidRDefault="001137B9" w:rsidP="001137B9">
      <w:r w:rsidRPr="396ABCA7">
        <w:t>The Attorney-General’s Department</w:t>
      </w:r>
      <w:r w:rsidR="000E0121">
        <w:t>’s</w:t>
      </w:r>
      <w:r w:rsidRPr="396ABCA7">
        <w:t xml:space="preserve"> stated guidance is that infringement notices are ‘generally issued for minor matters where a high volume of contraventions are expected’.</w:t>
      </w:r>
      <w:r w:rsidRPr="396ABCA7">
        <w:rPr>
          <w:rStyle w:val="FootnoteReference"/>
        </w:rPr>
        <w:footnoteReference w:id="237"/>
      </w:r>
    </w:p>
    <w:p w14:paraId="6B49D2A0" w14:textId="22B74D75" w:rsidR="001137B9" w:rsidRPr="00167CB8" w:rsidRDefault="001137B9" w:rsidP="001137B9">
      <w:r w:rsidRPr="00167CB8">
        <w:t>The Secure Jobs, Better Pay amendments use the standard framework in the Regulatory Powers Act.</w:t>
      </w:r>
    </w:p>
    <w:p w14:paraId="0A2239D7" w14:textId="77777777" w:rsidR="001137B9" w:rsidRPr="00167CB8" w:rsidRDefault="001137B9" w:rsidP="001137B9">
      <w:r w:rsidRPr="00167CB8">
        <w:t>The Secure Jobs, Better Pay amendments allow the General Manager or their delegate to accept an enforceable undertaking under Part 4 of Chapter 10 of the RO Act and Part 6 of the Regulatory Powers Act.</w:t>
      </w:r>
    </w:p>
    <w:p w14:paraId="5E11AE5E" w14:textId="7E1772B5" w:rsidR="001137B9" w:rsidRPr="00167CB8" w:rsidRDefault="001137B9" w:rsidP="001137B9">
      <w:r w:rsidRPr="396ABCA7">
        <w:t>These amendments commenced on 6 March 2023.</w:t>
      </w:r>
    </w:p>
    <w:p w14:paraId="675B2E01" w14:textId="77777777" w:rsidR="001137B9" w:rsidRPr="00207D26" w:rsidRDefault="001137B9" w:rsidP="00EC3517">
      <w:pPr>
        <w:pStyle w:val="Heading5"/>
      </w:pPr>
      <w:bookmarkStart w:id="161" w:name="_Toc187946398"/>
      <w:r w:rsidRPr="00207D26">
        <w:t xml:space="preserve">7.1.2 Intent of </w:t>
      </w:r>
      <w:bookmarkEnd w:id="161"/>
      <w:r w:rsidRPr="00207D26">
        <w:t>Secure Jobs, Better Pay amendments</w:t>
      </w:r>
    </w:p>
    <w:p w14:paraId="3000BEBF" w14:textId="24182358" w:rsidR="001137B9" w:rsidRPr="00167CB8" w:rsidRDefault="001137B9" w:rsidP="001137B9">
      <w:r w:rsidRPr="396ABCA7">
        <w:t>As part of the integration of the ROC with the Fair Work Commission (FWC), the intent of these provisions was to give the General Manager a wider range of regulatory options similar to those of other regulators.</w:t>
      </w:r>
      <w:r w:rsidRPr="396ABCA7">
        <w:rPr>
          <w:rStyle w:val="FootnoteReference"/>
        </w:rPr>
        <w:footnoteReference w:id="238"/>
      </w:r>
    </w:p>
    <w:p w14:paraId="3168BF07" w14:textId="77777777" w:rsidR="0011475D" w:rsidRDefault="001137B9" w:rsidP="001137B9">
      <w:r w:rsidRPr="396ABCA7">
        <w:lastRenderedPageBreak/>
        <w:t>The revised Explanatory Memorandum noted that, while the ROC had ‘general powers to undertake investigations to secure compliance with the RO Act, they do not have many of the compliance and enforcement tools that comparable Commonwealth regulators have’.</w:t>
      </w:r>
      <w:r w:rsidRPr="396ABCA7">
        <w:rPr>
          <w:rStyle w:val="FootnoteReference"/>
        </w:rPr>
        <w:footnoteReference w:id="239"/>
      </w:r>
    </w:p>
    <w:p w14:paraId="1D0F273D" w14:textId="221F9A22" w:rsidR="001137B9" w:rsidRPr="00167CB8" w:rsidRDefault="001137B9" w:rsidP="001137B9">
      <w:r w:rsidRPr="396ABCA7">
        <w:t>The Explanatory Memorandum also explained that ‘with more enforcement tools to choose from, the new regulator would have a greater ability to choose an appropriate enforcement tool to match the circumstances of each case’.</w:t>
      </w:r>
      <w:r w:rsidRPr="396ABCA7">
        <w:rPr>
          <w:rStyle w:val="FootnoteReference"/>
        </w:rPr>
        <w:footnoteReference w:id="240"/>
      </w:r>
    </w:p>
    <w:p w14:paraId="664DCC34" w14:textId="77777777" w:rsidR="0011475D" w:rsidRDefault="001137B9" w:rsidP="001137B9">
      <w:r w:rsidRPr="396ABCA7">
        <w:t>Infringement notices are intended to be a flexible compliance option for regulators.</w:t>
      </w:r>
    </w:p>
    <w:p w14:paraId="7D604D23" w14:textId="77777777" w:rsidR="0011475D" w:rsidRDefault="001137B9" w:rsidP="001137B9">
      <w:r w:rsidRPr="396ABCA7">
        <w:t xml:space="preserve">They </w:t>
      </w:r>
      <w:r w:rsidRPr="396ABCA7">
        <w:rPr>
          <w:rFonts w:cs="Open Sans"/>
          <w:color w:val="222222"/>
          <w:shd w:val="clear" w:color="auto" w:fill="FFFFFF"/>
        </w:rPr>
        <w:t>are</w:t>
      </w:r>
      <w:r w:rsidRPr="396ABCA7">
        <w:rPr>
          <w:rFonts w:cs="Open Sans"/>
          <w:color w:val="222222"/>
        </w:rPr>
        <w:t xml:space="preserve"> intended</w:t>
      </w:r>
      <w:r w:rsidRPr="396ABCA7">
        <w:rPr>
          <w:rFonts w:cs="Open Sans"/>
          <w:color w:val="222222"/>
          <w:shd w:val="clear" w:color="auto" w:fill="FFFFFF"/>
        </w:rPr>
        <w:t xml:space="preserve"> to be </w:t>
      </w:r>
      <w:r w:rsidRPr="396ABCA7">
        <w:t>‘generally issued for minor matters where a high volume of contraventions are expected, such as failing to comply with reporting obligations, failing to respond to a notice or failing to provide information’.</w:t>
      </w:r>
      <w:r w:rsidRPr="396ABCA7">
        <w:rPr>
          <w:rStyle w:val="FootnoteReference"/>
        </w:rPr>
        <w:footnoteReference w:id="241"/>
      </w:r>
      <w:r w:rsidRPr="396ABCA7">
        <w:t xml:space="preserve"> They are also intended to ‘provide an effective administrative mechanism to regulate these matters’.</w:t>
      </w:r>
      <w:r w:rsidRPr="396ABCA7">
        <w:rPr>
          <w:rStyle w:val="FootnoteReference"/>
        </w:rPr>
        <w:footnoteReference w:id="242"/>
      </w:r>
    </w:p>
    <w:p w14:paraId="22630528" w14:textId="77777777" w:rsidR="0011475D" w:rsidRDefault="001137B9" w:rsidP="001137B9">
      <w:r w:rsidRPr="00167CB8">
        <w:t>In contrast to infringement notices, the compliance concerns that enforceable undertakings can apply to are not defined by a limited list of certain provisions. They are entered into voluntarily by a party with the General Manager. If contravened they may be enforced in court.</w:t>
      </w:r>
    </w:p>
    <w:p w14:paraId="5830A4EE" w14:textId="727C3751" w:rsidR="001137B9" w:rsidRPr="00207D26" w:rsidRDefault="001137B9" w:rsidP="00EC3517">
      <w:pPr>
        <w:pStyle w:val="Heading4"/>
      </w:pPr>
      <w:bookmarkStart w:id="162" w:name="_Toc187946399"/>
      <w:bookmarkStart w:id="163" w:name="_Toc188277920"/>
      <w:bookmarkStart w:id="164" w:name="_Toc189260213"/>
      <w:bookmarkStart w:id="165" w:name="_Toc189393529"/>
      <w:r w:rsidRPr="00207D26">
        <w:t>7.2 Impact and issues</w:t>
      </w:r>
      <w:bookmarkEnd w:id="162"/>
      <w:bookmarkEnd w:id="163"/>
      <w:bookmarkEnd w:id="164"/>
      <w:bookmarkEnd w:id="165"/>
    </w:p>
    <w:p w14:paraId="34926922" w14:textId="5107582E" w:rsidR="0011475D" w:rsidRDefault="001137B9" w:rsidP="001137B9">
      <w:r w:rsidRPr="00167CB8">
        <w:t>The</w:t>
      </w:r>
      <w:r>
        <w:t xml:space="preserve"> operation of the</w:t>
      </w:r>
      <w:r w:rsidRPr="00167CB8">
        <w:t>se amendments do</w:t>
      </w:r>
      <w:r w:rsidR="0011475D">
        <w:t>es</w:t>
      </w:r>
      <w:r w:rsidRPr="00167CB8">
        <w:t xml:space="preserve"> not appear to have had a significant impact on the regulation of registered organisations. </w:t>
      </w:r>
      <w:r w:rsidRPr="396ABCA7">
        <w:t>The inference that might be drawn is that the amendments have not had a significant impact on the way registered organisations are regulated over the nearly</w:t>
      </w:r>
      <w:r>
        <w:t xml:space="preserve"> two</w:t>
      </w:r>
      <w:r w:rsidRPr="396ABCA7">
        <w:t xml:space="preserve"> years these provisions have been in operation.</w:t>
      </w:r>
    </w:p>
    <w:p w14:paraId="35AB9015" w14:textId="75A77723" w:rsidR="001137B9" w:rsidRPr="00207D26" w:rsidRDefault="001137B9" w:rsidP="00EC3517">
      <w:pPr>
        <w:pStyle w:val="Heading5"/>
      </w:pPr>
      <w:bookmarkStart w:id="166" w:name="_Toc187946400"/>
      <w:r w:rsidRPr="00207D26">
        <w:t>7.2.1 Quantitative evidence</w:t>
      </w:r>
      <w:bookmarkEnd w:id="166"/>
    </w:p>
    <w:p w14:paraId="50B5B2AC" w14:textId="076A6716" w:rsidR="0011475D" w:rsidRDefault="001137B9" w:rsidP="001137B9">
      <w:r w:rsidRPr="0016602B">
        <w:t xml:space="preserve">As at 21 February 2025 the FWC had issued no infringement notices and </w:t>
      </w:r>
      <w:r>
        <w:t>two</w:t>
      </w:r>
      <w:r w:rsidRPr="0016602B">
        <w:t xml:space="preserve"> enforceable undertakings to registered organisations.</w:t>
      </w:r>
    </w:p>
    <w:p w14:paraId="03E0303E" w14:textId="77777777" w:rsidR="0011475D" w:rsidRDefault="001137B9" w:rsidP="001137B9">
      <w:r w:rsidRPr="396ABCA7">
        <w:t xml:space="preserve">The first enforceable undertaking (dated 13 September 2024) was made with the </w:t>
      </w:r>
      <w:hyperlink r:id="rId15" w:tgtFrame="_blank" w:history="1">
        <w:r w:rsidRPr="396ABCA7">
          <w:t>Transport Workers’ Union of Australia (TWU), which entered into the undertaking as a result of noncomp</w:t>
        </w:r>
        <w:bookmarkStart w:id="167" w:name="_Hlt187679301"/>
        <w:bookmarkStart w:id="168" w:name="_Hlt187679302"/>
        <w:r w:rsidRPr="396ABCA7">
          <w:t>l</w:t>
        </w:r>
        <w:bookmarkEnd w:id="167"/>
        <w:bookmarkEnd w:id="168"/>
        <w:r w:rsidRPr="396ABCA7">
          <w:t>iance by its Victoria</w:t>
        </w:r>
        <w:r w:rsidRPr="396ABCA7">
          <w:rPr>
            <w:rFonts w:ascii="Symbol" w:eastAsia="Symbol" w:hAnsi="Symbol" w:cs="Symbol"/>
          </w:rPr>
          <w:t>-</w:t>
        </w:r>
        <w:r w:rsidRPr="396ABCA7">
          <w:t>Tasmania Branch.</w:t>
        </w:r>
      </w:hyperlink>
      <w:r w:rsidRPr="396ABCA7">
        <w:rPr>
          <w:rStyle w:val="FootnoteReference"/>
        </w:rPr>
        <w:footnoteReference w:id="243"/>
      </w:r>
      <w:r w:rsidRPr="396ABCA7">
        <w:t xml:space="preserve"> The TWU admitted that its conduct was likely to have amounted to a contravention of s 230(2)(b) of the RO Act for each of the 5,765 former members it failed to remove from its register of members.</w:t>
      </w:r>
      <w:r w:rsidRPr="396ABCA7">
        <w:rPr>
          <w:rStyle w:val="FootnoteReference"/>
        </w:rPr>
        <w:footnoteReference w:id="244"/>
      </w:r>
    </w:p>
    <w:p w14:paraId="348A7B09" w14:textId="65944321" w:rsidR="001137B9" w:rsidRPr="00167CB8" w:rsidRDefault="001137B9" w:rsidP="001137B9">
      <w:r w:rsidRPr="396ABCA7">
        <w:t>The second enforceable undertaking (dated 21 December 2023) was made with the Community and Public Sector Union (CPSU) regarding the Western Australian Prison Officers’ Union (WAPOU) Branch, SPSF Group.</w:t>
      </w:r>
      <w:r w:rsidRPr="396ABCA7">
        <w:rPr>
          <w:rStyle w:val="FootnoteReference"/>
        </w:rPr>
        <w:footnoteReference w:id="245"/>
      </w:r>
      <w:r w:rsidRPr="396ABCA7">
        <w:t xml:space="preserve"> The CPSU admitted that between 2016 and 2020 its WAPOU Branch conducted at least 15 elections for its office holders in a manner that was not permitted by the CPSU’s rules. In doing so the WAPOU Branch contravened provisions of the RO Act, </w:t>
      </w:r>
      <w:r w:rsidRPr="396ABCA7">
        <w:lastRenderedPageBreak/>
        <w:t>including s 189, which requires that elections for offices are to be conducted by the Australian Electoral Commission (AEC).</w:t>
      </w:r>
    </w:p>
    <w:p w14:paraId="15EE73C2" w14:textId="77777777" w:rsidR="0011475D" w:rsidRDefault="001137B9" w:rsidP="001137B9">
      <w:r w:rsidRPr="00167CB8">
        <w:t>The penalty amounts that the General Manager must include on an infringement notice are calculated by reference to the Regulatory Powers Act, and the General Manager has no discretion to alter those fixed penalty amounts.</w:t>
      </w:r>
    </w:p>
    <w:p w14:paraId="3F4AA0D4" w14:textId="77777777" w:rsidR="0011475D" w:rsidRDefault="001137B9" w:rsidP="001137B9">
      <w:r w:rsidRPr="396ABCA7">
        <w:t>By way of example, various civil penalty provisions in the RO Act, which could be subject to an infringement notice and with which registered organisations regularly must comply, include ss 172, 189, 230, 233, 237, 253, 254, 256, 265, 266, 268, 293C, 293J and 293K of the RO Act. These provisions relate to the reporting and maintenance of financial, membership and other records, elections, auditors o</w:t>
      </w:r>
      <w:r>
        <w:t>f</w:t>
      </w:r>
      <w:r w:rsidRPr="396ABCA7">
        <w:t xml:space="preserve"> reporting units, removal of </w:t>
      </w:r>
      <w:r>
        <w:t>non-financial members</w:t>
      </w:r>
      <w:r w:rsidRPr="396ABCA7">
        <w:t xml:space="preserve"> from the register, annual reporting of information, office holder change notifications and office holder remuneration disclosures,</w:t>
      </w:r>
      <w:r>
        <w:t xml:space="preserve"> officer and</w:t>
      </w:r>
      <w:r w:rsidRPr="396ABCA7">
        <w:t xml:space="preserve"> related party disclosure</w:t>
      </w:r>
      <w:r>
        <w:t xml:space="preserve"> statements and undertaking approved training</w:t>
      </w:r>
      <w:r w:rsidRPr="396ABCA7">
        <w:t>.</w:t>
      </w:r>
    </w:p>
    <w:p w14:paraId="01C19876" w14:textId="2AF76505" w:rsidR="0011475D" w:rsidRDefault="001137B9" w:rsidP="001137B9">
      <w:pPr>
        <w:rPr>
          <w:color w:val="FF0000"/>
        </w:rPr>
      </w:pPr>
      <w:r w:rsidRPr="396ABCA7">
        <w:t xml:space="preserve">The </w:t>
      </w:r>
      <w:r w:rsidRPr="000E0121">
        <w:t>penalty amount that the General Manager must include on an infringement notice to a registered organisation (as a body corporate) for these and many other (but not all) infringement notices for contravening conduct that occurred after 7 November 2024 would be $19,800 per contravention.</w:t>
      </w:r>
    </w:p>
    <w:p w14:paraId="52A4D9F8" w14:textId="4BBBE15D" w:rsidR="0011475D" w:rsidRDefault="001137B9" w:rsidP="001137B9">
      <w:r w:rsidRPr="0016602B">
        <w:t xml:space="preserve">Table </w:t>
      </w:r>
      <w:r>
        <w:t>7</w:t>
      </w:r>
      <w:r w:rsidRPr="0016602B">
        <w:t xml:space="preserve"> provides examples of infringement notice penalty amounts for a registered organisation.</w:t>
      </w:r>
    </w:p>
    <w:p w14:paraId="2AD9D05E" w14:textId="3C0F0AB7" w:rsidR="00EC3517" w:rsidRDefault="00EC3517">
      <w:pPr>
        <w:spacing w:after="160"/>
      </w:pPr>
    </w:p>
    <w:p w14:paraId="0E279104" w14:textId="1EA8A79C" w:rsidR="001137B9" w:rsidRPr="0016602B" w:rsidRDefault="00EC3517" w:rsidP="007F380D">
      <w:pPr>
        <w:pStyle w:val="Caption"/>
      </w:pPr>
      <w:bookmarkStart w:id="169" w:name="_Toc194251431"/>
      <w:r>
        <w:t xml:space="preserve">Table </w:t>
      </w:r>
      <w:r>
        <w:fldChar w:fldCharType="begin"/>
      </w:r>
      <w:r>
        <w:instrText xml:space="preserve"> SEQ Table \* ARABIC </w:instrText>
      </w:r>
      <w:r>
        <w:fldChar w:fldCharType="separate"/>
      </w:r>
      <w:r w:rsidR="00DE5F5E">
        <w:rPr>
          <w:noProof/>
        </w:rPr>
        <w:t>7</w:t>
      </w:r>
      <w:r>
        <w:fldChar w:fldCharType="end"/>
      </w:r>
      <w:r>
        <w:t xml:space="preserve">: </w:t>
      </w:r>
      <w:r w:rsidR="001137B9" w:rsidRPr="00EC3517">
        <w:t xml:space="preserve">Infringement notice provisions in the </w:t>
      </w:r>
      <w:r w:rsidR="001137B9" w:rsidRPr="00290658">
        <w:rPr>
          <w:i/>
        </w:rPr>
        <w:t>Fair Work (Registered Organisations) Act 2009</w:t>
      </w:r>
      <w:r w:rsidR="001137B9" w:rsidRPr="00EC3517">
        <w:t xml:space="preserve"> and the maximum penalty units</w:t>
      </w:r>
      <w:bookmarkEnd w:id="169"/>
    </w:p>
    <w:tbl>
      <w:tblPr>
        <w:tblW w:w="8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0"/>
        <w:gridCol w:w="1985"/>
        <w:gridCol w:w="2910"/>
      </w:tblGrid>
      <w:tr w:rsidR="001137B9" w:rsidRPr="000F76F3" w14:paraId="60970B8D" w14:textId="77777777" w:rsidTr="00207D26">
        <w:trPr>
          <w:trHeight w:val="300"/>
        </w:trPr>
        <w:tc>
          <w:tcPr>
            <w:tcW w:w="3820" w:type="dxa"/>
            <w:vAlign w:val="bottom"/>
            <w:hideMark/>
          </w:tcPr>
          <w:p w14:paraId="1EF2F62F" w14:textId="77777777" w:rsidR="001137B9" w:rsidRPr="008977E1" w:rsidRDefault="001137B9">
            <w:pPr>
              <w:jc w:val="center"/>
              <w:rPr>
                <w:rFonts w:ascii="Calibri" w:hAnsi="Calibri" w:cs="Calibri"/>
                <w:b/>
                <w:sz w:val="20"/>
                <w:szCs w:val="20"/>
              </w:rPr>
            </w:pPr>
            <w:r w:rsidRPr="008977E1">
              <w:rPr>
                <w:rFonts w:ascii="Calibri" w:hAnsi="Calibri" w:cs="Calibri"/>
                <w:b/>
                <w:sz w:val="20"/>
                <w:szCs w:val="20"/>
              </w:rPr>
              <w:t xml:space="preserve">Infringement notice provision in the </w:t>
            </w:r>
            <w:r w:rsidRPr="008977E1">
              <w:rPr>
                <w:rFonts w:ascii="Calibri" w:hAnsi="Calibri" w:cs="Calibri"/>
                <w:b/>
                <w:i/>
                <w:sz w:val="20"/>
                <w:szCs w:val="20"/>
              </w:rPr>
              <w:t>Fair Work (Registered Organisations) Act 2009</w:t>
            </w:r>
            <w:r w:rsidRPr="008977E1">
              <w:rPr>
                <w:rFonts w:ascii="Calibri" w:hAnsi="Calibri" w:cs="Calibri"/>
                <w:b/>
                <w:sz w:val="20"/>
                <w:szCs w:val="20"/>
              </w:rPr>
              <w:t xml:space="preserve"> (RO Act)</w:t>
            </w:r>
          </w:p>
        </w:tc>
        <w:tc>
          <w:tcPr>
            <w:tcW w:w="1985" w:type="dxa"/>
            <w:vAlign w:val="bottom"/>
            <w:hideMark/>
          </w:tcPr>
          <w:p w14:paraId="69DB3799" w14:textId="306F9F6E" w:rsidR="001137B9" w:rsidRPr="008977E1" w:rsidRDefault="001137B9">
            <w:pPr>
              <w:jc w:val="center"/>
              <w:rPr>
                <w:rFonts w:ascii="Calibri" w:hAnsi="Calibri" w:cs="Calibri"/>
                <w:b/>
                <w:sz w:val="20"/>
                <w:szCs w:val="20"/>
              </w:rPr>
            </w:pPr>
            <w:r w:rsidRPr="008977E1">
              <w:rPr>
                <w:rFonts w:ascii="Calibri" w:hAnsi="Calibri" w:cs="Calibri"/>
                <w:b/>
                <w:sz w:val="20"/>
                <w:szCs w:val="20"/>
              </w:rPr>
              <w:t>Maximum PUs in RO Act provision</w:t>
            </w:r>
          </w:p>
        </w:tc>
        <w:tc>
          <w:tcPr>
            <w:tcW w:w="2910" w:type="dxa"/>
            <w:vAlign w:val="bottom"/>
            <w:hideMark/>
          </w:tcPr>
          <w:p w14:paraId="19F0D036" w14:textId="47552CB7" w:rsidR="001137B9" w:rsidRPr="008977E1" w:rsidRDefault="001137B9">
            <w:pPr>
              <w:jc w:val="center"/>
              <w:rPr>
                <w:rFonts w:ascii="Calibri" w:hAnsi="Calibri" w:cs="Calibri"/>
                <w:b/>
                <w:sz w:val="20"/>
                <w:szCs w:val="20"/>
              </w:rPr>
            </w:pPr>
            <w:r w:rsidRPr="008977E1">
              <w:rPr>
                <w:rFonts w:ascii="Calibri" w:hAnsi="Calibri" w:cs="Calibri"/>
                <w:b/>
                <w:sz w:val="20"/>
                <w:szCs w:val="20"/>
              </w:rPr>
              <w:t xml:space="preserve">Maximum penalty for a body corporate, taking into account </w:t>
            </w:r>
            <w:r w:rsidRPr="008977E1" w:rsidDel="000E0121">
              <w:rPr>
                <w:rFonts w:ascii="Calibri" w:hAnsi="Calibri" w:cs="Calibri"/>
                <w:b/>
                <w:sz w:val="20"/>
                <w:szCs w:val="20"/>
              </w:rPr>
              <w:t>s</w:t>
            </w:r>
            <w:r w:rsidR="000E0121">
              <w:rPr>
                <w:rFonts w:ascii="Calibri" w:hAnsi="Calibri" w:cs="Calibri"/>
                <w:b/>
                <w:sz w:val="20"/>
                <w:szCs w:val="20"/>
              </w:rPr>
              <w:t> </w:t>
            </w:r>
            <w:r w:rsidRPr="008977E1">
              <w:rPr>
                <w:rFonts w:ascii="Calibri" w:hAnsi="Calibri" w:cs="Calibri"/>
                <w:b/>
                <w:sz w:val="20"/>
                <w:szCs w:val="20"/>
              </w:rPr>
              <w:t xml:space="preserve">104(2)(b) of the </w:t>
            </w:r>
            <w:r w:rsidRPr="008977E1">
              <w:rPr>
                <w:rFonts w:ascii="Calibri" w:hAnsi="Calibri" w:cs="Calibri"/>
                <w:b/>
                <w:i/>
                <w:sz w:val="20"/>
                <w:szCs w:val="20"/>
              </w:rPr>
              <w:t>Regulatory Powers (</w:t>
            </w:r>
            <w:r w:rsidRPr="00DC0539">
              <w:rPr>
                <w:rFonts w:ascii="Calibri" w:hAnsi="Calibri" w:cs="Calibri"/>
                <w:b/>
                <w:i/>
                <w:iCs/>
                <w:sz w:val="20"/>
                <w:szCs w:val="20"/>
              </w:rPr>
              <w:t>Standard</w:t>
            </w:r>
            <w:r w:rsidRPr="008977E1">
              <w:rPr>
                <w:rFonts w:ascii="Calibri" w:hAnsi="Calibri" w:cs="Calibri"/>
                <w:b/>
                <w:i/>
                <w:sz w:val="20"/>
                <w:szCs w:val="20"/>
              </w:rPr>
              <w:t xml:space="preserve"> Provisions) Act 2014 </w:t>
            </w:r>
            <w:r w:rsidRPr="008977E1">
              <w:rPr>
                <w:rFonts w:ascii="Calibri" w:hAnsi="Calibri" w:cs="Calibri"/>
                <w:b/>
                <w:sz w:val="20"/>
                <w:szCs w:val="20"/>
              </w:rPr>
              <w:t>and s 306(1)(a) of the RO Act</w:t>
            </w:r>
          </w:p>
          <w:p w14:paraId="4670631C" w14:textId="77777777" w:rsidR="001137B9" w:rsidRPr="008977E1" w:rsidRDefault="001137B9">
            <w:pPr>
              <w:jc w:val="center"/>
              <w:rPr>
                <w:rFonts w:ascii="Calibri" w:hAnsi="Calibri" w:cs="Calibri"/>
                <w:b/>
                <w:sz w:val="20"/>
                <w:szCs w:val="20"/>
              </w:rPr>
            </w:pPr>
            <w:r w:rsidRPr="008977E1">
              <w:rPr>
                <w:rFonts w:ascii="Calibri" w:hAnsi="Calibri" w:cs="Calibri"/>
                <w:b/>
                <w:sz w:val="20"/>
                <w:szCs w:val="20"/>
              </w:rPr>
              <w:t>(1 PU = $330 on or after 7 November 2024)</w:t>
            </w:r>
          </w:p>
        </w:tc>
      </w:tr>
      <w:tr w:rsidR="001137B9" w:rsidRPr="000F76F3" w14:paraId="3BF3BE1E" w14:textId="77777777" w:rsidTr="00207D26">
        <w:trPr>
          <w:trHeight w:val="300"/>
        </w:trPr>
        <w:tc>
          <w:tcPr>
            <w:tcW w:w="3820" w:type="dxa"/>
            <w:vAlign w:val="center"/>
            <w:hideMark/>
          </w:tcPr>
          <w:p w14:paraId="133748C5" w14:textId="1D5BA904" w:rsidR="001137B9" w:rsidRPr="008977E1" w:rsidRDefault="001137B9" w:rsidP="000E0121">
            <w:pPr>
              <w:rPr>
                <w:rFonts w:ascii="Calibri" w:hAnsi="Calibri" w:cs="Calibri"/>
                <w:bCs/>
                <w:sz w:val="20"/>
                <w:szCs w:val="20"/>
              </w:rPr>
            </w:pPr>
            <w:r w:rsidRPr="008977E1">
              <w:rPr>
                <w:rFonts w:ascii="Calibri" w:hAnsi="Calibri" w:cs="Calibri"/>
                <w:bCs/>
                <w:sz w:val="20"/>
                <w:szCs w:val="20"/>
              </w:rPr>
              <w:t>Section 172(1): Non-financial members to be removed from the register</w:t>
            </w:r>
          </w:p>
        </w:tc>
        <w:tc>
          <w:tcPr>
            <w:tcW w:w="1985" w:type="dxa"/>
            <w:vAlign w:val="center"/>
            <w:hideMark/>
          </w:tcPr>
          <w:p w14:paraId="4AEF59C6" w14:textId="77777777" w:rsidR="001137B9" w:rsidRPr="008977E1" w:rsidRDefault="001137B9">
            <w:pPr>
              <w:jc w:val="center"/>
              <w:rPr>
                <w:rFonts w:ascii="Calibri" w:hAnsi="Calibri" w:cs="Calibri"/>
                <w:bCs/>
                <w:sz w:val="20"/>
                <w:szCs w:val="20"/>
              </w:rPr>
            </w:pPr>
            <w:r w:rsidRPr="008977E1">
              <w:rPr>
                <w:rFonts w:ascii="Calibri" w:hAnsi="Calibri" w:cs="Calibri"/>
                <w:bCs/>
                <w:sz w:val="20"/>
                <w:szCs w:val="20"/>
              </w:rPr>
              <w:t>60 PUs</w:t>
            </w:r>
          </w:p>
        </w:tc>
        <w:tc>
          <w:tcPr>
            <w:tcW w:w="2910" w:type="dxa"/>
            <w:vAlign w:val="center"/>
            <w:hideMark/>
          </w:tcPr>
          <w:p w14:paraId="5B53E136" w14:textId="77777777" w:rsidR="001137B9" w:rsidRPr="008977E1" w:rsidRDefault="001137B9">
            <w:pPr>
              <w:jc w:val="center"/>
              <w:rPr>
                <w:rFonts w:ascii="Calibri" w:hAnsi="Calibri" w:cs="Calibri"/>
                <w:bCs/>
                <w:sz w:val="20"/>
                <w:szCs w:val="20"/>
              </w:rPr>
            </w:pPr>
            <w:r w:rsidRPr="008977E1">
              <w:rPr>
                <w:rFonts w:ascii="Calibri" w:hAnsi="Calibri" w:cs="Calibri"/>
                <w:bCs/>
                <w:sz w:val="20"/>
                <w:szCs w:val="20"/>
              </w:rPr>
              <w:t>$19,800</w:t>
            </w:r>
          </w:p>
        </w:tc>
      </w:tr>
      <w:tr w:rsidR="001137B9" w:rsidRPr="000F76F3" w14:paraId="361502C5" w14:textId="77777777" w:rsidTr="00207D26">
        <w:trPr>
          <w:trHeight w:val="300"/>
        </w:trPr>
        <w:tc>
          <w:tcPr>
            <w:tcW w:w="3820" w:type="dxa"/>
            <w:vAlign w:val="center"/>
            <w:hideMark/>
          </w:tcPr>
          <w:p w14:paraId="10D15526" w14:textId="3538A712" w:rsidR="001137B9" w:rsidRPr="008977E1" w:rsidRDefault="001137B9">
            <w:pPr>
              <w:rPr>
                <w:rFonts w:ascii="Calibri" w:hAnsi="Calibri" w:cs="Calibri"/>
                <w:bCs/>
                <w:sz w:val="20"/>
                <w:szCs w:val="20"/>
              </w:rPr>
            </w:pPr>
            <w:r w:rsidRPr="008977E1">
              <w:rPr>
                <w:rFonts w:ascii="Calibri" w:hAnsi="Calibri" w:cs="Calibri"/>
                <w:bCs/>
                <w:sz w:val="20"/>
                <w:szCs w:val="20"/>
              </w:rPr>
              <w:t>Section 189(2): General Manager to arrange for conduct of elections</w:t>
            </w:r>
          </w:p>
        </w:tc>
        <w:tc>
          <w:tcPr>
            <w:tcW w:w="1985" w:type="dxa"/>
            <w:vAlign w:val="center"/>
            <w:hideMark/>
          </w:tcPr>
          <w:p w14:paraId="49BC5AE3" w14:textId="77777777" w:rsidR="001137B9" w:rsidRPr="008977E1" w:rsidRDefault="001137B9">
            <w:pPr>
              <w:jc w:val="center"/>
              <w:rPr>
                <w:rFonts w:ascii="Calibri" w:hAnsi="Calibri" w:cs="Calibri"/>
                <w:bCs/>
                <w:sz w:val="20"/>
                <w:szCs w:val="20"/>
              </w:rPr>
            </w:pPr>
            <w:r w:rsidRPr="008977E1">
              <w:rPr>
                <w:rFonts w:ascii="Calibri" w:hAnsi="Calibri" w:cs="Calibri"/>
                <w:bCs/>
                <w:sz w:val="20"/>
                <w:szCs w:val="20"/>
              </w:rPr>
              <w:t>60 PUs</w:t>
            </w:r>
          </w:p>
        </w:tc>
        <w:tc>
          <w:tcPr>
            <w:tcW w:w="2910" w:type="dxa"/>
            <w:vAlign w:val="center"/>
            <w:hideMark/>
          </w:tcPr>
          <w:p w14:paraId="07E6A357" w14:textId="1C0A037D" w:rsidR="001137B9" w:rsidRPr="008977E1" w:rsidRDefault="001137B9" w:rsidP="000E0121">
            <w:pPr>
              <w:jc w:val="center"/>
              <w:rPr>
                <w:rFonts w:ascii="Calibri" w:hAnsi="Calibri" w:cs="Calibri"/>
                <w:bCs/>
                <w:sz w:val="20"/>
                <w:szCs w:val="20"/>
              </w:rPr>
            </w:pPr>
            <w:r w:rsidRPr="008977E1">
              <w:rPr>
                <w:rFonts w:ascii="Calibri" w:hAnsi="Calibri" w:cs="Calibri"/>
                <w:bCs/>
                <w:sz w:val="20"/>
                <w:szCs w:val="20"/>
              </w:rPr>
              <w:t>$19,800</w:t>
            </w:r>
          </w:p>
        </w:tc>
      </w:tr>
      <w:tr w:rsidR="001137B9" w:rsidRPr="00140806" w14:paraId="7B92922E" w14:textId="77777777" w:rsidTr="00207D26">
        <w:trPr>
          <w:trHeight w:val="300"/>
        </w:trPr>
        <w:tc>
          <w:tcPr>
            <w:tcW w:w="3820" w:type="dxa"/>
            <w:vAlign w:val="center"/>
            <w:hideMark/>
          </w:tcPr>
          <w:p w14:paraId="370FC4EF" w14:textId="0810927F" w:rsidR="001137B9" w:rsidRPr="008977E1" w:rsidRDefault="001137B9" w:rsidP="000E0121">
            <w:pPr>
              <w:rPr>
                <w:rFonts w:ascii="Calibri" w:hAnsi="Calibri" w:cs="Calibri"/>
                <w:bCs/>
                <w:sz w:val="20"/>
                <w:szCs w:val="20"/>
              </w:rPr>
            </w:pPr>
            <w:r w:rsidRPr="008977E1">
              <w:rPr>
                <w:rFonts w:ascii="Calibri" w:hAnsi="Calibri" w:cs="Calibri"/>
                <w:bCs/>
                <w:sz w:val="20"/>
                <w:szCs w:val="20"/>
              </w:rPr>
              <w:t>Section 233(1) and (2): Obligation to lodge information with the Fair Work Commission</w:t>
            </w:r>
          </w:p>
        </w:tc>
        <w:tc>
          <w:tcPr>
            <w:tcW w:w="1985" w:type="dxa"/>
            <w:vAlign w:val="center"/>
            <w:hideMark/>
          </w:tcPr>
          <w:p w14:paraId="7302CFC0" w14:textId="77777777" w:rsidR="001137B9" w:rsidRPr="008977E1" w:rsidRDefault="001137B9">
            <w:pPr>
              <w:jc w:val="center"/>
              <w:rPr>
                <w:rFonts w:ascii="Calibri" w:hAnsi="Calibri" w:cs="Calibri"/>
                <w:bCs/>
                <w:sz w:val="20"/>
                <w:szCs w:val="20"/>
              </w:rPr>
            </w:pPr>
            <w:r w:rsidRPr="008977E1">
              <w:rPr>
                <w:rFonts w:ascii="Calibri" w:hAnsi="Calibri" w:cs="Calibri"/>
                <w:bCs/>
                <w:sz w:val="20"/>
                <w:szCs w:val="20"/>
              </w:rPr>
              <w:t>60 PUs</w:t>
            </w:r>
          </w:p>
        </w:tc>
        <w:tc>
          <w:tcPr>
            <w:tcW w:w="2910" w:type="dxa"/>
            <w:vAlign w:val="center"/>
            <w:hideMark/>
          </w:tcPr>
          <w:p w14:paraId="4DE8EB2A" w14:textId="77777777" w:rsidR="001137B9" w:rsidRPr="008977E1" w:rsidRDefault="001137B9">
            <w:pPr>
              <w:jc w:val="center"/>
              <w:rPr>
                <w:rFonts w:ascii="Calibri" w:hAnsi="Calibri" w:cs="Calibri"/>
                <w:bCs/>
                <w:sz w:val="20"/>
                <w:szCs w:val="20"/>
              </w:rPr>
            </w:pPr>
            <w:r w:rsidRPr="008977E1">
              <w:rPr>
                <w:rFonts w:ascii="Calibri" w:hAnsi="Calibri" w:cs="Calibri"/>
                <w:bCs/>
                <w:sz w:val="20"/>
                <w:szCs w:val="20"/>
              </w:rPr>
              <w:t>$19,800</w:t>
            </w:r>
          </w:p>
        </w:tc>
      </w:tr>
    </w:tbl>
    <w:p w14:paraId="40FEEC71" w14:textId="67F585AE" w:rsidR="001137B9" w:rsidRDefault="000E0121" w:rsidP="00DC0539">
      <w:pPr>
        <w:pStyle w:val="Source"/>
      </w:pPr>
      <w:bookmarkStart w:id="170" w:name="_Toc187946401"/>
      <w:r w:rsidRPr="00DC0539">
        <w:rPr>
          <w:b/>
          <w:bCs/>
        </w:rPr>
        <w:t>Note:</w:t>
      </w:r>
      <w:r>
        <w:t xml:space="preserve"> PU</w:t>
      </w:r>
      <w:r w:rsidR="00D7580A">
        <w:t>:</w:t>
      </w:r>
      <w:r>
        <w:t xml:space="preserve"> penalty unit; RO Act</w:t>
      </w:r>
      <w:r w:rsidR="00D7580A">
        <w:t>:</w:t>
      </w:r>
      <w:r>
        <w:t xml:space="preserve"> </w:t>
      </w:r>
      <w:r w:rsidRPr="00DC0539">
        <w:rPr>
          <w:i/>
          <w:iCs/>
        </w:rPr>
        <w:t>Fair Work (Registered Organisations) Act 2009</w:t>
      </w:r>
      <w:r>
        <w:t>.</w:t>
      </w:r>
    </w:p>
    <w:p w14:paraId="706481E8" w14:textId="77777777" w:rsidR="00410C27" w:rsidRDefault="00410C27">
      <w:pPr>
        <w:spacing w:after="160"/>
        <w:rPr>
          <w:rFonts w:asciiTheme="majorHAnsi" w:eastAsiaTheme="majorEastAsia" w:hAnsiTheme="majorHAnsi" w:cstheme="majorBidi"/>
          <w:b/>
          <w:color w:val="62165C"/>
          <w:sz w:val="26"/>
        </w:rPr>
      </w:pPr>
      <w:r>
        <w:br w:type="page"/>
      </w:r>
    </w:p>
    <w:p w14:paraId="0EC17D1A" w14:textId="4C0B8119" w:rsidR="001137B9" w:rsidRPr="00DC0539" w:rsidRDefault="001137B9" w:rsidP="00EC3517">
      <w:pPr>
        <w:pStyle w:val="Heading5"/>
      </w:pPr>
      <w:r w:rsidRPr="00DC0539">
        <w:lastRenderedPageBreak/>
        <w:t>7.2.2 Qualitative evidence</w:t>
      </w:r>
      <w:bookmarkEnd w:id="170"/>
    </w:p>
    <w:p w14:paraId="683491B3" w14:textId="77777777" w:rsidR="0011475D" w:rsidRDefault="001137B9" w:rsidP="001137B9">
      <w:r w:rsidRPr="00167CB8">
        <w:t>Stakeholder engagement raised a question</w:t>
      </w:r>
      <w:r w:rsidRPr="00167CB8" w:rsidDel="007A790B">
        <w:t xml:space="preserve"> </w:t>
      </w:r>
      <w:r w:rsidRPr="00167CB8">
        <w:t>in relation to whether the infringement notice penalty amount that is calculated by reference to the Regulatory Powers Act is proportionate to contravening conduct which is potentially subject to an infringement notice under s 316A of the RO Act.</w:t>
      </w:r>
    </w:p>
    <w:p w14:paraId="18633343" w14:textId="2FED13A7" w:rsidR="001137B9" w:rsidRPr="00167CB8" w:rsidRDefault="001137B9" w:rsidP="001137B9">
      <w:r w:rsidRPr="00B654CE">
        <w:t xml:space="preserve">The FWC’s Compliance </w:t>
      </w:r>
      <w:r w:rsidR="00B654CE" w:rsidRPr="00326084">
        <w:t xml:space="preserve">and Enforcement </w:t>
      </w:r>
      <w:r w:rsidRPr="00B654CE">
        <w:t>Policy</w:t>
      </w:r>
      <w:r w:rsidRPr="00167CB8">
        <w:t xml:space="preserve"> set</w:t>
      </w:r>
      <w:r w:rsidR="00B654CE">
        <w:t>s</w:t>
      </w:r>
      <w:r w:rsidRPr="00167CB8">
        <w:t xml:space="preserve"> out how the General Manager would regulate registered organisations and outlined ‘how new enforcement powers granted to the General Manager in March 2023’ under the</w:t>
      </w:r>
      <w:r w:rsidRPr="00167CB8">
        <w:rPr>
          <w:i/>
        </w:rPr>
        <w:t xml:space="preserve"> </w:t>
      </w:r>
      <w:r w:rsidRPr="00167CB8">
        <w:t>Secure Jobs, Better Pay Act would be used.</w:t>
      </w:r>
      <w:r w:rsidRPr="00167CB8">
        <w:rPr>
          <w:vertAlign w:val="superscript"/>
        </w:rPr>
        <w:footnoteReference w:id="246"/>
      </w:r>
      <w:r w:rsidRPr="00167CB8">
        <w:t xml:space="preserve"> The FWC has also published guidance material on its </w:t>
      </w:r>
      <w:r w:rsidRPr="00B654CE">
        <w:t>website and in its Compliance and Enforcement Policy.</w:t>
      </w:r>
      <w:r w:rsidRPr="00B654CE">
        <w:rPr>
          <w:rStyle w:val="FootnoteReference"/>
        </w:rPr>
        <w:footnoteReference w:id="247"/>
      </w:r>
    </w:p>
    <w:p w14:paraId="30B25EF8" w14:textId="77777777" w:rsidR="001137B9" w:rsidRDefault="001137B9" w:rsidP="001137B9">
      <w:r w:rsidRPr="396ABCA7">
        <w:t xml:space="preserve">The Secure Jobs, Better Pay infringement notice amendments were not entered into in a new jurisdiction or in a vacuum. Past regulators have </w:t>
      </w:r>
      <w:r w:rsidRPr="00567F4E">
        <w:t>successfully prosecuted contraventions and had penalties ordered in the Federal Court for contraventions of the same provisions that</w:t>
      </w:r>
      <w:r w:rsidRPr="396ABCA7">
        <w:t xml:space="preserve"> can now be subject to an infringement notice, indicating that there is precedent which tends to suggest the potential amount of those penalties.</w:t>
      </w:r>
    </w:p>
    <w:p w14:paraId="45F20A76" w14:textId="77777777" w:rsidR="001137B9" w:rsidRPr="00326084" w:rsidRDefault="001137B9" w:rsidP="00EC3517">
      <w:pPr>
        <w:pStyle w:val="Heading5"/>
      </w:pPr>
      <w:bookmarkStart w:id="171" w:name="_Toc187946402"/>
      <w:r w:rsidRPr="00326084">
        <w:t>7.2.3 Stakeholder views</w:t>
      </w:r>
      <w:bookmarkEnd w:id="171"/>
    </w:p>
    <w:p w14:paraId="2F607E0F" w14:textId="77777777" w:rsidR="0011475D" w:rsidRDefault="001137B9" w:rsidP="001137B9">
      <w:r w:rsidRPr="00167CB8">
        <w:t>Few of the submissions to the Review made mention of the General Manager ’s adoption of the ROC’s regulatory regime or new enforcement powers.</w:t>
      </w:r>
    </w:p>
    <w:p w14:paraId="1B9213E8" w14:textId="6506A561" w:rsidR="0011475D" w:rsidRDefault="001137B9" w:rsidP="001137B9">
      <w:r w:rsidRPr="396ABCA7">
        <w:t>The Minerals Council of Australia stated that ‘Unions must be better regulated to prevent corruption and abuses’</w:t>
      </w:r>
      <w:r w:rsidR="0011475D">
        <w:t>.</w:t>
      </w:r>
      <w:r w:rsidRPr="396ABCA7">
        <w:rPr>
          <w:rStyle w:val="FootnoteReference"/>
        </w:rPr>
        <w:footnoteReference w:id="248"/>
      </w:r>
    </w:p>
    <w:p w14:paraId="3F74302E" w14:textId="12C241A5" w:rsidR="001137B9" w:rsidRPr="00167CB8" w:rsidRDefault="001137B9" w:rsidP="001137B9">
      <w:r w:rsidRPr="00567F4E">
        <w:t>The United Workers Union stated</w:t>
      </w:r>
      <w:r w:rsidRPr="396ABCA7">
        <w:t xml:space="preserve"> the ‘additional enforcement options, such as enforceable undertakings, has helped the parties to save costs on compliance’.</w:t>
      </w:r>
      <w:r w:rsidRPr="396ABCA7">
        <w:rPr>
          <w:rStyle w:val="FootnoteReference"/>
        </w:rPr>
        <w:footnoteReference w:id="249"/>
      </w:r>
    </w:p>
    <w:p w14:paraId="67693CB6" w14:textId="5AEEF172" w:rsidR="001137B9" w:rsidRPr="00167CB8" w:rsidRDefault="001137B9" w:rsidP="001137B9">
      <w:r w:rsidRPr="00167CB8">
        <w:t>The Australian Council of Trade Unions (ACTU) state</w:t>
      </w:r>
      <w:r w:rsidR="0011475D">
        <w:t>d</w:t>
      </w:r>
      <w:r w:rsidRPr="00167CB8">
        <w:t xml:space="preserve"> that it sees ‘the introduction of enforceable undertakings as a positive change to the regulation of registered organisations’</w:t>
      </w:r>
      <w:r w:rsidR="0011475D">
        <w:t>.</w:t>
      </w:r>
      <w:r w:rsidRPr="00167CB8">
        <w:rPr>
          <w:rStyle w:val="FootnoteReference"/>
        </w:rPr>
        <w:footnoteReference w:id="250"/>
      </w:r>
    </w:p>
    <w:p w14:paraId="34AFA8C9" w14:textId="2EC37D84" w:rsidR="0011475D" w:rsidRDefault="001137B9" w:rsidP="001137B9">
      <w:r w:rsidRPr="0016602B">
        <w:t>In submissions in response to the draft report, the ACTU agreed with the Review Panel that ‘an Infringement Notice penalty of $19,800 is likely to be excessive for many of the potential contraventions to which it applies under s 316A of RO Act’.</w:t>
      </w:r>
      <w:r w:rsidRPr="0016602B">
        <w:rPr>
          <w:rStyle w:val="FootnoteReference"/>
        </w:rPr>
        <w:footnoteReference w:id="251"/>
      </w:r>
      <w:r w:rsidRPr="0016602B">
        <w:t xml:space="preserve"> While </w:t>
      </w:r>
      <w:r w:rsidR="0011475D">
        <w:t xml:space="preserve">the </w:t>
      </w:r>
      <w:r w:rsidRPr="0016602B">
        <w:t>ACTU came to a different calculation of the infringement notice penalty under s</w:t>
      </w:r>
      <w:r w:rsidR="0011475D">
        <w:t> </w:t>
      </w:r>
      <w:r w:rsidRPr="0016602B">
        <w:t>189 of the RO Act, the Review Panel notes that the infringement notice penalty amount is $19,800</w:t>
      </w:r>
      <w:r w:rsidR="0011475D">
        <w:t>,</w:t>
      </w:r>
      <w:r w:rsidRPr="0016602B">
        <w:t xml:space="preserve"> as this provision relates to a failure by an organisation, not an individual, to meet the prescribed timeframes.</w:t>
      </w:r>
    </w:p>
    <w:p w14:paraId="14F75FEB" w14:textId="60DC5BDA" w:rsidR="001137B9" w:rsidRPr="0016602B" w:rsidRDefault="00B654CE" w:rsidP="001137B9">
      <w:r w:rsidRPr="00B654CE">
        <w:t>The Chamber of Minerals and Energy</w:t>
      </w:r>
      <w:r w:rsidR="001137B9" w:rsidRPr="00B654CE">
        <w:t>,</w:t>
      </w:r>
      <w:r w:rsidR="001137B9" w:rsidRPr="00B654CE">
        <w:rPr>
          <w:rStyle w:val="FootnoteReference"/>
        </w:rPr>
        <w:footnoteReference w:id="252"/>
      </w:r>
      <w:r w:rsidR="001137B9" w:rsidRPr="00B654CE">
        <w:t xml:space="preserve"> </w:t>
      </w:r>
      <w:r w:rsidRPr="00B654CE">
        <w:t>Electrical Trades Union (</w:t>
      </w:r>
      <w:r w:rsidR="001137B9" w:rsidRPr="00B654CE">
        <w:t>ETU</w:t>
      </w:r>
      <w:r w:rsidRPr="002B7A8E">
        <w:t>)</w:t>
      </w:r>
      <w:r w:rsidR="001137B9" w:rsidRPr="00B654CE">
        <w:rPr>
          <w:rStyle w:val="FootnoteReference"/>
        </w:rPr>
        <w:footnoteReference w:id="253"/>
      </w:r>
      <w:r w:rsidR="001137B9" w:rsidRPr="00B654CE">
        <w:t xml:space="preserve"> and </w:t>
      </w:r>
      <w:r w:rsidRPr="00B654CE">
        <w:t>Australian Chamber of Commerce and Industry (</w:t>
      </w:r>
      <w:r w:rsidR="001137B9" w:rsidRPr="00B654CE">
        <w:t>ACCI</w:t>
      </w:r>
      <w:r w:rsidRPr="00B654CE">
        <w:t>)</w:t>
      </w:r>
      <w:r w:rsidR="001137B9" w:rsidRPr="00B654CE">
        <w:rPr>
          <w:rStyle w:val="FootnoteReference"/>
        </w:rPr>
        <w:footnoteReference w:id="254"/>
      </w:r>
      <w:r w:rsidR="001137B9" w:rsidRPr="00B654CE">
        <w:t xml:space="preserve"> were supportive of the proposed </w:t>
      </w:r>
      <w:r w:rsidR="001137B9" w:rsidRPr="00B654CE">
        <w:lastRenderedPageBreak/>
        <w:t xml:space="preserve">recommendation </w:t>
      </w:r>
      <w:r w:rsidR="0011475D" w:rsidRPr="00B654CE">
        <w:t xml:space="preserve">that </w:t>
      </w:r>
      <w:r w:rsidR="001137B9" w:rsidRPr="00B654CE">
        <w:t xml:space="preserve">the Australian Government consider whether penalty amounts payable under </w:t>
      </w:r>
      <w:r w:rsidR="0011475D" w:rsidRPr="00B654CE">
        <w:t>i</w:t>
      </w:r>
      <w:r w:rsidR="001137B9" w:rsidRPr="00B654CE">
        <w:t xml:space="preserve">nfringement </w:t>
      </w:r>
      <w:r w:rsidR="0011475D" w:rsidRPr="00B654CE">
        <w:t>n</w:t>
      </w:r>
      <w:r w:rsidR="001137B9" w:rsidRPr="00B654CE">
        <w:t xml:space="preserve">otices are proportionate. ETU contended </w:t>
      </w:r>
      <w:r w:rsidR="0011475D" w:rsidRPr="00B654CE">
        <w:t>that</w:t>
      </w:r>
      <w:r w:rsidR="0011475D">
        <w:t xml:space="preserve"> </w:t>
      </w:r>
      <w:r w:rsidR="001137B9" w:rsidRPr="0016602B">
        <w:t xml:space="preserve">consultation should include </w:t>
      </w:r>
      <w:r w:rsidR="0011475D">
        <w:t>r</w:t>
      </w:r>
      <w:r w:rsidR="001137B9" w:rsidRPr="0016602B">
        <w:t xml:space="preserve">egistered </w:t>
      </w:r>
      <w:r w:rsidR="0011475D">
        <w:t>o</w:t>
      </w:r>
      <w:r w:rsidR="001137B9" w:rsidRPr="0016602B">
        <w:t>rganisations</w:t>
      </w:r>
      <w:r w:rsidR="0011475D">
        <w:t>,</w:t>
      </w:r>
      <w:r w:rsidR="001137B9" w:rsidRPr="0016602B">
        <w:t xml:space="preserve"> and the FWC ‘should be given the discretion to issue a single infringement notice relating to multiple contraventions if those contraventions are part of an ongoing course of conduct’.</w:t>
      </w:r>
      <w:r w:rsidR="001137B9" w:rsidRPr="0016602B">
        <w:rPr>
          <w:rStyle w:val="FootnoteReference"/>
        </w:rPr>
        <w:footnoteReference w:id="255"/>
      </w:r>
      <w:r w:rsidR="001137B9" w:rsidRPr="0016602B">
        <w:t xml:space="preserve"> ACCI agreed with the proposed recommendation in principle and expressed its interest in participating in any consultative processes.</w:t>
      </w:r>
      <w:r w:rsidR="001137B9" w:rsidRPr="0016602B">
        <w:rPr>
          <w:rStyle w:val="FootnoteReference"/>
        </w:rPr>
        <w:footnoteReference w:id="256"/>
      </w:r>
    </w:p>
    <w:p w14:paraId="712782AD" w14:textId="337ABC22" w:rsidR="001137B9" w:rsidRPr="00167CB8" w:rsidRDefault="00B654CE" w:rsidP="001137B9">
      <w:r w:rsidRPr="002B7A8E">
        <w:t xml:space="preserve">The </w:t>
      </w:r>
      <w:r w:rsidRPr="00B654CE">
        <w:t>Chamber of Commerce and Industry of Western Australia (</w:t>
      </w:r>
      <w:r w:rsidR="001137B9" w:rsidRPr="00B654CE">
        <w:t>CCIWA</w:t>
      </w:r>
      <w:r w:rsidRPr="00B654CE">
        <w:t>)</w:t>
      </w:r>
      <w:r w:rsidR="001137B9" w:rsidRPr="00B654CE">
        <w:t xml:space="preserve"> opposed the proposed</w:t>
      </w:r>
      <w:r w:rsidR="001137B9" w:rsidRPr="0016602B">
        <w:t xml:space="preserve"> recommendation</w:t>
      </w:r>
      <w:r w:rsidR="0011475D">
        <w:t>,</w:t>
      </w:r>
      <w:r w:rsidR="001137B9" w:rsidRPr="0016602B">
        <w:t xml:space="preserve"> emphasising that regulatory paperwork is important, the </w:t>
      </w:r>
      <w:r w:rsidR="0011475D">
        <w:t>i</w:t>
      </w:r>
      <w:r w:rsidR="001137B9" w:rsidRPr="0016602B">
        <w:t xml:space="preserve">nfringement </w:t>
      </w:r>
      <w:r w:rsidR="0011475D">
        <w:t>n</w:t>
      </w:r>
      <w:r w:rsidR="001137B9" w:rsidRPr="0016602B">
        <w:t>otice penalties are in line with other regulators and the General Manager has various other regulatory options available.</w:t>
      </w:r>
      <w:r w:rsidR="001137B9" w:rsidRPr="0016602B">
        <w:rPr>
          <w:rStyle w:val="FootnoteReference"/>
        </w:rPr>
        <w:footnoteReference w:id="257"/>
      </w:r>
    </w:p>
    <w:p w14:paraId="13CD0B8E" w14:textId="77777777" w:rsidR="001137B9" w:rsidRPr="002B7A8E" w:rsidRDefault="001137B9" w:rsidP="00EC3517">
      <w:pPr>
        <w:pStyle w:val="Heading4"/>
      </w:pPr>
      <w:bookmarkStart w:id="172" w:name="_Toc187946403"/>
      <w:bookmarkStart w:id="173" w:name="_Toc188277921"/>
      <w:bookmarkStart w:id="174" w:name="_Toc189260214"/>
      <w:bookmarkStart w:id="175" w:name="_Toc189393530"/>
      <w:r w:rsidRPr="002B7A8E">
        <w:t>7.3 Findings and recommendations</w:t>
      </w:r>
      <w:bookmarkEnd w:id="172"/>
      <w:bookmarkEnd w:id="173"/>
      <w:bookmarkEnd w:id="174"/>
      <w:bookmarkEnd w:id="175"/>
    </w:p>
    <w:p w14:paraId="3B5F79B4" w14:textId="77777777" w:rsidR="0011475D" w:rsidRDefault="001137B9" w:rsidP="001137B9">
      <w:bookmarkStart w:id="176" w:name="_Hlk188605478"/>
      <w:r w:rsidRPr="00167CB8">
        <w:t>The Review Panel finds mixed evidence relating to the effectiveness of the amendments</w:t>
      </w:r>
      <w:r>
        <w:t>’ operations</w:t>
      </w:r>
      <w:r w:rsidRPr="00167CB8">
        <w:t>.</w:t>
      </w:r>
    </w:p>
    <w:p w14:paraId="42DF9478" w14:textId="77777777" w:rsidR="0011475D" w:rsidRDefault="001137B9" w:rsidP="001137B9">
      <w:r w:rsidRPr="396ABCA7">
        <w:t xml:space="preserve">The Review Panel finds that the power of the General Manager of the FWC to issue enforceable undertakings is operating as intended, with the General Manager having issued </w:t>
      </w:r>
      <w:r>
        <w:t>two</w:t>
      </w:r>
      <w:r w:rsidRPr="396ABCA7">
        <w:t xml:space="preserve"> enforceable undertakings since the provisions came into effect on 6 March 2023.</w:t>
      </w:r>
    </w:p>
    <w:p w14:paraId="057C177C" w14:textId="77777777" w:rsidR="0011475D" w:rsidRDefault="001137B9" w:rsidP="001137B9">
      <w:r w:rsidRPr="396ABCA7">
        <w:t xml:space="preserve">However, the Review Panel finds that the infringement notices power is not operating as effectively as it could. The General Manager of the FWC has not issued an infringement notice between 6 March 2023, when the provisions came into effect, and </w:t>
      </w:r>
      <w:r>
        <w:t>21 February</w:t>
      </w:r>
      <w:r w:rsidRPr="396ABCA7">
        <w:t xml:space="preserve"> 2025.</w:t>
      </w:r>
    </w:p>
    <w:p w14:paraId="0CB9C633" w14:textId="184CBE1D" w:rsidR="006E4183" w:rsidRDefault="001137B9" w:rsidP="001137B9">
      <w:r w:rsidRPr="396ABCA7">
        <w:t>The Review Panel notes that an impediment to wider use of this sanction appears to be the scale of penalties, which is beyond the discretion of the General Manager. For example, for a registered organisation’s paperwork-based error, such as missing a timeframe to lodge prescribed information in relation to an election to be conducted by the AEC (under s</w:t>
      </w:r>
      <w:r w:rsidR="0011475D">
        <w:t> </w:t>
      </w:r>
      <w:r w:rsidRPr="396ABCA7">
        <w:t>189 of the RO Act), the infringement notice penalty amount</w:t>
      </w:r>
      <w:r>
        <w:t xml:space="preserve"> </w:t>
      </w:r>
      <w:r w:rsidRPr="396ABCA7">
        <w:t>is $19,800 per alleged contravention.</w:t>
      </w:r>
      <w:r w:rsidR="00C12E51">
        <w:t xml:space="preserve"> </w:t>
      </w:r>
    </w:p>
    <w:p w14:paraId="2E01D27B" w14:textId="36782F2C" w:rsidR="0011475D" w:rsidRDefault="001137B9" w:rsidP="001137B9">
      <w:r w:rsidRPr="396ABCA7">
        <w:t xml:space="preserve">The Review Panel considers that this seems disproportionate to the conduct and alleged contravention </w:t>
      </w:r>
      <w:r w:rsidR="00567F4E">
        <w:t xml:space="preserve">these penalties </w:t>
      </w:r>
      <w:r w:rsidRPr="396ABCA7">
        <w:t xml:space="preserve">seek to address. These penalties may also be disproportionate compared to penalties for less serious conduct under other provisions of the RO Act. </w:t>
      </w:r>
      <w:bookmarkEnd w:id="176"/>
      <w:r w:rsidRPr="396ABCA7">
        <w:t xml:space="preserve">The Review Panel makes a recommendation in relation to this. </w:t>
      </w:r>
      <w:r>
        <w:t>The Panel notes CCIWA’s opposition to this recommendation</w:t>
      </w:r>
      <w:r w:rsidR="0011475D">
        <w:t>;</w:t>
      </w:r>
      <w:r>
        <w:t xml:space="preserve"> however</w:t>
      </w:r>
      <w:r w:rsidR="0011475D">
        <w:t>,</w:t>
      </w:r>
      <w:r>
        <w:t xml:space="preserve"> it is the Panel’s view that the proportionality of these penalties should be considered.</w:t>
      </w:r>
    </w:p>
    <w:p w14:paraId="6DE1A2BA" w14:textId="316AF2A0" w:rsidR="00D82BD0" w:rsidRPr="00D82BD0" w:rsidRDefault="001137B9" w:rsidP="001137B9">
      <w:r w:rsidRPr="396ABCA7">
        <w:rPr>
          <w:b/>
          <w:bCs/>
        </w:rPr>
        <w:t xml:space="preserve">Recommendation 4: The Australian Government </w:t>
      </w:r>
      <w:r w:rsidR="00567F4E">
        <w:rPr>
          <w:b/>
          <w:bCs/>
        </w:rPr>
        <w:t xml:space="preserve">should </w:t>
      </w:r>
      <w:r w:rsidRPr="396ABCA7">
        <w:rPr>
          <w:b/>
          <w:bCs/>
        </w:rPr>
        <w:t xml:space="preserve">consult, including with the General Manager of the Fair Work Commission, to consider whether penalty amounts payable under </w:t>
      </w:r>
      <w:r w:rsidR="0011475D">
        <w:rPr>
          <w:b/>
          <w:bCs/>
        </w:rPr>
        <w:t>i</w:t>
      </w:r>
      <w:r w:rsidRPr="396ABCA7">
        <w:rPr>
          <w:b/>
          <w:bCs/>
        </w:rPr>
        <w:t xml:space="preserve">nfringement </w:t>
      </w:r>
      <w:r w:rsidR="0011475D">
        <w:rPr>
          <w:b/>
          <w:bCs/>
        </w:rPr>
        <w:t>n</w:t>
      </w:r>
      <w:r w:rsidRPr="396ABCA7">
        <w:rPr>
          <w:b/>
          <w:bCs/>
        </w:rPr>
        <w:t xml:space="preserve">otices are proportionate to the contraventions that are subject to an </w:t>
      </w:r>
      <w:r w:rsidR="0011475D">
        <w:rPr>
          <w:b/>
          <w:bCs/>
        </w:rPr>
        <w:t>i</w:t>
      </w:r>
      <w:r w:rsidRPr="396ABCA7">
        <w:rPr>
          <w:b/>
          <w:bCs/>
        </w:rPr>
        <w:t xml:space="preserve">nfringement </w:t>
      </w:r>
      <w:r w:rsidR="0011475D">
        <w:rPr>
          <w:b/>
          <w:bCs/>
        </w:rPr>
        <w:t>n</w:t>
      </w:r>
      <w:r w:rsidRPr="396ABCA7">
        <w:rPr>
          <w:b/>
          <w:bCs/>
        </w:rPr>
        <w:t xml:space="preserve">otice under the </w:t>
      </w:r>
      <w:r w:rsidRPr="396ABCA7">
        <w:rPr>
          <w:b/>
          <w:bCs/>
          <w:i/>
          <w:iCs/>
        </w:rPr>
        <w:t>Fair Work (Registered Organisations) Act 2009</w:t>
      </w:r>
      <w:r w:rsidRPr="396ABCA7">
        <w:rPr>
          <w:b/>
          <w:bCs/>
        </w:rPr>
        <w:t>.</w:t>
      </w:r>
      <w:bookmarkEnd w:id="124"/>
    </w:p>
    <w:p w14:paraId="1AC29D92" w14:textId="77777777" w:rsidR="00924664" w:rsidRPr="002D0A8C" w:rsidRDefault="0017134D" w:rsidP="00EC3517">
      <w:pPr>
        <w:pStyle w:val="Heading2"/>
      </w:pPr>
      <w:r>
        <w:br w:type="page"/>
      </w:r>
      <w:bookmarkStart w:id="177" w:name="_Toc189260179"/>
      <w:bookmarkStart w:id="178" w:name="_Toc189260215"/>
      <w:bookmarkStart w:id="179" w:name="_Toc189393531"/>
      <w:bookmarkStart w:id="180" w:name="_Toc192258076"/>
      <w:bookmarkStart w:id="181" w:name="_Toc194311414"/>
      <w:r w:rsidR="00924664" w:rsidRPr="002D0A8C">
        <w:lastRenderedPageBreak/>
        <w:t>Part 2. Bargaining and agreements</w:t>
      </w:r>
      <w:bookmarkEnd w:id="177"/>
      <w:bookmarkEnd w:id="178"/>
      <w:bookmarkEnd w:id="179"/>
      <w:bookmarkEnd w:id="180"/>
      <w:bookmarkEnd w:id="181"/>
    </w:p>
    <w:p w14:paraId="3EF36FB6" w14:textId="77777777" w:rsidR="0011475D" w:rsidRDefault="00924664" w:rsidP="00924664">
      <w:r w:rsidRPr="396ABCA7">
        <w:t>The specific Secure Jobs, Better Pay amendments considered in this part relate to:</w:t>
      </w:r>
    </w:p>
    <w:p w14:paraId="6FA31CFD" w14:textId="1F71EAFB" w:rsidR="00924664" w:rsidRDefault="0011475D" w:rsidP="003F7EE6">
      <w:pPr>
        <w:pStyle w:val="ListBullet"/>
        <w:numPr>
          <w:ilvl w:val="0"/>
          <w:numId w:val="4"/>
        </w:numPr>
      </w:pPr>
      <w:r>
        <w:t>i</w:t>
      </w:r>
      <w:r w:rsidR="00924664">
        <w:t>nitiating bargaining</w:t>
      </w:r>
    </w:p>
    <w:p w14:paraId="5F9C0BB2" w14:textId="3FCB07CF" w:rsidR="00924664" w:rsidRDefault="0011475D" w:rsidP="003F7EE6">
      <w:pPr>
        <w:pStyle w:val="ListBullet"/>
        <w:numPr>
          <w:ilvl w:val="0"/>
          <w:numId w:val="4"/>
        </w:numPr>
      </w:pPr>
      <w:r>
        <w:t>c</w:t>
      </w:r>
      <w:r w:rsidR="00924664">
        <w:t>ooperative workplaces</w:t>
      </w:r>
    </w:p>
    <w:p w14:paraId="00799A30" w14:textId="53BB76C7" w:rsidR="00924664" w:rsidRDefault="0011475D" w:rsidP="003F7EE6">
      <w:pPr>
        <w:pStyle w:val="ListBullet"/>
        <w:numPr>
          <w:ilvl w:val="0"/>
          <w:numId w:val="4"/>
        </w:numPr>
      </w:pPr>
      <w:r>
        <w:t>s</w:t>
      </w:r>
      <w:r w:rsidR="00924664">
        <w:t>upported bargaining</w:t>
      </w:r>
    </w:p>
    <w:p w14:paraId="541CD3D7" w14:textId="680C3BC2" w:rsidR="00924664" w:rsidRDefault="0011475D" w:rsidP="003F7EE6">
      <w:pPr>
        <w:pStyle w:val="ListBullet"/>
        <w:numPr>
          <w:ilvl w:val="0"/>
          <w:numId w:val="4"/>
        </w:numPr>
      </w:pPr>
      <w:r>
        <w:t>s</w:t>
      </w:r>
      <w:r w:rsidR="00924664">
        <w:t>ingle-interest employer authorisations</w:t>
      </w:r>
    </w:p>
    <w:p w14:paraId="70F7C5FB" w14:textId="148386AB" w:rsidR="00924664" w:rsidRDefault="0011475D" w:rsidP="003F7EE6">
      <w:pPr>
        <w:pStyle w:val="ListBullet"/>
        <w:numPr>
          <w:ilvl w:val="0"/>
          <w:numId w:val="4"/>
        </w:numPr>
      </w:pPr>
      <w:r>
        <w:t>e</w:t>
      </w:r>
      <w:r w:rsidR="00924664">
        <w:t>xcluded work</w:t>
      </w:r>
    </w:p>
    <w:p w14:paraId="6C73228B" w14:textId="7F470012" w:rsidR="00924664" w:rsidRDefault="0011475D" w:rsidP="003F7EE6">
      <w:pPr>
        <w:pStyle w:val="ListBullet"/>
        <w:numPr>
          <w:ilvl w:val="0"/>
          <w:numId w:val="4"/>
        </w:numPr>
      </w:pPr>
      <w:r>
        <w:t>b</w:t>
      </w:r>
      <w:r w:rsidR="00924664">
        <w:t>argaining disputes</w:t>
      </w:r>
    </w:p>
    <w:p w14:paraId="18013226" w14:textId="0B0C7804" w:rsidR="00924664" w:rsidRDefault="0011475D" w:rsidP="003F7EE6">
      <w:pPr>
        <w:pStyle w:val="ListBullet"/>
        <w:numPr>
          <w:ilvl w:val="0"/>
          <w:numId w:val="4"/>
        </w:numPr>
      </w:pPr>
      <w:r>
        <w:t>i</w:t>
      </w:r>
      <w:r w:rsidR="00924664">
        <w:t>ndustrial action</w:t>
      </w:r>
    </w:p>
    <w:p w14:paraId="00ED94D4" w14:textId="2227B480" w:rsidR="00924664" w:rsidRDefault="0011475D" w:rsidP="003F7EE6">
      <w:pPr>
        <w:pStyle w:val="ListBullet"/>
        <w:numPr>
          <w:ilvl w:val="0"/>
          <w:numId w:val="4"/>
        </w:numPr>
      </w:pPr>
      <w:r>
        <w:t>e</w:t>
      </w:r>
      <w:r w:rsidR="00924664">
        <w:t>nterprise agreement approval</w:t>
      </w:r>
    </w:p>
    <w:p w14:paraId="35734542" w14:textId="3350E651" w:rsidR="00924664" w:rsidRDefault="004D5F48" w:rsidP="003F7EE6">
      <w:pPr>
        <w:pStyle w:val="ListBullet"/>
        <w:numPr>
          <w:ilvl w:val="0"/>
          <w:numId w:val="4"/>
        </w:numPr>
      </w:pPr>
      <w:r>
        <w:t>b</w:t>
      </w:r>
      <w:r w:rsidR="00924664">
        <w:t xml:space="preserve">etter </w:t>
      </w:r>
      <w:r w:rsidR="00326088">
        <w:t>o</w:t>
      </w:r>
      <w:r w:rsidR="00924664">
        <w:t xml:space="preserve">ff </w:t>
      </w:r>
      <w:r w:rsidR="00326088">
        <w:t>o</w:t>
      </w:r>
      <w:r w:rsidR="00924664">
        <w:t xml:space="preserve">verall </w:t>
      </w:r>
      <w:r w:rsidR="00326088">
        <w:t>t</w:t>
      </w:r>
      <w:r w:rsidR="00924664">
        <w:t>est</w:t>
      </w:r>
    </w:p>
    <w:p w14:paraId="2234D051" w14:textId="629B9FEB" w:rsidR="00924664" w:rsidRDefault="0011475D" w:rsidP="003F7EE6">
      <w:pPr>
        <w:pStyle w:val="ListBullet"/>
        <w:numPr>
          <w:ilvl w:val="0"/>
          <w:numId w:val="4"/>
        </w:numPr>
      </w:pPr>
      <w:r>
        <w:t>d</w:t>
      </w:r>
      <w:r w:rsidR="00924664">
        <w:t>ealing with errors in enterprise agreements</w:t>
      </w:r>
    </w:p>
    <w:p w14:paraId="5F288279" w14:textId="1D6A5300" w:rsidR="00924664" w:rsidRDefault="0011475D" w:rsidP="003F7EE6">
      <w:pPr>
        <w:pStyle w:val="ListBullet"/>
        <w:numPr>
          <w:ilvl w:val="0"/>
          <w:numId w:val="4"/>
        </w:numPr>
      </w:pPr>
      <w:r>
        <w:t>v</w:t>
      </w:r>
      <w:r w:rsidR="00924664">
        <w:t>arying enterprise agreements to remove employers and their employees</w:t>
      </w:r>
    </w:p>
    <w:p w14:paraId="30224E00" w14:textId="12FEE053" w:rsidR="00924664" w:rsidRDefault="0011475D" w:rsidP="003F7EE6">
      <w:pPr>
        <w:pStyle w:val="ListBullet"/>
        <w:numPr>
          <w:ilvl w:val="0"/>
          <w:numId w:val="4"/>
        </w:numPr>
      </w:pPr>
      <w:r>
        <w:t>t</w:t>
      </w:r>
      <w:r w:rsidR="00924664">
        <w:t>ermination of agreements</w:t>
      </w:r>
    </w:p>
    <w:p w14:paraId="2F171B03" w14:textId="65F5EEFB" w:rsidR="00924664" w:rsidRPr="00D37592" w:rsidRDefault="0011475D" w:rsidP="003F7EE6">
      <w:pPr>
        <w:pStyle w:val="ListBullet"/>
        <w:numPr>
          <w:ilvl w:val="0"/>
          <w:numId w:val="4"/>
        </w:numPr>
      </w:pPr>
      <w:r>
        <w:t>s</w:t>
      </w:r>
      <w:r w:rsidR="00924664">
        <w:t>unsetting of ‘zombie’ agreements.</w:t>
      </w:r>
    </w:p>
    <w:p w14:paraId="0F36EC93" w14:textId="77777777" w:rsidR="0046056A" w:rsidRDefault="00924664" w:rsidP="0046056A">
      <w:pPr>
        <w:spacing w:after="160"/>
      </w:pPr>
      <w:r>
        <w:t>Part 2, however, commences with Chapter 8, with the latter designed to provide a general introduction to collective bargaining and collective agreements in Australia.</w:t>
      </w:r>
    </w:p>
    <w:p w14:paraId="114CDA15" w14:textId="1810CA57" w:rsidR="00924664" w:rsidRPr="00326088" w:rsidRDefault="00924664" w:rsidP="0046056A">
      <w:pPr>
        <w:pStyle w:val="Heading3"/>
      </w:pPr>
      <w:r>
        <w:t xml:space="preserve"> </w:t>
      </w:r>
      <w:r>
        <w:br w:type="page"/>
      </w:r>
      <w:bookmarkStart w:id="182" w:name="_Toc194311415"/>
      <w:r w:rsidRPr="00326088">
        <w:lastRenderedPageBreak/>
        <w:t xml:space="preserve">Chapter 8. Introduction to </w:t>
      </w:r>
      <w:r w:rsidR="0032097B">
        <w:t xml:space="preserve">collective </w:t>
      </w:r>
      <w:r w:rsidRPr="00326088">
        <w:t xml:space="preserve">bargaining and </w:t>
      </w:r>
      <w:r w:rsidR="00550DE2">
        <w:t xml:space="preserve">collective </w:t>
      </w:r>
      <w:r w:rsidRPr="00326088">
        <w:t>agreements</w:t>
      </w:r>
      <w:bookmarkEnd w:id="182"/>
    </w:p>
    <w:p w14:paraId="4C570A6E" w14:textId="77777777" w:rsidR="00924664" w:rsidRPr="00326088" w:rsidRDefault="00924664" w:rsidP="00EC3517">
      <w:pPr>
        <w:pStyle w:val="Heading4"/>
      </w:pPr>
      <w:bookmarkStart w:id="183" w:name="_Toc189260217"/>
      <w:bookmarkStart w:id="184" w:name="_Toc189393533"/>
      <w:r w:rsidRPr="00EC3517">
        <w:t>8.1 Introduction</w:t>
      </w:r>
    </w:p>
    <w:p w14:paraId="4237FDA5" w14:textId="77777777" w:rsidR="00924664" w:rsidRPr="00167CB8" w:rsidRDefault="00924664" w:rsidP="00924664">
      <w:r w:rsidRPr="396ABCA7">
        <w:t xml:space="preserve">Central to the Secure Jobs, Better Pay amendments – and therefore to this Review – are </w:t>
      </w:r>
      <w:r>
        <w:t>two</w:t>
      </w:r>
      <w:r w:rsidRPr="396ABCA7">
        <w:t xml:space="preserve"> objectives: the need to ‘get wages back on track’ and to advance ‘gender equality’. Collective bargaining, which is the focus of this part of the Review, is considered by the government to be a key mechanism by which both objectives can be achieved. Put another way, it is assumed that expanding the incidence and coverage of collective bargaining will increase wages and improve gender equality.</w:t>
      </w:r>
    </w:p>
    <w:p w14:paraId="790A7B0E" w14:textId="77777777" w:rsidR="00924664" w:rsidRPr="00167CB8" w:rsidRDefault="00924664" w:rsidP="00924664">
      <w:r w:rsidRPr="396ABCA7">
        <w:t>This introduction provides background that confirms both the validity and urgency of these objectives. The evidence is partly historical, showing a serious decline of wages in Australia over recent decades and how it corresponds with significant decreases in the incidence and coverage of collective bargaining. The introduction is also partly comparative, in that it demonstrates the distinctiveness of the Australian system and shows the close correspondence in other countries between high wages and gender equality, on the one hand, and the high incidence and coverage of collective bargaining, on the other.</w:t>
      </w:r>
    </w:p>
    <w:p w14:paraId="221FB94E" w14:textId="457F9A3B" w:rsidR="00924664" w:rsidRPr="00167CB8" w:rsidRDefault="00924664" w:rsidP="00924664">
      <w:r w:rsidRPr="396ABCA7">
        <w:t xml:space="preserve">Before embarking on these historical and comparative tasks, there are some important definitional issues to clarify. The Review’s Terms of Reference use the term ‘enterprise bargaining’, whereas the title of this chapter and its content indicate a preference for the broader term ‘collective bargaining’. Collective bargaining includes specific forms, like single-enterprise bargaining and multi-employer bargaining. Even here there are at least </w:t>
      </w:r>
      <w:r>
        <w:t>two</w:t>
      </w:r>
      <w:r w:rsidRPr="396ABCA7">
        <w:t xml:space="preserve"> sources of definitional confusion, both emanating from the </w:t>
      </w:r>
      <w:r w:rsidR="00381979">
        <w:t>Fair Work</w:t>
      </w:r>
      <w:r w:rsidRPr="396ABCA7">
        <w:t xml:space="preserve"> Act itself. First, the definition of a ‘single enterprise’ is contested </w:t>
      </w:r>
      <w:r w:rsidRPr="396ABCA7">
        <w:rPr>
          <w:rFonts w:ascii="Symbol" w:eastAsia="Symbol" w:hAnsi="Symbol" w:cs="Symbol"/>
        </w:rPr>
        <w:t>-</w:t>
      </w:r>
      <w:r w:rsidRPr="396ABCA7">
        <w:t xml:space="preserve"> it can range from small organisations surrounding owner</w:t>
      </w:r>
      <w:r w:rsidRPr="396ABCA7">
        <w:rPr>
          <w:rFonts w:ascii="Symbol" w:eastAsia="Symbol" w:hAnsi="Symbol" w:cs="Symbol"/>
        </w:rPr>
        <w:t>-</w:t>
      </w:r>
      <w:r w:rsidRPr="396ABCA7">
        <w:t>managers to large corporations, encompassing multiple workplaces or franchisees. Second, the Fair Work Act’s approach to this topic technically makes the term ‘collective agreement-making’ more accurate, since some collective agreements at the level of the single enterprise are made without ‘bargaining’.</w:t>
      </w:r>
      <w:r w:rsidRPr="396ABCA7">
        <w:rPr>
          <w:rStyle w:val="FootnoteReference"/>
        </w:rPr>
        <w:footnoteReference w:id="258"/>
      </w:r>
      <w:r w:rsidRPr="396ABCA7">
        <w:t xml:space="preserve"> The term ‘collective bargaining’, however, is widely used by practitioners and scholars alike and will be used here.</w:t>
      </w:r>
    </w:p>
    <w:p w14:paraId="3614AA7F" w14:textId="672EB374" w:rsidR="00924664" w:rsidRPr="00167CB8" w:rsidRDefault="00924664" w:rsidP="00924664">
      <w:r w:rsidRPr="396ABCA7">
        <w:t>Finally, collective bargaining is surprisingly complicated. Consequently, when describing trends in collective bargaining in Australia (and elsewhere), there is a need to focus on its various ‘dimensions’.</w:t>
      </w:r>
      <w:r w:rsidRPr="396ABCA7">
        <w:rPr>
          <w:rStyle w:val="FootnoteReference"/>
        </w:rPr>
        <w:footnoteReference w:id="259"/>
      </w:r>
      <w:r w:rsidRPr="396ABCA7">
        <w:t xml:space="preserve"> In particular, this chapter examines </w:t>
      </w:r>
      <w:r>
        <w:t>five</w:t>
      </w:r>
      <w:r w:rsidRPr="396ABCA7">
        <w:t xml:space="preserve"> dimensions of collective bargaining, which are </w:t>
      </w:r>
      <w:r w:rsidRPr="00155AD4">
        <w:t>defined in Table</w:t>
      </w:r>
      <w:r w:rsidR="0011475D">
        <w:t xml:space="preserve"> </w:t>
      </w:r>
      <w:r w:rsidRPr="00155AD4">
        <w:t>8. These</w:t>
      </w:r>
      <w:r w:rsidRPr="396ABCA7">
        <w:t xml:space="preserve"> dimensions of collective bargaining are especially useful for understanding long-term trends within a country and </w:t>
      </w:r>
      <w:r>
        <w:t xml:space="preserve">for making </w:t>
      </w:r>
      <w:r w:rsidRPr="396ABCA7">
        <w:t xml:space="preserve">comparisons of national systems of collective bargaining across nations. Why? The dimensions of collective bargaining help to overcome the complexity – and the related confusion – in historical or legal accounts by highlighting the ‘big picture’ of what the law means. They also help to identify the distinctiveness of collective bargaining in one country at any one time. </w:t>
      </w:r>
      <w:r w:rsidRPr="396ABCA7">
        <w:lastRenderedPageBreak/>
        <w:t>Together, the dimensions produce a more complete and realistic picture of collective bargaining.</w:t>
      </w:r>
    </w:p>
    <w:p w14:paraId="51DD96B6" w14:textId="15F45B43" w:rsidR="00924664" w:rsidRPr="00167CB8" w:rsidRDefault="00EC3517" w:rsidP="007F380D">
      <w:pPr>
        <w:pStyle w:val="Caption"/>
      </w:pPr>
      <w:bookmarkStart w:id="185" w:name="_Toc194251432"/>
      <w:r>
        <w:t xml:space="preserve">Table </w:t>
      </w:r>
      <w:r>
        <w:fldChar w:fldCharType="begin"/>
      </w:r>
      <w:r>
        <w:instrText xml:space="preserve"> SEQ Table \* ARABIC </w:instrText>
      </w:r>
      <w:r>
        <w:fldChar w:fldCharType="separate"/>
      </w:r>
      <w:r w:rsidR="00DE5F5E">
        <w:rPr>
          <w:noProof/>
        </w:rPr>
        <w:t>8</w:t>
      </w:r>
      <w:r>
        <w:fldChar w:fldCharType="end"/>
      </w:r>
      <w:r>
        <w:t xml:space="preserve">: </w:t>
      </w:r>
      <w:r w:rsidR="00924664" w:rsidRPr="00167CB8">
        <w:t>The dimensions of collective bargaining</w:t>
      </w:r>
      <w:bookmarkEnd w:id="185"/>
    </w:p>
    <w:tbl>
      <w:tblPr>
        <w:tblStyle w:val="TableGrid"/>
        <w:tblW w:w="0" w:type="auto"/>
        <w:tblLook w:val="04A0" w:firstRow="1" w:lastRow="0" w:firstColumn="1" w:lastColumn="0" w:noHBand="0" w:noVBand="1"/>
      </w:tblPr>
      <w:tblGrid>
        <w:gridCol w:w="2263"/>
        <w:gridCol w:w="6753"/>
      </w:tblGrid>
      <w:tr w:rsidR="00924664" w:rsidRPr="007B6AF7" w14:paraId="2EE74B98" w14:textId="77777777">
        <w:tc>
          <w:tcPr>
            <w:tcW w:w="2263" w:type="dxa"/>
          </w:tcPr>
          <w:p w14:paraId="3CEBB662" w14:textId="77777777" w:rsidR="00924664" w:rsidRPr="00381979" w:rsidRDefault="00924664">
            <w:pPr>
              <w:rPr>
                <w:b/>
                <w:sz w:val="20"/>
                <w:szCs w:val="20"/>
              </w:rPr>
            </w:pPr>
            <w:r w:rsidRPr="00381979">
              <w:rPr>
                <w:b/>
                <w:sz w:val="20"/>
                <w:szCs w:val="20"/>
              </w:rPr>
              <w:t>Dimension</w:t>
            </w:r>
          </w:p>
        </w:tc>
        <w:tc>
          <w:tcPr>
            <w:tcW w:w="6753" w:type="dxa"/>
          </w:tcPr>
          <w:p w14:paraId="39C0A784" w14:textId="77777777" w:rsidR="00924664" w:rsidRPr="00381979" w:rsidRDefault="00924664">
            <w:pPr>
              <w:rPr>
                <w:b/>
                <w:sz w:val="20"/>
                <w:szCs w:val="20"/>
              </w:rPr>
            </w:pPr>
            <w:r w:rsidRPr="00381979">
              <w:rPr>
                <w:b/>
                <w:sz w:val="20"/>
                <w:szCs w:val="20"/>
              </w:rPr>
              <w:t>Definition</w:t>
            </w:r>
          </w:p>
        </w:tc>
      </w:tr>
      <w:tr w:rsidR="00924664" w:rsidRPr="007B6AF7" w14:paraId="0F3C5066" w14:textId="77777777">
        <w:tc>
          <w:tcPr>
            <w:tcW w:w="2263" w:type="dxa"/>
          </w:tcPr>
          <w:p w14:paraId="7A4BDB7C" w14:textId="77777777" w:rsidR="00924664" w:rsidRPr="00381979" w:rsidRDefault="00924664">
            <w:pPr>
              <w:rPr>
                <w:sz w:val="20"/>
                <w:szCs w:val="20"/>
              </w:rPr>
            </w:pPr>
            <w:r w:rsidRPr="00381979">
              <w:rPr>
                <w:sz w:val="20"/>
                <w:szCs w:val="20"/>
              </w:rPr>
              <w:t>Status</w:t>
            </w:r>
          </w:p>
        </w:tc>
        <w:tc>
          <w:tcPr>
            <w:tcW w:w="6753" w:type="dxa"/>
          </w:tcPr>
          <w:p w14:paraId="4B301902" w14:textId="77777777" w:rsidR="00924664" w:rsidRPr="00381979" w:rsidRDefault="00924664">
            <w:pPr>
              <w:rPr>
                <w:sz w:val="20"/>
                <w:szCs w:val="20"/>
              </w:rPr>
            </w:pPr>
            <w:r w:rsidRPr="00381979">
              <w:rPr>
                <w:sz w:val="20"/>
                <w:szCs w:val="20"/>
              </w:rPr>
              <w:t>The degree of formality in bargaining and/or agreements, which is heavily influenced by the law.</w:t>
            </w:r>
          </w:p>
        </w:tc>
      </w:tr>
      <w:tr w:rsidR="00924664" w:rsidRPr="007B6AF7" w14:paraId="2A45C5CE" w14:textId="77777777">
        <w:tc>
          <w:tcPr>
            <w:tcW w:w="2263" w:type="dxa"/>
          </w:tcPr>
          <w:p w14:paraId="17E51766" w14:textId="77777777" w:rsidR="00924664" w:rsidRPr="00381979" w:rsidRDefault="00924664">
            <w:pPr>
              <w:rPr>
                <w:sz w:val="20"/>
                <w:szCs w:val="20"/>
              </w:rPr>
            </w:pPr>
            <w:r w:rsidRPr="00381979">
              <w:rPr>
                <w:sz w:val="20"/>
                <w:szCs w:val="20"/>
              </w:rPr>
              <w:t>Level</w:t>
            </w:r>
          </w:p>
        </w:tc>
        <w:tc>
          <w:tcPr>
            <w:tcW w:w="6753" w:type="dxa"/>
          </w:tcPr>
          <w:p w14:paraId="4ABF5C53" w14:textId="77777777" w:rsidR="00924664" w:rsidRPr="00381979" w:rsidRDefault="00924664">
            <w:pPr>
              <w:rPr>
                <w:sz w:val="20"/>
                <w:szCs w:val="20"/>
              </w:rPr>
            </w:pPr>
            <w:r w:rsidRPr="00381979">
              <w:rPr>
                <w:sz w:val="20"/>
                <w:szCs w:val="20"/>
              </w:rPr>
              <w:t>The degree of aggregation in bargaining and/or agreements, which indicates the degree of centralisation or decentralisation.</w:t>
            </w:r>
          </w:p>
        </w:tc>
      </w:tr>
      <w:tr w:rsidR="00924664" w:rsidRPr="007B6AF7" w14:paraId="3FF85458" w14:textId="77777777">
        <w:tc>
          <w:tcPr>
            <w:tcW w:w="2263" w:type="dxa"/>
          </w:tcPr>
          <w:p w14:paraId="51C227A8" w14:textId="77777777" w:rsidR="00924664" w:rsidRPr="00381979" w:rsidRDefault="00924664">
            <w:pPr>
              <w:rPr>
                <w:sz w:val="20"/>
                <w:szCs w:val="20"/>
              </w:rPr>
            </w:pPr>
            <w:r w:rsidRPr="00381979">
              <w:rPr>
                <w:sz w:val="20"/>
                <w:szCs w:val="20"/>
              </w:rPr>
              <w:t>Parties or agents</w:t>
            </w:r>
          </w:p>
        </w:tc>
        <w:tc>
          <w:tcPr>
            <w:tcW w:w="6753" w:type="dxa"/>
          </w:tcPr>
          <w:p w14:paraId="20783E3C" w14:textId="77777777" w:rsidR="00924664" w:rsidRPr="00381979" w:rsidRDefault="00924664">
            <w:pPr>
              <w:rPr>
                <w:sz w:val="20"/>
                <w:szCs w:val="20"/>
              </w:rPr>
            </w:pPr>
            <w:r w:rsidRPr="00381979">
              <w:rPr>
                <w:sz w:val="20"/>
                <w:szCs w:val="20"/>
              </w:rPr>
              <w:t>Employers or employees (and/or the individuals or organisations that represent them) in the bargaining or agreement.</w:t>
            </w:r>
          </w:p>
        </w:tc>
      </w:tr>
      <w:tr w:rsidR="00924664" w:rsidRPr="007B6AF7" w14:paraId="57908EA4" w14:textId="77777777">
        <w:tc>
          <w:tcPr>
            <w:tcW w:w="2263" w:type="dxa"/>
          </w:tcPr>
          <w:p w14:paraId="34C897ED" w14:textId="77777777" w:rsidR="00924664" w:rsidRPr="00381979" w:rsidRDefault="00924664">
            <w:pPr>
              <w:rPr>
                <w:sz w:val="20"/>
                <w:szCs w:val="20"/>
              </w:rPr>
            </w:pPr>
            <w:r w:rsidRPr="00381979">
              <w:rPr>
                <w:sz w:val="20"/>
                <w:szCs w:val="20"/>
              </w:rPr>
              <w:t xml:space="preserve">Incidence and coverage </w:t>
            </w:r>
          </w:p>
        </w:tc>
        <w:tc>
          <w:tcPr>
            <w:tcW w:w="6753" w:type="dxa"/>
          </w:tcPr>
          <w:p w14:paraId="0E791E6A" w14:textId="77777777" w:rsidR="00924664" w:rsidRPr="00381979" w:rsidRDefault="00924664">
            <w:pPr>
              <w:rPr>
                <w:sz w:val="20"/>
                <w:szCs w:val="20"/>
              </w:rPr>
            </w:pPr>
            <w:r w:rsidRPr="00381979">
              <w:rPr>
                <w:sz w:val="20"/>
                <w:szCs w:val="20"/>
              </w:rPr>
              <w:t>The number of collective agreements at various levels and the proportions of the workforce covered by them.</w:t>
            </w:r>
          </w:p>
        </w:tc>
      </w:tr>
      <w:tr w:rsidR="00924664" w:rsidRPr="007B6AF7" w14:paraId="22CA8A03" w14:textId="77777777">
        <w:tc>
          <w:tcPr>
            <w:tcW w:w="2263" w:type="dxa"/>
          </w:tcPr>
          <w:p w14:paraId="5FBD0404" w14:textId="77777777" w:rsidR="00924664" w:rsidRPr="00381979" w:rsidRDefault="00924664">
            <w:pPr>
              <w:rPr>
                <w:sz w:val="20"/>
                <w:szCs w:val="20"/>
              </w:rPr>
            </w:pPr>
            <w:r w:rsidRPr="00381979">
              <w:rPr>
                <w:sz w:val="20"/>
                <w:szCs w:val="20"/>
              </w:rPr>
              <w:t>Outcomes</w:t>
            </w:r>
          </w:p>
        </w:tc>
        <w:tc>
          <w:tcPr>
            <w:tcW w:w="6753" w:type="dxa"/>
          </w:tcPr>
          <w:p w14:paraId="714FF081" w14:textId="77777777" w:rsidR="00924664" w:rsidRPr="00381979" w:rsidRDefault="00924664">
            <w:pPr>
              <w:rPr>
                <w:sz w:val="20"/>
                <w:szCs w:val="20"/>
              </w:rPr>
            </w:pPr>
            <w:r w:rsidRPr="00381979">
              <w:rPr>
                <w:sz w:val="20"/>
                <w:szCs w:val="20"/>
              </w:rPr>
              <w:t>The procedures or substantive content of agreement, including wages, working conditions, industrial disputes, shares of national income and productivity.</w:t>
            </w:r>
          </w:p>
        </w:tc>
      </w:tr>
    </w:tbl>
    <w:p w14:paraId="4F1D6663" w14:textId="77777777" w:rsidR="00924664" w:rsidRPr="00167CB8" w:rsidRDefault="00924664" w:rsidP="00924664">
      <w:pPr>
        <w:pStyle w:val="Heading4"/>
      </w:pPr>
      <w:bookmarkStart w:id="186" w:name="_Toc189260218"/>
      <w:bookmarkStart w:id="187" w:name="_Toc189393534"/>
      <w:r w:rsidRPr="00167CB8">
        <w:t>8.2 Collective bargaining before the Fair Work Act 2009</w:t>
      </w:r>
      <w:bookmarkEnd w:id="186"/>
      <w:bookmarkEnd w:id="187"/>
    </w:p>
    <w:p w14:paraId="35EDC0E0" w14:textId="77777777" w:rsidR="00924664" w:rsidRPr="00167CB8" w:rsidRDefault="00924664" w:rsidP="00924664">
      <w:r w:rsidRPr="396ABCA7">
        <w:t>Before the 1990s, collective bargaining was common in Australia, but it took place as part of a system of compulsory conciliation and arbitration.</w:t>
      </w:r>
      <w:r w:rsidRPr="396ABCA7">
        <w:rPr>
          <w:rStyle w:val="FootnoteReference"/>
        </w:rPr>
        <w:footnoteReference w:id="260"/>
      </w:r>
      <w:r w:rsidRPr="396ABCA7">
        <w:t xml:space="preserve"> Collective bargaining came in </w:t>
      </w:r>
      <w:r>
        <w:t>two main</w:t>
      </w:r>
      <w:r w:rsidRPr="396ABCA7">
        <w:t xml:space="preserve"> forms:</w:t>
      </w:r>
      <w:r w:rsidRPr="396ABCA7">
        <w:rPr>
          <w:rStyle w:val="FootnoteReference"/>
        </w:rPr>
        <w:footnoteReference w:id="261"/>
      </w:r>
    </w:p>
    <w:p w14:paraId="7D0D3434" w14:textId="77777777" w:rsidR="00924664" w:rsidRPr="00167CB8" w:rsidRDefault="00924664" w:rsidP="003F7EE6">
      <w:pPr>
        <w:pStyle w:val="ListBullet"/>
        <w:numPr>
          <w:ilvl w:val="0"/>
          <w:numId w:val="4"/>
        </w:numPr>
      </w:pPr>
      <w:r w:rsidRPr="00167CB8">
        <w:t>‘within’ the system of conciliation and arbitration, as part of the complex process by which awards were made and varied</w:t>
      </w:r>
    </w:p>
    <w:p w14:paraId="7E989F21" w14:textId="77777777" w:rsidR="00924664" w:rsidRPr="00167CB8" w:rsidRDefault="00924664" w:rsidP="003F7EE6">
      <w:pPr>
        <w:pStyle w:val="ListBullet"/>
        <w:numPr>
          <w:ilvl w:val="0"/>
          <w:numId w:val="4"/>
        </w:numPr>
      </w:pPr>
      <w:r w:rsidRPr="00167CB8">
        <w:t>‘outside’ the system, focused on creating wages and working conditions that were superior to those embedded in awards.</w:t>
      </w:r>
    </w:p>
    <w:p w14:paraId="401DB916" w14:textId="3751EDEF" w:rsidR="00924664" w:rsidRPr="00167CB8" w:rsidRDefault="00924664" w:rsidP="00924664">
      <w:r w:rsidRPr="396ABCA7">
        <w:t>Both these forms of collective bargaining were relatively informal and ‘under the shadow’ of the industrial tribunals, since awards were the formal mechanisms determining wages and working conditions. Collective bargaining brought a degree of flexibility and decentralisation to a system that was mostly centralised, although the importance of decentralised collective bargaining varied over time and across industries.</w:t>
      </w:r>
      <w:r w:rsidRPr="396ABCA7">
        <w:rPr>
          <w:rStyle w:val="FootnoteReference"/>
        </w:rPr>
        <w:footnoteReference w:id="262"/>
      </w:r>
      <w:r w:rsidRPr="396ABCA7">
        <w:t xml:space="preserve"> Unions were the sole employee representatives that were engaged with employers in making collective agreements. Satisfaction with this pre-1990 regime was broadly </w:t>
      </w:r>
      <w:r w:rsidRPr="00C64656">
        <w:t xml:space="preserve">confirmed by the </w:t>
      </w:r>
      <w:r w:rsidR="00C64656" w:rsidRPr="00C64656">
        <w:t>Committee of Review into Australian Industrial Relations Law and Systems (</w:t>
      </w:r>
      <w:r w:rsidRPr="00C64656">
        <w:t xml:space="preserve">Hancock </w:t>
      </w:r>
      <w:r w:rsidR="00560A98">
        <w:t>Inquiry</w:t>
      </w:r>
      <w:r w:rsidR="00C64656" w:rsidRPr="00C64656">
        <w:t>)</w:t>
      </w:r>
      <w:r w:rsidRPr="00C64656">
        <w:t xml:space="preserve"> and</w:t>
      </w:r>
      <w:r w:rsidRPr="396ABCA7">
        <w:t xml:space="preserve"> new legislation passed by parliament in 1988.</w:t>
      </w:r>
    </w:p>
    <w:p w14:paraId="4F5263D2" w14:textId="77777777" w:rsidR="00924664" w:rsidRPr="00167CB8" w:rsidRDefault="00924664" w:rsidP="00924664">
      <w:r w:rsidRPr="396ABCA7">
        <w:t xml:space="preserve">The period between 1988 and the enactment of the Fair Work Act in 2009, however, saw Australian labour law change dramatically, respectively producing </w:t>
      </w:r>
      <w:r>
        <w:t>three</w:t>
      </w:r>
      <w:r w:rsidRPr="396ABCA7">
        <w:t xml:space="preserve"> defining statutes: the </w:t>
      </w:r>
      <w:r w:rsidRPr="396ABCA7">
        <w:rPr>
          <w:i/>
          <w:iCs/>
        </w:rPr>
        <w:lastRenderedPageBreak/>
        <w:t>Industrial Relations Reform Act 1993</w:t>
      </w:r>
      <w:r w:rsidRPr="396ABCA7">
        <w:t xml:space="preserve"> (Cth); the </w:t>
      </w:r>
      <w:r w:rsidRPr="396ABCA7">
        <w:rPr>
          <w:i/>
          <w:iCs/>
        </w:rPr>
        <w:t>Workplace Relations Act 1996</w:t>
      </w:r>
      <w:r w:rsidRPr="396ABCA7">
        <w:t xml:space="preserve"> (Cth); and the </w:t>
      </w:r>
      <w:r w:rsidRPr="396ABCA7">
        <w:rPr>
          <w:i/>
          <w:iCs/>
        </w:rPr>
        <w:t>Workplace Relations (Work Choices) Amendment Act 2005</w:t>
      </w:r>
      <w:r w:rsidRPr="396ABCA7">
        <w:t xml:space="preserve"> (Cth).</w:t>
      </w:r>
    </w:p>
    <w:p w14:paraId="26CC5F89" w14:textId="77777777" w:rsidR="00924664" w:rsidRPr="00167CB8" w:rsidRDefault="00924664" w:rsidP="00924664">
      <w:r w:rsidRPr="396ABCA7">
        <w:t>There were some similarities between the labour law regimes resulting from these legislative changes, especially relating to collective bargaining as a process for determining wages and working conditions. For example, in contrast to the pre-1990s period, each regime saw collective bargaining as a formal process for determining wages and working conditions, albeit just one amongst several different formal processes (others including award-making and individual bargaining). Both sides of politics broadly considered that collective bargaining should be decentralised to at least the enterprise level. Interestingly, both the Labor and Coalition governments also supported a combination of union and non-union forms of collective bargaining, albeit for different reasons.</w:t>
      </w:r>
      <w:r w:rsidRPr="396ABCA7">
        <w:rPr>
          <w:rStyle w:val="FootnoteReference"/>
        </w:rPr>
        <w:footnoteReference w:id="263"/>
      </w:r>
      <w:r w:rsidRPr="396ABCA7">
        <w:t xml:space="preserve"> Finally, both sides expected enterprise agreements to replace awards rather than supplement them, even if the relationship between collective agreements and minimum standards provided in awards varied according to the government in power.</w:t>
      </w:r>
      <w:r w:rsidRPr="396ABCA7">
        <w:rPr>
          <w:rStyle w:val="FootnoteReference"/>
        </w:rPr>
        <w:footnoteReference w:id="264"/>
      </w:r>
    </w:p>
    <w:p w14:paraId="62464BC3" w14:textId="77777777" w:rsidR="0011475D" w:rsidRDefault="00924664" w:rsidP="00924664">
      <w:r w:rsidRPr="00167CB8">
        <w:t xml:space="preserve">Despite these similarities, it is differences between these </w:t>
      </w:r>
      <w:r>
        <w:t>three</w:t>
      </w:r>
      <w:r w:rsidRPr="00167CB8">
        <w:t xml:space="preserve"> labour law regimes that are most often emphasised because each regime embodied different ideas held by the political parties about how to govern Australian industrial relations. Much of this disagreement focused on the respective roles of unions and industrial tribunals.</w:t>
      </w:r>
      <w:r w:rsidRPr="00167CB8">
        <w:rPr>
          <w:rStyle w:val="FootnoteReference"/>
        </w:rPr>
        <w:footnoteReference w:id="265"/>
      </w:r>
      <w:r w:rsidRPr="00167CB8">
        <w:t xml:space="preserve"> Particularly important were differences over the priority given to collective bargaining compared to other processes and the legal rules governing collective bargaining.</w:t>
      </w:r>
      <w:r w:rsidRPr="00167CB8">
        <w:rPr>
          <w:rStyle w:val="FootnoteReference"/>
        </w:rPr>
        <w:footnoteReference w:id="266"/>
      </w:r>
      <w:r w:rsidRPr="00167CB8">
        <w:t xml:space="preserve"> There was little doubt, for example, that the 1993 amendments privileged collective bargaining undertaken between employers and unions, while </w:t>
      </w:r>
      <w:r w:rsidRPr="00C64656">
        <w:t>the 2005 Work Choices amendments (and</w:t>
      </w:r>
      <w:r w:rsidRPr="00167CB8">
        <w:t xml:space="preserve">, to a lesser extent, the </w:t>
      </w:r>
      <w:r w:rsidRPr="00167CB8">
        <w:rPr>
          <w:i/>
          <w:iCs/>
        </w:rPr>
        <w:t>Workplace Relations Act 1996</w:t>
      </w:r>
      <w:r w:rsidRPr="00167CB8">
        <w:t>) privileged individual and non-union collective processes.</w:t>
      </w:r>
    </w:p>
    <w:p w14:paraId="1F140218" w14:textId="1C11646C" w:rsidR="00924664" w:rsidRPr="00167CB8" w:rsidRDefault="00924664" w:rsidP="00924664">
      <w:pPr>
        <w:pStyle w:val="Heading4"/>
        <w:rPr>
          <w:b w:val="0"/>
        </w:rPr>
      </w:pPr>
      <w:bookmarkStart w:id="188" w:name="_Toc189260219"/>
      <w:bookmarkStart w:id="189" w:name="_Toc189393535"/>
      <w:r>
        <w:t xml:space="preserve">8.3 </w:t>
      </w:r>
      <w:r w:rsidRPr="00167CB8">
        <w:t>Collective bargaining under the Fair Work Act, 2009</w:t>
      </w:r>
      <w:r w:rsidRPr="00167CB8">
        <w:rPr>
          <w:rFonts w:ascii="Symbol" w:eastAsia="Symbol" w:hAnsi="Symbol" w:cs="Symbol"/>
        </w:rPr>
        <w:t>-</w:t>
      </w:r>
      <w:r w:rsidRPr="00167CB8">
        <w:t>2022</w:t>
      </w:r>
      <w:bookmarkEnd w:id="188"/>
      <w:bookmarkEnd w:id="189"/>
    </w:p>
    <w:p w14:paraId="406E1B0D" w14:textId="48918B76" w:rsidR="0011475D" w:rsidRDefault="00924664" w:rsidP="00924664">
      <w:r w:rsidRPr="396ABCA7">
        <w:t>Following this turbulent 20-year period, the Fair Work Act was established by the Rudd-led Labor government in 2009. From the beginning, however, the Fair Work Act was ‘peculiar’,</w:t>
      </w:r>
      <w:r w:rsidRPr="396ABCA7">
        <w:rPr>
          <w:rStyle w:val="FootnoteReference"/>
        </w:rPr>
        <w:footnoteReference w:id="267"/>
      </w:r>
      <w:r w:rsidRPr="396ABCA7">
        <w:t xml:space="preserve"> bringing an unusual mixture of continuity and change, individualism and collectivism, </w:t>
      </w:r>
      <w:r w:rsidR="0011475D">
        <w:t xml:space="preserve">and </w:t>
      </w:r>
      <w:r w:rsidRPr="396ABCA7">
        <w:t>voluntarism and compulsion.</w:t>
      </w:r>
    </w:p>
    <w:p w14:paraId="23F699F9" w14:textId="77777777" w:rsidR="0011475D" w:rsidRDefault="00924664" w:rsidP="00924664">
      <w:r w:rsidRPr="00167CB8">
        <w:t xml:space="preserve">Despite the political differences between the major political parties, for example, the originating Fair Work Act continued a number of features from the preceding Work Choices regime, including provisions restricting industrial action, union right of entry and freedom of </w:t>
      </w:r>
      <w:r w:rsidRPr="00167CB8">
        <w:lastRenderedPageBreak/>
        <w:t>association.</w:t>
      </w:r>
      <w:r w:rsidRPr="00167CB8">
        <w:rPr>
          <w:rStyle w:val="FootnoteReference"/>
        </w:rPr>
        <w:footnoteReference w:id="268"/>
      </w:r>
      <w:r w:rsidRPr="00167CB8">
        <w:t xml:space="preserve"> Moreover, between 2009 and 2022, the originating Act was amended only 17 times and the fundamentals of the legislation – and, in particular, the regulation of collective bargaining – remained essentially the same.</w:t>
      </w:r>
    </w:p>
    <w:p w14:paraId="730E0994" w14:textId="5B108622" w:rsidR="00924664" w:rsidRPr="00167CB8" w:rsidRDefault="00924664" w:rsidP="00924664">
      <w:r w:rsidRPr="396ABCA7">
        <w:t>This legislative stability, however, was not the result of political consensus between the major political parties over industrial relations. They continued to disagree significantly on how the labour market should be regulated.</w:t>
      </w:r>
      <w:r w:rsidRPr="396ABCA7">
        <w:rPr>
          <w:rStyle w:val="FootnoteReference"/>
        </w:rPr>
        <w:footnoteReference w:id="269"/>
      </w:r>
      <w:r w:rsidRPr="396ABCA7">
        <w:t xml:space="preserve"> Rather, stability reflected </w:t>
      </w:r>
      <w:r>
        <w:t>two</w:t>
      </w:r>
      <w:r w:rsidRPr="396ABCA7">
        <w:t xml:space="preserve"> key elements. First, there seemed to be an unwillingness on both sides to engage in further reform: Labor governments introduced only a few amendments to the Act before they lost power in 2013, most of these amendments representing the less controversial recommendations of the major review of the Act in 2012.</w:t>
      </w:r>
      <w:r w:rsidRPr="396ABCA7">
        <w:rPr>
          <w:rStyle w:val="FootnoteReference"/>
        </w:rPr>
        <w:footnoteReference w:id="270"/>
      </w:r>
      <w:r w:rsidRPr="396ABCA7">
        <w:t xml:space="preserve"> Later, Coalition governments rarely sought to raise industrial relations issues or amend the legislation, apparently because they were cautious about the negative political consequences they experienced in the 2007 election. Second, the relative legislative stability also reflected political deadlock, in which neither Labor governments (2007</w:t>
      </w:r>
      <w:r w:rsidRPr="396ABCA7">
        <w:rPr>
          <w:rFonts w:ascii="Symbol" w:eastAsia="Symbol" w:hAnsi="Symbol" w:cs="Symbol"/>
        </w:rPr>
        <w:t>-</w:t>
      </w:r>
      <w:r w:rsidRPr="396ABCA7">
        <w:t>2013) nor Coalition governments (2013</w:t>
      </w:r>
      <w:r w:rsidRPr="396ABCA7">
        <w:rPr>
          <w:rFonts w:ascii="Symbol" w:eastAsia="Symbol" w:hAnsi="Symbol" w:cs="Symbol"/>
        </w:rPr>
        <w:t>-</w:t>
      </w:r>
      <w:r w:rsidRPr="396ABCA7">
        <w:t>2022) had the capacity to amend the Act without majority numbers in both houses of federal parliament.</w:t>
      </w:r>
    </w:p>
    <w:p w14:paraId="7C926AA6" w14:textId="77777777" w:rsidR="00924664" w:rsidRPr="00167CB8" w:rsidRDefault="00924664" w:rsidP="00924664">
      <w:pPr>
        <w:pStyle w:val="Heading5"/>
      </w:pPr>
      <w:r w:rsidRPr="00167CB8">
        <w:t>8.3.1 Status</w:t>
      </w:r>
    </w:p>
    <w:p w14:paraId="5F772B6B" w14:textId="6414DD73" w:rsidR="0011475D" w:rsidRDefault="00924664" w:rsidP="00924664">
      <w:r w:rsidRPr="396ABCA7">
        <w:t xml:space="preserve">The formal status of collective bargaining under the Fair Work Act continued the post-1993 tradition in which collective bargaining had become closely regulated by the law. Employers were legally obliged to recognise employee bargaining representatives in the making of collective agreements. The parties to bargaining and their representatives needed to abide by extensive procedural rules, which were mostly supervised by the Fair Work Commission (FWC). Collective agreements, which were the outcome of collective bargaining, gained legally binding status only after being approved by </w:t>
      </w:r>
      <w:r>
        <w:t xml:space="preserve">a majority of employees to be covered by the agreement and </w:t>
      </w:r>
      <w:r w:rsidRPr="396ABCA7">
        <w:t>the FWC. One of the key requirements for the approval of collective agreements was that they passed a quite technical and legalistic test – in the form of a ‘no disadvantage test’ or its equivalent. Finally, the capacity of the parties to take industrial action during collective bargaining was strictly limited by the law.</w:t>
      </w:r>
      <w:r w:rsidRPr="396ABCA7">
        <w:rPr>
          <w:rStyle w:val="FootnoteReference"/>
        </w:rPr>
        <w:footnoteReference w:id="271"/>
      </w:r>
    </w:p>
    <w:p w14:paraId="1231FFCF" w14:textId="467DB435" w:rsidR="00924664" w:rsidRPr="00167CB8" w:rsidRDefault="00924664" w:rsidP="00924664">
      <w:r w:rsidRPr="396ABCA7">
        <w:t>The formal status of collective bargaining was reinforced by the attitudes and behaviours of the parties; what Pohler called the ‘social norms’ surrounding collective bargaining.</w:t>
      </w:r>
      <w:r w:rsidRPr="396ABCA7">
        <w:rPr>
          <w:rStyle w:val="FootnoteReference"/>
        </w:rPr>
        <w:footnoteReference w:id="272"/>
      </w:r>
      <w:r w:rsidRPr="396ABCA7">
        <w:t xml:space="preserve"> In Australia, with a strong adversarial tradition in industrial relations and in politics, the law was considered vital by all parties, as it deeply influenced their behaviours in the bargaining process.</w:t>
      </w:r>
      <w:r w:rsidRPr="396ABCA7">
        <w:rPr>
          <w:rStyle w:val="FootnoteReference"/>
        </w:rPr>
        <w:footnoteReference w:id="273"/>
      </w:r>
      <w:r w:rsidRPr="396ABCA7">
        <w:t xml:space="preserve"> Moreover, whenever the parties to bargaining were dissatisfied with some aspect of bargaining, they frequently chose not to change their behaviours but instead focused their energies on </w:t>
      </w:r>
      <w:r w:rsidRPr="396ABCA7">
        <w:lastRenderedPageBreak/>
        <w:t xml:space="preserve">seeking to change the law. This legal strategy took </w:t>
      </w:r>
      <w:r>
        <w:t>two</w:t>
      </w:r>
      <w:r w:rsidRPr="396ABCA7">
        <w:t xml:space="preserve"> main forms. First, the parties engaged in political lobbying, aiming to change legislation.</w:t>
      </w:r>
      <w:r w:rsidRPr="396ABCA7">
        <w:rPr>
          <w:rStyle w:val="FootnoteReference"/>
        </w:rPr>
        <w:footnoteReference w:id="274"/>
      </w:r>
      <w:r w:rsidRPr="396ABCA7">
        <w:t xml:space="preserve"> Second, in the event of being unable to change the legislation, the parties often sought to change the law in another way – that is, by launching litigation in courts and tribunals. Some commentators argued that success in these legal actions between 2012 and 2022 led to changes in the law of collective bargaining that advantaged employers, contributed to significant declines in the incidence and coverage of collective agreements, and ultimately prompted the legislative amendments that are the subject of this Review.</w:t>
      </w:r>
      <w:r w:rsidRPr="396ABCA7">
        <w:rPr>
          <w:rStyle w:val="FootnoteReference"/>
        </w:rPr>
        <w:footnoteReference w:id="275"/>
      </w:r>
    </w:p>
    <w:p w14:paraId="232F53CF" w14:textId="77777777" w:rsidR="00924664" w:rsidRPr="00167CB8" w:rsidRDefault="00924664" w:rsidP="00924664">
      <w:r w:rsidRPr="396ABCA7">
        <w:t>In many countries, and at different times in Australia, these aspects of collective bargaining were not as formally or legally regulated as they were under the Fair Work Act. The classic comparative example of collective bargaining without extensive legal regulation was the ‘voluntarist’ system in the United Kingdom before the 1980s.</w:t>
      </w:r>
      <w:r w:rsidRPr="396ABCA7">
        <w:rPr>
          <w:rStyle w:val="FootnoteReference"/>
        </w:rPr>
        <w:footnoteReference w:id="276"/>
      </w:r>
      <w:r w:rsidRPr="396ABCA7">
        <w:t xml:space="preserve"> Denmark,</w:t>
      </w:r>
      <w:r w:rsidRPr="396ABCA7">
        <w:rPr>
          <w:rStyle w:val="FootnoteReference"/>
        </w:rPr>
        <w:footnoteReference w:id="277"/>
      </w:r>
      <w:r w:rsidRPr="396ABCA7">
        <w:t xml:space="preserve"> New Zealand</w:t>
      </w:r>
      <w:r w:rsidRPr="396ABCA7">
        <w:rPr>
          <w:rStyle w:val="FootnoteReference"/>
        </w:rPr>
        <w:footnoteReference w:id="278"/>
      </w:r>
      <w:r w:rsidRPr="396ABCA7">
        <w:t xml:space="preserve"> and Ireland</w:t>
      </w:r>
      <w:r w:rsidRPr="396ABCA7">
        <w:rPr>
          <w:rStyle w:val="FootnoteReference"/>
        </w:rPr>
        <w:footnoteReference w:id="279"/>
      </w:r>
      <w:r w:rsidRPr="396ABCA7">
        <w:t xml:space="preserve"> also have </w:t>
      </w:r>
      <w:r>
        <w:t xml:space="preserve">collective </w:t>
      </w:r>
      <w:r w:rsidRPr="396ABCA7">
        <w:t>bargaining systems that are significantly less legalistic than Australia’s. Collective bargaining in Australia was certainly far less formal and legalistic before the 1990s.</w:t>
      </w:r>
    </w:p>
    <w:p w14:paraId="69AEFB19" w14:textId="77777777" w:rsidR="00924664" w:rsidRPr="00167CB8" w:rsidRDefault="00924664" w:rsidP="00924664">
      <w:r w:rsidRPr="396ABCA7">
        <w:t>The formal status of the collective bargaining in Australia under the Fair Work Act can therefore be considered ‘distinctive’.</w:t>
      </w:r>
      <w:r w:rsidRPr="396ABCA7">
        <w:rPr>
          <w:rStyle w:val="FootnoteReference"/>
        </w:rPr>
        <w:footnoteReference w:id="280"/>
      </w:r>
      <w:r w:rsidRPr="396ABCA7">
        <w:t xml:space="preserve"> This begs the question of why. Two factors may be part of the explanation. The first is historical: the state has been central to economic development generally, and industrial relations more specifically, since the establishment of European settlement in Australia.</w:t>
      </w:r>
      <w:r w:rsidRPr="396ABCA7">
        <w:rPr>
          <w:rStyle w:val="FootnoteReference"/>
        </w:rPr>
        <w:footnoteReference w:id="281"/>
      </w:r>
      <w:r w:rsidRPr="396ABCA7">
        <w:t xml:space="preserve"> The entrenchment of enterprise bargaining as a system during the 1990s arguably represented a move away from the state – promoted by the popularity of neoliberal ideas and policy frameworks – but perhaps the form of enterprise bargaining was inevitably influenced by the long history of state regulation in Australia.</w:t>
      </w:r>
    </w:p>
    <w:p w14:paraId="78E3D22F" w14:textId="77777777" w:rsidR="00924664" w:rsidRPr="00167CB8" w:rsidRDefault="00924664" w:rsidP="00924664">
      <w:r w:rsidRPr="396ABCA7">
        <w:t xml:space="preserve">A second potential factor is the intense adversarialism of industrial relations and politics in Australia: when the main parties – both industrial relations and political – distrust each other, they tend to seek highly prescriptive rules to regulate behaviours. This adversarialism was evident during the 19th century, most conspicuously in the great strikes of the 1890s, but it was somewhat hidden during much of the 20th century by the broad policy consensus over the necessity of compulsory conciliation and arbitration. Adversarialism re-emerged from the </w:t>
      </w:r>
      <w:r w:rsidRPr="396ABCA7">
        <w:lastRenderedPageBreak/>
        <w:t>1980s onwards</w:t>
      </w:r>
      <w:r w:rsidRPr="396ABCA7">
        <w:rPr>
          <w:rStyle w:val="FootnoteReference"/>
        </w:rPr>
        <w:footnoteReference w:id="282"/>
      </w:r>
      <w:r w:rsidRPr="396ABCA7">
        <w:t xml:space="preserve"> and became entrenched in the formal foundations of industrial relations as they were reformed from the 1990s onwards.</w:t>
      </w:r>
    </w:p>
    <w:p w14:paraId="570348B0" w14:textId="77777777" w:rsidR="00924664" w:rsidRPr="00167CB8" w:rsidRDefault="00924664" w:rsidP="00924664">
      <w:pPr>
        <w:pStyle w:val="Heading5"/>
      </w:pPr>
      <w:r w:rsidRPr="00167CB8">
        <w:t>8.3.2 Level</w:t>
      </w:r>
    </w:p>
    <w:p w14:paraId="34086C44" w14:textId="77777777" w:rsidR="00924664" w:rsidRPr="00167CB8" w:rsidRDefault="00924664" w:rsidP="00924664">
      <w:r w:rsidRPr="396ABCA7">
        <w:t>Conceptually, the level of collective bargaining focuses on the degree of aggregation, which varies from the individual workgroup through to a workplace or enterprise to the industry or a whole nation. The dominant level of collective bargaining in Australia under the Fair Work Act was undoubtedly the single enterprise, which made Australia’s collective bargaining system highly decentralised. Over the decade preceding the amendments (i.e. 2013</w:t>
      </w:r>
      <w:r w:rsidRPr="396ABCA7">
        <w:rPr>
          <w:rFonts w:ascii="Symbol" w:eastAsia="Symbol" w:hAnsi="Symbol" w:cs="Symbol"/>
        </w:rPr>
        <w:t>-</w:t>
      </w:r>
      <w:r w:rsidRPr="396ABCA7">
        <w:t>2022), data from the Department of Employment and Workplace Relations (DEWR) Workplace Agreements Database (WAD) indicates that in the federal system multi-employer agreements represented only 0.5% of all new agreements approved in the period and 3.4% of the total number of employees covered. This meant that over the 2013</w:t>
      </w:r>
      <w:r w:rsidRPr="396ABCA7">
        <w:rPr>
          <w:rFonts w:ascii="Symbol" w:eastAsia="Symbol" w:hAnsi="Symbol" w:cs="Symbol"/>
        </w:rPr>
        <w:t>-</w:t>
      </w:r>
      <w:r w:rsidRPr="396ABCA7">
        <w:t>2022 period single-enterprise agreements respectively accounted for 99.5% of all new agreements and 96.6% of the employees covered by those agreements.</w:t>
      </w:r>
    </w:p>
    <w:p w14:paraId="422E4EDC" w14:textId="61DA21AC" w:rsidR="00924664" w:rsidRPr="00167CB8" w:rsidRDefault="00EC3517" w:rsidP="007F380D">
      <w:pPr>
        <w:pStyle w:val="Caption"/>
      </w:pPr>
      <w:bookmarkStart w:id="190" w:name="_Toc194251433"/>
      <w:r>
        <w:t xml:space="preserve">Table </w:t>
      </w:r>
      <w:r>
        <w:fldChar w:fldCharType="begin"/>
      </w:r>
      <w:r>
        <w:instrText xml:space="preserve"> SEQ Table \* ARABIC </w:instrText>
      </w:r>
      <w:r>
        <w:fldChar w:fldCharType="separate"/>
      </w:r>
      <w:r w:rsidR="00DE5F5E">
        <w:rPr>
          <w:noProof/>
        </w:rPr>
        <w:t>9</w:t>
      </w:r>
      <w:r>
        <w:fldChar w:fldCharType="end"/>
      </w:r>
      <w:r>
        <w:t xml:space="preserve">: </w:t>
      </w:r>
      <w:r w:rsidR="00924664" w:rsidRPr="00167CB8">
        <w:t>New single-enterprise and multi-enterprise agreements approved</w:t>
      </w:r>
      <w:r w:rsidR="00C27B24">
        <w:t>,</w:t>
      </w:r>
      <w:r w:rsidR="00924664" w:rsidRPr="00167CB8">
        <w:t xml:space="preserve"> 2013</w:t>
      </w:r>
      <w:r w:rsidR="0011475D">
        <w:rPr>
          <w:rFonts w:ascii="Symbol" w:eastAsia="Symbol" w:hAnsi="Symbol" w:cs="Symbol"/>
        </w:rPr>
        <w:t>-</w:t>
      </w:r>
      <w:r w:rsidR="00924664" w:rsidRPr="00167CB8">
        <w:t>2022</w:t>
      </w:r>
      <w:bookmarkEnd w:id="190"/>
    </w:p>
    <w:tbl>
      <w:tblPr>
        <w:tblStyle w:val="TableGrid"/>
        <w:tblW w:w="0" w:type="auto"/>
        <w:tblLook w:val="04A0" w:firstRow="1" w:lastRow="0" w:firstColumn="1" w:lastColumn="0" w:noHBand="0" w:noVBand="1"/>
      </w:tblPr>
      <w:tblGrid>
        <w:gridCol w:w="1803"/>
        <w:gridCol w:w="1803"/>
        <w:gridCol w:w="1803"/>
        <w:gridCol w:w="1803"/>
        <w:gridCol w:w="1804"/>
      </w:tblGrid>
      <w:tr w:rsidR="00924664" w:rsidRPr="007B6AF7" w14:paraId="451B3523" w14:textId="77777777">
        <w:tc>
          <w:tcPr>
            <w:tcW w:w="1803" w:type="dxa"/>
            <w:vMerge w:val="restart"/>
            <w:vAlign w:val="center"/>
          </w:tcPr>
          <w:p w14:paraId="059425D1" w14:textId="77777777" w:rsidR="00924664" w:rsidRPr="00A305A7" w:rsidRDefault="00924664">
            <w:pPr>
              <w:jc w:val="center"/>
              <w:rPr>
                <w:b/>
                <w:sz w:val="20"/>
                <w:szCs w:val="20"/>
              </w:rPr>
            </w:pPr>
            <w:r w:rsidRPr="00A305A7">
              <w:rPr>
                <w:b/>
                <w:sz w:val="20"/>
                <w:szCs w:val="20"/>
              </w:rPr>
              <w:t>Years</w:t>
            </w:r>
          </w:p>
        </w:tc>
        <w:tc>
          <w:tcPr>
            <w:tcW w:w="3606" w:type="dxa"/>
            <w:gridSpan w:val="2"/>
            <w:vAlign w:val="center"/>
          </w:tcPr>
          <w:p w14:paraId="1F7B78E0" w14:textId="77777777" w:rsidR="00924664" w:rsidRPr="00A305A7" w:rsidRDefault="00924664">
            <w:pPr>
              <w:jc w:val="center"/>
              <w:rPr>
                <w:b/>
                <w:sz w:val="20"/>
                <w:szCs w:val="20"/>
              </w:rPr>
            </w:pPr>
            <w:r w:rsidRPr="00A305A7">
              <w:rPr>
                <w:b/>
                <w:sz w:val="20"/>
                <w:szCs w:val="20"/>
              </w:rPr>
              <w:t>New single-enterprise agreements approved</w:t>
            </w:r>
          </w:p>
        </w:tc>
        <w:tc>
          <w:tcPr>
            <w:tcW w:w="3607" w:type="dxa"/>
            <w:gridSpan w:val="2"/>
            <w:vAlign w:val="center"/>
          </w:tcPr>
          <w:p w14:paraId="5ED8FAD2" w14:textId="77777777" w:rsidR="00924664" w:rsidRPr="00A305A7" w:rsidRDefault="00924664">
            <w:pPr>
              <w:jc w:val="center"/>
              <w:rPr>
                <w:b/>
                <w:sz w:val="20"/>
                <w:szCs w:val="20"/>
              </w:rPr>
            </w:pPr>
            <w:r w:rsidRPr="00A305A7">
              <w:rPr>
                <w:b/>
                <w:sz w:val="20"/>
                <w:szCs w:val="20"/>
              </w:rPr>
              <w:t>New multi-enterprise agreements approved</w:t>
            </w:r>
          </w:p>
        </w:tc>
      </w:tr>
      <w:tr w:rsidR="00924664" w:rsidRPr="007B6AF7" w14:paraId="2D5FC288" w14:textId="77777777">
        <w:tc>
          <w:tcPr>
            <w:tcW w:w="1803" w:type="dxa"/>
            <w:vMerge/>
            <w:vAlign w:val="center"/>
          </w:tcPr>
          <w:p w14:paraId="3FD25A4E" w14:textId="77777777" w:rsidR="00924664" w:rsidRPr="00A305A7" w:rsidRDefault="00924664">
            <w:pPr>
              <w:jc w:val="center"/>
              <w:rPr>
                <w:sz w:val="20"/>
                <w:szCs w:val="20"/>
              </w:rPr>
            </w:pPr>
          </w:p>
        </w:tc>
        <w:tc>
          <w:tcPr>
            <w:tcW w:w="1803" w:type="dxa"/>
            <w:vAlign w:val="center"/>
          </w:tcPr>
          <w:p w14:paraId="03DF2CF8" w14:textId="77777777" w:rsidR="00924664" w:rsidRPr="00A305A7" w:rsidRDefault="00924664" w:rsidP="00A305A7">
            <w:pPr>
              <w:jc w:val="right"/>
              <w:rPr>
                <w:sz w:val="20"/>
                <w:szCs w:val="20"/>
              </w:rPr>
            </w:pPr>
            <w:r w:rsidRPr="00A305A7">
              <w:rPr>
                <w:sz w:val="20"/>
                <w:szCs w:val="20"/>
              </w:rPr>
              <w:t>Number approved</w:t>
            </w:r>
          </w:p>
        </w:tc>
        <w:tc>
          <w:tcPr>
            <w:tcW w:w="1803" w:type="dxa"/>
            <w:vAlign w:val="center"/>
          </w:tcPr>
          <w:p w14:paraId="23CCD646" w14:textId="77777777" w:rsidR="00924664" w:rsidRPr="00A305A7" w:rsidRDefault="00924664" w:rsidP="00A305A7">
            <w:pPr>
              <w:jc w:val="right"/>
              <w:rPr>
                <w:sz w:val="20"/>
                <w:szCs w:val="20"/>
              </w:rPr>
            </w:pPr>
            <w:r w:rsidRPr="00A305A7">
              <w:rPr>
                <w:sz w:val="20"/>
                <w:szCs w:val="20"/>
              </w:rPr>
              <w:t>Number of employees covered</w:t>
            </w:r>
          </w:p>
        </w:tc>
        <w:tc>
          <w:tcPr>
            <w:tcW w:w="1803" w:type="dxa"/>
            <w:vAlign w:val="center"/>
          </w:tcPr>
          <w:p w14:paraId="04450D68" w14:textId="77777777" w:rsidR="00924664" w:rsidRPr="00A305A7" w:rsidRDefault="00924664" w:rsidP="00A305A7">
            <w:pPr>
              <w:jc w:val="right"/>
              <w:rPr>
                <w:sz w:val="20"/>
                <w:szCs w:val="20"/>
              </w:rPr>
            </w:pPr>
            <w:r w:rsidRPr="00A305A7">
              <w:rPr>
                <w:sz w:val="20"/>
                <w:szCs w:val="20"/>
              </w:rPr>
              <w:t>Number approved</w:t>
            </w:r>
          </w:p>
        </w:tc>
        <w:tc>
          <w:tcPr>
            <w:tcW w:w="1804" w:type="dxa"/>
            <w:vAlign w:val="center"/>
          </w:tcPr>
          <w:p w14:paraId="681FF751" w14:textId="77777777" w:rsidR="00924664" w:rsidRPr="00A305A7" w:rsidRDefault="00924664" w:rsidP="00A305A7">
            <w:pPr>
              <w:jc w:val="right"/>
              <w:rPr>
                <w:sz w:val="20"/>
                <w:szCs w:val="20"/>
              </w:rPr>
            </w:pPr>
            <w:r w:rsidRPr="00A305A7">
              <w:rPr>
                <w:sz w:val="20"/>
                <w:szCs w:val="20"/>
              </w:rPr>
              <w:t>Number of employees covered</w:t>
            </w:r>
          </w:p>
        </w:tc>
      </w:tr>
      <w:tr w:rsidR="00924664" w:rsidRPr="007B6AF7" w14:paraId="179885F1" w14:textId="77777777">
        <w:tc>
          <w:tcPr>
            <w:tcW w:w="1803" w:type="dxa"/>
            <w:vAlign w:val="center"/>
          </w:tcPr>
          <w:p w14:paraId="4DB6A8A8" w14:textId="77777777" w:rsidR="00924664" w:rsidRPr="00A305A7" w:rsidRDefault="00924664">
            <w:pPr>
              <w:jc w:val="center"/>
              <w:rPr>
                <w:sz w:val="20"/>
                <w:szCs w:val="20"/>
              </w:rPr>
            </w:pPr>
            <w:r w:rsidRPr="00A305A7">
              <w:rPr>
                <w:sz w:val="20"/>
                <w:szCs w:val="20"/>
              </w:rPr>
              <w:t>2013</w:t>
            </w:r>
            <w:r w:rsidRPr="00A305A7">
              <w:rPr>
                <w:rFonts w:ascii="Symbol" w:eastAsia="Symbol" w:hAnsi="Symbol" w:cs="Symbol"/>
                <w:sz w:val="20"/>
                <w:szCs w:val="20"/>
              </w:rPr>
              <w:t>-</w:t>
            </w:r>
            <w:r w:rsidRPr="00A305A7">
              <w:rPr>
                <w:sz w:val="20"/>
                <w:szCs w:val="20"/>
              </w:rPr>
              <w:t>2022</w:t>
            </w:r>
          </w:p>
        </w:tc>
        <w:tc>
          <w:tcPr>
            <w:tcW w:w="1803" w:type="dxa"/>
            <w:vAlign w:val="center"/>
          </w:tcPr>
          <w:p w14:paraId="73711948" w14:textId="77777777" w:rsidR="00924664" w:rsidRPr="00A305A7" w:rsidRDefault="00924664" w:rsidP="00A305A7">
            <w:pPr>
              <w:jc w:val="right"/>
              <w:rPr>
                <w:sz w:val="20"/>
                <w:szCs w:val="20"/>
              </w:rPr>
            </w:pPr>
            <w:r w:rsidRPr="00A305A7">
              <w:rPr>
                <w:sz w:val="20"/>
                <w:szCs w:val="20"/>
              </w:rPr>
              <w:t>46,848</w:t>
            </w:r>
          </w:p>
        </w:tc>
        <w:tc>
          <w:tcPr>
            <w:tcW w:w="1803" w:type="dxa"/>
            <w:vAlign w:val="center"/>
          </w:tcPr>
          <w:p w14:paraId="54E3E0B5" w14:textId="77777777" w:rsidR="00924664" w:rsidRPr="00A305A7" w:rsidRDefault="00924664" w:rsidP="00A305A7">
            <w:pPr>
              <w:jc w:val="right"/>
              <w:rPr>
                <w:sz w:val="20"/>
                <w:szCs w:val="20"/>
              </w:rPr>
            </w:pPr>
            <w:r w:rsidRPr="00A305A7">
              <w:rPr>
                <w:sz w:val="20"/>
                <w:szCs w:val="20"/>
              </w:rPr>
              <w:t>6,943,262</w:t>
            </w:r>
          </w:p>
        </w:tc>
        <w:tc>
          <w:tcPr>
            <w:tcW w:w="1803" w:type="dxa"/>
            <w:vAlign w:val="center"/>
          </w:tcPr>
          <w:p w14:paraId="45305BD7" w14:textId="77777777" w:rsidR="00924664" w:rsidRPr="00A305A7" w:rsidRDefault="00924664" w:rsidP="00A305A7">
            <w:pPr>
              <w:jc w:val="right"/>
              <w:rPr>
                <w:sz w:val="20"/>
                <w:szCs w:val="20"/>
              </w:rPr>
            </w:pPr>
            <w:r w:rsidRPr="00A305A7">
              <w:rPr>
                <w:sz w:val="20"/>
                <w:szCs w:val="20"/>
              </w:rPr>
              <w:t>213</w:t>
            </w:r>
          </w:p>
        </w:tc>
        <w:tc>
          <w:tcPr>
            <w:tcW w:w="1804" w:type="dxa"/>
            <w:vAlign w:val="center"/>
          </w:tcPr>
          <w:p w14:paraId="6B402A02" w14:textId="77777777" w:rsidR="00924664" w:rsidRPr="00A305A7" w:rsidRDefault="00924664" w:rsidP="00A305A7">
            <w:pPr>
              <w:jc w:val="right"/>
              <w:rPr>
                <w:sz w:val="20"/>
                <w:szCs w:val="20"/>
              </w:rPr>
            </w:pPr>
            <w:r w:rsidRPr="00A305A7">
              <w:rPr>
                <w:sz w:val="20"/>
                <w:szCs w:val="20"/>
              </w:rPr>
              <w:t>240,865</w:t>
            </w:r>
          </w:p>
        </w:tc>
      </w:tr>
    </w:tbl>
    <w:p w14:paraId="515721BA" w14:textId="77777777" w:rsidR="00924664" w:rsidRPr="00167CB8" w:rsidRDefault="00924664" w:rsidP="00924664">
      <w:pPr>
        <w:pStyle w:val="Source"/>
      </w:pPr>
      <w:r w:rsidRPr="00167CB8">
        <w:rPr>
          <w:b/>
          <w:bCs/>
        </w:rPr>
        <w:t>Source:</w:t>
      </w:r>
      <w:r w:rsidRPr="00167CB8">
        <w:t xml:space="preserve"> S</w:t>
      </w:r>
      <w:r>
        <w:t>ee</w:t>
      </w:r>
      <w:r w:rsidRPr="00167CB8">
        <w:t xml:space="preserve"> Appendix 2.</w:t>
      </w:r>
    </w:p>
    <w:p w14:paraId="16B5B8BC" w14:textId="77777777" w:rsidR="00924664" w:rsidRPr="00167CB8" w:rsidRDefault="00924664" w:rsidP="00924664">
      <w:r w:rsidRPr="00167CB8">
        <w:t>This decentralisation partly resulted from the Fair Work Act itself, which strongly supported bargaining at the level of the single enterprise and made bargaining above this level more difficult. For example, one of the ‘Objects’ of the Act was ‘achieving productivity and fairness through an emphasis on enterprise-level collective bargaining underpinned by good faith bargaining obligations and clear rules governing industrial action’ (s 3(f)). There was also a prohibition against industrial action in support of ‘pattern bargaining’ or other types of bargaining above the level of the single enterprise; as one well-informed commentator said, ‘Under the FW Act lawful strike action may only be taken against an employer in support of claims to be in a proposed single-enterprise agreement’.</w:t>
      </w:r>
      <w:r w:rsidRPr="00167CB8">
        <w:rPr>
          <w:rStyle w:val="FootnoteReference"/>
        </w:rPr>
        <w:footnoteReference w:id="283"/>
      </w:r>
    </w:p>
    <w:p w14:paraId="547CC7CE" w14:textId="4C6097B9" w:rsidR="00924664" w:rsidRPr="00167CB8" w:rsidRDefault="00924664" w:rsidP="00924664">
      <w:r w:rsidRPr="396ABCA7">
        <w:t xml:space="preserve">The originating </w:t>
      </w:r>
      <w:r w:rsidRPr="396ABCA7">
        <w:rPr>
          <w:i/>
          <w:iCs/>
        </w:rPr>
        <w:t>Fair Work Act 2009</w:t>
      </w:r>
      <w:r w:rsidRPr="396ABCA7">
        <w:t xml:space="preserve"> actually included provisions that were designed to encourage multi-employer bargaining in some circumstances (see the former sections in Part</w:t>
      </w:r>
      <w:r w:rsidR="0011475D">
        <w:t> </w:t>
      </w:r>
      <w:r w:rsidRPr="396ABCA7">
        <w:t>2-4, Division 10, of the Act). These provisions, however, failed to achieve this purpose.</w:t>
      </w:r>
      <w:r w:rsidRPr="396ABCA7">
        <w:rPr>
          <w:rStyle w:val="FootnoteReference"/>
        </w:rPr>
        <w:footnoteReference w:id="284"/>
      </w:r>
      <w:r w:rsidRPr="396ABCA7">
        <w:t xml:space="preserve"> Perhaps most conspicuously, the provisions that were designed to assist low-paid workers to improve their situations through multi-employer bargaining (i.e. the low-paid stream) failed </w:t>
      </w:r>
      <w:r w:rsidRPr="396ABCA7">
        <w:lastRenderedPageBreak/>
        <w:t>after ‘narrow’ interpretations by the FWC made it difficult to meet entry requirements.</w:t>
      </w:r>
      <w:r w:rsidRPr="396ABCA7">
        <w:rPr>
          <w:rStyle w:val="FootnoteReference"/>
        </w:rPr>
        <w:footnoteReference w:id="285"/>
      </w:r>
      <w:r w:rsidRPr="396ABCA7">
        <w:t xml:space="preserve"> These legislative provisions remained the same until the Secure Jobs, Better Pay amendments.</w:t>
      </w:r>
    </w:p>
    <w:p w14:paraId="520A1CED" w14:textId="77777777" w:rsidR="00924664" w:rsidRPr="00167CB8" w:rsidRDefault="00924664" w:rsidP="00924664">
      <w:r w:rsidRPr="396ABCA7">
        <w:t>At the same time, beyond the law, the parties mostly supported decentralisation. Employers and the Coalition political parties, for example, were deeply and continuously committed to bargaining being confined to the single enterprise. The enthusiasm of employers was partly driven by what they saw as better outcomes of single-enterprise bargaining, but it was also motivated by the process that gave them control of most of the key decisions. As McCrystal recently stated:</w:t>
      </w:r>
      <w:r w:rsidRPr="396ABCA7">
        <w:rPr>
          <w:rStyle w:val="FootnoteReference"/>
        </w:rPr>
        <w:footnoteReference w:id="286"/>
      </w:r>
    </w:p>
    <w:p w14:paraId="479AFA13" w14:textId="77777777" w:rsidR="0011475D" w:rsidRDefault="00924664" w:rsidP="00D55A73">
      <w:pPr>
        <w:pStyle w:val="Quote"/>
      </w:pPr>
      <w:r w:rsidRPr="009B508D">
        <w:t>Employers are responsible for initiating agreement-making and advising employees of their rights to be represented in bargaining (even where required to bargain under the Act), explaining the effect of a proposed agreement to employees, conducting a vote of employees to make an agreement, and lodging the agreement with the FWC for approval … While unions can also perform some of these functions, they are not necessary or required for any of them.</w:t>
      </w:r>
    </w:p>
    <w:p w14:paraId="6E2C8DDB" w14:textId="79C9A3B9" w:rsidR="00924664" w:rsidRPr="00167CB8" w:rsidRDefault="00924664" w:rsidP="00924664">
      <w:r w:rsidRPr="396ABCA7">
        <w:t xml:space="preserve">In 2019 a columnist at </w:t>
      </w:r>
      <w:r w:rsidRPr="396ABCA7">
        <w:rPr>
          <w:i/>
          <w:iCs/>
        </w:rPr>
        <w:t>The Australian</w:t>
      </w:r>
      <w:r w:rsidRPr="396ABCA7">
        <w:t xml:space="preserve"> newspaper warned Australian employers not to forget how the Fair Work Act had benefited them:</w:t>
      </w:r>
      <w:r w:rsidRPr="396ABCA7">
        <w:rPr>
          <w:rStyle w:val="FootnoteReference"/>
        </w:rPr>
        <w:footnoteReference w:id="287"/>
      </w:r>
    </w:p>
    <w:p w14:paraId="3E4B0A50" w14:textId="77777777" w:rsidR="00924664" w:rsidRPr="009B508D" w:rsidRDefault="00924664" w:rsidP="00D55A73">
      <w:pPr>
        <w:pStyle w:val="Quote"/>
        <w:rPr>
          <w:i/>
        </w:rPr>
      </w:pPr>
      <w:r w:rsidRPr="009B508D">
        <w:t>The Fair Work Act has been in place for a decade and consider what it has bequeathed. Stability, years and years of moderate wage growth, declining industrial disputation over the longer term, private sector union membership at an all-time low, and an enterprise bargaining system (thankfully) shrinking by the day.</w:t>
      </w:r>
    </w:p>
    <w:p w14:paraId="5FD76D5C" w14:textId="77777777" w:rsidR="00924664" w:rsidRPr="00167CB8" w:rsidRDefault="00924664" w:rsidP="00924664">
      <w:r w:rsidRPr="396ABCA7">
        <w:t>The preferences of unions and the Australian Labor Party (ALP) were more varied. The ALP remained committed to the single enterprise as the ‘primary’ level of bargaining under the Fair Work Act. Unions, however, were less impressed with single-enterprise bargaining, recognising that it had contributed to declining union membership and resources.</w:t>
      </w:r>
      <w:r w:rsidRPr="396ABCA7">
        <w:rPr>
          <w:rStyle w:val="FootnoteReference"/>
        </w:rPr>
        <w:footnoteReference w:id="288"/>
      </w:r>
      <w:r w:rsidRPr="396ABCA7">
        <w:t xml:space="preserve"> Their preference was for various forms of multi-employer bargaining. Union agitation about this matter was especially strong during its ‘Change the Rules’ campaign leading up to the 2019 federal election – a campaign that, amongst other things, advocated the revision of the Fair Work Act’s treatment of single-enterprise collective bargaining and the expansion of multi-employer bargaining.</w:t>
      </w:r>
      <w:r w:rsidRPr="396ABCA7">
        <w:rPr>
          <w:rStyle w:val="FootnoteReference"/>
        </w:rPr>
        <w:footnoteReference w:id="289"/>
      </w:r>
    </w:p>
    <w:p w14:paraId="668B5B81" w14:textId="77777777" w:rsidR="00924664" w:rsidRPr="00167CB8" w:rsidRDefault="00924664" w:rsidP="00924664">
      <w:r w:rsidRPr="00167CB8">
        <w:lastRenderedPageBreak/>
        <w:t>The highly decentralised approach towards collective bargaining situated Australia at an extreme amongst other countries, where multi-employer bargaining was far more common.</w:t>
      </w:r>
      <w:r w:rsidRPr="00167CB8">
        <w:rPr>
          <w:rStyle w:val="FootnoteReference"/>
        </w:rPr>
        <w:footnoteReference w:id="290"/>
      </w:r>
      <w:r w:rsidRPr="00167CB8">
        <w:t xml:space="preserve"> Moreover, international agencies, like the OECD, previously supporters of highly decentralised collective bargaining (or even no collective bargaining at all), have in recent years reversed this position and begun to advocate more </w:t>
      </w:r>
      <w:r>
        <w:t>coordinated</w:t>
      </w:r>
      <w:r w:rsidRPr="00167CB8">
        <w:t xml:space="preserve"> bargaining arrangements, </w:t>
      </w:r>
      <w:r>
        <w:t>which combine</w:t>
      </w:r>
      <w:r w:rsidRPr="00167CB8">
        <w:t xml:space="preserve"> multi-employer collective bargaining</w:t>
      </w:r>
      <w:r>
        <w:t xml:space="preserve"> with single-employer bargaining</w:t>
      </w:r>
      <w:r w:rsidRPr="00167CB8">
        <w:t>.</w:t>
      </w:r>
      <w:r w:rsidRPr="00167CB8">
        <w:rPr>
          <w:rStyle w:val="FootnoteReference"/>
        </w:rPr>
        <w:footnoteReference w:id="291"/>
      </w:r>
    </w:p>
    <w:p w14:paraId="0B425216" w14:textId="77777777" w:rsidR="00924664" w:rsidRPr="00167CB8" w:rsidRDefault="00924664" w:rsidP="00924664">
      <w:pPr>
        <w:pStyle w:val="Heading5"/>
      </w:pPr>
      <w:r w:rsidRPr="00167CB8">
        <w:t>8.3.3 Parties or agents</w:t>
      </w:r>
    </w:p>
    <w:p w14:paraId="0A53D0E4" w14:textId="2DA559E8" w:rsidR="00924664" w:rsidRPr="00167CB8" w:rsidRDefault="00924664" w:rsidP="00924664">
      <w:r w:rsidRPr="396ABCA7">
        <w:t>The individuals or organisations representing employees and employers in collective bargaining (i.e. the ‘bargaining agents’) under the Fair Work Act between 2009 and 2022 were distinctive (both historically within Australia and internationally) in several ways. First, employers were legally obliged to recognise the bargaining representatives nominated by their employees; such recognition was not unusual historically, either in Australia or in other countries.</w:t>
      </w:r>
      <w:r w:rsidRPr="396ABCA7">
        <w:rPr>
          <w:rStyle w:val="FootnoteReference"/>
        </w:rPr>
        <w:footnoteReference w:id="292"/>
      </w:r>
      <w:r w:rsidRPr="396ABCA7">
        <w:t xml:space="preserve"> The form of legal recognition, however, was exceptional because it rested on individual legal rights to achieve collective ends. This came through the original Fair Work Act obliging employers who voluntarily wished to initiate collective bargaining to notify all individual employees to be covered by the agreement of their right to nominate a bargaining agent; this agent could be their union, an individual or even themselves. Once representatives had been nominated, the employer was obliged to ‘bargain in good faith’ with those nominated representatives. The only circumstances in which an employer could be compelled to initiate bargaining was when a bargaining representative went to the FWC and won either a </w:t>
      </w:r>
      <w:r w:rsidR="00C64656">
        <w:t>m</w:t>
      </w:r>
      <w:r w:rsidRPr="396ABCA7">
        <w:t xml:space="preserve">ajority </w:t>
      </w:r>
      <w:r w:rsidR="00C64656">
        <w:t>s</w:t>
      </w:r>
      <w:r w:rsidRPr="396ABCA7">
        <w:t xml:space="preserve">upport </w:t>
      </w:r>
      <w:r w:rsidR="00C64656">
        <w:t>d</w:t>
      </w:r>
      <w:r w:rsidRPr="396ABCA7">
        <w:t>etermination or a scope order.</w:t>
      </w:r>
      <w:r w:rsidRPr="396ABCA7">
        <w:rPr>
          <w:rStyle w:val="FootnoteReference"/>
        </w:rPr>
        <w:footnoteReference w:id="293"/>
      </w:r>
    </w:p>
    <w:p w14:paraId="4C816576" w14:textId="77777777" w:rsidR="00924664" w:rsidRPr="00167CB8" w:rsidRDefault="00924664" w:rsidP="00924664">
      <w:r w:rsidRPr="396ABCA7">
        <w:t xml:space="preserve">Second, employee representation was not confined to unions. Non-union employee representation came in </w:t>
      </w:r>
      <w:r>
        <w:t>two</w:t>
      </w:r>
      <w:r w:rsidRPr="396ABCA7">
        <w:t xml:space="preserve"> ways: individual employees nominating themselves or other individuals as their bargaining agents; and employers completing an enterprise agreement – with or without any bargaining with employee representatives – and then directly gaining consent from employees.</w:t>
      </w:r>
      <w:r w:rsidRPr="396ABCA7">
        <w:rPr>
          <w:rStyle w:val="FootnoteReference"/>
        </w:rPr>
        <w:footnoteReference w:id="294"/>
      </w:r>
      <w:r w:rsidRPr="396ABCA7">
        <w:t xml:space="preserve"> Both non-union forms of representation were unusual internationally and historically within Australia.</w:t>
      </w:r>
      <w:r w:rsidRPr="396ABCA7">
        <w:rPr>
          <w:rStyle w:val="FootnoteReference"/>
        </w:rPr>
        <w:footnoteReference w:id="295"/>
      </w:r>
    </w:p>
    <w:p w14:paraId="1B1E4745" w14:textId="413B78A2" w:rsidR="00924664" w:rsidRPr="00167CB8" w:rsidRDefault="00924664" w:rsidP="00924664">
      <w:r w:rsidRPr="00167CB8">
        <w:t xml:space="preserve">Third, where unions represented employees in bargaining in Australia, it usually came in some combination of full-time officials employed by unions and part-time union delegates employed </w:t>
      </w:r>
      <w:r w:rsidRPr="00167CB8">
        <w:lastRenderedPageBreak/>
        <w:t xml:space="preserve">within workplaces by employers. The mixture of these </w:t>
      </w:r>
      <w:r w:rsidR="00C64656">
        <w:t>two</w:t>
      </w:r>
      <w:r w:rsidRPr="00167CB8">
        <w:t xml:space="preserve"> forms of representation varied over time and according to circumstances.</w:t>
      </w:r>
    </w:p>
    <w:p w14:paraId="73A0EF04" w14:textId="77777777" w:rsidR="00924664" w:rsidRPr="00167CB8" w:rsidRDefault="00924664" w:rsidP="00924664">
      <w:r w:rsidRPr="396ABCA7">
        <w:t>Fourth, employers also had a legal right under s 176(1) of the Fair Work Act to appoint (in writing) a representative to bargain on their behalf, which could be the employer itself, a consultant or a lawyer, who is also covered by the resulting agreement.</w:t>
      </w:r>
    </w:p>
    <w:p w14:paraId="7FFE5B32" w14:textId="77777777" w:rsidR="00924664" w:rsidRPr="00167CB8" w:rsidRDefault="00924664" w:rsidP="00924664">
      <w:r w:rsidRPr="396ABCA7">
        <w:t>Fifth, under the Fair Work Act, bargaining representatives did not legally become parties to any collective agreement resulting from the bargaining process. Rather, except for ‘greenfields agreements’, all collective agreements were made by one or more employers and their employees.</w:t>
      </w:r>
      <w:r w:rsidRPr="396ABCA7">
        <w:rPr>
          <w:rStyle w:val="FootnoteReference"/>
        </w:rPr>
        <w:footnoteReference w:id="296"/>
      </w:r>
      <w:r w:rsidRPr="396ABCA7">
        <w:t xml:space="preserve"> If bargaining representatives wished to be considered as ‘covered’ by the agreement (and thereby enjoy the limited legal privileges that such coverage brought), they had to apply to and be approved by the FWC under s 183 of the Fair Work Act. This legal situation was unusual historically within Australia and compared to most other countries.</w:t>
      </w:r>
    </w:p>
    <w:p w14:paraId="6ECB3035" w14:textId="77777777" w:rsidR="0011475D" w:rsidRDefault="00924664" w:rsidP="00924664">
      <w:r w:rsidRPr="396ABCA7">
        <w:t>Finally, the role of ‘third parties’ in collective bargaining has been vital but frequently neglected in the research literature, in Australia and internationally. In particular, Australian industrial tribunals were central under the original Fair Work Act, although their role was quite different from the historical conciliation and arbitration system.</w:t>
      </w:r>
      <w:r w:rsidRPr="396ABCA7">
        <w:rPr>
          <w:rStyle w:val="FootnoteReference"/>
        </w:rPr>
        <w:footnoteReference w:id="297"/>
      </w:r>
      <w:r w:rsidRPr="396ABCA7">
        <w:t xml:space="preserve"> On the one hand, tribunal members rarely decided </w:t>
      </w:r>
      <w:r w:rsidRPr="396ABCA7">
        <w:rPr>
          <w:i/>
          <w:iCs/>
        </w:rPr>
        <w:t>substantive</w:t>
      </w:r>
      <w:r w:rsidRPr="396ABCA7">
        <w:t xml:space="preserve"> terms in collective agreements; the only exceptions were ‘workplace determinations’, which were made unilaterally by the FWC. These determinations, however, were only made when employers and employee representatives (usually unions) were unable to agree amongst themselves and consequent industrial action was likely to cause significant economic distress.</w:t>
      </w:r>
      <w:r w:rsidRPr="396ABCA7">
        <w:rPr>
          <w:rStyle w:val="FootnoteReference"/>
        </w:rPr>
        <w:footnoteReference w:id="298"/>
      </w:r>
      <w:r w:rsidRPr="396ABCA7">
        <w:t xml:space="preserve"> The FWC’s role, however, was extensive (and internationally unusual) in its procedural supervision of bargaining and its approval of subsequent agreements.</w:t>
      </w:r>
      <w:r w:rsidRPr="396ABCA7">
        <w:rPr>
          <w:rStyle w:val="FootnoteReference"/>
        </w:rPr>
        <w:footnoteReference w:id="299"/>
      </w:r>
    </w:p>
    <w:p w14:paraId="26174413" w14:textId="1F788D23" w:rsidR="00924664" w:rsidRPr="00167CB8" w:rsidRDefault="00924664" w:rsidP="00924664">
      <w:r w:rsidRPr="00167CB8">
        <w:t>These features of the agents/parties under the collective bargaining provisions of the Fair Work Act are important because several of them were changed by the Secure Jobs, Better Pay amendments.</w:t>
      </w:r>
    </w:p>
    <w:p w14:paraId="659B4F49" w14:textId="77777777" w:rsidR="00924664" w:rsidRPr="00167CB8" w:rsidRDefault="00924664" w:rsidP="00924664">
      <w:pPr>
        <w:pStyle w:val="Heading5"/>
      </w:pPr>
      <w:r w:rsidRPr="00167CB8">
        <w:t>8.3.4 Incidence and coverage</w:t>
      </w:r>
    </w:p>
    <w:p w14:paraId="5D395A18" w14:textId="6F683516" w:rsidR="0011475D" w:rsidRDefault="00924664" w:rsidP="00924664">
      <w:r w:rsidRPr="00167CB8">
        <w:t>The significant declines of both the incidence and coverage of collective bargaining/agreements during the 2009</w:t>
      </w:r>
      <w:r w:rsidRPr="00167CB8">
        <w:rPr>
          <w:rFonts w:ascii="Symbol" w:eastAsia="Symbol" w:hAnsi="Symbol" w:cs="Symbol"/>
        </w:rPr>
        <w:t>-</w:t>
      </w:r>
      <w:r w:rsidRPr="00167CB8">
        <w:t xml:space="preserve">2022 period led directly to the 2022 legislative amendments. In the period immediately after the passing of the </w:t>
      </w:r>
      <w:r>
        <w:t xml:space="preserve">originating </w:t>
      </w:r>
      <w:r w:rsidRPr="00167CB8">
        <w:t xml:space="preserve">Fair Work Act, however, there was a shared belief – amongst Labor and Coalition politicians, union and employer representatives, and academic and media commentators alike – that the Fair Work Act would bring greater collectivisation and expanded collective bargaining, although they differed considerably </w:t>
      </w:r>
      <w:r>
        <w:t>o</w:t>
      </w:r>
      <w:r w:rsidRPr="00167CB8">
        <w:t>n the desirability of the expected resurgence of collective bargaining.</w:t>
      </w:r>
      <w:r w:rsidRPr="00167CB8">
        <w:rPr>
          <w:rStyle w:val="FootnoteReference"/>
        </w:rPr>
        <w:footnoteReference w:id="300"/>
      </w:r>
    </w:p>
    <w:p w14:paraId="13921051" w14:textId="36A11DE4" w:rsidR="0011475D" w:rsidRDefault="00924664" w:rsidP="00924664">
      <w:r w:rsidRPr="396ABCA7">
        <w:t xml:space="preserve">The language used by the stakeholders to express these positions with respect to the new Fair Work Act was remarkably similar to the words and reactions of the same groups to the Secure Jobs, Better Pay amendments. To cite just a few, the Labor Minister responsible for the original </w:t>
      </w:r>
      <w:r w:rsidRPr="396ABCA7">
        <w:lastRenderedPageBreak/>
        <w:t>Fair Work Act, the Hon Julia Gillard</w:t>
      </w:r>
      <w:r w:rsidR="00C64656">
        <w:t xml:space="preserve"> MP</w:t>
      </w:r>
      <w:r w:rsidRPr="396ABCA7">
        <w:t xml:space="preserve">, claimed the statute would ‘deliver a system that has at its heart bargaining in good faith at the enterprise level, as this is essential to maximise workplace cooperation, improve economic productivity and create rising national prosperity’. Union leaders ‘welcomed the dawning of a new era’ and were ‘determined to use the Act to protect workers’ rights and spread </w:t>
      </w:r>
      <w:r w:rsidRPr="00C64656">
        <w:t>collective bargaining’.</w:t>
      </w:r>
      <w:r w:rsidRPr="396ABCA7">
        <w:t xml:space="preserve"> In contrast, employer leaders described the Act, especially the primacy it gave to collective bargaining, as bringing ‘the biggest increase in union power since Federation’ and ensuring that ‘the pendulum has swung too far towards unions’</w:t>
      </w:r>
      <w:r w:rsidR="00C64656">
        <w:t>.</w:t>
      </w:r>
      <w:r w:rsidRPr="396ABCA7">
        <w:rPr>
          <w:rStyle w:val="FootnoteReference"/>
        </w:rPr>
        <w:footnoteReference w:id="301"/>
      </w:r>
    </w:p>
    <w:p w14:paraId="48C69DD8" w14:textId="3F61CDE7" w:rsidR="00924664" w:rsidRDefault="00924664" w:rsidP="00924664">
      <w:r w:rsidRPr="396ABCA7">
        <w:t xml:space="preserve">Measures of the incidence and coverage of </w:t>
      </w:r>
      <w:r w:rsidRPr="00A60355">
        <w:t xml:space="preserve">collective agreements in the years immediately after the </w:t>
      </w:r>
      <w:r w:rsidRPr="00A60355">
        <w:rPr>
          <w:i/>
          <w:iCs/>
        </w:rPr>
        <w:t>Fair Work Act 2009</w:t>
      </w:r>
      <w:r w:rsidRPr="00A60355">
        <w:t xml:space="preserve"> initially showed increases. Figure 3 shows the number of new agreements approved annually between the September quarters of each year</w:t>
      </w:r>
      <w:r w:rsidRPr="396ABCA7">
        <w:t xml:space="preserve">. The approval of new ‘enterprise agreements’ (collective agreements) reached a high of 8,265 between October 2011 and September 2012, with an annual average (between October 2009 and September 2012 inclusive) of 7,437 </w:t>
      </w:r>
      <w:r w:rsidRPr="396ABCA7">
        <w:rPr>
          <w:rFonts w:ascii="Symbol" w:eastAsia="Symbol" w:hAnsi="Symbol" w:cs="Symbol"/>
        </w:rPr>
        <w:t>-</w:t>
      </w:r>
      <w:r w:rsidRPr="396ABCA7">
        <w:t xml:space="preserve"> far above the 1998</w:t>
      </w:r>
      <w:r w:rsidRPr="396ABCA7">
        <w:rPr>
          <w:rFonts w:ascii="Symbol" w:eastAsia="Symbol" w:hAnsi="Symbol" w:cs="Symbol"/>
        </w:rPr>
        <w:t>-</w:t>
      </w:r>
      <w:r w:rsidRPr="396ABCA7">
        <w:t xml:space="preserve">2009 average. The coverage of these new agreements went over </w:t>
      </w:r>
      <w:r w:rsidR="0011475D">
        <w:t>one</w:t>
      </w:r>
      <w:r w:rsidRPr="396ABCA7">
        <w:t xml:space="preserve"> million employees in 2013, with an annual average (between October 2009 and September 2013 inclusive) of 984,507. Again, this was well over the long-term average of around 780,000 between 1998 and 2008.</w:t>
      </w:r>
      <w:r w:rsidRPr="396ABCA7">
        <w:rPr>
          <w:rStyle w:val="FootnoteReference"/>
        </w:rPr>
        <w:footnoteReference w:id="302"/>
      </w:r>
    </w:p>
    <w:p w14:paraId="06A24F53" w14:textId="5290153E" w:rsidR="00924664" w:rsidRDefault="00EC3517" w:rsidP="00FF411F">
      <w:pPr>
        <w:pStyle w:val="Caption"/>
      </w:pPr>
      <w:bookmarkStart w:id="191" w:name="_Toc194251501"/>
      <w:r>
        <w:t xml:space="preserve">Figure </w:t>
      </w:r>
      <w:r>
        <w:fldChar w:fldCharType="begin"/>
      </w:r>
      <w:r>
        <w:instrText xml:space="preserve"> SEQ Figure \* ARABIC </w:instrText>
      </w:r>
      <w:r>
        <w:fldChar w:fldCharType="separate"/>
      </w:r>
      <w:r w:rsidR="00DE5F5E">
        <w:rPr>
          <w:noProof/>
        </w:rPr>
        <w:t>3</w:t>
      </w:r>
      <w:r>
        <w:fldChar w:fldCharType="end"/>
      </w:r>
      <w:r>
        <w:t xml:space="preserve">: </w:t>
      </w:r>
      <w:r w:rsidR="00924664" w:rsidRPr="00C7470B">
        <w:t>Number of new agreements approved and number of employees covered, 20</w:t>
      </w:r>
      <w:r w:rsidR="00924664">
        <w:t>10</w:t>
      </w:r>
      <w:r w:rsidR="00DC5280">
        <w:t xml:space="preserve"> to </w:t>
      </w:r>
      <w:r w:rsidR="00924664" w:rsidRPr="00C7470B">
        <w:t>2024, annual to September quarter</w:t>
      </w:r>
      <w:bookmarkEnd w:id="191"/>
    </w:p>
    <w:p w14:paraId="1BC9CD31" w14:textId="1119FFBE" w:rsidR="00924664" w:rsidRPr="00C7470B" w:rsidRDefault="00924664" w:rsidP="00924664">
      <w:pPr>
        <w:rPr>
          <w:rFonts w:cs="Calibri"/>
          <w:b/>
          <w:bCs/>
          <w:lang w:val="en-US"/>
        </w:rPr>
      </w:pPr>
      <w:r w:rsidRPr="00D31A50">
        <w:rPr>
          <w:noProof/>
        </w:rPr>
        <w:drawing>
          <wp:inline distT="0" distB="0" distL="0" distR="0" wp14:anchorId="35AC7931" wp14:editId="18A85F3E">
            <wp:extent cx="5731510" cy="3446780"/>
            <wp:effectExtent l="0" t="0" r="2540" b="1270"/>
            <wp:docPr id="1655241954" name="Picture 1" descr="A combination chart of agreements approved and employees covered.&#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241954" name="Picture 1" descr="A combination chart of agreements approved and employees covered.&#10;&#10;See alt-text following the source."/>
                    <pic:cNvPicPr/>
                  </pic:nvPicPr>
                  <pic:blipFill>
                    <a:blip r:embed="rId16"/>
                    <a:stretch>
                      <a:fillRect/>
                    </a:stretch>
                  </pic:blipFill>
                  <pic:spPr>
                    <a:xfrm>
                      <a:off x="0" y="0"/>
                      <a:ext cx="5731510" cy="3446780"/>
                    </a:xfrm>
                    <a:prstGeom prst="rect">
                      <a:avLst/>
                    </a:prstGeom>
                  </pic:spPr>
                </pic:pic>
              </a:graphicData>
            </a:graphic>
          </wp:inline>
        </w:drawing>
      </w:r>
    </w:p>
    <w:p w14:paraId="2778AB76" w14:textId="77777777" w:rsidR="008A433E" w:rsidRDefault="009149E9" w:rsidP="00924664">
      <w:pPr>
        <w:pStyle w:val="Source"/>
      </w:pPr>
      <w:r>
        <w:rPr>
          <w:b/>
          <w:bCs/>
        </w:rPr>
        <w:t xml:space="preserve">Note: </w:t>
      </w:r>
      <w:r w:rsidR="00382E68">
        <w:t xml:space="preserve">The Secure Jobs, Better Pay amendments came into effect December 2022. This is shown in the above chart via the </w:t>
      </w:r>
      <w:r w:rsidR="008A433E">
        <w:t>vertical red line.</w:t>
      </w:r>
    </w:p>
    <w:p w14:paraId="27D18075" w14:textId="3B6186AF" w:rsidR="00924664" w:rsidRPr="00167CB8" w:rsidRDefault="00924664" w:rsidP="00924664">
      <w:pPr>
        <w:pStyle w:val="Source"/>
      </w:pPr>
      <w:r w:rsidRPr="00167CB8">
        <w:rPr>
          <w:b/>
          <w:bCs/>
        </w:rPr>
        <w:t>Source:</w:t>
      </w:r>
      <w:r w:rsidRPr="00167CB8">
        <w:t xml:space="preserve"> D</w:t>
      </w:r>
      <w:r w:rsidR="004A1B7B">
        <w:t xml:space="preserve">epartment of </w:t>
      </w:r>
      <w:r w:rsidRPr="00167CB8">
        <w:t>E</w:t>
      </w:r>
      <w:r w:rsidR="004A1B7B">
        <w:t>mployment and Workplace Relations,</w:t>
      </w:r>
      <w:r w:rsidRPr="00167CB8">
        <w:t xml:space="preserve"> Workplace Agreements Database.</w:t>
      </w:r>
    </w:p>
    <w:p w14:paraId="4A49119E" w14:textId="67822D90" w:rsidR="0011475D" w:rsidRDefault="00924664" w:rsidP="00924664">
      <w:pPr>
        <w:spacing w:after="120" w:line="240" w:lineRule="auto"/>
        <w:rPr>
          <w:sz w:val="20"/>
          <w:szCs w:val="20"/>
        </w:rPr>
      </w:pPr>
      <w:r w:rsidRPr="396ABCA7">
        <w:rPr>
          <w:b/>
          <w:bCs/>
          <w:sz w:val="20"/>
          <w:szCs w:val="20"/>
        </w:rPr>
        <w:lastRenderedPageBreak/>
        <w:t>Alt-text:</w:t>
      </w:r>
      <w:r w:rsidRPr="396ABCA7">
        <w:rPr>
          <w:sz w:val="20"/>
          <w:szCs w:val="20"/>
        </w:rPr>
        <w:t xml:space="preserve"> A combination chart. The bars show the number of new approved agreements between the </w:t>
      </w:r>
      <w:r>
        <w:rPr>
          <w:sz w:val="20"/>
          <w:szCs w:val="20"/>
        </w:rPr>
        <w:t>September 2010</w:t>
      </w:r>
      <w:r w:rsidRPr="396ABCA7">
        <w:rPr>
          <w:sz w:val="20"/>
          <w:szCs w:val="20"/>
        </w:rPr>
        <w:t xml:space="preserve"> and September 2024 and the line shows number of employees covered by these new agreements. Between October 2022 and September 2023</w:t>
      </w:r>
      <w:r>
        <w:rPr>
          <w:sz w:val="20"/>
          <w:szCs w:val="20"/>
        </w:rPr>
        <w:t>,</w:t>
      </w:r>
      <w:r w:rsidRPr="396ABCA7">
        <w:rPr>
          <w:sz w:val="20"/>
          <w:szCs w:val="20"/>
        </w:rPr>
        <w:t xml:space="preserve"> a total of 3,978 new agreements were approved across all sectors (LHS axis) covering 788,393 employees. In the </w:t>
      </w:r>
      <w:r>
        <w:rPr>
          <w:sz w:val="20"/>
          <w:szCs w:val="20"/>
        </w:rPr>
        <w:t>year to September 2024 (</w:t>
      </w:r>
      <w:r w:rsidRPr="396ABCA7">
        <w:rPr>
          <w:sz w:val="20"/>
          <w:szCs w:val="20"/>
        </w:rPr>
        <w:t>October 2023 to September 2024</w:t>
      </w:r>
      <w:r>
        <w:rPr>
          <w:sz w:val="20"/>
          <w:szCs w:val="20"/>
        </w:rPr>
        <w:t>)</w:t>
      </w:r>
      <w:r w:rsidR="00C64656">
        <w:rPr>
          <w:sz w:val="20"/>
          <w:szCs w:val="20"/>
        </w:rPr>
        <w:t>,</w:t>
      </w:r>
      <w:r w:rsidRPr="396ABCA7">
        <w:rPr>
          <w:sz w:val="20"/>
          <w:szCs w:val="20"/>
        </w:rPr>
        <w:t xml:space="preserve"> a total of 4</w:t>
      </w:r>
      <w:r w:rsidR="00C64656">
        <w:rPr>
          <w:sz w:val="20"/>
          <w:szCs w:val="20"/>
        </w:rPr>
        <w:t>,</w:t>
      </w:r>
      <w:r w:rsidRPr="396ABCA7">
        <w:rPr>
          <w:sz w:val="20"/>
          <w:szCs w:val="20"/>
        </w:rPr>
        <w:t>417 new agreements had been approved covering 1,258,322 employees, representing the highest coverage by new agreements since 2010.</w:t>
      </w:r>
    </w:p>
    <w:p w14:paraId="376E8422" w14:textId="77777777" w:rsidR="008C0E6A" w:rsidRDefault="008C0E6A" w:rsidP="00924664"/>
    <w:p w14:paraId="59FC7B0D" w14:textId="32F68C3B" w:rsidR="0011475D" w:rsidRDefault="00924664" w:rsidP="00924664">
      <w:r w:rsidRPr="396ABCA7">
        <w:t xml:space="preserve">Alternatively, data on ‘current’ agreements at the end of each </w:t>
      </w:r>
      <w:r w:rsidRPr="00973209">
        <w:t>September quarter (see Figure 4)</w:t>
      </w:r>
      <w:r w:rsidRPr="396ABCA7">
        <w:t xml:space="preserve"> show similar, but also slightly different, trends. The number of current agreements reached a peak of 24,046 in September 2010, while the number did not decline below 20,000 until September 2014; during the </w:t>
      </w:r>
      <w:r w:rsidR="0011475D">
        <w:t>five</w:t>
      </w:r>
      <w:r w:rsidRPr="396ABCA7">
        <w:t xml:space="preserve">-year period from September 2009 to September 2013 inclusive, the annual average was 23,104. The number of employees covered by these current agreements peaked in September 2013 period at 2,490,652, while the annual average over the </w:t>
      </w:r>
      <w:r w:rsidR="0011475D">
        <w:t>six</w:t>
      </w:r>
      <w:r w:rsidRPr="396ABCA7">
        <w:t>-year period between September 2010 and September 2015 was 2,369,941.</w:t>
      </w:r>
      <w:r w:rsidRPr="396ABCA7">
        <w:rPr>
          <w:rStyle w:val="FootnoteReference"/>
        </w:rPr>
        <w:footnoteReference w:id="303"/>
      </w:r>
    </w:p>
    <w:p w14:paraId="7EED4EA4" w14:textId="5F7CEB51" w:rsidR="00924664" w:rsidRPr="00FF411F" w:rsidRDefault="00EC3517" w:rsidP="00FF411F">
      <w:pPr>
        <w:pStyle w:val="Caption"/>
      </w:pPr>
      <w:bookmarkStart w:id="192" w:name="_Toc194251502"/>
      <w:r>
        <w:t xml:space="preserve">Figure </w:t>
      </w:r>
      <w:r>
        <w:fldChar w:fldCharType="begin"/>
      </w:r>
      <w:r>
        <w:instrText xml:space="preserve"> SEQ Figure \* ARABIC </w:instrText>
      </w:r>
      <w:r>
        <w:fldChar w:fldCharType="separate"/>
      </w:r>
      <w:r w:rsidR="00DE5F5E">
        <w:rPr>
          <w:noProof/>
        </w:rPr>
        <w:t>4</w:t>
      </w:r>
      <w:r>
        <w:fldChar w:fldCharType="end"/>
      </w:r>
      <w:r>
        <w:t xml:space="preserve">: </w:t>
      </w:r>
      <w:r w:rsidR="00924664" w:rsidRPr="00FF411F">
        <w:t>Number of current enterprise agreements and the employees covered by them, 2010</w:t>
      </w:r>
      <w:r w:rsidR="00DC5280">
        <w:t xml:space="preserve"> to </w:t>
      </w:r>
      <w:r w:rsidR="00924664" w:rsidRPr="00FF411F">
        <w:t>2024, end of September</w:t>
      </w:r>
      <w:bookmarkEnd w:id="192"/>
    </w:p>
    <w:p w14:paraId="70EEF5D7" w14:textId="2D74E0B2" w:rsidR="00924664" w:rsidRPr="00C7470B" w:rsidRDefault="00924664" w:rsidP="00924664">
      <w:pPr>
        <w:keepNext/>
        <w:spacing w:after="160"/>
        <w:rPr>
          <w:rFonts w:cs="Calibri"/>
          <w:b/>
          <w:bCs/>
          <w:lang w:val="en-US"/>
        </w:rPr>
      </w:pPr>
      <w:r w:rsidRPr="00D73F05">
        <w:rPr>
          <w:noProof/>
        </w:rPr>
        <w:drawing>
          <wp:inline distT="0" distB="0" distL="0" distR="0" wp14:anchorId="32B1E58B" wp14:editId="72004139">
            <wp:extent cx="5731510" cy="3646805"/>
            <wp:effectExtent l="0" t="0" r="2540" b="0"/>
            <wp:docPr id="259426062" name="Picture 1" descr="A combination chart of current enterprise agreements and employees covered by them.&#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426062" name="Picture 1" descr="A combination chart of current enterprise agreements and employees covered by them.&#10;&#10;See alt-text following the source."/>
                    <pic:cNvPicPr/>
                  </pic:nvPicPr>
                  <pic:blipFill>
                    <a:blip r:embed="rId17"/>
                    <a:stretch>
                      <a:fillRect/>
                    </a:stretch>
                  </pic:blipFill>
                  <pic:spPr>
                    <a:xfrm>
                      <a:off x="0" y="0"/>
                      <a:ext cx="5731510" cy="3646805"/>
                    </a:xfrm>
                    <a:prstGeom prst="rect">
                      <a:avLst/>
                    </a:prstGeom>
                  </pic:spPr>
                </pic:pic>
              </a:graphicData>
            </a:graphic>
          </wp:inline>
        </w:drawing>
      </w:r>
    </w:p>
    <w:p w14:paraId="0B81C0FF" w14:textId="77777777" w:rsidR="002002FB" w:rsidRDefault="002002FB" w:rsidP="002002FB">
      <w:pPr>
        <w:pStyle w:val="Source"/>
      </w:pPr>
      <w:r>
        <w:rPr>
          <w:b/>
          <w:bCs/>
        </w:rPr>
        <w:t xml:space="preserve">Note: </w:t>
      </w:r>
      <w:r>
        <w:t>The Secure Jobs, Better Pay amendments came into effect December 2022. This is shown in the above chart via the vertical red line.</w:t>
      </w:r>
    </w:p>
    <w:p w14:paraId="1A5A3A82" w14:textId="4E54E702" w:rsidR="00924664" w:rsidRPr="00167CB8" w:rsidRDefault="00924664" w:rsidP="00924664">
      <w:pPr>
        <w:pStyle w:val="Source"/>
      </w:pPr>
      <w:r w:rsidRPr="00167CB8">
        <w:rPr>
          <w:b/>
          <w:bCs/>
        </w:rPr>
        <w:t>Source:</w:t>
      </w:r>
      <w:r w:rsidRPr="00167CB8">
        <w:t xml:space="preserve"> </w:t>
      </w:r>
      <w:r w:rsidR="00C64656">
        <w:t>Department of Employment and Workplace Relations</w:t>
      </w:r>
      <w:r w:rsidR="00195EA3">
        <w:t>,</w:t>
      </w:r>
      <w:r w:rsidR="00C64656" w:rsidRPr="00167CB8">
        <w:t xml:space="preserve"> </w:t>
      </w:r>
      <w:r w:rsidRPr="00167CB8">
        <w:t>Workplace Agreements Database.</w:t>
      </w:r>
    </w:p>
    <w:p w14:paraId="12835B61" w14:textId="01CF2082" w:rsidR="00924664" w:rsidRPr="00167CB8" w:rsidRDefault="00924664" w:rsidP="00924664">
      <w:pPr>
        <w:rPr>
          <w:rFonts w:cs="Calibri"/>
          <w:sz w:val="20"/>
          <w:szCs w:val="20"/>
        </w:rPr>
      </w:pPr>
      <w:r w:rsidRPr="396ABCA7">
        <w:rPr>
          <w:rFonts w:cs="Calibri"/>
          <w:b/>
          <w:bCs/>
          <w:sz w:val="20"/>
          <w:szCs w:val="20"/>
        </w:rPr>
        <w:t>Alt-text:</w:t>
      </w:r>
      <w:r w:rsidRPr="396ABCA7">
        <w:rPr>
          <w:rFonts w:cs="Calibri"/>
          <w:sz w:val="20"/>
          <w:szCs w:val="20"/>
        </w:rPr>
        <w:t xml:space="preserve"> A combination chart. The bars show the number of current agreements on the last day of September between 20</w:t>
      </w:r>
      <w:r>
        <w:rPr>
          <w:rFonts w:cs="Calibri"/>
          <w:sz w:val="20"/>
          <w:szCs w:val="20"/>
        </w:rPr>
        <w:t>10</w:t>
      </w:r>
      <w:r w:rsidRPr="396ABCA7">
        <w:rPr>
          <w:rFonts w:cs="Calibri"/>
          <w:sz w:val="20"/>
          <w:szCs w:val="20"/>
        </w:rPr>
        <w:t xml:space="preserve"> to 2024 and the line shows number of employees covered by these agreements. In September 2023 the number of current agreements was equal to 9,889. This was below the number in September 2022, equal to 11,054. The coverage, however, increased between these </w:t>
      </w:r>
      <w:r w:rsidR="00C64656">
        <w:rPr>
          <w:rFonts w:cs="Calibri"/>
          <w:sz w:val="20"/>
          <w:szCs w:val="20"/>
        </w:rPr>
        <w:t>two</w:t>
      </w:r>
      <w:r w:rsidRPr="396ABCA7">
        <w:rPr>
          <w:rFonts w:cs="Calibri"/>
          <w:sz w:val="20"/>
          <w:szCs w:val="20"/>
        </w:rPr>
        <w:t xml:space="preserve"> periods, from 1.7 million in September 2022 to 1.8 million in September 2023. In September 2024 the </w:t>
      </w:r>
      <w:r w:rsidRPr="396ABCA7">
        <w:rPr>
          <w:rFonts w:cs="Calibri"/>
          <w:sz w:val="20"/>
          <w:szCs w:val="20"/>
        </w:rPr>
        <w:lastRenderedPageBreak/>
        <w:t>number of current agreements was equal to 10,113 and the coverage was equal to 2,206,033 workers. The previous highest coverage was at September 2013 (equal to 2.49 million workers).</w:t>
      </w:r>
    </w:p>
    <w:p w14:paraId="45ED055F" w14:textId="77777777" w:rsidR="00BB7C28" w:rsidRDefault="00BB7C28" w:rsidP="00924664"/>
    <w:p w14:paraId="7742F90C" w14:textId="4F5689B0" w:rsidR="0011475D" w:rsidRDefault="00924664" w:rsidP="00924664">
      <w:r w:rsidRPr="396ABCA7">
        <w:t>The Australian Council of Trade Unions (ACTU) expressed its satisfaction with these early developments and contrasted them with previous legal regimes:</w:t>
      </w:r>
      <w:r w:rsidRPr="396ABCA7">
        <w:rPr>
          <w:rStyle w:val="FootnoteReference"/>
        </w:rPr>
        <w:footnoteReference w:id="304"/>
      </w:r>
    </w:p>
    <w:p w14:paraId="7CF8D148" w14:textId="77777777" w:rsidR="0011475D" w:rsidRDefault="00924664" w:rsidP="00D55A73">
      <w:pPr>
        <w:pStyle w:val="Quote"/>
      </w:pPr>
      <w:r w:rsidRPr="00DE592D">
        <w:t>The Fair Work Act places collective bargaining at the core of the Australian industrial relations system, in stark contrast to Work Choices that sought to undermine collective agreements, leaving workers to fend for themselves.</w:t>
      </w:r>
    </w:p>
    <w:p w14:paraId="14B00D04" w14:textId="5C1CB612" w:rsidR="00924664" w:rsidRPr="005022DB" w:rsidRDefault="00924664" w:rsidP="00924664">
      <w:r w:rsidRPr="396ABCA7">
        <w:t xml:space="preserve">After 2012, however, the incidence and coverage of collective agreements declined </w:t>
      </w:r>
      <w:r w:rsidRPr="00614D0F">
        <w:t xml:space="preserve">precipitously. This can be seen in the data for </w:t>
      </w:r>
      <w:r w:rsidR="0011475D">
        <w:t>‘</w:t>
      </w:r>
      <w:r w:rsidRPr="00614D0F">
        <w:t>new enterprise agreements</w:t>
      </w:r>
      <w:r w:rsidR="0011475D">
        <w:t>’</w:t>
      </w:r>
      <w:r w:rsidRPr="00614D0F">
        <w:t xml:space="preserve">, which are summarised in Figure 3 (and also </w:t>
      </w:r>
      <w:r w:rsidRPr="006762E8">
        <w:t>reported in Appendix 2). The</w:t>
      </w:r>
      <w:r w:rsidRPr="00614D0F">
        <w:t xml:space="preserve"> total number of new collective agreements fell by 49% from 8,265 in the year ending in the September</w:t>
      </w:r>
      <w:r w:rsidRPr="396ABCA7">
        <w:t xml:space="preserve"> quarter of 2012 to 4,187 over the same four-quarterly period in 2022, although it had reached lower annual number in some earlier years. The number of employees covered by these new agreements fell by 46% from </w:t>
      </w:r>
      <w:r w:rsidRPr="396ABCA7">
        <w:rPr>
          <w:rFonts w:ascii="Aptos Narrow" w:hAnsi="Aptos Narrow"/>
          <w:color w:val="000000"/>
        </w:rPr>
        <w:t xml:space="preserve">1,053,681 in the four quarters to September </w:t>
      </w:r>
      <w:r w:rsidRPr="396ABCA7">
        <w:t xml:space="preserve">2013 to </w:t>
      </w:r>
      <w:r w:rsidRPr="396ABCA7">
        <w:rPr>
          <w:rFonts w:ascii="Aptos Narrow" w:hAnsi="Aptos Narrow"/>
          <w:color w:val="000000"/>
        </w:rPr>
        <w:t xml:space="preserve">a low of 571,102 </w:t>
      </w:r>
      <w:r w:rsidRPr="396ABCA7">
        <w:t>in 2021, although coverage had begun to increase in the year to the September quarter in 2022.</w:t>
      </w:r>
    </w:p>
    <w:p w14:paraId="3B4FF700" w14:textId="025FB173" w:rsidR="0011475D" w:rsidRDefault="00924664" w:rsidP="00924664">
      <w:r w:rsidRPr="00B342E5">
        <w:t xml:space="preserve">The decline is also evident in the </w:t>
      </w:r>
      <w:r w:rsidR="0011475D">
        <w:t>‘</w:t>
      </w:r>
      <w:r w:rsidRPr="00B342E5">
        <w:t>current</w:t>
      </w:r>
      <w:r w:rsidR="0011475D">
        <w:t>’</w:t>
      </w:r>
      <w:r w:rsidRPr="00B342E5">
        <w:t xml:space="preserve"> enterprise agreements (Figure 4). The number of</w:t>
      </w:r>
      <w:r w:rsidRPr="396ABCA7">
        <w:t xml:space="preserve"> agreements fell by 57% from </w:t>
      </w:r>
      <w:r w:rsidRPr="396ABCA7">
        <w:rPr>
          <w:rFonts w:ascii="Aptos Narrow" w:eastAsia="Times New Roman" w:hAnsi="Aptos Narrow" w:cs="Times New Roman"/>
          <w:color w:val="000000"/>
          <w:lang w:eastAsia="en-AU"/>
        </w:rPr>
        <w:t xml:space="preserve">22,957 </w:t>
      </w:r>
      <w:r w:rsidRPr="396ABCA7">
        <w:t xml:space="preserve">at the end of the September quarter of 2013 to a low of </w:t>
      </w:r>
      <w:r w:rsidRPr="396ABCA7">
        <w:rPr>
          <w:rFonts w:ascii="Aptos Narrow" w:eastAsia="Times New Roman" w:hAnsi="Aptos Narrow" w:cs="Times New Roman"/>
          <w:color w:val="000000"/>
          <w:lang w:eastAsia="en-AU"/>
        </w:rPr>
        <w:t>9,912</w:t>
      </w:r>
      <w:r w:rsidRPr="396ABCA7">
        <w:t xml:space="preserve"> at the end of the same quarter in 2020, although the number increased in the following two years. The coverage of these current agreements fell by 30% from </w:t>
      </w:r>
      <w:r w:rsidRPr="396ABCA7">
        <w:rPr>
          <w:rFonts w:ascii="Aptos Narrow" w:eastAsia="Times New Roman" w:hAnsi="Aptos Narrow" w:cs="Times New Roman"/>
          <w:color w:val="000000"/>
          <w:lang w:eastAsia="en-AU"/>
        </w:rPr>
        <w:t>2,490,652</w:t>
      </w:r>
      <w:r>
        <w:rPr>
          <w:rFonts w:ascii="Aptos Narrow" w:eastAsia="Times New Roman" w:hAnsi="Aptos Narrow" w:cs="Times New Roman"/>
          <w:color w:val="000000"/>
          <w:lang w:eastAsia="en-AU"/>
        </w:rPr>
        <w:t xml:space="preserve"> </w:t>
      </w:r>
      <w:r w:rsidRPr="396ABCA7">
        <w:t xml:space="preserve">at the end of September in 2013 to </w:t>
      </w:r>
      <w:r w:rsidRPr="396ABCA7">
        <w:rPr>
          <w:rFonts w:ascii="Aptos Narrow" w:eastAsia="Times New Roman" w:hAnsi="Aptos Narrow" w:cs="Times New Roman"/>
          <w:color w:val="000000"/>
          <w:lang w:eastAsia="en-AU"/>
        </w:rPr>
        <w:t xml:space="preserve">1,732,829 </w:t>
      </w:r>
      <w:r w:rsidRPr="396ABCA7">
        <w:t>at the end of September in 2022.</w:t>
      </w:r>
    </w:p>
    <w:p w14:paraId="39B65ED9" w14:textId="77777777" w:rsidR="0011475D" w:rsidRDefault="00924664" w:rsidP="00924664">
      <w:r w:rsidRPr="00167CB8">
        <w:t>The disaggregation of the decline in the incidence and coverage of enterprise agreements also reveals important trends, in that it:</w:t>
      </w:r>
    </w:p>
    <w:p w14:paraId="6F7880CB" w14:textId="05C38AF4" w:rsidR="00924664" w:rsidRPr="00167CB8" w:rsidRDefault="00924664" w:rsidP="003F7EE6">
      <w:pPr>
        <w:pStyle w:val="ListBullet"/>
        <w:numPr>
          <w:ilvl w:val="0"/>
          <w:numId w:val="4"/>
        </w:numPr>
      </w:pPr>
      <w:r w:rsidRPr="00167CB8">
        <w:t>was most significant in the private sector and less dramatic in the public sector</w:t>
      </w:r>
      <w:r w:rsidRPr="00167CB8">
        <w:rPr>
          <w:rStyle w:val="FootnoteReference"/>
        </w:rPr>
        <w:footnoteReference w:id="305"/>
      </w:r>
    </w:p>
    <w:p w14:paraId="7CF1E5A7" w14:textId="77777777" w:rsidR="00924664" w:rsidRDefault="00924664" w:rsidP="003F7EE6">
      <w:pPr>
        <w:pStyle w:val="ListBullet"/>
        <w:numPr>
          <w:ilvl w:val="0"/>
          <w:numId w:val="4"/>
        </w:numPr>
      </w:pPr>
      <w:r w:rsidRPr="396ABCA7">
        <w:t>was fairly consistent (at least in percentage terms) between union and non-union agreements</w:t>
      </w:r>
      <w:r w:rsidRPr="396ABCA7">
        <w:rPr>
          <w:rStyle w:val="FootnoteReference"/>
        </w:rPr>
        <w:footnoteReference w:id="306"/>
      </w:r>
    </w:p>
    <w:p w14:paraId="4D22C109" w14:textId="358FD168" w:rsidR="0011475D" w:rsidRDefault="00924664" w:rsidP="003F7EE6">
      <w:pPr>
        <w:pStyle w:val="ListBullet"/>
        <w:numPr>
          <w:ilvl w:val="0"/>
          <w:numId w:val="4"/>
        </w:numPr>
      </w:pPr>
      <w:r w:rsidRPr="396ABCA7">
        <w:t>varied by size of agreement,</w:t>
      </w:r>
      <w:r w:rsidRPr="396ABCA7">
        <w:rPr>
          <w:rStyle w:val="FootnoteReference"/>
        </w:rPr>
        <w:footnoteReference w:id="307"/>
      </w:r>
      <w:r w:rsidRPr="396ABCA7">
        <w:t xml:space="preserve"> with </w:t>
      </w:r>
      <w:r>
        <w:t xml:space="preserve">the number of </w:t>
      </w:r>
      <w:r w:rsidRPr="396ABCA7">
        <w:t xml:space="preserve">smaller agreements falling further and faster </w:t>
      </w:r>
      <w:r w:rsidRPr="00AC00C4">
        <w:t>than large agreements (see Figure 5).</w:t>
      </w:r>
      <w:r w:rsidRPr="00AC00C4">
        <w:rPr>
          <w:rStyle w:val="FootnoteReference"/>
        </w:rPr>
        <w:footnoteReference w:id="308"/>
      </w:r>
    </w:p>
    <w:p w14:paraId="252E56CC" w14:textId="50A3A5CB" w:rsidR="00924664" w:rsidRDefault="00EC3517" w:rsidP="003B1F8F">
      <w:pPr>
        <w:pStyle w:val="Caption"/>
      </w:pPr>
      <w:bookmarkStart w:id="193" w:name="_Toc194251503"/>
      <w:r>
        <w:lastRenderedPageBreak/>
        <w:t xml:space="preserve">Figure </w:t>
      </w:r>
      <w:r>
        <w:fldChar w:fldCharType="begin"/>
      </w:r>
      <w:r>
        <w:instrText xml:space="preserve"> SEQ Figure \* ARABIC </w:instrText>
      </w:r>
      <w:r>
        <w:fldChar w:fldCharType="separate"/>
      </w:r>
      <w:r w:rsidR="00DE5F5E">
        <w:rPr>
          <w:noProof/>
        </w:rPr>
        <w:t>5</w:t>
      </w:r>
      <w:r>
        <w:fldChar w:fldCharType="end"/>
      </w:r>
      <w:r>
        <w:t xml:space="preserve">: </w:t>
      </w:r>
      <w:r w:rsidR="00924664" w:rsidRPr="00C7470B">
        <w:t>Trends in enterprise agreement approvals by agreement size, Australia, 2009</w:t>
      </w:r>
      <w:r w:rsidR="00DC5280">
        <w:t xml:space="preserve">  to </w:t>
      </w:r>
      <w:r w:rsidR="00924664" w:rsidRPr="00C7470B">
        <w:t>2024</w:t>
      </w:r>
      <w:bookmarkEnd w:id="193"/>
    </w:p>
    <w:p w14:paraId="7DC4A812" w14:textId="7B5865EC" w:rsidR="00924664" w:rsidRPr="00C7470B" w:rsidRDefault="00924664" w:rsidP="00924664">
      <w:pPr>
        <w:rPr>
          <w:rFonts w:cs="Calibri"/>
          <w:b/>
          <w:bCs/>
          <w:lang w:val="en-US"/>
        </w:rPr>
      </w:pPr>
      <w:r w:rsidRPr="00FD1C6C">
        <w:rPr>
          <w:noProof/>
        </w:rPr>
        <w:drawing>
          <wp:inline distT="0" distB="0" distL="0" distR="0" wp14:anchorId="729D524B" wp14:editId="3D8D0EE8">
            <wp:extent cx="5619048" cy="3390476"/>
            <wp:effectExtent l="0" t="0" r="1270" b="635"/>
            <wp:docPr id="491264717" name="Picture 1" descr="A line chart of trends in enterprise agreement approvals.&#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264717" name="Picture 1" descr="A line chart of trends in enterprise agreement approvals.&#10;&#10;See alt-text following the source."/>
                    <pic:cNvPicPr/>
                  </pic:nvPicPr>
                  <pic:blipFill>
                    <a:blip r:embed="rId18"/>
                    <a:stretch>
                      <a:fillRect/>
                    </a:stretch>
                  </pic:blipFill>
                  <pic:spPr>
                    <a:xfrm>
                      <a:off x="0" y="0"/>
                      <a:ext cx="5619048" cy="3390476"/>
                    </a:xfrm>
                    <a:prstGeom prst="rect">
                      <a:avLst/>
                    </a:prstGeom>
                  </pic:spPr>
                </pic:pic>
              </a:graphicData>
            </a:graphic>
          </wp:inline>
        </w:drawing>
      </w:r>
    </w:p>
    <w:p w14:paraId="7C70C42E" w14:textId="24D028B8" w:rsidR="00924664" w:rsidRPr="00167CB8" w:rsidRDefault="00924664" w:rsidP="00924664">
      <w:pPr>
        <w:pStyle w:val="Source"/>
      </w:pPr>
      <w:r w:rsidRPr="00167CB8">
        <w:rPr>
          <w:b/>
          <w:bCs/>
        </w:rPr>
        <w:t>Source:</w:t>
      </w:r>
      <w:r w:rsidRPr="00167CB8">
        <w:t xml:space="preserve"> </w:t>
      </w:r>
      <w:r w:rsidR="00C64656">
        <w:t>Department of Employment and Workplace Relations</w:t>
      </w:r>
      <w:r w:rsidR="00195EA3">
        <w:t>,</w:t>
      </w:r>
      <w:r w:rsidR="00C64656" w:rsidRPr="00167CB8">
        <w:t xml:space="preserve"> </w:t>
      </w:r>
      <w:r w:rsidRPr="00167CB8">
        <w:t>Workplace Agreements Database.</w:t>
      </w:r>
    </w:p>
    <w:p w14:paraId="0D230C7B" w14:textId="77777777" w:rsidR="00924664" w:rsidRPr="00167CB8" w:rsidRDefault="00924664" w:rsidP="00924664">
      <w:pPr>
        <w:spacing w:before="120"/>
        <w:rPr>
          <w:sz w:val="18"/>
        </w:rPr>
      </w:pPr>
      <w:r w:rsidRPr="00167CB8">
        <w:rPr>
          <w:b/>
          <w:sz w:val="18"/>
        </w:rPr>
        <w:t>Alt text:</w:t>
      </w:r>
      <w:r w:rsidRPr="00167CB8">
        <w:rPr>
          <w:sz w:val="18"/>
        </w:rPr>
        <w:t xml:space="preserve"> A line chart showing the number of enterprise agreements approved in each quarter from September 2009 to September 2024, by the size of the employee cohort covered by the agreement. In the September quarter 2024 there were 186 enterprise agreements approved that covered fewer than 10 employees, 268 that covered 10 to 24 employees, 161 that covered 25 to 49 employees, 123 that covered 50 to 99 employees and 197 that covered more than 100 employees.</w:t>
      </w:r>
    </w:p>
    <w:p w14:paraId="14A2703A" w14:textId="77777777" w:rsidR="00924664" w:rsidRDefault="00924664" w:rsidP="00924664">
      <w:r w:rsidRPr="00167CB8">
        <w:t>In summary, by the time of the passing of the Secure Jobs, Better Pay amendments in late 2022, evidence of the decline in the incidence and coverage of collective agreements since 2012 was compelling. Many commentators suggested that this decline was associated with – if not caused by – the provisions of the Fair Work Act.</w:t>
      </w:r>
    </w:p>
    <w:p w14:paraId="41222466" w14:textId="77777777" w:rsidR="0011475D" w:rsidRDefault="00924664" w:rsidP="00924664">
      <w:pPr>
        <w:pStyle w:val="Heading5"/>
      </w:pPr>
      <w:r w:rsidRPr="00167CB8">
        <w:t>8.3.5 Outcomes</w:t>
      </w:r>
    </w:p>
    <w:p w14:paraId="324274B0" w14:textId="49544684" w:rsidR="00924664" w:rsidRPr="00167CB8" w:rsidRDefault="00924664" w:rsidP="00924664">
      <w:r w:rsidRPr="396ABCA7">
        <w:t xml:space="preserve">The decline in the incidence and coverage of collective agreements coincided with </w:t>
      </w:r>
      <w:r>
        <w:t xml:space="preserve">changes to </w:t>
      </w:r>
      <w:r w:rsidRPr="396ABCA7">
        <w:t xml:space="preserve">a number of key economic outcomes. This section will focus on </w:t>
      </w:r>
      <w:r>
        <w:t>two</w:t>
      </w:r>
      <w:r w:rsidRPr="396ABCA7">
        <w:t xml:space="preserve"> such outcomes: wages</w:t>
      </w:r>
      <w:r>
        <w:t xml:space="preserve"> and</w:t>
      </w:r>
      <w:r w:rsidRPr="396ABCA7">
        <w:t xml:space="preserve"> </w:t>
      </w:r>
      <w:r>
        <w:t xml:space="preserve">the gap between </w:t>
      </w:r>
      <w:r w:rsidRPr="396ABCA7">
        <w:t>wages and productivity</w:t>
      </w:r>
      <w:r>
        <w:t>.</w:t>
      </w:r>
    </w:p>
    <w:p w14:paraId="54549231" w14:textId="77777777" w:rsidR="0011475D" w:rsidRDefault="00924664" w:rsidP="00924664">
      <w:pPr>
        <w:pStyle w:val="Heading6"/>
      </w:pPr>
      <w:r w:rsidRPr="00167CB8">
        <w:t>8.3.5.1 Wages</w:t>
      </w:r>
    </w:p>
    <w:p w14:paraId="5B02405D" w14:textId="5DA7F556" w:rsidR="00924664" w:rsidRPr="00FD1C6C" w:rsidRDefault="00924664" w:rsidP="00924664">
      <w:r w:rsidRPr="396ABCA7">
        <w:t xml:space="preserve">The first, and most </w:t>
      </w:r>
      <w:r w:rsidRPr="000D52AB">
        <w:t>important, is wages. Using the wage price index (WPI), Figure 6 shows</w:t>
      </w:r>
      <w:r w:rsidRPr="00FD1C6C">
        <w:t xml:space="preserve"> growth in nominal and real wages </w:t>
      </w:r>
      <w:r>
        <w:t xml:space="preserve">(deflated using the consumer price index </w:t>
      </w:r>
      <w:r w:rsidR="007870EB">
        <w:t>(</w:t>
      </w:r>
      <w:r>
        <w:t>CPI</w:t>
      </w:r>
      <w:r w:rsidR="007870EB">
        <w:t>)</w:t>
      </w:r>
      <w:r>
        <w:t xml:space="preserve">) </w:t>
      </w:r>
      <w:r w:rsidRPr="00FD1C6C">
        <w:t>since December 2010 (the base year). Between December 2010 and December 2022 nominal wages increased by 34.3% but, after adjusting for inflation, real wage growth over this period was virtually zero (equal to 0.3%).</w:t>
      </w:r>
    </w:p>
    <w:p w14:paraId="006C0D86" w14:textId="400819C4" w:rsidR="00924664" w:rsidRPr="00C7470B" w:rsidRDefault="00EC3517" w:rsidP="003B1F8F">
      <w:pPr>
        <w:pStyle w:val="Caption"/>
      </w:pPr>
      <w:bookmarkStart w:id="194" w:name="_Toc194251504"/>
      <w:r>
        <w:lastRenderedPageBreak/>
        <w:t xml:space="preserve">Figure </w:t>
      </w:r>
      <w:r>
        <w:fldChar w:fldCharType="begin"/>
      </w:r>
      <w:r>
        <w:instrText xml:space="preserve"> SEQ Figure \* ARABIC </w:instrText>
      </w:r>
      <w:r>
        <w:fldChar w:fldCharType="separate"/>
      </w:r>
      <w:r w:rsidR="00DE5F5E">
        <w:rPr>
          <w:noProof/>
        </w:rPr>
        <w:t>6</w:t>
      </w:r>
      <w:r>
        <w:fldChar w:fldCharType="end"/>
      </w:r>
      <w:r>
        <w:t xml:space="preserve">: </w:t>
      </w:r>
      <w:r w:rsidR="00924664" w:rsidRPr="00C7470B">
        <w:t>Nominal and real wage growth in Australia,</w:t>
      </w:r>
      <w:r w:rsidR="007870EB">
        <w:t xml:space="preserve"> December 2010 to December 2024, </w:t>
      </w:r>
      <w:r w:rsidR="00924664">
        <w:t xml:space="preserve">indexed to </w:t>
      </w:r>
      <w:r w:rsidR="00924664" w:rsidDel="007870EB">
        <w:t>December</w:t>
      </w:r>
      <w:r w:rsidR="007870EB">
        <w:t> </w:t>
      </w:r>
      <w:r w:rsidR="00924664">
        <w:t>2010</w:t>
      </w:r>
      <w:bookmarkEnd w:id="194"/>
    </w:p>
    <w:p w14:paraId="4C4F8A12" w14:textId="47B00D3D" w:rsidR="00924664" w:rsidRDefault="00924664" w:rsidP="00924664">
      <w:pPr>
        <w:pStyle w:val="Source"/>
        <w:rPr>
          <w:b/>
          <w:bCs/>
        </w:rPr>
      </w:pPr>
      <w:r w:rsidRPr="007727EA">
        <w:rPr>
          <w:noProof/>
        </w:rPr>
        <w:drawing>
          <wp:inline distT="0" distB="0" distL="0" distR="0" wp14:anchorId="5C7F9EBB" wp14:editId="3AF29907">
            <wp:extent cx="5731510" cy="3748405"/>
            <wp:effectExtent l="0" t="0" r="2540" b="4445"/>
            <wp:docPr id="1322971975" name="Picture 1" descr="A line chart of nominal and real wage growth.&#10;&#10;See alt-text following 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971975" name="Picture 1" descr="A line chart of nominal and real wage growth.&#10;&#10;See alt-text following notes."/>
                    <pic:cNvPicPr/>
                  </pic:nvPicPr>
                  <pic:blipFill>
                    <a:blip r:embed="rId19"/>
                    <a:stretch>
                      <a:fillRect/>
                    </a:stretch>
                  </pic:blipFill>
                  <pic:spPr>
                    <a:xfrm>
                      <a:off x="0" y="0"/>
                      <a:ext cx="5731510" cy="3748405"/>
                    </a:xfrm>
                    <a:prstGeom prst="rect">
                      <a:avLst/>
                    </a:prstGeom>
                  </pic:spPr>
                </pic:pic>
              </a:graphicData>
            </a:graphic>
          </wp:inline>
        </w:drawing>
      </w:r>
    </w:p>
    <w:p w14:paraId="07253AE8" w14:textId="77777777" w:rsidR="0011475D" w:rsidRDefault="00924664" w:rsidP="00924664">
      <w:pPr>
        <w:pStyle w:val="Source"/>
        <w:rPr>
          <w:b/>
          <w:bCs/>
        </w:rPr>
      </w:pPr>
      <w:r w:rsidRPr="00167CB8">
        <w:rPr>
          <w:b/>
          <w:bCs/>
        </w:rPr>
        <w:t>Notes:</w:t>
      </w:r>
    </w:p>
    <w:p w14:paraId="060674BF" w14:textId="25941F0B" w:rsidR="00EC3517" w:rsidRDefault="00924664" w:rsidP="00924664">
      <w:pPr>
        <w:pStyle w:val="Source"/>
      </w:pPr>
      <w:r w:rsidRPr="00F405AB">
        <w:t xml:space="preserve">1. </w:t>
      </w:r>
      <w:r w:rsidR="00EC3517">
        <w:t>CPI: consumer price index.</w:t>
      </w:r>
    </w:p>
    <w:p w14:paraId="5A2EC1BB" w14:textId="01EEC234" w:rsidR="00924664" w:rsidRPr="00F405AB" w:rsidRDefault="00EC3517" w:rsidP="00924664">
      <w:pPr>
        <w:pStyle w:val="Source"/>
      </w:pPr>
      <w:r>
        <w:t xml:space="preserve">2. </w:t>
      </w:r>
      <w:r w:rsidR="00924664" w:rsidRPr="00F405AB">
        <w:t>ABS 6345.0 Wage Price Index, Australia. Table 1, Total hourly rates of pay excluding bonuses, original.</w:t>
      </w:r>
    </w:p>
    <w:p w14:paraId="4ECB15B9" w14:textId="539630BF" w:rsidR="00924664" w:rsidRPr="00C64656" w:rsidRDefault="00EC3517" w:rsidP="00924664">
      <w:pPr>
        <w:pStyle w:val="Source"/>
      </w:pPr>
      <w:r>
        <w:t>3</w:t>
      </w:r>
      <w:r w:rsidR="00924664" w:rsidRPr="00F405AB">
        <w:t xml:space="preserve">. ABS 6401.0 Consumer Price Index, Australia. Tables 1 and 2, All groups CPI Australia, </w:t>
      </w:r>
      <w:r w:rsidR="00924664" w:rsidRPr="00C64656">
        <w:t>original.</w:t>
      </w:r>
    </w:p>
    <w:p w14:paraId="600D3E89" w14:textId="05DC7446" w:rsidR="00924664" w:rsidRPr="00F405AB" w:rsidRDefault="00EC3517" w:rsidP="00924664">
      <w:pPr>
        <w:pStyle w:val="Source"/>
      </w:pPr>
      <w:r>
        <w:t>4</w:t>
      </w:r>
      <w:r w:rsidR="00924664" w:rsidRPr="00C64656">
        <w:t xml:space="preserve">. Real wages derived by subtracting the </w:t>
      </w:r>
      <w:r w:rsidR="00C64656" w:rsidRPr="003B1F8F">
        <w:t xml:space="preserve">consumer price index </w:t>
      </w:r>
      <w:r w:rsidR="00924664" w:rsidRPr="00C64656">
        <w:t xml:space="preserve">from the </w:t>
      </w:r>
      <w:r w:rsidR="00C64656" w:rsidRPr="00C64656">
        <w:t xml:space="preserve">wage price index, </w:t>
      </w:r>
      <w:r w:rsidR="00924664" w:rsidRPr="00C64656">
        <w:t>which measures</w:t>
      </w:r>
      <w:r w:rsidR="00924664" w:rsidRPr="00F405AB">
        <w:t xml:space="preserve"> nominal wage growth.</w:t>
      </w:r>
    </w:p>
    <w:p w14:paraId="7724EFEC" w14:textId="319605F0" w:rsidR="00924664" w:rsidRPr="00167CB8" w:rsidRDefault="00EC3517" w:rsidP="00924664">
      <w:pPr>
        <w:pStyle w:val="Source"/>
      </w:pPr>
      <w:r>
        <w:t>5</w:t>
      </w:r>
      <w:r w:rsidR="00924664" w:rsidRPr="00F405AB">
        <w:t>. The red vertical line shows when the Secure Jobs, Better Pay Act came into effect.</w:t>
      </w:r>
    </w:p>
    <w:p w14:paraId="5F152EFD" w14:textId="77777777" w:rsidR="00924664" w:rsidRPr="00B279EC" w:rsidRDefault="00924664" w:rsidP="00924664">
      <w:pPr>
        <w:rPr>
          <w:sz w:val="18"/>
          <w:szCs w:val="18"/>
        </w:rPr>
      </w:pPr>
      <w:r w:rsidRPr="00E20865">
        <w:rPr>
          <w:b/>
          <w:bCs/>
          <w:sz w:val="18"/>
          <w:szCs w:val="18"/>
        </w:rPr>
        <w:t xml:space="preserve">Alt-text: </w:t>
      </w:r>
      <w:r w:rsidRPr="00E20865">
        <w:rPr>
          <w:sz w:val="18"/>
          <w:szCs w:val="18"/>
        </w:rPr>
        <w:t xml:space="preserve">A line chart showing the nominal and real wage growth in Australia, </w:t>
      </w:r>
      <w:r>
        <w:rPr>
          <w:sz w:val="18"/>
          <w:szCs w:val="18"/>
        </w:rPr>
        <w:t xml:space="preserve">between December 2010 and December </w:t>
      </w:r>
      <w:r w:rsidRPr="00B279EC">
        <w:rPr>
          <w:sz w:val="18"/>
          <w:szCs w:val="18"/>
        </w:rPr>
        <w:t>2024.</w:t>
      </w:r>
    </w:p>
    <w:p w14:paraId="64BCED8B" w14:textId="7E6B584F" w:rsidR="0011475D" w:rsidRDefault="00924664" w:rsidP="00924664">
      <w:r w:rsidRPr="00B279EC">
        <w:t>Figure 7, which also uses WPI data, shows nominal and real wage growth (all industries) relative to the corresponding quarter of the previous year. The estimates show that nominal wages were basically stagnant between</w:t>
      </w:r>
      <w:r w:rsidRPr="00FD1C6C">
        <w:t xml:space="preserve"> the March quarter </w:t>
      </w:r>
      <w:r w:rsidR="007870EB">
        <w:t xml:space="preserve">of </w:t>
      </w:r>
      <w:r w:rsidRPr="00FD1C6C">
        <w:t xml:space="preserve">2013 and the December quarter </w:t>
      </w:r>
      <w:r w:rsidR="007870EB">
        <w:t xml:space="preserve">of </w:t>
      </w:r>
      <w:r w:rsidRPr="00FD1C6C">
        <w:t>2019. Over this period, average annual wage growth was around 2.3%</w:t>
      </w:r>
      <w:r>
        <w:t>. This fell</w:t>
      </w:r>
      <w:r w:rsidRPr="00FD1C6C">
        <w:t xml:space="preserve"> to 1.7% over the COVID-19 period (March 2020 to September 2021 quarter).</w:t>
      </w:r>
    </w:p>
    <w:p w14:paraId="22854807" w14:textId="499E40DC" w:rsidR="00924664" w:rsidRPr="00167CB8" w:rsidRDefault="00924664" w:rsidP="00924664">
      <w:r w:rsidRPr="00395A8F">
        <w:t>Annual real wage growth</w:t>
      </w:r>
      <w:r w:rsidRPr="00FD1C6C">
        <w:t xml:space="preserve"> was equal to 0.4% between 2013 and 2019</w:t>
      </w:r>
      <w:r>
        <w:t>. After a brief spike, real wage growth turned</w:t>
      </w:r>
      <w:r w:rsidRPr="00FD1C6C">
        <w:t xml:space="preserve"> negative in June 2021</w:t>
      </w:r>
      <w:r>
        <w:t>,</w:t>
      </w:r>
      <w:r w:rsidRPr="00FD1C6C">
        <w:t xml:space="preserve"> when inflation took off. When inflation peaked at 7.8% </w:t>
      </w:r>
      <w:r>
        <w:t>in</w:t>
      </w:r>
      <w:r w:rsidRPr="00FD1C6C">
        <w:t xml:space="preserve"> December 2022</w:t>
      </w:r>
      <w:r>
        <w:t xml:space="preserve"> (relative to inflation in December 2021), annual real wages declined by 4.4%.</w:t>
      </w:r>
    </w:p>
    <w:p w14:paraId="3448433F" w14:textId="7A2F90E4" w:rsidR="00924664" w:rsidRPr="003B1F8F" w:rsidRDefault="00EC3517" w:rsidP="003B1F8F">
      <w:pPr>
        <w:pStyle w:val="Caption"/>
      </w:pPr>
      <w:bookmarkStart w:id="195" w:name="_Toc194251505"/>
      <w:r>
        <w:lastRenderedPageBreak/>
        <w:t xml:space="preserve">Figure </w:t>
      </w:r>
      <w:r>
        <w:fldChar w:fldCharType="begin"/>
      </w:r>
      <w:r>
        <w:instrText xml:space="preserve"> SEQ Figure \* ARABIC </w:instrText>
      </w:r>
      <w:r>
        <w:fldChar w:fldCharType="separate"/>
      </w:r>
      <w:r w:rsidR="00DE5F5E">
        <w:rPr>
          <w:noProof/>
        </w:rPr>
        <w:t>7</w:t>
      </w:r>
      <w:r>
        <w:fldChar w:fldCharType="end"/>
      </w:r>
      <w:r>
        <w:t xml:space="preserve">: </w:t>
      </w:r>
      <w:r w:rsidR="00924664" w:rsidRPr="003B1F8F">
        <w:t>Nominal and real quarterly wage growth in Australia, December 2010 to December 2024</w:t>
      </w:r>
      <w:bookmarkEnd w:id="195"/>
    </w:p>
    <w:p w14:paraId="6027D57E" w14:textId="77777777" w:rsidR="0011475D" w:rsidRDefault="00924664" w:rsidP="00924664">
      <w:pPr>
        <w:pStyle w:val="Source"/>
        <w:rPr>
          <w:b/>
          <w:bCs/>
        </w:rPr>
      </w:pPr>
      <w:r w:rsidRPr="00F94DE5">
        <w:rPr>
          <w:noProof/>
        </w:rPr>
        <w:drawing>
          <wp:inline distT="0" distB="0" distL="0" distR="0" wp14:anchorId="45D69901" wp14:editId="7B375B9E">
            <wp:extent cx="5731510" cy="3748405"/>
            <wp:effectExtent l="0" t="0" r="2540" b="4445"/>
            <wp:docPr id="799271609" name="Picture 1" descr="A line chart of nominal and real quarterly wage growth.&#10;&#10;See alt-text following 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271609" name="Picture 1" descr="A line chart of nominal and real quarterly wage growth.&#10;&#10;See alt-text following notes."/>
                    <pic:cNvPicPr/>
                  </pic:nvPicPr>
                  <pic:blipFill>
                    <a:blip r:embed="rId20"/>
                    <a:stretch>
                      <a:fillRect/>
                    </a:stretch>
                  </pic:blipFill>
                  <pic:spPr>
                    <a:xfrm>
                      <a:off x="0" y="0"/>
                      <a:ext cx="5731510" cy="3748405"/>
                    </a:xfrm>
                    <a:prstGeom prst="rect">
                      <a:avLst/>
                    </a:prstGeom>
                  </pic:spPr>
                </pic:pic>
              </a:graphicData>
            </a:graphic>
          </wp:inline>
        </w:drawing>
      </w:r>
      <w:r w:rsidRPr="00167CB8">
        <w:rPr>
          <w:b/>
          <w:bCs/>
        </w:rPr>
        <w:t>Notes:</w:t>
      </w:r>
    </w:p>
    <w:p w14:paraId="21646718" w14:textId="6F0FB5BB" w:rsidR="007B6AF7" w:rsidRDefault="00924664" w:rsidP="00924664">
      <w:pPr>
        <w:pStyle w:val="Source"/>
      </w:pPr>
      <w:r w:rsidRPr="00F405AB">
        <w:t>1.</w:t>
      </w:r>
      <w:r w:rsidR="007B6AF7">
        <w:t xml:space="preserve"> CPI: consumer price index.</w:t>
      </w:r>
    </w:p>
    <w:p w14:paraId="21A84E51" w14:textId="5F886E52" w:rsidR="00924664" w:rsidRPr="00F405AB" w:rsidRDefault="007B6AF7" w:rsidP="00924664">
      <w:pPr>
        <w:pStyle w:val="Source"/>
      </w:pPr>
      <w:r>
        <w:t>2.</w:t>
      </w:r>
      <w:r w:rsidR="00924664" w:rsidRPr="00F405AB">
        <w:t xml:space="preserve"> ABS 6345.0 Wage Price Index, Australia. Table 1, Total hourly rates of pay excluding bonuses, original.</w:t>
      </w:r>
    </w:p>
    <w:p w14:paraId="50D14507" w14:textId="5F185C41" w:rsidR="00924664" w:rsidRPr="00F405AB" w:rsidRDefault="007B6AF7" w:rsidP="00924664">
      <w:pPr>
        <w:pStyle w:val="Source"/>
      </w:pPr>
      <w:r>
        <w:t>3</w:t>
      </w:r>
      <w:r w:rsidR="00924664" w:rsidRPr="00F405AB">
        <w:t>. ABS 6401.0 Consumer Price Index, Australia. Tables 1 and 2, All groups CPI Australia, original.</w:t>
      </w:r>
    </w:p>
    <w:p w14:paraId="075201F3" w14:textId="2D9EE6B3" w:rsidR="00924664" w:rsidRPr="00F405AB" w:rsidRDefault="007B6AF7" w:rsidP="00924664">
      <w:pPr>
        <w:pStyle w:val="Source"/>
      </w:pPr>
      <w:r>
        <w:t>4</w:t>
      </w:r>
      <w:r w:rsidR="00924664" w:rsidRPr="00F405AB">
        <w:t xml:space="preserve">. Real wages derived by </w:t>
      </w:r>
      <w:r w:rsidR="00924664" w:rsidRPr="00C64656">
        <w:t xml:space="preserve">subtracting the </w:t>
      </w:r>
      <w:r w:rsidR="00C64656" w:rsidRPr="003B1F8F">
        <w:t xml:space="preserve">consumer price index (CPI) </w:t>
      </w:r>
      <w:r w:rsidR="00924664" w:rsidRPr="00C64656">
        <w:t xml:space="preserve">from the </w:t>
      </w:r>
      <w:r w:rsidR="00C64656" w:rsidRPr="00C64656">
        <w:t xml:space="preserve">wage price index </w:t>
      </w:r>
      <w:r w:rsidR="00924664" w:rsidRPr="00C64656">
        <w:t>which measures nominal wage growth.</w:t>
      </w:r>
    </w:p>
    <w:p w14:paraId="70218A09" w14:textId="09E400DB" w:rsidR="00924664" w:rsidRPr="00F405AB" w:rsidRDefault="007B6AF7" w:rsidP="00924664">
      <w:pPr>
        <w:pStyle w:val="Source"/>
      </w:pPr>
      <w:r>
        <w:t>5</w:t>
      </w:r>
      <w:r w:rsidR="00924664" w:rsidRPr="00F405AB">
        <w:t>. The red vertical line shows when the Secure Jobs, Better Pay Act came into effect.</w:t>
      </w:r>
    </w:p>
    <w:p w14:paraId="2AEA57A6" w14:textId="21903A1B" w:rsidR="00947466" w:rsidRPr="00F405AB" w:rsidRDefault="00947466" w:rsidP="00924664">
      <w:pPr>
        <w:pStyle w:val="Source"/>
      </w:pPr>
      <w:r w:rsidRPr="00284CB9">
        <w:rPr>
          <w:b/>
        </w:rPr>
        <w:t>Alt-text:</w:t>
      </w:r>
      <w:r>
        <w:t xml:space="preserve"> A line chart showing the nominal and real wage growth, in comparison to the CPI</w:t>
      </w:r>
      <w:r w:rsidR="00284CB9">
        <w:t xml:space="preserve"> between December 2010 and December 2024.</w:t>
      </w:r>
    </w:p>
    <w:p w14:paraId="024A12CB" w14:textId="01FFFABA" w:rsidR="0011475D" w:rsidRDefault="00924664" w:rsidP="00924664">
      <w:r w:rsidRPr="007A2824">
        <w:t>Figure 8 sh</w:t>
      </w:r>
      <w:r>
        <w:t xml:space="preserve">eds further light on these trends. Drawing on unpublished WPI data from the </w:t>
      </w:r>
      <w:r w:rsidR="00C64656">
        <w:t xml:space="preserve">Australian Bureau of </w:t>
      </w:r>
      <w:r w:rsidR="00C64656" w:rsidRPr="00C64656">
        <w:t>Statistics (</w:t>
      </w:r>
      <w:r w:rsidRPr="00C64656">
        <w:t>ABS</w:t>
      </w:r>
      <w:r w:rsidR="00C64656" w:rsidRPr="00C64656">
        <w:t>)</w:t>
      </w:r>
      <w:r w:rsidRPr="00C64656">
        <w:t xml:space="preserve"> on contributions</w:t>
      </w:r>
      <w:r w:rsidRPr="007A2824">
        <w:t xml:space="preserve"> to </w:t>
      </w:r>
      <w:r w:rsidR="00130E73">
        <w:t xml:space="preserve">nominal </w:t>
      </w:r>
      <w:r w:rsidRPr="007A2824">
        <w:t>wage growth, it shows that, in total, annual growth in nominal wages declined in most</w:t>
      </w:r>
      <w:r>
        <w:t xml:space="preserve"> years after 2011, reaching its lowest point in 2020 (during COVID</w:t>
      </w:r>
      <w:r w:rsidR="007870EB">
        <w:t>-19</w:t>
      </w:r>
      <w:r>
        <w:t>).</w:t>
      </w:r>
    </w:p>
    <w:p w14:paraId="08A4127B" w14:textId="0448E248" w:rsidR="00924664" w:rsidRDefault="00924664" w:rsidP="00924664">
      <w:pPr>
        <w:spacing w:after="160"/>
        <w:rPr>
          <w:rFonts w:cs="Calibri"/>
          <w:lang w:val="en-US"/>
        </w:rPr>
      </w:pPr>
      <w:r>
        <w:rPr>
          <w:rFonts w:cs="Calibri"/>
          <w:lang w:val="en-US"/>
        </w:rPr>
        <w:t>Disaggregating this data by methods of pay setting, the year to December 2011 saw 1.5</w:t>
      </w:r>
      <w:r w:rsidR="00C64656">
        <w:rPr>
          <w:rFonts w:cs="Calibri"/>
          <w:lang w:val="en-US"/>
        </w:rPr>
        <w:t> </w:t>
      </w:r>
      <w:r>
        <w:rPr>
          <w:rFonts w:cs="Calibri"/>
          <w:lang w:val="en-US"/>
        </w:rPr>
        <w:t>percentage points of the total 3.6 coming from wage increases in enterprise agreements, 1.9</w:t>
      </w:r>
      <w:r w:rsidR="00C64656">
        <w:rPr>
          <w:rFonts w:cs="Calibri"/>
          <w:lang w:val="en-US"/>
        </w:rPr>
        <w:t> </w:t>
      </w:r>
      <w:r>
        <w:rPr>
          <w:rFonts w:cs="Calibri"/>
          <w:lang w:val="en-US"/>
        </w:rPr>
        <w:t>percentage points from wage increases in individual agreements and 0.2 percentage points from wage increases in awards. By the year to December 2020, these components had changed: 0.7 percentage points of the total 3.4 came from enterprise agreements, 0.5</w:t>
      </w:r>
      <w:r w:rsidR="00C64656">
        <w:rPr>
          <w:rFonts w:cs="Calibri"/>
          <w:lang w:val="en-US"/>
        </w:rPr>
        <w:t> </w:t>
      </w:r>
      <w:r>
        <w:rPr>
          <w:rFonts w:cs="Calibri"/>
          <w:lang w:val="en-US"/>
        </w:rPr>
        <w:t>percentage points from individual agreements and 2 percentage points from awards.</w:t>
      </w:r>
    </w:p>
    <w:p w14:paraId="470E60F0" w14:textId="77777777" w:rsidR="0011475D" w:rsidRDefault="00924664" w:rsidP="00924664">
      <w:pPr>
        <w:spacing w:after="160"/>
        <w:rPr>
          <w:rFonts w:cs="Calibri"/>
          <w:lang w:val="en-US"/>
        </w:rPr>
      </w:pPr>
      <w:r>
        <w:rPr>
          <w:rFonts w:cs="Calibri"/>
          <w:lang w:val="en-US"/>
        </w:rPr>
        <w:lastRenderedPageBreak/>
        <w:t>Over the 12 years between 2011 and 2022, the average annual increase in total nominal wages was 2.5%, with 43% of this total coming from enterprise agreements, 45% from individual agreements and 12% from awards.</w:t>
      </w:r>
    </w:p>
    <w:p w14:paraId="6AC446FF" w14:textId="3745AABC" w:rsidR="00924664" w:rsidRDefault="00EC3517" w:rsidP="007F380D">
      <w:pPr>
        <w:pStyle w:val="Caption"/>
      </w:pPr>
      <w:bookmarkStart w:id="196" w:name="_Toc194251506"/>
      <w:r>
        <w:t xml:space="preserve">Figure </w:t>
      </w:r>
      <w:r>
        <w:fldChar w:fldCharType="begin"/>
      </w:r>
      <w:r>
        <w:instrText xml:space="preserve"> SEQ Figure \* ARABIC </w:instrText>
      </w:r>
      <w:r>
        <w:fldChar w:fldCharType="separate"/>
      </w:r>
      <w:r w:rsidR="00DE5F5E">
        <w:rPr>
          <w:noProof/>
        </w:rPr>
        <w:t>8</w:t>
      </w:r>
      <w:r>
        <w:fldChar w:fldCharType="end"/>
      </w:r>
      <w:r>
        <w:t xml:space="preserve">: </w:t>
      </w:r>
      <w:r w:rsidR="00924664" w:rsidRPr="007A2824">
        <w:t>Contribution</w:t>
      </w:r>
      <w:r w:rsidR="00924664">
        <w:t xml:space="preserve"> of pay setting method to annual growth in nominal wages, December 2011 to December 2024</w:t>
      </w:r>
      <w:bookmarkEnd w:id="196"/>
    </w:p>
    <w:p w14:paraId="06E4A358" w14:textId="3C8F3B24" w:rsidR="00924664" w:rsidRDefault="00924664" w:rsidP="00924664">
      <w:pPr>
        <w:spacing w:after="160"/>
        <w:rPr>
          <w:lang w:val="en-US"/>
        </w:rPr>
      </w:pPr>
      <w:r w:rsidRPr="00140C89">
        <w:rPr>
          <w:noProof/>
        </w:rPr>
        <w:drawing>
          <wp:inline distT="0" distB="0" distL="0" distR="0" wp14:anchorId="48889A54" wp14:editId="5AFC8CDA">
            <wp:extent cx="5731510" cy="3748405"/>
            <wp:effectExtent l="0" t="0" r="2540" b="4445"/>
            <wp:docPr id="1365041988" name="Picture 1" descr="A bar chart of contribution of pay setting methods.&#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041988" name="Picture 1" descr="A bar chart of contribution of pay setting methods.&#10;&#10;See alt-text following the source."/>
                    <pic:cNvPicPr/>
                  </pic:nvPicPr>
                  <pic:blipFill>
                    <a:blip r:embed="rId21"/>
                    <a:stretch>
                      <a:fillRect/>
                    </a:stretch>
                  </pic:blipFill>
                  <pic:spPr>
                    <a:xfrm>
                      <a:off x="0" y="0"/>
                      <a:ext cx="5731510" cy="3748405"/>
                    </a:xfrm>
                    <a:prstGeom prst="rect">
                      <a:avLst/>
                    </a:prstGeom>
                  </pic:spPr>
                </pic:pic>
              </a:graphicData>
            </a:graphic>
          </wp:inline>
        </w:drawing>
      </w:r>
    </w:p>
    <w:p w14:paraId="455EE3CE" w14:textId="77777777" w:rsidR="005204AA" w:rsidRPr="00F405AB" w:rsidRDefault="005204AA" w:rsidP="005204AA">
      <w:pPr>
        <w:pStyle w:val="Source"/>
      </w:pPr>
      <w:r>
        <w:rPr>
          <w:b/>
          <w:bCs/>
        </w:rPr>
        <w:t xml:space="preserve">Note: </w:t>
      </w:r>
      <w:r w:rsidRPr="00F405AB">
        <w:t>. The red vertical line shows when the Secure Jobs, Better Pay Act came into effect.</w:t>
      </w:r>
    </w:p>
    <w:p w14:paraId="0C5B2071" w14:textId="645640AF" w:rsidR="00924664" w:rsidRPr="00167CB8" w:rsidRDefault="00924664" w:rsidP="00924664">
      <w:pPr>
        <w:pStyle w:val="Source"/>
      </w:pPr>
      <w:r w:rsidRPr="00167CB8">
        <w:rPr>
          <w:b/>
          <w:bCs/>
        </w:rPr>
        <w:t>Source:</w:t>
      </w:r>
      <w:r w:rsidRPr="00167CB8">
        <w:t xml:space="preserve"> ABS Cat No 6345.0,</w:t>
      </w:r>
      <w:r>
        <w:t xml:space="preserve"> </w:t>
      </w:r>
      <w:r w:rsidRPr="00167CB8">
        <w:t xml:space="preserve">Wage Price Index, Australia, </w:t>
      </w:r>
      <w:r>
        <w:t>unpublished data</w:t>
      </w:r>
      <w:r w:rsidR="00C64656">
        <w:t>.</w:t>
      </w:r>
    </w:p>
    <w:p w14:paraId="5DCDB983" w14:textId="77777777" w:rsidR="00265EC3" w:rsidRPr="00391943" w:rsidRDefault="00265EC3" w:rsidP="00265EC3">
      <w:pPr>
        <w:pStyle w:val="Source"/>
      </w:pPr>
      <w:r w:rsidRPr="002407F8">
        <w:rPr>
          <w:b/>
        </w:rPr>
        <w:t xml:space="preserve">Alt-text: </w:t>
      </w:r>
      <w:r w:rsidRPr="00391943">
        <w:t xml:space="preserve">A </w:t>
      </w:r>
      <w:r>
        <w:rPr>
          <w:bCs/>
        </w:rPr>
        <w:t xml:space="preserve">bar chart </w:t>
      </w:r>
      <w:r w:rsidRPr="00391943">
        <w:t>showing</w:t>
      </w:r>
      <w:r>
        <w:rPr>
          <w:bCs/>
        </w:rPr>
        <w:t xml:space="preserve"> the contribution of pay setting methods to annual wage growth in nominal wages by year from December 2011 to December 2024. The bars show the percentage point contribution (LHS axis) of enterprise agreements, individual arrangements and awards by year. </w:t>
      </w:r>
    </w:p>
    <w:p w14:paraId="4B16E24D" w14:textId="1C3B580D" w:rsidR="0011475D" w:rsidRDefault="00924664" w:rsidP="00924664">
      <w:r w:rsidRPr="00175AC6">
        <w:t xml:space="preserve">A second measure of wage growth came through the </w:t>
      </w:r>
      <w:r>
        <w:t xml:space="preserve">DEWR’s </w:t>
      </w:r>
      <w:r w:rsidRPr="00175AC6">
        <w:t>WAD data on the average annual</w:t>
      </w:r>
      <w:r w:rsidR="007703BA">
        <w:t>ised</w:t>
      </w:r>
      <w:r w:rsidRPr="00175AC6">
        <w:t xml:space="preserve"> </w:t>
      </w:r>
      <w:r w:rsidRPr="00267A73">
        <w:t>wage increase (AAWI) in</w:t>
      </w:r>
      <w:r w:rsidRPr="00175AC6">
        <w:t xml:space="preserve"> </w:t>
      </w:r>
      <w:r>
        <w:t xml:space="preserve">federal </w:t>
      </w:r>
      <w:r w:rsidRPr="00175AC6">
        <w:t xml:space="preserve">enterprise agreements; in other words, it measures only nominal (and not real) wage increases and it does not measure wage increases for awards or individual arrangements. </w:t>
      </w:r>
      <w:r>
        <w:t>When the AAWI for the years 2012 to 2022 is averaged, all newly</w:t>
      </w:r>
      <w:r w:rsidR="007870EB">
        <w:t xml:space="preserve"> </w:t>
      </w:r>
      <w:r>
        <w:t xml:space="preserve">approved agreements came in at 2.9% </w:t>
      </w:r>
      <w:r w:rsidRPr="00267A73">
        <w:t>and all current agreements at 3.0% (see Table 10).</w:t>
      </w:r>
      <w:r>
        <w:t xml:space="preserve"> The increase is marginally higher in union agreements. For example, among current agreements, an average of the AAWI in non-union agreements over the 2012</w:t>
      </w:r>
      <w:r w:rsidR="007870EB">
        <w:rPr>
          <w:rFonts w:ascii="Symbol" w:eastAsia="Symbol" w:hAnsi="Symbol" w:cs="Symbol"/>
        </w:rPr>
        <w:sym w:font="Symbol" w:char="F02D"/>
      </w:r>
      <w:r w:rsidR="007870EB">
        <w:t>20</w:t>
      </w:r>
      <w:r>
        <w:t>22 period was 2.8%, compared to 3.0% in union agreements.</w:t>
      </w:r>
    </w:p>
    <w:p w14:paraId="27DC114A" w14:textId="77777777" w:rsidR="00924664" w:rsidRDefault="00924664" w:rsidP="00924664">
      <w:pPr>
        <w:spacing w:after="160"/>
        <w:rPr>
          <w:rFonts w:cs="Calibri"/>
          <w:b/>
          <w:bCs/>
          <w:lang w:val="en-US"/>
        </w:rPr>
      </w:pPr>
      <w:r>
        <w:rPr>
          <w:rFonts w:cs="Calibri"/>
          <w:b/>
          <w:bCs/>
          <w:lang w:val="en-US"/>
        </w:rPr>
        <w:br w:type="page"/>
      </w:r>
    </w:p>
    <w:p w14:paraId="40901122" w14:textId="3E8CB0E0" w:rsidR="00924664" w:rsidRDefault="00EC3517" w:rsidP="003B1F8F">
      <w:pPr>
        <w:pStyle w:val="Caption"/>
      </w:pPr>
      <w:bookmarkStart w:id="197" w:name="_Toc194251434"/>
      <w:r>
        <w:lastRenderedPageBreak/>
        <w:t xml:space="preserve">Table </w:t>
      </w:r>
      <w:r>
        <w:fldChar w:fldCharType="begin"/>
      </w:r>
      <w:r>
        <w:instrText xml:space="preserve"> SEQ Table \* ARABIC </w:instrText>
      </w:r>
      <w:r>
        <w:fldChar w:fldCharType="separate"/>
      </w:r>
      <w:r w:rsidR="00DE5F5E">
        <w:rPr>
          <w:noProof/>
        </w:rPr>
        <w:t>10</w:t>
      </w:r>
      <w:r>
        <w:fldChar w:fldCharType="end"/>
      </w:r>
      <w:r>
        <w:t xml:space="preserve">: </w:t>
      </w:r>
      <w:r w:rsidR="00924664">
        <w:t xml:space="preserve">Average </w:t>
      </w:r>
      <w:r w:rsidR="007870EB">
        <w:t>a</w:t>
      </w:r>
      <w:r w:rsidR="00924664">
        <w:t xml:space="preserve">nnual </w:t>
      </w:r>
      <w:r w:rsidR="007870EB">
        <w:t>w</w:t>
      </w:r>
      <w:r w:rsidR="00924664">
        <w:t xml:space="preserve">age </w:t>
      </w:r>
      <w:r w:rsidR="007870EB">
        <w:t>i</w:t>
      </w:r>
      <w:r w:rsidR="00924664">
        <w:t xml:space="preserve">ncrease (%) in </w:t>
      </w:r>
      <w:r w:rsidR="007870EB">
        <w:t>f</w:t>
      </w:r>
      <w:r w:rsidR="00924664">
        <w:t xml:space="preserve">ederal </w:t>
      </w:r>
      <w:r w:rsidR="007870EB">
        <w:t>e</w:t>
      </w:r>
      <w:r w:rsidR="00924664">
        <w:t xml:space="preserve">nterprise </w:t>
      </w:r>
      <w:r w:rsidR="007870EB">
        <w:t>a</w:t>
      </w:r>
      <w:r w:rsidR="00924664">
        <w:t>greements, 1993 to 2024</w:t>
      </w:r>
      <w:bookmarkEnd w:id="197"/>
    </w:p>
    <w:tbl>
      <w:tblPr>
        <w:tblW w:w="8904" w:type="dxa"/>
        <w:tblLayout w:type="fixed"/>
        <w:tblLook w:val="04A0" w:firstRow="1" w:lastRow="0" w:firstColumn="1" w:lastColumn="0" w:noHBand="0" w:noVBand="1"/>
      </w:tblPr>
      <w:tblGrid>
        <w:gridCol w:w="1351"/>
        <w:gridCol w:w="1258"/>
        <w:gridCol w:w="1259"/>
        <w:gridCol w:w="1259"/>
        <w:gridCol w:w="1258"/>
        <w:gridCol w:w="1259"/>
        <w:gridCol w:w="1260"/>
      </w:tblGrid>
      <w:tr w:rsidR="00924664" w:rsidRPr="007B6AF7" w14:paraId="2CD77591" w14:textId="77777777">
        <w:trPr>
          <w:trHeight w:val="299"/>
        </w:trPr>
        <w:tc>
          <w:tcPr>
            <w:tcW w:w="1351" w:type="dxa"/>
            <w:tcBorders>
              <w:top w:val="single" w:sz="4" w:space="0" w:color="auto"/>
              <w:left w:val="nil"/>
              <w:bottom w:val="nil"/>
              <w:right w:val="nil"/>
            </w:tcBorders>
            <w:noWrap/>
            <w:vAlign w:val="bottom"/>
            <w:hideMark/>
          </w:tcPr>
          <w:p w14:paraId="71EE299A" w14:textId="77777777" w:rsidR="00924664" w:rsidRPr="00757EC3" w:rsidRDefault="00924664">
            <w:pPr>
              <w:spacing w:after="0" w:line="240" w:lineRule="auto"/>
              <w:rPr>
                <w:rFonts w:ascii="Aptos Narrow" w:eastAsia="Times New Roman" w:hAnsi="Aptos Narrow" w:cs="Times New Roman"/>
                <w:color w:val="000000"/>
                <w:sz w:val="20"/>
                <w:szCs w:val="20"/>
                <w:lang w:eastAsia="en-AU"/>
              </w:rPr>
            </w:pPr>
            <w:r w:rsidRPr="00757EC3">
              <w:rPr>
                <w:rFonts w:ascii="Aptos Narrow" w:eastAsia="Times New Roman" w:hAnsi="Aptos Narrow" w:cs="Times New Roman"/>
                <w:color w:val="000000"/>
                <w:sz w:val="20"/>
                <w:szCs w:val="20"/>
                <w:lang w:eastAsia="en-AU"/>
              </w:rPr>
              <w:t> </w:t>
            </w:r>
          </w:p>
        </w:tc>
        <w:tc>
          <w:tcPr>
            <w:tcW w:w="3776" w:type="dxa"/>
            <w:gridSpan w:val="3"/>
            <w:tcBorders>
              <w:top w:val="single" w:sz="4" w:space="0" w:color="auto"/>
              <w:left w:val="nil"/>
              <w:bottom w:val="nil"/>
              <w:right w:val="nil"/>
            </w:tcBorders>
            <w:noWrap/>
            <w:vAlign w:val="bottom"/>
            <w:hideMark/>
          </w:tcPr>
          <w:p w14:paraId="58BEFA7F" w14:textId="77777777" w:rsidR="00924664" w:rsidRPr="00757EC3" w:rsidRDefault="00924664">
            <w:pPr>
              <w:spacing w:after="0" w:line="240" w:lineRule="auto"/>
              <w:rPr>
                <w:rFonts w:ascii="Aptos Narrow" w:eastAsia="Times New Roman" w:hAnsi="Aptos Narrow" w:cs="Times New Roman"/>
                <w:b/>
                <w:color w:val="000000"/>
                <w:sz w:val="20"/>
                <w:szCs w:val="20"/>
                <w:lang w:eastAsia="en-AU"/>
              </w:rPr>
            </w:pPr>
            <w:r w:rsidRPr="00757EC3">
              <w:rPr>
                <w:rFonts w:ascii="Aptos Narrow" w:eastAsia="Times New Roman" w:hAnsi="Aptos Narrow" w:cs="Times New Roman"/>
                <w:b/>
                <w:color w:val="000000"/>
                <w:sz w:val="20"/>
                <w:szCs w:val="20"/>
                <w:lang w:eastAsia="en-AU"/>
              </w:rPr>
              <w:t>Approved</w:t>
            </w:r>
          </w:p>
          <w:p w14:paraId="319CB63A" w14:textId="77777777" w:rsidR="00924664" w:rsidRPr="00757EC3" w:rsidRDefault="00924664">
            <w:pPr>
              <w:spacing w:after="0" w:line="240" w:lineRule="auto"/>
              <w:rPr>
                <w:rFonts w:ascii="Aptos Narrow" w:eastAsia="Times New Roman" w:hAnsi="Aptos Narrow" w:cs="Times New Roman"/>
                <w:color w:val="000000"/>
                <w:sz w:val="20"/>
                <w:szCs w:val="20"/>
                <w:lang w:eastAsia="en-AU"/>
              </w:rPr>
            </w:pPr>
            <w:r w:rsidRPr="00757EC3">
              <w:rPr>
                <w:rFonts w:ascii="Aptos Narrow" w:eastAsia="Times New Roman" w:hAnsi="Aptos Narrow" w:cs="Times New Roman"/>
                <w:color w:val="000000"/>
                <w:sz w:val="20"/>
                <w:szCs w:val="20"/>
                <w:lang w:eastAsia="en-AU"/>
              </w:rPr>
              <w:t> </w:t>
            </w:r>
          </w:p>
        </w:tc>
        <w:tc>
          <w:tcPr>
            <w:tcW w:w="3776" w:type="dxa"/>
            <w:gridSpan w:val="3"/>
            <w:tcBorders>
              <w:top w:val="single" w:sz="4" w:space="0" w:color="auto"/>
              <w:left w:val="nil"/>
              <w:bottom w:val="nil"/>
              <w:right w:val="nil"/>
            </w:tcBorders>
            <w:noWrap/>
            <w:vAlign w:val="bottom"/>
            <w:hideMark/>
          </w:tcPr>
          <w:p w14:paraId="64078B9C" w14:textId="77777777" w:rsidR="00924664" w:rsidRPr="00757EC3" w:rsidRDefault="00924664">
            <w:pPr>
              <w:spacing w:after="0" w:line="240" w:lineRule="auto"/>
              <w:rPr>
                <w:rFonts w:ascii="Aptos Narrow" w:eastAsia="Times New Roman" w:hAnsi="Aptos Narrow" w:cs="Times New Roman"/>
                <w:b/>
                <w:color w:val="000000"/>
                <w:sz w:val="20"/>
                <w:szCs w:val="20"/>
                <w:lang w:eastAsia="en-AU"/>
              </w:rPr>
            </w:pPr>
            <w:r w:rsidRPr="00757EC3">
              <w:rPr>
                <w:rFonts w:ascii="Aptos Narrow" w:eastAsia="Times New Roman" w:hAnsi="Aptos Narrow" w:cs="Times New Roman"/>
                <w:b/>
                <w:color w:val="000000"/>
                <w:sz w:val="20"/>
                <w:szCs w:val="20"/>
                <w:lang w:eastAsia="en-AU"/>
              </w:rPr>
              <w:t>Current</w:t>
            </w:r>
          </w:p>
          <w:p w14:paraId="1083D6E3" w14:textId="77777777" w:rsidR="00924664" w:rsidRPr="00757EC3" w:rsidRDefault="00924664">
            <w:pPr>
              <w:spacing w:after="0" w:line="240" w:lineRule="auto"/>
              <w:rPr>
                <w:rFonts w:ascii="Aptos Narrow" w:eastAsia="Times New Roman" w:hAnsi="Aptos Narrow" w:cs="Times New Roman"/>
                <w:color w:val="000000"/>
                <w:sz w:val="20"/>
                <w:szCs w:val="20"/>
                <w:lang w:eastAsia="en-AU"/>
              </w:rPr>
            </w:pPr>
            <w:r w:rsidRPr="00757EC3">
              <w:rPr>
                <w:rFonts w:ascii="Aptos Narrow" w:eastAsia="Times New Roman" w:hAnsi="Aptos Narrow" w:cs="Times New Roman"/>
                <w:color w:val="000000"/>
                <w:sz w:val="20"/>
                <w:szCs w:val="20"/>
                <w:lang w:eastAsia="en-AU"/>
              </w:rPr>
              <w:t> </w:t>
            </w:r>
          </w:p>
        </w:tc>
      </w:tr>
      <w:tr w:rsidR="00924664" w:rsidRPr="007B6AF7" w14:paraId="29A06C69" w14:textId="77777777">
        <w:trPr>
          <w:trHeight w:val="299"/>
        </w:trPr>
        <w:tc>
          <w:tcPr>
            <w:tcW w:w="1351" w:type="dxa"/>
            <w:tcBorders>
              <w:top w:val="nil"/>
              <w:left w:val="nil"/>
              <w:bottom w:val="single" w:sz="4" w:space="0" w:color="auto"/>
              <w:right w:val="nil"/>
            </w:tcBorders>
            <w:noWrap/>
            <w:vAlign w:val="bottom"/>
            <w:hideMark/>
          </w:tcPr>
          <w:p w14:paraId="60C610DE" w14:textId="77777777" w:rsidR="00924664" w:rsidRPr="00757EC3" w:rsidRDefault="00924664">
            <w:pPr>
              <w:spacing w:after="0" w:line="240" w:lineRule="auto"/>
              <w:rPr>
                <w:rFonts w:ascii="Aptos Narrow" w:eastAsia="Times New Roman" w:hAnsi="Aptos Narrow" w:cs="Times New Roman"/>
                <w:color w:val="000000"/>
                <w:sz w:val="20"/>
                <w:szCs w:val="20"/>
                <w:lang w:eastAsia="en-AU"/>
              </w:rPr>
            </w:pPr>
            <w:r w:rsidRPr="00757EC3">
              <w:rPr>
                <w:rFonts w:ascii="Aptos Narrow" w:eastAsia="Times New Roman" w:hAnsi="Aptos Narrow" w:cs="Times New Roman"/>
                <w:color w:val="000000"/>
                <w:sz w:val="20"/>
                <w:szCs w:val="20"/>
                <w:lang w:eastAsia="en-AU"/>
              </w:rPr>
              <w:t> </w:t>
            </w:r>
          </w:p>
        </w:tc>
        <w:tc>
          <w:tcPr>
            <w:tcW w:w="1258" w:type="dxa"/>
            <w:tcBorders>
              <w:top w:val="nil"/>
              <w:left w:val="nil"/>
              <w:bottom w:val="single" w:sz="4" w:space="0" w:color="auto"/>
              <w:right w:val="nil"/>
            </w:tcBorders>
            <w:noWrap/>
            <w:vAlign w:val="bottom"/>
            <w:hideMark/>
          </w:tcPr>
          <w:p w14:paraId="298202A5" w14:textId="77777777" w:rsidR="00924664" w:rsidRPr="00757EC3" w:rsidRDefault="00924664" w:rsidP="00757EC3">
            <w:pPr>
              <w:spacing w:after="0" w:line="240" w:lineRule="auto"/>
              <w:jc w:val="right"/>
              <w:rPr>
                <w:rFonts w:ascii="Aptos Narrow" w:eastAsia="Times New Roman" w:hAnsi="Aptos Narrow" w:cs="Times New Roman"/>
                <w:color w:val="000000"/>
                <w:sz w:val="20"/>
                <w:szCs w:val="20"/>
                <w:lang w:eastAsia="en-AU"/>
              </w:rPr>
            </w:pPr>
            <w:r w:rsidRPr="00757EC3">
              <w:rPr>
                <w:rFonts w:ascii="Aptos Narrow" w:eastAsia="Times New Roman" w:hAnsi="Aptos Narrow" w:cs="Times New Roman"/>
                <w:color w:val="000000"/>
                <w:sz w:val="20"/>
                <w:szCs w:val="20"/>
                <w:lang w:eastAsia="en-AU"/>
              </w:rPr>
              <w:t>Non-union</w:t>
            </w:r>
          </w:p>
        </w:tc>
        <w:tc>
          <w:tcPr>
            <w:tcW w:w="1259" w:type="dxa"/>
            <w:tcBorders>
              <w:top w:val="nil"/>
              <w:left w:val="nil"/>
              <w:bottom w:val="single" w:sz="4" w:space="0" w:color="auto"/>
              <w:right w:val="nil"/>
            </w:tcBorders>
            <w:noWrap/>
            <w:vAlign w:val="bottom"/>
            <w:hideMark/>
          </w:tcPr>
          <w:p w14:paraId="7BAC404A" w14:textId="77777777" w:rsidR="00924664" w:rsidRPr="00757EC3" w:rsidRDefault="00924664" w:rsidP="00757EC3">
            <w:pPr>
              <w:spacing w:after="0" w:line="240" w:lineRule="auto"/>
              <w:jc w:val="right"/>
              <w:rPr>
                <w:rFonts w:ascii="Aptos Narrow" w:eastAsia="Times New Roman" w:hAnsi="Aptos Narrow" w:cs="Times New Roman"/>
                <w:color w:val="000000"/>
                <w:sz w:val="20"/>
                <w:szCs w:val="20"/>
                <w:lang w:eastAsia="en-AU"/>
              </w:rPr>
            </w:pPr>
            <w:r w:rsidRPr="00757EC3">
              <w:rPr>
                <w:rFonts w:ascii="Aptos Narrow" w:eastAsia="Times New Roman" w:hAnsi="Aptos Narrow" w:cs="Times New Roman"/>
                <w:color w:val="000000"/>
                <w:sz w:val="20"/>
                <w:szCs w:val="20"/>
                <w:lang w:eastAsia="en-AU"/>
              </w:rPr>
              <w:t>Union</w:t>
            </w:r>
          </w:p>
        </w:tc>
        <w:tc>
          <w:tcPr>
            <w:tcW w:w="1259" w:type="dxa"/>
            <w:tcBorders>
              <w:top w:val="nil"/>
              <w:left w:val="nil"/>
              <w:bottom w:val="single" w:sz="4" w:space="0" w:color="auto"/>
              <w:right w:val="nil"/>
            </w:tcBorders>
          </w:tcPr>
          <w:p w14:paraId="1A2B5A9C" w14:textId="77777777" w:rsidR="00924664" w:rsidRPr="00757EC3" w:rsidRDefault="00924664" w:rsidP="00757EC3">
            <w:pPr>
              <w:spacing w:after="0" w:line="240" w:lineRule="auto"/>
              <w:jc w:val="right"/>
              <w:rPr>
                <w:rFonts w:ascii="Aptos Narrow" w:eastAsia="Times New Roman" w:hAnsi="Aptos Narrow" w:cs="Times New Roman"/>
                <w:color w:val="000000"/>
                <w:sz w:val="20"/>
                <w:szCs w:val="20"/>
                <w:lang w:eastAsia="en-AU"/>
              </w:rPr>
            </w:pPr>
            <w:r w:rsidRPr="00757EC3">
              <w:rPr>
                <w:rFonts w:ascii="Aptos Narrow" w:eastAsia="Times New Roman" w:hAnsi="Aptos Narrow" w:cs="Times New Roman"/>
                <w:color w:val="000000"/>
                <w:sz w:val="20"/>
                <w:szCs w:val="20"/>
                <w:lang w:eastAsia="en-AU"/>
              </w:rPr>
              <w:t>All</w:t>
            </w:r>
          </w:p>
        </w:tc>
        <w:tc>
          <w:tcPr>
            <w:tcW w:w="1258" w:type="dxa"/>
            <w:tcBorders>
              <w:top w:val="nil"/>
              <w:left w:val="nil"/>
              <w:bottom w:val="single" w:sz="4" w:space="0" w:color="auto"/>
              <w:right w:val="nil"/>
            </w:tcBorders>
            <w:noWrap/>
            <w:vAlign w:val="bottom"/>
            <w:hideMark/>
          </w:tcPr>
          <w:p w14:paraId="0C3FD2BD" w14:textId="77777777" w:rsidR="00924664" w:rsidRPr="00757EC3" w:rsidRDefault="00924664" w:rsidP="00757EC3">
            <w:pPr>
              <w:spacing w:after="0" w:line="240" w:lineRule="auto"/>
              <w:jc w:val="right"/>
              <w:rPr>
                <w:rFonts w:ascii="Aptos Narrow" w:eastAsia="Times New Roman" w:hAnsi="Aptos Narrow" w:cs="Times New Roman"/>
                <w:color w:val="000000"/>
                <w:sz w:val="20"/>
                <w:szCs w:val="20"/>
                <w:lang w:eastAsia="en-AU"/>
              </w:rPr>
            </w:pPr>
            <w:r w:rsidRPr="00757EC3">
              <w:rPr>
                <w:rFonts w:ascii="Aptos Narrow" w:eastAsia="Times New Roman" w:hAnsi="Aptos Narrow" w:cs="Times New Roman"/>
                <w:color w:val="000000"/>
                <w:sz w:val="20"/>
                <w:szCs w:val="20"/>
                <w:lang w:eastAsia="en-AU"/>
              </w:rPr>
              <w:t>Non-union</w:t>
            </w:r>
          </w:p>
        </w:tc>
        <w:tc>
          <w:tcPr>
            <w:tcW w:w="1259" w:type="dxa"/>
            <w:tcBorders>
              <w:top w:val="nil"/>
              <w:left w:val="nil"/>
              <w:bottom w:val="single" w:sz="4" w:space="0" w:color="auto"/>
              <w:right w:val="nil"/>
            </w:tcBorders>
            <w:noWrap/>
            <w:vAlign w:val="bottom"/>
            <w:hideMark/>
          </w:tcPr>
          <w:p w14:paraId="07845BC1" w14:textId="77777777" w:rsidR="00924664" w:rsidRPr="00757EC3" w:rsidRDefault="00924664" w:rsidP="00757EC3">
            <w:pPr>
              <w:spacing w:after="0" w:line="240" w:lineRule="auto"/>
              <w:jc w:val="right"/>
              <w:rPr>
                <w:rFonts w:ascii="Aptos Narrow" w:eastAsia="Times New Roman" w:hAnsi="Aptos Narrow" w:cs="Times New Roman"/>
                <w:color w:val="000000"/>
                <w:sz w:val="20"/>
                <w:szCs w:val="20"/>
                <w:lang w:eastAsia="en-AU"/>
              </w:rPr>
            </w:pPr>
            <w:r w:rsidRPr="00757EC3">
              <w:rPr>
                <w:rFonts w:ascii="Aptos Narrow" w:eastAsia="Times New Roman" w:hAnsi="Aptos Narrow" w:cs="Times New Roman"/>
                <w:color w:val="000000"/>
                <w:sz w:val="20"/>
                <w:szCs w:val="20"/>
                <w:lang w:eastAsia="en-AU"/>
              </w:rPr>
              <w:t>Union</w:t>
            </w:r>
          </w:p>
        </w:tc>
        <w:tc>
          <w:tcPr>
            <w:tcW w:w="1259" w:type="dxa"/>
            <w:tcBorders>
              <w:top w:val="nil"/>
              <w:left w:val="nil"/>
              <w:bottom w:val="single" w:sz="4" w:space="0" w:color="auto"/>
              <w:right w:val="nil"/>
            </w:tcBorders>
          </w:tcPr>
          <w:p w14:paraId="7BC0AC56" w14:textId="77777777" w:rsidR="00924664" w:rsidRPr="00757EC3" w:rsidRDefault="00924664" w:rsidP="00757EC3">
            <w:pPr>
              <w:spacing w:after="0" w:line="240" w:lineRule="auto"/>
              <w:jc w:val="right"/>
              <w:rPr>
                <w:rFonts w:ascii="Aptos Narrow" w:eastAsia="Times New Roman" w:hAnsi="Aptos Narrow" w:cs="Times New Roman"/>
                <w:color w:val="000000"/>
                <w:sz w:val="20"/>
                <w:szCs w:val="20"/>
                <w:lang w:eastAsia="en-AU"/>
              </w:rPr>
            </w:pPr>
            <w:r w:rsidRPr="00757EC3">
              <w:rPr>
                <w:rFonts w:ascii="Aptos Narrow" w:eastAsia="Times New Roman" w:hAnsi="Aptos Narrow" w:cs="Times New Roman"/>
                <w:color w:val="000000"/>
                <w:sz w:val="20"/>
                <w:szCs w:val="20"/>
                <w:lang w:eastAsia="en-AU"/>
              </w:rPr>
              <w:t>All</w:t>
            </w:r>
          </w:p>
        </w:tc>
      </w:tr>
      <w:tr w:rsidR="00924664" w:rsidRPr="007B6AF7" w14:paraId="2E685BE8" w14:textId="77777777">
        <w:trPr>
          <w:trHeight w:val="299"/>
        </w:trPr>
        <w:tc>
          <w:tcPr>
            <w:tcW w:w="1351" w:type="dxa"/>
            <w:tcBorders>
              <w:top w:val="nil"/>
              <w:left w:val="nil"/>
              <w:bottom w:val="nil"/>
              <w:right w:val="nil"/>
            </w:tcBorders>
            <w:shd w:val="clear" w:color="000000" w:fill="FFFFFF"/>
            <w:noWrap/>
            <w:vAlign w:val="bottom"/>
          </w:tcPr>
          <w:p w14:paraId="0A6BB3B7" w14:textId="77777777" w:rsidR="00924664" w:rsidRPr="00757EC3" w:rsidRDefault="00924664">
            <w:pPr>
              <w:spacing w:after="0" w:line="240" w:lineRule="auto"/>
              <w:rPr>
                <w:rFonts w:ascii="Aptos Narrow" w:eastAsia="Times New Roman" w:hAnsi="Aptos Narrow" w:cs="Times New Roman"/>
                <w:b/>
                <w:color w:val="000000"/>
                <w:sz w:val="20"/>
                <w:szCs w:val="20"/>
                <w:lang w:eastAsia="en-AU"/>
              </w:rPr>
            </w:pPr>
          </w:p>
        </w:tc>
        <w:tc>
          <w:tcPr>
            <w:tcW w:w="7553" w:type="dxa"/>
            <w:gridSpan w:val="6"/>
            <w:tcBorders>
              <w:top w:val="nil"/>
              <w:left w:val="nil"/>
              <w:bottom w:val="nil"/>
              <w:right w:val="nil"/>
            </w:tcBorders>
            <w:shd w:val="clear" w:color="000000" w:fill="FFFFFF"/>
            <w:noWrap/>
            <w:vAlign w:val="bottom"/>
          </w:tcPr>
          <w:p w14:paraId="60DA3677" w14:textId="77777777" w:rsidR="00924664" w:rsidRPr="00757EC3" w:rsidRDefault="00924664" w:rsidP="00757EC3">
            <w:pPr>
              <w:pStyle w:val="ListParagraph"/>
              <w:numPr>
                <w:ilvl w:val="0"/>
                <w:numId w:val="41"/>
              </w:numPr>
              <w:spacing w:after="0" w:line="240" w:lineRule="auto"/>
              <w:jc w:val="right"/>
              <w:rPr>
                <w:rFonts w:ascii="Calibri" w:eastAsia="Times New Roman" w:hAnsi="Calibri" w:cs="Calibri"/>
                <w:color w:val="000000"/>
                <w:sz w:val="20"/>
                <w:szCs w:val="20"/>
                <w:lang w:eastAsia="en-AU"/>
              </w:rPr>
            </w:pPr>
            <w:r w:rsidRPr="00757EC3">
              <w:rPr>
                <w:rFonts w:ascii="Calibri" w:eastAsia="Times New Roman" w:hAnsi="Calibri" w:cs="Calibri"/>
                <w:color w:val="000000"/>
                <w:sz w:val="20"/>
                <w:szCs w:val="20"/>
                <w:lang w:eastAsia="en-AU"/>
              </w:rPr>
              <w:t>% -</w:t>
            </w:r>
          </w:p>
        </w:tc>
      </w:tr>
      <w:tr w:rsidR="00924664" w:rsidRPr="007B6AF7" w14:paraId="1B5A16ED" w14:textId="77777777">
        <w:trPr>
          <w:trHeight w:val="299"/>
        </w:trPr>
        <w:tc>
          <w:tcPr>
            <w:tcW w:w="1351" w:type="dxa"/>
            <w:tcBorders>
              <w:top w:val="nil"/>
              <w:left w:val="nil"/>
              <w:bottom w:val="nil"/>
              <w:right w:val="nil"/>
            </w:tcBorders>
            <w:shd w:val="clear" w:color="000000" w:fill="FFFFFF"/>
            <w:noWrap/>
            <w:vAlign w:val="bottom"/>
            <w:hideMark/>
          </w:tcPr>
          <w:p w14:paraId="749AA39A" w14:textId="77777777" w:rsidR="00924664" w:rsidRPr="00757EC3" w:rsidRDefault="00924664">
            <w:pPr>
              <w:spacing w:after="0" w:line="240" w:lineRule="auto"/>
              <w:rPr>
                <w:rFonts w:ascii="Aptos Narrow" w:eastAsia="Times New Roman" w:hAnsi="Aptos Narrow" w:cs="Times New Roman"/>
                <w:b/>
                <w:color w:val="000000"/>
                <w:sz w:val="20"/>
                <w:szCs w:val="20"/>
                <w:lang w:eastAsia="en-AU"/>
              </w:rPr>
            </w:pPr>
            <w:r w:rsidRPr="00757EC3">
              <w:rPr>
                <w:rFonts w:ascii="Aptos Narrow" w:eastAsia="Times New Roman" w:hAnsi="Aptos Narrow" w:cs="Times New Roman"/>
                <w:b/>
                <w:color w:val="000000"/>
                <w:sz w:val="20"/>
                <w:szCs w:val="20"/>
                <w:lang w:eastAsia="en-AU"/>
              </w:rPr>
              <w:t>1993</w:t>
            </w:r>
          </w:p>
        </w:tc>
        <w:tc>
          <w:tcPr>
            <w:tcW w:w="1258" w:type="dxa"/>
            <w:tcBorders>
              <w:top w:val="nil"/>
              <w:left w:val="nil"/>
              <w:bottom w:val="nil"/>
              <w:right w:val="nil"/>
            </w:tcBorders>
            <w:shd w:val="clear" w:color="000000" w:fill="FFFFFF"/>
            <w:noWrap/>
            <w:vAlign w:val="bottom"/>
            <w:hideMark/>
          </w:tcPr>
          <w:p w14:paraId="6B83405B" w14:textId="77777777" w:rsidR="00924664" w:rsidRPr="00757EC3" w:rsidRDefault="00924664" w:rsidP="00757EC3">
            <w:pPr>
              <w:spacing w:after="0" w:line="240" w:lineRule="auto"/>
              <w:jc w:val="right"/>
              <w:rPr>
                <w:rFonts w:ascii="Aptos Narrow" w:eastAsia="Times New Roman" w:hAnsi="Aptos Narrow" w:cs="Times New Roman"/>
                <w:color w:val="000000"/>
                <w:sz w:val="20"/>
                <w:szCs w:val="20"/>
                <w:lang w:eastAsia="en-AU"/>
              </w:rPr>
            </w:pPr>
            <w:r w:rsidRPr="00757EC3">
              <w:rPr>
                <w:rFonts w:ascii="Aptos Narrow" w:eastAsia="Times New Roman" w:hAnsi="Aptos Narrow" w:cs="Times New Roman"/>
                <w:color w:val="000000"/>
                <w:sz w:val="20"/>
                <w:szCs w:val="20"/>
                <w:lang w:eastAsia="en-AU"/>
              </w:rPr>
              <w:t>2.9</w:t>
            </w:r>
          </w:p>
        </w:tc>
        <w:tc>
          <w:tcPr>
            <w:tcW w:w="1259" w:type="dxa"/>
            <w:tcBorders>
              <w:top w:val="nil"/>
              <w:left w:val="nil"/>
              <w:bottom w:val="nil"/>
              <w:right w:val="nil"/>
            </w:tcBorders>
            <w:shd w:val="clear" w:color="000000" w:fill="FFFFFF"/>
            <w:noWrap/>
            <w:vAlign w:val="bottom"/>
            <w:hideMark/>
          </w:tcPr>
          <w:p w14:paraId="2548D52D" w14:textId="77777777" w:rsidR="00924664" w:rsidRPr="00757EC3" w:rsidRDefault="00924664" w:rsidP="00757EC3">
            <w:pPr>
              <w:spacing w:after="0" w:line="240" w:lineRule="auto"/>
              <w:jc w:val="right"/>
              <w:rPr>
                <w:rFonts w:ascii="Aptos Narrow" w:eastAsia="Times New Roman" w:hAnsi="Aptos Narrow" w:cs="Times New Roman"/>
                <w:color w:val="000000"/>
                <w:sz w:val="20"/>
                <w:szCs w:val="20"/>
                <w:lang w:eastAsia="en-AU"/>
              </w:rPr>
            </w:pPr>
            <w:r w:rsidRPr="00757EC3">
              <w:rPr>
                <w:rFonts w:ascii="Aptos Narrow" w:eastAsia="Times New Roman" w:hAnsi="Aptos Narrow" w:cs="Times New Roman"/>
                <w:color w:val="000000"/>
                <w:sz w:val="20"/>
                <w:szCs w:val="20"/>
                <w:lang w:eastAsia="en-AU"/>
              </w:rPr>
              <w:t>3.9</w:t>
            </w:r>
          </w:p>
        </w:tc>
        <w:tc>
          <w:tcPr>
            <w:tcW w:w="1259" w:type="dxa"/>
            <w:tcBorders>
              <w:top w:val="nil"/>
              <w:left w:val="nil"/>
              <w:bottom w:val="nil"/>
              <w:right w:val="nil"/>
            </w:tcBorders>
            <w:vAlign w:val="bottom"/>
          </w:tcPr>
          <w:p w14:paraId="7626EB66" w14:textId="77777777" w:rsidR="00924664" w:rsidRPr="00757EC3" w:rsidRDefault="00924664" w:rsidP="00757EC3">
            <w:pPr>
              <w:spacing w:after="0" w:line="240" w:lineRule="auto"/>
              <w:jc w:val="right"/>
              <w:rPr>
                <w:rFonts w:ascii="Aptos Narrow" w:eastAsia="Times New Roman" w:hAnsi="Aptos Narrow" w:cs="Times New Roman"/>
                <w:color w:val="000000"/>
                <w:sz w:val="20"/>
                <w:szCs w:val="20"/>
                <w:lang w:eastAsia="en-AU"/>
              </w:rPr>
            </w:pPr>
            <w:r w:rsidRPr="00757EC3">
              <w:rPr>
                <w:rFonts w:ascii="Aptos Narrow" w:eastAsia="Times New Roman" w:hAnsi="Aptos Narrow" w:cs="Times New Roman"/>
                <w:color w:val="000000"/>
                <w:sz w:val="20"/>
                <w:szCs w:val="20"/>
                <w:lang w:eastAsia="en-AU"/>
              </w:rPr>
              <w:t>3.9</w:t>
            </w:r>
          </w:p>
        </w:tc>
        <w:tc>
          <w:tcPr>
            <w:tcW w:w="1258" w:type="dxa"/>
            <w:tcBorders>
              <w:top w:val="nil"/>
              <w:left w:val="nil"/>
              <w:bottom w:val="nil"/>
              <w:right w:val="nil"/>
            </w:tcBorders>
            <w:noWrap/>
            <w:vAlign w:val="bottom"/>
            <w:hideMark/>
          </w:tcPr>
          <w:p w14:paraId="4E218FE8" w14:textId="77777777" w:rsidR="00924664" w:rsidRPr="00757EC3" w:rsidRDefault="00924664" w:rsidP="00757EC3">
            <w:pPr>
              <w:spacing w:after="0" w:line="240" w:lineRule="auto"/>
              <w:jc w:val="right"/>
              <w:rPr>
                <w:rFonts w:ascii="Aptos Narrow" w:eastAsia="Times New Roman" w:hAnsi="Aptos Narrow" w:cs="Times New Roman"/>
                <w:color w:val="000000"/>
                <w:sz w:val="20"/>
                <w:szCs w:val="20"/>
                <w:lang w:eastAsia="en-AU"/>
              </w:rPr>
            </w:pPr>
            <w:r w:rsidRPr="00757EC3">
              <w:rPr>
                <w:rFonts w:ascii="Aptos Narrow" w:eastAsia="Times New Roman" w:hAnsi="Aptos Narrow" w:cs="Times New Roman"/>
                <w:color w:val="000000"/>
                <w:sz w:val="20"/>
                <w:szCs w:val="20"/>
                <w:lang w:eastAsia="en-AU"/>
              </w:rPr>
              <w:t>1.7</w:t>
            </w:r>
          </w:p>
        </w:tc>
        <w:tc>
          <w:tcPr>
            <w:tcW w:w="1259" w:type="dxa"/>
            <w:tcBorders>
              <w:top w:val="nil"/>
              <w:left w:val="nil"/>
              <w:bottom w:val="nil"/>
              <w:right w:val="nil"/>
            </w:tcBorders>
            <w:noWrap/>
            <w:vAlign w:val="bottom"/>
            <w:hideMark/>
          </w:tcPr>
          <w:p w14:paraId="789A87D3" w14:textId="77777777" w:rsidR="00924664" w:rsidRPr="00757EC3" w:rsidRDefault="00924664" w:rsidP="00757EC3">
            <w:pPr>
              <w:spacing w:after="0" w:line="240" w:lineRule="auto"/>
              <w:jc w:val="right"/>
              <w:rPr>
                <w:rFonts w:ascii="Aptos Narrow" w:eastAsia="Times New Roman" w:hAnsi="Aptos Narrow" w:cs="Times New Roman"/>
                <w:color w:val="000000"/>
                <w:sz w:val="20"/>
                <w:szCs w:val="20"/>
                <w:lang w:eastAsia="en-AU"/>
              </w:rPr>
            </w:pPr>
            <w:r w:rsidRPr="00757EC3">
              <w:rPr>
                <w:rFonts w:ascii="Aptos Narrow" w:eastAsia="Times New Roman" w:hAnsi="Aptos Narrow" w:cs="Times New Roman"/>
                <w:color w:val="000000"/>
                <w:sz w:val="20"/>
                <w:szCs w:val="20"/>
                <w:lang w:eastAsia="en-AU"/>
              </w:rPr>
              <w:t>3.7</w:t>
            </w:r>
          </w:p>
        </w:tc>
        <w:tc>
          <w:tcPr>
            <w:tcW w:w="1259" w:type="dxa"/>
            <w:tcBorders>
              <w:top w:val="nil"/>
              <w:left w:val="nil"/>
              <w:bottom w:val="nil"/>
              <w:right w:val="nil"/>
            </w:tcBorders>
            <w:vAlign w:val="center"/>
          </w:tcPr>
          <w:p w14:paraId="5B59B3F8" w14:textId="77777777" w:rsidR="00924664" w:rsidRPr="00757EC3" w:rsidRDefault="00924664" w:rsidP="00757EC3">
            <w:pPr>
              <w:spacing w:after="0" w:line="240" w:lineRule="auto"/>
              <w:jc w:val="right"/>
              <w:rPr>
                <w:rFonts w:ascii="Aptos Narrow" w:eastAsia="Times New Roman" w:hAnsi="Aptos Narrow" w:cs="Times New Roman"/>
                <w:color w:val="000000"/>
                <w:sz w:val="20"/>
                <w:szCs w:val="20"/>
                <w:lang w:eastAsia="en-AU"/>
              </w:rPr>
            </w:pPr>
            <w:r w:rsidRPr="00757EC3">
              <w:rPr>
                <w:rFonts w:ascii="Calibri" w:eastAsia="Times New Roman" w:hAnsi="Calibri" w:cs="Calibri"/>
                <w:color w:val="000000"/>
                <w:sz w:val="20"/>
                <w:szCs w:val="20"/>
                <w:lang w:eastAsia="en-AU"/>
              </w:rPr>
              <w:t>3.6</w:t>
            </w:r>
          </w:p>
        </w:tc>
      </w:tr>
      <w:tr w:rsidR="00924664" w:rsidRPr="007B6AF7" w14:paraId="16583C97" w14:textId="77777777">
        <w:trPr>
          <w:trHeight w:val="299"/>
        </w:trPr>
        <w:tc>
          <w:tcPr>
            <w:tcW w:w="1351" w:type="dxa"/>
            <w:tcBorders>
              <w:top w:val="nil"/>
              <w:left w:val="nil"/>
              <w:bottom w:val="nil"/>
              <w:right w:val="nil"/>
            </w:tcBorders>
            <w:shd w:val="clear" w:color="000000" w:fill="FFFFFF"/>
            <w:noWrap/>
            <w:vAlign w:val="bottom"/>
            <w:hideMark/>
          </w:tcPr>
          <w:p w14:paraId="6A2E2FCD" w14:textId="77777777" w:rsidR="00924664" w:rsidRPr="00757EC3" w:rsidRDefault="00924664">
            <w:pPr>
              <w:spacing w:after="0" w:line="240" w:lineRule="auto"/>
              <w:rPr>
                <w:rFonts w:ascii="Aptos Narrow" w:eastAsia="Times New Roman" w:hAnsi="Aptos Narrow" w:cs="Times New Roman"/>
                <w:b/>
                <w:color w:val="000000"/>
                <w:sz w:val="20"/>
                <w:szCs w:val="20"/>
                <w:lang w:eastAsia="en-AU"/>
              </w:rPr>
            </w:pPr>
            <w:r w:rsidRPr="00757EC3">
              <w:rPr>
                <w:rFonts w:ascii="Aptos Narrow" w:eastAsia="Times New Roman" w:hAnsi="Aptos Narrow" w:cs="Times New Roman"/>
                <w:b/>
                <w:color w:val="000000"/>
                <w:sz w:val="20"/>
                <w:szCs w:val="20"/>
                <w:lang w:eastAsia="en-AU"/>
              </w:rPr>
              <w:t>1994</w:t>
            </w:r>
          </w:p>
        </w:tc>
        <w:tc>
          <w:tcPr>
            <w:tcW w:w="1258" w:type="dxa"/>
            <w:tcBorders>
              <w:top w:val="nil"/>
              <w:left w:val="nil"/>
              <w:bottom w:val="nil"/>
              <w:right w:val="nil"/>
            </w:tcBorders>
            <w:shd w:val="clear" w:color="000000" w:fill="FFFFFF"/>
            <w:noWrap/>
            <w:vAlign w:val="bottom"/>
            <w:hideMark/>
          </w:tcPr>
          <w:p w14:paraId="08ECC409" w14:textId="77777777" w:rsidR="00924664" w:rsidRPr="00757EC3" w:rsidRDefault="00924664" w:rsidP="00757EC3">
            <w:pPr>
              <w:spacing w:after="0" w:line="240" w:lineRule="auto"/>
              <w:jc w:val="right"/>
              <w:rPr>
                <w:rFonts w:ascii="Aptos Narrow" w:eastAsia="Times New Roman" w:hAnsi="Aptos Narrow" w:cs="Times New Roman"/>
                <w:color w:val="000000"/>
                <w:sz w:val="20"/>
                <w:szCs w:val="20"/>
                <w:lang w:eastAsia="en-AU"/>
              </w:rPr>
            </w:pPr>
            <w:r w:rsidRPr="00757EC3">
              <w:rPr>
                <w:rFonts w:ascii="Aptos Narrow" w:eastAsia="Times New Roman" w:hAnsi="Aptos Narrow" w:cs="Times New Roman"/>
                <w:color w:val="000000"/>
                <w:sz w:val="20"/>
                <w:szCs w:val="20"/>
                <w:lang w:eastAsia="en-AU"/>
              </w:rPr>
              <w:t>2.5</w:t>
            </w:r>
          </w:p>
        </w:tc>
        <w:tc>
          <w:tcPr>
            <w:tcW w:w="1259" w:type="dxa"/>
            <w:tcBorders>
              <w:top w:val="nil"/>
              <w:left w:val="nil"/>
              <w:bottom w:val="nil"/>
              <w:right w:val="nil"/>
            </w:tcBorders>
            <w:shd w:val="clear" w:color="000000" w:fill="FFFFFF"/>
            <w:noWrap/>
            <w:vAlign w:val="bottom"/>
            <w:hideMark/>
          </w:tcPr>
          <w:p w14:paraId="7E294AB5" w14:textId="77777777" w:rsidR="00924664" w:rsidRPr="00757EC3" w:rsidRDefault="00924664" w:rsidP="00757EC3">
            <w:pPr>
              <w:spacing w:after="0" w:line="240" w:lineRule="auto"/>
              <w:jc w:val="right"/>
              <w:rPr>
                <w:rFonts w:ascii="Aptos Narrow" w:eastAsia="Times New Roman" w:hAnsi="Aptos Narrow" w:cs="Times New Roman"/>
                <w:color w:val="000000"/>
                <w:sz w:val="20"/>
                <w:szCs w:val="20"/>
                <w:lang w:eastAsia="en-AU"/>
              </w:rPr>
            </w:pPr>
            <w:r w:rsidRPr="00757EC3">
              <w:rPr>
                <w:rFonts w:ascii="Aptos Narrow" w:eastAsia="Times New Roman" w:hAnsi="Aptos Narrow" w:cs="Times New Roman"/>
                <w:color w:val="000000"/>
                <w:sz w:val="20"/>
                <w:szCs w:val="20"/>
                <w:lang w:eastAsia="en-AU"/>
              </w:rPr>
              <w:t>3.6</w:t>
            </w:r>
          </w:p>
        </w:tc>
        <w:tc>
          <w:tcPr>
            <w:tcW w:w="1259" w:type="dxa"/>
            <w:tcBorders>
              <w:top w:val="nil"/>
              <w:left w:val="nil"/>
              <w:bottom w:val="nil"/>
              <w:right w:val="nil"/>
            </w:tcBorders>
            <w:vAlign w:val="bottom"/>
          </w:tcPr>
          <w:p w14:paraId="1123FFDD" w14:textId="77777777" w:rsidR="00924664" w:rsidRPr="00757EC3" w:rsidRDefault="00924664" w:rsidP="00757EC3">
            <w:pPr>
              <w:spacing w:after="0" w:line="240" w:lineRule="auto"/>
              <w:jc w:val="right"/>
              <w:rPr>
                <w:rFonts w:ascii="Aptos Narrow" w:eastAsia="Times New Roman" w:hAnsi="Aptos Narrow" w:cs="Times New Roman"/>
                <w:color w:val="000000"/>
                <w:sz w:val="20"/>
                <w:szCs w:val="20"/>
                <w:lang w:eastAsia="en-AU"/>
              </w:rPr>
            </w:pPr>
            <w:r w:rsidRPr="00757EC3">
              <w:rPr>
                <w:rFonts w:ascii="Aptos Narrow" w:eastAsia="Times New Roman" w:hAnsi="Aptos Narrow" w:cs="Times New Roman"/>
                <w:color w:val="000000"/>
                <w:sz w:val="20"/>
                <w:szCs w:val="20"/>
                <w:lang w:eastAsia="en-AU"/>
              </w:rPr>
              <w:t>3.5</w:t>
            </w:r>
          </w:p>
        </w:tc>
        <w:tc>
          <w:tcPr>
            <w:tcW w:w="1258" w:type="dxa"/>
            <w:tcBorders>
              <w:top w:val="nil"/>
              <w:left w:val="nil"/>
              <w:bottom w:val="nil"/>
              <w:right w:val="nil"/>
            </w:tcBorders>
            <w:noWrap/>
            <w:vAlign w:val="bottom"/>
            <w:hideMark/>
          </w:tcPr>
          <w:p w14:paraId="2D1B6960" w14:textId="77777777" w:rsidR="00924664" w:rsidRPr="00757EC3" w:rsidRDefault="00924664" w:rsidP="00757EC3">
            <w:pPr>
              <w:spacing w:after="0" w:line="240" w:lineRule="auto"/>
              <w:jc w:val="right"/>
              <w:rPr>
                <w:rFonts w:ascii="Aptos Narrow" w:eastAsia="Times New Roman" w:hAnsi="Aptos Narrow" w:cs="Times New Roman"/>
                <w:color w:val="000000"/>
                <w:sz w:val="20"/>
                <w:szCs w:val="20"/>
                <w:lang w:eastAsia="en-AU"/>
              </w:rPr>
            </w:pPr>
            <w:r w:rsidRPr="00757EC3">
              <w:rPr>
                <w:rFonts w:ascii="Aptos Narrow" w:eastAsia="Times New Roman" w:hAnsi="Aptos Narrow" w:cs="Times New Roman"/>
                <w:color w:val="000000"/>
                <w:sz w:val="20"/>
                <w:szCs w:val="20"/>
                <w:lang w:eastAsia="en-AU"/>
              </w:rPr>
              <w:t>2.6</w:t>
            </w:r>
          </w:p>
        </w:tc>
        <w:tc>
          <w:tcPr>
            <w:tcW w:w="1259" w:type="dxa"/>
            <w:tcBorders>
              <w:top w:val="nil"/>
              <w:left w:val="nil"/>
              <w:bottom w:val="nil"/>
              <w:right w:val="nil"/>
            </w:tcBorders>
            <w:noWrap/>
            <w:vAlign w:val="bottom"/>
            <w:hideMark/>
          </w:tcPr>
          <w:p w14:paraId="0FA6422C" w14:textId="77777777" w:rsidR="00924664" w:rsidRPr="00757EC3" w:rsidRDefault="00924664" w:rsidP="00757EC3">
            <w:pPr>
              <w:spacing w:after="0" w:line="240" w:lineRule="auto"/>
              <w:jc w:val="right"/>
              <w:rPr>
                <w:rFonts w:ascii="Aptos Narrow" w:eastAsia="Times New Roman" w:hAnsi="Aptos Narrow" w:cs="Times New Roman"/>
                <w:color w:val="000000"/>
                <w:sz w:val="20"/>
                <w:szCs w:val="20"/>
                <w:lang w:eastAsia="en-AU"/>
              </w:rPr>
            </w:pPr>
            <w:r w:rsidRPr="00757EC3">
              <w:rPr>
                <w:rFonts w:ascii="Aptos Narrow" w:eastAsia="Times New Roman" w:hAnsi="Aptos Narrow" w:cs="Times New Roman"/>
                <w:color w:val="000000"/>
                <w:sz w:val="20"/>
                <w:szCs w:val="20"/>
                <w:lang w:eastAsia="en-AU"/>
              </w:rPr>
              <w:t>3.5</w:t>
            </w:r>
          </w:p>
        </w:tc>
        <w:tc>
          <w:tcPr>
            <w:tcW w:w="1259" w:type="dxa"/>
            <w:tcBorders>
              <w:top w:val="nil"/>
              <w:left w:val="nil"/>
              <w:bottom w:val="nil"/>
              <w:right w:val="nil"/>
            </w:tcBorders>
            <w:vAlign w:val="center"/>
          </w:tcPr>
          <w:p w14:paraId="78455198" w14:textId="77777777" w:rsidR="00924664" w:rsidRPr="00757EC3" w:rsidRDefault="00924664" w:rsidP="00757EC3">
            <w:pPr>
              <w:spacing w:after="0" w:line="240" w:lineRule="auto"/>
              <w:jc w:val="right"/>
              <w:rPr>
                <w:rFonts w:ascii="Aptos Narrow" w:eastAsia="Times New Roman" w:hAnsi="Aptos Narrow" w:cs="Times New Roman"/>
                <w:color w:val="000000"/>
                <w:sz w:val="20"/>
                <w:szCs w:val="20"/>
                <w:lang w:eastAsia="en-AU"/>
              </w:rPr>
            </w:pPr>
            <w:r w:rsidRPr="00757EC3">
              <w:rPr>
                <w:rFonts w:ascii="Calibri" w:eastAsia="Times New Roman" w:hAnsi="Calibri" w:cs="Calibri"/>
                <w:color w:val="000000"/>
                <w:sz w:val="20"/>
                <w:szCs w:val="20"/>
                <w:lang w:eastAsia="en-AU"/>
              </w:rPr>
              <w:t>3.4</w:t>
            </w:r>
          </w:p>
        </w:tc>
      </w:tr>
      <w:tr w:rsidR="00924664" w:rsidRPr="007B6AF7" w14:paraId="14D8B450" w14:textId="77777777">
        <w:trPr>
          <w:trHeight w:val="299"/>
        </w:trPr>
        <w:tc>
          <w:tcPr>
            <w:tcW w:w="1351" w:type="dxa"/>
            <w:tcBorders>
              <w:top w:val="nil"/>
              <w:left w:val="nil"/>
              <w:bottom w:val="nil"/>
              <w:right w:val="nil"/>
            </w:tcBorders>
            <w:shd w:val="clear" w:color="000000" w:fill="FFFFFF"/>
            <w:noWrap/>
            <w:vAlign w:val="bottom"/>
            <w:hideMark/>
          </w:tcPr>
          <w:p w14:paraId="521936CF" w14:textId="77777777" w:rsidR="00924664" w:rsidRPr="00401F25" w:rsidRDefault="00924664">
            <w:pPr>
              <w:spacing w:after="0" w:line="240" w:lineRule="auto"/>
              <w:rPr>
                <w:rFonts w:ascii="Aptos Narrow" w:eastAsia="Times New Roman" w:hAnsi="Aptos Narrow" w:cs="Times New Roman"/>
                <w:b/>
                <w:color w:val="000000"/>
                <w:sz w:val="20"/>
                <w:szCs w:val="20"/>
                <w:lang w:eastAsia="en-AU"/>
              </w:rPr>
            </w:pPr>
            <w:r w:rsidRPr="00401F25">
              <w:rPr>
                <w:rFonts w:ascii="Aptos Narrow" w:eastAsia="Times New Roman" w:hAnsi="Aptos Narrow" w:cs="Times New Roman"/>
                <w:b/>
                <w:color w:val="000000"/>
                <w:sz w:val="20"/>
                <w:szCs w:val="20"/>
                <w:lang w:eastAsia="en-AU"/>
              </w:rPr>
              <w:t>1995</w:t>
            </w:r>
          </w:p>
        </w:tc>
        <w:tc>
          <w:tcPr>
            <w:tcW w:w="1258" w:type="dxa"/>
            <w:tcBorders>
              <w:top w:val="nil"/>
              <w:left w:val="nil"/>
              <w:bottom w:val="nil"/>
              <w:right w:val="nil"/>
            </w:tcBorders>
            <w:shd w:val="clear" w:color="000000" w:fill="FFFFFF"/>
            <w:noWrap/>
            <w:vAlign w:val="bottom"/>
            <w:hideMark/>
          </w:tcPr>
          <w:p w14:paraId="2C5887C1" w14:textId="77777777" w:rsidR="00924664" w:rsidRPr="00401F25" w:rsidRDefault="00924664" w:rsidP="00D8070A">
            <w:pPr>
              <w:spacing w:after="0" w:line="240" w:lineRule="auto"/>
              <w:jc w:val="right"/>
              <w:rPr>
                <w:rFonts w:ascii="Aptos Narrow" w:eastAsia="Times New Roman" w:hAnsi="Aptos Narrow" w:cs="Times New Roman"/>
                <w:color w:val="000000"/>
                <w:sz w:val="20"/>
                <w:szCs w:val="20"/>
                <w:lang w:eastAsia="en-AU"/>
              </w:rPr>
            </w:pPr>
            <w:r w:rsidRPr="00401F25">
              <w:rPr>
                <w:rFonts w:ascii="Aptos Narrow" w:eastAsia="Times New Roman" w:hAnsi="Aptos Narrow" w:cs="Times New Roman"/>
                <w:color w:val="000000"/>
                <w:sz w:val="20"/>
                <w:szCs w:val="20"/>
                <w:lang w:eastAsia="en-AU"/>
              </w:rPr>
              <w:t>3.8</w:t>
            </w:r>
          </w:p>
        </w:tc>
        <w:tc>
          <w:tcPr>
            <w:tcW w:w="1259" w:type="dxa"/>
            <w:tcBorders>
              <w:top w:val="nil"/>
              <w:left w:val="nil"/>
              <w:bottom w:val="nil"/>
              <w:right w:val="nil"/>
            </w:tcBorders>
            <w:shd w:val="clear" w:color="000000" w:fill="FFFFFF"/>
            <w:noWrap/>
            <w:vAlign w:val="bottom"/>
            <w:hideMark/>
          </w:tcPr>
          <w:p w14:paraId="5B5CC7CF" w14:textId="77777777" w:rsidR="00924664" w:rsidRPr="00401F25" w:rsidRDefault="00924664" w:rsidP="00D8070A">
            <w:pPr>
              <w:spacing w:after="0" w:line="240" w:lineRule="auto"/>
              <w:jc w:val="right"/>
              <w:rPr>
                <w:rFonts w:ascii="Aptos Narrow" w:eastAsia="Times New Roman" w:hAnsi="Aptos Narrow" w:cs="Times New Roman"/>
                <w:color w:val="000000"/>
                <w:sz w:val="20"/>
                <w:szCs w:val="20"/>
                <w:lang w:eastAsia="en-AU"/>
              </w:rPr>
            </w:pPr>
            <w:r w:rsidRPr="00401F25">
              <w:rPr>
                <w:rFonts w:ascii="Aptos Narrow" w:eastAsia="Times New Roman" w:hAnsi="Aptos Narrow" w:cs="Times New Roman"/>
                <w:color w:val="000000"/>
                <w:sz w:val="20"/>
                <w:szCs w:val="20"/>
                <w:lang w:eastAsia="en-AU"/>
              </w:rPr>
              <w:t>4.4</w:t>
            </w:r>
          </w:p>
        </w:tc>
        <w:tc>
          <w:tcPr>
            <w:tcW w:w="1259" w:type="dxa"/>
            <w:tcBorders>
              <w:top w:val="nil"/>
              <w:left w:val="nil"/>
              <w:bottom w:val="nil"/>
              <w:right w:val="nil"/>
            </w:tcBorders>
            <w:vAlign w:val="bottom"/>
          </w:tcPr>
          <w:p w14:paraId="116A4218" w14:textId="77777777" w:rsidR="00924664" w:rsidRPr="00401F25" w:rsidRDefault="00924664" w:rsidP="00D8070A">
            <w:pPr>
              <w:spacing w:after="0" w:line="240" w:lineRule="auto"/>
              <w:jc w:val="right"/>
              <w:rPr>
                <w:rFonts w:ascii="Aptos Narrow" w:eastAsia="Times New Roman" w:hAnsi="Aptos Narrow" w:cs="Times New Roman"/>
                <w:color w:val="000000"/>
                <w:sz w:val="20"/>
                <w:szCs w:val="20"/>
                <w:lang w:eastAsia="en-AU"/>
              </w:rPr>
            </w:pPr>
            <w:r w:rsidRPr="00401F25">
              <w:rPr>
                <w:rFonts w:ascii="Aptos Narrow" w:eastAsia="Times New Roman" w:hAnsi="Aptos Narrow" w:cs="Times New Roman"/>
                <w:color w:val="000000"/>
                <w:sz w:val="20"/>
                <w:szCs w:val="20"/>
                <w:lang w:eastAsia="en-AU"/>
              </w:rPr>
              <w:t>4.4</w:t>
            </w:r>
          </w:p>
        </w:tc>
        <w:tc>
          <w:tcPr>
            <w:tcW w:w="1258" w:type="dxa"/>
            <w:tcBorders>
              <w:top w:val="nil"/>
              <w:left w:val="nil"/>
              <w:bottom w:val="nil"/>
              <w:right w:val="nil"/>
            </w:tcBorders>
            <w:noWrap/>
            <w:vAlign w:val="bottom"/>
            <w:hideMark/>
          </w:tcPr>
          <w:p w14:paraId="347649CB" w14:textId="77777777" w:rsidR="00924664" w:rsidRPr="00401F25" w:rsidRDefault="00924664" w:rsidP="00D8070A">
            <w:pPr>
              <w:spacing w:after="0" w:line="240" w:lineRule="auto"/>
              <w:jc w:val="right"/>
              <w:rPr>
                <w:rFonts w:ascii="Aptos Narrow" w:eastAsia="Times New Roman" w:hAnsi="Aptos Narrow" w:cs="Times New Roman"/>
                <w:color w:val="000000"/>
                <w:sz w:val="20"/>
                <w:szCs w:val="20"/>
                <w:lang w:eastAsia="en-AU"/>
              </w:rPr>
            </w:pPr>
            <w:r w:rsidRPr="00401F25">
              <w:rPr>
                <w:rFonts w:ascii="Aptos Narrow" w:eastAsia="Times New Roman" w:hAnsi="Aptos Narrow" w:cs="Times New Roman"/>
                <w:color w:val="000000"/>
                <w:sz w:val="20"/>
                <w:szCs w:val="20"/>
                <w:lang w:eastAsia="en-AU"/>
              </w:rPr>
              <w:t>3.7</w:t>
            </w:r>
          </w:p>
        </w:tc>
        <w:tc>
          <w:tcPr>
            <w:tcW w:w="1259" w:type="dxa"/>
            <w:tcBorders>
              <w:top w:val="nil"/>
              <w:left w:val="nil"/>
              <w:bottom w:val="nil"/>
              <w:right w:val="nil"/>
            </w:tcBorders>
            <w:noWrap/>
            <w:vAlign w:val="bottom"/>
            <w:hideMark/>
          </w:tcPr>
          <w:p w14:paraId="38F9B7A1" w14:textId="77777777" w:rsidR="00924664" w:rsidRPr="00401F25" w:rsidRDefault="00924664" w:rsidP="00D8070A">
            <w:pPr>
              <w:spacing w:after="0" w:line="240" w:lineRule="auto"/>
              <w:jc w:val="right"/>
              <w:rPr>
                <w:rFonts w:ascii="Aptos Narrow" w:eastAsia="Times New Roman" w:hAnsi="Aptos Narrow" w:cs="Times New Roman"/>
                <w:color w:val="000000"/>
                <w:sz w:val="20"/>
                <w:szCs w:val="20"/>
                <w:lang w:eastAsia="en-AU"/>
              </w:rPr>
            </w:pPr>
            <w:r w:rsidRPr="00401F25">
              <w:rPr>
                <w:rFonts w:ascii="Aptos Narrow" w:eastAsia="Times New Roman" w:hAnsi="Aptos Narrow" w:cs="Times New Roman"/>
                <w:color w:val="000000"/>
                <w:sz w:val="20"/>
                <w:szCs w:val="20"/>
                <w:lang w:eastAsia="en-AU"/>
              </w:rPr>
              <w:t>4.1</w:t>
            </w:r>
          </w:p>
        </w:tc>
        <w:tc>
          <w:tcPr>
            <w:tcW w:w="1259" w:type="dxa"/>
            <w:tcBorders>
              <w:top w:val="nil"/>
              <w:left w:val="nil"/>
              <w:bottom w:val="nil"/>
              <w:right w:val="nil"/>
            </w:tcBorders>
            <w:vAlign w:val="center"/>
          </w:tcPr>
          <w:p w14:paraId="5F066EE2" w14:textId="77777777" w:rsidR="00924664" w:rsidRPr="00401F25" w:rsidRDefault="00924664" w:rsidP="00D8070A">
            <w:pPr>
              <w:spacing w:after="0" w:line="240" w:lineRule="auto"/>
              <w:jc w:val="right"/>
              <w:rPr>
                <w:rFonts w:ascii="Aptos Narrow" w:eastAsia="Times New Roman" w:hAnsi="Aptos Narrow" w:cs="Times New Roman"/>
                <w:color w:val="000000"/>
                <w:sz w:val="20"/>
                <w:szCs w:val="20"/>
                <w:lang w:eastAsia="en-AU"/>
              </w:rPr>
            </w:pPr>
            <w:r w:rsidRPr="00401F25">
              <w:rPr>
                <w:rFonts w:ascii="Calibri" w:eastAsia="Times New Roman" w:hAnsi="Calibri" w:cs="Calibri"/>
                <w:color w:val="000000"/>
                <w:sz w:val="20"/>
                <w:szCs w:val="20"/>
                <w:lang w:eastAsia="en-AU"/>
              </w:rPr>
              <w:t>4.1</w:t>
            </w:r>
          </w:p>
        </w:tc>
      </w:tr>
      <w:tr w:rsidR="00924664" w:rsidRPr="007B6AF7" w14:paraId="1BB4CDCF" w14:textId="77777777">
        <w:trPr>
          <w:trHeight w:val="299"/>
        </w:trPr>
        <w:tc>
          <w:tcPr>
            <w:tcW w:w="1351" w:type="dxa"/>
            <w:tcBorders>
              <w:top w:val="nil"/>
              <w:left w:val="nil"/>
              <w:bottom w:val="nil"/>
              <w:right w:val="nil"/>
            </w:tcBorders>
            <w:shd w:val="clear" w:color="000000" w:fill="FFFFFF"/>
            <w:noWrap/>
            <w:vAlign w:val="bottom"/>
            <w:hideMark/>
          </w:tcPr>
          <w:p w14:paraId="588A1D3B" w14:textId="77777777" w:rsidR="00924664" w:rsidRPr="00D8070A" w:rsidRDefault="00924664">
            <w:pPr>
              <w:spacing w:after="0" w:line="240" w:lineRule="auto"/>
              <w:rPr>
                <w:rFonts w:ascii="Aptos Narrow" w:eastAsia="Times New Roman" w:hAnsi="Aptos Narrow" w:cs="Times New Roman"/>
                <w:b/>
                <w:color w:val="000000"/>
                <w:sz w:val="20"/>
                <w:szCs w:val="20"/>
                <w:lang w:eastAsia="en-AU"/>
              </w:rPr>
            </w:pPr>
            <w:r w:rsidRPr="00D8070A">
              <w:rPr>
                <w:rFonts w:ascii="Aptos Narrow" w:eastAsia="Times New Roman" w:hAnsi="Aptos Narrow" w:cs="Times New Roman"/>
                <w:b/>
                <w:color w:val="000000"/>
                <w:sz w:val="20"/>
                <w:szCs w:val="20"/>
                <w:lang w:eastAsia="en-AU"/>
              </w:rPr>
              <w:t>1996</w:t>
            </w:r>
          </w:p>
        </w:tc>
        <w:tc>
          <w:tcPr>
            <w:tcW w:w="1258" w:type="dxa"/>
            <w:tcBorders>
              <w:top w:val="nil"/>
              <w:left w:val="nil"/>
              <w:bottom w:val="nil"/>
              <w:right w:val="nil"/>
            </w:tcBorders>
            <w:shd w:val="clear" w:color="000000" w:fill="FFFFFF"/>
            <w:noWrap/>
            <w:vAlign w:val="bottom"/>
            <w:hideMark/>
          </w:tcPr>
          <w:p w14:paraId="459034CE"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Aptos Narrow" w:eastAsia="Times New Roman" w:hAnsi="Aptos Narrow" w:cs="Times New Roman"/>
                <w:color w:val="000000"/>
                <w:sz w:val="20"/>
                <w:szCs w:val="20"/>
                <w:lang w:eastAsia="en-AU"/>
              </w:rPr>
              <w:t>5.1</w:t>
            </w:r>
          </w:p>
        </w:tc>
        <w:tc>
          <w:tcPr>
            <w:tcW w:w="1259" w:type="dxa"/>
            <w:tcBorders>
              <w:top w:val="nil"/>
              <w:left w:val="nil"/>
              <w:bottom w:val="nil"/>
              <w:right w:val="nil"/>
            </w:tcBorders>
            <w:shd w:val="clear" w:color="000000" w:fill="FFFFFF"/>
            <w:noWrap/>
            <w:vAlign w:val="bottom"/>
            <w:hideMark/>
          </w:tcPr>
          <w:p w14:paraId="48468A8B"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Aptos Narrow" w:eastAsia="Times New Roman" w:hAnsi="Aptos Narrow" w:cs="Times New Roman"/>
                <w:color w:val="000000"/>
                <w:sz w:val="20"/>
                <w:szCs w:val="20"/>
                <w:lang w:eastAsia="en-AU"/>
              </w:rPr>
              <w:t>4.8</w:t>
            </w:r>
          </w:p>
        </w:tc>
        <w:tc>
          <w:tcPr>
            <w:tcW w:w="1259" w:type="dxa"/>
            <w:tcBorders>
              <w:top w:val="nil"/>
              <w:left w:val="nil"/>
              <w:bottom w:val="nil"/>
              <w:right w:val="nil"/>
            </w:tcBorders>
            <w:vAlign w:val="bottom"/>
          </w:tcPr>
          <w:p w14:paraId="553DC9D1"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Aptos Narrow" w:eastAsia="Times New Roman" w:hAnsi="Aptos Narrow" w:cs="Times New Roman"/>
                <w:color w:val="000000"/>
                <w:sz w:val="20"/>
                <w:szCs w:val="20"/>
                <w:lang w:eastAsia="en-AU"/>
              </w:rPr>
              <w:t>4.8</w:t>
            </w:r>
          </w:p>
        </w:tc>
        <w:tc>
          <w:tcPr>
            <w:tcW w:w="1258" w:type="dxa"/>
            <w:tcBorders>
              <w:top w:val="nil"/>
              <w:left w:val="nil"/>
              <w:bottom w:val="nil"/>
              <w:right w:val="nil"/>
            </w:tcBorders>
            <w:noWrap/>
            <w:vAlign w:val="bottom"/>
            <w:hideMark/>
          </w:tcPr>
          <w:p w14:paraId="3E74302A"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Aptos Narrow" w:eastAsia="Times New Roman" w:hAnsi="Aptos Narrow" w:cs="Times New Roman"/>
                <w:color w:val="000000"/>
                <w:sz w:val="20"/>
                <w:szCs w:val="20"/>
                <w:lang w:eastAsia="en-AU"/>
              </w:rPr>
              <w:t>4.1</w:t>
            </w:r>
          </w:p>
        </w:tc>
        <w:tc>
          <w:tcPr>
            <w:tcW w:w="1259" w:type="dxa"/>
            <w:tcBorders>
              <w:top w:val="nil"/>
              <w:left w:val="nil"/>
              <w:bottom w:val="nil"/>
              <w:right w:val="nil"/>
            </w:tcBorders>
            <w:noWrap/>
            <w:vAlign w:val="bottom"/>
            <w:hideMark/>
          </w:tcPr>
          <w:p w14:paraId="0A68A1EA"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Aptos Narrow" w:eastAsia="Times New Roman" w:hAnsi="Aptos Narrow" w:cs="Times New Roman"/>
                <w:color w:val="000000"/>
                <w:sz w:val="20"/>
                <w:szCs w:val="20"/>
                <w:lang w:eastAsia="en-AU"/>
              </w:rPr>
              <w:t>4.6</w:t>
            </w:r>
          </w:p>
        </w:tc>
        <w:tc>
          <w:tcPr>
            <w:tcW w:w="1259" w:type="dxa"/>
            <w:tcBorders>
              <w:top w:val="nil"/>
              <w:left w:val="nil"/>
              <w:bottom w:val="nil"/>
              <w:right w:val="nil"/>
            </w:tcBorders>
            <w:vAlign w:val="center"/>
          </w:tcPr>
          <w:p w14:paraId="6B183BA3"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Calibri" w:eastAsia="Times New Roman" w:hAnsi="Calibri" w:cs="Calibri"/>
                <w:color w:val="000000"/>
                <w:sz w:val="20"/>
                <w:szCs w:val="20"/>
                <w:lang w:eastAsia="en-AU"/>
              </w:rPr>
              <w:t>4.6</w:t>
            </w:r>
          </w:p>
        </w:tc>
      </w:tr>
      <w:tr w:rsidR="00924664" w:rsidRPr="007B6AF7" w14:paraId="6F15E76B" w14:textId="77777777">
        <w:trPr>
          <w:trHeight w:val="299"/>
        </w:trPr>
        <w:tc>
          <w:tcPr>
            <w:tcW w:w="1351" w:type="dxa"/>
            <w:tcBorders>
              <w:top w:val="nil"/>
              <w:left w:val="nil"/>
              <w:bottom w:val="nil"/>
              <w:right w:val="nil"/>
            </w:tcBorders>
            <w:shd w:val="clear" w:color="000000" w:fill="FFFFFF"/>
            <w:noWrap/>
            <w:vAlign w:val="bottom"/>
            <w:hideMark/>
          </w:tcPr>
          <w:p w14:paraId="02483FC4" w14:textId="77777777" w:rsidR="00924664" w:rsidRPr="00D8070A" w:rsidRDefault="00924664">
            <w:pPr>
              <w:spacing w:after="0" w:line="240" w:lineRule="auto"/>
              <w:rPr>
                <w:rFonts w:ascii="Aptos Narrow" w:eastAsia="Times New Roman" w:hAnsi="Aptos Narrow" w:cs="Times New Roman"/>
                <w:b/>
                <w:color w:val="000000"/>
                <w:sz w:val="20"/>
                <w:szCs w:val="20"/>
                <w:lang w:eastAsia="en-AU"/>
              </w:rPr>
            </w:pPr>
            <w:r w:rsidRPr="00D8070A">
              <w:rPr>
                <w:rFonts w:ascii="Aptos Narrow" w:eastAsia="Times New Roman" w:hAnsi="Aptos Narrow" w:cs="Times New Roman"/>
                <w:b/>
                <w:color w:val="000000"/>
                <w:sz w:val="20"/>
                <w:szCs w:val="20"/>
                <w:lang w:eastAsia="en-AU"/>
              </w:rPr>
              <w:t>1997</w:t>
            </w:r>
          </w:p>
        </w:tc>
        <w:tc>
          <w:tcPr>
            <w:tcW w:w="1258" w:type="dxa"/>
            <w:tcBorders>
              <w:top w:val="nil"/>
              <w:left w:val="nil"/>
              <w:bottom w:val="nil"/>
              <w:right w:val="nil"/>
            </w:tcBorders>
            <w:shd w:val="clear" w:color="000000" w:fill="FFFFFF"/>
            <w:noWrap/>
            <w:vAlign w:val="bottom"/>
            <w:hideMark/>
          </w:tcPr>
          <w:p w14:paraId="28C2F335"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Aptos Narrow" w:eastAsia="Times New Roman" w:hAnsi="Aptos Narrow" w:cs="Times New Roman"/>
                <w:color w:val="000000"/>
                <w:sz w:val="20"/>
                <w:szCs w:val="20"/>
                <w:lang w:eastAsia="en-AU"/>
              </w:rPr>
              <w:t>3.6</w:t>
            </w:r>
          </w:p>
        </w:tc>
        <w:tc>
          <w:tcPr>
            <w:tcW w:w="1259" w:type="dxa"/>
            <w:tcBorders>
              <w:top w:val="nil"/>
              <w:left w:val="nil"/>
              <w:bottom w:val="nil"/>
              <w:right w:val="nil"/>
            </w:tcBorders>
            <w:shd w:val="clear" w:color="000000" w:fill="FFFFFF"/>
            <w:noWrap/>
            <w:vAlign w:val="bottom"/>
            <w:hideMark/>
          </w:tcPr>
          <w:p w14:paraId="59F90A27"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Aptos Narrow" w:eastAsia="Times New Roman" w:hAnsi="Aptos Narrow" w:cs="Times New Roman"/>
                <w:color w:val="000000"/>
                <w:sz w:val="20"/>
                <w:szCs w:val="20"/>
                <w:lang w:eastAsia="en-AU"/>
              </w:rPr>
              <w:t>4.4</w:t>
            </w:r>
          </w:p>
        </w:tc>
        <w:tc>
          <w:tcPr>
            <w:tcW w:w="1259" w:type="dxa"/>
            <w:tcBorders>
              <w:top w:val="nil"/>
              <w:left w:val="nil"/>
              <w:bottom w:val="nil"/>
              <w:right w:val="nil"/>
            </w:tcBorders>
            <w:vAlign w:val="bottom"/>
          </w:tcPr>
          <w:p w14:paraId="4207591A"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Aptos Narrow" w:eastAsia="Times New Roman" w:hAnsi="Aptos Narrow" w:cs="Times New Roman"/>
                <w:color w:val="000000"/>
                <w:sz w:val="20"/>
                <w:szCs w:val="20"/>
                <w:lang w:eastAsia="en-AU"/>
              </w:rPr>
              <w:t>4.4</w:t>
            </w:r>
          </w:p>
        </w:tc>
        <w:tc>
          <w:tcPr>
            <w:tcW w:w="1258" w:type="dxa"/>
            <w:tcBorders>
              <w:top w:val="nil"/>
              <w:left w:val="nil"/>
              <w:bottom w:val="nil"/>
              <w:right w:val="nil"/>
            </w:tcBorders>
            <w:noWrap/>
            <w:vAlign w:val="bottom"/>
            <w:hideMark/>
          </w:tcPr>
          <w:p w14:paraId="2EF2199B"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Aptos Narrow" w:eastAsia="Times New Roman" w:hAnsi="Aptos Narrow" w:cs="Times New Roman"/>
                <w:color w:val="000000"/>
                <w:sz w:val="20"/>
                <w:szCs w:val="20"/>
                <w:lang w:eastAsia="en-AU"/>
              </w:rPr>
              <w:t>4.2</w:t>
            </w:r>
          </w:p>
        </w:tc>
        <w:tc>
          <w:tcPr>
            <w:tcW w:w="1259" w:type="dxa"/>
            <w:tcBorders>
              <w:top w:val="nil"/>
              <w:left w:val="nil"/>
              <w:bottom w:val="nil"/>
              <w:right w:val="nil"/>
            </w:tcBorders>
            <w:noWrap/>
            <w:vAlign w:val="bottom"/>
            <w:hideMark/>
          </w:tcPr>
          <w:p w14:paraId="18CD1D03"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Aptos Narrow" w:eastAsia="Times New Roman" w:hAnsi="Aptos Narrow" w:cs="Times New Roman"/>
                <w:color w:val="000000"/>
                <w:sz w:val="20"/>
                <w:szCs w:val="20"/>
                <w:lang w:eastAsia="en-AU"/>
              </w:rPr>
              <w:t>4.4</w:t>
            </w:r>
          </w:p>
        </w:tc>
        <w:tc>
          <w:tcPr>
            <w:tcW w:w="1259" w:type="dxa"/>
            <w:tcBorders>
              <w:top w:val="nil"/>
              <w:left w:val="nil"/>
              <w:bottom w:val="nil"/>
              <w:right w:val="nil"/>
            </w:tcBorders>
            <w:vAlign w:val="center"/>
          </w:tcPr>
          <w:p w14:paraId="0FDEBD6E"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Calibri" w:eastAsia="Times New Roman" w:hAnsi="Calibri" w:cs="Calibri"/>
                <w:color w:val="000000"/>
                <w:sz w:val="20"/>
                <w:szCs w:val="20"/>
                <w:lang w:eastAsia="en-AU"/>
              </w:rPr>
              <w:t>4.4</w:t>
            </w:r>
          </w:p>
        </w:tc>
      </w:tr>
      <w:tr w:rsidR="00924664" w:rsidRPr="007B6AF7" w14:paraId="6DF5C3A6" w14:textId="77777777">
        <w:trPr>
          <w:trHeight w:val="299"/>
        </w:trPr>
        <w:tc>
          <w:tcPr>
            <w:tcW w:w="1351" w:type="dxa"/>
            <w:tcBorders>
              <w:top w:val="nil"/>
              <w:left w:val="nil"/>
              <w:bottom w:val="nil"/>
              <w:right w:val="nil"/>
            </w:tcBorders>
            <w:shd w:val="clear" w:color="000000" w:fill="FFFFFF"/>
            <w:noWrap/>
            <w:vAlign w:val="bottom"/>
            <w:hideMark/>
          </w:tcPr>
          <w:p w14:paraId="365BF87F" w14:textId="77777777" w:rsidR="00924664" w:rsidRPr="00D8070A" w:rsidRDefault="00924664">
            <w:pPr>
              <w:spacing w:after="0" w:line="240" w:lineRule="auto"/>
              <w:rPr>
                <w:rFonts w:ascii="Aptos Narrow" w:eastAsia="Times New Roman" w:hAnsi="Aptos Narrow" w:cs="Times New Roman"/>
                <w:b/>
                <w:color w:val="000000"/>
                <w:sz w:val="20"/>
                <w:szCs w:val="20"/>
                <w:lang w:eastAsia="en-AU"/>
              </w:rPr>
            </w:pPr>
            <w:r w:rsidRPr="00D8070A">
              <w:rPr>
                <w:rFonts w:ascii="Aptos Narrow" w:eastAsia="Times New Roman" w:hAnsi="Aptos Narrow" w:cs="Times New Roman"/>
                <w:b/>
                <w:color w:val="000000"/>
                <w:sz w:val="20"/>
                <w:szCs w:val="20"/>
                <w:lang w:eastAsia="en-AU"/>
              </w:rPr>
              <w:t>1998</w:t>
            </w:r>
          </w:p>
        </w:tc>
        <w:tc>
          <w:tcPr>
            <w:tcW w:w="1258" w:type="dxa"/>
            <w:tcBorders>
              <w:top w:val="nil"/>
              <w:left w:val="nil"/>
              <w:bottom w:val="nil"/>
              <w:right w:val="nil"/>
            </w:tcBorders>
            <w:shd w:val="clear" w:color="000000" w:fill="FFFFFF"/>
            <w:noWrap/>
            <w:vAlign w:val="bottom"/>
            <w:hideMark/>
          </w:tcPr>
          <w:p w14:paraId="0158E719"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Aptos Narrow" w:eastAsia="Times New Roman" w:hAnsi="Aptos Narrow" w:cs="Times New Roman"/>
                <w:color w:val="000000"/>
                <w:sz w:val="20"/>
                <w:szCs w:val="20"/>
                <w:lang w:eastAsia="en-AU"/>
              </w:rPr>
              <w:t>3.0</w:t>
            </w:r>
          </w:p>
        </w:tc>
        <w:tc>
          <w:tcPr>
            <w:tcW w:w="1259" w:type="dxa"/>
            <w:tcBorders>
              <w:top w:val="nil"/>
              <w:left w:val="nil"/>
              <w:bottom w:val="nil"/>
              <w:right w:val="nil"/>
            </w:tcBorders>
            <w:shd w:val="clear" w:color="000000" w:fill="FFFFFF"/>
            <w:noWrap/>
            <w:vAlign w:val="bottom"/>
            <w:hideMark/>
          </w:tcPr>
          <w:p w14:paraId="4AA65E15"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Aptos Narrow" w:eastAsia="Times New Roman" w:hAnsi="Aptos Narrow" w:cs="Times New Roman"/>
                <w:color w:val="000000"/>
                <w:sz w:val="20"/>
                <w:szCs w:val="20"/>
                <w:lang w:eastAsia="en-AU"/>
              </w:rPr>
              <w:t>3.9</w:t>
            </w:r>
          </w:p>
        </w:tc>
        <w:tc>
          <w:tcPr>
            <w:tcW w:w="1259" w:type="dxa"/>
            <w:tcBorders>
              <w:top w:val="nil"/>
              <w:left w:val="nil"/>
              <w:bottom w:val="nil"/>
              <w:right w:val="nil"/>
            </w:tcBorders>
            <w:vAlign w:val="bottom"/>
          </w:tcPr>
          <w:p w14:paraId="6B7427B7"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Aptos Narrow" w:eastAsia="Times New Roman" w:hAnsi="Aptos Narrow" w:cs="Times New Roman"/>
                <w:color w:val="000000"/>
                <w:sz w:val="20"/>
                <w:szCs w:val="20"/>
                <w:lang w:eastAsia="en-AU"/>
              </w:rPr>
              <w:t>3.9</w:t>
            </w:r>
          </w:p>
        </w:tc>
        <w:tc>
          <w:tcPr>
            <w:tcW w:w="1258" w:type="dxa"/>
            <w:tcBorders>
              <w:top w:val="nil"/>
              <w:left w:val="nil"/>
              <w:bottom w:val="nil"/>
              <w:right w:val="nil"/>
            </w:tcBorders>
            <w:noWrap/>
            <w:vAlign w:val="bottom"/>
            <w:hideMark/>
          </w:tcPr>
          <w:p w14:paraId="622485D9"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Aptos Narrow" w:eastAsia="Times New Roman" w:hAnsi="Aptos Narrow" w:cs="Times New Roman"/>
                <w:color w:val="000000"/>
                <w:sz w:val="20"/>
                <w:szCs w:val="20"/>
                <w:lang w:eastAsia="en-AU"/>
              </w:rPr>
              <w:t>3.1</w:t>
            </w:r>
          </w:p>
        </w:tc>
        <w:tc>
          <w:tcPr>
            <w:tcW w:w="1259" w:type="dxa"/>
            <w:tcBorders>
              <w:top w:val="nil"/>
              <w:left w:val="nil"/>
              <w:bottom w:val="nil"/>
              <w:right w:val="nil"/>
            </w:tcBorders>
            <w:noWrap/>
            <w:vAlign w:val="bottom"/>
            <w:hideMark/>
          </w:tcPr>
          <w:p w14:paraId="2E2FC51A"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Aptos Narrow" w:eastAsia="Times New Roman" w:hAnsi="Aptos Narrow" w:cs="Times New Roman"/>
                <w:color w:val="000000"/>
                <w:sz w:val="20"/>
                <w:szCs w:val="20"/>
                <w:lang w:eastAsia="en-AU"/>
              </w:rPr>
              <w:t>4.0</w:t>
            </w:r>
          </w:p>
        </w:tc>
        <w:tc>
          <w:tcPr>
            <w:tcW w:w="1259" w:type="dxa"/>
            <w:tcBorders>
              <w:top w:val="nil"/>
              <w:left w:val="nil"/>
              <w:bottom w:val="nil"/>
              <w:right w:val="nil"/>
            </w:tcBorders>
            <w:vAlign w:val="center"/>
          </w:tcPr>
          <w:p w14:paraId="79A9462A"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Calibri" w:eastAsia="Times New Roman" w:hAnsi="Calibri" w:cs="Calibri"/>
                <w:color w:val="000000"/>
                <w:sz w:val="20"/>
                <w:szCs w:val="20"/>
                <w:lang w:eastAsia="en-AU"/>
              </w:rPr>
              <w:t>3.9</w:t>
            </w:r>
          </w:p>
        </w:tc>
      </w:tr>
      <w:tr w:rsidR="00924664" w:rsidRPr="007B6AF7" w14:paraId="65947937" w14:textId="77777777">
        <w:trPr>
          <w:trHeight w:val="299"/>
        </w:trPr>
        <w:tc>
          <w:tcPr>
            <w:tcW w:w="1351" w:type="dxa"/>
            <w:tcBorders>
              <w:top w:val="nil"/>
              <w:left w:val="nil"/>
              <w:bottom w:val="nil"/>
              <w:right w:val="nil"/>
            </w:tcBorders>
            <w:shd w:val="clear" w:color="000000" w:fill="FFFFFF"/>
            <w:noWrap/>
            <w:vAlign w:val="bottom"/>
            <w:hideMark/>
          </w:tcPr>
          <w:p w14:paraId="085FA408" w14:textId="77777777" w:rsidR="00924664" w:rsidRPr="00D8070A" w:rsidRDefault="00924664">
            <w:pPr>
              <w:spacing w:after="0" w:line="240" w:lineRule="auto"/>
              <w:rPr>
                <w:rFonts w:ascii="Aptos Narrow" w:eastAsia="Times New Roman" w:hAnsi="Aptos Narrow" w:cs="Times New Roman"/>
                <w:b/>
                <w:color w:val="000000"/>
                <w:sz w:val="20"/>
                <w:szCs w:val="20"/>
                <w:lang w:eastAsia="en-AU"/>
              </w:rPr>
            </w:pPr>
            <w:r w:rsidRPr="00D8070A">
              <w:rPr>
                <w:rFonts w:ascii="Aptos Narrow" w:eastAsia="Times New Roman" w:hAnsi="Aptos Narrow" w:cs="Times New Roman"/>
                <w:b/>
                <w:color w:val="000000"/>
                <w:sz w:val="20"/>
                <w:szCs w:val="20"/>
                <w:lang w:eastAsia="en-AU"/>
              </w:rPr>
              <w:t>1999</w:t>
            </w:r>
          </w:p>
        </w:tc>
        <w:tc>
          <w:tcPr>
            <w:tcW w:w="1258" w:type="dxa"/>
            <w:tcBorders>
              <w:top w:val="nil"/>
              <w:left w:val="nil"/>
              <w:bottom w:val="nil"/>
              <w:right w:val="nil"/>
            </w:tcBorders>
            <w:shd w:val="clear" w:color="000000" w:fill="FFFFFF"/>
            <w:noWrap/>
            <w:vAlign w:val="bottom"/>
            <w:hideMark/>
          </w:tcPr>
          <w:p w14:paraId="58246999"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Aptos Narrow" w:eastAsia="Times New Roman" w:hAnsi="Aptos Narrow" w:cs="Times New Roman"/>
                <w:color w:val="000000"/>
                <w:sz w:val="20"/>
                <w:szCs w:val="20"/>
                <w:lang w:eastAsia="en-AU"/>
              </w:rPr>
              <w:t>3.2</w:t>
            </w:r>
          </w:p>
        </w:tc>
        <w:tc>
          <w:tcPr>
            <w:tcW w:w="1259" w:type="dxa"/>
            <w:tcBorders>
              <w:top w:val="nil"/>
              <w:left w:val="nil"/>
              <w:bottom w:val="nil"/>
              <w:right w:val="nil"/>
            </w:tcBorders>
            <w:shd w:val="clear" w:color="000000" w:fill="FFFFFF"/>
            <w:noWrap/>
            <w:vAlign w:val="bottom"/>
            <w:hideMark/>
          </w:tcPr>
          <w:p w14:paraId="07F3F03F"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Aptos Narrow" w:eastAsia="Times New Roman" w:hAnsi="Aptos Narrow" w:cs="Times New Roman"/>
                <w:color w:val="000000"/>
                <w:sz w:val="20"/>
                <w:szCs w:val="20"/>
                <w:lang w:eastAsia="en-AU"/>
              </w:rPr>
              <w:t>3.5</w:t>
            </w:r>
          </w:p>
        </w:tc>
        <w:tc>
          <w:tcPr>
            <w:tcW w:w="1259" w:type="dxa"/>
            <w:tcBorders>
              <w:top w:val="nil"/>
              <w:left w:val="nil"/>
              <w:bottom w:val="nil"/>
              <w:right w:val="nil"/>
            </w:tcBorders>
            <w:vAlign w:val="bottom"/>
          </w:tcPr>
          <w:p w14:paraId="34545650"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Aptos Narrow" w:eastAsia="Times New Roman" w:hAnsi="Aptos Narrow" w:cs="Times New Roman"/>
                <w:color w:val="000000"/>
                <w:sz w:val="20"/>
                <w:szCs w:val="20"/>
                <w:lang w:eastAsia="en-AU"/>
              </w:rPr>
              <w:t>3.5</w:t>
            </w:r>
          </w:p>
        </w:tc>
        <w:tc>
          <w:tcPr>
            <w:tcW w:w="1258" w:type="dxa"/>
            <w:tcBorders>
              <w:top w:val="nil"/>
              <w:left w:val="nil"/>
              <w:bottom w:val="nil"/>
              <w:right w:val="nil"/>
            </w:tcBorders>
            <w:noWrap/>
            <w:vAlign w:val="bottom"/>
            <w:hideMark/>
          </w:tcPr>
          <w:p w14:paraId="22800219"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Aptos Narrow" w:eastAsia="Times New Roman" w:hAnsi="Aptos Narrow" w:cs="Times New Roman"/>
                <w:color w:val="000000"/>
                <w:sz w:val="20"/>
                <w:szCs w:val="20"/>
                <w:lang w:eastAsia="en-AU"/>
              </w:rPr>
              <w:t>3.0</w:t>
            </w:r>
          </w:p>
        </w:tc>
        <w:tc>
          <w:tcPr>
            <w:tcW w:w="1259" w:type="dxa"/>
            <w:tcBorders>
              <w:top w:val="nil"/>
              <w:left w:val="nil"/>
              <w:bottom w:val="nil"/>
              <w:right w:val="nil"/>
            </w:tcBorders>
            <w:noWrap/>
            <w:vAlign w:val="bottom"/>
            <w:hideMark/>
          </w:tcPr>
          <w:p w14:paraId="23DD340D"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Aptos Narrow" w:eastAsia="Times New Roman" w:hAnsi="Aptos Narrow" w:cs="Times New Roman"/>
                <w:color w:val="000000"/>
                <w:sz w:val="20"/>
                <w:szCs w:val="20"/>
                <w:lang w:eastAsia="en-AU"/>
              </w:rPr>
              <w:t>3.7</w:t>
            </w:r>
          </w:p>
        </w:tc>
        <w:tc>
          <w:tcPr>
            <w:tcW w:w="1259" w:type="dxa"/>
            <w:tcBorders>
              <w:top w:val="nil"/>
              <w:left w:val="nil"/>
              <w:bottom w:val="nil"/>
              <w:right w:val="nil"/>
            </w:tcBorders>
            <w:vAlign w:val="center"/>
          </w:tcPr>
          <w:p w14:paraId="7822AEAF"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Calibri" w:eastAsia="Times New Roman" w:hAnsi="Calibri" w:cs="Calibri"/>
                <w:color w:val="000000"/>
                <w:sz w:val="20"/>
                <w:szCs w:val="20"/>
                <w:lang w:eastAsia="en-AU"/>
              </w:rPr>
              <w:t>3.6</w:t>
            </w:r>
          </w:p>
        </w:tc>
      </w:tr>
      <w:tr w:rsidR="00924664" w:rsidRPr="007B6AF7" w14:paraId="4CACC007" w14:textId="77777777">
        <w:trPr>
          <w:trHeight w:val="299"/>
        </w:trPr>
        <w:tc>
          <w:tcPr>
            <w:tcW w:w="1351" w:type="dxa"/>
            <w:tcBorders>
              <w:top w:val="nil"/>
              <w:left w:val="nil"/>
              <w:bottom w:val="nil"/>
              <w:right w:val="nil"/>
            </w:tcBorders>
            <w:shd w:val="clear" w:color="000000" w:fill="FFFFFF"/>
            <w:noWrap/>
            <w:vAlign w:val="bottom"/>
            <w:hideMark/>
          </w:tcPr>
          <w:p w14:paraId="0BFB26C0" w14:textId="77777777" w:rsidR="00924664" w:rsidRPr="00D8070A" w:rsidRDefault="00924664">
            <w:pPr>
              <w:spacing w:after="0" w:line="240" w:lineRule="auto"/>
              <w:rPr>
                <w:rFonts w:ascii="Aptos Narrow" w:eastAsia="Times New Roman" w:hAnsi="Aptos Narrow" w:cs="Times New Roman"/>
                <w:b/>
                <w:color w:val="000000"/>
                <w:sz w:val="20"/>
                <w:szCs w:val="20"/>
                <w:lang w:eastAsia="en-AU"/>
              </w:rPr>
            </w:pPr>
            <w:r w:rsidRPr="00D8070A">
              <w:rPr>
                <w:rFonts w:ascii="Aptos Narrow" w:eastAsia="Times New Roman" w:hAnsi="Aptos Narrow" w:cs="Times New Roman"/>
                <w:b/>
                <w:color w:val="000000"/>
                <w:sz w:val="20"/>
                <w:szCs w:val="20"/>
                <w:lang w:eastAsia="en-AU"/>
              </w:rPr>
              <w:t>2000</w:t>
            </w:r>
          </w:p>
        </w:tc>
        <w:tc>
          <w:tcPr>
            <w:tcW w:w="1258" w:type="dxa"/>
            <w:tcBorders>
              <w:top w:val="nil"/>
              <w:left w:val="nil"/>
              <w:bottom w:val="nil"/>
              <w:right w:val="nil"/>
            </w:tcBorders>
            <w:shd w:val="clear" w:color="000000" w:fill="FFFFFF"/>
            <w:noWrap/>
            <w:vAlign w:val="bottom"/>
            <w:hideMark/>
          </w:tcPr>
          <w:p w14:paraId="3D0A3937"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Aptos Narrow" w:eastAsia="Times New Roman" w:hAnsi="Aptos Narrow" w:cs="Times New Roman"/>
                <w:color w:val="000000"/>
                <w:sz w:val="20"/>
                <w:szCs w:val="20"/>
                <w:lang w:eastAsia="en-AU"/>
              </w:rPr>
              <w:t>3.5</w:t>
            </w:r>
          </w:p>
        </w:tc>
        <w:tc>
          <w:tcPr>
            <w:tcW w:w="1259" w:type="dxa"/>
            <w:tcBorders>
              <w:top w:val="nil"/>
              <w:left w:val="nil"/>
              <w:bottom w:val="nil"/>
              <w:right w:val="nil"/>
            </w:tcBorders>
            <w:shd w:val="clear" w:color="000000" w:fill="FFFFFF"/>
            <w:noWrap/>
            <w:vAlign w:val="bottom"/>
            <w:hideMark/>
          </w:tcPr>
          <w:p w14:paraId="4C41C5ED"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Aptos Narrow" w:eastAsia="Times New Roman" w:hAnsi="Aptos Narrow" w:cs="Times New Roman"/>
                <w:color w:val="000000"/>
                <w:sz w:val="20"/>
                <w:szCs w:val="20"/>
                <w:lang w:eastAsia="en-AU"/>
              </w:rPr>
              <w:t>3.9</w:t>
            </w:r>
          </w:p>
        </w:tc>
        <w:tc>
          <w:tcPr>
            <w:tcW w:w="1259" w:type="dxa"/>
            <w:tcBorders>
              <w:top w:val="nil"/>
              <w:left w:val="nil"/>
              <w:bottom w:val="nil"/>
              <w:right w:val="nil"/>
            </w:tcBorders>
            <w:vAlign w:val="bottom"/>
          </w:tcPr>
          <w:p w14:paraId="1252F1DD"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Aptos Narrow" w:eastAsia="Times New Roman" w:hAnsi="Aptos Narrow" w:cs="Times New Roman"/>
                <w:color w:val="000000"/>
                <w:sz w:val="20"/>
                <w:szCs w:val="20"/>
                <w:lang w:eastAsia="en-AU"/>
              </w:rPr>
              <w:t>3.9</w:t>
            </w:r>
          </w:p>
        </w:tc>
        <w:tc>
          <w:tcPr>
            <w:tcW w:w="1258" w:type="dxa"/>
            <w:tcBorders>
              <w:top w:val="nil"/>
              <w:left w:val="nil"/>
              <w:bottom w:val="nil"/>
              <w:right w:val="nil"/>
            </w:tcBorders>
            <w:noWrap/>
            <w:vAlign w:val="bottom"/>
            <w:hideMark/>
          </w:tcPr>
          <w:p w14:paraId="131559D2"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Aptos Narrow" w:eastAsia="Times New Roman" w:hAnsi="Aptos Narrow" w:cs="Times New Roman"/>
                <w:color w:val="000000"/>
                <w:sz w:val="20"/>
                <w:szCs w:val="20"/>
                <w:lang w:eastAsia="en-AU"/>
              </w:rPr>
              <w:t>3.3</w:t>
            </w:r>
          </w:p>
        </w:tc>
        <w:tc>
          <w:tcPr>
            <w:tcW w:w="1259" w:type="dxa"/>
            <w:tcBorders>
              <w:top w:val="nil"/>
              <w:left w:val="nil"/>
              <w:bottom w:val="nil"/>
              <w:right w:val="nil"/>
            </w:tcBorders>
            <w:noWrap/>
            <w:vAlign w:val="bottom"/>
            <w:hideMark/>
          </w:tcPr>
          <w:p w14:paraId="3523790C"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Aptos Narrow" w:eastAsia="Times New Roman" w:hAnsi="Aptos Narrow" w:cs="Times New Roman"/>
                <w:color w:val="000000"/>
                <w:sz w:val="20"/>
                <w:szCs w:val="20"/>
                <w:lang w:eastAsia="en-AU"/>
              </w:rPr>
              <w:t>3.7</w:t>
            </w:r>
          </w:p>
        </w:tc>
        <w:tc>
          <w:tcPr>
            <w:tcW w:w="1259" w:type="dxa"/>
            <w:tcBorders>
              <w:top w:val="nil"/>
              <w:left w:val="nil"/>
              <w:bottom w:val="nil"/>
              <w:right w:val="nil"/>
            </w:tcBorders>
            <w:vAlign w:val="center"/>
          </w:tcPr>
          <w:p w14:paraId="2CE79E32"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Calibri" w:eastAsia="Times New Roman" w:hAnsi="Calibri" w:cs="Calibri"/>
                <w:color w:val="000000"/>
                <w:sz w:val="20"/>
                <w:szCs w:val="20"/>
                <w:lang w:eastAsia="en-AU"/>
              </w:rPr>
              <w:t>3.7</w:t>
            </w:r>
          </w:p>
        </w:tc>
      </w:tr>
      <w:tr w:rsidR="00924664" w:rsidRPr="007B6AF7" w14:paraId="2CC52EF7" w14:textId="77777777">
        <w:trPr>
          <w:trHeight w:val="299"/>
        </w:trPr>
        <w:tc>
          <w:tcPr>
            <w:tcW w:w="1351" w:type="dxa"/>
            <w:tcBorders>
              <w:top w:val="nil"/>
              <w:left w:val="nil"/>
              <w:bottom w:val="nil"/>
              <w:right w:val="nil"/>
            </w:tcBorders>
            <w:shd w:val="clear" w:color="000000" w:fill="FFFFFF"/>
            <w:noWrap/>
            <w:vAlign w:val="bottom"/>
            <w:hideMark/>
          </w:tcPr>
          <w:p w14:paraId="1A4F9A8C" w14:textId="77777777" w:rsidR="00924664" w:rsidRPr="00D8070A" w:rsidRDefault="00924664">
            <w:pPr>
              <w:spacing w:after="0" w:line="240" w:lineRule="auto"/>
              <w:rPr>
                <w:rFonts w:ascii="Aptos Narrow" w:eastAsia="Times New Roman" w:hAnsi="Aptos Narrow" w:cs="Times New Roman"/>
                <w:b/>
                <w:color w:val="000000"/>
                <w:sz w:val="20"/>
                <w:szCs w:val="20"/>
                <w:lang w:eastAsia="en-AU"/>
              </w:rPr>
            </w:pPr>
            <w:r w:rsidRPr="00D8070A">
              <w:rPr>
                <w:rFonts w:ascii="Aptos Narrow" w:eastAsia="Times New Roman" w:hAnsi="Aptos Narrow" w:cs="Times New Roman"/>
                <w:b/>
                <w:color w:val="000000"/>
                <w:sz w:val="20"/>
                <w:szCs w:val="20"/>
                <w:lang w:eastAsia="en-AU"/>
              </w:rPr>
              <w:t>2001</w:t>
            </w:r>
          </w:p>
        </w:tc>
        <w:tc>
          <w:tcPr>
            <w:tcW w:w="1258" w:type="dxa"/>
            <w:tcBorders>
              <w:top w:val="nil"/>
              <w:left w:val="nil"/>
              <w:bottom w:val="nil"/>
              <w:right w:val="nil"/>
            </w:tcBorders>
            <w:shd w:val="clear" w:color="000000" w:fill="FFFFFF"/>
            <w:noWrap/>
            <w:vAlign w:val="bottom"/>
            <w:hideMark/>
          </w:tcPr>
          <w:p w14:paraId="7AE8A3B4"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Aptos Narrow" w:eastAsia="Times New Roman" w:hAnsi="Aptos Narrow" w:cs="Times New Roman"/>
                <w:color w:val="000000"/>
                <w:sz w:val="20"/>
                <w:szCs w:val="20"/>
                <w:lang w:eastAsia="en-AU"/>
              </w:rPr>
              <w:t>3.8</w:t>
            </w:r>
          </w:p>
        </w:tc>
        <w:tc>
          <w:tcPr>
            <w:tcW w:w="1259" w:type="dxa"/>
            <w:tcBorders>
              <w:top w:val="nil"/>
              <w:left w:val="nil"/>
              <w:bottom w:val="nil"/>
              <w:right w:val="nil"/>
            </w:tcBorders>
            <w:shd w:val="clear" w:color="000000" w:fill="FFFFFF"/>
            <w:noWrap/>
            <w:vAlign w:val="bottom"/>
            <w:hideMark/>
          </w:tcPr>
          <w:p w14:paraId="49DD2F18"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Aptos Narrow" w:eastAsia="Times New Roman" w:hAnsi="Aptos Narrow" w:cs="Times New Roman"/>
                <w:color w:val="000000"/>
                <w:sz w:val="20"/>
                <w:szCs w:val="20"/>
                <w:lang w:eastAsia="en-AU"/>
              </w:rPr>
              <w:t>3.9</w:t>
            </w:r>
          </w:p>
        </w:tc>
        <w:tc>
          <w:tcPr>
            <w:tcW w:w="1259" w:type="dxa"/>
            <w:tcBorders>
              <w:top w:val="nil"/>
              <w:left w:val="nil"/>
              <w:bottom w:val="nil"/>
              <w:right w:val="nil"/>
            </w:tcBorders>
            <w:vAlign w:val="bottom"/>
          </w:tcPr>
          <w:p w14:paraId="45648B8D"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Aptos Narrow" w:eastAsia="Times New Roman" w:hAnsi="Aptos Narrow" w:cs="Times New Roman"/>
                <w:color w:val="000000"/>
                <w:sz w:val="20"/>
                <w:szCs w:val="20"/>
                <w:lang w:eastAsia="en-AU"/>
              </w:rPr>
              <w:t>3.9</w:t>
            </w:r>
          </w:p>
        </w:tc>
        <w:tc>
          <w:tcPr>
            <w:tcW w:w="1258" w:type="dxa"/>
            <w:tcBorders>
              <w:top w:val="nil"/>
              <w:left w:val="nil"/>
              <w:bottom w:val="nil"/>
              <w:right w:val="nil"/>
            </w:tcBorders>
            <w:noWrap/>
            <w:vAlign w:val="bottom"/>
            <w:hideMark/>
          </w:tcPr>
          <w:p w14:paraId="3D4A8647"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Aptos Narrow" w:eastAsia="Times New Roman" w:hAnsi="Aptos Narrow" w:cs="Times New Roman"/>
                <w:color w:val="000000"/>
                <w:sz w:val="20"/>
                <w:szCs w:val="20"/>
                <w:lang w:eastAsia="en-AU"/>
              </w:rPr>
              <w:t>3.6</w:t>
            </w:r>
          </w:p>
        </w:tc>
        <w:tc>
          <w:tcPr>
            <w:tcW w:w="1259" w:type="dxa"/>
            <w:tcBorders>
              <w:top w:val="nil"/>
              <w:left w:val="nil"/>
              <w:bottom w:val="nil"/>
              <w:right w:val="nil"/>
            </w:tcBorders>
            <w:noWrap/>
            <w:vAlign w:val="bottom"/>
            <w:hideMark/>
          </w:tcPr>
          <w:p w14:paraId="6F0E1467"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Aptos Narrow" w:eastAsia="Times New Roman" w:hAnsi="Aptos Narrow" w:cs="Times New Roman"/>
                <w:color w:val="000000"/>
                <w:sz w:val="20"/>
                <w:szCs w:val="20"/>
                <w:lang w:eastAsia="en-AU"/>
              </w:rPr>
              <w:t>3.7</w:t>
            </w:r>
          </w:p>
        </w:tc>
        <w:tc>
          <w:tcPr>
            <w:tcW w:w="1259" w:type="dxa"/>
            <w:tcBorders>
              <w:top w:val="nil"/>
              <w:left w:val="nil"/>
              <w:bottom w:val="nil"/>
              <w:right w:val="nil"/>
            </w:tcBorders>
            <w:vAlign w:val="center"/>
          </w:tcPr>
          <w:p w14:paraId="0A319F9E"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Calibri" w:eastAsia="Times New Roman" w:hAnsi="Calibri" w:cs="Calibri"/>
                <w:color w:val="000000"/>
                <w:sz w:val="20"/>
                <w:szCs w:val="20"/>
                <w:lang w:eastAsia="en-AU"/>
              </w:rPr>
              <w:t>3.7</w:t>
            </w:r>
          </w:p>
        </w:tc>
      </w:tr>
      <w:tr w:rsidR="00924664" w:rsidRPr="007B6AF7" w14:paraId="1AE02E61" w14:textId="77777777">
        <w:trPr>
          <w:trHeight w:val="299"/>
        </w:trPr>
        <w:tc>
          <w:tcPr>
            <w:tcW w:w="1351" w:type="dxa"/>
            <w:tcBorders>
              <w:top w:val="nil"/>
              <w:left w:val="nil"/>
              <w:bottom w:val="nil"/>
              <w:right w:val="nil"/>
            </w:tcBorders>
            <w:shd w:val="clear" w:color="000000" w:fill="FFFFFF"/>
            <w:noWrap/>
            <w:vAlign w:val="bottom"/>
            <w:hideMark/>
          </w:tcPr>
          <w:p w14:paraId="23A786E9" w14:textId="77777777" w:rsidR="00924664" w:rsidRPr="00D8070A" w:rsidRDefault="00924664">
            <w:pPr>
              <w:spacing w:after="0" w:line="240" w:lineRule="auto"/>
              <w:rPr>
                <w:rFonts w:ascii="Aptos Narrow" w:eastAsia="Times New Roman" w:hAnsi="Aptos Narrow" w:cs="Times New Roman"/>
                <w:b/>
                <w:color w:val="000000"/>
                <w:sz w:val="20"/>
                <w:szCs w:val="20"/>
                <w:lang w:eastAsia="en-AU"/>
              </w:rPr>
            </w:pPr>
            <w:r w:rsidRPr="00D8070A">
              <w:rPr>
                <w:rFonts w:ascii="Aptos Narrow" w:eastAsia="Times New Roman" w:hAnsi="Aptos Narrow" w:cs="Times New Roman"/>
                <w:b/>
                <w:color w:val="000000"/>
                <w:sz w:val="20"/>
                <w:szCs w:val="20"/>
                <w:lang w:eastAsia="en-AU"/>
              </w:rPr>
              <w:t>2002</w:t>
            </w:r>
          </w:p>
        </w:tc>
        <w:tc>
          <w:tcPr>
            <w:tcW w:w="1258" w:type="dxa"/>
            <w:tcBorders>
              <w:top w:val="nil"/>
              <w:left w:val="nil"/>
              <w:bottom w:val="nil"/>
              <w:right w:val="nil"/>
            </w:tcBorders>
            <w:shd w:val="clear" w:color="000000" w:fill="FFFFFF"/>
            <w:noWrap/>
            <w:vAlign w:val="bottom"/>
            <w:hideMark/>
          </w:tcPr>
          <w:p w14:paraId="6CEF4F91"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Aptos Narrow" w:eastAsia="Times New Roman" w:hAnsi="Aptos Narrow" w:cs="Times New Roman"/>
                <w:color w:val="000000"/>
                <w:sz w:val="20"/>
                <w:szCs w:val="20"/>
                <w:lang w:eastAsia="en-AU"/>
              </w:rPr>
              <w:t>3.5</w:t>
            </w:r>
          </w:p>
        </w:tc>
        <w:tc>
          <w:tcPr>
            <w:tcW w:w="1259" w:type="dxa"/>
            <w:tcBorders>
              <w:top w:val="nil"/>
              <w:left w:val="nil"/>
              <w:bottom w:val="nil"/>
              <w:right w:val="nil"/>
            </w:tcBorders>
            <w:shd w:val="clear" w:color="000000" w:fill="FFFFFF"/>
            <w:noWrap/>
            <w:vAlign w:val="bottom"/>
            <w:hideMark/>
          </w:tcPr>
          <w:p w14:paraId="33CC4CFC"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Aptos Narrow" w:eastAsia="Times New Roman" w:hAnsi="Aptos Narrow" w:cs="Times New Roman"/>
                <w:color w:val="000000"/>
                <w:sz w:val="20"/>
                <w:szCs w:val="20"/>
                <w:lang w:eastAsia="en-AU"/>
              </w:rPr>
              <w:t>3.8</w:t>
            </w:r>
          </w:p>
        </w:tc>
        <w:tc>
          <w:tcPr>
            <w:tcW w:w="1259" w:type="dxa"/>
            <w:tcBorders>
              <w:top w:val="nil"/>
              <w:left w:val="nil"/>
              <w:bottom w:val="nil"/>
              <w:right w:val="nil"/>
            </w:tcBorders>
            <w:vAlign w:val="bottom"/>
          </w:tcPr>
          <w:p w14:paraId="3FB23B2F"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Aptos Narrow" w:eastAsia="Times New Roman" w:hAnsi="Aptos Narrow" w:cs="Times New Roman"/>
                <w:color w:val="000000"/>
                <w:sz w:val="20"/>
                <w:szCs w:val="20"/>
                <w:lang w:eastAsia="en-AU"/>
              </w:rPr>
              <w:t>3.8</w:t>
            </w:r>
          </w:p>
        </w:tc>
        <w:tc>
          <w:tcPr>
            <w:tcW w:w="1258" w:type="dxa"/>
            <w:tcBorders>
              <w:top w:val="nil"/>
              <w:left w:val="nil"/>
              <w:bottom w:val="nil"/>
              <w:right w:val="nil"/>
            </w:tcBorders>
            <w:noWrap/>
            <w:vAlign w:val="bottom"/>
            <w:hideMark/>
          </w:tcPr>
          <w:p w14:paraId="33955989"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Aptos Narrow" w:eastAsia="Times New Roman" w:hAnsi="Aptos Narrow" w:cs="Times New Roman"/>
                <w:color w:val="000000"/>
                <w:sz w:val="20"/>
                <w:szCs w:val="20"/>
                <w:lang w:eastAsia="en-AU"/>
              </w:rPr>
              <w:t>3.6</w:t>
            </w:r>
          </w:p>
        </w:tc>
        <w:tc>
          <w:tcPr>
            <w:tcW w:w="1259" w:type="dxa"/>
            <w:tcBorders>
              <w:top w:val="nil"/>
              <w:left w:val="nil"/>
              <w:bottom w:val="nil"/>
              <w:right w:val="nil"/>
            </w:tcBorders>
            <w:noWrap/>
            <w:vAlign w:val="bottom"/>
            <w:hideMark/>
          </w:tcPr>
          <w:p w14:paraId="03989FFC"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Aptos Narrow" w:eastAsia="Times New Roman" w:hAnsi="Aptos Narrow" w:cs="Times New Roman"/>
                <w:color w:val="000000"/>
                <w:sz w:val="20"/>
                <w:szCs w:val="20"/>
                <w:lang w:eastAsia="en-AU"/>
              </w:rPr>
              <w:t>3.8</w:t>
            </w:r>
          </w:p>
        </w:tc>
        <w:tc>
          <w:tcPr>
            <w:tcW w:w="1259" w:type="dxa"/>
            <w:tcBorders>
              <w:top w:val="nil"/>
              <w:left w:val="nil"/>
              <w:bottom w:val="nil"/>
              <w:right w:val="nil"/>
            </w:tcBorders>
            <w:vAlign w:val="center"/>
          </w:tcPr>
          <w:p w14:paraId="113E3767"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Calibri" w:eastAsia="Times New Roman" w:hAnsi="Calibri" w:cs="Calibri"/>
                <w:color w:val="000000"/>
                <w:sz w:val="20"/>
                <w:szCs w:val="20"/>
                <w:lang w:eastAsia="en-AU"/>
              </w:rPr>
              <w:t>3.8</w:t>
            </w:r>
          </w:p>
        </w:tc>
      </w:tr>
      <w:tr w:rsidR="00924664" w:rsidRPr="007B6AF7" w14:paraId="7DA95BF7" w14:textId="77777777">
        <w:trPr>
          <w:trHeight w:val="299"/>
        </w:trPr>
        <w:tc>
          <w:tcPr>
            <w:tcW w:w="1351" w:type="dxa"/>
            <w:tcBorders>
              <w:top w:val="nil"/>
              <w:left w:val="nil"/>
              <w:bottom w:val="nil"/>
              <w:right w:val="nil"/>
            </w:tcBorders>
            <w:shd w:val="clear" w:color="000000" w:fill="FFFFFF"/>
            <w:noWrap/>
            <w:vAlign w:val="bottom"/>
            <w:hideMark/>
          </w:tcPr>
          <w:p w14:paraId="25600F6A" w14:textId="77777777" w:rsidR="00924664" w:rsidRPr="00D8070A" w:rsidRDefault="00924664">
            <w:pPr>
              <w:spacing w:after="0" w:line="240" w:lineRule="auto"/>
              <w:rPr>
                <w:rFonts w:ascii="Aptos Narrow" w:eastAsia="Times New Roman" w:hAnsi="Aptos Narrow" w:cs="Times New Roman"/>
                <w:b/>
                <w:color w:val="000000"/>
                <w:sz w:val="20"/>
                <w:szCs w:val="20"/>
                <w:lang w:eastAsia="en-AU"/>
              </w:rPr>
            </w:pPr>
            <w:r w:rsidRPr="00D8070A">
              <w:rPr>
                <w:rFonts w:ascii="Aptos Narrow" w:eastAsia="Times New Roman" w:hAnsi="Aptos Narrow" w:cs="Times New Roman"/>
                <w:b/>
                <w:color w:val="000000"/>
                <w:sz w:val="20"/>
                <w:szCs w:val="20"/>
                <w:lang w:eastAsia="en-AU"/>
              </w:rPr>
              <w:t>2003</w:t>
            </w:r>
          </w:p>
        </w:tc>
        <w:tc>
          <w:tcPr>
            <w:tcW w:w="1258" w:type="dxa"/>
            <w:tcBorders>
              <w:top w:val="nil"/>
              <w:left w:val="nil"/>
              <w:bottom w:val="nil"/>
              <w:right w:val="nil"/>
            </w:tcBorders>
            <w:shd w:val="clear" w:color="000000" w:fill="FFFFFF"/>
            <w:noWrap/>
            <w:vAlign w:val="bottom"/>
            <w:hideMark/>
          </w:tcPr>
          <w:p w14:paraId="713C169E"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Aptos Narrow" w:eastAsia="Times New Roman" w:hAnsi="Aptos Narrow" w:cs="Times New Roman"/>
                <w:color w:val="000000"/>
                <w:sz w:val="20"/>
                <w:szCs w:val="20"/>
                <w:lang w:eastAsia="en-AU"/>
              </w:rPr>
              <w:t>3.4</w:t>
            </w:r>
          </w:p>
        </w:tc>
        <w:tc>
          <w:tcPr>
            <w:tcW w:w="1259" w:type="dxa"/>
            <w:tcBorders>
              <w:top w:val="nil"/>
              <w:left w:val="nil"/>
              <w:bottom w:val="nil"/>
              <w:right w:val="nil"/>
            </w:tcBorders>
            <w:shd w:val="clear" w:color="000000" w:fill="FFFFFF"/>
            <w:noWrap/>
            <w:vAlign w:val="bottom"/>
            <w:hideMark/>
          </w:tcPr>
          <w:p w14:paraId="293CA5AF"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Aptos Narrow" w:eastAsia="Times New Roman" w:hAnsi="Aptos Narrow" w:cs="Times New Roman"/>
                <w:color w:val="000000"/>
                <w:sz w:val="20"/>
                <w:szCs w:val="20"/>
                <w:lang w:eastAsia="en-AU"/>
              </w:rPr>
              <w:t>4.1</w:t>
            </w:r>
          </w:p>
        </w:tc>
        <w:tc>
          <w:tcPr>
            <w:tcW w:w="1259" w:type="dxa"/>
            <w:tcBorders>
              <w:top w:val="nil"/>
              <w:left w:val="nil"/>
              <w:bottom w:val="nil"/>
              <w:right w:val="nil"/>
            </w:tcBorders>
            <w:vAlign w:val="bottom"/>
          </w:tcPr>
          <w:p w14:paraId="16ACEED6"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Aptos Narrow" w:eastAsia="Times New Roman" w:hAnsi="Aptos Narrow" w:cs="Times New Roman"/>
                <w:color w:val="000000"/>
                <w:sz w:val="20"/>
                <w:szCs w:val="20"/>
                <w:lang w:eastAsia="en-AU"/>
              </w:rPr>
              <w:t>4.1</w:t>
            </w:r>
          </w:p>
        </w:tc>
        <w:tc>
          <w:tcPr>
            <w:tcW w:w="1258" w:type="dxa"/>
            <w:tcBorders>
              <w:top w:val="nil"/>
              <w:left w:val="nil"/>
              <w:bottom w:val="nil"/>
              <w:right w:val="nil"/>
            </w:tcBorders>
            <w:noWrap/>
            <w:vAlign w:val="bottom"/>
            <w:hideMark/>
          </w:tcPr>
          <w:p w14:paraId="03534D6E"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Aptos Narrow" w:eastAsia="Times New Roman" w:hAnsi="Aptos Narrow" w:cs="Times New Roman"/>
                <w:color w:val="000000"/>
                <w:sz w:val="20"/>
                <w:szCs w:val="20"/>
                <w:lang w:eastAsia="en-AU"/>
              </w:rPr>
              <w:t>3.5</w:t>
            </w:r>
          </w:p>
        </w:tc>
        <w:tc>
          <w:tcPr>
            <w:tcW w:w="1259" w:type="dxa"/>
            <w:tcBorders>
              <w:top w:val="nil"/>
              <w:left w:val="nil"/>
              <w:bottom w:val="nil"/>
              <w:right w:val="nil"/>
            </w:tcBorders>
            <w:noWrap/>
            <w:vAlign w:val="bottom"/>
            <w:hideMark/>
          </w:tcPr>
          <w:p w14:paraId="2DCE2597"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Aptos Narrow" w:eastAsia="Times New Roman" w:hAnsi="Aptos Narrow" w:cs="Times New Roman"/>
                <w:color w:val="000000"/>
                <w:sz w:val="20"/>
                <w:szCs w:val="20"/>
                <w:lang w:eastAsia="en-AU"/>
              </w:rPr>
              <w:t>3.9</w:t>
            </w:r>
          </w:p>
        </w:tc>
        <w:tc>
          <w:tcPr>
            <w:tcW w:w="1259" w:type="dxa"/>
            <w:tcBorders>
              <w:top w:val="nil"/>
              <w:left w:val="nil"/>
              <w:bottom w:val="nil"/>
              <w:right w:val="nil"/>
            </w:tcBorders>
            <w:vAlign w:val="center"/>
          </w:tcPr>
          <w:p w14:paraId="5884E746" w14:textId="77777777" w:rsidR="00924664" w:rsidRPr="00D8070A" w:rsidRDefault="00924664" w:rsidP="00D8070A">
            <w:pPr>
              <w:spacing w:after="0" w:line="240" w:lineRule="auto"/>
              <w:jc w:val="right"/>
              <w:rPr>
                <w:rFonts w:ascii="Aptos Narrow" w:eastAsia="Times New Roman" w:hAnsi="Aptos Narrow" w:cs="Times New Roman"/>
                <w:color w:val="000000"/>
                <w:sz w:val="20"/>
                <w:szCs w:val="20"/>
                <w:lang w:eastAsia="en-AU"/>
              </w:rPr>
            </w:pPr>
            <w:r w:rsidRPr="00D8070A">
              <w:rPr>
                <w:rFonts w:ascii="Calibri" w:eastAsia="Times New Roman" w:hAnsi="Calibri" w:cs="Calibri"/>
                <w:color w:val="000000"/>
                <w:sz w:val="20"/>
                <w:szCs w:val="20"/>
                <w:lang w:eastAsia="en-AU"/>
              </w:rPr>
              <w:t>3.9</w:t>
            </w:r>
          </w:p>
        </w:tc>
      </w:tr>
      <w:tr w:rsidR="00924664" w:rsidRPr="007B6AF7" w14:paraId="428D3DA7" w14:textId="77777777">
        <w:trPr>
          <w:trHeight w:val="299"/>
        </w:trPr>
        <w:tc>
          <w:tcPr>
            <w:tcW w:w="1351" w:type="dxa"/>
            <w:tcBorders>
              <w:top w:val="nil"/>
              <w:left w:val="nil"/>
              <w:bottom w:val="nil"/>
              <w:right w:val="nil"/>
            </w:tcBorders>
            <w:shd w:val="clear" w:color="000000" w:fill="FFFFFF"/>
            <w:noWrap/>
            <w:vAlign w:val="bottom"/>
            <w:hideMark/>
          </w:tcPr>
          <w:p w14:paraId="653A1661" w14:textId="77777777" w:rsidR="00924664" w:rsidRPr="00C775D5" w:rsidRDefault="00924664">
            <w:pPr>
              <w:spacing w:after="0" w:line="240" w:lineRule="auto"/>
              <w:rPr>
                <w:rFonts w:ascii="Aptos Narrow" w:eastAsia="Times New Roman" w:hAnsi="Aptos Narrow" w:cs="Times New Roman"/>
                <w:b/>
                <w:color w:val="000000"/>
                <w:sz w:val="20"/>
                <w:szCs w:val="20"/>
                <w:lang w:eastAsia="en-AU"/>
              </w:rPr>
            </w:pPr>
            <w:r w:rsidRPr="00C775D5">
              <w:rPr>
                <w:rFonts w:ascii="Aptos Narrow" w:eastAsia="Times New Roman" w:hAnsi="Aptos Narrow" w:cs="Times New Roman"/>
                <w:b/>
                <w:color w:val="000000"/>
                <w:sz w:val="20"/>
                <w:szCs w:val="20"/>
                <w:lang w:eastAsia="en-AU"/>
              </w:rPr>
              <w:t>2004</w:t>
            </w:r>
          </w:p>
        </w:tc>
        <w:tc>
          <w:tcPr>
            <w:tcW w:w="1258" w:type="dxa"/>
            <w:tcBorders>
              <w:top w:val="nil"/>
              <w:left w:val="nil"/>
              <w:bottom w:val="nil"/>
              <w:right w:val="nil"/>
            </w:tcBorders>
            <w:shd w:val="clear" w:color="000000" w:fill="FFFFFF"/>
            <w:noWrap/>
            <w:vAlign w:val="bottom"/>
            <w:hideMark/>
          </w:tcPr>
          <w:p w14:paraId="007966A0" w14:textId="77777777" w:rsidR="00924664" w:rsidRPr="00C775D5" w:rsidRDefault="00924664" w:rsidP="00C775D5">
            <w:pPr>
              <w:spacing w:after="0" w:line="240" w:lineRule="auto"/>
              <w:jc w:val="right"/>
              <w:rPr>
                <w:rFonts w:ascii="Aptos Narrow" w:eastAsia="Times New Roman" w:hAnsi="Aptos Narrow" w:cs="Times New Roman"/>
                <w:color w:val="000000"/>
                <w:sz w:val="20"/>
                <w:szCs w:val="20"/>
                <w:lang w:eastAsia="en-AU"/>
              </w:rPr>
            </w:pPr>
            <w:r w:rsidRPr="00C775D5">
              <w:rPr>
                <w:rFonts w:ascii="Aptos Narrow" w:eastAsia="Times New Roman" w:hAnsi="Aptos Narrow" w:cs="Times New Roman"/>
                <w:color w:val="000000"/>
                <w:sz w:val="20"/>
                <w:szCs w:val="20"/>
                <w:lang w:eastAsia="en-AU"/>
              </w:rPr>
              <w:t>3.5</w:t>
            </w:r>
          </w:p>
        </w:tc>
        <w:tc>
          <w:tcPr>
            <w:tcW w:w="1259" w:type="dxa"/>
            <w:tcBorders>
              <w:top w:val="nil"/>
              <w:left w:val="nil"/>
              <w:bottom w:val="nil"/>
              <w:right w:val="nil"/>
            </w:tcBorders>
            <w:shd w:val="clear" w:color="000000" w:fill="FFFFFF"/>
            <w:noWrap/>
            <w:vAlign w:val="bottom"/>
            <w:hideMark/>
          </w:tcPr>
          <w:p w14:paraId="4C62C45E" w14:textId="77777777" w:rsidR="00924664" w:rsidRPr="00C775D5" w:rsidRDefault="00924664" w:rsidP="00C775D5">
            <w:pPr>
              <w:spacing w:after="0" w:line="240" w:lineRule="auto"/>
              <w:jc w:val="right"/>
              <w:rPr>
                <w:rFonts w:ascii="Aptos Narrow" w:eastAsia="Times New Roman" w:hAnsi="Aptos Narrow" w:cs="Times New Roman"/>
                <w:color w:val="000000"/>
                <w:sz w:val="20"/>
                <w:szCs w:val="20"/>
                <w:lang w:eastAsia="en-AU"/>
              </w:rPr>
            </w:pPr>
            <w:r w:rsidRPr="00C775D5">
              <w:rPr>
                <w:rFonts w:ascii="Aptos Narrow" w:eastAsia="Times New Roman" w:hAnsi="Aptos Narrow" w:cs="Times New Roman"/>
                <w:color w:val="000000"/>
                <w:sz w:val="20"/>
                <w:szCs w:val="20"/>
                <w:lang w:eastAsia="en-AU"/>
              </w:rPr>
              <w:t>4.1</w:t>
            </w:r>
          </w:p>
        </w:tc>
        <w:tc>
          <w:tcPr>
            <w:tcW w:w="1259" w:type="dxa"/>
            <w:tcBorders>
              <w:top w:val="nil"/>
              <w:left w:val="nil"/>
              <w:bottom w:val="nil"/>
              <w:right w:val="nil"/>
            </w:tcBorders>
            <w:vAlign w:val="bottom"/>
          </w:tcPr>
          <w:p w14:paraId="0414257E" w14:textId="77777777" w:rsidR="00924664" w:rsidRPr="00C775D5" w:rsidRDefault="00924664" w:rsidP="00C775D5">
            <w:pPr>
              <w:spacing w:after="0" w:line="240" w:lineRule="auto"/>
              <w:jc w:val="right"/>
              <w:rPr>
                <w:rFonts w:ascii="Aptos Narrow" w:eastAsia="Times New Roman" w:hAnsi="Aptos Narrow" w:cs="Times New Roman"/>
                <w:color w:val="000000"/>
                <w:sz w:val="20"/>
                <w:szCs w:val="20"/>
                <w:lang w:eastAsia="en-AU"/>
              </w:rPr>
            </w:pPr>
            <w:r w:rsidRPr="00C775D5">
              <w:rPr>
                <w:rFonts w:ascii="Aptos Narrow" w:eastAsia="Times New Roman" w:hAnsi="Aptos Narrow" w:cs="Times New Roman"/>
                <w:color w:val="000000"/>
                <w:sz w:val="20"/>
                <w:szCs w:val="20"/>
                <w:lang w:eastAsia="en-AU"/>
              </w:rPr>
              <w:t>4.1</w:t>
            </w:r>
          </w:p>
        </w:tc>
        <w:tc>
          <w:tcPr>
            <w:tcW w:w="1258" w:type="dxa"/>
            <w:tcBorders>
              <w:top w:val="nil"/>
              <w:left w:val="nil"/>
              <w:bottom w:val="nil"/>
              <w:right w:val="nil"/>
            </w:tcBorders>
            <w:noWrap/>
            <w:vAlign w:val="bottom"/>
            <w:hideMark/>
          </w:tcPr>
          <w:p w14:paraId="13EEFB76" w14:textId="77777777" w:rsidR="00924664" w:rsidRPr="00C775D5" w:rsidRDefault="00924664" w:rsidP="00C775D5">
            <w:pPr>
              <w:spacing w:after="0" w:line="240" w:lineRule="auto"/>
              <w:jc w:val="right"/>
              <w:rPr>
                <w:rFonts w:ascii="Aptos Narrow" w:eastAsia="Times New Roman" w:hAnsi="Aptos Narrow" w:cs="Times New Roman"/>
                <w:color w:val="000000"/>
                <w:sz w:val="20"/>
                <w:szCs w:val="20"/>
                <w:lang w:eastAsia="en-AU"/>
              </w:rPr>
            </w:pPr>
            <w:r w:rsidRPr="00C775D5">
              <w:rPr>
                <w:rFonts w:ascii="Aptos Narrow" w:eastAsia="Times New Roman" w:hAnsi="Aptos Narrow" w:cs="Times New Roman"/>
                <w:color w:val="000000"/>
                <w:sz w:val="20"/>
                <w:szCs w:val="20"/>
                <w:lang w:eastAsia="en-AU"/>
              </w:rPr>
              <w:t>3.4</w:t>
            </w:r>
          </w:p>
        </w:tc>
        <w:tc>
          <w:tcPr>
            <w:tcW w:w="1259" w:type="dxa"/>
            <w:tcBorders>
              <w:top w:val="nil"/>
              <w:left w:val="nil"/>
              <w:bottom w:val="nil"/>
              <w:right w:val="nil"/>
            </w:tcBorders>
            <w:noWrap/>
            <w:vAlign w:val="bottom"/>
            <w:hideMark/>
          </w:tcPr>
          <w:p w14:paraId="5231A98B" w14:textId="77777777" w:rsidR="00924664" w:rsidRPr="00C775D5" w:rsidRDefault="00924664" w:rsidP="00C775D5">
            <w:pPr>
              <w:spacing w:after="0" w:line="240" w:lineRule="auto"/>
              <w:jc w:val="right"/>
              <w:rPr>
                <w:rFonts w:ascii="Aptos Narrow" w:eastAsia="Times New Roman" w:hAnsi="Aptos Narrow" w:cs="Times New Roman"/>
                <w:color w:val="000000"/>
                <w:sz w:val="20"/>
                <w:szCs w:val="20"/>
                <w:lang w:eastAsia="en-AU"/>
              </w:rPr>
            </w:pPr>
            <w:r w:rsidRPr="00C775D5">
              <w:rPr>
                <w:rFonts w:ascii="Aptos Narrow" w:eastAsia="Times New Roman" w:hAnsi="Aptos Narrow" w:cs="Times New Roman"/>
                <w:color w:val="000000"/>
                <w:sz w:val="20"/>
                <w:szCs w:val="20"/>
                <w:lang w:eastAsia="en-AU"/>
              </w:rPr>
              <w:t>4.0</w:t>
            </w:r>
          </w:p>
        </w:tc>
        <w:tc>
          <w:tcPr>
            <w:tcW w:w="1259" w:type="dxa"/>
            <w:tcBorders>
              <w:top w:val="nil"/>
              <w:left w:val="nil"/>
              <w:bottom w:val="nil"/>
              <w:right w:val="nil"/>
            </w:tcBorders>
            <w:vAlign w:val="center"/>
          </w:tcPr>
          <w:p w14:paraId="564224DE" w14:textId="77777777" w:rsidR="00924664" w:rsidRPr="00C775D5" w:rsidRDefault="00924664" w:rsidP="00C775D5">
            <w:pPr>
              <w:spacing w:after="0" w:line="240" w:lineRule="auto"/>
              <w:jc w:val="right"/>
              <w:rPr>
                <w:rFonts w:ascii="Aptos Narrow" w:eastAsia="Times New Roman" w:hAnsi="Aptos Narrow" w:cs="Times New Roman"/>
                <w:color w:val="000000"/>
                <w:sz w:val="20"/>
                <w:szCs w:val="20"/>
                <w:lang w:eastAsia="en-AU"/>
              </w:rPr>
            </w:pPr>
            <w:r w:rsidRPr="00C775D5">
              <w:rPr>
                <w:rFonts w:ascii="Calibri" w:eastAsia="Times New Roman" w:hAnsi="Calibri" w:cs="Calibri"/>
                <w:color w:val="000000"/>
                <w:sz w:val="20"/>
                <w:szCs w:val="20"/>
                <w:lang w:eastAsia="en-AU"/>
              </w:rPr>
              <w:t>4.0</w:t>
            </w:r>
          </w:p>
        </w:tc>
      </w:tr>
      <w:tr w:rsidR="00924664" w:rsidRPr="007B6AF7" w14:paraId="49F7BCEA" w14:textId="77777777">
        <w:trPr>
          <w:trHeight w:val="299"/>
        </w:trPr>
        <w:tc>
          <w:tcPr>
            <w:tcW w:w="1351" w:type="dxa"/>
            <w:tcBorders>
              <w:top w:val="nil"/>
              <w:left w:val="nil"/>
              <w:bottom w:val="nil"/>
              <w:right w:val="nil"/>
            </w:tcBorders>
            <w:shd w:val="clear" w:color="000000" w:fill="FFFFFF"/>
            <w:noWrap/>
            <w:vAlign w:val="bottom"/>
            <w:hideMark/>
          </w:tcPr>
          <w:p w14:paraId="3F8303D0" w14:textId="77777777" w:rsidR="00924664" w:rsidRPr="00C775D5" w:rsidRDefault="00924664">
            <w:pPr>
              <w:spacing w:after="0" w:line="240" w:lineRule="auto"/>
              <w:rPr>
                <w:rFonts w:ascii="Aptos Narrow" w:eastAsia="Times New Roman" w:hAnsi="Aptos Narrow" w:cs="Times New Roman"/>
                <w:b/>
                <w:color w:val="000000"/>
                <w:sz w:val="20"/>
                <w:szCs w:val="20"/>
                <w:lang w:eastAsia="en-AU"/>
              </w:rPr>
            </w:pPr>
            <w:r w:rsidRPr="00C775D5">
              <w:rPr>
                <w:rFonts w:ascii="Aptos Narrow" w:eastAsia="Times New Roman" w:hAnsi="Aptos Narrow" w:cs="Times New Roman"/>
                <w:b/>
                <w:color w:val="000000"/>
                <w:sz w:val="20"/>
                <w:szCs w:val="20"/>
                <w:lang w:eastAsia="en-AU"/>
              </w:rPr>
              <w:t>2005</w:t>
            </w:r>
          </w:p>
        </w:tc>
        <w:tc>
          <w:tcPr>
            <w:tcW w:w="1258" w:type="dxa"/>
            <w:tcBorders>
              <w:top w:val="nil"/>
              <w:left w:val="nil"/>
              <w:bottom w:val="nil"/>
              <w:right w:val="nil"/>
            </w:tcBorders>
            <w:shd w:val="clear" w:color="000000" w:fill="FFFFFF"/>
            <w:noWrap/>
            <w:vAlign w:val="bottom"/>
            <w:hideMark/>
          </w:tcPr>
          <w:p w14:paraId="20361BBB" w14:textId="77777777" w:rsidR="00924664" w:rsidRPr="00C775D5" w:rsidRDefault="00924664" w:rsidP="00C775D5">
            <w:pPr>
              <w:spacing w:after="0" w:line="240" w:lineRule="auto"/>
              <w:jc w:val="right"/>
              <w:rPr>
                <w:rFonts w:ascii="Aptos Narrow" w:eastAsia="Times New Roman" w:hAnsi="Aptos Narrow" w:cs="Times New Roman"/>
                <w:color w:val="000000"/>
                <w:sz w:val="20"/>
                <w:szCs w:val="20"/>
                <w:lang w:eastAsia="en-AU"/>
              </w:rPr>
            </w:pPr>
            <w:r w:rsidRPr="00C775D5">
              <w:rPr>
                <w:rFonts w:ascii="Aptos Narrow" w:eastAsia="Times New Roman" w:hAnsi="Aptos Narrow" w:cs="Times New Roman"/>
                <w:color w:val="000000"/>
                <w:sz w:val="20"/>
                <w:szCs w:val="20"/>
                <w:lang w:eastAsia="en-AU"/>
              </w:rPr>
              <w:t>3.6</w:t>
            </w:r>
          </w:p>
        </w:tc>
        <w:tc>
          <w:tcPr>
            <w:tcW w:w="1259" w:type="dxa"/>
            <w:tcBorders>
              <w:top w:val="nil"/>
              <w:left w:val="nil"/>
              <w:bottom w:val="nil"/>
              <w:right w:val="nil"/>
            </w:tcBorders>
            <w:shd w:val="clear" w:color="000000" w:fill="FFFFFF"/>
            <w:noWrap/>
            <w:vAlign w:val="bottom"/>
            <w:hideMark/>
          </w:tcPr>
          <w:p w14:paraId="56D28E41" w14:textId="77777777" w:rsidR="00924664" w:rsidRPr="00C775D5" w:rsidRDefault="00924664" w:rsidP="00C775D5">
            <w:pPr>
              <w:spacing w:after="0" w:line="240" w:lineRule="auto"/>
              <w:jc w:val="right"/>
              <w:rPr>
                <w:rFonts w:ascii="Aptos Narrow" w:eastAsia="Times New Roman" w:hAnsi="Aptos Narrow" w:cs="Times New Roman"/>
                <w:color w:val="000000"/>
                <w:sz w:val="20"/>
                <w:szCs w:val="20"/>
                <w:lang w:eastAsia="en-AU"/>
              </w:rPr>
            </w:pPr>
            <w:r w:rsidRPr="00C775D5">
              <w:rPr>
                <w:rFonts w:ascii="Aptos Narrow" w:eastAsia="Times New Roman" w:hAnsi="Aptos Narrow" w:cs="Times New Roman"/>
                <w:color w:val="000000"/>
                <w:sz w:val="20"/>
                <w:szCs w:val="20"/>
                <w:lang w:eastAsia="en-AU"/>
              </w:rPr>
              <w:t>4.3</w:t>
            </w:r>
          </w:p>
        </w:tc>
        <w:tc>
          <w:tcPr>
            <w:tcW w:w="1259" w:type="dxa"/>
            <w:tcBorders>
              <w:top w:val="nil"/>
              <w:left w:val="nil"/>
              <w:bottom w:val="nil"/>
              <w:right w:val="nil"/>
            </w:tcBorders>
            <w:vAlign w:val="bottom"/>
          </w:tcPr>
          <w:p w14:paraId="66A82BBA" w14:textId="77777777" w:rsidR="00924664" w:rsidRPr="00C775D5" w:rsidRDefault="00924664" w:rsidP="00C775D5">
            <w:pPr>
              <w:spacing w:after="0" w:line="240" w:lineRule="auto"/>
              <w:jc w:val="right"/>
              <w:rPr>
                <w:rFonts w:ascii="Aptos Narrow" w:eastAsia="Times New Roman" w:hAnsi="Aptos Narrow" w:cs="Times New Roman"/>
                <w:color w:val="000000"/>
                <w:sz w:val="20"/>
                <w:szCs w:val="20"/>
                <w:lang w:eastAsia="en-AU"/>
              </w:rPr>
            </w:pPr>
            <w:r w:rsidRPr="00C775D5">
              <w:rPr>
                <w:rFonts w:ascii="Aptos Narrow" w:eastAsia="Times New Roman" w:hAnsi="Aptos Narrow" w:cs="Times New Roman"/>
                <w:color w:val="000000"/>
                <w:sz w:val="20"/>
                <w:szCs w:val="20"/>
                <w:lang w:eastAsia="en-AU"/>
              </w:rPr>
              <w:t>4.2</w:t>
            </w:r>
          </w:p>
        </w:tc>
        <w:tc>
          <w:tcPr>
            <w:tcW w:w="1258" w:type="dxa"/>
            <w:tcBorders>
              <w:top w:val="nil"/>
              <w:left w:val="nil"/>
              <w:bottom w:val="nil"/>
              <w:right w:val="nil"/>
            </w:tcBorders>
            <w:noWrap/>
            <w:vAlign w:val="bottom"/>
            <w:hideMark/>
          </w:tcPr>
          <w:p w14:paraId="5CA26FC9" w14:textId="77777777" w:rsidR="00924664" w:rsidRPr="00C775D5" w:rsidRDefault="00924664" w:rsidP="00C775D5">
            <w:pPr>
              <w:spacing w:after="0" w:line="240" w:lineRule="auto"/>
              <w:jc w:val="right"/>
              <w:rPr>
                <w:rFonts w:ascii="Aptos Narrow" w:eastAsia="Times New Roman" w:hAnsi="Aptos Narrow" w:cs="Times New Roman"/>
                <w:color w:val="000000"/>
                <w:sz w:val="20"/>
                <w:szCs w:val="20"/>
                <w:lang w:eastAsia="en-AU"/>
              </w:rPr>
            </w:pPr>
            <w:r w:rsidRPr="00C775D5">
              <w:rPr>
                <w:rFonts w:ascii="Aptos Narrow" w:eastAsia="Times New Roman" w:hAnsi="Aptos Narrow" w:cs="Times New Roman"/>
                <w:color w:val="000000"/>
                <w:sz w:val="20"/>
                <w:szCs w:val="20"/>
                <w:lang w:eastAsia="en-AU"/>
              </w:rPr>
              <w:t>3.5</w:t>
            </w:r>
          </w:p>
        </w:tc>
        <w:tc>
          <w:tcPr>
            <w:tcW w:w="1259" w:type="dxa"/>
            <w:tcBorders>
              <w:top w:val="nil"/>
              <w:left w:val="nil"/>
              <w:bottom w:val="nil"/>
              <w:right w:val="nil"/>
            </w:tcBorders>
            <w:noWrap/>
            <w:vAlign w:val="bottom"/>
            <w:hideMark/>
          </w:tcPr>
          <w:p w14:paraId="5EA75D77" w14:textId="77777777" w:rsidR="00924664" w:rsidRPr="00C775D5" w:rsidRDefault="00924664" w:rsidP="00C775D5">
            <w:pPr>
              <w:spacing w:after="0" w:line="240" w:lineRule="auto"/>
              <w:jc w:val="right"/>
              <w:rPr>
                <w:rFonts w:ascii="Aptos Narrow" w:eastAsia="Times New Roman" w:hAnsi="Aptos Narrow" w:cs="Times New Roman"/>
                <w:color w:val="000000"/>
                <w:sz w:val="20"/>
                <w:szCs w:val="20"/>
                <w:lang w:eastAsia="en-AU"/>
              </w:rPr>
            </w:pPr>
            <w:r w:rsidRPr="00C775D5">
              <w:rPr>
                <w:rFonts w:ascii="Aptos Narrow" w:eastAsia="Times New Roman" w:hAnsi="Aptos Narrow" w:cs="Times New Roman"/>
                <w:color w:val="000000"/>
                <w:sz w:val="20"/>
                <w:szCs w:val="20"/>
                <w:lang w:eastAsia="en-AU"/>
              </w:rPr>
              <w:t>4.1</w:t>
            </w:r>
          </w:p>
        </w:tc>
        <w:tc>
          <w:tcPr>
            <w:tcW w:w="1259" w:type="dxa"/>
            <w:tcBorders>
              <w:top w:val="nil"/>
              <w:left w:val="nil"/>
              <w:bottom w:val="nil"/>
              <w:right w:val="nil"/>
            </w:tcBorders>
            <w:vAlign w:val="center"/>
          </w:tcPr>
          <w:p w14:paraId="55B98A33" w14:textId="77777777" w:rsidR="00924664" w:rsidRPr="00C775D5" w:rsidRDefault="00924664" w:rsidP="00C775D5">
            <w:pPr>
              <w:spacing w:after="0" w:line="240" w:lineRule="auto"/>
              <w:jc w:val="right"/>
              <w:rPr>
                <w:rFonts w:ascii="Aptos Narrow" w:eastAsia="Times New Roman" w:hAnsi="Aptos Narrow" w:cs="Times New Roman"/>
                <w:color w:val="000000"/>
                <w:sz w:val="20"/>
                <w:szCs w:val="20"/>
                <w:lang w:eastAsia="en-AU"/>
              </w:rPr>
            </w:pPr>
            <w:r w:rsidRPr="00C775D5">
              <w:rPr>
                <w:rFonts w:ascii="Calibri" w:eastAsia="Times New Roman" w:hAnsi="Calibri" w:cs="Calibri"/>
                <w:color w:val="000000"/>
                <w:sz w:val="20"/>
                <w:szCs w:val="20"/>
                <w:lang w:eastAsia="en-AU"/>
              </w:rPr>
              <w:t>4.1</w:t>
            </w:r>
          </w:p>
        </w:tc>
      </w:tr>
      <w:tr w:rsidR="00924664" w:rsidRPr="007B6AF7" w14:paraId="4705F097" w14:textId="77777777">
        <w:trPr>
          <w:trHeight w:val="299"/>
        </w:trPr>
        <w:tc>
          <w:tcPr>
            <w:tcW w:w="1351" w:type="dxa"/>
            <w:tcBorders>
              <w:top w:val="nil"/>
              <w:left w:val="nil"/>
              <w:bottom w:val="nil"/>
              <w:right w:val="nil"/>
            </w:tcBorders>
            <w:shd w:val="clear" w:color="000000" w:fill="FFFFFF"/>
            <w:noWrap/>
            <w:vAlign w:val="bottom"/>
            <w:hideMark/>
          </w:tcPr>
          <w:p w14:paraId="4017368C" w14:textId="77777777" w:rsidR="00924664" w:rsidRPr="00C775D5" w:rsidRDefault="00924664">
            <w:pPr>
              <w:spacing w:after="0" w:line="240" w:lineRule="auto"/>
              <w:rPr>
                <w:rFonts w:ascii="Aptos Narrow" w:eastAsia="Times New Roman" w:hAnsi="Aptos Narrow" w:cs="Times New Roman"/>
                <w:b/>
                <w:color w:val="000000"/>
                <w:sz w:val="20"/>
                <w:szCs w:val="20"/>
                <w:lang w:eastAsia="en-AU"/>
              </w:rPr>
            </w:pPr>
            <w:r w:rsidRPr="00C775D5">
              <w:rPr>
                <w:rFonts w:ascii="Aptos Narrow" w:eastAsia="Times New Roman" w:hAnsi="Aptos Narrow" w:cs="Times New Roman"/>
                <w:b/>
                <w:color w:val="000000"/>
                <w:sz w:val="20"/>
                <w:szCs w:val="20"/>
                <w:lang w:eastAsia="en-AU"/>
              </w:rPr>
              <w:t>2006</w:t>
            </w:r>
          </w:p>
        </w:tc>
        <w:tc>
          <w:tcPr>
            <w:tcW w:w="1258" w:type="dxa"/>
            <w:tcBorders>
              <w:top w:val="nil"/>
              <w:left w:val="nil"/>
              <w:bottom w:val="nil"/>
              <w:right w:val="nil"/>
            </w:tcBorders>
            <w:shd w:val="clear" w:color="000000" w:fill="FFFFFF"/>
            <w:noWrap/>
            <w:vAlign w:val="bottom"/>
            <w:hideMark/>
          </w:tcPr>
          <w:p w14:paraId="55947505" w14:textId="77777777" w:rsidR="00924664" w:rsidRPr="00C775D5" w:rsidRDefault="00924664" w:rsidP="00472A01">
            <w:pPr>
              <w:spacing w:after="0" w:line="240" w:lineRule="auto"/>
              <w:jc w:val="right"/>
              <w:rPr>
                <w:rFonts w:ascii="Aptos Narrow" w:eastAsia="Times New Roman" w:hAnsi="Aptos Narrow" w:cs="Times New Roman"/>
                <w:color w:val="000000"/>
                <w:sz w:val="20"/>
                <w:szCs w:val="20"/>
                <w:lang w:eastAsia="en-AU"/>
              </w:rPr>
            </w:pPr>
            <w:r w:rsidRPr="00C775D5">
              <w:rPr>
                <w:rFonts w:ascii="Aptos Narrow" w:eastAsia="Times New Roman" w:hAnsi="Aptos Narrow" w:cs="Times New Roman"/>
                <w:color w:val="000000"/>
                <w:sz w:val="20"/>
                <w:szCs w:val="20"/>
                <w:lang w:eastAsia="en-AU"/>
              </w:rPr>
              <w:t>3.7</w:t>
            </w:r>
          </w:p>
        </w:tc>
        <w:tc>
          <w:tcPr>
            <w:tcW w:w="1259" w:type="dxa"/>
            <w:tcBorders>
              <w:top w:val="nil"/>
              <w:left w:val="nil"/>
              <w:bottom w:val="nil"/>
              <w:right w:val="nil"/>
            </w:tcBorders>
            <w:shd w:val="clear" w:color="000000" w:fill="FFFFFF"/>
            <w:noWrap/>
            <w:vAlign w:val="bottom"/>
            <w:hideMark/>
          </w:tcPr>
          <w:p w14:paraId="3B5A2AB1" w14:textId="77777777" w:rsidR="00924664" w:rsidRPr="00C775D5" w:rsidRDefault="00924664" w:rsidP="00472A01">
            <w:pPr>
              <w:spacing w:after="0" w:line="240" w:lineRule="auto"/>
              <w:jc w:val="right"/>
              <w:rPr>
                <w:rFonts w:ascii="Aptos Narrow" w:eastAsia="Times New Roman" w:hAnsi="Aptos Narrow" w:cs="Times New Roman"/>
                <w:color w:val="000000"/>
                <w:sz w:val="20"/>
                <w:szCs w:val="20"/>
                <w:lang w:eastAsia="en-AU"/>
              </w:rPr>
            </w:pPr>
            <w:r w:rsidRPr="00C775D5">
              <w:rPr>
                <w:rFonts w:ascii="Aptos Narrow" w:eastAsia="Times New Roman" w:hAnsi="Aptos Narrow" w:cs="Times New Roman"/>
                <w:color w:val="000000"/>
                <w:sz w:val="20"/>
                <w:szCs w:val="20"/>
                <w:lang w:eastAsia="en-AU"/>
              </w:rPr>
              <w:t>3.9</w:t>
            </w:r>
          </w:p>
        </w:tc>
        <w:tc>
          <w:tcPr>
            <w:tcW w:w="1259" w:type="dxa"/>
            <w:tcBorders>
              <w:top w:val="nil"/>
              <w:left w:val="nil"/>
              <w:bottom w:val="nil"/>
              <w:right w:val="nil"/>
            </w:tcBorders>
            <w:vAlign w:val="bottom"/>
          </w:tcPr>
          <w:p w14:paraId="0D249508" w14:textId="77777777" w:rsidR="00924664" w:rsidRPr="00C775D5" w:rsidRDefault="00924664" w:rsidP="00472A01">
            <w:pPr>
              <w:spacing w:after="0" w:line="240" w:lineRule="auto"/>
              <w:jc w:val="right"/>
              <w:rPr>
                <w:rFonts w:ascii="Aptos Narrow" w:eastAsia="Times New Roman" w:hAnsi="Aptos Narrow" w:cs="Times New Roman"/>
                <w:color w:val="000000"/>
                <w:sz w:val="20"/>
                <w:szCs w:val="20"/>
                <w:lang w:eastAsia="en-AU"/>
              </w:rPr>
            </w:pPr>
            <w:r w:rsidRPr="00C775D5">
              <w:rPr>
                <w:rFonts w:ascii="Aptos Narrow" w:eastAsia="Times New Roman" w:hAnsi="Aptos Narrow" w:cs="Times New Roman"/>
                <w:color w:val="000000"/>
                <w:sz w:val="20"/>
                <w:szCs w:val="20"/>
                <w:lang w:eastAsia="en-AU"/>
              </w:rPr>
              <w:t>3.9</w:t>
            </w:r>
          </w:p>
        </w:tc>
        <w:tc>
          <w:tcPr>
            <w:tcW w:w="1258" w:type="dxa"/>
            <w:tcBorders>
              <w:top w:val="nil"/>
              <w:left w:val="nil"/>
              <w:bottom w:val="nil"/>
              <w:right w:val="nil"/>
            </w:tcBorders>
            <w:noWrap/>
            <w:vAlign w:val="bottom"/>
            <w:hideMark/>
          </w:tcPr>
          <w:p w14:paraId="4F760762" w14:textId="77777777" w:rsidR="00924664" w:rsidRPr="00C775D5" w:rsidRDefault="00924664" w:rsidP="00472A01">
            <w:pPr>
              <w:spacing w:after="0" w:line="240" w:lineRule="auto"/>
              <w:jc w:val="right"/>
              <w:rPr>
                <w:rFonts w:ascii="Aptos Narrow" w:eastAsia="Times New Roman" w:hAnsi="Aptos Narrow" w:cs="Times New Roman"/>
                <w:color w:val="000000"/>
                <w:sz w:val="20"/>
                <w:szCs w:val="20"/>
                <w:lang w:eastAsia="en-AU"/>
              </w:rPr>
            </w:pPr>
            <w:r w:rsidRPr="00C775D5">
              <w:rPr>
                <w:rFonts w:ascii="Aptos Narrow" w:eastAsia="Times New Roman" w:hAnsi="Aptos Narrow" w:cs="Times New Roman"/>
                <w:color w:val="000000"/>
                <w:sz w:val="20"/>
                <w:szCs w:val="20"/>
                <w:lang w:eastAsia="en-AU"/>
              </w:rPr>
              <w:t>3.6</w:t>
            </w:r>
          </w:p>
        </w:tc>
        <w:tc>
          <w:tcPr>
            <w:tcW w:w="1259" w:type="dxa"/>
            <w:tcBorders>
              <w:top w:val="nil"/>
              <w:left w:val="nil"/>
              <w:bottom w:val="nil"/>
              <w:right w:val="nil"/>
            </w:tcBorders>
            <w:noWrap/>
            <w:vAlign w:val="bottom"/>
            <w:hideMark/>
          </w:tcPr>
          <w:p w14:paraId="7E060C45" w14:textId="77777777" w:rsidR="00924664" w:rsidRPr="00C775D5" w:rsidRDefault="00924664" w:rsidP="00472A01">
            <w:pPr>
              <w:spacing w:after="0" w:line="240" w:lineRule="auto"/>
              <w:jc w:val="right"/>
              <w:rPr>
                <w:rFonts w:ascii="Aptos Narrow" w:eastAsia="Times New Roman" w:hAnsi="Aptos Narrow" w:cs="Times New Roman"/>
                <w:color w:val="000000"/>
                <w:sz w:val="20"/>
                <w:szCs w:val="20"/>
                <w:lang w:eastAsia="en-AU"/>
              </w:rPr>
            </w:pPr>
            <w:r w:rsidRPr="00C775D5">
              <w:rPr>
                <w:rFonts w:ascii="Aptos Narrow" w:eastAsia="Times New Roman" w:hAnsi="Aptos Narrow" w:cs="Times New Roman"/>
                <w:color w:val="000000"/>
                <w:sz w:val="20"/>
                <w:szCs w:val="20"/>
                <w:lang w:eastAsia="en-AU"/>
              </w:rPr>
              <w:t>4.0</w:t>
            </w:r>
          </w:p>
        </w:tc>
        <w:tc>
          <w:tcPr>
            <w:tcW w:w="1259" w:type="dxa"/>
            <w:tcBorders>
              <w:top w:val="nil"/>
              <w:left w:val="nil"/>
              <w:bottom w:val="nil"/>
              <w:right w:val="nil"/>
            </w:tcBorders>
            <w:vAlign w:val="center"/>
          </w:tcPr>
          <w:p w14:paraId="4911B2D2" w14:textId="77777777" w:rsidR="00924664" w:rsidRPr="00C775D5" w:rsidRDefault="00924664" w:rsidP="00472A01">
            <w:pPr>
              <w:spacing w:after="0" w:line="240" w:lineRule="auto"/>
              <w:jc w:val="right"/>
              <w:rPr>
                <w:rFonts w:ascii="Aptos Narrow" w:eastAsia="Times New Roman" w:hAnsi="Aptos Narrow" w:cs="Times New Roman"/>
                <w:color w:val="000000"/>
                <w:sz w:val="20"/>
                <w:szCs w:val="20"/>
                <w:lang w:eastAsia="en-AU"/>
              </w:rPr>
            </w:pPr>
            <w:r w:rsidRPr="00C775D5">
              <w:rPr>
                <w:rFonts w:ascii="Calibri" w:eastAsia="Times New Roman" w:hAnsi="Calibri" w:cs="Calibri"/>
                <w:color w:val="000000"/>
                <w:sz w:val="20"/>
                <w:szCs w:val="20"/>
                <w:lang w:eastAsia="en-AU"/>
              </w:rPr>
              <w:t>4.0</w:t>
            </w:r>
          </w:p>
        </w:tc>
      </w:tr>
      <w:tr w:rsidR="00924664" w:rsidRPr="007B6AF7" w14:paraId="31629F0D" w14:textId="77777777">
        <w:trPr>
          <w:trHeight w:val="299"/>
        </w:trPr>
        <w:tc>
          <w:tcPr>
            <w:tcW w:w="1351" w:type="dxa"/>
            <w:tcBorders>
              <w:top w:val="nil"/>
              <w:left w:val="nil"/>
              <w:bottom w:val="nil"/>
              <w:right w:val="nil"/>
            </w:tcBorders>
            <w:shd w:val="clear" w:color="000000" w:fill="FFFFFF"/>
            <w:noWrap/>
            <w:vAlign w:val="bottom"/>
            <w:hideMark/>
          </w:tcPr>
          <w:p w14:paraId="49EBA393" w14:textId="77777777" w:rsidR="00924664" w:rsidRPr="00472A01" w:rsidRDefault="00924664">
            <w:pPr>
              <w:spacing w:after="0" w:line="240" w:lineRule="auto"/>
              <w:rPr>
                <w:rFonts w:ascii="Aptos Narrow" w:eastAsia="Times New Roman" w:hAnsi="Aptos Narrow" w:cs="Times New Roman"/>
                <w:b/>
                <w:color w:val="000000"/>
                <w:sz w:val="20"/>
                <w:szCs w:val="20"/>
                <w:lang w:eastAsia="en-AU"/>
              </w:rPr>
            </w:pPr>
            <w:r w:rsidRPr="00472A01">
              <w:rPr>
                <w:rFonts w:ascii="Aptos Narrow" w:eastAsia="Times New Roman" w:hAnsi="Aptos Narrow" w:cs="Times New Roman"/>
                <w:b/>
                <w:color w:val="000000"/>
                <w:sz w:val="20"/>
                <w:szCs w:val="20"/>
                <w:lang w:eastAsia="en-AU"/>
              </w:rPr>
              <w:t>2007</w:t>
            </w:r>
          </w:p>
        </w:tc>
        <w:tc>
          <w:tcPr>
            <w:tcW w:w="1258" w:type="dxa"/>
            <w:tcBorders>
              <w:top w:val="nil"/>
              <w:left w:val="nil"/>
              <w:bottom w:val="nil"/>
              <w:right w:val="nil"/>
            </w:tcBorders>
            <w:shd w:val="clear" w:color="000000" w:fill="FFFFFF"/>
            <w:noWrap/>
            <w:vAlign w:val="bottom"/>
            <w:hideMark/>
          </w:tcPr>
          <w:p w14:paraId="6FEF2C9F"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3.5</w:t>
            </w:r>
          </w:p>
        </w:tc>
        <w:tc>
          <w:tcPr>
            <w:tcW w:w="1259" w:type="dxa"/>
            <w:tcBorders>
              <w:top w:val="nil"/>
              <w:left w:val="nil"/>
              <w:bottom w:val="nil"/>
              <w:right w:val="nil"/>
            </w:tcBorders>
            <w:shd w:val="clear" w:color="000000" w:fill="FFFFFF"/>
            <w:noWrap/>
            <w:vAlign w:val="bottom"/>
            <w:hideMark/>
          </w:tcPr>
          <w:p w14:paraId="458FB105"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4.0</w:t>
            </w:r>
          </w:p>
        </w:tc>
        <w:tc>
          <w:tcPr>
            <w:tcW w:w="1259" w:type="dxa"/>
            <w:tcBorders>
              <w:top w:val="nil"/>
              <w:left w:val="nil"/>
              <w:bottom w:val="nil"/>
              <w:right w:val="nil"/>
            </w:tcBorders>
            <w:vAlign w:val="bottom"/>
          </w:tcPr>
          <w:p w14:paraId="3486DDF7"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3.9</w:t>
            </w:r>
          </w:p>
        </w:tc>
        <w:tc>
          <w:tcPr>
            <w:tcW w:w="1258" w:type="dxa"/>
            <w:tcBorders>
              <w:top w:val="nil"/>
              <w:left w:val="nil"/>
              <w:bottom w:val="nil"/>
              <w:right w:val="nil"/>
            </w:tcBorders>
            <w:noWrap/>
            <w:vAlign w:val="bottom"/>
            <w:hideMark/>
          </w:tcPr>
          <w:p w14:paraId="34FE1BB5"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3.6</w:t>
            </w:r>
          </w:p>
        </w:tc>
        <w:tc>
          <w:tcPr>
            <w:tcW w:w="1259" w:type="dxa"/>
            <w:tcBorders>
              <w:top w:val="nil"/>
              <w:left w:val="nil"/>
              <w:bottom w:val="nil"/>
              <w:right w:val="nil"/>
            </w:tcBorders>
            <w:noWrap/>
            <w:vAlign w:val="bottom"/>
            <w:hideMark/>
          </w:tcPr>
          <w:p w14:paraId="1379B377"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4.0</w:t>
            </w:r>
          </w:p>
        </w:tc>
        <w:tc>
          <w:tcPr>
            <w:tcW w:w="1259" w:type="dxa"/>
            <w:tcBorders>
              <w:top w:val="nil"/>
              <w:left w:val="nil"/>
              <w:bottom w:val="nil"/>
              <w:right w:val="nil"/>
            </w:tcBorders>
            <w:vAlign w:val="center"/>
          </w:tcPr>
          <w:p w14:paraId="3EE6A55C"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Calibri" w:eastAsia="Times New Roman" w:hAnsi="Calibri" w:cs="Calibri"/>
                <w:color w:val="000000"/>
                <w:sz w:val="20"/>
                <w:szCs w:val="20"/>
                <w:lang w:eastAsia="en-AU"/>
              </w:rPr>
              <w:t>3.9</w:t>
            </w:r>
          </w:p>
        </w:tc>
      </w:tr>
      <w:tr w:rsidR="00924664" w:rsidRPr="007B6AF7" w14:paraId="451FC9E2" w14:textId="77777777">
        <w:trPr>
          <w:trHeight w:val="299"/>
        </w:trPr>
        <w:tc>
          <w:tcPr>
            <w:tcW w:w="1351" w:type="dxa"/>
            <w:tcBorders>
              <w:top w:val="nil"/>
              <w:left w:val="nil"/>
              <w:bottom w:val="nil"/>
              <w:right w:val="nil"/>
            </w:tcBorders>
            <w:shd w:val="clear" w:color="000000" w:fill="FFFFFF"/>
            <w:noWrap/>
            <w:vAlign w:val="bottom"/>
            <w:hideMark/>
          </w:tcPr>
          <w:p w14:paraId="2F7C8D64" w14:textId="77777777" w:rsidR="00924664" w:rsidRPr="00472A01" w:rsidRDefault="00924664">
            <w:pPr>
              <w:spacing w:after="0" w:line="240" w:lineRule="auto"/>
              <w:rPr>
                <w:rFonts w:ascii="Aptos Narrow" w:eastAsia="Times New Roman" w:hAnsi="Aptos Narrow" w:cs="Times New Roman"/>
                <w:b/>
                <w:color w:val="000000"/>
                <w:sz w:val="20"/>
                <w:szCs w:val="20"/>
                <w:lang w:eastAsia="en-AU"/>
              </w:rPr>
            </w:pPr>
            <w:r w:rsidRPr="00472A01">
              <w:rPr>
                <w:rFonts w:ascii="Aptos Narrow" w:eastAsia="Times New Roman" w:hAnsi="Aptos Narrow" w:cs="Times New Roman"/>
                <w:b/>
                <w:color w:val="000000"/>
                <w:sz w:val="20"/>
                <w:szCs w:val="20"/>
                <w:lang w:eastAsia="en-AU"/>
              </w:rPr>
              <w:t>2008</w:t>
            </w:r>
          </w:p>
        </w:tc>
        <w:tc>
          <w:tcPr>
            <w:tcW w:w="1258" w:type="dxa"/>
            <w:tcBorders>
              <w:top w:val="nil"/>
              <w:left w:val="nil"/>
              <w:bottom w:val="nil"/>
              <w:right w:val="nil"/>
            </w:tcBorders>
            <w:shd w:val="clear" w:color="000000" w:fill="FFFFFF"/>
            <w:noWrap/>
            <w:vAlign w:val="bottom"/>
            <w:hideMark/>
          </w:tcPr>
          <w:p w14:paraId="5848FCBC"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4.0</w:t>
            </w:r>
          </w:p>
        </w:tc>
        <w:tc>
          <w:tcPr>
            <w:tcW w:w="1259" w:type="dxa"/>
            <w:tcBorders>
              <w:top w:val="nil"/>
              <w:left w:val="nil"/>
              <w:bottom w:val="nil"/>
              <w:right w:val="nil"/>
            </w:tcBorders>
            <w:shd w:val="clear" w:color="000000" w:fill="FFFFFF"/>
            <w:noWrap/>
            <w:vAlign w:val="bottom"/>
            <w:hideMark/>
          </w:tcPr>
          <w:p w14:paraId="0314961C"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4.1</w:t>
            </w:r>
          </w:p>
        </w:tc>
        <w:tc>
          <w:tcPr>
            <w:tcW w:w="1259" w:type="dxa"/>
            <w:tcBorders>
              <w:top w:val="nil"/>
              <w:left w:val="nil"/>
              <w:bottom w:val="nil"/>
              <w:right w:val="nil"/>
            </w:tcBorders>
            <w:vAlign w:val="bottom"/>
          </w:tcPr>
          <w:p w14:paraId="47CF7388"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4.0</w:t>
            </w:r>
          </w:p>
        </w:tc>
        <w:tc>
          <w:tcPr>
            <w:tcW w:w="1258" w:type="dxa"/>
            <w:tcBorders>
              <w:top w:val="nil"/>
              <w:left w:val="nil"/>
              <w:bottom w:val="nil"/>
              <w:right w:val="nil"/>
            </w:tcBorders>
            <w:noWrap/>
            <w:vAlign w:val="bottom"/>
            <w:hideMark/>
          </w:tcPr>
          <w:p w14:paraId="7C900D8F"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3.7</w:t>
            </w:r>
          </w:p>
        </w:tc>
        <w:tc>
          <w:tcPr>
            <w:tcW w:w="1259" w:type="dxa"/>
            <w:tcBorders>
              <w:top w:val="nil"/>
              <w:left w:val="nil"/>
              <w:bottom w:val="nil"/>
              <w:right w:val="nil"/>
            </w:tcBorders>
            <w:noWrap/>
            <w:vAlign w:val="bottom"/>
            <w:hideMark/>
          </w:tcPr>
          <w:p w14:paraId="3D652009"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3.9</w:t>
            </w:r>
          </w:p>
        </w:tc>
        <w:tc>
          <w:tcPr>
            <w:tcW w:w="1259" w:type="dxa"/>
            <w:tcBorders>
              <w:top w:val="nil"/>
              <w:left w:val="nil"/>
              <w:bottom w:val="nil"/>
              <w:right w:val="nil"/>
            </w:tcBorders>
            <w:vAlign w:val="center"/>
          </w:tcPr>
          <w:p w14:paraId="6B8AC120"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Calibri" w:eastAsia="Times New Roman" w:hAnsi="Calibri" w:cs="Calibri"/>
                <w:color w:val="000000"/>
                <w:sz w:val="20"/>
                <w:szCs w:val="20"/>
                <w:lang w:eastAsia="en-AU"/>
              </w:rPr>
              <w:t>3.9</w:t>
            </w:r>
          </w:p>
        </w:tc>
      </w:tr>
      <w:tr w:rsidR="00924664" w:rsidRPr="007B6AF7" w14:paraId="50EE970E" w14:textId="77777777">
        <w:trPr>
          <w:trHeight w:val="299"/>
        </w:trPr>
        <w:tc>
          <w:tcPr>
            <w:tcW w:w="1351" w:type="dxa"/>
            <w:tcBorders>
              <w:top w:val="nil"/>
              <w:left w:val="nil"/>
              <w:bottom w:val="nil"/>
              <w:right w:val="nil"/>
            </w:tcBorders>
            <w:shd w:val="clear" w:color="000000" w:fill="FFFFFF"/>
            <w:noWrap/>
            <w:vAlign w:val="bottom"/>
            <w:hideMark/>
          </w:tcPr>
          <w:p w14:paraId="6F90B43F" w14:textId="77777777" w:rsidR="00924664" w:rsidRPr="00472A01" w:rsidRDefault="00924664">
            <w:pPr>
              <w:spacing w:after="0" w:line="240" w:lineRule="auto"/>
              <w:rPr>
                <w:rFonts w:ascii="Aptos Narrow" w:eastAsia="Times New Roman" w:hAnsi="Aptos Narrow" w:cs="Times New Roman"/>
                <w:b/>
                <w:color w:val="000000"/>
                <w:sz w:val="20"/>
                <w:szCs w:val="20"/>
                <w:lang w:eastAsia="en-AU"/>
              </w:rPr>
            </w:pPr>
            <w:r w:rsidRPr="00472A01">
              <w:rPr>
                <w:rFonts w:ascii="Aptos Narrow" w:eastAsia="Times New Roman" w:hAnsi="Aptos Narrow" w:cs="Times New Roman"/>
                <w:b/>
                <w:color w:val="000000"/>
                <w:sz w:val="20"/>
                <w:szCs w:val="20"/>
                <w:lang w:eastAsia="en-AU"/>
              </w:rPr>
              <w:t>2009</w:t>
            </w:r>
          </w:p>
        </w:tc>
        <w:tc>
          <w:tcPr>
            <w:tcW w:w="1258" w:type="dxa"/>
            <w:tcBorders>
              <w:top w:val="nil"/>
              <w:left w:val="nil"/>
              <w:bottom w:val="nil"/>
              <w:right w:val="nil"/>
            </w:tcBorders>
            <w:shd w:val="clear" w:color="000000" w:fill="FFFFFF"/>
            <w:noWrap/>
            <w:vAlign w:val="bottom"/>
            <w:hideMark/>
          </w:tcPr>
          <w:p w14:paraId="1D5FCA3A"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3.6</w:t>
            </w:r>
          </w:p>
        </w:tc>
        <w:tc>
          <w:tcPr>
            <w:tcW w:w="1259" w:type="dxa"/>
            <w:tcBorders>
              <w:top w:val="nil"/>
              <w:left w:val="nil"/>
              <w:bottom w:val="nil"/>
              <w:right w:val="nil"/>
            </w:tcBorders>
            <w:shd w:val="clear" w:color="000000" w:fill="FFFFFF"/>
            <w:noWrap/>
            <w:vAlign w:val="bottom"/>
            <w:hideMark/>
          </w:tcPr>
          <w:p w14:paraId="7EDDD7ED"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3.9</w:t>
            </w:r>
          </w:p>
        </w:tc>
        <w:tc>
          <w:tcPr>
            <w:tcW w:w="1259" w:type="dxa"/>
            <w:tcBorders>
              <w:top w:val="nil"/>
              <w:left w:val="nil"/>
              <w:bottom w:val="nil"/>
              <w:right w:val="nil"/>
            </w:tcBorders>
            <w:vAlign w:val="bottom"/>
          </w:tcPr>
          <w:p w14:paraId="1FB19C88"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3.9</w:t>
            </w:r>
          </w:p>
        </w:tc>
        <w:tc>
          <w:tcPr>
            <w:tcW w:w="1258" w:type="dxa"/>
            <w:tcBorders>
              <w:top w:val="nil"/>
              <w:left w:val="nil"/>
              <w:bottom w:val="nil"/>
              <w:right w:val="nil"/>
            </w:tcBorders>
            <w:noWrap/>
            <w:vAlign w:val="bottom"/>
            <w:hideMark/>
          </w:tcPr>
          <w:p w14:paraId="7BCEC393"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3.6</w:t>
            </w:r>
          </w:p>
        </w:tc>
        <w:tc>
          <w:tcPr>
            <w:tcW w:w="1259" w:type="dxa"/>
            <w:tcBorders>
              <w:top w:val="nil"/>
              <w:left w:val="nil"/>
              <w:bottom w:val="nil"/>
              <w:right w:val="nil"/>
            </w:tcBorders>
            <w:noWrap/>
            <w:vAlign w:val="bottom"/>
            <w:hideMark/>
          </w:tcPr>
          <w:p w14:paraId="4631EB1E"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4.0</w:t>
            </w:r>
          </w:p>
        </w:tc>
        <w:tc>
          <w:tcPr>
            <w:tcW w:w="1259" w:type="dxa"/>
            <w:tcBorders>
              <w:top w:val="nil"/>
              <w:left w:val="nil"/>
              <w:bottom w:val="nil"/>
              <w:right w:val="nil"/>
            </w:tcBorders>
            <w:vAlign w:val="center"/>
          </w:tcPr>
          <w:p w14:paraId="0415BC89"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Calibri" w:eastAsia="Times New Roman" w:hAnsi="Calibri" w:cs="Calibri"/>
                <w:color w:val="000000"/>
                <w:sz w:val="20"/>
                <w:szCs w:val="20"/>
                <w:lang w:eastAsia="en-AU"/>
              </w:rPr>
              <w:t>3.9</w:t>
            </w:r>
          </w:p>
        </w:tc>
      </w:tr>
      <w:tr w:rsidR="00924664" w:rsidRPr="007B6AF7" w14:paraId="452790A3" w14:textId="77777777">
        <w:trPr>
          <w:trHeight w:val="299"/>
        </w:trPr>
        <w:tc>
          <w:tcPr>
            <w:tcW w:w="1351" w:type="dxa"/>
            <w:tcBorders>
              <w:top w:val="nil"/>
              <w:left w:val="nil"/>
              <w:bottom w:val="nil"/>
              <w:right w:val="nil"/>
            </w:tcBorders>
            <w:shd w:val="clear" w:color="000000" w:fill="FFFFFF"/>
            <w:noWrap/>
            <w:vAlign w:val="bottom"/>
            <w:hideMark/>
          </w:tcPr>
          <w:p w14:paraId="6C25D245" w14:textId="77777777" w:rsidR="00924664" w:rsidRPr="00472A01" w:rsidRDefault="00924664">
            <w:pPr>
              <w:spacing w:after="0" w:line="240" w:lineRule="auto"/>
              <w:rPr>
                <w:rFonts w:ascii="Aptos Narrow" w:eastAsia="Times New Roman" w:hAnsi="Aptos Narrow" w:cs="Times New Roman"/>
                <w:b/>
                <w:color w:val="000000"/>
                <w:sz w:val="20"/>
                <w:szCs w:val="20"/>
                <w:lang w:eastAsia="en-AU"/>
              </w:rPr>
            </w:pPr>
            <w:r w:rsidRPr="00472A01">
              <w:rPr>
                <w:rFonts w:ascii="Aptos Narrow" w:eastAsia="Times New Roman" w:hAnsi="Aptos Narrow" w:cs="Times New Roman"/>
                <w:b/>
                <w:color w:val="000000"/>
                <w:sz w:val="20"/>
                <w:szCs w:val="20"/>
                <w:lang w:eastAsia="en-AU"/>
              </w:rPr>
              <w:t>2010</w:t>
            </w:r>
          </w:p>
        </w:tc>
        <w:tc>
          <w:tcPr>
            <w:tcW w:w="1258" w:type="dxa"/>
            <w:tcBorders>
              <w:top w:val="nil"/>
              <w:left w:val="nil"/>
              <w:bottom w:val="nil"/>
              <w:right w:val="nil"/>
            </w:tcBorders>
            <w:shd w:val="clear" w:color="000000" w:fill="FFFFFF"/>
            <w:noWrap/>
            <w:vAlign w:val="bottom"/>
            <w:hideMark/>
          </w:tcPr>
          <w:p w14:paraId="02008746"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3.5</w:t>
            </w:r>
          </w:p>
        </w:tc>
        <w:tc>
          <w:tcPr>
            <w:tcW w:w="1259" w:type="dxa"/>
            <w:tcBorders>
              <w:top w:val="nil"/>
              <w:left w:val="nil"/>
              <w:bottom w:val="nil"/>
              <w:right w:val="nil"/>
            </w:tcBorders>
            <w:shd w:val="clear" w:color="000000" w:fill="FFFFFF"/>
            <w:noWrap/>
            <w:vAlign w:val="bottom"/>
            <w:hideMark/>
          </w:tcPr>
          <w:p w14:paraId="6952329D"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3.9</w:t>
            </w:r>
          </w:p>
        </w:tc>
        <w:tc>
          <w:tcPr>
            <w:tcW w:w="1259" w:type="dxa"/>
            <w:tcBorders>
              <w:top w:val="nil"/>
              <w:left w:val="nil"/>
              <w:bottom w:val="nil"/>
              <w:right w:val="nil"/>
            </w:tcBorders>
            <w:vAlign w:val="bottom"/>
          </w:tcPr>
          <w:p w14:paraId="116C94FF"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3.8</w:t>
            </w:r>
          </w:p>
        </w:tc>
        <w:tc>
          <w:tcPr>
            <w:tcW w:w="1258" w:type="dxa"/>
            <w:tcBorders>
              <w:top w:val="nil"/>
              <w:left w:val="nil"/>
              <w:bottom w:val="nil"/>
              <w:right w:val="nil"/>
            </w:tcBorders>
            <w:noWrap/>
            <w:vAlign w:val="bottom"/>
            <w:hideMark/>
          </w:tcPr>
          <w:p w14:paraId="0D9CAA98"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3.5</w:t>
            </w:r>
          </w:p>
        </w:tc>
        <w:tc>
          <w:tcPr>
            <w:tcW w:w="1259" w:type="dxa"/>
            <w:tcBorders>
              <w:top w:val="nil"/>
              <w:left w:val="nil"/>
              <w:bottom w:val="nil"/>
              <w:right w:val="nil"/>
            </w:tcBorders>
            <w:noWrap/>
            <w:vAlign w:val="bottom"/>
            <w:hideMark/>
          </w:tcPr>
          <w:p w14:paraId="4E494649"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3.9</w:t>
            </w:r>
          </w:p>
        </w:tc>
        <w:tc>
          <w:tcPr>
            <w:tcW w:w="1259" w:type="dxa"/>
            <w:tcBorders>
              <w:top w:val="nil"/>
              <w:left w:val="nil"/>
              <w:bottom w:val="nil"/>
              <w:right w:val="nil"/>
            </w:tcBorders>
            <w:vAlign w:val="center"/>
          </w:tcPr>
          <w:p w14:paraId="6C1A39C8"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Calibri" w:eastAsia="Times New Roman" w:hAnsi="Calibri" w:cs="Calibri"/>
                <w:color w:val="000000"/>
                <w:sz w:val="20"/>
                <w:szCs w:val="20"/>
                <w:lang w:eastAsia="en-AU"/>
              </w:rPr>
              <w:t>3.9</w:t>
            </w:r>
          </w:p>
        </w:tc>
      </w:tr>
      <w:tr w:rsidR="00924664" w:rsidRPr="007B6AF7" w14:paraId="30572AED" w14:textId="77777777">
        <w:trPr>
          <w:trHeight w:val="299"/>
        </w:trPr>
        <w:tc>
          <w:tcPr>
            <w:tcW w:w="1351" w:type="dxa"/>
            <w:tcBorders>
              <w:top w:val="nil"/>
              <w:left w:val="nil"/>
              <w:bottom w:val="nil"/>
              <w:right w:val="nil"/>
            </w:tcBorders>
            <w:shd w:val="clear" w:color="000000" w:fill="FFFFFF"/>
            <w:noWrap/>
            <w:vAlign w:val="bottom"/>
            <w:hideMark/>
          </w:tcPr>
          <w:p w14:paraId="19E4951C" w14:textId="77777777" w:rsidR="00924664" w:rsidRPr="00472A01" w:rsidRDefault="00924664">
            <w:pPr>
              <w:spacing w:after="0" w:line="240" w:lineRule="auto"/>
              <w:rPr>
                <w:rFonts w:ascii="Aptos Narrow" w:eastAsia="Times New Roman" w:hAnsi="Aptos Narrow" w:cs="Times New Roman"/>
                <w:b/>
                <w:color w:val="000000"/>
                <w:sz w:val="20"/>
                <w:szCs w:val="20"/>
                <w:lang w:eastAsia="en-AU"/>
              </w:rPr>
            </w:pPr>
            <w:r w:rsidRPr="00472A01">
              <w:rPr>
                <w:rFonts w:ascii="Aptos Narrow" w:eastAsia="Times New Roman" w:hAnsi="Aptos Narrow" w:cs="Times New Roman"/>
                <w:b/>
                <w:color w:val="000000"/>
                <w:sz w:val="20"/>
                <w:szCs w:val="20"/>
                <w:lang w:eastAsia="en-AU"/>
              </w:rPr>
              <w:t>2011</w:t>
            </w:r>
          </w:p>
        </w:tc>
        <w:tc>
          <w:tcPr>
            <w:tcW w:w="1258" w:type="dxa"/>
            <w:tcBorders>
              <w:top w:val="nil"/>
              <w:left w:val="nil"/>
              <w:bottom w:val="nil"/>
              <w:right w:val="nil"/>
            </w:tcBorders>
            <w:shd w:val="clear" w:color="000000" w:fill="FFFFFF"/>
            <w:noWrap/>
            <w:vAlign w:val="bottom"/>
            <w:hideMark/>
          </w:tcPr>
          <w:p w14:paraId="7139091E"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3.5</w:t>
            </w:r>
          </w:p>
        </w:tc>
        <w:tc>
          <w:tcPr>
            <w:tcW w:w="1259" w:type="dxa"/>
            <w:tcBorders>
              <w:top w:val="nil"/>
              <w:left w:val="nil"/>
              <w:bottom w:val="nil"/>
              <w:right w:val="nil"/>
            </w:tcBorders>
            <w:shd w:val="clear" w:color="000000" w:fill="FFFFFF"/>
            <w:noWrap/>
            <w:vAlign w:val="bottom"/>
            <w:hideMark/>
          </w:tcPr>
          <w:p w14:paraId="341FBBB6"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3.7</w:t>
            </w:r>
          </w:p>
        </w:tc>
        <w:tc>
          <w:tcPr>
            <w:tcW w:w="1259" w:type="dxa"/>
            <w:tcBorders>
              <w:top w:val="nil"/>
              <w:left w:val="nil"/>
              <w:bottom w:val="nil"/>
              <w:right w:val="nil"/>
            </w:tcBorders>
            <w:vAlign w:val="bottom"/>
          </w:tcPr>
          <w:p w14:paraId="4070F9AD"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3.7</w:t>
            </w:r>
          </w:p>
        </w:tc>
        <w:tc>
          <w:tcPr>
            <w:tcW w:w="1258" w:type="dxa"/>
            <w:tcBorders>
              <w:top w:val="nil"/>
              <w:left w:val="nil"/>
              <w:bottom w:val="nil"/>
              <w:right w:val="nil"/>
            </w:tcBorders>
            <w:noWrap/>
            <w:vAlign w:val="bottom"/>
            <w:hideMark/>
          </w:tcPr>
          <w:p w14:paraId="49274367"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3.4</w:t>
            </w:r>
          </w:p>
        </w:tc>
        <w:tc>
          <w:tcPr>
            <w:tcW w:w="1259" w:type="dxa"/>
            <w:tcBorders>
              <w:top w:val="nil"/>
              <w:left w:val="nil"/>
              <w:bottom w:val="nil"/>
              <w:right w:val="nil"/>
            </w:tcBorders>
            <w:noWrap/>
            <w:vAlign w:val="bottom"/>
            <w:hideMark/>
          </w:tcPr>
          <w:p w14:paraId="0251B34B"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3.8</w:t>
            </w:r>
          </w:p>
        </w:tc>
        <w:tc>
          <w:tcPr>
            <w:tcW w:w="1259" w:type="dxa"/>
            <w:tcBorders>
              <w:top w:val="nil"/>
              <w:left w:val="nil"/>
              <w:bottom w:val="nil"/>
              <w:right w:val="nil"/>
            </w:tcBorders>
            <w:vAlign w:val="center"/>
          </w:tcPr>
          <w:p w14:paraId="1357F4CD"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Calibri" w:eastAsia="Times New Roman" w:hAnsi="Calibri" w:cs="Calibri"/>
                <w:color w:val="000000"/>
                <w:sz w:val="20"/>
                <w:szCs w:val="20"/>
                <w:lang w:eastAsia="en-AU"/>
              </w:rPr>
              <w:t>3.8</w:t>
            </w:r>
          </w:p>
        </w:tc>
      </w:tr>
      <w:tr w:rsidR="00924664" w:rsidRPr="007B6AF7" w14:paraId="092B5AF0" w14:textId="77777777">
        <w:trPr>
          <w:trHeight w:val="299"/>
        </w:trPr>
        <w:tc>
          <w:tcPr>
            <w:tcW w:w="1351" w:type="dxa"/>
            <w:tcBorders>
              <w:top w:val="nil"/>
              <w:left w:val="nil"/>
              <w:bottom w:val="nil"/>
              <w:right w:val="nil"/>
            </w:tcBorders>
            <w:shd w:val="clear" w:color="000000" w:fill="FFFFFF"/>
            <w:noWrap/>
            <w:vAlign w:val="bottom"/>
            <w:hideMark/>
          </w:tcPr>
          <w:p w14:paraId="1B169766" w14:textId="77777777" w:rsidR="00924664" w:rsidRPr="00472A01" w:rsidRDefault="00924664">
            <w:pPr>
              <w:spacing w:after="0" w:line="240" w:lineRule="auto"/>
              <w:rPr>
                <w:rFonts w:ascii="Aptos Narrow" w:eastAsia="Times New Roman" w:hAnsi="Aptos Narrow" w:cs="Times New Roman"/>
                <w:b/>
                <w:color w:val="000000"/>
                <w:sz w:val="20"/>
                <w:szCs w:val="20"/>
                <w:lang w:eastAsia="en-AU"/>
              </w:rPr>
            </w:pPr>
            <w:r w:rsidRPr="00472A01">
              <w:rPr>
                <w:rFonts w:ascii="Aptos Narrow" w:eastAsia="Times New Roman" w:hAnsi="Aptos Narrow" w:cs="Times New Roman"/>
                <w:b/>
                <w:color w:val="000000"/>
                <w:sz w:val="20"/>
                <w:szCs w:val="20"/>
                <w:lang w:eastAsia="en-AU"/>
              </w:rPr>
              <w:t>2012</w:t>
            </w:r>
          </w:p>
        </w:tc>
        <w:tc>
          <w:tcPr>
            <w:tcW w:w="1258" w:type="dxa"/>
            <w:tcBorders>
              <w:top w:val="nil"/>
              <w:left w:val="nil"/>
              <w:bottom w:val="nil"/>
              <w:right w:val="nil"/>
            </w:tcBorders>
            <w:shd w:val="clear" w:color="000000" w:fill="FFFFFF"/>
            <w:noWrap/>
            <w:vAlign w:val="bottom"/>
            <w:hideMark/>
          </w:tcPr>
          <w:p w14:paraId="4CBADA9A"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3.4</w:t>
            </w:r>
          </w:p>
        </w:tc>
        <w:tc>
          <w:tcPr>
            <w:tcW w:w="1259" w:type="dxa"/>
            <w:tcBorders>
              <w:top w:val="nil"/>
              <w:left w:val="nil"/>
              <w:bottom w:val="nil"/>
              <w:right w:val="nil"/>
            </w:tcBorders>
            <w:shd w:val="clear" w:color="000000" w:fill="FFFFFF"/>
            <w:noWrap/>
            <w:vAlign w:val="bottom"/>
            <w:hideMark/>
          </w:tcPr>
          <w:p w14:paraId="376128C7"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3.5</w:t>
            </w:r>
          </w:p>
        </w:tc>
        <w:tc>
          <w:tcPr>
            <w:tcW w:w="1259" w:type="dxa"/>
            <w:tcBorders>
              <w:top w:val="nil"/>
              <w:left w:val="nil"/>
              <w:bottom w:val="nil"/>
              <w:right w:val="nil"/>
            </w:tcBorders>
            <w:vAlign w:val="bottom"/>
          </w:tcPr>
          <w:p w14:paraId="2566242D"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3.5</w:t>
            </w:r>
          </w:p>
        </w:tc>
        <w:tc>
          <w:tcPr>
            <w:tcW w:w="1258" w:type="dxa"/>
            <w:tcBorders>
              <w:top w:val="nil"/>
              <w:left w:val="nil"/>
              <w:bottom w:val="nil"/>
              <w:right w:val="nil"/>
            </w:tcBorders>
            <w:noWrap/>
            <w:vAlign w:val="bottom"/>
            <w:hideMark/>
          </w:tcPr>
          <w:p w14:paraId="5A868992"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3.4</w:t>
            </w:r>
          </w:p>
        </w:tc>
        <w:tc>
          <w:tcPr>
            <w:tcW w:w="1259" w:type="dxa"/>
            <w:tcBorders>
              <w:top w:val="nil"/>
              <w:left w:val="nil"/>
              <w:bottom w:val="nil"/>
              <w:right w:val="nil"/>
            </w:tcBorders>
            <w:noWrap/>
            <w:vAlign w:val="bottom"/>
            <w:hideMark/>
          </w:tcPr>
          <w:p w14:paraId="76587ADB"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3.6</w:t>
            </w:r>
          </w:p>
        </w:tc>
        <w:tc>
          <w:tcPr>
            <w:tcW w:w="1259" w:type="dxa"/>
            <w:tcBorders>
              <w:top w:val="nil"/>
              <w:left w:val="nil"/>
              <w:bottom w:val="nil"/>
              <w:right w:val="nil"/>
            </w:tcBorders>
            <w:vAlign w:val="center"/>
          </w:tcPr>
          <w:p w14:paraId="3B6E1513"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Calibri" w:eastAsia="Times New Roman" w:hAnsi="Calibri" w:cs="Calibri"/>
                <w:color w:val="000000"/>
                <w:sz w:val="20"/>
                <w:szCs w:val="20"/>
                <w:lang w:eastAsia="en-AU"/>
              </w:rPr>
              <w:t>3.6</w:t>
            </w:r>
          </w:p>
        </w:tc>
      </w:tr>
      <w:tr w:rsidR="00924664" w:rsidRPr="007B6AF7" w14:paraId="02D9CB62" w14:textId="77777777">
        <w:trPr>
          <w:trHeight w:val="299"/>
        </w:trPr>
        <w:tc>
          <w:tcPr>
            <w:tcW w:w="1351" w:type="dxa"/>
            <w:tcBorders>
              <w:top w:val="nil"/>
              <w:left w:val="nil"/>
              <w:bottom w:val="nil"/>
              <w:right w:val="nil"/>
            </w:tcBorders>
            <w:shd w:val="clear" w:color="000000" w:fill="FFFFFF"/>
            <w:noWrap/>
            <w:vAlign w:val="bottom"/>
            <w:hideMark/>
          </w:tcPr>
          <w:p w14:paraId="5F4C6547" w14:textId="77777777" w:rsidR="00924664" w:rsidRPr="00472A01" w:rsidRDefault="00924664">
            <w:pPr>
              <w:spacing w:after="0" w:line="240" w:lineRule="auto"/>
              <w:rPr>
                <w:rFonts w:ascii="Aptos Narrow" w:eastAsia="Times New Roman" w:hAnsi="Aptos Narrow" w:cs="Times New Roman"/>
                <w:b/>
                <w:color w:val="000000"/>
                <w:sz w:val="20"/>
                <w:szCs w:val="20"/>
                <w:lang w:eastAsia="en-AU"/>
              </w:rPr>
            </w:pPr>
            <w:r w:rsidRPr="00472A01">
              <w:rPr>
                <w:rFonts w:ascii="Aptos Narrow" w:eastAsia="Times New Roman" w:hAnsi="Aptos Narrow" w:cs="Times New Roman"/>
                <w:b/>
                <w:color w:val="000000"/>
                <w:sz w:val="20"/>
                <w:szCs w:val="20"/>
                <w:lang w:eastAsia="en-AU"/>
              </w:rPr>
              <w:t>2013</w:t>
            </w:r>
          </w:p>
        </w:tc>
        <w:tc>
          <w:tcPr>
            <w:tcW w:w="1258" w:type="dxa"/>
            <w:tcBorders>
              <w:top w:val="nil"/>
              <w:left w:val="nil"/>
              <w:bottom w:val="nil"/>
              <w:right w:val="nil"/>
            </w:tcBorders>
            <w:shd w:val="clear" w:color="000000" w:fill="FFFFFF"/>
            <w:noWrap/>
            <w:vAlign w:val="bottom"/>
            <w:hideMark/>
          </w:tcPr>
          <w:p w14:paraId="10D6488F"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3.2</w:t>
            </w:r>
          </w:p>
        </w:tc>
        <w:tc>
          <w:tcPr>
            <w:tcW w:w="1259" w:type="dxa"/>
            <w:tcBorders>
              <w:top w:val="nil"/>
              <w:left w:val="nil"/>
              <w:bottom w:val="nil"/>
              <w:right w:val="nil"/>
            </w:tcBorders>
            <w:shd w:val="clear" w:color="000000" w:fill="FFFFFF"/>
            <w:noWrap/>
            <w:vAlign w:val="bottom"/>
            <w:hideMark/>
          </w:tcPr>
          <w:p w14:paraId="07AA61C8"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3.4</w:t>
            </w:r>
          </w:p>
        </w:tc>
        <w:tc>
          <w:tcPr>
            <w:tcW w:w="1259" w:type="dxa"/>
            <w:tcBorders>
              <w:top w:val="nil"/>
              <w:left w:val="nil"/>
              <w:bottom w:val="nil"/>
              <w:right w:val="nil"/>
            </w:tcBorders>
            <w:vAlign w:val="bottom"/>
          </w:tcPr>
          <w:p w14:paraId="2E75E23D"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3.4</w:t>
            </w:r>
          </w:p>
        </w:tc>
        <w:tc>
          <w:tcPr>
            <w:tcW w:w="1258" w:type="dxa"/>
            <w:tcBorders>
              <w:top w:val="nil"/>
              <w:left w:val="nil"/>
              <w:bottom w:val="nil"/>
              <w:right w:val="nil"/>
            </w:tcBorders>
            <w:noWrap/>
            <w:vAlign w:val="bottom"/>
            <w:hideMark/>
          </w:tcPr>
          <w:p w14:paraId="7B751AEB"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3.3</w:t>
            </w:r>
          </w:p>
        </w:tc>
        <w:tc>
          <w:tcPr>
            <w:tcW w:w="1259" w:type="dxa"/>
            <w:tcBorders>
              <w:top w:val="nil"/>
              <w:left w:val="nil"/>
              <w:bottom w:val="nil"/>
              <w:right w:val="nil"/>
            </w:tcBorders>
            <w:noWrap/>
            <w:vAlign w:val="bottom"/>
            <w:hideMark/>
          </w:tcPr>
          <w:p w14:paraId="5696A4A1"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3.5</w:t>
            </w:r>
          </w:p>
        </w:tc>
        <w:tc>
          <w:tcPr>
            <w:tcW w:w="1259" w:type="dxa"/>
            <w:tcBorders>
              <w:top w:val="nil"/>
              <w:left w:val="nil"/>
              <w:bottom w:val="nil"/>
              <w:right w:val="nil"/>
            </w:tcBorders>
            <w:vAlign w:val="center"/>
          </w:tcPr>
          <w:p w14:paraId="6C3686AF"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Calibri" w:eastAsia="Times New Roman" w:hAnsi="Calibri" w:cs="Calibri"/>
                <w:color w:val="000000"/>
                <w:sz w:val="20"/>
                <w:szCs w:val="20"/>
                <w:lang w:eastAsia="en-AU"/>
              </w:rPr>
              <w:t>3.5</w:t>
            </w:r>
          </w:p>
        </w:tc>
      </w:tr>
      <w:tr w:rsidR="00924664" w:rsidRPr="007B6AF7" w14:paraId="3CBA0674" w14:textId="77777777">
        <w:trPr>
          <w:trHeight w:val="299"/>
        </w:trPr>
        <w:tc>
          <w:tcPr>
            <w:tcW w:w="1351" w:type="dxa"/>
            <w:tcBorders>
              <w:top w:val="nil"/>
              <w:left w:val="nil"/>
              <w:bottom w:val="nil"/>
              <w:right w:val="nil"/>
            </w:tcBorders>
            <w:shd w:val="clear" w:color="000000" w:fill="FFFFFF"/>
            <w:noWrap/>
            <w:vAlign w:val="bottom"/>
            <w:hideMark/>
          </w:tcPr>
          <w:p w14:paraId="785C1FFA" w14:textId="77777777" w:rsidR="00924664" w:rsidRPr="00472A01" w:rsidRDefault="00924664">
            <w:pPr>
              <w:spacing w:after="0" w:line="240" w:lineRule="auto"/>
              <w:rPr>
                <w:rFonts w:ascii="Aptos Narrow" w:eastAsia="Times New Roman" w:hAnsi="Aptos Narrow" w:cs="Times New Roman"/>
                <w:b/>
                <w:color w:val="000000"/>
                <w:sz w:val="20"/>
                <w:szCs w:val="20"/>
                <w:lang w:eastAsia="en-AU"/>
              </w:rPr>
            </w:pPr>
            <w:r w:rsidRPr="00472A01">
              <w:rPr>
                <w:rFonts w:ascii="Aptos Narrow" w:eastAsia="Times New Roman" w:hAnsi="Aptos Narrow" w:cs="Times New Roman"/>
                <w:b/>
                <w:color w:val="000000"/>
                <w:sz w:val="20"/>
                <w:szCs w:val="20"/>
                <w:lang w:eastAsia="en-AU"/>
              </w:rPr>
              <w:t>2014</w:t>
            </w:r>
          </w:p>
        </w:tc>
        <w:tc>
          <w:tcPr>
            <w:tcW w:w="1258" w:type="dxa"/>
            <w:tcBorders>
              <w:top w:val="nil"/>
              <w:left w:val="nil"/>
              <w:bottom w:val="nil"/>
              <w:right w:val="nil"/>
            </w:tcBorders>
            <w:shd w:val="clear" w:color="000000" w:fill="FFFFFF"/>
            <w:noWrap/>
            <w:vAlign w:val="bottom"/>
            <w:hideMark/>
          </w:tcPr>
          <w:p w14:paraId="0143AE91"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2.9</w:t>
            </w:r>
          </w:p>
        </w:tc>
        <w:tc>
          <w:tcPr>
            <w:tcW w:w="1259" w:type="dxa"/>
            <w:tcBorders>
              <w:top w:val="nil"/>
              <w:left w:val="nil"/>
              <w:bottom w:val="nil"/>
              <w:right w:val="nil"/>
            </w:tcBorders>
            <w:shd w:val="clear" w:color="000000" w:fill="FFFFFF"/>
            <w:noWrap/>
            <w:vAlign w:val="bottom"/>
            <w:hideMark/>
          </w:tcPr>
          <w:p w14:paraId="1C8C94B8"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3.5</w:t>
            </w:r>
          </w:p>
        </w:tc>
        <w:tc>
          <w:tcPr>
            <w:tcW w:w="1259" w:type="dxa"/>
            <w:tcBorders>
              <w:top w:val="nil"/>
              <w:left w:val="nil"/>
              <w:bottom w:val="nil"/>
              <w:right w:val="nil"/>
            </w:tcBorders>
            <w:vAlign w:val="bottom"/>
          </w:tcPr>
          <w:p w14:paraId="5832187B"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3.4</w:t>
            </w:r>
          </w:p>
        </w:tc>
        <w:tc>
          <w:tcPr>
            <w:tcW w:w="1258" w:type="dxa"/>
            <w:tcBorders>
              <w:top w:val="nil"/>
              <w:left w:val="nil"/>
              <w:bottom w:val="nil"/>
              <w:right w:val="nil"/>
            </w:tcBorders>
            <w:noWrap/>
            <w:vAlign w:val="bottom"/>
            <w:hideMark/>
          </w:tcPr>
          <w:p w14:paraId="14E21086"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3.1</w:t>
            </w:r>
          </w:p>
        </w:tc>
        <w:tc>
          <w:tcPr>
            <w:tcW w:w="1259" w:type="dxa"/>
            <w:tcBorders>
              <w:top w:val="nil"/>
              <w:left w:val="nil"/>
              <w:bottom w:val="nil"/>
              <w:right w:val="nil"/>
            </w:tcBorders>
            <w:noWrap/>
            <w:vAlign w:val="bottom"/>
            <w:hideMark/>
          </w:tcPr>
          <w:p w14:paraId="3FA09AC7"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3.5</w:t>
            </w:r>
          </w:p>
        </w:tc>
        <w:tc>
          <w:tcPr>
            <w:tcW w:w="1259" w:type="dxa"/>
            <w:tcBorders>
              <w:top w:val="nil"/>
              <w:left w:val="nil"/>
              <w:bottom w:val="nil"/>
              <w:right w:val="nil"/>
            </w:tcBorders>
            <w:vAlign w:val="center"/>
          </w:tcPr>
          <w:p w14:paraId="0F5EA3AE"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Calibri" w:eastAsia="Times New Roman" w:hAnsi="Calibri" w:cs="Calibri"/>
                <w:color w:val="000000"/>
                <w:sz w:val="20"/>
                <w:szCs w:val="20"/>
                <w:lang w:eastAsia="en-AU"/>
              </w:rPr>
              <w:t>3.4</w:t>
            </w:r>
          </w:p>
        </w:tc>
      </w:tr>
      <w:tr w:rsidR="00924664" w:rsidRPr="007B6AF7" w14:paraId="3855ADFA" w14:textId="77777777">
        <w:trPr>
          <w:trHeight w:val="299"/>
        </w:trPr>
        <w:tc>
          <w:tcPr>
            <w:tcW w:w="1351" w:type="dxa"/>
            <w:tcBorders>
              <w:top w:val="nil"/>
              <w:left w:val="nil"/>
              <w:bottom w:val="nil"/>
              <w:right w:val="nil"/>
            </w:tcBorders>
            <w:shd w:val="clear" w:color="000000" w:fill="FFFFFF"/>
            <w:noWrap/>
            <w:vAlign w:val="bottom"/>
            <w:hideMark/>
          </w:tcPr>
          <w:p w14:paraId="47966B7A" w14:textId="77777777" w:rsidR="00924664" w:rsidRPr="00472A01" w:rsidRDefault="00924664">
            <w:pPr>
              <w:spacing w:after="0" w:line="240" w:lineRule="auto"/>
              <w:rPr>
                <w:rFonts w:ascii="Aptos Narrow" w:eastAsia="Times New Roman" w:hAnsi="Aptos Narrow" w:cs="Times New Roman"/>
                <w:b/>
                <w:color w:val="000000"/>
                <w:sz w:val="20"/>
                <w:szCs w:val="20"/>
                <w:lang w:eastAsia="en-AU"/>
              </w:rPr>
            </w:pPr>
            <w:r w:rsidRPr="00472A01">
              <w:rPr>
                <w:rFonts w:ascii="Aptos Narrow" w:eastAsia="Times New Roman" w:hAnsi="Aptos Narrow" w:cs="Times New Roman"/>
                <w:b/>
                <w:color w:val="000000"/>
                <w:sz w:val="20"/>
                <w:szCs w:val="20"/>
                <w:lang w:eastAsia="en-AU"/>
              </w:rPr>
              <w:t>2015</w:t>
            </w:r>
          </w:p>
        </w:tc>
        <w:tc>
          <w:tcPr>
            <w:tcW w:w="1258" w:type="dxa"/>
            <w:tcBorders>
              <w:top w:val="nil"/>
              <w:left w:val="nil"/>
              <w:bottom w:val="nil"/>
              <w:right w:val="nil"/>
            </w:tcBorders>
            <w:shd w:val="clear" w:color="000000" w:fill="FFFFFF"/>
            <w:noWrap/>
            <w:vAlign w:val="bottom"/>
            <w:hideMark/>
          </w:tcPr>
          <w:p w14:paraId="70A61144"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2.8</w:t>
            </w:r>
          </w:p>
        </w:tc>
        <w:tc>
          <w:tcPr>
            <w:tcW w:w="1259" w:type="dxa"/>
            <w:tcBorders>
              <w:top w:val="nil"/>
              <w:left w:val="nil"/>
              <w:bottom w:val="nil"/>
              <w:right w:val="nil"/>
            </w:tcBorders>
            <w:shd w:val="clear" w:color="000000" w:fill="FFFFFF"/>
            <w:noWrap/>
            <w:vAlign w:val="bottom"/>
            <w:hideMark/>
          </w:tcPr>
          <w:p w14:paraId="2DF157C3"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3.0</w:t>
            </w:r>
          </w:p>
        </w:tc>
        <w:tc>
          <w:tcPr>
            <w:tcW w:w="1259" w:type="dxa"/>
            <w:tcBorders>
              <w:top w:val="nil"/>
              <w:left w:val="nil"/>
              <w:bottom w:val="nil"/>
              <w:right w:val="nil"/>
            </w:tcBorders>
            <w:vAlign w:val="bottom"/>
          </w:tcPr>
          <w:p w14:paraId="1EC0A9A3"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3.0</w:t>
            </w:r>
          </w:p>
        </w:tc>
        <w:tc>
          <w:tcPr>
            <w:tcW w:w="1258" w:type="dxa"/>
            <w:tcBorders>
              <w:top w:val="nil"/>
              <w:left w:val="nil"/>
              <w:bottom w:val="nil"/>
              <w:right w:val="nil"/>
            </w:tcBorders>
            <w:noWrap/>
            <w:vAlign w:val="bottom"/>
            <w:hideMark/>
          </w:tcPr>
          <w:p w14:paraId="603884DD"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3.0</w:t>
            </w:r>
          </w:p>
        </w:tc>
        <w:tc>
          <w:tcPr>
            <w:tcW w:w="1259" w:type="dxa"/>
            <w:tcBorders>
              <w:top w:val="nil"/>
              <w:left w:val="nil"/>
              <w:bottom w:val="nil"/>
              <w:right w:val="nil"/>
            </w:tcBorders>
            <w:noWrap/>
            <w:vAlign w:val="bottom"/>
            <w:hideMark/>
          </w:tcPr>
          <w:p w14:paraId="734E0A64"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3.2</w:t>
            </w:r>
          </w:p>
        </w:tc>
        <w:tc>
          <w:tcPr>
            <w:tcW w:w="1259" w:type="dxa"/>
            <w:tcBorders>
              <w:top w:val="nil"/>
              <w:left w:val="nil"/>
              <w:bottom w:val="nil"/>
              <w:right w:val="nil"/>
            </w:tcBorders>
            <w:vAlign w:val="center"/>
          </w:tcPr>
          <w:p w14:paraId="13F1A50D"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Calibri" w:eastAsia="Times New Roman" w:hAnsi="Calibri" w:cs="Calibri"/>
                <w:color w:val="000000"/>
                <w:sz w:val="20"/>
                <w:szCs w:val="20"/>
                <w:lang w:eastAsia="en-AU"/>
              </w:rPr>
              <w:t>3.2</w:t>
            </w:r>
          </w:p>
        </w:tc>
      </w:tr>
      <w:tr w:rsidR="00924664" w:rsidRPr="007B6AF7" w14:paraId="3401F44A" w14:textId="77777777">
        <w:trPr>
          <w:trHeight w:val="299"/>
        </w:trPr>
        <w:tc>
          <w:tcPr>
            <w:tcW w:w="1351" w:type="dxa"/>
            <w:tcBorders>
              <w:top w:val="nil"/>
              <w:left w:val="nil"/>
              <w:bottom w:val="nil"/>
              <w:right w:val="nil"/>
            </w:tcBorders>
            <w:shd w:val="clear" w:color="000000" w:fill="FFFFFF"/>
            <w:noWrap/>
            <w:vAlign w:val="bottom"/>
            <w:hideMark/>
          </w:tcPr>
          <w:p w14:paraId="4A0029E2" w14:textId="77777777" w:rsidR="00924664" w:rsidRPr="00472A01" w:rsidRDefault="00924664">
            <w:pPr>
              <w:spacing w:after="0" w:line="240" w:lineRule="auto"/>
              <w:rPr>
                <w:rFonts w:ascii="Aptos Narrow" w:eastAsia="Times New Roman" w:hAnsi="Aptos Narrow" w:cs="Times New Roman"/>
                <w:b/>
                <w:color w:val="000000"/>
                <w:sz w:val="20"/>
                <w:szCs w:val="20"/>
                <w:lang w:eastAsia="en-AU"/>
              </w:rPr>
            </w:pPr>
            <w:r w:rsidRPr="00472A01">
              <w:rPr>
                <w:rFonts w:ascii="Aptos Narrow" w:eastAsia="Times New Roman" w:hAnsi="Aptos Narrow" w:cs="Times New Roman"/>
                <w:b/>
                <w:color w:val="000000"/>
                <w:sz w:val="20"/>
                <w:szCs w:val="20"/>
                <w:lang w:eastAsia="en-AU"/>
              </w:rPr>
              <w:t>2016</w:t>
            </w:r>
          </w:p>
        </w:tc>
        <w:tc>
          <w:tcPr>
            <w:tcW w:w="1258" w:type="dxa"/>
            <w:tcBorders>
              <w:top w:val="nil"/>
              <w:left w:val="nil"/>
              <w:bottom w:val="nil"/>
              <w:right w:val="nil"/>
            </w:tcBorders>
            <w:shd w:val="clear" w:color="000000" w:fill="FFFFFF"/>
            <w:noWrap/>
            <w:vAlign w:val="bottom"/>
            <w:hideMark/>
          </w:tcPr>
          <w:p w14:paraId="0353A9AF"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2.5</w:t>
            </w:r>
          </w:p>
        </w:tc>
        <w:tc>
          <w:tcPr>
            <w:tcW w:w="1259" w:type="dxa"/>
            <w:tcBorders>
              <w:top w:val="nil"/>
              <w:left w:val="nil"/>
              <w:bottom w:val="nil"/>
              <w:right w:val="nil"/>
            </w:tcBorders>
            <w:shd w:val="clear" w:color="000000" w:fill="FFFFFF"/>
            <w:noWrap/>
            <w:vAlign w:val="bottom"/>
            <w:hideMark/>
          </w:tcPr>
          <w:p w14:paraId="3BA1453D"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3.1</w:t>
            </w:r>
          </w:p>
        </w:tc>
        <w:tc>
          <w:tcPr>
            <w:tcW w:w="1259" w:type="dxa"/>
            <w:tcBorders>
              <w:top w:val="nil"/>
              <w:left w:val="nil"/>
              <w:bottom w:val="nil"/>
              <w:right w:val="nil"/>
            </w:tcBorders>
            <w:vAlign w:val="bottom"/>
          </w:tcPr>
          <w:p w14:paraId="34EA0483"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3.0</w:t>
            </w:r>
          </w:p>
        </w:tc>
        <w:tc>
          <w:tcPr>
            <w:tcW w:w="1258" w:type="dxa"/>
            <w:tcBorders>
              <w:top w:val="nil"/>
              <w:left w:val="nil"/>
              <w:bottom w:val="nil"/>
              <w:right w:val="nil"/>
            </w:tcBorders>
            <w:noWrap/>
            <w:vAlign w:val="bottom"/>
            <w:hideMark/>
          </w:tcPr>
          <w:p w14:paraId="10BBEDC9"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2.8</w:t>
            </w:r>
          </w:p>
        </w:tc>
        <w:tc>
          <w:tcPr>
            <w:tcW w:w="1259" w:type="dxa"/>
            <w:tcBorders>
              <w:top w:val="nil"/>
              <w:left w:val="nil"/>
              <w:bottom w:val="nil"/>
              <w:right w:val="nil"/>
            </w:tcBorders>
            <w:noWrap/>
            <w:vAlign w:val="bottom"/>
            <w:hideMark/>
          </w:tcPr>
          <w:p w14:paraId="149DE37B"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3.2</w:t>
            </w:r>
          </w:p>
        </w:tc>
        <w:tc>
          <w:tcPr>
            <w:tcW w:w="1259" w:type="dxa"/>
            <w:tcBorders>
              <w:top w:val="nil"/>
              <w:left w:val="nil"/>
              <w:bottom w:val="nil"/>
              <w:right w:val="nil"/>
            </w:tcBorders>
            <w:vAlign w:val="center"/>
          </w:tcPr>
          <w:p w14:paraId="082CA6A6"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Calibri" w:eastAsia="Times New Roman" w:hAnsi="Calibri" w:cs="Calibri"/>
                <w:color w:val="000000"/>
                <w:sz w:val="20"/>
                <w:szCs w:val="20"/>
                <w:lang w:eastAsia="en-AU"/>
              </w:rPr>
              <w:t>3.2</w:t>
            </w:r>
          </w:p>
        </w:tc>
      </w:tr>
      <w:tr w:rsidR="00924664" w:rsidRPr="007B6AF7" w14:paraId="78829B6A" w14:textId="77777777">
        <w:trPr>
          <w:trHeight w:val="299"/>
        </w:trPr>
        <w:tc>
          <w:tcPr>
            <w:tcW w:w="1351" w:type="dxa"/>
            <w:tcBorders>
              <w:top w:val="nil"/>
              <w:left w:val="nil"/>
              <w:bottom w:val="nil"/>
              <w:right w:val="nil"/>
            </w:tcBorders>
            <w:shd w:val="clear" w:color="000000" w:fill="FFFFFF"/>
            <w:noWrap/>
            <w:vAlign w:val="bottom"/>
            <w:hideMark/>
          </w:tcPr>
          <w:p w14:paraId="4A058762" w14:textId="77777777" w:rsidR="00924664" w:rsidRPr="00472A01" w:rsidRDefault="00924664">
            <w:pPr>
              <w:spacing w:after="0" w:line="240" w:lineRule="auto"/>
              <w:rPr>
                <w:rFonts w:ascii="Aptos Narrow" w:eastAsia="Times New Roman" w:hAnsi="Aptos Narrow" w:cs="Times New Roman"/>
                <w:b/>
                <w:color w:val="000000"/>
                <w:sz w:val="20"/>
                <w:szCs w:val="20"/>
                <w:lang w:eastAsia="en-AU"/>
              </w:rPr>
            </w:pPr>
            <w:r w:rsidRPr="00472A01">
              <w:rPr>
                <w:rFonts w:ascii="Aptos Narrow" w:eastAsia="Times New Roman" w:hAnsi="Aptos Narrow" w:cs="Times New Roman"/>
                <w:b/>
                <w:color w:val="000000"/>
                <w:sz w:val="20"/>
                <w:szCs w:val="20"/>
                <w:lang w:eastAsia="en-AU"/>
              </w:rPr>
              <w:t>2017</w:t>
            </w:r>
          </w:p>
        </w:tc>
        <w:tc>
          <w:tcPr>
            <w:tcW w:w="1258" w:type="dxa"/>
            <w:tcBorders>
              <w:top w:val="nil"/>
              <w:left w:val="nil"/>
              <w:bottom w:val="nil"/>
              <w:right w:val="nil"/>
            </w:tcBorders>
            <w:shd w:val="clear" w:color="000000" w:fill="FFFFFF"/>
            <w:noWrap/>
            <w:vAlign w:val="bottom"/>
            <w:hideMark/>
          </w:tcPr>
          <w:p w14:paraId="5127A5E6"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2.4</w:t>
            </w:r>
          </w:p>
        </w:tc>
        <w:tc>
          <w:tcPr>
            <w:tcW w:w="1259" w:type="dxa"/>
            <w:tcBorders>
              <w:top w:val="nil"/>
              <w:left w:val="nil"/>
              <w:bottom w:val="nil"/>
              <w:right w:val="nil"/>
            </w:tcBorders>
            <w:shd w:val="clear" w:color="000000" w:fill="FFFFFF"/>
            <w:noWrap/>
            <w:vAlign w:val="bottom"/>
            <w:hideMark/>
          </w:tcPr>
          <w:p w14:paraId="79144696"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2.4</w:t>
            </w:r>
          </w:p>
        </w:tc>
        <w:tc>
          <w:tcPr>
            <w:tcW w:w="1259" w:type="dxa"/>
            <w:tcBorders>
              <w:top w:val="nil"/>
              <w:left w:val="nil"/>
              <w:bottom w:val="nil"/>
              <w:right w:val="nil"/>
            </w:tcBorders>
            <w:vAlign w:val="bottom"/>
          </w:tcPr>
          <w:p w14:paraId="19E4E720"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2.4</w:t>
            </w:r>
          </w:p>
        </w:tc>
        <w:tc>
          <w:tcPr>
            <w:tcW w:w="1258" w:type="dxa"/>
            <w:tcBorders>
              <w:top w:val="nil"/>
              <w:left w:val="nil"/>
              <w:bottom w:val="nil"/>
              <w:right w:val="nil"/>
            </w:tcBorders>
            <w:noWrap/>
            <w:vAlign w:val="bottom"/>
            <w:hideMark/>
          </w:tcPr>
          <w:p w14:paraId="7D836933"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2.6</w:t>
            </w:r>
          </w:p>
        </w:tc>
        <w:tc>
          <w:tcPr>
            <w:tcW w:w="1259" w:type="dxa"/>
            <w:tcBorders>
              <w:top w:val="nil"/>
              <w:left w:val="nil"/>
              <w:bottom w:val="nil"/>
              <w:right w:val="nil"/>
            </w:tcBorders>
            <w:noWrap/>
            <w:vAlign w:val="bottom"/>
            <w:hideMark/>
          </w:tcPr>
          <w:p w14:paraId="3567BAAC"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2.8</w:t>
            </w:r>
          </w:p>
        </w:tc>
        <w:tc>
          <w:tcPr>
            <w:tcW w:w="1259" w:type="dxa"/>
            <w:tcBorders>
              <w:top w:val="nil"/>
              <w:left w:val="nil"/>
              <w:bottom w:val="nil"/>
              <w:right w:val="nil"/>
            </w:tcBorders>
            <w:vAlign w:val="center"/>
          </w:tcPr>
          <w:p w14:paraId="677116BF"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Calibri" w:eastAsia="Times New Roman" w:hAnsi="Calibri" w:cs="Calibri"/>
                <w:color w:val="000000"/>
                <w:sz w:val="20"/>
                <w:szCs w:val="20"/>
                <w:lang w:eastAsia="en-AU"/>
              </w:rPr>
              <w:t>2.8</w:t>
            </w:r>
          </w:p>
        </w:tc>
      </w:tr>
      <w:tr w:rsidR="00924664" w:rsidRPr="007B6AF7" w14:paraId="38350068" w14:textId="77777777">
        <w:trPr>
          <w:trHeight w:val="299"/>
        </w:trPr>
        <w:tc>
          <w:tcPr>
            <w:tcW w:w="1351" w:type="dxa"/>
            <w:tcBorders>
              <w:top w:val="nil"/>
              <w:left w:val="nil"/>
              <w:bottom w:val="nil"/>
              <w:right w:val="nil"/>
            </w:tcBorders>
            <w:shd w:val="clear" w:color="000000" w:fill="FFFFFF"/>
            <w:noWrap/>
            <w:vAlign w:val="bottom"/>
            <w:hideMark/>
          </w:tcPr>
          <w:p w14:paraId="45911F47" w14:textId="77777777" w:rsidR="00924664" w:rsidRPr="00472A01" w:rsidRDefault="00924664">
            <w:pPr>
              <w:spacing w:after="0" w:line="240" w:lineRule="auto"/>
              <w:rPr>
                <w:rFonts w:ascii="Aptos Narrow" w:eastAsia="Times New Roman" w:hAnsi="Aptos Narrow" w:cs="Times New Roman"/>
                <w:b/>
                <w:color w:val="000000"/>
                <w:sz w:val="20"/>
                <w:szCs w:val="20"/>
                <w:lang w:eastAsia="en-AU"/>
              </w:rPr>
            </w:pPr>
            <w:r w:rsidRPr="00472A01">
              <w:rPr>
                <w:rFonts w:ascii="Aptos Narrow" w:eastAsia="Times New Roman" w:hAnsi="Aptos Narrow" w:cs="Times New Roman"/>
                <w:b/>
                <w:color w:val="000000"/>
                <w:sz w:val="20"/>
                <w:szCs w:val="20"/>
                <w:lang w:eastAsia="en-AU"/>
              </w:rPr>
              <w:t>2018</w:t>
            </w:r>
          </w:p>
        </w:tc>
        <w:tc>
          <w:tcPr>
            <w:tcW w:w="1258" w:type="dxa"/>
            <w:tcBorders>
              <w:top w:val="nil"/>
              <w:left w:val="nil"/>
              <w:bottom w:val="nil"/>
              <w:right w:val="nil"/>
            </w:tcBorders>
            <w:shd w:val="clear" w:color="000000" w:fill="FFFFFF"/>
            <w:noWrap/>
            <w:vAlign w:val="bottom"/>
            <w:hideMark/>
          </w:tcPr>
          <w:p w14:paraId="6B69C4AD"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2.3</w:t>
            </w:r>
          </w:p>
        </w:tc>
        <w:tc>
          <w:tcPr>
            <w:tcW w:w="1259" w:type="dxa"/>
            <w:tcBorders>
              <w:top w:val="nil"/>
              <w:left w:val="nil"/>
              <w:bottom w:val="nil"/>
              <w:right w:val="nil"/>
            </w:tcBorders>
            <w:shd w:val="clear" w:color="000000" w:fill="FFFFFF"/>
            <w:noWrap/>
            <w:vAlign w:val="bottom"/>
            <w:hideMark/>
          </w:tcPr>
          <w:p w14:paraId="53AB118A"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2.8</w:t>
            </w:r>
          </w:p>
        </w:tc>
        <w:tc>
          <w:tcPr>
            <w:tcW w:w="1259" w:type="dxa"/>
            <w:tcBorders>
              <w:top w:val="nil"/>
              <w:left w:val="nil"/>
              <w:bottom w:val="nil"/>
              <w:right w:val="nil"/>
            </w:tcBorders>
            <w:vAlign w:val="bottom"/>
          </w:tcPr>
          <w:p w14:paraId="64CCBC2A"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2.8</w:t>
            </w:r>
          </w:p>
        </w:tc>
        <w:tc>
          <w:tcPr>
            <w:tcW w:w="1258" w:type="dxa"/>
            <w:tcBorders>
              <w:top w:val="nil"/>
              <w:left w:val="nil"/>
              <w:bottom w:val="nil"/>
              <w:right w:val="nil"/>
            </w:tcBorders>
            <w:noWrap/>
            <w:vAlign w:val="bottom"/>
            <w:hideMark/>
          </w:tcPr>
          <w:p w14:paraId="1D5B79B7"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2.4</w:t>
            </w:r>
          </w:p>
        </w:tc>
        <w:tc>
          <w:tcPr>
            <w:tcW w:w="1259" w:type="dxa"/>
            <w:tcBorders>
              <w:top w:val="nil"/>
              <w:left w:val="nil"/>
              <w:bottom w:val="nil"/>
              <w:right w:val="nil"/>
            </w:tcBorders>
            <w:noWrap/>
            <w:vAlign w:val="bottom"/>
            <w:hideMark/>
          </w:tcPr>
          <w:p w14:paraId="59592EE1"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2.7</w:t>
            </w:r>
          </w:p>
        </w:tc>
        <w:tc>
          <w:tcPr>
            <w:tcW w:w="1259" w:type="dxa"/>
            <w:tcBorders>
              <w:top w:val="nil"/>
              <w:left w:val="nil"/>
              <w:bottom w:val="nil"/>
              <w:right w:val="nil"/>
            </w:tcBorders>
            <w:vAlign w:val="center"/>
          </w:tcPr>
          <w:p w14:paraId="4D685FEE"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Calibri" w:eastAsia="Times New Roman" w:hAnsi="Calibri" w:cs="Calibri"/>
                <w:color w:val="000000"/>
                <w:sz w:val="20"/>
                <w:szCs w:val="20"/>
                <w:lang w:eastAsia="en-AU"/>
              </w:rPr>
              <w:t>2.7</w:t>
            </w:r>
          </w:p>
        </w:tc>
      </w:tr>
      <w:tr w:rsidR="00924664" w:rsidRPr="007B6AF7" w14:paraId="20EFBE74" w14:textId="77777777">
        <w:trPr>
          <w:trHeight w:val="299"/>
        </w:trPr>
        <w:tc>
          <w:tcPr>
            <w:tcW w:w="1351" w:type="dxa"/>
            <w:tcBorders>
              <w:top w:val="nil"/>
              <w:left w:val="nil"/>
              <w:bottom w:val="nil"/>
              <w:right w:val="nil"/>
            </w:tcBorders>
            <w:shd w:val="clear" w:color="000000" w:fill="FFFFFF"/>
            <w:noWrap/>
            <w:vAlign w:val="bottom"/>
            <w:hideMark/>
          </w:tcPr>
          <w:p w14:paraId="645D728A" w14:textId="77777777" w:rsidR="00924664" w:rsidRPr="00472A01" w:rsidRDefault="00924664">
            <w:pPr>
              <w:spacing w:after="0" w:line="240" w:lineRule="auto"/>
              <w:rPr>
                <w:rFonts w:ascii="Aptos Narrow" w:eastAsia="Times New Roman" w:hAnsi="Aptos Narrow" w:cs="Times New Roman"/>
                <w:b/>
                <w:color w:val="000000"/>
                <w:sz w:val="20"/>
                <w:szCs w:val="20"/>
                <w:lang w:eastAsia="en-AU"/>
              </w:rPr>
            </w:pPr>
            <w:r w:rsidRPr="00472A01">
              <w:rPr>
                <w:rFonts w:ascii="Aptos Narrow" w:eastAsia="Times New Roman" w:hAnsi="Aptos Narrow" w:cs="Times New Roman"/>
                <w:b/>
                <w:color w:val="000000"/>
                <w:sz w:val="20"/>
                <w:szCs w:val="20"/>
                <w:lang w:eastAsia="en-AU"/>
              </w:rPr>
              <w:t>2019</w:t>
            </w:r>
          </w:p>
        </w:tc>
        <w:tc>
          <w:tcPr>
            <w:tcW w:w="1258" w:type="dxa"/>
            <w:tcBorders>
              <w:top w:val="nil"/>
              <w:left w:val="nil"/>
              <w:bottom w:val="nil"/>
              <w:right w:val="nil"/>
            </w:tcBorders>
            <w:shd w:val="clear" w:color="000000" w:fill="FFFFFF"/>
            <w:noWrap/>
            <w:vAlign w:val="bottom"/>
            <w:hideMark/>
          </w:tcPr>
          <w:p w14:paraId="70001363"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2.5</w:t>
            </w:r>
          </w:p>
        </w:tc>
        <w:tc>
          <w:tcPr>
            <w:tcW w:w="1259" w:type="dxa"/>
            <w:tcBorders>
              <w:top w:val="nil"/>
              <w:left w:val="nil"/>
              <w:bottom w:val="nil"/>
              <w:right w:val="nil"/>
            </w:tcBorders>
            <w:shd w:val="clear" w:color="000000" w:fill="FFFFFF"/>
            <w:noWrap/>
            <w:vAlign w:val="bottom"/>
            <w:hideMark/>
          </w:tcPr>
          <w:p w14:paraId="4DF4B573"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2.7</w:t>
            </w:r>
          </w:p>
        </w:tc>
        <w:tc>
          <w:tcPr>
            <w:tcW w:w="1259" w:type="dxa"/>
            <w:tcBorders>
              <w:top w:val="nil"/>
              <w:left w:val="nil"/>
              <w:bottom w:val="nil"/>
              <w:right w:val="nil"/>
            </w:tcBorders>
            <w:vAlign w:val="bottom"/>
          </w:tcPr>
          <w:p w14:paraId="3FE1D99D"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2.7</w:t>
            </w:r>
          </w:p>
        </w:tc>
        <w:tc>
          <w:tcPr>
            <w:tcW w:w="1258" w:type="dxa"/>
            <w:tcBorders>
              <w:top w:val="nil"/>
              <w:left w:val="nil"/>
              <w:bottom w:val="nil"/>
              <w:right w:val="nil"/>
            </w:tcBorders>
            <w:noWrap/>
            <w:vAlign w:val="bottom"/>
            <w:hideMark/>
          </w:tcPr>
          <w:p w14:paraId="566637E5"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2.5</w:t>
            </w:r>
          </w:p>
        </w:tc>
        <w:tc>
          <w:tcPr>
            <w:tcW w:w="1259" w:type="dxa"/>
            <w:tcBorders>
              <w:top w:val="nil"/>
              <w:left w:val="nil"/>
              <w:bottom w:val="nil"/>
              <w:right w:val="nil"/>
            </w:tcBorders>
            <w:noWrap/>
            <w:vAlign w:val="bottom"/>
            <w:hideMark/>
          </w:tcPr>
          <w:p w14:paraId="2A7B408F"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2.6</w:t>
            </w:r>
          </w:p>
        </w:tc>
        <w:tc>
          <w:tcPr>
            <w:tcW w:w="1259" w:type="dxa"/>
            <w:tcBorders>
              <w:top w:val="nil"/>
              <w:left w:val="nil"/>
              <w:bottom w:val="nil"/>
              <w:right w:val="nil"/>
            </w:tcBorders>
            <w:vAlign w:val="center"/>
          </w:tcPr>
          <w:p w14:paraId="556864CC"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Calibri" w:eastAsia="Times New Roman" w:hAnsi="Calibri" w:cs="Calibri"/>
                <w:color w:val="000000"/>
                <w:sz w:val="20"/>
                <w:szCs w:val="20"/>
                <w:lang w:eastAsia="en-AU"/>
              </w:rPr>
              <w:t>2.6</w:t>
            </w:r>
          </w:p>
        </w:tc>
      </w:tr>
      <w:tr w:rsidR="00924664" w:rsidRPr="007B6AF7" w14:paraId="3003703D" w14:textId="77777777">
        <w:trPr>
          <w:trHeight w:val="299"/>
        </w:trPr>
        <w:tc>
          <w:tcPr>
            <w:tcW w:w="1351" w:type="dxa"/>
            <w:tcBorders>
              <w:top w:val="nil"/>
              <w:left w:val="nil"/>
              <w:bottom w:val="nil"/>
              <w:right w:val="nil"/>
            </w:tcBorders>
            <w:shd w:val="clear" w:color="000000" w:fill="FFFFFF"/>
            <w:noWrap/>
            <w:vAlign w:val="bottom"/>
            <w:hideMark/>
          </w:tcPr>
          <w:p w14:paraId="286A218A" w14:textId="77777777" w:rsidR="00924664" w:rsidRPr="00472A01" w:rsidRDefault="00924664">
            <w:pPr>
              <w:spacing w:after="0" w:line="240" w:lineRule="auto"/>
              <w:rPr>
                <w:rFonts w:ascii="Aptos Narrow" w:eastAsia="Times New Roman" w:hAnsi="Aptos Narrow" w:cs="Times New Roman"/>
                <w:b/>
                <w:color w:val="000000"/>
                <w:sz w:val="20"/>
                <w:szCs w:val="20"/>
                <w:lang w:eastAsia="en-AU"/>
              </w:rPr>
            </w:pPr>
            <w:r w:rsidRPr="00472A01">
              <w:rPr>
                <w:rFonts w:ascii="Aptos Narrow" w:eastAsia="Times New Roman" w:hAnsi="Aptos Narrow" w:cs="Times New Roman"/>
                <w:b/>
                <w:color w:val="000000"/>
                <w:sz w:val="20"/>
                <w:szCs w:val="20"/>
                <w:lang w:eastAsia="en-AU"/>
              </w:rPr>
              <w:t>2020</w:t>
            </w:r>
          </w:p>
        </w:tc>
        <w:tc>
          <w:tcPr>
            <w:tcW w:w="1258" w:type="dxa"/>
            <w:tcBorders>
              <w:top w:val="nil"/>
              <w:left w:val="nil"/>
              <w:bottom w:val="nil"/>
              <w:right w:val="nil"/>
            </w:tcBorders>
            <w:shd w:val="clear" w:color="000000" w:fill="FFFFFF"/>
            <w:noWrap/>
            <w:vAlign w:val="bottom"/>
            <w:hideMark/>
          </w:tcPr>
          <w:p w14:paraId="0A9563DB"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2.5</w:t>
            </w:r>
          </w:p>
        </w:tc>
        <w:tc>
          <w:tcPr>
            <w:tcW w:w="1259" w:type="dxa"/>
            <w:tcBorders>
              <w:top w:val="nil"/>
              <w:left w:val="nil"/>
              <w:bottom w:val="nil"/>
              <w:right w:val="nil"/>
            </w:tcBorders>
            <w:shd w:val="clear" w:color="000000" w:fill="FFFFFF"/>
            <w:noWrap/>
            <w:vAlign w:val="bottom"/>
            <w:hideMark/>
          </w:tcPr>
          <w:p w14:paraId="20248F4B"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2.5</w:t>
            </w:r>
          </w:p>
        </w:tc>
        <w:tc>
          <w:tcPr>
            <w:tcW w:w="1259" w:type="dxa"/>
            <w:tcBorders>
              <w:top w:val="nil"/>
              <w:left w:val="nil"/>
              <w:bottom w:val="nil"/>
              <w:right w:val="nil"/>
            </w:tcBorders>
            <w:vAlign w:val="bottom"/>
          </w:tcPr>
          <w:p w14:paraId="3599F5B5"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2.5</w:t>
            </w:r>
          </w:p>
        </w:tc>
        <w:tc>
          <w:tcPr>
            <w:tcW w:w="1258" w:type="dxa"/>
            <w:tcBorders>
              <w:top w:val="nil"/>
              <w:left w:val="nil"/>
              <w:bottom w:val="nil"/>
              <w:right w:val="nil"/>
            </w:tcBorders>
            <w:noWrap/>
            <w:vAlign w:val="bottom"/>
            <w:hideMark/>
          </w:tcPr>
          <w:p w14:paraId="6E73E2D7"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2.4</w:t>
            </w:r>
          </w:p>
        </w:tc>
        <w:tc>
          <w:tcPr>
            <w:tcW w:w="1259" w:type="dxa"/>
            <w:tcBorders>
              <w:top w:val="nil"/>
              <w:left w:val="nil"/>
              <w:bottom w:val="nil"/>
              <w:right w:val="nil"/>
            </w:tcBorders>
            <w:noWrap/>
            <w:vAlign w:val="bottom"/>
            <w:hideMark/>
          </w:tcPr>
          <w:p w14:paraId="6ED233E2"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2.6</w:t>
            </w:r>
          </w:p>
        </w:tc>
        <w:tc>
          <w:tcPr>
            <w:tcW w:w="1259" w:type="dxa"/>
            <w:tcBorders>
              <w:top w:val="nil"/>
              <w:left w:val="nil"/>
              <w:bottom w:val="nil"/>
              <w:right w:val="nil"/>
            </w:tcBorders>
            <w:vAlign w:val="center"/>
          </w:tcPr>
          <w:p w14:paraId="111D66F5"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Calibri" w:eastAsia="Times New Roman" w:hAnsi="Calibri" w:cs="Calibri"/>
                <w:color w:val="000000"/>
                <w:sz w:val="20"/>
                <w:szCs w:val="20"/>
                <w:lang w:eastAsia="en-AU"/>
              </w:rPr>
              <w:t>2.6</w:t>
            </w:r>
          </w:p>
        </w:tc>
      </w:tr>
      <w:tr w:rsidR="00924664" w:rsidRPr="007B6AF7" w14:paraId="17FD1B15" w14:textId="77777777">
        <w:trPr>
          <w:trHeight w:val="299"/>
        </w:trPr>
        <w:tc>
          <w:tcPr>
            <w:tcW w:w="1351" w:type="dxa"/>
            <w:tcBorders>
              <w:top w:val="nil"/>
              <w:left w:val="nil"/>
              <w:bottom w:val="nil"/>
              <w:right w:val="nil"/>
            </w:tcBorders>
            <w:shd w:val="clear" w:color="000000" w:fill="FFFFFF"/>
            <w:noWrap/>
            <w:vAlign w:val="bottom"/>
            <w:hideMark/>
          </w:tcPr>
          <w:p w14:paraId="0EF5A696" w14:textId="77777777" w:rsidR="00924664" w:rsidRPr="00472A01" w:rsidRDefault="00924664">
            <w:pPr>
              <w:spacing w:after="0" w:line="240" w:lineRule="auto"/>
              <w:rPr>
                <w:rFonts w:ascii="Aptos Narrow" w:eastAsia="Times New Roman" w:hAnsi="Aptos Narrow" w:cs="Times New Roman"/>
                <w:b/>
                <w:color w:val="000000"/>
                <w:sz w:val="20"/>
                <w:szCs w:val="20"/>
                <w:lang w:eastAsia="en-AU"/>
              </w:rPr>
            </w:pPr>
            <w:r w:rsidRPr="00472A01">
              <w:rPr>
                <w:rFonts w:ascii="Aptos Narrow" w:eastAsia="Times New Roman" w:hAnsi="Aptos Narrow" w:cs="Times New Roman"/>
                <w:b/>
                <w:color w:val="000000"/>
                <w:sz w:val="20"/>
                <w:szCs w:val="20"/>
                <w:lang w:eastAsia="en-AU"/>
              </w:rPr>
              <w:t>2021</w:t>
            </w:r>
          </w:p>
        </w:tc>
        <w:tc>
          <w:tcPr>
            <w:tcW w:w="1258" w:type="dxa"/>
            <w:tcBorders>
              <w:top w:val="nil"/>
              <w:left w:val="nil"/>
              <w:bottom w:val="nil"/>
              <w:right w:val="nil"/>
            </w:tcBorders>
            <w:shd w:val="clear" w:color="000000" w:fill="FFFFFF"/>
            <w:noWrap/>
            <w:vAlign w:val="bottom"/>
            <w:hideMark/>
          </w:tcPr>
          <w:p w14:paraId="0104747B"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2.3</w:t>
            </w:r>
          </w:p>
        </w:tc>
        <w:tc>
          <w:tcPr>
            <w:tcW w:w="1259" w:type="dxa"/>
            <w:tcBorders>
              <w:top w:val="nil"/>
              <w:left w:val="nil"/>
              <w:bottom w:val="nil"/>
              <w:right w:val="nil"/>
            </w:tcBorders>
            <w:shd w:val="clear" w:color="000000" w:fill="FFFFFF"/>
            <w:noWrap/>
            <w:vAlign w:val="bottom"/>
            <w:hideMark/>
          </w:tcPr>
          <w:p w14:paraId="22F537B3"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2.6</w:t>
            </w:r>
          </w:p>
        </w:tc>
        <w:tc>
          <w:tcPr>
            <w:tcW w:w="1259" w:type="dxa"/>
            <w:tcBorders>
              <w:top w:val="nil"/>
              <w:left w:val="nil"/>
              <w:bottom w:val="nil"/>
              <w:right w:val="nil"/>
            </w:tcBorders>
            <w:vAlign w:val="bottom"/>
          </w:tcPr>
          <w:p w14:paraId="34669D87"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2.6</w:t>
            </w:r>
          </w:p>
        </w:tc>
        <w:tc>
          <w:tcPr>
            <w:tcW w:w="1258" w:type="dxa"/>
            <w:tcBorders>
              <w:top w:val="nil"/>
              <w:left w:val="nil"/>
              <w:bottom w:val="nil"/>
              <w:right w:val="nil"/>
            </w:tcBorders>
            <w:noWrap/>
            <w:vAlign w:val="bottom"/>
            <w:hideMark/>
          </w:tcPr>
          <w:p w14:paraId="5FB61EAB"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2.4</w:t>
            </w:r>
          </w:p>
        </w:tc>
        <w:tc>
          <w:tcPr>
            <w:tcW w:w="1259" w:type="dxa"/>
            <w:tcBorders>
              <w:top w:val="nil"/>
              <w:left w:val="nil"/>
              <w:bottom w:val="nil"/>
              <w:right w:val="nil"/>
            </w:tcBorders>
            <w:noWrap/>
            <w:vAlign w:val="bottom"/>
            <w:hideMark/>
          </w:tcPr>
          <w:p w14:paraId="68C3676A"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2.6</w:t>
            </w:r>
          </w:p>
        </w:tc>
        <w:tc>
          <w:tcPr>
            <w:tcW w:w="1259" w:type="dxa"/>
            <w:tcBorders>
              <w:top w:val="nil"/>
              <w:left w:val="nil"/>
              <w:bottom w:val="nil"/>
              <w:right w:val="nil"/>
            </w:tcBorders>
            <w:vAlign w:val="center"/>
          </w:tcPr>
          <w:p w14:paraId="2B633536"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Calibri" w:eastAsia="Times New Roman" w:hAnsi="Calibri" w:cs="Calibri"/>
                <w:color w:val="000000"/>
                <w:sz w:val="20"/>
                <w:szCs w:val="20"/>
                <w:lang w:eastAsia="en-AU"/>
              </w:rPr>
              <w:t>2.6</w:t>
            </w:r>
          </w:p>
        </w:tc>
      </w:tr>
      <w:tr w:rsidR="00924664" w:rsidRPr="007B6AF7" w14:paraId="2EC19F62" w14:textId="77777777">
        <w:trPr>
          <w:trHeight w:val="299"/>
        </w:trPr>
        <w:tc>
          <w:tcPr>
            <w:tcW w:w="1351" w:type="dxa"/>
            <w:tcBorders>
              <w:top w:val="nil"/>
              <w:left w:val="nil"/>
              <w:bottom w:val="nil"/>
              <w:right w:val="nil"/>
            </w:tcBorders>
            <w:shd w:val="clear" w:color="000000" w:fill="FFFFFF"/>
            <w:noWrap/>
            <w:vAlign w:val="bottom"/>
            <w:hideMark/>
          </w:tcPr>
          <w:p w14:paraId="6404AC86" w14:textId="77777777" w:rsidR="00924664" w:rsidRPr="00472A01" w:rsidRDefault="00924664">
            <w:pPr>
              <w:spacing w:after="0" w:line="240" w:lineRule="auto"/>
              <w:rPr>
                <w:rFonts w:ascii="Aptos Narrow" w:eastAsia="Times New Roman" w:hAnsi="Aptos Narrow" w:cs="Times New Roman"/>
                <w:b/>
                <w:color w:val="000000"/>
                <w:sz w:val="20"/>
                <w:szCs w:val="20"/>
                <w:lang w:eastAsia="en-AU"/>
              </w:rPr>
            </w:pPr>
            <w:r w:rsidRPr="00472A01">
              <w:rPr>
                <w:rFonts w:ascii="Aptos Narrow" w:eastAsia="Times New Roman" w:hAnsi="Aptos Narrow" w:cs="Times New Roman"/>
                <w:b/>
                <w:color w:val="000000"/>
                <w:sz w:val="20"/>
                <w:szCs w:val="20"/>
                <w:lang w:eastAsia="en-AU"/>
              </w:rPr>
              <w:t>2022</w:t>
            </w:r>
          </w:p>
        </w:tc>
        <w:tc>
          <w:tcPr>
            <w:tcW w:w="1258" w:type="dxa"/>
            <w:tcBorders>
              <w:top w:val="nil"/>
              <w:left w:val="nil"/>
              <w:bottom w:val="nil"/>
              <w:right w:val="nil"/>
            </w:tcBorders>
            <w:shd w:val="clear" w:color="000000" w:fill="FFFFFF"/>
            <w:noWrap/>
            <w:vAlign w:val="bottom"/>
            <w:hideMark/>
          </w:tcPr>
          <w:p w14:paraId="225B7DDA"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2.8</w:t>
            </w:r>
          </w:p>
        </w:tc>
        <w:tc>
          <w:tcPr>
            <w:tcW w:w="1259" w:type="dxa"/>
            <w:tcBorders>
              <w:top w:val="nil"/>
              <w:left w:val="nil"/>
              <w:bottom w:val="nil"/>
              <w:right w:val="nil"/>
            </w:tcBorders>
            <w:shd w:val="clear" w:color="000000" w:fill="FFFFFF"/>
            <w:noWrap/>
            <w:vAlign w:val="bottom"/>
            <w:hideMark/>
          </w:tcPr>
          <w:p w14:paraId="2AF7E0A0"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2.7</w:t>
            </w:r>
          </w:p>
        </w:tc>
        <w:tc>
          <w:tcPr>
            <w:tcW w:w="1259" w:type="dxa"/>
            <w:tcBorders>
              <w:top w:val="nil"/>
              <w:left w:val="nil"/>
              <w:bottom w:val="nil"/>
              <w:right w:val="nil"/>
            </w:tcBorders>
            <w:vAlign w:val="bottom"/>
          </w:tcPr>
          <w:p w14:paraId="02711818"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2.7</w:t>
            </w:r>
          </w:p>
        </w:tc>
        <w:tc>
          <w:tcPr>
            <w:tcW w:w="1258" w:type="dxa"/>
            <w:tcBorders>
              <w:top w:val="nil"/>
              <w:left w:val="nil"/>
              <w:bottom w:val="nil"/>
              <w:right w:val="nil"/>
            </w:tcBorders>
            <w:noWrap/>
            <w:vAlign w:val="bottom"/>
            <w:hideMark/>
          </w:tcPr>
          <w:p w14:paraId="47B60C83"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2.5</w:t>
            </w:r>
          </w:p>
        </w:tc>
        <w:tc>
          <w:tcPr>
            <w:tcW w:w="1259" w:type="dxa"/>
            <w:tcBorders>
              <w:top w:val="nil"/>
              <w:left w:val="nil"/>
              <w:bottom w:val="nil"/>
              <w:right w:val="nil"/>
            </w:tcBorders>
            <w:noWrap/>
            <w:vAlign w:val="bottom"/>
            <w:hideMark/>
          </w:tcPr>
          <w:p w14:paraId="2E0AD57C"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2.6</w:t>
            </w:r>
          </w:p>
        </w:tc>
        <w:tc>
          <w:tcPr>
            <w:tcW w:w="1259" w:type="dxa"/>
            <w:tcBorders>
              <w:top w:val="nil"/>
              <w:left w:val="nil"/>
              <w:bottom w:val="nil"/>
              <w:right w:val="nil"/>
            </w:tcBorders>
            <w:vAlign w:val="center"/>
          </w:tcPr>
          <w:p w14:paraId="70ACC2FF"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Calibri" w:eastAsia="Times New Roman" w:hAnsi="Calibri" w:cs="Calibri"/>
                <w:color w:val="000000"/>
                <w:sz w:val="20"/>
                <w:szCs w:val="20"/>
                <w:lang w:eastAsia="en-AU"/>
              </w:rPr>
              <w:t>2.6</w:t>
            </w:r>
          </w:p>
        </w:tc>
      </w:tr>
      <w:tr w:rsidR="00924664" w:rsidRPr="007B6AF7" w14:paraId="30619698" w14:textId="77777777">
        <w:trPr>
          <w:trHeight w:val="299"/>
        </w:trPr>
        <w:tc>
          <w:tcPr>
            <w:tcW w:w="1351" w:type="dxa"/>
            <w:tcBorders>
              <w:top w:val="nil"/>
              <w:left w:val="nil"/>
              <w:bottom w:val="nil"/>
              <w:right w:val="nil"/>
            </w:tcBorders>
            <w:shd w:val="clear" w:color="000000" w:fill="FFFFFF"/>
            <w:noWrap/>
            <w:vAlign w:val="bottom"/>
            <w:hideMark/>
          </w:tcPr>
          <w:p w14:paraId="550C380F" w14:textId="77777777" w:rsidR="00924664" w:rsidRPr="00472A01" w:rsidRDefault="00924664">
            <w:pPr>
              <w:spacing w:after="0" w:line="240" w:lineRule="auto"/>
              <w:rPr>
                <w:rFonts w:ascii="Aptos Narrow" w:eastAsia="Times New Roman" w:hAnsi="Aptos Narrow" w:cs="Times New Roman"/>
                <w:b/>
                <w:color w:val="000000"/>
                <w:sz w:val="20"/>
                <w:szCs w:val="20"/>
                <w:lang w:eastAsia="en-AU"/>
              </w:rPr>
            </w:pPr>
            <w:r w:rsidRPr="00472A01">
              <w:rPr>
                <w:rFonts w:ascii="Aptos Narrow" w:eastAsia="Times New Roman" w:hAnsi="Aptos Narrow" w:cs="Times New Roman"/>
                <w:b/>
                <w:color w:val="000000"/>
                <w:sz w:val="20"/>
                <w:szCs w:val="20"/>
                <w:lang w:eastAsia="en-AU"/>
              </w:rPr>
              <w:t>2023</w:t>
            </w:r>
          </w:p>
        </w:tc>
        <w:tc>
          <w:tcPr>
            <w:tcW w:w="1258" w:type="dxa"/>
            <w:tcBorders>
              <w:top w:val="nil"/>
              <w:left w:val="nil"/>
              <w:bottom w:val="nil"/>
              <w:right w:val="nil"/>
            </w:tcBorders>
            <w:shd w:val="clear" w:color="000000" w:fill="FFFFFF"/>
            <w:noWrap/>
            <w:vAlign w:val="bottom"/>
            <w:hideMark/>
          </w:tcPr>
          <w:p w14:paraId="50CF7FE6"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3.4</w:t>
            </w:r>
          </w:p>
        </w:tc>
        <w:tc>
          <w:tcPr>
            <w:tcW w:w="1259" w:type="dxa"/>
            <w:tcBorders>
              <w:top w:val="nil"/>
              <w:left w:val="nil"/>
              <w:bottom w:val="nil"/>
              <w:right w:val="nil"/>
            </w:tcBorders>
            <w:shd w:val="clear" w:color="000000" w:fill="FFFFFF"/>
            <w:noWrap/>
            <w:vAlign w:val="bottom"/>
            <w:hideMark/>
          </w:tcPr>
          <w:p w14:paraId="436A7C56"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4.1</w:t>
            </w:r>
          </w:p>
        </w:tc>
        <w:tc>
          <w:tcPr>
            <w:tcW w:w="1259" w:type="dxa"/>
            <w:tcBorders>
              <w:top w:val="nil"/>
              <w:left w:val="nil"/>
              <w:bottom w:val="nil"/>
              <w:right w:val="nil"/>
            </w:tcBorders>
            <w:vAlign w:val="bottom"/>
          </w:tcPr>
          <w:p w14:paraId="6730CAA7"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4.1</w:t>
            </w:r>
          </w:p>
        </w:tc>
        <w:tc>
          <w:tcPr>
            <w:tcW w:w="1258" w:type="dxa"/>
            <w:tcBorders>
              <w:top w:val="nil"/>
              <w:left w:val="nil"/>
              <w:bottom w:val="nil"/>
              <w:right w:val="nil"/>
            </w:tcBorders>
            <w:noWrap/>
            <w:vAlign w:val="bottom"/>
            <w:hideMark/>
          </w:tcPr>
          <w:p w14:paraId="55DB5995"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2.9</w:t>
            </w:r>
          </w:p>
        </w:tc>
        <w:tc>
          <w:tcPr>
            <w:tcW w:w="1259" w:type="dxa"/>
            <w:tcBorders>
              <w:top w:val="nil"/>
              <w:left w:val="nil"/>
              <w:bottom w:val="nil"/>
              <w:right w:val="nil"/>
            </w:tcBorders>
            <w:noWrap/>
            <w:vAlign w:val="bottom"/>
            <w:hideMark/>
          </w:tcPr>
          <w:p w14:paraId="5B089F11"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3.1</w:t>
            </w:r>
          </w:p>
        </w:tc>
        <w:tc>
          <w:tcPr>
            <w:tcW w:w="1259" w:type="dxa"/>
            <w:tcBorders>
              <w:top w:val="nil"/>
              <w:left w:val="nil"/>
              <w:bottom w:val="nil"/>
              <w:right w:val="nil"/>
            </w:tcBorders>
            <w:vAlign w:val="center"/>
          </w:tcPr>
          <w:p w14:paraId="74CB2544"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Calibri" w:eastAsia="Times New Roman" w:hAnsi="Calibri" w:cs="Calibri"/>
                <w:color w:val="000000"/>
                <w:sz w:val="20"/>
                <w:szCs w:val="20"/>
                <w:lang w:eastAsia="en-AU"/>
              </w:rPr>
              <w:t>3.1</w:t>
            </w:r>
          </w:p>
        </w:tc>
      </w:tr>
      <w:tr w:rsidR="00924664" w:rsidRPr="007B6AF7" w14:paraId="2D3035C0" w14:textId="77777777">
        <w:trPr>
          <w:trHeight w:val="299"/>
        </w:trPr>
        <w:tc>
          <w:tcPr>
            <w:tcW w:w="1351" w:type="dxa"/>
            <w:tcBorders>
              <w:top w:val="nil"/>
              <w:left w:val="nil"/>
              <w:bottom w:val="single" w:sz="4" w:space="0" w:color="auto"/>
              <w:right w:val="nil"/>
            </w:tcBorders>
            <w:shd w:val="clear" w:color="000000" w:fill="FFFFFF"/>
            <w:noWrap/>
            <w:vAlign w:val="bottom"/>
            <w:hideMark/>
          </w:tcPr>
          <w:p w14:paraId="2ADB067C" w14:textId="10B96D03" w:rsidR="00924664" w:rsidRPr="00472A01" w:rsidRDefault="00924664">
            <w:pPr>
              <w:spacing w:after="0" w:line="240" w:lineRule="auto"/>
              <w:rPr>
                <w:rFonts w:ascii="Aptos Narrow" w:eastAsia="Times New Roman" w:hAnsi="Aptos Narrow" w:cs="Times New Roman"/>
                <w:b/>
                <w:color w:val="000000"/>
                <w:sz w:val="20"/>
                <w:szCs w:val="20"/>
                <w:lang w:eastAsia="en-AU"/>
              </w:rPr>
            </w:pPr>
            <w:r w:rsidRPr="00472A01">
              <w:rPr>
                <w:rFonts w:ascii="Aptos Narrow" w:eastAsia="Times New Roman" w:hAnsi="Aptos Narrow" w:cs="Times New Roman"/>
                <w:b/>
                <w:color w:val="000000"/>
                <w:sz w:val="20"/>
                <w:szCs w:val="20"/>
                <w:lang w:eastAsia="en-AU"/>
              </w:rPr>
              <w:t>2024 (to Q3)</w:t>
            </w:r>
          </w:p>
        </w:tc>
        <w:tc>
          <w:tcPr>
            <w:tcW w:w="1258" w:type="dxa"/>
            <w:tcBorders>
              <w:top w:val="nil"/>
              <w:left w:val="nil"/>
              <w:bottom w:val="single" w:sz="4" w:space="0" w:color="auto"/>
              <w:right w:val="nil"/>
            </w:tcBorders>
            <w:shd w:val="clear" w:color="000000" w:fill="FFFFFF"/>
            <w:noWrap/>
            <w:vAlign w:val="bottom"/>
            <w:hideMark/>
          </w:tcPr>
          <w:p w14:paraId="2F947E8B"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3.2</w:t>
            </w:r>
          </w:p>
        </w:tc>
        <w:tc>
          <w:tcPr>
            <w:tcW w:w="1259" w:type="dxa"/>
            <w:tcBorders>
              <w:top w:val="nil"/>
              <w:left w:val="nil"/>
              <w:bottom w:val="single" w:sz="4" w:space="0" w:color="auto"/>
              <w:right w:val="nil"/>
            </w:tcBorders>
            <w:shd w:val="clear" w:color="000000" w:fill="FFFFFF"/>
            <w:noWrap/>
            <w:vAlign w:val="bottom"/>
            <w:hideMark/>
          </w:tcPr>
          <w:p w14:paraId="6EC75683"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3.9</w:t>
            </w:r>
          </w:p>
        </w:tc>
        <w:tc>
          <w:tcPr>
            <w:tcW w:w="1259" w:type="dxa"/>
            <w:tcBorders>
              <w:top w:val="nil"/>
              <w:left w:val="nil"/>
              <w:bottom w:val="single" w:sz="4" w:space="0" w:color="auto"/>
              <w:right w:val="nil"/>
            </w:tcBorders>
            <w:vAlign w:val="bottom"/>
          </w:tcPr>
          <w:p w14:paraId="704ECC62"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3.8</w:t>
            </w:r>
          </w:p>
        </w:tc>
        <w:tc>
          <w:tcPr>
            <w:tcW w:w="1258" w:type="dxa"/>
            <w:tcBorders>
              <w:top w:val="nil"/>
              <w:left w:val="nil"/>
              <w:bottom w:val="single" w:sz="4" w:space="0" w:color="auto"/>
              <w:right w:val="nil"/>
            </w:tcBorders>
            <w:noWrap/>
            <w:vAlign w:val="bottom"/>
            <w:hideMark/>
          </w:tcPr>
          <w:p w14:paraId="1A03C1EA"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3.0</w:t>
            </w:r>
          </w:p>
        </w:tc>
        <w:tc>
          <w:tcPr>
            <w:tcW w:w="1259" w:type="dxa"/>
            <w:tcBorders>
              <w:top w:val="nil"/>
              <w:left w:val="nil"/>
              <w:bottom w:val="single" w:sz="4" w:space="0" w:color="auto"/>
              <w:right w:val="nil"/>
            </w:tcBorders>
            <w:noWrap/>
            <w:vAlign w:val="bottom"/>
            <w:hideMark/>
          </w:tcPr>
          <w:p w14:paraId="1D3300A8"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3.5</w:t>
            </w:r>
          </w:p>
        </w:tc>
        <w:tc>
          <w:tcPr>
            <w:tcW w:w="1259" w:type="dxa"/>
            <w:tcBorders>
              <w:top w:val="nil"/>
              <w:left w:val="nil"/>
              <w:bottom w:val="single" w:sz="4" w:space="0" w:color="auto"/>
              <w:right w:val="nil"/>
            </w:tcBorders>
            <w:vAlign w:val="center"/>
          </w:tcPr>
          <w:p w14:paraId="48ACEDEB" w14:textId="77777777" w:rsidR="00924664" w:rsidRPr="00472A01" w:rsidRDefault="00924664" w:rsidP="00472A01">
            <w:pPr>
              <w:spacing w:after="0" w:line="240" w:lineRule="auto"/>
              <w:jc w:val="right"/>
              <w:rPr>
                <w:rFonts w:ascii="Aptos Narrow" w:eastAsia="Times New Roman" w:hAnsi="Aptos Narrow" w:cs="Times New Roman"/>
                <w:color w:val="000000"/>
                <w:sz w:val="20"/>
                <w:szCs w:val="20"/>
                <w:lang w:eastAsia="en-AU"/>
              </w:rPr>
            </w:pPr>
            <w:r w:rsidRPr="00472A01">
              <w:rPr>
                <w:rFonts w:ascii="Aptos Narrow" w:eastAsia="Times New Roman" w:hAnsi="Aptos Narrow" w:cs="Times New Roman"/>
                <w:color w:val="000000"/>
                <w:sz w:val="20"/>
                <w:szCs w:val="20"/>
                <w:lang w:eastAsia="en-AU"/>
              </w:rPr>
              <w:t>3.5</w:t>
            </w:r>
          </w:p>
        </w:tc>
      </w:tr>
    </w:tbl>
    <w:p w14:paraId="2D8AD760" w14:textId="00D0C13F" w:rsidR="00924664" w:rsidRPr="00167CB8" w:rsidRDefault="00924664" w:rsidP="00924664">
      <w:pPr>
        <w:pStyle w:val="Source"/>
      </w:pPr>
      <w:r w:rsidRPr="00167CB8">
        <w:rPr>
          <w:b/>
          <w:bCs/>
        </w:rPr>
        <w:t>Source:</w:t>
      </w:r>
      <w:r w:rsidRPr="00167CB8">
        <w:t xml:space="preserve"> </w:t>
      </w:r>
      <w:r w:rsidR="00C64656">
        <w:t>Department of Employment and Workplace Relations</w:t>
      </w:r>
      <w:r w:rsidR="00205A5C">
        <w:t>,</w:t>
      </w:r>
      <w:r w:rsidR="00C64656">
        <w:t xml:space="preserve"> </w:t>
      </w:r>
      <w:r>
        <w:t>Workplace Agreements Database</w:t>
      </w:r>
      <w:r w:rsidR="00C64656">
        <w:t>.</w:t>
      </w:r>
    </w:p>
    <w:p w14:paraId="27827DE2" w14:textId="77777777" w:rsidR="00924664" w:rsidRDefault="00924664" w:rsidP="00924664">
      <w:pPr>
        <w:spacing w:after="160"/>
        <w:rPr>
          <w:rFonts w:asciiTheme="majorHAnsi" w:eastAsiaTheme="majorEastAsia" w:hAnsiTheme="majorHAnsi" w:cstheme="majorBidi"/>
          <w:b/>
          <w:color w:val="777778" w:themeColor="accent5"/>
        </w:rPr>
      </w:pPr>
      <w:r>
        <w:br w:type="page"/>
      </w:r>
    </w:p>
    <w:p w14:paraId="54240D9C" w14:textId="77777777" w:rsidR="00924664" w:rsidRPr="00167CB8" w:rsidRDefault="00924664" w:rsidP="00924664">
      <w:pPr>
        <w:pStyle w:val="Heading6"/>
      </w:pPr>
      <w:r w:rsidRPr="00167CB8">
        <w:lastRenderedPageBreak/>
        <w:t xml:space="preserve">8.3.5.2 </w:t>
      </w:r>
      <w:r>
        <w:t>The gap between w</w:t>
      </w:r>
      <w:r w:rsidRPr="00167CB8">
        <w:t>ages and productivity</w:t>
      </w:r>
    </w:p>
    <w:p w14:paraId="1928340F" w14:textId="77777777" w:rsidR="0011475D" w:rsidRDefault="00924664" w:rsidP="00924664">
      <w:r w:rsidRPr="00167CB8">
        <w:t xml:space="preserve">A key point about wage growth (and decline) </w:t>
      </w:r>
      <w:r>
        <w:t xml:space="preserve">in Australia </w:t>
      </w:r>
      <w:r w:rsidRPr="00167CB8">
        <w:t xml:space="preserve">is that real wages were not increasing in line with </w:t>
      </w:r>
      <w:r>
        <w:t>growth in</w:t>
      </w:r>
      <w:r w:rsidRPr="00167CB8">
        <w:t xml:space="preserve"> labour productivity</w:t>
      </w:r>
      <w:r>
        <w:t xml:space="preserve">; this ‘decoupling’ </w:t>
      </w:r>
      <w:r w:rsidRPr="00AC60EF">
        <w:t>of real wages from productivity</w:t>
      </w:r>
      <w:r>
        <w:t xml:space="preserve"> is discussed </w:t>
      </w:r>
      <w:r w:rsidRPr="00F31FD8">
        <w:t>further in Appendix 4. It is graphically</w:t>
      </w:r>
      <w:r w:rsidRPr="00167CB8">
        <w:t xml:space="preserve"> </w:t>
      </w:r>
      <w:r w:rsidRPr="003E2C2C">
        <w:t>illustrated in Figure 9</w:t>
      </w:r>
      <w:r w:rsidRPr="00167CB8">
        <w:t xml:space="preserve"> below.</w:t>
      </w:r>
    </w:p>
    <w:p w14:paraId="385C9F4E" w14:textId="0D0FDA7E" w:rsidR="00924664" w:rsidRDefault="00924664" w:rsidP="00924664">
      <w:r w:rsidRPr="00167CB8">
        <w:t>Using indices of wages and labour productivity, based on progress after 2012,</w:t>
      </w:r>
      <w:r>
        <w:t xml:space="preserve"> </w:t>
      </w:r>
      <w:r w:rsidR="00C64656">
        <w:t>Figure 9</w:t>
      </w:r>
      <w:r w:rsidRPr="00167CB8">
        <w:t xml:space="preserve"> shows that between the March quarter 2013 and the December quarter 2019 real wages increased by 2.2%, while labour productivity increased by 6.0%. Moreover, at the time of the Secure Jobs, Better Pay amendments, </w:t>
      </w:r>
      <w:r>
        <w:t>real</w:t>
      </w:r>
      <w:r w:rsidRPr="00167CB8">
        <w:t xml:space="preserve"> wages had reached a </w:t>
      </w:r>
      <w:r>
        <w:t xml:space="preserve">new </w:t>
      </w:r>
      <w:r w:rsidRPr="00167CB8">
        <w:t>low point, well below real wages in 2012.</w:t>
      </w:r>
    </w:p>
    <w:p w14:paraId="545853FE" w14:textId="25017ACF" w:rsidR="00924664" w:rsidRPr="00C7470B" w:rsidRDefault="00EC3517" w:rsidP="00401F25">
      <w:pPr>
        <w:pStyle w:val="Caption"/>
      </w:pPr>
      <w:bookmarkStart w:id="198" w:name="_Toc194251507"/>
      <w:r>
        <w:t xml:space="preserve">Figure </w:t>
      </w:r>
      <w:r>
        <w:fldChar w:fldCharType="begin"/>
      </w:r>
      <w:r>
        <w:instrText xml:space="preserve"> SEQ Figure \* ARABIC </w:instrText>
      </w:r>
      <w:r>
        <w:fldChar w:fldCharType="separate"/>
      </w:r>
      <w:r w:rsidR="00DE5F5E">
        <w:rPr>
          <w:noProof/>
        </w:rPr>
        <w:t>9</w:t>
      </w:r>
      <w:r>
        <w:fldChar w:fldCharType="end"/>
      </w:r>
      <w:r>
        <w:t xml:space="preserve">: </w:t>
      </w:r>
      <w:r w:rsidR="00924664" w:rsidRPr="00C7470B">
        <w:t xml:space="preserve">Real wage and productivity growth, </w:t>
      </w:r>
      <w:r w:rsidR="00924664">
        <w:t xml:space="preserve">June </w:t>
      </w:r>
      <w:r w:rsidR="00924664" w:rsidRPr="00C7470B">
        <w:t xml:space="preserve">2012 to </w:t>
      </w:r>
      <w:r w:rsidR="00924664">
        <w:t>September</w:t>
      </w:r>
      <w:r w:rsidR="00924664" w:rsidRPr="00C7470B">
        <w:t xml:space="preserve"> 2024</w:t>
      </w:r>
      <w:bookmarkEnd w:id="198"/>
    </w:p>
    <w:p w14:paraId="5B9B1D40" w14:textId="5DDCBA0E" w:rsidR="00924664" w:rsidRPr="00167CB8" w:rsidRDefault="00924664" w:rsidP="00924664">
      <w:pPr>
        <w:spacing w:after="0" w:line="240" w:lineRule="auto"/>
        <w:rPr>
          <w:sz w:val="24"/>
          <w:szCs w:val="24"/>
        </w:rPr>
      </w:pPr>
      <w:r w:rsidRPr="008D5543">
        <w:rPr>
          <w:noProof/>
        </w:rPr>
        <w:drawing>
          <wp:inline distT="0" distB="0" distL="0" distR="0" wp14:anchorId="6EA89AAF" wp14:editId="601F58E7">
            <wp:extent cx="5731510" cy="3748405"/>
            <wp:effectExtent l="0" t="0" r="2540" b="4445"/>
            <wp:docPr id="500038014" name="Picture 1" descr="A line chart of real wage and productivity growth.&#10;&#10;See alt-text following 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038014" name="Picture 1" descr="A line chart of real wage and productivity growth.&#10;&#10;See alt-text following notes."/>
                    <pic:cNvPicPr/>
                  </pic:nvPicPr>
                  <pic:blipFill>
                    <a:blip r:embed="rId22"/>
                    <a:stretch>
                      <a:fillRect/>
                    </a:stretch>
                  </pic:blipFill>
                  <pic:spPr>
                    <a:xfrm>
                      <a:off x="0" y="0"/>
                      <a:ext cx="5731510" cy="3748405"/>
                    </a:xfrm>
                    <a:prstGeom prst="rect">
                      <a:avLst/>
                    </a:prstGeom>
                  </pic:spPr>
                </pic:pic>
              </a:graphicData>
            </a:graphic>
          </wp:inline>
        </w:drawing>
      </w:r>
    </w:p>
    <w:p w14:paraId="62795407" w14:textId="77777777" w:rsidR="0011475D" w:rsidRDefault="00924664" w:rsidP="00924664">
      <w:pPr>
        <w:pStyle w:val="Source"/>
        <w:rPr>
          <w:b/>
          <w:bCs/>
        </w:rPr>
      </w:pPr>
      <w:r w:rsidRPr="00167CB8">
        <w:rPr>
          <w:b/>
          <w:bCs/>
        </w:rPr>
        <w:t>Notes:</w:t>
      </w:r>
    </w:p>
    <w:p w14:paraId="0061A59C" w14:textId="0A6FE514" w:rsidR="00EC3517" w:rsidRDefault="00924664" w:rsidP="00924664">
      <w:pPr>
        <w:pStyle w:val="Source"/>
      </w:pPr>
      <w:r w:rsidRPr="00167CB8">
        <w:t xml:space="preserve">1. </w:t>
      </w:r>
      <w:r w:rsidR="00EC3517">
        <w:t>CPI: consumer price index; WPI: wage price index.</w:t>
      </w:r>
    </w:p>
    <w:p w14:paraId="5C6967EE" w14:textId="1505FA7A" w:rsidR="00924664" w:rsidRPr="00167CB8" w:rsidRDefault="00EC3517" w:rsidP="00924664">
      <w:pPr>
        <w:pStyle w:val="Source"/>
      </w:pPr>
      <w:r>
        <w:t xml:space="preserve">2. </w:t>
      </w:r>
      <w:r w:rsidR="00924664" w:rsidRPr="00167CB8">
        <w:t>Indexed to June 2012.</w:t>
      </w:r>
    </w:p>
    <w:p w14:paraId="10BDF5D4" w14:textId="53EF6874" w:rsidR="0011475D" w:rsidRDefault="00EC3517" w:rsidP="00924664">
      <w:pPr>
        <w:pStyle w:val="Source"/>
      </w:pPr>
      <w:r>
        <w:t>3</w:t>
      </w:r>
      <w:r w:rsidR="00924664" w:rsidRPr="396ABCA7">
        <w:t>. Labour productivity measures gross domestic product (GDP) per unit labour input. It is derived by dividing seasonally adjusted GDP chain volume measures (National Accounts, ABS Cat No 5206.0, Table 1, series A2304402X) with information on seasonally adjusted total hours actually worked in all jobs from the Labour Account (ABS 6150.0.55.003, Table 1, series A85389483J).</w:t>
      </w:r>
    </w:p>
    <w:p w14:paraId="69B83C26" w14:textId="7D6ECDF5" w:rsidR="00924664" w:rsidRPr="00167CB8" w:rsidRDefault="00EC3517" w:rsidP="00924664">
      <w:pPr>
        <w:pStyle w:val="Source"/>
      </w:pPr>
      <w:r>
        <w:t>4</w:t>
      </w:r>
      <w:r w:rsidR="00924664" w:rsidRPr="00C64656">
        <w:t>.</w:t>
      </w:r>
      <w:r w:rsidR="00924664" w:rsidRPr="00C64656" w:rsidDel="00C64656">
        <w:t xml:space="preserve"> </w:t>
      </w:r>
      <w:r w:rsidR="00C64656">
        <w:t xml:space="preserve">WPI </w:t>
      </w:r>
      <w:r w:rsidR="00924664" w:rsidRPr="00167CB8">
        <w:t>data source</w:t>
      </w:r>
      <w:r w:rsidR="00924664" w:rsidRPr="00C64656">
        <w:t>: ABS 6345.0 Wage Price Index, Australia. Table 1, Total hourly rates of pay excluding bonuses, original. CPI data source: ABS 6401.0 Consumer</w:t>
      </w:r>
      <w:r w:rsidR="00924664" w:rsidRPr="00167CB8">
        <w:t xml:space="preserve"> Price Index, Australia. Tables 1 and 2, All groups CPI Australia, original.</w:t>
      </w:r>
    </w:p>
    <w:p w14:paraId="5BE86FB2" w14:textId="73A0B528" w:rsidR="00924664" w:rsidRDefault="00EC3517" w:rsidP="00924664">
      <w:pPr>
        <w:pStyle w:val="Source"/>
      </w:pPr>
      <w:r>
        <w:t>5</w:t>
      </w:r>
      <w:r w:rsidR="00924664">
        <w:t xml:space="preserve">. </w:t>
      </w:r>
      <w:r w:rsidR="00924664" w:rsidRPr="00167CB8">
        <w:t>The red vertical line shows when the Secure Jobs, Better Pay Act came into effect.</w:t>
      </w:r>
    </w:p>
    <w:p w14:paraId="410F749A" w14:textId="105E2433" w:rsidR="0011475D" w:rsidRDefault="00924664" w:rsidP="00924664">
      <w:pPr>
        <w:pStyle w:val="Source"/>
      </w:pPr>
      <w:r w:rsidRPr="004F6616">
        <w:rPr>
          <w:b/>
          <w:bCs/>
        </w:rPr>
        <w:t>Alt-text:</w:t>
      </w:r>
      <w:r>
        <w:t xml:space="preserve"> A line chart showing labour productivity (</w:t>
      </w:r>
      <w:r w:rsidR="00EC3517">
        <w:t xml:space="preserve">gross domestic product </w:t>
      </w:r>
      <w:r>
        <w:t>per unit labour input) in comparison to real wages (</w:t>
      </w:r>
      <w:r w:rsidR="00EC3517">
        <w:t xml:space="preserve">wage price index </w:t>
      </w:r>
      <w:r>
        <w:t>/</w:t>
      </w:r>
      <w:r w:rsidDel="00C64656">
        <w:t xml:space="preserve"> </w:t>
      </w:r>
      <w:r w:rsidR="00EC3517">
        <w:t>consumer price index</w:t>
      </w:r>
      <w:r>
        <w:t xml:space="preserve">) </w:t>
      </w:r>
      <w:r w:rsidRPr="00167CB8">
        <w:t xml:space="preserve">between </w:t>
      </w:r>
      <w:r>
        <w:t>June 2012 and September 2024.</w:t>
      </w:r>
    </w:p>
    <w:p w14:paraId="56AA9800" w14:textId="38C4BE62" w:rsidR="0011475D" w:rsidRDefault="00924664" w:rsidP="00924664">
      <w:r w:rsidRPr="00F407EF">
        <w:lastRenderedPageBreak/>
        <w:t xml:space="preserve">If productivity is rising but wages are not growing proportionally, the gains from economic growth must be going somewhere else. This suggests that a smaller share of </w:t>
      </w:r>
      <w:r w:rsidR="00C64656">
        <w:t xml:space="preserve">gross domestic </w:t>
      </w:r>
      <w:r w:rsidR="00C64656" w:rsidRPr="00C64656">
        <w:t>product (</w:t>
      </w:r>
      <w:r w:rsidRPr="00C64656">
        <w:t>GDP</w:t>
      </w:r>
      <w:r w:rsidR="00C64656" w:rsidRPr="00C64656">
        <w:t>)</w:t>
      </w:r>
      <w:r w:rsidRPr="00C64656">
        <w:t xml:space="preserve"> is going</w:t>
      </w:r>
      <w:r w:rsidRPr="00F407EF">
        <w:t xml:space="preserve"> to labour</w:t>
      </w:r>
      <w:r>
        <w:t xml:space="preserve"> (the labour share)</w:t>
      </w:r>
      <w:r w:rsidRPr="00F407EF">
        <w:t>, and a larger share is being captured by capital (</w:t>
      </w:r>
      <w:r>
        <w:t xml:space="preserve">through </w:t>
      </w:r>
      <w:r w:rsidRPr="00F407EF">
        <w:t>profits, rents, and returns on investment).</w:t>
      </w:r>
    </w:p>
    <w:p w14:paraId="41DF6B10" w14:textId="7AE826AD" w:rsidR="00924664" w:rsidRDefault="00924664" w:rsidP="00924664">
      <w:r>
        <w:t>One way of looking at this issue is to examine trends in ‘real unit labour costs’ (RULC).</w:t>
      </w:r>
      <w:r>
        <w:rPr>
          <w:rStyle w:val="FootnoteReference"/>
        </w:rPr>
        <w:footnoteReference w:id="309"/>
      </w:r>
      <w:r>
        <w:t xml:space="preserve"> Nominal unit labour costs are defined as average labour costs divided by average labour productivity, where the latter is GDP divided by total hours worked.</w:t>
      </w:r>
      <w:r>
        <w:rPr>
          <w:rStyle w:val="FootnoteReference"/>
        </w:rPr>
        <w:footnoteReference w:id="310"/>
      </w:r>
      <w:r w:rsidDel="007870EB">
        <w:t xml:space="preserve"> </w:t>
      </w:r>
      <w:r>
        <w:t>RULC are adjusted for inflation. RULC fall when real GDP (national domestic output) is growing faster than real unit labour costs. In other words, businesses increase output without a proportional rise in real labour costs. This can happen if workers are producing more per hour (i.e. labour productivity is increasing)</w:t>
      </w:r>
      <w:r w:rsidR="007870EB">
        <w:t>.</w:t>
      </w:r>
    </w:p>
    <w:p w14:paraId="2DAE18AC" w14:textId="3720A52C" w:rsidR="00085431" w:rsidRDefault="00924664" w:rsidP="00924664">
      <w:r w:rsidRPr="0013300A">
        <w:t>Figure 10</w:t>
      </w:r>
      <w:r>
        <w:t>,</w:t>
      </w:r>
      <w:r w:rsidRPr="0013300A">
        <w:t xml:space="preserve"> </w:t>
      </w:r>
      <w:r>
        <w:t xml:space="preserve">based on published data </w:t>
      </w:r>
      <w:r w:rsidRPr="00C64656">
        <w:t>from the ABS, shows</w:t>
      </w:r>
      <w:r>
        <w:t xml:space="preserve"> that RULC were generally trending downwards fr</w:t>
      </w:r>
      <w:r w:rsidR="00025385">
        <w:t>o</w:t>
      </w:r>
      <w:r>
        <w:t xml:space="preserve">m the late 1990s; the pattern is similar in the non-farm sector. Between December 2000 and December 2012 (in quarterly terms and not smoothed), RULC fell by 7.3%. Between December 2012 and December 2022 it declined by a further 7.6%. </w:t>
      </w:r>
    </w:p>
    <w:p w14:paraId="3EB86573" w14:textId="4FDAD483" w:rsidR="0011475D" w:rsidRDefault="00924664" w:rsidP="00924664">
      <w:r>
        <w:t>At the time the Secure Jobs, Better Pay amendments were introduced</w:t>
      </w:r>
      <w:r w:rsidR="00AB599E">
        <w:t>,</w:t>
      </w:r>
      <w:r>
        <w:t xml:space="preserve"> the RULC index had fallen to 84 (down 16% from June 1994) and near </w:t>
      </w:r>
      <w:r w:rsidR="00AB599E">
        <w:t xml:space="preserve">to </w:t>
      </w:r>
      <w:r>
        <w:t>the September 2020 low of 80. Since the amendments</w:t>
      </w:r>
      <w:r w:rsidR="00C64656">
        <w:t>,</w:t>
      </w:r>
      <w:r>
        <w:t xml:space="preserve"> wages have been increasing and with it RULC (discussed further below).</w:t>
      </w:r>
    </w:p>
    <w:p w14:paraId="3B56A33D" w14:textId="638DD773" w:rsidR="00924664" w:rsidRPr="000765FA" w:rsidRDefault="00EC3517" w:rsidP="00911BC0">
      <w:pPr>
        <w:pStyle w:val="Caption"/>
      </w:pPr>
      <w:bookmarkStart w:id="199" w:name="_Toc194251508"/>
      <w:r>
        <w:t xml:space="preserve">Figure </w:t>
      </w:r>
      <w:r>
        <w:fldChar w:fldCharType="begin"/>
      </w:r>
      <w:r>
        <w:instrText xml:space="preserve"> SEQ Figure \* ARABIC </w:instrText>
      </w:r>
      <w:r>
        <w:fldChar w:fldCharType="separate"/>
      </w:r>
      <w:r w:rsidR="00DE5F5E">
        <w:rPr>
          <w:noProof/>
        </w:rPr>
        <w:t>10</w:t>
      </w:r>
      <w:r>
        <w:fldChar w:fldCharType="end"/>
      </w:r>
      <w:r>
        <w:t xml:space="preserve">: </w:t>
      </w:r>
      <w:r w:rsidR="00924664" w:rsidRPr="000765FA">
        <w:t>Real unit labour costs, June 1994 to September 2024</w:t>
      </w:r>
      <w:bookmarkEnd w:id="199"/>
    </w:p>
    <w:p w14:paraId="05C11C34" w14:textId="1522125C" w:rsidR="00924664" w:rsidRDefault="00924664" w:rsidP="00924664">
      <w:r w:rsidRPr="00E7569A">
        <w:rPr>
          <w:noProof/>
        </w:rPr>
        <w:drawing>
          <wp:inline distT="0" distB="0" distL="0" distR="0" wp14:anchorId="0924CECF" wp14:editId="6671A84F">
            <wp:extent cx="5533901" cy="3619168"/>
            <wp:effectExtent l="0" t="0" r="0" b="635"/>
            <wp:docPr id="1514196328" name="Picture 1" descr="A line chart of real unit labour costs.&#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196328" name="Picture 1" descr="A line chart of real unit labour costs.&#10;&#10;See alt-text following the source."/>
                    <pic:cNvPicPr/>
                  </pic:nvPicPr>
                  <pic:blipFill>
                    <a:blip r:embed="rId23"/>
                    <a:stretch>
                      <a:fillRect/>
                    </a:stretch>
                  </pic:blipFill>
                  <pic:spPr>
                    <a:xfrm>
                      <a:off x="0" y="0"/>
                      <a:ext cx="5551080" cy="3630403"/>
                    </a:xfrm>
                    <a:prstGeom prst="rect">
                      <a:avLst/>
                    </a:prstGeom>
                  </pic:spPr>
                </pic:pic>
              </a:graphicData>
            </a:graphic>
          </wp:inline>
        </w:drawing>
      </w:r>
    </w:p>
    <w:p w14:paraId="263287F9" w14:textId="77777777" w:rsidR="0011475D" w:rsidRDefault="00924664" w:rsidP="00924664">
      <w:pPr>
        <w:pStyle w:val="Source"/>
        <w:rPr>
          <w:b/>
          <w:bCs/>
        </w:rPr>
      </w:pPr>
      <w:r>
        <w:rPr>
          <w:b/>
          <w:bCs/>
        </w:rPr>
        <w:lastRenderedPageBreak/>
        <w:t>Note:</w:t>
      </w:r>
    </w:p>
    <w:p w14:paraId="69771D21" w14:textId="3E36CA7C" w:rsidR="007B6AF7" w:rsidRDefault="00EC3517">
      <w:pPr>
        <w:pStyle w:val="Source"/>
      </w:pPr>
      <w:r>
        <w:t xml:space="preserve">1. </w:t>
      </w:r>
      <w:r w:rsidR="007B6AF7">
        <w:t>RULC: real unit labour costs.</w:t>
      </w:r>
    </w:p>
    <w:p w14:paraId="749D4010" w14:textId="46EC6A9B" w:rsidR="00924664" w:rsidRPr="00EC3517" w:rsidRDefault="007B6AF7" w:rsidP="00401F25">
      <w:pPr>
        <w:pStyle w:val="Source"/>
      </w:pPr>
      <w:r>
        <w:t xml:space="preserve">2. </w:t>
      </w:r>
      <w:r w:rsidR="00924664" w:rsidRPr="00EC3517">
        <w:t>The series is indexed to June 1994 has been smoothed using a four-quarter moving average. This means that the first data point is March 1995 (covering June 1994, September 1994, December 1994 and March 1995). It covers the period through to September 2024 (with the latter showing average RULC for December 2023, March 2024, June 2024 and September 2024).</w:t>
      </w:r>
    </w:p>
    <w:p w14:paraId="4FAF917C" w14:textId="2DBD4AF9" w:rsidR="00924664" w:rsidRPr="00EC3517" w:rsidRDefault="007B6AF7" w:rsidP="00401F25">
      <w:pPr>
        <w:pStyle w:val="Source"/>
      </w:pPr>
      <w:r>
        <w:t>3</w:t>
      </w:r>
      <w:r w:rsidR="00EC3517">
        <w:t xml:space="preserve">. </w:t>
      </w:r>
      <w:r w:rsidR="00924664" w:rsidRPr="00EC3517">
        <w:t>The red line shows when the Secure Jobs, Better Pay Act 2022 came into effect.</w:t>
      </w:r>
    </w:p>
    <w:p w14:paraId="6F0D6282" w14:textId="77777777" w:rsidR="0011475D" w:rsidRDefault="00924664" w:rsidP="00924664">
      <w:pPr>
        <w:pStyle w:val="Source"/>
      </w:pPr>
      <w:r w:rsidRPr="00167CB8">
        <w:rPr>
          <w:b/>
          <w:bCs/>
        </w:rPr>
        <w:t>Source:</w:t>
      </w:r>
      <w:r w:rsidRPr="00167CB8">
        <w:t xml:space="preserve"> ABS </w:t>
      </w:r>
      <w:r>
        <w:t>5206, Table 42, Unit Labour Costs.</w:t>
      </w:r>
    </w:p>
    <w:p w14:paraId="7DF063D7" w14:textId="131F0DFC" w:rsidR="00924664" w:rsidRDefault="00924664" w:rsidP="00924664">
      <w:pPr>
        <w:pStyle w:val="Source"/>
        <w:rPr>
          <w:rFonts w:ascii="Calibri" w:hAnsi="Calibri" w:cs="Calibri"/>
        </w:rPr>
      </w:pPr>
      <w:r w:rsidRPr="009B530E">
        <w:rPr>
          <w:rFonts w:ascii="Calibri" w:hAnsi="Calibri" w:cs="Calibri"/>
          <w:b/>
          <w:bCs/>
        </w:rPr>
        <w:t>Alt-text:</w:t>
      </w:r>
      <w:r w:rsidRPr="009B530E">
        <w:rPr>
          <w:rFonts w:ascii="Calibri" w:hAnsi="Calibri" w:cs="Calibri"/>
        </w:rPr>
        <w:t xml:space="preserve"> A line chart showing </w:t>
      </w:r>
      <w:r w:rsidR="00EC3517">
        <w:rPr>
          <w:rFonts w:ascii="Calibri" w:hAnsi="Calibri" w:cs="Calibri"/>
        </w:rPr>
        <w:t xml:space="preserve">real unit labour cost </w:t>
      </w:r>
      <w:r w:rsidRPr="009B530E">
        <w:rPr>
          <w:rFonts w:ascii="Calibri" w:hAnsi="Calibri" w:cs="Calibri"/>
        </w:rPr>
        <w:t>has declined over the last two decades and since December 2022 has been increasing.</w:t>
      </w:r>
    </w:p>
    <w:p w14:paraId="682C4122" w14:textId="2F2F739F" w:rsidR="00924664" w:rsidRPr="00141C23" w:rsidRDefault="00924664" w:rsidP="00EC3517">
      <w:pPr>
        <w:pStyle w:val="Heading6"/>
      </w:pPr>
      <w:r w:rsidRPr="00EC3517">
        <w:t xml:space="preserve">8.3.5.3 Pre-Secure Jobs, Better Pay amendments </w:t>
      </w:r>
      <w:r w:rsidR="007B6AF7">
        <w:rPr>
          <w:rFonts w:ascii="Symbol" w:eastAsia="Symbol" w:hAnsi="Symbol" w:cs="Symbol"/>
        </w:rPr>
        <w:sym w:font="Symbol" w:char="F02D"/>
      </w:r>
      <w:r w:rsidRPr="00EC3517">
        <w:t xml:space="preserve"> </w:t>
      </w:r>
      <w:r w:rsidR="00C64656" w:rsidRPr="00EC3517">
        <w:t>c</w:t>
      </w:r>
      <w:r w:rsidRPr="00EC3517">
        <w:t>onclusions</w:t>
      </w:r>
    </w:p>
    <w:p w14:paraId="777580CF" w14:textId="77777777" w:rsidR="0011475D" w:rsidRDefault="00924664" w:rsidP="00924664">
      <w:r w:rsidRPr="00167CB8">
        <w:t>In summary, according to the measures</w:t>
      </w:r>
      <w:r>
        <w:t xml:space="preserve"> reviewed in this section</w:t>
      </w:r>
      <w:r w:rsidRPr="00167CB8">
        <w:t>, the economic situation of Australian workers declined during the period between 2012 and 2022. This coincided closely with the decline of collective bargaining.</w:t>
      </w:r>
    </w:p>
    <w:p w14:paraId="0ED00433" w14:textId="13F5D414" w:rsidR="0011475D" w:rsidRDefault="00924664" w:rsidP="00924664">
      <w:r w:rsidRPr="396ABCA7">
        <w:t xml:space="preserve">The causes of this long-term decline in the economic situation of workers are undoubtedly complicated and include </w:t>
      </w:r>
      <w:r>
        <w:t xml:space="preserve">many explanatory </w:t>
      </w:r>
      <w:r w:rsidRPr="396ABCA7">
        <w:t xml:space="preserve">factors </w:t>
      </w:r>
      <w:r>
        <w:t xml:space="preserve">beyond industrial relations, which range from research and development and the adoption of new technology to competition in </w:t>
      </w:r>
      <w:r w:rsidRPr="396ABCA7">
        <w:t>market</w:t>
      </w:r>
      <w:r>
        <w:t>s and the</w:t>
      </w:r>
      <w:r w:rsidRPr="396ABCA7">
        <w:t xml:space="preserve"> power of firms</w:t>
      </w:r>
      <w:r>
        <w:t xml:space="preserve"> in those markets</w:t>
      </w:r>
      <w:r w:rsidRPr="396ABCA7">
        <w:t>.</w:t>
      </w:r>
      <w:r w:rsidRPr="396ABCA7">
        <w:rPr>
          <w:rStyle w:val="FootnoteReference"/>
        </w:rPr>
        <w:footnoteReference w:id="311"/>
      </w:r>
      <w:r w:rsidRPr="396ABCA7">
        <w:t xml:space="preserve"> Many commentators, however, also attribute </w:t>
      </w:r>
      <w:r>
        <w:t xml:space="preserve">at least some of </w:t>
      </w:r>
      <w:r w:rsidRPr="396ABCA7">
        <w:t xml:space="preserve">the decline to institutional </w:t>
      </w:r>
      <w:r>
        <w:t xml:space="preserve">and legal </w:t>
      </w:r>
      <w:r w:rsidRPr="396ABCA7">
        <w:t>factors, especially the decline of collective bargaining</w:t>
      </w:r>
      <w:r>
        <w:t xml:space="preserve"> and provisions of the F</w:t>
      </w:r>
      <w:r w:rsidR="00C64656">
        <w:t xml:space="preserve">air </w:t>
      </w:r>
      <w:r>
        <w:t>W</w:t>
      </w:r>
      <w:r w:rsidR="00C64656">
        <w:t>ork</w:t>
      </w:r>
      <w:r>
        <w:t xml:space="preserve"> Act</w:t>
      </w:r>
      <w:r w:rsidRPr="396ABCA7">
        <w:t>.</w:t>
      </w:r>
      <w:r w:rsidRPr="396ABCA7">
        <w:rPr>
          <w:rStyle w:val="FootnoteReference"/>
        </w:rPr>
        <w:footnoteReference w:id="312"/>
      </w:r>
    </w:p>
    <w:p w14:paraId="2A0F6E46" w14:textId="77777777" w:rsidR="0011475D" w:rsidRDefault="00924664" w:rsidP="00924664">
      <w:r w:rsidRPr="00167CB8">
        <w:t>Whatever the cause, the urgency of the problem and the need for change were undeniable.</w:t>
      </w:r>
    </w:p>
    <w:p w14:paraId="313C1CA1" w14:textId="5D3DE1E1" w:rsidR="00924664" w:rsidRPr="00167CB8" w:rsidRDefault="00924664" w:rsidP="00924664">
      <w:pPr>
        <w:pStyle w:val="Heading4"/>
        <w:rPr>
          <w:b w:val="0"/>
        </w:rPr>
      </w:pPr>
      <w:bookmarkStart w:id="200" w:name="_Toc189260220"/>
      <w:bookmarkStart w:id="201" w:name="_Toc189393536"/>
      <w:r w:rsidRPr="00167CB8">
        <w:t>8.4 Developments in collective bargaining</w:t>
      </w:r>
      <w:r>
        <w:t>,</w:t>
      </w:r>
      <w:r w:rsidRPr="00167CB8">
        <w:t xml:space="preserve"> 2022</w:t>
      </w:r>
      <w:r w:rsidRPr="00167CB8">
        <w:rPr>
          <w:rFonts w:ascii="Symbol" w:eastAsia="Symbol" w:hAnsi="Symbol" w:cs="Symbol"/>
        </w:rPr>
        <w:t>-</w:t>
      </w:r>
      <w:r w:rsidRPr="00167CB8">
        <w:t>2024</w:t>
      </w:r>
      <w:bookmarkEnd w:id="200"/>
      <w:bookmarkEnd w:id="201"/>
    </w:p>
    <w:p w14:paraId="63A17AD3" w14:textId="614BA782" w:rsidR="0011475D" w:rsidRDefault="00924664" w:rsidP="00924664">
      <w:r w:rsidRPr="396ABCA7">
        <w:t xml:space="preserve">The amendments to the law surrounding collective bargaining and collective agreements emanating from the Secure Jobs, Better Pay Act in December 2022 are described in some detail in the following chapters, as are some of the effects of those amendments. This section instead focuses, </w:t>
      </w:r>
      <w:r w:rsidR="003A15DA" w:rsidRPr="396ABCA7">
        <w:t xml:space="preserve">in </w:t>
      </w:r>
      <w:r w:rsidR="003A15DA" w:rsidRPr="007870EB">
        <w:t>section</w:t>
      </w:r>
      <w:r w:rsidR="003A15DA" w:rsidRPr="00A21561">
        <w:t xml:space="preserve"> 8.4.1</w:t>
      </w:r>
      <w:r w:rsidRPr="396ABCA7">
        <w:t>, on the ‘big picture’ by locating amendments within the dimensions of bargaining identified</w:t>
      </w:r>
      <w:r w:rsidRPr="00A21561">
        <w:t xml:space="preserve">. This helps by bringing coherence to the diverse amendments contained in the </w:t>
      </w:r>
      <w:r w:rsidR="007870EB">
        <w:t xml:space="preserve">Secure Jobs, Better Pay </w:t>
      </w:r>
      <w:r w:rsidRPr="00A21561">
        <w:t>amendments and shedding</w:t>
      </w:r>
      <w:r>
        <w:t xml:space="preserve"> light on</w:t>
      </w:r>
      <w:r w:rsidRPr="396ABCA7">
        <w:t xml:space="preserve"> the intentions behind the amendments.</w:t>
      </w:r>
    </w:p>
    <w:p w14:paraId="0FB4DE9D" w14:textId="54FF1997" w:rsidR="0011475D" w:rsidRDefault="00C64656" w:rsidP="00924664">
      <w:r>
        <w:t>Sections 8.4.2 and 8.4.3</w:t>
      </w:r>
      <w:r w:rsidR="00924664" w:rsidRPr="00C64656" w:rsidDel="00C64656">
        <w:t xml:space="preserve"> </w:t>
      </w:r>
      <w:r w:rsidR="00924664" w:rsidRPr="00C64656">
        <w:t>below then</w:t>
      </w:r>
      <w:r w:rsidR="00924664" w:rsidRPr="396ABCA7">
        <w:t xml:space="preserve"> start to summarise the effects – as opposed to the </w:t>
      </w:r>
      <w:r w:rsidR="00924664" w:rsidRPr="00A21561">
        <w:t>intentions – of the amendments. In other words, they explore whether the incidence and coverage of collective agreements have increased since the passing of the amendments (section 8.4.2) and whether there has there been some improvement in the economic situation of Australian workers (section 8.4.3). In this way, not only does</w:t>
      </w:r>
      <w:r w:rsidR="00924664" w:rsidRPr="00A21561" w:rsidDel="00C64656">
        <w:t xml:space="preserve"> </w:t>
      </w:r>
      <w:r w:rsidR="00924664" w:rsidRPr="00A21561">
        <w:t xml:space="preserve">section </w:t>
      </w:r>
      <w:r>
        <w:t xml:space="preserve">8.4 </w:t>
      </w:r>
      <w:r w:rsidR="00924664" w:rsidRPr="00A21561">
        <w:t xml:space="preserve">summarise the ‘big </w:t>
      </w:r>
      <w:r w:rsidR="00924664" w:rsidRPr="00A21561">
        <w:lastRenderedPageBreak/>
        <w:t>picture’ but it also avoids the repetition across</w:t>
      </w:r>
      <w:r w:rsidR="00924664" w:rsidRPr="396ABCA7">
        <w:t xml:space="preserve"> chapters of data on </w:t>
      </w:r>
      <w:r w:rsidR="00924664">
        <w:t xml:space="preserve">and analysis of </w:t>
      </w:r>
      <w:r w:rsidR="00924664" w:rsidRPr="396ABCA7">
        <w:t>bargaining and wages outcomes.</w:t>
      </w:r>
      <w:r w:rsidR="00924664" w:rsidRPr="396ABCA7">
        <w:rPr>
          <w:rStyle w:val="FootnoteReference"/>
        </w:rPr>
        <w:footnoteReference w:id="313"/>
      </w:r>
    </w:p>
    <w:p w14:paraId="26B55AEE" w14:textId="44F1EA43" w:rsidR="00924664" w:rsidRPr="00167CB8" w:rsidRDefault="00924664" w:rsidP="00924664">
      <w:pPr>
        <w:pStyle w:val="Heading5"/>
        <w:rPr>
          <w:b w:val="0"/>
        </w:rPr>
      </w:pPr>
      <w:r w:rsidRPr="396ABCA7">
        <w:t>8.4.1 The status, level and agents of the amendments</w:t>
      </w:r>
    </w:p>
    <w:p w14:paraId="166E1722" w14:textId="77777777" w:rsidR="00924664" w:rsidRPr="00167CB8" w:rsidRDefault="00924664" w:rsidP="00924664">
      <w:r w:rsidRPr="00167CB8">
        <w:t xml:space="preserve">Locating the amendments within the </w:t>
      </w:r>
      <w:r>
        <w:t>three</w:t>
      </w:r>
      <w:r w:rsidRPr="00167CB8">
        <w:t xml:space="preserve"> dimensions of collective bargaining (discussed above) helps to give an understanding of the intentions behind them.</w:t>
      </w:r>
    </w:p>
    <w:p w14:paraId="59577608" w14:textId="77777777" w:rsidR="0011475D" w:rsidRDefault="00924664" w:rsidP="00924664">
      <w:pPr>
        <w:pStyle w:val="Heading6"/>
      </w:pPr>
      <w:r w:rsidRPr="00167CB8">
        <w:t>8. 4.1.1 Status</w:t>
      </w:r>
    </w:p>
    <w:p w14:paraId="227AF5D1" w14:textId="3DC049BA" w:rsidR="00924664" w:rsidRPr="00FC38CB" w:rsidRDefault="00924664" w:rsidP="00924664">
      <w:r>
        <w:t xml:space="preserve">According to the Australian </w:t>
      </w:r>
      <w:r w:rsidR="007870EB">
        <w:t>G</w:t>
      </w:r>
      <w:r>
        <w:t>overnment, t</w:t>
      </w:r>
      <w:r w:rsidRPr="00167CB8">
        <w:t xml:space="preserve">he Secure Jobs, Better Pay amendments mostly aim to reduce the barriers to </w:t>
      </w:r>
      <w:r w:rsidRPr="00C64656">
        <w:t>collective agreement making created</w:t>
      </w:r>
      <w:r w:rsidRPr="00167CB8">
        <w:t xml:space="preserve"> by legal regulation</w:t>
      </w:r>
      <w:r>
        <w:t xml:space="preserve"> through provisions of </w:t>
      </w:r>
      <w:r w:rsidRPr="00FC38CB">
        <w:t>the F</w:t>
      </w:r>
      <w:r w:rsidR="00C64656">
        <w:t xml:space="preserve">air </w:t>
      </w:r>
      <w:r w:rsidRPr="00FC38CB">
        <w:t>W</w:t>
      </w:r>
      <w:r w:rsidR="00C64656">
        <w:t>ork</w:t>
      </w:r>
      <w:r w:rsidRPr="00FC38CB">
        <w:t xml:space="preserve"> Act. In this way, the amendments change the status of several aspects of collective bargaining. For example, </w:t>
      </w:r>
      <w:r w:rsidR="00571CC2">
        <w:t xml:space="preserve">the </w:t>
      </w:r>
      <w:r w:rsidRPr="00FC38CB">
        <w:t xml:space="preserve">amendments </w:t>
      </w:r>
      <w:r w:rsidR="009263F8">
        <w:t xml:space="preserve">– </w:t>
      </w:r>
      <w:r w:rsidRPr="00FC38CB">
        <w:t xml:space="preserve">like those focused on the requirements for agreement </w:t>
      </w:r>
      <w:r w:rsidRPr="006762E8">
        <w:t>approval (see Chapter 16), the</w:t>
      </w:r>
      <w:r w:rsidRPr="00FC38CB">
        <w:t xml:space="preserve"> Better Off Overall Test (BOOT) (see </w:t>
      </w:r>
      <w:r w:rsidRPr="006762E8">
        <w:t>Chapter 17) and the</w:t>
      </w:r>
      <w:r w:rsidRPr="00FC38CB">
        <w:t xml:space="preserve"> capacity of the FWC to deal with errors (</w:t>
      </w:r>
      <w:r w:rsidRPr="006762E8">
        <w:t>see Chapter 18) and vary</w:t>
      </w:r>
      <w:r w:rsidRPr="00FC38CB">
        <w:t xml:space="preserve"> enterprise agreements (see </w:t>
      </w:r>
      <w:r w:rsidRPr="006762E8">
        <w:t xml:space="preserve">Chapter 19) </w:t>
      </w:r>
      <w:r w:rsidR="009263F8">
        <w:t xml:space="preserve">– </w:t>
      </w:r>
      <w:r w:rsidRPr="006762E8">
        <w:t>aim</w:t>
      </w:r>
      <w:r w:rsidRPr="00FC38CB">
        <w:t xml:space="preserve"> to simplify legal procedures for bargaining. They thereby aim to encourage the making and expand the coverage of single-enterprise collective agreements.</w:t>
      </w:r>
    </w:p>
    <w:p w14:paraId="07F8F858" w14:textId="7E8DE523" w:rsidR="0011475D" w:rsidRDefault="00924664" w:rsidP="00924664">
      <w:r w:rsidRPr="00FC38CB">
        <w:t>At the same time, the legislative provisions also specify three types of multi-employer collective bargaining, each with different procedural rules (</w:t>
      </w:r>
      <w:r w:rsidRPr="006762E8">
        <w:t>see Chapters 10 to 12), thereby</w:t>
      </w:r>
      <w:r w:rsidRPr="00FC38CB">
        <w:t xml:space="preserve"> changing the legal rules governing the making of those agreements</w:t>
      </w:r>
      <w:r w:rsidR="00AA3F47">
        <w:t>; in other words, changing their status</w:t>
      </w:r>
      <w:r w:rsidRPr="00FC38CB">
        <w:t>.</w:t>
      </w:r>
    </w:p>
    <w:p w14:paraId="2AE9A50F" w14:textId="47F47352" w:rsidR="00924664" w:rsidRPr="00167CB8" w:rsidRDefault="00924664" w:rsidP="00924664">
      <w:pPr>
        <w:pStyle w:val="Heading6"/>
      </w:pPr>
      <w:r w:rsidRPr="00167CB8">
        <w:t>8.4.1.2 Level</w:t>
      </w:r>
    </w:p>
    <w:p w14:paraId="5E391323" w14:textId="23896A06" w:rsidR="0011475D" w:rsidRDefault="00924664" w:rsidP="00924664">
      <w:r w:rsidRPr="396ABCA7">
        <w:t xml:space="preserve">The amendments reinforce the highly decentralised nature of Australia’s system of collective bargaining in at least </w:t>
      </w:r>
      <w:r w:rsidR="00ED5420">
        <w:t>two</w:t>
      </w:r>
      <w:r w:rsidRPr="396ABCA7">
        <w:t xml:space="preserve"> ways. First, as Minister Burke said in his second reading speech to parliament in December 2022, single-enterprise bargaining remains the government’s preferred </w:t>
      </w:r>
      <w:r w:rsidRPr="00FC38CB">
        <w:t>model because it promotes improved productivity.</w:t>
      </w:r>
      <w:r w:rsidRPr="00FC38CB">
        <w:rPr>
          <w:rStyle w:val="FootnoteReference"/>
        </w:rPr>
        <w:footnoteReference w:id="314"/>
      </w:r>
    </w:p>
    <w:p w14:paraId="6C5DADC5" w14:textId="77777777" w:rsidR="0011475D" w:rsidRDefault="00924664" w:rsidP="00924664">
      <w:r w:rsidRPr="00FC38CB">
        <w:t xml:space="preserve">Second, many of the amendments are explicitly aimed at breaking down some of the regulatory barriers that were considered to be preventing the single-enterprise bargaining and the making of more agreements at that level. Amendments focused on initiating </w:t>
      </w:r>
      <w:r w:rsidRPr="006762E8">
        <w:t>bargaining (Chapter 9),</w:t>
      </w:r>
      <w:r w:rsidRPr="00FC38CB">
        <w:t xml:space="preserve"> resolving bargaining </w:t>
      </w:r>
      <w:r w:rsidRPr="006762E8">
        <w:t>disputes (Chapter 14), restricting</w:t>
      </w:r>
      <w:r w:rsidRPr="00FC38CB">
        <w:t xml:space="preserve"> the termination of existing agreements </w:t>
      </w:r>
      <w:r w:rsidRPr="006762E8">
        <w:t>(Chapter 20) and</w:t>
      </w:r>
      <w:r w:rsidRPr="00FC38CB">
        <w:t xml:space="preserve"> sunsetting ‘zombie’ </w:t>
      </w:r>
      <w:r w:rsidRPr="006762E8">
        <w:t>agreements (Chapter 21) mostly</w:t>
      </w:r>
      <w:r w:rsidRPr="00FC38CB">
        <w:t xml:space="preserve"> seek to increase the number and effectiveness of single-enterprise collective agreements.</w:t>
      </w:r>
    </w:p>
    <w:p w14:paraId="35C364B6" w14:textId="4EA007F2" w:rsidR="00924664" w:rsidRPr="00167CB8" w:rsidRDefault="00924664" w:rsidP="00924664">
      <w:r w:rsidRPr="00FC38CB">
        <w:t xml:space="preserve">At the same time, however, other amendments aim to create – or reinvigorate – three types of multi-employer bargaining, which represent collective bargaining ‘above’ the level of the single enterprise. These amendments are justified mostly by the contribution that multi-employer bargaining can make towards expanding the coverage of bargaining. But they are also designed </w:t>
      </w:r>
      <w:r w:rsidRPr="006762E8">
        <w:t>to contribute towards more equitable outcomes, such as higher wages for low-paid workers (see Chapter 11) and</w:t>
      </w:r>
      <w:r w:rsidRPr="00FC38CB">
        <w:t xml:space="preserve"> greater gender equality to be facilitated through amendments on pay transparency </w:t>
      </w:r>
      <w:r w:rsidRPr="006762E8">
        <w:t>laws (see Chapter 27).</w:t>
      </w:r>
    </w:p>
    <w:p w14:paraId="1A614029" w14:textId="77777777" w:rsidR="0011475D" w:rsidRDefault="00924664" w:rsidP="00924664">
      <w:r w:rsidRPr="396ABCA7">
        <w:t xml:space="preserve">This attempt to revive multi-employer bargaining </w:t>
      </w:r>
      <w:r>
        <w:t>can be seen as</w:t>
      </w:r>
      <w:r w:rsidRPr="396ABCA7">
        <w:t xml:space="preserve"> part of a renewed interest internationally in multi-employer bargaining</w:t>
      </w:r>
      <w:r>
        <w:t xml:space="preserve">, especially collective bargaining that is vertically </w:t>
      </w:r>
      <w:r>
        <w:lastRenderedPageBreak/>
        <w:t>coordinated</w:t>
      </w:r>
      <w:r w:rsidRPr="396ABCA7">
        <w:t>.</w:t>
      </w:r>
      <w:r w:rsidRPr="396ABCA7">
        <w:rPr>
          <w:rStyle w:val="FootnoteReference"/>
        </w:rPr>
        <w:footnoteReference w:id="315"/>
      </w:r>
      <w:r w:rsidRPr="396ABCA7">
        <w:t xml:space="preserve"> This seems, however, to be a matter of considerable controversy amongst Australian stakeholders. Many unions support it, while many employers oppose it.</w:t>
      </w:r>
    </w:p>
    <w:p w14:paraId="02AF82E2" w14:textId="77777777" w:rsidR="0011475D" w:rsidRDefault="00924664" w:rsidP="00924664">
      <w:pPr>
        <w:pStyle w:val="Heading6"/>
      </w:pPr>
      <w:r w:rsidRPr="00167CB8">
        <w:t>8.4.1.3 Agents</w:t>
      </w:r>
    </w:p>
    <w:p w14:paraId="0F6974D1" w14:textId="77777777" w:rsidR="0011475D" w:rsidRDefault="00924664" w:rsidP="00924664">
      <w:r w:rsidRPr="396ABCA7">
        <w:t xml:space="preserve">The amendments have little to say </w:t>
      </w:r>
      <w:r w:rsidRPr="0025064B">
        <w:rPr>
          <w:b/>
        </w:rPr>
        <w:t>directly</w:t>
      </w:r>
      <w:r w:rsidRPr="396ABCA7">
        <w:t xml:space="preserve"> about who negotiates single-enterprise collective agreements. Non-union agreements remain largely untouched.</w:t>
      </w:r>
      <w:r w:rsidRPr="396ABCA7">
        <w:rPr>
          <w:rStyle w:val="FootnoteReference"/>
        </w:rPr>
        <w:footnoteReference w:id="316"/>
      </w:r>
      <w:r w:rsidRPr="396ABCA7">
        <w:t xml:space="preserve"> Moreover, individual employees retain their capacity to nominate themselves or non-union agents to represent them in bargaining, while the making of collective agreements still rests with a ballot, which is organised by employers and explained to voters by employers.</w:t>
      </w:r>
    </w:p>
    <w:p w14:paraId="0F896F80" w14:textId="033E0820" w:rsidR="00924664" w:rsidRPr="00FC38CB" w:rsidRDefault="00924664" w:rsidP="00924664">
      <w:r w:rsidRPr="396ABCA7">
        <w:t xml:space="preserve">It is arguable, however, that some amendments </w:t>
      </w:r>
      <w:r w:rsidRPr="00420D71">
        <w:rPr>
          <w:b/>
        </w:rPr>
        <w:t>indirectly</w:t>
      </w:r>
      <w:r w:rsidRPr="396ABCA7">
        <w:t xml:space="preserve"> seek to influence the </w:t>
      </w:r>
      <w:r>
        <w:t xml:space="preserve">question of </w:t>
      </w:r>
      <w:r w:rsidRPr="00420D71">
        <w:rPr>
          <w:b/>
          <w:bCs/>
        </w:rPr>
        <w:t>who</w:t>
      </w:r>
      <w:r w:rsidRPr="396ABCA7">
        <w:t xml:space="preserve"> </w:t>
      </w:r>
      <w:r>
        <w:t>represents employees in</w:t>
      </w:r>
      <w:r w:rsidRPr="396ABCA7">
        <w:t xml:space="preserve"> single-enterprise </w:t>
      </w:r>
      <w:r>
        <w:t xml:space="preserve">collective </w:t>
      </w:r>
      <w:r w:rsidRPr="396ABCA7">
        <w:t xml:space="preserve">bargaining. Amendments such as those developing new rules that ensure that agreements are ‘genuinely agreed’ by those voting in the ballots </w:t>
      </w:r>
      <w:r w:rsidRPr="00FC38CB">
        <w:t>(</w:t>
      </w:r>
      <w:r w:rsidRPr="006762E8">
        <w:t>see Chapter 16) have</w:t>
      </w:r>
      <w:r w:rsidRPr="00FC38CB">
        <w:t xml:space="preserve"> the potential to reduce the number of non-union agreements and eliminate the practice of ‘small cohort’ agreements. Also, union representation is likely to be encouraged by their new capacity to initiate bargaining in some circumstances (</w:t>
      </w:r>
      <w:r w:rsidRPr="006762E8">
        <w:t>see Chapter 9) and</w:t>
      </w:r>
      <w:r w:rsidRPr="00FC38CB">
        <w:t xml:space="preserve"> the new limitations on employers unilaterally applying for the termination of agreements during the bargaining period (</w:t>
      </w:r>
      <w:r w:rsidRPr="006762E8">
        <w:t>see Chapter 20).</w:t>
      </w:r>
    </w:p>
    <w:p w14:paraId="04451AB7" w14:textId="77777777" w:rsidR="0011475D" w:rsidRDefault="00924664" w:rsidP="00924664">
      <w:r w:rsidRPr="00FC38CB">
        <w:t xml:space="preserve">Finally, there is little doubt that amendments focusing on multi-employer bargaining seek to ensure that unions play a greater role in representing workers. The authorisation of multi-employer bargaining and the approval by the FWC of the resulting multi-employer agreements mandate that unions must be part of proceedings, even if non-union bargaining representatives can still take part (see </w:t>
      </w:r>
      <w:r w:rsidRPr="006762E8">
        <w:t>Chapters 11 and 12).</w:t>
      </w:r>
    </w:p>
    <w:p w14:paraId="2D867B4B" w14:textId="5BB32FFE" w:rsidR="00924664" w:rsidRPr="00167CB8" w:rsidRDefault="00924664" w:rsidP="00924664">
      <w:pPr>
        <w:pStyle w:val="Heading5"/>
        <w:rPr>
          <w:b w:val="0"/>
        </w:rPr>
      </w:pPr>
      <w:r w:rsidRPr="00167CB8">
        <w:t>8.4.2 The incidence and coverage of collective agreements</w:t>
      </w:r>
    </w:p>
    <w:p w14:paraId="2F261475" w14:textId="199A7E66" w:rsidR="0011475D" w:rsidRDefault="00924664" w:rsidP="00924664">
      <w:r w:rsidRPr="00167CB8">
        <w:t>Have the amendments been effective in achieving their goal of increasing the incidence and coverage of collective agreements? The first answer is that the data available to assess this question is insufficient. Not only have many of the relevant amendments been in operation for shorter periods than the legislation itself but there are also time lags that mean that data is not up to date</w:t>
      </w:r>
      <w:r w:rsidRPr="00C64656">
        <w:t xml:space="preserve">. The WAD, gathered and published by DEWR, is a vital data source. But there have been only seven quarters of data (that is, </w:t>
      </w:r>
      <w:r w:rsidRPr="00C64656" w:rsidDel="00C64656">
        <w:t xml:space="preserve">less </w:t>
      </w:r>
      <w:r w:rsidRPr="00C64656">
        <w:t>than two</w:t>
      </w:r>
      <w:r w:rsidRPr="00167CB8">
        <w:t xml:space="preserve"> years) on trends in enterprise bargaining since the amendments passed parliament. Given that the duration of most enterprise agreements is around </w:t>
      </w:r>
      <w:r>
        <w:t>three</w:t>
      </w:r>
      <w:r w:rsidRPr="00167CB8">
        <w:t xml:space="preserve"> years, </w:t>
      </w:r>
      <w:r>
        <w:t xml:space="preserve">and their maximum duration under the Act is four years, </w:t>
      </w:r>
      <w:r w:rsidRPr="00167CB8">
        <w:t xml:space="preserve">many agreements have not </w:t>
      </w:r>
      <w:r>
        <w:t>yet</w:t>
      </w:r>
      <w:r w:rsidRPr="00167CB8">
        <w:t xml:space="preserve"> been renewed under the new legislative provisions.</w:t>
      </w:r>
    </w:p>
    <w:p w14:paraId="50E83F73" w14:textId="6A1E801F" w:rsidR="00924664" w:rsidRPr="00167CB8" w:rsidRDefault="00924664" w:rsidP="00924664">
      <w:r w:rsidRPr="396ABCA7">
        <w:t xml:space="preserve">Perhaps more disturbingly, the data published by the ABS on the coverage of bargaining is only gathered and published every </w:t>
      </w:r>
      <w:r>
        <w:t>two</w:t>
      </w:r>
      <w:r w:rsidRPr="396ABCA7">
        <w:t xml:space="preserve"> years and the most recent data applies to August 2023. </w:t>
      </w:r>
      <w:r>
        <w:t>T</w:t>
      </w:r>
      <w:r w:rsidRPr="396ABCA7">
        <w:t>hese data shortages mean it is still too early to be sure.</w:t>
      </w:r>
    </w:p>
    <w:p w14:paraId="78D708DF" w14:textId="77777777" w:rsidR="00924664" w:rsidRPr="00167CB8" w:rsidRDefault="00924664" w:rsidP="00924664">
      <w:r w:rsidRPr="396ABCA7">
        <w:t xml:space="preserve">This said, the data that is available suggests </w:t>
      </w:r>
      <w:r>
        <w:t xml:space="preserve">at best </w:t>
      </w:r>
      <w:r w:rsidRPr="396ABCA7">
        <w:t xml:space="preserve">modest increases during 2023 and 2024 in the incidence of collective agreements and </w:t>
      </w:r>
      <w:r>
        <w:t>more substantial increases</w:t>
      </w:r>
      <w:r w:rsidRPr="396ABCA7">
        <w:t xml:space="preserve"> in their coverage. In an effort to overcome </w:t>
      </w:r>
      <w:r>
        <w:t xml:space="preserve">problems with </w:t>
      </w:r>
      <w:r w:rsidRPr="396ABCA7">
        <w:t xml:space="preserve">the fluctuating numbers in the quarterly data, especially for </w:t>
      </w:r>
      <w:r w:rsidRPr="396ABCA7">
        <w:lastRenderedPageBreak/>
        <w:t xml:space="preserve">new agreements, the analysis </w:t>
      </w:r>
      <w:r>
        <w:t xml:space="preserve">here using data from the WAD </w:t>
      </w:r>
      <w:r w:rsidRPr="396ABCA7">
        <w:t>focuses as much as possible on data aggregated over four quarters</w:t>
      </w:r>
      <w:r>
        <w:t>; September has been chosen as the fourth quarter throughout because September 2024 represents the most recent data available.</w:t>
      </w:r>
    </w:p>
    <w:p w14:paraId="6C7C5B01" w14:textId="77777777" w:rsidR="00924664" w:rsidRPr="00167CB8" w:rsidRDefault="00924664" w:rsidP="00924664">
      <w:r w:rsidRPr="00167CB8">
        <w:t>First, in terms of ‘new’ collective agreements approved by the FWC since the amendments were passed by parliament:</w:t>
      </w:r>
    </w:p>
    <w:p w14:paraId="79BC2946" w14:textId="77777777" w:rsidR="00924664" w:rsidRPr="00354B00" w:rsidRDefault="00924664" w:rsidP="003F7EE6">
      <w:pPr>
        <w:pStyle w:val="ListBullet"/>
        <w:numPr>
          <w:ilvl w:val="0"/>
          <w:numId w:val="4"/>
        </w:numPr>
      </w:pPr>
      <w:r w:rsidRPr="00167CB8">
        <w:t xml:space="preserve">In the year to September 2023, the </w:t>
      </w:r>
      <w:r>
        <w:t>four-quarterly</w:t>
      </w:r>
      <w:r w:rsidRPr="00167CB8">
        <w:t xml:space="preserve"> total number of new approved agreements </w:t>
      </w:r>
      <w:r>
        <w:t xml:space="preserve">actually </w:t>
      </w:r>
      <w:r w:rsidRPr="00167CB8">
        <w:t xml:space="preserve">declined by 5% to 3,978. However, in the </w:t>
      </w:r>
      <w:r>
        <w:t xml:space="preserve">four quarters </w:t>
      </w:r>
      <w:r w:rsidRPr="00167CB8">
        <w:t>to September 2024, the number of new agreements increased by 11% to 4,417</w:t>
      </w:r>
      <w:r w:rsidRPr="00354B00">
        <w:t>.</w:t>
      </w:r>
    </w:p>
    <w:p w14:paraId="02C9ED22" w14:textId="77674C8D" w:rsidR="0011475D" w:rsidRDefault="00924664" w:rsidP="003F7EE6">
      <w:pPr>
        <w:pStyle w:val="ListBullet"/>
        <w:numPr>
          <w:ilvl w:val="0"/>
          <w:numId w:val="4"/>
        </w:numPr>
      </w:pPr>
      <w:r w:rsidRPr="00167CB8">
        <w:t xml:space="preserve">Corresponding with the periods outlined above, the number of employees covered by new </w:t>
      </w:r>
      <w:r>
        <w:t>approved</w:t>
      </w:r>
      <w:r w:rsidRPr="00167CB8">
        <w:t xml:space="preserve"> agreements </w:t>
      </w:r>
      <w:r w:rsidR="008C35DD">
        <w:t xml:space="preserve">initially </w:t>
      </w:r>
      <w:r>
        <w:t>increased</w:t>
      </w:r>
      <w:r w:rsidRPr="00167CB8">
        <w:t xml:space="preserve"> by 3%</w:t>
      </w:r>
      <w:r>
        <w:t xml:space="preserve">, from 765,700 employees to 788,400 employees. In the year to </w:t>
      </w:r>
      <w:r w:rsidRPr="00167CB8">
        <w:t>September 202</w:t>
      </w:r>
      <w:r>
        <w:t>4, total employee coverage by agreements was equal to 1,258,322 – a 60% increase.</w:t>
      </w:r>
    </w:p>
    <w:p w14:paraId="053CB29A" w14:textId="62EB9542" w:rsidR="00924664" w:rsidRPr="00167CB8" w:rsidRDefault="00924664" w:rsidP="00924664">
      <w:r w:rsidRPr="00167CB8">
        <w:t>Second, in terms of ‘current’ agreements, each 12-month period since the amendments came into operation can be summarised as follows:</w:t>
      </w:r>
    </w:p>
    <w:p w14:paraId="294CCD18" w14:textId="77777777" w:rsidR="0011475D" w:rsidRDefault="00924664" w:rsidP="003F7EE6">
      <w:pPr>
        <w:pStyle w:val="ListBullet"/>
        <w:numPr>
          <w:ilvl w:val="0"/>
          <w:numId w:val="4"/>
        </w:numPr>
      </w:pPr>
      <w:r w:rsidRPr="00167CB8">
        <w:t>The total number of current agreements declined by 10.5% to 9,889 between September 2022 and September 2023 and then increased by 2% to 10,113 between September 2023 and September 2024.</w:t>
      </w:r>
    </w:p>
    <w:p w14:paraId="6FDC7619" w14:textId="0D77BD17" w:rsidR="0011475D" w:rsidRDefault="00924664" w:rsidP="003F7EE6">
      <w:pPr>
        <w:pStyle w:val="ListBullet"/>
        <w:numPr>
          <w:ilvl w:val="0"/>
          <w:numId w:val="4"/>
        </w:numPr>
      </w:pPr>
      <w:r w:rsidRPr="00167CB8">
        <w:t>Their corresponding coverage saw a</w:t>
      </w:r>
      <w:r w:rsidR="00630B4B">
        <w:t>n initial</w:t>
      </w:r>
      <w:r w:rsidRPr="00167CB8">
        <w:t xml:space="preserve"> decline of 5% in the 12 months to September 2023 to 1.8 million and then a 22% increase (to 2.2 million) in the 12 months to September 2024.</w:t>
      </w:r>
    </w:p>
    <w:p w14:paraId="0E283D7D" w14:textId="62CEE0CE" w:rsidR="0011475D" w:rsidRDefault="00924664" w:rsidP="00924664">
      <w:r w:rsidRPr="396ABCA7">
        <w:t>The conclusion from these sources is that the coverage of collective bargaining has increased markedly since the passing of the amendments</w:t>
      </w:r>
      <w:r>
        <w:t>, although the incidence of collective agreements has been more patchy</w:t>
      </w:r>
      <w:r w:rsidRPr="396ABCA7">
        <w:t xml:space="preserve">. </w:t>
      </w:r>
      <w:r>
        <w:t xml:space="preserve">This was </w:t>
      </w:r>
      <w:r w:rsidR="00630B4B">
        <w:t xml:space="preserve">mostly </w:t>
      </w:r>
      <w:r w:rsidRPr="396ABCA7">
        <w:t>consistent with the intentions of the amendments.</w:t>
      </w:r>
    </w:p>
    <w:p w14:paraId="50CB145A" w14:textId="77ABA00E" w:rsidR="00924664" w:rsidRPr="00167CB8" w:rsidRDefault="00924664" w:rsidP="00924664">
      <w:r w:rsidRPr="396ABCA7">
        <w:t>These conclusions are supported by less complete data provided in subsequent chapters by agencies like the FWC and more anecdotal evidence provided by stakeholders. To repeat, though: these trends are very formative due to the limited time period involved, and definitive evidence is not yet available.</w:t>
      </w:r>
    </w:p>
    <w:p w14:paraId="19D8A3FA" w14:textId="77777777" w:rsidR="00924664" w:rsidRPr="00167CB8" w:rsidRDefault="00924664" w:rsidP="00924664">
      <w:pPr>
        <w:pStyle w:val="Heading5"/>
        <w:rPr>
          <w:b w:val="0"/>
        </w:rPr>
      </w:pPr>
      <w:r w:rsidRPr="00167CB8">
        <w:t>8.4.3 Outcomes</w:t>
      </w:r>
    </w:p>
    <w:p w14:paraId="27177B26" w14:textId="0836D364" w:rsidR="00924664" w:rsidRPr="00167CB8" w:rsidRDefault="00924664" w:rsidP="00924664">
      <w:pPr>
        <w:rPr>
          <w:b/>
          <w:bCs/>
        </w:rPr>
      </w:pPr>
      <w:r w:rsidRPr="396ABCA7">
        <w:t xml:space="preserve">The </w:t>
      </w:r>
      <w:r>
        <w:t>changes</w:t>
      </w:r>
      <w:r w:rsidRPr="396ABCA7">
        <w:t xml:space="preserve"> in the incidence and coverage of collective agreements coincided with </w:t>
      </w:r>
      <w:r>
        <w:t xml:space="preserve">changes in </w:t>
      </w:r>
      <w:r w:rsidRPr="396ABCA7">
        <w:t xml:space="preserve">a number of key economic outcomes. This section will focus on </w:t>
      </w:r>
      <w:r>
        <w:t>the same indicators as discussed above (in section 8.3.5)</w:t>
      </w:r>
      <w:r w:rsidRPr="396ABCA7">
        <w:t xml:space="preserve">: wages; </w:t>
      </w:r>
      <w:r w:rsidR="00FC372B">
        <w:t xml:space="preserve">and </w:t>
      </w:r>
      <w:r>
        <w:t xml:space="preserve">the gap between wages and </w:t>
      </w:r>
      <w:r w:rsidR="00FC372B">
        <w:t xml:space="preserve">labour </w:t>
      </w:r>
      <w:r>
        <w:t>productivity</w:t>
      </w:r>
      <w:r w:rsidRPr="396ABCA7">
        <w:t>.</w:t>
      </w:r>
    </w:p>
    <w:p w14:paraId="4ADC25AA" w14:textId="77777777" w:rsidR="00924664" w:rsidRPr="00167CB8" w:rsidRDefault="00924664" w:rsidP="00924664">
      <w:pPr>
        <w:pStyle w:val="Heading6"/>
      </w:pPr>
      <w:r w:rsidRPr="00167CB8">
        <w:t>8.4.3.1 Wages</w:t>
      </w:r>
    </w:p>
    <w:p w14:paraId="755533B8" w14:textId="681884C0" w:rsidR="0011475D" w:rsidRDefault="00924664" w:rsidP="00924664">
      <w:r w:rsidRPr="00A249CD">
        <w:t>An account of the wage trends begins with data on the WPI. As shown at Figure 6 above</w:t>
      </w:r>
      <w:r w:rsidRPr="00167CB8" w:rsidDel="009540D3">
        <w:t xml:space="preserve"> (in </w:t>
      </w:r>
      <w:r w:rsidRPr="00C64656" w:rsidDel="009540D3">
        <w:t>section 8.3.5.1</w:t>
      </w:r>
      <w:r w:rsidRPr="00C64656">
        <w:t>), between</w:t>
      </w:r>
      <w:r w:rsidRPr="00A249CD">
        <w:t xml:space="preserve"> December 2022 and December 2024 (i.e. after the amendments) </w:t>
      </w:r>
      <w:r w:rsidRPr="00543A6B">
        <w:rPr>
          <w:b/>
        </w:rPr>
        <w:t>nominal</w:t>
      </w:r>
      <w:r w:rsidRPr="00A249CD">
        <w:t xml:space="preserve"> wages increased by 7.6% and real wages by 1.5%. Figure 7 (above), which charts changes relative to the corresponding quarter of the previous year, shows that</w:t>
      </w:r>
      <w:r w:rsidRPr="00285E21">
        <w:t xml:space="preserve"> since the inflationary peak in the December quarter of 2022 there has been a slow, but gradual, </w:t>
      </w:r>
      <w:r>
        <w:t>recovery of real wage growth</w:t>
      </w:r>
      <w:r w:rsidRPr="00285E21">
        <w:t xml:space="preserve">. </w:t>
      </w:r>
      <w:r>
        <w:t>In the December quarter of 2024, the nominal wage was 3.2% higher than it had been in the corresponding quarter of the previous year. Over the same period</w:t>
      </w:r>
      <w:r w:rsidR="00FC372B">
        <w:t>,</w:t>
      </w:r>
      <w:r w:rsidRPr="00A249CD">
        <w:t xml:space="preserve"> real wage</w:t>
      </w:r>
      <w:r w:rsidR="00FC372B">
        <w:t>s</w:t>
      </w:r>
      <w:r w:rsidRPr="00A249CD">
        <w:t xml:space="preserve"> grew by 0.8%.</w:t>
      </w:r>
    </w:p>
    <w:p w14:paraId="64F25446" w14:textId="62F3E0B1" w:rsidR="0011475D" w:rsidRDefault="00924664" w:rsidP="00924664">
      <w:r w:rsidRPr="00CC5797">
        <w:lastRenderedPageBreak/>
        <w:t xml:space="preserve">Figure 8 (above) </w:t>
      </w:r>
      <w:r w:rsidRPr="00A249CD">
        <w:t>shows that</w:t>
      </w:r>
      <w:r w:rsidRPr="006C61FA">
        <w:t xml:space="preserve"> in the year to December 2023 nominal wages increased by 4.3%, underpinned by a 1.7 percentage point increase in enterprise agreements, a 1.9 percentage point </w:t>
      </w:r>
      <w:r w:rsidR="00C64656">
        <w:t xml:space="preserve">increase </w:t>
      </w:r>
      <w:r w:rsidRPr="006C61FA">
        <w:t>from individual agreements and a 0.8 percentage point increase from awards. Except for 2022, the contribution from awards far exceeded the annual average increase in awards for each year over the period 2011 to 2021.</w:t>
      </w:r>
    </w:p>
    <w:p w14:paraId="50D2901F" w14:textId="4552B411" w:rsidR="00924664" w:rsidRPr="00167CB8" w:rsidRDefault="00924664" w:rsidP="00924664">
      <w:r w:rsidRPr="00C64656">
        <w:t xml:space="preserve">Analysis of </w:t>
      </w:r>
      <w:r w:rsidR="00301C36">
        <w:t xml:space="preserve">(nominal) </w:t>
      </w:r>
      <w:r w:rsidRPr="00C64656">
        <w:t>AAWIs contained in federal en</w:t>
      </w:r>
      <w:r w:rsidRPr="00167CB8">
        <w:t xml:space="preserve">terprise </w:t>
      </w:r>
      <w:r w:rsidRPr="00A12A9D">
        <w:t>agreements (Figure 11 below</w:t>
      </w:r>
      <w:r>
        <w:t xml:space="preserve"> </w:t>
      </w:r>
      <w:r w:rsidRPr="006762E8">
        <w:t xml:space="preserve">and </w:t>
      </w:r>
      <w:r w:rsidRPr="00D339D7">
        <w:t xml:space="preserve">Table </w:t>
      </w:r>
      <w:r w:rsidR="00F018B6" w:rsidRPr="00D339D7">
        <w:t>6</w:t>
      </w:r>
      <w:r w:rsidR="00F018B6">
        <w:t>4</w:t>
      </w:r>
      <w:r w:rsidR="00F018B6" w:rsidRPr="006762E8">
        <w:t xml:space="preserve"> </w:t>
      </w:r>
      <w:r w:rsidRPr="006762E8">
        <w:t>in</w:t>
      </w:r>
      <w:r>
        <w:t xml:space="preserve"> Appendix 2) shows that</w:t>
      </w:r>
      <w:r w:rsidR="00ED5420">
        <w:t>,</w:t>
      </w:r>
      <w:r>
        <w:t xml:space="preserve"> when compared to AAWI</w:t>
      </w:r>
      <w:r w:rsidR="00ED5420">
        <w:t>s</w:t>
      </w:r>
      <w:r>
        <w:t xml:space="preserve"> before the Secure Jobs, Better Pay Act amendments, AAWI</w:t>
      </w:r>
      <w:r w:rsidR="00ED5420">
        <w:t>s</w:t>
      </w:r>
      <w:r>
        <w:t xml:space="preserve"> have been higher. </w:t>
      </w:r>
      <w:r w:rsidRPr="00167CB8">
        <w:t xml:space="preserve">With respect to new agreements </w:t>
      </w:r>
      <w:r>
        <w:t xml:space="preserve">approved </w:t>
      </w:r>
      <w:r w:rsidRPr="00167CB8">
        <w:t>by the FWC each quarter, the</w:t>
      </w:r>
      <w:r>
        <w:t xml:space="preserve"> (nominal)</w:t>
      </w:r>
      <w:r w:rsidRPr="00167CB8">
        <w:t xml:space="preserve"> AAWIs grew steadily to reach </w:t>
      </w:r>
      <w:r>
        <w:t xml:space="preserve">a peak of 4.4% </w:t>
      </w:r>
      <w:r w:rsidRPr="00167CB8">
        <w:t xml:space="preserve">in </w:t>
      </w:r>
      <w:r>
        <w:t xml:space="preserve">the December quarter of </w:t>
      </w:r>
      <w:r w:rsidRPr="00167CB8">
        <w:t xml:space="preserve">2023, to be followed by decreases during the </w:t>
      </w:r>
      <w:r>
        <w:t>three</w:t>
      </w:r>
      <w:r w:rsidRPr="00167CB8">
        <w:t xml:space="preserve"> quarters of 2024. </w:t>
      </w:r>
      <w:r>
        <w:t>The AAWIs contained in current agreements rose steadily from 2.6% in the December quarter 2022 to 3.5% in the September quarter of 2024.</w:t>
      </w:r>
    </w:p>
    <w:p w14:paraId="38EFE2F5" w14:textId="0593D9D8" w:rsidR="00924664" w:rsidRDefault="00EC3517" w:rsidP="007F380D">
      <w:pPr>
        <w:pStyle w:val="Caption"/>
      </w:pPr>
      <w:bookmarkStart w:id="202" w:name="_Toc194251509"/>
      <w:r>
        <w:t xml:space="preserve">Figure </w:t>
      </w:r>
      <w:r>
        <w:fldChar w:fldCharType="begin"/>
      </w:r>
      <w:r>
        <w:instrText xml:space="preserve"> SEQ Figure \* ARABIC </w:instrText>
      </w:r>
      <w:r>
        <w:fldChar w:fldCharType="separate"/>
      </w:r>
      <w:r w:rsidR="00DE5F5E">
        <w:rPr>
          <w:noProof/>
        </w:rPr>
        <w:t>11</w:t>
      </w:r>
      <w:r>
        <w:fldChar w:fldCharType="end"/>
      </w:r>
      <w:r>
        <w:t xml:space="preserve">: </w:t>
      </w:r>
      <w:r w:rsidR="00924664" w:rsidRPr="00C64656">
        <w:t xml:space="preserve">Quarterly </w:t>
      </w:r>
      <w:r w:rsidR="00C64656" w:rsidRPr="00D339D7">
        <w:t>a</w:t>
      </w:r>
      <w:r w:rsidR="00924664" w:rsidRPr="00C64656">
        <w:t xml:space="preserve">verage </w:t>
      </w:r>
      <w:r w:rsidR="00C64656" w:rsidRPr="00D339D7">
        <w:t>a</w:t>
      </w:r>
      <w:r w:rsidR="00924664" w:rsidRPr="00C64656">
        <w:t xml:space="preserve">nnual </w:t>
      </w:r>
      <w:r w:rsidR="00C64656" w:rsidRPr="00D339D7">
        <w:t>w</w:t>
      </w:r>
      <w:r w:rsidR="00924664" w:rsidRPr="00C64656">
        <w:t xml:space="preserve">age </w:t>
      </w:r>
      <w:r w:rsidR="00C64656" w:rsidRPr="00D339D7">
        <w:t>i</w:t>
      </w:r>
      <w:r w:rsidR="00924664" w:rsidRPr="00C64656">
        <w:t>ncrease</w:t>
      </w:r>
      <w:r w:rsidR="00924664" w:rsidDel="00C64656">
        <w:t xml:space="preserve"> </w:t>
      </w:r>
      <w:r w:rsidR="00924664">
        <w:t>(%)</w:t>
      </w:r>
      <w:r w:rsidR="00924664" w:rsidRPr="00167CB8">
        <w:t xml:space="preserve"> for approved and current agreements, 2021 to 2024</w:t>
      </w:r>
      <w:bookmarkEnd w:id="202"/>
    </w:p>
    <w:p w14:paraId="65E2A7D8" w14:textId="77777777" w:rsidR="00924664" w:rsidRPr="00303D48" w:rsidRDefault="00924664" w:rsidP="00924664">
      <w:pPr>
        <w:rPr>
          <w:lang w:val="en-US"/>
        </w:rPr>
      </w:pPr>
      <w:r w:rsidRPr="00303D48">
        <w:rPr>
          <w:noProof/>
        </w:rPr>
        <w:drawing>
          <wp:inline distT="0" distB="0" distL="0" distR="0" wp14:anchorId="05A759C1" wp14:editId="44C31160">
            <wp:extent cx="5731510" cy="3431540"/>
            <wp:effectExtent l="0" t="0" r="2540" b="0"/>
            <wp:docPr id="2068943024" name="Picture 1" descr="A combination chart of quarterly average annual wage increase.&#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943024" name="Picture 1" descr="A combination chart of quarterly average annual wage increase.&#10;&#10;See alt-text following the Source."/>
                    <pic:cNvPicPr/>
                  </pic:nvPicPr>
                  <pic:blipFill>
                    <a:blip r:embed="rId24"/>
                    <a:stretch>
                      <a:fillRect/>
                    </a:stretch>
                  </pic:blipFill>
                  <pic:spPr>
                    <a:xfrm>
                      <a:off x="0" y="0"/>
                      <a:ext cx="5731510" cy="3431540"/>
                    </a:xfrm>
                    <a:prstGeom prst="rect">
                      <a:avLst/>
                    </a:prstGeom>
                  </pic:spPr>
                </pic:pic>
              </a:graphicData>
            </a:graphic>
          </wp:inline>
        </w:drawing>
      </w:r>
    </w:p>
    <w:p w14:paraId="434DF750" w14:textId="6A8EBD18" w:rsidR="00924664" w:rsidRPr="00167CB8" w:rsidRDefault="00C64656" w:rsidP="00D339D7">
      <w:pPr>
        <w:pStyle w:val="Source"/>
      </w:pPr>
      <w:r w:rsidRPr="00D339D7">
        <w:rPr>
          <w:b/>
        </w:rPr>
        <w:t>Note:</w:t>
      </w:r>
      <w:r>
        <w:t xml:space="preserve"> AAWI: average annual</w:t>
      </w:r>
      <w:r w:rsidR="007703BA">
        <w:t>ised</w:t>
      </w:r>
      <w:r>
        <w:t xml:space="preserve"> wage increase</w:t>
      </w:r>
    </w:p>
    <w:p w14:paraId="21159CD8" w14:textId="77777777" w:rsidR="00924664" w:rsidRPr="00167CB8" w:rsidRDefault="00924664" w:rsidP="00924664">
      <w:pPr>
        <w:pStyle w:val="Source"/>
      </w:pPr>
      <w:r w:rsidRPr="00167CB8">
        <w:rPr>
          <w:b/>
          <w:bCs/>
        </w:rPr>
        <w:t>Source:</w:t>
      </w:r>
      <w:r w:rsidRPr="00167CB8">
        <w:t xml:space="preserve"> Trends in Federal Enterprise Bargaining, September quarter 2024, Chart 2.</w:t>
      </w:r>
    </w:p>
    <w:p w14:paraId="552EC9B5" w14:textId="77777777" w:rsidR="00924664" w:rsidRDefault="00924664" w:rsidP="00924664">
      <w:pPr>
        <w:pStyle w:val="Source"/>
      </w:pPr>
      <w:r w:rsidRPr="396ABCA7">
        <w:rPr>
          <w:b/>
          <w:bCs/>
        </w:rPr>
        <w:t>Alt text:</w:t>
      </w:r>
      <w:r w:rsidRPr="396ABCA7">
        <w:t xml:space="preserve"> A combination chart with bars showing the AAWI for new agreements approved in each quarter and a line showing the AAWI for all agreement current on the last day of each quarter. The AAWI for agreements approved in the September quarter 2024 was 3.6%, while the AAWI for agreement current as at 30 September 2024 was 3.5%.</w:t>
      </w:r>
    </w:p>
    <w:p w14:paraId="4C804AB7" w14:textId="77777777" w:rsidR="00924664" w:rsidRPr="00167CB8" w:rsidRDefault="00924664" w:rsidP="00924664">
      <w:pPr>
        <w:pStyle w:val="Heading6"/>
        <w:rPr>
          <w:b w:val="0"/>
        </w:rPr>
      </w:pPr>
      <w:r w:rsidRPr="00167CB8">
        <w:t xml:space="preserve">8.4.3.2 </w:t>
      </w:r>
      <w:r>
        <w:t>The gap between w</w:t>
      </w:r>
      <w:r w:rsidRPr="00167CB8">
        <w:t>ages</w:t>
      </w:r>
      <w:r>
        <w:t xml:space="preserve"> and </w:t>
      </w:r>
      <w:r w:rsidRPr="00167CB8">
        <w:t>productivity</w:t>
      </w:r>
    </w:p>
    <w:p w14:paraId="1AF575EC" w14:textId="33FE6C30" w:rsidR="0011475D" w:rsidRDefault="00924664" w:rsidP="00924664">
      <w:r>
        <w:t>The impact of the amendments on the ‘decoupling’ between real wages and productivity growth (shown at the right-hand side of Figure 9 above) is complicated, largely because of fluctuations in the quarterly outcomes. Initially, a decline in labour productivity at the same time as a decline in real wages meant that the gap continued. Subsequent movements of both indicators meant that the extent of decoupling narrowed in the most recent data.</w:t>
      </w:r>
    </w:p>
    <w:p w14:paraId="4C6A04EF" w14:textId="13777D08" w:rsidR="0011475D" w:rsidRDefault="00924664" w:rsidP="00924664">
      <w:r>
        <w:lastRenderedPageBreak/>
        <w:t xml:space="preserve">The </w:t>
      </w:r>
      <w:r w:rsidRPr="00C64656">
        <w:t>RULC data similarly show</w:t>
      </w:r>
      <w:r w:rsidR="00ED5420" w:rsidRPr="00C64656">
        <w:t>s</w:t>
      </w:r>
      <w:r w:rsidRPr="00C64656">
        <w:t xml:space="preserve"> that</w:t>
      </w:r>
      <w:r>
        <w:t xml:space="preserve"> the gap between wages and productivity has reduced – reflected in an increase in RULC as a share of labour productivity. This is consistent with rising wages since the passage of the Secure Jobs, Better Pay amendments. It remains to be seen whether this trend continues.</w:t>
      </w:r>
    </w:p>
    <w:p w14:paraId="5CDF6249" w14:textId="55B99A87" w:rsidR="00924664" w:rsidRPr="00167CB8" w:rsidRDefault="00924664" w:rsidP="00924664">
      <w:pPr>
        <w:pStyle w:val="Heading4"/>
        <w:rPr>
          <w:b w:val="0"/>
        </w:rPr>
      </w:pPr>
      <w:bookmarkStart w:id="203" w:name="_Toc189260221"/>
      <w:bookmarkStart w:id="204" w:name="_Toc189393537"/>
      <w:r w:rsidRPr="00167CB8">
        <w:t>8.5 Conclusions</w:t>
      </w:r>
      <w:bookmarkEnd w:id="203"/>
      <w:bookmarkEnd w:id="204"/>
    </w:p>
    <w:p w14:paraId="00CA6D5B" w14:textId="77777777" w:rsidR="00924664" w:rsidRPr="00167CB8" w:rsidRDefault="00924664" w:rsidP="00924664">
      <w:r w:rsidRPr="00167CB8">
        <w:t>This introductory chapter sets the scene for the more detailed assessment of specific amendments about</w:t>
      </w:r>
      <w:r>
        <w:t xml:space="preserve"> collective</w:t>
      </w:r>
      <w:r w:rsidRPr="00167CB8">
        <w:t xml:space="preserve"> bargaining and </w:t>
      </w:r>
      <w:r>
        <w:t xml:space="preserve">collective </w:t>
      </w:r>
      <w:r w:rsidRPr="00167CB8">
        <w:t xml:space="preserve">agreements in the </w:t>
      </w:r>
      <w:r>
        <w:t xml:space="preserve">following </w:t>
      </w:r>
      <w:r w:rsidRPr="00167CB8">
        <w:t xml:space="preserve">chapters. It suggests </w:t>
      </w:r>
      <w:r>
        <w:t>three</w:t>
      </w:r>
      <w:r w:rsidRPr="00167CB8">
        <w:t xml:space="preserve"> main conclusions.</w:t>
      </w:r>
    </w:p>
    <w:p w14:paraId="70D1DF92" w14:textId="504B4E00" w:rsidR="00924664" w:rsidRPr="00167CB8" w:rsidRDefault="00924664" w:rsidP="00924664">
      <w:r w:rsidRPr="00167CB8">
        <w:t>First, the decline in collective bargaining between 2012 and 2022 was significant</w:t>
      </w:r>
      <w:r>
        <w:t>. This</w:t>
      </w:r>
      <w:r w:rsidRPr="00167CB8">
        <w:t xml:space="preserve"> occurred at the same time as there was a serious deterioration in the economic circumstances of Australian workers</w:t>
      </w:r>
      <w:r>
        <w:t xml:space="preserve"> as measured by the indicators of wages and the extent of decoupling </w:t>
      </w:r>
      <w:r w:rsidR="00ED5420">
        <w:rPr>
          <w:rFonts w:ascii="Symbol" w:eastAsia="Symbol" w:hAnsi="Symbol" w:cs="Symbol"/>
        </w:rPr>
        <w:sym w:font="Symbol" w:char="F02D"/>
      </w:r>
      <w:r>
        <w:t xml:space="preserve"> the gap between real wages and labour productivity</w:t>
      </w:r>
      <w:r w:rsidR="00466691">
        <w:t>. This de-coupling</w:t>
      </w:r>
      <w:r>
        <w:t xml:space="preserve"> </w:t>
      </w:r>
      <w:r w:rsidR="00596294">
        <w:t xml:space="preserve">was </w:t>
      </w:r>
      <w:r>
        <w:t xml:space="preserve">also shown as a decline in the RULC index. </w:t>
      </w:r>
      <w:r w:rsidRPr="00167CB8">
        <w:t xml:space="preserve">Government action </w:t>
      </w:r>
      <w:r>
        <w:t xml:space="preserve">of some kind </w:t>
      </w:r>
      <w:r w:rsidRPr="00167CB8">
        <w:t>was necessary.</w:t>
      </w:r>
    </w:p>
    <w:p w14:paraId="3E7AE7FD" w14:textId="77777777" w:rsidR="00924664" w:rsidRPr="00167CB8" w:rsidRDefault="00924664" w:rsidP="00924664">
      <w:r w:rsidRPr="00167CB8">
        <w:t xml:space="preserve">Second, </w:t>
      </w:r>
      <w:r>
        <w:t xml:space="preserve">as the following chapters will show in more detail, </w:t>
      </w:r>
      <w:r w:rsidRPr="00167CB8">
        <w:t xml:space="preserve">the main intentions of the </w:t>
      </w:r>
      <w:r>
        <w:t xml:space="preserve">collective </w:t>
      </w:r>
      <w:r w:rsidRPr="00167CB8">
        <w:t xml:space="preserve">bargaining and </w:t>
      </w:r>
      <w:r>
        <w:t xml:space="preserve">collective </w:t>
      </w:r>
      <w:r w:rsidRPr="00167CB8">
        <w:t>agreement amendments in the Secure Jobs, Better Pay Act were to reverse the decline in collective bargaining and to increase wages.</w:t>
      </w:r>
    </w:p>
    <w:p w14:paraId="0C22B559" w14:textId="6F0A6080" w:rsidR="00924664" w:rsidRDefault="00924664" w:rsidP="00924664">
      <w:pPr>
        <w:spacing w:after="160"/>
        <w:rPr>
          <w:rFonts w:eastAsiaTheme="majorEastAsia" w:cstheme="majorBidi"/>
          <w:b/>
          <w:color w:val="0D2C6C" w:themeColor="text1"/>
          <w:sz w:val="32"/>
          <w:szCs w:val="24"/>
        </w:rPr>
      </w:pPr>
      <w:r w:rsidRPr="00167CB8">
        <w:t>Third, the evidence about whether these intentions were realised is weak because of insufficient time elapsing since the amendments</w:t>
      </w:r>
      <w:r>
        <w:t>. But</w:t>
      </w:r>
      <w:r w:rsidRPr="00167CB8">
        <w:t xml:space="preserve"> the early signs are </w:t>
      </w:r>
      <w:r>
        <w:t>that</w:t>
      </w:r>
      <w:r w:rsidRPr="00167CB8">
        <w:t xml:space="preserve"> collective bargaining is increasing, especially the coverage of collective agreements, and </w:t>
      </w:r>
      <w:r>
        <w:t>real w</w:t>
      </w:r>
      <w:r w:rsidRPr="00167CB8">
        <w:t xml:space="preserve">ages (and other indicators </w:t>
      </w:r>
      <w:r w:rsidR="00C64656">
        <w:t xml:space="preserve">of </w:t>
      </w:r>
      <w:r w:rsidRPr="00167CB8">
        <w:t>workers’ economic circumstances) have started to improve.</w:t>
      </w:r>
      <w:r>
        <w:t xml:space="preserve"> More definitive outcomes, however, require more data than is currently available.</w:t>
      </w:r>
      <w:bookmarkStart w:id="205" w:name="_Toc189260222"/>
      <w:bookmarkStart w:id="206" w:name="_Toc189393538"/>
      <w:bookmarkEnd w:id="183"/>
      <w:bookmarkEnd w:id="184"/>
    </w:p>
    <w:p w14:paraId="2A93C20B" w14:textId="77777777" w:rsidR="00924664" w:rsidRDefault="00924664" w:rsidP="00924664">
      <w:pPr>
        <w:spacing w:after="160"/>
        <w:rPr>
          <w:rFonts w:eastAsiaTheme="majorEastAsia" w:cstheme="majorBidi"/>
          <w:b/>
          <w:color w:val="0D2C6C" w:themeColor="text1"/>
          <w:sz w:val="32"/>
          <w:szCs w:val="24"/>
        </w:rPr>
      </w:pPr>
      <w:r>
        <w:br w:type="page"/>
      </w:r>
    </w:p>
    <w:p w14:paraId="0187E802" w14:textId="77777777" w:rsidR="00924664" w:rsidRPr="00391A8E" w:rsidRDefault="00924664" w:rsidP="00ED5420">
      <w:pPr>
        <w:pStyle w:val="Heading3"/>
      </w:pPr>
      <w:bookmarkStart w:id="207" w:name="_Toc194311416"/>
      <w:r w:rsidRPr="00391A8E">
        <w:lastRenderedPageBreak/>
        <w:t>Chapter 9. Initiating bargaining</w:t>
      </w:r>
      <w:bookmarkEnd w:id="205"/>
      <w:bookmarkEnd w:id="206"/>
      <w:bookmarkEnd w:id="207"/>
    </w:p>
    <w:p w14:paraId="55DC3731" w14:textId="77777777" w:rsidR="00924664" w:rsidRPr="00167CB8" w:rsidRDefault="00924664" w:rsidP="00924664">
      <w:r w:rsidRPr="396ABCA7">
        <w:t>Part 15 of Schedule 1 to the Secure Jobs, Better Pay Act establishes a new method for initiating bargaining in limited circumstances. The substantive content of this chapter therefore focuses mainly on the question of bargaining representatives (especially unions) being empowered to commence bargaining for recently expired agreements.</w:t>
      </w:r>
    </w:p>
    <w:p w14:paraId="0895136D" w14:textId="77777777" w:rsidR="0011475D" w:rsidRPr="00193164" w:rsidRDefault="00924664" w:rsidP="00ED5420">
      <w:pPr>
        <w:pStyle w:val="Heading4"/>
      </w:pPr>
      <w:bookmarkStart w:id="208" w:name="_Toc189260223"/>
      <w:bookmarkStart w:id="209" w:name="_Toc189393539"/>
      <w:r w:rsidRPr="00193164">
        <w:t>9.1 Amendments and intent</w:t>
      </w:r>
      <w:bookmarkEnd w:id="208"/>
      <w:bookmarkEnd w:id="209"/>
    </w:p>
    <w:p w14:paraId="7B73C7FB" w14:textId="78D17C76" w:rsidR="00924664" w:rsidRPr="00167CB8" w:rsidRDefault="00924664" w:rsidP="00193164">
      <w:pPr>
        <w:rPr>
          <w:lang w:eastAsia="en-AU"/>
        </w:rPr>
      </w:pPr>
      <w:r w:rsidRPr="396ABCA7">
        <w:rPr>
          <w:lang w:eastAsia="en-AU"/>
        </w:rPr>
        <w:t>The amendments introduce a new mechanism to commence the bargaining process (</w:t>
      </w:r>
      <w:r w:rsidR="00C64656">
        <w:rPr>
          <w:lang w:eastAsia="en-AU"/>
        </w:rPr>
        <w:t>section 9.1.1</w:t>
      </w:r>
      <w:r w:rsidRPr="396ABCA7">
        <w:rPr>
          <w:lang w:eastAsia="en-AU"/>
        </w:rPr>
        <w:t>) before the intent behind them is discussed (</w:t>
      </w:r>
      <w:r w:rsidR="00C64656">
        <w:rPr>
          <w:lang w:eastAsia="en-AU"/>
        </w:rPr>
        <w:t>section 9.1.2</w:t>
      </w:r>
      <w:r w:rsidRPr="396ABCA7">
        <w:rPr>
          <w:lang w:eastAsia="en-AU"/>
        </w:rPr>
        <w:t>).</w:t>
      </w:r>
    </w:p>
    <w:p w14:paraId="23CBF2E1" w14:textId="77777777" w:rsidR="00924664" w:rsidRPr="000A4916" w:rsidRDefault="00924664" w:rsidP="00EC3517">
      <w:pPr>
        <w:pStyle w:val="Heading5"/>
      </w:pPr>
      <w:r w:rsidRPr="000A4916">
        <w:t>9.1.1 Secure Jobs, Better Pay amendments</w:t>
      </w:r>
    </w:p>
    <w:p w14:paraId="62315D9B" w14:textId="246415B9" w:rsidR="00924664" w:rsidRPr="00167CB8" w:rsidRDefault="00924664" w:rsidP="00193164">
      <w:pPr>
        <w:rPr>
          <w:lang w:eastAsia="en-AU"/>
        </w:rPr>
      </w:pPr>
      <w:r w:rsidRPr="396ABCA7">
        <w:rPr>
          <w:lang w:eastAsia="en-AU"/>
        </w:rPr>
        <w:t xml:space="preserve">The </w:t>
      </w:r>
      <w:r w:rsidRPr="396ABCA7">
        <w:t>Secure Jobs, Better Pay</w:t>
      </w:r>
      <w:r w:rsidRPr="396ABCA7">
        <w:rPr>
          <w:lang w:eastAsia="en-AU"/>
        </w:rPr>
        <w:t xml:space="preserve"> Act amends Division 3 of Part 2-4 of the </w:t>
      </w:r>
      <w:r w:rsidRPr="00CE64BD">
        <w:rPr>
          <w:iCs/>
          <w:lang w:eastAsia="en-AU"/>
        </w:rPr>
        <w:t>Fair Work Act</w:t>
      </w:r>
      <w:r w:rsidR="00C64656">
        <w:rPr>
          <w:lang w:eastAsia="en-AU"/>
        </w:rPr>
        <w:t xml:space="preserve"> </w:t>
      </w:r>
      <w:r w:rsidRPr="396ABCA7">
        <w:rPr>
          <w:lang w:eastAsia="en-AU"/>
        </w:rPr>
        <w:t xml:space="preserve">in relation to ‘initiating bargaining’ for a replacement single-enterprise agreement. Specifically, via the </w:t>
      </w:r>
      <w:r w:rsidRPr="396ABCA7">
        <w:t>Secure Jobs, Better Pay</w:t>
      </w:r>
      <w:r w:rsidRPr="396ABCA7">
        <w:rPr>
          <w:lang w:eastAsia="en-AU"/>
        </w:rPr>
        <w:t xml:space="preserve"> Act, </w:t>
      </w:r>
      <w:r w:rsidR="00ED5420">
        <w:rPr>
          <w:lang w:eastAsia="en-AU"/>
        </w:rPr>
        <w:t>two</w:t>
      </w:r>
      <w:r w:rsidRPr="396ABCA7">
        <w:rPr>
          <w:lang w:eastAsia="en-AU"/>
        </w:rPr>
        <w:t xml:space="preserve"> new sections (ss 173(2)(aa) and 173(2A)) have been introduced into the Fair Work Act:</w:t>
      </w:r>
    </w:p>
    <w:p w14:paraId="1AE0E22C" w14:textId="77777777" w:rsidR="00924664" w:rsidRPr="00167CB8" w:rsidRDefault="00924664" w:rsidP="00D55A73">
      <w:pPr>
        <w:pStyle w:val="Quote"/>
      </w:pPr>
      <w:r w:rsidRPr="00167CB8">
        <w:t xml:space="preserve">(2) </w:t>
      </w:r>
      <w:r w:rsidRPr="00167CB8">
        <w:tab/>
        <w:t>The </w:t>
      </w:r>
      <w:r w:rsidRPr="00167CB8">
        <w:rPr>
          <w:b/>
        </w:rPr>
        <w:t>notification time</w:t>
      </w:r>
      <w:r w:rsidRPr="00167CB8">
        <w:t> for a proposed enterprise agreement is the time when:</w:t>
      </w:r>
    </w:p>
    <w:p w14:paraId="405163D0" w14:textId="77777777" w:rsidR="00924664" w:rsidRPr="00167CB8" w:rsidRDefault="00924664" w:rsidP="00FA6FA0">
      <w:pPr>
        <w:pStyle w:val="Quote"/>
        <w:ind w:left="2160"/>
      </w:pPr>
      <w:r w:rsidRPr="00167CB8">
        <w:t>(a)  </w:t>
      </w:r>
      <w:r w:rsidRPr="00167CB8">
        <w:tab/>
        <w:t>the employer agrees to bargain, or initiates bargaining, for the agreement; or</w:t>
      </w:r>
    </w:p>
    <w:p w14:paraId="0D6EF463" w14:textId="77777777" w:rsidR="00924664" w:rsidRPr="00167CB8" w:rsidRDefault="00924664" w:rsidP="00FA6FA0">
      <w:pPr>
        <w:pStyle w:val="Quote"/>
        <w:ind w:left="2160"/>
      </w:pPr>
      <w:r w:rsidRPr="00167CB8">
        <w:t>(aa) </w:t>
      </w:r>
      <w:r w:rsidRPr="00167CB8">
        <w:tab/>
        <w:t>the employer receives a request to bargain under subsection (2A) in relation to the agreement; …</w:t>
      </w:r>
    </w:p>
    <w:p w14:paraId="74A23AED" w14:textId="5F82A768" w:rsidR="00924664" w:rsidRPr="00167CB8" w:rsidRDefault="00924664" w:rsidP="00D55A73">
      <w:pPr>
        <w:pStyle w:val="Quote"/>
      </w:pPr>
      <w:r w:rsidRPr="00167CB8">
        <w:t>(2A) </w:t>
      </w:r>
      <w:r w:rsidRPr="00167CB8">
        <w:tab/>
        <w:t>A bargaining representative of an employee who will be covered by a proposed single-enterprise agreement (other than a greenfields agreement) may give the employer who will be covered by the proposed agreement a request in writing to bargain for the proposed agreement if:</w:t>
      </w:r>
    </w:p>
    <w:p w14:paraId="0EBB8273" w14:textId="3A1DA890" w:rsidR="00924664" w:rsidRPr="00167CB8" w:rsidRDefault="00924664" w:rsidP="00FA6FA0">
      <w:pPr>
        <w:pStyle w:val="Quote"/>
        <w:ind w:left="2160"/>
      </w:pPr>
      <w:r w:rsidRPr="00167CB8">
        <w:t>(a)  </w:t>
      </w:r>
      <w:r w:rsidRPr="00167CB8">
        <w:tab/>
        <w:t>the proposed agreement will replace an earlier single-enterprise agreement (the earlier agreement) that has passed its nominal expiry date; and</w:t>
      </w:r>
    </w:p>
    <w:p w14:paraId="4A881C11" w14:textId="77777777" w:rsidR="00924664" w:rsidRPr="00167CB8" w:rsidRDefault="00924664" w:rsidP="00FA6FA0">
      <w:pPr>
        <w:pStyle w:val="Quote"/>
        <w:ind w:left="2160"/>
      </w:pPr>
      <w:r w:rsidRPr="00167CB8">
        <w:t>(b)  </w:t>
      </w:r>
      <w:r w:rsidRPr="00167CB8">
        <w:tab/>
        <w:t>a single interest employer authorisation did not cease to be in operation because of the making of the earlier agreement; and</w:t>
      </w:r>
    </w:p>
    <w:p w14:paraId="62A98B0B" w14:textId="77777777" w:rsidR="00924664" w:rsidRPr="00167CB8" w:rsidRDefault="00924664" w:rsidP="00FA6FA0">
      <w:pPr>
        <w:pStyle w:val="Quote"/>
        <w:ind w:left="2160"/>
      </w:pPr>
      <w:r w:rsidRPr="00167CB8">
        <w:t>(c)  </w:t>
      </w:r>
      <w:r w:rsidRPr="00167CB8">
        <w:tab/>
        <w:t>no more than 5 years have passed since the nominal expiry date; and</w:t>
      </w:r>
    </w:p>
    <w:p w14:paraId="1D482128" w14:textId="77777777" w:rsidR="00924664" w:rsidRPr="00167CB8" w:rsidRDefault="00924664" w:rsidP="00FA6FA0">
      <w:pPr>
        <w:pStyle w:val="Quote"/>
        <w:ind w:left="2160"/>
      </w:pPr>
      <w:r w:rsidRPr="00167CB8">
        <w:t>(d)  </w:t>
      </w:r>
      <w:r w:rsidRPr="00167CB8">
        <w:tab/>
        <w:t>the proposed agreement will cover the same, or substantially the same, group of employees as the earlier agreement.</w:t>
      </w:r>
    </w:p>
    <w:p w14:paraId="3E666AAB" w14:textId="77777777" w:rsidR="0011475D" w:rsidRDefault="00924664" w:rsidP="00193164">
      <w:pPr>
        <w:rPr>
          <w:lang w:eastAsia="en-AU"/>
        </w:rPr>
      </w:pPr>
      <w:r w:rsidRPr="396ABCA7">
        <w:rPr>
          <w:lang w:eastAsia="en-AU"/>
        </w:rPr>
        <w:t>Generally, an employer that will be covered by a proposed agreement must take all reasonable steps to give notice of the right to be represented during bargaining to all employees.</w:t>
      </w:r>
      <w:r w:rsidRPr="396ABCA7">
        <w:rPr>
          <w:rStyle w:val="FootnoteReference"/>
          <w:rFonts w:eastAsia="Times New Roman" w:cs="Calibri"/>
          <w:lang w:eastAsia="en-AU"/>
        </w:rPr>
        <w:footnoteReference w:id="317"/>
      </w:r>
      <w:r w:rsidRPr="396ABCA7">
        <w:rPr>
          <w:lang w:eastAsia="en-AU"/>
        </w:rPr>
        <w:t xml:space="preserve"> The </w:t>
      </w:r>
      <w:r w:rsidRPr="396ABCA7">
        <w:rPr>
          <w:lang w:eastAsia="en-AU"/>
        </w:rPr>
        <w:lastRenderedPageBreak/>
        <w:t xml:space="preserve">notice must be given at various specified times called the ‘notification time’. If an employer receives a request to bargain from a bargaining representative under s 173(2A), and if the request is valid, the employer is then obligated to issue </w:t>
      </w:r>
      <w:r w:rsidRPr="00C64656">
        <w:rPr>
          <w:lang w:eastAsia="en-AU"/>
        </w:rPr>
        <w:t>a notice of employee representational rights (NERR) to all employees to be covered by the proposed single-enterprise agreement. The notice must be issued as soon as practicabl</w:t>
      </w:r>
      <w:r w:rsidRPr="396ABCA7">
        <w:rPr>
          <w:lang w:eastAsia="en-AU"/>
        </w:rPr>
        <w:t>e but no later than 14 days after the notification time (s 173(3) of the Fair Work Act).</w:t>
      </w:r>
      <w:r w:rsidRPr="396ABCA7">
        <w:rPr>
          <w:rStyle w:val="FootnoteReference"/>
          <w:rFonts w:eastAsia="Times New Roman" w:cs="Calibri"/>
          <w:lang w:eastAsia="en-AU"/>
        </w:rPr>
        <w:footnoteReference w:id="318"/>
      </w:r>
    </w:p>
    <w:p w14:paraId="142312D3" w14:textId="5A16F94A" w:rsidR="00924664" w:rsidRPr="00167CB8" w:rsidRDefault="00924664" w:rsidP="00193164">
      <w:pPr>
        <w:rPr>
          <w:lang w:eastAsia="en-AU"/>
        </w:rPr>
      </w:pPr>
      <w:r w:rsidRPr="396ABCA7">
        <w:rPr>
          <w:lang w:eastAsia="en-AU"/>
        </w:rPr>
        <w:t>The amendments commenced on 7 December 2022.</w:t>
      </w:r>
    </w:p>
    <w:p w14:paraId="0E5DFA34" w14:textId="77777777" w:rsidR="00924664" w:rsidRPr="00193164" w:rsidRDefault="00924664" w:rsidP="00DB40E4">
      <w:pPr>
        <w:pStyle w:val="Heading5"/>
      </w:pPr>
      <w:r w:rsidRPr="00193164">
        <w:t>9.1.2 Intent of Secure Jobs, Better Pay amendments</w:t>
      </w:r>
    </w:p>
    <w:p w14:paraId="5D824CE9" w14:textId="77777777" w:rsidR="0011475D" w:rsidRDefault="00924664" w:rsidP="00924664">
      <w:pPr>
        <w:rPr>
          <w:rFonts w:eastAsia="Times New Roman" w:cs="Times New Roman"/>
        </w:rPr>
      </w:pPr>
      <w:r w:rsidRPr="00167CB8">
        <w:rPr>
          <w:rFonts w:eastAsia="Times New Roman" w:cs="Times New Roman"/>
        </w:rPr>
        <w:t>The intent of the Secure Jobs, Better Pay amendments was to streamline the process for initiating bargaining where the statutory criteria are met, thereby promoting the incidence and coverage of collective agreements</w:t>
      </w:r>
      <w:r w:rsidRPr="00167CB8" w:rsidDel="003E6712">
        <w:rPr>
          <w:rFonts w:eastAsia="Times New Roman" w:cs="Times New Roman"/>
        </w:rPr>
        <w:t>.</w:t>
      </w:r>
    </w:p>
    <w:p w14:paraId="65F52FF5" w14:textId="77777777" w:rsidR="0011475D" w:rsidRDefault="00924664" w:rsidP="00924664">
      <w:pPr>
        <w:rPr>
          <w:rFonts w:eastAsia="Times New Roman" w:cs="Times New Roman"/>
        </w:rPr>
      </w:pPr>
      <w:r w:rsidRPr="00167CB8">
        <w:rPr>
          <w:rFonts w:eastAsia="Times New Roman" w:cs="Times New Roman"/>
        </w:rPr>
        <w:t>As noted in Chapter 8, the Australian collective bargaining regime prior to the amendments was unusual, internationally, in that employers had so much power over the bargaining process, including initiating bargaining, issuing NERRs, explaining the likely effects of the new agreement and running the ballots.</w:t>
      </w:r>
      <w:r w:rsidRPr="00167CB8">
        <w:rPr>
          <w:rFonts w:eastAsia="Times New Roman" w:cs="Times New Roman"/>
          <w:vertAlign w:val="superscript"/>
        </w:rPr>
        <w:footnoteReference w:id="319"/>
      </w:r>
      <w:r w:rsidRPr="00167CB8">
        <w:rPr>
          <w:rFonts w:eastAsia="Times New Roman" w:cs="Times New Roman"/>
        </w:rPr>
        <w:t xml:space="preserve"> </w:t>
      </w:r>
      <w:r w:rsidRPr="00167CB8">
        <w:rPr>
          <w:rFonts w:eastAsia="Times New Roman" w:cs="Calibri"/>
        </w:rPr>
        <w:t>If an employer exercise</w:t>
      </w:r>
      <w:r>
        <w:rPr>
          <w:rFonts w:eastAsia="Times New Roman" w:cs="Calibri"/>
        </w:rPr>
        <w:t>d</w:t>
      </w:r>
      <w:r w:rsidRPr="00167CB8">
        <w:rPr>
          <w:rFonts w:eastAsia="Times New Roman" w:cs="Calibri"/>
        </w:rPr>
        <w:t xml:space="preserve"> its power not to </w:t>
      </w:r>
      <w:r w:rsidRPr="00167CB8">
        <w:rPr>
          <w:rFonts w:eastAsia="Times New Roman" w:cs="Times New Roman"/>
        </w:rPr>
        <w:t>commence bargaining over a replacement agreement, the only recourse employees had wa</w:t>
      </w:r>
      <w:r w:rsidRPr="00C64656">
        <w:rPr>
          <w:rFonts w:eastAsia="Times New Roman" w:cs="Times New Roman"/>
        </w:rPr>
        <w:t>s to seek a majority support determination (MSD) or a ‘sc</w:t>
      </w:r>
      <w:r w:rsidRPr="00167CB8">
        <w:rPr>
          <w:rFonts w:eastAsia="Times New Roman" w:cs="Times New Roman"/>
        </w:rPr>
        <w:t>ope’ order from the Fair Work Commission (FWC).</w:t>
      </w:r>
      <w:r w:rsidRPr="00167CB8">
        <w:rPr>
          <w:rFonts w:eastAsia="Times New Roman" w:cs="Times New Roman"/>
          <w:vertAlign w:val="superscript"/>
        </w:rPr>
        <w:footnoteReference w:id="320"/>
      </w:r>
    </w:p>
    <w:p w14:paraId="2A82E217" w14:textId="6ACD6DAB" w:rsidR="00924664" w:rsidRPr="00167CB8" w:rsidRDefault="00924664" w:rsidP="00924664">
      <w:pPr>
        <w:rPr>
          <w:rFonts w:eastAsia="Times New Roman" w:cs="Times New Roman"/>
        </w:rPr>
      </w:pPr>
      <w:r w:rsidRPr="396ABCA7">
        <w:rPr>
          <w:rFonts w:eastAsia="Times New Roman" w:cs="Times New Roman"/>
        </w:rPr>
        <w:t>Case examples (described below) show instances where employers used this power to operate under agreements that had long since become outdated in that rates had fallen below the base rates in awards.</w:t>
      </w:r>
      <w:r w:rsidRPr="396ABCA7">
        <w:rPr>
          <w:rFonts w:eastAsia="Times New Roman" w:cs="Times New Roman"/>
          <w:vertAlign w:val="superscript"/>
        </w:rPr>
        <w:footnoteReference w:id="321"/>
      </w:r>
      <w:r w:rsidRPr="396ABCA7">
        <w:rPr>
          <w:rFonts w:eastAsia="Times New Roman" w:cs="Times New Roman"/>
        </w:rPr>
        <w:t xml:space="preserve"> The ongoing use of expired agreements is also thought to be a major factor contributing to a decline in the number of ‘active’ agreements in recent years. </w:t>
      </w:r>
      <w:r w:rsidRPr="00C64656">
        <w:rPr>
          <w:rFonts w:eastAsia="Times New Roman" w:cs="Times New Roman"/>
        </w:rPr>
        <w:t>As the Business Council of Australia (BCA) noted in a 2019 report on enterprise bargaining in Australia, ‘some</w:t>
      </w:r>
      <w:r w:rsidRPr="396ABCA7">
        <w:rPr>
          <w:rFonts w:eastAsia="Times New Roman" w:cs="Times New Roman"/>
        </w:rPr>
        <w:t xml:space="preserve"> employers and employees are </w:t>
      </w:r>
      <w:r w:rsidRPr="00193164">
        <w:rPr>
          <w:rFonts w:eastAsia="Times New Roman" w:cs="Times New Roman"/>
          <w:b/>
        </w:rPr>
        <w:t>choosing</w:t>
      </w:r>
      <w:r w:rsidRPr="396ABCA7">
        <w:rPr>
          <w:rFonts w:eastAsia="Times New Roman" w:cs="Times New Roman"/>
        </w:rPr>
        <w:t xml:space="preserve"> not to renegotiate agreements that have lapsed, but are still operational’</w:t>
      </w:r>
      <w:r>
        <w:rPr>
          <w:rFonts w:eastAsia="Times New Roman" w:cs="Times New Roman"/>
        </w:rPr>
        <w:t xml:space="preserve"> (emphasis added)</w:t>
      </w:r>
      <w:r w:rsidRPr="396ABCA7">
        <w:rPr>
          <w:rFonts w:eastAsia="Times New Roman" w:cs="Times New Roman"/>
        </w:rPr>
        <w:t>.</w:t>
      </w:r>
      <w:r w:rsidRPr="396ABCA7">
        <w:rPr>
          <w:rFonts w:eastAsia="Times New Roman" w:cs="Times New Roman"/>
          <w:vertAlign w:val="superscript"/>
        </w:rPr>
        <w:footnoteReference w:id="322"/>
      </w:r>
    </w:p>
    <w:p w14:paraId="41B61D77" w14:textId="77777777" w:rsidR="0011475D" w:rsidRDefault="00924664" w:rsidP="00924664">
      <w:pPr>
        <w:rPr>
          <w:rFonts w:eastAsia="Times New Roman" w:cs="Calibri"/>
        </w:rPr>
      </w:pPr>
      <w:r w:rsidRPr="396ABCA7">
        <w:rPr>
          <w:rFonts w:eastAsia="Times New Roman" w:cs="Times New Roman"/>
        </w:rPr>
        <w:t>Relatedly, the amendments also seek to ‘deliver on the Jobs and Skills Summit outcome of removing unnecessary limitations on access to enterprise agreements by reducing barriers to commencing bargaining’</w:t>
      </w:r>
      <w:r w:rsidRPr="396ABCA7">
        <w:rPr>
          <w:rFonts w:eastAsia="Times New Roman" w:cs="Times New Roman"/>
          <w:vertAlign w:val="superscript"/>
        </w:rPr>
        <w:footnoteReference w:id="323"/>
      </w:r>
      <w:r w:rsidRPr="396ABCA7">
        <w:rPr>
          <w:rFonts w:eastAsia="Times New Roman" w:cs="Times New Roman"/>
        </w:rPr>
        <w:t xml:space="preserve"> and </w:t>
      </w:r>
      <w:r w:rsidRPr="396ABCA7">
        <w:rPr>
          <w:rFonts w:eastAsia="Times New Roman" w:cs="Calibri"/>
        </w:rPr>
        <w:t>deliver some bargaining power back to employees and unions.</w:t>
      </w:r>
      <w:r w:rsidRPr="396ABCA7">
        <w:rPr>
          <w:rFonts w:eastAsia="Times New Roman" w:cs="Times New Roman"/>
          <w:vertAlign w:val="superscript"/>
        </w:rPr>
        <w:footnoteReference w:id="324"/>
      </w:r>
    </w:p>
    <w:p w14:paraId="7855FB52" w14:textId="422933D4" w:rsidR="00924664" w:rsidRPr="00446D7F" w:rsidRDefault="00924664" w:rsidP="00EC3517">
      <w:pPr>
        <w:pStyle w:val="Heading4"/>
      </w:pPr>
      <w:bookmarkStart w:id="210" w:name="_Toc189260224"/>
      <w:bookmarkStart w:id="211" w:name="_Toc189393540"/>
      <w:r w:rsidRPr="00446D7F">
        <w:lastRenderedPageBreak/>
        <w:t>9.2 Impact and issues</w:t>
      </w:r>
      <w:bookmarkEnd w:id="210"/>
      <w:bookmarkEnd w:id="211"/>
    </w:p>
    <w:p w14:paraId="68612510" w14:textId="3FF791EA" w:rsidR="0011475D" w:rsidRDefault="00924664" w:rsidP="00924664">
      <w:r w:rsidRPr="00167CB8">
        <w:t xml:space="preserve">The appropriateness and effectiveness of </w:t>
      </w:r>
      <w:r>
        <w:t xml:space="preserve">the operation of </w:t>
      </w:r>
      <w:r w:rsidRPr="00167CB8">
        <w:t xml:space="preserve">these amendments can be assessed through analysis of </w:t>
      </w:r>
      <w:r w:rsidR="00DB40E4">
        <w:t>three</w:t>
      </w:r>
      <w:r w:rsidRPr="00167CB8">
        <w:t xml:space="preserve"> types of data: quantitative data,</w:t>
      </w:r>
      <w:r w:rsidRPr="00167CB8" w:rsidDel="001E3C51">
        <w:t xml:space="preserve"> </w:t>
      </w:r>
      <w:r w:rsidRPr="00167CB8">
        <w:t>qualitative data where available, and the views expressed by stakeholders.</w:t>
      </w:r>
    </w:p>
    <w:p w14:paraId="6C129C29" w14:textId="08BD7C95" w:rsidR="00924664" w:rsidRPr="00446D7F" w:rsidRDefault="00924664" w:rsidP="00EC3517">
      <w:pPr>
        <w:pStyle w:val="Heading5"/>
      </w:pPr>
      <w:r w:rsidRPr="00446D7F">
        <w:t>9.2.1 Quantitative evidence</w:t>
      </w:r>
    </w:p>
    <w:p w14:paraId="20FDBF0B" w14:textId="34BB188D" w:rsidR="00924664" w:rsidRPr="00167CB8" w:rsidRDefault="00924664" w:rsidP="00924664">
      <w:r w:rsidRPr="396ABCA7">
        <w:t xml:space="preserve">There is a dearth of data specifically on how bargaining is initiated and the question of who initiates bargaining. The Review Panel makes a recommendation below that this gap be filled by expanding the data gathered and published by </w:t>
      </w:r>
      <w:r w:rsidR="00C64656">
        <w:t>the Department of Employment and Workplace Relations (DEWR) Workplace Agreements Database (</w:t>
      </w:r>
      <w:r w:rsidRPr="396ABCA7">
        <w:t>WAD</w:t>
      </w:r>
      <w:r w:rsidR="00C64656">
        <w:t>)</w:t>
      </w:r>
      <w:r w:rsidRPr="396ABCA7">
        <w:t>.</w:t>
      </w:r>
    </w:p>
    <w:p w14:paraId="7B41C118" w14:textId="3F80C55F" w:rsidR="0011475D" w:rsidRDefault="00924664" w:rsidP="00924664">
      <w:r w:rsidRPr="396ABCA7">
        <w:t xml:space="preserve">Although the WAD does not collect and report on the </w:t>
      </w:r>
      <w:r w:rsidRPr="396ABCA7">
        <w:rPr>
          <w:rFonts w:eastAsia="Times New Roman" w:cs="Times New Roman"/>
        </w:rPr>
        <w:t>mechanism used to commence bargaining for all agreements</w:t>
      </w:r>
      <w:r w:rsidRPr="396ABCA7">
        <w:t xml:space="preserve">, the WAD has collected information on the number of agreements where bargaining commenced under s 173(2A) of the </w:t>
      </w:r>
      <w:r w:rsidRPr="396ABCA7">
        <w:rPr>
          <w:rFonts w:eastAsia="Times New Roman" w:cs="Calibri"/>
          <w:lang w:eastAsia="en-AU"/>
        </w:rPr>
        <w:t>Fair Work</w:t>
      </w:r>
      <w:r w:rsidRPr="396ABCA7">
        <w:t xml:space="preserve"> Act</w:t>
      </w:r>
      <w:r w:rsidRPr="396ABCA7" w:rsidDel="00006EC4">
        <w:t xml:space="preserve"> </w:t>
      </w:r>
      <w:r w:rsidRPr="396ABCA7">
        <w:t xml:space="preserve">for agreements with a notification time on or after 7 December 2022 (when the provisions commenced). The data shows that 3.93% of agreements, or 187 agreements, approved from the first quarter of 2023 to the third quarter of 2024 commenced bargaining through a written request pursuant to the initiating bargaining provisions (in s 173(2A) of the </w:t>
      </w:r>
      <w:r w:rsidRPr="396ABCA7">
        <w:rPr>
          <w:rFonts w:eastAsia="Times New Roman" w:cs="Calibri"/>
          <w:lang w:eastAsia="en-AU"/>
        </w:rPr>
        <w:t xml:space="preserve">Fair Work </w:t>
      </w:r>
      <w:r w:rsidRPr="396ABCA7">
        <w:t>Act).</w:t>
      </w:r>
      <w:r w:rsidRPr="396ABCA7">
        <w:rPr>
          <w:rStyle w:val="FootnoteReference"/>
        </w:rPr>
        <w:footnoteReference w:id="325"/>
      </w:r>
      <w:r w:rsidRPr="396ABCA7">
        <w:t xml:space="preserve"> </w:t>
      </w:r>
      <w:r>
        <w:t>Those agreements represented 22.8% of employees covered by newly approved agreements in that period. The shadow effect is unknown; that is, there is no data on the number of employers (or the number of employees covered by such agreements) that would have in other circumstances avoided renewing agreements but have been encouraged by these amendments to initiate bargaining themselves.</w:t>
      </w:r>
    </w:p>
    <w:p w14:paraId="4EE03E98" w14:textId="3B1CD5C7" w:rsidR="00924664" w:rsidRPr="00167CB8" w:rsidRDefault="00924664" w:rsidP="00924664">
      <w:r w:rsidRPr="396ABCA7">
        <w:t xml:space="preserve">There are </w:t>
      </w:r>
      <w:r>
        <w:t xml:space="preserve">two </w:t>
      </w:r>
      <w:r w:rsidRPr="396ABCA7">
        <w:t>other types of data that might more indirectly help to assess the question: the incidence and coverage of collective agreements</w:t>
      </w:r>
      <w:r>
        <w:t>;</w:t>
      </w:r>
      <w:r w:rsidRPr="396ABCA7">
        <w:t xml:space="preserve"> and the number of MSDs sought by the bargaining parties and then issued by the </w:t>
      </w:r>
      <w:r w:rsidRPr="00C64656">
        <w:t>FWC</w:t>
      </w:r>
      <w:r w:rsidRPr="396ABCA7">
        <w:t>.</w:t>
      </w:r>
    </w:p>
    <w:p w14:paraId="0BCE2C02" w14:textId="77777777" w:rsidR="00924664" w:rsidRPr="00167CB8" w:rsidRDefault="00924664" w:rsidP="00924664">
      <w:r w:rsidRPr="396ABCA7">
        <w:t xml:space="preserve">First, trends since the commencement of the amendments in collective agreements have already been considered earlier in this report (see Chapter 8). The conclusion reached was that there have been </w:t>
      </w:r>
      <w:r>
        <w:t>some</w:t>
      </w:r>
      <w:r w:rsidRPr="396ABCA7">
        <w:t xml:space="preserve"> increases in the number </w:t>
      </w:r>
      <w:r>
        <w:t xml:space="preserve">of agreements </w:t>
      </w:r>
      <w:r w:rsidRPr="396ABCA7">
        <w:t xml:space="preserve">and </w:t>
      </w:r>
      <w:r>
        <w:t>larger increases</w:t>
      </w:r>
      <w:r w:rsidRPr="396ABCA7">
        <w:t xml:space="preserve"> </w:t>
      </w:r>
      <w:r>
        <w:t>in</w:t>
      </w:r>
      <w:r w:rsidRPr="396ABCA7">
        <w:t xml:space="preserve"> the coverage of </w:t>
      </w:r>
      <w:r>
        <w:t xml:space="preserve">those </w:t>
      </w:r>
      <w:r w:rsidRPr="396ABCA7">
        <w:t>agreements. While these trends may be the result of multiple factors in addition to the amendments about initiating bargaining, these increases at least suggest some success in achieving the intent.</w:t>
      </w:r>
    </w:p>
    <w:p w14:paraId="7F7AF395" w14:textId="52626C1A" w:rsidR="00924664" w:rsidRPr="00167CB8" w:rsidRDefault="00924664" w:rsidP="00924664">
      <w:r w:rsidRPr="396ABCA7">
        <w:t xml:space="preserve">Second, there are trends in relation to the number of applications for and approvals of MSDs. The data available from the </w:t>
      </w:r>
      <w:r w:rsidRPr="006762E8">
        <w:t xml:space="preserve">FWC </w:t>
      </w:r>
      <w:r w:rsidR="00596294">
        <w:t>(</w:t>
      </w:r>
      <w:r w:rsidRPr="006762E8">
        <w:t xml:space="preserve">in </w:t>
      </w:r>
      <w:r w:rsidRPr="00446D7F">
        <w:t>Figure 12</w:t>
      </w:r>
      <w:r w:rsidR="00596294">
        <w:t>)</w:t>
      </w:r>
      <w:r w:rsidRPr="006762E8">
        <w:t xml:space="preserve"> shows</w:t>
      </w:r>
      <w:r w:rsidRPr="396ABCA7">
        <w:t xml:space="preserve"> that the number of MSD approval applications was </w:t>
      </w:r>
      <w:r>
        <w:t>reduced from 109 in 2022 to 73 and 72 in 2023 and 2024 respectively</w:t>
      </w:r>
      <w:r w:rsidRPr="0840B6AE">
        <w:t>.</w:t>
      </w:r>
      <w:r w:rsidRPr="396ABCA7">
        <w:t xml:space="preserve"> While applications in total have decreased, so has the rate at which applications were withdrawn and dismissed. Therefore, while applications to approve MSDs have decreased, the number approved has remained stable.</w:t>
      </w:r>
    </w:p>
    <w:p w14:paraId="2ADF9770" w14:textId="77777777" w:rsidR="00924664" w:rsidRDefault="00924664" w:rsidP="00924664">
      <w:pPr>
        <w:spacing w:after="160"/>
        <w:rPr>
          <w:rFonts w:cs="Calibri"/>
          <w:b/>
          <w:bCs/>
          <w:lang w:val="en-US"/>
        </w:rPr>
      </w:pPr>
      <w:r>
        <w:br w:type="page"/>
      </w:r>
    </w:p>
    <w:p w14:paraId="5EC16459" w14:textId="52E936B7" w:rsidR="00924664" w:rsidRPr="00CE04E4" w:rsidRDefault="00EC3517" w:rsidP="007F380D">
      <w:pPr>
        <w:pStyle w:val="Caption"/>
      </w:pPr>
      <w:bookmarkStart w:id="212" w:name="_Toc194251510"/>
      <w:r>
        <w:lastRenderedPageBreak/>
        <w:t xml:space="preserve">Figure </w:t>
      </w:r>
      <w:r>
        <w:fldChar w:fldCharType="begin"/>
      </w:r>
      <w:r>
        <w:instrText xml:space="preserve"> SEQ Figure \* ARABIC </w:instrText>
      </w:r>
      <w:r>
        <w:fldChar w:fldCharType="separate"/>
      </w:r>
      <w:r w:rsidR="00DE5F5E">
        <w:rPr>
          <w:noProof/>
        </w:rPr>
        <w:t>12</w:t>
      </w:r>
      <w:r>
        <w:fldChar w:fldCharType="end"/>
      </w:r>
      <w:r>
        <w:t xml:space="preserve">: </w:t>
      </w:r>
      <w:r w:rsidR="00924664" w:rsidRPr="00167CB8">
        <w:t xml:space="preserve">Outcomes </w:t>
      </w:r>
      <w:r w:rsidR="00924664">
        <w:t>(</w:t>
      </w:r>
      <w:r w:rsidR="00C64656">
        <w:t>number</w:t>
      </w:r>
      <w:r w:rsidR="00924664">
        <w:t xml:space="preserve">) </w:t>
      </w:r>
      <w:r w:rsidR="00924664" w:rsidRPr="00167CB8">
        <w:t>of majority support determination (s 236)</w:t>
      </w:r>
      <w:r w:rsidR="00924664">
        <w:t xml:space="preserve"> </w:t>
      </w:r>
      <w:r w:rsidR="00924664" w:rsidRPr="00167CB8">
        <w:t xml:space="preserve">applications, </w:t>
      </w:r>
      <w:r w:rsidR="00924664">
        <w:t>2022 to 2024</w:t>
      </w:r>
      <w:bookmarkEnd w:id="212"/>
    </w:p>
    <w:p w14:paraId="3C33A12B" w14:textId="0FF89220" w:rsidR="00924664" w:rsidRPr="00167CB8" w:rsidRDefault="00D677F1" w:rsidP="00924664">
      <w:pPr>
        <w:pStyle w:val="Source"/>
      </w:pPr>
      <w:r>
        <w:rPr>
          <w:b/>
          <w:bCs/>
          <w:noProof/>
        </w:rPr>
        <w:drawing>
          <wp:inline distT="0" distB="0" distL="0" distR="0" wp14:anchorId="40E0AC3A" wp14:editId="496D5FCC">
            <wp:extent cx="5730296" cy="3524631"/>
            <wp:effectExtent l="0" t="0" r="3810" b="0"/>
            <wp:docPr id="255574891" name="Picture 2" descr="A clustered column chart of outcomes of majority support determination.&#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574891" name="Picture 2" descr="A clustered column chart of outcomes of majority support determination.&#10;&#10;See alt-text following the sour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0296" cy="3524631"/>
                    </a:xfrm>
                    <a:prstGeom prst="rect">
                      <a:avLst/>
                    </a:prstGeom>
                  </pic:spPr>
                </pic:pic>
              </a:graphicData>
            </a:graphic>
          </wp:inline>
        </w:drawing>
      </w:r>
      <w:r w:rsidR="00924664" w:rsidRPr="00167CB8">
        <w:rPr>
          <w:b/>
          <w:bCs/>
        </w:rPr>
        <w:t>Source:</w:t>
      </w:r>
      <w:r w:rsidR="00924664" w:rsidRPr="00167CB8">
        <w:t xml:space="preserve"> Review analysis of data provided by the </w:t>
      </w:r>
      <w:r w:rsidR="00C64656">
        <w:t>Fair Work Commission</w:t>
      </w:r>
      <w:r w:rsidR="00924664" w:rsidRPr="00167CB8">
        <w:t xml:space="preserve">, </w:t>
      </w:r>
      <w:r w:rsidR="00924664">
        <w:t>2022</w:t>
      </w:r>
      <w:r w:rsidR="00DB40E4">
        <w:rPr>
          <w:rFonts w:ascii="Symbol" w:eastAsia="Symbol" w:hAnsi="Symbol" w:cs="Symbol"/>
        </w:rPr>
        <w:t>-</w:t>
      </w:r>
      <w:r w:rsidR="00924664">
        <w:t>2024</w:t>
      </w:r>
      <w:r w:rsidR="00924664" w:rsidRPr="00167CB8">
        <w:t>.</w:t>
      </w:r>
    </w:p>
    <w:p w14:paraId="37C27209" w14:textId="77777777" w:rsidR="0011475D" w:rsidRDefault="00924664" w:rsidP="00924664">
      <w:pPr>
        <w:pStyle w:val="Source"/>
      </w:pPr>
      <w:r w:rsidRPr="396ABCA7">
        <w:rPr>
          <w:b/>
          <w:bCs/>
        </w:rPr>
        <w:t>Alt text:</w:t>
      </w:r>
      <w:r w:rsidRPr="396ABCA7">
        <w:t xml:space="preserve"> A clustered column chart showing the outcomes from majority support determination (MSD) applications for the </w:t>
      </w:r>
      <w:r>
        <w:t>2022, 2023 and 2024 calendar</w:t>
      </w:r>
      <w:r w:rsidRPr="396ABCA7">
        <w:t xml:space="preserve"> years. In 2024 total MSD applications received was equal to 72. This compares with </w:t>
      </w:r>
      <w:r>
        <w:t>109</w:t>
      </w:r>
      <w:r w:rsidRPr="0840B6AE">
        <w:t xml:space="preserve"> </w:t>
      </w:r>
      <w:r w:rsidRPr="396ABCA7">
        <w:t>in 2022</w:t>
      </w:r>
      <w:r>
        <w:t xml:space="preserve"> and</w:t>
      </w:r>
      <w:r w:rsidRPr="396ABCA7">
        <w:t xml:space="preserve"> </w:t>
      </w:r>
      <w:r>
        <w:t>73</w:t>
      </w:r>
      <w:r w:rsidRPr="396ABCA7">
        <w:t xml:space="preserve"> in </w:t>
      </w:r>
      <w:r>
        <w:t>2023</w:t>
      </w:r>
      <w:r w:rsidRPr="0840B6AE">
        <w:t>.</w:t>
      </w:r>
      <w:r w:rsidRPr="396ABCA7">
        <w:t xml:space="preserve"> The number of MSDs issued is constant across the </w:t>
      </w:r>
      <w:r>
        <w:t>calendar</w:t>
      </w:r>
      <w:r w:rsidRPr="0840B6AE">
        <w:t xml:space="preserve"> </w:t>
      </w:r>
      <w:r w:rsidRPr="396ABCA7">
        <w:t>years.</w:t>
      </w:r>
    </w:p>
    <w:p w14:paraId="5021E31B" w14:textId="2499B506" w:rsidR="00924664" w:rsidRPr="00167CB8" w:rsidRDefault="00924664" w:rsidP="00924664">
      <w:pPr>
        <w:pStyle w:val="Heading5"/>
        <w:rPr>
          <w:rFonts w:asciiTheme="minorHAnsi" w:hAnsiTheme="minorHAnsi"/>
        </w:rPr>
      </w:pPr>
      <w:r w:rsidRPr="00167CB8">
        <w:rPr>
          <w:rFonts w:cstheme="minorHAnsi"/>
        </w:rPr>
        <w:t>9.2.2</w:t>
      </w:r>
      <w:r w:rsidRPr="00167CB8">
        <w:rPr>
          <w:rFonts w:asciiTheme="minorHAnsi" w:hAnsiTheme="minorHAnsi"/>
        </w:rPr>
        <w:t xml:space="preserve"> Qualitative evidence</w:t>
      </w:r>
    </w:p>
    <w:p w14:paraId="3F126EEE" w14:textId="77777777" w:rsidR="00924664" w:rsidRPr="00167CB8" w:rsidDel="002050D6" w:rsidRDefault="00924664" w:rsidP="00924664">
      <w:pPr>
        <w:rPr>
          <w:rFonts w:eastAsia="Aptos" w:cs="Calibri"/>
        </w:rPr>
      </w:pPr>
      <w:r w:rsidRPr="00167CB8">
        <w:rPr>
          <w:rFonts w:eastAsia="Aptos" w:cs="Calibri"/>
        </w:rPr>
        <w:t>There are no major court or tribunal decisions directly considering the operation of the initiating bargaining reforms.</w:t>
      </w:r>
    </w:p>
    <w:p w14:paraId="41367E6C" w14:textId="1788C811" w:rsidR="00924664" w:rsidRPr="00167CB8" w:rsidRDefault="00924664" w:rsidP="00924664">
      <w:r w:rsidRPr="396ABCA7">
        <w:t xml:space="preserve">Media reporting, however, pointed to </w:t>
      </w:r>
      <w:r>
        <w:t>two</w:t>
      </w:r>
      <w:r w:rsidRPr="396ABCA7">
        <w:t xml:space="preserve"> significant enterprise agreements which have been negotiated and approved due to initiating bargaining provisions within the </w:t>
      </w:r>
      <w:r w:rsidRPr="396ABCA7">
        <w:rPr>
          <w:rFonts w:cs="Calibri"/>
        </w:rPr>
        <w:t xml:space="preserve">Secure Jobs, Better Pay </w:t>
      </w:r>
      <w:r w:rsidRPr="396ABCA7">
        <w:t>Act</w:t>
      </w:r>
      <w:r>
        <w:t>: o</w:t>
      </w:r>
      <w:r w:rsidRPr="396ABCA7">
        <w:t xml:space="preserve">n 3 May 2024 the FWC approved the </w:t>
      </w:r>
      <w:r w:rsidRPr="396ABCA7">
        <w:rPr>
          <w:i/>
          <w:iCs/>
        </w:rPr>
        <w:t>Coles Retail Enterprise Agreement 2024</w:t>
      </w:r>
      <w:r w:rsidRPr="396ABCA7">
        <w:t>, which covers over 92,500 employees</w:t>
      </w:r>
      <w:r>
        <w:t>;</w:t>
      </w:r>
      <w:r w:rsidRPr="396ABCA7">
        <w:rPr>
          <w:rStyle w:val="FootnoteReference"/>
        </w:rPr>
        <w:footnoteReference w:id="326"/>
      </w:r>
      <w:r w:rsidRPr="396ABCA7">
        <w:t xml:space="preserve"> </w:t>
      </w:r>
      <w:r>
        <w:t>and o</w:t>
      </w:r>
      <w:r w:rsidRPr="396ABCA7">
        <w:t>n 19 October 2023</w:t>
      </w:r>
      <w:r>
        <w:t>,</w:t>
      </w:r>
      <w:r w:rsidRPr="396ABCA7">
        <w:t xml:space="preserve"> the FWC approved the </w:t>
      </w:r>
      <w:r w:rsidRPr="396ABCA7">
        <w:rPr>
          <w:i/>
          <w:iCs/>
        </w:rPr>
        <w:t>ANZ Enterprise Agreement 2023</w:t>
      </w:r>
      <w:r w:rsidRPr="396ABCA7">
        <w:rPr>
          <w:rFonts w:ascii="Symbol" w:eastAsia="Symbol" w:hAnsi="Symbol" w:cs="Symbol"/>
          <w:i/>
          <w:iCs/>
        </w:rPr>
        <w:t>-</w:t>
      </w:r>
      <w:r w:rsidRPr="396ABCA7">
        <w:rPr>
          <w:i/>
          <w:iCs/>
        </w:rPr>
        <w:t xml:space="preserve">2027, </w:t>
      </w:r>
      <w:r w:rsidRPr="396ABCA7">
        <w:t>which covers more than 20,000 staff</w:t>
      </w:r>
      <w:r w:rsidRPr="396ABCA7">
        <w:rPr>
          <w:i/>
          <w:iCs/>
        </w:rPr>
        <w:t>.</w:t>
      </w:r>
      <w:r w:rsidRPr="396ABCA7">
        <w:rPr>
          <w:rStyle w:val="FootnoteReference"/>
        </w:rPr>
        <w:footnoteReference w:id="327"/>
      </w:r>
      <w:r w:rsidRPr="396ABCA7">
        <w:t xml:space="preserve"> The passage of both agreements has been attributed to employees and bargaining representatives utilising the new initiating bargaining provisions.</w:t>
      </w:r>
      <w:r w:rsidRPr="396ABCA7">
        <w:rPr>
          <w:rStyle w:val="FootnoteReference"/>
        </w:rPr>
        <w:footnoteReference w:id="328"/>
      </w:r>
    </w:p>
    <w:p w14:paraId="629CC688" w14:textId="77777777" w:rsidR="00924664" w:rsidRPr="00167CB8" w:rsidRDefault="00924664" w:rsidP="00924664">
      <w:pPr>
        <w:rPr>
          <w:rFonts w:eastAsia="Aptos" w:cs="Calibri"/>
        </w:rPr>
      </w:pPr>
      <w:r>
        <w:rPr>
          <w:rFonts w:eastAsia="Aptos" w:cs="Calibri"/>
        </w:rPr>
        <w:lastRenderedPageBreak/>
        <w:t>As well, o</w:t>
      </w:r>
      <w:r w:rsidRPr="00167CB8">
        <w:rPr>
          <w:rFonts w:eastAsia="Aptos" w:cs="Calibri"/>
        </w:rPr>
        <w:t xml:space="preserve">n 13 May 2024 the FWC issued a decision in relation to bargaining at Sephora Australia Pty Ltd </w:t>
      </w:r>
      <w:r w:rsidRPr="00930DA3">
        <w:rPr>
          <w:rFonts w:eastAsia="Aptos" w:cs="Calibri"/>
        </w:rPr>
        <w:t>(</w:t>
      </w:r>
      <w:r w:rsidRPr="00930DA3">
        <w:rPr>
          <w:rFonts w:eastAsia="Aptos" w:cs="Calibri"/>
          <w:i/>
        </w:rPr>
        <w:t>Sephora</w:t>
      </w:r>
      <w:r w:rsidRPr="00930DA3">
        <w:rPr>
          <w:rFonts w:eastAsia="Aptos" w:cs="Calibri"/>
        </w:rPr>
        <w:t>).</w:t>
      </w:r>
      <w:r w:rsidRPr="00930DA3">
        <w:rPr>
          <w:rStyle w:val="FootnoteReference"/>
          <w:rFonts w:eastAsia="Aptos" w:cs="Calibri"/>
        </w:rPr>
        <w:footnoteReference w:id="329"/>
      </w:r>
      <w:r w:rsidRPr="00167CB8">
        <w:rPr>
          <w:rFonts w:eastAsia="Aptos" w:cs="Calibri"/>
        </w:rPr>
        <w:t xml:space="preserve"> While </w:t>
      </w:r>
      <w:r w:rsidRPr="00167CB8">
        <w:rPr>
          <w:rFonts w:eastAsia="Aptos" w:cs="Calibri"/>
          <w:i/>
        </w:rPr>
        <w:t xml:space="preserve">Sephora </w:t>
      </w:r>
      <w:r w:rsidRPr="00167CB8">
        <w:rPr>
          <w:rFonts w:eastAsia="Aptos" w:cs="Calibri"/>
        </w:rPr>
        <w:t>is a case about good faith bargaining requirements of the Fair Work Act (and to that extent is not directly relevant here), it identified a potential operational issue with the initiating bargaining amendments.</w:t>
      </w:r>
    </w:p>
    <w:p w14:paraId="6B84D0AA" w14:textId="77777777" w:rsidR="0011475D" w:rsidRDefault="00924664" w:rsidP="00924664">
      <w:pPr>
        <w:rPr>
          <w:rFonts w:eastAsia="Aptos" w:cs="Calibri"/>
        </w:rPr>
      </w:pPr>
      <w:r w:rsidRPr="00167CB8">
        <w:rPr>
          <w:rFonts w:eastAsia="Aptos" w:cs="Calibri"/>
        </w:rPr>
        <w:t xml:space="preserve">Briefly, Sephora and its employees were covered by an enterprise agreement that nominally expired in January 2019. The </w:t>
      </w:r>
      <w:r w:rsidRPr="00930DA3">
        <w:rPr>
          <w:rFonts w:eastAsia="Aptos" w:cs="Calibri"/>
        </w:rPr>
        <w:t>Shop, Distributive and Allied Employees Association (SDA)</w:t>
      </w:r>
      <w:r w:rsidRPr="00167CB8">
        <w:rPr>
          <w:rFonts w:eastAsia="Aptos" w:cs="Calibri"/>
        </w:rPr>
        <w:t xml:space="preserve"> issued a written request for bargaining to replace this agreement by making a written request </w:t>
      </w:r>
      <w:r w:rsidRPr="00167CB8" w:rsidDel="00114D5A">
        <w:rPr>
          <w:rFonts w:eastAsia="Aptos" w:cs="Calibri"/>
        </w:rPr>
        <w:t xml:space="preserve">in accordance with </w:t>
      </w:r>
      <w:r w:rsidRPr="00167CB8">
        <w:rPr>
          <w:rFonts w:eastAsia="Aptos" w:cs="Calibri"/>
        </w:rPr>
        <w:t>s 173(2A) of the Fair Work Act.</w:t>
      </w:r>
      <w:r w:rsidRPr="00167CB8">
        <w:rPr>
          <w:rStyle w:val="FootnoteReference"/>
          <w:rFonts w:eastAsia="Aptos" w:cs="Calibri"/>
        </w:rPr>
        <w:footnoteReference w:id="330"/>
      </w:r>
      <w:r w:rsidRPr="00167CB8">
        <w:rPr>
          <w:rFonts w:eastAsia="Aptos" w:cs="Calibri"/>
        </w:rPr>
        <w:t xml:space="preserve"> Sephora was required to, but for presently irrelevant reasons did not, issue a NERR within 14 days of this request.</w:t>
      </w:r>
      <w:r w:rsidRPr="00167CB8">
        <w:rPr>
          <w:rStyle w:val="FootnoteReference"/>
          <w:rFonts w:eastAsia="Aptos" w:cs="Calibri"/>
        </w:rPr>
        <w:footnoteReference w:id="331"/>
      </w:r>
      <w:r w:rsidRPr="00167CB8">
        <w:rPr>
          <w:rFonts w:eastAsia="Aptos" w:cs="Calibri"/>
        </w:rPr>
        <w:t xml:space="preserve"> Some months later, Sephora purported to commence bargaining with employees but, again for reasons not directly relevant, the SDA did not receive the NERR. The SDA only</w:t>
      </w:r>
      <w:r w:rsidRPr="00167CB8" w:rsidDel="00546B84">
        <w:rPr>
          <w:rFonts w:eastAsia="Aptos" w:cs="Calibri"/>
        </w:rPr>
        <w:t xml:space="preserve"> </w:t>
      </w:r>
      <w:r w:rsidRPr="00167CB8">
        <w:rPr>
          <w:rFonts w:eastAsia="Aptos" w:cs="Calibri"/>
        </w:rPr>
        <w:t>became aware of the renegotiation of the agreement shortly before employees were about to vote to approve the proposed agreement.</w:t>
      </w:r>
      <w:r w:rsidRPr="00167CB8" w:rsidDel="005B3588">
        <w:rPr>
          <w:rFonts w:eastAsia="Aptos" w:cs="Calibri"/>
        </w:rPr>
        <w:t xml:space="preserve"> </w:t>
      </w:r>
      <w:r w:rsidRPr="00167CB8">
        <w:rPr>
          <w:rFonts w:eastAsia="Aptos" w:cs="Calibri"/>
        </w:rPr>
        <w:t>That vote was successful and the agreement between Sephora and its employees was approved by the FWC, despite an appeal by the SDA.</w:t>
      </w:r>
    </w:p>
    <w:p w14:paraId="558064FB" w14:textId="77777777" w:rsidR="0011475D" w:rsidRDefault="00924664" w:rsidP="00924664">
      <w:pPr>
        <w:rPr>
          <w:rFonts w:eastAsia="Aptos" w:cs="Calibri"/>
        </w:rPr>
      </w:pPr>
      <w:r w:rsidRPr="00167CB8">
        <w:rPr>
          <w:rFonts w:eastAsia="Aptos" w:cs="Calibri"/>
        </w:rPr>
        <w:t xml:space="preserve">The relevance of </w:t>
      </w:r>
      <w:r w:rsidRPr="009A578A">
        <w:rPr>
          <w:rFonts w:eastAsia="Aptos" w:cs="Calibri"/>
          <w:i/>
        </w:rPr>
        <w:t>Sephora</w:t>
      </w:r>
      <w:r w:rsidRPr="00167CB8">
        <w:rPr>
          <w:rFonts w:eastAsia="Aptos" w:cs="Calibri"/>
        </w:rPr>
        <w:t xml:space="preserve"> for present purposes is that it highlights a potential lack of knowledge about the significance of the written request to bargain. The Review Panel considers that </w:t>
      </w:r>
      <w:r w:rsidRPr="00167CB8">
        <w:rPr>
          <w:rFonts w:eastAsia="Aptos" w:cs="Calibri"/>
          <w:i/>
        </w:rPr>
        <w:t>Sephora</w:t>
      </w:r>
      <w:r w:rsidRPr="00167CB8">
        <w:rPr>
          <w:rFonts w:eastAsia="Aptos" w:cs="Calibri"/>
        </w:rPr>
        <w:t xml:space="preserve"> supports recommendations to improve the operation of the amendments (see below).</w:t>
      </w:r>
    </w:p>
    <w:p w14:paraId="5DB167DB" w14:textId="61460025" w:rsidR="00924664" w:rsidRPr="00167CB8" w:rsidRDefault="00924664" w:rsidP="00924664">
      <w:pPr>
        <w:pStyle w:val="Heading5"/>
        <w:rPr>
          <w:rFonts w:asciiTheme="minorHAnsi" w:hAnsiTheme="minorHAnsi"/>
        </w:rPr>
      </w:pPr>
      <w:r w:rsidRPr="00167CB8">
        <w:rPr>
          <w:rFonts w:asciiTheme="minorHAnsi" w:hAnsiTheme="minorHAnsi"/>
        </w:rPr>
        <w:t>9.2.3 Stakeholder views</w:t>
      </w:r>
    </w:p>
    <w:p w14:paraId="020892D9" w14:textId="77777777" w:rsidR="0011475D" w:rsidRDefault="00924664" w:rsidP="00924664">
      <w:pPr>
        <w:rPr>
          <w:rFonts w:eastAsia="Times New Roman" w:cs="Times New Roman"/>
        </w:rPr>
      </w:pPr>
      <w:r w:rsidRPr="00167CB8">
        <w:rPr>
          <w:rFonts w:eastAsia="Times New Roman" w:cs="Times New Roman"/>
        </w:rPr>
        <w:t>The views of stakeholders tend to be polarised, dividing between opposition to the amendments among employer representatives and support for them among unions.</w:t>
      </w:r>
    </w:p>
    <w:p w14:paraId="24F9D243" w14:textId="3EDCE917" w:rsidR="00924664" w:rsidRPr="00167CB8" w:rsidRDefault="00924664" w:rsidP="00924664">
      <w:pPr>
        <w:rPr>
          <w:rFonts w:eastAsia="Times New Roman" w:cs="Times New Roman"/>
        </w:rPr>
      </w:pPr>
      <w:r w:rsidRPr="396ABCA7">
        <w:rPr>
          <w:rFonts w:eastAsia="Times New Roman" w:cs="Times New Roman"/>
        </w:rPr>
        <w:t>Employers generally called for the repeal of the amendments or, failing that, further reforms. The Chamber of Commerce and Industry of Western Australia, for example, calls on the Review Panel to ‘recommend the repeal of the provisions that provide employee associations powers to initiate bargaining without majority support determinations’.</w:t>
      </w:r>
      <w:r w:rsidRPr="396ABCA7">
        <w:rPr>
          <w:rFonts w:eastAsia="Times New Roman" w:cs="Times New Roman"/>
          <w:vertAlign w:val="superscript"/>
        </w:rPr>
        <w:footnoteReference w:id="332"/>
      </w:r>
      <w:r w:rsidRPr="396ABCA7">
        <w:rPr>
          <w:rFonts w:eastAsia="Times New Roman" w:cs="Times New Roman"/>
        </w:rPr>
        <w:t xml:space="preserve"> Similar sentiment was expressed by the Chamber of Minerals and Energy of Western Australia,</w:t>
      </w:r>
      <w:r w:rsidRPr="396ABCA7">
        <w:rPr>
          <w:rFonts w:eastAsia="Times New Roman" w:cs="Times New Roman"/>
          <w:vertAlign w:val="superscript"/>
        </w:rPr>
        <w:footnoteReference w:id="333"/>
      </w:r>
      <w:r w:rsidRPr="396ABCA7">
        <w:rPr>
          <w:rFonts w:eastAsia="Times New Roman" w:cs="Times New Roman"/>
        </w:rPr>
        <w:t xml:space="preserve"> the Australian Resources &amp; Energy Employer Association (AREEA),</w:t>
      </w:r>
      <w:r w:rsidRPr="396ABCA7">
        <w:rPr>
          <w:rFonts w:eastAsia="Times New Roman" w:cs="Times New Roman"/>
          <w:vertAlign w:val="superscript"/>
        </w:rPr>
        <w:footnoteReference w:id="334"/>
      </w:r>
      <w:r w:rsidRPr="396ABCA7">
        <w:rPr>
          <w:rFonts w:eastAsia="Times New Roman" w:cs="Times New Roman"/>
        </w:rPr>
        <w:t xml:space="preserve"> the Minerals Council of Australia,</w:t>
      </w:r>
      <w:r w:rsidRPr="396ABCA7">
        <w:rPr>
          <w:rFonts w:eastAsia="Times New Roman" w:cs="Times New Roman"/>
          <w:vertAlign w:val="superscript"/>
        </w:rPr>
        <w:footnoteReference w:id="335"/>
      </w:r>
      <w:r w:rsidRPr="396ABCA7">
        <w:rPr>
          <w:rFonts w:eastAsia="Times New Roman" w:cs="Times New Roman"/>
        </w:rPr>
        <w:t xml:space="preserve"> the Australian Chamber of Commerce and Industry (ACCI),</w:t>
      </w:r>
      <w:r w:rsidRPr="396ABCA7">
        <w:rPr>
          <w:rFonts w:eastAsia="Times New Roman" w:cs="Times New Roman"/>
          <w:vertAlign w:val="superscript"/>
        </w:rPr>
        <w:footnoteReference w:id="336"/>
      </w:r>
      <w:r w:rsidRPr="396ABCA7">
        <w:rPr>
          <w:rFonts w:eastAsia="Times New Roman" w:cs="Times New Roman"/>
        </w:rPr>
        <w:t xml:space="preserve"> Clubs Australia,</w:t>
      </w:r>
      <w:r w:rsidRPr="396ABCA7">
        <w:rPr>
          <w:rStyle w:val="FootnoteReference"/>
          <w:rFonts w:eastAsia="Times New Roman" w:cs="Times New Roman"/>
        </w:rPr>
        <w:footnoteReference w:id="337"/>
      </w:r>
      <w:r w:rsidRPr="396ABCA7">
        <w:rPr>
          <w:rFonts w:eastAsia="Times New Roman" w:cs="Times New Roman"/>
        </w:rPr>
        <w:t xml:space="preserve"> Maritime Industry Australia Ltd</w:t>
      </w:r>
      <w:r w:rsidRPr="396ABCA7">
        <w:rPr>
          <w:rStyle w:val="FootnoteReference"/>
          <w:rFonts w:eastAsia="Times New Roman" w:cs="Times New Roman"/>
        </w:rPr>
        <w:footnoteReference w:id="338"/>
      </w:r>
      <w:r w:rsidRPr="396ABCA7">
        <w:rPr>
          <w:rFonts w:eastAsia="Times New Roman" w:cs="Times New Roman"/>
        </w:rPr>
        <w:t xml:space="preserve"> </w:t>
      </w:r>
      <w:r w:rsidRPr="00E937B1">
        <w:rPr>
          <w:rFonts w:eastAsia="Times New Roman" w:cs="Times New Roman"/>
        </w:rPr>
        <w:t>and the BCA.</w:t>
      </w:r>
      <w:r w:rsidRPr="00E937B1">
        <w:rPr>
          <w:rFonts w:eastAsia="Times New Roman" w:cs="Times New Roman"/>
          <w:vertAlign w:val="superscript"/>
        </w:rPr>
        <w:footnoteReference w:id="339"/>
      </w:r>
    </w:p>
    <w:p w14:paraId="1F041F7F" w14:textId="27088EBC" w:rsidR="00924664" w:rsidRPr="00167CB8" w:rsidRDefault="00924664" w:rsidP="00924664">
      <w:pPr>
        <w:rPr>
          <w:rFonts w:eastAsia="Times New Roman" w:cs="Times New Roman"/>
        </w:rPr>
      </w:pPr>
      <w:r w:rsidRPr="396ABCA7">
        <w:rPr>
          <w:rFonts w:eastAsia="Times New Roman" w:cs="Times New Roman"/>
        </w:rPr>
        <w:t>Master Builders Australia submitted that:</w:t>
      </w:r>
      <w:r w:rsidRPr="396ABCA7">
        <w:rPr>
          <w:vertAlign w:val="superscript"/>
        </w:rPr>
        <w:footnoteReference w:id="340"/>
      </w:r>
    </w:p>
    <w:p w14:paraId="7C3905BA" w14:textId="77777777" w:rsidR="00924664" w:rsidRPr="00167CB8" w:rsidRDefault="00924664" w:rsidP="00D55A73">
      <w:pPr>
        <w:pStyle w:val="Quote"/>
      </w:pPr>
      <w:r w:rsidRPr="00167CB8">
        <w:t xml:space="preserve">the provisions in practice have simply handed unions powers to decide when bargaining commences irrespective of the views of workers. This has only undermined, or detracted from, the rights of employees to </w:t>
      </w:r>
      <w:r w:rsidRPr="00167CB8">
        <w:lastRenderedPageBreak/>
        <w:t>make their own decisions as to when, or if, to commence bargaining for a new agreement. The provisions in practice do not actually require involvement of an employee as a precondition for a union to initiate bargaining and in fact limits the rights for workers to initiate bargaining unless agreed by their union.</w:t>
      </w:r>
    </w:p>
    <w:p w14:paraId="329DB26C" w14:textId="7A8ADB10" w:rsidR="00924664" w:rsidRPr="00167CB8" w:rsidRDefault="00924664" w:rsidP="00924664">
      <w:pPr>
        <w:rPr>
          <w:rFonts w:eastAsia="Times New Roman" w:cs="Times New Roman"/>
        </w:rPr>
      </w:pPr>
      <w:r w:rsidRPr="396ABCA7">
        <w:rPr>
          <w:rFonts w:eastAsia="Times New Roman" w:cs="Times New Roman"/>
        </w:rPr>
        <w:t>BCA submitted that:</w:t>
      </w:r>
      <w:r w:rsidRPr="396ABCA7">
        <w:rPr>
          <w:vertAlign w:val="superscript"/>
        </w:rPr>
        <w:footnoteReference w:id="341"/>
      </w:r>
    </w:p>
    <w:p w14:paraId="09639902" w14:textId="77777777" w:rsidR="0011475D" w:rsidRDefault="00924664" w:rsidP="00D55A73">
      <w:pPr>
        <w:pStyle w:val="Quote"/>
      </w:pPr>
      <w:r w:rsidRPr="00167CB8">
        <w:t>[</w:t>
      </w:r>
      <w:r>
        <w:t>T</w:t>
      </w:r>
      <w:r w:rsidRPr="00167CB8">
        <w:t>he amendment] has been used to compel negotiations in highly paid sectors without any evidence of majority support from employees to be covered by a proposed EA, such as in the iron ore mining sector in the Pilbara.</w:t>
      </w:r>
    </w:p>
    <w:p w14:paraId="3AF07FCD" w14:textId="1DF63533" w:rsidR="00924664" w:rsidRPr="00167CB8" w:rsidRDefault="00924664" w:rsidP="00D55A73">
      <w:pPr>
        <w:pStyle w:val="Quote"/>
      </w:pPr>
      <w:r w:rsidRPr="00167CB8">
        <w:t>There are other reasons why the operation of this provision is not appropriate. This includes, that there may be valid reasons why an employer has chosen not to commence bargaining for a replacement agreement at a certain time. This could be that the employer is awaiting the outcome of tenders or contract renewals, broader business reviews and labour requirement projections, economic or profit forecasts or data, or a multitude of other reasons that could impact the terms and conditions it can offer employees or agree to as part of bargaining. Forcing employers to the table at this stage cannot be conducive to the efficient conduct of good-faith bargaining and is a waste of the productive resources of all parties concerned.</w:t>
      </w:r>
    </w:p>
    <w:p w14:paraId="3763ADD2" w14:textId="31D2C8ED" w:rsidR="00924664" w:rsidRPr="00167CB8" w:rsidRDefault="00924664" w:rsidP="00924664">
      <w:pPr>
        <w:rPr>
          <w:rFonts w:eastAsia="Times New Roman" w:cs="Times New Roman"/>
        </w:rPr>
      </w:pPr>
      <w:r w:rsidRPr="396ABCA7">
        <w:rPr>
          <w:rFonts w:eastAsia="Times New Roman" w:cs="Times New Roman"/>
        </w:rPr>
        <w:t>The Council of Small Business Organisations Australia asserted that ‘unions now possess authority beyond their representative constituency, with the Act enabling union-initiated bargaining prior to demonstrable majority employee support’.</w:t>
      </w:r>
      <w:r w:rsidRPr="396ABCA7">
        <w:rPr>
          <w:rStyle w:val="FootnoteReference"/>
          <w:rFonts w:eastAsia="Times New Roman" w:cs="Times New Roman"/>
        </w:rPr>
        <w:footnoteReference w:id="342"/>
      </w:r>
    </w:p>
    <w:p w14:paraId="06101CAC" w14:textId="338A3AA1" w:rsidR="00924664" w:rsidRPr="00167CB8" w:rsidRDefault="00924664" w:rsidP="00924664">
      <w:pPr>
        <w:rPr>
          <w:rFonts w:eastAsia="Times New Roman" w:cs="Times New Roman"/>
        </w:rPr>
      </w:pPr>
      <w:r w:rsidRPr="396ABCA7">
        <w:rPr>
          <w:rFonts w:eastAsia="Times New Roman" w:cs="Times New Roman"/>
        </w:rPr>
        <w:t xml:space="preserve">The general employer response is that MSDs are a suitable mechanism through which bargaining representatives may seek to initiate bargaining and that the new provisions are not required. </w:t>
      </w:r>
      <w:r>
        <w:rPr>
          <w:rFonts w:eastAsia="Times New Roman" w:cs="Times New Roman"/>
        </w:rPr>
        <w:t>For example, a</w:t>
      </w:r>
      <w:r w:rsidRPr="396ABCA7">
        <w:rPr>
          <w:rFonts w:eastAsia="Times New Roman" w:cs="Times New Roman"/>
        </w:rPr>
        <w:t>ccording to the BCA:</w:t>
      </w:r>
      <w:r w:rsidRPr="396ABCA7">
        <w:rPr>
          <w:rFonts w:eastAsia="Times New Roman" w:cs="Times New Roman"/>
          <w:vertAlign w:val="superscript"/>
        </w:rPr>
        <w:footnoteReference w:id="343"/>
      </w:r>
    </w:p>
    <w:p w14:paraId="33289B9F" w14:textId="77777777" w:rsidR="00924664" w:rsidRPr="00167CB8" w:rsidRDefault="00924664" w:rsidP="00D55A73">
      <w:pPr>
        <w:pStyle w:val="Quote"/>
      </w:pPr>
      <w:r w:rsidRPr="00167CB8">
        <w:t>Bargaining representatives could already compel bargaining where they obtained a majority support determination (MSD), a comparatively straightforward process requiring the bargaining representative to show that the majority of the employees who are to be covered by the proposed EA want to bargain.</w:t>
      </w:r>
    </w:p>
    <w:p w14:paraId="37E6F1E3" w14:textId="32D79E09" w:rsidR="00924664" w:rsidRPr="00167CB8" w:rsidRDefault="00924664" w:rsidP="00924664">
      <w:pPr>
        <w:rPr>
          <w:rFonts w:eastAsia="Times New Roman" w:cs="Times New Roman"/>
        </w:rPr>
      </w:pPr>
      <w:r w:rsidRPr="396ABCA7">
        <w:rPr>
          <w:rFonts w:eastAsia="Times New Roman" w:cs="Times New Roman"/>
        </w:rPr>
        <w:t xml:space="preserve">Ai Group also recommended repeal of the amendments. If the Review Panel is not agreeable to recommending a repeal of the provisions, Ai Group proposed that the </w:t>
      </w:r>
      <w:r w:rsidR="00DB40E4">
        <w:rPr>
          <w:rFonts w:eastAsia="Times New Roman" w:cs="Times New Roman"/>
        </w:rPr>
        <w:t>five</w:t>
      </w:r>
      <w:r w:rsidRPr="396ABCA7">
        <w:rPr>
          <w:rFonts w:eastAsia="Times New Roman" w:cs="Times New Roman"/>
        </w:rPr>
        <w:t xml:space="preserve">-year period at s 173(2A)(c) be reduced to </w:t>
      </w:r>
      <w:r w:rsidR="00DB40E4">
        <w:rPr>
          <w:rFonts w:eastAsia="Times New Roman" w:cs="Times New Roman"/>
        </w:rPr>
        <w:t>three</w:t>
      </w:r>
      <w:r w:rsidRPr="396ABCA7">
        <w:rPr>
          <w:rFonts w:eastAsia="Times New Roman" w:cs="Times New Roman"/>
        </w:rPr>
        <w:t xml:space="preserve"> years.</w:t>
      </w:r>
      <w:r w:rsidRPr="396ABCA7">
        <w:rPr>
          <w:rFonts w:eastAsia="Times New Roman" w:cs="Times New Roman"/>
          <w:vertAlign w:val="superscript"/>
        </w:rPr>
        <w:footnoteReference w:id="344"/>
      </w:r>
    </w:p>
    <w:p w14:paraId="0697A033" w14:textId="2B41927A" w:rsidR="0011475D" w:rsidRDefault="00924664" w:rsidP="00924664">
      <w:pPr>
        <w:rPr>
          <w:rFonts w:eastAsia="Times New Roman" w:cs="Times New Roman"/>
        </w:rPr>
      </w:pPr>
      <w:r w:rsidRPr="396ABCA7">
        <w:rPr>
          <w:rFonts w:eastAsia="Times New Roman" w:cs="Times New Roman"/>
        </w:rPr>
        <w:t>Unions submitted that the initiating bargaining amendments</w:t>
      </w:r>
      <w:r w:rsidRPr="396ABCA7">
        <w:rPr>
          <w:rFonts w:eastAsia="Times New Roman" w:cs="Calibri"/>
        </w:rPr>
        <w:t xml:space="preserve"> were welcomed and had, as intended,</w:t>
      </w:r>
      <w:r w:rsidRPr="396ABCA7">
        <w:rPr>
          <w:rFonts w:eastAsia="Times New Roman" w:cs="Times New Roman"/>
        </w:rPr>
        <w:t xml:space="preserve"> helped streamline the bargaining process and removed a barrier to collective bargaining.</w:t>
      </w:r>
    </w:p>
    <w:p w14:paraId="76261F17" w14:textId="77777777" w:rsidR="0011475D" w:rsidRDefault="00924664" w:rsidP="00924664">
      <w:pPr>
        <w:rPr>
          <w:rFonts w:eastAsia="Times New Roman" w:cs="Times New Roman"/>
        </w:rPr>
      </w:pPr>
      <w:r w:rsidRPr="00D84647">
        <w:rPr>
          <w:rFonts w:eastAsia="Times New Roman" w:cs="Times New Roman"/>
        </w:rPr>
        <w:lastRenderedPageBreak/>
        <w:t>The United Workers Union (UWU), for example</w:t>
      </w:r>
      <w:r w:rsidRPr="396ABCA7">
        <w:rPr>
          <w:rFonts w:eastAsia="Times New Roman" w:cs="Times New Roman"/>
        </w:rPr>
        <w:t>, submitted that ‘Removing MSD requirements has facilitated the spread of collective bargaining and acted to increase wages and improve job security’.</w:t>
      </w:r>
      <w:r w:rsidRPr="396ABCA7">
        <w:rPr>
          <w:rFonts w:eastAsia="Times New Roman" w:cs="Times New Roman"/>
          <w:vertAlign w:val="superscript"/>
        </w:rPr>
        <w:footnoteReference w:id="345"/>
      </w:r>
    </w:p>
    <w:p w14:paraId="7655AD9C" w14:textId="01E981D3" w:rsidR="00924664" w:rsidRPr="00167CB8" w:rsidRDefault="00924664" w:rsidP="00924664">
      <w:pPr>
        <w:rPr>
          <w:rFonts w:eastAsia="Times New Roman" w:cs="Times New Roman"/>
        </w:rPr>
      </w:pPr>
      <w:r w:rsidRPr="00D84647">
        <w:rPr>
          <w:rFonts w:eastAsia="Times New Roman" w:cs="Times New Roman"/>
        </w:rPr>
        <w:t>The Australian Workers’ Union (AWU) noted that</w:t>
      </w:r>
      <w:r w:rsidRPr="396ABCA7">
        <w:rPr>
          <w:rFonts w:eastAsia="Times New Roman" w:cs="Times New Roman"/>
        </w:rPr>
        <w:t>:</w:t>
      </w:r>
      <w:r w:rsidRPr="396ABCA7">
        <w:rPr>
          <w:vertAlign w:val="superscript"/>
        </w:rPr>
        <w:footnoteReference w:id="346"/>
      </w:r>
    </w:p>
    <w:p w14:paraId="0D4B6F84" w14:textId="77777777" w:rsidR="0011475D" w:rsidRDefault="00924664" w:rsidP="00D55A73">
      <w:pPr>
        <w:pStyle w:val="Quote"/>
      </w:pPr>
      <w:r w:rsidRPr="00167CB8">
        <w:t>[The] reform provides a significant avenue in which the AWU can stimulate enterprise and industry-level bargaining, overcoming circumstances where, especially within the mining industry, employers, by refusing to bargain, could ensure that wages and conditions remained static.</w:t>
      </w:r>
    </w:p>
    <w:p w14:paraId="194187F5" w14:textId="3479C3F0" w:rsidR="00924664" w:rsidRPr="00167CB8" w:rsidRDefault="00924664" w:rsidP="00924664">
      <w:pPr>
        <w:rPr>
          <w:rFonts w:eastAsia="Times New Roman" w:cs="Times New Roman"/>
        </w:rPr>
      </w:pPr>
      <w:r w:rsidRPr="00167CB8">
        <w:rPr>
          <w:rFonts w:eastAsia="Times New Roman" w:cs="Times New Roman"/>
        </w:rPr>
        <w:t>The Mining and Energy Union (MEU) similarly supported the amendments</w:t>
      </w:r>
      <w:r w:rsidR="00D84647">
        <w:rPr>
          <w:rFonts w:eastAsia="Times New Roman" w:cs="Times New Roman"/>
        </w:rPr>
        <w:t>,</w:t>
      </w:r>
      <w:r w:rsidRPr="00167CB8">
        <w:rPr>
          <w:rFonts w:eastAsia="Times New Roman" w:cs="Times New Roman"/>
        </w:rPr>
        <w:t xml:space="preserve"> submitting they provide a ‘sensible alternate to the lengthy and complex’ MSD process, citing success working with AWU to commence bargaining in the Pilbara.</w:t>
      </w:r>
      <w:r w:rsidRPr="00167CB8">
        <w:rPr>
          <w:rStyle w:val="FootnoteReference"/>
          <w:rFonts w:eastAsia="Times New Roman" w:cs="Times New Roman"/>
        </w:rPr>
        <w:footnoteReference w:id="347"/>
      </w:r>
      <w:r w:rsidRPr="00167CB8">
        <w:rPr>
          <w:rFonts w:eastAsia="Times New Roman" w:cs="Times New Roman"/>
        </w:rPr>
        <w:t xml:space="preserve"> The Community and Public Sector Union (CPSU) also raised positive sentiments, asserting it led to a ‘prompt commencement of agency level bargaining and service wide bargaining’.</w:t>
      </w:r>
      <w:r w:rsidRPr="00167CB8">
        <w:rPr>
          <w:rStyle w:val="FootnoteReference"/>
          <w:rFonts w:eastAsia="Times New Roman" w:cs="Times New Roman"/>
        </w:rPr>
        <w:footnoteReference w:id="348"/>
      </w:r>
    </w:p>
    <w:p w14:paraId="398D0CD1" w14:textId="0480BE18" w:rsidR="0011475D" w:rsidRDefault="00924664" w:rsidP="00924664">
      <w:pPr>
        <w:rPr>
          <w:rFonts w:eastAsia="Times New Roman" w:cs="Calibri"/>
          <w:lang w:eastAsia="en-AU"/>
        </w:rPr>
      </w:pPr>
      <w:r w:rsidRPr="396ABCA7">
        <w:rPr>
          <w:rFonts w:eastAsia="Times New Roman" w:cs="Times New Roman"/>
        </w:rPr>
        <w:t xml:space="preserve">In terms of ‘issues’, </w:t>
      </w:r>
      <w:r w:rsidRPr="396ABCA7">
        <w:rPr>
          <w:rFonts w:eastAsia="Times New Roman" w:cs="Calibri"/>
          <w:lang w:eastAsia="en-AU"/>
        </w:rPr>
        <w:t xml:space="preserve">the Australian Council of Trade Unions (ACTU) noted that s 173(2A)(d) constrains the employee request to bargain to situations where ‘the proposed agreement will cover the same, or substantially the same, group of employees as the earlier agreement’. Their concern is that this could limit the availability of access to bargaining for a replacement agreement where a different scope is sought (e.g. combining </w:t>
      </w:r>
      <w:r w:rsidR="00DB40E4">
        <w:rPr>
          <w:rFonts w:eastAsia="Times New Roman" w:cs="Calibri"/>
          <w:lang w:eastAsia="en-AU"/>
        </w:rPr>
        <w:t>two</w:t>
      </w:r>
      <w:r w:rsidRPr="396ABCA7">
        <w:rPr>
          <w:rFonts w:eastAsia="Times New Roman" w:cs="Calibri"/>
          <w:lang w:eastAsia="en-AU"/>
        </w:rPr>
        <w:t xml:space="preserve"> agreements).</w:t>
      </w:r>
      <w:r w:rsidRPr="396ABCA7" w:rsidDel="00D84647">
        <w:rPr>
          <w:rFonts w:eastAsia="Times New Roman" w:cs="Calibri"/>
          <w:lang w:eastAsia="en-AU"/>
        </w:rPr>
        <w:t xml:space="preserve"> </w:t>
      </w:r>
      <w:r w:rsidRPr="396ABCA7">
        <w:rPr>
          <w:rFonts w:eastAsia="Times New Roman" w:cs="Calibri"/>
          <w:lang w:eastAsia="en-AU"/>
        </w:rPr>
        <w:t>UWU similarly submitted that s 173(2A)(d) could constrain access to bargaining if the replacement agreement was likely to cover additional workers.</w:t>
      </w:r>
      <w:r w:rsidRPr="396ABCA7">
        <w:rPr>
          <w:rFonts w:eastAsia="Times New Roman" w:cs="Times New Roman"/>
          <w:vertAlign w:val="superscript"/>
        </w:rPr>
        <w:footnoteReference w:id="349"/>
      </w:r>
    </w:p>
    <w:p w14:paraId="4BFBF55A" w14:textId="77777777" w:rsidR="0011475D" w:rsidRDefault="00924664" w:rsidP="00924664">
      <w:pPr>
        <w:spacing w:before="100" w:beforeAutospacing="1" w:after="100" w:afterAutospacing="1"/>
        <w:rPr>
          <w:rFonts w:eastAsia="Times New Roman" w:cs="Calibri"/>
          <w:lang w:eastAsia="en-AU"/>
        </w:rPr>
      </w:pPr>
      <w:r w:rsidRPr="396ABCA7">
        <w:rPr>
          <w:rFonts w:eastAsia="Times New Roman" w:cs="Calibri"/>
          <w:lang w:eastAsia="en-AU"/>
        </w:rPr>
        <w:t>The ACTU also proposed that the new initiating bargaining provisions be extended to multi-employer agreements.</w:t>
      </w:r>
      <w:r w:rsidRPr="396ABCA7">
        <w:rPr>
          <w:rFonts w:eastAsia="Times New Roman" w:cs="Calibri"/>
          <w:vertAlign w:val="superscript"/>
          <w:lang w:eastAsia="en-AU"/>
        </w:rPr>
        <w:footnoteReference w:id="350"/>
      </w:r>
    </w:p>
    <w:p w14:paraId="14D6133E" w14:textId="7120439E" w:rsidR="0011475D" w:rsidRDefault="00924664" w:rsidP="00924664">
      <w:bookmarkStart w:id="213" w:name="_Hlk191628917"/>
      <w:r w:rsidRPr="005A1ED6">
        <w:t xml:space="preserve">The </w:t>
      </w:r>
      <w:r w:rsidR="00D84647">
        <w:t>d</w:t>
      </w:r>
      <w:r w:rsidRPr="005A1ED6">
        <w:t xml:space="preserve">raft </w:t>
      </w:r>
      <w:r w:rsidR="00D84647">
        <w:t>r</w:t>
      </w:r>
      <w:r w:rsidRPr="005A1ED6">
        <w:t xml:space="preserve">eport’s commentary relating to initiating bargaining received considerable attention in stakeholder submissions. Stakeholders expressed a range of views on the initiating bargaining reforms and the Review Panel’s proposed recommendation that the FWC publish guidance to assist employers </w:t>
      </w:r>
      <w:r w:rsidR="00DB40E4">
        <w:t xml:space="preserve">to </w:t>
      </w:r>
      <w:r w:rsidRPr="005A1ED6">
        <w:t xml:space="preserve">understand their obligations after receiving a written request to bargain, including the Panel’s commentary on the </w:t>
      </w:r>
      <w:r w:rsidRPr="005A1ED6">
        <w:rPr>
          <w:i/>
        </w:rPr>
        <w:t>Sephora</w:t>
      </w:r>
      <w:r w:rsidRPr="005A1ED6">
        <w:t xml:space="preserve"> case.</w:t>
      </w:r>
    </w:p>
    <w:p w14:paraId="3039FAE4" w14:textId="5698AC77" w:rsidR="00924664" w:rsidRPr="005A1ED6" w:rsidRDefault="00924664" w:rsidP="00924664">
      <w:r w:rsidRPr="005A1ED6">
        <w:t>The ACTU,</w:t>
      </w:r>
      <w:r w:rsidRPr="005A1ED6">
        <w:rPr>
          <w:rStyle w:val="FootnoteReference"/>
        </w:rPr>
        <w:footnoteReference w:id="351"/>
      </w:r>
      <w:r w:rsidRPr="005A1ED6">
        <w:t xml:space="preserve"> </w:t>
      </w:r>
      <w:r w:rsidR="00444B34" w:rsidRPr="00444B34">
        <w:t>Australian Nursing and Midwifery Federation</w:t>
      </w:r>
      <w:r w:rsidRPr="005A1ED6">
        <w:t>,</w:t>
      </w:r>
      <w:r w:rsidRPr="005A1ED6">
        <w:rPr>
          <w:rStyle w:val="FootnoteReference"/>
        </w:rPr>
        <w:footnoteReference w:id="352"/>
      </w:r>
      <w:r w:rsidRPr="005A1ED6">
        <w:t xml:space="preserve"> CPSU PSU Group,</w:t>
      </w:r>
      <w:r w:rsidRPr="005A1ED6">
        <w:rPr>
          <w:rStyle w:val="FootnoteReference"/>
        </w:rPr>
        <w:footnoteReference w:id="353"/>
      </w:r>
      <w:r w:rsidRPr="005A1ED6">
        <w:t xml:space="preserve"> SDA,</w:t>
      </w:r>
      <w:r w:rsidRPr="005A1ED6">
        <w:rPr>
          <w:rStyle w:val="FootnoteReference"/>
        </w:rPr>
        <w:footnoteReference w:id="354"/>
      </w:r>
      <w:r w:rsidRPr="005A1ED6">
        <w:t xml:space="preserve"> AMWU</w:t>
      </w:r>
      <w:r w:rsidRPr="005A1ED6">
        <w:rPr>
          <w:rStyle w:val="FootnoteReference"/>
        </w:rPr>
        <w:footnoteReference w:id="355"/>
      </w:r>
      <w:r w:rsidRPr="005A1ED6">
        <w:t xml:space="preserve"> and UWU</w:t>
      </w:r>
      <w:r w:rsidRPr="005A1ED6">
        <w:rPr>
          <w:rStyle w:val="FootnoteReference"/>
        </w:rPr>
        <w:footnoteReference w:id="356"/>
      </w:r>
      <w:r w:rsidRPr="005A1ED6">
        <w:t xml:space="preserve"> were critical of the Review Panel’s characterisation of the </w:t>
      </w:r>
      <w:r w:rsidRPr="005A1ED6">
        <w:rPr>
          <w:i/>
        </w:rPr>
        <w:t>Sephora</w:t>
      </w:r>
      <w:r w:rsidRPr="005A1ED6">
        <w:t xml:space="preserve"> case and contended that it is not an example of an employer’s lack of knowledge </w:t>
      </w:r>
      <w:r w:rsidRPr="00D84647">
        <w:t xml:space="preserve">but the </w:t>
      </w:r>
      <w:r w:rsidR="00D84647">
        <w:t xml:space="preserve">employer’s </w:t>
      </w:r>
      <w:r w:rsidRPr="00D84647">
        <w:t xml:space="preserve">avoidance </w:t>
      </w:r>
      <w:r w:rsidR="00833DF4">
        <w:t>to</w:t>
      </w:r>
      <w:r w:rsidRPr="00D84647">
        <w:t xml:space="preserve"> of bargain</w:t>
      </w:r>
      <w:r w:rsidRPr="005A1ED6">
        <w:t xml:space="preserve"> with a union. Ai</w:t>
      </w:r>
      <w:r w:rsidR="00D84647">
        <w:t> </w:t>
      </w:r>
      <w:r w:rsidRPr="005A1ED6">
        <w:t xml:space="preserve">Group state that they ‘disagree with the Review Panel’s </w:t>
      </w:r>
      <w:r w:rsidRPr="005A1ED6">
        <w:lastRenderedPageBreak/>
        <w:t xml:space="preserve">conclusion’ that </w:t>
      </w:r>
      <w:r w:rsidRPr="005A1ED6">
        <w:rPr>
          <w:i/>
        </w:rPr>
        <w:t>Sephora</w:t>
      </w:r>
      <w:r w:rsidRPr="005A1ED6">
        <w:t xml:space="preserve"> ‘indicates a need to further educate employers about their obligations’.</w:t>
      </w:r>
      <w:r w:rsidRPr="005A1ED6">
        <w:rPr>
          <w:rStyle w:val="FootnoteReference"/>
        </w:rPr>
        <w:footnoteReference w:id="357"/>
      </w:r>
    </w:p>
    <w:p w14:paraId="3B5AD46B" w14:textId="67A36C64" w:rsidR="00924664" w:rsidRPr="005A1ED6" w:rsidRDefault="00924664" w:rsidP="00924664">
      <w:r w:rsidRPr="005A1ED6">
        <w:t>Stakeholders including the ACTU,</w:t>
      </w:r>
      <w:r w:rsidRPr="005A1ED6">
        <w:rPr>
          <w:rStyle w:val="FootnoteReference"/>
        </w:rPr>
        <w:footnoteReference w:id="358"/>
      </w:r>
      <w:r w:rsidRPr="005A1ED6">
        <w:t xml:space="preserve"> AWU,</w:t>
      </w:r>
      <w:r w:rsidRPr="005A1ED6">
        <w:rPr>
          <w:rStyle w:val="FootnoteReference"/>
        </w:rPr>
        <w:footnoteReference w:id="359"/>
      </w:r>
      <w:r w:rsidRPr="005A1ED6">
        <w:t xml:space="preserve"> CPSU PSU Group and</w:t>
      </w:r>
      <w:r w:rsidRPr="005A1ED6">
        <w:rPr>
          <w:rStyle w:val="FootnoteReference"/>
        </w:rPr>
        <w:footnoteReference w:id="360"/>
      </w:r>
      <w:r w:rsidRPr="005A1ED6">
        <w:t xml:space="preserve"> AMWU</w:t>
      </w:r>
      <w:r w:rsidRPr="005A1ED6">
        <w:rPr>
          <w:rStyle w:val="FootnoteReference"/>
        </w:rPr>
        <w:footnoteReference w:id="361"/>
      </w:r>
      <w:r w:rsidRPr="005A1ED6">
        <w:t xml:space="preserve"> were of the view that the proposed recommendation to introduce guidance for employers that have received a written request to bargain was unnecessary. UWU expressed ‘significant concerns’ but stated that ‘[i]f there is genuine confusion amongst employers about notices under s 173(2A) of the F</w:t>
      </w:r>
      <w:r w:rsidR="00833DF4">
        <w:t>air Work</w:t>
      </w:r>
      <w:r w:rsidR="00DB40E4">
        <w:t> </w:t>
      </w:r>
      <w:r w:rsidRPr="005A1ED6">
        <w:t xml:space="preserve">Act, UWU would support the </w:t>
      </w:r>
      <w:r w:rsidR="00444B34">
        <w:t>Fair Work Ombudsman</w:t>
      </w:r>
      <w:r w:rsidR="00444B34" w:rsidRPr="005A1ED6">
        <w:t xml:space="preserve"> </w:t>
      </w:r>
      <w:r w:rsidRPr="005A1ED6">
        <w:t>or FWC preparing resources to assist with this issue’.</w:t>
      </w:r>
      <w:r w:rsidRPr="005A1ED6">
        <w:rPr>
          <w:rStyle w:val="FootnoteReference"/>
        </w:rPr>
        <w:footnoteReference w:id="362"/>
      </w:r>
    </w:p>
    <w:p w14:paraId="215A6D00" w14:textId="7949CFD9" w:rsidR="0011475D" w:rsidRDefault="00924664" w:rsidP="00924664">
      <w:r w:rsidRPr="005A1ED6">
        <w:t>Other stakeholders</w:t>
      </w:r>
      <w:r w:rsidR="00DB40E4">
        <w:t>,</w:t>
      </w:r>
      <w:r w:rsidRPr="005A1ED6">
        <w:t xml:space="preserve"> including </w:t>
      </w:r>
      <w:r w:rsidR="00924850">
        <w:t>Maritime Industry Australia Ltd</w:t>
      </w:r>
      <w:r w:rsidRPr="005A1ED6">
        <w:t>,</w:t>
      </w:r>
      <w:r w:rsidRPr="005A1ED6">
        <w:rPr>
          <w:rStyle w:val="FootnoteReference"/>
        </w:rPr>
        <w:footnoteReference w:id="363"/>
      </w:r>
      <w:r w:rsidRPr="005A1ED6">
        <w:t xml:space="preserve"> Master Grocers Australia</w:t>
      </w:r>
      <w:r w:rsidRPr="005A1ED6">
        <w:rPr>
          <w:rStyle w:val="FootnoteReference"/>
        </w:rPr>
        <w:footnoteReference w:id="364"/>
      </w:r>
      <w:r w:rsidRPr="005A1ED6">
        <w:t xml:space="preserve"> and </w:t>
      </w:r>
      <w:r w:rsidR="00924850" w:rsidRPr="00924850">
        <w:t>Electrical Trades Union</w:t>
      </w:r>
      <w:r w:rsidR="00DB40E4">
        <w:t>,</w:t>
      </w:r>
      <w:r w:rsidRPr="005A1ED6">
        <w:rPr>
          <w:rStyle w:val="FootnoteReference"/>
        </w:rPr>
        <w:footnoteReference w:id="365"/>
      </w:r>
      <w:r w:rsidRPr="005A1ED6">
        <w:t xml:space="preserve"> were in support of the proposed recommendation that guidance material might assist parties.</w:t>
      </w:r>
    </w:p>
    <w:p w14:paraId="14F7EF6B" w14:textId="00D88BC2" w:rsidR="00924664" w:rsidRPr="005A1ED6" w:rsidRDefault="00924664" w:rsidP="00924664">
      <w:r w:rsidRPr="005A1ED6">
        <w:t xml:space="preserve">ACCI stated that while </w:t>
      </w:r>
      <w:r w:rsidR="00924850">
        <w:t xml:space="preserve">it </w:t>
      </w:r>
      <w:r w:rsidRPr="005A1ED6">
        <w:t>disagree</w:t>
      </w:r>
      <w:r w:rsidR="00924850">
        <w:t>s</w:t>
      </w:r>
      <w:r w:rsidRPr="005A1ED6">
        <w:t xml:space="preserve"> with the ‘direction of the legislation</w:t>
      </w:r>
      <w:r w:rsidR="00DB40E4">
        <w:t xml:space="preserve"> </w:t>
      </w:r>
      <w:r w:rsidRPr="005A1ED6">
        <w:t>… additional resources are always welcomed’.</w:t>
      </w:r>
      <w:r w:rsidRPr="005A1ED6">
        <w:rPr>
          <w:rStyle w:val="FootnoteReference"/>
        </w:rPr>
        <w:footnoteReference w:id="366"/>
      </w:r>
      <w:r w:rsidRPr="005A1ED6">
        <w:t xml:space="preserve"> ACCI urged the Review Panel to consider the needs of small to medium businesses ‘who do not have dedicated resources or capabilities for engaging with educational materials’.</w:t>
      </w:r>
      <w:r w:rsidRPr="005A1ED6">
        <w:rPr>
          <w:rStyle w:val="FootnoteReference"/>
        </w:rPr>
        <w:footnoteReference w:id="367"/>
      </w:r>
    </w:p>
    <w:p w14:paraId="1A27EF11" w14:textId="1474768B" w:rsidR="0011475D" w:rsidRDefault="00924664" w:rsidP="00924664">
      <w:r w:rsidRPr="005A1ED6">
        <w:t>AREEA,</w:t>
      </w:r>
      <w:r w:rsidRPr="005A1ED6">
        <w:rPr>
          <w:rStyle w:val="FootnoteReference"/>
        </w:rPr>
        <w:footnoteReference w:id="368"/>
      </w:r>
      <w:r w:rsidRPr="005A1ED6">
        <w:t xml:space="preserve"> ACCI</w:t>
      </w:r>
      <w:r w:rsidRPr="005A1ED6">
        <w:rPr>
          <w:rStyle w:val="FootnoteReference"/>
        </w:rPr>
        <w:footnoteReference w:id="369"/>
      </w:r>
      <w:r w:rsidRPr="005A1ED6">
        <w:t xml:space="preserve"> and Ai Group</w:t>
      </w:r>
      <w:r w:rsidRPr="005A1ED6">
        <w:rPr>
          <w:rStyle w:val="FootnoteReference"/>
        </w:rPr>
        <w:footnoteReference w:id="370"/>
      </w:r>
      <w:r w:rsidRPr="005A1ED6">
        <w:t xml:space="preserve"> reiterated views in opposition of union commencement of bargaining without majority employee support or the use of MSD</w:t>
      </w:r>
      <w:r w:rsidR="00D84647">
        <w:t>s</w:t>
      </w:r>
      <w:r w:rsidRPr="005A1ED6">
        <w:t>.</w:t>
      </w:r>
    </w:p>
    <w:p w14:paraId="554152A5" w14:textId="25146308" w:rsidR="0011475D" w:rsidRDefault="00924664" w:rsidP="00924664">
      <w:r w:rsidRPr="005A1ED6">
        <w:t>AREEA stated that the Review Panel had failed to demonstrate how the amendments were streamlining bargaining and reducing barriers.</w:t>
      </w:r>
      <w:r w:rsidRPr="005A1ED6">
        <w:rPr>
          <w:rStyle w:val="FootnoteReference"/>
        </w:rPr>
        <w:footnoteReference w:id="371"/>
      </w:r>
    </w:p>
    <w:p w14:paraId="5D586E1E" w14:textId="557A70AC" w:rsidR="00924664" w:rsidRPr="00167CB8" w:rsidRDefault="00924664" w:rsidP="00924664">
      <w:pPr>
        <w:pStyle w:val="Heading4"/>
        <w:rPr>
          <w:rFonts w:asciiTheme="minorHAnsi" w:hAnsiTheme="minorHAnsi"/>
        </w:rPr>
      </w:pPr>
      <w:bookmarkStart w:id="214" w:name="_Toc189260225"/>
      <w:bookmarkStart w:id="215" w:name="_Toc189393541"/>
      <w:bookmarkEnd w:id="213"/>
      <w:r w:rsidRPr="00167CB8">
        <w:rPr>
          <w:rFonts w:asciiTheme="minorHAnsi" w:hAnsiTheme="minorHAnsi"/>
        </w:rPr>
        <w:t>9.3 Findings and recommendations</w:t>
      </w:r>
      <w:bookmarkEnd w:id="214"/>
      <w:bookmarkEnd w:id="215"/>
    </w:p>
    <w:p w14:paraId="24856A50" w14:textId="61230105" w:rsidR="00924664" w:rsidRDefault="00924664" w:rsidP="00924664">
      <w:pPr>
        <w:rPr>
          <w:rFonts w:eastAsia="Times New Roman" w:cs="Times New Roman"/>
        </w:rPr>
      </w:pPr>
      <w:r w:rsidRPr="396ABCA7">
        <w:rPr>
          <w:rFonts w:eastAsia="Times New Roman" w:cs="Times New Roman"/>
        </w:rPr>
        <w:t>There is limited data on which the Review Panel may draw to assess the impact of these reforms. However, the Review Panel notes that WAD data collected for agreements with a notification time on or after 7 December 2022 indicates that the initiating bargaining provisions have been used in a small proportion of agreements (3.93% of total agreements approved, or in 187 agreements)</w:t>
      </w:r>
      <w:r>
        <w:t xml:space="preserve"> but is representative of 22.8% of employees covered by newly approved agreements in that period.</w:t>
      </w:r>
    </w:p>
    <w:p w14:paraId="0AC31484" w14:textId="6ADBDA3F" w:rsidR="0011475D" w:rsidRDefault="00924664" w:rsidP="00924664">
      <w:pPr>
        <w:rPr>
          <w:rFonts w:eastAsia="Times New Roman" w:cs="Times New Roman"/>
        </w:rPr>
      </w:pPr>
      <w:r>
        <w:rPr>
          <w:rFonts w:eastAsia="Times New Roman" w:cs="Times New Roman"/>
        </w:rPr>
        <w:t>The Review Panel acknowledges AREEA’s submission that the draft report failed to demonstrate outcomes of the amendments. However, h</w:t>
      </w:r>
      <w:r w:rsidRPr="396ABCA7">
        <w:rPr>
          <w:rFonts w:eastAsia="Times New Roman" w:cs="Times New Roman"/>
        </w:rPr>
        <w:t xml:space="preserve">aving considered the Australian Government’s legislative intent (to streamline bargaining and reduce barriers to collective </w:t>
      </w:r>
      <w:r w:rsidRPr="396ABCA7">
        <w:rPr>
          <w:rFonts w:eastAsia="Times New Roman" w:cs="Times New Roman"/>
        </w:rPr>
        <w:lastRenderedPageBreak/>
        <w:t>bargaining) and the early evidence</w:t>
      </w:r>
      <w:r>
        <w:rPr>
          <w:rFonts w:eastAsia="Times New Roman" w:cs="Times New Roman"/>
        </w:rPr>
        <w:t xml:space="preserve"> </w:t>
      </w:r>
      <w:r w:rsidRPr="396ABCA7">
        <w:rPr>
          <w:rFonts w:eastAsia="Times New Roman" w:cs="Times New Roman"/>
        </w:rPr>
        <w:t xml:space="preserve">which shows the provisions are being used, the Review Panel concludes that the amendments so far </w:t>
      </w:r>
      <w:r>
        <w:rPr>
          <w:rFonts w:eastAsia="Times New Roman" w:cs="Times New Roman"/>
        </w:rPr>
        <w:t>have operated as intended</w:t>
      </w:r>
      <w:r w:rsidRPr="396ABCA7">
        <w:rPr>
          <w:rFonts w:eastAsia="Times New Roman" w:cs="Times New Roman"/>
        </w:rPr>
        <w:t>.</w:t>
      </w:r>
    </w:p>
    <w:p w14:paraId="39D6F4F0" w14:textId="77777777" w:rsidR="0011475D" w:rsidRDefault="00924664" w:rsidP="00924664">
      <w:pPr>
        <w:rPr>
          <w:rFonts w:eastAsia="Times New Roman" w:cs="Times New Roman"/>
        </w:rPr>
      </w:pPr>
      <w:r>
        <w:rPr>
          <w:rFonts w:eastAsia="Times New Roman" w:cs="Times New Roman"/>
        </w:rPr>
        <w:t>Similarly, w</w:t>
      </w:r>
      <w:r w:rsidRPr="396ABCA7">
        <w:rPr>
          <w:rFonts w:eastAsia="Times New Roman" w:cs="Times New Roman"/>
        </w:rPr>
        <w:t>hile the Review Panel notes employer requests</w:t>
      </w:r>
      <w:r>
        <w:rPr>
          <w:rFonts w:eastAsia="Times New Roman" w:cs="Times New Roman"/>
        </w:rPr>
        <w:t xml:space="preserve">, </w:t>
      </w:r>
      <w:r w:rsidRPr="005A1ED6">
        <w:rPr>
          <w:rFonts w:eastAsia="Times New Roman" w:cs="Times New Roman"/>
        </w:rPr>
        <w:t>including in submissions in response to the draft report</w:t>
      </w:r>
      <w:r>
        <w:rPr>
          <w:rFonts w:eastAsia="Times New Roman" w:cs="Times New Roman"/>
        </w:rPr>
        <w:t xml:space="preserve">, </w:t>
      </w:r>
      <w:r w:rsidRPr="396ABCA7">
        <w:rPr>
          <w:rFonts w:eastAsia="Times New Roman" w:cs="Times New Roman"/>
        </w:rPr>
        <w:t>that an MSD be sought where employers do not agree to bargain, the Review Panel has declined to support this request. An MSD is not always a straightforward exercise and, in some cases, where it is opposed may impose administrative burden on unions and employees.</w:t>
      </w:r>
      <w:r w:rsidRPr="396ABCA7">
        <w:rPr>
          <w:rFonts w:eastAsia="Times New Roman" w:cs="Times New Roman"/>
          <w:vertAlign w:val="superscript"/>
        </w:rPr>
        <w:footnoteReference w:id="372"/>
      </w:r>
      <w:r w:rsidRPr="396ABCA7">
        <w:rPr>
          <w:rFonts w:eastAsia="Times New Roman" w:cs="Times New Roman"/>
        </w:rPr>
        <w:t xml:space="preserve"> Moreover, it would be unacceptable to return to pre-existing provisions that gave employers an uneven power to avoid the renewal of agreements. Such a recommendation would go against the intent of the legislation.</w:t>
      </w:r>
    </w:p>
    <w:p w14:paraId="31C5B7E9" w14:textId="14A3D980" w:rsidR="00924664" w:rsidRPr="00167CB8" w:rsidRDefault="00924664" w:rsidP="00924664">
      <w:pPr>
        <w:rPr>
          <w:rFonts w:eastAsia="Times New Roman" w:cs="Times New Roman"/>
        </w:rPr>
      </w:pPr>
      <w:r w:rsidRPr="00167CB8">
        <w:rPr>
          <w:rFonts w:eastAsia="Times New Roman" w:cs="Times New Roman"/>
        </w:rPr>
        <w:t>The Review Panel has similarly declined to support Ai Group</w:t>
      </w:r>
      <w:r>
        <w:rPr>
          <w:rFonts w:eastAsia="Times New Roman" w:cs="Times New Roman"/>
        </w:rPr>
        <w:t>’s</w:t>
      </w:r>
      <w:r w:rsidRPr="00167CB8">
        <w:rPr>
          <w:rFonts w:eastAsia="Times New Roman" w:cs="Times New Roman"/>
        </w:rPr>
        <w:t xml:space="preserve"> recommendation that the window for an expired agreement be reduced from </w:t>
      </w:r>
      <w:r w:rsidR="00DB40E4">
        <w:rPr>
          <w:rFonts w:eastAsia="Times New Roman" w:cs="Times New Roman"/>
        </w:rPr>
        <w:t>five</w:t>
      </w:r>
      <w:r w:rsidRPr="00167CB8">
        <w:rPr>
          <w:rFonts w:eastAsia="Times New Roman" w:cs="Times New Roman"/>
        </w:rPr>
        <w:t xml:space="preserve"> to</w:t>
      </w:r>
      <w:r w:rsidR="00DB40E4">
        <w:rPr>
          <w:rFonts w:eastAsia="Times New Roman" w:cs="Times New Roman"/>
        </w:rPr>
        <w:t xml:space="preserve"> three</w:t>
      </w:r>
      <w:r w:rsidRPr="00167CB8">
        <w:rPr>
          <w:rFonts w:eastAsia="Times New Roman" w:cs="Times New Roman"/>
        </w:rPr>
        <w:t xml:space="preserve"> years from the nominal expiry date. There is no evidence </w:t>
      </w:r>
      <w:r>
        <w:rPr>
          <w:rFonts w:eastAsia="Times New Roman" w:cs="Times New Roman"/>
        </w:rPr>
        <w:t>to</w:t>
      </w:r>
      <w:r w:rsidRPr="00167CB8">
        <w:rPr>
          <w:rFonts w:eastAsia="Times New Roman" w:cs="Times New Roman"/>
        </w:rPr>
        <w:t xml:space="preserve"> support </w:t>
      </w:r>
      <w:r>
        <w:rPr>
          <w:rFonts w:eastAsia="Times New Roman" w:cs="Times New Roman"/>
        </w:rPr>
        <w:t>a shorter timeframe – most simply, a three-year window is just as arbitrary as a five</w:t>
      </w:r>
      <w:r w:rsidRPr="00167CB8">
        <w:rPr>
          <w:rFonts w:eastAsia="Times New Roman" w:cs="Times New Roman"/>
        </w:rPr>
        <w:t>-year window.</w:t>
      </w:r>
    </w:p>
    <w:p w14:paraId="092D39CB" w14:textId="77777777" w:rsidR="00924664" w:rsidRPr="00167CB8" w:rsidRDefault="00924664" w:rsidP="00924664">
      <w:pPr>
        <w:rPr>
          <w:rFonts w:eastAsia="Times New Roman" w:cs="Times New Roman"/>
        </w:rPr>
      </w:pPr>
      <w:r w:rsidRPr="396ABCA7">
        <w:rPr>
          <w:rFonts w:eastAsia="Times New Roman" w:cs="Times New Roman"/>
        </w:rPr>
        <w:t>The ACTU has recommended that s 173(2A)(d) be changed to permit employee representatives to initiate bargaining for a replacement single-enterprise agreement that would cover additional workers. This broadens the scope of the legislation and potentially opens up disputes about whether the agreement was a true replacement agreement or a new agreement. The Review Panel, therefore, has not supported this request.</w:t>
      </w:r>
    </w:p>
    <w:p w14:paraId="270ED38D" w14:textId="77777777" w:rsidR="00924664" w:rsidRPr="00167CB8" w:rsidRDefault="00924664" w:rsidP="00924664">
      <w:pPr>
        <w:rPr>
          <w:rFonts w:eastAsia="Times New Roman" w:cs="Times New Roman"/>
        </w:rPr>
      </w:pPr>
      <w:r w:rsidRPr="396ABCA7">
        <w:rPr>
          <w:rFonts w:eastAsia="Times New Roman" w:cs="Times New Roman"/>
        </w:rPr>
        <w:t xml:space="preserve">The Review Panel finds that data on who initiates bargaining is weak, with </w:t>
      </w:r>
      <w:r>
        <w:rPr>
          <w:rFonts w:eastAsia="Times New Roman" w:cs="Times New Roman"/>
        </w:rPr>
        <w:t>available data showing</w:t>
      </w:r>
      <w:r w:rsidRPr="396ABCA7">
        <w:rPr>
          <w:rFonts w:eastAsia="Times New Roman" w:cs="Times New Roman"/>
        </w:rPr>
        <w:t xml:space="preserve"> few cases on the issue having been decided to date. </w:t>
      </w:r>
      <w:r>
        <w:rPr>
          <w:rFonts w:eastAsia="Times New Roman" w:cs="Times New Roman"/>
        </w:rPr>
        <w:t xml:space="preserve">Data is also lacking on the shadow effect. </w:t>
      </w:r>
      <w:r w:rsidRPr="396ABCA7">
        <w:rPr>
          <w:rFonts w:eastAsia="Times New Roman" w:cs="Times New Roman"/>
        </w:rPr>
        <w:t xml:space="preserve">This </w:t>
      </w:r>
      <w:r>
        <w:rPr>
          <w:rFonts w:eastAsia="Times New Roman" w:cs="Times New Roman"/>
        </w:rPr>
        <w:t>data gap</w:t>
      </w:r>
      <w:r w:rsidRPr="396ABCA7">
        <w:rPr>
          <w:rFonts w:eastAsia="Times New Roman" w:cs="Times New Roman"/>
        </w:rPr>
        <w:t xml:space="preserve"> has </w:t>
      </w:r>
      <w:r>
        <w:rPr>
          <w:rFonts w:eastAsia="Times New Roman" w:cs="Times New Roman"/>
        </w:rPr>
        <w:t>also</w:t>
      </w:r>
      <w:r w:rsidRPr="396ABCA7">
        <w:rPr>
          <w:rFonts w:eastAsia="Times New Roman" w:cs="Times New Roman"/>
        </w:rPr>
        <w:t xml:space="preserve"> led to views being substituted by opinions about the future rather than objective evidence</w:t>
      </w:r>
      <w:r>
        <w:rPr>
          <w:rFonts w:eastAsia="Times New Roman" w:cs="Times New Roman"/>
        </w:rPr>
        <w:t xml:space="preserve"> being used to assess the amendments</w:t>
      </w:r>
      <w:r w:rsidRPr="396ABCA7">
        <w:rPr>
          <w:rFonts w:eastAsia="Times New Roman" w:cs="Times New Roman"/>
        </w:rPr>
        <w:t>.</w:t>
      </w:r>
    </w:p>
    <w:p w14:paraId="7ED6818A" w14:textId="77777777" w:rsidR="00924664" w:rsidRPr="00167CB8" w:rsidRDefault="00924664" w:rsidP="00924664">
      <w:pPr>
        <w:rPr>
          <w:rFonts w:eastAsia="Times New Roman" w:cs="Times New Roman"/>
        </w:rPr>
      </w:pPr>
      <w:r w:rsidRPr="396ABCA7">
        <w:rPr>
          <w:rFonts w:eastAsia="Times New Roman" w:cs="Times New Roman"/>
        </w:rPr>
        <w:t>The Review Panel acknowledges there is limited data collected and reported on in relation to the mechanism used to commence bargaining, including who initiates bargaining under the provisions in s 173(2A) of the Fair Work Act.</w:t>
      </w:r>
      <w:r w:rsidRPr="396ABCA7">
        <w:t xml:space="preserve"> </w:t>
      </w:r>
      <w:r w:rsidRPr="396ABCA7">
        <w:rPr>
          <w:rFonts w:eastAsia="Times New Roman" w:cs="Times New Roman"/>
        </w:rPr>
        <w:t>The Review Panel recommends that information on the mechanism to commence bargaining in all matters should be collected in advance of a further review (see Recommendation 1).</w:t>
      </w:r>
    </w:p>
    <w:p w14:paraId="5FC0807D" w14:textId="169857F8" w:rsidR="0011475D" w:rsidRDefault="00924664" w:rsidP="00924664">
      <w:pPr>
        <w:spacing w:after="200"/>
        <w:rPr>
          <w:rFonts w:eastAsia="Times New Roman" w:cs="Times New Roman"/>
        </w:rPr>
      </w:pPr>
      <w:r w:rsidRPr="005A1ED6">
        <w:rPr>
          <w:rFonts w:eastAsia="Times New Roman" w:cs="Times New Roman"/>
        </w:rPr>
        <w:t xml:space="preserve">The Review Panel acknowledges union submissions that </w:t>
      </w:r>
      <w:r w:rsidR="00DB40E4">
        <w:rPr>
          <w:rFonts w:eastAsia="Times New Roman" w:cs="Times New Roman"/>
        </w:rPr>
        <w:t xml:space="preserve">the </w:t>
      </w:r>
      <w:r w:rsidRPr="005A1ED6">
        <w:rPr>
          <w:rFonts w:eastAsia="Times New Roman" w:cs="Times New Roman"/>
          <w:i/>
        </w:rPr>
        <w:t>Sephora</w:t>
      </w:r>
      <w:r w:rsidRPr="005A1ED6">
        <w:rPr>
          <w:rFonts w:eastAsia="Times New Roman" w:cs="Times New Roman"/>
        </w:rPr>
        <w:t xml:space="preserve"> case is an example of an employer’s avoidance of bargaining with a union rather than an employer’s lack of knowledge and that the proposed recommendation that the FWC public guidance to assist employers to understand their obligations after receiving a written request to bargain was unnecessary. However, the Panel’s analysis remains that</w:t>
      </w:r>
      <w:r>
        <w:rPr>
          <w:rFonts w:eastAsia="Times New Roman" w:cs="Times New Roman"/>
        </w:rPr>
        <w:t xml:space="preserve"> t</w:t>
      </w:r>
      <w:r w:rsidRPr="00167CB8">
        <w:rPr>
          <w:rFonts w:eastAsia="Times New Roman" w:cs="Times New Roman"/>
        </w:rPr>
        <w:t xml:space="preserve">he </w:t>
      </w:r>
      <w:r w:rsidRPr="00167CB8">
        <w:rPr>
          <w:rFonts w:eastAsia="Times New Roman" w:cs="Times New Roman"/>
          <w:i/>
        </w:rPr>
        <w:t xml:space="preserve">Sephora </w:t>
      </w:r>
      <w:r w:rsidRPr="00167CB8">
        <w:rPr>
          <w:rFonts w:eastAsia="Times New Roman" w:cs="Times New Roman"/>
        </w:rPr>
        <w:t>case highlights the lack of knowledge about the significance of the written request to bargain under s 173(2A) of the Fair Work Act. To improve the operation of the amendments, the Review Panel considers that further guidance</w:t>
      </w:r>
      <w:r>
        <w:rPr>
          <w:rFonts w:eastAsia="Times New Roman" w:cs="Times New Roman"/>
        </w:rPr>
        <w:t xml:space="preserve"> and education material</w:t>
      </w:r>
      <w:r w:rsidRPr="00167CB8">
        <w:rPr>
          <w:rFonts w:eastAsia="Times New Roman" w:cs="Times New Roman"/>
        </w:rPr>
        <w:t xml:space="preserve"> should be published to support</w:t>
      </w:r>
      <w:r>
        <w:rPr>
          <w:rFonts w:eastAsia="Times New Roman" w:cs="Times New Roman"/>
        </w:rPr>
        <w:t xml:space="preserve"> employers and bargaining representatives of employees </w:t>
      </w:r>
      <w:r w:rsidRPr="00167CB8">
        <w:rPr>
          <w:rFonts w:eastAsia="Times New Roman" w:cs="Times New Roman"/>
        </w:rPr>
        <w:t xml:space="preserve">to understand their obligations </w:t>
      </w:r>
      <w:r>
        <w:rPr>
          <w:rFonts w:eastAsia="Times New Roman" w:cs="Times New Roman"/>
        </w:rPr>
        <w:t>in relation to such requests</w:t>
      </w:r>
      <w:r w:rsidRPr="00167CB8">
        <w:rPr>
          <w:rFonts w:eastAsia="Times New Roman" w:cs="Times New Roman"/>
        </w:rPr>
        <w:t>.</w:t>
      </w:r>
    </w:p>
    <w:p w14:paraId="74E72C2D" w14:textId="77777777" w:rsidR="0011475D" w:rsidRDefault="00924664" w:rsidP="00924664">
      <w:pPr>
        <w:spacing w:after="200"/>
        <w:rPr>
          <w:rFonts w:eastAsia="Times New Roman" w:cs="Times New Roman"/>
        </w:rPr>
      </w:pPr>
      <w:r w:rsidRPr="005A1ED6">
        <w:rPr>
          <w:rFonts w:eastAsia="Times New Roman" w:cs="Times New Roman"/>
        </w:rPr>
        <w:t xml:space="preserve">The Review Panel acknowledge ACCI’s submission urging the Panel to consider the resources and capabilities of small to medium sized businesses, </w:t>
      </w:r>
      <w:r>
        <w:rPr>
          <w:rFonts w:eastAsia="Times New Roman" w:cs="Times New Roman"/>
        </w:rPr>
        <w:t>but</w:t>
      </w:r>
      <w:r w:rsidRPr="005A1ED6">
        <w:rPr>
          <w:rFonts w:eastAsia="Times New Roman" w:cs="Times New Roman"/>
        </w:rPr>
        <w:t xml:space="preserve"> the Panel</w:t>
      </w:r>
      <w:r w:rsidRPr="005A1ED6">
        <w:rPr>
          <w:rFonts w:eastAsia="Times New Roman" w:cs="Times New Roman"/>
          <w:b/>
        </w:rPr>
        <w:t xml:space="preserve"> </w:t>
      </w:r>
      <w:r w:rsidRPr="005A1ED6">
        <w:rPr>
          <w:rFonts w:eastAsia="Times New Roman" w:cs="Times New Roman"/>
        </w:rPr>
        <w:t>considers that guidance materials will be applicable to businesses of all sizes.</w:t>
      </w:r>
    </w:p>
    <w:p w14:paraId="245DB490" w14:textId="5363975B" w:rsidR="0011475D" w:rsidRDefault="00924664" w:rsidP="00924664">
      <w:pPr>
        <w:spacing w:after="200"/>
        <w:rPr>
          <w:rFonts w:eastAsia="Times New Roman" w:cs="Times New Roman"/>
        </w:rPr>
      </w:pPr>
      <w:r w:rsidRPr="005A1ED6">
        <w:rPr>
          <w:rFonts w:eastAsia="Times New Roman" w:cs="Times New Roman"/>
        </w:rPr>
        <w:lastRenderedPageBreak/>
        <w:t>The Review Panel notes union concerns about introducing a prescriptive template for bargaining representatives to make a written request to bargain</w:t>
      </w:r>
      <w:r w:rsidR="00DB40E4">
        <w:rPr>
          <w:rFonts w:eastAsia="Times New Roman" w:cs="Times New Roman"/>
        </w:rPr>
        <w:t>;</w:t>
      </w:r>
      <w:r w:rsidRPr="005A1ED6">
        <w:rPr>
          <w:rFonts w:eastAsia="Times New Roman" w:cs="Times New Roman"/>
        </w:rPr>
        <w:t xml:space="preserve"> however, the Panel notes that the template is not intended to be mandatory.</w:t>
      </w:r>
    </w:p>
    <w:p w14:paraId="18A727A1" w14:textId="441F5950" w:rsidR="0011475D" w:rsidRDefault="00924664" w:rsidP="00924664">
      <w:pPr>
        <w:spacing w:after="200"/>
        <w:rPr>
          <w:b/>
          <w:bCs/>
        </w:rPr>
      </w:pPr>
      <w:r w:rsidRPr="396ABCA7">
        <w:rPr>
          <w:b/>
          <w:bCs/>
        </w:rPr>
        <w:t>Recommendation 5: The</w:t>
      </w:r>
      <w:r w:rsidRPr="00D84647" w:rsidDel="00D84647">
        <w:rPr>
          <w:b/>
          <w:bCs/>
        </w:rPr>
        <w:t xml:space="preserve"> </w:t>
      </w:r>
      <w:r w:rsidR="00D84647">
        <w:rPr>
          <w:b/>
          <w:bCs/>
        </w:rPr>
        <w:t>Fair Work Commission</w:t>
      </w:r>
      <w:r w:rsidR="00D84647" w:rsidRPr="00D84647">
        <w:rPr>
          <w:b/>
          <w:bCs/>
        </w:rPr>
        <w:t xml:space="preserve"> </w:t>
      </w:r>
      <w:r w:rsidRPr="00D84647">
        <w:rPr>
          <w:b/>
          <w:bCs/>
        </w:rPr>
        <w:t>should publish</w:t>
      </w:r>
      <w:r w:rsidRPr="396ABCA7">
        <w:rPr>
          <w:b/>
          <w:bCs/>
        </w:rPr>
        <w:t xml:space="preserve"> guidance </w:t>
      </w:r>
      <w:r>
        <w:rPr>
          <w:b/>
          <w:bCs/>
        </w:rPr>
        <w:t>and education materials</w:t>
      </w:r>
      <w:r w:rsidRPr="396ABCA7">
        <w:rPr>
          <w:b/>
          <w:bCs/>
        </w:rPr>
        <w:t xml:space="preserve"> to assist </w:t>
      </w:r>
      <w:r>
        <w:rPr>
          <w:b/>
          <w:bCs/>
        </w:rPr>
        <w:t>employers and</w:t>
      </w:r>
      <w:r w:rsidRPr="396ABCA7">
        <w:rPr>
          <w:b/>
          <w:bCs/>
        </w:rPr>
        <w:t xml:space="preserve"> </w:t>
      </w:r>
      <w:r>
        <w:rPr>
          <w:b/>
          <w:bCs/>
        </w:rPr>
        <w:t xml:space="preserve">bargaining representatives of employees </w:t>
      </w:r>
      <w:r w:rsidRPr="396ABCA7">
        <w:rPr>
          <w:b/>
          <w:bCs/>
        </w:rPr>
        <w:t xml:space="preserve">to understand their obligations </w:t>
      </w:r>
      <w:r>
        <w:rPr>
          <w:b/>
          <w:bCs/>
        </w:rPr>
        <w:t xml:space="preserve">in relation to </w:t>
      </w:r>
      <w:r w:rsidRPr="396ABCA7">
        <w:rPr>
          <w:b/>
          <w:bCs/>
        </w:rPr>
        <w:t xml:space="preserve">a request to bargain under s 173(2A) of the </w:t>
      </w:r>
      <w:r w:rsidRPr="004F125E">
        <w:rPr>
          <w:b/>
          <w:i/>
        </w:rPr>
        <w:t>Fair Work Act</w:t>
      </w:r>
      <w:r w:rsidR="00D84647" w:rsidRPr="004F125E">
        <w:rPr>
          <w:b/>
          <w:i/>
        </w:rPr>
        <w:t xml:space="preserve"> 2009</w:t>
      </w:r>
      <w:r w:rsidR="00D84647">
        <w:rPr>
          <w:b/>
          <w:bCs/>
        </w:rPr>
        <w:t xml:space="preserve"> (Cth)</w:t>
      </w:r>
      <w:r w:rsidRPr="396ABCA7">
        <w:rPr>
          <w:b/>
          <w:bCs/>
        </w:rPr>
        <w:t>.</w:t>
      </w:r>
    </w:p>
    <w:p w14:paraId="6296506C" w14:textId="39E4C6B0" w:rsidR="00924664" w:rsidRPr="005A1ED6" w:rsidRDefault="00924664" w:rsidP="00924664">
      <w:pPr>
        <w:spacing w:after="160"/>
      </w:pPr>
      <w:r w:rsidRPr="005A1ED6">
        <w:t>The Review Panel considers that the guidance and education material should include a template written request for bargaining representatives. The template written request could outline, amongst other matters:</w:t>
      </w:r>
    </w:p>
    <w:p w14:paraId="3B9818C6" w14:textId="321CC5C4" w:rsidR="00924664" w:rsidRPr="005A1ED6" w:rsidRDefault="00924664" w:rsidP="008235AF">
      <w:pPr>
        <w:pStyle w:val="ListParagraph"/>
        <w:numPr>
          <w:ilvl w:val="0"/>
          <w:numId w:val="38"/>
        </w:numPr>
        <w:spacing w:line="278" w:lineRule="auto"/>
        <w:ind w:left="357" w:hanging="357"/>
        <w:rPr>
          <w:sz w:val="22"/>
          <w:szCs w:val="22"/>
        </w:rPr>
      </w:pPr>
      <w:r w:rsidRPr="005A1ED6">
        <w:rPr>
          <w:sz w:val="22"/>
          <w:szCs w:val="22"/>
        </w:rPr>
        <w:t xml:space="preserve">the requirement for employers to </w:t>
      </w:r>
      <w:r w:rsidRPr="00567E06">
        <w:rPr>
          <w:sz w:val="22"/>
          <w:szCs w:val="22"/>
        </w:rPr>
        <w:t>issue a NERR within 14 days of receiving the r</w:t>
      </w:r>
      <w:r w:rsidRPr="005A1ED6">
        <w:rPr>
          <w:sz w:val="22"/>
          <w:szCs w:val="22"/>
        </w:rPr>
        <w:t>equest</w:t>
      </w:r>
    </w:p>
    <w:p w14:paraId="4D5CDF57" w14:textId="0DA9BC3D" w:rsidR="0011475D" w:rsidRDefault="00924664" w:rsidP="008235AF">
      <w:pPr>
        <w:pStyle w:val="ListParagraph"/>
        <w:numPr>
          <w:ilvl w:val="0"/>
          <w:numId w:val="38"/>
        </w:numPr>
        <w:spacing w:line="278" w:lineRule="auto"/>
        <w:ind w:left="357" w:hanging="357"/>
        <w:rPr>
          <w:sz w:val="22"/>
          <w:szCs w:val="22"/>
        </w:rPr>
      </w:pPr>
      <w:r w:rsidRPr="005A1ED6">
        <w:rPr>
          <w:sz w:val="22"/>
          <w:szCs w:val="22"/>
        </w:rPr>
        <w:t>the requirement for employers to comply with the good faith bargaining requirements</w:t>
      </w:r>
    </w:p>
    <w:p w14:paraId="45D69C3B" w14:textId="5FA80F39" w:rsidR="00924664" w:rsidRPr="005A1ED6" w:rsidRDefault="00924664" w:rsidP="008235AF">
      <w:pPr>
        <w:pStyle w:val="ListParagraph"/>
        <w:numPr>
          <w:ilvl w:val="0"/>
          <w:numId w:val="38"/>
        </w:numPr>
        <w:spacing w:line="278" w:lineRule="auto"/>
        <w:ind w:left="357" w:hanging="357"/>
        <w:rPr>
          <w:sz w:val="22"/>
          <w:szCs w:val="22"/>
        </w:rPr>
      </w:pPr>
      <w:r w:rsidRPr="005A1ED6">
        <w:rPr>
          <w:sz w:val="22"/>
          <w:szCs w:val="22"/>
        </w:rPr>
        <w:t>details of known bargaining representatives.</w:t>
      </w:r>
    </w:p>
    <w:p w14:paraId="78EB2A6C" w14:textId="74C95188" w:rsidR="0011475D" w:rsidRDefault="00924664" w:rsidP="00924664">
      <w:pPr>
        <w:spacing w:after="160"/>
      </w:pPr>
      <w:r w:rsidRPr="005A1ED6">
        <w:t xml:space="preserve">It is not the Review Panel’s intention </w:t>
      </w:r>
      <w:r w:rsidRPr="005A1ED6" w:rsidDel="00355230">
        <w:t xml:space="preserve">that </w:t>
      </w:r>
      <w:r w:rsidRPr="005A1ED6">
        <w:t xml:space="preserve">it be mandatory for bargaining representatives of employees to use the template </w:t>
      </w:r>
      <w:r w:rsidRPr="005A1ED6" w:rsidDel="00B44F5B">
        <w:t xml:space="preserve">to </w:t>
      </w:r>
      <w:r w:rsidRPr="005A1ED6">
        <w:t>make a valid request to bargain under s</w:t>
      </w:r>
      <w:r w:rsidR="00355230">
        <w:t> </w:t>
      </w:r>
      <w:r w:rsidRPr="005A1ED6">
        <w:t xml:space="preserve">173(2A) of the </w:t>
      </w:r>
      <w:r w:rsidRPr="00567E06">
        <w:t>Fair Work Act.</w:t>
      </w:r>
      <w:r w:rsidRPr="005A1ED6">
        <w:t xml:space="preserve"> The aim of the guidance material is to provide a best</w:t>
      </w:r>
      <w:r w:rsidR="00567E06">
        <w:t>-</w:t>
      </w:r>
      <w:r w:rsidRPr="005A1ED6">
        <w:t>practice example to make a written request to bargain and to educate employers and bargaining representatives of employees to understand their obligations.</w:t>
      </w:r>
    </w:p>
    <w:p w14:paraId="52F40EBC" w14:textId="7EF0DA14" w:rsidR="00924664" w:rsidRDefault="00924664" w:rsidP="00924664">
      <w:pPr>
        <w:spacing w:after="160"/>
        <w:rPr>
          <w:rFonts w:eastAsiaTheme="majorEastAsia" w:cstheme="majorBidi"/>
          <w:b/>
          <w:color w:val="0D2C6C" w:themeColor="text1"/>
          <w:sz w:val="32"/>
          <w:szCs w:val="24"/>
        </w:rPr>
      </w:pPr>
      <w:bookmarkStart w:id="216" w:name="_Toc189260226"/>
      <w:bookmarkStart w:id="217" w:name="_Toc189393542"/>
      <w:r>
        <w:br w:type="page"/>
      </w:r>
    </w:p>
    <w:p w14:paraId="77E613F7" w14:textId="05250478" w:rsidR="00924664" w:rsidRPr="00846769" w:rsidRDefault="00924664" w:rsidP="00EC3517">
      <w:pPr>
        <w:pStyle w:val="Heading3"/>
      </w:pPr>
      <w:bookmarkStart w:id="218" w:name="_Toc194311417"/>
      <w:r w:rsidRPr="00846769">
        <w:lastRenderedPageBreak/>
        <w:t>Chapter 10. Cooperative workplaces</w:t>
      </w:r>
      <w:bookmarkEnd w:id="216"/>
      <w:bookmarkEnd w:id="217"/>
      <w:bookmarkEnd w:id="218"/>
    </w:p>
    <w:p w14:paraId="5098EA7C" w14:textId="68BE198B" w:rsidR="00924664" w:rsidRPr="00167CB8" w:rsidRDefault="00924664" w:rsidP="00924664">
      <w:pPr>
        <w:spacing w:after="200"/>
        <w:rPr>
          <w:rFonts w:eastAsia="Times New Roman" w:cs="Times New Roman"/>
        </w:rPr>
      </w:pPr>
      <w:r w:rsidRPr="396ABCA7">
        <w:rPr>
          <w:rFonts w:eastAsia="Times New Roman" w:cs="Times New Roman"/>
        </w:rPr>
        <w:t xml:space="preserve">Part 23 of Schedule 1 to the Secure Jobs, Better Pay Act concerns cooperative workplace agreements. This is therefore the first of </w:t>
      </w:r>
      <w:r>
        <w:rPr>
          <w:rFonts w:eastAsia="Times New Roman" w:cs="Times New Roman"/>
        </w:rPr>
        <w:t>three</w:t>
      </w:r>
      <w:r w:rsidRPr="396ABCA7">
        <w:rPr>
          <w:rFonts w:eastAsia="Times New Roman" w:cs="Times New Roman"/>
        </w:rPr>
        <w:t xml:space="preserve"> chapters about multi-employer bargaining. Cooperative workplace agreements are a form of voluntary multi-employer agreement.</w:t>
      </w:r>
      <w:r w:rsidRPr="396ABCA7">
        <w:rPr>
          <w:rFonts w:eastAsia="Times New Roman" w:cs="Times New Roman"/>
          <w:vertAlign w:val="superscript"/>
        </w:rPr>
        <w:footnoteReference w:id="373"/>
      </w:r>
      <w:r w:rsidRPr="396ABCA7">
        <w:rPr>
          <w:rFonts w:eastAsia="Times New Roman" w:cs="Times New Roman"/>
        </w:rPr>
        <w:t xml:space="preserve"> The Fair Work Act has always permitted voluntary multi-employer bargaining, although the amendments have renamed it the ‘cooperative workplace bargaining stream’ and slightly revised the conditions </w:t>
      </w:r>
      <w:r w:rsidRPr="00551B60">
        <w:rPr>
          <w:rFonts w:eastAsia="Times New Roman" w:cs="Times New Roman"/>
        </w:rPr>
        <w:t>under which they are made</w:t>
      </w:r>
      <w:r w:rsidRPr="396ABCA7">
        <w:rPr>
          <w:rFonts w:eastAsia="Times New Roman" w:cs="Times New Roman"/>
        </w:rPr>
        <w:t>. This section considers the changes to the cooperative workplace bargaining stream.</w:t>
      </w:r>
    </w:p>
    <w:p w14:paraId="60A071A5" w14:textId="77777777" w:rsidR="0011475D" w:rsidRPr="00846769" w:rsidRDefault="00924664" w:rsidP="00EC3517">
      <w:pPr>
        <w:pStyle w:val="Heading4"/>
      </w:pPr>
      <w:bookmarkStart w:id="219" w:name="_Toc189260227"/>
      <w:bookmarkStart w:id="220" w:name="_Toc189393543"/>
      <w:r w:rsidRPr="00846769">
        <w:t>10.1 Amendments and intent</w:t>
      </w:r>
      <w:bookmarkEnd w:id="219"/>
      <w:bookmarkEnd w:id="220"/>
    </w:p>
    <w:p w14:paraId="306FB7A2" w14:textId="77777777" w:rsidR="0011475D" w:rsidRDefault="00924664" w:rsidP="00924664">
      <w:pPr>
        <w:spacing w:after="200"/>
        <w:rPr>
          <w:rFonts w:eastAsia="Times New Roman" w:cs="Times New Roman"/>
        </w:rPr>
      </w:pPr>
      <w:r w:rsidRPr="396ABCA7">
        <w:rPr>
          <w:rFonts w:eastAsia="Times New Roman" w:cs="Times New Roman"/>
        </w:rPr>
        <w:t>Amendments to the cooperative workplace bargaining stream and the intent behind them are generally uncontroversial. The amendments largely replicate the existing voluntary multi-employer bargaining framework.</w:t>
      </w:r>
    </w:p>
    <w:p w14:paraId="122E12F2" w14:textId="0634BE28" w:rsidR="00924664" w:rsidRPr="00846769" w:rsidRDefault="00924664" w:rsidP="00EC3517">
      <w:pPr>
        <w:pStyle w:val="Heading5"/>
      </w:pPr>
      <w:r w:rsidRPr="00846769">
        <w:t>10.1.1 Secure Jobs, Better Pay amendments</w:t>
      </w:r>
    </w:p>
    <w:p w14:paraId="0C9988D0" w14:textId="77777777" w:rsidR="00924664" w:rsidRPr="00167CB8" w:rsidRDefault="00924664" w:rsidP="00924664">
      <w:pPr>
        <w:spacing w:after="200"/>
        <w:rPr>
          <w:rFonts w:eastAsia="Times New Roman" w:cs="Times New Roman"/>
        </w:rPr>
      </w:pPr>
      <w:r w:rsidRPr="396ABCA7">
        <w:rPr>
          <w:rFonts w:eastAsia="Times New Roman" w:cs="Times New Roman"/>
        </w:rPr>
        <w:t>This stream of multi-employer agreements is governed by various provisions of the Fair Work Act. Bargaining in the renamed cooperative workplace bargaining stream, like the previous multi-employer bargaining stream, is voluntary. The ‘compulsory’ aspects of the bargaining framework are generally not available during bargaining in this stream. Protected industrial action cannot be taken during the bargaining process in relation to a proposed cooperative workplace agreement.</w:t>
      </w:r>
      <w:r w:rsidRPr="396ABCA7">
        <w:rPr>
          <w:rFonts w:eastAsia="Times New Roman" w:cs="Times New Roman"/>
          <w:vertAlign w:val="superscript"/>
        </w:rPr>
        <w:footnoteReference w:id="374"/>
      </w:r>
      <w:r w:rsidRPr="396ABCA7">
        <w:rPr>
          <w:rFonts w:eastAsia="Times New Roman" w:cs="Times New Roman"/>
        </w:rPr>
        <w:t xml:space="preserve"> The Fair Work Commission (FWC) can assist parties to resolve bargaining disputes by conciliation and arbitration but only with the agreement of all bargaining representatives.</w:t>
      </w:r>
      <w:r w:rsidRPr="396ABCA7">
        <w:rPr>
          <w:rFonts w:eastAsia="Times New Roman" w:cs="Times New Roman"/>
          <w:vertAlign w:val="superscript"/>
        </w:rPr>
        <w:footnoteReference w:id="375"/>
      </w:r>
      <w:r w:rsidRPr="396ABCA7">
        <w:rPr>
          <w:rFonts w:eastAsia="Times New Roman" w:cs="Times New Roman"/>
        </w:rPr>
        <w:t xml:space="preserve"> Workplace determinations are not available in the cooperative workplace bargaining stream.</w:t>
      </w:r>
    </w:p>
    <w:p w14:paraId="79223E32" w14:textId="77777777" w:rsidR="00924664" w:rsidRPr="00167CB8" w:rsidRDefault="00924664" w:rsidP="00924664">
      <w:pPr>
        <w:spacing w:after="200"/>
        <w:rPr>
          <w:rFonts w:eastAsia="Times New Roman" w:cs="Times New Roman"/>
        </w:rPr>
      </w:pPr>
      <w:r w:rsidRPr="396ABCA7">
        <w:rPr>
          <w:rFonts w:eastAsia="Times New Roman" w:cs="Times New Roman"/>
        </w:rPr>
        <w:t>Unlike the previous voluntary multi-employer bargaining stream, the cooperative workplace bargaining stream requires involvement of an employee organisation. In determining whether to approve a cooperative workplace agreement the FWC:</w:t>
      </w:r>
      <w:r w:rsidRPr="396ABCA7">
        <w:rPr>
          <w:rStyle w:val="FootnoteReference"/>
          <w:rFonts w:cs="Calibri"/>
        </w:rPr>
        <w:footnoteReference w:id="376"/>
      </w:r>
    </w:p>
    <w:p w14:paraId="31B8EB91" w14:textId="77777777" w:rsidR="00924664" w:rsidRPr="00167CB8" w:rsidRDefault="00924664" w:rsidP="00D55A73">
      <w:pPr>
        <w:pStyle w:val="Quote"/>
      </w:pPr>
      <w:r w:rsidRPr="00167CB8">
        <w:t>(2A) … must be satisfied that at least some of the employees covered by the agreement were represented by an employee organisation in relation to bargaining for the agreement.</w:t>
      </w:r>
    </w:p>
    <w:p w14:paraId="1E31E6A1" w14:textId="77777777" w:rsidR="00924664" w:rsidRPr="00167CB8" w:rsidRDefault="00924664" w:rsidP="00924664">
      <w:pPr>
        <w:spacing w:after="200"/>
        <w:rPr>
          <w:rFonts w:eastAsia="Times New Roman" w:cs="Times New Roman"/>
        </w:rPr>
      </w:pPr>
      <w:r w:rsidRPr="396ABCA7">
        <w:rPr>
          <w:rFonts w:eastAsia="Times New Roman" w:cs="Times New Roman"/>
        </w:rPr>
        <w:t>These amendments commenced on 6 June 2023.</w:t>
      </w:r>
    </w:p>
    <w:p w14:paraId="7B6976DE" w14:textId="685A1B2C" w:rsidR="00924664" w:rsidRPr="00167CB8" w:rsidRDefault="00924664" w:rsidP="00924664">
      <w:pPr>
        <w:spacing w:after="200"/>
        <w:rPr>
          <w:rFonts w:eastAsia="Times New Roman" w:cs="Times New Roman"/>
        </w:rPr>
      </w:pPr>
      <w:r w:rsidRPr="00167CB8">
        <w:rPr>
          <w:rFonts w:eastAsia="Times New Roman" w:cs="Times New Roman"/>
        </w:rPr>
        <w:t>The Secure Jobs, Better Pay</w:t>
      </w:r>
      <w:r w:rsidRPr="00167CB8" w:rsidDel="00143387">
        <w:rPr>
          <w:rFonts w:eastAsia="Times New Roman" w:cs="Times New Roman"/>
        </w:rPr>
        <w:t xml:space="preserve"> </w:t>
      </w:r>
      <w:r w:rsidRPr="00167CB8">
        <w:rPr>
          <w:rFonts w:eastAsia="Times New Roman" w:cs="Times New Roman"/>
        </w:rPr>
        <w:t>amendments also inserted provisions that require employee organisations to consent to employers requesting employees vote on a proposed multi-employer agreement</w:t>
      </w:r>
      <w:r w:rsidRPr="00167CB8">
        <w:rPr>
          <w:rFonts w:eastAsia="Times New Roman" w:cs="Times New Roman"/>
          <w:vertAlign w:val="superscript"/>
        </w:rPr>
        <w:footnoteReference w:id="377"/>
      </w:r>
      <w:r w:rsidRPr="00167CB8">
        <w:rPr>
          <w:rFonts w:eastAsia="Times New Roman" w:cs="Times New Roman"/>
        </w:rPr>
        <w:t xml:space="preserve"> and provisions to vary an agreement to add or remove an employer and their employees. These amendments are discussed in Chapters </w:t>
      </w:r>
      <w:r w:rsidR="000E2D55" w:rsidRPr="00167CB8">
        <w:rPr>
          <w:rFonts w:eastAsia="Times New Roman" w:cs="Times New Roman"/>
        </w:rPr>
        <w:t>1</w:t>
      </w:r>
      <w:r w:rsidR="000E2D55">
        <w:rPr>
          <w:rFonts w:eastAsia="Times New Roman" w:cs="Times New Roman"/>
        </w:rPr>
        <w:t>1</w:t>
      </w:r>
      <w:r w:rsidRPr="00167CB8">
        <w:rPr>
          <w:rFonts w:eastAsia="Times New Roman" w:cs="Times New Roman"/>
        </w:rPr>
        <w:t xml:space="preserve"> and </w:t>
      </w:r>
      <w:r w:rsidR="000E2D55">
        <w:rPr>
          <w:rFonts w:eastAsia="Times New Roman" w:cs="Times New Roman"/>
        </w:rPr>
        <w:t>12</w:t>
      </w:r>
      <w:r w:rsidRPr="00167CB8">
        <w:rPr>
          <w:rFonts w:eastAsia="Times New Roman" w:cs="Times New Roman"/>
        </w:rPr>
        <w:t xml:space="preserve"> on multi-employer bargaining.</w:t>
      </w:r>
    </w:p>
    <w:p w14:paraId="18020E53" w14:textId="77777777" w:rsidR="00924664" w:rsidRPr="00846769" w:rsidRDefault="00924664" w:rsidP="00EC3517">
      <w:pPr>
        <w:pStyle w:val="Heading5"/>
      </w:pPr>
      <w:r w:rsidRPr="00846769">
        <w:lastRenderedPageBreak/>
        <w:t>10.1.2 Intent of Secure Jobs, Better Pay amendments</w:t>
      </w:r>
    </w:p>
    <w:p w14:paraId="04836EFF" w14:textId="77777777" w:rsidR="0011475D" w:rsidRDefault="00924664" w:rsidP="00924664">
      <w:pPr>
        <w:spacing w:after="200"/>
        <w:rPr>
          <w:rFonts w:eastAsia="Times New Roman" w:cs="Times New Roman"/>
        </w:rPr>
      </w:pPr>
      <w:r w:rsidRPr="396ABCA7">
        <w:rPr>
          <w:rFonts w:eastAsia="Times New Roman" w:cs="Times New Roman"/>
        </w:rPr>
        <w:t>The intent of these provisions was to enhance access to enterprise bargaining by providing an option for employees and employers to reach agreements and help overcome the difficulty that some smaller businesses can have in bargaining for a new agreement.</w:t>
      </w:r>
    </w:p>
    <w:p w14:paraId="7E8865DD" w14:textId="73062C9F" w:rsidR="00924664" w:rsidRPr="00167CB8" w:rsidRDefault="00924664" w:rsidP="00924664">
      <w:pPr>
        <w:spacing w:after="200"/>
        <w:rPr>
          <w:rFonts w:eastAsia="Times New Roman" w:cs="Times New Roman"/>
        </w:rPr>
      </w:pPr>
      <w:r w:rsidRPr="396ABCA7">
        <w:rPr>
          <w:rFonts w:eastAsia="Times New Roman" w:cs="Times New Roman"/>
        </w:rPr>
        <w:t>The then Minister for Employment and Workplace Relations, the Hon Tony Burke MP, stated in the second reading speech for the Secure Jobs, Better Pay Bill that</w:t>
      </w:r>
      <w:r w:rsidRPr="396ABCA7" w:rsidDel="00936B6D">
        <w:rPr>
          <w:rFonts w:eastAsia="Times New Roman" w:cs="Times New Roman"/>
        </w:rPr>
        <w:t xml:space="preserve"> </w:t>
      </w:r>
      <w:r w:rsidRPr="396ABCA7">
        <w:rPr>
          <w:rFonts w:eastAsia="Times New Roman" w:cs="Times New Roman"/>
        </w:rPr>
        <w:t>‘the cooperative bargaining stream reframes and retains the existing multi-employer stream in the Fair Work Act; and is open to all businesses’.</w:t>
      </w:r>
      <w:r w:rsidRPr="396ABCA7">
        <w:rPr>
          <w:rFonts w:eastAsia="Times New Roman" w:cs="Times New Roman"/>
          <w:vertAlign w:val="superscript"/>
        </w:rPr>
        <w:footnoteReference w:id="378"/>
      </w:r>
      <w:r w:rsidRPr="396ABCA7">
        <w:rPr>
          <w:rFonts w:eastAsia="Times New Roman" w:cs="Times New Roman"/>
        </w:rPr>
        <w:t xml:space="preserve"> The stream was expected to be ‘particularly attractive to small businesses’.</w:t>
      </w:r>
      <w:r w:rsidRPr="396ABCA7">
        <w:rPr>
          <w:rFonts w:eastAsia="Times New Roman" w:cs="Times New Roman"/>
          <w:vertAlign w:val="superscript"/>
        </w:rPr>
        <w:footnoteReference w:id="379"/>
      </w:r>
      <w:r w:rsidRPr="396ABCA7">
        <w:rPr>
          <w:rFonts w:eastAsia="Times New Roman" w:cs="Times New Roman"/>
        </w:rPr>
        <w:t xml:space="preserve"> The Minister also stated that ‘[i]t’s entirely voluntary’</w:t>
      </w:r>
      <w:r w:rsidR="00D00945">
        <w:rPr>
          <w:rFonts w:eastAsia="Times New Roman" w:cs="Times New Roman"/>
        </w:rPr>
        <w:t>,</w:t>
      </w:r>
      <w:r w:rsidRPr="396ABCA7">
        <w:rPr>
          <w:rFonts w:eastAsia="Times New Roman" w:cs="Times New Roman"/>
        </w:rPr>
        <w:t xml:space="preserve"> there is ‘no industrial arbitration in that stream’ and ‘[c]onciliation and arbitration are by consent’.</w:t>
      </w:r>
      <w:r w:rsidRPr="396ABCA7">
        <w:rPr>
          <w:rFonts w:eastAsia="Times New Roman" w:cs="Times New Roman"/>
          <w:vertAlign w:val="superscript"/>
        </w:rPr>
        <w:footnoteReference w:id="380"/>
      </w:r>
      <w:r w:rsidRPr="396ABCA7">
        <w:rPr>
          <w:rFonts w:eastAsia="Times New Roman" w:cs="Times New Roman"/>
        </w:rPr>
        <w:t xml:space="preserve"> He also stated that ‘[b]argaining assistance form the Commission can be accessed on the request of the parties’.</w:t>
      </w:r>
      <w:r w:rsidRPr="396ABCA7">
        <w:rPr>
          <w:rFonts w:eastAsia="Times New Roman" w:cs="Times New Roman"/>
          <w:vertAlign w:val="superscript"/>
        </w:rPr>
        <w:footnoteReference w:id="381"/>
      </w:r>
    </w:p>
    <w:p w14:paraId="51B8CC31" w14:textId="77777777" w:rsidR="00924664" w:rsidRPr="00E35795" w:rsidRDefault="00924664" w:rsidP="00EC3517">
      <w:pPr>
        <w:pStyle w:val="Heading4"/>
      </w:pPr>
      <w:bookmarkStart w:id="221" w:name="_Toc189260228"/>
      <w:bookmarkStart w:id="222" w:name="_Toc189393544"/>
      <w:r w:rsidRPr="00E35795">
        <w:t>10.2 Impact and issues</w:t>
      </w:r>
      <w:bookmarkEnd w:id="221"/>
      <w:bookmarkEnd w:id="222"/>
    </w:p>
    <w:p w14:paraId="397E45D9" w14:textId="77777777" w:rsidR="00924664" w:rsidRPr="00167CB8" w:rsidRDefault="00924664" w:rsidP="00924664">
      <w:pPr>
        <w:spacing w:after="200"/>
        <w:rPr>
          <w:rFonts w:eastAsia="Times New Roman" w:cs="Times New Roman"/>
        </w:rPr>
      </w:pPr>
      <w:r w:rsidRPr="00167CB8">
        <w:rPr>
          <w:rFonts w:eastAsia="Times New Roman" w:cs="Times New Roman"/>
        </w:rPr>
        <w:t xml:space="preserve">This section will consider the effect of the amendments since commencement. In addition to analysis of bargaining trends and </w:t>
      </w:r>
      <w:r w:rsidRPr="001C0D33">
        <w:rPr>
          <w:rFonts w:eastAsia="Times New Roman" w:cs="Times New Roman"/>
        </w:rPr>
        <w:t>outcomes in Chapter 8 of this report, the effectiveness or otherwise of these amendments can be assessed through a consideration</w:t>
      </w:r>
      <w:r w:rsidRPr="00167CB8">
        <w:rPr>
          <w:rFonts w:eastAsia="Times New Roman" w:cs="Times New Roman"/>
        </w:rPr>
        <w:t xml:space="preserve"> of the use and coverage of cooperative workplace agreements, decisions of courts and tribunals</w:t>
      </w:r>
      <w:r>
        <w:rPr>
          <w:rFonts w:eastAsia="Times New Roman" w:cs="Times New Roman"/>
        </w:rPr>
        <w:t>,</w:t>
      </w:r>
      <w:r w:rsidRPr="00167CB8">
        <w:rPr>
          <w:rFonts w:eastAsia="Times New Roman" w:cs="Times New Roman"/>
        </w:rPr>
        <w:t xml:space="preserve"> and the views of stakeholders.</w:t>
      </w:r>
    </w:p>
    <w:p w14:paraId="3C4A6BB3" w14:textId="77777777" w:rsidR="00924664" w:rsidRPr="00E35795" w:rsidRDefault="00924664" w:rsidP="00EC3517">
      <w:pPr>
        <w:pStyle w:val="Heading5"/>
      </w:pPr>
      <w:r w:rsidRPr="00E35795">
        <w:t>10.2.1 Quantitative evidence</w:t>
      </w:r>
    </w:p>
    <w:p w14:paraId="2EAE217D" w14:textId="77777777" w:rsidR="0011475D" w:rsidRDefault="00924664" w:rsidP="00924664">
      <w:pPr>
        <w:spacing w:after="200"/>
        <w:rPr>
          <w:rFonts w:eastAsia="Times New Roman" w:cs="Times New Roman"/>
        </w:rPr>
      </w:pPr>
      <w:r w:rsidRPr="396ABCA7">
        <w:rPr>
          <w:rFonts w:eastAsia="Times New Roman" w:cs="Times New Roman"/>
        </w:rPr>
        <w:t>Between 6 June 2023 and 30 September 2024, the FWC approved 28 multi-employer agreements.</w:t>
      </w:r>
      <w:r w:rsidRPr="396ABCA7">
        <w:rPr>
          <w:rFonts w:eastAsia="Times New Roman" w:cs="Times New Roman"/>
          <w:vertAlign w:val="superscript"/>
        </w:rPr>
        <w:footnoteReference w:id="382"/>
      </w:r>
      <w:r w:rsidRPr="396ABCA7">
        <w:rPr>
          <w:rFonts w:eastAsia="Times New Roman" w:cs="Times New Roman"/>
        </w:rPr>
        <w:t xml:space="preserve"> These multi-employer agreements covered approximately 84,771 employees.</w:t>
      </w:r>
      <w:r w:rsidRPr="396ABCA7">
        <w:rPr>
          <w:rFonts w:eastAsia="Times New Roman" w:cs="Times New Roman"/>
          <w:vertAlign w:val="superscript"/>
        </w:rPr>
        <w:footnoteReference w:id="383"/>
      </w:r>
      <w:r w:rsidRPr="396ABCA7">
        <w:rPr>
          <w:rFonts w:eastAsia="Times New Roman" w:cs="Times New Roman"/>
        </w:rPr>
        <w:t xml:space="preserve"> It was noted, however, that some of these multi-employer agreements would have been made prior to 6 June 2023 and therefore were approved under the previous multi-employer provisions in the Fair Work Act.</w:t>
      </w:r>
    </w:p>
    <w:p w14:paraId="79784AB6" w14:textId="4145D2A0" w:rsidR="00924664" w:rsidRPr="00167CB8" w:rsidRDefault="00924664" w:rsidP="00924664">
      <w:pPr>
        <w:spacing w:after="200"/>
        <w:rPr>
          <w:rFonts w:eastAsia="Times New Roman" w:cs="Times New Roman"/>
        </w:rPr>
      </w:pPr>
      <w:r w:rsidRPr="00167CB8">
        <w:rPr>
          <w:rFonts w:eastAsia="Times New Roman" w:cs="Times New Roman"/>
        </w:rPr>
        <w:t>The Review Panel notes that there is limited data available in relation to the ‘type’ of multi-employer agreement (i.e. cooperative workplace agreement, supported bargaining agreement and single-interest employer agreement) and makes a recommendation below that this information is captured and reported on.</w:t>
      </w:r>
    </w:p>
    <w:p w14:paraId="16D72F37" w14:textId="77777777" w:rsidR="00924664" w:rsidRPr="00E35795" w:rsidRDefault="00924664" w:rsidP="00EC3517">
      <w:pPr>
        <w:pStyle w:val="Heading5"/>
      </w:pPr>
      <w:r w:rsidRPr="00E35795">
        <w:lastRenderedPageBreak/>
        <w:t>10.2.2 Qualitative evidence</w:t>
      </w:r>
    </w:p>
    <w:p w14:paraId="583B17A3" w14:textId="43D7498D" w:rsidR="00924664" w:rsidRPr="00167CB8" w:rsidRDefault="00924664" w:rsidP="00924664">
      <w:pPr>
        <w:spacing w:after="200"/>
        <w:rPr>
          <w:rFonts w:eastAsia="Times New Roman" w:cs="Times New Roman"/>
        </w:rPr>
      </w:pPr>
      <w:r w:rsidRPr="396ABCA7">
        <w:rPr>
          <w:rFonts w:eastAsia="Times New Roman" w:cs="Times New Roman"/>
        </w:rPr>
        <w:t xml:space="preserve">As at </w:t>
      </w:r>
      <w:r>
        <w:rPr>
          <w:rFonts w:eastAsia="Times New Roman" w:cs="Times New Roman"/>
        </w:rPr>
        <w:t>21 February</w:t>
      </w:r>
      <w:r w:rsidRPr="396ABCA7">
        <w:rPr>
          <w:rFonts w:eastAsia="Times New Roman" w:cs="Times New Roman"/>
        </w:rPr>
        <w:t xml:space="preserve"> 2025 the Review Panel is aware of only </w:t>
      </w:r>
      <w:r>
        <w:rPr>
          <w:rFonts w:eastAsia="Times New Roman" w:cs="Times New Roman"/>
        </w:rPr>
        <w:t>three</w:t>
      </w:r>
      <w:r w:rsidRPr="396ABCA7">
        <w:rPr>
          <w:rFonts w:eastAsia="Times New Roman" w:cs="Times New Roman"/>
        </w:rPr>
        <w:t xml:space="preserve"> applications to approve a variation of a cooperative workplace agreement (made under s 216CA of the Fair Work Act).</w:t>
      </w:r>
      <w:r w:rsidRPr="396ABCA7">
        <w:rPr>
          <w:rFonts w:eastAsia="Times New Roman" w:cs="Times New Roman"/>
          <w:vertAlign w:val="superscript"/>
        </w:rPr>
        <w:footnoteReference w:id="384"/>
      </w:r>
      <w:r w:rsidRPr="396ABCA7">
        <w:rPr>
          <w:rFonts w:eastAsia="Times New Roman" w:cs="Times New Roman"/>
        </w:rPr>
        <w:t xml:space="preserve"> Each of the variations was approved by the FWC.</w:t>
      </w:r>
    </w:p>
    <w:p w14:paraId="75DFDFAA" w14:textId="7C631A45" w:rsidR="0011475D" w:rsidRDefault="00924664" w:rsidP="00924664">
      <w:pPr>
        <w:spacing w:after="200"/>
        <w:rPr>
          <w:rFonts w:eastAsia="Times New Roman" w:cs="Times New Roman"/>
        </w:rPr>
      </w:pPr>
      <w:r w:rsidRPr="00167CB8">
        <w:rPr>
          <w:rFonts w:eastAsia="Times New Roman" w:cs="Times New Roman"/>
        </w:rPr>
        <w:t>The first</w:t>
      </w:r>
      <w:r>
        <w:rPr>
          <w:rFonts w:eastAsia="Times New Roman" w:cs="Times New Roman"/>
        </w:rPr>
        <w:t xml:space="preserve"> two</w:t>
      </w:r>
      <w:r w:rsidRPr="00167CB8">
        <w:rPr>
          <w:rFonts w:eastAsia="Times New Roman" w:cs="Times New Roman"/>
        </w:rPr>
        <w:t xml:space="preserve"> cases are </w:t>
      </w:r>
      <w:r w:rsidRPr="00167CB8">
        <w:rPr>
          <w:rFonts w:eastAsia="Times New Roman" w:cs="Times New Roman"/>
          <w:i/>
          <w:iCs/>
        </w:rPr>
        <w:t xml:space="preserve">Application by Inner West Community Enterprises Limited </w:t>
      </w:r>
      <w:r w:rsidRPr="00E35795" w:rsidDel="00551B60">
        <w:rPr>
          <w:rFonts w:eastAsia="Times New Roman" w:cs="Times New Roman"/>
          <w:i/>
        </w:rPr>
        <w:t>T/A</w:t>
      </w:r>
      <w:r w:rsidRPr="00167CB8">
        <w:rPr>
          <w:rFonts w:eastAsia="Times New Roman" w:cs="Times New Roman"/>
          <w:i/>
          <w:iCs/>
        </w:rPr>
        <w:t xml:space="preserve"> Seddon Community Bank (Seddon Community Bank)</w:t>
      </w:r>
      <w:r w:rsidRPr="00167CB8">
        <w:rPr>
          <w:rStyle w:val="FootnoteReference"/>
          <w:rFonts w:eastAsia="Times New Roman" w:cs="Times New Roman"/>
        </w:rPr>
        <w:footnoteReference w:id="385"/>
      </w:r>
      <w:r w:rsidRPr="00167CB8">
        <w:rPr>
          <w:rFonts w:eastAsia="Times New Roman" w:cs="Times New Roman"/>
        </w:rPr>
        <w:t xml:space="preserve"> and </w:t>
      </w:r>
      <w:r w:rsidRPr="00167CB8">
        <w:rPr>
          <w:rFonts w:eastAsia="Times New Roman" w:cs="Times New Roman"/>
          <w:i/>
          <w:iCs/>
        </w:rPr>
        <w:t>Application by Break O</w:t>
      </w:r>
      <w:r w:rsidR="00D00945">
        <w:rPr>
          <w:rFonts w:eastAsia="Times New Roman" w:cs="Times New Roman"/>
          <w:i/>
          <w:iCs/>
        </w:rPr>
        <w:t>’</w:t>
      </w:r>
      <w:r w:rsidRPr="00167CB8">
        <w:rPr>
          <w:rFonts w:eastAsia="Times New Roman" w:cs="Times New Roman"/>
          <w:i/>
          <w:iCs/>
        </w:rPr>
        <w:t>Day Community Financial Services Ltd &amp; Cardwell &amp; District Community Enterprises Limited and Others</w:t>
      </w:r>
      <w:r w:rsidRPr="00167CB8">
        <w:rPr>
          <w:rFonts w:eastAsia="Times New Roman" w:cs="Times New Roman"/>
        </w:rPr>
        <w:fldChar w:fldCharType="begin"/>
      </w:r>
      <w:r w:rsidRPr="00167CB8">
        <w:rPr>
          <w:rFonts w:eastAsia="Times New Roman" w:cs="Times New Roman"/>
        </w:rPr>
        <w:fldChar w:fldCharType="separate"/>
      </w:r>
      <w:r w:rsidRPr="00167CB8">
        <w:rPr>
          <w:rFonts w:eastAsia="Times New Roman" w:cs="Times New Roman"/>
        </w:rPr>
        <w:t>[2024] FWCA 3687</w:t>
      </w:r>
      <w:r w:rsidRPr="00167CB8">
        <w:rPr>
          <w:rFonts w:eastAsia="Times New Roman" w:cs="Times New Roman"/>
        </w:rPr>
        <w:fldChar w:fldCharType="end"/>
      </w:r>
      <w:r w:rsidRPr="00167CB8">
        <w:rPr>
          <w:rFonts w:eastAsia="Times New Roman" w:cs="Times New Roman"/>
        </w:rPr>
        <w:t>.</w:t>
      </w:r>
      <w:r w:rsidRPr="00167CB8">
        <w:rPr>
          <w:rStyle w:val="FootnoteReference"/>
          <w:rFonts w:eastAsia="Times New Roman" w:cs="Times New Roman"/>
        </w:rPr>
        <w:footnoteReference w:id="386"/>
      </w:r>
      <w:r w:rsidRPr="00167CB8">
        <w:rPr>
          <w:rFonts w:eastAsia="Times New Roman" w:cs="Times New Roman"/>
        </w:rPr>
        <w:t xml:space="preserve"> These cases relate to the FWC’s approval of the variation, under ss 216C and 216CA of the Fair Work Act, of the </w:t>
      </w:r>
      <w:r w:rsidRPr="00905165">
        <w:rPr>
          <w:rFonts w:eastAsia="Times New Roman" w:cs="Times New Roman"/>
          <w:i/>
        </w:rPr>
        <w:t>Bendigo Community Bank Cooperative Workplace Agreement 2023</w:t>
      </w:r>
      <w:r w:rsidRPr="00905165">
        <w:rPr>
          <w:rFonts w:ascii="Symbol" w:eastAsia="Symbol" w:hAnsi="Symbol" w:cs="Symbol"/>
          <w:i/>
        </w:rPr>
        <w:t>-</w:t>
      </w:r>
      <w:r w:rsidRPr="00905165">
        <w:rPr>
          <w:rFonts w:eastAsia="Times New Roman" w:cs="Times New Roman"/>
          <w:i/>
        </w:rPr>
        <w:t>2026</w:t>
      </w:r>
      <w:r w:rsidRPr="00167CB8">
        <w:rPr>
          <w:rFonts w:eastAsia="Times New Roman" w:cs="Times New Roman"/>
        </w:rPr>
        <w:t xml:space="preserve"> (Bendigo Community Bank Agreement) to add Inner West Community Enterprises Limited and 16 other employers and their relevant employees to the agreement.</w:t>
      </w:r>
      <w:r w:rsidRPr="00167CB8">
        <w:rPr>
          <w:rFonts w:eastAsia="Times New Roman" w:cs="Times New Roman"/>
          <w:vertAlign w:val="superscript"/>
        </w:rPr>
        <w:footnoteReference w:id="387"/>
      </w:r>
      <w:r w:rsidRPr="00167CB8">
        <w:rPr>
          <w:rFonts w:eastAsia="Times New Roman" w:cs="Times New Roman"/>
        </w:rPr>
        <w:t xml:space="preserve"> The FWC was satisfied that the relevant employers took all reasonable steps to explain the varied terms of the agreement to the affected employees as required under s 216CAA of the Fair Work Act. The FWC found that the matters in s 216CB of the Fair Work Act were all satisfied, as each employer had an opportunity to express their views on the variation,</w:t>
      </w:r>
      <w:r w:rsidRPr="00167CB8">
        <w:rPr>
          <w:rFonts w:eastAsia="Times New Roman" w:cs="Times New Roman"/>
          <w:vertAlign w:val="superscript"/>
        </w:rPr>
        <w:footnoteReference w:id="388"/>
      </w:r>
      <w:r w:rsidRPr="00167CB8">
        <w:rPr>
          <w:rFonts w:eastAsia="Times New Roman" w:cs="Times New Roman"/>
        </w:rPr>
        <w:t xml:space="preserve"> the majority of relevant affected employees voted to vary the Bendigo Community Bank Agreement,</w:t>
      </w:r>
      <w:r w:rsidRPr="00167CB8">
        <w:rPr>
          <w:rFonts w:eastAsia="Times New Roman" w:cs="Times New Roman"/>
          <w:vertAlign w:val="superscript"/>
        </w:rPr>
        <w:footnoteReference w:id="389"/>
      </w:r>
      <w:r w:rsidRPr="00167CB8">
        <w:rPr>
          <w:rFonts w:eastAsia="Times New Roman" w:cs="Times New Roman"/>
        </w:rPr>
        <w:t xml:space="preserve"> and it was a genuinely agreed and in the public interest to approve the variation.</w:t>
      </w:r>
      <w:r w:rsidRPr="00167CB8">
        <w:rPr>
          <w:rFonts w:eastAsia="Times New Roman" w:cs="Times New Roman"/>
          <w:vertAlign w:val="superscript"/>
        </w:rPr>
        <w:footnoteReference w:id="390"/>
      </w:r>
    </w:p>
    <w:p w14:paraId="112A51C0" w14:textId="0129CA56" w:rsidR="00924664" w:rsidRPr="00167CB8" w:rsidRDefault="00924664" w:rsidP="00924664">
      <w:pPr>
        <w:spacing w:after="200"/>
        <w:rPr>
          <w:rFonts w:eastAsia="Times New Roman" w:cs="Times New Roman"/>
        </w:rPr>
      </w:pPr>
      <w:r w:rsidRPr="396ABCA7">
        <w:rPr>
          <w:rFonts w:eastAsia="Times New Roman" w:cs="Times New Roman"/>
        </w:rPr>
        <w:t>A</w:t>
      </w:r>
      <w:r>
        <w:rPr>
          <w:rFonts w:eastAsia="Times New Roman" w:cs="Times New Roman"/>
        </w:rPr>
        <w:t xml:space="preserve"> third</w:t>
      </w:r>
      <w:r w:rsidRPr="396ABCA7">
        <w:rPr>
          <w:rFonts w:eastAsia="Times New Roman" w:cs="Times New Roman"/>
        </w:rPr>
        <w:t xml:space="preserve"> case that the FWC approved to vary an enterprise agreement was in </w:t>
      </w:r>
      <w:r w:rsidRPr="396ABCA7">
        <w:rPr>
          <w:rFonts w:eastAsia="Times New Roman" w:cs="Times New Roman"/>
          <w:i/>
          <w:iCs/>
        </w:rPr>
        <w:t xml:space="preserve">Application by Our Lady Of Sion College Ltd </w:t>
      </w:r>
      <w:r w:rsidRPr="00905165" w:rsidDel="00551B60">
        <w:rPr>
          <w:rFonts w:eastAsia="Times New Roman" w:cs="Times New Roman"/>
          <w:i/>
        </w:rPr>
        <w:t>T/A</w:t>
      </w:r>
      <w:r w:rsidRPr="396ABCA7">
        <w:rPr>
          <w:rFonts w:eastAsia="Times New Roman" w:cs="Times New Roman"/>
          <w:i/>
          <w:iCs/>
        </w:rPr>
        <w:t xml:space="preserve"> Our Lady Of Sion College</w:t>
      </w:r>
      <w:r w:rsidRPr="396ABCA7">
        <w:rPr>
          <w:rFonts w:eastAsia="Times New Roman" w:cs="Times New Roman"/>
        </w:rPr>
        <w:t>.</w:t>
      </w:r>
      <w:r w:rsidRPr="396ABCA7">
        <w:rPr>
          <w:rStyle w:val="FootnoteReference"/>
          <w:rFonts w:eastAsia="Times New Roman" w:cs="Times New Roman"/>
        </w:rPr>
        <w:footnoteReference w:id="391"/>
      </w:r>
      <w:r w:rsidRPr="396ABCA7">
        <w:rPr>
          <w:rFonts w:eastAsia="Times New Roman" w:cs="Times New Roman"/>
        </w:rPr>
        <w:t xml:space="preserve"> On 9 May 2024 the FWC approved the variation of the </w:t>
      </w:r>
      <w:r w:rsidRPr="00443431">
        <w:rPr>
          <w:rFonts w:eastAsia="Times New Roman" w:cs="Times New Roman"/>
          <w:i/>
        </w:rPr>
        <w:t>Catholic Education Multi-Enterprise Agreement 2022: Diocese of Ballarat, Diocese of Sandhurst, Archdiocese of Melbourne and Lavalla Catholic College, Traralgon</w:t>
      </w:r>
      <w:r w:rsidRPr="396ABCA7">
        <w:rPr>
          <w:rFonts w:eastAsia="Times New Roman" w:cs="Times New Roman"/>
        </w:rPr>
        <w:t xml:space="preserve"> to add Our Lady of Sion College and its relevant employees to the multi-employer agreement. The FWC found that the requirements under ss 216C, 216CA, 216CAA and 2166AB of the Fair Work Act were met. The relevant parties to this agreement provided the FWC information confirming that there was no supported bargaining authorisation or single-interest employer authorisation in place</w:t>
      </w:r>
      <w:r w:rsidRPr="396ABCA7">
        <w:rPr>
          <w:rFonts w:eastAsia="Times New Roman" w:cs="Times New Roman"/>
          <w:vertAlign w:val="superscript"/>
        </w:rPr>
        <w:footnoteReference w:id="392"/>
      </w:r>
      <w:r w:rsidRPr="396ABCA7">
        <w:rPr>
          <w:rFonts w:eastAsia="Times New Roman" w:cs="Times New Roman"/>
          <w:vertAlign w:val="superscript"/>
        </w:rPr>
        <w:t> </w:t>
      </w:r>
      <w:r w:rsidRPr="396ABCA7">
        <w:rPr>
          <w:rFonts w:eastAsia="Times New Roman" w:cs="Times New Roman"/>
        </w:rPr>
        <w:t>and they had the opportunity to express their views.</w:t>
      </w:r>
      <w:r w:rsidRPr="396ABCA7">
        <w:rPr>
          <w:rFonts w:eastAsia="Times New Roman" w:cs="Times New Roman"/>
          <w:vertAlign w:val="superscript"/>
        </w:rPr>
        <w:footnoteReference w:id="393"/>
      </w:r>
    </w:p>
    <w:p w14:paraId="1F8EEDDF" w14:textId="77777777" w:rsidR="00924664" w:rsidRPr="00573B8B" w:rsidRDefault="00924664" w:rsidP="00EC3517">
      <w:pPr>
        <w:pStyle w:val="Heading5"/>
      </w:pPr>
      <w:r w:rsidRPr="00573B8B">
        <w:lastRenderedPageBreak/>
        <w:t>10.2.3 Stakeholder views</w:t>
      </w:r>
    </w:p>
    <w:p w14:paraId="4948438D" w14:textId="77777777" w:rsidR="00924664" w:rsidRPr="00167CB8" w:rsidRDefault="00924664" w:rsidP="00924664">
      <w:pPr>
        <w:spacing w:after="200"/>
        <w:rPr>
          <w:rFonts w:eastAsia="Times New Roman" w:cs="Times New Roman"/>
        </w:rPr>
      </w:pPr>
      <w:r w:rsidRPr="00167CB8">
        <w:rPr>
          <w:rFonts w:eastAsia="Times New Roman" w:cs="Times New Roman"/>
        </w:rPr>
        <w:t>Stakeholders had limited views in relation to cooperative workplace agreements reflecting its less contentious status. To the extent that stakeholders expressed opinions on their operation, as opposed to noting what the amendments did, they are discussed below.</w:t>
      </w:r>
    </w:p>
    <w:p w14:paraId="6470B0C4" w14:textId="77777777" w:rsidR="0011475D" w:rsidRDefault="00924664" w:rsidP="00924664">
      <w:pPr>
        <w:spacing w:after="200"/>
        <w:rPr>
          <w:rFonts w:eastAsia="Times New Roman" w:cs="Times New Roman"/>
        </w:rPr>
      </w:pPr>
      <w:r w:rsidRPr="396ABCA7">
        <w:rPr>
          <w:rFonts w:eastAsia="Times New Roman" w:cs="Times New Roman"/>
        </w:rPr>
        <w:t>The United Workers Union (UWU) was supportive of the cooperative workplace bargaining stream but proposed that amendments should be made to ensure workers are able to take protected industrial action in this stream. They submit that this is consistent with Australia’s international obligations.</w:t>
      </w:r>
      <w:r w:rsidRPr="396ABCA7">
        <w:rPr>
          <w:rFonts w:eastAsia="Times New Roman" w:cs="Times New Roman"/>
          <w:vertAlign w:val="superscript"/>
        </w:rPr>
        <w:footnoteReference w:id="394"/>
      </w:r>
    </w:p>
    <w:p w14:paraId="620AFF6A" w14:textId="289482F5" w:rsidR="00924664" w:rsidRPr="00167CB8" w:rsidRDefault="00924664" w:rsidP="00924664">
      <w:pPr>
        <w:spacing w:after="200"/>
        <w:rPr>
          <w:rFonts w:eastAsia="Times New Roman" w:cs="Times New Roman"/>
        </w:rPr>
      </w:pPr>
      <w:r w:rsidRPr="00167CB8">
        <w:rPr>
          <w:rFonts w:eastAsia="Times New Roman" w:cs="Times New Roman"/>
        </w:rPr>
        <w:t>The Australian Council of Trade Unions (ACTU) and UWU submitted that consideration should be given to permitting some level of FWC support to continuing cooperative bargaining processes, including through amendments to the Fair Work Act to permit a bargaining representative, without agreement of all bargaining representatives, to refer bargaining disputes to the FWC for assistance and making bargaining orders available.</w:t>
      </w:r>
      <w:r w:rsidRPr="00167CB8">
        <w:rPr>
          <w:rFonts w:eastAsia="Times New Roman" w:cs="Times New Roman"/>
          <w:vertAlign w:val="superscript"/>
        </w:rPr>
        <w:footnoteReference w:id="395"/>
      </w:r>
    </w:p>
    <w:p w14:paraId="5AF569D6" w14:textId="77777777" w:rsidR="00924664" w:rsidRPr="00167CB8" w:rsidRDefault="00924664" w:rsidP="00924664">
      <w:pPr>
        <w:spacing w:after="200"/>
        <w:rPr>
          <w:rFonts w:eastAsia="Times New Roman" w:cs="Times New Roman"/>
        </w:rPr>
      </w:pPr>
      <w:r w:rsidRPr="396ABCA7">
        <w:rPr>
          <w:rFonts w:eastAsia="Times New Roman" w:cs="Times New Roman"/>
        </w:rPr>
        <w:t>The ACTU also submitted that the drafting of the variation process and requirements for multi-employer agreements is complex and should be rectified. It is proposed that the provisions be redrafted to clearly state the requirements to be met to successfully vary agreements.</w:t>
      </w:r>
      <w:r w:rsidRPr="396ABCA7">
        <w:rPr>
          <w:rFonts w:eastAsia="Times New Roman" w:cs="Times New Roman"/>
          <w:vertAlign w:val="superscript"/>
        </w:rPr>
        <w:footnoteReference w:id="396"/>
      </w:r>
    </w:p>
    <w:p w14:paraId="1F955685" w14:textId="77777777" w:rsidR="0011475D" w:rsidRDefault="00924664" w:rsidP="00924664">
      <w:pPr>
        <w:spacing w:after="200"/>
        <w:rPr>
          <w:rFonts w:eastAsia="Times New Roman" w:cs="Times New Roman"/>
        </w:rPr>
      </w:pPr>
      <w:r w:rsidRPr="396ABCA7">
        <w:rPr>
          <w:rFonts w:eastAsia="Times New Roman" w:cs="Times New Roman"/>
        </w:rPr>
        <w:t>Generally, employer groups noted there has been limited uptake of bargaining under the cooperative workplace stream. Ai Group noted, ‘[t]o date, there appears to have been little interest amongst employers, unions and employees in cooperative workplace agreements, outside of the banking and finance industry’.</w:t>
      </w:r>
      <w:r w:rsidRPr="396ABCA7">
        <w:rPr>
          <w:rFonts w:eastAsia="Times New Roman" w:cs="Times New Roman"/>
          <w:vertAlign w:val="superscript"/>
        </w:rPr>
        <w:footnoteReference w:id="397"/>
      </w:r>
      <w:r w:rsidRPr="396ABCA7">
        <w:rPr>
          <w:rFonts w:eastAsia="Times New Roman" w:cs="Times New Roman"/>
        </w:rPr>
        <w:t xml:space="preserve"> The Australian Retailers Association noted the ‘demand does not exist’ for the cooperative bargaining stream within the retail sector, ‘at least not as of yet’.</w:t>
      </w:r>
      <w:r w:rsidRPr="396ABCA7">
        <w:rPr>
          <w:rFonts w:eastAsia="Times New Roman" w:cs="Times New Roman"/>
          <w:vertAlign w:val="superscript"/>
        </w:rPr>
        <w:footnoteReference w:id="398"/>
      </w:r>
    </w:p>
    <w:p w14:paraId="16CA0773" w14:textId="523A3F25" w:rsidR="00924664" w:rsidRDefault="00924664" w:rsidP="00924664">
      <w:pPr>
        <w:spacing w:after="200"/>
        <w:rPr>
          <w:rFonts w:eastAsia="Times New Roman" w:cs="Times New Roman"/>
        </w:rPr>
      </w:pPr>
      <w:r w:rsidRPr="00167CB8">
        <w:rPr>
          <w:rFonts w:eastAsia="Times New Roman" w:cs="Times New Roman"/>
        </w:rPr>
        <w:t>Ai Group noted that the provisions are working as intended.</w:t>
      </w:r>
      <w:r>
        <w:rPr>
          <w:rStyle w:val="FootnoteReference"/>
          <w:rFonts w:eastAsia="Times New Roman" w:cs="Times New Roman"/>
        </w:rPr>
        <w:footnoteReference w:id="399"/>
      </w:r>
    </w:p>
    <w:p w14:paraId="5F8C7CB9" w14:textId="06A238D2" w:rsidR="00924664" w:rsidRPr="005A1ED6" w:rsidRDefault="00924664" w:rsidP="00924664">
      <w:pPr>
        <w:spacing w:after="200"/>
        <w:rPr>
          <w:rFonts w:cs="Calibri"/>
        </w:rPr>
      </w:pPr>
      <w:r w:rsidRPr="005A1ED6">
        <w:rPr>
          <w:rFonts w:eastAsia="Times New Roman" w:cs="Times New Roman"/>
        </w:rPr>
        <w:t xml:space="preserve">In response to the draft report, stakeholders largely reiterated their initial submissions. </w:t>
      </w:r>
      <w:r w:rsidR="00D00945">
        <w:rPr>
          <w:rFonts w:eastAsia="Times New Roman" w:cs="Times New Roman"/>
        </w:rPr>
        <w:t xml:space="preserve">The </w:t>
      </w:r>
      <w:r w:rsidRPr="005A1ED6">
        <w:rPr>
          <w:rFonts w:eastAsia="Times New Roman" w:cs="Times New Roman"/>
        </w:rPr>
        <w:t>ACTU continued to press their proposal to enable a bargaining representative to unilaterally refer a bargaining dispute to the FWC for resolution. The ACTU submit</w:t>
      </w:r>
      <w:r w:rsidR="00D00945">
        <w:rPr>
          <w:rFonts w:eastAsia="Times New Roman" w:cs="Times New Roman"/>
        </w:rPr>
        <w:t>ted that</w:t>
      </w:r>
      <w:r w:rsidRPr="005A1ED6">
        <w:rPr>
          <w:rFonts w:eastAsia="Times New Roman" w:cs="Times New Roman"/>
        </w:rPr>
        <w:t xml:space="preserve"> such a referral does not detract from the voluntary nature of cooperative bargaining as ‘the FWC would engage in consensus-oriented conciliation or mediation (with arbitration only available where all parties agree)’</w:t>
      </w:r>
      <w:r w:rsidR="00D00945">
        <w:rPr>
          <w:rFonts w:eastAsia="Times New Roman" w:cs="Times New Roman"/>
        </w:rPr>
        <w:t>.</w:t>
      </w:r>
      <w:r w:rsidRPr="005A1ED6">
        <w:rPr>
          <w:rStyle w:val="FootnoteReference"/>
          <w:rFonts w:eastAsia="Times New Roman" w:cs="Times New Roman"/>
        </w:rPr>
        <w:footnoteReference w:id="400"/>
      </w:r>
    </w:p>
    <w:p w14:paraId="2B99BD05" w14:textId="59C7A2F2" w:rsidR="00924664" w:rsidRPr="00E832B8" w:rsidRDefault="00924664" w:rsidP="00924664">
      <w:pPr>
        <w:spacing w:after="200"/>
        <w:rPr>
          <w:rFonts w:eastAsia="Times New Roman" w:cs="Times New Roman"/>
        </w:rPr>
      </w:pPr>
      <w:r w:rsidRPr="005A1ED6">
        <w:rPr>
          <w:rFonts w:eastAsia="Times New Roman" w:cs="Times New Roman"/>
        </w:rPr>
        <w:t>ACCI and Ai Group express</w:t>
      </w:r>
      <w:r w:rsidR="00D00945">
        <w:rPr>
          <w:rFonts w:eastAsia="Times New Roman" w:cs="Times New Roman"/>
        </w:rPr>
        <w:t>ed</w:t>
      </w:r>
      <w:r w:rsidRPr="005A1ED6">
        <w:rPr>
          <w:rFonts w:eastAsia="Times New Roman" w:cs="Times New Roman"/>
        </w:rPr>
        <w:t xml:space="preserve"> support for the Review Panel’s draft findings</w:t>
      </w:r>
      <w:r w:rsidR="00D00945">
        <w:rPr>
          <w:rFonts w:eastAsia="Times New Roman" w:cs="Times New Roman"/>
        </w:rPr>
        <w:t xml:space="preserve"> </w:t>
      </w:r>
      <w:r w:rsidR="00D00945">
        <w:rPr>
          <w:rFonts w:ascii="Symbol" w:eastAsia="Symbol" w:hAnsi="Symbol" w:cs="Symbol"/>
        </w:rPr>
        <w:sym w:font="Symbol" w:char="F02D"/>
      </w:r>
      <w:r w:rsidR="00D00945">
        <w:rPr>
          <w:rFonts w:eastAsia="Times New Roman" w:cs="Times New Roman"/>
        </w:rPr>
        <w:t xml:space="preserve"> </w:t>
      </w:r>
      <w:r w:rsidRPr="005A1ED6">
        <w:rPr>
          <w:rFonts w:eastAsia="Times New Roman" w:cs="Times New Roman"/>
        </w:rPr>
        <w:t>in particular</w:t>
      </w:r>
      <w:r w:rsidR="00D00945">
        <w:rPr>
          <w:rFonts w:eastAsia="Times New Roman" w:cs="Times New Roman"/>
        </w:rPr>
        <w:t>,</w:t>
      </w:r>
      <w:r w:rsidRPr="005A1ED6">
        <w:rPr>
          <w:rFonts w:eastAsia="Times New Roman" w:cs="Times New Roman"/>
        </w:rPr>
        <w:t xml:space="preserve"> the Panel’s ‘resistance’ to the suggestions of allowing protected industrial action into the cooperate workplace bargaining stream.</w:t>
      </w:r>
      <w:r w:rsidRPr="005A1ED6">
        <w:rPr>
          <w:rStyle w:val="FootnoteReference"/>
          <w:rFonts w:eastAsia="Times New Roman" w:cs="Times New Roman"/>
        </w:rPr>
        <w:footnoteReference w:id="401"/>
      </w:r>
    </w:p>
    <w:p w14:paraId="2E226EED" w14:textId="77777777" w:rsidR="00924664" w:rsidRPr="00573B8B" w:rsidRDefault="00924664" w:rsidP="00EC3517">
      <w:pPr>
        <w:pStyle w:val="Heading4"/>
      </w:pPr>
      <w:bookmarkStart w:id="223" w:name="_Toc189260229"/>
      <w:bookmarkStart w:id="224" w:name="_Toc189393545"/>
      <w:r w:rsidRPr="00573B8B">
        <w:lastRenderedPageBreak/>
        <w:t>10.3 Findings and recommendations</w:t>
      </w:r>
      <w:bookmarkEnd w:id="223"/>
      <w:bookmarkEnd w:id="224"/>
    </w:p>
    <w:p w14:paraId="2FD7BD90" w14:textId="77777777" w:rsidR="00924664" w:rsidRPr="00167CB8" w:rsidRDefault="00924664" w:rsidP="00924664">
      <w:pPr>
        <w:spacing w:after="200"/>
        <w:rPr>
          <w:rFonts w:eastAsia="Times New Roman" w:cs="Times New Roman"/>
        </w:rPr>
      </w:pPr>
      <w:r w:rsidRPr="396ABCA7">
        <w:rPr>
          <w:rFonts w:eastAsia="Times New Roman" w:cs="Times New Roman"/>
        </w:rPr>
        <w:t>The Review finds the amendments relating to cooperative workplace agreements are</w:t>
      </w:r>
      <w:r>
        <w:rPr>
          <w:rFonts w:eastAsia="Times New Roman" w:cs="Times New Roman"/>
        </w:rPr>
        <w:t xml:space="preserve"> operating</w:t>
      </w:r>
      <w:r w:rsidRPr="396ABCA7">
        <w:rPr>
          <w:rFonts w:eastAsia="Times New Roman" w:cs="Times New Roman"/>
        </w:rPr>
        <w:t xml:space="preserve"> appropriate</w:t>
      </w:r>
      <w:r>
        <w:rPr>
          <w:rFonts w:eastAsia="Times New Roman" w:cs="Times New Roman"/>
        </w:rPr>
        <w:t>ly</w:t>
      </w:r>
      <w:r w:rsidRPr="396ABCA7">
        <w:rPr>
          <w:rFonts w:eastAsia="Times New Roman" w:cs="Times New Roman"/>
        </w:rPr>
        <w:t xml:space="preserve"> and effective</w:t>
      </w:r>
      <w:r>
        <w:rPr>
          <w:rFonts w:eastAsia="Times New Roman" w:cs="Times New Roman"/>
        </w:rPr>
        <w:t>ly. T</w:t>
      </w:r>
      <w:r w:rsidRPr="396ABCA7">
        <w:rPr>
          <w:rFonts w:eastAsia="Times New Roman" w:cs="Times New Roman"/>
        </w:rPr>
        <w:t xml:space="preserve">here is </w:t>
      </w:r>
      <w:r>
        <w:rPr>
          <w:rFonts w:eastAsia="Times New Roman" w:cs="Times New Roman"/>
        </w:rPr>
        <w:t xml:space="preserve">also no </w:t>
      </w:r>
      <w:r w:rsidRPr="396ABCA7">
        <w:rPr>
          <w:rFonts w:eastAsia="Times New Roman" w:cs="Times New Roman"/>
        </w:rPr>
        <w:t>evidence before the Review Panel to suggest there are any unintended consequences.</w:t>
      </w:r>
    </w:p>
    <w:p w14:paraId="029007F2" w14:textId="3A5B4DEE" w:rsidR="00924664" w:rsidRPr="00167CB8" w:rsidRDefault="00924664" w:rsidP="00924664">
      <w:pPr>
        <w:spacing w:after="200"/>
        <w:rPr>
          <w:rFonts w:eastAsia="Times New Roman" w:cs="Times New Roman"/>
        </w:rPr>
      </w:pPr>
      <w:r w:rsidRPr="396ABCA7">
        <w:rPr>
          <w:rFonts w:eastAsia="Times New Roman" w:cs="Times New Roman"/>
        </w:rPr>
        <w:t xml:space="preserve">The Review Panel does not recommend further amendments to permit bargaining representatives to refer bargaining disputes to the FWC for assistance without the agreement of other bargaining representatives. </w:t>
      </w:r>
      <w:r w:rsidRPr="005A1ED6">
        <w:rPr>
          <w:rFonts w:eastAsia="Times New Roman" w:cs="Times New Roman"/>
        </w:rPr>
        <w:t>The Panel acknowledges the ACTU’s submission that a bargaining dispute can only be arbitrated by the FWC with the agreement of bargaining representatives</w:t>
      </w:r>
      <w:r w:rsidR="00D00945">
        <w:rPr>
          <w:rFonts w:eastAsia="Times New Roman" w:cs="Times New Roman"/>
        </w:rPr>
        <w:t>;</w:t>
      </w:r>
      <w:r w:rsidRPr="005A1ED6">
        <w:rPr>
          <w:rFonts w:eastAsia="Times New Roman" w:cs="Times New Roman"/>
        </w:rPr>
        <w:t xml:space="preserve"> however</w:t>
      </w:r>
      <w:r w:rsidR="00D00945">
        <w:rPr>
          <w:rFonts w:eastAsia="Times New Roman" w:cs="Times New Roman"/>
        </w:rPr>
        <w:t>,</w:t>
      </w:r>
      <w:r w:rsidRPr="005A1ED6">
        <w:rPr>
          <w:rFonts w:eastAsia="Times New Roman" w:cs="Times New Roman"/>
        </w:rPr>
        <w:t xml:space="preserve"> it is not persuaded that further amendments are necessary to allow a bargaining representative to unilaterally access conciliation or mediation by the FWC in the stream.</w:t>
      </w:r>
      <w:r>
        <w:rPr>
          <w:rFonts w:eastAsia="Times New Roman" w:cs="Times New Roman"/>
        </w:rPr>
        <w:t xml:space="preserve"> </w:t>
      </w:r>
      <w:r w:rsidRPr="396ABCA7">
        <w:rPr>
          <w:rFonts w:eastAsia="Times New Roman" w:cs="Times New Roman"/>
        </w:rPr>
        <w:t xml:space="preserve">It is clear that the intention of the stream is to be voluntary and cooperative. </w:t>
      </w:r>
      <w:r w:rsidRPr="005A1ED6">
        <w:rPr>
          <w:rFonts w:eastAsia="Times New Roman" w:cs="Times New Roman"/>
        </w:rPr>
        <w:t>If bargaining representatives are unable to resolve a bargaining dispute and want assistance from the FWC, they can do so by agreement.</w:t>
      </w:r>
      <w:r>
        <w:rPr>
          <w:rFonts w:eastAsia="Times New Roman" w:cs="Times New Roman"/>
        </w:rPr>
        <w:t xml:space="preserve"> </w:t>
      </w:r>
      <w:r w:rsidRPr="396ABCA7">
        <w:rPr>
          <w:rFonts w:eastAsia="Times New Roman" w:cs="Times New Roman"/>
        </w:rPr>
        <w:t>The amendments proposed would not be consistent with that intended purpose.</w:t>
      </w:r>
    </w:p>
    <w:p w14:paraId="6A8D7F17" w14:textId="7F9AD193" w:rsidR="00924664" w:rsidRPr="00167CB8" w:rsidRDefault="00924664" w:rsidP="00924664">
      <w:pPr>
        <w:spacing w:after="200"/>
        <w:rPr>
          <w:rFonts w:eastAsia="Times New Roman" w:cs="Times New Roman"/>
        </w:rPr>
      </w:pPr>
      <w:r w:rsidRPr="396ABCA7">
        <w:rPr>
          <w:rFonts w:eastAsia="Times New Roman" w:cs="Times New Roman"/>
        </w:rPr>
        <w:t xml:space="preserve">For the same reason, the Review Panel </w:t>
      </w:r>
      <w:r w:rsidRPr="00551B60" w:rsidDel="00551B60">
        <w:rPr>
          <w:rFonts w:eastAsia="Times New Roman" w:cs="Times New Roman"/>
        </w:rPr>
        <w:t>is not agreeable</w:t>
      </w:r>
      <w:r w:rsidRPr="00551B60">
        <w:rPr>
          <w:rFonts w:eastAsia="Times New Roman" w:cs="Times New Roman"/>
        </w:rPr>
        <w:t xml:space="preserve"> to recommend</w:t>
      </w:r>
      <w:r w:rsidRPr="00551B60" w:rsidDel="00551B60">
        <w:rPr>
          <w:rFonts w:eastAsia="Times New Roman" w:cs="Times New Roman"/>
        </w:rPr>
        <w:t>ing</w:t>
      </w:r>
      <w:r w:rsidRPr="396ABCA7">
        <w:rPr>
          <w:rFonts w:eastAsia="Times New Roman" w:cs="Times New Roman"/>
        </w:rPr>
        <w:t xml:space="preserve"> that industrial action be permitted in the cooperative workplace bargaining stream. Where bargaining has broken down, bargaining representatives have options available under the bargaining framework to assist to progress bargaining.</w:t>
      </w:r>
    </w:p>
    <w:p w14:paraId="51518DB1" w14:textId="77777777" w:rsidR="00924664" w:rsidRPr="00167CB8" w:rsidRDefault="00924664" w:rsidP="00924664">
      <w:pPr>
        <w:spacing w:after="200"/>
        <w:rPr>
          <w:rFonts w:eastAsia="Times New Roman" w:cs="Times New Roman"/>
        </w:rPr>
      </w:pPr>
      <w:r w:rsidRPr="396ABCA7">
        <w:rPr>
          <w:rFonts w:eastAsia="Times New Roman" w:cs="Times New Roman"/>
        </w:rPr>
        <w:t xml:space="preserve">While the Review Panel sympathises with the views of the ACTU about the complexity of drafting of </w:t>
      </w:r>
      <w:r w:rsidRPr="001C0D33">
        <w:rPr>
          <w:rFonts w:eastAsia="Times New Roman" w:cs="Times New Roman"/>
        </w:rPr>
        <w:t xml:space="preserve">some provisions (see comments on the ‘status’ of </w:t>
      </w:r>
      <w:r w:rsidRPr="006762E8">
        <w:rPr>
          <w:rFonts w:eastAsia="Times New Roman" w:cs="Times New Roman"/>
        </w:rPr>
        <w:t>bargaining in Chapter 8), the</w:t>
      </w:r>
      <w:r w:rsidRPr="396ABCA7">
        <w:rPr>
          <w:rFonts w:eastAsia="Times New Roman" w:cs="Times New Roman"/>
        </w:rPr>
        <w:t xml:space="preserve"> Review Panel does not recommend specific drafting changes at this time.</w:t>
      </w:r>
    </w:p>
    <w:p w14:paraId="093B1E62" w14:textId="31EE0397" w:rsidR="00EC3517" w:rsidRDefault="00924664" w:rsidP="00EC3517">
      <w:r w:rsidRPr="396ABCA7">
        <w:t>The Review Panel notes the limitations in the data available on multi-employer agreements. In particular, there is limited data on the type of multi-employer agreement and the size of the business the agreement applies to. The Review Panel is therefore unable to conclude whether small businesses are using the cooperative workplaces stream. The Review Panel recommends that data on the type of multi-employer agreement (i.e. cooperative workplace agreement, supported bargaining agreement and single</w:t>
      </w:r>
      <w:r w:rsidR="00551B60">
        <w:t>-</w:t>
      </w:r>
      <w:r w:rsidRPr="396ABCA7">
        <w:t>interest employer agreement) and the size of the employer the agreement relates to should be collected in advance of a further review (see Recommendation 1).</w:t>
      </w:r>
    </w:p>
    <w:p w14:paraId="1BFEB17F" w14:textId="15175BCF" w:rsidR="00EC3517" w:rsidRDefault="00EC3517">
      <w:pPr>
        <w:spacing w:after="160"/>
      </w:pPr>
      <w:r>
        <w:br w:type="page"/>
      </w:r>
    </w:p>
    <w:p w14:paraId="138F96EE" w14:textId="77777777" w:rsidR="00924664" w:rsidRPr="00EC3517" w:rsidRDefault="00924664" w:rsidP="00EC3517">
      <w:pPr>
        <w:pStyle w:val="Heading3"/>
      </w:pPr>
      <w:bookmarkStart w:id="225" w:name="_Toc189260230"/>
      <w:bookmarkStart w:id="226" w:name="_Toc189393546"/>
      <w:bookmarkStart w:id="227" w:name="_Toc194311418"/>
      <w:r w:rsidRPr="00EC3517">
        <w:lastRenderedPageBreak/>
        <w:t>Chapter 11. Supported bargaining</w:t>
      </w:r>
      <w:bookmarkEnd w:id="225"/>
      <w:bookmarkEnd w:id="226"/>
      <w:bookmarkEnd w:id="227"/>
    </w:p>
    <w:p w14:paraId="06620CA3" w14:textId="77777777" w:rsidR="0011475D" w:rsidRDefault="00924664" w:rsidP="00924664">
      <w:r w:rsidRPr="396ABCA7">
        <w:t>This is the second of the Review chapters about forms of multi-employer bargaining introduced by Part 20 of Schedule 1 to the Secure Jobs, Better Pay Act. Supported bargaining is a form of multi-employer bargaining directed at ‘employees and employers who may have difficulty bargaining at the single-enterprise level’.</w:t>
      </w:r>
      <w:r w:rsidRPr="396ABCA7">
        <w:rPr>
          <w:vertAlign w:val="superscript"/>
        </w:rPr>
        <w:footnoteReference w:id="402"/>
      </w:r>
      <w:r w:rsidRPr="396ABCA7">
        <w:t xml:space="preserve"> The supported bargaining stream is a ‘modification … rather than a complete innovation’</w:t>
      </w:r>
      <w:r w:rsidRPr="396ABCA7">
        <w:rPr>
          <w:vertAlign w:val="superscript"/>
        </w:rPr>
        <w:footnoteReference w:id="403"/>
      </w:r>
      <w:r w:rsidRPr="396ABCA7">
        <w:t xml:space="preserve"> of what had been, up to the amendments, the low-paid bargaining stream.</w:t>
      </w:r>
    </w:p>
    <w:p w14:paraId="4713BFE7" w14:textId="77777777" w:rsidR="0011475D" w:rsidRPr="004572CC" w:rsidRDefault="00924664" w:rsidP="00EC3517">
      <w:pPr>
        <w:pStyle w:val="Heading4"/>
      </w:pPr>
      <w:bookmarkStart w:id="228" w:name="_Toc189260231"/>
      <w:bookmarkStart w:id="229" w:name="_Toc189393547"/>
      <w:r w:rsidRPr="004572CC">
        <w:t>11.1 Amendments and intent</w:t>
      </w:r>
      <w:bookmarkEnd w:id="228"/>
      <w:bookmarkEnd w:id="229"/>
    </w:p>
    <w:p w14:paraId="46DB437F" w14:textId="567AFB9E" w:rsidR="00924664" w:rsidRPr="00167CB8" w:rsidRDefault="00924664" w:rsidP="00924664">
      <w:r w:rsidRPr="396ABCA7">
        <w:t>This section outlines the amendments that renamed the ‘low-paid bargaining stream’ the ‘supported bargaining stream’. It also discusses the intent behind these changes.</w:t>
      </w:r>
    </w:p>
    <w:p w14:paraId="64B93F45" w14:textId="77777777" w:rsidR="00924664" w:rsidRPr="004572CC" w:rsidRDefault="00924664" w:rsidP="00EC3517">
      <w:pPr>
        <w:pStyle w:val="Heading5"/>
      </w:pPr>
      <w:r w:rsidRPr="004572CC">
        <w:t>11.1.1 Secure Jobs, Better Pay amendments</w:t>
      </w:r>
    </w:p>
    <w:p w14:paraId="6BD807A9" w14:textId="77777777" w:rsidR="0011475D" w:rsidRDefault="00924664" w:rsidP="00924664">
      <w:r w:rsidRPr="396ABCA7">
        <w:t>Divisions 7 and 9 of Part 2-4 of the Fair Work Act concerns supported bargaining. The Secure Jobs, Better Pay Act renamed the previous ‘low-paid bargaining stream’ the ‘supported bargaining stream’.</w:t>
      </w:r>
    </w:p>
    <w:p w14:paraId="3DF399FB" w14:textId="5BB5E326" w:rsidR="00924664" w:rsidRPr="00167CB8" w:rsidRDefault="00924664" w:rsidP="00924664">
      <w:r w:rsidRPr="00167CB8">
        <w:t>Following the</w:t>
      </w:r>
      <w:r w:rsidRPr="00167CB8" w:rsidDel="00E73ED7">
        <w:t xml:space="preserve"> </w:t>
      </w:r>
      <w:r w:rsidRPr="00167CB8">
        <w:t>Secure Jobs, Better Pay amendments, and amongst other things, the Fair Work Commission (FWC) must make a supported bargaining authorisation (i.e. authorise bargaining in the supported bargaining stream) if it is satisfied that it is ‘appropriate for the employers and employees … to bargain together’.</w:t>
      </w:r>
      <w:r w:rsidRPr="00167CB8">
        <w:rPr>
          <w:vertAlign w:val="superscript"/>
        </w:rPr>
        <w:footnoteReference w:id="404"/>
      </w:r>
      <w:r w:rsidRPr="00167CB8">
        <w:t xml:space="preserve"> In determining whether it is satisfied that it is ‘appropriate’, the FWC must have regard to:</w:t>
      </w:r>
      <w:r w:rsidRPr="00167CB8">
        <w:rPr>
          <w:rStyle w:val="FootnoteReference"/>
          <w:rFonts w:cs="Calibri"/>
        </w:rPr>
        <w:footnoteReference w:id="405"/>
      </w:r>
    </w:p>
    <w:p w14:paraId="4566F984" w14:textId="77777777" w:rsidR="00924664" w:rsidRPr="00167CB8" w:rsidRDefault="00924664" w:rsidP="00D55A73">
      <w:pPr>
        <w:pStyle w:val="Quote"/>
        <w:numPr>
          <w:ilvl w:val="0"/>
          <w:numId w:val="24"/>
        </w:numPr>
      </w:pPr>
      <w:r w:rsidRPr="00167CB8">
        <w:t>the prevailing pay and conditions within the relevant industry or sector (including whether low rates of pay prevail in the industry or sector); and</w:t>
      </w:r>
    </w:p>
    <w:p w14:paraId="1A7F13CC" w14:textId="77777777" w:rsidR="00924664" w:rsidRPr="00167CB8" w:rsidRDefault="00924664" w:rsidP="00D55A73">
      <w:pPr>
        <w:pStyle w:val="Quote"/>
        <w:numPr>
          <w:ilvl w:val="0"/>
          <w:numId w:val="24"/>
        </w:numPr>
      </w:pPr>
      <w:r w:rsidRPr="00167CB8">
        <w:t>whether the employers have clearly identifiable common interests; and</w:t>
      </w:r>
    </w:p>
    <w:p w14:paraId="18274098" w14:textId="77777777" w:rsidR="00924664" w:rsidRPr="00167CB8" w:rsidRDefault="00924664" w:rsidP="00D55A73">
      <w:pPr>
        <w:pStyle w:val="Quote"/>
        <w:numPr>
          <w:ilvl w:val="0"/>
          <w:numId w:val="24"/>
        </w:numPr>
      </w:pPr>
      <w:r w:rsidRPr="00167CB8">
        <w:t>whether the likely number of bargaining representatives for the agreement would be consistent with a manageable collective bargaining process; and</w:t>
      </w:r>
    </w:p>
    <w:p w14:paraId="34E5C5A3" w14:textId="77777777" w:rsidR="00924664" w:rsidRPr="00167CB8" w:rsidRDefault="00924664" w:rsidP="00D55A73">
      <w:pPr>
        <w:pStyle w:val="Quote"/>
        <w:numPr>
          <w:ilvl w:val="0"/>
          <w:numId w:val="24"/>
        </w:numPr>
      </w:pPr>
      <w:r w:rsidRPr="00167CB8">
        <w:t>any other matters the FWC considers appropriate.</w:t>
      </w:r>
    </w:p>
    <w:p w14:paraId="0AEB282D" w14:textId="77777777" w:rsidR="0011475D" w:rsidRDefault="00924664" w:rsidP="00924664">
      <w:r w:rsidRPr="396ABCA7">
        <w:t>The FWC must also be satisfied that at least some of the employees are represented by an employee organisation.</w:t>
      </w:r>
      <w:r w:rsidRPr="396ABCA7">
        <w:rPr>
          <w:vertAlign w:val="superscript"/>
        </w:rPr>
        <w:footnoteReference w:id="406"/>
      </w:r>
      <w:r w:rsidRPr="396ABCA7">
        <w:t xml:space="preserve"> That is, union involvement in supported bargaining is mandatory.</w:t>
      </w:r>
    </w:p>
    <w:p w14:paraId="21FFF0AC" w14:textId="68356E28" w:rsidR="00924664" w:rsidRPr="00167CB8" w:rsidRDefault="00924664" w:rsidP="00924664">
      <w:r w:rsidRPr="396ABCA7">
        <w:t xml:space="preserve">The Fair Work Act does not define ‘clearly identifiable common interests’ but </w:t>
      </w:r>
      <w:r>
        <w:t>instead</w:t>
      </w:r>
      <w:r w:rsidRPr="396ABCA7">
        <w:t xml:space="preserve"> provides examples that may be relevant to determining common interest as including:</w:t>
      </w:r>
      <w:r w:rsidRPr="396ABCA7">
        <w:rPr>
          <w:rStyle w:val="FootnoteReference"/>
          <w:rFonts w:cs="Calibri"/>
        </w:rPr>
        <w:footnoteReference w:id="407"/>
      </w:r>
    </w:p>
    <w:p w14:paraId="72C0AEC1" w14:textId="77777777" w:rsidR="00924664" w:rsidRPr="00167CB8" w:rsidRDefault="00924664" w:rsidP="00D55A73">
      <w:pPr>
        <w:pStyle w:val="Quote"/>
        <w:numPr>
          <w:ilvl w:val="0"/>
          <w:numId w:val="25"/>
        </w:numPr>
      </w:pPr>
      <w:r w:rsidRPr="00167CB8">
        <w:lastRenderedPageBreak/>
        <w:t>a geographical location;</w:t>
      </w:r>
    </w:p>
    <w:p w14:paraId="64FD0BC3" w14:textId="77777777" w:rsidR="00924664" w:rsidRPr="00167CB8" w:rsidRDefault="00924664" w:rsidP="00D55A73">
      <w:pPr>
        <w:pStyle w:val="Quote"/>
        <w:numPr>
          <w:ilvl w:val="0"/>
          <w:numId w:val="25"/>
        </w:numPr>
      </w:pPr>
      <w:r w:rsidRPr="00167CB8">
        <w:t>the nature of the enterprises to which the agreement will relate, and the terms and conditions of employment in those enterprises;</w:t>
      </w:r>
    </w:p>
    <w:p w14:paraId="5AB9162C" w14:textId="77777777" w:rsidR="00924664" w:rsidRPr="00167CB8" w:rsidRDefault="00924664" w:rsidP="00D55A73">
      <w:pPr>
        <w:pStyle w:val="Quote"/>
        <w:numPr>
          <w:ilvl w:val="0"/>
          <w:numId w:val="25"/>
        </w:numPr>
      </w:pPr>
      <w:r w:rsidRPr="00167CB8">
        <w:t>being substantially funded, directly or indirectly, by the Commonwealth, a State or a Territory.</w:t>
      </w:r>
    </w:p>
    <w:p w14:paraId="09948A20" w14:textId="77777777" w:rsidR="00924664" w:rsidRPr="00167CB8" w:rsidRDefault="00924664" w:rsidP="00924664">
      <w:r w:rsidRPr="396ABCA7">
        <w:t>The FWC must also make a supported bargaining authorisation if the application specifies employees in an industry, occupation or sector declared by the Minister for Employment and Workplace Relations.</w:t>
      </w:r>
      <w:r w:rsidRPr="396ABCA7">
        <w:rPr>
          <w:vertAlign w:val="superscript"/>
        </w:rPr>
        <w:footnoteReference w:id="408"/>
      </w:r>
    </w:p>
    <w:p w14:paraId="2283B5EF" w14:textId="77777777" w:rsidR="00924664" w:rsidRPr="00167CB8" w:rsidRDefault="00924664" w:rsidP="00924664">
      <w:r w:rsidRPr="396ABCA7">
        <w:t>The FWC must not make a supported bargaining authorisation in relation to an employee covered by a ‘single-enterprise agreement that has not passed its nominal expiry date’</w:t>
      </w:r>
      <w:r w:rsidRPr="396ABCA7">
        <w:rPr>
          <w:vertAlign w:val="superscript"/>
        </w:rPr>
        <w:footnoteReference w:id="409"/>
      </w:r>
      <w:r w:rsidRPr="396ABCA7">
        <w:t xml:space="preserve"> or that would cover employees in relation to ‘general building and construction work’.</w:t>
      </w:r>
      <w:r w:rsidRPr="396ABCA7">
        <w:rPr>
          <w:vertAlign w:val="superscript"/>
        </w:rPr>
        <w:footnoteReference w:id="410"/>
      </w:r>
    </w:p>
    <w:p w14:paraId="31E7502A" w14:textId="77777777" w:rsidR="00924664" w:rsidRPr="00167CB8" w:rsidRDefault="00924664" w:rsidP="00924664">
      <w:r w:rsidRPr="396ABCA7">
        <w:t>These amendments commenced on 6 June 2023.</w:t>
      </w:r>
    </w:p>
    <w:p w14:paraId="643D6DC1" w14:textId="77777777" w:rsidR="0011475D" w:rsidRDefault="00924664" w:rsidP="00924664">
      <w:pPr>
        <w:rPr>
          <w:rFonts w:eastAsia="MS Mincho"/>
        </w:rPr>
      </w:pPr>
      <w:r w:rsidRPr="396ABCA7">
        <w:t xml:space="preserve">While not a part of the Secure Jobs, Better Pay amendments, it is helpful to note that the supported bargaining stream, as did the low-paid bargaining stream before it, provides for </w:t>
      </w:r>
      <w:r>
        <w:t xml:space="preserve">the following </w:t>
      </w:r>
      <w:r w:rsidRPr="396ABCA7">
        <w:t>special FWC assistance powers</w:t>
      </w:r>
      <w:r>
        <w:t>:</w:t>
      </w:r>
      <w:r w:rsidRPr="396ABCA7">
        <w:rPr>
          <w:vertAlign w:val="superscript"/>
        </w:rPr>
        <w:footnoteReference w:id="411"/>
      </w:r>
      <w:r w:rsidRPr="396ABCA7">
        <w:t xml:space="preserve"> </w:t>
      </w:r>
      <w:r w:rsidRPr="396ABCA7">
        <w:rPr>
          <w:rStyle w:val="FootnoteReference"/>
          <w:rFonts w:cs="Calibri"/>
        </w:rPr>
        <w:footnoteReference w:id="412"/>
      </w:r>
    </w:p>
    <w:p w14:paraId="6DE8C979" w14:textId="067F7F25" w:rsidR="00924664" w:rsidRPr="00167CB8" w:rsidRDefault="00924664" w:rsidP="00D55A73">
      <w:pPr>
        <w:pStyle w:val="Quote"/>
        <w:rPr>
          <w:lang w:eastAsia="en-AU"/>
        </w:rPr>
      </w:pPr>
      <w:r w:rsidRPr="00167CB8">
        <w:rPr>
          <w:lang w:eastAsia="en-AU"/>
        </w:rPr>
        <w:t>FWC’s assistance</w:t>
      </w:r>
    </w:p>
    <w:p w14:paraId="16862B82" w14:textId="77777777" w:rsidR="00924664" w:rsidRPr="00167CB8" w:rsidRDefault="00924664" w:rsidP="00D55A73">
      <w:pPr>
        <w:pStyle w:val="Quote"/>
      </w:pPr>
      <w:r w:rsidRPr="00167CB8">
        <w:t>(2)</w:t>
      </w:r>
      <w:r w:rsidRPr="00167CB8">
        <w:tab/>
        <w:t>The FWC may, on its own initiative, provide to the bargaining representatives for the agreement such assistance:</w:t>
      </w:r>
    </w:p>
    <w:p w14:paraId="343FDA24" w14:textId="77777777" w:rsidR="00924664" w:rsidRPr="00167CB8" w:rsidRDefault="00924664" w:rsidP="009C5DFC">
      <w:pPr>
        <w:pStyle w:val="Quote"/>
        <w:ind w:left="2160"/>
      </w:pPr>
      <w:r w:rsidRPr="00167CB8">
        <w:t>(a)</w:t>
      </w:r>
      <w:r w:rsidRPr="00167CB8">
        <w:tab/>
        <w:t>that the FWC considers appropriate to facilitate bargaining for the agreement; and</w:t>
      </w:r>
    </w:p>
    <w:p w14:paraId="10A06E99" w14:textId="77777777" w:rsidR="00924664" w:rsidRPr="00167CB8" w:rsidRDefault="00924664" w:rsidP="009C5DFC">
      <w:pPr>
        <w:pStyle w:val="Quote"/>
        <w:ind w:left="2160"/>
      </w:pPr>
      <w:r w:rsidRPr="00167CB8">
        <w:t>(b)</w:t>
      </w:r>
      <w:r w:rsidRPr="00167CB8">
        <w:tab/>
        <w:t>that the FWC could provide if it were dealing with a dispute.</w:t>
      </w:r>
    </w:p>
    <w:p w14:paraId="4EDC5BF2" w14:textId="77777777" w:rsidR="0011475D" w:rsidRDefault="00924664" w:rsidP="00B8259F">
      <w:pPr>
        <w:pStyle w:val="Quote"/>
        <w:rPr>
          <w:rStyle w:val="FootnoteReference"/>
          <w:rFonts w:cs="Calibri"/>
        </w:rPr>
      </w:pPr>
      <w:r w:rsidRPr="00167CB8">
        <w:t>Note:</w:t>
      </w:r>
      <w:r w:rsidRPr="00167CB8">
        <w:tab/>
        <w:t>This section does not empower the FWC to arbitrate, because subsection 595(3) provides that the FWC may arbitrate only if expressly authorised to do so.</w:t>
      </w:r>
    </w:p>
    <w:p w14:paraId="52F8E1C6" w14:textId="7D7D66C4" w:rsidR="00924664" w:rsidRPr="00167CB8" w:rsidRDefault="00924664" w:rsidP="00D55A73">
      <w:pPr>
        <w:pStyle w:val="Quote"/>
        <w:rPr>
          <w:lang w:eastAsia="en-AU"/>
        </w:rPr>
      </w:pPr>
      <w:r w:rsidRPr="00167CB8">
        <w:rPr>
          <w:lang w:eastAsia="en-AU"/>
        </w:rPr>
        <w:t>FWC may direct a person to attend a conference</w:t>
      </w:r>
    </w:p>
    <w:p w14:paraId="30FA520E" w14:textId="77777777" w:rsidR="00924664" w:rsidRPr="00167CB8" w:rsidRDefault="00924664" w:rsidP="00D55A73">
      <w:pPr>
        <w:pStyle w:val="Quote"/>
      </w:pPr>
      <w:r w:rsidRPr="00167CB8">
        <w:t>(3)</w:t>
      </w:r>
      <w:r w:rsidRPr="00167CB8">
        <w:tab/>
        <w:t>Without limiting subsection (2), the FWC may provide assistance by directing a person who is not an employer specified in the authorisation to attend a conference at a specified time and place if the FWC is satisfied that the person exercises such a degree of control over the terms and conditions of the employees who will be covered by the agreement that the participation of the person in bargaining is necessary for the agreement to be made.</w:t>
      </w:r>
    </w:p>
    <w:p w14:paraId="48339ABF" w14:textId="77777777" w:rsidR="0011475D" w:rsidRDefault="00924664" w:rsidP="00D55A73">
      <w:pPr>
        <w:pStyle w:val="Quote"/>
        <w:rPr>
          <w:rStyle w:val="FootnoteReference"/>
          <w:rFonts w:cs="Calibri"/>
        </w:rPr>
      </w:pPr>
      <w:r w:rsidRPr="00167CB8">
        <w:lastRenderedPageBreak/>
        <w:t>(4)</w:t>
      </w:r>
      <w:r w:rsidRPr="00167CB8">
        <w:tab/>
        <w:t>Subsection (3) does not limit the FWC’s powers under Subdivision B of Division 3 of Part 5</w:t>
      </w:r>
      <w:r w:rsidRPr="00167CB8">
        <w:noBreakHyphen/>
        <w:t>1.</w:t>
      </w:r>
    </w:p>
    <w:p w14:paraId="34695AD0" w14:textId="77777777" w:rsidR="00924664" w:rsidRPr="00EC3517" w:rsidRDefault="00924664" w:rsidP="00EC3517">
      <w:pPr>
        <w:pStyle w:val="Heading5"/>
      </w:pPr>
      <w:r w:rsidRPr="00EC3517">
        <w:t>11.1.2 Intent of</w:t>
      </w:r>
      <w:r w:rsidRPr="003460E2">
        <w:t xml:space="preserve"> Secure Jobs, Better Pay amendments</w:t>
      </w:r>
    </w:p>
    <w:p w14:paraId="101B481D" w14:textId="77777777" w:rsidR="0011475D" w:rsidRDefault="00924664" w:rsidP="00924664">
      <w:r w:rsidRPr="396ABCA7">
        <w:t>The intent of amending the low-paid bargaining stream to the supported bargaining stream was to remove ‘barriers to access the existing low-paid bargaining stream’.</w:t>
      </w:r>
      <w:r w:rsidRPr="396ABCA7">
        <w:rPr>
          <w:vertAlign w:val="superscript"/>
        </w:rPr>
        <w:footnoteReference w:id="413"/>
      </w:r>
      <w:r w:rsidRPr="396ABCA7">
        <w:t xml:space="preserve"> In this way, it would contribute to the increased number and especially the coverage of collective bargaining. The amended stream was intended to operate similarly to the low-paid bargaining process</w:t>
      </w:r>
      <w:r>
        <w:t>,</w:t>
      </w:r>
      <w:r w:rsidRPr="396ABCA7">
        <w:t xml:space="preserve"> while overcoming problems with access to the stream.</w:t>
      </w:r>
      <w:r w:rsidRPr="396ABCA7">
        <w:rPr>
          <w:vertAlign w:val="superscript"/>
        </w:rPr>
        <w:footnoteReference w:id="414"/>
      </w:r>
    </w:p>
    <w:p w14:paraId="40CE3960" w14:textId="73FC2F03" w:rsidR="0011475D" w:rsidRDefault="00924664" w:rsidP="00924664">
      <w:r w:rsidRPr="396ABCA7">
        <w:t>The previous low-paid bargaining stream was largely seen as unsuccessful.</w:t>
      </w:r>
      <w:r w:rsidRPr="396ABCA7">
        <w:rPr>
          <w:vertAlign w:val="superscript"/>
        </w:rPr>
        <w:footnoteReference w:id="415"/>
      </w:r>
      <w:r w:rsidRPr="396ABCA7">
        <w:t xml:space="preserve"> In its more than 10 years of operation, only </w:t>
      </w:r>
      <w:r>
        <w:t>five</w:t>
      </w:r>
      <w:r w:rsidRPr="396ABCA7">
        <w:t xml:space="preserve"> applications </w:t>
      </w:r>
      <w:r w:rsidR="00CB4D7A" w:rsidRPr="396ABCA7">
        <w:t xml:space="preserve">were made </w:t>
      </w:r>
      <w:r w:rsidRPr="396ABCA7">
        <w:t>to bargain in the low-paid paid bargaining stream. A single application was successful.</w:t>
      </w:r>
      <w:r w:rsidRPr="396ABCA7">
        <w:rPr>
          <w:vertAlign w:val="superscript"/>
        </w:rPr>
        <w:footnoteReference w:id="416"/>
      </w:r>
      <w:r w:rsidRPr="396ABCA7">
        <w:t xml:space="preserve"> The last application to be determined under this stream was over a decade ago and was unsuccessful.</w:t>
      </w:r>
      <w:r w:rsidRPr="396ABCA7">
        <w:rPr>
          <w:vertAlign w:val="superscript"/>
        </w:rPr>
        <w:footnoteReference w:id="417"/>
      </w:r>
    </w:p>
    <w:p w14:paraId="0B65BCFF" w14:textId="2CA47E34" w:rsidR="00924664" w:rsidRPr="00167CB8" w:rsidRDefault="00924664" w:rsidP="00924664">
      <w:r w:rsidRPr="00167CB8">
        <w:t>The early application of the low-paid provisions in Fair Work Australia</w:t>
      </w:r>
      <w:r w:rsidR="009A0E93">
        <w:t>,</w:t>
      </w:r>
      <w:r w:rsidRPr="00167CB8">
        <w:t xml:space="preserve"> and then FWC</w:t>
      </w:r>
      <w:r w:rsidR="009A0E93">
        <w:t>,</w:t>
      </w:r>
      <w:r w:rsidRPr="00167CB8">
        <w:t xml:space="preserve"> led to a strong focus on the history of bargaining in the industry and the relative bargaining strength of employers and employees.</w:t>
      </w:r>
      <w:r w:rsidRPr="00167CB8">
        <w:rPr>
          <w:vertAlign w:val="superscript"/>
        </w:rPr>
        <w:footnoteReference w:id="418"/>
      </w:r>
      <w:r w:rsidRPr="00167CB8">
        <w:t xml:space="preserve"> While one authorisation was granted, no multi-employer agreements were made in the stream.</w:t>
      </w:r>
      <w:r w:rsidRPr="00167CB8">
        <w:rPr>
          <w:vertAlign w:val="superscript"/>
        </w:rPr>
        <w:footnoteReference w:id="419"/>
      </w:r>
      <w:r w:rsidRPr="00167CB8">
        <w:t xml:space="preserve"> A significant limitation on the effectiveness of the low-paid stream was onerous criteria to receive authorisation to bargain in the stream.</w:t>
      </w:r>
    </w:p>
    <w:p w14:paraId="251AAC01" w14:textId="77777777" w:rsidR="0011475D" w:rsidRDefault="00924664" w:rsidP="00924664">
      <w:r w:rsidRPr="00733909">
        <w:t>Removing barriers to accessing the stream, with a corresponding increase in access to the</w:t>
      </w:r>
      <w:r w:rsidRPr="396ABCA7">
        <w:t xml:space="preserve"> stream, was intended to contribute to ‘closing the gender pay gap and improving wages and conditions in [low-paid sectors], which have not been able to successfully bargain at the enterprise level’.</w:t>
      </w:r>
      <w:r w:rsidRPr="396ABCA7">
        <w:rPr>
          <w:vertAlign w:val="superscript"/>
        </w:rPr>
        <w:footnoteReference w:id="420"/>
      </w:r>
    </w:p>
    <w:p w14:paraId="5F491913" w14:textId="5511A065" w:rsidR="00924664" w:rsidRPr="00167CB8" w:rsidRDefault="00924664" w:rsidP="00924664">
      <w:r w:rsidRPr="00167CB8">
        <w:t xml:space="preserve">The intended beneficiaries of the stream were identified as </w:t>
      </w:r>
      <w:r>
        <w:t>mostly</w:t>
      </w:r>
      <w:r w:rsidRPr="00167CB8">
        <w:t xml:space="preserve"> including those employers and employees ‘in low paid industries such as aged care, disability care, and early childhood education and care who may lack the necessary skills, resources and power to bargain effectively’</w:t>
      </w:r>
      <w:r w:rsidRPr="00167CB8">
        <w:rPr>
          <w:vertAlign w:val="superscript"/>
        </w:rPr>
        <w:footnoteReference w:id="421"/>
      </w:r>
      <w:r w:rsidRPr="00167CB8">
        <w:t xml:space="preserve"> and ‘employees and employers who may face barriers to bargaining, such as employees with a disability and First Nations employees’</w:t>
      </w:r>
      <w:r w:rsidR="00733909">
        <w:t>.</w:t>
      </w:r>
      <w:r w:rsidRPr="00167CB8">
        <w:rPr>
          <w:vertAlign w:val="superscript"/>
        </w:rPr>
        <w:footnoteReference w:id="422"/>
      </w:r>
    </w:p>
    <w:p w14:paraId="1253D7DB" w14:textId="77777777" w:rsidR="00924664" w:rsidRPr="00C25F8A" w:rsidRDefault="00924664" w:rsidP="00EC3517">
      <w:pPr>
        <w:pStyle w:val="Heading4"/>
      </w:pPr>
      <w:bookmarkStart w:id="230" w:name="_Toc189260232"/>
      <w:bookmarkStart w:id="231" w:name="_Toc189393548"/>
      <w:r w:rsidRPr="00C25F8A">
        <w:lastRenderedPageBreak/>
        <w:t>11.2 Impact and issues</w:t>
      </w:r>
      <w:bookmarkEnd w:id="230"/>
      <w:bookmarkEnd w:id="231"/>
    </w:p>
    <w:p w14:paraId="358C99E4" w14:textId="77777777" w:rsidR="00924664" w:rsidRPr="00167CB8" w:rsidRDefault="00924664" w:rsidP="00924664">
      <w:r w:rsidRPr="00167CB8">
        <w:t xml:space="preserve">This section will consider the effect of the supported bargaining amendments since commencement. In addition to analysis of bargaining trends and </w:t>
      </w:r>
      <w:r w:rsidRPr="006762E8">
        <w:t>outcomes in Chapter 8, the</w:t>
      </w:r>
      <w:r w:rsidRPr="00167CB8">
        <w:t xml:space="preserve"> effectiveness or otherwise of the</w:t>
      </w:r>
      <w:r>
        <w:t xml:space="preserve"> operation of the</w:t>
      </w:r>
      <w:r w:rsidRPr="00167CB8">
        <w:t>se amendments can be assessed through a consideration of decisions of courts and tribunals and the views of stakeholders.</w:t>
      </w:r>
    </w:p>
    <w:p w14:paraId="6DF8958B" w14:textId="77777777" w:rsidR="00924664" w:rsidRPr="00C25F8A" w:rsidRDefault="00924664" w:rsidP="00EC3517">
      <w:pPr>
        <w:pStyle w:val="Heading5"/>
      </w:pPr>
      <w:r w:rsidRPr="00C25F8A">
        <w:t>11.2.1 Quantitative evidence</w:t>
      </w:r>
    </w:p>
    <w:p w14:paraId="7F8D58AB" w14:textId="08B883C4" w:rsidR="0011475D" w:rsidRDefault="00924664" w:rsidP="00924664">
      <w:r w:rsidRPr="396ABCA7">
        <w:t xml:space="preserve">Since commencement, there have been few instances of supported bargaining. </w:t>
      </w:r>
      <w:r w:rsidRPr="005A1ED6">
        <w:t xml:space="preserve">The Review Panel is aware of </w:t>
      </w:r>
      <w:r>
        <w:t>eight</w:t>
      </w:r>
      <w:r w:rsidRPr="005A1ED6">
        <w:t xml:space="preserve"> applications for a supported bargaining authorisation. As at 21 February 2025, </w:t>
      </w:r>
      <w:r>
        <w:t>five</w:t>
      </w:r>
      <w:r w:rsidRPr="005A1ED6">
        <w:t xml:space="preserve"> supported bargaining applications had resulted in an authorisation being granted</w:t>
      </w:r>
      <w:r w:rsidR="00653EEE">
        <w:t xml:space="preserve"> (Table 11)</w:t>
      </w:r>
      <w:r w:rsidRPr="005A1ED6">
        <w:t>. The remaining applications are ongoing.</w:t>
      </w:r>
    </w:p>
    <w:p w14:paraId="03ECB33A" w14:textId="206182FB" w:rsidR="00924664" w:rsidRPr="00167CB8" w:rsidRDefault="00EC3517" w:rsidP="007F380D">
      <w:pPr>
        <w:pStyle w:val="Caption"/>
      </w:pPr>
      <w:bookmarkStart w:id="232" w:name="_Toc194251435"/>
      <w:r>
        <w:t xml:space="preserve">Table </w:t>
      </w:r>
      <w:r>
        <w:fldChar w:fldCharType="begin"/>
      </w:r>
      <w:r>
        <w:instrText xml:space="preserve"> SEQ Table \* ARABIC </w:instrText>
      </w:r>
      <w:r>
        <w:fldChar w:fldCharType="separate"/>
      </w:r>
      <w:r w:rsidR="00DE5F5E">
        <w:rPr>
          <w:noProof/>
        </w:rPr>
        <w:t>11</w:t>
      </w:r>
      <w:r>
        <w:fldChar w:fldCharType="end"/>
      </w:r>
      <w:r>
        <w:t xml:space="preserve">: </w:t>
      </w:r>
      <w:r w:rsidR="00924664" w:rsidRPr="005A1ED6">
        <w:t>Supported bargaining authorisations granted by the Fair Work Commission</w:t>
      </w:r>
      <w:r w:rsidR="007F74FA">
        <w:t>,</w:t>
      </w:r>
      <w:r w:rsidR="00924664" w:rsidRPr="005A1ED6">
        <w:t xml:space="preserve"> as of 21 February 2025</w:t>
      </w:r>
      <w:bookmarkEnd w:id="232"/>
    </w:p>
    <w:tbl>
      <w:tblPr>
        <w:tblStyle w:val="TableGrid"/>
        <w:tblW w:w="0" w:type="auto"/>
        <w:tblLayout w:type="fixed"/>
        <w:tblLook w:val="04A0" w:firstRow="1" w:lastRow="0" w:firstColumn="1" w:lastColumn="0" w:noHBand="0" w:noVBand="1"/>
      </w:tblPr>
      <w:tblGrid>
        <w:gridCol w:w="4248"/>
        <w:gridCol w:w="2551"/>
        <w:gridCol w:w="2217"/>
      </w:tblGrid>
      <w:tr w:rsidR="00924664" w:rsidRPr="00D420A6" w14:paraId="1843D907" w14:textId="77777777" w:rsidTr="00F51742">
        <w:tc>
          <w:tcPr>
            <w:tcW w:w="4248" w:type="dxa"/>
          </w:tcPr>
          <w:p w14:paraId="2AA478BC" w14:textId="77777777" w:rsidR="00924664" w:rsidRPr="00653EEE" w:rsidRDefault="00924664">
            <w:pPr>
              <w:pStyle w:val="NormalWeb"/>
              <w:spacing w:line="259" w:lineRule="auto"/>
              <w:rPr>
                <w:rFonts w:asciiTheme="minorHAnsi" w:hAnsiTheme="minorHAnsi" w:cs="Calibri"/>
                <w:b/>
                <w:sz w:val="20"/>
                <w:szCs w:val="20"/>
              </w:rPr>
            </w:pPr>
            <w:r w:rsidRPr="00653EEE">
              <w:rPr>
                <w:rFonts w:asciiTheme="minorHAnsi" w:hAnsiTheme="minorHAnsi" w:cs="Calibri"/>
                <w:b/>
                <w:sz w:val="20"/>
                <w:szCs w:val="20"/>
              </w:rPr>
              <w:t>Matter</w:t>
            </w:r>
          </w:p>
        </w:tc>
        <w:tc>
          <w:tcPr>
            <w:tcW w:w="2551" w:type="dxa"/>
          </w:tcPr>
          <w:p w14:paraId="02B894C6" w14:textId="77777777" w:rsidR="00924664" w:rsidRPr="00653EEE" w:rsidRDefault="00924664">
            <w:pPr>
              <w:pStyle w:val="NormalWeb"/>
              <w:spacing w:line="259" w:lineRule="auto"/>
              <w:rPr>
                <w:rFonts w:asciiTheme="minorHAnsi" w:hAnsiTheme="minorHAnsi" w:cs="Calibri"/>
                <w:b/>
                <w:sz w:val="20"/>
                <w:szCs w:val="20"/>
              </w:rPr>
            </w:pPr>
            <w:r w:rsidRPr="00653EEE">
              <w:rPr>
                <w:rFonts w:asciiTheme="minorHAnsi" w:hAnsiTheme="minorHAnsi" w:cs="Calibri"/>
                <w:b/>
                <w:sz w:val="20"/>
                <w:szCs w:val="20"/>
              </w:rPr>
              <w:t>Industry/sector</w:t>
            </w:r>
          </w:p>
        </w:tc>
        <w:tc>
          <w:tcPr>
            <w:tcW w:w="2217" w:type="dxa"/>
          </w:tcPr>
          <w:p w14:paraId="7E30268D" w14:textId="77777777" w:rsidR="00924664" w:rsidRPr="00653EEE" w:rsidRDefault="00924664">
            <w:pPr>
              <w:pStyle w:val="NormalWeb"/>
              <w:spacing w:line="259" w:lineRule="auto"/>
              <w:rPr>
                <w:rFonts w:asciiTheme="minorHAnsi" w:hAnsiTheme="minorHAnsi" w:cs="Calibri"/>
                <w:b/>
                <w:sz w:val="20"/>
                <w:szCs w:val="20"/>
              </w:rPr>
            </w:pPr>
            <w:r w:rsidRPr="00653EEE">
              <w:rPr>
                <w:rFonts w:asciiTheme="minorHAnsi" w:hAnsiTheme="minorHAnsi" w:cs="Calibri"/>
                <w:b/>
                <w:sz w:val="20"/>
                <w:szCs w:val="20"/>
              </w:rPr>
              <w:t>Decision issued</w:t>
            </w:r>
          </w:p>
        </w:tc>
      </w:tr>
      <w:tr w:rsidR="00924664" w:rsidRPr="00167CB8" w14:paraId="5B3A548C" w14:textId="77777777" w:rsidTr="00F51742">
        <w:tc>
          <w:tcPr>
            <w:tcW w:w="4248" w:type="dxa"/>
          </w:tcPr>
          <w:p w14:paraId="7DE99803" w14:textId="77777777" w:rsidR="00924664" w:rsidRPr="00BC3D97" w:rsidRDefault="00924664">
            <w:pPr>
              <w:pStyle w:val="FootnoteText"/>
              <w:spacing w:line="259" w:lineRule="auto"/>
              <w:rPr>
                <w:rFonts w:cs="Calibri"/>
                <w:sz w:val="20"/>
              </w:rPr>
            </w:pPr>
            <w:r w:rsidRPr="00BC3D97">
              <w:rPr>
                <w:rFonts w:cs="Calibri"/>
                <w:i/>
                <w:sz w:val="20"/>
                <w:lang w:val="en-US"/>
              </w:rPr>
              <w:t xml:space="preserve">United Workers’ Union, Australian Education Union and Independent Education Union of Australia </w:t>
            </w:r>
            <w:r w:rsidRPr="00BC3D97">
              <w:rPr>
                <w:rFonts w:cs="Calibri"/>
                <w:sz w:val="20"/>
                <w:lang w:val="en-US"/>
              </w:rPr>
              <w:t>[2023] FWCFB 176</w:t>
            </w:r>
          </w:p>
        </w:tc>
        <w:tc>
          <w:tcPr>
            <w:tcW w:w="2551" w:type="dxa"/>
          </w:tcPr>
          <w:p w14:paraId="0579AD52" w14:textId="77777777" w:rsidR="00924664" w:rsidRPr="00BC3D97" w:rsidRDefault="00924664">
            <w:pPr>
              <w:pStyle w:val="NormalWeb"/>
              <w:spacing w:line="259" w:lineRule="auto"/>
              <w:rPr>
                <w:rFonts w:asciiTheme="minorHAnsi" w:hAnsiTheme="minorHAnsi" w:cs="Calibri"/>
                <w:sz w:val="20"/>
                <w:szCs w:val="20"/>
              </w:rPr>
            </w:pPr>
            <w:r w:rsidRPr="00BC3D97">
              <w:rPr>
                <w:rFonts w:asciiTheme="minorHAnsi" w:hAnsiTheme="minorHAnsi" w:cs="Calibri"/>
                <w:sz w:val="20"/>
                <w:szCs w:val="20"/>
              </w:rPr>
              <w:t>Early childhood education and care</w:t>
            </w:r>
          </w:p>
        </w:tc>
        <w:tc>
          <w:tcPr>
            <w:tcW w:w="2217" w:type="dxa"/>
          </w:tcPr>
          <w:p w14:paraId="27FACA94" w14:textId="77777777" w:rsidR="00924664" w:rsidRPr="00BC3D97" w:rsidRDefault="00924664">
            <w:pPr>
              <w:pStyle w:val="NormalWeb"/>
              <w:spacing w:line="259" w:lineRule="auto"/>
              <w:rPr>
                <w:rFonts w:asciiTheme="minorHAnsi" w:hAnsiTheme="minorHAnsi" w:cs="Calibri"/>
                <w:sz w:val="20"/>
                <w:szCs w:val="20"/>
              </w:rPr>
            </w:pPr>
            <w:r w:rsidRPr="00BC3D97">
              <w:rPr>
                <w:rFonts w:asciiTheme="minorHAnsi" w:hAnsiTheme="minorHAnsi" w:cs="Calibri"/>
                <w:sz w:val="20"/>
                <w:szCs w:val="20"/>
              </w:rPr>
              <w:t>27 September 2023</w:t>
            </w:r>
          </w:p>
        </w:tc>
      </w:tr>
      <w:tr w:rsidR="00924664" w:rsidRPr="00167CB8" w14:paraId="5DD57C8D" w14:textId="77777777" w:rsidTr="00F51742">
        <w:tc>
          <w:tcPr>
            <w:tcW w:w="4248" w:type="dxa"/>
          </w:tcPr>
          <w:p w14:paraId="67CA7552" w14:textId="7208F82C" w:rsidR="00924664" w:rsidRPr="00BC3D97" w:rsidRDefault="00924664">
            <w:pPr>
              <w:pStyle w:val="NormalWeb"/>
              <w:spacing w:line="259" w:lineRule="auto"/>
              <w:rPr>
                <w:rFonts w:asciiTheme="minorHAnsi" w:hAnsiTheme="minorHAnsi" w:cs="Calibri"/>
                <w:sz w:val="20"/>
                <w:szCs w:val="20"/>
              </w:rPr>
            </w:pPr>
            <w:r w:rsidRPr="00BC3D97">
              <w:rPr>
                <w:rFonts w:asciiTheme="minorHAnsi" w:eastAsiaTheme="majorEastAsia" w:hAnsiTheme="minorHAnsi" w:cs="Calibri"/>
                <w:i/>
                <w:sz w:val="20"/>
                <w:szCs w:val="20"/>
              </w:rPr>
              <w:t xml:space="preserve">Australian Municipal, Administrative, Clerical and Services Union v Australian Capital Territory Council of Social Services Inc </w:t>
            </w:r>
            <w:r w:rsidRPr="00653EEE" w:rsidDel="00D420A6">
              <w:rPr>
                <w:rFonts w:asciiTheme="minorHAnsi" w:eastAsiaTheme="majorEastAsia" w:hAnsiTheme="minorHAnsi" w:cs="Calibri"/>
                <w:i/>
                <w:sz w:val="20"/>
                <w:szCs w:val="20"/>
              </w:rPr>
              <w:t>T/A</w:t>
            </w:r>
            <w:r w:rsidRPr="00BC3D97">
              <w:rPr>
                <w:rFonts w:asciiTheme="minorHAnsi" w:eastAsiaTheme="majorEastAsia" w:hAnsiTheme="minorHAnsi" w:cs="Calibri"/>
                <w:i/>
                <w:sz w:val="20"/>
                <w:szCs w:val="20"/>
              </w:rPr>
              <w:t xml:space="preserve"> ACTOSS and Others </w:t>
            </w:r>
            <w:r w:rsidRPr="00BC3D97">
              <w:rPr>
                <w:rFonts w:asciiTheme="minorHAnsi" w:eastAsiaTheme="majorEastAsia" w:hAnsiTheme="minorHAnsi" w:cs="Calibri"/>
                <w:sz w:val="20"/>
                <w:szCs w:val="20"/>
              </w:rPr>
              <w:t>[2024] FWC 2306</w:t>
            </w:r>
          </w:p>
        </w:tc>
        <w:tc>
          <w:tcPr>
            <w:tcW w:w="2551" w:type="dxa"/>
          </w:tcPr>
          <w:p w14:paraId="5D03AB4C" w14:textId="77777777" w:rsidR="00924664" w:rsidRPr="00BC3D97" w:rsidRDefault="00924664">
            <w:pPr>
              <w:pStyle w:val="NormalWeb"/>
              <w:spacing w:line="259" w:lineRule="auto"/>
              <w:rPr>
                <w:rFonts w:asciiTheme="minorHAnsi" w:hAnsiTheme="minorHAnsi" w:cs="Calibri"/>
                <w:sz w:val="20"/>
                <w:szCs w:val="20"/>
              </w:rPr>
            </w:pPr>
            <w:r w:rsidRPr="00BC3D97">
              <w:rPr>
                <w:rFonts w:asciiTheme="minorHAnsi" w:hAnsiTheme="minorHAnsi" w:cs="Calibri"/>
                <w:sz w:val="20"/>
                <w:szCs w:val="20"/>
              </w:rPr>
              <w:t>Social and community services</w:t>
            </w:r>
          </w:p>
        </w:tc>
        <w:tc>
          <w:tcPr>
            <w:tcW w:w="2217" w:type="dxa"/>
          </w:tcPr>
          <w:p w14:paraId="70CF5AA6" w14:textId="77777777" w:rsidR="00924664" w:rsidRPr="00BC3D97" w:rsidRDefault="00924664">
            <w:pPr>
              <w:pStyle w:val="NormalWeb"/>
              <w:spacing w:line="259" w:lineRule="auto"/>
              <w:rPr>
                <w:rFonts w:asciiTheme="minorHAnsi" w:hAnsiTheme="minorHAnsi" w:cs="Calibri"/>
                <w:sz w:val="20"/>
                <w:szCs w:val="20"/>
              </w:rPr>
            </w:pPr>
            <w:r w:rsidRPr="00BC3D97">
              <w:rPr>
                <w:rFonts w:asciiTheme="minorHAnsi" w:hAnsiTheme="minorHAnsi" w:cs="Calibri"/>
                <w:sz w:val="20"/>
                <w:szCs w:val="20"/>
              </w:rPr>
              <w:t>7 August 2024</w:t>
            </w:r>
          </w:p>
        </w:tc>
      </w:tr>
      <w:tr w:rsidR="00924664" w:rsidRPr="00167CB8" w14:paraId="5B655A1E" w14:textId="77777777" w:rsidTr="00F51742">
        <w:tc>
          <w:tcPr>
            <w:tcW w:w="4248" w:type="dxa"/>
          </w:tcPr>
          <w:p w14:paraId="62181CF0" w14:textId="7798E0A5" w:rsidR="00924664" w:rsidRPr="00D420A6" w:rsidRDefault="00924664">
            <w:pPr>
              <w:pStyle w:val="NormalWeb"/>
              <w:spacing w:line="259" w:lineRule="auto"/>
              <w:rPr>
                <w:rFonts w:asciiTheme="minorHAnsi" w:eastAsiaTheme="majorEastAsia" w:hAnsiTheme="minorHAnsi" w:cs="Calibri"/>
                <w:i/>
                <w:iCs/>
                <w:sz w:val="20"/>
                <w:szCs w:val="20"/>
              </w:rPr>
            </w:pPr>
            <w:r w:rsidRPr="00D420A6">
              <w:rPr>
                <w:rFonts w:asciiTheme="minorHAnsi" w:eastAsiaTheme="majorEastAsia" w:hAnsiTheme="minorHAnsi" w:cs="Calibri"/>
                <w:i/>
                <w:iCs/>
                <w:sz w:val="20"/>
                <w:szCs w:val="20"/>
              </w:rPr>
              <w:t xml:space="preserve">Australian Municipal, Administrative, Clerical and Services Union v Inner Melbourne Community Legal Inc </w:t>
            </w:r>
            <w:r w:rsidRPr="00D420A6" w:rsidDel="00D420A6">
              <w:rPr>
                <w:rFonts w:asciiTheme="minorHAnsi" w:eastAsiaTheme="majorEastAsia" w:hAnsiTheme="minorHAnsi" w:cs="Calibri"/>
                <w:i/>
                <w:iCs/>
                <w:sz w:val="20"/>
                <w:szCs w:val="20"/>
              </w:rPr>
              <w:t>T/A</w:t>
            </w:r>
            <w:r w:rsidRPr="00D420A6">
              <w:rPr>
                <w:rFonts w:asciiTheme="minorHAnsi" w:eastAsiaTheme="majorEastAsia" w:hAnsiTheme="minorHAnsi" w:cs="Calibri"/>
                <w:i/>
                <w:iCs/>
                <w:sz w:val="20"/>
                <w:szCs w:val="20"/>
              </w:rPr>
              <w:t xml:space="preserve"> Inner Melbourne Community Legal, Young People’s Legal Rights Centre Inc </w:t>
            </w:r>
            <w:r w:rsidRPr="00D420A6" w:rsidDel="00D420A6">
              <w:rPr>
                <w:rFonts w:asciiTheme="minorHAnsi" w:eastAsiaTheme="majorEastAsia" w:hAnsiTheme="minorHAnsi" w:cs="Calibri"/>
                <w:i/>
                <w:iCs/>
                <w:sz w:val="20"/>
                <w:szCs w:val="20"/>
              </w:rPr>
              <w:t>T/A</w:t>
            </w:r>
            <w:r w:rsidRPr="00D420A6">
              <w:rPr>
                <w:rFonts w:asciiTheme="minorHAnsi" w:eastAsiaTheme="majorEastAsia" w:hAnsiTheme="minorHAnsi" w:cs="Calibri"/>
                <w:i/>
                <w:iCs/>
                <w:sz w:val="20"/>
                <w:szCs w:val="20"/>
              </w:rPr>
              <w:t xml:space="preserve"> Youthlaw</w:t>
            </w:r>
            <w:r w:rsidRPr="00D420A6">
              <w:rPr>
                <w:rFonts w:asciiTheme="minorHAnsi" w:eastAsiaTheme="majorEastAsia" w:hAnsiTheme="minorHAnsi" w:cs="Calibri"/>
                <w:sz w:val="20"/>
                <w:szCs w:val="20"/>
              </w:rPr>
              <w:t xml:space="preserve"> [2024] FWC 2491</w:t>
            </w:r>
          </w:p>
        </w:tc>
        <w:tc>
          <w:tcPr>
            <w:tcW w:w="2551" w:type="dxa"/>
          </w:tcPr>
          <w:p w14:paraId="521B1CB8" w14:textId="77777777" w:rsidR="00924664" w:rsidRPr="00BC3D97" w:rsidRDefault="00924664">
            <w:pPr>
              <w:pStyle w:val="NormalWeb"/>
              <w:spacing w:line="259" w:lineRule="auto"/>
              <w:rPr>
                <w:rFonts w:asciiTheme="minorHAnsi" w:hAnsiTheme="minorHAnsi" w:cs="Calibri"/>
                <w:sz w:val="20"/>
                <w:szCs w:val="20"/>
              </w:rPr>
            </w:pPr>
            <w:r w:rsidRPr="00BC3D97">
              <w:rPr>
                <w:rFonts w:asciiTheme="minorHAnsi" w:hAnsiTheme="minorHAnsi" w:cs="Calibri"/>
                <w:sz w:val="20"/>
                <w:szCs w:val="20"/>
              </w:rPr>
              <w:t>Community legal</w:t>
            </w:r>
          </w:p>
        </w:tc>
        <w:tc>
          <w:tcPr>
            <w:tcW w:w="2217" w:type="dxa"/>
          </w:tcPr>
          <w:p w14:paraId="7529B082" w14:textId="77777777" w:rsidR="00924664" w:rsidRPr="00BC3D97" w:rsidRDefault="00924664">
            <w:pPr>
              <w:pStyle w:val="NormalWeb"/>
              <w:spacing w:line="259" w:lineRule="auto"/>
              <w:rPr>
                <w:rFonts w:asciiTheme="minorHAnsi" w:hAnsiTheme="minorHAnsi" w:cs="Calibri"/>
                <w:sz w:val="20"/>
                <w:szCs w:val="20"/>
              </w:rPr>
            </w:pPr>
            <w:r w:rsidRPr="00BC3D97">
              <w:rPr>
                <w:rFonts w:asciiTheme="minorHAnsi" w:hAnsiTheme="minorHAnsi" w:cs="Calibri"/>
                <w:sz w:val="20"/>
                <w:szCs w:val="20"/>
              </w:rPr>
              <w:t>16 September 2024</w:t>
            </w:r>
          </w:p>
        </w:tc>
      </w:tr>
      <w:tr w:rsidR="00924664" w:rsidRPr="00167CB8" w14:paraId="05F7EF45" w14:textId="77777777" w:rsidTr="00F51742">
        <w:tc>
          <w:tcPr>
            <w:tcW w:w="4248" w:type="dxa"/>
          </w:tcPr>
          <w:p w14:paraId="5A3F2A81" w14:textId="77777777" w:rsidR="00924664" w:rsidRPr="00D420A6" w:rsidRDefault="00924664">
            <w:pPr>
              <w:spacing w:after="160" w:line="259" w:lineRule="auto"/>
              <w:rPr>
                <w:sz w:val="20"/>
                <w:szCs w:val="20"/>
              </w:rPr>
            </w:pPr>
            <w:r w:rsidRPr="00D420A6">
              <w:rPr>
                <w:i/>
                <w:iCs/>
                <w:sz w:val="20"/>
                <w:szCs w:val="20"/>
              </w:rPr>
              <w:t>The Independent Education Union of Australia &amp; The United Workers’ Union v Aberdare Pre School Inc and Others</w:t>
            </w:r>
            <w:r w:rsidRPr="00D420A6">
              <w:rPr>
                <w:sz w:val="20"/>
                <w:szCs w:val="20"/>
              </w:rPr>
              <w:t xml:space="preserve"> [2024] FWC 2583</w:t>
            </w:r>
          </w:p>
        </w:tc>
        <w:tc>
          <w:tcPr>
            <w:tcW w:w="2551" w:type="dxa"/>
          </w:tcPr>
          <w:p w14:paraId="444E8F7F" w14:textId="77777777" w:rsidR="00924664" w:rsidRPr="00BC3D97" w:rsidRDefault="00924664">
            <w:pPr>
              <w:pStyle w:val="NormalWeb"/>
              <w:spacing w:line="259" w:lineRule="auto"/>
              <w:rPr>
                <w:rFonts w:asciiTheme="minorHAnsi" w:hAnsiTheme="minorHAnsi" w:cs="Calibri"/>
                <w:sz w:val="20"/>
                <w:szCs w:val="20"/>
              </w:rPr>
            </w:pPr>
            <w:r w:rsidRPr="00BC3D97">
              <w:rPr>
                <w:rFonts w:asciiTheme="minorHAnsi" w:hAnsiTheme="minorHAnsi" w:cs="Calibri"/>
                <w:sz w:val="20"/>
                <w:szCs w:val="20"/>
              </w:rPr>
              <w:t>Early childhood education and care</w:t>
            </w:r>
          </w:p>
        </w:tc>
        <w:tc>
          <w:tcPr>
            <w:tcW w:w="2217" w:type="dxa"/>
          </w:tcPr>
          <w:p w14:paraId="14E3E5EA" w14:textId="77777777" w:rsidR="00924664" w:rsidRPr="00BC3D97" w:rsidRDefault="00924664">
            <w:pPr>
              <w:pStyle w:val="NormalWeb"/>
              <w:spacing w:line="259" w:lineRule="auto"/>
              <w:rPr>
                <w:rFonts w:asciiTheme="minorHAnsi" w:hAnsiTheme="minorHAnsi" w:cs="Calibri"/>
                <w:sz w:val="20"/>
                <w:szCs w:val="20"/>
              </w:rPr>
            </w:pPr>
            <w:r w:rsidRPr="00BC3D97">
              <w:rPr>
                <w:rFonts w:asciiTheme="minorHAnsi" w:hAnsiTheme="minorHAnsi" w:cs="Calibri"/>
                <w:sz w:val="20"/>
                <w:szCs w:val="20"/>
              </w:rPr>
              <w:t>23 September 2024</w:t>
            </w:r>
          </w:p>
        </w:tc>
      </w:tr>
      <w:tr w:rsidR="00924664" w:rsidRPr="00167CB8" w14:paraId="2AE2C94F" w14:textId="77777777" w:rsidTr="00F51742">
        <w:trPr>
          <w:trHeight w:val="300"/>
        </w:trPr>
        <w:tc>
          <w:tcPr>
            <w:tcW w:w="4248" w:type="dxa"/>
          </w:tcPr>
          <w:p w14:paraId="13A2D275" w14:textId="388AD854" w:rsidR="00924664" w:rsidRPr="00D420A6" w:rsidRDefault="00924664">
            <w:pPr>
              <w:spacing w:line="259" w:lineRule="auto"/>
              <w:rPr>
                <w:i/>
                <w:sz w:val="20"/>
                <w:szCs w:val="20"/>
              </w:rPr>
            </w:pPr>
            <w:r w:rsidRPr="00D420A6">
              <w:rPr>
                <w:i/>
                <w:iCs/>
                <w:sz w:val="20"/>
                <w:szCs w:val="20"/>
              </w:rPr>
              <w:t xml:space="preserve">The Health Service Union &amp; The Australian Education Union v Alkira Disability Services Ltd </w:t>
            </w:r>
            <w:r w:rsidRPr="00D420A6" w:rsidDel="00D420A6">
              <w:rPr>
                <w:i/>
                <w:iCs/>
                <w:sz w:val="20"/>
                <w:szCs w:val="20"/>
              </w:rPr>
              <w:t>T/A</w:t>
            </w:r>
            <w:r w:rsidRPr="00D420A6">
              <w:rPr>
                <w:i/>
                <w:iCs/>
                <w:sz w:val="20"/>
                <w:szCs w:val="20"/>
              </w:rPr>
              <w:t xml:space="preserve"> Alkira Centre and Others </w:t>
            </w:r>
            <w:r w:rsidRPr="00D420A6">
              <w:rPr>
                <w:rFonts w:eastAsia="Calibri" w:cs="Calibri"/>
                <w:sz w:val="20"/>
                <w:szCs w:val="20"/>
              </w:rPr>
              <w:t>[2024] FWC 2713</w:t>
            </w:r>
          </w:p>
        </w:tc>
        <w:tc>
          <w:tcPr>
            <w:tcW w:w="2551" w:type="dxa"/>
          </w:tcPr>
          <w:p w14:paraId="6870824E" w14:textId="77777777" w:rsidR="00924664" w:rsidRPr="00BC3D97" w:rsidRDefault="00924664">
            <w:pPr>
              <w:pStyle w:val="NormalWeb"/>
              <w:spacing w:line="259" w:lineRule="auto"/>
              <w:rPr>
                <w:rFonts w:asciiTheme="minorHAnsi" w:hAnsiTheme="minorHAnsi" w:cs="Calibri"/>
                <w:sz w:val="20"/>
                <w:szCs w:val="20"/>
              </w:rPr>
            </w:pPr>
            <w:r w:rsidRPr="00BC3D97">
              <w:rPr>
                <w:rFonts w:asciiTheme="minorHAnsi" w:hAnsiTheme="minorHAnsi" w:cs="Calibri"/>
                <w:sz w:val="20"/>
                <w:szCs w:val="20"/>
              </w:rPr>
              <w:t>Disability</w:t>
            </w:r>
          </w:p>
        </w:tc>
        <w:tc>
          <w:tcPr>
            <w:tcW w:w="2217" w:type="dxa"/>
          </w:tcPr>
          <w:p w14:paraId="3F43E631" w14:textId="40CF0C23" w:rsidR="00924664" w:rsidRPr="00BC3D97" w:rsidRDefault="00924664">
            <w:pPr>
              <w:pStyle w:val="NormalWeb"/>
              <w:spacing w:line="259" w:lineRule="auto"/>
              <w:rPr>
                <w:rFonts w:asciiTheme="minorHAnsi" w:hAnsiTheme="minorHAnsi" w:cs="Calibri"/>
                <w:sz w:val="20"/>
                <w:szCs w:val="20"/>
              </w:rPr>
            </w:pPr>
            <w:r>
              <w:rPr>
                <w:rFonts w:asciiTheme="minorHAnsi" w:hAnsiTheme="minorHAnsi" w:cs="Calibri"/>
                <w:sz w:val="20"/>
                <w:szCs w:val="20"/>
              </w:rPr>
              <w:t>4</w:t>
            </w:r>
            <w:r w:rsidRPr="00BC3D97">
              <w:rPr>
                <w:rFonts w:asciiTheme="minorHAnsi" w:hAnsiTheme="minorHAnsi" w:cs="Calibri"/>
                <w:sz w:val="20"/>
                <w:szCs w:val="20"/>
              </w:rPr>
              <w:t xml:space="preserve"> October 2024</w:t>
            </w:r>
          </w:p>
        </w:tc>
      </w:tr>
    </w:tbl>
    <w:p w14:paraId="59519791" w14:textId="0ACA55B6" w:rsidR="00924664" w:rsidRDefault="00D43E7B" w:rsidP="00051540">
      <w:pPr>
        <w:pStyle w:val="Source"/>
      </w:pPr>
      <w:r w:rsidRPr="00167CB8">
        <w:rPr>
          <w:b/>
          <w:bCs/>
        </w:rPr>
        <w:t>Source:</w:t>
      </w:r>
      <w:r w:rsidRPr="00167CB8">
        <w:t xml:space="preserve"> Table prepared using data from </w:t>
      </w:r>
      <w:r>
        <w:t>Fair Work Commission</w:t>
      </w:r>
      <w:r w:rsidRPr="00167CB8">
        <w:t xml:space="preserve"> website.</w:t>
      </w:r>
    </w:p>
    <w:p w14:paraId="2A307489" w14:textId="77777777" w:rsidR="00924664" w:rsidRPr="00167CB8" w:rsidRDefault="00924664" w:rsidP="00924664">
      <w:r w:rsidRPr="396ABCA7">
        <w:t>The Review Panel notes that these applications were not opposed by the employers named in the application.</w:t>
      </w:r>
      <w:r w:rsidRPr="396ABCA7">
        <w:rPr>
          <w:vertAlign w:val="superscript"/>
        </w:rPr>
        <w:footnoteReference w:id="423"/>
      </w:r>
    </w:p>
    <w:p w14:paraId="1FF383F6" w14:textId="74DB0D06" w:rsidR="00924664" w:rsidRPr="00167CB8" w:rsidRDefault="00924664" w:rsidP="00924664">
      <w:r w:rsidRPr="005A1ED6">
        <w:t>As at 21 February 2025 the FWC has approved one supported bargaining agreement</w:t>
      </w:r>
      <w:r>
        <w:t>,</w:t>
      </w:r>
      <w:r w:rsidRPr="005A1ED6">
        <w:t xml:space="preserve"> which relates to the </w:t>
      </w:r>
      <w:r w:rsidRPr="396ABCA7">
        <w:t>early childhood education and care sector</w:t>
      </w:r>
      <w:r>
        <w:t xml:space="preserve"> </w:t>
      </w:r>
      <w:r w:rsidRPr="005A1ED6">
        <w:t>(see discussion below).</w:t>
      </w:r>
      <w:r w:rsidRPr="005A1ED6">
        <w:rPr>
          <w:vertAlign w:val="superscript"/>
        </w:rPr>
        <w:footnoteReference w:id="424"/>
      </w:r>
    </w:p>
    <w:p w14:paraId="5B88BD43" w14:textId="09BC8C6F" w:rsidR="0011475D" w:rsidRDefault="00924664" w:rsidP="00924664">
      <w:r w:rsidRPr="396ABCA7">
        <w:rPr>
          <w:rFonts w:cs="Calibri"/>
        </w:rPr>
        <w:t>On 28 January 2025 the FWC approved 33 applications to vary a supported bargaining agreement to add employers and their employees to its coverage.</w:t>
      </w:r>
      <w:r w:rsidRPr="396ABCA7">
        <w:rPr>
          <w:rStyle w:val="FootnoteReference"/>
          <w:rFonts w:cs="Calibri"/>
        </w:rPr>
        <w:footnoteReference w:id="425"/>
      </w:r>
      <w:r w:rsidR="005031FF">
        <w:rPr>
          <w:rFonts w:cs="Calibri"/>
        </w:rPr>
        <w:t xml:space="preserve"> The FWC approved a further 136 applications on 18 March 2025.</w:t>
      </w:r>
      <w:r w:rsidR="005031FF">
        <w:rPr>
          <w:rStyle w:val="FootnoteReference"/>
          <w:rFonts w:cs="Calibri"/>
        </w:rPr>
        <w:footnoteReference w:id="426"/>
      </w:r>
    </w:p>
    <w:p w14:paraId="770386C3" w14:textId="6C8F965F" w:rsidR="00924664" w:rsidRPr="00653EEE" w:rsidRDefault="00924664" w:rsidP="00EC3517">
      <w:pPr>
        <w:pStyle w:val="Heading5"/>
      </w:pPr>
      <w:r w:rsidRPr="00653EEE">
        <w:lastRenderedPageBreak/>
        <w:t>11.2.2 Qualitative evidence</w:t>
      </w:r>
    </w:p>
    <w:p w14:paraId="5D55D32F" w14:textId="77777777" w:rsidR="00924664" w:rsidRPr="00167CB8" w:rsidRDefault="00924664" w:rsidP="00924664">
      <w:r w:rsidRPr="00167CB8">
        <w:t xml:space="preserve">Despite the small number of cases brought to FWC so far, the FWC has, through its early decisions, issued </w:t>
      </w:r>
      <w:r>
        <w:t xml:space="preserve">some </w:t>
      </w:r>
      <w:r w:rsidRPr="00167CB8">
        <w:t>guidance on the proper interpretation and application of the amended provisions.</w:t>
      </w:r>
    </w:p>
    <w:p w14:paraId="4093A517" w14:textId="03E520FD" w:rsidR="00924664" w:rsidRPr="00167CB8" w:rsidRDefault="00924664" w:rsidP="00924664">
      <w:r w:rsidRPr="396ABCA7">
        <w:t>The first application for a supported authorisation was a joint application of the United Workers Union (UWU), the Australian Education Union (AEU) and the Independent Education Union of Australia. It was not opposed by the employers who would be covered by the proposed agreement. The application concerned a proposed supported bargaining agreement in the early childhood education and care sector. The Australian Chamber of Commerce and Industry, Ai</w:t>
      </w:r>
      <w:r w:rsidR="00733909">
        <w:t> </w:t>
      </w:r>
      <w:r w:rsidRPr="396ABCA7">
        <w:t>Group and the Australian Council of Trade Unions were permitted to make submissions by the FWC.</w:t>
      </w:r>
    </w:p>
    <w:p w14:paraId="7B313639" w14:textId="082F4B54" w:rsidR="00924664" w:rsidRPr="00167CB8" w:rsidRDefault="00924664" w:rsidP="00924664">
      <w:r w:rsidRPr="396ABCA7">
        <w:t>On 27 September 2023 the Full Bench of the FWC granted the authorisation (i.e. permitted multi-employer bargaining between the named employers and their employees).</w:t>
      </w:r>
      <w:r w:rsidRPr="396ABCA7">
        <w:rPr>
          <w:vertAlign w:val="superscript"/>
        </w:rPr>
        <w:footnoteReference w:id="427"/>
      </w:r>
      <w:r w:rsidRPr="396ABCA7">
        <w:t xml:space="preserve"> A number of matters arising from the decision are worth noting.</w:t>
      </w:r>
    </w:p>
    <w:p w14:paraId="29FA24DD" w14:textId="77777777" w:rsidR="00924664" w:rsidRPr="00167CB8" w:rsidRDefault="00924664" w:rsidP="00924664">
      <w:r w:rsidRPr="396ABCA7">
        <w:t>First, the Full Bench of the FWC noted that the ‘principal contextual consideration’</w:t>
      </w:r>
      <w:r w:rsidRPr="396ABCA7">
        <w:rPr>
          <w:vertAlign w:val="superscript"/>
        </w:rPr>
        <w:footnoteReference w:id="428"/>
      </w:r>
      <w:r w:rsidRPr="396ABCA7">
        <w:t xml:space="preserve"> in its construction and application of the amended provisions was the modification of the existing provisions ‘with the objective of rendering the scheme more accessible and therefore more widely-used’.</w:t>
      </w:r>
      <w:r w:rsidRPr="396ABCA7">
        <w:rPr>
          <w:vertAlign w:val="superscript"/>
        </w:rPr>
        <w:footnoteReference w:id="429"/>
      </w:r>
      <w:r w:rsidRPr="396ABCA7">
        <w:t xml:space="preserve"> The FWC dismissed a submission by Ai Group that the FWC should not ‘lightly’ find that it is appropriate to make a supported bargaining authorisation. In FWC’s view, to do so would ‘likely … defeat or at least hinder the achievement of the apparent statutory intention’.</w:t>
      </w:r>
      <w:r w:rsidRPr="396ABCA7">
        <w:rPr>
          <w:vertAlign w:val="superscript"/>
        </w:rPr>
        <w:footnoteReference w:id="430"/>
      </w:r>
    </w:p>
    <w:p w14:paraId="7C650B5F" w14:textId="77777777" w:rsidR="00924664" w:rsidRPr="00167CB8" w:rsidRDefault="00924664" w:rsidP="00924664">
      <w:r w:rsidRPr="00167CB8">
        <w:t>Second, in considering the interpretation of the meaning of ‘prevailing rates of pay’ and ‘low rates of pay’, the Full Bench of the FWC held that the term is generally concerned with whether employees in the industry or sector (which necessarily extends beyond the employees covered by the application) are predominantly paid at or close to the relevant award rates of pay.</w:t>
      </w:r>
      <w:r w:rsidRPr="00167CB8">
        <w:rPr>
          <w:vertAlign w:val="superscript"/>
        </w:rPr>
        <w:footnoteReference w:id="431"/>
      </w:r>
      <w:r w:rsidRPr="00167CB8">
        <w:t xml:space="preserve"> This follows from the fact that these represent the ‘lowest rate legally available to pay’.</w:t>
      </w:r>
      <w:r w:rsidRPr="00167CB8">
        <w:rPr>
          <w:vertAlign w:val="superscript"/>
        </w:rPr>
        <w:footnoteReference w:id="432"/>
      </w:r>
    </w:p>
    <w:p w14:paraId="4B723A97" w14:textId="77777777" w:rsidR="00924664" w:rsidRPr="00167CB8" w:rsidRDefault="00924664" w:rsidP="00924664">
      <w:r w:rsidRPr="00167CB8">
        <w:t>Third, the Full Bench of the FWC stated that the expression ‘common interests’ is one of wide import and takes its ordinary meaning, extending to ‘any joint, shared, related or like characteristics, qualities, undertakings or concerns as between the relevant employers’.</w:t>
      </w:r>
      <w:r w:rsidRPr="00167CB8">
        <w:rPr>
          <w:vertAlign w:val="superscript"/>
        </w:rPr>
        <w:footnoteReference w:id="433"/>
      </w:r>
      <w:r w:rsidRPr="00167CB8">
        <w:t xml:space="preserve"> That the common interest must be clearly identifiable means they must be ‘plainly discernible or recognisable, but need not be self-evident’.</w:t>
      </w:r>
      <w:r w:rsidRPr="00167CB8">
        <w:rPr>
          <w:vertAlign w:val="superscript"/>
        </w:rPr>
        <w:footnoteReference w:id="434"/>
      </w:r>
    </w:p>
    <w:p w14:paraId="783E8F17" w14:textId="77777777" w:rsidR="00924664" w:rsidRPr="00167CB8" w:rsidRDefault="00924664" w:rsidP="00924664">
      <w:r w:rsidRPr="00167CB8">
        <w:lastRenderedPageBreak/>
        <w:t>Fourth, the Full Bench of the FWC held that a manageable collective bargaining process is one that is ‘workable or tractable’</w:t>
      </w:r>
      <w:r w:rsidRPr="00167CB8">
        <w:rPr>
          <w:vertAlign w:val="superscript"/>
        </w:rPr>
        <w:footnoteReference w:id="435"/>
      </w:r>
      <w:r w:rsidRPr="00167CB8">
        <w:t xml:space="preserve"> and only concerned with scenarios that are ‘probable to happen – not what may possibly happen’.</w:t>
      </w:r>
      <w:r w:rsidRPr="00167CB8">
        <w:rPr>
          <w:vertAlign w:val="superscript"/>
        </w:rPr>
        <w:footnoteReference w:id="436"/>
      </w:r>
      <w:r w:rsidRPr="00167CB8">
        <w:t xml:space="preserve"> The inquiry is directed to a collective bargaining process and not the outcome of bargaining</w:t>
      </w:r>
      <w:r>
        <w:t>,</w:t>
      </w:r>
      <w:r w:rsidRPr="00167CB8">
        <w:t xml:space="preserve"> such that the prospect of agreement being reached is irrelevant.</w:t>
      </w:r>
    </w:p>
    <w:p w14:paraId="2CEE31B6" w14:textId="77777777" w:rsidR="0011475D" w:rsidRDefault="00924664" w:rsidP="00924664">
      <w:r w:rsidRPr="00167CB8">
        <w:t>Fifth, the Full Bench of the FWC determined it would not engage with submissions that ‘did not relate to the present application and were highly hypothetical in nature’ and that these submissions should be considered in future applications if they are of relevance.</w:t>
      </w:r>
      <w:r w:rsidRPr="00167CB8">
        <w:rPr>
          <w:vertAlign w:val="superscript"/>
        </w:rPr>
        <w:footnoteReference w:id="437"/>
      </w:r>
    </w:p>
    <w:p w14:paraId="286BAB49" w14:textId="1C53CEC0" w:rsidR="00924664" w:rsidRPr="00167CB8" w:rsidRDefault="00D420A6" w:rsidP="00924664">
      <w:r>
        <w:t>F</w:t>
      </w:r>
      <w:r w:rsidR="00924664" w:rsidRPr="00167CB8">
        <w:t>inally, the Full Bench of the FWC considered it weighed in favour of granting that the authorisation would be consistent with the object of the Fair Work Act concerned with the promotion of gender equality</w:t>
      </w:r>
      <w:r w:rsidR="00924664" w:rsidRPr="00167CB8">
        <w:rPr>
          <w:vertAlign w:val="superscript"/>
        </w:rPr>
        <w:footnoteReference w:id="438"/>
      </w:r>
      <w:r w:rsidR="00924664" w:rsidRPr="00167CB8">
        <w:t xml:space="preserve"> and the object of the supported bargaining provisions to support effective bargaining.</w:t>
      </w:r>
      <w:r w:rsidR="00924664" w:rsidRPr="00167CB8">
        <w:rPr>
          <w:vertAlign w:val="superscript"/>
        </w:rPr>
        <w:footnoteReference w:id="439"/>
      </w:r>
    </w:p>
    <w:p w14:paraId="4596D14E" w14:textId="35888190" w:rsidR="00924664" w:rsidRPr="00167CB8" w:rsidRDefault="00924664" w:rsidP="00924664">
      <w:r w:rsidRPr="396ABCA7">
        <w:t xml:space="preserve">On 10 December 2024 the Full Bench of the FWC approved the first supported bargaining agreement, which now operates in the early childhood education and care sector (the </w:t>
      </w:r>
      <w:r w:rsidR="00D420A6" w:rsidRPr="008D5D6E">
        <w:rPr>
          <w:i/>
        </w:rPr>
        <w:t xml:space="preserve">Early Childhood Education and Care </w:t>
      </w:r>
      <w:r w:rsidRPr="008D5D6E">
        <w:rPr>
          <w:i/>
        </w:rPr>
        <w:t>Agreement</w:t>
      </w:r>
      <w:r w:rsidR="00D420A6">
        <w:t xml:space="preserve"> (ECEC Agreement)</w:t>
      </w:r>
      <w:r w:rsidRPr="396ABCA7">
        <w:t>).</w:t>
      </w:r>
      <w:r w:rsidRPr="396ABCA7">
        <w:rPr>
          <w:vertAlign w:val="superscript"/>
        </w:rPr>
        <w:footnoteReference w:id="440"/>
      </w:r>
      <w:r w:rsidRPr="396ABCA7">
        <w:t xml:space="preserve"> The ECEC Agreement commenced </w:t>
      </w:r>
      <w:r>
        <w:t>operating from</w:t>
      </w:r>
      <w:r w:rsidRPr="396ABCA7">
        <w:t xml:space="preserve"> 17 December 2024 and will nominally expire on 30 November 2026. The UWU, the AEU and the Independent Education Union of Australia participated in bargaining and are covered by the ECEC Agreement.</w:t>
      </w:r>
    </w:p>
    <w:p w14:paraId="45E8899B" w14:textId="77777777" w:rsidR="00924664" w:rsidRPr="00167CB8" w:rsidRDefault="00924664" w:rsidP="00924664">
      <w:r w:rsidRPr="00167CB8">
        <w:t xml:space="preserve">In its </w:t>
      </w:r>
      <w:r>
        <w:t>full</w:t>
      </w:r>
      <w:r w:rsidRPr="00167CB8">
        <w:t xml:space="preserve"> reasons for approving the ECEC Agreement, the FWC noted that the agreement, at that time, covered 60 employers and approximately 12,000 employees.</w:t>
      </w:r>
      <w:r w:rsidRPr="00167CB8">
        <w:rPr>
          <w:vertAlign w:val="superscript"/>
        </w:rPr>
        <w:footnoteReference w:id="441"/>
      </w:r>
      <w:r w:rsidRPr="00167CB8">
        <w:t xml:space="preserve"> Bargaining for the agreement was undertaken with significant assistance from the FWC, including approximately 20 conferences</w:t>
      </w:r>
      <w:r w:rsidRPr="00167CB8">
        <w:rPr>
          <w:vertAlign w:val="superscript"/>
        </w:rPr>
        <w:footnoteReference w:id="442"/>
      </w:r>
      <w:r w:rsidRPr="00167CB8">
        <w:t xml:space="preserve"> and, it seems, significant goodwill between all bargaining parties.</w:t>
      </w:r>
      <w:r w:rsidRPr="00167CB8">
        <w:rPr>
          <w:vertAlign w:val="superscript"/>
        </w:rPr>
        <w:footnoteReference w:id="443"/>
      </w:r>
      <w:r w:rsidRPr="00167CB8">
        <w:t xml:space="preserve"> Bargaining was significantly assisted by the direct participation of the Australian Government, meaning the process was a ‘helpful forum’</w:t>
      </w:r>
      <w:r w:rsidRPr="00167CB8">
        <w:rPr>
          <w:vertAlign w:val="superscript"/>
        </w:rPr>
        <w:footnoteReference w:id="444"/>
      </w:r>
      <w:r w:rsidRPr="00167CB8">
        <w:t xml:space="preserve"> for direct liaison between bargaining representatives and the Australian Government</w:t>
      </w:r>
      <w:r>
        <w:t>,</w:t>
      </w:r>
      <w:r w:rsidRPr="00167CB8">
        <w:t xml:space="preserve"> allowing the Australian Government an insight into the real-time progress of the process.</w:t>
      </w:r>
    </w:p>
    <w:p w14:paraId="04F3EB36" w14:textId="753C6DD0" w:rsidR="00924664" w:rsidRPr="00167CB8" w:rsidRDefault="00924664" w:rsidP="00924664">
      <w:r w:rsidRPr="396ABCA7">
        <w:t xml:space="preserve">The Review Panel notes that the initial authorisation for this bargaining included an additional </w:t>
      </w:r>
      <w:r w:rsidR="00733909">
        <w:t xml:space="preserve">four </w:t>
      </w:r>
      <w:r w:rsidRPr="396ABCA7">
        <w:t>employers and their employees. In its approval decision, the Full Bench of the FWC noted that these employers did not put the agreement to a vote of their employees because of a change in their circumstances since the authorisation was made.</w:t>
      </w:r>
      <w:r w:rsidRPr="396ABCA7">
        <w:rPr>
          <w:vertAlign w:val="superscript"/>
        </w:rPr>
        <w:footnoteReference w:id="445"/>
      </w:r>
    </w:p>
    <w:p w14:paraId="1C931950" w14:textId="77777777" w:rsidR="00924664" w:rsidRPr="00167CB8" w:rsidRDefault="00924664" w:rsidP="00924664">
      <w:r w:rsidRPr="396ABCA7">
        <w:lastRenderedPageBreak/>
        <w:t>The ECEC Agreement includes substantial pay increases of 10% of the applicable award rate in the first year of operation and an additional 5% in the second year. This increase is supported by a financial commitment by the Commonwealth as the majority funder of the early childhood education and care sector. The Early Childhood Education and Care Worker Retention Payment commenced on 2 December 2024.</w:t>
      </w:r>
    </w:p>
    <w:p w14:paraId="1D1D49DA" w14:textId="1BCD6C93" w:rsidR="0011475D" w:rsidRDefault="00924664" w:rsidP="00924664">
      <w:r w:rsidRPr="00167CB8">
        <w:t>As noted above, on 28 January 2025 the FWC approved 33 variation applications to add employers and their employees</w:t>
      </w:r>
      <w:r>
        <w:rPr>
          <w:rStyle w:val="FootnoteReference"/>
        </w:rPr>
        <w:footnoteReference w:id="446"/>
      </w:r>
      <w:r w:rsidRPr="00167CB8">
        <w:t xml:space="preserve"> to the coverage of the ECEC </w:t>
      </w:r>
      <w:r w:rsidRPr="005A1ED6">
        <w:t>Agreement.</w:t>
      </w:r>
      <w:r w:rsidRPr="005A1ED6">
        <w:rPr>
          <w:rStyle w:val="FootnoteReference"/>
          <w:rFonts w:cs="Calibri"/>
        </w:rPr>
        <w:footnoteReference w:id="447"/>
      </w:r>
      <w:r w:rsidRPr="005A1ED6">
        <w:t xml:space="preserve"> These applications were made by consent</w:t>
      </w:r>
      <w:r w:rsidR="00733909">
        <w:t>,</w:t>
      </w:r>
      <w:r w:rsidRPr="005A1ED6">
        <w:rPr>
          <w:rStyle w:val="FootnoteReference"/>
        </w:rPr>
        <w:footnoteReference w:id="448"/>
      </w:r>
      <w:r w:rsidRPr="005A1ED6">
        <w:t xml:space="preserve"> as the employers and their relevant employees agreed to be covered by the ECEC Agreement.</w:t>
      </w:r>
      <w:r w:rsidRPr="005A1ED6">
        <w:rPr>
          <w:rStyle w:val="FootnoteReference"/>
        </w:rPr>
        <w:footnoteReference w:id="449"/>
      </w:r>
    </w:p>
    <w:p w14:paraId="54E82D2E" w14:textId="43A11CE1" w:rsidR="00733909" w:rsidRDefault="00924664" w:rsidP="00924664">
      <w:r w:rsidRPr="005A1ED6">
        <w:t>The FWC was satisfied that the 33 employers ‘had both a sufficient interest in the variation and are sufficiently representative of the employees to be included in the ECEC Agreement’</w:t>
      </w:r>
      <w:r w:rsidRPr="005A1ED6">
        <w:rPr>
          <w:rStyle w:val="FootnoteReference"/>
        </w:rPr>
        <w:footnoteReference w:id="450"/>
      </w:r>
      <w:r w:rsidRPr="005A1ED6" w:rsidDel="00733909">
        <w:t xml:space="preserve"> </w:t>
      </w:r>
      <w:r w:rsidRPr="005A1ED6">
        <w:t>and met the ‘serious public interest grounds’ test.</w:t>
      </w:r>
      <w:r w:rsidRPr="005A1ED6">
        <w:rPr>
          <w:rStyle w:val="FootnoteReference"/>
        </w:rPr>
        <w:footnoteReference w:id="451"/>
      </w:r>
    </w:p>
    <w:p w14:paraId="7697CB8F" w14:textId="3D8A4AF6" w:rsidR="0011475D" w:rsidRDefault="00924664" w:rsidP="00924664">
      <w:r w:rsidRPr="005A1ED6">
        <w:t xml:space="preserve">Notwithstanding the approval of the variations, the FWC </w:t>
      </w:r>
      <w:r w:rsidR="00EA0F36">
        <w:t>made</w:t>
      </w:r>
      <w:r w:rsidR="00EA0F36" w:rsidRPr="005A1ED6">
        <w:t xml:space="preserve"> </w:t>
      </w:r>
      <w:r w:rsidRPr="005A1ED6">
        <w:t>two key observations in this decision.</w:t>
      </w:r>
      <w:r w:rsidR="00733909">
        <w:t xml:space="preserve"> </w:t>
      </w:r>
      <w:r w:rsidRPr="005A1ED6">
        <w:t>First, the FWC did not have the express capacity to ‘seek and accept undertakings’ for a supported bargaining variation application to add employers and their employees. More specifically, the FWC’s capacity to approve the variation of an enterprise agreement because of the undertakings as provided in s 211</w:t>
      </w:r>
      <w:r w:rsidRPr="005A1ED6">
        <w:rPr>
          <w:rStyle w:val="FootnoteReference"/>
        </w:rPr>
        <w:footnoteReference w:id="452"/>
      </w:r>
      <w:r w:rsidRPr="005A1ED6">
        <w:t xml:space="preserve"> of the Fair Work Act only applies to an application made under s 210</w:t>
      </w:r>
      <w:r w:rsidRPr="005A1ED6">
        <w:rPr>
          <w:rStyle w:val="FootnoteReference"/>
        </w:rPr>
        <w:footnoteReference w:id="453"/>
      </w:r>
      <w:r w:rsidRPr="005A1ED6">
        <w:t xml:space="preserve"> of the Fair Work Act.</w:t>
      </w:r>
      <w:r w:rsidRPr="005A1ED6">
        <w:rPr>
          <w:rStyle w:val="FootnoteReference"/>
        </w:rPr>
        <w:footnoteReference w:id="454"/>
      </w:r>
      <w:r w:rsidRPr="005A1ED6">
        <w:t xml:space="preserve"> This presented a practical complication given the original ECEC Agreement application</w:t>
      </w:r>
      <w:r w:rsidRPr="005A1ED6">
        <w:rPr>
          <w:rStyle w:val="FootnoteReference"/>
        </w:rPr>
        <w:footnoteReference w:id="455"/>
      </w:r>
      <w:r w:rsidRPr="005A1ED6">
        <w:t xml:space="preserve"> was</w:t>
      </w:r>
      <w:r w:rsidRPr="005A1ED6" w:rsidDel="00214A70">
        <w:t xml:space="preserve"> </w:t>
      </w:r>
      <w:r w:rsidRPr="005A1ED6">
        <w:t>approved with undertakings</w:t>
      </w:r>
      <w:r w:rsidRPr="005A1ED6">
        <w:rPr>
          <w:rStyle w:val="FootnoteReference"/>
        </w:rPr>
        <w:footnoteReference w:id="456"/>
      </w:r>
      <w:r w:rsidRPr="005A1ED6">
        <w:t xml:space="preserve"> that became a term of the agreement for the 60 original employers covered by the ECEC Agreement.</w:t>
      </w:r>
      <w:r w:rsidRPr="005A1ED6">
        <w:rPr>
          <w:rStyle w:val="FootnoteReference"/>
        </w:rPr>
        <w:footnoteReference w:id="457"/>
      </w:r>
    </w:p>
    <w:p w14:paraId="49A44AB8" w14:textId="77777777" w:rsidR="0011475D" w:rsidRDefault="00924664" w:rsidP="00924664">
      <w:r w:rsidRPr="005A1ED6">
        <w:t>Consequently, the FWC sought an ‘assurance’ from the applicant employers addressing matters relevant to the undertakings. While the ‘assurance’ did not form part of the ECEC Agreement, the FWC mentioned its expectations that the employers honour their commitments.</w:t>
      </w:r>
      <w:r w:rsidRPr="005A1ED6">
        <w:rPr>
          <w:rStyle w:val="FootnoteReference"/>
        </w:rPr>
        <w:footnoteReference w:id="458"/>
      </w:r>
    </w:p>
    <w:p w14:paraId="3F59022E" w14:textId="067C891C" w:rsidR="00924664" w:rsidRDefault="00924664" w:rsidP="00924664">
      <w:r w:rsidRPr="005A1ED6">
        <w:t>Second, the FWC observed that the employers’ application did not reflect the most up</w:t>
      </w:r>
      <w:r w:rsidR="00733909">
        <w:t>-</w:t>
      </w:r>
      <w:r w:rsidRPr="005A1ED6">
        <w:t>to</w:t>
      </w:r>
      <w:r w:rsidR="00733909">
        <w:t>-</w:t>
      </w:r>
      <w:r w:rsidRPr="005A1ED6">
        <w:t>date version of the ECEC Agreement</w:t>
      </w:r>
      <w:r w:rsidR="00733909">
        <w:t>,</w:t>
      </w:r>
      <w:r w:rsidRPr="005A1ED6">
        <w:t xml:space="preserve"> as it did not include a complete list of the employers </w:t>
      </w:r>
      <w:r w:rsidR="00733909">
        <w:t xml:space="preserve">that </w:t>
      </w:r>
      <w:r w:rsidRPr="005A1ED6">
        <w:t xml:space="preserve">are covered by this agreement. Therefore, the FWC relied on the powers under </w:t>
      </w:r>
      <w:r w:rsidRPr="005A1ED6" w:rsidDel="00733909">
        <w:t>s</w:t>
      </w:r>
      <w:r w:rsidRPr="005A1ED6">
        <w:t xml:space="preserve"> 586(b) of the Fair Work Act to waive a ‘minor irregularity’ in the application, which was only adding an additional employer.</w:t>
      </w:r>
      <w:r w:rsidRPr="005A1ED6">
        <w:rPr>
          <w:rStyle w:val="FootnoteReference"/>
        </w:rPr>
        <w:footnoteReference w:id="459"/>
      </w:r>
    </w:p>
    <w:p w14:paraId="22A82870" w14:textId="7E660B5D" w:rsidR="0011475D" w:rsidRDefault="00BD550D" w:rsidP="00924664">
      <w:r>
        <w:lastRenderedPageBreak/>
        <w:t xml:space="preserve">Separately, </w:t>
      </w:r>
      <w:r w:rsidR="007862E7">
        <w:t>o</w:t>
      </w:r>
      <w:r w:rsidR="00924664" w:rsidRPr="396ABCA7">
        <w:t>n 5 August 2024 the Shop, Distributive and Allied Employees Association applied for a supported bargaining authorisation relating to a proposed agreement to cover 14 McDonald’s franchisees in South Australia.</w:t>
      </w:r>
      <w:r w:rsidR="00924664" w:rsidRPr="396ABCA7">
        <w:rPr>
          <w:vertAlign w:val="superscript"/>
        </w:rPr>
        <w:footnoteReference w:id="460"/>
      </w:r>
      <w:r w:rsidR="00924664" w:rsidRPr="396ABCA7">
        <w:t xml:space="preserve"> The employers who would be covered by the proposed supported bargaining agreement do not consent to the authorisation being made. Among other issues, it appears to be in dispute whether the employers have clearly identifiable common interests because of each other’s material differences such as structures, sizes, operations, geographical location (which impacts labour) and type of restaurant (i.e. freestanding, in-store, drive-through).</w:t>
      </w:r>
      <w:r w:rsidR="00924664" w:rsidRPr="396ABCA7">
        <w:rPr>
          <w:vertAlign w:val="superscript"/>
        </w:rPr>
        <w:footnoteReference w:id="461"/>
      </w:r>
      <w:r w:rsidR="00924664" w:rsidRPr="396ABCA7">
        <w:t xml:space="preserve"> </w:t>
      </w:r>
      <w:r w:rsidR="00924664" w:rsidRPr="005F2113">
        <w:t>The matter is currently before the FWC.</w:t>
      </w:r>
    </w:p>
    <w:p w14:paraId="51291470" w14:textId="7218209D" w:rsidR="0011475D" w:rsidRDefault="00924664" w:rsidP="00924664">
      <w:r w:rsidRPr="00167CB8">
        <w:t>The Australian Council of Trade Unions (ACTU) has been granted permission to intervene in the proceedings.</w:t>
      </w:r>
    </w:p>
    <w:p w14:paraId="0CBFE2E5" w14:textId="77777777" w:rsidR="0011475D" w:rsidRDefault="00924664" w:rsidP="00924664">
      <w:r w:rsidRPr="396ABCA7">
        <w:t>The Review Panel notes that the FWC’s assistance powers provided by s 246 of the Fair Work Act have not been tested and so conclusions cannot be drawn about their limitations or effectiveness at this time.</w:t>
      </w:r>
    </w:p>
    <w:p w14:paraId="6245D84E" w14:textId="28241ED7" w:rsidR="00924664" w:rsidRPr="008D5D6E" w:rsidRDefault="00924664" w:rsidP="00EC3517">
      <w:pPr>
        <w:pStyle w:val="Heading5"/>
      </w:pPr>
      <w:r w:rsidRPr="008D5D6E">
        <w:t>11.2.3 Stakeholder views</w:t>
      </w:r>
    </w:p>
    <w:p w14:paraId="4C2EFED1" w14:textId="58E6C633" w:rsidR="0011475D" w:rsidRDefault="00924664" w:rsidP="00924664">
      <w:r w:rsidRPr="00167CB8">
        <w:t>Union views were supportive of the amendments to the previously ‘unusable’ low-paid bargaining stream. The ACTU submitted that early indications are that the amendments are working as intended and already surpassed the results of the low-paid bargaining stream.</w:t>
      </w:r>
      <w:r w:rsidRPr="00167CB8">
        <w:rPr>
          <w:rStyle w:val="FootnoteReference"/>
          <w:rFonts w:cs="Calibri"/>
        </w:rPr>
        <w:footnoteReference w:id="462"/>
      </w:r>
      <w:r w:rsidRPr="00167CB8">
        <w:t xml:space="preserve"> The UWU, one of the significant forces behind bargaining in the early childhood education and care sector, submitted that the reforms have been ‘highly effective’ in increasing wages and addressing gender inequality.</w:t>
      </w:r>
      <w:r w:rsidRPr="00167CB8">
        <w:rPr>
          <w:rStyle w:val="FootnoteReference"/>
          <w:rFonts w:cs="Calibri"/>
        </w:rPr>
        <w:footnoteReference w:id="463"/>
      </w:r>
      <w:r w:rsidRPr="00167CB8">
        <w:t xml:space="preserve"> The </w:t>
      </w:r>
      <w:r w:rsidR="00214A70">
        <w:t xml:space="preserve">Independent Education Union of Australia </w:t>
      </w:r>
      <w:r w:rsidRPr="00167CB8">
        <w:t>also submitted that the reforms to remove barriers to accessing the stream have been beneficial.</w:t>
      </w:r>
      <w:r w:rsidRPr="00167CB8">
        <w:rPr>
          <w:rStyle w:val="FootnoteReference"/>
          <w:rFonts w:cs="Calibri"/>
        </w:rPr>
        <w:footnoteReference w:id="464"/>
      </w:r>
    </w:p>
    <w:p w14:paraId="7DDB8F90" w14:textId="060014EA" w:rsidR="00924664" w:rsidRPr="00167CB8" w:rsidRDefault="00924664" w:rsidP="00924664">
      <w:r w:rsidRPr="00167CB8">
        <w:t xml:space="preserve">The ACTU, supported by the UWU, proposed that the Review Panel consider </w:t>
      </w:r>
      <w:r>
        <w:t>three</w:t>
      </w:r>
      <w:r w:rsidRPr="00167CB8">
        <w:t xml:space="preserve"> recommendations to amend:</w:t>
      </w:r>
    </w:p>
    <w:p w14:paraId="6B1F71C9" w14:textId="77777777" w:rsidR="00924664" w:rsidRPr="00167CB8" w:rsidRDefault="00924664" w:rsidP="003F7EE6">
      <w:pPr>
        <w:pStyle w:val="ListBullet"/>
        <w:numPr>
          <w:ilvl w:val="0"/>
          <w:numId w:val="4"/>
        </w:numPr>
      </w:pPr>
      <w:r w:rsidRPr="00167CB8">
        <w:t>the objects of the Fair Work Act to no longer preference single enterprise level bargaining</w:t>
      </w:r>
    </w:p>
    <w:p w14:paraId="305D0A35" w14:textId="77777777" w:rsidR="00924664" w:rsidRPr="00167CB8" w:rsidRDefault="00924664" w:rsidP="003F7EE6">
      <w:pPr>
        <w:pStyle w:val="ListBullet"/>
        <w:numPr>
          <w:ilvl w:val="0"/>
          <w:numId w:val="4"/>
        </w:numPr>
      </w:pPr>
      <w:r w:rsidRPr="396ABCA7">
        <w:t>the variation of authorisation provisions to permit a union to remove an employer from a supported bargaining authorisation by application to the FWC</w:t>
      </w:r>
      <w:r w:rsidRPr="396ABCA7">
        <w:rPr>
          <w:rStyle w:val="FootnoteReference"/>
        </w:rPr>
        <w:footnoteReference w:id="465"/>
      </w:r>
    </w:p>
    <w:p w14:paraId="7C5D532A" w14:textId="77777777" w:rsidR="00924664" w:rsidRPr="00167CB8" w:rsidRDefault="00924664" w:rsidP="003F7EE6">
      <w:pPr>
        <w:pStyle w:val="ListBullet"/>
        <w:numPr>
          <w:ilvl w:val="0"/>
          <w:numId w:val="4"/>
        </w:numPr>
      </w:pPr>
      <w:r w:rsidRPr="396ABCA7">
        <w:t>the provisions to permit employers covered by an in-term single-enterprise agreement to be added to a supported bargaining authorisation by consent.</w:t>
      </w:r>
    </w:p>
    <w:p w14:paraId="234C7024" w14:textId="1099DC97" w:rsidR="00924664" w:rsidRPr="00167CB8" w:rsidRDefault="00924664" w:rsidP="00924664">
      <w:r w:rsidRPr="396ABCA7">
        <w:t xml:space="preserve">The UWU also proposed that subsequent bargaining in the supported bargaining stream should be simplified by permitting bargaining to be initiated by written notice and/or for </w:t>
      </w:r>
      <w:r w:rsidR="002E7FD6">
        <w:t xml:space="preserve">the </w:t>
      </w:r>
      <w:r w:rsidRPr="396ABCA7">
        <w:t>FWC to be required to issue subsequent authorisations that have substantially similar coverage.</w:t>
      </w:r>
    </w:p>
    <w:p w14:paraId="4676CE8C" w14:textId="77777777" w:rsidR="00924664" w:rsidRPr="00167CB8" w:rsidRDefault="00924664" w:rsidP="00924664">
      <w:r w:rsidRPr="396ABCA7">
        <w:t>In relation to the first proposed recommendation, the ACTU raised a concern about the continued preference in the Fair Work Act for enterprise-level collective bargaining. While it has so far not been a barrier to the operation of the supported bargaining reforms, the ACTU’s concern is about the potential for this focus to operate as an unintended barrier in future. The UWU submitted that this potential issue could be addressed by permitting unions to request the FWC to require an agreement to be put to vote in certain circumstances.</w:t>
      </w:r>
    </w:p>
    <w:p w14:paraId="56DEB6E9" w14:textId="77777777" w:rsidR="00924664" w:rsidRPr="00167CB8" w:rsidRDefault="00924664" w:rsidP="00924664">
      <w:r w:rsidRPr="396ABCA7">
        <w:lastRenderedPageBreak/>
        <w:t>The ACTU raised the potential for a procedural or logistical difficulty with putting multi-employer agreements to a vote where one (or more) employers do not agree. The ACTU submitted that this has been demonstrated in one matter already and was ‘highly disruptive to the efficiency of the bargaining process’.</w:t>
      </w:r>
      <w:r w:rsidRPr="396ABCA7">
        <w:rPr>
          <w:rStyle w:val="FootnoteReference"/>
          <w:rFonts w:cs="Calibri"/>
        </w:rPr>
        <w:footnoteReference w:id="466"/>
      </w:r>
      <w:r w:rsidRPr="396ABCA7">
        <w:t xml:space="preserve"> The Review Panel has not been provided the details of this case.</w:t>
      </w:r>
    </w:p>
    <w:p w14:paraId="391BF19F" w14:textId="77777777" w:rsidR="00924664" w:rsidRPr="00167CB8" w:rsidRDefault="00924664" w:rsidP="00924664">
      <w:r w:rsidRPr="00167CB8">
        <w:t>In relation to the third proposal, the ACTU submitted that there is no reason as a matter of principle why this should not be permitted to occur.</w:t>
      </w:r>
      <w:r w:rsidRPr="00167CB8">
        <w:rPr>
          <w:rStyle w:val="FootnoteReference"/>
          <w:rFonts w:cs="Calibri"/>
        </w:rPr>
        <w:footnoteReference w:id="467"/>
      </w:r>
      <w:r w:rsidRPr="00167CB8">
        <w:t xml:space="preserve"> The UWU provided its experience that it was not able to include early childhood education and care employers in the initial ECEC authorisation because they were already covered by in-term single enterprise agreements.</w:t>
      </w:r>
      <w:r w:rsidRPr="00167CB8">
        <w:rPr>
          <w:rStyle w:val="FootnoteReference"/>
          <w:rFonts w:cs="Calibri"/>
        </w:rPr>
        <w:footnoteReference w:id="468"/>
      </w:r>
    </w:p>
    <w:p w14:paraId="00112699" w14:textId="77777777" w:rsidR="00924664" w:rsidRPr="00167CB8" w:rsidRDefault="00924664" w:rsidP="00924664">
      <w:r w:rsidRPr="396ABCA7">
        <w:t xml:space="preserve">Some employers have pointed to the limited number of applications </w:t>
      </w:r>
      <w:r w:rsidRPr="396ABCA7">
        <w:rPr>
          <w:rFonts w:ascii="Symbol" w:eastAsia="Symbol" w:hAnsi="Symbol" w:cs="Symbol"/>
        </w:rPr>
        <w:t>-</w:t>
      </w:r>
      <w:r w:rsidRPr="396ABCA7">
        <w:t xml:space="preserve"> and, in particular, contested applications </w:t>
      </w:r>
      <w:r w:rsidRPr="396ABCA7">
        <w:rPr>
          <w:rFonts w:ascii="Symbol" w:eastAsia="Symbol" w:hAnsi="Symbol" w:cs="Symbol"/>
        </w:rPr>
        <w:t>-</w:t>
      </w:r>
      <w:r w:rsidRPr="396ABCA7">
        <w:t xml:space="preserve"> that have been before the FWC for consideration. Consistent with an overarching theme for multi-employer bargaining, employer views were generally consistent that any multi-employer bargaining should only be possible with employer consent. In addition, some employer associations proposed further amendments aimed at reinforcing that single-enterprise bargaining is the principal form of bargaining under the Fair Work Act.</w:t>
      </w:r>
    </w:p>
    <w:p w14:paraId="2D027A26" w14:textId="330E6D81" w:rsidR="00924664" w:rsidRPr="00167CB8" w:rsidRDefault="00924664" w:rsidP="00924664">
      <w:r w:rsidRPr="00167CB8">
        <w:t>The Business Council of Australia submitted that, should supported bargaining remain compellable, the criteria for entry should be tightened to limit the stream to those sectors that are substantially funded by governments.</w:t>
      </w:r>
      <w:r w:rsidRPr="00167CB8">
        <w:rPr>
          <w:rStyle w:val="FootnoteReference"/>
          <w:rFonts w:cs="Calibri"/>
        </w:rPr>
        <w:footnoteReference w:id="469"/>
      </w:r>
      <w:r w:rsidRPr="00167CB8">
        <w:t xml:space="preserve"> The Australian Retailers Association questioned the lack of consent in the supported bargaining stream</w:t>
      </w:r>
      <w:r>
        <w:t>,</w:t>
      </w:r>
      <w:r w:rsidRPr="00167CB8">
        <w:t xml:space="preserve"> which they assert ‘</w:t>
      </w:r>
      <w:r w:rsidRPr="00167CB8">
        <w:rPr>
          <w:lang w:val="en-US"/>
        </w:rPr>
        <w:t>undermines the rationale of the required changes being to also assist employers who may have difficulty bargaining at the single-enterprise level’.</w:t>
      </w:r>
      <w:r w:rsidRPr="00167CB8">
        <w:rPr>
          <w:rStyle w:val="FootnoteReference"/>
          <w:rFonts w:cs="Calibri"/>
          <w:lang w:val="en-US"/>
        </w:rPr>
        <w:footnoteReference w:id="470"/>
      </w:r>
      <w:r w:rsidRPr="00167CB8">
        <w:rPr>
          <w:lang w:val="en-US"/>
        </w:rPr>
        <w:t xml:space="preserve"> </w:t>
      </w:r>
      <w:r w:rsidRPr="00167CB8">
        <w:t>The Minerals Council of Australia,</w:t>
      </w:r>
      <w:r w:rsidRPr="00167CB8">
        <w:rPr>
          <w:rStyle w:val="FootnoteReference"/>
          <w:rFonts w:cs="Calibri"/>
        </w:rPr>
        <w:footnoteReference w:id="471"/>
      </w:r>
      <w:r w:rsidRPr="00167CB8">
        <w:t xml:space="preserve"> Ai Group and Australian Chamber of Commerce and Industry</w:t>
      </w:r>
      <w:r w:rsidRPr="00167CB8">
        <w:rPr>
          <w:rStyle w:val="FootnoteReference"/>
          <w:rFonts w:cs="Calibri"/>
        </w:rPr>
        <w:footnoteReference w:id="472"/>
      </w:r>
      <w:r w:rsidRPr="00167CB8">
        <w:t xml:space="preserve"> similarly proposed that the stream be further amended to more closely define it as applicable to low</w:t>
      </w:r>
      <w:r w:rsidR="002E7FD6">
        <w:t>-</w:t>
      </w:r>
      <w:r w:rsidRPr="00167CB8">
        <w:t>paid industries, including appropriate definitions.</w:t>
      </w:r>
    </w:p>
    <w:p w14:paraId="5314D0FB" w14:textId="2B8614C9" w:rsidR="00924664" w:rsidRPr="00167CB8" w:rsidRDefault="00924664" w:rsidP="00924664">
      <w:r w:rsidRPr="396ABCA7">
        <w:t>Professor Rae Cooper submitted that the supported bargaining stream holds the potential to enhance job security, wages and conditions for low-paid women.</w:t>
      </w:r>
      <w:r w:rsidRPr="396ABCA7">
        <w:rPr>
          <w:rStyle w:val="FootnoteReference"/>
          <w:rFonts w:cs="Calibri"/>
        </w:rPr>
        <w:footnoteReference w:id="473"/>
      </w:r>
      <w:r w:rsidRPr="396ABCA7">
        <w:t xml:space="preserve"> In Professor </w:t>
      </w:r>
      <w:r>
        <w:t>Cooper</w:t>
      </w:r>
      <w:r w:rsidRPr="0840B6AE">
        <w:t>’s</w:t>
      </w:r>
      <w:r w:rsidRPr="396ABCA7">
        <w:t xml:space="preserve"> opinion, the ECEC Agreement is a prime example of the stream facilitating an alignment between funding structures and bargaining to improve job quality and equity outcomes.</w:t>
      </w:r>
    </w:p>
    <w:p w14:paraId="3EDFA89B" w14:textId="27C679CC" w:rsidR="0011475D" w:rsidRDefault="00924664" w:rsidP="00140284">
      <w:r w:rsidRPr="005F2113">
        <w:t xml:space="preserve">In response to the draft report, stakeholders largely reiterated the views expressed in their initial submissions. </w:t>
      </w:r>
      <w:r w:rsidR="00214A70">
        <w:t xml:space="preserve">The Australian Chamber of Commerce and Industry </w:t>
      </w:r>
      <w:r w:rsidRPr="005F2113">
        <w:t>submit</w:t>
      </w:r>
      <w:r w:rsidR="002E7FD6">
        <w:t>ted that</w:t>
      </w:r>
      <w:r w:rsidRPr="005F2113">
        <w:t xml:space="preserve"> the Review Panel should be cautious in its findings, noting that the assessment upon which the finding is made relates to consensual supported bargaining determinations and reiterated </w:t>
      </w:r>
      <w:r w:rsidR="002E7FD6">
        <w:t xml:space="preserve">its </w:t>
      </w:r>
      <w:r w:rsidRPr="005F2113">
        <w:t xml:space="preserve">recommendation that the term </w:t>
      </w:r>
      <w:r w:rsidR="002E7FD6">
        <w:t>‘</w:t>
      </w:r>
      <w:r w:rsidRPr="005F2113">
        <w:t>low</w:t>
      </w:r>
      <w:r w:rsidR="002E7FD6">
        <w:t>-</w:t>
      </w:r>
      <w:r w:rsidRPr="005F2113">
        <w:t>paid</w:t>
      </w:r>
      <w:r w:rsidR="002E7FD6">
        <w:t>’</w:t>
      </w:r>
      <w:r w:rsidRPr="005F2113">
        <w:t xml:space="preserve"> should be defined.</w:t>
      </w:r>
      <w:r w:rsidRPr="005F2113">
        <w:rPr>
          <w:rStyle w:val="FootnoteReference"/>
          <w:rFonts w:cs="Calibri"/>
        </w:rPr>
        <w:footnoteReference w:id="474"/>
      </w:r>
    </w:p>
    <w:p w14:paraId="55979955" w14:textId="68F551D1" w:rsidR="0011475D" w:rsidRDefault="00924664" w:rsidP="00924664">
      <w:pPr>
        <w:rPr>
          <w:rFonts w:cs="Calibri"/>
        </w:rPr>
      </w:pPr>
      <w:r w:rsidRPr="005F2113">
        <w:rPr>
          <w:rFonts w:cs="Calibri"/>
        </w:rPr>
        <w:lastRenderedPageBreak/>
        <w:t>Ai Group reiterated</w:t>
      </w:r>
      <w:r w:rsidRPr="005F2113" w:rsidDel="002E7FD6">
        <w:rPr>
          <w:rFonts w:cs="Calibri"/>
        </w:rPr>
        <w:t xml:space="preserve"> </w:t>
      </w:r>
      <w:r w:rsidR="002E7FD6">
        <w:rPr>
          <w:rFonts w:cs="Calibri"/>
        </w:rPr>
        <w:t xml:space="preserve">its </w:t>
      </w:r>
      <w:r w:rsidRPr="005F2113">
        <w:rPr>
          <w:rFonts w:cs="Calibri"/>
        </w:rPr>
        <w:t xml:space="preserve">concerns about the supported bargaining stream, including its concerns that the supported bargaining provisions are being </w:t>
      </w:r>
      <w:r w:rsidRPr="00214A70">
        <w:rPr>
          <w:rFonts w:cs="Calibri"/>
        </w:rPr>
        <w:t>used in sectors which are inconsistent with</w:t>
      </w:r>
      <w:r w:rsidRPr="005F2113">
        <w:rPr>
          <w:rFonts w:cs="Calibri"/>
        </w:rPr>
        <w:t xml:space="preserve"> the stated intention of the provisions.</w:t>
      </w:r>
      <w:r w:rsidRPr="005F2113">
        <w:rPr>
          <w:rStyle w:val="FootnoteReference"/>
          <w:rFonts w:cs="Calibri"/>
        </w:rPr>
        <w:footnoteReference w:id="475"/>
      </w:r>
    </w:p>
    <w:p w14:paraId="0646C86F" w14:textId="28A9D4A7" w:rsidR="0011475D" w:rsidRDefault="00924664" w:rsidP="00924664">
      <w:pPr>
        <w:rPr>
          <w:rFonts w:cs="Calibri"/>
        </w:rPr>
      </w:pPr>
      <w:r w:rsidRPr="005F2113">
        <w:rPr>
          <w:rFonts w:cs="Calibri"/>
        </w:rPr>
        <w:t xml:space="preserve">The ACTU welcomed the Panel’s observations as to early signs that the supported bargaining stream is having some success in overcoming the limitations of the former low-paid bargaining stream, as evidenced by the first supported bargaining agreement in </w:t>
      </w:r>
      <w:r w:rsidRPr="002E7FD6">
        <w:rPr>
          <w:rFonts w:cs="Calibri"/>
        </w:rPr>
        <w:t xml:space="preserve">the </w:t>
      </w:r>
      <w:r w:rsidR="002E7FD6" w:rsidRPr="00140284">
        <w:rPr>
          <w:rFonts w:cs="Calibri"/>
        </w:rPr>
        <w:t>early childhood education and care</w:t>
      </w:r>
      <w:r w:rsidR="002E7FD6" w:rsidRPr="002E7FD6">
        <w:rPr>
          <w:rFonts w:cs="Calibri"/>
        </w:rPr>
        <w:t xml:space="preserve"> </w:t>
      </w:r>
      <w:r w:rsidRPr="002E7FD6">
        <w:rPr>
          <w:rFonts w:cs="Calibri"/>
        </w:rPr>
        <w:t>sector</w:t>
      </w:r>
      <w:r w:rsidRPr="005F2113">
        <w:rPr>
          <w:rFonts w:cs="Calibri"/>
        </w:rPr>
        <w:t>.</w:t>
      </w:r>
      <w:r w:rsidRPr="005F2113">
        <w:rPr>
          <w:rStyle w:val="FootnoteReference"/>
          <w:rFonts w:cs="Calibri"/>
        </w:rPr>
        <w:footnoteReference w:id="476"/>
      </w:r>
    </w:p>
    <w:p w14:paraId="3713EE7D" w14:textId="48D84A6A" w:rsidR="0011475D" w:rsidRDefault="00924664" w:rsidP="00924664">
      <w:pPr>
        <w:rPr>
          <w:rFonts w:cs="Calibri"/>
        </w:rPr>
      </w:pPr>
      <w:r w:rsidRPr="005F2113">
        <w:rPr>
          <w:rFonts w:cs="Calibri"/>
        </w:rPr>
        <w:t xml:space="preserve">UWU supported the ACTU’s position and reiterated that the Panel should reconsider </w:t>
      </w:r>
      <w:r w:rsidR="002E7FD6">
        <w:rPr>
          <w:rFonts w:cs="Calibri"/>
        </w:rPr>
        <w:t xml:space="preserve">its </w:t>
      </w:r>
      <w:r w:rsidRPr="005F2113">
        <w:rPr>
          <w:rFonts w:cs="Calibri"/>
        </w:rPr>
        <w:t>proposed recommendations to improve the stream.</w:t>
      </w:r>
      <w:r w:rsidRPr="005F2113">
        <w:rPr>
          <w:rStyle w:val="FootnoteReference"/>
          <w:rFonts w:cs="Calibri"/>
        </w:rPr>
        <w:footnoteReference w:id="477"/>
      </w:r>
    </w:p>
    <w:p w14:paraId="17AC743B" w14:textId="6484007F" w:rsidR="00924664" w:rsidRPr="00140284" w:rsidRDefault="00924664" w:rsidP="00EC3517">
      <w:pPr>
        <w:pStyle w:val="Heading4"/>
      </w:pPr>
      <w:bookmarkStart w:id="233" w:name="_Toc189260233"/>
      <w:bookmarkStart w:id="234" w:name="_Toc189393549"/>
      <w:r w:rsidRPr="00140284">
        <w:t>11.3 Findings and recommendations</w:t>
      </w:r>
      <w:bookmarkEnd w:id="233"/>
      <w:bookmarkEnd w:id="234"/>
    </w:p>
    <w:p w14:paraId="44B39884" w14:textId="77777777" w:rsidR="0011475D" w:rsidRDefault="00924664" w:rsidP="00924664">
      <w:r w:rsidRPr="00167CB8">
        <w:t>The progress of this form of multi-employer bargaining has clearly been slow. There have been only a small number of applications for supported bargaining authorisations and only one agreement finalised and approved</w:t>
      </w:r>
      <w:r>
        <w:t xml:space="preserve"> </w:t>
      </w:r>
      <w:r w:rsidRPr="005F2113">
        <w:t>(which has been the subject of subsequent variation applications to add employers and their employees)</w:t>
      </w:r>
      <w:r w:rsidRPr="00167CB8">
        <w:t>. It is also questionable whether large numbers of applications and/or approvals will be forthcoming given the significant conditions that must be met if authorisations are to succeed, bargaining is to produce agreements and agreements are to be approved.</w:t>
      </w:r>
    </w:p>
    <w:p w14:paraId="1A5B9D5E" w14:textId="36FDE128" w:rsidR="00924664" w:rsidRPr="00167CB8" w:rsidRDefault="00924664" w:rsidP="00924664">
      <w:r w:rsidRPr="396ABCA7">
        <w:t>These observations, however, need to be tempered by the successes that have occurred in a relatively short period of time. The first major decision by the FWC on authorisations and agreement approval under these reforms, in the early childhood education and care sector, has usefully established many of the ground rules that will operate elsewhere and the case will undoubtedly have a significant effect on a highly feminised and low-paid sector</w:t>
      </w:r>
      <w:r>
        <w:t>,</w:t>
      </w:r>
      <w:r w:rsidRPr="396ABCA7">
        <w:t xml:space="preserve"> like early childhood education and care. The early signs here suggest it is achieving </w:t>
      </w:r>
      <w:r w:rsidRPr="0840B6AE">
        <w:t>i</w:t>
      </w:r>
      <w:r>
        <w:t>t</w:t>
      </w:r>
      <w:r w:rsidRPr="0840B6AE">
        <w:t>s</w:t>
      </w:r>
      <w:r w:rsidRPr="396ABCA7">
        <w:t xml:space="preserve"> intent.</w:t>
      </w:r>
    </w:p>
    <w:p w14:paraId="4A08B20F" w14:textId="77777777" w:rsidR="0011475D" w:rsidRDefault="00924664" w:rsidP="00924664">
      <w:r w:rsidRPr="396ABCA7">
        <w:t>In so far as the particular intention of reforms to the supported bargaining stream was to reduce barriers to access a form of low-paid bargaining, the Review Panel finds that the signs are, so far, positive.</w:t>
      </w:r>
    </w:p>
    <w:p w14:paraId="51CDCFC1" w14:textId="3ED344F1" w:rsidR="0011475D" w:rsidRDefault="00924664" w:rsidP="00924664">
      <w:r w:rsidRPr="396ABCA7">
        <w:t>At a higher level, the gradual development of this form of bargaining could well reinforce the Review Panel’s previous findings about the growth of collective bargaining, especially the coverage of agreements. It is, however, still too early to draw a direct causal link between these reforms and their effect on closing the gender pay gap and improvements to wages and conditions.</w:t>
      </w:r>
    </w:p>
    <w:p w14:paraId="4A7C5503" w14:textId="77777777" w:rsidR="0011475D" w:rsidRDefault="00924664" w:rsidP="00924664">
      <w:r w:rsidRPr="396ABCA7">
        <w:t>The Review Panel does not share the concern of some stakeholders that further amendments are needed to the scope of the stream. While the Review Panel agrees that there have been limited decisions to date, it appears that the FWC is performing the role in the supported bargaining process that was intended.</w:t>
      </w:r>
    </w:p>
    <w:p w14:paraId="587C558E" w14:textId="5FA7FC06" w:rsidR="00924664" w:rsidRPr="002C1CCC" w:rsidRDefault="00924664" w:rsidP="00924664">
      <w:r w:rsidRPr="005F2113">
        <w:t>The Review Panel is aware of the ongoing application for a supported bargaining authorisation in relation to McDonald’s franchises in South Australia</w:t>
      </w:r>
      <w:r w:rsidRPr="002C1CCC">
        <w:t>. This matter is hotly contested before the FWC and was the subject of strong views in the course of this Review. Until such time as a decision in the matter is made</w:t>
      </w:r>
      <w:r>
        <w:t xml:space="preserve"> – </w:t>
      </w:r>
      <w:r w:rsidRPr="002C1CCC">
        <w:t xml:space="preserve">with the benefit of the FWC’s interpretation and application of </w:t>
      </w:r>
      <w:r w:rsidRPr="002C1CCC">
        <w:lastRenderedPageBreak/>
        <w:t>the provisions to the evidence before it</w:t>
      </w:r>
      <w:r>
        <w:t xml:space="preserve"> – </w:t>
      </w:r>
      <w:r w:rsidRPr="002C1CCC">
        <w:t>it is premature to make any recommendations for further amendments about the operation or scope of the supported bargaining amendments.</w:t>
      </w:r>
    </w:p>
    <w:p w14:paraId="174890AF" w14:textId="2C2BAE15" w:rsidR="0011475D" w:rsidRDefault="00924664" w:rsidP="00924664">
      <w:r w:rsidRPr="005F2113">
        <w:t xml:space="preserve">The Review Panel notes the observations of the FWC in the decision varying the ECEC Agreement to add employers and their employees to its coverage. As noted above, the ECEC Agreement was originally approved by the FWC on the basis of undertakings provided under </w:t>
      </w:r>
      <w:r w:rsidRPr="005F2113" w:rsidDel="002E7FD6">
        <w:t>s</w:t>
      </w:r>
      <w:r w:rsidR="002E7FD6">
        <w:t> </w:t>
      </w:r>
      <w:r w:rsidRPr="005F2113">
        <w:t xml:space="preserve">190 of the Fair Work Act. </w:t>
      </w:r>
      <w:r w:rsidRPr="00214A70">
        <w:t xml:space="preserve">The FWC identified in the decision varying the ECEC </w:t>
      </w:r>
      <w:r w:rsidR="002E7FD6" w:rsidRPr="00214A70">
        <w:t>A</w:t>
      </w:r>
      <w:r w:rsidRPr="00214A70">
        <w:t>greement that</w:t>
      </w:r>
      <w:r w:rsidR="002E7FD6" w:rsidRPr="00214A70">
        <w:t>,</w:t>
      </w:r>
      <w:r w:rsidRPr="00214A70">
        <w:t xml:space="preserve"> by virtue of s</w:t>
      </w:r>
      <w:r w:rsidR="002E7FD6" w:rsidRPr="00214A70">
        <w:t> </w:t>
      </w:r>
      <w:r w:rsidRPr="00214A70">
        <w:t>191(2) of the Fair Work Act, the undertakings only apply, to become a term of the agreement, to the existing 60 employers. Subsequently, the FWC found that it did not have the ability to accept an undertaking from an employer</w:t>
      </w:r>
      <w:r w:rsidRPr="005F2113">
        <w:t xml:space="preserve"> in relation to a variation of a supported bargaining agreement.</w:t>
      </w:r>
    </w:p>
    <w:p w14:paraId="3752DB10" w14:textId="1B694E3C" w:rsidR="00924664" w:rsidRPr="005F2113" w:rsidRDefault="00924664" w:rsidP="00924664">
      <w:r w:rsidRPr="005F2113">
        <w:t>The Panel finds that this is an unintended consequence of the amendments. In approving the variations to the ECEC Agreement, the FWC noted the importance of the undertakings in that agreement</w:t>
      </w:r>
      <w:r w:rsidR="002E7FD6">
        <w:t xml:space="preserve"> </w:t>
      </w:r>
      <w:r w:rsidR="002E7FD6">
        <w:rPr>
          <w:rFonts w:ascii="Symbol" w:eastAsia="Symbol" w:hAnsi="Symbol" w:cs="Symbol"/>
        </w:rPr>
        <w:sym w:font="Symbol" w:char="F02D"/>
      </w:r>
      <w:r w:rsidR="002E7FD6">
        <w:t xml:space="preserve"> </w:t>
      </w:r>
      <w:r w:rsidRPr="005F2113">
        <w:t>in particular</w:t>
      </w:r>
      <w:r w:rsidR="002E7FD6">
        <w:t>,</w:t>
      </w:r>
      <w:r w:rsidRPr="005F2113">
        <w:t xml:space="preserve"> ‘to ensure that the more beneficial wages provisions would apply in practice as a consequence of the employers making that funding application’</w:t>
      </w:r>
      <w:r w:rsidR="002E7FD6">
        <w:t>.</w:t>
      </w:r>
      <w:r w:rsidRPr="005F2113">
        <w:rPr>
          <w:rStyle w:val="FootnoteReference"/>
        </w:rPr>
        <w:footnoteReference w:id="478"/>
      </w:r>
      <w:r w:rsidRPr="005F2113">
        <w:t xml:space="preserve"> Though the FWC sought an assurance from applicant employers, such assurances do not have the legal consequence of undertakings.</w:t>
      </w:r>
      <w:r w:rsidRPr="005F2113">
        <w:rPr>
          <w:rStyle w:val="FootnoteReference"/>
        </w:rPr>
        <w:footnoteReference w:id="479"/>
      </w:r>
      <w:r w:rsidRPr="005F2113">
        <w:t xml:space="preserve"> The Panel finds that this technical issue should be rectified. There may be a number of options to remedy this issue. The Review Panel does not propose to specify the particular means to rectify the issue.</w:t>
      </w:r>
    </w:p>
    <w:p w14:paraId="00AAC836" w14:textId="1260B151" w:rsidR="00924664" w:rsidRPr="005F2113" w:rsidRDefault="00924664" w:rsidP="00924664">
      <w:pPr>
        <w:rPr>
          <w:b/>
        </w:rPr>
      </w:pPr>
      <w:r w:rsidRPr="005F2113">
        <w:rPr>
          <w:b/>
        </w:rPr>
        <w:t xml:space="preserve">Recommendation </w:t>
      </w:r>
      <w:r>
        <w:rPr>
          <w:b/>
        </w:rPr>
        <w:t>6</w:t>
      </w:r>
      <w:r w:rsidRPr="005F2113">
        <w:rPr>
          <w:b/>
        </w:rPr>
        <w:t xml:space="preserve">: The Fair Work Act should be amended to rectify the technical issue with undertakings identified by the </w:t>
      </w:r>
      <w:r w:rsidR="002E7FD6">
        <w:rPr>
          <w:b/>
        </w:rPr>
        <w:t>Fair Work Commission</w:t>
      </w:r>
      <w:r w:rsidR="002E7FD6" w:rsidRPr="005F2113">
        <w:rPr>
          <w:b/>
        </w:rPr>
        <w:t xml:space="preserve"> </w:t>
      </w:r>
      <w:r w:rsidRPr="005F2113">
        <w:rPr>
          <w:b/>
        </w:rPr>
        <w:t xml:space="preserve">in </w:t>
      </w:r>
      <w:r w:rsidRPr="005F2113">
        <w:rPr>
          <w:b/>
          <w:i/>
        </w:rPr>
        <w:t xml:space="preserve">Application by Nest Employee Services Pty Ltd </w:t>
      </w:r>
      <w:r w:rsidRPr="00140284" w:rsidDel="00214A70">
        <w:rPr>
          <w:b/>
          <w:i/>
        </w:rPr>
        <w:t>T/A</w:t>
      </w:r>
      <w:r w:rsidRPr="005F2113">
        <w:rPr>
          <w:b/>
          <w:i/>
        </w:rPr>
        <w:t xml:space="preserve"> Nido Early School</w:t>
      </w:r>
      <w:r w:rsidRPr="005F2113">
        <w:rPr>
          <w:b/>
        </w:rPr>
        <w:t xml:space="preserve"> [2025] FWCA 282.</w:t>
      </w:r>
    </w:p>
    <w:p w14:paraId="32CF7977" w14:textId="5158CBF6" w:rsidR="00924664" w:rsidRPr="00481C9C" w:rsidRDefault="00924664" w:rsidP="00924664">
      <w:r w:rsidRPr="00481C9C">
        <w:t xml:space="preserve">The Review Panel notes that consideration should be given </w:t>
      </w:r>
      <w:r w:rsidRPr="00481C9C" w:rsidDel="002E7FD6">
        <w:t xml:space="preserve">in relation </w:t>
      </w:r>
      <w:r w:rsidRPr="00481C9C">
        <w:t>to whether this unintended consequence arises in multi-enterprise agreement variation applications more generally.</w:t>
      </w:r>
    </w:p>
    <w:p w14:paraId="7CFD1869" w14:textId="59661AF0" w:rsidR="00924664" w:rsidRDefault="00924664" w:rsidP="00F51742">
      <w:pPr>
        <w:rPr>
          <w:rFonts w:eastAsiaTheme="majorEastAsia" w:cstheme="majorBidi"/>
          <w:b/>
          <w:color w:val="0D2C6C" w:themeColor="text1"/>
          <w:sz w:val="32"/>
          <w:szCs w:val="24"/>
        </w:rPr>
      </w:pPr>
      <w:r w:rsidRPr="005F2113">
        <w:t>The Panel further acknowledges the observation of the FWC in its decision varying the ECEC Agreement that</w:t>
      </w:r>
      <w:r w:rsidR="002E7FD6">
        <w:t>,</w:t>
      </w:r>
      <w:r w:rsidRPr="005F2113">
        <w:t xml:space="preserve"> should an employer have provided a copy of the agreement that did not reflect the most up</w:t>
      </w:r>
      <w:r w:rsidR="002E7FD6">
        <w:t>-</w:t>
      </w:r>
      <w:r w:rsidRPr="005F2113">
        <w:t>to</w:t>
      </w:r>
      <w:r w:rsidR="002E7FD6">
        <w:t>-</w:t>
      </w:r>
      <w:r w:rsidRPr="005F2113">
        <w:t>date version (such as not including a complete list of employers covered by the agreement), the FWC could use its powers under s</w:t>
      </w:r>
      <w:r w:rsidR="002E7FD6">
        <w:t> </w:t>
      </w:r>
      <w:r w:rsidRPr="005F2113">
        <w:t>586(b) to waive a minor irregularity in the form or manner of the application.</w:t>
      </w:r>
      <w:bookmarkStart w:id="235" w:name="_Toc189260234"/>
      <w:bookmarkStart w:id="236" w:name="_Toc189393550"/>
      <w:r>
        <w:br w:type="page"/>
      </w:r>
    </w:p>
    <w:p w14:paraId="149E7DF1" w14:textId="77777777" w:rsidR="00924664" w:rsidRPr="005A0934" w:rsidRDefault="00924664" w:rsidP="00EC3517">
      <w:pPr>
        <w:pStyle w:val="Heading3"/>
      </w:pPr>
      <w:bookmarkStart w:id="237" w:name="_Toc194311419"/>
      <w:r w:rsidRPr="005A0934">
        <w:lastRenderedPageBreak/>
        <w:t>Chapter 12. Single-interest employer authorisations</w:t>
      </w:r>
      <w:bookmarkEnd w:id="235"/>
      <w:bookmarkEnd w:id="236"/>
      <w:bookmarkEnd w:id="237"/>
    </w:p>
    <w:p w14:paraId="72F9F379" w14:textId="77777777" w:rsidR="0011475D" w:rsidRDefault="00924664" w:rsidP="00924664">
      <w:r w:rsidRPr="396ABCA7">
        <w:t xml:space="preserve">This is the third chapter on multi-employer bargaining. In this case, the amendments relevant to single-interest </w:t>
      </w:r>
      <w:r>
        <w:t xml:space="preserve">employer </w:t>
      </w:r>
      <w:r w:rsidRPr="396ABCA7">
        <w:t>bargaining were introduced through Part 21 of the Secure Jobs, Better Pay Act. The single-interest employer bargaining steam is a form of multi-employer bargaining which seeks to support ‘employers with clearly identifiable common interests to bargain together’ for a single-interest employer agreement.</w:t>
      </w:r>
      <w:r w:rsidRPr="396ABCA7">
        <w:rPr>
          <w:rStyle w:val="FootnoteReference"/>
        </w:rPr>
        <w:footnoteReference w:id="480"/>
      </w:r>
    </w:p>
    <w:p w14:paraId="30C26DA1" w14:textId="2566C756" w:rsidR="00924664" w:rsidRPr="005A0934" w:rsidRDefault="00924664" w:rsidP="00EC3517">
      <w:pPr>
        <w:pStyle w:val="Heading4"/>
      </w:pPr>
      <w:bookmarkStart w:id="238" w:name="_Toc189260235"/>
      <w:bookmarkStart w:id="239" w:name="_Toc189393551"/>
      <w:r w:rsidRPr="005A0934">
        <w:t>12.1 Amendments and intent</w:t>
      </w:r>
      <w:bookmarkEnd w:id="238"/>
      <w:bookmarkEnd w:id="239"/>
    </w:p>
    <w:p w14:paraId="2DF48D2F" w14:textId="77777777" w:rsidR="00924664" w:rsidRPr="00167CB8" w:rsidRDefault="00924664" w:rsidP="00924664">
      <w:r w:rsidRPr="00167CB8">
        <w:t>The amendments will be briefly summarised and then the intent behind them will be explored.</w:t>
      </w:r>
    </w:p>
    <w:p w14:paraId="5433D266" w14:textId="77777777" w:rsidR="0011475D" w:rsidRPr="005A0934" w:rsidRDefault="00924664" w:rsidP="00EC3517">
      <w:pPr>
        <w:pStyle w:val="Heading5"/>
      </w:pPr>
      <w:r w:rsidRPr="005A0934">
        <w:t>12.1.1 Secure Jobs, Better Pay amendments</w:t>
      </w:r>
    </w:p>
    <w:p w14:paraId="2D6707CA" w14:textId="77777777" w:rsidR="0011475D" w:rsidRDefault="00924664" w:rsidP="00924664">
      <w:r w:rsidRPr="396ABCA7">
        <w:t xml:space="preserve">Prior to the Secure Jobs, Better Pay amendments, franchisees and employers who met specified criteria regarding their common interests could bargain together under the single-interest employer </w:t>
      </w:r>
      <w:r>
        <w:t xml:space="preserve">bargaining </w:t>
      </w:r>
      <w:r w:rsidRPr="396ABCA7">
        <w:t>stream. Employers who were not franchisees were required to obtain a declaration from the Minister for Employment and Workplace Relations to bargain under this stream.</w:t>
      </w:r>
      <w:r w:rsidRPr="396ABCA7">
        <w:rPr>
          <w:rStyle w:val="FootnoteReference"/>
        </w:rPr>
        <w:footnoteReference w:id="481"/>
      </w:r>
    </w:p>
    <w:p w14:paraId="1ED80B9E" w14:textId="631B67B9" w:rsidR="00924664" w:rsidRPr="00167CB8" w:rsidRDefault="00924664" w:rsidP="00924664">
      <w:r w:rsidRPr="00167CB8">
        <w:t>Division 10 of Part 2-4 of the Fair Work Act concerns the new provisions relating to single-interest employer authorisations. The</w:t>
      </w:r>
      <w:r w:rsidRPr="00167CB8" w:rsidDel="00BC2425">
        <w:t xml:space="preserve"> </w:t>
      </w:r>
      <w:r w:rsidRPr="00167CB8">
        <w:t>Secure Jobs, Better Pay amendments intended to ‘[remove] the limits on access to single-interest employer authorisations and [simplify] the process for obtaining them, and facilitating bargaining by’:</w:t>
      </w:r>
    </w:p>
    <w:p w14:paraId="4BF6A615" w14:textId="77777777" w:rsidR="0011475D" w:rsidRDefault="00924664" w:rsidP="003F7EE6">
      <w:pPr>
        <w:pStyle w:val="ListBullet"/>
        <w:numPr>
          <w:ilvl w:val="0"/>
          <w:numId w:val="4"/>
        </w:numPr>
      </w:pPr>
      <w:r w:rsidRPr="00167CB8">
        <w:t xml:space="preserve">removing the requirement for </w:t>
      </w:r>
      <w:r>
        <w:t>two</w:t>
      </w:r>
      <w:r w:rsidRPr="00167CB8">
        <w:t xml:space="preserve"> or more employers with common interests who are not franchisees to obtain a ministerial declaration before applying for a single-interest employer authorisation</w:t>
      </w:r>
    </w:p>
    <w:p w14:paraId="66CDE876" w14:textId="77777777" w:rsidR="0011475D" w:rsidRDefault="00924664" w:rsidP="003F7EE6">
      <w:pPr>
        <w:pStyle w:val="ListBullet"/>
        <w:numPr>
          <w:ilvl w:val="0"/>
          <w:numId w:val="4"/>
        </w:numPr>
      </w:pPr>
      <w:r w:rsidRPr="00167CB8">
        <w:t xml:space="preserve">providing for employee bargaining representatives to apply for a single-interest employer authorisation to cover </w:t>
      </w:r>
      <w:r>
        <w:t>two</w:t>
      </w:r>
      <w:r w:rsidRPr="00167CB8">
        <w:t xml:space="preserve"> or more employers, subject to majority support of the relevant employees</w:t>
      </w:r>
    </w:p>
    <w:p w14:paraId="56112B7F" w14:textId="77777777" w:rsidR="0011475D" w:rsidRDefault="00924664" w:rsidP="003F7EE6">
      <w:pPr>
        <w:pStyle w:val="ListBullet"/>
        <w:numPr>
          <w:ilvl w:val="0"/>
          <w:numId w:val="4"/>
        </w:numPr>
      </w:pPr>
      <w:r w:rsidRPr="396ABCA7">
        <w:t>permitting employers and employee bargaining representatives to apply to vary a single-interest employer authorisation to add or remove the name of an employer from the authorisation, subject to meeting specified requirements</w:t>
      </w:r>
    </w:p>
    <w:p w14:paraId="2B71CB9B" w14:textId="045BEFF5" w:rsidR="00924664" w:rsidRPr="00167CB8" w:rsidRDefault="00924664" w:rsidP="003F7EE6">
      <w:pPr>
        <w:pStyle w:val="ListBullet"/>
        <w:numPr>
          <w:ilvl w:val="0"/>
          <w:numId w:val="4"/>
        </w:numPr>
      </w:pPr>
      <w:r w:rsidRPr="396ABCA7">
        <w:t>permitting employers and employee organisations to apply to the Fair Work Commission (FWC) for approval of a variation to extend coverage of an existing single-interest employer agreement to a new employer and its employees, subject to meeting specified requirements.</w:t>
      </w:r>
      <w:r w:rsidRPr="396ABCA7">
        <w:rPr>
          <w:vertAlign w:val="superscript"/>
        </w:rPr>
        <w:footnoteReference w:id="482"/>
      </w:r>
    </w:p>
    <w:p w14:paraId="07835BB1" w14:textId="77777777" w:rsidR="0011475D" w:rsidRDefault="00924664" w:rsidP="00924664">
      <w:r w:rsidRPr="396ABCA7">
        <w:t xml:space="preserve">Employers that will be covered by a proposed enterprise agreement that will cover </w:t>
      </w:r>
      <w:r>
        <w:t>two</w:t>
      </w:r>
      <w:r w:rsidRPr="396ABCA7">
        <w:t xml:space="preserve"> or more employers, or a bargaining representative of an employee who will be covered by the agreement, can apply for a single-interest employer authorisation.</w:t>
      </w:r>
      <w:r w:rsidRPr="396ABCA7">
        <w:rPr>
          <w:rStyle w:val="FootnoteReference"/>
        </w:rPr>
        <w:footnoteReference w:id="483"/>
      </w:r>
    </w:p>
    <w:p w14:paraId="123CF46E" w14:textId="24440BB3" w:rsidR="0011475D" w:rsidRDefault="00924664" w:rsidP="00924664">
      <w:r w:rsidRPr="396ABCA7">
        <w:t>The FWC must make a single-interest employer authorisation if an application has been made and it is satisfied that the requirements set out in s 249 of the Fair Work Act are met. These requirements include that:</w:t>
      </w:r>
    </w:p>
    <w:p w14:paraId="2A352464" w14:textId="3D26FFF8" w:rsidR="0011475D" w:rsidRDefault="00924664" w:rsidP="003F7EE6">
      <w:pPr>
        <w:pStyle w:val="ListBullet"/>
        <w:numPr>
          <w:ilvl w:val="0"/>
          <w:numId w:val="4"/>
        </w:numPr>
      </w:pPr>
      <w:r w:rsidRPr="396ABCA7">
        <w:lastRenderedPageBreak/>
        <w:t>at least some of the employees that will be covered are represented by an employee organisation (s 24</w:t>
      </w:r>
      <w:r w:rsidR="0052562A">
        <w:t>9</w:t>
      </w:r>
      <w:r w:rsidRPr="396ABCA7">
        <w:t>(1)(b)(i) of the Fair Work Act)</w:t>
      </w:r>
    </w:p>
    <w:p w14:paraId="31962EE2" w14:textId="7EA9ECD0" w:rsidR="00924664" w:rsidRPr="00167CB8" w:rsidRDefault="00924664" w:rsidP="003F7EE6">
      <w:pPr>
        <w:pStyle w:val="ListBullet"/>
        <w:numPr>
          <w:ilvl w:val="0"/>
          <w:numId w:val="4"/>
        </w:numPr>
      </w:pPr>
      <w:r w:rsidRPr="00167CB8">
        <w:t>the employers and the bargaining representatives of their employees have had the opportunity to express to the FWC their views (if any) on the authorisation (s 249(1)(b)(ii) of the Fair Work Act), and</w:t>
      </w:r>
    </w:p>
    <w:p w14:paraId="69915A75" w14:textId="77777777" w:rsidR="00924664" w:rsidRPr="00167CB8" w:rsidRDefault="00924664" w:rsidP="003F7EE6">
      <w:pPr>
        <w:pStyle w:val="ListBullet"/>
        <w:numPr>
          <w:ilvl w:val="0"/>
          <w:numId w:val="4"/>
        </w:numPr>
      </w:pPr>
      <w:r w:rsidRPr="00167CB8">
        <w:t>the employers meet franchisee requirements or have clearly identifiable common interests, as they:</w:t>
      </w:r>
    </w:p>
    <w:p w14:paraId="084829DA" w14:textId="77777777" w:rsidR="00924664" w:rsidRPr="00167CB8" w:rsidRDefault="00924664" w:rsidP="006E72E2">
      <w:pPr>
        <w:pStyle w:val="ListBullet2"/>
        <w:ind w:left="568" w:hanging="284"/>
      </w:pPr>
      <w:r w:rsidRPr="00167CB8">
        <w:t>carry on similar business activities under the same franchise and are either franchisees or related bodies corporate of the same franchisor (or a combination of these) (s 249(2) of the Fair Work Act), or</w:t>
      </w:r>
    </w:p>
    <w:p w14:paraId="50D40A35" w14:textId="3FAEFE33" w:rsidR="0011475D" w:rsidRDefault="00924664" w:rsidP="006E72E2">
      <w:pPr>
        <w:pStyle w:val="ListBullet2"/>
        <w:ind w:left="568" w:hanging="284"/>
      </w:pPr>
      <w:r w:rsidRPr="396ABCA7">
        <w:t>have clearly identifiable common interests with the other employers, it is not contrary to the public interest to make the authorisation, and the employers’ operations and business activities are reasonably comparable (s 249(3), 249(1)(b)(vi) of the Fair Work Act), and</w:t>
      </w:r>
    </w:p>
    <w:p w14:paraId="00057EBD" w14:textId="77777777" w:rsidR="0011475D" w:rsidRDefault="00924664" w:rsidP="003F7EE6">
      <w:pPr>
        <w:pStyle w:val="ListBullet"/>
        <w:numPr>
          <w:ilvl w:val="0"/>
          <w:numId w:val="4"/>
        </w:numPr>
      </w:pPr>
      <w:r w:rsidRPr="396ABCA7">
        <w:t>the additional requirements set out below are met.</w:t>
      </w:r>
    </w:p>
    <w:p w14:paraId="24EB241D" w14:textId="45BCFCD7" w:rsidR="0011475D" w:rsidRDefault="00924664" w:rsidP="00924664">
      <w:r w:rsidRPr="00167CB8">
        <w:t xml:space="preserve">If the application was made by </w:t>
      </w:r>
      <w:r>
        <w:t>two</w:t>
      </w:r>
      <w:r w:rsidRPr="00167CB8">
        <w:t xml:space="preserve"> or more employers, the employers must have agreed to bargain together</w:t>
      </w:r>
      <w:r w:rsidR="00391FCF">
        <w:t>;</w:t>
      </w:r>
      <w:r w:rsidRPr="00167CB8">
        <w:t xml:space="preserve"> and no person coerced, or threatened to coerce, any of the employers to agree to bargain together.</w:t>
      </w:r>
    </w:p>
    <w:p w14:paraId="48ADC571" w14:textId="3A7738F3" w:rsidR="00924664" w:rsidRPr="00167CB8" w:rsidRDefault="00924664" w:rsidP="00924664">
      <w:r w:rsidRPr="00167CB8">
        <w:t xml:space="preserve">There are specific requirements if the application was made by a bargaining representative. The FWC must be satisfied that </w:t>
      </w:r>
      <w:r w:rsidRPr="00464CAD">
        <w:t>each employer either has consented to the application or the</w:t>
      </w:r>
      <w:r w:rsidRPr="00167CB8">
        <w:t xml:space="preserve"> following applies:</w:t>
      </w:r>
    </w:p>
    <w:p w14:paraId="4D7C6C9F" w14:textId="77777777" w:rsidR="00924664" w:rsidRPr="00167CB8" w:rsidRDefault="00924664" w:rsidP="003F7EE6">
      <w:pPr>
        <w:pStyle w:val="ListBullet"/>
        <w:numPr>
          <w:ilvl w:val="0"/>
          <w:numId w:val="4"/>
        </w:numPr>
      </w:pPr>
      <w:r w:rsidRPr="396ABCA7">
        <w:t>the employer employed at least 20 employees at the time the application for authorisation was made (s 249(1)(1B)(a) of the Fair Work Act)</w:t>
      </w:r>
    </w:p>
    <w:p w14:paraId="395FF12B" w14:textId="77777777" w:rsidR="00924664" w:rsidRPr="00167CB8" w:rsidRDefault="00924664" w:rsidP="003F7EE6">
      <w:pPr>
        <w:pStyle w:val="ListBullet"/>
        <w:numPr>
          <w:ilvl w:val="0"/>
          <w:numId w:val="4"/>
        </w:numPr>
      </w:pPr>
      <w:r w:rsidRPr="396ABCA7">
        <w:t>the employer has not made an application for a single-interest employer authorisation that has not yet been decided in relation to the employees that will be covered (s 249(1)(1B)(b) of the Fair Work Act)</w:t>
      </w:r>
    </w:p>
    <w:p w14:paraId="30B3DD8E" w14:textId="77777777" w:rsidR="00924664" w:rsidRPr="00167CB8" w:rsidRDefault="00924664" w:rsidP="003F7EE6">
      <w:pPr>
        <w:pStyle w:val="ListBullet"/>
        <w:numPr>
          <w:ilvl w:val="0"/>
          <w:numId w:val="4"/>
        </w:numPr>
      </w:pPr>
      <w:r w:rsidRPr="396ABCA7">
        <w:t>the employer is not named in a single-interest employer authorisation or supported bargaining authorisation in relation to the employees that will be covered by the agreement (s 249(1)(1B)(c) of the Fair Work Act)</w:t>
      </w:r>
    </w:p>
    <w:p w14:paraId="7F476FBE" w14:textId="77777777" w:rsidR="00924664" w:rsidRPr="00167CB8" w:rsidRDefault="00924664" w:rsidP="003F7EE6">
      <w:pPr>
        <w:pStyle w:val="ListBullet"/>
        <w:numPr>
          <w:ilvl w:val="0"/>
          <w:numId w:val="4"/>
        </w:numPr>
      </w:pPr>
      <w:r w:rsidRPr="396ABCA7">
        <w:t>a majority of employees who will be covered by the agreement want to bargain for the agreement (s 249(1)(1B)(d) of the Fair Work Act)</w:t>
      </w:r>
    </w:p>
    <w:p w14:paraId="7296C016" w14:textId="00831F12" w:rsidR="00924664" w:rsidRPr="00167CB8" w:rsidRDefault="00924664" w:rsidP="003F7EE6">
      <w:pPr>
        <w:pStyle w:val="ListBullet"/>
        <w:numPr>
          <w:ilvl w:val="0"/>
          <w:numId w:val="4"/>
        </w:numPr>
      </w:pPr>
      <w:r w:rsidRPr="396ABCA7">
        <w:t xml:space="preserve">the employer and employees are not covered by an enterprise agreement that has not passed its nominal expiry date at the time </w:t>
      </w:r>
      <w:r w:rsidR="00391FCF">
        <w:t xml:space="preserve">the </w:t>
      </w:r>
      <w:r w:rsidRPr="396ABCA7">
        <w:t>FWC will make the authorisation (ss 249(1)(1B)(e)) and 249(1D) of the Fair Work Act)</w:t>
      </w:r>
    </w:p>
    <w:p w14:paraId="1C53F3C5" w14:textId="728EC5A1" w:rsidR="00924664" w:rsidRPr="00167CB8" w:rsidRDefault="00924664" w:rsidP="003F7EE6">
      <w:pPr>
        <w:pStyle w:val="ListBullet"/>
        <w:numPr>
          <w:ilvl w:val="0"/>
          <w:numId w:val="4"/>
        </w:numPr>
      </w:pPr>
      <w:r w:rsidRPr="00167CB8">
        <w:t>the employer and an employee organisation that is entitled to represent the industrial interests of employee(s) that will be covered have not already agreed in writing to bargain for a proposed single-enterprise agreement that would cover the same (or substantially the same) employees (s 249(1D)(b) of the Fair Work Act).</w:t>
      </w:r>
    </w:p>
    <w:p w14:paraId="5BBB9612" w14:textId="77777777" w:rsidR="00924664" w:rsidRPr="00167CB8" w:rsidRDefault="00924664" w:rsidP="00924664">
      <w:r w:rsidRPr="396ABCA7">
        <w:t>Section 251 of the Fair Work Act contains provisions for the variation of a single-interest employer authorisation to remove or add employers.</w:t>
      </w:r>
    </w:p>
    <w:p w14:paraId="467911A5" w14:textId="77777777" w:rsidR="00924664" w:rsidRPr="00167CB8" w:rsidRDefault="00924664" w:rsidP="00924664">
      <w:pPr>
        <w:rPr>
          <w:rStyle w:val="Hyperlink"/>
          <w:i/>
          <w:iCs/>
        </w:rPr>
      </w:pPr>
      <w:r w:rsidRPr="396ABCA7">
        <w:t xml:space="preserve">Subject to meeting specified requirements, the Secure Jobs, Better Pay Act inserted new Subdivision AD into Division 7 of Part 2-4 of the Fair Work Act to permit employers and employee organisations to apply to the FWC for approval of a variation to extend the coverage </w:t>
      </w:r>
      <w:r w:rsidRPr="396ABCA7">
        <w:lastRenderedPageBreak/>
        <w:t>of an existing single-interest employer agreement to a new employer and its employees.</w:t>
      </w:r>
      <w:r w:rsidRPr="396ABCA7">
        <w:rPr>
          <w:i/>
          <w:iCs/>
        </w:rPr>
        <w:t xml:space="preserve"> </w:t>
      </w:r>
      <w:r w:rsidRPr="396ABCA7">
        <w:t>An application may be made either jointly by an employer and their employees or</w:t>
      </w:r>
      <w:r w:rsidRPr="396ABCA7">
        <w:rPr>
          <w:i/>
          <w:iCs/>
        </w:rPr>
        <w:t xml:space="preserve"> </w:t>
      </w:r>
      <w:r w:rsidRPr="396ABCA7">
        <w:t>by an employee organisation covered by a single-interest employer agreement.</w:t>
      </w:r>
      <w:r w:rsidRPr="396ABCA7">
        <w:rPr>
          <w:rStyle w:val="FootnoteReference"/>
        </w:rPr>
        <w:footnoteReference w:id="484"/>
      </w:r>
    </w:p>
    <w:p w14:paraId="6CF74534" w14:textId="4033280E" w:rsidR="0011475D" w:rsidRDefault="00924664" w:rsidP="00924664">
      <w:r w:rsidRPr="396ABCA7">
        <w:t>The FWC must approve a variation if various requirements that are similar to those for making an authorisation</w:t>
      </w:r>
      <w:r w:rsidR="00F67084">
        <w:t xml:space="preserve"> are met</w:t>
      </w:r>
      <w:r w:rsidRPr="396ABCA7">
        <w:t xml:space="preserve">, including that employers and employee organisations have had the opportunity to express their views </w:t>
      </w:r>
      <w:r w:rsidRPr="00464CAD">
        <w:t>and the common interest and franchisee requirements.</w:t>
      </w:r>
      <w:r w:rsidRPr="00464CAD">
        <w:rPr>
          <w:rStyle w:val="FootnoteReference"/>
        </w:rPr>
        <w:footnoteReference w:id="485"/>
      </w:r>
    </w:p>
    <w:p w14:paraId="73946F6D" w14:textId="6BD5324B" w:rsidR="00924664" w:rsidRPr="00167CB8" w:rsidRDefault="00924664" w:rsidP="00924664">
      <w:r w:rsidRPr="396ABCA7">
        <w:t>These amendments commenced on 6 June 2023.</w:t>
      </w:r>
    </w:p>
    <w:p w14:paraId="1D9464F4" w14:textId="0F3CAE91" w:rsidR="0011475D" w:rsidRDefault="00924664" w:rsidP="00924664">
      <w:r w:rsidRPr="396ABCA7">
        <w:t xml:space="preserve">The </w:t>
      </w:r>
      <w:r w:rsidRPr="396ABCA7">
        <w:rPr>
          <w:i/>
          <w:iCs/>
        </w:rPr>
        <w:t xml:space="preserve">Fair Work Legislation (Closing Loopholes No. 2) Act </w:t>
      </w:r>
      <w:r w:rsidR="002F4096">
        <w:rPr>
          <w:i/>
          <w:iCs/>
        </w:rPr>
        <w:t>2024</w:t>
      </w:r>
      <w:r w:rsidRPr="396ABCA7">
        <w:t xml:space="preserve"> (Cth) (Closing Loopholes No. 2 Act) made some further amendments to the provisions relating to the single-interest employer bargaining stream. While these amendments are not within the scope of our Review, the amendments are worth noting, as they affect the operation of the Secure Jobs, Better Pay amendments.</w:t>
      </w:r>
    </w:p>
    <w:p w14:paraId="308D9B40" w14:textId="77777777" w:rsidR="0011475D" w:rsidRDefault="00924664" w:rsidP="00924664">
      <w:r w:rsidRPr="396ABCA7">
        <w:t>The Closing Loopholes No. 2 Act amended the Fair Work Act to allow franchisees of a common franchisor to access the single-enterprise agreement stream, without removing their ability to bargain for a multi-employer agreement. Consequently, the amendments provide that multiple franchisees can choose to bargain for either a single-enterprise agreement or a multi-employer agreement.</w:t>
      </w:r>
      <w:r w:rsidRPr="396ABCA7">
        <w:rPr>
          <w:rStyle w:val="FootnoteReference"/>
        </w:rPr>
        <w:footnoteReference w:id="486"/>
      </w:r>
    </w:p>
    <w:p w14:paraId="1CBA069A" w14:textId="60F19FD5" w:rsidR="00924664" w:rsidRPr="00167CB8" w:rsidRDefault="00924664" w:rsidP="00924664">
      <w:r w:rsidRPr="00167CB8">
        <w:t>The Closing Loopholes No. 2 Act also amended the Fair Work Act by introducing ‘special rules’ allowing single-enterprise agreements to replace single-interest employer agreements and supported bargaining agreements respectively that have not passed their nominal expiry dates.</w:t>
      </w:r>
      <w:r w:rsidRPr="00167CB8">
        <w:rPr>
          <w:rStyle w:val="FootnoteReference"/>
        </w:rPr>
        <w:footnoteReference w:id="487"/>
      </w:r>
      <w:r w:rsidRPr="00167CB8">
        <w:t xml:space="preserve"> The amendments modified the application of the Better Off Overall Test (BOOT) for single-interest employer agreements and supported bargaining agreements, requiring them to be assessed against the multi-employer agreement rather than the relevant modern award.</w:t>
      </w:r>
      <w:r w:rsidRPr="00167CB8">
        <w:rPr>
          <w:rStyle w:val="FootnoteReference"/>
        </w:rPr>
        <w:footnoteReference w:id="488"/>
      </w:r>
    </w:p>
    <w:p w14:paraId="162AE913" w14:textId="77777777" w:rsidR="0011475D" w:rsidRPr="00E8000A" w:rsidRDefault="00924664" w:rsidP="00EC3517">
      <w:pPr>
        <w:pStyle w:val="Heading5"/>
      </w:pPr>
      <w:r w:rsidRPr="00E8000A">
        <w:t>12.1.2 Intent of Secure Jobs, Better Pay amendments</w:t>
      </w:r>
    </w:p>
    <w:p w14:paraId="29CECC1C" w14:textId="4389BD2B" w:rsidR="00924664" w:rsidRPr="00167CB8" w:rsidRDefault="00924664" w:rsidP="00924664">
      <w:r w:rsidRPr="00167CB8">
        <w:t xml:space="preserve">The intent of the Secure Jobs, Better Pay amendments was to respond to the ‘unnecessary limits’ of the single-interest </w:t>
      </w:r>
      <w:r>
        <w:t xml:space="preserve">employer </w:t>
      </w:r>
      <w:r w:rsidRPr="00167CB8">
        <w:t>bargaining stream prior to the amendments.</w:t>
      </w:r>
      <w:r w:rsidRPr="00167CB8">
        <w:rPr>
          <w:rStyle w:val="FootnoteReference"/>
        </w:rPr>
        <w:footnoteReference w:id="489"/>
      </w:r>
      <w:r w:rsidRPr="00167CB8">
        <w:t xml:space="preserve"> It was further intended that this stream would lead to increases in collective bargaining coverage, if not number of collective agreements, which would in turn assist in increasing wages and narrowing the gender gap.</w:t>
      </w:r>
    </w:p>
    <w:p w14:paraId="7D790D2F" w14:textId="77777777" w:rsidR="00924664" w:rsidRPr="00167CB8" w:rsidRDefault="00924664" w:rsidP="00924664">
      <w:r w:rsidRPr="396ABCA7">
        <w:t xml:space="preserve">Historically, the previous authorisation process for single-interest </w:t>
      </w:r>
      <w:r>
        <w:t xml:space="preserve">employer </w:t>
      </w:r>
      <w:r w:rsidRPr="396ABCA7">
        <w:t>bargaining was viewed as difficult to access, containing ‘unnecessary red tape’.</w:t>
      </w:r>
      <w:r w:rsidRPr="396ABCA7">
        <w:rPr>
          <w:rStyle w:val="FootnoteReference"/>
        </w:rPr>
        <w:footnoteReference w:id="490"/>
      </w:r>
      <w:r w:rsidRPr="396ABCA7">
        <w:t xml:space="preserve"> A significant barrier was the requirement for employers to obtain a ministerial declaration to bargain together if the employer was not a franchisee.</w:t>
      </w:r>
    </w:p>
    <w:p w14:paraId="27FBBB10" w14:textId="77777777" w:rsidR="00924664" w:rsidRPr="00167CB8" w:rsidRDefault="00924664" w:rsidP="00924664">
      <w:r w:rsidRPr="00167CB8">
        <w:lastRenderedPageBreak/>
        <w:t>The Regulation Impact Statement to the Secure Jobs, Better Pay Bill notes the consequent challenges, evidenced by the fact that ‘only five applications for Ministerial declarations and 10 applications for single-interest employer authorisations are made per year on average’.</w:t>
      </w:r>
      <w:r w:rsidRPr="00167CB8">
        <w:rPr>
          <w:rStyle w:val="FootnoteReference"/>
        </w:rPr>
        <w:footnoteReference w:id="491"/>
      </w:r>
      <w:r w:rsidRPr="00167CB8">
        <w:t xml:space="preserve"> It also notes that ‘it is unclear on what basis the single-interest stream provides such strict entry rules, particularly given the largely unrestricted provisions under the multi-employer agreement stream’.</w:t>
      </w:r>
      <w:r w:rsidRPr="00167CB8">
        <w:rPr>
          <w:rStyle w:val="FootnoteReference"/>
        </w:rPr>
        <w:footnoteReference w:id="492"/>
      </w:r>
    </w:p>
    <w:p w14:paraId="7F44195E" w14:textId="77777777" w:rsidR="00924664" w:rsidRPr="00167CB8" w:rsidRDefault="00924664" w:rsidP="00924664">
      <w:r w:rsidRPr="396ABCA7">
        <w:t>The then Minister for Employment and Workplace Relations, the Hon Tony Burke MP, noted in the second reading speech for the Secure Jobs, Better Pay Bill the intention of the amendments to the single-interest stream, stating:</w:t>
      </w:r>
      <w:r w:rsidRPr="396ABCA7">
        <w:rPr>
          <w:vertAlign w:val="superscript"/>
        </w:rPr>
        <w:footnoteReference w:id="493"/>
      </w:r>
    </w:p>
    <w:p w14:paraId="45B60D5B" w14:textId="77777777" w:rsidR="0011475D" w:rsidRDefault="00924664" w:rsidP="00D55A73">
      <w:pPr>
        <w:pStyle w:val="Quote"/>
      </w:pPr>
      <w:r w:rsidRPr="00167CB8">
        <w:t>we want to see businesses competing on quality, on innovation, on product and service offerings – not on who can pay the lowest wage. If we are going to get wages moving, we need to stop the race to the bottom.</w:t>
      </w:r>
    </w:p>
    <w:p w14:paraId="544A0032" w14:textId="6B661164" w:rsidR="00924664" w:rsidRPr="00E8000A" w:rsidRDefault="00924664" w:rsidP="00EC3517">
      <w:pPr>
        <w:pStyle w:val="Heading4"/>
      </w:pPr>
      <w:bookmarkStart w:id="240" w:name="_Toc189260236"/>
      <w:bookmarkStart w:id="241" w:name="_Toc189393552"/>
      <w:r w:rsidRPr="00E8000A">
        <w:t>12.2 Impact and issues</w:t>
      </w:r>
      <w:bookmarkEnd w:id="240"/>
      <w:bookmarkEnd w:id="241"/>
    </w:p>
    <w:p w14:paraId="35F66318" w14:textId="77777777" w:rsidR="00924664" w:rsidRPr="00167CB8" w:rsidRDefault="00924664" w:rsidP="00924664">
      <w:r w:rsidRPr="396ABCA7">
        <w:t>This section will consider the effect of the amendments since commencement. In addition to earlier analysis of broader trends in collective bargaining and wage data (</w:t>
      </w:r>
      <w:r w:rsidRPr="006762E8">
        <w:t>see Chapter 8),</w:t>
      </w:r>
      <w:r w:rsidRPr="006762E8">
        <w:rPr>
          <w:vertAlign w:val="superscript"/>
        </w:rPr>
        <w:t xml:space="preserve"> </w:t>
      </w:r>
      <w:r w:rsidRPr="006762E8">
        <w:t>the</w:t>
      </w:r>
      <w:r w:rsidRPr="396ABCA7">
        <w:t xml:space="preserve"> effectiveness or otherwise of these amendments can be assessed through a quantitative account of the number of single-interest </w:t>
      </w:r>
      <w:r>
        <w:t xml:space="preserve">employer </w:t>
      </w:r>
      <w:r w:rsidRPr="396ABCA7">
        <w:t>bargaining applications and approvals, a qualitative consideration of decisions of courts and tribunals, and the views of stakeholders.</w:t>
      </w:r>
    </w:p>
    <w:p w14:paraId="48445CE5" w14:textId="77777777" w:rsidR="00924664" w:rsidRPr="00455FAB" w:rsidRDefault="00924664" w:rsidP="00EC3517">
      <w:pPr>
        <w:pStyle w:val="Heading5"/>
      </w:pPr>
      <w:r w:rsidRPr="00455FAB">
        <w:t>12.2.1 Quantitative evidence</w:t>
      </w:r>
    </w:p>
    <w:p w14:paraId="25118ED5" w14:textId="77777777" w:rsidR="0011475D" w:rsidRDefault="00924664" w:rsidP="00924664">
      <w:r w:rsidRPr="00167CB8">
        <w:t xml:space="preserve">Since commencement, there have been few instances of bargaining under the single-interest employer </w:t>
      </w:r>
      <w:r>
        <w:t xml:space="preserve">bargaining </w:t>
      </w:r>
      <w:r w:rsidRPr="00167CB8">
        <w:t>stream and therefore quantitative data is limited.</w:t>
      </w:r>
    </w:p>
    <w:p w14:paraId="21D3896A" w14:textId="4EC24909" w:rsidR="0011475D" w:rsidRDefault="00924664" w:rsidP="00924664">
      <w:r w:rsidRPr="005F2113">
        <w:t xml:space="preserve">As of 21 February 2025 the FWC has issued 19 single-interest employer authorisations. The Review Panel is aware of </w:t>
      </w:r>
      <w:r>
        <w:t>three</w:t>
      </w:r>
      <w:r w:rsidRPr="005F2113">
        <w:t xml:space="preserve"> single-interest employer agreements that have been subsequently approved by the FWC.</w:t>
      </w:r>
      <w:r w:rsidRPr="005F2113">
        <w:rPr>
          <w:rStyle w:val="FootnoteReference"/>
        </w:rPr>
        <w:footnoteReference w:id="494"/>
      </w:r>
    </w:p>
    <w:p w14:paraId="39771121" w14:textId="44F590D8" w:rsidR="00924664" w:rsidRPr="005F2113" w:rsidRDefault="00924664" w:rsidP="00924664">
      <w:r w:rsidRPr="005F2113">
        <w:t xml:space="preserve">In terms of variations to agreements already made, as at 21 February 2025 the FWC has approved </w:t>
      </w:r>
      <w:r w:rsidR="00EC3517">
        <w:t>five</w:t>
      </w:r>
      <w:r w:rsidRPr="005F2113">
        <w:t xml:space="preserve"> variation applications to add an employer and employees to a single-interest employer agreement. </w:t>
      </w:r>
      <w:r>
        <w:t>Three</w:t>
      </w:r>
      <w:r w:rsidRPr="005F2113">
        <w:t xml:space="preserve"> of these applications were heard together in </w:t>
      </w:r>
      <w:r w:rsidRPr="005F2113">
        <w:rPr>
          <w:i/>
        </w:rPr>
        <w:t>DNM Engineering Pty Ltd</w:t>
      </w:r>
      <w:r w:rsidRPr="005F2113">
        <w:t>,</w:t>
      </w:r>
      <w:r w:rsidRPr="005F2113">
        <w:rPr>
          <w:rStyle w:val="FootnoteReference"/>
        </w:rPr>
        <w:footnoteReference w:id="495"/>
      </w:r>
      <w:r w:rsidRPr="005F2113">
        <w:t xml:space="preserve"> while </w:t>
      </w:r>
      <w:r>
        <w:t>two</w:t>
      </w:r>
      <w:r w:rsidRPr="005F2113">
        <w:t xml:space="preserve"> applications were heard together in </w:t>
      </w:r>
      <w:r w:rsidRPr="005F2113">
        <w:rPr>
          <w:i/>
        </w:rPr>
        <w:t>CMG Contracting Pty Ltd and Anor</w:t>
      </w:r>
      <w:r w:rsidRPr="005F2113">
        <w:t>.</w:t>
      </w:r>
      <w:r w:rsidRPr="005F2113">
        <w:rPr>
          <w:rStyle w:val="FootnoteReference"/>
        </w:rPr>
        <w:footnoteReference w:id="496"/>
      </w:r>
      <w:r w:rsidRPr="005F2113">
        <w:t xml:space="preserve"> The Review Panel is not aware of any approved applications to vary a single interest authorisation.</w:t>
      </w:r>
    </w:p>
    <w:p w14:paraId="27D8EF17" w14:textId="77777777" w:rsidR="00924664" w:rsidRDefault="00924664" w:rsidP="00924664">
      <w:pPr>
        <w:spacing w:after="160"/>
        <w:rPr>
          <w:rFonts w:cs="Calibri"/>
          <w:b/>
          <w:bCs/>
          <w:lang w:val="en-US"/>
        </w:rPr>
      </w:pPr>
      <w:r>
        <w:br w:type="page"/>
      </w:r>
    </w:p>
    <w:p w14:paraId="4858FF80" w14:textId="5049B602" w:rsidR="00924664" w:rsidRPr="00167CB8" w:rsidRDefault="00EC3517" w:rsidP="007F380D">
      <w:pPr>
        <w:pStyle w:val="Caption"/>
      </w:pPr>
      <w:bookmarkStart w:id="242" w:name="_Toc194251436"/>
      <w:r>
        <w:lastRenderedPageBreak/>
        <w:t xml:space="preserve">Table </w:t>
      </w:r>
      <w:r>
        <w:fldChar w:fldCharType="begin"/>
      </w:r>
      <w:r>
        <w:instrText xml:space="preserve"> SEQ Table \* ARABIC </w:instrText>
      </w:r>
      <w:r>
        <w:fldChar w:fldCharType="separate"/>
      </w:r>
      <w:r w:rsidR="00DE5F5E">
        <w:rPr>
          <w:noProof/>
        </w:rPr>
        <w:t>12</w:t>
      </w:r>
      <w:r>
        <w:fldChar w:fldCharType="end"/>
      </w:r>
      <w:r>
        <w:t xml:space="preserve">: </w:t>
      </w:r>
      <w:r w:rsidR="00924664" w:rsidRPr="005F2113">
        <w:t>Single-interest employer authorisations made</w:t>
      </w:r>
      <w:r w:rsidR="00A94A68">
        <w:t>,</w:t>
      </w:r>
      <w:r w:rsidR="00924664" w:rsidRPr="005F2113">
        <w:t xml:space="preserve"> as </w:t>
      </w:r>
      <w:r w:rsidR="00A94A68">
        <w:t>of</w:t>
      </w:r>
      <w:r w:rsidR="00924664" w:rsidRPr="005F2113">
        <w:t xml:space="preserve"> 21 February 2025</w:t>
      </w:r>
      <w:bookmarkEnd w:id="242"/>
    </w:p>
    <w:tbl>
      <w:tblPr>
        <w:tblStyle w:val="TableGrid"/>
        <w:tblW w:w="0" w:type="auto"/>
        <w:tblLook w:val="04A0" w:firstRow="1" w:lastRow="0" w:firstColumn="1" w:lastColumn="0" w:noHBand="0" w:noVBand="1"/>
      </w:tblPr>
      <w:tblGrid>
        <w:gridCol w:w="5337"/>
        <w:gridCol w:w="2037"/>
        <w:gridCol w:w="1642"/>
      </w:tblGrid>
      <w:tr w:rsidR="00924664" w:rsidRPr="00167CB8" w14:paraId="48200782" w14:textId="77777777" w:rsidTr="009A3F87">
        <w:trPr>
          <w:tblHeader/>
        </w:trPr>
        <w:tc>
          <w:tcPr>
            <w:tcW w:w="0" w:type="auto"/>
          </w:tcPr>
          <w:p w14:paraId="194EA98B" w14:textId="77777777" w:rsidR="00924664" w:rsidRPr="007B6AF7" w:rsidRDefault="00924664">
            <w:pPr>
              <w:spacing w:after="0"/>
              <w:rPr>
                <w:b/>
                <w:sz w:val="20"/>
                <w:szCs w:val="20"/>
              </w:rPr>
            </w:pPr>
            <w:r w:rsidRPr="007B6AF7">
              <w:rPr>
                <w:b/>
                <w:sz w:val="20"/>
                <w:szCs w:val="20"/>
              </w:rPr>
              <w:t>Matter</w:t>
            </w:r>
          </w:p>
        </w:tc>
        <w:tc>
          <w:tcPr>
            <w:tcW w:w="0" w:type="auto"/>
          </w:tcPr>
          <w:p w14:paraId="79CAFD61" w14:textId="77777777" w:rsidR="00924664" w:rsidRPr="007B6AF7" w:rsidRDefault="00924664">
            <w:pPr>
              <w:spacing w:after="0"/>
              <w:rPr>
                <w:b/>
                <w:sz w:val="20"/>
                <w:szCs w:val="20"/>
              </w:rPr>
            </w:pPr>
            <w:r w:rsidRPr="007B6AF7">
              <w:rPr>
                <w:b/>
                <w:sz w:val="20"/>
                <w:szCs w:val="20"/>
              </w:rPr>
              <w:t>Industry/sector</w:t>
            </w:r>
          </w:p>
        </w:tc>
        <w:tc>
          <w:tcPr>
            <w:tcW w:w="0" w:type="auto"/>
          </w:tcPr>
          <w:p w14:paraId="7B6761CE" w14:textId="77777777" w:rsidR="00924664" w:rsidRPr="007B6AF7" w:rsidRDefault="00924664">
            <w:pPr>
              <w:spacing w:after="0" w:line="259" w:lineRule="auto"/>
              <w:rPr>
                <w:b/>
                <w:sz w:val="20"/>
                <w:szCs w:val="20"/>
              </w:rPr>
            </w:pPr>
            <w:r w:rsidRPr="007B6AF7">
              <w:rPr>
                <w:b/>
                <w:sz w:val="20"/>
                <w:szCs w:val="20"/>
              </w:rPr>
              <w:t>Date authorisation made</w:t>
            </w:r>
          </w:p>
        </w:tc>
      </w:tr>
      <w:tr w:rsidR="0092610B" w:rsidRPr="00167CB8" w14:paraId="4DBA9CB5" w14:textId="77777777">
        <w:tc>
          <w:tcPr>
            <w:tcW w:w="0" w:type="auto"/>
          </w:tcPr>
          <w:p w14:paraId="52B461A9" w14:textId="60CDE68A" w:rsidR="0092610B" w:rsidRPr="007B6AF7" w:rsidRDefault="0092610B" w:rsidP="0092610B">
            <w:pPr>
              <w:spacing w:after="0"/>
              <w:rPr>
                <w:rFonts w:eastAsia="Calibri" w:cs="Calibri"/>
                <w:i/>
                <w:sz w:val="20"/>
                <w:szCs w:val="20"/>
              </w:rPr>
            </w:pPr>
            <w:r w:rsidRPr="007B6AF7">
              <w:rPr>
                <w:i/>
                <w:sz w:val="20"/>
                <w:szCs w:val="20"/>
              </w:rPr>
              <w:t>Australian Education Union</w:t>
            </w:r>
            <w:r w:rsidRPr="007B6AF7">
              <w:rPr>
                <w:sz w:val="20"/>
                <w:szCs w:val="20"/>
              </w:rPr>
              <w:t xml:space="preserve"> [2023] FWC 3034</w:t>
            </w:r>
          </w:p>
        </w:tc>
        <w:tc>
          <w:tcPr>
            <w:tcW w:w="0" w:type="auto"/>
          </w:tcPr>
          <w:p w14:paraId="6D137612" w14:textId="56122E53" w:rsidR="0092610B" w:rsidRPr="007B6AF7" w:rsidRDefault="0092610B" w:rsidP="0092610B">
            <w:pPr>
              <w:spacing w:after="0"/>
              <w:rPr>
                <w:sz w:val="20"/>
                <w:szCs w:val="20"/>
              </w:rPr>
            </w:pPr>
            <w:r w:rsidRPr="007B6AF7">
              <w:rPr>
                <w:sz w:val="20"/>
                <w:szCs w:val="20"/>
              </w:rPr>
              <w:t>Education and training (TAFE)</w:t>
            </w:r>
          </w:p>
        </w:tc>
        <w:tc>
          <w:tcPr>
            <w:tcW w:w="0" w:type="auto"/>
          </w:tcPr>
          <w:p w14:paraId="1EA57D0A" w14:textId="1287F91A" w:rsidR="0092610B" w:rsidRPr="007B6AF7" w:rsidRDefault="0092610B" w:rsidP="0092610B">
            <w:pPr>
              <w:spacing w:after="0"/>
              <w:rPr>
                <w:sz w:val="20"/>
                <w:szCs w:val="20"/>
              </w:rPr>
            </w:pPr>
            <w:r w:rsidRPr="007B6AF7">
              <w:rPr>
                <w:sz w:val="20"/>
                <w:szCs w:val="20"/>
              </w:rPr>
              <w:t>28 November 2023</w:t>
            </w:r>
          </w:p>
        </w:tc>
      </w:tr>
      <w:tr w:rsidR="0092610B" w:rsidRPr="00167CB8" w14:paraId="5535C636" w14:textId="77777777">
        <w:tc>
          <w:tcPr>
            <w:tcW w:w="0" w:type="auto"/>
          </w:tcPr>
          <w:p w14:paraId="4F6DBCBF" w14:textId="6CF7C2B4" w:rsidR="0092610B" w:rsidRPr="007B6AF7" w:rsidRDefault="0092610B" w:rsidP="0092610B">
            <w:pPr>
              <w:spacing w:after="0"/>
              <w:rPr>
                <w:rFonts w:eastAsia="Calibri" w:cs="Calibri"/>
                <w:i/>
                <w:sz w:val="20"/>
                <w:szCs w:val="20"/>
              </w:rPr>
            </w:pPr>
            <w:r w:rsidRPr="007B6AF7">
              <w:rPr>
                <w:rFonts w:eastAsia="Calibri" w:cs="Calibri"/>
                <w:i/>
                <w:sz w:val="20"/>
                <w:szCs w:val="20"/>
              </w:rPr>
              <w:t>‘Automotive, Food, Metals, Engineering, Printing and Kindred Industries Union’ known as the Australian Manufacturing Workers' Union (AMWU)</w:t>
            </w:r>
            <w:r w:rsidRPr="007B6AF7">
              <w:rPr>
                <w:rFonts w:eastAsia="Calibri" w:cs="Calibri"/>
                <w:sz w:val="20"/>
                <w:szCs w:val="20"/>
              </w:rPr>
              <w:t xml:space="preserve"> </w:t>
            </w:r>
            <w:r w:rsidRPr="007B6AF7">
              <w:rPr>
                <w:sz w:val="20"/>
                <w:szCs w:val="20"/>
              </w:rPr>
              <w:t>[2024] FWC 395</w:t>
            </w:r>
          </w:p>
        </w:tc>
        <w:tc>
          <w:tcPr>
            <w:tcW w:w="0" w:type="auto"/>
          </w:tcPr>
          <w:p w14:paraId="3FEEC60D" w14:textId="77F55E76" w:rsidR="0092610B" w:rsidRPr="007B6AF7" w:rsidRDefault="0092610B" w:rsidP="0092610B">
            <w:pPr>
              <w:spacing w:after="0"/>
              <w:rPr>
                <w:sz w:val="20"/>
                <w:szCs w:val="20"/>
              </w:rPr>
            </w:pPr>
            <w:r w:rsidRPr="007B6AF7">
              <w:rPr>
                <w:sz w:val="20"/>
                <w:szCs w:val="20"/>
              </w:rPr>
              <w:t>Air conditioning or ventilation</w:t>
            </w:r>
          </w:p>
        </w:tc>
        <w:tc>
          <w:tcPr>
            <w:tcW w:w="0" w:type="auto"/>
          </w:tcPr>
          <w:p w14:paraId="4630B252" w14:textId="1B35C470" w:rsidR="0092610B" w:rsidRPr="007B6AF7" w:rsidRDefault="0092610B" w:rsidP="0092610B">
            <w:pPr>
              <w:spacing w:after="0"/>
              <w:rPr>
                <w:sz w:val="20"/>
                <w:szCs w:val="20"/>
              </w:rPr>
            </w:pPr>
            <w:r w:rsidRPr="007B6AF7">
              <w:rPr>
                <w:sz w:val="20"/>
                <w:szCs w:val="20"/>
              </w:rPr>
              <w:t>13 February 2024</w:t>
            </w:r>
          </w:p>
        </w:tc>
      </w:tr>
      <w:tr w:rsidR="00924664" w:rsidRPr="00167CB8" w14:paraId="4F3905F6" w14:textId="77777777">
        <w:tc>
          <w:tcPr>
            <w:tcW w:w="0" w:type="auto"/>
          </w:tcPr>
          <w:p w14:paraId="0FCCE0D1" w14:textId="65C279B4" w:rsidR="00924664" w:rsidRPr="007B6AF7" w:rsidRDefault="00924664">
            <w:pPr>
              <w:spacing w:after="0" w:line="259" w:lineRule="auto"/>
              <w:rPr>
                <w:sz w:val="20"/>
                <w:szCs w:val="20"/>
              </w:rPr>
            </w:pPr>
            <w:r w:rsidRPr="007B6AF7">
              <w:rPr>
                <w:rFonts w:eastAsia="Calibri" w:cs="Calibri"/>
                <w:i/>
                <w:sz w:val="20"/>
                <w:szCs w:val="20"/>
              </w:rPr>
              <w:t xml:space="preserve">Association of Professional Engineers, Scientists and Managers, Australia v Great Southern Energy Pty Ltd </w:t>
            </w:r>
            <w:r w:rsidRPr="007B6AF7" w:rsidDel="0008301E">
              <w:rPr>
                <w:rFonts w:eastAsia="Calibri" w:cs="Calibri"/>
                <w:i/>
                <w:sz w:val="20"/>
                <w:szCs w:val="20"/>
              </w:rPr>
              <w:t>T/A</w:t>
            </w:r>
            <w:r w:rsidRPr="007B6AF7">
              <w:rPr>
                <w:rFonts w:eastAsia="Calibri" w:cs="Calibri"/>
                <w:i/>
                <w:sz w:val="20"/>
                <w:szCs w:val="20"/>
              </w:rPr>
              <w:t xml:space="preserve"> Delta Coal, Whitehaven Coal Mining Ltd, Peabody Energy Australia Coal Pty Ltd, Ulan Coal Mines Ltd</w:t>
            </w:r>
            <w:r w:rsidRPr="007B6AF7">
              <w:rPr>
                <w:rFonts w:eastAsia="Calibri" w:cs="Calibri"/>
                <w:sz w:val="20"/>
                <w:szCs w:val="20"/>
              </w:rPr>
              <w:t xml:space="preserve"> </w:t>
            </w:r>
            <w:r w:rsidRPr="007B6AF7">
              <w:rPr>
                <w:sz w:val="20"/>
                <w:szCs w:val="20"/>
              </w:rPr>
              <w:t>[2024] FWCFB 253</w:t>
            </w:r>
            <w:r w:rsidRPr="007B6AF7">
              <w:rPr>
                <w:rStyle w:val="FootnoteReference"/>
                <w:sz w:val="20"/>
                <w:szCs w:val="20"/>
              </w:rPr>
              <w:footnoteReference w:id="497"/>
            </w:r>
          </w:p>
        </w:tc>
        <w:tc>
          <w:tcPr>
            <w:tcW w:w="0" w:type="auto"/>
          </w:tcPr>
          <w:p w14:paraId="41D97C8E" w14:textId="77777777" w:rsidR="00924664" w:rsidRPr="007B6AF7" w:rsidRDefault="00924664">
            <w:pPr>
              <w:spacing w:after="0"/>
              <w:rPr>
                <w:sz w:val="20"/>
                <w:szCs w:val="20"/>
              </w:rPr>
            </w:pPr>
            <w:r w:rsidRPr="007B6AF7">
              <w:rPr>
                <w:sz w:val="20"/>
                <w:szCs w:val="20"/>
              </w:rPr>
              <w:t>Black coal mining</w:t>
            </w:r>
          </w:p>
        </w:tc>
        <w:tc>
          <w:tcPr>
            <w:tcW w:w="0" w:type="auto"/>
          </w:tcPr>
          <w:p w14:paraId="4F8C2A21" w14:textId="77777777" w:rsidR="00924664" w:rsidRPr="007B6AF7" w:rsidRDefault="00924664">
            <w:pPr>
              <w:spacing w:after="0" w:line="259" w:lineRule="auto"/>
              <w:rPr>
                <w:sz w:val="20"/>
                <w:szCs w:val="20"/>
              </w:rPr>
            </w:pPr>
            <w:r w:rsidRPr="007B6AF7">
              <w:rPr>
                <w:sz w:val="20"/>
                <w:szCs w:val="20"/>
              </w:rPr>
              <w:t>23 August 2024</w:t>
            </w:r>
          </w:p>
        </w:tc>
      </w:tr>
      <w:tr w:rsidR="00924664" w:rsidRPr="00167CB8" w14:paraId="67C9B662" w14:textId="77777777">
        <w:tc>
          <w:tcPr>
            <w:tcW w:w="0" w:type="auto"/>
          </w:tcPr>
          <w:p w14:paraId="237C013F" w14:textId="77777777" w:rsidR="00924664" w:rsidRPr="007B6AF7" w:rsidRDefault="00924664">
            <w:pPr>
              <w:spacing w:after="0"/>
              <w:rPr>
                <w:sz w:val="20"/>
                <w:szCs w:val="20"/>
              </w:rPr>
            </w:pPr>
            <w:r w:rsidRPr="007B6AF7">
              <w:rPr>
                <w:rFonts w:eastAsia="Calibri" w:cs="Calibri"/>
                <w:i/>
                <w:sz w:val="20"/>
                <w:szCs w:val="20"/>
              </w:rPr>
              <w:t>Independent Education Union of Australia v Catholic Education Western Australia Limited and Ors</w:t>
            </w:r>
            <w:r w:rsidRPr="007B6AF7">
              <w:rPr>
                <w:rFonts w:eastAsia="Calibri" w:cs="Calibri"/>
                <w:sz w:val="20"/>
                <w:szCs w:val="20"/>
              </w:rPr>
              <w:t xml:space="preserve"> [2023] FWCFB 177</w:t>
            </w:r>
          </w:p>
        </w:tc>
        <w:tc>
          <w:tcPr>
            <w:tcW w:w="0" w:type="auto"/>
          </w:tcPr>
          <w:p w14:paraId="67489178" w14:textId="77777777" w:rsidR="00924664" w:rsidRPr="007B6AF7" w:rsidRDefault="00924664">
            <w:pPr>
              <w:spacing w:after="0"/>
              <w:rPr>
                <w:sz w:val="20"/>
                <w:szCs w:val="20"/>
              </w:rPr>
            </w:pPr>
            <w:r w:rsidRPr="007B6AF7">
              <w:rPr>
                <w:sz w:val="20"/>
                <w:szCs w:val="20"/>
              </w:rPr>
              <w:t>Education (schools) and related services</w:t>
            </w:r>
          </w:p>
        </w:tc>
        <w:tc>
          <w:tcPr>
            <w:tcW w:w="0" w:type="auto"/>
          </w:tcPr>
          <w:p w14:paraId="6601A2A6" w14:textId="77777777" w:rsidR="00924664" w:rsidRPr="007B6AF7" w:rsidRDefault="00924664">
            <w:pPr>
              <w:spacing w:after="0" w:line="259" w:lineRule="auto"/>
              <w:rPr>
                <w:sz w:val="20"/>
                <w:szCs w:val="20"/>
              </w:rPr>
            </w:pPr>
            <w:r w:rsidRPr="007B6AF7">
              <w:rPr>
                <w:sz w:val="20"/>
                <w:szCs w:val="20"/>
              </w:rPr>
              <w:t>28 September 2024</w:t>
            </w:r>
          </w:p>
        </w:tc>
      </w:tr>
      <w:tr w:rsidR="00924664" w:rsidRPr="00167CB8" w14:paraId="4283614D" w14:textId="77777777">
        <w:tc>
          <w:tcPr>
            <w:tcW w:w="0" w:type="auto"/>
          </w:tcPr>
          <w:p w14:paraId="5078B780" w14:textId="77777777" w:rsidR="00924664" w:rsidRPr="007B6AF7" w:rsidRDefault="00924664">
            <w:pPr>
              <w:spacing w:after="0"/>
              <w:rPr>
                <w:sz w:val="20"/>
                <w:szCs w:val="20"/>
              </w:rPr>
            </w:pPr>
            <w:r w:rsidRPr="007B6AF7">
              <w:rPr>
                <w:i/>
                <w:sz w:val="20"/>
                <w:szCs w:val="20"/>
              </w:rPr>
              <w:t>Victorian Hospitals’ Industrial Association v Australian Nursing and Midwifery Federation and Health Services Union</w:t>
            </w:r>
            <w:r w:rsidRPr="007B6AF7">
              <w:rPr>
                <w:sz w:val="20"/>
                <w:szCs w:val="20"/>
              </w:rPr>
              <w:t xml:space="preserve"> [2024] FWC 482</w:t>
            </w:r>
          </w:p>
        </w:tc>
        <w:tc>
          <w:tcPr>
            <w:tcW w:w="0" w:type="auto"/>
          </w:tcPr>
          <w:p w14:paraId="42249672" w14:textId="77777777" w:rsidR="00924664" w:rsidRPr="007B6AF7" w:rsidRDefault="00924664">
            <w:pPr>
              <w:spacing w:after="0"/>
              <w:rPr>
                <w:sz w:val="20"/>
                <w:szCs w:val="20"/>
              </w:rPr>
            </w:pPr>
            <w:r w:rsidRPr="007B6AF7">
              <w:rPr>
                <w:sz w:val="20"/>
                <w:szCs w:val="20"/>
              </w:rPr>
              <w:t>Health and welfare services</w:t>
            </w:r>
          </w:p>
        </w:tc>
        <w:tc>
          <w:tcPr>
            <w:tcW w:w="0" w:type="auto"/>
          </w:tcPr>
          <w:p w14:paraId="10AC714D" w14:textId="77777777" w:rsidR="00924664" w:rsidRPr="007B6AF7" w:rsidRDefault="00924664">
            <w:pPr>
              <w:spacing w:after="0" w:line="259" w:lineRule="auto"/>
              <w:rPr>
                <w:sz w:val="20"/>
                <w:szCs w:val="20"/>
              </w:rPr>
            </w:pPr>
            <w:r w:rsidRPr="007B6AF7">
              <w:rPr>
                <w:sz w:val="20"/>
                <w:szCs w:val="20"/>
              </w:rPr>
              <w:t>6 March 2024</w:t>
            </w:r>
          </w:p>
        </w:tc>
      </w:tr>
      <w:tr w:rsidR="00924664" w:rsidRPr="00167CB8" w14:paraId="75F8F320" w14:textId="77777777">
        <w:tc>
          <w:tcPr>
            <w:tcW w:w="0" w:type="auto"/>
          </w:tcPr>
          <w:p w14:paraId="4538A801" w14:textId="77777777" w:rsidR="00924664" w:rsidRPr="007B6AF7" w:rsidRDefault="00924664">
            <w:pPr>
              <w:spacing w:after="0"/>
              <w:rPr>
                <w:sz w:val="20"/>
                <w:szCs w:val="20"/>
              </w:rPr>
            </w:pPr>
            <w:r w:rsidRPr="007B6AF7">
              <w:rPr>
                <w:i/>
                <w:iCs/>
                <w:sz w:val="20"/>
                <w:szCs w:val="20"/>
              </w:rPr>
              <w:t xml:space="preserve">Victorian Hospitals’ Industrial Association v Association of Professional Engineers, Scientists and Managers, Australia </w:t>
            </w:r>
            <w:r w:rsidRPr="007B6AF7">
              <w:rPr>
                <w:sz w:val="20"/>
                <w:szCs w:val="20"/>
              </w:rPr>
              <w:t>[2024] FWC 776</w:t>
            </w:r>
          </w:p>
        </w:tc>
        <w:tc>
          <w:tcPr>
            <w:tcW w:w="0" w:type="auto"/>
          </w:tcPr>
          <w:p w14:paraId="299210D2" w14:textId="77777777" w:rsidR="00924664" w:rsidRPr="007B6AF7" w:rsidRDefault="00924664">
            <w:pPr>
              <w:spacing w:after="0"/>
              <w:rPr>
                <w:sz w:val="20"/>
                <w:szCs w:val="20"/>
              </w:rPr>
            </w:pPr>
            <w:r w:rsidRPr="007B6AF7">
              <w:rPr>
                <w:sz w:val="20"/>
                <w:szCs w:val="20"/>
              </w:rPr>
              <w:t>Health care</w:t>
            </w:r>
          </w:p>
        </w:tc>
        <w:tc>
          <w:tcPr>
            <w:tcW w:w="0" w:type="auto"/>
          </w:tcPr>
          <w:p w14:paraId="639C15B0" w14:textId="77777777" w:rsidR="00924664" w:rsidRPr="007B6AF7" w:rsidRDefault="00924664">
            <w:pPr>
              <w:spacing w:after="0" w:line="259" w:lineRule="auto"/>
              <w:rPr>
                <w:sz w:val="20"/>
                <w:szCs w:val="20"/>
              </w:rPr>
            </w:pPr>
            <w:r w:rsidRPr="007B6AF7">
              <w:rPr>
                <w:sz w:val="20"/>
                <w:szCs w:val="20"/>
              </w:rPr>
              <w:t>2 April 2024</w:t>
            </w:r>
          </w:p>
        </w:tc>
      </w:tr>
      <w:tr w:rsidR="00924664" w:rsidRPr="00167CB8" w14:paraId="4D5CD0FA" w14:textId="77777777">
        <w:tc>
          <w:tcPr>
            <w:tcW w:w="0" w:type="auto"/>
          </w:tcPr>
          <w:p w14:paraId="6A940BEE" w14:textId="77777777" w:rsidR="00924664" w:rsidRPr="007B6AF7" w:rsidRDefault="00924664">
            <w:pPr>
              <w:spacing w:after="0"/>
              <w:rPr>
                <w:sz w:val="20"/>
                <w:szCs w:val="20"/>
              </w:rPr>
            </w:pPr>
            <w:r w:rsidRPr="007B6AF7">
              <w:rPr>
                <w:i/>
                <w:iCs/>
                <w:sz w:val="20"/>
                <w:szCs w:val="20"/>
              </w:rPr>
              <w:t xml:space="preserve">Lutheran Education SA, NT and WA Inc </w:t>
            </w:r>
            <w:r w:rsidRPr="007B6AF7">
              <w:rPr>
                <w:sz w:val="20"/>
                <w:szCs w:val="20"/>
              </w:rPr>
              <w:t>[2024] FWC 1405</w:t>
            </w:r>
          </w:p>
        </w:tc>
        <w:tc>
          <w:tcPr>
            <w:tcW w:w="0" w:type="auto"/>
          </w:tcPr>
          <w:p w14:paraId="4C9AACA9" w14:textId="77777777" w:rsidR="00924664" w:rsidRPr="007B6AF7" w:rsidRDefault="00924664">
            <w:pPr>
              <w:spacing w:after="0"/>
              <w:rPr>
                <w:sz w:val="20"/>
                <w:szCs w:val="20"/>
              </w:rPr>
            </w:pPr>
            <w:r w:rsidRPr="007B6AF7">
              <w:rPr>
                <w:sz w:val="20"/>
                <w:szCs w:val="20"/>
              </w:rPr>
              <w:t>Education (schools)</w:t>
            </w:r>
          </w:p>
        </w:tc>
        <w:tc>
          <w:tcPr>
            <w:tcW w:w="0" w:type="auto"/>
          </w:tcPr>
          <w:p w14:paraId="64DEAB41" w14:textId="77777777" w:rsidR="00924664" w:rsidRPr="007B6AF7" w:rsidRDefault="00924664">
            <w:pPr>
              <w:spacing w:after="0" w:line="259" w:lineRule="auto"/>
              <w:rPr>
                <w:sz w:val="20"/>
                <w:szCs w:val="20"/>
              </w:rPr>
            </w:pPr>
            <w:r w:rsidRPr="007B6AF7">
              <w:rPr>
                <w:sz w:val="20"/>
                <w:szCs w:val="20"/>
              </w:rPr>
              <w:t>30 May 2024</w:t>
            </w:r>
          </w:p>
        </w:tc>
      </w:tr>
      <w:tr w:rsidR="00924664" w:rsidRPr="00167CB8" w14:paraId="295A9FE6" w14:textId="77777777">
        <w:tc>
          <w:tcPr>
            <w:tcW w:w="0" w:type="auto"/>
          </w:tcPr>
          <w:p w14:paraId="7CC9E407" w14:textId="77777777" w:rsidR="00924664" w:rsidRPr="007B6AF7" w:rsidRDefault="00924664">
            <w:pPr>
              <w:spacing w:after="0"/>
              <w:rPr>
                <w:sz w:val="20"/>
                <w:szCs w:val="20"/>
              </w:rPr>
            </w:pPr>
            <w:r w:rsidRPr="007B6AF7">
              <w:rPr>
                <w:i/>
                <w:iCs/>
                <w:sz w:val="20"/>
                <w:szCs w:val="20"/>
              </w:rPr>
              <w:t xml:space="preserve">CPSU, the Community and Public Sector Union </w:t>
            </w:r>
            <w:r w:rsidRPr="007B6AF7">
              <w:rPr>
                <w:sz w:val="20"/>
                <w:szCs w:val="20"/>
              </w:rPr>
              <w:t>[2024] FWC 1402</w:t>
            </w:r>
          </w:p>
        </w:tc>
        <w:tc>
          <w:tcPr>
            <w:tcW w:w="0" w:type="auto"/>
          </w:tcPr>
          <w:p w14:paraId="683DDF3F" w14:textId="77777777" w:rsidR="00924664" w:rsidRPr="007B6AF7" w:rsidRDefault="00924664">
            <w:pPr>
              <w:spacing w:after="0"/>
              <w:rPr>
                <w:sz w:val="20"/>
                <w:szCs w:val="20"/>
              </w:rPr>
            </w:pPr>
            <w:r w:rsidRPr="007B6AF7">
              <w:rPr>
                <w:sz w:val="20"/>
                <w:szCs w:val="20"/>
              </w:rPr>
              <w:t>State government (arts sector)</w:t>
            </w:r>
          </w:p>
        </w:tc>
        <w:tc>
          <w:tcPr>
            <w:tcW w:w="0" w:type="auto"/>
          </w:tcPr>
          <w:p w14:paraId="28AA53B9" w14:textId="77777777" w:rsidR="00924664" w:rsidRPr="007B6AF7" w:rsidRDefault="00924664">
            <w:pPr>
              <w:spacing w:after="0" w:line="259" w:lineRule="auto"/>
              <w:rPr>
                <w:sz w:val="20"/>
                <w:szCs w:val="20"/>
              </w:rPr>
            </w:pPr>
            <w:r w:rsidRPr="007B6AF7">
              <w:rPr>
                <w:sz w:val="20"/>
                <w:szCs w:val="20"/>
              </w:rPr>
              <w:t>3 June 2024</w:t>
            </w:r>
          </w:p>
        </w:tc>
      </w:tr>
      <w:tr w:rsidR="00924664" w:rsidRPr="00167CB8" w14:paraId="427B6ACA" w14:textId="77777777">
        <w:tc>
          <w:tcPr>
            <w:tcW w:w="0" w:type="auto"/>
          </w:tcPr>
          <w:p w14:paraId="14B4FD2B" w14:textId="2812F267" w:rsidR="00924664" w:rsidRPr="007B6AF7" w:rsidRDefault="00924664">
            <w:pPr>
              <w:spacing w:after="0"/>
              <w:rPr>
                <w:sz w:val="20"/>
                <w:szCs w:val="20"/>
              </w:rPr>
            </w:pPr>
            <w:r w:rsidRPr="007B6AF7">
              <w:rPr>
                <w:i/>
                <w:iCs/>
                <w:sz w:val="20"/>
                <w:szCs w:val="20"/>
              </w:rPr>
              <w:t xml:space="preserve">Acacia Avenue Preschool Association Inc &amp; Ors (As Represented by Early Learning Association Australia Inc/ </w:t>
            </w:r>
            <w:r w:rsidRPr="007B6AF7" w:rsidDel="0008301E">
              <w:rPr>
                <w:i/>
                <w:iCs/>
                <w:sz w:val="20"/>
                <w:szCs w:val="20"/>
              </w:rPr>
              <w:t>T/A</w:t>
            </w:r>
            <w:r w:rsidRPr="007B6AF7">
              <w:rPr>
                <w:i/>
                <w:iCs/>
                <w:sz w:val="20"/>
                <w:szCs w:val="20"/>
              </w:rPr>
              <w:t xml:space="preserve"> Early Learning Association Australia) v Australian Education Union (Victorian Branch) and the Union Workers Union</w:t>
            </w:r>
            <w:r w:rsidRPr="007B6AF7">
              <w:rPr>
                <w:sz w:val="20"/>
                <w:szCs w:val="20"/>
              </w:rPr>
              <w:t xml:space="preserve"> [2024] FWC 1447</w:t>
            </w:r>
          </w:p>
        </w:tc>
        <w:tc>
          <w:tcPr>
            <w:tcW w:w="0" w:type="auto"/>
          </w:tcPr>
          <w:p w14:paraId="7E612073" w14:textId="77777777" w:rsidR="00924664" w:rsidRPr="007B6AF7" w:rsidRDefault="00924664">
            <w:pPr>
              <w:spacing w:after="0"/>
              <w:rPr>
                <w:sz w:val="20"/>
                <w:szCs w:val="20"/>
              </w:rPr>
            </w:pPr>
            <w:r w:rsidRPr="007B6AF7">
              <w:rPr>
                <w:sz w:val="20"/>
                <w:szCs w:val="20"/>
              </w:rPr>
              <w:t>Early childhood education</w:t>
            </w:r>
          </w:p>
        </w:tc>
        <w:tc>
          <w:tcPr>
            <w:tcW w:w="0" w:type="auto"/>
          </w:tcPr>
          <w:p w14:paraId="6F26E711" w14:textId="77777777" w:rsidR="00924664" w:rsidRPr="007B6AF7" w:rsidRDefault="00924664">
            <w:pPr>
              <w:spacing w:after="0" w:line="259" w:lineRule="auto"/>
              <w:rPr>
                <w:sz w:val="20"/>
                <w:szCs w:val="20"/>
              </w:rPr>
            </w:pPr>
            <w:r w:rsidRPr="007B6AF7">
              <w:rPr>
                <w:sz w:val="20"/>
                <w:szCs w:val="20"/>
              </w:rPr>
              <w:t>3 June 2024</w:t>
            </w:r>
          </w:p>
        </w:tc>
      </w:tr>
      <w:tr w:rsidR="00924664" w:rsidRPr="00167CB8" w14:paraId="7287C619" w14:textId="77777777">
        <w:tc>
          <w:tcPr>
            <w:tcW w:w="0" w:type="auto"/>
          </w:tcPr>
          <w:p w14:paraId="13BCABB7" w14:textId="77777777" w:rsidR="00924664" w:rsidRPr="007B6AF7" w:rsidRDefault="00924664">
            <w:pPr>
              <w:spacing w:after="0"/>
              <w:rPr>
                <w:sz w:val="20"/>
                <w:szCs w:val="20"/>
              </w:rPr>
            </w:pPr>
            <w:r w:rsidRPr="007B6AF7">
              <w:rPr>
                <w:i/>
                <w:iCs/>
                <w:sz w:val="20"/>
                <w:szCs w:val="20"/>
              </w:rPr>
              <w:t>Victorian Hospitals’ Industrial Association</w:t>
            </w:r>
            <w:r w:rsidRPr="007B6AF7">
              <w:rPr>
                <w:sz w:val="20"/>
                <w:szCs w:val="20"/>
              </w:rPr>
              <w:t xml:space="preserve"> [2024] FWC 1563</w:t>
            </w:r>
          </w:p>
        </w:tc>
        <w:tc>
          <w:tcPr>
            <w:tcW w:w="0" w:type="auto"/>
          </w:tcPr>
          <w:p w14:paraId="48144746" w14:textId="77777777" w:rsidR="00924664" w:rsidRPr="007B6AF7" w:rsidRDefault="00924664">
            <w:pPr>
              <w:spacing w:after="0"/>
              <w:rPr>
                <w:sz w:val="20"/>
                <w:szCs w:val="20"/>
              </w:rPr>
            </w:pPr>
            <w:r w:rsidRPr="007B6AF7">
              <w:rPr>
                <w:sz w:val="20"/>
                <w:szCs w:val="20"/>
              </w:rPr>
              <w:t>Health care (dental)</w:t>
            </w:r>
          </w:p>
        </w:tc>
        <w:tc>
          <w:tcPr>
            <w:tcW w:w="0" w:type="auto"/>
          </w:tcPr>
          <w:p w14:paraId="4CFF2052" w14:textId="77777777" w:rsidR="00924664" w:rsidRPr="007B6AF7" w:rsidRDefault="00924664">
            <w:pPr>
              <w:spacing w:after="0" w:line="259" w:lineRule="auto"/>
              <w:rPr>
                <w:sz w:val="20"/>
                <w:szCs w:val="20"/>
              </w:rPr>
            </w:pPr>
            <w:r w:rsidRPr="007B6AF7">
              <w:rPr>
                <w:sz w:val="20"/>
                <w:szCs w:val="20"/>
              </w:rPr>
              <w:t>19 June 2024</w:t>
            </w:r>
          </w:p>
        </w:tc>
      </w:tr>
      <w:tr w:rsidR="00924664" w:rsidRPr="00167CB8" w14:paraId="6682F934" w14:textId="77777777">
        <w:tc>
          <w:tcPr>
            <w:tcW w:w="0" w:type="auto"/>
          </w:tcPr>
          <w:p w14:paraId="5DC7A4E4" w14:textId="65FA631A" w:rsidR="00924664" w:rsidRPr="007B6AF7" w:rsidRDefault="00924664">
            <w:pPr>
              <w:spacing w:after="0"/>
              <w:rPr>
                <w:sz w:val="20"/>
                <w:szCs w:val="20"/>
              </w:rPr>
            </w:pPr>
            <w:r w:rsidRPr="007B6AF7">
              <w:rPr>
                <w:i/>
                <w:iCs/>
                <w:sz w:val="20"/>
                <w:szCs w:val="20"/>
              </w:rPr>
              <w:t xml:space="preserve">Roman Catholic Church Trust Corporation of The Archdiocese of Hobart </w:t>
            </w:r>
            <w:r w:rsidRPr="007B6AF7" w:rsidDel="0008301E">
              <w:rPr>
                <w:i/>
                <w:iCs/>
                <w:sz w:val="20"/>
                <w:szCs w:val="20"/>
              </w:rPr>
              <w:t>T/A</w:t>
            </w:r>
            <w:r w:rsidRPr="007B6AF7">
              <w:rPr>
                <w:i/>
                <w:iCs/>
                <w:sz w:val="20"/>
                <w:szCs w:val="20"/>
              </w:rPr>
              <w:t xml:space="preserve"> Catholic Education Tasmania and Others </w:t>
            </w:r>
            <w:r w:rsidRPr="007B6AF7">
              <w:rPr>
                <w:sz w:val="20"/>
                <w:szCs w:val="20"/>
              </w:rPr>
              <w:t>[2024] FWC 1746</w:t>
            </w:r>
          </w:p>
        </w:tc>
        <w:tc>
          <w:tcPr>
            <w:tcW w:w="0" w:type="auto"/>
          </w:tcPr>
          <w:p w14:paraId="4F0DA9C0" w14:textId="77777777" w:rsidR="00924664" w:rsidRPr="007B6AF7" w:rsidRDefault="00924664">
            <w:pPr>
              <w:spacing w:after="0"/>
              <w:rPr>
                <w:sz w:val="20"/>
                <w:szCs w:val="20"/>
              </w:rPr>
            </w:pPr>
            <w:r w:rsidRPr="007B6AF7">
              <w:rPr>
                <w:sz w:val="20"/>
                <w:szCs w:val="20"/>
              </w:rPr>
              <w:t>Education</w:t>
            </w:r>
          </w:p>
        </w:tc>
        <w:tc>
          <w:tcPr>
            <w:tcW w:w="0" w:type="auto"/>
          </w:tcPr>
          <w:p w14:paraId="5A360C4E" w14:textId="77777777" w:rsidR="00924664" w:rsidRPr="007B6AF7" w:rsidRDefault="00924664">
            <w:pPr>
              <w:spacing w:after="0" w:line="259" w:lineRule="auto"/>
              <w:rPr>
                <w:sz w:val="20"/>
                <w:szCs w:val="20"/>
              </w:rPr>
            </w:pPr>
            <w:r w:rsidRPr="007B6AF7">
              <w:rPr>
                <w:sz w:val="20"/>
                <w:szCs w:val="20"/>
              </w:rPr>
              <w:t>5 July 2024</w:t>
            </w:r>
          </w:p>
        </w:tc>
      </w:tr>
      <w:tr w:rsidR="00924664" w:rsidRPr="00167CB8" w14:paraId="23840450" w14:textId="77777777">
        <w:tc>
          <w:tcPr>
            <w:tcW w:w="0" w:type="auto"/>
          </w:tcPr>
          <w:p w14:paraId="499F3D2C" w14:textId="0589066D" w:rsidR="00924664" w:rsidRPr="007B6AF7" w:rsidRDefault="00924664">
            <w:pPr>
              <w:spacing w:after="0"/>
              <w:rPr>
                <w:sz w:val="20"/>
                <w:szCs w:val="20"/>
              </w:rPr>
            </w:pPr>
            <w:r w:rsidRPr="007B6AF7">
              <w:rPr>
                <w:i/>
                <w:iCs/>
                <w:sz w:val="20"/>
                <w:szCs w:val="20"/>
              </w:rPr>
              <w:t xml:space="preserve">Catholic Church Endowment Society Inc </w:t>
            </w:r>
            <w:r w:rsidRPr="007B6AF7" w:rsidDel="0008301E">
              <w:rPr>
                <w:i/>
                <w:iCs/>
                <w:sz w:val="20"/>
                <w:szCs w:val="20"/>
              </w:rPr>
              <w:t>T/A</w:t>
            </w:r>
            <w:r w:rsidRPr="007B6AF7">
              <w:rPr>
                <w:i/>
                <w:iCs/>
                <w:sz w:val="20"/>
                <w:szCs w:val="20"/>
              </w:rPr>
              <w:t xml:space="preserve"> Catholic Education (South Australia)</w:t>
            </w:r>
            <w:r w:rsidRPr="007B6AF7">
              <w:rPr>
                <w:sz w:val="20"/>
                <w:szCs w:val="20"/>
              </w:rPr>
              <w:t xml:space="preserve"> [2024] FWC 1993</w:t>
            </w:r>
          </w:p>
        </w:tc>
        <w:tc>
          <w:tcPr>
            <w:tcW w:w="0" w:type="auto"/>
          </w:tcPr>
          <w:p w14:paraId="7CFA8F6E" w14:textId="77777777" w:rsidR="00924664" w:rsidRPr="007B6AF7" w:rsidRDefault="00924664">
            <w:pPr>
              <w:spacing w:after="0"/>
              <w:rPr>
                <w:sz w:val="20"/>
                <w:szCs w:val="20"/>
              </w:rPr>
            </w:pPr>
            <w:r w:rsidRPr="007B6AF7">
              <w:rPr>
                <w:sz w:val="20"/>
                <w:szCs w:val="20"/>
              </w:rPr>
              <w:t>Education</w:t>
            </w:r>
          </w:p>
        </w:tc>
        <w:tc>
          <w:tcPr>
            <w:tcW w:w="0" w:type="auto"/>
          </w:tcPr>
          <w:p w14:paraId="335D75FC" w14:textId="77777777" w:rsidR="00924664" w:rsidRPr="007B6AF7" w:rsidRDefault="00924664">
            <w:pPr>
              <w:spacing w:after="0" w:line="259" w:lineRule="auto"/>
              <w:rPr>
                <w:sz w:val="20"/>
                <w:szCs w:val="20"/>
              </w:rPr>
            </w:pPr>
            <w:r w:rsidRPr="007B6AF7">
              <w:rPr>
                <w:sz w:val="20"/>
                <w:szCs w:val="20"/>
              </w:rPr>
              <w:t>31 July 2024</w:t>
            </w:r>
          </w:p>
        </w:tc>
      </w:tr>
      <w:tr w:rsidR="00924664" w:rsidRPr="00167CB8" w14:paraId="0AA62E1D" w14:textId="77777777">
        <w:tc>
          <w:tcPr>
            <w:tcW w:w="0" w:type="auto"/>
          </w:tcPr>
          <w:p w14:paraId="1AA63AA5" w14:textId="2F82D099" w:rsidR="00924664" w:rsidRPr="007B6AF7" w:rsidRDefault="00924664">
            <w:pPr>
              <w:spacing w:after="0"/>
              <w:rPr>
                <w:sz w:val="20"/>
                <w:szCs w:val="20"/>
              </w:rPr>
            </w:pPr>
            <w:r w:rsidRPr="007B6AF7">
              <w:rPr>
                <w:i/>
                <w:iCs/>
                <w:sz w:val="20"/>
                <w:szCs w:val="20"/>
              </w:rPr>
              <w:t xml:space="preserve">Hungry Jack’s Pty Ltd </w:t>
            </w:r>
            <w:r w:rsidRPr="007B6AF7" w:rsidDel="0008301E">
              <w:rPr>
                <w:i/>
                <w:iCs/>
                <w:sz w:val="20"/>
                <w:szCs w:val="20"/>
              </w:rPr>
              <w:t>T/A</w:t>
            </w:r>
            <w:r w:rsidRPr="007B6AF7">
              <w:rPr>
                <w:i/>
                <w:iCs/>
                <w:sz w:val="20"/>
                <w:szCs w:val="20"/>
              </w:rPr>
              <w:t xml:space="preserve"> Hungry Jack’s</w:t>
            </w:r>
            <w:r w:rsidRPr="007B6AF7">
              <w:rPr>
                <w:sz w:val="20"/>
                <w:szCs w:val="20"/>
              </w:rPr>
              <w:t xml:space="preserve"> [2024] FWC 2275</w:t>
            </w:r>
          </w:p>
        </w:tc>
        <w:tc>
          <w:tcPr>
            <w:tcW w:w="0" w:type="auto"/>
          </w:tcPr>
          <w:p w14:paraId="76248DA7" w14:textId="77777777" w:rsidR="00924664" w:rsidRPr="007B6AF7" w:rsidRDefault="00924664">
            <w:pPr>
              <w:spacing w:after="0"/>
              <w:rPr>
                <w:sz w:val="20"/>
                <w:szCs w:val="20"/>
              </w:rPr>
            </w:pPr>
            <w:r w:rsidRPr="007B6AF7">
              <w:rPr>
                <w:sz w:val="20"/>
                <w:szCs w:val="20"/>
              </w:rPr>
              <w:t>Fast food</w:t>
            </w:r>
          </w:p>
        </w:tc>
        <w:tc>
          <w:tcPr>
            <w:tcW w:w="0" w:type="auto"/>
          </w:tcPr>
          <w:p w14:paraId="735B24F8" w14:textId="77777777" w:rsidR="00924664" w:rsidRPr="007B6AF7" w:rsidRDefault="00924664">
            <w:pPr>
              <w:spacing w:after="0" w:line="259" w:lineRule="auto"/>
              <w:rPr>
                <w:sz w:val="20"/>
                <w:szCs w:val="20"/>
              </w:rPr>
            </w:pPr>
            <w:r w:rsidRPr="007B6AF7">
              <w:rPr>
                <w:sz w:val="20"/>
                <w:szCs w:val="20"/>
              </w:rPr>
              <w:t>9 September 2024</w:t>
            </w:r>
          </w:p>
        </w:tc>
      </w:tr>
      <w:tr w:rsidR="00924664" w:rsidRPr="00167CB8" w14:paraId="3034573F" w14:textId="77777777">
        <w:tc>
          <w:tcPr>
            <w:tcW w:w="0" w:type="auto"/>
          </w:tcPr>
          <w:p w14:paraId="2443D74B" w14:textId="0BF09190" w:rsidR="00924664" w:rsidRPr="007B6AF7" w:rsidRDefault="00924664">
            <w:pPr>
              <w:spacing w:after="0"/>
              <w:rPr>
                <w:sz w:val="20"/>
                <w:szCs w:val="20"/>
              </w:rPr>
            </w:pPr>
            <w:r w:rsidRPr="007B6AF7">
              <w:rPr>
                <w:i/>
                <w:iCs/>
                <w:sz w:val="20"/>
                <w:szCs w:val="20"/>
              </w:rPr>
              <w:t>Australian Municipal, Administrative, Clerical and Services Union v Central Goldfields Shire Council, Ararat Rural City Council</w:t>
            </w:r>
            <w:r w:rsidRPr="007B6AF7">
              <w:rPr>
                <w:sz w:val="20"/>
                <w:szCs w:val="20"/>
              </w:rPr>
              <w:t xml:space="preserve"> [2024] FWCFB 444</w:t>
            </w:r>
            <w:r w:rsidR="00392863">
              <w:rPr>
                <w:rStyle w:val="FootnoteReference"/>
                <w:sz w:val="20"/>
                <w:szCs w:val="20"/>
              </w:rPr>
              <w:footnoteReference w:id="498"/>
            </w:r>
          </w:p>
        </w:tc>
        <w:tc>
          <w:tcPr>
            <w:tcW w:w="0" w:type="auto"/>
          </w:tcPr>
          <w:p w14:paraId="59A71A08" w14:textId="77777777" w:rsidR="00924664" w:rsidRPr="007B6AF7" w:rsidRDefault="00924664">
            <w:pPr>
              <w:spacing w:after="0"/>
              <w:rPr>
                <w:sz w:val="20"/>
                <w:szCs w:val="20"/>
              </w:rPr>
            </w:pPr>
            <w:r w:rsidRPr="007B6AF7">
              <w:rPr>
                <w:sz w:val="20"/>
                <w:szCs w:val="20"/>
              </w:rPr>
              <w:t>Local government</w:t>
            </w:r>
          </w:p>
        </w:tc>
        <w:tc>
          <w:tcPr>
            <w:tcW w:w="0" w:type="auto"/>
          </w:tcPr>
          <w:p w14:paraId="7A9E912D" w14:textId="77777777" w:rsidR="00924664" w:rsidRPr="007B6AF7" w:rsidRDefault="00924664">
            <w:pPr>
              <w:spacing w:after="0" w:line="259" w:lineRule="auto"/>
              <w:rPr>
                <w:sz w:val="20"/>
                <w:szCs w:val="20"/>
              </w:rPr>
            </w:pPr>
            <w:r w:rsidRPr="007B6AF7">
              <w:rPr>
                <w:sz w:val="20"/>
                <w:szCs w:val="20"/>
              </w:rPr>
              <w:t>27 November 2024</w:t>
            </w:r>
          </w:p>
        </w:tc>
      </w:tr>
      <w:tr w:rsidR="00924664" w:rsidRPr="00167CB8" w14:paraId="7E41DACF" w14:textId="77777777">
        <w:tc>
          <w:tcPr>
            <w:tcW w:w="0" w:type="auto"/>
          </w:tcPr>
          <w:p w14:paraId="6303D4F1" w14:textId="4B424788" w:rsidR="00924664" w:rsidRPr="007B6AF7" w:rsidRDefault="00924664">
            <w:pPr>
              <w:spacing w:after="0"/>
              <w:rPr>
                <w:sz w:val="20"/>
                <w:szCs w:val="20"/>
              </w:rPr>
            </w:pPr>
            <w:r w:rsidRPr="007B6AF7">
              <w:rPr>
                <w:i/>
                <w:iCs/>
                <w:sz w:val="20"/>
                <w:szCs w:val="20"/>
              </w:rPr>
              <w:t xml:space="preserve">Application by Tyndale Group Of Christian Schools Limited </w:t>
            </w:r>
            <w:r w:rsidRPr="007B6AF7" w:rsidDel="000551D1">
              <w:rPr>
                <w:i/>
                <w:iCs/>
                <w:sz w:val="20"/>
                <w:szCs w:val="20"/>
              </w:rPr>
              <w:t>T/A</w:t>
            </w:r>
            <w:r w:rsidRPr="007B6AF7">
              <w:rPr>
                <w:i/>
                <w:iCs/>
                <w:sz w:val="20"/>
                <w:szCs w:val="20"/>
              </w:rPr>
              <w:t xml:space="preserve"> Tyndale Group Of Christian Schools &amp; Tyndale Christian School – Salisbury East Inc </w:t>
            </w:r>
            <w:r w:rsidRPr="007B6AF7" w:rsidDel="0008301E">
              <w:rPr>
                <w:i/>
                <w:iCs/>
                <w:sz w:val="20"/>
                <w:szCs w:val="20"/>
              </w:rPr>
              <w:t>T/A</w:t>
            </w:r>
            <w:r w:rsidRPr="007B6AF7">
              <w:rPr>
                <w:i/>
                <w:iCs/>
                <w:sz w:val="20"/>
                <w:szCs w:val="20"/>
              </w:rPr>
              <w:t xml:space="preserve"> Tyndale Christian School – Salisbury East and Others</w:t>
            </w:r>
            <w:r w:rsidRPr="007B6AF7" w:rsidDel="0008301E">
              <w:rPr>
                <w:sz w:val="20"/>
                <w:szCs w:val="20"/>
              </w:rPr>
              <w:t xml:space="preserve"> </w:t>
            </w:r>
            <w:r w:rsidRPr="007B6AF7">
              <w:rPr>
                <w:sz w:val="20"/>
                <w:szCs w:val="20"/>
              </w:rPr>
              <w:t>[2024] FWC 3199</w:t>
            </w:r>
          </w:p>
        </w:tc>
        <w:tc>
          <w:tcPr>
            <w:tcW w:w="0" w:type="auto"/>
          </w:tcPr>
          <w:p w14:paraId="250CFF37" w14:textId="77777777" w:rsidR="00924664" w:rsidRPr="007B6AF7" w:rsidRDefault="00924664">
            <w:pPr>
              <w:spacing w:after="0"/>
              <w:rPr>
                <w:sz w:val="20"/>
                <w:szCs w:val="20"/>
              </w:rPr>
            </w:pPr>
            <w:r w:rsidRPr="007B6AF7">
              <w:rPr>
                <w:sz w:val="20"/>
                <w:szCs w:val="20"/>
              </w:rPr>
              <w:t>Education (schools)</w:t>
            </w:r>
          </w:p>
        </w:tc>
        <w:tc>
          <w:tcPr>
            <w:tcW w:w="0" w:type="auto"/>
          </w:tcPr>
          <w:p w14:paraId="7EA79667" w14:textId="77777777" w:rsidR="00924664" w:rsidRPr="007B6AF7" w:rsidRDefault="00924664">
            <w:pPr>
              <w:spacing w:after="0" w:line="259" w:lineRule="auto"/>
              <w:rPr>
                <w:sz w:val="20"/>
                <w:szCs w:val="20"/>
              </w:rPr>
            </w:pPr>
            <w:r w:rsidRPr="007B6AF7">
              <w:rPr>
                <w:sz w:val="20"/>
                <w:szCs w:val="20"/>
              </w:rPr>
              <w:t>3 December 2024</w:t>
            </w:r>
          </w:p>
        </w:tc>
      </w:tr>
      <w:tr w:rsidR="00924664" w:rsidRPr="00167CB8" w14:paraId="14B586C8" w14:textId="77777777">
        <w:tc>
          <w:tcPr>
            <w:tcW w:w="0" w:type="auto"/>
          </w:tcPr>
          <w:p w14:paraId="3F743EE5" w14:textId="77777777" w:rsidR="00924664" w:rsidRPr="007B6AF7" w:rsidRDefault="00924664">
            <w:pPr>
              <w:spacing w:after="0"/>
              <w:rPr>
                <w:sz w:val="20"/>
                <w:szCs w:val="20"/>
              </w:rPr>
            </w:pPr>
            <w:r w:rsidRPr="007B6AF7">
              <w:rPr>
                <w:i/>
                <w:iCs/>
                <w:sz w:val="20"/>
                <w:szCs w:val="20"/>
              </w:rPr>
              <w:t xml:space="preserve">Australian Rail, Tram and Bus Industry Union v Sydney Trains &amp; NSW Trains </w:t>
            </w:r>
            <w:r w:rsidRPr="007B6AF7">
              <w:rPr>
                <w:sz w:val="20"/>
                <w:szCs w:val="20"/>
              </w:rPr>
              <w:t>[2024] FWC 3419</w:t>
            </w:r>
          </w:p>
        </w:tc>
        <w:tc>
          <w:tcPr>
            <w:tcW w:w="0" w:type="auto"/>
          </w:tcPr>
          <w:p w14:paraId="699DAF3B" w14:textId="77777777" w:rsidR="00924664" w:rsidRPr="007B6AF7" w:rsidRDefault="00924664">
            <w:pPr>
              <w:spacing w:after="0"/>
              <w:rPr>
                <w:sz w:val="20"/>
                <w:szCs w:val="20"/>
              </w:rPr>
            </w:pPr>
            <w:r w:rsidRPr="007B6AF7">
              <w:rPr>
                <w:sz w:val="20"/>
                <w:szCs w:val="20"/>
              </w:rPr>
              <w:t>Public transport</w:t>
            </w:r>
          </w:p>
        </w:tc>
        <w:tc>
          <w:tcPr>
            <w:tcW w:w="0" w:type="auto"/>
          </w:tcPr>
          <w:p w14:paraId="615854AE" w14:textId="77777777" w:rsidR="00924664" w:rsidRPr="007B6AF7" w:rsidRDefault="00924664">
            <w:pPr>
              <w:spacing w:after="0" w:line="259" w:lineRule="auto"/>
              <w:rPr>
                <w:sz w:val="20"/>
                <w:szCs w:val="20"/>
              </w:rPr>
            </w:pPr>
            <w:r w:rsidRPr="007B6AF7">
              <w:rPr>
                <w:sz w:val="20"/>
                <w:szCs w:val="20"/>
              </w:rPr>
              <w:t>6 December 2024</w:t>
            </w:r>
          </w:p>
        </w:tc>
      </w:tr>
      <w:tr w:rsidR="00924664" w:rsidRPr="00167CB8" w14:paraId="6B45CE51" w14:textId="77777777">
        <w:tc>
          <w:tcPr>
            <w:tcW w:w="0" w:type="auto"/>
          </w:tcPr>
          <w:p w14:paraId="13006BE5" w14:textId="1B89D23B" w:rsidR="00924664" w:rsidRPr="007B6AF7" w:rsidRDefault="00924664">
            <w:pPr>
              <w:spacing w:after="0"/>
              <w:rPr>
                <w:sz w:val="20"/>
                <w:szCs w:val="20"/>
              </w:rPr>
            </w:pPr>
            <w:r w:rsidRPr="007B6AF7">
              <w:rPr>
                <w:i/>
                <w:sz w:val="20"/>
                <w:szCs w:val="20"/>
              </w:rPr>
              <w:t xml:space="preserve">Application by Victorian Hospitals’ Industrial Association </w:t>
            </w:r>
            <w:r w:rsidRPr="007B6AF7" w:rsidDel="0008301E">
              <w:rPr>
                <w:i/>
                <w:sz w:val="20"/>
                <w:szCs w:val="20"/>
              </w:rPr>
              <w:t>T/A</w:t>
            </w:r>
            <w:r w:rsidRPr="007B6AF7">
              <w:rPr>
                <w:i/>
                <w:sz w:val="20"/>
                <w:szCs w:val="20"/>
              </w:rPr>
              <w:t xml:space="preserve"> Victorian Hospitals’ Industrial Association </w:t>
            </w:r>
            <w:r w:rsidRPr="007B6AF7">
              <w:rPr>
                <w:sz w:val="20"/>
                <w:szCs w:val="20"/>
              </w:rPr>
              <w:t>[2024] FWC 3427</w:t>
            </w:r>
          </w:p>
        </w:tc>
        <w:tc>
          <w:tcPr>
            <w:tcW w:w="0" w:type="auto"/>
          </w:tcPr>
          <w:p w14:paraId="1237DD60" w14:textId="77777777" w:rsidR="00924664" w:rsidRPr="007B6AF7" w:rsidRDefault="00924664">
            <w:pPr>
              <w:spacing w:after="0"/>
              <w:rPr>
                <w:sz w:val="20"/>
                <w:szCs w:val="20"/>
              </w:rPr>
            </w:pPr>
            <w:r w:rsidRPr="007B6AF7">
              <w:rPr>
                <w:sz w:val="20"/>
                <w:szCs w:val="20"/>
              </w:rPr>
              <w:t>Health care (dental)</w:t>
            </w:r>
          </w:p>
        </w:tc>
        <w:tc>
          <w:tcPr>
            <w:tcW w:w="0" w:type="auto"/>
          </w:tcPr>
          <w:p w14:paraId="043473A9" w14:textId="77777777" w:rsidR="00924664" w:rsidRPr="007B6AF7" w:rsidRDefault="00924664">
            <w:pPr>
              <w:spacing w:after="0" w:line="259" w:lineRule="auto"/>
              <w:rPr>
                <w:sz w:val="20"/>
                <w:szCs w:val="20"/>
              </w:rPr>
            </w:pPr>
            <w:r w:rsidRPr="007B6AF7">
              <w:rPr>
                <w:sz w:val="20"/>
                <w:szCs w:val="20"/>
              </w:rPr>
              <w:t>17 December 2024</w:t>
            </w:r>
          </w:p>
        </w:tc>
      </w:tr>
      <w:tr w:rsidR="00924664" w:rsidRPr="00167CB8" w14:paraId="054E06D8" w14:textId="77777777">
        <w:tc>
          <w:tcPr>
            <w:tcW w:w="0" w:type="auto"/>
          </w:tcPr>
          <w:p w14:paraId="7008F4E8" w14:textId="77777777" w:rsidR="00924664" w:rsidRPr="007B6AF7" w:rsidRDefault="00924664">
            <w:pPr>
              <w:spacing w:after="0"/>
              <w:rPr>
                <w:sz w:val="20"/>
                <w:szCs w:val="20"/>
              </w:rPr>
            </w:pPr>
            <w:r w:rsidRPr="007B6AF7">
              <w:rPr>
                <w:i/>
                <w:iCs/>
                <w:sz w:val="20"/>
                <w:szCs w:val="20"/>
              </w:rPr>
              <w:lastRenderedPageBreak/>
              <w:t>Application by Annie Dennis Children’s Centre Inc. and Others</w:t>
            </w:r>
            <w:r w:rsidRPr="007B6AF7">
              <w:rPr>
                <w:sz w:val="20"/>
                <w:szCs w:val="20"/>
              </w:rPr>
              <w:t xml:space="preserve"> [2025] FWC 143</w:t>
            </w:r>
          </w:p>
        </w:tc>
        <w:tc>
          <w:tcPr>
            <w:tcW w:w="0" w:type="auto"/>
          </w:tcPr>
          <w:p w14:paraId="22A84F4F" w14:textId="77777777" w:rsidR="00924664" w:rsidRPr="007B6AF7" w:rsidRDefault="00924664">
            <w:pPr>
              <w:spacing w:after="0"/>
              <w:rPr>
                <w:sz w:val="20"/>
                <w:szCs w:val="20"/>
              </w:rPr>
            </w:pPr>
            <w:r w:rsidRPr="007B6AF7">
              <w:rPr>
                <w:sz w:val="20"/>
                <w:szCs w:val="20"/>
              </w:rPr>
              <w:t>Early childhood education</w:t>
            </w:r>
          </w:p>
        </w:tc>
        <w:tc>
          <w:tcPr>
            <w:tcW w:w="0" w:type="auto"/>
          </w:tcPr>
          <w:p w14:paraId="2DF75A40" w14:textId="77777777" w:rsidR="00924664" w:rsidRPr="007B6AF7" w:rsidRDefault="00924664">
            <w:pPr>
              <w:spacing w:after="0" w:line="259" w:lineRule="auto"/>
              <w:rPr>
                <w:sz w:val="20"/>
                <w:szCs w:val="20"/>
              </w:rPr>
            </w:pPr>
            <w:r w:rsidRPr="007B6AF7">
              <w:rPr>
                <w:sz w:val="20"/>
                <w:szCs w:val="20"/>
              </w:rPr>
              <w:t>15 January 2025</w:t>
            </w:r>
          </w:p>
        </w:tc>
      </w:tr>
      <w:tr w:rsidR="00924664" w:rsidRPr="00167CB8" w14:paraId="38C00B71" w14:textId="77777777">
        <w:tc>
          <w:tcPr>
            <w:tcW w:w="0" w:type="auto"/>
          </w:tcPr>
          <w:p w14:paraId="1D694BC9" w14:textId="77777777" w:rsidR="00924664" w:rsidRPr="007B6AF7" w:rsidRDefault="00924664">
            <w:pPr>
              <w:spacing w:after="0"/>
              <w:rPr>
                <w:sz w:val="20"/>
                <w:szCs w:val="20"/>
              </w:rPr>
            </w:pPr>
            <w:r w:rsidRPr="007B6AF7">
              <w:rPr>
                <w:i/>
                <w:iCs/>
                <w:sz w:val="20"/>
                <w:szCs w:val="20"/>
              </w:rPr>
              <w:t xml:space="preserve">Victorian Hospitals’ Industrial Association on behalf of Albury Wodonga Health and Others </w:t>
            </w:r>
            <w:r w:rsidRPr="007B6AF7">
              <w:rPr>
                <w:sz w:val="20"/>
                <w:szCs w:val="20"/>
              </w:rPr>
              <w:t>[2025] FWC 96</w:t>
            </w:r>
          </w:p>
        </w:tc>
        <w:tc>
          <w:tcPr>
            <w:tcW w:w="0" w:type="auto"/>
          </w:tcPr>
          <w:p w14:paraId="6B8D2426" w14:textId="77777777" w:rsidR="00924664" w:rsidRPr="007B6AF7" w:rsidRDefault="00924664">
            <w:pPr>
              <w:spacing w:after="0"/>
              <w:rPr>
                <w:sz w:val="20"/>
                <w:szCs w:val="20"/>
              </w:rPr>
            </w:pPr>
            <w:r w:rsidRPr="007B6AF7">
              <w:rPr>
                <w:sz w:val="20"/>
                <w:szCs w:val="20"/>
              </w:rPr>
              <w:t>Health</w:t>
            </w:r>
          </w:p>
        </w:tc>
        <w:tc>
          <w:tcPr>
            <w:tcW w:w="0" w:type="auto"/>
          </w:tcPr>
          <w:p w14:paraId="20B0C69C" w14:textId="08811359" w:rsidR="00924664" w:rsidRPr="007B6AF7" w:rsidRDefault="00924664">
            <w:pPr>
              <w:spacing w:after="0" w:line="259" w:lineRule="auto"/>
              <w:rPr>
                <w:sz w:val="20"/>
                <w:szCs w:val="20"/>
              </w:rPr>
            </w:pPr>
            <w:r w:rsidRPr="007B6AF7">
              <w:rPr>
                <w:sz w:val="20"/>
                <w:szCs w:val="20"/>
              </w:rPr>
              <w:t>17 January 2025</w:t>
            </w:r>
          </w:p>
        </w:tc>
      </w:tr>
    </w:tbl>
    <w:p w14:paraId="3A83AD71" w14:textId="608D0C2F" w:rsidR="00924664" w:rsidRPr="00167CB8" w:rsidRDefault="00D0419E" w:rsidP="00051540">
      <w:pPr>
        <w:pStyle w:val="Source"/>
      </w:pPr>
      <w:r w:rsidRPr="00167CB8">
        <w:rPr>
          <w:b/>
          <w:bCs/>
        </w:rPr>
        <w:t>Source:</w:t>
      </w:r>
      <w:r w:rsidRPr="00167CB8">
        <w:t xml:space="preserve"> Table prepared using data from </w:t>
      </w:r>
      <w:r>
        <w:t>Fair Work Commission</w:t>
      </w:r>
      <w:r w:rsidRPr="00167CB8">
        <w:t xml:space="preserve"> website.</w:t>
      </w:r>
    </w:p>
    <w:p w14:paraId="68A19526" w14:textId="77777777" w:rsidR="00924664" w:rsidRPr="0041541B" w:rsidRDefault="00924664" w:rsidP="00EC3517">
      <w:pPr>
        <w:pStyle w:val="Heading5"/>
      </w:pPr>
      <w:r w:rsidRPr="0041541B">
        <w:t>12.2.2 Qualitative evidence</w:t>
      </w:r>
    </w:p>
    <w:p w14:paraId="19E3CF7D" w14:textId="77777777" w:rsidR="00924664" w:rsidRPr="00167CB8" w:rsidRDefault="00924664" w:rsidP="00924664">
      <w:pPr>
        <w:rPr>
          <w:color w:val="777778" w:themeColor="accent5"/>
        </w:rPr>
      </w:pPr>
      <w:r w:rsidRPr="396ABCA7">
        <w:t>Despite the relatively small number of matters dealt with by the FWC so far, the FWC has, through its early decisions, issued guidance on the proper interpretation and application of the amended provisions.</w:t>
      </w:r>
      <w:r>
        <w:t xml:space="preserve"> Three of these authorisation decisions will be discussed here.</w:t>
      </w:r>
    </w:p>
    <w:p w14:paraId="289D1CCD" w14:textId="77777777" w:rsidR="0011475D" w:rsidRDefault="00924664" w:rsidP="00924664">
      <w:r w:rsidRPr="396ABCA7">
        <w:t>First, on 28 September 2023, the Full Bench of the FWC made a single-interest employer authorisation for 10 Catholic education employers in Western Australia to bargain together.</w:t>
      </w:r>
      <w:r w:rsidRPr="396ABCA7">
        <w:rPr>
          <w:rStyle w:val="FootnoteReference"/>
        </w:rPr>
        <w:footnoteReference w:id="499"/>
      </w:r>
      <w:r w:rsidRPr="396ABCA7">
        <w:t xml:space="preserve"> This case was the first consideration of amendments made by the Secure Jobs, Better Pay Act in relation to single-interest </w:t>
      </w:r>
      <w:r>
        <w:t xml:space="preserve">employer </w:t>
      </w:r>
      <w:r w:rsidRPr="396ABCA7">
        <w:t>bargaining by agreement</w:t>
      </w:r>
      <w:r>
        <w:t xml:space="preserve"> between the parties</w:t>
      </w:r>
      <w:r w:rsidRPr="396ABCA7">
        <w:t>.</w:t>
      </w:r>
    </w:p>
    <w:p w14:paraId="160E4296" w14:textId="4B4B738F" w:rsidR="00924664" w:rsidRPr="00167CB8" w:rsidRDefault="00924664" w:rsidP="00924664">
      <w:pPr>
        <w:tabs>
          <w:tab w:val="left" w:pos="1455"/>
        </w:tabs>
      </w:pPr>
      <w:r w:rsidRPr="00167CB8">
        <w:t xml:space="preserve">The class of employees to be covered included all support/operations/general staff working in schools registered under the </w:t>
      </w:r>
      <w:r w:rsidRPr="00167CB8">
        <w:rPr>
          <w:i/>
        </w:rPr>
        <w:t>School Education Act 1999</w:t>
      </w:r>
      <w:r w:rsidRPr="00167CB8">
        <w:t xml:space="preserve"> (WA); and/or long day care, occasional care, childcare centres, day-care facilities, out of school hours care, kindergartens and preschools, and early childhood intervention programs.</w:t>
      </w:r>
    </w:p>
    <w:p w14:paraId="3C1D311C" w14:textId="77777777" w:rsidR="00924664" w:rsidRPr="00167CB8" w:rsidRDefault="00924664" w:rsidP="00924664">
      <w:pPr>
        <w:tabs>
          <w:tab w:val="left" w:pos="1455"/>
        </w:tabs>
      </w:pPr>
      <w:r w:rsidRPr="396ABCA7">
        <w:t>The Full Bench of the FWC was satisfied the requirements under s 249 of the Fair Work Act were met and discussed the interpretation of ‘common interests’ under the Secure Jobs, Better Pay amendments. Each employer had ‘common interest’, as they were principally engaged in the provision of primary and/or secondary education in a school setting, and there was commonality between parties as to geography,</w:t>
      </w:r>
      <w:r w:rsidRPr="396ABCA7">
        <w:rPr>
          <w:rStyle w:val="FootnoteReference"/>
        </w:rPr>
        <w:footnoteReference w:id="500"/>
      </w:r>
      <w:r w:rsidRPr="396ABCA7">
        <w:t xml:space="preserve"> coverage under specific legislation</w:t>
      </w:r>
      <w:r w:rsidRPr="396ABCA7">
        <w:rPr>
          <w:rStyle w:val="FootnoteReference"/>
        </w:rPr>
        <w:footnoteReference w:id="501"/>
      </w:r>
      <w:r w:rsidRPr="396ABCA7">
        <w:t xml:space="preserve"> or industrial instruments,</w:t>
      </w:r>
      <w:r w:rsidRPr="396ABCA7">
        <w:rPr>
          <w:rStyle w:val="FootnoteReference"/>
        </w:rPr>
        <w:footnoteReference w:id="502"/>
      </w:r>
      <w:r w:rsidRPr="396ABCA7">
        <w:t xml:space="preserve"> and funding processes.</w:t>
      </w:r>
    </w:p>
    <w:p w14:paraId="3535A508" w14:textId="77777777" w:rsidR="0011475D" w:rsidRDefault="00924664" w:rsidP="00924664">
      <w:pPr>
        <w:tabs>
          <w:tab w:val="left" w:pos="1455"/>
        </w:tabs>
      </w:pPr>
      <w:r w:rsidRPr="396ABCA7">
        <w:t>This authorisation has been extended until 28 March 2025.</w:t>
      </w:r>
      <w:r w:rsidRPr="396ABCA7">
        <w:rPr>
          <w:rStyle w:val="FootnoteReference"/>
        </w:rPr>
        <w:footnoteReference w:id="503"/>
      </w:r>
    </w:p>
    <w:p w14:paraId="7F3DF99C" w14:textId="6C608A2E" w:rsidR="0011475D" w:rsidRDefault="00924664" w:rsidP="00924664">
      <w:pPr>
        <w:tabs>
          <w:tab w:val="left" w:pos="1455"/>
        </w:tabs>
      </w:pPr>
      <w:r w:rsidRPr="00167CB8">
        <w:t xml:space="preserve">Second, on 23 August 2024, the Full Bench of the FWC issued a single-interest employer authorisation </w:t>
      </w:r>
      <w:r w:rsidRPr="00167CB8" w:rsidDel="0008301E">
        <w:t>(</w:t>
      </w:r>
      <w:r w:rsidDel="0008301E">
        <w:t>A</w:t>
      </w:r>
      <w:r w:rsidRPr="00455FAB" w:rsidDel="0008301E">
        <w:t>uthorisation)</w:t>
      </w:r>
      <w:r w:rsidRPr="00167CB8" w:rsidDel="0008301E">
        <w:t xml:space="preserve"> </w:t>
      </w:r>
      <w:r w:rsidRPr="00167CB8">
        <w:t xml:space="preserve">to </w:t>
      </w:r>
      <w:r w:rsidR="00391FCF">
        <w:t>three</w:t>
      </w:r>
      <w:r w:rsidRPr="00167CB8">
        <w:t xml:space="preserve"> employers (Whitehaven Coal Mining, Peabody Energy and Ulan Coal Mines) who engaged employees in the black coal mining industry in New South Wales.</w:t>
      </w:r>
      <w:r w:rsidRPr="00167CB8">
        <w:rPr>
          <w:rStyle w:val="FootnoteReference"/>
        </w:rPr>
        <w:footnoteReference w:id="504"/>
      </w:r>
      <w:r w:rsidRPr="00167CB8">
        <w:t xml:space="preserve"> The </w:t>
      </w:r>
      <w:r w:rsidRPr="00167CB8" w:rsidDel="0008301E">
        <w:t>A</w:t>
      </w:r>
      <w:r w:rsidRPr="00167CB8">
        <w:t>uthorisation was refused in respect of Delta Coal, as the Full Bench found that they did not have clearly identifiable common interest</w:t>
      </w:r>
      <w:r>
        <w:t>s</w:t>
      </w:r>
      <w:r w:rsidRPr="00167CB8">
        <w:t xml:space="preserve"> with the other </w:t>
      </w:r>
      <w:r>
        <w:t>three</w:t>
      </w:r>
      <w:r w:rsidRPr="00167CB8">
        <w:t xml:space="preserve"> employers.</w:t>
      </w:r>
      <w:r w:rsidRPr="00167CB8">
        <w:rPr>
          <w:rStyle w:val="FootnoteReference"/>
        </w:rPr>
        <w:footnoteReference w:id="505"/>
      </w:r>
    </w:p>
    <w:p w14:paraId="4E47F6EE" w14:textId="77777777" w:rsidR="0011475D" w:rsidRDefault="00924664" w:rsidP="00924664">
      <w:r w:rsidRPr="396ABCA7">
        <w:lastRenderedPageBreak/>
        <w:t>This case was the first significant contested single-interest employer authorisation application.</w:t>
      </w:r>
      <w:r w:rsidRPr="396ABCA7">
        <w:rPr>
          <w:rStyle w:val="FootnoteReference"/>
        </w:rPr>
        <w:footnoteReference w:id="506"/>
      </w:r>
    </w:p>
    <w:p w14:paraId="52DD5B2F" w14:textId="4B4F918D" w:rsidR="00924664" w:rsidRPr="00167CB8" w:rsidRDefault="00924664" w:rsidP="00924664">
      <w:r w:rsidRPr="396ABCA7">
        <w:t xml:space="preserve">The Full Bench considered the following issues when issuing the </w:t>
      </w:r>
      <w:r w:rsidRPr="396ABCA7" w:rsidDel="0008301E">
        <w:t>A</w:t>
      </w:r>
      <w:r w:rsidRPr="396ABCA7">
        <w:t>uthorisation to Whitehaven Coal Mining, Peabody Energy and Ulan Coal Mines and found that:</w:t>
      </w:r>
      <w:r w:rsidRPr="396ABCA7">
        <w:rPr>
          <w:rStyle w:val="FootnoteReference"/>
        </w:rPr>
        <w:footnoteReference w:id="507"/>
      </w:r>
    </w:p>
    <w:p w14:paraId="10FFF843" w14:textId="77777777" w:rsidR="00924664" w:rsidRPr="00167CB8" w:rsidRDefault="00924664" w:rsidP="003F7EE6">
      <w:pPr>
        <w:pStyle w:val="ListBullet"/>
        <w:numPr>
          <w:ilvl w:val="0"/>
          <w:numId w:val="4"/>
        </w:numPr>
      </w:pPr>
      <w:r w:rsidRPr="396ABCA7">
        <w:t>a majority of the affected employees who would be covered by the agreement wanted to bargain for the agreement (Issue 1)</w:t>
      </w:r>
    </w:p>
    <w:p w14:paraId="64BA1A2E" w14:textId="0A0B32A5" w:rsidR="0011475D" w:rsidRDefault="00924664" w:rsidP="003F7EE6">
      <w:pPr>
        <w:pStyle w:val="ListBullet"/>
        <w:numPr>
          <w:ilvl w:val="0"/>
          <w:numId w:val="4"/>
        </w:numPr>
      </w:pPr>
      <w:r w:rsidRPr="00455FAB" w:rsidDel="0008301E">
        <w:t xml:space="preserve">each of </w:t>
      </w:r>
      <w:r w:rsidRPr="0008301E">
        <w:t>the employers have ‘</w:t>
      </w:r>
      <w:r w:rsidRPr="396ABCA7">
        <w:t>clearly identifiable common interests’ when considering their terms and conditions of employment and the regulatory environment they operate in (Issue</w:t>
      </w:r>
      <w:r w:rsidRPr="396ABCA7" w:rsidDel="00D26676">
        <w:t xml:space="preserve"> </w:t>
      </w:r>
      <w:r w:rsidRPr="396ABCA7">
        <w:t>2)</w:t>
      </w:r>
      <w:r w:rsidRPr="396ABCA7">
        <w:rPr>
          <w:rStyle w:val="FootnoteReference"/>
        </w:rPr>
        <w:footnoteReference w:id="508"/>
      </w:r>
    </w:p>
    <w:p w14:paraId="2F68CF43" w14:textId="3C961540" w:rsidR="00924664" w:rsidRPr="00167CB8" w:rsidRDefault="00924664" w:rsidP="003F7EE6">
      <w:pPr>
        <w:pStyle w:val="ListBullet"/>
        <w:numPr>
          <w:ilvl w:val="0"/>
          <w:numId w:val="4"/>
        </w:numPr>
      </w:pPr>
      <w:r w:rsidRPr="00167CB8">
        <w:t>it was ‘not contrary to the public interest’ to make the authorisation (Issue 3)</w:t>
      </w:r>
    </w:p>
    <w:p w14:paraId="712AF534" w14:textId="77777777" w:rsidR="0011475D" w:rsidRDefault="00924664" w:rsidP="003F7EE6">
      <w:pPr>
        <w:pStyle w:val="ListBullet"/>
        <w:numPr>
          <w:ilvl w:val="0"/>
          <w:numId w:val="4"/>
        </w:numPr>
      </w:pPr>
      <w:r w:rsidRPr="00167CB8">
        <w:t>the operations and business activities of each employer were ‘reasonably comparable’ with the other employers that would be covered by the agreement (Issue 4).</w:t>
      </w:r>
    </w:p>
    <w:p w14:paraId="5F1E6223" w14:textId="2C9F2A6A" w:rsidR="00924664" w:rsidRPr="00167CB8" w:rsidRDefault="00924664" w:rsidP="00924664">
      <w:r w:rsidRPr="396ABCA7">
        <w:t>On 20 September 2024 Whitehaven Coal Mining, Peabody Energy and Ulan Coal Mines lodged a Federal Court appeal and the matter is listed for a hearing in March 2025.</w:t>
      </w:r>
      <w:r w:rsidRPr="396ABCA7">
        <w:rPr>
          <w:rStyle w:val="FootnoteReference"/>
        </w:rPr>
        <w:footnoteReference w:id="509"/>
      </w:r>
    </w:p>
    <w:p w14:paraId="62367F17" w14:textId="77777777" w:rsidR="0011475D" w:rsidRDefault="00924664" w:rsidP="00924664">
      <w:r w:rsidRPr="396ABCA7">
        <w:t>Third, the FWC approved a second application for a single-interest employer authorisation, by agreement.</w:t>
      </w:r>
      <w:r w:rsidRPr="396ABCA7">
        <w:rPr>
          <w:rStyle w:val="FootnoteReference"/>
        </w:rPr>
        <w:footnoteReference w:id="510"/>
      </w:r>
      <w:r w:rsidRPr="396ABCA7">
        <w:t xml:space="preserve"> The application was made by the Automotive, Food, Metals, Engineering, Printing and Kindred Industries Union, known as the Australian Manufacturing Workers’ Union, and was approved on 13 February 2024.</w:t>
      </w:r>
      <w:r w:rsidRPr="396ABCA7">
        <w:rPr>
          <w:rStyle w:val="FootnoteReference"/>
        </w:rPr>
        <w:footnoteReference w:id="511"/>
      </w:r>
    </w:p>
    <w:p w14:paraId="5E45830E" w14:textId="180DBDC9" w:rsidR="00924664" w:rsidRPr="00167CB8" w:rsidRDefault="00924664" w:rsidP="00924664">
      <w:r w:rsidRPr="396ABCA7">
        <w:t>The authorisation was in respect of bargaining for a proposed multi-employer agreement to cover employees (including apprentices and trainees) who work in connection with the installation, major modernisation, servicing, repair or maintenance of air conditioning or ventilation.</w:t>
      </w:r>
      <w:r w:rsidRPr="396ABCA7">
        <w:rPr>
          <w:rStyle w:val="FootnoteReference"/>
        </w:rPr>
        <w:footnoteReference w:id="512"/>
      </w:r>
    </w:p>
    <w:p w14:paraId="77BD2156" w14:textId="77777777" w:rsidR="0011475D" w:rsidRDefault="00924664" w:rsidP="00924664">
      <w:r w:rsidRPr="396ABCA7">
        <w:t xml:space="preserve">The FWC relied and drew upon the principles in </w:t>
      </w:r>
      <w:r w:rsidRPr="396ABCA7">
        <w:rPr>
          <w:i/>
          <w:iCs/>
        </w:rPr>
        <w:t>IEU v CEWA</w:t>
      </w:r>
      <w:r w:rsidRPr="396ABCA7">
        <w:rPr>
          <w:rStyle w:val="FootnoteReference"/>
        </w:rPr>
        <w:footnoteReference w:id="513"/>
      </w:r>
      <w:r w:rsidRPr="396ABCA7">
        <w:t xml:space="preserve"> in its decision, finding the employers had ‘common interests’ and the requirements under the Fair Work Act for a single-interest employer authorisation were met. When considering ‘common interests’, the FWC looked at the recognisable, related or like characteristics of each employer and the joint or shared concerns in relation to the heating, ventilation and air conditioning industry.</w:t>
      </w:r>
      <w:r w:rsidRPr="396ABCA7">
        <w:rPr>
          <w:rStyle w:val="FootnoteReference"/>
        </w:rPr>
        <w:footnoteReference w:id="514"/>
      </w:r>
    </w:p>
    <w:p w14:paraId="3C36AADD" w14:textId="42E7EA51" w:rsidR="00924664" w:rsidRPr="00167CB8" w:rsidRDefault="00924664" w:rsidP="00924664">
      <w:r>
        <w:lastRenderedPageBreak/>
        <w:t xml:space="preserve">There have been three </w:t>
      </w:r>
      <w:r w:rsidRPr="00AC5025">
        <w:t>single-interest employer agreements that have been approved by the FWC</w:t>
      </w:r>
      <w:r>
        <w:t xml:space="preserve">, as outlined above. In all three cases, the FWC was satisfied the requirements under </w:t>
      </w:r>
      <w:r w:rsidR="0008301E">
        <w:t>ss </w:t>
      </w:r>
      <w:r>
        <w:t>186,187 and 188 of the Fair Work Act were met and approved the agreements.</w:t>
      </w:r>
      <w:r>
        <w:rPr>
          <w:rStyle w:val="FootnoteReference"/>
        </w:rPr>
        <w:footnoteReference w:id="515"/>
      </w:r>
    </w:p>
    <w:p w14:paraId="1845B183" w14:textId="28BDEF64" w:rsidR="00924664" w:rsidRPr="000F4AE2" w:rsidRDefault="00924664" w:rsidP="00924664">
      <w:r w:rsidRPr="005F2113">
        <w:t>As mentioned above</w:t>
      </w:r>
      <w:r w:rsidRPr="000F4AE2">
        <w:t xml:space="preserve">, there have been </w:t>
      </w:r>
      <w:r>
        <w:t xml:space="preserve">five </w:t>
      </w:r>
      <w:r w:rsidRPr="000F4AE2">
        <w:t xml:space="preserve">successful variation applications to </w:t>
      </w:r>
      <w:r>
        <w:t>vary a</w:t>
      </w:r>
      <w:r w:rsidRPr="000F4AE2">
        <w:t xml:space="preserve"> current single</w:t>
      </w:r>
      <w:r w:rsidR="00D26676">
        <w:t>-</w:t>
      </w:r>
      <w:r w:rsidRPr="000F4AE2">
        <w:t xml:space="preserve">interest employer agreement to add employers and </w:t>
      </w:r>
      <w:r>
        <w:t>their</w:t>
      </w:r>
      <w:r w:rsidRPr="000F4AE2">
        <w:t xml:space="preserve"> employees. These two decisions, </w:t>
      </w:r>
      <w:r w:rsidRPr="000F4AE2">
        <w:rPr>
          <w:i/>
        </w:rPr>
        <w:t>Application by DNM Engineering Pty Ltd</w:t>
      </w:r>
      <w:r>
        <w:rPr>
          <w:i/>
          <w:iCs/>
        </w:rPr>
        <w:t xml:space="preserve"> and Ors</w:t>
      </w:r>
      <w:r w:rsidRPr="000F4AE2">
        <w:rPr>
          <w:rStyle w:val="FootnoteReference"/>
        </w:rPr>
        <w:footnoteReference w:id="516"/>
      </w:r>
      <w:r w:rsidRPr="000F4AE2">
        <w:t xml:space="preserve"> (</w:t>
      </w:r>
      <w:r w:rsidRPr="00D912C1">
        <w:rPr>
          <w:i/>
        </w:rPr>
        <w:t>DNM Engineering</w:t>
      </w:r>
      <w:r w:rsidRPr="000F4AE2">
        <w:t xml:space="preserve">) and </w:t>
      </w:r>
      <w:r w:rsidRPr="000F4AE2">
        <w:rPr>
          <w:i/>
        </w:rPr>
        <w:t xml:space="preserve">Application by CMG </w:t>
      </w:r>
      <w:r>
        <w:rPr>
          <w:i/>
          <w:iCs/>
        </w:rPr>
        <w:t>C</w:t>
      </w:r>
      <w:r w:rsidRPr="000F4AE2">
        <w:rPr>
          <w:i/>
          <w:iCs/>
        </w:rPr>
        <w:t>ontracting</w:t>
      </w:r>
      <w:r w:rsidRPr="000F4AE2">
        <w:rPr>
          <w:i/>
        </w:rPr>
        <w:t xml:space="preserve"> Pty Ltd</w:t>
      </w:r>
      <w:r>
        <w:rPr>
          <w:i/>
          <w:iCs/>
        </w:rPr>
        <w:t xml:space="preserve"> and Ors</w:t>
      </w:r>
      <w:r w:rsidRPr="000F4AE2">
        <w:rPr>
          <w:rStyle w:val="FootnoteReference"/>
        </w:rPr>
        <w:footnoteReference w:id="517"/>
      </w:r>
      <w:r w:rsidRPr="000F4AE2">
        <w:t xml:space="preserve"> (</w:t>
      </w:r>
      <w:r w:rsidRPr="00D912C1">
        <w:rPr>
          <w:i/>
        </w:rPr>
        <w:t>CMG Contracting</w:t>
      </w:r>
      <w:r w:rsidRPr="000F4AE2">
        <w:t xml:space="preserve">), relate to a successful </w:t>
      </w:r>
      <w:r w:rsidRPr="0008301E">
        <w:t>variation of the</w:t>
      </w:r>
      <w:r w:rsidRPr="0008301E">
        <w:rPr>
          <w:i/>
        </w:rPr>
        <w:t xml:space="preserve"> AMWU On-Site Construction HVAC Workers NSW Enterprise Agreement 2023 – 2027 </w:t>
      </w:r>
      <w:r w:rsidRPr="0008301E">
        <w:t>(HVAC Agreement). The HVAC</w:t>
      </w:r>
      <w:r w:rsidRPr="000F4AE2">
        <w:t xml:space="preserve"> Agreement is a multi-employer agreement approved by the FWC on 14 June 2024.</w:t>
      </w:r>
      <w:r w:rsidRPr="000F4AE2">
        <w:rPr>
          <w:rStyle w:val="FootnoteReference"/>
        </w:rPr>
        <w:footnoteReference w:id="518"/>
      </w:r>
    </w:p>
    <w:p w14:paraId="44B79E2B" w14:textId="19958FEB" w:rsidR="00924664" w:rsidRPr="000F4AE2" w:rsidRDefault="00924664" w:rsidP="00924664">
      <w:r w:rsidRPr="00D912C1">
        <w:rPr>
          <w:i/>
        </w:rPr>
        <w:t>DNM Engineering</w:t>
      </w:r>
      <w:r w:rsidRPr="000F4AE2">
        <w:t xml:space="preserve"> (three applications heard together) and </w:t>
      </w:r>
      <w:r w:rsidRPr="00D912C1">
        <w:rPr>
          <w:i/>
        </w:rPr>
        <w:t>CMG Contracting</w:t>
      </w:r>
      <w:r w:rsidRPr="000F4AE2">
        <w:t xml:space="preserve"> (two applications heard together) </w:t>
      </w:r>
      <w:r w:rsidR="0008301E">
        <w:t xml:space="preserve">were applications </w:t>
      </w:r>
      <w:r w:rsidRPr="000F4AE2">
        <w:t>to vary the HVAC Agreement to add the respective employers and their employees to its coverage.</w:t>
      </w:r>
      <w:r>
        <w:rPr>
          <w:rStyle w:val="FootnoteReference"/>
        </w:rPr>
        <w:footnoteReference w:id="519"/>
      </w:r>
      <w:r w:rsidRPr="000F4AE2">
        <w:t xml:space="preserve"> For these applications to be successful, the FWC must be satisfied</w:t>
      </w:r>
      <w:r>
        <w:t>, among other requirements,</w:t>
      </w:r>
      <w:r w:rsidRPr="000F4AE2">
        <w:t xml:space="preserve"> that DNM Engineering and CMG Contracting met the common interests and public interest requirements. In both decisions, the FWC referred to </w:t>
      </w:r>
      <w:r w:rsidRPr="000F4AE2">
        <w:rPr>
          <w:i/>
        </w:rPr>
        <w:t>Application by UWU, AEU and IEU</w:t>
      </w:r>
      <w:r w:rsidRPr="00263546">
        <w:rPr>
          <w:rStyle w:val="FootnoteReference"/>
          <w:iCs/>
        </w:rPr>
        <w:footnoteReference w:id="520"/>
      </w:r>
      <w:r w:rsidRPr="00263546">
        <w:rPr>
          <w:iCs/>
        </w:rPr>
        <w:t xml:space="preserve"> </w:t>
      </w:r>
      <w:r w:rsidRPr="000F4AE2">
        <w:t>in relation to the meaning of ‘common interests’</w:t>
      </w:r>
      <w:r w:rsidRPr="000F4AE2">
        <w:rPr>
          <w:rStyle w:val="FootnoteReference"/>
        </w:rPr>
        <w:footnoteReference w:id="521"/>
      </w:r>
      <w:r w:rsidRPr="000F4AE2">
        <w:t xml:space="preserve"> and found that the relevant employers met this requirement.</w:t>
      </w:r>
      <w:r>
        <w:rPr>
          <w:rStyle w:val="FootnoteReference"/>
        </w:rPr>
        <w:footnoteReference w:id="522"/>
      </w:r>
      <w:r w:rsidRPr="000F4AE2">
        <w:t xml:space="preserve"> Further, the FWC found that there was nothing identified that might challenge the public interest</w:t>
      </w:r>
      <w:r w:rsidRPr="000F4AE2">
        <w:rPr>
          <w:rStyle w:val="FootnoteReference"/>
        </w:rPr>
        <w:footnoteReference w:id="523"/>
      </w:r>
      <w:r w:rsidRPr="000F4AE2">
        <w:t xml:space="preserve"> and no evidence </w:t>
      </w:r>
      <w:r>
        <w:t>was established</w:t>
      </w:r>
      <w:r w:rsidRPr="000F4AE2">
        <w:t xml:space="preserve"> that it </w:t>
      </w:r>
      <w:r>
        <w:t>wa</w:t>
      </w:r>
      <w:r w:rsidRPr="000F4AE2">
        <w:t>s contrary to the public interest.</w:t>
      </w:r>
      <w:r w:rsidRPr="000F4AE2">
        <w:rPr>
          <w:rStyle w:val="FootnoteReference"/>
        </w:rPr>
        <w:footnoteReference w:id="524"/>
      </w:r>
      <w:r w:rsidRPr="000F4AE2">
        <w:t xml:space="preserve"> </w:t>
      </w:r>
      <w:r>
        <w:t>As a result, the FWC approved each of the variations.</w:t>
      </w:r>
      <w:r>
        <w:rPr>
          <w:rStyle w:val="FootnoteReference"/>
        </w:rPr>
        <w:footnoteReference w:id="525"/>
      </w:r>
    </w:p>
    <w:p w14:paraId="533BBE92" w14:textId="77777777" w:rsidR="00924664" w:rsidRPr="00D912C1" w:rsidRDefault="00924664" w:rsidP="00EC3517">
      <w:pPr>
        <w:pStyle w:val="Heading5"/>
      </w:pPr>
      <w:r w:rsidRPr="00D912C1">
        <w:t>12.2.3 Stakeholder views</w:t>
      </w:r>
    </w:p>
    <w:p w14:paraId="10079C19" w14:textId="77777777" w:rsidR="0011475D" w:rsidRDefault="00924664" w:rsidP="00924664">
      <w:r w:rsidRPr="00167CB8">
        <w:t>Stakeholders expressed a range of views on the amendments to the single-interest employer bargaining stream.</w:t>
      </w:r>
    </w:p>
    <w:p w14:paraId="785B4F0F" w14:textId="24A954C8" w:rsidR="0011475D" w:rsidRDefault="00924664" w:rsidP="00924664">
      <w:r w:rsidRPr="00167CB8">
        <w:t>Unions broadly submit that the amendments to the stream have been positive but recommend further amendments to improve them. Specifically, the Australian Council of Trade Unions (ACTU) noted that the reforms did not undermine enterprise bargaining and that ‘use of multi-employer bargaining streams has been cautious and targeted’.</w:t>
      </w:r>
      <w:r w:rsidRPr="00167CB8">
        <w:rPr>
          <w:rStyle w:val="FootnoteReference"/>
        </w:rPr>
        <w:footnoteReference w:id="526"/>
      </w:r>
      <w:r w:rsidRPr="00167CB8">
        <w:t xml:space="preserve"> However, it also noted that it hold</w:t>
      </w:r>
      <w:r w:rsidR="002B1AC7">
        <w:t>s</w:t>
      </w:r>
      <w:r w:rsidRPr="00167CB8">
        <w:t xml:space="preserve"> concerns</w:t>
      </w:r>
      <w:r w:rsidR="00297B7B">
        <w:t xml:space="preserve"> that</w:t>
      </w:r>
      <w:r w:rsidRPr="00167CB8">
        <w:t xml:space="preserve"> the ‘“escape ramp” to single enterprise bargaining is too generous to employers who wish to frustrate the collective wishes of a legitimate bargaining cohort’.</w:t>
      </w:r>
      <w:r w:rsidRPr="00167CB8">
        <w:rPr>
          <w:rStyle w:val="FootnoteReference"/>
        </w:rPr>
        <w:footnoteReference w:id="527"/>
      </w:r>
    </w:p>
    <w:p w14:paraId="43256820" w14:textId="77777777" w:rsidR="0011475D" w:rsidRDefault="00924664" w:rsidP="00924664">
      <w:r w:rsidRPr="396ABCA7">
        <w:lastRenderedPageBreak/>
        <w:t>The ACTU argued multi-employer bargaining would be more efficient for workers in small businesses, which have traditionally encountered barriers in engaging in bargaining.</w:t>
      </w:r>
      <w:r w:rsidRPr="396ABCA7">
        <w:rPr>
          <w:rStyle w:val="FootnoteReference"/>
        </w:rPr>
        <w:footnoteReference w:id="528"/>
      </w:r>
    </w:p>
    <w:p w14:paraId="523E2F38" w14:textId="3B0ACED9" w:rsidR="0011475D" w:rsidRDefault="00924664" w:rsidP="00924664">
      <w:r w:rsidRPr="00167CB8">
        <w:t xml:space="preserve">The ACTU made recommendations relating to considering issues that are preventing the </w:t>
      </w:r>
      <w:r>
        <w:t xml:space="preserve">effective operation of the </w:t>
      </w:r>
      <w:r w:rsidRPr="00167CB8">
        <w:t>amendments, relating to expanding coverage of single-interest employer authorisations in franchise operations ‘to cover brand outlets where the operator and employer is the franchisor’</w:t>
      </w:r>
      <w:r>
        <w:t>;</w:t>
      </w:r>
      <w:r w:rsidRPr="00167CB8">
        <w:t xml:space="preserve"> providing a mechanism to resolve deadlocks where an employer covered by an authorisation refuses to submit the agreement to a vote where others do not</w:t>
      </w:r>
      <w:r>
        <w:t>;</w:t>
      </w:r>
      <w:r w:rsidRPr="00167CB8">
        <w:t xml:space="preserve"> and fast-tracking re-initiation of bargaining after a single-interest employer agreement has passed its nominal expiry date.</w:t>
      </w:r>
      <w:r w:rsidRPr="00167CB8">
        <w:rPr>
          <w:rStyle w:val="FootnoteReference"/>
        </w:rPr>
        <w:footnoteReference w:id="529"/>
      </w:r>
    </w:p>
    <w:p w14:paraId="540DA3E0" w14:textId="69F76081" w:rsidR="00924664" w:rsidRPr="00167CB8" w:rsidRDefault="00924664" w:rsidP="00924664">
      <w:r w:rsidRPr="396ABCA7">
        <w:t>The United Workers Union (UWU) recommended removing the requirement for unions to demonstrate majority employee support where an employer opposes a single-interest employer authorisation application to encourage utilisation of the stream.</w:t>
      </w:r>
      <w:r w:rsidRPr="396ABCA7">
        <w:rPr>
          <w:rStyle w:val="FootnoteReference"/>
        </w:rPr>
        <w:footnoteReference w:id="530"/>
      </w:r>
      <w:r w:rsidRPr="396ABCA7">
        <w:t xml:space="preserve"> The ACTU also recommended consideration of this requirement.</w:t>
      </w:r>
      <w:r w:rsidRPr="396ABCA7">
        <w:rPr>
          <w:rStyle w:val="FootnoteReference"/>
        </w:rPr>
        <w:footnoteReference w:id="531"/>
      </w:r>
    </w:p>
    <w:p w14:paraId="291480C0" w14:textId="23025779" w:rsidR="0011475D" w:rsidRDefault="00D26676" w:rsidP="00924664">
      <w:r>
        <w:t xml:space="preserve">The </w:t>
      </w:r>
      <w:r w:rsidR="00924664" w:rsidRPr="00167CB8">
        <w:t>UWU recommended allowing employers and employees ‘to obtain a single interest employer authorisation irrespective of business size, common interest or similarity in business or operations if they genuinely consent to the authorisation being granted’.</w:t>
      </w:r>
      <w:r w:rsidR="00924664" w:rsidRPr="00167CB8">
        <w:rPr>
          <w:rStyle w:val="FootnoteReference"/>
        </w:rPr>
        <w:footnoteReference w:id="532"/>
      </w:r>
      <w:r w:rsidR="00924664" w:rsidRPr="00167CB8">
        <w:t xml:space="preserve"> The </w:t>
      </w:r>
      <w:r w:rsidR="0008301E" w:rsidRPr="00167CB8">
        <w:t xml:space="preserve">Independent Education Union </w:t>
      </w:r>
      <w:r w:rsidR="0008301E">
        <w:t>(</w:t>
      </w:r>
      <w:r w:rsidR="00924664" w:rsidRPr="00167CB8">
        <w:t>IEU</w:t>
      </w:r>
      <w:r w:rsidR="0008301E">
        <w:t>)</w:t>
      </w:r>
      <w:r w:rsidR="00924664" w:rsidRPr="00167CB8">
        <w:t xml:space="preserve"> also argued for removing the common interest requirement ‘where there is a history of multi-enterprise agreements with the same or similar employers</w:t>
      </w:r>
      <w:r>
        <w:t>’</w:t>
      </w:r>
      <w:r w:rsidR="00924664">
        <w:t>.</w:t>
      </w:r>
      <w:r w:rsidR="00924664" w:rsidRPr="00167CB8">
        <w:rPr>
          <w:rStyle w:val="FootnoteReference"/>
        </w:rPr>
        <w:footnoteReference w:id="533"/>
      </w:r>
    </w:p>
    <w:p w14:paraId="0A15D9CC" w14:textId="3C743072" w:rsidR="0011475D" w:rsidRDefault="00924664" w:rsidP="00924664">
      <w:r w:rsidRPr="00167CB8">
        <w:t>The IEU also recommended removing ‘restriction’ on the stream in s 250(3)(c).</w:t>
      </w:r>
      <w:r w:rsidRPr="00167CB8">
        <w:rPr>
          <w:rStyle w:val="FootnoteReference"/>
        </w:rPr>
        <w:footnoteReference w:id="534"/>
      </w:r>
      <w:r w:rsidRPr="00167CB8">
        <w:t xml:space="preserve"> It stated that it sees ‘no reason … where the industrial parties have a standing agreement to bargain together for a multi-enterprise agreement, why bargaining under the cooperative stream and single enterprise stream should be able to commence well in advance of bargaining in the single interest employer agreement stream due to restrictions in </w:t>
      </w:r>
      <w:r w:rsidRPr="00167CB8" w:rsidDel="00D26676">
        <w:t>s</w:t>
      </w:r>
      <w:r w:rsidR="00D26676">
        <w:t> </w:t>
      </w:r>
      <w:r w:rsidRPr="00167CB8">
        <w:t>250(3)(c)’.</w:t>
      </w:r>
      <w:r w:rsidRPr="00167CB8">
        <w:rPr>
          <w:rStyle w:val="FootnoteReference"/>
        </w:rPr>
        <w:footnoteReference w:id="535"/>
      </w:r>
    </w:p>
    <w:p w14:paraId="5C867ADB" w14:textId="77777777" w:rsidR="0011475D" w:rsidRDefault="00924664" w:rsidP="00924664">
      <w:r w:rsidRPr="396ABCA7">
        <w:t>Employer associations were largely critical of the amendments to the single-interest employer bargaining stream.</w:t>
      </w:r>
    </w:p>
    <w:p w14:paraId="398B8EE4" w14:textId="77777777" w:rsidR="0011475D" w:rsidRDefault="00924664" w:rsidP="00924664">
      <w:r w:rsidRPr="00167CB8">
        <w:t>Employer groups were critical of the ability for employers to be compelled to bargain in the single-interest employer authorisation stream and for employers and their employees to be added to single-interest employer agreements without the employer’s consent.</w:t>
      </w:r>
      <w:r w:rsidRPr="00167CB8">
        <w:rPr>
          <w:rStyle w:val="FootnoteReference"/>
        </w:rPr>
        <w:footnoteReference w:id="536"/>
      </w:r>
      <w:r w:rsidRPr="00167CB8">
        <w:t xml:space="preserve"> They recommended this stream be repealed or by employer consent only.</w:t>
      </w:r>
      <w:r w:rsidRPr="00167CB8">
        <w:rPr>
          <w:rStyle w:val="FootnoteReference"/>
        </w:rPr>
        <w:footnoteReference w:id="537"/>
      </w:r>
      <w:r w:rsidRPr="00167CB8">
        <w:t xml:space="preserve"> The Chamber of Commerce and Industry of Western Australia recommended allowing employers to pull out and negotiate a single-enterprise agreement at any time.</w:t>
      </w:r>
      <w:r w:rsidRPr="00167CB8">
        <w:rPr>
          <w:rStyle w:val="FootnoteReference"/>
        </w:rPr>
        <w:footnoteReference w:id="538"/>
      </w:r>
    </w:p>
    <w:p w14:paraId="1A6A0FC4" w14:textId="59D5EB7A" w:rsidR="0011475D" w:rsidRDefault="00924664" w:rsidP="00924664">
      <w:r w:rsidRPr="396ABCA7">
        <w:lastRenderedPageBreak/>
        <w:t>The Pharmacy Guild stated that consent is a fundamental tool in bargaining and ‘arbitrary clauses deter employers from engaging in bargaining’.</w:t>
      </w:r>
      <w:r w:rsidRPr="396ABCA7">
        <w:rPr>
          <w:rStyle w:val="FootnoteReference"/>
        </w:rPr>
        <w:footnoteReference w:id="539"/>
      </w:r>
      <w:r w:rsidRPr="396ABCA7">
        <w:t xml:space="preserve"> </w:t>
      </w:r>
      <w:r w:rsidR="0008301E">
        <w:t>It</w:t>
      </w:r>
      <w:r w:rsidR="0008301E" w:rsidRPr="396ABCA7">
        <w:t xml:space="preserve"> </w:t>
      </w:r>
      <w:r w:rsidRPr="396ABCA7">
        <w:t>also noted that until the parameters of the stream are defined by ‘test cases’, the impact of the changes will be unclear.</w:t>
      </w:r>
      <w:r w:rsidRPr="396ABCA7">
        <w:rPr>
          <w:rStyle w:val="FootnoteReference"/>
        </w:rPr>
        <w:footnoteReference w:id="540"/>
      </w:r>
    </w:p>
    <w:p w14:paraId="7BBF3053" w14:textId="1A11AED7" w:rsidR="0011475D" w:rsidRDefault="00924664" w:rsidP="00924664">
      <w:r w:rsidRPr="00167CB8">
        <w:t xml:space="preserve">Many employer groups also argued that the single-interest </w:t>
      </w:r>
      <w:r>
        <w:t xml:space="preserve">employer bargaining </w:t>
      </w:r>
      <w:r w:rsidRPr="00167CB8">
        <w:t xml:space="preserve">stream would negatively impact productivity, with </w:t>
      </w:r>
      <w:r w:rsidR="0008301E">
        <w:t xml:space="preserve">the Business Council of Australia </w:t>
      </w:r>
      <w:r w:rsidRPr="00167CB8">
        <w:t>claiming this would result from removing the ability to negotiate enterprise-appropriate agreements.</w:t>
      </w:r>
      <w:r w:rsidRPr="00167CB8">
        <w:rPr>
          <w:rStyle w:val="FootnoteReference"/>
        </w:rPr>
        <w:footnoteReference w:id="541"/>
      </w:r>
      <w:r w:rsidRPr="00167CB8">
        <w:t xml:space="preserve"> The Council of Small Business Organisations Australia (COSBOA) also added criticism of the impact on small business to the criticism of the impact of productivity.</w:t>
      </w:r>
      <w:r w:rsidRPr="00167CB8">
        <w:rPr>
          <w:rStyle w:val="FootnoteReference"/>
        </w:rPr>
        <w:footnoteReference w:id="542"/>
      </w:r>
      <w:r w:rsidRPr="00167CB8">
        <w:t xml:space="preserve"> COSBOA further recommended businesses of up to 50 full-time equivalent employees be excluded from the single-interest stream.</w:t>
      </w:r>
      <w:r w:rsidRPr="00167CB8">
        <w:rPr>
          <w:rStyle w:val="FootnoteReference"/>
        </w:rPr>
        <w:footnoteReference w:id="543"/>
      </w:r>
    </w:p>
    <w:p w14:paraId="46BADD33" w14:textId="2491471D" w:rsidR="0011475D" w:rsidRDefault="00924664" w:rsidP="00924664">
      <w:r w:rsidRPr="00167CB8">
        <w:t xml:space="preserve">There was significant criticism from employer </w:t>
      </w:r>
      <w:r>
        <w:t>associations</w:t>
      </w:r>
      <w:r w:rsidRPr="00167CB8">
        <w:t xml:space="preserve"> representing mining industry employers, </w:t>
      </w:r>
      <w:r w:rsidR="00D26676">
        <w:t xml:space="preserve">which </w:t>
      </w:r>
      <w:r w:rsidRPr="00167CB8">
        <w:t>argued for the single-interest stream to be abolished.</w:t>
      </w:r>
      <w:r w:rsidRPr="00167CB8">
        <w:rPr>
          <w:rStyle w:val="FootnoteReference"/>
        </w:rPr>
        <w:footnoteReference w:id="544"/>
      </w:r>
      <w:r w:rsidRPr="00167CB8">
        <w:t xml:space="preserve"> The Minerals Council of Australia (MCA) argued ‘multi-employer bargaining is inappropriate for the mining industry due to … current successful workplace arrangements’ and noted negative consequences for investment from industrial relations uncertainty and industrial action.</w:t>
      </w:r>
      <w:r w:rsidRPr="00167CB8">
        <w:rPr>
          <w:rStyle w:val="FootnoteReference"/>
        </w:rPr>
        <w:footnoteReference w:id="545"/>
      </w:r>
    </w:p>
    <w:p w14:paraId="19ED909C" w14:textId="466CAD02" w:rsidR="00924664" w:rsidRPr="00167CB8" w:rsidRDefault="00D26676" w:rsidP="00924664">
      <w:r>
        <w:t xml:space="preserve">The </w:t>
      </w:r>
      <w:r w:rsidR="00924664" w:rsidRPr="00167CB8">
        <w:t>MCA cited the recent test case covering New South Wales coal creating a precedent in which the common interest test can be met by employers mining the same commodity in the same state as ‘opening the door to industry-wide “bargaining” and … strikes – a return to 1970s-style industrial confrontation and disruption’.</w:t>
      </w:r>
      <w:r w:rsidR="00924664" w:rsidRPr="00167CB8">
        <w:rPr>
          <w:rStyle w:val="FootnoteReference"/>
        </w:rPr>
        <w:footnoteReference w:id="546"/>
      </w:r>
      <w:r w:rsidR="00924664" w:rsidRPr="00167CB8">
        <w:t xml:space="preserve"> Whitehaven Coal also argued the stream would have a negative impact on productivity and competitiveness and that the reforms are built on a model of workplace conflict and reduce operational flexibility.</w:t>
      </w:r>
      <w:r w:rsidR="00924664" w:rsidRPr="00167CB8">
        <w:rPr>
          <w:rStyle w:val="FootnoteReference"/>
        </w:rPr>
        <w:footnoteReference w:id="547"/>
      </w:r>
    </w:p>
    <w:p w14:paraId="5BC56278" w14:textId="30756C50" w:rsidR="0011475D" w:rsidRDefault="00924664" w:rsidP="00924664">
      <w:r w:rsidRPr="00167CB8">
        <w:t>If the stream is not abolished, Whitehaven Coal argued it should be voluntary with consent between employers, employees and registered organisations</w:t>
      </w:r>
      <w:r w:rsidR="0008301E">
        <w:t xml:space="preserve">. It also argued </w:t>
      </w:r>
      <w:r w:rsidRPr="0008301E">
        <w:t>for strengthening majority support requirements and clarifying tests to avoid unintended consequences; and ‘removing</w:t>
      </w:r>
      <w:r w:rsidRPr="00167CB8">
        <w:t xml:space="preserve"> the rebuttal presumptions, so that the onus is on the union making the authorisation’.</w:t>
      </w:r>
      <w:r w:rsidRPr="00167CB8">
        <w:rPr>
          <w:rStyle w:val="FootnoteReference"/>
        </w:rPr>
        <w:footnoteReference w:id="548"/>
      </w:r>
      <w:r w:rsidRPr="00167CB8">
        <w:t xml:space="preserve"> The Chamber of Minerals and Energy of Western Australia proposed the ‘repeal of multi-employer bargaining except in low paid industries’.</w:t>
      </w:r>
      <w:r w:rsidRPr="00167CB8">
        <w:rPr>
          <w:rStyle w:val="FootnoteReference"/>
        </w:rPr>
        <w:footnoteReference w:id="549"/>
      </w:r>
    </w:p>
    <w:p w14:paraId="6E2EA7E6" w14:textId="5534ADD7" w:rsidR="0011475D" w:rsidRDefault="00924664" w:rsidP="00924664">
      <w:r w:rsidRPr="00167CB8">
        <w:t>Ai Group submitted that the amendments increase union bargaining power and lower employer and individual employee rights. It also argued for preserving the emphasis on enterprise-level collective bargaining in the object of the Fair Work Act,</w:t>
      </w:r>
      <w:r w:rsidRPr="00167CB8">
        <w:rPr>
          <w:rStyle w:val="FootnoteReference"/>
        </w:rPr>
        <w:footnoteReference w:id="550"/>
      </w:r>
      <w:r w:rsidRPr="00167CB8">
        <w:t xml:space="preserve"> proposed substantial amendments to s 249(1) of the Fair Work Act relating to when the FWC must make an authorisation and s 249(3A) relating to common interests; and deletion of the rebuttable presumption at s 249(1AA) and (3AB).</w:t>
      </w:r>
      <w:r w:rsidRPr="00167CB8">
        <w:rPr>
          <w:rStyle w:val="FootnoteReference"/>
        </w:rPr>
        <w:footnoteReference w:id="551"/>
      </w:r>
      <w:r w:rsidRPr="00167CB8">
        <w:t xml:space="preserve"> </w:t>
      </w:r>
      <w:r w:rsidR="0008301E">
        <w:t xml:space="preserve">It </w:t>
      </w:r>
      <w:r w:rsidRPr="00167CB8">
        <w:t xml:space="preserve">also recommended removing </w:t>
      </w:r>
      <w:r w:rsidR="008A4FE8" w:rsidRPr="00167CB8">
        <w:t>what</w:t>
      </w:r>
      <w:r w:rsidR="008A4FE8">
        <w:t xml:space="preserve"> it</w:t>
      </w:r>
      <w:r w:rsidR="0008301E">
        <w:t xml:space="preserve"> </w:t>
      </w:r>
      <w:r w:rsidRPr="00167CB8">
        <w:t>refer</w:t>
      </w:r>
      <w:r w:rsidR="0008301E">
        <w:t>s</w:t>
      </w:r>
      <w:r w:rsidRPr="00167CB8">
        <w:t xml:space="preserve"> to as the union veto in </w:t>
      </w:r>
      <w:r w:rsidRPr="00167CB8">
        <w:lastRenderedPageBreak/>
        <w:t>s 216EB(d) of the Fair Work Act and amending when the FWC must approve variation of a multi-</w:t>
      </w:r>
      <w:r w:rsidRPr="00167CB8" w:rsidDel="005C084C">
        <w:t xml:space="preserve">enterprise </w:t>
      </w:r>
      <w:r w:rsidRPr="00167CB8">
        <w:t>agreement.</w:t>
      </w:r>
    </w:p>
    <w:p w14:paraId="127FEF80" w14:textId="77777777" w:rsidR="0011475D" w:rsidRDefault="00924664" w:rsidP="00924664">
      <w:r w:rsidRPr="396ABCA7">
        <w:t>MIA Ltd criticised the complexity of the single-interest employer authorisation requirements.</w:t>
      </w:r>
      <w:r w:rsidRPr="396ABCA7">
        <w:rPr>
          <w:rStyle w:val="FootnoteReference"/>
        </w:rPr>
        <w:footnoteReference w:id="552"/>
      </w:r>
      <w:r w:rsidRPr="396ABCA7">
        <w:t xml:space="preserve"> It also noted issues with competitors bargaining collectively (particularly around creating similar operating costs), that the practicalities of multi-employer bargaining may cause delays, and that this could result in industrial action across large parts of the industry.</w:t>
      </w:r>
      <w:r w:rsidRPr="396ABCA7">
        <w:rPr>
          <w:rStyle w:val="FootnoteReference"/>
        </w:rPr>
        <w:footnoteReference w:id="553"/>
      </w:r>
    </w:p>
    <w:p w14:paraId="7FBEA233" w14:textId="784CC423" w:rsidR="0011475D" w:rsidRDefault="00924664" w:rsidP="00924664">
      <w:r w:rsidRPr="396ABCA7">
        <w:t xml:space="preserve">MIA Ltd noted it has not yet observed significant practical implications of the amendments and pointed to pattern agreements in the construction industry establishing the ‘industry standard’ that multi-employer agreements aim to achieve. It noted previous concerns about small and medium enterprises being drawn into pattern agreements; however, </w:t>
      </w:r>
      <w:r w:rsidR="0008301E">
        <w:t xml:space="preserve">it </w:t>
      </w:r>
      <w:r w:rsidRPr="396ABCA7">
        <w:t>state</w:t>
      </w:r>
      <w:r w:rsidR="0008301E">
        <w:t>s</w:t>
      </w:r>
      <w:r w:rsidRPr="396ABCA7">
        <w:t xml:space="preserve"> this has been prevented by the threshold in the amendments.</w:t>
      </w:r>
    </w:p>
    <w:p w14:paraId="33C0B00B" w14:textId="5113CD7A" w:rsidR="00924664" w:rsidRPr="00167CB8" w:rsidRDefault="00924664" w:rsidP="00924664">
      <w:r w:rsidRPr="396ABCA7">
        <w:t>On the other hand, the Australian Retailers Association was positive about the amendments, noting clarity provided by providing franchisees can bargain as one unit rather than individually and that, while they were enabled previously by legal precedent, the change removes ambiguity.</w:t>
      </w:r>
      <w:r w:rsidRPr="396ABCA7">
        <w:rPr>
          <w:rStyle w:val="FootnoteReference"/>
        </w:rPr>
        <w:footnoteReference w:id="554"/>
      </w:r>
    </w:p>
    <w:p w14:paraId="697B86C9" w14:textId="77777777" w:rsidR="0011475D" w:rsidRDefault="00924664" w:rsidP="00924664">
      <w:r w:rsidRPr="00167CB8">
        <w:t>Citing the linking of multi-employer and single-employer agreements in Denmark, Professor David Peetz submitted that Australia’s ‘new arrangements’ remain unusual internationally due to workers not being eligible for a multi-employer agreement if their workplace has or is bargaining for an enterprise agreement.</w:t>
      </w:r>
      <w:r w:rsidRPr="00167CB8">
        <w:rPr>
          <w:rStyle w:val="FootnoteReference"/>
        </w:rPr>
        <w:footnoteReference w:id="555"/>
      </w:r>
      <w:r w:rsidRPr="00167CB8">
        <w:t xml:space="preserve"> Professor Peetz also noted that this means Australian unions aiming for a ‘multi-employer agreement’ are attempting to organise workplaces without an enterprise agreement that are commonly non-unionised.</w:t>
      </w:r>
      <w:r w:rsidRPr="00167CB8">
        <w:rPr>
          <w:rStyle w:val="FootnoteReference"/>
        </w:rPr>
        <w:footnoteReference w:id="556"/>
      </w:r>
    </w:p>
    <w:p w14:paraId="475D7AC1" w14:textId="10387D47" w:rsidR="00924664" w:rsidRPr="005F2113" w:rsidRDefault="00924664" w:rsidP="004D70AF">
      <w:r w:rsidRPr="005F2113">
        <w:t xml:space="preserve">In response to the </w:t>
      </w:r>
      <w:r w:rsidR="0008301E">
        <w:t>d</w:t>
      </w:r>
      <w:r w:rsidRPr="005F2113">
        <w:t xml:space="preserve">raft </w:t>
      </w:r>
      <w:r w:rsidR="0008301E">
        <w:t>r</w:t>
      </w:r>
      <w:r w:rsidRPr="005F2113">
        <w:t>eport, stakeholder views in relation to the single-interest employer bargaining stream were consistent with initial submissions.</w:t>
      </w:r>
    </w:p>
    <w:p w14:paraId="5C0D8EDB" w14:textId="3C93AEF9" w:rsidR="0011475D" w:rsidRDefault="00924664" w:rsidP="00924664">
      <w:pPr>
        <w:rPr>
          <w:rFonts w:cs="Calibri"/>
        </w:rPr>
      </w:pPr>
      <w:r w:rsidRPr="005F2113">
        <w:rPr>
          <w:rFonts w:cs="Calibri"/>
        </w:rPr>
        <w:t>Employer associations remain</w:t>
      </w:r>
      <w:r w:rsidR="00D26676">
        <w:rPr>
          <w:rFonts w:cs="Calibri"/>
        </w:rPr>
        <w:t>ed</w:t>
      </w:r>
      <w:r w:rsidRPr="005F2113">
        <w:rPr>
          <w:rFonts w:cs="Calibri"/>
        </w:rPr>
        <w:t xml:space="preserve"> critical of the ability for employers to be compelled to bargain within this stream</w:t>
      </w:r>
      <w:r w:rsidRPr="005F2113">
        <w:rPr>
          <w:rStyle w:val="FootnoteReference"/>
          <w:rFonts w:cs="Calibri"/>
          <w:color w:val="000000"/>
        </w:rPr>
        <w:footnoteReference w:id="557"/>
      </w:r>
      <w:r w:rsidRPr="005F2113">
        <w:rPr>
          <w:rFonts w:cs="Calibri"/>
        </w:rPr>
        <w:t xml:space="preserve"> and submit</w:t>
      </w:r>
      <w:r w:rsidR="00D26676">
        <w:rPr>
          <w:rFonts w:cs="Calibri"/>
        </w:rPr>
        <w:t>ted</w:t>
      </w:r>
      <w:r w:rsidRPr="005F2113">
        <w:rPr>
          <w:rFonts w:cs="Calibri"/>
        </w:rPr>
        <w:t xml:space="preserve"> that bargaining in the stream should be by consent only.</w:t>
      </w:r>
      <w:r w:rsidRPr="005F2113">
        <w:rPr>
          <w:rStyle w:val="FootnoteReference"/>
          <w:rFonts w:eastAsia="Times New Roman" w:cs="Calibri"/>
          <w:color w:val="000000"/>
          <w:lang w:eastAsia="en-AU"/>
        </w:rPr>
        <w:footnoteReference w:id="558"/>
      </w:r>
      <w:r w:rsidRPr="005F2113">
        <w:rPr>
          <w:rFonts w:cs="Calibri"/>
          <w:color w:val="000000"/>
        </w:rPr>
        <w:t xml:space="preserve"> </w:t>
      </w:r>
      <w:r w:rsidRPr="005F2113">
        <w:rPr>
          <w:rFonts w:cs="Calibri"/>
        </w:rPr>
        <w:t>They reiterated concerns that employers are not able to include terms that would be specific to support their operational needs and viability</w:t>
      </w:r>
      <w:r w:rsidRPr="005F2113">
        <w:rPr>
          <w:rStyle w:val="FootnoteReference"/>
          <w:rFonts w:cs="Calibri"/>
        </w:rPr>
        <w:footnoteReference w:id="559"/>
      </w:r>
      <w:r w:rsidRPr="005F2113">
        <w:rPr>
          <w:rFonts w:cs="Calibri"/>
        </w:rPr>
        <w:t xml:space="preserve"> and the stream’s potential impacts on the productivity and competitiveness of certain sectors.</w:t>
      </w:r>
      <w:r w:rsidRPr="005F2113">
        <w:rPr>
          <w:rStyle w:val="FootnoteReference"/>
          <w:rFonts w:cs="Calibri"/>
        </w:rPr>
        <w:footnoteReference w:id="560"/>
      </w:r>
    </w:p>
    <w:p w14:paraId="7D6D0DC4" w14:textId="5BC99C31" w:rsidR="0011475D" w:rsidRDefault="00924664" w:rsidP="00924664">
      <w:pPr>
        <w:rPr>
          <w:rFonts w:cs="Calibri"/>
        </w:rPr>
      </w:pPr>
      <w:r w:rsidRPr="005F2113">
        <w:rPr>
          <w:rFonts w:cs="Calibri"/>
        </w:rPr>
        <w:t xml:space="preserve">Ai Group reiterated recommendations made in </w:t>
      </w:r>
      <w:r w:rsidR="0008301E">
        <w:rPr>
          <w:rFonts w:cs="Calibri"/>
        </w:rPr>
        <w:t xml:space="preserve">its </w:t>
      </w:r>
      <w:r w:rsidRPr="005F2113">
        <w:rPr>
          <w:rFonts w:cs="Calibri"/>
        </w:rPr>
        <w:t>initial submission</w:t>
      </w:r>
      <w:r w:rsidRPr="005F2113">
        <w:rPr>
          <w:rStyle w:val="FootnoteReference"/>
          <w:rFonts w:cs="Calibri"/>
        </w:rPr>
        <w:footnoteReference w:id="561"/>
      </w:r>
      <w:r w:rsidRPr="005F2113">
        <w:rPr>
          <w:rFonts w:cs="Calibri"/>
        </w:rPr>
        <w:t xml:space="preserve"> and expressed concern about the Review Panel’s decision to not make recommendations in accordance with these views.</w:t>
      </w:r>
    </w:p>
    <w:p w14:paraId="1C2031D9" w14:textId="0F2E472C" w:rsidR="00924664" w:rsidRPr="0023692D" w:rsidRDefault="00924664" w:rsidP="00924664">
      <w:pPr>
        <w:rPr>
          <w:rFonts w:eastAsia="Times New Roman" w:cs="Calibri"/>
          <w:color w:val="000000"/>
          <w:lang w:eastAsia="en-AU"/>
        </w:rPr>
      </w:pPr>
      <w:r w:rsidRPr="005F2113">
        <w:rPr>
          <w:rFonts w:eastAsia="Times New Roman" w:cs="Calibri"/>
          <w:color w:val="000000"/>
          <w:lang w:eastAsia="en-AU"/>
        </w:rPr>
        <w:lastRenderedPageBreak/>
        <w:t>The ACTU welcomed the Panel’s general observations about the operation of the single</w:t>
      </w:r>
      <w:r>
        <w:rPr>
          <w:rFonts w:eastAsia="Times New Roman" w:cs="Calibri"/>
          <w:color w:val="000000"/>
          <w:lang w:eastAsia="en-AU"/>
        </w:rPr>
        <w:t>-</w:t>
      </w:r>
      <w:r w:rsidRPr="005F2113">
        <w:rPr>
          <w:rFonts w:eastAsia="Times New Roman" w:cs="Calibri"/>
          <w:color w:val="000000"/>
          <w:lang w:eastAsia="en-AU"/>
        </w:rPr>
        <w:t>interest employer bargaining stream.</w:t>
      </w:r>
      <w:r w:rsidRPr="005F2113">
        <w:rPr>
          <w:rStyle w:val="FootnoteReference"/>
          <w:rFonts w:eastAsia="Times New Roman" w:cs="Calibri"/>
          <w:color w:val="000000"/>
          <w:lang w:eastAsia="en-AU"/>
        </w:rPr>
        <w:footnoteReference w:id="562"/>
      </w:r>
    </w:p>
    <w:p w14:paraId="1A2516FE" w14:textId="77777777" w:rsidR="00924664" w:rsidRPr="00793DD6" w:rsidRDefault="00924664" w:rsidP="00EC3517">
      <w:pPr>
        <w:pStyle w:val="Heading4"/>
      </w:pPr>
      <w:bookmarkStart w:id="243" w:name="_Toc189260237"/>
      <w:bookmarkStart w:id="244" w:name="_Toc189393553"/>
      <w:r w:rsidRPr="00793DD6">
        <w:t>12.3 Findings and recommendations</w:t>
      </w:r>
      <w:bookmarkEnd w:id="243"/>
      <w:bookmarkEnd w:id="244"/>
    </w:p>
    <w:p w14:paraId="7232525A" w14:textId="77777777" w:rsidR="0011475D" w:rsidRDefault="00924664" w:rsidP="00924664">
      <w:r w:rsidRPr="396ABCA7">
        <w:t xml:space="preserve">There is insufficient data to make a definitive finding on whether the single-interest employer bargaining stream is operating as intended. There have been </w:t>
      </w:r>
      <w:r>
        <w:t>only</w:t>
      </w:r>
      <w:r w:rsidRPr="396ABCA7">
        <w:t xml:space="preserve"> </w:t>
      </w:r>
      <w:r>
        <w:t xml:space="preserve">19 single-interest employer authorisations issued </w:t>
      </w:r>
      <w:r w:rsidRPr="396ABCA7">
        <w:t xml:space="preserve">and </w:t>
      </w:r>
      <w:r>
        <w:t>three</w:t>
      </w:r>
      <w:r w:rsidRPr="396ABCA7">
        <w:t xml:space="preserve"> single-interest employer agreements approved. </w:t>
      </w:r>
      <w:r>
        <w:t>There have been five subsequent variation applications approved to vary two</w:t>
      </w:r>
      <w:r w:rsidRPr="396ABCA7">
        <w:t xml:space="preserve"> </w:t>
      </w:r>
      <w:r>
        <w:t>of the three single-interest employer agreements.</w:t>
      </w:r>
    </w:p>
    <w:p w14:paraId="5FD85C29" w14:textId="77777777" w:rsidR="0011475D" w:rsidRDefault="00924664" w:rsidP="00924664">
      <w:r w:rsidRPr="00167CB8">
        <w:t xml:space="preserve">Consequently, the Review Panel considers it is too early to draw any significant conclusions about the amendments to the single-interest employer </w:t>
      </w:r>
      <w:r>
        <w:t xml:space="preserve">bargaining </w:t>
      </w:r>
      <w:r w:rsidRPr="00167CB8">
        <w:t>stream. The stream should be given the opportunity to develop further before any amendments are considered by the Australian Government.</w:t>
      </w:r>
    </w:p>
    <w:p w14:paraId="57658D52" w14:textId="77777777" w:rsidR="0011475D" w:rsidRDefault="00924664" w:rsidP="00924664">
      <w:r w:rsidRPr="005F2113">
        <w:t>The Review Panel acknowledges concerns in submissions of employer associations that employers can be compelled to bargain for a single-interest employer agreement</w:t>
      </w:r>
      <w:r>
        <w:t>. However,</w:t>
      </w:r>
      <w:r w:rsidRPr="396ABCA7">
        <w:t xml:space="preserve"> </w:t>
      </w:r>
      <w:r>
        <w:t>t</w:t>
      </w:r>
      <w:r w:rsidRPr="396ABCA7">
        <w:t xml:space="preserve">he Review Panel notes that there remain extensive requirements that need to be met in order to successfully obtain a single-interest employer authorisation or </w:t>
      </w:r>
      <w:r>
        <w:t xml:space="preserve">to </w:t>
      </w:r>
      <w:r w:rsidRPr="396ABCA7">
        <w:t>vary a single-interest employer agreement to add an employer and employees. The Review Panel also notes that, while the broader amendments to the stream are intended to enhance its use, these requirements are intended to ensure that the stream is restricted to appropriate employers. The Review Panel cannot draw conclusions on these requirements at this point due to limited evidence.</w:t>
      </w:r>
    </w:p>
    <w:p w14:paraId="6CF28322" w14:textId="3E38A89A" w:rsidR="0011475D" w:rsidRDefault="00924664" w:rsidP="00924664">
      <w:r w:rsidRPr="00167CB8">
        <w:t xml:space="preserve">The Review Panel does not share the concern of some stakeholders that further amendments are needed to </w:t>
      </w:r>
      <w:r>
        <w:t xml:space="preserve">stem </w:t>
      </w:r>
      <w:r w:rsidRPr="00167CB8">
        <w:t xml:space="preserve">the scope of the stream. The Review Panel acknowledges the limited evidence in relation to these amendments </w:t>
      </w:r>
      <w:r w:rsidRPr="0008301E">
        <w:t>but considers many of the submissions to be ‘highly hypothetical’ in nature.</w:t>
      </w:r>
    </w:p>
    <w:p w14:paraId="2A7F9110" w14:textId="642790E2" w:rsidR="00924664" w:rsidRPr="00167CB8" w:rsidRDefault="00924664" w:rsidP="00924664">
      <w:r w:rsidRPr="005F2113">
        <w:t>The Review Panel acknowledges employer concerns that the single-interest employer bargaining stream could negatively impact productivity and competitiveness and their call to make recommendations to limit potential ‘harm’. However,</w:t>
      </w:r>
      <w:r>
        <w:t xml:space="preserve"> a</w:t>
      </w:r>
      <w:r w:rsidRPr="396ABCA7">
        <w:t xml:space="preserve">t this time, </w:t>
      </w:r>
      <w:r>
        <w:t xml:space="preserve">no evidence has been presented to show that the amendments enabling </w:t>
      </w:r>
      <w:r w:rsidRPr="396ABCA7">
        <w:t xml:space="preserve">single-interest employer bargaining are </w:t>
      </w:r>
      <w:r w:rsidR="00CF0998">
        <w:t xml:space="preserve">impacting </w:t>
      </w:r>
      <w:r w:rsidRPr="396ABCA7">
        <w:t xml:space="preserve">or will negatively impact productivity, </w:t>
      </w:r>
      <w:r>
        <w:t>employers and labour market participants</w:t>
      </w:r>
      <w:r w:rsidRPr="396ABCA7">
        <w:t>.</w:t>
      </w:r>
      <w:r>
        <w:t xml:space="preserve"> </w:t>
      </w:r>
      <w:r w:rsidRPr="005F2113">
        <w:t>Further, the Review Panel notes the intention of the single</w:t>
      </w:r>
      <w:r>
        <w:t>-</w:t>
      </w:r>
      <w:r w:rsidRPr="005F2113">
        <w:t xml:space="preserve">interest </w:t>
      </w:r>
      <w:r>
        <w:t xml:space="preserve">employer </w:t>
      </w:r>
      <w:r w:rsidRPr="005F2113">
        <w:t xml:space="preserve">bargaining stream is </w:t>
      </w:r>
      <w:r>
        <w:t xml:space="preserve">to </w:t>
      </w:r>
      <w:r w:rsidRPr="005F2113">
        <w:t>drive productivity improvements and innovation and ‘to see businesses competing on quality, on innovation, on product and service offerings</w:t>
      </w:r>
      <w:r w:rsidR="00CF0998">
        <w:t xml:space="preserve"> </w:t>
      </w:r>
      <w:r w:rsidR="00CF0998">
        <w:rPr>
          <w:rFonts w:ascii="Symbol" w:eastAsia="Symbol" w:hAnsi="Symbol" w:cs="Symbol"/>
        </w:rPr>
        <w:sym w:font="Symbol" w:char="F02D"/>
      </w:r>
      <w:r w:rsidR="00CF0998">
        <w:t xml:space="preserve"> </w:t>
      </w:r>
      <w:r w:rsidRPr="005F2113">
        <w:t>not on who can pay the lowest wage</w:t>
      </w:r>
      <w:r w:rsidR="00CF0998">
        <w:t>’</w:t>
      </w:r>
      <w:r w:rsidRPr="005F2113">
        <w:t>.</w:t>
      </w:r>
      <w:r>
        <w:rPr>
          <w:rStyle w:val="FootnoteReference"/>
        </w:rPr>
        <w:footnoteReference w:id="563"/>
      </w:r>
    </w:p>
    <w:p w14:paraId="6E629181" w14:textId="77777777" w:rsidR="0011475D" w:rsidRDefault="00924664" w:rsidP="00924664">
      <w:r w:rsidRPr="396ABCA7">
        <w:t>The Review Panel does not make any recommendations at this time.</w:t>
      </w:r>
    </w:p>
    <w:p w14:paraId="6C9067BC" w14:textId="2E9D94CF" w:rsidR="00924664" w:rsidRPr="00167CB8" w:rsidRDefault="00924664" w:rsidP="00924664">
      <w:pPr>
        <w:spacing w:after="160"/>
      </w:pPr>
      <w:r w:rsidRPr="00167CB8">
        <w:br w:type="page"/>
      </w:r>
    </w:p>
    <w:p w14:paraId="7ABF48AC" w14:textId="77777777" w:rsidR="00924664" w:rsidRPr="00C2471B" w:rsidRDefault="00924664" w:rsidP="00EC3517">
      <w:pPr>
        <w:pStyle w:val="Heading3"/>
      </w:pPr>
      <w:bookmarkStart w:id="245" w:name="_Toc189260238"/>
      <w:bookmarkStart w:id="246" w:name="_Toc189393554"/>
      <w:bookmarkStart w:id="247" w:name="_Toc194311420"/>
      <w:r w:rsidRPr="00C2471B">
        <w:lastRenderedPageBreak/>
        <w:t>Chapter 13. Excluded work</w:t>
      </w:r>
      <w:bookmarkEnd w:id="245"/>
      <w:bookmarkEnd w:id="246"/>
      <w:bookmarkEnd w:id="247"/>
    </w:p>
    <w:p w14:paraId="489E5486" w14:textId="77777777" w:rsidR="00924664" w:rsidRPr="00167CB8" w:rsidRDefault="00924664" w:rsidP="00924664">
      <w:r w:rsidRPr="00167CB8">
        <w:t xml:space="preserve">Part 23A of Schedule 1 to the Secure Jobs, Better Pay Act inserted provisions to the multi-employer bargaining framework in the </w:t>
      </w:r>
      <w:r w:rsidRPr="00167CB8">
        <w:rPr>
          <w:rFonts w:cs="Calibri"/>
        </w:rPr>
        <w:t>Fair Work Act to exclude potential coverage of ‘general building and construction work’.</w:t>
      </w:r>
    </w:p>
    <w:p w14:paraId="7D1D62A1" w14:textId="77777777" w:rsidR="00924664" w:rsidRPr="00EC3517" w:rsidRDefault="00924664" w:rsidP="00EC3517">
      <w:pPr>
        <w:pStyle w:val="Heading4"/>
      </w:pPr>
      <w:bookmarkStart w:id="248" w:name="_Toc189260239"/>
      <w:bookmarkStart w:id="249" w:name="_Toc189393555"/>
      <w:r w:rsidRPr="00C2471B">
        <w:t>13.1 Amendments and intent</w:t>
      </w:r>
      <w:bookmarkEnd w:id="248"/>
      <w:bookmarkEnd w:id="249"/>
    </w:p>
    <w:p w14:paraId="6B5DC567" w14:textId="77777777" w:rsidR="00924664" w:rsidRPr="00167CB8" w:rsidRDefault="00924664" w:rsidP="00924664">
      <w:pPr>
        <w:rPr>
          <w:rFonts w:cs="Calibri"/>
        </w:rPr>
      </w:pPr>
      <w:r w:rsidRPr="00167CB8">
        <w:rPr>
          <w:rFonts w:cs="Calibri"/>
        </w:rPr>
        <w:t>This section briefly provides an overview of the amendments themselves and then explores the intentions behind them.</w:t>
      </w:r>
    </w:p>
    <w:p w14:paraId="5DBE274F" w14:textId="77777777" w:rsidR="0011475D" w:rsidRPr="00EC3517" w:rsidRDefault="00924664" w:rsidP="00EC3517">
      <w:pPr>
        <w:pStyle w:val="Heading5"/>
      </w:pPr>
      <w:r w:rsidRPr="00EC3517">
        <w:t>13.1.1 Secure Jobs, Better Pay amendments</w:t>
      </w:r>
    </w:p>
    <w:p w14:paraId="2DAAB507" w14:textId="5674E691" w:rsidR="00924664" w:rsidRPr="00167CB8" w:rsidRDefault="00924664" w:rsidP="00924664">
      <w:pPr>
        <w:rPr>
          <w:rFonts w:cs="Calibri"/>
        </w:rPr>
      </w:pPr>
      <w:r w:rsidRPr="396ABCA7">
        <w:rPr>
          <w:rFonts w:cs="Calibri"/>
        </w:rPr>
        <w:t>The provisions about ‘excluded work’ have been inserted into the Fair Work Act in various places. When considering the approval of a multi-employer agreement (other than a greenfields agreement), the Fair Work Commission (FWC) must be satisfied that the agreement does not cover employees in relation to general building and construction work.</w:t>
      </w:r>
      <w:r w:rsidRPr="396ABCA7">
        <w:rPr>
          <w:rFonts w:cs="Calibri"/>
          <w:vertAlign w:val="superscript"/>
        </w:rPr>
        <w:footnoteReference w:id="564"/>
      </w:r>
      <w:r w:rsidRPr="396ABCA7">
        <w:rPr>
          <w:rFonts w:cs="Calibri"/>
        </w:rPr>
        <w:t xml:space="preserve"> Similarly, the FWC cannot vary a multi-employer agreement if the variation would result in the agreement covering such work.</w:t>
      </w:r>
      <w:r w:rsidRPr="396ABCA7">
        <w:rPr>
          <w:rStyle w:val="FootnoteReference"/>
          <w:rFonts w:cs="Calibri"/>
        </w:rPr>
        <w:footnoteReference w:id="565"/>
      </w:r>
    </w:p>
    <w:p w14:paraId="08EFA9B5" w14:textId="16BA80FC" w:rsidR="00924664" w:rsidRPr="00167CB8" w:rsidRDefault="00924664" w:rsidP="00924664">
      <w:pPr>
        <w:rPr>
          <w:rFonts w:cs="Calibri"/>
        </w:rPr>
      </w:pPr>
      <w:r w:rsidRPr="00167CB8">
        <w:rPr>
          <w:rFonts w:cs="Calibri"/>
        </w:rPr>
        <w:t>General building and construction work is extensively defined in the Fair Work Act.</w:t>
      </w:r>
      <w:r w:rsidRPr="00167CB8">
        <w:rPr>
          <w:rStyle w:val="FootnoteReference"/>
          <w:rFonts w:cs="Calibri"/>
        </w:rPr>
        <w:footnoteReference w:id="566"/>
      </w:r>
      <w:r w:rsidRPr="00167CB8">
        <w:rPr>
          <w:rFonts w:cs="Calibri"/>
        </w:rPr>
        <w:t xml:space="preserve"> Primarily, building and construction work is work that is done onsite in the ‘general building and construction industry’ and the ‘civil construction industry’ as those industries are defined in the </w:t>
      </w:r>
      <w:r w:rsidRPr="00E22AEA">
        <w:rPr>
          <w:rFonts w:cs="Calibri"/>
        </w:rPr>
        <w:t>Building and Construction General On-site Award 2020</w:t>
      </w:r>
      <w:r w:rsidR="00CF0998" w:rsidRPr="00E22AEA">
        <w:rPr>
          <w:rFonts w:cs="Calibri"/>
        </w:rPr>
        <w:t xml:space="preserve"> (</w:t>
      </w:r>
      <w:r w:rsidR="00CF0998" w:rsidRPr="396ABCA7">
        <w:rPr>
          <w:rFonts w:cs="Calibri"/>
        </w:rPr>
        <w:t>BCG On-Site Award)</w:t>
      </w:r>
      <w:r w:rsidRPr="00167CB8">
        <w:rPr>
          <w:rFonts w:cs="Calibri"/>
        </w:rPr>
        <w:t>.</w:t>
      </w:r>
      <w:r w:rsidRPr="00167CB8">
        <w:rPr>
          <w:rStyle w:val="FootnoteReference"/>
          <w:rFonts w:cs="Calibri"/>
        </w:rPr>
        <w:footnoteReference w:id="567"/>
      </w:r>
      <w:r w:rsidRPr="00167CB8">
        <w:rPr>
          <w:rFonts w:cs="Calibri"/>
        </w:rPr>
        <w:t xml:space="preserve"> The Fair Work Act includes a further definitional list of work that is not building and construction work (e.g. work done in the metal and engineering construction industry </w:t>
      </w:r>
      <w:r w:rsidRPr="00CF0998">
        <w:rPr>
          <w:rFonts w:cs="Calibri"/>
        </w:rPr>
        <w:t xml:space="preserve">as defined in the </w:t>
      </w:r>
      <w:r w:rsidR="00CF0998" w:rsidRPr="00C2471B">
        <w:rPr>
          <w:rFonts w:cs="Calibri"/>
        </w:rPr>
        <w:t xml:space="preserve">BCG </w:t>
      </w:r>
      <w:r w:rsidRPr="00CF0998">
        <w:rPr>
          <w:rFonts w:cs="Calibri"/>
        </w:rPr>
        <w:t>On-site Award).</w:t>
      </w:r>
      <w:r w:rsidRPr="00CF0998">
        <w:rPr>
          <w:rStyle w:val="FootnoteReference"/>
          <w:rFonts w:cs="Calibri"/>
        </w:rPr>
        <w:footnoteReference w:id="568"/>
      </w:r>
    </w:p>
    <w:p w14:paraId="35AF9385" w14:textId="77777777" w:rsidR="0011475D" w:rsidRDefault="00924664" w:rsidP="00924664">
      <w:pPr>
        <w:rPr>
          <w:rFonts w:cs="Calibri"/>
        </w:rPr>
      </w:pPr>
      <w:r w:rsidRPr="396ABCA7">
        <w:rPr>
          <w:rFonts w:cs="Calibri"/>
        </w:rPr>
        <w:t>The exclusion is supported by other ancillary restrictions. In a similar fashion, the FWC also cannot make</w:t>
      </w:r>
      <w:r w:rsidRPr="396ABCA7">
        <w:rPr>
          <w:rStyle w:val="FootnoteReference"/>
          <w:rFonts w:cs="Calibri"/>
        </w:rPr>
        <w:footnoteReference w:id="569"/>
      </w:r>
      <w:r w:rsidRPr="396ABCA7">
        <w:rPr>
          <w:rFonts w:cs="Calibri"/>
        </w:rPr>
        <w:t xml:space="preserve"> or vary</w:t>
      </w:r>
      <w:r w:rsidRPr="396ABCA7">
        <w:rPr>
          <w:rStyle w:val="FootnoteReference"/>
          <w:rFonts w:cs="Calibri"/>
        </w:rPr>
        <w:footnoteReference w:id="570"/>
      </w:r>
      <w:r w:rsidRPr="396ABCA7">
        <w:rPr>
          <w:rFonts w:cs="Calibri"/>
        </w:rPr>
        <w:t xml:space="preserve"> a supported bargaining authorisation; vary a supported bargaining,</w:t>
      </w:r>
      <w:r w:rsidRPr="396ABCA7">
        <w:rPr>
          <w:rStyle w:val="FootnoteReference"/>
          <w:rFonts w:cs="Calibri"/>
        </w:rPr>
        <w:footnoteReference w:id="571"/>
      </w:r>
      <w:r w:rsidRPr="396ABCA7">
        <w:rPr>
          <w:rFonts w:cs="Calibri"/>
        </w:rPr>
        <w:t xml:space="preserve"> single-interest employer</w:t>
      </w:r>
      <w:r w:rsidRPr="396ABCA7">
        <w:rPr>
          <w:rStyle w:val="FootnoteReference"/>
          <w:rFonts w:cs="Calibri"/>
        </w:rPr>
        <w:footnoteReference w:id="572"/>
      </w:r>
      <w:r w:rsidRPr="396ABCA7">
        <w:rPr>
          <w:rFonts w:cs="Calibri"/>
        </w:rPr>
        <w:t xml:space="preserve"> or a cooperative workplace agreement;</w:t>
      </w:r>
      <w:r w:rsidRPr="396ABCA7">
        <w:rPr>
          <w:rStyle w:val="FootnoteReference"/>
          <w:rFonts w:cs="Calibri"/>
        </w:rPr>
        <w:footnoteReference w:id="573"/>
      </w:r>
      <w:r w:rsidRPr="396ABCA7">
        <w:rPr>
          <w:rFonts w:cs="Calibri"/>
        </w:rPr>
        <w:t xml:space="preserve"> or make</w:t>
      </w:r>
      <w:r w:rsidRPr="396ABCA7">
        <w:rPr>
          <w:rStyle w:val="FootnoteReference"/>
          <w:rFonts w:cs="Calibri"/>
        </w:rPr>
        <w:footnoteReference w:id="574"/>
      </w:r>
      <w:r w:rsidRPr="396ABCA7">
        <w:rPr>
          <w:rFonts w:cs="Calibri"/>
        </w:rPr>
        <w:t xml:space="preserve"> or vary</w:t>
      </w:r>
      <w:r w:rsidRPr="396ABCA7">
        <w:rPr>
          <w:rStyle w:val="FootnoteReference"/>
          <w:rFonts w:cs="Calibri"/>
        </w:rPr>
        <w:footnoteReference w:id="575"/>
      </w:r>
      <w:r w:rsidRPr="396ABCA7">
        <w:rPr>
          <w:rFonts w:cs="Calibri"/>
        </w:rPr>
        <w:t xml:space="preserve"> a single-interest employer authorisation if it would result in the authorisation or agreement covering employees in relation to general building and construction work. The reason, according to the Revised Explanatory Memorandum, is to remain consistent with the ‘exclusion of general building and construction work from coverage by a multi-enterprise agreement’.</w:t>
      </w:r>
      <w:r w:rsidRPr="396ABCA7">
        <w:rPr>
          <w:rStyle w:val="FootnoteReference"/>
          <w:rFonts w:cs="Calibri"/>
        </w:rPr>
        <w:footnoteReference w:id="576"/>
      </w:r>
    </w:p>
    <w:p w14:paraId="6F37256D" w14:textId="62F6EB59" w:rsidR="00924664" w:rsidRPr="00EC3517" w:rsidRDefault="00924664" w:rsidP="00EC3517">
      <w:pPr>
        <w:pStyle w:val="Heading5"/>
      </w:pPr>
      <w:r w:rsidRPr="00EC3517">
        <w:lastRenderedPageBreak/>
        <w:t>13.1.2 Intent of</w:t>
      </w:r>
      <w:r w:rsidRPr="000C54A7">
        <w:t xml:space="preserve"> Secure Jobs, Better Pay amendments</w:t>
      </w:r>
    </w:p>
    <w:p w14:paraId="31A3C6CD" w14:textId="77777777" w:rsidR="00924664" w:rsidRPr="00167CB8" w:rsidRDefault="00924664" w:rsidP="00924664">
      <w:pPr>
        <w:rPr>
          <w:rFonts w:cs="Calibri"/>
        </w:rPr>
      </w:pPr>
      <w:r w:rsidRPr="00167CB8">
        <w:rPr>
          <w:rFonts w:cs="Calibri"/>
        </w:rPr>
        <w:t>The intent of the Secure Jobs, Better Pay amendments was to ensure that the building and construction industry would be excluded from multi-employer bargaining.</w:t>
      </w:r>
    </w:p>
    <w:p w14:paraId="730E7837" w14:textId="77777777" w:rsidR="00924664" w:rsidRPr="00167CB8" w:rsidRDefault="00924664" w:rsidP="00924664">
      <w:pPr>
        <w:rPr>
          <w:rFonts w:cs="Calibri"/>
        </w:rPr>
      </w:pPr>
      <w:r w:rsidRPr="396ABCA7">
        <w:rPr>
          <w:rFonts w:cs="Calibri"/>
        </w:rPr>
        <w:t xml:space="preserve">In his second reading speech, the then Minister stated that ongoing consultation with business and unions led the Australian Government to support amendments so that ‘multi-employer bargaining is not extended to industries in which it is neither appropriate nor necessary </w:t>
      </w:r>
      <w:r w:rsidRPr="396ABCA7">
        <w:rPr>
          <w:rFonts w:ascii="Symbol" w:eastAsia="Symbol" w:hAnsi="Symbol" w:cs="Symbol"/>
        </w:rPr>
        <w:t>-</w:t>
      </w:r>
      <w:r w:rsidRPr="396ABCA7">
        <w:rPr>
          <w:rFonts w:cs="Calibri"/>
        </w:rPr>
        <w:t xml:space="preserve"> in particular, commercial construction’.</w:t>
      </w:r>
      <w:r w:rsidRPr="396ABCA7">
        <w:rPr>
          <w:rFonts w:cs="Calibri"/>
          <w:vertAlign w:val="superscript"/>
        </w:rPr>
        <w:footnoteReference w:id="577"/>
      </w:r>
    </w:p>
    <w:p w14:paraId="0D26DCB4" w14:textId="77777777" w:rsidR="00924664" w:rsidRPr="00167CB8" w:rsidRDefault="00924664" w:rsidP="00924664">
      <w:pPr>
        <w:rPr>
          <w:rFonts w:cs="Calibri"/>
        </w:rPr>
      </w:pPr>
      <w:r w:rsidRPr="396ABCA7">
        <w:rPr>
          <w:rFonts w:cs="Calibri"/>
        </w:rPr>
        <w:t>The statement of compatibility with human rights in the Revised Explanatory Memorandum notes that:</w:t>
      </w:r>
      <w:r w:rsidRPr="396ABCA7">
        <w:rPr>
          <w:vertAlign w:val="superscript"/>
        </w:rPr>
        <w:footnoteReference w:id="578"/>
      </w:r>
    </w:p>
    <w:p w14:paraId="26EDAFA5" w14:textId="77777777" w:rsidR="00924664" w:rsidRPr="00167CB8" w:rsidRDefault="00924664" w:rsidP="00D55A73">
      <w:pPr>
        <w:pStyle w:val="Quote"/>
      </w:pPr>
      <w:r w:rsidRPr="00167CB8">
        <w:t>[W]hile work that is general building and construction work is excluded from coverage by a multi-enterprise agreement (other than a greenfields agreement), this would not in any way limit the ability of employees who perform general building and construction work to choose to join a trade union, nor limit the right of the union to represent the employee in bargaining for a single-enterprise agreement or in dispute resolution processes.</w:t>
      </w:r>
    </w:p>
    <w:p w14:paraId="07782702" w14:textId="77777777" w:rsidR="00924664" w:rsidRPr="000C54A7" w:rsidRDefault="00924664" w:rsidP="00EC3517">
      <w:pPr>
        <w:pStyle w:val="Heading4"/>
      </w:pPr>
      <w:bookmarkStart w:id="250" w:name="_Toc189260240"/>
      <w:bookmarkStart w:id="251" w:name="_Toc189393556"/>
      <w:r w:rsidRPr="000C54A7">
        <w:t>13.2 Impact and issues</w:t>
      </w:r>
      <w:bookmarkEnd w:id="250"/>
      <w:bookmarkEnd w:id="251"/>
    </w:p>
    <w:p w14:paraId="277D37F1" w14:textId="77777777" w:rsidR="00924664" w:rsidRPr="00167CB8" w:rsidRDefault="00924664" w:rsidP="00924664">
      <w:pPr>
        <w:rPr>
          <w:rFonts w:cs="Calibri"/>
        </w:rPr>
      </w:pPr>
      <w:r w:rsidRPr="00167CB8">
        <w:rPr>
          <w:rFonts w:cs="Calibri"/>
        </w:rPr>
        <w:t>While there has been significant discussion in recent times about behaviour in the commercial building and construction industry, specific consideration of the provisions to exclude general building and construction work from multi-employer enterprise agreements has been limited.</w:t>
      </w:r>
    </w:p>
    <w:p w14:paraId="09D7E595" w14:textId="77777777" w:rsidR="00924664" w:rsidRPr="000C54A7" w:rsidRDefault="00924664" w:rsidP="00EC3517">
      <w:pPr>
        <w:pStyle w:val="Heading5"/>
      </w:pPr>
      <w:r w:rsidRPr="000C54A7">
        <w:t>13.2.1 Quantitative evidence</w:t>
      </w:r>
    </w:p>
    <w:p w14:paraId="3A8F2E1E" w14:textId="77777777" w:rsidR="00924664" w:rsidRPr="00167CB8" w:rsidRDefault="00924664" w:rsidP="00924664">
      <w:pPr>
        <w:rPr>
          <w:rFonts w:cs="Calibri"/>
        </w:rPr>
      </w:pPr>
      <w:r w:rsidRPr="00167CB8">
        <w:rPr>
          <w:rFonts w:cs="Calibri"/>
        </w:rPr>
        <w:t>The Review Panel is not aware of any significant quantitative data in relation to these amendments.</w:t>
      </w:r>
    </w:p>
    <w:p w14:paraId="21E8F617" w14:textId="77777777" w:rsidR="00924664" w:rsidRPr="00167CB8" w:rsidRDefault="00924664" w:rsidP="00924664">
      <w:pPr>
        <w:pStyle w:val="Heading5"/>
        <w:rPr>
          <w:rFonts w:asciiTheme="minorHAnsi" w:hAnsiTheme="minorHAnsi"/>
        </w:rPr>
      </w:pPr>
      <w:r w:rsidRPr="00167CB8">
        <w:rPr>
          <w:rFonts w:asciiTheme="minorHAnsi" w:hAnsiTheme="minorHAnsi"/>
        </w:rPr>
        <w:t>13.2.2 Qualitative evidence</w:t>
      </w:r>
    </w:p>
    <w:p w14:paraId="43277014" w14:textId="77777777" w:rsidR="0011475D" w:rsidRDefault="00924664" w:rsidP="00924664">
      <w:pPr>
        <w:rPr>
          <w:rFonts w:cs="Calibri"/>
        </w:rPr>
      </w:pPr>
      <w:r w:rsidRPr="000759AC">
        <w:rPr>
          <w:rFonts w:cs="Calibri"/>
        </w:rPr>
        <w:t>The Review Panel is aware of one matter that has considered the scope and application of the excluded work provisions.</w:t>
      </w:r>
    </w:p>
    <w:p w14:paraId="3333B106" w14:textId="6479E656" w:rsidR="0011475D" w:rsidRDefault="00924664" w:rsidP="00924664">
      <w:pPr>
        <w:rPr>
          <w:rFonts w:cs="Calibri"/>
        </w:rPr>
      </w:pPr>
      <w:r w:rsidRPr="396ABCA7">
        <w:rPr>
          <w:rFonts w:cs="Calibri"/>
        </w:rPr>
        <w:t xml:space="preserve">In </w:t>
      </w:r>
      <w:r w:rsidRPr="396ABCA7">
        <w:rPr>
          <w:rFonts w:eastAsia="Aptos" w:cs="Calibri"/>
          <w:i/>
          <w:iCs/>
        </w:rPr>
        <w:t>Application by CPSU, the Community and Public Sector Union</w:t>
      </w:r>
      <w:r w:rsidRPr="396ABCA7">
        <w:rPr>
          <w:rFonts w:eastAsia="Aptos" w:cs="Calibri"/>
        </w:rPr>
        <w:t xml:space="preserve"> (3 June 2024)</w:t>
      </w:r>
      <w:r w:rsidRPr="396ABCA7">
        <w:rPr>
          <w:rStyle w:val="FootnoteReference"/>
          <w:rFonts w:eastAsia="Aptos" w:cs="Calibri"/>
        </w:rPr>
        <w:footnoteReference w:id="579"/>
      </w:r>
      <w:r w:rsidRPr="396ABCA7">
        <w:rPr>
          <w:rFonts w:eastAsia="Aptos" w:cs="Calibri"/>
        </w:rPr>
        <w:t xml:space="preserve"> t</w:t>
      </w:r>
      <w:r w:rsidRPr="396ABCA7">
        <w:rPr>
          <w:rFonts w:cs="Calibri"/>
        </w:rPr>
        <w:t>he FWC considered whether the employees</w:t>
      </w:r>
      <w:r w:rsidRPr="396ABCA7">
        <w:rPr>
          <w:rStyle w:val="FootnoteReference"/>
          <w:rFonts w:cs="Calibri"/>
        </w:rPr>
        <w:footnoteReference w:id="580"/>
      </w:r>
      <w:r w:rsidRPr="396ABCA7">
        <w:rPr>
          <w:rFonts w:cs="Calibri"/>
        </w:rPr>
        <w:t xml:space="preserve"> concerned perform work onsite in the general building and construction industry according to clause 4 of the BCG On-Site Award</w:t>
      </w:r>
      <w:r w:rsidRPr="396ABCA7">
        <w:rPr>
          <w:rFonts w:eastAsia="Aptos" w:cs="Calibri"/>
        </w:rPr>
        <w:t>.</w:t>
      </w:r>
      <w:r w:rsidRPr="396ABCA7">
        <w:rPr>
          <w:rStyle w:val="FootnoteReference"/>
          <w:rFonts w:eastAsia="Aptos" w:cs="Calibri"/>
        </w:rPr>
        <w:footnoteReference w:id="581"/>
      </w:r>
      <w:r w:rsidRPr="396ABCA7">
        <w:rPr>
          <w:rFonts w:cs="Calibri"/>
        </w:rPr>
        <w:t xml:space="preserve"> The FWC found that the employees did not perform work onsite in the general building and construction industry because the employees work in the arts and entertainment industry; the work is not performed on a building and construction site and relates to exhibitions and gallery spaces; and it does not involve construction, alteration, extension, restoration, repair, demolition or dismantling of building and structures, or installation of fittings and services (</w:t>
      </w:r>
      <w:r w:rsidRPr="00E22AEA">
        <w:rPr>
          <w:rFonts w:cs="Calibri"/>
        </w:rPr>
        <w:t>BCG</w:t>
      </w:r>
      <w:r w:rsidRPr="396ABCA7">
        <w:rPr>
          <w:rFonts w:cs="Calibri"/>
        </w:rPr>
        <w:t xml:space="preserve"> On-Site </w:t>
      </w:r>
      <w:r w:rsidRPr="396ABCA7">
        <w:rPr>
          <w:rFonts w:cs="Calibri"/>
        </w:rPr>
        <w:lastRenderedPageBreak/>
        <w:t>Award</w:t>
      </w:r>
      <w:r w:rsidR="00E22AEA">
        <w:rPr>
          <w:rFonts w:cs="Calibri"/>
        </w:rPr>
        <w:t xml:space="preserve"> </w:t>
      </w:r>
      <w:r w:rsidR="00E22AEA" w:rsidRPr="00E22AEA">
        <w:rPr>
          <w:rFonts w:cs="Calibri"/>
        </w:rPr>
        <w:t>clause 4.3</w:t>
      </w:r>
      <w:r w:rsidRPr="396ABCA7">
        <w:rPr>
          <w:rFonts w:cs="Calibri"/>
        </w:rPr>
        <w:t>). The FWC was satisfied that the agreement would not cover employees in relation to general building and construction work.</w:t>
      </w:r>
      <w:r w:rsidRPr="396ABCA7">
        <w:rPr>
          <w:rStyle w:val="FootnoteReference"/>
          <w:rFonts w:cs="Calibri"/>
        </w:rPr>
        <w:footnoteReference w:id="582"/>
      </w:r>
    </w:p>
    <w:p w14:paraId="57F21A95" w14:textId="5B039338" w:rsidR="00924664" w:rsidRPr="000C54A7" w:rsidRDefault="00924664" w:rsidP="00EC3517">
      <w:pPr>
        <w:pStyle w:val="Heading5"/>
      </w:pPr>
      <w:r w:rsidRPr="000C54A7">
        <w:t>13.2.3 Stakeholder views</w:t>
      </w:r>
    </w:p>
    <w:p w14:paraId="7DF2A536" w14:textId="77777777" w:rsidR="00924664" w:rsidRPr="00167CB8" w:rsidRDefault="00924664" w:rsidP="00924664">
      <w:pPr>
        <w:rPr>
          <w:rFonts w:cs="Calibri"/>
        </w:rPr>
      </w:pPr>
      <w:r w:rsidRPr="00167CB8">
        <w:rPr>
          <w:rFonts w:cs="Calibri"/>
        </w:rPr>
        <w:t>Apart from broader concerns relating to the building and construction industry, Ai Group submitted that the exclusion from multi-employer bargaining is important and should be retained, ‘particularly given the unlawful and inappropriate conduct of the Construction, Forestry and Maritime Employees Union (CFMEU) which led to the union being placed into administration’.</w:t>
      </w:r>
      <w:r w:rsidRPr="00167CB8">
        <w:rPr>
          <w:rFonts w:cs="Calibri"/>
          <w:vertAlign w:val="superscript"/>
        </w:rPr>
        <w:footnoteReference w:id="583"/>
      </w:r>
      <w:r w:rsidRPr="00167CB8">
        <w:rPr>
          <w:rFonts w:cs="Calibri"/>
        </w:rPr>
        <w:t xml:space="preserve"> Master Builders Australia stated that it ‘welcomed the operation of Part 23A’, but it argued it has not prevented ‘the use of pattern union agreements with restrictive conditions and clauses that give unions unfettered control of operational matters’.</w:t>
      </w:r>
      <w:r w:rsidRPr="00167CB8">
        <w:rPr>
          <w:rStyle w:val="FootnoteReference"/>
          <w:rFonts w:cs="Calibri"/>
        </w:rPr>
        <w:footnoteReference w:id="584"/>
      </w:r>
    </w:p>
    <w:p w14:paraId="60B8F5B6" w14:textId="77777777" w:rsidR="00924664" w:rsidRPr="00167CB8" w:rsidRDefault="00924664" w:rsidP="00924664">
      <w:pPr>
        <w:rPr>
          <w:rFonts w:cs="Calibri"/>
        </w:rPr>
      </w:pPr>
      <w:r w:rsidRPr="00167CB8">
        <w:rPr>
          <w:rFonts w:cs="Calibri"/>
        </w:rPr>
        <w:t>No other stakeholders made a submission in relation to these provisions.</w:t>
      </w:r>
    </w:p>
    <w:p w14:paraId="32B732F1" w14:textId="2A852ED0" w:rsidR="00924664" w:rsidRPr="00282427" w:rsidRDefault="00924664" w:rsidP="00924664">
      <w:pPr>
        <w:rPr>
          <w:rFonts w:cs="Calibri"/>
        </w:rPr>
      </w:pPr>
      <w:r w:rsidRPr="000759AC">
        <w:rPr>
          <w:rFonts w:cs="Calibri"/>
        </w:rPr>
        <w:t xml:space="preserve">In response to the </w:t>
      </w:r>
      <w:r w:rsidRPr="000759AC" w:rsidDel="00CF0998">
        <w:rPr>
          <w:rFonts w:cs="Calibri"/>
        </w:rPr>
        <w:t>d</w:t>
      </w:r>
      <w:r w:rsidRPr="000759AC">
        <w:rPr>
          <w:rFonts w:cs="Calibri"/>
        </w:rPr>
        <w:t xml:space="preserve">raft </w:t>
      </w:r>
      <w:r w:rsidRPr="000759AC" w:rsidDel="00CF0998">
        <w:rPr>
          <w:rFonts w:cs="Calibri"/>
        </w:rPr>
        <w:t>r</w:t>
      </w:r>
      <w:r w:rsidRPr="000759AC">
        <w:rPr>
          <w:rFonts w:cs="Calibri"/>
        </w:rPr>
        <w:t>eport</w:t>
      </w:r>
      <w:r w:rsidR="00CF0998">
        <w:rPr>
          <w:rFonts w:cs="Calibri"/>
        </w:rPr>
        <w:t>,</w:t>
      </w:r>
      <w:r w:rsidRPr="000759AC">
        <w:rPr>
          <w:rFonts w:cs="Calibri"/>
        </w:rPr>
        <w:t xml:space="preserve"> Ai Group </w:t>
      </w:r>
      <w:r w:rsidR="00CF0998">
        <w:rPr>
          <w:rFonts w:cs="Calibri"/>
        </w:rPr>
        <w:t xml:space="preserve">agreed </w:t>
      </w:r>
      <w:r w:rsidRPr="000759AC">
        <w:rPr>
          <w:rFonts w:cs="Calibri"/>
        </w:rPr>
        <w:t>that no recommendation is necessary in relation to the excluded work provisions</w:t>
      </w:r>
      <w:r w:rsidR="00CF0998">
        <w:rPr>
          <w:rFonts w:cs="Calibri"/>
        </w:rPr>
        <w:t>;</w:t>
      </w:r>
      <w:r w:rsidRPr="000759AC">
        <w:rPr>
          <w:rFonts w:cs="Calibri"/>
        </w:rPr>
        <w:t xml:space="preserve"> however</w:t>
      </w:r>
      <w:r w:rsidR="00CF0998">
        <w:rPr>
          <w:rFonts w:cs="Calibri"/>
        </w:rPr>
        <w:t>,</w:t>
      </w:r>
      <w:r w:rsidRPr="000759AC">
        <w:rPr>
          <w:rFonts w:cs="Calibri"/>
        </w:rPr>
        <w:t xml:space="preserve"> it strongly reject</w:t>
      </w:r>
      <w:r w:rsidR="00CF0998">
        <w:rPr>
          <w:rFonts w:cs="Calibri"/>
        </w:rPr>
        <w:t>ed</w:t>
      </w:r>
      <w:r w:rsidRPr="000759AC">
        <w:rPr>
          <w:rFonts w:cs="Calibri"/>
        </w:rPr>
        <w:t xml:space="preserve"> the Review Panel’s suggestion that it may be appropriate to restrict this exclusion at a future point of time in relation to large-scale construction projects.</w:t>
      </w:r>
      <w:r w:rsidRPr="000759AC">
        <w:rPr>
          <w:rStyle w:val="FootnoteReference"/>
          <w:rFonts w:cs="Calibri"/>
        </w:rPr>
        <w:footnoteReference w:id="585"/>
      </w:r>
    </w:p>
    <w:p w14:paraId="392A09A3" w14:textId="77777777" w:rsidR="00924664" w:rsidRPr="00C03AA9" w:rsidRDefault="00924664" w:rsidP="00EC3517">
      <w:pPr>
        <w:pStyle w:val="Heading4"/>
      </w:pPr>
      <w:bookmarkStart w:id="252" w:name="_Toc189260241"/>
      <w:bookmarkStart w:id="253" w:name="_Toc189393557"/>
      <w:r w:rsidRPr="00C03AA9">
        <w:t>13.3 Findings and recommendations</w:t>
      </w:r>
      <w:bookmarkEnd w:id="252"/>
      <w:bookmarkEnd w:id="253"/>
    </w:p>
    <w:p w14:paraId="1CC09400" w14:textId="76B3BCF2" w:rsidR="00924664" w:rsidRPr="00167CB8" w:rsidRDefault="00924664" w:rsidP="00924664">
      <w:pPr>
        <w:rPr>
          <w:rFonts w:cs="Calibri"/>
        </w:rPr>
      </w:pPr>
      <w:r w:rsidRPr="00163514">
        <w:rPr>
          <w:rFonts w:cs="Calibri"/>
        </w:rPr>
        <w:t>The Review Panel has made findings (in Chapter</w:t>
      </w:r>
      <w:r w:rsidRPr="00163514" w:rsidDel="00CF0998">
        <w:rPr>
          <w:rFonts w:cs="Calibri"/>
        </w:rPr>
        <w:t xml:space="preserve"> </w:t>
      </w:r>
      <w:r w:rsidRPr="00163514">
        <w:rPr>
          <w:rFonts w:cs="Calibri"/>
        </w:rPr>
        <w:t>5) in relation to amendments impacting the regulation of the building and construction industry more broadly.</w:t>
      </w:r>
    </w:p>
    <w:p w14:paraId="62DB4C80" w14:textId="77777777" w:rsidR="0011475D" w:rsidRDefault="00924664" w:rsidP="00924664">
      <w:pPr>
        <w:rPr>
          <w:rFonts w:cs="Calibri"/>
        </w:rPr>
      </w:pPr>
      <w:r w:rsidRPr="00DA3E78">
        <w:rPr>
          <w:rFonts w:cs="Calibri"/>
        </w:rPr>
        <w:t>The Review Panel has not identified any unintended consequences of the amendments to date. This finding must be understood in the context of limited data and consideration of the amendments, particularly in the broader discussion about the building and construction industry that has immediately preceded this report.</w:t>
      </w:r>
    </w:p>
    <w:p w14:paraId="0FDE1F01" w14:textId="77777777" w:rsidR="00EC3517" w:rsidRDefault="00924664" w:rsidP="00924664">
      <w:pPr>
        <w:spacing w:after="160"/>
        <w:rPr>
          <w:rFonts w:cs="Calibri"/>
        </w:rPr>
      </w:pPr>
      <w:r w:rsidRPr="396ABCA7">
        <w:rPr>
          <w:rFonts w:cs="Calibri"/>
        </w:rPr>
        <w:t xml:space="preserve">The Review Panel does not make any recommendations at this </w:t>
      </w:r>
      <w:r w:rsidRPr="00167CB8">
        <w:rPr>
          <w:rFonts w:cs="Calibri"/>
        </w:rPr>
        <w:t>time.</w:t>
      </w:r>
    </w:p>
    <w:p w14:paraId="68C4C7E1" w14:textId="7F4FAD3F" w:rsidR="00EC3517" w:rsidRDefault="00EC3517">
      <w:pPr>
        <w:spacing w:after="160"/>
        <w:rPr>
          <w:rFonts w:cs="Calibri"/>
        </w:rPr>
      </w:pPr>
      <w:r>
        <w:rPr>
          <w:rFonts w:cs="Calibri"/>
        </w:rPr>
        <w:br w:type="page"/>
      </w:r>
    </w:p>
    <w:p w14:paraId="7198FF5E" w14:textId="77777777" w:rsidR="0011475D" w:rsidRDefault="00924664" w:rsidP="00EC3517">
      <w:pPr>
        <w:pStyle w:val="Heading3"/>
      </w:pPr>
      <w:bookmarkStart w:id="254" w:name="_Toc189260242"/>
      <w:bookmarkStart w:id="255" w:name="_Toc189393558"/>
      <w:bookmarkStart w:id="256" w:name="_Toc194311421"/>
      <w:r w:rsidRPr="00167CB8">
        <w:lastRenderedPageBreak/>
        <w:t>Chapter 14. Bargaining disputes</w:t>
      </w:r>
      <w:bookmarkEnd w:id="254"/>
      <w:bookmarkEnd w:id="255"/>
      <w:bookmarkEnd w:id="256"/>
    </w:p>
    <w:p w14:paraId="5E4DF23D" w14:textId="77777777" w:rsidR="0011475D" w:rsidRDefault="00924664" w:rsidP="00924664">
      <w:r w:rsidRPr="00167CB8">
        <w:t>Part 18 of Schedule 1 to the Secure Jobs, Better Pay Act changed the way the Fair Work Commission (FWC) can deal with bargaining disputes by introducing provisions relating to intractable bargaining declarations (IBD) and intractable bargaining workplace determinations (IBWD).</w:t>
      </w:r>
    </w:p>
    <w:p w14:paraId="1C5959CB" w14:textId="1589B0BD" w:rsidR="00924664" w:rsidRPr="007F0E48" w:rsidRDefault="00924664" w:rsidP="00EC3517">
      <w:pPr>
        <w:pStyle w:val="Heading4"/>
      </w:pPr>
      <w:bookmarkStart w:id="257" w:name="_Toc189260243"/>
      <w:bookmarkStart w:id="258" w:name="_Toc189393559"/>
      <w:r w:rsidRPr="007F0E48">
        <w:t>14.1 Amendments and intent</w:t>
      </w:r>
      <w:bookmarkEnd w:id="257"/>
      <w:bookmarkEnd w:id="258"/>
    </w:p>
    <w:p w14:paraId="177199C0" w14:textId="6AD66E9E" w:rsidR="0011475D" w:rsidRDefault="00924664" w:rsidP="00924664">
      <w:r w:rsidRPr="00167CB8">
        <w:t xml:space="preserve">Prior to the Secure Jobs, Better Pay amendments, the FWC had limited power to resolve bargaining disputes, </w:t>
      </w:r>
      <w:r>
        <w:t xml:space="preserve">in circumstances where </w:t>
      </w:r>
      <w:r w:rsidRPr="00167CB8">
        <w:t>‘all parties agree[d] to the Fair Work Commission making a decision’.</w:t>
      </w:r>
      <w:r w:rsidRPr="00167CB8">
        <w:rPr>
          <w:vertAlign w:val="superscript"/>
        </w:rPr>
        <w:footnoteReference w:id="586"/>
      </w:r>
      <w:r w:rsidRPr="00167CB8">
        <w:t xml:space="preserve"> The effect of this limitation was said to be that ‘parties … [were] not incentivised to bargain reasonably with one another, which can lead to protracted disputes’</w:t>
      </w:r>
      <w:r w:rsidR="00CF0998">
        <w:t>.</w:t>
      </w:r>
      <w:r w:rsidRPr="00167CB8">
        <w:rPr>
          <w:vertAlign w:val="superscript"/>
        </w:rPr>
        <w:footnoteReference w:id="587"/>
      </w:r>
    </w:p>
    <w:p w14:paraId="010A36D0" w14:textId="7DA34810" w:rsidR="00924664" w:rsidRPr="00167CB8" w:rsidRDefault="00924664" w:rsidP="00924664">
      <w:pPr>
        <w:rPr>
          <w:rFonts w:eastAsia="Aptos" w:cs="Aptos"/>
        </w:rPr>
      </w:pPr>
      <w:r w:rsidRPr="00167CB8">
        <w:rPr>
          <w:rFonts w:eastAsia="Aptos" w:cs="Aptos"/>
        </w:rPr>
        <w:t>In addition to this (limited) power to resolve bargaining disputes (mostly by conciliation),</w:t>
      </w:r>
      <w:r w:rsidRPr="00167CB8">
        <w:rPr>
          <w:rStyle w:val="FootnoteReference"/>
          <w:rFonts w:eastAsia="Aptos" w:cs="Aptos"/>
        </w:rPr>
        <w:footnoteReference w:id="588"/>
      </w:r>
      <w:r w:rsidRPr="00167CB8">
        <w:rPr>
          <w:rFonts w:eastAsia="Aptos" w:cs="Aptos"/>
        </w:rPr>
        <w:t xml:space="preserve"> the FWC was limited to resolving bargaining disputes through a process of serious breach declarations and bargaining-related workplace determinations.</w:t>
      </w:r>
      <w:r w:rsidRPr="00167CB8">
        <w:rPr>
          <w:rStyle w:val="FootnoteReference"/>
          <w:rFonts w:eastAsia="Aptos" w:cs="Aptos"/>
        </w:rPr>
        <w:footnoteReference w:id="589"/>
      </w:r>
      <w:r w:rsidRPr="00167CB8">
        <w:rPr>
          <w:rFonts w:eastAsia="Aptos" w:cs="Aptos"/>
        </w:rPr>
        <w:t xml:space="preserve"> In the Revised Explanatory Memorandum, it was stated that ‘these provisions have not been effective in assisting parties to resolve bargaining disputes’</w:t>
      </w:r>
      <w:r w:rsidR="00CF0998">
        <w:rPr>
          <w:rFonts w:eastAsia="Aptos" w:cs="Aptos"/>
        </w:rPr>
        <w:t>.</w:t>
      </w:r>
      <w:r w:rsidRPr="00167CB8">
        <w:rPr>
          <w:rStyle w:val="FootnoteReference"/>
          <w:rFonts w:eastAsia="Aptos" w:cs="Aptos"/>
        </w:rPr>
        <w:footnoteReference w:id="590"/>
      </w:r>
    </w:p>
    <w:p w14:paraId="0DC13E91" w14:textId="77777777" w:rsidR="0011475D" w:rsidRPr="007F0E48" w:rsidRDefault="00924664" w:rsidP="00EC3517">
      <w:pPr>
        <w:pStyle w:val="Heading5"/>
      </w:pPr>
      <w:r w:rsidRPr="007F0E48">
        <w:t>14.1.1 Secure Jobs, Better Pay amendments</w:t>
      </w:r>
    </w:p>
    <w:p w14:paraId="4B65997B" w14:textId="3F5E952D" w:rsidR="0011475D" w:rsidRDefault="00924664" w:rsidP="00924664">
      <w:pPr>
        <w:rPr>
          <w:rFonts w:eastAsia="Aptos" w:cs="Aptos"/>
        </w:rPr>
      </w:pPr>
      <w:r w:rsidRPr="396ABCA7">
        <w:rPr>
          <w:rFonts w:eastAsia="Aptos" w:cs="Aptos"/>
        </w:rPr>
        <w:t xml:space="preserve">The Secure Jobs, Better Pay Act amendments inserted, into Subdivision B of Division 8 of </w:t>
      </w:r>
      <w:r w:rsidRPr="008F7B9A">
        <w:rPr>
          <w:rFonts w:eastAsia="Aptos" w:cs="Aptos"/>
        </w:rPr>
        <w:t>Part</w:t>
      </w:r>
      <w:r w:rsidR="00CF0998" w:rsidRPr="008F7B9A">
        <w:rPr>
          <w:rFonts w:eastAsia="Aptos" w:cs="Aptos"/>
        </w:rPr>
        <w:t> </w:t>
      </w:r>
      <w:r w:rsidRPr="008F7B9A">
        <w:rPr>
          <w:rFonts w:eastAsia="Aptos" w:cs="Aptos"/>
        </w:rPr>
        <w:t>2-</w:t>
      </w:r>
      <w:r w:rsidRPr="396ABCA7">
        <w:rPr>
          <w:rFonts w:eastAsia="Aptos" w:cs="Aptos"/>
        </w:rPr>
        <w:t xml:space="preserve">4 of the Fair Work Act, provisions that allow a bargaining representative to apply to the FWC for an IBD for a proposed enterprise agreement (other than a greenfields agreement). An application for an IBD cannot be made in relation to a cooperative workplace agreement, although it can </w:t>
      </w:r>
      <w:r>
        <w:rPr>
          <w:rFonts w:eastAsia="Aptos" w:cs="Aptos"/>
        </w:rPr>
        <w:t>be made in relation to</w:t>
      </w:r>
      <w:r w:rsidRPr="396ABCA7">
        <w:rPr>
          <w:rFonts w:eastAsia="Aptos" w:cs="Aptos"/>
        </w:rPr>
        <w:t xml:space="preserve"> supported bargaining and single-interest bargaining</w:t>
      </w:r>
      <w:r>
        <w:rPr>
          <w:rFonts w:eastAsia="Aptos" w:cs="Aptos"/>
        </w:rPr>
        <w:t xml:space="preserve"> agreements</w:t>
      </w:r>
      <w:r w:rsidRPr="396ABCA7">
        <w:rPr>
          <w:rFonts w:eastAsia="Aptos" w:cs="Aptos"/>
        </w:rPr>
        <w:t>.</w:t>
      </w:r>
      <w:r w:rsidRPr="396ABCA7">
        <w:rPr>
          <w:rFonts w:eastAsia="Aptos" w:cs="Aptos"/>
          <w:vertAlign w:val="superscript"/>
        </w:rPr>
        <w:footnoteReference w:id="591"/>
      </w:r>
    </w:p>
    <w:p w14:paraId="484A6D14" w14:textId="4989ED68" w:rsidR="00924664" w:rsidRPr="00167CB8" w:rsidRDefault="00924664" w:rsidP="00924664">
      <w:pPr>
        <w:rPr>
          <w:rFonts w:eastAsia="Aptos" w:cs="Aptos"/>
        </w:rPr>
      </w:pPr>
      <w:r w:rsidRPr="396ABCA7">
        <w:rPr>
          <w:rFonts w:eastAsia="Aptos" w:cs="Aptos"/>
        </w:rPr>
        <w:t>Relevantly, the FWC may make an IBD in relation to a proposed enterprise agreement if an application has been made and it is after the ‘minimum bargaining period’.</w:t>
      </w:r>
      <w:r w:rsidRPr="396ABCA7">
        <w:rPr>
          <w:rFonts w:eastAsia="Aptos" w:cs="Aptos"/>
          <w:vertAlign w:val="superscript"/>
        </w:rPr>
        <w:footnoteReference w:id="592"/>
      </w:r>
    </w:p>
    <w:p w14:paraId="6A476CEF" w14:textId="77777777" w:rsidR="00924664" w:rsidRPr="00167CB8" w:rsidRDefault="00924664" w:rsidP="00924664">
      <w:pPr>
        <w:rPr>
          <w:rFonts w:eastAsia="Aptos" w:cs="Aptos"/>
        </w:rPr>
      </w:pPr>
      <w:r w:rsidRPr="396ABCA7">
        <w:rPr>
          <w:rFonts w:eastAsia="Aptos" w:cs="Aptos"/>
        </w:rPr>
        <w:t>The end of the minimum bargaining period is set out in s 235(5) of the Fair Work Act:</w:t>
      </w:r>
    </w:p>
    <w:p w14:paraId="512AF067" w14:textId="77777777" w:rsidR="00924664" w:rsidRPr="00167CB8" w:rsidRDefault="00924664" w:rsidP="00D55A73">
      <w:pPr>
        <w:pStyle w:val="Quote"/>
        <w:numPr>
          <w:ilvl w:val="0"/>
          <w:numId w:val="26"/>
        </w:numPr>
      </w:pPr>
      <w:r w:rsidRPr="00167CB8">
        <w:t>if one or more enterprise agreements (the </w:t>
      </w:r>
      <w:r w:rsidRPr="00167CB8">
        <w:rPr>
          <w:b/>
        </w:rPr>
        <w:t>existing agreements</w:t>
      </w:r>
      <w:r w:rsidRPr="00167CB8">
        <w:t xml:space="preserve">) apply to any of the employees that will be covered by the proposed agreement </w:t>
      </w:r>
      <w:r w:rsidRPr="00167CB8">
        <w:rPr>
          <w:rFonts w:ascii="Symbol" w:eastAsia="Symbol" w:hAnsi="Symbol" w:cs="Symbol"/>
        </w:rPr>
        <w:t>-</w:t>
      </w:r>
      <w:r w:rsidRPr="00167CB8">
        <w:t xml:space="preserve"> the later of the following:</w:t>
      </w:r>
    </w:p>
    <w:p w14:paraId="7755889D" w14:textId="77777777" w:rsidR="00924664" w:rsidRPr="00167CB8" w:rsidRDefault="00924664" w:rsidP="00D55A73">
      <w:pPr>
        <w:pStyle w:val="Quote"/>
        <w:numPr>
          <w:ilvl w:val="0"/>
          <w:numId w:val="27"/>
        </w:numPr>
      </w:pPr>
      <w:r w:rsidRPr="00167CB8">
        <w:lastRenderedPageBreak/>
        <w:t>the day that is 9 months after the nominal expiry date for that existing agreement, or the latest nominal expiry date for those existing agreements;</w:t>
      </w:r>
    </w:p>
    <w:p w14:paraId="2766F023" w14:textId="77777777" w:rsidR="00924664" w:rsidRPr="00167CB8" w:rsidRDefault="00924664" w:rsidP="00D55A73">
      <w:pPr>
        <w:pStyle w:val="Quote"/>
        <w:numPr>
          <w:ilvl w:val="0"/>
          <w:numId w:val="27"/>
        </w:numPr>
      </w:pPr>
      <w:r w:rsidRPr="00167CB8">
        <w:t>the day that is 9 months after the day bargaining starts, as worked out under subsection (6); or</w:t>
      </w:r>
    </w:p>
    <w:p w14:paraId="3317475B" w14:textId="77777777" w:rsidR="00924664" w:rsidRPr="00167CB8" w:rsidRDefault="00924664" w:rsidP="00D55A73">
      <w:pPr>
        <w:pStyle w:val="Quote"/>
        <w:numPr>
          <w:ilvl w:val="0"/>
          <w:numId w:val="26"/>
        </w:numPr>
      </w:pPr>
      <w:r w:rsidRPr="00167CB8">
        <w:t>the day that is 9 months after the day bargaining starts, as worked out under subsection (6).”</w:t>
      </w:r>
      <w:r w:rsidRPr="00167CB8">
        <w:rPr>
          <w:rStyle w:val="FootnoteReference"/>
          <w:rFonts w:eastAsia="Aptos" w:cs="Aptos"/>
        </w:rPr>
        <w:footnoteReference w:id="593"/>
      </w:r>
    </w:p>
    <w:p w14:paraId="1F194354" w14:textId="77777777" w:rsidR="00924664" w:rsidRPr="00167CB8" w:rsidRDefault="00924664" w:rsidP="00924664">
      <w:pPr>
        <w:rPr>
          <w:rFonts w:eastAsia="Aptos" w:cs="Aptos"/>
        </w:rPr>
      </w:pPr>
      <w:r w:rsidRPr="00167CB8">
        <w:rPr>
          <w:rFonts w:eastAsia="Aptos" w:cs="Aptos"/>
        </w:rPr>
        <w:t>The day bargaining starts for a proposed agreement is set out in s 235(6) of the Fair Work Act:</w:t>
      </w:r>
    </w:p>
    <w:p w14:paraId="2738BC1E" w14:textId="77777777" w:rsidR="00924664" w:rsidRPr="00167CB8" w:rsidRDefault="00924664" w:rsidP="00D55A73">
      <w:pPr>
        <w:pStyle w:val="Quote"/>
        <w:numPr>
          <w:ilvl w:val="0"/>
          <w:numId w:val="28"/>
        </w:numPr>
      </w:pPr>
      <w:r w:rsidRPr="00167CB8">
        <w:t xml:space="preserve">if a supported bargaining authorisation or single interest employer authorisation is in operation in relation to the proposed agreement </w:t>
      </w:r>
      <w:r w:rsidRPr="00167CB8">
        <w:rPr>
          <w:rFonts w:ascii="Symbol" w:eastAsia="Symbol" w:hAnsi="Symbol" w:cs="Symbol"/>
        </w:rPr>
        <w:t>-</w:t>
      </w:r>
      <w:r w:rsidRPr="00167CB8">
        <w:t xml:space="preserve"> the day that the authorisation first comes into operation; or</w:t>
      </w:r>
    </w:p>
    <w:p w14:paraId="46959321" w14:textId="77777777" w:rsidR="00924664" w:rsidRPr="00167CB8" w:rsidRDefault="00924664" w:rsidP="00D55A73">
      <w:pPr>
        <w:pStyle w:val="Quote"/>
        <w:numPr>
          <w:ilvl w:val="0"/>
          <w:numId w:val="28"/>
        </w:numPr>
      </w:pPr>
      <w:r w:rsidRPr="00167CB8">
        <w:t xml:space="preserve">otherwise </w:t>
      </w:r>
      <w:r w:rsidRPr="00167CB8">
        <w:rPr>
          <w:rFonts w:ascii="Symbol" w:eastAsia="Symbol" w:hAnsi="Symbol" w:cs="Symbol"/>
        </w:rPr>
        <w:t>-</w:t>
      </w:r>
      <w:r w:rsidRPr="00167CB8">
        <w:t xml:space="preserve"> the notification time for the proposed agreement.</w:t>
      </w:r>
      <w:r w:rsidRPr="00167CB8">
        <w:rPr>
          <w:rStyle w:val="FootnoteReference"/>
        </w:rPr>
        <w:footnoteReference w:id="594"/>
      </w:r>
    </w:p>
    <w:p w14:paraId="733A36B9" w14:textId="77777777" w:rsidR="00924664" w:rsidRPr="00167CB8" w:rsidRDefault="00924664" w:rsidP="00924664">
      <w:pPr>
        <w:rPr>
          <w:rFonts w:eastAsia="Aptos" w:cs="Aptos"/>
        </w:rPr>
      </w:pPr>
      <w:r w:rsidRPr="396ABCA7">
        <w:rPr>
          <w:rFonts w:eastAsia="Aptos" w:cs="Aptos"/>
        </w:rPr>
        <w:t>Prior to making an IBD, the FWC must be satisfied that:</w:t>
      </w:r>
      <w:r w:rsidRPr="396ABCA7">
        <w:rPr>
          <w:rStyle w:val="FootnoteReference"/>
          <w:rFonts w:eastAsia="Aptos" w:cs="Aptos"/>
        </w:rPr>
        <w:footnoteReference w:id="595"/>
      </w:r>
    </w:p>
    <w:p w14:paraId="1B5239F7" w14:textId="77777777" w:rsidR="00924664" w:rsidRPr="00167CB8" w:rsidRDefault="00924664" w:rsidP="00D55A73">
      <w:pPr>
        <w:pStyle w:val="Quote"/>
        <w:numPr>
          <w:ilvl w:val="0"/>
          <w:numId w:val="29"/>
        </w:numPr>
      </w:pPr>
      <w:r w:rsidRPr="00167CB8">
        <w:t>the FWC has dealt with the dispute about the agreement under section 240 and the applicant participated in the FWC's processes to deal with the dispute; and</w:t>
      </w:r>
    </w:p>
    <w:p w14:paraId="3C867BCB" w14:textId="77777777" w:rsidR="00924664" w:rsidRPr="00167CB8" w:rsidRDefault="00924664" w:rsidP="00D55A73">
      <w:pPr>
        <w:pStyle w:val="Quote"/>
        <w:numPr>
          <w:ilvl w:val="0"/>
          <w:numId w:val="29"/>
        </w:numPr>
      </w:pPr>
      <w:r w:rsidRPr="00167CB8">
        <w:t>there is no reasonable prospect of agreement being reached if the FWC does not make the declaration; and</w:t>
      </w:r>
    </w:p>
    <w:p w14:paraId="0E47E408" w14:textId="77777777" w:rsidR="00924664" w:rsidRPr="00167CB8" w:rsidRDefault="00924664" w:rsidP="00D55A73">
      <w:pPr>
        <w:pStyle w:val="Quote"/>
        <w:numPr>
          <w:ilvl w:val="0"/>
          <w:numId w:val="29"/>
        </w:numPr>
      </w:pPr>
      <w:r w:rsidRPr="00167CB8">
        <w:t>it is reasonable in all the circumstances to make the declaration, taking into account the views of all the bargaining representatives for the agreement.</w:t>
      </w:r>
    </w:p>
    <w:p w14:paraId="7703ACBE" w14:textId="77777777" w:rsidR="00924664" w:rsidRPr="00167CB8" w:rsidRDefault="00924664" w:rsidP="00924664">
      <w:pPr>
        <w:rPr>
          <w:rFonts w:eastAsia="Aptos" w:cs="Aptos"/>
        </w:rPr>
      </w:pPr>
      <w:r w:rsidRPr="396ABCA7">
        <w:rPr>
          <w:rFonts w:eastAsia="Aptos" w:cs="Aptos"/>
        </w:rPr>
        <w:t>An IBD may specify a post-declaration negotiating period where the FWC considers it appropriate to do so.</w:t>
      </w:r>
      <w:r w:rsidRPr="396ABCA7">
        <w:rPr>
          <w:rStyle w:val="FootnoteReference"/>
          <w:rFonts w:eastAsia="Aptos" w:cs="Aptos"/>
        </w:rPr>
        <w:footnoteReference w:id="596"/>
      </w:r>
      <w:r w:rsidRPr="396ABCA7">
        <w:rPr>
          <w:rFonts w:eastAsia="Aptos" w:cs="Aptos"/>
        </w:rPr>
        <w:t xml:space="preserve"> During the post</w:t>
      </w:r>
      <w:r>
        <w:rPr>
          <w:rFonts w:eastAsia="Aptos" w:cs="Aptos"/>
        </w:rPr>
        <w:t>-</w:t>
      </w:r>
      <w:r w:rsidRPr="396ABCA7">
        <w:rPr>
          <w:rFonts w:eastAsia="Aptos" w:cs="Aptos"/>
        </w:rPr>
        <w:t>declaration negotiating period the FWC cannot make an IBWD</w:t>
      </w:r>
      <w:r>
        <w:rPr>
          <w:rFonts w:eastAsia="Aptos" w:cs="Aptos"/>
        </w:rPr>
        <w:t>,</w:t>
      </w:r>
      <w:r w:rsidRPr="396ABCA7">
        <w:rPr>
          <w:rFonts w:eastAsia="Aptos" w:cs="Aptos"/>
        </w:rPr>
        <w:t xml:space="preserve"> but it may provide other assistance to resolve the bargaining dispute, such as conciliation.</w:t>
      </w:r>
      <w:r w:rsidRPr="396ABCA7">
        <w:rPr>
          <w:rFonts w:eastAsia="Aptos" w:cs="Aptos"/>
          <w:vertAlign w:val="superscript"/>
        </w:rPr>
        <w:footnoteReference w:id="597"/>
      </w:r>
      <w:r w:rsidRPr="396ABCA7">
        <w:rPr>
          <w:rFonts w:eastAsia="Aptos" w:cs="Aptos"/>
        </w:rPr>
        <w:t xml:space="preserve"> If it considers it appropriate to do so and taking in account the views of any bargaining representatives, the FWC may extend the post</w:t>
      </w:r>
      <w:r>
        <w:rPr>
          <w:rFonts w:eastAsia="Aptos" w:cs="Aptos"/>
        </w:rPr>
        <w:t>-</w:t>
      </w:r>
      <w:r w:rsidRPr="396ABCA7">
        <w:rPr>
          <w:rFonts w:eastAsia="Aptos" w:cs="Aptos"/>
        </w:rPr>
        <w:t>declaration negotiating period</w:t>
      </w:r>
      <w:r w:rsidRPr="396ABCA7">
        <w:rPr>
          <w:rFonts w:eastAsia="Aptos" w:cs="Aptos"/>
          <w:i/>
          <w:iCs/>
        </w:rPr>
        <w:t>.</w:t>
      </w:r>
      <w:r w:rsidRPr="396ABCA7">
        <w:rPr>
          <w:rFonts w:eastAsia="Aptos" w:cs="Aptos"/>
          <w:vertAlign w:val="superscript"/>
        </w:rPr>
        <w:footnoteReference w:id="598"/>
      </w:r>
    </w:p>
    <w:p w14:paraId="6306EACF" w14:textId="77777777" w:rsidR="00924664" w:rsidRPr="00167CB8" w:rsidRDefault="00924664" w:rsidP="00924664">
      <w:pPr>
        <w:rPr>
          <w:rFonts w:eastAsia="Aptos" w:cs="Aptos"/>
        </w:rPr>
      </w:pPr>
      <w:r w:rsidRPr="396ABCA7">
        <w:rPr>
          <w:rFonts w:eastAsia="Aptos" w:cs="Aptos"/>
        </w:rPr>
        <w:t>If the FWC has made an IBD, the FWC must make an IBWD ‘as quickly as possible’ (subject to any post-declaration negotiating period).</w:t>
      </w:r>
      <w:r w:rsidRPr="396ABCA7">
        <w:rPr>
          <w:rFonts w:eastAsia="Aptos" w:cs="Aptos"/>
          <w:vertAlign w:val="superscript"/>
        </w:rPr>
        <w:footnoteReference w:id="599"/>
      </w:r>
      <w:r w:rsidRPr="396ABCA7">
        <w:rPr>
          <w:rFonts w:eastAsia="Aptos" w:cs="Aptos"/>
        </w:rPr>
        <w:t xml:space="preserve"> An IBWD can only be made by a Full Bench of the FWC.</w:t>
      </w:r>
      <w:r w:rsidRPr="396ABCA7">
        <w:rPr>
          <w:rStyle w:val="FootnoteReference"/>
          <w:rFonts w:eastAsia="Aptos" w:cs="Aptos"/>
        </w:rPr>
        <w:footnoteReference w:id="600"/>
      </w:r>
    </w:p>
    <w:p w14:paraId="1B6AF5B9" w14:textId="77777777" w:rsidR="00924664" w:rsidRPr="00167CB8" w:rsidRDefault="00924664" w:rsidP="00924664">
      <w:pPr>
        <w:rPr>
          <w:rFonts w:eastAsia="Aptos" w:cs="Aptos"/>
        </w:rPr>
      </w:pPr>
      <w:r w:rsidRPr="00167CB8">
        <w:rPr>
          <w:rFonts w:eastAsia="Aptos" w:cs="Aptos"/>
        </w:rPr>
        <w:t>Once made, an IBWD provides terms and conditions for employees to whom it applies.</w:t>
      </w:r>
    </w:p>
    <w:p w14:paraId="71616A9C" w14:textId="77777777" w:rsidR="00924664" w:rsidRPr="00167CB8" w:rsidRDefault="00924664" w:rsidP="00924664">
      <w:pPr>
        <w:rPr>
          <w:rFonts w:eastAsia="Aptos" w:cs="Aptos"/>
        </w:rPr>
      </w:pPr>
      <w:r w:rsidRPr="396ABCA7">
        <w:rPr>
          <w:rFonts w:eastAsia="Aptos" w:cs="Aptos"/>
        </w:rPr>
        <w:lastRenderedPageBreak/>
        <w:t xml:space="preserve">The Secure Jobs, Better Pay Act introduced provisions which specify the terms that an IBWD must include </w:t>
      </w:r>
      <w:r w:rsidRPr="396ABCA7">
        <w:rPr>
          <w:rFonts w:ascii="Symbol" w:eastAsia="Symbol" w:hAnsi="Symbol" w:cs="Symbol"/>
        </w:rPr>
        <w:t>-</w:t>
      </w:r>
      <w:r w:rsidRPr="396ABCA7">
        <w:rPr>
          <w:rFonts w:eastAsia="Aptos" w:cs="Aptos"/>
        </w:rPr>
        <w:t xml:space="preserve"> namely, agreed terms and core or mandatory terms.</w:t>
      </w:r>
      <w:r w:rsidRPr="396ABCA7">
        <w:rPr>
          <w:rFonts w:eastAsia="Aptos" w:cs="Aptos"/>
          <w:vertAlign w:val="superscript"/>
        </w:rPr>
        <w:footnoteReference w:id="601"/>
      </w:r>
      <w:r w:rsidRPr="396ABCA7">
        <w:rPr>
          <w:rFonts w:eastAsia="Aptos" w:cs="Aptos"/>
        </w:rPr>
        <w:t xml:space="preserve"> Importantly, s 270(3) of the Fair Work Act provides:</w:t>
      </w:r>
      <w:r w:rsidRPr="396ABCA7">
        <w:rPr>
          <w:rStyle w:val="FootnoteReference"/>
          <w:rFonts w:eastAsia="Aptos" w:cs="Aptos"/>
        </w:rPr>
        <w:footnoteReference w:id="602"/>
      </w:r>
    </w:p>
    <w:p w14:paraId="4143C98C" w14:textId="1BE362A5" w:rsidR="00924664" w:rsidRPr="00EC3517" w:rsidRDefault="00924664" w:rsidP="00D55A73">
      <w:pPr>
        <w:pStyle w:val="Quote"/>
      </w:pPr>
      <w:r w:rsidRPr="00EC3517">
        <w:t>(3)</w:t>
      </w:r>
      <w:r w:rsidR="00EC3517" w:rsidRPr="00EC3517">
        <w:tab/>
      </w:r>
      <w:r w:rsidRPr="00EC3517">
        <w:t>The determination must include the terms that the FWC considers deal with the matters that were still at issue:</w:t>
      </w:r>
    </w:p>
    <w:p w14:paraId="6097E8D5" w14:textId="7D4C0D68" w:rsidR="00924664" w:rsidRPr="00EC3517" w:rsidRDefault="00924664" w:rsidP="008A246A">
      <w:pPr>
        <w:pStyle w:val="Quote"/>
        <w:ind w:left="2160"/>
      </w:pPr>
      <w:r w:rsidRPr="00EC3517">
        <w:t>(a)</w:t>
      </w:r>
      <w:r w:rsidR="00EC3517" w:rsidRPr="00EC3517">
        <w:tab/>
      </w:r>
      <w:r w:rsidRPr="00EC3517">
        <w:t>if there is a post-declaration negotiating period under section </w:t>
      </w:r>
      <w:r w:rsidRPr="007F0E48">
        <w:t>235A</w:t>
      </w:r>
      <w:r w:rsidRPr="00EC3517">
        <w:t xml:space="preserve"> for the declaration concerned </w:t>
      </w:r>
      <w:r w:rsidRPr="007F0E48">
        <w:t>-</w:t>
      </w:r>
      <w:r w:rsidRPr="00EC3517">
        <w:t xml:space="preserve"> after the end of that period; or</w:t>
      </w:r>
    </w:p>
    <w:p w14:paraId="3ECC1F93" w14:textId="6DD67649" w:rsidR="00924664" w:rsidRPr="00EC3517" w:rsidRDefault="00924664" w:rsidP="008A246A">
      <w:pPr>
        <w:pStyle w:val="Quote"/>
        <w:ind w:left="2160"/>
      </w:pPr>
      <w:r w:rsidRPr="00EC3517">
        <w:t>(b)</w:t>
      </w:r>
      <w:r w:rsidR="00EC3517" w:rsidRPr="00EC3517">
        <w:tab/>
      </w:r>
      <w:r w:rsidRPr="00EC3517">
        <w:t xml:space="preserve">otherwise </w:t>
      </w:r>
      <w:r w:rsidRPr="007F0E48">
        <w:t>-</w:t>
      </w:r>
      <w:r w:rsidRPr="00EC3517">
        <w:t xml:space="preserve"> after making the declaration.</w:t>
      </w:r>
    </w:p>
    <w:p w14:paraId="37E42F55" w14:textId="5784C8A7" w:rsidR="00924664" w:rsidRPr="00502439" w:rsidRDefault="00924664" w:rsidP="00D55A73">
      <w:pPr>
        <w:pStyle w:val="Quote"/>
      </w:pPr>
      <w:r w:rsidRPr="000759AC">
        <w:t>Note:</w:t>
      </w:r>
      <w:r w:rsidR="00EC3517">
        <w:tab/>
      </w:r>
      <w:r w:rsidRPr="000759AC">
        <w:t>Any such terms must comply with section 270A.</w:t>
      </w:r>
    </w:p>
    <w:p w14:paraId="47F89D0E" w14:textId="77777777" w:rsidR="00924664" w:rsidRPr="00167CB8" w:rsidRDefault="00924664" w:rsidP="00924664">
      <w:pPr>
        <w:rPr>
          <w:rFonts w:eastAsia="Aptos" w:cs="Aptos"/>
        </w:rPr>
      </w:pPr>
      <w:r w:rsidRPr="396ABCA7">
        <w:rPr>
          <w:rFonts w:eastAsia="Aptos" w:cs="Aptos"/>
        </w:rPr>
        <w:t>In deciding which terms to include in an IBWD, s 275 of the Fair Work Act sets out the factors that the FWC must take into account.</w:t>
      </w:r>
    </w:p>
    <w:p w14:paraId="73EE461C" w14:textId="77777777" w:rsidR="0011475D" w:rsidRDefault="00924664" w:rsidP="00924664">
      <w:pPr>
        <w:rPr>
          <w:rFonts w:eastAsia="Aptos" w:cs="Aptos"/>
        </w:rPr>
      </w:pPr>
      <w:r w:rsidRPr="396ABCA7">
        <w:rPr>
          <w:rFonts w:eastAsia="Aptos" w:cs="Aptos"/>
        </w:rPr>
        <w:t>The Secure Jobs, Better Pay amendments commenced on 6 June 2023.</w:t>
      </w:r>
    </w:p>
    <w:p w14:paraId="592ABED2" w14:textId="63F6A508" w:rsidR="00924664" w:rsidRPr="00167CB8" w:rsidRDefault="00924664" w:rsidP="00924664">
      <w:pPr>
        <w:rPr>
          <w:rFonts w:eastAsia="Aptos" w:cs="Aptos"/>
        </w:rPr>
      </w:pPr>
      <w:r w:rsidRPr="396ABCA7">
        <w:rPr>
          <w:rFonts w:eastAsia="Aptos" w:cs="Aptos"/>
        </w:rPr>
        <w:t xml:space="preserve">While the amendments made by the </w:t>
      </w:r>
      <w:r w:rsidRPr="396ABCA7">
        <w:rPr>
          <w:rFonts w:eastAsia="Aptos" w:cs="Aptos"/>
          <w:i/>
          <w:iCs/>
        </w:rPr>
        <w:t xml:space="preserve">Fair Work Legislation Amendment (Closing Loopholes No. 2) Act </w:t>
      </w:r>
      <w:r w:rsidR="007271E6">
        <w:rPr>
          <w:rFonts w:eastAsia="Aptos" w:cs="Aptos"/>
          <w:i/>
          <w:iCs/>
        </w:rPr>
        <w:t>2024</w:t>
      </w:r>
      <w:r w:rsidRPr="396ABCA7">
        <w:rPr>
          <w:rFonts w:eastAsia="Aptos" w:cs="Aptos"/>
        </w:rPr>
        <w:t xml:space="preserve"> (Cth) (Closing Loopholes No. 2 Act) are not within the scope of this Review, it is necessary to consider these subsequent amendments to the intractable bargaining framework when reviewing the operation of the Secure Jobs, Better Pay amendments.</w:t>
      </w:r>
    </w:p>
    <w:p w14:paraId="57E759ED" w14:textId="06DC486B" w:rsidR="00924664" w:rsidRPr="00167CB8" w:rsidRDefault="00924664" w:rsidP="00924664">
      <w:pPr>
        <w:rPr>
          <w:rFonts w:eastAsia="Aptos" w:cs="Aptos"/>
        </w:rPr>
      </w:pPr>
      <w:r w:rsidRPr="396ABCA7">
        <w:rPr>
          <w:rFonts w:eastAsia="Aptos" w:cs="Aptos"/>
        </w:rPr>
        <w:t xml:space="preserve">The Closing Loopholes No. 2 Act inserted s 270A into the Fair Work Act, which provides a restriction on </w:t>
      </w:r>
      <w:r w:rsidR="00CF0998">
        <w:rPr>
          <w:rFonts w:eastAsia="Aptos" w:cs="Aptos"/>
        </w:rPr>
        <w:t xml:space="preserve">the </w:t>
      </w:r>
      <w:r w:rsidRPr="396ABCA7">
        <w:rPr>
          <w:rFonts w:eastAsia="Aptos" w:cs="Aptos"/>
        </w:rPr>
        <w:t>FWC’s ability to decide terms to deal with matters at issue:</w:t>
      </w:r>
      <w:r w:rsidRPr="396ABCA7">
        <w:rPr>
          <w:rStyle w:val="FootnoteReference"/>
          <w:rFonts w:eastAsia="Aptos" w:cs="Aptos"/>
        </w:rPr>
        <w:footnoteReference w:id="603"/>
      </w:r>
    </w:p>
    <w:p w14:paraId="6171B88E" w14:textId="77777777" w:rsidR="00924664" w:rsidRPr="00167CB8" w:rsidRDefault="00924664" w:rsidP="00D55A73">
      <w:pPr>
        <w:pStyle w:val="Quote"/>
      </w:pPr>
      <w:r w:rsidRPr="00167CB8">
        <w:t>Terms dealing with matters at issue</w:t>
      </w:r>
    </w:p>
    <w:p w14:paraId="62C20928" w14:textId="77777777" w:rsidR="00924664" w:rsidRPr="00167CB8" w:rsidRDefault="00924664" w:rsidP="00D55A73">
      <w:pPr>
        <w:pStyle w:val="Quote"/>
        <w:numPr>
          <w:ilvl w:val="0"/>
          <w:numId w:val="30"/>
        </w:numPr>
      </w:pPr>
      <w:r w:rsidRPr="00167CB8">
        <w:t>This section applies if, immediately before the determination is made, an enterprise agreement applies to one or more employees who will be covered by the determination.</w:t>
      </w:r>
    </w:p>
    <w:p w14:paraId="48E6411C" w14:textId="77777777" w:rsidR="00924664" w:rsidRPr="00167CB8" w:rsidRDefault="00924664" w:rsidP="00D55A73">
      <w:pPr>
        <w:pStyle w:val="Quote"/>
        <w:numPr>
          <w:ilvl w:val="0"/>
          <w:numId w:val="30"/>
        </w:numPr>
      </w:pPr>
      <w:r w:rsidRPr="00167CB8">
        <w:t>A term that is included in the determination to comply with subsection   270(3), and that deals with a particular matter, must be not less favourable to each of those employees, and any employee organisation that was a bargaining representative of any of those employees, than a term of the enterprise agreement that deals with the matter.</w:t>
      </w:r>
    </w:p>
    <w:p w14:paraId="445CB97F" w14:textId="77777777" w:rsidR="00924664" w:rsidRPr="00167CB8" w:rsidRDefault="00924664" w:rsidP="00D55A73">
      <w:pPr>
        <w:pStyle w:val="Quote"/>
        <w:numPr>
          <w:ilvl w:val="0"/>
          <w:numId w:val="30"/>
        </w:numPr>
      </w:pPr>
      <w:r w:rsidRPr="00167CB8">
        <w:t>If a term to be included in the determination is not less favourable to a class of employees to which a particular employee belongs, the FWC is entitled to assume, in the absence of evidence to the contrary, that the term is not less favourable to the employee.</w:t>
      </w:r>
    </w:p>
    <w:p w14:paraId="34450D50" w14:textId="77777777" w:rsidR="00924664" w:rsidRPr="00167CB8" w:rsidRDefault="00924664" w:rsidP="00D55A73">
      <w:pPr>
        <w:pStyle w:val="Quote"/>
        <w:numPr>
          <w:ilvl w:val="0"/>
          <w:numId w:val="30"/>
        </w:numPr>
      </w:pPr>
      <w:r w:rsidRPr="00167CB8">
        <w:t>Subsection (2) does not apply to a term that provides for a wage increase.</w:t>
      </w:r>
    </w:p>
    <w:p w14:paraId="581C772D" w14:textId="77777777" w:rsidR="00924664" w:rsidRPr="00167CB8" w:rsidRDefault="00924664" w:rsidP="00924664">
      <w:pPr>
        <w:rPr>
          <w:rFonts w:eastAsia="Aptos" w:cs="Aptos"/>
        </w:rPr>
      </w:pPr>
      <w:r w:rsidRPr="00167CB8">
        <w:rPr>
          <w:rFonts w:eastAsia="Aptos" w:cs="Aptos"/>
        </w:rPr>
        <w:lastRenderedPageBreak/>
        <w:t>The amendment relating to s 270A of the Fair Work Act is referred to as the ‘</w:t>
      </w:r>
      <w:r w:rsidRPr="00167CB8">
        <w:rPr>
          <w:rFonts w:eastAsia="Aptos" w:cs="Aptos"/>
          <w:bCs/>
        </w:rPr>
        <w:t>not less favourable amendment’</w:t>
      </w:r>
      <w:r w:rsidRPr="00167CB8">
        <w:rPr>
          <w:rFonts w:eastAsia="Aptos" w:cs="Aptos"/>
        </w:rPr>
        <w:t>.</w:t>
      </w:r>
    </w:p>
    <w:p w14:paraId="5714CD44" w14:textId="77777777" w:rsidR="00924664" w:rsidRPr="00167CB8" w:rsidRDefault="00924664" w:rsidP="00924664">
      <w:pPr>
        <w:rPr>
          <w:rFonts w:eastAsia="Aptos" w:cs="Aptos"/>
        </w:rPr>
      </w:pPr>
      <w:r w:rsidRPr="396ABCA7">
        <w:rPr>
          <w:rFonts w:eastAsia="Aptos" w:cs="Aptos"/>
        </w:rPr>
        <w:t>In addition, the Closing Loopholes No. 2 Act expanded the definition of agreed terms by adding into s 274(3) of the Fair Work Act the following (the ‘agreed terms amendment’):</w:t>
      </w:r>
      <w:r w:rsidRPr="396ABCA7">
        <w:rPr>
          <w:vertAlign w:val="superscript"/>
        </w:rPr>
        <w:footnoteReference w:id="604"/>
      </w:r>
    </w:p>
    <w:p w14:paraId="54139453" w14:textId="77777777" w:rsidR="00924664" w:rsidRPr="00B434E7" w:rsidRDefault="00924664" w:rsidP="00846DC0">
      <w:pPr>
        <w:pStyle w:val="Quote"/>
      </w:pPr>
      <w:r w:rsidRPr="00B434E7">
        <w:t>Agreed term for an intractable bargaining workplace determination</w:t>
      </w:r>
    </w:p>
    <w:p w14:paraId="0E2E2034" w14:textId="77777777" w:rsidR="00924664" w:rsidRPr="00167CB8" w:rsidRDefault="00924664" w:rsidP="00846DC0">
      <w:pPr>
        <w:pStyle w:val="Quote"/>
      </w:pPr>
      <w:r w:rsidRPr="00167CB8">
        <w:t>…</w:t>
      </w:r>
    </w:p>
    <w:p w14:paraId="1A961B86" w14:textId="77777777" w:rsidR="00924664" w:rsidRPr="00167CB8" w:rsidRDefault="00924664" w:rsidP="00846DC0">
      <w:pPr>
        <w:pStyle w:val="Quote"/>
      </w:pPr>
      <w:r w:rsidRPr="00167CB8">
        <w:t>(3)</w:t>
      </w:r>
      <w:r w:rsidRPr="00167CB8">
        <w:tab/>
        <w:t>An </w:t>
      </w:r>
      <w:r w:rsidRPr="00167CB8">
        <w:rPr>
          <w:b/>
        </w:rPr>
        <w:t>agreed term</w:t>
      </w:r>
      <w:r w:rsidRPr="00167CB8">
        <w:t> for an intractable bargaining workplace determination is:</w:t>
      </w:r>
    </w:p>
    <w:p w14:paraId="0BAA92BD" w14:textId="77777777" w:rsidR="00924664" w:rsidRPr="00167CB8" w:rsidRDefault="00924664" w:rsidP="00F50317">
      <w:pPr>
        <w:pStyle w:val="Quote"/>
        <w:ind w:left="2160"/>
      </w:pPr>
      <w:r w:rsidRPr="00167CB8">
        <w:t>(a)</w:t>
      </w:r>
      <w:r w:rsidRPr="00167CB8">
        <w:tab/>
        <w:t>a term that the bargaining representatives for the proposed enterprise agreement concerned had agreed, at the time the application for the intractable bargaining declaration concerned was made, should be included in the agreement; and</w:t>
      </w:r>
    </w:p>
    <w:p w14:paraId="29CC12D6" w14:textId="77777777" w:rsidR="00924664" w:rsidRPr="00167CB8" w:rsidRDefault="00924664" w:rsidP="00F50317">
      <w:pPr>
        <w:pStyle w:val="Quote"/>
        <w:ind w:left="2160"/>
      </w:pPr>
      <w:r w:rsidRPr="00167CB8">
        <w:t>(b)</w:t>
      </w:r>
      <w:r w:rsidRPr="00167CB8">
        <w:tab/>
        <w:t>any other term, in addition to a term mentioned in paragraph (a), that the bargaining representatives had agreed, at the time the declaration was made, should be included in the agreement; and</w:t>
      </w:r>
    </w:p>
    <w:p w14:paraId="14FB5BBC" w14:textId="77777777" w:rsidR="00924664" w:rsidRPr="00167CB8" w:rsidRDefault="00924664" w:rsidP="00F50317">
      <w:pPr>
        <w:pStyle w:val="Quote"/>
        <w:ind w:left="2160"/>
      </w:pPr>
      <w:r w:rsidRPr="00167CB8">
        <w:t>(c)</w:t>
      </w:r>
      <w:r w:rsidRPr="00167CB8">
        <w:tab/>
        <w:t>if there is a post</w:t>
      </w:r>
      <w:r w:rsidRPr="00167CB8">
        <w:noBreakHyphen/>
        <w:t xml:space="preserve">declaration negotiating period for the declaration </w:t>
      </w:r>
      <w:r w:rsidRPr="00167CB8">
        <w:rPr>
          <w:rFonts w:ascii="Symbol" w:eastAsia="Symbol" w:hAnsi="Symbol" w:cs="Symbol"/>
        </w:rPr>
        <w:t>-</w:t>
      </w:r>
      <w:r w:rsidRPr="00167CB8">
        <w:t xml:space="preserve"> any other term, in addition to a term mentioned in paragraph (a) or (b), that the bargaining representatives had agreed, at the end of the period, should be included in the agreement.</w:t>
      </w:r>
    </w:p>
    <w:p w14:paraId="09FAF36C" w14:textId="1C128B82" w:rsidR="00924664" w:rsidRPr="00167CB8" w:rsidRDefault="00924664" w:rsidP="00846DC0">
      <w:pPr>
        <w:pStyle w:val="Quote"/>
      </w:pPr>
      <w:r w:rsidRPr="00167CB8">
        <w:t>Note:</w:t>
      </w:r>
      <w:r w:rsidR="00EC3517">
        <w:tab/>
      </w:r>
      <w:r w:rsidRPr="00167CB8">
        <w:t>The determination must include an agreed term (see subsection 270(2)).</w:t>
      </w:r>
    </w:p>
    <w:p w14:paraId="7B592B94" w14:textId="77777777" w:rsidR="00924664" w:rsidRPr="00167CB8" w:rsidRDefault="00924664" w:rsidP="00924664">
      <w:pPr>
        <w:rPr>
          <w:rFonts w:eastAsia="Aptos" w:cs="Aptos"/>
        </w:rPr>
      </w:pPr>
      <w:r w:rsidRPr="396ABCA7">
        <w:rPr>
          <w:rFonts w:eastAsia="Aptos" w:cs="Aptos"/>
        </w:rPr>
        <w:t>The Closing Loopholes No. 2 Act changes commenced operation on 27 February 2024.</w:t>
      </w:r>
    </w:p>
    <w:p w14:paraId="26E9D98F" w14:textId="77777777" w:rsidR="00924664" w:rsidRPr="00971AED" w:rsidRDefault="00924664" w:rsidP="00EC3517">
      <w:pPr>
        <w:pStyle w:val="Heading5"/>
      </w:pPr>
      <w:r w:rsidRPr="00971AED">
        <w:t>14.1.2 Intent of Secure Jobs, Better Pay amendments</w:t>
      </w:r>
    </w:p>
    <w:p w14:paraId="26EE1B9B" w14:textId="689F3938" w:rsidR="0011475D" w:rsidRDefault="00924664" w:rsidP="00924664">
      <w:pPr>
        <w:rPr>
          <w:rFonts w:eastAsia="Aptos" w:cs="Aptos"/>
        </w:rPr>
      </w:pPr>
      <w:r w:rsidRPr="396ABCA7">
        <w:rPr>
          <w:rFonts w:eastAsia="Aptos" w:cs="Aptos"/>
        </w:rPr>
        <w:t xml:space="preserve">The intent of the </w:t>
      </w:r>
      <w:r w:rsidR="00CF0998">
        <w:rPr>
          <w:rFonts w:eastAsia="Aptos" w:cs="Aptos"/>
        </w:rPr>
        <w:t xml:space="preserve">Secure Jobs, Better Pay amendments </w:t>
      </w:r>
      <w:r w:rsidRPr="396ABCA7">
        <w:rPr>
          <w:rFonts w:eastAsia="Aptos" w:cs="Aptos"/>
        </w:rPr>
        <w:t>was said to ‘support the Jobs and Skills Summit outcome of giving the FWC the capacity to proactively help workers and businesses reach agreements that benefit them’.</w:t>
      </w:r>
      <w:r w:rsidRPr="396ABCA7">
        <w:rPr>
          <w:rFonts w:eastAsia="Aptos" w:cs="Aptos"/>
          <w:vertAlign w:val="superscript"/>
        </w:rPr>
        <w:footnoteReference w:id="605"/>
      </w:r>
    </w:p>
    <w:p w14:paraId="22F9F119" w14:textId="17049C55" w:rsidR="00924664" w:rsidRPr="00167CB8" w:rsidRDefault="00924664" w:rsidP="00924664">
      <w:pPr>
        <w:rPr>
          <w:rFonts w:eastAsia="Aptos" w:cs="Aptos"/>
          <w:b/>
          <w:bCs/>
        </w:rPr>
      </w:pPr>
      <w:r w:rsidRPr="396ABCA7">
        <w:rPr>
          <w:rFonts w:eastAsia="Aptos" w:cs="Aptos"/>
        </w:rPr>
        <w:t>The then Minister stated in the second reading speech for the Secure Jobs, Better Pay Bill that the amendments included a stronger role for the FWC and that:</w:t>
      </w:r>
      <w:r w:rsidRPr="396ABCA7">
        <w:rPr>
          <w:vertAlign w:val="superscript"/>
        </w:rPr>
        <w:footnoteReference w:id="606"/>
      </w:r>
    </w:p>
    <w:p w14:paraId="69A3088C" w14:textId="77777777" w:rsidR="00924664" w:rsidRPr="00167CB8" w:rsidRDefault="00924664" w:rsidP="00846DC0">
      <w:pPr>
        <w:pStyle w:val="Quote"/>
      </w:pPr>
      <w:r w:rsidRPr="00167CB8">
        <w:t>The bill will allow the Fair Work Commission to resolve intractable disputes through arbitration, where there is no reasonable prospect of agreement being reached.</w:t>
      </w:r>
    </w:p>
    <w:p w14:paraId="2E8BD31A" w14:textId="3AC5B54B" w:rsidR="00924664" w:rsidRPr="00167CB8" w:rsidRDefault="00924664" w:rsidP="00924664">
      <w:pPr>
        <w:rPr>
          <w:rFonts w:eastAsia="Aptos" w:cs="Aptos"/>
        </w:rPr>
      </w:pPr>
      <w:r w:rsidRPr="00167CB8">
        <w:rPr>
          <w:rFonts w:eastAsia="Aptos" w:cs="Aptos"/>
        </w:rPr>
        <w:lastRenderedPageBreak/>
        <w:t>The intent of these amendments was ‘to provide a strong incentive for good-faith negotiations, reduce the time for enterprise agreements to be finalised and allow for quicker resolution of intractable disputes’</w:t>
      </w:r>
      <w:r w:rsidR="00CF0998">
        <w:rPr>
          <w:rFonts w:eastAsia="Aptos" w:cs="Aptos"/>
        </w:rPr>
        <w:t>.</w:t>
      </w:r>
      <w:r w:rsidRPr="00167CB8">
        <w:rPr>
          <w:rStyle w:val="FootnoteReference"/>
          <w:rFonts w:eastAsia="Aptos" w:cs="Aptos"/>
        </w:rPr>
        <w:footnoteReference w:id="607"/>
      </w:r>
      <w:r w:rsidRPr="00167CB8">
        <w:rPr>
          <w:rFonts w:eastAsia="Aptos" w:cs="Aptos"/>
        </w:rPr>
        <w:t xml:space="preserve"> Ultimately, the amendments were intended to </w:t>
      </w:r>
      <w:r w:rsidR="00CF0998">
        <w:rPr>
          <w:rFonts w:eastAsia="Aptos" w:cs="Aptos"/>
        </w:rPr>
        <w:t>‘</w:t>
      </w:r>
      <w:r w:rsidRPr="00167CB8">
        <w:rPr>
          <w:rFonts w:eastAsia="Aptos" w:cs="Aptos"/>
        </w:rPr>
        <w:t>get wages moving … not to find an opportunity for certain employers … to game the system and find ways to get conditions to go backwards’.</w:t>
      </w:r>
      <w:r w:rsidRPr="00167CB8">
        <w:rPr>
          <w:rStyle w:val="FootnoteReference"/>
          <w:rFonts w:eastAsia="Aptos" w:cs="Aptos"/>
        </w:rPr>
        <w:footnoteReference w:id="608"/>
      </w:r>
    </w:p>
    <w:p w14:paraId="51DCDC6A" w14:textId="77777777" w:rsidR="0011475D" w:rsidRDefault="00924664" w:rsidP="00924664">
      <w:pPr>
        <w:rPr>
          <w:rFonts w:eastAsia="Aptos" w:cs="Aptos"/>
        </w:rPr>
      </w:pPr>
      <w:r w:rsidRPr="00167CB8">
        <w:rPr>
          <w:rFonts w:eastAsia="Aptos" w:cs="Aptos"/>
        </w:rPr>
        <w:t>These amendments included s 274(3) of the Fair Work Act, which sought to make sure terms that were agreed prior to the application for an IBD could not be ‘unagreed’.</w:t>
      </w:r>
    </w:p>
    <w:p w14:paraId="34B9A84D" w14:textId="5BE8F680" w:rsidR="0011475D" w:rsidRDefault="00924664" w:rsidP="00924664">
      <w:pPr>
        <w:rPr>
          <w:rFonts w:eastAsia="Aptos" w:cs="Aptos"/>
        </w:rPr>
      </w:pPr>
      <w:r w:rsidRPr="00167CB8">
        <w:rPr>
          <w:rFonts w:eastAsia="Aptos" w:cs="Aptos"/>
        </w:rPr>
        <w:t>The ‘not less favourable’ amendment was intended to address an ‘unforeseen consequence’ of the Secure Jobs, Better Pay amendments</w:t>
      </w:r>
      <w:r w:rsidRPr="00167CB8">
        <w:rPr>
          <w:rStyle w:val="FootnoteReference"/>
          <w:rFonts w:eastAsia="Aptos" w:cs="Aptos"/>
        </w:rPr>
        <w:footnoteReference w:id="609"/>
      </w:r>
      <w:r w:rsidRPr="00167CB8">
        <w:rPr>
          <w:rFonts w:eastAsia="Aptos" w:cs="Aptos"/>
        </w:rPr>
        <w:t xml:space="preserve"> </w:t>
      </w:r>
      <w:r w:rsidRPr="00167CB8">
        <w:rPr>
          <w:rFonts w:ascii="Symbol" w:eastAsia="Symbol" w:hAnsi="Symbol" w:cs="Symbol"/>
        </w:rPr>
        <w:t>-</w:t>
      </w:r>
      <w:r w:rsidRPr="00167CB8">
        <w:rPr>
          <w:rFonts w:eastAsia="Aptos" w:cs="Aptos"/>
        </w:rPr>
        <w:t xml:space="preserve"> in particular, that the provision incentivised employers to </w:t>
      </w:r>
      <w:r w:rsidR="00CF0998">
        <w:rPr>
          <w:rFonts w:eastAsia="Aptos" w:cs="Aptos"/>
        </w:rPr>
        <w:t>‘</w:t>
      </w:r>
      <w:r w:rsidRPr="00167CB8">
        <w:rPr>
          <w:rFonts w:eastAsia="Aptos" w:cs="Aptos"/>
        </w:rPr>
        <w:t>wait out negotiating periods … to get the claims arbitrated and get the same result via a backdoor way</w:t>
      </w:r>
      <w:r w:rsidR="00CF0998">
        <w:rPr>
          <w:rFonts w:eastAsia="Aptos" w:cs="Aptos"/>
        </w:rPr>
        <w:t>’</w:t>
      </w:r>
      <w:r w:rsidRPr="00167CB8">
        <w:rPr>
          <w:rFonts w:eastAsia="Aptos" w:cs="Aptos"/>
        </w:rPr>
        <w:t xml:space="preserve"> and by purportedly closing ‘the loophole … that, if you end up in arbitration, you can</w:t>
      </w:r>
      <w:r w:rsidR="00CF0998">
        <w:rPr>
          <w:rFonts w:eastAsia="Aptos" w:cs="Aptos"/>
        </w:rPr>
        <w:t>’</w:t>
      </w:r>
      <w:r w:rsidRPr="00167CB8">
        <w:rPr>
          <w:rFonts w:eastAsia="Aptos" w:cs="Aptos"/>
        </w:rPr>
        <w:t>t go backwards’.</w:t>
      </w:r>
      <w:r w:rsidRPr="00167CB8">
        <w:rPr>
          <w:rStyle w:val="FootnoteReference"/>
          <w:rFonts w:eastAsia="Aptos" w:cs="Aptos"/>
        </w:rPr>
        <w:footnoteReference w:id="610"/>
      </w:r>
    </w:p>
    <w:p w14:paraId="2FFE6FBA" w14:textId="2100BF5A" w:rsidR="00924664" w:rsidRPr="007D6814" w:rsidRDefault="00924664" w:rsidP="00EC3517">
      <w:pPr>
        <w:pStyle w:val="Heading4"/>
      </w:pPr>
      <w:bookmarkStart w:id="259" w:name="_Toc189260244"/>
      <w:bookmarkStart w:id="260" w:name="_Toc189393560"/>
      <w:r w:rsidRPr="007D6814">
        <w:t>14.2 Impact and issues</w:t>
      </w:r>
      <w:bookmarkEnd w:id="259"/>
      <w:bookmarkEnd w:id="260"/>
    </w:p>
    <w:p w14:paraId="691B5604" w14:textId="77777777" w:rsidR="0011475D" w:rsidRDefault="00924664" w:rsidP="00924664">
      <w:r w:rsidRPr="396ABCA7">
        <w:t>The IBD provisions and how they operate have been subject to considerable attention since their introduction, including concerns they have been used as a bargaining tactic and that, with their use, bargained terms and conditions that had previously been agreed were being ‘unagreed’.</w:t>
      </w:r>
    </w:p>
    <w:p w14:paraId="57673FBF" w14:textId="7634F802" w:rsidR="00924664" w:rsidRPr="007D6814" w:rsidRDefault="00924664" w:rsidP="00EC3517">
      <w:pPr>
        <w:pStyle w:val="Heading5"/>
      </w:pPr>
      <w:r w:rsidRPr="007D6814">
        <w:t>14.2.1 Quantitative evidence</w:t>
      </w:r>
    </w:p>
    <w:p w14:paraId="2F0553E9" w14:textId="77777777" w:rsidR="00924664" w:rsidRPr="00167CB8" w:rsidRDefault="00924664" w:rsidP="00924664">
      <w:r w:rsidRPr="396ABCA7">
        <w:t xml:space="preserve">The FWC </w:t>
      </w:r>
      <w:r w:rsidRPr="396ABCA7">
        <w:rPr>
          <w:i/>
          <w:iCs/>
        </w:rPr>
        <w:t>Annual Report 2022</w:t>
      </w:r>
      <w:r w:rsidRPr="396ABCA7">
        <w:rPr>
          <w:rFonts w:ascii="Symbol" w:eastAsia="Symbol" w:hAnsi="Symbol" w:cs="Symbol"/>
          <w:i/>
          <w:iCs/>
        </w:rPr>
        <w:t>-</w:t>
      </w:r>
      <w:r w:rsidRPr="396ABCA7">
        <w:rPr>
          <w:i/>
          <w:iCs/>
        </w:rPr>
        <w:t>23</w:t>
      </w:r>
      <w:r w:rsidRPr="396ABCA7">
        <w:t xml:space="preserve"> stated that the FWC received one application for an IBD, which was later discontinued.</w:t>
      </w:r>
      <w:r w:rsidRPr="396ABCA7">
        <w:rPr>
          <w:rStyle w:val="FootnoteReference"/>
        </w:rPr>
        <w:footnoteReference w:id="611"/>
      </w:r>
    </w:p>
    <w:p w14:paraId="56DEDE8C" w14:textId="3D7756E4" w:rsidR="00924664" w:rsidRPr="005432DC" w:rsidRDefault="00924664" w:rsidP="00924664">
      <w:bookmarkStart w:id="261" w:name="OLE_LINK1"/>
      <w:r>
        <w:t>From the commencement of the amendments on 6 June 2023 to</w:t>
      </w:r>
      <w:r w:rsidRPr="005432DC">
        <w:t xml:space="preserve"> 21 February 2025, the FWC had issued </w:t>
      </w:r>
      <w:r w:rsidR="00CF0998">
        <w:t>nine</w:t>
      </w:r>
      <w:r w:rsidRPr="005432DC">
        <w:t xml:space="preserve"> IBDs </w:t>
      </w:r>
      <w:r w:rsidR="00E31F12" w:rsidRPr="00EC3517">
        <w:t>under s 234</w:t>
      </w:r>
      <w:r w:rsidR="00E31F12" w:rsidRPr="005432DC">
        <w:t xml:space="preserve"> </w:t>
      </w:r>
      <w:r w:rsidRPr="005432DC">
        <w:t xml:space="preserve">and </w:t>
      </w:r>
      <w:r w:rsidR="008F7B9A">
        <w:t>two</w:t>
      </w:r>
      <w:r w:rsidRPr="005432DC">
        <w:t xml:space="preserve"> IBWDs</w:t>
      </w:r>
      <w:r w:rsidR="009154BD">
        <w:t xml:space="preserve"> </w:t>
      </w:r>
      <w:r w:rsidR="009154BD" w:rsidRPr="00EC3517">
        <w:t>under s 269</w:t>
      </w:r>
      <w:r>
        <w:t>.</w:t>
      </w:r>
      <w:r w:rsidR="009154BD">
        <w:t xml:space="preserve"> </w:t>
      </w:r>
      <w:r w:rsidRPr="007D6814">
        <w:t>Table 1</w:t>
      </w:r>
      <w:r w:rsidR="00EC3517" w:rsidRPr="00EC3517">
        <w:t>3</w:t>
      </w:r>
      <w:r w:rsidRPr="00EC3517">
        <w:t xml:space="preserve"> contains a list of all </w:t>
      </w:r>
      <w:r w:rsidR="00161F41">
        <w:t xml:space="preserve">nine of these </w:t>
      </w:r>
      <w:r w:rsidRPr="00EC3517">
        <w:t>intractable bargaining declarations</w:t>
      </w:r>
      <w:r w:rsidRPr="005432DC">
        <w:t>.</w:t>
      </w:r>
    </w:p>
    <w:p w14:paraId="3F0C9260" w14:textId="77777777" w:rsidR="00924664" w:rsidRDefault="00924664" w:rsidP="00924664">
      <w:pPr>
        <w:spacing w:after="160"/>
        <w:rPr>
          <w:rFonts w:cs="Calibri"/>
          <w:b/>
          <w:bCs/>
          <w:lang w:val="en-US"/>
        </w:rPr>
      </w:pPr>
      <w:r>
        <w:br w:type="page"/>
      </w:r>
    </w:p>
    <w:p w14:paraId="60584DD5" w14:textId="6A61AC2C" w:rsidR="00924664" w:rsidRPr="00167CB8" w:rsidRDefault="00EC3517" w:rsidP="007F380D">
      <w:pPr>
        <w:pStyle w:val="Caption"/>
      </w:pPr>
      <w:bookmarkStart w:id="262" w:name="_Toc194251437"/>
      <w:r>
        <w:lastRenderedPageBreak/>
        <w:t xml:space="preserve">Table </w:t>
      </w:r>
      <w:r>
        <w:fldChar w:fldCharType="begin"/>
      </w:r>
      <w:r>
        <w:instrText xml:space="preserve"> SEQ Table \* ARABIC </w:instrText>
      </w:r>
      <w:r>
        <w:fldChar w:fldCharType="separate"/>
      </w:r>
      <w:r w:rsidR="00DE5F5E">
        <w:rPr>
          <w:noProof/>
        </w:rPr>
        <w:t>13</w:t>
      </w:r>
      <w:r>
        <w:fldChar w:fldCharType="end"/>
      </w:r>
      <w:r>
        <w:t xml:space="preserve">: </w:t>
      </w:r>
      <w:r w:rsidR="00924664" w:rsidRPr="005432DC">
        <w:t>Intractable bargaining declarations made</w:t>
      </w:r>
      <w:r w:rsidR="00A94A68">
        <w:t>,</w:t>
      </w:r>
      <w:r w:rsidR="00924664" w:rsidRPr="005432DC">
        <w:t xml:space="preserve"> as of 21 February 2025</w:t>
      </w:r>
      <w:bookmarkEnd w:id="262"/>
    </w:p>
    <w:tbl>
      <w:tblPr>
        <w:tblW w:w="9066" w:type="dxa"/>
        <w:tblBorders>
          <w:top w:val="single" w:sz="4" w:space="0" w:color="161716" w:themeColor="accent4" w:themeShade="1A"/>
          <w:left w:val="single" w:sz="4" w:space="0" w:color="161716" w:themeColor="accent4" w:themeShade="1A"/>
          <w:bottom w:val="single" w:sz="4" w:space="0" w:color="161716" w:themeColor="accent4" w:themeShade="1A"/>
          <w:right w:val="single" w:sz="4" w:space="0" w:color="161716" w:themeColor="accent4" w:themeShade="1A"/>
          <w:insideH w:val="single" w:sz="4" w:space="0" w:color="161716" w:themeColor="accent4" w:themeShade="1A"/>
          <w:insideV w:val="single" w:sz="4" w:space="0" w:color="161716" w:themeColor="accent4" w:themeShade="1A"/>
        </w:tblBorders>
        <w:tblCellMar>
          <w:left w:w="0" w:type="dxa"/>
          <w:right w:w="0" w:type="dxa"/>
        </w:tblCellMar>
        <w:tblLook w:val="04A0" w:firstRow="1" w:lastRow="0" w:firstColumn="1" w:lastColumn="0" w:noHBand="0" w:noVBand="1"/>
      </w:tblPr>
      <w:tblGrid>
        <w:gridCol w:w="1550"/>
        <w:gridCol w:w="2957"/>
        <w:gridCol w:w="1282"/>
        <w:gridCol w:w="3277"/>
      </w:tblGrid>
      <w:tr w:rsidR="00924664" w:rsidRPr="008F7B9A" w14:paraId="4858A489" w14:textId="77777777" w:rsidTr="00444B80">
        <w:trPr>
          <w:trHeight w:val="744"/>
          <w:tblHeader/>
        </w:trPr>
        <w:tc>
          <w:tcPr>
            <w:tcW w:w="1550" w:type="dxa"/>
            <w:tcMar>
              <w:top w:w="80" w:type="dxa"/>
              <w:left w:w="80" w:type="dxa"/>
              <w:bottom w:w="80" w:type="dxa"/>
              <w:right w:w="80" w:type="dxa"/>
            </w:tcMar>
            <w:hideMark/>
          </w:tcPr>
          <w:p w14:paraId="36AEBFDE" w14:textId="77777777" w:rsidR="00924664" w:rsidRPr="007D6814" w:rsidRDefault="00924664" w:rsidP="007D6814">
            <w:pPr>
              <w:spacing w:line="240" w:lineRule="auto"/>
              <w:rPr>
                <w:b/>
                <w:bCs/>
                <w:sz w:val="20"/>
                <w:szCs w:val="20"/>
              </w:rPr>
            </w:pPr>
            <w:r w:rsidRPr="007D6814">
              <w:rPr>
                <w:b/>
                <w:bCs/>
                <w:sz w:val="20"/>
                <w:szCs w:val="20"/>
              </w:rPr>
              <w:t>Date of decision</w:t>
            </w:r>
          </w:p>
        </w:tc>
        <w:tc>
          <w:tcPr>
            <w:tcW w:w="2957" w:type="dxa"/>
            <w:tcMar>
              <w:top w:w="80" w:type="dxa"/>
              <w:left w:w="80" w:type="dxa"/>
              <w:bottom w:w="80" w:type="dxa"/>
              <w:right w:w="80" w:type="dxa"/>
            </w:tcMar>
            <w:hideMark/>
          </w:tcPr>
          <w:p w14:paraId="6903792B" w14:textId="77777777" w:rsidR="00924664" w:rsidRPr="007D6814" w:rsidRDefault="00924664" w:rsidP="007D6814">
            <w:pPr>
              <w:spacing w:line="240" w:lineRule="auto"/>
              <w:rPr>
                <w:b/>
                <w:bCs/>
                <w:sz w:val="20"/>
                <w:szCs w:val="20"/>
              </w:rPr>
            </w:pPr>
            <w:r w:rsidRPr="007D6814">
              <w:rPr>
                <w:b/>
                <w:bCs/>
                <w:sz w:val="20"/>
                <w:szCs w:val="20"/>
              </w:rPr>
              <w:t>Decision</w:t>
            </w:r>
          </w:p>
        </w:tc>
        <w:tc>
          <w:tcPr>
            <w:tcW w:w="1282" w:type="dxa"/>
            <w:tcMar>
              <w:top w:w="80" w:type="dxa"/>
              <w:left w:w="80" w:type="dxa"/>
              <w:bottom w:w="80" w:type="dxa"/>
              <w:right w:w="80" w:type="dxa"/>
            </w:tcMar>
            <w:hideMark/>
          </w:tcPr>
          <w:p w14:paraId="454C5870" w14:textId="77777777" w:rsidR="00924664" w:rsidRPr="007D6814" w:rsidRDefault="00924664" w:rsidP="007D6814">
            <w:pPr>
              <w:spacing w:line="240" w:lineRule="auto"/>
              <w:rPr>
                <w:b/>
                <w:bCs/>
                <w:sz w:val="20"/>
                <w:szCs w:val="20"/>
              </w:rPr>
            </w:pPr>
            <w:r w:rsidRPr="007D6814">
              <w:rPr>
                <w:b/>
                <w:bCs/>
                <w:sz w:val="20"/>
                <w:szCs w:val="20"/>
              </w:rPr>
              <w:t>Outcome</w:t>
            </w:r>
          </w:p>
        </w:tc>
        <w:tc>
          <w:tcPr>
            <w:tcW w:w="3277" w:type="dxa"/>
            <w:tcMar>
              <w:top w:w="80" w:type="dxa"/>
              <w:left w:w="80" w:type="dxa"/>
              <w:bottom w:w="80" w:type="dxa"/>
              <w:right w:w="80" w:type="dxa"/>
            </w:tcMar>
            <w:hideMark/>
          </w:tcPr>
          <w:p w14:paraId="1CE99728" w14:textId="77777777" w:rsidR="00924664" w:rsidRPr="007D6814" w:rsidRDefault="00924664" w:rsidP="007D6814">
            <w:pPr>
              <w:spacing w:line="240" w:lineRule="auto"/>
              <w:rPr>
                <w:b/>
                <w:bCs/>
                <w:sz w:val="20"/>
                <w:szCs w:val="20"/>
              </w:rPr>
            </w:pPr>
            <w:r w:rsidRPr="007D6814">
              <w:rPr>
                <w:b/>
                <w:bCs/>
                <w:sz w:val="20"/>
                <w:szCs w:val="20"/>
              </w:rPr>
              <w:t>Subject companies</w:t>
            </w:r>
          </w:p>
        </w:tc>
      </w:tr>
      <w:tr w:rsidR="00924664" w:rsidRPr="00167CB8" w14:paraId="05AE087C" w14:textId="77777777" w:rsidTr="00444B80">
        <w:trPr>
          <w:trHeight w:val="1082"/>
        </w:trPr>
        <w:tc>
          <w:tcPr>
            <w:tcW w:w="1550" w:type="dxa"/>
            <w:tcMar>
              <w:top w:w="80" w:type="dxa"/>
              <w:left w:w="80" w:type="dxa"/>
              <w:bottom w:w="80" w:type="dxa"/>
              <w:right w:w="80" w:type="dxa"/>
            </w:tcMar>
            <w:hideMark/>
          </w:tcPr>
          <w:p w14:paraId="0BACEECB" w14:textId="77777777" w:rsidR="00924664" w:rsidRPr="007B6AF7" w:rsidRDefault="00924664" w:rsidP="007D6814">
            <w:pPr>
              <w:spacing w:line="240" w:lineRule="auto"/>
              <w:rPr>
                <w:sz w:val="20"/>
                <w:szCs w:val="20"/>
              </w:rPr>
            </w:pPr>
            <w:r w:rsidRPr="007B6AF7">
              <w:rPr>
                <w:sz w:val="20"/>
                <w:szCs w:val="20"/>
              </w:rPr>
              <w:t>24 December 2024</w:t>
            </w:r>
          </w:p>
        </w:tc>
        <w:tc>
          <w:tcPr>
            <w:tcW w:w="2957" w:type="dxa"/>
            <w:tcMar>
              <w:top w:w="80" w:type="dxa"/>
              <w:left w:w="80" w:type="dxa"/>
              <w:bottom w:w="80" w:type="dxa"/>
              <w:right w:w="80" w:type="dxa"/>
            </w:tcMar>
            <w:hideMark/>
          </w:tcPr>
          <w:p w14:paraId="04519F1E" w14:textId="77777777" w:rsidR="00924664" w:rsidRPr="007B6AF7" w:rsidRDefault="00924664" w:rsidP="007D6814">
            <w:pPr>
              <w:spacing w:line="240" w:lineRule="auto"/>
              <w:rPr>
                <w:sz w:val="20"/>
                <w:szCs w:val="20"/>
              </w:rPr>
            </w:pPr>
            <w:r w:rsidRPr="007B6AF7">
              <w:rPr>
                <w:i/>
                <w:iCs/>
                <w:sz w:val="20"/>
                <w:szCs w:val="20"/>
              </w:rPr>
              <w:t>Transdev Sydney Pty Ltd &amp; Great River City Light Rail Pty Ltd v Australian Rail, Tram and Bus Industry Union</w:t>
            </w:r>
            <w:r w:rsidRPr="007B6AF7">
              <w:rPr>
                <w:sz w:val="20"/>
                <w:szCs w:val="20"/>
              </w:rPr>
              <w:t xml:space="preserve"> [2024] FWC 3594</w:t>
            </w:r>
          </w:p>
        </w:tc>
        <w:tc>
          <w:tcPr>
            <w:tcW w:w="1282" w:type="dxa"/>
            <w:tcMar>
              <w:top w:w="80" w:type="dxa"/>
              <w:left w:w="80" w:type="dxa"/>
              <w:bottom w:w="80" w:type="dxa"/>
              <w:right w:w="80" w:type="dxa"/>
            </w:tcMar>
            <w:hideMark/>
          </w:tcPr>
          <w:p w14:paraId="4A51EC4F" w14:textId="77777777" w:rsidR="00924664" w:rsidRPr="007B6AF7" w:rsidRDefault="00924664" w:rsidP="007D6814">
            <w:pPr>
              <w:spacing w:line="240" w:lineRule="auto"/>
              <w:rPr>
                <w:sz w:val="20"/>
                <w:szCs w:val="20"/>
              </w:rPr>
            </w:pPr>
            <w:r w:rsidRPr="007B6AF7">
              <w:rPr>
                <w:sz w:val="20"/>
                <w:szCs w:val="20"/>
              </w:rPr>
              <w:t>Declaration made</w:t>
            </w:r>
          </w:p>
        </w:tc>
        <w:tc>
          <w:tcPr>
            <w:tcW w:w="3277" w:type="dxa"/>
            <w:tcMar>
              <w:top w:w="80" w:type="dxa"/>
              <w:left w:w="80" w:type="dxa"/>
              <w:bottom w:w="80" w:type="dxa"/>
              <w:right w:w="80" w:type="dxa"/>
            </w:tcMar>
            <w:hideMark/>
          </w:tcPr>
          <w:p w14:paraId="43E36532" w14:textId="77777777" w:rsidR="00924664" w:rsidRPr="007B6AF7" w:rsidRDefault="00924664" w:rsidP="007D6814">
            <w:pPr>
              <w:spacing w:line="240" w:lineRule="auto"/>
              <w:rPr>
                <w:sz w:val="20"/>
                <w:szCs w:val="20"/>
              </w:rPr>
            </w:pPr>
            <w:r w:rsidRPr="007B6AF7">
              <w:rPr>
                <w:sz w:val="20"/>
                <w:szCs w:val="20"/>
              </w:rPr>
              <w:t>Australian Rail, Tram and Bus Industry Union</w:t>
            </w:r>
          </w:p>
        </w:tc>
      </w:tr>
      <w:tr w:rsidR="00924664" w:rsidRPr="00167CB8" w14:paraId="54B257C4" w14:textId="77777777" w:rsidTr="00444B80">
        <w:trPr>
          <w:trHeight w:val="1229"/>
        </w:trPr>
        <w:tc>
          <w:tcPr>
            <w:tcW w:w="1550" w:type="dxa"/>
            <w:tcMar>
              <w:top w:w="80" w:type="dxa"/>
              <w:left w:w="80" w:type="dxa"/>
              <w:bottom w:w="80" w:type="dxa"/>
              <w:right w:w="80" w:type="dxa"/>
            </w:tcMar>
            <w:hideMark/>
          </w:tcPr>
          <w:p w14:paraId="00881DF2" w14:textId="77777777" w:rsidR="00924664" w:rsidRPr="007B6AF7" w:rsidRDefault="00924664" w:rsidP="007D6814">
            <w:pPr>
              <w:spacing w:line="240" w:lineRule="auto"/>
              <w:rPr>
                <w:sz w:val="20"/>
                <w:szCs w:val="20"/>
              </w:rPr>
            </w:pPr>
            <w:r w:rsidRPr="007B6AF7">
              <w:rPr>
                <w:sz w:val="20"/>
                <w:szCs w:val="20"/>
              </w:rPr>
              <w:t xml:space="preserve">12 November 2024 </w:t>
            </w:r>
          </w:p>
        </w:tc>
        <w:tc>
          <w:tcPr>
            <w:tcW w:w="2957" w:type="dxa"/>
            <w:tcMar>
              <w:top w:w="80" w:type="dxa"/>
              <w:left w:w="80" w:type="dxa"/>
              <w:bottom w:w="80" w:type="dxa"/>
              <w:right w:w="80" w:type="dxa"/>
            </w:tcMar>
            <w:hideMark/>
          </w:tcPr>
          <w:p w14:paraId="00F1766E" w14:textId="77777777" w:rsidR="00924664" w:rsidRPr="007B6AF7" w:rsidRDefault="00924664" w:rsidP="007D6814">
            <w:pPr>
              <w:spacing w:line="240" w:lineRule="auto"/>
              <w:rPr>
                <w:sz w:val="20"/>
                <w:szCs w:val="20"/>
              </w:rPr>
            </w:pPr>
            <w:r w:rsidRPr="007B6AF7">
              <w:rPr>
                <w:i/>
                <w:iCs/>
                <w:sz w:val="20"/>
                <w:szCs w:val="20"/>
              </w:rPr>
              <w:t>Australian Salaried Medical Officers Federation v Australian Capital Territory as represented by Canberra Health Services</w:t>
            </w:r>
            <w:r w:rsidRPr="007B6AF7">
              <w:rPr>
                <w:sz w:val="20"/>
                <w:szCs w:val="20"/>
              </w:rPr>
              <w:t xml:space="preserve"> [2024] FWC 3117</w:t>
            </w:r>
          </w:p>
        </w:tc>
        <w:tc>
          <w:tcPr>
            <w:tcW w:w="1282" w:type="dxa"/>
            <w:tcMar>
              <w:top w:w="80" w:type="dxa"/>
              <w:left w:w="80" w:type="dxa"/>
              <w:bottom w:w="80" w:type="dxa"/>
              <w:right w:w="80" w:type="dxa"/>
            </w:tcMar>
            <w:hideMark/>
          </w:tcPr>
          <w:p w14:paraId="4A58FF33" w14:textId="77777777" w:rsidR="00924664" w:rsidRPr="007B6AF7" w:rsidRDefault="00924664" w:rsidP="007D6814">
            <w:pPr>
              <w:spacing w:line="240" w:lineRule="auto"/>
              <w:rPr>
                <w:sz w:val="20"/>
                <w:szCs w:val="20"/>
              </w:rPr>
            </w:pPr>
            <w:r w:rsidRPr="007B6AF7">
              <w:rPr>
                <w:sz w:val="20"/>
                <w:szCs w:val="20"/>
              </w:rPr>
              <w:t>Declaration made</w:t>
            </w:r>
          </w:p>
        </w:tc>
        <w:tc>
          <w:tcPr>
            <w:tcW w:w="3277" w:type="dxa"/>
            <w:tcMar>
              <w:top w:w="80" w:type="dxa"/>
              <w:left w:w="80" w:type="dxa"/>
              <w:bottom w:w="80" w:type="dxa"/>
              <w:right w:w="80" w:type="dxa"/>
            </w:tcMar>
            <w:hideMark/>
          </w:tcPr>
          <w:p w14:paraId="5343376E" w14:textId="77777777" w:rsidR="00924664" w:rsidRPr="007B6AF7" w:rsidRDefault="00924664" w:rsidP="007D6814">
            <w:pPr>
              <w:spacing w:line="240" w:lineRule="auto"/>
              <w:rPr>
                <w:sz w:val="20"/>
                <w:szCs w:val="20"/>
              </w:rPr>
            </w:pPr>
            <w:r w:rsidRPr="007B6AF7">
              <w:rPr>
                <w:sz w:val="20"/>
                <w:szCs w:val="20"/>
              </w:rPr>
              <w:t xml:space="preserve">ACT Government </w:t>
            </w:r>
          </w:p>
        </w:tc>
      </w:tr>
      <w:tr w:rsidR="00924664" w:rsidRPr="00167CB8" w14:paraId="7F439D16" w14:textId="77777777" w:rsidTr="00444B80">
        <w:trPr>
          <w:trHeight w:val="55"/>
        </w:trPr>
        <w:tc>
          <w:tcPr>
            <w:tcW w:w="1550" w:type="dxa"/>
            <w:tcMar>
              <w:top w:w="80" w:type="dxa"/>
              <w:left w:w="80" w:type="dxa"/>
              <w:bottom w:w="80" w:type="dxa"/>
              <w:right w:w="80" w:type="dxa"/>
            </w:tcMar>
            <w:hideMark/>
          </w:tcPr>
          <w:p w14:paraId="58DDEE1E" w14:textId="77777777" w:rsidR="00924664" w:rsidRPr="007B6AF7" w:rsidRDefault="00924664" w:rsidP="000F7D85">
            <w:pPr>
              <w:spacing w:line="240" w:lineRule="auto"/>
              <w:rPr>
                <w:sz w:val="20"/>
                <w:szCs w:val="20"/>
              </w:rPr>
            </w:pPr>
            <w:r w:rsidRPr="007B6AF7">
              <w:rPr>
                <w:sz w:val="20"/>
                <w:szCs w:val="20"/>
              </w:rPr>
              <w:t>6 November 2024</w:t>
            </w:r>
          </w:p>
        </w:tc>
        <w:tc>
          <w:tcPr>
            <w:tcW w:w="2957" w:type="dxa"/>
            <w:tcMar>
              <w:top w:w="80" w:type="dxa"/>
              <w:left w:w="80" w:type="dxa"/>
              <w:bottom w:w="80" w:type="dxa"/>
              <w:right w:w="80" w:type="dxa"/>
            </w:tcMar>
            <w:hideMark/>
          </w:tcPr>
          <w:p w14:paraId="5504CEA9" w14:textId="77777777" w:rsidR="00924664" w:rsidRPr="007B6AF7" w:rsidRDefault="00924664" w:rsidP="000F7D85">
            <w:pPr>
              <w:spacing w:line="240" w:lineRule="auto"/>
              <w:rPr>
                <w:sz w:val="20"/>
                <w:szCs w:val="20"/>
              </w:rPr>
            </w:pPr>
            <w:r w:rsidRPr="007B6AF7">
              <w:rPr>
                <w:i/>
                <w:iCs/>
                <w:sz w:val="20"/>
                <w:szCs w:val="20"/>
              </w:rPr>
              <w:t>CEPU and Others</w:t>
            </w:r>
            <w:r w:rsidRPr="007B6AF7">
              <w:rPr>
                <w:sz w:val="20"/>
                <w:szCs w:val="20"/>
              </w:rPr>
              <w:t xml:space="preserve"> [2024] FWC 3063</w:t>
            </w:r>
          </w:p>
        </w:tc>
        <w:tc>
          <w:tcPr>
            <w:tcW w:w="1282" w:type="dxa"/>
            <w:tcMar>
              <w:top w:w="80" w:type="dxa"/>
              <w:left w:w="80" w:type="dxa"/>
              <w:bottom w:w="80" w:type="dxa"/>
              <w:right w:w="80" w:type="dxa"/>
            </w:tcMar>
            <w:hideMark/>
          </w:tcPr>
          <w:p w14:paraId="34791A76" w14:textId="77777777" w:rsidR="00924664" w:rsidRPr="007B6AF7" w:rsidRDefault="00924664" w:rsidP="000F7D85">
            <w:pPr>
              <w:spacing w:line="240" w:lineRule="auto"/>
              <w:rPr>
                <w:sz w:val="20"/>
                <w:szCs w:val="20"/>
              </w:rPr>
            </w:pPr>
            <w:r w:rsidRPr="007B6AF7">
              <w:rPr>
                <w:sz w:val="20"/>
                <w:szCs w:val="20"/>
              </w:rPr>
              <w:t>Declaration made</w:t>
            </w:r>
          </w:p>
        </w:tc>
        <w:tc>
          <w:tcPr>
            <w:tcW w:w="3277" w:type="dxa"/>
            <w:tcMar>
              <w:top w:w="80" w:type="dxa"/>
              <w:left w:w="80" w:type="dxa"/>
              <w:bottom w:w="80" w:type="dxa"/>
              <w:right w:w="80" w:type="dxa"/>
            </w:tcMar>
            <w:hideMark/>
          </w:tcPr>
          <w:p w14:paraId="24F8FE61" w14:textId="77777777" w:rsidR="00924664" w:rsidRPr="007B6AF7" w:rsidRDefault="00924664" w:rsidP="000F7D85">
            <w:pPr>
              <w:spacing w:line="240" w:lineRule="auto"/>
              <w:rPr>
                <w:sz w:val="20"/>
                <w:szCs w:val="20"/>
              </w:rPr>
            </w:pPr>
            <w:r w:rsidRPr="007B6AF7">
              <w:rPr>
                <w:sz w:val="20"/>
                <w:szCs w:val="20"/>
              </w:rPr>
              <w:t xml:space="preserve">Endeavour Energy Network Management Pty Ltd </w:t>
            </w:r>
          </w:p>
        </w:tc>
      </w:tr>
      <w:tr w:rsidR="00924664" w:rsidRPr="00167CB8" w14:paraId="2570FBE6" w14:textId="77777777" w:rsidTr="00444B80">
        <w:trPr>
          <w:trHeight w:val="55"/>
        </w:trPr>
        <w:tc>
          <w:tcPr>
            <w:tcW w:w="1550" w:type="dxa"/>
            <w:tcMar>
              <w:top w:w="80" w:type="dxa"/>
              <w:left w:w="80" w:type="dxa"/>
              <w:bottom w:w="80" w:type="dxa"/>
              <w:right w:w="80" w:type="dxa"/>
            </w:tcMar>
            <w:hideMark/>
          </w:tcPr>
          <w:p w14:paraId="5FEE4AA1" w14:textId="77777777" w:rsidR="00924664" w:rsidRPr="007B6AF7" w:rsidRDefault="00924664" w:rsidP="000F7D85">
            <w:pPr>
              <w:spacing w:line="240" w:lineRule="auto"/>
              <w:rPr>
                <w:sz w:val="20"/>
                <w:szCs w:val="20"/>
              </w:rPr>
            </w:pPr>
            <w:r w:rsidRPr="007B6AF7">
              <w:rPr>
                <w:sz w:val="20"/>
                <w:szCs w:val="20"/>
              </w:rPr>
              <w:t>14 October 2024</w:t>
            </w:r>
          </w:p>
        </w:tc>
        <w:tc>
          <w:tcPr>
            <w:tcW w:w="2957" w:type="dxa"/>
            <w:tcMar>
              <w:top w:w="80" w:type="dxa"/>
              <w:left w:w="80" w:type="dxa"/>
              <w:bottom w:w="80" w:type="dxa"/>
              <w:right w:w="80" w:type="dxa"/>
            </w:tcMar>
            <w:hideMark/>
          </w:tcPr>
          <w:p w14:paraId="53B1E338" w14:textId="42944793" w:rsidR="00924664" w:rsidRPr="007B6AF7" w:rsidRDefault="00924664" w:rsidP="000F7D85">
            <w:pPr>
              <w:spacing w:line="240" w:lineRule="auto"/>
              <w:rPr>
                <w:sz w:val="20"/>
                <w:szCs w:val="20"/>
              </w:rPr>
            </w:pPr>
            <w:r w:rsidRPr="007B6AF7">
              <w:rPr>
                <w:i/>
                <w:iCs/>
                <w:sz w:val="20"/>
                <w:szCs w:val="20"/>
              </w:rPr>
              <w:t>NSW Electricity Networks Operations Pty Limited as Trustee for NSW Electricity Networks Operations Trust T/A Transgrid v CEPU, MEU, ASU, CPSU, and Professionals Australia</w:t>
            </w:r>
            <w:r w:rsidRPr="007B6AF7">
              <w:rPr>
                <w:sz w:val="20"/>
                <w:szCs w:val="20"/>
              </w:rPr>
              <w:t xml:space="preserve"> [2024] FWC 2841</w:t>
            </w:r>
          </w:p>
        </w:tc>
        <w:tc>
          <w:tcPr>
            <w:tcW w:w="1282" w:type="dxa"/>
            <w:tcMar>
              <w:top w:w="80" w:type="dxa"/>
              <w:left w:w="80" w:type="dxa"/>
              <w:bottom w:w="80" w:type="dxa"/>
              <w:right w:w="80" w:type="dxa"/>
            </w:tcMar>
            <w:hideMark/>
          </w:tcPr>
          <w:p w14:paraId="6A66C84A" w14:textId="77777777" w:rsidR="00924664" w:rsidRPr="007B6AF7" w:rsidRDefault="00924664" w:rsidP="000F7D85">
            <w:pPr>
              <w:spacing w:line="240" w:lineRule="auto"/>
              <w:rPr>
                <w:sz w:val="20"/>
                <w:szCs w:val="20"/>
              </w:rPr>
            </w:pPr>
            <w:r w:rsidRPr="007B6AF7">
              <w:rPr>
                <w:sz w:val="20"/>
                <w:szCs w:val="20"/>
              </w:rPr>
              <w:t>Declaration made</w:t>
            </w:r>
          </w:p>
        </w:tc>
        <w:tc>
          <w:tcPr>
            <w:tcW w:w="3277" w:type="dxa"/>
            <w:tcMar>
              <w:top w:w="80" w:type="dxa"/>
              <w:left w:w="80" w:type="dxa"/>
              <w:bottom w:w="80" w:type="dxa"/>
              <w:right w:w="80" w:type="dxa"/>
            </w:tcMar>
            <w:hideMark/>
          </w:tcPr>
          <w:p w14:paraId="041E9CC6" w14:textId="77777777" w:rsidR="00924664" w:rsidRPr="007B6AF7" w:rsidRDefault="00924664" w:rsidP="000F7D85">
            <w:pPr>
              <w:spacing w:line="240" w:lineRule="auto"/>
              <w:rPr>
                <w:sz w:val="20"/>
                <w:szCs w:val="20"/>
              </w:rPr>
            </w:pPr>
            <w:r w:rsidRPr="007B6AF7">
              <w:rPr>
                <w:sz w:val="20"/>
                <w:szCs w:val="20"/>
              </w:rPr>
              <w:t>Communications, Electrical, Electronic, Energy, Information, Postal, Plumbing and Allied Services Union of Australia (CEPU), Mining and Energy Union (MEU), Australian Municipal, Administrative, Clerical and Services Union (ASU), Community and Public Sector Union (CPSU), and Professionals Australia</w:t>
            </w:r>
          </w:p>
        </w:tc>
      </w:tr>
      <w:tr w:rsidR="00924664" w:rsidRPr="00167CB8" w14:paraId="05F09E96" w14:textId="77777777" w:rsidTr="00444B80">
        <w:trPr>
          <w:trHeight w:val="55"/>
        </w:trPr>
        <w:tc>
          <w:tcPr>
            <w:tcW w:w="1550" w:type="dxa"/>
            <w:tcMar>
              <w:top w:w="80" w:type="dxa"/>
              <w:left w:w="80" w:type="dxa"/>
              <w:bottom w:w="80" w:type="dxa"/>
              <w:right w:w="80" w:type="dxa"/>
            </w:tcMar>
            <w:hideMark/>
          </w:tcPr>
          <w:p w14:paraId="7A7C6138" w14:textId="77777777" w:rsidR="00924664" w:rsidRPr="007B6AF7" w:rsidRDefault="00924664" w:rsidP="000F7D85">
            <w:pPr>
              <w:spacing w:line="240" w:lineRule="auto"/>
              <w:rPr>
                <w:sz w:val="20"/>
                <w:szCs w:val="20"/>
              </w:rPr>
            </w:pPr>
            <w:r w:rsidRPr="007B6AF7">
              <w:rPr>
                <w:sz w:val="20"/>
                <w:szCs w:val="20"/>
              </w:rPr>
              <w:t>27 September 2024</w:t>
            </w:r>
          </w:p>
        </w:tc>
        <w:tc>
          <w:tcPr>
            <w:tcW w:w="2957" w:type="dxa"/>
            <w:tcMar>
              <w:top w:w="80" w:type="dxa"/>
              <w:left w:w="80" w:type="dxa"/>
              <w:bottom w:w="80" w:type="dxa"/>
              <w:right w:w="80" w:type="dxa"/>
            </w:tcMar>
            <w:hideMark/>
          </w:tcPr>
          <w:p w14:paraId="10AAAA2B" w14:textId="4FF59D0A" w:rsidR="00924664" w:rsidRPr="007B6AF7" w:rsidRDefault="00924664" w:rsidP="000F7D85">
            <w:pPr>
              <w:spacing w:line="240" w:lineRule="auto"/>
              <w:rPr>
                <w:sz w:val="20"/>
                <w:szCs w:val="20"/>
              </w:rPr>
            </w:pPr>
            <w:r w:rsidRPr="007B6AF7">
              <w:rPr>
                <w:i/>
                <w:iCs/>
                <w:sz w:val="20"/>
                <w:szCs w:val="20"/>
              </w:rPr>
              <w:t>Terminals Pty Ltd T/A Quantem Bulk Liquid Storage &amp; Handling v United Workers’ Union</w:t>
            </w:r>
            <w:r w:rsidRPr="007B6AF7">
              <w:rPr>
                <w:sz w:val="20"/>
                <w:szCs w:val="20"/>
              </w:rPr>
              <w:t xml:space="preserve"> [2024] FWC 2707</w:t>
            </w:r>
          </w:p>
        </w:tc>
        <w:tc>
          <w:tcPr>
            <w:tcW w:w="1282" w:type="dxa"/>
            <w:tcMar>
              <w:top w:w="80" w:type="dxa"/>
              <w:left w:w="80" w:type="dxa"/>
              <w:bottom w:w="80" w:type="dxa"/>
              <w:right w:w="80" w:type="dxa"/>
            </w:tcMar>
            <w:hideMark/>
          </w:tcPr>
          <w:p w14:paraId="7E4EDACE" w14:textId="77777777" w:rsidR="00924664" w:rsidRPr="007B6AF7" w:rsidRDefault="00924664" w:rsidP="000F7D85">
            <w:pPr>
              <w:spacing w:line="240" w:lineRule="auto"/>
              <w:rPr>
                <w:sz w:val="20"/>
                <w:szCs w:val="20"/>
              </w:rPr>
            </w:pPr>
            <w:r w:rsidRPr="007B6AF7">
              <w:rPr>
                <w:sz w:val="20"/>
                <w:szCs w:val="20"/>
              </w:rPr>
              <w:t xml:space="preserve">Declaration made </w:t>
            </w:r>
          </w:p>
        </w:tc>
        <w:tc>
          <w:tcPr>
            <w:tcW w:w="3277" w:type="dxa"/>
            <w:tcMar>
              <w:top w:w="80" w:type="dxa"/>
              <w:left w:w="80" w:type="dxa"/>
              <w:bottom w:w="80" w:type="dxa"/>
              <w:right w:w="80" w:type="dxa"/>
            </w:tcMar>
            <w:hideMark/>
          </w:tcPr>
          <w:p w14:paraId="322D10F7" w14:textId="77777777" w:rsidR="00924664" w:rsidRPr="007B6AF7" w:rsidRDefault="00924664" w:rsidP="000F7D85">
            <w:pPr>
              <w:spacing w:line="240" w:lineRule="auto"/>
              <w:rPr>
                <w:sz w:val="20"/>
                <w:szCs w:val="20"/>
              </w:rPr>
            </w:pPr>
            <w:r w:rsidRPr="007B6AF7">
              <w:rPr>
                <w:sz w:val="20"/>
                <w:szCs w:val="20"/>
              </w:rPr>
              <w:t>United Workers’ Union</w:t>
            </w:r>
          </w:p>
        </w:tc>
      </w:tr>
      <w:tr w:rsidR="00924664" w:rsidRPr="00167CB8" w14:paraId="064201C6" w14:textId="77777777" w:rsidTr="00444B80">
        <w:trPr>
          <w:trHeight w:val="55"/>
        </w:trPr>
        <w:tc>
          <w:tcPr>
            <w:tcW w:w="1550" w:type="dxa"/>
            <w:tcMar>
              <w:top w:w="80" w:type="dxa"/>
              <w:left w:w="80" w:type="dxa"/>
              <w:bottom w:w="80" w:type="dxa"/>
              <w:right w:w="80" w:type="dxa"/>
            </w:tcMar>
            <w:hideMark/>
          </w:tcPr>
          <w:p w14:paraId="7B00A593" w14:textId="77777777" w:rsidR="00924664" w:rsidRPr="007B6AF7" w:rsidRDefault="00924664" w:rsidP="000F7D85">
            <w:pPr>
              <w:spacing w:line="240" w:lineRule="auto"/>
              <w:rPr>
                <w:sz w:val="20"/>
                <w:szCs w:val="20"/>
              </w:rPr>
            </w:pPr>
            <w:r w:rsidRPr="007B6AF7">
              <w:rPr>
                <w:sz w:val="20"/>
                <w:szCs w:val="20"/>
              </w:rPr>
              <w:t>15 March 2024</w:t>
            </w:r>
          </w:p>
        </w:tc>
        <w:tc>
          <w:tcPr>
            <w:tcW w:w="2957" w:type="dxa"/>
            <w:tcMar>
              <w:top w:w="80" w:type="dxa"/>
              <w:left w:w="80" w:type="dxa"/>
              <w:bottom w:w="80" w:type="dxa"/>
              <w:right w:w="80" w:type="dxa"/>
            </w:tcMar>
            <w:hideMark/>
          </w:tcPr>
          <w:p w14:paraId="62DCE45F" w14:textId="17CB54BB" w:rsidR="00924664" w:rsidRPr="007B6AF7" w:rsidRDefault="00924664" w:rsidP="000F7D85">
            <w:pPr>
              <w:spacing w:line="240" w:lineRule="auto"/>
              <w:rPr>
                <w:sz w:val="20"/>
                <w:szCs w:val="20"/>
              </w:rPr>
            </w:pPr>
            <w:r w:rsidRPr="007B6AF7">
              <w:rPr>
                <w:i/>
                <w:iCs/>
                <w:sz w:val="20"/>
                <w:szCs w:val="20"/>
              </w:rPr>
              <w:t>Network Aviation Pty Ltd as Trustee for The Network Trust T/A Network Aviation Australia v Australian Federation of Air Pilots, Australian and International Pilots Association &amp; Transport Workers’ Union of Australia</w:t>
            </w:r>
            <w:r w:rsidRPr="007B6AF7">
              <w:rPr>
                <w:sz w:val="20"/>
                <w:szCs w:val="20"/>
              </w:rPr>
              <w:t xml:space="preserve"> [2024] FWC 685</w:t>
            </w:r>
          </w:p>
        </w:tc>
        <w:tc>
          <w:tcPr>
            <w:tcW w:w="1282" w:type="dxa"/>
            <w:tcMar>
              <w:top w:w="80" w:type="dxa"/>
              <w:left w:w="80" w:type="dxa"/>
              <w:bottom w:w="80" w:type="dxa"/>
              <w:right w:w="80" w:type="dxa"/>
            </w:tcMar>
            <w:hideMark/>
          </w:tcPr>
          <w:p w14:paraId="4F3206F9" w14:textId="77777777" w:rsidR="00924664" w:rsidRPr="007B6AF7" w:rsidRDefault="00924664" w:rsidP="000F7D85">
            <w:pPr>
              <w:spacing w:line="240" w:lineRule="auto"/>
              <w:rPr>
                <w:sz w:val="20"/>
                <w:szCs w:val="20"/>
              </w:rPr>
            </w:pPr>
            <w:r w:rsidRPr="007B6AF7">
              <w:rPr>
                <w:sz w:val="20"/>
                <w:szCs w:val="20"/>
              </w:rPr>
              <w:t>Declaration made</w:t>
            </w:r>
          </w:p>
        </w:tc>
        <w:tc>
          <w:tcPr>
            <w:tcW w:w="3277" w:type="dxa"/>
            <w:tcMar>
              <w:top w:w="80" w:type="dxa"/>
              <w:left w:w="80" w:type="dxa"/>
              <w:bottom w:w="80" w:type="dxa"/>
              <w:right w:w="80" w:type="dxa"/>
            </w:tcMar>
            <w:hideMark/>
          </w:tcPr>
          <w:p w14:paraId="4D425EF7" w14:textId="77777777" w:rsidR="00924664" w:rsidRPr="007B6AF7" w:rsidRDefault="00924664" w:rsidP="000F7D85">
            <w:pPr>
              <w:spacing w:line="240" w:lineRule="auto"/>
              <w:rPr>
                <w:sz w:val="20"/>
                <w:szCs w:val="20"/>
              </w:rPr>
            </w:pPr>
            <w:r w:rsidRPr="007B6AF7">
              <w:rPr>
                <w:sz w:val="20"/>
                <w:szCs w:val="20"/>
              </w:rPr>
              <w:t>Australian Federation of Air Pilots, Australian and International Pilots Association, and Transport Workers’ Union of Australia</w:t>
            </w:r>
          </w:p>
        </w:tc>
      </w:tr>
      <w:tr w:rsidR="00924664" w:rsidRPr="00167CB8" w14:paraId="58BE356A" w14:textId="77777777" w:rsidTr="00444B80">
        <w:trPr>
          <w:trHeight w:val="55"/>
        </w:trPr>
        <w:tc>
          <w:tcPr>
            <w:tcW w:w="1550" w:type="dxa"/>
            <w:tcMar>
              <w:top w:w="80" w:type="dxa"/>
              <w:left w:w="80" w:type="dxa"/>
              <w:bottom w:w="80" w:type="dxa"/>
              <w:right w:w="80" w:type="dxa"/>
            </w:tcMar>
            <w:hideMark/>
          </w:tcPr>
          <w:p w14:paraId="2D4ACCD1" w14:textId="77777777" w:rsidR="00924664" w:rsidRPr="007B6AF7" w:rsidRDefault="00924664" w:rsidP="000F7D85">
            <w:pPr>
              <w:spacing w:line="240" w:lineRule="auto"/>
              <w:rPr>
                <w:sz w:val="20"/>
                <w:szCs w:val="20"/>
              </w:rPr>
            </w:pPr>
            <w:r w:rsidRPr="007B6AF7">
              <w:rPr>
                <w:sz w:val="20"/>
                <w:szCs w:val="20"/>
              </w:rPr>
              <w:t>7 March 2024</w:t>
            </w:r>
          </w:p>
        </w:tc>
        <w:tc>
          <w:tcPr>
            <w:tcW w:w="2957" w:type="dxa"/>
            <w:tcMar>
              <w:top w:w="80" w:type="dxa"/>
              <w:left w:w="80" w:type="dxa"/>
              <w:bottom w:w="80" w:type="dxa"/>
              <w:right w:w="80" w:type="dxa"/>
            </w:tcMar>
            <w:hideMark/>
          </w:tcPr>
          <w:p w14:paraId="29A03722" w14:textId="13674632" w:rsidR="00924664" w:rsidRPr="007B6AF7" w:rsidRDefault="00924664" w:rsidP="000F7D85">
            <w:pPr>
              <w:spacing w:line="240" w:lineRule="auto"/>
              <w:rPr>
                <w:sz w:val="20"/>
                <w:szCs w:val="20"/>
              </w:rPr>
            </w:pPr>
            <w:r w:rsidRPr="007B6AF7">
              <w:rPr>
                <w:i/>
                <w:iCs/>
                <w:sz w:val="20"/>
                <w:szCs w:val="20"/>
              </w:rPr>
              <w:t>Transport Workers’ Union of Australia v Cleanaway Operations Pty Ltd T/A Cleanaway Operations Pty Ltd</w:t>
            </w:r>
            <w:r w:rsidRPr="007B6AF7">
              <w:rPr>
                <w:sz w:val="20"/>
                <w:szCs w:val="20"/>
              </w:rPr>
              <w:t xml:space="preserve"> (Unanderra) [2024] FWCFB 127</w:t>
            </w:r>
          </w:p>
        </w:tc>
        <w:tc>
          <w:tcPr>
            <w:tcW w:w="1282" w:type="dxa"/>
            <w:tcMar>
              <w:top w:w="80" w:type="dxa"/>
              <w:left w:w="80" w:type="dxa"/>
              <w:bottom w:w="80" w:type="dxa"/>
              <w:right w:w="80" w:type="dxa"/>
            </w:tcMar>
            <w:hideMark/>
          </w:tcPr>
          <w:p w14:paraId="026FD897" w14:textId="77777777" w:rsidR="00924664" w:rsidRPr="007B6AF7" w:rsidRDefault="00924664" w:rsidP="000F7D85">
            <w:pPr>
              <w:spacing w:line="240" w:lineRule="auto"/>
              <w:rPr>
                <w:sz w:val="20"/>
                <w:szCs w:val="20"/>
              </w:rPr>
            </w:pPr>
            <w:r w:rsidRPr="007B6AF7">
              <w:rPr>
                <w:sz w:val="20"/>
                <w:szCs w:val="20"/>
              </w:rPr>
              <w:t>Declaration made</w:t>
            </w:r>
          </w:p>
        </w:tc>
        <w:tc>
          <w:tcPr>
            <w:tcW w:w="3277" w:type="dxa"/>
            <w:tcMar>
              <w:top w:w="80" w:type="dxa"/>
              <w:left w:w="80" w:type="dxa"/>
              <w:bottom w:w="80" w:type="dxa"/>
              <w:right w:w="80" w:type="dxa"/>
            </w:tcMar>
            <w:hideMark/>
          </w:tcPr>
          <w:p w14:paraId="17D4C60A" w14:textId="77777777" w:rsidR="00924664" w:rsidRPr="007B6AF7" w:rsidRDefault="00924664" w:rsidP="000F7D85">
            <w:pPr>
              <w:spacing w:line="240" w:lineRule="auto"/>
              <w:rPr>
                <w:sz w:val="20"/>
                <w:szCs w:val="20"/>
              </w:rPr>
            </w:pPr>
            <w:r w:rsidRPr="007B6AF7">
              <w:rPr>
                <w:sz w:val="20"/>
                <w:szCs w:val="20"/>
              </w:rPr>
              <w:t>Cleanaway Operations Pty Ltd (Unanderra)</w:t>
            </w:r>
          </w:p>
        </w:tc>
      </w:tr>
      <w:tr w:rsidR="00924664" w:rsidRPr="00167CB8" w14:paraId="59DC45ED" w14:textId="77777777" w:rsidTr="00444B80">
        <w:trPr>
          <w:trHeight w:val="55"/>
        </w:trPr>
        <w:tc>
          <w:tcPr>
            <w:tcW w:w="1550" w:type="dxa"/>
            <w:tcMar>
              <w:top w:w="80" w:type="dxa"/>
              <w:left w:w="80" w:type="dxa"/>
              <w:bottom w:w="80" w:type="dxa"/>
              <w:right w:w="80" w:type="dxa"/>
            </w:tcMar>
            <w:hideMark/>
          </w:tcPr>
          <w:p w14:paraId="141414CD" w14:textId="77777777" w:rsidR="00924664" w:rsidRPr="007B6AF7" w:rsidRDefault="00924664" w:rsidP="000F7D85">
            <w:pPr>
              <w:spacing w:line="240" w:lineRule="auto"/>
              <w:rPr>
                <w:sz w:val="20"/>
                <w:szCs w:val="20"/>
              </w:rPr>
            </w:pPr>
            <w:r w:rsidRPr="007B6AF7">
              <w:rPr>
                <w:sz w:val="20"/>
                <w:szCs w:val="20"/>
              </w:rPr>
              <w:t>12 January 2024</w:t>
            </w:r>
          </w:p>
        </w:tc>
        <w:tc>
          <w:tcPr>
            <w:tcW w:w="2957" w:type="dxa"/>
            <w:tcMar>
              <w:top w:w="80" w:type="dxa"/>
              <w:left w:w="80" w:type="dxa"/>
              <w:bottom w:w="80" w:type="dxa"/>
              <w:right w:w="80" w:type="dxa"/>
            </w:tcMar>
            <w:hideMark/>
          </w:tcPr>
          <w:p w14:paraId="616EC886" w14:textId="77777777" w:rsidR="00924664" w:rsidRPr="007B6AF7" w:rsidRDefault="00924664" w:rsidP="000F7D85">
            <w:pPr>
              <w:spacing w:line="240" w:lineRule="auto"/>
              <w:rPr>
                <w:sz w:val="20"/>
                <w:szCs w:val="20"/>
              </w:rPr>
            </w:pPr>
            <w:r w:rsidRPr="007B6AF7">
              <w:rPr>
                <w:i/>
                <w:iCs/>
                <w:sz w:val="20"/>
                <w:szCs w:val="20"/>
              </w:rPr>
              <w:t xml:space="preserve">Transport Workers’ Union of Australia v Cleanaway </w:t>
            </w:r>
            <w:r w:rsidRPr="007B6AF7">
              <w:rPr>
                <w:i/>
                <w:iCs/>
                <w:sz w:val="20"/>
                <w:szCs w:val="20"/>
              </w:rPr>
              <w:lastRenderedPageBreak/>
              <w:t>Operations Pty Ltd</w:t>
            </w:r>
            <w:r w:rsidRPr="007B6AF7">
              <w:rPr>
                <w:sz w:val="20"/>
                <w:szCs w:val="20"/>
              </w:rPr>
              <w:t xml:space="preserve"> [2024] FWC 91</w:t>
            </w:r>
          </w:p>
        </w:tc>
        <w:tc>
          <w:tcPr>
            <w:tcW w:w="1282" w:type="dxa"/>
            <w:tcMar>
              <w:top w:w="80" w:type="dxa"/>
              <w:left w:w="80" w:type="dxa"/>
              <w:bottom w:w="80" w:type="dxa"/>
              <w:right w:w="80" w:type="dxa"/>
            </w:tcMar>
            <w:hideMark/>
          </w:tcPr>
          <w:p w14:paraId="720FA487" w14:textId="77777777" w:rsidR="00924664" w:rsidRPr="007B6AF7" w:rsidRDefault="00924664" w:rsidP="000F7D85">
            <w:pPr>
              <w:spacing w:line="240" w:lineRule="auto"/>
              <w:rPr>
                <w:sz w:val="20"/>
                <w:szCs w:val="20"/>
              </w:rPr>
            </w:pPr>
            <w:r w:rsidRPr="007B6AF7">
              <w:rPr>
                <w:sz w:val="20"/>
                <w:szCs w:val="20"/>
              </w:rPr>
              <w:lastRenderedPageBreak/>
              <w:t>Declaration made</w:t>
            </w:r>
          </w:p>
        </w:tc>
        <w:tc>
          <w:tcPr>
            <w:tcW w:w="3277" w:type="dxa"/>
            <w:tcMar>
              <w:top w:w="80" w:type="dxa"/>
              <w:left w:w="80" w:type="dxa"/>
              <w:bottom w:w="80" w:type="dxa"/>
              <w:right w:w="80" w:type="dxa"/>
            </w:tcMar>
            <w:hideMark/>
          </w:tcPr>
          <w:p w14:paraId="5D27C5CE" w14:textId="77777777" w:rsidR="00924664" w:rsidRPr="007B6AF7" w:rsidRDefault="00924664" w:rsidP="000F7D85">
            <w:pPr>
              <w:spacing w:line="240" w:lineRule="auto"/>
              <w:rPr>
                <w:sz w:val="20"/>
                <w:szCs w:val="20"/>
              </w:rPr>
            </w:pPr>
            <w:r w:rsidRPr="007B6AF7">
              <w:rPr>
                <w:sz w:val="20"/>
                <w:szCs w:val="20"/>
              </w:rPr>
              <w:t>Cleanaway Operations Pty Ltd (Erskine Park)</w:t>
            </w:r>
          </w:p>
        </w:tc>
      </w:tr>
      <w:tr w:rsidR="00924664" w:rsidRPr="00167CB8" w14:paraId="1F4A8EBC" w14:textId="77777777" w:rsidTr="00444B80">
        <w:trPr>
          <w:trHeight w:val="55"/>
        </w:trPr>
        <w:tc>
          <w:tcPr>
            <w:tcW w:w="1550" w:type="dxa"/>
            <w:tcMar>
              <w:top w:w="80" w:type="dxa"/>
              <w:left w:w="80" w:type="dxa"/>
              <w:bottom w:w="80" w:type="dxa"/>
              <w:right w:w="80" w:type="dxa"/>
            </w:tcMar>
            <w:hideMark/>
          </w:tcPr>
          <w:p w14:paraId="727389FC" w14:textId="77777777" w:rsidR="00924664" w:rsidRPr="007B6AF7" w:rsidRDefault="00924664" w:rsidP="000F7D85">
            <w:pPr>
              <w:spacing w:line="240" w:lineRule="auto"/>
              <w:rPr>
                <w:sz w:val="20"/>
                <w:szCs w:val="20"/>
              </w:rPr>
            </w:pPr>
            <w:r w:rsidRPr="007B6AF7">
              <w:rPr>
                <w:sz w:val="20"/>
                <w:szCs w:val="20"/>
              </w:rPr>
              <w:t>4 October 2023</w:t>
            </w:r>
          </w:p>
        </w:tc>
        <w:tc>
          <w:tcPr>
            <w:tcW w:w="2957" w:type="dxa"/>
            <w:tcMar>
              <w:top w:w="80" w:type="dxa"/>
              <w:left w:w="80" w:type="dxa"/>
              <w:bottom w:w="80" w:type="dxa"/>
              <w:right w:w="80" w:type="dxa"/>
            </w:tcMar>
            <w:hideMark/>
          </w:tcPr>
          <w:p w14:paraId="5581702C" w14:textId="77777777" w:rsidR="00924664" w:rsidRPr="007B6AF7" w:rsidRDefault="00924664" w:rsidP="000F7D85">
            <w:pPr>
              <w:spacing w:line="240" w:lineRule="auto"/>
              <w:rPr>
                <w:sz w:val="20"/>
                <w:szCs w:val="20"/>
              </w:rPr>
            </w:pPr>
            <w:r w:rsidRPr="007B6AF7">
              <w:rPr>
                <w:i/>
                <w:iCs/>
                <w:sz w:val="20"/>
                <w:szCs w:val="20"/>
              </w:rPr>
              <w:t>United Firefighters’ Union of Australia v Fire Rescue Victoria</w:t>
            </w:r>
            <w:r w:rsidRPr="007B6AF7">
              <w:rPr>
                <w:sz w:val="20"/>
                <w:szCs w:val="20"/>
              </w:rPr>
              <w:t xml:space="preserve"> [2023] FWCFB 180</w:t>
            </w:r>
          </w:p>
        </w:tc>
        <w:tc>
          <w:tcPr>
            <w:tcW w:w="1282" w:type="dxa"/>
            <w:tcMar>
              <w:top w:w="80" w:type="dxa"/>
              <w:left w:w="80" w:type="dxa"/>
              <w:bottom w:w="80" w:type="dxa"/>
              <w:right w:w="80" w:type="dxa"/>
            </w:tcMar>
            <w:hideMark/>
          </w:tcPr>
          <w:p w14:paraId="61B929EA" w14:textId="77777777" w:rsidR="00924664" w:rsidRPr="007B6AF7" w:rsidRDefault="00924664" w:rsidP="000F7D85">
            <w:pPr>
              <w:spacing w:line="240" w:lineRule="auto"/>
              <w:rPr>
                <w:sz w:val="20"/>
                <w:szCs w:val="20"/>
              </w:rPr>
            </w:pPr>
            <w:r w:rsidRPr="007B6AF7">
              <w:rPr>
                <w:sz w:val="20"/>
                <w:szCs w:val="20"/>
              </w:rPr>
              <w:t>Declaration made</w:t>
            </w:r>
          </w:p>
        </w:tc>
        <w:tc>
          <w:tcPr>
            <w:tcW w:w="3277" w:type="dxa"/>
            <w:tcMar>
              <w:top w:w="80" w:type="dxa"/>
              <w:left w:w="80" w:type="dxa"/>
              <w:bottom w:w="80" w:type="dxa"/>
              <w:right w:w="80" w:type="dxa"/>
            </w:tcMar>
            <w:hideMark/>
          </w:tcPr>
          <w:p w14:paraId="1789DF5C" w14:textId="5ACFFDD8" w:rsidR="00924664" w:rsidRPr="007B6AF7" w:rsidRDefault="00924664" w:rsidP="000F7D85">
            <w:pPr>
              <w:spacing w:line="240" w:lineRule="auto"/>
              <w:rPr>
                <w:sz w:val="20"/>
                <w:szCs w:val="20"/>
              </w:rPr>
            </w:pPr>
            <w:r w:rsidRPr="007B6AF7">
              <w:rPr>
                <w:sz w:val="20"/>
                <w:szCs w:val="20"/>
              </w:rPr>
              <w:t>Fire Rescue Victoria</w:t>
            </w:r>
          </w:p>
        </w:tc>
      </w:tr>
    </w:tbl>
    <w:p w14:paraId="4E3406E4" w14:textId="77777777" w:rsidR="00D0419E" w:rsidRPr="00167CB8" w:rsidRDefault="00D0419E" w:rsidP="00D0419E">
      <w:pPr>
        <w:pStyle w:val="Source"/>
      </w:pPr>
      <w:r w:rsidRPr="00167CB8">
        <w:rPr>
          <w:b/>
          <w:bCs/>
        </w:rPr>
        <w:t>Source:</w:t>
      </w:r>
      <w:r w:rsidRPr="00167CB8">
        <w:t xml:space="preserve"> Table prepared using data from </w:t>
      </w:r>
      <w:r>
        <w:t>Fair Work Commission</w:t>
      </w:r>
      <w:r w:rsidRPr="00167CB8">
        <w:t xml:space="preserve"> website.</w:t>
      </w:r>
    </w:p>
    <w:p w14:paraId="1CCFACD0" w14:textId="6078E0B6" w:rsidR="00924664" w:rsidRPr="008D435E" w:rsidRDefault="00924664" w:rsidP="00924664">
      <w:r w:rsidRPr="000F7D85">
        <w:t>Table 1</w:t>
      </w:r>
      <w:r w:rsidR="00EC3517" w:rsidRPr="00EC3517">
        <w:t>4</w:t>
      </w:r>
      <w:r w:rsidRPr="00EC3517">
        <w:t xml:space="preserve"> contains a list of </w:t>
      </w:r>
      <w:r w:rsidR="00FD3384">
        <w:t>the two</w:t>
      </w:r>
      <w:r w:rsidRPr="00EC3517">
        <w:t xml:space="preserve"> IBWDs made by the FWC since</w:t>
      </w:r>
      <w:r w:rsidRPr="008D435E">
        <w:t xml:space="preserve"> the</w:t>
      </w:r>
      <w:r w:rsidR="005D1808">
        <w:t xml:space="preserve"> new</w:t>
      </w:r>
      <w:r w:rsidRPr="008D435E">
        <w:t xml:space="preserve"> provisions commenced.</w:t>
      </w:r>
    </w:p>
    <w:p w14:paraId="6625733D" w14:textId="1A77FA70" w:rsidR="00924664" w:rsidRPr="00167CB8" w:rsidRDefault="00EC3517" w:rsidP="00EC3517">
      <w:pPr>
        <w:pStyle w:val="Caption"/>
      </w:pPr>
      <w:bookmarkStart w:id="263" w:name="_Toc194251438"/>
      <w:r>
        <w:t xml:space="preserve">Table </w:t>
      </w:r>
      <w:r>
        <w:fldChar w:fldCharType="begin"/>
      </w:r>
      <w:r>
        <w:instrText xml:space="preserve"> SEQ Table \* ARABIC </w:instrText>
      </w:r>
      <w:r>
        <w:fldChar w:fldCharType="separate"/>
      </w:r>
      <w:r w:rsidR="00DE5F5E">
        <w:rPr>
          <w:noProof/>
        </w:rPr>
        <w:t>14</w:t>
      </w:r>
      <w:r>
        <w:fldChar w:fldCharType="end"/>
      </w:r>
      <w:r>
        <w:t xml:space="preserve">: </w:t>
      </w:r>
      <w:r w:rsidR="00924664" w:rsidRPr="008D435E">
        <w:t>Intractable bargaining workplace determinations made</w:t>
      </w:r>
      <w:r w:rsidR="006659BC">
        <w:t>,</w:t>
      </w:r>
      <w:r w:rsidR="00924664" w:rsidRPr="008D435E">
        <w:t xml:space="preserve"> as of 21 February 2025</w:t>
      </w:r>
      <w:bookmarkEnd w:id="263"/>
    </w:p>
    <w:tbl>
      <w:tblPr>
        <w:tblW w:w="0" w:type="auto"/>
        <w:tblBorders>
          <w:top w:val="single" w:sz="4" w:space="0" w:color="161716" w:themeColor="accent4" w:themeShade="1A"/>
          <w:left w:val="single" w:sz="4" w:space="0" w:color="161716" w:themeColor="accent4" w:themeShade="1A"/>
          <w:bottom w:val="single" w:sz="4" w:space="0" w:color="161716" w:themeColor="accent4" w:themeShade="1A"/>
          <w:right w:val="single" w:sz="4" w:space="0" w:color="161716" w:themeColor="accent4" w:themeShade="1A"/>
          <w:insideH w:val="single" w:sz="4" w:space="0" w:color="161716" w:themeColor="accent4" w:themeShade="1A"/>
          <w:insideV w:val="single" w:sz="4" w:space="0" w:color="161716" w:themeColor="accent4" w:themeShade="1A"/>
        </w:tblBorders>
        <w:tblCellMar>
          <w:left w:w="0" w:type="dxa"/>
          <w:right w:w="0" w:type="dxa"/>
        </w:tblCellMar>
        <w:tblLook w:val="04A0" w:firstRow="1" w:lastRow="0" w:firstColumn="1" w:lastColumn="0" w:noHBand="0" w:noVBand="1"/>
        <w:tblCaption w:val=""/>
        <w:tblDescription w:val=""/>
      </w:tblPr>
      <w:tblGrid>
        <w:gridCol w:w="1537"/>
        <w:gridCol w:w="2924"/>
        <w:gridCol w:w="1408"/>
        <w:gridCol w:w="3147"/>
      </w:tblGrid>
      <w:tr w:rsidR="00924664" w:rsidRPr="008F7B9A" w14:paraId="209F000C" w14:textId="77777777" w:rsidTr="00D0419E">
        <w:tc>
          <w:tcPr>
            <w:tcW w:w="1537" w:type="dxa"/>
            <w:tcMar>
              <w:top w:w="80" w:type="dxa"/>
              <w:left w:w="80" w:type="dxa"/>
              <w:bottom w:w="80" w:type="dxa"/>
              <w:right w:w="80" w:type="dxa"/>
            </w:tcMar>
            <w:hideMark/>
          </w:tcPr>
          <w:p w14:paraId="45C2D688" w14:textId="77777777" w:rsidR="00924664" w:rsidRPr="000F7D85" w:rsidRDefault="00924664" w:rsidP="000F7D85">
            <w:pPr>
              <w:spacing w:line="240" w:lineRule="auto"/>
              <w:rPr>
                <w:b/>
                <w:bCs/>
              </w:rPr>
            </w:pPr>
            <w:r w:rsidRPr="008F7B9A">
              <w:rPr>
                <w:b/>
                <w:bCs/>
              </w:rPr>
              <w:t>Date of decision</w:t>
            </w:r>
          </w:p>
        </w:tc>
        <w:tc>
          <w:tcPr>
            <w:tcW w:w="2924" w:type="dxa"/>
            <w:tcMar>
              <w:top w:w="80" w:type="dxa"/>
              <w:left w:w="80" w:type="dxa"/>
              <w:bottom w:w="80" w:type="dxa"/>
              <w:right w:w="80" w:type="dxa"/>
            </w:tcMar>
            <w:hideMark/>
          </w:tcPr>
          <w:p w14:paraId="5EAD0468" w14:textId="77777777" w:rsidR="00924664" w:rsidRPr="000F7D85" w:rsidRDefault="00924664" w:rsidP="000F7D85">
            <w:pPr>
              <w:spacing w:line="240" w:lineRule="auto"/>
              <w:rPr>
                <w:b/>
                <w:bCs/>
              </w:rPr>
            </w:pPr>
            <w:r w:rsidRPr="008F7B9A">
              <w:rPr>
                <w:b/>
                <w:bCs/>
              </w:rPr>
              <w:t>Decision</w:t>
            </w:r>
          </w:p>
        </w:tc>
        <w:tc>
          <w:tcPr>
            <w:tcW w:w="1408" w:type="dxa"/>
            <w:tcMar>
              <w:top w:w="80" w:type="dxa"/>
              <w:left w:w="80" w:type="dxa"/>
              <w:bottom w:w="80" w:type="dxa"/>
              <w:right w:w="80" w:type="dxa"/>
            </w:tcMar>
            <w:hideMark/>
          </w:tcPr>
          <w:p w14:paraId="2E8F044A" w14:textId="77777777" w:rsidR="00924664" w:rsidRPr="000F7D85" w:rsidRDefault="00924664" w:rsidP="000F7D85">
            <w:pPr>
              <w:spacing w:line="240" w:lineRule="auto"/>
              <w:rPr>
                <w:b/>
                <w:bCs/>
              </w:rPr>
            </w:pPr>
            <w:r w:rsidRPr="008F7B9A">
              <w:rPr>
                <w:b/>
                <w:bCs/>
              </w:rPr>
              <w:t>Outcome</w:t>
            </w:r>
          </w:p>
        </w:tc>
        <w:tc>
          <w:tcPr>
            <w:tcW w:w="3147" w:type="dxa"/>
            <w:tcMar>
              <w:top w:w="80" w:type="dxa"/>
              <w:left w:w="80" w:type="dxa"/>
              <w:bottom w:w="80" w:type="dxa"/>
              <w:right w:w="80" w:type="dxa"/>
            </w:tcMar>
            <w:hideMark/>
          </w:tcPr>
          <w:p w14:paraId="3FA4640C" w14:textId="77777777" w:rsidR="00924664" w:rsidRPr="000F7D85" w:rsidRDefault="00924664" w:rsidP="000F7D85">
            <w:pPr>
              <w:spacing w:line="240" w:lineRule="auto"/>
              <w:rPr>
                <w:b/>
                <w:bCs/>
              </w:rPr>
            </w:pPr>
            <w:r w:rsidRPr="008F7B9A">
              <w:rPr>
                <w:b/>
                <w:bCs/>
              </w:rPr>
              <w:t xml:space="preserve">Subject companies </w:t>
            </w:r>
          </w:p>
        </w:tc>
      </w:tr>
      <w:tr w:rsidR="00924664" w:rsidRPr="00167CB8" w14:paraId="61196CEC" w14:textId="77777777" w:rsidTr="00D0419E">
        <w:tc>
          <w:tcPr>
            <w:tcW w:w="1537" w:type="dxa"/>
            <w:tcMar>
              <w:top w:w="80" w:type="dxa"/>
              <w:left w:w="80" w:type="dxa"/>
              <w:bottom w:w="80" w:type="dxa"/>
              <w:right w:w="80" w:type="dxa"/>
            </w:tcMar>
            <w:hideMark/>
          </w:tcPr>
          <w:p w14:paraId="0ED17E1D" w14:textId="77777777" w:rsidR="00924664" w:rsidRPr="00792D6E" w:rsidRDefault="00924664" w:rsidP="000F7D85">
            <w:pPr>
              <w:spacing w:line="240" w:lineRule="auto"/>
              <w:rPr>
                <w:sz w:val="20"/>
                <w:szCs w:val="20"/>
              </w:rPr>
            </w:pPr>
            <w:r w:rsidRPr="00792D6E">
              <w:rPr>
                <w:sz w:val="20"/>
                <w:szCs w:val="20"/>
              </w:rPr>
              <w:t>4 September 2024</w:t>
            </w:r>
          </w:p>
        </w:tc>
        <w:tc>
          <w:tcPr>
            <w:tcW w:w="2924" w:type="dxa"/>
            <w:tcMar>
              <w:top w:w="80" w:type="dxa"/>
              <w:left w:w="80" w:type="dxa"/>
              <w:bottom w:w="80" w:type="dxa"/>
              <w:right w:w="80" w:type="dxa"/>
            </w:tcMar>
            <w:hideMark/>
          </w:tcPr>
          <w:p w14:paraId="15DFE964" w14:textId="7765C1D4" w:rsidR="00924664" w:rsidRPr="00792D6E" w:rsidRDefault="00924664" w:rsidP="000F7D85">
            <w:pPr>
              <w:spacing w:line="240" w:lineRule="auto"/>
              <w:rPr>
                <w:sz w:val="20"/>
                <w:szCs w:val="20"/>
              </w:rPr>
            </w:pPr>
            <w:r w:rsidRPr="00792D6E">
              <w:rPr>
                <w:i/>
                <w:iCs/>
                <w:sz w:val="20"/>
                <w:szCs w:val="20"/>
              </w:rPr>
              <w:t>Transport Workers’ Union of Australia v Cleanaway Operations Pty Ltd T/A Cleanaway Operations Pty Ltd (Unanderra)</w:t>
            </w:r>
            <w:r w:rsidRPr="00792D6E">
              <w:rPr>
                <w:sz w:val="20"/>
                <w:szCs w:val="20"/>
              </w:rPr>
              <w:t xml:space="preserve"> [2024] FWCFB 305</w:t>
            </w:r>
          </w:p>
        </w:tc>
        <w:tc>
          <w:tcPr>
            <w:tcW w:w="1408" w:type="dxa"/>
            <w:tcMar>
              <w:top w:w="80" w:type="dxa"/>
              <w:left w:w="80" w:type="dxa"/>
              <w:bottom w:w="80" w:type="dxa"/>
              <w:right w:w="80" w:type="dxa"/>
            </w:tcMar>
            <w:hideMark/>
          </w:tcPr>
          <w:p w14:paraId="4A096669" w14:textId="77777777" w:rsidR="00924664" w:rsidRPr="00792D6E" w:rsidRDefault="00924664" w:rsidP="000F7D85">
            <w:pPr>
              <w:spacing w:line="240" w:lineRule="auto"/>
              <w:rPr>
                <w:sz w:val="20"/>
                <w:szCs w:val="20"/>
              </w:rPr>
            </w:pPr>
            <w:r w:rsidRPr="00792D6E">
              <w:rPr>
                <w:sz w:val="20"/>
                <w:szCs w:val="20"/>
              </w:rPr>
              <w:t xml:space="preserve">Determination made </w:t>
            </w:r>
          </w:p>
        </w:tc>
        <w:tc>
          <w:tcPr>
            <w:tcW w:w="3147" w:type="dxa"/>
            <w:tcMar>
              <w:top w:w="80" w:type="dxa"/>
              <w:left w:w="80" w:type="dxa"/>
              <w:bottom w:w="80" w:type="dxa"/>
              <w:right w:w="80" w:type="dxa"/>
            </w:tcMar>
            <w:hideMark/>
          </w:tcPr>
          <w:p w14:paraId="65AAB61D" w14:textId="77777777" w:rsidR="00924664" w:rsidRPr="00792D6E" w:rsidRDefault="00924664" w:rsidP="000F7D85">
            <w:pPr>
              <w:spacing w:line="240" w:lineRule="auto"/>
              <w:rPr>
                <w:sz w:val="20"/>
                <w:szCs w:val="20"/>
              </w:rPr>
            </w:pPr>
            <w:r w:rsidRPr="00792D6E">
              <w:rPr>
                <w:sz w:val="20"/>
                <w:szCs w:val="20"/>
              </w:rPr>
              <w:t>Cleanaway Operations Pty Ltd (Unanderra)</w:t>
            </w:r>
          </w:p>
        </w:tc>
      </w:tr>
      <w:tr w:rsidR="00924664" w:rsidRPr="00167CB8" w14:paraId="1A43713C" w14:textId="77777777" w:rsidTr="00D0419E">
        <w:tc>
          <w:tcPr>
            <w:tcW w:w="1537" w:type="dxa"/>
            <w:tcMar>
              <w:top w:w="80" w:type="dxa"/>
              <w:left w:w="80" w:type="dxa"/>
              <w:bottom w:w="80" w:type="dxa"/>
              <w:right w:w="80" w:type="dxa"/>
            </w:tcMar>
            <w:hideMark/>
          </w:tcPr>
          <w:p w14:paraId="27747347" w14:textId="77777777" w:rsidR="00924664" w:rsidRPr="00792D6E" w:rsidRDefault="00924664" w:rsidP="000F7D85">
            <w:pPr>
              <w:spacing w:line="240" w:lineRule="auto"/>
              <w:rPr>
                <w:sz w:val="20"/>
                <w:szCs w:val="20"/>
              </w:rPr>
            </w:pPr>
            <w:r w:rsidRPr="00792D6E">
              <w:rPr>
                <w:sz w:val="20"/>
                <w:szCs w:val="20"/>
              </w:rPr>
              <w:t>26 June 2024</w:t>
            </w:r>
          </w:p>
        </w:tc>
        <w:tc>
          <w:tcPr>
            <w:tcW w:w="2924" w:type="dxa"/>
            <w:tcMar>
              <w:top w:w="80" w:type="dxa"/>
              <w:left w:w="80" w:type="dxa"/>
              <w:bottom w:w="80" w:type="dxa"/>
              <w:right w:w="80" w:type="dxa"/>
            </w:tcMar>
            <w:hideMark/>
          </w:tcPr>
          <w:p w14:paraId="39772098" w14:textId="1AB0912A" w:rsidR="00924664" w:rsidRPr="00792D6E" w:rsidRDefault="00924664" w:rsidP="000F7D85">
            <w:pPr>
              <w:spacing w:line="240" w:lineRule="auto"/>
              <w:rPr>
                <w:sz w:val="20"/>
                <w:szCs w:val="20"/>
              </w:rPr>
            </w:pPr>
            <w:r w:rsidRPr="00792D6E">
              <w:rPr>
                <w:i/>
                <w:iCs/>
                <w:sz w:val="20"/>
                <w:szCs w:val="20"/>
              </w:rPr>
              <w:t>Transport Workers’ Union of Australia v Cleanaway Operations Pty Ltd T/A Cleanaway Operations Pty Ltd (Erskine Park)</w:t>
            </w:r>
            <w:r w:rsidRPr="00792D6E">
              <w:rPr>
                <w:sz w:val="20"/>
                <w:szCs w:val="20"/>
              </w:rPr>
              <w:t xml:space="preserve"> [2024] FWCFB 287</w:t>
            </w:r>
          </w:p>
        </w:tc>
        <w:tc>
          <w:tcPr>
            <w:tcW w:w="1408" w:type="dxa"/>
            <w:tcMar>
              <w:top w:w="80" w:type="dxa"/>
              <w:left w:w="80" w:type="dxa"/>
              <w:bottom w:w="80" w:type="dxa"/>
              <w:right w:w="80" w:type="dxa"/>
            </w:tcMar>
            <w:hideMark/>
          </w:tcPr>
          <w:p w14:paraId="2A2A2ABB" w14:textId="77777777" w:rsidR="00924664" w:rsidRPr="00792D6E" w:rsidRDefault="00924664" w:rsidP="000F7D85">
            <w:pPr>
              <w:spacing w:line="240" w:lineRule="auto"/>
              <w:rPr>
                <w:sz w:val="20"/>
                <w:szCs w:val="20"/>
              </w:rPr>
            </w:pPr>
            <w:r w:rsidRPr="00792D6E">
              <w:rPr>
                <w:sz w:val="20"/>
                <w:szCs w:val="20"/>
              </w:rPr>
              <w:t>Determination made</w:t>
            </w:r>
          </w:p>
        </w:tc>
        <w:tc>
          <w:tcPr>
            <w:tcW w:w="3147" w:type="dxa"/>
            <w:tcMar>
              <w:top w:w="80" w:type="dxa"/>
              <w:left w:w="80" w:type="dxa"/>
              <w:bottom w:w="80" w:type="dxa"/>
              <w:right w:w="80" w:type="dxa"/>
            </w:tcMar>
            <w:hideMark/>
          </w:tcPr>
          <w:p w14:paraId="2EB614A9" w14:textId="69B91456" w:rsidR="00924664" w:rsidRPr="00792D6E" w:rsidRDefault="00924664" w:rsidP="000F7D85">
            <w:pPr>
              <w:spacing w:line="240" w:lineRule="auto"/>
              <w:rPr>
                <w:sz w:val="20"/>
                <w:szCs w:val="20"/>
              </w:rPr>
            </w:pPr>
            <w:r w:rsidRPr="00792D6E">
              <w:rPr>
                <w:sz w:val="20"/>
                <w:szCs w:val="20"/>
              </w:rPr>
              <w:t>Cleanaway Operations Pty Ltd (Erskine Park)</w:t>
            </w:r>
          </w:p>
        </w:tc>
      </w:tr>
    </w:tbl>
    <w:bookmarkEnd w:id="261"/>
    <w:p w14:paraId="285BDC78" w14:textId="1E4EFC95" w:rsidR="00924664" w:rsidRPr="00167CB8" w:rsidRDefault="00D0419E" w:rsidP="00051540">
      <w:pPr>
        <w:pStyle w:val="Source"/>
      </w:pPr>
      <w:r w:rsidRPr="00167CB8">
        <w:rPr>
          <w:b/>
          <w:bCs/>
        </w:rPr>
        <w:t>Source:</w:t>
      </w:r>
      <w:r w:rsidRPr="00167CB8">
        <w:t xml:space="preserve"> Table prepared using data from </w:t>
      </w:r>
      <w:r>
        <w:t>Fair Work Commission</w:t>
      </w:r>
      <w:r w:rsidRPr="00167CB8">
        <w:t xml:space="preserve"> website.</w:t>
      </w:r>
    </w:p>
    <w:p w14:paraId="6725C0FB" w14:textId="77777777" w:rsidR="00924664" w:rsidRPr="000F7D85" w:rsidRDefault="00924664" w:rsidP="00EC3517">
      <w:pPr>
        <w:pStyle w:val="Heading5"/>
      </w:pPr>
      <w:r w:rsidRPr="000F7D85">
        <w:t>14.2.2 Qualitative evidence</w:t>
      </w:r>
    </w:p>
    <w:p w14:paraId="2E6951C6" w14:textId="77777777" w:rsidR="00924664" w:rsidRPr="00167CB8" w:rsidRDefault="00924664" w:rsidP="00924664">
      <w:r w:rsidRPr="396ABCA7">
        <w:t>The FWC has considered the intractable bargaining provisions introduced by the Secure Jobs, Better Pay Act in a number of decisions, including what constitutes an ‘agreed term’, where there is ‘no reasonable prospect of agreement’ and the ‘not less favourable’ provisions. The following section discusses four FWC decisions.</w:t>
      </w:r>
    </w:p>
    <w:p w14:paraId="1972E4AF" w14:textId="7B60FD39" w:rsidR="00924664" w:rsidRPr="00167CB8" w:rsidRDefault="00924664" w:rsidP="00924664">
      <w:r w:rsidRPr="396ABCA7">
        <w:t>First, the applicant (</w:t>
      </w:r>
      <w:r w:rsidR="008F7B9A">
        <w:t>United Firefighters’ Union of Australia (</w:t>
      </w:r>
      <w:r w:rsidRPr="396ABCA7">
        <w:t>UFU</w:t>
      </w:r>
      <w:r w:rsidR="008F7B9A">
        <w:t>)</w:t>
      </w:r>
      <w:r w:rsidRPr="396ABCA7">
        <w:t>) and the respondent (</w:t>
      </w:r>
      <w:r w:rsidR="008F7B9A">
        <w:t>Fire Rescue Victoria (</w:t>
      </w:r>
      <w:r w:rsidRPr="396ABCA7">
        <w:t>FRV</w:t>
      </w:r>
      <w:r w:rsidR="008F7B9A">
        <w:t>)</w:t>
      </w:r>
      <w:r w:rsidRPr="396ABCA7">
        <w:t xml:space="preserve">) are </w:t>
      </w:r>
      <w:r w:rsidRPr="008F7B9A">
        <w:t xml:space="preserve">currently covered by the </w:t>
      </w:r>
      <w:r w:rsidRPr="008F7B9A">
        <w:rPr>
          <w:i/>
          <w:iCs/>
        </w:rPr>
        <w:t>Fire Rescue Victoria Operational Employees Interim Enterprise Agreement 2020</w:t>
      </w:r>
      <w:r w:rsidRPr="008F7B9A">
        <w:t>. On</w:t>
      </w:r>
      <w:r w:rsidRPr="396ABCA7">
        <w:t xml:space="preserve"> 4 October 2023, a Full Bench of the FWC made an IBD, with the post-negotiating period ending on 18 October 2023. The Full Bench was required to make an IBWD ‘as quickly as possible’ under s 269 of the Fair Work Act.</w:t>
      </w:r>
      <w:r w:rsidRPr="396ABCA7">
        <w:rPr>
          <w:rStyle w:val="FootnoteReference"/>
        </w:rPr>
        <w:footnoteReference w:id="612"/>
      </w:r>
    </w:p>
    <w:p w14:paraId="67BBD98D" w14:textId="0CF36642" w:rsidR="00924664" w:rsidRPr="00167CB8" w:rsidRDefault="00924664" w:rsidP="00924664">
      <w:r w:rsidRPr="396ABCA7">
        <w:lastRenderedPageBreak/>
        <w:t>One of the prerequisites in making an IBWD was any ‘agreed terms’ under s 274 of the Fair Work Act.</w:t>
      </w:r>
      <w:r w:rsidRPr="396ABCA7">
        <w:rPr>
          <w:rStyle w:val="FootnoteReference"/>
        </w:rPr>
        <w:footnoteReference w:id="613"/>
      </w:r>
      <w:r w:rsidRPr="396ABCA7">
        <w:t xml:space="preserve"> On 5 February 2024 the Full Bench issued an interim decision that there were no ‘agreed terms’ within the meaning of this section.</w:t>
      </w:r>
    </w:p>
    <w:p w14:paraId="2C95D71B" w14:textId="77777777" w:rsidR="00924664" w:rsidRPr="00167CB8" w:rsidRDefault="00924664" w:rsidP="00924664">
      <w:r w:rsidRPr="00167CB8">
        <w:t>In interpreting s 274(3), the Full Bench drew the following conclusions:</w:t>
      </w:r>
    </w:p>
    <w:p w14:paraId="0B69FB55" w14:textId="77777777" w:rsidR="00924664" w:rsidRPr="00167CB8" w:rsidRDefault="00924664" w:rsidP="003F7EE6">
      <w:pPr>
        <w:pStyle w:val="ListBullet"/>
        <w:numPr>
          <w:ilvl w:val="0"/>
          <w:numId w:val="4"/>
        </w:numPr>
      </w:pPr>
      <w:r w:rsidRPr="396ABCA7">
        <w:t>The meaning of ‘agreed’ is not defined under the Fair Work Act and should take its ordinary meaning. This ordinary meaning ‘requires there to be a consensus or meeting of the minds between the parties about the subject matter of the said agreement’.</w:t>
      </w:r>
      <w:r w:rsidRPr="396ABCA7">
        <w:rPr>
          <w:rStyle w:val="FootnoteReference"/>
        </w:rPr>
        <w:footnoteReference w:id="614"/>
      </w:r>
    </w:p>
    <w:p w14:paraId="7BDB9B28" w14:textId="77777777" w:rsidR="00924664" w:rsidRPr="00167CB8" w:rsidRDefault="00924664" w:rsidP="003F7EE6">
      <w:pPr>
        <w:pStyle w:val="ListBullet"/>
        <w:numPr>
          <w:ilvl w:val="0"/>
          <w:numId w:val="4"/>
        </w:numPr>
      </w:pPr>
      <w:r w:rsidRPr="396ABCA7">
        <w:t xml:space="preserve">Despite the changes made by the Secure Jobs, Better Pay amendments, the meaning of ‘agreed’ has not changed throughout the Fair Work Act or in related legislation such as the </w:t>
      </w:r>
      <w:r w:rsidRPr="396ABCA7">
        <w:rPr>
          <w:i/>
          <w:iCs/>
        </w:rPr>
        <w:t>Competition and Consumer Act 2010</w:t>
      </w:r>
      <w:r w:rsidRPr="396ABCA7">
        <w:t xml:space="preserve"> (Cth).</w:t>
      </w:r>
      <w:r w:rsidRPr="396ABCA7">
        <w:rPr>
          <w:rStyle w:val="FootnoteReference"/>
        </w:rPr>
        <w:footnoteReference w:id="615"/>
      </w:r>
    </w:p>
    <w:p w14:paraId="32DC3EF9" w14:textId="77777777" w:rsidR="00924664" w:rsidRPr="00167CB8" w:rsidRDefault="00924664" w:rsidP="003F7EE6">
      <w:pPr>
        <w:pStyle w:val="ListBullet"/>
        <w:numPr>
          <w:ilvl w:val="0"/>
          <w:numId w:val="4"/>
        </w:numPr>
      </w:pPr>
      <w:r w:rsidRPr="396ABCA7">
        <w:t>Any matters ‘agreed’ to ‘in principle’ or ‘subject to’ certain terms or limitations are ‘strongly indicative that those matters would not be “agreed” for the purpose of s 247(3)’.</w:t>
      </w:r>
      <w:r w:rsidRPr="396ABCA7">
        <w:rPr>
          <w:rStyle w:val="FootnoteReference"/>
        </w:rPr>
        <w:footnoteReference w:id="616"/>
      </w:r>
    </w:p>
    <w:p w14:paraId="4668B098" w14:textId="77777777" w:rsidR="00924664" w:rsidRDefault="00924664" w:rsidP="00924664">
      <w:r w:rsidRPr="396ABCA7">
        <w:t>The Full Bench held that any terms that FRV ‘agreed’ to at the relevant time, that being the end of the post-declaration negotiating period, were in-principle and not agreed terms for the purpose of s 247(3). As such, the ‘bargaining parties did not make any “agreed terms” for the proposed enterprise agreement’.</w:t>
      </w:r>
      <w:r w:rsidRPr="396ABCA7">
        <w:rPr>
          <w:rStyle w:val="FootnoteReference"/>
        </w:rPr>
        <w:footnoteReference w:id="617"/>
      </w:r>
    </w:p>
    <w:p w14:paraId="394BA4C4" w14:textId="312F9B5D" w:rsidR="00924664" w:rsidRDefault="0006092E" w:rsidP="00924664">
      <w:r w:rsidRPr="00E02571">
        <w:t>First, o</w:t>
      </w:r>
      <w:r w:rsidR="00924664" w:rsidRPr="0006092E">
        <w:t>n 25 February 2025, the Full Court of the Federal Court dismissed the UFU application seeking to quash the above interim decision of the FWC and also require the FWC to determine the agreed terms for the purposes of the intractable bargaining determination</w:t>
      </w:r>
      <w:r w:rsidRPr="0006092E">
        <w:t>.</w:t>
      </w:r>
      <w:r w:rsidR="00924664" w:rsidRPr="0006092E">
        <w:rPr>
          <w:rStyle w:val="FootnoteReference"/>
        </w:rPr>
        <w:footnoteReference w:id="618"/>
      </w:r>
      <w:r w:rsidR="00924664" w:rsidRPr="0006092E">
        <w:t xml:space="preserve"> The Full Court held that the ‘impugned decision of the Commission has no legal effect’</w:t>
      </w:r>
      <w:r w:rsidR="00924664" w:rsidRPr="0006092E">
        <w:rPr>
          <w:rStyle w:val="FootnoteReference"/>
        </w:rPr>
        <w:footnoteReference w:id="619"/>
      </w:r>
      <w:r w:rsidRPr="0006092E">
        <w:t xml:space="preserve"> </w:t>
      </w:r>
      <w:r w:rsidR="00924664" w:rsidRPr="0006092E">
        <w:t>because the FWC’s decision ‘is not the workplace determination’</w:t>
      </w:r>
      <w:r w:rsidR="00924664" w:rsidRPr="0006092E">
        <w:rPr>
          <w:rStyle w:val="FootnoteReference"/>
        </w:rPr>
        <w:footnoteReference w:id="620"/>
      </w:r>
      <w:r w:rsidR="00924664" w:rsidRPr="0006092E">
        <w:t xml:space="preserve"> or a ‘binding declaration’.</w:t>
      </w:r>
      <w:r w:rsidR="00924664" w:rsidRPr="0006092E">
        <w:rPr>
          <w:rStyle w:val="FootnoteReference"/>
        </w:rPr>
        <w:footnoteReference w:id="621"/>
      </w:r>
      <w:r w:rsidR="00924664" w:rsidRPr="0006092E">
        <w:t xml:space="preserve"> As such, the UFU was not entitled to either a writ of certiorari or a writ mandamus, and the application failed.</w:t>
      </w:r>
    </w:p>
    <w:p w14:paraId="50B03180" w14:textId="11180F03" w:rsidR="0011475D" w:rsidRDefault="00924664" w:rsidP="00924664">
      <w:r w:rsidRPr="0006092E">
        <w:t>Second, the</w:t>
      </w:r>
      <w:r w:rsidRPr="396ABCA7">
        <w:t xml:space="preserve"> decision in </w:t>
      </w:r>
      <w:r w:rsidRPr="396ABCA7">
        <w:rPr>
          <w:i/>
          <w:iCs/>
        </w:rPr>
        <w:t xml:space="preserve">Chief Commissioner of Victoria Police t/as Victoria Police v Police Federation of </w:t>
      </w:r>
      <w:r w:rsidRPr="008F7B9A">
        <w:rPr>
          <w:i/>
          <w:iCs/>
        </w:rPr>
        <w:t xml:space="preserve">Australia &amp; Ors </w:t>
      </w:r>
      <w:r w:rsidRPr="008F7B9A">
        <w:t>(3 January</w:t>
      </w:r>
      <w:r w:rsidRPr="396ABCA7">
        <w:t xml:space="preserve"> 2025)</w:t>
      </w:r>
      <w:r w:rsidRPr="396ABCA7">
        <w:rPr>
          <w:rStyle w:val="FootnoteReference"/>
        </w:rPr>
        <w:footnoteReference w:id="622"/>
      </w:r>
      <w:r w:rsidRPr="396ABCA7">
        <w:t xml:space="preserve"> demonstrates the circumstances in which the FWC will consider there is no reasonable prospect of agreement.</w:t>
      </w:r>
      <w:r w:rsidRPr="396ABCA7">
        <w:rPr>
          <w:rStyle w:val="FootnoteReference"/>
        </w:rPr>
        <w:footnoteReference w:id="623"/>
      </w:r>
      <w:r w:rsidRPr="396ABCA7">
        <w:t xml:space="preserve"> The FWC rejected an IBD where bargaining was over a ‘long and difficult’ period. However, the employer had taken a contentious proposal off the table and continued to make various concessions, leading the FWC to determine that there was room for further bargaining.</w:t>
      </w:r>
    </w:p>
    <w:p w14:paraId="6BC94DE5" w14:textId="64FDBBCA" w:rsidR="00924664" w:rsidRPr="00167CB8" w:rsidRDefault="0006092E" w:rsidP="00924664">
      <w:r w:rsidRPr="00E02571">
        <w:t xml:space="preserve">The third case is </w:t>
      </w:r>
      <w:r w:rsidR="00924664" w:rsidRPr="000551D1">
        <w:rPr>
          <w:i/>
          <w:iCs/>
        </w:rPr>
        <w:t>Transport</w:t>
      </w:r>
      <w:r w:rsidR="00924664" w:rsidRPr="396ABCA7">
        <w:rPr>
          <w:i/>
          <w:iCs/>
        </w:rPr>
        <w:t xml:space="preserve"> Workers’ Union of Australia v Cleanaway Operations Pty Ltd t/as Cleanaway Operations </w:t>
      </w:r>
      <w:r w:rsidR="00924664" w:rsidRPr="0006092E">
        <w:rPr>
          <w:i/>
          <w:iCs/>
        </w:rPr>
        <w:t>Pty Ltd</w:t>
      </w:r>
      <w:r w:rsidR="00924664" w:rsidRPr="00E02571">
        <w:rPr>
          <w:rStyle w:val="FootnoteReference"/>
        </w:rPr>
        <w:footnoteReference w:id="624"/>
      </w:r>
      <w:r w:rsidR="00924664" w:rsidRPr="0006092E">
        <w:t xml:space="preserve"> </w:t>
      </w:r>
      <w:r w:rsidRPr="00E02571">
        <w:t>(</w:t>
      </w:r>
      <w:r w:rsidRPr="008F7B9A">
        <w:rPr>
          <w:i/>
          <w:iCs/>
        </w:rPr>
        <w:t>Erskine Park</w:t>
      </w:r>
      <w:r w:rsidRPr="00E02571">
        <w:t>)</w:t>
      </w:r>
      <w:r w:rsidRPr="0006092E">
        <w:t xml:space="preserve">. </w:t>
      </w:r>
      <w:r w:rsidRPr="00E02571">
        <w:rPr>
          <w:i/>
          <w:iCs/>
        </w:rPr>
        <w:t>Erskine Park</w:t>
      </w:r>
      <w:r w:rsidRPr="0006092E">
        <w:rPr>
          <w:i/>
          <w:iCs/>
        </w:rPr>
        <w:t xml:space="preserve"> </w:t>
      </w:r>
      <w:r w:rsidR="00924664" w:rsidRPr="0006092E">
        <w:t>was</w:t>
      </w:r>
      <w:r w:rsidR="00924664" w:rsidRPr="396ABCA7">
        <w:t xml:space="preserve"> the first IBWD made by the FWC under s 269 of the Fair Work Act.</w:t>
      </w:r>
    </w:p>
    <w:p w14:paraId="24BE2E39" w14:textId="0601A8F6" w:rsidR="00924664" w:rsidRPr="00167CB8" w:rsidRDefault="00924664" w:rsidP="00924664">
      <w:r w:rsidRPr="396ABCA7">
        <w:lastRenderedPageBreak/>
        <w:t xml:space="preserve">On 12 January 2024 the Full Bench of the FWC issued an IBD in relation to the </w:t>
      </w:r>
      <w:r w:rsidRPr="396ABCA7">
        <w:rPr>
          <w:i/>
          <w:iCs/>
        </w:rPr>
        <w:t>Cleanaway Erskine Park Drivers Enterprise Agreement 2022</w:t>
      </w:r>
      <w:r w:rsidRPr="396ABCA7">
        <w:t>.</w:t>
      </w:r>
      <w:r w:rsidRPr="396ABCA7">
        <w:rPr>
          <w:rStyle w:val="FootnoteReference"/>
        </w:rPr>
        <w:footnoteReference w:id="625"/>
      </w:r>
      <w:r w:rsidRPr="396ABCA7">
        <w:t xml:space="preserve"> As required by s 269 of the Fair Work Act, the Full Bench of the FWC had to make an IBWD dealing with unresolved matters during bargaining. The </w:t>
      </w:r>
      <w:r w:rsidR="0006092E">
        <w:t>two</w:t>
      </w:r>
      <w:r w:rsidRPr="396ABCA7">
        <w:t xml:space="preserve"> major issues in question were the quantum of pay increases and arrangements regarding ordinary hours.</w:t>
      </w:r>
      <w:r w:rsidRPr="396ABCA7">
        <w:rPr>
          <w:rStyle w:val="FootnoteReference"/>
        </w:rPr>
        <w:footnoteReference w:id="626"/>
      </w:r>
    </w:p>
    <w:p w14:paraId="2F000711" w14:textId="08BB8CDC" w:rsidR="00924664" w:rsidRPr="00167CB8" w:rsidRDefault="00924664" w:rsidP="00924664">
      <w:r w:rsidRPr="396ABCA7">
        <w:t>On 12 June 2024 the Full Bench granted an IBWD and considered the framework of s 275 in granting the IBWD, with particular focus on s 275(ca), which was a provision introduced by the Secure Jobs, Better Pay Act. The Full Bench additionally noted, however, that they were not limited in only assessing the requirements under s 275 but could assess ‘any other relevant considerations in the circumstances of the particular case’.</w:t>
      </w:r>
      <w:r w:rsidRPr="396ABCA7">
        <w:rPr>
          <w:rStyle w:val="FootnoteReference"/>
        </w:rPr>
        <w:footnoteReference w:id="627"/>
      </w:r>
    </w:p>
    <w:p w14:paraId="2F1BE028" w14:textId="0216BE6E" w:rsidR="00924664" w:rsidRPr="00167CB8" w:rsidRDefault="00924664" w:rsidP="00924664">
      <w:r w:rsidRPr="396ABCA7">
        <w:t>In terms of the hours of work issue, the Full Bench determined that Cleanaway could roster ordinary hours of work on the weekend, with the ability of employees to opt out of weekend work.</w:t>
      </w:r>
      <w:r w:rsidRPr="396ABCA7">
        <w:rPr>
          <w:rStyle w:val="FootnoteReference"/>
        </w:rPr>
        <w:footnoteReference w:id="628"/>
      </w:r>
      <w:r w:rsidRPr="396ABCA7">
        <w:t xml:space="preserve"> With regard to pay increases, the Full Bench awarded staged pay increases from 1 July 2023 until 1 September 2026.</w:t>
      </w:r>
      <w:r w:rsidRPr="396ABCA7">
        <w:rPr>
          <w:rStyle w:val="FootnoteReference"/>
        </w:rPr>
        <w:footnoteReference w:id="629"/>
      </w:r>
    </w:p>
    <w:p w14:paraId="7D1332B4" w14:textId="77777777" w:rsidR="0011475D" w:rsidRDefault="00924664" w:rsidP="00924664">
      <w:r w:rsidRPr="396ABCA7">
        <w:t>The Full Bench also discussed the requirement of terms being ‘not less favourable’ under s 270A(3), introduced by the Secure Jobs, Better Pay Act. They considered various terms by reference to the ‘2020 Erskine Park EA’, such as the ordinary hours provisions and weekend penalty rates. They found such terms ‘not less favourable to each of the employees covered by the determination’.</w:t>
      </w:r>
      <w:r w:rsidRPr="396ABCA7">
        <w:rPr>
          <w:rStyle w:val="FootnoteReference"/>
        </w:rPr>
        <w:footnoteReference w:id="630"/>
      </w:r>
    </w:p>
    <w:p w14:paraId="6DCDAB9D" w14:textId="6DEB75CD" w:rsidR="00924664" w:rsidRPr="00167CB8" w:rsidRDefault="00924664" w:rsidP="00924664">
      <w:r w:rsidRPr="00167CB8">
        <w:t>The IBWD was made on 26 June 2024.</w:t>
      </w:r>
    </w:p>
    <w:p w14:paraId="063D930F" w14:textId="03DBE7AA" w:rsidR="00924664" w:rsidRPr="00167CB8" w:rsidRDefault="008F7B9A" w:rsidP="00924664">
      <w:pPr>
        <w:rPr>
          <w:rFonts w:cs="Calibri"/>
        </w:rPr>
      </w:pPr>
      <w:r>
        <w:t>The fourth case</w:t>
      </w:r>
      <w:r w:rsidR="00924664" w:rsidRPr="0006092E">
        <w:t xml:space="preserve"> is</w:t>
      </w:r>
      <w:r w:rsidR="00924664" w:rsidRPr="396ABCA7">
        <w:t xml:space="preserve"> </w:t>
      </w:r>
      <w:r w:rsidR="00924664" w:rsidRPr="396ABCA7">
        <w:rPr>
          <w:i/>
          <w:iCs/>
        </w:rPr>
        <w:t xml:space="preserve">Transport Workers’ Union of Australia v Cleanaway Operations Pty Ltd </w:t>
      </w:r>
      <w:r w:rsidR="00924664" w:rsidRPr="0005591D">
        <w:rPr>
          <w:i/>
          <w:iCs/>
        </w:rPr>
        <w:t>T/A</w:t>
      </w:r>
      <w:r w:rsidR="00924664" w:rsidRPr="396ABCA7">
        <w:rPr>
          <w:i/>
          <w:iCs/>
        </w:rPr>
        <w:t xml:space="preserve"> Cleanaway Operations Pty Ltd </w:t>
      </w:r>
      <w:r w:rsidR="00924664" w:rsidRPr="396ABCA7">
        <w:t>(Unanderra).</w:t>
      </w:r>
      <w:r w:rsidR="00924664" w:rsidRPr="396ABCA7">
        <w:rPr>
          <w:rStyle w:val="FootnoteReference"/>
        </w:rPr>
        <w:footnoteReference w:id="631"/>
      </w:r>
      <w:r w:rsidR="00924664" w:rsidRPr="396ABCA7">
        <w:t xml:space="preserve"> </w:t>
      </w:r>
      <w:r w:rsidR="00924664" w:rsidRPr="396ABCA7">
        <w:rPr>
          <w:rFonts w:cs="Calibri"/>
        </w:rPr>
        <w:t>On 10 July 2024, a</w:t>
      </w:r>
      <w:r w:rsidR="00924664" w:rsidRPr="396ABCA7">
        <w:rPr>
          <w:rFonts w:ascii="Arial" w:hAnsi="Arial" w:cs="Arial"/>
        </w:rPr>
        <w:t> </w:t>
      </w:r>
      <w:r w:rsidR="00924664" w:rsidRPr="396ABCA7">
        <w:rPr>
          <w:rFonts w:cs="Calibri"/>
        </w:rPr>
        <w:t xml:space="preserve">Full Bench of the FWC handed down its second </w:t>
      </w:r>
      <w:r w:rsidR="00924664" w:rsidRPr="396ABCA7">
        <w:t>IBWD</w:t>
      </w:r>
      <w:r w:rsidR="00924664" w:rsidRPr="396ABCA7" w:rsidDel="00E718DE">
        <w:rPr>
          <w:rFonts w:cs="Calibri"/>
        </w:rPr>
        <w:t xml:space="preserve"> </w:t>
      </w:r>
      <w:r w:rsidR="00924664" w:rsidRPr="396ABCA7">
        <w:rPr>
          <w:rFonts w:cs="Calibri"/>
        </w:rPr>
        <w:t xml:space="preserve">decision in relation to the </w:t>
      </w:r>
      <w:r w:rsidR="00924664" w:rsidRPr="396ABCA7">
        <w:rPr>
          <w:rFonts w:cs="Calibri"/>
          <w:i/>
          <w:iCs/>
        </w:rPr>
        <w:t xml:space="preserve">Cleanaway Solid Waste Services (C&amp;I) Wollongong Enterprise Agreement 2020 </w:t>
      </w:r>
      <w:r w:rsidR="00924664" w:rsidRPr="396ABCA7">
        <w:rPr>
          <w:rFonts w:cs="Calibri"/>
        </w:rPr>
        <w:t>(Unanderra Agreement)</w:t>
      </w:r>
      <w:r w:rsidR="00924664" w:rsidRPr="396ABCA7">
        <w:rPr>
          <w:rFonts w:cs="Calibri"/>
          <w:i/>
          <w:iCs/>
        </w:rPr>
        <w:t xml:space="preserve">. </w:t>
      </w:r>
      <w:r w:rsidR="00924664" w:rsidRPr="396ABCA7">
        <w:rPr>
          <w:rFonts w:cs="Calibri"/>
        </w:rPr>
        <w:t>This decision relates to the IBD issued by the FWC on 7 March 2024.</w:t>
      </w:r>
    </w:p>
    <w:p w14:paraId="033F6505" w14:textId="428B6F2E" w:rsidR="00924664" w:rsidRPr="00167CB8" w:rsidRDefault="00924664" w:rsidP="00924664">
      <w:pPr>
        <w:rPr>
          <w:rFonts w:cs="Calibri"/>
        </w:rPr>
      </w:pPr>
      <w:r w:rsidRPr="396ABCA7">
        <w:rPr>
          <w:rFonts w:cs="Calibri"/>
        </w:rPr>
        <w:t xml:space="preserve">This decision was important for </w:t>
      </w:r>
      <w:r w:rsidR="0006092E">
        <w:rPr>
          <w:rFonts w:cs="Calibri"/>
        </w:rPr>
        <w:t>two</w:t>
      </w:r>
      <w:r w:rsidRPr="396ABCA7">
        <w:rPr>
          <w:rFonts w:cs="Calibri"/>
        </w:rPr>
        <w:t xml:space="preserve"> primary reasons. On the one hand, this was the first occasion where the FWC confirmed </w:t>
      </w:r>
      <w:r w:rsidRPr="0005591D">
        <w:rPr>
          <w:rFonts w:cs="Calibri"/>
          <w:b/>
          <w:bCs/>
        </w:rPr>
        <w:t xml:space="preserve">all </w:t>
      </w:r>
      <w:r w:rsidRPr="396ABCA7">
        <w:rPr>
          <w:rFonts w:cs="Calibri"/>
        </w:rPr>
        <w:t>bargaining representatives (including non-actively participating individual bargaining representatives) must agree to terms for them to be ‘agreed terms’.</w:t>
      </w:r>
      <w:r w:rsidRPr="396ABCA7">
        <w:rPr>
          <w:rStyle w:val="FootnoteReference"/>
          <w:rFonts w:cs="Calibri"/>
        </w:rPr>
        <w:footnoteReference w:id="632"/>
      </w:r>
    </w:p>
    <w:p w14:paraId="321317A1" w14:textId="26531158" w:rsidR="00924664" w:rsidRPr="00167CB8" w:rsidRDefault="00924664" w:rsidP="00924664">
      <w:pPr>
        <w:rPr>
          <w:rFonts w:cs="Calibri"/>
        </w:rPr>
      </w:pPr>
      <w:r w:rsidRPr="396ABCA7">
        <w:rPr>
          <w:rFonts w:cs="Calibri"/>
        </w:rPr>
        <w:t>On the other hand, the Full Bench considered s 270A and</w:t>
      </w:r>
      <w:r w:rsidR="0006092E">
        <w:rPr>
          <w:rFonts w:cs="Calibri"/>
        </w:rPr>
        <w:t>,</w:t>
      </w:r>
      <w:r w:rsidRPr="396ABCA7">
        <w:rPr>
          <w:rFonts w:cs="Calibri"/>
        </w:rPr>
        <w:t xml:space="preserve"> in particular</w:t>
      </w:r>
      <w:r w:rsidR="0006092E">
        <w:rPr>
          <w:rFonts w:cs="Calibri"/>
        </w:rPr>
        <w:t>,</w:t>
      </w:r>
      <w:r w:rsidRPr="396ABCA7">
        <w:rPr>
          <w:rFonts w:cs="Calibri"/>
        </w:rPr>
        <w:t xml:space="preserve"> the meaning of the phrase ‘not less favourable’ under s 270A(2). The Full Bench interpreted the provision to mean </w:t>
      </w:r>
      <w:r w:rsidRPr="396ABCA7">
        <w:rPr>
          <w:rFonts w:cs="Calibri"/>
        </w:rPr>
        <w:lastRenderedPageBreak/>
        <w:t>‘less advantageous’ or ‘less beneficial’,</w:t>
      </w:r>
      <w:r w:rsidRPr="396ABCA7">
        <w:rPr>
          <w:rStyle w:val="FootnoteReference"/>
          <w:rFonts w:cs="Calibri"/>
        </w:rPr>
        <w:footnoteReference w:id="633"/>
      </w:r>
      <w:r w:rsidRPr="396ABCA7">
        <w:rPr>
          <w:rFonts w:cs="Calibri"/>
        </w:rPr>
        <w:t xml:space="preserve"> but it does not apply to a term of the workplace determination that provides for a wage increase.</w:t>
      </w:r>
      <w:r w:rsidRPr="396ABCA7">
        <w:rPr>
          <w:rStyle w:val="FootnoteReference"/>
          <w:rFonts w:cs="Calibri"/>
        </w:rPr>
        <w:footnoteReference w:id="634"/>
      </w:r>
    </w:p>
    <w:p w14:paraId="1C05E4C1" w14:textId="77777777" w:rsidR="0011475D" w:rsidRDefault="00924664" w:rsidP="00924664">
      <w:pPr>
        <w:rPr>
          <w:rFonts w:cs="Calibri"/>
        </w:rPr>
      </w:pPr>
      <w:r w:rsidRPr="396ABCA7">
        <w:rPr>
          <w:rFonts w:cs="Calibri"/>
        </w:rPr>
        <w:t>In terms of the proposed agreement, the Full Bench held that the ordinary hours terms were ‘less favourable’ to the relevant employees compared to the Unanderra Agreement, as the latter entitled employees to overtime pay. Conversely, the Full Bench held the ‘not less favourable’ provisions could not empower the FWC to impose a compulsory arbitration clause on a non-consenting party.</w:t>
      </w:r>
      <w:r w:rsidRPr="396ABCA7">
        <w:rPr>
          <w:rStyle w:val="FootnoteReference"/>
          <w:rFonts w:cs="Calibri"/>
        </w:rPr>
        <w:footnoteReference w:id="635"/>
      </w:r>
    </w:p>
    <w:p w14:paraId="07209A3F" w14:textId="0A1D2AF6" w:rsidR="00924664" w:rsidRPr="00167CB8" w:rsidRDefault="00924664" w:rsidP="00924664">
      <w:pPr>
        <w:rPr>
          <w:i/>
          <w:iCs/>
        </w:rPr>
      </w:pPr>
      <w:r w:rsidRPr="008F7B9A">
        <w:t>In addition to these four cases, the</w:t>
      </w:r>
      <w:r w:rsidRPr="396ABCA7">
        <w:t xml:space="preserve"> following matter provides an example where an employer made an application for an intractable bargaining declaration, but the application did not proceed, as the parties continued negotiations and were able to reach an agreement. Virgin Australia Regional Airlines Pty Ltd t/as Virgin Australia Regional Airlines (VARA) applied for an IBD in relation to a proposed enterprise agreement, which would replace the </w:t>
      </w:r>
      <w:r w:rsidRPr="396ABCA7">
        <w:rPr>
          <w:i/>
          <w:iCs/>
        </w:rPr>
        <w:t>Virgin Australia Regional Airlines Aircraft Engineers (Western Australia) Enterprise Agreement 2017.</w:t>
      </w:r>
    </w:p>
    <w:p w14:paraId="08CA0F19" w14:textId="77777777" w:rsidR="00924664" w:rsidRPr="00167CB8" w:rsidRDefault="00924664" w:rsidP="00924664">
      <w:pPr>
        <w:rPr>
          <w:rFonts w:cs="Calibri"/>
        </w:rPr>
      </w:pPr>
      <w:r w:rsidRPr="396ABCA7">
        <w:t>A significant issue between VARA and the Australian Licensed Aircraft Engineers Association (ALAEA) (with the Australian Chamber of Commerce and Industry (ACCI) and the Australian Council of Trade Unions (ACTU) intervening) was the requirement under s 235(2)(b) of the Fair Work Act that there be ‘no reasonable prospect of agreement being reached’ between the parties before granting the intractable bargaining declaration, with both sides disagreeing on this point. VARA pointed to the bargaining history of both sides since its commencement in about August 2020,</w:t>
      </w:r>
      <w:r w:rsidRPr="396ABCA7">
        <w:rPr>
          <w:rStyle w:val="FootnoteReference"/>
        </w:rPr>
        <w:footnoteReference w:id="636"/>
      </w:r>
      <w:r w:rsidRPr="396ABCA7">
        <w:t xml:space="preserve"> whereas ALAEA pointed to continued negotiation between parties to show an agreement could be reached.</w:t>
      </w:r>
      <w:r w:rsidRPr="396ABCA7">
        <w:rPr>
          <w:rStyle w:val="FootnoteReference"/>
        </w:rPr>
        <w:footnoteReference w:id="637"/>
      </w:r>
    </w:p>
    <w:p w14:paraId="4AB1EC00" w14:textId="25E532E2" w:rsidR="00924664" w:rsidRPr="00167CB8" w:rsidRDefault="00924664" w:rsidP="00924664">
      <w:r w:rsidRPr="396ABCA7">
        <w:t>On 20 July 2023 VARA’s legal representatives informed the FWC that VARA wished to discontinue the application because, relevantly, it was ‘prepared to put a revised agreement to a vote of employees’</w:t>
      </w:r>
      <w:r w:rsidR="0006092E">
        <w:t>.</w:t>
      </w:r>
      <w:r w:rsidRPr="396ABCA7">
        <w:rPr>
          <w:rStyle w:val="FootnoteReference"/>
        </w:rPr>
        <w:footnoteReference w:id="638"/>
      </w:r>
      <w:r w:rsidRPr="396ABCA7">
        <w:t xml:space="preserve"> AL</w:t>
      </w:r>
      <w:r w:rsidR="0006092E">
        <w:t>A</w:t>
      </w:r>
      <w:r w:rsidRPr="396ABCA7">
        <w:t>EA did not oppose. As a result, the matter was discontinued.</w:t>
      </w:r>
      <w:r w:rsidRPr="396ABCA7">
        <w:rPr>
          <w:rStyle w:val="FootnoteReference"/>
        </w:rPr>
        <w:footnoteReference w:id="639"/>
      </w:r>
    </w:p>
    <w:p w14:paraId="26B7A580" w14:textId="64DDCEE8" w:rsidR="00924664" w:rsidRPr="00167CB8" w:rsidRDefault="00924664" w:rsidP="00924664">
      <w:pPr>
        <w:rPr>
          <w:rFonts w:cs="Calibri"/>
        </w:rPr>
      </w:pPr>
      <w:r w:rsidRPr="396ABCA7">
        <w:t xml:space="preserve">On 13 September 2023 the FWC approved the </w:t>
      </w:r>
      <w:r w:rsidRPr="396ABCA7">
        <w:rPr>
          <w:i/>
          <w:iCs/>
        </w:rPr>
        <w:t>Virgin Australia Regional Airlines Aircraft Engineers (Western Australia) Enterprise Agreement 2023</w:t>
      </w:r>
      <w:r w:rsidRPr="396ABCA7">
        <w:t>.</w:t>
      </w:r>
      <w:r w:rsidRPr="396ABCA7">
        <w:rPr>
          <w:rStyle w:val="FootnoteReference"/>
        </w:rPr>
        <w:footnoteReference w:id="640"/>
      </w:r>
      <w:r w:rsidRPr="396ABCA7">
        <w:t xml:space="preserve"> ALAEA is noted in the FWC decision as a bargaining representative covered by the agreement. The agreement operated from 20 September 2023, with a nominal expiry date of 30 June 2025.</w:t>
      </w:r>
    </w:p>
    <w:p w14:paraId="6E54EFBF" w14:textId="77777777" w:rsidR="00924664" w:rsidRPr="00402ED1" w:rsidRDefault="00924664" w:rsidP="00EC3517">
      <w:pPr>
        <w:pStyle w:val="Heading5"/>
      </w:pPr>
      <w:r w:rsidRPr="00402ED1">
        <w:t>14.2.3 Stakeholder views</w:t>
      </w:r>
    </w:p>
    <w:p w14:paraId="1DF56C57" w14:textId="4075C7F9" w:rsidR="0011475D" w:rsidRDefault="00924664" w:rsidP="00924664">
      <w:pPr>
        <w:rPr>
          <w:rFonts w:eastAsiaTheme="majorEastAsia"/>
        </w:rPr>
      </w:pPr>
      <w:r w:rsidRPr="00167CB8">
        <w:rPr>
          <w:rFonts w:eastAsiaTheme="majorEastAsia"/>
        </w:rPr>
        <w:t xml:space="preserve">The amendments relating to bargaining disputes received considerable attention and were divergent. Views expressed by the stakeholders ranged from support for the amendments to </w:t>
      </w:r>
      <w:r w:rsidRPr="00167CB8">
        <w:rPr>
          <w:rFonts w:eastAsiaTheme="majorEastAsia"/>
        </w:rPr>
        <w:lastRenderedPageBreak/>
        <w:t>calls for the repeal of the bargaining disputes framework amendments in full</w:t>
      </w:r>
      <w:r w:rsidR="0006092E">
        <w:rPr>
          <w:rFonts w:eastAsiaTheme="majorEastAsia"/>
        </w:rPr>
        <w:t>.</w:t>
      </w:r>
      <w:r w:rsidRPr="00167CB8">
        <w:rPr>
          <w:rFonts w:eastAsiaTheme="majorEastAsia"/>
        </w:rPr>
        <w:t xml:space="preserve"> </w:t>
      </w:r>
      <w:r w:rsidR="0006092E">
        <w:rPr>
          <w:rFonts w:eastAsiaTheme="majorEastAsia"/>
        </w:rPr>
        <w:t>O</w:t>
      </w:r>
      <w:r w:rsidRPr="00167CB8">
        <w:rPr>
          <w:rFonts w:eastAsiaTheme="majorEastAsia"/>
        </w:rPr>
        <w:t>thers accepted the Secure Jobs, Better Pay amendments but sought the repeal of the Closing Loopholes No. 2 amendments.</w:t>
      </w:r>
    </w:p>
    <w:p w14:paraId="4A559B54" w14:textId="29257B3C" w:rsidR="00924664" w:rsidRPr="00167CB8" w:rsidRDefault="00924664" w:rsidP="00924664">
      <w:pPr>
        <w:rPr>
          <w:rFonts w:eastAsiaTheme="majorEastAsia"/>
        </w:rPr>
      </w:pPr>
      <w:r w:rsidRPr="396ABCA7">
        <w:rPr>
          <w:rFonts w:eastAsiaTheme="majorEastAsia"/>
        </w:rPr>
        <w:t>Union stakeholders were almost uniformly supportive of amendments to deal with bargaining disputes. They largely expressed the view that amendments to IBDs motivated parties to reach a resolution quicker.</w:t>
      </w:r>
    </w:p>
    <w:p w14:paraId="5134B816" w14:textId="77777777" w:rsidR="00924664" w:rsidRPr="00167CB8" w:rsidRDefault="00924664" w:rsidP="00924664">
      <w:pPr>
        <w:rPr>
          <w:rFonts w:eastAsiaTheme="majorEastAsia"/>
        </w:rPr>
      </w:pPr>
      <w:r w:rsidRPr="396ABCA7">
        <w:rPr>
          <w:rFonts w:eastAsiaTheme="majorEastAsia"/>
        </w:rPr>
        <w:t>The ACTU asserted that this view is shared among unions and that ‘even where a declaration has not been sought, the intractable bargaining laws have, more often than not, encouraged parties to try to reach terms upon which all parties can agree’.</w:t>
      </w:r>
      <w:r w:rsidRPr="396ABCA7">
        <w:rPr>
          <w:rFonts w:eastAsiaTheme="majorEastAsia"/>
          <w:vertAlign w:val="superscript"/>
        </w:rPr>
        <w:footnoteReference w:id="641"/>
      </w:r>
      <w:r w:rsidRPr="396ABCA7">
        <w:rPr>
          <w:rFonts w:eastAsiaTheme="majorEastAsia"/>
        </w:rPr>
        <w:t xml:space="preserve"> Further, the ACTU submitted:</w:t>
      </w:r>
      <w:r w:rsidRPr="396ABCA7">
        <w:rPr>
          <w:vertAlign w:val="superscript"/>
        </w:rPr>
        <w:footnoteReference w:id="642"/>
      </w:r>
    </w:p>
    <w:p w14:paraId="6E870446" w14:textId="77777777" w:rsidR="00924664" w:rsidRPr="00167CB8" w:rsidRDefault="00924664" w:rsidP="00846DC0">
      <w:pPr>
        <w:pStyle w:val="Quote"/>
      </w:pPr>
      <w:r w:rsidRPr="00167CB8">
        <w:t>[The] amendments … made by the Closing Loopholes No. 2 Act to preserve existing conditions are viewed as being critically important by affiliates. The effect of these amendments has been not only to protect employees’ terms and conditions (save for the issues identified in relation to the consultation and disputes terms) but to ensure that for most parties, the new intractable bargaining mechanism remains – appropriately - a mechanism of last resort.</w:t>
      </w:r>
    </w:p>
    <w:p w14:paraId="4CBBDAEE" w14:textId="01856830" w:rsidR="00924664" w:rsidRPr="00167CB8" w:rsidRDefault="00924664" w:rsidP="00924664">
      <w:pPr>
        <w:rPr>
          <w:rFonts w:eastAsiaTheme="majorEastAsia"/>
        </w:rPr>
      </w:pPr>
      <w:r w:rsidRPr="00167CB8">
        <w:rPr>
          <w:rFonts w:eastAsiaTheme="majorEastAsia"/>
        </w:rPr>
        <w:t>The Independent Education Union of Australia (IEU) submitted that, before the Secure Jobs, Better Pay Act, ‘[t]he lack of access to arbitration of intractable disputes arising from bargaining meant that employers were advantaged by being able to indefinitely prolong negotiations’.</w:t>
      </w:r>
      <w:r w:rsidRPr="00167CB8">
        <w:rPr>
          <w:rFonts w:eastAsiaTheme="majorEastAsia"/>
          <w:vertAlign w:val="superscript"/>
        </w:rPr>
        <w:footnoteReference w:id="643"/>
      </w:r>
      <w:r w:rsidRPr="00167CB8">
        <w:rPr>
          <w:rFonts w:eastAsiaTheme="majorEastAsia"/>
        </w:rPr>
        <w:t xml:space="preserve"> The Community and Public Sector Union (CPSU) expressed a similar sentiment, asserting that ‘the introduction of intractable bargaining provisions … has the potential to create discipline in the bargaining process and drive resolution’.</w:t>
      </w:r>
      <w:r w:rsidRPr="00167CB8">
        <w:rPr>
          <w:rFonts w:eastAsiaTheme="majorEastAsia"/>
          <w:vertAlign w:val="superscript"/>
        </w:rPr>
        <w:footnoteReference w:id="644"/>
      </w:r>
      <w:r w:rsidRPr="00167CB8">
        <w:rPr>
          <w:rFonts w:eastAsiaTheme="majorEastAsia"/>
        </w:rPr>
        <w:t xml:space="preserve"> The Australian Nursing and Midwifery Federation has observed a ‘shift in bargaining behaviour [to] the threat of an intractable bargaining declaration (IBD) being made ... both employers and unions are more motivated to come to an agreement and engage more efficiently on contested points due to the inherent risk and uncertainty involved in an IBD’.</w:t>
      </w:r>
      <w:r w:rsidRPr="00167CB8">
        <w:rPr>
          <w:rFonts w:eastAsiaTheme="majorEastAsia"/>
          <w:vertAlign w:val="superscript"/>
        </w:rPr>
        <w:footnoteReference w:id="645"/>
      </w:r>
      <w:r w:rsidRPr="00167CB8">
        <w:rPr>
          <w:rFonts w:eastAsiaTheme="majorEastAsia"/>
        </w:rPr>
        <w:t xml:space="preserve"> The United Workers Union (UWU) </w:t>
      </w:r>
      <w:r w:rsidR="003829FE">
        <w:rPr>
          <w:rFonts w:eastAsiaTheme="majorEastAsia"/>
        </w:rPr>
        <w:t xml:space="preserve">expressed </w:t>
      </w:r>
      <w:r w:rsidRPr="00167CB8">
        <w:rPr>
          <w:rFonts w:eastAsiaTheme="majorEastAsia"/>
        </w:rPr>
        <w:t>similar sentiments, arguing that ‘intractable bargaining is a course of action that remains, in UWU’s view, an option of last resort’ and that the not less favourable amendment ‘has been a positive amendment which provides some level of safeguard to employees’.</w:t>
      </w:r>
      <w:r w:rsidRPr="00167CB8">
        <w:rPr>
          <w:rFonts w:eastAsiaTheme="majorEastAsia"/>
          <w:vertAlign w:val="superscript"/>
        </w:rPr>
        <w:footnoteReference w:id="646"/>
      </w:r>
    </w:p>
    <w:p w14:paraId="10136A3C" w14:textId="1DE51E24" w:rsidR="0011475D" w:rsidRDefault="00924664" w:rsidP="00924664">
      <w:pPr>
        <w:rPr>
          <w:rFonts w:eastAsiaTheme="majorEastAsia"/>
        </w:rPr>
      </w:pPr>
      <w:r w:rsidRPr="00167CB8">
        <w:rPr>
          <w:rFonts w:eastAsiaTheme="majorEastAsia"/>
        </w:rPr>
        <w:t xml:space="preserve">The Electrical Trades Union expressed concerns about good faith bargaining, noting that the </w:t>
      </w:r>
      <w:r w:rsidR="003829FE">
        <w:rPr>
          <w:rFonts w:eastAsiaTheme="majorEastAsia"/>
        </w:rPr>
        <w:t>nine</w:t>
      </w:r>
      <w:r w:rsidRPr="00167CB8">
        <w:rPr>
          <w:rFonts w:eastAsiaTheme="majorEastAsia"/>
        </w:rPr>
        <w:t>-month minimum bargaining period ‘allow[s] employers to treat … [the minimum bargaining period] as a mere formality, rather than requiring genuine and meaningful negotiations’</w:t>
      </w:r>
      <w:r w:rsidR="003829FE">
        <w:rPr>
          <w:rFonts w:eastAsiaTheme="majorEastAsia"/>
        </w:rPr>
        <w:t>.</w:t>
      </w:r>
      <w:r w:rsidRPr="00167CB8">
        <w:rPr>
          <w:rFonts w:eastAsiaTheme="majorEastAsia"/>
          <w:vertAlign w:val="superscript"/>
        </w:rPr>
        <w:footnoteReference w:id="647"/>
      </w:r>
      <w:r w:rsidRPr="00167CB8">
        <w:rPr>
          <w:rFonts w:eastAsiaTheme="majorEastAsia"/>
        </w:rPr>
        <w:t xml:space="preserve"> The Australian Retailers Association expressed that the </w:t>
      </w:r>
      <w:r w:rsidR="003829FE">
        <w:rPr>
          <w:rFonts w:eastAsiaTheme="majorEastAsia"/>
        </w:rPr>
        <w:t>nine</w:t>
      </w:r>
      <w:r w:rsidRPr="00167CB8">
        <w:rPr>
          <w:rFonts w:eastAsiaTheme="majorEastAsia"/>
        </w:rPr>
        <w:t>-month period was too short and should be extended to 12 months.</w:t>
      </w:r>
    </w:p>
    <w:p w14:paraId="43508A33" w14:textId="6B49FA47" w:rsidR="00924664" w:rsidRPr="00167CB8" w:rsidRDefault="00924664" w:rsidP="00924664">
      <w:pPr>
        <w:rPr>
          <w:rFonts w:eastAsiaTheme="majorEastAsia"/>
        </w:rPr>
      </w:pPr>
      <w:r w:rsidRPr="396ABCA7">
        <w:rPr>
          <w:rFonts w:eastAsiaTheme="majorEastAsia"/>
        </w:rPr>
        <w:lastRenderedPageBreak/>
        <w:t>Employer groups were divided about the impact of the Secure Jobs, Better Pay amendments but were largely unified in their opposition on the not less favourable amendment. The prevailing view was that the system (as further amended) discourages good faith bargaining.</w:t>
      </w:r>
    </w:p>
    <w:p w14:paraId="365143FF" w14:textId="77777777" w:rsidR="0011475D" w:rsidRDefault="00924664" w:rsidP="00924664">
      <w:r w:rsidRPr="396ABCA7">
        <w:t xml:space="preserve">The Chamber of Minerals &amp; Energy of Western Australia, Master Builders Australia and Whitehaven Coal called for the repeal of the intractable bargaining amendments in the Secure Jobs, Better Pay Act and </w:t>
      </w:r>
      <w:r w:rsidRPr="396ABCA7">
        <w:rPr>
          <w:rFonts w:eastAsiaTheme="majorEastAsia"/>
        </w:rPr>
        <w:t>Closing Loopholes No. 2 Act</w:t>
      </w:r>
      <w:r w:rsidRPr="396ABCA7">
        <w:t>.</w:t>
      </w:r>
      <w:r w:rsidRPr="396ABCA7">
        <w:rPr>
          <w:rStyle w:val="FootnoteReference"/>
        </w:rPr>
        <w:footnoteReference w:id="648"/>
      </w:r>
    </w:p>
    <w:p w14:paraId="1505D6B2" w14:textId="7865B96C" w:rsidR="0011475D" w:rsidRDefault="00924664" w:rsidP="00924664">
      <w:r w:rsidRPr="00167CB8">
        <w:t>Other employer associations, such as ACCI,</w:t>
      </w:r>
      <w:r w:rsidRPr="00167CB8">
        <w:rPr>
          <w:rStyle w:val="FootnoteReference"/>
        </w:rPr>
        <w:footnoteReference w:id="649"/>
      </w:r>
      <w:r w:rsidRPr="00167CB8">
        <w:t xml:space="preserve"> Ai Group,</w:t>
      </w:r>
      <w:r w:rsidRPr="00167CB8">
        <w:rPr>
          <w:rStyle w:val="FootnoteReference"/>
        </w:rPr>
        <w:footnoteReference w:id="650"/>
      </w:r>
      <w:r w:rsidRPr="00167CB8">
        <w:t xml:space="preserve"> Australian Resources &amp; Energy Employer Association (AREEA), Business Council of Australia (BCA) and Chamber of Commerce and Industry of Western Australia</w:t>
      </w:r>
      <w:r w:rsidR="003829FE">
        <w:t xml:space="preserve"> (CCIWA)</w:t>
      </w:r>
      <w:r w:rsidRPr="00167CB8">
        <w:t xml:space="preserve">, submit they are generally less concerned about the Secure Jobs, Better Pay Act amendments but sought repeal of the </w:t>
      </w:r>
      <w:r w:rsidRPr="00167CB8">
        <w:rPr>
          <w:rFonts w:eastAsiaTheme="majorEastAsia"/>
        </w:rPr>
        <w:t>Closing Loopholes No. 2 Act amendments</w:t>
      </w:r>
      <w:r w:rsidRPr="00167CB8">
        <w:t>.</w:t>
      </w:r>
    </w:p>
    <w:p w14:paraId="24266BB7" w14:textId="79C21840" w:rsidR="0011475D" w:rsidRDefault="003829FE" w:rsidP="00924664">
      <w:r>
        <w:t xml:space="preserve">The </w:t>
      </w:r>
      <w:r w:rsidR="00924664" w:rsidRPr="396ABCA7">
        <w:t>BCA argued that to ‘ensure that the IBD framework is operating effectively and appropriately having regard to its stated objectives, and to mitigate unintended consequences, [the not less favourable amendment] should be repealed’.</w:t>
      </w:r>
      <w:r w:rsidR="00924664" w:rsidRPr="396ABCA7">
        <w:rPr>
          <w:rStyle w:val="FootnoteReference"/>
        </w:rPr>
        <w:footnoteReference w:id="651"/>
      </w:r>
      <w:r w:rsidR="00924664" w:rsidRPr="396ABCA7">
        <w:t xml:space="preserve"> </w:t>
      </w:r>
      <w:r w:rsidRPr="00636D48">
        <w:t xml:space="preserve">CCIWA </w:t>
      </w:r>
      <w:r w:rsidR="00924664" w:rsidRPr="003829FE">
        <w:t>supported this</w:t>
      </w:r>
      <w:r w:rsidR="00924664" w:rsidRPr="396ABCA7">
        <w:t xml:space="preserve"> recommendation, asserting the further amendment ‘creates a substantial incentive for arbitrated outcomes’.</w:t>
      </w:r>
      <w:r w:rsidR="00924664" w:rsidRPr="396ABCA7">
        <w:rPr>
          <w:rStyle w:val="FootnoteReference"/>
        </w:rPr>
        <w:footnoteReference w:id="652"/>
      </w:r>
    </w:p>
    <w:p w14:paraId="01A48D63" w14:textId="262952E7" w:rsidR="0011475D" w:rsidRDefault="00924664" w:rsidP="00924664">
      <w:r w:rsidRPr="00167CB8">
        <w:t>AREEA also supported repealing the not less favourable amendment, being concerned that the further amendment ‘mean[s] unions/employees have “nothing to lose” … [the potential] benefits and risk burden from intractable bargaining provisions must be apportioned equally between employers and employees/unions’</w:t>
      </w:r>
      <w:r w:rsidR="003829FE">
        <w:t>.</w:t>
      </w:r>
      <w:r w:rsidRPr="00167CB8">
        <w:rPr>
          <w:rStyle w:val="FootnoteReference"/>
        </w:rPr>
        <w:footnoteReference w:id="653"/>
      </w:r>
    </w:p>
    <w:p w14:paraId="105E51FF" w14:textId="34D21E2B" w:rsidR="00924664" w:rsidRPr="00167CB8" w:rsidRDefault="00924664" w:rsidP="00924664">
      <w:r w:rsidRPr="396ABCA7">
        <w:t xml:space="preserve">The Australian Higher Education Industrial Association </w:t>
      </w:r>
      <w:r w:rsidR="001854E5">
        <w:t xml:space="preserve">(AHEIA) </w:t>
      </w:r>
      <w:r w:rsidRPr="396ABCA7">
        <w:t>recommended adjusting the not less favourable test ‘such that employees and employee organisations are not worse off, but that the test of whether they would be worse off be directed to the agreement as a whole, rather than being focused on a single term’.</w:t>
      </w:r>
      <w:r w:rsidRPr="396ABCA7">
        <w:rPr>
          <w:rStyle w:val="FootnoteReference"/>
        </w:rPr>
        <w:footnoteReference w:id="654"/>
      </w:r>
    </w:p>
    <w:p w14:paraId="0D7C6E92" w14:textId="28B01E72" w:rsidR="00924664" w:rsidRPr="00167CB8" w:rsidRDefault="00924664" w:rsidP="00924664">
      <w:r w:rsidRPr="396ABCA7">
        <w:t xml:space="preserve">The Australian Retailers Association </w:t>
      </w:r>
      <w:r w:rsidR="001854E5">
        <w:t xml:space="preserve">(ARA) </w:t>
      </w:r>
      <w:r w:rsidRPr="396ABCA7">
        <w:t xml:space="preserve">took a slightly different approach and recommended the test allow terms of the agreement to be no worse off than either ‘a term of the enterprise agreement that deals with the matter </w:t>
      </w:r>
      <w:r w:rsidRPr="001854E5">
        <w:rPr>
          <w:i/>
          <w:iCs/>
        </w:rPr>
        <w:t>or a term within a comparable modern award</w:t>
      </w:r>
      <w:r w:rsidRPr="396ABCA7">
        <w:t>’.</w:t>
      </w:r>
      <w:r w:rsidRPr="396ABCA7">
        <w:rPr>
          <w:rStyle w:val="FootnoteReference"/>
        </w:rPr>
        <w:footnoteReference w:id="655"/>
      </w:r>
    </w:p>
    <w:p w14:paraId="79AA7CBA" w14:textId="1A5E20F1" w:rsidR="00924664" w:rsidRPr="00167CB8" w:rsidRDefault="00924664" w:rsidP="00924664">
      <w:r w:rsidRPr="00167CB8">
        <w:t>Clubs Australia ‘recommends an amendment to the Act to ensure that agreements can incorporate flexibility and above-award trade-offs that support productivity improvements’</w:t>
      </w:r>
      <w:r w:rsidR="003829FE">
        <w:t>.</w:t>
      </w:r>
      <w:r w:rsidRPr="00167CB8">
        <w:rPr>
          <w:rStyle w:val="FootnoteReference"/>
        </w:rPr>
        <w:footnoteReference w:id="656"/>
      </w:r>
    </w:p>
    <w:p w14:paraId="0341C06B" w14:textId="4DA73C15" w:rsidR="0011475D" w:rsidRDefault="00924664" w:rsidP="00924664">
      <w:r w:rsidRPr="000759AC">
        <w:t xml:space="preserve">In response to the </w:t>
      </w:r>
      <w:r w:rsidR="001854E5">
        <w:t>d</w:t>
      </w:r>
      <w:r w:rsidRPr="000759AC">
        <w:t xml:space="preserve">raft </w:t>
      </w:r>
      <w:r w:rsidR="001854E5">
        <w:t>r</w:t>
      </w:r>
      <w:r w:rsidRPr="000759AC">
        <w:t>eport, the amendments relating to bargaining disputes again received considerable attention and the views presented by those who made submissions remain divergent.</w:t>
      </w:r>
    </w:p>
    <w:p w14:paraId="6EDEA6C8" w14:textId="33B6A262" w:rsidR="00924664" w:rsidRPr="000759AC" w:rsidRDefault="00924664" w:rsidP="00924664">
      <w:r w:rsidRPr="000759AC">
        <w:lastRenderedPageBreak/>
        <w:t xml:space="preserve">Employer representative stakeholders commenting on the </w:t>
      </w:r>
      <w:r w:rsidR="00636D48">
        <w:t>d</w:t>
      </w:r>
      <w:r w:rsidR="00636D48" w:rsidRPr="000759AC">
        <w:t xml:space="preserve">raft </w:t>
      </w:r>
      <w:r w:rsidR="00636D48">
        <w:t>r</w:t>
      </w:r>
      <w:r w:rsidRPr="000759AC">
        <w:t xml:space="preserve">eport, including </w:t>
      </w:r>
      <w:r w:rsidR="001854E5">
        <w:t xml:space="preserve">Maritime </w:t>
      </w:r>
      <w:r w:rsidR="001854E5" w:rsidRPr="001854E5">
        <w:t>Industry Australia Ltd</w:t>
      </w:r>
      <w:r w:rsidRPr="001854E5">
        <w:t>,</w:t>
      </w:r>
      <w:r w:rsidRPr="001854E5">
        <w:rPr>
          <w:vertAlign w:val="superscript"/>
        </w:rPr>
        <w:footnoteReference w:id="657"/>
      </w:r>
      <w:r w:rsidRPr="001854E5">
        <w:t xml:space="preserve"> ARA,</w:t>
      </w:r>
      <w:r w:rsidRPr="001854E5">
        <w:rPr>
          <w:vertAlign w:val="superscript"/>
        </w:rPr>
        <w:footnoteReference w:id="658"/>
      </w:r>
      <w:r w:rsidRPr="001854E5">
        <w:t xml:space="preserve"> AHEIA,</w:t>
      </w:r>
      <w:r w:rsidRPr="001854E5">
        <w:rPr>
          <w:vertAlign w:val="superscript"/>
        </w:rPr>
        <w:footnoteReference w:id="659"/>
      </w:r>
      <w:r w:rsidRPr="001854E5">
        <w:t xml:space="preserve"> </w:t>
      </w:r>
      <w:r w:rsidR="001854E5" w:rsidRPr="001854E5">
        <w:t>Minerals Council of Australia</w:t>
      </w:r>
      <w:r w:rsidRPr="001854E5">
        <w:t>,</w:t>
      </w:r>
      <w:r w:rsidRPr="001854E5">
        <w:rPr>
          <w:vertAlign w:val="superscript"/>
        </w:rPr>
        <w:footnoteReference w:id="660"/>
      </w:r>
      <w:r w:rsidRPr="001854E5">
        <w:t xml:space="preserve"> </w:t>
      </w:r>
      <w:r w:rsidR="001854E5" w:rsidRPr="001854E5">
        <w:t>Chamber of Minerals and Energy</w:t>
      </w:r>
      <w:r w:rsidRPr="001854E5">
        <w:rPr>
          <w:vertAlign w:val="superscript"/>
        </w:rPr>
        <w:footnoteReference w:id="661"/>
      </w:r>
      <w:r w:rsidRPr="000759AC">
        <w:t xml:space="preserve"> and AREEA,</w:t>
      </w:r>
      <w:r w:rsidRPr="000759AC">
        <w:rPr>
          <w:vertAlign w:val="superscript"/>
        </w:rPr>
        <w:footnoteReference w:id="662"/>
      </w:r>
      <w:r w:rsidRPr="000759AC">
        <w:t xml:space="preserve"> reiterated calls to repeal or amend the intractable bargaining framework or, more specifically, submitt</w:t>
      </w:r>
      <w:r w:rsidR="003829FE">
        <w:t>ed</w:t>
      </w:r>
      <w:r w:rsidRPr="000759AC">
        <w:t xml:space="preserve"> that the risk and unfairness of an arbitrated outcome resulting from the amendments, particularly the ‘no less favourable’ amendment, lie with the employer.</w:t>
      </w:r>
    </w:p>
    <w:p w14:paraId="49CBCCEA" w14:textId="546BC626" w:rsidR="0011475D" w:rsidRDefault="00924664" w:rsidP="00924664">
      <w:r w:rsidRPr="000759AC">
        <w:t>Other employer stakeholders such as BCA, ACCI</w:t>
      </w:r>
      <w:r w:rsidRPr="000759AC">
        <w:rPr>
          <w:vertAlign w:val="superscript"/>
        </w:rPr>
        <w:footnoteReference w:id="663"/>
      </w:r>
      <w:r w:rsidRPr="000759AC">
        <w:t xml:space="preserve"> and AHEIA,</w:t>
      </w:r>
      <w:r w:rsidRPr="000759AC">
        <w:rPr>
          <w:vertAlign w:val="superscript"/>
        </w:rPr>
        <w:footnoteReference w:id="664"/>
      </w:r>
      <w:r w:rsidRPr="000759AC">
        <w:t xml:space="preserve"> reiterate the Closing Loopholes No. 2 Act amendments should be repealed, and the intractable bargaining framework introduced by the </w:t>
      </w:r>
      <w:r w:rsidR="003829FE">
        <w:t xml:space="preserve">Secure Jobs, Better Pay </w:t>
      </w:r>
      <w:r w:rsidRPr="000759AC">
        <w:t>Act to operate in its original form.</w:t>
      </w:r>
    </w:p>
    <w:p w14:paraId="1DBC8880" w14:textId="6ED161C1" w:rsidR="00924664" w:rsidRPr="000759AC" w:rsidRDefault="00924664" w:rsidP="00924664">
      <w:r w:rsidRPr="000759AC">
        <w:t>Ai Group stated that the intractable bargaining framework is ‘unnecessary</w:t>
      </w:r>
      <w:r w:rsidR="003829FE">
        <w:t>’</w:t>
      </w:r>
      <w:r w:rsidRPr="000759AC">
        <w:t>,</w:t>
      </w:r>
      <w:r w:rsidRPr="000759AC">
        <w:rPr>
          <w:vertAlign w:val="superscript"/>
        </w:rPr>
        <w:footnoteReference w:id="665"/>
      </w:r>
      <w:r w:rsidRPr="000759AC">
        <w:t xml:space="preserve"> but ‘if [it is] retained, [it] should operate in a fair way and without the unjustified fetters of [the </w:t>
      </w:r>
      <w:r w:rsidR="007827FA">
        <w:t>“</w:t>
      </w:r>
      <w:r w:rsidRPr="000759AC">
        <w:t>no less favourable</w:t>
      </w:r>
      <w:r w:rsidR="007827FA">
        <w:t>”</w:t>
      </w:r>
      <w:r w:rsidRPr="000759AC">
        <w:t xml:space="preserve"> test]</w:t>
      </w:r>
      <w:r w:rsidR="003829FE">
        <w:t>’</w:t>
      </w:r>
      <w:r w:rsidRPr="000759AC">
        <w:t>.</w:t>
      </w:r>
      <w:r w:rsidRPr="000759AC">
        <w:rPr>
          <w:vertAlign w:val="superscript"/>
        </w:rPr>
        <w:footnoteReference w:id="666"/>
      </w:r>
      <w:r w:rsidRPr="000759AC">
        <w:t xml:space="preserve">  Beyond repealing the intractable bargaining framework entirely, Ai Group proposes that intractable bargaining declarations should be limited to single</w:t>
      </w:r>
      <w:r w:rsidR="003829FE">
        <w:t>-</w:t>
      </w:r>
      <w:r w:rsidRPr="000759AC">
        <w:t>enterprise bargaining and that the ‘no less favourable’ amendments should be repealed or amended to allow for a global assessment or greater discretion for the FWC.</w:t>
      </w:r>
    </w:p>
    <w:p w14:paraId="64CD6AA4" w14:textId="2524DF37" w:rsidR="00924664" w:rsidRPr="000759AC" w:rsidRDefault="00924664" w:rsidP="00924664">
      <w:r w:rsidRPr="000759AC">
        <w:t xml:space="preserve">Union stakeholders, including the </w:t>
      </w:r>
      <w:r w:rsidR="008D49CD">
        <w:t>Australian Manufacturing Workers’ Union</w:t>
      </w:r>
      <w:r w:rsidRPr="000759AC">
        <w:rPr>
          <w:vertAlign w:val="superscript"/>
        </w:rPr>
        <w:footnoteReference w:id="667"/>
      </w:r>
      <w:r w:rsidRPr="000759AC">
        <w:t xml:space="preserve"> </w:t>
      </w:r>
      <w:r w:rsidR="003829FE">
        <w:t xml:space="preserve">and </w:t>
      </w:r>
      <w:r w:rsidRPr="000759AC">
        <w:t>UWU,</w:t>
      </w:r>
      <w:r w:rsidRPr="000759AC">
        <w:rPr>
          <w:vertAlign w:val="superscript"/>
        </w:rPr>
        <w:footnoteReference w:id="668"/>
      </w:r>
      <w:r w:rsidRPr="000759AC">
        <w:t xml:space="preserve"> remain supportive of amendments, including the </w:t>
      </w:r>
      <w:r w:rsidRPr="003829FE">
        <w:t>‘no less favourable</w:t>
      </w:r>
      <w:r w:rsidR="003829FE" w:rsidRPr="003829FE">
        <w:t>’</w:t>
      </w:r>
      <w:r w:rsidRPr="003829FE">
        <w:t xml:space="preserve"> test,</w:t>
      </w:r>
      <w:r w:rsidRPr="000759AC">
        <w:t xml:space="preserve"> to deal with bargaining disputes.</w:t>
      </w:r>
    </w:p>
    <w:p w14:paraId="3781151B" w14:textId="2BAEFF0C" w:rsidR="00924664" w:rsidRPr="000759AC" w:rsidRDefault="00924664" w:rsidP="00924664">
      <w:r w:rsidRPr="000759AC">
        <w:t>The ACTU</w:t>
      </w:r>
      <w:r w:rsidRPr="000759AC">
        <w:rPr>
          <w:vertAlign w:val="superscript"/>
        </w:rPr>
        <w:footnoteReference w:id="669"/>
      </w:r>
      <w:r w:rsidRPr="000759AC">
        <w:t xml:space="preserve"> and </w:t>
      </w:r>
      <w:r w:rsidR="008D49CD" w:rsidRPr="008D49CD">
        <w:t>National Tertiary Education Union</w:t>
      </w:r>
      <w:r w:rsidRPr="000759AC">
        <w:rPr>
          <w:vertAlign w:val="superscript"/>
        </w:rPr>
        <w:footnoteReference w:id="670"/>
      </w:r>
      <w:r w:rsidRPr="000759AC">
        <w:t xml:space="preserve"> stated that they are ‘concerned that the Panel appears to flag the “no less favourable” component of intractable bargaining for further review’</w:t>
      </w:r>
      <w:r>
        <w:t xml:space="preserve"> </w:t>
      </w:r>
      <w:r w:rsidR="003829FE">
        <w:t>and</w:t>
      </w:r>
      <w:r w:rsidRPr="000759AC">
        <w:t>:</w:t>
      </w:r>
      <w:r w:rsidR="003829FE" w:rsidRPr="000759AC">
        <w:rPr>
          <w:vertAlign w:val="superscript"/>
        </w:rPr>
        <w:footnoteReference w:id="671"/>
      </w:r>
    </w:p>
    <w:p w14:paraId="6E138C7D" w14:textId="5C26F606" w:rsidR="00924664" w:rsidRPr="00193022" w:rsidRDefault="00924664" w:rsidP="00846DC0">
      <w:pPr>
        <w:pStyle w:val="Quote"/>
      </w:pPr>
      <w:r w:rsidRPr="000759AC">
        <w:t xml:space="preserve">the ACTU submits that if the Panel concludes that it does not consider it has enough information to make a finding with respect to intractable bargaining, including the no less favourable requirement, such a conclusion should be worded more neutrally. There would appear to be simply no evidence of any substance before the Panel to justify an observation that appears to cast doubt on the effectiveness of the </w:t>
      </w:r>
      <w:r w:rsidR="003829FE">
        <w:t>‘</w:t>
      </w:r>
      <w:r w:rsidRPr="000759AC">
        <w:t>no less favourable</w:t>
      </w:r>
      <w:r w:rsidR="003829FE">
        <w:t>’</w:t>
      </w:r>
      <w:r w:rsidRPr="000759AC">
        <w:t xml:space="preserve"> amendment.</w:t>
      </w:r>
    </w:p>
    <w:p w14:paraId="12555325" w14:textId="322D0E76" w:rsidR="00C261B8" w:rsidRDefault="00924664" w:rsidP="00C261B8">
      <w:pPr>
        <w:pStyle w:val="Heading4"/>
      </w:pPr>
      <w:bookmarkStart w:id="264" w:name="_Toc189260245"/>
      <w:bookmarkStart w:id="265" w:name="_Toc189393561"/>
      <w:r w:rsidRPr="00C261B8">
        <w:t>14.3 Findings and recommendations</w:t>
      </w:r>
      <w:bookmarkEnd w:id="264"/>
      <w:bookmarkEnd w:id="265"/>
    </w:p>
    <w:p w14:paraId="6F1422E9" w14:textId="3149B059" w:rsidR="00924664" w:rsidRDefault="00924664" w:rsidP="00924664">
      <w:r w:rsidRPr="396ABCA7">
        <w:t>The Review Panel finds that the development of practice in this area is in its early stages. Not only have there been relatively few instances where applications have been made</w:t>
      </w:r>
      <w:r w:rsidR="00130411">
        <w:t>,</w:t>
      </w:r>
      <w:r w:rsidRPr="396ABCA7">
        <w:t xml:space="preserve"> but also </w:t>
      </w:r>
      <w:r w:rsidRPr="396ABCA7">
        <w:lastRenderedPageBreak/>
        <w:t xml:space="preserve">there have been relatively few decisions made by the FWC so far in interpreting the amendments. </w:t>
      </w:r>
      <w:r>
        <w:t>Indeed, only two workplace determinations have been made by the FWC from the nine declarations that have been granted between the commencement of the provisions on 6 June 2023 and 21 February 2025. Moreover, the much-debated s 270A ‘no less favourable’ amendments only commenced operation on 27 February 2024.</w:t>
      </w:r>
    </w:p>
    <w:p w14:paraId="01D2FCBD" w14:textId="77777777" w:rsidR="00924664" w:rsidRPr="00167CB8" w:rsidRDefault="00924664" w:rsidP="00924664">
      <w:r>
        <w:t xml:space="preserve">On the one hand, the small number of declarations and determinations could suggest that amendments are achieving their intent of </w:t>
      </w:r>
      <w:r w:rsidRPr="00167CB8">
        <w:rPr>
          <w:rFonts w:eastAsia="Aptos" w:cs="Aptos"/>
        </w:rPr>
        <w:t>provid</w:t>
      </w:r>
      <w:r>
        <w:rPr>
          <w:rFonts w:eastAsia="Aptos" w:cs="Aptos"/>
        </w:rPr>
        <w:t>ing</w:t>
      </w:r>
      <w:r w:rsidRPr="00167CB8">
        <w:rPr>
          <w:rFonts w:eastAsia="Aptos" w:cs="Aptos"/>
        </w:rPr>
        <w:t xml:space="preserve"> </w:t>
      </w:r>
      <w:r>
        <w:rPr>
          <w:rFonts w:eastAsia="Aptos" w:cs="Aptos"/>
        </w:rPr>
        <w:t>‘</w:t>
      </w:r>
      <w:r w:rsidRPr="00167CB8">
        <w:rPr>
          <w:rFonts w:eastAsia="Aptos" w:cs="Aptos"/>
        </w:rPr>
        <w:t>a strong incentive for good-faith negotiations, reduc</w:t>
      </w:r>
      <w:r>
        <w:rPr>
          <w:rFonts w:eastAsia="Aptos" w:cs="Aptos"/>
        </w:rPr>
        <w:t>[ing]</w:t>
      </w:r>
      <w:r w:rsidRPr="00167CB8">
        <w:rPr>
          <w:rFonts w:eastAsia="Aptos" w:cs="Aptos"/>
        </w:rPr>
        <w:t xml:space="preserve"> the time for enterprise agreements to be finalised and allow</w:t>
      </w:r>
      <w:r>
        <w:rPr>
          <w:rFonts w:eastAsia="Aptos" w:cs="Aptos"/>
        </w:rPr>
        <w:t>[ing]</w:t>
      </w:r>
      <w:r w:rsidRPr="00167CB8">
        <w:rPr>
          <w:rFonts w:eastAsia="Aptos" w:cs="Aptos"/>
        </w:rPr>
        <w:t xml:space="preserve"> for quicker resolution of intractable disputes</w:t>
      </w:r>
      <w:r>
        <w:rPr>
          <w:rFonts w:eastAsia="Aptos" w:cs="Aptos"/>
        </w:rPr>
        <w:t>’</w:t>
      </w:r>
      <w:r>
        <w:t>. On the other hand, caution must be exercised because t</w:t>
      </w:r>
      <w:r w:rsidRPr="396ABCA7">
        <w:t xml:space="preserve">here remain many elements to be resolved </w:t>
      </w:r>
      <w:r>
        <w:t>in relation to</w:t>
      </w:r>
      <w:r w:rsidRPr="396ABCA7">
        <w:t xml:space="preserve"> the process leading up to intractable bargaining applications and the finalising of IBWDs</w:t>
      </w:r>
      <w:r>
        <w:t>.</w:t>
      </w:r>
    </w:p>
    <w:p w14:paraId="163684F4" w14:textId="40C5E793" w:rsidR="00924664" w:rsidRPr="000759AC" w:rsidRDefault="00924664" w:rsidP="00924664">
      <w:pPr>
        <w:rPr>
          <w:rFonts w:eastAsia="Aptos" w:cs="Aptos"/>
        </w:rPr>
      </w:pPr>
      <w:r>
        <w:t xml:space="preserve">In the </w:t>
      </w:r>
      <w:r w:rsidR="008D49CD">
        <w:t>d</w:t>
      </w:r>
      <w:r>
        <w:t xml:space="preserve">raft </w:t>
      </w:r>
      <w:r w:rsidR="008D49CD">
        <w:t>r</w:t>
      </w:r>
      <w:r>
        <w:t>eport, t</w:t>
      </w:r>
      <w:r w:rsidRPr="00167CB8">
        <w:t xml:space="preserve">he Review Panel </w:t>
      </w:r>
      <w:r>
        <w:t>stated that it</w:t>
      </w:r>
      <w:r w:rsidRPr="396ABCA7">
        <w:t xml:space="preserve"> remains unconvinced about whether the ‘</w:t>
      </w:r>
      <w:r w:rsidRPr="396ABCA7">
        <w:rPr>
          <w:rFonts w:eastAsia="Aptos" w:cs="Aptos"/>
        </w:rPr>
        <w:t xml:space="preserve">not less favourable’ (s 270A) amendments have the intended effect of focusing the minds of </w:t>
      </w:r>
      <w:r>
        <w:rPr>
          <w:rFonts w:eastAsia="Aptos" w:cs="Aptos"/>
        </w:rPr>
        <w:t xml:space="preserve">all the </w:t>
      </w:r>
      <w:r w:rsidRPr="396ABCA7">
        <w:rPr>
          <w:rFonts w:eastAsia="Aptos" w:cs="Aptos"/>
        </w:rPr>
        <w:t xml:space="preserve">parties on reaching a mutually acceptable compromise. </w:t>
      </w:r>
      <w:r w:rsidRPr="000759AC">
        <w:rPr>
          <w:rFonts w:eastAsia="Aptos" w:cs="Aptos"/>
        </w:rPr>
        <w:t xml:space="preserve">In response to the </w:t>
      </w:r>
      <w:r w:rsidR="008D49CD">
        <w:rPr>
          <w:rFonts w:eastAsia="Aptos" w:cs="Aptos"/>
        </w:rPr>
        <w:t>d</w:t>
      </w:r>
      <w:r w:rsidRPr="000759AC">
        <w:rPr>
          <w:rFonts w:eastAsia="Aptos" w:cs="Aptos"/>
        </w:rPr>
        <w:t xml:space="preserve">raft </w:t>
      </w:r>
      <w:r w:rsidR="008D49CD">
        <w:rPr>
          <w:rFonts w:eastAsia="Aptos" w:cs="Aptos"/>
        </w:rPr>
        <w:t>r</w:t>
      </w:r>
      <w:r w:rsidRPr="000759AC">
        <w:rPr>
          <w:rFonts w:eastAsia="Aptos" w:cs="Aptos"/>
        </w:rPr>
        <w:t xml:space="preserve">eport, </w:t>
      </w:r>
      <w:r>
        <w:rPr>
          <w:rFonts w:eastAsia="Aptos" w:cs="Aptos"/>
        </w:rPr>
        <w:t xml:space="preserve">employer representatives were consistently opposed to s 270A, while </w:t>
      </w:r>
      <w:r w:rsidRPr="000759AC">
        <w:rPr>
          <w:rFonts w:eastAsia="Aptos" w:cs="Aptos"/>
        </w:rPr>
        <w:t>the ACTU drew the Review Panel’s attention to several perceived risks to a union bargaining representative in gaming the intractable bargaining framework. It was suggested that there remain significant disincentives to proceed to arbitration</w:t>
      </w:r>
      <w:r w:rsidR="007827FA">
        <w:rPr>
          <w:rFonts w:eastAsia="Aptos" w:cs="Aptos"/>
        </w:rPr>
        <w:t>,</w:t>
      </w:r>
      <w:r w:rsidRPr="000759AC">
        <w:rPr>
          <w:rFonts w:eastAsia="Aptos" w:cs="Aptos"/>
        </w:rPr>
        <w:t xml:space="preserve"> including the delay in achieving wage increases while arbitration occurs</w:t>
      </w:r>
      <w:r>
        <w:rPr>
          <w:rFonts w:eastAsia="Aptos" w:cs="Aptos"/>
        </w:rPr>
        <w:t>;</w:t>
      </w:r>
      <w:r w:rsidRPr="000759AC">
        <w:rPr>
          <w:rFonts w:eastAsia="Aptos" w:cs="Aptos"/>
        </w:rPr>
        <w:t xml:space="preserve"> the </w:t>
      </w:r>
      <w:r>
        <w:rPr>
          <w:rFonts w:eastAsia="Aptos" w:cs="Aptos"/>
        </w:rPr>
        <w:t xml:space="preserve">resource </w:t>
      </w:r>
      <w:r w:rsidRPr="000759AC">
        <w:rPr>
          <w:rFonts w:eastAsia="Aptos" w:cs="Aptos"/>
        </w:rPr>
        <w:t>costs of arbitration</w:t>
      </w:r>
      <w:r>
        <w:rPr>
          <w:rFonts w:eastAsia="Aptos" w:cs="Aptos"/>
        </w:rPr>
        <w:t>;</w:t>
      </w:r>
      <w:r w:rsidRPr="000759AC">
        <w:rPr>
          <w:rFonts w:eastAsia="Aptos" w:cs="Aptos"/>
        </w:rPr>
        <w:t xml:space="preserve"> and the legal issue identified in Unanderra preventing the FWC from arbitrating dispute resolution clauses with mandatory arbitration.</w:t>
      </w:r>
    </w:p>
    <w:p w14:paraId="44973127" w14:textId="77777777" w:rsidR="00924664" w:rsidRPr="00167CB8" w:rsidRDefault="00924664" w:rsidP="00924664">
      <w:pPr>
        <w:rPr>
          <w:rFonts w:eastAsia="Aptos" w:cs="Aptos"/>
        </w:rPr>
      </w:pPr>
      <w:r w:rsidRPr="000759AC">
        <w:rPr>
          <w:rFonts w:eastAsia="Aptos" w:cs="Aptos"/>
        </w:rPr>
        <w:t>Wh</w:t>
      </w:r>
      <w:r>
        <w:rPr>
          <w:rFonts w:eastAsia="Aptos" w:cs="Aptos"/>
        </w:rPr>
        <w:t xml:space="preserve">ether </w:t>
      </w:r>
      <w:r w:rsidRPr="000759AC">
        <w:rPr>
          <w:rFonts w:eastAsia="Aptos" w:cs="Aptos"/>
        </w:rPr>
        <w:t xml:space="preserve">these matters </w:t>
      </w:r>
      <w:r>
        <w:rPr>
          <w:rFonts w:eastAsia="Aptos" w:cs="Aptos"/>
        </w:rPr>
        <w:t>provide sufficient</w:t>
      </w:r>
      <w:r w:rsidRPr="000759AC">
        <w:rPr>
          <w:rFonts w:eastAsia="Aptos" w:cs="Aptos"/>
        </w:rPr>
        <w:t xml:space="preserve"> risk to focus </w:t>
      </w:r>
      <w:r>
        <w:rPr>
          <w:rFonts w:eastAsia="Aptos" w:cs="Aptos"/>
        </w:rPr>
        <w:t xml:space="preserve">the </w:t>
      </w:r>
      <w:r w:rsidRPr="000759AC">
        <w:rPr>
          <w:rFonts w:eastAsia="Aptos" w:cs="Aptos"/>
        </w:rPr>
        <w:t xml:space="preserve">minds </w:t>
      </w:r>
      <w:r>
        <w:rPr>
          <w:rFonts w:eastAsia="Aptos" w:cs="Aptos"/>
        </w:rPr>
        <w:t xml:space="preserve">of all bargaining parties </w:t>
      </w:r>
      <w:r w:rsidRPr="000759AC">
        <w:rPr>
          <w:rFonts w:eastAsia="Aptos" w:cs="Aptos"/>
        </w:rPr>
        <w:t>on reaching mutually acceptable outcomes</w:t>
      </w:r>
      <w:r>
        <w:rPr>
          <w:rFonts w:eastAsia="Aptos" w:cs="Aptos"/>
        </w:rPr>
        <w:t xml:space="preserve"> remains to be seen</w:t>
      </w:r>
      <w:r w:rsidRPr="00167CB8">
        <w:rPr>
          <w:rFonts w:eastAsia="Aptos" w:cs="Aptos"/>
        </w:rPr>
        <w:t xml:space="preserve">. </w:t>
      </w:r>
      <w:r w:rsidRPr="396ABCA7">
        <w:rPr>
          <w:rFonts w:eastAsia="Aptos" w:cs="Aptos"/>
        </w:rPr>
        <w:t>The amendments require further consideration in tribunal decisions and application in practice before the law will be fully tested. The Panel considers that close attention to forthcoming events will be required to be able to reach a conclusion on whether further amendments are required.</w:t>
      </w:r>
      <w:r>
        <w:rPr>
          <w:rFonts w:eastAsia="Aptos" w:cs="Aptos"/>
        </w:rPr>
        <w:t xml:space="preserve"> </w:t>
      </w:r>
      <w:r w:rsidRPr="00167CB8">
        <w:rPr>
          <w:rFonts w:eastAsia="Aptos" w:cs="Aptos"/>
        </w:rPr>
        <w:t xml:space="preserve">As a result, the Review Panel </w:t>
      </w:r>
      <w:r>
        <w:rPr>
          <w:rFonts w:eastAsia="Aptos" w:cs="Aptos"/>
        </w:rPr>
        <w:t>declines to make any</w:t>
      </w:r>
      <w:r w:rsidRPr="00167CB8">
        <w:rPr>
          <w:rFonts w:eastAsia="Aptos" w:cs="Aptos"/>
        </w:rPr>
        <w:t xml:space="preserve"> specific recommendations at this time.</w:t>
      </w:r>
    </w:p>
    <w:p w14:paraId="77456B99" w14:textId="77777777" w:rsidR="00924664" w:rsidRPr="00167CB8" w:rsidRDefault="00924664" w:rsidP="00924664">
      <w:pPr>
        <w:spacing w:after="160"/>
        <w:rPr>
          <w:b/>
          <w:bCs/>
        </w:rPr>
      </w:pPr>
      <w:r w:rsidRPr="00167CB8">
        <w:rPr>
          <w:b/>
          <w:bCs/>
        </w:rPr>
        <w:br w:type="page"/>
      </w:r>
    </w:p>
    <w:p w14:paraId="3D3DC2E5" w14:textId="77777777" w:rsidR="00924664" w:rsidRPr="000001A0" w:rsidRDefault="00924664" w:rsidP="00EC3517">
      <w:pPr>
        <w:pStyle w:val="Heading3"/>
      </w:pPr>
      <w:bookmarkStart w:id="266" w:name="_Toc189260246"/>
      <w:bookmarkStart w:id="267" w:name="_Toc189393562"/>
      <w:bookmarkStart w:id="268" w:name="_Toc194311422"/>
      <w:r w:rsidRPr="000001A0">
        <w:lastRenderedPageBreak/>
        <w:t>Chapter 15. Industrial action</w:t>
      </w:r>
      <w:bookmarkEnd w:id="266"/>
      <w:bookmarkEnd w:id="267"/>
      <w:bookmarkEnd w:id="268"/>
    </w:p>
    <w:p w14:paraId="3359A72F" w14:textId="77777777" w:rsidR="0011475D" w:rsidRDefault="00924664" w:rsidP="00924664">
      <w:r w:rsidRPr="00167CB8">
        <w:t xml:space="preserve">Part 19 of the Secure Jobs, Better Pay Act amended some of the provisions of the Fair Work Act relevant to industrial action. In particular, the main topic of attention in this chapter is the new requirements for bargaining representatives to attend mandatory </w:t>
      </w:r>
      <w:r>
        <w:t>conference</w:t>
      </w:r>
      <w:r w:rsidRPr="00167CB8">
        <w:t xml:space="preserve"> during the protected action ballot (PAB) period (i.e. before protected industrial action can be taken).</w:t>
      </w:r>
    </w:p>
    <w:p w14:paraId="663601FE" w14:textId="033214EE" w:rsidR="00924664" w:rsidRPr="000001A0" w:rsidRDefault="00924664" w:rsidP="00EC3517">
      <w:pPr>
        <w:pStyle w:val="Heading4"/>
      </w:pPr>
      <w:bookmarkStart w:id="269" w:name="_Toc189260247"/>
      <w:bookmarkStart w:id="270" w:name="_Toc189393563"/>
      <w:r w:rsidRPr="000001A0">
        <w:t>15.1 Amendments and intent</w:t>
      </w:r>
      <w:bookmarkEnd w:id="269"/>
      <w:bookmarkEnd w:id="270"/>
    </w:p>
    <w:p w14:paraId="151AC098" w14:textId="77777777" w:rsidR="0011475D" w:rsidRDefault="00924664" w:rsidP="00924664">
      <w:r w:rsidRPr="00167CB8">
        <w:t>The amendments themselves will first be introduced, followed by a brief exploration of the intentions behind them.</w:t>
      </w:r>
    </w:p>
    <w:p w14:paraId="6B2AA14A" w14:textId="1663FE2D" w:rsidR="00924664" w:rsidRPr="00EC3517" w:rsidRDefault="00924664" w:rsidP="00EC3517">
      <w:pPr>
        <w:pStyle w:val="Heading5"/>
      </w:pPr>
      <w:r w:rsidRPr="00EC3517">
        <w:t>15.1.1 Secure Jobs, Better Pay amendments</w:t>
      </w:r>
    </w:p>
    <w:p w14:paraId="5D7A7ECE" w14:textId="77777777" w:rsidR="00924664" w:rsidRPr="00167CB8" w:rsidRDefault="00924664" w:rsidP="00924664">
      <w:r w:rsidRPr="396ABCA7">
        <w:t xml:space="preserve">The newly amended Part 3-3 of the Fair Work Act includes </w:t>
      </w:r>
      <w:r>
        <w:t>two</w:t>
      </w:r>
      <w:r w:rsidRPr="396ABCA7">
        <w:t xml:space="preserve"> substanti</w:t>
      </w:r>
      <w:r>
        <w:t>ve</w:t>
      </w:r>
      <w:r w:rsidRPr="396ABCA7">
        <w:t xml:space="preserve"> changes: the Protected Action Ballot Agent Scheme and the introduction of a new mandatory step before protected industrial action may be taken. A third amendment to change notice periods before industrial action can be taken was also made, but this was largely technical.</w:t>
      </w:r>
    </w:p>
    <w:p w14:paraId="3F5F8678" w14:textId="217F728F" w:rsidR="00924664" w:rsidRPr="00167CB8" w:rsidRDefault="00924664" w:rsidP="00924664">
      <w:r w:rsidRPr="396ABCA7">
        <w:t>First, the amendments provide for a process whereby</w:t>
      </w:r>
      <w:r w:rsidRPr="396ABCA7">
        <w:rPr>
          <w:rFonts w:cs="Calibri"/>
        </w:rPr>
        <w:t xml:space="preserve"> the Fair Work Commission (FWC) may approve a person as an eligible PAB agent, authorised to conduct PABs (s 468A of the Fair Work Act). The FWC may approve a person as a PAB agent if they are satisfied the person is a fit and proper person and meets any other prescribed requirements under regulations (</w:t>
      </w:r>
      <w:r w:rsidR="007827FA">
        <w:rPr>
          <w:rFonts w:cs="Calibri"/>
        </w:rPr>
        <w:t>s </w:t>
      </w:r>
      <w:r w:rsidRPr="396ABCA7">
        <w:rPr>
          <w:rFonts w:cs="Calibri"/>
        </w:rPr>
        <w:t>468A(2) of the Fair Work Act).</w:t>
      </w:r>
    </w:p>
    <w:p w14:paraId="4EB67712" w14:textId="7958E9A1" w:rsidR="00924664" w:rsidRPr="00167CB8" w:rsidRDefault="00924664" w:rsidP="00924664">
      <w:r w:rsidRPr="396ABCA7">
        <w:rPr>
          <w:rFonts w:cs="Calibri"/>
        </w:rPr>
        <w:t>Second, a new mandatory step requires that, where the FWC orders a PAB in relation to a proposed enterprise agreement, the FWC must also make an order directing the bargaining representatives for the agreement to attend a conference for the purpose of mediation or conciliation in relation to the agreement (</w:t>
      </w:r>
      <w:r w:rsidR="007827FA">
        <w:rPr>
          <w:rFonts w:cs="Calibri"/>
        </w:rPr>
        <w:t>s </w:t>
      </w:r>
      <w:r w:rsidRPr="396ABCA7">
        <w:rPr>
          <w:rFonts w:cs="Calibri"/>
        </w:rPr>
        <w:t>448A(1) of the Fair Work Act). This conference must occur before the close of voting as specified by the PAB (</w:t>
      </w:r>
      <w:r w:rsidR="007827FA">
        <w:rPr>
          <w:rFonts w:cs="Calibri"/>
        </w:rPr>
        <w:t>s </w:t>
      </w:r>
      <w:r w:rsidRPr="396ABCA7">
        <w:rPr>
          <w:rFonts w:cs="Calibri"/>
        </w:rPr>
        <w:t>448A(2) of the Fair Work Act).</w:t>
      </w:r>
    </w:p>
    <w:p w14:paraId="4D210DC0" w14:textId="389D2AEF" w:rsidR="0011475D" w:rsidRDefault="00924664" w:rsidP="00924664">
      <w:pPr>
        <w:rPr>
          <w:rFonts w:cs="Calibri"/>
        </w:rPr>
      </w:pPr>
      <w:r w:rsidRPr="396ABCA7">
        <w:rPr>
          <w:rFonts w:cs="Calibri"/>
        </w:rPr>
        <w:t xml:space="preserve">If a bargaining representative (employee or employer) fails to participate </w:t>
      </w:r>
      <w:r w:rsidR="007827FA">
        <w:rPr>
          <w:rFonts w:cs="Calibri"/>
        </w:rPr>
        <w:t xml:space="preserve">in </w:t>
      </w:r>
      <w:r w:rsidRPr="396ABCA7">
        <w:rPr>
          <w:rFonts w:cs="Calibri"/>
        </w:rPr>
        <w:t>the mandatory conference, they will be in breach of an order of the FWC. Consequently, they will not be able to satisfy the common requirements that apply for industrial action to be protected.</w:t>
      </w:r>
      <w:r w:rsidRPr="00167CB8">
        <w:rPr>
          <w:rStyle w:val="FootnoteReference"/>
          <w:rFonts w:cs="Calibri"/>
        </w:rPr>
        <w:footnoteReference w:id="672"/>
      </w:r>
    </w:p>
    <w:p w14:paraId="3554C8F5" w14:textId="37CAB1C3" w:rsidR="0011475D" w:rsidRDefault="00924664" w:rsidP="00924664">
      <w:r w:rsidRPr="396ABCA7">
        <w:t xml:space="preserve">Further amendments to the mandatory conference process were made by the </w:t>
      </w:r>
      <w:r w:rsidRPr="396ABCA7">
        <w:rPr>
          <w:i/>
          <w:iCs/>
        </w:rPr>
        <w:t xml:space="preserve">Fair Work Legislation Amendment (Closing Loopholes) Act </w:t>
      </w:r>
      <w:r w:rsidR="00FA6D32">
        <w:rPr>
          <w:i/>
          <w:iCs/>
        </w:rPr>
        <w:t>2023</w:t>
      </w:r>
      <w:r w:rsidRPr="00167CB8">
        <w:t xml:space="preserve"> </w:t>
      </w:r>
      <w:r w:rsidRPr="396ABCA7">
        <w:t xml:space="preserve">(Cth) (Closing Loopholes Act), providing non-attendance at a compulsory conference by a bargaining representative who </w:t>
      </w:r>
      <w:r w:rsidRPr="000001A0">
        <w:rPr>
          <w:b/>
          <w:bCs/>
        </w:rPr>
        <w:t>did not</w:t>
      </w:r>
      <w:r w:rsidRPr="396ABCA7">
        <w:t xml:space="preserve"> apply for the PAB order would no longer result in any subsequent industrial action being unprotected.</w:t>
      </w:r>
      <w:r w:rsidRPr="396ABCA7">
        <w:rPr>
          <w:rStyle w:val="FootnoteReference"/>
        </w:rPr>
        <w:footnoteReference w:id="673"/>
      </w:r>
    </w:p>
    <w:p w14:paraId="55E53DEC" w14:textId="5BB38552" w:rsidR="0011475D" w:rsidRDefault="00924664" w:rsidP="00924664">
      <w:pPr>
        <w:rPr>
          <w:rFonts w:cs="Calibri"/>
        </w:rPr>
      </w:pPr>
      <w:r w:rsidRPr="396ABCA7">
        <w:rPr>
          <w:rFonts w:cs="Calibri"/>
        </w:rPr>
        <w:t xml:space="preserve">Third, the notice requirements for protected industrial action were amended to require at least 120 hours notice before commencing the industrial action </w:t>
      </w:r>
      <w:r w:rsidRPr="000759AC">
        <w:rPr>
          <w:rFonts w:cs="Calibri"/>
        </w:rPr>
        <w:t xml:space="preserve">for multi-employer </w:t>
      </w:r>
      <w:r>
        <w:rPr>
          <w:rFonts w:cs="Calibri"/>
        </w:rPr>
        <w:t>agreements</w:t>
      </w:r>
      <w:r w:rsidRPr="000759AC">
        <w:rPr>
          <w:rFonts w:cs="Calibri"/>
        </w:rPr>
        <w:t xml:space="preserve"> (</w:t>
      </w:r>
      <w:r w:rsidR="007827FA">
        <w:rPr>
          <w:rFonts w:cs="Calibri"/>
        </w:rPr>
        <w:t>s </w:t>
      </w:r>
      <w:r w:rsidRPr="000759AC">
        <w:rPr>
          <w:rFonts w:cs="Calibri"/>
        </w:rPr>
        <w:t xml:space="preserve">414(2)(a)(ii) of the Fair Work Act). Section 413(2) of the Fair Work Act and the note to </w:t>
      </w:r>
      <w:r w:rsidR="007827FA">
        <w:rPr>
          <w:rFonts w:cs="Calibri"/>
        </w:rPr>
        <w:t>s </w:t>
      </w:r>
      <w:r w:rsidRPr="000759AC">
        <w:rPr>
          <w:rFonts w:cs="Calibri"/>
        </w:rPr>
        <w:t>414(2) clarify that</w:t>
      </w:r>
      <w:r w:rsidR="007827FA">
        <w:rPr>
          <w:rFonts w:cs="Calibri"/>
        </w:rPr>
        <w:t>,</w:t>
      </w:r>
      <w:r w:rsidRPr="000759AC">
        <w:rPr>
          <w:rFonts w:cs="Calibri"/>
        </w:rPr>
        <w:t xml:space="preserve"> while industrial action can be taken for multi-enterprise agreements, it must not relate to a proposed greenfields agreement or a proposed cooperative workplace agreement.</w:t>
      </w:r>
    </w:p>
    <w:p w14:paraId="56C26E78" w14:textId="77777777" w:rsidR="0011475D" w:rsidRPr="00354914" w:rsidRDefault="00924664" w:rsidP="00EC3517">
      <w:pPr>
        <w:pStyle w:val="Heading5"/>
      </w:pPr>
      <w:r w:rsidRPr="00354914">
        <w:lastRenderedPageBreak/>
        <w:t>15.1.2 Intent of Secure Jobs, Better Pay amendments</w:t>
      </w:r>
    </w:p>
    <w:p w14:paraId="1F620735" w14:textId="568566B7" w:rsidR="00924664" w:rsidRPr="00167CB8" w:rsidRDefault="00924664" w:rsidP="00924664">
      <w:r w:rsidRPr="396ABCA7">
        <w:t xml:space="preserve">The intent of the amendments to the industrial relations framework by the </w:t>
      </w:r>
      <w:r>
        <w:t>Secure Jobs, Better Pay</w:t>
      </w:r>
      <w:r w:rsidRPr="396ABCA7">
        <w:t xml:space="preserve"> Act was to promote efficiency in dealing with applications for PAB orders and ‘de-escalate’ disputes prior to industrial action being taken.</w:t>
      </w:r>
      <w:r w:rsidRPr="396ABCA7">
        <w:rPr>
          <w:rStyle w:val="FootnoteReference"/>
        </w:rPr>
        <w:footnoteReference w:id="674"/>
      </w:r>
      <w:r w:rsidRPr="396ABCA7">
        <w:t xml:space="preserve"> The result, in a broader context, would lead to an increase in collective bargaining and wages.</w:t>
      </w:r>
    </w:p>
    <w:p w14:paraId="0EBB349A" w14:textId="77777777" w:rsidR="00924664" w:rsidRPr="00354914" w:rsidRDefault="00924664" w:rsidP="00EC3517">
      <w:pPr>
        <w:pStyle w:val="Heading4"/>
      </w:pPr>
      <w:bookmarkStart w:id="271" w:name="_Toc189260248"/>
      <w:bookmarkStart w:id="272" w:name="_Toc189393564"/>
      <w:r w:rsidRPr="00354914">
        <w:t>15.2 Impact and issues</w:t>
      </w:r>
      <w:bookmarkEnd w:id="271"/>
      <w:bookmarkEnd w:id="272"/>
    </w:p>
    <w:p w14:paraId="0765A108" w14:textId="77777777" w:rsidR="0011475D" w:rsidRDefault="00924664" w:rsidP="00924664">
      <w:r w:rsidRPr="396ABCA7">
        <w:t xml:space="preserve">The impact of the amendments in the Secure Jobs, Better Pay Act and the subsequent Closing Loopholes Act are yet to play out, with data suggesting the levels of industrial action have remained largely unchanged. While the introduction of the mandatory conference has caused some unease, the other changes </w:t>
      </w:r>
      <w:r w:rsidRPr="000759AC">
        <w:t xml:space="preserve">(longer notice periods for </w:t>
      </w:r>
      <w:r>
        <w:t>a proposed multi-enterprise agreement</w:t>
      </w:r>
      <w:r w:rsidRPr="000759AC">
        <w:t xml:space="preserve"> before industrial action can be taken, the eligible PAB agent scheme and ability to take protected industrial action in relation to certain multi-enterprise agreements)</w:t>
      </w:r>
      <w:r w:rsidRPr="396ABCA7">
        <w:t xml:space="preserve"> have been largely uncontroversial.</w:t>
      </w:r>
    </w:p>
    <w:p w14:paraId="5C6FF897" w14:textId="10AE3CF8" w:rsidR="00924664" w:rsidRPr="00354914" w:rsidRDefault="00924664" w:rsidP="00EC3517">
      <w:pPr>
        <w:pStyle w:val="Heading5"/>
      </w:pPr>
      <w:r w:rsidRPr="00354914">
        <w:t>15.2.1 Quantitative evidence</w:t>
      </w:r>
    </w:p>
    <w:p w14:paraId="11737F2B" w14:textId="687BC547" w:rsidR="0011475D" w:rsidRDefault="00924664" w:rsidP="00924664">
      <w:r w:rsidRPr="00167CB8">
        <w:t xml:space="preserve">The main sources of quantitative data concerning industrial disputes are the Australian Bureau of Statistics (ABS) Industrial Disputes data and Fair Work Commission reports. </w:t>
      </w:r>
      <w:r>
        <w:t xml:space="preserve">These sources </w:t>
      </w:r>
      <w:r w:rsidRPr="006762E8">
        <w:t xml:space="preserve">are analysed in </w:t>
      </w:r>
      <w:r w:rsidRPr="00354914">
        <w:t xml:space="preserve">Figures </w:t>
      </w:r>
      <w:r w:rsidR="006762E8" w:rsidRPr="00354914">
        <w:t>61</w:t>
      </w:r>
      <w:r w:rsidRPr="00354914">
        <w:t xml:space="preserve"> and </w:t>
      </w:r>
      <w:r w:rsidR="006762E8" w:rsidRPr="00354914">
        <w:t>62</w:t>
      </w:r>
      <w:r w:rsidRPr="00354914">
        <w:t xml:space="preserve"> in Appendix 3</w:t>
      </w:r>
      <w:r w:rsidRPr="006762E8">
        <w:t>.</w:t>
      </w:r>
    </w:p>
    <w:p w14:paraId="0311325B" w14:textId="3078481E" w:rsidR="00924664" w:rsidRPr="00167CB8" w:rsidRDefault="00924664" w:rsidP="00924664">
      <w:r w:rsidRPr="396ABCA7">
        <w:t xml:space="preserve">The statistical data reveals </w:t>
      </w:r>
      <w:r>
        <w:t>two</w:t>
      </w:r>
      <w:r w:rsidRPr="396ABCA7">
        <w:t xml:space="preserve"> matters. First, there are differences in the number of disputes each year. This may relate to the cycle of enterprise bargaining across the economy, although other factors are potential influences. Second, these differences are within a very narrow and very low band. The evidence does not establish that there has been any increase or difference in the level and variance of industrial disputation since the commencement of the amendments overall.</w:t>
      </w:r>
    </w:p>
    <w:p w14:paraId="54DFC2C1" w14:textId="77777777" w:rsidR="00354914" w:rsidRDefault="00924664" w:rsidP="00354914">
      <w:pPr>
        <w:pStyle w:val="Heading5"/>
      </w:pPr>
      <w:r w:rsidRPr="00354914">
        <w:t>15.2.2 Qualitative evidence</w:t>
      </w:r>
    </w:p>
    <w:p w14:paraId="728C3C87" w14:textId="128E120F" w:rsidR="0011475D" w:rsidRDefault="00924664" w:rsidP="00924664">
      <w:r w:rsidRPr="00167CB8">
        <w:t>Early in the operation of these amendments, an unintended consequence arose.</w:t>
      </w:r>
    </w:p>
    <w:p w14:paraId="3280CBC0" w14:textId="2E1CEF97" w:rsidR="00924664" w:rsidRPr="00167CB8" w:rsidRDefault="00924664" w:rsidP="00924664">
      <w:r w:rsidRPr="00167CB8">
        <w:t xml:space="preserve">In a decision of 4 August </w:t>
      </w:r>
      <w:r w:rsidR="005C7B17" w:rsidRPr="00167CB8">
        <w:t>202</w:t>
      </w:r>
      <w:r w:rsidR="005C7B17">
        <w:t>3</w:t>
      </w:r>
      <w:r w:rsidRPr="00167CB8">
        <w:t>, the FWC considered the new mandatory conference provisions.</w:t>
      </w:r>
      <w:r w:rsidRPr="00167CB8">
        <w:rPr>
          <w:rStyle w:val="FootnoteReference"/>
        </w:rPr>
        <w:footnoteReference w:id="675"/>
      </w:r>
      <w:r w:rsidRPr="00167CB8">
        <w:t xml:space="preserve"> In reaching its decision, the Full Bench of the FWC noted that industrial action ‘will only be protected industrial action if </w:t>
      </w:r>
      <w:r w:rsidRPr="00EC3517">
        <w:rPr>
          <w:i/>
          <w:iCs/>
        </w:rPr>
        <w:t>each</w:t>
      </w:r>
      <w:r w:rsidRPr="00167CB8">
        <w:t xml:space="preserve"> bargaining representative of an employee who will be covered by the agreement’ had not contravened a mandatory conference order issued by the FWC.</w:t>
      </w:r>
      <w:r w:rsidRPr="00167CB8">
        <w:rPr>
          <w:rStyle w:val="FootnoteReference"/>
        </w:rPr>
        <w:footnoteReference w:id="676"/>
      </w:r>
      <w:r w:rsidRPr="00167CB8">
        <w:t xml:space="preserve"> The Full Bench pointed out that noncompliance, even by a bargaining representative ‘who may not have been the applicant for the PABO, could result in any subsequent employee claim action being unprotected’ for all parties.</w:t>
      </w:r>
    </w:p>
    <w:p w14:paraId="12156230" w14:textId="77777777" w:rsidR="00924664" w:rsidRPr="00167CB8" w:rsidRDefault="00924664" w:rsidP="00924664">
      <w:r w:rsidRPr="396ABCA7">
        <w:t>The Closing Loopholes Act made further amendments to these provisions to rectify the practical implications highlighted by the Full Bench (as noted above).</w:t>
      </w:r>
      <w:r w:rsidRPr="396ABCA7">
        <w:rPr>
          <w:rStyle w:val="FootnoteReference"/>
        </w:rPr>
        <w:footnoteReference w:id="677"/>
      </w:r>
    </w:p>
    <w:p w14:paraId="59649252" w14:textId="77777777" w:rsidR="00924664" w:rsidRPr="007B4B6B" w:rsidRDefault="00924664" w:rsidP="00EC3517">
      <w:pPr>
        <w:pStyle w:val="Heading5"/>
      </w:pPr>
      <w:r w:rsidRPr="007B4B6B">
        <w:lastRenderedPageBreak/>
        <w:t>15.2.3 Stakeholder views</w:t>
      </w:r>
    </w:p>
    <w:p w14:paraId="024E2730" w14:textId="77777777" w:rsidR="00924664" w:rsidRPr="00167CB8" w:rsidRDefault="00924664" w:rsidP="00924664">
      <w:r w:rsidRPr="396ABCA7">
        <w:t xml:space="preserve">Stakeholder views on the amendments were mixed, but they largely focused on the new mandatory conference requirement inserted by the </w:t>
      </w:r>
      <w:r>
        <w:t>Secure Jobs, Better Pay</w:t>
      </w:r>
      <w:r w:rsidRPr="396ABCA7">
        <w:t xml:space="preserve"> Act.</w:t>
      </w:r>
    </w:p>
    <w:p w14:paraId="0B421649" w14:textId="77777777" w:rsidR="00924664" w:rsidRPr="00167CB8" w:rsidRDefault="00924664" w:rsidP="00924664">
      <w:r w:rsidRPr="00167CB8">
        <w:t>Ai Group supported amendments to require mandatory conferences as ‘worthwhile’</w:t>
      </w:r>
      <w:r w:rsidRPr="00167CB8">
        <w:rPr>
          <w:rStyle w:val="FootnoteReference"/>
        </w:rPr>
        <w:footnoteReference w:id="678"/>
      </w:r>
      <w:r w:rsidRPr="00167CB8">
        <w:t xml:space="preserve"> and noted that in some cases they have led to agreement being reached, resulting in less industrial action.</w:t>
      </w:r>
      <w:r w:rsidRPr="00167CB8">
        <w:rPr>
          <w:rStyle w:val="FootnoteReference"/>
        </w:rPr>
        <w:footnoteReference w:id="679"/>
      </w:r>
      <w:r w:rsidRPr="00167CB8">
        <w:t xml:space="preserve"> The Australian Chamber of Commerce and Industry (ACCI) shared similar views that mandatory conferences are a ‘further opportunity for parties to participate in a process that may bring it closer to a resolution, and may in fact avoid [protected industrial action] altogether’.</w:t>
      </w:r>
      <w:r w:rsidRPr="00167CB8">
        <w:rPr>
          <w:rStyle w:val="FootnoteReference"/>
        </w:rPr>
        <w:footnoteReference w:id="680"/>
      </w:r>
      <w:r w:rsidRPr="00167CB8">
        <w:t xml:space="preserve"> However, both Ai Group and ACCI reported issues with the process, citing frustration over the obligation when consent not to participate was reached between parties; and calling for the FWC to have further discretion to convene conferences in a way that minimises any administrative burden.</w:t>
      </w:r>
      <w:r w:rsidRPr="00167CB8">
        <w:rPr>
          <w:rStyle w:val="FootnoteReference"/>
        </w:rPr>
        <w:footnoteReference w:id="681"/>
      </w:r>
    </w:p>
    <w:p w14:paraId="015DAAB2" w14:textId="77777777" w:rsidR="00924664" w:rsidRPr="00167CB8" w:rsidRDefault="00924664" w:rsidP="00924664">
      <w:r w:rsidRPr="396ABCA7">
        <w:t>The Australian Resources &amp; Energy Employer Association wholly criticised these changes on behalf of their members, stating the conferences were a ‘waste of time for all parties’,</w:t>
      </w:r>
      <w:r w:rsidRPr="396ABCA7">
        <w:rPr>
          <w:rStyle w:val="FootnoteReference"/>
        </w:rPr>
        <w:footnoteReference w:id="682"/>
      </w:r>
      <w:r w:rsidRPr="396ABCA7">
        <w:t xml:space="preserve"> and the FWC was not making any ‘real efforts to avert industrial action or help parties resolve the dispute’.</w:t>
      </w:r>
      <w:r w:rsidRPr="396ABCA7">
        <w:rPr>
          <w:rStyle w:val="FootnoteReference"/>
        </w:rPr>
        <w:footnoteReference w:id="683"/>
      </w:r>
    </w:p>
    <w:p w14:paraId="0C5DB991" w14:textId="77777777" w:rsidR="00623FF5" w:rsidRDefault="00924664" w:rsidP="00924664">
      <w:r w:rsidRPr="00167CB8">
        <w:t>Union stakeholders shared a similar view. The Australian Nursing and Midwifery Federation (ANMF) and United Workers Union (UWU) both reported negative experiences of mandatory conferences and that conferences had not achieved their intended aim.</w:t>
      </w:r>
      <w:r w:rsidRPr="00167CB8">
        <w:rPr>
          <w:rStyle w:val="FootnoteReference"/>
        </w:rPr>
        <w:footnoteReference w:id="684"/>
      </w:r>
      <w:r w:rsidRPr="00167CB8">
        <w:t xml:space="preserve"> The ANMF argued that the mandatory conferences ‘undermine the significant bargaining tool of protected action’,</w:t>
      </w:r>
      <w:r w:rsidRPr="00167CB8">
        <w:rPr>
          <w:rStyle w:val="FootnoteReference"/>
        </w:rPr>
        <w:footnoteReference w:id="685"/>
      </w:r>
      <w:r w:rsidRPr="00167CB8">
        <w:t xml:space="preserve"> while the UWU similarly stated that any ‘movement’ between parties is due to threat of industrial action rather than the conference itself.</w:t>
      </w:r>
      <w:r w:rsidRPr="00167CB8">
        <w:rPr>
          <w:rStyle w:val="FootnoteReference"/>
        </w:rPr>
        <w:footnoteReference w:id="686"/>
      </w:r>
      <w:r w:rsidRPr="00167CB8">
        <w:t xml:space="preserve"> The UWU called for the removal of this provision.</w:t>
      </w:r>
      <w:r w:rsidRPr="00167CB8">
        <w:rPr>
          <w:rStyle w:val="FootnoteReference"/>
        </w:rPr>
        <w:footnoteReference w:id="687"/>
      </w:r>
      <w:r w:rsidRPr="00167CB8">
        <w:t xml:space="preserve"> </w:t>
      </w:r>
      <w:r w:rsidR="007827FA">
        <w:t xml:space="preserve">The </w:t>
      </w:r>
      <w:r w:rsidR="00380E5A">
        <w:t>Australian Workers’ Union (</w:t>
      </w:r>
      <w:r w:rsidRPr="00167CB8">
        <w:t>AWU</w:t>
      </w:r>
      <w:r w:rsidR="00380E5A">
        <w:t>)</w:t>
      </w:r>
      <w:r w:rsidRPr="00167CB8">
        <w:t xml:space="preserve"> stated it is not supportive of any additional requirements ‘to withdraw … labour in pursuit of better employment outcomes’ and noted mixed feelings about mandatory conferences and inconsistency of approach between members.</w:t>
      </w:r>
      <w:r w:rsidRPr="00167CB8">
        <w:rPr>
          <w:rStyle w:val="FootnoteReference"/>
        </w:rPr>
        <w:footnoteReference w:id="688"/>
      </w:r>
      <w:r w:rsidRPr="00167CB8">
        <w:t xml:space="preserve"> Forsyth and McCrystal expressed a similar sentiment about the compulsory conciliation conference, stating this amendment imposed ‘another hurdle on bargaining representatives seeking to take protected industrial action during bargaining for a new agreement’.</w:t>
      </w:r>
      <w:r w:rsidRPr="00167CB8">
        <w:rPr>
          <w:rStyle w:val="FootnoteReference"/>
        </w:rPr>
        <w:footnoteReference w:id="689"/>
      </w:r>
    </w:p>
    <w:p w14:paraId="5C8D18B8" w14:textId="199F3916" w:rsidR="00924664" w:rsidRPr="000759AC" w:rsidRDefault="00924664" w:rsidP="00924664">
      <w:r w:rsidRPr="000759AC">
        <w:lastRenderedPageBreak/>
        <w:t>In submissions in response to the draft report, employer associations</w:t>
      </w:r>
      <w:r w:rsidRPr="000759AC">
        <w:rPr>
          <w:rStyle w:val="FootnoteReference"/>
        </w:rPr>
        <w:footnoteReference w:id="690"/>
      </w:r>
      <w:r w:rsidRPr="000759AC">
        <w:t xml:space="preserve"> (</w:t>
      </w:r>
      <w:r w:rsidR="00380E5A" w:rsidRPr="00380E5A">
        <w:t>Maritime Industry Australia Ltd</w:t>
      </w:r>
      <w:r w:rsidRPr="000759AC">
        <w:t xml:space="preserve">, ACCI, </w:t>
      </w:r>
      <w:r>
        <w:t>Ai Group</w:t>
      </w:r>
      <w:r w:rsidRPr="000759AC">
        <w:t>) and unions</w:t>
      </w:r>
      <w:r w:rsidRPr="000759AC">
        <w:rPr>
          <w:rStyle w:val="FootnoteReference"/>
        </w:rPr>
        <w:footnoteReference w:id="691"/>
      </w:r>
      <w:r w:rsidRPr="000759AC">
        <w:t xml:space="preserve"> (AWU, ANMF and UWU) largely supported the recommendation that the FWC have discretion on whether to conduct a conference or not. For example, </w:t>
      </w:r>
      <w:r w:rsidR="007827FA">
        <w:t xml:space="preserve">the </w:t>
      </w:r>
      <w:r w:rsidRPr="000759AC">
        <w:t>ANMF stated</w:t>
      </w:r>
      <w:r w:rsidR="007827FA">
        <w:t>,</w:t>
      </w:r>
      <w:r w:rsidRPr="000759AC">
        <w:t xml:space="preserve"> ‘enabling the FWC to exercise discretion based on the view of the parties will preserve the resources of parties that may otherwise be wasted attending a conciliation conference without any prospect of advancing relevant issues’</w:t>
      </w:r>
      <w:r w:rsidR="007827FA">
        <w:t>.</w:t>
      </w:r>
      <w:r w:rsidRPr="000759AC">
        <w:rPr>
          <w:rStyle w:val="FootnoteReference"/>
        </w:rPr>
        <w:footnoteReference w:id="692"/>
      </w:r>
    </w:p>
    <w:p w14:paraId="2BFA2FCD" w14:textId="77777777" w:rsidR="00924664" w:rsidRPr="00167CB8" w:rsidRDefault="00924664" w:rsidP="00924664">
      <w:r w:rsidRPr="000759AC">
        <w:t>The Australian Higher Education Industrial Association, while acknowledging the mandatory conference may not be an effective use of FWC’s resources, raised concerns that one party would attempt to pressure the other to request there be no conference.</w:t>
      </w:r>
      <w:r w:rsidRPr="000759AC">
        <w:rPr>
          <w:rStyle w:val="FootnoteReference"/>
        </w:rPr>
        <w:footnoteReference w:id="693"/>
      </w:r>
    </w:p>
    <w:p w14:paraId="38088911" w14:textId="11960C7E" w:rsidR="00924664" w:rsidRPr="00167CB8" w:rsidRDefault="00924664" w:rsidP="00924664">
      <w:r w:rsidRPr="396ABCA7">
        <w:t>Of</w:t>
      </w:r>
      <w:r w:rsidRPr="396ABCA7" w:rsidDel="00454620">
        <w:t xml:space="preserve"> </w:t>
      </w:r>
      <w:r w:rsidRPr="396ABCA7">
        <w:t xml:space="preserve">the few stakeholders that did comment on the PAB agent process, such as the Community and Public Sector Union (PSU Group), UWU, Australian Chamber of Commerce and Industry and Ai Group, there was substantial agreement that the amendments are beneficial. Some stakeholders, while generally supportive of the efficiency reform, have suggested that close monitoring of performance of </w:t>
      </w:r>
      <w:r w:rsidR="007827FA">
        <w:t xml:space="preserve">PAB </w:t>
      </w:r>
      <w:r w:rsidRPr="396ABCA7">
        <w:t>agents should continue to ensure the robustness and transparency of the ballot process.</w:t>
      </w:r>
      <w:r w:rsidRPr="396ABCA7">
        <w:rPr>
          <w:rStyle w:val="FootnoteReference"/>
        </w:rPr>
        <w:footnoteReference w:id="694"/>
      </w:r>
    </w:p>
    <w:p w14:paraId="3A7F107E" w14:textId="4469F48C" w:rsidR="00924664" w:rsidRPr="00167CB8" w:rsidRDefault="00924664" w:rsidP="00924664">
      <w:r w:rsidRPr="396ABCA7">
        <w:t>From a more general perspective, Forsyth and McCrystal critiqued the entire approach to industrial action under the Fair Work Act, saying</w:t>
      </w:r>
      <w:r w:rsidR="007827FA">
        <w:t>,</w:t>
      </w:r>
      <w:r w:rsidRPr="396ABCA7">
        <w:t xml:space="preserve"> ‘the legislative regime is highly complex and challenging to navigate’.</w:t>
      </w:r>
      <w:r w:rsidRPr="396ABCA7">
        <w:rPr>
          <w:rStyle w:val="FootnoteReference"/>
        </w:rPr>
        <w:footnoteReference w:id="695"/>
      </w:r>
      <w:r w:rsidRPr="396ABCA7">
        <w:t xml:space="preserve"> They draw on a previous article by Professor McCrystal which outlines</w:t>
      </w:r>
      <w:r w:rsidR="007827FA">
        <w:t xml:space="preserve"> ‘</w:t>
      </w:r>
      <w:r w:rsidR="007827FA" w:rsidRPr="007827FA">
        <w:t>the range of circumstances under which they [employees] can take lawful strike action are very narrow: when those circumstances arise it is technically difficult to engage in lawful strike action and easy to get it wrong, and when lawful strike action does occur the action may be stopped</w:t>
      </w:r>
      <w:r w:rsidR="007827FA">
        <w:t>’.</w:t>
      </w:r>
      <w:r w:rsidRPr="396ABCA7">
        <w:rPr>
          <w:rStyle w:val="FootnoteReference"/>
        </w:rPr>
        <w:footnoteReference w:id="696"/>
      </w:r>
    </w:p>
    <w:p w14:paraId="4395038D" w14:textId="77777777" w:rsidR="00623FF5" w:rsidRDefault="00924664" w:rsidP="00924664">
      <w:r w:rsidRPr="00167CB8">
        <w:t>Forsyth and McCrystal also criticised Secure Jobs, Better Pay amendments to industrial action as continuing the ‘trend of legal change effectively weakening worker access to the right to strike’.</w:t>
      </w:r>
      <w:r w:rsidRPr="00167CB8">
        <w:rPr>
          <w:rStyle w:val="FootnoteReference"/>
        </w:rPr>
        <w:footnoteReference w:id="697"/>
      </w:r>
      <w:r w:rsidRPr="00167CB8">
        <w:t xml:space="preserve"> However, the authors supported the availability of protected industrial action for certain multi-employer agreements</w:t>
      </w:r>
      <w:r w:rsidRPr="00167CB8">
        <w:rPr>
          <w:rStyle w:val="FootnoteReference"/>
        </w:rPr>
        <w:footnoteReference w:id="698"/>
      </w:r>
      <w:r w:rsidRPr="00167CB8">
        <w:t xml:space="preserve"> </w:t>
      </w:r>
      <w:r w:rsidRPr="00167CB8">
        <w:rPr>
          <w:rFonts w:ascii="Symbol" w:eastAsia="Symbol" w:hAnsi="Symbol" w:cs="Symbol"/>
        </w:rPr>
        <w:t>-</w:t>
      </w:r>
      <w:r w:rsidRPr="00167CB8">
        <w:t xml:space="preserve"> in particular, single-interest employer agreements and supported bargaining agreements.</w:t>
      </w:r>
    </w:p>
    <w:p w14:paraId="21A3DFC2" w14:textId="7C3AB31B" w:rsidR="0011475D" w:rsidRDefault="00924664" w:rsidP="00924664">
      <w:r w:rsidRPr="396ABCA7">
        <w:t>Ai Group called for the ability to take protected industrial action at the multi-employer level to be taken away, calling this ‘not appropriate’.</w:t>
      </w:r>
      <w:r w:rsidR="005D0DD4" w:rsidRPr="396ABCA7">
        <w:t xml:space="preserve"> </w:t>
      </w:r>
      <w:r w:rsidRPr="396ABCA7">
        <w:t>Instead, protected industrial action should only be permitted in bargaining for a single-enterprise agreement.</w:t>
      </w:r>
      <w:r w:rsidRPr="396ABCA7">
        <w:rPr>
          <w:rStyle w:val="FootnoteReference"/>
        </w:rPr>
        <w:footnoteReference w:id="699"/>
      </w:r>
    </w:p>
    <w:p w14:paraId="248B3857" w14:textId="2BAECD24" w:rsidR="00924664" w:rsidRPr="00167CB8" w:rsidRDefault="00924664" w:rsidP="00924664">
      <w:r w:rsidRPr="00167CB8">
        <w:lastRenderedPageBreak/>
        <w:t xml:space="preserve">The Australian Council of Trade Unions (ACTU) recommended that s 413(5) of the Fair Work Act, which takes away the protected nature of industrial action if the party fails to comply with an order, should be repealed (with UWU and Construction and General Division of the </w:t>
      </w:r>
      <w:r w:rsidR="00380E5A" w:rsidRPr="00380E5A">
        <w:t xml:space="preserve">Construction, Forestry and Maritime Employees Union </w:t>
      </w:r>
      <w:r w:rsidRPr="00167CB8">
        <w:t>agreeing).</w:t>
      </w:r>
      <w:r w:rsidRPr="00167CB8">
        <w:rPr>
          <w:rStyle w:val="FootnoteReference"/>
        </w:rPr>
        <w:footnoteReference w:id="700"/>
      </w:r>
      <w:r w:rsidRPr="00167CB8">
        <w:t xml:space="preserve"> </w:t>
      </w:r>
      <w:r w:rsidR="00EC5E9C">
        <w:t xml:space="preserve">The </w:t>
      </w:r>
      <w:r w:rsidRPr="00167CB8">
        <w:t>ACTU argued this provision ‘adds nothing legitimate’ to the merit requirement under s 413(5) and instead can result in unintended consequences.</w:t>
      </w:r>
      <w:r w:rsidRPr="00167CB8">
        <w:rPr>
          <w:rStyle w:val="FootnoteReference"/>
        </w:rPr>
        <w:footnoteReference w:id="701"/>
      </w:r>
    </w:p>
    <w:p w14:paraId="75E887C8" w14:textId="349E45EB" w:rsidR="0011475D" w:rsidRDefault="00924664" w:rsidP="00924664">
      <w:r w:rsidRPr="000759AC">
        <w:t xml:space="preserve">In submissions in response to the </w:t>
      </w:r>
      <w:r w:rsidR="00380E5A">
        <w:t>d</w:t>
      </w:r>
      <w:r w:rsidRPr="000759AC">
        <w:t xml:space="preserve">raft </w:t>
      </w:r>
      <w:r w:rsidR="00380E5A">
        <w:t>r</w:t>
      </w:r>
      <w:r w:rsidRPr="000759AC">
        <w:t xml:space="preserve">eport, both </w:t>
      </w:r>
      <w:r w:rsidR="00380E5A">
        <w:t xml:space="preserve">the </w:t>
      </w:r>
      <w:r w:rsidRPr="000759AC">
        <w:t xml:space="preserve">UWU and </w:t>
      </w:r>
      <w:r w:rsidR="00380E5A">
        <w:t xml:space="preserve">Electrical Trades Union </w:t>
      </w:r>
      <w:r w:rsidRPr="000759AC">
        <w:t xml:space="preserve">again recommended changes to </w:t>
      </w:r>
      <w:r w:rsidR="00EC5E9C">
        <w:t>s </w:t>
      </w:r>
      <w:r w:rsidRPr="000759AC">
        <w:t xml:space="preserve">413(5) of the Fair Work Act, in line with </w:t>
      </w:r>
      <w:r w:rsidR="00EC5E9C">
        <w:t xml:space="preserve">the </w:t>
      </w:r>
      <w:r w:rsidRPr="000759AC">
        <w:t>ACTU’s recommendation above.</w:t>
      </w:r>
      <w:r w:rsidRPr="000759AC">
        <w:rPr>
          <w:rStyle w:val="FootnoteReference"/>
        </w:rPr>
        <w:footnoteReference w:id="702"/>
      </w:r>
    </w:p>
    <w:p w14:paraId="0B93C4F6" w14:textId="26CBDCF6" w:rsidR="00924664" w:rsidRPr="00A775A8" w:rsidRDefault="00924664" w:rsidP="00EC3517">
      <w:pPr>
        <w:pStyle w:val="Heading4"/>
      </w:pPr>
      <w:bookmarkStart w:id="273" w:name="_Toc189260249"/>
      <w:bookmarkStart w:id="274" w:name="_Toc189393565"/>
      <w:r w:rsidRPr="00A775A8">
        <w:t>15.3 Findings and recommendations</w:t>
      </w:r>
      <w:bookmarkEnd w:id="273"/>
      <w:bookmarkEnd w:id="274"/>
    </w:p>
    <w:p w14:paraId="532FD084" w14:textId="77777777" w:rsidR="0011475D" w:rsidRDefault="00924664" w:rsidP="00924664">
      <w:r w:rsidRPr="396ABCA7">
        <w:t>The Review Panel finds that the provisions relating to the mandatory conference requirements have been somewhat effective. The Review Panel notes some stakeholder views suggest in practice these amendments have led to inefficiency and frustration with the process and that there has been no difference in the level of disputation.</w:t>
      </w:r>
    </w:p>
    <w:p w14:paraId="1D8FAD31" w14:textId="1790E9CE" w:rsidR="0011475D" w:rsidRDefault="00924664" w:rsidP="00924664">
      <w:r w:rsidRPr="396ABCA7">
        <w:t xml:space="preserve">However, the Review Panel notes that there is merit in the mandatory conferences during the PAB period. Stakeholder feedback indicates that the conferences can lead to either the narrowing of </w:t>
      </w:r>
      <w:r w:rsidR="008A262D">
        <w:t>bargai</w:t>
      </w:r>
      <w:r w:rsidR="00FA3845">
        <w:t xml:space="preserve">ning </w:t>
      </w:r>
      <w:r w:rsidRPr="396ABCA7">
        <w:t xml:space="preserve">issues or agreement being reached between the parties, therefore avoiding industrial action. The Review Panel also notes stakeholder feedback that consideration should be given in relation to the conduct of the mandatory conferences </w:t>
      </w:r>
      <w:r w:rsidR="00EC5E9C">
        <w:t xml:space="preserve">that, </w:t>
      </w:r>
      <w:r w:rsidRPr="396ABCA7">
        <w:t>where there is agreement between the parties</w:t>
      </w:r>
      <w:r w:rsidR="00EC5E9C">
        <w:t>,</w:t>
      </w:r>
      <w:r w:rsidRPr="396ABCA7">
        <w:t xml:space="preserve"> there is little to no utility in the FWC convening a conference. The Review Panel makes a recommendation in relation to providing the FWC with discretion not to conduct a conference in these circumstances.</w:t>
      </w:r>
    </w:p>
    <w:p w14:paraId="29FBF556" w14:textId="303CA8C3" w:rsidR="00924664" w:rsidRDefault="00924664" w:rsidP="00924664">
      <w:pPr>
        <w:rPr>
          <w:b/>
          <w:bCs/>
        </w:rPr>
      </w:pPr>
      <w:r w:rsidRPr="396ABCA7">
        <w:rPr>
          <w:b/>
          <w:bCs/>
        </w:rPr>
        <w:t xml:space="preserve">Recommendation </w:t>
      </w:r>
      <w:r>
        <w:rPr>
          <w:b/>
          <w:bCs/>
        </w:rPr>
        <w:t>7</w:t>
      </w:r>
      <w:r w:rsidRPr="396ABCA7">
        <w:rPr>
          <w:b/>
          <w:bCs/>
        </w:rPr>
        <w:t xml:space="preserve">: The mandatory conference in s 448A of the Fair Work Act should be amended to provide the </w:t>
      </w:r>
      <w:r w:rsidR="00EC5E9C">
        <w:rPr>
          <w:b/>
          <w:bCs/>
        </w:rPr>
        <w:t>Fair Work Commission</w:t>
      </w:r>
      <w:r w:rsidR="00EC5E9C" w:rsidRPr="396ABCA7">
        <w:rPr>
          <w:b/>
          <w:bCs/>
        </w:rPr>
        <w:t xml:space="preserve"> </w:t>
      </w:r>
      <w:r w:rsidRPr="396ABCA7">
        <w:rPr>
          <w:b/>
          <w:bCs/>
        </w:rPr>
        <w:t>with the discretion not to conduct a conference if there is agreement of relevant bargaining representatives.</w:t>
      </w:r>
    </w:p>
    <w:p w14:paraId="4A9F9A64" w14:textId="03064923" w:rsidR="0011475D" w:rsidRDefault="00924664" w:rsidP="00924664">
      <w:r w:rsidRPr="000759AC">
        <w:t>The Review Panel note</w:t>
      </w:r>
      <w:r w:rsidR="00EC5E9C">
        <w:t>s</w:t>
      </w:r>
      <w:r w:rsidRPr="000759AC">
        <w:t xml:space="preserve"> that further consideration should be given to which bargaining representatives the FWC should seek agreement from when exercising discretion not to conduct a conference. The Panel accepts that this may not be all bargaining representatives. Additionally, the Panel acknowledges the short timeframes that the FWC has to conduct a conference under s 448A of Fair Work Act. The Panel’s recommendation is not meant to create an onerous process </w:t>
      </w:r>
      <w:r w:rsidR="00FA3845">
        <w:t>for</w:t>
      </w:r>
      <w:r w:rsidRPr="000759AC">
        <w:t xml:space="preserve"> the FWC or the parties and aims to facilitate a more efficient process.</w:t>
      </w:r>
    </w:p>
    <w:p w14:paraId="07C2249F" w14:textId="089EE192" w:rsidR="00924664" w:rsidRDefault="00924664" w:rsidP="00924664">
      <w:pPr>
        <w:rPr>
          <w:b/>
        </w:rPr>
      </w:pPr>
      <w:r>
        <w:t xml:space="preserve">The Panel considers </w:t>
      </w:r>
      <w:r w:rsidR="00EC5E9C">
        <w:t xml:space="preserve">that, </w:t>
      </w:r>
      <w:r>
        <w:t>if the recommendation is adopted, the practical application of the FWC’s discretion should be monitored and considered in a further review.</w:t>
      </w:r>
    </w:p>
    <w:p w14:paraId="295C1C5F" w14:textId="77777777" w:rsidR="00924664" w:rsidRDefault="00924664" w:rsidP="00924664">
      <w:pPr>
        <w:spacing w:after="160"/>
        <w:rPr>
          <w:rFonts w:eastAsiaTheme="majorEastAsia" w:cstheme="majorBidi"/>
          <w:b/>
          <w:color w:val="0D2C6C" w:themeColor="text1"/>
          <w:sz w:val="32"/>
          <w:szCs w:val="24"/>
        </w:rPr>
      </w:pPr>
      <w:bookmarkStart w:id="275" w:name="_Toc189260250"/>
      <w:bookmarkStart w:id="276" w:name="_Toc189393566"/>
      <w:r>
        <w:br w:type="page"/>
      </w:r>
    </w:p>
    <w:p w14:paraId="0C99AD45" w14:textId="77777777" w:rsidR="0061390C" w:rsidRDefault="00924664" w:rsidP="00103757">
      <w:pPr>
        <w:pStyle w:val="Heading3"/>
      </w:pPr>
      <w:bookmarkStart w:id="277" w:name="_Toc194311423"/>
      <w:r w:rsidRPr="0061390C">
        <w:lastRenderedPageBreak/>
        <w:t>Chapter 16. Enterprise agreement approval</w:t>
      </w:r>
      <w:bookmarkEnd w:id="277"/>
    </w:p>
    <w:bookmarkEnd w:id="275"/>
    <w:bookmarkEnd w:id="276"/>
    <w:p w14:paraId="08FAF8DD" w14:textId="4E9CA69D" w:rsidR="00924664" w:rsidRPr="00167CB8" w:rsidRDefault="00924664" w:rsidP="00924664">
      <w:pPr>
        <w:rPr>
          <w:rFonts w:cs="Calibri"/>
        </w:rPr>
      </w:pPr>
      <w:r w:rsidRPr="396ABCA7">
        <w:rPr>
          <w:rFonts w:cs="Calibri"/>
        </w:rPr>
        <w:t>Various legislative amendments in Part 14 of the Secure Jobs, Better Pay Act were designed to facilitate the creation of enterprise agreements and ensure that enterprise agreements are genuinely agreed to by employees.</w:t>
      </w:r>
    </w:p>
    <w:p w14:paraId="674F32CB" w14:textId="77777777" w:rsidR="0011475D" w:rsidRPr="00103757" w:rsidRDefault="00924664" w:rsidP="00EC3517">
      <w:pPr>
        <w:pStyle w:val="Heading4"/>
      </w:pPr>
      <w:bookmarkStart w:id="278" w:name="_Toc189260251"/>
      <w:bookmarkStart w:id="279" w:name="_Toc189393567"/>
      <w:r w:rsidRPr="00103757">
        <w:t>16.1 Amendments and intent</w:t>
      </w:r>
      <w:bookmarkEnd w:id="278"/>
      <w:bookmarkEnd w:id="279"/>
    </w:p>
    <w:p w14:paraId="4A7390AE" w14:textId="77777777" w:rsidR="0011475D" w:rsidRDefault="00924664" w:rsidP="00924664">
      <w:r w:rsidRPr="00167CB8">
        <w:t xml:space="preserve">The </w:t>
      </w:r>
      <w:r w:rsidRPr="00167CB8">
        <w:rPr>
          <w:rFonts w:cs="Calibri"/>
        </w:rPr>
        <w:t>Secure Jobs, Better Pay</w:t>
      </w:r>
      <w:r w:rsidRPr="00167CB8">
        <w:t xml:space="preserve"> Act amended the genuine agreement requirements to remove or alter some of the more prescriptive pre-approval requirements for agreements. These amendments relate to enterprise agreements with a notification time on or after 6 June 2023.</w:t>
      </w:r>
    </w:p>
    <w:p w14:paraId="6A3F2517" w14:textId="645C77FA" w:rsidR="00924664" w:rsidRPr="00103757" w:rsidRDefault="00924664" w:rsidP="00EC3517">
      <w:pPr>
        <w:pStyle w:val="Heading5"/>
      </w:pPr>
      <w:r w:rsidRPr="00103757">
        <w:t>16.1.1 Secure Jobs, Better Pay amendments</w:t>
      </w:r>
    </w:p>
    <w:p w14:paraId="752DB03D" w14:textId="77777777" w:rsidR="0011475D" w:rsidRDefault="00924664" w:rsidP="00924664">
      <w:r w:rsidRPr="396ABCA7">
        <w:rPr>
          <w:rFonts w:cs="Calibri"/>
        </w:rPr>
        <w:t xml:space="preserve">Part 2-4 of the Fair Work Act deals with enterprise agreements and includes rules for making and approving agreements. </w:t>
      </w:r>
      <w:r w:rsidRPr="396ABCA7">
        <w:t>Section 188(1) of the Fair Work Act was amended to require the Fair Work Commission (FWC) to take into account the ‘statement of principles’ made under s 188B in determining whether it is satisfied that an agreement has been genuinely agreed to by the employees covered by the agreement.</w:t>
      </w:r>
    </w:p>
    <w:p w14:paraId="02775E75" w14:textId="4E823B67" w:rsidR="00924664" w:rsidRPr="00167CB8" w:rsidRDefault="00924664" w:rsidP="00924664">
      <w:r w:rsidRPr="396ABCA7">
        <w:t>The Secure Jobs, Better Pay Act also amended s 188 of the Fair Work Act to require the FWC to create the statement of principles and publish the statement on the FWC’s website and by any other means that the FWC considered appropriate.</w:t>
      </w:r>
      <w:r w:rsidRPr="396ABCA7">
        <w:rPr>
          <w:rStyle w:val="FootnoteReference"/>
        </w:rPr>
        <w:footnoteReference w:id="703"/>
      </w:r>
    </w:p>
    <w:p w14:paraId="386F64D4" w14:textId="77777777" w:rsidR="00924664" w:rsidRPr="00167CB8" w:rsidRDefault="00924664" w:rsidP="00924664">
      <w:r w:rsidRPr="396ABCA7">
        <w:t>Section 188B(3) sets out the matters that the statement of principles must deal with:</w:t>
      </w:r>
    </w:p>
    <w:p w14:paraId="247BE6F2" w14:textId="77777777" w:rsidR="00924664" w:rsidRPr="00EC5E9C" w:rsidRDefault="00924664" w:rsidP="0021037D">
      <w:pPr>
        <w:pStyle w:val="Quote"/>
      </w:pPr>
      <w:r w:rsidRPr="00167CB8">
        <w:t xml:space="preserve">(a) </w:t>
      </w:r>
      <w:r w:rsidRPr="00167CB8">
        <w:tab/>
      </w:r>
      <w:r w:rsidRPr="00EC5E9C">
        <w:t>informing employees of bargaining for a proposed enterprise agreement;</w:t>
      </w:r>
    </w:p>
    <w:p w14:paraId="405798CC" w14:textId="77777777" w:rsidR="00924664" w:rsidRPr="00EC5E9C" w:rsidRDefault="00924664" w:rsidP="0021037D">
      <w:pPr>
        <w:pStyle w:val="Quote"/>
      </w:pPr>
      <w:r w:rsidRPr="00EC5E9C">
        <w:t xml:space="preserve">(b) </w:t>
      </w:r>
      <w:r w:rsidRPr="00EC5E9C">
        <w:tab/>
        <w:t>informing employees of their right to be represented by a bargaining representative;</w:t>
      </w:r>
    </w:p>
    <w:p w14:paraId="7B8D9D80" w14:textId="77777777" w:rsidR="00924664" w:rsidRPr="00EC5E9C" w:rsidRDefault="00924664" w:rsidP="0021037D">
      <w:pPr>
        <w:pStyle w:val="Quote"/>
      </w:pPr>
      <w:r w:rsidRPr="00EC5E9C">
        <w:t xml:space="preserve">(c) </w:t>
      </w:r>
      <w:r w:rsidRPr="00EC5E9C">
        <w:tab/>
        <w:t>providing employees with a reasonable opportunity to consider a proposed enterprise agreement;</w:t>
      </w:r>
    </w:p>
    <w:p w14:paraId="02E03E13" w14:textId="77777777" w:rsidR="00924664" w:rsidRPr="00EC5E9C" w:rsidRDefault="00924664" w:rsidP="0021037D">
      <w:pPr>
        <w:pStyle w:val="Quote"/>
      </w:pPr>
      <w:r w:rsidRPr="00EC5E9C">
        <w:t xml:space="preserve">(d) </w:t>
      </w:r>
      <w:r w:rsidRPr="00EC5E9C">
        <w:tab/>
        <w:t>explaining to employees the terms of a proposed enterprise agreement and their effect;</w:t>
      </w:r>
    </w:p>
    <w:p w14:paraId="6FBA1B11" w14:textId="77777777" w:rsidR="00924664" w:rsidRPr="00EC5E9C" w:rsidRDefault="00924664" w:rsidP="0021037D">
      <w:pPr>
        <w:pStyle w:val="Quote"/>
      </w:pPr>
      <w:r w:rsidRPr="00EC5E9C">
        <w:t xml:space="preserve">(e) </w:t>
      </w:r>
      <w:r w:rsidRPr="00EC5E9C">
        <w:tab/>
        <w:t>providing employees with a reasonable opportunity to vote on a proposed agreement in a free and informed manner, including by informing employees of the time, place and method for the vote;</w:t>
      </w:r>
    </w:p>
    <w:p w14:paraId="51AD55E9" w14:textId="77777777" w:rsidR="00924664" w:rsidRPr="00EC5E9C" w:rsidRDefault="00924664" w:rsidP="0021037D">
      <w:pPr>
        <w:pStyle w:val="Quote"/>
      </w:pPr>
      <w:r w:rsidRPr="00EC5E9C">
        <w:t xml:space="preserve">(f) </w:t>
      </w:r>
      <w:r w:rsidRPr="00EC5E9C">
        <w:tab/>
        <w:t>any matter prescribed by the regulations for the purposes of this paragraph;</w:t>
      </w:r>
    </w:p>
    <w:p w14:paraId="01C5AA6F" w14:textId="77777777" w:rsidR="00924664" w:rsidRPr="00EC5E9C" w:rsidRDefault="00924664" w:rsidP="00846DC0">
      <w:pPr>
        <w:pStyle w:val="Quote"/>
      </w:pPr>
      <w:r w:rsidRPr="00EC5E9C">
        <w:t xml:space="preserve">(g) </w:t>
      </w:r>
      <w:r w:rsidRPr="00EC5E9C">
        <w:tab/>
        <w:t>any other matters the FWC considers relevant.</w:t>
      </w:r>
    </w:p>
    <w:p w14:paraId="17280F30" w14:textId="77777777" w:rsidR="00924664" w:rsidRPr="00167CB8" w:rsidRDefault="00924664" w:rsidP="00924664">
      <w:pPr>
        <w:rPr>
          <w:rFonts w:cs="Calibri"/>
        </w:rPr>
      </w:pPr>
      <w:r w:rsidRPr="396ABCA7">
        <w:t xml:space="preserve">In determining whether </w:t>
      </w:r>
      <w:r w:rsidRPr="396ABCA7" w:rsidDel="00090582">
        <w:t xml:space="preserve">the FWC is satisfied an </w:t>
      </w:r>
      <w:r w:rsidRPr="396ABCA7">
        <w:t xml:space="preserve">agreement has been genuinely agreed, the Secure Jobs, Better Pay Act also introduced provisions under s 188(2), which require the FWC to be satisfied that </w:t>
      </w:r>
      <w:r w:rsidRPr="396ABCA7">
        <w:rPr>
          <w:rFonts w:cs="Calibri"/>
        </w:rPr>
        <w:t>employees requested to approve the agreement by voting for it:</w:t>
      </w:r>
      <w:r w:rsidRPr="396ABCA7">
        <w:rPr>
          <w:rStyle w:val="FootnoteReference"/>
          <w:rFonts w:cs="Calibri"/>
          <w:sz w:val="24"/>
          <w:szCs w:val="24"/>
        </w:rPr>
        <w:footnoteReference w:id="704"/>
      </w:r>
    </w:p>
    <w:p w14:paraId="76DB5404" w14:textId="77777777" w:rsidR="00924664" w:rsidRPr="000D6755" w:rsidRDefault="00924664" w:rsidP="00846DC0">
      <w:pPr>
        <w:pStyle w:val="Quote"/>
      </w:pPr>
      <w:r w:rsidRPr="00167CB8">
        <w:lastRenderedPageBreak/>
        <w:t xml:space="preserve">(a) </w:t>
      </w:r>
      <w:r w:rsidRPr="00167CB8">
        <w:tab/>
      </w:r>
      <w:r w:rsidRPr="00EC5E9C">
        <w:t>have a sufficient interest in the terms of the agreement, and</w:t>
      </w:r>
    </w:p>
    <w:p w14:paraId="57331B68" w14:textId="77777777" w:rsidR="00924664" w:rsidRPr="000D6755" w:rsidRDefault="00924664" w:rsidP="0021037D">
      <w:pPr>
        <w:pStyle w:val="Quote"/>
      </w:pPr>
      <w:r w:rsidRPr="00EC5E9C">
        <w:t xml:space="preserve">(b) </w:t>
      </w:r>
      <w:r w:rsidRPr="00EC5E9C">
        <w:tab/>
        <w:t>are sufficiently representative, having regard to the employees the agreement is expressed to cover.</w:t>
      </w:r>
    </w:p>
    <w:p w14:paraId="5EAF4BA8" w14:textId="77777777" w:rsidR="00924664" w:rsidRPr="00167CB8" w:rsidRDefault="00924664" w:rsidP="00924664">
      <w:r w:rsidRPr="396ABCA7">
        <w:t>Part 14 of the Secure Jobs, Better Pay Act made a number of consequential amendments to the pre-approval requirements, as those matters were required to be dealt with in the statement of principles, including the removal of:</w:t>
      </w:r>
    </w:p>
    <w:p w14:paraId="05F654EF" w14:textId="77777777" w:rsidR="00924664" w:rsidRPr="00167CB8" w:rsidRDefault="00924664" w:rsidP="003F7EE6">
      <w:pPr>
        <w:pStyle w:val="ListBullet"/>
        <w:numPr>
          <w:ilvl w:val="0"/>
          <w:numId w:val="4"/>
        </w:numPr>
      </w:pPr>
      <w:r w:rsidRPr="00167CB8">
        <w:t>the requirement to provide a notice of employee representational rights (NERR) for multi-employer agreements</w:t>
      </w:r>
    </w:p>
    <w:p w14:paraId="562513B0" w14:textId="77777777" w:rsidR="00924664" w:rsidRPr="00167CB8" w:rsidRDefault="00924664" w:rsidP="003F7EE6">
      <w:pPr>
        <w:pStyle w:val="ListBullet"/>
        <w:numPr>
          <w:ilvl w:val="0"/>
          <w:numId w:val="4"/>
        </w:numPr>
      </w:pPr>
      <w:r w:rsidRPr="00167CB8">
        <w:t>the definition of ‘access period’</w:t>
      </w:r>
    </w:p>
    <w:p w14:paraId="67712FFC" w14:textId="77777777" w:rsidR="00924664" w:rsidRPr="00167CB8" w:rsidRDefault="00924664" w:rsidP="003F7EE6">
      <w:pPr>
        <w:pStyle w:val="ListBullet"/>
        <w:numPr>
          <w:ilvl w:val="0"/>
          <w:numId w:val="4"/>
        </w:numPr>
      </w:pPr>
      <w:r w:rsidRPr="00167CB8">
        <w:t>the requirement that the employer take all reasonable steps to give employees a copy of the agreement and any incorporated materials during the access period</w:t>
      </w:r>
    </w:p>
    <w:p w14:paraId="7C4AC9B5" w14:textId="77777777" w:rsidR="00924664" w:rsidRPr="00167CB8" w:rsidRDefault="00924664" w:rsidP="003F7EE6">
      <w:pPr>
        <w:pStyle w:val="ListBullet"/>
        <w:numPr>
          <w:ilvl w:val="0"/>
          <w:numId w:val="4"/>
        </w:numPr>
      </w:pPr>
      <w:r w:rsidRPr="396ABCA7">
        <w:t>the requirement that the employer take all reasonable steps to notify employees of the time, place and method of voting by the start of the access period.</w:t>
      </w:r>
    </w:p>
    <w:p w14:paraId="5C292BEC" w14:textId="5BC70E7C" w:rsidR="00924664" w:rsidRPr="00167CB8" w:rsidRDefault="00924664" w:rsidP="00924664">
      <w:r w:rsidRPr="00167CB8">
        <w:t>A requirement that employers must take all reasonable steps to ensure that the terms of a proposed enterprise agreement, and their effect, are explained to employees in an appropriate manner was retained in the Fair Work Act rather than dealt with in the statement of principles.</w:t>
      </w:r>
      <w:r w:rsidRPr="00167CB8">
        <w:rPr>
          <w:rStyle w:val="FootnoteReference"/>
        </w:rPr>
        <w:footnoteReference w:id="705"/>
      </w:r>
      <w:r w:rsidRPr="00167CB8">
        <w:t xml:space="preserve"> The FWC cannot be satisfied that an enterprise agreement has been genuinely agreed unless it is satisfied that this requirement has been complied with.</w:t>
      </w:r>
      <w:r w:rsidRPr="00167CB8">
        <w:rPr>
          <w:rStyle w:val="FootnoteReference"/>
        </w:rPr>
        <w:footnoteReference w:id="706"/>
      </w:r>
    </w:p>
    <w:p w14:paraId="3286F0A6" w14:textId="77777777" w:rsidR="00924664" w:rsidRPr="00167CB8" w:rsidRDefault="00924664" w:rsidP="00924664">
      <w:r w:rsidRPr="396ABCA7">
        <w:t xml:space="preserve">The Secure Jobs, Better Pay Act retained the FWC’s ability to disregard minor procedural or technical errors </w:t>
      </w:r>
      <w:r w:rsidRPr="396ABCA7">
        <w:rPr>
          <w:rFonts w:cs="Calibri"/>
        </w:rPr>
        <w:t>made in relation to certain requirements if it is satisfied that the employees were not likely to have been disadvantaged by the errors</w:t>
      </w:r>
      <w:r w:rsidRPr="396ABCA7">
        <w:t>.</w:t>
      </w:r>
      <w:r w:rsidRPr="396ABCA7">
        <w:rPr>
          <w:rStyle w:val="FootnoteReference"/>
        </w:rPr>
        <w:footnoteReference w:id="707"/>
      </w:r>
    </w:p>
    <w:p w14:paraId="7DCAEA11" w14:textId="77777777" w:rsidR="00924664" w:rsidRPr="000D6755" w:rsidRDefault="00924664" w:rsidP="00EC3517">
      <w:pPr>
        <w:pStyle w:val="Heading5"/>
      </w:pPr>
      <w:r w:rsidRPr="000D6755">
        <w:t>16.1.2 Intent of Secure Jobs, Better Pay amendments</w:t>
      </w:r>
    </w:p>
    <w:p w14:paraId="6C827F3D" w14:textId="77777777" w:rsidR="00924664" w:rsidRPr="00167CB8" w:rsidRDefault="00924664" w:rsidP="00924664">
      <w:pPr>
        <w:rPr>
          <w:rFonts w:cs="Calibri"/>
        </w:rPr>
      </w:pPr>
      <w:r w:rsidRPr="396ABCA7">
        <w:rPr>
          <w:rFonts w:cs="Calibri"/>
        </w:rPr>
        <w:t xml:space="preserve">The </w:t>
      </w:r>
      <w:r w:rsidRPr="396ABCA7">
        <w:t>intent of the Secure Jobs, Better Pay amendments was</w:t>
      </w:r>
      <w:r w:rsidRPr="396ABCA7" w:rsidDel="004F07C2">
        <w:rPr>
          <w:rFonts w:cs="Calibri"/>
        </w:rPr>
        <w:t xml:space="preserve"> </w:t>
      </w:r>
      <w:r w:rsidRPr="396ABCA7">
        <w:rPr>
          <w:rFonts w:cs="Calibri"/>
        </w:rPr>
        <w:t>to simplify the bargaining process and make the enterprise agreement approval requirements easier to comply with, with the expectation that collective bargaining would increase. The problem that these amendments were designed to address was summarised by the Department of Employment and Workplace Relations (DEWR) in its submission to the Senate Education and Employment Legislation Committee Inquiry into the Fair Work Legislation Amendment (Secure Jobs, Better Pay) Bill 2022:</w:t>
      </w:r>
      <w:r w:rsidRPr="396ABCA7">
        <w:rPr>
          <w:rStyle w:val="FootnoteReference"/>
        </w:rPr>
        <w:footnoteReference w:id="708"/>
      </w:r>
    </w:p>
    <w:p w14:paraId="65584B1B" w14:textId="77777777" w:rsidR="00924664" w:rsidRPr="00167CB8" w:rsidRDefault="00924664" w:rsidP="00846DC0">
      <w:pPr>
        <w:pStyle w:val="Quote"/>
      </w:pPr>
      <w:r w:rsidRPr="00167CB8">
        <w:t xml:space="preserve">There is consensus amongst workplace relations stakeholders that the pre-approval processes and approval requirements for enterprise agreements are onerous, complex, and easy to misinterpret. This means that there are circumstances where bargaining parties reach an agreement, but the agreement cannot be approved by the Fair Work Commission because of procedural error. Complexity in the bargaining framework discourages parties from bargaining. The Bill makes </w:t>
      </w:r>
      <w:r w:rsidRPr="00167CB8">
        <w:lastRenderedPageBreak/>
        <w:t>changes to reduce the complexity associated with bargaining and make approval requirements easier to comply with.</w:t>
      </w:r>
    </w:p>
    <w:p w14:paraId="07464612" w14:textId="7E838C3A" w:rsidR="00924664" w:rsidRPr="00167CB8" w:rsidRDefault="00924664" w:rsidP="00924664">
      <w:pPr>
        <w:rPr>
          <w:rFonts w:eastAsia="Aptos" w:cs="Calibri"/>
        </w:rPr>
      </w:pPr>
      <w:r w:rsidRPr="396ABCA7">
        <w:rPr>
          <w:rFonts w:eastAsia="Aptos" w:cs="Calibri"/>
        </w:rPr>
        <w:t xml:space="preserve">Additionally, DEWR submitted that procedural complexity, the multiple steps for approval and the strict timeframes </w:t>
      </w:r>
      <w:r w:rsidR="00EC5E9C">
        <w:rPr>
          <w:rFonts w:eastAsia="Aptos" w:cs="Calibri"/>
        </w:rPr>
        <w:t xml:space="preserve">were </w:t>
      </w:r>
      <w:r w:rsidRPr="396ABCA7">
        <w:rPr>
          <w:rFonts w:eastAsia="Aptos" w:cs="Calibri"/>
        </w:rPr>
        <w:t>also deterring bargaining:</w:t>
      </w:r>
      <w:r w:rsidRPr="396ABCA7">
        <w:rPr>
          <w:rStyle w:val="FootnoteReference"/>
          <w:rFonts w:eastAsia="Aptos" w:cs="Calibri"/>
        </w:rPr>
        <w:footnoteReference w:id="709"/>
      </w:r>
    </w:p>
    <w:p w14:paraId="2DFACC4C" w14:textId="77777777" w:rsidR="00924664" w:rsidRPr="00167CB8" w:rsidRDefault="00924664" w:rsidP="00846DC0">
      <w:pPr>
        <w:pStyle w:val="Quote"/>
      </w:pPr>
      <w:r w:rsidRPr="00167CB8">
        <w:t>Employers must currently take multiple steps within strict timeframes in order for an agreement to be approved under the Fair Work Act bargaining framework. These processes are difficult to follow and can discourage employers from engaging with the bargaining system. For example, an employer must take all reasonable steps to provide employees with access to the prospective agreement during a seven-day period immediately before the employer conducts a vote on the agreement.</w:t>
      </w:r>
    </w:p>
    <w:p w14:paraId="4392B078" w14:textId="339D932F" w:rsidR="0011475D" w:rsidRDefault="00924664" w:rsidP="00924664">
      <w:pPr>
        <w:rPr>
          <w:rFonts w:cs="Calibri"/>
        </w:rPr>
      </w:pPr>
      <w:r w:rsidRPr="396ABCA7">
        <w:rPr>
          <w:rFonts w:cs="Calibri"/>
        </w:rPr>
        <w:t xml:space="preserve">The requirement that the FWC be satisfied that the agreement has been ‘genuinely agreed to’ is also intended to ‘safeguard against agreements which are not the result of good faith bargaining but, instead, are agreements made with </w:t>
      </w:r>
      <w:r w:rsidR="008151CF">
        <w:rPr>
          <w:rFonts w:cs="Calibri"/>
        </w:rPr>
        <w:t>“</w:t>
      </w:r>
      <w:r w:rsidRPr="396ABCA7">
        <w:rPr>
          <w:rFonts w:cs="Calibri"/>
        </w:rPr>
        <w:t>unrepresentative</w:t>
      </w:r>
      <w:r w:rsidR="008151CF">
        <w:rPr>
          <w:rFonts w:cs="Calibri"/>
        </w:rPr>
        <w:t>”</w:t>
      </w:r>
      <w:r w:rsidRPr="396ABCA7">
        <w:rPr>
          <w:rFonts w:cs="Calibri"/>
        </w:rPr>
        <w:t xml:space="preserve"> and </w:t>
      </w:r>
      <w:r w:rsidR="008151CF">
        <w:rPr>
          <w:rFonts w:cs="Calibri"/>
        </w:rPr>
        <w:t>“</w:t>
      </w:r>
      <w:r w:rsidRPr="396ABCA7">
        <w:rPr>
          <w:rFonts w:cs="Calibri"/>
        </w:rPr>
        <w:t>low voter</w:t>
      </w:r>
      <w:r w:rsidR="008151CF">
        <w:rPr>
          <w:rFonts w:cs="Calibri"/>
        </w:rPr>
        <w:t>”</w:t>
      </w:r>
      <w:r w:rsidRPr="396ABCA7">
        <w:rPr>
          <w:rFonts w:cs="Calibri"/>
        </w:rPr>
        <w:t xml:space="preserve"> (small) cohorts</w:t>
      </w:r>
      <w:r w:rsidR="008151CF">
        <w:rPr>
          <w:rFonts w:cs="Calibri"/>
        </w:rPr>
        <w:t>’</w:t>
      </w:r>
      <w:r w:rsidRPr="396ABCA7">
        <w:rPr>
          <w:rFonts w:cs="Calibri"/>
        </w:rPr>
        <w:t>.</w:t>
      </w:r>
      <w:r w:rsidRPr="396ABCA7">
        <w:rPr>
          <w:rStyle w:val="FootnoteReference"/>
          <w:rFonts w:cs="Calibri"/>
        </w:rPr>
        <w:footnoteReference w:id="710"/>
      </w:r>
    </w:p>
    <w:p w14:paraId="02F35D48" w14:textId="74CEFB7C" w:rsidR="00924664" w:rsidRPr="005F08B8" w:rsidRDefault="00924664" w:rsidP="00EC3517">
      <w:pPr>
        <w:pStyle w:val="Heading4"/>
      </w:pPr>
      <w:bookmarkStart w:id="280" w:name="_Toc189260252"/>
      <w:bookmarkStart w:id="281" w:name="_Toc189393568"/>
      <w:r w:rsidRPr="005F08B8">
        <w:t>16.2 Impact and issues</w:t>
      </w:r>
      <w:bookmarkEnd w:id="280"/>
      <w:bookmarkEnd w:id="281"/>
    </w:p>
    <w:p w14:paraId="4D4E3ACB" w14:textId="49DD6E56" w:rsidR="00924664" w:rsidRPr="00167CB8" w:rsidRDefault="00924664" w:rsidP="00924664">
      <w:r w:rsidRPr="396ABCA7">
        <w:t>Consistent with its obligations under the new s</w:t>
      </w:r>
      <w:r w:rsidR="00EC5E9C">
        <w:t> </w:t>
      </w:r>
      <w:r w:rsidRPr="396ABCA7">
        <w:t xml:space="preserve">188B of the Fair Work Act, and after extensive consultation, </w:t>
      </w:r>
      <w:r w:rsidR="00EC5E9C">
        <w:t xml:space="preserve">the </w:t>
      </w:r>
      <w:r w:rsidRPr="396ABCA7">
        <w:t>FWC published the Fair Work (Statement of Principles on Genuine Agreement) Instrument 2023 on 12 May 2023. This 13-page document came into operation on 6</w:t>
      </w:r>
      <w:r w:rsidR="00EC5E9C">
        <w:t> </w:t>
      </w:r>
      <w:r w:rsidRPr="396ABCA7">
        <w:t>June 2023. The impact of the amendments and the issues they raise can be assessed through</w:t>
      </w:r>
      <w:r w:rsidR="00EC5E9C">
        <w:t>,</w:t>
      </w:r>
      <w:r w:rsidRPr="396ABCA7">
        <w:t xml:space="preserve"> firstly, quantitative data from both the FWC and DEWR; secondly, qualitative data, mostly from decisions of the FWC; and</w:t>
      </w:r>
      <w:r w:rsidR="00EC5E9C">
        <w:t>,</w:t>
      </w:r>
      <w:r w:rsidRPr="396ABCA7">
        <w:t xml:space="preserve"> thirdly, the views of the stakeholders.</w:t>
      </w:r>
    </w:p>
    <w:p w14:paraId="4D325AF5" w14:textId="77777777" w:rsidR="00924664" w:rsidRPr="005F08B8" w:rsidRDefault="00924664" w:rsidP="00EC3517">
      <w:pPr>
        <w:pStyle w:val="Heading5"/>
      </w:pPr>
      <w:r w:rsidRPr="005F08B8">
        <w:t>16.2.1 Quantitative evidence</w:t>
      </w:r>
    </w:p>
    <w:p w14:paraId="1FD8585A" w14:textId="77777777" w:rsidR="00924664" w:rsidRPr="00167CB8" w:rsidRDefault="00924664" w:rsidP="005F08B8">
      <w:r w:rsidRPr="396ABCA7">
        <w:t>A key start date for changes to enterprise agreement approvals was 6 June 2023. The window for assessing the impact of the amendments and issues is, therefore, relatively short. As the intent of the amendments is to facilitate more collective bargaining, one set of appropriate indicators with which to assess the amendments is the number of new collective agreements made and the number of employees covered by those agreements. The latter is particularly important, as it may be that an increase in multi-employer agreements reduces the number of enterprise agreements in operation but increases the number of employees who are covered by an enterprise agreement.</w:t>
      </w:r>
    </w:p>
    <w:p w14:paraId="05A94541" w14:textId="77777777" w:rsidR="0011475D" w:rsidRDefault="00924664" w:rsidP="005F08B8">
      <w:r w:rsidRPr="396ABCA7">
        <w:t xml:space="preserve">Long-term trends in the incidence and coverage of collective agreements – based on data from DEWR – were </w:t>
      </w:r>
      <w:r w:rsidRPr="006762E8">
        <w:t>reviewed in Chapter 8. Specifically, Figure 3 shows trends</w:t>
      </w:r>
      <w:r w:rsidRPr="396ABCA7">
        <w:t xml:space="preserve"> on new approved agreements. The analysis there shows that the number of agreements has increased only moderately, if at all, but the coverage of those agreements has expended considerably in recent quarters.</w:t>
      </w:r>
    </w:p>
    <w:p w14:paraId="2A4BAFBF" w14:textId="48F34787" w:rsidR="0011475D" w:rsidRDefault="00924664" w:rsidP="00924664">
      <w:r w:rsidRPr="008151CF">
        <w:rPr>
          <w:rFonts w:cs="Calibri"/>
        </w:rPr>
        <w:lastRenderedPageBreak/>
        <w:t xml:space="preserve">Also important </w:t>
      </w:r>
      <w:r w:rsidR="00EC5E9C" w:rsidRPr="008151CF">
        <w:rPr>
          <w:rFonts w:cs="Calibri"/>
        </w:rPr>
        <w:t xml:space="preserve">is </w:t>
      </w:r>
      <w:r w:rsidRPr="008151CF">
        <w:rPr>
          <w:rFonts w:cs="Calibri"/>
        </w:rPr>
        <w:t>data from the FWC</w:t>
      </w:r>
      <w:r w:rsidR="00EC5E9C" w:rsidRPr="008151CF">
        <w:rPr>
          <w:rFonts w:cs="Calibri"/>
        </w:rPr>
        <w:t xml:space="preserve"> that </w:t>
      </w:r>
      <w:r w:rsidRPr="008151CF">
        <w:rPr>
          <w:rFonts w:cs="Calibri"/>
        </w:rPr>
        <w:t>traces the</w:t>
      </w:r>
      <w:r w:rsidRPr="396ABCA7">
        <w:rPr>
          <w:rFonts w:cs="Calibri"/>
        </w:rPr>
        <w:t xml:space="preserve"> time taken to approve agreements as well as the number of undertakings being required by the FWC when approving agreements. </w:t>
      </w:r>
      <w:r w:rsidR="00EC5E9C">
        <w:rPr>
          <w:rFonts w:cs="Calibri"/>
        </w:rPr>
        <w:t xml:space="preserve">This </w:t>
      </w:r>
      <w:r w:rsidRPr="396ABCA7">
        <w:rPr>
          <w:rFonts w:cs="Calibri"/>
        </w:rPr>
        <w:t xml:space="preserve">data </w:t>
      </w:r>
      <w:r w:rsidR="00EC5E9C">
        <w:rPr>
          <w:rFonts w:cs="Calibri"/>
        </w:rPr>
        <w:t xml:space="preserve">is </w:t>
      </w:r>
      <w:r w:rsidRPr="00A742CC">
        <w:rPr>
          <w:rFonts w:cs="Calibri"/>
        </w:rPr>
        <w:t xml:space="preserve">examined in </w:t>
      </w:r>
      <w:r w:rsidRPr="006762E8">
        <w:rPr>
          <w:rFonts w:cs="Calibri"/>
        </w:rPr>
        <w:t>detail in Chapter 17. Suffice</w:t>
      </w:r>
      <w:r w:rsidRPr="00A742CC">
        <w:rPr>
          <w:rFonts w:cs="Calibri"/>
        </w:rPr>
        <w:t xml:space="preserve"> it to say here that the speed with which the FWC approved collective agreements was not greatly</w:t>
      </w:r>
      <w:r w:rsidRPr="396ABCA7">
        <w:rPr>
          <w:rFonts w:cs="Calibri"/>
        </w:rPr>
        <w:t xml:space="preserve"> improved by the publication of the statement of principles. At the same time, the performance of the FWC on this measure was already strong.</w:t>
      </w:r>
    </w:p>
    <w:p w14:paraId="54353403" w14:textId="49D277D3" w:rsidR="00924664" w:rsidRPr="0023615D" w:rsidRDefault="00924664" w:rsidP="00EC3517">
      <w:pPr>
        <w:pStyle w:val="Heading5"/>
      </w:pPr>
      <w:r w:rsidRPr="0023615D">
        <w:t>16.2.2 Qualitative evidence</w:t>
      </w:r>
    </w:p>
    <w:p w14:paraId="4609D245" w14:textId="77777777" w:rsidR="0011475D" w:rsidRDefault="00924664" w:rsidP="00924664">
      <w:pPr>
        <w:rPr>
          <w:rFonts w:cs="Calibri"/>
        </w:rPr>
      </w:pPr>
      <w:r w:rsidRPr="396ABCA7">
        <w:rPr>
          <w:rFonts w:cs="Calibri"/>
        </w:rPr>
        <w:t>The Secure Jobs, Better Pay amendments are designed to ensure that, amongst other things, the FWC is satisfied that the agreement has been ‘genuinely agreed to’. In particular, the amendments are intended to ‘safeguard against agreements which are not the result of collective bargaining in good faith, including “unrepresentative” and “low voter cohort” agreements’.</w:t>
      </w:r>
      <w:r w:rsidRPr="396ABCA7">
        <w:rPr>
          <w:rStyle w:val="FootnoteReference"/>
          <w:rFonts w:cs="Calibri"/>
        </w:rPr>
        <w:footnoteReference w:id="711"/>
      </w:r>
    </w:p>
    <w:p w14:paraId="50AF7A1D" w14:textId="77777777" w:rsidR="0011475D" w:rsidRDefault="00924664" w:rsidP="00924664">
      <w:pPr>
        <w:rPr>
          <w:rFonts w:cs="Calibri"/>
        </w:rPr>
      </w:pPr>
      <w:r w:rsidRPr="00167CB8">
        <w:rPr>
          <w:rFonts w:cs="Calibri"/>
        </w:rPr>
        <w:t xml:space="preserve">At least four decisions by the FWC help to assess the effectiveness of the </w:t>
      </w:r>
      <w:r>
        <w:rPr>
          <w:rFonts w:cs="Calibri"/>
        </w:rPr>
        <w:t xml:space="preserve">operation of the </w:t>
      </w:r>
      <w:r w:rsidRPr="00167CB8">
        <w:rPr>
          <w:rFonts w:cs="Calibri"/>
        </w:rPr>
        <w:t>Secure Jobs, Better Pay amendments.</w:t>
      </w:r>
    </w:p>
    <w:p w14:paraId="6D767ED4" w14:textId="07BA40B4" w:rsidR="0011475D" w:rsidRDefault="00924664" w:rsidP="00924664">
      <w:pPr>
        <w:rPr>
          <w:rFonts w:cs="Calibri"/>
        </w:rPr>
      </w:pPr>
      <w:r w:rsidRPr="396ABCA7">
        <w:rPr>
          <w:rFonts w:cs="Calibri"/>
        </w:rPr>
        <w:t>First, the</w:t>
      </w:r>
      <w:r w:rsidRPr="396ABCA7" w:rsidDel="00A25803">
        <w:rPr>
          <w:rFonts w:cs="Calibri"/>
        </w:rPr>
        <w:t xml:space="preserve"> </w:t>
      </w:r>
      <w:r w:rsidRPr="396ABCA7">
        <w:rPr>
          <w:rFonts w:cs="Calibri"/>
        </w:rPr>
        <w:t>Full Bench of the FWC on 6 September 2023 concluded</w:t>
      </w:r>
      <w:r w:rsidR="00EC5E9C">
        <w:rPr>
          <w:rFonts w:cs="Calibri"/>
        </w:rPr>
        <w:t>,</w:t>
      </w:r>
      <w:r w:rsidRPr="396ABCA7" w:rsidDel="00451B1A">
        <w:rPr>
          <w:rFonts w:cs="Calibri"/>
        </w:rPr>
        <w:t xml:space="preserve"> </w:t>
      </w:r>
      <w:r w:rsidRPr="396ABCA7">
        <w:rPr>
          <w:rFonts w:cs="Calibri"/>
        </w:rPr>
        <w:t xml:space="preserve">in </w:t>
      </w:r>
      <w:r w:rsidRPr="396ABCA7">
        <w:rPr>
          <w:i/>
          <w:iCs/>
        </w:rPr>
        <w:t>The Australian Workers’ Union v Altrad APTS Pty Ltd t/as Altrad</w:t>
      </w:r>
      <w:r w:rsidR="00EC5E9C">
        <w:t>,</w:t>
      </w:r>
      <w:r w:rsidRPr="396ABCA7">
        <w:rPr>
          <w:rStyle w:val="FootnoteReference"/>
        </w:rPr>
        <w:footnoteReference w:id="712"/>
      </w:r>
      <w:r w:rsidRPr="396ABCA7">
        <w:rPr>
          <w:rFonts w:cs="Calibri"/>
        </w:rPr>
        <w:t xml:space="preserve"> that the provisions are operating as intended, as the Full Bench noted that ‘in some circumstances a small voter cohort should trigger greater scrutiny’.</w:t>
      </w:r>
      <w:r w:rsidRPr="396ABCA7">
        <w:rPr>
          <w:rStyle w:val="FootnoteReference"/>
          <w:rFonts w:cs="Calibri"/>
        </w:rPr>
        <w:footnoteReference w:id="713"/>
      </w:r>
    </w:p>
    <w:p w14:paraId="5DE12E0E" w14:textId="32F1356E" w:rsidR="00924664" w:rsidRPr="00167CB8" w:rsidRDefault="00924664" w:rsidP="00924664">
      <w:pPr>
        <w:rPr>
          <w:rFonts w:cs="Calibri"/>
        </w:rPr>
      </w:pPr>
      <w:r w:rsidRPr="396ABCA7">
        <w:rPr>
          <w:rFonts w:cs="Calibri"/>
        </w:rPr>
        <w:t xml:space="preserve">Second, the Full Bench had reason to consider how to apply the principles in </w:t>
      </w:r>
      <w:r w:rsidRPr="396ABCA7">
        <w:rPr>
          <w:rFonts w:cs="Calibri"/>
          <w:i/>
          <w:iCs/>
        </w:rPr>
        <w:t>Shop, Distributive and Allied Employees Association v Allen Family Pty Ltd</w:t>
      </w:r>
      <w:r w:rsidRPr="396ABCA7">
        <w:rPr>
          <w:rFonts w:cs="Calibri"/>
        </w:rPr>
        <w:t xml:space="preserve"> </w:t>
      </w:r>
      <w:r w:rsidRPr="396ABCA7" w:rsidDel="00060EFE">
        <w:rPr>
          <w:rFonts w:cs="Calibri"/>
        </w:rPr>
        <w:t>(6 February 2024)</w:t>
      </w:r>
      <w:r w:rsidRPr="396ABCA7">
        <w:rPr>
          <w:rStyle w:val="FootnoteReference"/>
          <w:rFonts w:cs="Calibri"/>
        </w:rPr>
        <w:footnoteReference w:id="714"/>
      </w:r>
      <w:r w:rsidRPr="396ABCA7">
        <w:rPr>
          <w:rFonts w:cs="Calibri"/>
        </w:rPr>
        <w:t xml:space="preserve"> </w:t>
      </w:r>
      <w:r w:rsidR="008151CF" w:rsidRPr="396ABCA7">
        <w:rPr>
          <w:rFonts w:cs="Calibri"/>
        </w:rPr>
        <w:t>(</w:t>
      </w:r>
      <w:r w:rsidR="008151CF" w:rsidRPr="396ABCA7">
        <w:rPr>
          <w:rFonts w:cs="Calibri"/>
          <w:i/>
          <w:iCs/>
        </w:rPr>
        <w:t>Allen)</w:t>
      </w:r>
      <w:r w:rsidR="008151CF">
        <w:rPr>
          <w:rFonts w:cs="Calibri"/>
          <w:i/>
          <w:iCs/>
        </w:rPr>
        <w:t>.</w:t>
      </w:r>
      <w:r w:rsidR="008151CF" w:rsidRPr="396ABCA7" w:rsidDel="00060EFE">
        <w:rPr>
          <w:rFonts w:cs="Calibri"/>
        </w:rPr>
        <w:t xml:space="preserve"> </w:t>
      </w:r>
      <w:r w:rsidRPr="396ABCA7">
        <w:rPr>
          <w:rFonts w:cs="Calibri"/>
        </w:rPr>
        <w:t>The Full Bench held:</w:t>
      </w:r>
      <w:r w:rsidRPr="396ABCA7">
        <w:rPr>
          <w:rStyle w:val="FootnoteReference"/>
          <w:rFonts w:cs="Calibri"/>
        </w:rPr>
        <w:footnoteReference w:id="715"/>
      </w:r>
    </w:p>
    <w:p w14:paraId="22B0AE3F" w14:textId="77777777" w:rsidR="00924664" w:rsidRPr="00167CB8" w:rsidRDefault="00924664" w:rsidP="00846DC0">
      <w:pPr>
        <w:pStyle w:val="Quote"/>
      </w:pPr>
      <w:r w:rsidRPr="00167CB8">
        <w:t>The important point to be made is that while the Commission is required to take into account the Statement of Principles in determining whether an agreement has been genuinely agreed, it does not operate as a set of mandatory rules that must be complied with by an employer absent which the Commission cannot be satisfied that an agreement has been genuinely agreed. Where an employer follows pre-approval steps that are consistent with the Statement of Principles, that would weigh more favourably towards a conclusion that an agreement has been genuinely agreed. The converse is equally true of course. The requirement to take into account the Statement of Principles does not displace the requirement to consider each of the other matters set out in s 188 in determining whether an agreement has been genuinely agreed …</w:t>
      </w:r>
    </w:p>
    <w:p w14:paraId="0C38D107" w14:textId="6E3FD048" w:rsidR="0011475D" w:rsidRDefault="00924664" w:rsidP="00924664">
      <w:pPr>
        <w:rPr>
          <w:rFonts w:eastAsia="Aptos" w:cs="Aptos"/>
        </w:rPr>
      </w:pPr>
      <w:r w:rsidRPr="00167CB8">
        <w:t xml:space="preserve">Third, in </w:t>
      </w:r>
      <w:r w:rsidRPr="00167CB8">
        <w:rPr>
          <w:i/>
          <w:iCs/>
        </w:rPr>
        <w:t xml:space="preserve">Application by Geocon Constructors (ACT) Pty Ltd </w:t>
      </w:r>
      <w:r w:rsidRPr="0023615D">
        <w:rPr>
          <w:i/>
          <w:iCs/>
        </w:rPr>
        <w:t>T/A</w:t>
      </w:r>
      <w:r w:rsidRPr="00167CB8">
        <w:rPr>
          <w:i/>
          <w:iCs/>
        </w:rPr>
        <w:t xml:space="preserve"> Geocon</w:t>
      </w:r>
      <w:r w:rsidRPr="00167CB8">
        <w:t xml:space="preserve"> (13 October 2023)</w:t>
      </w:r>
      <w:r w:rsidRPr="00167CB8">
        <w:rPr>
          <w:rStyle w:val="FootnoteReference"/>
          <w:rFonts w:eastAsia="Aptos" w:cs="Aptos"/>
        </w:rPr>
        <w:footnoteReference w:id="716"/>
      </w:r>
      <w:r w:rsidRPr="00167CB8">
        <w:rPr>
          <w:rFonts w:eastAsia="Aptos" w:cs="Aptos"/>
        </w:rPr>
        <w:t xml:space="preserve"> the FWC found that a single enterprise agreement proposed to cover Geocon and its employees had not been genuinely agreed to because Geocon did not provide a full copy of the final </w:t>
      </w:r>
      <w:r w:rsidRPr="00167CB8">
        <w:rPr>
          <w:rFonts w:eastAsia="Aptos" w:cs="Aptos"/>
        </w:rPr>
        <w:lastRenderedPageBreak/>
        <w:t xml:space="preserve">agreement after changes had been made following negotiations and did not take reasonable steps to explain </w:t>
      </w:r>
      <w:r w:rsidR="00EC5E9C">
        <w:rPr>
          <w:rFonts w:eastAsia="Aptos" w:cs="Aptos"/>
        </w:rPr>
        <w:t xml:space="preserve">the changes </w:t>
      </w:r>
      <w:r w:rsidRPr="00167CB8">
        <w:rPr>
          <w:rFonts w:eastAsia="Aptos" w:cs="Aptos"/>
        </w:rPr>
        <w:t>to the employees before the voting date.</w:t>
      </w:r>
      <w:r w:rsidRPr="00167CB8">
        <w:rPr>
          <w:rStyle w:val="FootnoteReference"/>
          <w:rFonts w:eastAsia="Aptos" w:cs="Aptos"/>
        </w:rPr>
        <w:footnoteReference w:id="717"/>
      </w:r>
    </w:p>
    <w:p w14:paraId="3E9A8631" w14:textId="6AA16893" w:rsidR="00924664" w:rsidRPr="00167CB8" w:rsidRDefault="00924664" w:rsidP="00924664">
      <w:pPr>
        <w:rPr>
          <w:rFonts w:eastAsia="Aptos" w:cs="Aptos"/>
        </w:rPr>
      </w:pPr>
      <w:r w:rsidRPr="396ABCA7">
        <w:t xml:space="preserve">Fourth, in </w:t>
      </w:r>
      <w:r w:rsidRPr="396ABCA7">
        <w:rPr>
          <w:rFonts w:eastAsia="Aptos" w:cs="Aptos"/>
          <w:i/>
          <w:iCs/>
        </w:rPr>
        <w:t>AMWU v Sublime Infrastructure Pty Ltd and CEPU</w:t>
      </w:r>
      <w:r w:rsidRPr="396ABCA7" w:rsidDel="00060EFE">
        <w:rPr>
          <w:rFonts w:eastAsia="Aptos" w:cs="Aptos"/>
        </w:rPr>
        <w:t xml:space="preserve"> (14 November 2024)</w:t>
      </w:r>
      <w:r w:rsidRPr="396ABCA7">
        <w:rPr>
          <w:rStyle w:val="FootnoteReference"/>
          <w:rFonts w:eastAsia="Aptos" w:cs="Aptos"/>
        </w:rPr>
        <w:footnoteReference w:id="718"/>
      </w:r>
      <w:r w:rsidRPr="396ABCA7">
        <w:rPr>
          <w:rFonts w:eastAsia="Aptos" w:cs="Aptos"/>
          <w:i/>
          <w:iCs/>
        </w:rPr>
        <w:t xml:space="preserve"> </w:t>
      </w:r>
      <w:r w:rsidRPr="396ABCA7">
        <w:rPr>
          <w:rFonts w:eastAsia="Aptos" w:cs="Aptos"/>
        </w:rPr>
        <w:t xml:space="preserve">a Full Bench of the FWC issued a decision allowing </w:t>
      </w:r>
      <w:r w:rsidR="00EC5E9C">
        <w:rPr>
          <w:rFonts w:eastAsia="Aptos" w:cs="Aptos"/>
        </w:rPr>
        <w:t xml:space="preserve">the </w:t>
      </w:r>
      <w:r w:rsidRPr="396ABCA7">
        <w:rPr>
          <w:rFonts w:eastAsia="Aptos" w:cs="Aptos"/>
        </w:rPr>
        <w:t xml:space="preserve">AMWU’s appeal against an FWC single-member decision made on 18 June 2024 to approve an enterprise agreement covering a single employer, Sublime Infrastructure. In that decision, the Full Bench found that the agreement was not genuinely agreed to because voting was deliberately confined to </w:t>
      </w:r>
      <w:r w:rsidR="00EC5E9C">
        <w:rPr>
          <w:rFonts w:eastAsia="Aptos" w:cs="Aptos"/>
        </w:rPr>
        <w:t>two</w:t>
      </w:r>
      <w:r w:rsidRPr="396ABCA7">
        <w:rPr>
          <w:rFonts w:eastAsia="Aptos" w:cs="Aptos"/>
        </w:rPr>
        <w:t xml:space="preserve"> employees despite the agreement applying to a wider group of employees.</w:t>
      </w:r>
      <w:r w:rsidRPr="396ABCA7">
        <w:rPr>
          <w:rStyle w:val="FootnoteReference"/>
          <w:rFonts w:eastAsia="Aptos" w:cs="Aptos"/>
        </w:rPr>
        <w:footnoteReference w:id="719"/>
      </w:r>
      <w:r w:rsidRPr="396ABCA7">
        <w:rPr>
          <w:rFonts w:eastAsia="Aptos" w:cs="Aptos"/>
        </w:rPr>
        <w:t xml:space="preserve"> The </w:t>
      </w:r>
      <w:r w:rsidR="00EC5E9C">
        <w:rPr>
          <w:rFonts w:eastAsia="Aptos" w:cs="Aptos"/>
        </w:rPr>
        <w:t>two</w:t>
      </w:r>
      <w:r w:rsidRPr="396ABCA7">
        <w:rPr>
          <w:rFonts w:eastAsia="Aptos" w:cs="Aptos"/>
        </w:rPr>
        <w:t xml:space="preserve"> employees did not have sufficient interest in the terms of the proposed agreement</w:t>
      </w:r>
      <w:r w:rsidRPr="396ABCA7">
        <w:rPr>
          <w:rStyle w:val="FootnoteReference"/>
          <w:rFonts w:eastAsia="Aptos" w:cs="Aptos"/>
        </w:rPr>
        <w:footnoteReference w:id="720"/>
      </w:r>
      <w:r w:rsidRPr="396ABCA7">
        <w:rPr>
          <w:rFonts w:eastAsia="Aptos" w:cs="Aptos"/>
        </w:rPr>
        <w:t xml:space="preserve"> and were not ‘sufficiently representative of the employees to be covered by the [a]greement’.</w:t>
      </w:r>
      <w:r w:rsidRPr="396ABCA7">
        <w:rPr>
          <w:rStyle w:val="FootnoteReference"/>
          <w:rFonts w:eastAsia="Aptos" w:cs="Aptos"/>
        </w:rPr>
        <w:footnoteReference w:id="721"/>
      </w:r>
      <w:r w:rsidRPr="396ABCA7">
        <w:rPr>
          <w:rFonts w:eastAsia="Aptos" w:cs="Aptos"/>
        </w:rPr>
        <w:t xml:space="preserve"> Further, the Full Bench was not satisfied Sublime Infrastructure had taken all reasonable steps to explain the agreement to the </w:t>
      </w:r>
      <w:r w:rsidR="00EC5E9C">
        <w:rPr>
          <w:rFonts w:eastAsia="Aptos" w:cs="Aptos"/>
        </w:rPr>
        <w:t>two</w:t>
      </w:r>
      <w:r w:rsidRPr="396ABCA7">
        <w:rPr>
          <w:rFonts w:eastAsia="Aptos" w:cs="Aptos"/>
        </w:rPr>
        <w:t xml:space="preserve"> employees.</w:t>
      </w:r>
      <w:r w:rsidRPr="396ABCA7">
        <w:rPr>
          <w:rStyle w:val="FootnoteReference"/>
          <w:rFonts w:eastAsia="Aptos" w:cs="Aptos"/>
        </w:rPr>
        <w:footnoteReference w:id="722"/>
      </w:r>
    </w:p>
    <w:p w14:paraId="491AEEA0" w14:textId="77777777" w:rsidR="00924664" w:rsidRPr="0023615D" w:rsidRDefault="00924664" w:rsidP="00EC3517">
      <w:pPr>
        <w:pStyle w:val="Heading5"/>
      </w:pPr>
      <w:r w:rsidRPr="0023615D">
        <w:t>16.2.3 Stakeholder views</w:t>
      </w:r>
    </w:p>
    <w:p w14:paraId="29414E63" w14:textId="77777777" w:rsidR="00924664" w:rsidRPr="00167CB8" w:rsidRDefault="00924664" w:rsidP="00924664">
      <w:pPr>
        <w:rPr>
          <w:rFonts w:cs="Calibri"/>
        </w:rPr>
      </w:pPr>
      <w:r w:rsidRPr="396ABCA7">
        <w:rPr>
          <w:rFonts w:cs="Calibri"/>
        </w:rPr>
        <w:t xml:space="preserve">A range of views were raised in submissions and during roundtables concerning the impact of the amendments. The majority of submissions centred on ‘small cohort’ enterprise agreements. Whether the impacts on these agreements were perceived as positive depended on whether the stakeholder was a union or an employer group. Stakeholders also noted concerns about the </w:t>
      </w:r>
      <w:r>
        <w:rPr>
          <w:rFonts w:cs="Calibri"/>
        </w:rPr>
        <w:t>s</w:t>
      </w:r>
      <w:r w:rsidRPr="396ABCA7">
        <w:rPr>
          <w:rFonts w:cs="Calibri"/>
        </w:rPr>
        <w:t xml:space="preserve">tatement of </w:t>
      </w:r>
      <w:r>
        <w:rPr>
          <w:rFonts w:cs="Calibri"/>
        </w:rPr>
        <w:t>p</w:t>
      </w:r>
      <w:r w:rsidRPr="396ABCA7">
        <w:rPr>
          <w:rFonts w:cs="Calibri"/>
        </w:rPr>
        <w:t>rinciples and the removal of the access period.</w:t>
      </w:r>
    </w:p>
    <w:p w14:paraId="4968F2C6" w14:textId="20C12925" w:rsidR="00924664" w:rsidRPr="00167CB8" w:rsidRDefault="00924664" w:rsidP="00924664">
      <w:pPr>
        <w:rPr>
          <w:rFonts w:cs="Calibri"/>
        </w:rPr>
      </w:pPr>
      <w:r w:rsidRPr="396ABCA7">
        <w:rPr>
          <w:rFonts w:cs="Calibri"/>
        </w:rPr>
        <w:t>The Australian Resources &amp; Energy Employer Association (AREEA) raised concerns about how the FWC must consider whether the employees who voted on the agreement have a sufficient interest and are sufficiently representative of who the agreement intends to cover.</w:t>
      </w:r>
      <w:r w:rsidRPr="396ABCA7">
        <w:rPr>
          <w:rStyle w:val="FootnoteReference"/>
          <w:rFonts w:cs="Calibri"/>
        </w:rPr>
        <w:footnoteReference w:id="723"/>
      </w:r>
      <w:r w:rsidRPr="396ABCA7">
        <w:rPr>
          <w:rFonts w:cs="Calibri"/>
        </w:rPr>
        <w:t xml:space="preserve"> </w:t>
      </w:r>
      <w:r w:rsidR="008151CF">
        <w:rPr>
          <w:rFonts w:cs="Calibri"/>
        </w:rPr>
        <w:t xml:space="preserve">It </w:t>
      </w:r>
      <w:r w:rsidRPr="396ABCA7">
        <w:rPr>
          <w:rFonts w:cs="Calibri"/>
        </w:rPr>
        <w:t>noted that, while an enterprise agreement may only cover a small cohort, this may be because ‘businesses are growing and need in-term EAs voted up in order to tender for future work’.</w:t>
      </w:r>
      <w:r w:rsidRPr="396ABCA7">
        <w:rPr>
          <w:rStyle w:val="FootnoteReference"/>
          <w:rFonts w:cs="Calibri"/>
        </w:rPr>
        <w:footnoteReference w:id="724"/>
      </w:r>
      <w:r w:rsidRPr="396ABCA7">
        <w:rPr>
          <w:rFonts w:cs="Calibri"/>
        </w:rPr>
        <w:t xml:space="preserve"> Ai</w:t>
      </w:r>
      <w:r w:rsidR="00CB4543">
        <w:rPr>
          <w:rFonts w:cs="Calibri"/>
        </w:rPr>
        <w:t> </w:t>
      </w:r>
      <w:r w:rsidRPr="396ABCA7">
        <w:rPr>
          <w:rFonts w:cs="Calibri"/>
        </w:rPr>
        <w:t>Group raised similar concerns, stating that these kinds of agreements ‘are common in the construction industry because work on a project typically ramps-up over time. Also, the employees who are employed at the early stages of a construction project (e.g. employees engaged in earthworks) are not representative of all the types of employees who would be employed at later stages (e.g. employees involved in the fit-out)’.</w:t>
      </w:r>
      <w:r w:rsidRPr="396ABCA7">
        <w:rPr>
          <w:rStyle w:val="FootnoteReference"/>
          <w:rFonts w:cs="Calibri"/>
        </w:rPr>
        <w:footnoteReference w:id="725"/>
      </w:r>
    </w:p>
    <w:p w14:paraId="5A36625B" w14:textId="77777777" w:rsidR="00924664" w:rsidRPr="00167CB8" w:rsidRDefault="00924664" w:rsidP="00924664">
      <w:pPr>
        <w:rPr>
          <w:rFonts w:cs="Calibri"/>
        </w:rPr>
      </w:pPr>
      <w:r w:rsidRPr="396ABCA7">
        <w:rPr>
          <w:rFonts w:cs="Calibri"/>
        </w:rPr>
        <w:t>However, AREEA acknowledged that some sectors may have taken advantage of small cohort agreements</w:t>
      </w:r>
      <w:r w:rsidRPr="396ABCA7">
        <w:rPr>
          <w:rStyle w:val="FootnoteReference"/>
          <w:rFonts w:cs="Calibri"/>
        </w:rPr>
        <w:footnoteReference w:id="726"/>
      </w:r>
      <w:r w:rsidRPr="396ABCA7">
        <w:rPr>
          <w:rFonts w:cs="Calibri"/>
        </w:rPr>
        <w:t xml:space="preserve"> and that they had not noticed any of these matters ‘surface before the FWC in any substantial way’.</w:t>
      </w:r>
      <w:r w:rsidRPr="396ABCA7">
        <w:rPr>
          <w:rStyle w:val="FootnoteReference"/>
          <w:rFonts w:cs="Calibri"/>
        </w:rPr>
        <w:footnoteReference w:id="727"/>
      </w:r>
    </w:p>
    <w:p w14:paraId="73682162" w14:textId="154DB391" w:rsidR="00924664" w:rsidRPr="00167CB8" w:rsidRDefault="00924664" w:rsidP="00924664">
      <w:pPr>
        <w:rPr>
          <w:rFonts w:cs="Calibri"/>
        </w:rPr>
      </w:pPr>
      <w:r w:rsidRPr="00167CB8">
        <w:rPr>
          <w:rFonts w:cs="Calibri"/>
        </w:rPr>
        <w:t>The Mining and Energy Union (MEU) submitted that, prior to the</w:t>
      </w:r>
      <w:r w:rsidRPr="00167CB8" w:rsidDel="00843210">
        <w:rPr>
          <w:rFonts w:cs="Calibri"/>
        </w:rPr>
        <w:t xml:space="preserve"> </w:t>
      </w:r>
      <w:r w:rsidRPr="00167CB8">
        <w:rPr>
          <w:rFonts w:cs="Calibri"/>
        </w:rPr>
        <w:t xml:space="preserve">Secure Jobs, Better Pay Act, </w:t>
      </w:r>
      <w:r w:rsidR="00CB4543">
        <w:rPr>
          <w:rFonts w:cs="Calibri"/>
        </w:rPr>
        <w:t xml:space="preserve">the </w:t>
      </w:r>
      <w:r w:rsidRPr="00167CB8">
        <w:rPr>
          <w:rFonts w:cs="Calibri"/>
        </w:rPr>
        <w:t xml:space="preserve">common practice of ‘employers in the coal mining industry was to seek approval of an enterprise agreement made with a small number of carefully selected employees without any real bargaining … [who] typically had “no stake” in the enterprise agreement </w:t>
      </w:r>
      <w:r w:rsidRPr="00167CB8">
        <w:rPr>
          <w:rFonts w:ascii="Symbol" w:eastAsia="Symbol" w:hAnsi="Symbol" w:cs="Symbol"/>
        </w:rPr>
        <w:t>-</w:t>
      </w:r>
      <w:r w:rsidRPr="00167CB8">
        <w:rPr>
          <w:rFonts w:cs="Calibri"/>
        </w:rPr>
        <w:t xml:space="preserve"> they were </w:t>
      </w:r>
      <w:r w:rsidRPr="00167CB8">
        <w:rPr>
          <w:rFonts w:cs="Calibri"/>
        </w:rPr>
        <w:lastRenderedPageBreak/>
        <w:t>provided with guaranteed wages and conditions in excess of the wages and conditions in the enterprise agreement that they had purportedly bargained’.</w:t>
      </w:r>
      <w:r w:rsidRPr="00167CB8">
        <w:rPr>
          <w:rStyle w:val="FootnoteReference"/>
          <w:rFonts w:cs="Calibri"/>
        </w:rPr>
        <w:footnoteReference w:id="728"/>
      </w:r>
      <w:r w:rsidRPr="00167CB8">
        <w:rPr>
          <w:rFonts w:cs="Calibri"/>
        </w:rPr>
        <w:t xml:space="preserve"> The MEU stated that, following the Secure Jobs, Better Pay amendments that require the employees voting on an agreement to be sufficiently representative, ‘there has been very few, if any, inauthentic small cohort agreements made’.</w:t>
      </w:r>
      <w:r w:rsidRPr="00167CB8">
        <w:rPr>
          <w:rStyle w:val="FootnoteReference"/>
          <w:rFonts w:cs="Calibri"/>
        </w:rPr>
        <w:footnoteReference w:id="729"/>
      </w:r>
    </w:p>
    <w:p w14:paraId="7CD5B51E" w14:textId="77777777" w:rsidR="00924664" w:rsidRPr="00167CB8" w:rsidRDefault="00924664" w:rsidP="00924664">
      <w:pPr>
        <w:rPr>
          <w:rFonts w:cs="Calibri"/>
        </w:rPr>
      </w:pPr>
      <w:r w:rsidRPr="396ABCA7">
        <w:rPr>
          <w:rFonts w:cs="Calibri"/>
        </w:rPr>
        <w:t>Similarly, the Australian Workers’ Union (AWU) noted that, in the past, they have had to challenge small cohort agreements based on pre-approval steps not being met</w:t>
      </w:r>
      <w:r>
        <w:rPr>
          <w:rFonts w:cs="Calibri"/>
        </w:rPr>
        <w:t>,</w:t>
      </w:r>
      <w:r w:rsidRPr="396ABCA7">
        <w:rPr>
          <w:rFonts w:cs="Calibri"/>
        </w:rPr>
        <w:t xml:space="preserve"> but now they are hopeful that ‘the Statement of Principles can prevent what was possible under the previous scheme’.</w:t>
      </w:r>
      <w:r w:rsidRPr="396ABCA7">
        <w:rPr>
          <w:rStyle w:val="FootnoteReference"/>
          <w:rFonts w:cs="Calibri"/>
        </w:rPr>
        <w:footnoteReference w:id="730"/>
      </w:r>
    </w:p>
    <w:p w14:paraId="2D923E4E" w14:textId="77777777" w:rsidR="00924664" w:rsidRPr="00167CB8" w:rsidRDefault="00924664" w:rsidP="00924664">
      <w:pPr>
        <w:rPr>
          <w:rFonts w:cs="Calibri"/>
        </w:rPr>
      </w:pPr>
      <w:r w:rsidRPr="00167CB8">
        <w:rPr>
          <w:rFonts w:cs="Calibri"/>
        </w:rPr>
        <w:t xml:space="preserve">Several stakeholders (e.g. Australian Retailers Association, the Community and Public Sector Union and the United Workers Union (UWU)) submitted that the </w:t>
      </w:r>
      <w:r>
        <w:rPr>
          <w:rFonts w:cs="Calibri"/>
        </w:rPr>
        <w:t>s</w:t>
      </w:r>
      <w:r w:rsidRPr="00167CB8">
        <w:rPr>
          <w:rFonts w:cs="Calibri"/>
        </w:rPr>
        <w:t xml:space="preserve">tatement of </w:t>
      </w:r>
      <w:r>
        <w:rPr>
          <w:rFonts w:cs="Calibri"/>
        </w:rPr>
        <w:t>p</w:t>
      </w:r>
      <w:r w:rsidRPr="00167CB8">
        <w:rPr>
          <w:rFonts w:cs="Calibri"/>
        </w:rPr>
        <w:t>rinciples has led to ‘a more positive experience’</w:t>
      </w:r>
      <w:r w:rsidRPr="00167CB8">
        <w:rPr>
          <w:rStyle w:val="FootnoteReference"/>
          <w:rFonts w:cs="Calibri"/>
        </w:rPr>
        <w:footnoteReference w:id="731"/>
      </w:r>
      <w:r w:rsidRPr="00167CB8">
        <w:rPr>
          <w:rFonts w:cs="Calibri"/>
        </w:rPr>
        <w:t xml:space="preserve"> and success in ‘streamlining of approval processes’.</w:t>
      </w:r>
      <w:r w:rsidRPr="00167CB8">
        <w:rPr>
          <w:rStyle w:val="FootnoteReference"/>
          <w:rFonts w:cs="Calibri"/>
        </w:rPr>
        <w:footnoteReference w:id="732"/>
      </w:r>
      <w:r w:rsidRPr="00167CB8">
        <w:rPr>
          <w:rFonts w:cs="Calibri"/>
        </w:rPr>
        <w:t xml:space="preserve"> The UWU submitted there has been ‘a significant fall in work and hearings on technical non-compliance of pre-approval steps and [it] is a change that UWU believes has been favourable’.</w:t>
      </w:r>
      <w:r w:rsidRPr="00167CB8">
        <w:rPr>
          <w:rStyle w:val="FootnoteReference"/>
          <w:rFonts w:cs="Calibri"/>
        </w:rPr>
        <w:footnoteReference w:id="733"/>
      </w:r>
    </w:p>
    <w:p w14:paraId="5E6CFA4B" w14:textId="77777777" w:rsidR="00924664" w:rsidRPr="00167CB8" w:rsidRDefault="00924664" w:rsidP="00924664">
      <w:pPr>
        <w:rPr>
          <w:rFonts w:cs="Calibri"/>
        </w:rPr>
      </w:pPr>
      <w:r w:rsidRPr="396ABCA7">
        <w:rPr>
          <w:rFonts w:cs="Calibri"/>
        </w:rPr>
        <w:t>The Australian Chamber of Commerce and Industry submitted that ‘in addition to having to understand the complexities of the entire bargaining process, employers must now familiarise themselves and comply with this document’ and ‘this has resulted in additional effort and complexity for employers, without actual simplification of the process’.</w:t>
      </w:r>
      <w:r w:rsidRPr="396ABCA7">
        <w:rPr>
          <w:rStyle w:val="FootnoteReference"/>
          <w:rFonts w:cs="Calibri"/>
        </w:rPr>
        <w:footnoteReference w:id="734"/>
      </w:r>
      <w:r w:rsidRPr="396ABCA7">
        <w:rPr>
          <w:rFonts w:cs="Calibri"/>
        </w:rPr>
        <w:t xml:space="preserve"> A similar view was expressed by Master Electricians Australia, which submitted that ‘[b]argaining under single interest has become more administrative and less streamlined since the enactment of the Statements of Principle (SOPs) when determining “genuine agreement”’.</w:t>
      </w:r>
      <w:r w:rsidRPr="396ABCA7">
        <w:rPr>
          <w:rStyle w:val="FootnoteReference"/>
          <w:rFonts w:cs="Calibri"/>
        </w:rPr>
        <w:footnoteReference w:id="735"/>
      </w:r>
    </w:p>
    <w:p w14:paraId="15CB05C9" w14:textId="77777777" w:rsidR="00924664" w:rsidRPr="00167CB8" w:rsidRDefault="00924664" w:rsidP="00924664">
      <w:pPr>
        <w:rPr>
          <w:rFonts w:cs="Calibri"/>
        </w:rPr>
      </w:pPr>
      <w:r w:rsidRPr="396ABCA7">
        <w:t xml:space="preserve">Master Builders Australia </w:t>
      </w:r>
      <w:r w:rsidRPr="396ABCA7">
        <w:rPr>
          <w:rFonts w:cs="Calibri"/>
        </w:rPr>
        <w:t xml:space="preserve">asserted that the </w:t>
      </w:r>
      <w:r>
        <w:rPr>
          <w:rFonts w:cs="Calibri"/>
        </w:rPr>
        <w:t>s</w:t>
      </w:r>
      <w:r w:rsidRPr="396ABCA7">
        <w:rPr>
          <w:rFonts w:cs="Calibri"/>
        </w:rPr>
        <w:t xml:space="preserve">tatement of </w:t>
      </w:r>
      <w:r>
        <w:rPr>
          <w:rFonts w:cs="Calibri"/>
        </w:rPr>
        <w:t>p</w:t>
      </w:r>
      <w:r w:rsidRPr="396ABCA7">
        <w:rPr>
          <w:rFonts w:cs="Calibri"/>
        </w:rPr>
        <w:t>rinciples has resulted in ‘non-union agreements [being] automatically scrutinised far more stringently when compared to agreements to which unions are a party’.</w:t>
      </w:r>
      <w:r w:rsidRPr="396ABCA7">
        <w:rPr>
          <w:rStyle w:val="FootnoteReference"/>
          <w:rFonts w:cs="Calibri"/>
        </w:rPr>
        <w:footnoteReference w:id="736"/>
      </w:r>
    </w:p>
    <w:p w14:paraId="28A9B122" w14:textId="2AAC548D" w:rsidR="00924664" w:rsidRDefault="00924664" w:rsidP="00924664">
      <w:pPr>
        <w:rPr>
          <w:rFonts w:cs="Calibri"/>
        </w:rPr>
      </w:pPr>
      <w:r w:rsidRPr="396ABCA7">
        <w:rPr>
          <w:rFonts w:cs="Calibri"/>
        </w:rPr>
        <w:t xml:space="preserve">The Australian Council of Trade Unions (ACTU) expressed concern that at paragraph 6 in the FWC ‘Statement of Principles on Genuine Agreement’ Instrument, the ‘reasonable time period’ (i.e. the access period) is set at ‘at least 7 full calendar days’, and it has requested that this be increased to at least 14 full calendar days. It argued that the </w:t>
      </w:r>
      <w:r w:rsidR="00CB4543">
        <w:rPr>
          <w:rFonts w:cs="Calibri"/>
        </w:rPr>
        <w:t>seven</w:t>
      </w:r>
      <w:r w:rsidRPr="396ABCA7">
        <w:rPr>
          <w:rFonts w:cs="Calibri"/>
        </w:rPr>
        <w:t xml:space="preserve"> full calendar day access period ‘may not be long enough, especially in workplaces with multiple shift patterns or workers from culturally and linguistically diverse backgrounds where more steps may be required to speak to their union and consider a proposed agreement’.</w:t>
      </w:r>
      <w:r w:rsidRPr="396ABCA7">
        <w:rPr>
          <w:rStyle w:val="FootnoteReference"/>
          <w:rFonts w:cs="Calibri"/>
        </w:rPr>
        <w:footnoteReference w:id="737"/>
      </w:r>
    </w:p>
    <w:p w14:paraId="10FD3946" w14:textId="7D350C3E" w:rsidR="00924664" w:rsidRPr="00100309" w:rsidRDefault="00924664" w:rsidP="00924664">
      <w:pPr>
        <w:rPr>
          <w:rFonts w:cs="Calibri"/>
        </w:rPr>
      </w:pPr>
      <w:r w:rsidRPr="00100309">
        <w:rPr>
          <w:rFonts w:cs="Calibri"/>
        </w:rPr>
        <w:t xml:space="preserve">In response to the </w:t>
      </w:r>
      <w:r w:rsidR="008151CF">
        <w:rPr>
          <w:rFonts w:cs="Calibri"/>
        </w:rPr>
        <w:t>d</w:t>
      </w:r>
      <w:r w:rsidRPr="00100309">
        <w:rPr>
          <w:rFonts w:cs="Calibri"/>
        </w:rPr>
        <w:t xml:space="preserve">raft </w:t>
      </w:r>
      <w:r w:rsidR="008151CF">
        <w:rPr>
          <w:rFonts w:cs="Calibri"/>
        </w:rPr>
        <w:t>r</w:t>
      </w:r>
      <w:r w:rsidRPr="00100309">
        <w:rPr>
          <w:rFonts w:cs="Calibri"/>
        </w:rPr>
        <w:t xml:space="preserve">eport, there was broad support among employer associations and unions for the proposed recommendation that the FWC regularly engage with its Enterprise Agreement and Bargaining Advisory Group to review and advise on the operation of the </w:t>
      </w:r>
      <w:r w:rsidRPr="00100309">
        <w:rPr>
          <w:rFonts w:cs="Calibri"/>
        </w:rPr>
        <w:lastRenderedPageBreak/>
        <w:t>Statement of Principles on Genuine Agreement. There was more contention around the proposed recommendation to confine matters the FWC must consider in relation to genuine agreement to the statement of principles, particularly from unions.</w:t>
      </w:r>
    </w:p>
    <w:p w14:paraId="5D8AF6B0" w14:textId="133FD805" w:rsidR="00924664" w:rsidRPr="00100309" w:rsidRDefault="00924664" w:rsidP="00924664">
      <w:pPr>
        <w:rPr>
          <w:rFonts w:cs="Calibri"/>
        </w:rPr>
      </w:pPr>
      <w:r>
        <w:rPr>
          <w:rFonts w:cs="Calibri"/>
        </w:rPr>
        <w:t xml:space="preserve">Amongst employer representatives, </w:t>
      </w:r>
      <w:r w:rsidR="008151CF" w:rsidRPr="008151CF">
        <w:rPr>
          <w:rFonts w:cs="Calibri"/>
        </w:rPr>
        <w:t>Australian Chamber of Commerce and Industry</w:t>
      </w:r>
      <w:r w:rsidRPr="00100309">
        <w:rPr>
          <w:rFonts w:cs="Calibri"/>
        </w:rPr>
        <w:t>,</w:t>
      </w:r>
      <w:r w:rsidRPr="00100309">
        <w:rPr>
          <w:rStyle w:val="FootnoteReference"/>
          <w:rFonts w:cs="Calibri"/>
        </w:rPr>
        <w:footnoteReference w:id="738"/>
      </w:r>
      <w:r w:rsidRPr="00100309">
        <w:rPr>
          <w:rFonts w:cs="Calibri"/>
        </w:rPr>
        <w:t xml:space="preserve"> </w:t>
      </w:r>
      <w:r w:rsidR="008151CF" w:rsidRPr="008151CF">
        <w:rPr>
          <w:rFonts w:cs="Calibri"/>
        </w:rPr>
        <w:t>Australian Higher Education Industrial Association</w:t>
      </w:r>
      <w:r w:rsidRPr="00100309">
        <w:rPr>
          <w:rStyle w:val="FootnoteReference"/>
          <w:rFonts w:cs="Calibri"/>
        </w:rPr>
        <w:footnoteReference w:id="739"/>
      </w:r>
      <w:r w:rsidRPr="00100309">
        <w:rPr>
          <w:rFonts w:cs="Calibri"/>
        </w:rPr>
        <w:t xml:space="preserve"> and </w:t>
      </w:r>
      <w:r w:rsidR="008151CF" w:rsidRPr="008151CF">
        <w:rPr>
          <w:rFonts w:cs="Calibri"/>
        </w:rPr>
        <w:t>Maritime Industry Australia Ltd (</w:t>
      </w:r>
      <w:r w:rsidRPr="008151CF">
        <w:rPr>
          <w:rFonts w:cs="Calibri"/>
        </w:rPr>
        <w:t>MIAL</w:t>
      </w:r>
      <w:r w:rsidR="008151CF" w:rsidRPr="008151CF">
        <w:rPr>
          <w:rFonts w:cs="Calibri"/>
        </w:rPr>
        <w:t>)</w:t>
      </w:r>
      <w:r w:rsidRPr="00100309">
        <w:rPr>
          <w:rStyle w:val="FootnoteReference"/>
          <w:rFonts w:cs="Calibri"/>
        </w:rPr>
        <w:footnoteReference w:id="740"/>
      </w:r>
      <w:r w:rsidRPr="00100309">
        <w:rPr>
          <w:rFonts w:cs="Calibri"/>
        </w:rPr>
        <w:t xml:space="preserve"> supported both proposed recommendations, with MIAL noting that a ‘complete exhaustive list readily available will likely assist employers who perhaps engage in the process rarely and the Commission in efficient approvals of genuinely agreed enterprise agreement application[s]’.</w:t>
      </w:r>
      <w:r w:rsidRPr="00100309">
        <w:rPr>
          <w:rStyle w:val="FootnoteReference"/>
          <w:rFonts w:cs="Calibri"/>
        </w:rPr>
        <w:footnoteReference w:id="741"/>
      </w:r>
      <w:r w:rsidRPr="00100309">
        <w:rPr>
          <w:rFonts w:cs="Calibri"/>
        </w:rPr>
        <w:t xml:space="preserve"> Ai Group reiterated its initial submission and recommendations.</w:t>
      </w:r>
      <w:r w:rsidRPr="00100309">
        <w:rPr>
          <w:rStyle w:val="FootnoteReference"/>
          <w:rFonts w:cs="Calibri"/>
        </w:rPr>
        <w:footnoteReference w:id="742"/>
      </w:r>
    </w:p>
    <w:p w14:paraId="759D51A8" w14:textId="14BD589A" w:rsidR="0011475D" w:rsidRDefault="00CB4543" w:rsidP="00924664">
      <w:pPr>
        <w:rPr>
          <w:rFonts w:cs="Calibri"/>
        </w:rPr>
      </w:pPr>
      <w:r>
        <w:rPr>
          <w:rFonts w:cs="Calibri"/>
        </w:rPr>
        <w:t xml:space="preserve">The </w:t>
      </w:r>
      <w:r w:rsidR="00924664" w:rsidRPr="00100309">
        <w:rPr>
          <w:rFonts w:cs="Calibri"/>
        </w:rPr>
        <w:t xml:space="preserve">ACTU welcomed the Review Panel’s finding that amendments to pre-approval requirements have had their intended effect. </w:t>
      </w:r>
      <w:r>
        <w:rPr>
          <w:rFonts w:cs="Calibri"/>
        </w:rPr>
        <w:t xml:space="preserve">The </w:t>
      </w:r>
      <w:r w:rsidR="00924664" w:rsidRPr="00100309">
        <w:rPr>
          <w:rFonts w:cs="Calibri"/>
        </w:rPr>
        <w:t>ACTU and its affiliates, including the AWU</w:t>
      </w:r>
      <w:r>
        <w:rPr>
          <w:rFonts w:cs="Calibri"/>
        </w:rPr>
        <w:t>,</w:t>
      </w:r>
      <w:r w:rsidR="00924664" w:rsidRPr="00100309">
        <w:rPr>
          <w:rStyle w:val="FootnoteReference"/>
          <w:rFonts w:cs="Calibri"/>
        </w:rPr>
        <w:footnoteReference w:id="743"/>
      </w:r>
      <w:r w:rsidR="00924664" w:rsidRPr="00100309">
        <w:rPr>
          <w:rFonts w:cs="Calibri"/>
        </w:rPr>
        <w:t xml:space="preserve"> </w:t>
      </w:r>
      <w:r w:rsidR="008151CF" w:rsidRPr="008151CF">
        <w:rPr>
          <w:rFonts w:cs="Calibri"/>
        </w:rPr>
        <w:t>Australian Manufacturing Workers’ Union</w:t>
      </w:r>
      <w:r w:rsidR="00924664" w:rsidRPr="00100309">
        <w:rPr>
          <w:rStyle w:val="FootnoteReference"/>
          <w:rFonts w:cs="Calibri"/>
        </w:rPr>
        <w:footnoteReference w:id="744"/>
      </w:r>
      <w:r w:rsidR="00924664" w:rsidRPr="00100309">
        <w:rPr>
          <w:rFonts w:cs="Calibri"/>
        </w:rPr>
        <w:t xml:space="preserve"> and MEU</w:t>
      </w:r>
      <w:r w:rsidR="00924664" w:rsidRPr="00100309">
        <w:rPr>
          <w:rStyle w:val="FootnoteReference"/>
          <w:rFonts w:cs="Calibri"/>
        </w:rPr>
        <w:footnoteReference w:id="745"/>
      </w:r>
      <w:r w:rsidR="00924664" w:rsidRPr="00100309">
        <w:rPr>
          <w:rStyle w:val="Heading3Char"/>
          <w:rFonts w:asciiTheme="minorHAnsi" w:hAnsiTheme="minorHAnsi" w:cs="Calibri"/>
          <w:sz w:val="22"/>
          <w:szCs w:val="22"/>
        </w:rPr>
        <w:t xml:space="preserve"> </w:t>
      </w:r>
      <w:r w:rsidR="00924664" w:rsidRPr="00100309">
        <w:rPr>
          <w:rFonts w:cs="Calibri"/>
        </w:rPr>
        <w:t>support the proposed recommendation that the FWC regularly engage with its relevant advisory group to review and advise on the statement of principles.</w:t>
      </w:r>
    </w:p>
    <w:p w14:paraId="6153FF89" w14:textId="5E32CEFE" w:rsidR="00924664" w:rsidRPr="00100309" w:rsidRDefault="00924664" w:rsidP="00924664">
      <w:pPr>
        <w:rPr>
          <w:rFonts w:cs="Calibri"/>
        </w:rPr>
      </w:pPr>
      <w:r w:rsidRPr="00100309">
        <w:rPr>
          <w:rFonts w:cs="Calibri"/>
        </w:rPr>
        <w:t>The ACTU expressed concern about the proposed recommendation to confine matters the FWC must consider in relation to genuine agreement to the statement of principles</w:t>
      </w:r>
      <w:r w:rsidR="00CB4543">
        <w:rPr>
          <w:rFonts w:cs="Calibri"/>
        </w:rPr>
        <w:t>;</w:t>
      </w:r>
      <w:r w:rsidRPr="00100309">
        <w:rPr>
          <w:rFonts w:cs="Calibri"/>
        </w:rPr>
        <w:t xml:space="preserve"> and proposed excluding this recommendation</w:t>
      </w:r>
      <w:r w:rsidR="00CB4543">
        <w:rPr>
          <w:rFonts w:cs="Calibri"/>
        </w:rPr>
        <w:t>,</w:t>
      </w:r>
      <w:r w:rsidRPr="00100309">
        <w:rPr>
          <w:rStyle w:val="FootnoteReference"/>
          <w:rFonts w:cs="Calibri"/>
        </w:rPr>
        <w:footnoteReference w:id="746"/>
      </w:r>
      <w:r w:rsidRPr="00100309">
        <w:rPr>
          <w:rFonts w:cs="Calibri"/>
        </w:rPr>
        <w:t xml:space="preserve"> stating that it ‘could lead to the dilution of protections for employees in the process of making enterprise agreements’</w:t>
      </w:r>
      <w:r w:rsidR="00CB4543">
        <w:rPr>
          <w:rFonts w:cs="Calibri"/>
        </w:rPr>
        <w:t>.</w:t>
      </w:r>
      <w:r w:rsidRPr="00100309">
        <w:rPr>
          <w:rStyle w:val="FootnoteReference"/>
          <w:rFonts w:cs="Calibri"/>
        </w:rPr>
        <w:footnoteReference w:id="747"/>
      </w:r>
      <w:r w:rsidRPr="00100309">
        <w:rPr>
          <w:rFonts w:cs="Calibri"/>
        </w:rPr>
        <w:t xml:space="preserve"> The ACTU expressed concern if employee protections were to transfer from Fair Work Act to the statement of principles as proposed</w:t>
      </w:r>
      <w:r w:rsidRPr="00100309">
        <w:rPr>
          <w:rStyle w:val="FootnoteReference"/>
          <w:rFonts w:cs="Calibri"/>
        </w:rPr>
        <w:footnoteReference w:id="748"/>
      </w:r>
      <w:r w:rsidRPr="00100309">
        <w:rPr>
          <w:rFonts w:cs="Calibri"/>
        </w:rPr>
        <w:t xml:space="preserve"> and preferred to see a tripartite process to identify areas of duplication and potential solutions discussed.</w:t>
      </w:r>
      <w:r w:rsidRPr="00100309">
        <w:rPr>
          <w:rStyle w:val="FootnoteReference"/>
          <w:rFonts w:cs="Calibri"/>
        </w:rPr>
        <w:footnoteReference w:id="749"/>
      </w:r>
      <w:r w:rsidRPr="00100309">
        <w:rPr>
          <w:rFonts w:cs="Calibri"/>
        </w:rPr>
        <w:t xml:space="preserve">  Several unions supported this position.</w:t>
      </w:r>
      <w:r w:rsidRPr="00100309">
        <w:rPr>
          <w:rStyle w:val="FootnoteReference"/>
          <w:rFonts w:cs="Calibri"/>
        </w:rPr>
        <w:footnoteReference w:id="750"/>
      </w:r>
    </w:p>
    <w:p w14:paraId="0B506B73" w14:textId="5FC9F15E" w:rsidR="0011475D" w:rsidRDefault="00924664" w:rsidP="00924664">
      <w:pPr>
        <w:rPr>
          <w:rFonts w:cs="Calibri"/>
        </w:rPr>
      </w:pPr>
      <w:r w:rsidRPr="00100309">
        <w:rPr>
          <w:rFonts w:cs="Calibri"/>
        </w:rPr>
        <w:t>Similarly</w:t>
      </w:r>
      <w:r>
        <w:rPr>
          <w:rFonts w:cs="Calibri"/>
        </w:rPr>
        <w:t>,</w:t>
      </w:r>
      <w:r w:rsidRPr="00100309">
        <w:rPr>
          <w:rFonts w:cs="Calibri"/>
        </w:rPr>
        <w:t xml:space="preserve"> the </w:t>
      </w:r>
      <w:r w:rsidR="008151CF" w:rsidRPr="008151CF">
        <w:rPr>
          <w:rFonts w:cs="Calibri"/>
        </w:rPr>
        <w:t xml:space="preserve">Electrical Trades Union </w:t>
      </w:r>
      <w:r w:rsidR="008151CF">
        <w:rPr>
          <w:rFonts w:cs="Calibri"/>
        </w:rPr>
        <w:t>(</w:t>
      </w:r>
      <w:r w:rsidRPr="00100309">
        <w:rPr>
          <w:rFonts w:cs="Calibri"/>
        </w:rPr>
        <w:t>ETU</w:t>
      </w:r>
      <w:r w:rsidR="008151CF">
        <w:rPr>
          <w:rFonts w:cs="Calibri"/>
        </w:rPr>
        <w:t>)</w:t>
      </w:r>
      <w:r w:rsidRPr="00100309">
        <w:rPr>
          <w:rFonts w:cs="Calibri"/>
        </w:rPr>
        <w:t xml:space="preserve"> expressed concern about this proposed recommendation, stating:</w:t>
      </w:r>
      <w:r w:rsidR="00CB4543" w:rsidRPr="00100309">
        <w:rPr>
          <w:rStyle w:val="FootnoteReference"/>
          <w:rFonts w:cs="Calibri"/>
        </w:rPr>
        <w:footnoteReference w:id="751"/>
      </w:r>
    </w:p>
    <w:p w14:paraId="1EF6CBC3" w14:textId="71970F8A" w:rsidR="00924664" w:rsidRPr="00A40511" w:rsidRDefault="00924664" w:rsidP="00607F71">
      <w:pPr>
        <w:pStyle w:val="Quote"/>
      </w:pPr>
      <w:r w:rsidRPr="00100309">
        <w:t>While the ETU has found the Statement of Principles to be very helpful and strongly supports its continuation and would even prefer that the principles that it contains become mandatory (as opposed to matters that are considered by way of a balancing exercise).</w:t>
      </w:r>
    </w:p>
    <w:p w14:paraId="7CF3B7E6" w14:textId="77777777" w:rsidR="00924664" w:rsidRPr="00607F71" w:rsidRDefault="00924664" w:rsidP="00EC3517">
      <w:pPr>
        <w:pStyle w:val="Heading4"/>
      </w:pPr>
      <w:bookmarkStart w:id="282" w:name="_Toc189260253"/>
      <w:bookmarkStart w:id="283" w:name="_Toc189393569"/>
      <w:r w:rsidRPr="00607F71">
        <w:lastRenderedPageBreak/>
        <w:t>16.3 Findings and recommendations</w:t>
      </w:r>
      <w:bookmarkEnd w:id="282"/>
      <w:bookmarkEnd w:id="283"/>
    </w:p>
    <w:p w14:paraId="2CE2FE5F" w14:textId="77777777" w:rsidR="00924664" w:rsidRPr="00167CB8" w:rsidRDefault="00924664" w:rsidP="00924664">
      <w:pPr>
        <w:rPr>
          <w:rFonts w:cs="Calibri"/>
        </w:rPr>
      </w:pPr>
      <w:r w:rsidRPr="00167CB8">
        <w:rPr>
          <w:rFonts w:cs="Calibri"/>
        </w:rPr>
        <w:t xml:space="preserve">The </w:t>
      </w:r>
      <w:r>
        <w:rPr>
          <w:rFonts w:cs="Calibri"/>
        </w:rPr>
        <w:t>primary</w:t>
      </w:r>
      <w:r w:rsidRPr="00167CB8">
        <w:rPr>
          <w:rFonts w:cs="Calibri"/>
        </w:rPr>
        <w:t xml:space="preserve"> intent of the ‘enterprise agreement approval’ reforms is to simplify the process for </w:t>
      </w:r>
      <w:r w:rsidRPr="008151CF">
        <w:rPr>
          <w:rFonts w:cs="Calibri"/>
        </w:rPr>
        <w:t>agreement making and ensure that there is genuine agreement. The Review Panel is satisfied that the reforms are having their intended</w:t>
      </w:r>
      <w:r w:rsidRPr="00167CB8">
        <w:rPr>
          <w:rFonts w:cs="Calibri"/>
        </w:rPr>
        <w:t xml:space="preserve"> effect. Although evidence would appear to suggest little growth in the number of agreements approved since June 2023, data does show that there has been a significant growth in the number of employees covered.</w:t>
      </w:r>
    </w:p>
    <w:p w14:paraId="1B455A41" w14:textId="77777777" w:rsidR="00924664" w:rsidRPr="00167CB8" w:rsidRDefault="00924664" w:rsidP="00924664">
      <w:pPr>
        <w:rPr>
          <w:rFonts w:cs="Calibri"/>
        </w:rPr>
      </w:pPr>
      <w:r w:rsidRPr="396ABCA7">
        <w:rPr>
          <w:rFonts w:cs="Calibri"/>
        </w:rPr>
        <w:t xml:space="preserve">Some stakeholders did submit that the </w:t>
      </w:r>
      <w:r>
        <w:rPr>
          <w:rFonts w:cs="Calibri"/>
        </w:rPr>
        <w:t>s</w:t>
      </w:r>
      <w:r w:rsidRPr="396ABCA7">
        <w:rPr>
          <w:rFonts w:cs="Calibri"/>
        </w:rPr>
        <w:t xml:space="preserve">tatement of </w:t>
      </w:r>
      <w:r>
        <w:rPr>
          <w:rFonts w:cs="Calibri"/>
        </w:rPr>
        <w:t>p</w:t>
      </w:r>
      <w:r w:rsidRPr="396ABCA7">
        <w:rPr>
          <w:rFonts w:cs="Calibri"/>
        </w:rPr>
        <w:t>rinciples is a source of some confusion, has not simplified the process and in some cases has increased scrutiny</w:t>
      </w:r>
      <w:r>
        <w:rPr>
          <w:rFonts w:cs="Calibri"/>
        </w:rPr>
        <w:t xml:space="preserve"> by the FWC</w:t>
      </w:r>
      <w:r w:rsidRPr="396ABCA7">
        <w:rPr>
          <w:rFonts w:cs="Calibri"/>
        </w:rPr>
        <w:t xml:space="preserve">. </w:t>
      </w:r>
      <w:r>
        <w:rPr>
          <w:rFonts w:cs="Calibri"/>
        </w:rPr>
        <w:t>O</w:t>
      </w:r>
      <w:r w:rsidRPr="396ABCA7">
        <w:rPr>
          <w:rFonts w:cs="Calibri"/>
        </w:rPr>
        <w:t xml:space="preserve">ther stakeholders have welcomed the </w:t>
      </w:r>
      <w:r>
        <w:rPr>
          <w:rFonts w:cs="Calibri"/>
        </w:rPr>
        <w:t>s</w:t>
      </w:r>
      <w:r w:rsidRPr="396ABCA7">
        <w:rPr>
          <w:rFonts w:cs="Calibri"/>
        </w:rPr>
        <w:t xml:space="preserve">tatement of </w:t>
      </w:r>
      <w:r>
        <w:rPr>
          <w:rFonts w:cs="Calibri"/>
        </w:rPr>
        <w:t>p</w:t>
      </w:r>
      <w:r w:rsidRPr="396ABCA7">
        <w:rPr>
          <w:rFonts w:cs="Calibri"/>
        </w:rPr>
        <w:t xml:space="preserve">rinciples. The Review Panel understands that the FWC has established an ‘Enterprise Agreements and Bargaining Advisory Group’, whose purpose is to provide ongoing feedback to the FWC about the operation of the amendments. The Review Panel recommends the FWC engage further with this group to investigate and advise on the issues (e.g. confusion) associated with the </w:t>
      </w:r>
      <w:r>
        <w:rPr>
          <w:rFonts w:cs="Calibri"/>
        </w:rPr>
        <w:t>s</w:t>
      </w:r>
      <w:r w:rsidRPr="396ABCA7">
        <w:rPr>
          <w:rFonts w:cs="Calibri"/>
        </w:rPr>
        <w:t xml:space="preserve">tatement of </w:t>
      </w:r>
      <w:r>
        <w:rPr>
          <w:rFonts w:cs="Calibri"/>
        </w:rPr>
        <w:t>p</w:t>
      </w:r>
      <w:r w:rsidRPr="396ABCA7">
        <w:rPr>
          <w:rFonts w:cs="Calibri"/>
        </w:rPr>
        <w:t xml:space="preserve">rinciples. </w:t>
      </w:r>
      <w:r w:rsidRPr="00100309">
        <w:rPr>
          <w:rFonts w:cs="Calibri"/>
        </w:rPr>
        <w:t>The Panel notes that such engagement is for the purposes of identifying the key issues in relation to the statement of principles only, if the FWC decides to undertake a review of the Statement of Principles on Genuine Agreement.</w:t>
      </w:r>
      <w:r w:rsidRPr="00100309">
        <w:rPr>
          <w:rStyle w:val="FootnoteReference"/>
          <w:rFonts w:cs="Calibri"/>
        </w:rPr>
        <w:footnoteReference w:id="752"/>
      </w:r>
    </w:p>
    <w:p w14:paraId="4EA43DFD" w14:textId="67351E18" w:rsidR="00924664" w:rsidRDefault="00924664" w:rsidP="00924664">
      <w:pPr>
        <w:rPr>
          <w:rFonts w:cs="Calibri"/>
        </w:rPr>
      </w:pPr>
      <w:r w:rsidRPr="396ABCA7">
        <w:rPr>
          <w:rFonts w:cs="Calibri"/>
        </w:rPr>
        <w:t xml:space="preserve">The Review Panel acknowledges there remains some complexity with the interaction between the genuine agreement provisions in the Fair Work Act and the application of the </w:t>
      </w:r>
      <w:r>
        <w:rPr>
          <w:rFonts w:cs="Calibri"/>
        </w:rPr>
        <w:t>s</w:t>
      </w:r>
      <w:r w:rsidRPr="396ABCA7">
        <w:rPr>
          <w:rFonts w:cs="Calibri"/>
        </w:rPr>
        <w:t xml:space="preserve">tatement of </w:t>
      </w:r>
      <w:r>
        <w:rPr>
          <w:rFonts w:cs="Calibri"/>
        </w:rPr>
        <w:t>p</w:t>
      </w:r>
      <w:r w:rsidRPr="396ABCA7">
        <w:rPr>
          <w:rFonts w:cs="Calibri"/>
        </w:rPr>
        <w:t>rinciples</w:t>
      </w:r>
      <w:r>
        <w:rPr>
          <w:rFonts w:cs="Calibri"/>
        </w:rPr>
        <w:t>. The Panel</w:t>
      </w:r>
      <w:r w:rsidRPr="396ABCA7">
        <w:rPr>
          <w:rFonts w:cs="Calibri"/>
        </w:rPr>
        <w:t xml:space="preserve"> consider</w:t>
      </w:r>
      <w:r w:rsidR="00CB4543">
        <w:rPr>
          <w:rFonts w:cs="Calibri"/>
        </w:rPr>
        <w:t>s</w:t>
      </w:r>
      <w:r w:rsidRPr="396ABCA7">
        <w:rPr>
          <w:rFonts w:cs="Calibri"/>
        </w:rPr>
        <w:t xml:space="preserve"> that this complexity should be addressed. A contributor to the difficulties in this interaction is the retention in the Fair Work Act of </w:t>
      </w:r>
      <w:r>
        <w:rPr>
          <w:rFonts w:cs="Calibri"/>
        </w:rPr>
        <w:t>some of the procedural r</w:t>
      </w:r>
      <w:r w:rsidRPr="396ABCA7">
        <w:rPr>
          <w:rFonts w:cs="Calibri"/>
        </w:rPr>
        <w:t xml:space="preserve">equirements </w:t>
      </w:r>
      <w:r>
        <w:rPr>
          <w:rFonts w:cs="Calibri"/>
        </w:rPr>
        <w:t>relating to genuine agreement, including the requirement for employers</w:t>
      </w:r>
      <w:r w:rsidRPr="396ABCA7">
        <w:rPr>
          <w:rFonts w:cs="Calibri"/>
        </w:rPr>
        <w:t xml:space="preserve"> to take all reasonable steps to explain agreement terms and </w:t>
      </w:r>
      <w:r>
        <w:rPr>
          <w:rFonts w:cs="Calibri"/>
        </w:rPr>
        <w:t>their</w:t>
      </w:r>
      <w:r w:rsidRPr="396ABCA7">
        <w:rPr>
          <w:rFonts w:cs="Calibri"/>
        </w:rPr>
        <w:t xml:space="preserve"> effects</w:t>
      </w:r>
      <w:r>
        <w:rPr>
          <w:rFonts w:cs="Calibri"/>
        </w:rPr>
        <w:t>,</w:t>
      </w:r>
      <w:r w:rsidRPr="396ABCA7">
        <w:rPr>
          <w:rFonts w:cs="Calibri"/>
        </w:rPr>
        <w:t xml:space="preserve"> rather than deal with this matter in the </w:t>
      </w:r>
      <w:r w:rsidR="00CB4543">
        <w:rPr>
          <w:rFonts w:cs="Calibri"/>
        </w:rPr>
        <w:t>s</w:t>
      </w:r>
      <w:r w:rsidRPr="396ABCA7">
        <w:rPr>
          <w:rFonts w:cs="Calibri"/>
        </w:rPr>
        <w:t xml:space="preserve">tatement of </w:t>
      </w:r>
      <w:r w:rsidR="00CB4543">
        <w:rPr>
          <w:rFonts w:cs="Calibri"/>
        </w:rPr>
        <w:t>p</w:t>
      </w:r>
      <w:r w:rsidRPr="396ABCA7">
        <w:rPr>
          <w:rFonts w:cs="Calibri"/>
        </w:rPr>
        <w:t>rinciples</w:t>
      </w:r>
      <w:r>
        <w:rPr>
          <w:rFonts w:cs="Calibri"/>
        </w:rPr>
        <w:t>.</w:t>
      </w:r>
    </w:p>
    <w:p w14:paraId="7C6E06F7" w14:textId="77777777" w:rsidR="0011475D" w:rsidRDefault="00924664" w:rsidP="00924664">
      <w:pPr>
        <w:rPr>
          <w:rFonts w:cs="Calibri"/>
        </w:rPr>
      </w:pPr>
      <w:r w:rsidRPr="009A22AF">
        <w:rPr>
          <w:rFonts w:cs="Calibri"/>
        </w:rPr>
        <w:t>The Review Panel</w:t>
      </w:r>
      <w:r>
        <w:rPr>
          <w:rFonts w:cs="Calibri"/>
        </w:rPr>
        <w:t xml:space="preserve"> also notes that it </w:t>
      </w:r>
      <w:r w:rsidRPr="009A22AF">
        <w:rPr>
          <w:rFonts w:cs="Calibri"/>
        </w:rPr>
        <w:t xml:space="preserve">has considered the concerns of unions that </w:t>
      </w:r>
      <w:r>
        <w:rPr>
          <w:rFonts w:cs="Calibri"/>
        </w:rPr>
        <w:t xml:space="preserve">the proposed recommendation in relation to the </w:t>
      </w:r>
      <w:r w:rsidRPr="008151CF">
        <w:rPr>
          <w:rFonts w:cs="Calibri"/>
        </w:rPr>
        <w:t>Statement of Principles on Genuine Agreement</w:t>
      </w:r>
      <w:r w:rsidRPr="009A22AF">
        <w:rPr>
          <w:rFonts w:cs="Calibri"/>
        </w:rPr>
        <w:t xml:space="preserve"> could dilute protections for employees in making of enterprise agreements.</w:t>
      </w:r>
    </w:p>
    <w:p w14:paraId="4C14F83C" w14:textId="2C651E16" w:rsidR="0011475D" w:rsidRDefault="00924664" w:rsidP="00924664">
      <w:r w:rsidRPr="001B7600">
        <w:t>The Panel notes that</w:t>
      </w:r>
      <w:r>
        <w:t xml:space="preserve"> s 188 of the Fair Work Act sets out the requirements for determining whether an enterprise agreement has been genuinely agreed to by employees, including that</w:t>
      </w:r>
      <w:r w:rsidRPr="001B7600">
        <w:t xml:space="preserve"> the</w:t>
      </w:r>
      <w:r>
        <w:t xml:space="preserve"> FWC must take into account the Statement of Principles on Genuine Agreement that is made under s 188B of the Act. Section 188B of the Fair Work Act sets out the matters that the statement of principles must deal with. The Review Panel recommends that consideration should be given to moving the procedural genuine agreement matters to the statement of principles, while retaining the legislative requirements that deal with sufficient interest and sufficiently representative. For example, the Panel notes that the requirement for an employer to take all reasonable steps to explain the terms and effect of the agreement to employees could be moved to only be included in the statement of principles and therefore removed from s</w:t>
      </w:r>
      <w:r w:rsidR="00CB4543">
        <w:t> </w:t>
      </w:r>
      <w:r>
        <w:t>180(5) and s</w:t>
      </w:r>
      <w:r w:rsidR="00CB4543">
        <w:t> </w:t>
      </w:r>
      <w:r>
        <w:t>188(4A) of the Fair Work Act.</w:t>
      </w:r>
      <w:r w:rsidR="006B2B7D">
        <w:t xml:space="preserve"> However, the Panel considers that the provision in s 188(2A) of the Act</w:t>
      </w:r>
      <w:r w:rsidR="005E4F12">
        <w:t>,</w:t>
      </w:r>
      <w:r w:rsidR="006B2B7D">
        <w:t xml:space="preserve"> which deals with the agreement of union bargaining representatives before requesting employees vote on the agreement</w:t>
      </w:r>
      <w:r w:rsidR="005E4F12">
        <w:t>,</w:t>
      </w:r>
      <w:r w:rsidR="006B2B7D">
        <w:t xml:space="preserve"> should be retained in the Fair Work Act. </w:t>
      </w:r>
    </w:p>
    <w:p w14:paraId="7435B696" w14:textId="765E2FFB" w:rsidR="005E6683" w:rsidRPr="0045625B" w:rsidRDefault="005E6683" w:rsidP="005E6683">
      <w:r>
        <w:t>As stated</w:t>
      </w:r>
      <w:r w:rsidR="003D4B2F">
        <w:t xml:space="preserve"> earlier</w:t>
      </w:r>
      <w:r>
        <w:t xml:space="preserve">, consideration should </w:t>
      </w:r>
      <w:r w:rsidR="003D4B2F">
        <w:t xml:space="preserve">also </w:t>
      </w:r>
      <w:r>
        <w:t xml:space="preserve">be given in relation to which procedural matters are moved to the statement of principles to reduce complexity between the genuine agreement </w:t>
      </w:r>
      <w:r>
        <w:lastRenderedPageBreak/>
        <w:t>provisions in the Act and the application of the statement of principles, whilst retaining protections for employees in making enterprise agreements.</w:t>
      </w:r>
    </w:p>
    <w:p w14:paraId="6E8D3D65" w14:textId="63DFC0D6" w:rsidR="0011475D" w:rsidRDefault="00924664" w:rsidP="00924664">
      <w:pPr>
        <w:rPr>
          <w:b/>
          <w:bCs/>
        </w:rPr>
      </w:pPr>
      <w:r w:rsidRPr="00167CB8">
        <w:rPr>
          <w:b/>
          <w:bCs/>
        </w:rPr>
        <w:t xml:space="preserve">Recommendation </w:t>
      </w:r>
      <w:r>
        <w:rPr>
          <w:b/>
          <w:bCs/>
        </w:rPr>
        <w:t>8</w:t>
      </w:r>
      <w:r w:rsidRPr="00167CB8">
        <w:rPr>
          <w:b/>
          <w:bCs/>
        </w:rPr>
        <w:t xml:space="preserve">: The Australian Government </w:t>
      </w:r>
      <w:r w:rsidR="00CB4543">
        <w:rPr>
          <w:b/>
          <w:bCs/>
        </w:rPr>
        <w:t xml:space="preserve">should </w:t>
      </w:r>
      <w:r w:rsidRPr="00167CB8">
        <w:rPr>
          <w:b/>
          <w:bCs/>
        </w:rPr>
        <w:t xml:space="preserve">amend the Fair Work Act to ensure the </w:t>
      </w:r>
      <w:r>
        <w:rPr>
          <w:b/>
          <w:bCs/>
        </w:rPr>
        <w:t>S</w:t>
      </w:r>
      <w:r w:rsidRPr="00167CB8">
        <w:rPr>
          <w:b/>
          <w:bCs/>
        </w:rPr>
        <w:t xml:space="preserve">tatement of </w:t>
      </w:r>
      <w:r>
        <w:rPr>
          <w:b/>
          <w:bCs/>
        </w:rPr>
        <w:t>P</w:t>
      </w:r>
      <w:r w:rsidRPr="00167CB8">
        <w:rPr>
          <w:b/>
          <w:bCs/>
        </w:rPr>
        <w:t xml:space="preserve">rinciples on </w:t>
      </w:r>
      <w:r>
        <w:rPr>
          <w:b/>
          <w:bCs/>
        </w:rPr>
        <w:t>G</w:t>
      </w:r>
      <w:r w:rsidRPr="00167CB8">
        <w:rPr>
          <w:b/>
          <w:bCs/>
        </w:rPr>
        <w:t xml:space="preserve">enuine </w:t>
      </w:r>
      <w:r>
        <w:rPr>
          <w:b/>
          <w:bCs/>
        </w:rPr>
        <w:t>A</w:t>
      </w:r>
      <w:r w:rsidRPr="00167CB8">
        <w:rPr>
          <w:b/>
          <w:bCs/>
        </w:rPr>
        <w:t xml:space="preserve">greement is a </w:t>
      </w:r>
      <w:r>
        <w:rPr>
          <w:b/>
          <w:bCs/>
        </w:rPr>
        <w:t xml:space="preserve">more </w:t>
      </w:r>
      <w:r w:rsidRPr="00167CB8">
        <w:rPr>
          <w:b/>
          <w:bCs/>
        </w:rPr>
        <w:t xml:space="preserve">complete statement of the </w:t>
      </w:r>
      <w:r>
        <w:rPr>
          <w:b/>
          <w:bCs/>
        </w:rPr>
        <w:t xml:space="preserve">procedural </w:t>
      </w:r>
      <w:r w:rsidRPr="00167CB8">
        <w:rPr>
          <w:b/>
          <w:bCs/>
        </w:rPr>
        <w:t xml:space="preserve">matters </w:t>
      </w:r>
      <w:r>
        <w:rPr>
          <w:b/>
          <w:bCs/>
        </w:rPr>
        <w:t>the</w:t>
      </w:r>
      <w:r w:rsidRPr="00167CB8">
        <w:rPr>
          <w:b/>
          <w:bCs/>
        </w:rPr>
        <w:t xml:space="preserve"> </w:t>
      </w:r>
      <w:r w:rsidR="00CB4543">
        <w:rPr>
          <w:b/>
          <w:bCs/>
        </w:rPr>
        <w:t xml:space="preserve">Fair Work Commission </w:t>
      </w:r>
      <w:r w:rsidRPr="00167CB8">
        <w:rPr>
          <w:b/>
          <w:bCs/>
        </w:rPr>
        <w:t>must consider in relation to whether a proposed enterprise agreement has been genuinely agreed.</w:t>
      </w:r>
    </w:p>
    <w:p w14:paraId="6E829C0F" w14:textId="0B04FC2B" w:rsidR="00CB4543" w:rsidRDefault="00924664" w:rsidP="00924664">
      <w:pPr>
        <w:spacing w:after="160"/>
        <w:rPr>
          <w:b/>
          <w:bCs/>
        </w:rPr>
      </w:pPr>
      <w:r w:rsidRPr="396ABCA7">
        <w:rPr>
          <w:b/>
          <w:bCs/>
        </w:rPr>
        <w:t xml:space="preserve">Recommendation </w:t>
      </w:r>
      <w:r>
        <w:rPr>
          <w:b/>
          <w:bCs/>
        </w:rPr>
        <w:t>9</w:t>
      </w:r>
      <w:r w:rsidRPr="396ABCA7">
        <w:rPr>
          <w:b/>
          <w:bCs/>
        </w:rPr>
        <w:t>: The</w:t>
      </w:r>
      <w:r w:rsidRPr="396ABCA7" w:rsidDel="00CB4543">
        <w:rPr>
          <w:b/>
          <w:bCs/>
        </w:rPr>
        <w:t xml:space="preserve"> </w:t>
      </w:r>
      <w:r w:rsidR="00CB4543">
        <w:rPr>
          <w:b/>
          <w:bCs/>
        </w:rPr>
        <w:t xml:space="preserve">Fair Work Commission should </w:t>
      </w:r>
      <w:r w:rsidRPr="396ABCA7">
        <w:rPr>
          <w:b/>
          <w:bCs/>
        </w:rPr>
        <w:t>regularly engage with its Enterprise Agreements and Bargaining Advisory Group to consider and advise on the operation of the Statement of Principles o</w:t>
      </w:r>
      <w:r w:rsidR="00E849CA">
        <w:rPr>
          <w:b/>
          <w:bCs/>
        </w:rPr>
        <w:t>n</w:t>
      </w:r>
      <w:r w:rsidRPr="396ABCA7">
        <w:rPr>
          <w:b/>
          <w:bCs/>
        </w:rPr>
        <w:t xml:space="preserve"> Genuine Agreement to ensure it is operating appropriately and effectively.</w:t>
      </w:r>
    </w:p>
    <w:p w14:paraId="40613AF2" w14:textId="5EB2054F" w:rsidR="00924664" w:rsidRPr="00167CB8" w:rsidRDefault="00924664" w:rsidP="00924664">
      <w:pPr>
        <w:spacing w:after="160"/>
        <w:rPr>
          <w:b/>
          <w:bCs/>
        </w:rPr>
      </w:pPr>
      <w:r w:rsidRPr="396ABCA7">
        <w:rPr>
          <w:b/>
          <w:bCs/>
        </w:rPr>
        <w:br w:type="page"/>
      </w:r>
    </w:p>
    <w:p w14:paraId="6D1F28B5" w14:textId="77777777" w:rsidR="00924664" w:rsidRPr="001D558E" w:rsidRDefault="00924664" w:rsidP="00EC3517">
      <w:pPr>
        <w:pStyle w:val="Heading3"/>
      </w:pPr>
      <w:bookmarkStart w:id="284" w:name="_Toc189260254"/>
      <w:bookmarkStart w:id="285" w:name="_Toc189393570"/>
      <w:bookmarkStart w:id="286" w:name="_Toc194311424"/>
      <w:r w:rsidRPr="001D558E">
        <w:lastRenderedPageBreak/>
        <w:t>Chapter 17. Better Off Overall Test</w:t>
      </w:r>
      <w:bookmarkEnd w:id="284"/>
      <w:bookmarkEnd w:id="285"/>
      <w:bookmarkEnd w:id="286"/>
    </w:p>
    <w:p w14:paraId="5F699CF1" w14:textId="30BF8642" w:rsidR="00924664" w:rsidRPr="00167CB8" w:rsidRDefault="00924664" w:rsidP="00924664">
      <w:r w:rsidRPr="00167CB8">
        <w:t xml:space="preserve">As part of the outcomes </w:t>
      </w:r>
      <w:r w:rsidR="00CB4543">
        <w:t xml:space="preserve">of </w:t>
      </w:r>
      <w:r w:rsidRPr="00167CB8">
        <w:t>the Jobs and Skills Summit, the Australian Government committed to removing ‘unnecessary complexity for workers and employers, including making the Better Off Overall Test (BOOT) simple, flexible and fair’.</w:t>
      </w:r>
      <w:r w:rsidRPr="00167CB8">
        <w:rPr>
          <w:rStyle w:val="FootnoteReference"/>
        </w:rPr>
        <w:footnoteReference w:id="753"/>
      </w:r>
      <w:r w:rsidRPr="00167CB8">
        <w:t xml:space="preserve"> This chapter therefore focuses on enterprise agreement approval and considers the changes as a result of the commitment to simplify the BOOT.</w:t>
      </w:r>
    </w:p>
    <w:p w14:paraId="34C95FBD" w14:textId="77777777" w:rsidR="0011475D" w:rsidRPr="001D558E" w:rsidRDefault="00924664" w:rsidP="00EC3517">
      <w:pPr>
        <w:pStyle w:val="Heading4"/>
      </w:pPr>
      <w:bookmarkStart w:id="287" w:name="_Toc189260255"/>
      <w:bookmarkStart w:id="288" w:name="_Toc189393571"/>
      <w:r w:rsidRPr="001D558E">
        <w:t>17.1 Amendments and intent</w:t>
      </w:r>
      <w:bookmarkEnd w:id="287"/>
      <w:bookmarkEnd w:id="288"/>
    </w:p>
    <w:p w14:paraId="12B9403D" w14:textId="77777777" w:rsidR="0011475D" w:rsidRDefault="00924664" w:rsidP="00924664">
      <w:r w:rsidRPr="00167CB8">
        <w:t>This section first provides an overview of the amendments made to the application of the BOOT and then the intention of the amendments.</w:t>
      </w:r>
    </w:p>
    <w:p w14:paraId="66C3049E" w14:textId="77777777" w:rsidR="0011475D" w:rsidRPr="00EC3517" w:rsidRDefault="00924664" w:rsidP="00EC3517">
      <w:pPr>
        <w:pStyle w:val="Heading5"/>
      </w:pPr>
      <w:r w:rsidRPr="00EC3517">
        <w:t xml:space="preserve">17.1.1 </w:t>
      </w:r>
      <w:r w:rsidRPr="001D558E">
        <w:t>Secure Jobs, Better Pay amendments</w:t>
      </w:r>
    </w:p>
    <w:p w14:paraId="0DAA08F5" w14:textId="4A2A0942" w:rsidR="0011475D" w:rsidRDefault="00924664" w:rsidP="00924664">
      <w:r w:rsidRPr="00167CB8">
        <w:t xml:space="preserve">Part 16 of Schedule 1 of the Secure Jobs, Better Pay Act made </w:t>
      </w:r>
      <w:r w:rsidR="00CB4543">
        <w:t>five</w:t>
      </w:r>
      <w:r w:rsidRPr="00167CB8">
        <w:t xml:space="preserve"> substantive changes to the BOOT.</w:t>
      </w:r>
    </w:p>
    <w:p w14:paraId="70DEC75A" w14:textId="62951DED" w:rsidR="00924664" w:rsidRPr="00167CB8" w:rsidRDefault="00924664" w:rsidP="00924664">
      <w:r w:rsidRPr="396ABCA7">
        <w:t>First, the changes to s 193A of the Fair Work Act confirm that the BOOT is a global assessment. Prior to the Secure Jobs, Better Pay amendments, the BOOT was prescribed in the Fair Work Act as:</w:t>
      </w:r>
      <w:r w:rsidRPr="396ABCA7">
        <w:rPr>
          <w:rStyle w:val="FootnoteReference"/>
        </w:rPr>
        <w:footnoteReference w:id="754"/>
      </w:r>
    </w:p>
    <w:p w14:paraId="2D92C8E0" w14:textId="77777777" w:rsidR="00924664" w:rsidRPr="00167CB8" w:rsidRDefault="00924664" w:rsidP="00846DC0">
      <w:pPr>
        <w:pStyle w:val="Quote"/>
      </w:pPr>
      <w:r w:rsidRPr="00167CB8">
        <w:t>each award covered employee, and each prospective award covered employee, for the agreement would be better off overall if the agreement applied to the employee than if the relevant modern award applied to the employee …</w:t>
      </w:r>
    </w:p>
    <w:p w14:paraId="7330F28B" w14:textId="1B328BC5" w:rsidR="00924664" w:rsidRPr="00167CB8" w:rsidRDefault="00924664" w:rsidP="00924664">
      <w:r w:rsidRPr="396ABCA7">
        <w:t xml:space="preserve">Early on, </w:t>
      </w:r>
      <w:r>
        <w:t xml:space="preserve">the </w:t>
      </w:r>
      <w:r w:rsidR="00C26FB8">
        <w:t>Fair Work Commission (</w:t>
      </w:r>
      <w:r>
        <w:t>FWC</w:t>
      </w:r>
      <w:r w:rsidR="00C26FB8">
        <w:t>)</w:t>
      </w:r>
      <w:r>
        <w:t xml:space="preserve"> (</w:t>
      </w:r>
      <w:r w:rsidRPr="396ABCA7">
        <w:t>then Fair Work Australia</w:t>
      </w:r>
      <w:r>
        <w:t>)</w:t>
      </w:r>
      <w:r w:rsidRPr="396ABCA7">
        <w:t xml:space="preserve"> described the application of the BOOT as follows:</w:t>
      </w:r>
      <w:r w:rsidRPr="396ABCA7">
        <w:rPr>
          <w:rStyle w:val="FootnoteReference"/>
        </w:rPr>
        <w:footnoteReference w:id="755"/>
      </w:r>
    </w:p>
    <w:p w14:paraId="37D5AF0A" w14:textId="77777777" w:rsidR="00924664" w:rsidRPr="00167CB8" w:rsidRDefault="00924664" w:rsidP="00846DC0">
      <w:pPr>
        <w:pStyle w:val="Quote"/>
      </w:pPr>
      <w:r w:rsidRPr="00167CB8">
        <w:t>The BOOT, as the name implies, requires an overall assessment to be made. This requires the identification of terms which are more beneficial for an employee, terms which are less beneficial and an overall assessment of whether an employee would be better off under the agreement.</w:t>
      </w:r>
    </w:p>
    <w:p w14:paraId="1BA8E5E1" w14:textId="77777777" w:rsidR="00924664" w:rsidRPr="00167CB8" w:rsidRDefault="00924664" w:rsidP="00924664">
      <w:r w:rsidRPr="00167CB8">
        <w:t xml:space="preserve">The new s 193A applies to ‘avoid doubt’ that in applying the BOOT ‘the FWC must undertake </w:t>
      </w:r>
      <w:r w:rsidRPr="001D558E">
        <w:t xml:space="preserve">a </w:t>
      </w:r>
      <w:r w:rsidRPr="001D558E">
        <w:rPr>
          <w:b/>
          <w:bCs/>
        </w:rPr>
        <w:t>global assessment</w:t>
      </w:r>
      <w:r w:rsidRPr="00167CB8">
        <w:t xml:space="preserve"> of whether each employee concerned would be better off’.</w:t>
      </w:r>
      <w:r w:rsidRPr="00167CB8">
        <w:rPr>
          <w:vertAlign w:val="superscript"/>
        </w:rPr>
        <w:footnoteReference w:id="756"/>
      </w:r>
      <w:r w:rsidRPr="00167CB8">
        <w:t xml:space="preserve"> In doing so, the FWC must have regard to the terms that are more and less beneficial to employees than the relevant modern award.</w:t>
      </w:r>
      <w:r w:rsidRPr="00167CB8">
        <w:rPr>
          <w:rStyle w:val="FootnoteReference"/>
        </w:rPr>
        <w:footnoteReference w:id="757"/>
      </w:r>
    </w:p>
    <w:p w14:paraId="0DA9D9AD" w14:textId="26B123AF" w:rsidR="0011475D" w:rsidRDefault="00924664" w:rsidP="00924664">
      <w:r w:rsidRPr="00167CB8">
        <w:t>Second, in undertaking the BOOT, the Secure Jobs, Better Pay amendments require that the FWC must give consideration to any views expressed by the employer, employees and bargaining representatives for the agreement about whether the agreement passes the BOOT.</w:t>
      </w:r>
      <w:r w:rsidRPr="00167CB8">
        <w:rPr>
          <w:vertAlign w:val="superscript"/>
        </w:rPr>
        <w:footnoteReference w:id="758"/>
      </w:r>
      <w:r w:rsidRPr="00167CB8">
        <w:t xml:space="preserve"> The amendments provide that the FWC must ‘give primary consideration to a common </w:t>
      </w:r>
      <w:r w:rsidRPr="00167CB8">
        <w:lastRenderedPageBreak/>
        <w:t>view (if any)’ of the employer, employer bargaining representatives, or bargaining representatives of employees about whether the agreement passes the BOOT.</w:t>
      </w:r>
      <w:r w:rsidRPr="00167CB8">
        <w:rPr>
          <w:vertAlign w:val="superscript"/>
        </w:rPr>
        <w:footnoteReference w:id="759"/>
      </w:r>
    </w:p>
    <w:p w14:paraId="271E2680" w14:textId="4F265C25" w:rsidR="00924664" w:rsidRPr="00167CB8" w:rsidRDefault="00924664" w:rsidP="00924664">
      <w:r w:rsidRPr="396ABCA7">
        <w:t>Third, prior to the Secure Jobs, Better Pay amendments, the BOOT required that FWC be satisfied that ‘</w:t>
      </w:r>
      <w:r w:rsidRPr="004557AC">
        <w:rPr>
          <w:b/>
          <w:bCs/>
        </w:rPr>
        <w:t>each</w:t>
      </w:r>
      <w:r w:rsidRPr="396ABCA7">
        <w:t xml:space="preserve"> prospective award covered’ employee is better off overall. As the application of the test developed by the FWC and its predecessor, views emerged that the test was being applied strictly and inflexibly.</w:t>
      </w:r>
      <w:r w:rsidRPr="396ABCA7">
        <w:rPr>
          <w:rStyle w:val="FootnoteReference"/>
        </w:rPr>
        <w:footnoteReference w:id="760"/>
      </w:r>
    </w:p>
    <w:p w14:paraId="3B325A29" w14:textId="4D0BCED5" w:rsidR="0011475D" w:rsidRDefault="00924664" w:rsidP="00924664">
      <w:r w:rsidRPr="00167CB8">
        <w:t>The FWC must now be satisfied that each award</w:t>
      </w:r>
      <w:r w:rsidR="006663CB">
        <w:t>-</w:t>
      </w:r>
      <w:r w:rsidRPr="00167CB8">
        <w:t>covered employee, and each ‘reasonably foreseeable employee’, are better off overall under the proposed agreement rather than the award.</w:t>
      </w:r>
      <w:r w:rsidRPr="00167CB8">
        <w:rPr>
          <w:rStyle w:val="FootnoteReference"/>
        </w:rPr>
        <w:footnoteReference w:id="761"/>
      </w:r>
      <w:r w:rsidRPr="00167CB8">
        <w:t xml:space="preserve"> In undertaking this assessment, the FWC may only have regard to ‘patterns or kinds of work, or types of employment, if they are reasonably foreseeable’ at the test time.</w:t>
      </w:r>
      <w:r w:rsidRPr="00167CB8">
        <w:rPr>
          <w:vertAlign w:val="superscript"/>
        </w:rPr>
        <w:footnoteReference w:id="762"/>
      </w:r>
    </w:p>
    <w:p w14:paraId="08B80404" w14:textId="48107A58" w:rsidR="00924664" w:rsidRPr="00167CB8" w:rsidRDefault="00924664" w:rsidP="00924664">
      <w:r w:rsidRPr="396ABCA7">
        <w:t>Fourth, the Secure Jobs, Better Pay Act also inserted a new provision (s 191A of the Fair Work Act) which enables the FWC to address concerns that the agreement does not pass the BOOT by amending the agreement. If the FWC seeks to amend an agreement, it ‘must seek the views of the … employer or employers that are covered by the agreement;</w:t>
      </w:r>
      <w:r w:rsidRPr="396ABCA7" w:rsidDel="00205C0D">
        <w:t xml:space="preserve"> </w:t>
      </w:r>
      <w:r w:rsidRPr="396ABCA7">
        <w:t>award covered employees covered by the agreement; [as well as] a bargaining representative for the agreement’.</w:t>
      </w:r>
      <w:r w:rsidRPr="396ABCA7">
        <w:rPr>
          <w:vertAlign w:val="superscript"/>
        </w:rPr>
        <w:footnoteReference w:id="763"/>
      </w:r>
    </w:p>
    <w:p w14:paraId="167EBD43" w14:textId="77777777" w:rsidR="00924664" w:rsidRPr="00167CB8" w:rsidRDefault="00924664" w:rsidP="00924664">
      <w:r w:rsidRPr="396ABCA7">
        <w:t xml:space="preserve">These provisions therefore allow the FWC to amend an agreement to address BOOT concerns as opposed to seeking undertakings. The Explanatory Memorandum explains </w:t>
      </w:r>
      <w:r>
        <w:t xml:space="preserve">the impact of </w:t>
      </w:r>
      <w:r w:rsidRPr="396ABCA7">
        <w:t>these provisions:</w:t>
      </w:r>
      <w:r w:rsidRPr="396ABCA7">
        <w:rPr>
          <w:vertAlign w:val="superscript"/>
        </w:rPr>
        <w:footnoteReference w:id="764"/>
      </w:r>
    </w:p>
    <w:p w14:paraId="172F6279" w14:textId="77777777" w:rsidR="00924664" w:rsidRPr="00167CB8" w:rsidRDefault="00924664" w:rsidP="00846DC0">
      <w:pPr>
        <w:pStyle w:val="Quote"/>
      </w:pPr>
      <w:r w:rsidRPr="00167CB8">
        <w:t>The FWC would have discretion to work with the parties during the approval process in a constructive manner, to consider specific objections and to amend or excise terms that do not otherwise meet the BOOT. This would limit the use of undertakings which can make it harder for workers and managers to interpret an agreement, lead to future legal disputes if poorly drafted, and cause delays in agreements commencing.</w:t>
      </w:r>
    </w:p>
    <w:p w14:paraId="0E8A5BCF" w14:textId="77777777" w:rsidR="0011475D" w:rsidRDefault="00924664" w:rsidP="00924664">
      <w:r w:rsidRPr="396ABCA7">
        <w:t>Fifth, in order to ensure the changes to the BOOT do not leave workers worse off, the Secure Jobs, Better Pay Act also introduced provisions to enable an employee, employer or union covered by an agreement to ‘apply to the FWC for a reconsideration of whether an enterprise agreement passes the [BOOT]’.</w:t>
      </w:r>
      <w:r w:rsidRPr="396ABCA7">
        <w:rPr>
          <w:vertAlign w:val="superscript"/>
        </w:rPr>
        <w:footnoteReference w:id="765"/>
      </w:r>
    </w:p>
    <w:p w14:paraId="57EF9650" w14:textId="15B9A8B8" w:rsidR="00924664" w:rsidRPr="00167CB8" w:rsidRDefault="00924664" w:rsidP="00924664">
      <w:r w:rsidRPr="396ABCA7">
        <w:t>To apply for a reconsideration, certain preconditions must be met (s 227A(2)):</w:t>
      </w:r>
      <w:r w:rsidRPr="396ABCA7">
        <w:rPr>
          <w:rStyle w:val="FootnoteReference"/>
        </w:rPr>
        <w:footnoteReference w:id="766"/>
      </w:r>
    </w:p>
    <w:p w14:paraId="1D6659ED" w14:textId="77777777" w:rsidR="00924664" w:rsidRPr="00167CB8" w:rsidRDefault="00924664" w:rsidP="00846DC0">
      <w:pPr>
        <w:pStyle w:val="Quote"/>
      </w:pPr>
      <w:r w:rsidRPr="00167CB8">
        <w:t>(a) </w:t>
      </w:r>
      <w:r w:rsidRPr="00167CB8">
        <w:tab/>
        <w:t>before approving the agreement the FWC had regard, under subsection 193A(6), to patterns or kinds of work, or types of employment engaged in, or to be engaged in, by:</w:t>
      </w:r>
    </w:p>
    <w:p w14:paraId="7A948AEC" w14:textId="77777777" w:rsidR="00924664" w:rsidRPr="00167CB8" w:rsidRDefault="00924664" w:rsidP="00EF26EB">
      <w:pPr>
        <w:pStyle w:val="Quote"/>
        <w:ind w:left="2160"/>
      </w:pPr>
      <w:r w:rsidRPr="00167CB8">
        <w:t>(i) </w:t>
      </w:r>
      <w:r w:rsidRPr="00167CB8">
        <w:tab/>
        <w:t>the award covered employees for the agreement; and</w:t>
      </w:r>
    </w:p>
    <w:p w14:paraId="2FA277EC" w14:textId="77777777" w:rsidR="00924664" w:rsidRPr="00167CB8" w:rsidRDefault="00924664" w:rsidP="00487721">
      <w:pPr>
        <w:pStyle w:val="Quote"/>
        <w:ind w:left="2160"/>
      </w:pPr>
      <w:r w:rsidRPr="00167CB8">
        <w:lastRenderedPageBreak/>
        <w:t>(ii) </w:t>
      </w:r>
      <w:r w:rsidRPr="00167CB8">
        <w:tab/>
        <w:t>if the agreement is a single</w:t>
      </w:r>
      <w:r w:rsidRPr="00167CB8">
        <w:noBreakHyphen/>
        <w:t>enterprise agreement that covers one or more employees to whom a supported bargaining agreement or a single interest employer agreement applies</w:t>
      </w:r>
      <w:r w:rsidRPr="00167CB8">
        <w:rPr>
          <w:b/>
        </w:rPr>
        <w:t xml:space="preserve"> </w:t>
      </w:r>
      <w:r w:rsidRPr="00167CB8">
        <w:rPr>
          <w:rFonts w:ascii="Symbol" w:eastAsia="Symbol" w:hAnsi="Symbol" w:cs="Symbol"/>
          <w:b/>
        </w:rPr>
        <w:t>-</w:t>
      </w:r>
      <w:r w:rsidRPr="00167CB8">
        <w:rPr>
          <w:b/>
        </w:rPr>
        <w:t xml:space="preserve"> </w:t>
      </w:r>
      <w:r w:rsidRPr="00167CB8">
        <w:t>those employees; and</w:t>
      </w:r>
    </w:p>
    <w:p w14:paraId="06DF59B3" w14:textId="77777777" w:rsidR="00924664" w:rsidRPr="00167CB8" w:rsidRDefault="00924664" w:rsidP="00846DC0">
      <w:pPr>
        <w:pStyle w:val="Quote"/>
      </w:pPr>
      <w:r w:rsidRPr="00167CB8">
        <w:t>(b) </w:t>
      </w:r>
      <w:r w:rsidRPr="00167CB8">
        <w:tab/>
        <w:t>at the test time or a later time, one or more employees covered by subsection (4) or (5) engaged in other patterns or kinds of work, or other types of employment, to which the FWC did not have regard under subsection 193A(6).</w:t>
      </w:r>
    </w:p>
    <w:p w14:paraId="4180EE03" w14:textId="77777777" w:rsidR="00924664" w:rsidRPr="00167CB8" w:rsidRDefault="00924664" w:rsidP="00924664">
      <w:r w:rsidRPr="396ABCA7">
        <w:t>If, after having reconsidered the BOOT, the FWC has a concern that the agreement does not pass the BOOT, the FWC may either accept an undertaking or amend the agreement to address its concerns.</w:t>
      </w:r>
      <w:r w:rsidRPr="396ABCA7">
        <w:rPr>
          <w:rStyle w:val="FootnoteReference"/>
        </w:rPr>
        <w:footnoteReference w:id="767"/>
      </w:r>
    </w:p>
    <w:p w14:paraId="6EEF0993" w14:textId="77777777" w:rsidR="0011475D" w:rsidRDefault="00924664" w:rsidP="00924664">
      <w:pPr>
        <w:rPr>
          <w:rFonts w:eastAsiaTheme="majorEastAsia" w:cstheme="majorBidi"/>
          <w:color w:val="491044" w:themeColor="accent1" w:themeShade="BF"/>
        </w:rPr>
      </w:pPr>
      <w:r w:rsidRPr="00167CB8">
        <w:t>These amendments came into effect on 6 June 2023 and apply to agreements made on or after this date.</w:t>
      </w:r>
    </w:p>
    <w:p w14:paraId="711B8C01" w14:textId="77777777" w:rsidR="0011475D" w:rsidRPr="004557AC" w:rsidRDefault="00924664" w:rsidP="00EC3517">
      <w:pPr>
        <w:pStyle w:val="Heading5"/>
      </w:pPr>
      <w:r w:rsidRPr="004557AC">
        <w:t xml:space="preserve">17.1.2 Intent of </w:t>
      </w:r>
      <w:r w:rsidRPr="004557AC" w:rsidDel="00A00071">
        <w:t>Secure Jobs, Better Pay</w:t>
      </w:r>
      <w:r w:rsidRPr="004557AC">
        <w:t xml:space="preserve"> amendments</w:t>
      </w:r>
    </w:p>
    <w:p w14:paraId="6F22AF33" w14:textId="634F37C6" w:rsidR="00924664" w:rsidRPr="00167CB8" w:rsidRDefault="00924664" w:rsidP="00924664">
      <w:r w:rsidRPr="00167CB8">
        <w:t>The Secure Jobs, Better Pay Act changes to the BOOT have arisen out of</w:t>
      </w:r>
      <w:r w:rsidRPr="00167CB8">
        <w:rPr>
          <w:rFonts w:eastAsia="Aptos" w:cs="Aptos"/>
        </w:rPr>
        <w:t xml:space="preserve"> </w:t>
      </w:r>
      <w:r w:rsidRPr="00167CB8">
        <w:t>‘concerns about the complexity of the current process for approving enterprise agreements’.</w:t>
      </w:r>
      <w:r w:rsidRPr="00167CB8">
        <w:rPr>
          <w:rStyle w:val="FootnoteReference"/>
        </w:rPr>
        <w:footnoteReference w:id="768"/>
      </w:r>
      <w:r w:rsidRPr="00167CB8">
        <w:t xml:space="preserve"> The Australian Government intended to respond to </w:t>
      </w:r>
      <w:r>
        <w:t xml:space="preserve">these </w:t>
      </w:r>
      <w:r w:rsidRPr="00167CB8">
        <w:t xml:space="preserve">issues with </w:t>
      </w:r>
      <w:r>
        <w:t>changes to ensure</w:t>
      </w:r>
      <w:r w:rsidRPr="00167CB8">
        <w:t xml:space="preserve"> ‘the workability of the current framework, and include appropriate safeguards to protect employees’.</w:t>
      </w:r>
      <w:r w:rsidRPr="00167CB8">
        <w:rPr>
          <w:rStyle w:val="FootnoteReference"/>
        </w:rPr>
        <w:footnoteReference w:id="769"/>
      </w:r>
      <w:r w:rsidRPr="00167CB8">
        <w:t xml:space="preserve"> The Australian Government </w:t>
      </w:r>
      <w:r>
        <w:t>also</w:t>
      </w:r>
      <w:r w:rsidRPr="00167CB8">
        <w:t xml:space="preserve"> intended for these amendments to ‘limit the use of undertakings which can make it harder for workers and managers to interpret an agreement, lead to future legal disputes if poorly drafted, and cause delays in agreements commencing’.</w:t>
      </w:r>
      <w:r w:rsidRPr="00167CB8">
        <w:rPr>
          <w:rStyle w:val="FootnoteReference"/>
        </w:rPr>
        <w:footnoteReference w:id="770"/>
      </w:r>
    </w:p>
    <w:p w14:paraId="20A83629" w14:textId="77777777" w:rsidR="00924664" w:rsidRPr="004557AC" w:rsidRDefault="00924664" w:rsidP="00EC3517">
      <w:pPr>
        <w:pStyle w:val="Heading4"/>
      </w:pPr>
      <w:bookmarkStart w:id="289" w:name="_Toc189260256"/>
      <w:bookmarkStart w:id="290" w:name="_Toc189393572"/>
      <w:r w:rsidRPr="004557AC">
        <w:t>17.2 Impact and issues</w:t>
      </w:r>
      <w:bookmarkEnd w:id="289"/>
      <w:bookmarkEnd w:id="290"/>
    </w:p>
    <w:p w14:paraId="70327578" w14:textId="77777777" w:rsidR="00924664" w:rsidRPr="00167CB8" w:rsidRDefault="00924664" w:rsidP="00924664">
      <w:r w:rsidRPr="00167CB8">
        <w:t xml:space="preserve">The data used below to assess the </w:t>
      </w:r>
      <w:r>
        <w:t xml:space="preserve">operational </w:t>
      </w:r>
      <w:r w:rsidRPr="00167CB8">
        <w:t>effectiveness of the amendments relating to the BOOT fall into three categories: quantitative evidence, mostly provided by the FWC; qualitative evidence</w:t>
      </w:r>
      <w:r>
        <w:t>,</w:t>
      </w:r>
      <w:r w:rsidRPr="00167CB8">
        <w:t xml:space="preserve"> based on decisions by the FWC; and stakeholder feedback.</w:t>
      </w:r>
    </w:p>
    <w:p w14:paraId="5AD16DBC" w14:textId="77777777" w:rsidR="00924664" w:rsidRPr="004557AC" w:rsidRDefault="00924664" w:rsidP="00EC3517">
      <w:pPr>
        <w:pStyle w:val="Heading5"/>
      </w:pPr>
      <w:r w:rsidRPr="004557AC">
        <w:t>17.2.1 Quantitative evidence</w:t>
      </w:r>
    </w:p>
    <w:p w14:paraId="2F6BA9ED" w14:textId="77777777" w:rsidR="00924664" w:rsidRPr="00167CB8" w:rsidRDefault="00924664" w:rsidP="00924664">
      <w:r w:rsidRPr="396ABCA7">
        <w:t>The BOOT amendments have been in effect for approximately 18 months and therefore there is limited available data. The quantitative data from the FWC below relates to three aspects of its application of the BOOT: the timeliness of FWC approvals; the number of approval decisions requiring undertakings; and the number of applications requesting that the FWC reconsider the application of the BOOT.</w:t>
      </w:r>
    </w:p>
    <w:p w14:paraId="7BBB2425" w14:textId="5A0CBDAC" w:rsidR="0011475D" w:rsidRDefault="00924664" w:rsidP="00924664">
      <w:r w:rsidRPr="00FB26E4">
        <w:t xml:space="preserve">First, the FWC timeliness </w:t>
      </w:r>
      <w:r w:rsidRPr="0095123A">
        <w:t>data in Table 1</w:t>
      </w:r>
      <w:r w:rsidR="006663CB">
        <w:t>5</w:t>
      </w:r>
      <w:r w:rsidRPr="0095123A">
        <w:t xml:space="preserve"> shows</w:t>
      </w:r>
      <w:r w:rsidRPr="00FB26E4">
        <w:t xml:space="preserve"> that the median time to approve enterprise agreements has remained stable since the commencement of the amended BOOT provisions</w:t>
      </w:r>
      <w:r>
        <w:t>; indeed, it</w:t>
      </w:r>
      <w:r w:rsidRPr="00FB26E4">
        <w:t xml:space="preserve"> has remained consistent since 2021</w:t>
      </w:r>
      <w:r w:rsidRPr="00FB26E4">
        <w:rPr>
          <w:rFonts w:ascii="Symbol" w:eastAsia="Symbol" w:hAnsi="Symbol" w:cs="Symbol"/>
        </w:rPr>
        <w:t>-</w:t>
      </w:r>
      <w:r w:rsidRPr="00FB26E4">
        <w:t>22.</w:t>
      </w:r>
      <w:r w:rsidRPr="396ABCA7">
        <w:t xml:space="preserve"> </w:t>
      </w:r>
      <w:r>
        <w:t xml:space="preserve">In other words, </w:t>
      </w:r>
      <w:r w:rsidRPr="396ABCA7">
        <w:t>the FWC continued to approve agreements efficiently, despite an overall increase in workload to the FWC</w:t>
      </w:r>
      <w:r>
        <w:t xml:space="preserve">. This is </w:t>
      </w:r>
      <w:r>
        <w:lastRenderedPageBreak/>
        <w:t xml:space="preserve">evident through </w:t>
      </w:r>
      <w:r w:rsidRPr="396ABCA7">
        <w:t>the increase in all application</w:t>
      </w:r>
      <w:r>
        <w:t>s</w:t>
      </w:r>
      <w:r w:rsidRPr="396ABCA7">
        <w:t xml:space="preserve"> </w:t>
      </w:r>
      <w:r>
        <w:t>to</w:t>
      </w:r>
      <w:r w:rsidRPr="396ABCA7">
        <w:t xml:space="preserve"> a</w:t>
      </w:r>
      <w:r>
        <w:t xml:space="preserve"> seven</w:t>
      </w:r>
      <w:r w:rsidRPr="396ABCA7">
        <w:t>-year high</w:t>
      </w:r>
      <w:r w:rsidR="00C26FB8">
        <w:t>,</w:t>
      </w:r>
      <w:r w:rsidRPr="396ABCA7">
        <w:t xml:space="preserve"> and agreement approval applications appear to be returning to close to almost 5,000 a year.</w:t>
      </w:r>
      <w:r w:rsidRPr="396ABCA7">
        <w:rPr>
          <w:rStyle w:val="FootnoteReference"/>
        </w:rPr>
        <w:footnoteReference w:id="771"/>
      </w:r>
    </w:p>
    <w:p w14:paraId="7789E69B" w14:textId="48D703D7" w:rsidR="00924664" w:rsidRPr="00167CB8" w:rsidRDefault="00924664" w:rsidP="00924664">
      <w:r w:rsidRPr="396ABCA7">
        <w:t xml:space="preserve">This suggests that amendments to the assessment of the BOOT may have had a positive impact on ensuring the FWC maintain low approval timeframes. However, this may be attributed to other factors </w:t>
      </w:r>
      <w:r w:rsidRPr="396ABCA7">
        <w:rPr>
          <w:rFonts w:ascii="Symbol" w:eastAsia="Symbol" w:hAnsi="Symbol" w:cs="Symbol"/>
        </w:rPr>
        <w:t>-</w:t>
      </w:r>
      <w:r w:rsidRPr="396ABCA7">
        <w:t xml:space="preserve"> for example, the actions taken by </w:t>
      </w:r>
      <w:r>
        <w:t xml:space="preserve">the </w:t>
      </w:r>
      <w:r w:rsidRPr="396ABCA7">
        <w:t>FWC in 2018</w:t>
      </w:r>
      <w:r w:rsidRPr="396ABCA7">
        <w:rPr>
          <w:rFonts w:ascii="Symbol" w:eastAsia="Symbol" w:hAnsi="Symbol" w:cs="Symbol"/>
        </w:rPr>
        <w:t>-</w:t>
      </w:r>
      <w:r w:rsidRPr="396ABCA7">
        <w:t>19 to improve timeliness, such as:</w:t>
      </w:r>
    </w:p>
    <w:p w14:paraId="0060CC7C" w14:textId="77777777" w:rsidR="00924664" w:rsidRPr="00167CB8" w:rsidRDefault="00924664" w:rsidP="003F7EE6">
      <w:pPr>
        <w:pStyle w:val="ListBullet"/>
        <w:numPr>
          <w:ilvl w:val="0"/>
          <w:numId w:val="4"/>
        </w:numPr>
      </w:pPr>
      <w:r w:rsidRPr="396ABCA7">
        <w:t>publishing a guide to assist parties to make compliant agreement applications</w:t>
      </w:r>
    </w:p>
    <w:p w14:paraId="5DF5E407" w14:textId="77777777" w:rsidR="0011475D" w:rsidRDefault="00924664" w:rsidP="003F7EE6">
      <w:pPr>
        <w:pStyle w:val="ListBullet"/>
        <w:numPr>
          <w:ilvl w:val="0"/>
          <w:numId w:val="4"/>
        </w:numPr>
      </w:pPr>
      <w:r w:rsidRPr="396ABCA7">
        <w:t>increasing resources allocated to assessing agreement applications</w:t>
      </w:r>
    </w:p>
    <w:p w14:paraId="6D31166E" w14:textId="35EC6F96" w:rsidR="0011475D" w:rsidRDefault="00924664" w:rsidP="003F7EE6">
      <w:pPr>
        <w:pStyle w:val="ListBullet"/>
        <w:numPr>
          <w:ilvl w:val="0"/>
          <w:numId w:val="4"/>
        </w:numPr>
      </w:pPr>
      <w:r w:rsidRPr="396ABCA7">
        <w:t>establishing a user group comprising of employers and organisations that lodged, or were associated with lodging, a substantial number of agreement applications in 2018.</w:t>
      </w:r>
      <w:r w:rsidRPr="396ABCA7">
        <w:rPr>
          <w:rStyle w:val="FootnoteReference"/>
        </w:rPr>
        <w:footnoteReference w:id="772"/>
      </w:r>
    </w:p>
    <w:p w14:paraId="0B7D274C" w14:textId="544B0A26" w:rsidR="00924664" w:rsidRPr="00100309" w:rsidRDefault="00924664" w:rsidP="00924664">
      <w:r w:rsidRPr="00100309">
        <w:t xml:space="preserve">Another factor to consider is that the data provided by </w:t>
      </w:r>
      <w:r w:rsidR="00C26FB8">
        <w:t xml:space="preserve">the </w:t>
      </w:r>
      <w:r w:rsidRPr="00100309">
        <w:t>FWC to the Review Panel (25 February 2025) and data from FWC annual reports does not separate ‘agreements approved with undertakings’ by the content of the undertakings. Therefore, from this data the Review Panel is unable to differentiate between agreements where undertakings are provided in response to BOOT concerns and those provided to address another concern (e.g. inconsistency with the National Employment Standards (NES)).</w:t>
      </w:r>
    </w:p>
    <w:p w14:paraId="5B59345F" w14:textId="6537E453" w:rsidR="00924664" w:rsidRPr="00100309" w:rsidRDefault="00924664" w:rsidP="00924664">
      <w:r w:rsidRPr="00100309">
        <w:t>The Panel notes that</w:t>
      </w:r>
      <w:r w:rsidR="00C26FB8">
        <w:t>,</w:t>
      </w:r>
      <w:r w:rsidRPr="00100309">
        <w:t xml:space="preserve"> from a manual review of undertakings in a small sample of 200 enterprise agreements approved between October 2023 and June 2024, it appears that approximately </w:t>
      </w:r>
      <w:r w:rsidR="00E31C84">
        <w:t>60</w:t>
      </w:r>
      <w:r w:rsidRPr="00100309">
        <w:t>% of the total number of undertakings were provided to address BOOT concerns.</w:t>
      </w:r>
    </w:p>
    <w:p w14:paraId="083B0F56" w14:textId="01B1B6B0" w:rsidR="00924664" w:rsidRPr="00167CB8" w:rsidRDefault="00924664" w:rsidP="00924664">
      <w:pPr>
        <w:rPr>
          <w:b/>
          <w:bCs/>
        </w:rPr>
      </w:pPr>
      <w:r>
        <w:t>T</w:t>
      </w:r>
      <w:r w:rsidRPr="396ABCA7">
        <w:t xml:space="preserve">he Review Panel has </w:t>
      </w:r>
      <w:r>
        <w:t>also</w:t>
      </w:r>
      <w:r w:rsidRPr="396ABCA7">
        <w:t xml:space="preserve"> been provided data by the FWC which identifies its use of s 191A to make amendments to an agreement where it holds concerns that the agreement does not pass the </w:t>
      </w:r>
      <w:r w:rsidRPr="007A7CB7">
        <w:t>BOOT. Table 1</w:t>
      </w:r>
      <w:r w:rsidR="00EC3517">
        <w:t>5</w:t>
      </w:r>
      <w:r w:rsidRPr="007A7CB7">
        <w:t xml:space="preserve"> shows that</w:t>
      </w:r>
      <w:r w:rsidRPr="396ABCA7">
        <w:t xml:space="preserve"> agreements requiring undertakings for any reason or s 191A amendments to address BOOT concerns tend to take longer to be approved. The Panel acknowledges that the additional time to approve agreements with undertakings and/or amendments likely reflects the time taken by the FWC to consider views of the parties before accepting undertakings and using its power under s 191A to make amendments.</w:t>
      </w:r>
    </w:p>
    <w:p w14:paraId="5CC7FC28" w14:textId="387C1E2C" w:rsidR="00924664" w:rsidRPr="00167CB8" w:rsidRDefault="00EC3517" w:rsidP="007F380D">
      <w:pPr>
        <w:pStyle w:val="Caption"/>
      </w:pPr>
      <w:bookmarkStart w:id="291" w:name="_Toc194251439"/>
      <w:r>
        <w:lastRenderedPageBreak/>
        <w:t xml:space="preserve">Table </w:t>
      </w:r>
      <w:r>
        <w:fldChar w:fldCharType="begin"/>
      </w:r>
      <w:r>
        <w:instrText xml:space="preserve"> SEQ Table \* ARABIC </w:instrText>
      </w:r>
      <w:r>
        <w:fldChar w:fldCharType="separate"/>
      </w:r>
      <w:r w:rsidR="00DE5F5E">
        <w:rPr>
          <w:noProof/>
        </w:rPr>
        <w:t>15</w:t>
      </w:r>
      <w:r>
        <w:fldChar w:fldCharType="end"/>
      </w:r>
      <w:r>
        <w:t xml:space="preserve">: </w:t>
      </w:r>
      <w:r w:rsidR="00924664" w:rsidRPr="00DC3268">
        <w:t>Agreement approval applications and approval timeliness</w:t>
      </w:r>
      <w:bookmarkEnd w:id="291"/>
    </w:p>
    <w:tbl>
      <w:tblPr>
        <w:tblStyle w:val="TableGrid"/>
        <w:tblW w:w="5000" w:type="pct"/>
        <w:tblLayout w:type="fixed"/>
        <w:tblLook w:val="04A0" w:firstRow="1" w:lastRow="0" w:firstColumn="1" w:lastColumn="0" w:noHBand="0" w:noVBand="1"/>
      </w:tblPr>
      <w:tblGrid>
        <w:gridCol w:w="700"/>
        <w:gridCol w:w="2320"/>
        <w:gridCol w:w="856"/>
        <w:gridCol w:w="857"/>
        <w:gridCol w:w="857"/>
        <w:gridCol w:w="857"/>
        <w:gridCol w:w="857"/>
        <w:gridCol w:w="857"/>
        <w:gridCol w:w="855"/>
      </w:tblGrid>
      <w:tr w:rsidR="00924664" w:rsidRPr="007B6AF7" w14:paraId="175D11C0" w14:textId="77777777" w:rsidTr="008C042C">
        <w:tc>
          <w:tcPr>
            <w:tcW w:w="1676" w:type="pct"/>
            <w:gridSpan w:val="2"/>
          </w:tcPr>
          <w:p w14:paraId="7F2160EC" w14:textId="77777777" w:rsidR="00924664" w:rsidRPr="00586051" w:rsidRDefault="00924664">
            <w:pPr>
              <w:keepNext/>
              <w:keepLines/>
              <w:spacing w:after="0"/>
              <w:rPr>
                <w:b/>
                <w:bCs/>
                <w:sz w:val="20"/>
                <w:szCs w:val="20"/>
              </w:rPr>
            </w:pPr>
          </w:p>
        </w:tc>
        <w:tc>
          <w:tcPr>
            <w:tcW w:w="475" w:type="pct"/>
          </w:tcPr>
          <w:p w14:paraId="3E902822" w14:textId="77777777" w:rsidR="00924664" w:rsidRPr="00586051" w:rsidRDefault="00924664">
            <w:pPr>
              <w:keepNext/>
              <w:keepLines/>
              <w:spacing w:after="0"/>
              <w:rPr>
                <w:b/>
                <w:bCs/>
                <w:sz w:val="20"/>
                <w:szCs w:val="20"/>
              </w:rPr>
            </w:pPr>
            <w:r w:rsidRPr="00586051">
              <w:rPr>
                <w:b/>
                <w:bCs/>
                <w:sz w:val="20"/>
                <w:szCs w:val="20"/>
              </w:rPr>
              <w:t>2017</w:t>
            </w:r>
            <w:r w:rsidRPr="00586051">
              <w:rPr>
                <w:rFonts w:ascii="Symbol" w:eastAsia="Symbol" w:hAnsi="Symbol" w:cs="Symbol"/>
                <w:b/>
                <w:bCs/>
                <w:sz w:val="20"/>
                <w:szCs w:val="20"/>
              </w:rPr>
              <w:t>-</w:t>
            </w:r>
            <w:r w:rsidRPr="00586051">
              <w:rPr>
                <w:b/>
                <w:bCs/>
                <w:sz w:val="20"/>
                <w:szCs w:val="20"/>
              </w:rPr>
              <w:t>18</w:t>
            </w:r>
            <w:r w:rsidRPr="00586051">
              <w:rPr>
                <w:rStyle w:val="FootnoteReference"/>
                <w:sz w:val="20"/>
                <w:szCs w:val="20"/>
              </w:rPr>
              <w:footnoteReference w:id="773"/>
            </w:r>
          </w:p>
        </w:tc>
        <w:tc>
          <w:tcPr>
            <w:tcW w:w="475" w:type="pct"/>
          </w:tcPr>
          <w:p w14:paraId="3B60777E" w14:textId="77777777" w:rsidR="00924664" w:rsidRPr="00586051" w:rsidRDefault="00924664">
            <w:pPr>
              <w:keepNext/>
              <w:keepLines/>
              <w:spacing w:after="0"/>
              <w:rPr>
                <w:b/>
                <w:bCs/>
                <w:sz w:val="20"/>
                <w:szCs w:val="20"/>
              </w:rPr>
            </w:pPr>
            <w:r w:rsidRPr="00586051">
              <w:rPr>
                <w:b/>
                <w:bCs/>
                <w:sz w:val="20"/>
                <w:szCs w:val="20"/>
              </w:rPr>
              <w:t>2018</w:t>
            </w:r>
            <w:r w:rsidRPr="00586051">
              <w:rPr>
                <w:rFonts w:ascii="Symbol" w:eastAsia="Symbol" w:hAnsi="Symbol" w:cs="Symbol"/>
                <w:b/>
                <w:bCs/>
                <w:sz w:val="20"/>
                <w:szCs w:val="20"/>
              </w:rPr>
              <w:t>-</w:t>
            </w:r>
            <w:r w:rsidRPr="00586051">
              <w:rPr>
                <w:b/>
                <w:bCs/>
                <w:sz w:val="20"/>
                <w:szCs w:val="20"/>
              </w:rPr>
              <w:t>19</w:t>
            </w:r>
            <w:r w:rsidRPr="00586051">
              <w:rPr>
                <w:rStyle w:val="FootnoteReference"/>
                <w:sz w:val="20"/>
                <w:szCs w:val="20"/>
              </w:rPr>
              <w:footnoteReference w:id="774"/>
            </w:r>
          </w:p>
        </w:tc>
        <w:tc>
          <w:tcPr>
            <w:tcW w:w="475" w:type="pct"/>
          </w:tcPr>
          <w:p w14:paraId="7ED50020" w14:textId="77777777" w:rsidR="00924664" w:rsidRPr="00586051" w:rsidRDefault="00924664">
            <w:pPr>
              <w:keepNext/>
              <w:keepLines/>
              <w:spacing w:after="0"/>
              <w:rPr>
                <w:b/>
                <w:bCs/>
                <w:sz w:val="20"/>
                <w:szCs w:val="20"/>
              </w:rPr>
            </w:pPr>
            <w:r w:rsidRPr="00586051">
              <w:rPr>
                <w:b/>
                <w:bCs/>
                <w:sz w:val="20"/>
                <w:szCs w:val="20"/>
              </w:rPr>
              <w:t>2019</w:t>
            </w:r>
            <w:r w:rsidRPr="00586051">
              <w:rPr>
                <w:rFonts w:ascii="Symbol" w:eastAsia="Symbol" w:hAnsi="Symbol" w:cs="Symbol"/>
                <w:b/>
                <w:bCs/>
                <w:sz w:val="20"/>
                <w:szCs w:val="20"/>
              </w:rPr>
              <w:t>-</w:t>
            </w:r>
            <w:r w:rsidRPr="00586051">
              <w:rPr>
                <w:b/>
                <w:bCs/>
                <w:sz w:val="20"/>
                <w:szCs w:val="20"/>
              </w:rPr>
              <w:t>20</w:t>
            </w:r>
            <w:r w:rsidRPr="00586051">
              <w:rPr>
                <w:rStyle w:val="FootnoteReference"/>
                <w:sz w:val="20"/>
                <w:szCs w:val="20"/>
              </w:rPr>
              <w:footnoteReference w:id="775"/>
            </w:r>
          </w:p>
        </w:tc>
        <w:tc>
          <w:tcPr>
            <w:tcW w:w="475" w:type="pct"/>
          </w:tcPr>
          <w:p w14:paraId="4C72C648" w14:textId="77777777" w:rsidR="00924664" w:rsidRPr="00586051" w:rsidRDefault="00924664">
            <w:pPr>
              <w:keepNext/>
              <w:keepLines/>
              <w:spacing w:after="0"/>
              <w:rPr>
                <w:b/>
                <w:bCs/>
                <w:sz w:val="20"/>
                <w:szCs w:val="20"/>
              </w:rPr>
            </w:pPr>
            <w:r w:rsidRPr="00586051">
              <w:rPr>
                <w:b/>
                <w:bCs/>
                <w:sz w:val="20"/>
                <w:szCs w:val="20"/>
              </w:rPr>
              <w:t>2020</w:t>
            </w:r>
            <w:r w:rsidRPr="00586051">
              <w:rPr>
                <w:rFonts w:ascii="Symbol" w:eastAsia="Symbol" w:hAnsi="Symbol" w:cs="Symbol"/>
                <w:b/>
                <w:bCs/>
                <w:sz w:val="20"/>
                <w:szCs w:val="20"/>
              </w:rPr>
              <w:t>-</w:t>
            </w:r>
            <w:r w:rsidRPr="00586051">
              <w:rPr>
                <w:b/>
                <w:bCs/>
                <w:sz w:val="20"/>
                <w:szCs w:val="20"/>
              </w:rPr>
              <w:t>21</w:t>
            </w:r>
            <w:r w:rsidRPr="00586051">
              <w:rPr>
                <w:rStyle w:val="FootnoteReference"/>
                <w:sz w:val="20"/>
                <w:szCs w:val="20"/>
              </w:rPr>
              <w:footnoteReference w:id="776"/>
            </w:r>
          </w:p>
        </w:tc>
        <w:tc>
          <w:tcPr>
            <w:tcW w:w="475" w:type="pct"/>
          </w:tcPr>
          <w:p w14:paraId="6A2D9F55" w14:textId="77777777" w:rsidR="00924664" w:rsidRPr="00586051" w:rsidRDefault="00924664">
            <w:pPr>
              <w:keepNext/>
              <w:keepLines/>
              <w:spacing w:after="0"/>
              <w:rPr>
                <w:b/>
                <w:bCs/>
                <w:sz w:val="20"/>
                <w:szCs w:val="20"/>
              </w:rPr>
            </w:pPr>
            <w:r w:rsidRPr="00586051">
              <w:rPr>
                <w:b/>
                <w:bCs/>
                <w:sz w:val="20"/>
                <w:szCs w:val="20"/>
              </w:rPr>
              <w:t>2021</w:t>
            </w:r>
            <w:r w:rsidRPr="00586051">
              <w:rPr>
                <w:rFonts w:ascii="Symbol" w:eastAsia="Symbol" w:hAnsi="Symbol" w:cs="Symbol"/>
                <w:b/>
                <w:bCs/>
                <w:sz w:val="20"/>
                <w:szCs w:val="20"/>
              </w:rPr>
              <w:t>-</w:t>
            </w:r>
            <w:r w:rsidRPr="00586051">
              <w:rPr>
                <w:b/>
                <w:bCs/>
                <w:sz w:val="20"/>
                <w:szCs w:val="20"/>
              </w:rPr>
              <w:t>22</w:t>
            </w:r>
            <w:r w:rsidRPr="00586051">
              <w:rPr>
                <w:rStyle w:val="FootnoteReference"/>
                <w:sz w:val="20"/>
                <w:szCs w:val="20"/>
              </w:rPr>
              <w:footnoteReference w:id="777"/>
            </w:r>
          </w:p>
        </w:tc>
        <w:tc>
          <w:tcPr>
            <w:tcW w:w="475" w:type="pct"/>
          </w:tcPr>
          <w:p w14:paraId="73465E49" w14:textId="77777777" w:rsidR="00924664" w:rsidRPr="00586051" w:rsidRDefault="00924664">
            <w:pPr>
              <w:keepNext/>
              <w:keepLines/>
              <w:spacing w:after="0"/>
              <w:rPr>
                <w:b/>
                <w:bCs/>
                <w:sz w:val="20"/>
                <w:szCs w:val="20"/>
              </w:rPr>
            </w:pPr>
            <w:r w:rsidRPr="00586051">
              <w:rPr>
                <w:b/>
                <w:bCs/>
                <w:sz w:val="20"/>
                <w:szCs w:val="20"/>
              </w:rPr>
              <w:t>2022</w:t>
            </w:r>
            <w:r w:rsidRPr="00586051">
              <w:rPr>
                <w:rFonts w:ascii="Symbol" w:eastAsia="Symbol" w:hAnsi="Symbol" w:cs="Symbol"/>
                <w:b/>
                <w:bCs/>
                <w:sz w:val="20"/>
                <w:szCs w:val="20"/>
              </w:rPr>
              <w:t>-</w:t>
            </w:r>
            <w:r w:rsidRPr="00586051">
              <w:rPr>
                <w:b/>
                <w:bCs/>
                <w:sz w:val="20"/>
                <w:szCs w:val="20"/>
              </w:rPr>
              <w:t>23</w:t>
            </w:r>
            <w:r w:rsidRPr="00586051">
              <w:rPr>
                <w:rStyle w:val="FootnoteReference"/>
                <w:sz w:val="20"/>
                <w:szCs w:val="20"/>
              </w:rPr>
              <w:footnoteReference w:id="778"/>
            </w:r>
          </w:p>
        </w:tc>
        <w:tc>
          <w:tcPr>
            <w:tcW w:w="475" w:type="pct"/>
          </w:tcPr>
          <w:p w14:paraId="6D9C11A0" w14:textId="77777777" w:rsidR="00924664" w:rsidRPr="00586051" w:rsidRDefault="00924664">
            <w:pPr>
              <w:keepNext/>
              <w:keepLines/>
              <w:spacing w:after="0"/>
              <w:rPr>
                <w:b/>
                <w:bCs/>
                <w:sz w:val="20"/>
                <w:szCs w:val="20"/>
              </w:rPr>
            </w:pPr>
            <w:r w:rsidRPr="00586051">
              <w:rPr>
                <w:b/>
                <w:bCs/>
                <w:sz w:val="20"/>
                <w:szCs w:val="20"/>
              </w:rPr>
              <w:t>2023</w:t>
            </w:r>
            <w:r w:rsidRPr="00586051">
              <w:rPr>
                <w:rFonts w:ascii="Symbol" w:eastAsia="Symbol" w:hAnsi="Symbol" w:cs="Symbol"/>
                <w:b/>
                <w:bCs/>
                <w:sz w:val="20"/>
                <w:szCs w:val="20"/>
              </w:rPr>
              <w:t>-</w:t>
            </w:r>
            <w:r w:rsidRPr="00586051">
              <w:rPr>
                <w:b/>
                <w:bCs/>
                <w:sz w:val="20"/>
                <w:szCs w:val="20"/>
              </w:rPr>
              <w:t>24</w:t>
            </w:r>
            <w:r w:rsidRPr="00586051">
              <w:rPr>
                <w:rStyle w:val="FootnoteReference"/>
                <w:sz w:val="20"/>
                <w:szCs w:val="20"/>
              </w:rPr>
              <w:footnoteReference w:id="779"/>
            </w:r>
          </w:p>
        </w:tc>
      </w:tr>
      <w:tr w:rsidR="00924664" w:rsidRPr="007B6AF7" w14:paraId="0AA74593" w14:textId="77777777" w:rsidTr="008C042C">
        <w:tc>
          <w:tcPr>
            <w:tcW w:w="1676" w:type="pct"/>
            <w:gridSpan w:val="2"/>
          </w:tcPr>
          <w:p w14:paraId="687EB882" w14:textId="77777777" w:rsidR="00924664" w:rsidRPr="00586051" w:rsidRDefault="00924664">
            <w:pPr>
              <w:keepNext/>
              <w:keepLines/>
              <w:spacing w:after="0"/>
              <w:rPr>
                <w:sz w:val="20"/>
                <w:szCs w:val="20"/>
              </w:rPr>
            </w:pPr>
            <w:r w:rsidRPr="00586051">
              <w:rPr>
                <w:sz w:val="20"/>
                <w:szCs w:val="20"/>
              </w:rPr>
              <w:t>Agreement approval applications lodged</w:t>
            </w:r>
          </w:p>
        </w:tc>
        <w:tc>
          <w:tcPr>
            <w:tcW w:w="475" w:type="pct"/>
          </w:tcPr>
          <w:p w14:paraId="6079312F" w14:textId="77777777" w:rsidR="00924664" w:rsidRPr="00586051" w:rsidRDefault="00924664" w:rsidP="00586051">
            <w:pPr>
              <w:keepNext/>
              <w:keepLines/>
              <w:spacing w:after="0"/>
              <w:jc w:val="right"/>
              <w:rPr>
                <w:sz w:val="20"/>
                <w:szCs w:val="20"/>
              </w:rPr>
            </w:pPr>
            <w:r w:rsidRPr="00586051">
              <w:rPr>
                <w:sz w:val="20"/>
                <w:szCs w:val="20"/>
              </w:rPr>
              <w:t>5,287</w:t>
            </w:r>
          </w:p>
        </w:tc>
        <w:tc>
          <w:tcPr>
            <w:tcW w:w="475" w:type="pct"/>
          </w:tcPr>
          <w:p w14:paraId="2460CFBD" w14:textId="77777777" w:rsidR="00924664" w:rsidRPr="00586051" w:rsidRDefault="00924664" w:rsidP="00586051">
            <w:pPr>
              <w:keepNext/>
              <w:keepLines/>
              <w:spacing w:after="0"/>
              <w:jc w:val="right"/>
              <w:rPr>
                <w:sz w:val="20"/>
                <w:szCs w:val="20"/>
              </w:rPr>
            </w:pPr>
            <w:r w:rsidRPr="00586051">
              <w:rPr>
                <w:sz w:val="20"/>
                <w:szCs w:val="20"/>
              </w:rPr>
              <w:t>4,932</w:t>
            </w:r>
          </w:p>
        </w:tc>
        <w:tc>
          <w:tcPr>
            <w:tcW w:w="475" w:type="pct"/>
          </w:tcPr>
          <w:p w14:paraId="310E3C36" w14:textId="77777777" w:rsidR="00924664" w:rsidRPr="00586051" w:rsidRDefault="00924664" w:rsidP="00586051">
            <w:pPr>
              <w:keepNext/>
              <w:keepLines/>
              <w:spacing w:after="0"/>
              <w:jc w:val="right"/>
              <w:rPr>
                <w:sz w:val="20"/>
                <w:szCs w:val="20"/>
              </w:rPr>
            </w:pPr>
            <w:r w:rsidRPr="00586051">
              <w:rPr>
                <w:sz w:val="20"/>
                <w:szCs w:val="20"/>
              </w:rPr>
              <w:t>3,795</w:t>
            </w:r>
          </w:p>
        </w:tc>
        <w:tc>
          <w:tcPr>
            <w:tcW w:w="475" w:type="pct"/>
          </w:tcPr>
          <w:p w14:paraId="0A28A017" w14:textId="77777777" w:rsidR="00924664" w:rsidRPr="00586051" w:rsidRDefault="00924664" w:rsidP="00586051">
            <w:pPr>
              <w:keepNext/>
              <w:keepLines/>
              <w:spacing w:after="0"/>
              <w:jc w:val="right"/>
              <w:rPr>
                <w:sz w:val="20"/>
                <w:szCs w:val="20"/>
              </w:rPr>
            </w:pPr>
            <w:r w:rsidRPr="00586051">
              <w:rPr>
                <w:sz w:val="20"/>
                <w:szCs w:val="20"/>
              </w:rPr>
              <w:t>3,753</w:t>
            </w:r>
          </w:p>
        </w:tc>
        <w:tc>
          <w:tcPr>
            <w:tcW w:w="475" w:type="pct"/>
          </w:tcPr>
          <w:p w14:paraId="539235DF" w14:textId="77777777" w:rsidR="00924664" w:rsidRPr="00586051" w:rsidRDefault="00924664" w:rsidP="00586051">
            <w:pPr>
              <w:keepNext/>
              <w:keepLines/>
              <w:spacing w:after="0"/>
              <w:jc w:val="right"/>
              <w:rPr>
                <w:sz w:val="20"/>
                <w:szCs w:val="20"/>
              </w:rPr>
            </w:pPr>
            <w:r w:rsidRPr="00586051">
              <w:rPr>
                <w:sz w:val="20"/>
                <w:szCs w:val="20"/>
              </w:rPr>
              <w:t>4,516</w:t>
            </w:r>
          </w:p>
        </w:tc>
        <w:tc>
          <w:tcPr>
            <w:tcW w:w="475" w:type="pct"/>
          </w:tcPr>
          <w:p w14:paraId="2B298999" w14:textId="77777777" w:rsidR="00924664" w:rsidRPr="00586051" w:rsidRDefault="00924664" w:rsidP="00586051">
            <w:pPr>
              <w:keepNext/>
              <w:keepLines/>
              <w:spacing w:after="0"/>
              <w:jc w:val="right"/>
              <w:rPr>
                <w:sz w:val="20"/>
                <w:szCs w:val="20"/>
              </w:rPr>
            </w:pPr>
            <w:r w:rsidRPr="00586051">
              <w:rPr>
                <w:sz w:val="20"/>
                <w:szCs w:val="20"/>
              </w:rPr>
              <w:t>4,173</w:t>
            </w:r>
          </w:p>
        </w:tc>
        <w:tc>
          <w:tcPr>
            <w:tcW w:w="475" w:type="pct"/>
          </w:tcPr>
          <w:p w14:paraId="73908766" w14:textId="77777777" w:rsidR="00924664" w:rsidRPr="00586051" w:rsidRDefault="00924664" w:rsidP="00586051">
            <w:pPr>
              <w:keepNext/>
              <w:keepLines/>
              <w:spacing w:after="0"/>
              <w:jc w:val="right"/>
              <w:rPr>
                <w:sz w:val="20"/>
                <w:szCs w:val="20"/>
              </w:rPr>
            </w:pPr>
            <w:r w:rsidRPr="00586051">
              <w:rPr>
                <w:sz w:val="20"/>
                <w:szCs w:val="20"/>
              </w:rPr>
              <w:t>4,790</w:t>
            </w:r>
          </w:p>
        </w:tc>
      </w:tr>
      <w:tr w:rsidR="00924664" w:rsidRPr="007B6AF7" w14:paraId="610FE755" w14:textId="77777777" w:rsidTr="008C042C">
        <w:tc>
          <w:tcPr>
            <w:tcW w:w="389" w:type="pct"/>
            <w:vMerge w:val="restart"/>
            <w:textDirection w:val="btLr"/>
          </w:tcPr>
          <w:p w14:paraId="4E24D312" w14:textId="77777777" w:rsidR="00924664" w:rsidRPr="00586051" w:rsidRDefault="00924664">
            <w:pPr>
              <w:keepNext/>
              <w:keepLines/>
              <w:spacing w:after="0"/>
              <w:rPr>
                <w:sz w:val="20"/>
                <w:szCs w:val="20"/>
              </w:rPr>
            </w:pPr>
            <w:r w:rsidRPr="00586051">
              <w:rPr>
                <w:sz w:val="20"/>
                <w:szCs w:val="20"/>
              </w:rPr>
              <w:t>Median days to approval decision</w:t>
            </w:r>
          </w:p>
        </w:tc>
        <w:tc>
          <w:tcPr>
            <w:tcW w:w="1287" w:type="pct"/>
          </w:tcPr>
          <w:p w14:paraId="75C23BFE" w14:textId="77777777" w:rsidR="00924664" w:rsidRPr="00586051" w:rsidRDefault="00924664">
            <w:pPr>
              <w:keepNext/>
              <w:keepLines/>
              <w:spacing w:after="0"/>
              <w:rPr>
                <w:sz w:val="20"/>
                <w:szCs w:val="20"/>
              </w:rPr>
            </w:pPr>
            <w:r w:rsidRPr="00586051">
              <w:rPr>
                <w:sz w:val="20"/>
                <w:szCs w:val="20"/>
              </w:rPr>
              <w:t xml:space="preserve">Agreements approved without undertakings </w:t>
            </w:r>
          </w:p>
        </w:tc>
        <w:tc>
          <w:tcPr>
            <w:tcW w:w="475" w:type="pct"/>
          </w:tcPr>
          <w:p w14:paraId="3784730A" w14:textId="77777777" w:rsidR="00924664" w:rsidRPr="00586051" w:rsidRDefault="00924664" w:rsidP="00586051">
            <w:pPr>
              <w:keepNext/>
              <w:keepLines/>
              <w:spacing w:after="0"/>
              <w:jc w:val="right"/>
              <w:rPr>
                <w:sz w:val="20"/>
                <w:szCs w:val="20"/>
              </w:rPr>
            </w:pPr>
            <w:r w:rsidRPr="00586051">
              <w:rPr>
                <w:sz w:val="20"/>
                <w:szCs w:val="20"/>
              </w:rPr>
              <w:t>32</w:t>
            </w:r>
          </w:p>
        </w:tc>
        <w:tc>
          <w:tcPr>
            <w:tcW w:w="475" w:type="pct"/>
          </w:tcPr>
          <w:p w14:paraId="6F3E1288" w14:textId="77777777" w:rsidR="00924664" w:rsidRPr="00586051" w:rsidRDefault="00924664" w:rsidP="00586051">
            <w:pPr>
              <w:keepNext/>
              <w:keepLines/>
              <w:spacing w:after="0"/>
              <w:jc w:val="right"/>
              <w:rPr>
                <w:sz w:val="20"/>
                <w:szCs w:val="20"/>
              </w:rPr>
            </w:pPr>
            <w:r w:rsidRPr="00586051">
              <w:rPr>
                <w:sz w:val="20"/>
                <w:szCs w:val="20"/>
              </w:rPr>
              <w:t>30</w:t>
            </w:r>
          </w:p>
        </w:tc>
        <w:tc>
          <w:tcPr>
            <w:tcW w:w="475" w:type="pct"/>
          </w:tcPr>
          <w:p w14:paraId="3B59EBAF" w14:textId="77777777" w:rsidR="00924664" w:rsidRPr="00586051" w:rsidRDefault="00924664" w:rsidP="00586051">
            <w:pPr>
              <w:keepNext/>
              <w:keepLines/>
              <w:spacing w:after="0"/>
              <w:jc w:val="right"/>
              <w:rPr>
                <w:sz w:val="20"/>
                <w:szCs w:val="20"/>
              </w:rPr>
            </w:pPr>
            <w:r w:rsidRPr="00586051">
              <w:rPr>
                <w:sz w:val="20"/>
                <w:szCs w:val="20"/>
              </w:rPr>
              <w:t>17</w:t>
            </w:r>
          </w:p>
        </w:tc>
        <w:tc>
          <w:tcPr>
            <w:tcW w:w="475" w:type="pct"/>
          </w:tcPr>
          <w:p w14:paraId="03B37138" w14:textId="77777777" w:rsidR="00924664" w:rsidRPr="00586051" w:rsidRDefault="00924664" w:rsidP="00586051">
            <w:pPr>
              <w:keepNext/>
              <w:keepLines/>
              <w:spacing w:after="0"/>
              <w:jc w:val="right"/>
              <w:rPr>
                <w:sz w:val="20"/>
                <w:szCs w:val="20"/>
              </w:rPr>
            </w:pPr>
            <w:r w:rsidRPr="00586051">
              <w:rPr>
                <w:sz w:val="20"/>
                <w:szCs w:val="20"/>
              </w:rPr>
              <w:t>14</w:t>
            </w:r>
          </w:p>
        </w:tc>
        <w:tc>
          <w:tcPr>
            <w:tcW w:w="475" w:type="pct"/>
          </w:tcPr>
          <w:p w14:paraId="160B2040" w14:textId="77777777" w:rsidR="00924664" w:rsidRPr="00586051" w:rsidRDefault="00924664" w:rsidP="00586051">
            <w:pPr>
              <w:keepNext/>
              <w:keepLines/>
              <w:spacing w:after="0"/>
              <w:jc w:val="right"/>
              <w:rPr>
                <w:sz w:val="20"/>
                <w:szCs w:val="20"/>
              </w:rPr>
            </w:pPr>
            <w:r w:rsidRPr="00586051">
              <w:rPr>
                <w:sz w:val="20"/>
                <w:szCs w:val="20"/>
              </w:rPr>
              <w:t>12</w:t>
            </w:r>
          </w:p>
        </w:tc>
        <w:tc>
          <w:tcPr>
            <w:tcW w:w="475" w:type="pct"/>
          </w:tcPr>
          <w:p w14:paraId="43E105DA" w14:textId="77777777" w:rsidR="00924664" w:rsidRPr="00586051" w:rsidRDefault="00924664" w:rsidP="00586051">
            <w:pPr>
              <w:keepNext/>
              <w:keepLines/>
              <w:spacing w:after="0"/>
              <w:jc w:val="right"/>
              <w:rPr>
                <w:sz w:val="20"/>
                <w:szCs w:val="20"/>
              </w:rPr>
            </w:pPr>
            <w:r w:rsidRPr="00586051">
              <w:rPr>
                <w:sz w:val="20"/>
                <w:szCs w:val="20"/>
              </w:rPr>
              <w:t xml:space="preserve">12 </w:t>
            </w:r>
          </w:p>
        </w:tc>
        <w:tc>
          <w:tcPr>
            <w:tcW w:w="475" w:type="pct"/>
          </w:tcPr>
          <w:p w14:paraId="2AAA446E" w14:textId="77777777" w:rsidR="00924664" w:rsidRPr="00586051" w:rsidRDefault="00924664" w:rsidP="00586051">
            <w:pPr>
              <w:keepNext/>
              <w:keepLines/>
              <w:spacing w:after="0"/>
              <w:jc w:val="right"/>
              <w:rPr>
                <w:sz w:val="20"/>
                <w:szCs w:val="20"/>
              </w:rPr>
            </w:pPr>
            <w:r w:rsidRPr="00586051">
              <w:rPr>
                <w:sz w:val="20"/>
                <w:szCs w:val="20"/>
              </w:rPr>
              <w:t xml:space="preserve">12 </w:t>
            </w:r>
          </w:p>
        </w:tc>
      </w:tr>
      <w:tr w:rsidR="00924664" w:rsidRPr="007B6AF7" w14:paraId="51F8F83E" w14:textId="77777777" w:rsidTr="008C042C">
        <w:tc>
          <w:tcPr>
            <w:tcW w:w="389" w:type="pct"/>
            <w:vMerge/>
          </w:tcPr>
          <w:p w14:paraId="3A2A8AA3" w14:textId="77777777" w:rsidR="00924664" w:rsidRPr="00586051" w:rsidRDefault="00924664">
            <w:pPr>
              <w:keepNext/>
              <w:keepLines/>
              <w:spacing w:after="0"/>
              <w:rPr>
                <w:sz w:val="20"/>
                <w:szCs w:val="20"/>
              </w:rPr>
            </w:pPr>
          </w:p>
        </w:tc>
        <w:tc>
          <w:tcPr>
            <w:tcW w:w="1287" w:type="pct"/>
          </w:tcPr>
          <w:p w14:paraId="0D155221" w14:textId="77777777" w:rsidR="00924664" w:rsidRPr="00586051" w:rsidRDefault="00924664">
            <w:pPr>
              <w:keepNext/>
              <w:keepLines/>
              <w:spacing w:after="0"/>
              <w:rPr>
                <w:sz w:val="20"/>
                <w:szCs w:val="20"/>
              </w:rPr>
            </w:pPr>
            <w:r w:rsidRPr="00586051">
              <w:rPr>
                <w:sz w:val="20"/>
                <w:szCs w:val="20"/>
              </w:rPr>
              <w:t xml:space="preserve">Agreements approved with undertakings </w:t>
            </w:r>
          </w:p>
        </w:tc>
        <w:tc>
          <w:tcPr>
            <w:tcW w:w="475" w:type="pct"/>
          </w:tcPr>
          <w:p w14:paraId="05FC7756" w14:textId="77777777" w:rsidR="00924664" w:rsidRPr="00586051" w:rsidRDefault="00924664" w:rsidP="00586051">
            <w:pPr>
              <w:keepNext/>
              <w:keepLines/>
              <w:spacing w:after="0"/>
              <w:jc w:val="right"/>
              <w:rPr>
                <w:sz w:val="20"/>
                <w:szCs w:val="20"/>
              </w:rPr>
            </w:pPr>
            <w:r w:rsidRPr="00586051">
              <w:rPr>
                <w:sz w:val="20"/>
                <w:szCs w:val="20"/>
              </w:rPr>
              <w:t>107.5*</w:t>
            </w:r>
          </w:p>
        </w:tc>
        <w:tc>
          <w:tcPr>
            <w:tcW w:w="475" w:type="pct"/>
          </w:tcPr>
          <w:p w14:paraId="417ACC53" w14:textId="77777777" w:rsidR="00924664" w:rsidRPr="00586051" w:rsidRDefault="00924664" w:rsidP="00586051">
            <w:pPr>
              <w:keepNext/>
              <w:keepLines/>
              <w:spacing w:after="0"/>
              <w:jc w:val="right"/>
              <w:rPr>
                <w:sz w:val="20"/>
                <w:szCs w:val="20"/>
              </w:rPr>
            </w:pPr>
            <w:r w:rsidRPr="00586051">
              <w:rPr>
                <w:sz w:val="20"/>
                <w:szCs w:val="20"/>
              </w:rPr>
              <w:t>118*</w:t>
            </w:r>
          </w:p>
        </w:tc>
        <w:tc>
          <w:tcPr>
            <w:tcW w:w="475" w:type="pct"/>
          </w:tcPr>
          <w:p w14:paraId="1EFD5AD4" w14:textId="77777777" w:rsidR="00924664" w:rsidRPr="00586051" w:rsidRDefault="00924664" w:rsidP="00586051">
            <w:pPr>
              <w:keepNext/>
              <w:keepLines/>
              <w:spacing w:after="0"/>
              <w:jc w:val="right"/>
              <w:rPr>
                <w:sz w:val="20"/>
                <w:szCs w:val="20"/>
              </w:rPr>
            </w:pPr>
            <w:r w:rsidRPr="00586051">
              <w:rPr>
                <w:sz w:val="20"/>
                <w:szCs w:val="20"/>
              </w:rPr>
              <w:t>40*</w:t>
            </w:r>
          </w:p>
        </w:tc>
        <w:tc>
          <w:tcPr>
            <w:tcW w:w="475" w:type="pct"/>
          </w:tcPr>
          <w:p w14:paraId="78924636" w14:textId="77777777" w:rsidR="00924664" w:rsidRPr="00586051" w:rsidRDefault="00924664" w:rsidP="00586051">
            <w:pPr>
              <w:keepNext/>
              <w:keepLines/>
              <w:spacing w:after="0"/>
              <w:jc w:val="right"/>
              <w:rPr>
                <w:sz w:val="20"/>
                <w:szCs w:val="20"/>
              </w:rPr>
            </w:pPr>
            <w:r w:rsidRPr="00586051">
              <w:rPr>
                <w:sz w:val="20"/>
                <w:szCs w:val="20"/>
              </w:rPr>
              <w:t>28*</w:t>
            </w:r>
          </w:p>
        </w:tc>
        <w:tc>
          <w:tcPr>
            <w:tcW w:w="475" w:type="pct"/>
          </w:tcPr>
          <w:p w14:paraId="1E9C8599" w14:textId="77777777" w:rsidR="00924664" w:rsidRPr="00586051" w:rsidRDefault="00924664" w:rsidP="00586051">
            <w:pPr>
              <w:keepNext/>
              <w:keepLines/>
              <w:spacing w:after="0"/>
              <w:jc w:val="right"/>
              <w:rPr>
                <w:sz w:val="20"/>
                <w:szCs w:val="20"/>
              </w:rPr>
            </w:pPr>
            <w:r w:rsidRPr="00586051">
              <w:rPr>
                <w:sz w:val="20"/>
                <w:szCs w:val="20"/>
              </w:rPr>
              <w:t>22*</w:t>
            </w:r>
          </w:p>
        </w:tc>
        <w:tc>
          <w:tcPr>
            <w:tcW w:w="475" w:type="pct"/>
          </w:tcPr>
          <w:p w14:paraId="75BDFB59" w14:textId="77777777" w:rsidR="00924664" w:rsidRPr="00586051" w:rsidRDefault="00924664" w:rsidP="00586051">
            <w:pPr>
              <w:keepNext/>
              <w:keepLines/>
              <w:spacing w:after="0"/>
              <w:jc w:val="right"/>
              <w:rPr>
                <w:sz w:val="20"/>
                <w:szCs w:val="20"/>
              </w:rPr>
            </w:pPr>
            <w:r w:rsidRPr="00586051">
              <w:rPr>
                <w:sz w:val="20"/>
                <w:szCs w:val="20"/>
              </w:rPr>
              <w:t>22*</w:t>
            </w:r>
          </w:p>
        </w:tc>
        <w:tc>
          <w:tcPr>
            <w:tcW w:w="475" w:type="pct"/>
          </w:tcPr>
          <w:p w14:paraId="14606B16" w14:textId="77777777" w:rsidR="00924664" w:rsidRPr="00586051" w:rsidRDefault="00924664" w:rsidP="00586051">
            <w:pPr>
              <w:keepNext/>
              <w:keepLines/>
              <w:spacing w:after="0"/>
              <w:jc w:val="right"/>
              <w:rPr>
                <w:sz w:val="20"/>
                <w:szCs w:val="20"/>
              </w:rPr>
            </w:pPr>
            <w:r w:rsidRPr="00586051">
              <w:rPr>
                <w:sz w:val="20"/>
                <w:szCs w:val="20"/>
              </w:rPr>
              <w:t>23*</w:t>
            </w:r>
          </w:p>
        </w:tc>
      </w:tr>
      <w:tr w:rsidR="00924664" w:rsidRPr="007B6AF7" w14:paraId="34B4C643" w14:textId="77777777" w:rsidTr="008C042C">
        <w:tc>
          <w:tcPr>
            <w:tcW w:w="389" w:type="pct"/>
            <w:vMerge/>
          </w:tcPr>
          <w:p w14:paraId="575846C7" w14:textId="77777777" w:rsidR="00924664" w:rsidRPr="00586051" w:rsidRDefault="00924664">
            <w:pPr>
              <w:keepNext/>
              <w:keepLines/>
              <w:spacing w:after="0"/>
              <w:rPr>
                <w:sz w:val="20"/>
                <w:szCs w:val="20"/>
              </w:rPr>
            </w:pPr>
          </w:p>
        </w:tc>
        <w:tc>
          <w:tcPr>
            <w:tcW w:w="1287" w:type="pct"/>
          </w:tcPr>
          <w:p w14:paraId="70A01B7A" w14:textId="77777777" w:rsidR="00924664" w:rsidRPr="00586051" w:rsidRDefault="00924664">
            <w:pPr>
              <w:keepNext/>
              <w:keepLines/>
              <w:spacing w:after="0"/>
              <w:rPr>
                <w:sz w:val="20"/>
                <w:szCs w:val="20"/>
              </w:rPr>
            </w:pPr>
            <w:r w:rsidRPr="00586051">
              <w:rPr>
                <w:sz w:val="20"/>
                <w:szCs w:val="20"/>
              </w:rPr>
              <w:t xml:space="preserve">Agreements approved with s 191A amendments </w:t>
            </w:r>
          </w:p>
        </w:tc>
        <w:tc>
          <w:tcPr>
            <w:tcW w:w="475" w:type="pct"/>
          </w:tcPr>
          <w:p w14:paraId="494B19B2" w14:textId="77777777" w:rsidR="00924664" w:rsidRPr="00586051" w:rsidRDefault="00924664" w:rsidP="00586051">
            <w:pPr>
              <w:keepNext/>
              <w:keepLines/>
              <w:spacing w:after="0"/>
              <w:jc w:val="right"/>
              <w:rPr>
                <w:sz w:val="20"/>
                <w:szCs w:val="20"/>
              </w:rPr>
            </w:pPr>
            <w:r w:rsidRPr="00586051">
              <w:rPr>
                <w:sz w:val="20"/>
                <w:szCs w:val="20"/>
              </w:rPr>
              <w:t>N/A</w:t>
            </w:r>
          </w:p>
        </w:tc>
        <w:tc>
          <w:tcPr>
            <w:tcW w:w="475" w:type="pct"/>
          </w:tcPr>
          <w:p w14:paraId="61259D99" w14:textId="77777777" w:rsidR="00924664" w:rsidRPr="00586051" w:rsidRDefault="00924664" w:rsidP="00586051">
            <w:pPr>
              <w:keepNext/>
              <w:keepLines/>
              <w:spacing w:after="0"/>
              <w:jc w:val="right"/>
              <w:rPr>
                <w:sz w:val="20"/>
                <w:szCs w:val="20"/>
              </w:rPr>
            </w:pPr>
            <w:r w:rsidRPr="00586051">
              <w:rPr>
                <w:sz w:val="20"/>
                <w:szCs w:val="20"/>
              </w:rPr>
              <w:t>N/A</w:t>
            </w:r>
          </w:p>
        </w:tc>
        <w:tc>
          <w:tcPr>
            <w:tcW w:w="475" w:type="pct"/>
          </w:tcPr>
          <w:p w14:paraId="7B1BF1E9" w14:textId="77777777" w:rsidR="00924664" w:rsidRPr="00586051" w:rsidRDefault="00924664" w:rsidP="00586051">
            <w:pPr>
              <w:keepNext/>
              <w:keepLines/>
              <w:spacing w:after="0"/>
              <w:jc w:val="right"/>
              <w:rPr>
                <w:sz w:val="20"/>
                <w:szCs w:val="20"/>
              </w:rPr>
            </w:pPr>
            <w:r w:rsidRPr="00586051">
              <w:rPr>
                <w:sz w:val="20"/>
                <w:szCs w:val="20"/>
              </w:rPr>
              <w:t>N/A</w:t>
            </w:r>
          </w:p>
        </w:tc>
        <w:tc>
          <w:tcPr>
            <w:tcW w:w="475" w:type="pct"/>
          </w:tcPr>
          <w:p w14:paraId="7A1C7718" w14:textId="77777777" w:rsidR="00924664" w:rsidRPr="00586051" w:rsidRDefault="00924664" w:rsidP="00586051">
            <w:pPr>
              <w:keepNext/>
              <w:keepLines/>
              <w:spacing w:after="0"/>
              <w:jc w:val="right"/>
              <w:rPr>
                <w:sz w:val="20"/>
                <w:szCs w:val="20"/>
              </w:rPr>
            </w:pPr>
            <w:r w:rsidRPr="00586051">
              <w:rPr>
                <w:sz w:val="20"/>
                <w:szCs w:val="20"/>
              </w:rPr>
              <w:t>N/A</w:t>
            </w:r>
          </w:p>
        </w:tc>
        <w:tc>
          <w:tcPr>
            <w:tcW w:w="475" w:type="pct"/>
          </w:tcPr>
          <w:p w14:paraId="3111D2E0" w14:textId="77777777" w:rsidR="00924664" w:rsidRPr="00586051" w:rsidRDefault="00924664" w:rsidP="00586051">
            <w:pPr>
              <w:keepNext/>
              <w:keepLines/>
              <w:spacing w:after="0"/>
              <w:jc w:val="right"/>
              <w:rPr>
                <w:sz w:val="20"/>
                <w:szCs w:val="20"/>
              </w:rPr>
            </w:pPr>
            <w:r w:rsidRPr="00586051">
              <w:rPr>
                <w:sz w:val="20"/>
                <w:szCs w:val="20"/>
              </w:rPr>
              <w:t>N/A</w:t>
            </w:r>
          </w:p>
        </w:tc>
        <w:tc>
          <w:tcPr>
            <w:tcW w:w="475" w:type="pct"/>
          </w:tcPr>
          <w:p w14:paraId="13D3984B" w14:textId="77777777" w:rsidR="00924664" w:rsidRPr="00586051" w:rsidRDefault="00924664" w:rsidP="00586051">
            <w:pPr>
              <w:keepNext/>
              <w:keepLines/>
              <w:spacing w:after="0"/>
              <w:jc w:val="right"/>
              <w:rPr>
                <w:sz w:val="20"/>
                <w:szCs w:val="20"/>
              </w:rPr>
            </w:pPr>
            <w:r w:rsidRPr="00586051">
              <w:rPr>
                <w:sz w:val="20"/>
                <w:szCs w:val="20"/>
              </w:rPr>
              <w:t>N/A</w:t>
            </w:r>
          </w:p>
        </w:tc>
        <w:tc>
          <w:tcPr>
            <w:tcW w:w="475" w:type="pct"/>
          </w:tcPr>
          <w:p w14:paraId="37864293" w14:textId="77777777" w:rsidR="00924664" w:rsidRPr="00586051" w:rsidRDefault="00924664" w:rsidP="00586051">
            <w:pPr>
              <w:keepNext/>
              <w:keepLines/>
              <w:spacing w:after="0"/>
              <w:jc w:val="right"/>
              <w:rPr>
                <w:sz w:val="20"/>
                <w:szCs w:val="20"/>
              </w:rPr>
            </w:pPr>
            <w:r w:rsidRPr="00586051">
              <w:rPr>
                <w:sz w:val="20"/>
                <w:szCs w:val="20"/>
              </w:rPr>
              <w:t>32*</w:t>
            </w:r>
          </w:p>
        </w:tc>
      </w:tr>
      <w:tr w:rsidR="00924664" w:rsidRPr="007B6AF7" w14:paraId="2E9D3DD3" w14:textId="77777777" w:rsidTr="008C042C">
        <w:tc>
          <w:tcPr>
            <w:tcW w:w="389" w:type="pct"/>
            <w:vMerge/>
          </w:tcPr>
          <w:p w14:paraId="1626CF69" w14:textId="77777777" w:rsidR="00924664" w:rsidRPr="00586051" w:rsidRDefault="00924664">
            <w:pPr>
              <w:keepNext/>
              <w:keepLines/>
              <w:spacing w:after="0"/>
              <w:rPr>
                <w:sz w:val="20"/>
                <w:szCs w:val="20"/>
              </w:rPr>
            </w:pPr>
          </w:p>
        </w:tc>
        <w:tc>
          <w:tcPr>
            <w:tcW w:w="1287" w:type="pct"/>
          </w:tcPr>
          <w:p w14:paraId="69EFA52A" w14:textId="77777777" w:rsidR="00924664" w:rsidRPr="00586051" w:rsidRDefault="00924664">
            <w:pPr>
              <w:keepNext/>
              <w:keepLines/>
              <w:spacing w:after="0"/>
              <w:rPr>
                <w:sz w:val="20"/>
                <w:szCs w:val="20"/>
              </w:rPr>
            </w:pPr>
            <w:r w:rsidRPr="00586051">
              <w:rPr>
                <w:sz w:val="20"/>
                <w:szCs w:val="20"/>
              </w:rPr>
              <w:t xml:space="preserve">Agreements approved with s 191A amendments and undertakings </w:t>
            </w:r>
          </w:p>
        </w:tc>
        <w:tc>
          <w:tcPr>
            <w:tcW w:w="475" w:type="pct"/>
          </w:tcPr>
          <w:p w14:paraId="29A03B0A" w14:textId="77777777" w:rsidR="00924664" w:rsidRPr="00586051" w:rsidRDefault="00924664" w:rsidP="00586051">
            <w:pPr>
              <w:keepNext/>
              <w:keepLines/>
              <w:spacing w:after="0"/>
              <w:jc w:val="right"/>
              <w:rPr>
                <w:sz w:val="20"/>
                <w:szCs w:val="20"/>
              </w:rPr>
            </w:pPr>
            <w:r w:rsidRPr="00586051">
              <w:rPr>
                <w:sz w:val="20"/>
                <w:szCs w:val="20"/>
              </w:rPr>
              <w:t>N/A</w:t>
            </w:r>
          </w:p>
        </w:tc>
        <w:tc>
          <w:tcPr>
            <w:tcW w:w="475" w:type="pct"/>
          </w:tcPr>
          <w:p w14:paraId="0305AF00" w14:textId="77777777" w:rsidR="00924664" w:rsidRPr="00586051" w:rsidRDefault="00924664" w:rsidP="00586051">
            <w:pPr>
              <w:keepNext/>
              <w:keepLines/>
              <w:spacing w:after="0"/>
              <w:jc w:val="right"/>
              <w:rPr>
                <w:sz w:val="20"/>
                <w:szCs w:val="20"/>
              </w:rPr>
            </w:pPr>
            <w:r w:rsidRPr="00586051">
              <w:rPr>
                <w:sz w:val="20"/>
                <w:szCs w:val="20"/>
              </w:rPr>
              <w:t>N/A</w:t>
            </w:r>
          </w:p>
        </w:tc>
        <w:tc>
          <w:tcPr>
            <w:tcW w:w="475" w:type="pct"/>
          </w:tcPr>
          <w:p w14:paraId="0C17479A" w14:textId="77777777" w:rsidR="00924664" w:rsidRPr="00586051" w:rsidRDefault="00924664" w:rsidP="00586051">
            <w:pPr>
              <w:keepNext/>
              <w:keepLines/>
              <w:spacing w:after="0"/>
              <w:jc w:val="right"/>
              <w:rPr>
                <w:sz w:val="20"/>
                <w:szCs w:val="20"/>
              </w:rPr>
            </w:pPr>
            <w:r w:rsidRPr="00586051">
              <w:rPr>
                <w:sz w:val="20"/>
                <w:szCs w:val="20"/>
              </w:rPr>
              <w:t>N/A</w:t>
            </w:r>
          </w:p>
        </w:tc>
        <w:tc>
          <w:tcPr>
            <w:tcW w:w="475" w:type="pct"/>
          </w:tcPr>
          <w:p w14:paraId="7422A60D" w14:textId="77777777" w:rsidR="00924664" w:rsidRPr="00586051" w:rsidRDefault="00924664" w:rsidP="00586051">
            <w:pPr>
              <w:keepNext/>
              <w:keepLines/>
              <w:spacing w:after="0"/>
              <w:jc w:val="right"/>
              <w:rPr>
                <w:sz w:val="20"/>
                <w:szCs w:val="20"/>
              </w:rPr>
            </w:pPr>
            <w:r w:rsidRPr="00586051">
              <w:rPr>
                <w:sz w:val="20"/>
                <w:szCs w:val="20"/>
              </w:rPr>
              <w:t>N/A</w:t>
            </w:r>
          </w:p>
        </w:tc>
        <w:tc>
          <w:tcPr>
            <w:tcW w:w="475" w:type="pct"/>
          </w:tcPr>
          <w:p w14:paraId="70494004" w14:textId="77777777" w:rsidR="00924664" w:rsidRPr="00586051" w:rsidRDefault="00924664" w:rsidP="00586051">
            <w:pPr>
              <w:keepNext/>
              <w:keepLines/>
              <w:spacing w:after="0"/>
              <w:jc w:val="right"/>
              <w:rPr>
                <w:sz w:val="20"/>
                <w:szCs w:val="20"/>
              </w:rPr>
            </w:pPr>
            <w:r w:rsidRPr="00586051">
              <w:rPr>
                <w:sz w:val="20"/>
                <w:szCs w:val="20"/>
              </w:rPr>
              <w:t>N/A</w:t>
            </w:r>
          </w:p>
        </w:tc>
        <w:tc>
          <w:tcPr>
            <w:tcW w:w="475" w:type="pct"/>
          </w:tcPr>
          <w:p w14:paraId="4529BB62" w14:textId="77777777" w:rsidR="00924664" w:rsidRPr="00586051" w:rsidRDefault="00924664" w:rsidP="00586051">
            <w:pPr>
              <w:keepNext/>
              <w:keepLines/>
              <w:spacing w:after="0"/>
              <w:jc w:val="right"/>
              <w:rPr>
                <w:sz w:val="20"/>
                <w:szCs w:val="20"/>
              </w:rPr>
            </w:pPr>
            <w:r w:rsidRPr="00586051">
              <w:rPr>
                <w:sz w:val="20"/>
                <w:szCs w:val="20"/>
              </w:rPr>
              <w:t>31*</w:t>
            </w:r>
          </w:p>
        </w:tc>
        <w:tc>
          <w:tcPr>
            <w:tcW w:w="475" w:type="pct"/>
          </w:tcPr>
          <w:p w14:paraId="6D068806" w14:textId="77777777" w:rsidR="00924664" w:rsidRPr="00586051" w:rsidRDefault="00924664" w:rsidP="00586051">
            <w:pPr>
              <w:keepNext/>
              <w:keepLines/>
              <w:spacing w:after="0"/>
              <w:jc w:val="right"/>
              <w:rPr>
                <w:sz w:val="20"/>
                <w:szCs w:val="20"/>
              </w:rPr>
            </w:pPr>
            <w:r w:rsidRPr="00586051">
              <w:rPr>
                <w:sz w:val="20"/>
                <w:szCs w:val="20"/>
              </w:rPr>
              <w:t>20*</w:t>
            </w:r>
          </w:p>
        </w:tc>
      </w:tr>
      <w:tr w:rsidR="00924664" w:rsidRPr="007B6AF7" w14:paraId="5BC410FE" w14:textId="77777777" w:rsidTr="008C042C">
        <w:tc>
          <w:tcPr>
            <w:tcW w:w="389" w:type="pct"/>
            <w:vMerge/>
          </w:tcPr>
          <w:p w14:paraId="61599401" w14:textId="77777777" w:rsidR="00924664" w:rsidRPr="00586051" w:rsidRDefault="00924664">
            <w:pPr>
              <w:keepNext/>
              <w:keepLines/>
              <w:spacing w:after="0"/>
              <w:rPr>
                <w:sz w:val="20"/>
                <w:szCs w:val="20"/>
              </w:rPr>
            </w:pPr>
          </w:p>
        </w:tc>
        <w:tc>
          <w:tcPr>
            <w:tcW w:w="1287" w:type="pct"/>
          </w:tcPr>
          <w:p w14:paraId="448FC7B9" w14:textId="77777777" w:rsidR="00924664" w:rsidRPr="00586051" w:rsidRDefault="00924664">
            <w:pPr>
              <w:keepNext/>
              <w:keepLines/>
              <w:spacing w:after="0"/>
              <w:rPr>
                <w:sz w:val="20"/>
                <w:szCs w:val="20"/>
              </w:rPr>
            </w:pPr>
            <w:r w:rsidRPr="00586051">
              <w:rPr>
                <w:sz w:val="20"/>
                <w:szCs w:val="20"/>
              </w:rPr>
              <w:t xml:space="preserve">All agreements approved </w:t>
            </w:r>
          </w:p>
        </w:tc>
        <w:tc>
          <w:tcPr>
            <w:tcW w:w="475" w:type="pct"/>
          </w:tcPr>
          <w:p w14:paraId="5AEDEA7C" w14:textId="77777777" w:rsidR="00924664" w:rsidRPr="00586051" w:rsidRDefault="00924664" w:rsidP="00586051">
            <w:pPr>
              <w:keepNext/>
              <w:keepLines/>
              <w:spacing w:after="0"/>
              <w:jc w:val="right"/>
              <w:rPr>
                <w:sz w:val="20"/>
                <w:szCs w:val="20"/>
              </w:rPr>
            </w:pPr>
            <w:r w:rsidRPr="00586051">
              <w:rPr>
                <w:sz w:val="20"/>
                <w:szCs w:val="20"/>
              </w:rPr>
              <w:t>76</w:t>
            </w:r>
          </w:p>
        </w:tc>
        <w:tc>
          <w:tcPr>
            <w:tcW w:w="475" w:type="pct"/>
          </w:tcPr>
          <w:p w14:paraId="74496E8F" w14:textId="77777777" w:rsidR="00924664" w:rsidRPr="00586051" w:rsidRDefault="00924664" w:rsidP="00586051">
            <w:pPr>
              <w:keepNext/>
              <w:keepLines/>
              <w:spacing w:after="0"/>
              <w:jc w:val="right"/>
              <w:rPr>
                <w:sz w:val="20"/>
                <w:szCs w:val="20"/>
              </w:rPr>
            </w:pPr>
            <w:r w:rsidRPr="00586051">
              <w:rPr>
                <w:sz w:val="20"/>
                <w:szCs w:val="20"/>
              </w:rPr>
              <w:t>79</w:t>
            </w:r>
          </w:p>
        </w:tc>
        <w:tc>
          <w:tcPr>
            <w:tcW w:w="475" w:type="pct"/>
          </w:tcPr>
          <w:p w14:paraId="40236A25" w14:textId="77777777" w:rsidR="00924664" w:rsidRPr="00586051" w:rsidRDefault="00924664" w:rsidP="00586051">
            <w:pPr>
              <w:keepNext/>
              <w:keepLines/>
              <w:spacing w:after="0"/>
              <w:jc w:val="right"/>
              <w:rPr>
                <w:sz w:val="20"/>
                <w:szCs w:val="20"/>
              </w:rPr>
            </w:pPr>
            <w:r w:rsidRPr="00586051">
              <w:rPr>
                <w:sz w:val="20"/>
                <w:szCs w:val="20"/>
              </w:rPr>
              <w:t>33</w:t>
            </w:r>
          </w:p>
        </w:tc>
        <w:tc>
          <w:tcPr>
            <w:tcW w:w="475" w:type="pct"/>
          </w:tcPr>
          <w:p w14:paraId="29ABF392" w14:textId="77777777" w:rsidR="00924664" w:rsidRPr="00586051" w:rsidRDefault="00924664" w:rsidP="00586051">
            <w:pPr>
              <w:keepNext/>
              <w:keepLines/>
              <w:spacing w:after="0"/>
              <w:jc w:val="right"/>
              <w:rPr>
                <w:sz w:val="20"/>
                <w:szCs w:val="20"/>
              </w:rPr>
            </w:pPr>
            <w:r w:rsidRPr="00586051">
              <w:rPr>
                <w:sz w:val="20"/>
                <w:szCs w:val="20"/>
              </w:rPr>
              <w:t>20</w:t>
            </w:r>
          </w:p>
        </w:tc>
        <w:tc>
          <w:tcPr>
            <w:tcW w:w="475" w:type="pct"/>
          </w:tcPr>
          <w:p w14:paraId="44ABF19E" w14:textId="77777777" w:rsidR="00924664" w:rsidRPr="00586051" w:rsidRDefault="00924664" w:rsidP="00586051">
            <w:pPr>
              <w:keepNext/>
              <w:keepLines/>
              <w:spacing w:after="0"/>
              <w:jc w:val="right"/>
              <w:rPr>
                <w:sz w:val="20"/>
                <w:szCs w:val="20"/>
              </w:rPr>
            </w:pPr>
            <w:r w:rsidRPr="00586051">
              <w:rPr>
                <w:sz w:val="20"/>
                <w:szCs w:val="20"/>
              </w:rPr>
              <w:t>15</w:t>
            </w:r>
          </w:p>
        </w:tc>
        <w:tc>
          <w:tcPr>
            <w:tcW w:w="475" w:type="pct"/>
          </w:tcPr>
          <w:p w14:paraId="1361227A" w14:textId="77777777" w:rsidR="00924664" w:rsidRPr="00586051" w:rsidRDefault="00924664" w:rsidP="00586051">
            <w:pPr>
              <w:keepNext/>
              <w:keepLines/>
              <w:spacing w:after="0"/>
              <w:jc w:val="right"/>
              <w:rPr>
                <w:sz w:val="20"/>
                <w:szCs w:val="20"/>
              </w:rPr>
            </w:pPr>
            <w:r w:rsidRPr="00586051">
              <w:rPr>
                <w:sz w:val="20"/>
                <w:szCs w:val="20"/>
              </w:rPr>
              <w:t>17*</w:t>
            </w:r>
          </w:p>
        </w:tc>
        <w:tc>
          <w:tcPr>
            <w:tcW w:w="475" w:type="pct"/>
          </w:tcPr>
          <w:p w14:paraId="10746143" w14:textId="77777777" w:rsidR="00924664" w:rsidRPr="00586051" w:rsidRDefault="00924664" w:rsidP="00586051">
            <w:pPr>
              <w:keepNext/>
              <w:keepLines/>
              <w:spacing w:after="0"/>
              <w:jc w:val="right"/>
              <w:rPr>
                <w:sz w:val="20"/>
                <w:szCs w:val="20"/>
              </w:rPr>
            </w:pPr>
            <w:r w:rsidRPr="00586051">
              <w:rPr>
                <w:sz w:val="20"/>
                <w:szCs w:val="20"/>
              </w:rPr>
              <w:t>16*</w:t>
            </w:r>
          </w:p>
        </w:tc>
      </w:tr>
    </w:tbl>
    <w:p w14:paraId="76B0947E" w14:textId="7D862711" w:rsidR="00EC3517" w:rsidRDefault="00EC3517" w:rsidP="00924664">
      <w:pPr>
        <w:pStyle w:val="Source"/>
        <w:rPr>
          <w:b/>
          <w:bCs/>
        </w:rPr>
      </w:pPr>
      <w:r w:rsidRPr="00586051">
        <w:rPr>
          <w:b/>
          <w:bCs/>
        </w:rPr>
        <w:t>Note:</w:t>
      </w:r>
      <w:r>
        <w:t xml:space="preserve"> </w:t>
      </w:r>
      <w:r w:rsidR="00924664" w:rsidRPr="00167CB8">
        <w:t xml:space="preserve">* Calculated from data provided by </w:t>
      </w:r>
      <w:r>
        <w:t>Fair Work Commission</w:t>
      </w:r>
      <w:r w:rsidR="00C26FB8">
        <w:t>.</w:t>
      </w:r>
    </w:p>
    <w:p w14:paraId="0BCCCF52" w14:textId="67B075EA" w:rsidR="00924664" w:rsidRPr="00167CB8" w:rsidRDefault="00924664" w:rsidP="00924664">
      <w:pPr>
        <w:pStyle w:val="Source"/>
      </w:pPr>
      <w:r w:rsidRPr="00167CB8">
        <w:rPr>
          <w:b/>
          <w:bCs/>
        </w:rPr>
        <w:t>Source:</w:t>
      </w:r>
      <w:r w:rsidRPr="00167CB8">
        <w:t xml:space="preserve"> Data provided to the Review by the </w:t>
      </w:r>
      <w:r w:rsidR="00EC3517">
        <w:t>Fair Work Commission</w:t>
      </w:r>
      <w:r w:rsidRPr="00167CB8">
        <w:t>.</w:t>
      </w:r>
    </w:p>
    <w:p w14:paraId="4B3A379B" w14:textId="15939D64" w:rsidR="00924664" w:rsidRDefault="00924664" w:rsidP="00924664">
      <w:r w:rsidRPr="396ABCA7">
        <w:t>Second, in relation to agreements approved with undertaking</w:t>
      </w:r>
      <w:r>
        <w:t>s</w:t>
      </w:r>
      <w:r w:rsidRPr="396ABCA7">
        <w:t xml:space="preserve"> and/or amendments, the available data does not show any significant trends</w:t>
      </w:r>
      <w:r w:rsidRPr="00A85F71">
        <w:t>. Table 1</w:t>
      </w:r>
      <w:r w:rsidR="00EC3517">
        <w:t>6</w:t>
      </w:r>
      <w:r w:rsidRPr="00A85F71">
        <w:t xml:space="preserve"> shows</w:t>
      </w:r>
      <w:r w:rsidRPr="396ABCA7">
        <w:t xml:space="preserve"> that the proportion of agreements approved with undertakings has remained stable and there has been limited use of the new provisions under s 191A of the Fair Work Act.</w:t>
      </w:r>
    </w:p>
    <w:p w14:paraId="69D72F8C" w14:textId="6C71A67E" w:rsidR="00924664" w:rsidRPr="00167CB8" w:rsidRDefault="00EC3517" w:rsidP="007F380D">
      <w:pPr>
        <w:pStyle w:val="Caption"/>
      </w:pPr>
      <w:bookmarkStart w:id="292" w:name="_Toc194251440"/>
      <w:r>
        <w:t xml:space="preserve">Table </w:t>
      </w:r>
      <w:r>
        <w:fldChar w:fldCharType="begin"/>
      </w:r>
      <w:r>
        <w:instrText xml:space="preserve"> SEQ Table \* ARABIC </w:instrText>
      </w:r>
      <w:r>
        <w:fldChar w:fldCharType="separate"/>
      </w:r>
      <w:r w:rsidR="00DE5F5E">
        <w:rPr>
          <w:noProof/>
        </w:rPr>
        <w:t>16</w:t>
      </w:r>
      <w:r>
        <w:fldChar w:fldCharType="end"/>
      </w:r>
      <w:r>
        <w:t xml:space="preserve">: </w:t>
      </w:r>
      <w:r w:rsidR="00924664" w:rsidRPr="00EF5BFF">
        <w:t xml:space="preserve">Outcomes of enterprise agreement applications, by </w:t>
      </w:r>
      <w:r w:rsidR="00924664">
        <w:t>calendar</w:t>
      </w:r>
      <w:r w:rsidR="00924664" w:rsidRPr="00EF5BFF">
        <w:t xml:space="preserve"> year</w:t>
      </w:r>
      <w:bookmarkEnd w:id="292"/>
    </w:p>
    <w:tbl>
      <w:tblPr>
        <w:tblStyle w:val="TableGrid1"/>
        <w:tblW w:w="0" w:type="auto"/>
        <w:tblLayout w:type="fixed"/>
        <w:tblLook w:val="04A0" w:firstRow="1" w:lastRow="0" w:firstColumn="1" w:lastColumn="0" w:noHBand="0" w:noVBand="1"/>
      </w:tblPr>
      <w:tblGrid>
        <w:gridCol w:w="2122"/>
        <w:gridCol w:w="1149"/>
        <w:gridCol w:w="1149"/>
        <w:gridCol w:w="1149"/>
        <w:gridCol w:w="1149"/>
        <w:gridCol w:w="1149"/>
        <w:gridCol w:w="1149"/>
      </w:tblGrid>
      <w:tr w:rsidR="00924664" w:rsidRPr="007B6AF7" w14:paraId="2AE1BB57" w14:textId="77777777">
        <w:trPr>
          <w:cnfStyle w:val="100000000000" w:firstRow="1" w:lastRow="0" w:firstColumn="0" w:lastColumn="0" w:oddVBand="0" w:evenVBand="0" w:oddHBand="0" w:evenHBand="0" w:firstRowFirstColumn="0" w:firstRowLastColumn="0" w:lastRowFirstColumn="0" w:lastRowLastColumn="0"/>
        </w:trPr>
        <w:tc>
          <w:tcPr>
            <w:tcW w:w="2122" w:type="dxa"/>
            <w:vMerge w:val="restart"/>
          </w:tcPr>
          <w:p w14:paraId="7F4800CC" w14:textId="77777777" w:rsidR="00924664" w:rsidRPr="004972E1" w:rsidRDefault="00924664">
            <w:pPr>
              <w:spacing w:after="0"/>
              <w:rPr>
                <w:b/>
                <w:bCs/>
                <w:sz w:val="20"/>
                <w:szCs w:val="20"/>
              </w:rPr>
            </w:pPr>
            <w:r w:rsidRPr="004972E1">
              <w:rPr>
                <w:b/>
                <w:bCs/>
                <w:sz w:val="20"/>
                <w:szCs w:val="20"/>
              </w:rPr>
              <w:t>Result</w:t>
            </w:r>
          </w:p>
        </w:tc>
        <w:tc>
          <w:tcPr>
            <w:tcW w:w="2298" w:type="dxa"/>
            <w:gridSpan w:val="2"/>
          </w:tcPr>
          <w:p w14:paraId="08538461" w14:textId="77777777" w:rsidR="00924664" w:rsidRPr="004972E1" w:rsidRDefault="00924664">
            <w:pPr>
              <w:spacing w:after="0"/>
              <w:jc w:val="center"/>
              <w:rPr>
                <w:b/>
                <w:bCs/>
                <w:sz w:val="20"/>
                <w:szCs w:val="20"/>
              </w:rPr>
            </w:pPr>
            <w:r w:rsidRPr="004972E1">
              <w:rPr>
                <w:b/>
                <w:bCs/>
                <w:sz w:val="20"/>
                <w:szCs w:val="20"/>
              </w:rPr>
              <w:t>2022</w:t>
            </w:r>
          </w:p>
        </w:tc>
        <w:tc>
          <w:tcPr>
            <w:tcW w:w="2298" w:type="dxa"/>
            <w:gridSpan w:val="2"/>
          </w:tcPr>
          <w:p w14:paraId="070A30DE" w14:textId="77777777" w:rsidR="00924664" w:rsidRPr="004972E1" w:rsidRDefault="00924664">
            <w:pPr>
              <w:spacing w:after="0"/>
              <w:jc w:val="center"/>
              <w:rPr>
                <w:b/>
                <w:bCs/>
                <w:sz w:val="20"/>
                <w:szCs w:val="20"/>
              </w:rPr>
            </w:pPr>
            <w:r w:rsidRPr="004972E1">
              <w:rPr>
                <w:b/>
                <w:bCs/>
                <w:sz w:val="20"/>
                <w:szCs w:val="20"/>
              </w:rPr>
              <w:t>2023</w:t>
            </w:r>
          </w:p>
        </w:tc>
        <w:tc>
          <w:tcPr>
            <w:tcW w:w="2298" w:type="dxa"/>
            <w:gridSpan w:val="2"/>
          </w:tcPr>
          <w:p w14:paraId="2D016DE5" w14:textId="77777777" w:rsidR="00924664" w:rsidRPr="004972E1" w:rsidRDefault="00924664">
            <w:pPr>
              <w:spacing w:after="0"/>
              <w:jc w:val="center"/>
              <w:rPr>
                <w:b/>
                <w:bCs/>
                <w:sz w:val="20"/>
                <w:szCs w:val="20"/>
              </w:rPr>
            </w:pPr>
            <w:r w:rsidRPr="004972E1">
              <w:rPr>
                <w:b/>
                <w:bCs/>
                <w:sz w:val="20"/>
                <w:szCs w:val="20"/>
              </w:rPr>
              <w:t>2024</w:t>
            </w:r>
          </w:p>
        </w:tc>
      </w:tr>
      <w:tr w:rsidR="00924664" w:rsidRPr="007B6AF7" w14:paraId="368EA958" w14:textId="77777777">
        <w:tc>
          <w:tcPr>
            <w:tcW w:w="2122" w:type="dxa"/>
            <w:vMerge/>
          </w:tcPr>
          <w:p w14:paraId="30DCC795" w14:textId="77777777" w:rsidR="00924664" w:rsidRPr="004972E1" w:rsidRDefault="00924664">
            <w:pPr>
              <w:spacing w:after="0"/>
              <w:rPr>
                <w:b/>
                <w:bCs/>
                <w:sz w:val="20"/>
                <w:szCs w:val="20"/>
              </w:rPr>
            </w:pPr>
          </w:p>
        </w:tc>
        <w:tc>
          <w:tcPr>
            <w:tcW w:w="1149" w:type="dxa"/>
          </w:tcPr>
          <w:p w14:paraId="20E163D7" w14:textId="77777777" w:rsidR="00924664" w:rsidRPr="004972E1" w:rsidRDefault="00924664">
            <w:pPr>
              <w:spacing w:after="0"/>
              <w:jc w:val="center"/>
              <w:rPr>
                <w:b/>
                <w:bCs/>
                <w:sz w:val="20"/>
                <w:szCs w:val="20"/>
              </w:rPr>
            </w:pPr>
            <w:r w:rsidRPr="004972E1">
              <w:rPr>
                <w:b/>
                <w:bCs/>
                <w:sz w:val="20"/>
                <w:szCs w:val="20"/>
              </w:rPr>
              <w:t>Count</w:t>
            </w:r>
          </w:p>
        </w:tc>
        <w:tc>
          <w:tcPr>
            <w:tcW w:w="1149" w:type="dxa"/>
          </w:tcPr>
          <w:p w14:paraId="01BFF83D" w14:textId="77777777" w:rsidR="00924664" w:rsidRPr="004972E1" w:rsidRDefault="00924664">
            <w:pPr>
              <w:spacing w:after="0"/>
              <w:jc w:val="center"/>
              <w:rPr>
                <w:b/>
                <w:bCs/>
                <w:sz w:val="20"/>
                <w:szCs w:val="20"/>
              </w:rPr>
            </w:pPr>
            <w:r w:rsidRPr="004972E1">
              <w:rPr>
                <w:b/>
                <w:bCs/>
                <w:sz w:val="20"/>
                <w:szCs w:val="20"/>
              </w:rPr>
              <w:t>%</w:t>
            </w:r>
          </w:p>
        </w:tc>
        <w:tc>
          <w:tcPr>
            <w:tcW w:w="1149" w:type="dxa"/>
          </w:tcPr>
          <w:p w14:paraId="3CA2FA6D" w14:textId="77777777" w:rsidR="00924664" w:rsidRPr="004972E1" w:rsidRDefault="00924664">
            <w:pPr>
              <w:spacing w:after="0"/>
              <w:jc w:val="center"/>
              <w:rPr>
                <w:b/>
                <w:bCs/>
                <w:sz w:val="20"/>
                <w:szCs w:val="20"/>
              </w:rPr>
            </w:pPr>
            <w:r w:rsidRPr="004972E1">
              <w:rPr>
                <w:b/>
                <w:bCs/>
                <w:sz w:val="20"/>
                <w:szCs w:val="20"/>
              </w:rPr>
              <w:t>Count</w:t>
            </w:r>
          </w:p>
        </w:tc>
        <w:tc>
          <w:tcPr>
            <w:tcW w:w="1149" w:type="dxa"/>
          </w:tcPr>
          <w:p w14:paraId="536DFF44" w14:textId="77777777" w:rsidR="00924664" w:rsidRPr="004972E1" w:rsidRDefault="00924664">
            <w:pPr>
              <w:spacing w:after="0"/>
              <w:jc w:val="center"/>
              <w:rPr>
                <w:b/>
                <w:bCs/>
                <w:sz w:val="20"/>
                <w:szCs w:val="20"/>
              </w:rPr>
            </w:pPr>
            <w:r w:rsidRPr="004972E1">
              <w:rPr>
                <w:b/>
                <w:bCs/>
                <w:sz w:val="20"/>
                <w:szCs w:val="20"/>
              </w:rPr>
              <w:t>%</w:t>
            </w:r>
          </w:p>
        </w:tc>
        <w:tc>
          <w:tcPr>
            <w:tcW w:w="1149" w:type="dxa"/>
          </w:tcPr>
          <w:p w14:paraId="3DE6B21D" w14:textId="77777777" w:rsidR="00924664" w:rsidRPr="004972E1" w:rsidRDefault="00924664">
            <w:pPr>
              <w:spacing w:after="0"/>
              <w:jc w:val="center"/>
              <w:rPr>
                <w:b/>
                <w:bCs/>
                <w:sz w:val="20"/>
                <w:szCs w:val="20"/>
              </w:rPr>
            </w:pPr>
            <w:r w:rsidRPr="004972E1">
              <w:rPr>
                <w:b/>
                <w:bCs/>
                <w:sz w:val="20"/>
                <w:szCs w:val="20"/>
              </w:rPr>
              <w:t>Count</w:t>
            </w:r>
          </w:p>
        </w:tc>
        <w:tc>
          <w:tcPr>
            <w:tcW w:w="1149" w:type="dxa"/>
          </w:tcPr>
          <w:p w14:paraId="564BD747" w14:textId="77777777" w:rsidR="00924664" w:rsidRPr="004972E1" w:rsidRDefault="00924664">
            <w:pPr>
              <w:spacing w:after="0"/>
              <w:jc w:val="center"/>
              <w:rPr>
                <w:b/>
                <w:bCs/>
                <w:sz w:val="20"/>
                <w:szCs w:val="20"/>
              </w:rPr>
            </w:pPr>
            <w:r w:rsidRPr="004972E1">
              <w:rPr>
                <w:b/>
                <w:bCs/>
                <w:sz w:val="20"/>
                <w:szCs w:val="20"/>
              </w:rPr>
              <w:t>%</w:t>
            </w:r>
          </w:p>
        </w:tc>
      </w:tr>
      <w:tr w:rsidR="00924664" w:rsidRPr="007B6AF7" w14:paraId="75BF9F4B" w14:textId="77777777">
        <w:tc>
          <w:tcPr>
            <w:tcW w:w="2122" w:type="dxa"/>
          </w:tcPr>
          <w:p w14:paraId="1A0353B0" w14:textId="77777777" w:rsidR="00924664" w:rsidRPr="004972E1" w:rsidRDefault="00924664">
            <w:pPr>
              <w:spacing w:after="0"/>
              <w:rPr>
                <w:sz w:val="20"/>
                <w:szCs w:val="20"/>
              </w:rPr>
            </w:pPr>
            <w:r w:rsidRPr="004972E1">
              <w:rPr>
                <w:sz w:val="20"/>
                <w:szCs w:val="20"/>
              </w:rPr>
              <w:t>Approved without undertakings or amendments</w:t>
            </w:r>
          </w:p>
        </w:tc>
        <w:tc>
          <w:tcPr>
            <w:tcW w:w="1149" w:type="dxa"/>
            <w:vAlign w:val="center"/>
          </w:tcPr>
          <w:p w14:paraId="0CAE3BB1" w14:textId="77777777" w:rsidR="00924664" w:rsidRPr="004972E1" w:rsidRDefault="00924664" w:rsidP="00C26FB8">
            <w:pPr>
              <w:spacing w:after="0"/>
              <w:jc w:val="right"/>
              <w:rPr>
                <w:sz w:val="20"/>
                <w:szCs w:val="20"/>
              </w:rPr>
            </w:pPr>
            <w:r w:rsidRPr="004972E1">
              <w:rPr>
                <w:rFonts w:ascii="Aptos Narrow" w:hAnsi="Aptos Narrow"/>
                <w:color w:val="000000"/>
                <w:sz w:val="20"/>
                <w:szCs w:val="20"/>
              </w:rPr>
              <w:t>1,902</w:t>
            </w:r>
          </w:p>
        </w:tc>
        <w:tc>
          <w:tcPr>
            <w:tcW w:w="1149" w:type="dxa"/>
            <w:vAlign w:val="center"/>
          </w:tcPr>
          <w:p w14:paraId="1334A3FC" w14:textId="77777777" w:rsidR="00924664" w:rsidRPr="004972E1" w:rsidRDefault="00924664" w:rsidP="00C26FB8">
            <w:pPr>
              <w:spacing w:after="0"/>
              <w:jc w:val="right"/>
              <w:rPr>
                <w:sz w:val="20"/>
                <w:szCs w:val="20"/>
              </w:rPr>
            </w:pPr>
            <w:r w:rsidRPr="004972E1">
              <w:rPr>
                <w:rFonts w:ascii="Aptos Narrow" w:hAnsi="Aptos Narrow"/>
                <w:color w:val="000000"/>
                <w:sz w:val="20"/>
                <w:szCs w:val="20"/>
              </w:rPr>
              <w:t>45.7%</w:t>
            </w:r>
          </w:p>
        </w:tc>
        <w:tc>
          <w:tcPr>
            <w:tcW w:w="1149" w:type="dxa"/>
            <w:vAlign w:val="center"/>
          </w:tcPr>
          <w:p w14:paraId="6583B43D" w14:textId="77777777" w:rsidR="00924664" w:rsidRPr="004972E1" w:rsidRDefault="00924664" w:rsidP="00C26FB8">
            <w:pPr>
              <w:spacing w:after="0"/>
              <w:jc w:val="right"/>
              <w:rPr>
                <w:sz w:val="20"/>
                <w:szCs w:val="20"/>
              </w:rPr>
            </w:pPr>
            <w:r w:rsidRPr="004972E1">
              <w:rPr>
                <w:rFonts w:ascii="Aptos Narrow" w:hAnsi="Aptos Narrow"/>
                <w:color w:val="000000"/>
                <w:sz w:val="20"/>
                <w:szCs w:val="20"/>
              </w:rPr>
              <w:t>2,183</w:t>
            </w:r>
          </w:p>
        </w:tc>
        <w:tc>
          <w:tcPr>
            <w:tcW w:w="1149" w:type="dxa"/>
            <w:vAlign w:val="center"/>
          </w:tcPr>
          <w:p w14:paraId="08A6831F" w14:textId="77777777" w:rsidR="00924664" w:rsidRPr="004972E1" w:rsidRDefault="00924664" w:rsidP="00C26FB8">
            <w:pPr>
              <w:spacing w:after="0"/>
              <w:jc w:val="right"/>
              <w:rPr>
                <w:sz w:val="20"/>
                <w:szCs w:val="20"/>
              </w:rPr>
            </w:pPr>
            <w:r w:rsidRPr="004972E1">
              <w:rPr>
                <w:rFonts w:ascii="Aptos Narrow" w:hAnsi="Aptos Narrow"/>
                <w:color w:val="000000"/>
                <w:sz w:val="20"/>
                <w:szCs w:val="20"/>
              </w:rPr>
              <w:t>49.1%</w:t>
            </w:r>
          </w:p>
        </w:tc>
        <w:tc>
          <w:tcPr>
            <w:tcW w:w="1149" w:type="dxa"/>
            <w:vAlign w:val="center"/>
          </w:tcPr>
          <w:p w14:paraId="7700F282" w14:textId="77777777" w:rsidR="00924664" w:rsidRPr="004972E1" w:rsidRDefault="00924664" w:rsidP="00C26FB8">
            <w:pPr>
              <w:spacing w:after="0"/>
              <w:jc w:val="right"/>
              <w:rPr>
                <w:sz w:val="20"/>
                <w:szCs w:val="20"/>
              </w:rPr>
            </w:pPr>
            <w:r w:rsidRPr="004972E1">
              <w:rPr>
                <w:rFonts w:ascii="Aptos Narrow" w:hAnsi="Aptos Narrow"/>
                <w:color w:val="000000"/>
                <w:sz w:val="20"/>
                <w:szCs w:val="20"/>
              </w:rPr>
              <w:t>2,372</w:t>
            </w:r>
          </w:p>
        </w:tc>
        <w:tc>
          <w:tcPr>
            <w:tcW w:w="1149" w:type="dxa"/>
            <w:vAlign w:val="center"/>
          </w:tcPr>
          <w:p w14:paraId="7A64528B" w14:textId="77777777" w:rsidR="00924664" w:rsidRPr="004972E1" w:rsidRDefault="00924664" w:rsidP="00C26FB8">
            <w:pPr>
              <w:spacing w:after="0"/>
              <w:jc w:val="right"/>
              <w:rPr>
                <w:sz w:val="20"/>
                <w:szCs w:val="20"/>
              </w:rPr>
            </w:pPr>
            <w:r w:rsidRPr="004972E1">
              <w:rPr>
                <w:rFonts w:ascii="Aptos Narrow" w:hAnsi="Aptos Narrow"/>
                <w:color w:val="000000"/>
                <w:sz w:val="20"/>
                <w:szCs w:val="20"/>
              </w:rPr>
              <w:t>51.3%</w:t>
            </w:r>
          </w:p>
        </w:tc>
      </w:tr>
      <w:tr w:rsidR="00924664" w:rsidRPr="007B6AF7" w14:paraId="0BBB3676" w14:textId="77777777">
        <w:tc>
          <w:tcPr>
            <w:tcW w:w="2122" w:type="dxa"/>
          </w:tcPr>
          <w:p w14:paraId="534F09BD" w14:textId="77777777" w:rsidR="00924664" w:rsidRPr="004972E1" w:rsidRDefault="00924664">
            <w:pPr>
              <w:spacing w:after="0"/>
              <w:rPr>
                <w:sz w:val="20"/>
                <w:szCs w:val="20"/>
              </w:rPr>
            </w:pPr>
            <w:r w:rsidRPr="004972E1">
              <w:rPr>
                <w:sz w:val="20"/>
                <w:szCs w:val="20"/>
              </w:rPr>
              <w:t>Approved with amendments</w:t>
            </w:r>
          </w:p>
        </w:tc>
        <w:tc>
          <w:tcPr>
            <w:tcW w:w="1149" w:type="dxa"/>
            <w:vAlign w:val="center"/>
          </w:tcPr>
          <w:p w14:paraId="1A357D7E" w14:textId="77777777" w:rsidR="00924664" w:rsidRPr="004972E1" w:rsidRDefault="00924664" w:rsidP="00C26FB8">
            <w:pPr>
              <w:spacing w:after="0"/>
              <w:jc w:val="right"/>
              <w:rPr>
                <w:sz w:val="20"/>
                <w:szCs w:val="20"/>
              </w:rPr>
            </w:pPr>
            <w:r w:rsidRPr="004972E1">
              <w:rPr>
                <w:rFonts w:ascii="Aptos Narrow" w:hAnsi="Aptos Narrow"/>
                <w:color w:val="000000"/>
                <w:sz w:val="20"/>
                <w:szCs w:val="20"/>
              </w:rPr>
              <w:t>0</w:t>
            </w:r>
          </w:p>
        </w:tc>
        <w:tc>
          <w:tcPr>
            <w:tcW w:w="1149" w:type="dxa"/>
            <w:vAlign w:val="center"/>
          </w:tcPr>
          <w:p w14:paraId="111BF87C" w14:textId="77777777" w:rsidR="00924664" w:rsidRPr="004972E1" w:rsidRDefault="00924664" w:rsidP="00C26FB8">
            <w:pPr>
              <w:spacing w:after="0"/>
              <w:jc w:val="right"/>
              <w:rPr>
                <w:sz w:val="20"/>
                <w:szCs w:val="20"/>
              </w:rPr>
            </w:pPr>
            <w:r w:rsidRPr="004972E1">
              <w:rPr>
                <w:rFonts w:ascii="Aptos Narrow" w:hAnsi="Aptos Narrow"/>
                <w:color w:val="000000"/>
                <w:sz w:val="20"/>
                <w:szCs w:val="20"/>
              </w:rPr>
              <w:t>0.0%</w:t>
            </w:r>
          </w:p>
        </w:tc>
        <w:tc>
          <w:tcPr>
            <w:tcW w:w="1149" w:type="dxa"/>
            <w:vAlign w:val="center"/>
          </w:tcPr>
          <w:p w14:paraId="791858E0" w14:textId="77777777" w:rsidR="00924664" w:rsidRPr="004972E1" w:rsidRDefault="00924664" w:rsidP="00C26FB8">
            <w:pPr>
              <w:spacing w:after="0"/>
              <w:jc w:val="right"/>
              <w:rPr>
                <w:sz w:val="20"/>
                <w:szCs w:val="20"/>
              </w:rPr>
            </w:pPr>
            <w:r w:rsidRPr="004972E1">
              <w:rPr>
                <w:rFonts w:ascii="Aptos Narrow" w:hAnsi="Aptos Narrow"/>
                <w:color w:val="000000"/>
                <w:sz w:val="20"/>
                <w:szCs w:val="20"/>
              </w:rPr>
              <w:t>13</w:t>
            </w:r>
          </w:p>
        </w:tc>
        <w:tc>
          <w:tcPr>
            <w:tcW w:w="1149" w:type="dxa"/>
            <w:vAlign w:val="center"/>
          </w:tcPr>
          <w:p w14:paraId="3616938B" w14:textId="77777777" w:rsidR="00924664" w:rsidRPr="004972E1" w:rsidRDefault="00924664" w:rsidP="00C26FB8">
            <w:pPr>
              <w:spacing w:after="0"/>
              <w:jc w:val="right"/>
              <w:rPr>
                <w:sz w:val="20"/>
                <w:szCs w:val="20"/>
              </w:rPr>
            </w:pPr>
            <w:r w:rsidRPr="004972E1">
              <w:rPr>
                <w:rFonts w:ascii="Aptos Narrow" w:hAnsi="Aptos Narrow"/>
                <w:color w:val="000000"/>
                <w:sz w:val="20"/>
                <w:szCs w:val="20"/>
              </w:rPr>
              <w:t>0.3%</w:t>
            </w:r>
          </w:p>
        </w:tc>
        <w:tc>
          <w:tcPr>
            <w:tcW w:w="1149" w:type="dxa"/>
            <w:vAlign w:val="center"/>
          </w:tcPr>
          <w:p w14:paraId="1B27133D" w14:textId="77777777" w:rsidR="00924664" w:rsidRPr="004972E1" w:rsidRDefault="00924664" w:rsidP="00C26FB8">
            <w:pPr>
              <w:spacing w:after="0"/>
              <w:jc w:val="right"/>
              <w:rPr>
                <w:sz w:val="20"/>
                <w:szCs w:val="20"/>
              </w:rPr>
            </w:pPr>
            <w:r w:rsidRPr="004972E1">
              <w:rPr>
                <w:rFonts w:ascii="Aptos Narrow" w:hAnsi="Aptos Narrow"/>
                <w:color w:val="000000"/>
                <w:sz w:val="20"/>
                <w:szCs w:val="20"/>
              </w:rPr>
              <w:t>21</w:t>
            </w:r>
          </w:p>
        </w:tc>
        <w:tc>
          <w:tcPr>
            <w:tcW w:w="1149" w:type="dxa"/>
            <w:vAlign w:val="center"/>
          </w:tcPr>
          <w:p w14:paraId="4519D989" w14:textId="77777777" w:rsidR="00924664" w:rsidRPr="004972E1" w:rsidRDefault="00924664" w:rsidP="00C26FB8">
            <w:pPr>
              <w:spacing w:after="0"/>
              <w:jc w:val="right"/>
              <w:rPr>
                <w:sz w:val="20"/>
                <w:szCs w:val="20"/>
              </w:rPr>
            </w:pPr>
            <w:r w:rsidRPr="004972E1">
              <w:rPr>
                <w:rFonts w:ascii="Aptos Narrow" w:hAnsi="Aptos Narrow"/>
                <w:color w:val="000000"/>
                <w:sz w:val="20"/>
                <w:szCs w:val="20"/>
              </w:rPr>
              <w:t>0.5%</w:t>
            </w:r>
          </w:p>
        </w:tc>
      </w:tr>
      <w:tr w:rsidR="00924664" w:rsidRPr="007B6AF7" w14:paraId="745DF0EF" w14:textId="77777777">
        <w:tc>
          <w:tcPr>
            <w:tcW w:w="2122" w:type="dxa"/>
          </w:tcPr>
          <w:p w14:paraId="2825109B" w14:textId="77777777" w:rsidR="00924664" w:rsidRPr="004972E1" w:rsidRDefault="00924664">
            <w:pPr>
              <w:spacing w:after="0"/>
              <w:rPr>
                <w:sz w:val="20"/>
                <w:szCs w:val="20"/>
              </w:rPr>
            </w:pPr>
            <w:r w:rsidRPr="004972E1">
              <w:rPr>
                <w:sz w:val="20"/>
                <w:szCs w:val="20"/>
              </w:rPr>
              <w:t>Approved with undertakings</w:t>
            </w:r>
          </w:p>
        </w:tc>
        <w:tc>
          <w:tcPr>
            <w:tcW w:w="1149" w:type="dxa"/>
            <w:vAlign w:val="center"/>
          </w:tcPr>
          <w:p w14:paraId="30FAC594" w14:textId="77777777" w:rsidR="00924664" w:rsidRPr="004972E1" w:rsidRDefault="00924664" w:rsidP="00C26FB8">
            <w:pPr>
              <w:spacing w:after="0"/>
              <w:jc w:val="right"/>
              <w:rPr>
                <w:sz w:val="20"/>
                <w:szCs w:val="20"/>
              </w:rPr>
            </w:pPr>
            <w:r w:rsidRPr="004972E1">
              <w:rPr>
                <w:rFonts w:ascii="Aptos Narrow" w:hAnsi="Aptos Narrow"/>
                <w:color w:val="000000"/>
                <w:sz w:val="20"/>
                <w:szCs w:val="20"/>
              </w:rPr>
              <w:t>2,132</w:t>
            </w:r>
          </w:p>
        </w:tc>
        <w:tc>
          <w:tcPr>
            <w:tcW w:w="1149" w:type="dxa"/>
            <w:vAlign w:val="center"/>
          </w:tcPr>
          <w:p w14:paraId="1F7A8C3E" w14:textId="77777777" w:rsidR="00924664" w:rsidRPr="004972E1" w:rsidRDefault="00924664" w:rsidP="00C26FB8">
            <w:pPr>
              <w:spacing w:after="0"/>
              <w:jc w:val="right"/>
              <w:rPr>
                <w:sz w:val="20"/>
                <w:szCs w:val="20"/>
              </w:rPr>
            </w:pPr>
            <w:r w:rsidRPr="004972E1">
              <w:rPr>
                <w:rFonts w:ascii="Aptos Narrow" w:hAnsi="Aptos Narrow"/>
                <w:color w:val="000000"/>
                <w:sz w:val="20"/>
                <w:szCs w:val="20"/>
              </w:rPr>
              <w:t>51.2%</w:t>
            </w:r>
          </w:p>
        </w:tc>
        <w:tc>
          <w:tcPr>
            <w:tcW w:w="1149" w:type="dxa"/>
            <w:vAlign w:val="center"/>
          </w:tcPr>
          <w:p w14:paraId="3B62F952" w14:textId="77777777" w:rsidR="00924664" w:rsidRPr="004972E1" w:rsidRDefault="00924664" w:rsidP="00C26FB8">
            <w:pPr>
              <w:spacing w:after="0"/>
              <w:jc w:val="right"/>
              <w:rPr>
                <w:sz w:val="20"/>
                <w:szCs w:val="20"/>
              </w:rPr>
            </w:pPr>
            <w:r w:rsidRPr="004972E1">
              <w:rPr>
                <w:rFonts w:ascii="Aptos Narrow" w:hAnsi="Aptos Narrow"/>
                <w:color w:val="000000"/>
                <w:sz w:val="20"/>
                <w:szCs w:val="20"/>
              </w:rPr>
              <w:t>2,027</w:t>
            </w:r>
          </w:p>
        </w:tc>
        <w:tc>
          <w:tcPr>
            <w:tcW w:w="1149" w:type="dxa"/>
            <w:vAlign w:val="center"/>
          </w:tcPr>
          <w:p w14:paraId="5F038D9D" w14:textId="77777777" w:rsidR="00924664" w:rsidRPr="004972E1" w:rsidRDefault="00924664" w:rsidP="00C26FB8">
            <w:pPr>
              <w:spacing w:after="0"/>
              <w:jc w:val="right"/>
              <w:rPr>
                <w:sz w:val="20"/>
                <w:szCs w:val="20"/>
              </w:rPr>
            </w:pPr>
            <w:r w:rsidRPr="004972E1">
              <w:rPr>
                <w:rFonts w:ascii="Aptos Narrow" w:hAnsi="Aptos Narrow"/>
                <w:color w:val="000000"/>
                <w:sz w:val="20"/>
                <w:szCs w:val="20"/>
              </w:rPr>
              <w:t>45.6%</w:t>
            </w:r>
          </w:p>
        </w:tc>
        <w:tc>
          <w:tcPr>
            <w:tcW w:w="1149" w:type="dxa"/>
            <w:vAlign w:val="center"/>
          </w:tcPr>
          <w:p w14:paraId="265C9D2C" w14:textId="77777777" w:rsidR="00924664" w:rsidRPr="004972E1" w:rsidRDefault="00924664" w:rsidP="00C26FB8">
            <w:pPr>
              <w:spacing w:after="0"/>
              <w:jc w:val="right"/>
              <w:rPr>
                <w:sz w:val="20"/>
                <w:szCs w:val="20"/>
              </w:rPr>
            </w:pPr>
            <w:r w:rsidRPr="004972E1">
              <w:rPr>
                <w:rFonts w:ascii="Aptos Narrow" w:hAnsi="Aptos Narrow"/>
                <w:color w:val="000000"/>
                <w:sz w:val="20"/>
                <w:szCs w:val="20"/>
              </w:rPr>
              <w:t>1,955</w:t>
            </w:r>
          </w:p>
        </w:tc>
        <w:tc>
          <w:tcPr>
            <w:tcW w:w="1149" w:type="dxa"/>
            <w:vAlign w:val="center"/>
          </w:tcPr>
          <w:p w14:paraId="4A06725B" w14:textId="77777777" w:rsidR="00924664" w:rsidRPr="004972E1" w:rsidRDefault="00924664" w:rsidP="00C26FB8">
            <w:pPr>
              <w:spacing w:after="0"/>
              <w:jc w:val="right"/>
              <w:rPr>
                <w:sz w:val="20"/>
                <w:szCs w:val="20"/>
              </w:rPr>
            </w:pPr>
            <w:r w:rsidRPr="004972E1">
              <w:rPr>
                <w:rFonts w:ascii="Aptos Narrow" w:hAnsi="Aptos Narrow"/>
                <w:color w:val="000000"/>
                <w:sz w:val="20"/>
                <w:szCs w:val="20"/>
              </w:rPr>
              <w:t>42.3%</w:t>
            </w:r>
          </w:p>
        </w:tc>
      </w:tr>
      <w:tr w:rsidR="00924664" w:rsidRPr="007B6AF7" w14:paraId="38815422" w14:textId="77777777">
        <w:tc>
          <w:tcPr>
            <w:tcW w:w="2122" w:type="dxa"/>
          </w:tcPr>
          <w:p w14:paraId="52F105E5" w14:textId="77777777" w:rsidR="00924664" w:rsidRPr="004972E1" w:rsidRDefault="00924664">
            <w:pPr>
              <w:spacing w:after="0"/>
              <w:rPr>
                <w:sz w:val="20"/>
                <w:szCs w:val="20"/>
              </w:rPr>
            </w:pPr>
            <w:r w:rsidRPr="004972E1">
              <w:rPr>
                <w:sz w:val="20"/>
                <w:szCs w:val="20"/>
              </w:rPr>
              <w:t>Approved with undertakings and amendments</w:t>
            </w:r>
          </w:p>
        </w:tc>
        <w:tc>
          <w:tcPr>
            <w:tcW w:w="1149" w:type="dxa"/>
            <w:vAlign w:val="center"/>
          </w:tcPr>
          <w:p w14:paraId="037C12D0" w14:textId="77777777" w:rsidR="00924664" w:rsidRPr="004972E1" w:rsidRDefault="00924664" w:rsidP="00C26FB8">
            <w:pPr>
              <w:spacing w:after="0"/>
              <w:jc w:val="right"/>
              <w:rPr>
                <w:sz w:val="20"/>
                <w:szCs w:val="20"/>
              </w:rPr>
            </w:pPr>
            <w:r w:rsidRPr="004972E1">
              <w:rPr>
                <w:rFonts w:ascii="Aptos Narrow" w:hAnsi="Aptos Narrow"/>
                <w:color w:val="000000"/>
                <w:sz w:val="20"/>
                <w:szCs w:val="20"/>
              </w:rPr>
              <w:t>0</w:t>
            </w:r>
          </w:p>
        </w:tc>
        <w:tc>
          <w:tcPr>
            <w:tcW w:w="1149" w:type="dxa"/>
            <w:vAlign w:val="center"/>
          </w:tcPr>
          <w:p w14:paraId="49EA6943" w14:textId="77777777" w:rsidR="00924664" w:rsidRPr="004972E1" w:rsidRDefault="00924664" w:rsidP="00C26FB8">
            <w:pPr>
              <w:spacing w:after="0"/>
              <w:jc w:val="right"/>
              <w:rPr>
                <w:sz w:val="20"/>
                <w:szCs w:val="20"/>
              </w:rPr>
            </w:pPr>
            <w:r w:rsidRPr="004972E1">
              <w:rPr>
                <w:rFonts w:ascii="Aptos Narrow" w:hAnsi="Aptos Narrow"/>
                <w:color w:val="000000"/>
                <w:sz w:val="20"/>
                <w:szCs w:val="20"/>
              </w:rPr>
              <w:t>0.0%</w:t>
            </w:r>
          </w:p>
        </w:tc>
        <w:tc>
          <w:tcPr>
            <w:tcW w:w="1149" w:type="dxa"/>
            <w:vAlign w:val="center"/>
          </w:tcPr>
          <w:p w14:paraId="40D515EB" w14:textId="77777777" w:rsidR="00924664" w:rsidRPr="004972E1" w:rsidRDefault="00924664" w:rsidP="00C26FB8">
            <w:pPr>
              <w:spacing w:after="0"/>
              <w:jc w:val="right"/>
              <w:rPr>
                <w:sz w:val="20"/>
                <w:szCs w:val="20"/>
              </w:rPr>
            </w:pPr>
            <w:r w:rsidRPr="004972E1">
              <w:rPr>
                <w:rFonts w:ascii="Aptos Narrow" w:hAnsi="Aptos Narrow"/>
                <w:color w:val="000000"/>
                <w:sz w:val="20"/>
                <w:szCs w:val="20"/>
              </w:rPr>
              <w:t>6</w:t>
            </w:r>
          </w:p>
        </w:tc>
        <w:tc>
          <w:tcPr>
            <w:tcW w:w="1149" w:type="dxa"/>
            <w:vAlign w:val="center"/>
          </w:tcPr>
          <w:p w14:paraId="49B6A566" w14:textId="77777777" w:rsidR="00924664" w:rsidRPr="004972E1" w:rsidRDefault="00924664" w:rsidP="00C26FB8">
            <w:pPr>
              <w:spacing w:after="0"/>
              <w:jc w:val="right"/>
              <w:rPr>
                <w:sz w:val="20"/>
                <w:szCs w:val="20"/>
              </w:rPr>
            </w:pPr>
            <w:r w:rsidRPr="004972E1">
              <w:rPr>
                <w:rFonts w:ascii="Aptos Narrow" w:hAnsi="Aptos Narrow"/>
                <w:color w:val="000000"/>
                <w:sz w:val="20"/>
                <w:szCs w:val="20"/>
              </w:rPr>
              <w:t>0.1%</w:t>
            </w:r>
          </w:p>
        </w:tc>
        <w:tc>
          <w:tcPr>
            <w:tcW w:w="1149" w:type="dxa"/>
            <w:vAlign w:val="center"/>
          </w:tcPr>
          <w:p w14:paraId="7EF40966" w14:textId="77777777" w:rsidR="00924664" w:rsidRPr="004972E1" w:rsidRDefault="00924664" w:rsidP="00C26FB8">
            <w:pPr>
              <w:spacing w:after="0"/>
              <w:jc w:val="right"/>
              <w:rPr>
                <w:sz w:val="20"/>
                <w:szCs w:val="20"/>
              </w:rPr>
            </w:pPr>
            <w:r w:rsidRPr="004972E1">
              <w:rPr>
                <w:rFonts w:ascii="Aptos Narrow" w:hAnsi="Aptos Narrow"/>
                <w:color w:val="000000"/>
                <w:sz w:val="20"/>
                <w:szCs w:val="20"/>
              </w:rPr>
              <w:t>40</w:t>
            </w:r>
          </w:p>
        </w:tc>
        <w:tc>
          <w:tcPr>
            <w:tcW w:w="1149" w:type="dxa"/>
            <w:vAlign w:val="center"/>
          </w:tcPr>
          <w:p w14:paraId="73199BF7" w14:textId="77777777" w:rsidR="00924664" w:rsidRPr="004972E1" w:rsidRDefault="00924664" w:rsidP="00C26FB8">
            <w:pPr>
              <w:spacing w:after="0"/>
              <w:jc w:val="right"/>
              <w:rPr>
                <w:sz w:val="20"/>
                <w:szCs w:val="20"/>
              </w:rPr>
            </w:pPr>
            <w:r w:rsidRPr="004972E1">
              <w:rPr>
                <w:rFonts w:ascii="Aptos Narrow" w:hAnsi="Aptos Narrow"/>
                <w:color w:val="000000"/>
                <w:sz w:val="20"/>
                <w:szCs w:val="20"/>
              </w:rPr>
              <w:t>0.9%</w:t>
            </w:r>
          </w:p>
        </w:tc>
      </w:tr>
      <w:tr w:rsidR="00924664" w:rsidRPr="007B6AF7" w14:paraId="1A950851" w14:textId="77777777">
        <w:tc>
          <w:tcPr>
            <w:tcW w:w="2122" w:type="dxa"/>
          </w:tcPr>
          <w:p w14:paraId="54856A80" w14:textId="77777777" w:rsidR="00924664" w:rsidRPr="004972E1" w:rsidRDefault="00924664">
            <w:pPr>
              <w:spacing w:after="0"/>
              <w:rPr>
                <w:sz w:val="20"/>
                <w:szCs w:val="20"/>
              </w:rPr>
            </w:pPr>
            <w:r w:rsidRPr="004972E1">
              <w:rPr>
                <w:sz w:val="20"/>
                <w:szCs w:val="20"/>
              </w:rPr>
              <w:t>Not approved</w:t>
            </w:r>
          </w:p>
        </w:tc>
        <w:tc>
          <w:tcPr>
            <w:tcW w:w="1149" w:type="dxa"/>
            <w:vAlign w:val="center"/>
          </w:tcPr>
          <w:p w14:paraId="1D539BA6" w14:textId="77777777" w:rsidR="00924664" w:rsidRPr="004972E1" w:rsidRDefault="00924664" w:rsidP="00C26FB8">
            <w:pPr>
              <w:spacing w:after="0"/>
              <w:jc w:val="right"/>
              <w:rPr>
                <w:sz w:val="20"/>
                <w:szCs w:val="20"/>
              </w:rPr>
            </w:pPr>
            <w:r w:rsidRPr="004972E1">
              <w:rPr>
                <w:rFonts w:ascii="Aptos Narrow" w:hAnsi="Aptos Narrow"/>
                <w:color w:val="000000"/>
                <w:sz w:val="20"/>
                <w:szCs w:val="20"/>
              </w:rPr>
              <w:t>21</w:t>
            </w:r>
          </w:p>
        </w:tc>
        <w:tc>
          <w:tcPr>
            <w:tcW w:w="1149" w:type="dxa"/>
            <w:vAlign w:val="center"/>
          </w:tcPr>
          <w:p w14:paraId="2B86FF68" w14:textId="77777777" w:rsidR="00924664" w:rsidRPr="004972E1" w:rsidRDefault="00924664" w:rsidP="00C26FB8">
            <w:pPr>
              <w:spacing w:after="0"/>
              <w:jc w:val="right"/>
              <w:rPr>
                <w:sz w:val="20"/>
                <w:szCs w:val="20"/>
              </w:rPr>
            </w:pPr>
            <w:r w:rsidRPr="004972E1">
              <w:rPr>
                <w:rFonts w:ascii="Aptos Narrow" w:hAnsi="Aptos Narrow"/>
                <w:color w:val="000000"/>
                <w:sz w:val="20"/>
                <w:szCs w:val="20"/>
              </w:rPr>
              <w:t>0.5%</w:t>
            </w:r>
          </w:p>
        </w:tc>
        <w:tc>
          <w:tcPr>
            <w:tcW w:w="1149" w:type="dxa"/>
            <w:vAlign w:val="center"/>
          </w:tcPr>
          <w:p w14:paraId="7500F2EC" w14:textId="77777777" w:rsidR="00924664" w:rsidRPr="004972E1" w:rsidRDefault="00924664" w:rsidP="00C26FB8">
            <w:pPr>
              <w:spacing w:after="0"/>
              <w:jc w:val="right"/>
              <w:rPr>
                <w:sz w:val="20"/>
                <w:szCs w:val="20"/>
              </w:rPr>
            </w:pPr>
            <w:r w:rsidRPr="004972E1">
              <w:rPr>
                <w:rFonts w:ascii="Aptos Narrow" w:hAnsi="Aptos Narrow"/>
                <w:color w:val="000000"/>
                <w:sz w:val="20"/>
                <w:szCs w:val="20"/>
              </w:rPr>
              <w:t>22</w:t>
            </w:r>
          </w:p>
        </w:tc>
        <w:tc>
          <w:tcPr>
            <w:tcW w:w="1149" w:type="dxa"/>
            <w:vAlign w:val="center"/>
          </w:tcPr>
          <w:p w14:paraId="40744624" w14:textId="77777777" w:rsidR="00924664" w:rsidRPr="004972E1" w:rsidRDefault="00924664" w:rsidP="00C26FB8">
            <w:pPr>
              <w:spacing w:after="0"/>
              <w:jc w:val="right"/>
              <w:rPr>
                <w:sz w:val="20"/>
                <w:szCs w:val="20"/>
              </w:rPr>
            </w:pPr>
            <w:r w:rsidRPr="004972E1">
              <w:rPr>
                <w:rFonts w:ascii="Aptos Narrow" w:hAnsi="Aptos Narrow"/>
                <w:color w:val="000000"/>
                <w:sz w:val="20"/>
                <w:szCs w:val="20"/>
              </w:rPr>
              <w:t>0.5%</w:t>
            </w:r>
          </w:p>
        </w:tc>
        <w:tc>
          <w:tcPr>
            <w:tcW w:w="1149" w:type="dxa"/>
            <w:vAlign w:val="center"/>
          </w:tcPr>
          <w:p w14:paraId="47B3970A" w14:textId="77777777" w:rsidR="00924664" w:rsidRPr="004972E1" w:rsidRDefault="00924664" w:rsidP="00C26FB8">
            <w:pPr>
              <w:spacing w:after="0"/>
              <w:jc w:val="right"/>
              <w:rPr>
                <w:sz w:val="20"/>
                <w:szCs w:val="20"/>
              </w:rPr>
            </w:pPr>
            <w:r w:rsidRPr="004972E1">
              <w:rPr>
                <w:rFonts w:ascii="Aptos Narrow" w:hAnsi="Aptos Narrow"/>
                <w:color w:val="000000"/>
                <w:sz w:val="20"/>
                <w:szCs w:val="20"/>
              </w:rPr>
              <w:t>26</w:t>
            </w:r>
          </w:p>
        </w:tc>
        <w:tc>
          <w:tcPr>
            <w:tcW w:w="1149" w:type="dxa"/>
            <w:vAlign w:val="center"/>
          </w:tcPr>
          <w:p w14:paraId="4FB62ACE" w14:textId="77777777" w:rsidR="00924664" w:rsidRPr="004972E1" w:rsidRDefault="00924664" w:rsidP="00C26FB8">
            <w:pPr>
              <w:spacing w:after="0"/>
              <w:jc w:val="right"/>
              <w:rPr>
                <w:sz w:val="20"/>
                <w:szCs w:val="20"/>
              </w:rPr>
            </w:pPr>
            <w:r w:rsidRPr="004972E1">
              <w:rPr>
                <w:rFonts w:ascii="Aptos Narrow" w:hAnsi="Aptos Narrow"/>
                <w:color w:val="000000"/>
                <w:sz w:val="20"/>
                <w:szCs w:val="20"/>
              </w:rPr>
              <w:t>0.6%</w:t>
            </w:r>
          </w:p>
        </w:tc>
      </w:tr>
      <w:tr w:rsidR="00924664" w:rsidRPr="007B6AF7" w14:paraId="2694B7F2" w14:textId="77777777">
        <w:tc>
          <w:tcPr>
            <w:tcW w:w="2122" w:type="dxa"/>
          </w:tcPr>
          <w:p w14:paraId="626CB8FB" w14:textId="77777777" w:rsidR="00924664" w:rsidRPr="004972E1" w:rsidRDefault="00924664">
            <w:pPr>
              <w:spacing w:after="0"/>
              <w:rPr>
                <w:sz w:val="20"/>
                <w:szCs w:val="20"/>
              </w:rPr>
            </w:pPr>
            <w:r w:rsidRPr="004972E1">
              <w:rPr>
                <w:sz w:val="20"/>
                <w:szCs w:val="20"/>
              </w:rPr>
              <w:t>Other (includes dismissed and withdrawn)</w:t>
            </w:r>
          </w:p>
        </w:tc>
        <w:tc>
          <w:tcPr>
            <w:tcW w:w="1149" w:type="dxa"/>
            <w:vAlign w:val="center"/>
          </w:tcPr>
          <w:p w14:paraId="00015FD0" w14:textId="77777777" w:rsidR="00924664" w:rsidRPr="004972E1" w:rsidRDefault="00924664" w:rsidP="00C26FB8">
            <w:pPr>
              <w:spacing w:after="0"/>
              <w:jc w:val="right"/>
              <w:rPr>
                <w:sz w:val="20"/>
                <w:szCs w:val="20"/>
              </w:rPr>
            </w:pPr>
            <w:r w:rsidRPr="004972E1">
              <w:rPr>
                <w:rFonts w:ascii="Aptos Narrow" w:hAnsi="Aptos Narrow"/>
                <w:color w:val="000000"/>
                <w:sz w:val="20"/>
                <w:szCs w:val="20"/>
              </w:rPr>
              <w:t>111</w:t>
            </w:r>
          </w:p>
        </w:tc>
        <w:tc>
          <w:tcPr>
            <w:tcW w:w="1149" w:type="dxa"/>
            <w:vAlign w:val="center"/>
          </w:tcPr>
          <w:p w14:paraId="4FC54DE2" w14:textId="77777777" w:rsidR="00924664" w:rsidRPr="004972E1" w:rsidRDefault="00924664" w:rsidP="00C26FB8">
            <w:pPr>
              <w:spacing w:after="0"/>
              <w:jc w:val="right"/>
              <w:rPr>
                <w:sz w:val="20"/>
                <w:szCs w:val="20"/>
              </w:rPr>
            </w:pPr>
            <w:r w:rsidRPr="004972E1">
              <w:rPr>
                <w:rFonts w:ascii="Aptos Narrow" w:hAnsi="Aptos Narrow"/>
                <w:color w:val="000000"/>
                <w:sz w:val="20"/>
                <w:szCs w:val="20"/>
              </w:rPr>
              <w:t>2.7%</w:t>
            </w:r>
          </w:p>
        </w:tc>
        <w:tc>
          <w:tcPr>
            <w:tcW w:w="1149" w:type="dxa"/>
            <w:vAlign w:val="center"/>
          </w:tcPr>
          <w:p w14:paraId="5F49AE18" w14:textId="77777777" w:rsidR="00924664" w:rsidRPr="004972E1" w:rsidRDefault="00924664" w:rsidP="00C26FB8">
            <w:pPr>
              <w:spacing w:after="0"/>
              <w:jc w:val="right"/>
              <w:rPr>
                <w:sz w:val="20"/>
                <w:szCs w:val="20"/>
              </w:rPr>
            </w:pPr>
            <w:r w:rsidRPr="004972E1">
              <w:rPr>
                <w:rFonts w:ascii="Aptos Narrow" w:hAnsi="Aptos Narrow"/>
                <w:color w:val="000000"/>
                <w:sz w:val="20"/>
                <w:szCs w:val="20"/>
              </w:rPr>
              <w:t>193</w:t>
            </w:r>
          </w:p>
        </w:tc>
        <w:tc>
          <w:tcPr>
            <w:tcW w:w="1149" w:type="dxa"/>
            <w:vAlign w:val="center"/>
          </w:tcPr>
          <w:p w14:paraId="28A8B200" w14:textId="77777777" w:rsidR="00924664" w:rsidRPr="004972E1" w:rsidRDefault="00924664" w:rsidP="00C26FB8">
            <w:pPr>
              <w:spacing w:after="0"/>
              <w:jc w:val="right"/>
              <w:rPr>
                <w:sz w:val="20"/>
                <w:szCs w:val="20"/>
              </w:rPr>
            </w:pPr>
            <w:r w:rsidRPr="004972E1">
              <w:rPr>
                <w:rFonts w:ascii="Aptos Narrow" w:hAnsi="Aptos Narrow"/>
                <w:color w:val="000000"/>
                <w:sz w:val="20"/>
                <w:szCs w:val="20"/>
              </w:rPr>
              <w:t>4.3%</w:t>
            </w:r>
          </w:p>
        </w:tc>
        <w:tc>
          <w:tcPr>
            <w:tcW w:w="1149" w:type="dxa"/>
            <w:vAlign w:val="center"/>
          </w:tcPr>
          <w:p w14:paraId="6AC17753" w14:textId="77777777" w:rsidR="00924664" w:rsidRPr="004972E1" w:rsidRDefault="00924664" w:rsidP="00C26FB8">
            <w:pPr>
              <w:spacing w:after="0"/>
              <w:jc w:val="right"/>
              <w:rPr>
                <w:sz w:val="20"/>
                <w:szCs w:val="20"/>
              </w:rPr>
            </w:pPr>
            <w:r w:rsidRPr="004972E1">
              <w:rPr>
                <w:rFonts w:ascii="Aptos Narrow" w:hAnsi="Aptos Narrow"/>
                <w:color w:val="000000"/>
                <w:sz w:val="20"/>
                <w:szCs w:val="20"/>
              </w:rPr>
              <w:t>212</w:t>
            </w:r>
          </w:p>
        </w:tc>
        <w:tc>
          <w:tcPr>
            <w:tcW w:w="1149" w:type="dxa"/>
            <w:vAlign w:val="center"/>
          </w:tcPr>
          <w:p w14:paraId="1B0B9661" w14:textId="77777777" w:rsidR="00924664" w:rsidRPr="004972E1" w:rsidRDefault="00924664" w:rsidP="00C26FB8">
            <w:pPr>
              <w:spacing w:after="0"/>
              <w:jc w:val="right"/>
              <w:rPr>
                <w:sz w:val="20"/>
                <w:szCs w:val="20"/>
              </w:rPr>
            </w:pPr>
            <w:r w:rsidRPr="004972E1">
              <w:rPr>
                <w:rFonts w:ascii="Aptos Narrow" w:hAnsi="Aptos Narrow"/>
                <w:color w:val="000000"/>
                <w:sz w:val="20"/>
                <w:szCs w:val="20"/>
              </w:rPr>
              <w:t>4.6%</w:t>
            </w:r>
          </w:p>
        </w:tc>
      </w:tr>
      <w:tr w:rsidR="00924664" w:rsidRPr="007B6AF7" w14:paraId="3C5062FF" w14:textId="77777777">
        <w:tc>
          <w:tcPr>
            <w:tcW w:w="2122" w:type="dxa"/>
          </w:tcPr>
          <w:p w14:paraId="326174F0" w14:textId="77777777" w:rsidR="00924664" w:rsidRPr="004972E1" w:rsidRDefault="00924664">
            <w:pPr>
              <w:spacing w:after="0"/>
              <w:rPr>
                <w:sz w:val="20"/>
                <w:szCs w:val="20"/>
              </w:rPr>
            </w:pPr>
            <w:r w:rsidRPr="004972E1">
              <w:rPr>
                <w:sz w:val="20"/>
                <w:szCs w:val="20"/>
              </w:rPr>
              <w:t>Total</w:t>
            </w:r>
          </w:p>
        </w:tc>
        <w:tc>
          <w:tcPr>
            <w:tcW w:w="1149" w:type="dxa"/>
            <w:vAlign w:val="center"/>
          </w:tcPr>
          <w:p w14:paraId="5FCFF39A" w14:textId="77777777" w:rsidR="00924664" w:rsidRPr="004972E1" w:rsidRDefault="00924664" w:rsidP="00C26FB8">
            <w:pPr>
              <w:spacing w:after="0"/>
              <w:jc w:val="right"/>
              <w:rPr>
                <w:sz w:val="20"/>
                <w:szCs w:val="20"/>
              </w:rPr>
            </w:pPr>
            <w:r w:rsidRPr="004972E1">
              <w:rPr>
                <w:rFonts w:ascii="Aptos Narrow" w:hAnsi="Aptos Narrow"/>
                <w:color w:val="000000"/>
                <w:sz w:val="20"/>
                <w:szCs w:val="20"/>
              </w:rPr>
              <w:t>4,166</w:t>
            </w:r>
          </w:p>
        </w:tc>
        <w:tc>
          <w:tcPr>
            <w:tcW w:w="1149" w:type="dxa"/>
            <w:vAlign w:val="center"/>
          </w:tcPr>
          <w:p w14:paraId="47C141AC" w14:textId="77777777" w:rsidR="00924664" w:rsidRPr="004972E1" w:rsidRDefault="00924664" w:rsidP="00C26FB8">
            <w:pPr>
              <w:spacing w:after="0"/>
              <w:jc w:val="right"/>
              <w:rPr>
                <w:sz w:val="20"/>
                <w:szCs w:val="20"/>
              </w:rPr>
            </w:pPr>
            <w:r w:rsidRPr="004972E1">
              <w:rPr>
                <w:rFonts w:ascii="Aptos Narrow" w:hAnsi="Aptos Narrow"/>
                <w:color w:val="000000"/>
                <w:sz w:val="20"/>
                <w:szCs w:val="20"/>
              </w:rPr>
              <w:t>100.0%</w:t>
            </w:r>
          </w:p>
        </w:tc>
        <w:tc>
          <w:tcPr>
            <w:tcW w:w="1149" w:type="dxa"/>
            <w:vAlign w:val="center"/>
          </w:tcPr>
          <w:p w14:paraId="5C013E72" w14:textId="77777777" w:rsidR="00924664" w:rsidRPr="004972E1" w:rsidRDefault="00924664" w:rsidP="00C26FB8">
            <w:pPr>
              <w:spacing w:after="0"/>
              <w:jc w:val="right"/>
              <w:rPr>
                <w:sz w:val="20"/>
                <w:szCs w:val="20"/>
              </w:rPr>
            </w:pPr>
            <w:r w:rsidRPr="004972E1">
              <w:rPr>
                <w:rFonts w:ascii="Aptos Narrow" w:hAnsi="Aptos Narrow"/>
                <w:color w:val="000000"/>
                <w:sz w:val="20"/>
                <w:szCs w:val="20"/>
              </w:rPr>
              <w:t>4,444</w:t>
            </w:r>
          </w:p>
        </w:tc>
        <w:tc>
          <w:tcPr>
            <w:tcW w:w="1149" w:type="dxa"/>
            <w:vAlign w:val="center"/>
          </w:tcPr>
          <w:p w14:paraId="36C588E3" w14:textId="77777777" w:rsidR="00924664" w:rsidRPr="004972E1" w:rsidRDefault="00924664" w:rsidP="00C26FB8">
            <w:pPr>
              <w:spacing w:after="0"/>
              <w:jc w:val="right"/>
              <w:rPr>
                <w:sz w:val="20"/>
                <w:szCs w:val="20"/>
              </w:rPr>
            </w:pPr>
            <w:r w:rsidRPr="004972E1">
              <w:rPr>
                <w:rFonts w:ascii="Aptos Narrow" w:hAnsi="Aptos Narrow"/>
                <w:color w:val="000000"/>
                <w:sz w:val="20"/>
                <w:szCs w:val="20"/>
              </w:rPr>
              <w:t>100.0%</w:t>
            </w:r>
          </w:p>
        </w:tc>
        <w:tc>
          <w:tcPr>
            <w:tcW w:w="1149" w:type="dxa"/>
            <w:vAlign w:val="center"/>
          </w:tcPr>
          <w:p w14:paraId="53212E67" w14:textId="77777777" w:rsidR="00924664" w:rsidRPr="004972E1" w:rsidRDefault="00924664" w:rsidP="00C26FB8">
            <w:pPr>
              <w:spacing w:after="0"/>
              <w:jc w:val="right"/>
              <w:rPr>
                <w:sz w:val="20"/>
                <w:szCs w:val="20"/>
              </w:rPr>
            </w:pPr>
            <w:r w:rsidRPr="004972E1">
              <w:rPr>
                <w:rFonts w:ascii="Aptos Narrow" w:hAnsi="Aptos Narrow"/>
                <w:color w:val="000000"/>
                <w:sz w:val="20"/>
                <w:szCs w:val="20"/>
              </w:rPr>
              <w:t>4,626</w:t>
            </w:r>
          </w:p>
        </w:tc>
        <w:tc>
          <w:tcPr>
            <w:tcW w:w="1149" w:type="dxa"/>
            <w:vAlign w:val="center"/>
          </w:tcPr>
          <w:p w14:paraId="3AFDF943" w14:textId="77777777" w:rsidR="00924664" w:rsidRPr="004972E1" w:rsidRDefault="00924664" w:rsidP="00C26FB8">
            <w:pPr>
              <w:spacing w:after="0"/>
              <w:jc w:val="right"/>
              <w:rPr>
                <w:sz w:val="20"/>
                <w:szCs w:val="20"/>
              </w:rPr>
            </w:pPr>
            <w:r w:rsidRPr="004972E1">
              <w:rPr>
                <w:rFonts w:ascii="Aptos Narrow" w:hAnsi="Aptos Narrow"/>
                <w:color w:val="000000"/>
                <w:sz w:val="20"/>
                <w:szCs w:val="20"/>
              </w:rPr>
              <w:t>100.0%</w:t>
            </w:r>
          </w:p>
        </w:tc>
      </w:tr>
    </w:tbl>
    <w:p w14:paraId="72F29A70" w14:textId="4981682F" w:rsidR="00924664" w:rsidRPr="00167CB8" w:rsidRDefault="00924664" w:rsidP="00924664">
      <w:pPr>
        <w:pStyle w:val="Source"/>
      </w:pPr>
      <w:r w:rsidRPr="00167CB8">
        <w:rPr>
          <w:b/>
          <w:bCs/>
        </w:rPr>
        <w:t>Source:</w:t>
      </w:r>
      <w:r w:rsidRPr="00167CB8">
        <w:t xml:space="preserve"> Data provided to the Review by the </w:t>
      </w:r>
      <w:r w:rsidR="00EC3517">
        <w:t>Fair Work Commission</w:t>
      </w:r>
      <w:r w:rsidRPr="00167CB8">
        <w:t>.</w:t>
      </w:r>
    </w:p>
    <w:p w14:paraId="382A4CBB" w14:textId="77777777" w:rsidR="0011475D" w:rsidRDefault="00924664" w:rsidP="00924664">
      <w:r w:rsidRPr="00EF5BFF">
        <w:lastRenderedPageBreak/>
        <w:t>Third, in relation to reconsideration applications, in 2022</w:t>
      </w:r>
      <w:r w:rsidRPr="00EF5BFF">
        <w:rPr>
          <w:rFonts w:ascii="Symbol" w:eastAsia="Symbol" w:hAnsi="Symbol" w:cs="Symbol"/>
        </w:rPr>
        <w:t>-</w:t>
      </w:r>
      <w:r w:rsidRPr="00EF5BFF">
        <w:t>23</w:t>
      </w:r>
      <w:r w:rsidRPr="00EF5BFF">
        <w:rPr>
          <w:rStyle w:val="FootnoteReference"/>
        </w:rPr>
        <w:footnoteReference w:id="780"/>
      </w:r>
      <w:r w:rsidRPr="00EF5BFF">
        <w:t xml:space="preserve"> and 2023</w:t>
      </w:r>
      <w:r w:rsidRPr="00EF5BFF">
        <w:rPr>
          <w:rFonts w:ascii="Symbol" w:eastAsia="Symbol" w:hAnsi="Symbol" w:cs="Symbol"/>
        </w:rPr>
        <w:t>-</w:t>
      </w:r>
      <w:r w:rsidRPr="00EF5BFF">
        <w:t>24</w:t>
      </w:r>
      <w:r w:rsidRPr="00EF5BFF">
        <w:rPr>
          <w:rStyle w:val="FootnoteReference"/>
        </w:rPr>
        <w:footnoteReference w:id="781"/>
      </w:r>
      <w:r w:rsidRPr="00EF5BFF">
        <w:t xml:space="preserve"> the FWC received </w:t>
      </w:r>
      <w:r>
        <w:t>only three</w:t>
      </w:r>
      <w:r w:rsidRPr="00EF5BFF">
        <w:t xml:space="preserve"> applications under s 227A of the Fair Work Act.</w:t>
      </w:r>
      <w:r w:rsidRPr="00167CB8">
        <w:t xml:space="preserve"> </w:t>
      </w:r>
      <w:r w:rsidRPr="00EF5BFF">
        <w:t>Two of the applications were in relation to the same agreement and were dismissed as not meeting the conditions necessary for reconsideration.</w:t>
      </w:r>
      <w:r w:rsidRPr="00EF5BFF">
        <w:rPr>
          <w:vertAlign w:val="superscript"/>
        </w:rPr>
        <w:footnoteReference w:id="782"/>
      </w:r>
      <w:r w:rsidRPr="00EF5BFF">
        <w:t xml:space="preserve"> The other application for reconsideration of the BOOT was withdrawn.</w:t>
      </w:r>
    </w:p>
    <w:p w14:paraId="2261F410" w14:textId="0F367B71" w:rsidR="00924664" w:rsidRPr="00EF5BFF" w:rsidRDefault="00924664" w:rsidP="00924664">
      <w:r w:rsidRPr="00EF5BFF">
        <w:t>The limited use of the reconsideration applications may indicate that the Secure Jobs, Better Pay Act BOOT amendments have not led to any significant reduction in entitlements for workers.</w:t>
      </w:r>
    </w:p>
    <w:p w14:paraId="22DCD498" w14:textId="3966BE19" w:rsidR="00924664" w:rsidRPr="004972E1" w:rsidDel="009E042C" w:rsidRDefault="00924664" w:rsidP="00EC3517">
      <w:pPr>
        <w:pStyle w:val="Heading5"/>
      </w:pPr>
      <w:r w:rsidRPr="004972E1" w:rsidDel="009E042C">
        <w:t>17.2.2 Qualitative evidence</w:t>
      </w:r>
    </w:p>
    <w:p w14:paraId="0CD48956" w14:textId="77777777" w:rsidR="00924664" w:rsidRPr="00167CB8" w:rsidDel="009E042C" w:rsidRDefault="00924664" w:rsidP="004972E1">
      <w:r w:rsidRPr="00167CB8" w:rsidDel="009E042C">
        <w:t xml:space="preserve">The following decisions outline </w:t>
      </w:r>
      <w:r>
        <w:t>three</w:t>
      </w:r>
      <w:r w:rsidRPr="00167CB8" w:rsidDel="009E042C">
        <w:t xml:space="preserve"> examples where the FWC has considered the amended BOOT provisions.</w:t>
      </w:r>
    </w:p>
    <w:p w14:paraId="76122D1A" w14:textId="618AD2CF" w:rsidR="00924664" w:rsidRDefault="00924664">
      <w:pPr>
        <w:pStyle w:val="ListNumber"/>
        <w:numPr>
          <w:ilvl w:val="0"/>
          <w:numId w:val="2"/>
        </w:numPr>
        <w:ind w:left="360" w:hanging="360"/>
      </w:pPr>
      <w:r w:rsidRPr="00C26FB8" w:rsidDel="009E042C">
        <w:t xml:space="preserve">On 26 November 2024, in </w:t>
      </w:r>
      <w:r w:rsidRPr="004972E1" w:rsidDel="009E042C">
        <w:rPr>
          <w:i/>
          <w:iCs/>
        </w:rPr>
        <w:t xml:space="preserve">Qantas Airways Limited </w:t>
      </w:r>
      <w:r w:rsidRPr="004972E1">
        <w:rPr>
          <w:i/>
          <w:iCs/>
        </w:rPr>
        <w:t>T/A</w:t>
      </w:r>
      <w:r w:rsidRPr="004972E1" w:rsidDel="009E042C">
        <w:rPr>
          <w:i/>
          <w:iCs/>
        </w:rPr>
        <w:t xml:space="preserve"> Qantas Airways Ltd</w:t>
      </w:r>
      <w:r w:rsidRPr="00C26FB8" w:rsidDel="009E042C">
        <w:t>,</w:t>
      </w:r>
      <w:r w:rsidRPr="00EC4440" w:rsidDel="009E042C">
        <w:rPr>
          <w:rStyle w:val="FootnoteReference"/>
        </w:rPr>
        <w:footnoteReference w:id="783"/>
      </w:r>
      <w:r w:rsidRPr="00C26FB8" w:rsidDel="009E042C">
        <w:t xml:space="preserve"> the FWC dealt with the issue of the BOOT in an enterprise agreement variation matter. Deputy President Saunders interpreted the BOOT in the following way:</w:t>
      </w:r>
    </w:p>
    <w:p w14:paraId="674B9F78" w14:textId="77777777" w:rsidR="00085620" w:rsidRPr="00EC4440" w:rsidDel="009E042C" w:rsidRDefault="00085620" w:rsidP="00085620">
      <w:pPr>
        <w:pStyle w:val="List2"/>
        <w:numPr>
          <w:ilvl w:val="1"/>
          <w:numId w:val="67"/>
        </w:numPr>
      </w:pPr>
      <w:r w:rsidRPr="004972E1" w:rsidDel="009E042C">
        <w:rPr>
          <w:lang w:val="en-US"/>
        </w:rPr>
        <w:t>‘the BOOT is not applied as a line-by-line analysis. It is a global test requiring consideration</w:t>
      </w:r>
      <w:r w:rsidRPr="00EC4440" w:rsidDel="009E042C">
        <w:rPr>
          <w:lang w:val="en-US"/>
        </w:rPr>
        <w:t xml:space="preserve"> of advantages and disadvantages to relevant employees. An enterprise agreement may pass the test even if some award benefits have been reduced, as long as overall, those reductions are more than offset by the benefits of the enterprise agreement’</w:t>
      </w:r>
      <w:r w:rsidRPr="00EC4440" w:rsidDel="009E042C">
        <w:rPr>
          <w:rStyle w:val="FootnoteReference"/>
          <w:lang w:val="en-US"/>
        </w:rPr>
        <w:footnoteReference w:id="784"/>
      </w:r>
    </w:p>
    <w:p w14:paraId="5B31B701" w14:textId="77777777" w:rsidR="00085620" w:rsidRPr="00EC4440" w:rsidDel="009E042C" w:rsidRDefault="00085620" w:rsidP="00085620">
      <w:pPr>
        <w:pStyle w:val="List2"/>
        <w:numPr>
          <w:ilvl w:val="1"/>
          <w:numId w:val="67"/>
        </w:numPr>
      </w:pPr>
      <w:r w:rsidRPr="00EC4440" w:rsidDel="009E042C">
        <w:t>‘</w:t>
      </w:r>
      <w:r w:rsidRPr="00EC4440" w:rsidDel="009E042C">
        <w:rPr>
          <w:lang w:val="en-US"/>
        </w:rPr>
        <w:t>It is clear from the references to ‘each ... employee’ in section 193(1) of the Act that </w:t>
      </w:r>
      <w:r w:rsidRPr="00EC4440" w:rsidDel="009E042C">
        <w:rPr>
          <w:i/>
          <w:lang w:val="en-US"/>
        </w:rPr>
        <w:t>every employee</w:t>
      </w:r>
      <w:r w:rsidRPr="00EC4440" w:rsidDel="009E042C">
        <w:rPr>
          <w:lang w:val="en-US"/>
        </w:rPr>
        <w:t> to whom the enterprise agreement will apply, if approved, must be better off overall than if the relevant modern award applied to the employee. It is not enough that a majority or most of the employees to whom the enterprise agreement will apply, if approved, will be better off overall than if the relevant modern award applied’</w:t>
      </w:r>
      <w:r w:rsidRPr="00EC4440">
        <w:rPr>
          <w:lang w:val="en-US"/>
        </w:rPr>
        <w:t>.</w:t>
      </w:r>
      <w:r w:rsidRPr="00EC4440" w:rsidDel="009E042C">
        <w:rPr>
          <w:rStyle w:val="FootnoteReference"/>
          <w:lang w:val="en-US"/>
        </w:rPr>
        <w:footnoteReference w:id="785"/>
      </w:r>
    </w:p>
    <w:p w14:paraId="7A66B820" w14:textId="77777777" w:rsidR="00085620" w:rsidRPr="00C26FB8" w:rsidRDefault="00085620" w:rsidP="00AF4275">
      <w:pPr>
        <w:pStyle w:val="ListNumber"/>
        <w:numPr>
          <w:ilvl w:val="0"/>
          <w:numId w:val="0"/>
        </w:numPr>
        <w:ind w:left="397"/>
      </w:pPr>
      <w:r w:rsidRPr="00C26FB8" w:rsidDel="009E042C">
        <w:t>The FWC was satisfied at the ‘test time’, having regard to ‘all the benefits and detriments in the Agreement compared to the relevant awards’, that each award covered employee and ‘reasonably foreseeable employee’ would be better off overall if the varied agreement applied.</w:t>
      </w:r>
      <w:r w:rsidRPr="00C26FB8" w:rsidDel="009E042C">
        <w:rPr>
          <w:rStyle w:val="FootnoteReference"/>
        </w:rPr>
        <w:footnoteReference w:id="786"/>
      </w:r>
    </w:p>
    <w:p w14:paraId="776BE5C3" w14:textId="1BC705E2" w:rsidR="00085620" w:rsidRPr="00C26FB8" w:rsidRDefault="00085620" w:rsidP="00085620">
      <w:pPr>
        <w:pStyle w:val="ListNumber"/>
        <w:numPr>
          <w:ilvl w:val="0"/>
          <w:numId w:val="2"/>
        </w:numPr>
      </w:pPr>
      <w:r w:rsidRPr="00C26FB8" w:rsidDel="009E042C">
        <w:t xml:space="preserve">Examples of what the FWC considers in the BOOT was outlined on 15 March 2024, in </w:t>
      </w:r>
      <w:r w:rsidRPr="00D11703" w:rsidDel="009E042C">
        <w:t>McMahon Services Australia Pty Ltd</w:t>
      </w:r>
      <w:r w:rsidRPr="00C26FB8" w:rsidDel="009E042C">
        <w:t>,</w:t>
      </w:r>
      <w:r w:rsidRPr="00E8200B" w:rsidDel="009E042C">
        <w:rPr>
          <w:rStyle w:val="FootnoteReference"/>
        </w:rPr>
        <w:footnoteReference w:id="787"/>
      </w:r>
      <w:r w:rsidRPr="00C26FB8" w:rsidDel="009E042C">
        <w:t xml:space="preserve"> including ‘higher wage rates, the increased daily fares, the more generous disability allowance, the redundancy scheme payments, and the provision of some maintenance insurance’.</w:t>
      </w:r>
      <w:r w:rsidRPr="00E8200B" w:rsidDel="009E042C">
        <w:rPr>
          <w:rStyle w:val="FootnoteReference"/>
        </w:rPr>
        <w:footnoteReference w:id="788"/>
      </w:r>
    </w:p>
    <w:p w14:paraId="2973BBEB" w14:textId="3D395E15" w:rsidR="00085620" w:rsidRPr="00C26FB8" w:rsidDel="009E042C" w:rsidRDefault="00085620" w:rsidP="00085620">
      <w:pPr>
        <w:pStyle w:val="ListNumber"/>
        <w:numPr>
          <w:ilvl w:val="0"/>
          <w:numId w:val="2"/>
        </w:numPr>
      </w:pPr>
      <w:r w:rsidRPr="00C26FB8" w:rsidDel="009E042C">
        <w:t xml:space="preserve">An instance of where the FWC found the BOOT was not met was in </w:t>
      </w:r>
      <w:r w:rsidRPr="00D11703" w:rsidDel="009E042C">
        <w:t>Skilled Workforce Solutions (NSW) Pty Ltd</w:t>
      </w:r>
      <w:r w:rsidRPr="00C26FB8" w:rsidDel="009E042C">
        <w:t>.</w:t>
      </w:r>
      <w:r w:rsidRPr="00E8200B" w:rsidDel="009E042C">
        <w:rPr>
          <w:rStyle w:val="FootnoteReference"/>
        </w:rPr>
        <w:footnoteReference w:id="789"/>
      </w:r>
      <w:r w:rsidRPr="00C26FB8" w:rsidDel="009E042C">
        <w:t xml:space="preserve"> The employee’s bargaining representative, the Mining and Energy Union (MEU), submitted that the application for approval of a single-enterprise agreement should not be approved because casual employees are not better off overall </w:t>
      </w:r>
      <w:r w:rsidRPr="00C26FB8" w:rsidDel="009E042C">
        <w:lastRenderedPageBreak/>
        <w:t>under the proposed agreement compared against the casual provisions of the Black Coal Mining Industry Award (BCMIA).</w:t>
      </w:r>
      <w:r w:rsidRPr="00E8200B" w:rsidDel="009E042C">
        <w:rPr>
          <w:rStyle w:val="FootnoteReference"/>
        </w:rPr>
        <w:footnoteReference w:id="790"/>
      </w:r>
    </w:p>
    <w:p w14:paraId="7CA3F380" w14:textId="77777777" w:rsidR="00085620" w:rsidRPr="00C26FB8" w:rsidRDefault="00085620" w:rsidP="00D11703">
      <w:pPr>
        <w:pStyle w:val="ListNumber"/>
        <w:numPr>
          <w:ilvl w:val="0"/>
          <w:numId w:val="2"/>
        </w:numPr>
      </w:pPr>
      <w:r w:rsidRPr="00C26FB8" w:rsidDel="009E042C">
        <w:t>The FWC agreed with the MEU, holding the casual employees would be better off under the BCMIA than the proposed agreement when a 25% causal loading was applied to casual production and engineering employees. Deputy President Slevin held ‘an assessment of the benefits that a 25% loading on ordinary rates of pay are inadequate to compensate’ the employees in question.</w:t>
      </w:r>
      <w:r w:rsidRPr="00E8200B" w:rsidDel="009E042C">
        <w:rPr>
          <w:rStyle w:val="FootnoteReference"/>
        </w:rPr>
        <w:footnoteReference w:id="791"/>
      </w:r>
      <w:r w:rsidRPr="00C26FB8" w:rsidDel="009E042C">
        <w:t xml:space="preserve"> As a result, the BOOT was not met and the application was dismissed.</w:t>
      </w:r>
    </w:p>
    <w:p w14:paraId="3425A4B2" w14:textId="77777777" w:rsidR="0011475D" w:rsidRDefault="00924664" w:rsidP="00924664">
      <w:r w:rsidRPr="00167CB8" w:rsidDel="009E042C">
        <w:t>No FWC decisions have considered or applied the substantive BOOT reconsideration provisions.</w:t>
      </w:r>
    </w:p>
    <w:p w14:paraId="0CBE59DE" w14:textId="0799D8FA" w:rsidR="00924664" w:rsidRPr="00D11703" w:rsidRDefault="00924664" w:rsidP="00EC3517">
      <w:pPr>
        <w:pStyle w:val="Heading5"/>
      </w:pPr>
      <w:r w:rsidRPr="00D11703">
        <w:t>17.2.3 Stakeholder views</w:t>
      </w:r>
    </w:p>
    <w:p w14:paraId="7D8A5118" w14:textId="77777777" w:rsidR="00924664" w:rsidRPr="00167CB8" w:rsidRDefault="00924664" w:rsidP="00924664">
      <w:r w:rsidRPr="396ABCA7">
        <w:t xml:space="preserve">Overall, employers expressed a range of views in relation to the impact of the BOOT amendments. A few employer associations agreed that some amendments have addressed existing </w:t>
      </w:r>
      <w:r>
        <w:t>problems</w:t>
      </w:r>
      <w:r w:rsidRPr="396ABCA7">
        <w:t xml:space="preserve"> with the operation of the BOOT, whereas other</w:t>
      </w:r>
      <w:r>
        <w:t xml:space="preserve">s </w:t>
      </w:r>
      <w:r w:rsidRPr="396ABCA7">
        <w:t xml:space="preserve">have </w:t>
      </w:r>
      <w:r>
        <w:t xml:space="preserve">argued that it has </w:t>
      </w:r>
      <w:r w:rsidRPr="396ABCA7">
        <w:t>not resulted in a noticeable change.</w:t>
      </w:r>
    </w:p>
    <w:p w14:paraId="3E55EF71" w14:textId="79F48544" w:rsidR="00924664" w:rsidRPr="00167CB8" w:rsidRDefault="00924664" w:rsidP="00924664">
      <w:r w:rsidRPr="00167CB8">
        <w:t xml:space="preserve">Some employer </w:t>
      </w:r>
      <w:r>
        <w:t>associations</w:t>
      </w:r>
      <w:r w:rsidRPr="00167CB8">
        <w:t xml:space="preserve">, such as </w:t>
      </w:r>
      <w:r w:rsidR="00E26071">
        <w:t xml:space="preserve">the </w:t>
      </w:r>
      <w:r w:rsidRPr="00167CB8">
        <w:t>Australian Retailers Association (ARA) and Australian Chamber of Commerce and Industry (ACCI), provided positive feedback about some of the BOOT amendments.</w:t>
      </w:r>
    </w:p>
    <w:p w14:paraId="01CFA748" w14:textId="77777777" w:rsidR="00924664" w:rsidRPr="00167CB8" w:rsidRDefault="00924664" w:rsidP="00924664">
      <w:r w:rsidRPr="396ABCA7">
        <w:t>ARA submitted that ‘early feedback from retailers suggests that the changes are beneficial and take into consideration the value of the proposed workplace terms and conditions holistically’.</w:t>
      </w:r>
      <w:r w:rsidRPr="396ABCA7">
        <w:rPr>
          <w:vertAlign w:val="superscript"/>
        </w:rPr>
        <w:footnoteReference w:id="792"/>
      </w:r>
    </w:p>
    <w:p w14:paraId="6BB4530B" w14:textId="5E391D9D" w:rsidR="0011475D" w:rsidRDefault="00924664" w:rsidP="00924664">
      <w:r w:rsidRPr="00E26071">
        <w:t>ACCI submitted</w:t>
      </w:r>
      <w:r w:rsidRPr="396ABCA7">
        <w:t xml:space="preserve"> that the change in focus to reasonably foreseeable patterns of work or types of employment</w:t>
      </w:r>
      <w:r w:rsidRPr="396ABCA7" w:rsidDel="00922191">
        <w:t xml:space="preserve"> </w:t>
      </w:r>
      <w:r w:rsidRPr="396ABCA7">
        <w:t>had ‘been immensely helpful in progressing the approval of enterprise agreements’</w:t>
      </w:r>
      <w:r w:rsidR="00E8200B">
        <w:t>.</w:t>
      </w:r>
      <w:r w:rsidRPr="396ABCA7">
        <w:rPr>
          <w:rStyle w:val="FootnoteReference"/>
        </w:rPr>
        <w:footnoteReference w:id="793"/>
      </w:r>
    </w:p>
    <w:p w14:paraId="3AF54E8E" w14:textId="0BEAEEBA" w:rsidR="0011475D" w:rsidRDefault="00924664" w:rsidP="00924664">
      <w:r w:rsidRPr="396ABCA7">
        <w:t>In contrast, the predominant employer view (including from ACCI, Ai Group,</w:t>
      </w:r>
      <w:r w:rsidRPr="396ABCA7">
        <w:rPr>
          <w:rStyle w:val="FootnoteReference"/>
        </w:rPr>
        <w:footnoteReference w:id="794"/>
      </w:r>
      <w:r w:rsidRPr="396ABCA7">
        <w:t xml:space="preserve"> the Council of Small Business Organisations Australia,</w:t>
      </w:r>
      <w:r w:rsidRPr="396ABCA7">
        <w:rPr>
          <w:rStyle w:val="FootnoteReference"/>
        </w:rPr>
        <w:footnoteReference w:id="795"/>
      </w:r>
      <w:r w:rsidRPr="396ABCA7">
        <w:t xml:space="preserve"> Clubs Australia</w:t>
      </w:r>
      <w:r w:rsidRPr="396ABCA7">
        <w:rPr>
          <w:rStyle w:val="FootnoteReference"/>
        </w:rPr>
        <w:footnoteReference w:id="796"/>
      </w:r>
      <w:r w:rsidRPr="396ABCA7">
        <w:t xml:space="preserve"> and the Chamber of Commerce and Industry of Western Australia (CCIWA)</w:t>
      </w:r>
      <w:r w:rsidRPr="396ABCA7">
        <w:rPr>
          <w:rStyle w:val="FootnoteReference"/>
        </w:rPr>
        <w:footnoteReference w:id="797"/>
      </w:r>
      <w:r w:rsidRPr="396ABCA7">
        <w:t>) was that the BOOT is not being assessed globally and instead continues to be assessed line by line.</w:t>
      </w:r>
    </w:p>
    <w:p w14:paraId="33411CE1" w14:textId="591A0013" w:rsidR="00924664" w:rsidRPr="00167CB8" w:rsidRDefault="00924664" w:rsidP="00924664">
      <w:r w:rsidRPr="396ABCA7">
        <w:t>Ai Group, for example, submitted that the:</w:t>
      </w:r>
      <w:r w:rsidRPr="396ABCA7">
        <w:rPr>
          <w:rStyle w:val="FootnoteReference"/>
        </w:rPr>
        <w:footnoteReference w:id="798"/>
      </w:r>
    </w:p>
    <w:p w14:paraId="63FDA839" w14:textId="77777777" w:rsidR="00924664" w:rsidRPr="00167CB8" w:rsidRDefault="00924664" w:rsidP="00846DC0">
      <w:pPr>
        <w:pStyle w:val="Quote"/>
      </w:pPr>
      <w:r w:rsidRPr="00167CB8">
        <w:t>BOOT is still too often being applied by the FWC in a largely mathematical or with far too narrow a focus on a particular clause, rather than the relevant FWC Member reaching a more practical view on whether or not the proposed enterprise agreement results in the employees being better off overall in a genuinely holistic sense.</w:t>
      </w:r>
    </w:p>
    <w:p w14:paraId="1B74867C" w14:textId="1F126E86" w:rsidR="0011475D" w:rsidRDefault="00924664" w:rsidP="00924664">
      <w:r w:rsidRPr="396ABCA7">
        <w:lastRenderedPageBreak/>
        <w:t>CCIWA raised a concern about consistency in the approach taken by different members of the FWC, arguing the approach varies ‘even when the agreements may be similar’.</w:t>
      </w:r>
      <w:r w:rsidRPr="396ABCA7">
        <w:rPr>
          <w:rStyle w:val="FootnoteReference"/>
        </w:rPr>
        <w:footnoteReference w:id="799"/>
      </w:r>
    </w:p>
    <w:p w14:paraId="3E0CC73D" w14:textId="51F1DA80" w:rsidR="00924664" w:rsidRPr="00167CB8" w:rsidRDefault="00924664" w:rsidP="00924664">
      <w:r w:rsidRPr="396ABCA7">
        <w:t>While ARA and ACCI have expressed positive sentiments for some of the BOOT changes, they are cautious, with ARA noting ‘it is unknown as of yet, whether there are any further praises or concerns relative to this particular legislative amendment’.</w:t>
      </w:r>
      <w:r w:rsidRPr="396ABCA7">
        <w:rPr>
          <w:rStyle w:val="FootnoteReference"/>
        </w:rPr>
        <w:footnoteReference w:id="800"/>
      </w:r>
    </w:p>
    <w:p w14:paraId="2A00BFB3" w14:textId="77777777" w:rsidR="0011475D" w:rsidRDefault="00924664" w:rsidP="00924664">
      <w:r w:rsidRPr="00167CB8">
        <w:t>Employer groups also submitted that there appeared to be no change to how often employers were requested to provide undertakings.</w:t>
      </w:r>
    </w:p>
    <w:p w14:paraId="5532DC5C" w14:textId="3EBF28BD" w:rsidR="00924664" w:rsidRPr="00167CB8" w:rsidRDefault="00924664" w:rsidP="00924664">
      <w:r w:rsidRPr="00167CB8">
        <w:t>Ai Group, for example, submitted that employers often have to provide undertakings related to BOOT issues even in relation to agreements that are very similar to previous agreements for the same group of employees.</w:t>
      </w:r>
      <w:r w:rsidRPr="00167CB8">
        <w:rPr>
          <w:rStyle w:val="FootnoteReference"/>
        </w:rPr>
        <w:footnoteReference w:id="801"/>
      </w:r>
      <w:r w:rsidRPr="00167CB8">
        <w:t xml:space="preserve"> The Australian Resources &amp; Energy Employer Association expressed similar views and, while </w:t>
      </w:r>
      <w:r w:rsidR="00E8200B">
        <w:t xml:space="preserve">it </w:t>
      </w:r>
      <w:r w:rsidRPr="00167CB8">
        <w:t xml:space="preserve">hoped for ‘agreements approved without undertakings and faster approvals overall’, </w:t>
      </w:r>
      <w:r w:rsidR="00E8200B">
        <w:t xml:space="preserve">its </w:t>
      </w:r>
      <w:r w:rsidRPr="00167CB8">
        <w:t>‘members are reporting little practical change as a result of these amendments’.</w:t>
      </w:r>
      <w:r w:rsidRPr="00167CB8">
        <w:rPr>
          <w:rStyle w:val="FootnoteReference"/>
        </w:rPr>
        <w:footnoteReference w:id="802"/>
      </w:r>
      <w:r w:rsidRPr="00167CB8">
        <w:t xml:space="preserve"> Clubs Australia expressed similar views.</w:t>
      </w:r>
      <w:r w:rsidRPr="00167CB8">
        <w:rPr>
          <w:rStyle w:val="FootnoteReference"/>
        </w:rPr>
        <w:footnoteReference w:id="803"/>
      </w:r>
    </w:p>
    <w:p w14:paraId="1B3CAAB0" w14:textId="116D3AFC" w:rsidR="00924664" w:rsidRPr="00167CB8" w:rsidRDefault="00924664" w:rsidP="00924664">
      <w:r w:rsidRPr="00167CB8">
        <w:t>Similarly, ACCI expected ‘that the FWC would require fewer undertakings from employers, however, feedback from members indicates that undertakings are still being sought by the FWC as frequently as they were being sought prior to the amendments’</w:t>
      </w:r>
      <w:r w:rsidR="00E8200B">
        <w:t>.</w:t>
      </w:r>
      <w:r w:rsidRPr="00167CB8">
        <w:rPr>
          <w:rStyle w:val="FootnoteReference"/>
        </w:rPr>
        <w:footnoteReference w:id="804"/>
      </w:r>
    </w:p>
    <w:p w14:paraId="016CDFAF" w14:textId="6852E41B" w:rsidR="00924664" w:rsidRPr="00167CB8" w:rsidRDefault="00924664" w:rsidP="00924664">
      <w:pPr>
        <w:rPr>
          <w:rFonts w:cs="Calibri"/>
        </w:rPr>
      </w:pPr>
      <w:r w:rsidRPr="396ABCA7">
        <w:rPr>
          <w:rFonts w:cs="Calibri"/>
        </w:rPr>
        <w:t xml:space="preserve">The Pharmacy Guild’s submission expressed concerns about the power </w:t>
      </w:r>
      <w:r w:rsidR="00E8200B">
        <w:rPr>
          <w:rFonts w:cs="Calibri"/>
        </w:rPr>
        <w:t xml:space="preserve">of </w:t>
      </w:r>
      <w:r w:rsidRPr="396ABCA7">
        <w:rPr>
          <w:rFonts w:cs="Calibri"/>
        </w:rPr>
        <w:t xml:space="preserve">the FWC to amend the agreement to allow it to pass the BOOT. </w:t>
      </w:r>
      <w:r w:rsidR="00E8200B">
        <w:rPr>
          <w:rFonts w:cs="Calibri"/>
        </w:rPr>
        <w:t xml:space="preserve">It </w:t>
      </w:r>
      <w:r w:rsidRPr="396ABCA7">
        <w:rPr>
          <w:rFonts w:cs="Calibri"/>
        </w:rPr>
        <w:t>stated that ‘any alteration power beyond [the power to correct errors] is of serious concern. The open nature of this portion of the Act affords the Commission unnecessary power to rewrite sections of an agreement’.</w:t>
      </w:r>
      <w:r w:rsidRPr="396ABCA7">
        <w:rPr>
          <w:rStyle w:val="FootnoteReference"/>
          <w:rFonts w:cs="Calibri"/>
        </w:rPr>
        <w:footnoteReference w:id="805"/>
      </w:r>
    </w:p>
    <w:p w14:paraId="48CDE376" w14:textId="77777777" w:rsidR="00924664" w:rsidRPr="00167CB8" w:rsidRDefault="00924664" w:rsidP="00924664">
      <w:r w:rsidRPr="396ABCA7">
        <w:t xml:space="preserve">Employer </w:t>
      </w:r>
      <w:r>
        <w:t>associations</w:t>
      </w:r>
      <w:r w:rsidRPr="00167CB8">
        <w:t xml:space="preserve"> </w:t>
      </w:r>
      <w:r w:rsidRPr="396ABCA7">
        <w:t>also expressed negative views around the amendments that provide for reconsideration of the BOOT. Ai Group,</w:t>
      </w:r>
      <w:r w:rsidRPr="396ABCA7">
        <w:rPr>
          <w:rStyle w:val="FootnoteReference"/>
        </w:rPr>
        <w:footnoteReference w:id="806"/>
      </w:r>
      <w:r w:rsidRPr="396ABCA7">
        <w:t xml:space="preserve"> CCIWA</w:t>
      </w:r>
      <w:r w:rsidRPr="396ABCA7">
        <w:rPr>
          <w:rStyle w:val="FootnoteReference"/>
        </w:rPr>
        <w:footnoteReference w:id="807"/>
      </w:r>
      <w:r w:rsidRPr="396ABCA7">
        <w:t xml:space="preserve"> and COSBOA</w:t>
      </w:r>
      <w:r w:rsidRPr="396ABCA7">
        <w:rPr>
          <w:rStyle w:val="FootnoteReference"/>
        </w:rPr>
        <w:footnoteReference w:id="808"/>
      </w:r>
      <w:r w:rsidRPr="396ABCA7">
        <w:t xml:space="preserve"> all expressed that this amendment creates uncertainty for businesses.</w:t>
      </w:r>
    </w:p>
    <w:p w14:paraId="5FAB0384" w14:textId="77777777" w:rsidR="0011475D" w:rsidRDefault="00924664" w:rsidP="00924664">
      <w:r w:rsidRPr="00167CB8">
        <w:t>While expressing overall positive views about the BOOT changes, the submissions from unions focused mostly on the reconsideration provisions.</w:t>
      </w:r>
    </w:p>
    <w:p w14:paraId="6B4AFFB0" w14:textId="77777777" w:rsidR="0011475D" w:rsidRDefault="00924664" w:rsidP="00924664">
      <w:r w:rsidRPr="00167CB8">
        <w:t>The United Workers Union (UWU) and the Australian Council of Trade Unions (ACTU) both expressed that the inclusion of the ability to reconsider agreements was positive. However, both organisations called for further amendments.</w:t>
      </w:r>
    </w:p>
    <w:p w14:paraId="756A52F8" w14:textId="66080EE7" w:rsidR="0011475D" w:rsidRDefault="009F7B80" w:rsidP="00924664">
      <w:r>
        <w:t xml:space="preserve">The </w:t>
      </w:r>
      <w:r w:rsidR="00924664" w:rsidRPr="009F7B80">
        <w:t>UWU noted that the reconsideration power had not yet been used and submitted that the</w:t>
      </w:r>
      <w:r w:rsidR="00924664" w:rsidRPr="396ABCA7">
        <w:t xml:space="preserve"> power ‘should be broadened to allow for an agreement to be reassessed where a variation to the award (whether to wages or to other provisions) has resulted in employees now likely being worse off overall when compared to the award’.</w:t>
      </w:r>
      <w:r w:rsidR="00924664" w:rsidRPr="396ABCA7">
        <w:rPr>
          <w:rStyle w:val="FootnoteReference"/>
        </w:rPr>
        <w:footnoteReference w:id="809"/>
      </w:r>
    </w:p>
    <w:p w14:paraId="3AB27798" w14:textId="1392D53D" w:rsidR="00924664" w:rsidRPr="00167CB8" w:rsidRDefault="00E8200B" w:rsidP="00924664">
      <w:r>
        <w:lastRenderedPageBreak/>
        <w:t xml:space="preserve">The </w:t>
      </w:r>
      <w:r w:rsidR="00924664" w:rsidRPr="00167CB8">
        <w:t>ACTU submitted that the reconsideration amendments are constructed in a way that creates a ‘limitation in who may apply for reconsideration of whether an agreement continues to pass the BOOT brought about by use of the phrase “an employee organisation covered by the agreement”’.</w:t>
      </w:r>
      <w:r w:rsidR="00924664" w:rsidRPr="00167CB8">
        <w:rPr>
          <w:rStyle w:val="FootnoteReference"/>
        </w:rPr>
        <w:footnoteReference w:id="810"/>
      </w:r>
      <w:r w:rsidR="00924664" w:rsidRPr="00167CB8">
        <w:t xml:space="preserve"> </w:t>
      </w:r>
      <w:r>
        <w:t xml:space="preserve">The </w:t>
      </w:r>
      <w:r w:rsidR="00924664" w:rsidRPr="00167CB8">
        <w:t>ACTU seek</w:t>
      </w:r>
      <w:r>
        <w:t>s</w:t>
      </w:r>
      <w:r w:rsidR="00924664" w:rsidRPr="00167CB8">
        <w:t xml:space="preserve"> to have this amended so that it is clear that, where an employee is covered by an agreement, their union can make a reconsideration application regardless of whether the agreement explicitly covers them.</w:t>
      </w:r>
    </w:p>
    <w:p w14:paraId="6BA2C3C7" w14:textId="4EEE1CBB" w:rsidR="00924664" w:rsidRPr="00100309" w:rsidRDefault="00924664" w:rsidP="00924664">
      <w:r w:rsidRPr="00100309">
        <w:rPr>
          <w:rFonts w:cs="Calibri"/>
        </w:rPr>
        <w:t xml:space="preserve">In response to the draft report, stakeholders generally expressed views consistent with those presented in their initial submissions. </w:t>
      </w:r>
      <w:r w:rsidR="00E8200B">
        <w:rPr>
          <w:rFonts w:cs="Calibri"/>
        </w:rPr>
        <w:t xml:space="preserve">The </w:t>
      </w:r>
      <w:r w:rsidRPr="00100309">
        <w:rPr>
          <w:rFonts w:cs="Calibri"/>
        </w:rPr>
        <w:t xml:space="preserve">ACTU, for example, reiterated the views </w:t>
      </w:r>
      <w:r w:rsidR="00E8200B">
        <w:rPr>
          <w:rFonts w:cs="Calibri"/>
        </w:rPr>
        <w:t xml:space="preserve">it </w:t>
      </w:r>
      <w:r w:rsidRPr="00100309">
        <w:rPr>
          <w:rFonts w:cs="Calibri"/>
        </w:rPr>
        <w:t>presented previously.</w:t>
      </w:r>
      <w:r w:rsidRPr="00100309">
        <w:rPr>
          <w:rStyle w:val="FootnoteReference"/>
          <w:rFonts w:cs="Calibri"/>
        </w:rPr>
        <w:footnoteReference w:id="811"/>
      </w:r>
    </w:p>
    <w:p w14:paraId="3EE26F1C" w14:textId="4EC7FA87" w:rsidR="0011475D" w:rsidRDefault="00924664" w:rsidP="00924664">
      <w:pPr>
        <w:rPr>
          <w:rFonts w:cs="Calibri"/>
        </w:rPr>
      </w:pPr>
      <w:r w:rsidRPr="00100309">
        <w:rPr>
          <w:rFonts w:cs="Calibri"/>
        </w:rPr>
        <w:t>Some employer associations remained of the view that BOOT is not assessed globally and continues to be applied in an overly prescriptive manner.</w:t>
      </w:r>
      <w:r w:rsidRPr="00100309">
        <w:rPr>
          <w:rStyle w:val="FootnoteReference"/>
          <w:rFonts w:cs="Calibri"/>
        </w:rPr>
        <w:footnoteReference w:id="812"/>
      </w:r>
      <w:r w:rsidRPr="00100309">
        <w:rPr>
          <w:rFonts w:cs="Calibri"/>
        </w:rPr>
        <w:t xml:space="preserve"> ACCI agree</w:t>
      </w:r>
      <w:r w:rsidR="00E8200B">
        <w:rPr>
          <w:rFonts w:cs="Calibri"/>
        </w:rPr>
        <w:t>d</w:t>
      </w:r>
      <w:r w:rsidRPr="00100309">
        <w:rPr>
          <w:rFonts w:cs="Calibri"/>
        </w:rPr>
        <w:t xml:space="preserve"> with the Review Panel’s proposed finding that the amendments have not been effective at simplifying the process.</w:t>
      </w:r>
      <w:r w:rsidRPr="00100309">
        <w:rPr>
          <w:rStyle w:val="FootnoteReference"/>
          <w:rFonts w:cs="Calibri"/>
        </w:rPr>
        <w:footnoteReference w:id="813"/>
      </w:r>
      <w:r w:rsidRPr="00100309">
        <w:rPr>
          <w:rFonts w:cs="Calibri"/>
        </w:rPr>
        <w:t xml:space="preserve"> Clubs Australia submit</w:t>
      </w:r>
      <w:r w:rsidR="00E8200B">
        <w:rPr>
          <w:rFonts w:cs="Calibri"/>
        </w:rPr>
        <w:t>ted</w:t>
      </w:r>
      <w:r w:rsidRPr="00100309">
        <w:rPr>
          <w:rFonts w:cs="Calibri"/>
        </w:rPr>
        <w:t xml:space="preserve"> that employers need clarity on BOOT obligations before agreements are submitted and recommended that a pre-lodgement BOOT risk tool should be introduced to help employers identify risks and avoid disputes.</w:t>
      </w:r>
      <w:r w:rsidRPr="00100309">
        <w:rPr>
          <w:rStyle w:val="FootnoteReference"/>
          <w:rFonts w:cs="Calibri"/>
        </w:rPr>
        <w:footnoteReference w:id="814"/>
      </w:r>
    </w:p>
    <w:p w14:paraId="7E3D6339" w14:textId="19070F4B" w:rsidR="00924664" w:rsidRPr="004C343A" w:rsidRDefault="00924664" w:rsidP="00EC3517">
      <w:pPr>
        <w:pStyle w:val="Heading4"/>
      </w:pPr>
      <w:bookmarkStart w:id="293" w:name="_Toc189260257"/>
      <w:bookmarkStart w:id="294" w:name="_Toc189393573"/>
      <w:r w:rsidRPr="004C343A">
        <w:t>17.3 Findings and recommendations</w:t>
      </w:r>
      <w:bookmarkEnd w:id="293"/>
      <w:bookmarkEnd w:id="294"/>
    </w:p>
    <w:p w14:paraId="14147DF1" w14:textId="5E26B001" w:rsidR="00924664" w:rsidRPr="00167CB8" w:rsidRDefault="00924664" w:rsidP="00924664">
      <w:r w:rsidRPr="396ABCA7">
        <w:t>There is little evidence before the Review Panel to indicate that the amendments in relation to the BOOT have significantly reduced complexity or substantially changed the way the FWC assesses the BOOT. However, it is clear that the FWC has significantly improved agreement approval timeliness since 2017</w:t>
      </w:r>
      <w:r w:rsidRPr="396ABCA7">
        <w:rPr>
          <w:rFonts w:ascii="Symbol" w:eastAsia="Symbol" w:hAnsi="Symbol" w:cs="Symbol"/>
        </w:rPr>
        <w:t>-</w:t>
      </w:r>
      <w:r w:rsidRPr="396ABCA7">
        <w:t xml:space="preserve">18 and </w:t>
      </w:r>
      <w:r w:rsidR="00E8200B">
        <w:t>has</w:t>
      </w:r>
      <w:r w:rsidR="00E8200B" w:rsidRPr="396ABCA7">
        <w:t xml:space="preserve"> </w:t>
      </w:r>
      <w:r w:rsidRPr="396ABCA7">
        <w:t>maintained consistent timeliness performance since 2021</w:t>
      </w:r>
      <w:r w:rsidRPr="396ABCA7">
        <w:rPr>
          <w:rFonts w:ascii="Symbol" w:eastAsia="Symbol" w:hAnsi="Symbol" w:cs="Symbol"/>
        </w:rPr>
        <w:t>-</w:t>
      </w:r>
      <w:r w:rsidRPr="396ABCA7">
        <w:t>22. The delays in approving agreements seem to have been somewhat overstated.</w:t>
      </w:r>
    </w:p>
    <w:p w14:paraId="26311885" w14:textId="753DF798" w:rsidR="0011475D" w:rsidRDefault="00924664" w:rsidP="00924664">
      <w:r w:rsidRPr="396ABCA7">
        <w:t>There do not appear to have been any</w:t>
      </w:r>
      <w:r>
        <w:t xml:space="preserve"> </w:t>
      </w:r>
      <w:r w:rsidR="00C1066E">
        <w:t>notable</w:t>
      </w:r>
      <w:r w:rsidR="00C1066E" w:rsidRPr="396ABCA7">
        <w:t xml:space="preserve"> </w:t>
      </w:r>
      <w:r w:rsidRPr="396ABCA7">
        <w:t xml:space="preserve">negative impacts as a result of the BOOT amendments, as enterprise agreement approval timeliness has remained consistent over the </w:t>
      </w:r>
      <w:r w:rsidR="00E8200B">
        <w:t xml:space="preserve">three </w:t>
      </w:r>
      <w:r w:rsidRPr="396ABCA7">
        <w:t>years, despite an overall increase in the FWC’s workload in 2023</w:t>
      </w:r>
      <w:r w:rsidRPr="396ABCA7">
        <w:rPr>
          <w:rFonts w:ascii="Symbol" w:eastAsia="Symbol" w:hAnsi="Symbol" w:cs="Symbol"/>
        </w:rPr>
        <w:t>-</w:t>
      </w:r>
      <w:r w:rsidRPr="396ABCA7">
        <w:t>24.</w:t>
      </w:r>
    </w:p>
    <w:p w14:paraId="6320655A" w14:textId="1D97E5C0" w:rsidR="00924664" w:rsidRPr="00167CB8" w:rsidRDefault="00924664" w:rsidP="00924664">
      <w:r w:rsidRPr="008F75BF">
        <w:t>Additionally, there was a notable decrease in the use of undertakings between the 2022</w:t>
      </w:r>
      <w:r w:rsidRPr="008F75BF">
        <w:rPr>
          <w:rFonts w:ascii="Symbol" w:eastAsia="Symbol" w:hAnsi="Symbol" w:cs="Symbol"/>
        </w:rPr>
        <w:t>-</w:t>
      </w:r>
      <w:r w:rsidRPr="008F75BF">
        <w:t>23 financial year and the 2023</w:t>
      </w:r>
      <w:r w:rsidRPr="008F75BF">
        <w:rPr>
          <w:rFonts w:ascii="Symbol" w:eastAsia="Symbol" w:hAnsi="Symbol" w:cs="Symbol"/>
        </w:rPr>
        <w:t>-</w:t>
      </w:r>
      <w:r w:rsidRPr="008F75BF">
        <w:t>24 financial year.</w:t>
      </w:r>
      <w:r w:rsidRPr="396ABCA7">
        <w:t xml:space="preserve"> However, as Ai Group noted in </w:t>
      </w:r>
      <w:r w:rsidR="00E8200B">
        <w:t xml:space="preserve">its </w:t>
      </w:r>
      <w:r w:rsidRPr="396ABCA7">
        <w:t>submission, many agreements require undertakings for reasons other than not passing the BOOT (such as inconsistencies with the NES).</w:t>
      </w:r>
      <w:r w:rsidRPr="396ABCA7">
        <w:rPr>
          <w:rStyle w:val="FootnoteReference"/>
        </w:rPr>
        <w:footnoteReference w:id="815"/>
      </w:r>
      <w:r w:rsidRPr="396ABCA7">
        <w:t xml:space="preserve"> It is difficult, therefore, to draw a causal link between the BOOT amendments and the reduction in the use of undertakings. However, it is reasonable to conclude that at least some of the reduction is a result of the amendments.</w:t>
      </w:r>
    </w:p>
    <w:p w14:paraId="71BC6C14" w14:textId="77777777" w:rsidR="0011475D" w:rsidRDefault="00924664" w:rsidP="00924664">
      <w:r w:rsidRPr="00100309">
        <w:t>The data further shows limited use by the FWC of its power to amend an agreement to address BOOT concerns under s 191A of the Fair Work Act. The FWC only used this power for 1.3% of agreements lodged for approval in 2024.</w:t>
      </w:r>
    </w:p>
    <w:p w14:paraId="7648E682" w14:textId="44865D77" w:rsidR="00924664" w:rsidRPr="00167CB8" w:rsidRDefault="00924664" w:rsidP="00924664">
      <w:r w:rsidRPr="396ABCA7">
        <w:t xml:space="preserve">The Review Panel acknowledges that employers are likely to continue to see variation in the approaches taken by FWC members in assessing the BOOT and requesting undertakings. While sympathetic to the need to adjust to different approaches, the Review Panel acknowledges that FWC members are independent statutory office holders and make decisions and exercise </w:t>
      </w:r>
      <w:r w:rsidRPr="396ABCA7">
        <w:lastRenderedPageBreak/>
        <w:t>discretion within the parameters of the Fair Work Act. Based on the examples available, FWC decision-making appears to align with the Australian Government’s broader intent, noting that employer representatives have expressed concerns that agreements are not being ‘globally assessed’.</w:t>
      </w:r>
    </w:p>
    <w:p w14:paraId="65BFFE56" w14:textId="77777777" w:rsidR="00924664" w:rsidRPr="00167CB8" w:rsidRDefault="00924664" w:rsidP="00924664">
      <w:r w:rsidRPr="396ABCA7">
        <w:t>In relation to the reconsideration of the BOOT provisions, early signs indicate that these provisions are difficult to use, as the lack of success in making these applications may suggest there may be a lack of understanding about their application. However, the Review Panel acknowledges that the FWC has not considered these provisions in detail and therefore it is too early to conclude whether these amendments are operating appropriately and effectively. A similar conclusion can be made about the Pharmacy Guild’s concerns about amending agreements, as so far only a small number of agreements have been approved with amendments.</w:t>
      </w:r>
    </w:p>
    <w:p w14:paraId="4ADFEEA6" w14:textId="77777777" w:rsidR="0011475D" w:rsidRDefault="00924664" w:rsidP="00924664">
      <w:r w:rsidRPr="00167CB8">
        <w:t>The Review Panel finds that based on the evidence available, the amendments relating to the BOOT have been neither effective nor ineffective at improving simplicity of the BOOT assessment.</w:t>
      </w:r>
    </w:p>
    <w:p w14:paraId="42C7CC23" w14:textId="77777777" w:rsidR="0011475D" w:rsidRDefault="00924664" w:rsidP="00924664">
      <w:r w:rsidRPr="00167CB8">
        <w:t>The Review Panel finds that the BOOT amendments have not led to any unintended consequences. There is no evidence before the Review Panel of any delays in the approval of agreements and the data shows the FWC remained consistent in its timeliness performance.</w:t>
      </w:r>
    </w:p>
    <w:p w14:paraId="4E1D66A1" w14:textId="0BD34341" w:rsidR="00924664" w:rsidRPr="00167CB8" w:rsidRDefault="00924664" w:rsidP="00924664">
      <w:r w:rsidRPr="396ABCA7">
        <w:t>The Review Panel makes no recommendations at this time.</w:t>
      </w:r>
    </w:p>
    <w:p w14:paraId="58F7112B" w14:textId="77777777" w:rsidR="00924664" w:rsidRPr="00167CB8" w:rsidRDefault="00924664" w:rsidP="00924664">
      <w:pPr>
        <w:spacing w:after="160"/>
      </w:pPr>
      <w:r w:rsidRPr="00167CB8">
        <w:br w:type="page"/>
      </w:r>
    </w:p>
    <w:p w14:paraId="195A80EE" w14:textId="77777777" w:rsidR="00924664" w:rsidRPr="003204B8" w:rsidRDefault="00924664" w:rsidP="00EC3517">
      <w:pPr>
        <w:pStyle w:val="Heading3"/>
      </w:pPr>
      <w:bookmarkStart w:id="295" w:name="_Toc189260258"/>
      <w:bookmarkStart w:id="296" w:name="_Toc189393574"/>
      <w:bookmarkStart w:id="297" w:name="_Toc194311425"/>
      <w:r w:rsidRPr="003204B8">
        <w:lastRenderedPageBreak/>
        <w:t>Chapter 18. Dealing with errors in enterprise agreements</w:t>
      </w:r>
      <w:bookmarkEnd w:id="295"/>
      <w:bookmarkEnd w:id="296"/>
      <w:bookmarkEnd w:id="297"/>
    </w:p>
    <w:p w14:paraId="4010E9ED" w14:textId="5FF3E40A" w:rsidR="00924664" w:rsidRPr="00167CB8" w:rsidRDefault="00924664" w:rsidP="00924664">
      <w:pPr>
        <w:rPr>
          <w:rFonts w:cs="Calibri"/>
        </w:rPr>
      </w:pPr>
      <w:r w:rsidRPr="396ABCA7">
        <w:rPr>
          <w:rFonts w:cs="Calibri"/>
        </w:rPr>
        <w:t xml:space="preserve">Part 17 of Schedule 1 of the </w:t>
      </w:r>
      <w:r w:rsidRPr="396ABCA7">
        <w:t xml:space="preserve">Secure Jobs, Better Pay </w:t>
      </w:r>
      <w:r w:rsidRPr="396ABCA7">
        <w:rPr>
          <w:rFonts w:cs="Calibri"/>
        </w:rPr>
        <w:t xml:space="preserve">Act established a new power for the Fair Work Commission (FWC) to </w:t>
      </w:r>
      <w:r w:rsidRPr="00745DA9">
        <w:rPr>
          <w:rFonts w:cs="Calibri"/>
        </w:rPr>
        <w:t>vary enterprise agreement</w:t>
      </w:r>
      <w:r w:rsidR="00CE14DF" w:rsidRPr="00745DA9">
        <w:rPr>
          <w:rFonts w:cs="Calibri"/>
        </w:rPr>
        <w:t>s</w:t>
      </w:r>
      <w:r w:rsidRPr="00745DA9">
        <w:rPr>
          <w:rFonts w:cs="Calibri"/>
        </w:rPr>
        <w:t xml:space="preserve"> to correct or amend errors, defects or irregularities and other administrative errors with draft agreements during the approval process.</w:t>
      </w:r>
      <w:r w:rsidRPr="396ABCA7">
        <w:rPr>
          <w:rFonts w:cs="Calibri"/>
        </w:rPr>
        <w:t xml:space="preserve"> These expanded powers address a regulatory gap arising from the FWC’s previously limited ability to correct errors and mistakes in enterprise agreements. These new powers have been received positively by stakeholders and do not appear to have created any issues.</w:t>
      </w:r>
    </w:p>
    <w:p w14:paraId="426CF807" w14:textId="77777777" w:rsidR="0011475D" w:rsidRPr="003204B8" w:rsidRDefault="00924664" w:rsidP="00EC3517">
      <w:pPr>
        <w:pStyle w:val="Heading4"/>
      </w:pPr>
      <w:bookmarkStart w:id="298" w:name="_Toc189260259"/>
      <w:bookmarkStart w:id="299" w:name="_Toc189393575"/>
      <w:r w:rsidRPr="003204B8">
        <w:t xml:space="preserve">18.1 </w:t>
      </w:r>
      <w:r w:rsidRPr="00EC3517">
        <w:t>Amendments and intent</w:t>
      </w:r>
      <w:bookmarkEnd w:id="298"/>
      <w:bookmarkEnd w:id="299"/>
    </w:p>
    <w:p w14:paraId="48FF2CD1" w14:textId="05EF250C" w:rsidR="00924664" w:rsidRPr="00167CB8" w:rsidRDefault="00924664" w:rsidP="00924664">
      <w:r w:rsidRPr="396ABCA7">
        <w:rPr>
          <w:rFonts w:cs="Calibri"/>
        </w:rPr>
        <w:t>These amendments were intended to simplify the process for correcting errors in enterprise agreements. Prior to the commencement of the Secure Jobs, Better Pay Act there was a regulatory gap to address obvious errors, defects and irregularities in enterprise agreements and to efficiently deal with the situation where the incorrect version of an agreement or variation was submitted and subsequently approved by the FWC.</w:t>
      </w:r>
      <w:r w:rsidRPr="396ABCA7">
        <w:rPr>
          <w:rStyle w:val="FootnoteReference"/>
          <w:rFonts w:cs="Calibri"/>
        </w:rPr>
        <w:footnoteReference w:id="816"/>
      </w:r>
    </w:p>
    <w:p w14:paraId="006731BC" w14:textId="77777777" w:rsidR="00924664" w:rsidRPr="003204B8" w:rsidRDefault="00924664" w:rsidP="00EC3517">
      <w:pPr>
        <w:pStyle w:val="Heading5"/>
      </w:pPr>
      <w:r w:rsidRPr="003204B8">
        <w:t xml:space="preserve">18.1.1 </w:t>
      </w:r>
      <w:r w:rsidRPr="00EC3517">
        <w:t xml:space="preserve">Secure Jobs, Better Pay </w:t>
      </w:r>
      <w:r w:rsidRPr="003204B8">
        <w:t>amendments</w:t>
      </w:r>
    </w:p>
    <w:p w14:paraId="11EBAAAE" w14:textId="77777777" w:rsidR="00924664" w:rsidRPr="00167CB8" w:rsidRDefault="00924664" w:rsidP="00924664">
      <w:pPr>
        <w:rPr>
          <w:rFonts w:cs="Calibri"/>
        </w:rPr>
      </w:pPr>
      <w:r w:rsidRPr="396ABCA7">
        <w:rPr>
          <w:rFonts w:cs="Calibri"/>
        </w:rPr>
        <w:t xml:space="preserve">Prior to the </w:t>
      </w:r>
      <w:r w:rsidRPr="396ABCA7">
        <w:t xml:space="preserve">Secure Jobs, Better Pay </w:t>
      </w:r>
      <w:r w:rsidRPr="396ABCA7">
        <w:rPr>
          <w:rFonts w:cs="Calibri"/>
        </w:rPr>
        <w:t>Act, a practical issue had arisen in circumstances where proposed enterprise agreements, voted on and approved by employees, contained typographical or other errors (like missing paragraph numbers) or where incorrect versions of proposed enterprise agreements were submitted, and subsequently approved by, the FWC. Following a number of decisions by the FWC,</w:t>
      </w:r>
      <w:r w:rsidRPr="396ABCA7">
        <w:rPr>
          <w:rStyle w:val="FootnoteReference"/>
          <w:rFonts w:cs="Calibri"/>
        </w:rPr>
        <w:footnoteReference w:id="817"/>
      </w:r>
      <w:r w:rsidRPr="396ABCA7">
        <w:rPr>
          <w:rFonts w:cs="Calibri"/>
        </w:rPr>
        <w:t xml:space="preserve"> a gap in the FWC’s powers to assist in either of these scenarios emerged. While there were solutions available, they were limited and often onerous on participants (and the FWC).</w:t>
      </w:r>
    </w:p>
    <w:p w14:paraId="18FF7D3A" w14:textId="77777777" w:rsidR="00924664" w:rsidRPr="00167CB8" w:rsidRDefault="00924664" w:rsidP="00924664">
      <w:pPr>
        <w:rPr>
          <w:rFonts w:cs="Calibri"/>
        </w:rPr>
      </w:pPr>
      <w:r w:rsidRPr="00167CB8">
        <w:rPr>
          <w:rFonts w:cs="Calibri"/>
        </w:rPr>
        <w:t>The amendments introduced s 218A of the Fair Work Act, which empowers the FWC to ‘vary an enterprise agreement to correct or amend an obvious error, defect or irregularity (whether in substance or form)’.</w:t>
      </w:r>
      <w:r w:rsidRPr="00167CB8">
        <w:rPr>
          <w:rStyle w:val="FootnoteReference"/>
          <w:rFonts w:cs="Calibri"/>
        </w:rPr>
        <w:footnoteReference w:id="818"/>
      </w:r>
      <w:r w:rsidRPr="00167CB8">
        <w:rPr>
          <w:rFonts w:cs="Calibri"/>
        </w:rPr>
        <w:t xml:space="preserve"> Under s 218A(2), the FWC can use this power on its own initiative or on application by a party covered by the agreement.</w:t>
      </w:r>
      <w:r w:rsidRPr="00167CB8">
        <w:rPr>
          <w:rStyle w:val="FootnoteReference"/>
          <w:rFonts w:cs="Calibri"/>
        </w:rPr>
        <w:footnoteReference w:id="819"/>
      </w:r>
    </w:p>
    <w:p w14:paraId="233D5867" w14:textId="77777777" w:rsidR="0011475D" w:rsidRDefault="00924664" w:rsidP="00924664">
      <w:r w:rsidRPr="396ABCA7">
        <w:rPr>
          <w:rFonts w:cs="Calibri"/>
        </w:rPr>
        <w:t>In addition, where an incorrect draft agreement or draft variation was provided to the FWC, and subsequently approved, under ss 602A and 602B, the FWC now has the power to validate the approval or variation and publish the correct version of the agreement, as if the error had not occurred</w:t>
      </w:r>
      <w:r w:rsidRPr="396ABCA7">
        <w:t>.</w:t>
      </w:r>
      <w:r w:rsidRPr="396ABCA7">
        <w:rPr>
          <w:rStyle w:val="FootnoteReference"/>
        </w:rPr>
        <w:footnoteReference w:id="820"/>
      </w:r>
    </w:p>
    <w:p w14:paraId="23C2B4FE" w14:textId="697406FF" w:rsidR="00924664" w:rsidRPr="00167CB8" w:rsidRDefault="00924664" w:rsidP="00924664">
      <w:pPr>
        <w:rPr>
          <w:rFonts w:cs="Calibri"/>
        </w:rPr>
      </w:pPr>
      <w:r w:rsidRPr="396ABCA7">
        <w:rPr>
          <w:rFonts w:cs="Calibri"/>
        </w:rPr>
        <w:t>These amendments came into effect on 7 December 2022.</w:t>
      </w:r>
      <w:r w:rsidRPr="396ABCA7">
        <w:rPr>
          <w:rStyle w:val="FootnoteReference"/>
          <w:rFonts w:cs="Calibri"/>
        </w:rPr>
        <w:footnoteReference w:id="821"/>
      </w:r>
    </w:p>
    <w:p w14:paraId="7FA64890" w14:textId="77777777" w:rsidR="00924664" w:rsidRPr="003204B8" w:rsidRDefault="00924664" w:rsidP="00EC3517">
      <w:pPr>
        <w:pStyle w:val="Heading5"/>
      </w:pPr>
      <w:r w:rsidRPr="003204B8">
        <w:t xml:space="preserve">18.1.2 Intent of </w:t>
      </w:r>
      <w:r w:rsidRPr="00EC3517">
        <w:t xml:space="preserve">Secure Jobs, Better Pay </w:t>
      </w:r>
      <w:r w:rsidRPr="003204B8">
        <w:t>amendments</w:t>
      </w:r>
    </w:p>
    <w:p w14:paraId="293AC9C7" w14:textId="77777777" w:rsidR="00924664" w:rsidRPr="003204B8" w:rsidRDefault="00924664" w:rsidP="00924664">
      <w:pPr>
        <w:rPr>
          <w:rFonts w:cs="Calibri"/>
          <w:i/>
          <w:iCs/>
        </w:rPr>
      </w:pPr>
      <w:r w:rsidRPr="396ABCA7">
        <w:rPr>
          <w:rFonts w:cs="Calibri"/>
        </w:rPr>
        <w:t xml:space="preserve">The Australian Government’s intention was to address a regulatory gap and provide a practical and efficient process for remedying obvious errors in </w:t>
      </w:r>
      <w:r w:rsidRPr="396ABCA7" w:rsidDel="00955159">
        <w:rPr>
          <w:rFonts w:cs="Calibri"/>
        </w:rPr>
        <w:t>agreements</w:t>
      </w:r>
      <w:r w:rsidRPr="396ABCA7">
        <w:rPr>
          <w:rFonts w:cs="Calibri"/>
        </w:rPr>
        <w:t xml:space="preserve">. In the Explanatory Memorandum to the </w:t>
      </w:r>
      <w:r w:rsidRPr="396ABCA7">
        <w:t xml:space="preserve">Secure Jobs, Better Pay </w:t>
      </w:r>
      <w:r w:rsidRPr="396ABCA7">
        <w:rPr>
          <w:rFonts w:cs="Calibri"/>
        </w:rPr>
        <w:t xml:space="preserve">Bill, the Australian Government asserted that this amendment ‘implements one of the outcomes of the Jobs and Skills Summit in relation to </w:t>
      </w:r>
      <w:r w:rsidRPr="396ABCA7">
        <w:rPr>
          <w:rFonts w:cs="Calibri"/>
        </w:rPr>
        <w:lastRenderedPageBreak/>
        <w:t>boosting job security and wages, and creating safe, fair and productive workplaces (i.e. removing unnecessary complexity for workers and employers)’.</w:t>
      </w:r>
      <w:r w:rsidRPr="396ABCA7">
        <w:rPr>
          <w:rStyle w:val="FootnoteReference"/>
          <w:rFonts w:cs="Calibri"/>
        </w:rPr>
        <w:footnoteReference w:id="822"/>
      </w:r>
    </w:p>
    <w:p w14:paraId="4F5BAEBC" w14:textId="77777777" w:rsidR="00924664" w:rsidRPr="003204B8" w:rsidRDefault="00924664" w:rsidP="00EC3517">
      <w:pPr>
        <w:pStyle w:val="Heading4"/>
      </w:pPr>
      <w:bookmarkStart w:id="300" w:name="_Toc189260260"/>
      <w:bookmarkStart w:id="301" w:name="_Toc189393576"/>
      <w:r w:rsidRPr="003204B8">
        <w:t>18.2 Impact and issues</w:t>
      </w:r>
      <w:bookmarkEnd w:id="300"/>
      <w:bookmarkEnd w:id="301"/>
    </w:p>
    <w:p w14:paraId="423BCAD5" w14:textId="77777777" w:rsidR="0011475D" w:rsidRDefault="00924664" w:rsidP="00924664">
      <w:pPr>
        <w:rPr>
          <w:rFonts w:cs="Calibri"/>
        </w:rPr>
      </w:pPr>
      <w:r w:rsidRPr="00167CB8">
        <w:rPr>
          <w:rFonts w:cs="Calibri"/>
        </w:rPr>
        <w:t xml:space="preserve">The data on the impact of the amendments comes in three forms: numbers from the FWC of applications for varied agreements; qualitative data from decisions of the FWC; and stakeholder feedback. All suggest that since the commencement of the reforms there have been </w:t>
      </w:r>
      <w:r>
        <w:rPr>
          <w:rFonts w:cs="Calibri"/>
        </w:rPr>
        <w:t>fewer</w:t>
      </w:r>
      <w:r w:rsidRPr="00167CB8">
        <w:rPr>
          <w:rFonts w:cs="Calibri"/>
        </w:rPr>
        <w:t xml:space="preserve"> applications to vary enterprise agreements.</w:t>
      </w:r>
    </w:p>
    <w:p w14:paraId="60297E11" w14:textId="03753340" w:rsidR="00924664" w:rsidRPr="003204B8" w:rsidRDefault="00924664" w:rsidP="00EC3517">
      <w:pPr>
        <w:pStyle w:val="Heading5"/>
      </w:pPr>
      <w:r w:rsidRPr="003204B8">
        <w:t>18.2.1 Quantitative evidence</w:t>
      </w:r>
    </w:p>
    <w:p w14:paraId="7B1A7BF8" w14:textId="3621C643" w:rsidR="0011475D" w:rsidRDefault="00924664" w:rsidP="00924664">
      <w:pPr>
        <w:rPr>
          <w:rFonts w:cs="Calibri"/>
        </w:rPr>
      </w:pPr>
      <w:r w:rsidRPr="396ABCA7">
        <w:rPr>
          <w:rFonts w:cs="Calibri"/>
        </w:rPr>
        <w:t>Data from the FWC (</w:t>
      </w:r>
      <w:r w:rsidRPr="008C2995">
        <w:rPr>
          <w:rFonts w:cs="Calibri"/>
        </w:rPr>
        <w:t>presented in Table 1</w:t>
      </w:r>
      <w:r w:rsidR="00EC3517">
        <w:rPr>
          <w:rFonts w:cs="Calibri"/>
        </w:rPr>
        <w:t>7</w:t>
      </w:r>
      <w:r w:rsidRPr="008C2995">
        <w:rPr>
          <w:rFonts w:cs="Calibri"/>
        </w:rPr>
        <w:t>) show</w:t>
      </w:r>
      <w:r w:rsidRPr="396ABCA7">
        <w:rPr>
          <w:rFonts w:cs="Calibri"/>
        </w:rPr>
        <w:t xml:space="preserve">s that there has been a decline in agreement variation applications under ss 210 and 217 of the Fair Work Act for the past </w:t>
      </w:r>
      <w:r w:rsidR="00484161">
        <w:rPr>
          <w:rFonts w:cs="Calibri"/>
        </w:rPr>
        <w:t>two</w:t>
      </w:r>
      <w:r w:rsidRPr="396ABCA7">
        <w:rPr>
          <w:rFonts w:cs="Calibri"/>
        </w:rPr>
        <w:t xml:space="preserve"> years, being the years since commencement of the reforms. At the same time, the data demonstrates that since the </w:t>
      </w:r>
      <w:r w:rsidRPr="396ABCA7">
        <w:t xml:space="preserve">Secure Jobs, Better Pay </w:t>
      </w:r>
      <w:r w:rsidRPr="396ABCA7">
        <w:rPr>
          <w:rFonts w:cs="Calibri"/>
        </w:rPr>
        <w:t>Act provisions commenced there has been a large number of applications made under s 218A to correct or amend obvious errors, defects or irregularities.</w:t>
      </w:r>
    </w:p>
    <w:p w14:paraId="5F99ADA5" w14:textId="0AE12A25" w:rsidR="00924664" w:rsidRPr="00167CB8" w:rsidRDefault="00924664" w:rsidP="00924664">
      <w:pPr>
        <w:rPr>
          <w:rFonts w:cs="Calibri"/>
        </w:rPr>
      </w:pPr>
      <w:r w:rsidRPr="00167CB8">
        <w:rPr>
          <w:rFonts w:cs="Calibri"/>
        </w:rPr>
        <w:t>While it is likely that there are numerous factors impacting on the use of applications to vary agreements under s 210 or s 217 of the Fair Work Act, the decline may be attributed to the FWC’s ability to now correct errors on its own initiative (under new s 218A) without parties needing to apply to the FWC.</w:t>
      </w:r>
    </w:p>
    <w:p w14:paraId="25A78C7A" w14:textId="028DD9FE" w:rsidR="00924664" w:rsidRPr="00167CB8" w:rsidRDefault="00EC3517" w:rsidP="007F380D">
      <w:pPr>
        <w:pStyle w:val="Caption"/>
      </w:pPr>
      <w:bookmarkStart w:id="302" w:name="_Toc194251441"/>
      <w:r>
        <w:t xml:space="preserve">Table </w:t>
      </w:r>
      <w:r>
        <w:fldChar w:fldCharType="begin"/>
      </w:r>
      <w:r>
        <w:instrText xml:space="preserve"> SEQ Table \* ARABIC </w:instrText>
      </w:r>
      <w:r>
        <w:fldChar w:fldCharType="separate"/>
      </w:r>
      <w:r w:rsidR="00DE5F5E">
        <w:rPr>
          <w:noProof/>
        </w:rPr>
        <w:t>17</w:t>
      </w:r>
      <w:r>
        <w:fldChar w:fldCharType="end"/>
      </w:r>
      <w:r>
        <w:t xml:space="preserve">: </w:t>
      </w:r>
      <w:r w:rsidR="00924664" w:rsidRPr="00087F0A">
        <w:t>Agreement variation applications</w:t>
      </w:r>
      <w:r w:rsidR="00484161">
        <w:t>,</w:t>
      </w:r>
      <w:r w:rsidR="00924664" w:rsidRPr="00087F0A">
        <w:t xml:space="preserve"> 2019</w:t>
      </w:r>
      <w:r w:rsidR="00924664" w:rsidRPr="00087F0A">
        <w:rPr>
          <w:rFonts w:ascii="Symbol" w:eastAsia="Symbol" w:hAnsi="Symbol" w:cs="Symbol"/>
        </w:rPr>
        <w:t>-</w:t>
      </w:r>
      <w:r w:rsidR="00924664" w:rsidRPr="00087F0A">
        <w:t>20 to 2023</w:t>
      </w:r>
      <w:r w:rsidR="00924664" w:rsidRPr="00087F0A">
        <w:rPr>
          <w:rFonts w:ascii="Symbol" w:eastAsia="Symbol" w:hAnsi="Symbol" w:cs="Symbol"/>
        </w:rPr>
        <w:t>-</w:t>
      </w:r>
      <w:r w:rsidR="00924664" w:rsidRPr="00087F0A">
        <w:t>24</w:t>
      </w:r>
      <w:bookmarkEnd w:id="302"/>
    </w:p>
    <w:tbl>
      <w:tblPr>
        <w:tblStyle w:val="TableGrid"/>
        <w:tblW w:w="0" w:type="auto"/>
        <w:tblLayout w:type="fixed"/>
        <w:tblLook w:val="04A0" w:firstRow="1" w:lastRow="0" w:firstColumn="1" w:lastColumn="0" w:noHBand="0" w:noVBand="1"/>
      </w:tblPr>
      <w:tblGrid>
        <w:gridCol w:w="2689"/>
        <w:gridCol w:w="1054"/>
        <w:gridCol w:w="1055"/>
        <w:gridCol w:w="1054"/>
        <w:gridCol w:w="1055"/>
        <w:gridCol w:w="1054"/>
        <w:gridCol w:w="1055"/>
      </w:tblGrid>
      <w:tr w:rsidR="00924664" w:rsidRPr="007B6AF7" w14:paraId="196D0C95" w14:textId="77777777">
        <w:tc>
          <w:tcPr>
            <w:tcW w:w="2689" w:type="dxa"/>
          </w:tcPr>
          <w:p w14:paraId="27C4EFA0" w14:textId="77777777" w:rsidR="00924664" w:rsidRPr="003204B8" w:rsidRDefault="00924664">
            <w:pPr>
              <w:spacing w:line="259" w:lineRule="auto"/>
              <w:rPr>
                <w:rFonts w:cs="Calibri"/>
                <w:b/>
                <w:bCs/>
                <w:sz w:val="20"/>
                <w:szCs w:val="20"/>
              </w:rPr>
            </w:pPr>
            <w:r w:rsidRPr="003204B8">
              <w:rPr>
                <w:rFonts w:cs="Calibri"/>
                <w:b/>
                <w:bCs/>
                <w:sz w:val="20"/>
                <w:szCs w:val="20"/>
              </w:rPr>
              <w:t>Type of application</w:t>
            </w:r>
          </w:p>
        </w:tc>
        <w:tc>
          <w:tcPr>
            <w:tcW w:w="1054" w:type="dxa"/>
          </w:tcPr>
          <w:p w14:paraId="492995A8" w14:textId="77777777" w:rsidR="00924664" w:rsidRPr="003204B8" w:rsidRDefault="00924664" w:rsidP="003204B8">
            <w:pPr>
              <w:spacing w:line="259" w:lineRule="auto"/>
              <w:jc w:val="right"/>
              <w:rPr>
                <w:rFonts w:cs="Calibri"/>
                <w:sz w:val="20"/>
                <w:szCs w:val="20"/>
              </w:rPr>
            </w:pPr>
            <w:r w:rsidRPr="003204B8">
              <w:rPr>
                <w:rFonts w:cs="Calibri"/>
                <w:b/>
                <w:bCs/>
                <w:sz w:val="20"/>
                <w:szCs w:val="20"/>
              </w:rPr>
              <w:t>2019</w:t>
            </w:r>
            <w:r w:rsidRPr="003204B8">
              <w:rPr>
                <w:rFonts w:ascii="Symbol" w:eastAsia="Symbol" w:hAnsi="Symbol" w:cs="Symbol"/>
                <w:b/>
                <w:bCs/>
                <w:sz w:val="20"/>
                <w:szCs w:val="20"/>
              </w:rPr>
              <w:t>-</w:t>
            </w:r>
            <w:r w:rsidRPr="003204B8">
              <w:rPr>
                <w:rFonts w:cs="Calibri"/>
                <w:b/>
                <w:bCs/>
                <w:sz w:val="20"/>
                <w:szCs w:val="20"/>
              </w:rPr>
              <w:t>20</w:t>
            </w:r>
            <w:r w:rsidRPr="003204B8">
              <w:rPr>
                <w:rStyle w:val="FootnoteReference"/>
                <w:rFonts w:cs="Calibri"/>
                <w:sz w:val="20"/>
                <w:szCs w:val="20"/>
              </w:rPr>
              <w:footnoteReference w:id="823"/>
            </w:r>
          </w:p>
        </w:tc>
        <w:tc>
          <w:tcPr>
            <w:tcW w:w="1055" w:type="dxa"/>
          </w:tcPr>
          <w:p w14:paraId="5B5F2146" w14:textId="77777777" w:rsidR="00924664" w:rsidRPr="003204B8" w:rsidRDefault="00924664" w:rsidP="003204B8">
            <w:pPr>
              <w:spacing w:line="259" w:lineRule="auto"/>
              <w:jc w:val="right"/>
              <w:rPr>
                <w:rFonts w:cs="Calibri"/>
                <w:sz w:val="20"/>
                <w:szCs w:val="20"/>
              </w:rPr>
            </w:pPr>
            <w:r w:rsidRPr="003204B8">
              <w:rPr>
                <w:rFonts w:cs="Calibri"/>
                <w:b/>
                <w:bCs/>
                <w:sz w:val="20"/>
                <w:szCs w:val="20"/>
              </w:rPr>
              <w:t>2020</w:t>
            </w:r>
            <w:r w:rsidRPr="003204B8">
              <w:rPr>
                <w:rFonts w:ascii="Symbol" w:eastAsia="Symbol" w:hAnsi="Symbol" w:cs="Symbol"/>
                <w:b/>
                <w:bCs/>
                <w:sz w:val="20"/>
                <w:szCs w:val="20"/>
              </w:rPr>
              <w:t>-</w:t>
            </w:r>
            <w:r w:rsidRPr="003204B8">
              <w:rPr>
                <w:rFonts w:cs="Calibri"/>
                <w:b/>
                <w:bCs/>
                <w:sz w:val="20"/>
                <w:szCs w:val="20"/>
              </w:rPr>
              <w:t>21</w:t>
            </w:r>
            <w:r w:rsidRPr="003204B8">
              <w:rPr>
                <w:rStyle w:val="FootnoteReference"/>
                <w:rFonts w:cs="Calibri"/>
                <w:sz w:val="20"/>
                <w:szCs w:val="20"/>
              </w:rPr>
              <w:footnoteReference w:id="824"/>
            </w:r>
          </w:p>
        </w:tc>
        <w:tc>
          <w:tcPr>
            <w:tcW w:w="1054" w:type="dxa"/>
          </w:tcPr>
          <w:p w14:paraId="6B8C7310" w14:textId="77777777" w:rsidR="00924664" w:rsidRPr="003204B8" w:rsidRDefault="00924664" w:rsidP="003204B8">
            <w:pPr>
              <w:spacing w:line="259" w:lineRule="auto"/>
              <w:jc w:val="right"/>
              <w:rPr>
                <w:rFonts w:cs="Calibri"/>
                <w:sz w:val="20"/>
                <w:szCs w:val="20"/>
              </w:rPr>
            </w:pPr>
            <w:r w:rsidRPr="003204B8">
              <w:rPr>
                <w:rFonts w:cs="Calibri"/>
                <w:b/>
                <w:bCs/>
                <w:sz w:val="20"/>
                <w:szCs w:val="20"/>
              </w:rPr>
              <w:t>2021</w:t>
            </w:r>
            <w:r w:rsidRPr="003204B8">
              <w:rPr>
                <w:rFonts w:ascii="Symbol" w:eastAsia="Symbol" w:hAnsi="Symbol" w:cs="Symbol"/>
                <w:b/>
                <w:bCs/>
                <w:sz w:val="20"/>
                <w:szCs w:val="20"/>
              </w:rPr>
              <w:t>-</w:t>
            </w:r>
            <w:r w:rsidRPr="003204B8">
              <w:rPr>
                <w:rFonts w:cs="Calibri"/>
                <w:b/>
                <w:bCs/>
                <w:sz w:val="20"/>
                <w:szCs w:val="20"/>
              </w:rPr>
              <w:t>22</w:t>
            </w:r>
            <w:r w:rsidRPr="003204B8">
              <w:rPr>
                <w:rStyle w:val="FootnoteReference"/>
                <w:rFonts w:cs="Calibri"/>
                <w:sz w:val="20"/>
                <w:szCs w:val="20"/>
              </w:rPr>
              <w:footnoteReference w:id="825"/>
            </w:r>
          </w:p>
        </w:tc>
        <w:tc>
          <w:tcPr>
            <w:tcW w:w="1055" w:type="dxa"/>
          </w:tcPr>
          <w:p w14:paraId="06271797" w14:textId="77777777" w:rsidR="00924664" w:rsidRPr="003204B8" w:rsidRDefault="00924664" w:rsidP="003204B8">
            <w:pPr>
              <w:spacing w:line="259" w:lineRule="auto"/>
              <w:jc w:val="right"/>
              <w:rPr>
                <w:rFonts w:cs="Calibri"/>
                <w:sz w:val="20"/>
                <w:szCs w:val="20"/>
              </w:rPr>
            </w:pPr>
            <w:r w:rsidRPr="003204B8">
              <w:rPr>
                <w:rFonts w:cs="Calibri"/>
                <w:b/>
                <w:bCs/>
                <w:sz w:val="20"/>
                <w:szCs w:val="20"/>
              </w:rPr>
              <w:t>2022</w:t>
            </w:r>
            <w:r w:rsidRPr="003204B8">
              <w:rPr>
                <w:rFonts w:ascii="Symbol" w:eastAsia="Symbol" w:hAnsi="Symbol" w:cs="Symbol"/>
                <w:b/>
                <w:bCs/>
                <w:sz w:val="20"/>
                <w:szCs w:val="20"/>
              </w:rPr>
              <w:t>-</w:t>
            </w:r>
            <w:r w:rsidRPr="003204B8">
              <w:rPr>
                <w:rFonts w:cs="Calibri"/>
                <w:b/>
                <w:bCs/>
                <w:sz w:val="20"/>
                <w:szCs w:val="20"/>
              </w:rPr>
              <w:t>23</w:t>
            </w:r>
            <w:r w:rsidRPr="003204B8">
              <w:rPr>
                <w:rStyle w:val="FootnoteReference"/>
                <w:rFonts w:cs="Calibri"/>
                <w:sz w:val="20"/>
                <w:szCs w:val="20"/>
              </w:rPr>
              <w:footnoteReference w:id="826"/>
            </w:r>
          </w:p>
        </w:tc>
        <w:tc>
          <w:tcPr>
            <w:tcW w:w="1054" w:type="dxa"/>
          </w:tcPr>
          <w:p w14:paraId="24C0A930" w14:textId="77777777" w:rsidR="00924664" w:rsidRPr="003204B8" w:rsidRDefault="00924664" w:rsidP="003204B8">
            <w:pPr>
              <w:spacing w:line="259" w:lineRule="auto"/>
              <w:jc w:val="right"/>
              <w:rPr>
                <w:rFonts w:cs="Calibri"/>
                <w:sz w:val="20"/>
                <w:szCs w:val="20"/>
              </w:rPr>
            </w:pPr>
            <w:r w:rsidRPr="003204B8">
              <w:rPr>
                <w:rFonts w:cs="Calibri"/>
                <w:b/>
                <w:bCs/>
                <w:sz w:val="20"/>
                <w:szCs w:val="20"/>
              </w:rPr>
              <w:t>2023</w:t>
            </w:r>
            <w:r w:rsidRPr="003204B8">
              <w:rPr>
                <w:rFonts w:ascii="Symbol" w:eastAsia="Symbol" w:hAnsi="Symbol" w:cs="Symbol"/>
                <w:b/>
                <w:bCs/>
                <w:sz w:val="20"/>
                <w:szCs w:val="20"/>
              </w:rPr>
              <w:t>-</w:t>
            </w:r>
            <w:r w:rsidRPr="003204B8">
              <w:rPr>
                <w:rFonts w:cs="Calibri"/>
                <w:b/>
                <w:bCs/>
                <w:sz w:val="20"/>
                <w:szCs w:val="20"/>
              </w:rPr>
              <w:t>24</w:t>
            </w:r>
            <w:r w:rsidRPr="003204B8">
              <w:rPr>
                <w:rStyle w:val="FootnoteReference"/>
                <w:rFonts w:cs="Calibri"/>
                <w:sz w:val="20"/>
                <w:szCs w:val="20"/>
              </w:rPr>
              <w:footnoteReference w:id="827"/>
            </w:r>
          </w:p>
        </w:tc>
        <w:tc>
          <w:tcPr>
            <w:tcW w:w="1055" w:type="dxa"/>
          </w:tcPr>
          <w:p w14:paraId="0E276C29" w14:textId="77777777" w:rsidR="00924664" w:rsidRPr="003204B8" w:rsidRDefault="00924664" w:rsidP="003204B8">
            <w:pPr>
              <w:spacing w:line="259" w:lineRule="auto"/>
              <w:jc w:val="right"/>
              <w:rPr>
                <w:rFonts w:cs="Calibri"/>
                <w:b/>
                <w:bCs/>
                <w:sz w:val="20"/>
                <w:szCs w:val="20"/>
              </w:rPr>
            </w:pPr>
            <w:r w:rsidRPr="003204B8">
              <w:rPr>
                <w:rFonts w:cs="Calibri"/>
                <w:b/>
                <w:bCs/>
                <w:sz w:val="20"/>
                <w:szCs w:val="20"/>
              </w:rPr>
              <w:t>5-year average</w:t>
            </w:r>
          </w:p>
        </w:tc>
      </w:tr>
      <w:tr w:rsidR="00924664" w:rsidRPr="007B6AF7" w14:paraId="286AB167" w14:textId="77777777">
        <w:tc>
          <w:tcPr>
            <w:tcW w:w="2689" w:type="dxa"/>
          </w:tcPr>
          <w:p w14:paraId="07885FA3" w14:textId="77777777" w:rsidR="00924664" w:rsidRPr="004D575D" w:rsidRDefault="00924664" w:rsidP="00DD5500">
            <w:pPr>
              <w:spacing w:after="0"/>
              <w:rPr>
                <w:rFonts w:cs="Calibri"/>
                <w:sz w:val="20"/>
                <w:szCs w:val="20"/>
              </w:rPr>
            </w:pPr>
            <w:r w:rsidRPr="004D575D">
              <w:rPr>
                <w:rFonts w:cs="Calibri"/>
                <w:sz w:val="20"/>
                <w:szCs w:val="20"/>
              </w:rPr>
              <w:t>s 210 – Application for approval of a variation of an enterprise agreement</w:t>
            </w:r>
          </w:p>
        </w:tc>
        <w:tc>
          <w:tcPr>
            <w:tcW w:w="1054" w:type="dxa"/>
          </w:tcPr>
          <w:p w14:paraId="15C9A9D6" w14:textId="77777777" w:rsidR="00924664" w:rsidRPr="004D575D" w:rsidRDefault="00924664" w:rsidP="00DD5500">
            <w:pPr>
              <w:spacing w:after="0"/>
              <w:jc w:val="right"/>
              <w:rPr>
                <w:rFonts w:cs="Calibri"/>
                <w:sz w:val="20"/>
                <w:szCs w:val="20"/>
              </w:rPr>
            </w:pPr>
            <w:r w:rsidRPr="004D575D">
              <w:rPr>
                <w:rFonts w:cs="Calibri"/>
                <w:sz w:val="20"/>
                <w:szCs w:val="20"/>
              </w:rPr>
              <w:t>201</w:t>
            </w:r>
          </w:p>
        </w:tc>
        <w:tc>
          <w:tcPr>
            <w:tcW w:w="1055" w:type="dxa"/>
          </w:tcPr>
          <w:p w14:paraId="7485445D" w14:textId="77777777" w:rsidR="00924664" w:rsidRPr="004D575D" w:rsidRDefault="00924664" w:rsidP="00DD5500">
            <w:pPr>
              <w:spacing w:after="0"/>
              <w:jc w:val="right"/>
              <w:rPr>
                <w:rFonts w:cs="Calibri"/>
                <w:sz w:val="20"/>
                <w:szCs w:val="20"/>
              </w:rPr>
            </w:pPr>
            <w:r w:rsidRPr="004D575D">
              <w:rPr>
                <w:rFonts w:cs="Calibri"/>
                <w:sz w:val="20"/>
                <w:szCs w:val="20"/>
              </w:rPr>
              <w:t>364</w:t>
            </w:r>
          </w:p>
        </w:tc>
        <w:tc>
          <w:tcPr>
            <w:tcW w:w="1054" w:type="dxa"/>
          </w:tcPr>
          <w:p w14:paraId="379CAAE2" w14:textId="77777777" w:rsidR="00924664" w:rsidRPr="004D575D" w:rsidRDefault="00924664" w:rsidP="00DD5500">
            <w:pPr>
              <w:spacing w:after="0"/>
              <w:jc w:val="right"/>
              <w:rPr>
                <w:rFonts w:cs="Calibri"/>
                <w:sz w:val="20"/>
                <w:szCs w:val="20"/>
              </w:rPr>
            </w:pPr>
            <w:r w:rsidRPr="004D575D">
              <w:rPr>
                <w:rFonts w:cs="Calibri"/>
                <w:sz w:val="20"/>
                <w:szCs w:val="20"/>
              </w:rPr>
              <w:t>149</w:t>
            </w:r>
          </w:p>
        </w:tc>
        <w:tc>
          <w:tcPr>
            <w:tcW w:w="1055" w:type="dxa"/>
          </w:tcPr>
          <w:p w14:paraId="105466C3" w14:textId="77777777" w:rsidR="00924664" w:rsidRPr="004D575D" w:rsidRDefault="00924664" w:rsidP="00DD5500">
            <w:pPr>
              <w:spacing w:after="0"/>
              <w:jc w:val="right"/>
              <w:rPr>
                <w:rFonts w:cs="Calibri"/>
                <w:sz w:val="20"/>
                <w:szCs w:val="20"/>
              </w:rPr>
            </w:pPr>
            <w:r w:rsidRPr="004D575D">
              <w:rPr>
                <w:rFonts w:cs="Calibri"/>
                <w:sz w:val="20"/>
                <w:szCs w:val="20"/>
              </w:rPr>
              <w:t>81</w:t>
            </w:r>
          </w:p>
        </w:tc>
        <w:tc>
          <w:tcPr>
            <w:tcW w:w="1054" w:type="dxa"/>
          </w:tcPr>
          <w:p w14:paraId="10F70555" w14:textId="77777777" w:rsidR="00924664" w:rsidRPr="004D575D" w:rsidRDefault="00924664" w:rsidP="00DD5500">
            <w:pPr>
              <w:spacing w:after="0"/>
              <w:jc w:val="right"/>
              <w:rPr>
                <w:rFonts w:cs="Calibri"/>
                <w:sz w:val="20"/>
                <w:szCs w:val="20"/>
              </w:rPr>
            </w:pPr>
            <w:r w:rsidRPr="004D575D">
              <w:rPr>
                <w:rFonts w:cs="Calibri"/>
                <w:sz w:val="20"/>
                <w:szCs w:val="20"/>
              </w:rPr>
              <w:t>61</w:t>
            </w:r>
          </w:p>
        </w:tc>
        <w:tc>
          <w:tcPr>
            <w:tcW w:w="1055" w:type="dxa"/>
          </w:tcPr>
          <w:p w14:paraId="6F945416" w14:textId="77777777" w:rsidR="00924664" w:rsidRPr="004D575D" w:rsidRDefault="00924664" w:rsidP="00DD5500">
            <w:pPr>
              <w:spacing w:after="0"/>
              <w:jc w:val="right"/>
              <w:rPr>
                <w:rFonts w:cs="Calibri"/>
                <w:sz w:val="20"/>
                <w:szCs w:val="20"/>
              </w:rPr>
            </w:pPr>
            <w:r w:rsidRPr="004D575D">
              <w:rPr>
                <w:rFonts w:cs="Calibri"/>
                <w:sz w:val="20"/>
                <w:szCs w:val="20"/>
              </w:rPr>
              <w:t>171.2</w:t>
            </w:r>
          </w:p>
        </w:tc>
      </w:tr>
      <w:tr w:rsidR="00924664" w:rsidRPr="007B6AF7" w14:paraId="4B1EF4F6" w14:textId="77777777">
        <w:tc>
          <w:tcPr>
            <w:tcW w:w="2689" w:type="dxa"/>
          </w:tcPr>
          <w:p w14:paraId="202474FE" w14:textId="77777777" w:rsidR="00924664" w:rsidRPr="004D575D" w:rsidRDefault="00924664" w:rsidP="00DD5500">
            <w:pPr>
              <w:spacing w:after="0"/>
              <w:rPr>
                <w:rFonts w:cs="Calibri"/>
                <w:sz w:val="20"/>
                <w:szCs w:val="20"/>
              </w:rPr>
            </w:pPr>
            <w:r w:rsidRPr="004D575D">
              <w:rPr>
                <w:rFonts w:cs="Calibri"/>
                <w:sz w:val="20"/>
                <w:szCs w:val="20"/>
              </w:rPr>
              <w:t>s 217 – Application to vary an agreement to remove an ambiguity or uncertainty</w:t>
            </w:r>
          </w:p>
        </w:tc>
        <w:tc>
          <w:tcPr>
            <w:tcW w:w="1054" w:type="dxa"/>
          </w:tcPr>
          <w:p w14:paraId="31A8ED12" w14:textId="77777777" w:rsidR="00924664" w:rsidRPr="004D575D" w:rsidRDefault="00924664" w:rsidP="00DD5500">
            <w:pPr>
              <w:spacing w:after="0"/>
              <w:jc w:val="right"/>
              <w:rPr>
                <w:rFonts w:cs="Calibri"/>
                <w:sz w:val="20"/>
                <w:szCs w:val="20"/>
              </w:rPr>
            </w:pPr>
            <w:r w:rsidRPr="004D575D">
              <w:rPr>
                <w:rFonts w:cs="Calibri"/>
                <w:sz w:val="20"/>
                <w:szCs w:val="20"/>
              </w:rPr>
              <w:t>24</w:t>
            </w:r>
          </w:p>
        </w:tc>
        <w:tc>
          <w:tcPr>
            <w:tcW w:w="1055" w:type="dxa"/>
          </w:tcPr>
          <w:p w14:paraId="389B993E" w14:textId="77777777" w:rsidR="00924664" w:rsidRPr="004D575D" w:rsidRDefault="00924664" w:rsidP="00DD5500">
            <w:pPr>
              <w:spacing w:after="0"/>
              <w:jc w:val="right"/>
              <w:rPr>
                <w:rFonts w:cs="Calibri"/>
                <w:sz w:val="20"/>
                <w:szCs w:val="20"/>
              </w:rPr>
            </w:pPr>
            <w:r w:rsidRPr="004D575D">
              <w:rPr>
                <w:rFonts w:cs="Calibri"/>
                <w:sz w:val="20"/>
                <w:szCs w:val="20"/>
              </w:rPr>
              <w:t>32</w:t>
            </w:r>
          </w:p>
        </w:tc>
        <w:tc>
          <w:tcPr>
            <w:tcW w:w="1054" w:type="dxa"/>
          </w:tcPr>
          <w:p w14:paraId="4452A0DC" w14:textId="77777777" w:rsidR="00924664" w:rsidRPr="004D575D" w:rsidRDefault="00924664" w:rsidP="00DD5500">
            <w:pPr>
              <w:spacing w:after="0"/>
              <w:jc w:val="right"/>
              <w:rPr>
                <w:rFonts w:cs="Calibri"/>
                <w:sz w:val="20"/>
                <w:szCs w:val="20"/>
              </w:rPr>
            </w:pPr>
            <w:r w:rsidRPr="004D575D">
              <w:rPr>
                <w:rFonts w:cs="Calibri"/>
                <w:sz w:val="20"/>
                <w:szCs w:val="20"/>
              </w:rPr>
              <w:t>33</w:t>
            </w:r>
          </w:p>
        </w:tc>
        <w:tc>
          <w:tcPr>
            <w:tcW w:w="1055" w:type="dxa"/>
          </w:tcPr>
          <w:p w14:paraId="30F200BF" w14:textId="77777777" w:rsidR="00924664" w:rsidRPr="004D575D" w:rsidRDefault="00924664" w:rsidP="00DD5500">
            <w:pPr>
              <w:spacing w:after="0"/>
              <w:jc w:val="right"/>
              <w:rPr>
                <w:rFonts w:cs="Calibri"/>
                <w:sz w:val="20"/>
                <w:szCs w:val="20"/>
              </w:rPr>
            </w:pPr>
            <w:r w:rsidRPr="004D575D">
              <w:rPr>
                <w:rFonts w:cs="Calibri"/>
                <w:sz w:val="20"/>
                <w:szCs w:val="20"/>
              </w:rPr>
              <w:t>22</w:t>
            </w:r>
          </w:p>
        </w:tc>
        <w:tc>
          <w:tcPr>
            <w:tcW w:w="1054" w:type="dxa"/>
          </w:tcPr>
          <w:p w14:paraId="4F137DA5" w14:textId="77777777" w:rsidR="00924664" w:rsidRPr="004D575D" w:rsidRDefault="00924664" w:rsidP="00DD5500">
            <w:pPr>
              <w:spacing w:after="0"/>
              <w:jc w:val="right"/>
              <w:rPr>
                <w:rFonts w:cs="Calibri"/>
                <w:sz w:val="20"/>
                <w:szCs w:val="20"/>
              </w:rPr>
            </w:pPr>
            <w:r w:rsidRPr="004D575D">
              <w:rPr>
                <w:rFonts w:cs="Calibri"/>
                <w:sz w:val="20"/>
                <w:szCs w:val="20"/>
              </w:rPr>
              <w:t>18</w:t>
            </w:r>
          </w:p>
        </w:tc>
        <w:tc>
          <w:tcPr>
            <w:tcW w:w="1055" w:type="dxa"/>
          </w:tcPr>
          <w:p w14:paraId="39C8101D" w14:textId="77777777" w:rsidR="00924664" w:rsidRPr="004D575D" w:rsidRDefault="00924664" w:rsidP="00DD5500">
            <w:pPr>
              <w:spacing w:after="0"/>
              <w:jc w:val="right"/>
              <w:rPr>
                <w:rFonts w:cs="Calibri"/>
                <w:sz w:val="20"/>
                <w:szCs w:val="20"/>
              </w:rPr>
            </w:pPr>
            <w:r w:rsidRPr="004D575D">
              <w:rPr>
                <w:rFonts w:cs="Calibri"/>
                <w:sz w:val="20"/>
                <w:szCs w:val="20"/>
              </w:rPr>
              <w:t>25.8</w:t>
            </w:r>
          </w:p>
        </w:tc>
      </w:tr>
      <w:tr w:rsidR="00924664" w:rsidRPr="007B6AF7" w14:paraId="51C41ACD" w14:textId="77777777">
        <w:tc>
          <w:tcPr>
            <w:tcW w:w="2689" w:type="dxa"/>
          </w:tcPr>
          <w:p w14:paraId="7DA865B1" w14:textId="77777777" w:rsidR="00924664" w:rsidRPr="004D575D" w:rsidRDefault="00924664" w:rsidP="00DD5500">
            <w:pPr>
              <w:spacing w:after="0"/>
              <w:rPr>
                <w:rFonts w:cs="Calibri"/>
                <w:sz w:val="20"/>
                <w:szCs w:val="20"/>
              </w:rPr>
            </w:pPr>
            <w:r w:rsidRPr="004D575D">
              <w:rPr>
                <w:rFonts w:cs="Calibri"/>
                <w:sz w:val="20"/>
                <w:szCs w:val="20"/>
              </w:rPr>
              <w:t>s 218A – Application to vary an agreement to correct or amend errors, defects or irregularities</w:t>
            </w:r>
          </w:p>
        </w:tc>
        <w:tc>
          <w:tcPr>
            <w:tcW w:w="1054" w:type="dxa"/>
          </w:tcPr>
          <w:p w14:paraId="40523FD2" w14:textId="77777777" w:rsidR="00924664" w:rsidRPr="004D575D" w:rsidRDefault="00924664" w:rsidP="00DD5500">
            <w:pPr>
              <w:spacing w:after="0"/>
              <w:jc w:val="right"/>
              <w:rPr>
                <w:rFonts w:cs="Calibri"/>
                <w:sz w:val="20"/>
                <w:szCs w:val="20"/>
              </w:rPr>
            </w:pPr>
            <w:r w:rsidRPr="004D575D">
              <w:rPr>
                <w:rFonts w:cs="Calibri"/>
                <w:sz w:val="20"/>
                <w:szCs w:val="20"/>
              </w:rPr>
              <w:t>N/A</w:t>
            </w:r>
          </w:p>
        </w:tc>
        <w:tc>
          <w:tcPr>
            <w:tcW w:w="1055" w:type="dxa"/>
          </w:tcPr>
          <w:p w14:paraId="2E673355" w14:textId="77777777" w:rsidR="00924664" w:rsidRPr="004D575D" w:rsidRDefault="00924664" w:rsidP="00DD5500">
            <w:pPr>
              <w:spacing w:after="0"/>
              <w:jc w:val="right"/>
              <w:rPr>
                <w:rFonts w:cs="Calibri"/>
                <w:sz w:val="20"/>
                <w:szCs w:val="20"/>
              </w:rPr>
            </w:pPr>
            <w:r w:rsidRPr="004D575D">
              <w:rPr>
                <w:rFonts w:cs="Calibri"/>
                <w:sz w:val="20"/>
                <w:szCs w:val="20"/>
              </w:rPr>
              <w:t>N/A</w:t>
            </w:r>
          </w:p>
        </w:tc>
        <w:tc>
          <w:tcPr>
            <w:tcW w:w="1054" w:type="dxa"/>
          </w:tcPr>
          <w:p w14:paraId="482907C4" w14:textId="77777777" w:rsidR="00924664" w:rsidRPr="004D575D" w:rsidRDefault="00924664" w:rsidP="00DD5500">
            <w:pPr>
              <w:spacing w:after="0"/>
              <w:jc w:val="right"/>
              <w:rPr>
                <w:rFonts w:cs="Calibri"/>
                <w:sz w:val="20"/>
                <w:szCs w:val="20"/>
              </w:rPr>
            </w:pPr>
            <w:r w:rsidRPr="004D575D">
              <w:rPr>
                <w:rFonts w:cs="Calibri"/>
                <w:sz w:val="20"/>
                <w:szCs w:val="20"/>
              </w:rPr>
              <w:t>N/A</w:t>
            </w:r>
          </w:p>
        </w:tc>
        <w:tc>
          <w:tcPr>
            <w:tcW w:w="1055" w:type="dxa"/>
          </w:tcPr>
          <w:p w14:paraId="691BB368" w14:textId="77777777" w:rsidR="00924664" w:rsidRPr="004D575D" w:rsidRDefault="00924664" w:rsidP="00DD5500">
            <w:pPr>
              <w:spacing w:after="0"/>
              <w:jc w:val="right"/>
              <w:rPr>
                <w:rFonts w:cs="Calibri"/>
                <w:sz w:val="20"/>
                <w:szCs w:val="20"/>
              </w:rPr>
            </w:pPr>
            <w:r w:rsidRPr="004D575D">
              <w:rPr>
                <w:rFonts w:cs="Calibri"/>
                <w:sz w:val="20"/>
                <w:szCs w:val="20"/>
              </w:rPr>
              <w:t>29</w:t>
            </w:r>
          </w:p>
        </w:tc>
        <w:tc>
          <w:tcPr>
            <w:tcW w:w="1054" w:type="dxa"/>
          </w:tcPr>
          <w:p w14:paraId="66BE8860" w14:textId="77777777" w:rsidR="00924664" w:rsidRPr="004D575D" w:rsidRDefault="00924664" w:rsidP="00DD5500">
            <w:pPr>
              <w:spacing w:after="0"/>
              <w:jc w:val="right"/>
              <w:rPr>
                <w:rFonts w:cs="Calibri"/>
                <w:sz w:val="20"/>
                <w:szCs w:val="20"/>
              </w:rPr>
            </w:pPr>
            <w:r w:rsidRPr="004D575D">
              <w:rPr>
                <w:rFonts w:cs="Calibri"/>
                <w:sz w:val="20"/>
                <w:szCs w:val="20"/>
              </w:rPr>
              <w:t>83</w:t>
            </w:r>
          </w:p>
        </w:tc>
        <w:tc>
          <w:tcPr>
            <w:tcW w:w="1055" w:type="dxa"/>
          </w:tcPr>
          <w:p w14:paraId="3682C4C9" w14:textId="77777777" w:rsidR="00924664" w:rsidRPr="004D575D" w:rsidRDefault="00924664" w:rsidP="00DD5500">
            <w:pPr>
              <w:spacing w:after="0"/>
              <w:jc w:val="right"/>
              <w:rPr>
                <w:rFonts w:cs="Calibri"/>
                <w:sz w:val="20"/>
                <w:szCs w:val="20"/>
              </w:rPr>
            </w:pPr>
            <w:r w:rsidRPr="004D575D">
              <w:rPr>
                <w:rFonts w:cs="Calibri"/>
                <w:sz w:val="20"/>
                <w:szCs w:val="20"/>
              </w:rPr>
              <w:t>N/A</w:t>
            </w:r>
          </w:p>
        </w:tc>
      </w:tr>
      <w:tr w:rsidR="00924664" w:rsidRPr="007B6AF7" w14:paraId="2D4C4582" w14:textId="77777777">
        <w:tc>
          <w:tcPr>
            <w:tcW w:w="2689" w:type="dxa"/>
          </w:tcPr>
          <w:p w14:paraId="6B4504C2" w14:textId="77777777" w:rsidR="00924664" w:rsidRPr="004D575D" w:rsidRDefault="00924664" w:rsidP="00DD5500">
            <w:pPr>
              <w:spacing w:after="0"/>
              <w:rPr>
                <w:rFonts w:cs="Calibri"/>
                <w:sz w:val="20"/>
                <w:szCs w:val="20"/>
              </w:rPr>
            </w:pPr>
            <w:r w:rsidRPr="004D575D">
              <w:rPr>
                <w:rFonts w:cs="Calibri"/>
                <w:sz w:val="20"/>
                <w:szCs w:val="20"/>
              </w:rPr>
              <w:t>Total variation applications</w:t>
            </w:r>
          </w:p>
        </w:tc>
        <w:tc>
          <w:tcPr>
            <w:tcW w:w="1054" w:type="dxa"/>
          </w:tcPr>
          <w:p w14:paraId="51D481F5" w14:textId="77777777" w:rsidR="00924664" w:rsidRPr="004D575D" w:rsidRDefault="00924664" w:rsidP="00DD5500">
            <w:pPr>
              <w:spacing w:after="0"/>
              <w:jc w:val="right"/>
              <w:rPr>
                <w:rFonts w:cs="Calibri"/>
                <w:sz w:val="20"/>
                <w:szCs w:val="20"/>
              </w:rPr>
            </w:pPr>
            <w:r w:rsidRPr="004D575D">
              <w:rPr>
                <w:rFonts w:cs="Calibri"/>
                <w:sz w:val="20"/>
                <w:szCs w:val="20"/>
              </w:rPr>
              <w:t>225</w:t>
            </w:r>
          </w:p>
        </w:tc>
        <w:tc>
          <w:tcPr>
            <w:tcW w:w="1055" w:type="dxa"/>
          </w:tcPr>
          <w:p w14:paraId="608A7B07" w14:textId="77777777" w:rsidR="00924664" w:rsidRPr="004D575D" w:rsidRDefault="00924664" w:rsidP="00DD5500">
            <w:pPr>
              <w:spacing w:after="0"/>
              <w:jc w:val="right"/>
              <w:rPr>
                <w:rFonts w:cs="Calibri"/>
                <w:sz w:val="20"/>
                <w:szCs w:val="20"/>
              </w:rPr>
            </w:pPr>
            <w:r w:rsidRPr="004D575D">
              <w:rPr>
                <w:rFonts w:cs="Calibri"/>
                <w:sz w:val="20"/>
                <w:szCs w:val="20"/>
              </w:rPr>
              <w:t>396</w:t>
            </w:r>
          </w:p>
        </w:tc>
        <w:tc>
          <w:tcPr>
            <w:tcW w:w="1054" w:type="dxa"/>
          </w:tcPr>
          <w:p w14:paraId="3B9EB261" w14:textId="77777777" w:rsidR="00924664" w:rsidRPr="004D575D" w:rsidRDefault="00924664" w:rsidP="00DD5500">
            <w:pPr>
              <w:spacing w:after="0"/>
              <w:jc w:val="right"/>
              <w:rPr>
                <w:rFonts w:cs="Calibri"/>
                <w:sz w:val="20"/>
                <w:szCs w:val="20"/>
              </w:rPr>
            </w:pPr>
            <w:r w:rsidRPr="004D575D">
              <w:rPr>
                <w:rFonts w:cs="Calibri"/>
                <w:sz w:val="20"/>
                <w:szCs w:val="20"/>
              </w:rPr>
              <w:t>182</w:t>
            </w:r>
          </w:p>
        </w:tc>
        <w:tc>
          <w:tcPr>
            <w:tcW w:w="1055" w:type="dxa"/>
          </w:tcPr>
          <w:p w14:paraId="522E1039" w14:textId="77777777" w:rsidR="00924664" w:rsidRPr="004D575D" w:rsidRDefault="00924664" w:rsidP="00DD5500">
            <w:pPr>
              <w:spacing w:after="0"/>
              <w:jc w:val="right"/>
              <w:rPr>
                <w:rFonts w:cs="Calibri"/>
                <w:sz w:val="20"/>
                <w:szCs w:val="20"/>
              </w:rPr>
            </w:pPr>
            <w:r w:rsidRPr="004D575D">
              <w:rPr>
                <w:rFonts w:cs="Calibri"/>
                <w:sz w:val="20"/>
                <w:szCs w:val="20"/>
              </w:rPr>
              <w:t>132</w:t>
            </w:r>
          </w:p>
        </w:tc>
        <w:tc>
          <w:tcPr>
            <w:tcW w:w="1054" w:type="dxa"/>
          </w:tcPr>
          <w:p w14:paraId="4C314481" w14:textId="77777777" w:rsidR="00924664" w:rsidRPr="004D575D" w:rsidRDefault="00924664" w:rsidP="00DD5500">
            <w:pPr>
              <w:spacing w:after="0"/>
              <w:jc w:val="right"/>
              <w:rPr>
                <w:rFonts w:cs="Calibri"/>
                <w:sz w:val="20"/>
                <w:szCs w:val="20"/>
              </w:rPr>
            </w:pPr>
            <w:r w:rsidRPr="004D575D">
              <w:rPr>
                <w:rFonts w:cs="Calibri"/>
                <w:sz w:val="20"/>
                <w:szCs w:val="20"/>
              </w:rPr>
              <w:t>162</w:t>
            </w:r>
          </w:p>
        </w:tc>
        <w:tc>
          <w:tcPr>
            <w:tcW w:w="1055" w:type="dxa"/>
          </w:tcPr>
          <w:p w14:paraId="191DF4FD" w14:textId="77777777" w:rsidR="00924664" w:rsidRPr="004D575D" w:rsidRDefault="00924664" w:rsidP="00DD5500">
            <w:pPr>
              <w:spacing w:after="0"/>
              <w:jc w:val="right"/>
              <w:rPr>
                <w:rFonts w:cs="Calibri"/>
                <w:sz w:val="20"/>
                <w:szCs w:val="20"/>
              </w:rPr>
            </w:pPr>
            <w:r w:rsidRPr="004D575D">
              <w:rPr>
                <w:rFonts w:cs="Calibri"/>
                <w:sz w:val="20"/>
                <w:szCs w:val="20"/>
              </w:rPr>
              <w:t>219.4</w:t>
            </w:r>
          </w:p>
        </w:tc>
      </w:tr>
    </w:tbl>
    <w:p w14:paraId="66FEF79A" w14:textId="41810607" w:rsidR="0011475D" w:rsidRDefault="00924664" w:rsidP="00924664">
      <w:pPr>
        <w:pStyle w:val="Source"/>
      </w:pPr>
      <w:r w:rsidRPr="396ABCA7">
        <w:rPr>
          <w:b/>
          <w:bCs/>
        </w:rPr>
        <w:t>Note:</w:t>
      </w:r>
      <w:r w:rsidRPr="396ABCA7">
        <w:t xml:space="preserve"> The data in </w:t>
      </w:r>
      <w:r>
        <w:t>this table</w:t>
      </w:r>
      <w:r w:rsidRPr="396ABCA7">
        <w:t xml:space="preserve"> does not capture all instances of </w:t>
      </w:r>
      <w:r w:rsidR="00EC3517">
        <w:t xml:space="preserve">Fair Work Commission’s </w:t>
      </w:r>
      <w:r w:rsidRPr="396ABCA7">
        <w:t>use of s 218A, as some applications arise in the course of agreement approval applications.</w:t>
      </w:r>
    </w:p>
    <w:p w14:paraId="1BF7BA98" w14:textId="437A9FA7" w:rsidR="00924664" w:rsidRPr="00167CB8" w:rsidRDefault="00924664" w:rsidP="00924664">
      <w:pPr>
        <w:pStyle w:val="Source"/>
      </w:pPr>
      <w:r w:rsidRPr="00167CB8">
        <w:rPr>
          <w:b/>
          <w:bCs/>
        </w:rPr>
        <w:t>Source:</w:t>
      </w:r>
      <w:r w:rsidRPr="00167CB8">
        <w:t xml:space="preserve"> </w:t>
      </w:r>
      <w:r w:rsidR="00EC3517">
        <w:t>Fair Work Commission</w:t>
      </w:r>
      <w:r w:rsidR="00EC3517" w:rsidRPr="00167CB8">
        <w:t xml:space="preserve"> </w:t>
      </w:r>
      <w:r w:rsidRPr="00167CB8">
        <w:t>annual reports, various.</w:t>
      </w:r>
    </w:p>
    <w:p w14:paraId="303E9533" w14:textId="0FAA45AE" w:rsidR="0011475D" w:rsidRDefault="00924664" w:rsidP="00924664">
      <w:pPr>
        <w:rPr>
          <w:rFonts w:cs="Calibri"/>
        </w:rPr>
      </w:pPr>
      <w:r w:rsidRPr="00DF10D3">
        <w:rPr>
          <w:rFonts w:cs="Calibri"/>
        </w:rPr>
        <w:t>In the 2022</w:t>
      </w:r>
      <w:r w:rsidRPr="00DF10D3">
        <w:rPr>
          <w:rFonts w:ascii="Symbol" w:eastAsia="Symbol" w:hAnsi="Symbol" w:cs="Symbol"/>
        </w:rPr>
        <w:t>-</w:t>
      </w:r>
      <w:r w:rsidRPr="00DF10D3">
        <w:rPr>
          <w:rFonts w:cs="Calibri"/>
        </w:rPr>
        <w:t>23 financial year, the FWC recorded no applications to validate an agreement approval or agreement variation.</w:t>
      </w:r>
      <w:r w:rsidRPr="00DF10D3">
        <w:rPr>
          <w:rStyle w:val="FootnoteReference"/>
          <w:rFonts w:cs="Calibri"/>
        </w:rPr>
        <w:footnoteReference w:id="828"/>
      </w:r>
      <w:r w:rsidRPr="00DF10D3">
        <w:rPr>
          <w:rFonts w:cs="Calibri"/>
        </w:rPr>
        <w:t xml:space="preserve"> In the following 2023</w:t>
      </w:r>
      <w:r w:rsidRPr="00DF10D3">
        <w:rPr>
          <w:rFonts w:ascii="Symbol" w:eastAsia="Symbol" w:hAnsi="Symbol" w:cs="Symbol"/>
        </w:rPr>
        <w:t>-</w:t>
      </w:r>
      <w:r w:rsidRPr="00DF10D3">
        <w:rPr>
          <w:rFonts w:cs="Calibri"/>
        </w:rPr>
        <w:t xml:space="preserve">24 financial year, the FWC reported </w:t>
      </w:r>
      <w:r w:rsidRPr="00DF10D3">
        <w:rPr>
          <w:rFonts w:cs="Calibri"/>
        </w:rPr>
        <w:lastRenderedPageBreak/>
        <w:t xml:space="preserve">only </w:t>
      </w:r>
      <w:r w:rsidR="00484161">
        <w:rPr>
          <w:rFonts w:cs="Calibri"/>
        </w:rPr>
        <w:t>four</w:t>
      </w:r>
      <w:r w:rsidRPr="00DF10D3">
        <w:rPr>
          <w:rFonts w:cs="Calibri"/>
        </w:rPr>
        <w:t xml:space="preserve"> applications to validate the approval of an enterprise agreement,</w:t>
      </w:r>
      <w:r w:rsidRPr="00DF10D3">
        <w:rPr>
          <w:rStyle w:val="FootnoteReference"/>
          <w:rFonts w:cs="Calibri"/>
        </w:rPr>
        <w:footnoteReference w:id="829"/>
      </w:r>
      <w:r w:rsidRPr="00DF10D3">
        <w:rPr>
          <w:rFonts w:cs="Calibri"/>
        </w:rPr>
        <w:t xml:space="preserve"> while no applications to validate the variation of an agreement have been made.</w:t>
      </w:r>
    </w:p>
    <w:p w14:paraId="5C52CAD1" w14:textId="5E6DAACE" w:rsidR="00924664" w:rsidRPr="003204B8" w:rsidRDefault="00924664" w:rsidP="00EC3517">
      <w:pPr>
        <w:pStyle w:val="Heading5"/>
      </w:pPr>
      <w:r w:rsidRPr="003204B8">
        <w:t>18.2.2 Qualitative evidence</w:t>
      </w:r>
    </w:p>
    <w:p w14:paraId="6F3B9182" w14:textId="77777777" w:rsidR="00924664" w:rsidRPr="00167CB8" w:rsidRDefault="00924664" w:rsidP="00924664">
      <w:pPr>
        <w:rPr>
          <w:rFonts w:cs="Calibri"/>
        </w:rPr>
      </w:pPr>
      <w:r w:rsidRPr="396ABCA7">
        <w:rPr>
          <w:rFonts w:cs="Calibri"/>
        </w:rPr>
        <w:t>FWC decisions following the commencement of s 218A of the Fair Work Act demonstrate that this power has been used to address a range of errors. The following</w:t>
      </w:r>
      <w:r>
        <w:rPr>
          <w:rFonts w:cs="Calibri"/>
        </w:rPr>
        <w:t xml:space="preserve"> four</w:t>
      </w:r>
      <w:r w:rsidRPr="396ABCA7">
        <w:rPr>
          <w:rFonts w:cs="Calibri"/>
        </w:rPr>
        <w:t xml:space="preserve"> decisions, which are examples only, demonstrate that the power to correct obvious errors appears to be making it simpler to fix minor errors in agreements.</w:t>
      </w:r>
    </w:p>
    <w:p w14:paraId="5B4A2368" w14:textId="77777777" w:rsidR="00924664" w:rsidRPr="00167CB8" w:rsidRDefault="00924664" w:rsidP="00924664">
      <w:pPr>
        <w:rPr>
          <w:rFonts w:cs="Calibri"/>
        </w:rPr>
      </w:pPr>
      <w:r w:rsidRPr="00167CB8">
        <w:rPr>
          <w:rFonts w:cs="Calibri"/>
          <w:i/>
        </w:rPr>
        <w:t>Doctors in Training (Victorian Public Health Sector) (AMA Victoria/ASMOF (Single Interest Employers) Enterprise Agreement 2022</w:t>
      </w:r>
      <w:r w:rsidRPr="00167CB8">
        <w:rPr>
          <w:rFonts w:ascii="Symbol" w:eastAsia="Symbol" w:hAnsi="Symbol" w:cs="Symbol"/>
          <w:i/>
        </w:rPr>
        <w:t>-</w:t>
      </w:r>
      <w:r w:rsidRPr="00167CB8">
        <w:rPr>
          <w:rFonts w:cs="Calibri"/>
          <w:i/>
        </w:rPr>
        <w:t xml:space="preserve">2026 </w:t>
      </w:r>
      <w:r w:rsidRPr="00167CB8">
        <w:t>(13 December 2022)</w:t>
      </w:r>
    </w:p>
    <w:p w14:paraId="3CE60500" w14:textId="77777777" w:rsidR="0011475D" w:rsidRDefault="00924664" w:rsidP="00924664">
      <w:r w:rsidRPr="00167CB8">
        <w:t>The Victorian Hospitals’ Industrial Association applied to correct an error where a clause setting out how annual leave entitlements are to be calculated was inadvertently left out.</w:t>
      </w:r>
      <w:r w:rsidRPr="00167CB8">
        <w:rPr>
          <w:rStyle w:val="FootnoteReference"/>
          <w:rFonts w:cs="Calibri"/>
        </w:rPr>
        <w:footnoteReference w:id="830"/>
      </w:r>
      <w:r w:rsidRPr="00167CB8">
        <w:t xml:space="preserve"> The FWC was satisfied that this was an error of substance and varied the agreement.</w:t>
      </w:r>
      <w:r w:rsidRPr="00167CB8">
        <w:rPr>
          <w:rStyle w:val="FootnoteReference"/>
          <w:rFonts w:cs="Calibri"/>
        </w:rPr>
        <w:footnoteReference w:id="831"/>
      </w:r>
      <w:r w:rsidRPr="00167CB8">
        <w:t xml:space="preserve"> Whilst not a prerequisite for the FWC to exercise its discretion, the FWC noted that the error significantly disadvantaged employees.</w:t>
      </w:r>
      <w:r w:rsidRPr="00167CB8">
        <w:rPr>
          <w:rStyle w:val="FootnoteReference"/>
          <w:rFonts w:cs="Calibri"/>
        </w:rPr>
        <w:footnoteReference w:id="832"/>
      </w:r>
    </w:p>
    <w:p w14:paraId="368BCA91" w14:textId="7DE136B5" w:rsidR="00924664" w:rsidRPr="00167CB8" w:rsidRDefault="00924664" w:rsidP="00924664">
      <w:pPr>
        <w:rPr>
          <w:rFonts w:cs="Calibri"/>
        </w:rPr>
      </w:pPr>
      <w:r w:rsidRPr="00167CB8">
        <w:rPr>
          <w:rFonts w:cs="Calibri"/>
          <w:i/>
        </w:rPr>
        <w:t>Queensland Police-Citizens Youth Welfare Association T</w:t>
      </w:r>
      <w:r w:rsidRPr="003204B8">
        <w:rPr>
          <w:rFonts w:cs="Calibri"/>
          <w:i/>
        </w:rPr>
        <w:t>/A</w:t>
      </w:r>
      <w:r w:rsidRPr="00167CB8">
        <w:rPr>
          <w:rFonts w:cs="Calibri"/>
          <w:i/>
        </w:rPr>
        <w:t xml:space="preserve"> PCYC Queensland </w:t>
      </w:r>
      <w:r w:rsidRPr="00167CB8">
        <w:rPr>
          <w:rFonts w:ascii="Symbol" w:eastAsia="Symbol" w:hAnsi="Symbol" w:cs="Symbol"/>
          <w:i/>
        </w:rPr>
        <w:t>-</w:t>
      </w:r>
      <w:r w:rsidRPr="00167CB8">
        <w:rPr>
          <w:rFonts w:cs="Calibri"/>
          <w:i/>
        </w:rPr>
        <w:t xml:space="preserve"> Re QPCYWA Enterprise Agreement 2024</w:t>
      </w:r>
      <w:r w:rsidRPr="00167CB8">
        <w:rPr>
          <w:rFonts w:cs="Calibri"/>
        </w:rPr>
        <w:t xml:space="preserve"> (2 September 2024)</w:t>
      </w:r>
    </w:p>
    <w:p w14:paraId="2BE6F82A" w14:textId="1E52487D" w:rsidR="00924664" w:rsidRPr="00167CB8" w:rsidRDefault="00924664" w:rsidP="00924664">
      <w:r w:rsidRPr="396ABCA7">
        <w:t xml:space="preserve">The employer applied to vary the agreement to correct an error relating to the number of hours for minimum engagement of part-time employees specified in the undertaking. The agreement accidentally referred to </w:t>
      </w:r>
      <w:r w:rsidR="00484161">
        <w:t>three</w:t>
      </w:r>
      <w:r w:rsidRPr="396ABCA7">
        <w:t xml:space="preserve"> hours instead of </w:t>
      </w:r>
      <w:r w:rsidR="00484161">
        <w:t>two</w:t>
      </w:r>
      <w:r w:rsidRPr="396ABCA7">
        <w:t xml:space="preserve"> hours.</w:t>
      </w:r>
      <w:r w:rsidRPr="396ABCA7">
        <w:rPr>
          <w:rStyle w:val="FootnoteReference"/>
          <w:rFonts w:cs="Calibri"/>
        </w:rPr>
        <w:footnoteReference w:id="833"/>
      </w:r>
      <w:r w:rsidRPr="396ABCA7">
        <w:t xml:space="preserve"> The FWC corrected the error.</w:t>
      </w:r>
      <w:r w:rsidRPr="396ABCA7">
        <w:rPr>
          <w:rStyle w:val="FootnoteReference"/>
          <w:rFonts w:cs="Calibri"/>
        </w:rPr>
        <w:footnoteReference w:id="834"/>
      </w:r>
    </w:p>
    <w:p w14:paraId="353EC16F" w14:textId="34C517C3" w:rsidR="0011475D" w:rsidRDefault="00924664" w:rsidP="00924664">
      <w:pPr>
        <w:rPr>
          <w:rFonts w:cs="Calibri"/>
        </w:rPr>
      </w:pPr>
      <w:r w:rsidRPr="00167CB8">
        <w:rPr>
          <w:rFonts w:cs="Calibri"/>
          <w:i/>
        </w:rPr>
        <w:t xml:space="preserve">Olex Australia Pty </w:t>
      </w:r>
      <w:r w:rsidRPr="00745DA9">
        <w:rPr>
          <w:rFonts w:cs="Calibri"/>
          <w:i/>
        </w:rPr>
        <w:t>Ltd T/A Nexans</w:t>
      </w:r>
      <w:r w:rsidRPr="00167CB8">
        <w:rPr>
          <w:rFonts w:cs="Calibri"/>
          <w:i/>
        </w:rPr>
        <w:t xml:space="preserve"> Australia </w:t>
      </w:r>
      <w:r w:rsidRPr="00167CB8">
        <w:rPr>
          <w:rFonts w:ascii="Symbol" w:eastAsia="Symbol" w:hAnsi="Symbol" w:cs="Symbol"/>
          <w:i/>
        </w:rPr>
        <w:t>-</w:t>
      </w:r>
      <w:r w:rsidRPr="00167CB8">
        <w:rPr>
          <w:rFonts w:cs="Calibri"/>
          <w:i/>
        </w:rPr>
        <w:t xml:space="preserve"> Re Nexans Australia </w:t>
      </w:r>
      <w:r w:rsidRPr="00167CB8">
        <w:rPr>
          <w:rFonts w:ascii="Symbol" w:eastAsia="Symbol" w:hAnsi="Symbol" w:cs="Symbol"/>
          <w:i/>
        </w:rPr>
        <w:t>-</w:t>
      </w:r>
      <w:r w:rsidRPr="00167CB8">
        <w:rPr>
          <w:rFonts w:cs="Calibri"/>
          <w:i/>
        </w:rPr>
        <w:t xml:space="preserve"> Geebung Warehouse Employees Enterprise Agreement 2024 </w:t>
      </w:r>
      <w:r w:rsidRPr="00167CB8">
        <w:rPr>
          <w:rFonts w:cs="Calibri"/>
        </w:rPr>
        <w:t>(22 August 2024)</w:t>
      </w:r>
    </w:p>
    <w:p w14:paraId="73789A05" w14:textId="77777777" w:rsidR="0011475D" w:rsidRDefault="00924664" w:rsidP="00924664">
      <w:r w:rsidRPr="396ABCA7">
        <w:t>The FWC initiated a matter to vary the agreement and correct an error relating to the identification of the wage schedule which erroneously failed to indicate pay frequency.</w:t>
      </w:r>
      <w:r w:rsidRPr="396ABCA7">
        <w:rPr>
          <w:rStyle w:val="FootnoteReference"/>
          <w:rFonts w:cs="Calibri"/>
        </w:rPr>
        <w:footnoteReference w:id="835"/>
      </w:r>
    </w:p>
    <w:p w14:paraId="0ED8EAA4" w14:textId="77777777" w:rsidR="0011475D" w:rsidRDefault="00924664" w:rsidP="00924664">
      <w:pPr>
        <w:rPr>
          <w:rFonts w:cs="Calibri"/>
          <w:i/>
        </w:rPr>
      </w:pPr>
      <w:r w:rsidRPr="00167CB8">
        <w:rPr>
          <w:rFonts w:cs="Calibri"/>
          <w:i/>
        </w:rPr>
        <w:t xml:space="preserve">Commonwealth of Australia as represented by the Department of Parliamentary Services </w:t>
      </w:r>
      <w:r w:rsidRPr="00167CB8">
        <w:rPr>
          <w:rFonts w:cs="Calibri"/>
        </w:rPr>
        <w:t>(6 May 2024)</w:t>
      </w:r>
    </w:p>
    <w:p w14:paraId="64C7DDA6" w14:textId="77777777" w:rsidR="0011475D" w:rsidRDefault="00924664" w:rsidP="00924664">
      <w:r w:rsidRPr="396ABCA7">
        <w:t>The employer initiated an application to rectify an administrative error on the part of the employer. When filing the application for approval of the agreement, the employer lodged a draft agreement instead of the final version that the employees voted on. The FWC corrected this error by approving the final version of the agreement, taken to be ‘valid and effective’ as if it had been lodged at first instance.</w:t>
      </w:r>
      <w:r w:rsidRPr="396ABCA7">
        <w:rPr>
          <w:rStyle w:val="FootnoteReference"/>
          <w:rFonts w:cs="Calibri"/>
        </w:rPr>
        <w:footnoteReference w:id="836"/>
      </w:r>
      <w:r w:rsidRPr="396ABCA7">
        <w:t xml:space="preserve"> The operation of s 602A meant that the employer was not required to file another application for the approval of the correct agreement.</w:t>
      </w:r>
      <w:r w:rsidRPr="396ABCA7">
        <w:rPr>
          <w:rStyle w:val="FootnoteReference"/>
          <w:rFonts w:cs="Calibri"/>
        </w:rPr>
        <w:footnoteReference w:id="837"/>
      </w:r>
    </w:p>
    <w:p w14:paraId="69B8DD26" w14:textId="32AE538C" w:rsidR="00924664" w:rsidRPr="00DA65A7" w:rsidRDefault="00924664" w:rsidP="00EC3517">
      <w:pPr>
        <w:pStyle w:val="Heading5"/>
      </w:pPr>
      <w:r w:rsidRPr="00DA65A7">
        <w:lastRenderedPageBreak/>
        <w:t>18.2.3 Stakeholder views</w:t>
      </w:r>
    </w:p>
    <w:p w14:paraId="7408DE88" w14:textId="77777777" w:rsidR="00924664" w:rsidRPr="00167CB8" w:rsidRDefault="00924664" w:rsidP="00924664">
      <w:pPr>
        <w:rPr>
          <w:rFonts w:cs="Calibri"/>
        </w:rPr>
      </w:pPr>
      <w:r w:rsidRPr="396ABCA7">
        <w:rPr>
          <w:rFonts w:cs="Calibri"/>
        </w:rPr>
        <w:t>Submissions from stakeholders were broadly very positive about these amendments, with almost all comments, from both unions and employer groups, welcoming the changes.</w:t>
      </w:r>
    </w:p>
    <w:p w14:paraId="28ED7543" w14:textId="57AB5E7C" w:rsidR="0011475D" w:rsidRDefault="00924664" w:rsidP="00924664">
      <w:pPr>
        <w:rPr>
          <w:rFonts w:cs="Calibri"/>
        </w:rPr>
      </w:pPr>
      <w:r w:rsidRPr="00167CB8">
        <w:rPr>
          <w:rFonts w:cs="Calibri"/>
        </w:rPr>
        <w:t xml:space="preserve">The Australian Council of Trade Unions submitted that the previous gap in </w:t>
      </w:r>
      <w:r w:rsidR="00484161">
        <w:rPr>
          <w:rFonts w:cs="Calibri"/>
        </w:rPr>
        <w:t xml:space="preserve">the </w:t>
      </w:r>
      <w:r w:rsidRPr="00167CB8">
        <w:rPr>
          <w:rFonts w:cs="Calibri"/>
        </w:rPr>
        <w:t>FWC’s powers has been ‘remedied, via the insertion of the clear power for the FWC to correct mistakes in an enterprise agreement after it has been approved, or to substitute the correct version of an agreement where application to approve an agreement (or variation) is made using an incorrect draft of the agreement’.</w:t>
      </w:r>
      <w:r w:rsidRPr="00167CB8">
        <w:rPr>
          <w:rStyle w:val="FootnoteReference"/>
          <w:rFonts w:cs="Calibri"/>
        </w:rPr>
        <w:footnoteReference w:id="838"/>
      </w:r>
    </w:p>
    <w:p w14:paraId="322AED25" w14:textId="43072E87" w:rsidR="00924664" w:rsidRPr="00167CB8" w:rsidRDefault="00924664" w:rsidP="00924664">
      <w:pPr>
        <w:rPr>
          <w:rFonts w:cs="Calibri"/>
        </w:rPr>
      </w:pPr>
      <w:r w:rsidRPr="396ABCA7">
        <w:rPr>
          <w:rFonts w:cs="Calibri"/>
        </w:rPr>
        <w:t>Similarly, the Community and Public Sector Union noted that the provisions were relied on by a number of Australian Public Service (APS) agencies, resulting in the correction of significant typographical errors in the recent APS bargaining round.</w:t>
      </w:r>
      <w:r w:rsidRPr="396ABCA7">
        <w:rPr>
          <w:rStyle w:val="FootnoteReference"/>
          <w:rFonts w:cs="Calibri"/>
        </w:rPr>
        <w:footnoteReference w:id="839"/>
      </w:r>
    </w:p>
    <w:p w14:paraId="33D86555" w14:textId="77777777" w:rsidR="00924664" w:rsidRPr="00167CB8" w:rsidRDefault="00924664" w:rsidP="00924664">
      <w:pPr>
        <w:rPr>
          <w:rFonts w:cs="Calibri"/>
        </w:rPr>
      </w:pPr>
      <w:r w:rsidRPr="396ABCA7">
        <w:rPr>
          <w:rFonts w:cs="Calibri"/>
        </w:rPr>
        <w:t>The Australian Resources &amp; Energy Employer Association welcomed the continuation of providing greater discretion to the FWC to correct procedural errors in agreement making where the errors are deemed to have no material impact on the bargained outcomes.</w:t>
      </w:r>
      <w:r w:rsidRPr="396ABCA7">
        <w:rPr>
          <w:rStyle w:val="FootnoteReference"/>
          <w:rFonts w:cs="Calibri"/>
        </w:rPr>
        <w:footnoteReference w:id="840"/>
      </w:r>
    </w:p>
    <w:p w14:paraId="0FB42CE6" w14:textId="6C34C920" w:rsidR="00924664" w:rsidRPr="00167CB8" w:rsidRDefault="00924664" w:rsidP="00924664">
      <w:pPr>
        <w:rPr>
          <w:rFonts w:cs="Calibri"/>
        </w:rPr>
      </w:pPr>
      <w:r w:rsidRPr="00167CB8">
        <w:rPr>
          <w:rFonts w:cs="Calibri"/>
        </w:rPr>
        <w:t xml:space="preserve">The Australian Chamber of Commerce and Industry </w:t>
      </w:r>
      <w:r w:rsidR="00745DA9">
        <w:rPr>
          <w:rFonts w:cs="Calibri"/>
        </w:rPr>
        <w:t xml:space="preserve">(ACCI) </w:t>
      </w:r>
      <w:r w:rsidRPr="00167CB8">
        <w:rPr>
          <w:rFonts w:cs="Calibri"/>
        </w:rPr>
        <w:t>submitted that the amendments have been effective in ‘enhancing the flexibility and simplicity of the framework around enterprise agreements, while still balancing fairness by giving effect to the intent of the negotiating parties’.</w:t>
      </w:r>
      <w:r w:rsidRPr="00167CB8">
        <w:rPr>
          <w:rStyle w:val="FootnoteReference"/>
          <w:rFonts w:cs="Calibri"/>
        </w:rPr>
        <w:footnoteReference w:id="841"/>
      </w:r>
      <w:r w:rsidRPr="00167CB8">
        <w:rPr>
          <w:rFonts w:cs="Calibri"/>
        </w:rPr>
        <w:t xml:space="preserve"> It also made a recommendation that the FWC ‘seek to monitor the use of these provisions and provide educational materials on common errors that may reduce the frequency these provisions are utilised’.</w:t>
      </w:r>
      <w:r w:rsidRPr="00167CB8">
        <w:rPr>
          <w:rStyle w:val="FootnoteReference"/>
          <w:rFonts w:cs="Calibri"/>
        </w:rPr>
        <w:footnoteReference w:id="842"/>
      </w:r>
    </w:p>
    <w:p w14:paraId="0E2B1DD1" w14:textId="77777777" w:rsidR="00924664" w:rsidRPr="00167CB8" w:rsidRDefault="00924664" w:rsidP="00924664">
      <w:pPr>
        <w:rPr>
          <w:rFonts w:cs="Calibri"/>
        </w:rPr>
      </w:pPr>
      <w:r w:rsidRPr="396ABCA7">
        <w:rPr>
          <w:rFonts w:cs="Calibri"/>
        </w:rPr>
        <w:t>Ai Group submitted that s 218A is operating effectively and no amendments are required.</w:t>
      </w:r>
      <w:r w:rsidRPr="396ABCA7">
        <w:rPr>
          <w:rStyle w:val="FootnoteReference"/>
          <w:rFonts w:cs="Calibri"/>
        </w:rPr>
        <w:footnoteReference w:id="843"/>
      </w:r>
    </w:p>
    <w:p w14:paraId="27239F7D" w14:textId="77777777" w:rsidR="00924664" w:rsidRPr="002D1653" w:rsidRDefault="00924664" w:rsidP="00924664">
      <w:pPr>
        <w:rPr>
          <w:rFonts w:cs="Calibri"/>
        </w:rPr>
      </w:pPr>
      <w:r w:rsidRPr="00100309">
        <w:rPr>
          <w:rFonts w:cs="Calibri"/>
        </w:rPr>
        <w:t xml:space="preserve">Stakeholders expressed limited views in response to the draft report in relation to these </w:t>
      </w:r>
      <w:r w:rsidRPr="00745DA9">
        <w:rPr>
          <w:rFonts w:cs="Calibri"/>
        </w:rPr>
        <w:t>amendments. ACCI agreed with the findings of the Review Panel and reiterated its support for</w:t>
      </w:r>
      <w:r w:rsidRPr="00100309">
        <w:rPr>
          <w:rFonts w:cs="Calibri"/>
        </w:rPr>
        <w:t xml:space="preserve"> this ‘pragmatic’ amendment.</w:t>
      </w:r>
      <w:r w:rsidRPr="00100309">
        <w:rPr>
          <w:rStyle w:val="FootnoteReference"/>
          <w:rFonts w:cs="Calibri"/>
        </w:rPr>
        <w:footnoteReference w:id="844"/>
      </w:r>
    </w:p>
    <w:p w14:paraId="1CAA399B" w14:textId="77777777" w:rsidR="00924664" w:rsidRPr="003204B8" w:rsidRDefault="00924664" w:rsidP="00EC3517">
      <w:pPr>
        <w:pStyle w:val="Heading4"/>
      </w:pPr>
      <w:bookmarkStart w:id="303" w:name="_Toc189260261"/>
      <w:bookmarkStart w:id="304" w:name="_Toc189393577"/>
      <w:r w:rsidRPr="003204B8">
        <w:t>18.3 Findings and recommendations</w:t>
      </w:r>
      <w:bookmarkEnd w:id="303"/>
      <w:bookmarkEnd w:id="304"/>
    </w:p>
    <w:p w14:paraId="4970B5D1" w14:textId="77777777" w:rsidR="00924664" w:rsidRPr="00167CB8" w:rsidRDefault="00924664" w:rsidP="00924664">
      <w:pPr>
        <w:rPr>
          <w:rFonts w:cs="Calibri"/>
        </w:rPr>
      </w:pPr>
      <w:r w:rsidRPr="396ABCA7">
        <w:rPr>
          <w:rFonts w:cs="Calibri"/>
        </w:rPr>
        <w:t>Based on the evidence and stakeholder feedback, the Review Panel is satisfied the amendments relating to dealing with errors in enterprise agreements have provided a simple way for the FWC to correct obvious errors in enterprise agreements. The Review Panel finds that the amendments are operating appropriately and effectively.</w:t>
      </w:r>
    </w:p>
    <w:p w14:paraId="03FBE9D9" w14:textId="77777777" w:rsidR="00924664" w:rsidRPr="00167CB8" w:rsidRDefault="00924664" w:rsidP="00924664">
      <w:pPr>
        <w:rPr>
          <w:rFonts w:cs="Calibri"/>
        </w:rPr>
      </w:pPr>
      <w:r w:rsidRPr="00167CB8">
        <w:rPr>
          <w:rFonts w:cs="Calibri"/>
        </w:rPr>
        <w:t>While there is limited data available to assess their impacts, there is no evidence before the Review Panel which suggests there are any unintended consequences so far.</w:t>
      </w:r>
    </w:p>
    <w:p w14:paraId="7246D1EA" w14:textId="77777777" w:rsidR="00924664" w:rsidRPr="00167CB8" w:rsidRDefault="00924664" w:rsidP="00924664">
      <w:pPr>
        <w:rPr>
          <w:rFonts w:cs="Calibri"/>
        </w:rPr>
      </w:pPr>
      <w:r w:rsidRPr="396ABCA7">
        <w:rPr>
          <w:rFonts w:cs="Calibri"/>
        </w:rPr>
        <w:t>The Review Panel considers that no further amendments are required to these provisions and makes no recommendations at this time.</w:t>
      </w:r>
    </w:p>
    <w:p w14:paraId="21F00508" w14:textId="77777777" w:rsidR="00924664" w:rsidRPr="00167CB8" w:rsidRDefault="00924664" w:rsidP="00924664">
      <w:pPr>
        <w:spacing w:after="160"/>
        <w:rPr>
          <w:rFonts w:cs="Calibri"/>
        </w:rPr>
      </w:pPr>
      <w:r w:rsidRPr="00167CB8">
        <w:rPr>
          <w:rFonts w:cs="Calibri"/>
        </w:rPr>
        <w:br w:type="page"/>
      </w:r>
    </w:p>
    <w:p w14:paraId="181C48E4" w14:textId="77777777" w:rsidR="00924664" w:rsidRPr="00DA65A7" w:rsidRDefault="00924664" w:rsidP="00EC3517">
      <w:pPr>
        <w:pStyle w:val="Heading3"/>
      </w:pPr>
      <w:bookmarkStart w:id="305" w:name="_Toc189260262"/>
      <w:bookmarkStart w:id="306" w:name="_Toc189393578"/>
      <w:bookmarkStart w:id="307" w:name="_Toc194311426"/>
      <w:r w:rsidRPr="00DA65A7">
        <w:lastRenderedPageBreak/>
        <w:t>Chapter 19. Varying enterprise agreements to remove employers and their employees</w:t>
      </w:r>
      <w:bookmarkEnd w:id="305"/>
      <w:bookmarkEnd w:id="306"/>
      <w:bookmarkEnd w:id="307"/>
    </w:p>
    <w:p w14:paraId="15486711" w14:textId="3BC735F6" w:rsidR="00924664" w:rsidRPr="00167CB8" w:rsidRDefault="00924664" w:rsidP="00924664">
      <w:pPr>
        <w:rPr>
          <w:rFonts w:cs="Calibri"/>
        </w:rPr>
      </w:pPr>
      <w:r w:rsidRPr="396ABCA7">
        <w:rPr>
          <w:rFonts w:cs="Calibri"/>
        </w:rPr>
        <w:t xml:space="preserve">Part 22 of Schedule 1 to the </w:t>
      </w:r>
      <w:r w:rsidRPr="396ABCA7">
        <w:t xml:space="preserve">Secure Jobs, Better Pay </w:t>
      </w:r>
      <w:r w:rsidRPr="396ABCA7">
        <w:rPr>
          <w:rFonts w:cs="Calibri"/>
        </w:rPr>
        <w:t xml:space="preserve">Act enables the </w:t>
      </w:r>
      <w:r w:rsidR="00484161">
        <w:rPr>
          <w:rFonts w:cs="Calibri"/>
        </w:rPr>
        <w:t>Fair Work Commission (</w:t>
      </w:r>
      <w:r w:rsidRPr="396ABCA7">
        <w:rPr>
          <w:rFonts w:cs="Calibri"/>
        </w:rPr>
        <w:t>FWC</w:t>
      </w:r>
      <w:r w:rsidR="00484161">
        <w:rPr>
          <w:rFonts w:cs="Calibri"/>
        </w:rPr>
        <w:t>) to</w:t>
      </w:r>
      <w:r w:rsidRPr="396ABCA7">
        <w:rPr>
          <w:rFonts w:cs="Calibri"/>
        </w:rPr>
        <w:t xml:space="preserve"> vary multi-employer agreements to remove employers and their employees with effect from 6 June 2023.</w:t>
      </w:r>
      <w:r w:rsidRPr="396ABCA7">
        <w:rPr>
          <w:rFonts w:cs="Calibri"/>
          <w:vertAlign w:val="superscript"/>
        </w:rPr>
        <w:footnoteReference w:id="845"/>
      </w:r>
      <w:r w:rsidRPr="396ABCA7">
        <w:rPr>
          <w:rFonts w:cs="Calibri"/>
        </w:rPr>
        <w:t xml:space="preserve"> These provisions received little attention from stakeholders during consultations, with little evidence available as to their current operation.</w:t>
      </w:r>
    </w:p>
    <w:p w14:paraId="13CC75DF" w14:textId="77777777" w:rsidR="0011475D" w:rsidRPr="00DA65A7" w:rsidRDefault="00924664" w:rsidP="00EC3517">
      <w:pPr>
        <w:pStyle w:val="Heading4"/>
      </w:pPr>
      <w:bookmarkStart w:id="308" w:name="_Toc189260263"/>
      <w:bookmarkStart w:id="309" w:name="_Toc189393579"/>
      <w:r w:rsidRPr="00DA65A7">
        <w:t>19.1 Amendments and intent</w:t>
      </w:r>
      <w:bookmarkEnd w:id="308"/>
      <w:bookmarkEnd w:id="309"/>
    </w:p>
    <w:p w14:paraId="380FC1C5" w14:textId="38B85CCA" w:rsidR="00924664" w:rsidRPr="00167CB8" w:rsidRDefault="00924664" w:rsidP="00924664">
      <w:pPr>
        <w:rPr>
          <w:rFonts w:cs="Calibri"/>
        </w:rPr>
      </w:pPr>
      <w:r w:rsidRPr="396ABCA7">
        <w:rPr>
          <w:rFonts w:cs="Calibri"/>
        </w:rPr>
        <w:t>These amendments were intended to assist in the functioning of the new multi-employer bargaining streams by providing a process for some parties to leave agreements established under these streams.</w:t>
      </w:r>
    </w:p>
    <w:p w14:paraId="4F896C38" w14:textId="77777777" w:rsidR="00924664" w:rsidRPr="00167CB8" w:rsidRDefault="00924664" w:rsidP="00924664">
      <w:r w:rsidRPr="396ABCA7">
        <w:t>Before the Secure Jobs, Better Pay Act came into operation, there were limited pathways for an employer and a group of employees to vary a multi-employer agreement so it no longer covered them. Generally, these processes required the approval of all employers and a majority of employees covered by the multi-employer agreement, not just those that are seeking to no longer be covered by it.</w:t>
      </w:r>
      <w:r w:rsidRPr="396ABCA7">
        <w:rPr>
          <w:rStyle w:val="FootnoteReference"/>
        </w:rPr>
        <w:footnoteReference w:id="846"/>
      </w:r>
    </w:p>
    <w:p w14:paraId="66098F63" w14:textId="77777777" w:rsidR="00924664" w:rsidRPr="00DA65A7" w:rsidRDefault="00924664" w:rsidP="00EC3517">
      <w:pPr>
        <w:pStyle w:val="Heading5"/>
      </w:pPr>
      <w:r w:rsidRPr="00DA65A7">
        <w:t xml:space="preserve">19.1.1 </w:t>
      </w:r>
      <w:r w:rsidRPr="00EC3517">
        <w:t xml:space="preserve">Secure Jobs, Better Pay </w:t>
      </w:r>
      <w:r w:rsidRPr="00DA65A7">
        <w:t>amendments</w:t>
      </w:r>
    </w:p>
    <w:p w14:paraId="17CEAA26" w14:textId="77777777" w:rsidR="00924664" w:rsidRPr="00167CB8" w:rsidRDefault="00924664" w:rsidP="00924664">
      <w:r w:rsidRPr="00167CB8">
        <w:t>These amendments only apply to multi-employer agreements made after commencement of the provisions (i.e. after 6 June 2023).</w:t>
      </w:r>
    </w:p>
    <w:p w14:paraId="1C5A0ECB" w14:textId="77777777" w:rsidR="0011475D" w:rsidRDefault="00924664" w:rsidP="00924664">
      <w:r w:rsidRPr="396ABCA7">
        <w:t>Employers may request employees approve a proposed variation by vote.</w:t>
      </w:r>
      <w:r w:rsidRPr="396ABCA7">
        <w:rPr>
          <w:rStyle w:val="FootnoteReference"/>
        </w:rPr>
        <w:footnoteReference w:id="847"/>
      </w:r>
      <w:r w:rsidRPr="396ABCA7">
        <w:t xml:space="preserve"> A variation to an enterprise agreement ‘is made when a majority of the affected employees who cast a valid vote approve the variation’.</w:t>
      </w:r>
      <w:r w:rsidRPr="396ABCA7">
        <w:rPr>
          <w:rStyle w:val="FootnoteReference"/>
        </w:rPr>
        <w:footnoteReference w:id="848"/>
      </w:r>
    </w:p>
    <w:p w14:paraId="10E62313" w14:textId="77777777" w:rsidR="0011475D" w:rsidRDefault="00924664" w:rsidP="00924664">
      <w:pPr>
        <w:rPr>
          <w:color w:val="000000"/>
        </w:rPr>
      </w:pPr>
      <w:r w:rsidRPr="00167CB8">
        <w:t xml:space="preserve">Employers and employees may ‘jointly make [an application for] variation of a </w:t>
      </w:r>
      <w:r w:rsidRPr="7764B24A">
        <w:t>multi</w:t>
      </w:r>
      <w:r>
        <w:t>-</w:t>
      </w:r>
      <w:r w:rsidRPr="7764B24A">
        <w:t>enterprise</w:t>
      </w:r>
      <w:r w:rsidRPr="00167CB8">
        <w:t xml:space="preserve"> agreement’ to remove them from the agreement’s coverage.</w:t>
      </w:r>
      <w:r w:rsidRPr="00167CB8">
        <w:rPr>
          <w:rStyle w:val="FootnoteReference"/>
        </w:rPr>
        <w:footnoteReference w:id="849"/>
      </w:r>
      <w:r w:rsidRPr="00167CB8">
        <w:t xml:space="preserve"> The FWC must approve the variation if it is satisfied that</w:t>
      </w:r>
      <w:r w:rsidRPr="00167CB8">
        <w:rPr>
          <w:color w:val="000000"/>
        </w:rPr>
        <w:t xml:space="preserve"> the employer took ‘all reasonable steps to notify the employees of … the time and place at which the vote will occur; the voting method that will be used; and [gave] the employees a reasonable opportunity to decide whether they want to approve the proposed variation’.</w:t>
      </w:r>
      <w:r w:rsidRPr="00167CB8">
        <w:rPr>
          <w:rStyle w:val="FootnoteReference"/>
          <w:color w:val="000000"/>
        </w:rPr>
        <w:footnoteReference w:id="850"/>
      </w:r>
    </w:p>
    <w:p w14:paraId="57680D92" w14:textId="45F631ED" w:rsidR="00924664" w:rsidRPr="00167CB8" w:rsidRDefault="00924664" w:rsidP="00924664">
      <w:pPr>
        <w:rPr>
          <w:color w:val="000000"/>
        </w:rPr>
      </w:pPr>
      <w:r w:rsidRPr="396ABCA7">
        <w:rPr>
          <w:color w:val="000000"/>
        </w:rPr>
        <w:t>When approving a variation to remove an employer and employees, the FWC must also be satisfied that</w:t>
      </w:r>
      <w:r w:rsidRPr="396ABCA7">
        <w:t>:</w:t>
      </w:r>
      <w:r w:rsidRPr="396ABCA7">
        <w:rPr>
          <w:rStyle w:val="FootnoteReference"/>
        </w:rPr>
        <w:footnoteReference w:id="851"/>
      </w:r>
    </w:p>
    <w:p w14:paraId="4DDD6CE9" w14:textId="363A9DF7" w:rsidR="00924664" w:rsidRPr="00167CB8" w:rsidRDefault="00924664" w:rsidP="00846DC0">
      <w:pPr>
        <w:pStyle w:val="Quote"/>
      </w:pPr>
      <w:r w:rsidRPr="00167CB8">
        <w:t>(a)</w:t>
      </w:r>
      <w:r w:rsidRPr="00167CB8">
        <w:tab/>
        <w:t>the </w:t>
      </w:r>
      <w:hyperlink r:id="rId26" w:anchor="employer" w:history="1">
        <w:r w:rsidRPr="00167CB8">
          <w:t>employer</w:t>
        </w:r>
      </w:hyperlink>
      <w:r w:rsidRPr="00167CB8">
        <w:t> mentioned in </w:t>
      </w:r>
      <w:hyperlink r:id="rId27" w:anchor="paragraph" w:history="1">
        <w:r w:rsidRPr="00167CB8">
          <w:t>paragraph</w:t>
        </w:r>
      </w:hyperlink>
      <w:r w:rsidRPr="00167CB8">
        <w:t xml:space="preserve"> 216E(1)(a) complied with </w:t>
      </w:r>
      <w:hyperlink r:id="rId28" w:anchor="subsection" w:history="1">
        <w:r w:rsidRPr="00167CB8">
          <w:t>subsection</w:t>
        </w:r>
      </w:hyperlink>
      <w:r w:rsidRPr="00167CB8">
        <w:t xml:space="preserve"> 216E(5) (which deals with giving </w:t>
      </w:r>
      <w:hyperlink r:id="rId29" w:anchor="employee" w:history="1">
        <w:r w:rsidRPr="00167CB8">
          <w:t>employees</w:t>
        </w:r>
      </w:hyperlink>
      <w:r w:rsidRPr="00167CB8">
        <w:t> a reasonable opportunity to decide etc.) in relation to the variation; and</w:t>
      </w:r>
    </w:p>
    <w:p w14:paraId="42A7FC70" w14:textId="5416CC72" w:rsidR="00924664" w:rsidRPr="00167CB8" w:rsidRDefault="00924664" w:rsidP="00846DC0">
      <w:pPr>
        <w:pStyle w:val="Quote"/>
      </w:pPr>
      <w:r w:rsidRPr="00167CB8">
        <w:lastRenderedPageBreak/>
        <w:t>(b)</w:t>
      </w:r>
      <w:r w:rsidRPr="00167CB8">
        <w:tab/>
        <w:t>the affected employees have voted, by ballot or by an electronic method, on whether to approve the variation and, of those who cast a valid vote, a majority approved the variation; and</w:t>
      </w:r>
    </w:p>
    <w:p w14:paraId="418C2DB4" w14:textId="38A91B16" w:rsidR="00924664" w:rsidRPr="00167CB8" w:rsidRDefault="00924664" w:rsidP="00846DC0">
      <w:pPr>
        <w:pStyle w:val="Quote"/>
      </w:pPr>
      <w:r w:rsidRPr="00167CB8">
        <w:t>(c)</w:t>
      </w:r>
      <w:r w:rsidRPr="00167CB8">
        <w:tab/>
        <w:t>there are no other reasonable grounds for believing that a majority of the affected employees who cast a valid vote did not approve the variation; and</w:t>
      </w:r>
    </w:p>
    <w:p w14:paraId="39C22423" w14:textId="686ADFC7" w:rsidR="00924664" w:rsidRPr="00167CB8" w:rsidRDefault="00924664" w:rsidP="00846DC0">
      <w:pPr>
        <w:pStyle w:val="Quote"/>
      </w:pPr>
      <w:r w:rsidRPr="00167CB8">
        <w:t>(d)</w:t>
      </w:r>
      <w:r w:rsidRPr="00167CB8">
        <w:tab/>
        <w:t>each employee organisation covered by the agreement, that is entitled to represent the industrial interests of one or more affected employees, agrees to the variation.</w:t>
      </w:r>
    </w:p>
    <w:p w14:paraId="67F13312" w14:textId="77777777" w:rsidR="00924664" w:rsidRPr="00DA65A7" w:rsidRDefault="00924664" w:rsidP="00EC3517">
      <w:pPr>
        <w:pStyle w:val="Heading5"/>
      </w:pPr>
      <w:r w:rsidRPr="00DA65A7">
        <w:t>19.1.2 Intent of Secure Jobs, Better Pay amendments</w:t>
      </w:r>
    </w:p>
    <w:p w14:paraId="2B412A02" w14:textId="77777777" w:rsidR="00924664" w:rsidRPr="00167CB8" w:rsidRDefault="00924664" w:rsidP="00924664">
      <w:r w:rsidRPr="396ABCA7">
        <w:t>The Australian Government states that it intends for these amendments to empower the FWC ‘to vary multi-enterprise agreements to remove an employer and affected employees from coverage’</w:t>
      </w:r>
      <w:r w:rsidRPr="396ABCA7">
        <w:rPr>
          <w:rStyle w:val="FootnoteReference"/>
        </w:rPr>
        <w:footnoteReference w:id="852"/>
      </w:r>
      <w:r w:rsidRPr="396ABCA7">
        <w:t xml:space="preserve"> with voting and employee organisation agreement requirements to act as safeguards ‘to ensure affected employees are sufficiently protected’.</w:t>
      </w:r>
      <w:r w:rsidRPr="396ABCA7">
        <w:rPr>
          <w:rStyle w:val="FootnoteReference"/>
        </w:rPr>
        <w:footnoteReference w:id="853"/>
      </w:r>
    </w:p>
    <w:p w14:paraId="7DF55ADA" w14:textId="77777777" w:rsidR="00924664" w:rsidRPr="00DA65A7" w:rsidRDefault="00924664" w:rsidP="00EC3517">
      <w:pPr>
        <w:pStyle w:val="Heading4"/>
      </w:pPr>
      <w:bookmarkStart w:id="310" w:name="_Toc189260264"/>
      <w:bookmarkStart w:id="311" w:name="_Toc189393580"/>
      <w:r w:rsidRPr="00DA65A7">
        <w:t>19.2 Impact and issues</w:t>
      </w:r>
      <w:bookmarkEnd w:id="310"/>
      <w:bookmarkEnd w:id="311"/>
    </w:p>
    <w:p w14:paraId="48AB4C04" w14:textId="77777777" w:rsidR="00924664" w:rsidRPr="00167CB8" w:rsidRDefault="00924664" w:rsidP="00924664">
      <w:r w:rsidRPr="00100309">
        <w:t>The FWC is yet to deal with any applications to remove employers and their employees from a multi-employer agreement. Therefore, it is too early to assess the operation of the amendments.</w:t>
      </w:r>
    </w:p>
    <w:p w14:paraId="6E9001CD" w14:textId="77777777" w:rsidR="00924664" w:rsidRPr="00DA65A7" w:rsidRDefault="00924664" w:rsidP="00EC3517">
      <w:pPr>
        <w:pStyle w:val="Heading5"/>
      </w:pPr>
      <w:r w:rsidRPr="00DA65A7">
        <w:t>19.2.1 Quantitative evidence</w:t>
      </w:r>
    </w:p>
    <w:p w14:paraId="25A21933" w14:textId="77777777" w:rsidR="00924664" w:rsidRPr="00167CB8" w:rsidRDefault="00924664" w:rsidP="00924664">
      <w:r w:rsidRPr="00167CB8">
        <w:t>The Review Panel is not aware of any significant quantitative evidence in relation to these amendments.</w:t>
      </w:r>
    </w:p>
    <w:p w14:paraId="56AD7997" w14:textId="77777777" w:rsidR="00924664" w:rsidRPr="00DA65A7" w:rsidRDefault="00924664" w:rsidP="00EC3517">
      <w:pPr>
        <w:pStyle w:val="Heading5"/>
      </w:pPr>
      <w:r w:rsidRPr="00DA65A7">
        <w:t>19.2.2 Qualitative evidence</w:t>
      </w:r>
    </w:p>
    <w:p w14:paraId="581E7B4F" w14:textId="77777777" w:rsidR="00924664" w:rsidRPr="00167CB8" w:rsidRDefault="00924664" w:rsidP="00924664">
      <w:r w:rsidRPr="00167CB8">
        <w:t>The Review Panel is not aware of any significant qualitative evidence in relation to these amendments.</w:t>
      </w:r>
    </w:p>
    <w:p w14:paraId="246D5D4B" w14:textId="77777777" w:rsidR="00924664" w:rsidRPr="00DA65A7" w:rsidRDefault="00924664" w:rsidP="00EC3517">
      <w:pPr>
        <w:pStyle w:val="Heading5"/>
      </w:pPr>
      <w:r w:rsidRPr="00DA65A7">
        <w:t>19.2.3 Stakeholder views</w:t>
      </w:r>
    </w:p>
    <w:p w14:paraId="12A0C6B0" w14:textId="77777777" w:rsidR="00924664" w:rsidRPr="00167CB8" w:rsidRDefault="00924664" w:rsidP="00924664">
      <w:r w:rsidRPr="00167CB8">
        <w:t>Ai Group submitted that the requirement that any union covered by the agreement approve the variation is ‘highly inappropriate and should be removed’.</w:t>
      </w:r>
      <w:r w:rsidRPr="00167CB8">
        <w:rPr>
          <w:rStyle w:val="FootnoteReference"/>
        </w:rPr>
        <w:footnoteReference w:id="854"/>
      </w:r>
      <w:r w:rsidRPr="00167CB8">
        <w:t xml:space="preserve"> Ai Group proposed that this requirement be replaced with an alternative safeguard that would require the FWC to consider whether there are ‘serious public interest grounds for not approving the variation’.</w:t>
      </w:r>
      <w:r w:rsidRPr="00167CB8">
        <w:rPr>
          <w:rStyle w:val="FootnoteReference"/>
        </w:rPr>
        <w:footnoteReference w:id="855"/>
      </w:r>
    </w:p>
    <w:p w14:paraId="3CF30982" w14:textId="77777777" w:rsidR="00924664" w:rsidRPr="00167CB8" w:rsidRDefault="00924664" w:rsidP="00924664">
      <w:pPr>
        <w:rPr>
          <w:rFonts w:cs="Calibri"/>
        </w:rPr>
      </w:pPr>
      <w:r w:rsidRPr="00167CB8">
        <w:rPr>
          <w:rFonts w:cs="Calibri"/>
        </w:rPr>
        <w:t>In contrast, the Australian Council of Trade Unions (ACTU) stated that the ‘provisions provide for a consensual and democratic pathway for an employer (and its employees who are covered by a multi enterprise agreement) to exit a multi-employer agreement’.</w:t>
      </w:r>
      <w:r w:rsidRPr="00167CB8">
        <w:rPr>
          <w:rStyle w:val="FootnoteReference"/>
          <w:rFonts w:cs="Calibri"/>
        </w:rPr>
        <w:footnoteReference w:id="856"/>
      </w:r>
      <w:r w:rsidRPr="00167CB8">
        <w:rPr>
          <w:rFonts w:cs="Calibri"/>
        </w:rPr>
        <w:t xml:space="preserve"> It argued that union approval ensures that employers properly inform employees and that ‘the unions that are </w:t>
      </w:r>
      <w:r w:rsidRPr="00167CB8">
        <w:rPr>
          <w:rFonts w:cs="Calibri"/>
        </w:rPr>
        <w:lastRenderedPageBreak/>
        <w:t>covered by the agreement would not provide the necessary consent if the employees were misled in this regard’.</w:t>
      </w:r>
      <w:r w:rsidRPr="00167CB8">
        <w:rPr>
          <w:rStyle w:val="FootnoteReference"/>
          <w:rFonts w:cs="Calibri"/>
        </w:rPr>
        <w:footnoteReference w:id="857"/>
      </w:r>
    </w:p>
    <w:p w14:paraId="52C08336" w14:textId="77777777" w:rsidR="00924664" w:rsidRPr="00167CB8" w:rsidRDefault="00924664" w:rsidP="00924664">
      <w:pPr>
        <w:rPr>
          <w:rFonts w:cs="Calibri"/>
        </w:rPr>
      </w:pPr>
      <w:r w:rsidRPr="396ABCA7">
        <w:rPr>
          <w:rFonts w:cs="Calibri"/>
        </w:rPr>
        <w:t>Master Builders Australia did not provide any commentary on Part 22 of Schedule 1 to the Secure Jobs, Better Pay Act but, as noted in previous chapters, recommended ‘that the amendments at Parts 12-23A [of the Secure Jobs, Better Pay Act] … [s]hould be repealed in their entirety’.</w:t>
      </w:r>
      <w:r w:rsidRPr="396ABCA7">
        <w:rPr>
          <w:rStyle w:val="FootnoteReference"/>
          <w:rFonts w:cs="Calibri"/>
        </w:rPr>
        <w:footnoteReference w:id="858"/>
      </w:r>
    </w:p>
    <w:p w14:paraId="3E76974B" w14:textId="73BF8A31" w:rsidR="00924664" w:rsidRPr="00FA495F" w:rsidRDefault="00924664" w:rsidP="00924664">
      <w:pPr>
        <w:rPr>
          <w:rFonts w:cs="Calibri"/>
        </w:rPr>
      </w:pPr>
      <w:r w:rsidRPr="00100309">
        <w:rPr>
          <w:rFonts w:cs="Calibri"/>
        </w:rPr>
        <w:t xml:space="preserve">Stakeholders expressed limited views in response to the </w:t>
      </w:r>
      <w:r w:rsidR="00745DA9">
        <w:rPr>
          <w:rFonts w:cs="Calibri"/>
        </w:rPr>
        <w:t>d</w:t>
      </w:r>
      <w:r w:rsidRPr="00100309">
        <w:rPr>
          <w:rFonts w:cs="Calibri"/>
        </w:rPr>
        <w:t xml:space="preserve">raft </w:t>
      </w:r>
      <w:r w:rsidR="00745DA9">
        <w:rPr>
          <w:rFonts w:cs="Calibri"/>
        </w:rPr>
        <w:t>r</w:t>
      </w:r>
      <w:r w:rsidRPr="00100309">
        <w:rPr>
          <w:rFonts w:cs="Calibri"/>
        </w:rPr>
        <w:t>eport in relation to these amendments. Ai Group reiterated its position and recommendations set out in its initial submission and asserted that it disagrees with the Review Panel’s decision to make no recommendations.</w:t>
      </w:r>
      <w:r w:rsidRPr="00100309">
        <w:rPr>
          <w:rStyle w:val="FootnoteReference"/>
          <w:rFonts w:cs="Calibri"/>
        </w:rPr>
        <w:footnoteReference w:id="859"/>
      </w:r>
    </w:p>
    <w:p w14:paraId="6696E891" w14:textId="77777777" w:rsidR="00924664" w:rsidRPr="00DA65A7" w:rsidRDefault="00924664" w:rsidP="00EC3517">
      <w:pPr>
        <w:pStyle w:val="Heading4"/>
      </w:pPr>
      <w:bookmarkStart w:id="312" w:name="_Toc189260265"/>
      <w:bookmarkStart w:id="313" w:name="_Toc189393581"/>
      <w:r w:rsidRPr="00DA65A7">
        <w:t>19.3 Findings and recommendations</w:t>
      </w:r>
      <w:bookmarkEnd w:id="312"/>
      <w:bookmarkEnd w:id="313"/>
    </w:p>
    <w:p w14:paraId="4664F817" w14:textId="77777777" w:rsidR="00924664" w:rsidRPr="00167CB8" w:rsidRDefault="00924664" w:rsidP="00924664">
      <w:pPr>
        <w:rPr>
          <w:rFonts w:cs="Calibri"/>
        </w:rPr>
      </w:pPr>
      <w:r w:rsidRPr="00167CB8">
        <w:rPr>
          <w:rFonts w:cs="Calibri"/>
        </w:rPr>
        <w:t>As these provisions are yet to be used, the Review Panel cannot make any conclusions as to the use or effectiveness of these amendments.</w:t>
      </w:r>
    </w:p>
    <w:p w14:paraId="2A8E5609" w14:textId="77777777" w:rsidR="00924664" w:rsidRPr="00167CB8" w:rsidRDefault="00924664" w:rsidP="00924664">
      <w:pPr>
        <w:rPr>
          <w:rFonts w:cs="Calibri"/>
        </w:rPr>
      </w:pPr>
      <w:r w:rsidRPr="396ABCA7">
        <w:rPr>
          <w:rFonts w:cs="Calibri"/>
        </w:rPr>
        <w:t xml:space="preserve">The Review Panel acknowledges the concern about the requirement for unions covered by an agreement to support the variation and notes the ACTU’s view that this provides a safeguard against employees being misled. </w:t>
      </w:r>
      <w:r w:rsidRPr="00167CB8">
        <w:rPr>
          <w:rFonts w:cs="Calibri"/>
        </w:rPr>
        <w:t>However, the</w:t>
      </w:r>
      <w:r>
        <w:rPr>
          <w:rFonts w:cs="Calibri"/>
        </w:rPr>
        <w:t xml:space="preserve"> Panel finds</w:t>
      </w:r>
      <w:r w:rsidRPr="396ABCA7">
        <w:rPr>
          <w:rFonts w:cs="Calibri"/>
        </w:rPr>
        <w:t xml:space="preserve"> there is no evidence to indicate whether the </w:t>
      </w:r>
      <w:r w:rsidRPr="00745DA9">
        <w:rPr>
          <w:rFonts w:cs="Calibri"/>
        </w:rPr>
        <w:t>concern has impacted on the ability</w:t>
      </w:r>
      <w:r w:rsidRPr="396ABCA7">
        <w:rPr>
          <w:rFonts w:cs="Calibri"/>
        </w:rPr>
        <w:t xml:space="preserve"> to vary coverage of a multi-employer agreement under these provisions, as they have not yet been tested.</w:t>
      </w:r>
    </w:p>
    <w:p w14:paraId="31875C48" w14:textId="77777777" w:rsidR="00924664" w:rsidRPr="00167CB8" w:rsidRDefault="00924664" w:rsidP="00924664">
      <w:pPr>
        <w:rPr>
          <w:rFonts w:cs="Calibri"/>
        </w:rPr>
      </w:pPr>
      <w:r w:rsidRPr="396ABCA7">
        <w:rPr>
          <w:rFonts w:cs="Calibri"/>
        </w:rPr>
        <w:t>The Review Panel makes no recommendations at this time.</w:t>
      </w:r>
    </w:p>
    <w:p w14:paraId="30EBF4CC" w14:textId="77777777" w:rsidR="00924664" w:rsidRPr="00167CB8" w:rsidRDefault="00924664" w:rsidP="00924664">
      <w:pPr>
        <w:spacing w:after="160"/>
        <w:rPr>
          <w:rFonts w:cs="Calibri"/>
        </w:rPr>
      </w:pPr>
      <w:r w:rsidRPr="00167CB8">
        <w:rPr>
          <w:rFonts w:cs="Calibri"/>
        </w:rPr>
        <w:br w:type="page"/>
      </w:r>
    </w:p>
    <w:p w14:paraId="671B0A40" w14:textId="77777777" w:rsidR="00924664" w:rsidRPr="00DA65A7" w:rsidRDefault="00924664" w:rsidP="00EC3517">
      <w:pPr>
        <w:pStyle w:val="Heading3"/>
      </w:pPr>
      <w:bookmarkStart w:id="314" w:name="_Toc189260266"/>
      <w:bookmarkStart w:id="315" w:name="_Toc189393582"/>
      <w:bookmarkStart w:id="316" w:name="_Toc194311427"/>
      <w:r w:rsidRPr="00DA65A7">
        <w:lastRenderedPageBreak/>
        <w:t>Chapter 20. Termination of agreements</w:t>
      </w:r>
      <w:bookmarkEnd w:id="314"/>
      <w:bookmarkEnd w:id="315"/>
      <w:bookmarkEnd w:id="316"/>
    </w:p>
    <w:p w14:paraId="136538C8" w14:textId="77777777" w:rsidR="00924664" w:rsidRPr="00167CB8" w:rsidRDefault="00924664" w:rsidP="00924664">
      <w:r w:rsidRPr="396ABCA7">
        <w:rPr>
          <w:rFonts w:cs="Calibri"/>
        </w:rPr>
        <w:t xml:space="preserve">Part 12 of Schedule 1 to the Secure Jobs, Better Pay Act amended the Fair Work Act to alter the circumstances in which an enterprise agreement may be terminated. </w:t>
      </w:r>
      <w:r w:rsidRPr="396ABCA7">
        <w:t>In the past, during the bargaining process, employers have sometimes threatened to unilaterally apply to terminate existing enterprise agreements. This tactic would return wages and conditions to those contained in awards. It therefore threatened to force workers to accept less favourable conditions in a new agreement rather than risk having no enterprise agreement in place.</w:t>
      </w:r>
    </w:p>
    <w:p w14:paraId="2D4009FA" w14:textId="77777777" w:rsidR="00924664" w:rsidRPr="00167CB8" w:rsidRDefault="00924664" w:rsidP="00924664">
      <w:r w:rsidRPr="396ABCA7">
        <w:t xml:space="preserve">To address this, the </w:t>
      </w:r>
      <w:r w:rsidRPr="396ABCA7">
        <w:rPr>
          <w:rFonts w:cs="Calibri"/>
        </w:rPr>
        <w:t xml:space="preserve">Secure Jobs, Better Pay </w:t>
      </w:r>
      <w:r w:rsidRPr="396ABCA7">
        <w:t>Act amended the process for terminating an enterprise agreement after its nominal expiry date.</w:t>
      </w:r>
    </w:p>
    <w:p w14:paraId="066E04CC" w14:textId="77777777" w:rsidR="0011475D" w:rsidRPr="00DA65A7" w:rsidRDefault="00924664" w:rsidP="00EC3517">
      <w:pPr>
        <w:pStyle w:val="Heading4"/>
      </w:pPr>
      <w:bookmarkStart w:id="317" w:name="_Toc189260267"/>
      <w:bookmarkStart w:id="318" w:name="_Toc189393583"/>
      <w:r w:rsidRPr="00DA65A7">
        <w:t>20.1 Amendments and intent</w:t>
      </w:r>
      <w:bookmarkEnd w:id="317"/>
      <w:bookmarkEnd w:id="318"/>
    </w:p>
    <w:p w14:paraId="78F7290A" w14:textId="67DC3870" w:rsidR="00924664" w:rsidRPr="00167CB8" w:rsidRDefault="00924664" w:rsidP="00924664">
      <w:pPr>
        <w:rPr>
          <w:rFonts w:eastAsia="Aptos" w:cs="Aptos"/>
        </w:rPr>
      </w:pPr>
      <w:r w:rsidRPr="396ABCA7">
        <w:rPr>
          <w:rFonts w:eastAsia="Aptos" w:cs="Aptos"/>
        </w:rPr>
        <w:t xml:space="preserve">Prior to the </w:t>
      </w:r>
      <w:r w:rsidRPr="396ABCA7">
        <w:rPr>
          <w:rFonts w:cs="Calibri"/>
        </w:rPr>
        <w:t>Secure Jobs, Better Pay</w:t>
      </w:r>
      <w:r w:rsidRPr="396ABCA7">
        <w:rPr>
          <w:rFonts w:eastAsia="Aptos" w:cs="Aptos"/>
        </w:rPr>
        <w:t xml:space="preserve"> Act, if an enterprise agreement had passed its nominal expiry date, any party to an enterprise agreement could apply to the Fair Work Commission (FWC) to have it terminated.</w:t>
      </w:r>
      <w:r w:rsidRPr="396ABCA7">
        <w:rPr>
          <w:rStyle w:val="FootnoteReference"/>
          <w:rFonts w:eastAsia="Aptos" w:cs="Aptos"/>
        </w:rPr>
        <w:footnoteReference w:id="860"/>
      </w:r>
      <w:r w:rsidRPr="396ABCA7">
        <w:rPr>
          <w:rFonts w:eastAsia="Aptos" w:cs="Aptos"/>
        </w:rPr>
        <w:t xml:space="preserve"> Under the former s 226 of the Fair Work Act, the FWC was required to consider:</w:t>
      </w:r>
    </w:p>
    <w:p w14:paraId="3CEE5015" w14:textId="77777777" w:rsidR="00924664" w:rsidRPr="00A50F5E" w:rsidRDefault="00924664" w:rsidP="008015F0">
      <w:pPr>
        <w:pStyle w:val="ListBullet"/>
        <w:numPr>
          <w:ilvl w:val="0"/>
          <w:numId w:val="1"/>
        </w:numPr>
        <w:ind w:left="284" w:hanging="284"/>
      </w:pPr>
      <w:r w:rsidRPr="00A50F5E">
        <w:t>whether terminating the agreement would be ‘contrary to the public interest’</w:t>
      </w:r>
      <w:r w:rsidRPr="008015F0">
        <w:rPr>
          <w:rStyle w:val="FootnoteReference"/>
        </w:rPr>
        <w:footnoteReference w:id="861"/>
      </w:r>
    </w:p>
    <w:p w14:paraId="1D82FB64" w14:textId="124599D6" w:rsidR="00924664" w:rsidRPr="004F4F35" w:rsidRDefault="00924664" w:rsidP="008015F0">
      <w:pPr>
        <w:pStyle w:val="ListBullet"/>
        <w:numPr>
          <w:ilvl w:val="0"/>
          <w:numId w:val="1"/>
        </w:numPr>
        <w:ind w:left="284" w:hanging="284"/>
      </w:pPr>
      <w:r w:rsidRPr="00A50F5E">
        <w:t xml:space="preserve">‘the views of the employees, each employer, and each employee organisation (if any) covered by the </w:t>
      </w:r>
      <w:r w:rsidRPr="004F4F35">
        <w:t>agreement’</w:t>
      </w:r>
      <w:r w:rsidR="001170CA">
        <w:rPr>
          <w:rStyle w:val="FootnoteReference"/>
        </w:rPr>
        <w:footnoteReference w:id="862"/>
      </w:r>
    </w:p>
    <w:p w14:paraId="44F2E2ED" w14:textId="77777777" w:rsidR="00924664" w:rsidRPr="00A50F5E" w:rsidRDefault="00924664" w:rsidP="008015F0">
      <w:pPr>
        <w:pStyle w:val="ListBullet"/>
        <w:numPr>
          <w:ilvl w:val="0"/>
          <w:numId w:val="1"/>
        </w:numPr>
        <w:ind w:left="284" w:hanging="284"/>
      </w:pPr>
      <w:r w:rsidRPr="008015F0">
        <w:t>‘the circumstances of those employees, employers and organisations including the likely effect that the termination will have on each of them’</w:t>
      </w:r>
      <w:r w:rsidRPr="00A50F5E">
        <w:t>.</w:t>
      </w:r>
      <w:r w:rsidRPr="008015F0">
        <w:rPr>
          <w:rStyle w:val="FootnoteReference"/>
        </w:rPr>
        <w:footnoteReference w:id="863"/>
      </w:r>
    </w:p>
    <w:p w14:paraId="34F86F65" w14:textId="77777777" w:rsidR="00924664" w:rsidRPr="00167CB8" w:rsidRDefault="00924664" w:rsidP="00924664">
      <w:pPr>
        <w:rPr>
          <w:rFonts w:eastAsia="Aptos" w:cs="Aptos"/>
        </w:rPr>
      </w:pPr>
      <w:r w:rsidRPr="396ABCA7">
        <w:rPr>
          <w:rFonts w:eastAsia="Aptos" w:cs="Aptos"/>
        </w:rPr>
        <w:t>Upon these conditions being met, the FWC was required to terminate the agreement.</w:t>
      </w:r>
    </w:p>
    <w:p w14:paraId="39D6529A" w14:textId="1B562014" w:rsidR="00924664" w:rsidRPr="00167CB8" w:rsidRDefault="00924664" w:rsidP="00924664">
      <w:pPr>
        <w:rPr>
          <w:rFonts w:eastAsia="Aptos" w:cs="Aptos"/>
        </w:rPr>
      </w:pPr>
      <w:r w:rsidRPr="00167CB8">
        <w:rPr>
          <w:rFonts w:eastAsia="Aptos" w:cs="Aptos"/>
        </w:rPr>
        <w:t>The Full Bench of the FWC in</w:t>
      </w:r>
      <w:r w:rsidRPr="00167CB8">
        <w:rPr>
          <w:rFonts w:eastAsia="Aptos" w:cs="Aptos"/>
          <w:i/>
        </w:rPr>
        <w:t xml:space="preserve"> Construction, Forestry, Mining and Energy Union v AGL Loy Yang </w:t>
      </w:r>
      <w:r w:rsidRPr="004F4F35">
        <w:rPr>
          <w:rFonts w:eastAsia="Aptos" w:cs="Aptos"/>
          <w:i/>
        </w:rPr>
        <w:t>Pty Ltd t/a</w:t>
      </w:r>
      <w:r w:rsidR="00A50F5E" w:rsidRPr="004F4F35">
        <w:rPr>
          <w:rFonts w:eastAsia="Aptos" w:cs="Aptos"/>
          <w:i/>
        </w:rPr>
        <w:t>s</w:t>
      </w:r>
      <w:r w:rsidRPr="004F4F35">
        <w:rPr>
          <w:rFonts w:eastAsia="Aptos" w:cs="Aptos"/>
          <w:i/>
        </w:rPr>
        <w:t xml:space="preserve"> AGL Loy Yang</w:t>
      </w:r>
      <w:r w:rsidRPr="004F4F35" w:rsidDel="00A52AD9">
        <w:rPr>
          <w:rFonts w:eastAsia="Aptos" w:cs="Aptos"/>
          <w:i/>
        </w:rPr>
        <w:t xml:space="preserve"> </w:t>
      </w:r>
      <w:r w:rsidRPr="004F4F35" w:rsidDel="00A52AD9">
        <w:rPr>
          <w:rFonts w:eastAsia="Aptos" w:cs="Aptos"/>
        </w:rPr>
        <w:t>(2 March 2017)</w:t>
      </w:r>
      <w:r w:rsidRPr="004F4F35">
        <w:rPr>
          <w:rStyle w:val="FootnoteReference"/>
          <w:rFonts w:eastAsia="Aptos" w:cs="Aptos"/>
        </w:rPr>
        <w:footnoteReference w:id="864"/>
      </w:r>
      <w:r w:rsidRPr="004F4F35">
        <w:rPr>
          <w:rFonts w:eastAsia="Aptos" w:cs="Aptos"/>
        </w:rPr>
        <w:t xml:space="preserve"> (Appeal Decision) considered an appeal against an</w:t>
      </w:r>
      <w:r w:rsidRPr="00167CB8">
        <w:rPr>
          <w:rFonts w:eastAsia="Aptos" w:cs="Aptos"/>
        </w:rPr>
        <w:t xml:space="preserve"> earlier decision of the FWC in </w:t>
      </w:r>
      <w:r w:rsidRPr="00167CB8">
        <w:rPr>
          <w:rFonts w:eastAsia="Aptos" w:cs="Aptos"/>
          <w:i/>
        </w:rPr>
        <w:t xml:space="preserve">AGL Loy Yang Pty Ltd </w:t>
      </w:r>
      <w:r w:rsidRPr="008015F0">
        <w:rPr>
          <w:rFonts w:eastAsia="Aptos" w:cs="Aptos"/>
          <w:i/>
        </w:rPr>
        <w:t>T/A</w:t>
      </w:r>
      <w:r w:rsidRPr="00167CB8">
        <w:rPr>
          <w:rFonts w:eastAsia="Aptos" w:cs="Aptos"/>
          <w:i/>
        </w:rPr>
        <w:t xml:space="preserve"> AGL Loy Yang</w:t>
      </w:r>
      <w:r w:rsidRPr="00167CB8" w:rsidDel="00A52AD9">
        <w:rPr>
          <w:rFonts w:eastAsia="Aptos" w:cs="Aptos"/>
          <w:i/>
        </w:rPr>
        <w:t xml:space="preserve"> </w:t>
      </w:r>
      <w:r w:rsidRPr="00167CB8" w:rsidDel="00A52AD9">
        <w:rPr>
          <w:rFonts w:eastAsia="Aptos" w:cs="Aptos"/>
        </w:rPr>
        <w:t>(12 January 2017)</w:t>
      </w:r>
      <w:r w:rsidRPr="00167CB8">
        <w:rPr>
          <w:rStyle w:val="FootnoteReference"/>
          <w:rFonts w:eastAsia="Aptos" w:cs="Aptos"/>
        </w:rPr>
        <w:footnoteReference w:id="865"/>
      </w:r>
      <w:r w:rsidRPr="00167CB8">
        <w:rPr>
          <w:rFonts w:eastAsia="Aptos" w:cs="Aptos"/>
        </w:rPr>
        <w:t xml:space="preserve"> (Originating Decision) to terminate the relevant enterprise agreement.</w:t>
      </w:r>
    </w:p>
    <w:p w14:paraId="6E2BC0C6" w14:textId="77777777" w:rsidR="00924664" w:rsidRPr="00167CB8" w:rsidRDefault="00924664" w:rsidP="00924664">
      <w:pPr>
        <w:rPr>
          <w:rFonts w:eastAsia="Aptos" w:cs="Aptos"/>
        </w:rPr>
      </w:pPr>
      <w:r w:rsidRPr="396ABCA7">
        <w:rPr>
          <w:rFonts w:eastAsia="Aptos" w:cs="Aptos"/>
        </w:rPr>
        <w:t>Deputy President Clancy, in the Originating Decision, interpreted the requirements under the previous iteration of s 226 of the Fair Work Act in the following way:</w:t>
      </w:r>
      <w:r w:rsidRPr="396ABCA7">
        <w:rPr>
          <w:rStyle w:val="FootnoteReference"/>
        </w:rPr>
        <w:footnoteReference w:id="866"/>
      </w:r>
    </w:p>
    <w:p w14:paraId="1F8F5C2D" w14:textId="77777777" w:rsidR="00924664" w:rsidRPr="00167CB8" w:rsidRDefault="00924664" w:rsidP="00846DC0">
      <w:pPr>
        <w:pStyle w:val="Quote"/>
      </w:pPr>
      <w:r w:rsidRPr="00167CB8">
        <w:t>the Act does not contemplate agreements operating in perpetuity … having regard to s.226 of the Act, I must terminate the Agreement if I am satisfied that it is not contrary to the public interest to do so and consider it appropriate to do taking into account all the circumstances, including the views of the employees, AGL Loy Yang, the CFMEU and the other Unions and their circumstances, including the likely effect the termination will have on each of them.</w:t>
      </w:r>
    </w:p>
    <w:p w14:paraId="59CFE1B8" w14:textId="77777777" w:rsidR="00924664" w:rsidRPr="00167CB8" w:rsidRDefault="00924664" w:rsidP="00924664">
      <w:pPr>
        <w:rPr>
          <w:rFonts w:eastAsia="Aptos" w:cs="Aptos"/>
        </w:rPr>
      </w:pPr>
      <w:r w:rsidRPr="396ABCA7">
        <w:rPr>
          <w:rFonts w:eastAsia="Aptos" w:cs="Aptos"/>
        </w:rPr>
        <w:lastRenderedPageBreak/>
        <w:t>The FWC, in the Originating Decision, found it was not against the public interest to terminate the enterprise agreement for the following reasons:</w:t>
      </w:r>
      <w:r w:rsidRPr="396ABCA7">
        <w:rPr>
          <w:rStyle w:val="FootnoteReference"/>
          <w:rFonts w:eastAsia="Aptos" w:cs="Aptos"/>
        </w:rPr>
        <w:footnoteReference w:id="867"/>
      </w:r>
    </w:p>
    <w:p w14:paraId="1713329A" w14:textId="77777777" w:rsidR="00924664" w:rsidRPr="00A50F5E" w:rsidRDefault="00924664" w:rsidP="008015F0">
      <w:pPr>
        <w:pStyle w:val="ListNumber"/>
        <w:numPr>
          <w:ilvl w:val="0"/>
          <w:numId w:val="57"/>
        </w:numPr>
      </w:pPr>
      <w:r w:rsidRPr="00A50F5E">
        <w:t>While acknowledging that bargaining positions would be altered by the termination of the agreement, bargaining would still be available to the parties and the ability to take protected industrial action.</w:t>
      </w:r>
    </w:p>
    <w:p w14:paraId="568900DB" w14:textId="77777777" w:rsidR="00924664" w:rsidRPr="00A50F5E" w:rsidRDefault="00924664" w:rsidP="00241F6B">
      <w:pPr>
        <w:pStyle w:val="ListNumber"/>
        <w:numPr>
          <w:ilvl w:val="0"/>
          <w:numId w:val="2"/>
        </w:numPr>
        <w:ind w:left="360" w:hanging="360"/>
      </w:pPr>
      <w:r w:rsidRPr="00A50F5E">
        <w:t>The termination would not negatively affect the location.</w:t>
      </w:r>
    </w:p>
    <w:p w14:paraId="60F2B343" w14:textId="77777777" w:rsidR="00924664" w:rsidRPr="00A50F5E" w:rsidRDefault="00924664" w:rsidP="00241F6B">
      <w:pPr>
        <w:pStyle w:val="ListNumber"/>
        <w:numPr>
          <w:ilvl w:val="0"/>
          <w:numId w:val="2"/>
        </w:numPr>
        <w:ind w:left="360" w:hanging="360"/>
      </w:pPr>
      <w:r w:rsidRPr="00A50F5E">
        <w:t>The loss of various industrial standards in the location did not ‘make termination contrary to the public interest’.</w:t>
      </w:r>
    </w:p>
    <w:p w14:paraId="258B96E5" w14:textId="77777777" w:rsidR="0011475D" w:rsidRPr="00A50F5E" w:rsidRDefault="00924664" w:rsidP="00241F6B">
      <w:pPr>
        <w:pStyle w:val="ListNumber"/>
        <w:numPr>
          <w:ilvl w:val="0"/>
          <w:numId w:val="2"/>
        </w:numPr>
        <w:ind w:left="360" w:hanging="360"/>
      </w:pPr>
      <w:r w:rsidRPr="00A50F5E">
        <w:t>There was not enough evidence that safety standards would be reduced by the termination.</w:t>
      </w:r>
    </w:p>
    <w:p w14:paraId="0742C2AA" w14:textId="182185E0" w:rsidR="0011475D" w:rsidRDefault="00924664" w:rsidP="00924664">
      <w:pPr>
        <w:rPr>
          <w:rFonts w:eastAsia="Aptos" w:cs="Aptos"/>
        </w:rPr>
      </w:pPr>
      <w:r w:rsidRPr="396ABCA7">
        <w:rPr>
          <w:rFonts w:eastAsia="Aptos" w:cs="Aptos"/>
        </w:rPr>
        <w:t xml:space="preserve">The Full Bench of the FWC, in the Appeal Decision, rejected </w:t>
      </w:r>
      <w:r w:rsidR="00063D9A">
        <w:rPr>
          <w:rFonts w:eastAsia="Aptos" w:cs="Aptos"/>
        </w:rPr>
        <w:t>seven</w:t>
      </w:r>
      <w:r w:rsidRPr="396ABCA7">
        <w:rPr>
          <w:rFonts w:eastAsia="Aptos" w:cs="Aptos"/>
        </w:rPr>
        <w:t xml:space="preserve"> of the </w:t>
      </w:r>
      <w:r w:rsidR="00063D9A">
        <w:rPr>
          <w:rFonts w:eastAsia="Aptos" w:cs="Aptos"/>
        </w:rPr>
        <w:t xml:space="preserve">nine </w:t>
      </w:r>
      <w:r w:rsidRPr="396ABCA7">
        <w:rPr>
          <w:rFonts w:eastAsia="Aptos" w:cs="Aptos"/>
        </w:rPr>
        <w:t xml:space="preserve">grounds of appeal by the </w:t>
      </w:r>
      <w:r w:rsidR="004F4F35" w:rsidRPr="004F4F35">
        <w:rPr>
          <w:rFonts w:eastAsia="Aptos" w:cs="Aptos"/>
        </w:rPr>
        <w:t xml:space="preserve">Construction, Forestry and Maritime Employees Union </w:t>
      </w:r>
      <w:r w:rsidR="004F4F35">
        <w:rPr>
          <w:rFonts w:eastAsia="Aptos" w:cs="Aptos"/>
        </w:rPr>
        <w:t>(</w:t>
      </w:r>
      <w:r w:rsidRPr="396ABCA7">
        <w:rPr>
          <w:rFonts w:eastAsia="Aptos" w:cs="Aptos"/>
        </w:rPr>
        <w:t>CFMEU</w:t>
      </w:r>
      <w:r w:rsidR="004F4F35">
        <w:rPr>
          <w:rFonts w:eastAsia="Aptos" w:cs="Aptos"/>
        </w:rPr>
        <w:t>)</w:t>
      </w:r>
      <w:r w:rsidRPr="396ABCA7">
        <w:rPr>
          <w:rFonts w:eastAsia="Aptos" w:cs="Aptos"/>
        </w:rPr>
        <w:t xml:space="preserve">, ultimately holding that, while the appeal was upheld on </w:t>
      </w:r>
      <w:r w:rsidR="00A50F5E">
        <w:rPr>
          <w:rFonts w:eastAsia="Aptos" w:cs="Aptos"/>
        </w:rPr>
        <w:t>two</w:t>
      </w:r>
      <w:r w:rsidRPr="396ABCA7">
        <w:rPr>
          <w:rFonts w:eastAsia="Aptos" w:cs="Aptos"/>
        </w:rPr>
        <w:t xml:space="preserve"> grounds, the termination of the agreement by AGL Loy Yang was valid.</w:t>
      </w:r>
      <w:r w:rsidRPr="396ABCA7">
        <w:rPr>
          <w:rStyle w:val="FootnoteReference"/>
          <w:rFonts w:eastAsia="Aptos" w:cs="Aptos"/>
        </w:rPr>
        <w:footnoteReference w:id="868"/>
      </w:r>
    </w:p>
    <w:p w14:paraId="383129E2" w14:textId="4AA3C17D" w:rsidR="00924664" w:rsidRPr="00241F6B" w:rsidRDefault="00924664" w:rsidP="00EC3517">
      <w:pPr>
        <w:pStyle w:val="Heading5"/>
      </w:pPr>
      <w:r w:rsidRPr="00241F6B">
        <w:t xml:space="preserve">20.1.1 </w:t>
      </w:r>
      <w:r w:rsidRPr="00EC3517">
        <w:t xml:space="preserve">Secure Jobs, Better Pay </w:t>
      </w:r>
      <w:r w:rsidRPr="00241F6B">
        <w:t>amendments</w:t>
      </w:r>
    </w:p>
    <w:p w14:paraId="425C0497" w14:textId="77777777" w:rsidR="0011475D" w:rsidRDefault="00924664" w:rsidP="00924664">
      <w:r w:rsidRPr="396ABCA7">
        <w:t>The Secure Jobs, Better Pay Act amended s 226 of the Fair Work Act to change the circumstances in which a single party could seek to terminate an agreement after it has passed its nominal expiry date and provided safeguards to preserve employee conditions.</w:t>
      </w:r>
    </w:p>
    <w:p w14:paraId="6B28FB9C" w14:textId="62A3D62A" w:rsidR="00924664" w:rsidRPr="00167CB8" w:rsidRDefault="00924664" w:rsidP="00924664">
      <w:r w:rsidRPr="396ABCA7">
        <w:t>The amendments changed the test from a focus on consideration of the ‘public interest’ to consideration of ‘fairness’ towards the employees covered by the agreement. Section 226(1)</w:t>
      </w:r>
      <w:r w:rsidRPr="396ABCA7">
        <w:rPr>
          <w:rFonts w:ascii="Symbol" w:eastAsia="Symbol" w:hAnsi="Symbol" w:cs="Symbol"/>
        </w:rPr>
        <w:t>-</w:t>
      </w:r>
      <w:r w:rsidRPr="396ABCA7">
        <w:t>(1A) of the Fair Work Act provides:</w:t>
      </w:r>
    </w:p>
    <w:p w14:paraId="1E49756D" w14:textId="77777777" w:rsidR="00924664" w:rsidRPr="00A50F5E" w:rsidRDefault="00924664" w:rsidP="0021037D">
      <w:pPr>
        <w:pStyle w:val="Quote"/>
      </w:pPr>
      <w:r w:rsidRPr="00167CB8">
        <w:t>(1) </w:t>
      </w:r>
      <w:r w:rsidRPr="00167CB8">
        <w:tab/>
      </w:r>
      <w:r w:rsidRPr="00A50F5E">
        <w:t>If an application for the termination of an enterprise agreement is made under section 225, the FWC must terminate the agreement if:</w:t>
      </w:r>
    </w:p>
    <w:p w14:paraId="032AA3DA" w14:textId="77777777" w:rsidR="00924664" w:rsidRPr="00167CB8" w:rsidRDefault="00924664" w:rsidP="001C1106">
      <w:pPr>
        <w:pStyle w:val="Quote"/>
        <w:ind w:left="2160"/>
      </w:pPr>
      <w:r w:rsidRPr="00167CB8">
        <w:t>(a) </w:t>
      </w:r>
      <w:r w:rsidRPr="00167CB8">
        <w:tab/>
        <w:t>the FWC is satisfied that the continued operation of the agreement would be unfair for the employees covered by the agreement; or</w:t>
      </w:r>
    </w:p>
    <w:p w14:paraId="15DCA017" w14:textId="77777777" w:rsidR="00924664" w:rsidRPr="00167CB8" w:rsidRDefault="00924664" w:rsidP="001C1106">
      <w:pPr>
        <w:pStyle w:val="Quote"/>
        <w:ind w:left="2160"/>
      </w:pPr>
      <w:r w:rsidRPr="00167CB8">
        <w:t>(b) </w:t>
      </w:r>
      <w:r w:rsidRPr="00167CB8">
        <w:tab/>
        <w:t>the FWC is satisfied that the agreement does not, and is not likely to, cover any employees; or</w:t>
      </w:r>
    </w:p>
    <w:p w14:paraId="4BF6472F" w14:textId="322407D8" w:rsidR="00924664" w:rsidRPr="00167CB8" w:rsidRDefault="00924664" w:rsidP="001C1106">
      <w:pPr>
        <w:pStyle w:val="Quote"/>
        <w:ind w:left="2160"/>
      </w:pPr>
      <w:r w:rsidRPr="00167CB8">
        <w:t>(c) </w:t>
      </w:r>
      <w:r w:rsidRPr="00167CB8">
        <w:tab/>
        <w:t>all of the following apply:</w:t>
      </w:r>
    </w:p>
    <w:p w14:paraId="4215A2BA" w14:textId="77777777" w:rsidR="00924664" w:rsidRPr="00167CB8" w:rsidRDefault="00924664" w:rsidP="00936543">
      <w:pPr>
        <w:pStyle w:val="Quote"/>
        <w:ind w:left="2880"/>
      </w:pPr>
      <w:r w:rsidRPr="00167CB8">
        <w:t>(i) </w:t>
      </w:r>
      <w:r w:rsidRPr="00167CB8">
        <w:tab/>
        <w:t>the FWC is satisfied that the continued operation of the enterprise agreement would pose a significant threat to the viability of a business carried on by the employer, or employers, covered by the agreement;</w:t>
      </w:r>
    </w:p>
    <w:p w14:paraId="53108C71" w14:textId="77777777" w:rsidR="00924664" w:rsidRPr="00167CB8" w:rsidRDefault="00924664" w:rsidP="00936543">
      <w:pPr>
        <w:pStyle w:val="Quote"/>
        <w:ind w:left="2880"/>
      </w:pPr>
      <w:r w:rsidRPr="00167CB8">
        <w:t>(ii) </w:t>
      </w:r>
      <w:r w:rsidRPr="00167CB8">
        <w:tab/>
        <w:t xml:space="preserve">the FWC is satisfied that the termination of the enterprise agreement would be likely to reduce the potential of terminations of employment covered by </w:t>
      </w:r>
      <w:r w:rsidRPr="00167CB8">
        <w:lastRenderedPageBreak/>
        <w:t>subsection (2) for the employees covered by the agreement;</w:t>
      </w:r>
    </w:p>
    <w:p w14:paraId="3CE8A0D8" w14:textId="77777777" w:rsidR="00924664" w:rsidRPr="00167CB8" w:rsidRDefault="00924664" w:rsidP="00936543">
      <w:pPr>
        <w:pStyle w:val="Quote"/>
        <w:ind w:left="2880"/>
      </w:pPr>
      <w:r w:rsidRPr="00167CB8">
        <w:t>(iii) </w:t>
      </w:r>
      <w:r w:rsidRPr="00167CB8">
        <w:tab/>
        <w:t>if the agreement contains terms providing entitlements relating to the termination of employees’ employment—each employer covered by the agreement has given the FWC a guarantee of termination entitlements in relation to the termination of the agreement.</w:t>
      </w:r>
    </w:p>
    <w:p w14:paraId="436F577C" w14:textId="77777777" w:rsidR="00924664" w:rsidRPr="00167CB8" w:rsidRDefault="00924664" w:rsidP="0021037D">
      <w:pPr>
        <w:pStyle w:val="Quote"/>
      </w:pPr>
      <w:r w:rsidRPr="00167CB8">
        <w:t>(1A) </w:t>
      </w:r>
      <w:r w:rsidRPr="00167CB8">
        <w:tab/>
        <w:t>However, the FWC must terminate the enterprise agreement under subsection (1) only if the FWC is satisfied that it is appropriate in all the circumstances to do so.</w:t>
      </w:r>
    </w:p>
    <w:p w14:paraId="217C01CC" w14:textId="77777777" w:rsidR="00924664" w:rsidRPr="00167CB8" w:rsidRDefault="00924664" w:rsidP="00924664">
      <w:r w:rsidRPr="00167CB8">
        <w:t>Section 226 of the Fair Work Act retains the requirement for FWC to consider the views of all parties to the agreement.</w:t>
      </w:r>
      <w:r w:rsidRPr="00167CB8">
        <w:rPr>
          <w:rStyle w:val="FootnoteReference"/>
        </w:rPr>
        <w:footnoteReference w:id="869"/>
      </w:r>
      <w:r w:rsidRPr="00167CB8">
        <w:t xml:space="preserve"> However, the Secure Jobs, Better Pay Act added a requirement in s 226(4) of the Fair Work Act for the FWC to consider the impact that terminating an agreement would have on bargaining as follows:</w:t>
      </w:r>
      <w:r w:rsidRPr="00167CB8">
        <w:rPr>
          <w:rStyle w:val="FootnoteReference"/>
        </w:rPr>
        <w:footnoteReference w:id="870"/>
      </w:r>
    </w:p>
    <w:p w14:paraId="2D5DA91B" w14:textId="77777777" w:rsidR="00924664" w:rsidRPr="00167CB8" w:rsidRDefault="00924664" w:rsidP="0021037D">
      <w:pPr>
        <w:pStyle w:val="Quote"/>
      </w:pPr>
      <w:r w:rsidRPr="00167CB8">
        <w:t>(4) </w:t>
      </w:r>
      <w:r w:rsidRPr="00167CB8">
        <w:tab/>
        <w:t>In deciding whether to terminate the agreement (the existing agreement), the FWC must have regard to:</w:t>
      </w:r>
    </w:p>
    <w:p w14:paraId="7D2D3AE9" w14:textId="77777777" w:rsidR="00924664" w:rsidRPr="00167CB8" w:rsidRDefault="00924664" w:rsidP="00810F1C">
      <w:pPr>
        <w:pStyle w:val="Quote"/>
        <w:ind w:left="2160"/>
      </w:pPr>
      <w:r w:rsidRPr="00167CB8">
        <w:t>(a) </w:t>
      </w:r>
      <w:r w:rsidRPr="00167CB8">
        <w:tab/>
        <w:t>whether the application was made at or after the notification time for a proposed enterprise agreement that will cover the same, or substantially the same, group of employees as the existing agreement; and</w:t>
      </w:r>
    </w:p>
    <w:p w14:paraId="4B39EF22" w14:textId="77777777" w:rsidR="00924664" w:rsidRPr="00167CB8" w:rsidRDefault="00924664" w:rsidP="00810F1C">
      <w:pPr>
        <w:pStyle w:val="Quote"/>
        <w:ind w:left="2160"/>
      </w:pPr>
      <w:r w:rsidRPr="00167CB8">
        <w:t>(b) </w:t>
      </w:r>
      <w:r w:rsidRPr="00167CB8">
        <w:tab/>
        <w:t>whether bargaining for the proposed enterprise agreement is occurring; and</w:t>
      </w:r>
    </w:p>
    <w:p w14:paraId="0897DA2D" w14:textId="77777777" w:rsidR="00924664" w:rsidRPr="00167CB8" w:rsidRDefault="00924664" w:rsidP="00810F1C">
      <w:pPr>
        <w:pStyle w:val="Quote"/>
        <w:ind w:left="2160"/>
      </w:pPr>
      <w:r w:rsidRPr="00167CB8">
        <w:t>(c) </w:t>
      </w:r>
      <w:r w:rsidRPr="00167CB8">
        <w:tab/>
        <w:t>whether the termination of the existing agreement would adversely affect the bargaining position of the employees that will be covered by the proposed enterprise agreement.</w:t>
      </w:r>
    </w:p>
    <w:p w14:paraId="44999643" w14:textId="77777777" w:rsidR="00924664" w:rsidRPr="00167CB8" w:rsidRDefault="00924664" w:rsidP="00924664">
      <w:r w:rsidRPr="396ABCA7">
        <w:t>Additionally, the Secure Jobs, Better Pay Act inserted provisions that provide that, where one party opposes the application, the decision must be allocated to the Full Bench of the FWC to determine whether to terminate the agreement.</w:t>
      </w:r>
      <w:r w:rsidRPr="396ABCA7">
        <w:rPr>
          <w:rStyle w:val="FootnoteReference"/>
        </w:rPr>
        <w:footnoteReference w:id="871"/>
      </w:r>
    </w:p>
    <w:p w14:paraId="53265EBB" w14:textId="77777777" w:rsidR="00924664" w:rsidRPr="00167CB8" w:rsidRDefault="00924664" w:rsidP="00924664">
      <w:r w:rsidRPr="00167CB8">
        <w:t>These amendments came into effect on 7 December 2022.</w:t>
      </w:r>
    </w:p>
    <w:p w14:paraId="020D1656" w14:textId="77777777" w:rsidR="00924664" w:rsidRPr="00241F6B" w:rsidRDefault="00924664" w:rsidP="00EC3517">
      <w:pPr>
        <w:pStyle w:val="Heading5"/>
      </w:pPr>
      <w:r w:rsidRPr="00241F6B">
        <w:t xml:space="preserve">20.1.2 Intent of </w:t>
      </w:r>
      <w:r w:rsidRPr="00EC3517">
        <w:t xml:space="preserve">Secure Jobs, Better Pay </w:t>
      </w:r>
      <w:r w:rsidRPr="00241F6B">
        <w:t>amendments</w:t>
      </w:r>
    </w:p>
    <w:p w14:paraId="403D35A1" w14:textId="77777777" w:rsidR="0011475D" w:rsidRDefault="00924664" w:rsidP="00924664">
      <w:r w:rsidRPr="396ABCA7">
        <w:t xml:space="preserve">In the Explanatory Memorandum to the Secure Jobs, Better Pay Bill, the Australian Government asserted that amendments to the process to terminate enterprise agreements were intended to ‘stop the practice of employers applying unilaterally to the FWC for termination of a nominally expired enterprise agreement, where termination would result in reducing employees’ </w:t>
      </w:r>
      <w:r w:rsidRPr="396ABCA7">
        <w:lastRenderedPageBreak/>
        <w:t>entitlements other than in prescribed circumstances. That includes situations where the threat of termination may disrupt bargaining for a new enterprise agreement’.</w:t>
      </w:r>
      <w:r w:rsidRPr="396ABCA7">
        <w:rPr>
          <w:rStyle w:val="FootnoteReference"/>
        </w:rPr>
        <w:footnoteReference w:id="872"/>
      </w:r>
    </w:p>
    <w:p w14:paraId="6ED4AD2C" w14:textId="5F28EDF2" w:rsidR="00924664" w:rsidRPr="00241F6B" w:rsidRDefault="00924664" w:rsidP="00EF5A5A">
      <w:pPr>
        <w:pStyle w:val="Heading4"/>
      </w:pPr>
      <w:bookmarkStart w:id="319" w:name="_Toc189260268"/>
      <w:bookmarkStart w:id="320" w:name="_Toc189393584"/>
      <w:r w:rsidRPr="00241F6B">
        <w:t>20.2 Impact and issues</w:t>
      </w:r>
      <w:bookmarkEnd w:id="319"/>
      <w:bookmarkEnd w:id="320"/>
    </w:p>
    <w:p w14:paraId="70045C47" w14:textId="33AF3CA9" w:rsidR="00924664" w:rsidRPr="00167CB8" w:rsidRDefault="00924664" w:rsidP="00924664">
      <w:pPr>
        <w:rPr>
          <w:color w:val="777778" w:themeColor="accent5"/>
        </w:rPr>
      </w:pPr>
      <w:r w:rsidRPr="00167CB8">
        <w:t>The data relevant to the impact of the amendments comes in three forms: quantitative data from the FWC</w:t>
      </w:r>
      <w:r w:rsidR="00A50F5E">
        <w:t>;</w:t>
      </w:r>
      <w:r w:rsidRPr="00167CB8">
        <w:t xml:space="preserve"> qualitative evidence based on decisions by the FWC; and stakeholder feedback.</w:t>
      </w:r>
    </w:p>
    <w:p w14:paraId="72551430" w14:textId="77777777" w:rsidR="00924664" w:rsidRPr="00241F6B" w:rsidRDefault="00924664" w:rsidP="00EC3517">
      <w:pPr>
        <w:pStyle w:val="Heading5"/>
      </w:pPr>
      <w:r w:rsidRPr="00241F6B">
        <w:t>20.2.1 Quantitative evidence</w:t>
      </w:r>
    </w:p>
    <w:p w14:paraId="44F47424" w14:textId="77777777" w:rsidR="00924664" w:rsidRPr="00167CB8" w:rsidRDefault="00924664" w:rsidP="00241F6B">
      <w:r w:rsidRPr="00167CB8">
        <w:t xml:space="preserve">Two types of quantitative data </w:t>
      </w:r>
      <w:r>
        <w:t xml:space="preserve">are available from the </w:t>
      </w:r>
      <w:r w:rsidRPr="00167CB8">
        <w:t xml:space="preserve">FWC </w:t>
      </w:r>
      <w:r>
        <w:t>in relation to the termination of provisions</w:t>
      </w:r>
      <w:r w:rsidRPr="00167CB8">
        <w:t>.</w:t>
      </w:r>
    </w:p>
    <w:p w14:paraId="6469C025" w14:textId="4C01F002" w:rsidR="0011475D" w:rsidRDefault="00924664" w:rsidP="00241F6B">
      <w:r w:rsidRPr="396ABCA7">
        <w:t xml:space="preserve">The </w:t>
      </w:r>
      <w:r w:rsidRPr="00503744">
        <w:t>first (summarised in Table 1</w:t>
      </w:r>
      <w:r w:rsidR="00EC3517">
        <w:t>8</w:t>
      </w:r>
      <w:r w:rsidRPr="00503744">
        <w:t>) indicates</w:t>
      </w:r>
      <w:r w:rsidRPr="396ABCA7">
        <w:t xml:space="preserve"> that there has been a decline in applications to terminate agreements after their nominal expiry dates. However, this appears to be part of a consistent decline in these applications over the past </w:t>
      </w:r>
      <w:r w:rsidR="00A50F5E">
        <w:t>five</w:t>
      </w:r>
      <w:r w:rsidRPr="396ABCA7">
        <w:t xml:space="preserve"> years.</w:t>
      </w:r>
      <w:r>
        <w:t xml:space="preserve"> Moreover, t</w:t>
      </w:r>
      <w:r w:rsidRPr="396ABCA7">
        <w:t>he data does not differentiate between applications to terminate that relate to bargaining and those that are more straightforward (e.g. to terminate an agreement that no longer covers any employees).</w:t>
      </w:r>
    </w:p>
    <w:p w14:paraId="5AEA0F02" w14:textId="77777777" w:rsidR="0011475D" w:rsidRDefault="00924664" w:rsidP="00241F6B">
      <w:r w:rsidRPr="00167CB8">
        <w:t xml:space="preserve">Therefore, it is not clear that the decline in the number of termination applications can </w:t>
      </w:r>
      <w:r>
        <w:t xml:space="preserve">necessarily </w:t>
      </w:r>
      <w:r w:rsidRPr="00167CB8">
        <w:t>be attributed to the Secure Jobs, Better Pay amendments.</w:t>
      </w:r>
    </w:p>
    <w:p w14:paraId="7D57CDC9" w14:textId="6639B3DD" w:rsidR="00924664" w:rsidRPr="00167CB8" w:rsidRDefault="00EC3517" w:rsidP="007F380D">
      <w:pPr>
        <w:pStyle w:val="Caption"/>
      </w:pPr>
      <w:bookmarkStart w:id="321" w:name="_Toc194251442"/>
      <w:r>
        <w:t xml:space="preserve">Table </w:t>
      </w:r>
      <w:r>
        <w:fldChar w:fldCharType="begin"/>
      </w:r>
      <w:r>
        <w:instrText xml:space="preserve"> SEQ Table \* ARABIC </w:instrText>
      </w:r>
      <w:r>
        <w:fldChar w:fldCharType="separate"/>
      </w:r>
      <w:r w:rsidR="00DE5F5E">
        <w:rPr>
          <w:noProof/>
        </w:rPr>
        <w:t>18</w:t>
      </w:r>
      <w:r>
        <w:fldChar w:fldCharType="end"/>
      </w:r>
      <w:r>
        <w:t xml:space="preserve">: </w:t>
      </w:r>
      <w:r w:rsidR="00924664" w:rsidRPr="00E87636">
        <w:t>Number of applications to terminate an agreement after nominal expiry date</w:t>
      </w:r>
      <w:bookmarkEnd w:id="321"/>
    </w:p>
    <w:tbl>
      <w:tblPr>
        <w:tblStyle w:val="TableGrid"/>
        <w:tblW w:w="0" w:type="auto"/>
        <w:tblLook w:val="04A0" w:firstRow="1" w:lastRow="0" w:firstColumn="1" w:lastColumn="0" w:noHBand="0" w:noVBand="1"/>
      </w:tblPr>
      <w:tblGrid>
        <w:gridCol w:w="2269"/>
        <w:gridCol w:w="1350"/>
        <w:gridCol w:w="1349"/>
        <w:gridCol w:w="1350"/>
        <w:gridCol w:w="1349"/>
        <w:gridCol w:w="1349"/>
      </w:tblGrid>
      <w:tr w:rsidR="00924664" w:rsidRPr="007B6AF7" w14:paraId="00B6EF1E" w14:textId="77777777">
        <w:tc>
          <w:tcPr>
            <w:tcW w:w="2443" w:type="dxa"/>
          </w:tcPr>
          <w:p w14:paraId="2C7E9227" w14:textId="77777777" w:rsidR="00924664" w:rsidRPr="00241F6B" w:rsidRDefault="00924664" w:rsidP="00241F6B">
            <w:pPr>
              <w:rPr>
                <w:b/>
                <w:bCs/>
                <w:sz w:val="20"/>
                <w:szCs w:val="20"/>
              </w:rPr>
            </w:pPr>
            <w:r w:rsidRPr="00241F6B">
              <w:rPr>
                <w:b/>
                <w:bCs/>
                <w:sz w:val="20"/>
                <w:szCs w:val="20"/>
              </w:rPr>
              <w:t>Type of application</w:t>
            </w:r>
          </w:p>
        </w:tc>
        <w:tc>
          <w:tcPr>
            <w:tcW w:w="1382" w:type="dxa"/>
          </w:tcPr>
          <w:p w14:paraId="0EB9BF02" w14:textId="77777777" w:rsidR="00924664" w:rsidRPr="00241F6B" w:rsidRDefault="00924664" w:rsidP="00241F6B">
            <w:pPr>
              <w:jc w:val="right"/>
              <w:rPr>
                <w:sz w:val="20"/>
                <w:szCs w:val="20"/>
              </w:rPr>
            </w:pPr>
            <w:r w:rsidRPr="00241F6B">
              <w:rPr>
                <w:b/>
                <w:bCs/>
                <w:sz w:val="20"/>
                <w:szCs w:val="20"/>
              </w:rPr>
              <w:t>2019</w:t>
            </w:r>
            <w:r w:rsidRPr="00241F6B">
              <w:rPr>
                <w:rFonts w:ascii="Symbol" w:eastAsia="Symbol" w:hAnsi="Symbol" w:cs="Symbol"/>
                <w:b/>
                <w:bCs/>
                <w:sz w:val="20"/>
                <w:szCs w:val="20"/>
              </w:rPr>
              <w:t>-</w:t>
            </w:r>
            <w:r w:rsidRPr="00241F6B">
              <w:rPr>
                <w:b/>
                <w:bCs/>
                <w:sz w:val="20"/>
                <w:szCs w:val="20"/>
              </w:rPr>
              <w:t>20</w:t>
            </w:r>
            <w:r w:rsidRPr="00241F6B">
              <w:rPr>
                <w:rStyle w:val="FootnoteReference"/>
                <w:sz w:val="20"/>
                <w:szCs w:val="20"/>
              </w:rPr>
              <w:footnoteReference w:id="873"/>
            </w:r>
          </w:p>
        </w:tc>
        <w:tc>
          <w:tcPr>
            <w:tcW w:w="1381" w:type="dxa"/>
          </w:tcPr>
          <w:p w14:paraId="06E1653B" w14:textId="77777777" w:rsidR="00924664" w:rsidRPr="00241F6B" w:rsidRDefault="00924664" w:rsidP="00241F6B">
            <w:pPr>
              <w:jc w:val="right"/>
              <w:rPr>
                <w:sz w:val="20"/>
                <w:szCs w:val="20"/>
              </w:rPr>
            </w:pPr>
            <w:r w:rsidRPr="00241F6B">
              <w:rPr>
                <w:b/>
                <w:bCs/>
                <w:sz w:val="20"/>
                <w:szCs w:val="20"/>
              </w:rPr>
              <w:t>2020</w:t>
            </w:r>
            <w:r w:rsidRPr="00241F6B">
              <w:rPr>
                <w:rFonts w:ascii="Symbol" w:eastAsia="Symbol" w:hAnsi="Symbol" w:cs="Symbol"/>
                <w:b/>
                <w:bCs/>
                <w:sz w:val="20"/>
                <w:szCs w:val="20"/>
              </w:rPr>
              <w:t>-</w:t>
            </w:r>
            <w:r w:rsidRPr="00241F6B">
              <w:rPr>
                <w:b/>
                <w:bCs/>
                <w:sz w:val="20"/>
                <w:szCs w:val="20"/>
              </w:rPr>
              <w:t>21</w:t>
            </w:r>
            <w:r w:rsidRPr="00241F6B">
              <w:rPr>
                <w:rStyle w:val="FootnoteReference"/>
                <w:sz w:val="20"/>
                <w:szCs w:val="20"/>
              </w:rPr>
              <w:footnoteReference w:id="874"/>
            </w:r>
          </w:p>
        </w:tc>
        <w:tc>
          <w:tcPr>
            <w:tcW w:w="1382" w:type="dxa"/>
          </w:tcPr>
          <w:p w14:paraId="0FF53013" w14:textId="77777777" w:rsidR="00924664" w:rsidRPr="00241F6B" w:rsidRDefault="00924664" w:rsidP="00241F6B">
            <w:pPr>
              <w:jc w:val="right"/>
              <w:rPr>
                <w:sz w:val="20"/>
                <w:szCs w:val="20"/>
              </w:rPr>
            </w:pPr>
            <w:r w:rsidRPr="00241F6B">
              <w:rPr>
                <w:b/>
                <w:bCs/>
                <w:sz w:val="20"/>
                <w:szCs w:val="20"/>
              </w:rPr>
              <w:t>2021</w:t>
            </w:r>
            <w:r w:rsidRPr="00241F6B">
              <w:rPr>
                <w:rFonts w:ascii="Symbol" w:eastAsia="Symbol" w:hAnsi="Symbol" w:cs="Symbol"/>
                <w:b/>
                <w:bCs/>
                <w:sz w:val="20"/>
                <w:szCs w:val="20"/>
              </w:rPr>
              <w:t>-</w:t>
            </w:r>
            <w:r w:rsidRPr="00241F6B">
              <w:rPr>
                <w:b/>
                <w:bCs/>
                <w:sz w:val="20"/>
                <w:szCs w:val="20"/>
              </w:rPr>
              <w:t>22</w:t>
            </w:r>
            <w:r w:rsidRPr="00241F6B">
              <w:rPr>
                <w:rStyle w:val="FootnoteReference"/>
                <w:sz w:val="20"/>
                <w:szCs w:val="20"/>
              </w:rPr>
              <w:footnoteReference w:id="875"/>
            </w:r>
          </w:p>
        </w:tc>
        <w:tc>
          <w:tcPr>
            <w:tcW w:w="1381" w:type="dxa"/>
          </w:tcPr>
          <w:p w14:paraId="4C41FFC0" w14:textId="77777777" w:rsidR="00924664" w:rsidRPr="00241F6B" w:rsidRDefault="00924664" w:rsidP="00241F6B">
            <w:pPr>
              <w:jc w:val="right"/>
              <w:rPr>
                <w:sz w:val="20"/>
                <w:szCs w:val="20"/>
              </w:rPr>
            </w:pPr>
            <w:r w:rsidRPr="00241F6B">
              <w:rPr>
                <w:b/>
                <w:bCs/>
                <w:sz w:val="20"/>
                <w:szCs w:val="20"/>
              </w:rPr>
              <w:t>2022</w:t>
            </w:r>
            <w:r w:rsidRPr="00241F6B">
              <w:rPr>
                <w:rFonts w:ascii="Symbol" w:eastAsia="Symbol" w:hAnsi="Symbol" w:cs="Symbol"/>
                <w:b/>
                <w:bCs/>
                <w:sz w:val="20"/>
                <w:szCs w:val="20"/>
              </w:rPr>
              <w:t>-</w:t>
            </w:r>
            <w:r w:rsidRPr="00241F6B">
              <w:rPr>
                <w:b/>
                <w:bCs/>
                <w:sz w:val="20"/>
                <w:szCs w:val="20"/>
              </w:rPr>
              <w:t>23</w:t>
            </w:r>
            <w:r w:rsidRPr="00241F6B">
              <w:rPr>
                <w:rStyle w:val="FootnoteReference"/>
                <w:sz w:val="20"/>
                <w:szCs w:val="20"/>
              </w:rPr>
              <w:footnoteReference w:id="876"/>
            </w:r>
          </w:p>
        </w:tc>
        <w:tc>
          <w:tcPr>
            <w:tcW w:w="1381" w:type="dxa"/>
          </w:tcPr>
          <w:p w14:paraId="1AFD4118" w14:textId="77777777" w:rsidR="00924664" w:rsidRPr="00241F6B" w:rsidRDefault="00924664" w:rsidP="00241F6B">
            <w:pPr>
              <w:jc w:val="right"/>
              <w:rPr>
                <w:sz w:val="20"/>
                <w:szCs w:val="20"/>
              </w:rPr>
            </w:pPr>
            <w:r w:rsidRPr="00241F6B">
              <w:rPr>
                <w:b/>
                <w:bCs/>
                <w:sz w:val="20"/>
                <w:szCs w:val="20"/>
              </w:rPr>
              <w:t>2023</w:t>
            </w:r>
            <w:r w:rsidRPr="00241F6B">
              <w:rPr>
                <w:rFonts w:ascii="Symbol" w:eastAsia="Symbol" w:hAnsi="Symbol" w:cs="Symbol"/>
                <w:b/>
                <w:bCs/>
                <w:sz w:val="20"/>
                <w:szCs w:val="20"/>
              </w:rPr>
              <w:t>-</w:t>
            </w:r>
            <w:r w:rsidRPr="00241F6B">
              <w:rPr>
                <w:b/>
                <w:bCs/>
                <w:sz w:val="20"/>
                <w:szCs w:val="20"/>
              </w:rPr>
              <w:t>24</w:t>
            </w:r>
            <w:r w:rsidRPr="00241F6B">
              <w:rPr>
                <w:rStyle w:val="FootnoteReference"/>
                <w:sz w:val="20"/>
                <w:szCs w:val="20"/>
              </w:rPr>
              <w:footnoteReference w:id="877"/>
            </w:r>
          </w:p>
        </w:tc>
      </w:tr>
      <w:tr w:rsidR="00924664" w:rsidRPr="007B6AF7" w14:paraId="75195873" w14:textId="77777777">
        <w:tc>
          <w:tcPr>
            <w:tcW w:w="2443" w:type="dxa"/>
          </w:tcPr>
          <w:p w14:paraId="05000AA0" w14:textId="77777777" w:rsidR="00924664" w:rsidRPr="004D575D" w:rsidRDefault="00924664" w:rsidP="00241F6B">
            <w:pPr>
              <w:rPr>
                <w:sz w:val="20"/>
                <w:szCs w:val="20"/>
              </w:rPr>
            </w:pPr>
            <w:r w:rsidRPr="004D575D">
              <w:rPr>
                <w:sz w:val="20"/>
                <w:szCs w:val="20"/>
              </w:rPr>
              <w:t>s 225 – Application for termination of an enterprise agreement after its nominal expiry date</w:t>
            </w:r>
          </w:p>
        </w:tc>
        <w:tc>
          <w:tcPr>
            <w:tcW w:w="1382" w:type="dxa"/>
            <w:vAlign w:val="center"/>
          </w:tcPr>
          <w:p w14:paraId="6DA43C7E" w14:textId="77777777" w:rsidR="00924664" w:rsidRPr="004D575D" w:rsidRDefault="00924664" w:rsidP="00241F6B">
            <w:pPr>
              <w:jc w:val="right"/>
              <w:rPr>
                <w:sz w:val="20"/>
                <w:szCs w:val="20"/>
              </w:rPr>
            </w:pPr>
            <w:r w:rsidRPr="004D575D">
              <w:rPr>
                <w:sz w:val="20"/>
                <w:szCs w:val="20"/>
              </w:rPr>
              <w:t>323</w:t>
            </w:r>
          </w:p>
        </w:tc>
        <w:tc>
          <w:tcPr>
            <w:tcW w:w="1381" w:type="dxa"/>
            <w:vAlign w:val="center"/>
          </w:tcPr>
          <w:p w14:paraId="50B1A517" w14:textId="77777777" w:rsidR="00924664" w:rsidRPr="004D575D" w:rsidRDefault="00924664" w:rsidP="00241F6B">
            <w:pPr>
              <w:jc w:val="right"/>
              <w:rPr>
                <w:sz w:val="20"/>
                <w:szCs w:val="20"/>
              </w:rPr>
            </w:pPr>
            <w:r w:rsidRPr="004D575D">
              <w:rPr>
                <w:sz w:val="20"/>
                <w:szCs w:val="20"/>
              </w:rPr>
              <w:t>270</w:t>
            </w:r>
          </w:p>
        </w:tc>
        <w:tc>
          <w:tcPr>
            <w:tcW w:w="1382" w:type="dxa"/>
            <w:vAlign w:val="center"/>
          </w:tcPr>
          <w:p w14:paraId="4A1752EC" w14:textId="77777777" w:rsidR="00924664" w:rsidRPr="004D575D" w:rsidRDefault="00924664" w:rsidP="00241F6B">
            <w:pPr>
              <w:jc w:val="right"/>
              <w:rPr>
                <w:sz w:val="20"/>
                <w:szCs w:val="20"/>
              </w:rPr>
            </w:pPr>
            <w:r w:rsidRPr="004D575D">
              <w:rPr>
                <w:sz w:val="20"/>
                <w:szCs w:val="20"/>
              </w:rPr>
              <w:t>236</w:t>
            </w:r>
          </w:p>
        </w:tc>
        <w:tc>
          <w:tcPr>
            <w:tcW w:w="1381" w:type="dxa"/>
            <w:vAlign w:val="center"/>
          </w:tcPr>
          <w:p w14:paraId="7BD51354" w14:textId="77777777" w:rsidR="00924664" w:rsidRPr="004D575D" w:rsidRDefault="00924664" w:rsidP="00241F6B">
            <w:pPr>
              <w:jc w:val="right"/>
              <w:rPr>
                <w:sz w:val="20"/>
                <w:szCs w:val="20"/>
              </w:rPr>
            </w:pPr>
            <w:r w:rsidRPr="004D575D">
              <w:rPr>
                <w:sz w:val="20"/>
                <w:szCs w:val="20"/>
              </w:rPr>
              <w:t>195</w:t>
            </w:r>
          </w:p>
        </w:tc>
        <w:tc>
          <w:tcPr>
            <w:tcW w:w="1381" w:type="dxa"/>
            <w:vAlign w:val="center"/>
          </w:tcPr>
          <w:p w14:paraId="3853776D" w14:textId="77777777" w:rsidR="00924664" w:rsidRPr="004D575D" w:rsidRDefault="00924664" w:rsidP="00241F6B">
            <w:pPr>
              <w:jc w:val="right"/>
              <w:rPr>
                <w:sz w:val="20"/>
                <w:szCs w:val="20"/>
              </w:rPr>
            </w:pPr>
            <w:r w:rsidRPr="004D575D">
              <w:rPr>
                <w:sz w:val="20"/>
                <w:szCs w:val="20"/>
              </w:rPr>
              <w:t>136</w:t>
            </w:r>
          </w:p>
        </w:tc>
      </w:tr>
    </w:tbl>
    <w:p w14:paraId="68633B65" w14:textId="2456413D" w:rsidR="00924664" w:rsidRPr="00167CB8" w:rsidRDefault="00924664" w:rsidP="00924664">
      <w:pPr>
        <w:pStyle w:val="Source"/>
      </w:pPr>
      <w:r w:rsidRPr="00167CB8">
        <w:rPr>
          <w:b/>
          <w:bCs/>
        </w:rPr>
        <w:t>Source:</w:t>
      </w:r>
      <w:r w:rsidRPr="00167CB8">
        <w:t xml:space="preserve"> </w:t>
      </w:r>
      <w:r w:rsidR="00EC3517">
        <w:t xml:space="preserve">Fair Work Commission </w:t>
      </w:r>
      <w:r>
        <w:t>annual reports</w:t>
      </w:r>
      <w:r w:rsidRPr="00167CB8">
        <w:t>.</w:t>
      </w:r>
    </w:p>
    <w:p w14:paraId="4614F6EE" w14:textId="665043F9" w:rsidR="0011475D" w:rsidRDefault="00924664" w:rsidP="00924664">
      <w:r w:rsidRPr="396ABCA7">
        <w:t xml:space="preserve">Second, the FWC has considered a number of applications to terminate an enterprise </w:t>
      </w:r>
      <w:r w:rsidRPr="00503744">
        <w:t>agreement after their nominal expiry date under the new provisions. In particular, as listed in Table 1</w:t>
      </w:r>
      <w:r w:rsidR="00EC3517">
        <w:t>9</w:t>
      </w:r>
      <w:r w:rsidRPr="00503744">
        <w:t>, the</w:t>
      </w:r>
      <w:r w:rsidRPr="00220CEB">
        <w:t xml:space="preserve"> FWC has </w:t>
      </w:r>
      <w:r>
        <w:t>s</w:t>
      </w:r>
      <w:r w:rsidRPr="00220CEB">
        <w:t>ince 7 December 2022</w:t>
      </w:r>
      <w:r>
        <w:t xml:space="preserve"> </w:t>
      </w:r>
      <w:r w:rsidRPr="00220CEB">
        <w:t xml:space="preserve">issued </w:t>
      </w:r>
      <w:r w:rsidR="00A50F5E">
        <w:t>eight</w:t>
      </w:r>
      <w:r w:rsidRPr="00220CEB">
        <w:t xml:space="preserve"> Full Bench decisions relating to contested applications to terminate an enterprise agreement after its nominal expiry date (as at 21 February 2025). Of these </w:t>
      </w:r>
      <w:r>
        <w:t>eight</w:t>
      </w:r>
      <w:r w:rsidRPr="00220CEB">
        <w:t xml:space="preserve"> decisions, </w:t>
      </w:r>
      <w:r>
        <w:t>three</w:t>
      </w:r>
      <w:r w:rsidRPr="00220CEB">
        <w:t xml:space="preserve"> related to applications made by an employer.</w:t>
      </w:r>
      <w:r w:rsidRPr="396ABCA7">
        <w:t xml:space="preserve"> </w:t>
      </w:r>
      <w:r>
        <w:t>In four of the eight matters, the objection was withdrawn before the matter was determined.</w:t>
      </w:r>
    </w:p>
    <w:p w14:paraId="5D9E5EDD" w14:textId="604EB224" w:rsidR="00924664" w:rsidRDefault="00924664" w:rsidP="00924664">
      <w:pPr>
        <w:spacing w:after="160"/>
        <w:rPr>
          <w:rFonts w:cs="Calibri"/>
          <w:b/>
          <w:bCs/>
          <w:lang w:val="en-US"/>
        </w:rPr>
      </w:pPr>
      <w:r>
        <w:br w:type="page"/>
      </w:r>
    </w:p>
    <w:p w14:paraId="1FAA2F5C" w14:textId="6C005B84" w:rsidR="00924664" w:rsidRPr="00167CB8" w:rsidRDefault="00EC3517" w:rsidP="007F380D">
      <w:pPr>
        <w:pStyle w:val="Caption"/>
      </w:pPr>
      <w:bookmarkStart w:id="322" w:name="_Toc194251443"/>
      <w:r>
        <w:lastRenderedPageBreak/>
        <w:t xml:space="preserve">Table </w:t>
      </w:r>
      <w:r>
        <w:fldChar w:fldCharType="begin"/>
      </w:r>
      <w:r>
        <w:instrText xml:space="preserve"> SEQ Table \* ARABIC </w:instrText>
      </w:r>
      <w:r>
        <w:fldChar w:fldCharType="separate"/>
      </w:r>
      <w:r w:rsidR="00DE5F5E">
        <w:rPr>
          <w:noProof/>
        </w:rPr>
        <w:t>19</w:t>
      </w:r>
      <w:r>
        <w:fldChar w:fldCharType="end"/>
      </w:r>
      <w:r>
        <w:t xml:space="preserve">: </w:t>
      </w:r>
      <w:r w:rsidR="00924664" w:rsidRPr="00100309">
        <w:t>Contested applications to terminate an enterprise agreement after its nominal expiry date</w:t>
      </w:r>
      <w:bookmarkEnd w:id="322"/>
    </w:p>
    <w:tbl>
      <w:tblPr>
        <w:tblStyle w:val="TableGrid"/>
        <w:tblW w:w="0" w:type="auto"/>
        <w:tblLook w:val="04A0" w:firstRow="1" w:lastRow="0" w:firstColumn="1" w:lastColumn="0" w:noHBand="0" w:noVBand="1"/>
      </w:tblPr>
      <w:tblGrid>
        <w:gridCol w:w="4106"/>
        <w:gridCol w:w="2396"/>
        <w:gridCol w:w="2514"/>
      </w:tblGrid>
      <w:tr w:rsidR="00924664" w:rsidRPr="00167CB8" w14:paraId="34D745D8" w14:textId="77777777">
        <w:tc>
          <w:tcPr>
            <w:tcW w:w="4106" w:type="dxa"/>
          </w:tcPr>
          <w:p w14:paraId="5EE7A58D" w14:textId="77777777" w:rsidR="00924664" w:rsidRPr="00241F6B" w:rsidRDefault="00924664">
            <w:pPr>
              <w:spacing w:line="259" w:lineRule="auto"/>
              <w:rPr>
                <w:b/>
                <w:bCs/>
                <w:sz w:val="20"/>
                <w:szCs w:val="20"/>
              </w:rPr>
            </w:pPr>
            <w:r w:rsidRPr="00241F6B">
              <w:rPr>
                <w:b/>
                <w:bCs/>
                <w:sz w:val="20"/>
                <w:szCs w:val="20"/>
              </w:rPr>
              <w:t>Matter title</w:t>
            </w:r>
          </w:p>
        </w:tc>
        <w:tc>
          <w:tcPr>
            <w:tcW w:w="2396" w:type="dxa"/>
          </w:tcPr>
          <w:p w14:paraId="77C6F6D9" w14:textId="77777777" w:rsidR="00924664" w:rsidRPr="00241F6B" w:rsidRDefault="00924664">
            <w:pPr>
              <w:spacing w:line="259" w:lineRule="auto"/>
              <w:rPr>
                <w:b/>
                <w:bCs/>
                <w:sz w:val="20"/>
                <w:szCs w:val="20"/>
              </w:rPr>
            </w:pPr>
            <w:r w:rsidRPr="00241F6B">
              <w:rPr>
                <w:b/>
                <w:bCs/>
                <w:sz w:val="20"/>
                <w:szCs w:val="20"/>
              </w:rPr>
              <w:t>Decision issued</w:t>
            </w:r>
          </w:p>
        </w:tc>
        <w:tc>
          <w:tcPr>
            <w:tcW w:w="0" w:type="auto"/>
          </w:tcPr>
          <w:p w14:paraId="26F8E0DD" w14:textId="77777777" w:rsidR="00924664" w:rsidRPr="00241F6B" w:rsidRDefault="00924664">
            <w:pPr>
              <w:spacing w:line="259" w:lineRule="auto"/>
              <w:rPr>
                <w:b/>
                <w:bCs/>
                <w:sz w:val="20"/>
                <w:szCs w:val="20"/>
              </w:rPr>
            </w:pPr>
            <w:r w:rsidRPr="00241F6B">
              <w:rPr>
                <w:b/>
                <w:bCs/>
                <w:sz w:val="20"/>
                <w:szCs w:val="20"/>
              </w:rPr>
              <w:t>Outcome</w:t>
            </w:r>
          </w:p>
        </w:tc>
      </w:tr>
      <w:tr w:rsidR="00924664" w:rsidRPr="00167CB8" w14:paraId="2B4ADACA" w14:textId="77777777">
        <w:tc>
          <w:tcPr>
            <w:tcW w:w="4106" w:type="dxa"/>
          </w:tcPr>
          <w:p w14:paraId="419F34DA" w14:textId="77777777" w:rsidR="00924664" w:rsidRPr="004D575D" w:rsidRDefault="00924664">
            <w:pPr>
              <w:spacing w:line="259" w:lineRule="auto"/>
              <w:rPr>
                <w:sz w:val="20"/>
                <w:szCs w:val="20"/>
              </w:rPr>
            </w:pPr>
            <w:r w:rsidRPr="004D575D">
              <w:rPr>
                <w:i/>
                <w:iCs/>
                <w:sz w:val="20"/>
                <w:szCs w:val="20"/>
              </w:rPr>
              <w:t>Application by Employee X</w:t>
            </w:r>
            <w:r w:rsidRPr="004D575D">
              <w:rPr>
                <w:sz w:val="20"/>
                <w:szCs w:val="20"/>
              </w:rPr>
              <w:t xml:space="preserve"> [2023] FWCFB 155</w:t>
            </w:r>
          </w:p>
        </w:tc>
        <w:tc>
          <w:tcPr>
            <w:tcW w:w="2396" w:type="dxa"/>
          </w:tcPr>
          <w:p w14:paraId="13BB70AE" w14:textId="77777777" w:rsidR="00924664" w:rsidRPr="004D575D" w:rsidRDefault="00924664">
            <w:pPr>
              <w:spacing w:line="259" w:lineRule="auto"/>
              <w:rPr>
                <w:sz w:val="20"/>
                <w:szCs w:val="20"/>
              </w:rPr>
            </w:pPr>
            <w:r w:rsidRPr="004D575D">
              <w:rPr>
                <w:sz w:val="20"/>
                <w:szCs w:val="20"/>
              </w:rPr>
              <w:t>6 September 2023</w:t>
            </w:r>
          </w:p>
        </w:tc>
        <w:tc>
          <w:tcPr>
            <w:tcW w:w="0" w:type="auto"/>
          </w:tcPr>
          <w:p w14:paraId="18DE82C1" w14:textId="77777777" w:rsidR="00924664" w:rsidRPr="004D575D" w:rsidRDefault="00924664">
            <w:pPr>
              <w:spacing w:line="259" w:lineRule="auto"/>
              <w:rPr>
                <w:sz w:val="20"/>
                <w:szCs w:val="20"/>
              </w:rPr>
            </w:pPr>
            <w:r w:rsidRPr="004D575D">
              <w:rPr>
                <w:sz w:val="20"/>
                <w:szCs w:val="20"/>
              </w:rPr>
              <w:t>Agreement terminated Objection withdrawn</w:t>
            </w:r>
          </w:p>
        </w:tc>
      </w:tr>
      <w:tr w:rsidR="00924664" w:rsidRPr="00167CB8" w14:paraId="266C09C0" w14:textId="77777777">
        <w:tc>
          <w:tcPr>
            <w:tcW w:w="4106" w:type="dxa"/>
          </w:tcPr>
          <w:p w14:paraId="71B84575" w14:textId="77777777" w:rsidR="00924664" w:rsidRPr="004D575D" w:rsidRDefault="00924664">
            <w:pPr>
              <w:spacing w:line="259" w:lineRule="auto"/>
              <w:rPr>
                <w:sz w:val="20"/>
                <w:szCs w:val="20"/>
              </w:rPr>
            </w:pPr>
            <w:r w:rsidRPr="004D575D">
              <w:rPr>
                <w:i/>
                <w:iCs/>
                <w:sz w:val="20"/>
                <w:szCs w:val="20"/>
              </w:rPr>
              <w:t>Application by Patrick Flynn</w:t>
            </w:r>
            <w:r w:rsidRPr="004D575D">
              <w:rPr>
                <w:sz w:val="20"/>
                <w:szCs w:val="20"/>
              </w:rPr>
              <w:t xml:space="preserve"> [2023] FWCFB 178</w:t>
            </w:r>
          </w:p>
        </w:tc>
        <w:tc>
          <w:tcPr>
            <w:tcW w:w="2396" w:type="dxa"/>
          </w:tcPr>
          <w:p w14:paraId="454D7DAF" w14:textId="77777777" w:rsidR="00924664" w:rsidRPr="004D575D" w:rsidRDefault="00924664">
            <w:pPr>
              <w:spacing w:line="259" w:lineRule="auto"/>
              <w:rPr>
                <w:sz w:val="20"/>
                <w:szCs w:val="20"/>
              </w:rPr>
            </w:pPr>
            <w:r w:rsidRPr="004D575D">
              <w:rPr>
                <w:sz w:val="20"/>
                <w:szCs w:val="20"/>
              </w:rPr>
              <w:t>11 October 2023</w:t>
            </w:r>
          </w:p>
        </w:tc>
        <w:tc>
          <w:tcPr>
            <w:tcW w:w="0" w:type="auto"/>
          </w:tcPr>
          <w:p w14:paraId="48DB76DE" w14:textId="77777777" w:rsidR="00924664" w:rsidRPr="004D575D" w:rsidRDefault="00924664">
            <w:pPr>
              <w:spacing w:line="259" w:lineRule="auto"/>
              <w:rPr>
                <w:sz w:val="20"/>
                <w:szCs w:val="20"/>
              </w:rPr>
            </w:pPr>
            <w:r w:rsidRPr="004D575D">
              <w:rPr>
                <w:sz w:val="20"/>
                <w:szCs w:val="20"/>
              </w:rPr>
              <w:t>Agreement terminated Opposition was withdrawn</w:t>
            </w:r>
          </w:p>
        </w:tc>
      </w:tr>
      <w:tr w:rsidR="00924664" w:rsidRPr="00167CB8" w14:paraId="0C68A410" w14:textId="77777777">
        <w:tc>
          <w:tcPr>
            <w:tcW w:w="4106" w:type="dxa"/>
          </w:tcPr>
          <w:p w14:paraId="19BEE232" w14:textId="77777777" w:rsidR="00924664" w:rsidRPr="004D575D" w:rsidRDefault="00924664">
            <w:pPr>
              <w:spacing w:line="259" w:lineRule="auto"/>
              <w:rPr>
                <w:sz w:val="20"/>
                <w:szCs w:val="20"/>
              </w:rPr>
            </w:pPr>
            <w:r w:rsidRPr="004D575D">
              <w:rPr>
                <w:i/>
                <w:iCs/>
                <w:sz w:val="20"/>
                <w:szCs w:val="20"/>
              </w:rPr>
              <w:t>Application by Milla Olivia Banks</w:t>
            </w:r>
            <w:r w:rsidRPr="004D575D">
              <w:rPr>
                <w:sz w:val="20"/>
                <w:szCs w:val="20"/>
              </w:rPr>
              <w:t xml:space="preserve"> [2023] FWCA 4141</w:t>
            </w:r>
          </w:p>
        </w:tc>
        <w:tc>
          <w:tcPr>
            <w:tcW w:w="2396" w:type="dxa"/>
          </w:tcPr>
          <w:p w14:paraId="4AF84AAA" w14:textId="77777777" w:rsidR="00924664" w:rsidRPr="004D575D" w:rsidRDefault="00924664">
            <w:pPr>
              <w:spacing w:line="259" w:lineRule="auto"/>
              <w:rPr>
                <w:sz w:val="20"/>
                <w:szCs w:val="20"/>
              </w:rPr>
            </w:pPr>
            <w:r w:rsidRPr="004D575D">
              <w:rPr>
                <w:sz w:val="20"/>
                <w:szCs w:val="20"/>
              </w:rPr>
              <w:t>7 December 2023</w:t>
            </w:r>
          </w:p>
        </w:tc>
        <w:tc>
          <w:tcPr>
            <w:tcW w:w="0" w:type="auto"/>
          </w:tcPr>
          <w:p w14:paraId="325545EF" w14:textId="77777777" w:rsidR="00924664" w:rsidRPr="004D575D" w:rsidRDefault="00924664">
            <w:pPr>
              <w:spacing w:line="259" w:lineRule="auto"/>
              <w:rPr>
                <w:sz w:val="20"/>
                <w:szCs w:val="20"/>
              </w:rPr>
            </w:pPr>
            <w:r w:rsidRPr="004D575D">
              <w:rPr>
                <w:sz w:val="20"/>
                <w:szCs w:val="20"/>
              </w:rPr>
              <w:t>Agreement terminated</w:t>
            </w:r>
          </w:p>
        </w:tc>
      </w:tr>
      <w:tr w:rsidR="00924664" w:rsidRPr="00167CB8" w14:paraId="77ADE940" w14:textId="77777777">
        <w:tc>
          <w:tcPr>
            <w:tcW w:w="4106" w:type="dxa"/>
          </w:tcPr>
          <w:p w14:paraId="256AC32B" w14:textId="77777777" w:rsidR="00924664" w:rsidRPr="004D575D" w:rsidRDefault="00924664">
            <w:pPr>
              <w:spacing w:line="259" w:lineRule="auto"/>
              <w:rPr>
                <w:sz w:val="20"/>
                <w:szCs w:val="20"/>
              </w:rPr>
            </w:pPr>
            <w:r w:rsidRPr="004D575D">
              <w:rPr>
                <w:i/>
                <w:iCs/>
                <w:sz w:val="20"/>
                <w:szCs w:val="20"/>
              </w:rPr>
              <w:t>Application by Forest Coach Lines Pty Ltd</w:t>
            </w:r>
            <w:r w:rsidRPr="004D575D">
              <w:rPr>
                <w:sz w:val="20"/>
                <w:szCs w:val="20"/>
              </w:rPr>
              <w:t xml:space="preserve"> [2023] FWCA 4472</w:t>
            </w:r>
          </w:p>
        </w:tc>
        <w:tc>
          <w:tcPr>
            <w:tcW w:w="2396" w:type="dxa"/>
          </w:tcPr>
          <w:p w14:paraId="0BCE1BCC" w14:textId="77777777" w:rsidR="00924664" w:rsidRPr="004D575D" w:rsidRDefault="00924664">
            <w:pPr>
              <w:spacing w:line="259" w:lineRule="auto"/>
              <w:rPr>
                <w:sz w:val="20"/>
                <w:szCs w:val="20"/>
              </w:rPr>
            </w:pPr>
            <w:r w:rsidRPr="004D575D">
              <w:rPr>
                <w:sz w:val="20"/>
                <w:szCs w:val="20"/>
              </w:rPr>
              <w:t>22 December 2023</w:t>
            </w:r>
          </w:p>
        </w:tc>
        <w:tc>
          <w:tcPr>
            <w:tcW w:w="0" w:type="auto"/>
          </w:tcPr>
          <w:p w14:paraId="7D0D060C" w14:textId="77777777" w:rsidR="00924664" w:rsidRPr="004D575D" w:rsidRDefault="00924664">
            <w:pPr>
              <w:spacing w:line="259" w:lineRule="auto"/>
              <w:rPr>
                <w:sz w:val="20"/>
                <w:szCs w:val="20"/>
              </w:rPr>
            </w:pPr>
            <w:r w:rsidRPr="004D575D">
              <w:rPr>
                <w:sz w:val="20"/>
                <w:szCs w:val="20"/>
              </w:rPr>
              <w:t>Agreement terminated Note that objection was withdrawn by TWU</w:t>
            </w:r>
          </w:p>
        </w:tc>
      </w:tr>
      <w:tr w:rsidR="00924664" w:rsidRPr="00167CB8" w14:paraId="6251E210" w14:textId="77777777">
        <w:tc>
          <w:tcPr>
            <w:tcW w:w="4106" w:type="dxa"/>
          </w:tcPr>
          <w:p w14:paraId="65DA35DB" w14:textId="77777777" w:rsidR="00924664" w:rsidRPr="004D575D" w:rsidRDefault="00924664">
            <w:pPr>
              <w:spacing w:line="259" w:lineRule="auto"/>
              <w:rPr>
                <w:sz w:val="20"/>
                <w:szCs w:val="20"/>
              </w:rPr>
            </w:pPr>
            <w:r w:rsidRPr="004D575D">
              <w:rPr>
                <w:i/>
                <w:iCs/>
                <w:sz w:val="20"/>
                <w:szCs w:val="20"/>
              </w:rPr>
              <w:t>Application by Mr Paul Hensman</w:t>
            </w:r>
            <w:r w:rsidRPr="004D575D">
              <w:rPr>
                <w:sz w:val="20"/>
                <w:szCs w:val="20"/>
              </w:rPr>
              <w:t xml:space="preserve"> [2024] FWCFB 32</w:t>
            </w:r>
          </w:p>
        </w:tc>
        <w:tc>
          <w:tcPr>
            <w:tcW w:w="2396" w:type="dxa"/>
          </w:tcPr>
          <w:p w14:paraId="7F510B44" w14:textId="77777777" w:rsidR="00924664" w:rsidRPr="004D575D" w:rsidRDefault="00924664">
            <w:pPr>
              <w:spacing w:line="259" w:lineRule="auto"/>
              <w:rPr>
                <w:sz w:val="20"/>
                <w:szCs w:val="20"/>
              </w:rPr>
            </w:pPr>
            <w:r w:rsidRPr="004D575D">
              <w:rPr>
                <w:sz w:val="20"/>
                <w:szCs w:val="20"/>
              </w:rPr>
              <w:t>1 February 2024</w:t>
            </w:r>
          </w:p>
        </w:tc>
        <w:tc>
          <w:tcPr>
            <w:tcW w:w="0" w:type="auto"/>
          </w:tcPr>
          <w:p w14:paraId="632A2171" w14:textId="77777777" w:rsidR="00924664" w:rsidRPr="004D575D" w:rsidRDefault="00924664">
            <w:pPr>
              <w:spacing w:line="259" w:lineRule="auto"/>
              <w:rPr>
                <w:sz w:val="20"/>
                <w:szCs w:val="20"/>
              </w:rPr>
            </w:pPr>
            <w:r w:rsidRPr="004D575D">
              <w:rPr>
                <w:sz w:val="20"/>
                <w:szCs w:val="20"/>
              </w:rPr>
              <w:t>Agreement terminated</w:t>
            </w:r>
          </w:p>
        </w:tc>
      </w:tr>
      <w:tr w:rsidR="00924664" w:rsidRPr="00167CB8" w14:paraId="1674CC87" w14:textId="77777777">
        <w:tc>
          <w:tcPr>
            <w:tcW w:w="4106" w:type="dxa"/>
          </w:tcPr>
          <w:p w14:paraId="7A5A5CDF" w14:textId="77777777" w:rsidR="00924664" w:rsidRPr="004D575D" w:rsidRDefault="00924664">
            <w:pPr>
              <w:spacing w:line="259" w:lineRule="auto"/>
              <w:rPr>
                <w:sz w:val="20"/>
                <w:szCs w:val="20"/>
              </w:rPr>
            </w:pPr>
            <w:r w:rsidRPr="004D575D">
              <w:rPr>
                <w:i/>
                <w:iCs/>
                <w:sz w:val="20"/>
                <w:szCs w:val="20"/>
              </w:rPr>
              <w:t>Application by Laria Barnett</w:t>
            </w:r>
            <w:r w:rsidRPr="004D575D">
              <w:rPr>
                <w:sz w:val="20"/>
                <w:szCs w:val="20"/>
              </w:rPr>
              <w:t xml:space="preserve"> [2024] FWCFB 132</w:t>
            </w:r>
          </w:p>
        </w:tc>
        <w:tc>
          <w:tcPr>
            <w:tcW w:w="2396" w:type="dxa"/>
          </w:tcPr>
          <w:p w14:paraId="77A9C7C7" w14:textId="77777777" w:rsidR="00924664" w:rsidRPr="004D575D" w:rsidRDefault="00924664">
            <w:pPr>
              <w:spacing w:line="259" w:lineRule="auto"/>
              <w:rPr>
                <w:sz w:val="20"/>
                <w:szCs w:val="20"/>
              </w:rPr>
            </w:pPr>
            <w:r w:rsidRPr="004D575D">
              <w:rPr>
                <w:sz w:val="20"/>
                <w:szCs w:val="20"/>
              </w:rPr>
              <w:t>13 March 2024</w:t>
            </w:r>
          </w:p>
        </w:tc>
        <w:tc>
          <w:tcPr>
            <w:tcW w:w="0" w:type="auto"/>
          </w:tcPr>
          <w:p w14:paraId="4762055E" w14:textId="77777777" w:rsidR="00924664" w:rsidRPr="004D575D" w:rsidRDefault="00924664">
            <w:pPr>
              <w:spacing w:line="259" w:lineRule="auto"/>
              <w:rPr>
                <w:sz w:val="20"/>
                <w:szCs w:val="20"/>
              </w:rPr>
            </w:pPr>
            <w:r w:rsidRPr="004D575D">
              <w:rPr>
                <w:sz w:val="20"/>
                <w:szCs w:val="20"/>
              </w:rPr>
              <w:t>Agreement terminated Opposition withdrawn</w:t>
            </w:r>
          </w:p>
        </w:tc>
      </w:tr>
      <w:tr w:rsidR="00924664" w:rsidRPr="00167CB8" w14:paraId="422D3739" w14:textId="77777777">
        <w:trPr>
          <w:trHeight w:val="70"/>
        </w:trPr>
        <w:tc>
          <w:tcPr>
            <w:tcW w:w="4106" w:type="dxa"/>
          </w:tcPr>
          <w:p w14:paraId="19D727AB" w14:textId="77777777" w:rsidR="00924664" w:rsidRPr="004D575D" w:rsidRDefault="00924664">
            <w:pPr>
              <w:spacing w:line="259" w:lineRule="auto"/>
              <w:rPr>
                <w:sz w:val="20"/>
                <w:szCs w:val="20"/>
              </w:rPr>
            </w:pPr>
            <w:r w:rsidRPr="004D575D">
              <w:rPr>
                <w:i/>
                <w:iCs/>
                <w:sz w:val="20"/>
                <w:szCs w:val="20"/>
              </w:rPr>
              <w:t>Application by BDS Support Services t/as Broadmeadows Disability Services</w:t>
            </w:r>
            <w:r w:rsidRPr="004D575D">
              <w:rPr>
                <w:sz w:val="20"/>
                <w:szCs w:val="20"/>
              </w:rPr>
              <w:t xml:space="preserve"> [2024] FWCFB 404</w:t>
            </w:r>
          </w:p>
        </w:tc>
        <w:tc>
          <w:tcPr>
            <w:tcW w:w="2396" w:type="dxa"/>
          </w:tcPr>
          <w:p w14:paraId="6E198FAE" w14:textId="77777777" w:rsidR="00924664" w:rsidRPr="004D575D" w:rsidRDefault="00924664">
            <w:pPr>
              <w:spacing w:line="259" w:lineRule="auto"/>
              <w:rPr>
                <w:sz w:val="20"/>
                <w:szCs w:val="20"/>
              </w:rPr>
            </w:pPr>
            <w:r w:rsidRPr="004D575D">
              <w:rPr>
                <w:sz w:val="20"/>
                <w:szCs w:val="20"/>
              </w:rPr>
              <w:t>22 October 2024</w:t>
            </w:r>
          </w:p>
        </w:tc>
        <w:tc>
          <w:tcPr>
            <w:tcW w:w="0" w:type="auto"/>
          </w:tcPr>
          <w:p w14:paraId="65A9E7C4" w14:textId="77777777" w:rsidR="00924664" w:rsidRPr="004D575D" w:rsidRDefault="00924664">
            <w:pPr>
              <w:spacing w:line="259" w:lineRule="auto"/>
              <w:rPr>
                <w:sz w:val="20"/>
                <w:szCs w:val="20"/>
              </w:rPr>
            </w:pPr>
            <w:r w:rsidRPr="004D575D">
              <w:rPr>
                <w:sz w:val="20"/>
                <w:szCs w:val="20"/>
              </w:rPr>
              <w:t>Agreement not terminated, application dismissed</w:t>
            </w:r>
          </w:p>
        </w:tc>
      </w:tr>
      <w:tr w:rsidR="00924664" w:rsidRPr="00167CB8" w14:paraId="00668726" w14:textId="77777777">
        <w:trPr>
          <w:trHeight w:val="70"/>
        </w:trPr>
        <w:tc>
          <w:tcPr>
            <w:tcW w:w="4106" w:type="dxa"/>
          </w:tcPr>
          <w:p w14:paraId="5BAC6A8F" w14:textId="77777777" w:rsidR="00924664" w:rsidRPr="004D575D" w:rsidRDefault="00924664">
            <w:pPr>
              <w:rPr>
                <w:i/>
                <w:iCs/>
                <w:sz w:val="20"/>
                <w:szCs w:val="20"/>
              </w:rPr>
            </w:pPr>
            <w:r w:rsidRPr="004D575D">
              <w:rPr>
                <w:i/>
                <w:iCs/>
                <w:sz w:val="20"/>
                <w:szCs w:val="20"/>
              </w:rPr>
              <w:t xml:space="preserve">Application by PBE Rutherford Mining Pty Ltd </w:t>
            </w:r>
            <w:r w:rsidRPr="004D575D">
              <w:rPr>
                <w:sz w:val="20"/>
                <w:szCs w:val="20"/>
              </w:rPr>
              <w:t>[2025] FWC 487</w:t>
            </w:r>
          </w:p>
        </w:tc>
        <w:tc>
          <w:tcPr>
            <w:tcW w:w="2396" w:type="dxa"/>
          </w:tcPr>
          <w:p w14:paraId="0080DC86" w14:textId="77777777" w:rsidR="00924664" w:rsidRPr="004D575D" w:rsidRDefault="00924664">
            <w:pPr>
              <w:rPr>
                <w:sz w:val="20"/>
                <w:szCs w:val="20"/>
              </w:rPr>
            </w:pPr>
            <w:r w:rsidRPr="004D575D">
              <w:rPr>
                <w:sz w:val="20"/>
                <w:szCs w:val="20"/>
              </w:rPr>
              <w:t>18 February 2025</w:t>
            </w:r>
          </w:p>
        </w:tc>
        <w:tc>
          <w:tcPr>
            <w:tcW w:w="0" w:type="auto"/>
          </w:tcPr>
          <w:p w14:paraId="6A98BBB9" w14:textId="77777777" w:rsidR="00924664" w:rsidRPr="004D575D" w:rsidRDefault="00924664">
            <w:pPr>
              <w:rPr>
                <w:sz w:val="20"/>
                <w:szCs w:val="20"/>
              </w:rPr>
            </w:pPr>
            <w:r w:rsidRPr="004D575D">
              <w:rPr>
                <w:sz w:val="20"/>
                <w:szCs w:val="20"/>
              </w:rPr>
              <w:t>Agreement not terminated, application dismissed</w:t>
            </w:r>
          </w:p>
        </w:tc>
      </w:tr>
    </w:tbl>
    <w:p w14:paraId="785B5AB3" w14:textId="5FC40D2E" w:rsidR="00924664" w:rsidRPr="00167CB8" w:rsidRDefault="00924664" w:rsidP="00924664">
      <w:pPr>
        <w:pStyle w:val="Source"/>
      </w:pPr>
      <w:r w:rsidRPr="00167CB8">
        <w:rPr>
          <w:b/>
          <w:bCs/>
        </w:rPr>
        <w:t>Source:</w:t>
      </w:r>
      <w:r w:rsidRPr="00167CB8">
        <w:t xml:space="preserve"> Table prepared using data from </w:t>
      </w:r>
      <w:r w:rsidR="00EC3517">
        <w:t>Fair Work Commission</w:t>
      </w:r>
      <w:r w:rsidR="00EC3517" w:rsidRPr="00167CB8">
        <w:t xml:space="preserve"> </w:t>
      </w:r>
      <w:r w:rsidRPr="00167CB8">
        <w:t>website.</w:t>
      </w:r>
    </w:p>
    <w:p w14:paraId="63B37113" w14:textId="77777777" w:rsidR="00924664" w:rsidRPr="00241F6B" w:rsidRDefault="00924664" w:rsidP="00EC3517">
      <w:pPr>
        <w:pStyle w:val="Heading5"/>
      </w:pPr>
      <w:r w:rsidRPr="00241F6B">
        <w:t>20.2.2 Qualitative evidence</w:t>
      </w:r>
    </w:p>
    <w:p w14:paraId="37F945F1" w14:textId="77777777" w:rsidR="0011475D" w:rsidRDefault="00924664" w:rsidP="00924664">
      <w:r w:rsidRPr="00100309">
        <w:t xml:space="preserve">As indicated above, there have been three applications to terminate an agreement after its nominal expiry date made by an employer </w:t>
      </w:r>
      <w:r>
        <w:t>that were</w:t>
      </w:r>
      <w:r w:rsidRPr="00100309">
        <w:t xml:space="preserve"> at least initially contested</w:t>
      </w:r>
      <w:r>
        <w:t xml:space="preserve"> by unions</w:t>
      </w:r>
      <w:r w:rsidRPr="00100309">
        <w:t xml:space="preserve">. </w:t>
      </w:r>
      <w:r w:rsidRPr="396ABCA7">
        <w:t xml:space="preserve">The FWC’s decisions in these </w:t>
      </w:r>
      <w:r>
        <w:t>cases</w:t>
      </w:r>
      <w:r w:rsidRPr="396ABCA7">
        <w:t xml:space="preserve"> provide useful data.</w:t>
      </w:r>
    </w:p>
    <w:p w14:paraId="337A558E" w14:textId="7BBEDD42" w:rsidR="0011475D" w:rsidRDefault="00924664" w:rsidP="00924664">
      <w:r w:rsidRPr="396ABCA7">
        <w:t xml:space="preserve">First, in </w:t>
      </w:r>
      <w:r w:rsidRPr="396ABCA7">
        <w:rPr>
          <w:i/>
          <w:iCs/>
        </w:rPr>
        <w:t>Forest Coach Lines Pty Ltd</w:t>
      </w:r>
      <w:r w:rsidRPr="396ABCA7">
        <w:rPr>
          <w:rStyle w:val="FootnoteReference"/>
        </w:rPr>
        <w:footnoteReference w:id="878"/>
      </w:r>
      <w:r w:rsidRPr="396ABCA7">
        <w:t xml:space="preserve"> (22 December 2023), the employer sought to terminate the agreement on grounds that it does not cover any employees.</w:t>
      </w:r>
      <w:r w:rsidRPr="396ABCA7">
        <w:rPr>
          <w:rStyle w:val="FootnoteReference"/>
        </w:rPr>
        <w:footnoteReference w:id="879"/>
      </w:r>
      <w:r w:rsidRPr="396ABCA7">
        <w:t xml:space="preserve"> The Transport Workers’ Union initially opposed the termination of the agreement. However, on further consideration, it ‘formed the view that the Agreement does not cover any employees’ and withdrew its opposition.</w:t>
      </w:r>
      <w:r w:rsidRPr="396ABCA7">
        <w:rPr>
          <w:rStyle w:val="FootnoteReference"/>
        </w:rPr>
        <w:footnoteReference w:id="880"/>
      </w:r>
    </w:p>
    <w:p w14:paraId="5A051237" w14:textId="470B3AA9" w:rsidR="00924664" w:rsidRPr="00167CB8" w:rsidRDefault="00924664" w:rsidP="00924664">
      <w:r w:rsidRPr="396ABCA7">
        <w:t xml:space="preserve">Second, in </w:t>
      </w:r>
      <w:r w:rsidRPr="396ABCA7">
        <w:rPr>
          <w:i/>
          <w:iCs/>
        </w:rPr>
        <w:t>BDS Support Services T/A Broadmeadows Disability</w:t>
      </w:r>
      <w:r w:rsidRPr="396ABCA7">
        <w:t xml:space="preserve"> Services</w:t>
      </w:r>
      <w:r w:rsidRPr="396ABCA7">
        <w:rPr>
          <w:rStyle w:val="FootnoteReference"/>
        </w:rPr>
        <w:footnoteReference w:id="881"/>
      </w:r>
      <w:r w:rsidRPr="396ABCA7">
        <w:t xml:space="preserve"> (22 October 2024), the employer sought to terminate the enterprise agreement on the basis that its continued operation posed a significant threat to the viability of their business.</w:t>
      </w:r>
      <w:r w:rsidRPr="396ABCA7">
        <w:rPr>
          <w:rStyle w:val="FootnoteReference"/>
        </w:rPr>
        <w:footnoteReference w:id="882"/>
      </w:r>
      <w:r w:rsidRPr="396ABCA7">
        <w:t xml:space="preserve"> The Full Bench of the FWC examined the evidence adduced in support of the application and considered that the </w:t>
      </w:r>
      <w:r w:rsidRPr="396ABCA7">
        <w:lastRenderedPageBreak/>
        <w:t>Australian Government’s intention to prevent agreements being terminated as a ‘bargaining tactic’ as relevant in the matter. Ultimately, the Full Bench was not satisfied the agreement posed a threat to the viability of the business and that termination would be likely to reduce the potential of terminations of employment and dismissed the application to terminate.</w:t>
      </w:r>
      <w:r w:rsidRPr="396ABCA7">
        <w:rPr>
          <w:rStyle w:val="FootnoteReference"/>
        </w:rPr>
        <w:footnoteReference w:id="883"/>
      </w:r>
    </w:p>
    <w:p w14:paraId="2F61D3D2" w14:textId="0F5144AC" w:rsidR="0011475D" w:rsidRDefault="00924664" w:rsidP="00924664">
      <w:r w:rsidRPr="00E607D5">
        <w:t xml:space="preserve">Third, in </w:t>
      </w:r>
      <w:r w:rsidRPr="00E607D5">
        <w:rPr>
          <w:i/>
        </w:rPr>
        <w:t>PBE Rutherford Mining Pty Ltd</w:t>
      </w:r>
      <w:r w:rsidRPr="00E607D5">
        <w:rPr>
          <w:rStyle w:val="FootnoteReference"/>
          <w:i/>
          <w:iCs/>
        </w:rPr>
        <w:footnoteReference w:id="884"/>
      </w:r>
      <w:r w:rsidRPr="00E607D5">
        <w:t xml:space="preserve"> (18 February 2025), the employer sought to terminate the enterprise agreement on the basis that the agreement ‘did not provide ongoing wage increases and no employees were covered by it</w:t>
      </w:r>
      <w:r>
        <w:t>’</w:t>
      </w:r>
      <w:r w:rsidRPr="00E607D5">
        <w:t>.</w:t>
      </w:r>
      <w:r>
        <w:rPr>
          <w:rStyle w:val="FootnoteReference"/>
        </w:rPr>
        <w:footnoteReference w:id="885"/>
      </w:r>
      <w:r w:rsidRPr="00E607D5">
        <w:t xml:space="preserve"> The employer submitted that the lack of ongoing wage increases meant that the operation of the agreement was unfair to employees.</w:t>
      </w:r>
      <w:r>
        <w:rPr>
          <w:rStyle w:val="FootnoteReference"/>
        </w:rPr>
        <w:footnoteReference w:id="886"/>
      </w:r>
      <w:r w:rsidRPr="00E607D5">
        <w:t xml:space="preserve"> The Communications, Electrical, Electronic, Energy, Information, Postal, Plumbing and Allied Services Union of Australia (CEPU) opposed the employer’s application and submitted that there was no evidence from the employer that the agreement’s continued operation was unfair for employees.</w:t>
      </w:r>
      <w:r>
        <w:rPr>
          <w:rStyle w:val="FootnoteReference"/>
        </w:rPr>
        <w:footnoteReference w:id="887"/>
      </w:r>
      <w:r w:rsidRPr="00E607D5">
        <w:t xml:space="preserve"> </w:t>
      </w:r>
      <w:r>
        <w:t xml:space="preserve">The </w:t>
      </w:r>
      <w:r w:rsidRPr="00E607D5">
        <w:t>CEPU pointed out that the employer paying in excess of the agreement demonstra</w:t>
      </w:r>
      <w:r>
        <w:t>ted</w:t>
      </w:r>
      <w:r w:rsidRPr="00E607D5">
        <w:t xml:space="preserve"> that it </w:t>
      </w:r>
      <w:r>
        <w:t>was</w:t>
      </w:r>
      <w:r w:rsidRPr="00E607D5">
        <w:t xml:space="preserve"> not working unfairly for employees.</w:t>
      </w:r>
      <w:r w:rsidRPr="00E607D5">
        <w:rPr>
          <w:rStyle w:val="FootnoteReference"/>
        </w:rPr>
        <w:footnoteReference w:id="888"/>
      </w:r>
      <w:r w:rsidRPr="00E607D5">
        <w:t xml:space="preserve"> The Full Bench of the FWC accepted </w:t>
      </w:r>
      <w:r>
        <w:t>the</w:t>
      </w:r>
      <w:r w:rsidRPr="00E607D5">
        <w:t xml:space="preserve"> CEPU’s submission</w:t>
      </w:r>
      <w:r w:rsidR="00A50F5E">
        <w:t>,</w:t>
      </w:r>
      <w:r w:rsidRPr="00E607D5">
        <w:t xml:space="preserve"> held that the prerequisites for termination under </w:t>
      </w:r>
      <w:r w:rsidR="00A50F5E">
        <w:t>s </w:t>
      </w:r>
      <w:r w:rsidRPr="00E607D5">
        <w:t>226(1) were not met and dismissed the application</w:t>
      </w:r>
      <w:r>
        <w:t>.</w:t>
      </w:r>
      <w:r>
        <w:rPr>
          <w:rStyle w:val="FootnoteReference"/>
        </w:rPr>
        <w:footnoteReference w:id="889"/>
      </w:r>
    </w:p>
    <w:p w14:paraId="66E4C48E" w14:textId="77777777" w:rsidR="0011475D" w:rsidRDefault="00924664" w:rsidP="00924664">
      <w:r w:rsidRPr="396ABCA7">
        <w:t>The above decisions demonstrate that, under the new termination provisions, employers have not successfully utilised the provisions to negatively impact employees’ rates of pay and terms and conditions of employment.</w:t>
      </w:r>
    </w:p>
    <w:p w14:paraId="6E24A8E3" w14:textId="096E5819" w:rsidR="00241F6B" w:rsidRDefault="00924664" w:rsidP="00241F6B">
      <w:pPr>
        <w:pStyle w:val="Heading5"/>
      </w:pPr>
      <w:r w:rsidRPr="00241F6B">
        <w:t>20.2.3 Stakeholder views</w:t>
      </w:r>
    </w:p>
    <w:p w14:paraId="1F29E677" w14:textId="3156E890" w:rsidR="00924664" w:rsidRPr="00167CB8" w:rsidRDefault="00924664" w:rsidP="00924664">
      <w:r w:rsidRPr="396ABCA7">
        <w:t>Stakeholder views were largely split between unions and employer groups. Employers expressed a desire to make it easier to terminate agreements and raised concerns about the impact the Secure Jobs, Better Pay Act provisions have on their bargaining position. In contrast, unions were supportive of the amendments.</w:t>
      </w:r>
    </w:p>
    <w:p w14:paraId="4302903A" w14:textId="57B51CC6" w:rsidR="00924664" w:rsidRPr="00167CB8" w:rsidRDefault="00924664" w:rsidP="00924664">
      <w:r w:rsidRPr="00167CB8">
        <w:t>Ai Group and the Business Council of Australia</w:t>
      </w:r>
      <w:r w:rsidRPr="00167CB8">
        <w:rPr>
          <w:rStyle w:val="FootnoteReference"/>
        </w:rPr>
        <w:footnoteReference w:id="890"/>
      </w:r>
      <w:r w:rsidRPr="00167CB8">
        <w:t xml:space="preserve"> both raised concerns that, combined with the </w:t>
      </w:r>
      <w:r w:rsidRPr="00167CB8" w:rsidDel="005E67E4">
        <w:t>intractable bargaining declarations</w:t>
      </w:r>
      <w:r w:rsidRPr="00167CB8">
        <w:t>, employers would be unable to remove ‘the generosity and restrictions of any existing enterprise agreement term’.</w:t>
      </w:r>
      <w:r w:rsidRPr="00167CB8">
        <w:rPr>
          <w:rStyle w:val="FootnoteReference"/>
        </w:rPr>
        <w:footnoteReference w:id="891"/>
      </w:r>
      <w:r w:rsidRPr="00167CB8">
        <w:t xml:space="preserve"> The Australian Retailers Association also raised similar concerns about the interaction with </w:t>
      </w:r>
      <w:r w:rsidRPr="00167CB8" w:rsidDel="00E718DE">
        <w:t>intractable bargaining determinations</w:t>
      </w:r>
      <w:r w:rsidRPr="00167CB8">
        <w:t>.</w:t>
      </w:r>
      <w:r w:rsidRPr="00167CB8">
        <w:rPr>
          <w:rStyle w:val="FootnoteReference"/>
        </w:rPr>
        <w:footnoteReference w:id="892"/>
      </w:r>
      <w:r w:rsidRPr="00167CB8">
        <w:t xml:space="preserve"> A similar sentiment was shared by Maritime Industry Australia </w:t>
      </w:r>
      <w:r w:rsidR="004F4F35">
        <w:t>L</w:t>
      </w:r>
      <w:r>
        <w:t>imited (MIAL)</w:t>
      </w:r>
      <w:r w:rsidRPr="00167CB8">
        <w:t xml:space="preserve"> and Master Builders Australia,</w:t>
      </w:r>
      <w:r w:rsidRPr="00167CB8">
        <w:rPr>
          <w:rStyle w:val="FootnoteReference"/>
        </w:rPr>
        <w:footnoteReference w:id="893"/>
      </w:r>
      <w:r w:rsidRPr="00167CB8">
        <w:t xml:space="preserve"> which both raised concerns about exercising caution in what they agree to in an enterprise agreement. </w:t>
      </w:r>
      <w:r>
        <w:t>MIAL</w:t>
      </w:r>
      <w:r w:rsidRPr="00167CB8">
        <w:t xml:space="preserve"> submitted that employers will need ‘to consider the likely operating environment over the course of multiple EA terms, as historically once a </w:t>
      </w:r>
      <w:r w:rsidRPr="004F4F35">
        <w:t>condition is agreed in any future negotiations are based on a position that</w:t>
      </w:r>
      <w:r w:rsidRPr="00167CB8">
        <w:t xml:space="preserve"> a term must be “bought” out, regardless of the operating environment’.</w:t>
      </w:r>
      <w:r w:rsidRPr="00167CB8">
        <w:rPr>
          <w:rStyle w:val="FootnoteReference"/>
        </w:rPr>
        <w:footnoteReference w:id="894"/>
      </w:r>
      <w:r w:rsidRPr="00167CB8">
        <w:t xml:space="preserve"> Clubs Australia argued that these amendments are making it ‘more challenging to negotiate new agreements … resulting in less </w:t>
      </w:r>
      <w:r w:rsidRPr="00167CB8">
        <w:lastRenderedPageBreak/>
        <w:t>flexible outcomes for clubs and employees’.</w:t>
      </w:r>
      <w:r w:rsidRPr="00167CB8">
        <w:rPr>
          <w:rStyle w:val="FootnoteReference"/>
        </w:rPr>
        <w:footnoteReference w:id="895"/>
      </w:r>
      <w:r w:rsidRPr="00167CB8">
        <w:t xml:space="preserve"> The Australian Resources &amp; Energy Employer Association expressed similar sentiments.</w:t>
      </w:r>
      <w:r w:rsidRPr="00167CB8">
        <w:rPr>
          <w:rStyle w:val="FootnoteReference"/>
        </w:rPr>
        <w:footnoteReference w:id="896"/>
      </w:r>
    </w:p>
    <w:p w14:paraId="5463C7BA" w14:textId="01176B15" w:rsidR="00924664" w:rsidRPr="00167CB8" w:rsidRDefault="00924664" w:rsidP="00924664">
      <w:r w:rsidRPr="396ABCA7">
        <w:t>The Australian Chamber of Commerce and Industry recommended balancing the current amendment by taking into consideration the bargaining position of employers when considering termination of the agreement.</w:t>
      </w:r>
      <w:r w:rsidRPr="396ABCA7">
        <w:rPr>
          <w:rStyle w:val="FootnoteReference"/>
        </w:rPr>
        <w:footnoteReference w:id="897"/>
      </w:r>
      <w:r w:rsidRPr="396ABCA7">
        <w:t xml:space="preserve"> Ai Group made a similar recommendation and submitted that the consideration about unfairness to employees should also be extended to employers.</w:t>
      </w:r>
      <w:r w:rsidRPr="396ABCA7">
        <w:rPr>
          <w:rStyle w:val="FootnoteReference"/>
        </w:rPr>
        <w:footnoteReference w:id="898"/>
      </w:r>
    </w:p>
    <w:p w14:paraId="76BD0E96" w14:textId="77777777" w:rsidR="0011475D" w:rsidRDefault="00924664" w:rsidP="00924664">
      <w:r w:rsidRPr="396ABCA7">
        <w:t>Unions expressed broadly positive views on the amendments. The Australian Workers’ Union, Mining and Energy Union, United Workers Union, Community and Public Sector Union and Australian Council of Trade Unions (ACTU) all noted that the amendments effectively remove opportunities for employers to use termination of an agreement or the threat thereof during bargaining. The ACTU argued the ‘amendments were necessary in order to remove incentives and opportunities for employers to walk away from the deals they had made with their workforce and unions’.</w:t>
      </w:r>
      <w:r w:rsidRPr="396ABCA7">
        <w:rPr>
          <w:rStyle w:val="FootnoteReference"/>
        </w:rPr>
        <w:footnoteReference w:id="899"/>
      </w:r>
    </w:p>
    <w:p w14:paraId="6B468ECE" w14:textId="27B8F647" w:rsidR="00924664" w:rsidRPr="00C015E5" w:rsidRDefault="00924664" w:rsidP="00924664">
      <w:pPr>
        <w:rPr>
          <w:rFonts w:cs="Calibri"/>
        </w:rPr>
      </w:pPr>
      <w:r w:rsidRPr="00C015E5">
        <w:rPr>
          <w:rFonts w:cs="Calibri"/>
        </w:rPr>
        <w:t xml:space="preserve">In response to the </w:t>
      </w:r>
      <w:r w:rsidR="004F4F35">
        <w:rPr>
          <w:rFonts w:cs="Calibri"/>
        </w:rPr>
        <w:t>d</w:t>
      </w:r>
      <w:r w:rsidRPr="00C015E5">
        <w:rPr>
          <w:rFonts w:cs="Calibri"/>
        </w:rPr>
        <w:t xml:space="preserve">raft </w:t>
      </w:r>
      <w:r w:rsidR="004F4F35">
        <w:rPr>
          <w:rFonts w:cs="Calibri"/>
        </w:rPr>
        <w:t>r</w:t>
      </w:r>
      <w:r w:rsidRPr="00C015E5">
        <w:rPr>
          <w:rFonts w:cs="Calibri"/>
        </w:rPr>
        <w:t>eport, employer associations largely reiterated their views expressed in their initial submissions</w:t>
      </w:r>
      <w:r w:rsidRPr="00C015E5">
        <w:rPr>
          <w:rStyle w:val="FootnoteReference"/>
          <w:rFonts w:cs="Calibri"/>
        </w:rPr>
        <w:footnoteReference w:id="900"/>
      </w:r>
      <w:r w:rsidRPr="00C015E5">
        <w:rPr>
          <w:rFonts w:cs="Calibri"/>
        </w:rPr>
        <w:t xml:space="preserve"> whilst the ACTU welcomed the Review Panel’s proposed findings.</w:t>
      </w:r>
      <w:r w:rsidRPr="00C015E5">
        <w:rPr>
          <w:rStyle w:val="FootnoteReference"/>
          <w:rFonts w:cs="Calibri"/>
        </w:rPr>
        <w:footnoteReference w:id="901"/>
      </w:r>
    </w:p>
    <w:p w14:paraId="7B5FC93C" w14:textId="77777777" w:rsidR="0011475D" w:rsidRDefault="00924664" w:rsidP="00924664">
      <w:pPr>
        <w:rPr>
          <w:rFonts w:cs="Calibri"/>
        </w:rPr>
      </w:pPr>
      <w:r w:rsidRPr="00C015E5">
        <w:rPr>
          <w:rFonts w:cs="Calibri"/>
        </w:rPr>
        <w:t>Ai Group disagreed with the Review Panel’s proposed finding that the provisions are operating appropriately and effectively and reasserted their view that the termination of an enterprise agreement must be fair to both employers and employees.</w:t>
      </w:r>
      <w:r w:rsidRPr="00C015E5">
        <w:rPr>
          <w:rStyle w:val="FootnoteReference"/>
          <w:rFonts w:cs="Calibri"/>
        </w:rPr>
        <w:footnoteReference w:id="902"/>
      </w:r>
    </w:p>
    <w:p w14:paraId="3BB66775" w14:textId="4DE593B1" w:rsidR="00924664" w:rsidRPr="00241F6B" w:rsidRDefault="00924664" w:rsidP="00EC3517">
      <w:pPr>
        <w:pStyle w:val="Heading4"/>
      </w:pPr>
      <w:bookmarkStart w:id="323" w:name="_Toc189260269"/>
      <w:bookmarkStart w:id="324" w:name="_Toc189393585"/>
      <w:r w:rsidRPr="00241F6B">
        <w:t>20.3 Findings and recommendations</w:t>
      </w:r>
      <w:bookmarkEnd w:id="323"/>
      <w:bookmarkEnd w:id="324"/>
    </w:p>
    <w:p w14:paraId="5FABD2A9" w14:textId="77777777" w:rsidR="00924664" w:rsidRPr="00167CB8" w:rsidRDefault="00924664" w:rsidP="00924664">
      <w:r w:rsidRPr="396ABCA7">
        <w:t>The Review Panel finds that early evidence shows that these amendments have effectively discouraged the bargaining tactic of terminating agreements or threatening to do so, as intended by the Australian Government. Consequently, the Review Panel finds that the provisions relating to the termination of enterprise agreements after their nominal expiry date are operating appropriately and effectively.</w:t>
      </w:r>
    </w:p>
    <w:p w14:paraId="5DBD9175" w14:textId="77777777" w:rsidR="00924664" w:rsidRPr="00167CB8" w:rsidRDefault="00924664" w:rsidP="00924664">
      <w:r w:rsidRPr="396ABCA7">
        <w:t>While employer groups have expressed concerns about the impact the Secure Jobs, Better Pay amendments have had on their bargaining position, th</w:t>
      </w:r>
      <w:r>
        <w:t xml:space="preserve">e use of agreement termination </w:t>
      </w:r>
      <w:r w:rsidRPr="396ABCA7">
        <w:t xml:space="preserve">is not </w:t>
      </w:r>
      <w:r>
        <w:t>an</w:t>
      </w:r>
      <w:r w:rsidRPr="396ABCA7">
        <w:t xml:space="preserve"> appropriate solution. The Review Panel is of the view that the Fair Work Act continues to allow employers to terminate agreements for genuine reasons</w:t>
      </w:r>
      <w:r>
        <w:t xml:space="preserve"> that are unconnected with the bargaining process</w:t>
      </w:r>
      <w:r w:rsidRPr="396ABCA7">
        <w:t>.</w:t>
      </w:r>
    </w:p>
    <w:p w14:paraId="221826F7" w14:textId="77777777" w:rsidR="00EC3517" w:rsidRDefault="00924664" w:rsidP="00924664">
      <w:pPr>
        <w:spacing w:after="160"/>
      </w:pPr>
      <w:r w:rsidRPr="396ABCA7">
        <w:t>The Review Panel makes no recommendations at this time.</w:t>
      </w:r>
    </w:p>
    <w:p w14:paraId="54F53E83" w14:textId="65A5F282" w:rsidR="00EC3517" w:rsidRDefault="00EC3517">
      <w:pPr>
        <w:spacing w:after="160"/>
      </w:pPr>
      <w:r>
        <w:br w:type="page"/>
      </w:r>
    </w:p>
    <w:p w14:paraId="36A73CB7" w14:textId="77777777" w:rsidR="00924664" w:rsidRPr="00167CB8" w:rsidRDefault="00924664" w:rsidP="00EC3517">
      <w:pPr>
        <w:pStyle w:val="Heading3"/>
      </w:pPr>
      <w:bookmarkStart w:id="325" w:name="_Toc189260270"/>
      <w:bookmarkStart w:id="326" w:name="_Toc189393586"/>
      <w:bookmarkStart w:id="327" w:name="_Toc194311428"/>
      <w:r w:rsidRPr="00167CB8">
        <w:lastRenderedPageBreak/>
        <w:t>Chapter 21. Sunsetting of ‘zombie’ agreements</w:t>
      </w:r>
      <w:bookmarkEnd w:id="325"/>
      <w:bookmarkEnd w:id="326"/>
      <w:bookmarkEnd w:id="327"/>
    </w:p>
    <w:p w14:paraId="1FCF8CE6" w14:textId="77777777" w:rsidR="0011475D" w:rsidRDefault="00924664" w:rsidP="00924664">
      <w:r w:rsidRPr="396ABCA7">
        <w:rPr>
          <w:rFonts w:cs="Calibri"/>
        </w:rPr>
        <w:t xml:space="preserve">Part 13 of Schedule 1 to the </w:t>
      </w:r>
      <w:r w:rsidRPr="396ABCA7">
        <w:t xml:space="preserve">Secure Jobs, Better Pay </w:t>
      </w:r>
      <w:r w:rsidRPr="396ABCA7">
        <w:rPr>
          <w:rFonts w:cs="Calibri"/>
        </w:rPr>
        <w:t xml:space="preserve">Act amended the </w:t>
      </w:r>
      <w:r w:rsidRPr="396ABCA7">
        <w:rPr>
          <w:rFonts w:cs="Calibri"/>
          <w:i/>
          <w:iCs/>
        </w:rPr>
        <w:t xml:space="preserve">Fair Work (Transitional Provisions and Consequential Amendments) Act 2009 </w:t>
      </w:r>
      <w:r w:rsidRPr="396ABCA7">
        <w:rPr>
          <w:rFonts w:cs="Calibri"/>
        </w:rPr>
        <w:t>(Cth) (</w:t>
      </w:r>
      <w:r w:rsidRPr="396ABCA7">
        <w:t xml:space="preserve">Fair Work </w:t>
      </w:r>
      <w:r w:rsidRPr="396ABCA7">
        <w:rPr>
          <w:rFonts w:cs="Calibri"/>
        </w:rPr>
        <w:t xml:space="preserve">Transitional Act) to sunset (terminate) all remaining transitional instruments preserved by that Act. </w:t>
      </w:r>
      <w:r w:rsidRPr="396ABCA7">
        <w:t>These instruments were commonly referred to as ‘zombie’ agreements.</w:t>
      </w:r>
    </w:p>
    <w:p w14:paraId="6DC90A44" w14:textId="77777777" w:rsidR="0011475D" w:rsidRPr="00406556" w:rsidRDefault="00924664" w:rsidP="00EC3517">
      <w:pPr>
        <w:pStyle w:val="Heading4"/>
      </w:pPr>
      <w:bookmarkStart w:id="328" w:name="_Toc189260271"/>
      <w:bookmarkStart w:id="329" w:name="_Toc189393587"/>
      <w:r w:rsidRPr="00406556">
        <w:t xml:space="preserve">21.1 </w:t>
      </w:r>
      <w:r w:rsidRPr="00EC3517">
        <w:t>Amendments</w:t>
      </w:r>
      <w:r w:rsidRPr="00406556">
        <w:t xml:space="preserve"> and intent</w:t>
      </w:r>
      <w:bookmarkEnd w:id="328"/>
      <w:bookmarkEnd w:id="329"/>
    </w:p>
    <w:p w14:paraId="0BEAE0CF" w14:textId="1DF57CFF" w:rsidR="00924664" w:rsidRPr="00167CB8" w:rsidRDefault="00924664" w:rsidP="00924664">
      <w:r w:rsidRPr="00167CB8">
        <w:t>The Secure Jobs, Better Pay Act amended the Fair Work Transitional Act to automatically sunset zombie agreements at the end of 6 December 2023 following a default period of 12 months, unless the Fair Work Commission (FWC) extended the default period for an agreement.</w:t>
      </w:r>
    </w:p>
    <w:p w14:paraId="4CBF232A" w14:textId="77777777" w:rsidR="00924664" w:rsidRPr="00406556" w:rsidRDefault="00924664" w:rsidP="00EC3517">
      <w:pPr>
        <w:pStyle w:val="Heading5"/>
      </w:pPr>
      <w:r w:rsidRPr="00406556">
        <w:t xml:space="preserve">21.1.1 </w:t>
      </w:r>
      <w:r w:rsidRPr="00EC3517">
        <w:t xml:space="preserve">Secure Jobs, Better Pay </w:t>
      </w:r>
      <w:r w:rsidRPr="00406556">
        <w:t>amendments</w:t>
      </w:r>
    </w:p>
    <w:p w14:paraId="5BB4E46A" w14:textId="77777777" w:rsidR="00924664" w:rsidRPr="00167CB8" w:rsidRDefault="00924664" w:rsidP="00924664">
      <w:r w:rsidRPr="00167CB8">
        <w:t>Part 13 of Schedule 1 of the Secure Jobs, Better Pay Act amended the Fair Work Transitional Act to automatically sunset all remaining transitional instruments preserved by that Act:</w:t>
      </w:r>
    </w:p>
    <w:p w14:paraId="45AB8E66" w14:textId="77777777" w:rsidR="00924664" w:rsidRPr="00167CB8" w:rsidRDefault="00924664" w:rsidP="003F7EE6">
      <w:pPr>
        <w:pStyle w:val="ListBullet"/>
        <w:numPr>
          <w:ilvl w:val="0"/>
          <w:numId w:val="4"/>
        </w:numPr>
      </w:pPr>
      <w:r w:rsidRPr="00167CB8">
        <w:t>agreement-based transitional instruments under Schedule 3</w:t>
      </w:r>
    </w:p>
    <w:p w14:paraId="6182BB5D" w14:textId="77777777" w:rsidR="00924664" w:rsidRPr="00167CB8" w:rsidRDefault="00924664" w:rsidP="003F7EE6">
      <w:pPr>
        <w:pStyle w:val="ListBullet"/>
        <w:numPr>
          <w:ilvl w:val="0"/>
          <w:numId w:val="4"/>
        </w:numPr>
      </w:pPr>
      <w:r w:rsidRPr="00167CB8">
        <w:t>Division 2B state employment agreements under Schedule 3A</w:t>
      </w:r>
    </w:p>
    <w:p w14:paraId="6F5AD698" w14:textId="77777777" w:rsidR="00924664" w:rsidRPr="00167CB8" w:rsidRDefault="00924664" w:rsidP="003F7EE6">
      <w:pPr>
        <w:pStyle w:val="ListBullet"/>
        <w:numPr>
          <w:ilvl w:val="0"/>
          <w:numId w:val="4"/>
        </w:numPr>
      </w:pPr>
      <w:r w:rsidRPr="00167CB8">
        <w:t>enterprise agreements made during the bridging period (from 1 July 2009 to 31 December 2009) under Schedule 7 to the Fair Work Transitional Act.</w:t>
      </w:r>
    </w:p>
    <w:p w14:paraId="0AE77012" w14:textId="77777777" w:rsidR="00924664" w:rsidRPr="00167CB8" w:rsidRDefault="00924664" w:rsidP="00924664">
      <w:r w:rsidRPr="00167CB8">
        <w:t>The Secure Jobs, Better Pay Act amended Schedules 3, 3A and 7 to the Fair Work Transitional Act to:</w:t>
      </w:r>
    </w:p>
    <w:p w14:paraId="76F1774E" w14:textId="77777777" w:rsidR="0011475D" w:rsidRDefault="00924664" w:rsidP="003F7EE6">
      <w:pPr>
        <w:pStyle w:val="ListBullet"/>
        <w:numPr>
          <w:ilvl w:val="0"/>
          <w:numId w:val="4"/>
        </w:numPr>
      </w:pPr>
      <w:r w:rsidRPr="396ABCA7">
        <w:t>automatically sunset the relevant class of zombie agreement at the end of the grace period for the agreement if it has not already ceased to operate before that time (i.e. a default period of 12 months, which may be extended by the FWC with the period of extension becoming the new grace period)</w:t>
      </w:r>
    </w:p>
    <w:p w14:paraId="0BD39FAD" w14:textId="6CD318B0" w:rsidR="0011475D" w:rsidRDefault="00924664" w:rsidP="003F7EE6">
      <w:pPr>
        <w:pStyle w:val="ListBullet"/>
        <w:numPr>
          <w:ilvl w:val="0"/>
          <w:numId w:val="4"/>
        </w:numPr>
      </w:pPr>
      <w:r w:rsidRPr="00167CB8">
        <w:t xml:space="preserve">require employers to give affected employees notice of automatic sunsetting within </w:t>
      </w:r>
      <w:r w:rsidR="002E226E">
        <w:t>six</w:t>
      </w:r>
      <w:r w:rsidRPr="00167CB8">
        <w:t xml:space="preserve"> months of commencement, including information about the automatic sunsetting, its timing and the FWC’s role in extending the default period</w:t>
      </w:r>
    </w:p>
    <w:p w14:paraId="258AC0DB" w14:textId="287AD895" w:rsidR="00924664" w:rsidRPr="00167CB8" w:rsidRDefault="00924664" w:rsidP="003F7EE6">
      <w:pPr>
        <w:pStyle w:val="ListBullet"/>
        <w:numPr>
          <w:ilvl w:val="0"/>
          <w:numId w:val="4"/>
        </w:numPr>
      </w:pPr>
      <w:r w:rsidRPr="00167CB8">
        <w:t>set out the process for making an application to the FWC to extend the default period, including who may apply and how an application is made</w:t>
      </w:r>
    </w:p>
    <w:p w14:paraId="57154BDA" w14:textId="18178E59" w:rsidR="00924664" w:rsidRPr="00167CB8" w:rsidRDefault="00924664" w:rsidP="003F7EE6">
      <w:pPr>
        <w:pStyle w:val="ListBullet"/>
        <w:numPr>
          <w:ilvl w:val="0"/>
          <w:numId w:val="4"/>
        </w:numPr>
      </w:pPr>
      <w:r w:rsidRPr="00167CB8">
        <w:t xml:space="preserve">empower the FWC to extend the default period for a period of no more than </w:t>
      </w:r>
      <w:r w:rsidR="002E226E">
        <w:t>four</w:t>
      </w:r>
      <w:r w:rsidRPr="00167CB8">
        <w:t xml:space="preserve"> years at a time if the FWC is satisfied the applicable criteria have been met</w:t>
      </w:r>
    </w:p>
    <w:p w14:paraId="670BD02C" w14:textId="77777777" w:rsidR="00924664" w:rsidRPr="00167CB8" w:rsidRDefault="00924664" w:rsidP="003F7EE6">
      <w:pPr>
        <w:pStyle w:val="ListBullet"/>
        <w:numPr>
          <w:ilvl w:val="0"/>
          <w:numId w:val="4"/>
        </w:numPr>
      </w:pPr>
      <w:r w:rsidRPr="00167CB8">
        <w:t>set out rules for pending applications</w:t>
      </w:r>
    </w:p>
    <w:p w14:paraId="4B3E09FD" w14:textId="77777777" w:rsidR="00924664" w:rsidRPr="00167CB8" w:rsidRDefault="00924664" w:rsidP="003F7EE6">
      <w:pPr>
        <w:pStyle w:val="ListBullet"/>
        <w:numPr>
          <w:ilvl w:val="0"/>
          <w:numId w:val="4"/>
        </w:numPr>
      </w:pPr>
      <w:r w:rsidRPr="396ABCA7">
        <w:t>for enterprise agreements made during the bridging period</w:t>
      </w:r>
      <w:r w:rsidRPr="396ABCA7">
        <w:rPr>
          <w:rFonts w:ascii="Symbol" w:eastAsia="Symbol" w:hAnsi="Symbol" w:cs="Symbol"/>
        </w:rPr>
        <w:t>-</w:t>
      </w:r>
      <w:r w:rsidRPr="396ABCA7">
        <w:t xml:space="preserve"> provide for the effect of sunsetting.</w:t>
      </w:r>
      <w:r w:rsidRPr="396ABCA7">
        <w:rPr>
          <w:rStyle w:val="FootnoteReference"/>
        </w:rPr>
        <w:footnoteReference w:id="903"/>
      </w:r>
    </w:p>
    <w:p w14:paraId="26121F3B" w14:textId="77777777" w:rsidR="00924664" w:rsidRPr="00406556" w:rsidRDefault="00924664" w:rsidP="00EC3517">
      <w:pPr>
        <w:pStyle w:val="Heading5"/>
      </w:pPr>
      <w:r w:rsidRPr="00406556">
        <w:t xml:space="preserve">21.1.2 Intent of </w:t>
      </w:r>
      <w:r w:rsidRPr="00EC3517">
        <w:t xml:space="preserve">Secure Jobs, Better Pay </w:t>
      </w:r>
      <w:r w:rsidRPr="00406556">
        <w:t>amendments</w:t>
      </w:r>
    </w:p>
    <w:p w14:paraId="5D7735C7" w14:textId="77777777" w:rsidR="0011475D" w:rsidRDefault="00924664" w:rsidP="00924664">
      <w:r w:rsidRPr="396ABCA7">
        <w:t xml:space="preserve">Prior to the Secure Jobs, Better Pay Act, zombie agreements continued to operate unless terminated or replaced. </w:t>
      </w:r>
      <w:r w:rsidRPr="396ABCA7">
        <w:rPr>
          <w:rFonts w:eastAsia="Aptos" w:cs="Aptos"/>
        </w:rPr>
        <w:t xml:space="preserve">Zombie agreements often contained conditions that were inferior to those provided for by the relevant modern award that would otherwise apply. </w:t>
      </w:r>
      <w:r w:rsidRPr="396ABCA7">
        <w:t xml:space="preserve">As the FWC has no discretion to terminate agreements on its own motion, this resulted in employees having to </w:t>
      </w:r>
      <w:r w:rsidRPr="396ABCA7">
        <w:lastRenderedPageBreak/>
        <w:t xml:space="preserve">proactively make applications to terminate agreements to remove any inferior conditions </w:t>
      </w:r>
      <w:r w:rsidRPr="396ABCA7">
        <w:rPr>
          <w:rFonts w:ascii="Symbol" w:eastAsia="Symbol" w:hAnsi="Symbol" w:cs="Symbol"/>
        </w:rPr>
        <w:t>-</w:t>
      </w:r>
      <w:r w:rsidRPr="396ABCA7">
        <w:t xml:space="preserve"> a process many employees were not familiar with.</w:t>
      </w:r>
      <w:r w:rsidRPr="396ABCA7">
        <w:rPr>
          <w:rStyle w:val="FootnoteReference"/>
        </w:rPr>
        <w:footnoteReference w:id="904"/>
      </w:r>
    </w:p>
    <w:p w14:paraId="7CB079AC" w14:textId="241174FC" w:rsidR="0011475D" w:rsidRDefault="00924664" w:rsidP="00924664">
      <w:pPr>
        <w:rPr>
          <w:rFonts w:eastAsia="Aptos" w:cs="Aptos"/>
        </w:rPr>
      </w:pPr>
      <w:r w:rsidRPr="396ABCA7">
        <w:rPr>
          <w:rFonts w:eastAsia="Aptos" w:cs="Aptos"/>
        </w:rPr>
        <w:t xml:space="preserve">The nature of the problem was demonstrated in </w:t>
      </w:r>
      <w:r w:rsidRPr="396ABCA7">
        <w:rPr>
          <w:rFonts w:eastAsia="Aptos" w:cs="Aptos"/>
          <w:i/>
          <w:iCs/>
        </w:rPr>
        <w:t>Empire Holdings (QLD) Pty Ltd T/A Empire Hotel and Cloudland</w:t>
      </w:r>
      <w:r w:rsidRPr="396ABCA7" w:rsidDel="00A52AD9">
        <w:rPr>
          <w:rFonts w:eastAsia="Aptos" w:cs="Aptos"/>
          <w:i/>
          <w:iCs/>
        </w:rPr>
        <w:t xml:space="preserve"> </w:t>
      </w:r>
      <w:r w:rsidRPr="396ABCA7" w:rsidDel="00A52AD9">
        <w:rPr>
          <w:rFonts w:eastAsia="Aptos" w:cs="Aptos"/>
        </w:rPr>
        <w:t>(11 January 2022)</w:t>
      </w:r>
      <w:r w:rsidRPr="396ABCA7">
        <w:rPr>
          <w:rFonts w:eastAsia="Aptos" w:cs="Aptos"/>
        </w:rPr>
        <w:t>,</w:t>
      </w:r>
      <w:r w:rsidRPr="396ABCA7">
        <w:rPr>
          <w:rStyle w:val="FootnoteReference"/>
          <w:rFonts w:eastAsia="Aptos" w:cs="Aptos"/>
        </w:rPr>
        <w:footnoteReference w:id="905"/>
      </w:r>
      <w:r w:rsidRPr="396ABCA7">
        <w:rPr>
          <w:rFonts w:eastAsia="Aptos" w:cs="Aptos"/>
        </w:rPr>
        <w:t xml:space="preserve"> where the FWC noted the deficiencies of zombie agreements, stating that these agreements often den</w:t>
      </w:r>
      <w:r>
        <w:rPr>
          <w:rFonts w:eastAsia="Aptos" w:cs="Aptos"/>
        </w:rPr>
        <w:t>ied</w:t>
      </w:r>
      <w:r w:rsidRPr="396ABCA7">
        <w:rPr>
          <w:rFonts w:eastAsia="Aptos" w:cs="Aptos"/>
        </w:rPr>
        <w:t xml:space="preserve"> employees some benefits within modern awards, including penalty rates.</w:t>
      </w:r>
      <w:r w:rsidRPr="396ABCA7">
        <w:rPr>
          <w:rStyle w:val="FootnoteReference"/>
          <w:rFonts w:eastAsia="Aptos" w:cs="Aptos"/>
        </w:rPr>
        <w:footnoteReference w:id="906"/>
      </w:r>
    </w:p>
    <w:p w14:paraId="3F0B642E" w14:textId="74B91D93" w:rsidR="00924664" w:rsidRPr="00167CB8" w:rsidRDefault="00924664" w:rsidP="00924664">
      <w:r w:rsidRPr="396ABCA7">
        <w:rPr>
          <w:rFonts w:eastAsia="Aptos" w:cs="Aptos"/>
        </w:rPr>
        <w:t xml:space="preserve">The sunsetting of zombie agreement provisions introduced by the </w:t>
      </w:r>
      <w:r w:rsidRPr="396ABCA7">
        <w:t xml:space="preserve">Secure Jobs, Better Pay </w:t>
      </w:r>
      <w:r w:rsidRPr="396ABCA7">
        <w:rPr>
          <w:rFonts w:eastAsia="Aptos" w:cs="Aptos"/>
        </w:rPr>
        <w:t xml:space="preserve">Act intend to address these deficiencies. </w:t>
      </w:r>
      <w:r w:rsidRPr="396ABCA7">
        <w:t>In the Explanatory Memorandum the Australian Government stated:</w:t>
      </w:r>
      <w:r w:rsidRPr="396ABCA7">
        <w:rPr>
          <w:rStyle w:val="FootnoteReference"/>
        </w:rPr>
        <w:footnoteReference w:id="907"/>
      </w:r>
    </w:p>
    <w:p w14:paraId="4160B07D" w14:textId="77777777" w:rsidR="0011475D" w:rsidRDefault="00924664" w:rsidP="00846DC0">
      <w:pPr>
        <w:pStyle w:val="Quote"/>
      </w:pPr>
      <w:r>
        <w:t>91</w:t>
      </w:r>
      <w:r w:rsidRPr="00167CB8">
        <w:t xml:space="preserve">. </w:t>
      </w:r>
      <w:r w:rsidRPr="00167CB8">
        <w:tab/>
        <w:t xml:space="preserve">These remaining transitional instruments set pay and conditions for covered employees, and many provide take-home pay and conditions inferior to those provided by the relevant modern award that would otherwise apply. Sunsetting these transitional instruments (following an extended transitional period provided upon commencement of the Fair Work Act more than a decade ago) is expected to uplift terms and conditions of employment </w:t>
      </w:r>
      <w:r>
        <w:t xml:space="preserve">for </w:t>
      </w:r>
      <w:r w:rsidRPr="00167CB8" w:rsidDel="00871B1E">
        <w:t xml:space="preserve">many </w:t>
      </w:r>
      <w:r w:rsidRPr="00167CB8">
        <w:t>employees as they would become covered by the relevant modern award or (if made) enterprise agreement.</w:t>
      </w:r>
    </w:p>
    <w:p w14:paraId="64D176AF" w14:textId="4330C775" w:rsidR="00924664" w:rsidRPr="00167CB8" w:rsidRDefault="00924664" w:rsidP="00924664">
      <w:r w:rsidRPr="396ABCA7">
        <w:t>In removing inferior conditions, the Australian Government also stated:</w:t>
      </w:r>
      <w:r w:rsidRPr="396ABCA7">
        <w:rPr>
          <w:rStyle w:val="FootnoteReference"/>
        </w:rPr>
        <w:footnoteReference w:id="908"/>
      </w:r>
    </w:p>
    <w:p w14:paraId="52C31155" w14:textId="77777777" w:rsidR="00924664" w:rsidRPr="00167CB8" w:rsidRDefault="00924664" w:rsidP="00846DC0">
      <w:pPr>
        <w:pStyle w:val="Quote"/>
      </w:pPr>
      <w:r w:rsidRPr="00167CB8">
        <w:t>employers will no longer have to compete with businesses operating under terms and conditions of employment that were assessed under an inferior test … [and] [b]usinesses would be bound by the relevant modern award which sets employees’ pay and conditions (alone or in combination with contracts of employment), or may opt to bargain for a new agreement better suited to their circumstances. This will level the playing field, reduce complexity and encourage agreement making.</w:t>
      </w:r>
    </w:p>
    <w:p w14:paraId="207CCA17" w14:textId="77777777" w:rsidR="00924664" w:rsidRPr="00406556" w:rsidRDefault="00924664" w:rsidP="00EC3517">
      <w:pPr>
        <w:pStyle w:val="Heading4"/>
      </w:pPr>
      <w:bookmarkStart w:id="330" w:name="_Toc189260272"/>
      <w:bookmarkStart w:id="331" w:name="_Toc189393588"/>
      <w:r w:rsidRPr="00406556">
        <w:t>21.2 Impact and issues</w:t>
      </w:r>
      <w:bookmarkEnd w:id="330"/>
      <w:bookmarkEnd w:id="331"/>
    </w:p>
    <w:p w14:paraId="6E619085" w14:textId="77777777" w:rsidR="00924664" w:rsidRPr="00167CB8" w:rsidRDefault="00924664" w:rsidP="00924664">
      <w:r w:rsidRPr="396ABCA7">
        <w:t>The Secure Jobs, Better Pay Act introduced provisions which required employers to give affected employees notice by 6 June 2023 that their agreement would automatically terminate at the end of 6 December 2023. The notice was required to include information about the automatic sunsetting, its timing and the FWC’s role in extending the default period.</w:t>
      </w:r>
    </w:p>
    <w:p w14:paraId="2FF2390D" w14:textId="77777777" w:rsidR="00924664" w:rsidRPr="00167CB8" w:rsidRDefault="00924664" w:rsidP="00924664">
      <w:r w:rsidRPr="00167CB8">
        <w:t>The FWC published extensive material to support employers with the provisions, including:</w:t>
      </w:r>
    </w:p>
    <w:p w14:paraId="7A836F93" w14:textId="77777777" w:rsidR="00924664" w:rsidRPr="00167CB8" w:rsidRDefault="00924664" w:rsidP="003F7EE6">
      <w:pPr>
        <w:pStyle w:val="ListBullet"/>
        <w:numPr>
          <w:ilvl w:val="0"/>
          <w:numId w:val="4"/>
        </w:numPr>
      </w:pPr>
      <w:r w:rsidRPr="00167CB8">
        <w:t>a guide for employers around providing the written notice to employees</w:t>
      </w:r>
      <w:r w:rsidRPr="00167CB8">
        <w:rPr>
          <w:rStyle w:val="FootnoteReference"/>
        </w:rPr>
        <w:footnoteReference w:id="909"/>
      </w:r>
    </w:p>
    <w:p w14:paraId="1F5C6206" w14:textId="77777777" w:rsidR="00924664" w:rsidRPr="00167CB8" w:rsidRDefault="00924664" w:rsidP="003F7EE6">
      <w:pPr>
        <w:pStyle w:val="ListBullet"/>
        <w:numPr>
          <w:ilvl w:val="0"/>
          <w:numId w:val="4"/>
        </w:numPr>
      </w:pPr>
      <w:r w:rsidRPr="00167CB8">
        <w:lastRenderedPageBreak/>
        <w:t>a template written notice</w:t>
      </w:r>
      <w:r w:rsidRPr="00167CB8">
        <w:rPr>
          <w:rStyle w:val="FootnoteReference"/>
        </w:rPr>
        <w:footnoteReference w:id="910"/>
      </w:r>
    </w:p>
    <w:p w14:paraId="36295154" w14:textId="77777777" w:rsidR="00924664" w:rsidRPr="00167CB8" w:rsidRDefault="00924664" w:rsidP="003F7EE6">
      <w:pPr>
        <w:pStyle w:val="ListBullet"/>
        <w:numPr>
          <w:ilvl w:val="0"/>
          <w:numId w:val="4"/>
        </w:numPr>
      </w:pPr>
      <w:r w:rsidRPr="396ABCA7">
        <w:t>a dedicated form for extension applications (Form F81)</w:t>
      </w:r>
      <w:r w:rsidRPr="396ABCA7">
        <w:rPr>
          <w:rStyle w:val="FootnoteReference"/>
        </w:rPr>
        <w:footnoteReference w:id="911"/>
      </w:r>
    </w:p>
    <w:p w14:paraId="6A21D27D" w14:textId="77777777" w:rsidR="00924664" w:rsidRPr="00167CB8" w:rsidRDefault="00924664" w:rsidP="003F7EE6">
      <w:pPr>
        <w:pStyle w:val="ListBullet"/>
        <w:numPr>
          <w:ilvl w:val="0"/>
          <w:numId w:val="4"/>
        </w:numPr>
      </w:pPr>
      <w:r w:rsidRPr="00167CB8">
        <w:t>information about how to make an application for an extension of the zombie agreement using the approved Form F81</w:t>
      </w:r>
      <w:r w:rsidRPr="00167CB8">
        <w:rPr>
          <w:rStyle w:val="FootnoteReference"/>
        </w:rPr>
        <w:footnoteReference w:id="912"/>
      </w:r>
    </w:p>
    <w:p w14:paraId="2E94F07C" w14:textId="77777777" w:rsidR="00924664" w:rsidRPr="00167CB8" w:rsidRDefault="00924664" w:rsidP="003F7EE6">
      <w:pPr>
        <w:pStyle w:val="ListBullet"/>
        <w:numPr>
          <w:ilvl w:val="0"/>
          <w:numId w:val="4"/>
        </w:numPr>
      </w:pPr>
      <w:r w:rsidRPr="396ABCA7">
        <w:t>an interactive checklist and fact sheet to help employees and employers determine if they were affected.</w:t>
      </w:r>
      <w:r w:rsidRPr="396ABCA7">
        <w:rPr>
          <w:rStyle w:val="FootnoteReference"/>
        </w:rPr>
        <w:footnoteReference w:id="913"/>
      </w:r>
    </w:p>
    <w:p w14:paraId="22DA8E2E" w14:textId="77777777" w:rsidR="00924664" w:rsidRPr="00167CB8" w:rsidRDefault="00924664" w:rsidP="00924664">
      <w:r w:rsidRPr="00167CB8">
        <w:t xml:space="preserve">The data relevant to assessing the </w:t>
      </w:r>
      <w:r>
        <w:t xml:space="preserve">operational </w:t>
      </w:r>
      <w:r w:rsidRPr="00167CB8">
        <w:t>effectiveness of these amendments comes in three forms: quantitative, qualitative and stakeholder views.</w:t>
      </w:r>
    </w:p>
    <w:p w14:paraId="358D38FA" w14:textId="77777777" w:rsidR="00924664" w:rsidRPr="00406556" w:rsidRDefault="00924664" w:rsidP="00EC3517">
      <w:pPr>
        <w:pStyle w:val="Heading5"/>
      </w:pPr>
      <w:r w:rsidRPr="00406556">
        <w:t>21.2.1 Quantitative evidence</w:t>
      </w:r>
    </w:p>
    <w:p w14:paraId="2EEBFE60" w14:textId="77777777" w:rsidR="0011475D" w:rsidRDefault="00924664" w:rsidP="00924664">
      <w:r w:rsidRPr="396ABCA7">
        <w:t>The quantitative data comes in three ways. First, at the end of 6 December 2023, all zombie agreements that were still in operation terminated</w:t>
      </w:r>
      <w:r>
        <w:t>,</w:t>
      </w:r>
      <w:r w:rsidRPr="396ABCA7">
        <w:t xml:space="preserve"> unless an application to the FWC to extend their operation was successful or pending at that date.</w:t>
      </w:r>
      <w:r w:rsidRPr="396ABCA7">
        <w:rPr>
          <w:rStyle w:val="FootnoteReference"/>
        </w:rPr>
        <w:footnoteReference w:id="914"/>
      </w:r>
    </w:p>
    <w:p w14:paraId="1363910B" w14:textId="77777777" w:rsidR="0011475D" w:rsidRDefault="00924664" w:rsidP="00924664">
      <w:r w:rsidRPr="396ABCA7">
        <w:t>It is unclear how many zombie agreements terminated on this date. This is in large part because the records for the various instruments are not available from one particular agency. For example, in July 2023 the President of the FWC noted that the FWC does ‘not have any records of AWAs [Australian Workplace Agreements], since the Commission was not the approving authority for this type of agreement, and for the same reason our records of collective agreements made in the 2006 to 2009 WorkChoices period are incomplete’.</w:t>
      </w:r>
      <w:r w:rsidRPr="396ABCA7">
        <w:rPr>
          <w:rStyle w:val="FootnoteReference"/>
        </w:rPr>
        <w:footnoteReference w:id="915"/>
      </w:r>
    </w:p>
    <w:p w14:paraId="5A81BFBC" w14:textId="54508612" w:rsidR="00924664" w:rsidRPr="00167CB8" w:rsidRDefault="00924664" w:rsidP="00924664">
      <w:r w:rsidRPr="00167CB8">
        <w:t>In the Secure Jobs, Better Pay Bill Regulation Impact Statement, the Department of Employment and Workplace Relations estimated that, in September 2019, 300,000 to 450,000 employees were covered by zombie agreements at that time.</w:t>
      </w:r>
      <w:r w:rsidRPr="00167CB8">
        <w:rPr>
          <w:rStyle w:val="FootnoteReference"/>
        </w:rPr>
        <w:footnoteReference w:id="916"/>
      </w:r>
      <w:r w:rsidRPr="00167CB8">
        <w:t xml:space="preserve"> However, as it is difficult to quantify how many zombie agreements were in operation and therefore the exact number of employees covered by zombie agreements, it is impossible to measure the number of zombie agreements that terminated and resulted in new enterprise agreements or employees reverting back to the relevant modern award.</w:t>
      </w:r>
    </w:p>
    <w:p w14:paraId="7B3AFC53" w14:textId="5DF9DB09" w:rsidR="0011475D" w:rsidRDefault="00924664" w:rsidP="00924664">
      <w:r w:rsidRPr="396ABCA7">
        <w:lastRenderedPageBreak/>
        <w:t xml:space="preserve">Second, </w:t>
      </w:r>
      <w:r>
        <w:t xml:space="preserve">between 6 December 2022 and </w:t>
      </w:r>
      <w:r w:rsidRPr="00A751B5">
        <w:t>31 December 2024</w:t>
      </w:r>
      <w:r>
        <w:t xml:space="preserve">, </w:t>
      </w:r>
      <w:r w:rsidRPr="396ABCA7">
        <w:t xml:space="preserve">the FWC received </w:t>
      </w:r>
      <w:r>
        <w:t>514</w:t>
      </w:r>
      <w:r w:rsidRPr="396ABCA7">
        <w:t xml:space="preserve"> applications to extend the default period for zombie </w:t>
      </w:r>
      <w:r w:rsidRPr="00A5604C">
        <w:t xml:space="preserve">agreements. Table </w:t>
      </w:r>
      <w:r w:rsidR="00F83A5D">
        <w:t>20</w:t>
      </w:r>
      <w:r w:rsidR="00F83A5D" w:rsidRPr="00A5604C">
        <w:t xml:space="preserve"> </w:t>
      </w:r>
      <w:r w:rsidRPr="00A5604C">
        <w:t>shows that</w:t>
      </w:r>
      <w:r w:rsidRPr="396ABCA7">
        <w:t xml:space="preserve">, of those applications, the FWC granted </w:t>
      </w:r>
      <w:r>
        <w:t>239</w:t>
      </w:r>
      <w:r w:rsidRPr="396ABCA7">
        <w:t xml:space="preserve"> extensions.</w:t>
      </w:r>
      <w:r w:rsidRPr="396ABCA7">
        <w:rPr>
          <w:rStyle w:val="FootnoteReference"/>
        </w:rPr>
        <w:footnoteReference w:id="917"/>
      </w:r>
    </w:p>
    <w:p w14:paraId="6D2099F8" w14:textId="4C919146" w:rsidR="00924664" w:rsidRPr="00167CB8" w:rsidRDefault="00F83A5D" w:rsidP="007F380D">
      <w:pPr>
        <w:pStyle w:val="Caption"/>
      </w:pPr>
      <w:bookmarkStart w:id="332" w:name="_Toc194251444"/>
      <w:r>
        <w:t xml:space="preserve">Table </w:t>
      </w:r>
      <w:r>
        <w:fldChar w:fldCharType="begin"/>
      </w:r>
      <w:r>
        <w:instrText xml:space="preserve"> SEQ Table \* ARABIC </w:instrText>
      </w:r>
      <w:r>
        <w:fldChar w:fldCharType="separate"/>
      </w:r>
      <w:r w:rsidR="00DE5F5E">
        <w:rPr>
          <w:noProof/>
        </w:rPr>
        <w:t>20</w:t>
      </w:r>
      <w:r>
        <w:fldChar w:fldCharType="end"/>
      </w:r>
      <w:r>
        <w:t xml:space="preserve">: </w:t>
      </w:r>
      <w:r w:rsidR="00924664" w:rsidRPr="00A751B5">
        <w:t>Applications to extend the default period for a zombie agreement (agreement-based transitional instrument, Division 2B State employment agreements and enterprise agreements made during the bridging period)</w:t>
      </w:r>
      <w:r w:rsidR="002E226E">
        <w:t>,</w:t>
      </w:r>
      <w:r w:rsidR="00924664" w:rsidRPr="00A751B5">
        <w:t xml:space="preserve"> 6 December 2022 </w:t>
      </w:r>
      <w:r w:rsidR="00924664" w:rsidRPr="00A751B5">
        <w:rPr>
          <w:rFonts w:ascii="Symbol" w:eastAsia="Symbol" w:hAnsi="Symbol" w:cs="Symbol"/>
        </w:rPr>
        <w:t>-</w:t>
      </w:r>
      <w:r w:rsidR="00924664" w:rsidRPr="00A751B5">
        <w:t xml:space="preserve"> 31 December 2024</w:t>
      </w:r>
      <w:bookmarkEnd w:id="332"/>
    </w:p>
    <w:tbl>
      <w:tblPr>
        <w:tblStyle w:val="TableGrid"/>
        <w:tblW w:w="8820" w:type="dxa"/>
        <w:tblLook w:val="04A0" w:firstRow="1" w:lastRow="0" w:firstColumn="1" w:lastColumn="0" w:noHBand="0" w:noVBand="1"/>
      </w:tblPr>
      <w:tblGrid>
        <w:gridCol w:w="4005"/>
        <w:gridCol w:w="4815"/>
      </w:tblGrid>
      <w:tr w:rsidR="00924664" w:rsidRPr="007B6AF7" w14:paraId="4DC1735F" w14:textId="77777777">
        <w:trPr>
          <w:trHeight w:val="462"/>
        </w:trPr>
        <w:tc>
          <w:tcPr>
            <w:tcW w:w="4005" w:type="dxa"/>
          </w:tcPr>
          <w:p w14:paraId="16BFA12E" w14:textId="77777777" w:rsidR="00924664" w:rsidRPr="00406556" w:rsidRDefault="00924664" w:rsidP="00406556">
            <w:pPr>
              <w:rPr>
                <w:b/>
                <w:bCs/>
                <w:sz w:val="20"/>
                <w:szCs w:val="20"/>
              </w:rPr>
            </w:pPr>
            <w:r w:rsidRPr="00406556">
              <w:rPr>
                <w:b/>
                <w:bCs/>
                <w:sz w:val="20"/>
                <w:szCs w:val="20"/>
              </w:rPr>
              <w:t>Outcome</w:t>
            </w:r>
          </w:p>
        </w:tc>
        <w:tc>
          <w:tcPr>
            <w:tcW w:w="4815" w:type="dxa"/>
          </w:tcPr>
          <w:p w14:paraId="50970C58" w14:textId="77777777" w:rsidR="00924664" w:rsidRPr="00406556" w:rsidRDefault="00924664" w:rsidP="00406556">
            <w:pPr>
              <w:jc w:val="right"/>
              <w:rPr>
                <w:b/>
                <w:bCs/>
                <w:sz w:val="20"/>
                <w:szCs w:val="20"/>
              </w:rPr>
            </w:pPr>
            <w:r w:rsidRPr="00406556">
              <w:rPr>
                <w:b/>
                <w:bCs/>
                <w:sz w:val="20"/>
                <w:szCs w:val="20"/>
              </w:rPr>
              <w:t>Number of applications</w:t>
            </w:r>
          </w:p>
        </w:tc>
      </w:tr>
      <w:tr w:rsidR="00924664" w:rsidRPr="007B6AF7" w14:paraId="650FA558" w14:textId="77777777">
        <w:trPr>
          <w:trHeight w:val="475"/>
        </w:trPr>
        <w:tc>
          <w:tcPr>
            <w:tcW w:w="4005" w:type="dxa"/>
          </w:tcPr>
          <w:p w14:paraId="1173D077" w14:textId="77777777" w:rsidR="00924664" w:rsidRPr="00406556" w:rsidRDefault="00924664" w:rsidP="00406556">
            <w:pPr>
              <w:rPr>
                <w:sz w:val="20"/>
                <w:szCs w:val="20"/>
              </w:rPr>
            </w:pPr>
            <w:r w:rsidRPr="00406556">
              <w:rPr>
                <w:sz w:val="20"/>
                <w:szCs w:val="20"/>
              </w:rPr>
              <w:t>Extension granted</w:t>
            </w:r>
          </w:p>
        </w:tc>
        <w:tc>
          <w:tcPr>
            <w:tcW w:w="4815" w:type="dxa"/>
          </w:tcPr>
          <w:p w14:paraId="23112D9D" w14:textId="77777777" w:rsidR="00924664" w:rsidRPr="00406556" w:rsidRDefault="00924664" w:rsidP="00406556">
            <w:pPr>
              <w:jc w:val="right"/>
              <w:rPr>
                <w:rFonts w:eastAsia="Times New Roman" w:cs="Calibri"/>
                <w:sz w:val="20"/>
                <w:szCs w:val="20"/>
                <w:lang w:eastAsia="en-AU"/>
              </w:rPr>
            </w:pPr>
            <w:r w:rsidRPr="00406556">
              <w:rPr>
                <w:rFonts w:eastAsia="Times New Roman" w:cs="Calibri"/>
                <w:sz w:val="20"/>
                <w:szCs w:val="20"/>
                <w:lang w:eastAsia="en-AU"/>
              </w:rPr>
              <w:t>239</w:t>
            </w:r>
          </w:p>
        </w:tc>
      </w:tr>
      <w:tr w:rsidR="00924664" w:rsidRPr="007B6AF7" w14:paraId="44A5056B" w14:textId="77777777">
        <w:trPr>
          <w:trHeight w:val="462"/>
        </w:trPr>
        <w:tc>
          <w:tcPr>
            <w:tcW w:w="4005" w:type="dxa"/>
          </w:tcPr>
          <w:p w14:paraId="2446FB7C" w14:textId="77777777" w:rsidR="00924664" w:rsidRPr="00406556" w:rsidRDefault="00924664" w:rsidP="00406556">
            <w:pPr>
              <w:rPr>
                <w:rFonts w:eastAsia="Times New Roman" w:cs="Calibri"/>
                <w:sz w:val="20"/>
                <w:szCs w:val="20"/>
                <w:lang w:eastAsia="en-AU"/>
              </w:rPr>
            </w:pPr>
            <w:r w:rsidRPr="00406556">
              <w:rPr>
                <w:rFonts w:eastAsia="Times New Roman" w:cs="Calibri"/>
                <w:sz w:val="20"/>
                <w:szCs w:val="20"/>
                <w:lang w:eastAsia="en-AU"/>
              </w:rPr>
              <w:t>Extension not granted</w:t>
            </w:r>
          </w:p>
        </w:tc>
        <w:tc>
          <w:tcPr>
            <w:tcW w:w="4815" w:type="dxa"/>
          </w:tcPr>
          <w:p w14:paraId="522A87B5" w14:textId="77777777" w:rsidR="00924664" w:rsidRPr="00406556" w:rsidRDefault="00924664" w:rsidP="00406556">
            <w:pPr>
              <w:jc w:val="right"/>
              <w:rPr>
                <w:rFonts w:eastAsia="Times New Roman" w:cs="Calibri"/>
                <w:sz w:val="20"/>
                <w:szCs w:val="20"/>
                <w:lang w:eastAsia="en-AU"/>
              </w:rPr>
            </w:pPr>
            <w:r w:rsidRPr="00406556">
              <w:rPr>
                <w:rFonts w:eastAsia="Times New Roman" w:cs="Calibri"/>
                <w:sz w:val="20"/>
                <w:szCs w:val="20"/>
                <w:lang w:eastAsia="en-AU"/>
              </w:rPr>
              <w:t>124</w:t>
            </w:r>
          </w:p>
        </w:tc>
      </w:tr>
      <w:tr w:rsidR="00924664" w:rsidRPr="007B6AF7" w14:paraId="268C84CD" w14:textId="77777777">
        <w:trPr>
          <w:trHeight w:val="462"/>
        </w:trPr>
        <w:tc>
          <w:tcPr>
            <w:tcW w:w="4005" w:type="dxa"/>
          </w:tcPr>
          <w:p w14:paraId="09CDAB79" w14:textId="77777777" w:rsidR="00924664" w:rsidRPr="00406556" w:rsidRDefault="00924664" w:rsidP="00406556">
            <w:pPr>
              <w:rPr>
                <w:sz w:val="20"/>
                <w:szCs w:val="20"/>
              </w:rPr>
            </w:pPr>
            <w:r w:rsidRPr="00406556">
              <w:rPr>
                <w:rFonts w:eastAsia="Times New Roman" w:cs="Calibri"/>
                <w:sz w:val="20"/>
                <w:szCs w:val="20"/>
                <w:lang w:eastAsia="en-AU"/>
              </w:rPr>
              <w:t>Application dismissed</w:t>
            </w:r>
          </w:p>
        </w:tc>
        <w:tc>
          <w:tcPr>
            <w:tcW w:w="4815" w:type="dxa"/>
          </w:tcPr>
          <w:p w14:paraId="3237ED04" w14:textId="77777777" w:rsidR="00924664" w:rsidRPr="00406556" w:rsidRDefault="00924664" w:rsidP="00406556">
            <w:pPr>
              <w:jc w:val="right"/>
              <w:rPr>
                <w:sz w:val="20"/>
                <w:szCs w:val="20"/>
              </w:rPr>
            </w:pPr>
            <w:r w:rsidRPr="00406556">
              <w:rPr>
                <w:sz w:val="20"/>
                <w:szCs w:val="20"/>
              </w:rPr>
              <w:t>4</w:t>
            </w:r>
          </w:p>
        </w:tc>
      </w:tr>
      <w:tr w:rsidR="00924664" w:rsidRPr="007B6AF7" w14:paraId="40883CDD" w14:textId="77777777">
        <w:trPr>
          <w:trHeight w:val="475"/>
        </w:trPr>
        <w:tc>
          <w:tcPr>
            <w:tcW w:w="4005" w:type="dxa"/>
          </w:tcPr>
          <w:p w14:paraId="77CF77D9" w14:textId="77777777" w:rsidR="00924664" w:rsidRPr="00406556" w:rsidRDefault="00924664" w:rsidP="00406556">
            <w:pPr>
              <w:rPr>
                <w:rFonts w:eastAsia="Times New Roman" w:cs="Calibri"/>
                <w:sz w:val="20"/>
                <w:szCs w:val="20"/>
                <w:lang w:eastAsia="en-AU"/>
              </w:rPr>
            </w:pPr>
            <w:r w:rsidRPr="00406556">
              <w:rPr>
                <w:rFonts w:eastAsia="Times New Roman" w:cs="Calibri"/>
                <w:sz w:val="20"/>
                <w:szCs w:val="20"/>
                <w:lang w:eastAsia="en-AU"/>
              </w:rPr>
              <w:t>Application withdrawn</w:t>
            </w:r>
          </w:p>
        </w:tc>
        <w:tc>
          <w:tcPr>
            <w:tcW w:w="4815" w:type="dxa"/>
          </w:tcPr>
          <w:p w14:paraId="6D35B5B1" w14:textId="77777777" w:rsidR="00924664" w:rsidRPr="00406556" w:rsidRDefault="00924664" w:rsidP="00406556">
            <w:pPr>
              <w:jc w:val="right"/>
              <w:rPr>
                <w:rFonts w:eastAsia="Times New Roman" w:cs="Calibri"/>
                <w:sz w:val="20"/>
                <w:szCs w:val="20"/>
                <w:lang w:eastAsia="en-AU"/>
              </w:rPr>
            </w:pPr>
            <w:r w:rsidRPr="00406556">
              <w:rPr>
                <w:rFonts w:eastAsia="Times New Roman" w:cs="Calibri"/>
                <w:sz w:val="20"/>
                <w:szCs w:val="20"/>
                <w:lang w:eastAsia="en-AU"/>
              </w:rPr>
              <w:t>127</w:t>
            </w:r>
          </w:p>
        </w:tc>
      </w:tr>
      <w:tr w:rsidR="00924664" w:rsidRPr="007B6AF7" w14:paraId="25F85638" w14:textId="77777777">
        <w:trPr>
          <w:trHeight w:val="462"/>
        </w:trPr>
        <w:tc>
          <w:tcPr>
            <w:tcW w:w="4005" w:type="dxa"/>
          </w:tcPr>
          <w:p w14:paraId="4593C3F9" w14:textId="77777777" w:rsidR="00924664" w:rsidRPr="00406556" w:rsidRDefault="00924664" w:rsidP="00406556">
            <w:pPr>
              <w:rPr>
                <w:rFonts w:eastAsia="Times New Roman" w:cs="Calibri"/>
                <w:sz w:val="20"/>
                <w:szCs w:val="20"/>
                <w:lang w:eastAsia="en-AU"/>
              </w:rPr>
            </w:pPr>
            <w:r w:rsidRPr="00406556">
              <w:rPr>
                <w:rFonts w:eastAsia="Times New Roman" w:cs="Calibri"/>
                <w:sz w:val="20"/>
                <w:szCs w:val="20"/>
                <w:lang w:eastAsia="en-AU"/>
              </w:rPr>
              <w:t>Awaiting outcome</w:t>
            </w:r>
          </w:p>
        </w:tc>
        <w:tc>
          <w:tcPr>
            <w:tcW w:w="4815" w:type="dxa"/>
          </w:tcPr>
          <w:p w14:paraId="50D2118E" w14:textId="77777777" w:rsidR="00924664" w:rsidRPr="00406556" w:rsidRDefault="00924664" w:rsidP="00406556">
            <w:pPr>
              <w:jc w:val="right"/>
              <w:rPr>
                <w:rFonts w:eastAsia="Times New Roman" w:cs="Calibri"/>
                <w:sz w:val="20"/>
                <w:szCs w:val="20"/>
                <w:lang w:eastAsia="en-AU"/>
              </w:rPr>
            </w:pPr>
            <w:r w:rsidRPr="00406556">
              <w:rPr>
                <w:rFonts w:eastAsia="Times New Roman" w:cs="Calibri"/>
                <w:sz w:val="20"/>
                <w:szCs w:val="20"/>
                <w:lang w:eastAsia="en-AU"/>
              </w:rPr>
              <w:t>20</w:t>
            </w:r>
          </w:p>
        </w:tc>
      </w:tr>
      <w:tr w:rsidR="00924664" w:rsidRPr="007B6AF7" w14:paraId="282380D2" w14:textId="77777777">
        <w:trPr>
          <w:trHeight w:val="462"/>
        </w:trPr>
        <w:tc>
          <w:tcPr>
            <w:tcW w:w="4005" w:type="dxa"/>
          </w:tcPr>
          <w:p w14:paraId="43106FD2" w14:textId="77777777" w:rsidR="00924664" w:rsidRPr="00406556" w:rsidRDefault="00924664" w:rsidP="00406556">
            <w:pPr>
              <w:rPr>
                <w:rFonts w:eastAsia="Times New Roman" w:cs="Calibri"/>
                <w:sz w:val="20"/>
                <w:szCs w:val="20"/>
                <w:lang w:eastAsia="en-AU"/>
              </w:rPr>
            </w:pPr>
            <w:r w:rsidRPr="00406556">
              <w:rPr>
                <w:rFonts w:eastAsia="Times New Roman" w:cs="Calibri"/>
                <w:sz w:val="20"/>
                <w:szCs w:val="20"/>
                <w:lang w:eastAsia="en-AU"/>
              </w:rPr>
              <w:t>Total applications</w:t>
            </w:r>
          </w:p>
        </w:tc>
        <w:tc>
          <w:tcPr>
            <w:tcW w:w="4815" w:type="dxa"/>
          </w:tcPr>
          <w:p w14:paraId="689E9E15" w14:textId="77777777" w:rsidR="00924664" w:rsidRPr="00406556" w:rsidRDefault="00924664" w:rsidP="00406556">
            <w:pPr>
              <w:jc w:val="right"/>
              <w:rPr>
                <w:rFonts w:eastAsia="Times New Roman" w:cs="Calibri"/>
                <w:sz w:val="20"/>
                <w:szCs w:val="20"/>
                <w:lang w:eastAsia="en-AU"/>
              </w:rPr>
            </w:pPr>
            <w:r w:rsidRPr="00406556">
              <w:rPr>
                <w:rFonts w:eastAsia="Times New Roman" w:cs="Calibri"/>
                <w:sz w:val="20"/>
                <w:szCs w:val="20"/>
                <w:lang w:eastAsia="en-AU"/>
              </w:rPr>
              <w:t>514</w:t>
            </w:r>
          </w:p>
        </w:tc>
      </w:tr>
    </w:tbl>
    <w:p w14:paraId="7511AF0F" w14:textId="2DB3B383" w:rsidR="00924664" w:rsidRPr="00167CB8" w:rsidRDefault="00924664" w:rsidP="00924664">
      <w:pPr>
        <w:pStyle w:val="Source"/>
      </w:pPr>
      <w:r w:rsidRPr="00167CB8">
        <w:rPr>
          <w:b/>
          <w:bCs/>
        </w:rPr>
        <w:t>Source:</w:t>
      </w:r>
      <w:r w:rsidRPr="00167CB8">
        <w:t xml:space="preserve"> Data provided to the Review by the </w:t>
      </w:r>
      <w:r w:rsidR="00EC3517">
        <w:t>Fair Work Commission</w:t>
      </w:r>
      <w:r w:rsidRPr="00167CB8">
        <w:t>.</w:t>
      </w:r>
    </w:p>
    <w:p w14:paraId="4275CA2F" w14:textId="6D4D4809" w:rsidR="00924664" w:rsidRPr="00167CB8" w:rsidRDefault="00924664" w:rsidP="00924664">
      <w:pPr>
        <w:spacing w:before="240"/>
      </w:pPr>
      <w:r w:rsidRPr="396ABCA7">
        <w:t>Third</w:t>
      </w:r>
      <w:r w:rsidRPr="00101EB8">
        <w:t xml:space="preserve">, as noted </w:t>
      </w:r>
      <w:r w:rsidRPr="006762E8">
        <w:t>in Table 1</w:t>
      </w:r>
      <w:r w:rsidR="006762E8" w:rsidRPr="00406556">
        <w:t>5</w:t>
      </w:r>
      <w:r w:rsidRPr="006762E8">
        <w:t xml:space="preserve"> in Chapter 17</w:t>
      </w:r>
      <w:r w:rsidRPr="00101EB8">
        <w:t>, agreement</w:t>
      </w:r>
      <w:r w:rsidRPr="396ABCA7">
        <w:t xml:space="preserve"> approval applications in 2023</w:t>
      </w:r>
      <w:r w:rsidRPr="396ABCA7">
        <w:rPr>
          <w:rFonts w:ascii="Symbol" w:eastAsia="Symbol" w:hAnsi="Symbol" w:cs="Symbol"/>
        </w:rPr>
        <w:t>-</w:t>
      </w:r>
      <w:r w:rsidRPr="396ABCA7">
        <w:t xml:space="preserve">24 are at a </w:t>
      </w:r>
      <w:r w:rsidR="002E226E">
        <w:t>five</w:t>
      </w:r>
      <w:r w:rsidRPr="396ABCA7">
        <w:t>-year high, with almost 1,000 more applications in 2023</w:t>
      </w:r>
      <w:r w:rsidRPr="396ABCA7">
        <w:rPr>
          <w:rFonts w:ascii="Symbol" w:eastAsia="Symbol" w:hAnsi="Symbol" w:cs="Symbol"/>
        </w:rPr>
        <w:t>-</w:t>
      </w:r>
      <w:r w:rsidRPr="396ABCA7">
        <w:t>24 (4,790)</w:t>
      </w:r>
      <w:r w:rsidRPr="396ABCA7">
        <w:rPr>
          <w:rStyle w:val="FootnoteReference"/>
        </w:rPr>
        <w:footnoteReference w:id="918"/>
      </w:r>
      <w:r w:rsidRPr="396ABCA7">
        <w:t xml:space="preserve"> compared to 2019</w:t>
      </w:r>
      <w:r w:rsidRPr="396ABCA7">
        <w:rPr>
          <w:rFonts w:ascii="Symbol" w:eastAsia="Symbol" w:hAnsi="Symbol" w:cs="Symbol"/>
        </w:rPr>
        <w:t>-</w:t>
      </w:r>
      <w:r w:rsidRPr="396ABCA7">
        <w:t>20 (3,795).</w:t>
      </w:r>
      <w:r w:rsidRPr="396ABCA7">
        <w:rPr>
          <w:rStyle w:val="FootnoteReference"/>
        </w:rPr>
        <w:footnoteReference w:id="919"/>
      </w:r>
    </w:p>
    <w:p w14:paraId="3BDA511B" w14:textId="77777777" w:rsidR="00924664" w:rsidRPr="00406556" w:rsidRDefault="00924664" w:rsidP="00EC3517">
      <w:pPr>
        <w:pStyle w:val="Heading5"/>
      </w:pPr>
      <w:r w:rsidRPr="00406556">
        <w:t>21.2.2 Qualitative evidence</w:t>
      </w:r>
    </w:p>
    <w:p w14:paraId="31B5D2FA" w14:textId="69D962EF" w:rsidR="0011475D" w:rsidRDefault="00924664" w:rsidP="00924664">
      <w:r w:rsidRPr="396ABCA7">
        <w:t xml:space="preserve">In a statement issued on 2 August 2023, the President of the FWC noted that the FWC had begun receiving applications to extend the default period for zombie agreements. The President referred to the Full Bench decision </w:t>
      </w:r>
      <w:r w:rsidRPr="396ABCA7">
        <w:rPr>
          <w:i/>
          <w:iCs/>
        </w:rPr>
        <w:t>Suncoast Scaffold Pty Ltd As Trustee For The Warren Family Trust T/A Suncoast Scaffold Pty Ltd</w:t>
      </w:r>
      <w:r w:rsidRPr="396ABCA7">
        <w:rPr>
          <w:rStyle w:val="FootnoteReference"/>
        </w:rPr>
        <w:footnoteReference w:id="920"/>
      </w:r>
      <w:r w:rsidRPr="396ABCA7">
        <w:t xml:space="preserve"> (</w:t>
      </w:r>
      <w:r w:rsidRPr="396ABCA7">
        <w:rPr>
          <w:i/>
          <w:iCs/>
        </w:rPr>
        <w:t>Suncoast Scaffold</w:t>
      </w:r>
      <w:r w:rsidRPr="396ABCA7">
        <w:t>), which identified general principles applicable to applications to extend the default period for a zombie agreement.</w:t>
      </w:r>
    </w:p>
    <w:p w14:paraId="0A8F3DBC" w14:textId="6386486F" w:rsidR="00924664" w:rsidRPr="00167CB8" w:rsidRDefault="00924664" w:rsidP="00924664">
      <w:r w:rsidRPr="00167CB8">
        <w:t xml:space="preserve">On 16 June 2023 the Full Bench of FWC in </w:t>
      </w:r>
      <w:r w:rsidRPr="00167CB8">
        <w:rPr>
          <w:i/>
        </w:rPr>
        <w:t>Suncoast Scaffold</w:t>
      </w:r>
      <w:r w:rsidRPr="00167CB8">
        <w:t xml:space="preserve"> dismissed an application to extend the default period for a transitional agreement, holding that the relevant employees under the </w:t>
      </w:r>
      <w:r w:rsidRPr="00167CB8">
        <w:rPr>
          <w:i/>
        </w:rPr>
        <w:t xml:space="preserve">Trustee </w:t>
      </w:r>
      <w:r w:rsidRPr="00167CB8">
        <w:rPr>
          <w:i/>
          <w:iCs/>
        </w:rPr>
        <w:t>F</w:t>
      </w:r>
      <w:r w:rsidRPr="00167CB8">
        <w:rPr>
          <w:i/>
        </w:rPr>
        <w:t xml:space="preserve">or </w:t>
      </w:r>
      <w:r w:rsidRPr="00167CB8">
        <w:rPr>
          <w:i/>
          <w:iCs/>
        </w:rPr>
        <w:t>T</w:t>
      </w:r>
      <w:r w:rsidRPr="00167CB8">
        <w:rPr>
          <w:i/>
        </w:rPr>
        <w:t>he</w:t>
      </w:r>
      <w:r w:rsidRPr="00167CB8">
        <w:t xml:space="preserve"> </w:t>
      </w:r>
      <w:r w:rsidRPr="00167CB8">
        <w:rPr>
          <w:i/>
        </w:rPr>
        <w:t xml:space="preserve">Warren Family Trust t/a Suncoast Scaffold Pty Ltd </w:t>
      </w:r>
      <w:r w:rsidRPr="00167CB8">
        <w:rPr>
          <w:i/>
          <w:iCs/>
        </w:rPr>
        <w:t xml:space="preserve">Employee Collective Agreement 2009 </w:t>
      </w:r>
      <w:r w:rsidRPr="00167CB8">
        <w:t xml:space="preserve">would not be ‘better off overall’ when compared against the relevant modern award/s as required </w:t>
      </w:r>
      <w:r w:rsidRPr="007A6F97">
        <w:t>by Part 13</w:t>
      </w:r>
      <w:r w:rsidRPr="00167CB8">
        <w:t xml:space="preserve"> of Schedule 1, subitem 20A(9), of the Secure Jobs, Better Pay Act.</w:t>
      </w:r>
      <w:r w:rsidRPr="00167CB8">
        <w:rPr>
          <w:rStyle w:val="FootnoteReference"/>
        </w:rPr>
        <w:footnoteReference w:id="921"/>
      </w:r>
    </w:p>
    <w:p w14:paraId="344009BF" w14:textId="77777777" w:rsidR="00924664" w:rsidRPr="00167CB8" w:rsidRDefault="00924664" w:rsidP="00924664">
      <w:r w:rsidRPr="396ABCA7">
        <w:t xml:space="preserve">The Full Bench was not satisfied the award-covered employees would be better off if this agreement continued to apply compared to if the awards applied due to the employees’ lack of </w:t>
      </w:r>
      <w:r w:rsidRPr="396ABCA7">
        <w:lastRenderedPageBreak/>
        <w:t>access to award entitlements and being disadvantaged financially.</w:t>
      </w:r>
      <w:r w:rsidRPr="396ABCA7">
        <w:rPr>
          <w:rStyle w:val="FootnoteReference"/>
        </w:rPr>
        <w:footnoteReference w:id="922"/>
      </w:r>
      <w:r w:rsidRPr="396ABCA7">
        <w:t xml:space="preserve"> The Full Bench concluded that it was not reasonable to extend the ‘default period’.</w:t>
      </w:r>
      <w:r w:rsidRPr="396ABCA7">
        <w:rPr>
          <w:rStyle w:val="FootnoteReference"/>
        </w:rPr>
        <w:footnoteReference w:id="923"/>
      </w:r>
    </w:p>
    <w:p w14:paraId="17C2C3EC" w14:textId="37433240" w:rsidR="00924664" w:rsidRPr="00167CB8" w:rsidRDefault="00924664" w:rsidP="00924664">
      <w:r w:rsidRPr="396ABCA7">
        <w:t xml:space="preserve">The main principle outlined was the interpretation of ‘better off overall’ in subitem 20A(9) in the larger context of deciding whether or not to extend the default period for a zombie agreement. The Full Bench provided </w:t>
      </w:r>
      <w:r w:rsidR="002E226E">
        <w:t>two</w:t>
      </w:r>
      <w:r w:rsidRPr="396ABCA7">
        <w:t xml:space="preserve"> main reasons </w:t>
      </w:r>
      <w:r w:rsidRPr="004F4F35">
        <w:t>why</w:t>
      </w:r>
      <w:r w:rsidRPr="396ABCA7">
        <w:t xml:space="preserve"> this test was different to the Better Off Overall Test (BOOT):</w:t>
      </w:r>
    </w:p>
    <w:p w14:paraId="25E2FEEA" w14:textId="77777777" w:rsidR="00924664" w:rsidRPr="00167CB8" w:rsidRDefault="00924664" w:rsidP="003F7EE6">
      <w:pPr>
        <w:pStyle w:val="ListBullet"/>
        <w:numPr>
          <w:ilvl w:val="0"/>
          <w:numId w:val="4"/>
        </w:numPr>
      </w:pPr>
      <w:r w:rsidRPr="396ABCA7">
        <w:t>The test under subitem 20A(9) ‘does not require an individualised assessment’ but that the award employees be ‘viewed as a group’ in the comparison between the transitional instrument and relevant award.</w:t>
      </w:r>
      <w:r w:rsidRPr="396ABCA7">
        <w:rPr>
          <w:rStyle w:val="FootnoteReference"/>
        </w:rPr>
        <w:footnoteReference w:id="924"/>
      </w:r>
    </w:p>
    <w:p w14:paraId="105A2A1B" w14:textId="77777777" w:rsidR="00924664" w:rsidRPr="00167CB8" w:rsidRDefault="00924664" w:rsidP="003F7EE6">
      <w:pPr>
        <w:pStyle w:val="ListBullet"/>
        <w:numPr>
          <w:ilvl w:val="0"/>
          <w:numId w:val="4"/>
        </w:numPr>
      </w:pPr>
      <w:r w:rsidRPr="396ABCA7">
        <w:t>The ‘better off overall’ requirement under subitem 20A(9) only has to meet the threshold of ‘likelihood’ of the employee being better off overall, compared to the FWC being satisfied the enterprise agreement passes the BOOT.</w:t>
      </w:r>
      <w:r w:rsidRPr="396ABCA7">
        <w:rPr>
          <w:rStyle w:val="FootnoteReference"/>
        </w:rPr>
        <w:footnoteReference w:id="925"/>
      </w:r>
    </w:p>
    <w:p w14:paraId="26144049" w14:textId="77777777" w:rsidR="0011475D" w:rsidRDefault="00924664" w:rsidP="00924664">
      <w:r w:rsidRPr="396ABCA7">
        <w:t>The Full Bench mentioned that the ‘better off overall criterion is less stringent’ than the BOOT that applies to enterprise agreement approval applications.</w:t>
      </w:r>
      <w:r w:rsidRPr="396ABCA7">
        <w:rPr>
          <w:rStyle w:val="FootnoteReference"/>
        </w:rPr>
        <w:footnoteReference w:id="926"/>
      </w:r>
    </w:p>
    <w:p w14:paraId="2CDAE218" w14:textId="5E600E5F" w:rsidR="00924664" w:rsidRPr="005E5DBC" w:rsidRDefault="00924664" w:rsidP="00EC3517">
      <w:pPr>
        <w:pStyle w:val="Heading5"/>
      </w:pPr>
      <w:r w:rsidRPr="005E5DBC">
        <w:t>21.2.3 Stakeholder views</w:t>
      </w:r>
    </w:p>
    <w:p w14:paraId="0EB9D875" w14:textId="77777777" w:rsidR="0011475D" w:rsidRDefault="00924664" w:rsidP="00924664">
      <w:r w:rsidRPr="396ABCA7">
        <w:t>Stakeholders largely expressed that the provisions relating to the sunsetting of zombie agreements were positive and the amendments have operated as intended.</w:t>
      </w:r>
    </w:p>
    <w:p w14:paraId="60076232" w14:textId="119CC364" w:rsidR="0011475D" w:rsidRDefault="00924664" w:rsidP="00924664">
      <w:r w:rsidRPr="396ABCA7">
        <w:t>Ai Group, for example, stated that, ‘while termination of zombie agreements has created difficulty for some employers</w:t>
      </w:r>
      <w:r w:rsidR="008C05F6">
        <w:t>’</w:t>
      </w:r>
      <w:r w:rsidRPr="396ABCA7">
        <w:t xml:space="preserve">, Ai Group nonetheless acknowledge that the Secure Jobs, Better Pay amendments relating to the sunsetting of </w:t>
      </w:r>
      <w:r w:rsidR="00876421">
        <w:t>’</w:t>
      </w:r>
      <w:r w:rsidRPr="396ABCA7">
        <w:t>zombie</w:t>
      </w:r>
      <w:r w:rsidR="00876421">
        <w:t>’</w:t>
      </w:r>
      <w:r w:rsidRPr="396ABCA7">
        <w:t xml:space="preserve"> agreements are </w:t>
      </w:r>
      <w:r w:rsidR="00C71090">
        <w:t>‘</w:t>
      </w:r>
      <w:r w:rsidRPr="396ABCA7">
        <w:t>operating as envisaged and no further amendments to the relevant legislative provisions are proposed’.</w:t>
      </w:r>
      <w:r w:rsidRPr="396ABCA7">
        <w:rPr>
          <w:rStyle w:val="FootnoteReference"/>
        </w:rPr>
        <w:footnoteReference w:id="927"/>
      </w:r>
    </w:p>
    <w:p w14:paraId="71727652" w14:textId="58E816FE" w:rsidR="0011475D" w:rsidRDefault="00924664" w:rsidP="00924664">
      <w:r w:rsidRPr="00167CB8">
        <w:t>The Shop, Distributive and Allied Employees Association (SDA) strongly supported the measures and stated that they were ‘a necessary measure to eradicate outdated agreements that undermine fair work conditions’.</w:t>
      </w:r>
      <w:r w:rsidRPr="00167CB8">
        <w:rPr>
          <w:rStyle w:val="FootnoteReference"/>
        </w:rPr>
        <w:footnoteReference w:id="928"/>
      </w:r>
      <w:r w:rsidRPr="00167CB8">
        <w:t xml:space="preserve"> The Australian Nursing and Midwifery Federation stated that the expiration of zombie agreements assisted several branches to renegotiate new agreements with employers seeking to maintain certain conditions.</w:t>
      </w:r>
      <w:r w:rsidRPr="00167CB8">
        <w:rPr>
          <w:rStyle w:val="FootnoteReference"/>
        </w:rPr>
        <w:footnoteReference w:id="929"/>
      </w:r>
      <w:r w:rsidRPr="00167CB8">
        <w:t xml:space="preserve"> Similarly, the Australian Council of Trade Unions</w:t>
      </w:r>
      <w:r w:rsidR="004F4F35">
        <w:t xml:space="preserve"> (ACTU)</w:t>
      </w:r>
      <w:r w:rsidRPr="00167CB8">
        <w:t xml:space="preserve"> submitted that ‘in many circumstances the sunsetting of a Zombie Agreement has been responsible for restarting long stalled negotiations for a new agreement’.</w:t>
      </w:r>
      <w:r w:rsidRPr="00167CB8">
        <w:rPr>
          <w:rStyle w:val="FootnoteReference"/>
        </w:rPr>
        <w:footnoteReference w:id="930"/>
      </w:r>
    </w:p>
    <w:p w14:paraId="170FDFBE" w14:textId="164F0B55" w:rsidR="00924664" w:rsidRPr="00167CB8" w:rsidRDefault="00924664" w:rsidP="00924664">
      <w:r w:rsidRPr="00167CB8">
        <w:t xml:space="preserve">Master Grocers Australia, however, submitted that the process happened too quickly, stating that ‘in the future, employers [should] be provided with at least 36 months to prepare and </w:t>
      </w:r>
      <w:r w:rsidRPr="00167CB8">
        <w:lastRenderedPageBreak/>
        <w:t>implement major operational changes’</w:t>
      </w:r>
      <w:r w:rsidRPr="00167CB8">
        <w:rPr>
          <w:rStyle w:val="FootnoteReference"/>
        </w:rPr>
        <w:footnoteReference w:id="931"/>
      </w:r>
      <w:r w:rsidRPr="00167CB8">
        <w:t xml:space="preserve"> and ‘where an employer is forced to make major operational changes to its business at the initiative of government policy, that funding and resources are made available and offered to all employer associations registered with the FWC to support impacted member businesses’.</w:t>
      </w:r>
      <w:r w:rsidRPr="00167CB8">
        <w:rPr>
          <w:rStyle w:val="FootnoteReference"/>
        </w:rPr>
        <w:footnoteReference w:id="932"/>
      </w:r>
    </w:p>
    <w:p w14:paraId="5707327F" w14:textId="281AAE51" w:rsidR="00924664" w:rsidRPr="00167CB8" w:rsidRDefault="00924664" w:rsidP="00924664">
      <w:r w:rsidRPr="396ABCA7">
        <w:t xml:space="preserve">The United Workers Union (UWU) and SDA noted that there are a number of agreements made after 2010 that may provide pay and conditions below the award. </w:t>
      </w:r>
      <w:r w:rsidR="004F4F35">
        <w:t xml:space="preserve">The </w:t>
      </w:r>
      <w:r w:rsidRPr="004F4F35">
        <w:t>UWU</w:t>
      </w:r>
      <w:r w:rsidRPr="396ABCA7">
        <w:t xml:space="preserve"> submitted that ‘there remains a further gap in respect to the continued operation of old enterprise agreements’, including those that were subject to the ‘no disadvantage test’, a less rigorous BOOT, agreements that have been replaced but have not been terminated and those agreements that may have passed the BOOT at test time but now contain rates of pay and terms and conditions below the award.</w:t>
      </w:r>
      <w:r w:rsidRPr="396ABCA7">
        <w:rPr>
          <w:rStyle w:val="FootnoteReference"/>
        </w:rPr>
        <w:footnoteReference w:id="933"/>
      </w:r>
      <w:r w:rsidRPr="396ABCA7">
        <w:t xml:space="preserve"> The SDA submitted that there remains a cohort of zombie agreements made between 2010 and 2016 that continue to operate and ‘may still contain terms less favourable than the relevant modern awards’.</w:t>
      </w:r>
      <w:r w:rsidRPr="396ABCA7">
        <w:rPr>
          <w:rStyle w:val="FootnoteReference"/>
        </w:rPr>
        <w:footnoteReference w:id="934"/>
      </w:r>
      <w:r w:rsidRPr="396ABCA7">
        <w:t xml:space="preserve"> The SDA noted </w:t>
      </w:r>
      <w:r w:rsidR="002E226E">
        <w:t xml:space="preserve">it has </w:t>
      </w:r>
      <w:r w:rsidRPr="396ABCA7">
        <w:t>been actively lodging termination applications for these agreements and proposed allowing ‘[a] union who has interest in an industry [to] be able to make an application to terminate an agreement where there is no union party to an agreement’.</w:t>
      </w:r>
      <w:r w:rsidRPr="396ABCA7">
        <w:rPr>
          <w:rStyle w:val="FootnoteReference"/>
        </w:rPr>
        <w:footnoteReference w:id="935"/>
      </w:r>
    </w:p>
    <w:p w14:paraId="505DA23B" w14:textId="3E004688" w:rsidR="0011475D" w:rsidRDefault="00924664" w:rsidP="00924664">
      <w:pPr>
        <w:rPr>
          <w:rFonts w:cs="Calibri"/>
        </w:rPr>
      </w:pPr>
      <w:r w:rsidRPr="00C015E5">
        <w:rPr>
          <w:rFonts w:cs="Calibri"/>
        </w:rPr>
        <w:t xml:space="preserve">Stakeholder views in response to the </w:t>
      </w:r>
      <w:r w:rsidR="004F4F35">
        <w:rPr>
          <w:rFonts w:cs="Calibri"/>
        </w:rPr>
        <w:t>d</w:t>
      </w:r>
      <w:r w:rsidRPr="00C015E5">
        <w:rPr>
          <w:rFonts w:cs="Calibri"/>
        </w:rPr>
        <w:t xml:space="preserve">raft </w:t>
      </w:r>
      <w:r w:rsidR="004F4F35">
        <w:rPr>
          <w:rFonts w:cs="Calibri"/>
        </w:rPr>
        <w:t>r</w:t>
      </w:r>
      <w:r w:rsidRPr="00C015E5">
        <w:rPr>
          <w:rFonts w:cs="Calibri"/>
        </w:rPr>
        <w:t>eport remained consistent with those expressed in initial submissions.</w:t>
      </w:r>
    </w:p>
    <w:p w14:paraId="240AE401" w14:textId="5AC619DC" w:rsidR="00924664" w:rsidRPr="00C015E5" w:rsidRDefault="00924664" w:rsidP="00924664">
      <w:pPr>
        <w:rPr>
          <w:rFonts w:cs="Calibri"/>
        </w:rPr>
      </w:pPr>
      <w:r w:rsidRPr="00C015E5">
        <w:rPr>
          <w:rFonts w:cs="Calibri"/>
        </w:rPr>
        <w:t xml:space="preserve">The SDA welcomed the proposed findings of the Review Panel that reforms are operating as intended and reiterated </w:t>
      </w:r>
      <w:r w:rsidR="002E226E">
        <w:rPr>
          <w:rFonts w:cs="Calibri"/>
        </w:rPr>
        <w:t xml:space="preserve">its </w:t>
      </w:r>
      <w:r w:rsidRPr="00C015E5">
        <w:rPr>
          <w:rFonts w:cs="Calibri"/>
        </w:rPr>
        <w:t>concerns that agreements with pay and conditions below the award continue to operate.</w:t>
      </w:r>
      <w:r w:rsidRPr="00C015E5">
        <w:rPr>
          <w:rStyle w:val="FootnoteReference"/>
          <w:rFonts w:cs="Calibri"/>
        </w:rPr>
        <w:footnoteReference w:id="936"/>
      </w:r>
      <w:r w:rsidRPr="00C015E5">
        <w:rPr>
          <w:rFonts w:cs="Calibri"/>
        </w:rPr>
        <w:t xml:space="preserve"> The SDA, ACTU and </w:t>
      </w:r>
      <w:r w:rsidR="004F4F35" w:rsidRPr="004F4F35">
        <w:rPr>
          <w:rFonts w:cs="Calibri"/>
        </w:rPr>
        <w:t xml:space="preserve">Mining and Energy Union </w:t>
      </w:r>
      <w:r w:rsidR="004F4F35">
        <w:rPr>
          <w:rFonts w:cs="Calibri"/>
        </w:rPr>
        <w:t>(</w:t>
      </w:r>
      <w:r w:rsidRPr="00C015E5">
        <w:rPr>
          <w:rFonts w:cs="Calibri"/>
        </w:rPr>
        <w:t>MEU</w:t>
      </w:r>
      <w:r w:rsidR="004F4F35">
        <w:rPr>
          <w:rFonts w:cs="Calibri"/>
        </w:rPr>
        <w:t>)</w:t>
      </w:r>
      <w:r w:rsidRPr="00C015E5">
        <w:rPr>
          <w:rFonts w:cs="Calibri"/>
        </w:rPr>
        <w:t xml:space="preserve"> expressed support for the Review Panel’s recommendation to undertake research to further quantify the incidence and coverage of enterprise agreements nominally expired more than five years ago</w:t>
      </w:r>
      <w:r w:rsidR="002E226E">
        <w:rPr>
          <w:rFonts w:cs="Calibri"/>
        </w:rPr>
        <w:t>;</w:t>
      </w:r>
      <w:r w:rsidRPr="00C015E5">
        <w:rPr>
          <w:rFonts w:cs="Calibri"/>
        </w:rPr>
        <w:t xml:space="preserve"> and to compare wages and conditions to the applicable modern awards.</w:t>
      </w:r>
      <w:r w:rsidRPr="00C015E5">
        <w:rPr>
          <w:rStyle w:val="FootnoteReference"/>
          <w:rFonts w:cs="Calibri"/>
        </w:rPr>
        <w:footnoteReference w:id="937"/>
      </w:r>
      <w:r w:rsidRPr="00C015E5">
        <w:rPr>
          <w:rFonts w:cs="Calibri"/>
        </w:rPr>
        <w:t xml:space="preserve"> Both the SDA and</w:t>
      </w:r>
      <w:r w:rsidR="002E226E">
        <w:rPr>
          <w:rFonts w:cs="Calibri"/>
        </w:rPr>
        <w:t xml:space="preserve"> the </w:t>
      </w:r>
      <w:r w:rsidRPr="00C015E5">
        <w:rPr>
          <w:rFonts w:cs="Calibri"/>
        </w:rPr>
        <w:t>ACTU request</w:t>
      </w:r>
      <w:r w:rsidR="004F4F35">
        <w:rPr>
          <w:rFonts w:cs="Calibri"/>
        </w:rPr>
        <w:t>ed</w:t>
      </w:r>
      <w:r w:rsidRPr="00C015E5">
        <w:rPr>
          <w:rFonts w:cs="Calibri"/>
        </w:rPr>
        <w:t xml:space="preserve"> that the Panel make this a formal (numbered) recommendation. The MEU submit</w:t>
      </w:r>
      <w:r w:rsidR="004F4F35">
        <w:rPr>
          <w:rFonts w:cs="Calibri"/>
        </w:rPr>
        <w:t>ted</w:t>
      </w:r>
      <w:r w:rsidRPr="00C015E5">
        <w:rPr>
          <w:rFonts w:cs="Calibri"/>
        </w:rPr>
        <w:t xml:space="preserve"> that further reform should not wait for the receipt of such research and there is ample case law demonstrating the significance of the problem.</w:t>
      </w:r>
      <w:r w:rsidRPr="00C015E5">
        <w:rPr>
          <w:rStyle w:val="FootnoteReference"/>
          <w:rFonts w:cs="Calibri"/>
        </w:rPr>
        <w:footnoteReference w:id="938"/>
      </w:r>
    </w:p>
    <w:p w14:paraId="50D9B136" w14:textId="634592E5" w:rsidR="00924664" w:rsidRDefault="00924664" w:rsidP="00924664">
      <w:pPr>
        <w:rPr>
          <w:rFonts w:cs="Calibri"/>
        </w:rPr>
      </w:pPr>
      <w:r w:rsidRPr="00C015E5">
        <w:rPr>
          <w:rFonts w:cs="Calibri"/>
        </w:rPr>
        <w:t xml:space="preserve">The SDA also reiterated </w:t>
      </w:r>
      <w:r w:rsidR="002E226E">
        <w:rPr>
          <w:rFonts w:cs="Calibri"/>
        </w:rPr>
        <w:t xml:space="preserve">its </w:t>
      </w:r>
      <w:r w:rsidRPr="00C015E5">
        <w:rPr>
          <w:rFonts w:cs="Calibri"/>
        </w:rPr>
        <w:t>proposal to allow unions with standing to apply for the termination of an agreement where they are not covered by the agreement.</w:t>
      </w:r>
      <w:r w:rsidRPr="00C015E5">
        <w:rPr>
          <w:rStyle w:val="FootnoteReference"/>
          <w:rFonts w:cs="Calibri"/>
        </w:rPr>
        <w:footnoteReference w:id="939"/>
      </w:r>
    </w:p>
    <w:p w14:paraId="4A703CF5" w14:textId="77777777" w:rsidR="00924664" w:rsidRPr="002663AA" w:rsidRDefault="00924664" w:rsidP="00EC3517">
      <w:pPr>
        <w:pStyle w:val="Heading4"/>
      </w:pPr>
      <w:bookmarkStart w:id="333" w:name="_Toc189260273"/>
      <w:bookmarkStart w:id="334" w:name="_Toc189393589"/>
      <w:r w:rsidRPr="002663AA">
        <w:t>21.3 Findings and recommendations</w:t>
      </w:r>
      <w:bookmarkEnd w:id="333"/>
      <w:bookmarkEnd w:id="334"/>
    </w:p>
    <w:p w14:paraId="41237C33" w14:textId="77777777" w:rsidR="0011475D" w:rsidRDefault="00924664" w:rsidP="00924664">
      <w:r w:rsidRPr="396ABCA7">
        <w:t>At the end of 6 December 2023, all zombie agreements that were still in operation automatically terminated unless their operation was extended by the FWC or an application for an extension was pending at that time. There are a small number of zombie agreements that are still in operation, because the FWC has granted extensions to their default periods.</w:t>
      </w:r>
    </w:p>
    <w:p w14:paraId="6ADCB1EC" w14:textId="7970F5E1" w:rsidR="00924664" w:rsidRPr="00167CB8" w:rsidRDefault="00924664" w:rsidP="00924664">
      <w:r w:rsidRPr="396ABCA7">
        <w:lastRenderedPageBreak/>
        <w:t xml:space="preserve">The data demonstrates that enterprise bargaining has increased and coverage of enterprise agreements is at the highest level since </w:t>
      </w:r>
      <w:r w:rsidR="002E226E">
        <w:t xml:space="preserve">the </w:t>
      </w:r>
      <w:r w:rsidRPr="396ABCA7">
        <w:t xml:space="preserve">March quarter </w:t>
      </w:r>
      <w:r w:rsidR="002E226E">
        <w:t xml:space="preserve">of </w:t>
      </w:r>
      <w:r w:rsidRPr="396ABCA7">
        <w:t>2020.</w:t>
      </w:r>
      <w:r w:rsidRPr="396ABCA7">
        <w:rPr>
          <w:rStyle w:val="FootnoteReference"/>
        </w:rPr>
        <w:footnoteReference w:id="940"/>
      </w:r>
      <w:r w:rsidRPr="396ABCA7">
        <w:t xml:space="preserve"> This may also suggest that the Secure Jobs, Better Pay amendments (including the sunsetting of zombie agreements) has had a positive effect on enterprise bargaining. However, it is too early to say whether the Secure Jobs, Better Pay amendments more generally will result in a long-term increase in enterprise bargaining.</w:t>
      </w:r>
    </w:p>
    <w:p w14:paraId="2FA297D5" w14:textId="77777777" w:rsidR="00924664" w:rsidRPr="00167CB8" w:rsidRDefault="00924664" w:rsidP="00924664">
      <w:r w:rsidRPr="396ABCA7">
        <w:t>The evidence before the Review Panel suggests that the provisions relating to the sunsetting of zombie agreements are operating appropriately and as intended.</w:t>
      </w:r>
    </w:p>
    <w:p w14:paraId="46F16E2D" w14:textId="7A0914AD" w:rsidR="0017134D" w:rsidRDefault="00924664" w:rsidP="00924664">
      <w:r w:rsidRPr="004F4F35">
        <w:t>While agreements made before the Fair Work Act commenced (or fully commenced) have terminated (unless extended on application to the FWC or an application for extension is</w:t>
      </w:r>
      <w:r w:rsidRPr="396ABCA7">
        <w:t xml:space="preserve"> pending), there remains a number of agreements made after 2010 that have long since passed their nominal expiry date and continue to operate. Some of these agreements were potentially approved at a time when pay and conditions were in a period of transition between pre-</w:t>
      </w:r>
      <w:r w:rsidR="002E226E">
        <w:t>m</w:t>
      </w:r>
      <w:r w:rsidRPr="396ABCA7">
        <w:t xml:space="preserve">odern </w:t>
      </w:r>
      <w:r w:rsidR="002E226E">
        <w:t>a</w:t>
      </w:r>
      <w:r w:rsidRPr="396ABCA7">
        <w:t xml:space="preserve">wards and </w:t>
      </w:r>
      <w:r w:rsidR="002E226E">
        <w:t>m</w:t>
      </w:r>
      <w:r w:rsidRPr="396ABCA7">
        <w:t xml:space="preserve">odern </w:t>
      </w:r>
      <w:r w:rsidR="002E226E">
        <w:t>a</w:t>
      </w:r>
      <w:r w:rsidRPr="396ABCA7">
        <w:t>wards</w:t>
      </w:r>
      <w:r>
        <w:t>,</w:t>
      </w:r>
      <w:r w:rsidRPr="396ABCA7">
        <w:t xml:space="preserve"> meaning they may not have been assessed against current pay </w:t>
      </w:r>
      <w:r w:rsidRPr="004F4F35">
        <w:t xml:space="preserve">and conditions. </w:t>
      </w:r>
      <w:r w:rsidR="004F4F35">
        <w:t xml:space="preserve">The </w:t>
      </w:r>
      <w:r w:rsidRPr="004F4F35">
        <w:t>UWU and SDA submitted that these agreements may contain rates of pay,</w:t>
      </w:r>
      <w:r w:rsidRPr="396ABCA7">
        <w:t xml:space="preserve"> terms and conditions that are below the relevant awards. The Review Panel acknowledges this may be the case and therefore considers that further data is required to identify the incidence of agreements that meet this criterion. </w:t>
      </w:r>
      <w:r w:rsidR="00492533" w:rsidRPr="396ABCA7">
        <w:t xml:space="preserve">The Review Panel recommends that further research to quantify the incidence and coverage of enterprise agreements that have nominally expired more than five years ago and identify the wages and conditions under these instruments as compared to the applicable modern awards should be undertaken </w:t>
      </w:r>
      <w:r w:rsidR="00492533" w:rsidRPr="00C015E5">
        <w:t>in advance of a further review (see Recommendation 1).</w:t>
      </w:r>
    </w:p>
    <w:p w14:paraId="6BFDF8AF" w14:textId="093A420C" w:rsidR="000A0EB4" w:rsidRDefault="000A0EB4">
      <w:pPr>
        <w:spacing w:after="160"/>
      </w:pPr>
      <w:r>
        <w:br w:type="page"/>
      </w:r>
    </w:p>
    <w:p w14:paraId="13B7AFF4" w14:textId="77777777" w:rsidR="000A0EB4" w:rsidRPr="00167CB8" w:rsidRDefault="000A0EB4" w:rsidP="000A0EB4">
      <w:pPr>
        <w:pStyle w:val="Heading2"/>
        <w:rPr>
          <w:rFonts w:asciiTheme="minorHAnsi" w:hAnsiTheme="minorHAnsi"/>
        </w:rPr>
      </w:pPr>
      <w:bookmarkStart w:id="335" w:name="_Toc189260180"/>
      <w:bookmarkStart w:id="336" w:name="_Toc189260274"/>
      <w:bookmarkStart w:id="337" w:name="_Toc189393590"/>
      <w:bookmarkStart w:id="338" w:name="_Toc192258077"/>
      <w:bookmarkStart w:id="339" w:name="_Toc194311429"/>
      <w:r w:rsidRPr="00167CB8">
        <w:rPr>
          <w:rFonts w:asciiTheme="minorHAnsi" w:hAnsiTheme="minorHAnsi"/>
        </w:rPr>
        <w:lastRenderedPageBreak/>
        <w:t>Part 3. Job security and gender equality</w:t>
      </w:r>
      <w:bookmarkEnd w:id="335"/>
      <w:bookmarkEnd w:id="336"/>
      <w:bookmarkEnd w:id="337"/>
      <w:bookmarkEnd w:id="338"/>
      <w:bookmarkEnd w:id="339"/>
    </w:p>
    <w:p w14:paraId="55EB7DDD" w14:textId="77777777" w:rsidR="0011475D" w:rsidRDefault="000A0EB4" w:rsidP="000A0EB4">
      <w:r w:rsidRPr="396ABCA7">
        <w:t>In the following chapters the Review Panel focuses on legislative changes broadly classified as ‘job security and gender equality’. It is important to note that changes concerning collective bargaining and agreement making, discussed in Part 2 of this report, will also have a bearing on job security and gender equality. The specific Secure Jobs, Better Pay amendments considered in this part relate to:</w:t>
      </w:r>
    </w:p>
    <w:p w14:paraId="7793C7E0" w14:textId="7351079B" w:rsidR="000A0EB4" w:rsidRPr="00167CB8" w:rsidRDefault="002E226E" w:rsidP="003F7EE6">
      <w:pPr>
        <w:pStyle w:val="ListBullet"/>
        <w:numPr>
          <w:ilvl w:val="0"/>
          <w:numId w:val="4"/>
        </w:numPr>
      </w:pPr>
      <w:r>
        <w:t>p</w:t>
      </w:r>
      <w:r w:rsidR="000A0EB4" w:rsidRPr="00167CB8">
        <w:t>aid family and domestic violence leave</w:t>
      </w:r>
    </w:p>
    <w:p w14:paraId="7B67C340" w14:textId="069DBDB9" w:rsidR="000A0EB4" w:rsidRPr="00167CB8" w:rsidRDefault="002E226E" w:rsidP="003F7EE6">
      <w:pPr>
        <w:pStyle w:val="ListBullet"/>
        <w:numPr>
          <w:ilvl w:val="0"/>
          <w:numId w:val="4"/>
        </w:numPr>
      </w:pPr>
      <w:r>
        <w:t>t</w:t>
      </w:r>
      <w:r w:rsidR="000A0EB4" w:rsidRPr="00167CB8">
        <w:t>he Objects of the Fair Work Act</w:t>
      </w:r>
    </w:p>
    <w:p w14:paraId="56BA5739" w14:textId="6C8411C9" w:rsidR="000A0EB4" w:rsidRPr="00167CB8" w:rsidRDefault="002E226E" w:rsidP="003F7EE6">
      <w:pPr>
        <w:pStyle w:val="ListBullet"/>
        <w:numPr>
          <w:ilvl w:val="0"/>
          <w:numId w:val="4"/>
        </w:numPr>
      </w:pPr>
      <w:r>
        <w:t>e</w:t>
      </w:r>
      <w:r w:rsidR="000A0EB4" w:rsidRPr="396ABCA7">
        <w:t>qual remuneration and work value</w:t>
      </w:r>
    </w:p>
    <w:p w14:paraId="45B111FA" w14:textId="21AB32F9" w:rsidR="000A0EB4" w:rsidRPr="00167CB8" w:rsidRDefault="002E226E" w:rsidP="003F7EE6">
      <w:pPr>
        <w:pStyle w:val="ListBullet"/>
        <w:numPr>
          <w:ilvl w:val="0"/>
          <w:numId w:val="4"/>
        </w:numPr>
      </w:pPr>
      <w:r>
        <w:t>p</w:t>
      </w:r>
      <w:r w:rsidR="000A0EB4" w:rsidRPr="00167CB8">
        <w:t>ay secrecy</w:t>
      </w:r>
    </w:p>
    <w:p w14:paraId="350B8FB8" w14:textId="3FCF441D" w:rsidR="000A0EB4" w:rsidRPr="00167CB8" w:rsidRDefault="002E226E" w:rsidP="003F7EE6">
      <w:pPr>
        <w:pStyle w:val="ListBullet"/>
        <w:numPr>
          <w:ilvl w:val="0"/>
          <w:numId w:val="4"/>
        </w:numPr>
      </w:pPr>
      <w:r>
        <w:t>s</w:t>
      </w:r>
      <w:r w:rsidR="000A0EB4" w:rsidRPr="00167CB8">
        <w:t>exual harassment in connection with work</w:t>
      </w:r>
    </w:p>
    <w:p w14:paraId="17954EE7" w14:textId="0D74D538" w:rsidR="000A0EB4" w:rsidRPr="00167CB8" w:rsidRDefault="002E226E" w:rsidP="003F7EE6">
      <w:pPr>
        <w:pStyle w:val="ListBullet"/>
        <w:numPr>
          <w:ilvl w:val="0"/>
          <w:numId w:val="4"/>
        </w:numPr>
      </w:pPr>
      <w:r>
        <w:t>a</w:t>
      </w:r>
      <w:r w:rsidR="000A0EB4" w:rsidRPr="00167CB8">
        <w:t>nti-discrimination</w:t>
      </w:r>
    </w:p>
    <w:p w14:paraId="5600AB37" w14:textId="058C046E" w:rsidR="000A0EB4" w:rsidRPr="00167CB8" w:rsidRDefault="002E226E" w:rsidP="003F7EE6">
      <w:pPr>
        <w:pStyle w:val="ListBullet"/>
        <w:numPr>
          <w:ilvl w:val="0"/>
          <w:numId w:val="4"/>
        </w:numPr>
      </w:pPr>
      <w:r>
        <w:t>f</w:t>
      </w:r>
      <w:r w:rsidR="000A0EB4" w:rsidRPr="00167CB8">
        <w:t>ixed</w:t>
      </w:r>
      <w:r w:rsidR="008B6582">
        <w:t xml:space="preserve"> </w:t>
      </w:r>
      <w:r w:rsidR="000A0EB4" w:rsidRPr="00167CB8">
        <w:t>term contracts</w:t>
      </w:r>
    </w:p>
    <w:p w14:paraId="72B538C4" w14:textId="51559549" w:rsidR="000A0EB4" w:rsidRPr="00167CB8" w:rsidRDefault="002E226E" w:rsidP="003F7EE6">
      <w:pPr>
        <w:pStyle w:val="ListBullet"/>
        <w:numPr>
          <w:ilvl w:val="0"/>
          <w:numId w:val="4"/>
        </w:numPr>
      </w:pPr>
      <w:r>
        <w:t>f</w:t>
      </w:r>
      <w:r w:rsidR="000A0EB4" w:rsidRPr="00167CB8">
        <w:t>lexible work</w:t>
      </w:r>
    </w:p>
    <w:p w14:paraId="2D4FA49A" w14:textId="5B4CFD0A" w:rsidR="000A0EB4" w:rsidRPr="00167CB8" w:rsidRDefault="002E226E" w:rsidP="003F7EE6">
      <w:pPr>
        <w:pStyle w:val="ListBullet"/>
        <w:numPr>
          <w:ilvl w:val="0"/>
          <w:numId w:val="4"/>
        </w:numPr>
      </w:pPr>
      <w:r>
        <w:t>u</w:t>
      </w:r>
      <w:r w:rsidR="000A0EB4" w:rsidRPr="00167CB8">
        <w:t>npaid parental leave.</w:t>
      </w:r>
    </w:p>
    <w:p w14:paraId="636A62E9" w14:textId="77777777" w:rsidR="000A0EB4" w:rsidRDefault="000A0EB4" w:rsidP="000A0EB4">
      <w:pPr>
        <w:spacing w:after="160"/>
        <w:rPr>
          <w:rFonts w:eastAsiaTheme="majorEastAsia" w:cstheme="majorBidi"/>
          <w:b/>
          <w:color w:val="0D2C6C" w:themeColor="text1"/>
          <w:sz w:val="32"/>
          <w:szCs w:val="24"/>
        </w:rPr>
      </w:pPr>
      <w:bookmarkStart w:id="340" w:name="_Toc188003337"/>
      <w:bookmarkStart w:id="341" w:name="_Toc188277923"/>
      <w:bookmarkStart w:id="342" w:name="_Toc189260275"/>
      <w:r>
        <w:br w:type="page"/>
      </w:r>
    </w:p>
    <w:p w14:paraId="036182FA" w14:textId="77777777" w:rsidR="000A0EB4" w:rsidRPr="00181361" w:rsidRDefault="000A0EB4" w:rsidP="00EC3517">
      <w:pPr>
        <w:pStyle w:val="Heading3"/>
      </w:pPr>
      <w:bookmarkStart w:id="343" w:name="_Toc189393591"/>
      <w:bookmarkStart w:id="344" w:name="_Toc194311430"/>
      <w:r w:rsidRPr="00181361">
        <w:lastRenderedPageBreak/>
        <w:t>Chapter 22. Introduction to job security and gender equality</w:t>
      </w:r>
      <w:bookmarkEnd w:id="340"/>
      <w:bookmarkEnd w:id="341"/>
      <w:bookmarkEnd w:id="342"/>
      <w:bookmarkEnd w:id="343"/>
      <w:bookmarkEnd w:id="344"/>
    </w:p>
    <w:p w14:paraId="4EEA6DBD" w14:textId="039785C4" w:rsidR="000A0EB4" w:rsidRDefault="000A0EB4" w:rsidP="000A0EB4">
      <w:bookmarkStart w:id="345" w:name="_Toc189260276"/>
      <w:r w:rsidRPr="396ABCA7">
        <w:t>This introductory chapter aims to provide some context to the</w:t>
      </w:r>
      <w:r>
        <w:t xml:space="preserve"> job security and gender equality</w:t>
      </w:r>
      <w:r w:rsidRPr="396ABCA7">
        <w:t xml:space="preserve"> amendments considered in this Part 3 of the report. The chapter has </w:t>
      </w:r>
      <w:r>
        <w:t>two</w:t>
      </w:r>
      <w:r w:rsidRPr="396ABCA7">
        <w:t xml:space="preserve"> main objectives. First, it examines the evolving nature of the labour market over recent decades, with a particular focus on gender. </w:t>
      </w:r>
      <w:r>
        <w:t>Its</w:t>
      </w:r>
      <w:r w:rsidRPr="396ABCA7">
        <w:t xml:space="preserve"> primary goal is to highlight particular trends</w:t>
      </w:r>
      <w:r>
        <w:t>, including</w:t>
      </w:r>
      <w:r w:rsidRPr="396ABCA7">
        <w:t xml:space="preserve"> the increasing workforce participation of women (especially those in their 30s and older)</w:t>
      </w:r>
      <w:r w:rsidR="004C1B64">
        <w:t>;</w:t>
      </w:r>
      <w:r w:rsidRPr="396ABCA7">
        <w:t xml:space="preserve"> the rise of non-standard employment (such as part-time and casual jobs)</w:t>
      </w:r>
      <w:r w:rsidR="004C1B64">
        <w:t>;</w:t>
      </w:r>
      <w:r w:rsidRPr="396ABCA7">
        <w:t xml:space="preserve"> and significant shifts in the industrial structure, notably toward service industries </w:t>
      </w:r>
      <w:r w:rsidRPr="004F4F35">
        <w:t>like health</w:t>
      </w:r>
      <w:r w:rsidR="004C1B64" w:rsidRPr="004F4F35">
        <w:t xml:space="preserve"> </w:t>
      </w:r>
      <w:r w:rsidRPr="004F4F35">
        <w:t>care and</w:t>
      </w:r>
      <w:r w:rsidRPr="396ABCA7">
        <w:t xml:space="preserve"> education. The analysis underscores the growing presence and importance of women in the labour market and the necessity for industrial relations policies and laws that accommodate their needs. These needs include equal pay, flexible work arrangements, predictable schedules and pay, support for work</w:t>
      </w:r>
      <w:r w:rsidR="004C1B64">
        <w:rPr>
          <w:rFonts w:ascii="Symbol" w:eastAsia="Symbol" w:hAnsi="Symbol" w:cs="Symbol"/>
        </w:rPr>
        <w:sym w:font="Symbol" w:char="F02D"/>
      </w:r>
      <w:r w:rsidRPr="396ABCA7">
        <w:t>life balance, protection from sexual harassment, and provisions for domestic violence leave</w:t>
      </w:r>
      <w:r w:rsidR="004C1B64">
        <w:t xml:space="preserve"> </w:t>
      </w:r>
      <w:r w:rsidR="004C1B64">
        <w:rPr>
          <w:rFonts w:ascii="Symbol" w:eastAsia="Symbol" w:hAnsi="Symbol" w:cs="Symbol"/>
        </w:rPr>
        <w:sym w:font="Symbol" w:char="F02D"/>
      </w:r>
      <w:r w:rsidR="004C1B64">
        <w:t xml:space="preserve"> </w:t>
      </w:r>
      <w:r w:rsidRPr="396ABCA7">
        <w:t>elements that collectively define ‘decent work’ standards.</w:t>
      </w:r>
    </w:p>
    <w:p w14:paraId="1280B8FD" w14:textId="77777777" w:rsidR="000A0EB4" w:rsidRDefault="000A0EB4" w:rsidP="000A0EB4">
      <w:r w:rsidRPr="396ABCA7">
        <w:t xml:space="preserve">The second </w:t>
      </w:r>
      <w:r>
        <w:t>aim of this introductory chapter</w:t>
      </w:r>
      <w:r w:rsidRPr="396ABCA7">
        <w:t xml:space="preserve"> is to provide an overview of recent work value cases and related rulings by the Fair Work Commission (FWC</w:t>
      </w:r>
      <w:r>
        <w:t>).</w:t>
      </w:r>
      <w:r w:rsidRPr="396ABCA7">
        <w:rPr>
          <w:rStyle w:val="FootnoteReference"/>
        </w:rPr>
        <w:footnoteReference w:id="941"/>
      </w:r>
      <w:r w:rsidRPr="396ABCA7">
        <w:t xml:space="preserve"> This discussion is complemented by a descriptive analysis of the gender wage gap (GWG), a key indicator of women’s status and progress in the labour market.</w:t>
      </w:r>
    </w:p>
    <w:p w14:paraId="656ED001" w14:textId="77777777" w:rsidR="0011475D" w:rsidRDefault="000A0EB4" w:rsidP="000A0EB4">
      <w:r>
        <w:t xml:space="preserve">The chapter is organised as follows. It begins in section 22.1 </w:t>
      </w:r>
      <w:r w:rsidRPr="00167CB8">
        <w:t xml:space="preserve">with a historical overview of wage setting in Australia, emphasising the gendered nature of the </w:t>
      </w:r>
      <w:r>
        <w:t xml:space="preserve">industrial relations </w:t>
      </w:r>
      <w:r w:rsidRPr="00167CB8">
        <w:t>system and its role in perpetuating gender inequalities. Section 22.2 describes</w:t>
      </w:r>
      <w:r>
        <w:t xml:space="preserve"> </w:t>
      </w:r>
      <w:r w:rsidRPr="00167CB8">
        <w:t>trends in employment</w:t>
      </w:r>
      <w:r>
        <w:t xml:space="preserve">, hours worked and labour force status </w:t>
      </w:r>
      <w:r w:rsidRPr="00167CB8">
        <w:t>by gender. Section 22.3 focuses on the GWG. Section 22.4 concludes the chapter.</w:t>
      </w:r>
    </w:p>
    <w:p w14:paraId="59500AA2" w14:textId="464879A0" w:rsidR="000A0EB4" w:rsidRPr="00187FD0" w:rsidRDefault="000A0EB4" w:rsidP="00EC3517">
      <w:pPr>
        <w:pStyle w:val="Heading4"/>
      </w:pPr>
      <w:bookmarkStart w:id="346" w:name="_Toc189393592"/>
      <w:r w:rsidRPr="00187FD0">
        <w:t>22</w:t>
      </w:r>
      <w:r w:rsidRPr="00187FD0" w:rsidDel="00203F96">
        <w:t>.1</w:t>
      </w:r>
      <w:r w:rsidRPr="00187FD0">
        <w:t xml:space="preserve"> Historical context</w:t>
      </w:r>
      <w:bookmarkEnd w:id="345"/>
      <w:bookmarkEnd w:id="346"/>
    </w:p>
    <w:p w14:paraId="6EB4C563" w14:textId="72F2FC9F" w:rsidR="000A0EB4" w:rsidRPr="00167CB8" w:rsidRDefault="000A0EB4" w:rsidP="000A0EB4">
      <w:r w:rsidRPr="396ABCA7">
        <w:t>Historically, the Australian industrial relations system has not been conducive to gender equality.</w:t>
      </w:r>
      <w:r w:rsidRPr="396ABCA7">
        <w:rPr>
          <w:rStyle w:val="FootnoteReference"/>
          <w:rFonts w:ascii="Calibri" w:hAnsi="Calibri" w:cs="Calibri"/>
          <w:sz w:val="24"/>
          <w:szCs w:val="24"/>
        </w:rPr>
        <w:footnoteReference w:id="942"/>
      </w:r>
      <w:r w:rsidRPr="396ABCA7">
        <w:t xml:space="preserve"> It was built around a male ‘breadwinner’ model, where the male basic wage was determined based on family needs </w:t>
      </w:r>
      <w:r w:rsidRPr="396ABCA7">
        <w:rPr>
          <w:rFonts w:ascii="Symbol" w:eastAsia="Symbol" w:hAnsi="Symbol" w:cs="Symbol"/>
        </w:rPr>
        <w:t>-</w:t>
      </w:r>
      <w:r w:rsidRPr="396ABCA7">
        <w:t xml:space="preserve"> being a wage that was sufficient for a husband to support his wife and </w:t>
      </w:r>
      <w:r w:rsidR="004C1B64">
        <w:t>three</w:t>
      </w:r>
      <w:r w:rsidRPr="396ABCA7">
        <w:t xml:space="preserve"> children. In contrast, a decade after the male basic wage was established, the female basic wage was calculated based on individual needs, at 54% of the male basic wage.</w:t>
      </w:r>
      <w:r w:rsidRPr="396ABCA7">
        <w:rPr>
          <w:rStyle w:val="FootnoteReference"/>
          <w:rFonts w:ascii="Calibri" w:hAnsi="Calibri" w:cs="Calibri"/>
          <w:sz w:val="24"/>
          <w:szCs w:val="24"/>
        </w:rPr>
        <w:footnoteReference w:id="943"/>
      </w:r>
      <w:r w:rsidRPr="396ABCA7">
        <w:t xml:space="preserve"> Gender wage discrimination was embedded in the industrial relations system from the outset.</w:t>
      </w:r>
      <w:r w:rsidRPr="396ABCA7">
        <w:rPr>
          <w:rStyle w:val="FootnoteReference"/>
          <w:rFonts w:ascii="Calibri" w:hAnsi="Calibri" w:cs="Calibri"/>
          <w:sz w:val="24"/>
          <w:szCs w:val="24"/>
        </w:rPr>
        <w:footnoteReference w:id="944"/>
      </w:r>
    </w:p>
    <w:p w14:paraId="0F9A75EE" w14:textId="77777777" w:rsidR="0011475D" w:rsidRDefault="000A0EB4" w:rsidP="000A0EB4">
      <w:r w:rsidRPr="396ABCA7">
        <w:t>By prioritising the needs of men, the system inherently advantaged full-time workers in traditional, standard employment. The manufacturing sector, in particular, was afforded a privileged position within this framework, not only due to its economic significance at the time but also because of its strong union representation.</w:t>
      </w:r>
    </w:p>
    <w:p w14:paraId="3B549B97" w14:textId="77777777" w:rsidR="0011475D" w:rsidRDefault="000A0EB4" w:rsidP="000A0EB4">
      <w:r w:rsidRPr="396ABCA7">
        <w:t xml:space="preserve">This historical framework has also played a significant role in entrenching the high levels of occupational and industry segregation that continue to define Australia’s labour market today. </w:t>
      </w:r>
      <w:r w:rsidRPr="396ABCA7">
        <w:lastRenderedPageBreak/>
        <w:t>These persistent patterns reinforce traditional gender roles and limit opportunities for women, perpetuating systemic barriers to achieving gender equality in the workplace.</w:t>
      </w:r>
      <w:r w:rsidRPr="396ABCA7">
        <w:rPr>
          <w:rStyle w:val="FootnoteReference"/>
          <w:rFonts w:ascii="Calibri" w:hAnsi="Calibri" w:cs="Calibri"/>
          <w:sz w:val="24"/>
          <w:szCs w:val="24"/>
        </w:rPr>
        <w:footnoteReference w:id="945"/>
      </w:r>
    </w:p>
    <w:p w14:paraId="72735818" w14:textId="502F55B2" w:rsidR="000A0EB4" w:rsidRPr="00167CB8" w:rsidRDefault="000A0EB4" w:rsidP="000A0EB4">
      <w:r w:rsidRPr="396ABCA7">
        <w:t xml:space="preserve">Although the industrial relations system has undergone gradual reforms over time, the Secure Jobs, Better Pay amendments are intended to take further steps in tackling systemic barriers to gender equality in the workplace. Key measures to implement this intent, </w:t>
      </w:r>
      <w:r>
        <w:t>which are discussed in later chapters of this report</w:t>
      </w:r>
      <w:r w:rsidR="004C1B64">
        <w:t>,</w:t>
      </w:r>
      <w:r>
        <w:t xml:space="preserve"> include</w:t>
      </w:r>
      <w:r w:rsidRPr="396ABCA7">
        <w:t xml:space="preserve"> </w:t>
      </w:r>
      <w:r>
        <w:t xml:space="preserve">expanding domestic violence and paid </w:t>
      </w:r>
      <w:r w:rsidR="004E70AD">
        <w:t>parental</w:t>
      </w:r>
      <w:r>
        <w:t xml:space="preserve"> leave </w:t>
      </w:r>
      <w:r w:rsidRPr="006762E8">
        <w:t>(</w:t>
      </w:r>
      <w:r w:rsidR="004C1B64" w:rsidRPr="00187FD0">
        <w:t>C</w:t>
      </w:r>
      <w:r w:rsidRPr="00187FD0">
        <w:t>hapters 23 and 32</w:t>
      </w:r>
      <w:r w:rsidRPr="006762E8">
        <w:t>),</w:t>
      </w:r>
      <w:r>
        <w:t xml:space="preserve"> </w:t>
      </w:r>
      <w:r w:rsidRPr="396ABCA7">
        <w:t xml:space="preserve">eliminating gender-based undervaluation of </w:t>
      </w:r>
      <w:r w:rsidRPr="006762E8">
        <w:t>work (</w:t>
      </w:r>
      <w:r w:rsidR="004C1B64" w:rsidRPr="00187FD0">
        <w:t>C</w:t>
      </w:r>
      <w:r w:rsidRPr="00187FD0">
        <w:t>hapters 24</w:t>
      </w:r>
      <w:r w:rsidR="004C1B64" w:rsidRPr="00187FD0">
        <w:t xml:space="preserve"> and </w:t>
      </w:r>
      <w:r w:rsidRPr="00187FD0">
        <w:t>25</w:t>
      </w:r>
      <w:r w:rsidRPr="006762E8">
        <w:t>),</w:t>
      </w:r>
      <w:r w:rsidRPr="396ABCA7">
        <w:t xml:space="preserve"> prohibiting pay </w:t>
      </w:r>
      <w:r w:rsidRPr="006762E8">
        <w:t>secrecy (</w:t>
      </w:r>
      <w:r w:rsidR="004C1B64" w:rsidRPr="00187FD0">
        <w:t>C</w:t>
      </w:r>
      <w:r w:rsidRPr="00187FD0">
        <w:t>hapter 27</w:t>
      </w:r>
      <w:r w:rsidRPr="006762E8">
        <w:t>), promoting</w:t>
      </w:r>
      <w:r w:rsidRPr="396ABCA7">
        <w:t xml:space="preserve"> flexible work </w:t>
      </w:r>
      <w:r w:rsidRPr="006762E8">
        <w:t>arrangements (</w:t>
      </w:r>
      <w:r w:rsidR="004C1B64" w:rsidRPr="00187FD0">
        <w:t>C</w:t>
      </w:r>
      <w:r w:rsidRPr="00187FD0">
        <w:t>hapter 31</w:t>
      </w:r>
      <w:r w:rsidRPr="006762E8">
        <w:t>), and</w:t>
      </w:r>
      <w:r w:rsidRPr="396ABCA7">
        <w:t xml:space="preserve"> strengthening protections against sexual </w:t>
      </w:r>
      <w:r w:rsidRPr="006762E8">
        <w:t>harassment (</w:t>
      </w:r>
      <w:r w:rsidR="004C1B64" w:rsidRPr="006E0317">
        <w:t>C</w:t>
      </w:r>
      <w:r w:rsidRPr="006E0317">
        <w:t>hapters 28</w:t>
      </w:r>
      <w:r w:rsidR="004C1B64" w:rsidRPr="006E0317">
        <w:t xml:space="preserve"> and </w:t>
      </w:r>
      <w:r w:rsidRPr="006E0317">
        <w:t>29</w:t>
      </w:r>
      <w:r w:rsidRPr="006762E8">
        <w:t>).</w:t>
      </w:r>
    </w:p>
    <w:p w14:paraId="4E07956B" w14:textId="77777777" w:rsidR="000A0EB4" w:rsidRPr="006E0317" w:rsidRDefault="000A0EB4" w:rsidP="00EC3517">
      <w:pPr>
        <w:pStyle w:val="Heading4"/>
      </w:pPr>
      <w:bookmarkStart w:id="347" w:name="_Toc189260277"/>
      <w:bookmarkStart w:id="348" w:name="_Toc189393593"/>
      <w:r w:rsidRPr="006E0317">
        <w:t>22</w:t>
      </w:r>
      <w:r w:rsidRPr="006E0317" w:rsidDel="00203F96">
        <w:t>.</w:t>
      </w:r>
      <w:r w:rsidRPr="006E0317">
        <w:t>2 Gender and employment</w:t>
      </w:r>
      <w:bookmarkEnd w:id="347"/>
      <w:bookmarkEnd w:id="348"/>
    </w:p>
    <w:p w14:paraId="6ADB70A7" w14:textId="6F9DDD23" w:rsidR="0011475D" w:rsidRDefault="000A0EB4" w:rsidP="000A0EB4">
      <w:r w:rsidRPr="396ABCA7">
        <w:t>As noted, historically the Australian labour market and industrial relation</w:t>
      </w:r>
      <w:r w:rsidR="004C1B64">
        <w:t>s</w:t>
      </w:r>
      <w:r w:rsidRPr="396ABCA7">
        <w:t xml:space="preserve"> system have been centred on a male full-time workforce. In recent decades, however, the character of the labour market has changed markedly. Aside from a doubling in the size of the </w:t>
      </w:r>
      <w:r>
        <w:t xml:space="preserve">total </w:t>
      </w:r>
      <w:r w:rsidRPr="396ABCA7">
        <w:t xml:space="preserve">labour force, there has been a notable growth in female participation and part-time and casual work. In this section </w:t>
      </w:r>
      <w:r w:rsidR="004C1B64">
        <w:t>Australian Bureau of Statistics (</w:t>
      </w:r>
      <w:r w:rsidRPr="396ABCA7">
        <w:t>ABS</w:t>
      </w:r>
      <w:r w:rsidR="004C1B64">
        <w:t>)</w:t>
      </w:r>
      <w:r w:rsidRPr="396ABCA7">
        <w:t xml:space="preserve"> data are used to profile these developments.</w:t>
      </w:r>
    </w:p>
    <w:p w14:paraId="68C32913" w14:textId="77777777" w:rsidR="0011475D" w:rsidRPr="006E0317" w:rsidRDefault="000A0EB4" w:rsidP="00EC3517">
      <w:pPr>
        <w:pStyle w:val="Heading5"/>
      </w:pPr>
      <w:bookmarkStart w:id="349" w:name="_Toc188003339"/>
      <w:r w:rsidRPr="006E0317">
        <w:t>22.2.1 Trends in employment and labour force participation</w:t>
      </w:r>
      <w:bookmarkEnd w:id="349"/>
    </w:p>
    <w:p w14:paraId="36F64A14" w14:textId="04F4284E" w:rsidR="0011475D" w:rsidRDefault="000A0EB4" w:rsidP="000A0EB4">
      <w:r w:rsidRPr="006E0317">
        <w:t>Figure 1</w:t>
      </w:r>
      <w:r w:rsidRPr="004F4F35">
        <w:t>3 plots the employment of men and women by year and employment status. The period</w:t>
      </w:r>
      <w:r w:rsidRPr="396ABCA7">
        <w:t xml:space="preserve"> covered is from February 1978 (the start of the ABS data series) to December 2024 (the most recent available data at the time of writing). In 1978 there were nearly </w:t>
      </w:r>
      <w:r w:rsidR="004C1B64">
        <w:t>six</w:t>
      </w:r>
      <w:r w:rsidRPr="396ABCA7">
        <w:t xml:space="preserve"> million people in employment. By 2024 there were 14.6 million employed persons in the labour market, meaning it had more than doubled in size since 1978. Growth has been particularly strong in recent years. For example, between December 2012 and December 2024 total employment increased by 28%.</w:t>
      </w:r>
    </w:p>
    <w:p w14:paraId="244F5DB7" w14:textId="220BBA49" w:rsidR="000A0EB4" w:rsidRPr="00167CB8" w:rsidRDefault="000A0EB4" w:rsidP="000A0EB4">
      <w:pPr>
        <w:rPr>
          <w:i/>
          <w:iCs/>
        </w:rPr>
      </w:pPr>
      <w:r w:rsidRPr="396ABCA7">
        <w:t>In 1978 men accounted for 65% of the workforce, with 85% working full-time (defined as working 35 or more hours per week in all jobs). By December 2009 the proportion of jobs held by men had declined to 55% and the share of full-time employment had dropped to 70%. As of December 2024 men accounted for 52% of total employment and 69% of those working full-time. These trends highlight a notable rise in female workforce participation and employment and an increase in part-time employment. Women are particularly prevalent in part-time employment, currently accounting for 66% of all part-time work.</w:t>
      </w:r>
    </w:p>
    <w:p w14:paraId="78FA0FC9" w14:textId="06EC44E7" w:rsidR="0011475D" w:rsidRDefault="00EC3517" w:rsidP="007F380D">
      <w:pPr>
        <w:pStyle w:val="Caption"/>
      </w:pPr>
      <w:bookmarkStart w:id="350" w:name="_Toc188470104"/>
      <w:bookmarkStart w:id="351" w:name="_Toc194251511"/>
      <w:r>
        <w:lastRenderedPageBreak/>
        <w:t xml:space="preserve">Figure </w:t>
      </w:r>
      <w:r>
        <w:fldChar w:fldCharType="begin"/>
      </w:r>
      <w:r>
        <w:instrText xml:space="preserve"> SEQ Figure \* ARABIC </w:instrText>
      </w:r>
      <w:r>
        <w:fldChar w:fldCharType="separate"/>
      </w:r>
      <w:r w:rsidR="00DE5F5E">
        <w:rPr>
          <w:noProof/>
        </w:rPr>
        <w:t>13</w:t>
      </w:r>
      <w:r>
        <w:fldChar w:fldCharType="end"/>
      </w:r>
      <w:r>
        <w:t xml:space="preserve">: </w:t>
      </w:r>
      <w:r w:rsidR="000A0EB4" w:rsidRPr="00167CB8">
        <w:t>Number employed (‘000) by gender and employment status, February 1978 to December 2024</w:t>
      </w:r>
      <w:bookmarkEnd w:id="350"/>
      <w:bookmarkEnd w:id="351"/>
    </w:p>
    <w:p w14:paraId="6C2F3B77" w14:textId="2184A6A7" w:rsidR="000A0EB4" w:rsidRPr="00167CB8" w:rsidRDefault="000A0EB4" w:rsidP="000A0EB4">
      <w:pPr>
        <w:spacing w:after="0" w:line="240" w:lineRule="auto"/>
        <w:rPr>
          <w:rFonts w:ascii="Calibri" w:hAnsi="Calibri" w:cs="Calibri"/>
          <w:sz w:val="24"/>
          <w:szCs w:val="24"/>
        </w:rPr>
      </w:pPr>
      <w:r w:rsidRPr="00167CB8">
        <w:rPr>
          <w:noProof/>
        </w:rPr>
        <w:drawing>
          <wp:inline distT="0" distB="0" distL="0" distR="0" wp14:anchorId="4E94F135" wp14:editId="396CA334">
            <wp:extent cx="5731510" cy="3748405"/>
            <wp:effectExtent l="0" t="0" r="2540" b="4445"/>
            <wp:docPr id="718871637" name="Picture 1" descr="An area chart of number employed by gender and employment status.&#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871637" name="Picture 1" descr="An area chart of number employed by gender and employment status.&#10;&#10;See alt-text following the source."/>
                    <pic:cNvPicPr/>
                  </pic:nvPicPr>
                  <pic:blipFill>
                    <a:blip r:embed="rId30"/>
                    <a:stretch>
                      <a:fillRect/>
                    </a:stretch>
                  </pic:blipFill>
                  <pic:spPr>
                    <a:xfrm>
                      <a:off x="0" y="0"/>
                      <a:ext cx="5731510" cy="3748405"/>
                    </a:xfrm>
                    <a:prstGeom prst="rect">
                      <a:avLst/>
                    </a:prstGeom>
                  </pic:spPr>
                </pic:pic>
              </a:graphicData>
            </a:graphic>
          </wp:inline>
        </w:drawing>
      </w:r>
    </w:p>
    <w:p w14:paraId="6B092C4E" w14:textId="77777777" w:rsidR="000A0EB4" w:rsidRDefault="000A0EB4" w:rsidP="000A0EB4">
      <w:pPr>
        <w:pStyle w:val="Source"/>
      </w:pPr>
      <w:r w:rsidRPr="00167CB8">
        <w:rPr>
          <w:b/>
          <w:bCs/>
        </w:rPr>
        <w:t>Source:</w:t>
      </w:r>
      <w:r w:rsidRPr="00167CB8">
        <w:t xml:space="preserve"> ABS 6202.0 Labour Force, Australia, Table 1. Seasonally adjusted.</w:t>
      </w:r>
    </w:p>
    <w:p w14:paraId="26D173C6" w14:textId="77777777" w:rsidR="0011475D" w:rsidRDefault="000A0EB4" w:rsidP="000A0EB4">
      <w:pPr>
        <w:pStyle w:val="Source"/>
      </w:pPr>
      <w:r w:rsidRPr="396ABCA7">
        <w:rPr>
          <w:b/>
          <w:bCs/>
        </w:rPr>
        <w:t>Alt-text:</w:t>
      </w:r>
      <w:r w:rsidRPr="396ABCA7">
        <w:t xml:space="preserve"> An area chart showing the number of ‘Males, full-time’, ‘Females, full-time’, ‘Males, part-time’, ‘Females, part-time’ employed between 1978 and 2024. The table shows a doubling of the size of the labour market since 1978.</w:t>
      </w:r>
    </w:p>
    <w:p w14:paraId="3CE3EA2E" w14:textId="3AB999CD" w:rsidR="000A0EB4" w:rsidRPr="00751AEE" w:rsidRDefault="000A0EB4" w:rsidP="000A0EB4">
      <w:r w:rsidRPr="00751AEE">
        <w:t>Figures 14 and 15 illustrate</w:t>
      </w:r>
      <w:r w:rsidRPr="00167CB8">
        <w:t xml:space="preserve">, respectively, the </w:t>
      </w:r>
      <w:r w:rsidRPr="00167CB8" w:rsidDel="00222E55">
        <w:t>labour force participation (</w:t>
      </w:r>
      <w:r w:rsidRPr="00167CB8">
        <w:t>LFP</w:t>
      </w:r>
      <w:r w:rsidRPr="00167CB8" w:rsidDel="00222E55">
        <w:t>)</w:t>
      </w:r>
      <w:r w:rsidRPr="00167CB8">
        <w:rPr>
          <w:rStyle w:val="FootnoteReference"/>
          <w:rFonts w:ascii="Calibri" w:hAnsi="Calibri" w:cs="Calibri"/>
          <w:sz w:val="24"/>
          <w:szCs w:val="24"/>
        </w:rPr>
        <w:footnoteReference w:id="946"/>
      </w:r>
      <w:r w:rsidRPr="00167CB8">
        <w:t xml:space="preserve"> rates for men and women across </w:t>
      </w:r>
      <w:r w:rsidR="004C1B64">
        <w:t xml:space="preserve">three </w:t>
      </w:r>
      <w:r w:rsidRPr="00167CB8">
        <w:t>time periods: 1979, 2009 and 2024.</w:t>
      </w:r>
      <w:r w:rsidRPr="00167CB8">
        <w:rPr>
          <w:rStyle w:val="FootnoteReference"/>
          <w:rFonts w:ascii="Calibri" w:hAnsi="Calibri" w:cs="Calibri"/>
          <w:sz w:val="24"/>
          <w:szCs w:val="24"/>
        </w:rPr>
        <w:footnoteReference w:id="947"/>
      </w:r>
      <w:r w:rsidRPr="00167CB8">
        <w:t xml:space="preserve"> </w:t>
      </w:r>
      <w:r w:rsidRPr="00751AEE">
        <w:t>Figure 14 indicates that, in 1979, 90% of men aged 20</w:t>
      </w:r>
      <w:r w:rsidRPr="00751AEE">
        <w:rPr>
          <w:rFonts w:ascii="Symbol" w:eastAsia="Symbol" w:hAnsi="Symbol" w:cs="Symbol"/>
        </w:rPr>
        <w:t>-</w:t>
      </w:r>
      <w:r w:rsidRPr="00751AEE">
        <w:t>24 were part of the labour force, while the participation rates for men aged 30</w:t>
      </w:r>
      <w:r w:rsidRPr="00751AEE">
        <w:rPr>
          <w:rFonts w:ascii="Symbol" w:eastAsia="Symbol" w:hAnsi="Symbol" w:cs="Symbol"/>
        </w:rPr>
        <w:t>-</w:t>
      </w:r>
      <w:r w:rsidRPr="00751AEE">
        <w:t>34 and 60</w:t>
      </w:r>
      <w:r w:rsidRPr="00751AEE">
        <w:rPr>
          <w:rFonts w:ascii="Symbol" w:eastAsia="Symbol" w:hAnsi="Symbol" w:cs="Symbol"/>
        </w:rPr>
        <w:t>-</w:t>
      </w:r>
      <w:r w:rsidRPr="00751AEE">
        <w:t>64 were 96% and 53%, respectively. By 2024 these rates had shifted to 82% for men aged 20</w:t>
      </w:r>
      <w:r w:rsidRPr="00751AEE">
        <w:rPr>
          <w:rFonts w:ascii="Symbol" w:eastAsia="Symbol" w:hAnsi="Symbol" w:cs="Symbol"/>
        </w:rPr>
        <w:t>-</w:t>
      </w:r>
      <w:r w:rsidRPr="00751AEE">
        <w:t>24, 92% for those aged 30</w:t>
      </w:r>
      <w:r w:rsidRPr="00751AEE">
        <w:rPr>
          <w:rFonts w:ascii="Symbol" w:eastAsia="Symbol" w:hAnsi="Symbol" w:cs="Symbol"/>
        </w:rPr>
        <w:t>-</w:t>
      </w:r>
      <w:r w:rsidRPr="00751AEE">
        <w:t>34, and 68% for the 60</w:t>
      </w:r>
      <w:r w:rsidRPr="00751AEE">
        <w:rPr>
          <w:rFonts w:ascii="Symbol" w:eastAsia="Symbol" w:hAnsi="Symbol" w:cs="Symbol"/>
        </w:rPr>
        <w:t>-</w:t>
      </w:r>
      <w:r w:rsidRPr="00751AEE">
        <w:t>64 age group. These trends reflect a significant decline in LFP among younger men (aged 20</w:t>
      </w:r>
      <w:r w:rsidRPr="00751AEE">
        <w:rPr>
          <w:rFonts w:ascii="Symbol" w:eastAsia="Symbol" w:hAnsi="Symbol" w:cs="Symbol"/>
        </w:rPr>
        <w:t>-</w:t>
      </w:r>
      <w:r w:rsidRPr="00751AEE">
        <w:t>24) and a notable increase among older men (aged 60</w:t>
      </w:r>
      <w:r w:rsidRPr="00751AEE">
        <w:rPr>
          <w:rFonts w:ascii="Symbol" w:eastAsia="Symbol" w:hAnsi="Symbol" w:cs="Symbol"/>
        </w:rPr>
        <w:t>-</w:t>
      </w:r>
      <w:r w:rsidRPr="00751AEE">
        <w:t>64).</w:t>
      </w:r>
    </w:p>
    <w:p w14:paraId="0E9BB23E" w14:textId="3C236A50" w:rsidR="000A0EB4" w:rsidRPr="00167CB8" w:rsidRDefault="000A0EB4" w:rsidP="000A0EB4">
      <w:r w:rsidRPr="00751AEE">
        <w:t>Figure 1</w:t>
      </w:r>
      <w:r>
        <w:t xml:space="preserve">5 </w:t>
      </w:r>
      <w:r w:rsidRPr="00751AEE">
        <w:t xml:space="preserve">presents LFP rates for women across the same </w:t>
      </w:r>
      <w:r>
        <w:t>three</w:t>
      </w:r>
      <w:r w:rsidRPr="00751AEE">
        <w:t xml:space="preserve"> age groups </w:t>
      </w:r>
      <w:r w:rsidRPr="00751AEE">
        <w:rPr>
          <w:rFonts w:ascii="Symbol" w:eastAsia="Symbol" w:hAnsi="Symbol" w:cs="Symbol"/>
        </w:rPr>
        <w:t>-</w:t>
      </w:r>
      <w:r w:rsidRPr="00751AEE">
        <w:t xml:space="preserve"> 20</w:t>
      </w:r>
      <w:r w:rsidRPr="00751AEE">
        <w:rPr>
          <w:rFonts w:ascii="Symbol" w:eastAsia="Symbol" w:hAnsi="Symbol" w:cs="Symbol"/>
        </w:rPr>
        <w:t>-</w:t>
      </w:r>
      <w:r w:rsidRPr="00751AEE">
        <w:t>24, 30</w:t>
      </w:r>
      <w:r w:rsidRPr="00751AEE">
        <w:rPr>
          <w:rFonts w:ascii="Symbol" w:eastAsia="Symbol" w:hAnsi="Symbol" w:cs="Symbol"/>
        </w:rPr>
        <w:t>-</w:t>
      </w:r>
      <w:r w:rsidRPr="00751AEE">
        <w:t>34 and 60</w:t>
      </w:r>
      <w:r w:rsidRPr="00751AEE">
        <w:rPr>
          <w:rFonts w:ascii="Symbol" w:eastAsia="Symbol" w:hAnsi="Symbol" w:cs="Symbol"/>
        </w:rPr>
        <w:t>-</w:t>
      </w:r>
      <w:r w:rsidRPr="00751AEE">
        <w:t xml:space="preserve">64 </w:t>
      </w:r>
      <w:r w:rsidRPr="00751AEE">
        <w:rPr>
          <w:rFonts w:ascii="Symbol" w:eastAsia="Symbol" w:hAnsi="Symbol" w:cs="Symbol"/>
        </w:rPr>
        <w:t>-</w:t>
      </w:r>
      <w:r w:rsidRPr="00751AEE">
        <w:t xml:space="preserve"> over time. In 1979 women</w:t>
      </w:r>
      <w:r w:rsidR="004C1B64">
        <w:t>’</w:t>
      </w:r>
      <w:r w:rsidRPr="00751AEE">
        <w:t>s participation rates in these age groups were 69%, 52% and 12%, respectively. By 2024 these figures h</w:t>
      </w:r>
      <w:r w:rsidRPr="00167CB8">
        <w:t>ad risen to 81% for both the 20</w:t>
      </w:r>
      <w:r w:rsidRPr="00167CB8">
        <w:rPr>
          <w:rFonts w:ascii="Symbol" w:eastAsia="Symbol" w:hAnsi="Symbol" w:cs="Symbol"/>
        </w:rPr>
        <w:t>-</w:t>
      </w:r>
      <w:r w:rsidRPr="00167CB8">
        <w:t>24 and the 30</w:t>
      </w:r>
      <w:r w:rsidRPr="00167CB8">
        <w:rPr>
          <w:rFonts w:ascii="Symbol" w:eastAsia="Symbol" w:hAnsi="Symbol" w:cs="Symbol"/>
        </w:rPr>
        <w:t>-</w:t>
      </w:r>
      <w:r w:rsidRPr="00167CB8">
        <w:t>34 age groups and 56% for those aged 60</w:t>
      </w:r>
      <w:r w:rsidRPr="00167CB8">
        <w:rPr>
          <w:rFonts w:ascii="Symbol" w:eastAsia="Symbol" w:hAnsi="Symbol" w:cs="Symbol"/>
        </w:rPr>
        <w:t>-</w:t>
      </w:r>
      <w:r w:rsidRPr="00167CB8">
        <w:t>64. This data highlights a substantial increase in female LFP across all stages of life.</w:t>
      </w:r>
    </w:p>
    <w:p w14:paraId="0611AB99" w14:textId="77777777" w:rsidR="000A0EB4" w:rsidRPr="008D18EA" w:rsidRDefault="000A0EB4" w:rsidP="000A0EB4">
      <w:r w:rsidRPr="396ABCA7">
        <w:t xml:space="preserve">However, </w:t>
      </w:r>
      <w:r>
        <w:t>two</w:t>
      </w:r>
      <w:r w:rsidRPr="396ABCA7">
        <w:t xml:space="preserve"> notable trends stand out in the female labour force participation chart. First, there is a gradual flattening of the characteristic ‘M’ curve for women in their 20s and early 30s </w:t>
      </w:r>
      <w:r w:rsidRPr="396ABCA7">
        <w:lastRenderedPageBreak/>
        <w:t xml:space="preserve">over time. This trend suggests that more women are either choosing not to have children or are returning to work after childbirth rather than leaving the labour force entirely. Second, there has been a significant rise in participation among older women, indicating that more women are remaining in the workforce later in life. This increase is partly driven by financial necessity and the gradual rise in the qualifying age for the age pension, which is now set at 67 for both men </w:t>
      </w:r>
      <w:r w:rsidRPr="008D18EA">
        <w:t>and women.</w:t>
      </w:r>
    </w:p>
    <w:p w14:paraId="6EF0D376" w14:textId="34733EEA" w:rsidR="000A0EB4" w:rsidRPr="00167CB8" w:rsidRDefault="00EC3517" w:rsidP="007F380D">
      <w:pPr>
        <w:pStyle w:val="Caption"/>
      </w:pPr>
      <w:bookmarkStart w:id="352" w:name="_Toc188470105"/>
      <w:bookmarkStart w:id="353" w:name="_Toc194251512"/>
      <w:r>
        <w:t xml:space="preserve">Figure </w:t>
      </w:r>
      <w:r>
        <w:fldChar w:fldCharType="begin"/>
      </w:r>
      <w:r>
        <w:instrText xml:space="preserve"> SEQ Figure \* ARABIC </w:instrText>
      </w:r>
      <w:r>
        <w:fldChar w:fldCharType="separate"/>
      </w:r>
      <w:r w:rsidR="00DE5F5E">
        <w:rPr>
          <w:noProof/>
        </w:rPr>
        <w:t>14</w:t>
      </w:r>
      <w:r>
        <w:fldChar w:fldCharType="end"/>
      </w:r>
      <w:r>
        <w:t xml:space="preserve">: </w:t>
      </w:r>
      <w:r w:rsidR="000A0EB4" w:rsidRPr="00167CB8">
        <w:t>Male labour force participation, by age, 1979</w:t>
      </w:r>
      <w:r w:rsidR="00D77A28">
        <w:t xml:space="preserve"> to</w:t>
      </w:r>
      <w:r w:rsidR="00D45D89">
        <w:rPr>
          <w:rFonts w:ascii="Symbol" w:eastAsia="Symbol" w:hAnsi="Symbol" w:cs="Symbol"/>
        </w:rPr>
        <w:t xml:space="preserve"> </w:t>
      </w:r>
      <w:r w:rsidR="000A0EB4" w:rsidRPr="00167CB8">
        <w:t>2024</w:t>
      </w:r>
      <w:bookmarkEnd w:id="352"/>
      <w:bookmarkEnd w:id="353"/>
    </w:p>
    <w:p w14:paraId="27ED4FA1" w14:textId="185AB8DF" w:rsidR="000A0EB4" w:rsidRPr="00167CB8" w:rsidRDefault="000A0EB4" w:rsidP="000A0EB4">
      <w:pPr>
        <w:spacing w:after="0" w:line="240" w:lineRule="auto"/>
        <w:rPr>
          <w:rFonts w:ascii="Calibri" w:hAnsi="Calibri" w:cs="Calibri"/>
          <w:sz w:val="24"/>
          <w:szCs w:val="24"/>
        </w:rPr>
      </w:pPr>
      <w:r w:rsidRPr="00167CB8">
        <w:rPr>
          <w:rFonts w:ascii="Calibri" w:hAnsi="Calibri" w:cs="Calibri"/>
          <w:noProof/>
          <w:sz w:val="24"/>
          <w:szCs w:val="24"/>
        </w:rPr>
        <w:drawing>
          <wp:inline distT="0" distB="0" distL="0" distR="0" wp14:anchorId="01676DD5" wp14:editId="5CCBE8C5">
            <wp:extent cx="5613991" cy="3671547"/>
            <wp:effectExtent l="0" t="0" r="6350" b="5715"/>
            <wp:docPr id="856041188" name="Picture 1" descr="A line chart of male labour force participation.&#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041188" name="Picture 1" descr="A line chart of male labour force participation.&#10;&#10;See alt-text following the source."/>
                    <pic:cNvPicPr/>
                  </pic:nvPicPr>
                  <pic:blipFill>
                    <a:blip r:embed="rId31"/>
                    <a:stretch>
                      <a:fillRect/>
                    </a:stretch>
                  </pic:blipFill>
                  <pic:spPr>
                    <a:xfrm>
                      <a:off x="0" y="0"/>
                      <a:ext cx="5622656" cy="3677214"/>
                    </a:xfrm>
                    <a:prstGeom prst="rect">
                      <a:avLst/>
                    </a:prstGeom>
                  </pic:spPr>
                </pic:pic>
              </a:graphicData>
            </a:graphic>
          </wp:inline>
        </w:drawing>
      </w:r>
    </w:p>
    <w:p w14:paraId="30F1A78B" w14:textId="77777777" w:rsidR="0011475D" w:rsidRDefault="000A0EB4" w:rsidP="000A0EB4">
      <w:pPr>
        <w:pStyle w:val="Source"/>
      </w:pPr>
      <w:r w:rsidRPr="396ABCA7">
        <w:rPr>
          <w:b/>
          <w:bCs/>
        </w:rPr>
        <w:t>Notes:</w:t>
      </w:r>
      <w:r w:rsidRPr="396ABCA7">
        <w:t xml:space="preserve"> Data points are for November 1979, November 2009 and November 2024.</w:t>
      </w:r>
    </w:p>
    <w:p w14:paraId="6D81B847" w14:textId="4C534101" w:rsidR="000A0EB4" w:rsidRPr="00167CB8" w:rsidRDefault="000A0EB4" w:rsidP="000A0EB4">
      <w:pPr>
        <w:pStyle w:val="Source"/>
      </w:pPr>
      <w:r w:rsidRPr="00167CB8">
        <w:rPr>
          <w:b/>
          <w:bCs/>
        </w:rPr>
        <w:t>Source:</w:t>
      </w:r>
      <w:r w:rsidRPr="00167CB8">
        <w:t xml:space="preserve"> ABS 6291.0.55.001 Labour Force, Australia, Detailed.</w:t>
      </w:r>
    </w:p>
    <w:p w14:paraId="6459739D" w14:textId="33DE9938" w:rsidR="0011475D" w:rsidRDefault="000A0EB4" w:rsidP="000A0EB4">
      <w:pPr>
        <w:pStyle w:val="Source"/>
      </w:pPr>
      <w:r w:rsidRPr="396ABCA7">
        <w:rPr>
          <w:b/>
          <w:bCs/>
        </w:rPr>
        <w:t>Alt-text</w:t>
      </w:r>
      <w:r w:rsidR="00CB3485" w:rsidRPr="396ABCA7">
        <w:rPr>
          <w:b/>
          <w:bCs/>
        </w:rPr>
        <w:t>:</w:t>
      </w:r>
      <w:r w:rsidR="00CB3485">
        <w:rPr>
          <w:u w:val="single"/>
        </w:rPr>
        <w:t xml:space="preserve"> </w:t>
      </w:r>
      <w:r w:rsidRPr="396ABCA7">
        <w:t>A line chart showing male labour force participation, by age between 1979 and 2024. Age brackets on the horizontal axis are represented in four-year increments from 15 to 19 years of age up to 65 + years of age and represent data points from November 1979, November 2009 and November 2024 on three separate lines.</w:t>
      </w:r>
    </w:p>
    <w:p w14:paraId="7B3CC7EF" w14:textId="225D167B" w:rsidR="000A0EB4" w:rsidRPr="00167CB8" w:rsidRDefault="00EC3517" w:rsidP="007F380D">
      <w:pPr>
        <w:pStyle w:val="Caption"/>
      </w:pPr>
      <w:bookmarkStart w:id="354" w:name="_Toc188470106"/>
      <w:bookmarkStart w:id="355" w:name="_Toc194251513"/>
      <w:r>
        <w:lastRenderedPageBreak/>
        <w:t xml:space="preserve">Figure </w:t>
      </w:r>
      <w:r>
        <w:fldChar w:fldCharType="begin"/>
      </w:r>
      <w:r>
        <w:instrText xml:space="preserve"> SEQ Figure \* ARABIC </w:instrText>
      </w:r>
      <w:r>
        <w:fldChar w:fldCharType="separate"/>
      </w:r>
      <w:r w:rsidR="00DE5F5E">
        <w:rPr>
          <w:noProof/>
        </w:rPr>
        <w:t>15</w:t>
      </w:r>
      <w:r>
        <w:fldChar w:fldCharType="end"/>
      </w:r>
      <w:r>
        <w:t xml:space="preserve">: </w:t>
      </w:r>
      <w:r w:rsidR="000A0EB4" w:rsidRPr="00167CB8">
        <w:t>Female labour force participation, by age, 1979</w:t>
      </w:r>
      <w:r w:rsidR="00D45D89">
        <w:t xml:space="preserve"> to </w:t>
      </w:r>
      <w:r w:rsidR="000A0EB4" w:rsidRPr="00167CB8">
        <w:t>2024</w:t>
      </w:r>
      <w:bookmarkEnd w:id="354"/>
      <w:bookmarkEnd w:id="355"/>
    </w:p>
    <w:p w14:paraId="65CF18F4" w14:textId="36E7AADA" w:rsidR="000A0EB4" w:rsidRPr="00167CB8" w:rsidRDefault="000A0EB4" w:rsidP="000A0EB4">
      <w:pPr>
        <w:spacing w:after="0" w:line="240" w:lineRule="auto"/>
        <w:rPr>
          <w:rFonts w:ascii="Calibri" w:hAnsi="Calibri" w:cs="Calibri"/>
          <w:sz w:val="24"/>
          <w:szCs w:val="24"/>
        </w:rPr>
      </w:pPr>
      <w:r w:rsidRPr="00167CB8">
        <w:rPr>
          <w:rFonts w:ascii="Calibri" w:hAnsi="Calibri" w:cs="Calibri"/>
          <w:noProof/>
          <w:sz w:val="24"/>
          <w:szCs w:val="24"/>
        </w:rPr>
        <w:drawing>
          <wp:inline distT="0" distB="0" distL="0" distR="0" wp14:anchorId="61FD844F" wp14:editId="34529686">
            <wp:extent cx="5731510" cy="3748405"/>
            <wp:effectExtent l="0" t="0" r="2540" b="4445"/>
            <wp:docPr id="1398700378" name="Picture 1" descr="A line chart of female labour force participation.&#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700378" name="Picture 1" descr="A line chart of female labour force participation.&#10;&#10;See alt-text following the source."/>
                    <pic:cNvPicPr/>
                  </pic:nvPicPr>
                  <pic:blipFill>
                    <a:blip r:embed="rId32"/>
                    <a:stretch>
                      <a:fillRect/>
                    </a:stretch>
                  </pic:blipFill>
                  <pic:spPr>
                    <a:xfrm>
                      <a:off x="0" y="0"/>
                      <a:ext cx="5731510" cy="3748405"/>
                    </a:xfrm>
                    <a:prstGeom prst="rect">
                      <a:avLst/>
                    </a:prstGeom>
                  </pic:spPr>
                </pic:pic>
              </a:graphicData>
            </a:graphic>
          </wp:inline>
        </w:drawing>
      </w:r>
    </w:p>
    <w:p w14:paraId="54FD2FAB" w14:textId="240AC0EE" w:rsidR="000A0EB4" w:rsidRPr="00167CB8" w:rsidRDefault="000A0EB4" w:rsidP="000A0EB4">
      <w:pPr>
        <w:pStyle w:val="Source"/>
      </w:pPr>
      <w:r w:rsidRPr="00167CB8">
        <w:rPr>
          <w:b/>
          <w:bCs/>
        </w:rPr>
        <w:t>Notes:</w:t>
      </w:r>
      <w:r w:rsidRPr="00167CB8">
        <w:t xml:space="preserve"> </w:t>
      </w:r>
      <w:r w:rsidR="00EC3517">
        <w:t>S</w:t>
      </w:r>
      <w:r w:rsidRPr="00167CB8">
        <w:t xml:space="preserve">ee </w:t>
      </w:r>
      <w:r w:rsidRPr="004D575D">
        <w:t>notes to Figure 1</w:t>
      </w:r>
      <w:r w:rsidR="00CF5319">
        <w:t>4</w:t>
      </w:r>
      <w:r w:rsidRPr="004D575D">
        <w:t>.</w:t>
      </w:r>
    </w:p>
    <w:p w14:paraId="101A8399" w14:textId="77777777" w:rsidR="000A0EB4" w:rsidRPr="00167CB8" w:rsidRDefault="000A0EB4" w:rsidP="000A0EB4">
      <w:pPr>
        <w:pStyle w:val="Source"/>
      </w:pPr>
      <w:r w:rsidRPr="00167CB8">
        <w:rPr>
          <w:b/>
          <w:bCs/>
        </w:rPr>
        <w:t>Source:</w:t>
      </w:r>
      <w:r w:rsidRPr="00167CB8">
        <w:t xml:space="preserve"> ABS 6291.0.55.001 Labour Force, Australia, Detailed.</w:t>
      </w:r>
    </w:p>
    <w:p w14:paraId="18B8C9D5" w14:textId="77777777" w:rsidR="0011475D" w:rsidRDefault="000A0EB4" w:rsidP="000A0EB4">
      <w:pPr>
        <w:pStyle w:val="Source"/>
      </w:pPr>
      <w:r w:rsidRPr="396ABCA7">
        <w:rPr>
          <w:b/>
          <w:bCs/>
        </w:rPr>
        <w:t>Alt-text:</w:t>
      </w:r>
      <w:r w:rsidRPr="396ABCA7">
        <w:t xml:space="preserve"> A line chart showing female labour force participation, by age between 1979 and 2024. Age brackets on the horizontal axis are represented in four-year increments from 15 to 19 years of age up to 65 + years of age and represent data points from November 1979, November 2009 and November 2024 on three separate lines.</w:t>
      </w:r>
    </w:p>
    <w:p w14:paraId="61EF3468" w14:textId="0197C1D6" w:rsidR="000A0EB4" w:rsidRPr="006E3B57" w:rsidRDefault="000A0EB4" w:rsidP="006E0317">
      <w:r w:rsidRPr="008D18EA">
        <w:t>Figure 1</w:t>
      </w:r>
      <w:r>
        <w:t>6</w:t>
      </w:r>
      <w:r w:rsidRPr="008D18EA">
        <w:t xml:space="preserve"> shows trends in the share of women employed full-time (with the balance employed part-time). Although there has been a significant increase in the LFP rates over the decades, the data in Figure </w:t>
      </w:r>
      <w:r>
        <w:t>16</w:t>
      </w:r>
      <w:r w:rsidRPr="008D18EA">
        <w:t xml:space="preserve"> shows that</w:t>
      </w:r>
      <w:r w:rsidRPr="396ABCA7">
        <w:t xml:space="preserve"> there has been little change in </w:t>
      </w:r>
      <w:r w:rsidRPr="006E0317">
        <w:rPr>
          <w:b/>
        </w:rPr>
        <w:t>the way</w:t>
      </w:r>
      <w:r w:rsidRPr="396ABCA7">
        <w:rPr>
          <w:i/>
          <w:iCs/>
        </w:rPr>
        <w:t xml:space="preserve"> </w:t>
      </w:r>
      <w:r w:rsidRPr="396ABCA7">
        <w:t>women participate in employment, in terms of full-time and part-time status. For example, at age 35</w:t>
      </w:r>
      <w:r w:rsidRPr="396ABCA7">
        <w:rPr>
          <w:rFonts w:ascii="Symbol" w:eastAsia="Symbol" w:hAnsi="Symbol" w:cs="Symbol"/>
        </w:rPr>
        <w:t>-</w:t>
      </w:r>
      <w:r w:rsidRPr="396ABCA7">
        <w:t>39, 52% of employed women worked full-time in 1979; by 2024 this share was equal to 60%. The exception to this pattern is among females aged 15</w:t>
      </w:r>
      <w:r w:rsidRPr="396ABCA7">
        <w:rPr>
          <w:rFonts w:ascii="Symbol" w:eastAsia="Symbol" w:hAnsi="Symbol" w:cs="Symbol"/>
        </w:rPr>
        <w:t>-</w:t>
      </w:r>
      <w:r w:rsidRPr="396ABCA7">
        <w:t>24. Here the data show</w:t>
      </w:r>
      <w:r w:rsidR="004C1B64">
        <w:t>s</w:t>
      </w:r>
      <w:r w:rsidRPr="396ABCA7">
        <w:t xml:space="preserve"> that proportionately fewer are working full-time today than in the past. This likely reflects an increased share of women studying full-time and working part-time. Most older women (60+) are employed part-time.</w:t>
      </w:r>
    </w:p>
    <w:p w14:paraId="30BA7198" w14:textId="75DCEC1C" w:rsidR="000A0EB4" w:rsidRPr="00167CB8" w:rsidRDefault="00EC3517" w:rsidP="007F380D">
      <w:pPr>
        <w:pStyle w:val="Caption"/>
      </w:pPr>
      <w:bookmarkStart w:id="356" w:name="_Toc188470107"/>
      <w:bookmarkStart w:id="357" w:name="_Toc194251514"/>
      <w:r>
        <w:lastRenderedPageBreak/>
        <w:t xml:space="preserve">Figure </w:t>
      </w:r>
      <w:r>
        <w:fldChar w:fldCharType="begin"/>
      </w:r>
      <w:r>
        <w:instrText xml:space="preserve"> SEQ Figure \* ARABIC </w:instrText>
      </w:r>
      <w:r>
        <w:fldChar w:fldCharType="separate"/>
      </w:r>
      <w:r w:rsidR="00DE5F5E">
        <w:rPr>
          <w:noProof/>
        </w:rPr>
        <w:t>16</w:t>
      </w:r>
      <w:r>
        <w:fldChar w:fldCharType="end"/>
      </w:r>
      <w:r>
        <w:t xml:space="preserve">: </w:t>
      </w:r>
      <w:r w:rsidR="000A0EB4" w:rsidRPr="00167CB8">
        <w:t>Female full-time employment as a share of total employment, by age, 1979</w:t>
      </w:r>
      <w:r w:rsidR="00D45D89">
        <w:rPr>
          <w:rFonts w:ascii="Symbol" w:eastAsia="Symbol" w:hAnsi="Symbol" w:cs="Symbol"/>
        </w:rPr>
        <w:t xml:space="preserve"> to </w:t>
      </w:r>
      <w:r w:rsidR="000A0EB4" w:rsidRPr="00167CB8">
        <w:t>2024</w:t>
      </w:r>
      <w:bookmarkEnd w:id="356"/>
      <w:bookmarkEnd w:id="357"/>
    </w:p>
    <w:p w14:paraId="7BA498B3" w14:textId="6168FE60" w:rsidR="000A0EB4" w:rsidRPr="00167CB8" w:rsidRDefault="000A0EB4" w:rsidP="000A0EB4">
      <w:pPr>
        <w:spacing w:after="0" w:line="240" w:lineRule="auto"/>
        <w:rPr>
          <w:sz w:val="24"/>
          <w:szCs w:val="24"/>
        </w:rPr>
      </w:pPr>
      <w:r w:rsidRPr="00167CB8">
        <w:rPr>
          <w:noProof/>
          <w:sz w:val="24"/>
          <w:szCs w:val="24"/>
        </w:rPr>
        <w:drawing>
          <wp:inline distT="0" distB="0" distL="0" distR="0" wp14:anchorId="35AE3D4E" wp14:editId="6DBA7649">
            <wp:extent cx="5731510" cy="3748405"/>
            <wp:effectExtent l="0" t="0" r="2540" b="4445"/>
            <wp:docPr id="1109861876" name="Picture 1" descr="A line chart of female full-time employment.&#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861876" name="Picture 1" descr="A line chart of female full-time employment.&#10;&#10;See alt-text following the source."/>
                    <pic:cNvPicPr/>
                  </pic:nvPicPr>
                  <pic:blipFill>
                    <a:blip r:embed="rId33"/>
                    <a:stretch>
                      <a:fillRect/>
                    </a:stretch>
                  </pic:blipFill>
                  <pic:spPr>
                    <a:xfrm>
                      <a:off x="0" y="0"/>
                      <a:ext cx="5731510" cy="3748405"/>
                    </a:xfrm>
                    <a:prstGeom prst="rect">
                      <a:avLst/>
                    </a:prstGeom>
                  </pic:spPr>
                </pic:pic>
              </a:graphicData>
            </a:graphic>
          </wp:inline>
        </w:drawing>
      </w:r>
    </w:p>
    <w:p w14:paraId="74830BFA" w14:textId="4B982069" w:rsidR="000A0EB4" w:rsidRPr="00167CB8" w:rsidRDefault="000A0EB4" w:rsidP="000A0EB4">
      <w:pPr>
        <w:pStyle w:val="Source"/>
      </w:pPr>
      <w:r w:rsidRPr="00167CB8">
        <w:rPr>
          <w:b/>
          <w:bCs/>
        </w:rPr>
        <w:t>Notes:</w:t>
      </w:r>
      <w:r w:rsidRPr="00167CB8">
        <w:t xml:space="preserve"> See notes to </w:t>
      </w:r>
      <w:r w:rsidRPr="004D575D">
        <w:t>Figure 1</w:t>
      </w:r>
      <w:r w:rsidR="00CF5319">
        <w:t>4</w:t>
      </w:r>
      <w:r w:rsidRPr="004D575D">
        <w:t>.</w:t>
      </w:r>
    </w:p>
    <w:p w14:paraId="626F66E3" w14:textId="77777777" w:rsidR="000A0EB4" w:rsidRDefault="000A0EB4" w:rsidP="000A0EB4">
      <w:pPr>
        <w:pStyle w:val="Source"/>
      </w:pPr>
      <w:r w:rsidRPr="00167CB8">
        <w:rPr>
          <w:b/>
          <w:bCs/>
        </w:rPr>
        <w:t>Source:</w:t>
      </w:r>
      <w:r w:rsidRPr="00167CB8">
        <w:t xml:space="preserve"> ABS 6291.0.55.001 Labour Force, Australia, Detailed.</w:t>
      </w:r>
    </w:p>
    <w:p w14:paraId="66CAF00C" w14:textId="77777777" w:rsidR="000A0EB4" w:rsidRPr="00167CB8" w:rsidRDefault="000A0EB4" w:rsidP="000A0EB4">
      <w:pPr>
        <w:pStyle w:val="Source"/>
      </w:pPr>
      <w:r w:rsidRPr="396ABCA7">
        <w:rPr>
          <w:b/>
          <w:bCs/>
        </w:rPr>
        <w:t>Alt-text:</w:t>
      </w:r>
      <w:r w:rsidRPr="396ABCA7">
        <w:t xml:space="preserve"> A line chart showing female full-time employment as a share of total employment by age between 1979 and 2024. Age brackets on the horizontal axis are represented in four-year increments from 15 to 19 years of age up to 65 + years of age and represent data points from November 1979, November 2009 and November 2024 on three separate lines.</w:t>
      </w:r>
    </w:p>
    <w:p w14:paraId="1267F78B" w14:textId="77777777" w:rsidR="000A0EB4" w:rsidRPr="00167CB8" w:rsidRDefault="000A0EB4" w:rsidP="000A0EB4">
      <w:r w:rsidRPr="00167CB8">
        <w:t>In summary, the Australian labour market has undergone a significant transformation over the past few decades, driven by a substantial increase in female workforce participation. In 1978, 65% of all employed persons were men; by 2024, their share had declined to 52%.</w:t>
      </w:r>
    </w:p>
    <w:p w14:paraId="41EFB1CF" w14:textId="77777777" w:rsidR="0011475D" w:rsidRDefault="000A0EB4" w:rsidP="000A0EB4">
      <w:r w:rsidRPr="00167CB8">
        <w:t xml:space="preserve">A particularly notable trend is the increasing participation of women in their 30s </w:t>
      </w:r>
      <w:r w:rsidRPr="00167CB8">
        <w:rPr>
          <w:rFonts w:ascii="Symbol" w:eastAsia="Symbol" w:hAnsi="Symbol" w:cs="Symbol"/>
        </w:rPr>
        <w:t>-</w:t>
      </w:r>
      <w:r w:rsidRPr="00167CB8">
        <w:t xml:space="preserve"> typically considered prime child-rearing years </w:t>
      </w:r>
      <w:r w:rsidRPr="00167CB8">
        <w:rPr>
          <w:rFonts w:ascii="Symbol" w:eastAsia="Symbol" w:hAnsi="Symbol" w:cs="Symbol"/>
        </w:rPr>
        <w:t>-</w:t>
      </w:r>
      <w:r w:rsidRPr="00167CB8">
        <w:t xml:space="preserve"> and the incidence of full-time work among this group. Presently women account for 48% of total employment. Of those </w:t>
      </w:r>
      <w:r>
        <w:t>women in paid employment</w:t>
      </w:r>
      <w:r w:rsidRPr="00167CB8">
        <w:t>, 56% work full-time (35 or more hours per week across all jobs), while 44% are part-time (fewer than 35 hours per week). Among men, 80% work full-time and 20% part-time.</w:t>
      </w:r>
    </w:p>
    <w:p w14:paraId="71F27342" w14:textId="284D8B8F" w:rsidR="000A0EB4" w:rsidRPr="00167CB8" w:rsidRDefault="000A0EB4" w:rsidP="000A0EB4">
      <w:r w:rsidRPr="396ABCA7">
        <w:t>Overall, part-time employment now accounts for 31% of total employment, indicating a broader shift toward more flexible, non-standard working arrangements across the labour market.</w:t>
      </w:r>
    </w:p>
    <w:p w14:paraId="7D3CACD3" w14:textId="77777777" w:rsidR="000A0EB4" w:rsidRPr="006E0317" w:rsidRDefault="000A0EB4" w:rsidP="00EC3517">
      <w:pPr>
        <w:pStyle w:val="Heading5"/>
      </w:pPr>
      <w:r w:rsidRPr="006E0317">
        <w:t>22.2.2 Gender differences in employment by industry</w:t>
      </w:r>
    </w:p>
    <w:p w14:paraId="468CF217" w14:textId="77777777" w:rsidR="0011475D" w:rsidRDefault="000A0EB4" w:rsidP="000A0EB4">
      <w:r w:rsidRPr="00394C3A">
        <w:t>Figure 17 shows the distribution of employment by industry in 2024. The bars show the industry distribution by gender. The line shows the industry distribution for all persons in percentage terms. The health care and social assistance sector is by far the largest sector in terms of total employment, accounting for 2.2 million workers, or 16% of total employment.</w:t>
      </w:r>
    </w:p>
    <w:p w14:paraId="0C39E389" w14:textId="23852945" w:rsidR="000A0EB4" w:rsidRPr="00167CB8" w:rsidRDefault="000A0EB4" w:rsidP="000A0EB4">
      <w:r w:rsidRPr="00394C3A">
        <w:lastRenderedPageBreak/>
        <w:t>Among other things, Figure 17 shows that the health care and social assistance sector is a female-dominated sector, with women accounting for 76% of workers in this sector. The second largest sector, in terms of employment size, is retail trade, with approximately 1.34 million workers (9% of all employed). This sector also employs a disproportionate share of women (54% of all workers in this sector are women). Construction is third largest at slightly less than the 1.34 million workers in the retail trade sector. It employs a disproportionate share of men – only 14% of workers in this</w:t>
      </w:r>
      <w:r w:rsidRPr="396ABCA7">
        <w:t xml:space="preserve"> sector are women. The fourth largest sector, at 1.27 million workers, is the education and training sector. This is another highly feminised sector, with women constituting 71% of its workforce. Mining, in comparison, employs 293,000 workers, or 2% of total employed. It is a male-dominated sector, with women making up only 21% of its workforce.</w:t>
      </w:r>
    </w:p>
    <w:p w14:paraId="23DAB1B9" w14:textId="5E48311E" w:rsidR="000A0EB4" w:rsidRPr="00167CB8" w:rsidRDefault="00EC3517" w:rsidP="007F380D">
      <w:pPr>
        <w:pStyle w:val="Caption"/>
      </w:pPr>
      <w:bookmarkStart w:id="358" w:name="_Toc194251515"/>
      <w:r>
        <w:t xml:space="preserve">Figure </w:t>
      </w:r>
      <w:r>
        <w:fldChar w:fldCharType="begin"/>
      </w:r>
      <w:r>
        <w:instrText xml:space="preserve"> SEQ Figure \* ARABIC </w:instrText>
      </w:r>
      <w:r>
        <w:fldChar w:fldCharType="separate"/>
      </w:r>
      <w:r w:rsidR="00DE5F5E">
        <w:rPr>
          <w:noProof/>
        </w:rPr>
        <w:t>17</w:t>
      </w:r>
      <w:r>
        <w:fldChar w:fldCharType="end"/>
      </w:r>
      <w:r>
        <w:t xml:space="preserve">: </w:t>
      </w:r>
      <w:r w:rsidR="000A0EB4" w:rsidRPr="00167CB8">
        <w:t>Gender differences in employment by industry, 2024</w:t>
      </w:r>
      <w:bookmarkEnd w:id="358"/>
    </w:p>
    <w:p w14:paraId="17E0CD77" w14:textId="13F38976" w:rsidR="000A0EB4" w:rsidRPr="00167CB8" w:rsidRDefault="000A0EB4" w:rsidP="000A0EB4">
      <w:pPr>
        <w:spacing w:after="0" w:line="240" w:lineRule="auto"/>
        <w:rPr>
          <w:rFonts w:ascii="Calibri" w:hAnsi="Calibri" w:cs="Calibri"/>
          <w:sz w:val="24"/>
          <w:szCs w:val="24"/>
        </w:rPr>
      </w:pPr>
      <w:r w:rsidRPr="00167CB8">
        <w:rPr>
          <w:noProof/>
        </w:rPr>
        <w:drawing>
          <wp:inline distT="0" distB="0" distL="0" distR="0" wp14:anchorId="5F45C593" wp14:editId="550789FE">
            <wp:extent cx="5731510" cy="3748405"/>
            <wp:effectExtent l="0" t="0" r="2540" b="4445"/>
            <wp:docPr id="1694187326" name="Picture 1" descr="A combination chart of gender differences in employment.&#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187326" name="Picture 1" descr="A combination chart of gender differences in employment.&#10;&#10;See alt-text following the source."/>
                    <pic:cNvPicPr/>
                  </pic:nvPicPr>
                  <pic:blipFill>
                    <a:blip r:embed="rId34"/>
                    <a:stretch>
                      <a:fillRect/>
                    </a:stretch>
                  </pic:blipFill>
                  <pic:spPr>
                    <a:xfrm>
                      <a:off x="0" y="0"/>
                      <a:ext cx="5731510" cy="3748405"/>
                    </a:xfrm>
                    <a:prstGeom prst="rect">
                      <a:avLst/>
                    </a:prstGeom>
                  </pic:spPr>
                </pic:pic>
              </a:graphicData>
            </a:graphic>
          </wp:inline>
        </w:drawing>
      </w:r>
    </w:p>
    <w:p w14:paraId="648CDF19" w14:textId="1E91AB09" w:rsidR="00690572" w:rsidRDefault="00ED1D0F" w:rsidP="000A0EB4">
      <w:pPr>
        <w:pStyle w:val="Source"/>
      </w:pPr>
      <w:r>
        <w:rPr>
          <w:b/>
          <w:bCs/>
        </w:rPr>
        <w:t xml:space="preserve">Notes: </w:t>
      </w:r>
      <w:r w:rsidR="00054FF6">
        <w:t>T</w:t>
      </w:r>
      <w:r w:rsidR="00690572">
        <w:t xml:space="preserve">he bars (left-hand-side) show the numbers of employee in each industry at August 2024, by sex. The line shows the distribution of employment (all persons) across industries (with the total equal to 100%) (right-hand-side). </w:t>
      </w:r>
    </w:p>
    <w:p w14:paraId="26371E1B" w14:textId="0C5CF0C1" w:rsidR="000A0EB4" w:rsidRDefault="000A0EB4" w:rsidP="000A0EB4">
      <w:pPr>
        <w:pStyle w:val="Source"/>
      </w:pPr>
      <w:r w:rsidRPr="396ABCA7">
        <w:rPr>
          <w:b/>
          <w:bCs/>
        </w:rPr>
        <w:t>Source:</w:t>
      </w:r>
      <w:r w:rsidRPr="396ABCA7">
        <w:t xml:space="preserve"> ABS Labour Force, Australia, Detailed. Cat No 6291.0.55.001. Table 4, August 2024, Seasonally adjusted data.</w:t>
      </w:r>
    </w:p>
    <w:p w14:paraId="5C65504B" w14:textId="21CA496B" w:rsidR="0011475D" w:rsidRDefault="000A0EB4" w:rsidP="000A0EB4">
      <w:pPr>
        <w:pStyle w:val="Source"/>
      </w:pPr>
      <w:r w:rsidRPr="00644DDB">
        <w:rPr>
          <w:b/>
          <w:bCs/>
        </w:rPr>
        <w:t>Alt-text:</w:t>
      </w:r>
      <w:r>
        <w:t xml:space="preserve"> </w:t>
      </w:r>
      <w:r w:rsidRPr="000265E3">
        <w:t xml:space="preserve">A combination chart showing gender differences in employment by industry in 2024. </w:t>
      </w:r>
      <w:r w:rsidR="00530CCE">
        <w:t>It shows that at August 2024</w:t>
      </w:r>
      <w:r w:rsidR="00FF6742">
        <w:t xml:space="preserve"> the Health, Care and Social Assistance Sector employed </w:t>
      </w:r>
      <w:r w:rsidR="00530CCE">
        <w:t>1</w:t>
      </w:r>
      <w:r w:rsidR="00F25929">
        <w:t>.7 million women and 549,000 men</w:t>
      </w:r>
      <w:r w:rsidR="00FF6742">
        <w:t xml:space="preserve">. As a share of total employment (persons) </w:t>
      </w:r>
      <w:r w:rsidR="00E61052">
        <w:t xml:space="preserve">this sector accounted for 15.5% of all employees. </w:t>
      </w:r>
    </w:p>
    <w:p w14:paraId="0E0166BA" w14:textId="3D00710C" w:rsidR="0011475D" w:rsidRDefault="000A0EB4" w:rsidP="000A0EB4">
      <w:r w:rsidRPr="00394C3A">
        <w:t>The pattern of employment shown in Figure 17 is significantly different from that of even 10 to 15 years ago. Figure 18 offers a comparison using data from 2009 and 2024. In 2009 retail trade was the largest sector in terms</w:t>
      </w:r>
      <w:r w:rsidRPr="396ABCA7">
        <w:t xml:space="preserve"> of employment, with 1.19 million workers, closely followed by the health care and social assistance sector, which employed 1.18 million workers.</w:t>
      </w:r>
    </w:p>
    <w:p w14:paraId="4E2B5F51" w14:textId="35C62836" w:rsidR="000A0EB4" w:rsidRPr="00167CB8" w:rsidRDefault="000A0EB4" w:rsidP="000A0EB4">
      <w:r w:rsidRPr="396ABCA7">
        <w:t xml:space="preserve">Although total employment grew by 35% between 2009 and 2024, certain sectors experienced disproportionately higher growth </w:t>
      </w:r>
      <w:r w:rsidRPr="396ABCA7">
        <w:rPr>
          <w:rFonts w:ascii="Symbol" w:eastAsia="Symbol" w:hAnsi="Symbol" w:cs="Symbol"/>
        </w:rPr>
        <w:t>-</w:t>
      </w:r>
      <w:r w:rsidRPr="396ABCA7">
        <w:t xml:space="preserve"> health care and social assistance increased by 92%, </w:t>
      </w:r>
      <w:r w:rsidRPr="396ABCA7">
        <w:lastRenderedPageBreak/>
        <w:t>professional, scientific and technical services by 58%, education and training by 56%, and construction by 40%. These trends underscore a profound shift in the composition of the labour market, in terms of both industry structure and the nature of employment. It is important that the industrial relations system evolves in step with these changes if it is to remain relevant and responsive to the needs of a transforming workforce.</w:t>
      </w:r>
    </w:p>
    <w:p w14:paraId="70F4831C" w14:textId="5E5147D4" w:rsidR="000A0EB4" w:rsidRPr="00167CB8" w:rsidRDefault="00EC3517" w:rsidP="007F380D">
      <w:pPr>
        <w:pStyle w:val="Caption"/>
      </w:pPr>
      <w:bookmarkStart w:id="359" w:name="_Toc194251516"/>
      <w:r>
        <w:t xml:space="preserve">Figure </w:t>
      </w:r>
      <w:r>
        <w:fldChar w:fldCharType="begin"/>
      </w:r>
      <w:r>
        <w:instrText xml:space="preserve"> SEQ Figure \* ARABIC </w:instrText>
      </w:r>
      <w:r>
        <w:fldChar w:fldCharType="separate"/>
      </w:r>
      <w:r w:rsidR="00DE5F5E">
        <w:rPr>
          <w:noProof/>
        </w:rPr>
        <w:t>18</w:t>
      </w:r>
      <w:r>
        <w:fldChar w:fldCharType="end"/>
      </w:r>
      <w:r>
        <w:t xml:space="preserve">: </w:t>
      </w:r>
      <w:r w:rsidR="000A0EB4" w:rsidRPr="00167CB8">
        <w:t>Number employed (‘000) by industry, 2009 and 2024</w:t>
      </w:r>
      <w:bookmarkEnd w:id="359"/>
    </w:p>
    <w:p w14:paraId="6F56BD75" w14:textId="00ED2C84" w:rsidR="000A0EB4" w:rsidRPr="00167CB8" w:rsidRDefault="000A0EB4" w:rsidP="000A0EB4">
      <w:pPr>
        <w:spacing w:after="0" w:line="240" w:lineRule="auto"/>
        <w:rPr>
          <w:rFonts w:ascii="Calibri" w:hAnsi="Calibri" w:cs="Calibri"/>
          <w:sz w:val="24"/>
          <w:szCs w:val="24"/>
        </w:rPr>
      </w:pPr>
      <w:r w:rsidRPr="00167CB8">
        <w:rPr>
          <w:noProof/>
        </w:rPr>
        <w:drawing>
          <wp:inline distT="0" distB="0" distL="0" distR="0" wp14:anchorId="7331DA39" wp14:editId="77B37ECE">
            <wp:extent cx="5731510" cy="3748405"/>
            <wp:effectExtent l="0" t="0" r="2540" b="4445"/>
            <wp:docPr id="740496946" name="Picture 1" descr="A bar chart of number employed by industry.&#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496946" name="Picture 1" descr="A bar chart of number employed by industry.&#10;&#10;See alt-text following the source."/>
                    <pic:cNvPicPr/>
                  </pic:nvPicPr>
                  <pic:blipFill>
                    <a:blip r:embed="rId35"/>
                    <a:stretch>
                      <a:fillRect/>
                    </a:stretch>
                  </pic:blipFill>
                  <pic:spPr>
                    <a:xfrm>
                      <a:off x="0" y="0"/>
                      <a:ext cx="5731510" cy="3748405"/>
                    </a:xfrm>
                    <a:prstGeom prst="rect">
                      <a:avLst/>
                    </a:prstGeom>
                  </pic:spPr>
                </pic:pic>
              </a:graphicData>
            </a:graphic>
          </wp:inline>
        </w:drawing>
      </w:r>
    </w:p>
    <w:p w14:paraId="222FE213" w14:textId="77777777" w:rsidR="0011475D" w:rsidRDefault="000A0EB4" w:rsidP="000A0EB4">
      <w:pPr>
        <w:pStyle w:val="Source"/>
      </w:pPr>
      <w:r w:rsidRPr="00167CB8">
        <w:rPr>
          <w:b/>
          <w:bCs/>
        </w:rPr>
        <w:t>Source:</w:t>
      </w:r>
      <w:r w:rsidRPr="00167CB8">
        <w:t xml:space="preserve"> ABS 6291.0.55.001 (EQ11), Original series.</w:t>
      </w:r>
    </w:p>
    <w:p w14:paraId="7488C4B5" w14:textId="43367D13" w:rsidR="000A0EB4" w:rsidRDefault="000A0EB4" w:rsidP="000A0EB4">
      <w:pPr>
        <w:pStyle w:val="Source"/>
      </w:pPr>
      <w:r w:rsidRPr="00164BED">
        <w:rPr>
          <w:b/>
          <w:bCs/>
        </w:rPr>
        <w:t>Alt-text:</w:t>
      </w:r>
      <w:r>
        <w:t xml:space="preserve"> </w:t>
      </w:r>
      <w:r w:rsidRPr="005F5923">
        <w:t>A bar chart showing the number of people employed by sector in 2009 compared to 2024</w:t>
      </w:r>
      <w:r w:rsidR="00E67DC6">
        <w:t xml:space="preserve">. </w:t>
      </w:r>
    </w:p>
    <w:p w14:paraId="181D6737" w14:textId="77777777" w:rsidR="0040717E" w:rsidRPr="00167CB8" w:rsidRDefault="0040717E" w:rsidP="000A0EB4">
      <w:pPr>
        <w:pStyle w:val="Source"/>
        <w:rPr>
          <w:rFonts w:ascii="Calibri" w:hAnsi="Calibri" w:cs="Calibri"/>
          <w:sz w:val="20"/>
          <w:szCs w:val="20"/>
        </w:rPr>
      </w:pPr>
    </w:p>
    <w:p w14:paraId="0F7437F9" w14:textId="77777777" w:rsidR="0011475D" w:rsidRPr="006E0317" w:rsidRDefault="000A0EB4" w:rsidP="00EC3517">
      <w:pPr>
        <w:pStyle w:val="Heading5"/>
      </w:pPr>
      <w:r w:rsidRPr="006E0317">
        <w:t>22.2.3 Non-standard employment and job security</w:t>
      </w:r>
    </w:p>
    <w:p w14:paraId="1D97DC3E" w14:textId="2200B032" w:rsidR="000A0EB4" w:rsidRPr="00C70C8D" w:rsidRDefault="000A0EB4" w:rsidP="000A0EB4">
      <w:r w:rsidRPr="396ABCA7">
        <w:t xml:space="preserve">The growth in female employment overall and in different sectors has been accompanied by a notable rise in non-standard forms of employment in the form of part-time and casual work. This is </w:t>
      </w:r>
      <w:r w:rsidRPr="00C70C8D">
        <w:t>illustrated in Figure 19, which shows employment growth over the decade leading to 2024, categorised by employment status in the main job (i.e. casual or not).</w:t>
      </w:r>
      <w:r w:rsidRPr="00C70C8D">
        <w:rPr>
          <w:rStyle w:val="FootnoteReference"/>
          <w:rFonts w:ascii="Calibri" w:hAnsi="Calibri" w:cs="Calibri"/>
          <w:sz w:val="24"/>
          <w:szCs w:val="24"/>
        </w:rPr>
        <w:footnoteReference w:id="948"/>
      </w:r>
    </w:p>
    <w:p w14:paraId="65E8EEB8" w14:textId="0851F268" w:rsidR="000A0EB4" w:rsidRPr="00120A7F" w:rsidRDefault="000A0EB4" w:rsidP="000A0EB4">
      <w:r w:rsidRPr="00C70C8D">
        <w:t>Over this period, the number of people employed on a casual basis grew by 368,000, reaching a total of 2.5 million by August 2024. Notably, one-third of casual workers are engaged in full-time employment. While the proportion of the workforce within each employment category has remained relatively stable over the past decade, the key takeaway is the large growth in absolute terms in the number of individuals who are now engaged in non-standard working arrangement</w:t>
      </w:r>
      <w:r w:rsidR="00BB3968">
        <w:t>s</w:t>
      </w:r>
      <w:r w:rsidRPr="00C70C8D">
        <w:t>. For convenience the employment numbers in Figure 19 for</w:t>
      </w:r>
      <w:r w:rsidRPr="396ABCA7">
        <w:t xml:space="preserve"> 2014 and 2024 are </w:t>
      </w:r>
      <w:r w:rsidRPr="00120A7F">
        <w:t xml:space="preserve">presented in Table </w:t>
      </w:r>
      <w:r w:rsidR="00924B19">
        <w:t>21</w:t>
      </w:r>
      <w:r w:rsidRPr="00120A7F">
        <w:t>.</w:t>
      </w:r>
    </w:p>
    <w:p w14:paraId="341AEB86" w14:textId="5AF6EA4D" w:rsidR="000A0EB4" w:rsidRPr="00167CB8" w:rsidRDefault="00EC3517" w:rsidP="007F380D">
      <w:pPr>
        <w:pStyle w:val="Caption"/>
      </w:pPr>
      <w:bookmarkStart w:id="360" w:name="_Toc188470108"/>
      <w:bookmarkStart w:id="361" w:name="_Toc194251517"/>
      <w:r>
        <w:lastRenderedPageBreak/>
        <w:t xml:space="preserve">Figure </w:t>
      </w:r>
      <w:r>
        <w:fldChar w:fldCharType="begin"/>
      </w:r>
      <w:r>
        <w:instrText xml:space="preserve"> SEQ Figure \* ARABIC </w:instrText>
      </w:r>
      <w:r>
        <w:fldChar w:fldCharType="separate"/>
      </w:r>
      <w:r w:rsidR="00DE5F5E">
        <w:rPr>
          <w:noProof/>
        </w:rPr>
        <w:t>19</w:t>
      </w:r>
      <w:r>
        <w:fldChar w:fldCharType="end"/>
      </w:r>
      <w:r>
        <w:t xml:space="preserve">: </w:t>
      </w:r>
      <w:r w:rsidR="000A0EB4" w:rsidRPr="00167CB8">
        <w:t>Trends in employment, by status of employment in main job, 2014 to 2024</w:t>
      </w:r>
      <w:bookmarkEnd w:id="360"/>
      <w:bookmarkEnd w:id="361"/>
    </w:p>
    <w:p w14:paraId="07CA55FD" w14:textId="0C286683" w:rsidR="000A0EB4" w:rsidRPr="00167CB8" w:rsidRDefault="000A0EB4" w:rsidP="000A0EB4">
      <w:pPr>
        <w:spacing w:after="0" w:line="240" w:lineRule="auto"/>
        <w:rPr>
          <w:rFonts w:ascii="Calibri" w:hAnsi="Calibri" w:cs="Calibri"/>
          <w:sz w:val="24"/>
          <w:szCs w:val="24"/>
        </w:rPr>
      </w:pPr>
      <w:r w:rsidRPr="00167CB8">
        <w:rPr>
          <w:noProof/>
        </w:rPr>
        <w:drawing>
          <wp:inline distT="0" distB="0" distL="0" distR="0" wp14:anchorId="07816BD5" wp14:editId="33A125AF">
            <wp:extent cx="5731510" cy="3748405"/>
            <wp:effectExtent l="0" t="0" r="2540" b="4445"/>
            <wp:docPr id="765038386" name="Picture 1" descr="An area chart of trends in employment.&#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038386" name="Picture 1" descr="An area chart of trends in employment.&#10;&#10;See alt-text following the source."/>
                    <pic:cNvPicPr/>
                  </pic:nvPicPr>
                  <pic:blipFill>
                    <a:blip r:embed="rId36"/>
                    <a:stretch>
                      <a:fillRect/>
                    </a:stretch>
                  </pic:blipFill>
                  <pic:spPr>
                    <a:xfrm>
                      <a:off x="0" y="0"/>
                      <a:ext cx="5731510" cy="3748405"/>
                    </a:xfrm>
                    <a:prstGeom prst="rect">
                      <a:avLst/>
                    </a:prstGeom>
                  </pic:spPr>
                </pic:pic>
              </a:graphicData>
            </a:graphic>
          </wp:inline>
        </w:drawing>
      </w:r>
    </w:p>
    <w:p w14:paraId="78518A5F" w14:textId="77777777" w:rsidR="000A0EB4" w:rsidRDefault="000A0EB4" w:rsidP="000A0EB4">
      <w:pPr>
        <w:pStyle w:val="Source"/>
      </w:pPr>
      <w:r w:rsidRPr="396ABCA7">
        <w:rPr>
          <w:b/>
          <w:bCs/>
        </w:rPr>
        <w:t>Source:</w:t>
      </w:r>
      <w:r w:rsidRPr="396ABCA7">
        <w:t xml:space="preserve"> 6291.0.55.001 </w:t>
      </w:r>
      <w:r w:rsidRPr="396ABCA7">
        <w:rPr>
          <w:rFonts w:ascii="Symbol" w:eastAsia="Symbol" w:hAnsi="Symbol" w:cs="Symbol"/>
        </w:rPr>
        <w:t>-</w:t>
      </w:r>
      <w:r w:rsidRPr="396ABCA7">
        <w:t xml:space="preserve"> EQ04 </w:t>
      </w:r>
      <w:r w:rsidRPr="396ABCA7">
        <w:rPr>
          <w:rFonts w:ascii="Symbol" w:eastAsia="Symbol" w:hAnsi="Symbol" w:cs="Symbol"/>
        </w:rPr>
        <w:t>-</w:t>
      </w:r>
      <w:r w:rsidRPr="396ABCA7">
        <w:t xml:space="preserve"> Employed persons by Hours actually worked in all jobs, Sex and Status in employment of main job.</w:t>
      </w:r>
    </w:p>
    <w:p w14:paraId="5AC8572E" w14:textId="77777777" w:rsidR="0011475D" w:rsidRDefault="000A0EB4" w:rsidP="000A0EB4">
      <w:pPr>
        <w:pStyle w:val="Source"/>
      </w:pPr>
      <w:r w:rsidRPr="396ABCA7">
        <w:rPr>
          <w:b/>
          <w:bCs/>
        </w:rPr>
        <w:t>Alt-text:</w:t>
      </w:r>
      <w:r w:rsidRPr="396ABCA7">
        <w:t xml:space="preserve"> An area chart showing trends in employment, by status of employment and number of employees employed in their main job, representing ‘Full-time’, ‘Part-time’, ‘Full-time -casual’ and ‘Part-time – casual’ employment status between 2014 and 2024.</w:t>
      </w:r>
    </w:p>
    <w:p w14:paraId="1EFF0E43" w14:textId="26202D98" w:rsidR="000A0EB4" w:rsidRDefault="000A0EB4" w:rsidP="000A0EB4">
      <w:pPr>
        <w:spacing w:after="160"/>
        <w:rPr>
          <w:rFonts w:cs="Calibri"/>
          <w:b/>
          <w:bCs/>
          <w:lang w:val="en-US"/>
        </w:rPr>
      </w:pPr>
      <w:bookmarkStart w:id="362" w:name="_Toc189310850"/>
    </w:p>
    <w:p w14:paraId="39D2EBCB" w14:textId="29AF2104" w:rsidR="000A0EB4" w:rsidRPr="00167CB8" w:rsidRDefault="00EC3517" w:rsidP="00EC3517">
      <w:pPr>
        <w:pStyle w:val="Caption"/>
      </w:pPr>
      <w:bookmarkStart w:id="363" w:name="_Toc194251445"/>
      <w:r>
        <w:t xml:space="preserve">Table </w:t>
      </w:r>
      <w:r>
        <w:fldChar w:fldCharType="begin"/>
      </w:r>
      <w:r>
        <w:instrText xml:space="preserve"> SEQ Table \* ARABIC </w:instrText>
      </w:r>
      <w:r>
        <w:fldChar w:fldCharType="separate"/>
      </w:r>
      <w:r w:rsidR="00DE5F5E">
        <w:rPr>
          <w:noProof/>
        </w:rPr>
        <w:t>21</w:t>
      </w:r>
      <w:r>
        <w:fldChar w:fldCharType="end"/>
      </w:r>
      <w:r>
        <w:t xml:space="preserve">: </w:t>
      </w:r>
      <w:r w:rsidR="000A0EB4" w:rsidRPr="00167CB8">
        <w:t>Employment, by status of employment in main job, 2014 and 2024</w:t>
      </w:r>
      <w:bookmarkEnd w:id="362"/>
      <w:bookmarkEnd w:id="363"/>
    </w:p>
    <w:tbl>
      <w:tblPr>
        <w:tblW w:w="889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79"/>
        <w:gridCol w:w="59"/>
        <w:gridCol w:w="1701"/>
        <w:gridCol w:w="19"/>
        <w:gridCol w:w="1682"/>
        <w:gridCol w:w="97"/>
        <w:gridCol w:w="1746"/>
        <w:gridCol w:w="33"/>
        <w:gridCol w:w="1779"/>
      </w:tblGrid>
      <w:tr w:rsidR="000A0EB4" w:rsidRPr="00167CB8" w14:paraId="6354EB2E" w14:textId="77777777">
        <w:trPr>
          <w:trHeight w:val="284"/>
        </w:trPr>
        <w:tc>
          <w:tcPr>
            <w:tcW w:w="1838" w:type="dxa"/>
            <w:gridSpan w:val="2"/>
            <w:tcBorders>
              <w:top w:val="single" w:sz="4" w:space="0" w:color="auto"/>
              <w:bottom w:val="nil"/>
            </w:tcBorders>
            <w:noWrap/>
            <w:vAlign w:val="center"/>
            <w:hideMark/>
          </w:tcPr>
          <w:p w14:paraId="6BACA136" w14:textId="77777777" w:rsidR="000A0EB4" w:rsidRPr="00C262DB" w:rsidRDefault="000A0EB4">
            <w:pPr>
              <w:spacing w:after="0" w:line="240" w:lineRule="auto"/>
              <w:jc w:val="center"/>
              <w:rPr>
                <w:rFonts w:ascii="Times New Roman" w:eastAsia="Times New Roman" w:hAnsi="Times New Roman" w:cs="Times New Roman"/>
                <w:b/>
                <w:bCs/>
                <w:sz w:val="20"/>
                <w:szCs w:val="20"/>
                <w:lang w:eastAsia="en-AU"/>
              </w:rPr>
            </w:pPr>
          </w:p>
        </w:tc>
        <w:tc>
          <w:tcPr>
            <w:tcW w:w="1701" w:type="dxa"/>
            <w:vMerge w:val="restart"/>
            <w:tcBorders>
              <w:top w:val="single" w:sz="4" w:space="0" w:color="auto"/>
              <w:bottom w:val="nil"/>
            </w:tcBorders>
            <w:noWrap/>
            <w:vAlign w:val="center"/>
            <w:hideMark/>
          </w:tcPr>
          <w:p w14:paraId="58B185FC" w14:textId="77777777" w:rsidR="000A0EB4" w:rsidRDefault="000A0EB4" w:rsidP="006E0317">
            <w:pPr>
              <w:spacing w:after="0" w:line="240" w:lineRule="auto"/>
              <w:jc w:val="right"/>
              <w:rPr>
                <w:rFonts w:ascii="Aptos Narrow" w:eastAsia="Times New Roman" w:hAnsi="Aptos Narrow" w:cs="Times New Roman"/>
                <w:b/>
                <w:bCs/>
                <w:color w:val="000000"/>
                <w:sz w:val="20"/>
                <w:szCs w:val="20"/>
                <w:lang w:eastAsia="en-AU"/>
              </w:rPr>
            </w:pPr>
            <w:r w:rsidRPr="00C262DB">
              <w:rPr>
                <w:rFonts w:ascii="Aptos Narrow" w:eastAsia="Times New Roman" w:hAnsi="Aptos Narrow" w:cs="Times New Roman"/>
                <w:b/>
                <w:bCs/>
                <w:color w:val="000000"/>
                <w:sz w:val="20"/>
                <w:szCs w:val="20"/>
                <w:lang w:eastAsia="en-AU"/>
              </w:rPr>
              <w:t>August 2014</w:t>
            </w:r>
          </w:p>
          <w:p w14:paraId="2D6DE7A5" w14:textId="77777777" w:rsidR="000A0EB4" w:rsidRPr="00C262DB" w:rsidRDefault="000A0EB4" w:rsidP="006E0317">
            <w:pPr>
              <w:spacing w:after="0" w:line="240" w:lineRule="auto"/>
              <w:jc w:val="right"/>
              <w:rPr>
                <w:rFonts w:ascii="Aptos Narrow" w:eastAsia="Times New Roman" w:hAnsi="Aptos Narrow" w:cs="Times New Roman"/>
                <w:b/>
                <w:bCs/>
                <w:color w:val="000000"/>
                <w:sz w:val="20"/>
                <w:szCs w:val="20"/>
                <w:lang w:eastAsia="en-AU"/>
              </w:rPr>
            </w:pPr>
            <w:r>
              <w:rPr>
                <w:rFonts w:ascii="Aptos Narrow" w:eastAsia="Times New Roman" w:hAnsi="Aptos Narrow" w:cs="Times New Roman"/>
                <w:b/>
                <w:bCs/>
                <w:color w:val="000000"/>
                <w:sz w:val="20"/>
                <w:szCs w:val="20"/>
                <w:lang w:eastAsia="en-AU"/>
              </w:rPr>
              <w:t>(‘000)</w:t>
            </w:r>
          </w:p>
        </w:tc>
        <w:tc>
          <w:tcPr>
            <w:tcW w:w="1701" w:type="dxa"/>
            <w:gridSpan w:val="2"/>
            <w:vMerge w:val="restart"/>
            <w:tcBorders>
              <w:top w:val="single" w:sz="4" w:space="0" w:color="auto"/>
              <w:bottom w:val="nil"/>
            </w:tcBorders>
            <w:noWrap/>
            <w:vAlign w:val="center"/>
            <w:hideMark/>
          </w:tcPr>
          <w:p w14:paraId="6C5C6946" w14:textId="77777777" w:rsidR="000A0EB4" w:rsidRDefault="000A0EB4" w:rsidP="006E0317">
            <w:pPr>
              <w:spacing w:after="0" w:line="240" w:lineRule="auto"/>
              <w:jc w:val="right"/>
              <w:rPr>
                <w:rFonts w:ascii="Aptos Narrow" w:eastAsia="Times New Roman" w:hAnsi="Aptos Narrow" w:cs="Times New Roman"/>
                <w:b/>
                <w:bCs/>
                <w:color w:val="000000"/>
                <w:sz w:val="20"/>
                <w:szCs w:val="20"/>
                <w:lang w:eastAsia="en-AU"/>
              </w:rPr>
            </w:pPr>
            <w:r w:rsidRPr="00C262DB">
              <w:rPr>
                <w:rFonts w:ascii="Aptos Narrow" w:eastAsia="Times New Roman" w:hAnsi="Aptos Narrow" w:cs="Times New Roman"/>
                <w:b/>
                <w:bCs/>
                <w:color w:val="000000"/>
                <w:sz w:val="20"/>
                <w:szCs w:val="20"/>
                <w:lang w:eastAsia="en-AU"/>
              </w:rPr>
              <w:t>August 2024</w:t>
            </w:r>
          </w:p>
          <w:p w14:paraId="303F9572" w14:textId="77777777" w:rsidR="000A0EB4" w:rsidRPr="00C262DB" w:rsidRDefault="000A0EB4" w:rsidP="006E0317">
            <w:pPr>
              <w:spacing w:after="0" w:line="240" w:lineRule="auto"/>
              <w:jc w:val="right"/>
              <w:rPr>
                <w:rFonts w:ascii="Aptos Narrow" w:eastAsia="Times New Roman" w:hAnsi="Aptos Narrow" w:cs="Times New Roman"/>
                <w:b/>
                <w:bCs/>
                <w:color w:val="000000"/>
                <w:sz w:val="20"/>
                <w:szCs w:val="20"/>
                <w:lang w:eastAsia="en-AU"/>
              </w:rPr>
            </w:pPr>
            <w:r>
              <w:rPr>
                <w:rFonts w:ascii="Aptos Narrow" w:eastAsia="Times New Roman" w:hAnsi="Aptos Narrow" w:cs="Times New Roman"/>
                <w:b/>
                <w:bCs/>
                <w:color w:val="000000"/>
                <w:sz w:val="20"/>
                <w:szCs w:val="20"/>
                <w:lang w:eastAsia="en-AU"/>
              </w:rPr>
              <w:t>(‘000)</w:t>
            </w:r>
          </w:p>
        </w:tc>
        <w:tc>
          <w:tcPr>
            <w:tcW w:w="3655" w:type="dxa"/>
            <w:gridSpan w:val="4"/>
            <w:tcBorders>
              <w:top w:val="single" w:sz="4" w:space="0" w:color="auto"/>
              <w:bottom w:val="nil"/>
            </w:tcBorders>
            <w:noWrap/>
            <w:vAlign w:val="center"/>
            <w:hideMark/>
          </w:tcPr>
          <w:p w14:paraId="1255095D" w14:textId="77777777" w:rsidR="000A0EB4" w:rsidRPr="00C262DB" w:rsidRDefault="000A0EB4">
            <w:pPr>
              <w:spacing w:after="0" w:line="240" w:lineRule="auto"/>
              <w:jc w:val="center"/>
              <w:rPr>
                <w:rFonts w:ascii="Aptos Narrow" w:eastAsia="Times New Roman" w:hAnsi="Aptos Narrow" w:cs="Times New Roman"/>
                <w:b/>
                <w:bCs/>
                <w:color w:val="000000"/>
                <w:sz w:val="20"/>
                <w:szCs w:val="20"/>
                <w:lang w:eastAsia="en-AU"/>
              </w:rPr>
            </w:pPr>
            <w:r w:rsidRPr="00C262DB">
              <w:rPr>
                <w:rFonts w:ascii="Aptos Narrow" w:eastAsia="Times New Roman" w:hAnsi="Aptos Narrow" w:cs="Times New Roman"/>
                <w:b/>
                <w:bCs/>
                <w:color w:val="000000"/>
                <w:sz w:val="20"/>
                <w:szCs w:val="20"/>
                <w:lang w:eastAsia="en-AU"/>
              </w:rPr>
              <w:t>Change 2014</w:t>
            </w:r>
            <w:r w:rsidRPr="00C262DB">
              <w:rPr>
                <w:rFonts w:ascii="Symbol" w:eastAsia="Symbol" w:hAnsi="Symbol" w:cs="Symbol"/>
                <w:b/>
                <w:bCs/>
                <w:color w:val="000000"/>
                <w:sz w:val="20"/>
                <w:szCs w:val="20"/>
                <w:lang w:eastAsia="en-AU"/>
              </w:rPr>
              <w:t>-</w:t>
            </w:r>
            <w:r w:rsidRPr="00C262DB">
              <w:rPr>
                <w:rFonts w:ascii="Aptos Narrow" w:eastAsia="Times New Roman" w:hAnsi="Aptos Narrow" w:cs="Times New Roman"/>
                <w:b/>
                <w:bCs/>
                <w:color w:val="000000"/>
                <w:sz w:val="20"/>
                <w:szCs w:val="20"/>
                <w:lang w:eastAsia="en-AU"/>
              </w:rPr>
              <w:t>2024</w:t>
            </w:r>
          </w:p>
        </w:tc>
      </w:tr>
      <w:tr w:rsidR="000A0EB4" w:rsidRPr="00167CB8" w14:paraId="7F773FE6" w14:textId="77777777">
        <w:trPr>
          <w:trHeight w:val="284"/>
        </w:trPr>
        <w:tc>
          <w:tcPr>
            <w:tcW w:w="1838" w:type="dxa"/>
            <w:gridSpan w:val="2"/>
            <w:tcBorders>
              <w:top w:val="nil"/>
              <w:bottom w:val="single" w:sz="4" w:space="0" w:color="auto"/>
            </w:tcBorders>
            <w:noWrap/>
            <w:vAlign w:val="center"/>
          </w:tcPr>
          <w:p w14:paraId="4BCF3EF8" w14:textId="77777777" w:rsidR="000A0EB4" w:rsidRPr="00C262DB" w:rsidRDefault="000A0EB4">
            <w:pPr>
              <w:spacing w:after="0" w:line="240" w:lineRule="auto"/>
              <w:jc w:val="center"/>
              <w:rPr>
                <w:rFonts w:ascii="Aptos Narrow" w:eastAsia="Times New Roman" w:hAnsi="Aptos Narrow" w:cs="Times New Roman"/>
                <w:b/>
                <w:bCs/>
                <w:color w:val="000000"/>
                <w:sz w:val="20"/>
                <w:szCs w:val="20"/>
                <w:lang w:eastAsia="en-AU"/>
              </w:rPr>
            </w:pPr>
          </w:p>
        </w:tc>
        <w:tc>
          <w:tcPr>
            <w:tcW w:w="1701" w:type="dxa"/>
            <w:vMerge/>
            <w:tcBorders>
              <w:top w:val="nil"/>
              <w:bottom w:val="single" w:sz="4" w:space="0" w:color="auto"/>
            </w:tcBorders>
            <w:noWrap/>
            <w:vAlign w:val="center"/>
          </w:tcPr>
          <w:p w14:paraId="68AF8237" w14:textId="77777777" w:rsidR="000A0EB4" w:rsidRPr="00C262DB" w:rsidRDefault="000A0EB4">
            <w:pPr>
              <w:spacing w:after="0" w:line="240" w:lineRule="auto"/>
              <w:jc w:val="center"/>
              <w:rPr>
                <w:rFonts w:ascii="Aptos Narrow" w:eastAsia="Times New Roman" w:hAnsi="Aptos Narrow" w:cs="Times New Roman"/>
                <w:b/>
                <w:bCs/>
                <w:color w:val="000000"/>
                <w:sz w:val="20"/>
                <w:szCs w:val="20"/>
                <w:lang w:eastAsia="en-AU"/>
              </w:rPr>
            </w:pPr>
          </w:p>
        </w:tc>
        <w:tc>
          <w:tcPr>
            <w:tcW w:w="1701" w:type="dxa"/>
            <w:gridSpan w:val="2"/>
            <w:vMerge/>
            <w:tcBorders>
              <w:top w:val="nil"/>
              <w:bottom w:val="single" w:sz="4" w:space="0" w:color="auto"/>
            </w:tcBorders>
            <w:noWrap/>
            <w:vAlign w:val="center"/>
          </w:tcPr>
          <w:p w14:paraId="302354D1" w14:textId="77777777" w:rsidR="000A0EB4" w:rsidRPr="00C262DB" w:rsidRDefault="000A0EB4">
            <w:pPr>
              <w:spacing w:after="0" w:line="240" w:lineRule="auto"/>
              <w:jc w:val="center"/>
              <w:rPr>
                <w:rFonts w:ascii="Aptos Narrow" w:eastAsia="Times New Roman" w:hAnsi="Aptos Narrow" w:cs="Times New Roman"/>
                <w:b/>
                <w:bCs/>
                <w:color w:val="000000"/>
                <w:sz w:val="20"/>
                <w:szCs w:val="20"/>
                <w:lang w:eastAsia="en-AU"/>
              </w:rPr>
            </w:pPr>
          </w:p>
        </w:tc>
        <w:tc>
          <w:tcPr>
            <w:tcW w:w="1843" w:type="dxa"/>
            <w:gridSpan w:val="2"/>
            <w:tcBorders>
              <w:top w:val="nil"/>
              <w:bottom w:val="single" w:sz="4" w:space="0" w:color="auto"/>
            </w:tcBorders>
            <w:noWrap/>
            <w:vAlign w:val="center"/>
          </w:tcPr>
          <w:p w14:paraId="5679B1C9" w14:textId="77777777" w:rsidR="000A0EB4" w:rsidRDefault="000A0EB4" w:rsidP="006E0317">
            <w:pPr>
              <w:spacing w:after="0" w:line="240" w:lineRule="auto"/>
              <w:jc w:val="right"/>
              <w:rPr>
                <w:rFonts w:ascii="Aptos Narrow" w:eastAsia="Times New Roman" w:hAnsi="Aptos Narrow" w:cs="Times New Roman"/>
                <w:b/>
                <w:bCs/>
                <w:color w:val="000000"/>
                <w:sz w:val="20"/>
                <w:szCs w:val="20"/>
                <w:lang w:eastAsia="en-AU"/>
              </w:rPr>
            </w:pPr>
            <w:r w:rsidRPr="00C262DB">
              <w:rPr>
                <w:rFonts w:ascii="Aptos Narrow" w:eastAsia="Times New Roman" w:hAnsi="Aptos Narrow" w:cs="Times New Roman"/>
                <w:b/>
                <w:bCs/>
                <w:color w:val="000000"/>
                <w:sz w:val="20"/>
                <w:szCs w:val="20"/>
                <w:lang w:eastAsia="en-AU"/>
              </w:rPr>
              <w:t>Number employed</w:t>
            </w:r>
          </w:p>
          <w:p w14:paraId="15A66063" w14:textId="77777777" w:rsidR="000A0EB4" w:rsidRPr="00C262DB" w:rsidRDefault="000A0EB4" w:rsidP="006E0317">
            <w:pPr>
              <w:spacing w:after="0" w:line="240" w:lineRule="auto"/>
              <w:jc w:val="right"/>
              <w:rPr>
                <w:rFonts w:ascii="Aptos Narrow" w:eastAsia="Times New Roman" w:hAnsi="Aptos Narrow" w:cs="Times New Roman"/>
                <w:b/>
                <w:bCs/>
                <w:color w:val="000000"/>
                <w:sz w:val="20"/>
                <w:szCs w:val="20"/>
                <w:lang w:eastAsia="en-AU"/>
              </w:rPr>
            </w:pPr>
            <w:r>
              <w:rPr>
                <w:rFonts w:ascii="Aptos Narrow" w:eastAsia="Times New Roman" w:hAnsi="Aptos Narrow" w:cs="Times New Roman"/>
                <w:b/>
                <w:bCs/>
                <w:color w:val="000000"/>
                <w:sz w:val="20"/>
                <w:szCs w:val="20"/>
                <w:lang w:eastAsia="en-AU"/>
              </w:rPr>
              <w:t>(‘000)</w:t>
            </w:r>
          </w:p>
        </w:tc>
        <w:tc>
          <w:tcPr>
            <w:tcW w:w="1812" w:type="dxa"/>
            <w:gridSpan w:val="2"/>
            <w:tcBorders>
              <w:top w:val="nil"/>
              <w:bottom w:val="single" w:sz="4" w:space="0" w:color="auto"/>
            </w:tcBorders>
            <w:noWrap/>
            <w:vAlign w:val="center"/>
          </w:tcPr>
          <w:p w14:paraId="2ACC6CD0" w14:textId="77777777" w:rsidR="000A0EB4" w:rsidRPr="00C262DB" w:rsidRDefault="000A0EB4" w:rsidP="006E0317">
            <w:pPr>
              <w:spacing w:after="0" w:line="240" w:lineRule="auto"/>
              <w:jc w:val="right"/>
              <w:rPr>
                <w:rFonts w:ascii="Aptos Narrow" w:eastAsia="Times New Roman" w:hAnsi="Aptos Narrow" w:cs="Times New Roman"/>
                <w:b/>
                <w:bCs/>
                <w:color w:val="000000"/>
                <w:sz w:val="20"/>
                <w:szCs w:val="20"/>
                <w:lang w:eastAsia="en-AU"/>
              </w:rPr>
            </w:pPr>
            <w:r w:rsidRPr="00C262DB">
              <w:rPr>
                <w:rFonts w:ascii="Aptos Narrow" w:eastAsia="Times New Roman" w:hAnsi="Aptos Narrow" w:cs="Times New Roman"/>
                <w:b/>
                <w:bCs/>
                <w:color w:val="000000"/>
                <w:sz w:val="20"/>
                <w:szCs w:val="20"/>
                <w:lang w:eastAsia="en-AU"/>
              </w:rPr>
              <w:t>% change</w:t>
            </w:r>
          </w:p>
        </w:tc>
      </w:tr>
      <w:tr w:rsidR="000A0EB4" w:rsidRPr="00167CB8" w14:paraId="01C4A6D4" w14:textId="77777777">
        <w:trPr>
          <w:trHeight w:val="284"/>
        </w:trPr>
        <w:tc>
          <w:tcPr>
            <w:tcW w:w="1779" w:type="dxa"/>
            <w:tcBorders>
              <w:top w:val="single" w:sz="4" w:space="0" w:color="auto"/>
            </w:tcBorders>
            <w:noWrap/>
            <w:vAlign w:val="center"/>
            <w:hideMark/>
          </w:tcPr>
          <w:p w14:paraId="1CDB60AE" w14:textId="77777777" w:rsidR="000A0EB4" w:rsidRPr="00167CB8" w:rsidRDefault="000A0EB4" w:rsidP="00EC3517">
            <w:pPr>
              <w:spacing w:after="0" w:line="240" w:lineRule="auto"/>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Full-time</w:t>
            </w:r>
          </w:p>
        </w:tc>
        <w:tc>
          <w:tcPr>
            <w:tcW w:w="1779" w:type="dxa"/>
            <w:gridSpan w:val="3"/>
            <w:tcBorders>
              <w:top w:val="single" w:sz="4" w:space="0" w:color="auto"/>
            </w:tcBorders>
            <w:noWrap/>
            <w:vAlign w:val="center"/>
            <w:hideMark/>
          </w:tcPr>
          <w:p w14:paraId="2718AC15" w14:textId="77777777" w:rsidR="000A0EB4" w:rsidRPr="00167CB8" w:rsidRDefault="000A0EB4" w:rsidP="006E0317">
            <w:pPr>
              <w:spacing w:after="0" w:line="240" w:lineRule="auto"/>
              <w:jc w:val="right"/>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5,520</w:t>
            </w:r>
          </w:p>
        </w:tc>
        <w:tc>
          <w:tcPr>
            <w:tcW w:w="1779" w:type="dxa"/>
            <w:gridSpan w:val="2"/>
            <w:tcBorders>
              <w:top w:val="single" w:sz="4" w:space="0" w:color="auto"/>
            </w:tcBorders>
            <w:noWrap/>
            <w:vAlign w:val="center"/>
            <w:hideMark/>
          </w:tcPr>
          <w:p w14:paraId="788E764B" w14:textId="77777777" w:rsidR="000A0EB4" w:rsidRPr="00167CB8" w:rsidRDefault="000A0EB4" w:rsidP="006E0317">
            <w:pPr>
              <w:spacing w:after="0" w:line="240" w:lineRule="auto"/>
              <w:jc w:val="right"/>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7,142</w:t>
            </w:r>
          </w:p>
        </w:tc>
        <w:tc>
          <w:tcPr>
            <w:tcW w:w="1779" w:type="dxa"/>
            <w:gridSpan w:val="2"/>
            <w:tcBorders>
              <w:top w:val="single" w:sz="4" w:space="0" w:color="auto"/>
            </w:tcBorders>
            <w:noWrap/>
            <w:vAlign w:val="center"/>
            <w:hideMark/>
          </w:tcPr>
          <w:p w14:paraId="0C5D2531" w14:textId="77777777" w:rsidR="000A0EB4" w:rsidRPr="00167CB8" w:rsidRDefault="000A0EB4" w:rsidP="006E0317">
            <w:pPr>
              <w:spacing w:after="0" w:line="240" w:lineRule="auto"/>
              <w:jc w:val="right"/>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1,622</w:t>
            </w:r>
          </w:p>
        </w:tc>
        <w:tc>
          <w:tcPr>
            <w:tcW w:w="1779" w:type="dxa"/>
            <w:tcBorders>
              <w:top w:val="single" w:sz="4" w:space="0" w:color="auto"/>
            </w:tcBorders>
            <w:noWrap/>
            <w:vAlign w:val="center"/>
            <w:hideMark/>
          </w:tcPr>
          <w:p w14:paraId="6C688BB6" w14:textId="77777777" w:rsidR="000A0EB4" w:rsidRPr="00167CB8" w:rsidRDefault="000A0EB4" w:rsidP="006E0317">
            <w:pPr>
              <w:spacing w:after="0" w:line="240" w:lineRule="auto"/>
              <w:jc w:val="right"/>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29%</w:t>
            </w:r>
          </w:p>
        </w:tc>
      </w:tr>
      <w:tr w:rsidR="000A0EB4" w:rsidRPr="00167CB8" w14:paraId="4C1056BB" w14:textId="77777777">
        <w:trPr>
          <w:trHeight w:val="284"/>
        </w:trPr>
        <w:tc>
          <w:tcPr>
            <w:tcW w:w="1779" w:type="dxa"/>
            <w:noWrap/>
            <w:vAlign w:val="center"/>
            <w:hideMark/>
          </w:tcPr>
          <w:p w14:paraId="7040C118" w14:textId="77777777" w:rsidR="000A0EB4" w:rsidRPr="00167CB8" w:rsidRDefault="000A0EB4" w:rsidP="00EC3517">
            <w:pPr>
              <w:spacing w:after="0" w:line="240" w:lineRule="auto"/>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Part-time</w:t>
            </w:r>
          </w:p>
        </w:tc>
        <w:tc>
          <w:tcPr>
            <w:tcW w:w="1779" w:type="dxa"/>
            <w:gridSpan w:val="3"/>
            <w:noWrap/>
            <w:vAlign w:val="center"/>
            <w:hideMark/>
          </w:tcPr>
          <w:p w14:paraId="7F3CAAC1" w14:textId="77777777" w:rsidR="000A0EB4" w:rsidRPr="00167CB8" w:rsidRDefault="000A0EB4" w:rsidP="006E0317">
            <w:pPr>
              <w:spacing w:after="0" w:line="240" w:lineRule="auto"/>
              <w:jc w:val="right"/>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1,289</w:t>
            </w:r>
          </w:p>
        </w:tc>
        <w:tc>
          <w:tcPr>
            <w:tcW w:w="1779" w:type="dxa"/>
            <w:gridSpan w:val="2"/>
            <w:noWrap/>
            <w:vAlign w:val="center"/>
            <w:hideMark/>
          </w:tcPr>
          <w:p w14:paraId="556FBAC1" w14:textId="77777777" w:rsidR="000A0EB4" w:rsidRPr="00167CB8" w:rsidRDefault="000A0EB4" w:rsidP="006E0317">
            <w:pPr>
              <w:spacing w:after="0" w:line="240" w:lineRule="auto"/>
              <w:jc w:val="right"/>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1,718</w:t>
            </w:r>
          </w:p>
        </w:tc>
        <w:tc>
          <w:tcPr>
            <w:tcW w:w="1779" w:type="dxa"/>
            <w:gridSpan w:val="2"/>
            <w:noWrap/>
            <w:vAlign w:val="center"/>
            <w:hideMark/>
          </w:tcPr>
          <w:p w14:paraId="3A5C55B5" w14:textId="77777777" w:rsidR="000A0EB4" w:rsidRPr="00167CB8" w:rsidRDefault="000A0EB4" w:rsidP="006E0317">
            <w:pPr>
              <w:spacing w:after="0" w:line="240" w:lineRule="auto"/>
              <w:jc w:val="right"/>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430</w:t>
            </w:r>
          </w:p>
        </w:tc>
        <w:tc>
          <w:tcPr>
            <w:tcW w:w="1779" w:type="dxa"/>
            <w:noWrap/>
            <w:vAlign w:val="center"/>
            <w:hideMark/>
          </w:tcPr>
          <w:p w14:paraId="0350C132" w14:textId="77777777" w:rsidR="000A0EB4" w:rsidRPr="00167CB8" w:rsidRDefault="000A0EB4" w:rsidP="006E0317">
            <w:pPr>
              <w:spacing w:after="0" w:line="240" w:lineRule="auto"/>
              <w:jc w:val="right"/>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33%</w:t>
            </w:r>
          </w:p>
        </w:tc>
      </w:tr>
      <w:tr w:rsidR="000A0EB4" w:rsidRPr="00167CB8" w14:paraId="327096FD" w14:textId="77777777">
        <w:trPr>
          <w:trHeight w:val="284"/>
        </w:trPr>
        <w:tc>
          <w:tcPr>
            <w:tcW w:w="1779" w:type="dxa"/>
            <w:noWrap/>
            <w:vAlign w:val="center"/>
            <w:hideMark/>
          </w:tcPr>
          <w:p w14:paraId="29DC2D49" w14:textId="77777777" w:rsidR="000A0EB4" w:rsidRPr="00167CB8" w:rsidRDefault="000A0EB4" w:rsidP="00EC3517">
            <w:pPr>
              <w:spacing w:after="0" w:line="240" w:lineRule="auto"/>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Full-time casual</w:t>
            </w:r>
          </w:p>
        </w:tc>
        <w:tc>
          <w:tcPr>
            <w:tcW w:w="1779" w:type="dxa"/>
            <w:gridSpan w:val="3"/>
            <w:noWrap/>
            <w:vAlign w:val="center"/>
            <w:hideMark/>
          </w:tcPr>
          <w:p w14:paraId="7EC222D5" w14:textId="77777777" w:rsidR="000A0EB4" w:rsidRPr="00167CB8" w:rsidRDefault="000A0EB4" w:rsidP="006E0317">
            <w:pPr>
              <w:spacing w:after="0" w:line="240" w:lineRule="auto"/>
              <w:jc w:val="right"/>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709</w:t>
            </w:r>
          </w:p>
        </w:tc>
        <w:tc>
          <w:tcPr>
            <w:tcW w:w="1779" w:type="dxa"/>
            <w:gridSpan w:val="2"/>
            <w:noWrap/>
            <w:vAlign w:val="center"/>
            <w:hideMark/>
          </w:tcPr>
          <w:p w14:paraId="78BF32FF" w14:textId="77777777" w:rsidR="000A0EB4" w:rsidRPr="00167CB8" w:rsidRDefault="000A0EB4" w:rsidP="006E0317">
            <w:pPr>
              <w:spacing w:after="0" w:line="240" w:lineRule="auto"/>
              <w:jc w:val="right"/>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814</w:t>
            </w:r>
          </w:p>
        </w:tc>
        <w:tc>
          <w:tcPr>
            <w:tcW w:w="1779" w:type="dxa"/>
            <w:gridSpan w:val="2"/>
            <w:noWrap/>
            <w:vAlign w:val="center"/>
            <w:hideMark/>
          </w:tcPr>
          <w:p w14:paraId="5A1456F2" w14:textId="77777777" w:rsidR="000A0EB4" w:rsidRPr="00167CB8" w:rsidRDefault="000A0EB4" w:rsidP="006E0317">
            <w:pPr>
              <w:spacing w:after="0" w:line="240" w:lineRule="auto"/>
              <w:jc w:val="right"/>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105</w:t>
            </w:r>
          </w:p>
        </w:tc>
        <w:tc>
          <w:tcPr>
            <w:tcW w:w="1779" w:type="dxa"/>
            <w:noWrap/>
            <w:vAlign w:val="center"/>
            <w:hideMark/>
          </w:tcPr>
          <w:p w14:paraId="59587AEC" w14:textId="77777777" w:rsidR="000A0EB4" w:rsidRPr="00167CB8" w:rsidRDefault="000A0EB4" w:rsidP="006E0317">
            <w:pPr>
              <w:spacing w:after="0" w:line="240" w:lineRule="auto"/>
              <w:jc w:val="right"/>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15%</w:t>
            </w:r>
          </w:p>
        </w:tc>
      </w:tr>
      <w:tr w:rsidR="000A0EB4" w:rsidRPr="00167CB8" w14:paraId="35794353" w14:textId="77777777">
        <w:trPr>
          <w:trHeight w:val="284"/>
        </w:trPr>
        <w:tc>
          <w:tcPr>
            <w:tcW w:w="1779" w:type="dxa"/>
            <w:noWrap/>
            <w:vAlign w:val="center"/>
            <w:hideMark/>
          </w:tcPr>
          <w:p w14:paraId="245D26ED" w14:textId="354F7BF6" w:rsidR="000A0EB4" w:rsidRPr="00167CB8" w:rsidRDefault="000A0EB4" w:rsidP="00EC3517">
            <w:pPr>
              <w:spacing w:after="0" w:line="240" w:lineRule="auto"/>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Part-</w:t>
            </w:r>
            <w:r w:rsidR="00EC3517">
              <w:rPr>
                <w:rFonts w:ascii="Aptos Narrow" w:eastAsia="Times New Roman" w:hAnsi="Aptos Narrow" w:cs="Times New Roman"/>
                <w:color w:val="000000"/>
                <w:sz w:val="20"/>
                <w:szCs w:val="20"/>
                <w:lang w:eastAsia="en-AU"/>
              </w:rPr>
              <w:t>t</w:t>
            </w:r>
            <w:r w:rsidRPr="00167CB8">
              <w:rPr>
                <w:rFonts w:ascii="Aptos Narrow" w:eastAsia="Times New Roman" w:hAnsi="Aptos Narrow" w:cs="Times New Roman"/>
                <w:color w:val="000000"/>
                <w:sz w:val="20"/>
                <w:szCs w:val="20"/>
                <w:lang w:eastAsia="en-AU"/>
              </w:rPr>
              <w:t>ime casual</w:t>
            </w:r>
          </w:p>
        </w:tc>
        <w:tc>
          <w:tcPr>
            <w:tcW w:w="1779" w:type="dxa"/>
            <w:gridSpan w:val="3"/>
            <w:noWrap/>
            <w:vAlign w:val="center"/>
            <w:hideMark/>
          </w:tcPr>
          <w:p w14:paraId="24AB22B9" w14:textId="77777777" w:rsidR="000A0EB4" w:rsidRPr="00167CB8" w:rsidRDefault="000A0EB4" w:rsidP="006E0317">
            <w:pPr>
              <w:spacing w:after="0" w:line="240" w:lineRule="auto"/>
              <w:jc w:val="right"/>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1,444</w:t>
            </w:r>
          </w:p>
        </w:tc>
        <w:tc>
          <w:tcPr>
            <w:tcW w:w="1779" w:type="dxa"/>
            <w:gridSpan w:val="2"/>
            <w:noWrap/>
            <w:vAlign w:val="center"/>
            <w:hideMark/>
          </w:tcPr>
          <w:p w14:paraId="545FD7C4" w14:textId="77777777" w:rsidR="000A0EB4" w:rsidRPr="00167CB8" w:rsidRDefault="000A0EB4" w:rsidP="006E0317">
            <w:pPr>
              <w:spacing w:after="0" w:line="240" w:lineRule="auto"/>
              <w:jc w:val="right"/>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1,707</w:t>
            </w:r>
          </w:p>
        </w:tc>
        <w:tc>
          <w:tcPr>
            <w:tcW w:w="1779" w:type="dxa"/>
            <w:gridSpan w:val="2"/>
            <w:noWrap/>
            <w:vAlign w:val="center"/>
            <w:hideMark/>
          </w:tcPr>
          <w:p w14:paraId="7BE55BC2" w14:textId="77777777" w:rsidR="000A0EB4" w:rsidRPr="00167CB8" w:rsidRDefault="000A0EB4" w:rsidP="006E0317">
            <w:pPr>
              <w:spacing w:after="0" w:line="240" w:lineRule="auto"/>
              <w:jc w:val="right"/>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263</w:t>
            </w:r>
          </w:p>
        </w:tc>
        <w:tc>
          <w:tcPr>
            <w:tcW w:w="1779" w:type="dxa"/>
            <w:noWrap/>
            <w:vAlign w:val="center"/>
            <w:hideMark/>
          </w:tcPr>
          <w:p w14:paraId="28FE0E59" w14:textId="77777777" w:rsidR="000A0EB4" w:rsidRPr="00167CB8" w:rsidRDefault="000A0EB4" w:rsidP="006E0317">
            <w:pPr>
              <w:spacing w:after="0" w:line="240" w:lineRule="auto"/>
              <w:jc w:val="right"/>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18%</w:t>
            </w:r>
          </w:p>
        </w:tc>
      </w:tr>
      <w:tr w:rsidR="000A0EB4" w:rsidRPr="00167CB8" w14:paraId="2D761CAD" w14:textId="77777777">
        <w:trPr>
          <w:trHeight w:val="284"/>
        </w:trPr>
        <w:tc>
          <w:tcPr>
            <w:tcW w:w="1779" w:type="dxa"/>
            <w:noWrap/>
            <w:vAlign w:val="center"/>
            <w:hideMark/>
          </w:tcPr>
          <w:p w14:paraId="08189C93" w14:textId="77777777" w:rsidR="000A0EB4" w:rsidRPr="00167CB8" w:rsidRDefault="000A0EB4" w:rsidP="00EC3517">
            <w:pPr>
              <w:spacing w:after="0" w:line="240" w:lineRule="auto"/>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Total</w:t>
            </w:r>
          </w:p>
        </w:tc>
        <w:tc>
          <w:tcPr>
            <w:tcW w:w="1779" w:type="dxa"/>
            <w:gridSpan w:val="3"/>
            <w:noWrap/>
            <w:vAlign w:val="center"/>
            <w:hideMark/>
          </w:tcPr>
          <w:p w14:paraId="333B6994" w14:textId="77777777" w:rsidR="000A0EB4" w:rsidRPr="00167CB8" w:rsidRDefault="000A0EB4" w:rsidP="006E0317">
            <w:pPr>
              <w:spacing w:after="0" w:line="240" w:lineRule="auto"/>
              <w:jc w:val="right"/>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8,962</w:t>
            </w:r>
          </w:p>
        </w:tc>
        <w:tc>
          <w:tcPr>
            <w:tcW w:w="1779" w:type="dxa"/>
            <w:gridSpan w:val="2"/>
            <w:noWrap/>
            <w:vAlign w:val="center"/>
            <w:hideMark/>
          </w:tcPr>
          <w:p w14:paraId="094E12C2" w14:textId="77777777" w:rsidR="000A0EB4" w:rsidRPr="00167CB8" w:rsidRDefault="000A0EB4" w:rsidP="006E0317">
            <w:pPr>
              <w:spacing w:after="0" w:line="240" w:lineRule="auto"/>
              <w:jc w:val="right"/>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11,382</w:t>
            </w:r>
          </w:p>
        </w:tc>
        <w:tc>
          <w:tcPr>
            <w:tcW w:w="1779" w:type="dxa"/>
            <w:gridSpan w:val="2"/>
            <w:noWrap/>
            <w:vAlign w:val="center"/>
            <w:hideMark/>
          </w:tcPr>
          <w:p w14:paraId="1332549A" w14:textId="77777777" w:rsidR="000A0EB4" w:rsidRPr="00167CB8" w:rsidRDefault="000A0EB4" w:rsidP="006E0317">
            <w:pPr>
              <w:spacing w:after="0" w:line="240" w:lineRule="auto"/>
              <w:jc w:val="right"/>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2,419</w:t>
            </w:r>
          </w:p>
        </w:tc>
        <w:tc>
          <w:tcPr>
            <w:tcW w:w="1779" w:type="dxa"/>
            <w:noWrap/>
            <w:vAlign w:val="center"/>
            <w:hideMark/>
          </w:tcPr>
          <w:p w14:paraId="0CE44D4C" w14:textId="77777777" w:rsidR="000A0EB4" w:rsidRPr="00167CB8" w:rsidRDefault="000A0EB4" w:rsidP="006E0317">
            <w:pPr>
              <w:spacing w:after="0" w:line="240" w:lineRule="auto"/>
              <w:jc w:val="right"/>
              <w:rPr>
                <w:rFonts w:ascii="Aptos Narrow" w:eastAsia="Times New Roman" w:hAnsi="Aptos Narrow" w:cs="Times New Roman"/>
                <w:color w:val="000000"/>
                <w:sz w:val="20"/>
                <w:szCs w:val="20"/>
                <w:lang w:eastAsia="en-AU"/>
              </w:rPr>
            </w:pPr>
            <w:r w:rsidRPr="00167CB8">
              <w:rPr>
                <w:rFonts w:ascii="Aptos Narrow" w:eastAsia="Times New Roman" w:hAnsi="Aptos Narrow" w:cs="Times New Roman"/>
                <w:color w:val="000000"/>
                <w:sz w:val="20"/>
                <w:szCs w:val="20"/>
                <w:lang w:eastAsia="en-AU"/>
              </w:rPr>
              <w:t>27%</w:t>
            </w:r>
          </w:p>
        </w:tc>
      </w:tr>
    </w:tbl>
    <w:p w14:paraId="2736D7F0" w14:textId="28724C92" w:rsidR="000A0EB4" w:rsidRPr="00167CB8" w:rsidRDefault="000A0EB4" w:rsidP="000A0EB4">
      <w:pPr>
        <w:pStyle w:val="Source"/>
      </w:pPr>
      <w:r w:rsidRPr="00167CB8">
        <w:rPr>
          <w:b/>
          <w:bCs/>
        </w:rPr>
        <w:t>Source:</w:t>
      </w:r>
      <w:r w:rsidRPr="00167CB8">
        <w:t xml:space="preserve"> </w:t>
      </w:r>
      <w:r w:rsidR="00EC3517">
        <w:t xml:space="preserve">ABS </w:t>
      </w:r>
      <w:r w:rsidRPr="00EC3517">
        <w:t>6291.</w:t>
      </w:r>
      <w:r w:rsidRPr="00167CB8">
        <w:t xml:space="preserve">0.55.001 </w:t>
      </w:r>
      <w:r w:rsidRPr="00167CB8">
        <w:rPr>
          <w:rFonts w:ascii="Symbol" w:eastAsia="Symbol" w:hAnsi="Symbol" w:cs="Symbol"/>
        </w:rPr>
        <w:t>-</w:t>
      </w:r>
      <w:r w:rsidRPr="00167CB8">
        <w:t xml:space="preserve"> EQ04.</w:t>
      </w:r>
    </w:p>
    <w:p w14:paraId="28F7C1E9" w14:textId="77777777" w:rsidR="0011475D" w:rsidRDefault="000A0EB4" w:rsidP="000A0EB4">
      <w:r w:rsidRPr="00167CB8">
        <w:t>Non-standard employment encompasses several forms of insecure work. Casual workers, for example, may not have ‘regular and predictable’ access to employment.</w:t>
      </w:r>
    </w:p>
    <w:p w14:paraId="20DDDA0A" w14:textId="5CCBE14F" w:rsidR="0011475D" w:rsidRDefault="000A0EB4" w:rsidP="000A0EB4">
      <w:r w:rsidRPr="00167CB8">
        <w:t>In the estimates reported here it is not possible to further disaggregate the employment forms by other categories of employment – for example, fixed term. A person working part-time but on a fixed</w:t>
      </w:r>
      <w:r w:rsidR="00800964">
        <w:t xml:space="preserve"> </w:t>
      </w:r>
      <w:r w:rsidRPr="00167CB8">
        <w:t>term contract and in receipt of paid leave entitlements will be classified here as ‘part-time’ (because they are not part-time, casual). The same applies to persons who may be working full-time on a fixed</w:t>
      </w:r>
      <w:r w:rsidR="00800964">
        <w:t xml:space="preserve"> </w:t>
      </w:r>
      <w:r w:rsidRPr="00167CB8">
        <w:t>term contract.</w:t>
      </w:r>
    </w:p>
    <w:p w14:paraId="4988EDDC" w14:textId="77777777" w:rsidR="0011475D" w:rsidRDefault="000A0EB4" w:rsidP="000A0EB4">
      <w:r w:rsidRPr="396ABCA7">
        <w:lastRenderedPageBreak/>
        <w:t>It is important to recognise that part-time (or even full-time) employment, even if not casual, is not necessarily ‘secure’. The Australian Government, in the Secure Jobs, Better Pay Act Revised Explanatory Memorandum, defines job security as ‘ongoing, stable, and secure employment that provides regular and predictable access to beneficial wages and conditions of employment’.</w:t>
      </w:r>
      <w:r w:rsidRPr="396ABCA7">
        <w:rPr>
          <w:rStyle w:val="FootnoteReference"/>
          <w:rFonts w:ascii="Calibri" w:hAnsi="Calibri" w:cs="Calibri"/>
          <w:sz w:val="24"/>
          <w:szCs w:val="24"/>
        </w:rPr>
        <w:footnoteReference w:id="949"/>
      </w:r>
      <w:r w:rsidRPr="396ABCA7">
        <w:t xml:space="preserve"> Part-time work (casual or ongoing) may not necessarily provide access to predictable wages, particularly where rosters are concerned. This was highlighted in the recent Senate Select Committee on Work and Care. It was also considered by the FWC in the ‘Job Security Stream’ of the Modern Awards Review 2023</w:t>
      </w:r>
      <w:r w:rsidRPr="396ABCA7">
        <w:rPr>
          <w:rFonts w:ascii="Symbol" w:eastAsia="Symbol" w:hAnsi="Symbol" w:cs="Symbol"/>
        </w:rPr>
        <w:t>-</w:t>
      </w:r>
      <w:r w:rsidRPr="396ABCA7">
        <w:t>24.</w:t>
      </w:r>
      <w:r w:rsidRPr="396ABCA7">
        <w:rPr>
          <w:vertAlign w:val="superscript"/>
        </w:rPr>
        <w:footnoteReference w:id="950"/>
      </w:r>
      <w:r w:rsidRPr="396ABCA7">
        <w:t xml:space="preserve"> In their final report the FWC noted that the parties raised issues about matters such as part-time employment:</w:t>
      </w:r>
      <w:r w:rsidRPr="396ABCA7">
        <w:rPr>
          <w:vertAlign w:val="superscript"/>
        </w:rPr>
        <w:footnoteReference w:id="951"/>
      </w:r>
    </w:p>
    <w:p w14:paraId="2F88E9A8" w14:textId="7A026927" w:rsidR="000A0EB4" w:rsidRPr="00167CB8" w:rsidRDefault="000A0EB4" w:rsidP="00846DC0">
      <w:pPr>
        <w:pStyle w:val="Quote"/>
      </w:pPr>
      <w:r w:rsidRPr="00167CB8">
        <w:t>Several parties made extensive submissions concerning part-time employment, focused on the extent of flexibility provided by the part-time provisions in modern awards and the influence such provisions have on job security and access to secure work, both in theory and in practice. Submissions included proposals to change rostering restrictions, notice periods regarding rostering, changes to how regular patterns of hours and guaranteed hours can be established, arranged and varied, as well as proposals for both lesser and greater minimum engagement periods.</w:t>
      </w:r>
    </w:p>
    <w:p w14:paraId="32789458" w14:textId="77777777" w:rsidR="000A0EB4" w:rsidRPr="00167CB8" w:rsidRDefault="000A0EB4" w:rsidP="000A0EB4">
      <w:r w:rsidRPr="396ABCA7">
        <w:t>In August 2024, following the conclusion of the Modern Awards Review 2023</w:t>
      </w:r>
      <w:r w:rsidRPr="396ABCA7">
        <w:rPr>
          <w:rFonts w:ascii="Symbol" w:eastAsia="Symbol" w:hAnsi="Symbol" w:cs="Symbol"/>
        </w:rPr>
        <w:t>-</w:t>
      </w:r>
      <w:r w:rsidRPr="396ABCA7">
        <w:t>24, the FWC announced a review of award provisions regulating part-time employment. This review will commence in 2025 and will give further opportunity to examine issues related to part-time employment that ‘provides regular and predictable access to beneficial wages and conditions of employment’.</w:t>
      </w:r>
    </w:p>
    <w:p w14:paraId="56DFC44A" w14:textId="5CCF2693" w:rsidR="000A0EB4" w:rsidRPr="00167CB8" w:rsidRDefault="000A0EB4" w:rsidP="000A0EB4">
      <w:r w:rsidRPr="00167CB8">
        <w:t>In its recent publication on working arrangements in Australia (for August 2024), the ABS reports several other characteristics associated with job insecurity. For example, 2.8 million employees (23% of all employees) have earnings that vary from one period to the next (excluding overtime payments), and 2.2 million workers (18% of employees) do not have a guaranteed minimum number of hours each week, while 1.2 million workers (10% of employees) do not expect to be working for their current employer in 12 months.</w:t>
      </w:r>
      <w:r w:rsidRPr="00167CB8">
        <w:rPr>
          <w:rStyle w:val="FootnoteReference"/>
          <w:rFonts w:ascii="Calibri" w:hAnsi="Calibri" w:cs="Calibri"/>
          <w:sz w:val="24"/>
          <w:szCs w:val="24"/>
        </w:rPr>
        <w:footnoteReference w:id="952"/>
      </w:r>
    </w:p>
    <w:p w14:paraId="617A404B" w14:textId="77777777" w:rsidR="000A0EB4" w:rsidRPr="00167CB8" w:rsidRDefault="000A0EB4" w:rsidP="000A0EB4">
      <w:pPr>
        <w:pStyle w:val="Heading5"/>
      </w:pPr>
      <w:r w:rsidRPr="00167CB8">
        <w:t>22.2.4 Job security and wage growth</w:t>
      </w:r>
    </w:p>
    <w:p w14:paraId="6F640018" w14:textId="77777777" w:rsidR="0011475D" w:rsidRDefault="000A0EB4" w:rsidP="000A0EB4">
      <w:r w:rsidRPr="396ABCA7">
        <w:t>In the Chair’s foreword to the fourth interim report of the Senate Select Committee on Job Security, they note that job insecurity is a workplace issue, a public health issue and an economic issue.</w:t>
      </w:r>
      <w:r w:rsidRPr="396ABCA7">
        <w:rPr>
          <w:rStyle w:val="FootnoteReference"/>
        </w:rPr>
        <w:footnoteReference w:id="953"/>
      </w:r>
      <w:r w:rsidRPr="396ABCA7">
        <w:t xml:space="preserve"> They also note the effect of insecure work on bargaining power and wages:</w:t>
      </w:r>
    </w:p>
    <w:p w14:paraId="2E6E3CF3" w14:textId="77777777" w:rsidR="0011475D" w:rsidRDefault="000A0EB4" w:rsidP="00846DC0">
      <w:pPr>
        <w:pStyle w:val="Quote"/>
      </w:pPr>
      <w:r w:rsidRPr="00167CB8">
        <w:lastRenderedPageBreak/>
        <w:t>The committee does not believe it is a coincidence that the steep rise in job insecurity has occurred alongside eight years of record low wage growth.</w:t>
      </w:r>
    </w:p>
    <w:p w14:paraId="586EC5D5" w14:textId="6A648C7B" w:rsidR="000A0EB4" w:rsidRPr="00167CB8" w:rsidRDefault="000A0EB4" w:rsidP="00846DC0">
      <w:pPr>
        <w:pStyle w:val="Quote"/>
      </w:pPr>
      <w:r w:rsidRPr="00167CB8">
        <w:t>Australians in insecure work often do not have the bargaining power to obtain wage increases. Through the use of labour hire intermediaries, gig platforms and dependent contracting, many insecure workers do not even have access to bargaining with their true employer.</w:t>
      </w:r>
    </w:p>
    <w:p w14:paraId="66EB0070" w14:textId="4D43E3EA" w:rsidR="0011475D" w:rsidRDefault="000A0EB4" w:rsidP="000A0EB4">
      <w:r w:rsidRPr="396ABCA7">
        <w:t>The connection between job insecurity and sluggish wage growth has also been highlighted by a former Governor of the Reserve Bank of Australia. In a 2019 speech, he emphasised the need for a ‘pick-up in wage growth’ to support broader economic growth.</w:t>
      </w:r>
      <w:r w:rsidRPr="396ABCA7">
        <w:rPr>
          <w:vertAlign w:val="superscript"/>
        </w:rPr>
        <w:footnoteReference w:id="954"/>
      </w:r>
      <w:r w:rsidRPr="396ABCA7">
        <w:rPr>
          <w:vertAlign w:val="superscript"/>
        </w:rPr>
        <w:t xml:space="preserve"> </w:t>
      </w:r>
      <w:r w:rsidRPr="396ABCA7">
        <w:t xml:space="preserve"> In an earlier address, he attributed stagnant wage growth to workers’ diminished bargaining power and their concerns over job security, which discouraged them from seeking higher wages or better conditions.</w:t>
      </w:r>
      <w:r w:rsidRPr="396ABCA7">
        <w:rPr>
          <w:vertAlign w:val="superscript"/>
        </w:rPr>
        <w:footnoteReference w:id="955"/>
      </w:r>
    </w:p>
    <w:p w14:paraId="5025FDD8" w14:textId="03E71C8B" w:rsidR="000A0EB4" w:rsidRPr="00167CB8" w:rsidRDefault="000A0EB4" w:rsidP="000A0EB4">
      <w:r w:rsidRPr="00167CB8">
        <w:t xml:space="preserve">The broader discussion on sluggish wage growth and the declining labour share of gross domestic product (GDP) is </w:t>
      </w:r>
      <w:r w:rsidRPr="00FD51E9">
        <w:t xml:space="preserve">covered in </w:t>
      </w:r>
      <w:r w:rsidR="007105C7">
        <w:t xml:space="preserve">Chapter 8 and </w:t>
      </w:r>
      <w:r w:rsidRPr="00FD51E9">
        <w:t>Appendix 4</w:t>
      </w:r>
      <w:r w:rsidR="00144B35">
        <w:t>,</w:t>
      </w:r>
      <w:r w:rsidRPr="00FD51E9">
        <w:t xml:space="preserve"> </w:t>
      </w:r>
      <w:r w:rsidRPr="00167CB8">
        <w:t>and will not be revisited here.</w:t>
      </w:r>
    </w:p>
    <w:p w14:paraId="5C882727" w14:textId="77777777" w:rsidR="000A0EB4" w:rsidRPr="006E0317" w:rsidRDefault="000A0EB4" w:rsidP="00EC3517">
      <w:pPr>
        <w:pStyle w:val="Heading4"/>
      </w:pPr>
      <w:bookmarkStart w:id="364" w:name="_Toc189260278"/>
      <w:bookmarkStart w:id="365" w:name="_Toc189393594"/>
      <w:r w:rsidRPr="006E0317">
        <w:t>22</w:t>
      </w:r>
      <w:r w:rsidRPr="006E0317" w:rsidDel="00203F96">
        <w:t>.</w:t>
      </w:r>
      <w:r w:rsidRPr="006E0317">
        <w:t>3 The gender wage gap</w:t>
      </w:r>
      <w:bookmarkEnd w:id="364"/>
      <w:bookmarkEnd w:id="365"/>
    </w:p>
    <w:p w14:paraId="2D844C64" w14:textId="77777777" w:rsidR="0011475D" w:rsidRDefault="000A0EB4" w:rsidP="000A0EB4">
      <w:r w:rsidRPr="396ABCA7">
        <w:t xml:space="preserve">The previous section highlighted significant shifts in the Australian labour market, including the growing representation of women, older workers, part-time employees and casuals. It also noted that the fastest growing sectors </w:t>
      </w:r>
      <w:r w:rsidRPr="396ABCA7">
        <w:rPr>
          <w:rFonts w:ascii="Symbol" w:eastAsia="Symbol" w:hAnsi="Symbol" w:cs="Symbol"/>
        </w:rPr>
        <w:t>-</w:t>
      </w:r>
      <w:r w:rsidRPr="396ABCA7">
        <w:t xml:space="preserve"> health care and social assistance; and education and training </w:t>
      </w:r>
      <w:r w:rsidRPr="396ABCA7">
        <w:rPr>
          <w:rFonts w:ascii="Symbol" w:eastAsia="Symbol" w:hAnsi="Symbol" w:cs="Symbol"/>
        </w:rPr>
        <w:t>-</w:t>
      </w:r>
      <w:r w:rsidRPr="396ABCA7">
        <w:t xml:space="preserve"> are highly feminised industries. Understanding these trends is essential to contextualising the GWG </w:t>
      </w:r>
      <w:r w:rsidRPr="396ABCA7">
        <w:rPr>
          <w:rFonts w:ascii="Symbol" w:eastAsia="Symbol" w:hAnsi="Symbol" w:cs="Symbol"/>
        </w:rPr>
        <w:t>-</w:t>
      </w:r>
      <w:r w:rsidRPr="396ABCA7">
        <w:t xml:space="preserve"> the focus of this section. The GWG remains a persistent challenge despite legislative and policy efforts to promote equality.</w:t>
      </w:r>
    </w:p>
    <w:p w14:paraId="7BB34A5F" w14:textId="607CC451" w:rsidR="000A0EB4" w:rsidRPr="00167CB8" w:rsidRDefault="000A0EB4" w:rsidP="000A0EB4">
      <w:r w:rsidRPr="00167CB8">
        <w:t>Examining the GWG is an important part of understanding the intent of the recent Secure Jobs, Better Pay amendments aimed at enhancing job security and advancing gender equality. While the gap has its limitations as an indicator, it remains a commonly reported high-level indicator of women’s progress in the labour market.</w:t>
      </w:r>
      <w:r w:rsidRPr="00167CB8">
        <w:rPr>
          <w:rStyle w:val="FootnoteReference"/>
          <w:rFonts w:ascii="Calibri" w:hAnsi="Calibri" w:cs="Calibri"/>
          <w:sz w:val="24"/>
          <w:szCs w:val="24"/>
        </w:rPr>
        <w:footnoteReference w:id="956"/>
      </w:r>
      <w:r w:rsidRPr="00167CB8">
        <w:t xml:space="preserve"> For example, in August 2024, when the ABS published its bi-annual </w:t>
      </w:r>
      <w:r w:rsidRPr="00167CB8">
        <w:rPr>
          <w:i/>
          <w:iCs/>
        </w:rPr>
        <w:t>Survey of Average Weekly Earnings</w:t>
      </w:r>
      <w:r w:rsidRPr="00167CB8">
        <w:t>, the Australian Government was quick to distribute its media release heralding the news on the GWG:</w:t>
      </w:r>
      <w:r w:rsidRPr="00167CB8">
        <w:rPr>
          <w:rStyle w:val="FootnoteReference"/>
        </w:rPr>
        <w:footnoteReference w:id="957"/>
      </w:r>
    </w:p>
    <w:p w14:paraId="304C2BB0" w14:textId="77777777" w:rsidR="0011475D" w:rsidRDefault="000A0EB4" w:rsidP="00846DC0">
      <w:pPr>
        <w:pStyle w:val="Quote"/>
      </w:pPr>
      <w:r w:rsidRPr="00167CB8">
        <w:t xml:space="preserve">New data released by the [ABS] shows the national gender pay gap is the lowest on record – today falling to 11.5 per cent …We came to Government with a commitment to help close the gender pay gap and that’s exactly what we’re seeing. That’s not a coincidence, it’s because the Government has taken action like banning pay secrecy clauses, modernising the bargaining system, enforcing transparent gender pay </w:t>
      </w:r>
      <w:r w:rsidRPr="00167CB8">
        <w:lastRenderedPageBreak/>
        <w:t>gap reporting and delivering pay rises for aged care and child-care workers.</w:t>
      </w:r>
    </w:p>
    <w:p w14:paraId="2F42C7EC" w14:textId="21683BB3" w:rsidR="000A0EB4" w:rsidRPr="00167CB8" w:rsidRDefault="000A0EB4" w:rsidP="000A0EB4">
      <w:r w:rsidRPr="396ABCA7">
        <w:t>In the remainder of this section, the discussion first centres on the measurement of the GWG and a discussion of its limitations as a high</w:t>
      </w:r>
      <w:r w:rsidR="00BB3968">
        <w:t>-</w:t>
      </w:r>
      <w:r w:rsidRPr="396ABCA7">
        <w:t>level indicator. Thereafter, trends in the gap before and after 2022 are discussed.</w:t>
      </w:r>
    </w:p>
    <w:p w14:paraId="2FFC7B9B" w14:textId="77777777" w:rsidR="000A0EB4" w:rsidRPr="006E0317" w:rsidRDefault="000A0EB4" w:rsidP="00EC3517">
      <w:pPr>
        <w:pStyle w:val="Heading5"/>
      </w:pPr>
      <w:r w:rsidRPr="006E0317">
        <w:t>22.3.1 The measurement of the gender wage gap</w:t>
      </w:r>
    </w:p>
    <w:p w14:paraId="03036ECB" w14:textId="2D665E2D" w:rsidR="0011475D" w:rsidRDefault="000A0EB4" w:rsidP="000A0EB4">
      <w:bookmarkStart w:id="366" w:name="_Toc188003343"/>
      <w:r w:rsidRPr="396ABCA7">
        <w:t xml:space="preserve">There are several ways of measuring the GWG. Economists typically distinguish between a ‘raw’ gap and an ‘adjusted’ gap. The raw gap is a measure that simply estimates the GWG using mean or median data. The adjusted gap is a measure that is generally derived from a regression analysis and is thus able to control for gender differences in characteristics that may relate to wage differentials </w:t>
      </w:r>
      <w:r w:rsidRPr="396ABCA7">
        <w:rPr>
          <w:rFonts w:ascii="Symbol" w:eastAsia="Symbol" w:hAnsi="Symbol" w:cs="Symbol"/>
        </w:rPr>
        <w:t>-</w:t>
      </w:r>
      <w:r w:rsidRPr="396ABCA7">
        <w:t xml:space="preserve"> for example, gender differences in</w:t>
      </w:r>
      <w:r w:rsidR="00B1722A">
        <w:t xml:space="preserve"> labour market experience or skills.</w:t>
      </w:r>
      <w:r w:rsidRPr="396ABCA7">
        <w:t xml:space="preserve"> </w:t>
      </w:r>
    </w:p>
    <w:p w14:paraId="2A962176" w14:textId="60C6656C" w:rsidR="000A0EB4" w:rsidRPr="00167CB8" w:rsidRDefault="000A0EB4" w:rsidP="000A0EB4">
      <w:r w:rsidRPr="00174B78">
        <w:t>Institutions such as the Workplace Gender Equality Agency (WGEA) typically report the raw</w:t>
      </w:r>
      <w:r w:rsidRPr="396ABCA7">
        <w:t xml:space="preserve"> GWG.</w:t>
      </w:r>
      <w:r w:rsidRPr="396ABCA7">
        <w:rPr>
          <w:rStyle w:val="FootnoteReference"/>
          <w:rFonts w:ascii="Calibri" w:hAnsi="Calibri" w:cs="Calibri"/>
          <w:sz w:val="24"/>
          <w:szCs w:val="24"/>
        </w:rPr>
        <w:footnoteReference w:id="958"/>
      </w:r>
      <w:r w:rsidRPr="396ABCA7">
        <w:t xml:space="preserve"> At a national level this gap is usually measured using the ABS </w:t>
      </w:r>
      <w:r w:rsidRPr="396ABCA7">
        <w:rPr>
          <w:i/>
          <w:iCs/>
        </w:rPr>
        <w:t>Survey of Average Weekly Earnings</w:t>
      </w:r>
      <w:r w:rsidRPr="396ABCA7">
        <w:t>. Th</w:t>
      </w:r>
      <w:r w:rsidR="00174B78">
        <w:t>is</w:t>
      </w:r>
      <w:r w:rsidRPr="396ABCA7">
        <w:t xml:space="preserve"> ABS data</w:t>
      </w:r>
      <w:r w:rsidRPr="396ABCA7" w:rsidDel="00174B78">
        <w:t xml:space="preserve"> </w:t>
      </w:r>
      <w:r w:rsidR="00174B78">
        <w:t xml:space="preserve">is </w:t>
      </w:r>
      <w:r w:rsidRPr="396ABCA7">
        <w:t xml:space="preserve">reported biannually in February and August of each year and provide estimates of the average weekly ordinary time earnings (AWOTE) of men and women </w:t>
      </w:r>
      <w:r w:rsidRPr="006E0317">
        <w:rPr>
          <w:b/>
        </w:rPr>
        <w:t>employed full-time</w:t>
      </w:r>
      <w:r w:rsidRPr="396ABCA7">
        <w:t>. The gap is typically expressed as a share (%) of male earnings (showing how much lower male earnings need to be to equal those of females).</w:t>
      </w:r>
      <w:r w:rsidRPr="396ABCA7">
        <w:rPr>
          <w:rStyle w:val="FootnoteReference"/>
          <w:rFonts w:ascii="Calibri" w:hAnsi="Calibri" w:cs="Calibri"/>
          <w:sz w:val="24"/>
          <w:szCs w:val="24"/>
        </w:rPr>
        <w:footnoteReference w:id="959"/>
      </w:r>
      <w:r w:rsidRPr="396ABCA7">
        <w:t xml:space="preserve"> While it would be more appropriate to include part-timers in the calculation, given that 31% of employees work part-time, such an approach is not possible with the ABS data given the absence of data on hourly wages.</w:t>
      </w:r>
      <w:r w:rsidRPr="396ABCA7">
        <w:rPr>
          <w:rStyle w:val="FootnoteReference"/>
          <w:rFonts w:ascii="Calibri" w:hAnsi="Calibri" w:cs="Calibri"/>
          <w:sz w:val="24"/>
          <w:szCs w:val="24"/>
        </w:rPr>
        <w:footnoteReference w:id="960"/>
      </w:r>
    </w:p>
    <w:p w14:paraId="5C8E7D9D" w14:textId="77777777" w:rsidR="000A0EB4" w:rsidRPr="00167CB8" w:rsidRDefault="000A0EB4" w:rsidP="000A0EB4">
      <w:r w:rsidRPr="00167CB8">
        <w:t>It is noted that some may hold concerns about a single aggregate indicator being used to capture progress across a range of labour market and industrial relations interventions. However, as noted earlier, it is not an uncommon approach. Assuming there are no stark changes in the composition of the workforce from period to period, it serves as a useful metric simply because it is consistently and reliably measured and reported, publicly accessible and easily understood.</w:t>
      </w:r>
    </w:p>
    <w:p w14:paraId="5971AFAC" w14:textId="77777777" w:rsidR="0011475D" w:rsidRDefault="000A0EB4" w:rsidP="000A0EB4">
      <w:r w:rsidRPr="396ABCA7">
        <w:t>The alternative to reporting a raw GWG is to report an adjusted GWG. The latter is generally derived using regression analysis and a common approach is to employ the ‘dummy variable approach’. This involves including a binary variable in a pooled (male + female) wage regression, with the binary variable equal to 1 if the respondent is female and 0 otherwise. The coefficient on this variable shows the extent of the wage gap between men and women, holding all other characteristics constant.</w:t>
      </w:r>
    </w:p>
    <w:p w14:paraId="7FC87CCB" w14:textId="5EBF2644" w:rsidR="000A0EB4" w:rsidRPr="00167CB8" w:rsidRDefault="000A0EB4" w:rsidP="000A0EB4">
      <w:r>
        <w:t xml:space="preserve">Estimates of the adjusted GWG are </w:t>
      </w:r>
      <w:r w:rsidRPr="00FD51E9">
        <w:t>presented in Appendix 1 (based</w:t>
      </w:r>
      <w:r>
        <w:t xml:space="preserve"> on </w:t>
      </w:r>
      <w:r w:rsidR="001D173A" w:rsidRPr="001D173A">
        <w:t>Household, Income and Labour Dynamics in Australia</w:t>
      </w:r>
      <w:r w:rsidR="001D173A" w:rsidRPr="006E0317">
        <w:t xml:space="preserve"> (</w:t>
      </w:r>
      <w:r w:rsidRPr="001D173A">
        <w:t>HILDA</w:t>
      </w:r>
      <w:r w:rsidR="001D173A" w:rsidRPr="001D173A">
        <w:t>)</w:t>
      </w:r>
      <w:r w:rsidRPr="00167CB8">
        <w:t xml:space="preserve"> data </w:t>
      </w:r>
      <w:r>
        <w:t xml:space="preserve">and regression analysis) and reported below at section 22.3.3. </w:t>
      </w:r>
      <w:r w:rsidRPr="00167CB8">
        <w:t xml:space="preserve">The characteristics controlled for </w:t>
      </w:r>
      <w:r>
        <w:t xml:space="preserve">in the regression </w:t>
      </w:r>
      <w:r w:rsidRPr="00167CB8">
        <w:t xml:space="preserve">include education, experience, marital status, family status, migrant status, sector of employment, part-time </w:t>
      </w:r>
      <w:r w:rsidRPr="00167CB8">
        <w:lastRenderedPageBreak/>
        <w:t>status, casual status, fixed</w:t>
      </w:r>
      <w:r w:rsidR="00800964">
        <w:t xml:space="preserve"> </w:t>
      </w:r>
      <w:r w:rsidRPr="00167CB8">
        <w:t xml:space="preserve">term contract status, union membership status and whether award reliant or paid according to a collective agreement </w:t>
      </w:r>
      <w:r w:rsidRPr="00167CB8">
        <w:rPr>
          <w:rFonts w:ascii="Symbol" w:eastAsia="Symbol" w:hAnsi="Symbol" w:cs="Symbol"/>
        </w:rPr>
        <w:t>-</w:t>
      </w:r>
      <w:r w:rsidRPr="00167CB8">
        <w:t xml:space="preserve"> in other words, a range of factors that correlate with wages and which could account for gender differences in pay. The regression approach effectively nets out any gender differences in wages that derive from these characteristics (e.g. gender differences in coverage of collective agreements).</w:t>
      </w:r>
    </w:p>
    <w:p w14:paraId="49686A3C" w14:textId="77777777" w:rsidR="000A0EB4" w:rsidRPr="006E0317" w:rsidRDefault="000A0EB4" w:rsidP="00EC3517">
      <w:pPr>
        <w:pStyle w:val="Heading5"/>
      </w:pPr>
      <w:r w:rsidRPr="006E0317">
        <w:t xml:space="preserve">22.3.2 The gender wage gap before </w:t>
      </w:r>
      <w:bookmarkEnd w:id="366"/>
      <w:r w:rsidRPr="006E0317">
        <w:t>2022</w:t>
      </w:r>
    </w:p>
    <w:p w14:paraId="48847DB8" w14:textId="1235C06D" w:rsidR="0011475D" w:rsidRDefault="000A0EB4" w:rsidP="000A0EB4">
      <w:r w:rsidRPr="00191E69">
        <w:t>Figure 20 shows trends in the GWG between 1984 and 2024 based on the ABS AWOTE data. While progress has</w:t>
      </w:r>
      <w:r w:rsidRPr="396ABCA7">
        <w:t xml:space="preserve"> been made in reducing the gap, it is clear that progress is not linear and that there have been ‘advances’ and ‘retreats’</w:t>
      </w:r>
      <w:r w:rsidR="00174B78">
        <w:t>.</w:t>
      </w:r>
      <w:r w:rsidRPr="396ABCA7">
        <w:rPr>
          <w:rStyle w:val="FootnoteReference"/>
          <w:rFonts w:ascii="Calibri" w:hAnsi="Calibri" w:cs="Calibri"/>
          <w:sz w:val="20"/>
          <w:szCs w:val="20"/>
        </w:rPr>
        <w:footnoteReference w:id="961"/>
      </w:r>
    </w:p>
    <w:p w14:paraId="7C5B6A2C" w14:textId="39FBB256" w:rsidR="0011475D" w:rsidRDefault="000A0EB4" w:rsidP="000A0EB4">
      <w:r w:rsidRPr="396ABCA7">
        <w:t xml:space="preserve">In </w:t>
      </w:r>
      <w:r>
        <w:t>November 1983</w:t>
      </w:r>
      <w:r w:rsidRPr="396ABCA7">
        <w:t xml:space="preserve">, at the start of the series, </w:t>
      </w:r>
      <w:r>
        <w:t>the GWG</w:t>
      </w:r>
      <w:r w:rsidRPr="396ABCA7">
        <w:t xml:space="preserve"> was equal to 19%. It dropped to 15% in </w:t>
      </w:r>
      <w:r>
        <w:t xml:space="preserve">August </w:t>
      </w:r>
      <w:r w:rsidRPr="396ABCA7">
        <w:t xml:space="preserve">1991, during the </w:t>
      </w:r>
      <w:r w:rsidRPr="001D173A">
        <w:t>‘recession we had to have’, with the</w:t>
      </w:r>
      <w:r w:rsidRPr="396ABCA7">
        <w:t xml:space="preserve"> result likely reflecting a greater incidence of job loss among lower paid women vis-à-vis higher paid women. It increased to 18% in </w:t>
      </w:r>
      <w:r>
        <w:t>November</w:t>
      </w:r>
      <w:r w:rsidRPr="00167CB8">
        <w:t xml:space="preserve"> </w:t>
      </w:r>
      <w:r w:rsidRPr="396ABCA7">
        <w:t xml:space="preserve">1995, dropping to 15% again </w:t>
      </w:r>
      <w:r w:rsidR="00174B78">
        <w:t xml:space="preserve">in </w:t>
      </w:r>
      <w:r w:rsidRPr="00167CB8">
        <w:t>20</w:t>
      </w:r>
      <w:r>
        <w:t>0</w:t>
      </w:r>
      <w:r w:rsidRPr="00167CB8">
        <w:t>4.</w:t>
      </w:r>
      <w:r w:rsidRPr="396ABCA7">
        <w:t xml:space="preserve"> In the period post the 2007</w:t>
      </w:r>
      <w:r w:rsidRPr="396ABCA7">
        <w:rPr>
          <w:rFonts w:ascii="Symbol" w:eastAsia="Symbol" w:hAnsi="Symbol" w:cs="Symbol"/>
        </w:rPr>
        <w:t>-</w:t>
      </w:r>
      <w:r w:rsidRPr="396ABCA7">
        <w:t xml:space="preserve">08 Global Financial Crisis, the gap widened, returning to 19% at </w:t>
      </w:r>
      <w:r>
        <w:t>November</w:t>
      </w:r>
      <w:r w:rsidRPr="00167CB8">
        <w:t xml:space="preserve"> </w:t>
      </w:r>
      <w:r w:rsidRPr="396ABCA7">
        <w:t>2014. The growth during this period was likely driven by compositional changes in the labour market, such as the growth in lower paid jobs in retail and in the health care and social assistance sector (see the earlier section on employment growth by industry).</w:t>
      </w:r>
    </w:p>
    <w:p w14:paraId="48A9163D" w14:textId="20CD7703" w:rsidR="000A0EB4" w:rsidRPr="00167CB8" w:rsidRDefault="000A0EB4" w:rsidP="000A0EB4">
      <w:r w:rsidRPr="396ABCA7">
        <w:t>The subsequent narrowing of the GWG between 2012 and 2022 could reflect several factors including</w:t>
      </w:r>
      <w:r w:rsidR="00432E3A">
        <w:t xml:space="preserve">, in particular, the effects of </w:t>
      </w:r>
      <w:r w:rsidR="00795ED2">
        <w:t>t</w:t>
      </w:r>
      <w:r w:rsidR="003B783B">
        <w:t>he</w:t>
      </w:r>
      <w:r w:rsidR="00432E3A">
        <w:t xml:space="preserve"> </w:t>
      </w:r>
      <w:r w:rsidRPr="396ABCA7">
        <w:t xml:space="preserve">Social and Community Services (SACS) </w:t>
      </w:r>
      <w:r w:rsidR="003B783B">
        <w:t xml:space="preserve">Case. This was a </w:t>
      </w:r>
      <w:r w:rsidR="00E565E4">
        <w:t>landmark</w:t>
      </w:r>
      <w:r w:rsidR="00BB4542">
        <w:t xml:space="preserve"> </w:t>
      </w:r>
      <w:r w:rsidR="00F2105C">
        <w:t>test case</w:t>
      </w:r>
      <w:r w:rsidR="00637097">
        <w:t xml:space="preserve"> that commenced in 2010</w:t>
      </w:r>
      <w:r w:rsidR="00F2105C">
        <w:t xml:space="preserve">. In 2012 the </w:t>
      </w:r>
      <w:r w:rsidRPr="396ABCA7">
        <w:t xml:space="preserve">FWC </w:t>
      </w:r>
      <w:r w:rsidR="00972909">
        <w:t xml:space="preserve">determined that </w:t>
      </w:r>
      <w:r w:rsidRPr="396ABCA7">
        <w:t xml:space="preserve">the work performed by women in </w:t>
      </w:r>
      <w:r w:rsidR="00972909">
        <w:t>this sector</w:t>
      </w:r>
      <w:r w:rsidRPr="396ABCA7">
        <w:t xml:space="preserve"> had been systematically undervalued due to historical gender-based bias. The FWC ordered a significant pay increase, ranging from 19% to 41% to minimum award rates. The Australian Government of the day committed $3 billion to pay for the increases. The wage adjustments were phased in until the full increase was realised in December 2020.</w:t>
      </w:r>
      <w:r w:rsidR="00CF318F" w:rsidRPr="396ABCA7">
        <w:rPr>
          <w:rStyle w:val="FootnoteReference"/>
          <w:rFonts w:ascii="Calibri" w:hAnsi="Calibri" w:cs="Calibri"/>
          <w:sz w:val="20"/>
          <w:szCs w:val="20"/>
        </w:rPr>
        <w:footnoteReference w:id="962"/>
      </w:r>
    </w:p>
    <w:p w14:paraId="19C70C90" w14:textId="77777777" w:rsidR="000A0EB4" w:rsidRPr="00167CB8" w:rsidRDefault="000A0EB4" w:rsidP="000A0EB4">
      <w:r w:rsidRPr="396ABCA7">
        <w:t>Other potential factors include compositional effects such as increased employment by more educated women (noting that the average woman is now more qualified than the average man), the effects of policies such as parental leave reforms, the work of WGEA, public sector pay policies, changing social norms and slowing remuneration in high-paying male sectors such as mining and manufacturing. It is beyond the scope of this chapter to engage in a detailed analysis of the factors contributing to the reductions observed here.</w:t>
      </w:r>
    </w:p>
    <w:p w14:paraId="0439B819" w14:textId="62568713" w:rsidR="000A0EB4" w:rsidRPr="00167CB8" w:rsidRDefault="00EC3517" w:rsidP="007F380D">
      <w:pPr>
        <w:pStyle w:val="Caption"/>
      </w:pPr>
      <w:bookmarkStart w:id="367" w:name="_Toc188470109"/>
      <w:bookmarkStart w:id="368" w:name="_Toc189310808"/>
      <w:bookmarkStart w:id="369" w:name="_Toc194251518"/>
      <w:r>
        <w:lastRenderedPageBreak/>
        <w:t xml:space="preserve">Figure </w:t>
      </w:r>
      <w:r>
        <w:fldChar w:fldCharType="begin"/>
      </w:r>
      <w:r>
        <w:instrText xml:space="preserve"> SEQ Figure \* ARABIC </w:instrText>
      </w:r>
      <w:r>
        <w:fldChar w:fldCharType="separate"/>
      </w:r>
      <w:r w:rsidR="00DE5F5E">
        <w:rPr>
          <w:noProof/>
        </w:rPr>
        <w:t>20</w:t>
      </w:r>
      <w:r>
        <w:fldChar w:fldCharType="end"/>
      </w:r>
      <w:r>
        <w:t xml:space="preserve">: </w:t>
      </w:r>
      <w:r w:rsidR="000A0EB4" w:rsidRPr="00167CB8">
        <w:t xml:space="preserve">Trends in the gender wage gap </w:t>
      </w:r>
      <w:r w:rsidR="000A0EB4">
        <w:t>in the full-time labour market, 198</w:t>
      </w:r>
      <w:r w:rsidR="00A578DC">
        <w:t>4</w:t>
      </w:r>
      <w:r w:rsidR="000A0EB4">
        <w:t xml:space="preserve"> to </w:t>
      </w:r>
      <w:r w:rsidR="000A0EB4" w:rsidRPr="00167CB8">
        <w:t>2024</w:t>
      </w:r>
      <w:bookmarkEnd w:id="367"/>
      <w:bookmarkEnd w:id="368"/>
      <w:bookmarkEnd w:id="369"/>
    </w:p>
    <w:p w14:paraId="35584B02" w14:textId="04F16B3D" w:rsidR="000A0EB4" w:rsidRDefault="000A0EB4" w:rsidP="000A0EB4">
      <w:pPr>
        <w:pStyle w:val="Source"/>
        <w:rPr>
          <w:b/>
          <w:bCs/>
        </w:rPr>
      </w:pPr>
      <w:r w:rsidRPr="00301722">
        <w:rPr>
          <w:noProof/>
        </w:rPr>
        <w:drawing>
          <wp:inline distT="0" distB="0" distL="0" distR="0" wp14:anchorId="5D2B867B" wp14:editId="2399CCB8">
            <wp:extent cx="5731510" cy="3742690"/>
            <wp:effectExtent l="0" t="0" r="2540" b="0"/>
            <wp:docPr id="2132405212" name="Picture 1" descr="A line chart of trends in the gender wage gap.&#10;&#10;See alt-text following 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405212" name="Picture 1" descr="A line chart of trends in the gender wage gap.&#10;&#10;See alt-text following notes."/>
                    <pic:cNvPicPr/>
                  </pic:nvPicPr>
                  <pic:blipFill>
                    <a:blip r:embed="rId37"/>
                    <a:stretch>
                      <a:fillRect/>
                    </a:stretch>
                  </pic:blipFill>
                  <pic:spPr>
                    <a:xfrm>
                      <a:off x="0" y="0"/>
                      <a:ext cx="5731510" cy="3742690"/>
                    </a:xfrm>
                    <a:prstGeom prst="rect">
                      <a:avLst/>
                    </a:prstGeom>
                  </pic:spPr>
                </pic:pic>
              </a:graphicData>
            </a:graphic>
          </wp:inline>
        </w:drawing>
      </w:r>
    </w:p>
    <w:p w14:paraId="12572357" w14:textId="77777777" w:rsidR="0011475D" w:rsidRDefault="000A0EB4" w:rsidP="000A0EB4">
      <w:pPr>
        <w:pStyle w:val="Source"/>
        <w:rPr>
          <w:b/>
          <w:bCs/>
        </w:rPr>
      </w:pPr>
      <w:r w:rsidRPr="00167CB8">
        <w:rPr>
          <w:b/>
          <w:bCs/>
        </w:rPr>
        <w:t>Notes:</w:t>
      </w:r>
    </w:p>
    <w:p w14:paraId="2F7226EA" w14:textId="150AF426" w:rsidR="00EC3517" w:rsidRDefault="00EC3517" w:rsidP="000A0EB4">
      <w:pPr>
        <w:pStyle w:val="Source"/>
      </w:pPr>
      <w:r>
        <w:t xml:space="preserve">1. ER Principle: </w:t>
      </w:r>
      <w:r w:rsidR="001D173A" w:rsidRPr="005724B2">
        <w:t>equal remuneration principle</w:t>
      </w:r>
      <w:r w:rsidRPr="001D173A">
        <w:t>; FW</w:t>
      </w:r>
      <w:r>
        <w:t xml:space="preserve"> Act 2009: </w:t>
      </w:r>
      <w:r w:rsidRPr="005724B2">
        <w:rPr>
          <w:i/>
        </w:rPr>
        <w:t>Fair Work Act 2009</w:t>
      </w:r>
      <w:r>
        <w:t xml:space="preserve"> (Cth</w:t>
      </w:r>
      <w:r w:rsidRPr="001D173A">
        <w:t>);</w:t>
      </w:r>
      <w:r w:rsidRPr="005724B2">
        <w:t xml:space="preserve"> IR Act 1988: </w:t>
      </w:r>
      <w:r w:rsidR="001D173A" w:rsidRPr="005724B2">
        <w:rPr>
          <w:i/>
        </w:rPr>
        <w:t>Industrial Relations Act 1988</w:t>
      </w:r>
      <w:r w:rsidR="001D173A">
        <w:t xml:space="preserve"> (Cth)</w:t>
      </w:r>
      <w:r>
        <w:t xml:space="preserve">; SACS case: </w:t>
      </w:r>
      <w:r w:rsidR="001D173A" w:rsidRPr="001D173A">
        <w:t>Social and Community Services</w:t>
      </w:r>
      <w:r w:rsidR="001D173A">
        <w:t xml:space="preserve"> </w:t>
      </w:r>
      <w:r w:rsidR="001D173A" w:rsidRPr="001D173A">
        <w:t>test case</w:t>
      </w:r>
      <w:r>
        <w:t>; SJBP Act: Secure Jobs, Better Pay Act.</w:t>
      </w:r>
    </w:p>
    <w:p w14:paraId="688A257E" w14:textId="22FBC2F0" w:rsidR="000A0EB4" w:rsidRPr="00167CB8" w:rsidRDefault="000A0EB4" w:rsidP="000A0EB4">
      <w:pPr>
        <w:pStyle w:val="Source"/>
      </w:pPr>
      <w:r w:rsidRPr="00167CB8">
        <w:t>1. ABS data source: ABS 6302.0 Average Weekly Earnings, Australia, Table 2 (seasonally adjusted). Since May 2012 estimates are reported bi-annually. Prior to this they were reported on a quarterly basis.</w:t>
      </w:r>
    </w:p>
    <w:p w14:paraId="16CD499D" w14:textId="77777777" w:rsidR="000A0EB4" w:rsidRDefault="000A0EB4" w:rsidP="000A0EB4">
      <w:pPr>
        <w:pStyle w:val="Source"/>
      </w:pPr>
      <w:r w:rsidRPr="396ABCA7">
        <w:t>2. The solid red line shows outcomes post passage of the Secure jobs, Better Pay Act. The others show select important legislative principles and decisions in relation to equal pay. For further details see M Smith and G Whitehouse.</w:t>
      </w:r>
      <w:r w:rsidRPr="396ABCA7">
        <w:rPr>
          <w:rStyle w:val="FootnoteReference"/>
          <w:rFonts w:ascii="Calibri" w:hAnsi="Calibri" w:cs="Calibri"/>
          <w:sz w:val="20"/>
          <w:szCs w:val="20"/>
        </w:rPr>
        <w:footnoteReference w:id="963"/>
      </w:r>
    </w:p>
    <w:p w14:paraId="3A6A9A7B" w14:textId="17AC001F" w:rsidR="0011475D" w:rsidRDefault="000A0EB4" w:rsidP="000A0EB4">
      <w:pPr>
        <w:pStyle w:val="Source"/>
      </w:pPr>
      <w:r w:rsidRPr="396ABCA7">
        <w:rPr>
          <w:b/>
          <w:bCs/>
        </w:rPr>
        <w:t>Alt-text:</w:t>
      </w:r>
      <w:r w:rsidRPr="396ABCA7">
        <w:t xml:space="preserve"> A line chart showing the downward trend in the </w:t>
      </w:r>
      <w:r w:rsidR="00880FFD">
        <w:t>gender wage gap</w:t>
      </w:r>
      <w:r w:rsidR="00880FFD" w:rsidRPr="396ABCA7">
        <w:t xml:space="preserve"> </w:t>
      </w:r>
      <w:r w:rsidRPr="396ABCA7">
        <w:t xml:space="preserve">between 1984 and 2024 which has continued </w:t>
      </w:r>
      <w:r>
        <w:t>a downward trend</w:t>
      </w:r>
      <w:r w:rsidRPr="396ABCA7">
        <w:t xml:space="preserve"> since 2022.</w:t>
      </w:r>
    </w:p>
    <w:p w14:paraId="457190D4" w14:textId="0B125CE1" w:rsidR="000A0EB4" w:rsidRPr="00167CB8" w:rsidRDefault="000A0EB4" w:rsidP="000A0EB4">
      <w:r w:rsidRPr="396ABCA7">
        <w:t xml:space="preserve">The vertical lines </w:t>
      </w:r>
      <w:r w:rsidRPr="00191E69">
        <w:t xml:space="preserve">in Figure 20 show where significant decisions or legislative changes </w:t>
      </w:r>
      <w:r w:rsidR="00A3571E">
        <w:t xml:space="preserve">before 2022 </w:t>
      </w:r>
      <w:r w:rsidRPr="00191E69">
        <w:t xml:space="preserve">occurred that might be expected to </w:t>
      </w:r>
      <w:r w:rsidR="007E5B29">
        <w:t xml:space="preserve">influence </w:t>
      </w:r>
      <w:r w:rsidRPr="00191E69">
        <w:t xml:space="preserve">the </w:t>
      </w:r>
      <w:r w:rsidR="00E81530">
        <w:t>GWG</w:t>
      </w:r>
      <w:r w:rsidRPr="00191E69">
        <w:t xml:space="preserve">. </w:t>
      </w:r>
      <w:r w:rsidR="00963ECC">
        <w:t xml:space="preserve">Overall, the </w:t>
      </w:r>
      <w:r w:rsidRPr="00191E69">
        <w:t>evidence suggests</w:t>
      </w:r>
      <w:r w:rsidR="00963ECC">
        <w:t xml:space="preserve"> only</w:t>
      </w:r>
      <w:r w:rsidRPr="00191E69">
        <w:t xml:space="preserve"> a weak relationship between </w:t>
      </w:r>
      <w:r w:rsidR="00963ECC">
        <w:t>these changes and the GWG. This is un</w:t>
      </w:r>
      <w:r w:rsidRPr="396ABCA7">
        <w:t>surprising</w:t>
      </w:r>
      <w:r w:rsidR="005763F5">
        <w:t>, as wage adjustments resulting from major decisions are typically phased in</w:t>
      </w:r>
      <w:r w:rsidR="000C5D42">
        <w:t xml:space="preserve">, making abrupt shifts in the series unlikely. For example, wage outcomes in the </w:t>
      </w:r>
      <w:r w:rsidR="005763F5">
        <w:t>SACS case</w:t>
      </w:r>
      <w:r w:rsidR="000C5D42">
        <w:t xml:space="preserve"> were, as noted,</w:t>
      </w:r>
      <w:r w:rsidR="005763F5">
        <w:t xml:space="preserve"> phased in through to December 2020. </w:t>
      </w:r>
      <w:r w:rsidR="000C5D42">
        <w:t xml:space="preserve"> </w:t>
      </w:r>
      <w:r w:rsidR="00B74186">
        <w:t>This</w:t>
      </w:r>
      <w:r w:rsidR="00F86B6B">
        <w:t xml:space="preserve"> long phase in period</w:t>
      </w:r>
      <w:r w:rsidR="00B74186">
        <w:t xml:space="preserve"> might explain the continued convergence in the GWG </w:t>
      </w:r>
      <w:r w:rsidR="00026A8B">
        <w:t>notwithstanding</w:t>
      </w:r>
      <w:r w:rsidR="00F86B6B">
        <w:t xml:space="preserve"> the</w:t>
      </w:r>
      <w:r w:rsidR="00B41A17">
        <w:t xml:space="preserve"> adverse decision</w:t>
      </w:r>
      <w:r w:rsidR="00F86B6B">
        <w:t xml:space="preserve"> by </w:t>
      </w:r>
      <w:r w:rsidR="00026A8B">
        <w:t xml:space="preserve">the </w:t>
      </w:r>
      <w:r w:rsidR="005169FC">
        <w:t>FW</w:t>
      </w:r>
      <w:r w:rsidR="00F86B6B">
        <w:t xml:space="preserve">C </w:t>
      </w:r>
      <w:r w:rsidR="005169FC">
        <w:t xml:space="preserve">in the 2015 </w:t>
      </w:r>
      <w:r w:rsidR="00BE7017">
        <w:t xml:space="preserve">Early Childhood Education and Care (ECEC) </w:t>
      </w:r>
      <w:r w:rsidR="00527F9F">
        <w:t>case requiring</w:t>
      </w:r>
      <w:r w:rsidR="002030CB">
        <w:t xml:space="preserve"> a male comparator</w:t>
      </w:r>
      <w:r w:rsidR="00527F9F">
        <w:t xml:space="preserve"> for work value</w:t>
      </w:r>
      <w:r w:rsidR="008D25C9">
        <w:t xml:space="preserve"> cases</w:t>
      </w:r>
      <w:r w:rsidRPr="396ABCA7">
        <w:t>.</w:t>
      </w:r>
      <w:r w:rsidRPr="396ABCA7">
        <w:rPr>
          <w:rStyle w:val="FootnoteReference"/>
          <w:rFonts w:ascii="Calibri" w:hAnsi="Calibri" w:cs="Calibri"/>
          <w:sz w:val="24"/>
          <w:szCs w:val="24"/>
        </w:rPr>
        <w:footnoteReference w:id="964"/>
      </w:r>
    </w:p>
    <w:p w14:paraId="0477E206" w14:textId="77777777" w:rsidR="000A0EB4" w:rsidRPr="005724B2" w:rsidRDefault="000A0EB4" w:rsidP="00EC3517">
      <w:pPr>
        <w:pStyle w:val="Heading5"/>
      </w:pPr>
      <w:bookmarkStart w:id="370" w:name="_Toc188003344"/>
      <w:r w:rsidRPr="005724B2">
        <w:lastRenderedPageBreak/>
        <w:t xml:space="preserve">22.3.3 The gender wage gap since </w:t>
      </w:r>
      <w:bookmarkEnd w:id="370"/>
      <w:r w:rsidRPr="005724B2">
        <w:t>2022</w:t>
      </w:r>
    </w:p>
    <w:p w14:paraId="6A0E79AC" w14:textId="77777777" w:rsidR="000A0EB4" w:rsidRPr="00167CB8" w:rsidRDefault="000A0EB4" w:rsidP="000A0EB4">
      <w:r w:rsidRPr="00167CB8">
        <w:t>Many of the Secure Jobs, Better Pay amendments that could be expected to affect the GWG came into effect on 7 December 2022.</w:t>
      </w:r>
    </w:p>
    <w:p w14:paraId="485EB325" w14:textId="59D4CDC7" w:rsidR="000A0EB4" w:rsidRPr="00167CB8" w:rsidRDefault="000A0EB4" w:rsidP="000A0EB4">
      <w:r w:rsidRPr="396ABCA7">
        <w:t>A noteworthy change is the amendment at Part 5 of the Secure Jobs, Better Pay Act in relation to equal remuneration. Subsequent to the FWC’s position in the 2015 ECEC case and the requirement for a male comparator</w:t>
      </w:r>
      <w:r w:rsidR="00BE6CF2">
        <w:t xml:space="preserve"> (noted above)</w:t>
      </w:r>
      <w:r w:rsidRPr="396ABCA7">
        <w:t>, the Secure Jobs, Better Pay Act changed the Fair Work Act to require that, when deciding whether there is equal remuneration for work of equal or comparable value, the FWC need not limit the comparison to similar work or require that a comparison be made with an historically male-dominated occupation or industry (s 157(3B)).</w:t>
      </w:r>
    </w:p>
    <w:p w14:paraId="740B6F5A" w14:textId="740363A0" w:rsidR="000A0EB4" w:rsidRPr="00167CB8" w:rsidRDefault="000A0EB4" w:rsidP="000A0EB4">
      <w:r w:rsidRPr="396ABCA7">
        <w:t>The Secure Jobs, Better Pay Act also made important changes to the Objects of the Act. These and other amendments are discussed in detail in subsequent chapters in this part, so they are not detailed here other than to note that the changes concerning the Objects of the Act and the equal remuneration (work value) amendments have, on the balance of probabilities, significantly improved the wages for many award</w:t>
      </w:r>
      <w:r w:rsidR="00E81530">
        <w:t>-</w:t>
      </w:r>
      <w:r w:rsidRPr="396ABCA7">
        <w:t xml:space="preserve">reliant workers. At an aggregate level this would appear to be showing up in the data reported in </w:t>
      </w:r>
      <w:r w:rsidR="009C6962">
        <w:t xml:space="preserve">reductions </w:t>
      </w:r>
      <w:r>
        <w:t xml:space="preserve">in the </w:t>
      </w:r>
      <w:r w:rsidR="00E81530">
        <w:t xml:space="preserve">GWG </w:t>
      </w:r>
      <w:r w:rsidR="005C73A2">
        <w:t xml:space="preserve">after </w:t>
      </w:r>
      <w:r>
        <w:t>2022. Between November 2022 and May 2024 AWOTE among men employed full-time increased by 5.6%. The corresponding growth among women employed full-time was 7.8%. The GWG, as a result, declined, reaching a new record low of 11.5% by May 2024. In the subsequent six months male AWOTE (full-time labour market) increased by 2.9% and female AWOTE by 2.4%. Stronger wage growth among men saw the GWG marginally widen to 11.9% by December 2024.</w:t>
      </w:r>
    </w:p>
    <w:p w14:paraId="75BBB286" w14:textId="1EBC7EA0" w:rsidR="000A0EB4" w:rsidRPr="00167CB8" w:rsidRDefault="000A0EB4" w:rsidP="000A0EB4">
      <w:r w:rsidRPr="396ABCA7">
        <w:t xml:space="preserve">The notable reduction in the GWG since 2022 is also observed when an adjusted measure of the GWG is used. The regression results are </w:t>
      </w:r>
      <w:r w:rsidRPr="00FD51E9">
        <w:t>presented in Appendix 1. The</w:t>
      </w:r>
      <w:r w:rsidRPr="396ABCA7">
        <w:t xml:space="preserve"> sample consists of employees aged 21</w:t>
      </w:r>
      <w:r w:rsidRPr="396ABCA7">
        <w:rPr>
          <w:rFonts w:ascii="Symbol" w:eastAsia="Symbol" w:hAnsi="Symbol" w:cs="Symbol"/>
        </w:rPr>
        <w:t>-</w:t>
      </w:r>
      <w:r w:rsidRPr="396ABCA7">
        <w:t xml:space="preserve">64, with the data covering the period 2008 to 2023. Estimates based on </w:t>
      </w:r>
      <w:r w:rsidR="00162095">
        <w:t>o</w:t>
      </w:r>
      <w:r w:rsidRPr="396ABCA7">
        <w:t xml:space="preserve">rdinary </w:t>
      </w:r>
      <w:r w:rsidR="00162095">
        <w:t>l</w:t>
      </w:r>
      <w:r w:rsidRPr="396ABCA7">
        <w:t xml:space="preserve">east </w:t>
      </w:r>
      <w:r w:rsidR="00162095">
        <w:t>s</w:t>
      </w:r>
      <w:r w:rsidRPr="396ABCA7">
        <w:t>quares (OLS) show that the mean ‘adjusted’ GWG over the period 2008 to 2022 is equal to 10.8%. In 2023 it falls to 6.5%, with the change statistically significant at the 1% level.</w:t>
      </w:r>
      <w:r w:rsidRPr="396ABCA7">
        <w:rPr>
          <w:rStyle w:val="FootnoteReference"/>
          <w:rFonts w:ascii="Calibri" w:hAnsi="Calibri" w:cs="Calibri"/>
          <w:sz w:val="24"/>
          <w:szCs w:val="24"/>
        </w:rPr>
        <w:footnoteReference w:id="965"/>
      </w:r>
    </w:p>
    <w:p w14:paraId="067E0F0F" w14:textId="4FDA7191" w:rsidR="00CF6258" w:rsidRDefault="000A0EB4" w:rsidP="000A0EB4">
      <w:r w:rsidRPr="396ABCA7">
        <w:t>There have been several major FWC determinations which have delivered significant wages increases to some award-reliant workers since 2022 – decisions which were underpinned by the Secure Jobs, Better Pay amendments. These wage increases have been in sectors with significant female representation. This includes decisions arising from the ‘Aged Care Work Value’ case as well as wage increases arising from the 2022</w:t>
      </w:r>
      <w:r w:rsidRPr="396ABCA7">
        <w:rPr>
          <w:rFonts w:ascii="Symbol" w:eastAsia="Symbol" w:hAnsi="Symbol" w:cs="Symbol"/>
        </w:rPr>
        <w:t>-</w:t>
      </w:r>
      <w:r w:rsidRPr="396ABCA7">
        <w:t>23 and 2023</w:t>
      </w:r>
      <w:r w:rsidRPr="396ABCA7">
        <w:rPr>
          <w:rFonts w:ascii="Symbol" w:eastAsia="Symbol" w:hAnsi="Symbol" w:cs="Symbol"/>
        </w:rPr>
        <w:t>-</w:t>
      </w:r>
      <w:r w:rsidRPr="396ABCA7">
        <w:t xml:space="preserve">24 Annual Wage Reviews. </w:t>
      </w:r>
    </w:p>
    <w:p w14:paraId="0E0C60F7" w14:textId="61CB7D46" w:rsidR="0011475D" w:rsidRDefault="00346994" w:rsidP="000A0EB4">
      <w:r>
        <w:t>Details related to the</w:t>
      </w:r>
      <w:r w:rsidR="00E95088">
        <w:t xml:space="preserve"> Aged Care Work Value </w:t>
      </w:r>
      <w:r w:rsidR="00F461E6">
        <w:t>case are summarised in</w:t>
      </w:r>
      <w:r w:rsidR="000A0EB4" w:rsidRPr="00FD51E9">
        <w:t xml:space="preserve"> Appendix 9.</w:t>
      </w:r>
      <w:r w:rsidR="00F461E6">
        <w:t xml:space="preserve"> In brief, decisions were handed down in </w:t>
      </w:r>
      <w:r w:rsidR="00776F6B">
        <w:t>three</w:t>
      </w:r>
      <w:r w:rsidR="00F461E6">
        <w:t xml:space="preserve"> stages</w:t>
      </w:r>
      <w:r w:rsidR="00525574">
        <w:t xml:space="preserve"> – November 2022, February 2023 and March 2024. </w:t>
      </w:r>
      <w:r w:rsidR="00776F6B">
        <w:t xml:space="preserve">The stage 2 decision saw aged care workers awarded </w:t>
      </w:r>
      <w:r w:rsidR="001341BF">
        <w:t>an initial 15% pay increase</w:t>
      </w:r>
      <w:r w:rsidR="00F302CA">
        <w:t xml:space="preserve"> and in the stage 3 decision some were awarded up to 28.5% more, inclusive of the initial 15%. It was a major decision</w:t>
      </w:r>
      <w:r w:rsidR="00B040D5">
        <w:t xml:space="preserve"> affecting awards</w:t>
      </w:r>
      <w:r w:rsidR="00844C52">
        <w:t xml:space="preserve"> with large coverage. For example, </w:t>
      </w:r>
      <w:r w:rsidR="00F302CA">
        <w:t xml:space="preserve">the </w:t>
      </w:r>
      <w:r w:rsidR="00AB068C">
        <w:t xml:space="preserve">Social, Community, </w:t>
      </w:r>
      <w:r w:rsidR="00AB068C">
        <w:lastRenderedPageBreak/>
        <w:t xml:space="preserve">Home Care and Disability Services (SCHADS) </w:t>
      </w:r>
      <w:r w:rsidR="00844C52">
        <w:t>Award</w:t>
      </w:r>
      <w:r w:rsidR="00AB068C">
        <w:t xml:space="preserve"> </w:t>
      </w:r>
      <w:r w:rsidR="00844C52">
        <w:t>is thought to cover</w:t>
      </w:r>
      <w:r w:rsidR="00AB068C">
        <w:t xml:space="preserve"> </w:t>
      </w:r>
      <w:r w:rsidR="00CF6258">
        <w:t xml:space="preserve">around 10.5% of award-reliant workers. </w:t>
      </w:r>
    </w:p>
    <w:p w14:paraId="08F81AE4" w14:textId="76BFE72D" w:rsidR="0011475D" w:rsidRDefault="000A0EB4" w:rsidP="000A0EB4">
      <w:r w:rsidRPr="0029365A">
        <w:t xml:space="preserve">Improvements in the </w:t>
      </w:r>
      <w:r w:rsidR="00E81530">
        <w:t xml:space="preserve">GWG </w:t>
      </w:r>
      <w:r w:rsidRPr="0029365A">
        <w:t xml:space="preserve">are also reflected in data recently released by </w:t>
      </w:r>
      <w:r w:rsidRPr="00162095">
        <w:t>WGEA</w:t>
      </w:r>
      <w:r w:rsidRPr="0029365A">
        <w:t xml:space="preserve"> (see </w:t>
      </w:r>
      <w:r w:rsidR="00E81530" w:rsidRPr="00FD51E9">
        <w:t>A</w:t>
      </w:r>
      <w:r w:rsidRPr="00FD51E9">
        <w:t>ppendix 1 for</w:t>
      </w:r>
      <w:r w:rsidRPr="0029365A">
        <w:t xml:space="preserve"> more detail). WGEA reports annually on gender equality indicators for private sector employers with 100 or more employees. In 2021</w:t>
      </w:r>
      <w:r w:rsidR="00E81530">
        <w:rPr>
          <w:rFonts w:ascii="Symbol" w:eastAsia="Symbol" w:hAnsi="Symbol" w:cs="Symbol"/>
        </w:rPr>
        <w:sym w:font="Symbol" w:char="F02D"/>
      </w:r>
      <w:r w:rsidRPr="0029365A">
        <w:t xml:space="preserve">22 the mean </w:t>
      </w:r>
      <w:r w:rsidR="00E81530">
        <w:t xml:space="preserve">GWG </w:t>
      </w:r>
      <w:r w:rsidRPr="0029365A">
        <w:t>based on total remuneration was equal to 22.8% and by 2023</w:t>
      </w:r>
      <w:r w:rsidR="00E81530">
        <w:rPr>
          <w:rFonts w:ascii="Symbol" w:eastAsia="Symbol" w:hAnsi="Symbol" w:cs="Symbol"/>
        </w:rPr>
        <w:sym w:font="Symbol" w:char="F02D"/>
      </w:r>
      <w:r w:rsidRPr="0029365A">
        <w:t>24 this had fallen to 21.8%. When considering base salary, in 2021</w:t>
      </w:r>
      <w:r w:rsidR="00E81530">
        <w:rPr>
          <w:rFonts w:ascii="Symbol" w:eastAsia="Symbol" w:hAnsi="Symbol" w:cs="Symbol"/>
        </w:rPr>
        <w:sym w:font="Symbol" w:char="F02D"/>
      </w:r>
      <w:r w:rsidRPr="0029365A">
        <w:t xml:space="preserve">22 the </w:t>
      </w:r>
      <w:r w:rsidRPr="0029365A" w:rsidDel="00E81530">
        <w:t xml:space="preserve">gender pay gap </w:t>
      </w:r>
      <w:r w:rsidRPr="0029365A">
        <w:t>was equal to 18.1% and by 2023</w:t>
      </w:r>
      <w:r w:rsidR="00E81530">
        <w:rPr>
          <w:rFonts w:ascii="Symbol" w:eastAsia="Symbol" w:hAnsi="Symbol" w:cs="Symbol"/>
        </w:rPr>
        <w:sym w:font="Symbol" w:char="F02D"/>
      </w:r>
      <w:r w:rsidRPr="0029365A">
        <w:t xml:space="preserve">24 </w:t>
      </w:r>
      <w:r w:rsidR="00E81530">
        <w:t xml:space="preserve">it </w:t>
      </w:r>
      <w:r w:rsidRPr="0029365A">
        <w:t>had fallen to 16.7%.</w:t>
      </w:r>
    </w:p>
    <w:p w14:paraId="6144755E" w14:textId="181F6F28" w:rsidR="000A0EB4" w:rsidRPr="00651D16" w:rsidRDefault="000A0EB4" w:rsidP="00EC3517">
      <w:pPr>
        <w:pStyle w:val="Heading4"/>
      </w:pPr>
      <w:bookmarkStart w:id="371" w:name="_Toc189260279"/>
      <w:bookmarkStart w:id="372" w:name="_Toc189393595"/>
      <w:r w:rsidRPr="00651D16">
        <w:t>22.4 Summary and conclusion</w:t>
      </w:r>
      <w:bookmarkEnd w:id="371"/>
      <w:bookmarkEnd w:id="372"/>
    </w:p>
    <w:p w14:paraId="1A5784EC" w14:textId="17A31EED" w:rsidR="000A0EB4" w:rsidRPr="00167CB8" w:rsidRDefault="000A0EB4" w:rsidP="000A0EB4">
      <w:r w:rsidRPr="396ABCA7">
        <w:t xml:space="preserve">This introductory chapter provides context for recent amendments to the Fair Work Act by examining key developments in the labour market. The analysis highlights significant changes in the composition of the labour market, with female labour force participation rising from 43.4% in 1979 to 63.1% in 2024, while male participation has declined. This shift reflects broader societal trends, with more women engaged in the workforce across all life stages, particularly during their 30s (prime child-rearing years) and later in life. Despite these advances, the labour market remains highly gender-segregated, with women predominantly employed in sectors such as health care and education, often in part-time and casual roles. The gendered nature of employment, coupled with the persistent undervaluation of women’s work, remains a key factor contributing to the </w:t>
      </w:r>
      <w:r w:rsidR="00E81530">
        <w:t>GWG</w:t>
      </w:r>
      <w:r w:rsidRPr="396ABCA7">
        <w:t>.</w:t>
      </w:r>
    </w:p>
    <w:p w14:paraId="2A93092F" w14:textId="3ED77EF9" w:rsidR="000A0EB4" w:rsidRPr="00167CB8" w:rsidRDefault="000A0EB4" w:rsidP="000A0EB4">
      <w:r w:rsidRPr="396ABCA7">
        <w:t>The Secure Jobs, Better Pay Act represents a significant legislative development aimed at improving women’s position in the labour market</w:t>
      </w:r>
      <w:r>
        <w:t xml:space="preserve"> in terms of labour market participation and attachment (forms of job security) and wages</w:t>
      </w:r>
      <w:r w:rsidRPr="396ABCA7">
        <w:t>. Early trends in the</w:t>
      </w:r>
      <w:r w:rsidRPr="396ABCA7" w:rsidDel="00E81530">
        <w:t xml:space="preserve"> </w:t>
      </w:r>
      <w:r w:rsidR="00E81530">
        <w:t xml:space="preserve">GWG </w:t>
      </w:r>
      <w:r w:rsidRPr="396ABCA7">
        <w:t>suggest positive outcomes, although it is recognised that the gap is just one measure of progress, and improvements will result from a combination of factors.</w:t>
      </w:r>
    </w:p>
    <w:p w14:paraId="65D4136F" w14:textId="77777777" w:rsidR="000A0EB4" w:rsidRPr="00167CB8" w:rsidRDefault="000A0EB4" w:rsidP="000A0EB4">
      <w:pPr>
        <w:spacing w:after="160"/>
      </w:pPr>
      <w:r w:rsidRPr="396ABCA7">
        <w:t>The following chapters analyse the specific Secure Jobs, Better Pay amendments which are broadly categorised as those relating to ‘job security and gender equality’. Each chapter outlines the amendment, explains the Australian Government’s intent and evaluates its impact using available quantitative and qualitative evidence, as well as stakeholder feedback. The Review Panel concludes that most amendments in this part are achieving their intended objectives. Several recommendations are proposed.</w:t>
      </w:r>
    </w:p>
    <w:p w14:paraId="13FA6E7B" w14:textId="77777777" w:rsidR="000A0EB4" w:rsidRPr="00167CB8" w:rsidRDefault="000A0EB4" w:rsidP="000A0EB4">
      <w:pPr>
        <w:spacing w:after="160"/>
      </w:pPr>
      <w:r w:rsidRPr="00167CB8">
        <w:br w:type="page"/>
      </w:r>
    </w:p>
    <w:p w14:paraId="096D2068" w14:textId="77777777" w:rsidR="000A0EB4" w:rsidRPr="00651D16" w:rsidRDefault="000A0EB4" w:rsidP="00EC3517">
      <w:pPr>
        <w:pStyle w:val="Heading3"/>
      </w:pPr>
      <w:bookmarkStart w:id="373" w:name="_Toc188003352"/>
      <w:bookmarkStart w:id="374" w:name="_Toc188277928"/>
      <w:bookmarkStart w:id="375" w:name="_Toc189260280"/>
      <w:bookmarkStart w:id="376" w:name="_Toc189393596"/>
      <w:bookmarkStart w:id="377" w:name="_Toc194311431"/>
      <w:r w:rsidRPr="00651D16">
        <w:lastRenderedPageBreak/>
        <w:t>Chapter 23. Paid family and domestic violence leave</w:t>
      </w:r>
      <w:bookmarkEnd w:id="373"/>
      <w:bookmarkEnd w:id="374"/>
      <w:bookmarkEnd w:id="375"/>
      <w:bookmarkEnd w:id="376"/>
      <w:bookmarkEnd w:id="377"/>
    </w:p>
    <w:p w14:paraId="3A80E057" w14:textId="77777777" w:rsidR="000A0EB4" w:rsidRPr="00167CB8" w:rsidRDefault="000A0EB4" w:rsidP="000A0EB4">
      <w:pPr>
        <w:rPr>
          <w:rFonts w:cstheme="minorHAnsi"/>
        </w:rPr>
      </w:pPr>
      <w:r w:rsidRPr="00167CB8">
        <w:rPr>
          <w:rFonts w:cstheme="minorHAnsi"/>
        </w:rPr>
        <w:t>In this chapter the focus is on Part 28 (Paid family and domestic violence leave) amendments in the Secure Jobs, Better Pay Act.</w:t>
      </w:r>
    </w:p>
    <w:p w14:paraId="1D5CCF7A" w14:textId="085350CF" w:rsidR="0011475D" w:rsidRDefault="000A0EB4" w:rsidP="000A0EB4">
      <w:r w:rsidRPr="396ABCA7">
        <w:t xml:space="preserve">By way of background information, family and domestic violence </w:t>
      </w:r>
      <w:r w:rsidR="00E81530">
        <w:t xml:space="preserve">(FDV) </w:t>
      </w:r>
      <w:r w:rsidRPr="396ABCA7">
        <w:t>leave entitlements first became part of the National Employment Standards (NES) on 31 August 2018.</w:t>
      </w:r>
      <w:r w:rsidRPr="396ABCA7">
        <w:rPr>
          <w:rStyle w:val="FootnoteReference"/>
        </w:rPr>
        <w:footnoteReference w:id="966"/>
      </w:r>
      <w:r w:rsidRPr="396ABCA7">
        <w:t xml:space="preserve"> Under this new entitlement all employees (full-time, part-time and casual) were eligible for </w:t>
      </w:r>
      <w:r w:rsidR="00E81530">
        <w:t>five</w:t>
      </w:r>
      <w:r w:rsidRPr="396ABCA7">
        <w:t xml:space="preserve"> days of unpaid FDV leave in a 12-month period.</w:t>
      </w:r>
    </w:p>
    <w:p w14:paraId="2647B08D" w14:textId="42F695C2" w:rsidR="0011475D" w:rsidRDefault="000A0EB4" w:rsidP="000A0EB4">
      <w:r w:rsidRPr="396ABCA7">
        <w:t xml:space="preserve">Following the passage of </w:t>
      </w:r>
      <w:r w:rsidRPr="396ABCA7">
        <w:rPr>
          <w:i/>
          <w:iCs/>
        </w:rPr>
        <w:t>the Fair Work Amendment (Paid Family and Domestic Violence Leave) Act 2022</w:t>
      </w:r>
      <w:r w:rsidRPr="396ABCA7">
        <w:t xml:space="preserve"> (Cth) (Paid Family and Domestic Violence Leave Act), the NES entitlement of </w:t>
      </w:r>
      <w:r w:rsidR="00E81530">
        <w:t>five</w:t>
      </w:r>
      <w:r w:rsidRPr="396ABCA7">
        <w:t xml:space="preserve"> days of unpaid FDV leave was replaced with a new NES entitlement of 10 days of paid FDV leave per year for all employees. The Paid Family and Domestic Violence Leave Act also extended the entitlement to non-national system employees</w:t>
      </w:r>
      <w:r w:rsidRPr="396ABCA7">
        <w:rPr>
          <w:rStyle w:val="FootnoteReference"/>
        </w:rPr>
        <w:footnoteReference w:id="967"/>
      </w:r>
      <w:r w:rsidRPr="396ABCA7">
        <w:t xml:space="preserve"> and amended the Fair Work Act at s 536(2</w:t>
      </w:r>
      <w:r w:rsidRPr="396ABCA7" w:rsidDel="00D84E73">
        <w:t>)</w:t>
      </w:r>
      <w:r w:rsidRPr="396ABCA7">
        <w:t xml:space="preserve"> to require that a payslip must ‘(c) not include any information prescribed by the regulations in relation to paid family and domestic violence leave’.</w:t>
      </w:r>
      <w:r w:rsidRPr="396ABCA7">
        <w:rPr>
          <w:rStyle w:val="FootnoteReference"/>
        </w:rPr>
        <w:footnoteReference w:id="968"/>
      </w:r>
    </w:p>
    <w:p w14:paraId="01DA11EA" w14:textId="0BF08C6C" w:rsidR="000A0EB4" w:rsidRPr="00167CB8" w:rsidRDefault="000A0EB4" w:rsidP="000A0EB4">
      <w:pPr>
        <w:rPr>
          <w:rFonts w:cstheme="minorHAnsi"/>
        </w:rPr>
      </w:pPr>
      <w:r w:rsidRPr="00167CB8">
        <w:t xml:space="preserve">Further amendments (outlined below) were made to s 536 (Employer obligations in relation to pay slips) via the </w:t>
      </w:r>
      <w:r w:rsidRPr="00167CB8">
        <w:rPr>
          <w:rFonts w:cstheme="minorHAnsi"/>
        </w:rPr>
        <w:t>Secure Jobs, Better Pay</w:t>
      </w:r>
      <w:r w:rsidRPr="00167CB8">
        <w:t xml:space="preserve"> Act.</w:t>
      </w:r>
    </w:p>
    <w:p w14:paraId="25EDEE6A" w14:textId="77777777" w:rsidR="000A0EB4" w:rsidRPr="00651D16" w:rsidRDefault="000A0EB4" w:rsidP="00EC3517">
      <w:pPr>
        <w:pStyle w:val="Heading4"/>
      </w:pPr>
      <w:bookmarkStart w:id="378" w:name="_Toc188003353"/>
      <w:bookmarkStart w:id="379" w:name="_Toc188277929"/>
      <w:bookmarkStart w:id="380" w:name="_Toc189260281"/>
      <w:bookmarkStart w:id="381" w:name="_Toc189393597"/>
      <w:r w:rsidRPr="00651D16">
        <w:t>23.1 Amendments and intent</w:t>
      </w:r>
      <w:bookmarkEnd w:id="378"/>
      <w:bookmarkEnd w:id="379"/>
      <w:bookmarkEnd w:id="380"/>
      <w:bookmarkEnd w:id="381"/>
    </w:p>
    <w:p w14:paraId="61A9EE15" w14:textId="77777777" w:rsidR="0011475D" w:rsidRDefault="000A0EB4" w:rsidP="000A0EB4">
      <w:pPr>
        <w:rPr>
          <w:rFonts w:cstheme="minorHAnsi"/>
        </w:rPr>
      </w:pPr>
      <w:r w:rsidRPr="00167CB8">
        <w:rPr>
          <w:rFonts w:cstheme="minorHAnsi"/>
        </w:rPr>
        <w:t>This section first outlines the main amendments at Part 28 of the Secure Jobs, Better Pay Act followed by a discussion of their intent.</w:t>
      </w:r>
    </w:p>
    <w:p w14:paraId="7C33495B" w14:textId="27F984C8" w:rsidR="0011475D" w:rsidRPr="00EC3517" w:rsidRDefault="000A0EB4" w:rsidP="00EC3517">
      <w:pPr>
        <w:pStyle w:val="Heading5"/>
      </w:pPr>
      <w:bookmarkStart w:id="382" w:name="_Toc188003354"/>
      <w:r w:rsidRPr="00651D16">
        <w:t xml:space="preserve">23.1.1 </w:t>
      </w:r>
      <w:r w:rsidRPr="00651D16" w:rsidDel="00452D85">
        <w:t xml:space="preserve">Secure Jobs, Better </w:t>
      </w:r>
      <w:r w:rsidRPr="00651D16">
        <w:t>Pay amendments</w:t>
      </w:r>
      <w:bookmarkEnd w:id="382"/>
    </w:p>
    <w:p w14:paraId="663D00A0" w14:textId="4AC4D52F" w:rsidR="000A0EB4" w:rsidRPr="009653F0" w:rsidRDefault="000A0EB4" w:rsidP="000A0EB4">
      <w:pPr>
        <w:rPr>
          <w:rFonts w:cstheme="minorHAnsi"/>
          <w:lang w:val="en-US"/>
        </w:rPr>
      </w:pPr>
      <w:r w:rsidRPr="00167CB8">
        <w:rPr>
          <w:rFonts w:cstheme="minorHAnsi"/>
        </w:rPr>
        <w:t>The amendment to the Fair Work Act arising from Division 1 of Part 28 of Schedule 1 to</w:t>
      </w:r>
      <w:r w:rsidRPr="00167CB8" w:rsidDel="00374892">
        <w:rPr>
          <w:rFonts w:cstheme="minorHAnsi"/>
        </w:rPr>
        <w:t xml:space="preserve"> the </w:t>
      </w:r>
      <w:r w:rsidRPr="00167CB8">
        <w:rPr>
          <w:rFonts w:cstheme="minorHAnsi"/>
        </w:rPr>
        <w:t xml:space="preserve">Secure Jobs, Better Pay Act primarily concern Division 3 of Part 3-6 (Employer obligations in relation to </w:t>
      </w:r>
      <w:r w:rsidRPr="009653F0">
        <w:rPr>
          <w:rFonts w:cstheme="minorHAnsi"/>
        </w:rPr>
        <w:t>employee records and pay slips) of the Fair Work Act</w:t>
      </w:r>
      <w:r w:rsidRPr="009653F0" w:rsidDel="00EF42E0">
        <w:rPr>
          <w:rFonts w:cstheme="minorHAnsi"/>
        </w:rPr>
        <w:t>.</w:t>
      </w:r>
      <w:r w:rsidRPr="009653F0">
        <w:rPr>
          <w:rFonts w:cstheme="minorHAnsi"/>
        </w:rPr>
        <w:t xml:space="preserve"> At s 536(2) of the Fair Work Act, a new subsection (d) has been inserted requiring that payslips must</w:t>
      </w:r>
      <w:r w:rsidRPr="009653F0">
        <w:rPr>
          <w:lang w:val="en-US"/>
        </w:rPr>
        <w:t xml:space="preserve"> ‘</w:t>
      </w:r>
      <w:r w:rsidRPr="009653F0">
        <w:rPr>
          <w:rFonts w:cstheme="minorHAnsi"/>
          <w:lang w:val="en-US"/>
        </w:rPr>
        <w:t>comply with any requirements prescribed by the regulations in relation to the reporting of paid family and domestic violence leave’</w:t>
      </w:r>
      <w:r w:rsidRPr="009653F0">
        <w:rPr>
          <w:lang w:val="en-US"/>
        </w:rPr>
        <w:t xml:space="preserve"> (s 536(2)(d)).</w:t>
      </w:r>
    </w:p>
    <w:p w14:paraId="40F13A92" w14:textId="595E4E07" w:rsidR="0011475D" w:rsidRDefault="000A0EB4" w:rsidP="000A0EB4">
      <w:pPr>
        <w:rPr>
          <w:rFonts w:cstheme="minorHAnsi"/>
        </w:rPr>
      </w:pPr>
      <w:r w:rsidRPr="009653F0">
        <w:rPr>
          <w:rFonts w:cstheme="minorHAnsi"/>
        </w:rPr>
        <w:t xml:space="preserve">At s 536(3) of the Fair Work Act (False or misleading pay slips) a new subsection 3A (Exception: paid family and domestic violence leave) has also been inserted </w:t>
      </w:r>
      <w:r w:rsidRPr="009653F0">
        <w:rPr>
          <w:rFonts w:cstheme="minorHAnsi"/>
          <w:lang w:val="en-US"/>
        </w:rPr>
        <w:t>(s 536(3A</w:t>
      </w:r>
      <w:r w:rsidRPr="00167CB8">
        <w:rPr>
          <w:rFonts w:cstheme="minorHAnsi"/>
          <w:lang w:val="en-US"/>
        </w:rPr>
        <w:t>))</w:t>
      </w:r>
      <w:r w:rsidRPr="00167CB8">
        <w:rPr>
          <w:rFonts w:cstheme="minorHAnsi"/>
        </w:rPr>
        <w:t>:</w:t>
      </w:r>
    </w:p>
    <w:p w14:paraId="42CE6298" w14:textId="56922DBB" w:rsidR="000A0EB4" w:rsidRPr="00167CB8" w:rsidRDefault="000A0EB4" w:rsidP="00846DC0">
      <w:pPr>
        <w:pStyle w:val="Quote"/>
      </w:pPr>
      <w:r w:rsidRPr="00167CB8">
        <w:t>A pay slip is not false or misleading merely because it complies with regulations made for the purposes of paragraph 2(d).</w:t>
      </w:r>
    </w:p>
    <w:p w14:paraId="49C37A70" w14:textId="07D1D910" w:rsidR="0011475D" w:rsidRDefault="000A0EB4" w:rsidP="000A0EB4">
      <w:r w:rsidRPr="396ABCA7">
        <w:t xml:space="preserve">In brief, the above amendments to the Fair Work Act concern the displaying of FDV leave entitlements on payslips. Any paid FDV leave should be recorded on the payslip as ordinary </w:t>
      </w:r>
      <w:r w:rsidRPr="396ABCA7">
        <w:lastRenderedPageBreak/>
        <w:t>hours of work or another kind of payment for performing work such as an allowance, bonus or overtime payment or another form of leave (e.g. annual leave) if an employee requests it.</w:t>
      </w:r>
      <w:r w:rsidRPr="396ABCA7">
        <w:rPr>
          <w:rStyle w:val="FootnoteReference"/>
        </w:rPr>
        <w:footnoteReference w:id="969"/>
      </w:r>
    </w:p>
    <w:p w14:paraId="5DEF8EBD" w14:textId="274CD63C" w:rsidR="0011475D" w:rsidRDefault="000A0EB4" w:rsidP="000A0EB4">
      <w:r w:rsidRPr="396ABCA7">
        <w:t>These Secure Jobs, Better Pay amendments came into effect on 1 February 2023 and 9 June 2024, immediately after the commencement of associated schedules in the Paid Family and Domestic Violence Leave Act.</w:t>
      </w:r>
      <w:r w:rsidRPr="396ABCA7">
        <w:rPr>
          <w:rStyle w:val="FootnoteReference"/>
        </w:rPr>
        <w:footnoteReference w:id="970"/>
      </w:r>
    </w:p>
    <w:p w14:paraId="09E32360" w14:textId="16E80709" w:rsidR="0011475D" w:rsidRDefault="000A0EB4" w:rsidP="000A0EB4">
      <w:pPr>
        <w:pStyle w:val="Heading5"/>
        <w:rPr>
          <w:rFonts w:cstheme="minorHAnsi"/>
        </w:rPr>
      </w:pPr>
      <w:bookmarkStart w:id="383" w:name="_Toc188003355"/>
      <w:r w:rsidRPr="00167CB8">
        <w:rPr>
          <w:rFonts w:asciiTheme="minorHAnsi" w:hAnsiTheme="minorHAnsi"/>
        </w:rPr>
        <w:t>23.1.</w:t>
      </w:r>
      <w:r w:rsidRPr="00167CB8" w:rsidDel="00EC3517">
        <w:rPr>
          <w:rFonts w:asciiTheme="minorHAnsi" w:hAnsiTheme="minorHAnsi"/>
        </w:rPr>
        <w:t>2</w:t>
      </w:r>
      <w:r w:rsidRPr="00167CB8">
        <w:rPr>
          <w:rFonts w:asciiTheme="minorHAnsi" w:hAnsiTheme="minorHAnsi"/>
        </w:rPr>
        <w:t xml:space="preserve"> Intent of </w:t>
      </w:r>
      <w:r w:rsidRPr="00167CB8" w:rsidDel="00452D85">
        <w:rPr>
          <w:rFonts w:asciiTheme="minorHAnsi" w:hAnsiTheme="minorHAnsi"/>
        </w:rPr>
        <w:t xml:space="preserve">Secure Jobs, Better </w:t>
      </w:r>
      <w:bookmarkEnd w:id="383"/>
      <w:r w:rsidRPr="00167CB8">
        <w:rPr>
          <w:rFonts w:asciiTheme="minorHAnsi" w:hAnsiTheme="minorHAnsi"/>
        </w:rPr>
        <w:t>Pay amendments</w:t>
      </w:r>
    </w:p>
    <w:p w14:paraId="49837EDB" w14:textId="1390D1AB" w:rsidR="000A0EB4" w:rsidRPr="00167CB8" w:rsidRDefault="000A0EB4" w:rsidP="000A0EB4">
      <w:r w:rsidRPr="396ABCA7">
        <w:t>The intent of these provisions was to address minor, technical issues related to the Paid Family and Domestic Violence Leave Act. The Secure Jobs, Better Pay amendment</w:t>
      </w:r>
      <w:r w:rsidR="00E81530">
        <w:t>s</w:t>
      </w:r>
      <w:r w:rsidRPr="396ABCA7">
        <w:t xml:space="preserve"> arose from stakeholder feedback concerning the operation of this new NES entitlement to 10 days of paid FDV leave. An August 2024 report reviewing the operation of this new entitlement noted that stakeholders were concerned that ‘recording the leave as miscellaneous/other leave might make it identifiable to perpetrators as paid FDV leave’.</w:t>
      </w:r>
      <w:r w:rsidRPr="396ABCA7">
        <w:rPr>
          <w:rStyle w:val="FootnoteReference"/>
        </w:rPr>
        <w:footnoteReference w:id="971"/>
      </w:r>
    </w:p>
    <w:p w14:paraId="0CEC6A25" w14:textId="4A5DDD3B" w:rsidR="0011475D" w:rsidRDefault="000A0EB4" w:rsidP="000A0EB4">
      <w:pPr>
        <w:rPr>
          <w:rFonts w:cstheme="minorHAnsi"/>
        </w:rPr>
      </w:pPr>
      <w:r w:rsidRPr="00167CB8">
        <w:rPr>
          <w:rFonts w:cstheme="minorHAnsi"/>
        </w:rPr>
        <w:t>The second amendment (concerning s 536(3A)) is designed to protect employers from penalties that may arise from issuing what would otherwise be false or misleading payslips.</w:t>
      </w:r>
    </w:p>
    <w:p w14:paraId="0F0BB6BB" w14:textId="288CC751" w:rsidR="000A0EB4" w:rsidRPr="00167CB8" w:rsidRDefault="000A0EB4" w:rsidP="000A0EB4">
      <w:r w:rsidRPr="396ABCA7">
        <w:t>The civil remedy provisions were also updated to permit an affected person to apply for a court order for any breach of the additional provision concerning payslips.</w:t>
      </w:r>
    </w:p>
    <w:p w14:paraId="4F6DE8A4" w14:textId="77777777" w:rsidR="000A0EB4" w:rsidRPr="00651D16" w:rsidRDefault="000A0EB4" w:rsidP="00EC3517">
      <w:pPr>
        <w:pStyle w:val="Heading4"/>
      </w:pPr>
      <w:bookmarkStart w:id="384" w:name="_Toc188003356"/>
      <w:bookmarkStart w:id="385" w:name="_Toc188277930"/>
      <w:bookmarkStart w:id="386" w:name="_Toc189260282"/>
      <w:bookmarkStart w:id="387" w:name="_Toc189393598"/>
      <w:r w:rsidRPr="00651D16">
        <w:t>23.2 Impact and issues</w:t>
      </w:r>
      <w:bookmarkEnd w:id="384"/>
      <w:bookmarkEnd w:id="385"/>
      <w:bookmarkEnd w:id="386"/>
      <w:bookmarkEnd w:id="387"/>
    </w:p>
    <w:p w14:paraId="4682CB12" w14:textId="77777777" w:rsidR="000A0EB4" w:rsidRPr="00167CB8" w:rsidRDefault="000A0EB4" w:rsidP="000A0EB4">
      <w:pPr>
        <w:rPr>
          <w:rFonts w:cstheme="minorHAnsi"/>
        </w:rPr>
      </w:pPr>
      <w:r w:rsidRPr="00167CB8">
        <w:rPr>
          <w:rFonts w:cstheme="minorHAnsi"/>
        </w:rPr>
        <w:t xml:space="preserve">This section summarises the key data and information considered by the Review Panel in evaluating the </w:t>
      </w:r>
      <w:r>
        <w:rPr>
          <w:rFonts w:cstheme="minorHAnsi"/>
        </w:rPr>
        <w:t xml:space="preserve">operation of the </w:t>
      </w:r>
      <w:r w:rsidRPr="00167CB8">
        <w:rPr>
          <w:rFonts w:cstheme="minorHAnsi"/>
        </w:rPr>
        <w:t>amendments discussed above.</w:t>
      </w:r>
    </w:p>
    <w:p w14:paraId="22B5562B" w14:textId="77777777" w:rsidR="000A0EB4" w:rsidRPr="00651D16" w:rsidRDefault="000A0EB4" w:rsidP="00EC3517">
      <w:pPr>
        <w:pStyle w:val="Heading5"/>
      </w:pPr>
      <w:bookmarkStart w:id="388" w:name="_Toc188003357"/>
      <w:r w:rsidRPr="00651D16">
        <w:t>23.2.1 Quantitative evidence</w:t>
      </w:r>
      <w:bookmarkEnd w:id="388"/>
    </w:p>
    <w:p w14:paraId="21B7874A" w14:textId="7801E9FA" w:rsidR="000A0EB4" w:rsidRPr="00167CB8" w:rsidRDefault="000A0EB4" w:rsidP="000A0EB4">
      <w:r w:rsidRPr="00167CB8">
        <w:t xml:space="preserve">In the </w:t>
      </w:r>
      <w:r w:rsidRPr="00167CB8">
        <w:rPr>
          <w:rFonts w:cstheme="minorHAnsi"/>
        </w:rPr>
        <w:t>report</w:t>
      </w:r>
      <w:r w:rsidRPr="00167CB8">
        <w:t xml:space="preserve"> of the Independent Review of the </w:t>
      </w:r>
      <w:r w:rsidRPr="00167CB8">
        <w:rPr>
          <w:i/>
          <w:iCs/>
        </w:rPr>
        <w:t>Fair Work Amendment (Paid Family and Domestic Violence Leave) Act 2022</w:t>
      </w:r>
      <w:r w:rsidRPr="00167CB8">
        <w:t xml:space="preserve"> the review team notes that there are ‘limitations on obtaining accurate data on paid FDV leave’ and that, because paid FDV leave could not be recorded on payslips, there was no administrative data to review.</w:t>
      </w:r>
      <w:r w:rsidRPr="00167CB8">
        <w:rPr>
          <w:rStyle w:val="FootnoteReference"/>
        </w:rPr>
        <w:footnoteReference w:id="972"/>
      </w:r>
      <w:r w:rsidRPr="00167CB8">
        <w:t xml:space="preserve"> The same data limitations face </w:t>
      </w:r>
      <w:r>
        <w:t xml:space="preserve">this </w:t>
      </w:r>
      <w:r w:rsidRPr="00167CB8">
        <w:t>Review Panel.</w:t>
      </w:r>
    </w:p>
    <w:p w14:paraId="18CDE94B" w14:textId="4DD0D466" w:rsidR="000A0EB4" w:rsidRPr="00167CB8" w:rsidRDefault="000A0EB4" w:rsidP="000A0EB4">
      <w:r w:rsidRPr="00421CB3">
        <w:rPr>
          <w:rFonts w:eastAsia="Times New Roman" w:cs="Calibri"/>
          <w:lang w:eastAsia="en-AU"/>
        </w:rPr>
        <w:t xml:space="preserve">The </w:t>
      </w:r>
      <w:r w:rsidRPr="00421CB3">
        <w:t>Australian Government Response to th</w:t>
      </w:r>
      <w:r w:rsidR="00E81530">
        <w:t>e</w:t>
      </w:r>
      <w:r w:rsidRPr="00421CB3">
        <w:t xml:space="preserve"> Independent Review agrees with a recommendation for ongoing evaluation and stakeholder consultation, identifies some data being collected by the Workplace Gender Equality Agency (WGEA) and notes the establishment of the Domestic, Family and Sexual Violence Commission.</w:t>
      </w:r>
      <w:r w:rsidRPr="00421CB3">
        <w:rPr>
          <w:rStyle w:val="FootnoteReference"/>
        </w:rPr>
        <w:footnoteReference w:id="973"/>
      </w:r>
      <w:r w:rsidRPr="00421CB3">
        <w:t xml:space="preserve"> The Review Panel welcomes this response.</w:t>
      </w:r>
    </w:p>
    <w:p w14:paraId="56C40506" w14:textId="77777777" w:rsidR="000A0EB4" w:rsidRPr="00167CB8" w:rsidRDefault="000A0EB4" w:rsidP="000A0EB4">
      <w:pPr>
        <w:pStyle w:val="Heading5"/>
        <w:rPr>
          <w:rFonts w:asciiTheme="minorHAnsi" w:hAnsiTheme="minorHAnsi"/>
        </w:rPr>
      </w:pPr>
      <w:bookmarkStart w:id="389" w:name="_Toc188003358"/>
      <w:r w:rsidRPr="00167CB8">
        <w:rPr>
          <w:rFonts w:asciiTheme="minorHAnsi" w:hAnsiTheme="minorHAnsi"/>
        </w:rPr>
        <w:lastRenderedPageBreak/>
        <w:t>23.2.2 Qualitative evidence</w:t>
      </w:r>
      <w:bookmarkEnd w:id="389"/>
    </w:p>
    <w:p w14:paraId="39019C55" w14:textId="77777777" w:rsidR="000A0EB4" w:rsidRPr="00167CB8" w:rsidRDefault="000A0EB4" w:rsidP="000A0EB4">
      <w:pPr>
        <w:rPr>
          <w:rFonts w:cstheme="minorHAnsi"/>
        </w:rPr>
      </w:pPr>
      <w:r w:rsidRPr="00167CB8">
        <w:rPr>
          <w:rFonts w:cstheme="minorHAnsi"/>
        </w:rPr>
        <w:t>The Review Panel is not aware of any significant qualitative evidence in relation to these amendments.</w:t>
      </w:r>
    </w:p>
    <w:p w14:paraId="0DD74AF7" w14:textId="77777777" w:rsidR="000A0EB4" w:rsidRPr="00D60312" w:rsidRDefault="000A0EB4" w:rsidP="00EC3517">
      <w:pPr>
        <w:pStyle w:val="Heading5"/>
      </w:pPr>
      <w:bookmarkStart w:id="390" w:name="_Toc188003359"/>
      <w:r w:rsidRPr="00D60312">
        <w:t>23.2.3 Stakeholder views</w:t>
      </w:r>
      <w:bookmarkEnd w:id="390"/>
    </w:p>
    <w:p w14:paraId="6A3C5C2E" w14:textId="6B58C793" w:rsidR="0011475D" w:rsidRDefault="000A0EB4" w:rsidP="000A0EB4">
      <w:pPr>
        <w:rPr>
          <w:rFonts w:cstheme="minorHAnsi"/>
        </w:rPr>
      </w:pPr>
      <w:r w:rsidRPr="00167CB8">
        <w:rPr>
          <w:rFonts w:cstheme="minorHAnsi"/>
        </w:rPr>
        <w:t>The dominant view in consultations and submissions to the Review was that this payslip amendment is important and welcomed.</w:t>
      </w:r>
    </w:p>
    <w:p w14:paraId="01EB3A2F" w14:textId="1AA35E76" w:rsidR="0011475D" w:rsidRDefault="000A0EB4" w:rsidP="000A0EB4">
      <w:pPr>
        <w:rPr>
          <w:rFonts w:cstheme="minorHAnsi"/>
        </w:rPr>
      </w:pPr>
      <w:r w:rsidRPr="00167CB8">
        <w:rPr>
          <w:rFonts w:cstheme="minorHAnsi"/>
        </w:rPr>
        <w:t>The Review Panel heard that employers play a critical role in creating a safe and supportive environment for employees</w:t>
      </w:r>
      <w:r w:rsidR="00E81530">
        <w:rPr>
          <w:rFonts w:cstheme="minorHAnsi"/>
        </w:rPr>
        <w:t>,</w:t>
      </w:r>
      <w:r w:rsidRPr="00167CB8">
        <w:rPr>
          <w:rFonts w:cstheme="minorHAnsi"/>
        </w:rPr>
        <w:t xml:space="preserve"> that it is important that they understand their legal obligations and that noncompliance could lead to legal repercussions.</w:t>
      </w:r>
    </w:p>
    <w:p w14:paraId="4FF3BF7F" w14:textId="7D5A1752" w:rsidR="000A0EB4" w:rsidRPr="00167CB8" w:rsidRDefault="000A0EB4" w:rsidP="000A0EB4">
      <w:r w:rsidRPr="396ABCA7">
        <w:t xml:space="preserve">The Review Panel also notes that the </w:t>
      </w:r>
      <w:r w:rsidR="009653F0">
        <w:t xml:space="preserve">Fair Work Ombudsman </w:t>
      </w:r>
      <w:r w:rsidRPr="396ABCA7">
        <w:t>provides clear guidelines on employers’ legal obligations concerning paid FDV leave. This includes information and recommendations concerning the treatment of payslips.</w:t>
      </w:r>
      <w:r w:rsidRPr="396ABCA7">
        <w:rPr>
          <w:rStyle w:val="FootnoteReference"/>
        </w:rPr>
        <w:footnoteReference w:id="974"/>
      </w:r>
    </w:p>
    <w:p w14:paraId="55065981" w14:textId="77777777" w:rsidR="000A0EB4" w:rsidRPr="00167CB8" w:rsidRDefault="000A0EB4" w:rsidP="000A0EB4">
      <w:r w:rsidRPr="00421CB3">
        <w:rPr>
          <w:rFonts w:eastAsia="Times New Roman" w:cs="Calibri"/>
          <w:lang w:eastAsia="en-AU"/>
        </w:rPr>
        <w:t>The Review Panel consulted stakeholders about its proposed findings and no significant concerns were raised in relation to these amendments.</w:t>
      </w:r>
    </w:p>
    <w:p w14:paraId="6FA4990E" w14:textId="77777777" w:rsidR="000A0EB4" w:rsidRPr="00D60312" w:rsidRDefault="000A0EB4" w:rsidP="00EC3517">
      <w:pPr>
        <w:pStyle w:val="Heading4"/>
      </w:pPr>
      <w:bookmarkStart w:id="391" w:name="_Toc188003360"/>
      <w:bookmarkStart w:id="392" w:name="_Toc188277931"/>
      <w:bookmarkStart w:id="393" w:name="_Toc189260283"/>
      <w:bookmarkStart w:id="394" w:name="_Toc189393599"/>
      <w:r w:rsidRPr="00D60312">
        <w:t>23.3 Findings and recommendations</w:t>
      </w:r>
      <w:bookmarkEnd w:id="391"/>
      <w:bookmarkEnd w:id="392"/>
      <w:bookmarkEnd w:id="393"/>
      <w:bookmarkEnd w:id="394"/>
    </w:p>
    <w:p w14:paraId="52467469" w14:textId="7EA02C13" w:rsidR="0011475D" w:rsidRDefault="000A0EB4" w:rsidP="000A0EB4">
      <w:pPr>
        <w:rPr>
          <w:rFonts w:cstheme="minorHAnsi"/>
        </w:rPr>
      </w:pPr>
      <w:r w:rsidRPr="00167CB8">
        <w:rPr>
          <w:rFonts w:cstheme="minorHAnsi"/>
        </w:rPr>
        <w:t>Based on stakeholder views, the Review Panel is satisfied that the Secure Jobs, Better Pay amendments concerning payslips are having their intended effect and there are no unintended effects.</w:t>
      </w:r>
    </w:p>
    <w:p w14:paraId="5EDB055C" w14:textId="77777777" w:rsidR="0011475D" w:rsidRDefault="000A0EB4" w:rsidP="000A0EB4">
      <w:r w:rsidRPr="396ABCA7">
        <w:t>Accordingly, the Panel makes no recommendations in relation to these amendments.</w:t>
      </w:r>
    </w:p>
    <w:p w14:paraId="349C97C7" w14:textId="73ECCF56" w:rsidR="000A0EB4" w:rsidRPr="00167CB8" w:rsidRDefault="000A0EB4" w:rsidP="000A0EB4">
      <w:pPr>
        <w:spacing w:after="160"/>
        <w:rPr>
          <w:rFonts w:cstheme="minorHAnsi"/>
        </w:rPr>
      </w:pPr>
      <w:r w:rsidRPr="00167CB8">
        <w:rPr>
          <w:rFonts w:cstheme="minorHAnsi"/>
        </w:rPr>
        <w:br w:type="page"/>
      </w:r>
    </w:p>
    <w:p w14:paraId="76776EDA" w14:textId="77777777" w:rsidR="000A0EB4" w:rsidRPr="00D60312" w:rsidRDefault="000A0EB4" w:rsidP="00EC3517">
      <w:pPr>
        <w:pStyle w:val="Heading3"/>
      </w:pPr>
      <w:bookmarkStart w:id="395" w:name="_Toc188003361"/>
      <w:bookmarkStart w:id="396" w:name="_Toc188277932"/>
      <w:bookmarkStart w:id="397" w:name="_Toc189260284"/>
      <w:bookmarkStart w:id="398" w:name="_Toc189393600"/>
      <w:bookmarkStart w:id="399" w:name="_Toc194311432"/>
      <w:r w:rsidRPr="00D60312">
        <w:lastRenderedPageBreak/>
        <w:t>Chapter 24. Objects of the Fair Work Act</w:t>
      </w:r>
      <w:bookmarkEnd w:id="395"/>
      <w:bookmarkEnd w:id="396"/>
      <w:bookmarkEnd w:id="397"/>
      <w:bookmarkEnd w:id="398"/>
      <w:bookmarkEnd w:id="399"/>
    </w:p>
    <w:p w14:paraId="1BA33A8C" w14:textId="77777777" w:rsidR="0011475D" w:rsidRDefault="000A0EB4" w:rsidP="000A0EB4">
      <w:r w:rsidRPr="396ABCA7">
        <w:t>In this chapter the focus is on Part 4 (Objects of the Fair Work Act) amendments in the Secure Jobs, Better Pay Act.</w:t>
      </w:r>
    </w:p>
    <w:p w14:paraId="03B1BC26" w14:textId="6B3CEED4" w:rsidR="000A0EB4" w:rsidRPr="00D60312" w:rsidRDefault="000A0EB4" w:rsidP="00EC3517">
      <w:pPr>
        <w:pStyle w:val="Heading4"/>
      </w:pPr>
      <w:bookmarkStart w:id="400" w:name="_Toc188003362"/>
      <w:bookmarkStart w:id="401" w:name="_Toc188277933"/>
      <w:bookmarkStart w:id="402" w:name="_Toc189260285"/>
      <w:bookmarkStart w:id="403" w:name="_Toc189393601"/>
      <w:r w:rsidRPr="00D60312">
        <w:t>24.1 Amendments and intent</w:t>
      </w:r>
      <w:bookmarkEnd w:id="400"/>
      <w:bookmarkEnd w:id="401"/>
      <w:bookmarkEnd w:id="402"/>
      <w:bookmarkEnd w:id="403"/>
    </w:p>
    <w:p w14:paraId="5E594D6F" w14:textId="77777777" w:rsidR="0011475D" w:rsidRDefault="000A0EB4" w:rsidP="000A0EB4">
      <w:pPr>
        <w:rPr>
          <w:rFonts w:cstheme="minorHAnsi"/>
        </w:rPr>
      </w:pPr>
      <w:r>
        <w:rPr>
          <w:rFonts w:cstheme="minorHAnsi"/>
        </w:rPr>
        <w:t>Via the</w:t>
      </w:r>
      <w:r w:rsidRPr="00167CB8">
        <w:rPr>
          <w:rFonts w:cstheme="minorHAnsi"/>
        </w:rPr>
        <w:t xml:space="preserve"> Secure Jobs, Better Pay Act </w:t>
      </w:r>
      <w:r>
        <w:rPr>
          <w:rFonts w:cstheme="minorHAnsi"/>
        </w:rPr>
        <w:t>t</w:t>
      </w:r>
      <w:r w:rsidRPr="00167CB8">
        <w:rPr>
          <w:rFonts w:cstheme="minorHAnsi"/>
        </w:rPr>
        <w:t>he objects of the Fair Work Act have</w:t>
      </w:r>
      <w:r>
        <w:rPr>
          <w:rFonts w:cstheme="minorHAnsi"/>
        </w:rPr>
        <w:t xml:space="preserve"> </w:t>
      </w:r>
      <w:r w:rsidRPr="00167CB8">
        <w:rPr>
          <w:rFonts w:cstheme="minorHAnsi"/>
        </w:rPr>
        <w:t>been amended to ensure that the Fair Work Act promotes job security and gender equality and that the Fair Work Commission (FWC) takes account of job security and gender equality in its modern awards and minimum wage determinations.</w:t>
      </w:r>
    </w:p>
    <w:p w14:paraId="0D848FB0" w14:textId="144CB8C6" w:rsidR="000A0EB4" w:rsidRPr="00D60312" w:rsidRDefault="000A0EB4" w:rsidP="00D60312">
      <w:pPr>
        <w:pStyle w:val="Heading5"/>
      </w:pPr>
      <w:bookmarkStart w:id="404" w:name="_Toc188003363"/>
      <w:r w:rsidRPr="00D60312">
        <w:t xml:space="preserve">24.1.1 </w:t>
      </w:r>
      <w:bookmarkEnd w:id="404"/>
      <w:r w:rsidRPr="00D60312">
        <w:t>Secure Jobs, Better Pay amendments</w:t>
      </w:r>
    </w:p>
    <w:p w14:paraId="6A21C07E" w14:textId="77777777" w:rsidR="0011475D" w:rsidRDefault="000A0EB4" w:rsidP="000A0EB4">
      <w:pPr>
        <w:rPr>
          <w:rFonts w:cstheme="minorHAnsi"/>
        </w:rPr>
      </w:pPr>
      <w:r w:rsidRPr="00167CB8">
        <w:rPr>
          <w:rFonts w:cstheme="minorHAnsi"/>
        </w:rPr>
        <w:t>Division 2 of Part 1-1, s 3, of the Fair Work Act concerns the Objects of the Act.</w:t>
      </w:r>
    </w:p>
    <w:p w14:paraId="6EF35742" w14:textId="6EAC7C19" w:rsidR="000A0EB4" w:rsidRPr="00167CB8" w:rsidRDefault="000A0EB4" w:rsidP="000A0EB4">
      <w:r w:rsidRPr="396ABCA7">
        <w:t>The Fair Work Act Object was amended to include the object of promoting job security and gender equality.</w:t>
      </w:r>
      <w:r w:rsidRPr="396ABCA7">
        <w:rPr>
          <w:rStyle w:val="FootnoteReference"/>
        </w:rPr>
        <w:footnoteReference w:id="975"/>
      </w:r>
      <w:r w:rsidRPr="396ABCA7">
        <w:t xml:space="preserve"> Section 3 now reads as follows:</w:t>
      </w:r>
    </w:p>
    <w:p w14:paraId="08676BED" w14:textId="77777777" w:rsidR="000A0EB4" w:rsidRPr="00167CB8" w:rsidRDefault="000A0EB4" w:rsidP="00846DC0">
      <w:pPr>
        <w:pStyle w:val="Quote"/>
      </w:pPr>
      <w:r w:rsidRPr="00167CB8">
        <w:t xml:space="preserve">3 </w:t>
      </w:r>
      <w:r w:rsidRPr="00167CB8">
        <w:tab/>
        <w:t>Object of this Act</w:t>
      </w:r>
    </w:p>
    <w:p w14:paraId="2E505DCF" w14:textId="77777777" w:rsidR="0011475D" w:rsidRDefault="000A0EB4" w:rsidP="00846DC0">
      <w:pPr>
        <w:pStyle w:val="Quote"/>
      </w:pPr>
      <w:r w:rsidRPr="00167CB8">
        <w:t>The object of this Act is to provide a balanced framework for cooperative and productive workplace relations that promotes national economic prosperity and social inclusion for all Australians by:</w:t>
      </w:r>
    </w:p>
    <w:p w14:paraId="6CA3CFD4" w14:textId="2BE293E4" w:rsidR="000A0EB4" w:rsidRPr="00167CB8" w:rsidRDefault="000A0EB4" w:rsidP="005B23A4">
      <w:pPr>
        <w:pStyle w:val="Quote"/>
        <w:ind w:left="2160"/>
      </w:pPr>
      <w:r w:rsidRPr="00167CB8">
        <w:t>(a)</w:t>
      </w:r>
      <w:r w:rsidRPr="00167CB8">
        <w:tab/>
        <w:t xml:space="preserve">providing workplace relations laws that are fair to working Australians, </w:t>
      </w:r>
      <w:r w:rsidRPr="00D60312">
        <w:rPr>
          <w:b/>
        </w:rPr>
        <w:t>promote job security and gender equality</w:t>
      </w:r>
      <w:r w:rsidRPr="00167CB8">
        <w:t>, are flexible for businesses, promote productivity and economic growth for Australia’s future economic prosperity and take into account Australia’s international labour obligations …</w:t>
      </w:r>
    </w:p>
    <w:p w14:paraId="6368F72B" w14:textId="77777777" w:rsidR="000A0EB4" w:rsidRDefault="000A0EB4" w:rsidP="005B23A4">
      <w:pPr>
        <w:pStyle w:val="Quote"/>
        <w:ind w:left="2160"/>
      </w:pPr>
      <w:r w:rsidRPr="009653F0">
        <w:t>[emphasis added]</w:t>
      </w:r>
    </w:p>
    <w:p w14:paraId="0D28CF5E" w14:textId="72FB5B34" w:rsidR="0011475D" w:rsidRDefault="000A0EB4" w:rsidP="000A0EB4">
      <w:pPr>
        <w:spacing w:before="240"/>
        <w:rPr>
          <w:rStyle w:val="FootnoteReference"/>
        </w:rPr>
      </w:pPr>
      <w:r w:rsidRPr="396ABCA7">
        <w:t xml:space="preserve">The modern awards objective was also amended to include </w:t>
      </w:r>
      <w:r>
        <w:t>two</w:t>
      </w:r>
      <w:r w:rsidRPr="396ABCA7">
        <w:t xml:space="preserve"> new objectives at s 134(1)(aa) and</w:t>
      </w:r>
      <w:r w:rsidR="00D44295">
        <w:t xml:space="preserve"> </w:t>
      </w:r>
      <w:r w:rsidRPr="396ABCA7">
        <w:t>(ab)):</w:t>
      </w:r>
    </w:p>
    <w:p w14:paraId="53F25F0A" w14:textId="77777777" w:rsidR="0011475D" w:rsidRDefault="000A0EB4" w:rsidP="00846DC0">
      <w:pPr>
        <w:pStyle w:val="Quote"/>
      </w:pPr>
      <w:r w:rsidRPr="00167CB8">
        <w:t xml:space="preserve">(aa) </w:t>
      </w:r>
      <w:r w:rsidRPr="00167CB8">
        <w:tab/>
        <w:t>the need to improve access to secure work across the economy; and</w:t>
      </w:r>
    </w:p>
    <w:p w14:paraId="0F926E4B" w14:textId="71A7F86D" w:rsidR="000A0EB4" w:rsidRPr="00167CB8" w:rsidRDefault="000A0EB4" w:rsidP="00846DC0">
      <w:pPr>
        <w:pStyle w:val="Quote"/>
      </w:pPr>
      <w:r w:rsidRPr="00167CB8">
        <w:t xml:space="preserve">(ab) </w:t>
      </w:r>
      <w:r w:rsidRPr="00167CB8">
        <w:tab/>
        <w:t>the need to achieve gender equality in the workplace by ensuring equal remuneration for work of equal or comparable value, eliminating gender-based undervaluation of work and providing workplace conditions that facilitate women’s full economic participation; …</w:t>
      </w:r>
    </w:p>
    <w:p w14:paraId="7F9DE37F" w14:textId="77777777" w:rsidR="000A0EB4" w:rsidRPr="00167CB8" w:rsidRDefault="000A0EB4" w:rsidP="000A0EB4">
      <w:r w:rsidRPr="396ABCA7">
        <w:t>The minimum wages objective at s 284(1) was amended to include an additional new objective:</w:t>
      </w:r>
    </w:p>
    <w:p w14:paraId="672D7E70" w14:textId="77777777" w:rsidR="000A0EB4" w:rsidRPr="00167CB8" w:rsidRDefault="000A0EB4" w:rsidP="00846DC0">
      <w:pPr>
        <w:pStyle w:val="Quote"/>
      </w:pPr>
      <w:r w:rsidRPr="00167CB8">
        <w:t xml:space="preserve">(aa) </w:t>
      </w:r>
      <w:r w:rsidRPr="00167CB8">
        <w:tab/>
        <w:t xml:space="preserve">the need to achieve gender equality in the workplace by ensuring equal remuneration for work of equal or comparable value, </w:t>
      </w:r>
      <w:r w:rsidRPr="00167CB8">
        <w:lastRenderedPageBreak/>
        <w:t>eliminating gender-based undervaluation of work and addressing gender pay gaps.</w:t>
      </w:r>
    </w:p>
    <w:p w14:paraId="57587FE7" w14:textId="0A099E98" w:rsidR="000A0EB4" w:rsidRPr="00167CB8" w:rsidRDefault="000A0EB4" w:rsidP="000A0EB4">
      <w:pPr>
        <w:rPr>
          <w:rFonts w:cstheme="minorHAnsi"/>
        </w:rPr>
      </w:pPr>
      <w:r w:rsidRPr="00167CB8">
        <w:rPr>
          <w:rFonts w:cstheme="minorHAnsi"/>
        </w:rPr>
        <w:t xml:space="preserve">Amendments to these </w:t>
      </w:r>
      <w:r w:rsidR="00D44295">
        <w:rPr>
          <w:rFonts w:cstheme="minorHAnsi"/>
        </w:rPr>
        <w:t>three</w:t>
      </w:r>
      <w:r w:rsidRPr="00167CB8">
        <w:rPr>
          <w:rFonts w:cstheme="minorHAnsi"/>
        </w:rPr>
        <w:t xml:space="preserve"> parts of the Fair Work Act took effect from 7 December 2022.</w:t>
      </w:r>
    </w:p>
    <w:p w14:paraId="4B065F1C" w14:textId="77777777" w:rsidR="0011475D" w:rsidRPr="00EC3517" w:rsidRDefault="000A0EB4" w:rsidP="00EC3517">
      <w:pPr>
        <w:pStyle w:val="Heading5"/>
      </w:pPr>
      <w:bookmarkStart w:id="405" w:name="_Toc188003364"/>
      <w:r w:rsidRPr="00D60312">
        <w:t xml:space="preserve">24.1.2 Intent of </w:t>
      </w:r>
      <w:r w:rsidRPr="00D60312" w:rsidDel="00452D85">
        <w:t xml:space="preserve">Secure Jobs, Better </w:t>
      </w:r>
      <w:r w:rsidRPr="00D60312">
        <w:t>Pay amendments</w:t>
      </w:r>
      <w:bookmarkEnd w:id="405"/>
    </w:p>
    <w:p w14:paraId="31BEE788" w14:textId="77777777" w:rsidR="0011475D" w:rsidRDefault="000A0EB4" w:rsidP="000A0EB4">
      <w:pPr>
        <w:rPr>
          <w:rStyle w:val="FootnoteReference"/>
        </w:rPr>
      </w:pPr>
      <w:r w:rsidRPr="396ABCA7">
        <w:t>The intent of these</w:t>
      </w:r>
      <w:r w:rsidRPr="396ABCA7" w:rsidDel="00526F0B">
        <w:t xml:space="preserve"> </w:t>
      </w:r>
      <w:r w:rsidRPr="396ABCA7">
        <w:t>amendments was to place job security and gender equality at the ‘heart of the FWC’s decision-making, and support the Government’s priorities of delivering secure, well-paid jobs and ensuring women have equal opportunities and equal pay’.</w:t>
      </w:r>
      <w:r w:rsidRPr="396ABCA7">
        <w:rPr>
          <w:rStyle w:val="FootnoteReference"/>
        </w:rPr>
        <w:footnoteReference w:id="976"/>
      </w:r>
    </w:p>
    <w:p w14:paraId="1CD77D94" w14:textId="66A0613A" w:rsidR="000A0EB4" w:rsidRPr="00167CB8" w:rsidRDefault="000A0EB4" w:rsidP="000A0EB4">
      <w:r w:rsidRPr="396ABCA7">
        <w:t>Despite various legislative amendments over time, the gender wage gap (GWG) remains significant in Australia</w:t>
      </w:r>
      <w:r>
        <w:t xml:space="preserve"> (</w:t>
      </w:r>
      <w:r w:rsidRPr="00FD51E9">
        <w:t xml:space="preserve">see </w:t>
      </w:r>
      <w:r w:rsidRPr="00D60312">
        <w:t>Chapter 22</w:t>
      </w:r>
      <w:r w:rsidRPr="00FD51E9">
        <w:t>). Much</w:t>
      </w:r>
      <w:r w:rsidRPr="396ABCA7">
        <w:t xml:space="preserve"> of the GWG is attributed to the historical undervaluation of work traditionally performed by women, particularly in sectors like health care, education and social services. The intent of these amendments was to engender pay equity by strengthening the FWC’s capacity to address pay equity.</w:t>
      </w:r>
    </w:p>
    <w:p w14:paraId="11F950EA" w14:textId="77777777" w:rsidR="000A0EB4" w:rsidRPr="00167CB8" w:rsidRDefault="000A0EB4" w:rsidP="000A0EB4">
      <w:r w:rsidRPr="396ABCA7">
        <w:t>In terms of job security, the FWC has noted that the intent of these amendments ‘recognises the importance of employees and jobseekers “having the choice” to be able to enjoy as much as possible “ongoing, stable and secure employment that provides regular and predictable access to beneficial wages and conditions of employment”’.</w:t>
      </w:r>
      <w:r w:rsidRPr="396ABCA7">
        <w:rPr>
          <w:rStyle w:val="FootnoteReference"/>
        </w:rPr>
        <w:footnoteReference w:id="977"/>
      </w:r>
    </w:p>
    <w:p w14:paraId="24A1D2B0" w14:textId="77777777" w:rsidR="000A0EB4" w:rsidRPr="00D60312" w:rsidRDefault="000A0EB4" w:rsidP="00EC3517">
      <w:pPr>
        <w:pStyle w:val="Heading4"/>
      </w:pPr>
      <w:bookmarkStart w:id="406" w:name="_Toc188003365"/>
      <w:bookmarkStart w:id="407" w:name="_Toc188277934"/>
      <w:bookmarkStart w:id="408" w:name="_Toc189260286"/>
      <w:bookmarkStart w:id="409" w:name="_Toc189393602"/>
      <w:r w:rsidRPr="00D60312">
        <w:t>24.2 Impact and issues</w:t>
      </w:r>
      <w:bookmarkEnd w:id="406"/>
      <w:bookmarkEnd w:id="407"/>
      <w:bookmarkEnd w:id="408"/>
      <w:bookmarkEnd w:id="409"/>
    </w:p>
    <w:p w14:paraId="190BF8BA" w14:textId="77777777" w:rsidR="0011475D" w:rsidRDefault="000A0EB4" w:rsidP="000A0EB4">
      <w:pPr>
        <w:rPr>
          <w:rFonts w:cstheme="minorHAnsi"/>
        </w:rPr>
      </w:pPr>
      <w:r w:rsidRPr="00167CB8">
        <w:rPr>
          <w:rFonts w:cstheme="minorHAnsi"/>
        </w:rPr>
        <w:t xml:space="preserve">This section describes relevant quantitative and qualitative data as well as information from </w:t>
      </w:r>
      <w:r>
        <w:rPr>
          <w:rFonts w:cstheme="minorHAnsi"/>
        </w:rPr>
        <w:t xml:space="preserve">stakeholder </w:t>
      </w:r>
      <w:r w:rsidRPr="00167CB8">
        <w:rPr>
          <w:rFonts w:cstheme="minorHAnsi"/>
        </w:rPr>
        <w:t>roundtables and submissions relied upon to evaluate the amendments described above.</w:t>
      </w:r>
    </w:p>
    <w:p w14:paraId="30AE00DC" w14:textId="225459F6" w:rsidR="000A0EB4" w:rsidRPr="00D60312" w:rsidRDefault="000A0EB4" w:rsidP="00EC3517">
      <w:pPr>
        <w:pStyle w:val="Heading5"/>
      </w:pPr>
      <w:bookmarkStart w:id="410" w:name="_Toc188003366"/>
      <w:r w:rsidRPr="00D60312">
        <w:t>24.2.1 Quantitative evidence</w:t>
      </w:r>
      <w:bookmarkEnd w:id="410"/>
    </w:p>
    <w:p w14:paraId="1025F5C9" w14:textId="77777777" w:rsidR="0011475D" w:rsidRDefault="000A0EB4" w:rsidP="000A0EB4">
      <w:r w:rsidRPr="396ABCA7">
        <w:t xml:space="preserve">In terms of job security (a new object in the Fair Work Act), the Review Panel notes that the share of employed persons holding a full-time permanent position was equal to 48.3% in 2023 </w:t>
      </w:r>
      <w:r w:rsidRPr="396ABCA7">
        <w:rPr>
          <w:rFonts w:ascii="Symbol" w:eastAsia="Symbol" w:hAnsi="Symbol" w:cs="Symbol"/>
        </w:rPr>
        <w:t>-</w:t>
      </w:r>
      <w:r w:rsidRPr="396ABCA7">
        <w:t xml:space="preserve"> the highest recorded level in the last decade. It is, however, only marginally higher than the share recorded in 2022 (48.1%).</w:t>
      </w:r>
      <w:r w:rsidRPr="396ABCA7">
        <w:rPr>
          <w:rStyle w:val="FootnoteReference"/>
        </w:rPr>
        <w:footnoteReference w:id="978"/>
      </w:r>
      <w:r w:rsidRPr="396ABCA7">
        <w:t xml:space="preserve"> It is too early to statistically quantify the impact of changes to the Objects on job security. That said, there is no statistical evidence of any unintended effects.</w:t>
      </w:r>
    </w:p>
    <w:p w14:paraId="3A2015AD" w14:textId="6D4672D8" w:rsidR="0011475D" w:rsidRDefault="000A0EB4" w:rsidP="000A0EB4">
      <w:r w:rsidRPr="396ABCA7">
        <w:t>Data measuring trends in the</w:t>
      </w:r>
      <w:r w:rsidRPr="396ABCA7" w:rsidDel="00237FED">
        <w:t xml:space="preserve"> </w:t>
      </w:r>
      <w:r w:rsidR="00D44295">
        <w:t xml:space="preserve">GWG </w:t>
      </w:r>
      <w:r w:rsidRPr="396ABCA7">
        <w:t xml:space="preserve">shows that, since the passage of the Secure Jobs, Better Pay Act and changes to the Objects coming into effect, </w:t>
      </w:r>
      <w:r>
        <w:t xml:space="preserve">the National Minimum Wage (NMW) has strengthened (relative to male average weekly ordinary time earnings) and alongside this there has been </w:t>
      </w:r>
      <w:r w:rsidRPr="396ABCA7">
        <w:t>a convergence</w:t>
      </w:r>
      <w:r>
        <w:t xml:space="preserve"> (narrowing)</w:t>
      </w:r>
      <w:r w:rsidRPr="396ABCA7">
        <w:t xml:space="preserve"> in the </w:t>
      </w:r>
      <w:r w:rsidR="00D44295">
        <w:t>GWG</w:t>
      </w:r>
      <w:r w:rsidRPr="396ABCA7">
        <w:t xml:space="preserve">. This is also confirmed by regression analysis. Estimates generated using the </w:t>
      </w:r>
      <w:r w:rsidR="009653F0" w:rsidRPr="009653F0">
        <w:t>Household, Income and Labour Dynamics in Australia (</w:t>
      </w:r>
      <w:r w:rsidRPr="009653F0">
        <w:t>HILDA</w:t>
      </w:r>
      <w:r w:rsidR="009653F0" w:rsidRPr="009653F0">
        <w:t>)</w:t>
      </w:r>
      <w:r w:rsidRPr="396ABCA7">
        <w:t xml:space="preserve"> data show that, for a sample of employees aged 21</w:t>
      </w:r>
      <w:r w:rsidRPr="396ABCA7">
        <w:rPr>
          <w:rFonts w:ascii="Symbol" w:eastAsia="Symbol" w:hAnsi="Symbol" w:cs="Symbol"/>
        </w:rPr>
        <w:t>-</w:t>
      </w:r>
      <w:r w:rsidRPr="396ABCA7">
        <w:t xml:space="preserve">64, the </w:t>
      </w:r>
      <w:r w:rsidR="00D44295">
        <w:t xml:space="preserve">GWG </w:t>
      </w:r>
      <w:r w:rsidRPr="396ABCA7">
        <w:t>was, on average, 10.8% over the period 2008 to 2022. In 2023 it was equal to 6.5</w:t>
      </w:r>
      <w:r w:rsidRPr="00FD51E9">
        <w:t xml:space="preserve">% (see </w:t>
      </w:r>
      <w:r w:rsidRPr="00D60312">
        <w:t>Chapter 22</w:t>
      </w:r>
      <w:r w:rsidRPr="00FD51E9">
        <w:t xml:space="preserve"> for further</w:t>
      </w:r>
      <w:r w:rsidRPr="396ABCA7">
        <w:t xml:space="preserve"> discussion).</w:t>
      </w:r>
    </w:p>
    <w:p w14:paraId="2C30DFF0" w14:textId="03C510BF" w:rsidR="000A0EB4" w:rsidRPr="00D60312" w:rsidRDefault="000A0EB4" w:rsidP="00EC3517">
      <w:pPr>
        <w:pStyle w:val="Heading5"/>
      </w:pPr>
      <w:bookmarkStart w:id="411" w:name="_Toc188003367"/>
      <w:r w:rsidRPr="00D60312">
        <w:lastRenderedPageBreak/>
        <w:t>24.2.2 Qualitative evidence</w:t>
      </w:r>
      <w:bookmarkEnd w:id="411"/>
    </w:p>
    <w:p w14:paraId="6BA44773" w14:textId="4A77D8DB" w:rsidR="0011475D" w:rsidRPr="00D44295" w:rsidRDefault="000A0EB4" w:rsidP="000A0EB4">
      <w:r w:rsidRPr="396ABCA7">
        <w:t>On the matter of job security, the construction of s 3(a) and s 134(1)(aa) of the Fair Work Act has been the focus of some deliberations by the FWC in the context of the 2022</w:t>
      </w:r>
      <w:r w:rsidRPr="396ABCA7">
        <w:rPr>
          <w:rFonts w:ascii="Symbol" w:eastAsia="Symbol" w:hAnsi="Symbol" w:cs="Symbol"/>
        </w:rPr>
        <w:t>-</w:t>
      </w:r>
      <w:r w:rsidRPr="396ABCA7">
        <w:t>23 and 2023</w:t>
      </w:r>
      <w:r w:rsidRPr="396ABCA7">
        <w:rPr>
          <w:rFonts w:ascii="Symbol" w:eastAsia="Symbol" w:hAnsi="Symbol" w:cs="Symbol"/>
        </w:rPr>
        <w:t>-</w:t>
      </w:r>
      <w:r w:rsidRPr="396ABCA7">
        <w:t xml:space="preserve">24 </w:t>
      </w:r>
      <w:r w:rsidR="00D44295">
        <w:t>Annual Wage R</w:t>
      </w:r>
      <w:r w:rsidR="00D44295" w:rsidRPr="00D44295">
        <w:t>eviews (</w:t>
      </w:r>
      <w:r w:rsidRPr="00D44295">
        <w:t>AWRs</w:t>
      </w:r>
      <w:r w:rsidR="00D44295" w:rsidRPr="00D44295">
        <w:t>)</w:t>
      </w:r>
      <w:r w:rsidRPr="00D44295">
        <w:t xml:space="preserve"> and in the Modern Awards Review 2023</w:t>
      </w:r>
      <w:r w:rsidRPr="00D44295">
        <w:rPr>
          <w:rFonts w:ascii="Symbol" w:eastAsia="Symbol" w:hAnsi="Symbol" w:cs="Symbol"/>
        </w:rPr>
        <w:t>-</w:t>
      </w:r>
      <w:r w:rsidRPr="00D44295">
        <w:t>24.</w:t>
      </w:r>
    </w:p>
    <w:p w14:paraId="62F460A9" w14:textId="14313B63" w:rsidR="000A0EB4" w:rsidRPr="00167CB8" w:rsidRDefault="000A0EB4" w:rsidP="000A0EB4">
      <w:r w:rsidRPr="00D44295">
        <w:t>In the 2022</w:t>
      </w:r>
      <w:r w:rsidRPr="00D44295">
        <w:rPr>
          <w:rFonts w:ascii="Symbol" w:eastAsia="Symbol" w:hAnsi="Symbol" w:cs="Symbol"/>
        </w:rPr>
        <w:t>-</w:t>
      </w:r>
      <w:r w:rsidRPr="00D44295">
        <w:t>23 AWR, for example, the Expert Panel considered what ‘having regard to job security’ meant, in terms of its function in determining the national minimum wage and the minimum rates in modern awards. The Expert Panel noted that, in the Secure Jobs, Better Pay Act Revised Explanatory Memorandum (REM</w:t>
      </w:r>
      <w:r w:rsidRPr="396ABCA7">
        <w:t>):</w:t>
      </w:r>
      <w:r w:rsidRPr="396ABCA7">
        <w:rPr>
          <w:rStyle w:val="FootnoteReference"/>
        </w:rPr>
        <w:footnoteReference w:id="979"/>
      </w:r>
    </w:p>
    <w:p w14:paraId="2F916AE7" w14:textId="6CE2BBA2" w:rsidR="0011475D" w:rsidRDefault="000A0EB4" w:rsidP="00846DC0">
      <w:pPr>
        <w:pStyle w:val="Quote"/>
      </w:pPr>
      <w:r w:rsidRPr="00167CB8">
        <w:t xml:space="preserve">the reference to promoting job security [in s 3(a)] recognises the importance of employees and job seekers ‘having the choice’ to be able to enjoy as much as possible </w:t>
      </w:r>
      <w:r w:rsidRPr="009653F0">
        <w:t>ongoing</w:t>
      </w:r>
      <w:r w:rsidRPr="00167CB8">
        <w:t>, stable and secure employment that provides regular and predictable access to beneficial wages and conditions of employment.</w:t>
      </w:r>
    </w:p>
    <w:p w14:paraId="63669A2B" w14:textId="6FFF489C" w:rsidR="000A0EB4" w:rsidRPr="00167CB8" w:rsidRDefault="000A0EB4" w:rsidP="000A0EB4">
      <w:r w:rsidRPr="396ABCA7">
        <w:t xml:space="preserve">The </w:t>
      </w:r>
      <w:r w:rsidRPr="00D44295">
        <w:t>2022</w:t>
      </w:r>
      <w:r w:rsidRPr="00D44295">
        <w:rPr>
          <w:rFonts w:ascii="Symbol" w:eastAsia="Symbol" w:hAnsi="Symbol" w:cs="Symbol"/>
        </w:rPr>
        <w:t>-</w:t>
      </w:r>
      <w:r w:rsidRPr="00D44295">
        <w:t>23 AWR Expert</w:t>
      </w:r>
      <w:r w:rsidRPr="396ABCA7">
        <w:t xml:space="preserve"> Panel goes on to note:</w:t>
      </w:r>
      <w:r w:rsidRPr="396ABCA7">
        <w:rPr>
          <w:rStyle w:val="FootnoteReference"/>
        </w:rPr>
        <w:footnoteReference w:id="980"/>
      </w:r>
    </w:p>
    <w:p w14:paraId="723551D6" w14:textId="0BEC723F" w:rsidR="000A0EB4" w:rsidRPr="00167CB8" w:rsidRDefault="000A0EB4" w:rsidP="00846DC0">
      <w:pPr>
        <w:pStyle w:val="Quote"/>
      </w:pPr>
      <w:r w:rsidRPr="00167CB8">
        <w:t xml:space="preserve">We see no reason to consider that the expression ‘secure work’ in s 134(1)(aa) bears any substantially different connotation to ‘job security’ in s 3(a). However, we consider that it is significant that </w:t>
      </w:r>
      <w:r w:rsidRPr="00167CB8" w:rsidDel="00D44295">
        <w:t>s</w:t>
      </w:r>
      <w:r w:rsidR="00D44295">
        <w:t> </w:t>
      </w:r>
      <w:r w:rsidRPr="00167CB8">
        <w:t>134(1)(aa) refers to ‘the need to improve access’ to secure work rather than the general promotion of job security. The language of s</w:t>
      </w:r>
      <w:r w:rsidR="00D44295">
        <w:t> </w:t>
      </w:r>
      <w:r w:rsidRPr="00167CB8">
        <w:t>134(1)(aa) suggests that it is more tightly focused on the capacity of employees to enter into work which may be characterised as secure. This appears to reflect the [</w:t>
      </w:r>
      <w:r w:rsidR="0040219C" w:rsidRPr="0040219C">
        <w:t>Revised Explanatory Memorandum</w:t>
      </w:r>
      <w:r w:rsidRPr="009653F0">
        <w:t>’s</w:t>
      </w:r>
      <w:r w:rsidRPr="00167CB8">
        <w:t>] reference to the importance of employees being able to have a ‘choice’ to enter into secure employment. As such, the consideration in s 134(1)(aa) would appear to direct attention primarily to those award terms which affect the capacity of employees to make that choice …</w:t>
      </w:r>
    </w:p>
    <w:p w14:paraId="0291865E" w14:textId="77777777" w:rsidR="000A0EB4" w:rsidRPr="00167CB8" w:rsidRDefault="000A0EB4" w:rsidP="000A0EB4">
      <w:r w:rsidRPr="396ABCA7">
        <w:t>The 2023</w:t>
      </w:r>
      <w:r w:rsidRPr="396ABCA7">
        <w:rPr>
          <w:rFonts w:ascii="Symbol" w:eastAsia="Symbol" w:hAnsi="Symbol" w:cs="Symbol"/>
        </w:rPr>
        <w:t>-</w:t>
      </w:r>
      <w:r w:rsidRPr="396ABCA7">
        <w:t>24 AWR Expert Panel noted:</w:t>
      </w:r>
      <w:r w:rsidRPr="396ABCA7">
        <w:rPr>
          <w:rStyle w:val="FootnoteReference"/>
        </w:rPr>
        <w:footnoteReference w:id="981"/>
      </w:r>
    </w:p>
    <w:p w14:paraId="23DC6EEF" w14:textId="77777777" w:rsidR="000A0EB4" w:rsidRPr="00167CB8" w:rsidRDefault="000A0EB4" w:rsidP="00846DC0">
      <w:pPr>
        <w:pStyle w:val="Quote"/>
      </w:pPr>
      <w:r w:rsidRPr="00167CB8">
        <w:t>In the context of this Review, the relevance of this consideration concerning the need to improve access to secure work across the economy (s 134(1)(aa)) is primarily whether the review outcome might affect the capacity of employers in the future to continue to offer, or maintain permanent employment.</w:t>
      </w:r>
    </w:p>
    <w:p w14:paraId="5A9895CD" w14:textId="77777777" w:rsidR="000A0EB4" w:rsidRPr="00167CB8" w:rsidRDefault="000A0EB4" w:rsidP="000A0EB4">
      <w:r w:rsidRPr="00167CB8">
        <w:t>The Full Bench conducting the Modern Awards Review 2023</w:t>
      </w:r>
      <w:r w:rsidRPr="00167CB8">
        <w:rPr>
          <w:rFonts w:ascii="Symbol" w:eastAsia="Symbol" w:hAnsi="Symbol" w:cs="Symbol"/>
        </w:rPr>
        <w:t>-</w:t>
      </w:r>
      <w:r w:rsidRPr="00167CB8">
        <w:t>24 referred to the commentary of the 2023</w:t>
      </w:r>
      <w:r w:rsidRPr="00167CB8">
        <w:rPr>
          <w:rFonts w:ascii="Symbol" w:eastAsia="Symbol" w:hAnsi="Symbol" w:cs="Symbol"/>
        </w:rPr>
        <w:t>-</w:t>
      </w:r>
      <w:r w:rsidRPr="00167CB8">
        <w:t>24 AWR Expert Panel and saw ‘no reason to deviate from these views about the meaning of job security and the need to improve access to secure work in the object of the Fair Work Act in s 3 and in the modern awards objective in s.134(1)(aa) respectively’.</w:t>
      </w:r>
      <w:r w:rsidRPr="00167CB8">
        <w:rPr>
          <w:rStyle w:val="FootnoteReference"/>
        </w:rPr>
        <w:footnoteReference w:id="982"/>
      </w:r>
    </w:p>
    <w:p w14:paraId="2AB7B530" w14:textId="272E6931" w:rsidR="000A0EB4" w:rsidRPr="00167CB8" w:rsidRDefault="000A0EB4" w:rsidP="000A0EB4">
      <w:r w:rsidRPr="00167CB8">
        <w:lastRenderedPageBreak/>
        <w:t xml:space="preserve">It is clear from these statements by the FWC that the terms ‘job security’ and ‘access to secure work’ are open to interpretation. The FWC has set out its interpretation (as noted). It is also clear that the FWC has, and is, taking the revised </w:t>
      </w:r>
      <w:r w:rsidR="00D44295">
        <w:t>O</w:t>
      </w:r>
      <w:r w:rsidRPr="00167CB8">
        <w:t>bjects into account in their deliberations.</w:t>
      </w:r>
    </w:p>
    <w:p w14:paraId="64AEB280" w14:textId="4CB9DA24" w:rsidR="000A0EB4" w:rsidRPr="00167CB8" w:rsidRDefault="000A0EB4" w:rsidP="000A0EB4">
      <w:r w:rsidRPr="00167CB8">
        <w:t xml:space="preserve">In considering the effect of amendments to the </w:t>
      </w:r>
      <w:r w:rsidR="00D44295">
        <w:t>O</w:t>
      </w:r>
      <w:r w:rsidRPr="00167CB8">
        <w:t>bjects of the Fair Work Act on decisions of the FWC, the Expert Panel began examining decisions in the 2022</w:t>
      </w:r>
      <w:r w:rsidRPr="00167CB8">
        <w:rPr>
          <w:rFonts w:ascii="Symbol" w:eastAsia="Symbol" w:hAnsi="Symbol" w:cs="Symbol"/>
        </w:rPr>
        <w:t>-</w:t>
      </w:r>
      <w:r w:rsidRPr="00167CB8">
        <w:t>23 AWR and 2023</w:t>
      </w:r>
      <w:r w:rsidRPr="00167CB8">
        <w:rPr>
          <w:rFonts w:ascii="Symbol" w:eastAsia="Symbol" w:hAnsi="Symbol" w:cs="Symbol"/>
        </w:rPr>
        <w:t>-</w:t>
      </w:r>
      <w:r w:rsidRPr="00167CB8">
        <w:t>24 AWR, the ‘Aged Care Work Value’ case and the Modern Awards Review 2023</w:t>
      </w:r>
      <w:r w:rsidRPr="00167CB8">
        <w:rPr>
          <w:rFonts w:ascii="Symbol" w:eastAsia="Symbol" w:hAnsi="Symbol" w:cs="Symbol"/>
        </w:rPr>
        <w:t>-</w:t>
      </w:r>
      <w:r w:rsidRPr="00167CB8">
        <w:t xml:space="preserve">24. The Review Panel considers these decisions below (see </w:t>
      </w:r>
      <w:r w:rsidRPr="00FD51E9">
        <w:t>also Appendix 9).</w:t>
      </w:r>
    </w:p>
    <w:p w14:paraId="5243D05A" w14:textId="276C80C0" w:rsidR="0011475D" w:rsidRPr="00F206CA" w:rsidRDefault="000A0EB4" w:rsidP="00EC3517">
      <w:pPr>
        <w:pStyle w:val="Heading6"/>
      </w:pPr>
      <w:r w:rsidRPr="00F206CA">
        <w:t>24.2.2.1 The 2022</w:t>
      </w:r>
      <w:r w:rsidR="00D44295" w:rsidRPr="00F206CA">
        <w:rPr>
          <w:rFonts w:ascii="Symbol" w:eastAsia="Symbol" w:hAnsi="Symbol" w:cs="Symbol"/>
        </w:rPr>
        <w:sym w:font="Symbol" w:char="F02D"/>
      </w:r>
      <w:r w:rsidRPr="00F206CA">
        <w:t>23 Annual Wage Review</w:t>
      </w:r>
    </w:p>
    <w:p w14:paraId="0D3E113C" w14:textId="08940D89" w:rsidR="000A0EB4" w:rsidRPr="00167CB8" w:rsidRDefault="000A0EB4" w:rsidP="000A0EB4">
      <w:r w:rsidRPr="396ABCA7">
        <w:t xml:space="preserve">The FWC, constituted by an Expert Panel, is required to review and make an order concerning the </w:t>
      </w:r>
      <w:r w:rsidR="009653F0">
        <w:t xml:space="preserve">NMW </w:t>
      </w:r>
      <w:r w:rsidRPr="396ABCA7">
        <w:t>and modern award minimum wages each year (called the Annual Wage Review (AWR)). In the 2022</w:t>
      </w:r>
      <w:r w:rsidRPr="396ABCA7">
        <w:rPr>
          <w:rFonts w:ascii="Symbol" w:eastAsia="Symbol" w:hAnsi="Symbol" w:cs="Symbol"/>
        </w:rPr>
        <w:t>-</w:t>
      </w:r>
      <w:r w:rsidRPr="396ABCA7">
        <w:t>23 AWR the Expert Panel noted the Secure Jobs, Better Pay amendments have the effect of giving greater emphasis to the issues of gender equality and job security. They discuss how the amendments were considered at section 2.2 of their decision.</w:t>
      </w:r>
      <w:r w:rsidRPr="396ABCA7">
        <w:rPr>
          <w:rStyle w:val="FootnoteReference"/>
        </w:rPr>
        <w:footnoteReference w:id="983"/>
      </w:r>
    </w:p>
    <w:p w14:paraId="2127EB3D" w14:textId="495D2873" w:rsidR="000A0EB4" w:rsidRPr="00167CB8" w:rsidRDefault="000A0EB4" w:rsidP="000A0EB4">
      <w:pPr>
        <w:rPr>
          <w:rFonts w:cstheme="minorHAnsi"/>
        </w:rPr>
      </w:pPr>
      <w:r w:rsidRPr="00167CB8">
        <w:rPr>
          <w:rFonts w:cstheme="minorHAnsi"/>
        </w:rPr>
        <w:t>In its decision, the Expert Panel refers to the new requirement in the minimum wage objective to ‘achieve gender equality’ and ‘eliminate gender-based undervaluation of work’.</w:t>
      </w:r>
      <w:r w:rsidRPr="00167CB8">
        <w:rPr>
          <w:rStyle w:val="FootnoteReference"/>
          <w:rFonts w:cstheme="minorHAnsi"/>
        </w:rPr>
        <w:footnoteReference w:id="984"/>
      </w:r>
      <w:r w:rsidRPr="00167CB8">
        <w:rPr>
          <w:rFonts w:cstheme="minorHAnsi"/>
        </w:rPr>
        <w:t xml:space="preserve"> The amendments, they note, mean that AWR decisions must now consider the ‘elimination of gender-based undervaluation’ and </w:t>
      </w:r>
      <w:r w:rsidR="00D44295">
        <w:rPr>
          <w:rFonts w:cstheme="minorHAnsi"/>
        </w:rPr>
        <w:t xml:space="preserve">GWGs </w:t>
      </w:r>
      <w:r w:rsidRPr="00167CB8">
        <w:rPr>
          <w:rFonts w:cstheme="minorHAnsi"/>
        </w:rPr>
        <w:t>when determining the annual adjustment to minimum wages – a departure from previous principles guiding AWR decisions.</w:t>
      </w:r>
    </w:p>
    <w:p w14:paraId="13783EBB" w14:textId="70B92F35" w:rsidR="000A0EB4" w:rsidRPr="00167CB8" w:rsidRDefault="000A0EB4" w:rsidP="000A0EB4">
      <w:pPr>
        <w:rPr>
          <w:rFonts w:cstheme="minorHAnsi"/>
        </w:rPr>
      </w:pPr>
      <w:r w:rsidRPr="00167CB8">
        <w:rPr>
          <w:rFonts w:cstheme="minorHAnsi"/>
        </w:rPr>
        <w:t>Following consideration of these new objects, the Expert Panel determined that the historic</w:t>
      </w:r>
      <w:r w:rsidR="00D44295">
        <w:rPr>
          <w:rFonts w:cstheme="minorHAnsi"/>
        </w:rPr>
        <w:t>al</w:t>
      </w:r>
      <w:r w:rsidRPr="00167CB8">
        <w:rPr>
          <w:rFonts w:cstheme="minorHAnsi"/>
        </w:rPr>
        <w:t xml:space="preserve"> alignment of the </w:t>
      </w:r>
      <w:r w:rsidR="009653F0">
        <w:rPr>
          <w:rFonts w:cstheme="minorHAnsi"/>
        </w:rPr>
        <w:t xml:space="preserve">NMW </w:t>
      </w:r>
      <w:r w:rsidRPr="00167CB8">
        <w:rPr>
          <w:rFonts w:cstheme="minorHAnsi"/>
        </w:rPr>
        <w:t xml:space="preserve">with the C14 wage rate in modern awards (the lowest modern award minimum wage) rate should be ended and that there should be a wider review, with supporting research, as to the appropriate level of alignment for the </w:t>
      </w:r>
      <w:r w:rsidR="009653F0">
        <w:rPr>
          <w:rFonts w:cstheme="minorHAnsi"/>
        </w:rPr>
        <w:t>NMW</w:t>
      </w:r>
      <w:r w:rsidRPr="00167CB8">
        <w:rPr>
          <w:rFonts w:cstheme="minorHAnsi"/>
        </w:rPr>
        <w:t>.</w:t>
      </w:r>
    </w:p>
    <w:p w14:paraId="3838B9EB" w14:textId="710F5F41" w:rsidR="0011475D" w:rsidRDefault="000A0EB4" w:rsidP="000A0EB4">
      <w:r w:rsidRPr="396ABCA7">
        <w:t>The</w:t>
      </w:r>
      <w:r w:rsidRPr="396ABCA7" w:rsidDel="000B0E1C">
        <w:t xml:space="preserve"> </w:t>
      </w:r>
      <w:r w:rsidRPr="396ABCA7">
        <w:t>Expert Panel also determined that the</w:t>
      </w:r>
      <w:r w:rsidRPr="396ABCA7" w:rsidDel="009653F0">
        <w:t xml:space="preserve"> </w:t>
      </w:r>
      <w:r w:rsidR="009653F0">
        <w:t xml:space="preserve">NMW </w:t>
      </w:r>
      <w:r w:rsidRPr="396ABCA7">
        <w:t>and the minimum rates in modern awards be increased by 5.75%. This was significantly higher than the general rate of wage growth for the workforce at that time</w:t>
      </w:r>
      <w:r>
        <w:t xml:space="preserve"> (</w:t>
      </w:r>
      <w:r w:rsidRPr="00FD51E9">
        <w:t xml:space="preserve">see </w:t>
      </w:r>
      <w:r w:rsidRPr="00F206CA">
        <w:t>Chapter 22, Figure 20</w:t>
      </w:r>
      <w:r w:rsidRPr="00FD51E9">
        <w:t>). A stated</w:t>
      </w:r>
      <w:r w:rsidRPr="396ABCA7">
        <w:t xml:space="preserve"> factor weighing in their decision to award this increase was evidence showing that women are disproportionately award-reliant and that the new minimum wage objective requires that the Expert Panel take the </w:t>
      </w:r>
      <w:r w:rsidRPr="396ABCA7" w:rsidDel="00D44295">
        <w:t xml:space="preserve">gender pay gap </w:t>
      </w:r>
      <w:r w:rsidRPr="396ABCA7">
        <w:t>into account in determining the minimum rates in modern awards.</w:t>
      </w:r>
      <w:r w:rsidRPr="396ABCA7">
        <w:rPr>
          <w:rStyle w:val="FootnoteReference"/>
        </w:rPr>
        <w:footnoteReference w:id="985"/>
      </w:r>
    </w:p>
    <w:p w14:paraId="2B320BA7" w14:textId="64457A50" w:rsidR="0011475D" w:rsidRPr="00F206CA" w:rsidRDefault="000A0EB4" w:rsidP="00EC3517">
      <w:pPr>
        <w:pStyle w:val="Heading6"/>
      </w:pPr>
      <w:r w:rsidRPr="00F206CA">
        <w:t>24.2.2.2 The 2023</w:t>
      </w:r>
      <w:r w:rsidR="00D44295" w:rsidRPr="00015129">
        <w:rPr>
          <w:rFonts w:ascii="Symbol" w:eastAsia="Symbol" w:hAnsi="Symbol" w:cs="Symbol"/>
        </w:rPr>
        <w:sym w:font="Symbol" w:char="F02D"/>
      </w:r>
      <w:r w:rsidRPr="00F206CA">
        <w:t>24 Annual Wage Review</w:t>
      </w:r>
    </w:p>
    <w:p w14:paraId="32ECEFD5" w14:textId="77777777" w:rsidR="0011475D" w:rsidRDefault="000A0EB4" w:rsidP="000A0EB4">
      <w:r w:rsidRPr="396ABCA7">
        <w:t>In the 2023</w:t>
      </w:r>
      <w:r w:rsidRPr="396ABCA7">
        <w:rPr>
          <w:rFonts w:ascii="Symbol" w:eastAsia="Symbol" w:hAnsi="Symbol" w:cs="Symbol"/>
        </w:rPr>
        <w:t>-</w:t>
      </w:r>
      <w:r w:rsidRPr="396ABCA7">
        <w:t>24 AWR decision the Expert Panel expressly considered the modern award objective of needing to improve access to secure work across the economy</w:t>
      </w:r>
      <w:r w:rsidRPr="396ABCA7">
        <w:rPr>
          <w:rStyle w:val="FootnoteReference"/>
        </w:rPr>
        <w:footnoteReference w:id="986"/>
      </w:r>
      <w:r w:rsidRPr="396ABCA7">
        <w:t xml:space="preserve"> and the potential impacts of their decision on casual employees.</w:t>
      </w:r>
      <w:r w:rsidRPr="396ABCA7">
        <w:rPr>
          <w:vertAlign w:val="superscript"/>
        </w:rPr>
        <w:footnoteReference w:id="987"/>
      </w:r>
    </w:p>
    <w:p w14:paraId="1D2F5AA0" w14:textId="1855E989" w:rsidR="000A0EB4" w:rsidRPr="00167CB8" w:rsidRDefault="000A0EB4" w:rsidP="000A0EB4">
      <w:r w:rsidRPr="00167CB8">
        <w:t>The Expert Panel also ‘decided to increase the National Minimum Wage and all modern award minimum wage rates by 3.75 per cent, effective from 1 July 2024’,</w:t>
      </w:r>
      <w:r w:rsidRPr="00167CB8">
        <w:rPr>
          <w:rStyle w:val="FootnoteReference"/>
        </w:rPr>
        <w:footnoteReference w:id="988"/>
      </w:r>
      <w:r w:rsidRPr="00167CB8">
        <w:t xml:space="preserve"> noting that it had considered a number of Fair Work Act requirements, including the need to achieve gender </w:t>
      </w:r>
      <w:r w:rsidRPr="00167CB8">
        <w:lastRenderedPageBreak/>
        <w:t>equality,</w:t>
      </w:r>
      <w:r w:rsidRPr="00167CB8">
        <w:rPr>
          <w:rStyle w:val="FootnoteReference"/>
        </w:rPr>
        <w:footnoteReference w:id="989"/>
      </w:r>
      <w:r w:rsidRPr="00167CB8">
        <w:t xml:space="preserve"> and set out its program for ‘the timely resolution of gender undervaluation issues arising in respect of certain modern awards’.</w:t>
      </w:r>
      <w:r w:rsidRPr="00167CB8">
        <w:rPr>
          <w:rStyle w:val="FootnoteReference"/>
        </w:rPr>
        <w:footnoteReference w:id="990"/>
      </w:r>
    </w:p>
    <w:p w14:paraId="63012293" w14:textId="77777777" w:rsidR="0011475D" w:rsidRPr="00EC3517" w:rsidRDefault="000A0EB4" w:rsidP="00EC3517">
      <w:pPr>
        <w:pStyle w:val="Heading6"/>
      </w:pPr>
      <w:r w:rsidRPr="00EC3517">
        <w:t>24.2.2.3 Aged Care Work Value case</w:t>
      </w:r>
    </w:p>
    <w:p w14:paraId="7264DED8" w14:textId="422A11FE" w:rsidR="000A0EB4" w:rsidRPr="00167CB8" w:rsidRDefault="000A0EB4" w:rsidP="000A0EB4">
      <w:r w:rsidRPr="00167CB8">
        <w:t>In the Aged Care Work Value case, the Full Bench of the FWC also took into consideration the revised Objects in its Stage 2 (February 2023) and Stage 3 (March 2024) decisions. For example, the FWC</w:t>
      </w:r>
      <w:r w:rsidRPr="00167CB8" w:rsidDel="002D7319">
        <w:t xml:space="preserve"> </w:t>
      </w:r>
      <w:r w:rsidRPr="00167CB8">
        <w:t>considered the impacts of pay rises on staff recruitment and retention (in its consideration of the need to improve access to secure work across the economy) and noted that the rate changes do not ‘provide either lower or higher levels of secure work or job security from an employee perspective’.</w:t>
      </w:r>
      <w:r w:rsidRPr="00167CB8">
        <w:rPr>
          <w:rStyle w:val="FootnoteReference"/>
        </w:rPr>
        <w:footnoteReference w:id="991"/>
      </w:r>
    </w:p>
    <w:p w14:paraId="22C5E979" w14:textId="23D73974" w:rsidR="000A0EB4" w:rsidRPr="00F206CA" w:rsidRDefault="000A0EB4" w:rsidP="00EC3517">
      <w:pPr>
        <w:pStyle w:val="Heading6"/>
      </w:pPr>
      <w:r w:rsidRPr="00F206CA">
        <w:t>24.2.2.4 Modern Awards Review 2023</w:t>
      </w:r>
      <w:r w:rsidR="00D44295" w:rsidRPr="00F206CA">
        <w:rPr>
          <w:rFonts w:ascii="Symbol" w:eastAsia="Symbol" w:hAnsi="Symbol" w:cs="Symbol"/>
        </w:rPr>
        <w:sym w:font="Symbol" w:char="F02D"/>
      </w:r>
      <w:r w:rsidRPr="00F206CA">
        <w:t>24</w:t>
      </w:r>
    </w:p>
    <w:p w14:paraId="56962A98" w14:textId="77777777" w:rsidR="0011475D" w:rsidRDefault="000A0EB4" w:rsidP="000A0EB4">
      <w:r w:rsidRPr="396ABCA7">
        <w:t>The FWC is the body responsible for the safety net of modern awards. The FWC must ensure that the safety net remains a fair and relevant minimum safety net taking into account certain social and economic factors.</w:t>
      </w:r>
    </w:p>
    <w:p w14:paraId="4F3D0D9C" w14:textId="0B7651E0" w:rsidR="000A0EB4" w:rsidRPr="00167CB8" w:rsidRDefault="000A0EB4" w:rsidP="000A0EB4">
      <w:r w:rsidRPr="00167CB8">
        <w:t>The FWC announced the commencement of a review of modern awards on 15 September 2023 (the Modern Awards Review 2023</w:t>
      </w:r>
      <w:r w:rsidRPr="00167CB8">
        <w:rPr>
          <w:rFonts w:ascii="Symbol" w:eastAsia="Symbol" w:hAnsi="Symbol" w:cs="Symbol"/>
        </w:rPr>
        <w:t>-</w:t>
      </w:r>
      <w:r w:rsidRPr="00167CB8">
        <w:t>24).</w:t>
      </w:r>
      <w:r w:rsidRPr="00167CB8">
        <w:rPr>
          <w:rStyle w:val="FootnoteReference"/>
        </w:rPr>
        <w:footnoteReference w:id="992"/>
      </w:r>
      <w:r w:rsidRPr="00167CB8">
        <w:t xml:space="preserve"> Consistent with the revised Objects in the Fair Work Act, job security was identified as a priority topic for this review, with emphasis given to reviewing fixed</w:t>
      </w:r>
      <w:r w:rsidR="00800964">
        <w:t xml:space="preserve"> </w:t>
      </w:r>
      <w:r w:rsidRPr="00167CB8">
        <w:t>term contract provisions in higher education awards (this is currently underway)</w:t>
      </w:r>
      <w:r w:rsidRPr="00167CB8">
        <w:rPr>
          <w:rStyle w:val="FootnoteReference"/>
        </w:rPr>
        <w:footnoteReference w:id="993"/>
      </w:r>
      <w:r w:rsidRPr="00167CB8">
        <w:t xml:space="preserve"> and part-time provisions in awards (this will commence in 2025).</w:t>
      </w:r>
    </w:p>
    <w:p w14:paraId="743FF95A" w14:textId="77777777" w:rsidR="000A0EB4" w:rsidRPr="00F206CA" w:rsidRDefault="000A0EB4" w:rsidP="00EC3517">
      <w:pPr>
        <w:pStyle w:val="Heading5"/>
      </w:pPr>
      <w:bookmarkStart w:id="412" w:name="_Toc188003368"/>
      <w:r w:rsidRPr="00F206CA">
        <w:t>24.2.3 Stakeholder views</w:t>
      </w:r>
      <w:bookmarkEnd w:id="412"/>
    </w:p>
    <w:p w14:paraId="554DF02C" w14:textId="77777777" w:rsidR="000A0EB4" w:rsidRPr="00167CB8" w:rsidRDefault="000A0EB4" w:rsidP="000A0EB4">
      <w:r w:rsidRPr="396ABCA7">
        <w:t xml:space="preserve">Union parties welcomed the amended Objects and noted that, since coming into effect, the FWC has changed its approach </w:t>
      </w:r>
      <w:r w:rsidRPr="009653F0">
        <w:t>to Modern Awards Reviews.</w:t>
      </w:r>
      <w:r w:rsidRPr="396ABCA7">
        <w:t xml:space="preserve"> As evidence, they note that issues such as part-time work and quality jobs are now on the agenda. They also welcomed FWC’s research, noting the value of the FWC’s ‘Gender Prism’ analysis used to identify key differences in award entitlements in male and female awards.</w:t>
      </w:r>
    </w:p>
    <w:p w14:paraId="2A03B934" w14:textId="77777777" w:rsidR="000A0EB4" w:rsidRPr="00167CB8" w:rsidRDefault="000A0EB4" w:rsidP="000A0EB4">
      <w:r w:rsidRPr="00167CB8">
        <w:t>Employer</w:t>
      </w:r>
      <w:r w:rsidRPr="00167CB8" w:rsidDel="00142D64">
        <w:t xml:space="preserve"> </w:t>
      </w:r>
      <w:r w:rsidRPr="00167CB8">
        <w:t>associations raised concerns about the affordability of higher wages and increased entitlements arising from the FWC application of the new Objects.</w:t>
      </w:r>
      <w:r w:rsidRPr="00167CB8">
        <w:rPr>
          <w:rStyle w:val="FootnoteReference"/>
        </w:rPr>
        <w:footnoteReference w:id="994"/>
      </w:r>
      <w:r w:rsidRPr="00167CB8">
        <w:t xml:space="preserve"> The Australian Chamber of Commerce and Industry submitted that ongoing business viability and productivity growth should be considered as part of job security (as businesses which cannot absorb the cost increases will collapse or lay</w:t>
      </w:r>
      <w:r>
        <w:t xml:space="preserve"> </w:t>
      </w:r>
      <w:r w:rsidRPr="00167CB8">
        <w:t>off staff, contrary to the goals of secure work).</w:t>
      </w:r>
      <w:r w:rsidRPr="00167CB8">
        <w:rPr>
          <w:rStyle w:val="FootnoteReference"/>
        </w:rPr>
        <w:footnoteReference w:id="995"/>
      </w:r>
    </w:p>
    <w:p w14:paraId="6BE4C4F9" w14:textId="77777777" w:rsidR="000A0EB4" w:rsidRDefault="000A0EB4" w:rsidP="000A0EB4">
      <w:r w:rsidRPr="00421CB3">
        <w:lastRenderedPageBreak/>
        <w:t>The Working Women’s Centre Australia also described the symbolic value of elevating gender equality to the Objects of the Fair Work Act in supporting their advocacy efforts and applications for funding, as it evidences the importance and priority of other activities to promote gender equality.</w:t>
      </w:r>
    </w:p>
    <w:p w14:paraId="4265706E" w14:textId="77777777" w:rsidR="000A0EB4" w:rsidRPr="00167CB8" w:rsidRDefault="000A0EB4" w:rsidP="000A0EB4">
      <w:r w:rsidRPr="396ABCA7">
        <w:t>Some stakeholders suggested further amendments to the Objects, such as a need to consider any government funding commitments (or a lack thereof), an approach to First Nations wage redress, and business viability.</w:t>
      </w:r>
      <w:r w:rsidRPr="396ABCA7">
        <w:rPr>
          <w:rStyle w:val="FootnoteReference"/>
        </w:rPr>
        <w:footnoteReference w:id="996"/>
      </w:r>
    </w:p>
    <w:p w14:paraId="4896FC0F" w14:textId="49D631B5" w:rsidR="000A0EB4" w:rsidRPr="00421CB3" w:rsidRDefault="000A0EB4" w:rsidP="000A0EB4">
      <w:r w:rsidRPr="00421CB3">
        <w:rPr>
          <w:rFonts w:eastAsia="Times New Roman" w:cs="Calibri"/>
          <w:lang w:eastAsia="en-AU"/>
        </w:rPr>
        <w:t xml:space="preserve">The Review Panel consulted stakeholders about its proposed findings and received a range of feedback, particularly about the interpretation and understanding of job security and secure work. </w:t>
      </w:r>
      <w:r w:rsidRPr="00421CB3">
        <w:t>Ai Group expressed concerns about measuring job security by the number of employed persons holding full-time, permanent roles and suggested that this Review should have considered the Objects of the Fair Work Act more holistically.</w:t>
      </w:r>
      <w:r w:rsidRPr="00421CB3">
        <w:rPr>
          <w:rStyle w:val="FootnoteReference"/>
        </w:rPr>
        <w:footnoteReference w:id="997"/>
      </w:r>
      <w:r w:rsidRPr="00421CB3">
        <w:t xml:space="preserve"> </w:t>
      </w:r>
      <w:r w:rsidR="009653F0">
        <w:t xml:space="preserve">The </w:t>
      </w:r>
      <w:r w:rsidR="009653F0" w:rsidRPr="009653F0">
        <w:t>Business Council of Australia</w:t>
      </w:r>
      <w:r w:rsidRPr="00421CB3" w:rsidDel="009653F0">
        <w:t xml:space="preserve"> </w:t>
      </w:r>
      <w:r w:rsidRPr="00421CB3">
        <w:t>similarly called for a more holistic review of the Fair Work Act, particularly in relation to the various Objects of the Fair Work Act.</w:t>
      </w:r>
    </w:p>
    <w:p w14:paraId="6350ABF4" w14:textId="36D8976F" w:rsidR="000A0EB4" w:rsidRPr="00AF7B78" w:rsidRDefault="009653F0" w:rsidP="000A0EB4">
      <w:r>
        <w:t xml:space="preserve">The </w:t>
      </w:r>
      <w:r w:rsidRPr="009653F0">
        <w:t xml:space="preserve">Australian Chamber of Commerce and Industry </w:t>
      </w:r>
      <w:r w:rsidR="000A0EB4" w:rsidRPr="00421CB3">
        <w:t>and HR Nicholls Society also noted the importance of considering business viability and productivity alongside gender equality, job security and workplace flexibility.</w:t>
      </w:r>
      <w:r w:rsidR="000A0EB4" w:rsidRPr="00421CB3">
        <w:rPr>
          <w:rStyle w:val="FootnoteReference"/>
        </w:rPr>
        <w:footnoteReference w:id="998"/>
      </w:r>
    </w:p>
    <w:p w14:paraId="3335A061" w14:textId="77777777" w:rsidR="000A0EB4" w:rsidRPr="004E7B22" w:rsidRDefault="000A0EB4" w:rsidP="00EC3517">
      <w:pPr>
        <w:pStyle w:val="Heading4"/>
      </w:pPr>
      <w:bookmarkStart w:id="413" w:name="_Toc188003369"/>
      <w:bookmarkStart w:id="414" w:name="_Toc188277935"/>
      <w:bookmarkStart w:id="415" w:name="_Toc189260287"/>
      <w:bookmarkStart w:id="416" w:name="_Toc189393603"/>
      <w:r w:rsidRPr="004E7B22">
        <w:t>24.3 Findings and recommendations</w:t>
      </w:r>
      <w:bookmarkEnd w:id="413"/>
      <w:bookmarkEnd w:id="414"/>
      <w:bookmarkEnd w:id="415"/>
      <w:bookmarkEnd w:id="416"/>
    </w:p>
    <w:p w14:paraId="04C58FD5" w14:textId="77777777" w:rsidR="0011475D" w:rsidRDefault="000A0EB4" w:rsidP="000A0EB4">
      <w:r w:rsidRPr="396ABCA7">
        <w:t>The Review Panel is satisfied that the amendments to the Objects of the Fair Work Act are having their intended effect; there is demonstrated evidence that the amended Objects are central to considerations by the FWC in its AWRs and other reviews.</w:t>
      </w:r>
    </w:p>
    <w:p w14:paraId="21682818" w14:textId="230A31C1" w:rsidR="000A0EB4" w:rsidRDefault="000A0EB4" w:rsidP="000A0EB4">
      <w:r w:rsidRPr="396ABCA7">
        <w:t>While the terms ‘job security’ and ‘access to secure work’ are open to interpretation, the Review Panel is satisfied with the FWC’s careful consideration of these Objects and business viability in its decision making.</w:t>
      </w:r>
      <w:r>
        <w:t xml:space="preserve"> The Panel notes feedback that standard employment (i.e. permanent full-time work) should not serve as the benchmark for job security. It acknowledges that job security goes further than permanent employment and includes matters such as secure pay, secure rosters et</w:t>
      </w:r>
      <w:r w:rsidR="00D44295">
        <w:t xml:space="preserve"> </w:t>
      </w:r>
      <w:r>
        <w:t>c</w:t>
      </w:r>
      <w:r w:rsidR="00D44295">
        <w:t>etera</w:t>
      </w:r>
      <w:r>
        <w:t>.</w:t>
      </w:r>
      <w:r w:rsidRPr="396ABCA7">
        <w:t xml:space="preserve"> </w:t>
      </w:r>
      <w:r>
        <w:t>The</w:t>
      </w:r>
      <w:r w:rsidRPr="396ABCA7">
        <w:t xml:space="preserve"> Panel is of the view that no further legislative amendments are required to define or give clarity to the terms.</w:t>
      </w:r>
    </w:p>
    <w:p w14:paraId="33D6E607" w14:textId="683DD504" w:rsidR="000A0EB4" w:rsidRPr="00167CB8" w:rsidRDefault="000A0EB4" w:rsidP="000A0EB4">
      <w:r>
        <w:t xml:space="preserve">In terms of government funding and procurement activities, </w:t>
      </w:r>
      <w:r w:rsidR="00D44295">
        <w:t>t</w:t>
      </w:r>
      <w:r>
        <w:t xml:space="preserve">he Panel </w:t>
      </w:r>
      <w:r w:rsidRPr="396ABCA7">
        <w:t xml:space="preserve">sees no value in amending the Objects to include reference </w:t>
      </w:r>
      <w:r>
        <w:t>to these</w:t>
      </w:r>
      <w:r w:rsidRPr="396ABCA7">
        <w:t xml:space="preserve"> activities. While acknowledging that express funding commitments have bolstered equal remuneration decisions of the FWC (discussed </w:t>
      </w:r>
      <w:r w:rsidRPr="00FD51E9">
        <w:t>further in Chapter 25), the Review</w:t>
      </w:r>
      <w:r w:rsidRPr="396ABCA7">
        <w:t xml:space="preserve"> Panel’s view is that funding commitments and procurement activities </w:t>
      </w:r>
      <w:r>
        <w:t>should be</w:t>
      </w:r>
      <w:r w:rsidRPr="396ABCA7">
        <w:t xml:space="preserve"> dealt with elsewhere </w:t>
      </w:r>
      <w:r w:rsidRPr="00421CB3">
        <w:t>(such as through government policy and budget decisions)</w:t>
      </w:r>
      <w:r>
        <w:t xml:space="preserve"> </w:t>
      </w:r>
      <w:r w:rsidRPr="396ABCA7">
        <w:t>and not through additional amendments to the Objects of the Fair Work Act.</w:t>
      </w:r>
    </w:p>
    <w:p w14:paraId="5643750E" w14:textId="77777777" w:rsidR="000A0EB4" w:rsidRPr="00167CB8" w:rsidRDefault="000A0EB4" w:rsidP="000A0EB4">
      <w:r w:rsidRPr="00167CB8">
        <w:t>The Review Panel makes no recommendations in relation to these amendments.</w:t>
      </w:r>
    </w:p>
    <w:p w14:paraId="74EE841B" w14:textId="77777777" w:rsidR="000A0EB4" w:rsidRPr="00167CB8" w:rsidRDefault="000A0EB4" w:rsidP="000A0EB4">
      <w:pPr>
        <w:spacing w:after="160"/>
      </w:pPr>
      <w:r w:rsidRPr="00167CB8">
        <w:br w:type="page"/>
      </w:r>
    </w:p>
    <w:p w14:paraId="2B5672E5" w14:textId="77777777" w:rsidR="000A0EB4" w:rsidRPr="002158A5" w:rsidRDefault="000A0EB4" w:rsidP="00EC3517">
      <w:pPr>
        <w:pStyle w:val="Heading3"/>
      </w:pPr>
      <w:bookmarkStart w:id="417" w:name="_Toc188003370"/>
      <w:bookmarkStart w:id="418" w:name="_Toc188277936"/>
      <w:bookmarkStart w:id="419" w:name="_Toc189260288"/>
      <w:bookmarkStart w:id="420" w:name="_Toc189393604"/>
      <w:bookmarkStart w:id="421" w:name="_Toc194311433"/>
      <w:r w:rsidRPr="002158A5">
        <w:lastRenderedPageBreak/>
        <w:t>Chapter 25. Equal remuneration</w:t>
      </w:r>
      <w:bookmarkEnd w:id="417"/>
      <w:bookmarkEnd w:id="418"/>
      <w:bookmarkEnd w:id="419"/>
      <w:bookmarkEnd w:id="420"/>
      <w:bookmarkEnd w:id="421"/>
    </w:p>
    <w:p w14:paraId="73FFB7E1" w14:textId="77777777" w:rsidR="0011475D" w:rsidRDefault="000A0EB4" w:rsidP="000A0EB4">
      <w:r w:rsidRPr="396ABCA7">
        <w:t>In this chapter the focus is on Part 5 (Equal remuneration) amendments in the Secure Jobs, Better Pay Act.</w:t>
      </w:r>
    </w:p>
    <w:p w14:paraId="5A2712D7" w14:textId="59ECFF01" w:rsidR="000A0EB4" w:rsidRPr="002158A5" w:rsidRDefault="000A0EB4" w:rsidP="00EC3517">
      <w:pPr>
        <w:pStyle w:val="Heading4"/>
      </w:pPr>
      <w:bookmarkStart w:id="422" w:name="_Toc188003371"/>
      <w:bookmarkStart w:id="423" w:name="_Toc188277937"/>
      <w:bookmarkStart w:id="424" w:name="_Toc189260289"/>
      <w:bookmarkStart w:id="425" w:name="_Toc189393605"/>
      <w:r w:rsidRPr="002158A5">
        <w:t>25.1 Amendments and intent</w:t>
      </w:r>
      <w:bookmarkEnd w:id="422"/>
      <w:bookmarkEnd w:id="423"/>
      <w:bookmarkEnd w:id="424"/>
      <w:bookmarkEnd w:id="425"/>
    </w:p>
    <w:p w14:paraId="72EEFD4A" w14:textId="77777777" w:rsidR="0011475D" w:rsidRDefault="000A0EB4" w:rsidP="000A0EB4">
      <w:r w:rsidRPr="396ABCA7">
        <w:t>As noted in Chapter 22,</w:t>
      </w:r>
      <w:r w:rsidRPr="396ABCA7" w:rsidDel="009C3992">
        <w:t xml:space="preserve"> </w:t>
      </w:r>
      <w:r w:rsidRPr="396ABCA7">
        <w:t>pay equity in Australia has been (and continues to be) fraught with challenges. Moreover, there is, as scholars note, ‘no guarantee of a progressive trajectory’.</w:t>
      </w:r>
      <w:r w:rsidRPr="396ABCA7">
        <w:rPr>
          <w:rStyle w:val="FootnoteReference"/>
        </w:rPr>
        <w:footnoteReference w:id="999"/>
      </w:r>
      <w:r w:rsidRPr="396ABCA7">
        <w:t xml:space="preserve"> At times a particular constraint has been the requirement that remedying gender-based undervaluations through the workplace relations framework be based on a male comparator.</w:t>
      </w:r>
    </w:p>
    <w:p w14:paraId="35D81561" w14:textId="77777777" w:rsidR="0011475D" w:rsidRDefault="000A0EB4" w:rsidP="000A0EB4">
      <w:pPr>
        <w:rPr>
          <w:vertAlign w:val="superscript"/>
        </w:rPr>
      </w:pPr>
      <w:r w:rsidRPr="396ABCA7">
        <w:t>The Secure Jobs, Better Pay amendments in relation to equal remuneration now make it very clear that the Fair Work Commission (FWC) consideration of work value must be free of assumptions based on gender, must include considerations of historical gender-based undervaluation and need no longer rely on a male comparator.</w:t>
      </w:r>
      <w:r w:rsidRPr="396ABCA7">
        <w:rPr>
          <w:vertAlign w:val="superscript"/>
        </w:rPr>
        <w:footnoteReference w:id="1000"/>
      </w:r>
    </w:p>
    <w:p w14:paraId="557E0AB1" w14:textId="506B0CD5" w:rsidR="000A0EB4" w:rsidRPr="002158A5" w:rsidRDefault="000A0EB4" w:rsidP="00EC3517">
      <w:pPr>
        <w:pStyle w:val="Heading5"/>
      </w:pPr>
      <w:bookmarkStart w:id="426" w:name="_Toc188003372"/>
      <w:r w:rsidRPr="002158A5">
        <w:t>25.1.1 Secure Jobs, Better Pay amendments</w:t>
      </w:r>
      <w:bookmarkEnd w:id="426"/>
    </w:p>
    <w:p w14:paraId="3C0C4A0D" w14:textId="0DB78822" w:rsidR="0011475D" w:rsidRDefault="000A0EB4" w:rsidP="000A0EB4">
      <w:r w:rsidRPr="396ABCA7">
        <w:t>The main amendments in Part 5 of the Secure Jobs, Better Pay Act, in relation to equal remuneration – specifically work value</w:t>
      </w:r>
      <w:r w:rsidR="00D44295">
        <w:t xml:space="preserve"> </w:t>
      </w:r>
      <w:r w:rsidR="00D44295">
        <w:rPr>
          <w:rFonts w:ascii="Symbol" w:eastAsia="Symbol" w:hAnsi="Symbol" w:cs="Symbol"/>
        </w:rPr>
        <w:sym w:font="Symbol" w:char="F02D"/>
      </w:r>
      <w:r w:rsidR="00D44295">
        <w:t xml:space="preserve"> </w:t>
      </w:r>
      <w:r w:rsidRPr="396ABCA7">
        <w:t>are as follows.</w:t>
      </w:r>
    </w:p>
    <w:p w14:paraId="77284C05" w14:textId="6B21904A" w:rsidR="000A0EB4" w:rsidRPr="00167CB8" w:rsidRDefault="000A0EB4" w:rsidP="000A0EB4">
      <w:r w:rsidRPr="720B2AC9">
        <w:t>In s 157</w:t>
      </w:r>
      <w:r w:rsidRPr="720B2AC9" w:rsidDel="00AE03EE">
        <w:t>(2</w:t>
      </w:r>
      <w:r w:rsidRPr="720B2AC9">
        <w:t xml:space="preserve">) of the Fair Work Act, which provides that the FWC may vary modern award minimum wages if justified and necessary, </w:t>
      </w:r>
      <w:r>
        <w:t xml:space="preserve">a </w:t>
      </w:r>
      <w:r w:rsidRPr="720B2AC9">
        <w:t>new s 157(2B) was inserted which provides:</w:t>
      </w:r>
    </w:p>
    <w:p w14:paraId="0F5D8423" w14:textId="77777777" w:rsidR="0011475D" w:rsidRDefault="000A0EB4" w:rsidP="00846DC0">
      <w:pPr>
        <w:pStyle w:val="Quote"/>
      </w:pPr>
      <w:r w:rsidRPr="00167CB8">
        <w:t>(2B)</w:t>
      </w:r>
      <w:r w:rsidRPr="00167CB8">
        <w:tab/>
        <w:t>The FWC’s consideration of work value reasons must:</w:t>
      </w:r>
    </w:p>
    <w:p w14:paraId="2FFE67A4" w14:textId="77777777" w:rsidR="0011475D" w:rsidRDefault="000A0EB4" w:rsidP="00192F9F">
      <w:pPr>
        <w:pStyle w:val="Quote"/>
        <w:ind w:left="2160"/>
      </w:pPr>
      <w:r w:rsidRPr="00167CB8">
        <w:t>(a)</w:t>
      </w:r>
      <w:r w:rsidRPr="00167CB8">
        <w:tab/>
        <w:t>be free of assumptions based on gender; and</w:t>
      </w:r>
    </w:p>
    <w:p w14:paraId="752156C0" w14:textId="11A2DCD4" w:rsidR="000A0EB4" w:rsidRPr="00167CB8" w:rsidRDefault="000A0EB4" w:rsidP="00192F9F">
      <w:pPr>
        <w:pStyle w:val="Quote"/>
        <w:ind w:left="2160"/>
      </w:pPr>
      <w:r w:rsidRPr="00167CB8">
        <w:t>(b)</w:t>
      </w:r>
      <w:r w:rsidRPr="00167CB8">
        <w:tab/>
        <w:t>include consideration of whether historically the work has been undervalued because of assumptions based on gender.</w:t>
      </w:r>
    </w:p>
    <w:p w14:paraId="1B0A03A8" w14:textId="77777777" w:rsidR="000A0EB4" w:rsidRDefault="000A0EB4" w:rsidP="000A0EB4">
      <w:r w:rsidRPr="396ABCA7">
        <w:t>Division 2 of Part 2-7 of the Fair Work Act concerns Equal Remuneration Orders (EROs). Via the Secure Jobs, Better Pay amendments, new subsections ((3A), (3B), (3C) and (4A)) have been added to s 302 of the Fair Work Act (FWC may make an order requiring equal remuneration). Sections 302(3A) to 302(5) now read:</w:t>
      </w:r>
    </w:p>
    <w:p w14:paraId="6A3AF9E7" w14:textId="77777777" w:rsidR="000A0EB4" w:rsidRPr="00167CB8" w:rsidRDefault="000A0EB4" w:rsidP="00846DC0">
      <w:pPr>
        <w:pStyle w:val="Quote"/>
      </w:pPr>
      <w:r w:rsidRPr="00167CB8">
        <w:t>Gender equity considerations</w:t>
      </w:r>
    </w:p>
    <w:p w14:paraId="739203C2" w14:textId="5A3FE18F" w:rsidR="000A0EB4" w:rsidRPr="00EC3517" w:rsidRDefault="000A0EB4" w:rsidP="00846DC0">
      <w:pPr>
        <w:pStyle w:val="Quote"/>
      </w:pPr>
      <w:r w:rsidRPr="00EC3517">
        <w:t>(3A)</w:t>
      </w:r>
      <w:r w:rsidRPr="00EC3517">
        <w:tab/>
        <w:t>For the purposes of this Act, in deciding whether there is equal remuneration for work of equal or comparable value, the FWC may take into account:</w:t>
      </w:r>
    </w:p>
    <w:p w14:paraId="43A71872" w14:textId="77777777" w:rsidR="000A0EB4" w:rsidRPr="00EC3517" w:rsidRDefault="000A0EB4" w:rsidP="0021037D">
      <w:pPr>
        <w:pStyle w:val="Quote"/>
      </w:pPr>
      <w:r w:rsidRPr="00EC3517">
        <w:t>comparisons within and between occupations or industries to establish whether the work has been undervalued on the basis of gender; or</w:t>
      </w:r>
    </w:p>
    <w:p w14:paraId="7C61A7B3" w14:textId="77777777" w:rsidR="000A0EB4" w:rsidRPr="00167CB8" w:rsidRDefault="000A0EB4" w:rsidP="0021037D">
      <w:pPr>
        <w:pStyle w:val="Quote"/>
      </w:pPr>
      <w:r w:rsidRPr="00167CB8">
        <w:lastRenderedPageBreak/>
        <w:t>whether historically the work has been undervalued on the basis of gender; or</w:t>
      </w:r>
    </w:p>
    <w:p w14:paraId="496B7982" w14:textId="77777777" w:rsidR="000A0EB4" w:rsidRPr="00167CB8" w:rsidRDefault="000A0EB4" w:rsidP="0021037D">
      <w:pPr>
        <w:pStyle w:val="Quote"/>
      </w:pPr>
      <w:r w:rsidRPr="00167CB8">
        <w:t>any fair work instrument or State industrial instrument.</w:t>
      </w:r>
    </w:p>
    <w:p w14:paraId="5C51D936" w14:textId="30255C46" w:rsidR="0011475D" w:rsidRDefault="000A0EB4" w:rsidP="00846DC0">
      <w:pPr>
        <w:pStyle w:val="Quote"/>
      </w:pPr>
      <w:r w:rsidRPr="00167CB8">
        <w:t>(3B)</w:t>
      </w:r>
      <w:r w:rsidR="00EC3517">
        <w:tab/>
      </w:r>
      <w:r w:rsidRPr="00167CB8">
        <w:t>[Comparisons within and between occupations and industries]</w:t>
      </w:r>
    </w:p>
    <w:p w14:paraId="5E966110" w14:textId="77777777" w:rsidR="0011475D" w:rsidRDefault="000A0EB4" w:rsidP="00846DC0">
      <w:pPr>
        <w:pStyle w:val="Quote"/>
      </w:pPr>
      <w:r w:rsidRPr="00167CB8">
        <w:t>If the FWC takes into account a comparison for the purposes of paragraph (3A)(a), the comparison:</w:t>
      </w:r>
    </w:p>
    <w:p w14:paraId="3EBE0DFB" w14:textId="18023D84" w:rsidR="000A0EB4" w:rsidRPr="00167CB8" w:rsidRDefault="00EC3517" w:rsidP="00FC0CC1">
      <w:pPr>
        <w:pStyle w:val="Quote"/>
        <w:ind w:left="2160"/>
      </w:pPr>
      <w:r>
        <w:t>(a)</w:t>
      </w:r>
      <w:r>
        <w:tab/>
      </w:r>
      <w:r w:rsidR="000A0EB4" w:rsidRPr="00167CB8">
        <w:t>is not limited to similar work; and</w:t>
      </w:r>
    </w:p>
    <w:p w14:paraId="1C2B199F" w14:textId="1B64301C" w:rsidR="000A0EB4" w:rsidRPr="00167CB8" w:rsidRDefault="00BE034D" w:rsidP="00FC0CC1">
      <w:pPr>
        <w:pStyle w:val="Quote"/>
        <w:ind w:left="2160"/>
      </w:pPr>
      <w:r>
        <w:t>(b)</w:t>
      </w:r>
      <w:r>
        <w:tab/>
      </w:r>
      <w:r w:rsidR="000A0EB4" w:rsidRPr="00167CB8">
        <w:t>does not need to be a comparison with an historically male-dominated occupation or industry.</w:t>
      </w:r>
    </w:p>
    <w:p w14:paraId="3C82AE85" w14:textId="77777777" w:rsidR="000A0EB4" w:rsidRPr="00167CB8" w:rsidRDefault="000A0EB4" w:rsidP="00846DC0">
      <w:pPr>
        <w:pStyle w:val="Quote"/>
        <w:rPr>
          <w:rFonts w:cstheme="minorHAnsi"/>
        </w:rPr>
      </w:pPr>
      <w:r w:rsidRPr="00167CB8">
        <w:rPr>
          <w:rFonts w:cstheme="minorHAnsi"/>
        </w:rPr>
        <w:t>(</w:t>
      </w:r>
      <w:r w:rsidRPr="00167CB8">
        <w:t>3C) [Findings of discrimination not required]</w:t>
      </w:r>
    </w:p>
    <w:p w14:paraId="7C6E0246" w14:textId="77777777" w:rsidR="000A0EB4" w:rsidRPr="00167CB8" w:rsidRDefault="000A0EB4" w:rsidP="00846DC0">
      <w:pPr>
        <w:pStyle w:val="Quote"/>
      </w:pPr>
      <w:r w:rsidRPr="00167CB8">
        <w:t>If the FWC takes into account a matter referred to in paragraph (3A)(a) or (b), the FWC is not required to find discrimination on the basis of gender to establish the work has been undervalued as referred to in that paragraph. …</w:t>
      </w:r>
    </w:p>
    <w:p w14:paraId="235A2F18" w14:textId="77777777" w:rsidR="000A0EB4" w:rsidRPr="00167CB8" w:rsidRDefault="000A0EB4" w:rsidP="00846DC0">
      <w:pPr>
        <w:pStyle w:val="Quote"/>
      </w:pPr>
      <w:r w:rsidRPr="00167CB8">
        <w:t>FWC must take into account orders and determinations made in annual wage reviews</w:t>
      </w:r>
    </w:p>
    <w:p w14:paraId="5C2EBF09" w14:textId="77777777" w:rsidR="0011475D" w:rsidRDefault="000A0EB4" w:rsidP="00846DC0">
      <w:pPr>
        <w:pStyle w:val="Quote"/>
      </w:pPr>
      <w:r w:rsidRPr="00167CB8">
        <w:t>(4)</w:t>
      </w:r>
      <w:r w:rsidRPr="00167CB8">
        <w:tab/>
        <w:t>For the purposes of this Act, in deciding whether there is equal remuneration for work of equal or comparable value, the FWC must take into account:</w:t>
      </w:r>
    </w:p>
    <w:p w14:paraId="43428D68" w14:textId="4A167FB9" w:rsidR="000A0EB4" w:rsidRPr="00167CB8" w:rsidRDefault="000A0EB4" w:rsidP="00AD3A96">
      <w:pPr>
        <w:pStyle w:val="Quote"/>
        <w:ind w:left="2160"/>
      </w:pPr>
      <w:r w:rsidRPr="00167CB8">
        <w:t>(a)</w:t>
      </w:r>
      <w:r w:rsidRPr="00167CB8">
        <w:tab/>
        <w:t>orders and determinations made by the FWC in annual wage reviews; and</w:t>
      </w:r>
    </w:p>
    <w:p w14:paraId="6B37948A" w14:textId="77777777" w:rsidR="000A0EB4" w:rsidRPr="00167CB8" w:rsidRDefault="000A0EB4" w:rsidP="00AD3A96">
      <w:pPr>
        <w:pStyle w:val="Quote"/>
        <w:ind w:left="2160"/>
      </w:pPr>
      <w:r w:rsidRPr="00167CB8">
        <w:t>(b)</w:t>
      </w:r>
      <w:r w:rsidRPr="00167CB8">
        <w:tab/>
        <w:t>the reasons for those orders and determinations …</w:t>
      </w:r>
    </w:p>
    <w:p w14:paraId="4E4A5018" w14:textId="77777777" w:rsidR="000A0EB4" w:rsidRPr="00167CB8" w:rsidRDefault="000A0EB4" w:rsidP="00846DC0">
      <w:pPr>
        <w:pStyle w:val="Quote"/>
      </w:pPr>
      <w:r w:rsidRPr="00167CB8">
        <w:t>Note: The FWC must be constituted by an Expert Panel in annual wage reviews (see section 617).</w:t>
      </w:r>
    </w:p>
    <w:p w14:paraId="13EF7A2B" w14:textId="6E0B64AB" w:rsidR="000A0EB4" w:rsidRPr="00167CB8" w:rsidRDefault="000A0EB4" w:rsidP="00846DC0">
      <w:pPr>
        <w:pStyle w:val="Quote"/>
      </w:pPr>
      <w:r w:rsidRPr="00167CB8">
        <w:t>(4A)</w:t>
      </w:r>
      <w:r w:rsidR="00BE034D">
        <w:tab/>
      </w:r>
      <w:r w:rsidRPr="00167CB8">
        <w:t>Nothing in this section limits the considerations the FWC may take into account in deciding whether there is equal remuneration for work of equal or comparable value.</w:t>
      </w:r>
    </w:p>
    <w:p w14:paraId="289F0368" w14:textId="20CC40A8" w:rsidR="00BE034D" w:rsidRPr="00BE034D" w:rsidRDefault="000A0EB4" w:rsidP="00846DC0">
      <w:pPr>
        <w:pStyle w:val="Quote"/>
      </w:pPr>
      <w:r w:rsidRPr="00167CB8">
        <w:t>Requirement to make an equal remuneration order</w:t>
      </w:r>
    </w:p>
    <w:p w14:paraId="45284E66" w14:textId="0DDB1804" w:rsidR="000A0EB4" w:rsidRPr="00167CB8" w:rsidRDefault="00EC4C3B" w:rsidP="00EC4C3B">
      <w:pPr>
        <w:pStyle w:val="Quote"/>
      </w:pPr>
      <w:r>
        <w:t>(5)</w:t>
      </w:r>
      <w:r>
        <w:tab/>
      </w:r>
      <w:r w:rsidR="000A0EB4" w:rsidRPr="00167CB8" w:rsidDel="00BE034D">
        <w:t xml:space="preserve">… </w:t>
      </w:r>
      <w:r w:rsidR="000A0EB4" w:rsidRPr="00167CB8">
        <w:t>the FWC must make the equal remuneration order if it is satisfied that, for the employees to whom the order will apply, there is not equal remuneration for work of equal or comparable value.</w:t>
      </w:r>
    </w:p>
    <w:p w14:paraId="365469AF" w14:textId="77777777" w:rsidR="000A0EB4" w:rsidRPr="00167CB8" w:rsidRDefault="000A0EB4" w:rsidP="000A0EB4">
      <w:pPr>
        <w:rPr>
          <w:rFonts w:cstheme="minorHAnsi"/>
        </w:rPr>
      </w:pPr>
      <w:r w:rsidRPr="00167CB8">
        <w:rPr>
          <w:rFonts w:cstheme="minorHAnsi"/>
        </w:rPr>
        <w:t>These various amendments came into effect on 7 December 2022.</w:t>
      </w:r>
    </w:p>
    <w:p w14:paraId="5F67351D" w14:textId="77777777" w:rsidR="000A0EB4" w:rsidRPr="00BF114F" w:rsidRDefault="000A0EB4" w:rsidP="00BE034D">
      <w:pPr>
        <w:pStyle w:val="Heading5"/>
      </w:pPr>
      <w:bookmarkStart w:id="427" w:name="_Toc188003373"/>
      <w:r w:rsidRPr="00BF114F">
        <w:lastRenderedPageBreak/>
        <w:t>25.1.2 Intent of Secure Jobs, Better Pay amendments</w:t>
      </w:r>
      <w:bookmarkEnd w:id="427"/>
    </w:p>
    <w:p w14:paraId="156D91DF" w14:textId="5321FCEB" w:rsidR="000A0EB4" w:rsidRPr="00167CB8" w:rsidRDefault="000A0EB4" w:rsidP="000A0EB4">
      <w:r w:rsidRPr="396ABCA7">
        <w:t>The intent of these amendments was to make it more likely that the FWC would order pay rises for low-paid female workers.</w:t>
      </w:r>
      <w:r w:rsidRPr="396ABCA7">
        <w:rPr>
          <w:rStyle w:val="FootnoteReference"/>
        </w:rPr>
        <w:footnoteReference w:id="1001"/>
      </w:r>
    </w:p>
    <w:p w14:paraId="72DDFB2C" w14:textId="77777777" w:rsidR="0011475D" w:rsidRDefault="000A0EB4" w:rsidP="000A0EB4">
      <w:r w:rsidRPr="396ABCA7">
        <w:t>For example, prior to the commencement of the Secure Jobs, Better Pay amendments, the Fair Work Act equal remuneration provisions set out that ‘Equal remuneration for work of equal or comparable value means equal remuneration for men and women workers for work of equal or comparable value’.</w:t>
      </w:r>
      <w:r w:rsidRPr="396ABCA7">
        <w:rPr>
          <w:rStyle w:val="FootnoteReference"/>
        </w:rPr>
        <w:footnoteReference w:id="1002"/>
      </w:r>
      <w:r w:rsidRPr="396ABCA7">
        <w:t xml:space="preserve"> The FWC had interpreted these provisions to mean that it had to be satisfied that a group of employees covered by an equal remuneration application (usually women) do not receive equal remuneration for work of equal or comparable value compared to another group of employees of the opposite gender (usually men). A male (or female) comparator was required to make orders requiring equal remuneration.</w:t>
      </w:r>
      <w:r w:rsidRPr="396ABCA7">
        <w:rPr>
          <w:rStyle w:val="FootnoteReference"/>
        </w:rPr>
        <w:footnoteReference w:id="1003"/>
      </w:r>
    </w:p>
    <w:p w14:paraId="3D845CC0" w14:textId="0863AC84" w:rsidR="000A0EB4" w:rsidRPr="00BF114F" w:rsidRDefault="000A0EB4" w:rsidP="000A0EB4">
      <w:pPr>
        <w:rPr>
          <w:rStyle w:val="FootnoteReference"/>
          <w:vertAlign w:val="baseline"/>
        </w:rPr>
      </w:pPr>
      <w:r w:rsidRPr="00167CB8">
        <w:t>During the 2022 election campaign, as part of their broader strategy to address gender inequality in the workplace, the Labor government (then opposition) committed to introducing measures aimed at promoting gender pay equity.</w:t>
      </w:r>
    </w:p>
    <w:p w14:paraId="19E6FF01" w14:textId="77777777" w:rsidR="000A0EB4" w:rsidRPr="00BF114F" w:rsidRDefault="000A0EB4" w:rsidP="00BE034D">
      <w:pPr>
        <w:pStyle w:val="Heading4"/>
      </w:pPr>
      <w:bookmarkStart w:id="428" w:name="_Toc188003374"/>
      <w:bookmarkStart w:id="429" w:name="_Toc188277938"/>
      <w:bookmarkStart w:id="430" w:name="_Toc189260290"/>
      <w:bookmarkStart w:id="431" w:name="_Toc189393606"/>
      <w:r w:rsidRPr="00BF114F">
        <w:t>25.2 Impact and issues</w:t>
      </w:r>
      <w:bookmarkEnd w:id="428"/>
      <w:bookmarkEnd w:id="429"/>
      <w:bookmarkEnd w:id="430"/>
      <w:bookmarkEnd w:id="431"/>
    </w:p>
    <w:p w14:paraId="4DD18741" w14:textId="77777777" w:rsidR="000A0EB4" w:rsidRPr="00167CB8" w:rsidRDefault="000A0EB4" w:rsidP="000A0EB4">
      <w:r w:rsidRPr="00167CB8">
        <w:t>The following describes the data and information</w:t>
      </w:r>
      <w:r>
        <w:t xml:space="preserve"> </w:t>
      </w:r>
      <w:r w:rsidRPr="00167CB8">
        <w:t xml:space="preserve">considered by the Review Panel when evaluating the </w:t>
      </w:r>
      <w:r>
        <w:t xml:space="preserve">operation of the </w:t>
      </w:r>
      <w:r w:rsidRPr="00167CB8">
        <w:t>amendments discussed above.</w:t>
      </w:r>
    </w:p>
    <w:p w14:paraId="7A3EA3CC" w14:textId="77777777" w:rsidR="000A0EB4" w:rsidRPr="00BF114F" w:rsidRDefault="000A0EB4" w:rsidP="00BE034D">
      <w:pPr>
        <w:pStyle w:val="Heading5"/>
      </w:pPr>
      <w:bookmarkStart w:id="432" w:name="_Toc188003375"/>
      <w:r w:rsidRPr="00BF114F">
        <w:t>25.2.1 Quantitative evidence</w:t>
      </w:r>
      <w:bookmarkEnd w:id="432"/>
    </w:p>
    <w:p w14:paraId="501ECB7C" w14:textId="1DDB6924" w:rsidR="000A0EB4" w:rsidRPr="00167CB8" w:rsidRDefault="000A0EB4" w:rsidP="000A0EB4">
      <w:r w:rsidRPr="396ABCA7">
        <w:t>The Review Panel expects increased wages for women (especially in highly feminised and historically undervalued industries) to contribute to a significant convergence in the gender wage gap (GWG). The GWG in the full-time labour market is now at 11.</w:t>
      </w:r>
      <w:r w:rsidR="00961C7D">
        <w:t>9</w:t>
      </w:r>
      <w:r w:rsidRPr="396ABCA7">
        <w:t xml:space="preserve">% </w:t>
      </w:r>
      <w:r w:rsidRPr="396ABCA7">
        <w:rPr>
          <w:rFonts w:ascii="Symbol" w:eastAsia="Symbol" w:hAnsi="Symbol"/>
        </w:rPr>
        <w:t>-</w:t>
      </w:r>
      <w:r w:rsidRPr="396ABCA7">
        <w:t xml:space="preserve"> a new low (see Chapter 22). Regression analysis also reported </w:t>
      </w:r>
      <w:r w:rsidRPr="00FD51E9">
        <w:t>in Chapter 22 shows</w:t>
      </w:r>
      <w:r w:rsidRPr="396ABCA7">
        <w:t xml:space="preserve"> that, since 2022, when the Secure Jobs, Better Pay amendments commenced, there has been a significant convergence in the GWG net of compositional effects. This suggests that the work value reforms are impacting as intended.</w:t>
      </w:r>
    </w:p>
    <w:p w14:paraId="48712FFC" w14:textId="77777777" w:rsidR="000A0EB4" w:rsidRPr="00BF114F" w:rsidRDefault="000A0EB4" w:rsidP="00BE034D">
      <w:pPr>
        <w:pStyle w:val="Heading5"/>
      </w:pPr>
      <w:bookmarkStart w:id="433" w:name="_Toc188003376"/>
      <w:r w:rsidRPr="00BF114F">
        <w:t>25.2.2 Qualitative evidence</w:t>
      </w:r>
      <w:bookmarkEnd w:id="433"/>
    </w:p>
    <w:p w14:paraId="63258AD6" w14:textId="77777777" w:rsidR="0011475D" w:rsidRDefault="000A0EB4" w:rsidP="000A0EB4">
      <w:r w:rsidRPr="396ABCA7">
        <w:t xml:space="preserve">The FWC has varied modern award minimum wages for work value reasons since they came into effect. Notable cases include </w:t>
      </w:r>
      <w:r w:rsidRPr="007D1E84">
        <w:t>the Aged Care Work Value case (which</w:t>
      </w:r>
      <w:r w:rsidRPr="396ABCA7">
        <w:t xml:space="preserve"> was underway when the Secure Jobs, Better Pay amendments commenced). In this case the FWC accepted evidence that the workers in this sector suffered ‘historic gender-based undervaluation’.</w:t>
      </w:r>
      <w:r w:rsidRPr="396ABCA7">
        <w:rPr>
          <w:rStyle w:val="FootnoteReference"/>
        </w:rPr>
        <w:footnoteReference w:id="1004"/>
      </w:r>
      <w:r w:rsidRPr="396ABCA7">
        <w:t xml:space="preserve"> As </w:t>
      </w:r>
      <w:r w:rsidRPr="00FD51E9">
        <w:t>noted in Appendix 9, in February</w:t>
      </w:r>
      <w:r w:rsidRPr="396ABCA7">
        <w:t xml:space="preserve"> 2023 the Full Bench of the FWC granted an interim pay increase of 15% for direct care workers and in March 2024 an additional final increase of up to 28.5% depending on job and level.</w:t>
      </w:r>
      <w:r w:rsidRPr="396ABCA7">
        <w:rPr>
          <w:rStyle w:val="FootnoteReference"/>
        </w:rPr>
        <w:footnoteReference w:id="1005"/>
      </w:r>
    </w:p>
    <w:p w14:paraId="00A2C00C" w14:textId="753A92FB" w:rsidR="000A0EB4" w:rsidRPr="00167CB8" w:rsidRDefault="000A0EB4" w:rsidP="000A0EB4">
      <w:r w:rsidRPr="396ABCA7">
        <w:lastRenderedPageBreak/>
        <w:t>Building on its gender pay equity research, in the Annual Wage Review 2023–24 the FWC set out its program to remedy gender undervaluation, beginning with the Gender Undervaluation Priority Awards Review, which is currently underway.</w:t>
      </w:r>
      <w:r w:rsidRPr="396ABCA7">
        <w:rPr>
          <w:rStyle w:val="FootnoteReference"/>
        </w:rPr>
        <w:footnoteReference w:id="1006"/>
      </w:r>
    </w:p>
    <w:p w14:paraId="7642A1F3" w14:textId="4BF74C4D" w:rsidR="0011475D" w:rsidRDefault="000A0EB4" w:rsidP="000A0EB4">
      <w:r w:rsidRPr="396ABCA7">
        <w:t xml:space="preserve">The FWC is now also reviewing gender undervaluation in </w:t>
      </w:r>
      <w:r w:rsidR="004A3AE0">
        <w:t>five</w:t>
      </w:r>
      <w:r w:rsidRPr="396ABCA7">
        <w:t xml:space="preserve"> modern awards:</w:t>
      </w:r>
      <w:r w:rsidRPr="396ABCA7">
        <w:rPr>
          <w:rStyle w:val="FootnoteReference"/>
        </w:rPr>
        <w:footnoteReference w:id="1007"/>
      </w:r>
    </w:p>
    <w:p w14:paraId="7ABD19B5" w14:textId="77777777" w:rsidR="0011475D" w:rsidRDefault="000A0EB4" w:rsidP="00C55FA3">
      <w:pPr>
        <w:pStyle w:val="ListBullet"/>
        <w:numPr>
          <w:ilvl w:val="0"/>
          <w:numId w:val="4"/>
        </w:numPr>
      </w:pPr>
      <w:r w:rsidRPr="00167CB8">
        <w:t>Aboriginal and Torres Strait Islander Health Workers and Practitioners and Aboriginal Community Controlled Health Services Award 2020</w:t>
      </w:r>
    </w:p>
    <w:p w14:paraId="4A4F8127" w14:textId="754BDF29" w:rsidR="000A0EB4" w:rsidRPr="00167CB8" w:rsidRDefault="000A0EB4" w:rsidP="00C55FA3">
      <w:pPr>
        <w:pStyle w:val="ListBullet"/>
        <w:numPr>
          <w:ilvl w:val="0"/>
          <w:numId w:val="4"/>
        </w:numPr>
      </w:pPr>
      <w:r w:rsidRPr="00167CB8">
        <w:t>Children’s Services Award 2010</w:t>
      </w:r>
    </w:p>
    <w:p w14:paraId="671A83C4" w14:textId="77777777" w:rsidR="000A0EB4" w:rsidRPr="00167CB8" w:rsidRDefault="000A0EB4" w:rsidP="00C55FA3">
      <w:pPr>
        <w:pStyle w:val="ListBullet"/>
        <w:numPr>
          <w:ilvl w:val="0"/>
          <w:numId w:val="4"/>
        </w:numPr>
      </w:pPr>
      <w:r w:rsidRPr="00167CB8">
        <w:t>Health Professionals and Support Services Award 2020</w:t>
      </w:r>
    </w:p>
    <w:p w14:paraId="7F3DE4CB" w14:textId="77777777" w:rsidR="000A0EB4" w:rsidRPr="00167CB8" w:rsidRDefault="000A0EB4" w:rsidP="00C55FA3">
      <w:pPr>
        <w:pStyle w:val="ListBullet"/>
        <w:numPr>
          <w:ilvl w:val="0"/>
          <w:numId w:val="4"/>
        </w:numPr>
      </w:pPr>
      <w:r w:rsidRPr="00167CB8">
        <w:t>Pharmacy Industry Award 2020</w:t>
      </w:r>
    </w:p>
    <w:p w14:paraId="0DCDF272" w14:textId="77777777" w:rsidR="0011475D" w:rsidRDefault="000A0EB4" w:rsidP="00C55FA3">
      <w:pPr>
        <w:pStyle w:val="ListBullet"/>
        <w:numPr>
          <w:ilvl w:val="0"/>
          <w:numId w:val="4"/>
        </w:numPr>
      </w:pPr>
      <w:r w:rsidRPr="00167CB8">
        <w:t>Social, Community, Home Care and Disability Services Industry Award 2010.</w:t>
      </w:r>
    </w:p>
    <w:p w14:paraId="2E103801" w14:textId="5FD31929" w:rsidR="0011475D" w:rsidRDefault="000A0EB4" w:rsidP="000A0EB4">
      <w:pPr>
        <w:shd w:val="clear" w:color="auto" w:fill="FFFFFF" w:themeFill="background1"/>
        <w:spacing w:before="100" w:beforeAutospacing="1" w:after="100" w:afterAutospacing="1"/>
      </w:pPr>
      <w:r w:rsidRPr="396ABCA7">
        <w:t xml:space="preserve">The FWC’s </w:t>
      </w:r>
      <w:r>
        <w:t xml:space="preserve">stated </w:t>
      </w:r>
      <w:r w:rsidRPr="396ABCA7">
        <w:t>intent is to complete the gender undervaluation review prior to the 2024</w:t>
      </w:r>
      <w:r w:rsidRPr="396ABCA7">
        <w:rPr>
          <w:rFonts w:ascii="Symbol" w:eastAsia="Symbol" w:hAnsi="Symbol" w:cs="Symbol"/>
        </w:rPr>
        <w:t>-</w:t>
      </w:r>
      <w:r w:rsidRPr="396ABCA7">
        <w:t xml:space="preserve">25 </w:t>
      </w:r>
      <w:r w:rsidR="009653F0">
        <w:t>Annual Wage Review</w:t>
      </w:r>
      <w:r w:rsidR="00031EB4">
        <w:t xml:space="preserve">. Thereafter it will </w:t>
      </w:r>
      <w:r w:rsidRPr="396ABCA7">
        <w:t>likely progress to consider gender undervaluation issues in other awards.</w:t>
      </w:r>
    </w:p>
    <w:p w14:paraId="2B918BDB" w14:textId="324C2410" w:rsidR="000A0EB4" w:rsidRPr="00167CB8" w:rsidRDefault="000A0EB4" w:rsidP="000A0EB4">
      <w:r w:rsidRPr="396ABCA7">
        <w:t>During work value cases and other matters, the FWC has undertaken research and prepared materials to facilitate proceedings. For example, in the Aged Care Work Value case, the FWC prepared documents including a background of award histories and a summary of lay witnesses’ evidence.</w:t>
      </w:r>
      <w:r w:rsidRPr="396ABCA7">
        <w:rPr>
          <w:rStyle w:val="FootnoteReference"/>
        </w:rPr>
        <w:footnoteReference w:id="1008"/>
      </w:r>
      <w:r w:rsidRPr="396ABCA7">
        <w:t xml:space="preserve"> Similarly, to support the ongoing Gender Undervaluation Priority Awards Review, the FWC has published a data profile to provide information on pharmacists and employees whose pay is set by the Pharmacy Award and engaged Jumbunna Institute for Indigenous Education and Research to undertake a literature review about the intersection of cultural and gender-based skills.</w:t>
      </w:r>
      <w:r w:rsidRPr="396ABCA7">
        <w:rPr>
          <w:rStyle w:val="FootnoteReference"/>
        </w:rPr>
        <w:footnoteReference w:id="1009"/>
      </w:r>
      <w:r w:rsidRPr="396ABCA7">
        <w:t xml:space="preserve"> These sorts of activities facilitate the proceedings and alleviate some of the evidentiary burden on the particular parties involved. Noting the broader public importance of work value proceedings, this is an appropriate and important function of the FWC.</w:t>
      </w:r>
    </w:p>
    <w:p w14:paraId="2F0E0B63" w14:textId="77777777" w:rsidR="000A0EB4" w:rsidRPr="00BF114F" w:rsidRDefault="000A0EB4" w:rsidP="00BE034D">
      <w:pPr>
        <w:pStyle w:val="Heading5"/>
      </w:pPr>
      <w:bookmarkStart w:id="434" w:name="_Toc188003377"/>
      <w:r w:rsidRPr="00BF114F">
        <w:t>25.2.3 Stakeholder views</w:t>
      </w:r>
      <w:bookmarkEnd w:id="434"/>
    </w:p>
    <w:p w14:paraId="1ACA587A" w14:textId="2B122E7F" w:rsidR="000A0EB4" w:rsidRPr="00167CB8" w:rsidRDefault="000A0EB4" w:rsidP="000A0EB4">
      <w:r w:rsidRPr="396ABCA7">
        <w:t>In terms of amendments concerning EROs, unions welcomed the provisions requiring the FWC</w:t>
      </w:r>
      <w:r w:rsidRPr="396ABCA7" w:rsidDel="004A3AE0">
        <w:t xml:space="preserve"> </w:t>
      </w:r>
      <w:r w:rsidR="004A3AE0">
        <w:t xml:space="preserve">to </w:t>
      </w:r>
      <w:r w:rsidRPr="396ABCA7">
        <w:t>make an ERO if it is satisfied that the employees to be covered by the ERO do not have equal remuneration for work of equal or comparable value. Unions also welcomed the change that allows the FWC to make its own ERO without having to wait for an equal remuneration application.</w:t>
      </w:r>
    </w:p>
    <w:p w14:paraId="4782E457" w14:textId="77777777" w:rsidR="0011475D" w:rsidRDefault="000A0EB4" w:rsidP="000A0EB4">
      <w:r w:rsidRPr="396ABCA7">
        <w:t>The unions</w:t>
      </w:r>
      <w:r w:rsidRPr="396ABCA7" w:rsidDel="009D22CE">
        <w:t xml:space="preserve"> </w:t>
      </w:r>
      <w:r w:rsidRPr="396ABCA7">
        <w:t>also note that the new equal remuneration provisions provide individual remedies as well as collective ones.</w:t>
      </w:r>
      <w:r w:rsidRPr="396ABCA7">
        <w:rPr>
          <w:rStyle w:val="FootnoteReference"/>
        </w:rPr>
        <w:footnoteReference w:id="1010"/>
      </w:r>
      <w:r w:rsidRPr="396ABCA7">
        <w:t xml:space="preserve"> In other words, individuals may apply to the FWC for an ERO. At </w:t>
      </w:r>
      <w:r w:rsidRPr="396ABCA7">
        <w:lastRenderedPageBreak/>
        <w:t xml:space="preserve">the time of writing there has been only one such application </w:t>
      </w:r>
      <w:r w:rsidRPr="396ABCA7">
        <w:rPr>
          <w:rFonts w:ascii="Symbol" w:eastAsia="Symbol" w:hAnsi="Symbol" w:cs="Symbol"/>
        </w:rPr>
        <w:t>-</w:t>
      </w:r>
      <w:r w:rsidRPr="396ABCA7">
        <w:t xml:space="preserve"> </w:t>
      </w:r>
      <w:r w:rsidRPr="396ABCA7">
        <w:rPr>
          <w:rStyle w:val="Emphasis"/>
        </w:rPr>
        <w:t>Sabbatini v Peter Rowland Group Pty Ltd.</w:t>
      </w:r>
      <w:r w:rsidRPr="396ABCA7">
        <w:rPr>
          <w:rStyle w:val="FootnoteReference"/>
        </w:rPr>
        <w:footnoteReference w:id="1011"/>
      </w:r>
      <w:r w:rsidRPr="396ABCA7">
        <w:t xml:space="preserve"> In this case, Sabbatini applied for an ERO on the grounds that she was paid less than her male counterparts for performing equally valuable work. The FWC acknowledged the pay disparity but could not issue an ERO because she had subsequently resigned and was no longer employed by the company by the time the FWC heard the case.</w:t>
      </w:r>
      <w:r w:rsidRPr="396ABCA7">
        <w:rPr>
          <w:rStyle w:val="FootnoteReference"/>
        </w:rPr>
        <w:footnoteReference w:id="1012"/>
      </w:r>
    </w:p>
    <w:p w14:paraId="261201EB" w14:textId="3F414F10" w:rsidR="000A0EB4" w:rsidRPr="00167CB8" w:rsidRDefault="000A0EB4" w:rsidP="000A0EB4">
      <w:r w:rsidRPr="00167CB8">
        <w:t>Several issues concerning the work value amendments were, however, raised during the roundtable consultations and via submissions. These are</w:t>
      </w:r>
      <w:r>
        <w:t xml:space="preserve"> broadly grouped and</w:t>
      </w:r>
      <w:r w:rsidRPr="00167CB8">
        <w:t xml:space="preserve"> summarised as follows.</w:t>
      </w:r>
    </w:p>
    <w:p w14:paraId="30FF280B" w14:textId="681B6722" w:rsidR="0011475D" w:rsidRDefault="000A0EB4" w:rsidP="000A0EB4">
      <w:r>
        <w:t>First, s</w:t>
      </w:r>
      <w:r w:rsidRPr="396ABCA7">
        <w:t>takeholders in roundtables submitted that the rapid pace of priority award review proceedings was placing significant pressure on parties, making it challenging for them to meaningfully contribute. The Review Panel also heard that the time required to gather evidence and conduct reviews was taxing and with the numerous reviews underway the process was generating participant fatigue.</w:t>
      </w:r>
      <w:r w:rsidRPr="396ABCA7">
        <w:rPr>
          <w:vertAlign w:val="superscript"/>
        </w:rPr>
        <w:footnoteReference w:id="1013"/>
      </w:r>
    </w:p>
    <w:p w14:paraId="06705EAA" w14:textId="500D8048" w:rsidR="000A0EB4" w:rsidRPr="00167CB8" w:rsidRDefault="000A0EB4" w:rsidP="000A0EB4">
      <w:r w:rsidRPr="396ABCA7">
        <w:t>The Centre for Future Work (CFW) submitted that:</w:t>
      </w:r>
      <w:r w:rsidRPr="396ABCA7">
        <w:rPr>
          <w:vertAlign w:val="superscript"/>
        </w:rPr>
        <w:footnoteReference w:id="1014"/>
      </w:r>
    </w:p>
    <w:p w14:paraId="1FEC44D9" w14:textId="77777777" w:rsidR="000A0EB4" w:rsidRPr="00167CB8" w:rsidRDefault="000A0EB4" w:rsidP="00400EF1">
      <w:pPr>
        <w:pStyle w:val="Quote"/>
      </w:pPr>
      <w:r w:rsidRPr="00167CB8">
        <w:t>[g]ender inequality and gender-based undervaluation will not be eradicated by small incremental adjustments. Further amendments to the FWA could include a requirement that the FWC adopt a standard methodology and principles for classifying work and ascribing work value that breaks with the historic reliance on standards in male-dominated industries.</w:t>
      </w:r>
    </w:p>
    <w:p w14:paraId="7E1CF500" w14:textId="15391A28" w:rsidR="0011475D" w:rsidRDefault="000A0EB4" w:rsidP="000A0EB4">
      <w:r>
        <w:t>Second, c</w:t>
      </w:r>
      <w:r w:rsidRPr="396ABCA7">
        <w:t>oncerns were</w:t>
      </w:r>
      <w:r>
        <w:t xml:space="preserve"> </w:t>
      </w:r>
      <w:r w:rsidRPr="396ABCA7">
        <w:t xml:space="preserve">expressed that the FWC may be </w:t>
      </w:r>
      <w:r w:rsidRPr="007D1E84">
        <w:t>conflating frontline care work with</w:t>
      </w:r>
      <w:r w:rsidRPr="396ABCA7">
        <w:t xml:space="preserve"> gender-based undervaluation, potentially overlooking how ‘gender impacts on all those involved in highly female-dominated occupations and industries</w:t>
      </w:r>
      <w:r w:rsidR="004A3AE0">
        <w:t>’</w:t>
      </w:r>
      <w:r w:rsidRPr="396ABCA7">
        <w:t xml:space="preserve">. The CFW highlighted that, in cases such as the </w:t>
      </w:r>
      <w:r w:rsidR="009653F0" w:rsidRPr="00AE4C69">
        <w:t>f</w:t>
      </w:r>
      <w:r w:rsidRPr="007D1E84">
        <w:t xml:space="preserve">ederal </w:t>
      </w:r>
      <w:r w:rsidR="009653F0" w:rsidRPr="009653F0">
        <w:t xml:space="preserve">Social and </w:t>
      </w:r>
      <w:r w:rsidR="009653F0" w:rsidRPr="007D1E84">
        <w:t xml:space="preserve">Community Services test case </w:t>
      </w:r>
      <w:r w:rsidRPr="007D1E84">
        <w:t xml:space="preserve">and the Aged Care </w:t>
      </w:r>
      <w:r w:rsidR="009653F0" w:rsidRPr="007D1E84">
        <w:t>Work Value case</w:t>
      </w:r>
      <w:r w:rsidR="009653F0" w:rsidRPr="00AE4C69">
        <w:t xml:space="preserve"> </w:t>
      </w:r>
      <w:r w:rsidRPr="007D1E84">
        <w:t>non-frontline workers received less attention and</w:t>
      </w:r>
      <w:r w:rsidRPr="396ABCA7">
        <w:t xml:space="preserve"> smaller wage increases. The CFW urge</w:t>
      </w:r>
      <w:r w:rsidR="004A3AE0">
        <w:t>d</w:t>
      </w:r>
      <w:r w:rsidRPr="396ABCA7">
        <w:t xml:space="preserve"> the FWC to take a broader approach to ‘gender-based undervaluation’.</w:t>
      </w:r>
      <w:r w:rsidRPr="396ABCA7">
        <w:rPr>
          <w:rStyle w:val="FootnoteReference"/>
        </w:rPr>
        <w:footnoteReference w:id="1015"/>
      </w:r>
    </w:p>
    <w:p w14:paraId="70C9C7F9" w14:textId="2CA2D6F3" w:rsidR="000A0EB4" w:rsidRPr="00AE4C69" w:rsidRDefault="000A0EB4" w:rsidP="000A0EB4">
      <w:r w:rsidRPr="396ABCA7">
        <w:t>Some stakeholders also noted that a focus solely on gender undervaluation could overlook other contributing factors to gender wage inequality, such as gender differences in working time arrangements and access to overtime payments. (The Review Panel notes that the FWC has committed to reviewing part-time working arrangements in 2025).</w:t>
      </w:r>
      <w:r w:rsidRPr="396ABCA7">
        <w:rPr>
          <w:rStyle w:val="FootnoteReference"/>
        </w:rPr>
        <w:footnoteReference w:id="1016"/>
      </w:r>
      <w:r w:rsidRPr="396ABCA7" w:rsidDel="00E329B2">
        <w:t xml:space="preserve"> </w:t>
      </w:r>
      <w:r w:rsidRPr="396ABCA7">
        <w:t>Concerns were also raised that wage increases achieved may result in unintended consequences in enterprise agreements.</w:t>
      </w:r>
      <w:r w:rsidRPr="00421CB3">
        <w:t xml:space="preserve"> The Review Panel understands that such consequences could include some </w:t>
      </w:r>
      <w:r w:rsidRPr="00421CB3">
        <w:lastRenderedPageBreak/>
        <w:t>circumstances where above-award pay rates bargained for in enterprise agreements become the same as minimum pay rates.</w:t>
      </w:r>
    </w:p>
    <w:p w14:paraId="080994D8" w14:textId="55F8D570" w:rsidR="000A0EB4" w:rsidRPr="00167CB8" w:rsidRDefault="000A0EB4" w:rsidP="000A0EB4">
      <w:r>
        <w:t>Third, s</w:t>
      </w:r>
      <w:r w:rsidRPr="396ABCA7">
        <w:t>ome stakeholders raised concerns about the significant cost to run a work value case, noting that these reviews have significant public value and are effectively being funded by union members, many of whom are low paid.</w:t>
      </w:r>
      <w:r w:rsidRPr="396ABCA7">
        <w:rPr>
          <w:vertAlign w:val="superscript"/>
        </w:rPr>
        <w:footnoteReference w:id="1017"/>
      </w:r>
      <w:r w:rsidRPr="00AE4C69">
        <w:t xml:space="preserve"> </w:t>
      </w:r>
      <w:r w:rsidRPr="396ABCA7">
        <w:t>Employers also expressed anxiety about costs, notably their ability to absorb wage increases, particularly in situations where there is no corresponding increase in government funding to offset the costs. Several stakeholders</w:t>
      </w:r>
      <w:r w:rsidRPr="396ABCA7" w:rsidDel="00C179E1">
        <w:t xml:space="preserve"> </w:t>
      </w:r>
      <w:r w:rsidRPr="396ABCA7">
        <w:t>urged the Australian Government to review its procurement processes and seek to build greater funding certainty into contracts to ensure that wage increases are sustainable and will not place an undue financial burden on employers.</w:t>
      </w:r>
    </w:p>
    <w:p w14:paraId="729FDFD5" w14:textId="77777777" w:rsidR="000A0EB4" w:rsidRPr="00167CB8" w:rsidRDefault="000A0EB4" w:rsidP="000A0EB4">
      <w:r w:rsidRPr="00167CB8">
        <w:t>Relevant to this, the Review Panel notes that the Australian Government made an initial submission to the FWC Gender Undervaluation – Priority Awards Review on 27 September 2024.</w:t>
      </w:r>
      <w:r w:rsidRPr="00167CB8">
        <w:rPr>
          <w:rStyle w:val="FootnoteReference"/>
        </w:rPr>
        <w:footnoteReference w:id="1018"/>
      </w:r>
      <w:r w:rsidRPr="00167CB8">
        <w:t xml:space="preserve"> The submission supported the process and the broader task of identifying and addressing gender undervaluation in the modern awards system, recognising that the FWC’s work was informed by the </w:t>
      </w:r>
      <w:r w:rsidRPr="00167CB8">
        <w:rPr>
          <w:rFonts w:cstheme="minorHAnsi"/>
        </w:rPr>
        <w:t>Secure Jobs, Better Pay</w:t>
      </w:r>
      <w:r w:rsidRPr="00167CB8">
        <w:t xml:space="preserve"> reforms.</w:t>
      </w:r>
      <w:r w:rsidRPr="00167CB8">
        <w:rPr>
          <w:rStyle w:val="FootnoteReference"/>
        </w:rPr>
        <w:footnoteReference w:id="1019"/>
      </w:r>
      <w:r w:rsidRPr="00167CB8">
        <w:t xml:space="preserve"> It also considered Commonwealth funding (including budget processes and timeframes), affected programs and policies, and the timing of wage increases,</w:t>
      </w:r>
      <w:r w:rsidRPr="00167CB8">
        <w:rPr>
          <w:rStyle w:val="FootnoteReference"/>
        </w:rPr>
        <w:footnoteReference w:id="1020"/>
      </w:r>
      <w:r w:rsidRPr="00167CB8">
        <w:t xml:space="preserve"> submitting that:</w:t>
      </w:r>
      <w:r w:rsidRPr="00167CB8">
        <w:rPr>
          <w:rStyle w:val="FootnoteReference"/>
        </w:rPr>
        <w:footnoteReference w:id="1021"/>
      </w:r>
    </w:p>
    <w:p w14:paraId="7A5AE583" w14:textId="77777777" w:rsidR="000A0EB4" w:rsidRPr="00167CB8" w:rsidRDefault="000A0EB4" w:rsidP="00400EF1">
      <w:pPr>
        <w:pStyle w:val="Quote"/>
      </w:pPr>
      <w:r w:rsidRPr="00167CB8">
        <w:t>the Commission’s decision in the Priority Review should be made on the basis that the Commonwealth is yet to decide whether it will fund (including at all, and if so, to what extent) any wage increases in areas where the Commonwealth has a funding role.</w:t>
      </w:r>
    </w:p>
    <w:p w14:paraId="0C23CB9A" w14:textId="77777777" w:rsidR="000A0EB4" w:rsidRDefault="000A0EB4" w:rsidP="000A0EB4">
      <w:pPr>
        <w:rPr>
          <w:lang w:val="en-US"/>
        </w:rPr>
      </w:pPr>
      <w:r w:rsidRPr="00421CB3">
        <w:rPr>
          <w:lang w:val="en-US"/>
        </w:rPr>
        <w:t>The Review Panel received positive feedback from stakeholders about its proposed findings and recommendations about the FWC’s work to address gender undervaluation.</w:t>
      </w:r>
    </w:p>
    <w:p w14:paraId="544693E8" w14:textId="61C3C8D0" w:rsidR="000A0EB4" w:rsidRPr="00421CB3" w:rsidRDefault="000A0EB4" w:rsidP="000A0EB4">
      <w:r w:rsidRPr="00421CB3">
        <w:rPr>
          <w:lang w:val="en-US"/>
        </w:rPr>
        <w:t>While</w:t>
      </w:r>
      <w:r w:rsidR="007D1E84">
        <w:rPr>
          <w:lang w:val="en-US"/>
        </w:rPr>
        <w:t xml:space="preserve"> the </w:t>
      </w:r>
      <w:r w:rsidR="007D1E84" w:rsidRPr="007D1E84">
        <w:rPr>
          <w:lang w:val="en-US"/>
        </w:rPr>
        <w:t>Australian Chamber of Commerce and Industry</w:t>
      </w:r>
      <w:r w:rsidRPr="00421CB3">
        <w:rPr>
          <w:lang w:val="en-US"/>
        </w:rPr>
        <w:t xml:space="preserve"> questioned whether such recommendations were within the scope of this Review, </w:t>
      </w:r>
      <w:r w:rsidR="004A3AE0">
        <w:rPr>
          <w:lang w:val="en-US"/>
        </w:rPr>
        <w:t xml:space="preserve">it </w:t>
      </w:r>
      <w:r w:rsidRPr="00421CB3">
        <w:rPr>
          <w:lang w:val="en-US"/>
        </w:rPr>
        <w:t>expressed agreement with the proposals and with a consultative process to develop principles for identifying and addressing gender undervaluation.</w:t>
      </w:r>
      <w:r w:rsidRPr="00421CB3">
        <w:rPr>
          <w:rStyle w:val="FootnoteReference"/>
        </w:rPr>
        <w:footnoteReference w:id="1022"/>
      </w:r>
      <w:r w:rsidRPr="00421CB3">
        <w:t xml:space="preserve"> The </w:t>
      </w:r>
      <w:r w:rsidR="007D1E84" w:rsidRPr="007D1E84">
        <w:t xml:space="preserve">Australian Nursing and Midwifery Federation </w:t>
      </w:r>
      <w:r w:rsidR="007D1E84" w:rsidRPr="007E3D92">
        <w:t>(</w:t>
      </w:r>
      <w:r w:rsidRPr="007E3D92">
        <w:t>ANMF</w:t>
      </w:r>
      <w:r w:rsidR="007D1E84" w:rsidRPr="007E3D92">
        <w:t>)</w:t>
      </w:r>
      <w:r w:rsidRPr="007E3D92">
        <w:rPr>
          <w:rStyle w:val="FootnoteReference"/>
        </w:rPr>
        <w:footnoteReference w:id="1023"/>
      </w:r>
      <w:r w:rsidRPr="007E3D92">
        <w:t xml:space="preserve"> also</w:t>
      </w:r>
      <w:r w:rsidRPr="00421CB3">
        <w:t xml:space="preserve"> </w:t>
      </w:r>
      <w:r w:rsidRPr="007E3D92">
        <w:t xml:space="preserve">strongly supported the development of such principles and the </w:t>
      </w:r>
      <w:r w:rsidR="007D1E84" w:rsidRPr="0086323D">
        <w:t>Australian Council of Trade Unions (</w:t>
      </w:r>
      <w:r w:rsidRPr="007E3D92">
        <w:t>ACTU</w:t>
      </w:r>
      <w:r w:rsidR="007D1E84" w:rsidRPr="007E3D92">
        <w:t>)</w:t>
      </w:r>
      <w:r w:rsidRPr="007E3D92">
        <w:t xml:space="preserve"> made</w:t>
      </w:r>
      <w:r w:rsidRPr="00421CB3">
        <w:t xml:space="preserve"> specific suggestions about the next steps for the FWC, government and stakeholders.</w:t>
      </w:r>
      <w:r w:rsidRPr="00421CB3">
        <w:rPr>
          <w:rStyle w:val="FootnoteReference"/>
        </w:rPr>
        <w:footnoteReference w:id="1024"/>
      </w:r>
      <w:r w:rsidRPr="00421CB3">
        <w:t xml:space="preserve"> Professor Charlesworth emphasised that the purpose of indicia in any such principles would be to give guidance to the FWC and to the parties</w:t>
      </w:r>
      <w:r w:rsidR="004A3AE0">
        <w:t>;</w:t>
      </w:r>
      <w:r w:rsidRPr="00421CB3">
        <w:t xml:space="preserve"> and noted that it is important not to conflate care work with gender undervaluation.</w:t>
      </w:r>
      <w:r w:rsidRPr="00421CB3">
        <w:rPr>
          <w:rStyle w:val="FootnoteReference"/>
        </w:rPr>
        <w:footnoteReference w:id="1025"/>
      </w:r>
    </w:p>
    <w:p w14:paraId="32A517A1" w14:textId="24B87AC0" w:rsidR="000A0EB4" w:rsidRDefault="000A0EB4" w:rsidP="000A0EB4">
      <w:r w:rsidRPr="00421CB3">
        <w:lastRenderedPageBreak/>
        <w:t xml:space="preserve">Submissions from a range of stakeholders, including Ai Group, </w:t>
      </w:r>
      <w:r w:rsidR="006C3263">
        <w:t xml:space="preserve">the </w:t>
      </w:r>
      <w:r w:rsidR="007E3D92" w:rsidRPr="007E3D92">
        <w:t>Business Council of Australia</w:t>
      </w:r>
      <w:r w:rsidRPr="00421CB3">
        <w:t>,</w:t>
      </w:r>
      <w:r w:rsidRPr="00421CB3" w:rsidDel="004A3AE0">
        <w:t xml:space="preserve"> </w:t>
      </w:r>
      <w:r w:rsidRPr="00421CB3">
        <w:t xml:space="preserve">ANMF and </w:t>
      </w:r>
      <w:r w:rsidRPr="00421CB3" w:rsidDel="004A3AE0">
        <w:t xml:space="preserve">the </w:t>
      </w:r>
      <w:r w:rsidR="007E3D92" w:rsidRPr="007E3D92">
        <w:t>United Workers Union</w:t>
      </w:r>
      <w:r w:rsidRPr="00421CB3">
        <w:t>, highlighted the relevance and importance of transparency about government funding in relation to gender undervaluation proceedings.</w:t>
      </w:r>
      <w:r w:rsidRPr="00421CB3">
        <w:rPr>
          <w:rStyle w:val="FootnoteReference"/>
        </w:rPr>
        <w:footnoteReference w:id="1026"/>
      </w:r>
    </w:p>
    <w:p w14:paraId="028847FF" w14:textId="77777777" w:rsidR="000A0EB4" w:rsidRPr="0086323D" w:rsidRDefault="000A0EB4" w:rsidP="00BE034D">
      <w:pPr>
        <w:pStyle w:val="Heading4"/>
      </w:pPr>
      <w:bookmarkStart w:id="435" w:name="_Toc188003378"/>
      <w:bookmarkStart w:id="436" w:name="_Toc188277939"/>
      <w:bookmarkStart w:id="437" w:name="_Toc189260291"/>
      <w:bookmarkStart w:id="438" w:name="_Toc189393607"/>
      <w:r w:rsidRPr="0086323D">
        <w:t>25.3 Findings and recommendations</w:t>
      </w:r>
      <w:bookmarkEnd w:id="435"/>
      <w:bookmarkEnd w:id="436"/>
      <w:bookmarkEnd w:id="437"/>
      <w:bookmarkEnd w:id="438"/>
    </w:p>
    <w:p w14:paraId="103CEA90" w14:textId="77777777" w:rsidR="0011475D" w:rsidRDefault="000A0EB4" w:rsidP="000A0EB4">
      <w:r w:rsidRPr="396ABCA7">
        <w:t>Overall, the Review Panel finds that the Secure Jobs, Better Pay work value amendments are having their intended effect. They have enabled the FWC to make important work value determinations and quantitative evidence shows that, since 2022, there has been a significant convergence in the GWG. This captures structural inequalities in pay (e.g. issues such as occupational and industry segregation) and, accordingly, is a high-level indicator of women’s progress and status in the labour market.</w:t>
      </w:r>
    </w:p>
    <w:p w14:paraId="1A94EF4B" w14:textId="40792A83" w:rsidR="000A0EB4" w:rsidRPr="00167CB8" w:rsidRDefault="000A0EB4" w:rsidP="000A0EB4">
      <w:r w:rsidRPr="396ABCA7">
        <w:t>The FWC’s ability to make EROs on application has yet to be substantively tested. The Review Panel is only aware of the one case heard under s 302 of the Fair Work Act to date. Given this, it is too early to tell whether this amendment will have its intended effect or not.</w:t>
      </w:r>
    </w:p>
    <w:p w14:paraId="5EACD926" w14:textId="4CA87831" w:rsidR="000A0EB4" w:rsidRPr="00167CB8" w:rsidRDefault="000A0EB4" w:rsidP="000A0EB4">
      <w:r w:rsidRPr="00167CB8">
        <w:t xml:space="preserve">The Review Panel also notes Professor Andrew Stewart’s submission to the </w:t>
      </w:r>
      <w:r w:rsidRPr="00167CB8">
        <w:rPr>
          <w:rFonts w:cstheme="minorHAnsi"/>
        </w:rPr>
        <w:t>Secure Jobs, Better Pay</w:t>
      </w:r>
      <w:r w:rsidRPr="00167CB8">
        <w:t xml:space="preserve"> Bill inquiry, recommending that the Expert Panel for pay equity ‘should be expressly permitted to make a “statement of policy” about the exercise of its power to issue EROs’.</w:t>
      </w:r>
      <w:r w:rsidRPr="00167CB8">
        <w:rPr>
          <w:rStyle w:val="FootnoteReference"/>
        </w:rPr>
        <w:footnoteReference w:id="1027"/>
      </w:r>
      <w:r w:rsidRPr="00167CB8">
        <w:t xml:space="preserve"> </w:t>
      </w:r>
      <w:r w:rsidRPr="00167CB8">
        <w:rPr>
          <w:rFonts w:cstheme="minorHAnsi"/>
        </w:rPr>
        <w:t>The Review Panel</w:t>
      </w:r>
      <w:r>
        <w:rPr>
          <w:rFonts w:cstheme="minorHAnsi"/>
        </w:rPr>
        <w:t>, however,</w:t>
      </w:r>
      <w:r w:rsidRPr="00167CB8">
        <w:rPr>
          <w:rFonts w:cstheme="minorHAnsi"/>
        </w:rPr>
        <w:t xml:space="preserve"> does not recommend further amendments at this stage, given the limited cases to date and noting that the FWC considers individual cases on their merits.</w:t>
      </w:r>
    </w:p>
    <w:p w14:paraId="28137CE5" w14:textId="26AEBB62" w:rsidR="000A0EB4" w:rsidRPr="00167CB8" w:rsidRDefault="000A0EB4" w:rsidP="000A0EB4">
      <w:r w:rsidRPr="396ABCA7">
        <w:t xml:space="preserve">The Review Panel also acknowledges the </w:t>
      </w:r>
      <w:r w:rsidR="007E3D92">
        <w:t xml:space="preserve">ACTU </w:t>
      </w:r>
      <w:r w:rsidRPr="396ABCA7">
        <w:t xml:space="preserve">suggestion that there should be a statutory requirement for the FWC to consider reports of </w:t>
      </w:r>
      <w:r w:rsidR="005B1B9F">
        <w:t>e</w:t>
      </w:r>
      <w:r w:rsidRPr="396ABCA7">
        <w:t xml:space="preserve">xpert </w:t>
      </w:r>
      <w:r w:rsidR="005B1B9F">
        <w:t>p</w:t>
      </w:r>
      <w:r w:rsidRPr="396ABCA7">
        <w:t>anels when making EROs. However, the Review Panel is cautious about adopting this suggestion at this stage, noting that the provisions are still in their early stages, with no reports yet published. There is also no indication that the FWC would not consider any such reports if relevant.</w:t>
      </w:r>
    </w:p>
    <w:p w14:paraId="0EAB1ADC" w14:textId="77777777" w:rsidR="000A0EB4" w:rsidRPr="00167CB8" w:rsidRDefault="000A0EB4" w:rsidP="000A0EB4">
      <w:r w:rsidRPr="396ABCA7">
        <w:t>Relevant to a number of Secure Jobs, Better Pay amendments, the Review Panel makes several recommendations about the ongoing work to address gender undervaluation.</w:t>
      </w:r>
    </w:p>
    <w:p w14:paraId="55323034" w14:textId="77777777" w:rsidR="000A0EB4" w:rsidRPr="00167CB8" w:rsidRDefault="000A0EB4" w:rsidP="000A0EB4">
      <w:r w:rsidRPr="396ABCA7">
        <w:t>Through its commentary in Annual Wage Reviews, the FWC appears to have set out an initial roadmap to identify and address gender undervaluation across all modern awards. While the current priority awards review focuses on the care sector, the FWC’s gender pay equity research appears to indicate that its next tranches of work will go beyond care work. It also appears that the outcomes of the priority awards review currently underway will set out principles for future consideration.</w:t>
      </w:r>
    </w:p>
    <w:p w14:paraId="01702345" w14:textId="13D486BC" w:rsidR="000A0EB4" w:rsidRPr="00167CB8" w:rsidRDefault="000A0EB4" w:rsidP="000A0EB4">
      <w:pPr>
        <w:rPr>
          <w:rStyle w:val="Emphasis"/>
          <w:b/>
          <w:bCs/>
          <w:i w:val="0"/>
          <w:iCs w:val="0"/>
        </w:rPr>
      </w:pPr>
      <w:bookmarkStart w:id="439" w:name="_Toc186644568"/>
      <w:r w:rsidRPr="396ABCA7">
        <w:rPr>
          <w:rStyle w:val="Emphasis"/>
          <w:b/>
          <w:bCs/>
          <w:i w:val="0"/>
          <w:iCs w:val="0"/>
        </w:rPr>
        <w:t xml:space="preserve">Recommendation </w:t>
      </w:r>
      <w:r>
        <w:rPr>
          <w:rStyle w:val="Emphasis"/>
          <w:b/>
          <w:bCs/>
          <w:i w:val="0"/>
          <w:iCs w:val="0"/>
        </w:rPr>
        <w:t>10</w:t>
      </w:r>
      <w:r w:rsidRPr="396ABCA7">
        <w:rPr>
          <w:rStyle w:val="Emphasis"/>
          <w:b/>
          <w:bCs/>
          <w:i w:val="0"/>
          <w:iCs w:val="0"/>
        </w:rPr>
        <w:t xml:space="preserve">: The Review Panel encourages the </w:t>
      </w:r>
      <w:r w:rsidR="005B1B9F">
        <w:rPr>
          <w:rStyle w:val="Emphasis"/>
          <w:b/>
          <w:bCs/>
          <w:i w:val="0"/>
          <w:iCs w:val="0"/>
        </w:rPr>
        <w:t xml:space="preserve">Fair Work Commission </w:t>
      </w:r>
      <w:r w:rsidRPr="396ABCA7">
        <w:rPr>
          <w:rStyle w:val="Emphasis"/>
          <w:b/>
          <w:bCs/>
          <w:i w:val="0"/>
          <w:iCs w:val="0"/>
        </w:rPr>
        <w:t>to continue its program of work to advance gender equality, particularly by addressing the low pay in other female</w:t>
      </w:r>
      <w:r w:rsidR="005B1B9F">
        <w:rPr>
          <w:rStyle w:val="Emphasis"/>
          <w:b/>
          <w:bCs/>
          <w:i w:val="0"/>
          <w:iCs w:val="0"/>
        </w:rPr>
        <w:t>-</w:t>
      </w:r>
      <w:r w:rsidRPr="396ABCA7">
        <w:rPr>
          <w:rStyle w:val="Emphasis"/>
          <w:b/>
          <w:bCs/>
          <w:i w:val="0"/>
          <w:iCs w:val="0"/>
        </w:rPr>
        <w:t>dominated sectors (beyond care work) and to set out broader principles for identifying and addressing work value and gender undervaluation.</w:t>
      </w:r>
    </w:p>
    <w:bookmarkEnd w:id="439"/>
    <w:p w14:paraId="4605C284" w14:textId="597A7EA6" w:rsidR="000A0EB4" w:rsidRPr="00167CB8" w:rsidRDefault="000A0EB4" w:rsidP="000A0EB4">
      <w:r w:rsidRPr="396ABCA7">
        <w:lastRenderedPageBreak/>
        <w:t>The Review Panel notes that the nature of FWC processes (in which initial cases identify evidence gaps, collect and interrogate relevant information, and set out principles to guide future proceedings) mean</w:t>
      </w:r>
      <w:r w:rsidR="005B1B9F">
        <w:t>s</w:t>
      </w:r>
      <w:r w:rsidRPr="396ABCA7">
        <w:t xml:space="preserve"> that a significant ‘burden’ falls on the parties which participate in these initial cases. In the context of valuing work appropriately and addressing historical gender undervaluation, these initial cases have important public value which warrants broader support. As noted above, the FWC should continue to undertake the significant volume of research and evidence collection that reduces the burden on parties. </w:t>
      </w:r>
      <w:r w:rsidRPr="00421CB3">
        <w:t>For example, this may require additional specialised staff to support gender pay equity and awards.</w:t>
      </w:r>
    </w:p>
    <w:p w14:paraId="6604217C" w14:textId="4A53C0D4" w:rsidR="000A0EB4" w:rsidRPr="00167CB8" w:rsidRDefault="000A0EB4" w:rsidP="000A0EB4">
      <w:pPr>
        <w:rPr>
          <w:rStyle w:val="Emphasis"/>
          <w:b/>
          <w:bCs/>
          <w:i w:val="0"/>
          <w:iCs w:val="0"/>
        </w:rPr>
      </w:pPr>
      <w:bookmarkStart w:id="440" w:name="_Toc186644569"/>
      <w:r w:rsidRPr="396ABCA7">
        <w:rPr>
          <w:rStyle w:val="Emphasis"/>
          <w:b/>
          <w:bCs/>
          <w:i w:val="0"/>
          <w:iCs w:val="0"/>
        </w:rPr>
        <w:t>Recommendation 1</w:t>
      </w:r>
      <w:r>
        <w:rPr>
          <w:rStyle w:val="Emphasis"/>
          <w:b/>
          <w:bCs/>
          <w:i w:val="0"/>
          <w:iCs w:val="0"/>
        </w:rPr>
        <w:t>1</w:t>
      </w:r>
      <w:r w:rsidRPr="396ABCA7">
        <w:rPr>
          <w:rStyle w:val="Emphasis"/>
          <w:b/>
          <w:bCs/>
          <w:i w:val="0"/>
          <w:iCs w:val="0"/>
        </w:rPr>
        <w:t xml:space="preserve">: The </w:t>
      </w:r>
      <w:r w:rsidR="005B1B9F">
        <w:rPr>
          <w:rStyle w:val="Emphasis"/>
          <w:b/>
          <w:bCs/>
          <w:i w:val="0"/>
          <w:iCs w:val="0"/>
        </w:rPr>
        <w:t xml:space="preserve">Fair Work Commission should </w:t>
      </w:r>
      <w:r w:rsidRPr="396ABCA7">
        <w:rPr>
          <w:rStyle w:val="Emphasis"/>
          <w:b/>
          <w:bCs/>
          <w:i w:val="0"/>
          <w:iCs w:val="0"/>
        </w:rPr>
        <w:t>continue to support parties and facilitate proceedings to address gender undervaluation, including through undertaking research and gathering evidence to support future work value proceedings.</w:t>
      </w:r>
    </w:p>
    <w:p w14:paraId="47858E0E" w14:textId="4025E114" w:rsidR="000A0EB4" w:rsidRPr="00167CB8" w:rsidRDefault="000A0EB4" w:rsidP="000A0EB4">
      <w:r w:rsidRPr="00167CB8">
        <w:t xml:space="preserve">The Australian Government’s position on funding wage increases is likely to play a part in </w:t>
      </w:r>
      <w:r w:rsidR="005B1B9F">
        <w:t xml:space="preserve">the </w:t>
      </w:r>
      <w:r w:rsidRPr="00167CB8">
        <w:t>FWC’s consideration of when and how to address gender undervaluation, where found. The Review Panel notes that the early government funding commitments for aged care work supported the FWC decisions to award significant pay increases but that budget processes and uncertainty about potential costs have limited the Australian Government from making such commitments in the priority awards review currently underway.</w:t>
      </w:r>
    </w:p>
    <w:p w14:paraId="69A77A29" w14:textId="0666ADC9" w:rsidR="000A0EB4" w:rsidRPr="00167CB8" w:rsidRDefault="000A0EB4" w:rsidP="000A0EB4">
      <w:r w:rsidRPr="396ABCA7">
        <w:t>The Australian Government intended the Secure Jobs, Better Pay amendments to deliver pay rises for low-paid female workers. To support this, and given the broader importance and socio</w:t>
      </w:r>
      <w:r w:rsidR="007E3D92">
        <w:t>-</w:t>
      </w:r>
      <w:r w:rsidRPr="396ABCA7">
        <w:t>economic value of addressing gender undervaluation, the Australian Government should also look to prioritise funding commitments now and as the FWC continues its program of work to advance gender equality. Where there are not direct funding impacts, the Australian Government may also consider ways to support employers to understand and implement any increases.</w:t>
      </w:r>
    </w:p>
    <w:p w14:paraId="1FDB245D" w14:textId="77777777" w:rsidR="0011475D" w:rsidRDefault="000A0EB4" w:rsidP="000A0EB4">
      <w:r w:rsidRPr="396ABCA7">
        <w:t>While the specific outcomes of FWC proceedings cannot be predicted, it is clear that there will very likely be further minimum wage increases to address gender undervaluation. While the FWC will likely consider the timing and phasing in of any such increases, employers need to adapt their business plans and processes to account for these.</w:t>
      </w:r>
    </w:p>
    <w:p w14:paraId="68198B7E" w14:textId="4358D912" w:rsidR="000A0EB4" w:rsidRPr="00167CB8" w:rsidRDefault="000A0EB4" w:rsidP="000A0EB4">
      <w:pPr>
        <w:rPr>
          <w:rStyle w:val="Emphasis"/>
          <w:b/>
          <w:bCs/>
          <w:i w:val="0"/>
          <w:iCs w:val="0"/>
        </w:rPr>
      </w:pPr>
      <w:bookmarkStart w:id="441" w:name="_Toc186644570"/>
      <w:bookmarkEnd w:id="440"/>
      <w:r w:rsidRPr="00167CB8">
        <w:rPr>
          <w:rStyle w:val="Emphasis"/>
          <w:b/>
          <w:bCs/>
          <w:i w:val="0"/>
          <w:iCs w:val="0"/>
        </w:rPr>
        <w:t>Recommendation 1</w:t>
      </w:r>
      <w:r>
        <w:rPr>
          <w:rStyle w:val="Emphasis"/>
          <w:b/>
          <w:bCs/>
          <w:i w:val="0"/>
          <w:iCs w:val="0"/>
        </w:rPr>
        <w:t>2</w:t>
      </w:r>
      <w:r w:rsidRPr="00167CB8">
        <w:rPr>
          <w:rStyle w:val="Emphasis"/>
          <w:b/>
          <w:bCs/>
          <w:i w:val="0"/>
          <w:iCs w:val="0"/>
        </w:rPr>
        <w:t xml:space="preserve">: The Australian Government </w:t>
      </w:r>
      <w:r w:rsidR="005B1B9F">
        <w:rPr>
          <w:rStyle w:val="Emphasis"/>
          <w:b/>
          <w:bCs/>
          <w:i w:val="0"/>
          <w:iCs w:val="0"/>
        </w:rPr>
        <w:t xml:space="preserve">should </w:t>
      </w:r>
      <w:r w:rsidRPr="00167CB8">
        <w:rPr>
          <w:rStyle w:val="Emphasis"/>
          <w:b/>
          <w:bCs/>
          <w:i w:val="0"/>
          <w:iCs w:val="0"/>
        </w:rPr>
        <w:t xml:space="preserve">take steps to advise the </w:t>
      </w:r>
      <w:r w:rsidR="005B1B9F">
        <w:rPr>
          <w:rStyle w:val="Emphasis"/>
          <w:b/>
          <w:bCs/>
          <w:i w:val="0"/>
          <w:iCs w:val="0"/>
        </w:rPr>
        <w:t xml:space="preserve">Fair Work Commission </w:t>
      </w:r>
      <w:r w:rsidRPr="00167CB8">
        <w:rPr>
          <w:rStyle w:val="Emphasis"/>
          <w:b/>
          <w:bCs/>
          <w:i w:val="0"/>
          <w:iCs w:val="0"/>
        </w:rPr>
        <w:t xml:space="preserve">and stakeholders of its position on funding for the outcomes of </w:t>
      </w:r>
      <w:r w:rsidR="005B1B9F">
        <w:rPr>
          <w:rStyle w:val="Emphasis"/>
          <w:b/>
          <w:bCs/>
          <w:i w:val="0"/>
          <w:iCs w:val="0"/>
        </w:rPr>
        <w:t xml:space="preserve">Fair Work Commission </w:t>
      </w:r>
      <w:r w:rsidRPr="00167CB8">
        <w:rPr>
          <w:rStyle w:val="Emphasis"/>
          <w:b/>
          <w:bCs/>
          <w:i w:val="0"/>
          <w:iCs w:val="0"/>
        </w:rPr>
        <w:t>reviews to address gender undervaluation at the earliest opportunities.</w:t>
      </w:r>
    </w:p>
    <w:bookmarkEnd w:id="441"/>
    <w:p w14:paraId="37095849" w14:textId="77777777" w:rsidR="000A0EB4" w:rsidRPr="00167CB8" w:rsidRDefault="000A0EB4" w:rsidP="000A0EB4">
      <w:r w:rsidRPr="396ABCA7">
        <w:t>Noting that initial FWC outcomes appear to indicate a shift towards benchmarking higher pay classifications against training qualifications, the Australian Government should also monitor these outcomes and ensure appropriate support and pathways for people to obtain these higher qualifications.</w:t>
      </w:r>
    </w:p>
    <w:p w14:paraId="193074F4" w14:textId="77777777" w:rsidR="0011475D" w:rsidRDefault="000A0EB4" w:rsidP="000A0EB4">
      <w:r w:rsidRPr="396ABCA7">
        <w:t xml:space="preserve">The Review Panel also notes that the work to address gender undervaluation in modern awards is anticipated to flow through </w:t>
      </w:r>
      <w:r w:rsidRPr="00421CB3">
        <w:t>to other wage-setting practices (like future rounds of enterprise bargaining)</w:t>
      </w:r>
      <w:r w:rsidRPr="396ABCA7">
        <w:t>.</w:t>
      </w:r>
    </w:p>
    <w:p w14:paraId="3D6847D9" w14:textId="1F1CFCB5" w:rsidR="000A0EB4" w:rsidRPr="00167CB8" w:rsidRDefault="000A0EB4" w:rsidP="000A0EB4">
      <w:r w:rsidRPr="00421CB3">
        <w:t>For example, t</w:t>
      </w:r>
      <w:r w:rsidRPr="396ABCA7">
        <w:t>he base rate of pay for an employee under an enterprise agreement must not be less than the base rate of pay under the relevant modern award (s 206(1)). If it is</w:t>
      </w:r>
      <w:r w:rsidR="007E3D92">
        <w:t>,</w:t>
      </w:r>
      <w:r w:rsidRPr="396ABCA7" w:rsidDel="007E3D92">
        <w:t xml:space="preserve"> </w:t>
      </w:r>
      <w:r w:rsidRPr="396ABCA7">
        <w:t xml:space="preserve">the agreement rate, in effect, becomes the same as the modern award rate (s 206(2)). The effect of these provisions is that enterprise agreements in sectors that receive the benefit of significant award increases (to rectify gender undervaluation) may have previously bargained above-award rates </w:t>
      </w:r>
      <w:r w:rsidRPr="396ABCA7">
        <w:lastRenderedPageBreak/>
        <w:t>which become the same as minimum pay rates. All parties should recognise that these were one-off increases to address historical wrongs. It would be unfortunate if these corrections were to lead to poorer bargaining outcomes in these historically low-paid sectors (compared to other sectors).</w:t>
      </w:r>
    </w:p>
    <w:p w14:paraId="64991909" w14:textId="77777777" w:rsidR="000A0EB4" w:rsidRPr="00167CB8" w:rsidRDefault="000A0EB4" w:rsidP="000A0EB4">
      <w:pPr>
        <w:rPr>
          <w:b/>
          <w:bCs/>
        </w:rPr>
      </w:pPr>
      <w:r w:rsidRPr="00E3445D">
        <w:rPr>
          <w:b/>
        </w:rPr>
        <w:t>Recommendation 1</w:t>
      </w:r>
      <w:r>
        <w:rPr>
          <w:b/>
        </w:rPr>
        <w:t>3</w:t>
      </w:r>
      <w:r w:rsidRPr="00E3445D">
        <w:rPr>
          <w:b/>
        </w:rPr>
        <w:t>: The Australian Government should actively monitor wage-setting practices</w:t>
      </w:r>
      <w:r>
        <w:rPr>
          <w:b/>
        </w:rPr>
        <w:t>, especially in enterprise agreements,</w:t>
      </w:r>
      <w:r w:rsidRPr="00E3445D">
        <w:rPr>
          <w:b/>
        </w:rPr>
        <w:t xml:space="preserve"> to ensure that modern award outcomes lead to sustained improvements in gender pay equity.</w:t>
      </w:r>
      <w:r w:rsidRPr="396ABCA7">
        <w:rPr>
          <w:b/>
          <w:bCs/>
        </w:rPr>
        <w:br w:type="page"/>
      </w:r>
    </w:p>
    <w:p w14:paraId="606259DD" w14:textId="77777777" w:rsidR="000A0EB4" w:rsidRPr="00765CE0" w:rsidRDefault="000A0EB4" w:rsidP="00BE034D">
      <w:pPr>
        <w:pStyle w:val="Heading3"/>
      </w:pPr>
      <w:bookmarkStart w:id="442" w:name="_Toc188003379"/>
      <w:bookmarkStart w:id="443" w:name="_Toc188277940"/>
      <w:bookmarkStart w:id="444" w:name="_Toc189260292"/>
      <w:bookmarkStart w:id="445" w:name="_Toc189393608"/>
      <w:bookmarkStart w:id="446" w:name="_Toc194311434"/>
      <w:r w:rsidRPr="00765CE0">
        <w:lastRenderedPageBreak/>
        <w:t>Chapter 26. Expert panels</w:t>
      </w:r>
      <w:bookmarkEnd w:id="442"/>
      <w:bookmarkEnd w:id="443"/>
      <w:bookmarkEnd w:id="444"/>
      <w:bookmarkEnd w:id="445"/>
      <w:bookmarkEnd w:id="446"/>
    </w:p>
    <w:p w14:paraId="5D0C0D0D" w14:textId="77777777" w:rsidR="0011475D" w:rsidRDefault="000A0EB4" w:rsidP="00BE034D">
      <w:r w:rsidRPr="396ABCA7">
        <w:t>In this chapter the focus is on Part 6 (Expert panels) amendments in the Secure Jobs, Better Pay Act.</w:t>
      </w:r>
    </w:p>
    <w:p w14:paraId="024FDEF3" w14:textId="0BFF527C" w:rsidR="000A0EB4" w:rsidRPr="00FB2416" w:rsidRDefault="000A0EB4" w:rsidP="00BE034D">
      <w:pPr>
        <w:pStyle w:val="Heading4"/>
      </w:pPr>
      <w:bookmarkStart w:id="447" w:name="_Toc188003380"/>
      <w:bookmarkStart w:id="448" w:name="_Toc188277941"/>
      <w:bookmarkStart w:id="449" w:name="_Toc189260293"/>
      <w:bookmarkStart w:id="450" w:name="_Toc189393609"/>
      <w:r w:rsidRPr="00FB2416">
        <w:t>26.1 Amendments and intent</w:t>
      </w:r>
      <w:bookmarkEnd w:id="447"/>
      <w:bookmarkEnd w:id="448"/>
      <w:bookmarkEnd w:id="449"/>
      <w:bookmarkEnd w:id="450"/>
    </w:p>
    <w:p w14:paraId="4D28C434" w14:textId="142D399A" w:rsidR="000A0EB4" w:rsidRPr="00167CB8" w:rsidRDefault="000A0EB4" w:rsidP="000A0EB4">
      <w:pPr>
        <w:rPr>
          <w:rFonts w:cstheme="minorHAnsi"/>
        </w:rPr>
      </w:pPr>
      <w:r w:rsidRPr="00167CB8">
        <w:rPr>
          <w:rFonts w:cstheme="minorHAnsi"/>
        </w:rPr>
        <w:t xml:space="preserve">The Secure Jobs, Better Pay amendments to the Fair Work Act introduced </w:t>
      </w:r>
      <w:r w:rsidR="005B1B9F">
        <w:rPr>
          <w:rFonts w:cstheme="minorHAnsi"/>
        </w:rPr>
        <w:t>three</w:t>
      </w:r>
      <w:r w:rsidRPr="00167CB8">
        <w:rPr>
          <w:rFonts w:cstheme="minorHAnsi"/>
        </w:rPr>
        <w:t xml:space="preserve"> new expert panels to address specific and pressing issues concerning pay equity and the care and community sector.</w:t>
      </w:r>
    </w:p>
    <w:p w14:paraId="2FFBD403" w14:textId="1D257F79" w:rsidR="000A0EB4" w:rsidRPr="00167CB8" w:rsidRDefault="000A0EB4" w:rsidP="000A0EB4">
      <w:r w:rsidRPr="396ABCA7">
        <w:t xml:space="preserve">Alongside these changes the Secure Jobs, Better Pay amendments also extended the knowledge and experience requirements for the appointment of expert panel members (EPMs) to the </w:t>
      </w:r>
      <w:r w:rsidR="005B1B9F">
        <w:t>Fair Work Commission (</w:t>
      </w:r>
      <w:r w:rsidRPr="396ABCA7">
        <w:t>FWC</w:t>
      </w:r>
      <w:r w:rsidR="005B1B9F">
        <w:t>)</w:t>
      </w:r>
      <w:r w:rsidRPr="396ABCA7">
        <w:t xml:space="preserve">. EPMs are persons who are appointed by the Governor-General on a part-time basis for a maximum period of </w:t>
      </w:r>
      <w:r w:rsidR="005B1B9F">
        <w:t>five</w:t>
      </w:r>
      <w:r w:rsidRPr="396ABCA7">
        <w:t xml:space="preserve"> years for their specialised knowledge and expertise in a particular area.</w:t>
      </w:r>
    </w:p>
    <w:p w14:paraId="6B014EC1" w14:textId="77777777" w:rsidR="000A0EB4" w:rsidRPr="00167CB8" w:rsidRDefault="000A0EB4" w:rsidP="000A0EB4">
      <w:r w:rsidRPr="396ABCA7">
        <w:t>It is important not to confuse EPMs with expert panels. Expert panels are required for certain functions of the FWC. For example, an expert panel is required for Annual Wage Reviews (AWRs). An expert panel need not always include EPMs. The composition of particular panels is defined in the Fair Work Act (as will be described below). The key amendments concerning expert panels and EPMs are outlined in the following section.</w:t>
      </w:r>
    </w:p>
    <w:p w14:paraId="2C372FE3" w14:textId="77777777" w:rsidR="000A0EB4" w:rsidRPr="00FB2416" w:rsidRDefault="000A0EB4" w:rsidP="00BE034D">
      <w:pPr>
        <w:pStyle w:val="Heading5"/>
      </w:pPr>
      <w:bookmarkStart w:id="451" w:name="_Toc188003381"/>
      <w:r w:rsidRPr="00FB2416">
        <w:t>26.1.1 Secure Jobs, Better Pay amendments</w:t>
      </w:r>
      <w:bookmarkEnd w:id="451"/>
    </w:p>
    <w:p w14:paraId="5C34CEFC" w14:textId="77777777" w:rsidR="000A0EB4" w:rsidRPr="00167CB8" w:rsidRDefault="000A0EB4" w:rsidP="000A0EB4">
      <w:pPr>
        <w:rPr>
          <w:rFonts w:cstheme="minorHAnsi"/>
        </w:rPr>
      </w:pPr>
      <w:r w:rsidRPr="00167CB8">
        <w:rPr>
          <w:rFonts w:cstheme="minorHAnsi"/>
        </w:rPr>
        <w:t xml:space="preserve">Part 6 of Schedule 1 (Expert panels) to the Secure Jobs, Better Pay </w:t>
      </w:r>
      <w:r w:rsidRPr="007E3D92">
        <w:rPr>
          <w:rFonts w:cstheme="minorHAnsi"/>
        </w:rPr>
        <w:t>Act makes several</w:t>
      </w:r>
      <w:r w:rsidRPr="00167CB8">
        <w:rPr>
          <w:rFonts w:cstheme="minorHAnsi"/>
        </w:rPr>
        <w:t xml:space="preserve"> amendments to the Fair Work Act. The following sets out the main amendments.</w:t>
      </w:r>
    </w:p>
    <w:p w14:paraId="6EF8092E" w14:textId="5BCBF684" w:rsidR="0011475D" w:rsidRDefault="000A0EB4" w:rsidP="000A0EB4">
      <w:r w:rsidRPr="396ABCA7">
        <w:t xml:space="preserve">Section 627(4) of the Fair Work Act specifies the qualifications for the appointment of EPMs (the part-time members of the FWC). Prior to the Secure Jobs, Better Pay amendments, EPMs must have knowledge or experience in one or more of the following fields: workplace relations; economics; social policy; business, industry or commerce; finance; investment management; </w:t>
      </w:r>
      <w:r w:rsidR="005B1B9F">
        <w:t xml:space="preserve">and </w:t>
      </w:r>
      <w:r w:rsidRPr="396ABCA7">
        <w:t xml:space="preserve">superannuation. The Secure Jobs, Better Pay amendments extended this list to include gender pay equity; anti-discrimination; and the care and community sector (s 627(4)(h), (i) </w:t>
      </w:r>
      <w:r w:rsidRPr="396ABCA7" w:rsidDel="00BE034D">
        <w:t>and</w:t>
      </w:r>
      <w:r w:rsidR="00BE034D">
        <w:t> </w:t>
      </w:r>
      <w:r w:rsidRPr="396ABCA7">
        <w:t>(j)).</w:t>
      </w:r>
    </w:p>
    <w:p w14:paraId="718A6802" w14:textId="0921C10F" w:rsidR="0011475D" w:rsidRDefault="000A0EB4" w:rsidP="000A0EB4">
      <w:r w:rsidRPr="396ABCA7">
        <w:t>Section 620 of the Fair Work Act broadly provides for the ‘Constitution and decision-making of an Expert Panel’. Expert panels are required for certain functions of the FWC.</w:t>
      </w:r>
    </w:p>
    <w:p w14:paraId="502BF4F9" w14:textId="3F58B771" w:rsidR="0011475D" w:rsidRDefault="000A0EB4" w:rsidP="000A0EB4">
      <w:r w:rsidRPr="396ABCA7">
        <w:t xml:space="preserve">Section 617 of the Fair Work Act sets out the functions that must be performed by an expert panel. These include s 617(1), (2) and (3) – AWRs and the making and varying of national minimum wage orders or a determination; </w:t>
      </w:r>
      <w:r w:rsidR="005B1B9F">
        <w:t xml:space="preserve">and </w:t>
      </w:r>
      <w:r w:rsidRPr="396ABCA7">
        <w:t xml:space="preserve">s 617(4) and (5) </w:t>
      </w:r>
      <w:r w:rsidR="005B1B9F">
        <w:rPr>
          <w:rFonts w:ascii="Symbol" w:eastAsia="Symbol" w:hAnsi="Symbol" w:cs="Symbol"/>
        </w:rPr>
        <w:sym w:font="Symbol" w:char="F02D"/>
      </w:r>
      <w:r w:rsidR="005B1B9F">
        <w:t xml:space="preserve"> four</w:t>
      </w:r>
      <w:r w:rsidRPr="396ABCA7">
        <w:t xml:space="preserve">-yearly reviews of default superannuation fund terms of modern awards and for amending the Schedule of Approved Employer MySuper Products. The Secure Jobs, Better Pay amendments to the Fair Work Act added </w:t>
      </w:r>
      <w:r>
        <w:t xml:space="preserve">three </w:t>
      </w:r>
      <w:r w:rsidRPr="396ABCA7">
        <w:t>new expert panels to this list:</w:t>
      </w:r>
    </w:p>
    <w:p w14:paraId="79A5423F" w14:textId="55169C1E" w:rsidR="000A0EB4" w:rsidRPr="00167CB8" w:rsidRDefault="000A0EB4" w:rsidP="003F7EE6">
      <w:pPr>
        <w:pStyle w:val="ListBullet"/>
        <w:numPr>
          <w:ilvl w:val="0"/>
          <w:numId w:val="4"/>
        </w:numPr>
      </w:pPr>
      <w:r w:rsidRPr="00167CB8">
        <w:rPr>
          <w:i/>
          <w:iCs/>
        </w:rPr>
        <w:t>Expert Panel for Pay Equity</w:t>
      </w:r>
      <w:r w:rsidRPr="00167CB8">
        <w:t xml:space="preserve"> (s 617(6)</w:t>
      </w:r>
      <w:r w:rsidR="005B1B9F">
        <w:t>)</w:t>
      </w:r>
      <w:r w:rsidRPr="00167CB8">
        <w:t>: ‘If the President considers that substantive gender pay equity matters might require the making of a determination under s.157(2) … the determination must be made by an Expert Panel constituted for the purpose of deciding whether to make the determination.’</w:t>
      </w:r>
    </w:p>
    <w:p w14:paraId="53EB58F5" w14:textId="77777777" w:rsidR="000A0EB4" w:rsidRPr="00167CB8" w:rsidRDefault="000A0EB4" w:rsidP="003F7EE6">
      <w:pPr>
        <w:pStyle w:val="ListBullet"/>
        <w:numPr>
          <w:ilvl w:val="0"/>
          <w:numId w:val="4"/>
        </w:numPr>
      </w:pPr>
      <w:r w:rsidRPr="00167CB8">
        <w:rPr>
          <w:i/>
          <w:iCs/>
        </w:rPr>
        <w:t>Expert Panel for the Care and Community Sector</w:t>
      </w:r>
      <w:r w:rsidRPr="00167CB8">
        <w:t xml:space="preserve"> (s 617(8)): ‘A determination or modern award made under s.157(1) that the President considers might relate to the Care and </w:t>
      </w:r>
      <w:r w:rsidRPr="00167CB8">
        <w:lastRenderedPageBreak/>
        <w:t>Community Sector must be made by an Expert Panel constituted for the purpose of deciding whether to make the determination or modern award.’</w:t>
      </w:r>
    </w:p>
    <w:p w14:paraId="06C08267" w14:textId="77777777" w:rsidR="000A0EB4" w:rsidRPr="00167CB8" w:rsidRDefault="000A0EB4" w:rsidP="003F7EE6">
      <w:pPr>
        <w:pStyle w:val="ListBullet"/>
        <w:numPr>
          <w:ilvl w:val="0"/>
          <w:numId w:val="4"/>
        </w:numPr>
      </w:pPr>
      <w:r w:rsidRPr="00167CB8">
        <w:rPr>
          <w:i/>
          <w:iCs/>
        </w:rPr>
        <w:t xml:space="preserve">Expert Panel for Pay Equity in the Care and Community Sector </w:t>
      </w:r>
      <w:r w:rsidRPr="00167CB8">
        <w:t>(s 617(9)): ‘A determination made under s.57(2) that the President considers might relate to the Care and Community Sector must be made by an Expert Panel constituted for the purpose of deciding whether to make the determination.’</w:t>
      </w:r>
    </w:p>
    <w:p w14:paraId="60312B69" w14:textId="187ACB9A" w:rsidR="0011475D" w:rsidRDefault="000A0EB4" w:rsidP="000A0EB4">
      <w:pPr>
        <w:rPr>
          <w:rFonts w:cstheme="minorHAnsi"/>
        </w:rPr>
      </w:pPr>
      <w:r w:rsidRPr="00167CB8">
        <w:rPr>
          <w:rFonts w:cstheme="minorHAnsi"/>
        </w:rPr>
        <w:t xml:space="preserve">In relation to requirements for the composition of an expert panel for the AWR, the requirements for appointment are set out in the Fair Work Act at s 620(1) and require the inclusion of </w:t>
      </w:r>
      <w:r w:rsidR="005B1B9F">
        <w:rPr>
          <w:rFonts w:cstheme="minorHAnsi"/>
        </w:rPr>
        <w:t>three</w:t>
      </w:r>
      <w:r w:rsidRPr="00167CB8">
        <w:rPr>
          <w:rFonts w:cstheme="minorHAnsi"/>
        </w:rPr>
        <w:t xml:space="preserve"> EPMs:</w:t>
      </w:r>
    </w:p>
    <w:p w14:paraId="1B9952E2" w14:textId="77777777" w:rsidR="0011475D" w:rsidRDefault="000A0EB4" w:rsidP="00400EF1">
      <w:pPr>
        <w:pStyle w:val="Quote"/>
      </w:pPr>
      <w:r w:rsidRPr="00167CB8">
        <w:t>An Expert Panel constituted under this subsection for the purpose of an annual wage review … consists of 7 FWC Members … and must include:</w:t>
      </w:r>
    </w:p>
    <w:p w14:paraId="73A97E74" w14:textId="77777777" w:rsidR="0011475D" w:rsidRDefault="000A0EB4" w:rsidP="00606FCA">
      <w:pPr>
        <w:pStyle w:val="Quote"/>
        <w:ind w:left="2160"/>
      </w:pPr>
      <w:r w:rsidRPr="00167CB8">
        <w:t>(a)</w:t>
      </w:r>
      <w:r w:rsidRPr="00167CB8">
        <w:tab/>
        <w:t>the President; and</w:t>
      </w:r>
    </w:p>
    <w:p w14:paraId="6C8FE0B7" w14:textId="77777777" w:rsidR="0011475D" w:rsidRDefault="000A0EB4" w:rsidP="00606FCA">
      <w:pPr>
        <w:pStyle w:val="Quote"/>
        <w:ind w:left="2160"/>
      </w:pPr>
      <w:r w:rsidRPr="00167CB8">
        <w:t>(b)</w:t>
      </w:r>
      <w:r w:rsidRPr="00167CB8">
        <w:tab/>
        <w:t>3 Expert Panel Members who have knowledge of, or experience in, one or more of the following fields:</w:t>
      </w:r>
    </w:p>
    <w:p w14:paraId="0BC56377" w14:textId="77777777" w:rsidR="0011475D" w:rsidRDefault="000A0EB4" w:rsidP="00606FCA">
      <w:pPr>
        <w:pStyle w:val="Quote"/>
        <w:ind w:left="2880"/>
      </w:pPr>
      <w:r w:rsidRPr="00167CB8">
        <w:t>(i)</w:t>
      </w:r>
      <w:r w:rsidRPr="00167CB8">
        <w:tab/>
        <w:t>workplace relations;</w:t>
      </w:r>
    </w:p>
    <w:p w14:paraId="508FCACC" w14:textId="77777777" w:rsidR="0011475D" w:rsidRDefault="000A0EB4" w:rsidP="00606FCA">
      <w:pPr>
        <w:pStyle w:val="Quote"/>
        <w:ind w:left="2880"/>
      </w:pPr>
      <w:r w:rsidRPr="00167CB8">
        <w:t>(ii)</w:t>
      </w:r>
      <w:r w:rsidRPr="00167CB8">
        <w:tab/>
        <w:t>economics;</w:t>
      </w:r>
    </w:p>
    <w:p w14:paraId="1EB1F7BD" w14:textId="2E8572BF" w:rsidR="000A0EB4" w:rsidRPr="00167CB8" w:rsidRDefault="000A0EB4" w:rsidP="00606FCA">
      <w:pPr>
        <w:pStyle w:val="Quote"/>
        <w:numPr>
          <w:ilvl w:val="0"/>
          <w:numId w:val="27"/>
        </w:numPr>
        <w:ind w:left="3600"/>
      </w:pPr>
      <w:r w:rsidRPr="00167CB8">
        <w:t>social policy;</w:t>
      </w:r>
    </w:p>
    <w:p w14:paraId="2C79E1A8" w14:textId="77777777" w:rsidR="000A0EB4" w:rsidRPr="00167CB8" w:rsidRDefault="000A0EB4" w:rsidP="00606FCA">
      <w:pPr>
        <w:pStyle w:val="Quote"/>
        <w:numPr>
          <w:ilvl w:val="0"/>
          <w:numId w:val="27"/>
        </w:numPr>
        <w:ind w:left="3600"/>
      </w:pPr>
      <w:r w:rsidRPr="00167CB8">
        <w:t>business, industry or commerce.</w:t>
      </w:r>
    </w:p>
    <w:p w14:paraId="5AD2B542" w14:textId="72E70D86" w:rsidR="000A0EB4" w:rsidRPr="00167CB8" w:rsidRDefault="000A0EB4" w:rsidP="000A0EB4">
      <w:r w:rsidRPr="396ABCA7">
        <w:t xml:space="preserve">While the AWR Expert Panel must include </w:t>
      </w:r>
      <w:r w:rsidR="005B1B9F">
        <w:t>three</w:t>
      </w:r>
      <w:r w:rsidRPr="396ABCA7">
        <w:t xml:space="preserve"> EPMs, EPMs, as noted, need not necessarily be included as members of particular expert panels. For example, where an expert panel is required for substantive gender pay equity matters (other than those that relate to the care and community sector) (s 617 (6), (7) or (11)) the expert panel must include:</w:t>
      </w:r>
    </w:p>
    <w:p w14:paraId="0E2AEF0F" w14:textId="77777777" w:rsidR="0011475D" w:rsidRDefault="000A0EB4" w:rsidP="00400EF1">
      <w:pPr>
        <w:pStyle w:val="Quote"/>
      </w:pPr>
      <w:r w:rsidRPr="00167CB8">
        <w:t>(a)</w:t>
      </w:r>
      <w:r w:rsidRPr="00167CB8">
        <w:tab/>
        <w:t>the President, or a Vice President or Deputy President appointed by the President to be the Chair of the Panel; and</w:t>
      </w:r>
    </w:p>
    <w:p w14:paraId="4DA6E4C2" w14:textId="77777777" w:rsidR="0011475D" w:rsidRDefault="000A0EB4" w:rsidP="00400EF1">
      <w:pPr>
        <w:pStyle w:val="Quote"/>
      </w:pPr>
      <w:r w:rsidRPr="00167CB8">
        <w:t>(b)</w:t>
      </w:r>
      <w:r w:rsidRPr="00167CB8">
        <w:tab/>
        <w:t>at least 2 Expert Panel Members or other FWC Members who have knowledge of, or experience in, one or both of the following fields:</w:t>
      </w:r>
    </w:p>
    <w:p w14:paraId="7B34A68E" w14:textId="77777777" w:rsidR="0011475D" w:rsidRDefault="000A0EB4" w:rsidP="00DA1A15">
      <w:pPr>
        <w:pStyle w:val="Quote"/>
        <w:ind w:left="2160"/>
      </w:pPr>
      <w:r w:rsidRPr="00167CB8">
        <w:t>(i)</w:t>
      </w:r>
      <w:r w:rsidRPr="00167CB8">
        <w:tab/>
        <w:t>gender pay equity; and</w:t>
      </w:r>
    </w:p>
    <w:p w14:paraId="7F1EF9F4" w14:textId="77777777" w:rsidR="0011475D" w:rsidRDefault="000A0EB4" w:rsidP="00DA1A15">
      <w:pPr>
        <w:pStyle w:val="Quote"/>
        <w:ind w:left="2160"/>
      </w:pPr>
      <w:r w:rsidRPr="00167CB8">
        <w:t>(ii)</w:t>
      </w:r>
      <w:r w:rsidRPr="00167CB8">
        <w:tab/>
        <w:t>anti-discrimination …</w:t>
      </w:r>
    </w:p>
    <w:p w14:paraId="4DF1078E" w14:textId="77777777" w:rsidR="0011475D" w:rsidRDefault="000A0EB4" w:rsidP="000A0EB4">
      <w:pPr>
        <w:rPr>
          <w:rFonts w:cstheme="minorHAnsi"/>
        </w:rPr>
      </w:pPr>
      <w:r w:rsidRPr="00167CB8">
        <w:rPr>
          <w:rFonts w:cstheme="minorHAnsi"/>
        </w:rPr>
        <w:t>If the matter relates to the care and community sector and requires an expert panel (s 617(8) or s 617(11)) the expert panel constituted for this purpose must consist of (s 620(1C)):</w:t>
      </w:r>
    </w:p>
    <w:p w14:paraId="64AD44F3" w14:textId="77777777" w:rsidR="0011475D" w:rsidRDefault="000A0EB4" w:rsidP="00400EF1">
      <w:pPr>
        <w:pStyle w:val="Quote"/>
      </w:pPr>
      <w:r w:rsidRPr="00167CB8">
        <w:t>(a)</w:t>
      </w:r>
      <w:r w:rsidRPr="00167CB8">
        <w:tab/>
        <w:t>the President, or a Vice President or Deputy President appointed by the President to be the Chair of the Panel; and</w:t>
      </w:r>
    </w:p>
    <w:p w14:paraId="0183AF19" w14:textId="77777777" w:rsidR="0011475D" w:rsidRDefault="000A0EB4" w:rsidP="00400EF1">
      <w:pPr>
        <w:pStyle w:val="Quote"/>
      </w:pPr>
      <w:r w:rsidRPr="00167CB8">
        <w:t>(b)</w:t>
      </w:r>
      <w:r w:rsidRPr="00167CB8">
        <w:tab/>
        <w:t>at least 2 Expert Panel Members or other FWC Members who have knowledge of, or experience in, the Care and Community Sector …</w:t>
      </w:r>
    </w:p>
    <w:p w14:paraId="6CA0112B" w14:textId="30AD90CF" w:rsidR="000A0EB4" w:rsidRPr="00167CB8" w:rsidRDefault="000A0EB4" w:rsidP="000A0EB4">
      <w:r w:rsidRPr="396ABCA7">
        <w:lastRenderedPageBreak/>
        <w:t xml:space="preserve">An Expert Panel for </w:t>
      </w:r>
      <w:r w:rsidR="007E3D92">
        <w:t>P</w:t>
      </w:r>
      <w:r w:rsidRPr="396ABCA7">
        <w:t xml:space="preserve">ay </w:t>
      </w:r>
      <w:r w:rsidR="007E3D92">
        <w:t>E</w:t>
      </w:r>
      <w:r w:rsidRPr="396ABCA7">
        <w:t>quity in the Care and Community Sector must include at least one EPM or FWC member with relevant knowledge or experience in gender pay equity or anti-discrimination and one with knowledge or experience in the care and community sector.</w:t>
      </w:r>
      <w:r w:rsidRPr="396ABCA7">
        <w:rPr>
          <w:rStyle w:val="FootnoteReference"/>
        </w:rPr>
        <w:footnoteReference w:id="1028"/>
      </w:r>
    </w:p>
    <w:p w14:paraId="53BF7FBA" w14:textId="77777777" w:rsidR="000A0EB4" w:rsidRPr="00167CB8" w:rsidRDefault="000A0EB4" w:rsidP="000A0EB4">
      <w:r w:rsidRPr="396ABCA7">
        <w:t>In addition to the above, under a new s 617A(1):</w:t>
      </w:r>
    </w:p>
    <w:p w14:paraId="7493EBFE" w14:textId="77777777" w:rsidR="000A0EB4" w:rsidRPr="00167CB8" w:rsidRDefault="000A0EB4" w:rsidP="00400EF1">
      <w:pPr>
        <w:pStyle w:val="Quote"/>
      </w:pPr>
      <w:r w:rsidRPr="00167CB8">
        <w:t>The president may give a direction under section 582 requiring that a matter that is relevant to the function of an Expert Panel … be investigated and that a report about the matter be prepared.</w:t>
      </w:r>
    </w:p>
    <w:p w14:paraId="599F3C22" w14:textId="77777777" w:rsidR="0011475D" w:rsidRDefault="000A0EB4" w:rsidP="000A0EB4">
      <w:r w:rsidRPr="396ABCA7">
        <w:t>The Note in s 617A(1) states that ‘[m]atters that may be relevant include gender pay equity, equal remuneration, and the Care and Community Sector, in Australia’.</w:t>
      </w:r>
    </w:p>
    <w:p w14:paraId="203329BA" w14:textId="33E0FEE4" w:rsidR="000A0EB4" w:rsidRPr="00167CB8" w:rsidRDefault="000A0EB4" w:rsidP="000A0EB4">
      <w:r w:rsidRPr="396ABCA7">
        <w:t>Under a new s 617A(2):</w:t>
      </w:r>
    </w:p>
    <w:p w14:paraId="65D47B91" w14:textId="77777777" w:rsidR="000A0EB4" w:rsidRPr="00167CB8" w:rsidRDefault="000A0EB4" w:rsidP="00400EF1">
      <w:pPr>
        <w:pStyle w:val="Quote"/>
      </w:pPr>
      <w:r w:rsidRPr="00167CB8">
        <w:t>The direction may be given to: (a) an Expert Panel; or (b) an Expert Panel Member; or (c) a Commissioners; or (d) a Full Bench that includes one or more Expert Panel Members.</w:t>
      </w:r>
    </w:p>
    <w:p w14:paraId="4AF86975" w14:textId="77777777" w:rsidR="0011475D" w:rsidRDefault="000A0EB4" w:rsidP="000A0EB4">
      <w:r w:rsidRPr="396ABCA7">
        <w:t>Section 617B(1) of the Fair Work Act requires that any reports prepared following a presidential direction at s 617A of the Fair Work Act must be published by the FWC: ‘the FWC must publish the report so that submissions can be made addressing issues covered by the report’.</w:t>
      </w:r>
    </w:p>
    <w:p w14:paraId="32291B28" w14:textId="4CD2B862" w:rsidR="000A0EB4" w:rsidRPr="00167CB8" w:rsidRDefault="000A0EB4" w:rsidP="000A0EB4">
      <w:pPr>
        <w:rPr>
          <w:rFonts w:cstheme="minorHAnsi"/>
        </w:rPr>
      </w:pPr>
      <w:r w:rsidRPr="00167CB8">
        <w:rPr>
          <w:rFonts w:cstheme="minorHAnsi"/>
        </w:rPr>
        <w:t>The main amendments concerning expert panels came into effect on 6 March 2023.</w:t>
      </w:r>
    </w:p>
    <w:p w14:paraId="1286BDE7" w14:textId="37B1C564" w:rsidR="0011475D" w:rsidRPr="00BE034D" w:rsidRDefault="000A0EB4" w:rsidP="00BE034D">
      <w:pPr>
        <w:pStyle w:val="Heading5"/>
      </w:pPr>
      <w:bookmarkStart w:id="452" w:name="_Toc188003382"/>
      <w:r w:rsidRPr="00B54282">
        <w:t xml:space="preserve">26.1.2 Intent of Secure Jobs, Better Pay </w:t>
      </w:r>
      <w:bookmarkEnd w:id="452"/>
      <w:r w:rsidR="005B1B9F" w:rsidRPr="00B54282">
        <w:t>a</w:t>
      </w:r>
      <w:r w:rsidRPr="00B54282">
        <w:t>mendments</w:t>
      </w:r>
    </w:p>
    <w:p w14:paraId="1E1EAED7" w14:textId="36F28FE3" w:rsidR="000A0EB4" w:rsidRPr="00167CB8" w:rsidRDefault="000A0EB4" w:rsidP="000A0EB4">
      <w:r w:rsidRPr="396ABCA7">
        <w:t>The intent of these amendments was to ensure that FWC decisions about pay equity and the care and community sector are guided by specialised knowledge and expertise.</w:t>
      </w:r>
      <w:r w:rsidRPr="396ABCA7">
        <w:rPr>
          <w:rStyle w:val="FootnoteReference"/>
        </w:rPr>
        <w:footnoteReference w:id="1029"/>
      </w:r>
    </w:p>
    <w:p w14:paraId="082A5770" w14:textId="77777777" w:rsidR="0011475D" w:rsidRDefault="000A0EB4" w:rsidP="000A0EB4">
      <w:r w:rsidRPr="396ABCA7">
        <w:t>The establishment of these expert panels was a 2022 election commitment of the current government, included in its Fair Pay and Conditions for Working Women policy, which referred to aged care, early childhood education and care, and disability care when describing the care sector.</w:t>
      </w:r>
      <w:r w:rsidRPr="396ABCA7">
        <w:rPr>
          <w:rStyle w:val="FootnoteReference"/>
        </w:rPr>
        <w:footnoteReference w:id="1030"/>
      </w:r>
    </w:p>
    <w:p w14:paraId="462D886B" w14:textId="562FF081" w:rsidR="000A0EB4" w:rsidRPr="00B54282" w:rsidRDefault="000A0EB4" w:rsidP="00BE034D">
      <w:pPr>
        <w:pStyle w:val="Heading4"/>
      </w:pPr>
      <w:bookmarkStart w:id="453" w:name="_Toc188003383"/>
      <w:bookmarkStart w:id="454" w:name="_Toc188277942"/>
      <w:bookmarkStart w:id="455" w:name="_Toc189260294"/>
      <w:bookmarkStart w:id="456" w:name="_Toc189393610"/>
      <w:r w:rsidRPr="00B54282">
        <w:t>26.2 Impact and issues</w:t>
      </w:r>
      <w:bookmarkEnd w:id="453"/>
      <w:bookmarkEnd w:id="454"/>
      <w:bookmarkEnd w:id="455"/>
      <w:bookmarkEnd w:id="456"/>
    </w:p>
    <w:p w14:paraId="5BD74D8E" w14:textId="77777777" w:rsidR="000A0EB4" w:rsidRPr="00167CB8" w:rsidRDefault="000A0EB4" w:rsidP="000A0EB4">
      <w:pPr>
        <w:rPr>
          <w:rFonts w:cstheme="minorHAnsi"/>
        </w:rPr>
      </w:pPr>
      <w:r w:rsidRPr="00167CB8">
        <w:t xml:space="preserve">Part 6 of Schedule 1 to the </w:t>
      </w:r>
      <w:r w:rsidRPr="00167CB8">
        <w:rPr>
          <w:rFonts w:cstheme="minorHAnsi"/>
        </w:rPr>
        <w:t>Secure Jobs, Better Pay</w:t>
      </w:r>
      <w:r w:rsidRPr="00167CB8">
        <w:t xml:space="preserve"> Act is designed to ensure that, where relevant, expert panels have knowledge or experience of a variety of fields, including </w:t>
      </w:r>
      <w:r w:rsidRPr="00167CB8">
        <w:rPr>
          <w:rFonts w:cstheme="minorHAnsi"/>
        </w:rPr>
        <w:t>pay equity, anti-discrimination and/or the care and community sector.</w:t>
      </w:r>
    </w:p>
    <w:p w14:paraId="6DC734DF" w14:textId="77777777" w:rsidR="000A0EB4" w:rsidRPr="00167CB8" w:rsidRDefault="000A0EB4" w:rsidP="000A0EB4">
      <w:r w:rsidRPr="00167CB8">
        <w:t>The following describes the data and information considered by the Review Panel when evaluating the amendments.</w:t>
      </w:r>
    </w:p>
    <w:p w14:paraId="0E444B9F" w14:textId="77777777" w:rsidR="000A0EB4" w:rsidRPr="00B54282" w:rsidRDefault="000A0EB4" w:rsidP="00BE034D">
      <w:pPr>
        <w:pStyle w:val="Heading5"/>
      </w:pPr>
      <w:bookmarkStart w:id="457" w:name="_Toc188003384"/>
      <w:r w:rsidRPr="00B54282">
        <w:t>26.2.1 Quantitative evidence</w:t>
      </w:r>
      <w:bookmarkEnd w:id="457"/>
    </w:p>
    <w:p w14:paraId="6D15C8EF" w14:textId="28DCCCBA" w:rsidR="000A0EB4" w:rsidRPr="00167CB8" w:rsidRDefault="000A0EB4" w:rsidP="000A0EB4">
      <w:pPr>
        <w:rPr>
          <w:rFonts w:cstheme="minorHAnsi"/>
        </w:rPr>
      </w:pPr>
      <w:r w:rsidRPr="00167CB8">
        <w:rPr>
          <w:rFonts w:cstheme="minorHAnsi"/>
        </w:rPr>
        <w:t xml:space="preserve">EPMs are appointed for a period of up to </w:t>
      </w:r>
      <w:r w:rsidR="005B1B9F">
        <w:rPr>
          <w:rFonts w:cstheme="minorHAnsi"/>
        </w:rPr>
        <w:t>five</w:t>
      </w:r>
      <w:r w:rsidRPr="00167CB8">
        <w:rPr>
          <w:rFonts w:cstheme="minorHAnsi"/>
        </w:rPr>
        <w:t xml:space="preserve"> years. There are </w:t>
      </w:r>
      <w:r w:rsidR="005B1B9F">
        <w:rPr>
          <w:rFonts w:cstheme="minorHAnsi"/>
        </w:rPr>
        <w:t>six</w:t>
      </w:r>
      <w:r w:rsidRPr="00167CB8">
        <w:rPr>
          <w:rFonts w:cstheme="minorHAnsi"/>
        </w:rPr>
        <w:t xml:space="preserve"> EPMs, </w:t>
      </w:r>
      <w:r w:rsidR="005B1B9F">
        <w:rPr>
          <w:rFonts w:cstheme="minorHAnsi"/>
        </w:rPr>
        <w:t>three</w:t>
      </w:r>
      <w:r w:rsidRPr="00167CB8">
        <w:rPr>
          <w:rFonts w:cstheme="minorHAnsi"/>
        </w:rPr>
        <w:t xml:space="preserve"> of whom were appointed following the passage of the Secure Jobs, Better Pay Act. The </w:t>
      </w:r>
      <w:r w:rsidR="005B1B9F">
        <w:rPr>
          <w:rFonts w:cstheme="minorHAnsi"/>
        </w:rPr>
        <w:t>three</w:t>
      </w:r>
      <w:r w:rsidRPr="00167CB8">
        <w:rPr>
          <w:rFonts w:cstheme="minorHAnsi"/>
        </w:rPr>
        <w:t xml:space="preserve"> new members are:</w:t>
      </w:r>
    </w:p>
    <w:p w14:paraId="77CA5F2C" w14:textId="77777777" w:rsidR="000A0EB4" w:rsidRPr="00167CB8" w:rsidRDefault="000A0EB4" w:rsidP="003F7EE6">
      <w:pPr>
        <w:pStyle w:val="ListBullet"/>
        <w:numPr>
          <w:ilvl w:val="0"/>
          <w:numId w:val="4"/>
        </w:numPr>
      </w:pPr>
      <w:r w:rsidRPr="00167CB8">
        <w:lastRenderedPageBreak/>
        <w:t>Professor Marian Baird</w:t>
      </w:r>
    </w:p>
    <w:p w14:paraId="29B21FFC" w14:textId="77777777" w:rsidR="000A0EB4" w:rsidRPr="00167CB8" w:rsidRDefault="000A0EB4" w:rsidP="003F7EE6">
      <w:pPr>
        <w:pStyle w:val="ListBullet"/>
        <w:numPr>
          <w:ilvl w:val="0"/>
          <w:numId w:val="4"/>
        </w:numPr>
      </w:pPr>
      <w:r w:rsidRPr="00167CB8">
        <w:t>Mr Mark Cully</w:t>
      </w:r>
    </w:p>
    <w:p w14:paraId="3181C9E9" w14:textId="77777777" w:rsidR="000A0EB4" w:rsidRPr="00167CB8" w:rsidRDefault="000A0EB4" w:rsidP="003F7EE6">
      <w:pPr>
        <w:pStyle w:val="ListBullet"/>
        <w:numPr>
          <w:ilvl w:val="0"/>
          <w:numId w:val="4"/>
        </w:numPr>
      </w:pPr>
      <w:r w:rsidRPr="00167CB8">
        <w:t>Dr Leonora Risse.</w:t>
      </w:r>
    </w:p>
    <w:p w14:paraId="28B1D0A7" w14:textId="79196C12" w:rsidR="0011475D" w:rsidRDefault="000A0EB4" w:rsidP="000A0EB4">
      <w:pPr>
        <w:rPr>
          <w:rFonts w:cstheme="minorHAnsi"/>
        </w:rPr>
      </w:pPr>
      <w:r w:rsidRPr="00167CB8">
        <w:rPr>
          <w:rFonts w:cstheme="minorHAnsi"/>
        </w:rPr>
        <w:t>Professor Baird and Dr Risse ‘bring extensive experience in pay equity and will bolster the Commission’s capacity to properly consider the gender pay gap when making decisions</w:t>
      </w:r>
      <w:r w:rsidR="005B1B9F">
        <w:rPr>
          <w:rFonts w:cstheme="minorHAnsi"/>
        </w:rPr>
        <w:t>’</w:t>
      </w:r>
      <w:r>
        <w:rPr>
          <w:rFonts w:cstheme="minorHAnsi"/>
        </w:rPr>
        <w:t xml:space="preserve">. </w:t>
      </w:r>
      <w:r w:rsidRPr="00167CB8">
        <w:rPr>
          <w:rFonts w:cstheme="minorHAnsi"/>
        </w:rPr>
        <w:t>Mr Cully brings ‘a wealth of experience in economics and workplace relations</w:t>
      </w:r>
      <w:r w:rsidR="005B1B9F">
        <w:rPr>
          <w:rFonts w:cstheme="minorHAnsi"/>
        </w:rPr>
        <w:t>’</w:t>
      </w:r>
      <w:r>
        <w:rPr>
          <w:rFonts w:cstheme="minorHAnsi"/>
        </w:rPr>
        <w:t>.</w:t>
      </w:r>
      <w:r w:rsidRPr="00167CB8">
        <w:rPr>
          <w:rFonts w:cstheme="minorHAnsi"/>
          <w:vertAlign w:val="superscript"/>
        </w:rPr>
        <w:footnoteReference w:id="1031"/>
      </w:r>
    </w:p>
    <w:p w14:paraId="35CFBA68" w14:textId="4DBC9879" w:rsidR="000A0EB4" w:rsidRPr="00167CB8" w:rsidRDefault="000A0EB4" w:rsidP="000A0EB4">
      <w:r w:rsidRPr="396ABCA7">
        <w:t xml:space="preserve">Given that the expert panel amendments were intended to ensure FWC decisions on pay equity in the care and community sector are informed by specialised knowledge and expertise, it may be inferred that a reduction in the gender wage gap (GWG) serves as a key indicator of the measure’s success. To this end, the Review Panel notes the significant wage increases awarded since the Secure Jobs, Better Pay amendments concerning expert panels and the associated convergence </w:t>
      </w:r>
      <w:r w:rsidRPr="007E3D92">
        <w:t xml:space="preserve">in </w:t>
      </w:r>
      <w:r w:rsidRPr="00FD51E9">
        <w:t>the GWG (see Chapter 22)</w:t>
      </w:r>
      <w:r w:rsidRPr="007E3D92">
        <w:t>.</w:t>
      </w:r>
    </w:p>
    <w:p w14:paraId="7D2EF8B3" w14:textId="77777777" w:rsidR="000A0EB4" w:rsidRPr="00707386" w:rsidRDefault="000A0EB4" w:rsidP="00BE034D">
      <w:pPr>
        <w:pStyle w:val="Heading5"/>
      </w:pPr>
      <w:bookmarkStart w:id="458" w:name="_Toc188003385"/>
      <w:r w:rsidRPr="00707386">
        <w:t>26.2.2 Qualitative evidence</w:t>
      </w:r>
      <w:bookmarkEnd w:id="458"/>
    </w:p>
    <w:p w14:paraId="586CCCCC" w14:textId="228F9FCB" w:rsidR="0011475D" w:rsidRDefault="000A0EB4" w:rsidP="000A0EB4">
      <w:r w:rsidRPr="396ABCA7">
        <w:t>In response to the Secure Jobs, Better Pay amendments, the FWC issued statements about how the FWC would implement the expert panel provisions</w:t>
      </w:r>
      <w:r w:rsidR="005B1B9F">
        <w:t>;</w:t>
      </w:r>
      <w:r w:rsidRPr="396ABCA7">
        <w:t xml:space="preserve"> and the impact and relevance of expert panels to matters before the FWC.</w:t>
      </w:r>
      <w:r w:rsidRPr="396ABCA7">
        <w:rPr>
          <w:rStyle w:val="FootnoteReference"/>
        </w:rPr>
        <w:footnoteReference w:id="1032"/>
      </w:r>
    </w:p>
    <w:p w14:paraId="61D4FCCC" w14:textId="3C851469" w:rsidR="000A0EB4" w:rsidRPr="00167CB8" w:rsidRDefault="000A0EB4" w:rsidP="000A0EB4">
      <w:r w:rsidRPr="396ABCA7">
        <w:t>Alongside describing the Secure Jobs, Better Pay amendments and the roles of the new expert panels, the FWC noted that the Revised Explanatory Memorandum included a non-exhaustive list defining the care and community sector to include aged care, early childhood education and care and disability care sectors.</w:t>
      </w:r>
      <w:r w:rsidRPr="396ABCA7">
        <w:rPr>
          <w:rStyle w:val="FootnoteReference"/>
        </w:rPr>
        <w:footnoteReference w:id="1033"/>
      </w:r>
    </w:p>
    <w:p w14:paraId="42F31372" w14:textId="57CF7003" w:rsidR="000A0EB4" w:rsidRPr="00167CB8" w:rsidRDefault="000A0EB4" w:rsidP="000A0EB4">
      <w:r w:rsidRPr="00167CB8">
        <w:t xml:space="preserve">At the time of commencement, the FWC identified </w:t>
      </w:r>
      <w:r>
        <w:t>three</w:t>
      </w:r>
      <w:r w:rsidRPr="00167CB8">
        <w:t xml:space="preserve"> ongoing matters to be dealt with by an expert panel for the care and community sector as well as the need for an expert panel for pay equity in the care and community sector to deal </w:t>
      </w:r>
      <w:r w:rsidRPr="007E3D92">
        <w:t>with the Aged Care Work Value case.</w:t>
      </w:r>
      <w:r w:rsidRPr="007E3D92">
        <w:rPr>
          <w:rStyle w:val="FootnoteReference"/>
        </w:rPr>
        <w:footnoteReference w:id="1034"/>
      </w:r>
      <w:r w:rsidRPr="00167CB8">
        <w:t xml:space="preserve"> The FWC also noted that an ongoing matter to review superannuation clauses in all modern awards did not need to be made by an expert panel for the care and community sector, as the </w:t>
      </w:r>
      <w:r w:rsidRPr="00167CB8">
        <w:lastRenderedPageBreak/>
        <w:t xml:space="preserve">determinations were more likely to be made under s 160 of the Fair Work Act than </w:t>
      </w:r>
      <w:r w:rsidR="005B1B9F">
        <w:t xml:space="preserve">under </w:t>
      </w:r>
      <w:r w:rsidRPr="00167CB8">
        <w:t>s 157(1) of the Fair Work Act.</w:t>
      </w:r>
      <w:r w:rsidRPr="00167CB8">
        <w:rPr>
          <w:rStyle w:val="FootnoteReference"/>
        </w:rPr>
        <w:footnoteReference w:id="1035"/>
      </w:r>
    </w:p>
    <w:p w14:paraId="023DE77E" w14:textId="77777777" w:rsidR="000A0EB4" w:rsidRPr="00283226" w:rsidRDefault="000A0EB4" w:rsidP="00BE034D">
      <w:pPr>
        <w:pStyle w:val="Heading5"/>
      </w:pPr>
      <w:bookmarkStart w:id="459" w:name="_Toc188003386"/>
      <w:r w:rsidRPr="00283226">
        <w:t>26.2.3 Stakeholder views</w:t>
      </w:r>
      <w:bookmarkEnd w:id="459"/>
    </w:p>
    <w:p w14:paraId="0D7FEAAE" w14:textId="77777777" w:rsidR="0011475D" w:rsidRDefault="000A0EB4" w:rsidP="000A0EB4">
      <w:r w:rsidRPr="396ABCA7">
        <w:t>The Secure Jobs, Better Pay amendments regarding expert panels and EPMs have largely been welcomed by stakeholders. One submission also suggested that expert panels be established to address matters related to First Nations peoples and other equity issues such as race.</w:t>
      </w:r>
      <w:r w:rsidRPr="396ABCA7">
        <w:rPr>
          <w:rStyle w:val="FootnoteReference"/>
        </w:rPr>
        <w:footnoteReference w:id="1036"/>
      </w:r>
      <w:r w:rsidRPr="396ABCA7">
        <w:t xml:space="preserve"> In roundtable discussions it was also suggested that additional EPMs be appointed to assist with the work of the FWC, noting that only </w:t>
      </w:r>
      <w:r>
        <w:t>three</w:t>
      </w:r>
      <w:r w:rsidRPr="396ABCA7">
        <w:t xml:space="preserve"> appointments have been made since the Secure Jobs, Better Pay Act came into effect.</w:t>
      </w:r>
    </w:p>
    <w:p w14:paraId="7251E5C3" w14:textId="54F671FD" w:rsidR="000A0EB4" w:rsidRPr="00167CB8" w:rsidRDefault="000A0EB4" w:rsidP="000A0EB4">
      <w:r w:rsidRPr="396ABCA7">
        <w:t>Unions have recommended that gender pay equity be added as a specified area of knowledge and experience for expert panels constituted to hear and determine the AWR. While the Fair Work Act does not explicitly require expertise in gender pay equity, unions note that, in recent years, the expert panel’s membership has included such expertise and this has been instrumental in shaping its decisions.</w:t>
      </w:r>
      <w:r w:rsidRPr="396ABCA7">
        <w:rPr>
          <w:rStyle w:val="FootnoteReference"/>
        </w:rPr>
        <w:footnoteReference w:id="1037"/>
      </w:r>
    </w:p>
    <w:p w14:paraId="56B851CB" w14:textId="77777777" w:rsidR="0011475D" w:rsidRDefault="000A0EB4" w:rsidP="000A0EB4">
      <w:r w:rsidRPr="396ABCA7">
        <w:t>The Review Panel was informed that an unintended consequence of the Secure Jobs, Better Pay amendments is the requirement for the President to convene an expert panel for any (major or minor) determination or modern award decision involving the care and community sector (s 617(8) and (9)).</w:t>
      </w:r>
    </w:p>
    <w:p w14:paraId="4E985801" w14:textId="7F5ABAAC" w:rsidR="000A0EB4" w:rsidRPr="00167CB8" w:rsidRDefault="000A0EB4" w:rsidP="000A0EB4">
      <w:r w:rsidRPr="396ABCA7">
        <w:t>There are 121 modern awards and, periodically, the FWC makes minor variations across all the awards. Under the Secure Jobs, Better Pay amendments, however, a Care and Community Expert Panel must be constituted for any matter concerning this sector. The Review Panel heard that this requirement could limit the panel’s capacity to focus on more substantive issues. It was therefore proposed that the involvement of the Care and Community Expert Panel be reserved for cases where its input is essential and that the FWC President be granted greater discretion as to when this particular expert panel would be required.</w:t>
      </w:r>
    </w:p>
    <w:p w14:paraId="457503F7" w14:textId="77777777" w:rsidR="000A0EB4" w:rsidRPr="00E3445D" w:rsidRDefault="000A0EB4" w:rsidP="000A0EB4">
      <w:pPr>
        <w:rPr>
          <w:rFonts w:eastAsia="Times New Roman" w:cs="Calibri"/>
          <w:lang w:eastAsia="en-AU"/>
        </w:rPr>
      </w:pPr>
      <w:r w:rsidRPr="00E3445D">
        <w:rPr>
          <w:rFonts w:eastAsia="Times New Roman" w:cs="Calibri"/>
          <w:lang w:eastAsia="en-AU"/>
        </w:rPr>
        <w:t>The Review Panel consulted stakeholders about its proposed findings and recommendations regarding Expert Panels.</w:t>
      </w:r>
    </w:p>
    <w:p w14:paraId="5ED5F2FA" w14:textId="01B1F9C3" w:rsidR="0011475D" w:rsidRDefault="000A0EB4" w:rsidP="000A0EB4">
      <w:r w:rsidRPr="00E3445D">
        <w:t xml:space="preserve">Several, including the </w:t>
      </w:r>
      <w:r w:rsidR="007E3D92">
        <w:t>Australian Council of Trade Unions</w:t>
      </w:r>
      <w:r w:rsidRPr="00E3445D">
        <w:t xml:space="preserve">, </w:t>
      </w:r>
      <w:r w:rsidR="00D8692B">
        <w:t xml:space="preserve">the </w:t>
      </w:r>
      <w:r w:rsidR="007E3D92" w:rsidRPr="00167CB8">
        <w:rPr>
          <w:rFonts w:eastAsiaTheme="majorEastAsia"/>
        </w:rPr>
        <w:t>United Workers Union</w:t>
      </w:r>
      <w:r w:rsidRPr="00167CB8" w:rsidDel="007E3D92">
        <w:rPr>
          <w:rFonts w:eastAsiaTheme="majorEastAsia"/>
        </w:rPr>
        <w:t xml:space="preserve"> </w:t>
      </w:r>
      <w:r w:rsidRPr="00E3445D">
        <w:t xml:space="preserve">and </w:t>
      </w:r>
      <w:r w:rsidR="004657F2">
        <w:t xml:space="preserve">the </w:t>
      </w:r>
      <w:r w:rsidR="007E3D92" w:rsidRPr="007E3D92">
        <w:t>Australian Nursing and Midwifery Federation</w:t>
      </w:r>
      <w:r w:rsidRPr="00E3445D">
        <w:t xml:space="preserve">, expressed strong support for a recommendation to include gender pay equity as an additional area of expertise when appointing </w:t>
      </w:r>
      <w:r w:rsidR="005B1B9F">
        <w:t xml:space="preserve">EPMs </w:t>
      </w:r>
      <w:r w:rsidRPr="00E3445D">
        <w:t>to the Annual Wage Review Expert Panel.</w:t>
      </w:r>
      <w:r w:rsidRPr="00E3445D">
        <w:rPr>
          <w:rStyle w:val="FootnoteReference"/>
        </w:rPr>
        <w:footnoteReference w:id="1038"/>
      </w:r>
      <w:r w:rsidRPr="00E3445D">
        <w:t xml:space="preserve"> </w:t>
      </w:r>
      <w:r w:rsidR="007E3D92">
        <w:t xml:space="preserve">The Australian Chamber of Commerce and Industry </w:t>
      </w:r>
      <w:r w:rsidR="007E3D92" w:rsidRPr="007E3D92">
        <w:lastRenderedPageBreak/>
        <w:t>(</w:t>
      </w:r>
      <w:r w:rsidRPr="007E3D92">
        <w:t>ACCI</w:t>
      </w:r>
      <w:r w:rsidR="007E3D92" w:rsidRPr="007E3D92">
        <w:t>)</w:t>
      </w:r>
      <w:r w:rsidRPr="00E3445D">
        <w:t xml:space="preserve"> and </w:t>
      </w:r>
      <w:r w:rsidR="007E3D92">
        <w:t xml:space="preserve">Master Grocers Australia </w:t>
      </w:r>
      <w:r w:rsidRPr="00E3445D">
        <w:t>questioned whether such a recommendation was necessary.</w:t>
      </w:r>
      <w:r w:rsidRPr="00E3445D">
        <w:rPr>
          <w:rStyle w:val="FootnoteReference"/>
        </w:rPr>
        <w:footnoteReference w:id="1039"/>
      </w:r>
    </w:p>
    <w:p w14:paraId="0DE4C28A" w14:textId="6097EB10" w:rsidR="000A0EB4" w:rsidRPr="00167CB8" w:rsidRDefault="000A0EB4" w:rsidP="000A0EB4">
      <w:r w:rsidRPr="00E3445D">
        <w:t xml:space="preserve">The Review Panel was also able to respond to the concerns of some about a recommendation to give the FWC President greater discretion in determining when a Care and Community Sector Expert Panel is required, noting the valuable impacts of this </w:t>
      </w:r>
      <w:r w:rsidR="007E3D92">
        <w:t>e</w:t>
      </w:r>
      <w:r w:rsidRPr="00E3445D">
        <w:t xml:space="preserve">xpert </w:t>
      </w:r>
      <w:r w:rsidR="007E3D92">
        <w:t>p</w:t>
      </w:r>
      <w:r w:rsidRPr="00E3445D">
        <w:t>anel.</w:t>
      </w:r>
      <w:r w:rsidRPr="00E3445D">
        <w:rPr>
          <w:rStyle w:val="FootnoteReference"/>
        </w:rPr>
        <w:footnoteReference w:id="1040"/>
      </w:r>
      <w:r w:rsidRPr="00E3445D">
        <w:t xml:space="preserve"> The Review Panel made clear that any such discretion would only be exercised for matters that are not specific to the care and community sector at all (e.g. minor processes to update all awards to reflect legislative amendments). ACCI supported such a recommendation.</w:t>
      </w:r>
      <w:r w:rsidRPr="00E3445D">
        <w:rPr>
          <w:rStyle w:val="FootnoteReference"/>
        </w:rPr>
        <w:footnoteReference w:id="1041"/>
      </w:r>
    </w:p>
    <w:p w14:paraId="1C07E474" w14:textId="77777777" w:rsidR="000A0EB4" w:rsidRPr="00C177D1" w:rsidRDefault="000A0EB4" w:rsidP="00BE034D">
      <w:pPr>
        <w:pStyle w:val="Heading4"/>
      </w:pPr>
      <w:bookmarkStart w:id="460" w:name="_Toc188003387"/>
      <w:bookmarkStart w:id="461" w:name="_Toc188277943"/>
      <w:bookmarkStart w:id="462" w:name="_Toc189260295"/>
      <w:bookmarkStart w:id="463" w:name="_Toc189393611"/>
      <w:r w:rsidRPr="00C177D1">
        <w:t>26.3 Findings and recommendations</w:t>
      </w:r>
      <w:bookmarkEnd w:id="460"/>
      <w:bookmarkEnd w:id="461"/>
      <w:bookmarkEnd w:id="462"/>
      <w:bookmarkEnd w:id="463"/>
    </w:p>
    <w:p w14:paraId="28083063" w14:textId="77777777" w:rsidR="0011475D" w:rsidRDefault="000A0EB4" w:rsidP="000A0EB4">
      <w:pPr>
        <w:rPr>
          <w:rFonts w:cs="Calibri"/>
        </w:rPr>
      </w:pPr>
      <w:r w:rsidRPr="396ABCA7">
        <w:rPr>
          <w:rFonts w:cs="Calibri"/>
        </w:rPr>
        <w:t xml:space="preserve">Overall, the Review Panel finds that the </w:t>
      </w:r>
      <w:r w:rsidRPr="396ABCA7">
        <w:t>Secure Jobs, Better Pay</w:t>
      </w:r>
      <w:r w:rsidRPr="396ABCA7">
        <w:rPr>
          <w:rFonts w:cs="Calibri"/>
        </w:rPr>
        <w:t xml:space="preserve"> ‘expert panel’ amendments are generally working as intended.</w:t>
      </w:r>
    </w:p>
    <w:p w14:paraId="5EFAF574" w14:textId="51977949" w:rsidR="000A0EB4" w:rsidRPr="00167CB8" w:rsidRDefault="000A0EB4" w:rsidP="000A0EB4">
      <w:pPr>
        <w:rPr>
          <w:rFonts w:cs="Calibri"/>
        </w:rPr>
      </w:pPr>
      <w:r w:rsidRPr="396ABCA7">
        <w:rPr>
          <w:rFonts w:cs="Calibri"/>
        </w:rPr>
        <w:t xml:space="preserve">In terms of recommendations, the Review Panel notes the significant value brought by having gender pay equity experts involved in </w:t>
      </w:r>
      <w:r w:rsidRPr="396ABCA7">
        <w:t xml:space="preserve">AWR </w:t>
      </w:r>
      <w:r w:rsidRPr="396ABCA7">
        <w:rPr>
          <w:rFonts w:cs="Calibri"/>
        </w:rPr>
        <w:t xml:space="preserve">decisions. As above, the Fair Work Act currently requires the </w:t>
      </w:r>
      <w:r w:rsidR="005B1B9F">
        <w:rPr>
          <w:rFonts w:cs="Calibri"/>
        </w:rPr>
        <w:t>three</w:t>
      </w:r>
      <w:r w:rsidRPr="396ABCA7">
        <w:rPr>
          <w:rFonts w:cs="Calibri"/>
        </w:rPr>
        <w:t xml:space="preserve"> EPMs on the AWR panel to have knowledge or experience about workplace relations, economics, social policy and/or business, industry or commerce. Including gender pay equity to this list would be an appropriate step to ensure the reforms continue to advance gender equality and send a strong signal about its ongoing importance.</w:t>
      </w:r>
    </w:p>
    <w:p w14:paraId="54E7AEFF" w14:textId="11EAD724" w:rsidR="0011475D" w:rsidRDefault="000A0EB4" w:rsidP="000A0EB4">
      <w:pPr>
        <w:rPr>
          <w:rStyle w:val="Emphasis"/>
          <w:b/>
          <w:bCs/>
          <w:i w:val="0"/>
          <w:iCs w:val="0"/>
        </w:rPr>
      </w:pPr>
      <w:bookmarkStart w:id="464" w:name="_Toc186644577"/>
      <w:r w:rsidRPr="396ABCA7">
        <w:rPr>
          <w:rStyle w:val="Emphasis"/>
          <w:b/>
          <w:bCs/>
          <w:i w:val="0"/>
          <w:iCs w:val="0"/>
        </w:rPr>
        <w:t xml:space="preserve">Recommendation </w:t>
      </w:r>
      <w:r w:rsidR="000D4684">
        <w:rPr>
          <w:rStyle w:val="Emphasis"/>
          <w:b/>
          <w:bCs/>
          <w:i w:val="0"/>
          <w:iCs w:val="0"/>
        </w:rPr>
        <w:t>1</w:t>
      </w:r>
      <w:r>
        <w:rPr>
          <w:rStyle w:val="Emphasis"/>
          <w:b/>
          <w:bCs/>
          <w:i w:val="0"/>
          <w:iCs w:val="0"/>
        </w:rPr>
        <w:t>4</w:t>
      </w:r>
      <w:r w:rsidRPr="396ABCA7">
        <w:rPr>
          <w:rStyle w:val="Emphasis"/>
          <w:b/>
          <w:bCs/>
          <w:i w:val="0"/>
          <w:iCs w:val="0"/>
        </w:rPr>
        <w:t xml:space="preserve">: The Australian Government </w:t>
      </w:r>
      <w:r w:rsidR="005B1B9F">
        <w:rPr>
          <w:rStyle w:val="Emphasis"/>
          <w:b/>
          <w:bCs/>
          <w:i w:val="0"/>
          <w:iCs w:val="0"/>
        </w:rPr>
        <w:t xml:space="preserve">should </w:t>
      </w:r>
      <w:r w:rsidRPr="396ABCA7">
        <w:rPr>
          <w:rStyle w:val="Emphasis"/>
          <w:b/>
          <w:bCs/>
          <w:i w:val="0"/>
          <w:iCs w:val="0"/>
        </w:rPr>
        <w:t>amend the Fair Work Act at s 620(1)(b) to include gender pay equity as an additional area of expertise when appointing Expert Panel Members to the Annual Wage Review Expert Panel.</w:t>
      </w:r>
    </w:p>
    <w:bookmarkEnd w:id="464"/>
    <w:p w14:paraId="1BC08279" w14:textId="3038DD85" w:rsidR="000A0EB4" w:rsidRPr="00E3445D" w:rsidRDefault="000A0EB4" w:rsidP="000A0EB4">
      <w:r w:rsidRPr="396ABCA7">
        <w:t xml:space="preserve">The Review Panel also heard that the administrative burden on the FWC of needing to form a Care and Community Sector Expert Panel for all matters including care sector awards has been an unintended consequence of the Secure Jobs, Better Pay amendments. The new s 617(10A) of the Fair Work Act makes clear that it does not matter if the matter relates to another sector as well. In other words, the FWC President must form a Care and Community Sector Expert Panel for matters that might relate to the care and community sector. While this indicates that this was the intent of the Secure Jobs, Better Pay amendments, the Review Panel agrees that it is unnecessarily burdensome to require an expert panel for all matters just because they involve a care and community sector award (e.g. minor processes to update all awards to reflect legislative amendments). </w:t>
      </w:r>
      <w:r w:rsidRPr="00E3445D">
        <w:t xml:space="preserve">The Review Panel notes that it may also be appropriate to reflect these changes in relation to </w:t>
      </w:r>
      <w:r w:rsidRPr="007E3D92">
        <w:t xml:space="preserve">other </w:t>
      </w:r>
      <w:r w:rsidR="007E3D92" w:rsidRPr="00DF1E47">
        <w:t>e</w:t>
      </w:r>
      <w:r w:rsidRPr="007E3D92">
        <w:t xml:space="preserve">xpert </w:t>
      </w:r>
      <w:r w:rsidR="007E3D92" w:rsidRPr="00DF1E47">
        <w:t>p</w:t>
      </w:r>
      <w:r w:rsidRPr="007E3D92">
        <w:t>anels,</w:t>
      </w:r>
      <w:r w:rsidRPr="00E3445D">
        <w:t xml:space="preserve"> like the </w:t>
      </w:r>
      <w:r w:rsidR="007E3D92">
        <w:t>e</w:t>
      </w:r>
      <w:r w:rsidRPr="00E3445D">
        <w:t xml:space="preserve">xpert </w:t>
      </w:r>
      <w:r w:rsidR="007E3D92">
        <w:t>p</w:t>
      </w:r>
      <w:r w:rsidRPr="00E3445D">
        <w:t>anel for deferral or suspension of road transport minimum standards orders.</w:t>
      </w:r>
    </w:p>
    <w:p w14:paraId="435A1547" w14:textId="42FEB41D" w:rsidR="000A0EB4" w:rsidRPr="00167CB8" w:rsidRDefault="000A0EB4" w:rsidP="000A0EB4">
      <w:pPr>
        <w:rPr>
          <w:rStyle w:val="Emphasis"/>
          <w:b/>
          <w:i w:val="0"/>
          <w:iCs w:val="0"/>
          <w:lang w:val="en-US"/>
        </w:rPr>
      </w:pPr>
      <w:bookmarkStart w:id="465" w:name="_Toc186644578"/>
      <w:r w:rsidRPr="00167CB8">
        <w:rPr>
          <w:rStyle w:val="Emphasis"/>
          <w:b/>
          <w:i w:val="0"/>
          <w:iCs w:val="0"/>
          <w:lang w:val="en-US"/>
        </w:rPr>
        <w:t>Recommendation 1</w:t>
      </w:r>
      <w:r>
        <w:rPr>
          <w:rStyle w:val="Emphasis"/>
          <w:b/>
          <w:i w:val="0"/>
          <w:iCs w:val="0"/>
          <w:lang w:val="en-US"/>
        </w:rPr>
        <w:t>5</w:t>
      </w:r>
      <w:r w:rsidRPr="00167CB8">
        <w:rPr>
          <w:rStyle w:val="Emphasis"/>
          <w:b/>
          <w:i w:val="0"/>
          <w:iCs w:val="0"/>
          <w:lang w:val="en-US"/>
        </w:rPr>
        <w:t xml:space="preserve">: The Fair Work Act should be amended to provide the </w:t>
      </w:r>
      <w:r w:rsidR="005B1B9F">
        <w:rPr>
          <w:rStyle w:val="Emphasis"/>
          <w:b/>
          <w:i w:val="0"/>
          <w:iCs w:val="0"/>
          <w:lang w:val="en-US"/>
        </w:rPr>
        <w:t xml:space="preserve">Fair Work Commission </w:t>
      </w:r>
      <w:r w:rsidRPr="00167CB8">
        <w:rPr>
          <w:rStyle w:val="Emphasis"/>
          <w:b/>
          <w:i w:val="0"/>
          <w:iCs w:val="0"/>
          <w:lang w:val="en-US"/>
        </w:rPr>
        <w:t>President with greater discretion in determining when a Care and Community Sector Expert Panel is required.</w:t>
      </w:r>
      <w:bookmarkEnd w:id="465"/>
      <w:r w:rsidRPr="00167CB8">
        <w:rPr>
          <w:rStyle w:val="Emphasis"/>
          <w:b/>
          <w:i w:val="0"/>
          <w:iCs w:val="0"/>
          <w:sz w:val="24"/>
          <w:szCs w:val="24"/>
          <w:lang w:val="en-US"/>
        </w:rPr>
        <w:br w:type="page"/>
      </w:r>
    </w:p>
    <w:p w14:paraId="71EF1CE8" w14:textId="77777777" w:rsidR="000A0EB4" w:rsidRPr="00DF1E47" w:rsidRDefault="000A0EB4" w:rsidP="00BE034D">
      <w:pPr>
        <w:pStyle w:val="Heading3"/>
      </w:pPr>
      <w:bookmarkStart w:id="466" w:name="_Toc188003388"/>
      <w:bookmarkStart w:id="467" w:name="_Toc188277944"/>
      <w:bookmarkStart w:id="468" w:name="_Toc189260296"/>
      <w:bookmarkStart w:id="469" w:name="_Toc189393612"/>
      <w:bookmarkStart w:id="470" w:name="_Toc194311435"/>
      <w:r w:rsidRPr="00DF1E47">
        <w:lastRenderedPageBreak/>
        <w:t xml:space="preserve">Chapter 27. Prohibiting pay </w:t>
      </w:r>
      <w:bookmarkEnd w:id="466"/>
      <w:bookmarkEnd w:id="467"/>
      <w:bookmarkEnd w:id="468"/>
      <w:bookmarkEnd w:id="469"/>
      <w:r w:rsidRPr="00DF1E47">
        <w:t>secrecy</w:t>
      </w:r>
      <w:bookmarkEnd w:id="470"/>
    </w:p>
    <w:p w14:paraId="6BD2987D" w14:textId="77777777" w:rsidR="0011475D" w:rsidRDefault="000A0EB4" w:rsidP="000A0EB4">
      <w:r w:rsidRPr="396ABCA7">
        <w:t>In this chapter the focus is on Part 7 (Prohibiting pay secrecy) of Schedule 1 to the Secure Jobs, Better Pay Act.</w:t>
      </w:r>
    </w:p>
    <w:p w14:paraId="70BBB0A8" w14:textId="50D739D6" w:rsidR="000A0EB4" w:rsidRPr="00DF1E47" w:rsidRDefault="000A0EB4" w:rsidP="00BE034D">
      <w:pPr>
        <w:pStyle w:val="Heading4"/>
      </w:pPr>
      <w:bookmarkStart w:id="471" w:name="_Toc188003389"/>
      <w:bookmarkStart w:id="472" w:name="_Toc188277945"/>
      <w:bookmarkStart w:id="473" w:name="_Toc189260297"/>
      <w:bookmarkStart w:id="474" w:name="_Toc189393613"/>
      <w:r w:rsidRPr="00DF1E47">
        <w:t>27.1 Amendments and intent</w:t>
      </w:r>
      <w:bookmarkEnd w:id="471"/>
      <w:bookmarkEnd w:id="472"/>
      <w:bookmarkEnd w:id="473"/>
      <w:bookmarkEnd w:id="474"/>
    </w:p>
    <w:p w14:paraId="6B75100B" w14:textId="77777777" w:rsidR="000A0EB4" w:rsidRPr="00167CB8" w:rsidRDefault="000A0EB4" w:rsidP="000A0EB4">
      <w:r w:rsidRPr="00167CB8">
        <w:t>The following section describes the main provisions within this new division</w:t>
      </w:r>
      <w:r>
        <w:t xml:space="preserve"> and then the intent of the amendments</w:t>
      </w:r>
      <w:r w:rsidRPr="00167CB8">
        <w:t>.</w:t>
      </w:r>
    </w:p>
    <w:p w14:paraId="04F56F4F" w14:textId="77777777" w:rsidR="000A0EB4" w:rsidRPr="00DF1E47" w:rsidRDefault="000A0EB4" w:rsidP="00BE034D">
      <w:pPr>
        <w:pStyle w:val="Heading5"/>
      </w:pPr>
      <w:bookmarkStart w:id="475" w:name="_Toc188003390"/>
      <w:r w:rsidRPr="00DF1E47">
        <w:t xml:space="preserve">27.1.1 </w:t>
      </w:r>
      <w:r w:rsidRPr="00BE034D">
        <w:t xml:space="preserve">Secure Jobs, Better </w:t>
      </w:r>
      <w:r w:rsidRPr="00BE034D" w:rsidDel="003072B8">
        <w:t>Pay</w:t>
      </w:r>
      <w:r w:rsidRPr="00DF1E47">
        <w:t xml:space="preserve"> amendments</w:t>
      </w:r>
      <w:bookmarkEnd w:id="475"/>
    </w:p>
    <w:p w14:paraId="56BBE02C" w14:textId="77777777" w:rsidR="000A0EB4" w:rsidRPr="00167CB8" w:rsidRDefault="000A0EB4" w:rsidP="000A0EB4">
      <w:pPr>
        <w:rPr>
          <w:rFonts w:cstheme="minorHAnsi"/>
        </w:rPr>
      </w:pPr>
      <w:r w:rsidRPr="00167CB8">
        <w:rPr>
          <w:rFonts w:cstheme="minorHAnsi"/>
        </w:rPr>
        <w:t xml:space="preserve">The new Division 4 (Prohibiting pay secrecy) of Part 2-9 of the Fair Work Act consists of </w:t>
      </w:r>
      <w:r>
        <w:rPr>
          <w:rFonts w:cstheme="minorHAnsi"/>
        </w:rPr>
        <w:t>three</w:t>
      </w:r>
      <w:r w:rsidRPr="00167CB8">
        <w:rPr>
          <w:rFonts w:cstheme="minorHAnsi"/>
        </w:rPr>
        <w:t xml:space="preserve"> sections: s 333B (Employees not subject to pay secrecy), s 333C (Pay secrecy terms to have no effect) and s 333D (Prohibition on pay secrecy terms). The main amendments within each of these sections include:</w:t>
      </w:r>
    </w:p>
    <w:p w14:paraId="0093D3DA" w14:textId="49E0A6AB" w:rsidR="000A0EB4" w:rsidRPr="007E3D92" w:rsidRDefault="000A0EB4" w:rsidP="003F7EE6">
      <w:pPr>
        <w:pStyle w:val="ListBullet"/>
        <w:numPr>
          <w:ilvl w:val="0"/>
          <w:numId w:val="4"/>
        </w:numPr>
        <w:rPr>
          <w:lang w:val="en-US"/>
        </w:rPr>
      </w:pPr>
      <w:r w:rsidRPr="007E3D92">
        <w:rPr>
          <w:lang w:val="en-US"/>
        </w:rPr>
        <w:t>Section 333B(1): ‘An employee may disclose, or not disclose, any of the following information to any other person: (a) The employee’s remuneration; (b) any terms and conditions of the employee’s employment that are reasonably necessary to determine remuneration outcomes</w:t>
      </w:r>
      <w:r w:rsidR="005B1B9F" w:rsidRPr="007E3D92">
        <w:rPr>
          <w:lang w:val="en-US"/>
        </w:rPr>
        <w:t>.</w:t>
      </w:r>
      <w:r w:rsidRPr="007E3D92">
        <w:rPr>
          <w:lang w:val="en-US"/>
        </w:rPr>
        <w:t>’</w:t>
      </w:r>
    </w:p>
    <w:p w14:paraId="4232F9D5" w14:textId="77777777" w:rsidR="000A0EB4" w:rsidRPr="00167CB8" w:rsidRDefault="000A0EB4" w:rsidP="003F7EE6">
      <w:pPr>
        <w:pStyle w:val="ListBullet"/>
        <w:numPr>
          <w:ilvl w:val="0"/>
          <w:numId w:val="4"/>
        </w:numPr>
        <w:rPr>
          <w:lang w:val="en-US"/>
        </w:rPr>
      </w:pPr>
      <w:r w:rsidRPr="007E3D92">
        <w:rPr>
          <w:lang w:val="en-US"/>
        </w:rPr>
        <w:t>Section 333B(2): ‘An employee may</w:t>
      </w:r>
      <w:r w:rsidRPr="00167CB8">
        <w:rPr>
          <w:lang w:val="en-US"/>
        </w:rPr>
        <w:t xml:space="preserve"> ask any other employee (whether employed by the same employer or a different employer) about any of the following information: (a) the other employee’s remuneration; (b) any terms and conditions of the other employee’s employment that are reasonably necessary to determine remuneration outcomes’ (e.g. hours of work arrangements, incentives and bonus schemes).</w:t>
      </w:r>
    </w:p>
    <w:p w14:paraId="38A73D97" w14:textId="77777777" w:rsidR="000A0EB4" w:rsidRPr="00167CB8" w:rsidRDefault="000A0EB4" w:rsidP="003F7EE6">
      <w:pPr>
        <w:pStyle w:val="ListBullet"/>
        <w:numPr>
          <w:ilvl w:val="0"/>
          <w:numId w:val="4"/>
        </w:numPr>
        <w:rPr>
          <w:lang w:val="en-US"/>
        </w:rPr>
      </w:pPr>
      <w:r w:rsidRPr="00167CB8">
        <w:rPr>
          <w:lang w:val="en-US"/>
        </w:rPr>
        <w:t>Section 333C: ‘A term of a fair work instrument or a contract of employment has no effect to the extent that the term would be inconsistent with s.333B(1) or (2) (about employee rights relating to pay secrecy).’</w:t>
      </w:r>
    </w:p>
    <w:p w14:paraId="02F2ADAA" w14:textId="31845CD9" w:rsidR="000A0EB4" w:rsidRPr="007E3D92" w:rsidRDefault="000A0EB4" w:rsidP="003F7EE6">
      <w:pPr>
        <w:pStyle w:val="ListBullet"/>
        <w:numPr>
          <w:ilvl w:val="0"/>
          <w:numId w:val="4"/>
        </w:numPr>
        <w:rPr>
          <w:lang w:val="en-US"/>
        </w:rPr>
      </w:pPr>
      <w:r w:rsidRPr="007E3D92">
        <w:rPr>
          <w:lang w:val="en-US"/>
        </w:rPr>
        <w:t>Section 333D: ‘An employer contravenes this section if: (a) the employer enters into a contract of employment or other written agreement with an employee; and (b) the contract or agreement includes a term that is inconsistent with s.333B(1) or (2)</w:t>
      </w:r>
      <w:r w:rsidR="005B1B9F" w:rsidRPr="007E3D92">
        <w:rPr>
          <w:lang w:val="en-US"/>
        </w:rPr>
        <w:t>.</w:t>
      </w:r>
      <w:r w:rsidRPr="007E3D92">
        <w:rPr>
          <w:lang w:val="en-US"/>
        </w:rPr>
        <w:t>’</w:t>
      </w:r>
    </w:p>
    <w:p w14:paraId="32FD0423" w14:textId="77777777" w:rsidR="000A0EB4" w:rsidRPr="00167CB8" w:rsidRDefault="000A0EB4" w:rsidP="000A0EB4">
      <w:pPr>
        <w:rPr>
          <w:rFonts w:cstheme="minorHAnsi"/>
        </w:rPr>
      </w:pPr>
      <w:r w:rsidRPr="00167CB8">
        <w:rPr>
          <w:rFonts w:cstheme="minorHAnsi"/>
        </w:rPr>
        <w:t>While employers cannot limit employees from sharing information about their pay, and other employees can ask, employees are allowed to choose not to share information about their pay.</w:t>
      </w:r>
    </w:p>
    <w:p w14:paraId="2F948118" w14:textId="2DF673AE" w:rsidR="000A0EB4" w:rsidRPr="00167CB8" w:rsidRDefault="000A0EB4" w:rsidP="000A0EB4">
      <w:r w:rsidRPr="396ABCA7">
        <w:t>If an employer includes a pay secrecy clause in a contract of employment they could be liable for a maximum penalty of $990,000 (if it is a serious contravention).</w:t>
      </w:r>
      <w:r w:rsidRPr="396ABCA7">
        <w:rPr>
          <w:rStyle w:val="FootnoteReference"/>
        </w:rPr>
        <w:footnoteReference w:id="1042"/>
      </w:r>
      <w:r w:rsidRPr="396ABCA7">
        <w:t xml:space="preserve"> Additionally, the clause will be void.</w:t>
      </w:r>
      <w:r w:rsidRPr="396ABCA7">
        <w:rPr>
          <w:rStyle w:val="FootnoteReference"/>
        </w:rPr>
        <w:footnoteReference w:id="1043"/>
      </w:r>
    </w:p>
    <w:p w14:paraId="6F29400C" w14:textId="77777777" w:rsidR="000A0EB4" w:rsidRPr="00167CB8" w:rsidRDefault="000A0EB4" w:rsidP="000A0EB4">
      <w:r w:rsidRPr="396ABCA7">
        <w:t>Amendments made by this part of the Secure Jobs, Better Pay Act took effect from 7 December 2022. Generally, the new workplace rights at s 333B of the Fair Work Act do not apply to employment contracts entered into before 7 December 2022 and employees will not have this right until those contracts are varied.</w:t>
      </w:r>
    </w:p>
    <w:p w14:paraId="1C8AED65" w14:textId="4F89DFD0" w:rsidR="000A0EB4" w:rsidRPr="00BF13D2" w:rsidRDefault="000A0EB4" w:rsidP="00BE034D">
      <w:pPr>
        <w:pStyle w:val="Heading5"/>
      </w:pPr>
      <w:bookmarkStart w:id="476" w:name="_Toc188003391"/>
      <w:r w:rsidRPr="00BF13D2">
        <w:t xml:space="preserve">27.1.2 Intent of </w:t>
      </w:r>
      <w:r w:rsidRPr="00BE034D">
        <w:t xml:space="preserve">Secure Jobs, Better </w:t>
      </w:r>
      <w:r w:rsidR="005B1B9F" w:rsidRPr="00BE034D">
        <w:t xml:space="preserve">Pay </w:t>
      </w:r>
      <w:r w:rsidRPr="00BF13D2">
        <w:t>amendments</w:t>
      </w:r>
      <w:bookmarkEnd w:id="476"/>
    </w:p>
    <w:p w14:paraId="18C1F7DD" w14:textId="77777777" w:rsidR="000A0EB4" w:rsidRPr="00167CB8" w:rsidRDefault="000A0EB4" w:rsidP="000A0EB4">
      <w:pPr>
        <w:rPr>
          <w:rFonts w:cstheme="minorHAnsi"/>
        </w:rPr>
      </w:pPr>
      <w:r w:rsidRPr="00167CB8">
        <w:rPr>
          <w:rFonts w:cstheme="minorHAnsi"/>
        </w:rPr>
        <w:t xml:space="preserve">These Secure Jobs, Better Pay amendments intend to enhance pay transparency in the labour market by empowering individuals and representative organisations (e.g. unions) with better </w:t>
      </w:r>
      <w:r w:rsidRPr="00167CB8">
        <w:rPr>
          <w:rFonts w:cstheme="minorHAnsi"/>
        </w:rPr>
        <w:lastRenderedPageBreak/>
        <w:t>information for pay negotiations.</w:t>
      </w:r>
      <w:r w:rsidRPr="00167CB8">
        <w:rPr>
          <w:rFonts w:cstheme="minorHAnsi"/>
          <w:vertAlign w:val="superscript"/>
        </w:rPr>
        <w:footnoteReference w:id="1044"/>
      </w:r>
      <w:r w:rsidRPr="00167CB8">
        <w:rPr>
          <w:rFonts w:cstheme="minorHAnsi"/>
        </w:rPr>
        <w:t xml:space="preserve"> Prior to these amendments employers could enforce pay secrecy clauses in employment contracts, preventing employees from comparing their pay and conditions with others and giving employers an upper hand in negotiations.</w:t>
      </w:r>
    </w:p>
    <w:p w14:paraId="644E874A" w14:textId="77777777" w:rsidR="000A0EB4" w:rsidRPr="00167CB8" w:rsidRDefault="000A0EB4" w:rsidP="000A0EB4">
      <w:r w:rsidRPr="396ABCA7">
        <w:t>Any orthodox introductory economics text will explain that, for markets to work effectively, it is important that its participants are well informed. There are many sources of market failure, including market power, information asymmetry, factor immobility and inequity. Each source of market failure disrupts market efficiency and may warrant government interventions to improve outcomes.</w:t>
      </w:r>
    </w:p>
    <w:p w14:paraId="33A90FF4" w14:textId="77777777" w:rsidR="000A0EB4" w:rsidRPr="00167CB8" w:rsidRDefault="000A0EB4" w:rsidP="000A0EB4">
      <w:r w:rsidRPr="396ABCA7">
        <w:t>Key sources of market failure in labour markets include imbalances in bargaining power between employers and employees, which can suppress wages and working conditions. Pay secrecy policies further exacerbate this by limiting transparency and preventing workers from identifying wage disparities. A lack of information on prevailing wage rates can hinder workers’ ability to negotiate fair pay. Additionally, cultural norms and historical undervaluation of wages in certain sectors, particularly those dominated by women or minorities, perpetuate inequities and inefficiencies in labour market outcomes. These factors distort the allocation of labour and contribute to persistent disparities in earnings and opportunities.</w:t>
      </w:r>
    </w:p>
    <w:p w14:paraId="174FF46E" w14:textId="483A2DEE" w:rsidR="0011475D" w:rsidRDefault="000A0EB4" w:rsidP="000A0EB4">
      <w:r w:rsidRPr="396ABCA7">
        <w:t xml:space="preserve">In a recent report on pay transparency, the </w:t>
      </w:r>
      <w:r w:rsidR="007E3D92" w:rsidRPr="007E3D92">
        <w:t>Organisation for Economic Co-operation and Development</w:t>
      </w:r>
      <w:r w:rsidR="007E3D92">
        <w:t xml:space="preserve"> (</w:t>
      </w:r>
      <w:r w:rsidRPr="396ABCA7">
        <w:t>OECD</w:t>
      </w:r>
      <w:r w:rsidR="007E3D92">
        <w:t>)</w:t>
      </w:r>
      <w:r w:rsidRPr="396ABCA7">
        <w:t xml:space="preserve"> notes that ‘80% of the gender wage gap … is attributable to pay inequity </w:t>
      </w:r>
      <w:r w:rsidRPr="00BF13D2">
        <w:rPr>
          <w:b/>
        </w:rPr>
        <w:t>within</w:t>
      </w:r>
      <w:r w:rsidRPr="396ABCA7">
        <w:rPr>
          <w:i/>
          <w:iCs/>
        </w:rPr>
        <w:t xml:space="preserve"> </w:t>
      </w:r>
      <w:r w:rsidRPr="396ABCA7">
        <w:t>firms’</w:t>
      </w:r>
      <w:r w:rsidR="005B1B9F">
        <w:t>.</w:t>
      </w:r>
      <w:r w:rsidRPr="396ABCA7">
        <w:t xml:space="preserve"> It goes on to say, ‘It is, however, very difficult ... for an </w:t>
      </w:r>
      <w:r w:rsidRPr="00BF13D2">
        <w:rPr>
          <w:b/>
        </w:rPr>
        <w:t>individual</w:t>
      </w:r>
      <w:r w:rsidRPr="396ABCA7">
        <w:rPr>
          <w:i/>
          <w:iCs/>
        </w:rPr>
        <w:t xml:space="preserve"> </w:t>
      </w:r>
      <w:r w:rsidRPr="396ABCA7">
        <w:t>worker to know whether she or he is being underpaid – and with whom their salary should be compared’.</w:t>
      </w:r>
      <w:r w:rsidRPr="396ABCA7">
        <w:rPr>
          <w:rStyle w:val="FootnoteReference"/>
        </w:rPr>
        <w:footnoteReference w:id="1045"/>
      </w:r>
    </w:p>
    <w:p w14:paraId="2CFAC613" w14:textId="42E62E82" w:rsidR="0011475D" w:rsidRDefault="000A0EB4" w:rsidP="000A0EB4">
      <w:r w:rsidRPr="396ABCA7">
        <w:t>Globally, pay transparency laws are increasingly being adopted as a way of reducing the gender wage gap.</w:t>
      </w:r>
      <w:r w:rsidRPr="396ABCA7">
        <w:rPr>
          <w:rStyle w:val="FootnoteReference"/>
        </w:rPr>
        <w:footnoteReference w:id="1046"/>
      </w:r>
      <w:r w:rsidRPr="396ABCA7">
        <w:t xml:space="preserve"> In the </w:t>
      </w:r>
      <w:r w:rsidR="007E3D92">
        <w:t>United Kingdom</w:t>
      </w:r>
      <w:r w:rsidRPr="396ABCA7">
        <w:t>, employers with 250 or more employees have been required to publicly report their gender pay gaps since 2017.</w:t>
      </w:r>
      <w:r w:rsidRPr="396ABCA7">
        <w:rPr>
          <w:rStyle w:val="FootnoteReference"/>
        </w:rPr>
        <w:footnoteReference w:id="1047"/>
      </w:r>
      <w:r w:rsidRPr="396ABCA7">
        <w:t xml:space="preserve"> In Australia, following changes to the </w:t>
      </w:r>
      <w:r w:rsidRPr="396ABCA7">
        <w:rPr>
          <w:i/>
          <w:iCs/>
        </w:rPr>
        <w:t>Workplace Gender Equality Act 2012</w:t>
      </w:r>
      <w:r w:rsidRPr="396ABCA7">
        <w:t xml:space="preserve"> (Cth) in March 2023, from February 2024 the Workplace Gender Equality Agency (WGEA) began publishing, on an annual basis, the gender pay gaps for private sector employers and Commonwealth public sector organisations with 100 or more employees.</w:t>
      </w:r>
      <w:r w:rsidRPr="396ABCA7">
        <w:rPr>
          <w:rStyle w:val="FootnoteReference"/>
        </w:rPr>
        <w:footnoteReference w:id="1048"/>
      </w:r>
    </w:p>
    <w:p w14:paraId="7D1A4508" w14:textId="08DA187A" w:rsidR="000A0EB4" w:rsidRPr="00167CB8" w:rsidRDefault="000A0EB4" w:rsidP="000A0EB4">
      <w:pPr>
        <w:rPr>
          <w:color w:val="777778" w:themeColor="accent5"/>
        </w:rPr>
      </w:pPr>
      <w:r w:rsidRPr="396ABCA7">
        <w:t>The European Union also has a new ‘Pay Transparency Directive’, with member states expected to translate this into national law by 2026. It includes a new right for employees (irrespective of the size of the company) to request information from their employer on average pay, by sex, for categories of workers doing the same work or work of equal value.</w:t>
      </w:r>
      <w:r w:rsidRPr="396ABCA7">
        <w:rPr>
          <w:rStyle w:val="FootnoteReference"/>
        </w:rPr>
        <w:footnoteReference w:id="1049"/>
      </w:r>
    </w:p>
    <w:p w14:paraId="73D7453B" w14:textId="77777777" w:rsidR="000A0EB4" w:rsidRPr="00BF13D2" w:rsidRDefault="000A0EB4" w:rsidP="00BE034D">
      <w:pPr>
        <w:pStyle w:val="Heading4"/>
      </w:pPr>
      <w:bookmarkStart w:id="477" w:name="_Toc188003392"/>
      <w:bookmarkStart w:id="478" w:name="_Toc188277946"/>
      <w:bookmarkStart w:id="479" w:name="_Toc189260298"/>
      <w:bookmarkStart w:id="480" w:name="_Toc189393614"/>
      <w:r w:rsidRPr="00BF13D2">
        <w:lastRenderedPageBreak/>
        <w:t>27.2 Impact and issues</w:t>
      </w:r>
      <w:bookmarkEnd w:id="477"/>
      <w:bookmarkEnd w:id="478"/>
      <w:bookmarkEnd w:id="479"/>
      <w:bookmarkEnd w:id="480"/>
    </w:p>
    <w:p w14:paraId="2487D60E" w14:textId="77777777" w:rsidR="000A0EB4" w:rsidRPr="00167CB8" w:rsidRDefault="000A0EB4" w:rsidP="000A0EB4">
      <w:r w:rsidRPr="00167CB8">
        <w:t>The following describes the data and information considered by the Review Panel when evaluating the amendments discussed above.</w:t>
      </w:r>
    </w:p>
    <w:p w14:paraId="0A2BA70A" w14:textId="77777777" w:rsidR="000A0EB4" w:rsidRPr="00BF13D2" w:rsidRDefault="000A0EB4" w:rsidP="00BE034D">
      <w:pPr>
        <w:pStyle w:val="Heading5"/>
      </w:pPr>
      <w:bookmarkStart w:id="481" w:name="_Toc188003393"/>
      <w:r w:rsidRPr="00BF13D2">
        <w:t>27.2.1 Quantitative evidence</w:t>
      </w:r>
      <w:bookmarkEnd w:id="481"/>
    </w:p>
    <w:p w14:paraId="47B3D6D7" w14:textId="232C623E" w:rsidR="000A0EB4" w:rsidRPr="00167CB8" w:rsidRDefault="000A0EB4" w:rsidP="000A0EB4">
      <w:r w:rsidRPr="396ABCA7">
        <w:t xml:space="preserve">At the outset it is important to note that there is a dearth of information on the effects of these new pay secrecy laws on wage relativities in Australia. To the extent that there is relevant data, the Review Panel notes data from the </w:t>
      </w:r>
      <w:r w:rsidR="0065449F">
        <w:t xml:space="preserve">Fair Work Ombudsman (FWO) </w:t>
      </w:r>
      <w:r w:rsidRPr="396ABCA7">
        <w:t>showing that in 2022</w:t>
      </w:r>
      <w:r w:rsidRPr="396ABCA7">
        <w:rPr>
          <w:rFonts w:ascii="Symbol" w:eastAsia="Symbol" w:hAnsi="Symbol" w:cs="Symbol"/>
        </w:rPr>
        <w:t>-</w:t>
      </w:r>
      <w:r w:rsidRPr="396ABCA7">
        <w:t>23 and 2023</w:t>
      </w:r>
      <w:r w:rsidRPr="396ABCA7">
        <w:rPr>
          <w:rFonts w:ascii="Symbol" w:eastAsia="Symbol" w:hAnsi="Symbol" w:cs="Symbol"/>
        </w:rPr>
        <w:t>-</w:t>
      </w:r>
      <w:r w:rsidRPr="396ABCA7">
        <w:t>24 their online resources for pay secrecy, job ads and flexible work on the FWO’s website had almost 140,000 page views or downloads.</w:t>
      </w:r>
      <w:r>
        <w:rPr>
          <w:rStyle w:val="FootnoteReference"/>
        </w:rPr>
        <w:footnoteReference w:id="1050"/>
      </w:r>
      <w:r w:rsidRPr="396ABCA7">
        <w:t xml:space="preserve"> This suggests there is a growing awareness on the part of employees</w:t>
      </w:r>
      <w:r w:rsidR="00BB4694">
        <w:t xml:space="preserve"> and employers</w:t>
      </w:r>
      <w:r w:rsidRPr="396ABCA7">
        <w:t xml:space="preserve"> of new rights concerning pay secrecy. In the same period, the FWO received </w:t>
      </w:r>
      <w:r>
        <w:t>seven</w:t>
      </w:r>
      <w:r w:rsidRPr="396ABCA7">
        <w:t xml:space="preserve"> requests for assistance and commenced </w:t>
      </w:r>
      <w:r>
        <w:t>one</w:t>
      </w:r>
      <w:r w:rsidRPr="396ABCA7">
        <w:t xml:space="preserve"> investigation in relation to pay secrecy. As of 31</w:t>
      </w:r>
      <w:r w:rsidR="005B1B9F">
        <w:t> </w:t>
      </w:r>
      <w:r>
        <w:t>December</w:t>
      </w:r>
      <w:r w:rsidRPr="396ABCA7">
        <w:t xml:space="preserve"> 2024 the FWO ha</w:t>
      </w:r>
      <w:r w:rsidR="005B1B9F">
        <w:t>d</w:t>
      </w:r>
      <w:r w:rsidRPr="396ABCA7">
        <w:t xml:space="preserve"> not issued any infringement notices, compliance notices or enforceable undertakings or commenced litigation in relation to these provisions.</w:t>
      </w:r>
      <w:r>
        <w:rPr>
          <w:rStyle w:val="FootnoteReference"/>
        </w:rPr>
        <w:footnoteReference w:id="1051"/>
      </w:r>
    </w:p>
    <w:p w14:paraId="5945D663" w14:textId="5EBD41EF" w:rsidR="000A0EB4" w:rsidRPr="00167CB8" w:rsidRDefault="000A0EB4" w:rsidP="000A0EB4">
      <w:r w:rsidRPr="00167CB8">
        <w:t>The Review Panel also notes that WGEA’s latest round of reporting shows more employers are conducting gender pay gap analysis and are reporting the gaps to their employees.</w:t>
      </w:r>
      <w:r w:rsidRPr="00167CB8">
        <w:rPr>
          <w:rStyle w:val="FootnoteReference"/>
        </w:rPr>
        <w:footnoteReference w:id="1052"/>
      </w:r>
      <w:r w:rsidRPr="00167CB8">
        <w:t xml:space="preserve"> For example, in 2023</w:t>
      </w:r>
      <w:r w:rsidRPr="00167CB8">
        <w:rPr>
          <w:rFonts w:ascii="Symbol" w:eastAsia="Symbol" w:hAnsi="Symbol" w:cs="Symbol"/>
        </w:rPr>
        <w:t>-</w:t>
      </w:r>
      <w:r w:rsidRPr="00167CB8">
        <w:t>24, 62% of employers reported pay equity metrics (including gender pay gaps) to the executive, while 31% reported these metrics to all employees.</w:t>
      </w:r>
      <w:r w:rsidRPr="00167CB8">
        <w:rPr>
          <w:rStyle w:val="FootnoteReference"/>
        </w:rPr>
        <w:footnoteReference w:id="1053"/>
      </w:r>
      <w:r w:rsidRPr="00167CB8">
        <w:t xml:space="preserve"> These legislative amendments may engender a cultural change and see these reporting shares increase over time.</w:t>
      </w:r>
    </w:p>
    <w:p w14:paraId="6F79D771" w14:textId="368A7CF8" w:rsidR="0011475D" w:rsidRDefault="000A0EB4" w:rsidP="000A0EB4">
      <w:r w:rsidRPr="396ABCA7">
        <w:t>In terms of findings from the academic literature on the effects of pay transparency laws</w:t>
      </w:r>
      <w:r>
        <w:t xml:space="preserve"> elsewhere (as opposed to the effects of the specific pay transparency amendments in the Fair Work Act)</w:t>
      </w:r>
      <w:r w:rsidRPr="396ABCA7">
        <w:t>, the Review Panel notes that available quantitative evidence points to mixed effects.</w:t>
      </w:r>
      <w:r w:rsidDel="005B1B9F">
        <w:t xml:space="preserve"> </w:t>
      </w:r>
      <w:r w:rsidRPr="396ABCA7">
        <w:t>Several studies point to a positive effect of pay transparency laws on the gender pay gap, although others note that change largely came about through a fall in men’s wages rather than an increase in women’s wages.</w:t>
      </w:r>
      <w:r w:rsidRPr="396ABCA7">
        <w:rPr>
          <w:rStyle w:val="FootnoteReference"/>
        </w:rPr>
        <w:footnoteReference w:id="1054"/>
      </w:r>
    </w:p>
    <w:p w14:paraId="0D6AF9A4" w14:textId="77777777" w:rsidR="0011475D" w:rsidRDefault="000A0EB4" w:rsidP="000A0EB4">
      <w:r w:rsidRPr="00167CB8">
        <w:rPr>
          <w:rFonts w:cs="Calibri"/>
        </w:rPr>
        <w:t>Other scholars find no evidence of an effect of pay transparency provisions on the gender pay gap. The latter could reflect the perceived ‘cost’ of requesting wage information, such as potential negative career implications.</w:t>
      </w:r>
      <w:r w:rsidRPr="00167CB8">
        <w:rPr>
          <w:rStyle w:val="FootnoteReference"/>
        </w:rPr>
        <w:footnoteReference w:id="1055"/>
      </w:r>
      <w:r w:rsidRPr="00167CB8">
        <w:t xml:space="preserve"> </w:t>
      </w:r>
      <w:r w:rsidRPr="00167CB8">
        <w:rPr>
          <w:rFonts w:cs="Calibri"/>
        </w:rPr>
        <w:t>In Germany, for example, a year after pay transparency legislation was implemented, fewer than 5% of employees had requested wage comparison data.</w:t>
      </w:r>
      <w:r w:rsidRPr="00167CB8">
        <w:rPr>
          <w:rStyle w:val="FootnoteReference"/>
        </w:rPr>
        <w:footnoteReference w:id="1056"/>
      </w:r>
      <w:r w:rsidRPr="00167CB8">
        <w:t xml:space="preserve"> As the OECD notes, ‘While pay transparency laws may give workers more information, their effectiveness largely relies upon workers having bargaining power to negotiate collectively or individually – and to negotiate without backlash, which is less likely the </w:t>
      </w:r>
      <w:r w:rsidRPr="00167CB8">
        <w:lastRenderedPageBreak/>
        <w:t>case for female workers’.</w:t>
      </w:r>
      <w:r w:rsidRPr="00167CB8">
        <w:rPr>
          <w:rStyle w:val="FootnoteReference"/>
        </w:rPr>
        <w:footnoteReference w:id="1057"/>
      </w:r>
      <w:r w:rsidRPr="00167CB8">
        <w:t xml:space="preserve"> </w:t>
      </w:r>
      <w:r w:rsidRPr="00167CB8">
        <w:rPr>
          <w:rFonts w:cs="Calibri"/>
        </w:rPr>
        <w:t>The absence of an effect might also stem from employees’ limited understanding of what pay transparency entails and its implications.</w:t>
      </w:r>
      <w:r w:rsidRPr="00167CB8">
        <w:rPr>
          <w:rStyle w:val="FootnoteReference"/>
        </w:rPr>
        <w:footnoteReference w:id="1058"/>
      </w:r>
    </w:p>
    <w:p w14:paraId="77184CC3" w14:textId="37F00134" w:rsidR="000A0EB4" w:rsidRPr="00E87BE6" w:rsidRDefault="000A0EB4" w:rsidP="00BE034D">
      <w:pPr>
        <w:pStyle w:val="Heading5"/>
      </w:pPr>
      <w:bookmarkStart w:id="482" w:name="_Toc188003394"/>
      <w:r w:rsidRPr="00E87BE6">
        <w:t>27.2.2 Qualitative evidence</w:t>
      </w:r>
      <w:bookmarkEnd w:id="482"/>
    </w:p>
    <w:p w14:paraId="7F04119F" w14:textId="77777777" w:rsidR="0011475D" w:rsidRDefault="000A0EB4" w:rsidP="000A0EB4">
      <w:r w:rsidRPr="00167CB8">
        <w:t>The Review Panel is not aware of any significant qualitative evidence in relation to these amendments.</w:t>
      </w:r>
    </w:p>
    <w:p w14:paraId="6289AA12" w14:textId="386B14A7" w:rsidR="000A0EB4" w:rsidRPr="00E87BE6" w:rsidRDefault="000A0EB4" w:rsidP="00BE034D">
      <w:pPr>
        <w:pStyle w:val="Heading5"/>
      </w:pPr>
      <w:bookmarkStart w:id="483" w:name="_Toc188003395"/>
      <w:r w:rsidRPr="00E87BE6">
        <w:t>27.2.3 Stakeholder views</w:t>
      </w:r>
      <w:bookmarkEnd w:id="483"/>
    </w:p>
    <w:p w14:paraId="564E641B" w14:textId="77777777" w:rsidR="000A0EB4" w:rsidRPr="00167CB8" w:rsidRDefault="000A0EB4" w:rsidP="000A0EB4">
      <w:r w:rsidRPr="00167CB8">
        <w:t>Unions and academic submissions gave broad support for the pay secrecy reforms. The Australian Council of Trade Unions (ACTU) noted that the prohibition on pay secrecy clauses is crucial for addressing gender pay inequality, as it allows employees to share pay details without fear of retaliation. However, the ACTU highlighted concerns that these provisions only apply to contracts made or varied after December 2022, leaving older contracts unaffected. They suggested extending these provisions to cover all workers, including independent contractors, to close potential gaps. They also recommended that research be conducted to assess if these laws have fostered a workplace culture of pay transparency</w:t>
      </w:r>
      <w:r w:rsidRPr="00167CB8">
        <w:rPr>
          <w:rFonts w:ascii="Arial" w:hAnsi="Arial" w:cs="Arial"/>
        </w:rPr>
        <w:t>.</w:t>
      </w:r>
    </w:p>
    <w:p w14:paraId="18634B69" w14:textId="39B7B8AA" w:rsidR="000A0EB4" w:rsidRPr="00167CB8" w:rsidRDefault="000A0EB4" w:rsidP="000A0EB4">
      <w:r w:rsidRPr="00167CB8">
        <w:t>The Finance Sector Union (FSU) welcomed the abolition of pay secrecy clauses, particularly given the significant gender pay gap in the finance sector (22%). However,</w:t>
      </w:r>
      <w:r w:rsidRPr="00167CB8" w:rsidDel="005B1B9F">
        <w:t xml:space="preserve"> </w:t>
      </w:r>
      <w:r w:rsidR="005B1B9F">
        <w:t xml:space="preserve">it </w:t>
      </w:r>
      <w:r w:rsidRPr="00167CB8">
        <w:t>argued that the laws do not go far enough in ensuring transparency in job advertisements and wage negotiations. Amongst other things, the FSU proposed further legislative amendments to require salary ranges in job ads to enhance transparency.</w:t>
      </w:r>
    </w:p>
    <w:p w14:paraId="3450A854" w14:textId="77777777" w:rsidR="000A0EB4" w:rsidRPr="00167CB8" w:rsidRDefault="000A0EB4" w:rsidP="000A0EB4">
      <w:r w:rsidRPr="396ABCA7">
        <w:t>The Centre for Future Work highlighted that pay secrecy clauses have historically contributed to wage inequity, particularly for women and marginalised workers. The prohibition of these clauses is welcomed as a positive step toward reducing the gender pay gap. It also stressed that transparency in remuneration is essential for identifying and addressing pay disparities. However, it argued that the effectiveness of these provisions will require ongoing assessment and may need further strengthening.</w:t>
      </w:r>
    </w:p>
    <w:p w14:paraId="7090E5C7" w14:textId="77777777" w:rsidR="0011475D" w:rsidRDefault="000A0EB4" w:rsidP="000A0EB4">
      <w:r w:rsidRPr="396ABCA7">
        <w:t>The Review Panel heard mixed views from employer associations about the pay secrecy reforms. Several employers raised concerns about the potential adverse effects the laws may have on organisational culture and workplace harmony, particularly where some employees misunderstand their rights and pressure their colleagues to share information.</w:t>
      </w:r>
    </w:p>
    <w:p w14:paraId="24E21E0C" w14:textId="3B34B858" w:rsidR="0011475D" w:rsidRDefault="000A0EB4" w:rsidP="000A0EB4">
      <w:r w:rsidRPr="396ABCA7">
        <w:t xml:space="preserve">The Australian Chamber of Commerce and Industry (ACCI) written submission to the Review reported on the experience of its members in relation to the new pay secrecy provisions. Some members note that the laws have brought bonuses and incentives into question and that a likely outcome will be that payments (particularly to high performers) will suppressed because of the </w:t>
      </w:r>
      <w:r w:rsidRPr="0065449F">
        <w:t>provisions. ACCI also noted</w:t>
      </w:r>
      <w:r w:rsidRPr="396ABCA7">
        <w:t xml:space="preserve"> a generational divide, with younger employees more likely to discuss remuneration than older counterparts, and that this was a source of workplace tension (e.g. older workers not willing to discuss or share remuneration details).</w:t>
      </w:r>
    </w:p>
    <w:p w14:paraId="302F8BAD" w14:textId="5C829B0F" w:rsidR="000A0EB4" w:rsidRPr="00167CB8" w:rsidRDefault="000A0EB4" w:rsidP="000A0EB4">
      <w:r w:rsidRPr="396ABCA7">
        <w:t xml:space="preserve">Finally, ACCI noted that ‘remuneration’ is not defined by the Fair Work Act and questions whether any payment in a deed of settlement is included or excluded by the new provisions at </w:t>
      </w:r>
      <w:r w:rsidRPr="396ABCA7">
        <w:lastRenderedPageBreak/>
        <w:t>s 333D of the Fair Work Act.</w:t>
      </w:r>
      <w:r w:rsidRPr="396ABCA7">
        <w:rPr>
          <w:rStyle w:val="FootnoteReference"/>
        </w:rPr>
        <w:footnoteReference w:id="1059"/>
      </w:r>
      <w:r w:rsidRPr="396ABCA7">
        <w:t xml:space="preserve"> In the Review Panel’s opinion, remuneration would likely be defined by its ordinary meaning (as pay or recompense for work) so would be unlikely to include amounts paid as part of separate dispute settlements. </w:t>
      </w:r>
      <w:r w:rsidRPr="0065449F">
        <w:t xml:space="preserve">While this is different </w:t>
      </w:r>
      <w:r w:rsidR="001F1278" w:rsidRPr="0065449F">
        <w:t>from</w:t>
      </w:r>
      <w:r w:rsidRPr="0065449F">
        <w:t xml:space="preserve"> remuneration</w:t>
      </w:r>
      <w:r w:rsidRPr="396ABCA7">
        <w:t xml:space="preserve"> in the context of pay secrecy, the Review Panel also notes the importance of transparency in all contexts.</w:t>
      </w:r>
    </w:p>
    <w:p w14:paraId="638F3423" w14:textId="610BBD15" w:rsidR="0011475D" w:rsidRDefault="000A0EB4" w:rsidP="000A0EB4">
      <w:r w:rsidRPr="00167CB8">
        <w:t>Ai Group’s view is that the pay secrecy clauses are not likely</w:t>
      </w:r>
      <w:r>
        <w:t xml:space="preserve"> to</w:t>
      </w:r>
      <w:r w:rsidRPr="00167CB8">
        <w:t xml:space="preserve"> narrow the gender pay gap and that they are a blunt instrument for this purpose. </w:t>
      </w:r>
      <w:r w:rsidR="001F1278">
        <w:t xml:space="preserve">It </w:t>
      </w:r>
      <w:r w:rsidRPr="00167CB8">
        <w:t xml:space="preserve">submitted that they are more likely to give rise to privacy concerns and generate conflict in the workplace. </w:t>
      </w:r>
      <w:r w:rsidR="001F1278">
        <w:t xml:space="preserve">It </w:t>
      </w:r>
      <w:r w:rsidRPr="00167CB8">
        <w:t>also submitted that the new laws may result in ‘unintended privacy concerns’ (e.g. an employee’s revelation about their pay on social media may not be supported by other co-workers with the same title and who may be paid the same).</w:t>
      </w:r>
    </w:p>
    <w:p w14:paraId="59CE6E10" w14:textId="2F9A147E" w:rsidR="000A0EB4" w:rsidRDefault="000A0EB4" w:rsidP="000A0EB4">
      <w:r w:rsidRPr="001F0BD0">
        <w:t>Ai Group also raised concerns about the transitional provisions, particularly regarding whether any change to a contract</w:t>
      </w:r>
      <w:r w:rsidR="001F1278">
        <w:t xml:space="preserve"> </w:t>
      </w:r>
      <w:r w:rsidR="001F1278">
        <w:rPr>
          <w:rFonts w:ascii="Symbol" w:eastAsia="Symbol" w:hAnsi="Symbol" w:cs="Symbol"/>
        </w:rPr>
        <w:sym w:font="Symbol" w:char="F02D"/>
      </w:r>
      <w:r w:rsidR="001F1278">
        <w:t xml:space="preserve"> </w:t>
      </w:r>
      <w:r w:rsidRPr="001F0BD0">
        <w:t>such as</w:t>
      </w:r>
      <w:r>
        <w:t xml:space="preserve"> a variation to accommodate</w:t>
      </w:r>
      <w:r w:rsidRPr="001F0BD0">
        <w:t xml:space="preserve"> a wage increase</w:t>
      </w:r>
      <w:r w:rsidR="001F1278">
        <w:t xml:space="preserve"> </w:t>
      </w:r>
      <w:r w:rsidR="001F1278">
        <w:rPr>
          <w:rFonts w:ascii="Symbol" w:eastAsia="Symbol" w:hAnsi="Symbol" w:cs="Symbol"/>
        </w:rPr>
        <w:sym w:font="Symbol" w:char="F02D"/>
      </w:r>
      <w:r w:rsidR="001F1278">
        <w:t xml:space="preserve"> </w:t>
      </w:r>
      <w:r w:rsidRPr="001F0BD0">
        <w:t>constitutes a variation that renders existing pay secrecy clauses ineffective</w:t>
      </w:r>
      <w:r>
        <w:t xml:space="preserve"> (noting that contracts that were entered into before 7 December 2022 and which contain pay secrecy clauses are valid until those contracts are varied)</w:t>
      </w:r>
      <w:r w:rsidRPr="001F0BD0">
        <w:t xml:space="preserve">. </w:t>
      </w:r>
      <w:r w:rsidRPr="00E3445D">
        <w:t>In the Review Panel’s opinion, any changes to employment contracts</w:t>
      </w:r>
      <w:r w:rsidRPr="00E3445D">
        <w:rPr>
          <w:rStyle w:val="FootnoteReference"/>
        </w:rPr>
        <w:footnoteReference w:id="1060"/>
      </w:r>
      <w:r w:rsidRPr="00E3445D">
        <w:t xml:space="preserve"> (including wage increases) would be considered variations. The Panel is not aware of any evidence to suggest this interpretation would be contrary to the intent of the Secure Jobs, Better Pay amendments.</w:t>
      </w:r>
    </w:p>
    <w:p w14:paraId="5F6138CC" w14:textId="441F148D" w:rsidR="000A0EB4" w:rsidRPr="00E3445D" w:rsidRDefault="000A0EB4" w:rsidP="000A0EB4">
      <w:pPr>
        <w:rPr>
          <w:rFonts w:eastAsia="Times New Roman" w:cs="Calibri"/>
          <w:lang w:eastAsia="en-AU"/>
        </w:rPr>
      </w:pPr>
      <w:r w:rsidRPr="00E3445D">
        <w:rPr>
          <w:rFonts w:eastAsia="Times New Roman" w:cs="Calibri"/>
          <w:lang w:eastAsia="en-AU"/>
        </w:rPr>
        <w:t>The Review Panel consulted stakeholders about its proposed findings regarding pay transparency</w:t>
      </w:r>
      <w:r>
        <w:rPr>
          <w:rFonts w:eastAsia="Times New Roman" w:cs="Calibri"/>
          <w:lang w:eastAsia="en-AU"/>
        </w:rPr>
        <w:t xml:space="preserve"> as reported in the </w:t>
      </w:r>
      <w:r w:rsidR="0065449F">
        <w:rPr>
          <w:rFonts w:eastAsia="Times New Roman" w:cs="Calibri"/>
          <w:lang w:eastAsia="en-AU"/>
        </w:rPr>
        <w:t>d</w:t>
      </w:r>
      <w:r>
        <w:rPr>
          <w:rFonts w:eastAsia="Times New Roman" w:cs="Calibri"/>
          <w:lang w:eastAsia="en-AU"/>
        </w:rPr>
        <w:t xml:space="preserve">raft </w:t>
      </w:r>
      <w:r w:rsidR="0065449F">
        <w:rPr>
          <w:rFonts w:eastAsia="Times New Roman" w:cs="Calibri"/>
          <w:lang w:eastAsia="en-AU"/>
        </w:rPr>
        <w:t>r</w:t>
      </w:r>
      <w:r>
        <w:rPr>
          <w:rFonts w:eastAsia="Times New Roman" w:cs="Calibri"/>
          <w:lang w:eastAsia="en-AU"/>
        </w:rPr>
        <w:t>eport</w:t>
      </w:r>
      <w:r w:rsidRPr="00E3445D">
        <w:rPr>
          <w:rFonts w:eastAsia="Times New Roman" w:cs="Calibri"/>
          <w:lang w:eastAsia="en-AU"/>
        </w:rPr>
        <w:t>. Ai Group supported further consideration in a later review.</w:t>
      </w:r>
      <w:r w:rsidRPr="00E3445D">
        <w:rPr>
          <w:rStyle w:val="FootnoteReference"/>
          <w:rFonts w:eastAsia="Times New Roman" w:cs="Calibri"/>
          <w:lang w:eastAsia="en-AU"/>
        </w:rPr>
        <w:footnoteReference w:id="1061"/>
      </w:r>
      <w:r w:rsidRPr="00E3445D">
        <w:rPr>
          <w:rFonts w:eastAsia="Times New Roman" w:cs="Calibri"/>
          <w:lang w:eastAsia="en-AU"/>
        </w:rPr>
        <w:t xml:space="preserve"> ACCI and Ai Group reiterated concerns about specific issues like deeds of settlement.</w:t>
      </w:r>
      <w:r w:rsidRPr="00E3445D">
        <w:rPr>
          <w:rStyle w:val="FootnoteReference"/>
          <w:rFonts w:eastAsia="Times New Roman" w:cs="Calibri"/>
          <w:lang w:eastAsia="en-AU"/>
        </w:rPr>
        <w:footnoteReference w:id="1062"/>
      </w:r>
      <w:r w:rsidRPr="00E3445D">
        <w:rPr>
          <w:rFonts w:eastAsia="Times New Roman" w:cs="Calibri"/>
          <w:lang w:eastAsia="en-AU"/>
        </w:rPr>
        <w:t xml:space="preserve"> Clubs Australia and </w:t>
      </w:r>
      <w:r w:rsidR="0065449F">
        <w:rPr>
          <w:rFonts w:eastAsia="Times New Roman" w:cs="Calibri"/>
          <w:lang w:eastAsia="en-AU"/>
        </w:rPr>
        <w:t xml:space="preserve">the </w:t>
      </w:r>
      <w:r w:rsidR="0065449F" w:rsidRPr="0065449F">
        <w:rPr>
          <w:rFonts w:eastAsia="Times New Roman" w:cs="Calibri"/>
          <w:lang w:eastAsia="en-AU"/>
        </w:rPr>
        <w:t>Australian Retailers Association</w:t>
      </w:r>
      <w:r w:rsidRPr="00E3445D">
        <w:rPr>
          <w:rFonts w:eastAsia="Times New Roman" w:cs="Calibri"/>
          <w:lang w:eastAsia="en-AU"/>
        </w:rPr>
        <w:t xml:space="preserve"> again noted concerns about the impacts on workplace culture and the need for additional support for small businesses.</w:t>
      </w:r>
      <w:r w:rsidRPr="00E3445D">
        <w:rPr>
          <w:rStyle w:val="FootnoteReference"/>
        </w:rPr>
        <w:footnoteReference w:id="1063"/>
      </w:r>
    </w:p>
    <w:p w14:paraId="2FCCD3E9" w14:textId="77777777" w:rsidR="000A0EB4" w:rsidRPr="00635E79" w:rsidRDefault="000A0EB4" w:rsidP="00BE034D">
      <w:pPr>
        <w:pStyle w:val="Heading4"/>
      </w:pPr>
      <w:bookmarkStart w:id="484" w:name="_Toc188003396"/>
      <w:bookmarkStart w:id="485" w:name="_Toc188277947"/>
      <w:bookmarkStart w:id="486" w:name="_Toc189260299"/>
      <w:bookmarkStart w:id="487" w:name="_Toc189393615"/>
      <w:r w:rsidRPr="00635E79">
        <w:t>27.3 Findings and recommendations</w:t>
      </w:r>
      <w:bookmarkEnd w:id="484"/>
      <w:bookmarkEnd w:id="485"/>
      <w:bookmarkEnd w:id="486"/>
      <w:bookmarkEnd w:id="487"/>
    </w:p>
    <w:p w14:paraId="5FEA5767" w14:textId="77777777" w:rsidR="000A0EB4" w:rsidRPr="00167CB8" w:rsidRDefault="000A0EB4" w:rsidP="000A0EB4">
      <w:pPr>
        <w:rPr>
          <w:lang w:eastAsia="en-AU"/>
        </w:rPr>
      </w:pPr>
      <w:r w:rsidRPr="396ABCA7">
        <w:rPr>
          <w:lang w:eastAsia="en-AU"/>
        </w:rPr>
        <w:t>The new pay transparency provisions in the Fair Work Act took effect on 7 December 2022. To date there is limited evidence regarding the impacts of this legislation</w:t>
      </w:r>
      <w:r>
        <w:rPr>
          <w:lang w:eastAsia="en-AU"/>
        </w:rPr>
        <w:t>; specifically, the ‘shadow effect’. F</w:t>
      </w:r>
      <w:r w:rsidRPr="396ABCA7">
        <w:rPr>
          <w:lang w:eastAsia="en-AU"/>
        </w:rPr>
        <w:t xml:space="preserve">or example, </w:t>
      </w:r>
      <w:r>
        <w:rPr>
          <w:lang w:eastAsia="en-AU"/>
        </w:rPr>
        <w:t xml:space="preserve">it is difficult to know </w:t>
      </w:r>
      <w:r w:rsidRPr="396ABCA7">
        <w:rPr>
          <w:lang w:eastAsia="en-AU"/>
        </w:rPr>
        <w:t>whether better informed employees are achieving better pay or conditions or about the impacts of transparency on workplace harmony.</w:t>
      </w:r>
    </w:p>
    <w:p w14:paraId="3C27E861" w14:textId="77777777" w:rsidR="000A0EB4" w:rsidRPr="00167CB8" w:rsidRDefault="000A0EB4" w:rsidP="00635E79">
      <w:pPr>
        <w:rPr>
          <w:lang w:eastAsia="en-AU"/>
        </w:rPr>
      </w:pPr>
      <w:r w:rsidRPr="00167CB8">
        <w:rPr>
          <w:lang w:eastAsia="en-AU"/>
        </w:rPr>
        <w:t>To address this gap, the Review Panel recommends that the Australian Government support comprehensive research to examine how the new laws are affecting employers and employees in advance of a further review (</w:t>
      </w:r>
      <w:r w:rsidRPr="00E3445D">
        <w:rPr>
          <w:lang w:eastAsia="en-AU"/>
        </w:rPr>
        <w:t>contained in</w:t>
      </w:r>
      <w:r>
        <w:rPr>
          <w:lang w:eastAsia="en-AU"/>
        </w:rPr>
        <w:t xml:space="preserve"> </w:t>
      </w:r>
      <w:r w:rsidRPr="00167CB8">
        <w:rPr>
          <w:lang w:eastAsia="en-AU"/>
        </w:rPr>
        <w:t>Recommendation 1). Key areas of investigation could include:</w:t>
      </w:r>
    </w:p>
    <w:p w14:paraId="620AA289" w14:textId="77777777" w:rsidR="000A0EB4" w:rsidRPr="00167CB8" w:rsidRDefault="000A0EB4" w:rsidP="003F7EE6">
      <w:pPr>
        <w:pStyle w:val="ListBullet"/>
        <w:numPr>
          <w:ilvl w:val="0"/>
          <w:numId w:val="4"/>
        </w:numPr>
      </w:pPr>
      <w:r w:rsidRPr="00167CB8">
        <w:t>employees’ and employers’ understanding of pay transparency</w:t>
      </w:r>
    </w:p>
    <w:p w14:paraId="4D0A3EAE" w14:textId="77777777" w:rsidR="000A0EB4" w:rsidRPr="00167CB8" w:rsidRDefault="000A0EB4" w:rsidP="003F7EE6">
      <w:pPr>
        <w:pStyle w:val="ListBullet"/>
        <w:numPr>
          <w:ilvl w:val="0"/>
          <w:numId w:val="4"/>
        </w:numPr>
      </w:pPr>
      <w:r w:rsidRPr="00167CB8">
        <w:t>sources of information on pay transparency for employees and employers</w:t>
      </w:r>
    </w:p>
    <w:p w14:paraId="1D137C0B" w14:textId="77777777" w:rsidR="000A0EB4" w:rsidRPr="00167CB8" w:rsidRDefault="000A0EB4" w:rsidP="003F7EE6">
      <w:pPr>
        <w:pStyle w:val="ListBullet"/>
        <w:numPr>
          <w:ilvl w:val="0"/>
          <w:numId w:val="4"/>
        </w:numPr>
      </w:pPr>
      <w:r w:rsidRPr="00167CB8">
        <w:lastRenderedPageBreak/>
        <w:t>the frequency and characteristics (e.g. occupations, industries, workplace size) of employees requesting wage information</w:t>
      </w:r>
    </w:p>
    <w:p w14:paraId="0F8A7BE1" w14:textId="77777777" w:rsidR="000A0EB4" w:rsidRPr="00167CB8" w:rsidRDefault="000A0EB4" w:rsidP="003F7EE6">
      <w:pPr>
        <w:pStyle w:val="ListBullet"/>
        <w:numPr>
          <w:ilvl w:val="0"/>
          <w:numId w:val="4"/>
        </w:numPr>
      </w:pPr>
      <w:r w:rsidRPr="00167CB8">
        <w:t>employers’ responses to the legislation</w:t>
      </w:r>
    </w:p>
    <w:p w14:paraId="4EBF1DF6" w14:textId="77777777" w:rsidR="000A0EB4" w:rsidRPr="00167CB8" w:rsidRDefault="000A0EB4" w:rsidP="003F7EE6">
      <w:pPr>
        <w:pStyle w:val="ListBullet"/>
        <w:numPr>
          <w:ilvl w:val="0"/>
          <w:numId w:val="4"/>
        </w:numPr>
      </w:pPr>
      <w:r w:rsidRPr="396ABCA7">
        <w:t>whether the legislation is achieving its intended goals and producing additional benefits (e.g. improved employee attraction, trust, workplace harmony, productivity)</w:t>
      </w:r>
    </w:p>
    <w:p w14:paraId="14ED3B30" w14:textId="77777777" w:rsidR="000A0EB4" w:rsidRPr="00167CB8" w:rsidRDefault="000A0EB4" w:rsidP="003F7EE6">
      <w:pPr>
        <w:pStyle w:val="ListBullet"/>
        <w:numPr>
          <w:ilvl w:val="0"/>
          <w:numId w:val="4"/>
        </w:numPr>
      </w:pPr>
      <w:r w:rsidRPr="396ABCA7">
        <w:t xml:space="preserve">the effect of the legislation on the culture of pay transparency in workplaces </w:t>
      </w:r>
      <w:r w:rsidRPr="396ABCA7">
        <w:rPr>
          <w:rFonts w:ascii="Symbol" w:eastAsia="Symbol" w:hAnsi="Symbol" w:cs="Symbol"/>
        </w:rPr>
        <w:t>-</w:t>
      </w:r>
      <w:r w:rsidRPr="396ABCA7">
        <w:t xml:space="preserve"> whether a culture of pay secrecy still remains, notwithstanding the legislative reforms</w:t>
      </w:r>
    </w:p>
    <w:p w14:paraId="6C046B97" w14:textId="77777777" w:rsidR="000A0EB4" w:rsidRPr="00167CB8" w:rsidRDefault="000A0EB4" w:rsidP="003F7EE6">
      <w:pPr>
        <w:pStyle w:val="ListBullet"/>
        <w:numPr>
          <w:ilvl w:val="0"/>
          <w:numId w:val="4"/>
        </w:numPr>
      </w:pPr>
      <w:r w:rsidRPr="00167CB8">
        <w:t>the identification of any unintended consequences.</w:t>
      </w:r>
    </w:p>
    <w:p w14:paraId="00A060D1" w14:textId="77777777" w:rsidR="000A0EB4" w:rsidRDefault="000A0EB4" w:rsidP="00635E79">
      <w:pPr>
        <w:rPr>
          <w:lang w:eastAsia="en-AU"/>
        </w:rPr>
      </w:pPr>
      <w:r w:rsidRPr="396ABCA7">
        <w:rPr>
          <w:lang w:eastAsia="en-AU"/>
        </w:rPr>
        <w:t>As well as supporting a further review of the Secure Jobs, Better Pay amendments, this research should also inform future policy decisions, including whether the laws should be extended beyond employees to other groups of workers such as contractors.</w:t>
      </w:r>
    </w:p>
    <w:p w14:paraId="23AEE734" w14:textId="77777777" w:rsidR="000A0EB4" w:rsidRPr="00A27AE9" w:rsidRDefault="000A0EB4" w:rsidP="000A0EB4">
      <w:pPr>
        <w:spacing w:after="160"/>
        <w:rPr>
          <w:rStyle w:val="Emphasis"/>
          <w:b/>
          <w:i w:val="0"/>
          <w:strike/>
        </w:rPr>
      </w:pPr>
      <w:r w:rsidRPr="00A27AE9">
        <w:rPr>
          <w:rStyle w:val="Emphasis"/>
          <w:b/>
          <w:i w:val="0"/>
          <w:strike/>
        </w:rPr>
        <w:br w:type="page"/>
      </w:r>
    </w:p>
    <w:p w14:paraId="07E86EFE" w14:textId="77777777" w:rsidR="000A0EB4" w:rsidRPr="00635E79" w:rsidRDefault="000A0EB4" w:rsidP="00BE034D">
      <w:pPr>
        <w:pStyle w:val="Heading3"/>
      </w:pPr>
      <w:bookmarkStart w:id="488" w:name="_Toc188003397"/>
      <w:bookmarkStart w:id="489" w:name="_Toc188277948"/>
      <w:bookmarkStart w:id="490" w:name="_Toc189260300"/>
      <w:bookmarkStart w:id="491" w:name="_Toc189393616"/>
      <w:bookmarkStart w:id="492" w:name="_Toc194311436"/>
      <w:r w:rsidRPr="00635E79">
        <w:lastRenderedPageBreak/>
        <w:t>Chapter 28. Prohibiting sexual harassment in connection with work</w:t>
      </w:r>
      <w:bookmarkEnd w:id="488"/>
      <w:bookmarkEnd w:id="489"/>
      <w:bookmarkEnd w:id="490"/>
      <w:bookmarkEnd w:id="491"/>
      <w:bookmarkEnd w:id="492"/>
    </w:p>
    <w:p w14:paraId="075097AF" w14:textId="77777777" w:rsidR="0011475D" w:rsidRDefault="000A0EB4" w:rsidP="001F1278">
      <w:r w:rsidRPr="396ABCA7">
        <w:t>In this chapter the focus is on Part 8 (Prohibiting sexual harassment in connection with work) of Schedule 1 to the Secure Jobs, Better Pay Act.</w:t>
      </w:r>
    </w:p>
    <w:p w14:paraId="6495EFA0" w14:textId="01CBED05" w:rsidR="000A0EB4" w:rsidRPr="00635E79" w:rsidRDefault="000A0EB4" w:rsidP="001F1278">
      <w:pPr>
        <w:pStyle w:val="Heading4"/>
      </w:pPr>
      <w:bookmarkStart w:id="493" w:name="_Toc188003398"/>
      <w:bookmarkStart w:id="494" w:name="_Toc188277949"/>
      <w:bookmarkStart w:id="495" w:name="_Toc189260301"/>
      <w:bookmarkStart w:id="496" w:name="_Toc189393617"/>
      <w:r w:rsidRPr="00635E79">
        <w:t>28.1 Amendments and intent</w:t>
      </w:r>
      <w:bookmarkEnd w:id="493"/>
      <w:bookmarkEnd w:id="494"/>
      <w:bookmarkEnd w:id="495"/>
      <w:bookmarkEnd w:id="496"/>
    </w:p>
    <w:p w14:paraId="6716B7E5" w14:textId="77777777" w:rsidR="000A0EB4" w:rsidRPr="00167CB8" w:rsidRDefault="000A0EB4" w:rsidP="000A0EB4">
      <w:pPr>
        <w:rPr>
          <w:rFonts w:cstheme="minorHAnsi"/>
        </w:rPr>
      </w:pPr>
      <w:r w:rsidRPr="00167CB8">
        <w:t xml:space="preserve">Part 8 of Schedule 1 to the </w:t>
      </w:r>
      <w:r w:rsidRPr="00167CB8">
        <w:rPr>
          <w:rFonts w:cstheme="minorHAnsi"/>
        </w:rPr>
        <w:t>Secure Jobs, Better Pay</w:t>
      </w:r>
      <w:r w:rsidRPr="00167CB8">
        <w:t xml:space="preserve"> </w:t>
      </w:r>
      <w:r w:rsidRPr="0065449F">
        <w:t>Act made several changes</w:t>
      </w:r>
      <w:r w:rsidRPr="00167CB8">
        <w:t xml:space="preserve"> to the Fair Work Act. The following section provides a summary of the main changes.</w:t>
      </w:r>
    </w:p>
    <w:p w14:paraId="6D99C62C" w14:textId="77777777" w:rsidR="000A0EB4" w:rsidRPr="00635E79" w:rsidRDefault="000A0EB4" w:rsidP="001F1278">
      <w:pPr>
        <w:pStyle w:val="Heading5"/>
      </w:pPr>
      <w:bookmarkStart w:id="497" w:name="_Toc188003399"/>
      <w:r w:rsidRPr="00635E79">
        <w:t>28.1.1 Secure Jobs, Better Pay amendments</w:t>
      </w:r>
      <w:bookmarkEnd w:id="497"/>
    </w:p>
    <w:p w14:paraId="3F547B19" w14:textId="77777777" w:rsidR="000A0EB4" w:rsidRPr="00167CB8" w:rsidRDefault="000A0EB4" w:rsidP="00635E79">
      <w:pPr>
        <w:rPr>
          <w:lang w:eastAsia="en-AU"/>
        </w:rPr>
      </w:pPr>
      <w:r w:rsidRPr="00167CB8">
        <w:rPr>
          <w:lang w:eastAsia="en-AU"/>
        </w:rPr>
        <w:t>The main change to the Fair Work Act concerns the insertion of a new Part 3-5A (Prohibiting sexual harassment in connection with work). Division 1 of the new Part 3-5A provides an introductory guide and other technical matters for Part 3-5A. Division 2 prohibits sexual harassment in connection with work and provides matters on vicarious liability. Division 3 broadly deals with sexual harassment disputes.</w:t>
      </w:r>
    </w:p>
    <w:p w14:paraId="27034454" w14:textId="77777777" w:rsidR="000A0EB4" w:rsidRPr="00167CB8" w:rsidRDefault="000A0EB4" w:rsidP="000A0EB4">
      <w:pPr>
        <w:spacing w:before="100" w:beforeAutospacing="1" w:after="100" w:afterAutospacing="1"/>
        <w:rPr>
          <w:rFonts w:eastAsia="Times New Roman" w:cs="Calibri"/>
          <w:lang w:eastAsia="en-AU"/>
        </w:rPr>
      </w:pPr>
      <w:r w:rsidRPr="00167CB8">
        <w:rPr>
          <w:rFonts w:eastAsia="Times New Roman" w:cs="Calibri"/>
          <w:lang w:eastAsia="en-AU"/>
        </w:rPr>
        <w:t>Focusing on Division 2 (Prohibiting sexual harassment in connection with work), the key amendments are:</w:t>
      </w:r>
    </w:p>
    <w:p w14:paraId="4361009D" w14:textId="03D85A92" w:rsidR="000A0EB4" w:rsidRPr="0065449F" w:rsidRDefault="000A0EB4" w:rsidP="003F7EE6">
      <w:pPr>
        <w:pStyle w:val="ListBullet"/>
        <w:numPr>
          <w:ilvl w:val="0"/>
          <w:numId w:val="4"/>
        </w:numPr>
      </w:pPr>
      <w:r w:rsidRPr="0065449F">
        <w:t>Section 527D(1): ‘A person (the first person) must not sexually harass another person (the second person) who is: (a) a worker in a business or undertaking; or (b) seeking to become a worker in a particular business or undertaking; or (c) a person conducting a business or undertaking</w:t>
      </w:r>
      <w:r w:rsidR="0065449F">
        <w:t>.</w:t>
      </w:r>
      <w:r w:rsidRPr="0065449F">
        <w:t>’</w:t>
      </w:r>
    </w:p>
    <w:p w14:paraId="7B61666A" w14:textId="5A1EFF81" w:rsidR="000A0EB4" w:rsidRPr="00167CB8" w:rsidRDefault="000A0EB4" w:rsidP="003F7EE6">
      <w:pPr>
        <w:pStyle w:val="ListBullet"/>
        <w:numPr>
          <w:ilvl w:val="0"/>
          <w:numId w:val="4"/>
        </w:numPr>
      </w:pPr>
      <w:r w:rsidRPr="00167CB8">
        <w:t xml:space="preserve">Section 527D(2): ‘For the purpose of this Part, worker has the same meaning as in the </w:t>
      </w:r>
      <w:r w:rsidRPr="00167CB8">
        <w:rPr>
          <w:i/>
          <w:iCs/>
        </w:rPr>
        <w:t>Work Health and Safety Act 2011</w:t>
      </w:r>
      <w:r w:rsidRPr="00167CB8">
        <w:t xml:space="preserve">’ </w:t>
      </w:r>
      <w:r w:rsidRPr="00167CB8">
        <w:rPr>
          <w:rFonts w:ascii="Symbol" w:eastAsia="Symbol" w:hAnsi="Symbol" w:cs="Symbol"/>
        </w:rPr>
        <w:t>-</w:t>
      </w:r>
      <w:r w:rsidRPr="00167CB8">
        <w:t xml:space="preserve"> in this regard, ‘a worker is an individual who performs work in any capacity, including as an employee, a contractor, a subcontractor, an outworker, an apprentice, a trainee, a student gaining work experience or a volunteer</w:t>
      </w:r>
      <w:r w:rsidR="0065449F">
        <w:t>.</w:t>
      </w:r>
      <w:r w:rsidRPr="00167CB8">
        <w:t>’</w:t>
      </w:r>
    </w:p>
    <w:p w14:paraId="7B4C5734" w14:textId="77777777" w:rsidR="0011475D" w:rsidRDefault="000A0EB4" w:rsidP="003F7EE6">
      <w:pPr>
        <w:pStyle w:val="ListBullet"/>
        <w:numPr>
          <w:ilvl w:val="0"/>
          <w:numId w:val="4"/>
        </w:numPr>
      </w:pPr>
      <w:r w:rsidRPr="396ABCA7">
        <w:t>Section 527E: This is a new section that establishes vicarious liability for employers regarding acts of sexual harassment committed by their employees or agents in connection with work. However, the employer may, potentially, not be found liable if they can show that they took all reasonable steps to prevent sexual harassment from occurring.</w:t>
      </w:r>
    </w:p>
    <w:p w14:paraId="214998A9" w14:textId="7EEA3DA8" w:rsidR="000A0EB4" w:rsidRPr="00167CB8" w:rsidRDefault="000A0EB4" w:rsidP="00635E79">
      <w:pPr>
        <w:rPr>
          <w:lang w:eastAsia="en-AU"/>
        </w:rPr>
      </w:pPr>
      <w:r w:rsidRPr="00167CB8">
        <w:rPr>
          <w:lang w:eastAsia="en-AU"/>
        </w:rPr>
        <w:t>Division 3 (dealing with sexual harassment disputes) may be broadly summarised as follows:</w:t>
      </w:r>
    </w:p>
    <w:p w14:paraId="1CC5EEA4" w14:textId="77777777" w:rsidR="0011475D" w:rsidRDefault="000A0EB4" w:rsidP="003F7EE6">
      <w:pPr>
        <w:pStyle w:val="ListBullet"/>
        <w:numPr>
          <w:ilvl w:val="0"/>
          <w:numId w:val="4"/>
        </w:numPr>
      </w:pPr>
      <w:r w:rsidRPr="396ABCA7">
        <w:t>Section 527F: This section sets out what an ‘aggrieved person’ or their representative may ask the Fair Work Commission (FWC) to do when dealing with the dispute. The FWC may make a stop order or they may try to resolve the dispute (e.g. through conciliation, mediation, making a recommendation or arbitration by consent).</w:t>
      </w:r>
    </w:p>
    <w:p w14:paraId="7F4CC6E0" w14:textId="120A0B2F" w:rsidR="000A0EB4" w:rsidRPr="00167CB8" w:rsidRDefault="000A0EB4" w:rsidP="003F7EE6">
      <w:pPr>
        <w:pStyle w:val="ListBullet"/>
        <w:numPr>
          <w:ilvl w:val="0"/>
          <w:numId w:val="4"/>
        </w:numPr>
      </w:pPr>
      <w:r w:rsidRPr="00167CB8">
        <w:t>Section 527G: This section concerns the time for application: ‘[t]he FWC may dismiss an application that is made under s.527F more than 24 months after the contravention, or the last of the contraventions, of Division 2 is alleged to have occurred’</w:t>
      </w:r>
      <w:r w:rsidR="001F1278">
        <w:t>.</w:t>
      </w:r>
    </w:p>
    <w:p w14:paraId="4A4A335F" w14:textId="77777777" w:rsidR="0011475D" w:rsidRDefault="000A0EB4" w:rsidP="003F7EE6">
      <w:pPr>
        <w:pStyle w:val="ListBullet"/>
        <w:numPr>
          <w:ilvl w:val="0"/>
          <w:numId w:val="4"/>
        </w:numPr>
      </w:pPr>
      <w:r w:rsidRPr="396ABCA7">
        <w:t>Section 527H: This section states that an application to the FWC to deal with a sexual harassment dispute must be accompanied by a fee. It also states that regulations may prescribe, relevantly, ‘(c) the circumstances in which all or part of the fee may be waived or refunded’.</w:t>
      </w:r>
    </w:p>
    <w:p w14:paraId="3F6B098D" w14:textId="673C647C" w:rsidR="000A0EB4" w:rsidRPr="00167CB8" w:rsidRDefault="000A0EB4" w:rsidP="003F7EE6">
      <w:pPr>
        <w:pStyle w:val="ListBullet"/>
        <w:numPr>
          <w:ilvl w:val="0"/>
          <w:numId w:val="4"/>
        </w:numPr>
      </w:pPr>
      <w:r w:rsidRPr="00167CB8">
        <w:lastRenderedPageBreak/>
        <w:t>Section 527J: This section sets out the matters related to ‘stop sexual harassment orders’</w:t>
      </w:r>
      <w:r w:rsidR="001F1278">
        <w:t>,</w:t>
      </w:r>
      <w:r w:rsidRPr="00167CB8">
        <w:t xml:space="preserve"> including that the FWC may dismiss an application if the application relates to Australia’s defence or national security, amongst other matters.</w:t>
      </w:r>
    </w:p>
    <w:p w14:paraId="085A3C18" w14:textId="77777777" w:rsidR="000A0EB4" w:rsidRPr="00167CB8" w:rsidRDefault="000A0EB4" w:rsidP="000A0EB4">
      <w:pPr>
        <w:rPr>
          <w:color w:val="777778" w:themeColor="accent5"/>
        </w:rPr>
      </w:pPr>
      <w:r w:rsidRPr="396ABCA7">
        <w:rPr>
          <w:rFonts w:eastAsia="Times New Roman" w:cs="Calibri"/>
          <w:lang w:eastAsia="en-AU"/>
        </w:rPr>
        <w:t>These amendments commenced in two stages, on 6 March 2023 and 9 June 2024.</w:t>
      </w:r>
    </w:p>
    <w:p w14:paraId="2035AD5B" w14:textId="77777777" w:rsidR="0011475D" w:rsidRPr="001B2E3C" w:rsidRDefault="000A0EB4" w:rsidP="00BE034D">
      <w:pPr>
        <w:pStyle w:val="Heading5"/>
      </w:pPr>
      <w:bookmarkStart w:id="498" w:name="_Toc188003400"/>
      <w:r w:rsidRPr="001B2E3C">
        <w:t xml:space="preserve">28.1.2 Intent of </w:t>
      </w:r>
      <w:r w:rsidRPr="00BE034D">
        <w:t xml:space="preserve">Secure Jobs, Better Pay </w:t>
      </w:r>
      <w:r w:rsidRPr="001B2E3C">
        <w:t>amendments</w:t>
      </w:r>
      <w:bookmarkEnd w:id="498"/>
    </w:p>
    <w:p w14:paraId="5BC45BE3" w14:textId="77777777" w:rsidR="0011475D" w:rsidRDefault="000A0EB4" w:rsidP="000A0EB4">
      <w:r w:rsidRPr="396ABCA7">
        <w:t>These reforms are intended to improve gender equality by ‘achieving safe, productive and gender equitable workplaces’.</w:t>
      </w:r>
      <w:r w:rsidRPr="396ABCA7">
        <w:rPr>
          <w:rStyle w:val="FootnoteReference"/>
        </w:rPr>
        <w:footnoteReference w:id="1064"/>
      </w:r>
    </w:p>
    <w:p w14:paraId="6060612A" w14:textId="46483920" w:rsidR="000A0EB4" w:rsidRPr="00167CB8" w:rsidRDefault="000A0EB4" w:rsidP="000A0EB4">
      <w:r w:rsidRPr="396ABCA7">
        <w:t>Prior to the Secure Jobs, Better Pay amendments:</w:t>
      </w:r>
      <w:r w:rsidRPr="396ABCA7">
        <w:rPr>
          <w:vertAlign w:val="superscript"/>
        </w:rPr>
        <w:footnoteReference w:id="1065"/>
      </w:r>
    </w:p>
    <w:p w14:paraId="5ACC4B3B" w14:textId="77777777" w:rsidR="0011475D" w:rsidRDefault="000A0EB4" w:rsidP="00400EF1">
      <w:pPr>
        <w:pStyle w:val="Quote"/>
      </w:pPr>
      <w:r w:rsidRPr="00167CB8">
        <w:t>[The Fair Work Act did] not expressly prohibit sexual harassment. However, it [could] be raised indirectly in matters brought to the Fair Work Commission through a number of provisions: general protections against ‘adverse action’ on the basis of a workplace right; general protections against ‘adverse action’ on the basis of sex’; the anti-bullying jurisdiction; unfair dismissal; unlawful termination on the grounds of sex.</w:t>
      </w:r>
    </w:p>
    <w:p w14:paraId="3C5806DD" w14:textId="77777777" w:rsidR="0011475D" w:rsidRDefault="000A0EB4" w:rsidP="000A0EB4">
      <w:r w:rsidRPr="396ABCA7">
        <w:t>These reforms intend to offer workers a simple, efficient, and affordable process for lodging complaints. The changes broaden the range of jurisdictions that can address sexual harassment complaints, with the FWC pathway designed to facilitate prompt resolution and support victim-survivors in maintaining their workplace connections.</w:t>
      </w:r>
    </w:p>
    <w:p w14:paraId="34572909" w14:textId="77777777" w:rsidR="0011475D" w:rsidRDefault="000A0EB4" w:rsidP="000A0EB4">
      <w:r w:rsidRPr="396ABCA7">
        <w:t xml:space="preserve">The changes were made in response to the Australian Human Rights Commission’s (AHRC) </w:t>
      </w:r>
      <w:r w:rsidRPr="396ABCA7">
        <w:rPr>
          <w:i/>
          <w:iCs/>
        </w:rPr>
        <w:t>Respect@Work: Sexual Harassment National Inquiry Report 2020</w:t>
      </w:r>
      <w:r w:rsidRPr="396ABCA7">
        <w:rPr>
          <w:rStyle w:val="FootnoteReference"/>
        </w:rPr>
        <w:footnoteReference w:id="1066"/>
      </w:r>
      <w:r w:rsidRPr="396ABCA7">
        <w:t xml:space="preserve"> (Respect@Work Report). This inquiry was established in response to evidence that sexual harassment in Australian workplaces was ‘widespread and pervasive’ and the approach to addressing it was complex, making it hard for aggrieved persons to make a complaint. A key recommendation (recommendation 28) of the Respect@Work</w:t>
      </w:r>
      <w:r w:rsidRPr="396ABCA7">
        <w:rPr>
          <w:i/>
          <w:iCs/>
        </w:rPr>
        <w:t xml:space="preserve"> </w:t>
      </w:r>
      <w:r w:rsidRPr="396ABCA7">
        <w:t>Report was that ‘[t]he Fair Work system be reviewed to ensure and clarify that sexual harassment, using the definition in the Sex Discrimination Act, is expressly prohibited’.</w:t>
      </w:r>
    </w:p>
    <w:p w14:paraId="70E071BD" w14:textId="2DCFCC78" w:rsidR="000A0EB4" w:rsidRPr="00167CB8" w:rsidRDefault="000A0EB4" w:rsidP="000A0EB4">
      <w:r w:rsidRPr="396ABCA7">
        <w:t xml:space="preserve">In the federal jurisdiction there are </w:t>
      </w:r>
      <w:r w:rsidR="001F1278">
        <w:t>three</w:t>
      </w:r>
      <w:r w:rsidRPr="396ABCA7">
        <w:t xml:space="preserve"> key pieces of legislation concerning sexual harassment:</w:t>
      </w:r>
    </w:p>
    <w:p w14:paraId="6D7844F6" w14:textId="77777777" w:rsidR="000A0EB4" w:rsidRPr="00167CB8" w:rsidRDefault="000A0EB4" w:rsidP="003F7EE6">
      <w:pPr>
        <w:pStyle w:val="ListBullet"/>
        <w:numPr>
          <w:ilvl w:val="0"/>
          <w:numId w:val="4"/>
        </w:numPr>
      </w:pPr>
      <w:r w:rsidRPr="001B2E3C">
        <w:rPr>
          <w:i/>
        </w:rPr>
        <w:t>Sex Discrimination Act 1984</w:t>
      </w:r>
      <w:r w:rsidRPr="396ABCA7">
        <w:t xml:space="preserve"> (Cth)</w:t>
      </w:r>
    </w:p>
    <w:p w14:paraId="39FA8163" w14:textId="77777777" w:rsidR="000A0EB4" w:rsidRPr="00167CB8" w:rsidRDefault="000A0EB4" w:rsidP="003F7EE6">
      <w:pPr>
        <w:pStyle w:val="ListBullet"/>
        <w:numPr>
          <w:ilvl w:val="0"/>
          <w:numId w:val="4"/>
        </w:numPr>
      </w:pPr>
      <w:r w:rsidRPr="001B2E3C">
        <w:rPr>
          <w:i/>
        </w:rPr>
        <w:t>Australian Human Rights Commission Act 1986</w:t>
      </w:r>
      <w:r w:rsidRPr="396ABCA7">
        <w:t xml:space="preserve"> (Cth)</w:t>
      </w:r>
    </w:p>
    <w:p w14:paraId="5A427BB8" w14:textId="5118F5F4" w:rsidR="000A0EB4" w:rsidRPr="00167CB8" w:rsidRDefault="000A0EB4" w:rsidP="003F7EE6">
      <w:pPr>
        <w:pStyle w:val="ListBullet"/>
        <w:numPr>
          <w:ilvl w:val="0"/>
          <w:numId w:val="4"/>
        </w:numPr>
      </w:pPr>
      <w:r w:rsidRPr="00360547">
        <w:rPr>
          <w:iCs/>
        </w:rPr>
        <w:t>Fair Work Act</w:t>
      </w:r>
      <w:r w:rsidR="001F1278">
        <w:t>.</w:t>
      </w:r>
    </w:p>
    <w:p w14:paraId="7C201F6B" w14:textId="77777777" w:rsidR="0011475D" w:rsidRDefault="000A0EB4" w:rsidP="000A0EB4">
      <w:r w:rsidRPr="396ABCA7">
        <w:lastRenderedPageBreak/>
        <w:t>In addition to the above there are also state anti-discrimination laws and state workplace relation laws and work health and safety laws.</w:t>
      </w:r>
      <w:r w:rsidRPr="396ABCA7">
        <w:rPr>
          <w:rStyle w:val="FootnoteReference"/>
        </w:rPr>
        <w:footnoteReference w:id="1067"/>
      </w:r>
    </w:p>
    <w:p w14:paraId="3304E18C" w14:textId="55A027B5" w:rsidR="000A0EB4" w:rsidRPr="00167CB8" w:rsidRDefault="000A0EB4" w:rsidP="000A0EB4">
      <w:pPr>
        <w:rPr>
          <w:rFonts w:cstheme="minorHAnsi"/>
        </w:rPr>
      </w:pPr>
      <w:r w:rsidRPr="00167CB8">
        <w:rPr>
          <w:rFonts w:cstheme="minorHAnsi"/>
        </w:rPr>
        <w:t>Employees may lodge complaints via multiple avenues, including:</w:t>
      </w:r>
    </w:p>
    <w:p w14:paraId="1282F5D7" w14:textId="77777777" w:rsidR="0011475D" w:rsidRDefault="000A0EB4" w:rsidP="003F7EE6">
      <w:pPr>
        <w:pStyle w:val="ListBullet"/>
        <w:numPr>
          <w:ilvl w:val="0"/>
          <w:numId w:val="4"/>
        </w:numPr>
      </w:pPr>
      <w:r w:rsidRPr="00167CB8">
        <w:t>the FWC – for stop sexual harassment orders or applications to deal with the dispute</w:t>
      </w:r>
    </w:p>
    <w:p w14:paraId="00D054C0" w14:textId="3398DDB0" w:rsidR="000A0EB4" w:rsidRPr="00167CB8" w:rsidRDefault="000A0EB4" w:rsidP="003F7EE6">
      <w:pPr>
        <w:pStyle w:val="ListBullet"/>
        <w:numPr>
          <w:ilvl w:val="0"/>
          <w:numId w:val="4"/>
        </w:numPr>
      </w:pPr>
      <w:r w:rsidRPr="00167CB8">
        <w:t xml:space="preserve">the </w:t>
      </w:r>
      <w:r w:rsidRPr="0065449F">
        <w:t>AHRC</w:t>
      </w:r>
      <w:r w:rsidRPr="00167CB8">
        <w:t xml:space="preserve"> – which deals with complaints under the </w:t>
      </w:r>
      <w:r w:rsidRPr="00167CB8">
        <w:rPr>
          <w:i/>
          <w:iCs/>
        </w:rPr>
        <w:t>Sex Discrimination Act 1984</w:t>
      </w:r>
    </w:p>
    <w:p w14:paraId="5350010C" w14:textId="77777777" w:rsidR="000A0EB4" w:rsidRPr="00167CB8" w:rsidRDefault="000A0EB4" w:rsidP="003F7EE6">
      <w:pPr>
        <w:pStyle w:val="ListBullet"/>
        <w:numPr>
          <w:ilvl w:val="0"/>
          <w:numId w:val="4"/>
        </w:numPr>
      </w:pPr>
      <w:r w:rsidRPr="00167CB8">
        <w:t>work health and safety regulators – which deal with complaints as a workplace safety issue.</w:t>
      </w:r>
    </w:p>
    <w:p w14:paraId="60859E65" w14:textId="77777777" w:rsidR="0011475D" w:rsidRDefault="000A0EB4" w:rsidP="000A0EB4">
      <w:r w:rsidRPr="396ABCA7">
        <w:t xml:space="preserve">At the same time a new ‘positive duty’ on employers, businesses and organisations was also included in the </w:t>
      </w:r>
      <w:r w:rsidRPr="396ABCA7">
        <w:rPr>
          <w:i/>
          <w:iCs/>
        </w:rPr>
        <w:t>Sex Discrimination Act 1984</w:t>
      </w:r>
      <w:r w:rsidRPr="396ABCA7">
        <w:t>.</w:t>
      </w:r>
      <w:r w:rsidRPr="396ABCA7">
        <w:rPr>
          <w:rStyle w:val="FootnoteReference"/>
        </w:rPr>
        <w:footnoteReference w:id="1068"/>
      </w:r>
    </w:p>
    <w:p w14:paraId="68FF7800" w14:textId="3F935EC5" w:rsidR="0011475D" w:rsidRDefault="000A0EB4" w:rsidP="000A0EB4">
      <w:r w:rsidRPr="396ABCA7">
        <w:t>The Respect@Work Council’s 2022 guide to external pathways in Australia to address sexual harassment sets out the eligibility requirements and appropriateness of different pathways, including anti-discrimination and human rights bodies, workplace relations bodies, workers’ compensation bodies and work health and safety regulators.</w:t>
      </w:r>
      <w:r w:rsidRPr="396ABCA7">
        <w:rPr>
          <w:rStyle w:val="FootnoteReference"/>
        </w:rPr>
        <w:footnoteReference w:id="1069"/>
      </w:r>
      <w:r w:rsidRPr="396ABCA7">
        <w:t xml:space="preserve"> </w:t>
      </w:r>
      <w:r w:rsidR="00BE034D">
        <w:t xml:space="preserve">Table </w:t>
      </w:r>
      <w:r w:rsidR="003F30E2">
        <w:t xml:space="preserve">22 </w:t>
      </w:r>
      <w:r w:rsidRPr="396ABCA7">
        <w:t xml:space="preserve">provides a high-level overview of the key </w:t>
      </w:r>
      <w:r w:rsidRPr="0065449F">
        <w:t>differences between the FWC’s jurisdiction to issue stop sexual harassment orders</w:t>
      </w:r>
      <w:r w:rsidR="0065449F">
        <w:t xml:space="preserve"> and those of the </w:t>
      </w:r>
      <w:r w:rsidRPr="0065449F">
        <w:t>AHRC and work health and safety regulators</w:t>
      </w:r>
      <w:r w:rsidR="00C323D4">
        <w:t>. It</w:t>
      </w:r>
      <w:r w:rsidRPr="0065449F">
        <w:t xml:space="preserve"> is not intended to be a comprehensive</w:t>
      </w:r>
      <w:r w:rsidRPr="396ABCA7">
        <w:t xml:space="preserve"> comparison of avenues.</w:t>
      </w:r>
    </w:p>
    <w:p w14:paraId="0D4C444A" w14:textId="47502746" w:rsidR="000A0EB4" w:rsidRDefault="000A0EB4" w:rsidP="000A0EB4">
      <w:pPr>
        <w:spacing w:after="160"/>
        <w:rPr>
          <w:rFonts w:cs="Calibri"/>
          <w:b/>
          <w:bCs/>
          <w:lang w:val="en-US"/>
        </w:rPr>
      </w:pPr>
      <w:r>
        <w:br w:type="page"/>
      </w:r>
    </w:p>
    <w:p w14:paraId="41E49224" w14:textId="47DD7A18" w:rsidR="000A0EB4" w:rsidRPr="00167CB8" w:rsidRDefault="00BE034D" w:rsidP="007F380D">
      <w:pPr>
        <w:pStyle w:val="Caption"/>
      </w:pPr>
      <w:bookmarkStart w:id="499" w:name="_Toc194251446"/>
      <w:r>
        <w:lastRenderedPageBreak/>
        <w:t xml:space="preserve">Table </w:t>
      </w:r>
      <w:r>
        <w:fldChar w:fldCharType="begin"/>
      </w:r>
      <w:r>
        <w:instrText xml:space="preserve"> SEQ Table \* ARABIC </w:instrText>
      </w:r>
      <w:r>
        <w:fldChar w:fldCharType="separate"/>
      </w:r>
      <w:r w:rsidR="00DE5F5E">
        <w:rPr>
          <w:noProof/>
        </w:rPr>
        <w:t>22</w:t>
      </w:r>
      <w:r>
        <w:fldChar w:fldCharType="end"/>
      </w:r>
      <w:r>
        <w:t xml:space="preserve">: </w:t>
      </w:r>
      <w:r w:rsidR="000A0EB4" w:rsidRPr="00167CB8">
        <w:t>High-level overview of the key differences between pathways</w:t>
      </w:r>
      <w:bookmarkEnd w:id="499"/>
      <w:r w:rsidR="000A0EB4" w:rsidRPr="00167CB8">
        <w:t xml:space="preserve"> </w:t>
      </w:r>
    </w:p>
    <w:tbl>
      <w:tblPr>
        <w:tblStyle w:val="TableGrid"/>
        <w:tblW w:w="0" w:type="auto"/>
        <w:tblLook w:val="04A0" w:firstRow="1" w:lastRow="0" w:firstColumn="1" w:lastColumn="0" w:noHBand="0" w:noVBand="1"/>
      </w:tblPr>
      <w:tblGrid>
        <w:gridCol w:w="1555"/>
        <w:gridCol w:w="2487"/>
        <w:gridCol w:w="2487"/>
        <w:gridCol w:w="2487"/>
      </w:tblGrid>
      <w:tr w:rsidR="000A0EB4" w:rsidRPr="00167CB8" w14:paraId="00F3E95F" w14:textId="77777777">
        <w:trPr>
          <w:trHeight w:val="624"/>
        </w:trPr>
        <w:tc>
          <w:tcPr>
            <w:tcW w:w="1555" w:type="dxa"/>
            <w:vAlign w:val="bottom"/>
          </w:tcPr>
          <w:p w14:paraId="78C73EF3" w14:textId="77777777" w:rsidR="000A0EB4" w:rsidRPr="00167CB8" w:rsidRDefault="000A0EB4">
            <w:pPr>
              <w:spacing w:after="0"/>
            </w:pPr>
          </w:p>
        </w:tc>
        <w:tc>
          <w:tcPr>
            <w:tcW w:w="2487" w:type="dxa"/>
          </w:tcPr>
          <w:p w14:paraId="0EC6E23F" w14:textId="77777777" w:rsidR="000A0EB4" w:rsidRPr="00167CB8" w:rsidRDefault="000A0EB4">
            <w:pPr>
              <w:spacing w:after="0"/>
              <w:rPr>
                <w:b/>
              </w:rPr>
            </w:pPr>
            <w:r w:rsidRPr="00167CB8">
              <w:rPr>
                <w:b/>
              </w:rPr>
              <w:t>Australian Human Rights Commission</w:t>
            </w:r>
            <w:r w:rsidRPr="00167CB8">
              <w:rPr>
                <w:rStyle w:val="FootnoteReference"/>
                <w:b/>
              </w:rPr>
              <w:footnoteReference w:id="1070"/>
            </w:r>
          </w:p>
        </w:tc>
        <w:tc>
          <w:tcPr>
            <w:tcW w:w="2487" w:type="dxa"/>
          </w:tcPr>
          <w:p w14:paraId="7EE24900" w14:textId="77777777" w:rsidR="000A0EB4" w:rsidRPr="00167CB8" w:rsidRDefault="000A0EB4">
            <w:pPr>
              <w:spacing w:after="0"/>
              <w:rPr>
                <w:b/>
              </w:rPr>
            </w:pPr>
            <w:r w:rsidRPr="00167CB8">
              <w:rPr>
                <w:b/>
              </w:rPr>
              <w:t>Fair Work Commission</w:t>
            </w:r>
            <w:r w:rsidRPr="00E3445D">
              <w:rPr>
                <w:rStyle w:val="FootnoteReference"/>
                <w:b/>
              </w:rPr>
              <w:footnoteReference w:id="1071"/>
            </w:r>
          </w:p>
        </w:tc>
        <w:tc>
          <w:tcPr>
            <w:tcW w:w="2487" w:type="dxa"/>
          </w:tcPr>
          <w:p w14:paraId="4A177518" w14:textId="77777777" w:rsidR="000A0EB4" w:rsidRPr="00167CB8" w:rsidRDefault="000A0EB4">
            <w:pPr>
              <w:spacing w:after="0"/>
              <w:rPr>
                <w:b/>
              </w:rPr>
            </w:pPr>
            <w:r w:rsidRPr="00167CB8">
              <w:rPr>
                <w:b/>
              </w:rPr>
              <w:t>Work health and safety regulators</w:t>
            </w:r>
            <w:r w:rsidRPr="00167CB8">
              <w:rPr>
                <w:rStyle w:val="FootnoteReference"/>
                <w:b/>
              </w:rPr>
              <w:footnoteReference w:id="1072"/>
            </w:r>
          </w:p>
        </w:tc>
      </w:tr>
      <w:tr w:rsidR="000A0EB4" w:rsidRPr="00C262DB" w14:paraId="69286754" w14:textId="77777777">
        <w:trPr>
          <w:trHeight w:val="624"/>
        </w:trPr>
        <w:tc>
          <w:tcPr>
            <w:tcW w:w="1555" w:type="dxa"/>
          </w:tcPr>
          <w:p w14:paraId="284C9836" w14:textId="77777777" w:rsidR="000A0EB4" w:rsidRPr="00C262DB" w:rsidRDefault="000A0EB4">
            <w:pPr>
              <w:spacing w:after="0"/>
              <w:rPr>
                <w:b/>
                <w:sz w:val="20"/>
                <w:szCs w:val="20"/>
              </w:rPr>
            </w:pPr>
            <w:r w:rsidRPr="00C262DB">
              <w:rPr>
                <w:b/>
                <w:sz w:val="20"/>
                <w:szCs w:val="20"/>
              </w:rPr>
              <w:t>Role</w:t>
            </w:r>
          </w:p>
        </w:tc>
        <w:tc>
          <w:tcPr>
            <w:tcW w:w="2487" w:type="dxa"/>
          </w:tcPr>
          <w:p w14:paraId="1D781A06" w14:textId="2AAD0D53" w:rsidR="000A0EB4" w:rsidRPr="00C262DB" w:rsidRDefault="000A0EB4">
            <w:pPr>
              <w:spacing w:after="0"/>
              <w:rPr>
                <w:sz w:val="20"/>
                <w:szCs w:val="20"/>
              </w:rPr>
            </w:pPr>
            <w:r w:rsidRPr="00C262DB">
              <w:rPr>
                <w:sz w:val="20"/>
                <w:szCs w:val="20"/>
              </w:rPr>
              <w:t>Resolves complaints of discrimination, including complaints about workplace sexual harassment</w:t>
            </w:r>
            <w:r w:rsidR="0065449F">
              <w:rPr>
                <w:sz w:val="20"/>
                <w:szCs w:val="20"/>
              </w:rPr>
              <w:t>.</w:t>
            </w:r>
          </w:p>
        </w:tc>
        <w:tc>
          <w:tcPr>
            <w:tcW w:w="2487" w:type="dxa"/>
          </w:tcPr>
          <w:p w14:paraId="238B2552" w14:textId="2C320D9D" w:rsidR="000A0EB4" w:rsidRPr="00C262DB" w:rsidRDefault="000A0EB4">
            <w:pPr>
              <w:spacing w:after="0"/>
              <w:rPr>
                <w:sz w:val="20"/>
                <w:szCs w:val="20"/>
              </w:rPr>
            </w:pPr>
            <w:r w:rsidRPr="00E3445D">
              <w:rPr>
                <w:sz w:val="20"/>
                <w:szCs w:val="20"/>
              </w:rPr>
              <w:t>Hears applications to resolve sexual harassment disputes and for orders to stop sexual harassment (in connection with work)</w:t>
            </w:r>
            <w:r w:rsidR="0065449F">
              <w:rPr>
                <w:sz w:val="20"/>
                <w:szCs w:val="20"/>
              </w:rPr>
              <w:t>.</w:t>
            </w:r>
          </w:p>
        </w:tc>
        <w:tc>
          <w:tcPr>
            <w:tcW w:w="2487" w:type="dxa"/>
          </w:tcPr>
          <w:p w14:paraId="2C238169" w14:textId="2611451C" w:rsidR="000A0EB4" w:rsidRPr="00C262DB" w:rsidRDefault="000A0EB4">
            <w:pPr>
              <w:spacing w:after="0"/>
              <w:rPr>
                <w:sz w:val="20"/>
                <w:szCs w:val="20"/>
              </w:rPr>
            </w:pPr>
            <w:r w:rsidRPr="00C262DB">
              <w:rPr>
                <w:sz w:val="20"/>
                <w:szCs w:val="20"/>
              </w:rPr>
              <w:t>Promote safe and healthy workplaces and reduce risks of health or safety incidents, including by investigating work health and safety issues</w:t>
            </w:r>
            <w:r w:rsidR="0065449F">
              <w:rPr>
                <w:sz w:val="20"/>
                <w:szCs w:val="20"/>
              </w:rPr>
              <w:t>.</w:t>
            </w:r>
          </w:p>
        </w:tc>
      </w:tr>
      <w:tr w:rsidR="000A0EB4" w:rsidRPr="00C262DB" w14:paraId="1F374832" w14:textId="77777777">
        <w:trPr>
          <w:trHeight w:val="624"/>
        </w:trPr>
        <w:tc>
          <w:tcPr>
            <w:tcW w:w="1555" w:type="dxa"/>
          </w:tcPr>
          <w:p w14:paraId="4E110354" w14:textId="77777777" w:rsidR="000A0EB4" w:rsidRPr="00C262DB" w:rsidRDefault="000A0EB4">
            <w:pPr>
              <w:spacing w:after="0"/>
              <w:rPr>
                <w:b/>
                <w:sz w:val="20"/>
                <w:szCs w:val="20"/>
              </w:rPr>
            </w:pPr>
            <w:r w:rsidRPr="00C262DB">
              <w:rPr>
                <w:b/>
                <w:sz w:val="20"/>
                <w:szCs w:val="20"/>
              </w:rPr>
              <w:t>Dispute resolution process</w:t>
            </w:r>
          </w:p>
        </w:tc>
        <w:tc>
          <w:tcPr>
            <w:tcW w:w="2487" w:type="dxa"/>
          </w:tcPr>
          <w:p w14:paraId="7DB98EC5" w14:textId="77777777" w:rsidR="000A0EB4" w:rsidRPr="00C262DB" w:rsidRDefault="000A0EB4">
            <w:pPr>
              <w:spacing w:after="0"/>
              <w:rPr>
                <w:sz w:val="20"/>
                <w:szCs w:val="20"/>
              </w:rPr>
            </w:pPr>
            <w:r w:rsidRPr="00C262DB">
              <w:rPr>
                <w:sz w:val="20"/>
                <w:szCs w:val="20"/>
              </w:rPr>
              <w:t>Conciliation</w:t>
            </w:r>
          </w:p>
        </w:tc>
        <w:tc>
          <w:tcPr>
            <w:tcW w:w="2487" w:type="dxa"/>
          </w:tcPr>
          <w:p w14:paraId="706B1B07" w14:textId="77777777" w:rsidR="0011475D" w:rsidRDefault="000A0EB4">
            <w:pPr>
              <w:spacing w:after="0"/>
              <w:rPr>
                <w:sz w:val="20"/>
                <w:szCs w:val="20"/>
              </w:rPr>
            </w:pPr>
            <w:r w:rsidRPr="00C262DB">
              <w:rPr>
                <w:sz w:val="20"/>
                <w:szCs w:val="20"/>
              </w:rPr>
              <w:t>Conciliation or mediation</w:t>
            </w:r>
          </w:p>
          <w:p w14:paraId="6E8DF592" w14:textId="2BAB9475" w:rsidR="000A0EB4" w:rsidRPr="00C262DB" w:rsidRDefault="000A0EB4">
            <w:pPr>
              <w:spacing w:after="0"/>
              <w:rPr>
                <w:sz w:val="20"/>
                <w:szCs w:val="20"/>
              </w:rPr>
            </w:pPr>
            <w:r w:rsidRPr="00C262DB">
              <w:rPr>
                <w:sz w:val="20"/>
                <w:szCs w:val="20"/>
              </w:rPr>
              <w:t>Conference</w:t>
            </w:r>
          </w:p>
          <w:p w14:paraId="5712DC52" w14:textId="5873B2D9" w:rsidR="000A0EB4" w:rsidRPr="00C262DB" w:rsidRDefault="000A0EB4">
            <w:pPr>
              <w:spacing w:after="0"/>
              <w:rPr>
                <w:sz w:val="20"/>
                <w:szCs w:val="20"/>
              </w:rPr>
            </w:pPr>
            <w:r w:rsidRPr="00C262DB">
              <w:rPr>
                <w:sz w:val="20"/>
                <w:szCs w:val="20"/>
              </w:rPr>
              <w:t>Formal hearing</w:t>
            </w:r>
          </w:p>
        </w:tc>
        <w:tc>
          <w:tcPr>
            <w:tcW w:w="2487" w:type="dxa"/>
          </w:tcPr>
          <w:p w14:paraId="099B206A" w14:textId="0CA343B2" w:rsidR="000A0EB4" w:rsidRPr="00C262DB" w:rsidRDefault="000A0EB4">
            <w:pPr>
              <w:spacing w:after="0"/>
              <w:rPr>
                <w:sz w:val="20"/>
                <w:szCs w:val="20"/>
              </w:rPr>
            </w:pPr>
            <w:r w:rsidRPr="396ABCA7">
              <w:rPr>
                <w:sz w:val="20"/>
                <w:szCs w:val="20"/>
              </w:rPr>
              <w:t>Generally, parties should resolve the dispute at the workplace level before escalating to a regulator who may conduct an investigation of the workplace</w:t>
            </w:r>
            <w:r w:rsidR="0065449F">
              <w:rPr>
                <w:sz w:val="20"/>
                <w:szCs w:val="20"/>
              </w:rPr>
              <w:t>.</w:t>
            </w:r>
          </w:p>
        </w:tc>
      </w:tr>
      <w:tr w:rsidR="000A0EB4" w:rsidRPr="00C262DB" w14:paraId="023A8E96" w14:textId="77777777">
        <w:trPr>
          <w:trHeight w:val="624"/>
        </w:trPr>
        <w:tc>
          <w:tcPr>
            <w:tcW w:w="1555" w:type="dxa"/>
          </w:tcPr>
          <w:p w14:paraId="26D956CB" w14:textId="77777777" w:rsidR="000A0EB4" w:rsidRPr="00C262DB" w:rsidRDefault="000A0EB4">
            <w:pPr>
              <w:spacing w:after="0"/>
              <w:rPr>
                <w:b/>
                <w:sz w:val="20"/>
                <w:szCs w:val="20"/>
              </w:rPr>
            </w:pPr>
            <w:r w:rsidRPr="00C262DB">
              <w:rPr>
                <w:b/>
                <w:sz w:val="20"/>
                <w:szCs w:val="20"/>
              </w:rPr>
              <w:t>Remedies</w:t>
            </w:r>
          </w:p>
        </w:tc>
        <w:tc>
          <w:tcPr>
            <w:tcW w:w="2487" w:type="dxa"/>
          </w:tcPr>
          <w:p w14:paraId="7AE37F29" w14:textId="77777777" w:rsidR="000A0EB4" w:rsidRPr="00C262DB" w:rsidRDefault="000A0EB4">
            <w:pPr>
              <w:spacing w:after="0"/>
              <w:rPr>
                <w:sz w:val="20"/>
                <w:szCs w:val="20"/>
              </w:rPr>
            </w:pPr>
            <w:r w:rsidRPr="00C262DB">
              <w:rPr>
                <w:sz w:val="20"/>
                <w:szCs w:val="20"/>
              </w:rPr>
              <w:t>Compensation</w:t>
            </w:r>
          </w:p>
          <w:p w14:paraId="7D642A8D" w14:textId="77777777" w:rsidR="0011475D" w:rsidRDefault="000A0EB4">
            <w:pPr>
              <w:spacing w:after="0"/>
              <w:rPr>
                <w:sz w:val="20"/>
                <w:szCs w:val="20"/>
              </w:rPr>
            </w:pPr>
            <w:r w:rsidRPr="00C262DB">
              <w:rPr>
                <w:sz w:val="20"/>
                <w:szCs w:val="20"/>
              </w:rPr>
              <w:t>Apology</w:t>
            </w:r>
          </w:p>
          <w:p w14:paraId="7B4C342B" w14:textId="57F8C32B" w:rsidR="000A0EB4" w:rsidRPr="00C262DB" w:rsidRDefault="000A0EB4">
            <w:pPr>
              <w:spacing w:after="0"/>
              <w:rPr>
                <w:sz w:val="20"/>
                <w:szCs w:val="20"/>
              </w:rPr>
            </w:pPr>
            <w:r w:rsidRPr="00C262DB">
              <w:rPr>
                <w:sz w:val="20"/>
                <w:szCs w:val="20"/>
              </w:rPr>
              <w:t>Job reinstatement</w:t>
            </w:r>
          </w:p>
          <w:p w14:paraId="357A6170" w14:textId="77777777" w:rsidR="000A0EB4" w:rsidRPr="00C262DB" w:rsidRDefault="000A0EB4">
            <w:pPr>
              <w:spacing w:after="0"/>
              <w:rPr>
                <w:sz w:val="20"/>
                <w:szCs w:val="20"/>
              </w:rPr>
            </w:pPr>
            <w:r w:rsidRPr="00C262DB">
              <w:rPr>
                <w:sz w:val="20"/>
                <w:szCs w:val="20"/>
              </w:rPr>
              <w:t>Changes to workplace practices</w:t>
            </w:r>
          </w:p>
        </w:tc>
        <w:tc>
          <w:tcPr>
            <w:tcW w:w="2487" w:type="dxa"/>
          </w:tcPr>
          <w:p w14:paraId="32F8DD6E" w14:textId="77777777" w:rsidR="000A0EB4" w:rsidRPr="00C262DB" w:rsidRDefault="000A0EB4">
            <w:pPr>
              <w:spacing w:after="0"/>
              <w:rPr>
                <w:sz w:val="20"/>
                <w:szCs w:val="20"/>
              </w:rPr>
            </w:pPr>
            <w:r w:rsidRPr="00C262DB">
              <w:rPr>
                <w:sz w:val="20"/>
                <w:szCs w:val="20"/>
              </w:rPr>
              <w:t>Conciliation may result in changes in work arrangements, or conducting a safety risk assessment of the workplace</w:t>
            </w:r>
          </w:p>
          <w:p w14:paraId="10539357" w14:textId="6C82A0D3" w:rsidR="000A0EB4" w:rsidRPr="00C262DB" w:rsidRDefault="000A0EB4">
            <w:pPr>
              <w:spacing w:after="0"/>
              <w:rPr>
                <w:sz w:val="20"/>
                <w:szCs w:val="20"/>
              </w:rPr>
            </w:pPr>
            <w:r w:rsidRPr="00C262DB">
              <w:rPr>
                <w:sz w:val="20"/>
                <w:szCs w:val="20"/>
              </w:rPr>
              <w:t xml:space="preserve">If conciliation or mediation is unsuccessful, </w:t>
            </w:r>
            <w:r>
              <w:rPr>
                <w:sz w:val="20"/>
                <w:szCs w:val="20"/>
              </w:rPr>
              <w:t xml:space="preserve">may issue </w:t>
            </w:r>
            <w:r w:rsidRPr="00C262DB">
              <w:rPr>
                <w:sz w:val="20"/>
                <w:szCs w:val="20"/>
              </w:rPr>
              <w:t>stop sexual harassment order</w:t>
            </w:r>
            <w:r>
              <w:rPr>
                <w:sz w:val="20"/>
                <w:szCs w:val="20"/>
              </w:rPr>
              <w:t>s</w:t>
            </w:r>
            <w:r w:rsidRPr="00E3445D">
              <w:rPr>
                <w:sz w:val="20"/>
                <w:szCs w:val="20"/>
              </w:rPr>
              <w:t>, certificates or orders (in consent arbitration).</w:t>
            </w:r>
          </w:p>
        </w:tc>
        <w:tc>
          <w:tcPr>
            <w:tcW w:w="2487" w:type="dxa"/>
          </w:tcPr>
          <w:p w14:paraId="714823EE" w14:textId="77777777" w:rsidR="000A0EB4" w:rsidRPr="00C262DB" w:rsidRDefault="000A0EB4">
            <w:pPr>
              <w:spacing w:after="0"/>
              <w:rPr>
                <w:sz w:val="20"/>
                <w:szCs w:val="20"/>
              </w:rPr>
            </w:pPr>
            <w:r w:rsidRPr="00C262DB">
              <w:rPr>
                <w:sz w:val="20"/>
                <w:szCs w:val="20"/>
              </w:rPr>
              <w:t>Less focused on individual remedies</w:t>
            </w:r>
          </w:p>
          <w:p w14:paraId="77974B8E" w14:textId="4EFA0132" w:rsidR="000A0EB4" w:rsidRPr="00C262DB" w:rsidRDefault="000A0EB4">
            <w:pPr>
              <w:spacing w:after="0"/>
              <w:rPr>
                <w:sz w:val="20"/>
                <w:szCs w:val="20"/>
              </w:rPr>
            </w:pPr>
            <w:r w:rsidRPr="00C262DB">
              <w:rPr>
                <w:sz w:val="20"/>
                <w:szCs w:val="20"/>
              </w:rPr>
              <w:t>Investigations can result in things such as improvement notices or prosecution (less common)</w:t>
            </w:r>
            <w:r w:rsidR="0065449F">
              <w:rPr>
                <w:sz w:val="20"/>
                <w:szCs w:val="20"/>
              </w:rPr>
              <w:t>.</w:t>
            </w:r>
          </w:p>
        </w:tc>
      </w:tr>
      <w:tr w:rsidR="000A0EB4" w:rsidRPr="00C262DB" w14:paraId="2D5BB310" w14:textId="77777777">
        <w:trPr>
          <w:trHeight w:val="624"/>
        </w:trPr>
        <w:tc>
          <w:tcPr>
            <w:tcW w:w="1555" w:type="dxa"/>
          </w:tcPr>
          <w:p w14:paraId="1B7CB7AF" w14:textId="77777777" w:rsidR="000A0EB4" w:rsidRPr="00C262DB" w:rsidRDefault="000A0EB4">
            <w:pPr>
              <w:spacing w:after="0"/>
              <w:rPr>
                <w:b/>
                <w:sz w:val="20"/>
                <w:szCs w:val="20"/>
              </w:rPr>
            </w:pPr>
            <w:r w:rsidRPr="00C262DB">
              <w:rPr>
                <w:b/>
                <w:sz w:val="20"/>
                <w:szCs w:val="20"/>
              </w:rPr>
              <w:t>Time to resolve complaint</w:t>
            </w:r>
          </w:p>
        </w:tc>
        <w:tc>
          <w:tcPr>
            <w:tcW w:w="2487" w:type="dxa"/>
          </w:tcPr>
          <w:p w14:paraId="1A9F67FB" w14:textId="2C017E12" w:rsidR="000A0EB4" w:rsidRPr="00C262DB" w:rsidRDefault="000A0EB4">
            <w:pPr>
              <w:spacing w:after="0"/>
              <w:rPr>
                <w:sz w:val="20"/>
                <w:szCs w:val="20"/>
              </w:rPr>
            </w:pPr>
            <w:r w:rsidRPr="00C262DB">
              <w:rPr>
                <w:sz w:val="20"/>
                <w:szCs w:val="20"/>
              </w:rPr>
              <w:t xml:space="preserve">At least </w:t>
            </w:r>
            <w:r w:rsidR="0065449F">
              <w:rPr>
                <w:sz w:val="20"/>
                <w:szCs w:val="20"/>
              </w:rPr>
              <w:t>five</w:t>
            </w:r>
            <w:r w:rsidRPr="00C262DB">
              <w:rPr>
                <w:sz w:val="20"/>
                <w:szCs w:val="20"/>
              </w:rPr>
              <w:t xml:space="preserve"> months</w:t>
            </w:r>
          </w:p>
        </w:tc>
        <w:tc>
          <w:tcPr>
            <w:tcW w:w="2487" w:type="dxa"/>
          </w:tcPr>
          <w:p w14:paraId="7064C386" w14:textId="7FFAC789" w:rsidR="000A0EB4" w:rsidRPr="00E3445D" w:rsidRDefault="000B0D3C">
            <w:pPr>
              <w:spacing w:after="0"/>
              <w:rPr>
                <w:sz w:val="20"/>
                <w:szCs w:val="20"/>
              </w:rPr>
            </w:pPr>
            <w:r>
              <w:rPr>
                <w:sz w:val="20"/>
                <w:szCs w:val="20"/>
              </w:rPr>
              <w:t>Aims for w</w:t>
            </w:r>
            <w:r w:rsidR="000A0EB4" w:rsidRPr="00E3445D">
              <w:rPr>
                <w:sz w:val="20"/>
                <w:szCs w:val="20"/>
              </w:rPr>
              <w:t>ithin 16 weeks</w:t>
            </w:r>
          </w:p>
          <w:p w14:paraId="64ADE67C" w14:textId="77777777" w:rsidR="000A0EB4" w:rsidRPr="00C262DB" w:rsidRDefault="000A0EB4">
            <w:pPr>
              <w:spacing w:after="0"/>
              <w:rPr>
                <w:sz w:val="20"/>
                <w:szCs w:val="20"/>
              </w:rPr>
            </w:pPr>
            <w:r w:rsidRPr="00E3445D">
              <w:rPr>
                <w:sz w:val="20"/>
                <w:szCs w:val="20"/>
              </w:rPr>
              <w:t xml:space="preserve">(starts within </w:t>
            </w:r>
            <w:r w:rsidRPr="003A53B8">
              <w:rPr>
                <w:sz w:val="20"/>
                <w:szCs w:val="20"/>
              </w:rPr>
              <w:t>14 days</w:t>
            </w:r>
            <w:r w:rsidRPr="00E3445D">
              <w:rPr>
                <w:sz w:val="20"/>
                <w:szCs w:val="20"/>
              </w:rPr>
              <w:t>)</w:t>
            </w:r>
          </w:p>
        </w:tc>
        <w:tc>
          <w:tcPr>
            <w:tcW w:w="2487" w:type="dxa"/>
          </w:tcPr>
          <w:p w14:paraId="7E701828" w14:textId="77777777" w:rsidR="000A0EB4" w:rsidRPr="00C262DB" w:rsidRDefault="000A0EB4">
            <w:pPr>
              <w:spacing w:after="0"/>
              <w:rPr>
                <w:sz w:val="20"/>
                <w:szCs w:val="20"/>
              </w:rPr>
            </w:pPr>
            <w:r w:rsidRPr="00C262DB">
              <w:rPr>
                <w:sz w:val="20"/>
                <w:szCs w:val="20"/>
              </w:rPr>
              <w:t>Variable</w:t>
            </w:r>
          </w:p>
        </w:tc>
      </w:tr>
      <w:tr w:rsidR="000A0EB4" w:rsidRPr="00C262DB" w14:paraId="720395E7" w14:textId="77777777">
        <w:trPr>
          <w:trHeight w:val="624"/>
        </w:trPr>
        <w:tc>
          <w:tcPr>
            <w:tcW w:w="1555" w:type="dxa"/>
          </w:tcPr>
          <w:p w14:paraId="31F14275" w14:textId="77777777" w:rsidR="000A0EB4" w:rsidRPr="00C262DB" w:rsidRDefault="000A0EB4">
            <w:pPr>
              <w:spacing w:after="0"/>
              <w:rPr>
                <w:b/>
                <w:sz w:val="20"/>
                <w:szCs w:val="20"/>
              </w:rPr>
            </w:pPr>
            <w:r w:rsidRPr="00C262DB">
              <w:rPr>
                <w:b/>
                <w:sz w:val="20"/>
                <w:szCs w:val="20"/>
              </w:rPr>
              <w:t xml:space="preserve">Cost to lodge </w:t>
            </w:r>
          </w:p>
        </w:tc>
        <w:tc>
          <w:tcPr>
            <w:tcW w:w="2487" w:type="dxa"/>
          </w:tcPr>
          <w:p w14:paraId="0F8F4D96" w14:textId="77777777" w:rsidR="000A0EB4" w:rsidRPr="00C262DB" w:rsidRDefault="000A0EB4">
            <w:pPr>
              <w:spacing w:after="0"/>
              <w:rPr>
                <w:sz w:val="20"/>
                <w:szCs w:val="20"/>
              </w:rPr>
            </w:pPr>
            <w:r w:rsidRPr="00C262DB">
              <w:rPr>
                <w:sz w:val="20"/>
                <w:szCs w:val="20"/>
              </w:rPr>
              <w:t>Free</w:t>
            </w:r>
          </w:p>
          <w:p w14:paraId="07A0271F" w14:textId="34C3607E" w:rsidR="000A0EB4" w:rsidRPr="00C262DB" w:rsidRDefault="000A0EB4">
            <w:pPr>
              <w:spacing w:after="0"/>
              <w:rPr>
                <w:sz w:val="20"/>
                <w:szCs w:val="20"/>
              </w:rPr>
            </w:pPr>
            <w:r w:rsidRPr="396ABCA7">
              <w:rPr>
                <w:i/>
                <w:iCs/>
                <w:sz w:val="20"/>
                <w:szCs w:val="20"/>
              </w:rPr>
              <w:t>If complaint remains unresolved and the matter proceeds to court or tribunal processes, parties are responsible for their own legal costs</w:t>
            </w:r>
            <w:r w:rsidR="0065449F">
              <w:rPr>
                <w:i/>
                <w:iCs/>
                <w:sz w:val="20"/>
                <w:szCs w:val="20"/>
              </w:rPr>
              <w:t>.</w:t>
            </w:r>
            <w:r w:rsidRPr="396ABCA7">
              <w:rPr>
                <w:i/>
                <w:iCs/>
                <w:sz w:val="20"/>
                <w:szCs w:val="20"/>
              </w:rPr>
              <w:t xml:space="preserve"> </w:t>
            </w:r>
          </w:p>
        </w:tc>
        <w:tc>
          <w:tcPr>
            <w:tcW w:w="2487" w:type="dxa"/>
          </w:tcPr>
          <w:p w14:paraId="26098982" w14:textId="77777777" w:rsidR="000A0EB4" w:rsidRDefault="000A0EB4">
            <w:pPr>
              <w:spacing w:after="0"/>
              <w:rPr>
                <w:sz w:val="20"/>
                <w:szCs w:val="20"/>
              </w:rPr>
            </w:pPr>
            <w:r>
              <w:rPr>
                <w:sz w:val="20"/>
                <w:szCs w:val="20"/>
              </w:rPr>
              <w:t>Free</w:t>
            </w:r>
          </w:p>
          <w:p w14:paraId="56ED115F" w14:textId="4A3D7644" w:rsidR="000A0EB4" w:rsidRPr="004F5EC1" w:rsidRDefault="000A0EB4">
            <w:pPr>
              <w:spacing w:after="0"/>
              <w:rPr>
                <w:i/>
                <w:sz w:val="20"/>
                <w:szCs w:val="20"/>
              </w:rPr>
            </w:pPr>
            <w:r w:rsidRPr="004F5EC1">
              <w:rPr>
                <w:i/>
                <w:sz w:val="20"/>
                <w:szCs w:val="20"/>
              </w:rPr>
              <w:t>$87.20 (FY 2024</w:t>
            </w:r>
            <w:r w:rsidRPr="004F5EC1">
              <w:rPr>
                <w:rFonts w:ascii="Symbol" w:eastAsia="Symbol" w:hAnsi="Symbol" w:cs="Symbol"/>
                <w:i/>
                <w:sz w:val="20"/>
                <w:szCs w:val="20"/>
              </w:rPr>
              <w:t>-</w:t>
            </w:r>
            <w:r w:rsidRPr="004F5EC1">
              <w:rPr>
                <w:i/>
                <w:sz w:val="20"/>
                <w:szCs w:val="20"/>
              </w:rPr>
              <w:t xml:space="preserve">25) for orders to stop sexual harassment </w:t>
            </w:r>
            <w:r w:rsidRPr="00E3445D">
              <w:rPr>
                <w:i/>
                <w:sz w:val="20"/>
                <w:szCs w:val="20"/>
              </w:rPr>
              <w:t>if the sexual harassment happened or started</w:t>
            </w:r>
            <w:r w:rsidRPr="004F5EC1">
              <w:rPr>
                <w:i/>
                <w:sz w:val="20"/>
                <w:szCs w:val="20"/>
              </w:rPr>
              <w:t xml:space="preserve"> before 6 March 2023</w:t>
            </w:r>
            <w:r w:rsidR="0065449F">
              <w:rPr>
                <w:i/>
                <w:sz w:val="20"/>
                <w:szCs w:val="20"/>
              </w:rPr>
              <w:t>.</w:t>
            </w:r>
          </w:p>
        </w:tc>
        <w:tc>
          <w:tcPr>
            <w:tcW w:w="2487" w:type="dxa"/>
          </w:tcPr>
          <w:p w14:paraId="5FC05ED9" w14:textId="77777777" w:rsidR="000A0EB4" w:rsidRPr="00C262DB" w:rsidRDefault="000A0EB4">
            <w:pPr>
              <w:spacing w:after="0"/>
              <w:rPr>
                <w:sz w:val="20"/>
                <w:szCs w:val="20"/>
              </w:rPr>
            </w:pPr>
            <w:r w:rsidRPr="00C262DB">
              <w:rPr>
                <w:sz w:val="20"/>
                <w:szCs w:val="20"/>
              </w:rPr>
              <w:t>N/A</w:t>
            </w:r>
          </w:p>
        </w:tc>
      </w:tr>
    </w:tbl>
    <w:p w14:paraId="0E9AAE6A" w14:textId="77777777" w:rsidR="000A0EB4" w:rsidRPr="00C262DB" w:rsidRDefault="000A0EB4" w:rsidP="000A0EB4">
      <w:pPr>
        <w:rPr>
          <w:sz w:val="20"/>
          <w:szCs w:val="20"/>
        </w:rPr>
      </w:pPr>
    </w:p>
    <w:p w14:paraId="5F21D6C6" w14:textId="77777777" w:rsidR="000A0EB4" w:rsidRPr="00A609AF" w:rsidRDefault="000A0EB4" w:rsidP="001F1278">
      <w:pPr>
        <w:pStyle w:val="Heading4"/>
      </w:pPr>
      <w:bookmarkStart w:id="500" w:name="_Toc188003401"/>
      <w:bookmarkStart w:id="501" w:name="_Toc188277950"/>
      <w:bookmarkStart w:id="502" w:name="_Toc189260302"/>
      <w:bookmarkStart w:id="503" w:name="_Toc189393618"/>
      <w:r w:rsidRPr="00A609AF">
        <w:lastRenderedPageBreak/>
        <w:t>28.2 Impact and issues</w:t>
      </w:r>
      <w:bookmarkEnd w:id="500"/>
      <w:bookmarkEnd w:id="501"/>
      <w:bookmarkEnd w:id="502"/>
      <w:bookmarkEnd w:id="503"/>
    </w:p>
    <w:p w14:paraId="30394199" w14:textId="77777777" w:rsidR="000A0EB4" w:rsidRPr="00167CB8" w:rsidRDefault="000A0EB4" w:rsidP="000A0EB4">
      <w:r w:rsidRPr="00167CB8">
        <w:t>The following describes the data and information considered by the Review Panel when evaluating the amendments discussed above.</w:t>
      </w:r>
    </w:p>
    <w:p w14:paraId="1F9651FE" w14:textId="77777777" w:rsidR="000A0EB4" w:rsidRPr="00A609AF" w:rsidRDefault="000A0EB4" w:rsidP="001F1278">
      <w:pPr>
        <w:pStyle w:val="Heading5"/>
      </w:pPr>
      <w:bookmarkStart w:id="504" w:name="_Toc188003402"/>
      <w:r w:rsidRPr="00A609AF">
        <w:t>28.2.1 Quantitative evidence</w:t>
      </w:r>
      <w:bookmarkEnd w:id="504"/>
    </w:p>
    <w:p w14:paraId="64D434B8" w14:textId="77777777" w:rsidR="000A0EB4" w:rsidRPr="00167CB8" w:rsidRDefault="000A0EB4" w:rsidP="000A0EB4">
      <w:r w:rsidRPr="00167CB8">
        <w:t xml:space="preserve">There is limited quantitative data that the Review Panel may draw on to assess the impact and effects of the amendments. In particular, the Review Panel notes that the legislative changes may be having a ‘shadow effect’ </w:t>
      </w:r>
      <w:r w:rsidRPr="00167CB8">
        <w:rPr>
          <w:rFonts w:ascii="Symbol" w:eastAsia="Symbol" w:hAnsi="Symbol" w:cs="Symbol"/>
        </w:rPr>
        <w:t>-</w:t>
      </w:r>
      <w:r w:rsidRPr="00167CB8">
        <w:t xml:space="preserve"> that is, a change in workplace behaviour that is not captured in any formal statistical data. The Review Panel nevertheless reports available and relevant data from the FWC, Fair Work Ombudsman (FWO) and Workplace Gender Equality Agency (WGEA).</w:t>
      </w:r>
    </w:p>
    <w:p w14:paraId="3BF76091" w14:textId="3E822199" w:rsidR="000A0EB4" w:rsidRPr="00167CB8" w:rsidRDefault="000A0EB4" w:rsidP="000A0EB4">
      <w:r w:rsidRPr="00C24118">
        <w:t xml:space="preserve">Table </w:t>
      </w:r>
      <w:r w:rsidR="008D0558" w:rsidRPr="00C24118">
        <w:t>2</w:t>
      </w:r>
      <w:r w:rsidR="008D0558">
        <w:t>3</w:t>
      </w:r>
      <w:r w:rsidR="008D0558" w:rsidRPr="00C24118">
        <w:t xml:space="preserve"> </w:t>
      </w:r>
      <w:r w:rsidRPr="00C24118">
        <w:t>shows that, between 6 March 2023 and 30 June 2023,</w:t>
      </w:r>
      <w:r w:rsidRPr="00C24118" w:rsidDel="009338BF">
        <w:t xml:space="preserve"> </w:t>
      </w:r>
      <w:r w:rsidRPr="00C24118">
        <w:t>11 applications to deal with sexual harassment disputes were lodged under s 527F.</w:t>
      </w:r>
      <w:r w:rsidRPr="00C24118">
        <w:rPr>
          <w:rStyle w:val="FootnoteReference"/>
        </w:rPr>
        <w:footnoteReference w:id="1073"/>
      </w:r>
      <w:r w:rsidRPr="00C24118">
        <w:t xml:space="preserve"> In 2023</w:t>
      </w:r>
      <w:r w:rsidRPr="00C24118">
        <w:rPr>
          <w:rFonts w:ascii="Symbol" w:eastAsia="Symbol" w:hAnsi="Symbol" w:cs="Symbol"/>
        </w:rPr>
        <w:t>-</w:t>
      </w:r>
      <w:r w:rsidRPr="00C24118">
        <w:t>24 the FWC reported 95 applications under s 527F.</w:t>
      </w:r>
      <w:r w:rsidRPr="00C24118">
        <w:rPr>
          <w:rStyle w:val="FootnoteReference"/>
        </w:rPr>
        <w:footnoteReference w:id="1074"/>
      </w:r>
      <w:r w:rsidRPr="00C24118">
        <w:t xml:space="preserve"> For context, prior to the Secure Jobs, Better Pay amendments, Table </w:t>
      </w:r>
      <w:r w:rsidR="008D0558" w:rsidRPr="00C24118">
        <w:t>2</w:t>
      </w:r>
      <w:r w:rsidR="008D0558">
        <w:t>3</w:t>
      </w:r>
      <w:r w:rsidR="008D0558" w:rsidRPr="00C24118">
        <w:t xml:space="preserve"> </w:t>
      </w:r>
      <w:r w:rsidRPr="00C24118">
        <w:t>also</w:t>
      </w:r>
      <w:r w:rsidRPr="00167CB8">
        <w:t xml:space="preserve"> notes applications under s 789FC of the Fair Work Act.</w:t>
      </w:r>
    </w:p>
    <w:p w14:paraId="1C407FD5" w14:textId="418B2C3A" w:rsidR="000A0EB4" w:rsidRPr="00167CB8" w:rsidRDefault="00BE034D" w:rsidP="00BE034D">
      <w:pPr>
        <w:pStyle w:val="Caption"/>
      </w:pPr>
      <w:bookmarkStart w:id="505" w:name="_Toc189310851"/>
      <w:bookmarkStart w:id="506" w:name="_Toc194251447"/>
      <w:r>
        <w:t xml:space="preserve">Table </w:t>
      </w:r>
      <w:r>
        <w:fldChar w:fldCharType="begin"/>
      </w:r>
      <w:r>
        <w:instrText xml:space="preserve"> SEQ Table \* ARABIC </w:instrText>
      </w:r>
      <w:r>
        <w:fldChar w:fldCharType="separate"/>
      </w:r>
      <w:r w:rsidR="00DE5F5E">
        <w:rPr>
          <w:noProof/>
        </w:rPr>
        <w:t>23</w:t>
      </w:r>
      <w:r>
        <w:fldChar w:fldCharType="end"/>
      </w:r>
      <w:r>
        <w:t xml:space="preserve">: </w:t>
      </w:r>
      <w:r w:rsidR="000A0EB4" w:rsidRPr="001C3169">
        <w:t xml:space="preserve">Applications to the </w:t>
      </w:r>
      <w:r w:rsidR="002E6723">
        <w:t>Fair Work Commission</w:t>
      </w:r>
      <w:r w:rsidR="002E6723" w:rsidRPr="001C3169">
        <w:t xml:space="preserve"> </w:t>
      </w:r>
      <w:r w:rsidR="000A0EB4" w:rsidRPr="001C3169">
        <w:t>to deal with sexual harassment</w:t>
      </w:r>
      <w:bookmarkEnd w:id="505"/>
      <w:bookmarkEnd w:id="506"/>
    </w:p>
    <w:tbl>
      <w:tblPr>
        <w:tblStyle w:val="TableGrid"/>
        <w:tblW w:w="9350" w:type="dxa"/>
        <w:tblLayout w:type="fixed"/>
        <w:tblLook w:val="04A0" w:firstRow="1" w:lastRow="0" w:firstColumn="1" w:lastColumn="0" w:noHBand="0" w:noVBand="1"/>
      </w:tblPr>
      <w:tblGrid>
        <w:gridCol w:w="1271"/>
        <w:gridCol w:w="1445"/>
        <w:gridCol w:w="1446"/>
        <w:gridCol w:w="1362"/>
        <w:gridCol w:w="1488"/>
        <w:gridCol w:w="1488"/>
        <w:gridCol w:w="850"/>
      </w:tblGrid>
      <w:tr w:rsidR="000A0EB4" w:rsidRPr="00BE034D" w14:paraId="44A23A15" w14:textId="77777777">
        <w:trPr>
          <w:trHeight w:val="290"/>
        </w:trPr>
        <w:tc>
          <w:tcPr>
            <w:tcW w:w="1271" w:type="dxa"/>
            <w:vMerge w:val="restart"/>
            <w:noWrap/>
          </w:tcPr>
          <w:p w14:paraId="7174CA18" w14:textId="77777777" w:rsidR="000A0EB4" w:rsidRPr="00BE034D" w:rsidRDefault="000A0EB4">
            <w:pPr>
              <w:spacing w:after="0" w:line="259" w:lineRule="auto"/>
              <w:rPr>
                <w:b/>
                <w:bCs/>
              </w:rPr>
            </w:pPr>
          </w:p>
        </w:tc>
        <w:tc>
          <w:tcPr>
            <w:tcW w:w="4253" w:type="dxa"/>
            <w:gridSpan w:val="3"/>
            <w:noWrap/>
            <w:vAlign w:val="bottom"/>
          </w:tcPr>
          <w:p w14:paraId="2879F202" w14:textId="77777777" w:rsidR="000A0EB4" w:rsidRPr="00BE034D" w:rsidRDefault="000A0EB4">
            <w:pPr>
              <w:spacing w:after="0" w:line="259" w:lineRule="auto"/>
              <w:rPr>
                <w:rFonts w:eastAsia="Times New Roman" w:cs="Calibri"/>
                <w:b/>
                <w:bCs/>
                <w:color w:val="000000"/>
                <w:sz w:val="20"/>
                <w:szCs w:val="20"/>
                <w:lang w:eastAsia="en-AU"/>
              </w:rPr>
            </w:pPr>
            <w:r w:rsidRPr="00BE034D">
              <w:rPr>
                <w:rFonts w:eastAsia="Times New Roman" w:cs="Calibri"/>
                <w:b/>
                <w:bCs/>
                <w:color w:val="000000"/>
                <w:sz w:val="20"/>
                <w:szCs w:val="20"/>
                <w:lang w:eastAsia="en-AU"/>
              </w:rPr>
              <w:t>Applications under s 527F</w:t>
            </w:r>
          </w:p>
        </w:tc>
        <w:tc>
          <w:tcPr>
            <w:tcW w:w="2976" w:type="dxa"/>
            <w:gridSpan w:val="2"/>
            <w:noWrap/>
            <w:vAlign w:val="bottom"/>
          </w:tcPr>
          <w:p w14:paraId="6945F0CB" w14:textId="77777777" w:rsidR="000A0EB4" w:rsidRPr="00BE034D" w:rsidRDefault="000A0EB4">
            <w:pPr>
              <w:spacing w:after="0" w:line="259" w:lineRule="auto"/>
              <w:rPr>
                <w:rFonts w:eastAsia="Times New Roman" w:cs="Calibri"/>
                <w:b/>
                <w:bCs/>
                <w:color w:val="000000"/>
                <w:sz w:val="20"/>
                <w:szCs w:val="20"/>
                <w:lang w:eastAsia="en-AU"/>
              </w:rPr>
            </w:pPr>
            <w:r w:rsidRPr="00BE034D">
              <w:rPr>
                <w:rFonts w:eastAsia="Times New Roman" w:cs="Calibri"/>
                <w:b/>
                <w:bCs/>
                <w:color w:val="000000"/>
                <w:sz w:val="20"/>
                <w:szCs w:val="20"/>
                <w:lang w:eastAsia="en-AU"/>
              </w:rPr>
              <w:t>Applications under s 789FC</w:t>
            </w:r>
          </w:p>
        </w:tc>
        <w:tc>
          <w:tcPr>
            <w:tcW w:w="850" w:type="dxa"/>
            <w:vMerge w:val="restart"/>
            <w:vAlign w:val="bottom"/>
          </w:tcPr>
          <w:p w14:paraId="3B33932F" w14:textId="77777777" w:rsidR="000A0EB4" w:rsidRPr="00BE034D" w:rsidRDefault="000A0EB4">
            <w:pPr>
              <w:spacing w:after="0" w:line="259" w:lineRule="auto"/>
              <w:rPr>
                <w:rFonts w:eastAsia="Times New Roman" w:cs="Calibri"/>
                <w:b/>
                <w:bCs/>
                <w:color w:val="000000"/>
                <w:sz w:val="20"/>
                <w:szCs w:val="20"/>
                <w:lang w:eastAsia="en-AU"/>
              </w:rPr>
            </w:pPr>
            <w:r w:rsidRPr="00BE034D">
              <w:rPr>
                <w:rFonts w:eastAsia="Times New Roman" w:cs="Calibri"/>
                <w:b/>
                <w:bCs/>
                <w:color w:val="000000"/>
                <w:sz w:val="20"/>
                <w:szCs w:val="20"/>
                <w:lang w:eastAsia="en-AU"/>
              </w:rPr>
              <w:t>Total</w:t>
            </w:r>
          </w:p>
        </w:tc>
      </w:tr>
      <w:tr w:rsidR="000A0EB4" w:rsidRPr="00167CB8" w14:paraId="1F729EE9" w14:textId="77777777">
        <w:trPr>
          <w:trHeight w:val="290"/>
        </w:trPr>
        <w:tc>
          <w:tcPr>
            <w:tcW w:w="1271" w:type="dxa"/>
            <w:vMerge/>
            <w:noWrap/>
          </w:tcPr>
          <w:p w14:paraId="1E9B0076" w14:textId="77777777" w:rsidR="000A0EB4" w:rsidRPr="00167CB8" w:rsidRDefault="000A0EB4">
            <w:pPr>
              <w:spacing w:after="0" w:line="259" w:lineRule="auto"/>
              <w:rPr>
                <w:b/>
                <w:bCs/>
              </w:rPr>
            </w:pPr>
          </w:p>
        </w:tc>
        <w:tc>
          <w:tcPr>
            <w:tcW w:w="1445" w:type="dxa"/>
            <w:noWrap/>
            <w:vAlign w:val="bottom"/>
          </w:tcPr>
          <w:p w14:paraId="3B6D77A0" w14:textId="77777777" w:rsidR="000A0EB4" w:rsidRPr="00C262DB" w:rsidRDefault="000A0EB4" w:rsidP="00A609AF">
            <w:pPr>
              <w:spacing w:after="0" w:line="259" w:lineRule="auto"/>
              <w:jc w:val="right"/>
              <w:rPr>
                <w:b/>
                <w:bCs/>
                <w:sz w:val="20"/>
                <w:szCs w:val="20"/>
              </w:rPr>
            </w:pPr>
            <w:r w:rsidRPr="00C262DB">
              <w:rPr>
                <w:rFonts w:eastAsia="Times New Roman" w:cs="Calibri"/>
                <w:b/>
                <w:bCs/>
                <w:color w:val="000000"/>
                <w:sz w:val="20"/>
                <w:szCs w:val="20"/>
                <w:lang w:eastAsia="en-AU"/>
              </w:rPr>
              <w:t>Order to stop and deal with a sexual harassment dispute</w:t>
            </w:r>
          </w:p>
        </w:tc>
        <w:tc>
          <w:tcPr>
            <w:tcW w:w="1446" w:type="dxa"/>
            <w:noWrap/>
            <w:vAlign w:val="bottom"/>
          </w:tcPr>
          <w:p w14:paraId="7192F6E9" w14:textId="77777777" w:rsidR="000A0EB4" w:rsidRPr="00C262DB" w:rsidRDefault="000A0EB4" w:rsidP="00A609AF">
            <w:pPr>
              <w:spacing w:after="0" w:line="259" w:lineRule="auto"/>
              <w:jc w:val="right"/>
              <w:rPr>
                <w:b/>
                <w:bCs/>
                <w:sz w:val="20"/>
                <w:szCs w:val="20"/>
              </w:rPr>
            </w:pPr>
            <w:r w:rsidRPr="00C262DB">
              <w:rPr>
                <w:rFonts w:eastAsia="Times New Roman" w:cs="Calibri"/>
                <w:b/>
                <w:bCs/>
                <w:color w:val="000000"/>
                <w:sz w:val="20"/>
                <w:szCs w:val="20"/>
                <w:lang w:eastAsia="en-AU"/>
              </w:rPr>
              <w:t>Order to stop sexual harassment</w:t>
            </w:r>
          </w:p>
        </w:tc>
        <w:tc>
          <w:tcPr>
            <w:tcW w:w="1362" w:type="dxa"/>
            <w:noWrap/>
            <w:vAlign w:val="bottom"/>
          </w:tcPr>
          <w:p w14:paraId="2E1734EB" w14:textId="77777777" w:rsidR="000A0EB4" w:rsidRPr="00C262DB" w:rsidRDefault="000A0EB4" w:rsidP="00A609AF">
            <w:pPr>
              <w:spacing w:after="0" w:line="259" w:lineRule="auto"/>
              <w:jc w:val="right"/>
              <w:rPr>
                <w:b/>
                <w:bCs/>
                <w:sz w:val="20"/>
                <w:szCs w:val="20"/>
              </w:rPr>
            </w:pPr>
            <w:r w:rsidRPr="00C262DB">
              <w:rPr>
                <w:rFonts w:eastAsia="Times New Roman" w:cs="Calibri"/>
                <w:b/>
                <w:bCs/>
                <w:color w:val="000000"/>
                <w:sz w:val="20"/>
                <w:szCs w:val="20"/>
                <w:lang w:eastAsia="en-AU"/>
              </w:rPr>
              <w:t>Deal with a sexual harassment dispute</w:t>
            </w:r>
          </w:p>
        </w:tc>
        <w:tc>
          <w:tcPr>
            <w:tcW w:w="1488" w:type="dxa"/>
            <w:noWrap/>
            <w:vAlign w:val="bottom"/>
          </w:tcPr>
          <w:p w14:paraId="4B55E0FB" w14:textId="77777777" w:rsidR="000A0EB4" w:rsidRPr="00C262DB" w:rsidRDefault="000A0EB4" w:rsidP="00A609AF">
            <w:pPr>
              <w:spacing w:after="0" w:line="259" w:lineRule="auto"/>
              <w:jc w:val="right"/>
              <w:rPr>
                <w:b/>
                <w:bCs/>
                <w:sz w:val="20"/>
                <w:szCs w:val="20"/>
              </w:rPr>
            </w:pPr>
            <w:r w:rsidRPr="00C262DB">
              <w:rPr>
                <w:rFonts w:eastAsia="Times New Roman" w:cs="Calibri"/>
                <w:b/>
                <w:bCs/>
                <w:color w:val="000000"/>
                <w:sz w:val="20"/>
                <w:szCs w:val="20"/>
                <w:lang w:eastAsia="en-AU"/>
              </w:rPr>
              <w:t>Order to stop bullying and sexual harassment</w:t>
            </w:r>
          </w:p>
        </w:tc>
        <w:tc>
          <w:tcPr>
            <w:tcW w:w="1488" w:type="dxa"/>
            <w:noWrap/>
            <w:vAlign w:val="bottom"/>
          </w:tcPr>
          <w:p w14:paraId="38A4CD35" w14:textId="77777777" w:rsidR="000A0EB4" w:rsidRPr="00C262DB" w:rsidRDefault="000A0EB4" w:rsidP="00A609AF">
            <w:pPr>
              <w:spacing w:after="0" w:line="259" w:lineRule="auto"/>
              <w:jc w:val="right"/>
              <w:rPr>
                <w:b/>
                <w:bCs/>
                <w:sz w:val="20"/>
                <w:szCs w:val="20"/>
              </w:rPr>
            </w:pPr>
            <w:r w:rsidRPr="00C262DB">
              <w:rPr>
                <w:rFonts w:eastAsia="Times New Roman" w:cs="Calibri"/>
                <w:b/>
                <w:bCs/>
                <w:color w:val="000000"/>
                <w:sz w:val="20"/>
                <w:szCs w:val="20"/>
                <w:lang w:eastAsia="en-AU"/>
              </w:rPr>
              <w:t>Order to stop sexual harassment</w:t>
            </w:r>
          </w:p>
        </w:tc>
        <w:tc>
          <w:tcPr>
            <w:tcW w:w="850" w:type="dxa"/>
            <w:vMerge/>
          </w:tcPr>
          <w:p w14:paraId="256143CC" w14:textId="77777777" w:rsidR="000A0EB4" w:rsidRPr="00167CB8" w:rsidRDefault="000A0EB4" w:rsidP="00A609AF">
            <w:pPr>
              <w:spacing w:after="0" w:line="259" w:lineRule="auto"/>
              <w:jc w:val="right"/>
              <w:rPr>
                <w:rFonts w:eastAsia="Times New Roman" w:cs="Calibri"/>
                <w:color w:val="000000"/>
                <w:lang w:eastAsia="en-AU"/>
              </w:rPr>
            </w:pPr>
          </w:p>
        </w:tc>
      </w:tr>
      <w:tr w:rsidR="000A0EB4" w:rsidRPr="00167CB8" w14:paraId="5DD1E0CB" w14:textId="77777777">
        <w:trPr>
          <w:trHeight w:val="113"/>
        </w:trPr>
        <w:tc>
          <w:tcPr>
            <w:tcW w:w="1271" w:type="dxa"/>
            <w:noWrap/>
            <w:hideMark/>
          </w:tcPr>
          <w:p w14:paraId="686C1F2C" w14:textId="77777777" w:rsidR="000A0EB4" w:rsidRPr="00C262DB" w:rsidRDefault="000A0EB4">
            <w:pPr>
              <w:spacing w:after="0" w:line="259" w:lineRule="auto"/>
              <w:rPr>
                <w:sz w:val="20"/>
                <w:szCs w:val="20"/>
              </w:rPr>
            </w:pPr>
            <w:r w:rsidRPr="00C262DB">
              <w:rPr>
                <w:sz w:val="20"/>
                <w:szCs w:val="20"/>
              </w:rPr>
              <w:t>Dec-21</w:t>
            </w:r>
          </w:p>
        </w:tc>
        <w:tc>
          <w:tcPr>
            <w:tcW w:w="1445" w:type="dxa"/>
            <w:noWrap/>
            <w:hideMark/>
          </w:tcPr>
          <w:p w14:paraId="16F4D3D9" w14:textId="5BFF955C" w:rsidR="000A0EB4" w:rsidRPr="001C3169" w:rsidRDefault="000A0EB4">
            <w:pPr>
              <w:spacing w:after="0" w:line="259" w:lineRule="auto"/>
              <w:jc w:val="right"/>
              <w:rPr>
                <w:sz w:val="20"/>
                <w:szCs w:val="20"/>
              </w:rPr>
            </w:pPr>
            <w:r w:rsidRPr="001C3169">
              <w:rPr>
                <w:sz w:val="20"/>
                <w:szCs w:val="20"/>
              </w:rPr>
              <w:t>N</w:t>
            </w:r>
            <w:r w:rsidR="00870E09">
              <w:rPr>
                <w:sz w:val="20"/>
                <w:szCs w:val="20"/>
              </w:rPr>
              <w:t>/</w:t>
            </w:r>
            <w:r w:rsidRPr="001C3169">
              <w:rPr>
                <w:sz w:val="20"/>
                <w:szCs w:val="20"/>
              </w:rPr>
              <w:t>A</w:t>
            </w:r>
          </w:p>
        </w:tc>
        <w:tc>
          <w:tcPr>
            <w:tcW w:w="1446" w:type="dxa"/>
            <w:noWrap/>
            <w:hideMark/>
          </w:tcPr>
          <w:p w14:paraId="496FDEC8" w14:textId="7893A17B" w:rsidR="000A0EB4" w:rsidRPr="001C3169" w:rsidRDefault="000A0EB4">
            <w:pPr>
              <w:spacing w:after="0" w:line="259" w:lineRule="auto"/>
              <w:jc w:val="right"/>
              <w:rPr>
                <w:sz w:val="20"/>
                <w:szCs w:val="20"/>
              </w:rPr>
            </w:pPr>
            <w:r w:rsidRPr="001C3169">
              <w:rPr>
                <w:sz w:val="20"/>
                <w:szCs w:val="20"/>
              </w:rPr>
              <w:t>N</w:t>
            </w:r>
            <w:r w:rsidR="00870E09">
              <w:rPr>
                <w:sz w:val="20"/>
                <w:szCs w:val="20"/>
              </w:rPr>
              <w:t>/</w:t>
            </w:r>
            <w:r w:rsidRPr="001C3169">
              <w:rPr>
                <w:sz w:val="20"/>
                <w:szCs w:val="20"/>
              </w:rPr>
              <w:t>A</w:t>
            </w:r>
          </w:p>
        </w:tc>
        <w:tc>
          <w:tcPr>
            <w:tcW w:w="1362" w:type="dxa"/>
            <w:noWrap/>
            <w:hideMark/>
          </w:tcPr>
          <w:p w14:paraId="63C28C46" w14:textId="0F3854FC" w:rsidR="000A0EB4" w:rsidRPr="001C3169" w:rsidRDefault="000A0EB4">
            <w:pPr>
              <w:spacing w:after="0" w:line="259" w:lineRule="auto"/>
              <w:jc w:val="right"/>
              <w:rPr>
                <w:sz w:val="20"/>
                <w:szCs w:val="20"/>
              </w:rPr>
            </w:pPr>
            <w:r w:rsidRPr="001C3169">
              <w:rPr>
                <w:sz w:val="20"/>
                <w:szCs w:val="20"/>
              </w:rPr>
              <w:t>N</w:t>
            </w:r>
            <w:r w:rsidR="00870E09">
              <w:rPr>
                <w:sz w:val="20"/>
                <w:szCs w:val="20"/>
              </w:rPr>
              <w:t>/</w:t>
            </w:r>
            <w:r w:rsidRPr="001C3169">
              <w:rPr>
                <w:sz w:val="20"/>
                <w:szCs w:val="20"/>
              </w:rPr>
              <w:t>A</w:t>
            </w:r>
          </w:p>
        </w:tc>
        <w:tc>
          <w:tcPr>
            <w:tcW w:w="1488" w:type="dxa"/>
            <w:noWrap/>
            <w:vAlign w:val="center"/>
            <w:hideMark/>
          </w:tcPr>
          <w:p w14:paraId="398C4FAB" w14:textId="77777777" w:rsidR="000A0EB4" w:rsidRPr="00C262DB" w:rsidRDefault="000A0EB4">
            <w:pPr>
              <w:spacing w:after="0" w:line="259" w:lineRule="auto"/>
              <w:jc w:val="right"/>
              <w:rPr>
                <w:sz w:val="20"/>
                <w:szCs w:val="20"/>
              </w:rPr>
            </w:pPr>
            <w:r w:rsidRPr="00C262DB">
              <w:rPr>
                <w:sz w:val="20"/>
                <w:szCs w:val="20"/>
              </w:rPr>
              <w:t>9</w:t>
            </w:r>
          </w:p>
        </w:tc>
        <w:tc>
          <w:tcPr>
            <w:tcW w:w="1488" w:type="dxa"/>
            <w:noWrap/>
            <w:vAlign w:val="center"/>
            <w:hideMark/>
          </w:tcPr>
          <w:p w14:paraId="56D91EB9" w14:textId="77777777" w:rsidR="000A0EB4" w:rsidRPr="00C262DB" w:rsidRDefault="000A0EB4">
            <w:pPr>
              <w:spacing w:after="0" w:line="259" w:lineRule="auto"/>
              <w:jc w:val="right"/>
              <w:rPr>
                <w:sz w:val="20"/>
                <w:szCs w:val="20"/>
              </w:rPr>
            </w:pPr>
            <w:r w:rsidRPr="00C262DB">
              <w:rPr>
                <w:sz w:val="20"/>
                <w:szCs w:val="20"/>
              </w:rPr>
              <w:t>1</w:t>
            </w:r>
          </w:p>
        </w:tc>
        <w:tc>
          <w:tcPr>
            <w:tcW w:w="850" w:type="dxa"/>
            <w:vAlign w:val="center"/>
          </w:tcPr>
          <w:p w14:paraId="627C839C" w14:textId="77777777" w:rsidR="000A0EB4" w:rsidRPr="00C262DB" w:rsidRDefault="000A0EB4">
            <w:pPr>
              <w:spacing w:after="0" w:line="259" w:lineRule="auto"/>
              <w:jc w:val="right"/>
              <w:rPr>
                <w:sz w:val="20"/>
                <w:szCs w:val="20"/>
              </w:rPr>
            </w:pPr>
            <w:r w:rsidRPr="00C262DB">
              <w:rPr>
                <w:sz w:val="20"/>
                <w:szCs w:val="20"/>
              </w:rPr>
              <w:t>10</w:t>
            </w:r>
          </w:p>
        </w:tc>
      </w:tr>
      <w:tr w:rsidR="000A0EB4" w:rsidRPr="00167CB8" w14:paraId="15582E92" w14:textId="77777777">
        <w:trPr>
          <w:trHeight w:val="113"/>
        </w:trPr>
        <w:tc>
          <w:tcPr>
            <w:tcW w:w="1271" w:type="dxa"/>
            <w:noWrap/>
            <w:hideMark/>
          </w:tcPr>
          <w:p w14:paraId="57A9C5E1" w14:textId="77777777" w:rsidR="000A0EB4" w:rsidRPr="00C262DB" w:rsidRDefault="000A0EB4">
            <w:pPr>
              <w:spacing w:after="0" w:line="259" w:lineRule="auto"/>
              <w:rPr>
                <w:sz w:val="20"/>
                <w:szCs w:val="20"/>
              </w:rPr>
            </w:pPr>
            <w:r w:rsidRPr="00C262DB">
              <w:rPr>
                <w:sz w:val="20"/>
                <w:szCs w:val="20"/>
              </w:rPr>
              <w:t>Mar-22</w:t>
            </w:r>
          </w:p>
        </w:tc>
        <w:tc>
          <w:tcPr>
            <w:tcW w:w="1445" w:type="dxa"/>
            <w:noWrap/>
            <w:hideMark/>
          </w:tcPr>
          <w:p w14:paraId="2719256D" w14:textId="0D8DE3EA" w:rsidR="000A0EB4" w:rsidRPr="001C3169" w:rsidRDefault="000A0EB4">
            <w:pPr>
              <w:spacing w:after="0" w:line="259" w:lineRule="auto"/>
              <w:jc w:val="right"/>
              <w:rPr>
                <w:sz w:val="20"/>
                <w:szCs w:val="20"/>
              </w:rPr>
            </w:pPr>
            <w:r w:rsidRPr="001C3169">
              <w:rPr>
                <w:sz w:val="20"/>
                <w:szCs w:val="20"/>
              </w:rPr>
              <w:t>N</w:t>
            </w:r>
            <w:r w:rsidR="00870E09">
              <w:rPr>
                <w:sz w:val="20"/>
                <w:szCs w:val="20"/>
              </w:rPr>
              <w:t>/</w:t>
            </w:r>
            <w:r w:rsidRPr="001C3169">
              <w:rPr>
                <w:sz w:val="20"/>
                <w:szCs w:val="20"/>
              </w:rPr>
              <w:t>A</w:t>
            </w:r>
          </w:p>
        </w:tc>
        <w:tc>
          <w:tcPr>
            <w:tcW w:w="1446" w:type="dxa"/>
            <w:noWrap/>
            <w:hideMark/>
          </w:tcPr>
          <w:p w14:paraId="0ABD9487" w14:textId="7FC2A822" w:rsidR="000A0EB4" w:rsidRPr="001C3169" w:rsidRDefault="000A0EB4">
            <w:pPr>
              <w:spacing w:after="0" w:line="259" w:lineRule="auto"/>
              <w:jc w:val="right"/>
              <w:rPr>
                <w:sz w:val="20"/>
                <w:szCs w:val="20"/>
              </w:rPr>
            </w:pPr>
            <w:r w:rsidRPr="001C3169">
              <w:rPr>
                <w:sz w:val="20"/>
                <w:szCs w:val="20"/>
              </w:rPr>
              <w:t>N</w:t>
            </w:r>
            <w:r w:rsidR="00870E09">
              <w:rPr>
                <w:sz w:val="20"/>
                <w:szCs w:val="20"/>
              </w:rPr>
              <w:t>/</w:t>
            </w:r>
            <w:r w:rsidRPr="001C3169">
              <w:rPr>
                <w:sz w:val="20"/>
                <w:szCs w:val="20"/>
              </w:rPr>
              <w:t>A</w:t>
            </w:r>
          </w:p>
        </w:tc>
        <w:tc>
          <w:tcPr>
            <w:tcW w:w="1362" w:type="dxa"/>
            <w:noWrap/>
            <w:hideMark/>
          </w:tcPr>
          <w:p w14:paraId="25F7AEED" w14:textId="7FCBC50A" w:rsidR="000A0EB4" w:rsidRPr="001C3169" w:rsidRDefault="000A0EB4">
            <w:pPr>
              <w:spacing w:after="0" w:line="259" w:lineRule="auto"/>
              <w:jc w:val="right"/>
              <w:rPr>
                <w:sz w:val="20"/>
                <w:szCs w:val="20"/>
              </w:rPr>
            </w:pPr>
            <w:r w:rsidRPr="001C3169">
              <w:rPr>
                <w:sz w:val="20"/>
                <w:szCs w:val="20"/>
              </w:rPr>
              <w:t>N</w:t>
            </w:r>
            <w:r w:rsidR="00870E09">
              <w:rPr>
                <w:sz w:val="20"/>
                <w:szCs w:val="20"/>
              </w:rPr>
              <w:t>/</w:t>
            </w:r>
            <w:r w:rsidRPr="001C3169">
              <w:rPr>
                <w:sz w:val="20"/>
                <w:szCs w:val="20"/>
              </w:rPr>
              <w:t>A</w:t>
            </w:r>
          </w:p>
        </w:tc>
        <w:tc>
          <w:tcPr>
            <w:tcW w:w="1488" w:type="dxa"/>
            <w:noWrap/>
            <w:vAlign w:val="center"/>
            <w:hideMark/>
          </w:tcPr>
          <w:p w14:paraId="29FE7033" w14:textId="77777777" w:rsidR="000A0EB4" w:rsidRPr="00C262DB" w:rsidRDefault="000A0EB4">
            <w:pPr>
              <w:spacing w:after="0" w:line="259" w:lineRule="auto"/>
              <w:jc w:val="right"/>
              <w:rPr>
                <w:sz w:val="20"/>
                <w:szCs w:val="20"/>
              </w:rPr>
            </w:pPr>
            <w:r w:rsidRPr="00C262DB">
              <w:rPr>
                <w:sz w:val="20"/>
                <w:szCs w:val="20"/>
              </w:rPr>
              <w:t>10</w:t>
            </w:r>
          </w:p>
        </w:tc>
        <w:tc>
          <w:tcPr>
            <w:tcW w:w="1488" w:type="dxa"/>
            <w:noWrap/>
            <w:vAlign w:val="center"/>
            <w:hideMark/>
          </w:tcPr>
          <w:p w14:paraId="21230D8D" w14:textId="77777777" w:rsidR="000A0EB4" w:rsidRPr="00C262DB" w:rsidRDefault="000A0EB4">
            <w:pPr>
              <w:spacing w:after="0" w:line="259" w:lineRule="auto"/>
              <w:jc w:val="right"/>
              <w:rPr>
                <w:sz w:val="20"/>
                <w:szCs w:val="20"/>
              </w:rPr>
            </w:pPr>
            <w:r w:rsidRPr="00C262DB">
              <w:rPr>
                <w:sz w:val="20"/>
                <w:szCs w:val="20"/>
              </w:rPr>
              <w:t>2</w:t>
            </w:r>
          </w:p>
        </w:tc>
        <w:tc>
          <w:tcPr>
            <w:tcW w:w="850" w:type="dxa"/>
            <w:vAlign w:val="center"/>
          </w:tcPr>
          <w:p w14:paraId="58CB9677" w14:textId="77777777" w:rsidR="000A0EB4" w:rsidRPr="00C262DB" w:rsidRDefault="000A0EB4">
            <w:pPr>
              <w:spacing w:after="0" w:line="259" w:lineRule="auto"/>
              <w:jc w:val="right"/>
              <w:rPr>
                <w:sz w:val="20"/>
                <w:szCs w:val="20"/>
              </w:rPr>
            </w:pPr>
            <w:r w:rsidRPr="00C262DB">
              <w:rPr>
                <w:sz w:val="20"/>
                <w:szCs w:val="20"/>
              </w:rPr>
              <w:t>12</w:t>
            </w:r>
          </w:p>
        </w:tc>
      </w:tr>
      <w:tr w:rsidR="000A0EB4" w:rsidRPr="00167CB8" w14:paraId="4970839B" w14:textId="77777777">
        <w:trPr>
          <w:trHeight w:val="113"/>
        </w:trPr>
        <w:tc>
          <w:tcPr>
            <w:tcW w:w="1271" w:type="dxa"/>
            <w:noWrap/>
            <w:hideMark/>
          </w:tcPr>
          <w:p w14:paraId="72FF5A9F" w14:textId="77777777" w:rsidR="000A0EB4" w:rsidRPr="00C262DB" w:rsidRDefault="000A0EB4">
            <w:pPr>
              <w:spacing w:after="0" w:line="259" w:lineRule="auto"/>
              <w:rPr>
                <w:sz w:val="20"/>
                <w:szCs w:val="20"/>
              </w:rPr>
            </w:pPr>
            <w:r w:rsidRPr="00C262DB">
              <w:rPr>
                <w:sz w:val="20"/>
                <w:szCs w:val="20"/>
              </w:rPr>
              <w:t>Jun-22</w:t>
            </w:r>
          </w:p>
        </w:tc>
        <w:tc>
          <w:tcPr>
            <w:tcW w:w="1445" w:type="dxa"/>
            <w:noWrap/>
            <w:hideMark/>
          </w:tcPr>
          <w:p w14:paraId="49447FD2" w14:textId="137B8525" w:rsidR="000A0EB4" w:rsidRPr="001C3169" w:rsidRDefault="000A0EB4">
            <w:pPr>
              <w:spacing w:after="0" w:line="259" w:lineRule="auto"/>
              <w:jc w:val="right"/>
              <w:rPr>
                <w:sz w:val="20"/>
                <w:szCs w:val="20"/>
              </w:rPr>
            </w:pPr>
            <w:r w:rsidRPr="001C3169">
              <w:rPr>
                <w:sz w:val="20"/>
                <w:szCs w:val="20"/>
              </w:rPr>
              <w:t>N</w:t>
            </w:r>
            <w:r w:rsidR="00870E09">
              <w:rPr>
                <w:sz w:val="20"/>
                <w:szCs w:val="20"/>
              </w:rPr>
              <w:t>/</w:t>
            </w:r>
            <w:r w:rsidRPr="001C3169">
              <w:rPr>
                <w:sz w:val="20"/>
                <w:szCs w:val="20"/>
              </w:rPr>
              <w:t>A</w:t>
            </w:r>
          </w:p>
        </w:tc>
        <w:tc>
          <w:tcPr>
            <w:tcW w:w="1446" w:type="dxa"/>
            <w:noWrap/>
            <w:hideMark/>
          </w:tcPr>
          <w:p w14:paraId="63E87115" w14:textId="44D6CF30" w:rsidR="000A0EB4" w:rsidRPr="001C3169" w:rsidRDefault="000A0EB4">
            <w:pPr>
              <w:spacing w:after="0" w:line="259" w:lineRule="auto"/>
              <w:jc w:val="right"/>
              <w:rPr>
                <w:sz w:val="20"/>
                <w:szCs w:val="20"/>
              </w:rPr>
            </w:pPr>
            <w:r w:rsidRPr="001C3169">
              <w:rPr>
                <w:sz w:val="20"/>
                <w:szCs w:val="20"/>
              </w:rPr>
              <w:t>N</w:t>
            </w:r>
            <w:r w:rsidR="00870E09">
              <w:rPr>
                <w:sz w:val="20"/>
                <w:szCs w:val="20"/>
              </w:rPr>
              <w:t>/</w:t>
            </w:r>
            <w:r w:rsidRPr="001C3169">
              <w:rPr>
                <w:sz w:val="20"/>
                <w:szCs w:val="20"/>
              </w:rPr>
              <w:t>A</w:t>
            </w:r>
          </w:p>
        </w:tc>
        <w:tc>
          <w:tcPr>
            <w:tcW w:w="1362" w:type="dxa"/>
            <w:noWrap/>
            <w:hideMark/>
          </w:tcPr>
          <w:p w14:paraId="67470BA4" w14:textId="73667FB9" w:rsidR="000A0EB4" w:rsidRPr="001C3169" w:rsidRDefault="000A0EB4">
            <w:pPr>
              <w:spacing w:after="0" w:line="259" w:lineRule="auto"/>
              <w:jc w:val="right"/>
              <w:rPr>
                <w:sz w:val="20"/>
                <w:szCs w:val="20"/>
              </w:rPr>
            </w:pPr>
            <w:r w:rsidRPr="001C3169">
              <w:rPr>
                <w:sz w:val="20"/>
                <w:szCs w:val="20"/>
              </w:rPr>
              <w:t>N</w:t>
            </w:r>
            <w:r w:rsidR="00870E09">
              <w:rPr>
                <w:sz w:val="20"/>
                <w:szCs w:val="20"/>
              </w:rPr>
              <w:t>/</w:t>
            </w:r>
            <w:r w:rsidRPr="001C3169">
              <w:rPr>
                <w:sz w:val="20"/>
                <w:szCs w:val="20"/>
              </w:rPr>
              <w:t>A</w:t>
            </w:r>
          </w:p>
        </w:tc>
        <w:tc>
          <w:tcPr>
            <w:tcW w:w="1488" w:type="dxa"/>
            <w:noWrap/>
            <w:vAlign w:val="center"/>
            <w:hideMark/>
          </w:tcPr>
          <w:p w14:paraId="2B968AB1" w14:textId="77777777" w:rsidR="000A0EB4" w:rsidRPr="00C262DB" w:rsidRDefault="000A0EB4">
            <w:pPr>
              <w:spacing w:after="0" w:line="259" w:lineRule="auto"/>
              <w:jc w:val="right"/>
              <w:rPr>
                <w:sz w:val="20"/>
                <w:szCs w:val="20"/>
              </w:rPr>
            </w:pPr>
            <w:r w:rsidRPr="00C262DB">
              <w:rPr>
                <w:sz w:val="20"/>
                <w:szCs w:val="20"/>
              </w:rPr>
              <w:t>4</w:t>
            </w:r>
          </w:p>
        </w:tc>
        <w:tc>
          <w:tcPr>
            <w:tcW w:w="1488" w:type="dxa"/>
            <w:noWrap/>
            <w:vAlign w:val="center"/>
            <w:hideMark/>
          </w:tcPr>
          <w:p w14:paraId="4953624C" w14:textId="77777777" w:rsidR="000A0EB4" w:rsidRPr="00C262DB" w:rsidRDefault="000A0EB4">
            <w:pPr>
              <w:spacing w:after="0" w:line="259" w:lineRule="auto"/>
              <w:jc w:val="right"/>
              <w:rPr>
                <w:sz w:val="20"/>
                <w:szCs w:val="20"/>
              </w:rPr>
            </w:pPr>
            <w:r w:rsidRPr="00C262DB">
              <w:rPr>
                <w:sz w:val="20"/>
                <w:szCs w:val="20"/>
              </w:rPr>
              <w:t>2</w:t>
            </w:r>
          </w:p>
        </w:tc>
        <w:tc>
          <w:tcPr>
            <w:tcW w:w="850" w:type="dxa"/>
            <w:vAlign w:val="center"/>
          </w:tcPr>
          <w:p w14:paraId="1EEEC7B7" w14:textId="77777777" w:rsidR="000A0EB4" w:rsidRPr="00C262DB" w:rsidRDefault="000A0EB4">
            <w:pPr>
              <w:spacing w:after="0" w:line="259" w:lineRule="auto"/>
              <w:jc w:val="right"/>
              <w:rPr>
                <w:sz w:val="20"/>
                <w:szCs w:val="20"/>
              </w:rPr>
            </w:pPr>
            <w:r w:rsidRPr="00C262DB">
              <w:rPr>
                <w:sz w:val="20"/>
                <w:szCs w:val="20"/>
              </w:rPr>
              <w:t>6</w:t>
            </w:r>
          </w:p>
        </w:tc>
      </w:tr>
      <w:tr w:rsidR="000A0EB4" w:rsidRPr="00167CB8" w14:paraId="38F23A36" w14:textId="77777777">
        <w:trPr>
          <w:trHeight w:val="113"/>
        </w:trPr>
        <w:tc>
          <w:tcPr>
            <w:tcW w:w="1271" w:type="dxa"/>
            <w:noWrap/>
            <w:hideMark/>
          </w:tcPr>
          <w:p w14:paraId="7C75C020" w14:textId="77777777" w:rsidR="000A0EB4" w:rsidRPr="00C262DB" w:rsidRDefault="000A0EB4">
            <w:pPr>
              <w:spacing w:after="0" w:line="259" w:lineRule="auto"/>
              <w:rPr>
                <w:sz w:val="20"/>
                <w:szCs w:val="20"/>
              </w:rPr>
            </w:pPr>
            <w:r w:rsidRPr="00C262DB">
              <w:rPr>
                <w:sz w:val="20"/>
                <w:szCs w:val="20"/>
              </w:rPr>
              <w:t>Sep-22</w:t>
            </w:r>
          </w:p>
        </w:tc>
        <w:tc>
          <w:tcPr>
            <w:tcW w:w="1445" w:type="dxa"/>
            <w:noWrap/>
            <w:hideMark/>
          </w:tcPr>
          <w:p w14:paraId="4C587E44" w14:textId="5ED02314" w:rsidR="000A0EB4" w:rsidRPr="001C3169" w:rsidRDefault="000A0EB4">
            <w:pPr>
              <w:spacing w:after="0" w:line="259" w:lineRule="auto"/>
              <w:jc w:val="right"/>
              <w:rPr>
                <w:sz w:val="20"/>
                <w:szCs w:val="20"/>
              </w:rPr>
            </w:pPr>
            <w:r w:rsidRPr="001C3169">
              <w:rPr>
                <w:sz w:val="20"/>
                <w:szCs w:val="20"/>
              </w:rPr>
              <w:t>N</w:t>
            </w:r>
            <w:r w:rsidR="00870E09">
              <w:rPr>
                <w:sz w:val="20"/>
                <w:szCs w:val="20"/>
              </w:rPr>
              <w:t>/</w:t>
            </w:r>
            <w:r w:rsidRPr="001C3169">
              <w:rPr>
                <w:sz w:val="20"/>
                <w:szCs w:val="20"/>
              </w:rPr>
              <w:t>A</w:t>
            </w:r>
          </w:p>
        </w:tc>
        <w:tc>
          <w:tcPr>
            <w:tcW w:w="1446" w:type="dxa"/>
            <w:noWrap/>
            <w:hideMark/>
          </w:tcPr>
          <w:p w14:paraId="79F0CD3E" w14:textId="3E08EBB2" w:rsidR="000A0EB4" w:rsidRPr="001C3169" w:rsidRDefault="000A0EB4">
            <w:pPr>
              <w:spacing w:after="0" w:line="259" w:lineRule="auto"/>
              <w:jc w:val="right"/>
              <w:rPr>
                <w:sz w:val="20"/>
                <w:szCs w:val="20"/>
              </w:rPr>
            </w:pPr>
            <w:r w:rsidRPr="001C3169">
              <w:rPr>
                <w:sz w:val="20"/>
                <w:szCs w:val="20"/>
              </w:rPr>
              <w:t>N</w:t>
            </w:r>
            <w:r w:rsidR="00870E09">
              <w:rPr>
                <w:sz w:val="20"/>
                <w:szCs w:val="20"/>
              </w:rPr>
              <w:t>/</w:t>
            </w:r>
            <w:r w:rsidRPr="001C3169">
              <w:rPr>
                <w:sz w:val="20"/>
                <w:szCs w:val="20"/>
              </w:rPr>
              <w:t>A</w:t>
            </w:r>
          </w:p>
        </w:tc>
        <w:tc>
          <w:tcPr>
            <w:tcW w:w="1362" w:type="dxa"/>
            <w:noWrap/>
            <w:hideMark/>
          </w:tcPr>
          <w:p w14:paraId="25FEBBDC" w14:textId="1BF33D6A" w:rsidR="000A0EB4" w:rsidRPr="001C3169" w:rsidRDefault="000A0EB4">
            <w:pPr>
              <w:spacing w:after="0" w:line="259" w:lineRule="auto"/>
              <w:jc w:val="right"/>
              <w:rPr>
                <w:sz w:val="20"/>
                <w:szCs w:val="20"/>
              </w:rPr>
            </w:pPr>
            <w:r w:rsidRPr="001C3169">
              <w:rPr>
                <w:sz w:val="20"/>
                <w:szCs w:val="20"/>
              </w:rPr>
              <w:t>N</w:t>
            </w:r>
            <w:r w:rsidR="00870E09">
              <w:rPr>
                <w:sz w:val="20"/>
                <w:szCs w:val="20"/>
              </w:rPr>
              <w:t>/</w:t>
            </w:r>
            <w:r w:rsidRPr="001C3169">
              <w:rPr>
                <w:sz w:val="20"/>
                <w:szCs w:val="20"/>
              </w:rPr>
              <w:t>A</w:t>
            </w:r>
          </w:p>
        </w:tc>
        <w:tc>
          <w:tcPr>
            <w:tcW w:w="1488" w:type="dxa"/>
            <w:noWrap/>
            <w:vAlign w:val="center"/>
            <w:hideMark/>
          </w:tcPr>
          <w:p w14:paraId="3879B5F9" w14:textId="77777777" w:rsidR="000A0EB4" w:rsidRPr="00C262DB" w:rsidRDefault="000A0EB4">
            <w:pPr>
              <w:spacing w:after="0" w:line="259" w:lineRule="auto"/>
              <w:jc w:val="right"/>
              <w:rPr>
                <w:sz w:val="20"/>
                <w:szCs w:val="20"/>
              </w:rPr>
            </w:pPr>
            <w:r w:rsidRPr="00C262DB">
              <w:rPr>
                <w:sz w:val="20"/>
                <w:szCs w:val="20"/>
              </w:rPr>
              <w:t>13</w:t>
            </w:r>
          </w:p>
        </w:tc>
        <w:tc>
          <w:tcPr>
            <w:tcW w:w="1488" w:type="dxa"/>
            <w:noWrap/>
            <w:vAlign w:val="center"/>
            <w:hideMark/>
          </w:tcPr>
          <w:p w14:paraId="3046DD23" w14:textId="77777777" w:rsidR="000A0EB4" w:rsidRPr="00C262DB" w:rsidRDefault="000A0EB4">
            <w:pPr>
              <w:spacing w:after="0" w:line="259" w:lineRule="auto"/>
              <w:jc w:val="right"/>
              <w:rPr>
                <w:sz w:val="20"/>
                <w:szCs w:val="20"/>
              </w:rPr>
            </w:pPr>
            <w:r w:rsidRPr="00C262DB">
              <w:rPr>
                <w:sz w:val="20"/>
                <w:szCs w:val="20"/>
              </w:rPr>
              <w:t>1</w:t>
            </w:r>
          </w:p>
        </w:tc>
        <w:tc>
          <w:tcPr>
            <w:tcW w:w="850" w:type="dxa"/>
            <w:vAlign w:val="center"/>
          </w:tcPr>
          <w:p w14:paraId="299E4CBA" w14:textId="77777777" w:rsidR="000A0EB4" w:rsidRPr="00C262DB" w:rsidRDefault="000A0EB4">
            <w:pPr>
              <w:spacing w:after="0" w:line="259" w:lineRule="auto"/>
              <w:jc w:val="right"/>
              <w:rPr>
                <w:sz w:val="20"/>
                <w:szCs w:val="20"/>
              </w:rPr>
            </w:pPr>
            <w:r w:rsidRPr="00C262DB">
              <w:rPr>
                <w:sz w:val="20"/>
                <w:szCs w:val="20"/>
              </w:rPr>
              <w:t>14</w:t>
            </w:r>
          </w:p>
        </w:tc>
      </w:tr>
      <w:tr w:rsidR="000A0EB4" w:rsidRPr="00167CB8" w14:paraId="0190A4BE" w14:textId="77777777">
        <w:trPr>
          <w:trHeight w:val="113"/>
        </w:trPr>
        <w:tc>
          <w:tcPr>
            <w:tcW w:w="1271" w:type="dxa"/>
            <w:noWrap/>
            <w:hideMark/>
          </w:tcPr>
          <w:p w14:paraId="3FAFFDC3" w14:textId="77777777" w:rsidR="000A0EB4" w:rsidRPr="00C262DB" w:rsidRDefault="000A0EB4">
            <w:pPr>
              <w:spacing w:after="0" w:line="259" w:lineRule="auto"/>
              <w:rPr>
                <w:sz w:val="20"/>
                <w:szCs w:val="20"/>
              </w:rPr>
            </w:pPr>
            <w:r w:rsidRPr="00C262DB">
              <w:rPr>
                <w:sz w:val="20"/>
                <w:szCs w:val="20"/>
              </w:rPr>
              <w:t>Dec-22</w:t>
            </w:r>
          </w:p>
        </w:tc>
        <w:tc>
          <w:tcPr>
            <w:tcW w:w="1445" w:type="dxa"/>
            <w:noWrap/>
            <w:hideMark/>
          </w:tcPr>
          <w:p w14:paraId="5DA6FB01" w14:textId="2723CC40" w:rsidR="000A0EB4" w:rsidRPr="001C3169" w:rsidRDefault="000A0EB4">
            <w:pPr>
              <w:spacing w:after="0" w:line="259" w:lineRule="auto"/>
              <w:jc w:val="right"/>
              <w:rPr>
                <w:sz w:val="20"/>
                <w:szCs w:val="20"/>
              </w:rPr>
            </w:pPr>
            <w:r w:rsidRPr="001C3169">
              <w:rPr>
                <w:sz w:val="20"/>
                <w:szCs w:val="20"/>
              </w:rPr>
              <w:t>N</w:t>
            </w:r>
            <w:r w:rsidR="00870E09">
              <w:rPr>
                <w:sz w:val="20"/>
                <w:szCs w:val="20"/>
              </w:rPr>
              <w:t>/</w:t>
            </w:r>
            <w:r w:rsidRPr="001C3169">
              <w:rPr>
                <w:sz w:val="20"/>
                <w:szCs w:val="20"/>
              </w:rPr>
              <w:t>A</w:t>
            </w:r>
          </w:p>
        </w:tc>
        <w:tc>
          <w:tcPr>
            <w:tcW w:w="1446" w:type="dxa"/>
            <w:noWrap/>
            <w:hideMark/>
          </w:tcPr>
          <w:p w14:paraId="69F8350B" w14:textId="103C1EA2" w:rsidR="000A0EB4" w:rsidRPr="001C3169" w:rsidRDefault="000A0EB4">
            <w:pPr>
              <w:spacing w:after="0" w:line="259" w:lineRule="auto"/>
              <w:jc w:val="right"/>
              <w:rPr>
                <w:sz w:val="20"/>
                <w:szCs w:val="20"/>
              </w:rPr>
            </w:pPr>
            <w:r w:rsidRPr="001C3169">
              <w:rPr>
                <w:sz w:val="20"/>
                <w:szCs w:val="20"/>
              </w:rPr>
              <w:t>N</w:t>
            </w:r>
            <w:r w:rsidR="00870E09">
              <w:rPr>
                <w:sz w:val="20"/>
                <w:szCs w:val="20"/>
              </w:rPr>
              <w:t>/</w:t>
            </w:r>
            <w:r w:rsidRPr="001C3169">
              <w:rPr>
                <w:sz w:val="20"/>
                <w:szCs w:val="20"/>
              </w:rPr>
              <w:t>A</w:t>
            </w:r>
          </w:p>
        </w:tc>
        <w:tc>
          <w:tcPr>
            <w:tcW w:w="1362" w:type="dxa"/>
            <w:noWrap/>
            <w:hideMark/>
          </w:tcPr>
          <w:p w14:paraId="7217E579" w14:textId="26FAED6D" w:rsidR="000A0EB4" w:rsidRPr="001C3169" w:rsidRDefault="000A0EB4">
            <w:pPr>
              <w:spacing w:after="0" w:line="259" w:lineRule="auto"/>
              <w:jc w:val="right"/>
              <w:rPr>
                <w:sz w:val="20"/>
                <w:szCs w:val="20"/>
              </w:rPr>
            </w:pPr>
            <w:r w:rsidRPr="001C3169">
              <w:rPr>
                <w:sz w:val="20"/>
                <w:szCs w:val="20"/>
              </w:rPr>
              <w:t>N</w:t>
            </w:r>
            <w:r w:rsidR="00870E09">
              <w:rPr>
                <w:sz w:val="20"/>
                <w:szCs w:val="20"/>
              </w:rPr>
              <w:t>/</w:t>
            </w:r>
            <w:r w:rsidRPr="001C3169">
              <w:rPr>
                <w:sz w:val="20"/>
                <w:szCs w:val="20"/>
              </w:rPr>
              <w:t>A</w:t>
            </w:r>
          </w:p>
        </w:tc>
        <w:tc>
          <w:tcPr>
            <w:tcW w:w="1488" w:type="dxa"/>
            <w:noWrap/>
            <w:vAlign w:val="center"/>
            <w:hideMark/>
          </w:tcPr>
          <w:p w14:paraId="19CB442D" w14:textId="77777777" w:rsidR="000A0EB4" w:rsidRPr="00C262DB" w:rsidRDefault="000A0EB4">
            <w:pPr>
              <w:spacing w:after="0" w:line="259" w:lineRule="auto"/>
              <w:jc w:val="right"/>
              <w:rPr>
                <w:sz w:val="20"/>
                <w:szCs w:val="20"/>
              </w:rPr>
            </w:pPr>
            <w:r w:rsidRPr="00C262DB">
              <w:rPr>
                <w:sz w:val="20"/>
                <w:szCs w:val="20"/>
              </w:rPr>
              <w:t>6</w:t>
            </w:r>
          </w:p>
        </w:tc>
        <w:tc>
          <w:tcPr>
            <w:tcW w:w="1488" w:type="dxa"/>
            <w:noWrap/>
            <w:vAlign w:val="center"/>
            <w:hideMark/>
          </w:tcPr>
          <w:p w14:paraId="26033782" w14:textId="77777777" w:rsidR="000A0EB4" w:rsidRPr="00C262DB" w:rsidRDefault="000A0EB4">
            <w:pPr>
              <w:spacing w:after="0" w:line="259" w:lineRule="auto"/>
              <w:jc w:val="right"/>
              <w:rPr>
                <w:sz w:val="20"/>
                <w:szCs w:val="20"/>
              </w:rPr>
            </w:pPr>
            <w:r w:rsidRPr="00C262DB">
              <w:rPr>
                <w:sz w:val="20"/>
                <w:szCs w:val="20"/>
              </w:rPr>
              <w:t>2</w:t>
            </w:r>
          </w:p>
        </w:tc>
        <w:tc>
          <w:tcPr>
            <w:tcW w:w="850" w:type="dxa"/>
            <w:vAlign w:val="center"/>
          </w:tcPr>
          <w:p w14:paraId="647542CD" w14:textId="77777777" w:rsidR="000A0EB4" w:rsidRPr="00C262DB" w:rsidRDefault="000A0EB4">
            <w:pPr>
              <w:spacing w:after="0" w:line="259" w:lineRule="auto"/>
              <w:jc w:val="right"/>
              <w:rPr>
                <w:sz w:val="20"/>
                <w:szCs w:val="20"/>
              </w:rPr>
            </w:pPr>
            <w:r w:rsidRPr="00C262DB">
              <w:rPr>
                <w:sz w:val="20"/>
                <w:szCs w:val="20"/>
              </w:rPr>
              <w:t>8</w:t>
            </w:r>
          </w:p>
        </w:tc>
      </w:tr>
      <w:tr w:rsidR="000A0EB4" w:rsidRPr="00167CB8" w14:paraId="4B178E86" w14:textId="77777777">
        <w:trPr>
          <w:trHeight w:val="113"/>
        </w:trPr>
        <w:tc>
          <w:tcPr>
            <w:tcW w:w="1271" w:type="dxa"/>
            <w:noWrap/>
            <w:hideMark/>
          </w:tcPr>
          <w:p w14:paraId="250CC093" w14:textId="77777777" w:rsidR="000A0EB4" w:rsidRPr="00C262DB" w:rsidRDefault="000A0EB4">
            <w:pPr>
              <w:spacing w:after="0" w:line="259" w:lineRule="auto"/>
              <w:rPr>
                <w:sz w:val="20"/>
                <w:szCs w:val="20"/>
              </w:rPr>
            </w:pPr>
            <w:r w:rsidRPr="00C262DB">
              <w:rPr>
                <w:sz w:val="20"/>
                <w:szCs w:val="20"/>
              </w:rPr>
              <w:t>Mar-23</w:t>
            </w:r>
          </w:p>
        </w:tc>
        <w:tc>
          <w:tcPr>
            <w:tcW w:w="1445" w:type="dxa"/>
            <w:noWrap/>
            <w:vAlign w:val="center"/>
            <w:hideMark/>
          </w:tcPr>
          <w:p w14:paraId="7544A00A" w14:textId="77777777" w:rsidR="000A0EB4" w:rsidRPr="00C262DB" w:rsidRDefault="000A0EB4">
            <w:pPr>
              <w:spacing w:after="0" w:line="259" w:lineRule="auto"/>
              <w:jc w:val="right"/>
              <w:rPr>
                <w:sz w:val="20"/>
                <w:szCs w:val="20"/>
              </w:rPr>
            </w:pPr>
            <w:r w:rsidRPr="00C262DB">
              <w:rPr>
                <w:sz w:val="20"/>
                <w:szCs w:val="20"/>
              </w:rPr>
              <w:t>1</w:t>
            </w:r>
          </w:p>
        </w:tc>
        <w:tc>
          <w:tcPr>
            <w:tcW w:w="1446" w:type="dxa"/>
            <w:noWrap/>
            <w:vAlign w:val="center"/>
            <w:hideMark/>
          </w:tcPr>
          <w:p w14:paraId="64BCA6C4" w14:textId="77777777" w:rsidR="000A0EB4" w:rsidRPr="00C262DB" w:rsidRDefault="000A0EB4">
            <w:pPr>
              <w:spacing w:after="0" w:line="259" w:lineRule="auto"/>
              <w:jc w:val="right"/>
              <w:rPr>
                <w:sz w:val="20"/>
                <w:szCs w:val="20"/>
              </w:rPr>
            </w:pPr>
            <w:r w:rsidRPr="00C262DB">
              <w:rPr>
                <w:sz w:val="20"/>
                <w:szCs w:val="20"/>
              </w:rPr>
              <w:t>0</w:t>
            </w:r>
          </w:p>
        </w:tc>
        <w:tc>
          <w:tcPr>
            <w:tcW w:w="1362" w:type="dxa"/>
            <w:noWrap/>
            <w:vAlign w:val="center"/>
            <w:hideMark/>
          </w:tcPr>
          <w:p w14:paraId="34568A7D" w14:textId="77777777" w:rsidR="000A0EB4" w:rsidRPr="00C262DB" w:rsidRDefault="000A0EB4">
            <w:pPr>
              <w:spacing w:after="0" w:line="259" w:lineRule="auto"/>
              <w:jc w:val="right"/>
              <w:rPr>
                <w:sz w:val="20"/>
                <w:szCs w:val="20"/>
              </w:rPr>
            </w:pPr>
            <w:r w:rsidRPr="00C262DB">
              <w:rPr>
                <w:sz w:val="20"/>
                <w:szCs w:val="20"/>
              </w:rPr>
              <w:t>0</w:t>
            </w:r>
          </w:p>
        </w:tc>
        <w:tc>
          <w:tcPr>
            <w:tcW w:w="1488" w:type="dxa"/>
            <w:noWrap/>
            <w:vAlign w:val="center"/>
            <w:hideMark/>
          </w:tcPr>
          <w:p w14:paraId="770BBCB7" w14:textId="77777777" w:rsidR="000A0EB4" w:rsidRPr="00C262DB" w:rsidRDefault="000A0EB4">
            <w:pPr>
              <w:spacing w:after="0" w:line="259" w:lineRule="auto"/>
              <w:jc w:val="right"/>
              <w:rPr>
                <w:sz w:val="20"/>
                <w:szCs w:val="20"/>
              </w:rPr>
            </w:pPr>
            <w:r w:rsidRPr="00C262DB">
              <w:rPr>
                <w:sz w:val="20"/>
                <w:szCs w:val="20"/>
              </w:rPr>
              <w:t>8</w:t>
            </w:r>
          </w:p>
        </w:tc>
        <w:tc>
          <w:tcPr>
            <w:tcW w:w="1488" w:type="dxa"/>
            <w:noWrap/>
            <w:vAlign w:val="center"/>
            <w:hideMark/>
          </w:tcPr>
          <w:p w14:paraId="1853BA7C" w14:textId="77777777" w:rsidR="000A0EB4" w:rsidRPr="00C262DB" w:rsidRDefault="000A0EB4">
            <w:pPr>
              <w:spacing w:after="0" w:line="259" w:lineRule="auto"/>
              <w:jc w:val="right"/>
              <w:rPr>
                <w:sz w:val="20"/>
                <w:szCs w:val="20"/>
              </w:rPr>
            </w:pPr>
            <w:r w:rsidRPr="00C262DB">
              <w:rPr>
                <w:sz w:val="20"/>
                <w:szCs w:val="20"/>
              </w:rPr>
              <w:t>5</w:t>
            </w:r>
          </w:p>
        </w:tc>
        <w:tc>
          <w:tcPr>
            <w:tcW w:w="850" w:type="dxa"/>
            <w:vAlign w:val="center"/>
          </w:tcPr>
          <w:p w14:paraId="5F25E037" w14:textId="77777777" w:rsidR="000A0EB4" w:rsidRPr="00C262DB" w:rsidRDefault="000A0EB4">
            <w:pPr>
              <w:spacing w:after="0" w:line="259" w:lineRule="auto"/>
              <w:jc w:val="right"/>
              <w:rPr>
                <w:sz w:val="20"/>
                <w:szCs w:val="20"/>
              </w:rPr>
            </w:pPr>
            <w:r w:rsidRPr="00C262DB">
              <w:rPr>
                <w:sz w:val="20"/>
                <w:szCs w:val="20"/>
              </w:rPr>
              <w:t>14</w:t>
            </w:r>
          </w:p>
        </w:tc>
      </w:tr>
      <w:tr w:rsidR="000A0EB4" w:rsidRPr="00167CB8" w14:paraId="60DC4C3C" w14:textId="77777777">
        <w:trPr>
          <w:trHeight w:val="113"/>
        </w:trPr>
        <w:tc>
          <w:tcPr>
            <w:tcW w:w="1271" w:type="dxa"/>
            <w:noWrap/>
            <w:hideMark/>
          </w:tcPr>
          <w:p w14:paraId="61C37DC6" w14:textId="77777777" w:rsidR="000A0EB4" w:rsidRPr="00C262DB" w:rsidRDefault="000A0EB4">
            <w:pPr>
              <w:spacing w:after="0" w:line="259" w:lineRule="auto"/>
              <w:rPr>
                <w:sz w:val="20"/>
                <w:szCs w:val="20"/>
              </w:rPr>
            </w:pPr>
            <w:r w:rsidRPr="00C262DB">
              <w:rPr>
                <w:sz w:val="20"/>
                <w:szCs w:val="20"/>
              </w:rPr>
              <w:t>Jun-23</w:t>
            </w:r>
          </w:p>
        </w:tc>
        <w:tc>
          <w:tcPr>
            <w:tcW w:w="1445" w:type="dxa"/>
            <w:noWrap/>
            <w:vAlign w:val="center"/>
            <w:hideMark/>
          </w:tcPr>
          <w:p w14:paraId="23BCFFA1" w14:textId="77777777" w:rsidR="000A0EB4" w:rsidRPr="00C262DB" w:rsidRDefault="000A0EB4">
            <w:pPr>
              <w:spacing w:after="0" w:line="259" w:lineRule="auto"/>
              <w:jc w:val="right"/>
              <w:rPr>
                <w:sz w:val="20"/>
                <w:szCs w:val="20"/>
              </w:rPr>
            </w:pPr>
            <w:r w:rsidRPr="00C262DB">
              <w:rPr>
                <w:sz w:val="20"/>
                <w:szCs w:val="20"/>
              </w:rPr>
              <w:t>4</w:t>
            </w:r>
          </w:p>
        </w:tc>
        <w:tc>
          <w:tcPr>
            <w:tcW w:w="1446" w:type="dxa"/>
            <w:noWrap/>
            <w:vAlign w:val="center"/>
            <w:hideMark/>
          </w:tcPr>
          <w:p w14:paraId="24A79024" w14:textId="77777777" w:rsidR="000A0EB4" w:rsidRPr="00C262DB" w:rsidRDefault="000A0EB4">
            <w:pPr>
              <w:spacing w:after="0" w:line="259" w:lineRule="auto"/>
              <w:jc w:val="right"/>
              <w:rPr>
                <w:sz w:val="20"/>
                <w:szCs w:val="20"/>
              </w:rPr>
            </w:pPr>
            <w:r w:rsidRPr="00C262DB">
              <w:rPr>
                <w:sz w:val="20"/>
                <w:szCs w:val="20"/>
              </w:rPr>
              <w:t>0</w:t>
            </w:r>
          </w:p>
        </w:tc>
        <w:tc>
          <w:tcPr>
            <w:tcW w:w="1362" w:type="dxa"/>
            <w:noWrap/>
            <w:vAlign w:val="center"/>
            <w:hideMark/>
          </w:tcPr>
          <w:p w14:paraId="4B5187F3" w14:textId="77777777" w:rsidR="000A0EB4" w:rsidRPr="00C262DB" w:rsidRDefault="000A0EB4">
            <w:pPr>
              <w:spacing w:after="0" w:line="259" w:lineRule="auto"/>
              <w:jc w:val="right"/>
              <w:rPr>
                <w:sz w:val="20"/>
                <w:szCs w:val="20"/>
              </w:rPr>
            </w:pPr>
            <w:r w:rsidRPr="00C262DB">
              <w:rPr>
                <w:sz w:val="20"/>
                <w:szCs w:val="20"/>
              </w:rPr>
              <w:t>6</w:t>
            </w:r>
          </w:p>
        </w:tc>
        <w:tc>
          <w:tcPr>
            <w:tcW w:w="1488" w:type="dxa"/>
            <w:noWrap/>
            <w:vAlign w:val="center"/>
            <w:hideMark/>
          </w:tcPr>
          <w:p w14:paraId="11D94B13" w14:textId="77777777" w:rsidR="000A0EB4" w:rsidRPr="00C262DB" w:rsidRDefault="000A0EB4">
            <w:pPr>
              <w:spacing w:after="0" w:line="259" w:lineRule="auto"/>
              <w:jc w:val="right"/>
              <w:rPr>
                <w:sz w:val="20"/>
                <w:szCs w:val="20"/>
              </w:rPr>
            </w:pPr>
            <w:r w:rsidRPr="00C262DB">
              <w:rPr>
                <w:sz w:val="20"/>
                <w:szCs w:val="20"/>
              </w:rPr>
              <w:t>0</w:t>
            </w:r>
          </w:p>
        </w:tc>
        <w:tc>
          <w:tcPr>
            <w:tcW w:w="1488" w:type="dxa"/>
            <w:noWrap/>
            <w:vAlign w:val="center"/>
            <w:hideMark/>
          </w:tcPr>
          <w:p w14:paraId="5821CA8D" w14:textId="77777777" w:rsidR="000A0EB4" w:rsidRPr="00C262DB" w:rsidRDefault="000A0EB4">
            <w:pPr>
              <w:spacing w:after="0" w:line="259" w:lineRule="auto"/>
              <w:jc w:val="right"/>
              <w:rPr>
                <w:sz w:val="20"/>
                <w:szCs w:val="20"/>
              </w:rPr>
            </w:pPr>
            <w:r w:rsidRPr="00C262DB">
              <w:rPr>
                <w:sz w:val="20"/>
                <w:szCs w:val="20"/>
              </w:rPr>
              <w:t>3</w:t>
            </w:r>
          </w:p>
        </w:tc>
        <w:tc>
          <w:tcPr>
            <w:tcW w:w="850" w:type="dxa"/>
            <w:vAlign w:val="center"/>
          </w:tcPr>
          <w:p w14:paraId="23647B56" w14:textId="77777777" w:rsidR="000A0EB4" w:rsidRPr="00C262DB" w:rsidRDefault="000A0EB4">
            <w:pPr>
              <w:spacing w:after="0" w:line="259" w:lineRule="auto"/>
              <w:jc w:val="right"/>
              <w:rPr>
                <w:sz w:val="20"/>
                <w:szCs w:val="20"/>
              </w:rPr>
            </w:pPr>
            <w:r w:rsidRPr="00C262DB">
              <w:rPr>
                <w:sz w:val="20"/>
                <w:szCs w:val="20"/>
              </w:rPr>
              <w:t>13</w:t>
            </w:r>
          </w:p>
        </w:tc>
      </w:tr>
      <w:tr w:rsidR="000A0EB4" w:rsidRPr="00167CB8" w14:paraId="7FF00C8E" w14:textId="77777777">
        <w:trPr>
          <w:trHeight w:val="113"/>
        </w:trPr>
        <w:tc>
          <w:tcPr>
            <w:tcW w:w="1271" w:type="dxa"/>
            <w:noWrap/>
            <w:hideMark/>
          </w:tcPr>
          <w:p w14:paraId="7E658A43" w14:textId="77777777" w:rsidR="000A0EB4" w:rsidRPr="00C262DB" w:rsidRDefault="000A0EB4">
            <w:pPr>
              <w:spacing w:after="0" w:line="259" w:lineRule="auto"/>
              <w:rPr>
                <w:sz w:val="20"/>
                <w:szCs w:val="20"/>
              </w:rPr>
            </w:pPr>
            <w:r w:rsidRPr="00C262DB">
              <w:rPr>
                <w:sz w:val="20"/>
                <w:szCs w:val="20"/>
              </w:rPr>
              <w:t>Sep-23</w:t>
            </w:r>
          </w:p>
        </w:tc>
        <w:tc>
          <w:tcPr>
            <w:tcW w:w="1445" w:type="dxa"/>
            <w:noWrap/>
            <w:vAlign w:val="center"/>
            <w:hideMark/>
          </w:tcPr>
          <w:p w14:paraId="18761ED5" w14:textId="77777777" w:rsidR="000A0EB4" w:rsidRPr="00C262DB" w:rsidRDefault="000A0EB4">
            <w:pPr>
              <w:spacing w:after="0" w:line="259" w:lineRule="auto"/>
              <w:jc w:val="right"/>
              <w:rPr>
                <w:sz w:val="20"/>
                <w:szCs w:val="20"/>
              </w:rPr>
            </w:pPr>
            <w:r w:rsidRPr="00C262DB">
              <w:rPr>
                <w:sz w:val="20"/>
                <w:szCs w:val="20"/>
              </w:rPr>
              <w:t>6</w:t>
            </w:r>
          </w:p>
        </w:tc>
        <w:tc>
          <w:tcPr>
            <w:tcW w:w="1446" w:type="dxa"/>
            <w:noWrap/>
            <w:vAlign w:val="center"/>
            <w:hideMark/>
          </w:tcPr>
          <w:p w14:paraId="068999D7" w14:textId="77777777" w:rsidR="000A0EB4" w:rsidRPr="00C262DB" w:rsidRDefault="000A0EB4">
            <w:pPr>
              <w:spacing w:after="0" w:line="259" w:lineRule="auto"/>
              <w:jc w:val="right"/>
              <w:rPr>
                <w:sz w:val="20"/>
                <w:szCs w:val="20"/>
              </w:rPr>
            </w:pPr>
            <w:r w:rsidRPr="00C262DB">
              <w:rPr>
                <w:sz w:val="20"/>
                <w:szCs w:val="20"/>
              </w:rPr>
              <w:t>0</w:t>
            </w:r>
          </w:p>
        </w:tc>
        <w:tc>
          <w:tcPr>
            <w:tcW w:w="1362" w:type="dxa"/>
            <w:noWrap/>
            <w:vAlign w:val="center"/>
            <w:hideMark/>
          </w:tcPr>
          <w:p w14:paraId="67DF7304" w14:textId="77777777" w:rsidR="000A0EB4" w:rsidRPr="00C262DB" w:rsidRDefault="000A0EB4">
            <w:pPr>
              <w:spacing w:after="0" w:line="259" w:lineRule="auto"/>
              <w:jc w:val="right"/>
              <w:rPr>
                <w:sz w:val="20"/>
                <w:szCs w:val="20"/>
              </w:rPr>
            </w:pPr>
            <w:r w:rsidRPr="00C262DB">
              <w:rPr>
                <w:sz w:val="20"/>
                <w:szCs w:val="20"/>
              </w:rPr>
              <w:t>10</w:t>
            </w:r>
          </w:p>
        </w:tc>
        <w:tc>
          <w:tcPr>
            <w:tcW w:w="1488" w:type="dxa"/>
            <w:noWrap/>
            <w:vAlign w:val="center"/>
            <w:hideMark/>
          </w:tcPr>
          <w:p w14:paraId="024C5D36" w14:textId="77777777" w:rsidR="000A0EB4" w:rsidRPr="00C262DB" w:rsidRDefault="000A0EB4">
            <w:pPr>
              <w:spacing w:after="0" w:line="259" w:lineRule="auto"/>
              <w:jc w:val="right"/>
              <w:rPr>
                <w:sz w:val="20"/>
                <w:szCs w:val="20"/>
              </w:rPr>
            </w:pPr>
            <w:r w:rsidRPr="00C262DB">
              <w:rPr>
                <w:sz w:val="20"/>
                <w:szCs w:val="20"/>
              </w:rPr>
              <w:t>0</w:t>
            </w:r>
          </w:p>
        </w:tc>
        <w:tc>
          <w:tcPr>
            <w:tcW w:w="1488" w:type="dxa"/>
            <w:noWrap/>
            <w:vAlign w:val="center"/>
            <w:hideMark/>
          </w:tcPr>
          <w:p w14:paraId="46A0A4A7" w14:textId="77777777" w:rsidR="000A0EB4" w:rsidRPr="00C262DB" w:rsidRDefault="000A0EB4">
            <w:pPr>
              <w:spacing w:after="0" w:line="259" w:lineRule="auto"/>
              <w:jc w:val="right"/>
              <w:rPr>
                <w:sz w:val="20"/>
                <w:szCs w:val="20"/>
              </w:rPr>
            </w:pPr>
            <w:r w:rsidRPr="00C262DB">
              <w:rPr>
                <w:sz w:val="20"/>
                <w:szCs w:val="20"/>
              </w:rPr>
              <w:t>3</w:t>
            </w:r>
          </w:p>
        </w:tc>
        <w:tc>
          <w:tcPr>
            <w:tcW w:w="850" w:type="dxa"/>
            <w:vAlign w:val="center"/>
          </w:tcPr>
          <w:p w14:paraId="1BD971D0" w14:textId="77777777" w:rsidR="000A0EB4" w:rsidRPr="00C262DB" w:rsidRDefault="000A0EB4">
            <w:pPr>
              <w:spacing w:after="0" w:line="259" w:lineRule="auto"/>
              <w:jc w:val="right"/>
              <w:rPr>
                <w:sz w:val="20"/>
                <w:szCs w:val="20"/>
              </w:rPr>
            </w:pPr>
            <w:r w:rsidRPr="00C262DB">
              <w:rPr>
                <w:sz w:val="20"/>
                <w:szCs w:val="20"/>
              </w:rPr>
              <w:t>19</w:t>
            </w:r>
          </w:p>
        </w:tc>
      </w:tr>
      <w:tr w:rsidR="000A0EB4" w:rsidRPr="00167CB8" w14:paraId="660E3AF8" w14:textId="77777777">
        <w:trPr>
          <w:trHeight w:val="113"/>
        </w:trPr>
        <w:tc>
          <w:tcPr>
            <w:tcW w:w="1271" w:type="dxa"/>
            <w:noWrap/>
            <w:hideMark/>
          </w:tcPr>
          <w:p w14:paraId="371E952E" w14:textId="77777777" w:rsidR="000A0EB4" w:rsidRPr="00C262DB" w:rsidRDefault="000A0EB4">
            <w:pPr>
              <w:spacing w:after="0" w:line="259" w:lineRule="auto"/>
              <w:rPr>
                <w:sz w:val="20"/>
                <w:szCs w:val="20"/>
              </w:rPr>
            </w:pPr>
            <w:r w:rsidRPr="00C262DB">
              <w:rPr>
                <w:sz w:val="20"/>
                <w:szCs w:val="20"/>
              </w:rPr>
              <w:t>Dec-23</w:t>
            </w:r>
          </w:p>
        </w:tc>
        <w:tc>
          <w:tcPr>
            <w:tcW w:w="1445" w:type="dxa"/>
            <w:noWrap/>
            <w:vAlign w:val="center"/>
            <w:hideMark/>
          </w:tcPr>
          <w:p w14:paraId="2B4DC746" w14:textId="77777777" w:rsidR="000A0EB4" w:rsidRPr="00C262DB" w:rsidRDefault="000A0EB4">
            <w:pPr>
              <w:spacing w:after="0" w:line="259" w:lineRule="auto"/>
              <w:jc w:val="right"/>
              <w:rPr>
                <w:sz w:val="20"/>
                <w:szCs w:val="20"/>
              </w:rPr>
            </w:pPr>
            <w:r w:rsidRPr="00C262DB">
              <w:rPr>
                <w:sz w:val="20"/>
                <w:szCs w:val="20"/>
              </w:rPr>
              <w:t>8</w:t>
            </w:r>
          </w:p>
        </w:tc>
        <w:tc>
          <w:tcPr>
            <w:tcW w:w="1446" w:type="dxa"/>
            <w:noWrap/>
            <w:vAlign w:val="center"/>
            <w:hideMark/>
          </w:tcPr>
          <w:p w14:paraId="61E29FCB" w14:textId="77777777" w:rsidR="000A0EB4" w:rsidRPr="00C262DB" w:rsidRDefault="000A0EB4">
            <w:pPr>
              <w:spacing w:after="0" w:line="259" w:lineRule="auto"/>
              <w:jc w:val="right"/>
              <w:rPr>
                <w:sz w:val="20"/>
                <w:szCs w:val="20"/>
              </w:rPr>
            </w:pPr>
            <w:r w:rsidRPr="00C262DB">
              <w:rPr>
                <w:sz w:val="20"/>
                <w:szCs w:val="20"/>
              </w:rPr>
              <w:t>4</w:t>
            </w:r>
          </w:p>
        </w:tc>
        <w:tc>
          <w:tcPr>
            <w:tcW w:w="1362" w:type="dxa"/>
            <w:noWrap/>
            <w:vAlign w:val="center"/>
            <w:hideMark/>
          </w:tcPr>
          <w:p w14:paraId="4E192701" w14:textId="77777777" w:rsidR="000A0EB4" w:rsidRPr="00C262DB" w:rsidRDefault="000A0EB4">
            <w:pPr>
              <w:spacing w:after="0" w:line="259" w:lineRule="auto"/>
              <w:jc w:val="right"/>
              <w:rPr>
                <w:sz w:val="20"/>
                <w:szCs w:val="20"/>
              </w:rPr>
            </w:pPr>
            <w:r w:rsidRPr="00C262DB">
              <w:rPr>
                <w:sz w:val="20"/>
                <w:szCs w:val="20"/>
              </w:rPr>
              <w:t>15</w:t>
            </w:r>
          </w:p>
        </w:tc>
        <w:tc>
          <w:tcPr>
            <w:tcW w:w="1488" w:type="dxa"/>
            <w:noWrap/>
            <w:vAlign w:val="center"/>
            <w:hideMark/>
          </w:tcPr>
          <w:p w14:paraId="35FA3FA9" w14:textId="77777777" w:rsidR="000A0EB4" w:rsidRPr="00C262DB" w:rsidRDefault="000A0EB4">
            <w:pPr>
              <w:spacing w:after="0" w:line="259" w:lineRule="auto"/>
              <w:jc w:val="right"/>
              <w:rPr>
                <w:sz w:val="20"/>
                <w:szCs w:val="20"/>
              </w:rPr>
            </w:pPr>
            <w:r w:rsidRPr="00C262DB">
              <w:rPr>
                <w:sz w:val="20"/>
                <w:szCs w:val="20"/>
              </w:rPr>
              <w:t>0</w:t>
            </w:r>
          </w:p>
        </w:tc>
        <w:tc>
          <w:tcPr>
            <w:tcW w:w="1488" w:type="dxa"/>
            <w:noWrap/>
            <w:vAlign w:val="center"/>
            <w:hideMark/>
          </w:tcPr>
          <w:p w14:paraId="5C68F841" w14:textId="77777777" w:rsidR="000A0EB4" w:rsidRPr="00C262DB" w:rsidRDefault="000A0EB4">
            <w:pPr>
              <w:spacing w:after="0" w:line="259" w:lineRule="auto"/>
              <w:jc w:val="right"/>
              <w:rPr>
                <w:sz w:val="20"/>
                <w:szCs w:val="20"/>
              </w:rPr>
            </w:pPr>
            <w:r w:rsidRPr="00C262DB">
              <w:rPr>
                <w:sz w:val="20"/>
                <w:szCs w:val="20"/>
              </w:rPr>
              <w:t>4</w:t>
            </w:r>
          </w:p>
        </w:tc>
        <w:tc>
          <w:tcPr>
            <w:tcW w:w="850" w:type="dxa"/>
            <w:vAlign w:val="center"/>
          </w:tcPr>
          <w:p w14:paraId="4208C8DA" w14:textId="77777777" w:rsidR="000A0EB4" w:rsidRPr="00C262DB" w:rsidRDefault="000A0EB4">
            <w:pPr>
              <w:spacing w:after="0" w:line="259" w:lineRule="auto"/>
              <w:jc w:val="right"/>
              <w:rPr>
                <w:sz w:val="20"/>
                <w:szCs w:val="20"/>
              </w:rPr>
            </w:pPr>
            <w:r w:rsidRPr="00C262DB">
              <w:rPr>
                <w:sz w:val="20"/>
                <w:szCs w:val="20"/>
              </w:rPr>
              <w:t>31</w:t>
            </w:r>
          </w:p>
        </w:tc>
      </w:tr>
      <w:tr w:rsidR="000A0EB4" w:rsidRPr="00167CB8" w14:paraId="0594A57C" w14:textId="77777777">
        <w:trPr>
          <w:trHeight w:val="113"/>
        </w:trPr>
        <w:tc>
          <w:tcPr>
            <w:tcW w:w="1271" w:type="dxa"/>
            <w:noWrap/>
            <w:hideMark/>
          </w:tcPr>
          <w:p w14:paraId="4AF92BE3" w14:textId="77777777" w:rsidR="000A0EB4" w:rsidRPr="00C262DB" w:rsidRDefault="000A0EB4">
            <w:pPr>
              <w:spacing w:after="0" w:line="259" w:lineRule="auto"/>
              <w:rPr>
                <w:sz w:val="20"/>
                <w:szCs w:val="20"/>
              </w:rPr>
            </w:pPr>
            <w:r w:rsidRPr="00C262DB">
              <w:rPr>
                <w:sz w:val="20"/>
                <w:szCs w:val="20"/>
              </w:rPr>
              <w:t>Mar-24</w:t>
            </w:r>
          </w:p>
        </w:tc>
        <w:tc>
          <w:tcPr>
            <w:tcW w:w="1445" w:type="dxa"/>
            <w:noWrap/>
            <w:vAlign w:val="center"/>
            <w:hideMark/>
          </w:tcPr>
          <w:p w14:paraId="54157D9A" w14:textId="77777777" w:rsidR="000A0EB4" w:rsidRPr="00C262DB" w:rsidRDefault="000A0EB4">
            <w:pPr>
              <w:spacing w:after="0" w:line="259" w:lineRule="auto"/>
              <w:jc w:val="right"/>
              <w:rPr>
                <w:sz w:val="20"/>
                <w:szCs w:val="20"/>
              </w:rPr>
            </w:pPr>
            <w:r w:rsidRPr="00C262DB">
              <w:rPr>
                <w:sz w:val="20"/>
                <w:szCs w:val="20"/>
              </w:rPr>
              <w:t>4</w:t>
            </w:r>
          </w:p>
        </w:tc>
        <w:tc>
          <w:tcPr>
            <w:tcW w:w="1446" w:type="dxa"/>
            <w:noWrap/>
            <w:vAlign w:val="center"/>
            <w:hideMark/>
          </w:tcPr>
          <w:p w14:paraId="57806A7D" w14:textId="77777777" w:rsidR="000A0EB4" w:rsidRPr="00C262DB" w:rsidRDefault="000A0EB4">
            <w:pPr>
              <w:spacing w:after="0" w:line="259" w:lineRule="auto"/>
              <w:jc w:val="right"/>
              <w:rPr>
                <w:sz w:val="20"/>
                <w:szCs w:val="20"/>
              </w:rPr>
            </w:pPr>
            <w:r w:rsidRPr="00C262DB">
              <w:rPr>
                <w:sz w:val="20"/>
                <w:szCs w:val="20"/>
              </w:rPr>
              <w:t>4</w:t>
            </w:r>
          </w:p>
        </w:tc>
        <w:tc>
          <w:tcPr>
            <w:tcW w:w="1362" w:type="dxa"/>
            <w:noWrap/>
            <w:vAlign w:val="center"/>
            <w:hideMark/>
          </w:tcPr>
          <w:p w14:paraId="74822CAD" w14:textId="77777777" w:rsidR="000A0EB4" w:rsidRPr="00C262DB" w:rsidRDefault="000A0EB4">
            <w:pPr>
              <w:spacing w:after="0" w:line="259" w:lineRule="auto"/>
              <w:jc w:val="right"/>
              <w:rPr>
                <w:sz w:val="20"/>
                <w:szCs w:val="20"/>
              </w:rPr>
            </w:pPr>
            <w:r w:rsidRPr="00C262DB">
              <w:rPr>
                <w:sz w:val="20"/>
                <w:szCs w:val="20"/>
              </w:rPr>
              <w:t>12</w:t>
            </w:r>
          </w:p>
        </w:tc>
        <w:tc>
          <w:tcPr>
            <w:tcW w:w="1488" w:type="dxa"/>
            <w:noWrap/>
            <w:vAlign w:val="center"/>
            <w:hideMark/>
          </w:tcPr>
          <w:p w14:paraId="40F8DEEF" w14:textId="77777777" w:rsidR="000A0EB4" w:rsidRPr="00C262DB" w:rsidRDefault="000A0EB4">
            <w:pPr>
              <w:spacing w:after="0" w:line="259" w:lineRule="auto"/>
              <w:jc w:val="right"/>
              <w:rPr>
                <w:sz w:val="20"/>
                <w:szCs w:val="20"/>
              </w:rPr>
            </w:pPr>
            <w:r w:rsidRPr="00C262DB">
              <w:rPr>
                <w:sz w:val="20"/>
                <w:szCs w:val="20"/>
              </w:rPr>
              <w:t>0</w:t>
            </w:r>
          </w:p>
        </w:tc>
        <w:tc>
          <w:tcPr>
            <w:tcW w:w="1488" w:type="dxa"/>
            <w:noWrap/>
            <w:vAlign w:val="center"/>
            <w:hideMark/>
          </w:tcPr>
          <w:p w14:paraId="268D5ADB" w14:textId="77777777" w:rsidR="000A0EB4" w:rsidRPr="00C262DB" w:rsidRDefault="000A0EB4">
            <w:pPr>
              <w:spacing w:after="0" w:line="259" w:lineRule="auto"/>
              <w:jc w:val="right"/>
              <w:rPr>
                <w:sz w:val="20"/>
                <w:szCs w:val="20"/>
              </w:rPr>
            </w:pPr>
            <w:r w:rsidRPr="00C262DB">
              <w:rPr>
                <w:sz w:val="20"/>
                <w:szCs w:val="20"/>
              </w:rPr>
              <w:t>1</w:t>
            </w:r>
          </w:p>
        </w:tc>
        <w:tc>
          <w:tcPr>
            <w:tcW w:w="850" w:type="dxa"/>
            <w:vAlign w:val="center"/>
          </w:tcPr>
          <w:p w14:paraId="17E349D8" w14:textId="77777777" w:rsidR="000A0EB4" w:rsidRPr="00C262DB" w:rsidRDefault="000A0EB4">
            <w:pPr>
              <w:spacing w:after="0" w:line="259" w:lineRule="auto"/>
              <w:jc w:val="right"/>
              <w:rPr>
                <w:sz w:val="20"/>
                <w:szCs w:val="20"/>
              </w:rPr>
            </w:pPr>
            <w:r w:rsidRPr="00C262DB">
              <w:rPr>
                <w:sz w:val="20"/>
                <w:szCs w:val="20"/>
              </w:rPr>
              <w:t>21</w:t>
            </w:r>
          </w:p>
        </w:tc>
      </w:tr>
      <w:tr w:rsidR="000A0EB4" w:rsidRPr="00167CB8" w14:paraId="0E62078D" w14:textId="77777777">
        <w:trPr>
          <w:trHeight w:val="113"/>
        </w:trPr>
        <w:tc>
          <w:tcPr>
            <w:tcW w:w="1271" w:type="dxa"/>
            <w:noWrap/>
            <w:hideMark/>
          </w:tcPr>
          <w:p w14:paraId="329D3A7F" w14:textId="77777777" w:rsidR="000A0EB4" w:rsidRPr="00C262DB" w:rsidRDefault="000A0EB4">
            <w:pPr>
              <w:spacing w:after="0" w:line="259" w:lineRule="auto"/>
              <w:rPr>
                <w:sz w:val="20"/>
                <w:szCs w:val="20"/>
              </w:rPr>
            </w:pPr>
            <w:r w:rsidRPr="00C262DB">
              <w:rPr>
                <w:sz w:val="20"/>
                <w:szCs w:val="20"/>
              </w:rPr>
              <w:t>Jun-24</w:t>
            </w:r>
          </w:p>
        </w:tc>
        <w:tc>
          <w:tcPr>
            <w:tcW w:w="1445" w:type="dxa"/>
            <w:noWrap/>
            <w:vAlign w:val="center"/>
            <w:hideMark/>
          </w:tcPr>
          <w:p w14:paraId="54D9F9AB" w14:textId="77777777" w:rsidR="000A0EB4" w:rsidRPr="00C262DB" w:rsidRDefault="000A0EB4">
            <w:pPr>
              <w:spacing w:after="0" w:line="259" w:lineRule="auto"/>
              <w:jc w:val="right"/>
              <w:rPr>
                <w:sz w:val="20"/>
                <w:szCs w:val="20"/>
              </w:rPr>
            </w:pPr>
            <w:r w:rsidRPr="00C262DB">
              <w:rPr>
                <w:sz w:val="20"/>
                <w:szCs w:val="20"/>
              </w:rPr>
              <w:t>11</w:t>
            </w:r>
          </w:p>
        </w:tc>
        <w:tc>
          <w:tcPr>
            <w:tcW w:w="1446" w:type="dxa"/>
            <w:noWrap/>
            <w:vAlign w:val="center"/>
            <w:hideMark/>
          </w:tcPr>
          <w:p w14:paraId="494C05AA" w14:textId="77777777" w:rsidR="000A0EB4" w:rsidRPr="00C262DB" w:rsidRDefault="000A0EB4">
            <w:pPr>
              <w:spacing w:after="0" w:line="259" w:lineRule="auto"/>
              <w:jc w:val="right"/>
              <w:rPr>
                <w:sz w:val="20"/>
                <w:szCs w:val="20"/>
              </w:rPr>
            </w:pPr>
            <w:r w:rsidRPr="00C262DB">
              <w:rPr>
                <w:sz w:val="20"/>
                <w:szCs w:val="20"/>
              </w:rPr>
              <w:t>0</w:t>
            </w:r>
          </w:p>
        </w:tc>
        <w:tc>
          <w:tcPr>
            <w:tcW w:w="1362" w:type="dxa"/>
            <w:noWrap/>
            <w:vAlign w:val="center"/>
            <w:hideMark/>
          </w:tcPr>
          <w:p w14:paraId="04821DDB" w14:textId="77777777" w:rsidR="000A0EB4" w:rsidRPr="00C262DB" w:rsidRDefault="000A0EB4">
            <w:pPr>
              <w:spacing w:after="0" w:line="259" w:lineRule="auto"/>
              <w:jc w:val="right"/>
              <w:rPr>
                <w:sz w:val="20"/>
                <w:szCs w:val="20"/>
              </w:rPr>
            </w:pPr>
            <w:r w:rsidRPr="00C262DB">
              <w:rPr>
                <w:sz w:val="20"/>
                <w:szCs w:val="20"/>
              </w:rPr>
              <w:t>21</w:t>
            </w:r>
          </w:p>
        </w:tc>
        <w:tc>
          <w:tcPr>
            <w:tcW w:w="1488" w:type="dxa"/>
            <w:noWrap/>
            <w:vAlign w:val="center"/>
            <w:hideMark/>
          </w:tcPr>
          <w:p w14:paraId="0EC01EE6" w14:textId="77777777" w:rsidR="000A0EB4" w:rsidRPr="00C262DB" w:rsidRDefault="000A0EB4">
            <w:pPr>
              <w:spacing w:after="0" w:line="259" w:lineRule="auto"/>
              <w:jc w:val="right"/>
              <w:rPr>
                <w:sz w:val="20"/>
                <w:szCs w:val="20"/>
              </w:rPr>
            </w:pPr>
            <w:r w:rsidRPr="00C262DB">
              <w:rPr>
                <w:sz w:val="20"/>
                <w:szCs w:val="20"/>
              </w:rPr>
              <w:t>0</w:t>
            </w:r>
          </w:p>
        </w:tc>
        <w:tc>
          <w:tcPr>
            <w:tcW w:w="1488" w:type="dxa"/>
            <w:noWrap/>
            <w:vAlign w:val="center"/>
            <w:hideMark/>
          </w:tcPr>
          <w:p w14:paraId="7B6E03D7" w14:textId="77777777" w:rsidR="000A0EB4" w:rsidRPr="00C262DB" w:rsidRDefault="000A0EB4">
            <w:pPr>
              <w:spacing w:after="0" w:line="259" w:lineRule="auto"/>
              <w:jc w:val="right"/>
              <w:rPr>
                <w:sz w:val="20"/>
                <w:szCs w:val="20"/>
              </w:rPr>
            </w:pPr>
            <w:r w:rsidRPr="00C262DB">
              <w:rPr>
                <w:sz w:val="20"/>
                <w:szCs w:val="20"/>
              </w:rPr>
              <w:t>1</w:t>
            </w:r>
          </w:p>
        </w:tc>
        <w:tc>
          <w:tcPr>
            <w:tcW w:w="850" w:type="dxa"/>
            <w:vAlign w:val="center"/>
          </w:tcPr>
          <w:p w14:paraId="46964857" w14:textId="77777777" w:rsidR="000A0EB4" w:rsidRPr="00C262DB" w:rsidRDefault="000A0EB4">
            <w:pPr>
              <w:spacing w:after="0" w:line="259" w:lineRule="auto"/>
              <w:jc w:val="right"/>
              <w:rPr>
                <w:sz w:val="20"/>
                <w:szCs w:val="20"/>
              </w:rPr>
            </w:pPr>
            <w:r w:rsidRPr="00C262DB">
              <w:rPr>
                <w:sz w:val="20"/>
                <w:szCs w:val="20"/>
              </w:rPr>
              <w:t>33</w:t>
            </w:r>
          </w:p>
        </w:tc>
      </w:tr>
      <w:tr w:rsidR="000A0EB4" w:rsidRPr="00167CB8" w14:paraId="091F79A3" w14:textId="77777777">
        <w:trPr>
          <w:trHeight w:val="113"/>
        </w:trPr>
        <w:tc>
          <w:tcPr>
            <w:tcW w:w="1271" w:type="dxa"/>
            <w:noWrap/>
          </w:tcPr>
          <w:p w14:paraId="61C86CCF" w14:textId="77777777" w:rsidR="000A0EB4" w:rsidRPr="00C262DB" w:rsidRDefault="000A0EB4">
            <w:pPr>
              <w:spacing w:after="0"/>
              <w:rPr>
                <w:sz w:val="20"/>
                <w:szCs w:val="20"/>
              </w:rPr>
            </w:pPr>
            <w:r>
              <w:rPr>
                <w:sz w:val="20"/>
                <w:szCs w:val="20"/>
              </w:rPr>
              <w:t>Sep-24</w:t>
            </w:r>
          </w:p>
        </w:tc>
        <w:tc>
          <w:tcPr>
            <w:tcW w:w="1445" w:type="dxa"/>
            <w:noWrap/>
            <w:vAlign w:val="center"/>
          </w:tcPr>
          <w:p w14:paraId="61033111" w14:textId="77777777" w:rsidR="000A0EB4" w:rsidRPr="00C262DB" w:rsidRDefault="000A0EB4">
            <w:pPr>
              <w:spacing w:after="0"/>
              <w:jc w:val="right"/>
              <w:rPr>
                <w:sz w:val="20"/>
                <w:szCs w:val="20"/>
              </w:rPr>
            </w:pPr>
            <w:r>
              <w:rPr>
                <w:sz w:val="20"/>
                <w:szCs w:val="20"/>
              </w:rPr>
              <w:t>15</w:t>
            </w:r>
          </w:p>
        </w:tc>
        <w:tc>
          <w:tcPr>
            <w:tcW w:w="1446" w:type="dxa"/>
            <w:noWrap/>
            <w:vAlign w:val="center"/>
          </w:tcPr>
          <w:p w14:paraId="527E3A48" w14:textId="77777777" w:rsidR="000A0EB4" w:rsidRPr="00C262DB" w:rsidRDefault="000A0EB4">
            <w:pPr>
              <w:spacing w:after="0"/>
              <w:jc w:val="right"/>
              <w:rPr>
                <w:sz w:val="20"/>
                <w:szCs w:val="20"/>
              </w:rPr>
            </w:pPr>
            <w:r>
              <w:rPr>
                <w:sz w:val="20"/>
                <w:szCs w:val="20"/>
              </w:rPr>
              <w:t>3</w:t>
            </w:r>
          </w:p>
        </w:tc>
        <w:tc>
          <w:tcPr>
            <w:tcW w:w="1362" w:type="dxa"/>
            <w:noWrap/>
            <w:vAlign w:val="center"/>
          </w:tcPr>
          <w:p w14:paraId="4F8EC594" w14:textId="77777777" w:rsidR="000A0EB4" w:rsidRPr="00C262DB" w:rsidRDefault="000A0EB4">
            <w:pPr>
              <w:spacing w:after="0"/>
              <w:jc w:val="right"/>
              <w:rPr>
                <w:sz w:val="20"/>
                <w:szCs w:val="20"/>
              </w:rPr>
            </w:pPr>
            <w:r>
              <w:rPr>
                <w:sz w:val="20"/>
                <w:szCs w:val="20"/>
              </w:rPr>
              <w:t>19</w:t>
            </w:r>
          </w:p>
        </w:tc>
        <w:tc>
          <w:tcPr>
            <w:tcW w:w="1488" w:type="dxa"/>
            <w:noWrap/>
            <w:vAlign w:val="center"/>
          </w:tcPr>
          <w:p w14:paraId="333EAE69" w14:textId="77777777" w:rsidR="000A0EB4" w:rsidRPr="00C262DB" w:rsidRDefault="000A0EB4">
            <w:pPr>
              <w:spacing w:after="0"/>
              <w:jc w:val="right"/>
              <w:rPr>
                <w:sz w:val="20"/>
                <w:szCs w:val="20"/>
              </w:rPr>
            </w:pPr>
            <w:r>
              <w:rPr>
                <w:sz w:val="20"/>
                <w:szCs w:val="20"/>
              </w:rPr>
              <w:t>0</w:t>
            </w:r>
          </w:p>
        </w:tc>
        <w:tc>
          <w:tcPr>
            <w:tcW w:w="1488" w:type="dxa"/>
            <w:noWrap/>
            <w:vAlign w:val="center"/>
          </w:tcPr>
          <w:p w14:paraId="06B5BE5A" w14:textId="77777777" w:rsidR="000A0EB4" w:rsidRPr="00C262DB" w:rsidRDefault="000A0EB4">
            <w:pPr>
              <w:spacing w:after="0"/>
              <w:jc w:val="right"/>
              <w:rPr>
                <w:sz w:val="20"/>
                <w:szCs w:val="20"/>
              </w:rPr>
            </w:pPr>
            <w:r>
              <w:rPr>
                <w:sz w:val="20"/>
                <w:szCs w:val="20"/>
              </w:rPr>
              <w:t>1</w:t>
            </w:r>
          </w:p>
        </w:tc>
        <w:tc>
          <w:tcPr>
            <w:tcW w:w="850" w:type="dxa"/>
            <w:vAlign w:val="center"/>
          </w:tcPr>
          <w:p w14:paraId="05542BC3" w14:textId="77777777" w:rsidR="000A0EB4" w:rsidRPr="00C262DB" w:rsidRDefault="000A0EB4">
            <w:pPr>
              <w:spacing w:after="0"/>
              <w:jc w:val="right"/>
              <w:rPr>
                <w:sz w:val="20"/>
                <w:szCs w:val="20"/>
              </w:rPr>
            </w:pPr>
            <w:r>
              <w:rPr>
                <w:sz w:val="20"/>
                <w:szCs w:val="20"/>
              </w:rPr>
              <w:t>38</w:t>
            </w:r>
          </w:p>
        </w:tc>
      </w:tr>
      <w:tr w:rsidR="000A0EB4" w:rsidRPr="00167CB8" w14:paraId="10F5C1F4" w14:textId="77777777">
        <w:trPr>
          <w:trHeight w:val="113"/>
        </w:trPr>
        <w:tc>
          <w:tcPr>
            <w:tcW w:w="1271" w:type="dxa"/>
            <w:noWrap/>
          </w:tcPr>
          <w:p w14:paraId="178A129F" w14:textId="77777777" w:rsidR="000A0EB4" w:rsidRPr="00C262DB" w:rsidRDefault="000A0EB4">
            <w:pPr>
              <w:spacing w:after="0"/>
              <w:rPr>
                <w:sz w:val="20"/>
                <w:szCs w:val="20"/>
              </w:rPr>
            </w:pPr>
            <w:r>
              <w:rPr>
                <w:sz w:val="20"/>
                <w:szCs w:val="20"/>
              </w:rPr>
              <w:t>Dec-24</w:t>
            </w:r>
          </w:p>
        </w:tc>
        <w:tc>
          <w:tcPr>
            <w:tcW w:w="1445" w:type="dxa"/>
            <w:noWrap/>
            <w:vAlign w:val="center"/>
          </w:tcPr>
          <w:p w14:paraId="26F91E47" w14:textId="77777777" w:rsidR="000A0EB4" w:rsidRPr="00C262DB" w:rsidRDefault="000A0EB4">
            <w:pPr>
              <w:spacing w:after="0"/>
              <w:jc w:val="right"/>
              <w:rPr>
                <w:sz w:val="20"/>
                <w:szCs w:val="20"/>
              </w:rPr>
            </w:pPr>
            <w:r>
              <w:rPr>
                <w:sz w:val="20"/>
                <w:szCs w:val="20"/>
              </w:rPr>
              <w:t>19</w:t>
            </w:r>
          </w:p>
        </w:tc>
        <w:tc>
          <w:tcPr>
            <w:tcW w:w="1446" w:type="dxa"/>
            <w:noWrap/>
            <w:vAlign w:val="center"/>
          </w:tcPr>
          <w:p w14:paraId="3E0B4C54" w14:textId="77777777" w:rsidR="000A0EB4" w:rsidRPr="00C262DB" w:rsidRDefault="000A0EB4">
            <w:pPr>
              <w:spacing w:after="0"/>
              <w:jc w:val="right"/>
              <w:rPr>
                <w:sz w:val="20"/>
                <w:szCs w:val="20"/>
              </w:rPr>
            </w:pPr>
            <w:r>
              <w:rPr>
                <w:sz w:val="20"/>
                <w:szCs w:val="20"/>
              </w:rPr>
              <w:t>3</w:t>
            </w:r>
          </w:p>
        </w:tc>
        <w:tc>
          <w:tcPr>
            <w:tcW w:w="1362" w:type="dxa"/>
            <w:noWrap/>
            <w:vAlign w:val="center"/>
          </w:tcPr>
          <w:p w14:paraId="527C17BE" w14:textId="77777777" w:rsidR="000A0EB4" w:rsidRPr="00C262DB" w:rsidRDefault="000A0EB4">
            <w:pPr>
              <w:spacing w:after="0"/>
              <w:jc w:val="right"/>
              <w:rPr>
                <w:sz w:val="20"/>
                <w:szCs w:val="20"/>
              </w:rPr>
            </w:pPr>
            <w:r>
              <w:rPr>
                <w:sz w:val="20"/>
                <w:szCs w:val="20"/>
              </w:rPr>
              <w:t>22</w:t>
            </w:r>
          </w:p>
        </w:tc>
        <w:tc>
          <w:tcPr>
            <w:tcW w:w="1488" w:type="dxa"/>
            <w:noWrap/>
            <w:vAlign w:val="center"/>
          </w:tcPr>
          <w:p w14:paraId="7DA7BD12" w14:textId="77777777" w:rsidR="000A0EB4" w:rsidRPr="00C262DB" w:rsidRDefault="000A0EB4">
            <w:pPr>
              <w:spacing w:after="0"/>
              <w:jc w:val="right"/>
              <w:rPr>
                <w:sz w:val="20"/>
                <w:szCs w:val="20"/>
              </w:rPr>
            </w:pPr>
            <w:r>
              <w:rPr>
                <w:sz w:val="20"/>
                <w:szCs w:val="20"/>
              </w:rPr>
              <w:t>0</w:t>
            </w:r>
          </w:p>
        </w:tc>
        <w:tc>
          <w:tcPr>
            <w:tcW w:w="1488" w:type="dxa"/>
            <w:noWrap/>
            <w:vAlign w:val="center"/>
          </w:tcPr>
          <w:p w14:paraId="270D4EB5" w14:textId="77777777" w:rsidR="000A0EB4" w:rsidRPr="00C262DB" w:rsidRDefault="000A0EB4">
            <w:pPr>
              <w:spacing w:after="0"/>
              <w:jc w:val="right"/>
              <w:rPr>
                <w:sz w:val="20"/>
                <w:szCs w:val="20"/>
              </w:rPr>
            </w:pPr>
            <w:r>
              <w:rPr>
                <w:sz w:val="20"/>
                <w:szCs w:val="20"/>
              </w:rPr>
              <w:t>3</w:t>
            </w:r>
          </w:p>
        </w:tc>
        <w:tc>
          <w:tcPr>
            <w:tcW w:w="850" w:type="dxa"/>
            <w:vAlign w:val="center"/>
          </w:tcPr>
          <w:p w14:paraId="44913046" w14:textId="77777777" w:rsidR="000A0EB4" w:rsidRPr="00C262DB" w:rsidRDefault="000A0EB4">
            <w:pPr>
              <w:spacing w:after="0"/>
              <w:jc w:val="right"/>
              <w:rPr>
                <w:sz w:val="20"/>
                <w:szCs w:val="20"/>
              </w:rPr>
            </w:pPr>
            <w:r>
              <w:rPr>
                <w:sz w:val="20"/>
                <w:szCs w:val="20"/>
              </w:rPr>
              <w:t>47</w:t>
            </w:r>
          </w:p>
        </w:tc>
      </w:tr>
    </w:tbl>
    <w:p w14:paraId="7243D1A1" w14:textId="6BA4D1E5" w:rsidR="00870E09" w:rsidRDefault="00870E09" w:rsidP="000A0EB4">
      <w:pPr>
        <w:rPr>
          <w:b/>
          <w:bCs/>
          <w:sz w:val="18"/>
        </w:rPr>
      </w:pPr>
      <w:r>
        <w:rPr>
          <w:b/>
          <w:bCs/>
          <w:sz w:val="18"/>
        </w:rPr>
        <w:t xml:space="preserve">Note: </w:t>
      </w:r>
      <w:r w:rsidRPr="00A609AF">
        <w:rPr>
          <w:sz w:val="18"/>
        </w:rPr>
        <w:t>N/A: not applicable.</w:t>
      </w:r>
    </w:p>
    <w:p w14:paraId="3F1E5CEC" w14:textId="3FEF1A0E" w:rsidR="000A0EB4" w:rsidRPr="00167CB8" w:rsidRDefault="000A0EB4" w:rsidP="000A0EB4">
      <w:r w:rsidRPr="00167CB8">
        <w:rPr>
          <w:b/>
          <w:bCs/>
          <w:sz w:val="18"/>
        </w:rPr>
        <w:t xml:space="preserve">Source: </w:t>
      </w:r>
      <w:r w:rsidRPr="00167CB8">
        <w:rPr>
          <w:sz w:val="18"/>
        </w:rPr>
        <w:t xml:space="preserve">Data provided to the Review by the </w:t>
      </w:r>
      <w:r w:rsidR="00BE034D">
        <w:rPr>
          <w:sz w:val="18"/>
        </w:rPr>
        <w:t>Fair Work Commission</w:t>
      </w:r>
      <w:r w:rsidRPr="00167CB8">
        <w:rPr>
          <w:sz w:val="18"/>
        </w:rPr>
        <w:t>.</w:t>
      </w:r>
    </w:p>
    <w:p w14:paraId="0ADF94D1" w14:textId="52C75AA9" w:rsidR="000A0EB4" w:rsidRPr="00167CB8" w:rsidRDefault="000A0EB4" w:rsidP="000A0EB4">
      <w:r w:rsidRPr="00167CB8">
        <w:t xml:space="preserve">Since the prohibition commenced on 6 March 2023, the FWO reported receiving </w:t>
      </w:r>
      <w:r>
        <w:t>12</w:t>
      </w:r>
      <w:r w:rsidRPr="00167CB8">
        <w:t xml:space="preserve"> requests for assistance and commencing </w:t>
      </w:r>
      <w:r w:rsidR="001F1278">
        <w:t>five</w:t>
      </w:r>
      <w:r w:rsidRPr="00167CB8">
        <w:t> formal investigations regarding workplace sexual harassment (one finalised).</w:t>
      </w:r>
      <w:r w:rsidRPr="00167CB8">
        <w:rPr>
          <w:rStyle w:val="FootnoteReference"/>
        </w:rPr>
        <w:footnoteReference w:id="1075"/>
      </w:r>
      <w:r w:rsidRPr="00167CB8">
        <w:t xml:space="preserve"> The FWO also noted that it has received steady traffic through its Infoline and Anonymous Reporting Tool and that it has taken an educative approach to assist workers and businesses to understand their rights and obligations.</w:t>
      </w:r>
      <w:r w:rsidRPr="00167CB8">
        <w:rPr>
          <w:rStyle w:val="FootnoteReference"/>
        </w:rPr>
        <w:footnoteReference w:id="1076"/>
      </w:r>
    </w:p>
    <w:p w14:paraId="3E5CC98D" w14:textId="4FC54017" w:rsidR="000A0EB4" w:rsidRPr="00167CB8" w:rsidRDefault="000A0EB4" w:rsidP="000A0EB4">
      <w:r w:rsidRPr="396ABCA7">
        <w:lastRenderedPageBreak/>
        <w:t>WGEA’s latest round of reporting also revealed a steady increase in the proportion of employers with a policy or strategy in relation to sexual harassment, from 98.2% in 2020</w:t>
      </w:r>
      <w:r w:rsidRPr="396ABCA7">
        <w:rPr>
          <w:rFonts w:ascii="Symbol" w:eastAsia="Symbol" w:hAnsi="Symbol" w:cs="Symbol"/>
        </w:rPr>
        <w:t>-</w:t>
      </w:r>
      <w:r w:rsidRPr="396ABCA7">
        <w:t>21 to 98.9% in 2023</w:t>
      </w:r>
      <w:r w:rsidRPr="396ABCA7">
        <w:rPr>
          <w:rFonts w:ascii="Symbol" w:eastAsia="Symbol" w:hAnsi="Symbol" w:cs="Symbol"/>
        </w:rPr>
        <w:t>-</w:t>
      </w:r>
      <w:r w:rsidRPr="396ABCA7">
        <w:t>24.</w:t>
      </w:r>
      <w:r w:rsidRPr="396ABCA7">
        <w:rPr>
          <w:rStyle w:val="FootnoteReference"/>
        </w:rPr>
        <w:footnoteReference w:id="1077"/>
      </w:r>
    </w:p>
    <w:p w14:paraId="08AD05D6" w14:textId="77777777" w:rsidR="000A0EB4" w:rsidRPr="00A609AF" w:rsidRDefault="000A0EB4" w:rsidP="001F1278">
      <w:pPr>
        <w:pStyle w:val="Heading5"/>
      </w:pPr>
      <w:bookmarkStart w:id="507" w:name="_Toc188003403"/>
      <w:r w:rsidRPr="00A609AF">
        <w:t>28.2.2 Qualitative evidence</w:t>
      </w:r>
      <w:bookmarkEnd w:id="507"/>
    </w:p>
    <w:p w14:paraId="70C58D86" w14:textId="1E99081F" w:rsidR="000A0EB4" w:rsidRPr="00167CB8" w:rsidRDefault="000A0EB4" w:rsidP="000A0EB4">
      <w:r w:rsidRPr="00167CB8">
        <w:t xml:space="preserve">The FWC and FWO report that they have collaborated with each other, the </w:t>
      </w:r>
      <w:r w:rsidR="00870E09" w:rsidRPr="00870E09">
        <w:t xml:space="preserve">Australian Human Rights Commission </w:t>
      </w:r>
      <w:r w:rsidRPr="00167CB8">
        <w:t>and other regulators to implement these changes.</w:t>
      </w:r>
    </w:p>
    <w:p w14:paraId="40A365DD" w14:textId="77777777" w:rsidR="0011475D" w:rsidRDefault="000A0EB4" w:rsidP="000A0EB4">
      <w:r w:rsidRPr="396ABCA7">
        <w:t xml:space="preserve">In its </w:t>
      </w:r>
      <w:r w:rsidRPr="396ABCA7">
        <w:rPr>
          <w:i/>
          <w:iCs/>
        </w:rPr>
        <w:t>Annual Report 2022</w:t>
      </w:r>
      <w:r w:rsidRPr="396ABCA7">
        <w:rPr>
          <w:rFonts w:ascii="Symbol" w:eastAsia="Symbol" w:hAnsi="Symbol" w:cs="Symbol"/>
          <w:i/>
          <w:iCs/>
        </w:rPr>
        <w:t>-</w:t>
      </w:r>
      <w:r w:rsidRPr="396ABCA7">
        <w:rPr>
          <w:i/>
          <w:iCs/>
        </w:rPr>
        <w:t>23</w:t>
      </w:r>
      <w:r w:rsidRPr="396ABCA7">
        <w:t>, the FWC noted that to implement the changes to its sexual harassment jurisdiction it had set up a working group of industry and employee representatives and that National Practice Lead, Commissioner McKinnon, and specialist staff were taking a trauma-informed approach to the case management process.</w:t>
      </w:r>
      <w:r w:rsidRPr="396ABCA7">
        <w:rPr>
          <w:rStyle w:val="FootnoteReference"/>
        </w:rPr>
        <w:footnoteReference w:id="1078"/>
      </w:r>
    </w:p>
    <w:p w14:paraId="74BEDBAC" w14:textId="06C14C93" w:rsidR="000A0EB4" w:rsidRPr="00167CB8" w:rsidRDefault="000A0EB4" w:rsidP="000A0EB4">
      <w:r w:rsidRPr="396ABCA7">
        <w:t>In response to these amendments and other changes from the Respect@Work Report, the FWO published a new ‘[M]aking a complaint about workplace sexual harassment’ guide and updated education tools and resources on its website, including the Fair Work Information Statement.</w:t>
      </w:r>
      <w:r w:rsidRPr="396ABCA7">
        <w:rPr>
          <w:rStyle w:val="FootnoteReference"/>
        </w:rPr>
        <w:footnoteReference w:id="1079"/>
      </w:r>
      <w:r w:rsidRPr="396ABCA7">
        <w:t xml:space="preserve"> FWO staff also completed additional training and established a specialist team to handle complex and sensitive cases.</w:t>
      </w:r>
      <w:r w:rsidRPr="396ABCA7">
        <w:rPr>
          <w:rStyle w:val="FootnoteReference"/>
        </w:rPr>
        <w:footnoteReference w:id="1080"/>
      </w:r>
    </w:p>
    <w:p w14:paraId="58FE52EA" w14:textId="77777777" w:rsidR="000A0EB4" w:rsidRPr="00167CB8" w:rsidRDefault="000A0EB4" w:rsidP="000A0EB4">
      <w:pPr>
        <w:rPr>
          <w:rFonts w:cstheme="minorHAnsi"/>
        </w:rPr>
      </w:pPr>
      <w:r w:rsidRPr="00167CB8">
        <w:t>Recent media reports also highlight the potential negative impacts of non-disclosure agreements, as they mean employers tend to treat incidents as one-offs rather than addressing issues with their workplace culture.</w:t>
      </w:r>
      <w:r w:rsidRPr="00167CB8">
        <w:rPr>
          <w:rStyle w:val="FootnoteReference"/>
          <w:rFonts w:cstheme="minorHAnsi"/>
        </w:rPr>
        <w:footnoteReference w:id="1081"/>
      </w:r>
      <w:r w:rsidRPr="00167CB8">
        <w:t xml:space="preserve"> While submissions raised this issue in relation to pay transparency, the Review Panel notes that it is particularly important in the context of effectively preventing workplace sexual harassment.</w:t>
      </w:r>
    </w:p>
    <w:p w14:paraId="2FBFB78C" w14:textId="77777777" w:rsidR="000A0EB4" w:rsidRPr="00A609AF" w:rsidRDefault="000A0EB4" w:rsidP="001F1278">
      <w:pPr>
        <w:pStyle w:val="Heading5"/>
      </w:pPr>
      <w:bookmarkStart w:id="508" w:name="_Toc188003404"/>
      <w:r w:rsidRPr="00A609AF">
        <w:t>28.2.3 Stakeholder views</w:t>
      </w:r>
      <w:bookmarkEnd w:id="508"/>
    </w:p>
    <w:p w14:paraId="0B199AAC" w14:textId="77777777" w:rsidR="0011475D" w:rsidRDefault="000A0EB4" w:rsidP="000A0EB4">
      <w:pPr>
        <w:rPr>
          <w:rFonts w:cstheme="minorHAnsi"/>
        </w:rPr>
      </w:pPr>
      <w:r w:rsidRPr="00167CB8">
        <w:rPr>
          <w:rFonts w:cstheme="minorHAnsi"/>
        </w:rPr>
        <w:t>While the Secure Jobs, Better Pay amendments prohibiting sexual harassment in connection with work have been favourably received by stakeholders, several noted the ongoing confusion when it came to navigating various laws and bodies.</w:t>
      </w:r>
    </w:p>
    <w:p w14:paraId="2FEB0531" w14:textId="191196E3" w:rsidR="0011475D" w:rsidRDefault="000A0EB4" w:rsidP="000A0EB4">
      <w:r w:rsidRPr="396ABCA7">
        <w:t>The Review Panel heard that, from an employee perspective, it is not always clear where to take a complaint.</w:t>
      </w:r>
      <w:r w:rsidRPr="396ABCA7">
        <w:rPr>
          <w:rStyle w:val="FootnoteReference"/>
        </w:rPr>
        <w:footnoteReference w:id="1082"/>
      </w:r>
      <w:r w:rsidRPr="396ABCA7">
        <w:t xml:space="preserve"> Employers, on the other hand, are not clear </w:t>
      </w:r>
      <w:r w:rsidR="001F1278">
        <w:t xml:space="preserve">on </w:t>
      </w:r>
      <w:r w:rsidRPr="396ABCA7">
        <w:t>how to align their policies with all the laws. They also fear that improper action on their part could expose them to legal action.</w:t>
      </w:r>
      <w:r w:rsidRPr="396ABCA7">
        <w:rPr>
          <w:rStyle w:val="FootnoteReference"/>
        </w:rPr>
        <w:footnoteReference w:id="1083"/>
      </w:r>
    </w:p>
    <w:p w14:paraId="3BCB9323" w14:textId="704F5E8C" w:rsidR="000A0EB4" w:rsidRPr="00167CB8" w:rsidRDefault="000A0EB4" w:rsidP="000A0EB4">
      <w:r w:rsidRPr="396ABCA7">
        <w:t>The</w:t>
      </w:r>
      <w:r w:rsidRPr="396ABCA7" w:rsidDel="0046104D">
        <w:t xml:space="preserve"> </w:t>
      </w:r>
      <w:r w:rsidRPr="396ABCA7">
        <w:t>Review Panel also heard that the quality of materials available to employers and employees on workplace sexual harassment could be further simplified.</w:t>
      </w:r>
      <w:r w:rsidRPr="396ABCA7">
        <w:rPr>
          <w:rStyle w:val="FootnoteReference"/>
        </w:rPr>
        <w:footnoteReference w:id="1084"/>
      </w:r>
    </w:p>
    <w:p w14:paraId="0BD88C25" w14:textId="77777777" w:rsidR="000A0EB4" w:rsidRPr="00167CB8" w:rsidRDefault="000A0EB4" w:rsidP="000A0EB4">
      <w:pPr>
        <w:rPr>
          <w:rFonts w:cstheme="minorHAnsi"/>
        </w:rPr>
      </w:pPr>
      <w:r w:rsidRPr="00167CB8">
        <w:rPr>
          <w:rFonts w:cstheme="minorHAnsi"/>
        </w:rPr>
        <w:lastRenderedPageBreak/>
        <w:t>The Australian Council of Trade Unions (ACTU) submission argued that the Secure Jobs, Better Pay amendments do not go far enough and that further reforms could enable the FWC to consider general risks. It pointed out that the FWC may only make a stop order if they perceive that the second person may continue to be harassed by the first person (or persons) in the complaint. The FWC may not consider a general risk or make broad orders that might require the employer to change how the work is performed.</w:t>
      </w:r>
    </w:p>
    <w:p w14:paraId="0D852689" w14:textId="77777777" w:rsidR="000A0EB4" w:rsidRPr="00167CB8" w:rsidRDefault="000A0EB4" w:rsidP="000A0EB4">
      <w:r w:rsidRPr="396ABCA7">
        <w:t>Section 527J of the Fair Work Act concerns stop sexual harassment orders. Section 527J(1) sets out when the FWC may make an order. The FWC may do so if:</w:t>
      </w:r>
    </w:p>
    <w:p w14:paraId="497B52FB" w14:textId="77777777" w:rsidR="0011475D" w:rsidRDefault="000A0EB4" w:rsidP="00400EF1">
      <w:pPr>
        <w:pStyle w:val="Quote"/>
        <w:numPr>
          <w:ilvl w:val="1"/>
          <w:numId w:val="14"/>
        </w:numPr>
      </w:pPr>
      <w:r w:rsidRPr="00167CB8">
        <w:t>An application made under section 527F includes an application for a stop sexual harassment order; and</w:t>
      </w:r>
    </w:p>
    <w:p w14:paraId="292D4B71" w14:textId="6632E4AB" w:rsidR="000A0EB4" w:rsidRPr="00167CB8" w:rsidRDefault="000A0EB4" w:rsidP="00400EF1">
      <w:pPr>
        <w:pStyle w:val="Quote"/>
        <w:numPr>
          <w:ilvl w:val="1"/>
          <w:numId w:val="14"/>
        </w:numPr>
      </w:pPr>
      <w:r w:rsidRPr="00167CB8">
        <w:t>The FWC is satisfied that:</w:t>
      </w:r>
    </w:p>
    <w:p w14:paraId="49B3E99E" w14:textId="77777777" w:rsidR="000A0EB4" w:rsidRPr="00167CB8" w:rsidRDefault="000A0EB4" w:rsidP="00400EF1">
      <w:pPr>
        <w:pStyle w:val="Quote"/>
        <w:numPr>
          <w:ilvl w:val="5"/>
          <w:numId w:val="6"/>
        </w:numPr>
      </w:pPr>
      <w:r w:rsidRPr="00167CB8">
        <w:t>The aggrieved person has been sexually harassed in contravention of Division 2 by one or more persons; and</w:t>
      </w:r>
    </w:p>
    <w:p w14:paraId="16163BC0" w14:textId="77777777" w:rsidR="000A0EB4" w:rsidRPr="00167CB8" w:rsidRDefault="000A0EB4" w:rsidP="00400EF1">
      <w:pPr>
        <w:pStyle w:val="Quote"/>
        <w:numPr>
          <w:ilvl w:val="5"/>
          <w:numId w:val="6"/>
        </w:numPr>
      </w:pPr>
      <w:r w:rsidRPr="00167CB8">
        <w:t>There is a risk that the aggrieved person will continue to be sexually harassed in contravention of Division 2 by the person or persons; …</w:t>
      </w:r>
    </w:p>
    <w:p w14:paraId="6DFEF70F" w14:textId="16F32666" w:rsidR="000A0EB4" w:rsidRPr="00167CB8" w:rsidRDefault="000A0EB4" w:rsidP="000A0EB4">
      <w:r w:rsidRPr="396ABCA7">
        <w:t>The ACTU proposes that s 527J(1)(b)(ii) be changed to refer to ‘any person’ rather than ‘the person or persons’. The intent of this change would be to reduce the risk of future harassment. The ACTU also suggests that additional factors that the FWC can take into account when considering the terms of a stop sexual harassment order could be added to s 527J(3)</w:t>
      </w:r>
      <w:r w:rsidR="001F1278">
        <w:t>. They</w:t>
      </w:r>
      <w:r w:rsidRPr="396ABCA7">
        <w:t xml:space="preserve"> include matters such as workplace culture, workplace profile, work design and systems of work.</w:t>
      </w:r>
      <w:r w:rsidRPr="396ABCA7">
        <w:rPr>
          <w:rStyle w:val="FootnoteReference"/>
        </w:rPr>
        <w:footnoteReference w:id="1085"/>
      </w:r>
    </w:p>
    <w:p w14:paraId="6958F122" w14:textId="25FA0128" w:rsidR="000A0EB4" w:rsidRDefault="000A0EB4" w:rsidP="000A0EB4">
      <w:r w:rsidRPr="00BD5AE5">
        <w:t xml:space="preserve">The Working Women’s Centre Australia noted that </w:t>
      </w:r>
      <w:r w:rsidR="001F1278">
        <w:t xml:space="preserve">it </w:t>
      </w:r>
      <w:r w:rsidRPr="00BD5AE5">
        <w:t xml:space="preserve">had experienced quicker and better results when pursuing matters through the FWC. However, </w:t>
      </w:r>
      <w:r w:rsidR="001F1278">
        <w:t xml:space="preserve">it </w:t>
      </w:r>
      <w:r w:rsidRPr="00BD5AE5">
        <w:t xml:space="preserve">also noted that some experiences differed depending on the FWC Member and that </w:t>
      </w:r>
      <w:r w:rsidR="001F1278">
        <w:t>it was</w:t>
      </w:r>
      <w:r w:rsidRPr="00BD5AE5" w:rsidDel="001F1278">
        <w:t xml:space="preserve"> </w:t>
      </w:r>
      <w:r w:rsidRPr="00BD5AE5">
        <w:t>working with the FWC regarding this.</w:t>
      </w:r>
    </w:p>
    <w:p w14:paraId="14279AC4" w14:textId="77777777" w:rsidR="000A0EB4" w:rsidRPr="00BD5AE5" w:rsidRDefault="000A0EB4" w:rsidP="000A0EB4">
      <w:r w:rsidRPr="00BD5AE5">
        <w:rPr>
          <w:rFonts w:eastAsia="Times New Roman" w:cs="Calibri"/>
          <w:lang w:eastAsia="en-AU"/>
        </w:rPr>
        <w:t xml:space="preserve">The Review Panel consulted stakeholders about its proposed findings regarding these amendments. </w:t>
      </w:r>
      <w:r w:rsidRPr="00BD5AE5">
        <w:t>The ACTU acknowledged that there has been limited use of the FWC sexual harassment jurisdiction so far.</w:t>
      </w:r>
      <w:r w:rsidRPr="00BD5AE5">
        <w:rPr>
          <w:rStyle w:val="FootnoteReference"/>
        </w:rPr>
        <w:footnoteReference w:id="1086"/>
      </w:r>
      <w:r w:rsidRPr="00BD5AE5">
        <w:t xml:space="preserve"> Several stakeholders noted the challenges in navigating the different sexual harassment jurisdictions, for both applicants and for employers (seeking to meet their compliance obligations).</w:t>
      </w:r>
      <w:r w:rsidRPr="00BD5AE5">
        <w:rPr>
          <w:rStyle w:val="FootnoteReference"/>
        </w:rPr>
        <w:footnoteReference w:id="1087"/>
      </w:r>
      <w:r w:rsidRPr="00BD5AE5">
        <w:t xml:space="preserve"> Circle Green Community Legal and the ACTU supported findings that the different jurisdictions should be streamlined wherever possible and made or reiterated recommendations for reforms, including to streamline costs.</w:t>
      </w:r>
      <w:r w:rsidRPr="00BD5AE5">
        <w:rPr>
          <w:rStyle w:val="FootnoteReference"/>
        </w:rPr>
        <w:footnoteReference w:id="1088"/>
      </w:r>
    </w:p>
    <w:p w14:paraId="4E691CE1" w14:textId="0D3EA3C8" w:rsidR="000A0EB4" w:rsidRPr="00A609AF" w:rsidRDefault="000A0EB4" w:rsidP="00EF5A5A">
      <w:pPr>
        <w:pStyle w:val="Heading4"/>
      </w:pPr>
      <w:bookmarkStart w:id="509" w:name="_Toc188003405"/>
      <w:bookmarkStart w:id="510" w:name="_Toc188277951"/>
      <w:bookmarkStart w:id="511" w:name="_Toc189260303"/>
      <w:bookmarkStart w:id="512" w:name="_Toc189393619"/>
      <w:r w:rsidRPr="00A609AF">
        <w:lastRenderedPageBreak/>
        <w:t>28</w:t>
      </w:r>
      <w:r w:rsidRPr="00A609AF" w:rsidDel="00EF5A5A">
        <w:t>.</w:t>
      </w:r>
      <w:r w:rsidRPr="00A609AF">
        <w:t>3 Findings and recommendations</w:t>
      </w:r>
      <w:bookmarkEnd w:id="509"/>
      <w:bookmarkEnd w:id="510"/>
      <w:bookmarkEnd w:id="511"/>
      <w:bookmarkEnd w:id="512"/>
    </w:p>
    <w:p w14:paraId="652B17B2" w14:textId="77777777" w:rsidR="0011475D" w:rsidRDefault="000A0EB4" w:rsidP="00A609AF">
      <w:r w:rsidRPr="396ABCA7">
        <w:t>The Respect@Work Report</w:t>
      </w:r>
      <w:r w:rsidRPr="396ABCA7">
        <w:rPr>
          <w:rStyle w:val="FootnoteReference"/>
        </w:rPr>
        <w:footnoteReference w:id="1089"/>
      </w:r>
      <w:r w:rsidRPr="396ABCA7">
        <w:t xml:space="preserve"> identified a clear need for a new division in the Fair Work Act to expressly prohibit sexual harassment in connection with work. The Secure Jobs, Better Pay amendments are in response to this need. In this regard, the Secure Jobs, Better Pay amendments are having their ‘intended effect’. The legislative gap in the Fair Work Act has now been addressed.</w:t>
      </w:r>
    </w:p>
    <w:p w14:paraId="75674A2C" w14:textId="1B2B3F60" w:rsidR="000A0EB4" w:rsidRPr="00167CB8" w:rsidRDefault="000A0EB4" w:rsidP="00A609AF">
      <w:r w:rsidRPr="396ABCA7">
        <w:t>Consistent with the Respect@Work recommendations, the Secure Jobs, Better Pay amendments have created more pathways to address workplace sexual harassment. The Review Panel notes that ensuring the ongoing effectiveness of these reforms will require continuing support for people to identify and access the most appropriate pathways. In the context of evolving technology, this may require steps to increase public awareness about roles of different bodies and where to go to lodge complaints through various forms of media (including social media). To aid this, aspects of the different pathways (like the costs to access them) should be streamlined and aligned wherever possible.</w:t>
      </w:r>
    </w:p>
    <w:p w14:paraId="1695747F" w14:textId="11EA81B3" w:rsidR="000A0EB4" w:rsidRPr="00167CB8" w:rsidRDefault="000A0EB4" w:rsidP="00A609AF">
      <w:r w:rsidRPr="396ABCA7">
        <w:t>The Review Panel also notes the ACTU’s recommendations about expanding the powers of the FWC to make more general orders about workplaces, arbitrate and issue more remedies (like reinstatement), and extend vicarious liability for employers. The Review Panel notes that the pathways through the FWC are only part of the broader framework of protections, including workplace health and safety laws which require safe and healthy workplaces. As more evidence becomes available about how the different pathways are being used in practice, any changes to the role and powers of the FWC should be considered in the context of this broader framework (and with consideration to the appropriate role of the FWC).</w:t>
      </w:r>
    </w:p>
    <w:p w14:paraId="7EA2DF02" w14:textId="77777777" w:rsidR="000A0EB4" w:rsidRPr="00167CB8" w:rsidRDefault="000A0EB4" w:rsidP="00A609AF">
      <w:r w:rsidRPr="00167CB8">
        <w:t>The Review Panel makes no specific recommendations in relation to these amendments.</w:t>
      </w:r>
    </w:p>
    <w:p w14:paraId="49525CBE" w14:textId="77777777" w:rsidR="000A0EB4" w:rsidRPr="00167CB8" w:rsidRDefault="000A0EB4" w:rsidP="000A0EB4">
      <w:pPr>
        <w:spacing w:after="160"/>
      </w:pPr>
      <w:r w:rsidRPr="00167CB8">
        <w:br w:type="page"/>
      </w:r>
    </w:p>
    <w:p w14:paraId="40354C42" w14:textId="77777777" w:rsidR="0011475D" w:rsidRPr="00D72A1F" w:rsidRDefault="000A0EB4" w:rsidP="00652DB1">
      <w:pPr>
        <w:pStyle w:val="Heading3"/>
      </w:pPr>
      <w:bookmarkStart w:id="513" w:name="_Toc188003406"/>
      <w:bookmarkStart w:id="514" w:name="_Toc188277952"/>
      <w:bookmarkStart w:id="515" w:name="_Toc189260304"/>
      <w:bookmarkStart w:id="516" w:name="_Toc189393620"/>
      <w:bookmarkStart w:id="517" w:name="_Toc194311437"/>
      <w:r w:rsidRPr="00D72A1F">
        <w:lastRenderedPageBreak/>
        <w:t>Chapter 29. Anti-discrimination and special measures</w:t>
      </w:r>
      <w:bookmarkEnd w:id="513"/>
      <w:bookmarkEnd w:id="514"/>
      <w:bookmarkEnd w:id="515"/>
      <w:bookmarkEnd w:id="516"/>
      <w:bookmarkEnd w:id="517"/>
    </w:p>
    <w:p w14:paraId="6DEBBE3F" w14:textId="77777777" w:rsidR="0011475D" w:rsidRDefault="000A0EB4" w:rsidP="000A0EB4">
      <w:r w:rsidRPr="396ABCA7">
        <w:t>In this chapter the focus is on Part 9 (Anti-discrimination and special measures) amendments in the Secure Jobs, Better Pay Act</w:t>
      </w:r>
      <w:r>
        <w:t>, which expand the set of protected attributes to include breastfeeding, gender identity and intersex status.</w:t>
      </w:r>
    </w:p>
    <w:p w14:paraId="2CEB21DB" w14:textId="20A17AAB" w:rsidR="000A0EB4" w:rsidRPr="00D72A1F" w:rsidRDefault="000A0EB4" w:rsidP="00652DB1">
      <w:pPr>
        <w:pStyle w:val="Heading4"/>
      </w:pPr>
      <w:bookmarkStart w:id="518" w:name="_Toc188003407"/>
      <w:bookmarkStart w:id="519" w:name="_Toc188277953"/>
      <w:bookmarkStart w:id="520" w:name="_Toc189260305"/>
      <w:bookmarkStart w:id="521" w:name="_Toc189393621"/>
      <w:r w:rsidRPr="00D72A1F">
        <w:t>29.1 Amendments and intent</w:t>
      </w:r>
      <w:bookmarkEnd w:id="518"/>
      <w:bookmarkEnd w:id="519"/>
      <w:bookmarkEnd w:id="520"/>
      <w:bookmarkEnd w:id="521"/>
    </w:p>
    <w:p w14:paraId="537E8E3F" w14:textId="77777777" w:rsidR="000A0EB4" w:rsidRPr="00167CB8" w:rsidRDefault="000A0EB4" w:rsidP="000A0EB4">
      <w:r w:rsidRPr="396ABCA7">
        <w:t>The Fair Work Act protects employees and prospective employees from discriminatory adverse action, where that action was taken because the employee has a protected attribute.</w:t>
      </w:r>
      <w:r w:rsidRPr="396ABCA7">
        <w:rPr>
          <w:rStyle w:val="FootnoteReference"/>
        </w:rPr>
        <w:footnoteReference w:id="1090"/>
      </w:r>
      <w:r w:rsidRPr="396ABCA7">
        <w:t xml:space="preserve"> Before the Secure Jobs, Better Pay amendments, these attributes included race, colour, sex, sexual orientation, age, physical or mental disability, marital status, family or carer responsibilities, subjection to family and domestic violence, pregnancy, religion, political opinion, national extraction, and social origin. However, these provisions did not cover discrimination on the grounds of breastfeeding, gender identity or intersex status. To this extent, the Fair Work Act was not aligned with protections extended by the </w:t>
      </w:r>
      <w:r w:rsidRPr="396ABCA7">
        <w:rPr>
          <w:i/>
          <w:iCs/>
        </w:rPr>
        <w:t>Sex Discrimination Act 1984</w:t>
      </w:r>
      <w:r w:rsidRPr="396ABCA7">
        <w:t xml:space="preserve"> (Cth).</w:t>
      </w:r>
      <w:r w:rsidRPr="396ABCA7">
        <w:rPr>
          <w:rStyle w:val="FootnoteReference"/>
        </w:rPr>
        <w:footnoteReference w:id="1091"/>
      </w:r>
    </w:p>
    <w:p w14:paraId="3923EFDD" w14:textId="77777777" w:rsidR="000A0EB4" w:rsidRPr="00D72A1F" w:rsidRDefault="000A0EB4" w:rsidP="00652DB1">
      <w:pPr>
        <w:pStyle w:val="Heading5"/>
      </w:pPr>
      <w:bookmarkStart w:id="522" w:name="_Toc188003408"/>
      <w:r w:rsidRPr="00D72A1F">
        <w:t>29.1.1 Secure Jobs, Better Pay amendments</w:t>
      </w:r>
      <w:bookmarkEnd w:id="522"/>
    </w:p>
    <w:p w14:paraId="32B5B71F" w14:textId="77777777" w:rsidR="000A0EB4" w:rsidRPr="00167CB8" w:rsidRDefault="000A0EB4" w:rsidP="00D72A1F">
      <w:r w:rsidRPr="396ABCA7">
        <w:t>The key amendments delivered through the Secure Jobs, Better Pay Act include the following:</w:t>
      </w:r>
    </w:p>
    <w:p w14:paraId="003EDED5" w14:textId="77777777" w:rsidR="000A0EB4" w:rsidRPr="00167CB8" w:rsidRDefault="000A0EB4" w:rsidP="003F7EE6">
      <w:pPr>
        <w:pStyle w:val="ListBullet"/>
        <w:numPr>
          <w:ilvl w:val="0"/>
          <w:numId w:val="4"/>
        </w:numPr>
        <w:rPr>
          <w:rFonts w:eastAsia="Times New Roman" w:cs="Calibri"/>
        </w:rPr>
      </w:pPr>
      <w:r w:rsidRPr="00167CB8">
        <w:rPr>
          <w:rFonts w:eastAsia="Times New Roman" w:cs="Calibri"/>
        </w:rPr>
        <w:t xml:space="preserve">Section 195(1) of the Fair Work Act: </w:t>
      </w:r>
      <w:r w:rsidRPr="00167CB8">
        <w:t>Breastfeeding, gender identity, or intersex status have been added as a protected attribute. Section 195(1) now reads:</w:t>
      </w:r>
    </w:p>
    <w:p w14:paraId="06F73832" w14:textId="77777777" w:rsidR="000A0EB4" w:rsidRPr="00167CB8" w:rsidRDefault="000A0EB4" w:rsidP="00400EF1">
      <w:pPr>
        <w:pStyle w:val="Quote"/>
        <w:rPr>
          <w:lang w:eastAsia="en-AU"/>
        </w:rPr>
      </w:pPr>
      <w:r w:rsidRPr="00167CB8">
        <w:rPr>
          <w:lang w:eastAsia="en-AU"/>
        </w:rPr>
        <w:t xml:space="preserve">A term of an enterprise agreement is a </w:t>
      </w:r>
      <w:r w:rsidRPr="00167CB8">
        <w:rPr>
          <w:b/>
          <w:lang w:eastAsia="en-AU"/>
        </w:rPr>
        <w:t xml:space="preserve">discriminatory term </w:t>
      </w:r>
      <w:r w:rsidRPr="00167CB8">
        <w:rPr>
          <w:lang w:eastAsia="en-AU"/>
        </w:rPr>
        <w:t>to the extent that it discriminates against an employee covered by the agreement because of, or for reasons including, the employee’s race, colour sex, sexual orientation, breastfeeding, gender identity, intersex status, age, physical or mental disability, marital status, family or carer’s responsibilities, subjection to family and domestic violence, pregnancy, religion, political opinion, national extraction or social origin.</w:t>
      </w:r>
    </w:p>
    <w:p w14:paraId="55338D16" w14:textId="77777777" w:rsidR="000A0EB4" w:rsidRPr="00167CB8" w:rsidRDefault="000A0EB4" w:rsidP="003F7EE6">
      <w:pPr>
        <w:pStyle w:val="ListBullet"/>
        <w:numPr>
          <w:ilvl w:val="0"/>
          <w:numId w:val="4"/>
        </w:numPr>
      </w:pPr>
      <w:r w:rsidRPr="396ABCA7">
        <w:t xml:space="preserve">Section 195, about the meaning of discriminatory terms, now also includes </w:t>
      </w:r>
      <w:r>
        <w:t>three</w:t>
      </w:r>
      <w:r w:rsidRPr="396ABCA7">
        <w:t xml:space="preserve"> new subsections: s 195(4), 195(5) and 195(6). All are concerned with ‘special measures’ to achieve equality </w:t>
      </w:r>
      <w:r w:rsidRPr="396ABCA7">
        <w:rPr>
          <w:rFonts w:ascii="Symbol" w:eastAsia="Symbol" w:hAnsi="Symbol" w:cs="Symbol"/>
        </w:rPr>
        <w:t>-</w:t>
      </w:r>
      <w:r w:rsidRPr="396ABCA7">
        <w:t xml:space="preserve"> that is, they are ‘not discriminatory terms and therefore not unlawful terms in enterprise agreements’.</w:t>
      </w:r>
      <w:r w:rsidRPr="396ABCA7">
        <w:rPr>
          <w:rStyle w:val="FootnoteReference"/>
          <w:rFonts w:eastAsia="Times New Roman" w:cs="Calibri"/>
        </w:rPr>
        <w:footnoteReference w:id="1092"/>
      </w:r>
    </w:p>
    <w:p w14:paraId="35B872AE" w14:textId="7028C644" w:rsidR="000A0EB4" w:rsidRPr="00167CB8" w:rsidRDefault="000A0EB4" w:rsidP="003F7EE6">
      <w:pPr>
        <w:pStyle w:val="ListBullet"/>
        <w:numPr>
          <w:ilvl w:val="0"/>
          <w:numId w:val="4"/>
        </w:numPr>
      </w:pPr>
      <w:r w:rsidRPr="00167CB8">
        <w:t xml:space="preserve">Section 351(1), that employers must not discriminate, has been amended to include </w:t>
      </w:r>
      <w:r w:rsidRPr="00167CB8">
        <w:rPr>
          <w:rFonts w:cstheme="minorHAnsi"/>
        </w:rPr>
        <w:t>breastfeeding, gender identity or intersex status as protected attributes.</w:t>
      </w:r>
    </w:p>
    <w:p w14:paraId="001444C6" w14:textId="77777777" w:rsidR="000A0EB4" w:rsidRPr="00167CB8" w:rsidRDefault="000A0EB4" w:rsidP="00D72A1F">
      <w:pPr>
        <w:rPr>
          <w:rFonts w:eastAsia="Times New Roman" w:cs="Calibri"/>
          <w:lang w:eastAsia="en-AU"/>
        </w:rPr>
      </w:pPr>
      <w:r w:rsidRPr="00167CB8">
        <w:t>The amendments came into effect from 7 December 2022.</w:t>
      </w:r>
    </w:p>
    <w:p w14:paraId="249EFEF4" w14:textId="77777777" w:rsidR="000A0EB4" w:rsidRPr="00167CB8" w:rsidRDefault="000A0EB4" w:rsidP="00652DB1">
      <w:r w:rsidRPr="396ABCA7">
        <w:t xml:space="preserve">The Review Panel notes that the </w:t>
      </w:r>
      <w:r w:rsidRPr="396ABCA7">
        <w:rPr>
          <w:i/>
          <w:iCs/>
        </w:rPr>
        <w:t xml:space="preserve">Fair Work Amendment (Closing Loopholes) Act 2023 </w:t>
      </w:r>
      <w:r w:rsidRPr="396ABCA7">
        <w:t>also added ‘subjection to family and domestic violence’ to the Fair Work Act as a new protected attribute.</w:t>
      </w:r>
      <w:r w:rsidRPr="396ABCA7">
        <w:rPr>
          <w:rStyle w:val="FootnoteReference"/>
        </w:rPr>
        <w:footnoteReference w:id="1093"/>
      </w:r>
    </w:p>
    <w:p w14:paraId="02A791C4" w14:textId="77777777" w:rsidR="000A0EB4" w:rsidRPr="00D72A1F" w:rsidRDefault="000A0EB4" w:rsidP="00652DB1">
      <w:pPr>
        <w:pStyle w:val="Heading5"/>
      </w:pPr>
      <w:bookmarkStart w:id="523" w:name="_Toc188003409"/>
      <w:r w:rsidRPr="00D72A1F">
        <w:lastRenderedPageBreak/>
        <w:t>29.1.2 Intent of Secure Jobs, Better Pay a</w:t>
      </w:r>
      <w:r w:rsidRPr="00D72A1F" w:rsidDel="00E42AC2">
        <w:t>mendments</w:t>
      </w:r>
      <w:bookmarkEnd w:id="523"/>
    </w:p>
    <w:p w14:paraId="36F3C237" w14:textId="77777777" w:rsidR="0011475D" w:rsidRDefault="000A0EB4" w:rsidP="000A0EB4">
      <w:r w:rsidRPr="00167CB8">
        <w:t>The changes are intended to align the protected attributes in the Fair Work Act with those in other Commonwealth anti-discrimination legislation. The amendments regarding ‘special measures to achieve equality’ further harmonised the Fair Work Act with other anti-discrimination laws, clarifying that measures such as gender quotas, designed to promote equality, are not considered unlawful discrimination.</w:t>
      </w:r>
      <w:r w:rsidRPr="00167CB8">
        <w:rPr>
          <w:rStyle w:val="FootnoteReference"/>
        </w:rPr>
        <w:footnoteReference w:id="1094"/>
      </w:r>
      <w:r w:rsidRPr="00167CB8">
        <w:t xml:space="preserve"> Beyond ensuring legislative consistency, these reforms also enable employees and employers to agree on terms that may expedite the achievement of equality.</w:t>
      </w:r>
    </w:p>
    <w:p w14:paraId="30D37DBE" w14:textId="68238D61" w:rsidR="000A0EB4" w:rsidRPr="00167CB8" w:rsidRDefault="000A0EB4" w:rsidP="000A0EB4">
      <w:pPr>
        <w:rPr>
          <w:rFonts w:cstheme="minorHAnsi"/>
        </w:rPr>
      </w:pPr>
      <w:r w:rsidRPr="00167CB8">
        <w:t xml:space="preserve">The </w:t>
      </w:r>
      <w:r w:rsidRPr="00167CB8">
        <w:rPr>
          <w:rFonts w:cstheme="minorHAnsi"/>
        </w:rPr>
        <w:t>Secure Jobs, Better Pay</w:t>
      </w:r>
      <w:r w:rsidRPr="00167CB8">
        <w:t xml:space="preserve"> amendments at Part 9 of the </w:t>
      </w:r>
      <w:r w:rsidRPr="00167CB8">
        <w:rPr>
          <w:rFonts w:cstheme="minorHAnsi"/>
        </w:rPr>
        <w:t>Secure Jobs, Better Pay</w:t>
      </w:r>
      <w:r w:rsidRPr="00167CB8">
        <w:t xml:space="preserve"> Act have the potential to significantly improve job security and address gender disparities (e.g. pay gaps) in the workplace.</w:t>
      </w:r>
    </w:p>
    <w:p w14:paraId="3C8BB1F9" w14:textId="77777777" w:rsidR="000A0EB4" w:rsidRPr="00D72A1F" w:rsidRDefault="000A0EB4" w:rsidP="00652DB1">
      <w:pPr>
        <w:pStyle w:val="Heading4"/>
      </w:pPr>
      <w:bookmarkStart w:id="524" w:name="_Toc188003410"/>
      <w:bookmarkStart w:id="525" w:name="_Toc188277954"/>
      <w:bookmarkStart w:id="526" w:name="_Toc189260306"/>
      <w:bookmarkStart w:id="527" w:name="_Toc189393622"/>
      <w:r w:rsidRPr="00D72A1F">
        <w:t>29.2 Impact and issues</w:t>
      </w:r>
      <w:bookmarkEnd w:id="524"/>
      <w:bookmarkEnd w:id="525"/>
      <w:bookmarkEnd w:id="526"/>
      <w:bookmarkEnd w:id="527"/>
    </w:p>
    <w:p w14:paraId="56377007" w14:textId="77777777" w:rsidR="000A0EB4" w:rsidRPr="00167CB8" w:rsidRDefault="000A0EB4" w:rsidP="000A0EB4">
      <w:r w:rsidRPr="00167CB8">
        <w:t>The following describes the data and information considered by the Review Panel when evaluating the amendments discussed above.</w:t>
      </w:r>
    </w:p>
    <w:p w14:paraId="27D19CD4" w14:textId="77777777" w:rsidR="000A0EB4" w:rsidRPr="00D72A1F" w:rsidRDefault="000A0EB4" w:rsidP="00652DB1">
      <w:pPr>
        <w:pStyle w:val="Heading5"/>
      </w:pPr>
      <w:bookmarkStart w:id="528" w:name="_Toc188003411"/>
      <w:r w:rsidRPr="00D72A1F">
        <w:t>29.2.1 Quantitative evidence</w:t>
      </w:r>
      <w:bookmarkEnd w:id="528"/>
    </w:p>
    <w:p w14:paraId="2F7A3427" w14:textId="68DF677B" w:rsidR="000A0EB4" w:rsidRPr="00167CB8" w:rsidRDefault="000A0EB4" w:rsidP="000A0EB4">
      <w:r w:rsidRPr="396ABCA7">
        <w:t xml:space="preserve">The Fair Work Ombudsman informed the </w:t>
      </w:r>
      <w:r w:rsidR="00652DB1">
        <w:t>R</w:t>
      </w:r>
      <w:r w:rsidRPr="396ABCA7">
        <w:t>eview that it not yet received any requests for assistance regarding the new protected attributes and had not commenced any investigations or litigation. The Review Panel is therefore not aware of any significant quantitative evidence in relation to these amendments.</w:t>
      </w:r>
    </w:p>
    <w:p w14:paraId="7E2F8C6A" w14:textId="77777777" w:rsidR="000A0EB4" w:rsidRPr="007E328C" w:rsidRDefault="000A0EB4" w:rsidP="00652DB1">
      <w:pPr>
        <w:pStyle w:val="Heading5"/>
      </w:pPr>
      <w:bookmarkStart w:id="529" w:name="_Toc188003412"/>
      <w:r w:rsidRPr="007E328C">
        <w:t>29.2.2 Qualitative evidence</w:t>
      </w:r>
      <w:bookmarkEnd w:id="529"/>
    </w:p>
    <w:p w14:paraId="012AACF5" w14:textId="77777777" w:rsidR="000A0EB4" w:rsidRPr="00167CB8" w:rsidRDefault="000A0EB4" w:rsidP="000A0EB4">
      <w:r w:rsidRPr="00167CB8">
        <w:t>The Review is not aware of any cases considering the new protected attributes under s 351 of the Fair Work Act.</w:t>
      </w:r>
    </w:p>
    <w:p w14:paraId="5D39DC96" w14:textId="77777777" w:rsidR="000A0EB4" w:rsidRPr="00167CB8" w:rsidRDefault="000A0EB4" w:rsidP="000A0EB4">
      <w:r w:rsidRPr="00167CB8">
        <w:t>The Fair Work Commission (FWC) has applied the principles under s 195 of the Fair Work Act as part of an enterprise agreement approval, where an employee to be covered by a proposed agreement objected to its approval.</w:t>
      </w:r>
      <w:r w:rsidRPr="00167CB8">
        <w:rPr>
          <w:rStyle w:val="FootnoteReference"/>
        </w:rPr>
        <w:footnoteReference w:id="1095"/>
      </w:r>
      <w:r w:rsidRPr="00167CB8">
        <w:t xml:space="preserve"> The objection was made on the basis that the provision of gender affirmation leave and support is an ‘unlawful term’, as it is a discriminatory term under s 195.</w:t>
      </w:r>
    </w:p>
    <w:p w14:paraId="0FD05F6E" w14:textId="77777777" w:rsidR="000A0EB4" w:rsidRPr="00167CB8" w:rsidRDefault="000A0EB4" w:rsidP="000A0EB4">
      <w:r w:rsidRPr="396ABCA7">
        <w:t>As part of the FWC’s dismissal of the objection, the FWC found that the provisions are not discriminatory under s 195(2)(c), with the provision acting to achieve substantive equality under s 195(4)(a) and 195(5) of the Fair Work Act for employees or prospective employees who are transgender or transitioning.</w:t>
      </w:r>
      <w:r w:rsidRPr="396ABCA7">
        <w:rPr>
          <w:rStyle w:val="FootnoteReference"/>
        </w:rPr>
        <w:footnoteReference w:id="1096"/>
      </w:r>
    </w:p>
    <w:p w14:paraId="47E9C458" w14:textId="77777777" w:rsidR="000A0EB4" w:rsidRPr="007E328C" w:rsidRDefault="000A0EB4" w:rsidP="00652DB1">
      <w:pPr>
        <w:pStyle w:val="Heading5"/>
      </w:pPr>
      <w:bookmarkStart w:id="530" w:name="_Toc188003413"/>
      <w:r w:rsidRPr="007E328C">
        <w:t>29.2.3 Stakeholder views</w:t>
      </w:r>
      <w:bookmarkEnd w:id="530"/>
    </w:p>
    <w:p w14:paraId="6E4166EC" w14:textId="77777777" w:rsidR="0011475D" w:rsidRDefault="000A0EB4" w:rsidP="000A0EB4">
      <w:r w:rsidRPr="396ABCA7">
        <w:t>Stakeholders provided generally positive feedback on the appropriateness and effectiveness of these amendments, while noting that their impact remains to be seen in cases before the FWC.</w:t>
      </w:r>
    </w:p>
    <w:p w14:paraId="1A5B32AF" w14:textId="406E9B1C" w:rsidR="000A0EB4" w:rsidRPr="00167CB8" w:rsidRDefault="000A0EB4" w:rsidP="000A0EB4">
      <w:r w:rsidRPr="396ABCA7">
        <w:lastRenderedPageBreak/>
        <w:t>While welcoming the amendments, unions argued that the reforms do not go far enough and should also include reproductive health (e.g. menstruation, perimenopause, menopause and IVF) as a protected attribute.</w:t>
      </w:r>
      <w:r w:rsidRPr="396ABCA7">
        <w:rPr>
          <w:vertAlign w:val="superscript"/>
        </w:rPr>
        <w:footnoteReference w:id="1097"/>
      </w:r>
      <w:r w:rsidRPr="396ABCA7">
        <w:t xml:space="preserve"> (Reproductive health is further discussed below.)</w:t>
      </w:r>
    </w:p>
    <w:p w14:paraId="1B4EFDEC" w14:textId="77777777" w:rsidR="0011475D" w:rsidRDefault="000A0EB4" w:rsidP="000A0EB4">
      <w:r w:rsidRPr="396ABCA7">
        <w:t>The Australian Council of Trade Unions emphasised that the inclusion of the additional protected attributes means that employees facing discrimination now have a more affordable, faster, and accessible pathway in the form of the FWC compared to pursuing remedies under the Sex Discrimination Act.</w:t>
      </w:r>
      <w:r w:rsidRPr="396ABCA7">
        <w:rPr>
          <w:rStyle w:val="FootnoteReference"/>
        </w:rPr>
        <w:footnoteReference w:id="1098"/>
      </w:r>
    </w:p>
    <w:p w14:paraId="13131D54" w14:textId="7FA8CC11" w:rsidR="000A0EB4" w:rsidRPr="00167CB8" w:rsidRDefault="000A0EB4" w:rsidP="000A0EB4">
      <w:r w:rsidRPr="396ABCA7">
        <w:t>The Community and Public Sector Union highlighted that the clarity around special measures had facilitated improvements to support First Nations employees in Australian Public Service bargaining. Using the new special measures provisions, they were able to negotiate dedicated conditions, including NAIDOC leave, ceremonial leave and the requirement for the employer to consider connection to country when considering requests for flexible work that includes working in a different location.</w:t>
      </w:r>
      <w:r w:rsidRPr="396ABCA7">
        <w:rPr>
          <w:rStyle w:val="FootnoteReference"/>
        </w:rPr>
        <w:footnoteReference w:id="1099"/>
      </w:r>
    </w:p>
    <w:p w14:paraId="2559FEB6" w14:textId="77777777" w:rsidR="0011475D" w:rsidRDefault="000A0EB4" w:rsidP="000A0EB4">
      <w:r w:rsidRPr="00167CB8">
        <w:t>The Australian Chamber of Commerce and Industry (ACCI) noted that the special measures to achieve equality in an enterprise agreements has not been used and referred the Review Panel to the case considered above.</w:t>
      </w:r>
      <w:r w:rsidRPr="00167CB8">
        <w:rPr>
          <w:rStyle w:val="FootnoteReference"/>
        </w:rPr>
        <w:footnoteReference w:id="1100"/>
      </w:r>
      <w:r w:rsidRPr="00167CB8">
        <w:t xml:space="preserve"> ACCI pointed to the FWC ruling that its inclusion is not a ‘discriminatory term’ as indicating that the FWC may need to provide educational material on the nature of, and how to make, special measures operational.</w:t>
      </w:r>
    </w:p>
    <w:p w14:paraId="6F2FDA19" w14:textId="4BECCB93" w:rsidR="000A0EB4" w:rsidRPr="00167CB8" w:rsidRDefault="000A0EB4" w:rsidP="000A0EB4">
      <w:pPr>
        <w:rPr>
          <w:sz w:val="28"/>
          <w:szCs w:val="28"/>
        </w:rPr>
      </w:pPr>
      <w:r>
        <w:t xml:space="preserve">Professor </w:t>
      </w:r>
      <w:r w:rsidRPr="396ABCA7">
        <w:t>Alysia Blackham, from the University of Melbourne, highlight</w:t>
      </w:r>
      <w:r w:rsidR="00652DB1">
        <w:t>ed</w:t>
      </w:r>
      <w:r w:rsidRPr="396ABCA7">
        <w:t xml:space="preserve"> the ‘significant limits of individualised enforcement mechanisms for advancing equality’ and emphasise</w:t>
      </w:r>
      <w:r w:rsidR="00652DB1">
        <w:t>d</w:t>
      </w:r>
      <w:r w:rsidRPr="396ABCA7">
        <w:t xml:space="preserve"> the potential of the Secure Jobs, Better Pay reforms to promote gender equality by expanding opportunities for equality bargaining within collective agreements.</w:t>
      </w:r>
      <w:r w:rsidRPr="396ABCA7">
        <w:rPr>
          <w:rStyle w:val="FootnoteReference"/>
        </w:rPr>
        <w:footnoteReference w:id="1101"/>
      </w:r>
    </w:p>
    <w:p w14:paraId="19CED138" w14:textId="0629FF60" w:rsidR="000A0EB4" w:rsidRPr="00167CB8" w:rsidRDefault="000A0EB4" w:rsidP="000A0EB4">
      <w:r w:rsidRPr="396ABCA7">
        <w:t>The Employment Rights Legal Service submit</w:t>
      </w:r>
      <w:r w:rsidR="00652DB1">
        <w:t>ted</w:t>
      </w:r>
      <w:r w:rsidRPr="396ABCA7">
        <w:t xml:space="preserve"> that the scope of anti-discrimination coverage under the Fair Work Act is limited by the exclusion in s 351(2)(a) that provides </w:t>
      </w:r>
      <w:r w:rsidR="00652DB1">
        <w:t xml:space="preserve">that </w:t>
      </w:r>
      <w:r w:rsidRPr="396ABCA7">
        <w:t>action i</w:t>
      </w:r>
      <w:r w:rsidR="00652DB1">
        <w:t>s</w:t>
      </w:r>
      <w:r w:rsidRPr="396ABCA7">
        <w:t xml:space="preserve"> not unlawful under that provision where the action is not unlawful </w:t>
      </w:r>
      <w:r w:rsidR="00652DB1">
        <w:t>i</w:t>
      </w:r>
      <w:r w:rsidRPr="396ABCA7">
        <w:t xml:space="preserve">n other federal or state and territory anti-discrimination laws. The submission notes that, while gender identity and intersex status is protected under the Fair Work Act, the </w:t>
      </w:r>
      <w:r w:rsidRPr="396ABCA7">
        <w:rPr>
          <w:i/>
          <w:iCs/>
        </w:rPr>
        <w:t xml:space="preserve">Anti-Discrimination Act 1977 </w:t>
      </w:r>
      <w:r w:rsidRPr="396ABCA7">
        <w:t xml:space="preserve">(NSW) provides expanded coverage for expanded gender </w:t>
      </w:r>
      <w:r w:rsidRPr="00287EDA">
        <w:t xml:space="preserve">identity </w:t>
      </w:r>
      <w:r w:rsidR="00287EDA">
        <w:t xml:space="preserve">for </w:t>
      </w:r>
      <w:r w:rsidRPr="00287EDA">
        <w:t>non</w:t>
      </w:r>
      <w:r w:rsidRPr="396ABCA7">
        <w:t>-binary or gender diverse</w:t>
      </w:r>
      <w:r w:rsidR="00287EDA">
        <w:t xml:space="preserve"> people</w:t>
      </w:r>
      <w:r w:rsidRPr="396ABCA7">
        <w:t>, which is not applicable under the Fair Work Act.</w:t>
      </w:r>
      <w:r w:rsidRPr="396ABCA7">
        <w:rPr>
          <w:rStyle w:val="FootnoteReference"/>
        </w:rPr>
        <w:footnoteReference w:id="1102"/>
      </w:r>
    </w:p>
    <w:p w14:paraId="2E3D069F" w14:textId="77777777" w:rsidR="000A0EB4" w:rsidRPr="00167CB8" w:rsidRDefault="000A0EB4" w:rsidP="000A0EB4">
      <w:pPr>
        <w:rPr>
          <w:rFonts w:eastAsia="Times New Roman"/>
        </w:rPr>
      </w:pPr>
      <w:r w:rsidRPr="00167CB8">
        <w:t>The Review Panel is aware that this exception was considered in a 2023 Federal Court of Australia (FCA) appeal decision (</w:t>
      </w:r>
      <w:r w:rsidRPr="00167CB8">
        <w:rPr>
          <w:i/>
          <w:iCs/>
        </w:rPr>
        <w:t>CFMMEU v Quirk</w:t>
      </w:r>
      <w:r w:rsidRPr="00167CB8">
        <w:t>),</w:t>
      </w:r>
      <w:r w:rsidRPr="00167CB8" w:rsidDel="00563EC1">
        <w:t xml:space="preserve"> </w:t>
      </w:r>
      <w:r w:rsidRPr="00167CB8">
        <w:t>where the Full Court of the FCA held that the protection against adverse action does not operate in states or territories that do not prohibit discrimination on the same grounds.</w:t>
      </w:r>
      <w:r w:rsidRPr="00167CB8">
        <w:rPr>
          <w:rStyle w:val="FootnoteReference"/>
        </w:rPr>
        <w:footnoteReference w:id="1103"/>
      </w:r>
      <w:r w:rsidRPr="00167CB8">
        <w:t xml:space="preserve"> The </w:t>
      </w:r>
      <w:r w:rsidRPr="00167CB8">
        <w:rPr>
          <w:rFonts w:eastAsia="Times New Roman"/>
        </w:rPr>
        <w:t>Australian Law Reform Commission has recommended that the Australian Government review the operation and impact of the ‘not unlawful’ exemption following this decision.</w:t>
      </w:r>
      <w:r w:rsidRPr="00167CB8">
        <w:rPr>
          <w:rStyle w:val="FootnoteReference"/>
          <w:rFonts w:eastAsia="Times New Roman"/>
        </w:rPr>
        <w:footnoteReference w:id="1104"/>
      </w:r>
    </w:p>
    <w:p w14:paraId="7633BADB" w14:textId="77777777" w:rsidR="000A0EB4" w:rsidRDefault="000A0EB4" w:rsidP="000A0EB4">
      <w:pPr>
        <w:rPr>
          <w:rFonts w:eastAsia="Times New Roman"/>
        </w:rPr>
      </w:pPr>
      <w:r w:rsidRPr="00BD5AE5">
        <w:rPr>
          <w:rFonts w:eastAsia="Times New Roman"/>
        </w:rPr>
        <w:lastRenderedPageBreak/>
        <w:t>The Review Panel also consulted with stakeholders about potential findings and a recommendation for further research into whether it is appropriate to extend the protected attributes in the Fair Work Act to cover perimenopause and menopause, as well as other reproductive health issues.</w:t>
      </w:r>
    </w:p>
    <w:p w14:paraId="2F3A8B78" w14:textId="5D53A02F" w:rsidR="0011475D" w:rsidRDefault="000A0EB4" w:rsidP="000A0EB4">
      <w:r w:rsidRPr="00BD5AE5">
        <w:t xml:space="preserve">Unions gave positive responses (with the </w:t>
      </w:r>
      <w:r w:rsidR="00287EDA" w:rsidRPr="00287EDA">
        <w:t>Community and Public Sector Union</w:t>
      </w:r>
      <w:r w:rsidRPr="00BD5AE5">
        <w:rPr>
          <w:rStyle w:val="FootnoteReference"/>
        </w:rPr>
        <w:footnoteReference w:id="1105"/>
      </w:r>
      <w:r w:rsidRPr="00BD5AE5">
        <w:t xml:space="preserve"> and the </w:t>
      </w:r>
      <w:r w:rsidR="00287EDA" w:rsidRPr="00287EDA">
        <w:t>Australian Nursing and Midwifery Federation</w:t>
      </w:r>
      <w:r w:rsidRPr="00BD5AE5">
        <w:rPr>
          <w:rStyle w:val="FootnoteReference"/>
        </w:rPr>
        <w:footnoteReference w:id="1106"/>
      </w:r>
      <w:r w:rsidRPr="00BD5AE5">
        <w:t xml:space="preserve"> expressing strong support) and the </w:t>
      </w:r>
      <w:r w:rsidR="00287EDA">
        <w:t xml:space="preserve">Australian Council of Trade Unions </w:t>
      </w:r>
      <w:r w:rsidRPr="00BD5AE5">
        <w:t>proposed a ‘holistic and active approach to reproductive health to ensure all workers are safe and healthy at work’.</w:t>
      </w:r>
      <w:r w:rsidRPr="00BD5AE5">
        <w:rPr>
          <w:rStyle w:val="FootnoteReference"/>
        </w:rPr>
        <w:footnoteReference w:id="1107"/>
      </w:r>
    </w:p>
    <w:p w14:paraId="095FE8A6" w14:textId="5E5A9058" w:rsidR="000A0EB4" w:rsidRPr="00BD5AE5" w:rsidRDefault="000A0EB4" w:rsidP="000A0EB4">
      <w:r w:rsidRPr="00BD5AE5">
        <w:t xml:space="preserve">Employer associations such as </w:t>
      </w:r>
      <w:r w:rsidR="007E328C">
        <w:t>the</w:t>
      </w:r>
      <w:r w:rsidRPr="00BD5AE5">
        <w:t xml:space="preserve"> </w:t>
      </w:r>
      <w:r w:rsidR="00287EDA" w:rsidRPr="00287EDA">
        <w:t xml:space="preserve">Australian Chamber of Commerce and Industry </w:t>
      </w:r>
      <w:r w:rsidR="00287EDA">
        <w:t>(</w:t>
      </w:r>
      <w:r w:rsidRPr="00BD5AE5">
        <w:t>ACCI</w:t>
      </w:r>
      <w:r w:rsidR="00287EDA">
        <w:t>)</w:t>
      </w:r>
      <w:r w:rsidRPr="00BD5AE5">
        <w:t xml:space="preserve"> and </w:t>
      </w:r>
      <w:r w:rsidR="007E328C">
        <w:t xml:space="preserve">the </w:t>
      </w:r>
      <w:r w:rsidR="00287EDA" w:rsidRPr="00287EDA">
        <w:t>Australian Higher Education Industrial Association</w:t>
      </w:r>
      <w:r w:rsidRPr="00BD5AE5">
        <w:rPr>
          <w:rStyle w:val="FootnoteReference"/>
        </w:rPr>
        <w:footnoteReference w:id="1108"/>
      </w:r>
      <w:r w:rsidRPr="00BD5AE5">
        <w:t xml:space="preserve"> were also supportive, although ACCI and </w:t>
      </w:r>
      <w:r w:rsidR="00311A89">
        <w:t>the</w:t>
      </w:r>
      <w:r w:rsidRPr="00BD5AE5">
        <w:t xml:space="preserve"> </w:t>
      </w:r>
      <w:r w:rsidR="00287EDA" w:rsidRPr="00287EDA">
        <w:t xml:space="preserve">Chamber of Commerce and Industry of Western Australia </w:t>
      </w:r>
      <w:r w:rsidRPr="00BD5AE5">
        <w:t>stressed the importance of undertaking further research before making any changes to the Fair Work Act.</w:t>
      </w:r>
      <w:r w:rsidRPr="00BD5AE5">
        <w:rPr>
          <w:rStyle w:val="FootnoteReference"/>
        </w:rPr>
        <w:footnoteReference w:id="1109"/>
      </w:r>
      <w:r w:rsidRPr="00BD5AE5">
        <w:t xml:space="preserve"> Ai Group also suggested that recommendations about reproductive health were outside the scope of this Review.</w:t>
      </w:r>
      <w:r w:rsidRPr="00BD5AE5">
        <w:rPr>
          <w:rStyle w:val="FootnoteReference"/>
        </w:rPr>
        <w:footnoteReference w:id="1110"/>
      </w:r>
    </w:p>
    <w:p w14:paraId="3F6CCCDF" w14:textId="53605E14" w:rsidR="000A0EB4" w:rsidRPr="00167CB8" w:rsidRDefault="000A0EB4" w:rsidP="000A0EB4">
      <w:pPr>
        <w:rPr>
          <w:rFonts w:eastAsia="Times New Roman"/>
        </w:rPr>
      </w:pPr>
      <w:r w:rsidRPr="00BD5AE5">
        <w:t xml:space="preserve">While supporting a recommendation, </w:t>
      </w:r>
      <w:r>
        <w:t>Professor</w:t>
      </w:r>
      <w:r w:rsidRPr="00BD5AE5">
        <w:t xml:space="preserve"> Blackham also noted the importance of considering the impacts of intersectionality in anti-discrimination legislation and proposed further research and inquiry.</w:t>
      </w:r>
      <w:r w:rsidRPr="00BD5AE5">
        <w:rPr>
          <w:rStyle w:val="FootnoteReference"/>
        </w:rPr>
        <w:footnoteReference w:id="1111"/>
      </w:r>
    </w:p>
    <w:p w14:paraId="4BFC5310" w14:textId="77777777" w:rsidR="000A0EB4" w:rsidRPr="00311A89" w:rsidRDefault="000A0EB4" w:rsidP="00BE034D">
      <w:pPr>
        <w:pStyle w:val="Heading4"/>
      </w:pPr>
      <w:bookmarkStart w:id="531" w:name="_Toc188003414"/>
      <w:bookmarkStart w:id="532" w:name="_Toc188277955"/>
      <w:bookmarkStart w:id="533" w:name="_Toc189260307"/>
      <w:bookmarkStart w:id="534" w:name="_Toc189393623"/>
      <w:r w:rsidRPr="00311A89">
        <w:t>29.3 Findings and recommendations</w:t>
      </w:r>
      <w:bookmarkEnd w:id="531"/>
      <w:bookmarkEnd w:id="532"/>
      <w:bookmarkEnd w:id="533"/>
      <w:bookmarkEnd w:id="534"/>
    </w:p>
    <w:p w14:paraId="07C20353" w14:textId="77777777" w:rsidR="0011475D" w:rsidRDefault="000A0EB4" w:rsidP="000A0EB4">
      <w:r w:rsidRPr="396ABCA7">
        <w:t>The anti-discrimination and special measure amendments are directed at ensuring legislative consistency and supporting gender equality. There is no evidence to suggest that they are not operating as intended.</w:t>
      </w:r>
    </w:p>
    <w:p w14:paraId="14876E29" w14:textId="74053B54" w:rsidR="000A0EB4" w:rsidRDefault="000A0EB4" w:rsidP="000A0EB4">
      <w:pPr>
        <w:rPr>
          <w:rFonts w:eastAsia="Times New Roman"/>
        </w:rPr>
      </w:pPr>
      <w:r w:rsidRPr="00167CB8">
        <w:rPr>
          <w:rFonts w:eastAsia="Times New Roman"/>
        </w:rPr>
        <w:t>Noting the interactions between Commonwealth, state and territory anti-discrimination laws, all governments should work together to ensure there is alignment and maximum effectiveness of anti-discrimination protections, particularly when considering adding any new protected attributes.</w:t>
      </w:r>
    </w:p>
    <w:p w14:paraId="4A18D305" w14:textId="51BA2EDA" w:rsidR="00504521" w:rsidRDefault="00504521" w:rsidP="000A0EB4">
      <w:pPr>
        <w:rPr>
          <w:rFonts w:eastAsia="Times New Roman"/>
          <w:b/>
          <w:bCs/>
        </w:rPr>
      </w:pPr>
      <w:r w:rsidRPr="00504521">
        <w:rPr>
          <w:rFonts w:eastAsia="Times New Roman"/>
          <w:b/>
          <w:bCs/>
        </w:rPr>
        <w:t>Menopause, perimenopause and reproductive health</w:t>
      </w:r>
    </w:p>
    <w:p w14:paraId="7A2F0582" w14:textId="14A64A72" w:rsidR="00F707F1" w:rsidRDefault="00947DB0" w:rsidP="000A0EB4">
      <w:r>
        <w:t xml:space="preserve">Nothing the broader goals of promoting job security and advancing gender equity, there is a growing body of evidence about women’s negative workplace experiences during perimenopause and menopause, and this should be </w:t>
      </w:r>
      <w:r w:rsidR="00E051DB">
        <w:t>considered in the context of Fair Work Act protections and entitlements. This is part of a broader ongoing discussion about reproductive health impacts on workforce participation.</w:t>
      </w:r>
      <w:r w:rsidR="00E051DB" w:rsidRPr="00E051DB">
        <w:rPr>
          <w:rStyle w:val="FootnoteReference"/>
        </w:rPr>
        <w:t xml:space="preserve"> </w:t>
      </w:r>
      <w:r w:rsidR="00E051DB" w:rsidRPr="00F707F1">
        <w:rPr>
          <w:rStyle w:val="FootnoteReference"/>
        </w:rPr>
        <w:footnoteReference w:id="1112"/>
      </w:r>
    </w:p>
    <w:p w14:paraId="5B431B70" w14:textId="44590A95" w:rsidR="000A0EB4" w:rsidRDefault="00E051DB" w:rsidP="00A25002">
      <w:r>
        <w:lastRenderedPageBreak/>
        <w:t xml:space="preserve">Stakeholders’ key suggestions focus on including perimenopause and </w:t>
      </w:r>
      <w:r w:rsidR="00247B00">
        <w:t>menopause</w:t>
      </w:r>
      <w:r>
        <w:t xml:space="preserve"> (or reproductive health more broadly) as a protected attribute, to enliven </w:t>
      </w:r>
      <w:r w:rsidR="00A25002">
        <w:t xml:space="preserve">the </w:t>
      </w:r>
      <w:r w:rsidR="00475160">
        <w:t>right to request flexible working arrangements, or as an additional leave entitlement. Given the similar intent of the Secure Jobs, Better Pay amendments to the protected attributes, the Review Panel considers the first of these to be within the scope of this Review.</w:t>
      </w:r>
    </w:p>
    <w:p w14:paraId="390EF64D" w14:textId="1CB2CC6F" w:rsidR="00475160" w:rsidRDefault="00475160" w:rsidP="00A25002">
      <w:r>
        <w:t xml:space="preserve">Based on the current evidence, the Review Panel sees merit in further exploring whether adverse action because of perimenopause and menopause would already be protected </w:t>
      </w:r>
      <w:r w:rsidR="005031B4">
        <w:t>against</w:t>
      </w:r>
      <w:r>
        <w:t xml:space="preserve"> (e.g., through the protected attributes for sex or gender identity). If not already captured by existing provisions, the Australian Government should undertake further research to consider whether such amendments are appropriate</w:t>
      </w:r>
      <w:r w:rsidR="005031B4">
        <w:t>.</w:t>
      </w:r>
      <w:r>
        <w:t xml:space="preserve"> </w:t>
      </w:r>
    </w:p>
    <w:p w14:paraId="16CA7E64" w14:textId="23543703" w:rsidR="00475160" w:rsidRPr="00475160" w:rsidRDefault="00475160" w:rsidP="00A25002">
      <w:pPr>
        <w:rPr>
          <w:b/>
          <w:bCs/>
        </w:rPr>
      </w:pPr>
      <w:r>
        <w:rPr>
          <w:b/>
          <w:bCs/>
        </w:rPr>
        <w:t>Recommendation 16: The Australian Government should undertake further research and consider whether it is appropriate to extend the protected attributes in the Fair Work Act to explicitly cover perimenopause and menopause.</w:t>
      </w:r>
    </w:p>
    <w:p w14:paraId="64AE8054" w14:textId="7BF6C9F2" w:rsidR="000A0EB4" w:rsidRPr="00203C44" w:rsidRDefault="000A0EB4" w:rsidP="00BE034D">
      <w:pPr>
        <w:pStyle w:val="Heading3"/>
      </w:pPr>
      <w:r w:rsidRPr="00167CB8">
        <w:rPr>
          <w:b w:val="0"/>
        </w:rPr>
        <w:br w:type="page"/>
      </w:r>
      <w:bookmarkStart w:id="535" w:name="_Toc188003416"/>
      <w:bookmarkStart w:id="536" w:name="_Toc188277957"/>
      <w:bookmarkStart w:id="537" w:name="_Toc189260308"/>
      <w:bookmarkStart w:id="538" w:name="_Toc189393624"/>
      <w:bookmarkStart w:id="539" w:name="_Toc194311438"/>
      <w:r w:rsidRPr="00203C44">
        <w:lastRenderedPageBreak/>
        <w:t>Chapter 30. Fixed</w:t>
      </w:r>
      <w:r w:rsidR="003242AB">
        <w:t xml:space="preserve"> </w:t>
      </w:r>
      <w:r w:rsidRPr="00203C44">
        <w:t>term contracts</w:t>
      </w:r>
      <w:bookmarkEnd w:id="535"/>
      <w:bookmarkEnd w:id="536"/>
      <w:bookmarkEnd w:id="537"/>
      <w:bookmarkEnd w:id="538"/>
      <w:bookmarkEnd w:id="539"/>
    </w:p>
    <w:p w14:paraId="04717FA7" w14:textId="034AC921" w:rsidR="0011475D" w:rsidRDefault="000A0EB4" w:rsidP="000A0EB4">
      <w:r w:rsidRPr="396ABCA7">
        <w:t>In this chapter the focus is on Part 10 (Fixed</w:t>
      </w:r>
      <w:r w:rsidR="003242AB">
        <w:t xml:space="preserve"> </w:t>
      </w:r>
      <w:r w:rsidRPr="396ABCA7">
        <w:t>term contracts) of Schedule 1 of amendments in the Secure Jobs, Better Pay Act.</w:t>
      </w:r>
    </w:p>
    <w:p w14:paraId="419DF91F" w14:textId="43E006CB" w:rsidR="000A0EB4" w:rsidRPr="00856B4B" w:rsidRDefault="000A0EB4" w:rsidP="00BE034D">
      <w:pPr>
        <w:pStyle w:val="Heading4"/>
      </w:pPr>
      <w:bookmarkStart w:id="540" w:name="_Toc188003417"/>
      <w:bookmarkStart w:id="541" w:name="_Toc188277958"/>
      <w:bookmarkStart w:id="542" w:name="_Toc189260309"/>
      <w:bookmarkStart w:id="543" w:name="_Toc189393625"/>
      <w:r w:rsidRPr="00856B4B">
        <w:t>30.1 Amendments and intent</w:t>
      </w:r>
      <w:bookmarkEnd w:id="540"/>
      <w:bookmarkEnd w:id="541"/>
      <w:bookmarkEnd w:id="542"/>
      <w:bookmarkEnd w:id="543"/>
    </w:p>
    <w:p w14:paraId="4BE26E04" w14:textId="77777777" w:rsidR="001863D3" w:rsidRDefault="001863D3" w:rsidP="000A0EB4">
      <w:r w:rsidRPr="001863D3">
        <w:t>These Secure Jobs, Better Pay amendments inserted new Division 5, relating to fixed term contracts, into Part 2-9 (Other terms and conditions of employment) of the Fair Work Act. The following section summarises the main provisions within this new division before focusing on the intent of the amendments.</w:t>
      </w:r>
    </w:p>
    <w:p w14:paraId="754BC4D0" w14:textId="77777777" w:rsidR="000A0EB4" w:rsidRPr="00856B4B" w:rsidRDefault="000A0EB4" w:rsidP="00BE034D">
      <w:pPr>
        <w:pStyle w:val="Heading5"/>
      </w:pPr>
      <w:bookmarkStart w:id="544" w:name="_Toc188003418"/>
      <w:r w:rsidRPr="00856B4B">
        <w:t>30.1.1 Secure Jobs, Better Pay amendments</w:t>
      </w:r>
      <w:bookmarkEnd w:id="544"/>
    </w:p>
    <w:p w14:paraId="76CA617C" w14:textId="3FD9586D" w:rsidR="000A0EB4" w:rsidRPr="00167CB8" w:rsidRDefault="000A0EB4" w:rsidP="000A0EB4">
      <w:pPr>
        <w:rPr>
          <w:lang w:eastAsia="en-AU"/>
        </w:rPr>
      </w:pPr>
      <w:r w:rsidRPr="00167CB8">
        <w:rPr>
          <w:lang w:eastAsia="en-AU"/>
        </w:rPr>
        <w:t>The key provisions in relation to fixed</w:t>
      </w:r>
      <w:r w:rsidR="00B45E5A">
        <w:rPr>
          <w:lang w:eastAsia="en-AU"/>
        </w:rPr>
        <w:t xml:space="preserve"> </w:t>
      </w:r>
      <w:r w:rsidRPr="00167CB8">
        <w:rPr>
          <w:lang w:eastAsia="en-AU"/>
        </w:rPr>
        <w:t>term contracts include:</w:t>
      </w:r>
    </w:p>
    <w:p w14:paraId="4D0AD10D" w14:textId="10221AED" w:rsidR="000A0EB4" w:rsidRDefault="000A0EB4" w:rsidP="00747BF5">
      <w:pPr>
        <w:pStyle w:val="ListBullet"/>
        <w:numPr>
          <w:ilvl w:val="0"/>
          <w:numId w:val="4"/>
        </w:numPr>
      </w:pPr>
      <w:r w:rsidRPr="396ABCA7">
        <w:t xml:space="preserve">Section 333E </w:t>
      </w:r>
      <w:r w:rsidRPr="00747BF5">
        <w:t>-</w:t>
      </w:r>
      <w:r w:rsidRPr="396ABCA7">
        <w:t xml:space="preserve"> establishing a limitation on the use of fixed</w:t>
      </w:r>
      <w:r w:rsidR="008B6582">
        <w:t xml:space="preserve"> </w:t>
      </w:r>
      <w:r w:rsidRPr="396ABCA7">
        <w:t xml:space="preserve">term contracts that are for greater than </w:t>
      </w:r>
      <w:r w:rsidR="00652DB1">
        <w:t>two</w:t>
      </w:r>
      <w:r w:rsidRPr="396ABCA7">
        <w:t xml:space="preserve"> years (including renewals or extensions) or beyond </w:t>
      </w:r>
      <w:r w:rsidR="00652DB1">
        <w:t>two</w:t>
      </w:r>
      <w:r w:rsidRPr="396ABCA7">
        <w:t xml:space="preserve"> consecutive contracts relating to the same </w:t>
      </w:r>
      <w:r w:rsidR="00203C44">
        <w:t>or substantially similar</w:t>
      </w:r>
      <w:r w:rsidRPr="396ABCA7">
        <w:t xml:space="preserve"> work.</w:t>
      </w:r>
    </w:p>
    <w:p w14:paraId="3302B511" w14:textId="77777777" w:rsidR="000A0EB4" w:rsidRPr="00167CB8" w:rsidRDefault="000A0EB4" w:rsidP="00747BF5">
      <w:pPr>
        <w:pStyle w:val="ListBullet"/>
        <w:numPr>
          <w:ilvl w:val="0"/>
          <w:numId w:val="4"/>
        </w:numPr>
      </w:pPr>
      <w:r w:rsidRPr="00167CB8">
        <w:t>Section 333F – the limitation does not apply where the employee is engaged:</w:t>
      </w:r>
    </w:p>
    <w:p w14:paraId="09E922BF" w14:textId="77777777" w:rsidR="000A0EB4" w:rsidRPr="00167CB8" w:rsidRDefault="000A0EB4" w:rsidP="00D675C5">
      <w:pPr>
        <w:pStyle w:val="ListBullet2"/>
        <w:ind w:left="568" w:hanging="284"/>
      </w:pPr>
      <w:r w:rsidRPr="00167CB8">
        <w:t>to perform only a distinct and identifiable task involving specialised skills</w:t>
      </w:r>
    </w:p>
    <w:p w14:paraId="4FE6BD7F" w14:textId="77777777" w:rsidR="000A0EB4" w:rsidRPr="00167CB8" w:rsidRDefault="000A0EB4" w:rsidP="00D675C5">
      <w:pPr>
        <w:pStyle w:val="ListBullet2"/>
        <w:ind w:left="568" w:hanging="284"/>
      </w:pPr>
      <w:r w:rsidRPr="00167CB8">
        <w:t>under a training arrangement</w:t>
      </w:r>
    </w:p>
    <w:p w14:paraId="62008F3F" w14:textId="77777777" w:rsidR="000A0EB4" w:rsidRPr="00167CB8" w:rsidRDefault="000A0EB4" w:rsidP="00D675C5">
      <w:pPr>
        <w:pStyle w:val="ListBullet2"/>
        <w:ind w:left="568" w:hanging="284"/>
      </w:pPr>
      <w:r w:rsidRPr="00167CB8">
        <w:t>to undertake essential work during a peak demand period</w:t>
      </w:r>
    </w:p>
    <w:p w14:paraId="4A84431F" w14:textId="77777777" w:rsidR="000A0EB4" w:rsidRDefault="000A0EB4" w:rsidP="00D675C5">
      <w:pPr>
        <w:pStyle w:val="ListBullet2"/>
        <w:ind w:left="568" w:hanging="284"/>
      </w:pPr>
      <w:r w:rsidRPr="00167CB8">
        <w:t>during emergency circumstances or during a temporary absence of another employee.</w:t>
      </w:r>
    </w:p>
    <w:p w14:paraId="4F0FD0EE" w14:textId="77777777" w:rsidR="000A0EB4" w:rsidRPr="00167CB8" w:rsidRDefault="000A0EB4" w:rsidP="00747BF5">
      <w:pPr>
        <w:pStyle w:val="ListBullet"/>
        <w:numPr>
          <w:ilvl w:val="0"/>
          <w:numId w:val="4"/>
        </w:numPr>
      </w:pPr>
      <w:r w:rsidRPr="00167CB8">
        <w:t>Section 333F – the limitation also does not apply where:</w:t>
      </w:r>
    </w:p>
    <w:p w14:paraId="57D7985B" w14:textId="62AEF7CA" w:rsidR="00CE2507" w:rsidRDefault="00CE2507" w:rsidP="00D675C5">
      <w:pPr>
        <w:pStyle w:val="ListBullet2"/>
        <w:ind w:left="568" w:hanging="284"/>
      </w:pPr>
      <w:r>
        <w:t>the employee’s earnings under the contract are above the high income threshold (the threshold changes each year and from 1 July 2024 is equal to $175,000 for a full-time employee in a given year)</w:t>
      </w:r>
      <w:r w:rsidR="00387B8A" w:rsidRPr="006B1439">
        <w:rPr>
          <w:vertAlign w:val="superscript"/>
        </w:rPr>
        <w:footnoteReference w:id="1113"/>
      </w:r>
    </w:p>
    <w:p w14:paraId="20C04ED6" w14:textId="6F073681" w:rsidR="000A0EB4" w:rsidRPr="00167CB8" w:rsidRDefault="000A0EB4" w:rsidP="00D675C5">
      <w:pPr>
        <w:pStyle w:val="ListBullet2"/>
        <w:ind w:left="568" w:hanging="284"/>
      </w:pPr>
      <w:r w:rsidRPr="00167CB8">
        <w:t>the contract relates to work that has contingent funding (e.g. wholly or funded in part by government</w:t>
      </w:r>
      <w:r w:rsidR="00CE2507">
        <w:t xml:space="preserve"> or funding as prescribed by the regulations</w:t>
      </w:r>
      <w:r w:rsidRPr="00167CB8">
        <w:t xml:space="preserve">) that is payable for a period of more than </w:t>
      </w:r>
      <w:r w:rsidR="00652DB1">
        <w:t>two</w:t>
      </w:r>
      <w:r w:rsidRPr="00167CB8">
        <w:t xml:space="preserve"> years and there is no reasonable prospect that the funding will be renewed</w:t>
      </w:r>
    </w:p>
    <w:p w14:paraId="0C9D1C1F" w14:textId="77777777" w:rsidR="000A0EB4" w:rsidRPr="00167CB8" w:rsidRDefault="000A0EB4" w:rsidP="00D675C5">
      <w:pPr>
        <w:pStyle w:val="ListBullet2"/>
        <w:ind w:left="568" w:hanging="284"/>
      </w:pPr>
      <w:r w:rsidRPr="00167CB8">
        <w:t>the contract relates to a governance position that is time limited under the governing rules of a corporation or association</w:t>
      </w:r>
    </w:p>
    <w:p w14:paraId="631EE250" w14:textId="77777777" w:rsidR="00CE2507" w:rsidRDefault="00CE2507" w:rsidP="00D675C5">
      <w:pPr>
        <w:pStyle w:val="ListBullet2"/>
        <w:ind w:left="568" w:hanging="284"/>
      </w:pPr>
      <w:r>
        <w:t>a modern award includes a term permitting the use of fixed term contracts in the circumstances limited by the Fair Work Act</w:t>
      </w:r>
    </w:p>
    <w:p w14:paraId="4C5C3A88" w14:textId="77777777" w:rsidR="000A0EB4" w:rsidRPr="00167CB8" w:rsidRDefault="000A0EB4" w:rsidP="00D675C5">
      <w:pPr>
        <w:pStyle w:val="ListBullet2"/>
        <w:ind w:left="568" w:hanging="284"/>
      </w:pPr>
      <w:r w:rsidRPr="00167CB8">
        <w:t>the Fair Work Regulations provide an exception.</w:t>
      </w:r>
    </w:p>
    <w:p w14:paraId="093E4622" w14:textId="77777777" w:rsidR="000A0EB4" w:rsidRPr="00167CB8" w:rsidRDefault="000A0EB4" w:rsidP="00747BF5">
      <w:pPr>
        <w:pStyle w:val="ListBullet"/>
        <w:numPr>
          <w:ilvl w:val="0"/>
          <w:numId w:val="4"/>
        </w:numPr>
      </w:pPr>
      <w:r w:rsidRPr="396ABCA7">
        <w:t>Section 333H – prohibits behaviour in order to avoid the limitation like:</w:t>
      </w:r>
    </w:p>
    <w:p w14:paraId="35153ED9" w14:textId="77777777" w:rsidR="000A0EB4" w:rsidRPr="00167CB8" w:rsidRDefault="000A0EB4" w:rsidP="00D675C5">
      <w:pPr>
        <w:pStyle w:val="ListBullet2"/>
        <w:ind w:left="568" w:hanging="284"/>
      </w:pPr>
      <w:r w:rsidRPr="00167CB8">
        <w:t>terminating an employee’s employment for a period</w:t>
      </w:r>
    </w:p>
    <w:p w14:paraId="0B18E307" w14:textId="77777777" w:rsidR="000A0EB4" w:rsidRPr="00167CB8" w:rsidRDefault="000A0EB4" w:rsidP="00D675C5">
      <w:pPr>
        <w:pStyle w:val="ListBullet2"/>
        <w:ind w:left="568" w:hanging="284"/>
      </w:pPr>
      <w:r w:rsidRPr="00167CB8">
        <w:t>delaying re-engaging an employee for a period</w:t>
      </w:r>
    </w:p>
    <w:p w14:paraId="54CA2F00" w14:textId="77777777" w:rsidR="000A0EB4" w:rsidRPr="00167CB8" w:rsidRDefault="000A0EB4" w:rsidP="00D675C5">
      <w:pPr>
        <w:pStyle w:val="ListBullet2"/>
        <w:ind w:left="568" w:hanging="284"/>
      </w:pPr>
      <w:r w:rsidRPr="396ABCA7">
        <w:t>engaging another person to perform the same or substantially similar work</w:t>
      </w:r>
    </w:p>
    <w:p w14:paraId="2D29BE51" w14:textId="0C6A1829" w:rsidR="0011475D" w:rsidRDefault="000A0EB4" w:rsidP="00D675C5">
      <w:pPr>
        <w:pStyle w:val="ListBullet2"/>
        <w:ind w:left="568" w:hanging="284"/>
      </w:pPr>
      <w:r w:rsidRPr="396ABCA7">
        <w:t>changing the nature of work or tasks the employee is required to perform</w:t>
      </w:r>
    </w:p>
    <w:p w14:paraId="41852E80" w14:textId="3A833EED" w:rsidR="000A0EB4" w:rsidRPr="00167CB8" w:rsidRDefault="000A0EB4" w:rsidP="00D675C5">
      <w:pPr>
        <w:pStyle w:val="ListBullet2"/>
        <w:ind w:left="568" w:hanging="284"/>
      </w:pPr>
      <w:r w:rsidRPr="396ABCA7">
        <w:t xml:space="preserve">otherwise altering </w:t>
      </w:r>
      <w:r w:rsidRPr="396ABCA7" w:rsidDel="00652DB1">
        <w:t xml:space="preserve">an </w:t>
      </w:r>
      <w:r w:rsidRPr="396ABCA7">
        <w:t>employment relations</w:t>
      </w:r>
      <w:r w:rsidR="00205E00">
        <w:t>hip</w:t>
      </w:r>
      <w:r w:rsidRPr="396ABCA7">
        <w:t>.</w:t>
      </w:r>
    </w:p>
    <w:p w14:paraId="2EB73C8E" w14:textId="19484A1D" w:rsidR="0011475D" w:rsidRPr="00652DB1" w:rsidRDefault="000A0EB4" w:rsidP="00747BF5">
      <w:pPr>
        <w:pStyle w:val="ListBullet"/>
        <w:numPr>
          <w:ilvl w:val="0"/>
          <w:numId w:val="4"/>
        </w:numPr>
      </w:pPr>
      <w:r w:rsidRPr="00652DB1">
        <w:lastRenderedPageBreak/>
        <w:t>Section 333J – requiring the Fair Work Ombudsman (FWO) to prepare and publish a Fixed Term Contract Information Statement that includes information about the limitations on fixed</w:t>
      </w:r>
      <w:r w:rsidRPr="00652DB1" w:rsidDel="00652DB1">
        <w:t xml:space="preserve"> </w:t>
      </w:r>
      <w:r w:rsidRPr="00652DB1">
        <w:t>term contracts and the process to resolve disputes.</w:t>
      </w:r>
    </w:p>
    <w:p w14:paraId="3C0434C7" w14:textId="77777777" w:rsidR="0011475D" w:rsidRPr="00652DB1" w:rsidRDefault="000A0EB4" w:rsidP="00747BF5">
      <w:pPr>
        <w:pStyle w:val="ListBullet"/>
        <w:numPr>
          <w:ilvl w:val="0"/>
          <w:numId w:val="4"/>
        </w:numPr>
      </w:pPr>
      <w:r w:rsidRPr="00652DB1">
        <w:t>Section 333K – requiring employees to be given the Fixed Term Contract Information Statement as soon as practicable after the contract is entered into.</w:t>
      </w:r>
    </w:p>
    <w:p w14:paraId="212D6D6E" w14:textId="469ACF01" w:rsidR="000A0EB4" w:rsidRPr="00652DB1" w:rsidRDefault="000A0EB4" w:rsidP="00747BF5">
      <w:pPr>
        <w:pStyle w:val="ListBullet"/>
        <w:numPr>
          <w:ilvl w:val="0"/>
          <w:numId w:val="4"/>
        </w:numPr>
      </w:pPr>
      <w:r w:rsidRPr="00652DB1">
        <w:t>Section 333L – establishing a dispute resolution process allowing the Fair Work Commission (FWC) to deal with disputes after attempts have been made to resolve disputes at the workplace level. Where there is agreement, the FWC may arbitrate the dispute.</w:t>
      </w:r>
    </w:p>
    <w:p w14:paraId="5D69C4B8" w14:textId="77777777" w:rsidR="00274613" w:rsidRPr="00167CB8" w:rsidRDefault="00274613" w:rsidP="00274613">
      <w:pPr>
        <w:spacing w:before="100" w:beforeAutospacing="1" w:after="240"/>
        <w:rPr>
          <w:rFonts w:eastAsia="Times New Roman" w:cs="Calibri"/>
          <w:lang w:eastAsia="en-AU"/>
        </w:rPr>
      </w:pPr>
      <w:r w:rsidRPr="00167CB8">
        <w:rPr>
          <w:rFonts w:eastAsia="Times New Roman" w:cs="Calibri"/>
          <w:lang w:eastAsia="en-AU"/>
        </w:rPr>
        <w:t>If a fixed</w:t>
      </w:r>
      <w:r>
        <w:rPr>
          <w:rFonts w:eastAsia="Times New Roman" w:cs="Calibri"/>
          <w:lang w:eastAsia="en-AU"/>
        </w:rPr>
        <w:t xml:space="preserve"> </w:t>
      </w:r>
      <w:r w:rsidRPr="00167CB8">
        <w:rPr>
          <w:rFonts w:eastAsia="Times New Roman" w:cs="Calibri"/>
          <w:lang w:eastAsia="en-AU"/>
        </w:rPr>
        <w:t>term contract includes a term that is covered by the limitation (and no exception applies), the term will be of no effect but otherwise does not affect the validity of any other term of the contract.</w:t>
      </w:r>
      <w:r w:rsidRPr="00167CB8">
        <w:rPr>
          <w:rStyle w:val="FootnoteReference"/>
          <w:rFonts w:eastAsia="Times New Roman" w:cs="Calibri"/>
          <w:lang w:eastAsia="en-AU"/>
        </w:rPr>
        <w:footnoteReference w:id="1114"/>
      </w:r>
      <w:r w:rsidRPr="00167CB8">
        <w:rPr>
          <w:rFonts w:eastAsia="Times New Roman" w:cs="Calibri"/>
          <w:lang w:eastAsia="en-AU"/>
        </w:rPr>
        <w:t xml:space="preserve"> The effect of this will be</w:t>
      </w:r>
      <w:r>
        <w:rPr>
          <w:rFonts w:eastAsia="Times New Roman" w:cs="Calibri"/>
          <w:lang w:eastAsia="en-AU"/>
        </w:rPr>
        <w:t xml:space="preserve"> that</w:t>
      </w:r>
      <w:r w:rsidRPr="00167CB8">
        <w:rPr>
          <w:rFonts w:eastAsia="Times New Roman" w:cs="Calibri"/>
          <w:lang w:eastAsia="en-AU"/>
        </w:rPr>
        <w:t xml:space="preserve"> the employee will be considered a permanent employee.</w:t>
      </w:r>
      <w:r w:rsidRPr="00167CB8">
        <w:rPr>
          <w:rStyle w:val="FootnoteReference"/>
          <w:rFonts w:eastAsia="Times New Roman" w:cs="Calibri"/>
          <w:lang w:eastAsia="en-AU"/>
        </w:rPr>
        <w:footnoteReference w:id="1115"/>
      </w:r>
      <w:r w:rsidRPr="00167CB8">
        <w:rPr>
          <w:rFonts w:eastAsia="Times New Roman" w:cs="Calibri"/>
          <w:lang w:eastAsia="en-AU"/>
        </w:rPr>
        <w:t xml:space="preserve"> </w:t>
      </w:r>
    </w:p>
    <w:p w14:paraId="3DACA089" w14:textId="77777777" w:rsidR="00274613" w:rsidRPr="00167CB8" w:rsidRDefault="00274613" w:rsidP="00274613">
      <w:r w:rsidRPr="00167CB8">
        <w:t>These amendments came into effect from 6 December 2023.</w:t>
      </w:r>
      <w:r>
        <w:t xml:space="preserve"> </w:t>
      </w:r>
    </w:p>
    <w:p w14:paraId="22976B82" w14:textId="77777777" w:rsidR="00274613" w:rsidRPr="00167CB8" w:rsidRDefault="00274613" w:rsidP="00274613">
      <w:r w:rsidRPr="396ABCA7">
        <w:t xml:space="preserve">Subsequent to these amendments, additional exceptions to the limitation have been added </w:t>
      </w:r>
      <w:r>
        <w:t xml:space="preserve">to </w:t>
      </w:r>
      <w:r w:rsidRPr="396ABCA7">
        <w:t>the Fair Work Regulations relating to organised sport; high-performance sport; higher education employees; charities and not-for-profit</w:t>
      </w:r>
      <w:r>
        <w:t>;</w:t>
      </w:r>
      <w:r w:rsidRPr="396ABCA7">
        <w:t xml:space="preserve"> medical or health research; and public hospitals. </w:t>
      </w:r>
    </w:p>
    <w:p w14:paraId="2604157F" w14:textId="77777777" w:rsidR="00274613" w:rsidRPr="00167CB8" w:rsidRDefault="00274613" w:rsidP="00274613">
      <w:r w:rsidRPr="396ABCA7">
        <w:t>The exceptions for organised sport, high-performance sport and higher education apply to contracts entered into on or after 6 December 2023 and before 1 November 2025. The exceptions for charities and not-for-profit</w:t>
      </w:r>
      <w:r>
        <w:t>;</w:t>
      </w:r>
      <w:r w:rsidRPr="396ABCA7">
        <w:t xml:space="preserve"> medical or health research</w:t>
      </w:r>
      <w:r>
        <w:t>;</w:t>
      </w:r>
      <w:r w:rsidRPr="396ABCA7">
        <w:t xml:space="preserve"> and public hospitals, apply to contracts entered into on or after 1 November 2024 and before 1 November 2025.</w:t>
      </w:r>
      <w:r w:rsidRPr="396ABCA7">
        <w:rPr>
          <w:rStyle w:val="FootnoteReference"/>
        </w:rPr>
        <w:footnoteReference w:id="1116"/>
      </w:r>
      <w:r w:rsidRPr="396ABCA7">
        <w:t xml:space="preserve"> In other words, certain contracts entered into on or after 6 December 2023 and before 1</w:t>
      </w:r>
      <w:r>
        <w:t> </w:t>
      </w:r>
      <w:r w:rsidRPr="396ABCA7">
        <w:t xml:space="preserve">November 2025 are exempt from the provisions outlined above. </w:t>
      </w:r>
    </w:p>
    <w:p w14:paraId="05B9769E" w14:textId="77777777" w:rsidR="00274613" w:rsidRDefault="00274613" w:rsidP="00274613">
      <w:r w:rsidRPr="396ABCA7">
        <w:t>The live performance industry previously had an exception through the regulations; however, this expired on 1 November 2024 and the rules for fixed</w:t>
      </w:r>
      <w:r>
        <w:t xml:space="preserve"> </w:t>
      </w:r>
      <w:r w:rsidRPr="396ABCA7">
        <w:t>term contracts in the industry are now set out in the Live Performance Award.</w:t>
      </w:r>
      <w:r w:rsidRPr="396ABCA7">
        <w:rPr>
          <w:vertAlign w:val="superscript"/>
        </w:rPr>
        <w:footnoteReference w:id="1117"/>
      </w:r>
    </w:p>
    <w:p w14:paraId="2B3872F5" w14:textId="6CE2FA55" w:rsidR="00274613" w:rsidRPr="00167CB8" w:rsidRDefault="00274613" w:rsidP="00274613">
      <w:r>
        <w:t xml:space="preserve">The amendments described above are summarised in Figure </w:t>
      </w:r>
      <w:r w:rsidR="00A90A84">
        <w:t>21</w:t>
      </w:r>
      <w:r>
        <w:t>.</w:t>
      </w:r>
    </w:p>
    <w:p w14:paraId="3EF4C498" w14:textId="2803BA33" w:rsidR="000A0EB4" w:rsidRPr="00167CB8" w:rsidRDefault="00BE034D" w:rsidP="007F380D">
      <w:pPr>
        <w:pStyle w:val="Caption"/>
      </w:pPr>
      <w:bookmarkStart w:id="545" w:name="_Toc194251519"/>
      <w:r>
        <w:lastRenderedPageBreak/>
        <w:t xml:space="preserve">Figure </w:t>
      </w:r>
      <w:r>
        <w:fldChar w:fldCharType="begin"/>
      </w:r>
      <w:r>
        <w:instrText xml:space="preserve"> SEQ Figure \* ARABIC </w:instrText>
      </w:r>
      <w:r>
        <w:fldChar w:fldCharType="separate"/>
      </w:r>
      <w:r w:rsidR="00DE5F5E">
        <w:rPr>
          <w:noProof/>
        </w:rPr>
        <w:t>21</w:t>
      </w:r>
      <w:r>
        <w:fldChar w:fldCharType="end"/>
      </w:r>
      <w:r>
        <w:t xml:space="preserve">: </w:t>
      </w:r>
      <w:r w:rsidR="000A0EB4" w:rsidRPr="00167CB8">
        <w:t>How the current limitation on fixed</w:t>
      </w:r>
      <w:r w:rsidR="008B6582">
        <w:t xml:space="preserve"> </w:t>
      </w:r>
      <w:r w:rsidR="000A0EB4" w:rsidRPr="00167CB8">
        <w:t>term contracts works</w:t>
      </w:r>
      <w:bookmarkEnd w:id="545"/>
    </w:p>
    <w:p w14:paraId="42AE7D19" w14:textId="56D9EEDD" w:rsidR="00405796" w:rsidRDefault="00405796" w:rsidP="000A0EB4">
      <w:pPr>
        <w:rPr>
          <w:b/>
          <w:bCs/>
          <w:sz w:val="18"/>
          <w:szCs w:val="18"/>
        </w:rPr>
      </w:pPr>
      <w:bookmarkStart w:id="546" w:name="_Toc188003419"/>
      <w:r>
        <w:rPr>
          <w:b/>
          <w:bCs/>
          <w:noProof/>
          <w:sz w:val="18"/>
          <w:szCs w:val="18"/>
        </w:rPr>
        <w:drawing>
          <wp:inline distT="0" distB="0" distL="0" distR="0" wp14:anchorId="01AD6F41" wp14:editId="7A27DC5E">
            <wp:extent cx="5539101" cy="4982143"/>
            <wp:effectExtent l="0" t="0" r="5080" b="9525"/>
            <wp:docPr id="199635295" name="Picture 3" descr="A graphic showing how the current limitation on fixed term contracts work.&#10;&#10;See alt-text following th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35295" name="Picture 3" descr="A graphic showing how the current limitation on fixed term contracts work.&#10;&#10;See alt-text following this."/>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539101" cy="4982143"/>
                    </a:xfrm>
                    <a:prstGeom prst="rect">
                      <a:avLst/>
                    </a:prstGeom>
                  </pic:spPr>
                </pic:pic>
              </a:graphicData>
            </a:graphic>
          </wp:inline>
        </w:drawing>
      </w:r>
    </w:p>
    <w:p w14:paraId="1D2210A5" w14:textId="3761EC2E" w:rsidR="000A0EB4" w:rsidRPr="006056DB" w:rsidRDefault="000A0EB4" w:rsidP="000A0EB4">
      <w:pPr>
        <w:rPr>
          <w:sz w:val="18"/>
          <w:szCs w:val="18"/>
        </w:rPr>
      </w:pPr>
      <w:r w:rsidRPr="396ABCA7">
        <w:rPr>
          <w:b/>
          <w:bCs/>
          <w:sz w:val="18"/>
          <w:szCs w:val="18"/>
        </w:rPr>
        <w:t>Alt-text:</w:t>
      </w:r>
      <w:r w:rsidRPr="396ABCA7">
        <w:rPr>
          <w:sz w:val="18"/>
          <w:szCs w:val="18"/>
        </w:rPr>
        <w:t xml:space="preserve"> A graphic showing the process of how the current limitation on fixed</w:t>
      </w:r>
      <w:r w:rsidR="00220262">
        <w:rPr>
          <w:sz w:val="18"/>
          <w:szCs w:val="18"/>
        </w:rPr>
        <w:t xml:space="preserve"> </w:t>
      </w:r>
      <w:r w:rsidRPr="396ABCA7">
        <w:rPr>
          <w:sz w:val="18"/>
          <w:szCs w:val="18"/>
        </w:rPr>
        <w:t>term contacts works, which is that the limitation by reference to section 333E applies unless a Fair Work Act exemption applies (section 333F of the Fair Work Act), or the relevant modern award allows it (section 33F(1)(h)) or the Fair Work Regulations allow it (section 333F(1)(i)).</w:t>
      </w:r>
    </w:p>
    <w:p w14:paraId="3224A596" w14:textId="631D988E" w:rsidR="00A219DD" w:rsidRPr="00167CB8" w:rsidRDefault="00A219DD" w:rsidP="000A0EB4">
      <w:r w:rsidRPr="396ABCA7">
        <w:t xml:space="preserve">The Review Panel notes that </w:t>
      </w:r>
      <w:r w:rsidRPr="00D91A5C">
        <w:rPr>
          <w:i/>
        </w:rPr>
        <w:t xml:space="preserve">Fair Work Amendment (Closing Loopholes No. 2) Act 2024 </w:t>
      </w:r>
      <w:r w:rsidRPr="00D91A5C">
        <w:t>(Cth)</w:t>
      </w:r>
      <w:r w:rsidRPr="396ABCA7">
        <w:t xml:space="preserve"> also made amendments to the Fair Work Act </w:t>
      </w:r>
      <w:r>
        <w:t>with the aim of reducing insecure, casual employment</w:t>
      </w:r>
      <w:r w:rsidRPr="396ABCA7">
        <w:t>.</w:t>
      </w:r>
      <w:r w:rsidRPr="396ABCA7">
        <w:rPr>
          <w:rStyle w:val="FootnoteReference"/>
        </w:rPr>
        <w:footnoteReference w:id="1118"/>
      </w:r>
      <w:r>
        <w:t xml:space="preserve"> Casual employees may request conversion to permanent status if they have a regular pattern of work and meet qualifying criteria. While this change might see some employers increase their reliance on fixed term contracts, the Secure Jobs, Better Pay amendments place restrictions on the use of fixed term contracts (as described above).</w:t>
      </w:r>
    </w:p>
    <w:p w14:paraId="509B719F" w14:textId="77777777" w:rsidR="0011475D" w:rsidRPr="00D91A5C" w:rsidRDefault="000A0EB4" w:rsidP="00652DB1">
      <w:pPr>
        <w:pStyle w:val="Heading5"/>
      </w:pPr>
      <w:r w:rsidRPr="00D91A5C">
        <w:t>30.1.2 Intent of Secure Jobs, Better Pay amendments</w:t>
      </w:r>
      <w:bookmarkEnd w:id="546"/>
    </w:p>
    <w:p w14:paraId="2A6B60D4" w14:textId="16839C08" w:rsidR="00730A58" w:rsidRPr="00167CB8" w:rsidRDefault="00730A58" w:rsidP="00420955">
      <w:pPr>
        <w:rPr>
          <w:rFonts w:eastAsia="Times New Roman" w:cs="Calibri"/>
          <w:lang w:eastAsia="en-AU"/>
        </w:rPr>
      </w:pPr>
      <w:r w:rsidRPr="00420955">
        <w:t>The fixed term contract provisions introduced via the Secure Jobs, Better Pay Act are intended to limit the misuse of fixed term contacts and</w:t>
      </w:r>
      <w:r w:rsidRPr="396ABCA7">
        <w:rPr>
          <w:rFonts w:eastAsia="Times New Roman" w:cs="Calibri"/>
          <w:lang w:eastAsia="en-AU"/>
        </w:rPr>
        <w:t>, in so doing, enhance job security, reduce precarious employment and support fair working conditions. The amendments also give effect to Australia’s obligations under Article 6 of the U</w:t>
      </w:r>
      <w:r>
        <w:rPr>
          <w:rFonts w:eastAsia="Times New Roman" w:cs="Calibri"/>
          <w:lang w:eastAsia="en-AU"/>
        </w:rPr>
        <w:t xml:space="preserve">nited </w:t>
      </w:r>
      <w:r w:rsidRPr="396ABCA7">
        <w:rPr>
          <w:rFonts w:eastAsia="Times New Roman" w:cs="Calibri"/>
          <w:lang w:eastAsia="en-AU"/>
        </w:rPr>
        <w:t>N</w:t>
      </w:r>
      <w:r>
        <w:rPr>
          <w:rFonts w:eastAsia="Times New Roman" w:cs="Calibri"/>
          <w:lang w:eastAsia="en-AU"/>
        </w:rPr>
        <w:t>ations</w:t>
      </w:r>
      <w:r w:rsidRPr="396ABCA7">
        <w:rPr>
          <w:rFonts w:eastAsia="Times New Roman" w:cs="Calibri"/>
          <w:lang w:eastAsia="en-AU"/>
        </w:rPr>
        <w:t xml:space="preserve"> International Covenant on </w:t>
      </w:r>
      <w:r w:rsidRPr="396ABCA7">
        <w:rPr>
          <w:rFonts w:eastAsia="Times New Roman" w:cs="Calibri"/>
          <w:lang w:eastAsia="en-AU"/>
        </w:rPr>
        <w:lastRenderedPageBreak/>
        <w:t xml:space="preserve">Economic, Social and Cultural </w:t>
      </w:r>
      <w:r w:rsidRPr="00B55176">
        <w:rPr>
          <w:rFonts w:eastAsia="Times New Roman" w:cs="Calibri"/>
          <w:lang w:eastAsia="en-AU"/>
        </w:rPr>
        <w:t>Rights (ICESCR) to promote</w:t>
      </w:r>
      <w:r w:rsidRPr="396ABCA7">
        <w:rPr>
          <w:rFonts w:eastAsia="Times New Roman" w:cs="Calibri"/>
          <w:lang w:eastAsia="en-AU"/>
        </w:rPr>
        <w:t xml:space="preserve"> the right to work by ensuring workers have access to secure and stable employment.</w:t>
      </w:r>
      <w:r w:rsidRPr="396ABCA7">
        <w:rPr>
          <w:rStyle w:val="FootnoteReference"/>
          <w:rFonts w:eastAsia="Times New Roman" w:cs="Calibri"/>
          <w:lang w:eastAsia="en-AU"/>
        </w:rPr>
        <w:footnoteReference w:id="1119"/>
      </w:r>
      <w:r w:rsidRPr="396ABCA7">
        <w:rPr>
          <w:rFonts w:eastAsia="Times New Roman" w:cs="Calibri"/>
          <w:lang w:eastAsia="en-AU"/>
        </w:rPr>
        <w:t xml:space="preserve"> </w:t>
      </w:r>
    </w:p>
    <w:p w14:paraId="3C8B3A9E" w14:textId="77777777" w:rsidR="00DC4DB7" w:rsidRPr="00167CB8" w:rsidRDefault="00730A58" w:rsidP="00420955">
      <w:pPr>
        <w:rPr>
          <w:rFonts w:eastAsia="Times New Roman" w:cs="Calibri"/>
          <w:lang w:eastAsia="en-AU"/>
        </w:rPr>
      </w:pPr>
      <w:r>
        <w:rPr>
          <w:rFonts w:eastAsia="Times New Roman" w:cs="Calibri"/>
          <w:lang w:eastAsia="en-AU"/>
        </w:rPr>
        <w:t>At the time of introduction t</w:t>
      </w:r>
      <w:r w:rsidRPr="00167CB8">
        <w:rPr>
          <w:rFonts w:eastAsia="Times New Roman" w:cs="Calibri"/>
          <w:lang w:eastAsia="en-AU"/>
        </w:rPr>
        <w:t xml:space="preserve">he then Minister for Employment and Workplace Relations, the Hon Tony Burke MP, noted in the second reading speech for the </w:t>
      </w:r>
      <w:r w:rsidRPr="00167CB8">
        <w:rPr>
          <w:rFonts w:cstheme="minorHAnsi"/>
        </w:rPr>
        <w:t>Secure Jobs, Better Pay</w:t>
      </w:r>
      <w:r w:rsidRPr="00167CB8">
        <w:rPr>
          <w:rFonts w:eastAsia="Times New Roman" w:cs="Calibri"/>
          <w:lang w:eastAsia="en-AU"/>
        </w:rPr>
        <w:t xml:space="preserve"> Bill that ‘the number of workers on fixed</w:t>
      </w:r>
      <w:r>
        <w:rPr>
          <w:rFonts w:eastAsia="Times New Roman" w:cs="Calibri"/>
          <w:lang w:eastAsia="en-AU"/>
        </w:rPr>
        <w:t xml:space="preserve"> </w:t>
      </w:r>
      <w:r w:rsidRPr="00167CB8">
        <w:rPr>
          <w:rFonts w:eastAsia="Times New Roman" w:cs="Calibri"/>
          <w:lang w:eastAsia="en-AU"/>
        </w:rPr>
        <w:t>term contracts has increased by over 50 per cent since 1998’.</w:t>
      </w:r>
      <w:r w:rsidRPr="00167CB8">
        <w:rPr>
          <w:rStyle w:val="FootnoteReference"/>
          <w:rFonts w:eastAsia="Times New Roman" w:cs="Calibri"/>
          <w:lang w:eastAsia="en-AU"/>
        </w:rPr>
        <w:footnoteReference w:id="1120"/>
      </w:r>
      <w:r w:rsidRPr="00167CB8">
        <w:rPr>
          <w:rFonts w:eastAsia="Times New Roman" w:cs="Calibri"/>
          <w:lang w:eastAsia="en-AU"/>
        </w:rPr>
        <w:t xml:space="preserve"> The Minister also noted that workers on fixed</w:t>
      </w:r>
      <w:r>
        <w:rPr>
          <w:rFonts w:eastAsia="Times New Roman" w:cs="Calibri"/>
          <w:lang w:eastAsia="en-AU"/>
        </w:rPr>
        <w:t xml:space="preserve"> </w:t>
      </w:r>
      <w:r w:rsidRPr="00167CB8">
        <w:rPr>
          <w:rFonts w:eastAsia="Times New Roman" w:cs="Calibri"/>
          <w:lang w:eastAsia="en-AU"/>
        </w:rPr>
        <w:t>term contracts are more likely to be women, and 40% of workers on fixed</w:t>
      </w:r>
      <w:r>
        <w:rPr>
          <w:rFonts w:eastAsia="Times New Roman" w:cs="Calibri"/>
          <w:lang w:eastAsia="en-AU"/>
        </w:rPr>
        <w:t xml:space="preserve"> </w:t>
      </w:r>
      <w:r w:rsidRPr="00167CB8">
        <w:rPr>
          <w:rFonts w:eastAsia="Times New Roman" w:cs="Calibri"/>
          <w:lang w:eastAsia="en-AU"/>
        </w:rPr>
        <w:t xml:space="preserve">term contracts have been with their employers for more than </w:t>
      </w:r>
      <w:r>
        <w:rPr>
          <w:rFonts w:eastAsia="Times New Roman" w:cs="Calibri"/>
          <w:lang w:eastAsia="en-AU"/>
        </w:rPr>
        <w:t>two</w:t>
      </w:r>
      <w:r w:rsidRPr="00167CB8">
        <w:rPr>
          <w:rFonts w:eastAsia="Times New Roman" w:cs="Calibri"/>
          <w:lang w:eastAsia="en-AU"/>
        </w:rPr>
        <w:t xml:space="preserve"> years.</w:t>
      </w:r>
      <w:r w:rsidRPr="00167CB8">
        <w:rPr>
          <w:rStyle w:val="FootnoteReference"/>
          <w:rFonts w:eastAsia="Times New Roman" w:cs="Calibri"/>
          <w:lang w:eastAsia="en-AU"/>
        </w:rPr>
        <w:footnoteReference w:id="1121"/>
      </w:r>
    </w:p>
    <w:p w14:paraId="44548D79" w14:textId="77777777" w:rsidR="00DC4DB7" w:rsidRPr="00167CB8" w:rsidRDefault="00DC4DB7" w:rsidP="00DC4DB7">
      <w:pPr>
        <w:rPr>
          <w:lang w:eastAsia="en-AU"/>
        </w:rPr>
      </w:pPr>
      <w:r w:rsidRPr="396ABCA7">
        <w:rPr>
          <w:lang w:eastAsia="en-AU"/>
        </w:rPr>
        <w:t>The Explanatory Memorandum acknowledged that fixed</w:t>
      </w:r>
      <w:r>
        <w:rPr>
          <w:lang w:eastAsia="en-AU"/>
        </w:rPr>
        <w:t xml:space="preserve"> </w:t>
      </w:r>
      <w:r w:rsidRPr="396ABCA7">
        <w:rPr>
          <w:lang w:eastAsia="en-AU"/>
        </w:rPr>
        <w:t>term contracts do have a legitimate purpose to ‘help businesses to source workers to perform discrete tasks for a fixed period’.</w:t>
      </w:r>
      <w:r w:rsidRPr="396ABCA7">
        <w:rPr>
          <w:vertAlign w:val="superscript"/>
          <w:lang w:eastAsia="en-AU"/>
        </w:rPr>
        <w:footnoteReference w:id="1122"/>
      </w:r>
      <w:r w:rsidRPr="396ABCA7">
        <w:rPr>
          <w:lang w:eastAsia="en-AU"/>
        </w:rPr>
        <w:t xml:space="preserve"> However, when used for an extended period for the same role, or as rolling contracts, fixed</w:t>
      </w:r>
      <w:r>
        <w:rPr>
          <w:lang w:eastAsia="en-AU"/>
        </w:rPr>
        <w:t xml:space="preserve"> </w:t>
      </w:r>
      <w:r w:rsidRPr="396ABCA7">
        <w:rPr>
          <w:lang w:eastAsia="en-AU"/>
        </w:rPr>
        <w:t>term contracts can ‘exacerbate job insecurity’.</w:t>
      </w:r>
      <w:r w:rsidRPr="396ABCA7">
        <w:rPr>
          <w:vertAlign w:val="superscript"/>
          <w:lang w:eastAsia="en-AU"/>
        </w:rPr>
        <w:footnoteReference w:id="1123"/>
      </w:r>
    </w:p>
    <w:p w14:paraId="7E3248AC" w14:textId="77777777" w:rsidR="000A0EB4" w:rsidRPr="00420955" w:rsidRDefault="000A0EB4" w:rsidP="00652DB1">
      <w:pPr>
        <w:pStyle w:val="Heading4"/>
      </w:pPr>
      <w:bookmarkStart w:id="547" w:name="_Toc188003420"/>
      <w:bookmarkStart w:id="548" w:name="_Toc188277959"/>
      <w:bookmarkStart w:id="549" w:name="_Toc189260310"/>
      <w:bookmarkStart w:id="550" w:name="_Toc189393626"/>
      <w:r w:rsidRPr="00420955">
        <w:t>30.2 Impact and issues</w:t>
      </w:r>
      <w:bookmarkEnd w:id="547"/>
      <w:bookmarkEnd w:id="548"/>
      <w:bookmarkEnd w:id="549"/>
      <w:bookmarkEnd w:id="550"/>
    </w:p>
    <w:p w14:paraId="6A1AE2C5" w14:textId="4DF932AA" w:rsidR="000A0EB4" w:rsidRPr="00914458" w:rsidRDefault="000A0EB4" w:rsidP="000A0EB4">
      <w:r w:rsidRPr="00167CB8">
        <w:t xml:space="preserve">The following describes the data and information considered by the Review Panel when evaluating the </w:t>
      </w:r>
      <w:r w:rsidR="00BF6EBF" w:rsidRPr="00BF6EBF">
        <w:t xml:space="preserve">Secure Job, Better Pay </w:t>
      </w:r>
      <w:r w:rsidRPr="00914458">
        <w:t>amendments.</w:t>
      </w:r>
    </w:p>
    <w:p w14:paraId="247A9C2D" w14:textId="77777777" w:rsidR="000A0EB4" w:rsidRPr="00BF6EBF" w:rsidRDefault="000A0EB4" w:rsidP="00652DB1">
      <w:pPr>
        <w:pStyle w:val="Heading5"/>
      </w:pPr>
      <w:bookmarkStart w:id="551" w:name="_Toc188003421"/>
      <w:r w:rsidRPr="00BF6EBF">
        <w:t>30.2.1 Quantitative evidence</w:t>
      </w:r>
      <w:bookmarkEnd w:id="551"/>
    </w:p>
    <w:p w14:paraId="25942124" w14:textId="77777777" w:rsidR="008C2B40" w:rsidRDefault="008C2B40" w:rsidP="008C2B40">
      <w:r>
        <w:t xml:space="preserve">The quantitative data reported in this section comes from three main sources: the FWC, the </w:t>
      </w:r>
      <w:r w:rsidRPr="00914458">
        <w:t xml:space="preserve">Australian Bureau of </w:t>
      </w:r>
      <w:r w:rsidRPr="00F32946">
        <w:t>Statistics (ABS) and, the</w:t>
      </w:r>
      <w:r>
        <w:t xml:space="preserve"> most used, </w:t>
      </w:r>
      <w:r w:rsidRPr="00167CB8">
        <w:t xml:space="preserve">Household, Income and Labour Dynamics in </w:t>
      </w:r>
      <w:r w:rsidRPr="00F32946">
        <w:t>Australia (HILDA).</w:t>
      </w:r>
    </w:p>
    <w:p w14:paraId="3EC82E6E" w14:textId="77777777" w:rsidR="008C2B40" w:rsidRPr="00914458" w:rsidRDefault="008C2B40" w:rsidP="008C2B40">
      <w:r>
        <w:t xml:space="preserve">First, </w:t>
      </w:r>
      <w:r w:rsidRPr="00914458">
        <w:t>FWC data provided to the Review indicates that 21 applications were received to deal with a dispute about a fixed</w:t>
      </w:r>
      <w:r>
        <w:t xml:space="preserve"> </w:t>
      </w:r>
      <w:r w:rsidRPr="00914458">
        <w:t xml:space="preserve">term contract from commencement of the provision to 31 December 2024. Of those applications, 10 were withdrawn, </w:t>
      </w:r>
      <w:r>
        <w:t>five</w:t>
      </w:r>
      <w:r w:rsidRPr="00914458">
        <w:t xml:space="preserve"> were not resolved</w:t>
      </w:r>
      <w:r>
        <w:t>, five</w:t>
      </w:r>
      <w:r w:rsidRPr="00914458">
        <w:t xml:space="preserve"> were resolved and </w:t>
      </w:r>
      <w:r>
        <w:t>one</w:t>
      </w:r>
      <w:r w:rsidRPr="00914458">
        <w:t xml:space="preserve"> is ongoing.</w:t>
      </w:r>
    </w:p>
    <w:p w14:paraId="20AA0F53" w14:textId="77777777" w:rsidR="008C2B40" w:rsidRPr="00167CB8" w:rsidRDefault="008C2B40" w:rsidP="008C2B40">
      <w:r>
        <w:t>Second, e</w:t>
      </w:r>
      <w:r w:rsidRPr="00914458">
        <w:t xml:space="preserve">stimates from the </w:t>
      </w:r>
      <w:r>
        <w:t>ABS</w:t>
      </w:r>
      <w:r w:rsidRPr="00914458">
        <w:t xml:space="preserve"> indicate that as at August 2024 there were 12.1 million employees</w:t>
      </w:r>
      <w:r w:rsidRPr="396ABCA7">
        <w:t xml:space="preserve"> in the Australian labour market, with 512,300 (4.2%) employed on a fixed</w:t>
      </w:r>
      <w:r>
        <w:t xml:space="preserve"> </w:t>
      </w:r>
      <w:r w:rsidRPr="396ABCA7">
        <w:t xml:space="preserve">term contract. Many </w:t>
      </w:r>
      <w:r>
        <w:t xml:space="preserve">of the respondents reporting fixed term contracts </w:t>
      </w:r>
      <w:r w:rsidRPr="396ABCA7">
        <w:t>(40.8%) have been in their current job for less than one year. Although tenure is short, there is a high expectation of ongoing employment (74.8% expect to remain in their job for the next 12 months).</w:t>
      </w:r>
      <w:r w:rsidRPr="396ABCA7">
        <w:rPr>
          <w:rStyle w:val="FootnoteReference"/>
        </w:rPr>
        <w:footnoteReference w:id="1124"/>
      </w:r>
      <w:r w:rsidRPr="396ABCA7">
        <w:t xml:space="preserve"> Across industries, the education and training sector stands out as the sector most likely to engage employees on fixed</w:t>
      </w:r>
      <w:r>
        <w:t xml:space="preserve"> </w:t>
      </w:r>
      <w:r w:rsidRPr="396ABCA7">
        <w:t>term contracts. In 2024, 11.7% of all employees in this industry were on a fixed</w:t>
      </w:r>
      <w:r>
        <w:t xml:space="preserve"> </w:t>
      </w:r>
      <w:r w:rsidRPr="396ABCA7">
        <w:t>term contract. Between 2002 and 2024 the main growth in fixed</w:t>
      </w:r>
      <w:r>
        <w:t xml:space="preserve"> </w:t>
      </w:r>
      <w:r w:rsidRPr="396ABCA7">
        <w:t>term employment came from the health care and social assistance sector.</w:t>
      </w:r>
      <w:r w:rsidRPr="396ABCA7">
        <w:rPr>
          <w:rStyle w:val="FootnoteReference"/>
        </w:rPr>
        <w:footnoteReference w:id="1125"/>
      </w:r>
      <w:r w:rsidRPr="396ABCA7">
        <w:t xml:space="preserve"> </w:t>
      </w:r>
    </w:p>
    <w:p w14:paraId="371AA311" w14:textId="77777777" w:rsidR="008C2B40" w:rsidRPr="00167CB8" w:rsidRDefault="008C2B40" w:rsidP="008C2B40">
      <w:r w:rsidRPr="00167CB8">
        <w:t>In 2023 there was a marked decline in the use of fixed</w:t>
      </w:r>
      <w:r>
        <w:t xml:space="preserve"> </w:t>
      </w:r>
      <w:r w:rsidRPr="00167CB8">
        <w:t xml:space="preserve">term employment contracts, particularly among women employed full-time and men employed part-time. In 2024 this rebounded, such </w:t>
      </w:r>
      <w:r w:rsidRPr="00167CB8">
        <w:lastRenderedPageBreak/>
        <w:t>that the number of people on fixed</w:t>
      </w:r>
      <w:r>
        <w:t xml:space="preserve"> </w:t>
      </w:r>
      <w:r w:rsidRPr="00167CB8">
        <w:t>term contracts is now at its highest when viewed over the last decade (</w:t>
      </w:r>
      <w:r w:rsidRPr="00FF5AED">
        <w:t>see Figure 22</w:t>
      </w:r>
      <w:r w:rsidRPr="00D22AC6">
        <w:t xml:space="preserve"> below).</w:t>
      </w:r>
    </w:p>
    <w:p w14:paraId="39EFFEE0" w14:textId="0FBEA4EE" w:rsidR="000A0EB4" w:rsidRPr="00167CB8" w:rsidRDefault="00543E41" w:rsidP="007F380D">
      <w:pPr>
        <w:pStyle w:val="Caption"/>
      </w:pPr>
      <w:bookmarkStart w:id="552" w:name="_Toc186991780"/>
      <w:bookmarkStart w:id="553" w:name="_Toc194251520"/>
      <w:r>
        <w:t xml:space="preserve">Figure </w:t>
      </w:r>
      <w:r>
        <w:fldChar w:fldCharType="begin"/>
      </w:r>
      <w:r>
        <w:instrText xml:space="preserve"> SEQ Figure \* ARABIC </w:instrText>
      </w:r>
      <w:r>
        <w:fldChar w:fldCharType="separate"/>
      </w:r>
      <w:r w:rsidR="00DE5F5E">
        <w:rPr>
          <w:noProof/>
        </w:rPr>
        <w:t>22</w:t>
      </w:r>
      <w:r>
        <w:fldChar w:fldCharType="end"/>
      </w:r>
      <w:r>
        <w:t xml:space="preserve">: </w:t>
      </w:r>
      <w:r w:rsidR="000A0EB4" w:rsidRPr="00167CB8">
        <w:t>Trends in fixed</w:t>
      </w:r>
      <w:r w:rsidR="00DF1ADB">
        <w:t xml:space="preserve"> </w:t>
      </w:r>
      <w:r w:rsidR="000A0EB4" w:rsidRPr="00167CB8">
        <w:t>term employment, 2014 to 2024</w:t>
      </w:r>
      <w:bookmarkEnd w:id="552"/>
      <w:bookmarkEnd w:id="553"/>
    </w:p>
    <w:p w14:paraId="4711AB12" w14:textId="77777777" w:rsidR="000A0EB4" w:rsidRPr="00167CB8" w:rsidRDefault="000A0EB4" w:rsidP="007F380D">
      <w:pPr>
        <w:pStyle w:val="Caption"/>
      </w:pPr>
      <w:r w:rsidRPr="00167CB8">
        <w:rPr>
          <w:noProof/>
        </w:rPr>
        <w:drawing>
          <wp:inline distT="0" distB="0" distL="0" distR="0" wp14:anchorId="6EAA3EBE" wp14:editId="67E7B67C">
            <wp:extent cx="5731510" cy="3746500"/>
            <wp:effectExtent l="0" t="0" r="2540" b="6350"/>
            <wp:docPr id="740514662" name="Picture 1" descr="A line chart of trends in fixed term employment.&#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514662" name="Picture 1" descr="A line chart of trends in fixed term employment.&#10;&#10;See alt-text following the source."/>
                    <pic:cNvPicPr/>
                  </pic:nvPicPr>
                  <pic:blipFill>
                    <a:blip r:embed="rId39"/>
                    <a:stretch>
                      <a:fillRect/>
                    </a:stretch>
                  </pic:blipFill>
                  <pic:spPr>
                    <a:xfrm>
                      <a:off x="0" y="0"/>
                      <a:ext cx="5731510" cy="3746500"/>
                    </a:xfrm>
                    <a:prstGeom prst="rect">
                      <a:avLst/>
                    </a:prstGeom>
                  </pic:spPr>
                </pic:pic>
              </a:graphicData>
            </a:graphic>
          </wp:inline>
        </w:drawing>
      </w:r>
    </w:p>
    <w:p w14:paraId="42525E50" w14:textId="77777777" w:rsidR="0011475D" w:rsidRDefault="000A0EB4" w:rsidP="000A0EB4">
      <w:pPr>
        <w:pStyle w:val="Source"/>
      </w:pPr>
      <w:r w:rsidRPr="00167CB8">
        <w:rPr>
          <w:b/>
          <w:bCs/>
        </w:rPr>
        <w:t>Source:</w:t>
      </w:r>
      <w:r w:rsidRPr="00167CB8">
        <w:t xml:space="preserve"> ABS Working Arrangements, August 2024 (Cat No 6336.0, Table 6).</w:t>
      </w:r>
    </w:p>
    <w:p w14:paraId="2B096106" w14:textId="11C89C59" w:rsidR="000A0EB4" w:rsidRDefault="000A0EB4" w:rsidP="000A0EB4">
      <w:pPr>
        <w:spacing w:before="120" w:after="120"/>
        <w:rPr>
          <w:rFonts w:cs="Calibri"/>
          <w:sz w:val="20"/>
          <w:szCs w:val="20"/>
        </w:rPr>
      </w:pPr>
      <w:r w:rsidRPr="396ABCA7">
        <w:rPr>
          <w:rFonts w:cs="Calibri"/>
          <w:b/>
          <w:bCs/>
          <w:sz w:val="20"/>
          <w:szCs w:val="20"/>
        </w:rPr>
        <w:t>Alt-text:</w:t>
      </w:r>
      <w:r w:rsidRPr="396ABCA7">
        <w:rPr>
          <w:rFonts w:cs="Calibri"/>
          <w:sz w:val="20"/>
          <w:szCs w:val="20"/>
        </w:rPr>
        <w:t xml:space="preserve"> A line chart showing trends in the growth in fixed</w:t>
      </w:r>
      <w:r w:rsidR="00276697" w:rsidRPr="00276697">
        <w:rPr>
          <w:rFonts w:cs="Calibri"/>
          <w:sz w:val="20"/>
          <w:szCs w:val="20"/>
        </w:rPr>
        <w:t xml:space="preserve"> </w:t>
      </w:r>
      <w:r w:rsidRPr="396ABCA7">
        <w:rPr>
          <w:rFonts w:cs="Calibri"/>
          <w:sz w:val="20"/>
          <w:szCs w:val="20"/>
        </w:rPr>
        <w:t>term employment between 2014 and 2024 (indexed to 2014). Fixed</w:t>
      </w:r>
      <w:r w:rsidR="00276697" w:rsidRPr="00276697">
        <w:rPr>
          <w:rFonts w:cs="Calibri"/>
          <w:sz w:val="20"/>
          <w:szCs w:val="20"/>
        </w:rPr>
        <w:t xml:space="preserve"> </w:t>
      </w:r>
      <w:r w:rsidRPr="396ABCA7">
        <w:rPr>
          <w:rFonts w:cs="Calibri"/>
          <w:sz w:val="20"/>
          <w:szCs w:val="20"/>
        </w:rPr>
        <w:t>term employment grew by nearly 20% by 2020 among men and women employed full-time. There was a marked decline between 2022 and 2023 in the numbers of male part-time employees and female full-time employees engaged on fixed</w:t>
      </w:r>
      <w:r w:rsidR="00276697" w:rsidRPr="00276697">
        <w:rPr>
          <w:rFonts w:cs="Calibri"/>
          <w:sz w:val="20"/>
          <w:szCs w:val="20"/>
        </w:rPr>
        <w:t xml:space="preserve"> </w:t>
      </w:r>
      <w:r w:rsidRPr="396ABCA7">
        <w:rPr>
          <w:rFonts w:cs="Calibri"/>
          <w:sz w:val="20"/>
          <w:szCs w:val="20"/>
        </w:rPr>
        <w:t>term contracts. The use of fixed</w:t>
      </w:r>
      <w:r w:rsidR="00276697" w:rsidRPr="00276697">
        <w:rPr>
          <w:rFonts w:cs="Calibri"/>
          <w:sz w:val="20"/>
          <w:szCs w:val="20"/>
        </w:rPr>
        <w:t xml:space="preserve"> </w:t>
      </w:r>
      <w:r w:rsidRPr="396ABCA7">
        <w:rPr>
          <w:rFonts w:cs="Calibri"/>
          <w:sz w:val="20"/>
          <w:szCs w:val="20"/>
        </w:rPr>
        <w:t>term employment contracts resumed in 2024. By August 2024 the number of full-timers engaged on a fixed</w:t>
      </w:r>
      <w:r w:rsidR="00276697" w:rsidRPr="00276697">
        <w:rPr>
          <w:rFonts w:cs="Calibri"/>
          <w:sz w:val="20"/>
          <w:szCs w:val="20"/>
        </w:rPr>
        <w:t xml:space="preserve"> </w:t>
      </w:r>
      <w:r w:rsidRPr="396ABCA7">
        <w:rPr>
          <w:rFonts w:cs="Calibri"/>
          <w:sz w:val="20"/>
          <w:szCs w:val="20"/>
        </w:rPr>
        <w:t>term contract was nearly 50% higher than levels recorded in 2014.</w:t>
      </w:r>
    </w:p>
    <w:p w14:paraId="1E944306" w14:textId="77777777" w:rsidR="0037156F" w:rsidRPr="00167CB8" w:rsidRDefault="000A0EB4" w:rsidP="0037156F">
      <w:r>
        <w:t>Third, a</w:t>
      </w:r>
      <w:r w:rsidRPr="00167CB8">
        <w:t>nalysis of HILDA data (with the latest release being for 2023) shows some slightly different trends. Part of the explanation may be that the HILDA analysis is based on outcomes in a person’s main job. Estimates based on HILDA suggest that among those aged 21</w:t>
      </w:r>
      <w:r w:rsidRPr="00167CB8">
        <w:rPr>
          <w:rFonts w:ascii="Symbol" w:eastAsia="Symbol" w:hAnsi="Symbol" w:cs="Symbol"/>
        </w:rPr>
        <w:t>-</w:t>
      </w:r>
      <w:r w:rsidRPr="00167CB8">
        <w:t>64 around 10% of employees are engaged on a fixed</w:t>
      </w:r>
      <w:r w:rsidR="0037156F">
        <w:t xml:space="preserve"> </w:t>
      </w:r>
      <w:r w:rsidR="0037156F" w:rsidRPr="00167CB8">
        <w:t xml:space="preserve">term contract. </w:t>
      </w:r>
    </w:p>
    <w:p w14:paraId="38DBF84D" w14:textId="77777777" w:rsidR="0037156F" w:rsidRPr="00167CB8" w:rsidRDefault="0037156F" w:rsidP="0037156F">
      <w:r w:rsidRPr="396ABCA7">
        <w:t>Fixed</w:t>
      </w:r>
      <w:r>
        <w:t xml:space="preserve"> </w:t>
      </w:r>
      <w:r w:rsidRPr="396ABCA7">
        <w:t>term contracts are more common among professionals than other occupation groups and consistent with this a relatively high share (around 7.5% according to HILDA) are employees whose annual earnings exceed the high income threshold (meaning they are not covered by the Fair Work Act limitation).</w:t>
      </w:r>
    </w:p>
    <w:p w14:paraId="69D16182" w14:textId="77777777" w:rsidR="0037156F" w:rsidRPr="00167CB8" w:rsidRDefault="0037156F" w:rsidP="0037156F">
      <w:r w:rsidRPr="00167CB8">
        <w:t xml:space="preserve">Analysis of transition outcomes using HILDA data, done by comparing employment status over </w:t>
      </w:r>
      <w:r>
        <w:t>two</w:t>
      </w:r>
      <w:r w:rsidRPr="00167CB8">
        <w:t xml:space="preserve"> consecutive years, shows that around 44% of employees are on fixed</w:t>
      </w:r>
      <w:r>
        <w:t xml:space="preserve"> </w:t>
      </w:r>
      <w:r w:rsidRPr="00167CB8">
        <w:t xml:space="preserve">term contracts over </w:t>
      </w:r>
      <w:r>
        <w:t>two</w:t>
      </w:r>
      <w:r w:rsidRPr="00167CB8">
        <w:t xml:space="preserve"> consecutive years, around 49% transition from being on a fixed</w:t>
      </w:r>
      <w:r>
        <w:t xml:space="preserve"> </w:t>
      </w:r>
      <w:r w:rsidRPr="00167CB8">
        <w:t>term contract to being on a permanent contract and the balance (around 7%) transition from being on a fixed</w:t>
      </w:r>
      <w:r>
        <w:t xml:space="preserve"> </w:t>
      </w:r>
      <w:r w:rsidRPr="00167CB8">
        <w:t>term contract to being on a casual contract.</w:t>
      </w:r>
    </w:p>
    <w:p w14:paraId="2096B9A1" w14:textId="77777777" w:rsidR="0037156F" w:rsidRPr="00167CB8" w:rsidRDefault="0037156F" w:rsidP="0037156F">
      <w:r w:rsidRPr="00167CB8">
        <w:lastRenderedPageBreak/>
        <w:t xml:space="preserve">HILDA data also shows that in 2023 there was a small decline in the share who were on </w:t>
      </w:r>
      <w:r>
        <w:t xml:space="preserve">a </w:t>
      </w:r>
      <w:r w:rsidRPr="00167CB8">
        <w:t>fixed</w:t>
      </w:r>
      <w:r>
        <w:t xml:space="preserve"> </w:t>
      </w:r>
      <w:r w:rsidRPr="00167CB8">
        <w:t xml:space="preserve">term contract over </w:t>
      </w:r>
      <w:r>
        <w:t>two</w:t>
      </w:r>
      <w:r w:rsidRPr="00167CB8">
        <w:t xml:space="preserve"> consecutive years and a marginal increase in the shares moving from a fixed</w:t>
      </w:r>
      <w:r>
        <w:t xml:space="preserve"> </w:t>
      </w:r>
      <w:r w:rsidRPr="00167CB8">
        <w:t xml:space="preserve">term contract to a permanent contract. These trends are consistent with the intent of the </w:t>
      </w:r>
      <w:r w:rsidRPr="00167CB8">
        <w:rPr>
          <w:rFonts w:cstheme="minorHAnsi"/>
        </w:rPr>
        <w:t>Secure Jobs, Better Pay amendments</w:t>
      </w:r>
      <w:r w:rsidRPr="00167CB8">
        <w:t xml:space="preserve">, although the changes are not statistically significant. </w:t>
      </w:r>
    </w:p>
    <w:p w14:paraId="515C2390" w14:textId="77777777" w:rsidR="0037156F" w:rsidRPr="00167CB8" w:rsidRDefault="0037156F" w:rsidP="0037156F">
      <w:r w:rsidRPr="396ABCA7">
        <w:t>Regression analysis examining the characteristics of those who transition from being on a fixed</w:t>
      </w:r>
      <w:r>
        <w:t xml:space="preserve"> </w:t>
      </w:r>
      <w:r w:rsidRPr="396ABCA7">
        <w:t>term contract to a permanent contract shows that individuals are less likely to transition if they earn above the high income threshold, are more likely to transition if young, and are less likely to transition if older. Occupation analysis shows that the groups having the highest probability of transitioning from fixed to permanent are managers and professionals. Industry analysis shows that, relative to the education and training sector, employees in the mining sector have a greater likelihood of transitioning onto a permanent contract. In most other industries the probability of transitioning from a fixed to a permanent contract is lower. The exception is the health and community sector, where the transition probability is the same as that of the education and training sector.</w:t>
      </w:r>
      <w:r w:rsidRPr="396ABCA7">
        <w:rPr>
          <w:rStyle w:val="FootnoteReference"/>
        </w:rPr>
        <w:footnoteReference w:id="1126"/>
      </w:r>
    </w:p>
    <w:p w14:paraId="56CD2F7E" w14:textId="2E88BBEA" w:rsidR="0037156F" w:rsidRPr="00167CB8" w:rsidRDefault="0037156F" w:rsidP="0037156F">
      <w:r w:rsidRPr="396ABCA7">
        <w:t xml:space="preserve">An examination of the </w:t>
      </w:r>
      <w:r w:rsidR="003B4E36">
        <w:t>correlates o</w:t>
      </w:r>
      <w:r w:rsidRPr="396ABCA7">
        <w:t>f wages shows that</w:t>
      </w:r>
      <w:r w:rsidR="003B4E36">
        <w:t>, among men,</w:t>
      </w:r>
      <w:r w:rsidR="00E97371">
        <w:t xml:space="preserve"> those on fixed term contracts earn around 14% more than their counterparts on permanent contracts. Among women there is not statistical difference in</w:t>
      </w:r>
      <w:r w:rsidRPr="396ABCA7">
        <w:t xml:space="preserve"> the hourly wages of employees on fixed</w:t>
      </w:r>
      <w:r>
        <w:t xml:space="preserve"> </w:t>
      </w:r>
      <w:r w:rsidRPr="396ABCA7">
        <w:t>term contracts and those on permanent contracts</w:t>
      </w:r>
      <w:r w:rsidR="00E97371">
        <w:t>.</w:t>
      </w:r>
      <w:r w:rsidRPr="396ABCA7">
        <w:rPr>
          <w:rStyle w:val="FootnoteReference"/>
        </w:rPr>
        <w:footnoteReference w:id="1127"/>
      </w:r>
    </w:p>
    <w:p w14:paraId="18A3C8FF" w14:textId="77777777" w:rsidR="0037156F" w:rsidRPr="00167CB8" w:rsidRDefault="0037156F" w:rsidP="0037156F">
      <w:r w:rsidRPr="396ABCA7">
        <w:t>To summarise, available quantitative data</w:t>
      </w:r>
      <w:r>
        <w:t xml:space="preserve"> (as described above) </w:t>
      </w:r>
      <w:r w:rsidRPr="396ABCA7">
        <w:t>shows that the proportion of employees on fixed</w:t>
      </w:r>
      <w:r>
        <w:t xml:space="preserve"> </w:t>
      </w:r>
      <w:r w:rsidRPr="396ABCA7">
        <w:t xml:space="preserve">term contracts declined in 2023 following the passage of the Secure Jobs, Better Pay Act and significantly increased in 2024. There may be many explanations for this increase, including the anticipation of the limited additional exceptions (e.g. higher education, charities, public hospitals) coming to an end. </w:t>
      </w:r>
    </w:p>
    <w:p w14:paraId="5E629868" w14:textId="4E9DCF5B" w:rsidR="0037156F" w:rsidRPr="00167CB8" w:rsidRDefault="0037156F" w:rsidP="0037156F">
      <w:r>
        <w:t xml:space="preserve">More detailed </w:t>
      </w:r>
      <w:r w:rsidRPr="396ABCA7">
        <w:t>HILDA analysis shows no difference in transition outcomes from fixed</w:t>
      </w:r>
      <w:r>
        <w:t xml:space="preserve"> </w:t>
      </w:r>
      <w:r w:rsidRPr="396ABCA7">
        <w:t xml:space="preserve">term contracts after the passage of the Secure Jobs, Better Pay Act. </w:t>
      </w:r>
      <w:r w:rsidR="004F4424">
        <w:t>Among women, i</w:t>
      </w:r>
      <w:r w:rsidRPr="396ABCA7">
        <w:t>t also shows no difference in the earnings of employees on fixed</w:t>
      </w:r>
      <w:r>
        <w:t xml:space="preserve"> </w:t>
      </w:r>
      <w:r w:rsidRPr="396ABCA7">
        <w:t xml:space="preserve">term contracts vis-à-vis permanent contracts. However, this analysis </w:t>
      </w:r>
      <w:r w:rsidRPr="00785C12">
        <w:rPr>
          <w:b/>
          <w:bCs/>
        </w:rPr>
        <w:t>does not</w:t>
      </w:r>
      <w:r w:rsidRPr="396ABCA7">
        <w:t xml:space="preserve"> explore the job insecurity effects that come with being on a fixed</w:t>
      </w:r>
      <w:r>
        <w:t xml:space="preserve"> </w:t>
      </w:r>
      <w:r w:rsidRPr="396ABCA7">
        <w:t>term contract and not knowing whether contracts will actually be renewed or not. It similarly does not examine the effect of fixed</w:t>
      </w:r>
      <w:r>
        <w:t> </w:t>
      </w:r>
      <w:r w:rsidRPr="396ABCA7">
        <w:t>term employment on other matters, such as securing a mortgage and individual and household planning (e.g. around finances, children et</w:t>
      </w:r>
      <w:r>
        <w:t xml:space="preserve"> </w:t>
      </w:r>
      <w:r w:rsidRPr="396ABCA7">
        <w:t>c</w:t>
      </w:r>
      <w:r>
        <w:t>etera</w:t>
      </w:r>
      <w:r w:rsidRPr="396ABCA7">
        <w:t>).</w:t>
      </w:r>
    </w:p>
    <w:p w14:paraId="357B31A9" w14:textId="77777777" w:rsidR="000A0EB4" w:rsidRPr="0024147C" w:rsidRDefault="000A0EB4" w:rsidP="00543E41">
      <w:pPr>
        <w:pStyle w:val="Heading5"/>
      </w:pPr>
      <w:bookmarkStart w:id="554" w:name="_Toc188003422"/>
      <w:r w:rsidRPr="0024147C">
        <w:t>30.2.2 Qualitative evidence</w:t>
      </w:r>
      <w:bookmarkEnd w:id="554"/>
    </w:p>
    <w:p w14:paraId="7AF1ED44" w14:textId="77777777" w:rsidR="00972A56" w:rsidRPr="00167CB8" w:rsidRDefault="000A0EB4" w:rsidP="00972A56">
      <w:pPr>
        <w:rPr>
          <w:rFonts w:eastAsia="Aptos" w:cs="Aptos"/>
        </w:rPr>
      </w:pPr>
      <w:r w:rsidRPr="396ABCA7">
        <w:rPr>
          <w:rFonts w:eastAsia="Aptos" w:cs="Aptos"/>
        </w:rPr>
        <w:t>There is limited qualitative evidence on the operation of fixed</w:t>
      </w:r>
      <w:r w:rsidR="00972A56">
        <w:rPr>
          <w:rFonts w:eastAsia="Aptos" w:cs="Aptos"/>
        </w:rPr>
        <w:t xml:space="preserve"> </w:t>
      </w:r>
      <w:r w:rsidRPr="396ABCA7">
        <w:rPr>
          <w:rFonts w:eastAsia="Aptos" w:cs="Aptos"/>
        </w:rPr>
        <w:t>term contracts</w:t>
      </w:r>
      <w:r w:rsidRPr="396ABCA7" w:rsidDel="00652DB1">
        <w:rPr>
          <w:rFonts w:eastAsia="Aptos" w:cs="Aptos"/>
        </w:rPr>
        <w:t>.</w:t>
      </w:r>
      <w:r>
        <w:rPr>
          <w:rFonts w:eastAsia="Aptos" w:cs="Aptos"/>
        </w:rPr>
        <w:t xml:space="preserve"> The qualitative data that is available comes mostly from two industries: live performance and higher education, both of which have been engaged with the FWC.</w:t>
      </w:r>
    </w:p>
    <w:p w14:paraId="2E2840D7" w14:textId="77777777" w:rsidR="00972A56" w:rsidRPr="00167CB8" w:rsidRDefault="00972A56" w:rsidP="00972A56">
      <w:r>
        <w:t>First, t</w:t>
      </w:r>
      <w:r w:rsidRPr="00167CB8">
        <w:t>he rules for fixed</w:t>
      </w:r>
      <w:r>
        <w:t xml:space="preserve"> </w:t>
      </w:r>
      <w:r w:rsidRPr="00167CB8">
        <w:t>term contracts in the live performance industry are now set out in the Live Performance Award.</w:t>
      </w:r>
      <w:r w:rsidRPr="00167CB8">
        <w:rPr>
          <w:rStyle w:val="FootnoteReference"/>
        </w:rPr>
        <w:footnoteReference w:id="1128"/>
      </w:r>
      <w:r w:rsidRPr="00167CB8">
        <w:t xml:space="preserve"> The Review Panel notes that, consistent with the intended design of the Secure Jobs, Better Pay amendments, the live performance industry had a time-limited </w:t>
      </w:r>
      <w:r w:rsidRPr="00167CB8">
        <w:lastRenderedPageBreak/>
        <w:t>exception in the Fair Work Regulations (which expired on 1 November 2024) while they made updates to the award.</w:t>
      </w:r>
      <w:r w:rsidRPr="00167CB8">
        <w:rPr>
          <w:rStyle w:val="FootnoteReference"/>
        </w:rPr>
        <w:footnoteReference w:id="1129"/>
      </w:r>
      <w:r>
        <w:t xml:space="preserve"> </w:t>
      </w:r>
    </w:p>
    <w:p w14:paraId="594C4AC0" w14:textId="77777777" w:rsidR="00972A56" w:rsidRPr="00871D78" w:rsidRDefault="00972A56" w:rsidP="00972A56">
      <w:pPr>
        <w:rPr>
          <w:rFonts w:eastAsia="Aptos" w:cs="Aptos"/>
        </w:rPr>
      </w:pPr>
      <w:r>
        <w:rPr>
          <w:rFonts w:eastAsia="Aptos" w:cs="Aptos"/>
        </w:rPr>
        <w:t>Second, t</w:t>
      </w:r>
      <w:r w:rsidRPr="396ABCA7">
        <w:rPr>
          <w:rFonts w:eastAsia="Aptos" w:cs="Aptos"/>
        </w:rPr>
        <w:t>he Higher Education Industry – Academic Staff – Award 2020 and the Higher Education Industry – General Staff – Award 2020 (the HE Awards) permit fixed</w:t>
      </w:r>
      <w:r>
        <w:rPr>
          <w:rFonts w:eastAsia="Aptos" w:cs="Aptos"/>
        </w:rPr>
        <w:t xml:space="preserve"> </w:t>
      </w:r>
      <w:r w:rsidRPr="396ABCA7">
        <w:rPr>
          <w:rFonts w:eastAsia="Aptos" w:cs="Aptos"/>
        </w:rPr>
        <w:t xml:space="preserve">term employment in specific </w:t>
      </w:r>
      <w:r w:rsidRPr="00871D78">
        <w:rPr>
          <w:rFonts w:eastAsia="Aptos" w:cs="Aptos"/>
        </w:rPr>
        <w:t>circumstances (such as for replacement employees or pre-retirement contracts).</w:t>
      </w:r>
      <w:r w:rsidRPr="00871D78">
        <w:rPr>
          <w:rStyle w:val="FootnoteReference"/>
          <w:rFonts w:eastAsia="Aptos" w:cs="Aptos"/>
        </w:rPr>
        <w:footnoteReference w:id="1130"/>
      </w:r>
      <w:r w:rsidRPr="00871D78">
        <w:rPr>
          <w:rFonts w:eastAsia="Aptos" w:cs="Aptos"/>
        </w:rPr>
        <w:t xml:space="preserve"> As an outcome of the Modern Awards Review, on 30 September 2024, the FWC began proceedings to review the fixed term contract provisions as contained within the HE Awards</w:t>
      </w:r>
      <w:r w:rsidRPr="00871D78" w:rsidDel="00A5690B">
        <w:rPr>
          <w:rFonts w:eastAsia="Aptos" w:cs="Aptos"/>
        </w:rPr>
        <w:t>.</w:t>
      </w:r>
      <w:r w:rsidRPr="00871D78">
        <w:rPr>
          <w:rStyle w:val="FootnoteReference"/>
          <w:rFonts w:eastAsia="Aptos" w:cs="Aptos"/>
        </w:rPr>
        <w:footnoteReference w:id="1131"/>
      </w:r>
      <w:r w:rsidRPr="00871D78">
        <w:rPr>
          <w:rFonts w:eastAsia="Aptos" w:cs="Aptos"/>
        </w:rPr>
        <w:t xml:space="preserve"> In doing so, the FWC noted that the provisions ‘were developed against the backdrop of a different legislative scheme – one that did not regulate the use, extension and renewal of fixed term contracts’.</w:t>
      </w:r>
      <w:r w:rsidRPr="00871D78">
        <w:rPr>
          <w:rStyle w:val="FootnoteReference"/>
          <w:rFonts w:eastAsia="Aptos" w:cs="Aptos"/>
        </w:rPr>
        <w:footnoteReference w:id="1132"/>
      </w:r>
      <w:r w:rsidRPr="00871D78">
        <w:rPr>
          <w:rFonts w:eastAsia="Aptos" w:cs="Aptos"/>
        </w:rPr>
        <w:t xml:space="preserve"> The FWC has also noted some stakeholder views about the suitability of these provisions in light of the </w:t>
      </w:r>
      <w:r w:rsidRPr="00871D78">
        <w:t>Secure Jobs, Better Pay</w:t>
      </w:r>
      <w:r w:rsidRPr="00871D78">
        <w:rPr>
          <w:rFonts w:eastAsia="Aptos" w:cs="Aptos"/>
        </w:rPr>
        <w:t xml:space="preserve"> amendments.</w:t>
      </w:r>
      <w:r w:rsidRPr="00871D78">
        <w:rPr>
          <w:rStyle w:val="FootnoteReference"/>
          <w:rFonts w:eastAsia="Aptos" w:cs="Aptos"/>
        </w:rPr>
        <w:footnoteReference w:id="1133"/>
      </w:r>
    </w:p>
    <w:p w14:paraId="5EDC8F00" w14:textId="39978713" w:rsidR="00972A56" w:rsidRPr="00167CB8" w:rsidRDefault="00972A56" w:rsidP="00BA340A">
      <w:pPr>
        <w:rPr>
          <w:rFonts w:eastAsia="Aptos" w:cs="Aptos"/>
        </w:rPr>
      </w:pPr>
      <w:r w:rsidRPr="00871D78">
        <w:rPr>
          <w:rFonts w:eastAsia="Aptos" w:cs="Aptos"/>
        </w:rPr>
        <w:t>The FWC’s review considered whether any changes were necessary to ensure the HE Awards meet the modern awards objective to improve access to secure work across the economy.</w:t>
      </w:r>
      <w:r w:rsidRPr="00871D78">
        <w:rPr>
          <w:rStyle w:val="FootnoteReference"/>
          <w:rFonts w:eastAsia="Aptos" w:cs="Aptos"/>
        </w:rPr>
        <w:footnoteReference w:id="1134"/>
      </w:r>
      <w:r w:rsidRPr="00871D78">
        <w:t xml:space="preserve"> </w:t>
      </w:r>
      <w:r w:rsidRPr="00871D78">
        <w:rPr>
          <w:rFonts w:eastAsia="Aptos" w:cs="Aptos"/>
        </w:rPr>
        <w:t xml:space="preserve"> </w:t>
      </w:r>
      <w:r w:rsidRPr="00871D78">
        <w:t>On 14 February 2025, the FWC released a statement indicating that the parties had reached agreement on consent variations to the HE Awards to clarify that the modern awards exception in s 333F(1)(h) will only apply where the contract falls under the specific circumstances permitted in the HE Awards.</w:t>
      </w:r>
      <w:r w:rsidRPr="00871D78">
        <w:rPr>
          <w:rStyle w:val="FootnoteReference"/>
        </w:rPr>
        <w:footnoteReference w:id="1135"/>
      </w:r>
      <w:r w:rsidRPr="00871D78">
        <w:t xml:space="preserve"> </w:t>
      </w:r>
      <w:r w:rsidRPr="00871D78">
        <w:rPr>
          <w:rFonts w:eastAsia="Aptos" w:cs="Aptos"/>
        </w:rPr>
        <w:t>The Review Panel notes that this clarification could be considered as a potential targeted improvement to clarify the intended operation of the award exception in the Fair Work Act (see recommendation 18).</w:t>
      </w:r>
      <w:r w:rsidR="008F1D61">
        <w:rPr>
          <w:rFonts w:eastAsia="Aptos" w:cs="Aptos"/>
        </w:rPr>
        <w:t>23</w:t>
      </w:r>
    </w:p>
    <w:p w14:paraId="27AAF79B" w14:textId="77777777" w:rsidR="000A0EB4" w:rsidRPr="00BA340A" w:rsidRDefault="000A0EB4" w:rsidP="00652DB1">
      <w:pPr>
        <w:pStyle w:val="Heading5"/>
      </w:pPr>
      <w:bookmarkStart w:id="555" w:name="_Toc188003423"/>
      <w:r w:rsidRPr="00BA340A">
        <w:t>30.2.3 Stakeholder views</w:t>
      </w:r>
      <w:bookmarkEnd w:id="555"/>
    </w:p>
    <w:p w14:paraId="3A39EF12" w14:textId="77777777" w:rsidR="006E2334" w:rsidRPr="00167CB8" w:rsidRDefault="006E2334" w:rsidP="006E2334">
      <w:r w:rsidRPr="00167CB8">
        <w:t>The general view among employer associations was that the fixed</w:t>
      </w:r>
      <w:r>
        <w:t xml:space="preserve"> </w:t>
      </w:r>
      <w:r w:rsidRPr="00167CB8">
        <w:t xml:space="preserve">term contract amendments were an overly complex solution to the perceived problem. </w:t>
      </w:r>
    </w:p>
    <w:p w14:paraId="5B955E1A" w14:textId="77777777" w:rsidR="006E2334" w:rsidRPr="00167CB8" w:rsidRDefault="006E2334" w:rsidP="006E2334">
      <w:r w:rsidRPr="396ABCA7">
        <w:t>Employer associations have submitted that the amendments concerning fixed</w:t>
      </w:r>
      <w:r>
        <w:t xml:space="preserve"> </w:t>
      </w:r>
      <w:r w:rsidRPr="396ABCA7">
        <w:t>term contracts have created confusion and anxiety among employers. Employer associations almost unanimously described the processes for determining and applying exceptions as complex and challenging. The Review Panel heard that these amendments represent the most pressing issue on which members are seeking advice from employer associations.</w:t>
      </w:r>
    </w:p>
    <w:p w14:paraId="0C48001D" w14:textId="77777777" w:rsidR="006E2334" w:rsidRPr="00167CB8" w:rsidRDefault="006E2334" w:rsidP="006E2334">
      <w:r w:rsidRPr="396ABCA7">
        <w:t xml:space="preserve">For these stakeholders, this complexity is compounded by the introduction of the </w:t>
      </w:r>
      <w:r w:rsidRPr="396ABCA7">
        <w:rPr>
          <w:i/>
          <w:iCs/>
        </w:rPr>
        <w:t>Fair Work Legislation Amendment (Closing Loopholes No. 2) Act 2024</w:t>
      </w:r>
      <w:r w:rsidRPr="396ABCA7">
        <w:t>, which establishes a new pathway for casual employees to seek permanent employment after meeting qualifying criteria. The perception of some stakeholders is that these subsequent amendments have meant that moving fixed</w:t>
      </w:r>
      <w:r>
        <w:t> </w:t>
      </w:r>
      <w:r w:rsidRPr="396ABCA7">
        <w:t>term employees onto casual contracts is a limited option given the new casual permanency pathway.</w:t>
      </w:r>
    </w:p>
    <w:p w14:paraId="413904E5" w14:textId="77777777" w:rsidR="006E2334" w:rsidRPr="00167CB8" w:rsidRDefault="006E2334" w:rsidP="006E2334">
      <w:r w:rsidRPr="396ABCA7">
        <w:t xml:space="preserve">In summary, many employers remain uncertain about their obligations and the applicability of exceptions. For instance, while employees engaged in training arrangements (e.g. </w:t>
      </w:r>
      <w:r w:rsidRPr="396ABCA7">
        <w:lastRenderedPageBreak/>
        <w:t xml:space="preserve">apprenticeships) are exempt, there is a perceived ambiguity or gap about whether this exception extends to employees in graduate programs or students on internships. Some industries are struggling to adapt their operations and budgeting practices to accommodate a shift towards employing more staff in ongoing roles. Employers have also reported that, in response to the changes, some employers are employing fewer workers or factoring potential redundancy costs into their financial planning </w:t>
      </w:r>
      <w:r w:rsidRPr="396ABCA7">
        <w:rPr>
          <w:rFonts w:ascii="Symbol" w:eastAsia="Symbol" w:hAnsi="Symbol" w:cs="Symbol"/>
        </w:rPr>
        <w:t>-</w:t>
      </w:r>
      <w:r w:rsidRPr="396ABCA7">
        <w:t xml:space="preserve"> particularly when applying for government funding.</w:t>
      </w:r>
    </w:p>
    <w:p w14:paraId="437D8D0C" w14:textId="77777777" w:rsidR="006E2334" w:rsidRPr="00167CB8" w:rsidRDefault="006E2334" w:rsidP="006E2334">
      <w:r w:rsidRPr="00167CB8">
        <w:t>The Review Panel notes that the Fair Work Act has included indirect limitations on fixed</w:t>
      </w:r>
      <w:r>
        <w:t xml:space="preserve"> </w:t>
      </w:r>
      <w:r w:rsidRPr="00167CB8">
        <w:t>term contacts since its commencement, and conditions in the National Employment Standards made clear that fixed</w:t>
      </w:r>
      <w:r>
        <w:t xml:space="preserve"> </w:t>
      </w:r>
      <w:r w:rsidRPr="00167CB8">
        <w:t>term contracts could not be used to avoid redundancy payments well before the Secure Jobs, Better Pay amendments (whether or not this was well understood by employers).</w:t>
      </w:r>
      <w:r w:rsidRPr="00167CB8">
        <w:rPr>
          <w:rStyle w:val="FootnoteReference"/>
        </w:rPr>
        <w:footnoteReference w:id="1136"/>
      </w:r>
    </w:p>
    <w:p w14:paraId="4298E69E" w14:textId="77777777" w:rsidR="006E2334" w:rsidRPr="00167CB8" w:rsidRDefault="006E2334" w:rsidP="006E2334">
      <w:r w:rsidRPr="00167CB8">
        <w:t>Unions, on the other hand, report a mixed experience. Overall, unions have noted a growing use of fixed</w:t>
      </w:r>
      <w:r>
        <w:t xml:space="preserve"> </w:t>
      </w:r>
      <w:r w:rsidRPr="00167CB8">
        <w:t>term contracts in several industries, most notably the higher education sector. They voiced concerns that some employers are using fixed</w:t>
      </w:r>
      <w:r>
        <w:t xml:space="preserve"> </w:t>
      </w:r>
      <w:r w:rsidRPr="00167CB8">
        <w:t xml:space="preserve">term contracts as an alternative to engaging in long-term workforce planning. </w:t>
      </w:r>
    </w:p>
    <w:p w14:paraId="7ED40C64" w14:textId="77777777" w:rsidR="006E2334" w:rsidRPr="00167CB8" w:rsidRDefault="006E2334" w:rsidP="006E2334">
      <w:r w:rsidRPr="396ABCA7">
        <w:t>However, the Independent Education Union has indicated that the Secure Jobs, Better Pay amendments were having an effect and limiting the use of fixed</w:t>
      </w:r>
      <w:r>
        <w:t xml:space="preserve"> </w:t>
      </w:r>
      <w:r w:rsidRPr="396ABCA7">
        <w:t>term contracts:</w:t>
      </w:r>
      <w:r w:rsidRPr="396ABCA7">
        <w:rPr>
          <w:rStyle w:val="FootnoteReference"/>
        </w:rPr>
        <w:footnoteReference w:id="1137"/>
      </w:r>
    </w:p>
    <w:p w14:paraId="27EC6618" w14:textId="77E6C97F" w:rsidR="006E2334" w:rsidRPr="00A55C72" w:rsidRDefault="006E2334" w:rsidP="002C16CD">
      <w:pPr>
        <w:pStyle w:val="Quote"/>
      </w:pPr>
      <w:r w:rsidRPr="006E2334">
        <w:rPr>
          <w:iCs w:val="0"/>
        </w:rPr>
        <w:t>Branches report that a significant number of employees have [have] had their contracts of employment varied from temporary to on-going. We estimate this number to be not less than 5000 nationally. There has been a similarly sharp reduction in the number of new employees commencing on fixed term contracts.</w:t>
      </w:r>
    </w:p>
    <w:p w14:paraId="331573AC" w14:textId="77777777" w:rsidR="006E2334" w:rsidRPr="004E13B3" w:rsidRDefault="006E2334" w:rsidP="006E2334">
      <w:r w:rsidRPr="00167CB8">
        <w:t xml:space="preserve">The Australian Services Union </w:t>
      </w:r>
      <w:r>
        <w:t xml:space="preserve">(ASU) </w:t>
      </w:r>
      <w:r w:rsidRPr="00167CB8">
        <w:t xml:space="preserve">submitted that the exceptions granted to charities and government meant that many of </w:t>
      </w:r>
      <w:r>
        <w:t>its</w:t>
      </w:r>
      <w:r w:rsidRPr="00167CB8">
        <w:t xml:space="preserve"> members were excluded. The ASU regarded this as unnecessary. It was </w:t>
      </w:r>
      <w:r w:rsidRPr="004E13B3">
        <w:t>suggested that the root problem lay in the procurement processes of government and associated funding cycles. Concerns were also raised with other exceptions.</w:t>
      </w:r>
    </w:p>
    <w:p w14:paraId="590355DD" w14:textId="77777777" w:rsidR="006E2334" w:rsidRPr="004E13B3" w:rsidRDefault="006E2334" w:rsidP="006E2334">
      <w:r w:rsidRPr="004E13B3">
        <w:t>Along with the challenges of providing job security to staff delivering projects based on limited funding contracts, the Working Women’s Centre Australia also noted associated issues with government funding, including the lack of flexibility to manage other economic changes (like inflation and wage increases).</w:t>
      </w:r>
    </w:p>
    <w:p w14:paraId="7001EAF4" w14:textId="77777777" w:rsidR="006E2334" w:rsidRPr="004E13B3" w:rsidRDefault="006E2334" w:rsidP="006E2334">
      <w:r w:rsidRPr="004E13B3">
        <w:t>The higher education sector, as noted, has the largest share of fixed</w:t>
      </w:r>
      <w:r>
        <w:t xml:space="preserve"> </w:t>
      </w:r>
      <w:r w:rsidRPr="004E13B3">
        <w:t xml:space="preserve">term contracts, and debate has ensued in the sector about the proper construction of ss 333E and 333F in the Act. </w:t>
      </w:r>
    </w:p>
    <w:p w14:paraId="149F9385" w14:textId="77777777" w:rsidR="006E2334" w:rsidRPr="004E13B3" w:rsidRDefault="006E2334" w:rsidP="006E2334">
      <w:r w:rsidRPr="004E13B3">
        <w:t>As part of the job security stream of the Modern Awards Review 2023</w:t>
      </w:r>
      <w:r w:rsidRPr="004E13B3">
        <w:rPr>
          <w:rFonts w:ascii="Symbol" w:eastAsia="Symbol" w:hAnsi="Symbol" w:cs="Symbol"/>
        </w:rPr>
        <w:t>-</w:t>
      </w:r>
      <w:r w:rsidRPr="004E13B3">
        <w:t>24, the National Tertiary Education Union submitted that the general limitation on fixed</w:t>
      </w:r>
      <w:r>
        <w:t xml:space="preserve"> </w:t>
      </w:r>
      <w:r w:rsidRPr="004E13B3">
        <w:t>term contracts does not apply to employees working under the HE Awards because of the exception where a modern award applies to an employee and the modern award permits a fixed</w:t>
      </w:r>
      <w:r>
        <w:t xml:space="preserve"> </w:t>
      </w:r>
      <w:r w:rsidRPr="004E13B3">
        <w:t xml:space="preserve">term contract greater than </w:t>
      </w:r>
      <w:r>
        <w:t>two</w:t>
      </w:r>
      <w:r w:rsidRPr="004E13B3">
        <w:t xml:space="preserve"> years. </w:t>
      </w:r>
      <w:r w:rsidRPr="004E13B3" w:rsidDel="00DF4841">
        <w:t>The Review Panel understands</w:t>
      </w:r>
      <w:r w:rsidRPr="004E13B3">
        <w:t xml:space="preserve"> the FWC clarified the interpretation of </w:t>
      </w:r>
      <w:r w:rsidRPr="004E13B3" w:rsidDel="00DF4841">
        <w:t>the</w:t>
      </w:r>
      <w:r w:rsidRPr="004E13B3">
        <w:t xml:space="preserve"> relevant provisions in the context of its review of the HE Awards.</w:t>
      </w:r>
    </w:p>
    <w:p w14:paraId="48EB18FA" w14:textId="77777777" w:rsidR="006E2334" w:rsidRPr="004E13B3" w:rsidRDefault="006E2334" w:rsidP="006E2334">
      <w:r w:rsidRPr="004E13B3">
        <w:lastRenderedPageBreak/>
        <w:t xml:space="preserve">The National Tertiary Education Union submitted to </w:t>
      </w:r>
      <w:r>
        <w:t xml:space="preserve">the </w:t>
      </w:r>
      <w:r w:rsidRPr="004E13B3">
        <w:t>FWC that ‘the higher education sector has moved from having the greatest level of restriction on the use of fixed</w:t>
      </w:r>
      <w:r>
        <w:t xml:space="preserve"> </w:t>
      </w:r>
      <w:r w:rsidRPr="004E13B3">
        <w:t>term employment to being far more permissive than the rest of the economy which is subject to the restrictions contained in s 333E’.</w:t>
      </w:r>
      <w:r w:rsidRPr="004E13B3">
        <w:rPr>
          <w:rStyle w:val="FootnoteReference"/>
        </w:rPr>
        <w:footnoteReference w:id="1138"/>
      </w:r>
      <w:r w:rsidRPr="004E13B3">
        <w:rPr>
          <w:rStyle w:val="FootnoteReference"/>
        </w:rPr>
        <w:t xml:space="preserve"> </w:t>
      </w:r>
      <w:r w:rsidRPr="004E13B3">
        <w:t>It submitted that the HE Awards do not meet the modern awards objective to improve access to secure work across the economy.</w:t>
      </w:r>
      <w:r w:rsidRPr="004E13B3">
        <w:rPr>
          <w:rStyle w:val="FootnoteReference"/>
        </w:rPr>
        <w:footnoteReference w:id="1139"/>
      </w:r>
      <w:r w:rsidRPr="004E13B3">
        <w:t xml:space="preserve"> </w:t>
      </w:r>
    </w:p>
    <w:p w14:paraId="7E2A097B" w14:textId="77777777" w:rsidR="006E2334" w:rsidRPr="004E13B3" w:rsidRDefault="006E2334" w:rsidP="006E2334">
      <w:r w:rsidRPr="004E13B3">
        <w:t>The Australian Higher Education Industrial Association, however, submitted to</w:t>
      </w:r>
      <w:r>
        <w:t xml:space="preserve"> the</w:t>
      </w:r>
      <w:r w:rsidRPr="004E13B3">
        <w:t xml:space="preserve"> FWC that employees on fixed</w:t>
      </w:r>
      <w:r>
        <w:t xml:space="preserve"> </w:t>
      </w:r>
      <w:r w:rsidRPr="004E13B3">
        <w:t>term contracts have the same pay and entitlements as permanent employees in the higher education sector.</w:t>
      </w:r>
      <w:r w:rsidRPr="004E13B3">
        <w:rPr>
          <w:rStyle w:val="FootnoteReference"/>
        </w:rPr>
        <w:footnoteReference w:id="1140"/>
      </w:r>
      <w:r w:rsidRPr="004E13B3">
        <w:t xml:space="preserve"> They also submitted that the </w:t>
      </w:r>
      <w:r w:rsidRPr="004E13B3">
        <w:rPr>
          <w:rFonts w:cstheme="minorHAnsi"/>
        </w:rPr>
        <w:t>Secure Jobs, Better Pay</w:t>
      </w:r>
      <w:r w:rsidRPr="004E13B3">
        <w:t xml:space="preserve"> amendments warranted a review of the arrangements in the HE Awards.</w:t>
      </w:r>
      <w:r w:rsidRPr="004E13B3">
        <w:rPr>
          <w:rStyle w:val="FootnoteReference"/>
        </w:rPr>
        <w:footnoteReference w:id="1141"/>
      </w:r>
      <w:r w:rsidRPr="004E13B3">
        <w:t xml:space="preserve"> Again, the Review Panel understands these matters were considered in the FWC’s review of the HE Awards.</w:t>
      </w:r>
    </w:p>
    <w:p w14:paraId="45E51F9B" w14:textId="6A184AE3" w:rsidR="000A0EB4" w:rsidRPr="004E13B3" w:rsidRDefault="000A0EB4" w:rsidP="000A0EB4">
      <w:r w:rsidRPr="004E13B3">
        <w:t>The Review Panel consulted about alternative approaches to limiting the use of fixed</w:t>
      </w:r>
      <w:r w:rsidR="00BD17C3">
        <w:t xml:space="preserve"> </w:t>
      </w:r>
      <w:r w:rsidRPr="004E13B3">
        <w:t>term contracts. To support engagement, the Review Panel</w:t>
      </w:r>
      <w:r>
        <w:t>’s draft report</w:t>
      </w:r>
      <w:r w:rsidRPr="004E13B3">
        <w:t xml:space="preserve"> proposed two potential options to amend the existing framework</w:t>
      </w:r>
      <w:r w:rsidR="00F96950">
        <w:t xml:space="preserve"> to either</w:t>
      </w:r>
      <w:r w:rsidRPr="004E13B3">
        <w:t>:</w:t>
      </w:r>
    </w:p>
    <w:p w14:paraId="6DDBC0B7" w14:textId="00B91702" w:rsidR="0011475D" w:rsidRDefault="000A0EB4" w:rsidP="00D675C5">
      <w:pPr>
        <w:pStyle w:val="ListBullet"/>
        <w:numPr>
          <w:ilvl w:val="0"/>
          <w:numId w:val="4"/>
        </w:numPr>
      </w:pPr>
      <w:r w:rsidRPr="004E13B3">
        <w:t>make the limitation and current exceptions more readily applicable in practice (</w:t>
      </w:r>
      <w:r w:rsidR="00F96950">
        <w:t xml:space="preserve">e.g. </w:t>
      </w:r>
      <w:r w:rsidRPr="004E13B3">
        <w:t>by increasing the years/renewals threshold or clarifying the Australian Government funding exception), or</w:t>
      </w:r>
    </w:p>
    <w:p w14:paraId="365ED060" w14:textId="3D7D7E2A" w:rsidR="0011475D" w:rsidRDefault="000A0EB4" w:rsidP="00D675C5">
      <w:pPr>
        <w:pStyle w:val="ListBullet"/>
        <w:numPr>
          <w:ilvl w:val="0"/>
          <w:numId w:val="4"/>
        </w:numPr>
      </w:pPr>
      <w:r w:rsidRPr="004E13B3">
        <w:t>introduce a principles-based framework into the Fair Work Act with specific limitations and exemptions primarily determined through the FWC (noting that further consideration would need to be given to technical aspects of implementation</w:t>
      </w:r>
      <w:r w:rsidR="00F96950">
        <w:t>,</w:t>
      </w:r>
      <w:r w:rsidRPr="004E13B3">
        <w:t xml:space="preserve"> including application to award/agreement</w:t>
      </w:r>
      <w:r w:rsidR="00F96950">
        <w:t>-</w:t>
      </w:r>
      <w:r w:rsidRPr="004E13B3">
        <w:t>free employees).</w:t>
      </w:r>
    </w:p>
    <w:p w14:paraId="7659D778" w14:textId="77777777" w:rsidR="00A273EA" w:rsidRPr="004E13B3" w:rsidRDefault="000A0EB4" w:rsidP="00A273EA">
      <w:r w:rsidRPr="004E13B3">
        <w:t>A significant number of stakeholders responded to these proposed options, with several employer representatives reiterating their concerns about the complexity of the framework and their preference for repealing the Fair Work Act limitation entirely.</w:t>
      </w:r>
      <w:r w:rsidRPr="004E13B3" w:rsidDel="00F96950">
        <w:rPr>
          <w:rStyle w:val="FootnoteReference"/>
        </w:rPr>
        <w:t xml:space="preserve"> </w:t>
      </w:r>
      <w:r w:rsidRPr="004E13B3">
        <w:rPr>
          <w:rStyle w:val="FootnoteReference"/>
        </w:rPr>
        <w:footnoteReference w:id="1142"/>
      </w:r>
      <w:r w:rsidRPr="004E13B3">
        <w:t xml:space="preserve"> Stakeholders were somewhat supportive of the first option to reconsider and amend the existing framework for limiting fixed</w:t>
      </w:r>
      <w:r w:rsidRPr="004E13B3" w:rsidDel="00F96950">
        <w:t xml:space="preserve"> </w:t>
      </w:r>
      <w:r w:rsidRPr="004E13B3">
        <w:t>term contracts to be clearer and more readily applicable in practice. Stakeholders held divergent views on what amendments were desirable to the existing framework. Only two stakeholders (the Electrical Trades Union and the Australian Nursing and Midwifery Federation) opposed this option, asserting that it would potentially reduce protections for workers.</w:t>
      </w:r>
    </w:p>
    <w:p w14:paraId="6FAC0CE7" w14:textId="77777777" w:rsidR="00A273EA" w:rsidRPr="004E13B3" w:rsidRDefault="00A273EA" w:rsidP="00A273EA">
      <w:r w:rsidRPr="004E13B3">
        <w:t>Several stakeholders expressed concern about the second option (or any other alternative model)</w:t>
      </w:r>
      <w:r>
        <w:t>,</w:t>
      </w:r>
      <w:r w:rsidRPr="004E13B3">
        <w:t xml:space="preserve"> asserting that it would create more complexity and ambiguity.</w:t>
      </w:r>
      <w:r w:rsidRPr="004E13B3">
        <w:rPr>
          <w:rStyle w:val="FootnoteReference"/>
        </w:rPr>
        <w:footnoteReference w:id="1143"/>
      </w:r>
      <w:r w:rsidRPr="004E13B3">
        <w:t xml:space="preserve">  </w:t>
      </w:r>
    </w:p>
    <w:p w14:paraId="3677F2EE" w14:textId="77777777" w:rsidR="00A273EA" w:rsidRPr="004E13B3" w:rsidRDefault="00A273EA" w:rsidP="00A273EA">
      <w:r w:rsidRPr="004E13B3">
        <w:t xml:space="preserve">Some stakeholders did propose alternative approaches for consideration. Ai Group considered that limitations should be targeted to </w:t>
      </w:r>
      <w:r>
        <w:t>‘</w:t>
      </w:r>
      <w:r w:rsidRPr="004E13B3">
        <w:t>areas of demonstrated misuse</w:t>
      </w:r>
      <w:r>
        <w:t>’</w:t>
      </w:r>
      <w:r w:rsidRPr="004E13B3">
        <w:t xml:space="preserve"> and suggested that only </w:t>
      </w:r>
      <w:r w:rsidRPr="004E13B3">
        <w:lastRenderedPageBreak/>
        <w:t>award-covered employment be regulated.</w:t>
      </w:r>
      <w:r w:rsidRPr="004E13B3">
        <w:rPr>
          <w:rStyle w:val="FootnoteReference"/>
        </w:rPr>
        <w:footnoteReference w:id="1144"/>
      </w:r>
      <w:r w:rsidRPr="004E13B3">
        <w:t xml:space="preserve"> Ai Group also proposed a role for the FWC in determining and applying specific exceptions.</w:t>
      </w:r>
      <w:r w:rsidRPr="004E13B3">
        <w:rPr>
          <w:rStyle w:val="FootnoteReference"/>
        </w:rPr>
        <w:footnoteReference w:id="1145"/>
      </w:r>
      <w:r w:rsidRPr="004E13B3">
        <w:t xml:space="preserve"> The Electrical Trades Union also proposed that a future review (with additional data) should consider reducing the list of exceptions and providing employees on fixed term contracts with a pathway to permanency.</w:t>
      </w:r>
      <w:r w:rsidRPr="004E13B3">
        <w:rPr>
          <w:rStyle w:val="FootnoteReference"/>
        </w:rPr>
        <w:footnoteReference w:id="1146"/>
      </w:r>
      <w:r w:rsidRPr="004E13B3">
        <w:t xml:space="preserve"> </w:t>
      </w:r>
    </w:p>
    <w:p w14:paraId="32AF556D" w14:textId="77777777" w:rsidR="00A273EA" w:rsidRPr="004E13B3" w:rsidRDefault="00A273EA" w:rsidP="00A273EA">
      <w:r w:rsidRPr="004E13B3">
        <w:t>Reiterating that the exceptions are too complex (and either too broad or too restrictive), employee and employer representatives proposed amendments to make them easier to apply in practice.</w:t>
      </w:r>
      <w:r w:rsidRPr="004E13B3">
        <w:rPr>
          <w:rStyle w:val="FootnoteReference"/>
        </w:rPr>
        <w:footnoteReference w:id="1147"/>
      </w:r>
      <w:r w:rsidRPr="004E13B3">
        <w:t xml:space="preserve"> </w:t>
      </w:r>
    </w:p>
    <w:p w14:paraId="0B6CFC96" w14:textId="77777777" w:rsidR="00A273EA" w:rsidRPr="004E13B3" w:rsidRDefault="00A273EA" w:rsidP="00A273EA">
      <w:r w:rsidRPr="004E13B3">
        <w:t>Several stakeholders proposed amending the government funding exception so that it applies even where there is no commitment that the funding will be renewed. Some also call for this exception to be expanded to include philanthropic funding.</w:t>
      </w:r>
      <w:r w:rsidRPr="004E13B3">
        <w:rPr>
          <w:rStyle w:val="FootnoteReference"/>
        </w:rPr>
        <w:footnoteReference w:id="1148"/>
      </w:r>
    </w:p>
    <w:p w14:paraId="6F22ACA1" w14:textId="77777777" w:rsidR="00A273EA" w:rsidRPr="004E13B3" w:rsidRDefault="00A273EA" w:rsidP="00A273EA">
      <w:r w:rsidRPr="004E13B3">
        <w:t xml:space="preserve">Consistent with their initial submissions, the Australian Council of Trade Unions, the Australian Nursing and Midwifery Foundation and the </w:t>
      </w:r>
      <w:r>
        <w:t xml:space="preserve">ASU </w:t>
      </w:r>
      <w:r w:rsidRPr="004E13B3">
        <w:t>noted that several of the sectors exempt from the limitation rely on government funding and called for change beyond the workplace relations framework to ensure appropriate federal funding arrangements to address employer concerns about financial sustainability.</w:t>
      </w:r>
      <w:r w:rsidRPr="004E13B3">
        <w:rPr>
          <w:rStyle w:val="FootnoteReference"/>
        </w:rPr>
        <w:footnoteReference w:id="1149"/>
      </w:r>
    </w:p>
    <w:p w14:paraId="204587CA" w14:textId="77777777" w:rsidR="00A273EA" w:rsidRPr="004E13B3" w:rsidRDefault="00A273EA" w:rsidP="00A273EA">
      <w:r w:rsidRPr="004E13B3">
        <w:t>Some stakeholders also want the temporary organised and high</w:t>
      </w:r>
      <w:r>
        <w:t>-</w:t>
      </w:r>
      <w:r w:rsidRPr="004E13B3">
        <w:t>performance sport</w:t>
      </w:r>
      <w:r w:rsidRPr="004E13B3">
        <w:rPr>
          <w:rStyle w:val="FootnoteReference"/>
        </w:rPr>
        <w:footnoteReference w:id="1150"/>
      </w:r>
      <w:r w:rsidRPr="004E13B3">
        <w:t xml:space="preserve"> and charities exceptions to be permanent.</w:t>
      </w:r>
      <w:r w:rsidRPr="004E13B3">
        <w:rPr>
          <w:rStyle w:val="FootnoteReference"/>
        </w:rPr>
        <w:footnoteReference w:id="1151"/>
      </w:r>
    </w:p>
    <w:p w14:paraId="2677080E" w14:textId="77777777" w:rsidR="00A273EA" w:rsidRPr="004E13B3" w:rsidRDefault="00A273EA" w:rsidP="00A273EA">
      <w:r w:rsidRPr="004E13B3">
        <w:t>Stakeholders proposed other exceptions that relate to temporary visas (</w:t>
      </w:r>
      <w:r>
        <w:t xml:space="preserve">three to five </w:t>
      </w:r>
      <w:r w:rsidRPr="004E13B3">
        <w:t>years),</w:t>
      </w:r>
      <w:r w:rsidRPr="004E13B3">
        <w:rPr>
          <w:rStyle w:val="FootnoteReference"/>
        </w:rPr>
        <w:footnoteReference w:id="1152"/>
      </w:r>
      <w:r w:rsidRPr="004E13B3">
        <w:t xml:space="preserve"> one-off project-specific work (such as the Brisbane 2032 Olympic Games)</w:t>
      </w:r>
      <w:r w:rsidRPr="0009075D">
        <w:t xml:space="preserve"> </w:t>
      </w:r>
      <w:r w:rsidRPr="004E13B3">
        <w:t>,</w:t>
      </w:r>
      <w:r w:rsidRPr="004E13B3">
        <w:rPr>
          <w:rStyle w:val="FootnoteReference"/>
        </w:rPr>
        <w:footnoteReference w:id="1153"/>
      </w:r>
      <w:r w:rsidRPr="004E13B3">
        <w:t xml:space="preserve"> a primary purpose of artistic or professional development,</w:t>
      </w:r>
      <w:r w:rsidRPr="004E13B3">
        <w:rPr>
          <w:rStyle w:val="FootnoteReference"/>
        </w:rPr>
        <w:footnoteReference w:id="1154"/>
      </w:r>
      <w:r w:rsidRPr="004E13B3">
        <w:t xml:space="preserve"> on-hire placements as an activity,</w:t>
      </w:r>
      <w:r w:rsidRPr="004E13B3">
        <w:rPr>
          <w:rStyle w:val="FootnoteReference"/>
        </w:rPr>
        <w:footnoteReference w:id="1155"/>
      </w:r>
      <w:r w:rsidRPr="004E13B3">
        <w:t xml:space="preserve"> sectors including the resources sector,</w:t>
      </w:r>
      <w:r w:rsidRPr="004E13B3">
        <w:rPr>
          <w:rStyle w:val="FootnoteReference"/>
        </w:rPr>
        <w:footnoteReference w:id="1156"/>
      </w:r>
      <w:r w:rsidRPr="004E13B3">
        <w:t xml:space="preserve"> industries with significant fluctuations in demand like the retail industry,</w:t>
      </w:r>
      <w:r w:rsidRPr="004E13B3">
        <w:rPr>
          <w:rStyle w:val="FootnoteReference"/>
        </w:rPr>
        <w:footnoteReference w:id="1157"/>
      </w:r>
      <w:r w:rsidRPr="004E13B3">
        <w:t xml:space="preserve"> and the post-production, digital and visual effects sector.</w:t>
      </w:r>
      <w:r w:rsidRPr="004E13B3">
        <w:rPr>
          <w:rStyle w:val="FootnoteReference"/>
        </w:rPr>
        <w:footnoteReference w:id="1158"/>
      </w:r>
    </w:p>
    <w:p w14:paraId="3F7CD95A" w14:textId="77777777" w:rsidR="00A273EA" w:rsidRPr="004E13B3" w:rsidRDefault="00A273EA" w:rsidP="00A273EA">
      <w:pPr>
        <w:rPr>
          <w:rStyle w:val="FootnoteReference"/>
        </w:rPr>
      </w:pPr>
      <w:r w:rsidRPr="004E13B3">
        <w:t>Some unions also suggested amendments to exceptions</w:t>
      </w:r>
      <w:r>
        <w:t>,</w:t>
      </w:r>
      <w:r w:rsidRPr="004E13B3">
        <w:t xml:space="preserve"> including making the specialised skills exception time-limited and only if the employer does not engage staff with the same skills, </w:t>
      </w:r>
      <w:r w:rsidRPr="004E13B3">
        <w:lastRenderedPageBreak/>
        <w:t>confining the training arrangement exception to an apprentice or trainee under a formal training arrangement, and removing the peak period and emergency circumstances exceptions</w:t>
      </w:r>
      <w:r>
        <w:t>.</w:t>
      </w:r>
      <w:r w:rsidRPr="004E13B3">
        <w:rPr>
          <w:rStyle w:val="FootnoteReference"/>
        </w:rPr>
        <w:footnoteReference w:id="1159"/>
      </w:r>
    </w:p>
    <w:p w14:paraId="33AB2A7D" w14:textId="77777777" w:rsidR="00A273EA" w:rsidRPr="004E13B3" w:rsidRDefault="00A273EA" w:rsidP="00A273EA">
      <w:r w:rsidRPr="004E13B3">
        <w:t>In response to the Review Panel’s proposed options there were mixed views on whether changes to the thresholds of two years and two renewals might be appropriate.</w:t>
      </w:r>
    </w:p>
    <w:p w14:paraId="4889BA40" w14:textId="77777777" w:rsidR="00A273EA" w:rsidRPr="004E13B3" w:rsidRDefault="00A273EA" w:rsidP="00A273EA">
      <w:r w:rsidRPr="004E13B3">
        <w:t>Employer representatives generally supported an increase in the threshold beyond two years</w:t>
      </w:r>
      <w:r>
        <w:t>,</w:t>
      </w:r>
      <w:r w:rsidRPr="004E13B3">
        <w:t xml:space="preserve"> with various lengths proposed of at least three years.</w:t>
      </w:r>
      <w:r w:rsidRPr="004E13B3">
        <w:rPr>
          <w:rStyle w:val="FootnoteReference"/>
        </w:rPr>
        <w:footnoteReference w:id="1160"/>
      </w:r>
      <w:r w:rsidRPr="004E13B3">
        <w:t xml:space="preserve"> The Australian Retailers Association proposed that, with the employees’ consent, fixed</w:t>
      </w:r>
      <w:r>
        <w:t xml:space="preserve"> </w:t>
      </w:r>
      <w:r w:rsidRPr="004E13B3">
        <w:t>term contracts should be able to be renewed beyond two years.</w:t>
      </w:r>
      <w:r w:rsidRPr="004E13B3">
        <w:rPr>
          <w:rStyle w:val="FootnoteReference"/>
        </w:rPr>
        <w:footnoteReference w:id="1161"/>
      </w:r>
      <w:r w:rsidRPr="004E13B3">
        <w:t xml:space="preserve"> Ai Group suggested limiting the length of the contract only and not limiting the number of renewals.</w:t>
      </w:r>
      <w:r w:rsidRPr="004E13B3">
        <w:rPr>
          <w:rStyle w:val="FootnoteReference"/>
        </w:rPr>
        <w:footnoteReference w:id="1162"/>
      </w:r>
      <w:r w:rsidRPr="004E13B3">
        <w:rPr>
          <w:rStyle w:val="FootnoteReference"/>
        </w:rPr>
        <w:t xml:space="preserve"> </w:t>
      </w:r>
      <w:r w:rsidRPr="004E13B3">
        <w:t xml:space="preserve"> </w:t>
      </w:r>
    </w:p>
    <w:p w14:paraId="66BB15F8" w14:textId="77777777" w:rsidR="00A273EA" w:rsidRPr="004E13B3" w:rsidRDefault="00A273EA" w:rsidP="00A273EA">
      <w:r w:rsidRPr="004E13B3">
        <w:t>Unions, on the other hand, supported strengthening the limitation, with a focus on narrowing and clarifying existing exemptions and some expressly opposed calls to increase the existing threshold.</w:t>
      </w:r>
      <w:r w:rsidRPr="004E13B3">
        <w:rPr>
          <w:rStyle w:val="FootnoteReference"/>
        </w:rPr>
        <w:footnoteReference w:id="1163"/>
      </w:r>
      <w:r w:rsidRPr="004E13B3">
        <w:t xml:space="preserve"> </w:t>
      </w:r>
    </w:p>
    <w:p w14:paraId="59680096" w14:textId="5846C2B0" w:rsidR="000A0EB4" w:rsidRPr="00B84E65" w:rsidRDefault="000A0EB4" w:rsidP="00F96950">
      <w:pPr>
        <w:pStyle w:val="Heading4"/>
      </w:pPr>
      <w:bookmarkStart w:id="556" w:name="_Toc188003424"/>
      <w:bookmarkStart w:id="557" w:name="_Toc188277960"/>
      <w:bookmarkStart w:id="558" w:name="_Toc189260311"/>
      <w:bookmarkStart w:id="559" w:name="_Toc189393627"/>
      <w:r w:rsidRPr="00B84E65">
        <w:t>30.3 Findings and recommendations</w:t>
      </w:r>
      <w:bookmarkEnd w:id="556"/>
      <w:bookmarkEnd w:id="557"/>
      <w:bookmarkEnd w:id="558"/>
      <w:bookmarkEnd w:id="559"/>
    </w:p>
    <w:p w14:paraId="05EB5742" w14:textId="62C58418" w:rsidR="000A0EB4" w:rsidRPr="00167CB8" w:rsidRDefault="000A0EB4" w:rsidP="000A0EB4">
      <w:r w:rsidRPr="396ABCA7">
        <w:t>Section 333F of the Fair Work Act outlines numerous exceptions to the fixed</w:t>
      </w:r>
      <w:r w:rsidR="00C14663" w:rsidRPr="396ABCA7">
        <w:t xml:space="preserve"> </w:t>
      </w:r>
      <w:r w:rsidRPr="396ABCA7">
        <w:t>term contract limitations which sit alongside exceptions in the Fair Work Regulations and modern awards. Noting it has been a little over 12 months since the commencement of the provisions and the multiple sector</w:t>
      </w:r>
      <w:r>
        <w:t>-</w:t>
      </w:r>
      <w:r w:rsidRPr="396ABCA7">
        <w:t>specific temporary exceptions, there is limited evidence to assess the impacts of the framework.</w:t>
      </w:r>
    </w:p>
    <w:p w14:paraId="307F2D82" w14:textId="4E696D27" w:rsidR="000A0EB4" w:rsidRPr="00167CB8" w:rsidRDefault="000A0EB4" w:rsidP="000A0EB4">
      <w:r w:rsidRPr="396ABCA7">
        <w:t>ABS data indicates that, contrary to the intentions of the Secure Jobs, Better Pay Act, the number of employees on fixed</w:t>
      </w:r>
      <w:r w:rsidR="00C14663">
        <w:t xml:space="preserve"> </w:t>
      </w:r>
      <w:r w:rsidRPr="396ABCA7">
        <w:t>term contracts has reached its highest level in a decade. Growth has been particularly strong in the education and training sector and the health care and social assistance sector. These trends may be an unintended consequence, potentially reflecting efforts by employers in exempted sectors to engage employees on fixed</w:t>
      </w:r>
      <w:r w:rsidR="00C14663">
        <w:t xml:space="preserve"> </w:t>
      </w:r>
      <w:r w:rsidRPr="396ABCA7">
        <w:t>term contracts before the exception period ends. There may be other contributing factors.</w:t>
      </w:r>
    </w:p>
    <w:p w14:paraId="09621A75" w14:textId="77777777" w:rsidR="00C14663" w:rsidRPr="008C7198" w:rsidRDefault="00C14663" w:rsidP="00C14663">
      <w:r w:rsidRPr="008C7198">
        <w:t>Analysis of HILDA data shows that approximately 50% of employees on fixed</w:t>
      </w:r>
      <w:r>
        <w:t xml:space="preserve"> </w:t>
      </w:r>
      <w:r w:rsidRPr="008C7198">
        <w:t>term contracts transition to permanent employment, with only a small proportion moving into casual roles. This transition rate to permanent contracts has remained stable over the past 15 years.</w:t>
      </w:r>
    </w:p>
    <w:p w14:paraId="139D9EEC" w14:textId="77777777" w:rsidR="00C14663" w:rsidRPr="008C7198" w:rsidRDefault="00C14663" w:rsidP="00C14663">
      <w:r w:rsidRPr="008C7198">
        <w:t>The Review Panel acknowledges the negative perceptions of stakeholders about the current system of exceptions in the Fair Work Act, Fair Work Regulations and modern awards. The Review Panel also notes that, while the Secure Jobs, Better Pay amendments introduced a new framework, the Fair Work Act has included a limit on the use of fixed</w:t>
      </w:r>
      <w:r>
        <w:t xml:space="preserve"> </w:t>
      </w:r>
      <w:r w:rsidRPr="008C7198">
        <w:t>term contracts since commencement.</w:t>
      </w:r>
      <w:r w:rsidRPr="008C7198">
        <w:rPr>
          <w:vertAlign w:val="superscript"/>
        </w:rPr>
        <w:footnoteReference w:id="1164"/>
      </w:r>
      <w:r w:rsidRPr="008C7198">
        <w:t xml:space="preserve"> While any new rules are challenging to implement with confidence (especially in the absence of cases and decisions to assure employers that they are interpreting </w:t>
      </w:r>
      <w:r w:rsidRPr="008C7198">
        <w:lastRenderedPageBreak/>
        <w:t xml:space="preserve">the requirements correctly), the levels of anxiety experienced by some are clearly an unintended consequence of these amendments. </w:t>
      </w:r>
    </w:p>
    <w:p w14:paraId="4C57812B" w14:textId="3D8D423E" w:rsidR="000A0EB4" w:rsidRPr="00167CB8" w:rsidRDefault="000A0EB4" w:rsidP="000A0EB4">
      <w:r w:rsidRPr="004E13B3">
        <w:t>Most employer associations</w:t>
      </w:r>
      <w:r w:rsidRPr="396ABCA7">
        <w:t xml:space="preserve"> have called for the repeal of the Fair Work Act amendments concerning fixed</w:t>
      </w:r>
      <w:r w:rsidR="00C14663">
        <w:t xml:space="preserve"> </w:t>
      </w:r>
      <w:r w:rsidRPr="396ABCA7">
        <w:t>term contracts. Conversely, unions have raised concerns that the extensive exceptions prevent many of their members from benefiting from the legislation.</w:t>
      </w:r>
    </w:p>
    <w:p w14:paraId="54032A7B" w14:textId="77777777" w:rsidR="000A0EB4" w:rsidRPr="00167CB8" w:rsidRDefault="000A0EB4" w:rsidP="000A0EB4">
      <w:r w:rsidRPr="396ABCA7">
        <w:t>The Review Panel concludes that the strong stakeholder perceptions about uncertainties and ambiguities created by the exceptions and extensions have potentially undermined the intended effect of the legislation in the short term.</w:t>
      </w:r>
    </w:p>
    <w:p w14:paraId="7B23C0BE" w14:textId="77777777" w:rsidR="00C14663" w:rsidRPr="008C7198" w:rsidRDefault="00C14663" w:rsidP="00C14663">
      <w:r w:rsidRPr="008C7198">
        <w:t>The limitation on fixed</w:t>
      </w:r>
      <w:r>
        <w:t xml:space="preserve"> </w:t>
      </w:r>
      <w:r w:rsidRPr="008C7198">
        <w:t>term contracts was intended to achieve the overarching goal of the Secure Jobs, Better Pay amendments to improve job security. The Review Panel agrees that in many cases it is more appropriate and beneficial to employ workers in secure, ongoing roles rather than on rolling contracts, and accepts that some form of limitation on, or disincentive against, the use of fixed</w:t>
      </w:r>
      <w:r>
        <w:t xml:space="preserve"> </w:t>
      </w:r>
      <w:r w:rsidRPr="008C7198">
        <w:t>term contracts is appropriate. However, it is clear that many fixed term contracts last more than two years or two renewals and that they can be an appropriate form of employment (from stakeholder feedback and the number of exceptions).</w:t>
      </w:r>
    </w:p>
    <w:p w14:paraId="25A63C73" w14:textId="77777777" w:rsidR="00C14663" w:rsidRPr="008C7198" w:rsidRDefault="00C14663" w:rsidP="00C14663">
      <w:r w:rsidRPr="008C7198">
        <w:t>There is limited evidence available about the use of fixed</w:t>
      </w:r>
      <w:r>
        <w:t xml:space="preserve"> </w:t>
      </w:r>
      <w:r w:rsidRPr="008C7198">
        <w:t xml:space="preserve">term contracts to assess the extent to which their use is appropriate or contrary to the broader job security goals. General reporting mechanisms (whether through </w:t>
      </w:r>
      <w:r>
        <w:t xml:space="preserve">the </w:t>
      </w:r>
      <w:r w:rsidRPr="00ED2483">
        <w:t xml:space="preserve">Workplace Gender Equality Agency </w:t>
      </w:r>
      <w:r w:rsidRPr="008C7198">
        <w:t xml:space="preserve">or others) as well as more detailed reporting of the use of exceptions would better inform future policy in this area and </w:t>
      </w:r>
      <w:r w:rsidRPr="008C7198">
        <w:rPr>
          <w:rFonts w:eastAsia="Times New Roman" w:cs="Calibri"/>
          <w:lang w:eastAsia="en-AU"/>
        </w:rPr>
        <w:t>a further review (see Recommendation 1)</w:t>
      </w:r>
      <w:r w:rsidRPr="008C7198">
        <w:t>. Such research could also provide more insights into the effects of fixed</w:t>
      </w:r>
      <w:r>
        <w:t xml:space="preserve"> </w:t>
      </w:r>
      <w:r w:rsidRPr="008C7198">
        <w:t>term contracts on workplaces and employees.</w:t>
      </w:r>
    </w:p>
    <w:p w14:paraId="7569D254" w14:textId="239300FF" w:rsidR="00C14663" w:rsidRPr="008C7198" w:rsidRDefault="00C14663" w:rsidP="00C14663">
      <w:r w:rsidRPr="008C7198">
        <w:t>Alongside the complexity and confusion employers have experienced in implementing these reforms, the Review Panel notes that detailed evidence is not available about the use of fixed</w:t>
      </w:r>
      <w:r>
        <w:t xml:space="preserve"> </w:t>
      </w:r>
      <w:r w:rsidRPr="008C7198">
        <w:t xml:space="preserve">term contracts and the choice to limit them to </w:t>
      </w:r>
      <w:r>
        <w:t>two</w:t>
      </w:r>
      <w:r w:rsidRPr="008C7198">
        <w:t xml:space="preserve"> years and </w:t>
      </w:r>
      <w:r>
        <w:t>two</w:t>
      </w:r>
      <w:r w:rsidRPr="008C7198">
        <w:t xml:space="preserve"> renewals.</w:t>
      </w:r>
      <w:r w:rsidR="00182FFF">
        <w:t xml:space="preserve"> This type of evidence</w:t>
      </w:r>
      <w:r w:rsidR="00E15615">
        <w:t xml:space="preserve"> relates to what has been called elsewhere ‘the shadow effect’. </w:t>
      </w:r>
      <w:r w:rsidRPr="008C7198">
        <w:t xml:space="preserve"> </w:t>
      </w:r>
    </w:p>
    <w:p w14:paraId="77B6D673" w14:textId="77777777" w:rsidR="00C14663" w:rsidRPr="008C7198" w:rsidRDefault="00C14663" w:rsidP="00C14663">
      <w:r w:rsidRPr="008C7198">
        <w:t xml:space="preserve">The Review Panel also accepts that the design of the framework created by the </w:t>
      </w:r>
      <w:r w:rsidRPr="008C7198">
        <w:rPr>
          <w:rFonts w:cstheme="minorHAnsi"/>
        </w:rPr>
        <w:t>Secure Jobs, Better Pay</w:t>
      </w:r>
      <w:r w:rsidRPr="008C7198">
        <w:t xml:space="preserve"> amendments does provide avenues to set out industry-specific conditions in modern awards as well as the option for additional exceptions through the Fair Work Regulations. The challenges have mostly been with understanding the amendments and implementing them in practice. </w:t>
      </w:r>
    </w:p>
    <w:p w14:paraId="3C4DF662" w14:textId="77777777" w:rsidR="00C14663" w:rsidRPr="008C7198" w:rsidRDefault="00C14663" w:rsidP="00C14663">
      <w:r w:rsidRPr="008C7198">
        <w:t>For example, the FWC, on its own initiative, commenced a matter to assess the suitability of the fixed</w:t>
      </w:r>
      <w:r>
        <w:t xml:space="preserve"> </w:t>
      </w:r>
      <w:r w:rsidRPr="008C7198">
        <w:t>term contract provisions in higher education awards</w:t>
      </w:r>
      <w:r>
        <w:t>,</w:t>
      </w:r>
      <w:r w:rsidRPr="008C7198">
        <w:t xml:space="preserve"> resulting in a consent variation to clarify that the modern awards exception applies to fixed term contracts under the HE Awards. These proceedings demonstrate that the existing mechanism in the framework (to tailor modern awards through FWC proceedings) may be successfully used to resolve issues concerning the use of fixed term contracts.</w:t>
      </w:r>
      <w:r w:rsidRPr="008C7198">
        <w:rPr>
          <w:rStyle w:val="FootnoteReference"/>
        </w:rPr>
        <w:footnoteReference w:id="1165"/>
      </w:r>
    </w:p>
    <w:p w14:paraId="15F1EA24" w14:textId="77777777" w:rsidR="00C14663" w:rsidRPr="008C7198" w:rsidRDefault="00C14663" w:rsidP="00C14663">
      <w:r w:rsidRPr="008C7198">
        <w:t xml:space="preserve">During consultations, the Review Panel asked for stakeholders’ views about alternative approaches to limiting the use of fixed term contracts. Noting that there are those with a view that the amendments should be repealed in their entirety, stakeholders generally preferred a </w:t>
      </w:r>
      <w:r w:rsidRPr="008C7198">
        <w:lastRenderedPageBreak/>
        <w:t xml:space="preserve">chance to reconsider and amend the existing framework to make it clearer and more readily applicable in practice. However, there was no agreement on what specific improvements should be made. </w:t>
      </w:r>
    </w:p>
    <w:p w14:paraId="7CB02710" w14:textId="77777777" w:rsidR="00C14663" w:rsidRPr="008C7198" w:rsidRDefault="00C14663" w:rsidP="00C14663">
      <w:r w:rsidRPr="008C7198">
        <w:t>Several stakeholders expressed concern about any significantly revised model creating more complexity and ambiguity. They were therefore generally opposed to replacing the framework for limiting the use of fixed term contracts at this stage.</w:t>
      </w:r>
    </w:p>
    <w:p w14:paraId="0CD795AA" w14:textId="77777777" w:rsidR="00C14663" w:rsidRPr="008C7198" w:rsidRDefault="00C14663" w:rsidP="00C14663">
      <w:r w:rsidRPr="008C7198">
        <w:t>Stakeholders also generally accepted that modern awards (varied through FWC processes) have a significant role to play.</w:t>
      </w:r>
    </w:p>
    <w:p w14:paraId="4595502F" w14:textId="5CACD2DA" w:rsidR="00C14663" w:rsidRDefault="00C14663" w:rsidP="00C14663">
      <w:r w:rsidRPr="00914458">
        <w:t xml:space="preserve">The time has come to draw a line in the sand and progress towards a final approach rather </w:t>
      </w:r>
      <w:r w:rsidR="004C125A" w:rsidRPr="00914458">
        <w:t xml:space="preserve">than </w:t>
      </w:r>
      <w:r w:rsidR="004C125A">
        <w:t>a</w:t>
      </w:r>
      <w:r w:rsidRPr="00914458">
        <w:t xml:space="preserve"> piecemeal approach to exceptions and regulations. </w:t>
      </w:r>
    </w:p>
    <w:p w14:paraId="0C31E21C" w14:textId="77777777" w:rsidR="00C14663" w:rsidRPr="008C7198" w:rsidRDefault="00C14663" w:rsidP="00C14663">
      <w:r w:rsidRPr="008C7198">
        <w:t>Noting that the timeframes of this Review did not provide significant opportunities for stakeholders to propose or discuss targeted improvements to the existing framework, the Review Panel sees merit in some further consultation. However, as the Review Panel understands it, stakeholders’ submissions to this Review largely reflected the views and concerns that they have expressed over years of consultation with the Department of Employment and Workplace Relations. There is no indication that further extensive consultation processes will progress a solution to the issues identified. While there is a lot of agreement about what the issues are, there is little (if any) agreement on how to address them. So, further consultation should be for a restricted period of time and should not delay or avoid using the existing framework (e.g., varying modern awards) to resolve specific issues.</w:t>
      </w:r>
    </w:p>
    <w:p w14:paraId="70BC0723" w14:textId="77777777" w:rsidR="00C14663" w:rsidRPr="008C7198" w:rsidRDefault="00C14663" w:rsidP="00C14663">
      <w:r w:rsidRPr="008C7198">
        <w:t xml:space="preserve">The Review Panel strongly recommends that stakeholders work together to reach agreed solutions to their issues with the broader framework. Where there is common ground, the Government should implement these agreed changes through amendments to the Fair Work Act (or elsewhere). </w:t>
      </w:r>
    </w:p>
    <w:p w14:paraId="786AC80A" w14:textId="77777777" w:rsidR="00C14663" w:rsidRPr="008C7198" w:rsidRDefault="00C14663" w:rsidP="00C14663">
      <w:r w:rsidRPr="008C7198">
        <w:t xml:space="preserve">Where consensus on solutions cannot be achieved, the Review Panel recommends that the appropriate course is for stakeholders to approach the </w:t>
      </w:r>
      <w:r>
        <w:t>FWC</w:t>
      </w:r>
      <w:r w:rsidRPr="008C7198">
        <w:t xml:space="preserve"> to determine an appropriate outcome reflected in modern awards (where possible). Variations to modern awards should become the primary mechanism for resolving specific limitations on the use of fixed term contracts.</w:t>
      </w:r>
    </w:p>
    <w:p w14:paraId="3389316D" w14:textId="77777777" w:rsidR="00C14663" w:rsidRPr="008C7198" w:rsidRDefault="00C14663" w:rsidP="00C14663">
      <w:r w:rsidRPr="008C7198">
        <w:t xml:space="preserve">If stakeholders are unable to quickly agree on changes through this process, the </w:t>
      </w:r>
      <w:r>
        <w:t>g</w:t>
      </w:r>
      <w:r w:rsidRPr="008C7198">
        <w:t>overnment should consider targeted changes to the legislative framework (or elsewhere) to ensure that issues that cannot be addressed through the modern awards framework are resolved.</w:t>
      </w:r>
    </w:p>
    <w:p w14:paraId="3139FDF0" w14:textId="77777777" w:rsidR="00C14663" w:rsidRPr="008C7198" w:rsidRDefault="00C14663" w:rsidP="00C14663">
      <w:r w:rsidRPr="008C7198">
        <w:t>The process for additional exceptions in the Fair Work Regulations should become the option of last resort or for those circumstances where the modern awards are not a solution (</w:t>
      </w:r>
      <w:r>
        <w:t>e.g.</w:t>
      </w:r>
      <w:r w:rsidRPr="008C7198">
        <w:t xml:space="preserve"> where there is no clear award pathway for sport). Where it is appropriate to include exceptions in the Fair Work Regulations, these regulations should be made for longer periods to provide certainty for those affected or to permit other processes to unfold (e.g. modern award variations).</w:t>
      </w:r>
    </w:p>
    <w:p w14:paraId="18CFA3C7" w14:textId="77777777" w:rsidR="00C14663" w:rsidRPr="001B50EB" w:rsidRDefault="00C14663" w:rsidP="00C14663">
      <w:r w:rsidRPr="008C7198">
        <w:t>An issue not easily resolvable through the modern awards framework relates to the use of fixed term contracts in government-funded sectors. The timing and certainty of government funding arrangements was a recurring issue raised throughout consultations. The Review Panel notes that it is self-evident that the availability and certainty</w:t>
      </w:r>
      <w:r w:rsidRPr="001B50EB">
        <w:t xml:space="preserve"> of funding has a significant impact on the operating context for implementing these Secure Jobs, Better Pay Act changes. To achieve its </w:t>
      </w:r>
      <w:r w:rsidRPr="001B50EB">
        <w:lastRenderedPageBreak/>
        <w:t>intended outcomes, the limitation on fixed term contracts must complement other government settings (and continue to adapt in line with any changes). The Review Panel understands that some stakeholders have also been in discussions with the Minister for Finance regarding these issues</w:t>
      </w:r>
      <w:r>
        <w:t xml:space="preserve"> and</w:t>
      </w:r>
      <w:r w:rsidRPr="001B50EB">
        <w:t xml:space="preserve"> notes that addressing these matters sits outside the purview of the Fair Work Act (for example, in the grants and procurement framework).</w:t>
      </w:r>
    </w:p>
    <w:p w14:paraId="70CAB69F" w14:textId="77777777" w:rsidR="00C14663" w:rsidRPr="00AF571C" w:rsidRDefault="00C14663" w:rsidP="00C14663">
      <w:pPr>
        <w:rPr>
          <w:b/>
          <w:bCs/>
        </w:rPr>
      </w:pPr>
      <w:r w:rsidRPr="00AF571C">
        <w:rPr>
          <w:b/>
          <w:bCs/>
        </w:rPr>
        <w:t>Recommendation 17: Stakeholders should seek variations to modern awards to tailor the limitation on the use of fixed term contracts to their industry or occupation.</w:t>
      </w:r>
    </w:p>
    <w:p w14:paraId="791B64A7" w14:textId="5E7334CE" w:rsidR="000A0EB4" w:rsidRPr="0067728D" w:rsidRDefault="000A0EB4" w:rsidP="000A0EB4">
      <w:pPr>
        <w:rPr>
          <w:b/>
          <w:bCs/>
        </w:rPr>
      </w:pPr>
      <w:r>
        <w:rPr>
          <w:b/>
          <w:bCs/>
        </w:rPr>
        <w:t xml:space="preserve">Recommendation </w:t>
      </w:r>
      <w:r w:rsidR="00C14663" w:rsidRPr="00F1791F">
        <w:rPr>
          <w:b/>
          <w:bCs/>
        </w:rPr>
        <w:t>18</w:t>
      </w:r>
      <w:r>
        <w:rPr>
          <w:b/>
          <w:bCs/>
        </w:rPr>
        <w:t>:</w:t>
      </w:r>
      <w:r w:rsidRPr="003B0E61">
        <w:rPr>
          <w:b/>
          <w:bCs/>
        </w:rPr>
        <w:t xml:space="preserve"> </w:t>
      </w:r>
      <w:r>
        <w:rPr>
          <w:b/>
          <w:bCs/>
        </w:rPr>
        <w:t>T</w:t>
      </w:r>
      <w:r w:rsidRPr="00216CA9">
        <w:rPr>
          <w:b/>
          <w:bCs/>
        </w:rPr>
        <w:t xml:space="preserve">he Australian Government should undertake a short, final period of consultation to </w:t>
      </w:r>
      <w:r>
        <w:rPr>
          <w:b/>
          <w:bCs/>
        </w:rPr>
        <w:t xml:space="preserve">identify targeted improvements to the limitation on </w:t>
      </w:r>
      <w:r w:rsidR="00C14663" w:rsidRPr="00F1791F">
        <w:rPr>
          <w:b/>
          <w:bCs/>
        </w:rPr>
        <w:t>fixed term contracts</w:t>
      </w:r>
      <w:r>
        <w:rPr>
          <w:b/>
          <w:bCs/>
        </w:rPr>
        <w:t xml:space="preserve"> to address issues which cannot currently be resolved through modern awards</w:t>
      </w:r>
      <w:r w:rsidR="00C14663" w:rsidRPr="00F1791F">
        <w:rPr>
          <w:b/>
          <w:bCs/>
        </w:rPr>
        <w:t xml:space="preserve"> and make the limitation more readily applicable in practice.</w:t>
      </w:r>
      <w:r w:rsidRPr="00E74042">
        <w:rPr>
          <w:b/>
        </w:rPr>
        <w:br w:type="page"/>
      </w:r>
    </w:p>
    <w:p w14:paraId="2C636723" w14:textId="77777777" w:rsidR="0011475D" w:rsidRPr="00E37449" w:rsidRDefault="000A0EB4" w:rsidP="00E37449">
      <w:pPr>
        <w:pStyle w:val="Heading3"/>
      </w:pPr>
      <w:bookmarkStart w:id="560" w:name="_Toc188003425"/>
      <w:bookmarkStart w:id="561" w:name="_Toc188277961"/>
      <w:bookmarkStart w:id="562" w:name="_Toc189260312"/>
      <w:bookmarkStart w:id="563" w:name="_Toc189393628"/>
      <w:bookmarkStart w:id="564" w:name="_Toc194311439"/>
      <w:r w:rsidRPr="00E37449">
        <w:lastRenderedPageBreak/>
        <w:t>Chapter 31. Flexible work</w:t>
      </w:r>
      <w:bookmarkEnd w:id="560"/>
      <w:bookmarkEnd w:id="561"/>
      <w:bookmarkEnd w:id="562"/>
      <w:bookmarkEnd w:id="563"/>
      <w:bookmarkEnd w:id="564"/>
    </w:p>
    <w:p w14:paraId="6F4F9893" w14:textId="52F8C43A" w:rsidR="0011475D" w:rsidRDefault="000A0EB4" w:rsidP="000A0EB4">
      <w:pPr>
        <w:rPr>
          <w:rFonts w:cstheme="minorHAnsi"/>
        </w:rPr>
      </w:pPr>
      <w:r w:rsidRPr="00167CB8">
        <w:rPr>
          <w:rFonts w:cstheme="minorHAnsi"/>
        </w:rPr>
        <w:t>In this chapter the focus is on Part 11 (Flexible work) amendments in the Secure Jobs, Better Pay Act.</w:t>
      </w:r>
      <w:r>
        <w:rPr>
          <w:rFonts w:cstheme="minorHAnsi"/>
        </w:rPr>
        <w:t xml:space="preserve"> The amendments expanded the circumstances under which an employee may request changes to their working arrangements (e.g. hours, location) to include pregnancy and family and domestic violence. </w:t>
      </w:r>
      <w:r w:rsidR="00E37449">
        <w:rPr>
          <w:rFonts w:cstheme="minorHAnsi"/>
        </w:rPr>
        <w:t xml:space="preserve">They </w:t>
      </w:r>
      <w:r>
        <w:rPr>
          <w:rFonts w:cstheme="minorHAnsi"/>
        </w:rPr>
        <w:t>also included new obligations on employers when considering and responding to requests and a dispute resolution mechanism.</w:t>
      </w:r>
    </w:p>
    <w:p w14:paraId="54DD99AE" w14:textId="01E5FE0B" w:rsidR="000A0EB4" w:rsidRPr="00A054EF" w:rsidRDefault="000A0EB4" w:rsidP="00E37449">
      <w:pPr>
        <w:pStyle w:val="Heading4"/>
      </w:pPr>
      <w:bookmarkStart w:id="565" w:name="_Toc188003426"/>
      <w:bookmarkStart w:id="566" w:name="_Toc188277962"/>
      <w:bookmarkStart w:id="567" w:name="_Toc189260313"/>
      <w:bookmarkStart w:id="568" w:name="_Toc189393629"/>
      <w:r w:rsidRPr="00A054EF">
        <w:t>31.1 Amendments and intent</w:t>
      </w:r>
      <w:bookmarkEnd w:id="565"/>
      <w:bookmarkEnd w:id="566"/>
      <w:bookmarkEnd w:id="567"/>
      <w:bookmarkEnd w:id="568"/>
    </w:p>
    <w:p w14:paraId="545D9887" w14:textId="5A888B31" w:rsidR="000A0EB4" w:rsidRPr="00167CB8" w:rsidRDefault="000A0EB4" w:rsidP="00A054EF">
      <w:pPr>
        <w:rPr>
          <w:lang w:eastAsia="en-AU"/>
        </w:rPr>
      </w:pPr>
      <w:r w:rsidRPr="00167CB8">
        <w:rPr>
          <w:lang w:eastAsia="en-AU"/>
        </w:rPr>
        <w:t>Part 2-2 of the Fair Work Act is concerned with the National Employment Standards (NES). There are 12 NES which apply to all national system employees. The NES cannot be excluded by modern awards or enterprise agreements. Within Part 2-2 of the Fair Work Act</w:t>
      </w:r>
      <w:r w:rsidR="00E37449">
        <w:rPr>
          <w:lang w:eastAsia="en-AU"/>
        </w:rPr>
        <w:t>,</w:t>
      </w:r>
      <w:r w:rsidRPr="00167CB8">
        <w:rPr>
          <w:lang w:eastAsia="en-AU"/>
        </w:rPr>
        <w:t xml:space="preserve"> Divisions 2</w:t>
      </w:r>
      <w:r w:rsidRPr="00167CB8">
        <w:rPr>
          <w:rFonts w:ascii="Symbol" w:eastAsia="Symbol" w:hAnsi="Symbol" w:cs="Symbol"/>
          <w:lang w:eastAsia="en-AU"/>
        </w:rPr>
        <w:t>-</w:t>
      </w:r>
      <w:r w:rsidRPr="00167CB8">
        <w:rPr>
          <w:lang w:eastAsia="en-AU"/>
        </w:rPr>
        <w:t>12 describe the provisions in each of the 12 minimum standards. Division 4 is concerned with the right to request flexible working arrangements. It was part of the NES in the original Fair Work Act in 2009.</w:t>
      </w:r>
    </w:p>
    <w:p w14:paraId="7F4B84B2" w14:textId="77777777" w:rsidR="0011475D" w:rsidRDefault="000A0EB4" w:rsidP="00A054EF">
      <w:pPr>
        <w:rPr>
          <w:rFonts w:eastAsiaTheme="minorEastAsia"/>
          <w:kern w:val="2"/>
          <w:lang w:val="en-US"/>
          <w14:ligatures w14:val="standardContextual"/>
        </w:rPr>
      </w:pPr>
      <w:r w:rsidRPr="00167CB8">
        <w:t>Section 65 (Requests for flexible working arrangements) of Division 4 outlines the conditions under which an employee may seek changes to their working arrangements (e.g. modifications to working hours, work patterns or work location). Eligible employees must have completed at least 12 months of continuous service with their employer or be long-term casuals (at least 12 months) with a reasonable expectation of ongoing work and have eligible circumstances.</w:t>
      </w:r>
      <w:r w:rsidRPr="00167CB8">
        <w:rPr>
          <w:rStyle w:val="FootnoteReference"/>
          <w:rFonts w:eastAsiaTheme="majorEastAsia"/>
        </w:rPr>
        <w:footnoteReference w:id="1166"/>
      </w:r>
    </w:p>
    <w:p w14:paraId="1F7A5948" w14:textId="413DEA1F" w:rsidR="000A0EB4" w:rsidRPr="00167CB8" w:rsidRDefault="000A0EB4" w:rsidP="00E37449">
      <w:pPr>
        <w:rPr>
          <w:lang w:eastAsia="en-AU"/>
        </w:rPr>
      </w:pPr>
      <w:r w:rsidRPr="396ABCA7">
        <w:rPr>
          <w:lang w:eastAsia="en-AU"/>
        </w:rPr>
        <w:t xml:space="preserve">The circumstances – outlined at s 65(1A) </w:t>
      </w:r>
      <w:r w:rsidRPr="396ABCA7">
        <w:rPr>
          <w:rFonts w:ascii="Symbol" w:eastAsia="Symbol" w:hAnsi="Symbol" w:cs="Symbol"/>
          <w:lang w:eastAsia="en-AU"/>
        </w:rPr>
        <w:t>-</w:t>
      </w:r>
      <w:r w:rsidRPr="396ABCA7">
        <w:rPr>
          <w:lang w:eastAsia="en-AU"/>
        </w:rPr>
        <w:t xml:space="preserve"> are as follows:</w:t>
      </w:r>
      <w:r w:rsidRPr="396ABCA7">
        <w:rPr>
          <w:rStyle w:val="FootnoteReference"/>
        </w:rPr>
        <w:footnoteReference w:id="1167"/>
      </w:r>
    </w:p>
    <w:p w14:paraId="33BFEAAF" w14:textId="65F16B95" w:rsidR="000A0EB4" w:rsidRPr="00167CB8" w:rsidRDefault="000A0EB4" w:rsidP="00400EF1">
      <w:pPr>
        <w:pStyle w:val="Quote"/>
        <w:rPr>
          <w:lang w:eastAsia="en-AU"/>
        </w:rPr>
      </w:pPr>
      <w:r w:rsidRPr="00167CB8">
        <w:rPr>
          <w:lang w:eastAsia="en-AU"/>
        </w:rPr>
        <w:t>(aa) the employee is pregnant;</w:t>
      </w:r>
    </w:p>
    <w:p w14:paraId="649B1902" w14:textId="1D750574" w:rsidR="000A0EB4" w:rsidRPr="00167CB8" w:rsidRDefault="003C7035" w:rsidP="003C7035">
      <w:pPr>
        <w:pStyle w:val="Quote"/>
        <w:rPr>
          <w:lang w:eastAsia="en-AU"/>
        </w:rPr>
      </w:pPr>
      <w:r>
        <w:rPr>
          <w:lang w:eastAsia="en-AU"/>
        </w:rPr>
        <w:t xml:space="preserve">(a) </w:t>
      </w:r>
      <w:r w:rsidR="000A0EB4" w:rsidRPr="00167CB8">
        <w:rPr>
          <w:lang w:eastAsia="en-AU"/>
        </w:rPr>
        <w:t>the employee is the parent, or has responsibility for the care, of a child who is of school age or younger;</w:t>
      </w:r>
    </w:p>
    <w:p w14:paraId="2D1B4EF9" w14:textId="478B7E8B" w:rsidR="000A0EB4" w:rsidRPr="00167CB8" w:rsidRDefault="000A0EB4" w:rsidP="00400EF1">
      <w:pPr>
        <w:pStyle w:val="Quote"/>
        <w:rPr>
          <w:lang w:eastAsia="en-AU"/>
        </w:rPr>
      </w:pPr>
      <w:r w:rsidRPr="00167CB8">
        <w:rPr>
          <w:lang w:eastAsia="en-AU"/>
        </w:rPr>
        <w:t>(b)</w:t>
      </w:r>
      <w:r w:rsidR="009B1563">
        <w:rPr>
          <w:lang w:eastAsia="en-AU"/>
        </w:rPr>
        <w:t xml:space="preserve"> </w:t>
      </w:r>
      <w:r w:rsidRPr="00167CB8">
        <w:rPr>
          <w:lang w:eastAsia="en-AU"/>
        </w:rPr>
        <w:t xml:space="preserve">the employee is a carer (within the meaning of the </w:t>
      </w:r>
      <w:r w:rsidRPr="00846DC0">
        <w:rPr>
          <w:lang w:eastAsia="en-AU"/>
        </w:rPr>
        <w:t>Carer Recognition Act 2010</w:t>
      </w:r>
      <w:r w:rsidRPr="00167CB8">
        <w:rPr>
          <w:lang w:eastAsia="en-AU"/>
        </w:rPr>
        <w:t>);</w:t>
      </w:r>
    </w:p>
    <w:p w14:paraId="0BB179DB" w14:textId="23173D80" w:rsidR="000A0EB4" w:rsidRPr="00167CB8" w:rsidRDefault="000A0EB4" w:rsidP="00400EF1">
      <w:pPr>
        <w:pStyle w:val="Quote"/>
        <w:rPr>
          <w:lang w:eastAsia="en-AU"/>
        </w:rPr>
      </w:pPr>
      <w:r w:rsidRPr="00167CB8">
        <w:rPr>
          <w:lang w:eastAsia="en-AU"/>
        </w:rPr>
        <w:t>(c)</w:t>
      </w:r>
      <w:r w:rsidR="009B1563">
        <w:rPr>
          <w:lang w:eastAsia="en-AU"/>
        </w:rPr>
        <w:t xml:space="preserve"> </w:t>
      </w:r>
      <w:r w:rsidRPr="00167CB8">
        <w:rPr>
          <w:lang w:eastAsia="en-AU"/>
        </w:rPr>
        <w:t>the employee has a disability</w:t>
      </w:r>
    </w:p>
    <w:p w14:paraId="329C8068" w14:textId="6AB11C44" w:rsidR="000A0EB4" w:rsidRPr="00167CB8" w:rsidRDefault="000A0EB4" w:rsidP="00400EF1">
      <w:pPr>
        <w:pStyle w:val="Quote"/>
        <w:rPr>
          <w:lang w:eastAsia="en-AU"/>
        </w:rPr>
      </w:pPr>
      <w:r w:rsidRPr="00167CB8">
        <w:rPr>
          <w:lang w:eastAsia="en-AU"/>
        </w:rPr>
        <w:t xml:space="preserve">(d) </w:t>
      </w:r>
      <w:r w:rsidR="009B1563">
        <w:rPr>
          <w:lang w:eastAsia="en-AU"/>
        </w:rPr>
        <w:t xml:space="preserve"> </w:t>
      </w:r>
      <w:r w:rsidRPr="00167CB8">
        <w:rPr>
          <w:lang w:eastAsia="en-AU"/>
        </w:rPr>
        <w:t>the employee is 55 or older;</w:t>
      </w:r>
    </w:p>
    <w:p w14:paraId="38F6D1F3" w14:textId="49B438C9" w:rsidR="000A0EB4" w:rsidRPr="00167CB8" w:rsidRDefault="000A0EB4" w:rsidP="00400EF1">
      <w:pPr>
        <w:pStyle w:val="Quote"/>
        <w:rPr>
          <w:lang w:eastAsia="en-AU"/>
        </w:rPr>
      </w:pPr>
      <w:r w:rsidRPr="00167CB8">
        <w:rPr>
          <w:lang w:eastAsia="en-AU"/>
        </w:rPr>
        <w:t>(e)</w:t>
      </w:r>
      <w:r w:rsidR="009B1563">
        <w:rPr>
          <w:lang w:eastAsia="en-AU"/>
        </w:rPr>
        <w:t xml:space="preserve"> </w:t>
      </w:r>
      <w:r w:rsidRPr="00167CB8">
        <w:rPr>
          <w:lang w:eastAsia="en-AU"/>
        </w:rPr>
        <w:t>the employee is experiencing family and domestic violence;</w:t>
      </w:r>
    </w:p>
    <w:p w14:paraId="6FE12BA5" w14:textId="11857629" w:rsidR="000A0EB4" w:rsidRPr="00167CB8" w:rsidRDefault="000A0EB4" w:rsidP="00400EF1">
      <w:pPr>
        <w:pStyle w:val="Quote"/>
        <w:rPr>
          <w:lang w:eastAsia="en-AU"/>
        </w:rPr>
      </w:pPr>
      <w:r w:rsidRPr="00167CB8">
        <w:rPr>
          <w:lang w:eastAsia="en-AU"/>
        </w:rPr>
        <w:t xml:space="preserve">(f) </w:t>
      </w:r>
      <w:r w:rsidR="009B1563">
        <w:rPr>
          <w:lang w:eastAsia="en-AU"/>
        </w:rPr>
        <w:t xml:space="preserve"> </w:t>
      </w:r>
      <w:r w:rsidRPr="00167CB8">
        <w:rPr>
          <w:lang w:eastAsia="en-AU"/>
        </w:rPr>
        <w:t>the employee provides care or support to a member of the employee’s immediate family, or a member of the employee’s household, who requires care or support because the member is experiencing family and domestic violence.</w:t>
      </w:r>
    </w:p>
    <w:p w14:paraId="0806F731" w14:textId="77777777" w:rsidR="0011475D" w:rsidRDefault="000A0EB4" w:rsidP="000A0EB4">
      <w:r w:rsidRPr="396ABCA7">
        <w:t>The Secure Jobs, Better Pay Act expanded the eligibility circumstances to include pregnancy (s 65(1)(aa)). It also aligned language with the entitlement to family and domestic violence leave (s 65(1A)(e) and (f) describe circumstances where employees, or their immediate family members, experience family or domestic violence).</w:t>
      </w:r>
      <w:r w:rsidRPr="396ABCA7">
        <w:rPr>
          <w:rStyle w:val="FootnoteReference"/>
        </w:rPr>
        <w:footnoteReference w:id="1168"/>
      </w:r>
    </w:p>
    <w:p w14:paraId="3835117C" w14:textId="0F2E8DEA" w:rsidR="000A0EB4" w:rsidRPr="00167CB8" w:rsidRDefault="000A0EB4" w:rsidP="000A0EB4">
      <w:r w:rsidRPr="00167CB8">
        <w:lastRenderedPageBreak/>
        <w:t xml:space="preserve">The main </w:t>
      </w:r>
      <w:r w:rsidRPr="00167CB8">
        <w:rPr>
          <w:rFonts w:cstheme="minorHAnsi"/>
        </w:rPr>
        <w:t>Secure Jobs, Better Pay</w:t>
      </w:r>
      <w:r w:rsidRPr="00167CB8">
        <w:t xml:space="preserve"> amendments, however, include the insertion of a new s 65A (concerned with employers responding to requests) and a new s 65B (concerned with the Fair Work Commission (FWC) dealing with disputes). The following sections summarise these main amendments and their intended effect.</w:t>
      </w:r>
    </w:p>
    <w:p w14:paraId="66ECA241" w14:textId="77777777" w:rsidR="000A0EB4" w:rsidRPr="00AC2032" w:rsidRDefault="000A0EB4" w:rsidP="00E37449">
      <w:pPr>
        <w:pStyle w:val="Heading5"/>
      </w:pPr>
      <w:bookmarkStart w:id="569" w:name="_Toc188003427"/>
      <w:r w:rsidRPr="00AC2032">
        <w:t>31.1.1 Secure Jobs, Better Pay amendments</w:t>
      </w:r>
      <w:bookmarkEnd w:id="569"/>
    </w:p>
    <w:p w14:paraId="1F197A25" w14:textId="77777777" w:rsidR="000A0EB4" w:rsidRPr="00167CB8" w:rsidRDefault="000A0EB4" w:rsidP="00AC2032">
      <w:pPr>
        <w:rPr>
          <w:lang w:eastAsia="en-AU"/>
        </w:rPr>
      </w:pPr>
      <w:r w:rsidRPr="00167CB8">
        <w:rPr>
          <w:lang w:eastAsia="en-AU"/>
        </w:rPr>
        <w:t xml:space="preserve">The </w:t>
      </w:r>
      <w:r w:rsidRPr="00167CB8">
        <w:rPr>
          <w:rFonts w:cstheme="minorHAnsi"/>
        </w:rPr>
        <w:t>Secure Jobs, Better Pay</w:t>
      </w:r>
      <w:r w:rsidRPr="00167CB8">
        <w:rPr>
          <w:lang w:eastAsia="en-AU"/>
        </w:rPr>
        <w:t xml:space="preserve"> amendments made </w:t>
      </w:r>
      <w:r>
        <w:rPr>
          <w:lang w:eastAsia="en-AU"/>
        </w:rPr>
        <w:t>two</w:t>
      </w:r>
      <w:r w:rsidRPr="00167CB8">
        <w:rPr>
          <w:lang w:eastAsia="en-AU"/>
        </w:rPr>
        <w:t xml:space="preserve"> main changes to Part 2-2, Division 4, on flexible working arrangements:</w:t>
      </w:r>
    </w:p>
    <w:p w14:paraId="2808ED7D" w14:textId="77777777" w:rsidR="00E56F82" w:rsidRDefault="000A0EB4" w:rsidP="00336C2C">
      <w:pPr>
        <w:pStyle w:val="ListBullet"/>
        <w:numPr>
          <w:ilvl w:val="0"/>
          <w:numId w:val="4"/>
        </w:numPr>
      </w:pPr>
      <w:r w:rsidRPr="00A349E2">
        <w:t>It included a new s 65A aimed at enhanced employer obligations concerning requests. Employers are now required to genuinely try to reach an agreement and there is more detail about the explanation they have to give if refusing a request.</w:t>
      </w:r>
      <w:r w:rsidR="00A349E2" w:rsidRPr="00A349E2">
        <w:t xml:space="preserve"> </w:t>
      </w:r>
    </w:p>
    <w:p w14:paraId="437F6A63" w14:textId="6927698B" w:rsidR="000A0EB4" w:rsidRPr="00A349E2" w:rsidRDefault="000A0EB4" w:rsidP="00E56F82">
      <w:pPr>
        <w:pStyle w:val="ListBullet2"/>
        <w:ind w:left="568" w:hanging="284"/>
      </w:pPr>
      <w:r w:rsidRPr="00A349E2">
        <w:t>This did not change the procedural requirements for employees to make requests, for employers to respond within 21</w:t>
      </w:r>
      <w:r w:rsidRPr="00A349E2">
        <w:rPr>
          <w:rFonts w:ascii="Arial" w:hAnsi="Arial" w:cs="Arial"/>
        </w:rPr>
        <w:t> </w:t>
      </w:r>
      <w:r w:rsidRPr="00A349E2">
        <w:t>days, and for refusals to be based on reasonable business grounds (which did not substantively change).</w:t>
      </w:r>
    </w:p>
    <w:p w14:paraId="0A213135" w14:textId="77777777" w:rsidR="000A0EB4" w:rsidRPr="00A349E2" w:rsidRDefault="000A0EB4" w:rsidP="00336C2C">
      <w:pPr>
        <w:pStyle w:val="ListBullet"/>
        <w:numPr>
          <w:ilvl w:val="0"/>
          <w:numId w:val="4"/>
        </w:numPr>
      </w:pPr>
      <w:r w:rsidRPr="00A349E2">
        <w:t>It included a new dispute resolution procedure at s 65B. If the employer refuses the request or does not respond in writing within 21 days, and the parties have attempted to resolve the dispute at the workplace level, the dispute may then be referred to the FWC.</w:t>
      </w:r>
    </w:p>
    <w:p w14:paraId="36697E8B" w14:textId="426B5EFD" w:rsidR="000A0EB4" w:rsidRPr="00A349E2" w:rsidRDefault="000A0EB4" w:rsidP="00336C2C">
      <w:pPr>
        <w:pStyle w:val="ListBullet"/>
        <w:numPr>
          <w:ilvl w:val="0"/>
          <w:numId w:val="4"/>
        </w:numPr>
      </w:pPr>
      <w:r w:rsidRPr="00A349E2">
        <w:t>The FWC is empowered to deal with the dispute as it considers appropriate</w:t>
      </w:r>
      <w:r w:rsidR="00A349E2">
        <w:t>;</w:t>
      </w:r>
      <w:r w:rsidRPr="00A349E2">
        <w:t xml:space="preserve"> and must first do so by mediation or conciliation.</w:t>
      </w:r>
    </w:p>
    <w:p w14:paraId="385470DB" w14:textId="77777777" w:rsidR="0011475D" w:rsidRPr="00A349E2" w:rsidRDefault="000A0EB4" w:rsidP="00336C2C">
      <w:pPr>
        <w:pStyle w:val="ListBullet"/>
        <w:numPr>
          <w:ilvl w:val="0"/>
          <w:numId w:val="4"/>
        </w:numPr>
      </w:pPr>
      <w:r w:rsidRPr="00A349E2">
        <w:t>In exceptional circumstances the FWC may deal with the dispute via arbitration without first conducting mediation or conciliation (s 65B(4)).</w:t>
      </w:r>
    </w:p>
    <w:p w14:paraId="649AF802" w14:textId="77777777" w:rsidR="0011475D" w:rsidRDefault="000A0EB4" w:rsidP="000A0EB4">
      <w:r w:rsidRPr="396ABCA7">
        <w:t>The Fair Work Act specifies, at s 65A(5), the business grounds upon which an employer may refuse a request for a flexible working arrangement. These include:</w:t>
      </w:r>
      <w:r w:rsidRPr="396ABCA7">
        <w:rPr>
          <w:rStyle w:val="FootnoteReference"/>
        </w:rPr>
        <w:footnoteReference w:id="1169"/>
      </w:r>
    </w:p>
    <w:p w14:paraId="7C311EEC" w14:textId="1A7A65AA" w:rsidR="000A0EB4" w:rsidRPr="00167CB8" w:rsidRDefault="000A0EB4" w:rsidP="00400EF1">
      <w:pPr>
        <w:pStyle w:val="Quote"/>
        <w:numPr>
          <w:ilvl w:val="0"/>
          <w:numId w:val="31"/>
        </w:numPr>
      </w:pPr>
      <w:r w:rsidRPr="00167CB8">
        <w:t>that the new working arrangements requested would be too costly for the employer;</w:t>
      </w:r>
    </w:p>
    <w:p w14:paraId="037C4178" w14:textId="77777777" w:rsidR="000A0EB4" w:rsidRPr="00167CB8" w:rsidRDefault="000A0EB4" w:rsidP="00400EF1">
      <w:pPr>
        <w:pStyle w:val="Quote"/>
        <w:numPr>
          <w:ilvl w:val="0"/>
          <w:numId w:val="31"/>
        </w:numPr>
      </w:pPr>
      <w:r w:rsidRPr="00167CB8">
        <w:t>that there is no capacity to change the working arrangements of other employees to accommodate the new working arrangements requested;</w:t>
      </w:r>
    </w:p>
    <w:p w14:paraId="50E84447" w14:textId="77777777" w:rsidR="000A0EB4" w:rsidRPr="00167CB8" w:rsidRDefault="000A0EB4" w:rsidP="00400EF1">
      <w:pPr>
        <w:pStyle w:val="Quote"/>
        <w:numPr>
          <w:ilvl w:val="0"/>
          <w:numId w:val="31"/>
        </w:numPr>
      </w:pPr>
      <w:r w:rsidRPr="00167CB8">
        <w:t>that it would be impractical to change the working arrangements of other employees, or recruit new employees, to accommodate the new working arrangements requested;</w:t>
      </w:r>
    </w:p>
    <w:p w14:paraId="79902DA8" w14:textId="77777777" w:rsidR="000A0EB4" w:rsidRPr="00167CB8" w:rsidRDefault="000A0EB4" w:rsidP="00400EF1">
      <w:pPr>
        <w:pStyle w:val="Quote"/>
        <w:numPr>
          <w:ilvl w:val="0"/>
          <w:numId w:val="31"/>
        </w:numPr>
      </w:pPr>
      <w:r w:rsidRPr="00167CB8">
        <w:t>that the new working arrangements requested would be likely to result in a significant loss in efficiency or productivity;</w:t>
      </w:r>
    </w:p>
    <w:p w14:paraId="2B348C61" w14:textId="77777777" w:rsidR="000A0EB4" w:rsidRPr="00167CB8" w:rsidRDefault="000A0EB4" w:rsidP="00400EF1">
      <w:pPr>
        <w:pStyle w:val="Quote"/>
        <w:numPr>
          <w:ilvl w:val="0"/>
          <w:numId w:val="31"/>
        </w:numPr>
      </w:pPr>
      <w:r w:rsidRPr="00167CB8">
        <w:t>that the new working arrangements requested would be likely to have a significant negative impact on customer service.</w:t>
      </w:r>
    </w:p>
    <w:p w14:paraId="19FA32F1" w14:textId="77777777" w:rsidR="000A0EB4" w:rsidRPr="00167CB8" w:rsidRDefault="000A0EB4" w:rsidP="000A0EB4">
      <w:r w:rsidRPr="396ABCA7">
        <w:t>A note in the Fair Work Act makes clear that the size, nature and specific circumstances of the employer and their business are relevant when considering the reasonable business grounds for refusing requests.</w:t>
      </w:r>
      <w:r w:rsidRPr="396ABCA7">
        <w:rPr>
          <w:rStyle w:val="FootnoteReference"/>
          <w:color w:val="515355" w:themeColor="accent6" w:themeShade="80"/>
        </w:rPr>
        <w:footnoteReference w:id="1170"/>
      </w:r>
    </w:p>
    <w:p w14:paraId="2E8108E4" w14:textId="77777777" w:rsidR="000A0EB4" w:rsidRDefault="000A0EB4" w:rsidP="00507F9B">
      <w:pPr>
        <w:rPr>
          <w:lang w:eastAsia="en-AU"/>
        </w:rPr>
      </w:pPr>
      <w:r w:rsidRPr="00167CB8">
        <w:rPr>
          <w:lang w:eastAsia="en-AU"/>
        </w:rPr>
        <w:lastRenderedPageBreak/>
        <w:t>These amendments came into effect from 6 June 2023.</w:t>
      </w:r>
    </w:p>
    <w:p w14:paraId="52E1A05F" w14:textId="77777777" w:rsidR="0011475D" w:rsidRPr="00A349E2" w:rsidRDefault="000A0EB4" w:rsidP="00A349E2">
      <w:pPr>
        <w:pStyle w:val="Heading5"/>
      </w:pPr>
      <w:bookmarkStart w:id="570" w:name="_Toc188003428"/>
      <w:r w:rsidRPr="00507F9B">
        <w:t>31.1.2 Intent of Secure Jobs, Better Pay amendments</w:t>
      </w:r>
      <w:bookmarkEnd w:id="570"/>
    </w:p>
    <w:p w14:paraId="1FBA9040" w14:textId="282948FB" w:rsidR="000A0EB4" w:rsidRPr="00167CB8" w:rsidRDefault="000A0EB4" w:rsidP="000A0EB4">
      <w:r w:rsidRPr="396ABCA7">
        <w:t>The broad intentions of the Secure Jobs, Better Pay reforms include improving job security and closing the gender pay gap. In the second reading speech accompanying the introduction of the initial Secure Jobs, Better Pay Bill, the then Minister for Employment and Workplace Relations, the Hon Tony Burke MP, noted that:</w:t>
      </w:r>
      <w:r w:rsidRPr="396ABCA7">
        <w:rPr>
          <w:rStyle w:val="FootnoteReference"/>
          <w:rFonts w:eastAsiaTheme="majorEastAsia" w:cs="Calibri"/>
        </w:rPr>
        <w:footnoteReference w:id="1171"/>
      </w:r>
    </w:p>
    <w:p w14:paraId="533CB3AD" w14:textId="77777777" w:rsidR="000A0EB4" w:rsidRPr="00167CB8" w:rsidRDefault="000A0EB4" w:rsidP="00400EF1">
      <w:pPr>
        <w:pStyle w:val="Quote"/>
      </w:pPr>
      <w:r w:rsidRPr="00167CB8">
        <w:t>Too many Australians are struggling to manage their work and care responsibilities. This is damaging families, communities, and our national economy. Women still carry the main responsibility for caring work; and are more likely to request flexible work arrangements. In order to access the flexibility they need to manage work and care, they are often forced to drop out of the workforce, or to take lower-paid or less secure employment. This plays a major role in widening the gender pay gap. We want families to have better access to flexible work, so they can better share and manage their caring responsibilities.  Under our current laws, an employee can ask for flexible work, but if their employer says no, they’ve got nowhere to go.</w:t>
      </w:r>
    </w:p>
    <w:p w14:paraId="5AC5D82D" w14:textId="77777777" w:rsidR="000A0EB4" w:rsidRPr="00167CB8" w:rsidRDefault="000A0EB4" w:rsidP="000A0EB4">
      <w:r w:rsidRPr="00167CB8">
        <w:rPr>
          <w:rFonts w:cs="Calibri"/>
        </w:rPr>
        <w:t xml:space="preserve">The </w:t>
      </w:r>
      <w:r w:rsidRPr="00167CB8" w:rsidDel="004E7A22">
        <w:rPr>
          <w:rFonts w:cs="Calibri"/>
        </w:rPr>
        <w:t>Minister</w:t>
      </w:r>
      <w:r w:rsidRPr="00167CB8">
        <w:rPr>
          <w:rFonts w:cs="Calibri"/>
        </w:rPr>
        <w:t xml:space="preserve"> went on to refer to research on the lived experiences of balancing work and care in the retail and fast food sectors</w:t>
      </w:r>
      <w:r w:rsidRPr="00167CB8">
        <w:rPr>
          <w:rStyle w:val="FootnoteReference"/>
          <w:rFonts w:cs="Calibri"/>
        </w:rPr>
        <w:footnoteReference w:id="1172"/>
      </w:r>
      <w:r w:rsidRPr="00167CB8">
        <w:rPr>
          <w:rFonts w:cs="Calibri"/>
        </w:rPr>
        <w:t xml:space="preserve"> and</w:t>
      </w:r>
      <w:r w:rsidRPr="00167CB8">
        <w:t xml:space="preserve"> </w:t>
      </w:r>
      <w:r w:rsidRPr="00167CB8">
        <w:rPr>
          <w:rFonts w:cs="Calibri"/>
        </w:rPr>
        <w:t>to findings of the Senate Select Committee on Work and Care.</w:t>
      </w:r>
      <w:r w:rsidRPr="00167CB8">
        <w:rPr>
          <w:rStyle w:val="FootnoteReference"/>
          <w:rFonts w:cs="Calibri"/>
        </w:rPr>
        <w:footnoteReference w:id="1173"/>
      </w:r>
      <w:r w:rsidRPr="00167CB8">
        <w:rPr>
          <w:rFonts w:cs="Calibri"/>
        </w:rPr>
        <w:t xml:space="preserve"> The </w:t>
      </w:r>
      <w:r w:rsidRPr="00167CB8">
        <w:rPr>
          <w:rFonts w:cstheme="minorHAnsi"/>
        </w:rPr>
        <w:t>Secure Jobs, Better Pay</w:t>
      </w:r>
      <w:r w:rsidRPr="00167CB8">
        <w:rPr>
          <w:rFonts w:cs="Calibri"/>
        </w:rPr>
        <w:t xml:space="preserve"> amendments intend to give effect to the interim recommendations of this committee, including the requirement to consult with workers about flexibility requests and the inclusion of a process of appeal to the FWC where requests are refused.</w:t>
      </w:r>
      <w:r w:rsidRPr="00167CB8">
        <w:rPr>
          <w:rStyle w:val="FootnoteReference"/>
          <w:rFonts w:cs="Calibri"/>
        </w:rPr>
        <w:footnoteReference w:id="1174"/>
      </w:r>
      <w:r w:rsidRPr="00167CB8">
        <w:rPr>
          <w:rFonts w:cs="Calibri"/>
        </w:rPr>
        <w:t xml:space="preserve"> Prior to these amendments, the Fair Work Act did not address employer obligations when responding to flexible work requests and did not provide a mechanism for dispute resolution via the FWC.</w:t>
      </w:r>
      <w:r w:rsidRPr="00167CB8">
        <w:rPr>
          <w:rStyle w:val="FootnoteReference"/>
          <w:rFonts w:cs="Calibri"/>
        </w:rPr>
        <w:footnoteReference w:id="1175"/>
      </w:r>
    </w:p>
    <w:p w14:paraId="73031880" w14:textId="77777777" w:rsidR="000A0EB4" w:rsidRPr="00530476" w:rsidRDefault="000A0EB4" w:rsidP="00A349E2">
      <w:pPr>
        <w:pStyle w:val="Heading4"/>
      </w:pPr>
      <w:bookmarkStart w:id="571" w:name="_Toc188003429"/>
      <w:bookmarkStart w:id="572" w:name="_Toc188277963"/>
      <w:bookmarkStart w:id="573" w:name="_Toc189260314"/>
      <w:bookmarkStart w:id="574" w:name="_Toc189393630"/>
      <w:r w:rsidRPr="00530476">
        <w:t>31.2 Impact and issues</w:t>
      </w:r>
      <w:bookmarkEnd w:id="571"/>
      <w:bookmarkEnd w:id="572"/>
      <w:bookmarkEnd w:id="573"/>
      <w:bookmarkEnd w:id="574"/>
    </w:p>
    <w:p w14:paraId="58CFE4C1" w14:textId="77777777" w:rsidR="000A0EB4" w:rsidRPr="00167CB8" w:rsidRDefault="000A0EB4" w:rsidP="000A0EB4">
      <w:pPr>
        <w:rPr>
          <w:color w:val="777778" w:themeColor="accent5"/>
        </w:rPr>
      </w:pPr>
      <w:r w:rsidRPr="00167CB8">
        <w:t>The following describes the data and information considered by the Review Panel when evaluating the amendments discussed above.</w:t>
      </w:r>
    </w:p>
    <w:p w14:paraId="3A879C80" w14:textId="77777777" w:rsidR="000A0EB4" w:rsidRPr="00530476" w:rsidRDefault="000A0EB4" w:rsidP="00A349E2">
      <w:pPr>
        <w:pStyle w:val="Heading5"/>
      </w:pPr>
      <w:bookmarkStart w:id="575" w:name="_Toc188003430"/>
      <w:r w:rsidRPr="00530476">
        <w:t>31.2.1 Quantitative evidence</w:t>
      </w:r>
      <w:bookmarkEnd w:id="575"/>
    </w:p>
    <w:p w14:paraId="7F8BB2E9" w14:textId="77777777" w:rsidR="000A0EB4" w:rsidRPr="00167CB8" w:rsidRDefault="000A0EB4" w:rsidP="000A0EB4">
      <w:r w:rsidRPr="396ABCA7">
        <w:t xml:space="preserve">The available quantitative evidence for assessing the reforms is limited. There is no mechanism that monitors the number of new requests under the new pregnancy or new family and domestic violence eligibility circumstances. There is, similarly, a dearth of data that would </w:t>
      </w:r>
      <w:r w:rsidRPr="396ABCA7">
        <w:lastRenderedPageBreak/>
        <w:t>enable a quantitative analysis of reforms at s 65(A) of the Fair Work Act concerning enhanced employer obligations around genuinely trying to reach agreement and providing written responses.</w:t>
      </w:r>
    </w:p>
    <w:p w14:paraId="7FCF489D" w14:textId="77777777" w:rsidR="0011475D" w:rsidRDefault="000A0EB4" w:rsidP="000A0EB4">
      <w:r w:rsidRPr="00167CB8">
        <w:t>The new dispute arrangements (s 65B of the Fair Work Act) are, however, quantifiable in the sense that the FWC records the number of applications made under this section.</w:t>
      </w:r>
    </w:p>
    <w:p w14:paraId="2F588456" w14:textId="16B3BE84" w:rsidR="000A0EB4" w:rsidRPr="00167CB8" w:rsidRDefault="000A0EB4" w:rsidP="000A0EB4">
      <w:r w:rsidRPr="00167CB8">
        <w:t>Prior to the amendments</w:t>
      </w:r>
      <w:r>
        <w:t>,</w:t>
      </w:r>
      <w:r w:rsidRPr="00167CB8">
        <w:t xml:space="preserve"> the FWC</w:t>
      </w:r>
      <w:r w:rsidR="00A349E2">
        <w:t>’</w:t>
      </w:r>
      <w:r w:rsidRPr="00167CB8">
        <w:t>s role in such matters was limited to applications under s 739. Under this provision, the FWC could address disputes only if a modern award or enterprise agreement included a term outlining procedures for resolving disputes on specific issues.</w:t>
      </w:r>
    </w:p>
    <w:p w14:paraId="71D9A551" w14:textId="08A08DF2" w:rsidR="000A0EB4" w:rsidRPr="00167CB8" w:rsidRDefault="000A0EB4" w:rsidP="000A0EB4">
      <w:r w:rsidRPr="00167CB8">
        <w:t xml:space="preserve">Between 1 July 2022 and 5 June 2023, the FWC received 34 applications </w:t>
      </w:r>
      <w:r>
        <w:t xml:space="preserve">under </w:t>
      </w:r>
      <w:r w:rsidRPr="00167CB8">
        <w:t xml:space="preserve">s 739 </w:t>
      </w:r>
      <w:r>
        <w:t xml:space="preserve">that were </w:t>
      </w:r>
      <w:r w:rsidRPr="00167CB8">
        <w:t>related to refusals of flexible working arrangement requests.</w:t>
      </w:r>
      <w:r>
        <w:t xml:space="preserve"> </w:t>
      </w:r>
      <w:r w:rsidRPr="396ABCA7">
        <w:t>Since the implementation of the Secure Jobs, Better Pay Act, the volume of applications has significantly increased. Between 6</w:t>
      </w:r>
      <w:r w:rsidR="00A349E2">
        <w:t> </w:t>
      </w:r>
      <w:r w:rsidRPr="396ABCA7">
        <w:t xml:space="preserve">June 2023 and 31 March 2024 (a comparable timeframe), the FWC received 150 s 65B applications. The FWC received an additional 63 applications </w:t>
      </w:r>
      <w:r>
        <w:t xml:space="preserve">between then and </w:t>
      </w:r>
      <w:r w:rsidRPr="396ABCA7">
        <w:t>30 June 2024.</w:t>
      </w:r>
    </w:p>
    <w:p w14:paraId="45A7F89B" w14:textId="77777777" w:rsidR="000A0EB4" w:rsidRPr="00167CB8" w:rsidRDefault="000A0EB4" w:rsidP="000A0EB4">
      <w:pPr>
        <w:rPr>
          <w:color w:val="777778" w:themeColor="accent5"/>
        </w:rPr>
      </w:pPr>
      <w:r w:rsidRPr="396ABCA7">
        <w:t xml:space="preserve">A limited number of s 65B applications have been resolved through arbitration. Throughout these cases, the FWC </w:t>
      </w:r>
      <w:r w:rsidRPr="00BD5AE5">
        <w:t>has generally</w:t>
      </w:r>
      <w:r w:rsidRPr="396ABCA7">
        <w:t xml:space="preserve"> found that the employers had reasonably accommodated certain circumstances and refused other parts of the requests on reasonable business grounds</w:t>
      </w:r>
      <w:r w:rsidRPr="00BD5AE5">
        <w:t>, paying particular attention to the specific circumstances of the applicants and employers</w:t>
      </w:r>
      <w:r w:rsidRPr="396ABCA7">
        <w:t>.</w:t>
      </w:r>
      <w:r w:rsidRPr="396ABCA7">
        <w:rPr>
          <w:vertAlign w:val="superscript"/>
        </w:rPr>
        <w:footnoteReference w:id="1176"/>
      </w:r>
    </w:p>
    <w:p w14:paraId="57F9269A" w14:textId="77777777" w:rsidR="000A0EB4" w:rsidRPr="00530476" w:rsidRDefault="000A0EB4" w:rsidP="00A349E2">
      <w:pPr>
        <w:pStyle w:val="Heading5"/>
      </w:pPr>
      <w:bookmarkStart w:id="576" w:name="_Toc188003431"/>
      <w:r w:rsidRPr="00530476">
        <w:t>31.2.2 Qualitative evidence</w:t>
      </w:r>
      <w:bookmarkEnd w:id="576"/>
    </w:p>
    <w:p w14:paraId="7C91B162" w14:textId="77777777" w:rsidR="0011475D" w:rsidRDefault="000A0EB4" w:rsidP="000A0EB4">
      <w:r w:rsidRPr="396ABCA7">
        <w:t xml:space="preserve">In a recent article published in the </w:t>
      </w:r>
      <w:r w:rsidRPr="396ABCA7">
        <w:rPr>
          <w:i/>
          <w:iCs/>
        </w:rPr>
        <w:t>Australian Journal of Labour Law</w:t>
      </w:r>
      <w:r w:rsidRPr="396ABCA7">
        <w:t>, Amanda Selvarajah examines how the FWC is exercising its new powers concerning flexible work disputes.</w:t>
      </w:r>
      <w:r w:rsidRPr="396ABCA7">
        <w:rPr>
          <w:rStyle w:val="FootnoteReference"/>
          <w:rFonts w:eastAsiaTheme="majorEastAsia" w:cs="Calibri"/>
        </w:rPr>
        <w:footnoteReference w:id="1177"/>
      </w:r>
      <w:r w:rsidRPr="396ABCA7">
        <w:t xml:space="preserve"> Her overall conclusion is that, although the FWC has the powers to assess whether employers are reasonably refusing requests on business grounds, they have, instead, become more focused on verifying eligibility. This, Selvarajah argues, stems from the approach of the Full Bench of the FWC in </w:t>
      </w:r>
      <w:r w:rsidRPr="396ABCA7">
        <w:rPr>
          <w:i/>
          <w:iCs/>
        </w:rPr>
        <w:t>Quirke v BSR Australia Ltd.</w:t>
      </w:r>
      <w:r w:rsidRPr="396ABCA7">
        <w:t xml:space="preserve"> Quirke had applied to change her roster, as evening shifts were exacerbating her symptoms of anxiety, depression and sleep disturbances. Selvarajah notes that Quirke had not served 12 months and was not eligible, but the significance of the case is that the Full Bench of the FWC found that Quirke had not been able to prove a ‘nexus’ between the criteria and the request. Citing Selvarajah, ‘the Full Bench found that Ms Quirke had not explained “</w:t>
      </w:r>
      <w:r w:rsidRPr="00CF5BA2">
        <w:rPr>
          <w:i/>
          <w:iCs/>
        </w:rPr>
        <w:t>why</w:t>
      </w:r>
      <w:r w:rsidRPr="396ABCA7">
        <w:rPr>
          <w:i/>
          <w:iCs/>
        </w:rPr>
        <w:t xml:space="preserve"> </w:t>
      </w:r>
      <w:r w:rsidRPr="396ABCA7">
        <w:t>she considers she has a psychosocial disability”’.</w:t>
      </w:r>
      <w:r w:rsidRPr="396ABCA7">
        <w:rPr>
          <w:rStyle w:val="FootnoteReference"/>
          <w:rFonts w:eastAsiaTheme="majorEastAsia" w:cs="Calibri"/>
        </w:rPr>
        <w:footnoteReference w:id="1178"/>
      </w:r>
    </w:p>
    <w:p w14:paraId="2C0FA8CD" w14:textId="30A6C8EE" w:rsidR="000A0EB4" w:rsidRPr="00167CB8" w:rsidRDefault="000A0EB4" w:rsidP="000A0EB4">
      <w:r w:rsidRPr="396ABCA7">
        <w:t xml:space="preserve">Selvarajah goes on to argue that the ‘stringent scrutiny’ applied by the FWC when considering the ‘nexus between an employee’s relevant circumstance and their flexibility request’ has resulted in them applying a ‘narrow approach’ to establishing eligibility </w:t>
      </w:r>
      <w:r w:rsidR="00B67B8F">
        <w:t xml:space="preserve">in </w:t>
      </w:r>
      <w:r w:rsidRPr="396ABCA7">
        <w:t xml:space="preserve">flexible work requests </w:t>
      </w:r>
      <w:r w:rsidRPr="396ABCA7">
        <w:lastRenderedPageBreak/>
        <w:t>and is, as a result, undermining the intent of the flexible work arrangement provisions. She concludes:</w:t>
      </w:r>
      <w:r w:rsidRPr="396ABCA7">
        <w:rPr>
          <w:rStyle w:val="FootnoteReference"/>
          <w:rFonts w:eastAsiaTheme="majorEastAsia" w:cs="Calibri"/>
        </w:rPr>
        <w:footnoteReference w:id="1179"/>
      </w:r>
    </w:p>
    <w:p w14:paraId="6FCB9956" w14:textId="77777777" w:rsidR="000A0EB4" w:rsidRPr="00167CB8" w:rsidRDefault="000A0EB4" w:rsidP="00400EF1">
      <w:pPr>
        <w:pStyle w:val="Quote"/>
      </w:pPr>
      <w:r w:rsidRPr="00167CB8">
        <w:t>the FWC is allowing for requests to be deemed ineligible due to a lack of evidence, preventing scrutiny of the reasonableness of employer responses. This approach has worrying implications for Australia’s flexible work rights. Employers could be emboldened to not seriously consider a flexible work request and reject even the negotiation phase required by the amended s 65 where they believe the employee’s eligibility may be easily challenged as such as where the criterion of having a disability or caring for someone with a disability is invoked. It is therefore essential that this approach is revised. The recent amendments have the potential to improve the enforceability of the right to request flexible work by positioning the FWC as a safeguard against the improper handling of requests. This power will remain underutilised, however, if requests are considered ineligible on account of arbitrary evidentiary requirements … Parliament should also consider clarifying and expanding eligibility requirements relating to the right to request flexible work to ensure that its recent amendments serve its intended purpose in strengthening Australia’s flexible work rights.</w:t>
      </w:r>
    </w:p>
    <w:p w14:paraId="70C6626A" w14:textId="77777777" w:rsidR="000A0EB4" w:rsidRPr="00167CB8" w:rsidRDefault="000A0EB4" w:rsidP="000A0EB4">
      <w:r w:rsidRPr="00167CB8">
        <w:t>The Review Panel notes that in several cases, while the FWC has found that the eligibility criteria have not been met, it has also noted findings and given</w:t>
      </w:r>
      <w:r>
        <w:t xml:space="preserve"> its</w:t>
      </w:r>
      <w:r w:rsidRPr="00167CB8">
        <w:t xml:space="preserve"> </w:t>
      </w:r>
      <w:r>
        <w:t>views on the</w:t>
      </w:r>
      <w:r w:rsidRPr="00167CB8">
        <w:t xml:space="preserve"> reasonableness of employers’ grounds for refusal.</w:t>
      </w:r>
    </w:p>
    <w:p w14:paraId="05BA6530" w14:textId="77777777" w:rsidR="000A0EB4" w:rsidRPr="00FC6D87" w:rsidRDefault="000A0EB4" w:rsidP="00A349E2">
      <w:pPr>
        <w:pStyle w:val="Heading5"/>
      </w:pPr>
      <w:bookmarkStart w:id="577" w:name="_Toc188003432"/>
      <w:r w:rsidRPr="00FC6D87">
        <w:t>31.2.3 Stakeholder views</w:t>
      </w:r>
      <w:bookmarkEnd w:id="577"/>
    </w:p>
    <w:p w14:paraId="28DF606B" w14:textId="77777777" w:rsidR="0011475D" w:rsidRDefault="000A0EB4" w:rsidP="000A0EB4">
      <w:pPr>
        <w:rPr>
          <w:lang w:eastAsia="en-AU"/>
        </w:rPr>
      </w:pPr>
      <w:r w:rsidRPr="396ABCA7">
        <w:rPr>
          <w:lang w:eastAsia="en-AU"/>
        </w:rPr>
        <w:t>Stakeholders expressed mixed views about the expanded right to request flexible working arrangements.</w:t>
      </w:r>
    </w:p>
    <w:p w14:paraId="5AC1D3F9" w14:textId="0E45DA96" w:rsidR="000A0EB4" w:rsidRPr="00167CB8" w:rsidRDefault="000A0EB4" w:rsidP="000A0EB4">
      <w:pPr>
        <w:rPr>
          <w:lang w:eastAsia="en-AU"/>
        </w:rPr>
      </w:pPr>
      <w:r w:rsidRPr="396ABCA7">
        <w:rPr>
          <w:lang w:eastAsia="en-AU"/>
        </w:rPr>
        <w:t xml:space="preserve">Employer </w:t>
      </w:r>
      <w:r w:rsidRPr="396ABCA7">
        <w:t>associations</w:t>
      </w:r>
      <w:r w:rsidRPr="396ABCA7">
        <w:rPr>
          <w:lang w:eastAsia="en-AU"/>
        </w:rPr>
        <w:t xml:space="preserve"> raised concerns that employees were now of the view that everyone has a right to request flexible work arrangements, irrespective of their role. Concerns were also expressed about the difficulty of managing flexible work in customer-facing roles. Employer </w:t>
      </w:r>
      <w:r w:rsidRPr="396ABCA7">
        <w:t>associations</w:t>
      </w:r>
      <w:r w:rsidRPr="396ABCA7">
        <w:rPr>
          <w:lang w:eastAsia="en-AU"/>
        </w:rPr>
        <w:t xml:space="preserve"> also anticipate an increase in the number of disputes and legal costs due to the rising number of requests, with worries about some paying ‘go-away money’ to avoid disputes.</w:t>
      </w:r>
    </w:p>
    <w:p w14:paraId="58EDE560" w14:textId="77777777" w:rsidR="000A0EB4" w:rsidRPr="00167CB8" w:rsidRDefault="000A0EB4" w:rsidP="000A0EB4">
      <w:pPr>
        <w:rPr>
          <w:lang w:eastAsia="en-AU"/>
        </w:rPr>
      </w:pPr>
      <w:r w:rsidRPr="00167CB8">
        <w:rPr>
          <w:lang w:eastAsia="en-AU"/>
        </w:rPr>
        <w:t xml:space="preserve">Other matters raised by employer </w:t>
      </w:r>
      <w:r w:rsidRPr="00167CB8">
        <w:t>associations</w:t>
      </w:r>
      <w:r w:rsidRPr="00167CB8">
        <w:rPr>
          <w:lang w:eastAsia="en-AU"/>
        </w:rPr>
        <w:t xml:space="preserve"> included:</w:t>
      </w:r>
    </w:p>
    <w:p w14:paraId="39857F9F" w14:textId="77777777" w:rsidR="000A0EB4" w:rsidRPr="00A349E2" w:rsidRDefault="000A0EB4" w:rsidP="00336C2C">
      <w:pPr>
        <w:pStyle w:val="ListBullet"/>
        <w:numPr>
          <w:ilvl w:val="0"/>
          <w:numId w:val="4"/>
        </w:numPr>
      </w:pPr>
      <w:r w:rsidRPr="00A349E2">
        <w:t>concerns that there may be exceptional circumstances preventing employers from responding to requests within 21 days (Ai Group)</w:t>
      </w:r>
    </w:p>
    <w:p w14:paraId="517DD83E" w14:textId="77777777" w:rsidR="000A0EB4" w:rsidRPr="00A349E2" w:rsidRDefault="000A0EB4" w:rsidP="00336C2C">
      <w:pPr>
        <w:pStyle w:val="ListBullet"/>
        <w:numPr>
          <w:ilvl w:val="0"/>
          <w:numId w:val="4"/>
        </w:numPr>
      </w:pPr>
      <w:r w:rsidRPr="00A349E2">
        <w:t>a requirement that flexible work agreements be time limited (Australian Chamber of Commerce and Industry (ACCI))</w:t>
      </w:r>
    </w:p>
    <w:p w14:paraId="63DDA86D" w14:textId="77777777" w:rsidR="000A0EB4" w:rsidRPr="00A349E2" w:rsidRDefault="000A0EB4" w:rsidP="00336C2C">
      <w:pPr>
        <w:pStyle w:val="ListBullet"/>
        <w:numPr>
          <w:ilvl w:val="0"/>
          <w:numId w:val="4"/>
        </w:numPr>
      </w:pPr>
      <w:r w:rsidRPr="00A349E2">
        <w:t>that jurisdictional objects be raised earlier in FWC processes (ACCI).</w:t>
      </w:r>
    </w:p>
    <w:p w14:paraId="499338A3" w14:textId="66F49961" w:rsidR="000A0EB4" w:rsidRPr="00167CB8" w:rsidRDefault="000A0EB4" w:rsidP="007D7233">
      <w:pPr>
        <w:rPr>
          <w:lang w:eastAsia="en-AU"/>
        </w:rPr>
      </w:pPr>
      <w:r w:rsidRPr="396ABCA7">
        <w:rPr>
          <w:lang w:eastAsia="en-AU"/>
        </w:rPr>
        <w:t xml:space="preserve">Unions, on the other hand, welcomed the changes and noted a surge in calls to assist with flexible work requests. They submitted that the FWC powers to arbitrate a dispute had led to a reduction in disputes. The Shop, Distributive and Allied Employees Association explained that </w:t>
      </w:r>
      <w:r w:rsidRPr="396ABCA7">
        <w:rPr>
          <w:lang w:eastAsia="en-AU"/>
        </w:rPr>
        <w:lastRenderedPageBreak/>
        <w:t xml:space="preserve">in the retail sector requests to change a roster had always been a problem, with many refused. Subsequent to the amendments – and the threat of arbitration </w:t>
      </w:r>
      <w:r w:rsidR="005A1FD2">
        <w:rPr>
          <w:rFonts w:ascii="Symbol" w:eastAsia="Symbol" w:hAnsi="Symbol" w:cs="Symbol"/>
          <w:lang w:eastAsia="en-AU"/>
        </w:rPr>
        <w:sym w:font="Symbol" w:char="F02D"/>
      </w:r>
      <w:r w:rsidRPr="396ABCA7">
        <w:rPr>
          <w:lang w:eastAsia="en-AU"/>
        </w:rPr>
        <w:t xml:space="preserve"> requests for roster changes are being approved.</w:t>
      </w:r>
    </w:p>
    <w:p w14:paraId="2FF0934B" w14:textId="50AD1D8A" w:rsidR="000A0EB4" w:rsidRDefault="000A0EB4" w:rsidP="007D7233">
      <w:pPr>
        <w:rPr>
          <w:lang w:eastAsia="en-AU"/>
        </w:rPr>
      </w:pPr>
      <w:r w:rsidRPr="396ABCA7">
        <w:rPr>
          <w:lang w:eastAsia="en-AU"/>
        </w:rPr>
        <w:t>Unions requested that the right be extend to all workers with caring responsibilities and those requiring flexibility for reproductive health. (Reproductive health is discussed above</w:t>
      </w:r>
      <w:r w:rsidR="005A1FD2">
        <w:rPr>
          <w:lang w:eastAsia="en-AU"/>
        </w:rPr>
        <w:t>.</w:t>
      </w:r>
      <w:r w:rsidRPr="396ABCA7">
        <w:rPr>
          <w:lang w:eastAsia="en-AU"/>
        </w:rPr>
        <w:t>)</w:t>
      </w:r>
    </w:p>
    <w:p w14:paraId="3B4F6210" w14:textId="77777777" w:rsidR="000A0EB4" w:rsidRPr="00DC632F" w:rsidRDefault="000A0EB4" w:rsidP="007D7233">
      <w:pPr>
        <w:rPr>
          <w:lang w:eastAsia="en-AU"/>
        </w:rPr>
      </w:pPr>
      <w:r w:rsidRPr="00BD5AE5">
        <w:rPr>
          <w:lang w:eastAsia="en-AU"/>
        </w:rPr>
        <w:t>The Review Panel consulted stakeholders about its proposed findings that the amendments are operating as intended and that there has not yet been sufficient FWC consideration to recommend further changes.</w:t>
      </w:r>
    </w:p>
    <w:p w14:paraId="6F71D408" w14:textId="77777777" w:rsidR="000A0EB4" w:rsidRPr="00BD5AE5" w:rsidRDefault="000A0EB4" w:rsidP="000A0EB4">
      <w:r w:rsidRPr="00BD5AE5">
        <w:t>Clubs Australia continued to advocate for a balanced approach to flexible work requests,</w:t>
      </w:r>
      <w:r w:rsidRPr="00BD5AE5">
        <w:rPr>
          <w:rStyle w:val="FootnoteReference"/>
        </w:rPr>
        <w:footnoteReference w:id="1180"/>
      </w:r>
      <w:r w:rsidRPr="00BD5AE5">
        <w:t xml:space="preserve"> while ACCI and Ai Group reiterated their initial comments.</w:t>
      </w:r>
      <w:r w:rsidRPr="00BD5AE5">
        <w:rPr>
          <w:rStyle w:val="FootnoteReference"/>
        </w:rPr>
        <w:footnoteReference w:id="1181"/>
      </w:r>
    </w:p>
    <w:p w14:paraId="7CE01709" w14:textId="72D763DF" w:rsidR="000A0EB4" w:rsidRPr="00BD5AE5" w:rsidRDefault="000A0EB4" w:rsidP="000A0EB4">
      <w:r w:rsidRPr="00BD5AE5">
        <w:t xml:space="preserve">Professor Charlesworth encouraged the Review Panel to adopt recommendation </w:t>
      </w:r>
      <w:r w:rsidR="005A1FD2">
        <w:t xml:space="preserve">3 </w:t>
      </w:r>
      <w:r w:rsidRPr="00BD5AE5">
        <w:t xml:space="preserve">of the </w:t>
      </w:r>
      <w:r w:rsidRPr="00BD5AE5">
        <w:rPr>
          <w:i/>
        </w:rPr>
        <w:t>Senate Select Committee on Work and Care Interim Report</w:t>
      </w:r>
      <w:r w:rsidRPr="00BD5AE5">
        <w:t xml:space="preserve"> to ‘normalise flexible work arrangements’ by extending the right to all workers and replacing the grounds of refusal with grounds of ‘unjustifiable hardship’ as well a positive duty on employers to reasonably accommodate flexible working arrangements. Professor Charlesworth’s suggestions are intended to address the issue of establishing the ‘nexus’ in determining eligibility. Professor Charlesworth also noted the importance of data, particularly regarding the outcomes of disputes, to monitor the operation of the amendments.</w:t>
      </w:r>
      <w:r w:rsidRPr="00BD5AE5">
        <w:rPr>
          <w:rStyle w:val="FootnoteReference"/>
        </w:rPr>
        <w:footnoteReference w:id="1182"/>
      </w:r>
    </w:p>
    <w:p w14:paraId="0F8C6207" w14:textId="5BED3255" w:rsidR="0011475D" w:rsidRDefault="000A0EB4" w:rsidP="000A0EB4">
      <w:r w:rsidRPr="00BD5AE5">
        <w:t xml:space="preserve">The </w:t>
      </w:r>
      <w:r w:rsidR="00DA16DC">
        <w:t>Australian Council of Trade Unions (ACTU)</w:t>
      </w:r>
      <w:r w:rsidRPr="00BD5AE5" w:rsidDel="00DA16DC">
        <w:t xml:space="preserve"> </w:t>
      </w:r>
      <w:r w:rsidRPr="00BD5AE5">
        <w:t xml:space="preserve">and </w:t>
      </w:r>
      <w:r w:rsidR="00F92750">
        <w:t>the</w:t>
      </w:r>
      <w:r w:rsidRPr="00BD5AE5">
        <w:t xml:space="preserve"> </w:t>
      </w:r>
      <w:r w:rsidR="00DA16DC" w:rsidRPr="00DA16DC">
        <w:t xml:space="preserve">Community and Public Sector Union </w:t>
      </w:r>
      <w:r w:rsidR="00DA16DC">
        <w:t>(</w:t>
      </w:r>
      <w:r w:rsidRPr="00BD5AE5">
        <w:t>CPSU</w:t>
      </w:r>
      <w:r w:rsidR="00DA16DC">
        <w:t>)</w:t>
      </w:r>
      <w:r w:rsidRPr="00BD5AE5">
        <w:t xml:space="preserve"> noted the proposed findings that the amendments are operating as intended but called for specific research to understand how the flexible work provisions are operating in practice, in advance of a further review of the </w:t>
      </w:r>
      <w:r w:rsidR="00F32D08">
        <w:t xml:space="preserve">Secure Jobs, Better Pay </w:t>
      </w:r>
      <w:r w:rsidRPr="00BD5AE5">
        <w:t>Act.</w:t>
      </w:r>
      <w:r w:rsidRPr="00BD5AE5">
        <w:rPr>
          <w:rStyle w:val="FootnoteReference"/>
        </w:rPr>
        <w:footnoteReference w:id="1183"/>
      </w:r>
      <w:r w:rsidRPr="00BD5AE5">
        <w:t xml:space="preserve"> The CPSU also highlighted </w:t>
      </w:r>
      <w:r w:rsidRPr="00846DC0">
        <w:t xml:space="preserve">the usefulness of the new provisions in negotiating the flexible work clause </w:t>
      </w:r>
      <w:r w:rsidR="00DA16DC" w:rsidRPr="00246E35">
        <w:t>(which extends the right to request flexible working arrangements to all</w:t>
      </w:r>
      <w:r w:rsidR="00DA16DC" w:rsidRPr="00BD5AE5">
        <w:t xml:space="preserve"> employees)</w:t>
      </w:r>
      <w:r w:rsidR="00DA16DC">
        <w:t xml:space="preserve"> </w:t>
      </w:r>
      <w:r w:rsidRPr="00846DC0">
        <w:t>in 103 Australian Public Service enterprise agreements</w:t>
      </w:r>
      <w:r w:rsidRPr="00BD5AE5">
        <w:t>.</w:t>
      </w:r>
      <w:r w:rsidRPr="00BD5AE5">
        <w:rPr>
          <w:rStyle w:val="FootnoteReference"/>
        </w:rPr>
        <w:footnoteReference w:id="1184"/>
      </w:r>
    </w:p>
    <w:p w14:paraId="36BD549A" w14:textId="0D3D9BBD" w:rsidR="000A0EB4" w:rsidRPr="00355D0E" w:rsidRDefault="000A0EB4" w:rsidP="00543E41">
      <w:pPr>
        <w:pStyle w:val="Heading4"/>
      </w:pPr>
      <w:bookmarkStart w:id="578" w:name="_Toc188003433"/>
      <w:bookmarkStart w:id="579" w:name="_Toc188277964"/>
      <w:bookmarkStart w:id="580" w:name="_Toc189260315"/>
      <w:bookmarkStart w:id="581" w:name="_Toc189393631"/>
      <w:r w:rsidRPr="00355D0E">
        <w:t>31.3 Findings and recommendations</w:t>
      </w:r>
      <w:bookmarkEnd w:id="578"/>
      <w:bookmarkEnd w:id="579"/>
      <w:bookmarkEnd w:id="580"/>
      <w:bookmarkEnd w:id="581"/>
    </w:p>
    <w:p w14:paraId="18636221" w14:textId="7467E8B5" w:rsidR="000A0EB4" w:rsidRPr="00167CB8" w:rsidRDefault="000A0EB4" w:rsidP="007D5931">
      <w:r w:rsidRPr="00167CB8">
        <w:rPr>
          <w:rFonts w:eastAsia="Times New Roman" w:cs="Calibri"/>
          <w:lang w:eastAsia="en-AU"/>
        </w:rPr>
        <w:t xml:space="preserve">The </w:t>
      </w:r>
      <w:r w:rsidRPr="00167CB8">
        <w:t>Secure Jobs, Better Pay amendments related to the NES right to request flexible work arrangements included new provisions aimed at enhancing employer obligations concerning the requests (e.g. genuinely trying to reach agreement and providing sufficient detail in written responses) and new dispute resolution provisions. These amendments came into effect on 6</w:t>
      </w:r>
      <w:r w:rsidR="00F32D08">
        <w:t> </w:t>
      </w:r>
      <w:r w:rsidRPr="00167CB8">
        <w:t>June 2023.</w:t>
      </w:r>
    </w:p>
    <w:p w14:paraId="10E17EE8" w14:textId="77777777" w:rsidR="0011475D" w:rsidRDefault="000A0EB4" w:rsidP="007D5931">
      <w:r w:rsidRPr="00167CB8">
        <w:t>Available evidence suggests that the amendments are working as intended. Employees have better access to flexible work arrangements (e.g. rosters) and have an avenue for dispute resolution if their requests are unreasonably refused.</w:t>
      </w:r>
    </w:p>
    <w:p w14:paraId="3164D58B" w14:textId="4AE01063" w:rsidR="000A0EB4" w:rsidRDefault="000A0EB4" w:rsidP="007D5931">
      <w:r w:rsidRPr="396ABCA7">
        <w:lastRenderedPageBreak/>
        <w:t>The Review Panel acknowledges Amanda Selvarajah’s concerns</w:t>
      </w:r>
      <w:r w:rsidRPr="00BD5AE5">
        <w:t>, shared by the ACTU,</w:t>
      </w:r>
      <w:r w:rsidRPr="396ABCA7">
        <w:t xml:space="preserve"> that the FWC may be taking a narrow approach to determining eligibility, potentially diverging from the legislation’s intent. The Review Panel also recognises her recommendation for parliament to clarify and expand eligibility criteria. However, the Review Panel is cautious about adopting this suggestion at this stage, noting that the provisions are still in their early stages, with limited cases to date, and that the FWC, being a tribunal rather than a court, is not strictly bound by precedent.</w:t>
      </w:r>
    </w:p>
    <w:p w14:paraId="04610227" w14:textId="77777777" w:rsidR="000A0EB4" w:rsidRPr="00167CB8" w:rsidRDefault="000A0EB4" w:rsidP="007D5931">
      <w:r w:rsidRPr="00BD5AE5">
        <w:t xml:space="preserve">Similarly, there is not yet sufficient evidence about the impacts of the Secure Jobs, Better Pay amendments for the Review Panel to recommend expanding the right to request flexible working arrangements to more workers, as suggested by Professor Charlesworth. Additional examples of FWC consideration (particularly about eligibility and reasonable business grounds), as well as more </w:t>
      </w:r>
      <w:r>
        <w:t>systematic data</w:t>
      </w:r>
      <w:r w:rsidRPr="00BD5AE5">
        <w:t xml:space="preserve"> about the actual use of flexible working arrangements</w:t>
      </w:r>
      <w:r>
        <w:t xml:space="preserve"> and employer responses to employee requests</w:t>
      </w:r>
      <w:r w:rsidRPr="00BD5AE5">
        <w:t>, would better support future policy and a further review (see Recommendation 1). Such research could also provide further insights into the effects of the right to request flexible working arrangements on workplaces and employees to determine if expansion is appropriate.</w:t>
      </w:r>
    </w:p>
    <w:p w14:paraId="189C3EAE" w14:textId="51575141" w:rsidR="000A0EB4" w:rsidRPr="00167CB8" w:rsidRDefault="000A0EB4" w:rsidP="007D5931">
      <w:r w:rsidRPr="396ABCA7">
        <w:t>The Review Panel also acknowledges Ai Group</w:t>
      </w:r>
      <w:r w:rsidR="00DA16DC">
        <w:t>’</w:t>
      </w:r>
      <w:r w:rsidRPr="396ABCA7">
        <w:t xml:space="preserve">s concern that some requests </w:t>
      </w:r>
      <w:r>
        <w:t xml:space="preserve">for flexible work </w:t>
      </w:r>
      <w:r w:rsidRPr="396ABCA7">
        <w:t>may take longer than 21 days to address for understandable reasons. However, the Review Panel believes this issue can be effectively managed through clear and timely communication between the parties</w:t>
      </w:r>
      <w:r>
        <w:t xml:space="preserve"> </w:t>
      </w:r>
      <w:r w:rsidRPr="00BD5AE5">
        <w:t>and notes that it does not necessarily limit the FWC from dismissing applications so</w:t>
      </w:r>
      <w:r>
        <w:t xml:space="preserve"> </w:t>
      </w:r>
      <w:r w:rsidRPr="396ABCA7">
        <w:t>does not warrant a legislative amendment.</w:t>
      </w:r>
    </w:p>
    <w:p w14:paraId="3D1D48A4" w14:textId="77777777" w:rsidR="000A0EB4" w:rsidRPr="00167CB8" w:rsidRDefault="000A0EB4" w:rsidP="007D5931">
      <w:pPr>
        <w:rPr>
          <w:rFonts w:cstheme="minorHAnsi"/>
        </w:rPr>
      </w:pPr>
      <w:r w:rsidRPr="00167CB8">
        <w:rPr>
          <w:rFonts w:cstheme="minorHAnsi"/>
        </w:rPr>
        <w:t>The Review Panel makes no recommendations in relation to these amendments.</w:t>
      </w:r>
    </w:p>
    <w:p w14:paraId="27789498" w14:textId="77777777" w:rsidR="000A0EB4" w:rsidRPr="00167CB8" w:rsidRDefault="000A0EB4" w:rsidP="000A0EB4">
      <w:pPr>
        <w:spacing w:after="160"/>
        <w:rPr>
          <w:rFonts w:cstheme="minorHAnsi"/>
        </w:rPr>
      </w:pPr>
      <w:r w:rsidRPr="00167CB8">
        <w:rPr>
          <w:rFonts w:cstheme="minorHAnsi"/>
        </w:rPr>
        <w:br w:type="page"/>
      </w:r>
    </w:p>
    <w:p w14:paraId="57E95CF7" w14:textId="77777777" w:rsidR="000A0EB4" w:rsidRPr="00BB3E6C" w:rsidRDefault="000A0EB4" w:rsidP="00F32D08">
      <w:pPr>
        <w:pStyle w:val="Heading3"/>
      </w:pPr>
      <w:bookmarkStart w:id="582" w:name="_Toc188003434"/>
      <w:bookmarkStart w:id="583" w:name="_Toc188277965"/>
      <w:bookmarkStart w:id="584" w:name="_Toc189260316"/>
      <w:bookmarkStart w:id="585" w:name="_Toc189393632"/>
      <w:bookmarkStart w:id="586" w:name="_Toc194311440"/>
      <w:r w:rsidRPr="00BB3E6C">
        <w:lastRenderedPageBreak/>
        <w:t>Chapter 32. Unpaid parental leave</w:t>
      </w:r>
      <w:bookmarkEnd w:id="582"/>
      <w:bookmarkEnd w:id="583"/>
      <w:bookmarkEnd w:id="584"/>
      <w:bookmarkEnd w:id="585"/>
      <w:bookmarkEnd w:id="586"/>
    </w:p>
    <w:p w14:paraId="2EA05017" w14:textId="77777777" w:rsidR="000A0EB4" w:rsidRPr="00167CB8" w:rsidRDefault="000A0EB4" w:rsidP="000A0EB4">
      <w:pPr>
        <w:rPr>
          <w:color w:val="777778" w:themeColor="accent5"/>
        </w:rPr>
      </w:pPr>
      <w:r w:rsidRPr="00167CB8">
        <w:t xml:space="preserve">In this chapter the focus is on Part 25B (Unpaid parental leave) amendments in the </w:t>
      </w:r>
      <w:r w:rsidRPr="00167CB8">
        <w:rPr>
          <w:rFonts w:cstheme="minorHAnsi"/>
        </w:rPr>
        <w:t>Secure Jobs, Better Pay</w:t>
      </w:r>
      <w:r w:rsidRPr="00167CB8">
        <w:t xml:space="preserve"> Act.</w:t>
      </w:r>
    </w:p>
    <w:p w14:paraId="572D4C75" w14:textId="77777777" w:rsidR="000A0EB4" w:rsidRPr="00BB3E6C" w:rsidRDefault="000A0EB4" w:rsidP="00F32D08">
      <w:pPr>
        <w:pStyle w:val="Heading4"/>
      </w:pPr>
      <w:bookmarkStart w:id="587" w:name="_Toc188003435"/>
      <w:bookmarkStart w:id="588" w:name="_Toc188277966"/>
      <w:bookmarkStart w:id="589" w:name="_Toc189260317"/>
      <w:bookmarkStart w:id="590" w:name="_Toc189393633"/>
      <w:r w:rsidRPr="00BB3E6C">
        <w:t>32.1 Amendments and intent</w:t>
      </w:r>
      <w:bookmarkEnd w:id="587"/>
      <w:bookmarkEnd w:id="588"/>
      <w:bookmarkEnd w:id="589"/>
      <w:bookmarkEnd w:id="590"/>
    </w:p>
    <w:p w14:paraId="7FDB16FE" w14:textId="77777777" w:rsidR="000A0EB4" w:rsidRPr="00167CB8" w:rsidRDefault="000A0EB4" w:rsidP="000A0EB4">
      <w:r w:rsidRPr="00167CB8">
        <w:t>The Part 25B amendments result in changes to Division 5 (Parental leave and related entitlements) in Part 2-2 (The National Employment Standards) of the Fair Work Act.</w:t>
      </w:r>
    </w:p>
    <w:p w14:paraId="130DFD18" w14:textId="2A4D72C3" w:rsidR="000A0EB4" w:rsidRPr="00167CB8" w:rsidRDefault="000A0EB4" w:rsidP="000A0EB4">
      <w:pPr>
        <w:rPr>
          <w:color w:val="777778" w:themeColor="accent5"/>
        </w:rPr>
      </w:pPr>
      <w:r w:rsidRPr="396ABCA7">
        <w:t xml:space="preserve">There are </w:t>
      </w:r>
      <w:r>
        <w:t>two</w:t>
      </w:r>
      <w:r w:rsidRPr="396ABCA7">
        <w:t xml:space="preserve"> main changes. The first (Division 1) is concerned with employer obligations concerning requests for extensions to unpaid parental leave. The second (Division 2) sets out </w:t>
      </w:r>
      <w:r w:rsidRPr="004739BE">
        <w:t xml:space="preserve">the dispute resolution process if requests are refused. The amendments are similar to those outlined </w:t>
      </w:r>
      <w:r w:rsidR="00DA16DC">
        <w:t>in</w:t>
      </w:r>
      <w:r w:rsidR="00DA16DC" w:rsidRPr="004739BE">
        <w:t xml:space="preserve"> </w:t>
      </w:r>
      <w:r w:rsidRPr="004739BE">
        <w:t xml:space="preserve">Chapter 31 </w:t>
      </w:r>
      <w:r w:rsidRPr="396ABCA7">
        <w:t>related to requests to vary working arrangements.</w:t>
      </w:r>
    </w:p>
    <w:p w14:paraId="47A204EE" w14:textId="77777777" w:rsidR="0011475D" w:rsidRPr="00543E41" w:rsidRDefault="000A0EB4" w:rsidP="00543E41">
      <w:pPr>
        <w:pStyle w:val="Heading5"/>
      </w:pPr>
      <w:bookmarkStart w:id="591" w:name="_Toc188003436"/>
      <w:r w:rsidRPr="00BB3E6C">
        <w:t>32.1.1 Secure Jobs, Better Pay amendments</w:t>
      </w:r>
      <w:bookmarkEnd w:id="591"/>
    </w:p>
    <w:p w14:paraId="6BC6E5E6" w14:textId="35CE5510" w:rsidR="000A0EB4" w:rsidRPr="00167CB8" w:rsidRDefault="000A0EB4" w:rsidP="000A0EB4">
      <w:r w:rsidRPr="00167CB8">
        <w:t>Section 70 (Entitlement to unpaid parental leave) of the Fair Work Act specifies that:</w:t>
      </w:r>
    </w:p>
    <w:p w14:paraId="040F6F74" w14:textId="77777777" w:rsidR="0011475D" w:rsidRDefault="000A0EB4" w:rsidP="00400EF1">
      <w:pPr>
        <w:pStyle w:val="Quote"/>
      </w:pPr>
      <w:r w:rsidRPr="00167CB8">
        <w:t>An employee is entitled to 12 months of unpaid parental leave if:</w:t>
      </w:r>
    </w:p>
    <w:p w14:paraId="52BCE182" w14:textId="77777777" w:rsidR="0011475D" w:rsidRDefault="000A0EB4" w:rsidP="00400EF1">
      <w:pPr>
        <w:pStyle w:val="Quote"/>
      </w:pPr>
      <w:r w:rsidRPr="00167CB8">
        <w:t>(a)</w:t>
      </w:r>
      <w:r w:rsidRPr="00167CB8">
        <w:tab/>
        <w:t>the leave is associated with:</w:t>
      </w:r>
    </w:p>
    <w:p w14:paraId="0EE408E6" w14:textId="5F336BD6" w:rsidR="000A0EB4" w:rsidRPr="00167CB8" w:rsidRDefault="000A0EB4" w:rsidP="00A06833">
      <w:pPr>
        <w:pStyle w:val="Quote"/>
        <w:ind w:left="2160"/>
      </w:pPr>
      <w:r w:rsidRPr="00167CB8">
        <w:t>(i)</w:t>
      </w:r>
      <w:r w:rsidRPr="00167CB8">
        <w:tab/>
        <w:t>the birth of a child of the employee or the employee’s spouse or de facto partner; or</w:t>
      </w:r>
    </w:p>
    <w:p w14:paraId="0BF52F69" w14:textId="78386945" w:rsidR="0011475D" w:rsidRDefault="000A0EB4" w:rsidP="00A06833">
      <w:pPr>
        <w:pStyle w:val="Quote"/>
        <w:ind w:left="2160"/>
      </w:pPr>
      <w:r w:rsidRPr="00167CB8">
        <w:t>(ii)</w:t>
      </w:r>
      <w:r w:rsidRPr="00167CB8">
        <w:tab/>
        <w:t>the placement of a child with the employee for adoption; and</w:t>
      </w:r>
    </w:p>
    <w:p w14:paraId="7FBB5D9B" w14:textId="2E0E3DDE" w:rsidR="000A0EB4" w:rsidRPr="00167CB8" w:rsidRDefault="000A0EB4" w:rsidP="00400EF1">
      <w:pPr>
        <w:pStyle w:val="Quote"/>
      </w:pPr>
      <w:r w:rsidRPr="00167CB8">
        <w:t xml:space="preserve">(b) </w:t>
      </w:r>
      <w:r w:rsidR="00F32D08">
        <w:tab/>
      </w:r>
      <w:r w:rsidRPr="00167CB8">
        <w:t>the employee has or will have a responsibility for the care of the child.</w:t>
      </w:r>
    </w:p>
    <w:p w14:paraId="23591442" w14:textId="77777777" w:rsidR="0011475D" w:rsidRDefault="000A0EB4" w:rsidP="000A0EB4">
      <w:r w:rsidRPr="00167CB8">
        <w:t>Section 71 specifies the period of leave (e.g. single continuous period, when it must start and end). Section 76 enables an employee who takes unpaid parental leave under s 71 to request an extension for up to 12 months.</w:t>
      </w:r>
    </w:p>
    <w:p w14:paraId="3F129010" w14:textId="77777777" w:rsidR="0011475D" w:rsidRDefault="000A0EB4" w:rsidP="000A0EB4">
      <w:r w:rsidRPr="396ABCA7">
        <w:t>The Secure Jobs, Better Pay amendments insert a new section (s 76A) concerning employer obligations relating to requests for an extension of unpaid parental leave. Under this section employers are required to:</w:t>
      </w:r>
    </w:p>
    <w:p w14:paraId="5EBF79EF" w14:textId="77777777" w:rsidR="0011475D" w:rsidRDefault="000A0EB4" w:rsidP="003F7EE6">
      <w:pPr>
        <w:pStyle w:val="ListBullet"/>
        <w:numPr>
          <w:ilvl w:val="0"/>
          <w:numId w:val="4"/>
        </w:numPr>
      </w:pPr>
      <w:r w:rsidRPr="00167CB8">
        <w:t>provide a written response to the request within 21 days</w:t>
      </w:r>
    </w:p>
    <w:p w14:paraId="4F401732" w14:textId="1C82BDFE" w:rsidR="000A0EB4" w:rsidRPr="00167CB8" w:rsidRDefault="000A0EB4" w:rsidP="003F7EE6">
      <w:pPr>
        <w:pStyle w:val="ListBullet"/>
        <w:numPr>
          <w:ilvl w:val="0"/>
          <w:numId w:val="4"/>
        </w:numPr>
      </w:pPr>
      <w:r w:rsidRPr="396ABCA7">
        <w:t>set out the agreed extended period (if different to the period sought)</w:t>
      </w:r>
    </w:p>
    <w:p w14:paraId="41137C61" w14:textId="77777777" w:rsidR="0011475D" w:rsidRDefault="000A0EB4" w:rsidP="003F7EE6">
      <w:pPr>
        <w:pStyle w:val="ListBullet"/>
        <w:numPr>
          <w:ilvl w:val="0"/>
          <w:numId w:val="4"/>
        </w:numPr>
      </w:pPr>
      <w:r w:rsidRPr="396ABCA7">
        <w:t>explain the grounds for refusal (if refused).</w:t>
      </w:r>
    </w:p>
    <w:p w14:paraId="2C7FE000" w14:textId="34A3FBBE" w:rsidR="000A0EB4" w:rsidRPr="00167CB8" w:rsidRDefault="00F32D08" w:rsidP="000A0EB4">
      <w:r>
        <w:t>An e</w:t>
      </w:r>
      <w:r w:rsidR="000A0EB4" w:rsidRPr="396ABCA7">
        <w:t xml:space="preserve">mployer may refuse </w:t>
      </w:r>
      <w:r w:rsidR="00FA26EA">
        <w:t>requests</w:t>
      </w:r>
      <w:r w:rsidR="000A0EB4" w:rsidRPr="396ABCA7">
        <w:t xml:space="preserve"> on reasonable business grounds.</w:t>
      </w:r>
      <w:r w:rsidR="000A0EB4" w:rsidRPr="396ABCA7">
        <w:rPr>
          <w:rStyle w:val="FootnoteReference"/>
        </w:rPr>
        <w:footnoteReference w:id="1185"/>
      </w:r>
      <w:r w:rsidR="000A0EB4" w:rsidRPr="396ABCA7">
        <w:t xml:space="preserve"> </w:t>
      </w:r>
      <w:r w:rsidR="000A0EB4">
        <w:t>As noted, t</w:t>
      </w:r>
      <w:r w:rsidR="000A0EB4" w:rsidRPr="396ABCA7">
        <w:t>he grounds are similar to those set out in s 65A(5) (the business grounds upon which an employer may refuse a request for flexible working arrangements) (</w:t>
      </w:r>
      <w:r w:rsidR="000A0EB4" w:rsidRPr="00FD51E9">
        <w:t xml:space="preserve">see </w:t>
      </w:r>
      <w:r w:rsidR="000A0EB4" w:rsidRPr="002F2C31">
        <w:t>section 31.1.1</w:t>
      </w:r>
      <w:r w:rsidR="000A0EB4" w:rsidRPr="00FD51E9">
        <w:t xml:space="preserve"> above</w:t>
      </w:r>
      <w:r w:rsidR="000A0EB4" w:rsidRPr="396ABCA7">
        <w:t>).</w:t>
      </w:r>
    </w:p>
    <w:p w14:paraId="40C11B6B" w14:textId="77777777" w:rsidR="000A0EB4" w:rsidRPr="00167CB8" w:rsidRDefault="000A0EB4" w:rsidP="000A0EB4">
      <w:pPr>
        <w:rPr>
          <w:rFonts w:eastAsia="Times New Roman" w:cs="Calibri"/>
          <w:lang w:eastAsia="en-AU"/>
        </w:rPr>
      </w:pPr>
      <w:r w:rsidRPr="00167CB8">
        <w:rPr>
          <w:rFonts w:eastAsia="Times New Roman" w:cs="Calibri"/>
          <w:lang w:eastAsia="en-AU"/>
        </w:rPr>
        <w:t>The changes came into effect on 6 June 2023.</w:t>
      </w:r>
    </w:p>
    <w:p w14:paraId="4B45B349" w14:textId="0898DFCF" w:rsidR="000A0EB4" w:rsidRPr="00167CB8" w:rsidRDefault="000A0EB4" w:rsidP="000A0EB4">
      <w:r w:rsidRPr="396ABCA7">
        <w:lastRenderedPageBreak/>
        <w:t xml:space="preserve">The Review Panel notes that </w:t>
      </w:r>
      <w:r w:rsidRPr="396ABCA7">
        <w:rPr>
          <w:i/>
          <w:iCs/>
        </w:rPr>
        <w:t>Fair Work Amendment (Protecting Worker Entitlements) Act 2023</w:t>
      </w:r>
      <w:r w:rsidR="00DA16DC">
        <w:rPr>
          <w:i/>
          <w:iCs/>
        </w:rPr>
        <w:t> </w:t>
      </w:r>
      <w:r w:rsidRPr="396ABCA7">
        <w:t>(Cth) also made amendments to the Fair Work Act provisions regarding unpaid parental leave.</w:t>
      </w:r>
      <w:r w:rsidRPr="396ABCA7">
        <w:rPr>
          <w:rStyle w:val="FootnoteReference"/>
        </w:rPr>
        <w:footnoteReference w:id="1186"/>
      </w:r>
    </w:p>
    <w:p w14:paraId="4BFBC213" w14:textId="77777777" w:rsidR="000A0EB4" w:rsidRPr="002F2C31" w:rsidRDefault="000A0EB4" w:rsidP="00F32D08">
      <w:pPr>
        <w:pStyle w:val="Heading5"/>
      </w:pPr>
      <w:bookmarkStart w:id="592" w:name="_Toc188003437"/>
      <w:r w:rsidRPr="002F2C31">
        <w:t>32.1.2 Intent of Secure Jobs, Better Pay amendments</w:t>
      </w:r>
      <w:bookmarkEnd w:id="592"/>
    </w:p>
    <w:p w14:paraId="1451227B" w14:textId="77777777" w:rsidR="000A0EB4" w:rsidRPr="00167CB8" w:rsidRDefault="000A0EB4" w:rsidP="000A0EB4">
      <w:pPr>
        <w:rPr>
          <w:color w:val="777778" w:themeColor="accent5"/>
        </w:rPr>
      </w:pPr>
      <w:r w:rsidRPr="396ABCA7">
        <w:rPr>
          <w:rFonts w:eastAsia="Times New Roman" w:cs="Calibri"/>
          <w:lang w:eastAsia="en-AU"/>
        </w:rPr>
        <w:t xml:space="preserve">The </w:t>
      </w:r>
      <w:r w:rsidRPr="396ABCA7">
        <w:t>Secure Jobs, Better Pay</w:t>
      </w:r>
      <w:r w:rsidRPr="396ABCA7">
        <w:rPr>
          <w:rFonts w:eastAsia="Times New Roman" w:cs="Calibri"/>
          <w:lang w:eastAsia="en-AU"/>
        </w:rPr>
        <w:t xml:space="preserve"> amendments</w:t>
      </w:r>
      <w:r>
        <w:rPr>
          <w:rFonts w:eastAsia="Times New Roman" w:cs="Calibri"/>
          <w:lang w:eastAsia="en-AU"/>
        </w:rPr>
        <w:t xml:space="preserve"> </w:t>
      </w:r>
      <w:r w:rsidRPr="396ABCA7">
        <w:rPr>
          <w:rFonts w:eastAsia="Times New Roman" w:cs="Calibri"/>
          <w:lang w:eastAsia="en-AU"/>
        </w:rPr>
        <w:t xml:space="preserve">concerning the extension of unpaid parental leave </w:t>
      </w:r>
      <w:r>
        <w:rPr>
          <w:rFonts w:eastAsia="Times New Roman" w:cs="Calibri"/>
          <w:lang w:eastAsia="en-AU"/>
        </w:rPr>
        <w:t>are intended</w:t>
      </w:r>
      <w:r w:rsidRPr="396ABCA7">
        <w:rPr>
          <w:rFonts w:eastAsia="Times New Roman" w:cs="Calibri"/>
          <w:lang w:eastAsia="en-AU"/>
        </w:rPr>
        <w:t xml:space="preserve"> provide parents with greater workplace flexibility when it comes to caring for children.</w:t>
      </w:r>
      <w:r w:rsidRPr="396ABCA7">
        <w:rPr>
          <w:rFonts w:eastAsia="Times New Roman" w:cs="Calibri"/>
          <w:vertAlign w:val="superscript"/>
          <w:lang w:eastAsia="en-AU"/>
        </w:rPr>
        <w:footnoteReference w:id="1187"/>
      </w:r>
      <w:r w:rsidRPr="396ABCA7">
        <w:rPr>
          <w:rFonts w:eastAsia="Times New Roman" w:cs="Calibri"/>
          <w:lang w:eastAsia="en-AU"/>
        </w:rPr>
        <w:t xml:space="preserve"> </w:t>
      </w:r>
      <w:r>
        <w:rPr>
          <w:rFonts w:eastAsia="Times New Roman" w:cs="Calibri"/>
          <w:lang w:eastAsia="en-AU"/>
        </w:rPr>
        <w:t>The</w:t>
      </w:r>
      <w:r w:rsidRPr="396ABCA7">
        <w:rPr>
          <w:rFonts w:eastAsia="Times New Roman" w:cs="Calibri"/>
          <w:lang w:eastAsia="en-AU"/>
        </w:rPr>
        <w:t xml:space="preserve"> Senate Select Committee on Work and Care commended these amendments to the Fair Work Act.</w:t>
      </w:r>
      <w:r w:rsidRPr="396ABCA7">
        <w:rPr>
          <w:rStyle w:val="FootnoteReference"/>
          <w:rFonts w:eastAsia="Times New Roman" w:cs="Calibri"/>
          <w:lang w:eastAsia="en-AU"/>
        </w:rPr>
        <w:footnoteReference w:id="1188"/>
      </w:r>
    </w:p>
    <w:p w14:paraId="07A4786B" w14:textId="77777777" w:rsidR="000A0EB4" w:rsidRPr="002F2C31" w:rsidRDefault="000A0EB4" w:rsidP="00F32D08">
      <w:pPr>
        <w:pStyle w:val="Heading4"/>
      </w:pPr>
      <w:bookmarkStart w:id="593" w:name="_Toc188003438"/>
      <w:bookmarkStart w:id="594" w:name="_Toc188277967"/>
      <w:bookmarkStart w:id="595" w:name="_Toc189260318"/>
      <w:bookmarkStart w:id="596" w:name="_Toc189393634"/>
      <w:r w:rsidRPr="002F2C31">
        <w:t>32.2 Impact and issues</w:t>
      </w:r>
      <w:bookmarkEnd w:id="593"/>
      <w:bookmarkEnd w:id="594"/>
      <w:bookmarkEnd w:id="595"/>
      <w:bookmarkEnd w:id="596"/>
    </w:p>
    <w:p w14:paraId="4BAC4908" w14:textId="77777777" w:rsidR="000A0EB4" w:rsidRPr="00167CB8" w:rsidRDefault="000A0EB4" w:rsidP="000A0EB4">
      <w:pPr>
        <w:rPr>
          <w:color w:val="777778" w:themeColor="accent5"/>
        </w:rPr>
      </w:pPr>
      <w:r w:rsidRPr="00167CB8">
        <w:t>The following describes the data and information considered by the Review Panel when evaluating the amendments to request an extension of unpaid parental leave.</w:t>
      </w:r>
    </w:p>
    <w:p w14:paraId="2B7A9F89" w14:textId="77777777" w:rsidR="000A0EB4" w:rsidRPr="002F2C31" w:rsidRDefault="000A0EB4" w:rsidP="00F32D08">
      <w:pPr>
        <w:pStyle w:val="Heading5"/>
      </w:pPr>
      <w:bookmarkStart w:id="597" w:name="_Toc188003439"/>
      <w:r w:rsidRPr="002F2C31">
        <w:t>32.2.1 Quantitative evidence</w:t>
      </w:r>
      <w:bookmarkEnd w:id="597"/>
    </w:p>
    <w:p w14:paraId="1A470644" w14:textId="1218FB4F" w:rsidR="000A0EB4" w:rsidRPr="00167CB8" w:rsidRDefault="000A0EB4" w:rsidP="000A0EB4">
      <w:r w:rsidRPr="396ABCA7">
        <w:t xml:space="preserve">In its </w:t>
      </w:r>
      <w:r w:rsidRPr="396ABCA7">
        <w:rPr>
          <w:i/>
          <w:iCs/>
        </w:rPr>
        <w:t>Annual Report 2022</w:t>
      </w:r>
      <w:r w:rsidRPr="396ABCA7">
        <w:rPr>
          <w:rFonts w:ascii="Symbol" w:eastAsia="Symbol" w:hAnsi="Symbol" w:cs="Symbol"/>
          <w:i/>
          <w:iCs/>
        </w:rPr>
        <w:t>-</w:t>
      </w:r>
      <w:r w:rsidRPr="396ABCA7">
        <w:rPr>
          <w:i/>
          <w:iCs/>
        </w:rPr>
        <w:t>23</w:t>
      </w:r>
      <w:r w:rsidRPr="396ABCA7">
        <w:t xml:space="preserve">, the </w:t>
      </w:r>
      <w:r w:rsidR="00D55A73">
        <w:t xml:space="preserve">Fair Work Commission </w:t>
      </w:r>
      <w:r w:rsidRPr="396ABCA7">
        <w:t>reported that:</w:t>
      </w:r>
      <w:r w:rsidRPr="396ABCA7">
        <w:rPr>
          <w:rStyle w:val="FootnoteReference"/>
        </w:rPr>
        <w:footnoteReference w:id="1189"/>
      </w:r>
    </w:p>
    <w:p w14:paraId="31C81AB9" w14:textId="53F275EE" w:rsidR="000A0EB4" w:rsidRPr="00167CB8" w:rsidRDefault="000A0EB4" w:rsidP="00400EF1">
      <w:pPr>
        <w:pStyle w:val="Quote"/>
      </w:pPr>
      <w:r w:rsidRPr="00167CB8">
        <w:t>Between 6 June 2023 when these changes commenced and the end of the reporting period, the Commission received one application for a dispute about extension of unpaid parental leave</w:t>
      </w:r>
      <w:r w:rsidR="00F32D08">
        <w:t xml:space="preserve"> </w:t>
      </w:r>
      <w:r>
        <w:t>…</w:t>
      </w:r>
      <w:r w:rsidR="00F32D08">
        <w:t xml:space="preserve"> </w:t>
      </w:r>
      <w:r w:rsidRPr="00167CB8">
        <w:t>No decisions were made.</w:t>
      </w:r>
    </w:p>
    <w:p w14:paraId="64B5F1A3" w14:textId="7A9F90EF" w:rsidR="000A0EB4" w:rsidRPr="00167CB8" w:rsidRDefault="000A0EB4" w:rsidP="000A0EB4">
      <w:r w:rsidRPr="396ABCA7">
        <w:t xml:space="preserve">The </w:t>
      </w:r>
      <w:r w:rsidR="00D55A73">
        <w:t>Fair Work Ombudsman (</w:t>
      </w:r>
      <w:r w:rsidRPr="396ABCA7">
        <w:t>FWO</w:t>
      </w:r>
      <w:r w:rsidR="00D55A73">
        <w:t>)</w:t>
      </w:r>
      <w:r w:rsidRPr="396ABCA7">
        <w:t xml:space="preserve"> advised the Review that there have been no requests for assistance or investigations in relation to the unpaid parental leave amendments. However, the FWO noted that there was a sizable increase in web page views on ‘unpaid parental leave and other entitlements’ </w:t>
      </w:r>
      <w:r w:rsidRPr="396ABCA7">
        <w:rPr>
          <w:rFonts w:ascii="Symbol" w:eastAsia="Symbol" w:hAnsi="Symbol" w:cs="Symbol"/>
        </w:rPr>
        <w:t>-</w:t>
      </w:r>
      <w:r w:rsidRPr="396ABCA7">
        <w:t xml:space="preserve"> from 151,579 in 2022</w:t>
      </w:r>
      <w:r w:rsidRPr="396ABCA7">
        <w:rPr>
          <w:rFonts w:ascii="Symbol" w:eastAsia="Symbol" w:hAnsi="Symbol" w:cs="Symbol"/>
        </w:rPr>
        <w:t>-</w:t>
      </w:r>
      <w:r w:rsidRPr="396ABCA7">
        <w:t>23 to 219,619 in 2023</w:t>
      </w:r>
      <w:r w:rsidRPr="396ABCA7">
        <w:rPr>
          <w:rFonts w:ascii="Symbol" w:eastAsia="Symbol" w:hAnsi="Symbol" w:cs="Symbol"/>
        </w:rPr>
        <w:t>-</w:t>
      </w:r>
      <w:r w:rsidRPr="396ABCA7">
        <w:t>24</w:t>
      </w:r>
      <w:r>
        <w:t xml:space="preserve"> (and 124,450 in 2024</w:t>
      </w:r>
      <w:r w:rsidRPr="396ABCA7">
        <w:rPr>
          <w:rFonts w:ascii="Symbol" w:eastAsia="Symbol" w:hAnsi="Symbol" w:cs="Symbol"/>
        </w:rPr>
        <w:t>-</w:t>
      </w:r>
      <w:r>
        <w:t>25 to 31 December 2024)</w:t>
      </w:r>
      <w:r w:rsidRPr="396ABCA7">
        <w:t>.</w:t>
      </w:r>
      <w:r>
        <w:rPr>
          <w:rStyle w:val="FootnoteReference"/>
        </w:rPr>
        <w:footnoteReference w:id="1190"/>
      </w:r>
    </w:p>
    <w:p w14:paraId="3303F087" w14:textId="034BE630" w:rsidR="000A0EB4" w:rsidRPr="00167CB8" w:rsidRDefault="000A0EB4" w:rsidP="000A0EB4">
      <w:r w:rsidRPr="396ABCA7">
        <w:t>According to 2023</w:t>
      </w:r>
      <w:r w:rsidRPr="396ABCA7">
        <w:rPr>
          <w:rFonts w:ascii="Symbol" w:eastAsia="Symbol" w:hAnsi="Symbol" w:cs="Symbol"/>
        </w:rPr>
        <w:t>-</w:t>
      </w:r>
      <w:r w:rsidRPr="396ABCA7">
        <w:t>24 Workplace Gender Equality Agency data, 68% of employers offer access to paid parental leave in addition to the Australian Government scheme, 87% of employers offer parental leave pay superannuation for parents while on paid leave, and 17% of primary carer’s leave is taken by men.</w:t>
      </w:r>
      <w:r w:rsidRPr="396ABCA7">
        <w:rPr>
          <w:rStyle w:val="FootnoteReference"/>
          <w:rFonts w:cs="Calibri"/>
        </w:rPr>
        <w:footnoteReference w:id="1191"/>
      </w:r>
    </w:p>
    <w:p w14:paraId="157E0603" w14:textId="77777777" w:rsidR="000A0EB4" w:rsidRPr="00083DC9" w:rsidRDefault="000A0EB4" w:rsidP="006D77F6">
      <w:pPr>
        <w:pStyle w:val="Heading5"/>
      </w:pPr>
      <w:bookmarkStart w:id="598" w:name="_Toc188003440"/>
      <w:r w:rsidRPr="00083DC9">
        <w:t>32.2.2 Qualitative evidence</w:t>
      </w:r>
      <w:bookmarkEnd w:id="598"/>
    </w:p>
    <w:p w14:paraId="354DEBC6" w14:textId="77777777" w:rsidR="0011475D" w:rsidRDefault="000A0EB4" w:rsidP="000A0EB4">
      <w:r w:rsidRPr="00167CB8">
        <w:t>The Review Panel is not aware of any significant qualitative evidence in relation to these amendments.</w:t>
      </w:r>
    </w:p>
    <w:p w14:paraId="27BC5CED" w14:textId="65958CF8" w:rsidR="000A0EB4" w:rsidRPr="00083DC9" w:rsidRDefault="000A0EB4" w:rsidP="006D77F6">
      <w:pPr>
        <w:pStyle w:val="Heading5"/>
      </w:pPr>
      <w:bookmarkStart w:id="599" w:name="_Toc188003441"/>
      <w:r w:rsidRPr="00083DC9">
        <w:t>32.2.3 Stakeholder views</w:t>
      </w:r>
      <w:bookmarkEnd w:id="599"/>
    </w:p>
    <w:p w14:paraId="450D4E0F" w14:textId="77777777" w:rsidR="0011475D" w:rsidRDefault="000A0EB4" w:rsidP="000A0EB4">
      <w:r w:rsidRPr="396ABCA7">
        <w:t>Stakeholders were generally supportive of the amendments. There were no objections to the reforms in the roundtable meetings with employer associations and unions.</w:t>
      </w:r>
    </w:p>
    <w:p w14:paraId="0EF0DE6B" w14:textId="6DED561B" w:rsidR="000A0EB4" w:rsidRPr="00167CB8" w:rsidRDefault="000A0EB4" w:rsidP="000A0EB4">
      <w:r w:rsidRPr="396ABCA7">
        <w:lastRenderedPageBreak/>
        <w:t>While supporting this amendment, Professor Andrew Stewart’s submission on the Secure Jobs, Better Pay Bill had proposed a similar alignment of the right to request flexible working arrangement provisions and the right to request an extension on unpaid parental leave.</w:t>
      </w:r>
      <w:r w:rsidRPr="396ABCA7">
        <w:rPr>
          <w:rStyle w:val="FootnoteReference"/>
        </w:rPr>
        <w:footnoteReference w:id="1192"/>
      </w:r>
    </w:p>
    <w:p w14:paraId="4991584F" w14:textId="77777777" w:rsidR="000A0EB4" w:rsidRDefault="000A0EB4" w:rsidP="000A0EB4">
      <w:r w:rsidRPr="396ABCA7">
        <w:t>The Employment Rights Legal Service also recommended removing the 12-month qualifying period before workers become eligible for the Fair Work Act entitlements.</w:t>
      </w:r>
      <w:r w:rsidRPr="396ABCA7">
        <w:rPr>
          <w:rStyle w:val="FootnoteReference"/>
        </w:rPr>
        <w:footnoteReference w:id="1193"/>
      </w:r>
    </w:p>
    <w:p w14:paraId="67F5A1B3" w14:textId="77777777" w:rsidR="000A0EB4" w:rsidRPr="00167CB8" w:rsidRDefault="000A0EB4" w:rsidP="000A0EB4">
      <w:pPr>
        <w:rPr>
          <w:color w:val="777778" w:themeColor="accent5"/>
        </w:rPr>
      </w:pPr>
      <w:r w:rsidRPr="00BD5AE5">
        <w:rPr>
          <w:rFonts w:eastAsia="Times New Roman" w:cs="Calibri"/>
          <w:lang w:eastAsia="en-AU"/>
        </w:rPr>
        <w:t>The Review Panel consulted stakeholders about its proposed findings and no significant concerns were raised in relation to unpaid parental leave. Ai Group reiterated its proposal for employers to be allowed more than 21 days to respond to requests in exceptional circumstances.</w:t>
      </w:r>
      <w:r w:rsidRPr="00BD5AE5">
        <w:rPr>
          <w:rStyle w:val="FootnoteReference"/>
        </w:rPr>
        <w:footnoteReference w:id="1194"/>
      </w:r>
      <w:r w:rsidRPr="00BD5AE5">
        <w:rPr>
          <w:rFonts w:eastAsia="Times New Roman" w:cs="Calibri"/>
          <w:lang w:eastAsia="en-AU"/>
        </w:rPr>
        <w:t xml:space="preserve"> The Review Panel has also considered this in relation to flexible work (see Chapter 31).</w:t>
      </w:r>
    </w:p>
    <w:p w14:paraId="55493BA0" w14:textId="77777777" w:rsidR="000A0EB4" w:rsidRPr="00083DC9" w:rsidRDefault="000A0EB4" w:rsidP="006D77F6">
      <w:pPr>
        <w:pStyle w:val="Heading4"/>
      </w:pPr>
      <w:bookmarkStart w:id="600" w:name="_Toc188003442"/>
      <w:bookmarkStart w:id="601" w:name="_Toc188277968"/>
      <w:bookmarkStart w:id="602" w:name="_Toc189260319"/>
      <w:bookmarkStart w:id="603" w:name="_Toc189393635"/>
      <w:r w:rsidRPr="00083DC9">
        <w:t>32.3 Findings and recommendations</w:t>
      </w:r>
      <w:bookmarkEnd w:id="600"/>
      <w:bookmarkEnd w:id="601"/>
      <w:bookmarkEnd w:id="602"/>
      <w:bookmarkEnd w:id="603"/>
    </w:p>
    <w:p w14:paraId="75813CAB" w14:textId="77777777" w:rsidR="000A0EB4" w:rsidRPr="00167CB8" w:rsidRDefault="000A0EB4" w:rsidP="000A0EB4">
      <w:r w:rsidRPr="396ABCA7">
        <w:t>As no stakeholders have raised concerns about the operation of the amendments concerning extended unpaid parental leave, the Review Panel concludes that the amendments are operating as intended.</w:t>
      </w:r>
    </w:p>
    <w:p w14:paraId="7A015A43" w14:textId="77777777" w:rsidR="000A0EB4" w:rsidRPr="00167CB8" w:rsidRDefault="000A0EB4" w:rsidP="000A0EB4">
      <w:r w:rsidRPr="00167CB8">
        <w:t>The Review Panel makes no recommendations in relation to these amendments.</w:t>
      </w:r>
    </w:p>
    <w:p w14:paraId="20F0BD25" w14:textId="77777777" w:rsidR="000A0EB4" w:rsidRPr="00167CB8" w:rsidRDefault="000A0EB4" w:rsidP="000A0EB4">
      <w:pPr>
        <w:spacing w:after="160"/>
      </w:pPr>
      <w:r w:rsidRPr="00167CB8">
        <w:br w:type="page"/>
      </w:r>
    </w:p>
    <w:p w14:paraId="696C56D8" w14:textId="77777777" w:rsidR="00463F7C" w:rsidRPr="00167CB8" w:rsidRDefault="00463F7C" w:rsidP="00463F7C">
      <w:pPr>
        <w:pStyle w:val="Heading2"/>
        <w:rPr>
          <w:rFonts w:asciiTheme="minorHAnsi" w:hAnsiTheme="minorHAnsi"/>
        </w:rPr>
      </w:pPr>
      <w:bookmarkStart w:id="604" w:name="_Toc188278032"/>
      <w:bookmarkStart w:id="605" w:name="_Toc189260181"/>
      <w:bookmarkStart w:id="606" w:name="_Toc189260320"/>
      <w:bookmarkStart w:id="607" w:name="_Toc189393636"/>
      <w:bookmarkStart w:id="608" w:name="_Toc192258078"/>
      <w:bookmarkStart w:id="609" w:name="_Toc194311441"/>
      <w:r w:rsidRPr="00167CB8">
        <w:rPr>
          <w:rFonts w:asciiTheme="minorHAnsi" w:hAnsiTheme="minorHAnsi"/>
        </w:rPr>
        <w:lastRenderedPageBreak/>
        <w:t>Part 4. Miscellaneous</w:t>
      </w:r>
      <w:bookmarkEnd w:id="604"/>
      <w:bookmarkEnd w:id="605"/>
      <w:bookmarkEnd w:id="606"/>
      <w:bookmarkEnd w:id="607"/>
      <w:bookmarkEnd w:id="608"/>
      <w:bookmarkEnd w:id="609"/>
    </w:p>
    <w:p w14:paraId="39352BA5" w14:textId="09979A78" w:rsidR="00CD1C82" w:rsidRPr="00543E41" w:rsidRDefault="00CD1C82" w:rsidP="00CD1C82">
      <w:bookmarkStart w:id="610" w:name="_Toc185856679"/>
      <w:bookmarkStart w:id="611" w:name="_Toc187934198"/>
      <w:bookmarkStart w:id="612" w:name="_Toc188278033"/>
      <w:bookmarkStart w:id="613" w:name="_Toc189260321"/>
      <w:r w:rsidRPr="00543E41">
        <w:t>Part 4 of this report addresses various ‘miscellaneous’ amendments introduced through the Secure Jobs, Better Pay Act and other acts. Specifically, it considers:</w:t>
      </w:r>
    </w:p>
    <w:p w14:paraId="47D82FA2" w14:textId="09F0F63A" w:rsidR="00CD1C82" w:rsidRPr="00543E41" w:rsidRDefault="00CD1C82" w:rsidP="00BC2D01">
      <w:pPr>
        <w:pStyle w:val="ListBullet"/>
        <w:numPr>
          <w:ilvl w:val="0"/>
          <w:numId w:val="4"/>
        </w:numPr>
      </w:pPr>
      <w:r>
        <w:t>e</w:t>
      </w:r>
      <w:r w:rsidRPr="00543E41">
        <w:t>nhancing small claims process</w:t>
      </w:r>
    </w:p>
    <w:p w14:paraId="4BA839C2" w14:textId="1FF90380" w:rsidR="00CD1C82" w:rsidRPr="00543E41" w:rsidRDefault="006D5609" w:rsidP="00BC2D01">
      <w:pPr>
        <w:pStyle w:val="ListBullet"/>
        <w:numPr>
          <w:ilvl w:val="0"/>
          <w:numId w:val="4"/>
        </w:numPr>
      </w:pPr>
      <w:r>
        <w:t>p</w:t>
      </w:r>
      <w:r w:rsidR="00CD1C82" w:rsidRPr="00543E41">
        <w:t>rohibiting employer advertisements with pay rates that would contravene the Act</w:t>
      </w:r>
    </w:p>
    <w:p w14:paraId="0FBCB480" w14:textId="6AC6935C" w:rsidR="00CD1C82" w:rsidRPr="00543E41" w:rsidRDefault="006D5609" w:rsidP="00BC2D01">
      <w:pPr>
        <w:pStyle w:val="ListBullet"/>
        <w:numPr>
          <w:ilvl w:val="0"/>
          <w:numId w:val="4"/>
        </w:numPr>
      </w:pPr>
      <w:r>
        <w:t>h</w:t>
      </w:r>
      <w:r w:rsidR="00CD1C82" w:rsidRPr="00543E41">
        <w:t>aving regard to certain additional matters (the provision of multilingual resources)</w:t>
      </w:r>
    </w:p>
    <w:p w14:paraId="556550FD" w14:textId="003C4016" w:rsidR="00CD1C82" w:rsidRPr="00543E41" w:rsidRDefault="006D5609" w:rsidP="00BC2D01">
      <w:pPr>
        <w:pStyle w:val="ListBullet"/>
        <w:numPr>
          <w:ilvl w:val="0"/>
          <w:numId w:val="4"/>
        </w:numPr>
      </w:pPr>
      <w:r>
        <w:t>a</w:t>
      </w:r>
      <w:r w:rsidR="00CD1C82" w:rsidRPr="00543E41">
        <w:t>mendment of the Safety, Rehabilitation and Compensation Act 1988</w:t>
      </w:r>
    </w:p>
    <w:p w14:paraId="2AE0E67C" w14:textId="1CF62673" w:rsidR="00CD1C82" w:rsidRPr="00543E41" w:rsidRDefault="00A55C72" w:rsidP="00BC2D01">
      <w:pPr>
        <w:pStyle w:val="ListBullet"/>
        <w:numPr>
          <w:ilvl w:val="0"/>
          <w:numId w:val="4"/>
        </w:numPr>
      </w:pPr>
      <w:r w:rsidRPr="00A55C72">
        <w:t xml:space="preserve">Closing Loopholes Act: Right of entry </w:t>
      </w:r>
      <w:r w:rsidR="007152DB" w:rsidRPr="396ABCA7">
        <w:rPr>
          <w:rFonts w:ascii="Symbol" w:eastAsia="Symbol" w:hAnsi="Symbol" w:cs="Symbol"/>
        </w:rPr>
        <w:t>-</w:t>
      </w:r>
      <w:r w:rsidRPr="00A55C72">
        <w:t xml:space="preserve"> assisting health and safety representatives</w:t>
      </w:r>
      <w:r>
        <w:t>.</w:t>
      </w:r>
    </w:p>
    <w:p w14:paraId="10F6DE18" w14:textId="77777777" w:rsidR="00CD1C82" w:rsidRPr="00543E41" w:rsidRDefault="00CD1C82" w:rsidP="00CD1C82">
      <w:r w:rsidRPr="00543E41">
        <w:t>These amendments intended to improve workplace accessibility and compliance.</w:t>
      </w:r>
    </w:p>
    <w:p w14:paraId="7C4C7FD2" w14:textId="77777777" w:rsidR="00463F7C" w:rsidRDefault="00463F7C" w:rsidP="00463F7C">
      <w:pPr>
        <w:spacing w:after="160"/>
        <w:rPr>
          <w:rFonts w:eastAsiaTheme="majorEastAsia" w:cstheme="majorBidi"/>
          <w:b/>
          <w:color w:val="0D2C6C" w:themeColor="text1"/>
          <w:sz w:val="32"/>
          <w:szCs w:val="24"/>
        </w:rPr>
      </w:pPr>
      <w:r>
        <w:br w:type="page"/>
      </w:r>
    </w:p>
    <w:p w14:paraId="2DE22485" w14:textId="265FFD8B" w:rsidR="00463F7C" w:rsidRPr="007C6BED" w:rsidRDefault="00463F7C" w:rsidP="00543E41">
      <w:pPr>
        <w:pStyle w:val="Heading3"/>
      </w:pPr>
      <w:bookmarkStart w:id="614" w:name="_Toc187934200"/>
      <w:bookmarkStart w:id="615" w:name="_Toc188278035"/>
      <w:bookmarkStart w:id="616" w:name="_Toc189260322"/>
      <w:bookmarkStart w:id="617" w:name="_Toc189393638"/>
      <w:bookmarkStart w:id="618" w:name="_Toc194311442"/>
      <w:bookmarkEnd w:id="610"/>
      <w:bookmarkEnd w:id="611"/>
      <w:bookmarkEnd w:id="612"/>
      <w:bookmarkEnd w:id="613"/>
      <w:r w:rsidRPr="007C6BED">
        <w:lastRenderedPageBreak/>
        <w:t>Chapter 3</w:t>
      </w:r>
      <w:r w:rsidR="006D77F6" w:rsidRPr="007C6BED">
        <w:t>3</w:t>
      </w:r>
      <w:r w:rsidRPr="007C6BED">
        <w:t>. Enhancing small claims process</w:t>
      </w:r>
      <w:bookmarkEnd w:id="614"/>
      <w:bookmarkEnd w:id="615"/>
      <w:bookmarkEnd w:id="616"/>
      <w:bookmarkEnd w:id="617"/>
      <w:bookmarkEnd w:id="618"/>
    </w:p>
    <w:p w14:paraId="4C0EAE46" w14:textId="77777777" w:rsidR="0011475D" w:rsidRDefault="00463F7C" w:rsidP="00463F7C">
      <w:r w:rsidRPr="00167CB8">
        <w:t>Part 24 of Schedule 1 to the Secure Jobs, Better Pay Act concerns amendments to s 548 of the Fair Work Act on small claims procedures.</w:t>
      </w:r>
    </w:p>
    <w:p w14:paraId="29B408E1" w14:textId="032A9568" w:rsidR="00463F7C" w:rsidRPr="00167CB8" w:rsidRDefault="00463F7C" w:rsidP="00463F7C">
      <w:r w:rsidRPr="00167CB8">
        <w:t xml:space="preserve">The Review Panel notes that the Department of Employment and Workplace Relations released its </w:t>
      </w:r>
      <w:r w:rsidRPr="00167CB8">
        <w:rPr>
          <w:i/>
          <w:iCs/>
        </w:rPr>
        <w:t>Review of the Fair Work Act Small Claims Procedure</w:t>
      </w:r>
      <w:r w:rsidRPr="00167CB8">
        <w:t xml:space="preserve"> in January 2025.</w:t>
      </w:r>
      <w:r w:rsidRPr="00167CB8">
        <w:rPr>
          <w:rStyle w:val="FootnoteReference"/>
        </w:rPr>
        <w:footnoteReference w:id="1195"/>
      </w:r>
      <w:r w:rsidRPr="00167CB8">
        <w:t xml:space="preserve"> This Review considered the effectiveness of the courts’ current small claims framework with a view to identifying issues and efficiencies and exploring more effective avenues for wage redress for workers in Australia (including migrant workers).</w:t>
      </w:r>
      <w:r w:rsidRPr="00167CB8">
        <w:rPr>
          <w:rStyle w:val="FootnoteReference"/>
        </w:rPr>
        <w:footnoteReference w:id="1196"/>
      </w:r>
      <w:r w:rsidRPr="00167CB8">
        <w:t> This chapter considers the Secure Jobs, Better Pay amendments but notes that the department’s review has given a detailed consideration to the effectiveness and operation of the small claims framework more broadly.</w:t>
      </w:r>
    </w:p>
    <w:p w14:paraId="7AC566FE" w14:textId="2E71FA8D" w:rsidR="00463F7C" w:rsidRPr="00CB1D37" w:rsidRDefault="00463F7C" w:rsidP="00543E41">
      <w:pPr>
        <w:pStyle w:val="Heading4"/>
      </w:pPr>
      <w:bookmarkStart w:id="619" w:name="_Toc187934201"/>
      <w:bookmarkStart w:id="620" w:name="_Toc188278036"/>
      <w:bookmarkStart w:id="621" w:name="_Toc189260323"/>
      <w:bookmarkStart w:id="622" w:name="_Toc189393639"/>
      <w:r w:rsidRPr="00CB1D37">
        <w:t>3</w:t>
      </w:r>
      <w:r w:rsidR="006D77F6" w:rsidRPr="00CB1D37">
        <w:t>3</w:t>
      </w:r>
      <w:r w:rsidRPr="00CB1D37">
        <w:t>.1 Amendments and inten</w:t>
      </w:r>
      <w:bookmarkEnd w:id="619"/>
      <w:bookmarkEnd w:id="620"/>
      <w:bookmarkEnd w:id="621"/>
      <w:r w:rsidRPr="00CB1D37">
        <w:t>t</w:t>
      </w:r>
      <w:bookmarkEnd w:id="622"/>
    </w:p>
    <w:p w14:paraId="020D1484" w14:textId="0D6BCE2A" w:rsidR="00463F7C" w:rsidRPr="00167CB8" w:rsidRDefault="00463F7C" w:rsidP="00463F7C">
      <w:pPr>
        <w:rPr>
          <w:rFonts w:cstheme="minorHAnsi"/>
        </w:rPr>
      </w:pPr>
      <w:r w:rsidRPr="00167CB8">
        <w:t>The small claims procedure allows for a less complicated, informal process for courts to deal with certain applications under the Fair Work Act.</w:t>
      </w:r>
      <w:r w:rsidRPr="00167CB8">
        <w:rPr>
          <w:rStyle w:val="FootnoteReference"/>
        </w:rPr>
        <w:footnoteReference w:id="1197"/>
      </w:r>
      <w:r w:rsidRPr="00167CB8">
        <w:t xml:space="preserve"> </w:t>
      </w:r>
      <w:r w:rsidRPr="00167CB8">
        <w:rPr>
          <w:rFonts w:cs="Calibri"/>
        </w:rPr>
        <w:t>Section 548 of the Fair Work Act allows certain proceedings, such as those involving underpayment or non-payment of employee entitlements,</w:t>
      </w:r>
      <w:r w:rsidRPr="00167CB8">
        <w:rPr>
          <w:rStyle w:val="FootnoteReference"/>
          <w:rFonts w:cs="Calibri"/>
        </w:rPr>
        <w:footnoteReference w:id="1198"/>
      </w:r>
      <w:r w:rsidRPr="00167CB8">
        <w:rPr>
          <w:rFonts w:cs="Calibri"/>
        </w:rPr>
        <w:t xml:space="preserve"> fixed</w:t>
      </w:r>
      <w:r w:rsidR="00800964">
        <w:rPr>
          <w:rFonts w:cs="Calibri"/>
        </w:rPr>
        <w:t xml:space="preserve"> </w:t>
      </w:r>
      <w:r w:rsidRPr="00167CB8">
        <w:rPr>
          <w:rFonts w:cs="Calibri"/>
        </w:rPr>
        <w:t>term contracts</w:t>
      </w:r>
      <w:r w:rsidRPr="00167CB8">
        <w:rPr>
          <w:rStyle w:val="FootnoteReference"/>
          <w:rFonts w:cs="Calibri"/>
        </w:rPr>
        <w:footnoteReference w:id="1199"/>
      </w:r>
      <w:r w:rsidRPr="00167CB8">
        <w:rPr>
          <w:rFonts w:cs="Calibri"/>
        </w:rPr>
        <w:t xml:space="preserve"> and casual conversion</w:t>
      </w:r>
      <w:r w:rsidRPr="00167CB8">
        <w:rPr>
          <w:rStyle w:val="FootnoteReference"/>
          <w:rFonts w:cs="Calibri"/>
        </w:rPr>
        <w:footnoteReference w:id="1200"/>
      </w:r>
      <w:r w:rsidRPr="00167CB8">
        <w:rPr>
          <w:rFonts w:cs="Calibri"/>
        </w:rPr>
        <w:t xml:space="preserve"> to be dealt with through the small claims procedure in either the Federal Circuit and Family Court of Australia (FCFCOA) or </w:t>
      </w:r>
      <w:r w:rsidR="00340F22">
        <w:rPr>
          <w:rFonts w:cs="Calibri"/>
        </w:rPr>
        <w:t>a</w:t>
      </w:r>
      <w:r w:rsidR="00340F22" w:rsidRPr="00167CB8">
        <w:rPr>
          <w:rFonts w:cs="Calibri"/>
        </w:rPr>
        <w:t xml:space="preserve"> </w:t>
      </w:r>
      <w:r w:rsidR="00340F22">
        <w:rPr>
          <w:rFonts w:cs="Calibri"/>
        </w:rPr>
        <w:t>m</w:t>
      </w:r>
      <w:r w:rsidR="00340F22" w:rsidRPr="00167CB8">
        <w:rPr>
          <w:rFonts w:cs="Calibri"/>
        </w:rPr>
        <w:t xml:space="preserve">agistrates </w:t>
      </w:r>
      <w:r w:rsidR="00740059">
        <w:rPr>
          <w:rFonts w:cs="Calibri"/>
        </w:rPr>
        <w:t>c</w:t>
      </w:r>
      <w:r w:rsidR="00740059" w:rsidRPr="00167CB8">
        <w:rPr>
          <w:rFonts w:cs="Calibri"/>
        </w:rPr>
        <w:t>ourt</w:t>
      </w:r>
      <w:r w:rsidRPr="00167CB8">
        <w:rPr>
          <w:rFonts w:cs="Calibri"/>
        </w:rPr>
        <w:t>.</w:t>
      </w:r>
      <w:r w:rsidRPr="00167CB8">
        <w:rPr>
          <w:rStyle w:val="FootnoteReference"/>
          <w:rFonts w:cs="Calibri"/>
        </w:rPr>
        <w:footnoteReference w:id="1201"/>
      </w:r>
      <w:r w:rsidRPr="00167CB8">
        <w:t xml:space="preserve"> </w:t>
      </w:r>
    </w:p>
    <w:p w14:paraId="4AD8B158" w14:textId="48CCEB14" w:rsidR="00463F7C" w:rsidRPr="0020164D" w:rsidRDefault="00463F7C" w:rsidP="00E703B9">
      <w:pPr>
        <w:pStyle w:val="Heading5"/>
      </w:pPr>
      <w:bookmarkStart w:id="623" w:name="_Toc187934202"/>
      <w:r w:rsidRPr="0020164D">
        <w:t>3</w:t>
      </w:r>
      <w:r w:rsidR="008418BD">
        <w:t>3</w:t>
      </w:r>
      <w:r w:rsidRPr="0020164D">
        <w:t>.1.1 Secure Jobs, Better Pay amendments</w:t>
      </w:r>
      <w:bookmarkEnd w:id="623"/>
    </w:p>
    <w:p w14:paraId="05F44844" w14:textId="59E45DED" w:rsidR="0011475D" w:rsidRDefault="00D55A73" w:rsidP="00463F7C">
      <w:r w:rsidRPr="00167CB8">
        <w:rPr>
          <w:rFonts w:cstheme="minorHAnsi"/>
        </w:rPr>
        <w:t xml:space="preserve">Part 24 of the Secure Jobs, Better Pay Act made </w:t>
      </w:r>
      <w:r>
        <w:rPr>
          <w:rFonts w:cstheme="minorHAnsi"/>
        </w:rPr>
        <w:t>three</w:t>
      </w:r>
      <w:r w:rsidRPr="00167CB8">
        <w:rPr>
          <w:rFonts w:cstheme="minorHAnsi"/>
        </w:rPr>
        <w:t xml:space="preserve"> main amendments to s 548 of the Fair Work Act.</w:t>
      </w:r>
      <w:r>
        <w:rPr>
          <w:rFonts w:cstheme="minorHAnsi"/>
        </w:rPr>
        <w:t xml:space="preserve"> </w:t>
      </w:r>
      <w:r w:rsidR="00463F7C" w:rsidRPr="396ABCA7">
        <w:t>The first amendment concerns the limits on the award that a court may make. Prior to the Secure Jobs, Better Pay amendments the maximum monetary cap for recovering unpaid entitlements via the small claims process was $20,000. Through the Secure Jobs, Better Pay Act the limit was increased to a maximum of $100,000</w:t>
      </w:r>
      <w:r w:rsidR="00463F7C">
        <w:rPr>
          <w:rStyle w:val="FootnoteReference"/>
        </w:rPr>
        <w:footnoteReference w:id="1202"/>
      </w:r>
      <w:r w:rsidR="00463F7C" w:rsidRPr="396ABCA7">
        <w:t xml:space="preserve"> (s 548(2)(a) of the Fair Work Act).</w:t>
      </w:r>
    </w:p>
    <w:p w14:paraId="1CB363CD" w14:textId="1F2261D6" w:rsidR="00463F7C" w:rsidRPr="00167CB8" w:rsidRDefault="00463F7C" w:rsidP="00463F7C">
      <w:r w:rsidRPr="396ABCA7">
        <w:t>The second amendment concerns interest payable on compensation ordered in small claims proceedings. A new</w:t>
      </w:r>
      <w:r w:rsidRPr="396ABCA7" w:rsidDel="00E703B9">
        <w:t xml:space="preserve"> </w:t>
      </w:r>
      <w:r w:rsidR="00E703B9" w:rsidRPr="396ABCA7">
        <w:t>s</w:t>
      </w:r>
      <w:r w:rsidR="00E703B9">
        <w:t xml:space="preserve"> </w:t>
      </w:r>
      <w:r w:rsidRPr="396ABCA7">
        <w:t xml:space="preserve">548(2A) clarifies that any interest payments awarded under </w:t>
      </w:r>
      <w:r w:rsidR="00E703B9" w:rsidRPr="396ABCA7">
        <w:t>s</w:t>
      </w:r>
      <w:r w:rsidR="00E703B9">
        <w:t xml:space="preserve"> </w:t>
      </w:r>
      <w:r w:rsidRPr="396ABCA7">
        <w:t>547 of the Fair Work Act does not count towards the maximum amount that a court may award.</w:t>
      </w:r>
    </w:p>
    <w:p w14:paraId="29087AED" w14:textId="6AD1A12C" w:rsidR="00463F7C" w:rsidRPr="00167CB8" w:rsidRDefault="00463F7C" w:rsidP="00463F7C">
      <w:r w:rsidRPr="396ABCA7">
        <w:t xml:space="preserve">The third amendment concerns the ‘costs for filing fees paid in relation to the proceedings’. Two new subsections were added to </w:t>
      </w:r>
      <w:r w:rsidR="00E703B9" w:rsidRPr="396ABCA7">
        <w:t>s</w:t>
      </w:r>
      <w:r w:rsidR="00E703B9">
        <w:t xml:space="preserve"> </w:t>
      </w:r>
      <w:r w:rsidRPr="396ABCA7">
        <w:t>548 as follows:</w:t>
      </w:r>
    </w:p>
    <w:p w14:paraId="4560AC91" w14:textId="77777777" w:rsidR="00463F7C" w:rsidRPr="00167CB8" w:rsidRDefault="00463F7C" w:rsidP="00250AD1">
      <w:pPr>
        <w:pStyle w:val="Quote"/>
      </w:pPr>
      <w:r w:rsidRPr="00167CB8">
        <w:lastRenderedPageBreak/>
        <w:t>(10)</w:t>
      </w:r>
      <w:r w:rsidRPr="00167CB8">
        <w:tab/>
        <w:t xml:space="preserve">If the court makes an order (the </w:t>
      </w:r>
      <w:r w:rsidRPr="00167CB8">
        <w:rPr>
          <w:b/>
        </w:rPr>
        <w:t>small claims order</w:t>
      </w:r>
      <w:r w:rsidRPr="00167CB8">
        <w:t>) mentioned in subsection (1) against a party to small claims proceedings, the court may make an order as to costs against the party for any filing fees paid to the court by the party that applied for the small claims order.</w:t>
      </w:r>
    </w:p>
    <w:p w14:paraId="28C901AE" w14:textId="77777777" w:rsidR="00463F7C" w:rsidRPr="00167CB8" w:rsidRDefault="00463F7C" w:rsidP="00250AD1">
      <w:pPr>
        <w:pStyle w:val="Quote"/>
      </w:pPr>
      <w:r w:rsidRPr="00167CB8">
        <w:t xml:space="preserve">(11) </w:t>
      </w:r>
      <w:r w:rsidRPr="00167CB8">
        <w:tab/>
        <w:t>Subsection (10) applies despite section 570.</w:t>
      </w:r>
    </w:p>
    <w:p w14:paraId="4252433B" w14:textId="777437E3" w:rsidR="00463F7C" w:rsidRPr="00167CB8" w:rsidRDefault="00463F7C" w:rsidP="00463F7C">
      <w:r w:rsidRPr="396ABCA7">
        <w:t xml:space="preserve">Section 570 limits the court’s power to order costs. Except for </w:t>
      </w:r>
      <w:r w:rsidR="00E703B9" w:rsidRPr="396ABCA7">
        <w:t>s</w:t>
      </w:r>
      <w:r w:rsidR="00E703B9">
        <w:t xml:space="preserve"> </w:t>
      </w:r>
      <w:r w:rsidRPr="396ABCA7">
        <w:t>548(1), generally the court may only award costs where:</w:t>
      </w:r>
      <w:r w:rsidRPr="396ABCA7">
        <w:rPr>
          <w:rStyle w:val="FootnoteReference"/>
        </w:rPr>
        <w:footnoteReference w:id="1203"/>
      </w:r>
    </w:p>
    <w:p w14:paraId="68EA1229" w14:textId="77777777" w:rsidR="00463F7C" w:rsidRPr="00167CB8" w:rsidRDefault="00463F7C" w:rsidP="00250AD1">
      <w:pPr>
        <w:pStyle w:val="Quote"/>
      </w:pPr>
      <w:r w:rsidRPr="00167CB8">
        <w:t>(a) </w:t>
      </w:r>
      <w:r w:rsidRPr="00167CB8">
        <w:tab/>
        <w:t>the court is satisfied that the party instituted the proceedings vexatiously or without reasonable cause; or</w:t>
      </w:r>
    </w:p>
    <w:p w14:paraId="76C7A607" w14:textId="77777777" w:rsidR="00463F7C" w:rsidRPr="00167CB8" w:rsidRDefault="00463F7C" w:rsidP="00250AD1">
      <w:pPr>
        <w:pStyle w:val="Quote"/>
      </w:pPr>
      <w:r w:rsidRPr="00167CB8">
        <w:t>(b) </w:t>
      </w:r>
      <w:r w:rsidRPr="00167CB8">
        <w:tab/>
        <w:t>the court is satisfied that the party’s unreasonable act or omission caused the other party to incur the costs; or</w:t>
      </w:r>
    </w:p>
    <w:p w14:paraId="64395367" w14:textId="77777777" w:rsidR="00463F7C" w:rsidRPr="00167CB8" w:rsidRDefault="00463F7C" w:rsidP="00250AD1">
      <w:pPr>
        <w:pStyle w:val="Quote"/>
      </w:pPr>
      <w:r w:rsidRPr="00167CB8">
        <w:t>(c) </w:t>
      </w:r>
      <w:r w:rsidRPr="00167CB8">
        <w:tab/>
        <w:t>the court is satisfied of both of the following:</w:t>
      </w:r>
    </w:p>
    <w:p w14:paraId="06416FD0" w14:textId="77777777" w:rsidR="00463F7C" w:rsidRPr="00167CB8" w:rsidRDefault="00463F7C" w:rsidP="00111672">
      <w:pPr>
        <w:pStyle w:val="Quote"/>
        <w:ind w:left="2160"/>
      </w:pPr>
      <w:r w:rsidRPr="00167CB8">
        <w:t>(i) </w:t>
      </w:r>
      <w:r w:rsidRPr="00167CB8">
        <w:tab/>
        <w:t>the party unreasonably refused to participate in a matter before the FWC;</w:t>
      </w:r>
    </w:p>
    <w:p w14:paraId="176B266D" w14:textId="77777777" w:rsidR="00463F7C" w:rsidRPr="00167CB8" w:rsidRDefault="00463F7C" w:rsidP="00111672">
      <w:pPr>
        <w:pStyle w:val="Quote"/>
        <w:ind w:left="2160"/>
      </w:pPr>
      <w:r w:rsidRPr="00167CB8">
        <w:t>(ii) </w:t>
      </w:r>
      <w:r w:rsidRPr="00167CB8">
        <w:tab/>
        <w:t>the matter arose from the same facts as the proceedings.</w:t>
      </w:r>
    </w:p>
    <w:p w14:paraId="04ADEF5B" w14:textId="77777777" w:rsidR="00463F7C" w:rsidRPr="00167CB8" w:rsidRDefault="00463F7C" w:rsidP="00463F7C">
      <w:r w:rsidRPr="00167CB8">
        <w:t>These amendments came into effect on 1 July 2023.</w:t>
      </w:r>
    </w:p>
    <w:p w14:paraId="1FC41BAD" w14:textId="29B5EC82" w:rsidR="00463F7C" w:rsidRPr="00201850" w:rsidRDefault="00463F7C" w:rsidP="00E703B9">
      <w:pPr>
        <w:pStyle w:val="Heading5"/>
      </w:pPr>
      <w:bookmarkStart w:id="624" w:name="_Toc187934203"/>
      <w:r w:rsidRPr="00201850">
        <w:t>3</w:t>
      </w:r>
      <w:r w:rsidR="008418BD">
        <w:t>3</w:t>
      </w:r>
      <w:r w:rsidRPr="00201850">
        <w:t>.1.2 Intent of Secure Jobs, Better Pay</w:t>
      </w:r>
      <w:r w:rsidRPr="00201850" w:rsidDel="00591473">
        <w:t xml:space="preserve"> </w:t>
      </w:r>
      <w:r w:rsidRPr="00201850">
        <w:t>amendments</w:t>
      </w:r>
      <w:bookmarkEnd w:id="624"/>
    </w:p>
    <w:p w14:paraId="4166765E" w14:textId="5DF08A53" w:rsidR="00463F7C" w:rsidRPr="00167CB8" w:rsidRDefault="00463F7C" w:rsidP="00EB6ECE">
      <w:r w:rsidRPr="396ABCA7">
        <w:t>The Australian Government’s Secure Jobs, Better Pay amendments were informed by reports from the Migrant Workers’ Taskforce (MWTF) and the Senate Economics Reference</w:t>
      </w:r>
      <w:r w:rsidR="00D55A73">
        <w:t>s</w:t>
      </w:r>
      <w:r w:rsidRPr="396ABCA7">
        <w:t xml:space="preserve"> Committee (SERC) inquiry into the unlawful underpayment of employees’ remuneration. The MWTF was established in 2016 by the Liberal</w:t>
      </w:r>
      <w:r>
        <w:rPr>
          <w:rFonts w:ascii="Symbol" w:eastAsia="Symbol" w:hAnsi="Symbol" w:cs="Symbol"/>
        </w:rPr>
        <w:t>-</w:t>
      </w:r>
      <w:r w:rsidRPr="396ABCA7">
        <w:t>National Coalition government to deal with the problem of the underpayment of wages of migrant workers. It was chaired by Professor Allan Fels AO with Mr David Cousins AM as Deputy Chair. The MWTF released its final report to the Australian Government in February 2019,</w:t>
      </w:r>
      <w:r w:rsidRPr="396ABCA7">
        <w:rPr>
          <w:rStyle w:val="FootnoteReference"/>
          <w:rFonts w:cs="Calibri"/>
        </w:rPr>
        <w:footnoteReference w:id="1204"/>
      </w:r>
      <w:r w:rsidRPr="396ABCA7">
        <w:t xml:space="preserve"> issuing 22 recommendations.</w:t>
      </w:r>
      <w:r w:rsidRPr="396ABCA7">
        <w:rPr>
          <w:vertAlign w:val="superscript"/>
        </w:rPr>
        <w:footnoteReference w:id="1205"/>
      </w:r>
      <w:r w:rsidRPr="396ABCA7">
        <w:t xml:space="preserve"> The SERC issued </w:t>
      </w:r>
      <w:r w:rsidR="00846DC0">
        <w:t xml:space="preserve">its </w:t>
      </w:r>
      <w:r w:rsidRPr="396ABCA7">
        <w:t>report in March 2022, making 19 recommendations.</w:t>
      </w:r>
      <w:r w:rsidRPr="396ABCA7">
        <w:rPr>
          <w:vertAlign w:val="superscript"/>
        </w:rPr>
        <w:footnoteReference w:id="1206"/>
      </w:r>
    </w:p>
    <w:p w14:paraId="12D7C8AC" w14:textId="1CA52E3A" w:rsidR="00463F7C" w:rsidRPr="00167CB8" w:rsidRDefault="00463F7C" w:rsidP="00E703B9">
      <w:r w:rsidRPr="00167CB8">
        <w:t>In response to the SERC report, the Australian Government asserted that these amendments were intended ‘to address issues cited by the committee’.</w:t>
      </w:r>
      <w:r w:rsidRPr="00167CB8">
        <w:rPr>
          <w:rStyle w:val="FootnoteReference"/>
        </w:rPr>
        <w:footnoteReference w:id="1207"/>
      </w:r>
      <w:r w:rsidRPr="00167CB8">
        <w:t xml:space="preserve"> </w:t>
      </w:r>
      <w:r w:rsidR="00846DC0">
        <w:t xml:space="preserve">It </w:t>
      </w:r>
      <w:r w:rsidRPr="00167CB8">
        <w:t>also note</w:t>
      </w:r>
      <w:r w:rsidR="00846DC0">
        <w:t>s</w:t>
      </w:r>
      <w:r w:rsidRPr="00167CB8">
        <w:t xml:space="preserve"> that ‘the Government provided funding for a review of the effectiveness of the Fair Work Act small claims process, in line with the recommendations of the 2019 Migrant Workers’ Taskforce report’.</w:t>
      </w:r>
      <w:r w:rsidRPr="00167CB8">
        <w:rPr>
          <w:rStyle w:val="FootnoteReference"/>
        </w:rPr>
        <w:footnoteReference w:id="1208"/>
      </w:r>
    </w:p>
    <w:p w14:paraId="16311263" w14:textId="77777777" w:rsidR="0011475D" w:rsidRDefault="00463F7C" w:rsidP="00463F7C">
      <w:r w:rsidRPr="00167CB8">
        <w:lastRenderedPageBreak/>
        <w:t>The Australian Government’s intent when amending the threshold amounts in the Fair Work Act was to update the monetary amount in real terms (noting that the amount had not been changed since initially set at $20,000 in 2009) and allow workers to pursue claims exceeding $20,000. Their concern was that $20,000 was now a low threshold and could cause ‘prospective claimants with modest claims that exceed $20,000 to abandon part of their claim to bring it within the monetary cap or not use the small claims procedure at all (instead using a full court process which is expensive, time-consuming and complex)’.</w:t>
      </w:r>
      <w:r w:rsidRPr="00167CB8">
        <w:rPr>
          <w:rStyle w:val="FootnoteReference"/>
        </w:rPr>
        <w:footnoteReference w:id="1209"/>
      </w:r>
    </w:p>
    <w:p w14:paraId="7F94B347" w14:textId="07850C2F" w:rsidR="00463F7C" w:rsidRPr="00167CB8" w:rsidRDefault="00463F7C" w:rsidP="00463F7C">
      <w:r w:rsidRPr="396ABCA7">
        <w:t>The amendment concerning the recovery of filing fees was to ensure that compensation awarded on successful claims was not reduced by filing costs. It was also aimed at minimising disincentives for lodging a claim.</w:t>
      </w:r>
      <w:r w:rsidRPr="396ABCA7">
        <w:rPr>
          <w:rStyle w:val="FootnoteReference"/>
        </w:rPr>
        <w:footnoteReference w:id="1210"/>
      </w:r>
    </w:p>
    <w:p w14:paraId="06AEAB4C" w14:textId="5317740B" w:rsidR="00463F7C" w:rsidRPr="00EB6ECE" w:rsidRDefault="00463F7C" w:rsidP="00543E41">
      <w:pPr>
        <w:pStyle w:val="Heading4"/>
      </w:pPr>
      <w:bookmarkStart w:id="625" w:name="_Toc187934204"/>
      <w:bookmarkStart w:id="626" w:name="_Toc188278037"/>
      <w:bookmarkStart w:id="627" w:name="_Toc189260324"/>
      <w:bookmarkStart w:id="628" w:name="_Toc189393640"/>
      <w:r w:rsidRPr="00EB6ECE">
        <w:t>3</w:t>
      </w:r>
      <w:r w:rsidR="008418BD" w:rsidRPr="00EB6ECE">
        <w:t>3</w:t>
      </w:r>
      <w:r w:rsidRPr="00EB6ECE">
        <w:t>.2 Impact and issues</w:t>
      </w:r>
      <w:bookmarkEnd w:id="625"/>
      <w:bookmarkEnd w:id="626"/>
      <w:bookmarkEnd w:id="627"/>
      <w:bookmarkEnd w:id="628"/>
    </w:p>
    <w:p w14:paraId="75EE49DD" w14:textId="77777777" w:rsidR="00463F7C" w:rsidRPr="00167CB8" w:rsidRDefault="00463F7C" w:rsidP="00463F7C">
      <w:r w:rsidRPr="00167CB8">
        <w:t>The following describes the data and information considered by the Review Panel when evaluating the amendments discussed above.</w:t>
      </w:r>
    </w:p>
    <w:p w14:paraId="51949985" w14:textId="000E621E" w:rsidR="00463F7C" w:rsidRPr="00EB6ECE" w:rsidRDefault="00463F7C" w:rsidP="00677856">
      <w:pPr>
        <w:pStyle w:val="Heading5"/>
      </w:pPr>
      <w:bookmarkStart w:id="629" w:name="_Toc187934205"/>
      <w:r w:rsidRPr="00EB6ECE">
        <w:t>3</w:t>
      </w:r>
      <w:r w:rsidR="008418BD">
        <w:t>3</w:t>
      </w:r>
      <w:r w:rsidRPr="00EB6ECE">
        <w:t>.2.1 Quantitative evidence</w:t>
      </w:r>
      <w:bookmarkEnd w:id="629"/>
    </w:p>
    <w:p w14:paraId="1F346880" w14:textId="44E210BB" w:rsidR="0011475D" w:rsidRDefault="00463F7C" w:rsidP="00463F7C">
      <w:pPr>
        <w:spacing w:before="240"/>
        <w:rPr>
          <w:rFonts w:cs="Calibri"/>
        </w:rPr>
      </w:pPr>
      <w:r w:rsidRPr="396ABCA7">
        <w:rPr>
          <w:rFonts w:cs="Calibri"/>
        </w:rPr>
        <w:t xml:space="preserve">Small claims proceedings are made through Division 2 of the FCFCOA. </w:t>
      </w:r>
      <w:r>
        <w:rPr>
          <w:rFonts w:cs="Calibri"/>
        </w:rPr>
        <w:t xml:space="preserve">Figure </w:t>
      </w:r>
      <w:r w:rsidR="00C67B26">
        <w:rPr>
          <w:rFonts w:cs="Calibri"/>
        </w:rPr>
        <w:t>23</w:t>
      </w:r>
      <w:r w:rsidRPr="396ABCA7">
        <w:rPr>
          <w:rFonts w:cs="Calibri"/>
        </w:rPr>
        <w:t xml:space="preserve"> shows trends in the number of small claim applications over the last </w:t>
      </w:r>
      <w:r>
        <w:rPr>
          <w:rFonts w:cs="Calibri"/>
        </w:rPr>
        <w:t>five</w:t>
      </w:r>
      <w:r w:rsidRPr="396ABCA7">
        <w:rPr>
          <w:rFonts w:cs="Calibri"/>
        </w:rPr>
        <w:t xml:space="preserve"> financial years. The data is from the FCFCOA annual reports. Prior to 2019</w:t>
      </w:r>
      <w:r w:rsidRPr="396ABCA7">
        <w:rPr>
          <w:rFonts w:ascii="Symbol" w:eastAsia="Symbol" w:hAnsi="Symbol" w:cs="Symbol"/>
        </w:rPr>
        <w:t>-</w:t>
      </w:r>
      <w:r w:rsidRPr="396ABCA7">
        <w:rPr>
          <w:rFonts w:cs="Calibri"/>
        </w:rPr>
        <w:t>20 the small claims data is not disaggregated to the number of applications filed, finalised and pending and therefore has not been included.</w:t>
      </w:r>
    </w:p>
    <w:p w14:paraId="40EFEF4D" w14:textId="61864B3C" w:rsidR="00463F7C" w:rsidRPr="00167CB8" w:rsidRDefault="00463F7C" w:rsidP="00463F7C">
      <w:pPr>
        <w:spacing w:before="240"/>
        <w:rPr>
          <w:i/>
          <w:iCs/>
          <w:color w:val="404246" w:themeColor="text2"/>
        </w:rPr>
      </w:pPr>
      <w:r w:rsidRPr="00C67B26">
        <w:rPr>
          <w:rFonts w:cs="Calibri"/>
        </w:rPr>
        <w:t>Figure 2</w:t>
      </w:r>
      <w:r w:rsidR="00543E41" w:rsidRPr="00C67B26">
        <w:rPr>
          <w:rFonts w:cs="Calibri"/>
        </w:rPr>
        <w:t>3</w:t>
      </w:r>
      <w:r w:rsidRPr="00846DC0">
        <w:rPr>
          <w:rFonts w:cs="Calibri"/>
        </w:rPr>
        <w:t xml:space="preserve"> shows that</w:t>
      </w:r>
      <w:r w:rsidRPr="396ABCA7">
        <w:rPr>
          <w:rFonts w:cs="Calibri"/>
        </w:rPr>
        <w:t xml:space="preserve">, over the </w:t>
      </w:r>
      <w:r w:rsidR="00677856">
        <w:rPr>
          <w:rFonts w:cs="Calibri"/>
        </w:rPr>
        <w:t>five</w:t>
      </w:r>
      <w:r w:rsidRPr="396ABCA7">
        <w:rPr>
          <w:rFonts w:cs="Calibri"/>
        </w:rPr>
        <w:t>-year period examined, the number of small claims applications filed was at its highest in 2019</w:t>
      </w:r>
      <w:r w:rsidRPr="396ABCA7">
        <w:rPr>
          <w:rFonts w:ascii="Symbol" w:eastAsia="Symbol" w:hAnsi="Symbol" w:cs="Symbol"/>
        </w:rPr>
        <w:t>-</w:t>
      </w:r>
      <w:r w:rsidRPr="396ABCA7">
        <w:rPr>
          <w:rFonts w:cs="Calibri"/>
        </w:rPr>
        <w:t>20. This may relate to the fact that the report from the MWTF was released by the Liberal</w:t>
      </w:r>
      <w:r>
        <w:rPr>
          <w:rFonts w:ascii="Symbol" w:eastAsia="Symbol" w:hAnsi="Symbol" w:cs="Symbol"/>
        </w:rPr>
        <w:t>-</w:t>
      </w:r>
      <w:r w:rsidRPr="396ABCA7">
        <w:rPr>
          <w:rFonts w:cs="Calibri"/>
        </w:rPr>
        <w:t>National Coalition government in March 2019 and there was likely heightened attention concerning underpayments.</w:t>
      </w:r>
      <w:r w:rsidRPr="396ABCA7">
        <w:rPr>
          <w:rStyle w:val="FootnoteReference"/>
          <w:rFonts w:cs="Calibri"/>
        </w:rPr>
        <w:footnoteReference w:id="1211"/>
      </w:r>
      <w:r w:rsidRPr="396ABCA7">
        <w:rPr>
          <w:rFonts w:cs="Calibri"/>
        </w:rPr>
        <w:t xml:space="preserve"> Between 2019</w:t>
      </w:r>
      <w:r w:rsidRPr="396ABCA7">
        <w:rPr>
          <w:rFonts w:ascii="Symbol" w:eastAsia="Symbol" w:hAnsi="Symbol" w:cs="Symbol"/>
        </w:rPr>
        <w:t>-</w:t>
      </w:r>
      <w:r w:rsidRPr="396ABCA7">
        <w:rPr>
          <w:rFonts w:cs="Calibri"/>
        </w:rPr>
        <w:t>20 and 2022</w:t>
      </w:r>
      <w:r w:rsidRPr="396ABCA7">
        <w:rPr>
          <w:rFonts w:ascii="Symbol" w:eastAsia="Symbol" w:hAnsi="Symbol" w:cs="Symbol"/>
        </w:rPr>
        <w:t>-</w:t>
      </w:r>
      <w:r w:rsidRPr="396ABCA7">
        <w:rPr>
          <w:rFonts w:cs="Calibri"/>
        </w:rPr>
        <w:t>23 there was a decline in the number of applications filed. This trend reversed in 2023</w:t>
      </w:r>
      <w:r w:rsidRPr="396ABCA7">
        <w:rPr>
          <w:rFonts w:ascii="Symbol" w:eastAsia="Symbol" w:hAnsi="Symbol" w:cs="Symbol"/>
        </w:rPr>
        <w:t>-</w:t>
      </w:r>
      <w:r w:rsidRPr="396ABCA7">
        <w:rPr>
          <w:rFonts w:cs="Calibri"/>
        </w:rPr>
        <w:t>24</w:t>
      </w:r>
      <w:r w:rsidR="00677856">
        <w:rPr>
          <w:rFonts w:cs="Calibri"/>
        </w:rPr>
        <w:t>,</w:t>
      </w:r>
      <w:r w:rsidRPr="396ABCA7">
        <w:rPr>
          <w:rFonts w:cs="Calibri"/>
        </w:rPr>
        <w:t xml:space="preserve"> with the number of new cases filed increasing by 80 (or 58%) to 217 between 2022</w:t>
      </w:r>
      <w:r w:rsidRPr="396ABCA7">
        <w:rPr>
          <w:rFonts w:ascii="Symbol" w:eastAsia="Symbol" w:hAnsi="Symbol" w:cs="Symbol"/>
        </w:rPr>
        <w:t>-</w:t>
      </w:r>
      <w:r w:rsidRPr="396ABCA7">
        <w:rPr>
          <w:rFonts w:cs="Calibri"/>
        </w:rPr>
        <w:t>23 and 2023</w:t>
      </w:r>
      <w:r w:rsidRPr="396ABCA7">
        <w:rPr>
          <w:rFonts w:ascii="Symbol" w:eastAsia="Symbol" w:hAnsi="Symbol" w:cs="Symbol"/>
        </w:rPr>
        <w:t>-</w:t>
      </w:r>
      <w:r w:rsidRPr="396ABCA7">
        <w:rPr>
          <w:rFonts w:cs="Calibri"/>
        </w:rPr>
        <w:t>24 financial years.</w:t>
      </w:r>
    </w:p>
    <w:p w14:paraId="4FBC3DDB" w14:textId="174B0DC8" w:rsidR="00463F7C" w:rsidRPr="00167CB8" w:rsidRDefault="00543E41" w:rsidP="007F380D">
      <w:pPr>
        <w:pStyle w:val="Caption"/>
      </w:pPr>
      <w:bookmarkStart w:id="630" w:name="_Toc189310809"/>
      <w:bookmarkStart w:id="631" w:name="_Toc194251521"/>
      <w:r>
        <w:lastRenderedPageBreak/>
        <w:t xml:space="preserve">Figure </w:t>
      </w:r>
      <w:r>
        <w:fldChar w:fldCharType="begin"/>
      </w:r>
      <w:r>
        <w:instrText xml:space="preserve"> SEQ Figure \* ARABIC </w:instrText>
      </w:r>
      <w:r>
        <w:fldChar w:fldCharType="separate"/>
      </w:r>
      <w:r w:rsidR="00DE5F5E">
        <w:rPr>
          <w:noProof/>
        </w:rPr>
        <w:t>23</w:t>
      </w:r>
      <w:r>
        <w:fldChar w:fldCharType="end"/>
      </w:r>
      <w:r>
        <w:t xml:space="preserve">: </w:t>
      </w:r>
      <w:r w:rsidR="00463F7C" w:rsidRPr="00167CB8">
        <w:t>The number of small claims applications filed, finalised and pending, 2019</w:t>
      </w:r>
      <w:r w:rsidR="00463F7C" w:rsidRPr="00C7470B">
        <w:rPr>
          <w:rFonts w:ascii="Symbol" w:eastAsia="Symbol" w:hAnsi="Symbol" w:cs="Symbol"/>
        </w:rPr>
        <w:t>-</w:t>
      </w:r>
      <w:r w:rsidR="00463F7C" w:rsidRPr="00167CB8">
        <w:t>20 to 2023</w:t>
      </w:r>
      <w:r w:rsidR="00463F7C" w:rsidRPr="00C7470B">
        <w:rPr>
          <w:rFonts w:ascii="Symbol" w:eastAsia="Symbol" w:hAnsi="Symbol" w:cs="Symbol"/>
        </w:rPr>
        <w:t>-</w:t>
      </w:r>
      <w:r w:rsidR="00463F7C" w:rsidRPr="00167CB8">
        <w:t>24</w:t>
      </w:r>
      <w:bookmarkEnd w:id="630"/>
      <w:bookmarkEnd w:id="631"/>
    </w:p>
    <w:p w14:paraId="039DCF15" w14:textId="77777777" w:rsidR="00463F7C" w:rsidRPr="00167CB8" w:rsidRDefault="00463F7C" w:rsidP="00463F7C">
      <w:pPr>
        <w:spacing w:after="0"/>
        <w:rPr>
          <w:rFonts w:cs="Calibri"/>
        </w:rPr>
      </w:pPr>
      <w:r w:rsidRPr="00167CB8">
        <w:rPr>
          <w:noProof/>
        </w:rPr>
        <w:drawing>
          <wp:inline distT="0" distB="0" distL="0" distR="0" wp14:anchorId="5E6B5DCA" wp14:editId="5C0312EE">
            <wp:extent cx="5731510" cy="3748405"/>
            <wp:effectExtent l="0" t="0" r="2540" b="4445"/>
            <wp:docPr id="437679023" name="Picture 1" descr="A bar chart of the number of small claims applications filed, finalised and pending.&#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679023" name="Picture 1" descr="A bar chart of the number of small claims applications filed, finalised and pending.&#10;&#10;See alt-text following the source."/>
                    <pic:cNvPicPr/>
                  </pic:nvPicPr>
                  <pic:blipFill>
                    <a:blip r:embed="rId40"/>
                    <a:stretch>
                      <a:fillRect/>
                    </a:stretch>
                  </pic:blipFill>
                  <pic:spPr>
                    <a:xfrm>
                      <a:off x="0" y="0"/>
                      <a:ext cx="5731510" cy="3748405"/>
                    </a:xfrm>
                    <a:prstGeom prst="rect">
                      <a:avLst/>
                    </a:prstGeom>
                  </pic:spPr>
                </pic:pic>
              </a:graphicData>
            </a:graphic>
          </wp:inline>
        </w:drawing>
      </w:r>
    </w:p>
    <w:p w14:paraId="581E07E8" w14:textId="77777777" w:rsidR="00463F7C" w:rsidRPr="00167CB8" w:rsidRDefault="00463F7C" w:rsidP="00463F7C">
      <w:pPr>
        <w:pStyle w:val="Source"/>
        <w:rPr>
          <w:b/>
          <w:bCs/>
        </w:rPr>
      </w:pPr>
      <w:r w:rsidRPr="00167CB8">
        <w:rPr>
          <w:b/>
          <w:bCs/>
        </w:rPr>
        <w:t>Note:</w:t>
      </w:r>
    </w:p>
    <w:p w14:paraId="132240BA" w14:textId="4F27FAB1" w:rsidR="00463F7C" w:rsidRPr="00167CB8" w:rsidRDefault="00463F7C" w:rsidP="00463F7C">
      <w:pPr>
        <w:pStyle w:val="Source"/>
      </w:pPr>
      <w:r w:rsidRPr="396ABCA7">
        <w:t>1. The small claims division of the FCFCOA deals with request under subsection 548(1A) of the Fair Work Act (concerning compensation for an entitlement such as underpayment) and subsections 548(1B) and (1C) of the Fair Work Act in relation to fixed</w:t>
      </w:r>
      <w:r w:rsidR="00DF1ADB">
        <w:t xml:space="preserve"> </w:t>
      </w:r>
      <w:r w:rsidRPr="396ABCA7">
        <w:t>term and casual contracts.</w:t>
      </w:r>
    </w:p>
    <w:p w14:paraId="2F59D7B1" w14:textId="53008EBF" w:rsidR="0011475D" w:rsidRDefault="00463F7C" w:rsidP="00463F7C">
      <w:pPr>
        <w:pStyle w:val="Source"/>
      </w:pPr>
      <w:r w:rsidRPr="396ABCA7">
        <w:t xml:space="preserve">2. The data for are from the FCFCOA </w:t>
      </w:r>
      <w:r w:rsidRPr="00C67B26">
        <w:rPr>
          <w:i/>
        </w:rPr>
        <w:t xml:space="preserve">Annual </w:t>
      </w:r>
      <w:r w:rsidRPr="00C67B26">
        <w:rPr>
          <w:i/>
          <w:iCs/>
        </w:rPr>
        <w:t>Report</w:t>
      </w:r>
      <w:r w:rsidRPr="00C67B26">
        <w:rPr>
          <w:i/>
        </w:rPr>
        <w:t xml:space="preserve"> 2023</w:t>
      </w:r>
      <w:r w:rsidR="00846DC0" w:rsidRPr="00FB6CFF">
        <w:rPr>
          <w:rFonts w:ascii="Symbol" w:eastAsia="Symbol" w:hAnsi="Symbol" w:cs="Symbol"/>
          <w:i/>
        </w:rPr>
        <w:sym w:font="Symbol" w:char="F02D"/>
      </w:r>
      <w:r w:rsidRPr="00C67B26">
        <w:rPr>
          <w:i/>
        </w:rPr>
        <w:t>24</w:t>
      </w:r>
      <w:r w:rsidRPr="396ABCA7">
        <w:t>, Figure 4.5.6(c). The information is not disaggregated by the section of the Fair Work Act under which applications are filed etc. Accordingly, it is not possible to say, with certainty, whether the increased number of applications filed are arising under s</w:t>
      </w:r>
      <w:r w:rsidR="00846DC0">
        <w:t xml:space="preserve"> </w:t>
      </w:r>
      <w:r w:rsidRPr="396ABCA7">
        <w:t>548(1A) in relation to unpaid entitlements.</w:t>
      </w:r>
    </w:p>
    <w:p w14:paraId="0DC804C7" w14:textId="1728BD9D" w:rsidR="00463F7C" w:rsidRPr="00167CB8" w:rsidRDefault="00463F7C" w:rsidP="00463F7C">
      <w:pPr>
        <w:pStyle w:val="Source"/>
      </w:pPr>
      <w:r w:rsidRPr="00167CB8">
        <w:t xml:space="preserve">3. The Secure Jobs, Better Pay amendments concerning small claims came into effect from 1 July 2023. This is shown in the above chart via the </w:t>
      </w:r>
      <w:r w:rsidR="006024EE">
        <w:t>vertical</w:t>
      </w:r>
      <w:r w:rsidR="006024EE" w:rsidRPr="00167CB8">
        <w:t xml:space="preserve"> </w:t>
      </w:r>
      <w:r w:rsidRPr="00167CB8">
        <w:t>red line (2023</w:t>
      </w:r>
      <w:r w:rsidR="00846DC0">
        <w:rPr>
          <w:rFonts w:ascii="Symbol" w:eastAsia="Symbol" w:hAnsi="Symbol" w:cs="Symbol"/>
        </w:rPr>
        <w:sym w:font="Symbol" w:char="F02D"/>
      </w:r>
      <w:r w:rsidRPr="00167CB8">
        <w:t>24 is the only year which includes fixed</w:t>
      </w:r>
      <w:r w:rsidR="00800964">
        <w:t xml:space="preserve"> </w:t>
      </w:r>
      <w:r w:rsidRPr="00167CB8">
        <w:t>term contract disputes).</w:t>
      </w:r>
    </w:p>
    <w:p w14:paraId="4D6BF114" w14:textId="77777777" w:rsidR="00463F7C" w:rsidRPr="00167CB8" w:rsidRDefault="00463F7C" w:rsidP="00463F7C">
      <w:pPr>
        <w:pStyle w:val="Source"/>
      </w:pPr>
      <w:r w:rsidRPr="00167CB8">
        <w:rPr>
          <w:b/>
          <w:bCs/>
        </w:rPr>
        <w:t>Source:</w:t>
      </w:r>
      <w:r w:rsidRPr="00167CB8">
        <w:t xml:space="preserve"> Federal Circuit and Family Court of Australia, </w:t>
      </w:r>
      <w:r w:rsidRPr="00167CB8">
        <w:rPr>
          <w:i/>
          <w:iCs/>
        </w:rPr>
        <w:t>Annual Report 2023</w:t>
      </w:r>
      <w:r w:rsidRPr="00167CB8">
        <w:rPr>
          <w:rFonts w:ascii="Symbol" w:eastAsia="Symbol" w:hAnsi="Symbol" w:cs="Symbol"/>
          <w:i/>
        </w:rPr>
        <w:t>-</w:t>
      </w:r>
      <w:r w:rsidRPr="00167CB8">
        <w:rPr>
          <w:i/>
          <w:iCs/>
        </w:rPr>
        <w:t>24</w:t>
      </w:r>
      <w:r w:rsidRPr="00167CB8">
        <w:t>, Figure 4.5.6(c).</w:t>
      </w:r>
    </w:p>
    <w:p w14:paraId="410C5B3E" w14:textId="77777777" w:rsidR="00463F7C" w:rsidRPr="00167CB8" w:rsidRDefault="00463F7C" w:rsidP="00463F7C">
      <w:pPr>
        <w:pStyle w:val="Source"/>
      </w:pPr>
      <w:r w:rsidRPr="396ABCA7">
        <w:rPr>
          <w:b/>
          <w:bCs/>
        </w:rPr>
        <w:t xml:space="preserve">Alt-text: </w:t>
      </w:r>
      <w:r w:rsidRPr="396ABCA7">
        <w:t>A bar chart showing the number of small claims filed, finalised and pending. In 2023</w:t>
      </w:r>
      <w:r w:rsidRPr="396ABCA7">
        <w:rPr>
          <w:rFonts w:ascii="Symbol" w:eastAsia="Symbol" w:hAnsi="Symbol" w:cs="Symbol"/>
        </w:rPr>
        <w:t>-</w:t>
      </w:r>
      <w:r w:rsidRPr="396ABCA7">
        <w:t>24 financial year the number of small claims filed was equal to 217, up by 80 (or 58%) on the numbers filed in 2022</w:t>
      </w:r>
      <w:r w:rsidRPr="396ABCA7">
        <w:rPr>
          <w:rFonts w:ascii="Symbol" w:eastAsia="Symbol" w:hAnsi="Symbol" w:cs="Symbol"/>
        </w:rPr>
        <w:t>-</w:t>
      </w:r>
      <w:r w:rsidRPr="396ABCA7">
        <w:t>23.</w:t>
      </w:r>
    </w:p>
    <w:p w14:paraId="36EB5388" w14:textId="6A0AC1BE" w:rsidR="0011475D" w:rsidRDefault="00463F7C" w:rsidP="00463F7C">
      <w:r w:rsidRPr="396ABCA7">
        <w:t>The rise in small claims in 2023</w:t>
      </w:r>
      <w:r w:rsidRPr="396ABCA7">
        <w:rPr>
          <w:rFonts w:ascii="Symbol" w:eastAsia="Symbol" w:hAnsi="Symbol" w:cs="Symbol"/>
        </w:rPr>
        <w:t>-</w:t>
      </w:r>
      <w:r w:rsidRPr="396ABCA7">
        <w:t>24 aligns with the Australian Government’s intent and the changes to the Act to encourage workers to pursue their entitlements through a more accessible claims process. However, other factors may also explain the observed increase. For example, there has been extensive media coverage of underpayment following Australian Government inquiries</w:t>
      </w:r>
      <w:r w:rsidRPr="396ABCA7">
        <w:rPr>
          <w:rStyle w:val="FootnoteReference"/>
          <w:rFonts w:cs="Calibri"/>
        </w:rPr>
        <w:footnoteReference w:id="1212"/>
      </w:r>
      <w:r w:rsidRPr="396ABCA7">
        <w:t xml:space="preserve"> and changes to the Act. This could have had an educative function and </w:t>
      </w:r>
      <w:r w:rsidRPr="396ABCA7">
        <w:lastRenderedPageBreak/>
        <w:t>generated more claims. Claims may also be up on account of union campaigns and cost-of-living pressures.</w:t>
      </w:r>
      <w:r w:rsidRPr="396ABCA7">
        <w:rPr>
          <w:rStyle w:val="FootnoteReference"/>
          <w:rFonts w:cs="Calibri"/>
        </w:rPr>
        <w:footnoteReference w:id="1213"/>
      </w:r>
    </w:p>
    <w:p w14:paraId="2D0CDB87" w14:textId="35F62A7D" w:rsidR="0011475D" w:rsidRDefault="00463F7C" w:rsidP="00463F7C">
      <w:r w:rsidRPr="396ABCA7">
        <w:t xml:space="preserve">It is important to note </w:t>
      </w:r>
      <w:r w:rsidRPr="000A25B7">
        <w:t xml:space="preserve">that the data in Figure </w:t>
      </w:r>
      <w:r w:rsidR="00E2715B" w:rsidRPr="000A25B7">
        <w:t>2</w:t>
      </w:r>
      <w:r w:rsidR="00E2715B">
        <w:t>3</w:t>
      </w:r>
      <w:r w:rsidR="00E2715B" w:rsidRPr="000A25B7">
        <w:t xml:space="preserve"> </w:t>
      </w:r>
      <w:r w:rsidRPr="000A25B7">
        <w:t>provides only</w:t>
      </w:r>
      <w:r w:rsidRPr="396ABCA7">
        <w:t xml:space="preserve"> partial insight into the extent of worker underpayment/non-payment. For example, it only reports on small claims taken through the FCFCOA. From the limited data available it appears that some claims have </w:t>
      </w:r>
      <w:r w:rsidR="00677856">
        <w:t xml:space="preserve">been </w:t>
      </w:r>
      <w:r w:rsidRPr="396ABCA7">
        <w:t xml:space="preserve">pursued through state courts. However, state court data </w:t>
      </w:r>
      <w:r w:rsidR="00677856">
        <w:t xml:space="preserve">has </w:t>
      </w:r>
      <w:r w:rsidRPr="396ABCA7">
        <w:t>not been captured in this data due to a lack of disaggregated data on small claims in most states. Better data from state courts may help better understand how many small claims applications have been made across the country. The enforcement activities of the</w:t>
      </w:r>
      <w:r w:rsidRPr="396ABCA7" w:rsidDel="00846DC0">
        <w:t xml:space="preserve"> </w:t>
      </w:r>
      <w:r w:rsidR="00846DC0">
        <w:t xml:space="preserve">Fair Work Ombudsman (FWO) </w:t>
      </w:r>
      <w:r w:rsidRPr="396ABCA7">
        <w:t>may have also affected the number of small claims filed.</w:t>
      </w:r>
    </w:p>
    <w:p w14:paraId="5937E4BA" w14:textId="769A1DEA" w:rsidR="00463F7C" w:rsidRDefault="00463F7C" w:rsidP="002E7B6C">
      <w:r w:rsidRPr="00DC530B">
        <w:t xml:space="preserve">Table </w:t>
      </w:r>
      <w:r w:rsidR="002E5723" w:rsidRPr="00DC530B">
        <w:t>2</w:t>
      </w:r>
      <w:r w:rsidR="002E5723">
        <w:t>4</w:t>
      </w:r>
      <w:r w:rsidR="002E5723" w:rsidRPr="00DC530B">
        <w:t xml:space="preserve"> </w:t>
      </w:r>
      <w:r w:rsidRPr="00DC530B">
        <w:t xml:space="preserve">outlines trends in enforcement outcomes by the FWO from data provided to the Review. Compliance notices, a key tool for rectifying worker underpayments, increased by 6% in 2023–24, with 2,574 notices issued. Beyond highlighting the prevalence of underpayments and the amounts recovered, Table </w:t>
      </w:r>
      <w:r w:rsidR="002E5723" w:rsidRPr="00DC530B">
        <w:t>2</w:t>
      </w:r>
      <w:r w:rsidR="002E5723">
        <w:t>4</w:t>
      </w:r>
      <w:r w:rsidR="002E5723" w:rsidRPr="00DC530B">
        <w:t xml:space="preserve"> </w:t>
      </w:r>
      <w:r w:rsidRPr="00DC530B">
        <w:t xml:space="preserve">illustrates how the FWO’s enforcement activities likely mitigate the volume of small claims reflected </w:t>
      </w:r>
      <w:r w:rsidRPr="00365C93">
        <w:t>in Figure 2</w:t>
      </w:r>
      <w:r w:rsidR="00365C93" w:rsidRPr="0058745F">
        <w:t>3</w:t>
      </w:r>
      <w:r w:rsidRPr="00365C93">
        <w:t>.</w:t>
      </w:r>
    </w:p>
    <w:p w14:paraId="70406A90" w14:textId="77777777" w:rsidR="00463F7C" w:rsidRDefault="00463F7C" w:rsidP="00463F7C">
      <w:pPr>
        <w:spacing w:after="160"/>
        <w:rPr>
          <w:rFonts w:cs="Calibri"/>
          <w:b/>
          <w:bCs/>
          <w:lang w:val="en-US"/>
        </w:rPr>
      </w:pPr>
      <w:r>
        <w:br w:type="page"/>
      </w:r>
    </w:p>
    <w:p w14:paraId="72451A7C" w14:textId="4973D24C" w:rsidR="00463F7C" w:rsidRPr="00167CB8" w:rsidRDefault="00543E41" w:rsidP="007F380D">
      <w:pPr>
        <w:pStyle w:val="Caption"/>
      </w:pPr>
      <w:bookmarkStart w:id="632" w:name="_Toc194251448"/>
      <w:r>
        <w:lastRenderedPageBreak/>
        <w:t xml:space="preserve">Table </w:t>
      </w:r>
      <w:r>
        <w:fldChar w:fldCharType="begin"/>
      </w:r>
      <w:r>
        <w:instrText xml:space="preserve"> SEQ Table \* ARABIC </w:instrText>
      </w:r>
      <w:r>
        <w:fldChar w:fldCharType="separate"/>
      </w:r>
      <w:r w:rsidR="00DE5F5E">
        <w:rPr>
          <w:noProof/>
        </w:rPr>
        <w:t>24</w:t>
      </w:r>
      <w:r>
        <w:fldChar w:fldCharType="end"/>
      </w:r>
      <w:r>
        <w:t xml:space="preserve">: </w:t>
      </w:r>
      <w:r w:rsidR="00463F7C" w:rsidRPr="00167CB8">
        <w:t xml:space="preserve">Office of the Fair Work Ombudsman, </w:t>
      </w:r>
      <w:r w:rsidR="00846DC0">
        <w:t>e</w:t>
      </w:r>
      <w:r w:rsidR="00463F7C" w:rsidRPr="00167CB8">
        <w:t xml:space="preserve">nforcement </w:t>
      </w:r>
      <w:r w:rsidR="00846DC0">
        <w:t>o</w:t>
      </w:r>
      <w:r w:rsidR="00463F7C" w:rsidRPr="00167CB8">
        <w:t>utcomes</w:t>
      </w:r>
      <w:r w:rsidR="00846DC0">
        <w:t>,</w:t>
      </w:r>
      <w:r w:rsidR="00463F7C" w:rsidRPr="00167CB8">
        <w:t xml:space="preserve"> 2019</w:t>
      </w:r>
      <w:r w:rsidR="00463F7C" w:rsidRPr="00167CB8">
        <w:rPr>
          <w:rFonts w:ascii="Symbol" w:eastAsia="Symbol" w:hAnsi="Symbol" w:cs="Symbol"/>
        </w:rPr>
        <w:t>-</w:t>
      </w:r>
      <w:r w:rsidR="00463F7C" w:rsidRPr="00167CB8">
        <w:t>20 to 2023</w:t>
      </w:r>
      <w:r w:rsidR="00463F7C" w:rsidRPr="00167CB8">
        <w:rPr>
          <w:rFonts w:ascii="Symbol" w:eastAsia="Symbol" w:hAnsi="Symbol" w:cs="Symbol"/>
        </w:rPr>
        <w:t>-</w:t>
      </w:r>
      <w:r w:rsidR="00463F7C" w:rsidRPr="00167CB8">
        <w:t>24</w:t>
      </w:r>
      <w:bookmarkEnd w:id="632"/>
    </w:p>
    <w:tbl>
      <w:tblPr>
        <w:tblW w:w="872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280"/>
        <w:gridCol w:w="1088"/>
        <w:gridCol w:w="1088"/>
        <w:gridCol w:w="1088"/>
        <w:gridCol w:w="1088"/>
        <w:gridCol w:w="1088"/>
      </w:tblGrid>
      <w:tr w:rsidR="00463F7C" w:rsidRPr="00543E41" w14:paraId="327C1BD4" w14:textId="77777777">
        <w:trPr>
          <w:trHeight w:val="300"/>
        </w:trPr>
        <w:tc>
          <w:tcPr>
            <w:tcW w:w="3280" w:type="dxa"/>
            <w:tcBorders>
              <w:top w:val="single" w:sz="4" w:space="0" w:color="auto"/>
              <w:bottom w:val="single" w:sz="4" w:space="0" w:color="auto"/>
            </w:tcBorders>
            <w:noWrap/>
            <w:vAlign w:val="bottom"/>
            <w:hideMark/>
          </w:tcPr>
          <w:p w14:paraId="6015F0C5" w14:textId="77777777" w:rsidR="00463F7C" w:rsidRPr="0058745F" w:rsidRDefault="00463F7C">
            <w:pPr>
              <w:spacing w:after="0"/>
              <w:rPr>
                <w:rFonts w:eastAsia="Times New Roman" w:cs="Calibri"/>
                <w:b/>
                <w:sz w:val="20"/>
                <w:szCs w:val="20"/>
                <w:lang w:eastAsia="en-AU"/>
              </w:rPr>
            </w:pPr>
          </w:p>
        </w:tc>
        <w:tc>
          <w:tcPr>
            <w:tcW w:w="1088" w:type="dxa"/>
            <w:tcBorders>
              <w:top w:val="single" w:sz="4" w:space="0" w:color="auto"/>
              <w:bottom w:val="single" w:sz="4" w:space="0" w:color="auto"/>
            </w:tcBorders>
            <w:vAlign w:val="bottom"/>
          </w:tcPr>
          <w:p w14:paraId="44C29ACB" w14:textId="77777777" w:rsidR="00463F7C" w:rsidRPr="0058745F" w:rsidRDefault="00463F7C" w:rsidP="0058745F">
            <w:pPr>
              <w:spacing w:after="0"/>
              <w:jc w:val="right"/>
              <w:rPr>
                <w:rFonts w:eastAsia="Times New Roman" w:cs="Calibri"/>
                <w:b/>
                <w:color w:val="000000"/>
                <w:sz w:val="20"/>
                <w:szCs w:val="20"/>
                <w:lang w:eastAsia="en-AU"/>
              </w:rPr>
            </w:pPr>
            <w:r w:rsidRPr="0058745F">
              <w:rPr>
                <w:rFonts w:eastAsia="Times New Roman" w:cs="Calibri"/>
                <w:b/>
                <w:color w:val="000000"/>
                <w:sz w:val="20"/>
                <w:szCs w:val="20"/>
                <w:lang w:eastAsia="en-AU"/>
              </w:rPr>
              <w:t>2019</w:t>
            </w:r>
            <w:r w:rsidRPr="0058745F">
              <w:rPr>
                <w:rFonts w:ascii="Symbol" w:eastAsia="Symbol" w:hAnsi="Symbol" w:cs="Symbol"/>
                <w:b/>
                <w:color w:val="000000"/>
                <w:sz w:val="20"/>
                <w:szCs w:val="20"/>
                <w:lang w:eastAsia="en-AU"/>
              </w:rPr>
              <w:t>-</w:t>
            </w:r>
            <w:r w:rsidRPr="0058745F">
              <w:rPr>
                <w:rFonts w:eastAsia="Times New Roman" w:cs="Calibri"/>
                <w:b/>
                <w:color w:val="000000"/>
                <w:sz w:val="20"/>
                <w:szCs w:val="20"/>
                <w:lang w:eastAsia="en-AU"/>
              </w:rPr>
              <w:t>20</w:t>
            </w:r>
          </w:p>
        </w:tc>
        <w:tc>
          <w:tcPr>
            <w:tcW w:w="1088" w:type="dxa"/>
            <w:tcBorders>
              <w:top w:val="single" w:sz="4" w:space="0" w:color="auto"/>
              <w:bottom w:val="single" w:sz="4" w:space="0" w:color="auto"/>
            </w:tcBorders>
            <w:vAlign w:val="bottom"/>
          </w:tcPr>
          <w:p w14:paraId="78B946CB" w14:textId="77777777" w:rsidR="00463F7C" w:rsidRPr="0058745F" w:rsidRDefault="00463F7C" w:rsidP="0058745F">
            <w:pPr>
              <w:spacing w:after="0"/>
              <w:jc w:val="right"/>
              <w:rPr>
                <w:rFonts w:eastAsia="Times New Roman" w:cs="Calibri"/>
                <w:b/>
                <w:color w:val="000000"/>
                <w:sz w:val="20"/>
                <w:szCs w:val="20"/>
                <w:lang w:eastAsia="en-AU"/>
              </w:rPr>
            </w:pPr>
            <w:r w:rsidRPr="0058745F">
              <w:rPr>
                <w:rFonts w:eastAsia="Times New Roman" w:cs="Calibri"/>
                <w:b/>
                <w:color w:val="000000"/>
                <w:sz w:val="20"/>
                <w:szCs w:val="20"/>
                <w:lang w:eastAsia="en-AU"/>
              </w:rPr>
              <w:t>2020</w:t>
            </w:r>
            <w:r w:rsidRPr="0058745F">
              <w:rPr>
                <w:rFonts w:ascii="Symbol" w:eastAsia="Symbol" w:hAnsi="Symbol" w:cs="Symbol"/>
                <w:b/>
                <w:color w:val="000000"/>
                <w:sz w:val="20"/>
                <w:szCs w:val="20"/>
                <w:lang w:eastAsia="en-AU"/>
              </w:rPr>
              <w:t>-</w:t>
            </w:r>
            <w:r w:rsidRPr="0058745F">
              <w:rPr>
                <w:rFonts w:eastAsia="Times New Roman" w:cs="Calibri"/>
                <w:b/>
                <w:color w:val="000000"/>
                <w:sz w:val="20"/>
                <w:szCs w:val="20"/>
                <w:lang w:eastAsia="en-AU"/>
              </w:rPr>
              <w:t>21</w:t>
            </w:r>
          </w:p>
        </w:tc>
        <w:tc>
          <w:tcPr>
            <w:tcW w:w="1088" w:type="dxa"/>
            <w:tcBorders>
              <w:top w:val="single" w:sz="4" w:space="0" w:color="auto"/>
              <w:bottom w:val="single" w:sz="4" w:space="0" w:color="auto"/>
            </w:tcBorders>
            <w:vAlign w:val="bottom"/>
          </w:tcPr>
          <w:p w14:paraId="76DDCCE8" w14:textId="77777777" w:rsidR="00463F7C" w:rsidRPr="0058745F" w:rsidRDefault="00463F7C" w:rsidP="0058745F">
            <w:pPr>
              <w:spacing w:after="0"/>
              <w:jc w:val="right"/>
              <w:rPr>
                <w:rFonts w:eastAsia="Times New Roman" w:cs="Calibri"/>
                <w:b/>
                <w:color w:val="000000"/>
                <w:sz w:val="20"/>
                <w:szCs w:val="20"/>
                <w:lang w:eastAsia="en-AU"/>
              </w:rPr>
            </w:pPr>
            <w:r w:rsidRPr="0058745F">
              <w:rPr>
                <w:rFonts w:eastAsia="Times New Roman" w:cs="Calibri"/>
                <w:b/>
                <w:color w:val="000000"/>
                <w:sz w:val="20"/>
                <w:szCs w:val="20"/>
                <w:lang w:eastAsia="en-AU"/>
              </w:rPr>
              <w:t>2021</w:t>
            </w:r>
            <w:r w:rsidRPr="0058745F">
              <w:rPr>
                <w:rFonts w:ascii="Symbol" w:eastAsia="Symbol" w:hAnsi="Symbol" w:cs="Symbol"/>
                <w:b/>
                <w:color w:val="000000"/>
                <w:sz w:val="20"/>
                <w:szCs w:val="20"/>
                <w:lang w:eastAsia="en-AU"/>
              </w:rPr>
              <w:t>-</w:t>
            </w:r>
            <w:r w:rsidRPr="0058745F">
              <w:rPr>
                <w:rFonts w:eastAsia="Times New Roman" w:cs="Calibri"/>
                <w:b/>
                <w:color w:val="000000"/>
                <w:sz w:val="20"/>
                <w:szCs w:val="20"/>
                <w:lang w:eastAsia="en-AU"/>
              </w:rPr>
              <w:t>22</w:t>
            </w:r>
          </w:p>
        </w:tc>
        <w:tc>
          <w:tcPr>
            <w:tcW w:w="1088" w:type="dxa"/>
            <w:tcBorders>
              <w:top w:val="single" w:sz="4" w:space="0" w:color="auto"/>
              <w:bottom w:val="single" w:sz="4" w:space="0" w:color="auto"/>
            </w:tcBorders>
            <w:vAlign w:val="bottom"/>
          </w:tcPr>
          <w:p w14:paraId="360AE787" w14:textId="77777777" w:rsidR="00463F7C" w:rsidRPr="0058745F" w:rsidRDefault="00463F7C" w:rsidP="0058745F">
            <w:pPr>
              <w:spacing w:after="0"/>
              <w:jc w:val="right"/>
              <w:rPr>
                <w:rFonts w:eastAsia="Times New Roman" w:cs="Calibri"/>
                <w:b/>
                <w:color w:val="000000"/>
                <w:sz w:val="20"/>
                <w:szCs w:val="20"/>
                <w:lang w:eastAsia="en-AU"/>
              </w:rPr>
            </w:pPr>
            <w:r w:rsidRPr="0058745F">
              <w:rPr>
                <w:rFonts w:eastAsia="Times New Roman" w:cs="Calibri"/>
                <w:b/>
                <w:color w:val="000000"/>
                <w:sz w:val="20"/>
                <w:szCs w:val="20"/>
                <w:lang w:eastAsia="en-AU"/>
              </w:rPr>
              <w:t>2022</w:t>
            </w:r>
            <w:r w:rsidRPr="0058745F">
              <w:rPr>
                <w:rFonts w:ascii="Symbol" w:eastAsia="Symbol" w:hAnsi="Symbol" w:cs="Symbol"/>
                <w:b/>
                <w:color w:val="000000"/>
                <w:sz w:val="20"/>
                <w:szCs w:val="20"/>
                <w:lang w:eastAsia="en-AU"/>
              </w:rPr>
              <w:t>-</w:t>
            </w:r>
            <w:r w:rsidRPr="0058745F">
              <w:rPr>
                <w:rFonts w:eastAsia="Times New Roman" w:cs="Calibri"/>
                <w:b/>
                <w:color w:val="000000"/>
                <w:sz w:val="20"/>
                <w:szCs w:val="20"/>
                <w:lang w:eastAsia="en-AU"/>
              </w:rPr>
              <w:t>23</w:t>
            </w:r>
          </w:p>
        </w:tc>
        <w:tc>
          <w:tcPr>
            <w:tcW w:w="1088" w:type="dxa"/>
            <w:tcBorders>
              <w:top w:val="single" w:sz="4" w:space="0" w:color="auto"/>
              <w:bottom w:val="single" w:sz="4" w:space="0" w:color="auto"/>
            </w:tcBorders>
            <w:vAlign w:val="bottom"/>
          </w:tcPr>
          <w:p w14:paraId="5B60FAA3" w14:textId="77777777" w:rsidR="00463F7C" w:rsidRPr="0058745F" w:rsidRDefault="00463F7C" w:rsidP="0058745F">
            <w:pPr>
              <w:spacing w:after="0"/>
              <w:jc w:val="right"/>
              <w:rPr>
                <w:rFonts w:eastAsia="Times New Roman" w:cs="Calibri"/>
                <w:b/>
                <w:color w:val="000000"/>
                <w:sz w:val="20"/>
                <w:szCs w:val="20"/>
                <w:lang w:eastAsia="en-AU"/>
              </w:rPr>
            </w:pPr>
            <w:r w:rsidRPr="0058745F">
              <w:rPr>
                <w:rFonts w:eastAsia="Times New Roman" w:cs="Calibri"/>
                <w:b/>
                <w:color w:val="000000"/>
                <w:sz w:val="20"/>
                <w:szCs w:val="20"/>
                <w:lang w:eastAsia="en-AU"/>
              </w:rPr>
              <w:t>2023</w:t>
            </w:r>
            <w:r w:rsidRPr="0058745F">
              <w:rPr>
                <w:rFonts w:ascii="Symbol" w:eastAsia="Symbol" w:hAnsi="Symbol" w:cs="Symbol"/>
                <w:b/>
                <w:color w:val="000000"/>
                <w:sz w:val="20"/>
                <w:szCs w:val="20"/>
                <w:lang w:eastAsia="en-AU"/>
              </w:rPr>
              <w:t>-</w:t>
            </w:r>
            <w:r w:rsidRPr="0058745F">
              <w:rPr>
                <w:rFonts w:eastAsia="Times New Roman" w:cs="Calibri"/>
                <w:b/>
                <w:color w:val="000000"/>
                <w:sz w:val="20"/>
                <w:szCs w:val="20"/>
                <w:lang w:eastAsia="en-AU"/>
              </w:rPr>
              <w:t>24</w:t>
            </w:r>
          </w:p>
        </w:tc>
      </w:tr>
      <w:tr w:rsidR="00463F7C" w:rsidRPr="00167CB8" w14:paraId="6B69DBE9" w14:textId="77777777">
        <w:trPr>
          <w:trHeight w:val="830"/>
        </w:trPr>
        <w:tc>
          <w:tcPr>
            <w:tcW w:w="3280" w:type="dxa"/>
            <w:tcBorders>
              <w:top w:val="single" w:sz="4" w:space="0" w:color="auto"/>
              <w:bottom w:val="nil"/>
            </w:tcBorders>
            <w:hideMark/>
          </w:tcPr>
          <w:p w14:paraId="5E445AF9" w14:textId="77777777" w:rsidR="00463F7C" w:rsidRPr="00167CB8" w:rsidRDefault="00463F7C">
            <w:pPr>
              <w:spacing w:after="0"/>
              <w:rPr>
                <w:rFonts w:eastAsia="Times New Roman" w:cs="Calibri"/>
                <w:color w:val="000000"/>
                <w:sz w:val="20"/>
                <w:szCs w:val="20"/>
                <w:lang w:eastAsia="en-AU"/>
              </w:rPr>
            </w:pPr>
            <w:r w:rsidRPr="00167CB8">
              <w:rPr>
                <w:rFonts w:eastAsia="Times New Roman" w:cs="Calibri"/>
                <w:color w:val="000000"/>
                <w:sz w:val="20"/>
                <w:szCs w:val="20"/>
                <w:lang w:eastAsia="en-AU"/>
              </w:rPr>
              <w:t>Infringement notices (‘on-the-spot fines’ to employers breaching record-keeping and pay slip requirements)</w:t>
            </w:r>
          </w:p>
        </w:tc>
        <w:tc>
          <w:tcPr>
            <w:tcW w:w="1088" w:type="dxa"/>
            <w:tcBorders>
              <w:top w:val="single" w:sz="4" w:space="0" w:color="auto"/>
              <w:bottom w:val="nil"/>
            </w:tcBorders>
            <w:vAlign w:val="bottom"/>
          </w:tcPr>
          <w:p w14:paraId="7F62DCD1" w14:textId="77777777" w:rsidR="00463F7C" w:rsidRPr="00167CB8" w:rsidRDefault="00463F7C">
            <w:pPr>
              <w:spacing w:after="0"/>
              <w:jc w:val="center"/>
              <w:rPr>
                <w:rFonts w:eastAsia="Times New Roman" w:cs="Calibri"/>
                <w:color w:val="000000"/>
                <w:sz w:val="20"/>
                <w:szCs w:val="20"/>
                <w:lang w:eastAsia="en-AU"/>
              </w:rPr>
            </w:pPr>
          </w:p>
        </w:tc>
        <w:tc>
          <w:tcPr>
            <w:tcW w:w="1088" w:type="dxa"/>
            <w:tcBorders>
              <w:top w:val="single" w:sz="4" w:space="0" w:color="auto"/>
              <w:bottom w:val="nil"/>
            </w:tcBorders>
            <w:vAlign w:val="bottom"/>
          </w:tcPr>
          <w:p w14:paraId="0EBE4061" w14:textId="77777777" w:rsidR="00463F7C" w:rsidRPr="00167CB8" w:rsidRDefault="00463F7C">
            <w:pPr>
              <w:spacing w:after="0"/>
              <w:jc w:val="center"/>
              <w:rPr>
                <w:rFonts w:eastAsia="Times New Roman" w:cs="Calibri"/>
                <w:color w:val="000000"/>
                <w:sz w:val="20"/>
                <w:szCs w:val="20"/>
                <w:lang w:eastAsia="en-AU"/>
              </w:rPr>
            </w:pPr>
          </w:p>
        </w:tc>
        <w:tc>
          <w:tcPr>
            <w:tcW w:w="1088" w:type="dxa"/>
            <w:tcBorders>
              <w:top w:val="single" w:sz="4" w:space="0" w:color="auto"/>
              <w:bottom w:val="nil"/>
            </w:tcBorders>
            <w:vAlign w:val="bottom"/>
          </w:tcPr>
          <w:p w14:paraId="33B885DB" w14:textId="77777777" w:rsidR="00463F7C" w:rsidRPr="00167CB8" w:rsidRDefault="00463F7C">
            <w:pPr>
              <w:spacing w:after="0"/>
              <w:jc w:val="center"/>
              <w:rPr>
                <w:rFonts w:eastAsia="Times New Roman" w:cs="Calibri"/>
                <w:color w:val="000000"/>
                <w:sz w:val="20"/>
                <w:szCs w:val="20"/>
                <w:lang w:eastAsia="en-AU"/>
              </w:rPr>
            </w:pPr>
          </w:p>
        </w:tc>
        <w:tc>
          <w:tcPr>
            <w:tcW w:w="1088" w:type="dxa"/>
            <w:tcBorders>
              <w:top w:val="single" w:sz="4" w:space="0" w:color="auto"/>
              <w:bottom w:val="nil"/>
            </w:tcBorders>
            <w:vAlign w:val="bottom"/>
          </w:tcPr>
          <w:p w14:paraId="48F3FA60" w14:textId="77777777" w:rsidR="00463F7C" w:rsidRPr="00167CB8" w:rsidRDefault="00463F7C">
            <w:pPr>
              <w:spacing w:after="0"/>
              <w:jc w:val="center"/>
              <w:rPr>
                <w:rFonts w:eastAsia="Times New Roman" w:cs="Calibri"/>
                <w:color w:val="000000"/>
                <w:sz w:val="20"/>
                <w:szCs w:val="20"/>
                <w:lang w:eastAsia="en-AU"/>
              </w:rPr>
            </w:pPr>
          </w:p>
        </w:tc>
        <w:tc>
          <w:tcPr>
            <w:tcW w:w="1088" w:type="dxa"/>
            <w:tcBorders>
              <w:top w:val="single" w:sz="4" w:space="0" w:color="auto"/>
              <w:bottom w:val="nil"/>
            </w:tcBorders>
            <w:vAlign w:val="bottom"/>
          </w:tcPr>
          <w:p w14:paraId="52D90A38" w14:textId="77777777" w:rsidR="00463F7C" w:rsidRPr="00167CB8" w:rsidRDefault="00463F7C">
            <w:pPr>
              <w:spacing w:after="0"/>
              <w:jc w:val="center"/>
              <w:rPr>
                <w:rFonts w:eastAsia="Times New Roman" w:cs="Calibri"/>
                <w:color w:val="000000"/>
                <w:sz w:val="20"/>
                <w:szCs w:val="20"/>
                <w:lang w:eastAsia="en-AU"/>
              </w:rPr>
            </w:pPr>
          </w:p>
        </w:tc>
      </w:tr>
      <w:tr w:rsidR="00463F7C" w:rsidRPr="00167CB8" w14:paraId="0636D48E" w14:textId="77777777">
        <w:trPr>
          <w:trHeight w:val="300"/>
        </w:trPr>
        <w:tc>
          <w:tcPr>
            <w:tcW w:w="3280" w:type="dxa"/>
            <w:tcBorders>
              <w:top w:val="nil"/>
              <w:bottom w:val="nil"/>
            </w:tcBorders>
            <w:noWrap/>
            <w:vAlign w:val="bottom"/>
            <w:hideMark/>
          </w:tcPr>
          <w:p w14:paraId="5726641E" w14:textId="77777777" w:rsidR="00463F7C" w:rsidRPr="00167CB8" w:rsidRDefault="00463F7C">
            <w:pPr>
              <w:spacing w:after="0"/>
              <w:rPr>
                <w:rFonts w:eastAsia="Times New Roman" w:cs="Calibri"/>
                <w:color w:val="000000"/>
                <w:sz w:val="20"/>
                <w:szCs w:val="20"/>
                <w:lang w:eastAsia="en-AU"/>
              </w:rPr>
            </w:pPr>
            <w:r w:rsidRPr="00167CB8">
              <w:rPr>
                <w:rFonts w:eastAsia="Times New Roman" w:cs="Calibri"/>
                <w:color w:val="000000"/>
                <w:sz w:val="20"/>
                <w:szCs w:val="20"/>
                <w:lang w:eastAsia="en-AU"/>
              </w:rPr>
              <w:t xml:space="preserve">  Notices</w:t>
            </w:r>
          </w:p>
        </w:tc>
        <w:tc>
          <w:tcPr>
            <w:tcW w:w="1088" w:type="dxa"/>
            <w:tcBorders>
              <w:top w:val="nil"/>
              <w:bottom w:val="nil"/>
            </w:tcBorders>
            <w:vAlign w:val="bottom"/>
          </w:tcPr>
          <w:p w14:paraId="76DBB115" w14:textId="77777777" w:rsidR="00463F7C" w:rsidRPr="00167CB8" w:rsidRDefault="00463F7C" w:rsidP="0058745F">
            <w:pPr>
              <w:spacing w:after="0"/>
              <w:jc w:val="right"/>
              <w:rPr>
                <w:rFonts w:eastAsia="Times New Roman" w:cs="Calibri"/>
                <w:color w:val="000000"/>
                <w:sz w:val="20"/>
                <w:szCs w:val="20"/>
                <w:lang w:eastAsia="en-AU"/>
              </w:rPr>
            </w:pPr>
            <w:r w:rsidRPr="00167CB8">
              <w:rPr>
                <w:rFonts w:eastAsia="Times New Roman" w:cs="Calibri"/>
                <w:color w:val="000000"/>
                <w:sz w:val="20"/>
                <w:szCs w:val="20"/>
                <w:lang w:eastAsia="en-AU"/>
              </w:rPr>
              <w:t>603</w:t>
            </w:r>
          </w:p>
        </w:tc>
        <w:tc>
          <w:tcPr>
            <w:tcW w:w="1088" w:type="dxa"/>
            <w:tcBorders>
              <w:top w:val="nil"/>
              <w:bottom w:val="nil"/>
            </w:tcBorders>
            <w:vAlign w:val="bottom"/>
          </w:tcPr>
          <w:p w14:paraId="652558D4" w14:textId="77777777" w:rsidR="00463F7C" w:rsidRPr="00167CB8" w:rsidRDefault="00463F7C" w:rsidP="0058745F">
            <w:pPr>
              <w:spacing w:after="0"/>
              <w:jc w:val="right"/>
              <w:rPr>
                <w:rFonts w:eastAsia="Times New Roman" w:cs="Calibri"/>
                <w:color w:val="000000"/>
                <w:sz w:val="20"/>
                <w:szCs w:val="20"/>
                <w:lang w:eastAsia="en-AU"/>
              </w:rPr>
            </w:pPr>
            <w:r w:rsidRPr="00167CB8">
              <w:rPr>
                <w:rFonts w:eastAsia="Times New Roman" w:cs="Calibri"/>
                <w:color w:val="000000"/>
                <w:sz w:val="20"/>
                <w:szCs w:val="20"/>
                <w:lang w:eastAsia="en-AU"/>
              </w:rPr>
              <w:t>513</w:t>
            </w:r>
          </w:p>
        </w:tc>
        <w:tc>
          <w:tcPr>
            <w:tcW w:w="1088" w:type="dxa"/>
            <w:tcBorders>
              <w:top w:val="nil"/>
              <w:bottom w:val="nil"/>
            </w:tcBorders>
            <w:vAlign w:val="bottom"/>
          </w:tcPr>
          <w:p w14:paraId="64CDB3ED" w14:textId="77777777" w:rsidR="00463F7C" w:rsidRPr="00167CB8" w:rsidRDefault="00463F7C" w:rsidP="0058745F">
            <w:pPr>
              <w:spacing w:after="0"/>
              <w:jc w:val="right"/>
              <w:rPr>
                <w:rFonts w:eastAsia="Times New Roman" w:cs="Calibri"/>
                <w:color w:val="000000"/>
                <w:sz w:val="20"/>
                <w:szCs w:val="20"/>
                <w:lang w:eastAsia="en-AU"/>
              </w:rPr>
            </w:pPr>
            <w:r w:rsidRPr="00167CB8">
              <w:rPr>
                <w:rFonts w:eastAsia="Times New Roman" w:cs="Calibri"/>
                <w:color w:val="000000"/>
                <w:sz w:val="20"/>
                <w:szCs w:val="20"/>
                <w:lang w:eastAsia="en-AU"/>
              </w:rPr>
              <w:t>492</w:t>
            </w:r>
          </w:p>
        </w:tc>
        <w:tc>
          <w:tcPr>
            <w:tcW w:w="1088" w:type="dxa"/>
            <w:tcBorders>
              <w:top w:val="nil"/>
              <w:bottom w:val="nil"/>
            </w:tcBorders>
            <w:vAlign w:val="bottom"/>
          </w:tcPr>
          <w:p w14:paraId="427C6F0D" w14:textId="77777777" w:rsidR="00463F7C" w:rsidRPr="00167CB8" w:rsidRDefault="00463F7C" w:rsidP="0058745F">
            <w:pPr>
              <w:spacing w:after="0"/>
              <w:jc w:val="right"/>
              <w:rPr>
                <w:rFonts w:eastAsia="Times New Roman" w:cs="Calibri"/>
                <w:color w:val="000000"/>
                <w:sz w:val="20"/>
                <w:szCs w:val="20"/>
                <w:lang w:eastAsia="en-AU"/>
              </w:rPr>
            </w:pPr>
            <w:r w:rsidRPr="00167CB8">
              <w:rPr>
                <w:rFonts w:eastAsia="Times New Roman" w:cs="Calibri"/>
                <w:color w:val="000000"/>
                <w:sz w:val="20"/>
                <w:szCs w:val="20"/>
                <w:lang w:eastAsia="en-AU"/>
              </w:rPr>
              <w:t>626</w:t>
            </w:r>
          </w:p>
        </w:tc>
        <w:tc>
          <w:tcPr>
            <w:tcW w:w="1088" w:type="dxa"/>
            <w:tcBorders>
              <w:top w:val="nil"/>
              <w:bottom w:val="nil"/>
            </w:tcBorders>
            <w:vAlign w:val="bottom"/>
          </w:tcPr>
          <w:p w14:paraId="3ABD2B67" w14:textId="77777777" w:rsidR="00463F7C" w:rsidRPr="00167CB8" w:rsidRDefault="00463F7C" w:rsidP="0058745F">
            <w:pPr>
              <w:spacing w:after="0"/>
              <w:jc w:val="right"/>
              <w:rPr>
                <w:rFonts w:eastAsia="Times New Roman" w:cs="Calibri"/>
                <w:color w:val="000000"/>
                <w:sz w:val="20"/>
                <w:szCs w:val="20"/>
                <w:lang w:eastAsia="en-AU"/>
              </w:rPr>
            </w:pPr>
            <w:r w:rsidRPr="00167CB8">
              <w:rPr>
                <w:rFonts w:eastAsia="Times New Roman" w:cs="Calibri"/>
                <w:color w:val="000000"/>
                <w:sz w:val="20"/>
                <w:szCs w:val="20"/>
                <w:lang w:eastAsia="en-AU"/>
              </w:rPr>
              <w:t>760</w:t>
            </w:r>
          </w:p>
        </w:tc>
      </w:tr>
      <w:tr w:rsidR="00463F7C" w:rsidRPr="00167CB8" w14:paraId="55683E1D" w14:textId="77777777">
        <w:trPr>
          <w:trHeight w:val="300"/>
        </w:trPr>
        <w:tc>
          <w:tcPr>
            <w:tcW w:w="3280" w:type="dxa"/>
            <w:tcBorders>
              <w:top w:val="nil"/>
              <w:bottom w:val="single" w:sz="4" w:space="0" w:color="auto"/>
            </w:tcBorders>
            <w:noWrap/>
            <w:vAlign w:val="bottom"/>
            <w:hideMark/>
          </w:tcPr>
          <w:p w14:paraId="0084FFAA" w14:textId="77777777" w:rsidR="00463F7C" w:rsidRPr="00167CB8" w:rsidRDefault="00463F7C">
            <w:pPr>
              <w:spacing w:after="0"/>
              <w:rPr>
                <w:rFonts w:eastAsia="Times New Roman" w:cs="Calibri"/>
                <w:color w:val="000000"/>
                <w:sz w:val="20"/>
                <w:szCs w:val="20"/>
                <w:lang w:eastAsia="en-AU"/>
              </w:rPr>
            </w:pPr>
            <w:r w:rsidRPr="00167CB8">
              <w:rPr>
                <w:rFonts w:eastAsia="Times New Roman" w:cs="Calibri"/>
                <w:color w:val="000000"/>
                <w:sz w:val="20"/>
                <w:szCs w:val="20"/>
                <w:lang w:eastAsia="en-AU"/>
              </w:rPr>
              <w:t xml:space="preserve">  Penalties paid</w:t>
            </w:r>
          </w:p>
        </w:tc>
        <w:tc>
          <w:tcPr>
            <w:tcW w:w="1088" w:type="dxa"/>
            <w:tcBorders>
              <w:top w:val="nil"/>
              <w:bottom w:val="single" w:sz="4" w:space="0" w:color="auto"/>
            </w:tcBorders>
            <w:vAlign w:val="bottom"/>
          </w:tcPr>
          <w:p w14:paraId="0950D974" w14:textId="77777777" w:rsidR="00463F7C" w:rsidRPr="00167CB8" w:rsidRDefault="00463F7C" w:rsidP="00474640">
            <w:pPr>
              <w:spacing w:after="0"/>
              <w:jc w:val="right"/>
              <w:rPr>
                <w:rFonts w:eastAsia="Times New Roman" w:cs="Calibri"/>
                <w:color w:val="000000"/>
                <w:sz w:val="20"/>
                <w:szCs w:val="20"/>
                <w:lang w:eastAsia="en-AU"/>
              </w:rPr>
            </w:pPr>
            <w:r w:rsidRPr="00167CB8">
              <w:rPr>
                <w:rFonts w:eastAsia="Times New Roman" w:cs="Calibri"/>
                <w:color w:val="000000"/>
                <w:sz w:val="20"/>
                <w:szCs w:val="20"/>
                <w:lang w:eastAsia="en-AU"/>
              </w:rPr>
              <w:t>$891,173</w:t>
            </w:r>
          </w:p>
        </w:tc>
        <w:tc>
          <w:tcPr>
            <w:tcW w:w="1088" w:type="dxa"/>
            <w:tcBorders>
              <w:top w:val="nil"/>
              <w:bottom w:val="single" w:sz="4" w:space="0" w:color="auto"/>
            </w:tcBorders>
            <w:vAlign w:val="bottom"/>
          </w:tcPr>
          <w:p w14:paraId="7DB2EF8F" w14:textId="77777777" w:rsidR="00463F7C" w:rsidRPr="00167CB8" w:rsidRDefault="00463F7C" w:rsidP="00474640">
            <w:pPr>
              <w:spacing w:after="0"/>
              <w:jc w:val="right"/>
              <w:rPr>
                <w:rFonts w:eastAsia="Times New Roman" w:cs="Calibri"/>
                <w:color w:val="000000"/>
                <w:sz w:val="20"/>
                <w:szCs w:val="20"/>
                <w:lang w:eastAsia="en-AU"/>
              </w:rPr>
            </w:pPr>
            <w:r w:rsidRPr="00167CB8">
              <w:rPr>
                <w:rFonts w:eastAsia="Times New Roman" w:cs="Calibri"/>
                <w:color w:val="000000"/>
                <w:sz w:val="20"/>
                <w:szCs w:val="20"/>
                <w:lang w:eastAsia="en-AU"/>
              </w:rPr>
              <w:t>$518,396</w:t>
            </w:r>
          </w:p>
        </w:tc>
        <w:tc>
          <w:tcPr>
            <w:tcW w:w="1088" w:type="dxa"/>
            <w:tcBorders>
              <w:top w:val="nil"/>
              <w:bottom w:val="single" w:sz="4" w:space="0" w:color="auto"/>
            </w:tcBorders>
            <w:vAlign w:val="bottom"/>
          </w:tcPr>
          <w:p w14:paraId="549D4409" w14:textId="77777777" w:rsidR="00463F7C" w:rsidRPr="00167CB8" w:rsidRDefault="00463F7C" w:rsidP="00474640">
            <w:pPr>
              <w:spacing w:after="0"/>
              <w:jc w:val="right"/>
              <w:rPr>
                <w:rFonts w:eastAsia="Times New Roman" w:cs="Calibri"/>
                <w:color w:val="000000"/>
                <w:sz w:val="20"/>
                <w:szCs w:val="20"/>
                <w:lang w:eastAsia="en-AU"/>
              </w:rPr>
            </w:pPr>
            <w:r w:rsidRPr="00167CB8">
              <w:rPr>
                <w:rFonts w:eastAsia="Times New Roman" w:cs="Calibri"/>
                <w:color w:val="000000"/>
                <w:sz w:val="20"/>
                <w:szCs w:val="20"/>
                <w:lang w:eastAsia="en-AU"/>
              </w:rPr>
              <w:t>$446,037</w:t>
            </w:r>
          </w:p>
        </w:tc>
        <w:tc>
          <w:tcPr>
            <w:tcW w:w="1088" w:type="dxa"/>
            <w:tcBorders>
              <w:top w:val="nil"/>
              <w:bottom w:val="single" w:sz="4" w:space="0" w:color="auto"/>
            </w:tcBorders>
            <w:vAlign w:val="bottom"/>
          </w:tcPr>
          <w:p w14:paraId="3047F1E6" w14:textId="77777777" w:rsidR="00463F7C" w:rsidRPr="00167CB8" w:rsidRDefault="00463F7C" w:rsidP="00474640">
            <w:pPr>
              <w:spacing w:after="0"/>
              <w:jc w:val="right"/>
              <w:rPr>
                <w:rFonts w:eastAsia="Times New Roman" w:cs="Calibri"/>
                <w:color w:val="000000"/>
                <w:sz w:val="20"/>
                <w:szCs w:val="20"/>
                <w:lang w:eastAsia="en-AU"/>
              </w:rPr>
            </w:pPr>
            <w:r w:rsidRPr="00167CB8">
              <w:rPr>
                <w:rFonts w:eastAsia="Times New Roman" w:cs="Calibri"/>
                <w:color w:val="000000"/>
                <w:sz w:val="20"/>
                <w:szCs w:val="20"/>
                <w:lang w:eastAsia="en-AU"/>
              </w:rPr>
              <w:t>$739,966</w:t>
            </w:r>
          </w:p>
        </w:tc>
        <w:tc>
          <w:tcPr>
            <w:tcW w:w="1088" w:type="dxa"/>
            <w:tcBorders>
              <w:top w:val="nil"/>
              <w:bottom w:val="single" w:sz="4" w:space="0" w:color="auto"/>
            </w:tcBorders>
            <w:vAlign w:val="bottom"/>
          </w:tcPr>
          <w:p w14:paraId="5317DC38" w14:textId="77777777" w:rsidR="00463F7C" w:rsidRPr="00167CB8" w:rsidRDefault="00463F7C" w:rsidP="00474640">
            <w:pPr>
              <w:spacing w:after="0"/>
              <w:jc w:val="right"/>
              <w:rPr>
                <w:rFonts w:eastAsia="Times New Roman" w:cs="Calibri"/>
                <w:color w:val="000000"/>
                <w:sz w:val="20"/>
                <w:szCs w:val="20"/>
                <w:lang w:eastAsia="en-AU"/>
              </w:rPr>
            </w:pPr>
            <w:r w:rsidRPr="00167CB8">
              <w:rPr>
                <w:rFonts w:eastAsia="Times New Roman" w:cs="Calibri"/>
                <w:color w:val="000000"/>
                <w:sz w:val="20"/>
                <w:szCs w:val="20"/>
                <w:lang w:eastAsia="en-AU"/>
              </w:rPr>
              <w:t>$986,616</w:t>
            </w:r>
          </w:p>
        </w:tc>
      </w:tr>
      <w:tr w:rsidR="00463F7C" w:rsidRPr="00167CB8" w14:paraId="1D49D1CF" w14:textId="77777777">
        <w:trPr>
          <w:trHeight w:val="539"/>
        </w:trPr>
        <w:tc>
          <w:tcPr>
            <w:tcW w:w="3280" w:type="dxa"/>
            <w:tcBorders>
              <w:top w:val="single" w:sz="4" w:space="0" w:color="auto"/>
              <w:bottom w:val="nil"/>
            </w:tcBorders>
            <w:hideMark/>
          </w:tcPr>
          <w:p w14:paraId="1B23BC59" w14:textId="77777777" w:rsidR="00463F7C" w:rsidRPr="00167CB8" w:rsidRDefault="00463F7C">
            <w:pPr>
              <w:spacing w:after="0"/>
              <w:rPr>
                <w:rFonts w:eastAsia="Times New Roman" w:cs="Calibri"/>
                <w:color w:val="000000"/>
                <w:sz w:val="20"/>
                <w:szCs w:val="20"/>
                <w:lang w:eastAsia="en-AU"/>
              </w:rPr>
            </w:pPr>
            <w:r w:rsidRPr="00167CB8">
              <w:rPr>
                <w:rFonts w:eastAsia="Times New Roman" w:cs="Calibri"/>
                <w:color w:val="000000"/>
                <w:sz w:val="20"/>
                <w:szCs w:val="20"/>
                <w:lang w:eastAsia="en-AU"/>
              </w:rPr>
              <w:t>Compliance notices (rectifying suspected underpayment of workers)</w:t>
            </w:r>
          </w:p>
        </w:tc>
        <w:tc>
          <w:tcPr>
            <w:tcW w:w="1088" w:type="dxa"/>
            <w:tcBorders>
              <w:top w:val="single" w:sz="4" w:space="0" w:color="auto"/>
              <w:bottom w:val="nil"/>
            </w:tcBorders>
            <w:vAlign w:val="bottom"/>
          </w:tcPr>
          <w:p w14:paraId="44FD65B1" w14:textId="77777777" w:rsidR="00463F7C" w:rsidRPr="00167CB8" w:rsidRDefault="00463F7C" w:rsidP="00474640">
            <w:pPr>
              <w:spacing w:after="0"/>
              <w:jc w:val="right"/>
              <w:rPr>
                <w:rFonts w:eastAsia="Times New Roman" w:cs="Calibri"/>
                <w:color w:val="000000"/>
                <w:sz w:val="20"/>
                <w:szCs w:val="20"/>
                <w:lang w:eastAsia="en-AU"/>
              </w:rPr>
            </w:pPr>
          </w:p>
        </w:tc>
        <w:tc>
          <w:tcPr>
            <w:tcW w:w="1088" w:type="dxa"/>
            <w:tcBorders>
              <w:top w:val="single" w:sz="4" w:space="0" w:color="auto"/>
              <w:bottom w:val="nil"/>
            </w:tcBorders>
            <w:vAlign w:val="bottom"/>
          </w:tcPr>
          <w:p w14:paraId="48331C74" w14:textId="77777777" w:rsidR="00463F7C" w:rsidRPr="00167CB8" w:rsidRDefault="00463F7C" w:rsidP="00474640">
            <w:pPr>
              <w:spacing w:after="0"/>
              <w:jc w:val="right"/>
              <w:rPr>
                <w:rFonts w:eastAsia="Times New Roman" w:cs="Calibri"/>
                <w:color w:val="000000"/>
                <w:sz w:val="20"/>
                <w:szCs w:val="20"/>
                <w:lang w:eastAsia="en-AU"/>
              </w:rPr>
            </w:pPr>
          </w:p>
        </w:tc>
        <w:tc>
          <w:tcPr>
            <w:tcW w:w="1088" w:type="dxa"/>
            <w:tcBorders>
              <w:top w:val="single" w:sz="4" w:space="0" w:color="auto"/>
              <w:bottom w:val="nil"/>
            </w:tcBorders>
            <w:vAlign w:val="bottom"/>
          </w:tcPr>
          <w:p w14:paraId="6BD77038" w14:textId="77777777" w:rsidR="00463F7C" w:rsidRPr="00167CB8" w:rsidRDefault="00463F7C" w:rsidP="00474640">
            <w:pPr>
              <w:spacing w:after="0"/>
              <w:jc w:val="right"/>
              <w:rPr>
                <w:rFonts w:eastAsia="Times New Roman" w:cs="Calibri"/>
                <w:color w:val="000000"/>
                <w:sz w:val="20"/>
                <w:szCs w:val="20"/>
                <w:lang w:eastAsia="en-AU"/>
              </w:rPr>
            </w:pPr>
          </w:p>
        </w:tc>
        <w:tc>
          <w:tcPr>
            <w:tcW w:w="1088" w:type="dxa"/>
            <w:tcBorders>
              <w:top w:val="single" w:sz="4" w:space="0" w:color="auto"/>
              <w:bottom w:val="nil"/>
            </w:tcBorders>
            <w:vAlign w:val="bottom"/>
          </w:tcPr>
          <w:p w14:paraId="42F90BA1" w14:textId="77777777" w:rsidR="00463F7C" w:rsidRPr="00167CB8" w:rsidRDefault="00463F7C" w:rsidP="00474640">
            <w:pPr>
              <w:spacing w:after="0"/>
              <w:jc w:val="right"/>
              <w:rPr>
                <w:rFonts w:eastAsia="Times New Roman" w:cs="Calibri"/>
                <w:color w:val="000000"/>
                <w:sz w:val="20"/>
                <w:szCs w:val="20"/>
                <w:lang w:eastAsia="en-AU"/>
              </w:rPr>
            </w:pPr>
          </w:p>
        </w:tc>
        <w:tc>
          <w:tcPr>
            <w:tcW w:w="1088" w:type="dxa"/>
            <w:tcBorders>
              <w:top w:val="single" w:sz="4" w:space="0" w:color="auto"/>
              <w:bottom w:val="nil"/>
            </w:tcBorders>
            <w:vAlign w:val="bottom"/>
          </w:tcPr>
          <w:p w14:paraId="673FFFEB" w14:textId="77777777" w:rsidR="00463F7C" w:rsidRPr="00167CB8" w:rsidRDefault="00463F7C" w:rsidP="00474640">
            <w:pPr>
              <w:spacing w:after="0"/>
              <w:jc w:val="right"/>
              <w:rPr>
                <w:rFonts w:eastAsia="Times New Roman" w:cs="Calibri"/>
                <w:color w:val="000000"/>
                <w:sz w:val="20"/>
                <w:szCs w:val="20"/>
                <w:lang w:eastAsia="en-AU"/>
              </w:rPr>
            </w:pPr>
          </w:p>
        </w:tc>
      </w:tr>
      <w:tr w:rsidR="00463F7C" w:rsidRPr="00167CB8" w14:paraId="11C87077" w14:textId="77777777">
        <w:trPr>
          <w:trHeight w:val="300"/>
        </w:trPr>
        <w:tc>
          <w:tcPr>
            <w:tcW w:w="3280" w:type="dxa"/>
            <w:tcBorders>
              <w:top w:val="nil"/>
              <w:bottom w:val="nil"/>
            </w:tcBorders>
            <w:noWrap/>
            <w:vAlign w:val="bottom"/>
            <w:hideMark/>
          </w:tcPr>
          <w:p w14:paraId="3402BA35" w14:textId="77777777" w:rsidR="00463F7C" w:rsidRPr="00167CB8" w:rsidRDefault="00463F7C">
            <w:pPr>
              <w:spacing w:after="0"/>
              <w:rPr>
                <w:rFonts w:eastAsia="Times New Roman" w:cs="Calibri"/>
                <w:color w:val="000000"/>
                <w:sz w:val="20"/>
                <w:szCs w:val="20"/>
                <w:lang w:eastAsia="en-AU"/>
              </w:rPr>
            </w:pPr>
            <w:r w:rsidRPr="00167CB8">
              <w:rPr>
                <w:rFonts w:eastAsia="Times New Roman" w:cs="Calibri"/>
                <w:color w:val="000000"/>
                <w:sz w:val="20"/>
                <w:szCs w:val="20"/>
                <w:lang w:eastAsia="en-AU"/>
              </w:rPr>
              <w:t xml:space="preserve">  Notices</w:t>
            </w:r>
          </w:p>
        </w:tc>
        <w:tc>
          <w:tcPr>
            <w:tcW w:w="1088" w:type="dxa"/>
            <w:tcBorders>
              <w:top w:val="nil"/>
              <w:bottom w:val="nil"/>
            </w:tcBorders>
            <w:vAlign w:val="bottom"/>
          </w:tcPr>
          <w:p w14:paraId="67AE4C15" w14:textId="77777777" w:rsidR="00463F7C" w:rsidRPr="00167CB8" w:rsidRDefault="00463F7C" w:rsidP="00474640">
            <w:pPr>
              <w:spacing w:after="0"/>
              <w:jc w:val="right"/>
              <w:rPr>
                <w:rFonts w:eastAsia="Times New Roman" w:cs="Calibri"/>
                <w:color w:val="000000"/>
                <w:sz w:val="20"/>
                <w:szCs w:val="20"/>
                <w:lang w:eastAsia="en-AU"/>
              </w:rPr>
            </w:pPr>
            <w:r w:rsidRPr="00167CB8">
              <w:rPr>
                <w:rFonts w:eastAsia="Times New Roman" w:cs="Calibri"/>
                <w:color w:val="000000"/>
                <w:sz w:val="20"/>
                <w:szCs w:val="20"/>
                <w:lang w:eastAsia="en-AU"/>
              </w:rPr>
              <w:t>952</w:t>
            </w:r>
          </w:p>
        </w:tc>
        <w:tc>
          <w:tcPr>
            <w:tcW w:w="1088" w:type="dxa"/>
            <w:tcBorders>
              <w:top w:val="nil"/>
              <w:bottom w:val="nil"/>
            </w:tcBorders>
            <w:vAlign w:val="bottom"/>
          </w:tcPr>
          <w:p w14:paraId="24A9B0C0" w14:textId="77777777" w:rsidR="00463F7C" w:rsidRPr="00167CB8" w:rsidRDefault="00463F7C" w:rsidP="00474640">
            <w:pPr>
              <w:spacing w:after="0"/>
              <w:jc w:val="right"/>
              <w:rPr>
                <w:rFonts w:eastAsia="Times New Roman" w:cs="Calibri"/>
                <w:color w:val="000000"/>
                <w:sz w:val="20"/>
                <w:szCs w:val="20"/>
                <w:lang w:eastAsia="en-AU"/>
              </w:rPr>
            </w:pPr>
            <w:r w:rsidRPr="00167CB8">
              <w:rPr>
                <w:rFonts w:eastAsia="Times New Roman" w:cs="Calibri"/>
                <w:color w:val="000000"/>
                <w:sz w:val="20"/>
                <w:szCs w:val="20"/>
                <w:lang w:eastAsia="en-AU"/>
              </w:rPr>
              <w:t>2,025</w:t>
            </w:r>
          </w:p>
        </w:tc>
        <w:tc>
          <w:tcPr>
            <w:tcW w:w="1088" w:type="dxa"/>
            <w:tcBorders>
              <w:top w:val="nil"/>
              <w:bottom w:val="nil"/>
            </w:tcBorders>
            <w:vAlign w:val="bottom"/>
          </w:tcPr>
          <w:p w14:paraId="1CEE778A" w14:textId="77777777" w:rsidR="00463F7C" w:rsidRPr="00167CB8" w:rsidRDefault="00463F7C" w:rsidP="00474640">
            <w:pPr>
              <w:spacing w:after="0"/>
              <w:jc w:val="right"/>
              <w:rPr>
                <w:rFonts w:eastAsia="Times New Roman" w:cs="Calibri"/>
                <w:color w:val="000000"/>
                <w:sz w:val="20"/>
                <w:szCs w:val="20"/>
                <w:lang w:eastAsia="en-AU"/>
              </w:rPr>
            </w:pPr>
            <w:r w:rsidRPr="00167CB8">
              <w:rPr>
                <w:rFonts w:eastAsia="Times New Roman" w:cs="Calibri"/>
                <w:color w:val="000000"/>
                <w:sz w:val="20"/>
                <w:szCs w:val="20"/>
                <w:lang w:eastAsia="en-AU"/>
              </w:rPr>
              <w:t>2,345</w:t>
            </w:r>
          </w:p>
        </w:tc>
        <w:tc>
          <w:tcPr>
            <w:tcW w:w="1088" w:type="dxa"/>
            <w:tcBorders>
              <w:top w:val="nil"/>
              <w:bottom w:val="nil"/>
            </w:tcBorders>
            <w:vAlign w:val="bottom"/>
          </w:tcPr>
          <w:p w14:paraId="036CAF0C" w14:textId="77777777" w:rsidR="00463F7C" w:rsidRPr="00167CB8" w:rsidRDefault="00463F7C" w:rsidP="00474640">
            <w:pPr>
              <w:spacing w:after="0"/>
              <w:jc w:val="right"/>
              <w:rPr>
                <w:rFonts w:eastAsia="Times New Roman" w:cs="Calibri"/>
                <w:color w:val="000000"/>
                <w:sz w:val="20"/>
                <w:szCs w:val="20"/>
                <w:lang w:eastAsia="en-AU"/>
              </w:rPr>
            </w:pPr>
            <w:r w:rsidRPr="00167CB8">
              <w:rPr>
                <w:rFonts w:eastAsia="Times New Roman" w:cs="Calibri"/>
                <w:color w:val="000000"/>
                <w:sz w:val="20"/>
                <w:szCs w:val="20"/>
                <w:lang w:eastAsia="en-AU"/>
              </w:rPr>
              <w:t>2,424</w:t>
            </w:r>
          </w:p>
        </w:tc>
        <w:tc>
          <w:tcPr>
            <w:tcW w:w="1088" w:type="dxa"/>
            <w:tcBorders>
              <w:top w:val="nil"/>
              <w:bottom w:val="nil"/>
            </w:tcBorders>
            <w:vAlign w:val="bottom"/>
          </w:tcPr>
          <w:p w14:paraId="7B83FE87" w14:textId="77777777" w:rsidR="00463F7C" w:rsidRPr="00167CB8" w:rsidRDefault="00463F7C" w:rsidP="00474640">
            <w:pPr>
              <w:spacing w:after="0"/>
              <w:jc w:val="right"/>
              <w:rPr>
                <w:rFonts w:eastAsia="Times New Roman" w:cs="Calibri"/>
                <w:color w:val="000000"/>
                <w:sz w:val="20"/>
                <w:szCs w:val="20"/>
                <w:lang w:eastAsia="en-AU"/>
              </w:rPr>
            </w:pPr>
            <w:r w:rsidRPr="00167CB8">
              <w:rPr>
                <w:rFonts w:eastAsia="Times New Roman" w:cs="Calibri"/>
                <w:color w:val="000000"/>
                <w:sz w:val="20"/>
                <w:szCs w:val="20"/>
                <w:lang w:eastAsia="en-AU"/>
              </w:rPr>
              <w:t>2,574</w:t>
            </w:r>
          </w:p>
        </w:tc>
      </w:tr>
      <w:tr w:rsidR="00463F7C" w:rsidRPr="00167CB8" w14:paraId="366EFA28" w14:textId="77777777">
        <w:trPr>
          <w:trHeight w:val="300"/>
        </w:trPr>
        <w:tc>
          <w:tcPr>
            <w:tcW w:w="3280" w:type="dxa"/>
            <w:tcBorders>
              <w:top w:val="nil"/>
              <w:bottom w:val="single" w:sz="4" w:space="0" w:color="auto"/>
            </w:tcBorders>
            <w:noWrap/>
            <w:vAlign w:val="bottom"/>
            <w:hideMark/>
          </w:tcPr>
          <w:p w14:paraId="518F3C9A" w14:textId="77777777" w:rsidR="00463F7C" w:rsidRPr="00167CB8" w:rsidRDefault="00463F7C">
            <w:pPr>
              <w:spacing w:after="0"/>
              <w:rPr>
                <w:rFonts w:eastAsia="Times New Roman" w:cs="Calibri"/>
                <w:color w:val="000000"/>
                <w:sz w:val="20"/>
                <w:szCs w:val="20"/>
                <w:lang w:eastAsia="en-AU"/>
              </w:rPr>
            </w:pPr>
            <w:r w:rsidRPr="00167CB8">
              <w:rPr>
                <w:rFonts w:eastAsia="Times New Roman" w:cs="Calibri"/>
                <w:color w:val="000000"/>
                <w:sz w:val="20"/>
                <w:szCs w:val="20"/>
                <w:lang w:eastAsia="en-AU"/>
              </w:rPr>
              <w:t xml:space="preserve">  Penalties paid</w:t>
            </w:r>
          </w:p>
        </w:tc>
        <w:tc>
          <w:tcPr>
            <w:tcW w:w="1088" w:type="dxa"/>
            <w:tcBorders>
              <w:top w:val="nil"/>
              <w:bottom w:val="single" w:sz="4" w:space="0" w:color="auto"/>
            </w:tcBorders>
            <w:vAlign w:val="bottom"/>
          </w:tcPr>
          <w:p w14:paraId="7F14C2B3" w14:textId="77777777" w:rsidR="00463F7C" w:rsidRPr="00167CB8" w:rsidRDefault="00463F7C" w:rsidP="00474640">
            <w:pPr>
              <w:spacing w:after="0"/>
              <w:jc w:val="right"/>
              <w:rPr>
                <w:rFonts w:eastAsia="Times New Roman" w:cs="Calibri"/>
                <w:color w:val="000000"/>
                <w:sz w:val="20"/>
                <w:szCs w:val="20"/>
                <w:lang w:eastAsia="en-AU"/>
              </w:rPr>
            </w:pPr>
            <w:r w:rsidRPr="00167CB8">
              <w:rPr>
                <w:rFonts w:eastAsia="Times New Roman" w:cs="Calibri"/>
                <w:color w:val="000000"/>
                <w:sz w:val="20"/>
                <w:szCs w:val="20"/>
                <w:lang w:eastAsia="en-AU"/>
              </w:rPr>
              <w:t>$7.8m</w:t>
            </w:r>
          </w:p>
        </w:tc>
        <w:tc>
          <w:tcPr>
            <w:tcW w:w="1088" w:type="dxa"/>
            <w:tcBorders>
              <w:top w:val="nil"/>
              <w:bottom w:val="single" w:sz="4" w:space="0" w:color="auto"/>
            </w:tcBorders>
            <w:vAlign w:val="bottom"/>
          </w:tcPr>
          <w:p w14:paraId="5A7E364D" w14:textId="77777777" w:rsidR="00463F7C" w:rsidRPr="00167CB8" w:rsidRDefault="00463F7C" w:rsidP="00474640">
            <w:pPr>
              <w:spacing w:after="0"/>
              <w:jc w:val="right"/>
              <w:rPr>
                <w:rFonts w:eastAsia="Times New Roman" w:cs="Calibri"/>
                <w:color w:val="000000"/>
                <w:sz w:val="20"/>
                <w:szCs w:val="20"/>
                <w:lang w:eastAsia="en-AU"/>
              </w:rPr>
            </w:pPr>
            <w:r w:rsidRPr="00167CB8">
              <w:rPr>
                <w:rFonts w:eastAsia="Times New Roman" w:cs="Calibri"/>
                <w:color w:val="000000"/>
                <w:sz w:val="20"/>
                <w:szCs w:val="20"/>
                <w:lang w:eastAsia="en-AU"/>
              </w:rPr>
              <w:t>$16.5m</w:t>
            </w:r>
          </w:p>
        </w:tc>
        <w:tc>
          <w:tcPr>
            <w:tcW w:w="1088" w:type="dxa"/>
            <w:tcBorders>
              <w:top w:val="nil"/>
              <w:bottom w:val="single" w:sz="4" w:space="0" w:color="auto"/>
            </w:tcBorders>
            <w:vAlign w:val="bottom"/>
          </w:tcPr>
          <w:p w14:paraId="36F609C1" w14:textId="77777777" w:rsidR="00463F7C" w:rsidRPr="00167CB8" w:rsidRDefault="00463F7C" w:rsidP="00474640">
            <w:pPr>
              <w:spacing w:after="0"/>
              <w:jc w:val="right"/>
              <w:rPr>
                <w:rFonts w:eastAsia="Times New Roman" w:cs="Calibri"/>
                <w:color w:val="000000"/>
                <w:sz w:val="20"/>
                <w:szCs w:val="20"/>
                <w:lang w:eastAsia="en-AU"/>
              </w:rPr>
            </w:pPr>
            <w:r w:rsidRPr="00167CB8">
              <w:rPr>
                <w:rFonts w:eastAsia="Times New Roman" w:cs="Calibri"/>
                <w:color w:val="000000"/>
                <w:sz w:val="20"/>
                <w:szCs w:val="20"/>
                <w:lang w:eastAsia="en-AU"/>
              </w:rPr>
              <w:t>$20.2m</w:t>
            </w:r>
          </w:p>
        </w:tc>
        <w:tc>
          <w:tcPr>
            <w:tcW w:w="1088" w:type="dxa"/>
            <w:tcBorders>
              <w:top w:val="nil"/>
              <w:bottom w:val="single" w:sz="4" w:space="0" w:color="auto"/>
            </w:tcBorders>
            <w:vAlign w:val="bottom"/>
          </w:tcPr>
          <w:p w14:paraId="17E10C87" w14:textId="77777777" w:rsidR="00463F7C" w:rsidRPr="00167CB8" w:rsidRDefault="00463F7C" w:rsidP="00474640">
            <w:pPr>
              <w:spacing w:after="0"/>
              <w:jc w:val="right"/>
              <w:rPr>
                <w:rFonts w:eastAsia="Times New Roman" w:cs="Calibri"/>
                <w:color w:val="000000"/>
                <w:sz w:val="20"/>
                <w:szCs w:val="20"/>
                <w:lang w:eastAsia="en-AU"/>
              </w:rPr>
            </w:pPr>
            <w:r w:rsidRPr="00167CB8">
              <w:rPr>
                <w:rFonts w:eastAsia="Times New Roman" w:cs="Calibri"/>
                <w:color w:val="000000"/>
                <w:sz w:val="20"/>
                <w:szCs w:val="20"/>
                <w:lang w:eastAsia="en-AU"/>
              </w:rPr>
              <w:t>$14.8m</w:t>
            </w:r>
          </w:p>
        </w:tc>
        <w:tc>
          <w:tcPr>
            <w:tcW w:w="1088" w:type="dxa"/>
            <w:tcBorders>
              <w:top w:val="nil"/>
              <w:bottom w:val="single" w:sz="4" w:space="0" w:color="auto"/>
            </w:tcBorders>
            <w:vAlign w:val="bottom"/>
          </w:tcPr>
          <w:p w14:paraId="2FAA6199" w14:textId="77777777" w:rsidR="00463F7C" w:rsidRPr="00167CB8" w:rsidRDefault="00463F7C" w:rsidP="00474640">
            <w:pPr>
              <w:spacing w:after="0"/>
              <w:jc w:val="right"/>
              <w:rPr>
                <w:rFonts w:eastAsia="Times New Roman" w:cs="Calibri"/>
                <w:color w:val="000000"/>
                <w:sz w:val="20"/>
                <w:szCs w:val="20"/>
                <w:lang w:eastAsia="en-AU"/>
              </w:rPr>
            </w:pPr>
            <w:r w:rsidRPr="00167CB8">
              <w:rPr>
                <w:rFonts w:eastAsia="Times New Roman" w:cs="Calibri"/>
                <w:color w:val="000000"/>
                <w:sz w:val="20"/>
                <w:szCs w:val="20"/>
                <w:lang w:eastAsia="en-AU"/>
              </w:rPr>
              <w:t>$16.9m</w:t>
            </w:r>
          </w:p>
        </w:tc>
      </w:tr>
      <w:tr w:rsidR="00463F7C" w:rsidRPr="00167CB8" w14:paraId="6D51A413" w14:textId="77777777">
        <w:trPr>
          <w:trHeight w:val="810"/>
        </w:trPr>
        <w:tc>
          <w:tcPr>
            <w:tcW w:w="3280" w:type="dxa"/>
            <w:tcBorders>
              <w:top w:val="single" w:sz="4" w:space="0" w:color="auto"/>
              <w:bottom w:val="nil"/>
            </w:tcBorders>
            <w:hideMark/>
          </w:tcPr>
          <w:p w14:paraId="5A7FA69F" w14:textId="77777777" w:rsidR="00463F7C" w:rsidRPr="00167CB8" w:rsidRDefault="00463F7C">
            <w:pPr>
              <w:spacing w:after="0"/>
              <w:rPr>
                <w:rFonts w:eastAsia="Times New Roman" w:cs="Calibri"/>
                <w:color w:val="000000"/>
                <w:sz w:val="20"/>
                <w:szCs w:val="20"/>
                <w:lang w:eastAsia="en-AU"/>
              </w:rPr>
            </w:pPr>
            <w:r w:rsidRPr="00167CB8">
              <w:rPr>
                <w:rFonts w:eastAsia="Times New Roman" w:cs="Calibri"/>
                <w:color w:val="000000"/>
                <w:sz w:val="20"/>
                <w:szCs w:val="20"/>
                <w:lang w:eastAsia="en-AU"/>
              </w:rPr>
              <w:t>Enforceable undertakings (includes recovering unpaid wages outside 6-year statutory limit)</w:t>
            </w:r>
          </w:p>
        </w:tc>
        <w:tc>
          <w:tcPr>
            <w:tcW w:w="1088" w:type="dxa"/>
            <w:tcBorders>
              <w:top w:val="single" w:sz="4" w:space="0" w:color="auto"/>
              <w:bottom w:val="nil"/>
            </w:tcBorders>
            <w:vAlign w:val="bottom"/>
          </w:tcPr>
          <w:p w14:paraId="6E2816A6" w14:textId="77777777" w:rsidR="00463F7C" w:rsidRPr="00167CB8" w:rsidRDefault="00463F7C" w:rsidP="00474640">
            <w:pPr>
              <w:spacing w:after="0"/>
              <w:jc w:val="right"/>
              <w:rPr>
                <w:rFonts w:eastAsia="Times New Roman" w:cs="Calibri"/>
                <w:color w:val="000000"/>
                <w:sz w:val="20"/>
                <w:szCs w:val="20"/>
                <w:lang w:eastAsia="en-AU"/>
              </w:rPr>
            </w:pPr>
          </w:p>
        </w:tc>
        <w:tc>
          <w:tcPr>
            <w:tcW w:w="1088" w:type="dxa"/>
            <w:tcBorders>
              <w:top w:val="single" w:sz="4" w:space="0" w:color="auto"/>
              <w:bottom w:val="nil"/>
            </w:tcBorders>
            <w:vAlign w:val="bottom"/>
          </w:tcPr>
          <w:p w14:paraId="12F9C5EF" w14:textId="77777777" w:rsidR="00463F7C" w:rsidRPr="00167CB8" w:rsidRDefault="00463F7C" w:rsidP="00474640">
            <w:pPr>
              <w:spacing w:after="0"/>
              <w:jc w:val="right"/>
              <w:rPr>
                <w:rFonts w:eastAsia="Times New Roman" w:cs="Calibri"/>
                <w:color w:val="000000"/>
                <w:sz w:val="20"/>
                <w:szCs w:val="20"/>
                <w:lang w:eastAsia="en-AU"/>
              </w:rPr>
            </w:pPr>
          </w:p>
        </w:tc>
        <w:tc>
          <w:tcPr>
            <w:tcW w:w="1088" w:type="dxa"/>
            <w:tcBorders>
              <w:top w:val="single" w:sz="4" w:space="0" w:color="auto"/>
              <w:bottom w:val="nil"/>
            </w:tcBorders>
            <w:vAlign w:val="bottom"/>
          </w:tcPr>
          <w:p w14:paraId="132B1D65" w14:textId="77777777" w:rsidR="00463F7C" w:rsidRPr="00167CB8" w:rsidRDefault="00463F7C" w:rsidP="00474640">
            <w:pPr>
              <w:spacing w:after="0"/>
              <w:jc w:val="right"/>
              <w:rPr>
                <w:rFonts w:eastAsia="Times New Roman" w:cs="Calibri"/>
                <w:color w:val="000000"/>
                <w:sz w:val="20"/>
                <w:szCs w:val="20"/>
                <w:lang w:eastAsia="en-AU"/>
              </w:rPr>
            </w:pPr>
          </w:p>
        </w:tc>
        <w:tc>
          <w:tcPr>
            <w:tcW w:w="1088" w:type="dxa"/>
            <w:tcBorders>
              <w:top w:val="single" w:sz="4" w:space="0" w:color="auto"/>
              <w:bottom w:val="nil"/>
            </w:tcBorders>
            <w:vAlign w:val="bottom"/>
          </w:tcPr>
          <w:p w14:paraId="78136EAD" w14:textId="77777777" w:rsidR="00463F7C" w:rsidRPr="00167CB8" w:rsidRDefault="00463F7C" w:rsidP="00474640">
            <w:pPr>
              <w:spacing w:after="0"/>
              <w:jc w:val="right"/>
              <w:rPr>
                <w:rFonts w:eastAsia="Times New Roman" w:cs="Calibri"/>
                <w:color w:val="000000"/>
                <w:sz w:val="20"/>
                <w:szCs w:val="20"/>
                <w:lang w:eastAsia="en-AU"/>
              </w:rPr>
            </w:pPr>
          </w:p>
        </w:tc>
        <w:tc>
          <w:tcPr>
            <w:tcW w:w="1088" w:type="dxa"/>
            <w:tcBorders>
              <w:top w:val="single" w:sz="4" w:space="0" w:color="auto"/>
              <w:bottom w:val="nil"/>
            </w:tcBorders>
            <w:vAlign w:val="bottom"/>
          </w:tcPr>
          <w:p w14:paraId="1C89CB86" w14:textId="77777777" w:rsidR="00463F7C" w:rsidRPr="00167CB8" w:rsidRDefault="00463F7C" w:rsidP="00474640">
            <w:pPr>
              <w:spacing w:after="0"/>
              <w:jc w:val="right"/>
              <w:rPr>
                <w:rFonts w:eastAsia="Times New Roman" w:cs="Calibri"/>
                <w:color w:val="000000"/>
                <w:sz w:val="20"/>
                <w:szCs w:val="20"/>
                <w:lang w:eastAsia="en-AU"/>
              </w:rPr>
            </w:pPr>
          </w:p>
        </w:tc>
      </w:tr>
      <w:tr w:rsidR="00463F7C" w:rsidRPr="00167CB8" w14:paraId="2A992F60" w14:textId="77777777">
        <w:trPr>
          <w:trHeight w:val="300"/>
        </w:trPr>
        <w:tc>
          <w:tcPr>
            <w:tcW w:w="3280" w:type="dxa"/>
            <w:tcBorders>
              <w:top w:val="nil"/>
              <w:bottom w:val="nil"/>
            </w:tcBorders>
            <w:noWrap/>
            <w:vAlign w:val="bottom"/>
            <w:hideMark/>
          </w:tcPr>
          <w:p w14:paraId="70106948" w14:textId="77777777" w:rsidR="00463F7C" w:rsidRPr="00167CB8" w:rsidRDefault="00463F7C">
            <w:pPr>
              <w:spacing w:after="0"/>
              <w:rPr>
                <w:rFonts w:eastAsia="Times New Roman" w:cs="Calibri"/>
                <w:color w:val="000000"/>
                <w:sz w:val="20"/>
                <w:szCs w:val="20"/>
                <w:lang w:eastAsia="en-AU"/>
              </w:rPr>
            </w:pPr>
            <w:r w:rsidRPr="00167CB8">
              <w:rPr>
                <w:rFonts w:eastAsia="Times New Roman" w:cs="Calibri"/>
                <w:color w:val="000000"/>
                <w:sz w:val="20"/>
                <w:szCs w:val="20"/>
                <w:lang w:eastAsia="en-AU"/>
              </w:rPr>
              <w:t xml:space="preserve">  Notices</w:t>
            </w:r>
          </w:p>
        </w:tc>
        <w:tc>
          <w:tcPr>
            <w:tcW w:w="1088" w:type="dxa"/>
            <w:tcBorders>
              <w:top w:val="nil"/>
              <w:bottom w:val="nil"/>
            </w:tcBorders>
            <w:vAlign w:val="bottom"/>
          </w:tcPr>
          <w:p w14:paraId="40A3DD14" w14:textId="77777777" w:rsidR="00463F7C" w:rsidRPr="00167CB8" w:rsidRDefault="00463F7C" w:rsidP="0034296A">
            <w:pPr>
              <w:spacing w:after="0"/>
              <w:jc w:val="right"/>
              <w:rPr>
                <w:rFonts w:eastAsia="Times New Roman" w:cs="Calibri"/>
                <w:color w:val="000000"/>
                <w:sz w:val="20"/>
                <w:szCs w:val="20"/>
                <w:lang w:eastAsia="en-AU"/>
              </w:rPr>
            </w:pPr>
            <w:r w:rsidRPr="00167CB8">
              <w:rPr>
                <w:rFonts w:eastAsia="Times New Roman" w:cs="Calibri"/>
                <w:color w:val="000000"/>
                <w:sz w:val="20"/>
                <w:szCs w:val="20"/>
                <w:lang w:eastAsia="en-AU"/>
              </w:rPr>
              <w:t>12</w:t>
            </w:r>
          </w:p>
        </w:tc>
        <w:tc>
          <w:tcPr>
            <w:tcW w:w="1088" w:type="dxa"/>
            <w:tcBorders>
              <w:top w:val="nil"/>
              <w:bottom w:val="nil"/>
            </w:tcBorders>
            <w:vAlign w:val="bottom"/>
          </w:tcPr>
          <w:p w14:paraId="69650DB9" w14:textId="77777777" w:rsidR="00463F7C" w:rsidRPr="00167CB8" w:rsidRDefault="00463F7C" w:rsidP="0034296A">
            <w:pPr>
              <w:spacing w:after="0"/>
              <w:jc w:val="right"/>
              <w:rPr>
                <w:rFonts w:eastAsia="Times New Roman" w:cs="Calibri"/>
                <w:color w:val="000000"/>
                <w:sz w:val="20"/>
                <w:szCs w:val="20"/>
                <w:lang w:eastAsia="en-AU"/>
              </w:rPr>
            </w:pPr>
            <w:r w:rsidRPr="00167CB8">
              <w:rPr>
                <w:rFonts w:eastAsia="Times New Roman" w:cs="Calibri"/>
                <w:color w:val="000000"/>
                <w:sz w:val="20"/>
                <w:szCs w:val="20"/>
                <w:lang w:eastAsia="en-AU"/>
              </w:rPr>
              <w:t>19</w:t>
            </w:r>
          </w:p>
        </w:tc>
        <w:tc>
          <w:tcPr>
            <w:tcW w:w="1088" w:type="dxa"/>
            <w:tcBorders>
              <w:top w:val="nil"/>
              <w:bottom w:val="nil"/>
            </w:tcBorders>
            <w:vAlign w:val="bottom"/>
          </w:tcPr>
          <w:p w14:paraId="64CC5AA8" w14:textId="77777777" w:rsidR="00463F7C" w:rsidRPr="00167CB8" w:rsidRDefault="00463F7C" w:rsidP="0034296A">
            <w:pPr>
              <w:spacing w:after="0"/>
              <w:jc w:val="right"/>
              <w:rPr>
                <w:rFonts w:eastAsia="Times New Roman" w:cs="Calibri"/>
                <w:color w:val="000000"/>
                <w:sz w:val="20"/>
                <w:szCs w:val="20"/>
                <w:lang w:eastAsia="en-AU"/>
              </w:rPr>
            </w:pPr>
            <w:r w:rsidRPr="00167CB8">
              <w:rPr>
                <w:rFonts w:eastAsia="Times New Roman" w:cs="Calibri"/>
                <w:color w:val="000000"/>
                <w:sz w:val="20"/>
                <w:szCs w:val="20"/>
                <w:lang w:eastAsia="en-AU"/>
              </w:rPr>
              <w:t>9</w:t>
            </w:r>
          </w:p>
        </w:tc>
        <w:tc>
          <w:tcPr>
            <w:tcW w:w="1088" w:type="dxa"/>
            <w:tcBorders>
              <w:top w:val="nil"/>
              <w:bottom w:val="nil"/>
            </w:tcBorders>
            <w:vAlign w:val="bottom"/>
          </w:tcPr>
          <w:p w14:paraId="0EBEC0D1" w14:textId="77777777" w:rsidR="00463F7C" w:rsidRPr="00167CB8" w:rsidRDefault="00463F7C" w:rsidP="0034296A">
            <w:pPr>
              <w:spacing w:after="0"/>
              <w:jc w:val="right"/>
              <w:rPr>
                <w:rFonts w:eastAsia="Times New Roman" w:cs="Calibri"/>
                <w:color w:val="000000"/>
                <w:sz w:val="20"/>
                <w:szCs w:val="20"/>
                <w:lang w:eastAsia="en-AU"/>
              </w:rPr>
            </w:pPr>
            <w:r w:rsidRPr="00167CB8">
              <w:rPr>
                <w:rFonts w:eastAsia="Times New Roman" w:cs="Calibri"/>
                <w:color w:val="000000"/>
                <w:sz w:val="20"/>
                <w:szCs w:val="20"/>
                <w:lang w:eastAsia="en-AU"/>
              </w:rPr>
              <w:t>15</w:t>
            </w:r>
          </w:p>
        </w:tc>
        <w:tc>
          <w:tcPr>
            <w:tcW w:w="1088" w:type="dxa"/>
            <w:tcBorders>
              <w:top w:val="nil"/>
              <w:bottom w:val="nil"/>
            </w:tcBorders>
            <w:vAlign w:val="bottom"/>
          </w:tcPr>
          <w:p w14:paraId="46F7C6FA" w14:textId="77777777" w:rsidR="00463F7C" w:rsidRPr="00167CB8" w:rsidRDefault="00463F7C" w:rsidP="0034296A">
            <w:pPr>
              <w:spacing w:after="0"/>
              <w:jc w:val="right"/>
              <w:rPr>
                <w:rFonts w:eastAsia="Times New Roman" w:cs="Calibri"/>
                <w:color w:val="000000"/>
                <w:sz w:val="20"/>
                <w:szCs w:val="20"/>
                <w:lang w:eastAsia="en-AU"/>
              </w:rPr>
            </w:pPr>
            <w:r w:rsidRPr="00167CB8">
              <w:rPr>
                <w:rFonts w:eastAsia="Times New Roman" w:cs="Calibri"/>
                <w:color w:val="000000"/>
                <w:sz w:val="20"/>
                <w:szCs w:val="20"/>
                <w:lang w:eastAsia="en-AU"/>
              </w:rPr>
              <w:t>15</w:t>
            </w:r>
          </w:p>
        </w:tc>
      </w:tr>
      <w:tr w:rsidR="00463F7C" w:rsidRPr="00167CB8" w14:paraId="37DAABF5" w14:textId="77777777">
        <w:trPr>
          <w:trHeight w:val="300"/>
        </w:trPr>
        <w:tc>
          <w:tcPr>
            <w:tcW w:w="3280" w:type="dxa"/>
            <w:tcBorders>
              <w:top w:val="nil"/>
              <w:bottom w:val="single" w:sz="4" w:space="0" w:color="auto"/>
            </w:tcBorders>
            <w:noWrap/>
            <w:vAlign w:val="bottom"/>
            <w:hideMark/>
          </w:tcPr>
          <w:p w14:paraId="51BB4573" w14:textId="77777777" w:rsidR="00463F7C" w:rsidRPr="00167CB8" w:rsidRDefault="00463F7C">
            <w:pPr>
              <w:spacing w:after="0"/>
              <w:rPr>
                <w:rFonts w:eastAsia="Times New Roman" w:cs="Calibri"/>
                <w:color w:val="000000"/>
                <w:sz w:val="20"/>
                <w:szCs w:val="20"/>
                <w:lang w:eastAsia="en-AU"/>
              </w:rPr>
            </w:pPr>
            <w:r w:rsidRPr="00167CB8">
              <w:rPr>
                <w:rFonts w:eastAsia="Times New Roman" w:cs="Calibri"/>
                <w:color w:val="000000"/>
                <w:sz w:val="20"/>
                <w:szCs w:val="20"/>
                <w:lang w:eastAsia="en-AU"/>
              </w:rPr>
              <w:t xml:space="preserve">  Penalties paid</w:t>
            </w:r>
          </w:p>
        </w:tc>
        <w:tc>
          <w:tcPr>
            <w:tcW w:w="1088" w:type="dxa"/>
            <w:tcBorders>
              <w:top w:val="nil"/>
              <w:bottom w:val="single" w:sz="4" w:space="0" w:color="auto"/>
            </w:tcBorders>
            <w:vAlign w:val="bottom"/>
          </w:tcPr>
          <w:p w14:paraId="186422DF" w14:textId="77777777" w:rsidR="00463F7C" w:rsidRPr="00167CB8" w:rsidRDefault="00463F7C" w:rsidP="0034296A">
            <w:pPr>
              <w:spacing w:after="0"/>
              <w:jc w:val="right"/>
              <w:rPr>
                <w:rFonts w:eastAsia="Times New Roman" w:cs="Calibri"/>
                <w:color w:val="000000"/>
                <w:sz w:val="20"/>
                <w:szCs w:val="20"/>
                <w:lang w:eastAsia="en-AU"/>
              </w:rPr>
            </w:pPr>
            <w:r w:rsidRPr="00167CB8">
              <w:rPr>
                <w:rFonts w:eastAsia="Times New Roman" w:cs="Calibri"/>
                <w:color w:val="000000"/>
                <w:sz w:val="20"/>
                <w:szCs w:val="20"/>
                <w:lang w:eastAsia="en-AU"/>
              </w:rPr>
              <w:t>$56.8m</w:t>
            </w:r>
          </w:p>
        </w:tc>
        <w:tc>
          <w:tcPr>
            <w:tcW w:w="1088" w:type="dxa"/>
            <w:tcBorders>
              <w:top w:val="nil"/>
              <w:bottom w:val="single" w:sz="4" w:space="0" w:color="auto"/>
            </w:tcBorders>
            <w:vAlign w:val="bottom"/>
          </w:tcPr>
          <w:p w14:paraId="549A9389" w14:textId="77777777" w:rsidR="00463F7C" w:rsidRPr="00167CB8" w:rsidRDefault="00463F7C" w:rsidP="0034296A">
            <w:pPr>
              <w:spacing w:after="0"/>
              <w:jc w:val="right"/>
              <w:rPr>
                <w:rFonts w:eastAsia="Times New Roman" w:cs="Calibri"/>
                <w:color w:val="000000"/>
                <w:sz w:val="20"/>
                <w:szCs w:val="20"/>
                <w:lang w:eastAsia="en-AU"/>
              </w:rPr>
            </w:pPr>
            <w:r w:rsidRPr="00167CB8">
              <w:rPr>
                <w:rFonts w:eastAsia="Times New Roman" w:cs="Calibri"/>
                <w:color w:val="000000"/>
                <w:sz w:val="20"/>
                <w:szCs w:val="20"/>
                <w:lang w:eastAsia="en-AU"/>
              </w:rPr>
              <w:t>$81.7m</w:t>
            </w:r>
          </w:p>
        </w:tc>
        <w:tc>
          <w:tcPr>
            <w:tcW w:w="1088" w:type="dxa"/>
            <w:tcBorders>
              <w:top w:val="nil"/>
              <w:bottom w:val="single" w:sz="4" w:space="0" w:color="auto"/>
            </w:tcBorders>
            <w:vAlign w:val="bottom"/>
          </w:tcPr>
          <w:p w14:paraId="491AD665" w14:textId="77777777" w:rsidR="00463F7C" w:rsidRPr="00167CB8" w:rsidRDefault="00463F7C" w:rsidP="0034296A">
            <w:pPr>
              <w:spacing w:after="0"/>
              <w:jc w:val="right"/>
              <w:rPr>
                <w:rFonts w:eastAsia="Times New Roman" w:cs="Calibri"/>
                <w:color w:val="000000"/>
                <w:sz w:val="20"/>
                <w:szCs w:val="20"/>
                <w:lang w:eastAsia="en-AU"/>
              </w:rPr>
            </w:pPr>
            <w:r w:rsidRPr="00167CB8">
              <w:rPr>
                <w:rFonts w:eastAsia="Times New Roman" w:cs="Calibri"/>
                <w:color w:val="000000"/>
                <w:sz w:val="20"/>
                <w:szCs w:val="20"/>
                <w:lang w:eastAsia="en-AU"/>
              </w:rPr>
              <w:t>$56.4m</w:t>
            </w:r>
          </w:p>
        </w:tc>
        <w:tc>
          <w:tcPr>
            <w:tcW w:w="1088" w:type="dxa"/>
            <w:tcBorders>
              <w:top w:val="nil"/>
              <w:bottom w:val="single" w:sz="4" w:space="0" w:color="auto"/>
            </w:tcBorders>
            <w:vAlign w:val="bottom"/>
          </w:tcPr>
          <w:p w14:paraId="259FC28D" w14:textId="77777777" w:rsidR="00463F7C" w:rsidRPr="00167CB8" w:rsidRDefault="00463F7C" w:rsidP="0034296A">
            <w:pPr>
              <w:spacing w:after="0"/>
              <w:jc w:val="right"/>
              <w:rPr>
                <w:rFonts w:eastAsia="Times New Roman" w:cs="Calibri"/>
                <w:color w:val="000000"/>
                <w:sz w:val="20"/>
                <w:szCs w:val="20"/>
                <w:lang w:eastAsia="en-AU"/>
              </w:rPr>
            </w:pPr>
            <w:r w:rsidRPr="00167CB8">
              <w:rPr>
                <w:rFonts w:eastAsia="Times New Roman" w:cs="Calibri"/>
                <w:color w:val="000000"/>
                <w:sz w:val="20"/>
                <w:szCs w:val="20"/>
                <w:lang w:eastAsia="en-AU"/>
              </w:rPr>
              <w:t>$40.3m</w:t>
            </w:r>
          </w:p>
        </w:tc>
        <w:tc>
          <w:tcPr>
            <w:tcW w:w="1088" w:type="dxa"/>
            <w:tcBorders>
              <w:top w:val="nil"/>
              <w:bottom w:val="single" w:sz="4" w:space="0" w:color="auto"/>
            </w:tcBorders>
            <w:vAlign w:val="bottom"/>
          </w:tcPr>
          <w:p w14:paraId="7CF7573D" w14:textId="77777777" w:rsidR="00463F7C" w:rsidRPr="00167CB8" w:rsidRDefault="00463F7C" w:rsidP="0034296A">
            <w:pPr>
              <w:spacing w:after="0"/>
              <w:jc w:val="right"/>
              <w:rPr>
                <w:rFonts w:eastAsia="Times New Roman" w:cs="Calibri"/>
                <w:color w:val="000000"/>
                <w:sz w:val="20"/>
                <w:szCs w:val="20"/>
                <w:lang w:eastAsia="en-AU"/>
              </w:rPr>
            </w:pPr>
            <w:r w:rsidRPr="00167CB8">
              <w:rPr>
                <w:rFonts w:eastAsia="Times New Roman" w:cs="Calibri"/>
                <w:color w:val="000000"/>
                <w:sz w:val="20"/>
                <w:szCs w:val="20"/>
                <w:lang w:eastAsia="en-AU"/>
              </w:rPr>
              <w:t>$30.2m</w:t>
            </w:r>
          </w:p>
        </w:tc>
      </w:tr>
      <w:tr w:rsidR="00463F7C" w:rsidRPr="00167CB8" w14:paraId="12939FF4" w14:textId="77777777">
        <w:trPr>
          <w:trHeight w:val="300"/>
        </w:trPr>
        <w:tc>
          <w:tcPr>
            <w:tcW w:w="3280" w:type="dxa"/>
            <w:tcBorders>
              <w:top w:val="single" w:sz="4" w:space="0" w:color="auto"/>
            </w:tcBorders>
            <w:noWrap/>
            <w:vAlign w:val="bottom"/>
          </w:tcPr>
          <w:p w14:paraId="5B03A5F3" w14:textId="77777777" w:rsidR="00463F7C" w:rsidRPr="00167CB8" w:rsidRDefault="00463F7C">
            <w:pPr>
              <w:spacing w:after="0"/>
              <w:rPr>
                <w:rFonts w:eastAsia="Times New Roman" w:cs="Calibri"/>
                <w:color w:val="000000"/>
                <w:sz w:val="20"/>
                <w:szCs w:val="20"/>
                <w:lang w:eastAsia="en-AU"/>
              </w:rPr>
            </w:pPr>
            <w:r w:rsidRPr="00167CB8">
              <w:rPr>
                <w:rFonts w:eastAsia="Times New Roman" w:cs="Calibri"/>
                <w:color w:val="000000"/>
                <w:sz w:val="20"/>
                <w:szCs w:val="20"/>
                <w:lang w:eastAsia="en-AU"/>
              </w:rPr>
              <w:t>Litigation (more serious or systemic cases of noncompliance)</w:t>
            </w:r>
          </w:p>
        </w:tc>
        <w:tc>
          <w:tcPr>
            <w:tcW w:w="1088" w:type="dxa"/>
            <w:tcBorders>
              <w:top w:val="single" w:sz="4" w:space="0" w:color="auto"/>
            </w:tcBorders>
            <w:vAlign w:val="bottom"/>
          </w:tcPr>
          <w:p w14:paraId="36025436" w14:textId="77777777" w:rsidR="00463F7C" w:rsidRPr="00167CB8" w:rsidRDefault="00463F7C" w:rsidP="0034296A">
            <w:pPr>
              <w:spacing w:after="0"/>
              <w:jc w:val="right"/>
              <w:rPr>
                <w:rFonts w:eastAsia="Times New Roman" w:cs="Calibri"/>
                <w:color w:val="000000"/>
                <w:sz w:val="20"/>
                <w:szCs w:val="20"/>
                <w:lang w:eastAsia="en-AU"/>
              </w:rPr>
            </w:pPr>
          </w:p>
        </w:tc>
        <w:tc>
          <w:tcPr>
            <w:tcW w:w="1088" w:type="dxa"/>
            <w:tcBorders>
              <w:top w:val="single" w:sz="4" w:space="0" w:color="auto"/>
            </w:tcBorders>
            <w:vAlign w:val="bottom"/>
          </w:tcPr>
          <w:p w14:paraId="12657BE7" w14:textId="77777777" w:rsidR="00463F7C" w:rsidRPr="00167CB8" w:rsidRDefault="00463F7C" w:rsidP="0034296A">
            <w:pPr>
              <w:spacing w:after="0"/>
              <w:jc w:val="right"/>
              <w:rPr>
                <w:rFonts w:eastAsia="Times New Roman" w:cs="Calibri"/>
                <w:color w:val="000000"/>
                <w:sz w:val="20"/>
                <w:szCs w:val="20"/>
                <w:lang w:eastAsia="en-AU"/>
              </w:rPr>
            </w:pPr>
          </w:p>
        </w:tc>
        <w:tc>
          <w:tcPr>
            <w:tcW w:w="1088" w:type="dxa"/>
            <w:tcBorders>
              <w:top w:val="single" w:sz="4" w:space="0" w:color="auto"/>
            </w:tcBorders>
            <w:vAlign w:val="bottom"/>
          </w:tcPr>
          <w:p w14:paraId="5A4F100D" w14:textId="77777777" w:rsidR="00463F7C" w:rsidRPr="00167CB8" w:rsidRDefault="00463F7C" w:rsidP="0034296A">
            <w:pPr>
              <w:spacing w:after="0"/>
              <w:jc w:val="right"/>
              <w:rPr>
                <w:rFonts w:eastAsia="Times New Roman" w:cs="Calibri"/>
                <w:color w:val="000000"/>
                <w:sz w:val="20"/>
                <w:szCs w:val="20"/>
                <w:lang w:eastAsia="en-AU"/>
              </w:rPr>
            </w:pPr>
          </w:p>
        </w:tc>
        <w:tc>
          <w:tcPr>
            <w:tcW w:w="1088" w:type="dxa"/>
            <w:tcBorders>
              <w:top w:val="single" w:sz="4" w:space="0" w:color="auto"/>
            </w:tcBorders>
            <w:vAlign w:val="bottom"/>
          </w:tcPr>
          <w:p w14:paraId="2627B956" w14:textId="77777777" w:rsidR="00463F7C" w:rsidRPr="00167CB8" w:rsidRDefault="00463F7C" w:rsidP="0034296A">
            <w:pPr>
              <w:spacing w:after="0"/>
              <w:jc w:val="right"/>
              <w:rPr>
                <w:rFonts w:eastAsia="Times New Roman" w:cs="Calibri"/>
                <w:color w:val="000000"/>
                <w:sz w:val="20"/>
                <w:szCs w:val="20"/>
                <w:lang w:eastAsia="en-AU"/>
              </w:rPr>
            </w:pPr>
          </w:p>
        </w:tc>
        <w:tc>
          <w:tcPr>
            <w:tcW w:w="1088" w:type="dxa"/>
            <w:tcBorders>
              <w:top w:val="single" w:sz="4" w:space="0" w:color="auto"/>
            </w:tcBorders>
            <w:vAlign w:val="bottom"/>
          </w:tcPr>
          <w:p w14:paraId="5CFDE052" w14:textId="77777777" w:rsidR="00463F7C" w:rsidRPr="00167CB8" w:rsidRDefault="00463F7C" w:rsidP="0034296A">
            <w:pPr>
              <w:spacing w:after="0"/>
              <w:jc w:val="right"/>
              <w:rPr>
                <w:rFonts w:eastAsia="Times New Roman" w:cs="Calibri"/>
                <w:color w:val="000000"/>
                <w:sz w:val="20"/>
                <w:szCs w:val="20"/>
                <w:lang w:eastAsia="en-AU"/>
              </w:rPr>
            </w:pPr>
          </w:p>
        </w:tc>
      </w:tr>
      <w:tr w:rsidR="00463F7C" w:rsidRPr="00167CB8" w14:paraId="12BEF9FC" w14:textId="77777777">
        <w:trPr>
          <w:trHeight w:val="300"/>
        </w:trPr>
        <w:tc>
          <w:tcPr>
            <w:tcW w:w="3280" w:type="dxa"/>
            <w:noWrap/>
            <w:vAlign w:val="bottom"/>
            <w:hideMark/>
          </w:tcPr>
          <w:p w14:paraId="446C1846" w14:textId="77777777" w:rsidR="00463F7C" w:rsidRPr="00167CB8" w:rsidRDefault="00463F7C">
            <w:pPr>
              <w:spacing w:after="0"/>
              <w:rPr>
                <w:rFonts w:eastAsia="Times New Roman" w:cs="Calibri"/>
                <w:color w:val="000000"/>
                <w:sz w:val="20"/>
                <w:szCs w:val="20"/>
                <w:lang w:eastAsia="en-AU"/>
              </w:rPr>
            </w:pPr>
            <w:r w:rsidRPr="00167CB8">
              <w:rPr>
                <w:rFonts w:eastAsia="Times New Roman" w:cs="Calibri"/>
                <w:color w:val="000000"/>
                <w:sz w:val="20"/>
                <w:szCs w:val="20"/>
                <w:lang w:eastAsia="en-AU"/>
              </w:rPr>
              <w:t xml:space="preserve">  Proceedings commenced</w:t>
            </w:r>
          </w:p>
        </w:tc>
        <w:tc>
          <w:tcPr>
            <w:tcW w:w="1088" w:type="dxa"/>
            <w:vAlign w:val="bottom"/>
          </w:tcPr>
          <w:p w14:paraId="01EC1DF5" w14:textId="77777777" w:rsidR="00463F7C" w:rsidRPr="00167CB8" w:rsidRDefault="00463F7C" w:rsidP="0034296A">
            <w:pPr>
              <w:spacing w:after="0"/>
              <w:jc w:val="right"/>
              <w:rPr>
                <w:rFonts w:eastAsia="Times New Roman" w:cs="Calibri"/>
                <w:color w:val="000000"/>
                <w:sz w:val="20"/>
                <w:szCs w:val="20"/>
                <w:lang w:eastAsia="en-AU"/>
              </w:rPr>
            </w:pPr>
            <w:r w:rsidRPr="00167CB8">
              <w:rPr>
                <w:rFonts w:eastAsia="Times New Roman" w:cs="Calibri"/>
                <w:color w:val="000000"/>
                <w:sz w:val="20"/>
                <w:szCs w:val="20"/>
                <w:lang w:eastAsia="en-AU"/>
              </w:rPr>
              <w:t>54</w:t>
            </w:r>
          </w:p>
        </w:tc>
        <w:tc>
          <w:tcPr>
            <w:tcW w:w="1088" w:type="dxa"/>
            <w:vAlign w:val="bottom"/>
          </w:tcPr>
          <w:p w14:paraId="5A460264" w14:textId="77777777" w:rsidR="00463F7C" w:rsidRPr="00167CB8" w:rsidRDefault="00463F7C" w:rsidP="0034296A">
            <w:pPr>
              <w:spacing w:after="0"/>
              <w:jc w:val="right"/>
              <w:rPr>
                <w:rFonts w:eastAsia="Times New Roman" w:cs="Calibri"/>
                <w:color w:val="000000"/>
                <w:sz w:val="20"/>
                <w:szCs w:val="20"/>
                <w:lang w:eastAsia="en-AU"/>
              </w:rPr>
            </w:pPr>
            <w:r w:rsidRPr="00167CB8">
              <w:rPr>
                <w:rFonts w:eastAsia="Times New Roman" w:cs="Calibri"/>
                <w:color w:val="000000"/>
                <w:sz w:val="20"/>
                <w:szCs w:val="20"/>
                <w:lang w:eastAsia="en-AU"/>
              </w:rPr>
              <w:t>76</w:t>
            </w:r>
          </w:p>
        </w:tc>
        <w:tc>
          <w:tcPr>
            <w:tcW w:w="1088" w:type="dxa"/>
            <w:vAlign w:val="bottom"/>
          </w:tcPr>
          <w:p w14:paraId="4AD68D9F" w14:textId="77777777" w:rsidR="00463F7C" w:rsidRPr="00167CB8" w:rsidRDefault="00463F7C" w:rsidP="0034296A">
            <w:pPr>
              <w:spacing w:after="0"/>
              <w:jc w:val="right"/>
              <w:rPr>
                <w:rFonts w:eastAsia="Times New Roman" w:cs="Calibri"/>
                <w:color w:val="000000"/>
                <w:sz w:val="20"/>
                <w:szCs w:val="20"/>
                <w:lang w:eastAsia="en-AU"/>
              </w:rPr>
            </w:pPr>
            <w:r w:rsidRPr="00167CB8">
              <w:rPr>
                <w:rFonts w:eastAsia="Times New Roman" w:cs="Calibri"/>
                <w:color w:val="000000"/>
                <w:sz w:val="20"/>
                <w:szCs w:val="20"/>
                <w:lang w:eastAsia="en-AU"/>
              </w:rPr>
              <w:t>137</w:t>
            </w:r>
          </w:p>
        </w:tc>
        <w:tc>
          <w:tcPr>
            <w:tcW w:w="1088" w:type="dxa"/>
            <w:vAlign w:val="bottom"/>
          </w:tcPr>
          <w:p w14:paraId="2403EEB2" w14:textId="77777777" w:rsidR="00463F7C" w:rsidRPr="00167CB8" w:rsidRDefault="00463F7C" w:rsidP="0034296A">
            <w:pPr>
              <w:spacing w:after="0"/>
              <w:jc w:val="right"/>
              <w:rPr>
                <w:rFonts w:eastAsia="Times New Roman" w:cs="Calibri"/>
                <w:color w:val="000000"/>
                <w:sz w:val="20"/>
                <w:szCs w:val="20"/>
                <w:lang w:eastAsia="en-AU"/>
              </w:rPr>
            </w:pPr>
            <w:r w:rsidRPr="00167CB8">
              <w:rPr>
                <w:rFonts w:eastAsia="Times New Roman" w:cs="Calibri"/>
                <w:color w:val="000000"/>
                <w:sz w:val="20"/>
                <w:szCs w:val="20"/>
                <w:lang w:eastAsia="en-AU"/>
              </w:rPr>
              <w:t>81</w:t>
            </w:r>
          </w:p>
        </w:tc>
        <w:tc>
          <w:tcPr>
            <w:tcW w:w="1088" w:type="dxa"/>
            <w:vAlign w:val="bottom"/>
          </w:tcPr>
          <w:p w14:paraId="45E8E5A6" w14:textId="77777777" w:rsidR="00463F7C" w:rsidRPr="00167CB8" w:rsidRDefault="00463F7C" w:rsidP="0034296A">
            <w:pPr>
              <w:spacing w:after="0"/>
              <w:jc w:val="right"/>
              <w:rPr>
                <w:rFonts w:eastAsia="Times New Roman" w:cs="Calibri"/>
                <w:color w:val="000000"/>
                <w:sz w:val="20"/>
                <w:szCs w:val="20"/>
                <w:lang w:eastAsia="en-AU"/>
              </w:rPr>
            </w:pPr>
            <w:r w:rsidRPr="00167CB8">
              <w:rPr>
                <w:rFonts w:eastAsia="Times New Roman" w:cs="Calibri"/>
                <w:color w:val="000000"/>
                <w:sz w:val="20"/>
                <w:szCs w:val="20"/>
                <w:lang w:eastAsia="en-AU"/>
              </w:rPr>
              <w:t>64</w:t>
            </w:r>
          </w:p>
        </w:tc>
      </w:tr>
      <w:tr w:rsidR="00463F7C" w:rsidRPr="00167CB8" w14:paraId="50A8AB83" w14:textId="77777777">
        <w:trPr>
          <w:trHeight w:val="300"/>
        </w:trPr>
        <w:tc>
          <w:tcPr>
            <w:tcW w:w="3280" w:type="dxa"/>
            <w:noWrap/>
            <w:vAlign w:val="bottom"/>
            <w:hideMark/>
          </w:tcPr>
          <w:p w14:paraId="4388E282" w14:textId="77777777" w:rsidR="00463F7C" w:rsidRPr="00167CB8" w:rsidRDefault="00463F7C">
            <w:pPr>
              <w:spacing w:after="0"/>
              <w:rPr>
                <w:rFonts w:eastAsia="Times New Roman" w:cs="Calibri"/>
                <w:color w:val="000000"/>
                <w:sz w:val="20"/>
                <w:szCs w:val="20"/>
                <w:lang w:eastAsia="en-AU"/>
              </w:rPr>
            </w:pPr>
            <w:r w:rsidRPr="00167CB8">
              <w:rPr>
                <w:rFonts w:eastAsia="Times New Roman" w:cs="Calibri"/>
                <w:color w:val="000000"/>
                <w:sz w:val="20"/>
                <w:szCs w:val="20"/>
                <w:lang w:eastAsia="en-AU"/>
              </w:rPr>
              <w:t xml:space="preserve">  Court orders</w:t>
            </w:r>
          </w:p>
        </w:tc>
        <w:tc>
          <w:tcPr>
            <w:tcW w:w="1088" w:type="dxa"/>
            <w:vAlign w:val="bottom"/>
          </w:tcPr>
          <w:p w14:paraId="75666446" w14:textId="77777777" w:rsidR="00463F7C" w:rsidRPr="00167CB8" w:rsidRDefault="00463F7C" w:rsidP="0034296A">
            <w:pPr>
              <w:spacing w:after="0"/>
              <w:jc w:val="right"/>
              <w:rPr>
                <w:rFonts w:eastAsia="Times New Roman" w:cs="Calibri"/>
                <w:color w:val="000000"/>
                <w:sz w:val="20"/>
                <w:szCs w:val="20"/>
                <w:lang w:eastAsia="en-AU"/>
              </w:rPr>
            </w:pPr>
            <w:r w:rsidRPr="00167CB8">
              <w:rPr>
                <w:rFonts w:eastAsia="Times New Roman" w:cs="Calibri"/>
                <w:color w:val="000000"/>
                <w:sz w:val="20"/>
                <w:szCs w:val="20"/>
                <w:lang w:eastAsia="en-AU"/>
              </w:rPr>
              <w:t>4.4m</w:t>
            </w:r>
          </w:p>
        </w:tc>
        <w:tc>
          <w:tcPr>
            <w:tcW w:w="1088" w:type="dxa"/>
            <w:vAlign w:val="bottom"/>
          </w:tcPr>
          <w:p w14:paraId="7421C378" w14:textId="77777777" w:rsidR="00463F7C" w:rsidRPr="00167CB8" w:rsidRDefault="00463F7C" w:rsidP="0034296A">
            <w:pPr>
              <w:spacing w:after="0"/>
              <w:jc w:val="right"/>
              <w:rPr>
                <w:rFonts w:eastAsia="Times New Roman" w:cs="Calibri"/>
                <w:color w:val="000000"/>
                <w:sz w:val="20"/>
                <w:szCs w:val="20"/>
                <w:lang w:eastAsia="en-AU"/>
              </w:rPr>
            </w:pPr>
            <w:r w:rsidRPr="00167CB8">
              <w:rPr>
                <w:rFonts w:eastAsia="Times New Roman" w:cs="Calibri"/>
                <w:color w:val="000000"/>
                <w:sz w:val="20"/>
                <w:szCs w:val="20"/>
                <w:lang w:eastAsia="en-AU"/>
              </w:rPr>
              <w:t>$2.9m</w:t>
            </w:r>
          </w:p>
        </w:tc>
        <w:tc>
          <w:tcPr>
            <w:tcW w:w="1088" w:type="dxa"/>
            <w:vAlign w:val="bottom"/>
          </w:tcPr>
          <w:p w14:paraId="4E54BE1E" w14:textId="77777777" w:rsidR="00463F7C" w:rsidRPr="00167CB8" w:rsidRDefault="00463F7C" w:rsidP="0034296A">
            <w:pPr>
              <w:spacing w:after="0"/>
              <w:jc w:val="right"/>
              <w:rPr>
                <w:rFonts w:eastAsia="Times New Roman" w:cs="Calibri"/>
                <w:color w:val="000000"/>
                <w:sz w:val="20"/>
                <w:szCs w:val="20"/>
                <w:lang w:eastAsia="en-AU"/>
              </w:rPr>
            </w:pPr>
            <w:r w:rsidRPr="00167CB8">
              <w:rPr>
                <w:rFonts w:eastAsia="Times New Roman" w:cs="Calibri"/>
                <w:color w:val="000000"/>
                <w:sz w:val="20"/>
                <w:szCs w:val="20"/>
                <w:lang w:eastAsia="en-AU"/>
              </w:rPr>
              <w:t>$2.7m</w:t>
            </w:r>
          </w:p>
        </w:tc>
        <w:tc>
          <w:tcPr>
            <w:tcW w:w="1088" w:type="dxa"/>
            <w:vAlign w:val="bottom"/>
          </w:tcPr>
          <w:p w14:paraId="240E518D" w14:textId="77777777" w:rsidR="00463F7C" w:rsidRPr="00167CB8" w:rsidRDefault="00463F7C" w:rsidP="0034296A">
            <w:pPr>
              <w:spacing w:after="0"/>
              <w:jc w:val="right"/>
              <w:rPr>
                <w:rFonts w:eastAsia="Times New Roman" w:cs="Calibri"/>
                <w:color w:val="000000"/>
                <w:sz w:val="20"/>
                <w:szCs w:val="20"/>
                <w:lang w:eastAsia="en-AU"/>
              </w:rPr>
            </w:pPr>
            <w:r w:rsidRPr="00167CB8">
              <w:rPr>
                <w:rFonts w:eastAsia="Times New Roman" w:cs="Calibri"/>
                <w:color w:val="000000"/>
                <w:sz w:val="20"/>
                <w:szCs w:val="20"/>
                <w:lang w:eastAsia="en-AU"/>
              </w:rPr>
              <w:t>$3.7m</w:t>
            </w:r>
          </w:p>
        </w:tc>
        <w:tc>
          <w:tcPr>
            <w:tcW w:w="1088" w:type="dxa"/>
            <w:vAlign w:val="bottom"/>
          </w:tcPr>
          <w:p w14:paraId="545B6118" w14:textId="77777777" w:rsidR="00463F7C" w:rsidRPr="00167CB8" w:rsidRDefault="00463F7C" w:rsidP="0034296A">
            <w:pPr>
              <w:spacing w:after="0"/>
              <w:jc w:val="right"/>
              <w:rPr>
                <w:rFonts w:eastAsia="Times New Roman" w:cs="Calibri"/>
                <w:color w:val="000000"/>
                <w:sz w:val="20"/>
                <w:szCs w:val="20"/>
                <w:lang w:eastAsia="en-AU"/>
              </w:rPr>
            </w:pPr>
            <w:r w:rsidRPr="00167CB8">
              <w:rPr>
                <w:rFonts w:eastAsia="Times New Roman" w:cs="Calibri"/>
                <w:color w:val="000000"/>
                <w:sz w:val="20"/>
                <w:szCs w:val="20"/>
                <w:lang w:eastAsia="en-AU"/>
              </w:rPr>
              <w:t>$21.2m</w:t>
            </w:r>
          </w:p>
        </w:tc>
      </w:tr>
    </w:tbl>
    <w:p w14:paraId="1BF5A032" w14:textId="775D992F" w:rsidR="0011475D" w:rsidRDefault="00463F7C" w:rsidP="00463F7C">
      <w:pPr>
        <w:pStyle w:val="Source"/>
      </w:pPr>
      <w:r w:rsidRPr="00167CB8">
        <w:rPr>
          <w:b/>
          <w:bCs/>
        </w:rPr>
        <w:t>Note:</w:t>
      </w:r>
      <w:r w:rsidRPr="00167CB8">
        <w:t xml:space="preserve"> Every year the </w:t>
      </w:r>
      <w:r w:rsidR="00543E41">
        <w:t>Fair Work Ombudsman (FWO)</w:t>
      </w:r>
      <w:r w:rsidR="00543E41" w:rsidRPr="00167CB8">
        <w:t xml:space="preserve"> </w:t>
      </w:r>
      <w:r w:rsidRPr="00167CB8">
        <w:t>also reports serious contraventions. The serious contraventions are not included in this table.</w:t>
      </w:r>
    </w:p>
    <w:p w14:paraId="37B9A10E" w14:textId="614E829D" w:rsidR="00463F7C" w:rsidRPr="00167CB8" w:rsidRDefault="00463F7C" w:rsidP="00463F7C">
      <w:pPr>
        <w:pStyle w:val="Source"/>
      </w:pPr>
      <w:r w:rsidRPr="00167CB8">
        <w:rPr>
          <w:b/>
          <w:bCs/>
        </w:rPr>
        <w:t>Source:</w:t>
      </w:r>
      <w:r w:rsidRPr="00167CB8">
        <w:t xml:space="preserve"> FWO annual reports 2019</w:t>
      </w:r>
      <w:r w:rsidRPr="00167CB8">
        <w:rPr>
          <w:rFonts w:ascii="Symbol" w:eastAsia="Symbol" w:hAnsi="Symbol" w:cs="Symbol"/>
        </w:rPr>
        <w:t>-</w:t>
      </w:r>
      <w:r w:rsidRPr="00167CB8">
        <w:t xml:space="preserve">20 to </w:t>
      </w:r>
      <w:r w:rsidRPr="00167CB8">
        <w:rPr>
          <w:rFonts w:eastAsia="Times New Roman"/>
          <w:color w:val="000000"/>
          <w:lang w:eastAsia="en-AU"/>
        </w:rPr>
        <w:t>2023</w:t>
      </w:r>
      <w:r w:rsidRPr="00167CB8">
        <w:rPr>
          <w:rFonts w:ascii="Symbol" w:eastAsia="Symbol" w:hAnsi="Symbol" w:cs="Symbol"/>
          <w:color w:val="000000"/>
          <w:lang w:eastAsia="en-AU"/>
        </w:rPr>
        <w:t>-</w:t>
      </w:r>
      <w:r w:rsidRPr="00167CB8">
        <w:rPr>
          <w:rFonts w:eastAsia="Times New Roman"/>
          <w:color w:val="000000"/>
          <w:lang w:eastAsia="en-AU"/>
        </w:rPr>
        <w:t>24</w:t>
      </w:r>
      <w:r w:rsidRPr="00167CB8">
        <w:t>, various.</w:t>
      </w:r>
    </w:p>
    <w:p w14:paraId="67647684" w14:textId="07D1F1D1" w:rsidR="00463F7C" w:rsidRPr="00B03D6C" w:rsidRDefault="00463F7C" w:rsidP="00677856">
      <w:pPr>
        <w:pStyle w:val="Heading5"/>
      </w:pPr>
      <w:bookmarkStart w:id="633" w:name="_Toc187934206"/>
      <w:r w:rsidRPr="0034296A">
        <w:t>3</w:t>
      </w:r>
      <w:r w:rsidR="008418BD">
        <w:t>3</w:t>
      </w:r>
      <w:r w:rsidRPr="00B03D6C">
        <w:t>.2.2 Qualitative evidence</w:t>
      </w:r>
      <w:bookmarkEnd w:id="633"/>
    </w:p>
    <w:p w14:paraId="14239D64" w14:textId="77777777" w:rsidR="00463F7C" w:rsidRPr="00167CB8" w:rsidRDefault="00463F7C" w:rsidP="0066690A">
      <w:r w:rsidRPr="00167CB8">
        <w:t>As previously noted, there have been several reports and inquiries into the matter of wage theft in Australia.</w:t>
      </w:r>
    </w:p>
    <w:p w14:paraId="3559CD56" w14:textId="111C7734" w:rsidR="00463F7C" w:rsidRPr="00167CB8" w:rsidRDefault="00463F7C" w:rsidP="0066690A">
      <w:r w:rsidRPr="396ABCA7">
        <w:t>In the March 2022 report by SERC, the majority view of the committee was that wage theft was systemic and ‘often a deliberate decision of businesses that participate in a race to the bottom’.</w:t>
      </w:r>
      <w:r w:rsidRPr="396ABCA7">
        <w:rPr>
          <w:rStyle w:val="FootnoteReference"/>
          <w:rFonts w:cs="Calibri"/>
        </w:rPr>
        <w:footnoteReference w:id="1214"/>
      </w:r>
      <w:r w:rsidRPr="396ABCA7">
        <w:t xml:space="preserve"> Among other things the committee recommended that:</w:t>
      </w:r>
      <w:r w:rsidRPr="396ABCA7">
        <w:rPr>
          <w:rStyle w:val="FootnoteReference"/>
          <w:rFonts w:cs="Calibri"/>
        </w:rPr>
        <w:footnoteReference w:id="1215"/>
      </w:r>
    </w:p>
    <w:p w14:paraId="51272512" w14:textId="77777777" w:rsidR="00463F7C" w:rsidRPr="00FD6483" w:rsidRDefault="00463F7C" w:rsidP="00250AD1">
      <w:pPr>
        <w:pStyle w:val="Quote"/>
      </w:pPr>
      <w:r w:rsidRPr="00FD6483">
        <w:t>the Australian Government establish a small claims tribunal, ideally co-located with the Fair Work Commission, to create a simple, affordable, accessible, and efficient process for employees to pursue wage theft, including Superannuation Guarantee non-compliance.</w:t>
      </w:r>
    </w:p>
    <w:p w14:paraId="1FA9E4FD" w14:textId="0C71E09C" w:rsidR="0011475D" w:rsidRDefault="00463F7C" w:rsidP="0066690A">
      <w:r w:rsidRPr="396ABCA7">
        <w:lastRenderedPageBreak/>
        <w:t>Since the amendment of the Act, the Grattan Institute (May 2023)</w:t>
      </w:r>
      <w:r w:rsidRPr="396ABCA7">
        <w:rPr>
          <w:rStyle w:val="FootnoteReference"/>
          <w:rFonts w:cs="Calibri"/>
        </w:rPr>
        <w:footnoteReference w:id="1216"/>
      </w:r>
      <w:r w:rsidRPr="396ABCA7">
        <w:t xml:space="preserve"> and the Migrant Justice Institute (June 2024)</w:t>
      </w:r>
      <w:r w:rsidRPr="396ABCA7">
        <w:rPr>
          <w:rStyle w:val="FootnoteReference"/>
          <w:rFonts w:cs="Calibri"/>
        </w:rPr>
        <w:footnoteReference w:id="1217"/>
      </w:r>
      <w:r w:rsidRPr="396ABCA7">
        <w:t xml:space="preserve"> have also released reports on exploitation of migrant workers.</w:t>
      </w:r>
      <w:r w:rsidRPr="396ABCA7">
        <w:rPr>
          <w:rStyle w:val="FootnoteReference"/>
          <w:rFonts w:cs="Calibri"/>
        </w:rPr>
        <w:footnoteReference w:id="1218"/>
      </w:r>
      <w:r w:rsidRPr="396ABCA7">
        <w:t xml:space="preserve"> The latter examines the effectiveness of the small claims process within the </w:t>
      </w:r>
      <w:r w:rsidR="00846DC0" w:rsidRPr="00846DC0">
        <w:t xml:space="preserve">Federal Circuit and Family Court of Australia </w:t>
      </w:r>
      <w:r w:rsidR="00846DC0">
        <w:t>(</w:t>
      </w:r>
      <w:r w:rsidRPr="396ABCA7">
        <w:t>FCFCOA</w:t>
      </w:r>
      <w:r w:rsidR="00846DC0">
        <w:t>)</w:t>
      </w:r>
      <w:r w:rsidRPr="396ABCA7">
        <w:t xml:space="preserve"> for migrant workers seeking to recover unpaid entitlements. </w:t>
      </w:r>
      <w:r w:rsidR="00846DC0">
        <w:t xml:space="preserve">It </w:t>
      </w:r>
      <w:r w:rsidRPr="396ABCA7">
        <w:t>note</w:t>
      </w:r>
      <w:r w:rsidR="00846DC0">
        <w:t>s</w:t>
      </w:r>
      <w:r w:rsidRPr="396ABCA7">
        <w:t xml:space="preserve"> that 137 small claim applications were filed in 2022</w:t>
      </w:r>
      <w:r w:rsidRPr="396ABCA7">
        <w:rPr>
          <w:rFonts w:ascii="Symbol" w:eastAsia="Symbol" w:hAnsi="Symbol" w:cs="Symbol"/>
        </w:rPr>
        <w:t>-</w:t>
      </w:r>
      <w:r w:rsidRPr="396ABCA7">
        <w:t>23 but argue</w:t>
      </w:r>
      <w:r w:rsidR="00846DC0">
        <w:t>s</w:t>
      </w:r>
      <w:r w:rsidRPr="396ABCA7">
        <w:t xml:space="preserve"> that ‘[t]his number should be seen against the Grattan Institute’s estimate that between 490,000 and 1.26 million workers are paid below the national minimum wage in a year’. </w:t>
      </w:r>
      <w:r w:rsidR="00846DC0">
        <w:t xml:space="preserve">It </w:t>
      </w:r>
      <w:r w:rsidRPr="396ABCA7">
        <w:t>also note</w:t>
      </w:r>
      <w:r w:rsidR="00846DC0">
        <w:t>s</w:t>
      </w:r>
      <w:r w:rsidRPr="396ABCA7">
        <w:t xml:space="preserve"> that ‘it is not clear that wage claims are being systematically resolved via other legal forums or by the Fair Work Ombudsman’.</w:t>
      </w:r>
      <w:r w:rsidRPr="396ABCA7">
        <w:rPr>
          <w:rStyle w:val="FootnoteReference"/>
          <w:rFonts w:cs="Calibri"/>
        </w:rPr>
        <w:footnoteReference w:id="1219"/>
      </w:r>
    </w:p>
    <w:p w14:paraId="67C39AC5" w14:textId="6CBA519D" w:rsidR="0011475D" w:rsidRDefault="00463F7C" w:rsidP="00677856">
      <w:r w:rsidRPr="396ABCA7">
        <w:t>The</w:t>
      </w:r>
      <w:r w:rsidR="00261885">
        <w:t xml:space="preserve"> </w:t>
      </w:r>
      <w:r w:rsidR="00261885" w:rsidRPr="396ABCA7">
        <w:t>Migrant Justice Institute</w:t>
      </w:r>
      <w:r w:rsidRPr="396ABCA7">
        <w:t xml:space="preserve"> report identifies significant barriers that prevent workers from utilising the small claims process. Among other things</w:t>
      </w:r>
      <w:r w:rsidRPr="396ABCA7" w:rsidDel="00846DC0">
        <w:t xml:space="preserve"> </w:t>
      </w:r>
      <w:r w:rsidR="00846DC0">
        <w:t xml:space="preserve">it </w:t>
      </w:r>
      <w:r w:rsidRPr="396ABCA7">
        <w:t>recommend</w:t>
      </w:r>
      <w:r w:rsidR="00846DC0">
        <w:t>s</w:t>
      </w:r>
      <w:r w:rsidRPr="396ABCA7">
        <w:t xml:space="preserve"> increased funding for community legal centres, a duty lawyer scheme to support workers in court, a new dispute resolution process in the Fair Work Commission (FWC) for wages and entitlements and a new Fair Work Court to streamline claims. </w:t>
      </w:r>
      <w:r w:rsidR="00846DC0">
        <w:t xml:space="preserve">Its </w:t>
      </w:r>
      <w:r w:rsidRPr="396ABCA7">
        <w:t xml:space="preserve">recommendations echo the recommendations of </w:t>
      </w:r>
      <w:r w:rsidRPr="00846DC0">
        <w:t>SERC</w:t>
      </w:r>
      <w:r w:rsidRPr="396ABCA7">
        <w:t>, with both calling for a simpler, more informal body to deal with underpayments that utilises a lot of the FWC’s simpler, more affordable and more efficient processes.</w:t>
      </w:r>
    </w:p>
    <w:p w14:paraId="30D593FC" w14:textId="53C2805F" w:rsidR="00463F7C" w:rsidRDefault="00463F7C" w:rsidP="00463F7C">
      <w:pPr>
        <w:rPr>
          <w:rFonts w:cs="Calibri"/>
        </w:rPr>
      </w:pPr>
      <w:r w:rsidRPr="396ABCA7">
        <w:rPr>
          <w:rFonts w:cs="Calibri"/>
        </w:rPr>
        <w:t>The concern about cost may be due in part to the filing fees being lower in the FWC. If an employee is represented, the cost of representation will likely be a substantial cost; however, for self-represented employees the filing fees represent an initial cost barrier and disincentive to using the process. In the FWC it currently costs $87.20 to file an unfair dismissal application.</w:t>
      </w:r>
      <w:r w:rsidRPr="396ABCA7">
        <w:rPr>
          <w:rStyle w:val="FootnoteReference"/>
          <w:rFonts w:cs="Calibri"/>
        </w:rPr>
        <w:footnoteReference w:id="1220"/>
      </w:r>
      <w:r w:rsidRPr="396ABCA7">
        <w:rPr>
          <w:rFonts w:cs="Calibri"/>
        </w:rPr>
        <w:t xml:space="preserve"> This is less than half of the $295 it currently costs to file a small claims application in the FCFCOA, which increases to $470 for claims between $10,000 and $50,000 or to $545 for claims between $50,000 and $100,000.</w:t>
      </w:r>
      <w:r w:rsidRPr="396ABCA7">
        <w:rPr>
          <w:rStyle w:val="FootnoteReference"/>
          <w:rFonts w:cs="Calibri"/>
        </w:rPr>
        <w:footnoteReference w:id="1221"/>
      </w:r>
      <w:r w:rsidRPr="396ABCA7">
        <w:rPr>
          <w:rFonts w:cs="Calibri"/>
          <w:vertAlign w:val="superscript"/>
        </w:rPr>
        <w:t xml:space="preserve"> </w:t>
      </w:r>
      <w:r w:rsidRPr="396ABCA7">
        <w:rPr>
          <w:rFonts w:cs="Calibri"/>
        </w:rPr>
        <w:t>However, both jurisdictions do allow for parties to apply to have their filing fees waived.</w:t>
      </w:r>
      <w:r w:rsidRPr="396ABCA7">
        <w:rPr>
          <w:rStyle w:val="FootnoteReference"/>
          <w:rFonts w:cs="Calibri"/>
        </w:rPr>
        <w:footnoteReference w:id="1222"/>
      </w:r>
    </w:p>
    <w:p w14:paraId="0C9AF029" w14:textId="6EE654DA" w:rsidR="00463F7C" w:rsidRDefault="00463F7C" w:rsidP="00463F7C">
      <w:pPr>
        <w:rPr>
          <w:rFonts w:cs="Calibri"/>
        </w:rPr>
      </w:pPr>
      <w:r w:rsidRPr="00BD5AE5">
        <w:t xml:space="preserve">The </w:t>
      </w:r>
      <w:r w:rsidRPr="0066690A">
        <w:rPr>
          <w:i/>
        </w:rPr>
        <w:t>Review of the Fair Work Act Small Claims Procedure</w:t>
      </w:r>
      <w:r w:rsidRPr="00BD5AE5">
        <w:t xml:space="preserve"> made similar findings, asserting that ‘in situations where a worker is owed a relatively small amount of money (for example, $500</w:t>
      </w:r>
      <w:r w:rsidR="00677856">
        <w:rPr>
          <w:rFonts w:ascii="Symbol" w:eastAsia="Symbol" w:hAnsi="Symbol" w:cs="Symbol"/>
        </w:rPr>
        <w:sym w:font="Symbol" w:char="F02D"/>
      </w:r>
      <w:r w:rsidRPr="00BD5AE5">
        <w:t xml:space="preserve">$1000), a filing fee remains a substantial initial cost barrier to recovering </w:t>
      </w:r>
      <w:r w:rsidRPr="00BD5AE5">
        <w:lastRenderedPageBreak/>
        <w:t>entitlements’</w:t>
      </w:r>
      <w:r w:rsidR="00677856">
        <w:t>.</w:t>
      </w:r>
      <w:r w:rsidRPr="00BD5AE5">
        <w:rPr>
          <w:rStyle w:val="FootnoteReference"/>
        </w:rPr>
        <w:footnoteReference w:id="1223"/>
      </w:r>
      <w:r w:rsidRPr="00BD5AE5">
        <w:t xml:space="preserve"> It goes into further detail and recommends changes to the regulations that govern the FCFCOA to expand access to exemptions from filing fees.</w:t>
      </w:r>
      <w:r w:rsidRPr="00BD5AE5">
        <w:rPr>
          <w:rStyle w:val="FootnoteReference"/>
        </w:rPr>
        <w:footnoteReference w:id="1224"/>
      </w:r>
    </w:p>
    <w:p w14:paraId="2EFBFE8E" w14:textId="2F9AD156" w:rsidR="00463F7C" w:rsidRPr="005109BD" w:rsidRDefault="00463F7C" w:rsidP="00677856">
      <w:pPr>
        <w:pStyle w:val="Heading5"/>
      </w:pPr>
      <w:bookmarkStart w:id="634" w:name="_Toc187934207"/>
      <w:r w:rsidRPr="005109BD">
        <w:t>3</w:t>
      </w:r>
      <w:r w:rsidR="008418BD">
        <w:t>3</w:t>
      </w:r>
      <w:r w:rsidRPr="005109BD">
        <w:t>.2.3 Stakeholder views</w:t>
      </w:r>
      <w:bookmarkEnd w:id="634"/>
    </w:p>
    <w:p w14:paraId="14616721" w14:textId="1967E147" w:rsidR="00463F7C" w:rsidRPr="00167CB8" w:rsidRDefault="00463F7C" w:rsidP="00463F7C">
      <w:pPr>
        <w:rPr>
          <w:rFonts w:cs="Calibri"/>
        </w:rPr>
      </w:pPr>
      <w:r w:rsidRPr="396ABCA7">
        <w:rPr>
          <w:rFonts w:cs="Calibri"/>
        </w:rPr>
        <w:t xml:space="preserve">In submissions to the </w:t>
      </w:r>
      <w:r w:rsidR="00677856">
        <w:rPr>
          <w:rFonts w:cs="Calibri"/>
        </w:rPr>
        <w:t>R</w:t>
      </w:r>
      <w:r w:rsidRPr="396ABCA7">
        <w:rPr>
          <w:rFonts w:cs="Calibri"/>
        </w:rPr>
        <w:t xml:space="preserve">eview, many stakeholders (the Australian Council of Trade Unions (ACTU), </w:t>
      </w:r>
      <w:r w:rsidR="00941ECF">
        <w:rPr>
          <w:rFonts w:cs="Calibri"/>
        </w:rPr>
        <w:t xml:space="preserve">the </w:t>
      </w:r>
      <w:r w:rsidRPr="396ABCA7">
        <w:rPr>
          <w:rFonts w:cs="Calibri"/>
        </w:rPr>
        <w:t>United Workers Union (UWU), Employment Rights Legal Service, Master Electricians Australia) gave positive feedback about the increased accessibility to small claims procedures for workers and many noted that the changes have not yet been used enough to definitively evaluate whether the amendments are working as intended or not. The ACTU submitted that:</w:t>
      </w:r>
      <w:r w:rsidRPr="396ABCA7">
        <w:rPr>
          <w:rFonts w:cs="Calibri"/>
          <w:vertAlign w:val="superscript"/>
        </w:rPr>
        <w:footnoteReference w:id="1225"/>
      </w:r>
    </w:p>
    <w:p w14:paraId="77BE12C9" w14:textId="77777777" w:rsidR="00463F7C" w:rsidRPr="00FD6483" w:rsidRDefault="00463F7C" w:rsidP="00250AD1">
      <w:pPr>
        <w:pStyle w:val="Quote"/>
      </w:pPr>
      <w:r w:rsidRPr="00FD6483">
        <w:t>Giving those workers access to the cheaper and less formal avenue of small claims processes makes justice more accessible for them and reduces the burden on the courts. Indeed, the changes are already having this effect.</w:t>
      </w:r>
    </w:p>
    <w:p w14:paraId="51E392E4" w14:textId="77777777" w:rsidR="00463F7C" w:rsidRPr="00167CB8" w:rsidRDefault="00463F7C" w:rsidP="00463F7C">
      <w:pPr>
        <w:rPr>
          <w:rFonts w:cs="Calibri"/>
        </w:rPr>
      </w:pPr>
      <w:r w:rsidRPr="396ABCA7">
        <w:rPr>
          <w:rFonts w:cs="Calibri"/>
        </w:rPr>
        <w:t>The ACTU also noted that, because of changes to the monetary caps, unions are now able to take cases for larger amounts.</w:t>
      </w:r>
      <w:r w:rsidRPr="396ABCA7">
        <w:rPr>
          <w:rStyle w:val="FootnoteReference"/>
          <w:rFonts w:cs="Calibri"/>
        </w:rPr>
        <w:footnoteReference w:id="1226"/>
      </w:r>
    </w:p>
    <w:p w14:paraId="0DC67317" w14:textId="5260EE78" w:rsidR="0011475D" w:rsidRDefault="00463F7C" w:rsidP="00463F7C">
      <w:pPr>
        <w:rPr>
          <w:rFonts w:cs="Calibri"/>
        </w:rPr>
      </w:pPr>
      <w:r w:rsidRPr="396ABCA7">
        <w:rPr>
          <w:rFonts w:cs="Calibri"/>
        </w:rPr>
        <w:t>Some employer groups (e.g. Ai Group) questioned the appropriateness of the Secure Jobs, Better Pay</w:t>
      </w:r>
      <w:r w:rsidRPr="396ABCA7" w:rsidDel="00591473">
        <w:rPr>
          <w:rFonts w:cs="Calibri"/>
        </w:rPr>
        <w:t xml:space="preserve"> </w:t>
      </w:r>
      <w:r w:rsidRPr="396ABCA7">
        <w:rPr>
          <w:rFonts w:cs="Calibri"/>
        </w:rPr>
        <w:t>amendments and raised concerns that employers may be pulled into disputes for ‘substantial sums’ ($100,000) without rules of evidence and procedure. Ai Group, Australian Chamber of Commerce and Industry (ACCI) and COSBOA submitted that $100,000 was not a small claim and the amount should be lowered. Ai Group suggested an amount between $40,000 and around $60,000</w:t>
      </w:r>
      <w:r w:rsidRPr="396ABCA7">
        <w:rPr>
          <w:rStyle w:val="FootnoteReference"/>
          <w:rFonts w:cs="Calibri"/>
        </w:rPr>
        <w:footnoteReference w:id="1227"/>
      </w:r>
      <w:r w:rsidRPr="396ABCA7">
        <w:rPr>
          <w:rFonts w:cs="Calibri"/>
        </w:rPr>
        <w:t xml:space="preserve"> and ACCI suggested $50,000 with annual indexing,</w:t>
      </w:r>
      <w:r w:rsidRPr="396ABCA7">
        <w:rPr>
          <w:rStyle w:val="FootnoteReference"/>
          <w:rFonts w:cs="Calibri"/>
        </w:rPr>
        <w:footnoteReference w:id="1228"/>
      </w:r>
      <w:r w:rsidRPr="396ABCA7">
        <w:rPr>
          <w:rFonts w:cs="Calibri"/>
        </w:rPr>
        <w:t xml:space="preserve"> while COSBOA recommended lowering it to $30,000 and indexing it annually.</w:t>
      </w:r>
      <w:r w:rsidRPr="396ABCA7">
        <w:rPr>
          <w:rStyle w:val="FootnoteReference"/>
          <w:rFonts w:cs="Calibri"/>
        </w:rPr>
        <w:footnoteReference w:id="1229"/>
      </w:r>
    </w:p>
    <w:p w14:paraId="36161C15" w14:textId="561564BC" w:rsidR="00463F7C" w:rsidRPr="00167CB8" w:rsidRDefault="00463F7C" w:rsidP="00463F7C">
      <w:pPr>
        <w:rPr>
          <w:rFonts w:cs="Calibri"/>
        </w:rPr>
      </w:pPr>
      <w:r w:rsidRPr="396ABCA7">
        <w:rPr>
          <w:rFonts w:cs="Calibri"/>
        </w:rPr>
        <w:t>Other employer groups (e.g. Master Electricians Australia) welcomed the changes ‘recognising its potential to provide greater assistance with judicial matters’.</w:t>
      </w:r>
      <w:r w:rsidRPr="396ABCA7">
        <w:rPr>
          <w:rStyle w:val="FootnoteReference"/>
          <w:rFonts w:cs="Calibri"/>
        </w:rPr>
        <w:footnoteReference w:id="1230"/>
      </w:r>
    </w:p>
    <w:p w14:paraId="7DBE0396" w14:textId="4372CD8D" w:rsidR="0011475D" w:rsidRDefault="00463F7C" w:rsidP="00463F7C">
      <w:pPr>
        <w:spacing w:after="120"/>
        <w:rPr>
          <w:rFonts w:cs="Calibri"/>
        </w:rPr>
      </w:pPr>
      <w:r w:rsidRPr="396ABCA7">
        <w:rPr>
          <w:rFonts w:cs="Calibri"/>
        </w:rPr>
        <w:t xml:space="preserve">Unions welcomed the amendments. </w:t>
      </w:r>
      <w:r w:rsidRPr="00846DC0" w:rsidDel="008418BD">
        <w:rPr>
          <w:rFonts w:cs="Calibri"/>
        </w:rPr>
        <w:t xml:space="preserve">The </w:t>
      </w:r>
      <w:r w:rsidRPr="00846DC0">
        <w:rPr>
          <w:rFonts w:cs="Calibri"/>
        </w:rPr>
        <w:t>UWU submitted</w:t>
      </w:r>
      <w:r w:rsidRPr="396ABCA7">
        <w:rPr>
          <w:rFonts w:cs="Calibri"/>
        </w:rPr>
        <w:t xml:space="preserve"> that the increased threshold would enable more workers to access the small claims jurisdiction.</w:t>
      </w:r>
      <w:r w:rsidRPr="396ABCA7">
        <w:rPr>
          <w:rStyle w:val="FootnoteReference"/>
          <w:rFonts w:cs="Calibri"/>
        </w:rPr>
        <w:footnoteReference w:id="1231"/>
      </w:r>
      <w:r w:rsidRPr="396ABCA7">
        <w:rPr>
          <w:rFonts w:cs="Calibri"/>
        </w:rPr>
        <w:t xml:space="preserve"> Both </w:t>
      </w:r>
      <w:r w:rsidR="00846DC0">
        <w:rPr>
          <w:rFonts w:cs="Calibri"/>
        </w:rPr>
        <w:t xml:space="preserve">the </w:t>
      </w:r>
      <w:r w:rsidRPr="396ABCA7">
        <w:rPr>
          <w:rFonts w:cs="Calibri"/>
        </w:rPr>
        <w:t>UWU and ACTU called for an amendment to the Act to clarify that parties may make claims on enterprise agreements that have since been replaced by a new enterprise agreement.</w:t>
      </w:r>
    </w:p>
    <w:p w14:paraId="6AA02038" w14:textId="3899C241" w:rsidR="0011475D" w:rsidRDefault="00463F7C" w:rsidP="00463F7C">
      <w:pPr>
        <w:spacing w:after="120"/>
        <w:rPr>
          <w:rFonts w:cs="Calibri"/>
        </w:rPr>
      </w:pPr>
      <w:r w:rsidRPr="396ABCA7">
        <w:rPr>
          <w:rFonts w:cs="Calibri"/>
        </w:rPr>
        <w:t>The Employment Rights Legal Service welcomed the amendments to the Act but submitted that the reforms do not go far enough:</w:t>
      </w:r>
      <w:r w:rsidRPr="396ABCA7">
        <w:rPr>
          <w:rStyle w:val="FootnoteReference"/>
          <w:rFonts w:cs="Calibri"/>
        </w:rPr>
        <w:footnoteReference w:id="1232"/>
      </w:r>
    </w:p>
    <w:p w14:paraId="1ABA7007" w14:textId="4A95A9CE" w:rsidR="00463F7C" w:rsidRPr="00FD6483" w:rsidRDefault="00463F7C" w:rsidP="00250AD1">
      <w:pPr>
        <w:pStyle w:val="Quote"/>
      </w:pPr>
      <w:r w:rsidRPr="00FD6483">
        <w:t xml:space="preserve">we do not believe the reforms go far enough to address the problems facing workers experiencing disadvantage who need to access the </w:t>
      </w:r>
      <w:r w:rsidRPr="00FD6483">
        <w:lastRenderedPageBreak/>
        <w:t>court process to recover unpaid wages and entitlements. Even with these changes, the small claims process is too complicated for the majority of the workforce to navigate without assistance, especially for migrant workers who have English as a second language and workers on temporary visas.</w:t>
      </w:r>
    </w:p>
    <w:p w14:paraId="6DE1A2FC" w14:textId="04712A91" w:rsidR="0011475D" w:rsidRDefault="00463F7C" w:rsidP="00463F7C">
      <w:pPr>
        <w:spacing w:after="120"/>
        <w:rPr>
          <w:rFonts w:cs="Calibri"/>
        </w:rPr>
      </w:pPr>
      <w:r w:rsidRPr="00167CB8">
        <w:rPr>
          <w:rFonts w:cs="Calibri"/>
        </w:rPr>
        <w:t>It recommended, among other things, that ‘The FWC’s jurisdiction should be expanded in order to handle underpayment and wage theft matters</w:t>
      </w:r>
      <w:r w:rsidR="008418BD">
        <w:rPr>
          <w:rFonts w:cs="Calibri"/>
        </w:rPr>
        <w:t>’</w:t>
      </w:r>
      <w:r>
        <w:rPr>
          <w:rFonts w:cs="Calibri"/>
        </w:rPr>
        <w:t>.</w:t>
      </w:r>
      <w:r w:rsidRPr="00167CB8">
        <w:rPr>
          <w:rStyle w:val="FootnoteReference"/>
          <w:rFonts w:cs="Calibri"/>
        </w:rPr>
        <w:footnoteReference w:id="1233"/>
      </w:r>
    </w:p>
    <w:p w14:paraId="2B2DFB06" w14:textId="484C32BD" w:rsidR="00463F7C" w:rsidRPr="00167CB8" w:rsidRDefault="00463F7C" w:rsidP="00463F7C">
      <w:pPr>
        <w:spacing w:after="120"/>
        <w:rPr>
          <w:rFonts w:cs="Calibri"/>
        </w:rPr>
      </w:pPr>
      <w:r w:rsidRPr="00167CB8">
        <w:rPr>
          <w:rFonts w:cs="Calibri"/>
        </w:rPr>
        <w:t>The Law Council of Australia also welcomed the amendments, particularly as ‘it introduced for the first time a right to costs, albeit very limited’.</w:t>
      </w:r>
      <w:r w:rsidRPr="00167CB8">
        <w:rPr>
          <w:rStyle w:val="FootnoteReference"/>
          <w:rFonts w:cs="Calibri"/>
        </w:rPr>
        <w:footnoteReference w:id="1234"/>
      </w:r>
      <w:r w:rsidRPr="00167CB8">
        <w:rPr>
          <w:rFonts w:cs="Calibri"/>
        </w:rPr>
        <w:t xml:space="preserve"> However, it asserted that the small claims procedure remains underutilised and they recommend reforms that would result in ‘penalties issued against an employer, with the ability to seek to have those amounts paid to themselves’.</w:t>
      </w:r>
      <w:r w:rsidRPr="00167CB8">
        <w:rPr>
          <w:rStyle w:val="FootnoteReference"/>
          <w:rFonts w:cs="Calibri"/>
        </w:rPr>
        <w:footnoteReference w:id="1235"/>
      </w:r>
    </w:p>
    <w:p w14:paraId="1E03E056" w14:textId="3B26ECC4" w:rsidR="00463F7C" w:rsidRPr="00167CB8" w:rsidRDefault="00463F7C" w:rsidP="00463F7C">
      <w:pPr>
        <w:spacing w:after="120"/>
        <w:rPr>
          <w:rFonts w:cs="Calibri"/>
        </w:rPr>
      </w:pPr>
      <w:r w:rsidRPr="00BD5AE5">
        <w:t xml:space="preserve">The </w:t>
      </w:r>
      <w:r w:rsidRPr="00C43A12">
        <w:rPr>
          <w:i/>
        </w:rPr>
        <w:t>Review of the Fair Work Act Small Claims Procedure</w:t>
      </w:r>
      <w:r w:rsidRPr="00BD5AE5">
        <w:t xml:space="preserve"> also made recommendations around expanding access to legal costs. It did not recommend issuing penalties</w:t>
      </w:r>
      <w:r w:rsidR="00CA1D25">
        <w:t>,</w:t>
      </w:r>
      <w:r w:rsidRPr="00BD5AE5">
        <w:t xml:space="preserve"> as this could add complexity. Instead, it recommend</w:t>
      </w:r>
      <w:r w:rsidR="00846DC0">
        <w:t>ed</w:t>
      </w:r>
      <w:r w:rsidRPr="00BD5AE5">
        <w:t xml:space="preserve"> that where a worker is successful ‘the employer pay their legal costs’ and where they are ‘unsuccessful, both parties bear their own costs’ with exemptions where a worker makes a claim vexatiously or unreasonably.</w:t>
      </w:r>
      <w:r w:rsidRPr="00BD5AE5">
        <w:rPr>
          <w:rStyle w:val="FootnoteReference"/>
        </w:rPr>
        <w:footnoteReference w:id="1236"/>
      </w:r>
    </w:p>
    <w:p w14:paraId="15C1FDD7" w14:textId="49D475FE" w:rsidR="00463F7C" w:rsidRDefault="00463F7C" w:rsidP="00463F7C">
      <w:pPr>
        <w:spacing w:after="120"/>
      </w:pPr>
      <w:r w:rsidRPr="00A84762">
        <w:rPr>
          <w:rFonts w:cs="Calibri"/>
        </w:rPr>
        <w:t>The Review Panel consulted stakeholders about its proposed findings and reiterating</w:t>
      </w:r>
      <w:r>
        <w:rPr>
          <w:rFonts w:cs="Calibri"/>
        </w:rPr>
        <w:t xml:space="preserve"> recommendations 9, 10 and 11 of the </w:t>
      </w:r>
      <w:r w:rsidRPr="00C07051">
        <w:rPr>
          <w:i/>
        </w:rPr>
        <w:t>Review of the Fair Work Act Small Claims Procedure</w:t>
      </w:r>
      <w:r>
        <w:t>.</w:t>
      </w:r>
      <w:r>
        <w:rPr>
          <w:rStyle w:val="FootnoteReference"/>
        </w:rPr>
        <w:footnoteReference w:id="1237"/>
      </w:r>
    </w:p>
    <w:p w14:paraId="4E33D63B" w14:textId="3A69A55F" w:rsidR="00463F7C" w:rsidRPr="00167CB8" w:rsidRDefault="00463F7C" w:rsidP="00463F7C">
      <w:pPr>
        <w:spacing w:after="120"/>
        <w:rPr>
          <w:rFonts w:cs="Calibri"/>
        </w:rPr>
      </w:pPr>
      <w:r w:rsidRPr="00BD5AE5">
        <w:t xml:space="preserve">In response to the </w:t>
      </w:r>
      <w:r w:rsidR="00846DC0">
        <w:t>d</w:t>
      </w:r>
      <w:r w:rsidRPr="00BD5AE5">
        <w:t xml:space="preserve">raft </w:t>
      </w:r>
      <w:r w:rsidR="00846DC0">
        <w:t>r</w:t>
      </w:r>
      <w:r w:rsidRPr="00BD5AE5">
        <w:t>eport, a number of employer associations such as ACCI</w:t>
      </w:r>
      <w:r w:rsidR="004232EF">
        <w:t>,</w:t>
      </w:r>
      <w:r w:rsidRPr="00BD5AE5">
        <w:rPr>
          <w:rStyle w:val="FootnoteReference"/>
        </w:rPr>
        <w:footnoteReference w:id="1238"/>
      </w:r>
      <w:r w:rsidRPr="00BD5AE5">
        <w:t xml:space="preserve"> Ai Group</w:t>
      </w:r>
      <w:r w:rsidR="00846DC0">
        <w:t>,</w:t>
      </w:r>
      <w:r w:rsidRPr="00BD5AE5">
        <w:rPr>
          <w:rStyle w:val="FootnoteReference"/>
        </w:rPr>
        <w:footnoteReference w:id="1239"/>
      </w:r>
      <w:r w:rsidRPr="00BD5AE5">
        <w:t xml:space="preserve"> </w:t>
      </w:r>
      <w:r w:rsidR="00846DC0" w:rsidRPr="00846DC0">
        <w:t xml:space="preserve">Chamber of Commerce and Industry of Western Australia </w:t>
      </w:r>
      <w:r w:rsidR="00846DC0">
        <w:t>(</w:t>
      </w:r>
      <w:r w:rsidRPr="00BD5AE5">
        <w:t>CCIWA</w:t>
      </w:r>
      <w:r w:rsidR="00846DC0">
        <w:t>)</w:t>
      </w:r>
      <w:r w:rsidRPr="00BD5AE5">
        <w:rPr>
          <w:rStyle w:val="FootnoteReference"/>
        </w:rPr>
        <w:footnoteReference w:id="1240"/>
      </w:r>
      <w:r w:rsidRPr="00BD5AE5">
        <w:t xml:space="preserve"> and </w:t>
      </w:r>
      <w:r w:rsidR="00846DC0" w:rsidRPr="00846DC0">
        <w:t xml:space="preserve">Master Grocers Australia </w:t>
      </w:r>
      <w:r w:rsidR="00846DC0">
        <w:t>(</w:t>
      </w:r>
      <w:r w:rsidRPr="00BD5AE5">
        <w:t>MGA</w:t>
      </w:r>
      <w:r w:rsidR="00846DC0">
        <w:t>)</w:t>
      </w:r>
      <w:r w:rsidRPr="00BD5AE5">
        <w:rPr>
          <w:rStyle w:val="FootnoteReference"/>
        </w:rPr>
        <w:footnoteReference w:id="1241"/>
      </w:r>
      <w:r w:rsidRPr="00BD5AE5">
        <w:t xml:space="preserve"> reiterated their views that the monetary cap is too high.</w:t>
      </w:r>
    </w:p>
    <w:p w14:paraId="6884E25C" w14:textId="2FBA85CF" w:rsidR="00A84762" w:rsidRDefault="00463F7C" w:rsidP="00463F7C">
      <w:r w:rsidRPr="00BD5AE5">
        <w:t xml:space="preserve">Employer associations expressed concerns about recommendation 9 of the </w:t>
      </w:r>
      <w:r w:rsidRPr="00A60B55">
        <w:rPr>
          <w:i/>
        </w:rPr>
        <w:t>Review of the Fair Work Act Small Claims Procedure</w:t>
      </w:r>
      <w:r w:rsidRPr="00BD5AE5">
        <w:t>. CCIWA argued that</w:t>
      </w:r>
      <w:r w:rsidR="00A84762">
        <w:t>:</w:t>
      </w:r>
      <w:r w:rsidR="00A84762" w:rsidRPr="00BD5AE5">
        <w:rPr>
          <w:rStyle w:val="FootnoteReference"/>
        </w:rPr>
        <w:footnoteReference w:id="1242"/>
      </w:r>
    </w:p>
    <w:p w14:paraId="18ABAFCA" w14:textId="6FCC9A4F" w:rsidR="00A84762" w:rsidRDefault="00463F7C" w:rsidP="0093131E">
      <w:pPr>
        <w:pStyle w:val="Quote"/>
      </w:pPr>
      <w:r w:rsidRPr="00BD5AE5">
        <w:t>to further inject legal practitioners into this jurisdiction would have an undesirable effect on all parties. It would create a jurisdiction akin to normal court processes, resulting in substantial cost escalation for all parties, and delays in dealing with claims – costing employers more and leaving employees waiting longer for a successful claim.</w:t>
      </w:r>
    </w:p>
    <w:p w14:paraId="35AE66F5" w14:textId="2BCDD887" w:rsidR="00463F7C" w:rsidRPr="00BD5AE5" w:rsidRDefault="00463F7C" w:rsidP="00463F7C">
      <w:r w:rsidRPr="00BD5AE5">
        <w:t xml:space="preserve">MGA also submitted ‘that if the Government establishes duty lawyer services for workers in small claims matters, employer associations should have an automatic right to represent </w:t>
      </w:r>
      <w:r w:rsidRPr="00BD5AE5">
        <w:lastRenderedPageBreak/>
        <w:t>members similar to the approach adopted in the FWC in accordance with section 596(4)(b) of the Act’</w:t>
      </w:r>
      <w:r w:rsidR="00A84762">
        <w:t>.</w:t>
      </w:r>
      <w:r w:rsidRPr="00BD5AE5">
        <w:rPr>
          <w:rStyle w:val="FootnoteReference"/>
        </w:rPr>
        <w:footnoteReference w:id="1243"/>
      </w:r>
    </w:p>
    <w:p w14:paraId="7EB09074" w14:textId="52869F75" w:rsidR="00463F7C" w:rsidRPr="00BD5AE5" w:rsidRDefault="00463F7C" w:rsidP="00463F7C">
      <w:r w:rsidRPr="00BD5AE5">
        <w:t xml:space="preserve">Employer associations were more supportive of recommendation 10 of the </w:t>
      </w:r>
      <w:r w:rsidRPr="007A1071">
        <w:rPr>
          <w:i/>
        </w:rPr>
        <w:t>Review of the Fair Work Act Small Claims Procedure</w:t>
      </w:r>
      <w:r w:rsidRPr="00BD5AE5">
        <w:t xml:space="preserve">. CCIWA asserted that </w:t>
      </w:r>
      <w:r w:rsidR="00A84762">
        <w:t xml:space="preserve">it </w:t>
      </w:r>
      <w:r w:rsidRPr="00BD5AE5">
        <w:t>support</w:t>
      </w:r>
      <w:r w:rsidR="00A84762">
        <w:t>s</w:t>
      </w:r>
      <w:r w:rsidRPr="00BD5AE5">
        <w:t xml:space="preserve"> ‘additional data collection and review to determine how the new cap is working in practice, and especially, if the cap is working against the intended aim of the small claims process</w:t>
      </w:r>
      <w:r w:rsidR="00A84762">
        <w:t>’</w:t>
      </w:r>
      <w:r w:rsidRPr="00BD5AE5">
        <w:t>.</w:t>
      </w:r>
      <w:r w:rsidRPr="00BD5AE5">
        <w:rPr>
          <w:rStyle w:val="FootnoteReference"/>
        </w:rPr>
        <w:footnoteReference w:id="1244"/>
      </w:r>
      <w:r w:rsidRPr="00BD5AE5">
        <w:t xml:space="preserve"> Ai Group made similar comments that the ‘Panel should recommend data be published not only on the numbers of small claims, but also on the monetary levels of all underpayment claims, and how they are distributed’</w:t>
      </w:r>
      <w:r w:rsidR="00A84762">
        <w:t>.</w:t>
      </w:r>
      <w:r w:rsidRPr="00BD5AE5">
        <w:rPr>
          <w:rStyle w:val="FootnoteReference"/>
        </w:rPr>
        <w:footnoteReference w:id="1245"/>
      </w:r>
    </w:p>
    <w:p w14:paraId="56A2AEF8" w14:textId="069063D9" w:rsidR="00463F7C" w:rsidRPr="00BD5AE5" w:rsidRDefault="00463F7C" w:rsidP="00463F7C">
      <w:r w:rsidRPr="00BD5AE5">
        <w:t xml:space="preserve">In submissions and during consultations, employer associations raised concerns about whether it was appropriate to reiterate </w:t>
      </w:r>
      <w:r w:rsidR="00A84762">
        <w:t>r</w:t>
      </w:r>
      <w:r w:rsidRPr="00BD5AE5">
        <w:t xml:space="preserve">ecommendation 11 of the </w:t>
      </w:r>
      <w:r w:rsidRPr="00042416">
        <w:rPr>
          <w:i/>
        </w:rPr>
        <w:t>Review of the Fair Work Act Small Claims Procedure</w:t>
      </w:r>
      <w:r w:rsidRPr="00BD5AE5">
        <w:t xml:space="preserve"> in the recommendations of this Review.</w:t>
      </w:r>
      <w:r w:rsidRPr="00BD5AE5">
        <w:rPr>
          <w:rStyle w:val="FootnoteReference"/>
        </w:rPr>
        <w:footnoteReference w:id="1246"/>
      </w:r>
      <w:r w:rsidRPr="00BD5AE5">
        <w:t xml:space="preserve"> Noting this concern, the Review Panel has decided not to expressly include this recommendation but continues to support further consultation and consideration of all of the findings and recommendations of the </w:t>
      </w:r>
      <w:r w:rsidRPr="00042416">
        <w:rPr>
          <w:i/>
        </w:rPr>
        <w:t>Review of the Fair Work Act Small Claims Procedure</w:t>
      </w:r>
      <w:r w:rsidRPr="00BD5AE5">
        <w:t>.</w:t>
      </w:r>
    </w:p>
    <w:p w14:paraId="3A1F519C" w14:textId="77777777" w:rsidR="00463F7C" w:rsidRPr="00BD5AE5" w:rsidRDefault="00463F7C" w:rsidP="00463F7C">
      <w:r w:rsidRPr="00BD5AE5">
        <w:t xml:space="preserve">The Review Panel also understands that stakeholders will have further opportunities to participate in the next steps regarding the </w:t>
      </w:r>
      <w:r w:rsidRPr="00042416">
        <w:rPr>
          <w:i/>
        </w:rPr>
        <w:t>Review of the Fair Work Act Small Claims Procedure</w:t>
      </w:r>
      <w:r w:rsidRPr="00BD5AE5">
        <w:t>.</w:t>
      </w:r>
    </w:p>
    <w:p w14:paraId="5E8AAEA1" w14:textId="3012C3D1" w:rsidR="00463F7C" w:rsidRPr="00042416" w:rsidRDefault="00463F7C" w:rsidP="00365C93">
      <w:pPr>
        <w:pStyle w:val="Heading4"/>
      </w:pPr>
      <w:bookmarkStart w:id="635" w:name="_Toc187934208"/>
      <w:bookmarkStart w:id="636" w:name="_Toc188278038"/>
      <w:bookmarkStart w:id="637" w:name="_Toc189260325"/>
      <w:bookmarkStart w:id="638" w:name="_Toc189393641"/>
      <w:r w:rsidRPr="00042416">
        <w:t>3</w:t>
      </w:r>
      <w:r w:rsidR="00CD2998">
        <w:t>3</w:t>
      </w:r>
      <w:r w:rsidRPr="00042416">
        <w:t>.3 Findings and recommendations</w:t>
      </w:r>
      <w:bookmarkEnd w:id="635"/>
      <w:bookmarkEnd w:id="636"/>
      <w:bookmarkEnd w:id="637"/>
      <w:bookmarkEnd w:id="638"/>
    </w:p>
    <w:p w14:paraId="095A31FB" w14:textId="3786D1B2" w:rsidR="00463F7C" w:rsidRPr="00167CB8" w:rsidRDefault="00463F7C" w:rsidP="00463F7C">
      <w:pPr>
        <w:spacing w:after="120"/>
        <w:rPr>
          <w:rFonts w:cs="Calibri"/>
        </w:rPr>
      </w:pPr>
      <w:r w:rsidRPr="396ABCA7">
        <w:rPr>
          <w:rFonts w:cs="Calibri"/>
        </w:rPr>
        <w:t xml:space="preserve">The amendments concerning small claims took effect on 1 July 2023. While the short timeframe since their implementation limits comprehensive evaluation, data limitations are also a problem. Despite this, several stakeholders have expressed their satisfaction with the amendments and </w:t>
      </w:r>
      <w:r w:rsidR="00A84762" w:rsidRPr="00CD2998">
        <w:rPr>
          <w:rFonts w:cs="Calibri"/>
        </w:rPr>
        <w:t xml:space="preserve">hold the </w:t>
      </w:r>
      <w:r w:rsidRPr="00CD2998">
        <w:rPr>
          <w:rFonts w:cs="Calibri"/>
        </w:rPr>
        <w:t>view that the amendments</w:t>
      </w:r>
      <w:r w:rsidRPr="396ABCA7">
        <w:rPr>
          <w:rFonts w:cs="Calibri"/>
        </w:rPr>
        <w:t xml:space="preserve"> are working as intended. The</w:t>
      </w:r>
      <w:r>
        <w:rPr>
          <w:rFonts w:cs="Calibri"/>
        </w:rPr>
        <w:t xml:space="preserve"> Review</w:t>
      </w:r>
      <w:r w:rsidRPr="396ABCA7">
        <w:rPr>
          <w:rFonts w:cs="Calibri"/>
        </w:rPr>
        <w:t xml:space="preserve"> Panel is inclined to agree.</w:t>
      </w:r>
    </w:p>
    <w:p w14:paraId="643C1557" w14:textId="77777777" w:rsidR="00463F7C" w:rsidRPr="00167CB8" w:rsidRDefault="00463F7C" w:rsidP="00463F7C">
      <w:r w:rsidRPr="00167CB8">
        <w:t xml:space="preserve">Consistent with the findings of the Department of Employment and Workplace Relations’ </w:t>
      </w:r>
      <w:r w:rsidRPr="00CD2998">
        <w:rPr>
          <w:i/>
          <w:iCs/>
        </w:rPr>
        <w:t>Review of the Fair Work Act Small Claims Procedure</w:t>
      </w:r>
      <w:r w:rsidRPr="00167CB8">
        <w:t>, the Review Panel acknowledges the need for more data about the impacts of the small claims framework in proceedings and on employer behaviour, as well as the need to support employees to access legal assistance in small claims matters.</w:t>
      </w:r>
    </w:p>
    <w:p w14:paraId="700B9C6B" w14:textId="77777777" w:rsidR="00463F7C" w:rsidRPr="00167CB8" w:rsidRDefault="00463F7C" w:rsidP="00463F7C">
      <w:r w:rsidRPr="00BD5AE5">
        <w:t>Throughout consultations, several employer advocates suggested that the threshold of $100,000 is too high (without a full court process) and suggested various lower amounts to reduce the financial risk for employers, particularly small businesses. The Review Panel notes that this threshold refers to the amount that can be awarded where employers have allegedly underpaid their employees and can be avoided by compliance with workplace laws.</w:t>
      </w:r>
    </w:p>
    <w:p w14:paraId="087CB1B5" w14:textId="77777777" w:rsidR="00463F7C" w:rsidRPr="00167CB8" w:rsidRDefault="00463F7C" w:rsidP="00463F7C">
      <w:r w:rsidRPr="396ABCA7">
        <w:t>In particular, the Review Panel notes the lack of clear data around the use of small claims procedures, particularly in state and territory courts</w:t>
      </w:r>
      <w:r w:rsidRPr="00CD2998">
        <w:t>. Collecting and monitoring more data about their use is important to understand the impacts of these amendments and the potential benefits of further reform. This data should also be considered as part of broader eviden</w:t>
      </w:r>
      <w:r w:rsidRPr="396ABCA7">
        <w:t xml:space="preserve">ce about workplace entitlements not being met (e.g. the proportion and characteristics of workers who continue to be underpaid) and the extent to which different mechanisms for redress are </w:t>
      </w:r>
      <w:r w:rsidRPr="396ABCA7">
        <w:lastRenderedPageBreak/>
        <w:t xml:space="preserve">being used (including small claims procedures). </w:t>
      </w:r>
      <w:r w:rsidRPr="00BD5AE5">
        <w:t>Such information would provide better insights to inform a further review (see Recommendation 1).</w:t>
      </w:r>
    </w:p>
    <w:p w14:paraId="3E79BEA2" w14:textId="77777777" w:rsidR="0011475D" w:rsidRDefault="00463F7C" w:rsidP="00463F7C">
      <w:r w:rsidRPr="396ABCA7">
        <w:t>The Review Panel also notes reports (SERC and MWTF) before the amendments, more recent research (e.g. by the Migrant Justice Institute and the Grattan Institute)</w:t>
      </w:r>
      <w:r w:rsidRPr="396ABCA7">
        <w:rPr>
          <w:rStyle w:val="FootnoteReference"/>
        </w:rPr>
        <w:footnoteReference w:id="1247"/>
      </w:r>
      <w:r w:rsidRPr="396ABCA7">
        <w:t xml:space="preserve"> and stakeholder submissions (e.g. Employment Rights Legal Service) highlighting the complexity of the small claims process. Given this, individuals continue to need support to access the process (such as through community legal education or duty lawyer services).</w:t>
      </w:r>
    </w:p>
    <w:p w14:paraId="273FE275" w14:textId="7CFF1AB0" w:rsidR="00463F7C" w:rsidRDefault="00463F7C" w:rsidP="00463F7C">
      <w:r w:rsidRPr="396ABCA7" w:rsidDel="5D368CA4">
        <w:t>While t</w:t>
      </w:r>
      <w:r w:rsidRPr="396ABCA7">
        <w:t xml:space="preserve">he small claims process is simpler than other legal processes, it is also more formal than mediation and conciliation procedures such as those used by the FWC. </w:t>
      </w:r>
      <w:r>
        <w:t>Though</w:t>
      </w:r>
      <w:r w:rsidRPr="396ABCA7">
        <w:t xml:space="preserve"> some of the financial barriers and disincentives have been removed, broader procedural and institutional reform may still be required. </w:t>
      </w:r>
      <w:r w:rsidRPr="00BD5AE5">
        <w:t xml:space="preserve">For example, the </w:t>
      </w:r>
      <w:r w:rsidRPr="00881F1D">
        <w:rPr>
          <w:i/>
        </w:rPr>
        <w:t>Review of the Fair Work Act Small Claims Procedure</w:t>
      </w:r>
      <w:r w:rsidRPr="00BD5AE5">
        <w:t xml:space="preserve"> recommend</w:t>
      </w:r>
      <w:r w:rsidR="00CD2998">
        <w:t xml:space="preserve">ed consideration of </w:t>
      </w:r>
      <w:r w:rsidRPr="00BD5AE5">
        <w:t>whether some issues could be addressed by extending the small claims jurisdiction to a tribunal and establishing an industrial court</w:t>
      </w:r>
      <w:r w:rsidRPr="396ABCA7">
        <w:t>.</w:t>
      </w:r>
      <w:r>
        <w:rPr>
          <w:rStyle w:val="FootnoteReference"/>
        </w:rPr>
        <w:footnoteReference w:id="1248"/>
      </w:r>
    </w:p>
    <w:p w14:paraId="58DF57A0" w14:textId="7CB81FC3" w:rsidR="00463F7C" w:rsidRPr="00167CB8" w:rsidRDefault="00463F7C" w:rsidP="00463F7C">
      <w:r w:rsidRPr="00BD5AE5">
        <w:t>Relevant to the scope of this Review,</w:t>
      </w:r>
      <w:r w:rsidRPr="00167CB8">
        <w:t xml:space="preserve"> the Review Panel reiterates the </w:t>
      </w:r>
      <w:r w:rsidRPr="00881F1D">
        <w:rPr>
          <w:i/>
        </w:rPr>
        <w:t xml:space="preserve">Review of the Fair Work Act Small Claims </w:t>
      </w:r>
      <w:r w:rsidRPr="00881F1D">
        <w:rPr>
          <w:i/>
          <w:iCs/>
        </w:rPr>
        <w:t>Procedure</w:t>
      </w:r>
      <w:r w:rsidRPr="00167CB8">
        <w:t xml:space="preserve"> recommendations, particularly in relation to the need for further data</w:t>
      </w:r>
      <w:r>
        <w:t xml:space="preserve"> and</w:t>
      </w:r>
      <w:r w:rsidRPr="00167CB8">
        <w:t xml:space="preserve"> support for employees to access legal assistance.</w:t>
      </w:r>
    </w:p>
    <w:p w14:paraId="0B318D04" w14:textId="18E59B75" w:rsidR="00463F7C" w:rsidRPr="00167CB8" w:rsidRDefault="00463F7C" w:rsidP="00463F7C">
      <w:pPr>
        <w:rPr>
          <w:b/>
          <w:bCs/>
        </w:rPr>
      </w:pPr>
      <w:r w:rsidRPr="00167CB8">
        <w:rPr>
          <w:b/>
          <w:bCs/>
        </w:rPr>
        <w:t>Recommendation 1</w:t>
      </w:r>
      <w:r w:rsidR="00E47E83">
        <w:rPr>
          <w:b/>
          <w:bCs/>
        </w:rPr>
        <w:t>9</w:t>
      </w:r>
      <w:r w:rsidRPr="00167CB8">
        <w:rPr>
          <w:b/>
          <w:bCs/>
        </w:rPr>
        <w:t>: Consistent with recommendations 9</w:t>
      </w:r>
      <w:r>
        <w:rPr>
          <w:b/>
          <w:bCs/>
        </w:rPr>
        <w:t xml:space="preserve"> and</w:t>
      </w:r>
      <w:r w:rsidRPr="00167CB8">
        <w:rPr>
          <w:b/>
          <w:bCs/>
        </w:rPr>
        <w:t xml:space="preserve"> 10 of the Department of Employment and Workplace Relations’ </w:t>
      </w:r>
      <w:r w:rsidRPr="00A5389C">
        <w:rPr>
          <w:b/>
          <w:i/>
        </w:rPr>
        <w:t>Review of the Fair Work Act Small Claims Procedure</w:t>
      </w:r>
      <w:r w:rsidRPr="00167CB8">
        <w:rPr>
          <w:b/>
          <w:bCs/>
        </w:rPr>
        <w:t>:</w:t>
      </w:r>
    </w:p>
    <w:p w14:paraId="29C1D72D" w14:textId="77777777" w:rsidR="0011475D" w:rsidRDefault="00463F7C" w:rsidP="004628C2">
      <w:pPr>
        <w:pStyle w:val="ListParagraph"/>
        <w:numPr>
          <w:ilvl w:val="0"/>
          <w:numId w:val="18"/>
        </w:numPr>
        <w:ind w:left="360"/>
        <w:rPr>
          <w:b/>
          <w:bCs/>
          <w:sz w:val="22"/>
          <w:szCs w:val="22"/>
        </w:rPr>
      </w:pPr>
      <w:r w:rsidRPr="00CD2998">
        <w:rPr>
          <w:b/>
          <w:bCs/>
          <w:sz w:val="22"/>
          <w:szCs w:val="22"/>
        </w:rPr>
        <w:t>9.</w:t>
      </w:r>
      <w:r w:rsidRPr="396ABCA7">
        <w:rPr>
          <w:b/>
          <w:bCs/>
          <w:sz w:val="22"/>
          <w:szCs w:val="22"/>
        </w:rPr>
        <w:t xml:space="preserve"> The Government should undertake further work to consider whether additional funding is required for legal assistance in small claims matters, to enable:</w:t>
      </w:r>
    </w:p>
    <w:p w14:paraId="23849A17" w14:textId="77777777" w:rsidR="0011475D" w:rsidRDefault="00463F7C" w:rsidP="00B43E7D">
      <w:pPr>
        <w:pStyle w:val="ListParagraph"/>
        <w:rPr>
          <w:b/>
          <w:bCs/>
          <w:sz w:val="22"/>
          <w:szCs w:val="22"/>
        </w:rPr>
      </w:pPr>
      <w:r w:rsidRPr="00167CB8">
        <w:rPr>
          <w:b/>
          <w:bCs/>
          <w:sz w:val="22"/>
          <w:szCs w:val="22"/>
        </w:rPr>
        <w:t>a. the establishment of duty lawyer services</w:t>
      </w:r>
    </w:p>
    <w:p w14:paraId="092E0051" w14:textId="77777777" w:rsidR="0011475D" w:rsidRDefault="00463F7C" w:rsidP="00B43E7D">
      <w:pPr>
        <w:pStyle w:val="ListParagraph"/>
        <w:rPr>
          <w:b/>
          <w:bCs/>
          <w:sz w:val="22"/>
          <w:szCs w:val="22"/>
        </w:rPr>
      </w:pPr>
      <w:r w:rsidRPr="00167CB8">
        <w:rPr>
          <w:b/>
          <w:bCs/>
          <w:sz w:val="22"/>
          <w:szCs w:val="22"/>
        </w:rPr>
        <w:t>b. the provision of targeted community legal education initiatives, and</w:t>
      </w:r>
    </w:p>
    <w:p w14:paraId="0BA6A265" w14:textId="31183820" w:rsidR="00463F7C" w:rsidRPr="00167CB8" w:rsidRDefault="00463F7C" w:rsidP="00B43E7D">
      <w:pPr>
        <w:pStyle w:val="ListParagraph"/>
        <w:rPr>
          <w:b/>
          <w:bCs/>
          <w:sz w:val="22"/>
          <w:szCs w:val="22"/>
        </w:rPr>
      </w:pPr>
      <w:r w:rsidRPr="396ABCA7">
        <w:rPr>
          <w:b/>
          <w:bCs/>
          <w:sz w:val="22"/>
          <w:szCs w:val="22"/>
        </w:rPr>
        <w:t>c. legal assistance providers to assist and represent more workers.</w:t>
      </w:r>
    </w:p>
    <w:p w14:paraId="4C4E2227" w14:textId="77777777" w:rsidR="0011475D" w:rsidRPr="006069B2" w:rsidRDefault="00463F7C" w:rsidP="004628C2">
      <w:pPr>
        <w:pStyle w:val="ListParagraph"/>
        <w:numPr>
          <w:ilvl w:val="0"/>
          <w:numId w:val="18"/>
        </w:numPr>
        <w:ind w:left="360"/>
      </w:pPr>
      <w:r w:rsidRPr="00CD2998">
        <w:rPr>
          <w:b/>
          <w:bCs/>
          <w:sz w:val="22"/>
          <w:szCs w:val="22"/>
        </w:rPr>
        <w:t>10.</w:t>
      </w:r>
      <w:r w:rsidRPr="396ABCA7">
        <w:rPr>
          <w:b/>
          <w:bCs/>
          <w:sz w:val="22"/>
          <w:szCs w:val="22"/>
        </w:rPr>
        <w:t xml:space="preserve"> Once data on the effects of the increased monetary cap becomes available, the Department of Employment and Workplace Relations should consider whether any additional changes to the small claims procedure under the </w:t>
      </w:r>
      <w:r w:rsidRPr="006069B2">
        <w:rPr>
          <w:b/>
          <w:bCs/>
          <w:sz w:val="22"/>
          <w:szCs w:val="22"/>
        </w:rPr>
        <w:t>Fair Work Act 2009</w:t>
      </w:r>
      <w:r w:rsidRPr="396ABCA7">
        <w:rPr>
          <w:b/>
          <w:bCs/>
          <w:sz w:val="22"/>
          <w:szCs w:val="22"/>
        </w:rPr>
        <w:t xml:space="preserve"> are necessary.</w:t>
      </w:r>
    </w:p>
    <w:p w14:paraId="21E9F632" w14:textId="44CECAFD" w:rsidR="00463F7C" w:rsidRPr="00167CB8" w:rsidRDefault="00463F7C" w:rsidP="00463F7C">
      <w:pPr>
        <w:spacing w:after="160"/>
        <w:rPr>
          <w:b/>
        </w:rPr>
      </w:pPr>
      <w:r w:rsidRPr="00167CB8">
        <w:rPr>
          <w:b/>
        </w:rPr>
        <w:br w:type="page"/>
      </w:r>
    </w:p>
    <w:p w14:paraId="2796AF09" w14:textId="4FEA32C5" w:rsidR="00463F7C" w:rsidRPr="003272F7" w:rsidRDefault="00463F7C" w:rsidP="00365C93">
      <w:pPr>
        <w:pStyle w:val="Heading3"/>
      </w:pPr>
      <w:bookmarkStart w:id="639" w:name="_Toc187934209"/>
      <w:bookmarkStart w:id="640" w:name="_Toc188278039"/>
      <w:bookmarkStart w:id="641" w:name="_Toc189260326"/>
      <w:bookmarkStart w:id="642" w:name="_Toc189393642"/>
      <w:bookmarkStart w:id="643" w:name="_Toc194311443"/>
      <w:r w:rsidRPr="003272F7">
        <w:lastRenderedPageBreak/>
        <w:t>Chapter 3</w:t>
      </w:r>
      <w:r w:rsidR="00CD2998">
        <w:t>4</w:t>
      </w:r>
      <w:r w:rsidRPr="003272F7">
        <w:t>. Prohibiting employer advertisements with pay rates that would contravene the Act</w:t>
      </w:r>
      <w:bookmarkEnd w:id="639"/>
      <w:bookmarkEnd w:id="640"/>
      <w:bookmarkEnd w:id="641"/>
      <w:bookmarkEnd w:id="642"/>
      <w:bookmarkEnd w:id="643"/>
    </w:p>
    <w:p w14:paraId="5AC5C210" w14:textId="77777777" w:rsidR="00463F7C" w:rsidRPr="00167CB8" w:rsidRDefault="00463F7C" w:rsidP="00463F7C">
      <w:pPr>
        <w:rPr>
          <w:lang w:val="en-US"/>
        </w:rPr>
      </w:pPr>
      <w:r w:rsidRPr="00167CB8">
        <w:rPr>
          <w:lang w:val="en-US"/>
        </w:rPr>
        <w:t>Part 25 of the Secure Jobs, Better Pay Act concerns amendments at Part 3-6 (Other rights and responsibilities) of the Fair Work Act on employer obligations in relation to advertising rates of pay.</w:t>
      </w:r>
    </w:p>
    <w:p w14:paraId="6FB2B8D3" w14:textId="48B6F03E" w:rsidR="00463F7C" w:rsidRPr="003272F7" w:rsidRDefault="00463F7C" w:rsidP="00365C93">
      <w:pPr>
        <w:pStyle w:val="Heading4"/>
      </w:pPr>
      <w:bookmarkStart w:id="644" w:name="_Toc187934210"/>
      <w:bookmarkStart w:id="645" w:name="_Toc188278040"/>
      <w:bookmarkStart w:id="646" w:name="_Toc189260327"/>
      <w:bookmarkStart w:id="647" w:name="_Toc189393643"/>
      <w:r w:rsidRPr="003272F7">
        <w:t>3</w:t>
      </w:r>
      <w:r w:rsidR="00CD2998">
        <w:t>4</w:t>
      </w:r>
      <w:r w:rsidRPr="003272F7">
        <w:t>.1 Amendments and intent</w:t>
      </w:r>
      <w:bookmarkEnd w:id="644"/>
      <w:bookmarkEnd w:id="645"/>
      <w:bookmarkEnd w:id="646"/>
      <w:bookmarkEnd w:id="647"/>
    </w:p>
    <w:p w14:paraId="36696EC3" w14:textId="2D2B441B" w:rsidR="00463F7C" w:rsidRPr="00167CB8" w:rsidRDefault="00463F7C" w:rsidP="00463F7C">
      <w:pPr>
        <w:rPr>
          <w:rFonts w:cstheme="minorHAnsi"/>
          <w:lang w:val="en-US"/>
        </w:rPr>
      </w:pPr>
      <w:r w:rsidRPr="00167CB8">
        <w:rPr>
          <w:rFonts w:cstheme="minorHAnsi"/>
          <w:lang w:val="en-US"/>
        </w:rPr>
        <w:t xml:space="preserve">The main amendment to the Fair Work Act made by Part 25 of the </w:t>
      </w:r>
      <w:r w:rsidRPr="00167CB8">
        <w:rPr>
          <w:rFonts w:cstheme="minorHAnsi"/>
        </w:rPr>
        <w:t>Secure Jobs, Better Pay</w:t>
      </w:r>
      <w:r w:rsidRPr="00167CB8">
        <w:rPr>
          <w:rFonts w:cstheme="minorHAnsi"/>
          <w:lang w:val="en-US"/>
        </w:rPr>
        <w:t xml:space="preserve"> Act is the insertion of a new provision ‘about the obligations of national system employers in relation to advertising rates of pay’.</w:t>
      </w:r>
      <w:r w:rsidRPr="00167CB8">
        <w:rPr>
          <w:rStyle w:val="FootnoteReference"/>
          <w:rFonts w:cstheme="minorHAnsi"/>
          <w:lang w:val="en-US"/>
        </w:rPr>
        <w:footnoteReference w:id="1249"/>
      </w:r>
    </w:p>
    <w:p w14:paraId="05CB0F47" w14:textId="6FE08185" w:rsidR="00463F7C" w:rsidRPr="003272F7" w:rsidRDefault="00463F7C" w:rsidP="00365C93">
      <w:pPr>
        <w:pStyle w:val="Heading5"/>
      </w:pPr>
      <w:bookmarkStart w:id="648" w:name="_Toc187934211"/>
      <w:r w:rsidRPr="003272F7">
        <w:t>3</w:t>
      </w:r>
      <w:r w:rsidR="00CD2998">
        <w:t>4</w:t>
      </w:r>
      <w:r w:rsidRPr="003272F7">
        <w:t>.1.1 Secure Jobs, Better Pay amendments</w:t>
      </w:r>
      <w:bookmarkEnd w:id="648"/>
    </w:p>
    <w:p w14:paraId="5A15C180" w14:textId="12D5B09F" w:rsidR="00463F7C" w:rsidRPr="00167CB8" w:rsidRDefault="00463F7C" w:rsidP="00463F7C">
      <w:pPr>
        <w:rPr>
          <w:rFonts w:cstheme="minorHAnsi"/>
          <w:lang w:val="en-US"/>
        </w:rPr>
      </w:pPr>
      <w:r w:rsidRPr="00167CB8">
        <w:rPr>
          <w:rFonts w:cstheme="minorHAnsi"/>
          <w:lang w:val="en-US"/>
        </w:rPr>
        <w:t xml:space="preserve">The Secure Jobs, Better </w:t>
      </w:r>
      <w:r w:rsidRPr="00CD2998">
        <w:rPr>
          <w:rFonts w:cstheme="minorHAnsi"/>
          <w:lang w:val="en-US"/>
        </w:rPr>
        <w:t>Pay Act adds Division</w:t>
      </w:r>
      <w:r w:rsidRPr="00167CB8">
        <w:rPr>
          <w:rFonts w:cstheme="minorHAnsi"/>
          <w:lang w:val="en-US"/>
        </w:rPr>
        <w:t xml:space="preserve"> 4 (Employer obligations in relation to advertising rates of pay) to Part 3-6 of the Fair Work Act. There are </w:t>
      </w:r>
      <w:r w:rsidR="006A70DF">
        <w:rPr>
          <w:rFonts w:cstheme="minorHAnsi"/>
          <w:lang w:val="en-US"/>
        </w:rPr>
        <w:t>two</w:t>
      </w:r>
      <w:r w:rsidRPr="00167CB8">
        <w:rPr>
          <w:rFonts w:cstheme="minorHAnsi"/>
          <w:lang w:val="en-US"/>
        </w:rPr>
        <w:t xml:space="preserve"> key parts to this new division:</w:t>
      </w:r>
    </w:p>
    <w:p w14:paraId="0FAD39DF" w14:textId="77777777" w:rsidR="00463F7C" w:rsidRPr="00336C2C" w:rsidRDefault="00463F7C" w:rsidP="00336C2C">
      <w:pPr>
        <w:pStyle w:val="ListBullet"/>
        <w:numPr>
          <w:ilvl w:val="0"/>
          <w:numId w:val="4"/>
        </w:numPr>
      </w:pPr>
      <w:r w:rsidRPr="00336C2C">
        <w:t>Section 536AA(1) broadly provides that employers must not advertise employment with a rate of pay that contravenes the Fair Work Act or a fair work instrument.</w:t>
      </w:r>
    </w:p>
    <w:p w14:paraId="2E1B15E0" w14:textId="503E5AA1" w:rsidR="0011475D" w:rsidRPr="00336C2C" w:rsidRDefault="00463F7C" w:rsidP="00336C2C">
      <w:pPr>
        <w:pStyle w:val="ListBullet"/>
        <w:numPr>
          <w:ilvl w:val="0"/>
          <w:numId w:val="4"/>
        </w:numPr>
      </w:pPr>
      <w:r w:rsidRPr="00336C2C">
        <w:t xml:space="preserve">Section 536AA(2) broadly provides that advertisement of piecework must include any periodic rate of pay to which </w:t>
      </w:r>
      <w:r w:rsidR="006A70DF" w:rsidRPr="00336C2C">
        <w:t xml:space="preserve">the </w:t>
      </w:r>
      <w:r w:rsidRPr="00336C2C">
        <w:t>pieceworker is entitled.</w:t>
      </w:r>
    </w:p>
    <w:p w14:paraId="372BDE9C" w14:textId="77777777" w:rsidR="0011475D" w:rsidRPr="00336C2C" w:rsidRDefault="00463F7C" w:rsidP="00336C2C">
      <w:pPr>
        <w:pStyle w:val="ListBullet"/>
        <w:numPr>
          <w:ilvl w:val="0"/>
          <w:numId w:val="4"/>
        </w:numPr>
      </w:pPr>
      <w:r w:rsidRPr="00336C2C">
        <w:t>Sections 536AA(1) and (2) are civil remedy provisions. The Fair Work Ombudsman (FWO) can issue compliance notices requiring an employer to take specific action in relation to noncompliant advertisements, amongst other things.</w:t>
      </w:r>
      <w:r w:rsidRPr="00336C2C">
        <w:rPr>
          <w:vertAlign w:val="superscript"/>
        </w:rPr>
        <w:footnoteReference w:id="1250"/>
      </w:r>
    </w:p>
    <w:p w14:paraId="4C1DC5DB" w14:textId="6022EEB1" w:rsidR="00463F7C" w:rsidRPr="00336C2C" w:rsidRDefault="00463F7C" w:rsidP="00336C2C">
      <w:pPr>
        <w:pStyle w:val="ListBullet"/>
        <w:numPr>
          <w:ilvl w:val="0"/>
          <w:numId w:val="4"/>
        </w:numPr>
      </w:pPr>
      <w:r w:rsidRPr="00336C2C">
        <w:t>Section 536AA(3) includes reasonable excuse provisions. Section 536AA(1) and (2) do not apply if the employer has a reasonable excuse.</w:t>
      </w:r>
    </w:p>
    <w:p w14:paraId="2A4900C9" w14:textId="77777777" w:rsidR="0011475D" w:rsidRDefault="00463F7C" w:rsidP="00463F7C">
      <w:pPr>
        <w:rPr>
          <w:rFonts w:eastAsia="Aptos" w:cs="Calibri"/>
        </w:rPr>
      </w:pPr>
      <w:r w:rsidRPr="00167CB8">
        <w:rPr>
          <w:rFonts w:cs="Calibri"/>
          <w:lang w:val="en-US"/>
        </w:rPr>
        <w:t>It is important to note that</w:t>
      </w:r>
      <w:r w:rsidRPr="00167CB8">
        <w:rPr>
          <w:rFonts w:eastAsia="Aptos" w:cs="Calibri"/>
        </w:rPr>
        <w:t xml:space="preserve"> prohibitions only apply to employers that opt to specify a rate of pay in their advertising.</w:t>
      </w:r>
      <w:r w:rsidRPr="00167CB8">
        <w:rPr>
          <w:rStyle w:val="FootnoteReference"/>
          <w:rFonts w:eastAsia="Aptos" w:cs="Calibri"/>
        </w:rPr>
        <w:footnoteReference w:id="1251"/>
      </w:r>
      <w:r w:rsidRPr="00167CB8">
        <w:rPr>
          <w:rFonts w:eastAsia="Aptos" w:cs="Calibri"/>
        </w:rPr>
        <w:t xml:space="preserve"> It does not apply to publishers of employment advertisements (such as websites that host employment advertisements).</w:t>
      </w:r>
      <w:r w:rsidRPr="00167CB8">
        <w:rPr>
          <w:rStyle w:val="FootnoteReference"/>
          <w:rFonts w:eastAsia="Aptos" w:cs="Calibri"/>
        </w:rPr>
        <w:footnoteReference w:id="1252"/>
      </w:r>
    </w:p>
    <w:p w14:paraId="71C5AEC8" w14:textId="77777777" w:rsidR="0011475D" w:rsidRDefault="00463F7C" w:rsidP="00463F7C">
      <w:pPr>
        <w:rPr>
          <w:rFonts w:cstheme="minorHAnsi"/>
          <w:lang w:val="en-US"/>
        </w:rPr>
      </w:pPr>
      <w:r w:rsidRPr="00167CB8">
        <w:rPr>
          <w:rFonts w:cstheme="minorHAnsi"/>
          <w:lang w:val="en-US"/>
        </w:rPr>
        <w:t>These amendments came into effect on 7 December 2022</w:t>
      </w:r>
      <w:r>
        <w:rPr>
          <w:rStyle w:val="FootnoteReference"/>
          <w:rFonts w:cstheme="minorHAnsi"/>
          <w:lang w:val="en-US"/>
        </w:rPr>
        <w:footnoteReference w:id="1253"/>
      </w:r>
      <w:r w:rsidRPr="00167CB8">
        <w:rPr>
          <w:rFonts w:cstheme="minorHAnsi"/>
          <w:lang w:val="en-US"/>
        </w:rPr>
        <w:t xml:space="preserve"> and apply to jobs being advertised on or after 7 January 2023, regardless of when the advertisement was originally posted.</w:t>
      </w:r>
      <w:r w:rsidRPr="00167CB8">
        <w:rPr>
          <w:rFonts w:cstheme="minorHAnsi"/>
          <w:vertAlign w:val="superscript"/>
          <w:lang w:val="en-US"/>
        </w:rPr>
        <w:footnoteReference w:id="1254"/>
      </w:r>
    </w:p>
    <w:p w14:paraId="587B0810" w14:textId="722E3DBA" w:rsidR="00463F7C" w:rsidRPr="00295D95" w:rsidRDefault="00463F7C" w:rsidP="00365C93">
      <w:pPr>
        <w:pStyle w:val="Heading5"/>
      </w:pPr>
      <w:bookmarkStart w:id="649" w:name="_Toc187934212"/>
      <w:r w:rsidRPr="00295D95">
        <w:t>3</w:t>
      </w:r>
      <w:r w:rsidR="00CD2998">
        <w:t>4</w:t>
      </w:r>
      <w:r w:rsidRPr="00295D95">
        <w:t>.1.2 Intent of Secure Jobs, Better Pay amendments</w:t>
      </w:r>
      <w:bookmarkEnd w:id="649"/>
    </w:p>
    <w:p w14:paraId="02F12B8D" w14:textId="77777777" w:rsidR="00463F7C" w:rsidRPr="00167CB8" w:rsidRDefault="00463F7C" w:rsidP="00463F7C">
      <w:pPr>
        <w:rPr>
          <w:lang w:val="en-US"/>
        </w:rPr>
      </w:pPr>
      <w:r>
        <w:rPr>
          <w:lang w:val="en-US"/>
        </w:rPr>
        <w:t>The Revised Explanatory Memorandum mentions that the</w:t>
      </w:r>
      <w:r w:rsidRPr="00167CB8">
        <w:rPr>
          <w:lang w:val="en-US"/>
        </w:rPr>
        <w:t xml:space="preserve"> prohibitions on offering employment with rates of pay that are below the Fair Work Act or a fair work instrument are intended to reduce worker exploitation and reduce unintentional underpayments:</w:t>
      </w:r>
      <w:r w:rsidRPr="00167CB8">
        <w:rPr>
          <w:rStyle w:val="FootnoteReference"/>
        </w:rPr>
        <w:footnoteReference w:id="1255"/>
      </w:r>
    </w:p>
    <w:p w14:paraId="79207C9D" w14:textId="77777777" w:rsidR="00463F7C" w:rsidRPr="00167CB8" w:rsidRDefault="00463F7C" w:rsidP="00250AD1">
      <w:pPr>
        <w:pStyle w:val="Quote"/>
      </w:pPr>
      <w:r w:rsidRPr="00167CB8">
        <w:lastRenderedPageBreak/>
        <w:t>The proposed prohibition on advertising employment opportunities at below minimum wages is also aimed at reducing worker exploitation. It would send a clear message to employers that they must verify the correct entitlements prior to advertising. It would help promote a culture of compliance with industrial relations laws by encouraging employers to consider their workplace obligations before hiring employees, which should help to reduce unintentional underpayments of employees.</w:t>
      </w:r>
    </w:p>
    <w:p w14:paraId="6E597C4F" w14:textId="2D39D3AB" w:rsidR="00463F7C" w:rsidRPr="00167CB8" w:rsidRDefault="00463F7C" w:rsidP="00463F7C">
      <w:r w:rsidRPr="396ABCA7">
        <w:t xml:space="preserve">The amendments </w:t>
      </w:r>
      <w:r w:rsidRPr="00CD2998">
        <w:t xml:space="preserve">implement a previous recommendation from the 2018 report of the Migrant Workers’ Taskforce (MWTF). </w:t>
      </w:r>
      <w:r w:rsidR="006A70DF" w:rsidRPr="00CD2998">
        <w:t xml:space="preserve">MWTF </w:t>
      </w:r>
      <w:r w:rsidRPr="00CD2998" w:rsidDel="006A70DF">
        <w:t>r</w:t>
      </w:r>
      <w:r w:rsidRPr="00CD2998">
        <w:t>ecommendation</w:t>
      </w:r>
      <w:r w:rsidRPr="396ABCA7">
        <w:t xml:space="preserve"> 4</w:t>
      </w:r>
      <w:r w:rsidRPr="396ABCA7" w:rsidDel="006A70DF">
        <w:t xml:space="preserve"> </w:t>
      </w:r>
      <w:r w:rsidR="006A70DF">
        <w:t xml:space="preserve">was </w:t>
      </w:r>
      <w:r w:rsidRPr="396ABCA7">
        <w:t>that ‘legislation be amended to prohibit persons from advertising jobs with pay rates that would breach the Fair Work Act 2009’.</w:t>
      </w:r>
      <w:r w:rsidRPr="396ABCA7">
        <w:rPr>
          <w:rStyle w:val="FootnoteReference"/>
        </w:rPr>
        <w:footnoteReference w:id="1256"/>
      </w:r>
      <w:r w:rsidRPr="396ABCA7">
        <w:t xml:space="preserve"> Professor Fels and Mr Cousins (Chair and Deputy Chair, respectively, of the MWTF) noted that:</w:t>
      </w:r>
      <w:r w:rsidRPr="396ABCA7">
        <w:rPr>
          <w:rStyle w:val="FootnoteReference"/>
        </w:rPr>
        <w:footnoteReference w:id="1257"/>
      </w:r>
    </w:p>
    <w:p w14:paraId="7A02DB68" w14:textId="77777777" w:rsidR="00463F7C" w:rsidRPr="00167CB8" w:rsidRDefault="00463F7C" w:rsidP="00250AD1">
      <w:pPr>
        <w:pStyle w:val="Quote"/>
      </w:pPr>
      <w:r w:rsidRPr="00167CB8">
        <w:t>Whilst it is a breach of the law to under-pay, it is not necessarily a breach of the law to advertise a job at a pay rate which is below award conditions. The Taskforce considered this should be readily fixed by legislative change.</w:t>
      </w:r>
    </w:p>
    <w:p w14:paraId="7B9C5F40" w14:textId="35BCD534" w:rsidR="0011475D" w:rsidRDefault="00463F7C" w:rsidP="00463F7C">
      <w:r w:rsidRPr="00167CB8">
        <w:rPr>
          <w:lang w:val="en-US"/>
        </w:rPr>
        <w:t>The amendments also address recommendation 2 of the Senate Economics References Committee inquiry into unlawful underpayments of employees’ remuneration</w:t>
      </w:r>
      <w:r w:rsidRPr="00167CB8">
        <w:t>.</w:t>
      </w:r>
      <w:r w:rsidRPr="00167CB8">
        <w:rPr>
          <w:rStyle w:val="FootnoteReference"/>
        </w:rPr>
        <w:footnoteReference w:id="1258"/>
      </w:r>
      <w:r w:rsidRPr="00167CB8">
        <w:t xml:space="preserve"> Among other things, recommendation 2 provided that the Australian Government amend the </w:t>
      </w:r>
      <w:r w:rsidRPr="000351C3">
        <w:t>Fair Work Act</w:t>
      </w:r>
      <w:r w:rsidRPr="00167CB8">
        <w:rPr>
          <w:i/>
          <w:iCs/>
        </w:rPr>
        <w:t xml:space="preserve"> </w:t>
      </w:r>
      <w:r w:rsidRPr="00167CB8">
        <w:t>to ‘make it an offence for employers to advertise employment with a rate of pay less than the national minimum wage’.</w:t>
      </w:r>
      <w:r w:rsidRPr="00167CB8">
        <w:rPr>
          <w:rStyle w:val="FootnoteReference"/>
        </w:rPr>
        <w:footnoteReference w:id="1259"/>
      </w:r>
    </w:p>
    <w:p w14:paraId="7D77C21F" w14:textId="7D9C98BC" w:rsidR="00463F7C" w:rsidRPr="00167CB8" w:rsidRDefault="00463F7C" w:rsidP="00463F7C">
      <w:pPr>
        <w:spacing w:after="0"/>
        <w:rPr>
          <w:lang w:val="en-US"/>
        </w:rPr>
      </w:pPr>
      <w:r w:rsidRPr="00167CB8">
        <w:rPr>
          <w:lang w:val="en-US"/>
        </w:rPr>
        <w:t>The amendments were also made in the context of a Unions NSW 2020 report (</w:t>
      </w:r>
      <w:r w:rsidRPr="00167CB8">
        <w:rPr>
          <w:i/>
          <w:iCs/>
          <w:lang w:val="en-US"/>
        </w:rPr>
        <w:t>Wage Theft: The Shadow Market</w:t>
      </w:r>
      <w:r w:rsidRPr="00167CB8">
        <w:rPr>
          <w:lang w:val="en-US"/>
        </w:rPr>
        <w:t>) highlighting the pervasive exploitation of migrant workers and revealing that a significant number of job advertisements in foreign languages offered wages which were below the legal minimum.</w:t>
      </w:r>
      <w:r w:rsidRPr="00167CB8">
        <w:rPr>
          <w:rStyle w:val="FootnoteReference"/>
          <w:lang w:val="en-US"/>
        </w:rPr>
        <w:footnoteReference w:id="1260"/>
      </w:r>
    </w:p>
    <w:p w14:paraId="765F1798" w14:textId="1B6418F0" w:rsidR="00463F7C" w:rsidRPr="000351C3" w:rsidRDefault="00463F7C" w:rsidP="00365C93">
      <w:pPr>
        <w:pStyle w:val="Heading4"/>
      </w:pPr>
      <w:bookmarkStart w:id="650" w:name="_Toc187934213"/>
      <w:bookmarkStart w:id="651" w:name="_Toc188278041"/>
      <w:bookmarkStart w:id="652" w:name="_Toc189260328"/>
      <w:bookmarkStart w:id="653" w:name="_Toc189393644"/>
      <w:r w:rsidRPr="000351C3">
        <w:t>3</w:t>
      </w:r>
      <w:r w:rsidR="00CD2998">
        <w:t>4</w:t>
      </w:r>
      <w:r w:rsidRPr="000351C3">
        <w:t>.2 Impact and issues</w:t>
      </w:r>
      <w:bookmarkEnd w:id="650"/>
      <w:bookmarkEnd w:id="651"/>
      <w:bookmarkEnd w:id="652"/>
      <w:bookmarkEnd w:id="653"/>
    </w:p>
    <w:p w14:paraId="391917A2" w14:textId="77777777" w:rsidR="00463F7C" w:rsidRPr="00167CB8" w:rsidRDefault="00463F7C" w:rsidP="00463F7C">
      <w:r w:rsidRPr="00167CB8">
        <w:t>The following summarises the data and information considered by the Review Panel when evaluating the amendments discussed above.</w:t>
      </w:r>
    </w:p>
    <w:p w14:paraId="12AC6D9B" w14:textId="0247E62B" w:rsidR="00463F7C" w:rsidRPr="00F5386E" w:rsidRDefault="00463F7C" w:rsidP="00365C93">
      <w:pPr>
        <w:pStyle w:val="Heading5"/>
      </w:pPr>
      <w:bookmarkStart w:id="654" w:name="_Toc187934214"/>
      <w:r w:rsidRPr="00F5386E">
        <w:t>3</w:t>
      </w:r>
      <w:r w:rsidR="00CD2998">
        <w:t>4</w:t>
      </w:r>
      <w:r w:rsidRPr="00F5386E">
        <w:t>.2.1 Quantitative evidence</w:t>
      </w:r>
      <w:bookmarkEnd w:id="654"/>
    </w:p>
    <w:p w14:paraId="4FD4AE6D" w14:textId="77777777" w:rsidR="0011475D" w:rsidRDefault="00463F7C" w:rsidP="00463F7C">
      <w:r w:rsidRPr="396ABCA7">
        <w:t xml:space="preserve">The data reported in this section is in relation to the activities of the FWO. The FWO is responsible for compliance and enforcement of the prohibition of employment advertisements </w:t>
      </w:r>
      <w:r w:rsidRPr="396ABCA7">
        <w:lastRenderedPageBreak/>
        <w:t>with illegal rates of pay. If the FWO found an employer advertising a job with pay below the minimum it could, for instance:</w:t>
      </w:r>
    </w:p>
    <w:p w14:paraId="18EC9468" w14:textId="485DC17D" w:rsidR="00463F7C" w:rsidRPr="00167CB8" w:rsidRDefault="00463F7C" w:rsidP="00336C2C">
      <w:pPr>
        <w:pStyle w:val="ListBullet"/>
        <w:numPr>
          <w:ilvl w:val="0"/>
          <w:numId w:val="4"/>
        </w:numPr>
      </w:pPr>
      <w:r w:rsidRPr="00167CB8">
        <w:t>issue a compliance notice</w:t>
      </w:r>
    </w:p>
    <w:p w14:paraId="47060803" w14:textId="77777777" w:rsidR="00463F7C" w:rsidRPr="00167CB8" w:rsidRDefault="00463F7C" w:rsidP="00336C2C">
      <w:pPr>
        <w:pStyle w:val="ListBullet"/>
        <w:numPr>
          <w:ilvl w:val="0"/>
          <w:numId w:val="4"/>
        </w:numPr>
      </w:pPr>
      <w:r w:rsidRPr="00167CB8">
        <w:t>impose an infringement notice</w:t>
      </w:r>
    </w:p>
    <w:p w14:paraId="4D6E37B3" w14:textId="77777777" w:rsidR="00463F7C" w:rsidRPr="00167CB8" w:rsidRDefault="00463F7C" w:rsidP="00336C2C">
      <w:pPr>
        <w:pStyle w:val="ListBullet"/>
        <w:numPr>
          <w:ilvl w:val="0"/>
          <w:numId w:val="4"/>
        </w:numPr>
      </w:pPr>
      <w:r w:rsidRPr="00167CB8">
        <w:t>seek court penalties</w:t>
      </w:r>
    </w:p>
    <w:p w14:paraId="2E13E0F9" w14:textId="77777777" w:rsidR="0011475D" w:rsidRDefault="00463F7C" w:rsidP="00336C2C">
      <w:pPr>
        <w:pStyle w:val="ListBullet"/>
        <w:numPr>
          <w:ilvl w:val="0"/>
          <w:numId w:val="4"/>
        </w:numPr>
      </w:pPr>
      <w:r w:rsidRPr="396ABCA7">
        <w:t>educate the employer about the prohibition.</w:t>
      </w:r>
      <w:r w:rsidRPr="00336C2C">
        <w:rPr>
          <w:vertAlign w:val="superscript"/>
        </w:rPr>
        <w:footnoteReference w:id="1261"/>
      </w:r>
    </w:p>
    <w:p w14:paraId="122F1FB3" w14:textId="38FF1D4D" w:rsidR="00463F7C" w:rsidRPr="00167CB8" w:rsidRDefault="00463F7C" w:rsidP="00463F7C">
      <w:r w:rsidRPr="00167CB8">
        <w:t>The amendments, as noted, came into effect on 7 December 2022 and apply to jobs being advertised on or after 7 January 2023.</w:t>
      </w:r>
    </w:p>
    <w:p w14:paraId="76A6AD20" w14:textId="77777777" w:rsidR="0011475D" w:rsidRDefault="00463F7C" w:rsidP="00463F7C">
      <w:r w:rsidRPr="00BD5AE5">
        <w:t>Data provided from the FWO to the Review indicates that, from 7 January 2023 to 31 December 2024, the FWO issued 300 infringement notices to employers contravening the Act provisions on job advertisements.</w:t>
      </w:r>
    </w:p>
    <w:p w14:paraId="6909B176" w14:textId="66D6A1FA" w:rsidR="0011475D" w:rsidRDefault="00463F7C" w:rsidP="00463F7C">
      <w:r w:rsidRPr="396ABCA7">
        <w:t>Part of the role of the FWO is to provide education around workplace entitlements and employer obligations</w:t>
      </w:r>
      <w:r w:rsidR="006A70DF">
        <w:t>,</w:t>
      </w:r>
      <w:r w:rsidRPr="396ABCA7">
        <w:t xml:space="preserve"> and its web page on ‘Job ads’</w:t>
      </w:r>
      <w:r w:rsidRPr="396ABCA7">
        <w:rPr>
          <w:rStyle w:val="FootnoteReference"/>
        </w:rPr>
        <w:footnoteReference w:id="1262"/>
      </w:r>
      <w:r w:rsidRPr="396ABCA7">
        <w:t xml:space="preserve"> includes an example of a job advertisement template for employers. This includes specific information on rules about what cannot be included in job ads, including ensuring pay rates do not breach the Act or a fair work instrument. The template also includes a link to the FWO ‘Pay and Conditions Tool’.</w:t>
      </w:r>
      <w:r w:rsidRPr="396ABCA7">
        <w:rPr>
          <w:rStyle w:val="FootnoteReference"/>
        </w:rPr>
        <w:footnoteReference w:id="1263"/>
      </w:r>
    </w:p>
    <w:p w14:paraId="59CD68E1" w14:textId="4BAA8DAB" w:rsidR="00463F7C" w:rsidRPr="00BD5AE5" w:rsidRDefault="00463F7C" w:rsidP="00463F7C">
      <w:r w:rsidRPr="00BD5AE5">
        <w:t>The data provided from the FWO to the Review indicates their job ads web page was viewed over 20,000 times between 2022</w:t>
      </w:r>
      <w:r w:rsidRPr="00BD5AE5">
        <w:rPr>
          <w:rFonts w:ascii="Symbol" w:eastAsia="Symbol" w:hAnsi="Symbol" w:cs="Symbol"/>
        </w:rPr>
        <w:t>-</w:t>
      </w:r>
      <w:r w:rsidRPr="00BD5AE5">
        <w:t>23 and 31 December 2024.</w:t>
      </w:r>
    </w:p>
    <w:p w14:paraId="383D5934" w14:textId="77777777" w:rsidR="00463F7C" w:rsidRPr="00167CB8" w:rsidRDefault="00463F7C" w:rsidP="00463F7C">
      <w:r w:rsidRPr="396ABCA7">
        <w:t>Members of the public, including employees, may report breaches of the Fair Work Act to the FWO. The FWO website sets out the information required when reporting an incident and explains that reporting may be done anonymously.</w:t>
      </w:r>
      <w:r w:rsidRPr="396ABCA7">
        <w:rPr>
          <w:rStyle w:val="FootnoteReference"/>
        </w:rPr>
        <w:footnoteReference w:id="1264"/>
      </w:r>
      <w:r w:rsidRPr="396ABCA7">
        <w:t xml:space="preserve"> Workers may also contact the FWO for direct help or questions on their workplace entitlements.</w:t>
      </w:r>
    </w:p>
    <w:p w14:paraId="2493F516" w14:textId="3CD53830" w:rsidR="00463F7C" w:rsidRPr="00167CB8" w:rsidRDefault="00463F7C" w:rsidP="00463F7C">
      <w:r w:rsidRPr="00BD5AE5">
        <w:t xml:space="preserve">The FWO data also indicates that they provided assistance in response to </w:t>
      </w:r>
      <w:r w:rsidR="006A70DF">
        <w:t>two</w:t>
      </w:r>
      <w:r w:rsidRPr="00BD5AE5">
        <w:t xml:space="preserve"> requests regarding these provisions.</w:t>
      </w:r>
      <w:r w:rsidRPr="396ABCA7">
        <w:t xml:space="preserve"> However, they did not provide details of how many anonymous reports were received </w:t>
      </w:r>
      <w:r w:rsidR="006A70DF">
        <w:rPr>
          <w:rFonts w:ascii="Symbol" w:eastAsia="Symbol" w:hAnsi="Symbol" w:cs="Symbol"/>
        </w:rPr>
        <w:sym w:font="Symbol" w:char="F02D"/>
      </w:r>
      <w:r w:rsidR="006A70DF">
        <w:t xml:space="preserve"> that number </w:t>
      </w:r>
      <w:r w:rsidRPr="396ABCA7">
        <w:t>may be substantially higher.</w:t>
      </w:r>
    </w:p>
    <w:p w14:paraId="5B2E149F" w14:textId="42EDED1D" w:rsidR="00463F7C" w:rsidRPr="00F5386E" w:rsidRDefault="00463F7C" w:rsidP="006A70DF">
      <w:pPr>
        <w:pStyle w:val="Heading5"/>
      </w:pPr>
      <w:bookmarkStart w:id="655" w:name="_Toc187934215"/>
      <w:r w:rsidRPr="00F5386E">
        <w:t>3</w:t>
      </w:r>
      <w:r w:rsidR="00CD2998">
        <w:t>4</w:t>
      </w:r>
      <w:r w:rsidRPr="00F5386E">
        <w:t>.2.2 Qualitative evidence</w:t>
      </w:r>
      <w:bookmarkEnd w:id="655"/>
    </w:p>
    <w:p w14:paraId="11DA0A7B" w14:textId="77777777" w:rsidR="00463F7C" w:rsidRPr="00167CB8" w:rsidRDefault="00463F7C" w:rsidP="00463F7C">
      <w:r w:rsidRPr="00167CB8">
        <w:t>The Review Panel is not aware of any other significant qualitative evidence in relation to these amendments.</w:t>
      </w:r>
    </w:p>
    <w:p w14:paraId="74D0C7AE" w14:textId="295561AA" w:rsidR="00463F7C" w:rsidRPr="00F5386E" w:rsidRDefault="00463F7C" w:rsidP="006A70DF">
      <w:pPr>
        <w:pStyle w:val="Heading5"/>
      </w:pPr>
      <w:bookmarkStart w:id="656" w:name="_Toc187934216"/>
      <w:r w:rsidRPr="00F5386E">
        <w:t>3</w:t>
      </w:r>
      <w:r w:rsidR="00CD2998">
        <w:t>4</w:t>
      </w:r>
      <w:r w:rsidRPr="00F5386E">
        <w:t>.2.3 Stakeholder views</w:t>
      </w:r>
      <w:bookmarkEnd w:id="656"/>
    </w:p>
    <w:p w14:paraId="653C60BF" w14:textId="45F4122E" w:rsidR="0011475D" w:rsidRDefault="00463F7C" w:rsidP="00E54572">
      <w:r w:rsidRPr="396ABCA7">
        <w:t xml:space="preserve">The Australian Chamber of Commerce and Industry (ACCI) raised concerns in </w:t>
      </w:r>
      <w:r w:rsidR="006A70DF">
        <w:t xml:space="preserve">its </w:t>
      </w:r>
      <w:r w:rsidRPr="396ABCA7">
        <w:t xml:space="preserve">submissions about job advertising platforms. ACCI noted that some pay discrepancies in job advertisements occur because platforms pre-fill pay ranges. </w:t>
      </w:r>
      <w:r w:rsidR="006A70DF">
        <w:t>ACCI</w:t>
      </w:r>
      <w:r w:rsidRPr="396ABCA7" w:rsidDel="00CD2998">
        <w:t xml:space="preserve"> </w:t>
      </w:r>
      <w:r w:rsidR="00CD2998">
        <w:t xml:space="preserve">suggested </w:t>
      </w:r>
      <w:r w:rsidRPr="396ABCA7">
        <w:t>that platforms such as SEEK could improve their interfaces to allow manual input of pay rates and reduce the risk of errors.</w:t>
      </w:r>
      <w:r w:rsidRPr="396ABCA7">
        <w:rPr>
          <w:rStyle w:val="FootnoteReference"/>
        </w:rPr>
        <w:footnoteReference w:id="1265"/>
      </w:r>
    </w:p>
    <w:p w14:paraId="15154701" w14:textId="7547F985" w:rsidR="00463F7C" w:rsidRPr="00167CB8" w:rsidRDefault="00463F7C" w:rsidP="006A70DF">
      <w:r w:rsidRPr="396ABCA7">
        <w:lastRenderedPageBreak/>
        <w:t>Ai Group raised no issues with these amendments but asserted that ‘the Government should devote resources to ensuring that there are appropriate public education initiatives implemented to ensure that the new obligations widely known, including initiatives that are communicated in a variety of different community languages’.</w:t>
      </w:r>
      <w:r w:rsidRPr="396ABCA7">
        <w:rPr>
          <w:rStyle w:val="FootnoteReference"/>
        </w:rPr>
        <w:footnoteReference w:id="1266"/>
      </w:r>
    </w:p>
    <w:p w14:paraId="50CB5316" w14:textId="1ADAB6A8" w:rsidR="0011475D" w:rsidRDefault="00463F7C" w:rsidP="006A70DF">
      <w:r w:rsidRPr="00167CB8">
        <w:t>Clubs Australia</w:t>
      </w:r>
      <w:r w:rsidRPr="00167CB8">
        <w:rPr>
          <w:rStyle w:val="FootnoteReference"/>
        </w:rPr>
        <w:footnoteReference w:id="1267"/>
      </w:r>
      <w:r w:rsidRPr="00167CB8">
        <w:t xml:space="preserve"> expressed concerns about the amendments. </w:t>
      </w:r>
      <w:r w:rsidR="006A70DF">
        <w:t xml:space="preserve">It </w:t>
      </w:r>
      <w:r w:rsidRPr="00167CB8">
        <w:t>highlighted the risk that clubs might unintentionally breach the law when advertising roles. For example, a club might advertise a part-time position with a legally compliant wage rate but later decide to hire a casual employee instead. If a casual loading had not been included in the original advertisement, this could potentially be a breach of the Act.</w:t>
      </w:r>
    </w:p>
    <w:p w14:paraId="4F259108" w14:textId="77777777" w:rsidR="0011475D" w:rsidRDefault="00463F7C" w:rsidP="006A70DF">
      <w:r w:rsidRPr="396ABCA7">
        <w:t>Clubs Australia and the Australian Retailers Association</w:t>
      </w:r>
      <w:r w:rsidRPr="396ABCA7">
        <w:rPr>
          <w:rStyle w:val="FootnoteReference"/>
        </w:rPr>
        <w:footnoteReference w:id="1268"/>
      </w:r>
      <w:r w:rsidRPr="396ABCA7">
        <w:t xml:space="preserve"> noted that they had not experienced any issues yet but indicated some concerns about the potential liability of employers.</w:t>
      </w:r>
      <w:r w:rsidRPr="396ABCA7">
        <w:rPr>
          <w:rStyle w:val="FootnoteReference"/>
        </w:rPr>
        <w:footnoteReference w:id="1269"/>
      </w:r>
    </w:p>
    <w:p w14:paraId="5DA043D7" w14:textId="575118E1" w:rsidR="00463F7C" w:rsidRPr="00167CB8" w:rsidRDefault="00463F7C" w:rsidP="006A70DF">
      <w:r w:rsidRPr="396ABCA7">
        <w:t>The Australian Council of Trade Unions (ACTU)</w:t>
      </w:r>
      <w:r w:rsidRPr="396ABCA7">
        <w:rPr>
          <w:rStyle w:val="FootnoteReference"/>
        </w:rPr>
        <w:footnoteReference w:id="1270"/>
      </w:r>
      <w:r w:rsidRPr="396ABCA7">
        <w:t xml:space="preserve"> and the Employment Rights Legal Service (ERLS)</w:t>
      </w:r>
      <w:r w:rsidRPr="396ABCA7">
        <w:rPr>
          <w:rStyle w:val="FootnoteReference"/>
        </w:rPr>
        <w:footnoteReference w:id="1271"/>
      </w:r>
      <w:r w:rsidRPr="396ABCA7">
        <w:t xml:space="preserve"> strongly support</w:t>
      </w:r>
      <w:r w:rsidR="006A70DF">
        <w:t>ed</w:t>
      </w:r>
      <w:r w:rsidRPr="396ABCA7">
        <w:t xml:space="preserve"> the amendments, although the ERLS contend</w:t>
      </w:r>
      <w:r w:rsidR="006A70DF">
        <w:t>ed</w:t>
      </w:r>
      <w:r w:rsidRPr="396ABCA7">
        <w:t xml:space="preserve"> that the reforms do not go far enough. </w:t>
      </w:r>
      <w:r w:rsidR="00CD2998">
        <w:t xml:space="preserve">Its </w:t>
      </w:r>
      <w:r w:rsidRPr="396ABCA7">
        <w:t>particular concern relate</w:t>
      </w:r>
      <w:r w:rsidR="006A70DF">
        <w:t>d</w:t>
      </w:r>
      <w:r w:rsidRPr="396ABCA7">
        <w:t xml:space="preserve"> to ‘closed’ environments (e.g. WhatsApp) which are used by many young people, migrant workers and vulnerable workers when searching for work. </w:t>
      </w:r>
      <w:r w:rsidR="00CD2998">
        <w:t>It</w:t>
      </w:r>
      <w:r w:rsidR="00CD2998" w:rsidRPr="396ABCA7">
        <w:t xml:space="preserve"> </w:t>
      </w:r>
      <w:r w:rsidRPr="396ABCA7">
        <w:t>note</w:t>
      </w:r>
      <w:r w:rsidR="006A70DF">
        <w:t>d</w:t>
      </w:r>
      <w:r w:rsidRPr="396ABCA7">
        <w:t xml:space="preserve"> that s 536AA may ‘inadvertently encourage employers to advertise employment in “closed” environments (for example, private social media groups and message boards, e.g., WhatsApp) in order to evade detection, or to decline to advertise any specific rate </w:t>
      </w:r>
      <w:r w:rsidRPr="00CD2998">
        <w:t>of pay’.</w:t>
      </w:r>
      <w:r w:rsidR="00C36633" w:rsidRPr="396ABCA7">
        <w:rPr>
          <w:rStyle w:val="FootnoteReference"/>
        </w:rPr>
        <w:footnoteReference w:id="1272"/>
      </w:r>
    </w:p>
    <w:p w14:paraId="68577EBF" w14:textId="0B44E5E2" w:rsidR="00463F7C" w:rsidRPr="00167CB8" w:rsidRDefault="00463F7C" w:rsidP="006A70DF">
      <w:r w:rsidRPr="396ABCA7">
        <w:t>The Finance Sector Union also asserted that there ‘has been an increasing trend in the advertising of job vacancies to advertise roles without pay rates attached’</w:t>
      </w:r>
      <w:r w:rsidR="006A70DF">
        <w:t>.</w:t>
      </w:r>
      <w:r w:rsidRPr="396ABCA7">
        <w:rPr>
          <w:rStyle w:val="FootnoteReference"/>
        </w:rPr>
        <w:footnoteReference w:id="1273"/>
      </w:r>
      <w:r w:rsidRPr="396ABCA7">
        <w:t xml:space="preserve"> It recommended the ‘government introduce salary range transparency legislation and/or regulations to require employers to disclose salary ranges in every job advertised’.</w:t>
      </w:r>
      <w:r w:rsidRPr="396ABCA7">
        <w:rPr>
          <w:rStyle w:val="FootnoteReference"/>
        </w:rPr>
        <w:footnoteReference w:id="1274"/>
      </w:r>
    </w:p>
    <w:p w14:paraId="7FA657F3" w14:textId="3DFA3752" w:rsidR="00463F7C" w:rsidRPr="001E5BE1" w:rsidRDefault="00463F7C" w:rsidP="009439D5">
      <w:pPr>
        <w:rPr>
          <w:rFonts w:eastAsia="Times New Roman"/>
        </w:rPr>
      </w:pPr>
      <w:r w:rsidRPr="00BD5AE5">
        <w:rPr>
          <w:rFonts w:eastAsia="Times New Roman" w:cs="Calibri"/>
          <w:lang w:eastAsia="en-AU"/>
        </w:rPr>
        <w:t xml:space="preserve">The Review Panel consulted stakeholders about its proposed findings and recommendations. </w:t>
      </w:r>
      <w:r w:rsidRPr="00BD5AE5">
        <w:t>Most stakeholders supported a recommendation about ensuring that all job advertisements include accurate and lawful information, but there were mixed views about any suggestion to require employers to advertise their rates of pay.</w:t>
      </w:r>
      <w:r w:rsidRPr="00BD5AE5">
        <w:rPr>
          <w:rStyle w:val="FootnoteReference"/>
          <w:rFonts w:eastAsia="Times New Roman"/>
        </w:rPr>
        <w:footnoteReference w:id="1275"/>
      </w:r>
      <w:r w:rsidRPr="00BD5AE5">
        <w:rPr>
          <w:rFonts w:eastAsia="Times New Roman"/>
        </w:rPr>
        <w:t xml:space="preserve"> </w:t>
      </w:r>
      <w:r w:rsidRPr="00BD5AE5">
        <w:rPr>
          <w:rFonts w:cstheme="minorHAnsi"/>
        </w:rPr>
        <w:t xml:space="preserve">Ai Group suggested a focus on </w:t>
      </w:r>
      <w:r w:rsidR="006A70DF">
        <w:rPr>
          <w:rFonts w:cstheme="minorHAnsi"/>
        </w:rPr>
        <w:t>‘</w:t>
      </w:r>
      <w:r w:rsidRPr="00BD5AE5">
        <w:rPr>
          <w:rFonts w:cstheme="minorHAnsi"/>
        </w:rPr>
        <w:t>reliable sources of information or advice</w:t>
      </w:r>
      <w:r w:rsidR="006A70DF">
        <w:rPr>
          <w:rFonts w:cstheme="minorHAnsi"/>
        </w:rPr>
        <w:t>’</w:t>
      </w:r>
      <w:r w:rsidRPr="00BD5AE5">
        <w:rPr>
          <w:rFonts w:cstheme="minorHAnsi"/>
        </w:rPr>
        <w:t xml:space="preserve"> as set out in Item 9 of the Voluntary Small Business Wage Compliance Code (which includes information provided by employer associations), as well as on low</w:t>
      </w:r>
      <w:r w:rsidR="006A70DF">
        <w:rPr>
          <w:rFonts w:cstheme="minorHAnsi"/>
        </w:rPr>
        <w:t>-</w:t>
      </w:r>
      <w:r w:rsidRPr="00BD5AE5">
        <w:rPr>
          <w:rFonts w:cstheme="minorHAnsi"/>
        </w:rPr>
        <w:t>paid work.</w:t>
      </w:r>
      <w:r w:rsidRPr="00BD5AE5">
        <w:rPr>
          <w:rStyle w:val="FootnoteReference"/>
          <w:rFonts w:cstheme="minorHAnsi"/>
        </w:rPr>
        <w:footnoteReference w:id="1276"/>
      </w:r>
      <w:r w:rsidRPr="00BD5AE5">
        <w:rPr>
          <w:rFonts w:cstheme="minorHAnsi"/>
        </w:rPr>
        <w:t xml:space="preserve"> </w:t>
      </w:r>
      <w:r w:rsidRPr="00BD5AE5">
        <w:rPr>
          <w:rFonts w:eastAsia="Times New Roman" w:cs="Times New Roman"/>
          <w:color w:val="000000"/>
          <w:lang w:eastAsia="en-AU"/>
        </w:rPr>
        <w:t>Professor Charlesworth also made suggestions about providing employees with better information.</w:t>
      </w:r>
      <w:r w:rsidRPr="00BD5AE5">
        <w:rPr>
          <w:rStyle w:val="FootnoteReference"/>
          <w:rFonts w:eastAsia="Times New Roman" w:cs="Times New Roman"/>
          <w:color w:val="000000"/>
          <w:lang w:eastAsia="en-AU"/>
        </w:rPr>
        <w:footnoteReference w:id="1277"/>
      </w:r>
    </w:p>
    <w:p w14:paraId="2B88FB11" w14:textId="73F195DA" w:rsidR="00463F7C" w:rsidRPr="00E23172" w:rsidRDefault="00463F7C" w:rsidP="006A70DF">
      <w:pPr>
        <w:pStyle w:val="Heading4"/>
      </w:pPr>
      <w:bookmarkStart w:id="657" w:name="_Toc187934217"/>
      <w:bookmarkStart w:id="658" w:name="_Toc188278042"/>
      <w:bookmarkStart w:id="659" w:name="_Toc189260329"/>
      <w:bookmarkStart w:id="660" w:name="_Toc189393645"/>
      <w:r w:rsidRPr="009439D5">
        <w:lastRenderedPageBreak/>
        <w:t>3</w:t>
      </w:r>
      <w:r w:rsidR="00CD2998">
        <w:t>4</w:t>
      </w:r>
      <w:r w:rsidRPr="00E23172">
        <w:t>.3 Findings and recommendations</w:t>
      </w:r>
      <w:bookmarkEnd w:id="657"/>
      <w:bookmarkEnd w:id="658"/>
      <w:bookmarkEnd w:id="659"/>
      <w:bookmarkEnd w:id="660"/>
    </w:p>
    <w:p w14:paraId="167A9056" w14:textId="77777777" w:rsidR="0011475D" w:rsidRDefault="00463F7C" w:rsidP="00463F7C">
      <w:pPr>
        <w:rPr>
          <w:rFonts w:cstheme="minorHAnsi"/>
          <w:lang w:val="en-US"/>
        </w:rPr>
      </w:pPr>
      <w:r w:rsidRPr="00167CB8">
        <w:rPr>
          <w:lang w:val="en-US"/>
        </w:rPr>
        <w:t xml:space="preserve">The amendments came into effect on </w:t>
      </w:r>
      <w:r w:rsidRPr="00167CB8">
        <w:rPr>
          <w:rFonts w:cstheme="minorHAnsi"/>
          <w:lang w:val="en-US"/>
        </w:rPr>
        <w:t xml:space="preserve">7 </w:t>
      </w:r>
      <w:r w:rsidRPr="00167CB8">
        <w:rPr>
          <w:lang w:val="en-US"/>
        </w:rPr>
        <w:t xml:space="preserve">December 2022 and apply to jobs being advertised on or after </w:t>
      </w:r>
      <w:r w:rsidRPr="00167CB8">
        <w:rPr>
          <w:rFonts w:cstheme="minorHAnsi"/>
          <w:lang w:val="en-US"/>
        </w:rPr>
        <w:t>7 January 2023. Evidence provided by the FWO and stakeholders suggests that the changes are having their intended effect. The</w:t>
      </w:r>
      <w:r>
        <w:rPr>
          <w:rFonts w:cstheme="minorHAnsi"/>
          <w:lang w:val="en-US"/>
        </w:rPr>
        <w:t xml:space="preserve"> Review</w:t>
      </w:r>
      <w:r w:rsidRPr="00167CB8">
        <w:rPr>
          <w:rFonts w:cstheme="minorHAnsi"/>
          <w:lang w:val="en-US"/>
        </w:rPr>
        <w:t xml:space="preserve"> Panel concurs.</w:t>
      </w:r>
    </w:p>
    <w:p w14:paraId="4AFF2AA5" w14:textId="5127B6A8" w:rsidR="00463F7C" w:rsidRPr="00167CB8" w:rsidRDefault="00463F7C" w:rsidP="00463F7C">
      <w:pPr>
        <w:rPr>
          <w:rFonts w:cstheme="minorHAnsi"/>
          <w:lang w:val="en-US"/>
        </w:rPr>
      </w:pPr>
      <w:r w:rsidRPr="00167CB8">
        <w:rPr>
          <w:rFonts w:cstheme="minorHAnsi"/>
          <w:lang w:val="en-US"/>
        </w:rPr>
        <w:t>Notwithstanding this conclusion</w:t>
      </w:r>
      <w:r w:rsidR="00313177">
        <w:rPr>
          <w:rFonts w:cstheme="minorHAnsi"/>
          <w:lang w:val="en-US"/>
        </w:rPr>
        <w:t>,</w:t>
      </w:r>
      <w:r w:rsidRPr="00167CB8">
        <w:rPr>
          <w:rFonts w:cstheme="minorHAnsi"/>
          <w:lang w:val="en-US"/>
        </w:rPr>
        <w:t xml:space="preserve"> the </w:t>
      </w:r>
      <w:r>
        <w:rPr>
          <w:rFonts w:cstheme="minorHAnsi"/>
          <w:lang w:val="en-US"/>
        </w:rPr>
        <w:t xml:space="preserve">Review </w:t>
      </w:r>
      <w:r w:rsidRPr="00167CB8">
        <w:rPr>
          <w:rFonts w:cstheme="minorHAnsi"/>
          <w:lang w:val="en-US"/>
        </w:rPr>
        <w:t>Panel notes the concerns and issues raised by stakeholders and, accordingly, makes a recommendation.</w:t>
      </w:r>
    </w:p>
    <w:p w14:paraId="3A13E2D2" w14:textId="77777777" w:rsidR="00463F7C" w:rsidRPr="00167CB8" w:rsidRDefault="00463F7C" w:rsidP="00463F7C">
      <w:pPr>
        <w:rPr>
          <w:rFonts w:cstheme="minorHAnsi"/>
          <w:lang w:val="en-US"/>
        </w:rPr>
      </w:pPr>
      <w:r w:rsidRPr="00167CB8">
        <w:rPr>
          <w:rFonts w:cstheme="minorHAnsi"/>
          <w:lang w:val="en-US"/>
        </w:rPr>
        <w:t>The ongoing effectiveness of the</w:t>
      </w:r>
      <w:r>
        <w:rPr>
          <w:rFonts w:cstheme="minorHAnsi"/>
          <w:lang w:val="en-US"/>
        </w:rPr>
        <w:t xml:space="preserve"> operation of the</w:t>
      </w:r>
      <w:r w:rsidRPr="00167CB8">
        <w:rPr>
          <w:rFonts w:cstheme="minorHAnsi"/>
          <w:lang w:val="en-US"/>
        </w:rPr>
        <w:t>se reforms, intended to make sure prospective employees receive correct and lawful information about potential employment opportunities, will depend on applying them in the context of evolving technology and methods of communication. For example, job advertising platforms should be set up to support compliance by making sure that pay ranges do not display rates below the legal minimums. Similarly, amendments may be required if the provisions do not effectively cover new channels being used to advertise jobs, such as WhatsApp groups, private social media pages or closed job boards.</w:t>
      </w:r>
    </w:p>
    <w:p w14:paraId="27F154D4" w14:textId="7C7C2212" w:rsidR="00463F7C" w:rsidRPr="00167CB8" w:rsidRDefault="00463F7C" w:rsidP="00463F7C">
      <w:pPr>
        <w:rPr>
          <w:rFonts w:cstheme="minorHAnsi"/>
          <w:b/>
          <w:iCs/>
          <w:lang w:val="en-US"/>
        </w:rPr>
      </w:pPr>
      <w:r w:rsidRPr="00167CB8">
        <w:rPr>
          <w:rFonts w:cstheme="minorHAnsi"/>
          <w:b/>
          <w:iCs/>
          <w:lang w:val="en-US"/>
        </w:rPr>
        <w:t xml:space="preserve">Recommendation </w:t>
      </w:r>
      <w:r w:rsidR="00E47E83">
        <w:rPr>
          <w:rFonts w:cstheme="minorHAnsi"/>
          <w:b/>
          <w:iCs/>
          <w:lang w:val="en-US"/>
        </w:rPr>
        <w:t>20</w:t>
      </w:r>
      <w:r w:rsidRPr="00167CB8">
        <w:rPr>
          <w:rFonts w:cstheme="minorHAnsi"/>
          <w:b/>
          <w:iCs/>
          <w:lang w:val="en-US"/>
        </w:rPr>
        <w:t xml:space="preserve">: The Fair Work Ombudsman should engage with job advertising platforms and other technology stakeholders to ensure that all job advertisements include accurate and lawful information, supported by the </w:t>
      </w:r>
      <w:r w:rsidR="006A70DF">
        <w:rPr>
          <w:rFonts w:cstheme="minorHAnsi"/>
          <w:b/>
          <w:iCs/>
          <w:lang w:val="en-US"/>
        </w:rPr>
        <w:t xml:space="preserve">Fair Work Ombudsman’s </w:t>
      </w:r>
      <w:r w:rsidRPr="00167CB8">
        <w:rPr>
          <w:rFonts w:cstheme="minorHAnsi"/>
          <w:b/>
          <w:iCs/>
          <w:lang w:val="en-US"/>
        </w:rPr>
        <w:t>public education initiatives and materials.</w:t>
      </w:r>
    </w:p>
    <w:p w14:paraId="705007E1" w14:textId="09D0EEF0" w:rsidR="00463F7C" w:rsidRPr="00167CB8" w:rsidRDefault="00463F7C" w:rsidP="00463F7C">
      <w:r w:rsidRPr="396ABCA7">
        <w:t>Several stakeholders also raised concerns about what constitutes a ‘reasonable excuse’ in the context of job advertisements. For example, the Panel understands that this was intended to protect employers from penalties where pay rates change while a job is being advertised. The Review Panel anticipates that</w:t>
      </w:r>
      <w:r w:rsidR="006A70DF">
        <w:t>,</w:t>
      </w:r>
      <w:r w:rsidRPr="396ABCA7">
        <w:t xml:space="preserve"> as the provisions are implemented in practice, more examples will become available to support consistent application and enforcement of the amendments.</w:t>
      </w:r>
    </w:p>
    <w:p w14:paraId="51F27623" w14:textId="3A9477CF" w:rsidR="0011475D" w:rsidRDefault="00463F7C" w:rsidP="00463F7C">
      <w:r w:rsidRPr="396ABCA7">
        <w:t>The Review Panel notes that there is no Australian law requirement for job advertisements to include rates of pay. More evidence is required about the impacts of job advertisement information on employment and workplace behaviour, the effectiveness of regulation and whether there are other similarly important issues (e.g. expected hours of work and rosters). Ideally, longer datasets which can identify trends</w:t>
      </w:r>
      <w:r w:rsidR="006A70DF">
        <w:t>,</w:t>
      </w:r>
      <w:r w:rsidRPr="396ABCA7">
        <w:t xml:space="preserve"> alongside FWO engagement and enforcement data</w:t>
      </w:r>
      <w:r w:rsidR="006A70DF">
        <w:t>,</w:t>
      </w:r>
      <w:r w:rsidRPr="396ABCA7">
        <w:t xml:space="preserve"> would support such considerations in future. Pending further evidence about issues in Australia and international best practice, it may be appropriate to consider future reforms to require pay and other information in job advertisements.</w:t>
      </w:r>
    </w:p>
    <w:p w14:paraId="539F5175" w14:textId="77777777" w:rsidR="00365C93" w:rsidRDefault="00463F7C" w:rsidP="00E23172">
      <w:r w:rsidRPr="396ABCA7">
        <w:t>If available in time, such evidence would also inform the consideration of these amendments in a further review of the Secure Jobs, Better Pay Act (see Recommendation 1).</w:t>
      </w:r>
    </w:p>
    <w:p w14:paraId="4191F5F1" w14:textId="2D251C95" w:rsidR="00365C93" w:rsidRDefault="00365C93">
      <w:pPr>
        <w:spacing w:after="160"/>
      </w:pPr>
      <w:r>
        <w:br w:type="page"/>
      </w:r>
    </w:p>
    <w:p w14:paraId="7E2EF89F" w14:textId="6987BAC2" w:rsidR="00463F7C" w:rsidRPr="00167CB8" w:rsidRDefault="00463F7C" w:rsidP="00A36BAF">
      <w:pPr>
        <w:pStyle w:val="Heading3"/>
        <w:rPr>
          <w:rFonts w:asciiTheme="minorHAnsi" w:hAnsiTheme="minorHAnsi"/>
        </w:rPr>
      </w:pPr>
      <w:bookmarkStart w:id="661" w:name="_Toc187934218"/>
      <w:bookmarkStart w:id="662" w:name="_Toc188278043"/>
      <w:bookmarkStart w:id="663" w:name="_Toc189260330"/>
      <w:bookmarkStart w:id="664" w:name="_Toc189393646"/>
      <w:bookmarkStart w:id="665" w:name="_Toc194311444"/>
      <w:r w:rsidRPr="396ABCA7">
        <w:rPr>
          <w:rFonts w:asciiTheme="minorHAnsi" w:hAnsiTheme="minorHAnsi"/>
        </w:rPr>
        <w:lastRenderedPageBreak/>
        <w:t>Chapter 3</w:t>
      </w:r>
      <w:r w:rsidR="00A36BAF">
        <w:rPr>
          <w:rFonts w:asciiTheme="minorHAnsi" w:hAnsiTheme="minorHAnsi"/>
        </w:rPr>
        <w:t>5</w:t>
      </w:r>
      <w:r w:rsidRPr="396ABCA7">
        <w:rPr>
          <w:rFonts w:asciiTheme="minorHAnsi" w:hAnsiTheme="minorHAnsi"/>
        </w:rPr>
        <w:t>. Having regard to certain additional matters</w:t>
      </w:r>
      <w:bookmarkEnd w:id="661"/>
      <w:bookmarkEnd w:id="662"/>
      <w:bookmarkEnd w:id="663"/>
      <w:bookmarkEnd w:id="664"/>
      <w:bookmarkEnd w:id="665"/>
    </w:p>
    <w:p w14:paraId="02C17743" w14:textId="6130A226" w:rsidR="0011475D" w:rsidRDefault="00463F7C" w:rsidP="00463F7C">
      <w:pPr>
        <w:rPr>
          <w:lang w:val="en-US"/>
        </w:rPr>
      </w:pPr>
      <w:r w:rsidRPr="00167CB8">
        <w:rPr>
          <w:lang w:val="en-US"/>
        </w:rPr>
        <w:t>Part 25AA of the Secure Jobs, Better Pay Act concerns the requirement that Fair Work Ombudsman (FWO)</w:t>
      </w:r>
      <w:r>
        <w:rPr>
          <w:lang w:val="en-US"/>
        </w:rPr>
        <w:t xml:space="preserve"> and the </w:t>
      </w:r>
      <w:r w:rsidRPr="00167CB8">
        <w:rPr>
          <w:lang w:val="en-US"/>
        </w:rPr>
        <w:t>Fair Work Commission (FWC) make educational materials and resources available in multiple languages.</w:t>
      </w:r>
    </w:p>
    <w:p w14:paraId="33C997EA" w14:textId="5DAAF68D" w:rsidR="00463F7C" w:rsidRPr="00167CB8" w:rsidRDefault="00463F7C" w:rsidP="00463F7C">
      <w:pPr>
        <w:rPr>
          <w:rFonts w:cstheme="minorHAnsi"/>
        </w:rPr>
      </w:pPr>
      <w:r w:rsidRPr="00167CB8">
        <w:rPr>
          <w:rFonts w:cstheme="minorHAnsi"/>
        </w:rPr>
        <w:t xml:space="preserve">The FWO provides general information and guidance to both employers and employees, serving a diverse audience. </w:t>
      </w:r>
      <w:r w:rsidRPr="00BD5AE5">
        <w:rPr>
          <w:rFonts w:cstheme="minorHAnsi"/>
        </w:rPr>
        <w:t>Its website lists information and resources that the FWO has had professionally translated into more than 30 languages and features an automatic translation tool (Microsoft Translator) that can convert existing content into 36 languages other than English.</w:t>
      </w:r>
      <w:r w:rsidRPr="00BD5AE5">
        <w:rPr>
          <w:rStyle w:val="FootnoteReference"/>
          <w:rFonts w:cstheme="minorHAnsi"/>
          <w:lang w:val="en-US"/>
        </w:rPr>
        <w:footnoteReference w:id="1278"/>
      </w:r>
      <w:r w:rsidRPr="00167CB8">
        <w:rPr>
          <w:rFonts w:cstheme="minorHAnsi"/>
        </w:rPr>
        <w:t xml:space="preserve"> The tool enables quick access for individuals with limited English proficiency by making information instantly available in their preferred language.</w:t>
      </w:r>
    </w:p>
    <w:p w14:paraId="57D5B6B6" w14:textId="6917BE58" w:rsidR="00463F7C" w:rsidRPr="00167CB8" w:rsidRDefault="00463F7C" w:rsidP="00463F7C">
      <w:pPr>
        <w:rPr>
          <w:rFonts w:cstheme="minorHAnsi"/>
        </w:rPr>
      </w:pPr>
      <w:r w:rsidRPr="00167CB8">
        <w:rPr>
          <w:rFonts w:cstheme="minorHAnsi"/>
        </w:rPr>
        <w:t>The FWC deals with workplace disputes</w:t>
      </w:r>
      <w:r w:rsidRPr="00167CB8">
        <w:rPr>
          <w:rStyle w:val="FootnoteReference"/>
          <w:rFonts w:cstheme="minorHAnsi"/>
        </w:rPr>
        <w:footnoteReference w:id="1279"/>
      </w:r>
      <w:r w:rsidRPr="00167CB8">
        <w:rPr>
          <w:rFonts w:cstheme="minorHAnsi"/>
        </w:rPr>
        <w:t xml:space="preserve"> and makes orders. It assists people with limited English proficiency to access these services through the Translation and Interpreting Service (TIS National)</w:t>
      </w:r>
      <w:r w:rsidR="00A36BAF">
        <w:rPr>
          <w:rFonts w:cstheme="minorHAnsi"/>
        </w:rPr>
        <w:t>,</w:t>
      </w:r>
      <w:r w:rsidRPr="00167CB8">
        <w:rPr>
          <w:rFonts w:cstheme="minorHAnsi"/>
        </w:rPr>
        <w:t xml:space="preserve"> with nationally accredited interpreters as well as information on the role of the FWC in 28 languages other than English.</w:t>
      </w:r>
      <w:r w:rsidRPr="00167CB8">
        <w:rPr>
          <w:rStyle w:val="FootnoteReference"/>
          <w:rFonts w:cstheme="minorHAnsi"/>
          <w:lang w:val="en-US"/>
        </w:rPr>
        <w:footnoteReference w:id="1280"/>
      </w:r>
      <w:r w:rsidRPr="00167CB8">
        <w:rPr>
          <w:rFonts w:cstheme="minorHAnsi"/>
          <w:lang w:val="en-US"/>
        </w:rPr>
        <w:t xml:space="preserve"> </w:t>
      </w:r>
      <w:r>
        <w:rPr>
          <w:rFonts w:cstheme="minorHAnsi"/>
          <w:lang w:val="en-US"/>
        </w:rPr>
        <w:t>It does not use automatic translation tools because of the legal importance of accuracy in the guidelines and other materials distributed by the FWC.</w:t>
      </w:r>
    </w:p>
    <w:p w14:paraId="3CCF41A1" w14:textId="226227FF" w:rsidR="00463F7C" w:rsidRPr="00ED23D7" w:rsidRDefault="00463F7C" w:rsidP="00A36BAF">
      <w:pPr>
        <w:pStyle w:val="Heading4"/>
      </w:pPr>
      <w:bookmarkStart w:id="668" w:name="_Toc187934219"/>
      <w:bookmarkStart w:id="669" w:name="_Toc188278044"/>
      <w:bookmarkStart w:id="670" w:name="_Toc189260331"/>
      <w:bookmarkStart w:id="671" w:name="_Toc189393647"/>
      <w:r w:rsidRPr="00ED23D7">
        <w:t>3</w:t>
      </w:r>
      <w:r w:rsidR="00CD2998">
        <w:t>5</w:t>
      </w:r>
      <w:r w:rsidRPr="00ED23D7">
        <w:t>.1 Amendments and intent</w:t>
      </w:r>
      <w:bookmarkEnd w:id="668"/>
      <w:bookmarkEnd w:id="669"/>
      <w:bookmarkEnd w:id="670"/>
      <w:bookmarkEnd w:id="671"/>
    </w:p>
    <w:p w14:paraId="1A2CFC61" w14:textId="77777777" w:rsidR="0011475D" w:rsidRDefault="00463F7C" w:rsidP="00463F7C">
      <w:pPr>
        <w:rPr>
          <w:rFonts w:cstheme="minorHAnsi"/>
          <w:lang w:val="en-US"/>
        </w:rPr>
      </w:pPr>
      <w:r w:rsidRPr="00167CB8">
        <w:rPr>
          <w:rFonts w:cstheme="minorHAnsi"/>
          <w:lang w:val="en-US"/>
        </w:rPr>
        <w:t>Part 5-1, Division 2, of the Fair Work Act describes the functions of the FWC. Part 5-2</w:t>
      </w:r>
      <w:r>
        <w:rPr>
          <w:rFonts w:cstheme="minorHAnsi"/>
          <w:lang w:val="en-US"/>
        </w:rPr>
        <w:t>,</w:t>
      </w:r>
      <w:r w:rsidRPr="00167CB8">
        <w:rPr>
          <w:rFonts w:cstheme="minorHAnsi"/>
          <w:lang w:val="en-US"/>
        </w:rPr>
        <w:t xml:space="preserve"> Division 2</w:t>
      </w:r>
      <w:r>
        <w:rPr>
          <w:rFonts w:cstheme="minorHAnsi"/>
          <w:lang w:val="en-US"/>
        </w:rPr>
        <w:t>,</w:t>
      </w:r>
      <w:r w:rsidRPr="00167CB8">
        <w:rPr>
          <w:rFonts w:cstheme="minorHAnsi"/>
          <w:lang w:val="en-US"/>
        </w:rPr>
        <w:t xml:space="preserve"> describes the functions of the FWO.</w:t>
      </w:r>
    </w:p>
    <w:p w14:paraId="338F57E1" w14:textId="2AA524A0" w:rsidR="00463F7C" w:rsidRPr="00ED23D7" w:rsidRDefault="00463F7C" w:rsidP="00365C93">
      <w:pPr>
        <w:pStyle w:val="Heading5"/>
      </w:pPr>
      <w:bookmarkStart w:id="672" w:name="_Toc187934220"/>
      <w:r w:rsidRPr="00ED23D7">
        <w:t>3</w:t>
      </w:r>
      <w:r w:rsidR="00CD2998">
        <w:t>5</w:t>
      </w:r>
      <w:r w:rsidRPr="00ED23D7">
        <w:t>.1.1 Secure Jobs, Better Pay amendments</w:t>
      </w:r>
      <w:bookmarkEnd w:id="672"/>
    </w:p>
    <w:p w14:paraId="1D2B3379" w14:textId="77777777" w:rsidR="00463F7C" w:rsidRPr="00167CB8" w:rsidRDefault="00463F7C" w:rsidP="00463F7C">
      <w:pPr>
        <w:rPr>
          <w:rFonts w:cstheme="minorHAnsi"/>
          <w:lang w:val="en-US"/>
        </w:rPr>
      </w:pPr>
      <w:r w:rsidRPr="00167CB8">
        <w:rPr>
          <w:rFonts w:cstheme="minorHAnsi"/>
          <w:lang w:val="en-US"/>
        </w:rPr>
        <w:t xml:space="preserve">The amendments to the Fair Work Act concerning providing </w:t>
      </w:r>
      <w:r w:rsidRPr="00716A50">
        <w:rPr>
          <w:rFonts w:cstheme="minorHAnsi"/>
          <w:lang w:val="en-US"/>
        </w:rPr>
        <w:t>services in multiple languages were</w:t>
      </w:r>
      <w:r w:rsidRPr="00167CB8">
        <w:rPr>
          <w:rFonts w:cstheme="minorHAnsi"/>
          <w:lang w:val="en-US"/>
        </w:rPr>
        <w:t xml:space="preserve"> as follows:</w:t>
      </w:r>
    </w:p>
    <w:p w14:paraId="1D626F8B" w14:textId="77777777" w:rsidR="00463F7C" w:rsidRPr="00ED23D7" w:rsidRDefault="00463F7C" w:rsidP="00336C2C">
      <w:pPr>
        <w:pStyle w:val="ListBullet"/>
        <w:numPr>
          <w:ilvl w:val="0"/>
          <w:numId w:val="4"/>
        </w:numPr>
      </w:pPr>
      <w:r w:rsidRPr="00ED23D7">
        <w:t>Under a new s 577(2) the FWC must now have regard to ‘(a) the need for guidelines and other materials to be available in multiple languages; and (b) the need for community outreach in multiple languages’.</w:t>
      </w:r>
    </w:p>
    <w:p w14:paraId="645DDF04" w14:textId="77777777" w:rsidR="00463F7C" w:rsidRPr="00ED23D7" w:rsidRDefault="00463F7C" w:rsidP="00336C2C">
      <w:pPr>
        <w:pStyle w:val="ListBullet"/>
        <w:numPr>
          <w:ilvl w:val="0"/>
          <w:numId w:val="4"/>
        </w:numPr>
      </w:pPr>
      <w:r w:rsidRPr="00ED23D7">
        <w:t>Under a new s 682(1A) the FWO must have regard to ‘(a) the need for guidelines and other materials to be available in multiple languages; and (b) the need for community outreach in multiple languages’.</w:t>
      </w:r>
    </w:p>
    <w:p w14:paraId="5BF88F0F" w14:textId="77777777" w:rsidR="0011475D" w:rsidRDefault="00463F7C" w:rsidP="00463F7C">
      <w:pPr>
        <w:rPr>
          <w:rFonts w:cstheme="minorHAnsi"/>
          <w:lang w:val="en-US"/>
        </w:rPr>
      </w:pPr>
      <w:r w:rsidRPr="00167CB8">
        <w:rPr>
          <w:rFonts w:cstheme="minorHAnsi"/>
          <w:lang w:val="en-US"/>
        </w:rPr>
        <w:t>These new provisions came into effect on 7 December 2022.</w:t>
      </w:r>
    </w:p>
    <w:p w14:paraId="6DD0A579" w14:textId="06CE3CFC" w:rsidR="00463F7C" w:rsidRPr="00ED23D7" w:rsidRDefault="00463F7C" w:rsidP="00365C93">
      <w:pPr>
        <w:pStyle w:val="Heading5"/>
      </w:pPr>
      <w:bookmarkStart w:id="673" w:name="_Toc187934221"/>
      <w:r w:rsidRPr="00ED23D7">
        <w:t>3</w:t>
      </w:r>
      <w:r w:rsidR="00CD2998">
        <w:t>5</w:t>
      </w:r>
      <w:r w:rsidRPr="00ED23D7">
        <w:t>.1.2 Intent of Secure Jobs, Better Pay amendments</w:t>
      </w:r>
      <w:bookmarkEnd w:id="673"/>
    </w:p>
    <w:p w14:paraId="7868F569" w14:textId="77777777" w:rsidR="00463F7C" w:rsidRPr="00167CB8" w:rsidRDefault="00463F7C" w:rsidP="00463F7C">
      <w:r w:rsidRPr="00167CB8">
        <w:rPr>
          <w:rFonts w:cstheme="minorHAnsi"/>
          <w:lang w:val="en-US"/>
        </w:rPr>
        <w:t xml:space="preserve">The intent of these </w:t>
      </w:r>
      <w:r w:rsidRPr="00167CB8">
        <w:t>amendments is to ensure that employees and employers in culturally and linguistically diverse (CALD) communities have access to important workplace information, regardless of their English language proficiency, creating greater awareness of workplace rights and employer obligations.</w:t>
      </w:r>
    </w:p>
    <w:p w14:paraId="6D9BBF4B" w14:textId="77777777" w:rsidR="00463F7C" w:rsidRPr="00167CB8" w:rsidRDefault="00463F7C" w:rsidP="00463F7C">
      <w:r>
        <w:t>The Revised Explanatory Memorandum states that</w:t>
      </w:r>
      <w:r w:rsidRPr="396ABCA7">
        <w:t xml:space="preserve"> ‘Making resources, information and services available in multiple languages helps more workers from linguistically diverse backgrounds </w:t>
      </w:r>
      <w:r w:rsidRPr="396ABCA7">
        <w:lastRenderedPageBreak/>
        <w:t>understand their workplace rights and obligations in Australia, so reducing the risk of misinformation and exploitation’.</w:t>
      </w:r>
      <w:r w:rsidRPr="396ABCA7">
        <w:rPr>
          <w:rStyle w:val="FootnoteReference"/>
        </w:rPr>
        <w:footnoteReference w:id="1281"/>
      </w:r>
    </w:p>
    <w:p w14:paraId="3D630F01" w14:textId="77777777" w:rsidR="0011475D" w:rsidRDefault="00463F7C" w:rsidP="00463F7C">
      <w:r w:rsidRPr="00167CB8">
        <w:t>The Australian Government also noted that, although the FWC and FWO provide translation services/tools, there has never been a statutory requirement for them to do so.</w:t>
      </w:r>
    </w:p>
    <w:p w14:paraId="15778DDC" w14:textId="3106462C" w:rsidR="00463F7C" w:rsidRPr="00ED23D7" w:rsidRDefault="00463F7C" w:rsidP="00A36BAF">
      <w:pPr>
        <w:pStyle w:val="Heading4"/>
      </w:pPr>
      <w:bookmarkStart w:id="674" w:name="_Toc187934222"/>
      <w:bookmarkStart w:id="675" w:name="_Toc188278045"/>
      <w:bookmarkStart w:id="676" w:name="_Toc189260332"/>
      <w:bookmarkStart w:id="677" w:name="_Toc189393648"/>
      <w:r w:rsidRPr="00ED23D7">
        <w:t>3</w:t>
      </w:r>
      <w:r w:rsidR="00CD2998">
        <w:t>5</w:t>
      </w:r>
      <w:r w:rsidRPr="00ED23D7">
        <w:t>.2 Impact and issues</w:t>
      </w:r>
      <w:bookmarkEnd w:id="674"/>
      <w:bookmarkEnd w:id="675"/>
      <w:bookmarkEnd w:id="676"/>
      <w:bookmarkEnd w:id="677"/>
    </w:p>
    <w:p w14:paraId="2689E560" w14:textId="77777777" w:rsidR="00463F7C" w:rsidRPr="00167CB8" w:rsidRDefault="00463F7C" w:rsidP="00463F7C">
      <w:r w:rsidRPr="00167CB8">
        <w:t>The following summarises the data and information considered by the Review Panel when evaluating the amendments discussed above.</w:t>
      </w:r>
    </w:p>
    <w:p w14:paraId="13314D0C" w14:textId="19B81CAD" w:rsidR="00463F7C" w:rsidRPr="00D57931" w:rsidRDefault="00463F7C" w:rsidP="00A36BAF">
      <w:pPr>
        <w:pStyle w:val="Heading5"/>
      </w:pPr>
      <w:bookmarkStart w:id="678" w:name="_Toc187934223"/>
      <w:r w:rsidRPr="00D57931">
        <w:t>3</w:t>
      </w:r>
      <w:r w:rsidR="00CD2998">
        <w:t>5</w:t>
      </w:r>
      <w:r w:rsidRPr="00D57931">
        <w:t>.2.1 Quantitative evidence</w:t>
      </w:r>
      <w:bookmarkEnd w:id="678"/>
    </w:p>
    <w:p w14:paraId="65658F89" w14:textId="389F40DB" w:rsidR="00463F7C" w:rsidRPr="00167CB8" w:rsidRDefault="00463F7C" w:rsidP="00463F7C">
      <w:pPr>
        <w:jc w:val="both"/>
        <w:rPr>
          <w:rFonts w:cs="Calibri"/>
        </w:rPr>
      </w:pPr>
      <w:r w:rsidRPr="396ABCA7">
        <w:rPr>
          <w:rFonts w:cs="Calibri"/>
        </w:rPr>
        <w:t xml:space="preserve">The FWO provided data to the Review </w:t>
      </w:r>
      <w:r w:rsidRPr="396ABCA7">
        <w:t xml:space="preserve">indicating </w:t>
      </w:r>
      <w:r w:rsidRPr="396ABCA7">
        <w:rPr>
          <w:rFonts w:cs="Calibri"/>
        </w:rPr>
        <w:t xml:space="preserve">that </w:t>
      </w:r>
      <w:r w:rsidR="00A36BAF">
        <w:rPr>
          <w:rFonts w:cs="Calibri"/>
        </w:rPr>
        <w:t xml:space="preserve">it </w:t>
      </w:r>
      <w:r w:rsidRPr="396ABCA7">
        <w:rPr>
          <w:rFonts w:cs="Calibri"/>
        </w:rPr>
        <w:t xml:space="preserve">provided an auto-translation tool on </w:t>
      </w:r>
      <w:r w:rsidR="00A36BAF">
        <w:rPr>
          <w:rFonts w:cs="Calibri"/>
        </w:rPr>
        <w:t xml:space="preserve">its </w:t>
      </w:r>
      <w:r w:rsidRPr="396ABCA7">
        <w:rPr>
          <w:rFonts w:cs="Calibri"/>
        </w:rPr>
        <w:t>website allowing the website to be translated into 36 languages other than English.</w:t>
      </w:r>
    </w:p>
    <w:p w14:paraId="0440743B" w14:textId="749A840A" w:rsidR="00463F7C" w:rsidRPr="00167CB8" w:rsidRDefault="00463F7C" w:rsidP="00463F7C">
      <w:pPr>
        <w:jc w:val="both"/>
        <w:rPr>
          <w:rFonts w:cs="Calibri"/>
        </w:rPr>
      </w:pPr>
      <w:r w:rsidRPr="00BD5AE5">
        <w:rPr>
          <w:rFonts w:cs="Calibri"/>
        </w:rPr>
        <w:t xml:space="preserve">The FWO data also shows that, in 2023–24, pages on </w:t>
      </w:r>
      <w:r w:rsidR="00A36BAF">
        <w:rPr>
          <w:rFonts w:cs="Calibri"/>
        </w:rPr>
        <w:t xml:space="preserve">the FWO </w:t>
      </w:r>
      <w:r w:rsidRPr="00BD5AE5">
        <w:rPr>
          <w:rFonts w:cs="Calibri"/>
        </w:rPr>
        <w:t xml:space="preserve">website were translated 126,843 times using the </w:t>
      </w:r>
      <w:r w:rsidRPr="00BD5AE5">
        <w:t>automatic translation tool</w:t>
      </w:r>
      <w:r w:rsidRPr="00BD5AE5">
        <w:rPr>
          <w:rFonts w:cs="Calibri"/>
        </w:rPr>
        <w:t>.</w:t>
      </w:r>
      <w:r w:rsidRPr="396ABCA7">
        <w:rPr>
          <w:rFonts w:cs="Calibri"/>
        </w:rPr>
        <w:t xml:space="preserve"> The most common languages were Simplified Chinese, Spanish, Korean, Japanese and French, and most of the translated pages concerned pay and minimum wages.</w:t>
      </w:r>
    </w:p>
    <w:p w14:paraId="225F8C60" w14:textId="4B138489" w:rsidR="0011475D" w:rsidRDefault="00463F7C" w:rsidP="00463F7C">
      <w:pPr>
        <w:jc w:val="both"/>
        <w:rPr>
          <w:rFonts w:cs="Calibri"/>
        </w:rPr>
      </w:pPr>
      <w:r w:rsidRPr="00BD5AE5">
        <w:rPr>
          <w:rFonts w:cs="Calibri"/>
        </w:rPr>
        <w:t>The FWO data also provided information about the page views</w:t>
      </w:r>
      <w:r w:rsidR="00A36BAF">
        <w:rPr>
          <w:rFonts w:cs="Calibri"/>
        </w:rPr>
        <w:t xml:space="preserve"> </w:t>
      </w:r>
      <w:r w:rsidRPr="00BD5AE5">
        <w:rPr>
          <w:rFonts w:cs="Calibri"/>
        </w:rPr>
        <w:t>/</w:t>
      </w:r>
      <w:r w:rsidR="00A36BAF">
        <w:rPr>
          <w:rFonts w:cs="Calibri"/>
        </w:rPr>
        <w:t xml:space="preserve"> </w:t>
      </w:r>
      <w:r w:rsidRPr="00BD5AE5">
        <w:rPr>
          <w:rFonts w:cs="Calibri"/>
        </w:rPr>
        <w:t xml:space="preserve">downloads </w:t>
      </w:r>
      <w:r w:rsidRPr="00716A50">
        <w:rPr>
          <w:rFonts w:cs="Calibri"/>
        </w:rPr>
        <w:t xml:space="preserve">for </w:t>
      </w:r>
      <w:r w:rsidR="00A36BAF" w:rsidRPr="00716A50">
        <w:rPr>
          <w:rFonts w:cs="Calibri"/>
        </w:rPr>
        <w:t xml:space="preserve">its web </w:t>
      </w:r>
      <w:r w:rsidRPr="00716A50">
        <w:rPr>
          <w:rFonts w:cs="Calibri"/>
        </w:rPr>
        <w:t>pages that</w:t>
      </w:r>
      <w:r w:rsidRPr="00BD5AE5">
        <w:rPr>
          <w:rFonts w:cs="Calibri"/>
        </w:rPr>
        <w:t xml:space="preserve"> link to their language tools and translated materials. The data provided is from 1 July 2020 to 31</w:t>
      </w:r>
      <w:r w:rsidR="00A36BAF">
        <w:rPr>
          <w:rFonts w:cs="Calibri"/>
        </w:rPr>
        <w:t> </w:t>
      </w:r>
      <w:r w:rsidRPr="00BD5AE5">
        <w:rPr>
          <w:rFonts w:cs="Calibri"/>
        </w:rPr>
        <w:t>December 2024. On average 14,</w:t>
      </w:r>
      <w:r w:rsidRPr="00BD5AE5" w:rsidDel="00314AE7">
        <w:rPr>
          <w:rFonts w:cs="Calibri"/>
        </w:rPr>
        <w:t>779</w:t>
      </w:r>
      <w:r w:rsidRPr="00BD5AE5">
        <w:rPr>
          <w:rFonts w:cs="Calibri"/>
        </w:rPr>
        <w:t xml:space="preserve"> people a year viewed or downloaded the ‘Language help’ web page and 1,865 viewed or downloaded the ‘Workplace help in other languages’ web page between 2020</w:t>
      </w:r>
      <w:r w:rsidRPr="00BD5AE5">
        <w:rPr>
          <w:rFonts w:ascii="Symbol" w:eastAsia="Symbol" w:hAnsi="Symbol" w:cs="Symbol"/>
        </w:rPr>
        <w:t>-</w:t>
      </w:r>
      <w:r w:rsidRPr="00BD5AE5">
        <w:rPr>
          <w:rFonts w:cs="Calibri"/>
        </w:rPr>
        <w:t>21 and 2023</w:t>
      </w:r>
      <w:r w:rsidRPr="00BD5AE5">
        <w:rPr>
          <w:rFonts w:ascii="Symbol" w:eastAsia="Symbol" w:hAnsi="Symbol" w:cs="Symbol"/>
        </w:rPr>
        <w:t>-</w:t>
      </w:r>
      <w:r w:rsidRPr="00BD5AE5">
        <w:rPr>
          <w:rFonts w:cs="Calibri"/>
        </w:rPr>
        <w:t>24, with the latter web page seeing an increase in views/downloads each year.</w:t>
      </w:r>
    </w:p>
    <w:p w14:paraId="1F44B538" w14:textId="56B0C4B4" w:rsidR="00463F7C" w:rsidRPr="00167CB8" w:rsidRDefault="00365C93" w:rsidP="007F380D">
      <w:pPr>
        <w:pStyle w:val="Caption"/>
      </w:pPr>
      <w:bookmarkStart w:id="679" w:name="_Toc194251449"/>
      <w:r>
        <w:t xml:space="preserve">Table </w:t>
      </w:r>
      <w:r>
        <w:fldChar w:fldCharType="begin"/>
      </w:r>
      <w:r>
        <w:instrText xml:space="preserve"> SEQ Table \* ARABIC </w:instrText>
      </w:r>
      <w:r>
        <w:fldChar w:fldCharType="separate"/>
      </w:r>
      <w:r w:rsidR="00DE5F5E">
        <w:rPr>
          <w:noProof/>
        </w:rPr>
        <w:t>25</w:t>
      </w:r>
      <w:r>
        <w:fldChar w:fldCharType="end"/>
      </w:r>
      <w:r>
        <w:t xml:space="preserve">: </w:t>
      </w:r>
      <w:r w:rsidR="00463F7C" w:rsidRPr="00BD5AE5">
        <w:t>Data views</w:t>
      </w:r>
      <w:r w:rsidR="00A36BAF">
        <w:t xml:space="preserve"> </w:t>
      </w:r>
      <w:r w:rsidR="00463F7C" w:rsidRPr="00BD5AE5">
        <w:t>/</w:t>
      </w:r>
      <w:r w:rsidR="00A36BAF">
        <w:t xml:space="preserve"> </w:t>
      </w:r>
      <w:r w:rsidR="00463F7C" w:rsidRPr="00BD5AE5">
        <w:t>downloads of translated resources</w:t>
      </w:r>
      <w:bookmarkEnd w:id="679"/>
    </w:p>
    <w:tbl>
      <w:tblPr>
        <w:tblStyle w:val="TableGrid"/>
        <w:tblW w:w="0" w:type="auto"/>
        <w:tblLook w:val="04A0" w:firstRow="1" w:lastRow="0" w:firstColumn="1" w:lastColumn="0" w:noHBand="0" w:noVBand="1"/>
      </w:tblPr>
      <w:tblGrid>
        <w:gridCol w:w="2568"/>
        <w:gridCol w:w="1284"/>
        <w:gridCol w:w="1284"/>
        <w:gridCol w:w="1285"/>
        <w:gridCol w:w="1122"/>
        <w:gridCol w:w="1448"/>
      </w:tblGrid>
      <w:tr w:rsidR="00463F7C" w:rsidRPr="00167CB8" w14:paraId="01A723F3" w14:textId="77777777" w:rsidTr="00D57931">
        <w:tc>
          <w:tcPr>
            <w:tcW w:w="2568" w:type="dxa"/>
            <w:vMerge w:val="restart"/>
          </w:tcPr>
          <w:p w14:paraId="29E8F837" w14:textId="0265BB15" w:rsidR="00463F7C" w:rsidRPr="00D57931" w:rsidRDefault="00463F7C">
            <w:pPr>
              <w:spacing w:line="259" w:lineRule="auto"/>
              <w:rPr>
                <w:b/>
                <w:i/>
                <w:sz w:val="20"/>
                <w:szCs w:val="20"/>
              </w:rPr>
            </w:pPr>
            <w:r w:rsidRPr="00D57931">
              <w:rPr>
                <w:b/>
                <w:sz w:val="20"/>
                <w:szCs w:val="20"/>
              </w:rPr>
              <w:t>Web</w:t>
            </w:r>
            <w:r w:rsidR="00716A50" w:rsidRPr="00D57931">
              <w:rPr>
                <w:b/>
                <w:sz w:val="20"/>
                <w:szCs w:val="20"/>
              </w:rPr>
              <w:t xml:space="preserve"> </w:t>
            </w:r>
            <w:r w:rsidRPr="00D57931">
              <w:rPr>
                <w:b/>
                <w:sz w:val="20"/>
                <w:szCs w:val="20"/>
              </w:rPr>
              <w:t>page / online resource</w:t>
            </w:r>
          </w:p>
        </w:tc>
        <w:tc>
          <w:tcPr>
            <w:tcW w:w="6423" w:type="dxa"/>
            <w:gridSpan w:val="5"/>
          </w:tcPr>
          <w:p w14:paraId="69872BC5" w14:textId="77777777" w:rsidR="00463F7C" w:rsidRPr="00D57931" w:rsidRDefault="00463F7C">
            <w:pPr>
              <w:spacing w:line="259" w:lineRule="auto"/>
              <w:rPr>
                <w:b/>
                <w:sz w:val="20"/>
                <w:szCs w:val="20"/>
              </w:rPr>
            </w:pPr>
            <w:r w:rsidRPr="00D57931">
              <w:rPr>
                <w:b/>
                <w:sz w:val="20"/>
                <w:szCs w:val="20"/>
              </w:rPr>
              <w:t>Page views / downloads</w:t>
            </w:r>
          </w:p>
        </w:tc>
      </w:tr>
      <w:tr w:rsidR="00463F7C" w:rsidRPr="00167CB8" w14:paraId="13A00395" w14:textId="77777777" w:rsidTr="00D57931">
        <w:tc>
          <w:tcPr>
            <w:tcW w:w="2568" w:type="dxa"/>
            <w:vMerge/>
          </w:tcPr>
          <w:p w14:paraId="041ACCAA" w14:textId="77777777" w:rsidR="00463F7C" w:rsidRPr="00D57931" w:rsidRDefault="00463F7C">
            <w:pPr>
              <w:spacing w:line="259" w:lineRule="auto"/>
              <w:rPr>
                <w:b/>
                <w:i/>
                <w:sz w:val="20"/>
                <w:szCs w:val="20"/>
              </w:rPr>
            </w:pPr>
          </w:p>
        </w:tc>
        <w:tc>
          <w:tcPr>
            <w:tcW w:w="1284" w:type="dxa"/>
          </w:tcPr>
          <w:p w14:paraId="132A4FC2" w14:textId="77777777" w:rsidR="00463F7C" w:rsidRPr="00D57931" w:rsidRDefault="00463F7C" w:rsidP="00D57931">
            <w:pPr>
              <w:spacing w:line="259" w:lineRule="auto"/>
              <w:jc w:val="right"/>
              <w:rPr>
                <w:b/>
                <w:sz w:val="20"/>
                <w:szCs w:val="20"/>
              </w:rPr>
            </w:pPr>
            <w:r w:rsidRPr="00D57931">
              <w:rPr>
                <w:b/>
                <w:sz w:val="20"/>
                <w:szCs w:val="20"/>
              </w:rPr>
              <w:t>2020</w:t>
            </w:r>
            <w:r w:rsidRPr="00D57931">
              <w:rPr>
                <w:rFonts w:ascii="Symbol" w:eastAsia="Symbol" w:hAnsi="Symbol" w:cs="Symbol"/>
                <w:b/>
                <w:sz w:val="20"/>
                <w:szCs w:val="20"/>
              </w:rPr>
              <w:t>-</w:t>
            </w:r>
            <w:r w:rsidRPr="00D57931">
              <w:rPr>
                <w:b/>
                <w:sz w:val="20"/>
                <w:szCs w:val="20"/>
              </w:rPr>
              <w:t>21</w:t>
            </w:r>
          </w:p>
        </w:tc>
        <w:tc>
          <w:tcPr>
            <w:tcW w:w="1284" w:type="dxa"/>
          </w:tcPr>
          <w:p w14:paraId="594274B7" w14:textId="77777777" w:rsidR="00463F7C" w:rsidRPr="00D57931" w:rsidRDefault="00463F7C" w:rsidP="00D57931">
            <w:pPr>
              <w:spacing w:line="259" w:lineRule="auto"/>
              <w:jc w:val="right"/>
              <w:rPr>
                <w:b/>
                <w:sz w:val="20"/>
                <w:szCs w:val="20"/>
              </w:rPr>
            </w:pPr>
            <w:r w:rsidRPr="00D57931">
              <w:rPr>
                <w:b/>
                <w:sz w:val="20"/>
                <w:szCs w:val="20"/>
              </w:rPr>
              <w:t>2021</w:t>
            </w:r>
            <w:r w:rsidRPr="00D57931">
              <w:rPr>
                <w:rFonts w:ascii="Symbol" w:eastAsia="Symbol" w:hAnsi="Symbol" w:cs="Symbol"/>
                <w:b/>
                <w:sz w:val="20"/>
                <w:szCs w:val="20"/>
              </w:rPr>
              <w:t>-</w:t>
            </w:r>
            <w:r w:rsidRPr="00D57931">
              <w:rPr>
                <w:b/>
                <w:sz w:val="20"/>
                <w:szCs w:val="20"/>
              </w:rPr>
              <w:t>22</w:t>
            </w:r>
          </w:p>
        </w:tc>
        <w:tc>
          <w:tcPr>
            <w:tcW w:w="1285" w:type="dxa"/>
          </w:tcPr>
          <w:p w14:paraId="658463A1" w14:textId="77777777" w:rsidR="00463F7C" w:rsidRPr="00D57931" w:rsidRDefault="00463F7C" w:rsidP="00D57931">
            <w:pPr>
              <w:spacing w:line="259" w:lineRule="auto"/>
              <w:jc w:val="right"/>
              <w:rPr>
                <w:b/>
                <w:sz w:val="20"/>
                <w:szCs w:val="20"/>
              </w:rPr>
            </w:pPr>
            <w:r w:rsidRPr="00D57931">
              <w:rPr>
                <w:b/>
                <w:sz w:val="20"/>
                <w:szCs w:val="20"/>
              </w:rPr>
              <w:t>2022</w:t>
            </w:r>
            <w:r w:rsidRPr="00D57931">
              <w:rPr>
                <w:rFonts w:ascii="Symbol" w:eastAsia="Symbol" w:hAnsi="Symbol" w:cs="Symbol"/>
                <w:b/>
                <w:sz w:val="20"/>
                <w:szCs w:val="20"/>
              </w:rPr>
              <w:t>-</w:t>
            </w:r>
            <w:r w:rsidRPr="00D57931">
              <w:rPr>
                <w:b/>
                <w:sz w:val="20"/>
                <w:szCs w:val="20"/>
              </w:rPr>
              <w:t>23</w:t>
            </w:r>
          </w:p>
        </w:tc>
        <w:tc>
          <w:tcPr>
            <w:tcW w:w="1122" w:type="dxa"/>
          </w:tcPr>
          <w:p w14:paraId="22EF1106" w14:textId="77777777" w:rsidR="00463F7C" w:rsidRPr="00D57931" w:rsidRDefault="00463F7C" w:rsidP="00D57931">
            <w:pPr>
              <w:spacing w:line="259" w:lineRule="auto"/>
              <w:jc w:val="right"/>
              <w:rPr>
                <w:b/>
                <w:sz w:val="20"/>
                <w:szCs w:val="20"/>
              </w:rPr>
            </w:pPr>
            <w:r w:rsidRPr="00D57931">
              <w:rPr>
                <w:b/>
                <w:sz w:val="20"/>
                <w:szCs w:val="20"/>
              </w:rPr>
              <w:t>2023</w:t>
            </w:r>
            <w:r w:rsidRPr="00D57931">
              <w:rPr>
                <w:rFonts w:ascii="Symbol" w:eastAsia="Symbol" w:hAnsi="Symbol" w:cs="Symbol"/>
                <w:b/>
                <w:sz w:val="20"/>
                <w:szCs w:val="20"/>
              </w:rPr>
              <w:t>-</w:t>
            </w:r>
            <w:r w:rsidRPr="00D57931">
              <w:rPr>
                <w:b/>
                <w:sz w:val="20"/>
                <w:szCs w:val="20"/>
              </w:rPr>
              <w:t>24</w:t>
            </w:r>
          </w:p>
        </w:tc>
        <w:tc>
          <w:tcPr>
            <w:tcW w:w="1448" w:type="dxa"/>
          </w:tcPr>
          <w:p w14:paraId="486CDE7C" w14:textId="77777777" w:rsidR="00463F7C" w:rsidRPr="00D57931" w:rsidRDefault="00463F7C" w:rsidP="00D57931">
            <w:pPr>
              <w:spacing w:line="259" w:lineRule="auto"/>
              <w:jc w:val="right"/>
              <w:rPr>
                <w:b/>
                <w:sz w:val="20"/>
                <w:szCs w:val="20"/>
              </w:rPr>
            </w:pPr>
            <w:r w:rsidRPr="00D57931">
              <w:rPr>
                <w:b/>
                <w:sz w:val="20"/>
                <w:szCs w:val="20"/>
              </w:rPr>
              <w:t xml:space="preserve">2024-25 </w:t>
            </w:r>
            <w:r w:rsidRPr="00D57931">
              <w:rPr>
                <w:b/>
                <w:sz w:val="20"/>
                <w:szCs w:val="20"/>
              </w:rPr>
              <w:br/>
              <w:t>(to 31 Dec 2024)</w:t>
            </w:r>
          </w:p>
        </w:tc>
      </w:tr>
      <w:tr w:rsidR="00463F7C" w:rsidRPr="00167CB8" w14:paraId="7E6CE6CD" w14:textId="77777777">
        <w:tc>
          <w:tcPr>
            <w:tcW w:w="2568" w:type="dxa"/>
          </w:tcPr>
          <w:p w14:paraId="7CB61802" w14:textId="77777777" w:rsidR="00463F7C" w:rsidRPr="00D57931" w:rsidRDefault="00463F7C" w:rsidP="00D57931">
            <w:pPr>
              <w:spacing w:after="160"/>
              <w:rPr>
                <w:sz w:val="20"/>
                <w:szCs w:val="20"/>
              </w:rPr>
            </w:pPr>
            <w:r w:rsidRPr="00D57931">
              <w:rPr>
                <w:sz w:val="20"/>
                <w:szCs w:val="20"/>
              </w:rPr>
              <w:t xml:space="preserve">Language help </w:t>
            </w:r>
            <w:r w:rsidRPr="00D57931">
              <w:rPr>
                <w:rFonts w:ascii="Symbol" w:eastAsia="Symbol" w:hAnsi="Symbol" w:cs="Symbol"/>
                <w:sz w:val="20"/>
                <w:szCs w:val="20"/>
              </w:rPr>
              <w:t>-</w:t>
            </w:r>
            <w:r w:rsidRPr="00D57931">
              <w:rPr>
                <w:sz w:val="20"/>
                <w:szCs w:val="20"/>
              </w:rPr>
              <w:t xml:space="preserve"> Fair Work Ombudsman</w:t>
            </w:r>
          </w:p>
        </w:tc>
        <w:tc>
          <w:tcPr>
            <w:tcW w:w="1284" w:type="dxa"/>
          </w:tcPr>
          <w:p w14:paraId="70C3FD5C" w14:textId="77777777" w:rsidR="00463F7C" w:rsidRPr="00D57931" w:rsidRDefault="00463F7C" w:rsidP="00D57931">
            <w:pPr>
              <w:jc w:val="right"/>
              <w:rPr>
                <w:i/>
                <w:sz w:val="20"/>
                <w:szCs w:val="20"/>
              </w:rPr>
            </w:pPr>
            <w:r w:rsidRPr="00D57931">
              <w:rPr>
                <w:rFonts w:cs="Calibri"/>
                <w:sz w:val="20"/>
                <w:szCs w:val="20"/>
              </w:rPr>
              <w:t>18,418</w:t>
            </w:r>
          </w:p>
        </w:tc>
        <w:tc>
          <w:tcPr>
            <w:tcW w:w="1284" w:type="dxa"/>
          </w:tcPr>
          <w:p w14:paraId="29DB9D59" w14:textId="77777777" w:rsidR="00463F7C" w:rsidRPr="00D57931" w:rsidRDefault="00463F7C" w:rsidP="00D57931">
            <w:pPr>
              <w:jc w:val="right"/>
              <w:rPr>
                <w:i/>
                <w:sz w:val="20"/>
                <w:szCs w:val="20"/>
              </w:rPr>
            </w:pPr>
            <w:r w:rsidRPr="00D57931">
              <w:rPr>
                <w:rFonts w:cs="Calibri"/>
                <w:sz w:val="20"/>
                <w:szCs w:val="20"/>
              </w:rPr>
              <w:t>13,498</w:t>
            </w:r>
          </w:p>
        </w:tc>
        <w:tc>
          <w:tcPr>
            <w:tcW w:w="1285" w:type="dxa"/>
          </w:tcPr>
          <w:p w14:paraId="69301A99" w14:textId="77777777" w:rsidR="00463F7C" w:rsidRPr="00D57931" w:rsidRDefault="00463F7C" w:rsidP="00D57931">
            <w:pPr>
              <w:jc w:val="right"/>
              <w:rPr>
                <w:i/>
                <w:sz w:val="20"/>
                <w:szCs w:val="20"/>
              </w:rPr>
            </w:pPr>
            <w:r w:rsidRPr="00D57931">
              <w:rPr>
                <w:rFonts w:cs="Calibri"/>
                <w:sz w:val="20"/>
                <w:szCs w:val="20"/>
              </w:rPr>
              <w:t>12,459</w:t>
            </w:r>
          </w:p>
        </w:tc>
        <w:tc>
          <w:tcPr>
            <w:tcW w:w="1122" w:type="dxa"/>
          </w:tcPr>
          <w:p w14:paraId="7579536B" w14:textId="77777777" w:rsidR="00463F7C" w:rsidRPr="00D57931" w:rsidRDefault="00463F7C" w:rsidP="00D57931">
            <w:pPr>
              <w:jc w:val="right"/>
              <w:rPr>
                <w:i/>
                <w:sz w:val="20"/>
                <w:szCs w:val="20"/>
              </w:rPr>
            </w:pPr>
            <w:r w:rsidRPr="00D57931">
              <w:rPr>
                <w:rFonts w:cs="Calibri"/>
                <w:sz w:val="20"/>
                <w:szCs w:val="20"/>
              </w:rPr>
              <w:t>14,742</w:t>
            </w:r>
          </w:p>
        </w:tc>
        <w:tc>
          <w:tcPr>
            <w:tcW w:w="1448" w:type="dxa"/>
          </w:tcPr>
          <w:p w14:paraId="4A822908" w14:textId="77777777" w:rsidR="00463F7C" w:rsidRPr="00D57931" w:rsidRDefault="00463F7C" w:rsidP="00D57931">
            <w:pPr>
              <w:jc w:val="right"/>
              <w:rPr>
                <w:i/>
                <w:sz w:val="20"/>
                <w:szCs w:val="20"/>
              </w:rPr>
            </w:pPr>
            <w:r w:rsidRPr="00D57931">
              <w:rPr>
                <w:rFonts w:cs="Calibri"/>
                <w:sz w:val="20"/>
                <w:szCs w:val="20"/>
              </w:rPr>
              <w:t>10,878</w:t>
            </w:r>
          </w:p>
        </w:tc>
      </w:tr>
      <w:tr w:rsidR="00463F7C" w:rsidRPr="00167CB8" w14:paraId="7F09545F" w14:textId="77777777">
        <w:tc>
          <w:tcPr>
            <w:tcW w:w="2568" w:type="dxa"/>
          </w:tcPr>
          <w:p w14:paraId="32DF50F1" w14:textId="77777777" w:rsidR="00463F7C" w:rsidRPr="00D57931" w:rsidRDefault="00463F7C" w:rsidP="00D57931">
            <w:pPr>
              <w:spacing w:after="160"/>
              <w:rPr>
                <w:sz w:val="20"/>
                <w:szCs w:val="20"/>
              </w:rPr>
            </w:pPr>
            <w:r w:rsidRPr="00D57931">
              <w:rPr>
                <w:sz w:val="20"/>
                <w:szCs w:val="20"/>
              </w:rPr>
              <w:t xml:space="preserve">Workplace help in other languages </w:t>
            </w:r>
            <w:r w:rsidRPr="00D57931">
              <w:rPr>
                <w:rFonts w:ascii="Symbol" w:eastAsia="Symbol" w:hAnsi="Symbol" w:cs="Symbol"/>
                <w:sz w:val="20"/>
                <w:szCs w:val="20"/>
              </w:rPr>
              <w:t>-</w:t>
            </w:r>
            <w:r w:rsidRPr="00D57931">
              <w:rPr>
                <w:sz w:val="20"/>
                <w:szCs w:val="20"/>
              </w:rPr>
              <w:t xml:space="preserve"> Fair Work Ombudsman</w:t>
            </w:r>
          </w:p>
        </w:tc>
        <w:tc>
          <w:tcPr>
            <w:tcW w:w="1284" w:type="dxa"/>
          </w:tcPr>
          <w:p w14:paraId="3C30FACD" w14:textId="77777777" w:rsidR="00463F7C" w:rsidRPr="00D57931" w:rsidRDefault="00463F7C" w:rsidP="00767A87">
            <w:pPr>
              <w:jc w:val="right"/>
              <w:rPr>
                <w:i/>
                <w:sz w:val="20"/>
                <w:szCs w:val="20"/>
              </w:rPr>
            </w:pPr>
            <w:r w:rsidRPr="00D57931">
              <w:rPr>
                <w:rFonts w:cs="Calibri"/>
                <w:sz w:val="20"/>
                <w:szCs w:val="20"/>
              </w:rPr>
              <w:t>533</w:t>
            </w:r>
          </w:p>
        </w:tc>
        <w:tc>
          <w:tcPr>
            <w:tcW w:w="1284" w:type="dxa"/>
          </w:tcPr>
          <w:p w14:paraId="3E126EBA" w14:textId="77777777" w:rsidR="00463F7C" w:rsidRPr="00D57931" w:rsidRDefault="00463F7C" w:rsidP="00767A87">
            <w:pPr>
              <w:jc w:val="right"/>
              <w:rPr>
                <w:i/>
                <w:sz w:val="20"/>
                <w:szCs w:val="20"/>
              </w:rPr>
            </w:pPr>
            <w:r w:rsidRPr="00D57931">
              <w:rPr>
                <w:rFonts w:cs="Calibri"/>
                <w:sz w:val="20"/>
                <w:szCs w:val="20"/>
              </w:rPr>
              <w:t>1,830</w:t>
            </w:r>
          </w:p>
        </w:tc>
        <w:tc>
          <w:tcPr>
            <w:tcW w:w="1285" w:type="dxa"/>
          </w:tcPr>
          <w:p w14:paraId="642EB0C2" w14:textId="77777777" w:rsidR="00463F7C" w:rsidRPr="00D57931" w:rsidRDefault="00463F7C" w:rsidP="00767A87">
            <w:pPr>
              <w:jc w:val="right"/>
              <w:rPr>
                <w:i/>
                <w:sz w:val="20"/>
                <w:szCs w:val="20"/>
              </w:rPr>
            </w:pPr>
            <w:r w:rsidRPr="00D57931">
              <w:rPr>
                <w:rFonts w:cs="Calibri"/>
                <w:sz w:val="20"/>
                <w:szCs w:val="20"/>
              </w:rPr>
              <w:t>2,414</w:t>
            </w:r>
          </w:p>
        </w:tc>
        <w:tc>
          <w:tcPr>
            <w:tcW w:w="1122" w:type="dxa"/>
          </w:tcPr>
          <w:p w14:paraId="6E3FDE7C" w14:textId="77777777" w:rsidR="00463F7C" w:rsidRPr="00D57931" w:rsidRDefault="00463F7C" w:rsidP="00767A87">
            <w:pPr>
              <w:jc w:val="right"/>
              <w:rPr>
                <w:i/>
                <w:sz w:val="20"/>
                <w:szCs w:val="20"/>
              </w:rPr>
            </w:pPr>
            <w:r w:rsidRPr="00D57931">
              <w:rPr>
                <w:rFonts w:cs="Calibri"/>
                <w:sz w:val="20"/>
                <w:szCs w:val="20"/>
              </w:rPr>
              <w:t>2,686</w:t>
            </w:r>
          </w:p>
        </w:tc>
        <w:tc>
          <w:tcPr>
            <w:tcW w:w="1448" w:type="dxa"/>
          </w:tcPr>
          <w:p w14:paraId="23473D59" w14:textId="77777777" w:rsidR="00463F7C" w:rsidRPr="00D57931" w:rsidRDefault="00463F7C" w:rsidP="00767A87">
            <w:pPr>
              <w:jc w:val="right"/>
              <w:rPr>
                <w:i/>
                <w:sz w:val="20"/>
                <w:szCs w:val="20"/>
              </w:rPr>
            </w:pPr>
            <w:r w:rsidRPr="00D57931">
              <w:rPr>
                <w:rFonts w:cs="Calibri"/>
                <w:sz w:val="20"/>
                <w:szCs w:val="20"/>
              </w:rPr>
              <w:t>1,306</w:t>
            </w:r>
          </w:p>
        </w:tc>
      </w:tr>
    </w:tbl>
    <w:p w14:paraId="23F6C6EF" w14:textId="53E23842" w:rsidR="00463F7C" w:rsidRPr="00167CB8" w:rsidRDefault="00463F7C" w:rsidP="00463F7C">
      <w:pPr>
        <w:pStyle w:val="Source"/>
      </w:pPr>
      <w:bookmarkStart w:id="680" w:name="_Toc187934224"/>
      <w:r w:rsidRPr="00167CB8">
        <w:rPr>
          <w:b/>
          <w:bCs/>
        </w:rPr>
        <w:t>Source:</w:t>
      </w:r>
      <w:r w:rsidRPr="00167CB8">
        <w:t xml:space="preserve"> Data provided to the Review by the </w:t>
      </w:r>
      <w:r w:rsidR="00716A50">
        <w:t>Fair Work Ombudsman</w:t>
      </w:r>
      <w:r w:rsidRPr="00167CB8">
        <w:t>.</w:t>
      </w:r>
    </w:p>
    <w:p w14:paraId="4D3A9391" w14:textId="365471BC" w:rsidR="00463F7C" w:rsidRPr="00767A87" w:rsidRDefault="00463F7C" w:rsidP="00A36BAF">
      <w:pPr>
        <w:pStyle w:val="Heading5"/>
      </w:pPr>
      <w:r w:rsidRPr="00767A87">
        <w:t>3</w:t>
      </w:r>
      <w:r w:rsidR="00A36BAF" w:rsidRPr="00767A87">
        <w:t>5</w:t>
      </w:r>
      <w:r w:rsidRPr="00767A87">
        <w:t>.2.2 Qualitative evidence</w:t>
      </w:r>
      <w:bookmarkEnd w:id="680"/>
    </w:p>
    <w:p w14:paraId="5B3C0C39" w14:textId="77777777" w:rsidR="00463F7C" w:rsidRPr="00167CB8" w:rsidRDefault="00463F7C" w:rsidP="00463F7C">
      <w:pPr>
        <w:rPr>
          <w:rFonts w:cstheme="minorHAnsi"/>
          <w:lang w:val="en-US"/>
        </w:rPr>
      </w:pPr>
      <w:r w:rsidRPr="00167CB8">
        <w:rPr>
          <w:rFonts w:cstheme="minorHAnsi"/>
          <w:lang w:val="en-US"/>
        </w:rPr>
        <w:t>Both the FWC and FWO provided information and support in multiple languages prior to the Secure Jobs, Better Pay amendments and have undertaken further work since.</w:t>
      </w:r>
    </w:p>
    <w:p w14:paraId="29ADCBC9" w14:textId="7D92852B" w:rsidR="00463F7C" w:rsidRPr="00167CB8" w:rsidRDefault="00463F7C" w:rsidP="00463F7C">
      <w:pPr>
        <w:rPr>
          <w:rFonts w:cstheme="minorHAnsi"/>
          <w:lang w:val="en-US"/>
        </w:rPr>
      </w:pPr>
      <w:r w:rsidRPr="00167CB8">
        <w:rPr>
          <w:rFonts w:cstheme="minorHAnsi"/>
          <w:lang w:val="en-US"/>
        </w:rPr>
        <w:lastRenderedPageBreak/>
        <w:t>In December 2024 the FWC released its ‘Community and Engagement Strategy 2025</w:t>
      </w:r>
      <w:r w:rsidRPr="00167CB8">
        <w:rPr>
          <w:rFonts w:ascii="Symbol" w:eastAsia="Symbol" w:hAnsi="Symbol" w:cstheme="minorHAnsi"/>
          <w:lang w:val="en-US"/>
        </w:rPr>
        <w:t>-</w:t>
      </w:r>
      <w:r w:rsidRPr="00167CB8">
        <w:rPr>
          <w:rFonts w:cstheme="minorHAnsi"/>
          <w:lang w:val="en-US"/>
        </w:rPr>
        <w:t>27’ focused on ways to support CALD communities.</w:t>
      </w:r>
      <w:r w:rsidRPr="00167CB8">
        <w:rPr>
          <w:rStyle w:val="FootnoteReference"/>
          <w:rFonts w:cstheme="minorHAnsi"/>
          <w:lang w:val="en-US"/>
        </w:rPr>
        <w:footnoteReference w:id="1282"/>
      </w:r>
      <w:r w:rsidRPr="00167CB8">
        <w:rPr>
          <w:rFonts w:cstheme="minorHAnsi"/>
          <w:lang w:val="en-US"/>
        </w:rPr>
        <w:t xml:space="preserve"> In the strategy document the FWC notes that some CALD users are hesitant to use TIS National and that the FWC intends to do further research with the CALD community to better understand what refinements and enhancements are required regarding the use of interpreters. The strategy document also indicates that the FWC will explore the use of an automatic translator tool/service similar to the one the FWO uses.</w:t>
      </w:r>
    </w:p>
    <w:p w14:paraId="7C369B8C" w14:textId="4057AD9B" w:rsidR="00A36BAF" w:rsidRDefault="00463F7C" w:rsidP="00463F7C">
      <w:pPr>
        <w:rPr>
          <w:rFonts w:cstheme="minorHAnsi"/>
          <w:lang w:val="en-US"/>
        </w:rPr>
      </w:pPr>
      <w:r w:rsidRPr="00167CB8">
        <w:rPr>
          <w:rFonts w:cstheme="minorHAnsi"/>
          <w:lang w:val="en-US"/>
        </w:rPr>
        <w:t>This follows the release of resources for people from CALD communities in October 2023. The President of the FWC reports that</w:t>
      </w:r>
      <w:r w:rsidR="00A36BAF">
        <w:rPr>
          <w:rFonts w:cstheme="minorHAnsi"/>
          <w:lang w:val="en-US"/>
        </w:rPr>
        <w:t>:</w:t>
      </w:r>
      <w:r w:rsidR="00A36BAF" w:rsidRPr="00167CB8">
        <w:rPr>
          <w:rStyle w:val="FootnoteReference"/>
          <w:rFonts w:cstheme="minorHAnsi"/>
        </w:rPr>
        <w:footnoteReference w:id="1283"/>
      </w:r>
    </w:p>
    <w:p w14:paraId="0B6FB923" w14:textId="5D9C63CA" w:rsidR="00463F7C" w:rsidRPr="00167CB8" w:rsidRDefault="00A36BAF" w:rsidP="00767A87">
      <w:pPr>
        <w:pStyle w:val="Quote"/>
        <w:rPr>
          <w:lang w:val="en-US"/>
        </w:rPr>
      </w:pPr>
      <w:r>
        <w:rPr>
          <w:lang w:val="en-US"/>
        </w:rPr>
        <w:t>[T</w:t>
      </w:r>
      <w:r w:rsidR="00463F7C" w:rsidRPr="00167CB8">
        <w:rPr>
          <w:lang w:val="en-US"/>
        </w:rPr>
        <w:t>he</w:t>
      </w:r>
      <w:r>
        <w:rPr>
          <w:lang w:val="en-US"/>
        </w:rPr>
        <w:t>]</w:t>
      </w:r>
      <w:r w:rsidR="00463F7C" w:rsidRPr="00167CB8">
        <w:rPr>
          <w:lang w:val="en-US"/>
        </w:rPr>
        <w:t xml:space="preserve"> </w:t>
      </w:r>
      <w:r w:rsidR="00463F7C" w:rsidRPr="00167CB8">
        <w:t>resources [were] translated by NAATI-accredited translators into 28 community languages to help those from CALD backgrounds better understand the role of the Commission. The languages were chosen based on 2021 Census data and our own internal data regarding interpreter requests.</w:t>
      </w:r>
    </w:p>
    <w:p w14:paraId="581E2265" w14:textId="77777777" w:rsidR="00463F7C" w:rsidRPr="00167CB8" w:rsidRDefault="00463F7C" w:rsidP="00463F7C">
      <w:pPr>
        <w:rPr>
          <w:rFonts w:cstheme="minorHAnsi"/>
          <w:lang w:val="en-US"/>
        </w:rPr>
      </w:pPr>
      <w:r w:rsidRPr="00167CB8">
        <w:rPr>
          <w:rFonts w:cstheme="minorHAnsi"/>
          <w:lang w:val="en-US"/>
        </w:rPr>
        <w:t xml:space="preserve">The FWO’s ongoing commitment to the maintenance and revision (and expansion where necessary) of web content for CALD workplace participants is a component of its publicly available </w:t>
      </w:r>
      <w:hyperlink r:id="rId41" w:history="1">
        <w:r w:rsidRPr="00167CB8">
          <w:rPr>
            <w:rFonts w:cstheme="minorHAnsi"/>
            <w:lang w:val="en-US"/>
          </w:rPr>
          <w:t>Multicultural Access and Equity Action Plan 2023</w:t>
        </w:r>
        <w:r w:rsidRPr="00167CB8">
          <w:rPr>
            <w:rFonts w:ascii="Symbol" w:eastAsia="Symbol" w:hAnsi="Symbol" w:cstheme="minorHAnsi"/>
            <w:lang w:val="en-US"/>
          </w:rPr>
          <w:t>-</w:t>
        </w:r>
        <w:r w:rsidRPr="00167CB8">
          <w:rPr>
            <w:rFonts w:cstheme="minorHAnsi"/>
            <w:lang w:val="en-US"/>
          </w:rPr>
          <w:t>2025</w:t>
        </w:r>
      </w:hyperlink>
      <w:r w:rsidRPr="00167CB8">
        <w:rPr>
          <w:rFonts w:cstheme="minorHAnsi"/>
          <w:lang w:val="en-US"/>
        </w:rPr>
        <w:t xml:space="preserve">. This plan sets out how the FWO meets its responsibilities under the Australian Government’s </w:t>
      </w:r>
      <w:hyperlink r:id="rId42" w:history="1">
        <w:r w:rsidRPr="00167CB8">
          <w:rPr>
            <w:rFonts w:cstheme="minorHAnsi"/>
            <w:lang w:val="en-US"/>
          </w:rPr>
          <w:t>Multicultural Access and Equity Policy</w:t>
        </w:r>
      </w:hyperlink>
      <w:r w:rsidRPr="00167CB8">
        <w:rPr>
          <w:rFonts w:cstheme="minorHAnsi"/>
          <w:lang w:val="en-US"/>
        </w:rPr>
        <w:t>, including to ensure that CALD workplace participants are educated about their workplace rights, entitlements and responsibilities and that the FWO addresses any barriers that exist for members of CALD communities in accessing its services and assistance.</w:t>
      </w:r>
    </w:p>
    <w:p w14:paraId="171A5CC1" w14:textId="59C23728" w:rsidR="00463F7C" w:rsidRPr="00167CB8" w:rsidRDefault="00463F7C" w:rsidP="00463F7C">
      <w:pPr>
        <w:rPr>
          <w:rFonts w:cstheme="minorHAnsi"/>
        </w:rPr>
      </w:pPr>
      <w:r w:rsidRPr="00167CB8">
        <w:rPr>
          <w:rFonts w:cstheme="minorHAnsi"/>
          <w:lang w:val="en-US"/>
        </w:rPr>
        <w:t xml:space="preserve">The Multicultural Access and Equity Action Plan follows considerable work to make the FWO more accessible for CALD communities, such as the ‘in-language Anonymous Report tool’ released in July 2017 and the </w:t>
      </w:r>
      <w:r w:rsidRPr="00167CB8">
        <w:rPr>
          <w:rFonts w:cstheme="minorHAnsi"/>
        </w:rPr>
        <w:t>automatic translation tool launched in February 2018.</w:t>
      </w:r>
      <w:r w:rsidRPr="00167CB8">
        <w:rPr>
          <w:rStyle w:val="FootnoteReference"/>
          <w:rFonts w:cstheme="minorHAnsi"/>
        </w:rPr>
        <w:footnoteReference w:id="1284"/>
      </w:r>
    </w:p>
    <w:p w14:paraId="69650658" w14:textId="11FCB3A3" w:rsidR="00463F7C" w:rsidRPr="00167CB8" w:rsidRDefault="00463F7C" w:rsidP="00463F7C">
      <w:r w:rsidRPr="396ABCA7">
        <w:t>Additionally, the FWO has taken targeted measures to support First Nations people as part of their Reconciliation Action Plan. The FWO notes that, along with other materials targeted at supporting First Nations people, such as webinars and face</w:t>
      </w:r>
      <w:r w:rsidR="00A36BAF">
        <w:t>-</w:t>
      </w:r>
      <w:r w:rsidRPr="396ABCA7">
        <w:t>to</w:t>
      </w:r>
      <w:r w:rsidR="00A36BAF">
        <w:t>-</w:t>
      </w:r>
      <w:r w:rsidRPr="396ABCA7">
        <w:t>face information session</w:t>
      </w:r>
      <w:r w:rsidR="00A36BAF">
        <w:t>s</w:t>
      </w:r>
      <w:r w:rsidRPr="396ABCA7">
        <w:t xml:space="preserve"> in English, they have worked with the ‘Aboriginal Resource and Development Services (ARDS Aboriginal Corporation) in the production of the Yolnu Matha in-language workplace materials for First Nations people’.</w:t>
      </w:r>
      <w:r w:rsidRPr="396ABCA7">
        <w:rPr>
          <w:rStyle w:val="FootnoteReference"/>
        </w:rPr>
        <w:footnoteReference w:id="1285"/>
      </w:r>
    </w:p>
    <w:p w14:paraId="63B13A94" w14:textId="02551A6C" w:rsidR="00463F7C" w:rsidRPr="00FB1C1E" w:rsidRDefault="00463F7C" w:rsidP="00A36BAF">
      <w:pPr>
        <w:pStyle w:val="Heading5"/>
      </w:pPr>
      <w:bookmarkStart w:id="683" w:name="_Toc187934225"/>
      <w:r w:rsidRPr="00FB1C1E">
        <w:t>3</w:t>
      </w:r>
      <w:r w:rsidR="00A36BAF">
        <w:t>5</w:t>
      </w:r>
      <w:r w:rsidRPr="00FB1C1E">
        <w:t>.2.3 Stakeholder views</w:t>
      </w:r>
      <w:bookmarkEnd w:id="683"/>
    </w:p>
    <w:p w14:paraId="7A0B3983" w14:textId="3EB655BD" w:rsidR="0011475D" w:rsidRDefault="00463F7C" w:rsidP="00463F7C">
      <w:pPr>
        <w:rPr>
          <w:rStyle w:val="FootnoteReference"/>
          <w:rFonts w:cstheme="minorHAnsi"/>
          <w:lang w:val="en-US"/>
        </w:rPr>
      </w:pPr>
      <w:r w:rsidRPr="00BD5AE5">
        <w:rPr>
          <w:rFonts w:cstheme="minorHAnsi"/>
          <w:lang w:val="en-US"/>
        </w:rPr>
        <w:t xml:space="preserve">No initial submissions to the </w:t>
      </w:r>
      <w:r w:rsidR="00A36BAF">
        <w:rPr>
          <w:rFonts w:cstheme="minorHAnsi"/>
          <w:lang w:val="en-US"/>
        </w:rPr>
        <w:t>R</w:t>
      </w:r>
      <w:r w:rsidRPr="00BD5AE5">
        <w:rPr>
          <w:rFonts w:cstheme="minorHAnsi"/>
          <w:lang w:val="en-US"/>
        </w:rPr>
        <w:t>eview raised concerns or provided specific feedback about these amendments</w:t>
      </w:r>
      <w:r w:rsidR="00A36BAF">
        <w:rPr>
          <w:rFonts w:cstheme="minorHAnsi"/>
          <w:lang w:val="en-US"/>
        </w:rPr>
        <w:t>;</w:t>
      </w:r>
      <w:r w:rsidRPr="00BD5AE5">
        <w:rPr>
          <w:rFonts w:cstheme="minorHAnsi"/>
          <w:lang w:val="en-US"/>
        </w:rPr>
        <w:t xml:space="preserve"> however</w:t>
      </w:r>
      <w:r w:rsidR="00A36BAF">
        <w:rPr>
          <w:rFonts w:cstheme="minorHAnsi"/>
          <w:lang w:val="en-US"/>
        </w:rPr>
        <w:t>,</w:t>
      </w:r>
      <w:r w:rsidRPr="00BD5AE5">
        <w:rPr>
          <w:rFonts w:cstheme="minorHAnsi"/>
          <w:lang w:val="en-US"/>
        </w:rPr>
        <w:t xml:space="preserve"> stakeholders provided some feedback regarding its proposed findings. Ai Group, </w:t>
      </w:r>
      <w:r w:rsidR="00716A50">
        <w:rPr>
          <w:rFonts w:cstheme="minorHAnsi"/>
          <w:lang w:val="en-US"/>
        </w:rPr>
        <w:t xml:space="preserve">the </w:t>
      </w:r>
      <w:r w:rsidR="00716A50">
        <w:t xml:space="preserve">Business Council of Australia </w:t>
      </w:r>
      <w:r w:rsidRPr="00BD5AE5">
        <w:rPr>
          <w:rFonts w:cstheme="minorHAnsi"/>
          <w:lang w:val="en-US"/>
        </w:rPr>
        <w:t xml:space="preserve">and others were supportive of more use of </w:t>
      </w:r>
      <w:r w:rsidRPr="00BD5AE5">
        <w:rPr>
          <w:rFonts w:cstheme="minorHAnsi"/>
          <w:lang w:val="en-US"/>
        </w:rPr>
        <w:lastRenderedPageBreak/>
        <w:t>automatic language translation tool</w:t>
      </w:r>
      <w:r w:rsidR="00D5049A">
        <w:rPr>
          <w:rFonts w:cstheme="minorHAnsi"/>
          <w:lang w:val="en-US"/>
        </w:rPr>
        <w:t>s</w:t>
      </w:r>
      <w:r w:rsidRPr="00BD5AE5">
        <w:rPr>
          <w:rFonts w:cstheme="minorHAnsi"/>
          <w:lang w:val="en-US"/>
        </w:rPr>
        <w:t>, but stakeholders also noted the value of also producing professionally translated documents to mitigate risks about legal uncertainty or inaccuracy.</w:t>
      </w:r>
      <w:r w:rsidRPr="00BD5AE5">
        <w:rPr>
          <w:rStyle w:val="FootnoteReference"/>
          <w:rFonts w:cstheme="minorHAnsi"/>
          <w:lang w:val="en-US"/>
        </w:rPr>
        <w:footnoteReference w:id="1286"/>
      </w:r>
    </w:p>
    <w:p w14:paraId="10CB7F5C" w14:textId="75BA11E9" w:rsidR="00463F7C" w:rsidRPr="004A296D" w:rsidRDefault="00463F7C" w:rsidP="00365C93">
      <w:pPr>
        <w:pStyle w:val="Heading4"/>
      </w:pPr>
      <w:bookmarkStart w:id="684" w:name="_Toc187934226"/>
      <w:bookmarkStart w:id="685" w:name="_Toc188278046"/>
      <w:bookmarkStart w:id="686" w:name="_Toc189260333"/>
      <w:bookmarkStart w:id="687" w:name="_Toc189393649"/>
      <w:r w:rsidRPr="004A296D">
        <w:t>3</w:t>
      </w:r>
      <w:r w:rsidR="00CD2998">
        <w:t>5</w:t>
      </w:r>
      <w:r w:rsidRPr="004A296D">
        <w:t>.3 Findings and recommendations</w:t>
      </w:r>
      <w:bookmarkEnd w:id="684"/>
      <w:bookmarkEnd w:id="685"/>
      <w:bookmarkEnd w:id="686"/>
      <w:bookmarkEnd w:id="687"/>
    </w:p>
    <w:p w14:paraId="4A82ECD2" w14:textId="77777777" w:rsidR="0011475D" w:rsidRDefault="00463F7C" w:rsidP="00463F7C">
      <w:pPr>
        <w:rPr>
          <w:rFonts w:cstheme="minorHAnsi"/>
          <w:lang w:val="en-US"/>
        </w:rPr>
      </w:pPr>
      <w:r w:rsidRPr="00167CB8">
        <w:rPr>
          <w:rFonts w:cstheme="minorHAnsi"/>
          <w:lang w:val="en-US"/>
        </w:rPr>
        <w:t xml:space="preserve">The Review Panel is satisfied that the new </w:t>
      </w:r>
      <w:r w:rsidRPr="00167CB8">
        <w:t xml:space="preserve">statutory requirement for the FWC and FWO to have regard to </w:t>
      </w:r>
      <w:r w:rsidRPr="00167CB8">
        <w:rPr>
          <w:rFonts w:cstheme="minorHAnsi"/>
          <w:lang w:val="en-US"/>
        </w:rPr>
        <w:t xml:space="preserve">guidelines and materials being available in multiple languages is having its intended effect and that there are no unintended </w:t>
      </w:r>
      <w:r>
        <w:rPr>
          <w:rFonts w:cstheme="minorHAnsi"/>
          <w:lang w:val="en-US"/>
        </w:rPr>
        <w:t>consequences</w:t>
      </w:r>
      <w:r w:rsidRPr="00167CB8">
        <w:rPr>
          <w:rFonts w:cstheme="minorHAnsi"/>
          <w:lang w:val="en-US"/>
        </w:rPr>
        <w:t>.</w:t>
      </w:r>
    </w:p>
    <w:p w14:paraId="1016485A" w14:textId="49A1428D" w:rsidR="00463F7C" w:rsidRDefault="00463F7C" w:rsidP="00463F7C">
      <w:pPr>
        <w:rPr>
          <w:rFonts w:cstheme="minorHAnsi"/>
        </w:rPr>
      </w:pPr>
      <w:r w:rsidRPr="00167CB8">
        <w:rPr>
          <w:rFonts w:cstheme="minorHAnsi"/>
          <w:lang w:val="en-US"/>
        </w:rPr>
        <w:t xml:space="preserve">The Review Panel supports the current actions being taken by the FWO and the FWC to support CALD communities, particularly the FWO’s use of Microsoft Translator. </w:t>
      </w:r>
      <w:r w:rsidRPr="00BD5AE5">
        <w:rPr>
          <w:rFonts w:cstheme="minorHAnsi"/>
          <w:lang w:val="en-US"/>
        </w:rPr>
        <w:t>The Review Panel also notes the importance of professionally translated documents and that automatic translation should not be seen as an option to replace them.</w:t>
      </w:r>
      <w:r>
        <w:rPr>
          <w:rFonts w:cstheme="minorHAnsi"/>
          <w:lang w:val="en-US"/>
        </w:rPr>
        <w:t xml:space="preserve"> </w:t>
      </w:r>
      <w:r w:rsidRPr="00167CB8">
        <w:rPr>
          <w:rFonts w:cstheme="minorHAnsi"/>
          <w:lang w:val="en-US"/>
        </w:rPr>
        <w:t xml:space="preserve">However, more can be done to provide targeted materials to First Nations peoples. The Review Panel is interested in the materials prepared in </w:t>
      </w:r>
      <w:r w:rsidRPr="00167CB8">
        <w:rPr>
          <w:rFonts w:cstheme="minorHAnsi"/>
        </w:rPr>
        <w:t xml:space="preserve">Yolnu Matha by </w:t>
      </w:r>
      <w:r w:rsidRPr="00716A50">
        <w:rPr>
          <w:rFonts w:cstheme="minorHAnsi"/>
        </w:rPr>
        <w:t>FWO with ARDS and</w:t>
      </w:r>
      <w:r w:rsidRPr="00167CB8">
        <w:rPr>
          <w:rFonts w:cstheme="minorHAnsi"/>
        </w:rPr>
        <w:t xml:space="preserve"> notes that similar materials could be prepared to support other First Nations peoples</w:t>
      </w:r>
      <w:r>
        <w:rPr>
          <w:rFonts w:cstheme="minorHAnsi"/>
        </w:rPr>
        <w:t xml:space="preserve">. </w:t>
      </w:r>
      <w:r w:rsidRPr="00BD5AE5">
        <w:rPr>
          <w:rFonts w:cstheme="minorHAnsi"/>
        </w:rPr>
        <w:t>The Review Panel notes that any additional actions would require further funding considerations</w:t>
      </w:r>
      <w:r w:rsidRPr="00167CB8">
        <w:rPr>
          <w:rFonts w:cstheme="minorHAnsi"/>
        </w:rPr>
        <w:t>.</w:t>
      </w:r>
    </w:p>
    <w:p w14:paraId="24E6B78D" w14:textId="77777777" w:rsidR="00EF5A5A" w:rsidRDefault="00463F7C" w:rsidP="00463F7C">
      <w:pPr>
        <w:spacing w:after="160"/>
        <w:rPr>
          <w:rFonts w:cstheme="minorHAnsi"/>
        </w:rPr>
      </w:pPr>
      <w:r w:rsidRPr="00167CB8">
        <w:rPr>
          <w:rFonts w:cstheme="minorHAnsi"/>
        </w:rPr>
        <w:t>The Review Panel makes no recommendations in relation to these amendments.</w:t>
      </w:r>
    </w:p>
    <w:p w14:paraId="41E24F2E" w14:textId="421C5731" w:rsidR="00463F7C" w:rsidRPr="00167CB8" w:rsidRDefault="00463F7C" w:rsidP="00463F7C">
      <w:pPr>
        <w:spacing w:after="160"/>
        <w:rPr>
          <w:rFonts w:cstheme="minorHAnsi"/>
          <w:b/>
          <w:bCs/>
        </w:rPr>
      </w:pPr>
      <w:r w:rsidRPr="00167CB8">
        <w:br w:type="page"/>
      </w:r>
    </w:p>
    <w:p w14:paraId="2204712D" w14:textId="489B7C09" w:rsidR="00463F7C" w:rsidRPr="004A296D" w:rsidRDefault="00463F7C" w:rsidP="00EF5A5A">
      <w:pPr>
        <w:pStyle w:val="Heading3"/>
      </w:pPr>
      <w:bookmarkStart w:id="688" w:name="_Toc187934227"/>
      <w:bookmarkStart w:id="689" w:name="_Toc188278047"/>
      <w:bookmarkStart w:id="690" w:name="_Toc189260334"/>
      <w:bookmarkStart w:id="691" w:name="_Toc189393650"/>
      <w:bookmarkStart w:id="692" w:name="_Toc194311445"/>
      <w:r w:rsidRPr="004A296D">
        <w:lastRenderedPageBreak/>
        <w:t>Chapter 3</w:t>
      </w:r>
      <w:r w:rsidR="00716A50" w:rsidRPr="00EF5A5A">
        <w:t>6</w:t>
      </w:r>
      <w:r w:rsidRPr="004A296D">
        <w:t>. Amendment of the Safety, Rehabilitation and Compensation Act 1988</w:t>
      </w:r>
      <w:bookmarkEnd w:id="688"/>
      <w:bookmarkEnd w:id="689"/>
      <w:bookmarkEnd w:id="690"/>
      <w:bookmarkEnd w:id="691"/>
      <w:bookmarkEnd w:id="692"/>
    </w:p>
    <w:p w14:paraId="1F76A08B" w14:textId="3883D64A" w:rsidR="00463F7C" w:rsidRPr="00167CB8" w:rsidRDefault="00463F7C" w:rsidP="00463F7C">
      <w:pPr>
        <w:rPr>
          <w:rFonts w:cstheme="minorHAnsi"/>
          <w:lang w:val="en-US"/>
        </w:rPr>
      </w:pPr>
      <w:r w:rsidRPr="00167CB8">
        <w:rPr>
          <w:rFonts w:cstheme="minorHAnsi"/>
          <w:lang w:val="en-US"/>
        </w:rPr>
        <w:t xml:space="preserve">The Secure Jobs, Better Pay Act, at Part 27, made amendments to the </w:t>
      </w:r>
      <w:r w:rsidRPr="00167CB8">
        <w:rPr>
          <w:rFonts w:cstheme="minorHAnsi"/>
          <w:i/>
          <w:iCs/>
          <w:lang w:val="en-US"/>
        </w:rPr>
        <w:t>Safety, Rehabilitation and Compensation Act 1988</w:t>
      </w:r>
      <w:r w:rsidRPr="00167CB8">
        <w:rPr>
          <w:rFonts w:cstheme="minorHAnsi"/>
          <w:lang w:val="en-US"/>
        </w:rPr>
        <w:t xml:space="preserve"> (Cth) (SRC Act). The SRC Act is the legislative framework that underpins the Comcare workers’ compensation scheme.</w:t>
      </w:r>
    </w:p>
    <w:p w14:paraId="24F9BC21" w14:textId="73E2DFE0" w:rsidR="00463F7C" w:rsidRPr="00ED595E" w:rsidRDefault="00463F7C" w:rsidP="00365C93">
      <w:pPr>
        <w:pStyle w:val="Heading4"/>
      </w:pPr>
      <w:bookmarkStart w:id="693" w:name="_Toc187934228"/>
      <w:bookmarkStart w:id="694" w:name="_Toc188278048"/>
      <w:bookmarkStart w:id="695" w:name="_Toc189260335"/>
      <w:bookmarkStart w:id="696" w:name="_Toc189393651"/>
      <w:r w:rsidRPr="00ED595E">
        <w:t>3</w:t>
      </w:r>
      <w:r w:rsidR="00716A50">
        <w:t>6</w:t>
      </w:r>
      <w:r w:rsidRPr="00ED595E">
        <w:t xml:space="preserve">.1 </w:t>
      </w:r>
      <w:bookmarkEnd w:id="693"/>
      <w:bookmarkEnd w:id="694"/>
      <w:r w:rsidRPr="00ED595E">
        <w:t>Amendments and intent</w:t>
      </w:r>
      <w:bookmarkEnd w:id="695"/>
      <w:bookmarkEnd w:id="696"/>
    </w:p>
    <w:p w14:paraId="1BB30A58" w14:textId="77777777" w:rsidR="00463F7C" w:rsidRPr="00167CB8" w:rsidRDefault="00463F7C" w:rsidP="00463F7C">
      <w:pPr>
        <w:rPr>
          <w:rFonts w:cstheme="minorHAnsi"/>
          <w:lang w:val="en-US"/>
        </w:rPr>
      </w:pPr>
      <w:r w:rsidRPr="00167CB8">
        <w:rPr>
          <w:rFonts w:cstheme="minorHAnsi"/>
          <w:lang w:val="en-US"/>
        </w:rPr>
        <w:t>The following summarises the main amendments and the intent of the amendments.</w:t>
      </w:r>
    </w:p>
    <w:p w14:paraId="3EA088F7" w14:textId="36F639FA" w:rsidR="00463F7C" w:rsidRPr="00ED595E" w:rsidRDefault="00463F7C" w:rsidP="00365C93">
      <w:pPr>
        <w:pStyle w:val="Heading5"/>
      </w:pPr>
      <w:bookmarkStart w:id="697" w:name="_Toc187934229"/>
      <w:r w:rsidRPr="00ED595E">
        <w:t>3</w:t>
      </w:r>
      <w:r w:rsidR="00716A50">
        <w:t>6</w:t>
      </w:r>
      <w:r w:rsidRPr="00ED595E">
        <w:t>.1.1 Secure Jobs, Better Pay</w:t>
      </w:r>
      <w:r w:rsidRPr="00ED595E" w:rsidDel="00EE0FF2">
        <w:t xml:space="preserve"> </w:t>
      </w:r>
      <w:r w:rsidRPr="00ED595E">
        <w:t>amendments</w:t>
      </w:r>
      <w:bookmarkEnd w:id="697"/>
    </w:p>
    <w:p w14:paraId="2FB35202" w14:textId="77777777" w:rsidR="00463F7C" w:rsidRPr="00167CB8" w:rsidRDefault="00463F7C" w:rsidP="00463F7C">
      <w:pPr>
        <w:rPr>
          <w:rFonts w:cstheme="minorHAnsi"/>
          <w:lang w:val="en-US"/>
        </w:rPr>
      </w:pPr>
      <w:r w:rsidRPr="00167CB8">
        <w:rPr>
          <w:rFonts w:cstheme="minorHAnsi"/>
          <w:lang w:val="en-US"/>
        </w:rPr>
        <w:t>The Secure Jobs, Better Pay Act amended the SRC Act to streamline access to workers’ compensation for firefighters, including reducing the qualifying period for oesophageal cancer from 25 years to 15 years, extending coverage of presumptive workers’ compensation to volunteer firefighters in the Australian Capital Territory (ACT) and clarifying how volunteer firefighters access the presumptive provisions under the SRC Act.</w:t>
      </w:r>
      <w:r w:rsidRPr="00167CB8">
        <w:rPr>
          <w:rFonts w:cstheme="minorHAnsi"/>
          <w:vertAlign w:val="superscript"/>
          <w:lang w:val="en-US"/>
        </w:rPr>
        <w:footnoteReference w:id="1287"/>
      </w:r>
    </w:p>
    <w:p w14:paraId="0D5DEE3F" w14:textId="77777777" w:rsidR="00463F7C" w:rsidRPr="00167CB8" w:rsidRDefault="00463F7C" w:rsidP="00463F7C">
      <w:pPr>
        <w:rPr>
          <w:rFonts w:cstheme="minorHAnsi"/>
          <w:lang w:val="en-US"/>
        </w:rPr>
      </w:pPr>
      <w:r w:rsidRPr="00167CB8">
        <w:rPr>
          <w:rFonts w:cstheme="minorHAnsi"/>
          <w:lang w:val="en-US"/>
        </w:rPr>
        <w:t xml:space="preserve">These amendments came into effect on </w:t>
      </w:r>
      <w:r w:rsidRPr="00167CB8">
        <w:rPr>
          <w:rFonts w:cstheme="minorHAnsi"/>
        </w:rPr>
        <w:t>7 December 2022.</w:t>
      </w:r>
    </w:p>
    <w:p w14:paraId="6789A05B" w14:textId="4D39424F" w:rsidR="00463F7C" w:rsidRPr="00ED595E" w:rsidRDefault="00463F7C" w:rsidP="00365C93">
      <w:pPr>
        <w:pStyle w:val="Heading5"/>
      </w:pPr>
      <w:bookmarkStart w:id="698" w:name="_Toc187934230"/>
      <w:r w:rsidRPr="00ED595E">
        <w:t>3</w:t>
      </w:r>
      <w:r w:rsidR="00716A50">
        <w:t>6</w:t>
      </w:r>
      <w:r w:rsidRPr="00ED595E">
        <w:t>.1.2 Intent of Secure Jobs, Better Pay amendments</w:t>
      </w:r>
      <w:bookmarkEnd w:id="698"/>
    </w:p>
    <w:p w14:paraId="25D9A91D" w14:textId="77777777" w:rsidR="00463F7C" w:rsidRPr="00167CB8" w:rsidRDefault="00463F7C" w:rsidP="00463F7C">
      <w:pPr>
        <w:spacing w:after="0"/>
        <w:rPr>
          <w:color w:val="777778" w:themeColor="accent5"/>
        </w:rPr>
      </w:pPr>
      <w:r w:rsidRPr="00167CB8">
        <w:rPr>
          <w:rFonts w:cstheme="minorHAnsi"/>
          <w:lang w:val="en-US"/>
        </w:rPr>
        <w:t>The amendments are designed to make it easier for employed and volunteer firefighters who contract certain illnesses to access the Comcare workers’ compensation scheme.</w:t>
      </w:r>
      <w:r w:rsidRPr="00167CB8">
        <w:rPr>
          <w:rFonts w:cstheme="minorHAnsi"/>
          <w:vertAlign w:val="superscript"/>
          <w:lang w:val="en-US"/>
        </w:rPr>
        <w:footnoteReference w:id="1288"/>
      </w:r>
    </w:p>
    <w:p w14:paraId="2A398026" w14:textId="6253B7BF" w:rsidR="00463F7C" w:rsidRPr="00ED595E" w:rsidRDefault="00463F7C" w:rsidP="00365C93">
      <w:pPr>
        <w:pStyle w:val="Heading4"/>
      </w:pPr>
      <w:bookmarkStart w:id="699" w:name="_Toc187934231"/>
      <w:bookmarkStart w:id="700" w:name="_Toc188278049"/>
      <w:bookmarkStart w:id="701" w:name="_Toc189260336"/>
      <w:bookmarkStart w:id="702" w:name="_Toc189393652"/>
      <w:r w:rsidRPr="00ED595E">
        <w:t>3</w:t>
      </w:r>
      <w:r w:rsidR="00716A50">
        <w:t>6</w:t>
      </w:r>
      <w:r w:rsidRPr="00ED595E">
        <w:t>.2 Impact and issues</w:t>
      </w:r>
      <w:bookmarkEnd w:id="699"/>
      <w:bookmarkEnd w:id="700"/>
      <w:bookmarkEnd w:id="701"/>
      <w:bookmarkEnd w:id="702"/>
    </w:p>
    <w:p w14:paraId="7AF5F7A2" w14:textId="77777777" w:rsidR="00463F7C" w:rsidRPr="00167CB8" w:rsidRDefault="00463F7C" w:rsidP="00463F7C">
      <w:r w:rsidRPr="00167CB8">
        <w:t>The following summarises the data and information considered by the Review Panel when evaluating the amendments discussed above.</w:t>
      </w:r>
    </w:p>
    <w:p w14:paraId="492A0D25" w14:textId="40BD0011" w:rsidR="00463F7C" w:rsidRPr="00ED595E" w:rsidRDefault="00463F7C" w:rsidP="00365C93">
      <w:pPr>
        <w:pStyle w:val="Heading5"/>
      </w:pPr>
      <w:bookmarkStart w:id="703" w:name="_Toc187934232"/>
      <w:r w:rsidRPr="00ED595E">
        <w:t>3</w:t>
      </w:r>
      <w:r w:rsidR="00716A50">
        <w:t>6</w:t>
      </w:r>
      <w:r w:rsidRPr="00ED595E">
        <w:t>.2.1 Quantitative evidence</w:t>
      </w:r>
      <w:bookmarkEnd w:id="703"/>
    </w:p>
    <w:p w14:paraId="4A424677" w14:textId="286EDEA6" w:rsidR="0011475D" w:rsidRDefault="00463F7C" w:rsidP="00463F7C">
      <w:r w:rsidRPr="00167CB8">
        <w:t>The Review Panel understands that</w:t>
      </w:r>
      <w:r w:rsidR="00CC5CE4">
        <w:t>, as at 21 February 2025,</w:t>
      </w:r>
      <w:r w:rsidRPr="00167CB8">
        <w:t xml:space="preserve"> no workers’ compensation claims have been made by volunteer firefighters in the ACT since the Secure Jobs, Better Pay amendments came into effect.</w:t>
      </w:r>
    </w:p>
    <w:p w14:paraId="5A7E978E" w14:textId="474671BC" w:rsidR="00463F7C" w:rsidRPr="00ED595E" w:rsidRDefault="00463F7C" w:rsidP="00365C93">
      <w:pPr>
        <w:pStyle w:val="Heading5"/>
      </w:pPr>
      <w:bookmarkStart w:id="704" w:name="_Toc187934233"/>
      <w:r w:rsidRPr="00ED595E">
        <w:t>3</w:t>
      </w:r>
      <w:r w:rsidR="00716A50">
        <w:t>6</w:t>
      </w:r>
      <w:r w:rsidRPr="00ED595E">
        <w:t>.2.2 Qualitative evidence</w:t>
      </w:r>
      <w:bookmarkEnd w:id="704"/>
    </w:p>
    <w:p w14:paraId="4588FDEC" w14:textId="77777777" w:rsidR="00463F7C" w:rsidRPr="00167CB8" w:rsidRDefault="00463F7C" w:rsidP="00463F7C">
      <w:r w:rsidRPr="396ABCA7">
        <w:t>The Review Panel has not identified any other qualitative evidence to consider outside of the views shared by stakeholders. The Review Panel is therefore not aware of any significant qualitative evidence in relation to these amendments.</w:t>
      </w:r>
    </w:p>
    <w:p w14:paraId="338230AF" w14:textId="76D3FD0B" w:rsidR="00463F7C" w:rsidRPr="00ED595E" w:rsidRDefault="00463F7C" w:rsidP="00365C93">
      <w:pPr>
        <w:pStyle w:val="Heading5"/>
      </w:pPr>
      <w:bookmarkStart w:id="705" w:name="_Toc187934234"/>
      <w:r w:rsidRPr="00ED595E">
        <w:t>3</w:t>
      </w:r>
      <w:r w:rsidR="00716A50">
        <w:t>6</w:t>
      </w:r>
      <w:r w:rsidRPr="00ED595E">
        <w:t>.2.3 Stakeholder views</w:t>
      </w:r>
      <w:bookmarkEnd w:id="705"/>
    </w:p>
    <w:p w14:paraId="24927D45" w14:textId="77777777" w:rsidR="00463F7C" w:rsidRPr="00167CB8" w:rsidRDefault="00463F7C" w:rsidP="00463F7C">
      <w:pPr>
        <w:rPr>
          <w:rFonts w:cstheme="minorHAnsi"/>
          <w:lang w:val="en-US"/>
        </w:rPr>
      </w:pPr>
      <w:r w:rsidRPr="00167CB8">
        <w:rPr>
          <w:rFonts w:cstheme="minorHAnsi"/>
          <w:lang w:val="en-US"/>
        </w:rPr>
        <w:t>The only submission that mentioned Part 27 of the Secure Jobs, Better Pay Act was from the Australian Council of Trade Unions (ACTU). The ACTU provided no criticism or recommendations, stating that they ‘</w:t>
      </w:r>
      <w:r w:rsidRPr="00167CB8">
        <w:rPr>
          <w:rFonts w:cstheme="minorHAnsi"/>
        </w:rPr>
        <w:t>welcomed the recent commitment of the Minister for Employment and Workplace Relations to continue working with the relevant parties, including the union, to ensure that the intent of these changes are fairly and effectively met’.</w:t>
      </w:r>
      <w:r w:rsidRPr="00167CB8">
        <w:rPr>
          <w:rStyle w:val="FootnoteReference"/>
          <w:rFonts w:cstheme="minorHAnsi"/>
        </w:rPr>
        <w:footnoteReference w:id="1289"/>
      </w:r>
    </w:p>
    <w:p w14:paraId="22DC95C9" w14:textId="77777777" w:rsidR="00463F7C" w:rsidRPr="00167CB8" w:rsidRDefault="00463F7C" w:rsidP="00463F7C">
      <w:pPr>
        <w:rPr>
          <w:rFonts w:cstheme="minorHAnsi"/>
          <w:lang w:val="en-US"/>
        </w:rPr>
      </w:pPr>
      <w:r w:rsidRPr="00167CB8">
        <w:rPr>
          <w:rFonts w:cstheme="minorHAnsi"/>
          <w:lang w:val="en-US"/>
        </w:rPr>
        <w:lastRenderedPageBreak/>
        <w:t>Other feedback provided to the review indicates that amendments to the firefighter provisions of the SRC Act are functioning as intended and without unintended consequences.</w:t>
      </w:r>
    </w:p>
    <w:p w14:paraId="036B1212" w14:textId="77777777" w:rsidR="00463F7C" w:rsidRPr="00167CB8" w:rsidRDefault="00463F7C" w:rsidP="00463F7C">
      <w:r w:rsidRPr="00BD5AE5">
        <w:rPr>
          <w:rFonts w:eastAsia="Times New Roman" w:cs="Calibri"/>
          <w:lang w:eastAsia="en-AU"/>
        </w:rPr>
        <w:t>The Review Panel consulted stakeholders about its proposed findings and no significant concerns were raised in relation to these amendments.</w:t>
      </w:r>
    </w:p>
    <w:p w14:paraId="3DA0EC0B" w14:textId="59E60D8F" w:rsidR="00463F7C" w:rsidRPr="00167CB8" w:rsidRDefault="00463F7C" w:rsidP="00463F7C">
      <w:pPr>
        <w:pStyle w:val="Heading4"/>
        <w:rPr>
          <w:rFonts w:cstheme="minorHAnsi"/>
          <w:lang w:val="en-US"/>
        </w:rPr>
      </w:pPr>
      <w:bookmarkStart w:id="706" w:name="_Toc187934235"/>
      <w:bookmarkStart w:id="707" w:name="_Toc189260337"/>
      <w:bookmarkStart w:id="708" w:name="_Toc189393653"/>
      <w:r w:rsidRPr="00167CB8">
        <w:t>3</w:t>
      </w:r>
      <w:r w:rsidR="00716A50">
        <w:t>6</w:t>
      </w:r>
      <w:r w:rsidRPr="00167CB8">
        <w:t xml:space="preserve">.3 Findings and </w:t>
      </w:r>
      <w:r w:rsidRPr="00167CB8">
        <w:rPr>
          <w:rFonts w:cstheme="minorHAnsi"/>
          <w:lang w:val="en-US"/>
        </w:rPr>
        <w:t>recommendations</w:t>
      </w:r>
      <w:bookmarkEnd w:id="706"/>
      <w:bookmarkEnd w:id="707"/>
      <w:bookmarkEnd w:id="708"/>
    </w:p>
    <w:p w14:paraId="298025AE" w14:textId="77777777" w:rsidR="0011475D" w:rsidRDefault="00463F7C" w:rsidP="00463F7C">
      <w:pPr>
        <w:rPr>
          <w:rFonts w:cstheme="minorHAnsi"/>
          <w:vertAlign w:val="superscript"/>
          <w:lang w:val="en-US"/>
        </w:rPr>
      </w:pPr>
      <w:r w:rsidRPr="00167CB8">
        <w:rPr>
          <w:rFonts w:cstheme="minorHAnsi"/>
          <w:lang w:val="en-US"/>
        </w:rPr>
        <w:t>A comprehensive review of the SRC Act commenced in June 2024 and its recommendations are expected within 12 months (June 2025), with terms of reference addressing all aspects of the Comcare workers’ compensation scheme, including governance, usability and entitlements.</w:t>
      </w:r>
      <w:r w:rsidRPr="00167CB8">
        <w:rPr>
          <w:rFonts w:cstheme="minorHAnsi"/>
          <w:vertAlign w:val="superscript"/>
          <w:lang w:val="en-US"/>
        </w:rPr>
        <w:footnoteReference w:id="1290"/>
      </w:r>
    </w:p>
    <w:p w14:paraId="5CCC07CF" w14:textId="35701FC9" w:rsidR="00463F7C" w:rsidRPr="00167CB8" w:rsidRDefault="00463F7C" w:rsidP="00463F7C">
      <w:pPr>
        <w:rPr>
          <w:rFonts w:cstheme="minorHAnsi"/>
          <w:lang w:val="en-US"/>
        </w:rPr>
      </w:pPr>
      <w:r w:rsidRPr="00167CB8">
        <w:rPr>
          <w:rFonts w:cstheme="minorHAnsi"/>
          <w:lang w:val="en-US"/>
        </w:rPr>
        <w:t>Noting that the SRC Act is subject to a broader ongoing review, the Review Panel concludes that these amendments are having their intended effects and makes no recommendations at this time.</w:t>
      </w:r>
    </w:p>
    <w:p w14:paraId="1A5470EF" w14:textId="77777777" w:rsidR="00463F7C" w:rsidRPr="00167CB8" w:rsidRDefault="00463F7C" w:rsidP="00463F7C">
      <w:pPr>
        <w:spacing w:after="160"/>
        <w:rPr>
          <w:rFonts w:cstheme="minorHAnsi"/>
          <w:lang w:val="en-US"/>
        </w:rPr>
      </w:pPr>
      <w:r w:rsidRPr="00167CB8">
        <w:rPr>
          <w:rFonts w:cstheme="minorHAnsi"/>
          <w:lang w:val="en-US"/>
        </w:rPr>
        <w:br w:type="page"/>
      </w:r>
    </w:p>
    <w:p w14:paraId="0B6E88FA" w14:textId="08CFDFCB" w:rsidR="0011475D" w:rsidRPr="00ED595E" w:rsidRDefault="00463F7C" w:rsidP="00365C93">
      <w:pPr>
        <w:pStyle w:val="Heading3"/>
      </w:pPr>
      <w:bookmarkStart w:id="709" w:name="_Toc187934236"/>
      <w:bookmarkStart w:id="710" w:name="_Toc188278050"/>
      <w:bookmarkStart w:id="711" w:name="_Toc189260338"/>
      <w:bookmarkStart w:id="712" w:name="_Toc189393654"/>
      <w:bookmarkStart w:id="713" w:name="_Toc194311446"/>
      <w:r w:rsidRPr="00ED595E">
        <w:lastRenderedPageBreak/>
        <w:t>Chapter 3</w:t>
      </w:r>
      <w:r w:rsidR="00716A50">
        <w:t>7</w:t>
      </w:r>
      <w:r w:rsidRPr="00ED595E">
        <w:t xml:space="preserve">. </w:t>
      </w:r>
      <w:r w:rsidRPr="00365C93">
        <w:t>Closing Loopholes Act: Right of entry</w:t>
      </w:r>
      <w:r w:rsidRPr="00ED595E">
        <w:t xml:space="preserve"> </w:t>
      </w:r>
      <w:r w:rsidR="006C1522">
        <w:rPr>
          <w:rFonts w:ascii="Symbol" w:eastAsia="Symbol" w:hAnsi="Symbol" w:cs="Symbol"/>
        </w:rPr>
        <w:sym w:font="Symbol" w:char="F02D"/>
      </w:r>
      <w:r w:rsidRPr="00ED595E">
        <w:t xml:space="preserve"> </w:t>
      </w:r>
      <w:bookmarkEnd w:id="709"/>
      <w:bookmarkEnd w:id="710"/>
      <w:bookmarkEnd w:id="711"/>
      <w:r w:rsidRPr="00ED595E">
        <w:t>assisting health and safety representatives</w:t>
      </w:r>
      <w:bookmarkEnd w:id="712"/>
      <w:bookmarkEnd w:id="713"/>
    </w:p>
    <w:p w14:paraId="79A1AC15" w14:textId="77777777" w:rsidR="0011475D" w:rsidRDefault="00463F7C" w:rsidP="00463F7C">
      <w:pPr>
        <w:rPr>
          <w:lang w:val="en-US"/>
        </w:rPr>
      </w:pPr>
      <w:bookmarkStart w:id="714" w:name="_Toc185856699"/>
      <w:r w:rsidRPr="00167CB8">
        <w:rPr>
          <w:lang w:val="en-US"/>
        </w:rPr>
        <w:t xml:space="preserve">Under the Terms of Reference, the Review Panel was also asked to review the right of entry amendments made to Part 3-4 of the Fair Work Act by Part 16A of the </w:t>
      </w:r>
      <w:r w:rsidRPr="00167CB8">
        <w:rPr>
          <w:i/>
          <w:iCs/>
          <w:lang w:val="en-US"/>
        </w:rPr>
        <w:t>Fair Work Legislation Amendment (Closing Loopholes) Act 2023</w:t>
      </w:r>
      <w:r w:rsidRPr="00167CB8">
        <w:rPr>
          <w:lang w:val="en-US"/>
        </w:rPr>
        <w:t xml:space="preserve"> (Cth) (</w:t>
      </w:r>
      <w:r w:rsidRPr="00167CB8">
        <w:t>Closing Loopholes</w:t>
      </w:r>
      <w:r w:rsidRPr="00167CB8">
        <w:rPr>
          <w:lang w:val="en-US"/>
        </w:rPr>
        <w:t xml:space="preserve"> Act).</w:t>
      </w:r>
    </w:p>
    <w:p w14:paraId="5A55F073" w14:textId="063110B0" w:rsidR="00463F7C" w:rsidRPr="00ED595E" w:rsidRDefault="00463F7C" w:rsidP="00365C93">
      <w:pPr>
        <w:pStyle w:val="Heading4"/>
      </w:pPr>
      <w:bookmarkStart w:id="715" w:name="_Toc187934237"/>
      <w:bookmarkStart w:id="716" w:name="_Toc188278051"/>
      <w:bookmarkStart w:id="717" w:name="_Toc189260339"/>
      <w:bookmarkStart w:id="718" w:name="_Toc189393655"/>
      <w:r w:rsidRPr="00ED595E">
        <w:t>3</w:t>
      </w:r>
      <w:r w:rsidR="00716A50">
        <w:t>7</w:t>
      </w:r>
      <w:r w:rsidRPr="00ED595E">
        <w:t xml:space="preserve">.1 </w:t>
      </w:r>
      <w:bookmarkEnd w:id="715"/>
      <w:bookmarkEnd w:id="716"/>
      <w:r w:rsidRPr="00365C93">
        <w:t>Amendments and intent</w:t>
      </w:r>
      <w:bookmarkEnd w:id="717"/>
      <w:bookmarkEnd w:id="718"/>
    </w:p>
    <w:p w14:paraId="0349732A" w14:textId="5ECEE660" w:rsidR="0011475D" w:rsidRDefault="00463F7C" w:rsidP="00463F7C">
      <w:pPr>
        <w:rPr>
          <w:lang w:val="en-US"/>
        </w:rPr>
      </w:pPr>
      <w:r w:rsidRPr="00167CB8">
        <w:rPr>
          <w:lang w:val="en-US"/>
        </w:rPr>
        <w:t xml:space="preserve">The </w:t>
      </w:r>
      <w:r w:rsidRPr="00167CB8">
        <w:t>Closing Loopholes</w:t>
      </w:r>
      <w:r w:rsidRPr="00167CB8">
        <w:rPr>
          <w:lang w:val="en-US"/>
        </w:rPr>
        <w:t xml:space="preserve"> Act amended the requirement for officials of registered organisations (e.g. union officials) to hold a right of entry permit when assisting Health and Safety Representatives (HSRs). While these changes impact on union officials, they relate to a right exercised by HSRs</w:t>
      </w:r>
      <w:r>
        <w:rPr>
          <w:lang w:val="en-US"/>
        </w:rPr>
        <w:t xml:space="preserve">, often under health and safety legislation under state </w:t>
      </w:r>
      <w:r w:rsidR="00661647">
        <w:rPr>
          <w:lang w:val="en-US"/>
        </w:rPr>
        <w:t>and territory</w:t>
      </w:r>
      <w:r>
        <w:rPr>
          <w:lang w:val="en-US"/>
        </w:rPr>
        <w:t xml:space="preserve"> jurisdictions</w:t>
      </w:r>
      <w:r w:rsidRPr="00167CB8">
        <w:rPr>
          <w:lang w:val="en-US"/>
        </w:rPr>
        <w:t>.</w:t>
      </w:r>
    </w:p>
    <w:p w14:paraId="5ED12969" w14:textId="2371A110" w:rsidR="0011475D" w:rsidRDefault="00463F7C" w:rsidP="00463F7C">
      <w:r w:rsidRPr="00167CB8">
        <w:rPr>
          <w:lang w:val="en-US"/>
        </w:rPr>
        <w:t xml:space="preserve">HSRs are employees who are elected by their colleagues to deal with </w:t>
      </w:r>
      <w:r w:rsidRPr="00167CB8">
        <w:t xml:space="preserve">work health and safety issues in the workplace. While HSRs may request a union official to come to the workplace to assist them, there are also other reasons union officials may enter workplaces (i.e. to hold discussions with members) that are governed by Fair Work </w:t>
      </w:r>
      <w:r w:rsidR="004407A6">
        <w:t xml:space="preserve">Act </w:t>
      </w:r>
      <w:r w:rsidRPr="00167CB8">
        <w:t>right of entry permits.</w:t>
      </w:r>
    </w:p>
    <w:p w14:paraId="1EE0916F" w14:textId="679AD019" w:rsidR="00463F7C" w:rsidRPr="009337E7" w:rsidRDefault="00463F7C" w:rsidP="00365C93">
      <w:pPr>
        <w:pStyle w:val="Heading5"/>
      </w:pPr>
      <w:bookmarkStart w:id="719" w:name="_Toc187934238"/>
      <w:r w:rsidRPr="009337E7">
        <w:t>3</w:t>
      </w:r>
      <w:r w:rsidR="00716A50">
        <w:t>7</w:t>
      </w:r>
      <w:r w:rsidRPr="009337E7">
        <w:t xml:space="preserve">.1.1 </w:t>
      </w:r>
      <w:r w:rsidRPr="00365C93">
        <w:t xml:space="preserve">Closing Loopholes </w:t>
      </w:r>
      <w:r w:rsidRPr="009337E7">
        <w:t>amendments</w:t>
      </w:r>
      <w:bookmarkEnd w:id="719"/>
    </w:p>
    <w:p w14:paraId="2D9B6836" w14:textId="77777777" w:rsidR="0011475D" w:rsidRDefault="00463F7C" w:rsidP="00463F7C">
      <w:r w:rsidRPr="396ABCA7">
        <w:t>Under the Fair Work Act (at s 494) officials must hold a right of entry permit to exercise a state or territory occupational health and safety (OHS) right to enter a worksite. Prior to the Closing Loopholes Act, this was required even where the official (or anyone else) was assisting the HSR.</w:t>
      </w:r>
    </w:p>
    <w:p w14:paraId="2D6F9028" w14:textId="77777777" w:rsidR="0011475D" w:rsidRDefault="00463F7C" w:rsidP="00463F7C">
      <w:pPr>
        <w:rPr>
          <w:rFonts w:cstheme="minorHAnsi"/>
          <w:lang w:val="en-US"/>
        </w:rPr>
      </w:pPr>
      <w:r w:rsidRPr="00167CB8">
        <w:rPr>
          <w:rFonts w:cstheme="minorHAnsi"/>
          <w:lang w:val="en-US"/>
        </w:rPr>
        <w:t xml:space="preserve">The </w:t>
      </w:r>
      <w:r w:rsidRPr="00167CB8">
        <w:t>Closing Loopholes</w:t>
      </w:r>
      <w:r w:rsidRPr="00167CB8">
        <w:rPr>
          <w:rFonts w:cstheme="minorHAnsi"/>
          <w:lang w:val="en-US"/>
        </w:rPr>
        <w:t xml:space="preserve"> Act at Part 16A add</w:t>
      </w:r>
      <w:r>
        <w:rPr>
          <w:rFonts w:cstheme="minorHAnsi"/>
          <w:lang w:val="en-US"/>
        </w:rPr>
        <w:t>ed</w:t>
      </w:r>
      <w:r w:rsidRPr="00167CB8">
        <w:rPr>
          <w:rFonts w:cstheme="minorHAnsi"/>
          <w:lang w:val="en-US"/>
        </w:rPr>
        <w:t xml:space="preserve"> a new s 494(4) in the Fair Work Act that confirms that the requirement to hold a right of entry permit does ‘</w:t>
      </w:r>
      <w:r w:rsidRPr="00167CB8">
        <w:rPr>
          <w:rFonts w:cstheme="minorHAnsi"/>
        </w:rPr>
        <w:t>not apply to an official of an organisation assisting a health and safety representative on request under a provision of a State or Territory OHS law’. This means officials are subject to the same entry requirements as any other people assisting HSRs.</w:t>
      </w:r>
    </w:p>
    <w:p w14:paraId="5C98B1CC" w14:textId="25161302" w:rsidR="0011475D" w:rsidRDefault="00463F7C" w:rsidP="00463F7C">
      <w:pPr>
        <w:rPr>
          <w:rFonts w:cstheme="minorHAnsi"/>
          <w:lang w:val="en-US"/>
        </w:rPr>
      </w:pPr>
      <w:r w:rsidRPr="00167CB8">
        <w:rPr>
          <w:rFonts w:cstheme="minorHAnsi"/>
          <w:lang w:val="en-US"/>
        </w:rPr>
        <w:t>Further, ss 495 to 498 of the Fair Work Act no longer apply where a union official is assisting a</w:t>
      </w:r>
      <w:r w:rsidR="004407A6">
        <w:rPr>
          <w:rFonts w:cstheme="minorHAnsi"/>
          <w:lang w:val="en-US"/>
        </w:rPr>
        <w:t>n</w:t>
      </w:r>
      <w:r w:rsidRPr="00167CB8">
        <w:rPr>
          <w:rFonts w:cstheme="minorHAnsi"/>
          <w:lang w:val="en-US"/>
        </w:rPr>
        <w:t xml:space="preserve"> HSR.</w:t>
      </w:r>
      <w:r w:rsidRPr="00167CB8">
        <w:rPr>
          <w:rStyle w:val="FootnoteReference"/>
          <w:rFonts w:cstheme="minorHAnsi"/>
          <w:lang w:val="en-US"/>
        </w:rPr>
        <w:footnoteReference w:id="1291"/>
      </w:r>
      <w:r w:rsidRPr="00167CB8">
        <w:rPr>
          <w:rFonts w:cstheme="minorHAnsi"/>
          <w:lang w:val="en-US"/>
        </w:rPr>
        <w:t xml:space="preserve"> This means that union officials acting as HSR assistants are, among other things, not required to give at least 24 hours’ notice before exercising their right to enter a worksite</w:t>
      </w:r>
      <w:r w:rsidRPr="00167CB8">
        <w:rPr>
          <w:rStyle w:val="FootnoteReference"/>
          <w:rFonts w:cstheme="minorHAnsi"/>
          <w:lang w:val="en-US"/>
        </w:rPr>
        <w:footnoteReference w:id="1292"/>
      </w:r>
      <w:r w:rsidRPr="00167CB8">
        <w:rPr>
          <w:rFonts w:cstheme="minorHAnsi"/>
          <w:lang w:val="en-US"/>
        </w:rPr>
        <w:t xml:space="preserve"> and are not restricted to exercising a right of entry during working hours.</w:t>
      </w:r>
      <w:r w:rsidRPr="00167CB8">
        <w:rPr>
          <w:rStyle w:val="FootnoteReference"/>
          <w:rFonts w:cstheme="minorHAnsi"/>
          <w:lang w:val="en-US"/>
        </w:rPr>
        <w:footnoteReference w:id="1293"/>
      </w:r>
    </w:p>
    <w:p w14:paraId="7C4E4380" w14:textId="7634A486" w:rsidR="00463F7C" w:rsidRPr="00167CB8" w:rsidRDefault="00463F7C" w:rsidP="00463F7C">
      <w:r w:rsidRPr="396ABCA7">
        <w:t>Sections 499 to 504 of the Fair Work Act continue to apply in relation to union officials. For example, while the permit requirement has been removed, officials of organisations assisting HSRs must ‘not intentionally hinder or obstruct any person, or otherwise act in an improper manner’.</w:t>
      </w:r>
      <w:r w:rsidRPr="396ABCA7">
        <w:rPr>
          <w:rStyle w:val="FootnoteReference"/>
        </w:rPr>
        <w:footnoteReference w:id="1294"/>
      </w:r>
    </w:p>
    <w:p w14:paraId="61807DFC" w14:textId="77777777" w:rsidR="00463F7C" w:rsidRPr="00167CB8" w:rsidRDefault="00463F7C" w:rsidP="00463F7C">
      <w:pPr>
        <w:rPr>
          <w:rFonts w:cstheme="minorHAnsi"/>
          <w:lang w:val="en-US"/>
        </w:rPr>
      </w:pPr>
      <w:r w:rsidRPr="00167CB8">
        <w:rPr>
          <w:rFonts w:cstheme="minorHAnsi"/>
          <w:lang w:val="en-US"/>
        </w:rPr>
        <w:t xml:space="preserve">These amendments came into effect on </w:t>
      </w:r>
      <w:r w:rsidRPr="00167CB8">
        <w:rPr>
          <w:rFonts w:cstheme="minorHAnsi"/>
        </w:rPr>
        <w:t>15 December 2023.</w:t>
      </w:r>
    </w:p>
    <w:p w14:paraId="196E0963" w14:textId="4C512970" w:rsidR="00463F7C" w:rsidRPr="009337E7" w:rsidRDefault="00463F7C" w:rsidP="00365C93">
      <w:pPr>
        <w:pStyle w:val="Heading5"/>
      </w:pPr>
      <w:bookmarkStart w:id="720" w:name="_Toc187934239"/>
      <w:r w:rsidRPr="009337E7">
        <w:lastRenderedPageBreak/>
        <w:t>3</w:t>
      </w:r>
      <w:r w:rsidR="00716A50">
        <w:t>7</w:t>
      </w:r>
      <w:r w:rsidRPr="009337E7">
        <w:t xml:space="preserve">.1.2 Intent of </w:t>
      </w:r>
      <w:r w:rsidRPr="00365C93">
        <w:t>Closing Loopholes</w:t>
      </w:r>
      <w:r w:rsidRPr="009337E7">
        <w:t xml:space="preserve"> amendments</w:t>
      </w:r>
      <w:bookmarkEnd w:id="720"/>
    </w:p>
    <w:p w14:paraId="2D6AD077" w14:textId="77777777" w:rsidR="00463F7C" w:rsidRPr="00167CB8" w:rsidRDefault="00463F7C" w:rsidP="00463F7C">
      <w:pPr>
        <w:spacing w:after="0"/>
        <w:rPr>
          <w:rFonts w:cstheme="minorHAnsi"/>
          <w:lang w:val="en-US"/>
        </w:rPr>
      </w:pPr>
      <w:r w:rsidRPr="00167CB8">
        <w:rPr>
          <w:lang w:val="en-US"/>
        </w:rPr>
        <w:t xml:space="preserve">The Explanatory Memorandum indicated that Part 16A of the </w:t>
      </w:r>
      <w:r w:rsidRPr="00167CB8">
        <w:t>Closing Loopholes</w:t>
      </w:r>
      <w:r w:rsidRPr="00167CB8">
        <w:rPr>
          <w:lang w:val="en-US"/>
        </w:rPr>
        <w:t xml:space="preserve"> Act was intended to ‘</w:t>
      </w:r>
      <w:r w:rsidRPr="00167CB8">
        <w:t>implement Recommendation 8 of the Boland Review (and reverse the effect of Powell), subject to appropriate safeguards imposed by the FW Act’.</w:t>
      </w:r>
      <w:r w:rsidRPr="00167CB8">
        <w:rPr>
          <w:rStyle w:val="FootnoteReference"/>
          <w:lang w:val="en-US"/>
        </w:rPr>
        <w:footnoteReference w:id="1295"/>
      </w:r>
    </w:p>
    <w:p w14:paraId="75CC333A" w14:textId="470A6889" w:rsidR="00463F7C" w:rsidRPr="00167CB8" w:rsidRDefault="00463F7C" w:rsidP="00463F7C">
      <w:pPr>
        <w:spacing w:before="240"/>
      </w:pPr>
      <w:r w:rsidRPr="00167CB8">
        <w:rPr>
          <w:rFonts w:cstheme="minorHAnsi"/>
          <w:lang w:val="en-US"/>
        </w:rPr>
        <w:t xml:space="preserve">This legislative amendment arose from the Federal Court of Australia (FCA) appeal decision, </w:t>
      </w:r>
      <w:r w:rsidRPr="00167CB8">
        <w:rPr>
          <w:i/>
          <w:iCs/>
        </w:rPr>
        <w:t>Australian Building and Construction Commissioner (ABCC) v Powell</w:t>
      </w:r>
      <w:r w:rsidRPr="00167CB8">
        <w:t>.</w:t>
      </w:r>
      <w:r w:rsidRPr="00167CB8">
        <w:rPr>
          <w:rStyle w:val="FootnoteReference"/>
        </w:rPr>
        <w:footnoteReference w:id="1296"/>
      </w:r>
      <w:r w:rsidRPr="00167CB8">
        <w:t xml:space="preserve"> In this case Mr Powell, a union official from the Construction, Forestry and Maritime Employees Union (CFMEU), stated that he had been invited to enter a worksite (in Victoria) by a</w:t>
      </w:r>
      <w:r w:rsidR="004407A6">
        <w:t>n</w:t>
      </w:r>
      <w:r w:rsidRPr="00167CB8">
        <w:t xml:space="preserve"> HSR to provide them with assistance. He argued that under s 58(1)(f) of the </w:t>
      </w:r>
      <w:r w:rsidRPr="00167CB8">
        <w:rPr>
          <w:i/>
          <w:iCs/>
        </w:rPr>
        <w:t>Occupational Health and Safety Act 2004 </w:t>
      </w:r>
      <w:r w:rsidRPr="00167CB8">
        <w:t>(Vic) (Vic OHS law) he did not need a permit for this purpose, as it was the HSR exercising the OHS right, not him, so s 494 of the Fair Work Act did not apply.</w:t>
      </w:r>
      <w:r w:rsidRPr="00167CB8">
        <w:rPr>
          <w:rStyle w:val="FootnoteReference"/>
        </w:rPr>
        <w:footnoteReference w:id="1297"/>
      </w:r>
    </w:p>
    <w:p w14:paraId="35D63BA5" w14:textId="6EC26F57" w:rsidR="00463F7C" w:rsidRPr="00167CB8" w:rsidRDefault="00463F7C" w:rsidP="00463F7C">
      <w:r w:rsidRPr="396ABCA7">
        <w:t>In the original decision, the FCA ruled in favour of Mr Powell, determining that he did not enter in his representative capacity as a union official.</w:t>
      </w:r>
      <w:r w:rsidRPr="396ABCA7">
        <w:rPr>
          <w:rStyle w:val="FootnoteReference"/>
        </w:rPr>
        <w:footnoteReference w:id="1298"/>
      </w:r>
      <w:r w:rsidRPr="396ABCA7">
        <w:t xml:space="preserve"> The </w:t>
      </w:r>
      <w:r w:rsidR="00716A50" w:rsidRPr="00716A50">
        <w:t xml:space="preserve">Australian Building and Construction Commission </w:t>
      </w:r>
      <w:r w:rsidRPr="396ABCA7">
        <w:t>appealed to the Full Court of the FCA.</w:t>
      </w:r>
    </w:p>
    <w:p w14:paraId="76BB0147" w14:textId="77777777" w:rsidR="00463F7C" w:rsidRPr="00167CB8" w:rsidRDefault="00463F7C" w:rsidP="00463F7C">
      <w:r w:rsidRPr="396ABCA7">
        <w:t>In a unanimous ruling the Full Court of the FCA allowed the appeal, setting aside the orders of the previous judge and remitted the matter for further hearing. The Full Court</w:t>
      </w:r>
      <w:r w:rsidRPr="396ABCA7" w:rsidDel="008747B5">
        <w:t xml:space="preserve"> </w:t>
      </w:r>
      <w:r w:rsidRPr="396ABCA7">
        <w:t>found ‘that Mr Powell as an official of an organisation required a permit under the </w:t>
      </w:r>
      <w:r w:rsidRPr="396ABCA7">
        <w:rPr>
          <w:i/>
          <w:iCs/>
        </w:rPr>
        <w:t>FW Act</w:t>
      </w:r>
      <w:r w:rsidRPr="396ABCA7">
        <w:t> to enter the premises because he was exercising his right to enter the premises or the HS representative’s right to have him enter the premises to assist the HS representative in his task’.</w:t>
      </w:r>
      <w:r w:rsidRPr="396ABCA7">
        <w:rPr>
          <w:rStyle w:val="FootnoteReference"/>
        </w:rPr>
        <w:footnoteReference w:id="1299"/>
      </w:r>
    </w:p>
    <w:p w14:paraId="7F2D06E9" w14:textId="4E8BC82D" w:rsidR="00463F7C" w:rsidRPr="00167CB8" w:rsidRDefault="00463F7C" w:rsidP="00463F7C">
      <w:r w:rsidRPr="396ABCA7">
        <w:t xml:space="preserve">In 2018 Marie Boland was appointed to conduct the Review of the </w:t>
      </w:r>
      <w:r w:rsidR="00716A50">
        <w:t>M</w:t>
      </w:r>
      <w:r w:rsidRPr="396ABCA7">
        <w:t xml:space="preserve">odel WHS laws (Boland Review). </w:t>
      </w:r>
      <w:r w:rsidR="00716A50">
        <w:t>Work health and safety (</w:t>
      </w:r>
      <w:r w:rsidRPr="396ABCA7">
        <w:t>WHS</w:t>
      </w:r>
      <w:r w:rsidR="00716A50">
        <w:t>)</w:t>
      </w:r>
      <w:r w:rsidRPr="396ABCA7">
        <w:t xml:space="preserve"> law is legislated and regulated separately by each of Australia’s state, territory and Commonwealth jurisdictions. They are effectively harmonised across the jurisdictions through a set of uniform laws known as the ‘Model WHS laws’.</w:t>
      </w:r>
      <w:r w:rsidRPr="396ABCA7">
        <w:rPr>
          <w:rStyle w:val="FootnoteReference"/>
        </w:rPr>
        <w:footnoteReference w:id="1300"/>
      </w:r>
      <w:r w:rsidRPr="396ABCA7">
        <w:t xml:space="preserve"> In assessing the powers and functions of HSRs, the Boland Review considered the capacity for a HSR to ‘request the assistance of any person in the performance of’ their role.</w:t>
      </w:r>
      <w:r w:rsidRPr="396ABCA7">
        <w:rPr>
          <w:rStyle w:val="FootnoteReference"/>
        </w:rPr>
        <w:footnoteReference w:id="1301"/>
      </w:r>
      <w:r w:rsidRPr="396ABCA7">
        <w:t xml:space="preserve"> Having considered submissions, the Boland Review concluded ‘the right of an HSR to bring in a person with appropriate experience and knowledge to assist them should not be restricted if that person is also a union official. In practice, persons assisting an HSR will not necessarily be union officials’</w:t>
      </w:r>
      <w:r w:rsidR="005D418D">
        <w:t>.</w:t>
      </w:r>
      <w:r w:rsidRPr="396ABCA7">
        <w:t xml:space="preserve"> The Boland Review recommended (recommendation 8):</w:t>
      </w:r>
      <w:r w:rsidRPr="396ABCA7">
        <w:rPr>
          <w:rStyle w:val="FootnoteReference"/>
        </w:rPr>
        <w:footnoteReference w:id="1302"/>
      </w:r>
    </w:p>
    <w:p w14:paraId="7D6F1E3D" w14:textId="77777777" w:rsidR="00463F7C" w:rsidRPr="00167CB8" w:rsidRDefault="00463F7C" w:rsidP="00250AD1">
      <w:pPr>
        <w:pStyle w:val="Quote"/>
      </w:pPr>
      <w:r w:rsidRPr="00167CB8">
        <w:t xml:space="preserve">Safe Work Australia work with relevant agencies to consider how to achieve the policy intention that a union official accessing a workplace to provide assistance to an HSR is not required to hold an entry permit </w:t>
      </w:r>
      <w:r w:rsidRPr="00167CB8">
        <w:lastRenderedPageBreak/>
        <w:t>under the Fair Work Act or another industrial law, taking into account the interaction between Commonwealth, state and territory laws.</w:t>
      </w:r>
    </w:p>
    <w:p w14:paraId="2AE80545" w14:textId="61477553" w:rsidR="00463F7C" w:rsidRPr="008E1144" w:rsidRDefault="00463F7C" w:rsidP="00365C93">
      <w:pPr>
        <w:pStyle w:val="Heading4"/>
      </w:pPr>
      <w:bookmarkStart w:id="721" w:name="_Toc187934240"/>
      <w:bookmarkStart w:id="722" w:name="_Toc188278052"/>
      <w:bookmarkStart w:id="723" w:name="_Toc189260340"/>
      <w:bookmarkStart w:id="724" w:name="_Toc189393656"/>
      <w:r w:rsidRPr="008E1144">
        <w:t>3</w:t>
      </w:r>
      <w:r w:rsidR="00716A50">
        <w:t>7</w:t>
      </w:r>
      <w:r w:rsidRPr="008E1144">
        <w:t>.2 Impact and issues</w:t>
      </w:r>
      <w:bookmarkEnd w:id="721"/>
      <w:bookmarkEnd w:id="722"/>
      <w:bookmarkEnd w:id="723"/>
      <w:bookmarkEnd w:id="724"/>
    </w:p>
    <w:p w14:paraId="221EEC54" w14:textId="77777777" w:rsidR="00463F7C" w:rsidRPr="00167CB8" w:rsidRDefault="00463F7C" w:rsidP="00463F7C">
      <w:r w:rsidRPr="00167CB8">
        <w:t>The following describes the data and information considered by the Review Panel when evaluating the amendments discussed above.</w:t>
      </w:r>
    </w:p>
    <w:p w14:paraId="175D1834" w14:textId="5FD92E56" w:rsidR="00463F7C" w:rsidRPr="00365C93" w:rsidRDefault="00463F7C" w:rsidP="00365C93">
      <w:pPr>
        <w:pStyle w:val="Heading5"/>
      </w:pPr>
      <w:bookmarkStart w:id="725" w:name="_Toc187934241"/>
      <w:r w:rsidRPr="00365C93">
        <w:t>3</w:t>
      </w:r>
      <w:r w:rsidR="00716A50">
        <w:t>7</w:t>
      </w:r>
      <w:r w:rsidRPr="00365C93">
        <w:t>.2.1 Quantitative evidence</w:t>
      </w:r>
      <w:bookmarkEnd w:id="725"/>
    </w:p>
    <w:p w14:paraId="69763384" w14:textId="77777777" w:rsidR="00463F7C" w:rsidRPr="00167CB8" w:rsidRDefault="00463F7C" w:rsidP="00463F7C">
      <w:r w:rsidRPr="00BD5AE5">
        <w:t xml:space="preserve">Data provided by the FWO to the Review covering 1 July 2023 </w:t>
      </w:r>
      <w:r w:rsidRPr="00BD5AE5">
        <w:rPr>
          <w:rFonts w:ascii="Symbol" w:eastAsia="Symbol" w:hAnsi="Symbol" w:cs="Symbol"/>
        </w:rPr>
        <w:t>-</w:t>
      </w:r>
      <w:r w:rsidRPr="00BD5AE5">
        <w:t xml:space="preserve"> 31 December 2024 indicates that they received no requests for assistance or complaints related to union officials entering the worksite (to assist HSRs) without a permit.</w:t>
      </w:r>
      <w:r w:rsidRPr="396ABCA7">
        <w:t xml:space="preserve"> The Review Panel is therefore not aware of any significant quantitative evidence in relation to these amendments.</w:t>
      </w:r>
    </w:p>
    <w:p w14:paraId="76A34ABB" w14:textId="6F9F331F" w:rsidR="00463F7C" w:rsidRPr="008E1144" w:rsidRDefault="00463F7C" w:rsidP="00365C93">
      <w:pPr>
        <w:pStyle w:val="Heading5"/>
      </w:pPr>
      <w:bookmarkStart w:id="726" w:name="_Toc187934242"/>
      <w:r w:rsidRPr="008E1144">
        <w:t>3</w:t>
      </w:r>
      <w:r w:rsidR="00716A50">
        <w:t>7</w:t>
      </w:r>
      <w:r w:rsidRPr="008E1144">
        <w:t>.2.2 Qualitative evidence</w:t>
      </w:r>
      <w:bookmarkEnd w:id="726"/>
    </w:p>
    <w:p w14:paraId="7176EAD5" w14:textId="77777777" w:rsidR="00463F7C" w:rsidRPr="00167CB8" w:rsidRDefault="00463F7C" w:rsidP="00463F7C">
      <w:r w:rsidRPr="396ABCA7">
        <w:t>In submissions to the 2018 Boland Review, Ai Group argued that the provisions could be used by union officials to circumvent the usual right of entry provisions and could result in HSRs being pressured by union organisers to arrange for their right of entry. The Minerals Council of Australia (MCA) argued that only those with a valid entry permit under WHS and workplace relation laws should be allowed entry to assist. The CME argued that the person must have relevant knowledge.</w:t>
      </w:r>
      <w:r w:rsidRPr="396ABCA7">
        <w:rPr>
          <w:rStyle w:val="FootnoteReference"/>
        </w:rPr>
        <w:footnoteReference w:id="1303"/>
      </w:r>
    </w:p>
    <w:p w14:paraId="335C5F2E" w14:textId="2036168A" w:rsidR="0011475D" w:rsidRDefault="00463F7C" w:rsidP="00463F7C">
      <w:r w:rsidRPr="396ABCA7">
        <w:t xml:space="preserve">In response to concerns raised, the Boland Review noted that the </w:t>
      </w:r>
      <w:r w:rsidR="006C1522">
        <w:t>m</w:t>
      </w:r>
      <w:r w:rsidRPr="396ABCA7">
        <w:t>odel WHS Act ‘includes provisions to ensure that the right to request assistance is used appropriately’. Th</w:t>
      </w:r>
      <w:r>
        <w:t>ese provisions</w:t>
      </w:r>
      <w:r w:rsidRPr="396ABCA7">
        <w:t xml:space="preserve"> include disqualifying a</w:t>
      </w:r>
      <w:r w:rsidR="005D418D">
        <w:t>n</w:t>
      </w:r>
      <w:r w:rsidRPr="396ABCA7">
        <w:t xml:space="preserve"> HSR if ‘they exercise their powers for an improper purpose (and this would include their powers related to requesting assistance from any person)’. The Boland Review also noted that the employer may (at s 71(5) of the model WHS Act) refuse access to the workplace on ‘reasonable grounds’</w:t>
      </w:r>
      <w:r w:rsidR="005D418D">
        <w:t>.</w:t>
      </w:r>
      <w:r w:rsidRPr="396ABCA7">
        <w:rPr>
          <w:rStyle w:val="FootnoteReference"/>
        </w:rPr>
        <w:footnoteReference w:id="1304"/>
      </w:r>
    </w:p>
    <w:p w14:paraId="7D85DA98" w14:textId="0CA7747C" w:rsidR="0011475D" w:rsidRDefault="00463F7C" w:rsidP="00463F7C">
      <w:r w:rsidRPr="00BD5AE5">
        <w:t xml:space="preserve">As discussed </w:t>
      </w:r>
      <w:r w:rsidRPr="00FD51E9">
        <w:t>in Chapter 4, the Review</w:t>
      </w:r>
      <w:r w:rsidRPr="00BD5AE5">
        <w:t xml:space="preserve"> Panel notes the release of the </w:t>
      </w:r>
      <w:r w:rsidRPr="008E1144">
        <w:rPr>
          <w:i/>
        </w:rPr>
        <w:t>First Bi-Annual Report</w:t>
      </w:r>
      <w:r w:rsidRPr="00BD5AE5">
        <w:t xml:space="preserve"> of </w:t>
      </w:r>
      <w:r w:rsidRPr="008E1144">
        <w:rPr>
          <w:i/>
        </w:rPr>
        <w:t xml:space="preserve">the CFMEU </w:t>
      </w:r>
      <w:r w:rsidR="00716A50" w:rsidRPr="008E1144">
        <w:rPr>
          <w:i/>
          <w:iCs/>
        </w:rPr>
        <w:t>A</w:t>
      </w:r>
      <w:r w:rsidRPr="008E1144">
        <w:rPr>
          <w:i/>
          <w:iCs/>
        </w:rPr>
        <w:t>dministrator</w:t>
      </w:r>
      <w:r w:rsidRPr="00BD5AE5">
        <w:t xml:space="preserve">. It states that in the </w:t>
      </w:r>
      <w:r w:rsidR="005D418D">
        <w:t>five</w:t>
      </w:r>
      <w:r w:rsidRPr="00BD5AE5">
        <w:t xml:space="preserve"> years prior to the administration, the CFMEU ‘have breached industrial laws on 1163 occasions and incurred $10,628,861 in penalties’ compared to 37 occasions for the </w:t>
      </w:r>
      <w:r w:rsidR="005D418D">
        <w:t>nine</w:t>
      </w:r>
      <w:r w:rsidRPr="00BD5AE5">
        <w:t xml:space="preserve"> other largest unions combined.</w:t>
      </w:r>
      <w:r w:rsidRPr="00BD5AE5">
        <w:rPr>
          <w:rStyle w:val="FootnoteReference"/>
        </w:rPr>
        <w:footnoteReference w:id="1305"/>
      </w:r>
      <w:r w:rsidRPr="00BD5AE5">
        <w:t xml:space="preserve"> While </w:t>
      </w:r>
      <w:r>
        <w:t>the report</w:t>
      </w:r>
      <w:r w:rsidRPr="00BD5AE5">
        <w:t xml:space="preserve"> notes the need for a targeted approach to addressing ongoing issues in the construction industry, it does not </w:t>
      </w:r>
      <w:r>
        <w:t xml:space="preserve">directly </w:t>
      </w:r>
      <w:r w:rsidRPr="00BD5AE5">
        <w:t xml:space="preserve">consider the Closing Loopholes </w:t>
      </w:r>
      <w:r w:rsidR="005D418D">
        <w:t xml:space="preserve">Act </w:t>
      </w:r>
      <w:r w:rsidRPr="00BD5AE5">
        <w:t>amendments regarding right of entry permits.</w:t>
      </w:r>
    </w:p>
    <w:p w14:paraId="50B8AD6B" w14:textId="440AD7AA" w:rsidR="00463F7C" w:rsidRPr="008E1144" w:rsidRDefault="00463F7C" w:rsidP="00365C93">
      <w:pPr>
        <w:pStyle w:val="Heading5"/>
      </w:pPr>
      <w:bookmarkStart w:id="727" w:name="_Toc187934243"/>
      <w:r w:rsidRPr="008E1144">
        <w:t>3</w:t>
      </w:r>
      <w:r w:rsidR="00716A50">
        <w:t>7</w:t>
      </w:r>
      <w:r w:rsidRPr="008E1144">
        <w:t>.2.3 Stakeholder views</w:t>
      </w:r>
      <w:bookmarkEnd w:id="727"/>
    </w:p>
    <w:p w14:paraId="4B156866" w14:textId="43172CAC" w:rsidR="0011475D" w:rsidRDefault="00463F7C" w:rsidP="00463F7C">
      <w:r w:rsidRPr="00167CB8">
        <w:t>Several employer associations, including the Australian Chamber of Commerce and Industry (ACCI), Master Builders Australia,</w:t>
      </w:r>
      <w:r w:rsidRPr="00167CB8">
        <w:rPr>
          <w:rStyle w:val="FootnoteReference"/>
        </w:rPr>
        <w:footnoteReference w:id="1306"/>
      </w:r>
      <w:r w:rsidRPr="00167CB8">
        <w:t xml:space="preserve"> MCA, Ai Group,</w:t>
      </w:r>
      <w:r w:rsidRPr="00167CB8">
        <w:rPr>
          <w:rStyle w:val="FootnoteReference"/>
        </w:rPr>
        <w:footnoteReference w:id="1307"/>
      </w:r>
      <w:r w:rsidRPr="00167CB8" w:rsidDel="005D418D">
        <w:t xml:space="preserve"> </w:t>
      </w:r>
      <w:r w:rsidRPr="00167CB8">
        <w:t xml:space="preserve">Chamber of Minerals &amp; Energy of </w:t>
      </w:r>
      <w:r w:rsidRPr="00167CB8">
        <w:lastRenderedPageBreak/>
        <w:t>Western Australia,</w:t>
      </w:r>
      <w:r w:rsidRPr="00167CB8">
        <w:rPr>
          <w:rStyle w:val="FootnoteReference"/>
        </w:rPr>
        <w:footnoteReference w:id="1308"/>
      </w:r>
      <w:r w:rsidRPr="00167CB8">
        <w:t xml:space="preserve"> Australian Retailers Association,</w:t>
      </w:r>
      <w:r w:rsidRPr="00167CB8">
        <w:rPr>
          <w:rStyle w:val="FootnoteReference"/>
        </w:rPr>
        <w:footnoteReference w:id="1309"/>
      </w:r>
      <w:r w:rsidRPr="00167CB8">
        <w:t xml:space="preserve"> Business Council of Australia,</w:t>
      </w:r>
      <w:r w:rsidRPr="00167CB8">
        <w:rPr>
          <w:rStyle w:val="FootnoteReference"/>
        </w:rPr>
        <w:footnoteReference w:id="1310"/>
      </w:r>
      <w:r w:rsidRPr="00167CB8">
        <w:t xml:space="preserve"> Housing Industry Association</w:t>
      </w:r>
      <w:r w:rsidRPr="00167CB8">
        <w:rPr>
          <w:rStyle w:val="FootnoteReference"/>
        </w:rPr>
        <w:footnoteReference w:id="1311"/>
      </w:r>
      <w:r w:rsidRPr="00167CB8">
        <w:t xml:space="preserve"> and Chamber of Commerce and Industry of WA</w:t>
      </w:r>
      <w:r w:rsidRPr="00167CB8">
        <w:rPr>
          <w:rStyle w:val="FootnoteReference"/>
        </w:rPr>
        <w:footnoteReference w:id="1312"/>
      </w:r>
      <w:r w:rsidRPr="00167CB8">
        <w:t xml:space="preserve"> submitted that the amendments</w:t>
      </w:r>
      <w:r w:rsidRPr="00167CB8">
        <w:rPr>
          <w:rFonts w:cstheme="minorHAnsi"/>
          <w:lang w:val="en-US"/>
        </w:rPr>
        <w:t xml:space="preserve"> are misguided and inappropriate, with the potential to </w:t>
      </w:r>
      <w:r w:rsidRPr="00167CB8">
        <w:t>undermine workplace safety.</w:t>
      </w:r>
    </w:p>
    <w:p w14:paraId="7D0CADB6" w14:textId="71AB7E74" w:rsidR="0011475D" w:rsidRDefault="00463F7C" w:rsidP="00463F7C">
      <w:r w:rsidRPr="396ABCA7">
        <w:t>ACCI, for example, noted that persons granted a right of entry permit by the FWC are required to satisfy certain requirements (e.g. they are a ‘fit and proper’ person and have completed right of entry training).</w:t>
      </w:r>
      <w:r w:rsidRPr="396ABCA7">
        <w:rPr>
          <w:rStyle w:val="FootnoteReference"/>
        </w:rPr>
        <w:footnoteReference w:id="1313"/>
      </w:r>
      <w:r w:rsidRPr="396ABCA7">
        <w:t xml:space="preserve"> If officials assisting HSRs are not required to hold a right of entry permit, they also bypass the criteria needed to obtain one. This, in turn, may pose ‘a significant risk to both the occupier of the premises and the official during their attendance, as well as causing unnecessary tension between parties’. They cited an example from Australian Resources &amp; Energy Employer Association of officials assisting a</w:t>
      </w:r>
      <w:r w:rsidR="005D418D">
        <w:t>n</w:t>
      </w:r>
      <w:r w:rsidRPr="396ABCA7">
        <w:t xml:space="preserve"> HSR identifying themselves as an onsite visitor to avoid compliance with safety procedures.</w:t>
      </w:r>
      <w:r w:rsidRPr="396ABCA7">
        <w:rPr>
          <w:rStyle w:val="FootnoteReference"/>
        </w:rPr>
        <w:footnoteReference w:id="1314"/>
      </w:r>
      <w:r w:rsidRPr="396ABCA7">
        <w:t xml:space="preserve"> ACCI also submitted that, although civil penalties apply where an official contravenes their obligations at ss 499 to 504 of the Fair Work Act, ‘civil penalties do not necessarily act as a deterrent for organisations’.</w:t>
      </w:r>
    </w:p>
    <w:p w14:paraId="7C7993B3" w14:textId="0047BA2D" w:rsidR="00463F7C" w:rsidRPr="00167CB8" w:rsidRDefault="00463F7C" w:rsidP="00463F7C">
      <w:r w:rsidRPr="00167CB8">
        <w:t>Employer associations expressed concern that the new provisions could be open to abuse by union officials and that the FWC is powerless to deal with the abuse. According to ACCI:</w:t>
      </w:r>
      <w:r w:rsidR="005D418D" w:rsidRPr="396ABCA7">
        <w:rPr>
          <w:rStyle w:val="FootnoteReference"/>
        </w:rPr>
        <w:footnoteReference w:id="1315"/>
      </w:r>
    </w:p>
    <w:p w14:paraId="5F2430F0" w14:textId="23CE595E" w:rsidR="00463F7C" w:rsidRPr="00167CB8" w:rsidRDefault="00463F7C" w:rsidP="00D801C7">
      <w:pPr>
        <w:pStyle w:val="Quote"/>
      </w:pPr>
      <w:r w:rsidRPr="396ABCA7">
        <w:t>there is no mechanism in place that enables the FWC to refuse access to an official who is assisting an HSR. If an occupier seeks to prevent the access of an official assisting an HSR, their only option is to make an application to the Federal Court for injunctive relief, or, after a contravention has occurred, alert the FWO to the contravention and/or file the matter before the Federal Court or the Federal Circuit Court to seek a pecuniary penalty. A decision for the occupier to take the matter to the Federal Court or Federal Circuit Court will be costly and is an unjust imposition upon that occupier to address the conduct of an official assisting an HSR acting inconsistently with their obligations.</w:t>
      </w:r>
    </w:p>
    <w:p w14:paraId="0A764B38" w14:textId="77777777" w:rsidR="00463F7C" w:rsidRPr="00167CB8" w:rsidRDefault="00463F7C" w:rsidP="00463F7C">
      <w:r w:rsidRPr="396ABCA7">
        <w:t>The MCA submitted that the amendments go ‘significantly further than the Boland Review recommendation. The recommendation assumed that union officials who do not hold an entry permit under an industrial law will nonetheless have some qualifications to enter a site for safety purpose’.</w:t>
      </w:r>
      <w:r w:rsidRPr="396ABCA7">
        <w:rPr>
          <w:rStyle w:val="FootnoteReference"/>
        </w:rPr>
        <w:footnoteReference w:id="1316"/>
      </w:r>
    </w:p>
    <w:p w14:paraId="773069A0" w14:textId="77777777" w:rsidR="00463F7C" w:rsidRPr="00167CB8" w:rsidRDefault="00463F7C" w:rsidP="00463F7C">
      <w:r w:rsidRPr="396ABCA7">
        <w:t xml:space="preserve">Most employer association submissions recommended that the amendments be repealed and that officials assisting HSRs be required to hold a federal right of entry permit. Among other things this would enable the FWC to ensure that permits were only issued to ‘fit and proper persons’. In a similar vein the Maritime Industry Australia Ltd submitted that, as a minimum, </w:t>
      </w:r>
      <w:r w:rsidRPr="396ABCA7">
        <w:lastRenderedPageBreak/>
        <w:t>‘officials who have had their permits cancelled, revoked, or have made applications that have not been granted should be ineligible to assist HSRs in the performance of their duties’.</w:t>
      </w:r>
      <w:r w:rsidRPr="396ABCA7">
        <w:rPr>
          <w:rStyle w:val="FootnoteReference"/>
        </w:rPr>
        <w:footnoteReference w:id="1317"/>
      </w:r>
    </w:p>
    <w:p w14:paraId="17510781" w14:textId="77777777" w:rsidR="00463F7C" w:rsidRPr="00167CB8" w:rsidRDefault="00463F7C" w:rsidP="00463F7C">
      <w:r w:rsidRPr="396ABCA7">
        <w:t>ACCI also recommended that ‘the training required by officials seeking to obtain a right of entry permit is expanded to contain information relating to the statutory functions of an HSR’.</w:t>
      </w:r>
      <w:r w:rsidRPr="396ABCA7">
        <w:rPr>
          <w:rStyle w:val="FootnoteReference"/>
        </w:rPr>
        <w:footnoteReference w:id="1318"/>
      </w:r>
    </w:p>
    <w:p w14:paraId="1A999464" w14:textId="34B72E4E" w:rsidR="00463F7C" w:rsidRPr="00167CB8" w:rsidRDefault="00463F7C" w:rsidP="00463F7C">
      <w:r w:rsidRPr="396ABCA7">
        <w:t>Unions, including the United Workers Union</w:t>
      </w:r>
      <w:r w:rsidRPr="396ABCA7">
        <w:rPr>
          <w:rStyle w:val="FootnoteReference"/>
        </w:rPr>
        <w:footnoteReference w:id="1319"/>
      </w:r>
      <w:r w:rsidRPr="396ABCA7">
        <w:t xml:space="preserve"> and the CFMEU, supported the amendments, arguing that it assists the safety and wellbeing of workers, particularly in high-risk industries such as mining and construction.</w:t>
      </w:r>
    </w:p>
    <w:p w14:paraId="10DE8078" w14:textId="5706C7C5" w:rsidR="00463F7C" w:rsidRPr="00167CB8" w:rsidRDefault="00463F7C" w:rsidP="00463F7C">
      <w:r w:rsidRPr="396ABCA7">
        <w:t>The CFMEU submitted that employer concerns about the amendments undermining safety or increasing the power of unions are unfounded and were also raised in the Boland Review and dismissed; ‘WHS law already contains provisions which ensure the right to request assistance is used appropriately’.</w:t>
      </w:r>
      <w:r w:rsidRPr="396ABCA7">
        <w:rPr>
          <w:rStyle w:val="FootnoteReference"/>
        </w:rPr>
        <w:footnoteReference w:id="1320"/>
      </w:r>
      <w:r w:rsidRPr="396ABCA7">
        <w:t xml:space="preserve"> Further, it argued that the amendments at s 494(4) do not go far enough and ‘are limited to circumstances where a properly elected HSR requests the assistance of a person’. It noted that the process for electing HSRs under the WHS Act is not suitable for industries such as construction where much of the work is performed by contractors or subcontractors with frequent turnover.</w:t>
      </w:r>
      <w:r w:rsidRPr="396ABCA7">
        <w:rPr>
          <w:rStyle w:val="FootnoteReference"/>
        </w:rPr>
        <w:footnoteReference w:id="1321"/>
      </w:r>
    </w:p>
    <w:p w14:paraId="42F341A7" w14:textId="34587397" w:rsidR="00463F7C" w:rsidRDefault="00463F7C" w:rsidP="00463F7C">
      <w:r w:rsidRPr="00167CB8">
        <w:t>The Electrical Trades Union of Australia</w:t>
      </w:r>
      <w:r w:rsidRPr="00167CB8" w:rsidDel="006C1522">
        <w:t xml:space="preserve"> </w:t>
      </w:r>
      <w:r w:rsidRPr="00167CB8">
        <w:t>also seeks further amendments to Part 3-4 of the Fair Work Act on right of entry, noting that they are routinely denied right of entry to registered training organisations (e.g. to engage with apprentices) and to camps where fly-in-fly-out workers sleep, as the camps are often owned and operated by a party other than the employer.</w:t>
      </w:r>
    </w:p>
    <w:p w14:paraId="092A7724" w14:textId="5AC8E8D5" w:rsidR="00463F7C" w:rsidRPr="00891C43" w:rsidRDefault="00463F7C" w:rsidP="00463F7C">
      <w:r w:rsidRPr="00CD57AC">
        <w:rPr>
          <w:rFonts w:eastAsia="Times New Roman" w:cs="Calibri"/>
          <w:lang w:eastAsia="en-AU"/>
        </w:rPr>
        <w:t>The Review Panel consulted stakeholders about its proposed findings regarding these amendments.</w:t>
      </w:r>
      <w:r w:rsidRPr="00CD57AC">
        <w:t xml:space="preserve"> In response to the </w:t>
      </w:r>
      <w:r w:rsidR="006C1522">
        <w:t>d</w:t>
      </w:r>
      <w:r w:rsidRPr="00CD57AC">
        <w:t xml:space="preserve">raft </w:t>
      </w:r>
      <w:r w:rsidR="006C1522">
        <w:t>r</w:t>
      </w:r>
      <w:r w:rsidRPr="00CD57AC">
        <w:t>eport, many employer associations reiterated their suggestions and preference for union officials assisting HSRs to hold right of entry permits (or meet other prerequisite requirements) and expressed specific concerns about misconduct, particularly by CFMEU officials.</w:t>
      </w:r>
      <w:r w:rsidRPr="00CD57AC">
        <w:rPr>
          <w:rStyle w:val="FootnoteReference"/>
        </w:rPr>
        <w:footnoteReference w:id="1322"/>
      </w:r>
      <w:r w:rsidRPr="00CD57AC">
        <w:t xml:space="preserve"> While the </w:t>
      </w:r>
      <w:r w:rsidR="006C1522">
        <w:t xml:space="preserve">Australian Council of Trade Unions </w:t>
      </w:r>
      <w:r w:rsidRPr="00CD57AC">
        <w:t>agreed with needing more actual evidence of misuse before adding requirements or another oversight mechanism, Ai Group was particularly critical of the proposal to require evidence of misuse before addressing risks related to potential criminality and violence.</w:t>
      </w:r>
      <w:r w:rsidRPr="00CD57AC">
        <w:rPr>
          <w:rStyle w:val="FootnoteReference"/>
        </w:rPr>
        <w:footnoteReference w:id="1323"/>
      </w:r>
      <w:r w:rsidRPr="00CD57AC">
        <w:t xml:space="preserve"> The Review Panel understands and acknowledges these views.</w:t>
      </w:r>
    </w:p>
    <w:p w14:paraId="3D2960E4" w14:textId="508E2444" w:rsidR="00463F7C" w:rsidRPr="00E7730D" w:rsidRDefault="00463F7C" w:rsidP="00365C93">
      <w:pPr>
        <w:pStyle w:val="Heading4"/>
      </w:pPr>
      <w:bookmarkStart w:id="728" w:name="_Toc187934244"/>
      <w:bookmarkStart w:id="729" w:name="_Toc188278053"/>
      <w:bookmarkStart w:id="730" w:name="_Toc189260341"/>
      <w:bookmarkStart w:id="731" w:name="_Toc189393657"/>
      <w:r w:rsidRPr="00E7730D">
        <w:t>3</w:t>
      </w:r>
      <w:r w:rsidR="00716A50">
        <w:t>7</w:t>
      </w:r>
      <w:r w:rsidRPr="00E7730D">
        <w:t>.3 Findings and recommendations</w:t>
      </w:r>
      <w:bookmarkEnd w:id="728"/>
      <w:bookmarkEnd w:id="729"/>
      <w:bookmarkEnd w:id="730"/>
      <w:bookmarkEnd w:id="731"/>
    </w:p>
    <w:p w14:paraId="7776E93C" w14:textId="77777777" w:rsidR="00463F7C" w:rsidRPr="00167CB8" w:rsidRDefault="00463F7C" w:rsidP="00463F7C">
      <w:r w:rsidRPr="396ABCA7">
        <w:t>The Review Panel notes that the amendment was designed to address a specific issue raised by the Boland Review. Specifically, the intent of the amendment is to ensure that HSRs may access timely assistance from union officials without having to obtain a permit</w:t>
      </w:r>
      <w:r w:rsidRPr="00E875BD">
        <w:t xml:space="preserve"> </w:t>
      </w:r>
      <w:r w:rsidRPr="396ABCA7">
        <w:t>to address WHS concerns.</w:t>
      </w:r>
    </w:p>
    <w:p w14:paraId="27DE9DE8" w14:textId="77777777" w:rsidR="00463F7C" w:rsidRPr="00167CB8" w:rsidRDefault="00463F7C" w:rsidP="00463F7C">
      <w:r w:rsidRPr="396ABCA7">
        <w:lastRenderedPageBreak/>
        <w:t>Employers argue that the amendment undermines rather than enhances workplace safety. They believe the removal of the permit requirement bypasses essential safeguards, such as training and the ‘fit and proper person’ test, which is required for right of entry permits.</w:t>
      </w:r>
    </w:p>
    <w:p w14:paraId="225C918B" w14:textId="77777777" w:rsidR="00463F7C" w:rsidRPr="00167CB8" w:rsidRDefault="00463F7C" w:rsidP="00463F7C">
      <w:r w:rsidRPr="396ABCA7">
        <w:t>The amendment has been positively received by unions. They argue that it facilitates timely assistance for HSRs, particularly in high-risk industries such as construction and mining, where safety concerns can be urgent. The CFMEU and other unions see the amendment as essential to improving workplace safety outcomes. Unions also argue that the amendments do not go far enough and should be expanded to allow union officials to assist workers even in the absence of a formally elected HSR.</w:t>
      </w:r>
    </w:p>
    <w:p w14:paraId="0F69CE5F" w14:textId="069648EA" w:rsidR="0011475D" w:rsidRDefault="00463F7C" w:rsidP="00463F7C">
      <w:r w:rsidRPr="396ABCA7">
        <w:t xml:space="preserve">The Review Panel notes employer associations’ concern that the amendment could be exploited by union officials to gain access to workplaces under the guise of assisting HSRs. There is also concern that officials assisting HSRs are no longer subject to the oversight of the FWC, </w:t>
      </w:r>
      <w:r>
        <w:t xml:space="preserve">are </w:t>
      </w:r>
      <w:r w:rsidRPr="396ABCA7">
        <w:t xml:space="preserve">not required to meet fit and proper persons requirements and </w:t>
      </w:r>
      <w:r>
        <w:t xml:space="preserve">are </w:t>
      </w:r>
      <w:r w:rsidRPr="396ABCA7">
        <w:t>not required to undertake basic training before entering workplaces.</w:t>
      </w:r>
    </w:p>
    <w:p w14:paraId="73DF86B3" w14:textId="6A71161A" w:rsidR="00463F7C" w:rsidRPr="00CD57AC" w:rsidRDefault="00463F7C" w:rsidP="00463F7C">
      <w:r w:rsidRPr="396ABCA7">
        <w:t xml:space="preserve">In relation to the particular issues and allegations relating to the CFMEU, the Review Panel notes that significant steps have been taken to address these, including placing the </w:t>
      </w:r>
      <w:r w:rsidRPr="00A224C1">
        <w:t>Construction and General Division of the CFMEU and all of its branches into administration (</w:t>
      </w:r>
      <w:r w:rsidRPr="00862C50">
        <w:t>see Chapter 4).</w:t>
      </w:r>
    </w:p>
    <w:p w14:paraId="5DC65F43" w14:textId="77777777" w:rsidR="0011475D" w:rsidRDefault="00463F7C" w:rsidP="00463F7C">
      <w:r w:rsidRPr="00CD57AC">
        <w:t>Noting that these amendments were made through the Closing Loopholes Act and that they only came into effect on 15 December 2023, the Panel finds that there</w:t>
      </w:r>
      <w:r>
        <w:t xml:space="preserve"> is a dearth of </w:t>
      </w:r>
      <w:r w:rsidRPr="396ABCA7">
        <w:t xml:space="preserve">evidence </w:t>
      </w:r>
      <w:r>
        <w:t>through which it may assess whether the operation of the amendment is effective or not or having unintended consequences.</w:t>
      </w:r>
      <w:r w:rsidRPr="396ABCA7">
        <w:t xml:space="preserve"> </w:t>
      </w:r>
      <w:r>
        <w:t>In particular, it is unclear how widespread are problems – if there are problems – created by the amendments.</w:t>
      </w:r>
    </w:p>
    <w:bookmarkEnd w:id="714"/>
    <w:p w14:paraId="5BA3EDBC" w14:textId="7797EC35" w:rsidR="00463F7C" w:rsidRPr="00CD57AC" w:rsidRDefault="00463F7C" w:rsidP="00463F7C">
      <w:r w:rsidRPr="00962F57">
        <w:t xml:space="preserve">However, the Review Panel also understands that the severity of the allegations relating to the CFMEU are negatively impacting on the level of trust some stakeholders place on the workplace relations system and that it is causing them to question amendments like these. The Review Panel acknowledges the concerns of stakeholders and recommends that the </w:t>
      </w:r>
      <w:r w:rsidR="00861BE7">
        <w:t>g</w:t>
      </w:r>
      <w:r w:rsidRPr="00962F57">
        <w:t>overnment monitor and act swiftly if there is any indication that union officials (particularly those in the building and construction industry) are inappropriately gaining access to workplaces under the guise of assisting HSRs.</w:t>
      </w:r>
    </w:p>
    <w:p w14:paraId="3AE42BA6" w14:textId="78F3A448" w:rsidR="00463F7C" w:rsidRDefault="00463F7C" w:rsidP="00463F7C">
      <w:pPr>
        <w:spacing w:after="160"/>
      </w:pPr>
      <w:r w:rsidRPr="00CD57AC">
        <w:rPr>
          <w:b/>
        </w:rPr>
        <w:t>Recommendation </w:t>
      </w:r>
      <w:r>
        <w:rPr>
          <w:b/>
        </w:rPr>
        <w:t>2</w:t>
      </w:r>
      <w:r w:rsidR="00E47E83">
        <w:rPr>
          <w:b/>
        </w:rPr>
        <w:t>1</w:t>
      </w:r>
      <w:r w:rsidRPr="00CD57AC">
        <w:rPr>
          <w:b/>
        </w:rPr>
        <w:t xml:space="preserve">: The Australian Government should monitor </w:t>
      </w:r>
      <w:r w:rsidRPr="004431B6">
        <w:rPr>
          <w:b/>
        </w:rPr>
        <w:t xml:space="preserve">Health and Safety Representative </w:t>
      </w:r>
      <w:r w:rsidRPr="00CD57AC">
        <w:rPr>
          <w:b/>
        </w:rPr>
        <w:t>assistants accessing workplaces without right of entry permits and take immediate action to address any indications of misuse, particularly in the building and construction industry.</w:t>
      </w:r>
      <w:r w:rsidRPr="00CD57AC">
        <w:rPr>
          <w:b/>
        </w:rPr>
        <w:br/>
      </w:r>
      <w:r w:rsidRPr="00167CB8">
        <w:br w:type="page"/>
      </w:r>
    </w:p>
    <w:p w14:paraId="61C3E608" w14:textId="77777777" w:rsidR="00C262FC" w:rsidRDefault="00C262FC" w:rsidP="00C262FC">
      <w:pPr>
        <w:pStyle w:val="Heading2"/>
      </w:pPr>
      <w:bookmarkStart w:id="732" w:name="_Toc194311447"/>
      <w:bookmarkStart w:id="733" w:name="_Toc189260183"/>
      <w:bookmarkStart w:id="734" w:name="_Toc189260343"/>
      <w:bookmarkStart w:id="735" w:name="_Toc189393659"/>
      <w:bookmarkStart w:id="736" w:name="_Toc192258079"/>
      <w:r>
        <w:lastRenderedPageBreak/>
        <w:t>Bibliography</w:t>
      </w:r>
      <w:bookmarkEnd w:id="732"/>
    </w:p>
    <w:p w14:paraId="335CA563" w14:textId="77777777" w:rsidR="00C262FC" w:rsidRDefault="00C262FC" w:rsidP="00A14E38">
      <w:pPr>
        <w:pStyle w:val="Normal-Bibliography"/>
      </w:pPr>
      <w:r>
        <w:t xml:space="preserve">Andersen S, ‘Multi-employer Bargaining in Denmark: Interwoven Processes of Coordination’ (2024) 163(3) </w:t>
      </w:r>
      <w:r w:rsidRPr="00CC2DC3">
        <w:rPr>
          <w:i/>
          <w:iCs/>
        </w:rPr>
        <w:t>International Labour Review</w:t>
      </w:r>
      <w:r>
        <w:t xml:space="preserve"> 693.</w:t>
      </w:r>
    </w:p>
    <w:p w14:paraId="044190B3" w14:textId="77777777" w:rsidR="00C262FC" w:rsidRDefault="00C262FC" w:rsidP="00A14E38">
      <w:pPr>
        <w:pStyle w:val="Normal-Bibliography"/>
      </w:pPr>
      <w:r>
        <w:t xml:space="preserve">Andrews D and Jarvis B, </w:t>
      </w:r>
      <w:r w:rsidRPr="00CC2DC3">
        <w:t>The Ghosts of Employers Past: How Prevalent are Non-compete Clauses in Australia?</w:t>
      </w:r>
      <w:r>
        <w:t xml:space="preserve"> (e61 Micronote, 2023).</w:t>
      </w:r>
    </w:p>
    <w:p w14:paraId="6258CC50" w14:textId="77777777" w:rsidR="00C262FC" w:rsidRDefault="00C262FC" w:rsidP="00A14E38">
      <w:pPr>
        <w:pStyle w:val="Normal-Bibliography"/>
      </w:pPr>
      <w:r>
        <w:t xml:space="preserve">Andrews D, Clarke E, Vass L and Wong A, </w:t>
      </w:r>
      <w:r w:rsidRPr="00CC2DC3">
        <w:t>Misallocated Migrants: Immigration and Firm Productivity in Australia</w:t>
      </w:r>
      <w:r>
        <w:t xml:space="preserve"> (e61 Research Note No 5, 2023).</w:t>
      </w:r>
    </w:p>
    <w:p w14:paraId="03A2F621" w14:textId="77777777" w:rsidR="00C262FC" w:rsidRDefault="00C262FC" w:rsidP="00A14E38">
      <w:pPr>
        <w:pStyle w:val="Normal-Bibliography"/>
      </w:pPr>
      <w:r>
        <w:t xml:space="preserve">Andrews D, Hambur J, Hansell D and Wheeler A, </w:t>
      </w:r>
      <w:r w:rsidRPr="00CC2DC3">
        <w:t>Reaching for the Stars: Australian Firms and the Global Productivity Frontier</w:t>
      </w:r>
      <w:r>
        <w:t xml:space="preserve"> (Treasury Working Paper, January 2022)</w:t>
      </w:r>
    </w:p>
    <w:p w14:paraId="1DC8F408" w14:textId="77777777" w:rsidR="00C262FC" w:rsidRDefault="00C262FC" w:rsidP="00A14E38">
      <w:pPr>
        <w:pStyle w:val="Normal-Bibliography"/>
      </w:pPr>
      <w:r>
        <w:t xml:space="preserve">Australian Bureau of Statistics, </w:t>
      </w:r>
      <w:r w:rsidRPr="00CC2DC3">
        <w:t>Gender Pay Gap Guide</w:t>
      </w:r>
      <w:r>
        <w:t xml:space="preserve"> (ABS, 2023) &lt;https://www.abs.gov.au/statistics/understanding-statistics/guide-labour-statistics/gender-pay-gap-guide&gt;.</w:t>
      </w:r>
    </w:p>
    <w:p w14:paraId="4146988B" w14:textId="77777777" w:rsidR="00C262FC" w:rsidRDefault="00C262FC" w:rsidP="00A14E38">
      <w:pPr>
        <w:pStyle w:val="Normal-Bibliography"/>
      </w:pPr>
      <w:r>
        <w:t xml:space="preserve">Australian Bureau of Statistics, </w:t>
      </w:r>
      <w:r w:rsidRPr="00CC2DC3">
        <w:t>Has Worker Compensation Reflected Labour Productivity Growth?</w:t>
      </w:r>
      <w:r>
        <w:t xml:space="preserve"> (ABS, 2022).</w:t>
      </w:r>
    </w:p>
    <w:p w14:paraId="4C56EAD5" w14:textId="77777777" w:rsidR="00C262FC" w:rsidRDefault="00C262FC" w:rsidP="00A14E38">
      <w:pPr>
        <w:pStyle w:val="Normal-Bibliography"/>
      </w:pPr>
      <w:r>
        <w:t>Australian Government, ‘Work Choices: Employee Collective Agreements’ (Fact Sheet, 2025) &lt;https://www.aph.gov.au/~/media/Estimates/Live/eet_ctte/estimates/bud_0607/dewr/w098-07att8.ashx&gt;.</w:t>
      </w:r>
    </w:p>
    <w:p w14:paraId="3D7BBB28" w14:textId="77777777" w:rsidR="00C262FC" w:rsidRDefault="00C262FC" w:rsidP="00A14E38">
      <w:pPr>
        <w:pStyle w:val="Normal-Bibliography"/>
      </w:pPr>
      <w:r>
        <w:t xml:space="preserve">Australian Government, </w:t>
      </w:r>
      <w:r w:rsidRPr="00CC2DC3">
        <w:t>Australian Government Response to the Senate Economics References Committee Report: Systemic, Sustained and Shameful: Unlawful Underpayment of Employees’ Remuneration</w:t>
      </w:r>
      <w:r>
        <w:t xml:space="preserve"> (6 April 2023).</w:t>
      </w:r>
    </w:p>
    <w:p w14:paraId="4EC7B5D6" w14:textId="77777777" w:rsidR="00C262FC" w:rsidRDefault="00C262FC" w:rsidP="00A14E38">
      <w:pPr>
        <w:pStyle w:val="Normal-Bibliography"/>
      </w:pPr>
      <w:r>
        <w:t xml:space="preserve">Australian Government, </w:t>
      </w:r>
      <w:r w:rsidRPr="00CC2DC3">
        <w:t>Australian Government Response: Report of the Migrant Workers’ Taskforce</w:t>
      </w:r>
      <w:r>
        <w:t xml:space="preserve"> (Report, March 2019) 2.</w:t>
      </w:r>
    </w:p>
    <w:p w14:paraId="5E97B772" w14:textId="77777777" w:rsidR="00C262FC" w:rsidRDefault="00C262FC" w:rsidP="00A14E38">
      <w:pPr>
        <w:pStyle w:val="Normal-Bibliography"/>
      </w:pPr>
      <w:r>
        <w:t xml:space="preserve">Australian Government, </w:t>
      </w:r>
      <w:r w:rsidRPr="00CC2DC3">
        <w:t>Jobs and Skills Summit: Outcomes</w:t>
      </w:r>
      <w:r>
        <w:t xml:space="preserve"> (September 2022) &lt;https://treasury.gov.au/sites/default/files/inline-files/Jobs-and-Skills-Summit-Outcomes-Document.pdf&gt;.</w:t>
      </w:r>
    </w:p>
    <w:p w14:paraId="7D656F0C" w14:textId="77777777" w:rsidR="00C262FC" w:rsidRDefault="00C262FC" w:rsidP="00A14E38">
      <w:pPr>
        <w:pStyle w:val="Normal-Bibliography"/>
      </w:pPr>
      <w:r>
        <w:t xml:space="preserve">Australian Human Rights Commission, </w:t>
      </w:r>
      <w:r w:rsidRPr="00CC2DC3">
        <w:t>Respect@Work: National Inquiry into Sexual Harassment in Australian Workplaces</w:t>
      </w:r>
      <w:r>
        <w:t xml:space="preserve"> (Final Report, 2020) &lt;https://humanrights.gov.au/our-work/sex-discrimination/publications/respectwork-sexual-harassment-national-inquiry-report-2020&gt;.</w:t>
      </w:r>
    </w:p>
    <w:p w14:paraId="37620902" w14:textId="77777777" w:rsidR="00C262FC" w:rsidRDefault="00C262FC" w:rsidP="00A14E38">
      <w:pPr>
        <w:pStyle w:val="Normal-Bibliography"/>
      </w:pPr>
      <w:r>
        <w:t xml:space="preserve">Australian Law Reform Commission, </w:t>
      </w:r>
      <w:r w:rsidRPr="00CC2DC3">
        <w:t>Maximising the Realisation of Human Rights: Religious Educational Institutions and Anti-Discrimination Laws</w:t>
      </w:r>
      <w:r>
        <w:t xml:space="preserve"> (Report 142, 2023).</w:t>
      </w:r>
    </w:p>
    <w:p w14:paraId="47007010" w14:textId="77777777" w:rsidR="00C262FC" w:rsidRDefault="00C262FC" w:rsidP="00A14E38">
      <w:pPr>
        <w:pStyle w:val="Normal-Bibliography"/>
      </w:pPr>
      <w:r>
        <w:t xml:space="preserve">Avdul D, Martin W and Lopez Y, ‘Pay Transparency: Why It Is Important to be Thoughtful and Strategic’ (2023) 56(2) </w:t>
      </w:r>
      <w:r w:rsidRPr="00CC2DC3">
        <w:t>Compensation &amp; Benefits Review</w:t>
      </w:r>
      <w:r>
        <w:t xml:space="preserve"> 103.</w:t>
      </w:r>
    </w:p>
    <w:p w14:paraId="76D7E396" w14:textId="77777777" w:rsidR="00C262FC" w:rsidRDefault="00C262FC" w:rsidP="00A14E38">
      <w:pPr>
        <w:pStyle w:val="Normal-Bibliography"/>
      </w:pPr>
      <w:r>
        <w:t xml:space="preserve">Ayres I and Braithwaite B, </w:t>
      </w:r>
      <w:r w:rsidRPr="00CC2DC3">
        <w:t>Responsive Regulation: Transcending the Deregulation Debate</w:t>
      </w:r>
      <w:r>
        <w:t xml:space="preserve"> (Oxford University Press, 1992).</w:t>
      </w:r>
    </w:p>
    <w:p w14:paraId="5342E029" w14:textId="77777777" w:rsidR="00C262FC" w:rsidRDefault="00C262FC" w:rsidP="00A14E38">
      <w:pPr>
        <w:pStyle w:val="Normal-Bibliography"/>
      </w:pPr>
      <w:r>
        <w:t xml:space="preserve">Baird M, Hamilton M and Constantin A, ‘Gender Equality and Paid Parental Leave in Australia: A Decade of Giant Leaps or Baby Steps?’ (2021) 63(4) </w:t>
      </w:r>
      <w:r w:rsidRPr="00CC2DC3">
        <w:t>Journal of Industrial Relations</w:t>
      </w:r>
      <w:r>
        <w:t xml:space="preserve"> 546.</w:t>
      </w:r>
    </w:p>
    <w:p w14:paraId="479E69AC" w14:textId="77777777" w:rsidR="00C262FC" w:rsidRDefault="00C262FC" w:rsidP="00A14E38">
      <w:pPr>
        <w:pStyle w:val="Normal-Bibliography"/>
      </w:pPr>
      <w:r>
        <w:t>Bell S and Head B, ‘Australia’s Political Economy: Critical Themes and Issues’ in S Bell and B Head (eds), State, Economy and Public Policy in Australia (Oxford University Press, 1994) 1</w:t>
      </w:r>
      <w:r>
        <w:rPr>
          <w:rFonts w:ascii="Symbol" w:eastAsia="Symbol" w:hAnsi="Symbol" w:cs="Symbol"/>
        </w:rPr>
        <w:sym w:font="Symbol" w:char="F02D"/>
      </w:r>
      <w:r>
        <w:t>24.</w:t>
      </w:r>
    </w:p>
    <w:p w14:paraId="2348D117" w14:textId="77777777" w:rsidR="00C262FC" w:rsidRDefault="00C262FC" w:rsidP="00A14E38">
      <w:pPr>
        <w:pStyle w:val="Normal-Bibliography"/>
      </w:pPr>
      <w:r>
        <w:lastRenderedPageBreak/>
        <w:t xml:space="preserve">Bleby M, ‘New Union Wage Agreements to Drive Construction Costs Higher, RLB says’, </w:t>
      </w:r>
      <w:r w:rsidRPr="00CC2DC3">
        <w:rPr>
          <w:i/>
          <w:iCs/>
        </w:rPr>
        <w:t>Australian Financial Review</w:t>
      </w:r>
      <w:r>
        <w:t xml:space="preserve"> (online, 6 February 2024).</w:t>
      </w:r>
    </w:p>
    <w:p w14:paraId="76172B56" w14:textId="7AA12156" w:rsidR="000C30A8" w:rsidRPr="00A94118" w:rsidRDefault="000C30A8" w:rsidP="00A14E38">
      <w:pPr>
        <w:pStyle w:val="Normal-Bibliography"/>
      </w:pPr>
      <w:r>
        <w:t>Birch E and Preston A, ‘</w:t>
      </w:r>
      <w:r w:rsidR="004A3D24">
        <w:t>The Evolving Wage Structure of Young Adults in Australia: 2001 to 2019’</w:t>
      </w:r>
      <w:r w:rsidR="00A94118">
        <w:t xml:space="preserve"> (2021) 97(318) </w:t>
      </w:r>
      <w:r w:rsidR="00A94118">
        <w:rPr>
          <w:i/>
          <w:iCs/>
        </w:rPr>
        <w:t>Economic Record</w:t>
      </w:r>
      <w:r w:rsidR="00A94118">
        <w:t xml:space="preserve"> 365.</w:t>
      </w:r>
    </w:p>
    <w:p w14:paraId="3B8A1E85" w14:textId="77777777" w:rsidR="00C262FC" w:rsidRDefault="00C262FC" w:rsidP="00A14E38">
      <w:pPr>
        <w:pStyle w:val="Normal-Bibliography"/>
      </w:pPr>
      <w:r>
        <w:t xml:space="preserve">Bray M and Macneil J, ‘Reforming Collective Bargaining’ in K Hancock and R Lansbury (eds), </w:t>
      </w:r>
      <w:r w:rsidRPr="00CC2DC3">
        <w:rPr>
          <w:i/>
          <w:iCs/>
        </w:rPr>
        <w:t>Industrial Relations Reform: Looking to the Future</w:t>
      </w:r>
      <w:r>
        <w:t xml:space="preserve"> (Federation Press, 2016) 105</w:t>
      </w:r>
      <w:r>
        <w:rPr>
          <w:rFonts w:ascii="Symbol" w:eastAsia="Symbol" w:hAnsi="Symbol" w:cs="Symbol"/>
        </w:rPr>
        <w:sym w:font="Symbol" w:char="F02D"/>
      </w:r>
      <w:r>
        <w:t>131.</w:t>
      </w:r>
    </w:p>
    <w:p w14:paraId="3CC1B2E0" w14:textId="77777777" w:rsidR="00C262FC" w:rsidRDefault="00C262FC" w:rsidP="00A14E38">
      <w:pPr>
        <w:pStyle w:val="Normal-Bibliography"/>
      </w:pPr>
      <w:r>
        <w:t>Bray M and Macneil J, ‘Still Central: Change and Continuity in Australia’s Major Industrial Tribunal’ (2023) 54(4</w:t>
      </w:r>
      <w:r>
        <w:rPr>
          <w:rFonts w:ascii="Symbol" w:eastAsia="Symbol" w:hAnsi="Symbol" w:cs="Symbol"/>
        </w:rPr>
        <w:sym w:font="Symbol" w:char="F02D"/>
      </w:r>
      <w:r>
        <w:t xml:space="preserve">5) </w:t>
      </w:r>
      <w:r w:rsidRPr="00CC2DC3">
        <w:rPr>
          <w:i/>
          <w:iCs/>
        </w:rPr>
        <w:t>Industrial Relations Journal</w:t>
      </w:r>
      <w:r>
        <w:t xml:space="preserve"> 359.</w:t>
      </w:r>
    </w:p>
    <w:p w14:paraId="6DF81E0E" w14:textId="77777777" w:rsidR="00C262FC" w:rsidRDefault="00C262FC" w:rsidP="00A14E38">
      <w:pPr>
        <w:pStyle w:val="Normal-Bibliography"/>
      </w:pPr>
      <w:r>
        <w:t xml:space="preserve">Bray M and Stewart A, ‘What is Distinctive about the Fair Work Regime?’ (2013) 26(1) </w:t>
      </w:r>
      <w:r w:rsidRPr="00CC2DC3">
        <w:rPr>
          <w:i/>
          <w:iCs/>
        </w:rPr>
        <w:t>Australian Journal of Labour Law</w:t>
      </w:r>
      <w:r>
        <w:t xml:space="preserve"> 21.</w:t>
      </w:r>
    </w:p>
    <w:p w14:paraId="62A5E164" w14:textId="77777777" w:rsidR="00C262FC" w:rsidRDefault="00C262FC" w:rsidP="00A14E38">
      <w:pPr>
        <w:pStyle w:val="Normal-Bibliography"/>
      </w:pPr>
      <w:r>
        <w:t xml:space="preserve">Bray M, Budd JW and Macneil J, ‘The Many Meanings of Co-operation in the Employment Relationship and Their Implications’ (2020) 58 </w:t>
      </w:r>
      <w:r w:rsidRPr="00CC2DC3">
        <w:rPr>
          <w:i/>
          <w:iCs/>
        </w:rPr>
        <w:t>British Journal of Industrial Relations</w:t>
      </w:r>
      <w:r>
        <w:t xml:space="preserve"> 114.</w:t>
      </w:r>
    </w:p>
    <w:p w14:paraId="10C49F29" w14:textId="77777777" w:rsidR="00C262FC" w:rsidRDefault="00C262FC" w:rsidP="00A14E38">
      <w:pPr>
        <w:pStyle w:val="Normal-Bibliography"/>
      </w:pPr>
      <w:r>
        <w:t xml:space="preserve">Bray M, Macneil J and Spiess L, ‘Annual Review of Unions and Collective Bargaining 2018’ (2019) 61(3) </w:t>
      </w:r>
      <w:r w:rsidRPr="00CC2DC3">
        <w:rPr>
          <w:i/>
          <w:iCs/>
        </w:rPr>
        <w:t>Journal of Industrial Relations</w:t>
      </w:r>
      <w:r>
        <w:t xml:space="preserve"> 357.</w:t>
      </w:r>
    </w:p>
    <w:p w14:paraId="621A9599" w14:textId="77777777" w:rsidR="00C262FC" w:rsidRDefault="00C262FC" w:rsidP="00A14E38">
      <w:pPr>
        <w:pStyle w:val="Normal-Bibliography"/>
      </w:pPr>
      <w:r>
        <w:t xml:space="preserve">Bray M, Macneil J and Stewart A, </w:t>
      </w:r>
      <w:r w:rsidRPr="00CC2DC3">
        <w:rPr>
          <w:i/>
          <w:iCs/>
        </w:rPr>
        <w:t>Cooperation at Work: How Tribunals Can Help Transform Workplaces</w:t>
      </w:r>
      <w:r>
        <w:t xml:space="preserve"> (Federation Press, 2017).</w:t>
      </w:r>
    </w:p>
    <w:p w14:paraId="30EA0725" w14:textId="77777777" w:rsidR="00C262FC" w:rsidRDefault="00C262FC" w:rsidP="00A14E38">
      <w:pPr>
        <w:pStyle w:val="Normal-Bibliography"/>
      </w:pPr>
      <w:r>
        <w:t xml:space="preserve">Bray M, McCrystal S and Spiess L, ‘Why Doesn’t Anyone Talk About Non-union Collective Agreements?’ (2020) 62(5) </w:t>
      </w:r>
      <w:r w:rsidRPr="00CC2DC3">
        <w:rPr>
          <w:i/>
          <w:iCs/>
        </w:rPr>
        <w:t>Journal of Industrial Relations</w:t>
      </w:r>
      <w:r>
        <w:t xml:space="preserve"> 784.</w:t>
      </w:r>
    </w:p>
    <w:p w14:paraId="1D20D3E3" w14:textId="77777777" w:rsidR="00C262FC" w:rsidRDefault="00C262FC" w:rsidP="00A14E38">
      <w:pPr>
        <w:pStyle w:val="Normal-Bibliography"/>
      </w:pPr>
      <w:r>
        <w:t xml:space="preserve">Bray M, Waring P, Cooper R and Macneil J, </w:t>
      </w:r>
      <w:r w:rsidRPr="00CC2DC3">
        <w:rPr>
          <w:i/>
          <w:iCs/>
        </w:rPr>
        <w:t>Employment Relations: Theory and Practice</w:t>
      </w:r>
      <w:r>
        <w:t xml:space="preserve"> (4th ed, McGraw-Hill, 2018).</w:t>
      </w:r>
    </w:p>
    <w:p w14:paraId="0F6D5CD9" w14:textId="77777777" w:rsidR="00C262FC" w:rsidRDefault="00C262FC" w:rsidP="00A14E38">
      <w:pPr>
        <w:pStyle w:val="Normal-Bibliography"/>
      </w:pPr>
      <w:r>
        <w:t xml:space="preserve">Brütt K and Yuan H, </w:t>
      </w:r>
      <w:r w:rsidRPr="00CC2DC3">
        <w:rPr>
          <w:i/>
          <w:iCs/>
        </w:rPr>
        <w:t>Pitfalls of Pay Transparency: Evidence From the Lab and the Field</w:t>
      </w:r>
      <w:r>
        <w:t xml:space="preserve"> (Discussion Paper No 2022-055/I, Tinbergen Institute, 7 December 2022).</w:t>
      </w:r>
    </w:p>
    <w:p w14:paraId="718F98D7" w14:textId="77777777" w:rsidR="00C262FC" w:rsidRDefault="00C262FC" w:rsidP="00A14E38">
      <w:pPr>
        <w:pStyle w:val="Normal-Bibliography"/>
      </w:pPr>
      <w:r>
        <w:t xml:space="preserve">Buckley J, </w:t>
      </w:r>
      <w:r w:rsidRPr="00CC2DC3">
        <w:rPr>
          <w:i/>
          <w:iCs/>
        </w:rPr>
        <w:t>Productivity in Motion: The Role of Job Switching</w:t>
      </w:r>
      <w:r>
        <w:t xml:space="preserve"> (e61 Institute Micro Note 14, November 2023).</w:t>
      </w:r>
    </w:p>
    <w:p w14:paraId="2CE77029" w14:textId="77777777" w:rsidR="00C262FC" w:rsidRDefault="00C262FC" w:rsidP="00A14E38">
      <w:pPr>
        <w:pStyle w:val="Normal-Bibliography"/>
      </w:pPr>
      <w:r>
        <w:t xml:space="preserve">Business Council of Australia, </w:t>
      </w:r>
      <w:r w:rsidRPr="00CC2DC3">
        <w:rPr>
          <w:i/>
          <w:iCs/>
        </w:rPr>
        <w:t>Australia’s Flagging Competitiveness and Productivity</w:t>
      </w:r>
      <w:r>
        <w:t xml:space="preserve"> (BCA, 2024).</w:t>
      </w:r>
    </w:p>
    <w:p w14:paraId="45C698B4" w14:textId="77777777" w:rsidR="00C262FC" w:rsidRDefault="00C262FC" w:rsidP="00A14E38">
      <w:pPr>
        <w:pStyle w:val="Normal-Bibliography"/>
      </w:pPr>
      <w:r>
        <w:t xml:space="preserve">Business Council of Australia, </w:t>
      </w:r>
      <w:r w:rsidRPr="00CC2DC3">
        <w:rPr>
          <w:i/>
          <w:iCs/>
        </w:rPr>
        <w:t>Pipeline or Pipe Dream? Securing Australia’s Investment Future</w:t>
      </w:r>
      <w:r>
        <w:t xml:space="preserve"> (BCA, 2012).</w:t>
      </w:r>
    </w:p>
    <w:p w14:paraId="6EDD19FD" w14:textId="77777777" w:rsidR="00C262FC" w:rsidRDefault="00C262FC" w:rsidP="00A14E38">
      <w:pPr>
        <w:pStyle w:val="Normal-Bibliography"/>
      </w:pPr>
      <w:r>
        <w:t xml:space="preserve">Business Council of Australia, </w:t>
      </w:r>
      <w:r w:rsidRPr="00CC2DC3">
        <w:rPr>
          <w:i/>
          <w:iCs/>
        </w:rPr>
        <w:t>The State of Enterprise Bargaining in Australia</w:t>
      </w:r>
      <w:r>
        <w:t xml:space="preserve"> (BCA, 2019) &lt;https://www.bca.com.au/the_state_of_enterprise_bargaining_in_australia&gt;.</w:t>
      </w:r>
    </w:p>
    <w:p w14:paraId="333AEEA1" w14:textId="77777777" w:rsidR="00C262FC" w:rsidRDefault="00C262FC" w:rsidP="00A14E38">
      <w:pPr>
        <w:pStyle w:val="Normal-Bibliography"/>
      </w:pPr>
      <w:r>
        <w:t xml:space="preserve">Chaudhuri U and Sarina T, ‘Employer-Controlled Agreement-Making: Thwarting Collective Bargaining Under the Fair Work Act’ in S McCrystal, B Creighton and A Forsyth (eds), </w:t>
      </w:r>
      <w:r w:rsidRPr="00CC2DC3">
        <w:rPr>
          <w:i/>
          <w:iCs/>
        </w:rPr>
        <w:t>Collective Bargaining Under the Fair Work Act</w:t>
      </w:r>
      <w:r>
        <w:t xml:space="preserve"> (Federation Press, 2018) 138</w:t>
      </w:r>
      <w:r>
        <w:rPr>
          <w:rFonts w:ascii="Symbol" w:eastAsia="Symbol" w:hAnsi="Symbol" w:cs="Symbol"/>
        </w:rPr>
        <w:sym w:font="Symbol" w:char="F02D"/>
      </w:r>
      <w:r>
        <w:t>161.</w:t>
      </w:r>
    </w:p>
    <w:p w14:paraId="76E169BB" w14:textId="77777777" w:rsidR="00C262FC" w:rsidRDefault="00C262FC" w:rsidP="00A14E38">
      <w:pPr>
        <w:pStyle w:val="Normal-Bibliography"/>
      </w:pPr>
      <w:r>
        <w:t xml:space="preserve">Coates B, Wiltshire T and Reysenbach T, </w:t>
      </w:r>
      <w:r w:rsidRPr="00CC2DC3">
        <w:rPr>
          <w:i/>
          <w:iCs/>
        </w:rPr>
        <w:t>Short-changed: How to Stop the Exploitation of Migrant Workers in Australia</w:t>
      </w:r>
      <w:r>
        <w:t xml:space="preserve"> (Report No 2023-07, Grattan Institute, May 2023).</w:t>
      </w:r>
    </w:p>
    <w:p w14:paraId="40A22392" w14:textId="77777777" w:rsidR="00C262FC" w:rsidRDefault="00C262FC" w:rsidP="00A14E38">
      <w:pPr>
        <w:pStyle w:val="Normal-Bibliography"/>
      </w:pPr>
      <w:r>
        <w:t xml:space="preserve">Conor Duffy C, ‘Union Calls for Backpay and Apology after University of Melbourne Faculties Cut PhD Rates for Casuals’, </w:t>
      </w:r>
      <w:r w:rsidRPr="00CC2DC3">
        <w:rPr>
          <w:i/>
          <w:iCs/>
        </w:rPr>
        <w:t>ABC News</w:t>
      </w:r>
      <w:r>
        <w:t xml:space="preserve"> (online, 21 March 2022) &lt;https://www.abc.net.au/news/2022-03-21/union-calls-for-action-on-university-of-melbourne-phd-pay/100921064&gt;.</w:t>
      </w:r>
    </w:p>
    <w:p w14:paraId="273B5C9A" w14:textId="77777777" w:rsidR="00C262FC" w:rsidRDefault="00C262FC" w:rsidP="00A14E38">
      <w:pPr>
        <w:pStyle w:val="Normal-Bibliography"/>
      </w:pPr>
      <w:r>
        <w:t xml:space="preserve">Consult Australia, </w:t>
      </w:r>
      <w:r w:rsidRPr="00CC2DC3">
        <w:rPr>
          <w:i/>
          <w:iCs/>
        </w:rPr>
        <w:t>Uplifting Productivity: Delivering Economic Growth Through Best Practice Procurement</w:t>
      </w:r>
      <w:r>
        <w:t xml:space="preserve"> (Consult Australia, 2020).</w:t>
      </w:r>
    </w:p>
    <w:p w14:paraId="2B5C3B24" w14:textId="77777777" w:rsidR="00C262FC" w:rsidRDefault="00C262FC" w:rsidP="00A14E38">
      <w:pPr>
        <w:pStyle w:val="Normal-Bibliography"/>
      </w:pPr>
      <w:r>
        <w:lastRenderedPageBreak/>
        <w:t xml:space="preserve">Convery S, ‘Reproductive Leave Could Be a ‘Gamechanger’ for Australian Workers – How Would It Work?’ </w:t>
      </w:r>
      <w:r w:rsidRPr="00CC2DC3">
        <w:rPr>
          <w:i/>
          <w:iCs/>
        </w:rPr>
        <w:t>The Guardian</w:t>
      </w:r>
      <w:r>
        <w:t xml:space="preserve"> (13 January 2025).</w:t>
      </w:r>
    </w:p>
    <w:p w14:paraId="0C559A97" w14:textId="77777777" w:rsidR="00C262FC" w:rsidRDefault="00C262FC" w:rsidP="00A14E38">
      <w:pPr>
        <w:pStyle w:val="Normal-Bibliography"/>
      </w:pPr>
      <w:r>
        <w:t xml:space="preserve">Cooper R and Ellem B, ‘“Less Than Zero”: Union Recognition and Bargaining Rights in Australia 1996–2007’ (2011) 52(1) </w:t>
      </w:r>
      <w:r w:rsidRPr="00CC2DC3">
        <w:rPr>
          <w:i/>
          <w:iCs/>
        </w:rPr>
        <w:t>Labour History</w:t>
      </w:r>
      <w:r>
        <w:t xml:space="preserve"> 49.</w:t>
      </w:r>
    </w:p>
    <w:p w14:paraId="4B184369" w14:textId="77777777" w:rsidR="00C262FC" w:rsidRDefault="00C262FC" w:rsidP="00A14E38">
      <w:pPr>
        <w:pStyle w:val="Normal-Bibliography"/>
      </w:pPr>
      <w:r>
        <w:t xml:space="preserve">Cooper R and Ellem B, ‘Fair Work and the Re-regulation of Collective Bargaining’ (2009) 22(3) </w:t>
      </w:r>
      <w:r w:rsidRPr="00CC2DC3">
        <w:rPr>
          <w:i/>
          <w:iCs/>
        </w:rPr>
        <w:t>Australian Journal of Labour Law</w:t>
      </w:r>
      <w:r>
        <w:t xml:space="preserve"> 284.</w:t>
      </w:r>
    </w:p>
    <w:p w14:paraId="7CDEE197" w14:textId="77777777" w:rsidR="00C262FC" w:rsidRDefault="00C262FC" w:rsidP="00A14E38">
      <w:pPr>
        <w:pStyle w:val="Normal-Bibliography"/>
      </w:pPr>
      <w:r>
        <w:t xml:space="preserve">Cooper R and Ellem B, ‘The Neoliberal State, Trade Unions and Collective Bargaining in Australia’ (2008) </w:t>
      </w:r>
      <w:r w:rsidRPr="00CC2DC3">
        <w:rPr>
          <w:i/>
          <w:iCs/>
        </w:rPr>
        <w:t>British Journal of Industrial Relations</w:t>
      </w:r>
      <w:r>
        <w:t xml:space="preserve"> 46.</w:t>
      </w:r>
    </w:p>
    <w:p w14:paraId="0D8164E1" w14:textId="77777777" w:rsidR="00C262FC" w:rsidRDefault="00C262FC" w:rsidP="00A14E38">
      <w:pPr>
        <w:pStyle w:val="Normal-Bibliography"/>
      </w:pPr>
      <w:r>
        <w:t xml:space="preserve">Cortis N, Blaxland M and Charlesworth S, </w:t>
      </w:r>
      <w:r w:rsidRPr="00CC2DC3">
        <w:rPr>
          <w:i/>
          <w:iCs/>
        </w:rPr>
        <w:t>Challenges of Work, Family and Care for Australia’s Retail, Online Retail, Warehousing and Fast Food Workers</w:t>
      </w:r>
      <w:r>
        <w:t xml:space="preserve"> (Report, 12 October 2021) &lt;https://unsworks.unsw.edu.au/entities/publication/05a2026d-f09a-405f-ad66-046cc685cf68/full&gt;.</w:t>
      </w:r>
    </w:p>
    <w:p w14:paraId="3807CB81" w14:textId="77777777" w:rsidR="00C262FC" w:rsidRDefault="00C262FC" w:rsidP="00A14E38">
      <w:pPr>
        <w:pStyle w:val="Normal-Bibliography"/>
      </w:pPr>
      <w:r>
        <w:t xml:space="preserve">Cowgill M, </w:t>
      </w:r>
      <w:r w:rsidRPr="00CC2DC3">
        <w:rPr>
          <w:i/>
          <w:iCs/>
        </w:rPr>
        <w:t>A Shrinking Slice of the Pie</w:t>
      </w:r>
      <w:r>
        <w:t xml:space="preserve"> (Australian Council of Trade Unions Working Paper 1, 2013).</w:t>
      </w:r>
    </w:p>
    <w:p w14:paraId="1E16DD72" w14:textId="77777777" w:rsidR="00C262FC" w:rsidRDefault="00C262FC" w:rsidP="00A14E38">
      <w:pPr>
        <w:pStyle w:val="Normal-Bibliography"/>
      </w:pPr>
      <w:r>
        <w:t xml:space="preserve">Creighton B, Denvir C, Johnstone R, McCrystal S and Orchiston A, </w:t>
      </w:r>
      <w:r w:rsidRPr="00CC2DC3">
        <w:rPr>
          <w:i/>
          <w:iCs/>
        </w:rPr>
        <w:t>Strike Ballots, Democracy, and the Law</w:t>
      </w:r>
      <w:r>
        <w:t xml:space="preserve"> (Oxford University Press, 2020).</w:t>
      </w:r>
    </w:p>
    <w:p w14:paraId="6E3A2020" w14:textId="77777777" w:rsidR="00C262FC" w:rsidRDefault="00C262FC" w:rsidP="00A14E38">
      <w:pPr>
        <w:pStyle w:val="Normal-Bibliography"/>
      </w:pPr>
      <w:r>
        <w:t xml:space="preserve">D Avdul, W Martin and Y Lopez, ‘Pay Transparency: Why it is Important to be Thoughtful and Strategic’ (2023) 56(2) </w:t>
      </w:r>
      <w:r w:rsidRPr="00CC2DC3">
        <w:rPr>
          <w:i/>
          <w:iCs/>
        </w:rPr>
        <w:t>Compensation &amp; Benefits Review</w:t>
      </w:r>
      <w:r>
        <w:t xml:space="preserve"> 103.</w:t>
      </w:r>
    </w:p>
    <w:p w14:paraId="46EF50EE" w14:textId="77777777" w:rsidR="00C262FC" w:rsidRDefault="00C262FC" w:rsidP="00A14E38">
      <w:pPr>
        <w:pStyle w:val="Normal-Bibliography"/>
      </w:pPr>
      <w:r>
        <w:t xml:space="preserve">Deloitte, </w:t>
      </w:r>
      <w:r w:rsidRPr="00CC2DC3">
        <w:rPr>
          <w:i/>
          <w:iCs/>
        </w:rPr>
        <w:t xml:space="preserve">Moving From Potential to Performance: Deloitte’s State of Generative AI in the Enterprise Quarter 3 Report </w:t>
      </w:r>
      <w:r>
        <w:t>(Report, 2024).</w:t>
      </w:r>
    </w:p>
    <w:p w14:paraId="6600841D" w14:textId="77777777" w:rsidR="00C262FC" w:rsidRDefault="00C262FC" w:rsidP="00A14E38">
      <w:pPr>
        <w:pStyle w:val="Normal-Bibliography"/>
      </w:pPr>
      <w:r>
        <w:t xml:space="preserve">Department of Employment and Workplace Relations, </w:t>
      </w:r>
      <w:r w:rsidRPr="00CC2DC3">
        <w:rPr>
          <w:i/>
          <w:iCs/>
        </w:rPr>
        <w:t>First Bi-Annual Report of the CFMEU Administrator</w:t>
      </w:r>
      <w:r>
        <w:t xml:space="preserve"> (Report, 2025) &lt;https://www.dewr.gov.au/workplace-relations/resources/first-biannual-report-cfmeu-administrator&gt;.</w:t>
      </w:r>
    </w:p>
    <w:p w14:paraId="3CD93B94" w14:textId="77777777" w:rsidR="00C262FC" w:rsidRDefault="00C262FC" w:rsidP="00A14E38">
      <w:pPr>
        <w:pStyle w:val="Normal-Bibliography"/>
      </w:pPr>
      <w:r>
        <w:t xml:space="preserve">Department of Employment and Workplace Relations, </w:t>
      </w:r>
      <w:r w:rsidRPr="00CC2DC3">
        <w:rPr>
          <w:i/>
          <w:iCs/>
        </w:rPr>
        <w:t>Review of the Fair Work Act Small Claims Procedure</w:t>
      </w:r>
      <w:r>
        <w:t xml:space="preserve"> (Report, 2024).</w:t>
      </w:r>
    </w:p>
    <w:p w14:paraId="74CF7DF2" w14:textId="77777777" w:rsidR="00C262FC" w:rsidRDefault="00C262FC" w:rsidP="00A14E38">
      <w:pPr>
        <w:pStyle w:val="Normal-Bibliography"/>
      </w:pPr>
      <w:r>
        <w:t xml:space="preserve">Department of Employment and Workplace Relations, </w:t>
      </w:r>
      <w:r w:rsidRPr="00CC2DC3">
        <w:rPr>
          <w:i/>
          <w:iCs/>
        </w:rPr>
        <w:t>Trends in Federal Enterprise Bargaining: September Quarter, 2024</w:t>
      </w:r>
      <w:r>
        <w:t xml:space="preserve"> (Report, 2024) 12 &lt;https://www.dewr.gov.au/download/16710/trends-federal-enterprise-bargaining-september-quarter-2024/39033/historical-trends-data-approved-quarter/pdf&gt;.</w:t>
      </w:r>
    </w:p>
    <w:p w14:paraId="571F9D4E" w14:textId="77777777" w:rsidR="00C262FC" w:rsidRDefault="00C262FC" w:rsidP="00A14E38">
      <w:pPr>
        <w:pStyle w:val="Normal-Bibliography"/>
      </w:pPr>
      <w:r>
        <w:t>Ellem B, Wright CF, Clibborn S, Cooper R, Flanagan F and Veen A, Work and Industrial Relations Policy in Australia (forthcoming, Bristol University Press, 2025).</w:t>
      </w:r>
    </w:p>
    <w:p w14:paraId="72E2A4DB" w14:textId="77777777" w:rsidR="00C262FC" w:rsidRDefault="00C262FC" w:rsidP="00A14E38">
      <w:pPr>
        <w:pStyle w:val="Normal-Bibliography"/>
      </w:pPr>
      <w:r>
        <w:t xml:space="preserve">Fair Work Commission, </w:t>
      </w:r>
      <w:r w:rsidRPr="00CC2DC3">
        <w:rPr>
          <w:i/>
          <w:iCs/>
        </w:rPr>
        <w:t>Data Profile – Pharmacists and the Pharmacy Industry Award 2020</w:t>
      </w:r>
      <w:r>
        <w:t xml:space="preserve"> (Report, 2024) &lt;https://www.fwc.gov.au/documents/sites/am2024-19/am202419-pharmacists-pharmacy-industry-award-data-profile-300824.pdf</w:t>
      </w:r>
    </w:p>
    <w:p w14:paraId="7BDB587F" w14:textId="77777777" w:rsidR="00C262FC" w:rsidRDefault="00C262FC" w:rsidP="00A14E38">
      <w:pPr>
        <w:pStyle w:val="Normal-Bibliography"/>
      </w:pPr>
      <w:r>
        <w:t xml:space="preserve">Fair Work Commission, </w:t>
      </w:r>
      <w:r w:rsidRPr="00CC2DC3">
        <w:rPr>
          <w:i/>
          <w:iCs/>
        </w:rPr>
        <w:t>Discussion Paper: Work and Care</w:t>
      </w:r>
      <w:r>
        <w:t xml:space="preserve"> (Discussion Paper 29, 2024) &lt;https://www.fwc.gov.au/documents/sites/award-review-2023-24/discussion-paper-work-and-care-290123.pdf&gt;.</w:t>
      </w:r>
    </w:p>
    <w:p w14:paraId="28DEF28E" w14:textId="77777777" w:rsidR="00C262FC" w:rsidRDefault="00C262FC" w:rsidP="00A14E38">
      <w:pPr>
        <w:pStyle w:val="Normal-Bibliography"/>
      </w:pPr>
      <w:r>
        <w:t xml:space="preserve">Fair Work Commission, </w:t>
      </w:r>
      <w:r w:rsidRPr="00CC2DC3">
        <w:rPr>
          <w:i/>
          <w:iCs/>
        </w:rPr>
        <w:t>General Manager Response to External Review</w:t>
      </w:r>
      <w:r>
        <w:t xml:space="preserve"> (Report, 2023) &lt;https://www.fwc.gov.au/about-us/news-and-media/news/registered-organisations-governance-compliance-external-review-final&gt;.</w:t>
      </w:r>
    </w:p>
    <w:p w14:paraId="0C0BF327" w14:textId="77777777" w:rsidR="00C262FC" w:rsidRDefault="00C262FC" w:rsidP="00A14E38">
      <w:pPr>
        <w:pStyle w:val="Normal-Bibliography"/>
      </w:pPr>
      <w:r>
        <w:t xml:space="preserve">Fair Work Commission, </w:t>
      </w:r>
      <w:r w:rsidRPr="00CC2DC3">
        <w:rPr>
          <w:i/>
          <w:iCs/>
        </w:rPr>
        <w:t>Interim Registered Organisations Engagement and Education Strategy, July – September 2023</w:t>
      </w:r>
      <w:r>
        <w:t xml:space="preserve"> (FWC, 2023).</w:t>
      </w:r>
    </w:p>
    <w:p w14:paraId="417BD02C" w14:textId="77777777" w:rsidR="00C262FC" w:rsidRDefault="00C262FC" w:rsidP="00A14E38">
      <w:pPr>
        <w:pStyle w:val="Normal-Bibliography"/>
      </w:pPr>
      <w:r>
        <w:lastRenderedPageBreak/>
        <w:t xml:space="preserve">Fair Work Commission, </w:t>
      </w:r>
      <w:r w:rsidRPr="00CC2DC3">
        <w:rPr>
          <w:i/>
          <w:iCs/>
        </w:rPr>
        <w:t>Modern Awards Review 2023</w:t>
      </w:r>
      <w:r>
        <w:rPr>
          <w:rFonts w:ascii="Symbol" w:eastAsia="Symbol" w:hAnsi="Symbol" w:cs="Symbol"/>
          <w:i/>
        </w:rPr>
        <w:sym w:font="Symbol" w:char="F02D"/>
      </w:r>
      <w:r w:rsidRPr="00CC2DC3">
        <w:rPr>
          <w:i/>
          <w:iCs/>
        </w:rPr>
        <w:t>24</w:t>
      </w:r>
      <w:r>
        <w:t xml:space="preserve"> (Report, 2024) &lt;https://www.fwc.gov.au/documents/sites/award-review-2023-24/am202321-review-report-180724.pdf&gt;.</w:t>
      </w:r>
    </w:p>
    <w:p w14:paraId="45EDF9E2" w14:textId="77777777" w:rsidR="00C262FC" w:rsidRDefault="00C262FC" w:rsidP="00A14E38">
      <w:pPr>
        <w:pStyle w:val="Normal-Bibliography"/>
      </w:pPr>
      <w:r>
        <w:t xml:space="preserve">Fair Work Commission, </w:t>
      </w:r>
      <w:r w:rsidRPr="00CC2DC3">
        <w:rPr>
          <w:i/>
          <w:iCs/>
        </w:rPr>
        <w:t>Productivity and Innovation in Enterprise Agreement Clauses: An Overview of Literature, Data and Case Studies at the Workplace Level</w:t>
      </w:r>
      <w:r>
        <w:t xml:space="preserve"> (FWC, 2014).</w:t>
      </w:r>
    </w:p>
    <w:p w14:paraId="55981B08" w14:textId="77777777" w:rsidR="00C262FC" w:rsidRDefault="00C262FC" w:rsidP="00A14E38">
      <w:pPr>
        <w:pStyle w:val="Normal-Bibliography"/>
      </w:pPr>
      <w:r>
        <w:t xml:space="preserve">Fair Work Commission, </w:t>
      </w:r>
      <w:r w:rsidRPr="00CC2DC3">
        <w:rPr>
          <w:i/>
          <w:iCs/>
        </w:rPr>
        <w:t>Registered Organisation Education and Engagement Strategy 2024</w:t>
      </w:r>
      <w:r>
        <w:rPr>
          <w:rFonts w:ascii="Symbol" w:eastAsia="Symbol" w:hAnsi="Symbol" w:cs="Symbol"/>
          <w:i/>
        </w:rPr>
        <w:sym w:font="Symbol" w:char="F02D"/>
      </w:r>
      <w:r w:rsidRPr="00CC2DC3">
        <w:rPr>
          <w:i/>
          <w:iCs/>
        </w:rPr>
        <w:t>2025</w:t>
      </w:r>
      <w:r>
        <w:t xml:space="preserve"> (FWC, 2023) &lt;https://www.fwc.gov.au/documents/organisations/resources/pp016-education-and-engagement-strategy.pdf&gt;.</w:t>
      </w:r>
    </w:p>
    <w:p w14:paraId="4751EA22" w14:textId="77777777" w:rsidR="00C262FC" w:rsidRDefault="00C262FC" w:rsidP="00A14E38">
      <w:pPr>
        <w:pStyle w:val="Normal-Bibliography"/>
      </w:pPr>
      <w:r>
        <w:t xml:space="preserve">Fair Work Commission, </w:t>
      </w:r>
      <w:r w:rsidRPr="00CC2DC3">
        <w:rPr>
          <w:i/>
          <w:iCs/>
        </w:rPr>
        <w:t>Registered Organisations Functions: 12 Month Review</w:t>
      </w:r>
      <w:r>
        <w:t xml:space="preserve"> (Report, 2024).</w:t>
      </w:r>
    </w:p>
    <w:p w14:paraId="2C8FE73B" w14:textId="77777777" w:rsidR="00C262FC" w:rsidRDefault="00C262FC" w:rsidP="00A14E38">
      <w:pPr>
        <w:pStyle w:val="Normal-Bibliography"/>
      </w:pPr>
      <w:r>
        <w:t xml:space="preserve">Fair Work Ombudsman, </w:t>
      </w:r>
      <w:r w:rsidRPr="00CC2DC3">
        <w:rPr>
          <w:i/>
          <w:iCs/>
        </w:rPr>
        <w:t>Compliance and Enforcement Policy</w:t>
      </w:r>
      <w:r>
        <w:t xml:space="preserve"> (FWC, 2025) &lt;https://www.fairwork.gov.au/sites/default/files/migration/725/compliance-and-enforcement-policy.pdf&gt;.</w:t>
      </w:r>
    </w:p>
    <w:p w14:paraId="27A683D9" w14:textId="77777777" w:rsidR="00C262FC" w:rsidRDefault="00C262FC" w:rsidP="00A14E38">
      <w:pPr>
        <w:pStyle w:val="Normal-Bibliography"/>
      </w:pPr>
      <w:r>
        <w:t xml:space="preserve">Fair Work Ombudsman, </w:t>
      </w:r>
      <w:r w:rsidRPr="00CC2DC3">
        <w:rPr>
          <w:i/>
          <w:iCs/>
        </w:rPr>
        <w:t>National Building and Construction Industry Campaign 2014/15</w:t>
      </w:r>
      <w:r>
        <w:t xml:space="preserve"> (Report, 2015).</w:t>
      </w:r>
    </w:p>
    <w:p w14:paraId="3A1CE543" w14:textId="77777777" w:rsidR="00C262FC" w:rsidRDefault="00C262FC" w:rsidP="00A14E38">
      <w:pPr>
        <w:pStyle w:val="Normal-Bibliography"/>
      </w:pPr>
      <w:r>
        <w:t xml:space="preserve">Fair Work Ombudsman, </w:t>
      </w:r>
      <w:r w:rsidRPr="00CC2DC3">
        <w:rPr>
          <w:i/>
          <w:iCs/>
        </w:rPr>
        <w:t>Small Business Employer Guide to Family and Domestic Violence</w:t>
      </w:r>
      <w:r>
        <w:t xml:space="preserve"> (FWC, 2023) &lt;https://www.fairwork.gov.au/sites/default/files/migration/1414/employer-guide-to-family-and-domestic-violence.pdf&gt;.</w:t>
      </w:r>
    </w:p>
    <w:p w14:paraId="0194157C" w14:textId="77777777" w:rsidR="00C262FC" w:rsidRDefault="00C262FC" w:rsidP="00A14E38">
      <w:pPr>
        <w:pStyle w:val="Normal-Bibliography"/>
      </w:pPr>
      <w:r>
        <w:t xml:space="preserve">Fels A and Cousins D, ‘The Migrant Workers’ Taskforce and the Australian Government’s Response to Migrant Worker Wage Exploitation’ (2019) 84 </w:t>
      </w:r>
      <w:r w:rsidRPr="00CC2DC3">
        <w:rPr>
          <w:i/>
          <w:iCs/>
        </w:rPr>
        <w:t>Journal of Australian Political Economy</w:t>
      </w:r>
      <w:r>
        <w:t xml:space="preserve"> 13.</w:t>
      </w:r>
    </w:p>
    <w:p w14:paraId="2908D6DE" w14:textId="77777777" w:rsidR="00C262FC" w:rsidRDefault="00C262FC" w:rsidP="00A14E38">
      <w:pPr>
        <w:pStyle w:val="Normal-Bibliography"/>
      </w:pPr>
      <w:r>
        <w:t xml:space="preserve">Flanders A, ‘The Tradition of Voluntarism’ (1974) 12(3) </w:t>
      </w:r>
      <w:r w:rsidRPr="00CC2DC3">
        <w:rPr>
          <w:i/>
          <w:iCs/>
        </w:rPr>
        <w:t>British Journal of Industrial Relations</w:t>
      </w:r>
      <w:r>
        <w:t xml:space="preserve"> 352.</w:t>
      </w:r>
    </w:p>
    <w:p w14:paraId="5327CB8E" w14:textId="77777777" w:rsidR="00C262FC" w:rsidRDefault="00C262FC" w:rsidP="00A14E38">
      <w:pPr>
        <w:pStyle w:val="Normal-Bibliography"/>
      </w:pPr>
      <w:r>
        <w:t xml:space="preserve">Forsyth A and McCrystal S ‘The Potential Impact of the Fair Work Amendment (Secure Jobs, Better Pay) Act 2022 on Collective Bargaining in Australia: Reviewing the New Multiemployer Bargaining Provisions and Other Measures to Promote Bargaining’ (2023) 65(4) </w:t>
      </w:r>
      <w:r w:rsidRPr="00CC2DC3">
        <w:rPr>
          <w:i/>
          <w:iCs/>
        </w:rPr>
        <w:t>Journal of Industrial Relations</w:t>
      </w:r>
      <w:r>
        <w:t xml:space="preserve"> 386.</w:t>
      </w:r>
    </w:p>
    <w:p w14:paraId="38B8E1D0" w14:textId="77777777" w:rsidR="00C262FC" w:rsidRDefault="00C262FC" w:rsidP="00A14E38">
      <w:pPr>
        <w:pStyle w:val="Normal-Bibliography"/>
      </w:pPr>
      <w:r>
        <w:t xml:space="preserve">Forsyth A, ‘Ten Years of the Fair Work Act: (More) Testing Times for Australia’s Unions’ (2020) 33(1) </w:t>
      </w:r>
      <w:r w:rsidRPr="00CC2DC3">
        <w:rPr>
          <w:i/>
          <w:iCs/>
        </w:rPr>
        <w:t>Australian Journal of Labour Law</w:t>
      </w:r>
      <w:r>
        <w:t xml:space="preserve"> 122.</w:t>
      </w:r>
    </w:p>
    <w:p w14:paraId="318348A8" w14:textId="60576F76" w:rsidR="00491773" w:rsidRDefault="00491773" w:rsidP="00A14E38">
      <w:pPr>
        <w:pStyle w:val="Normal-Bibliography"/>
      </w:pPr>
      <w:r w:rsidRPr="00271425">
        <w:t>Forsyth</w:t>
      </w:r>
      <w:r>
        <w:t xml:space="preserve"> A</w:t>
      </w:r>
      <w:r w:rsidRPr="00271425">
        <w:t>, Gahan</w:t>
      </w:r>
      <w:r>
        <w:t xml:space="preserve"> P</w:t>
      </w:r>
      <w:r w:rsidRPr="00271425">
        <w:t>, Howe</w:t>
      </w:r>
      <w:r>
        <w:t xml:space="preserve"> J</w:t>
      </w:r>
      <w:r w:rsidRPr="00271425">
        <w:t xml:space="preserve"> and Landau</w:t>
      </w:r>
      <w:r>
        <w:t xml:space="preserve"> I</w:t>
      </w:r>
      <w:r w:rsidRPr="00271425">
        <w:t xml:space="preserve"> 'Fair Work Australia’s influence in the enterprise bargaining process' (2012) </w:t>
      </w:r>
      <w:r>
        <w:t>&lt;</w:t>
      </w:r>
      <w:r w:rsidRPr="00491773">
        <w:t>https://researchmgt.monash.edu/ws/portalfiles/portal/41524615/40034584.pdf</w:t>
      </w:r>
      <w:r w:rsidRPr="00271425">
        <w:t>&gt;</w:t>
      </w:r>
    </w:p>
    <w:p w14:paraId="27BBB4D7" w14:textId="77777777" w:rsidR="00C262FC" w:rsidRDefault="00C262FC" w:rsidP="00A14E38">
      <w:pPr>
        <w:pStyle w:val="Normal-Bibliography"/>
      </w:pPr>
      <w:r>
        <w:t xml:space="preserve">Forsyth A and McCrystal S, ‘Reforming Australian Bargaining and Strike Laws to Maximise Worker Power’ (2023) 46(4) </w:t>
      </w:r>
      <w:r w:rsidRPr="00CC2DC3">
        <w:rPr>
          <w:i/>
          <w:iCs/>
        </w:rPr>
        <w:t>UNSW Law Journal</w:t>
      </w:r>
      <w:r>
        <w:t xml:space="preserve"> 1125.</w:t>
      </w:r>
    </w:p>
    <w:p w14:paraId="6715727F" w14:textId="77777777" w:rsidR="00C262FC" w:rsidRDefault="00C262FC" w:rsidP="00A14E38">
      <w:pPr>
        <w:pStyle w:val="Normal-Bibliography"/>
      </w:pPr>
      <w:r>
        <w:t xml:space="preserve">Forsyth A and McCrystal S, </w:t>
      </w:r>
      <w:r w:rsidRPr="00CC2DC3">
        <w:rPr>
          <w:i/>
          <w:iCs/>
        </w:rPr>
        <w:t>Reforming Australian Bargaining and Strike Laws to Maximise Worker Power</w:t>
      </w:r>
      <w:r>
        <w:t xml:space="preserve"> (2023) 1110.</w:t>
      </w:r>
    </w:p>
    <w:p w14:paraId="3CD65C89" w14:textId="77777777" w:rsidR="00C262FC" w:rsidRDefault="00C262FC" w:rsidP="00A14E38">
      <w:pPr>
        <w:pStyle w:val="Normal-Bibliography"/>
      </w:pPr>
      <w:r>
        <w:t xml:space="preserve">Forsyth A, Gostencnik V, Ross I and Sharard T, </w:t>
      </w:r>
      <w:r w:rsidRPr="00CC2DC3">
        <w:rPr>
          <w:i/>
          <w:iCs/>
        </w:rPr>
        <w:t>Workplace Relations in the Building and Construction Industry</w:t>
      </w:r>
      <w:r>
        <w:t xml:space="preserve"> (LexisNexis Butterworths, 2007).</w:t>
      </w:r>
    </w:p>
    <w:p w14:paraId="06A8CAEA" w14:textId="77777777" w:rsidR="00C262FC" w:rsidRDefault="00C262FC" w:rsidP="00A14E38">
      <w:pPr>
        <w:pStyle w:val="Normal-Bibliography"/>
      </w:pPr>
      <w:r>
        <w:t xml:space="preserve">Forsyth A, Howe J, Gahan P and Landau I, ‘Establishing the Right to Bargain Collectively in Australia and the UK: Are Majority Support Determinations under Australia’s Fair Work Act a More Effective Form of Union Recognition?’ (2017) 46(3) </w:t>
      </w:r>
      <w:r w:rsidRPr="00CC2DC3">
        <w:rPr>
          <w:i/>
          <w:iCs/>
        </w:rPr>
        <w:t>Industrial Law Journal</w:t>
      </w:r>
      <w:r>
        <w:t xml:space="preserve"> 335.</w:t>
      </w:r>
    </w:p>
    <w:p w14:paraId="147D3001" w14:textId="77777777" w:rsidR="00C262FC" w:rsidRDefault="00C262FC" w:rsidP="00A14E38">
      <w:pPr>
        <w:pStyle w:val="Normal-Bibliography"/>
      </w:pPr>
      <w:r>
        <w:t xml:space="preserve">Freeman R and Medoff D, </w:t>
      </w:r>
      <w:r w:rsidRPr="00CC2DC3">
        <w:rPr>
          <w:i/>
          <w:iCs/>
        </w:rPr>
        <w:t>What Do Unions Do?</w:t>
      </w:r>
      <w:r>
        <w:t xml:space="preserve"> (Basic Books, 1984).</w:t>
      </w:r>
    </w:p>
    <w:p w14:paraId="21A7444C" w14:textId="77777777" w:rsidR="00C262FC" w:rsidRDefault="00C262FC" w:rsidP="00A14E38">
      <w:pPr>
        <w:pStyle w:val="Normal-Bibliography"/>
      </w:pPr>
      <w:r>
        <w:lastRenderedPageBreak/>
        <w:t xml:space="preserve">Grace Kelly K, ‘The IR System Isn’t Broken, So it Doesn’t Need to be “Fixed”’, </w:t>
      </w:r>
      <w:r w:rsidRPr="00CC2DC3">
        <w:rPr>
          <w:i/>
          <w:iCs/>
        </w:rPr>
        <w:t>The Australian</w:t>
      </w:r>
      <w:r>
        <w:t>, 13</w:t>
      </w:r>
      <w:r>
        <w:rPr>
          <w:rFonts w:ascii="Symbol" w:eastAsia="Symbol" w:hAnsi="Symbol" w:cs="Symbol"/>
        </w:rPr>
        <w:sym w:font="Symbol" w:char="F02D"/>
      </w:r>
      <w:r>
        <w:t>14 July 2022.</w:t>
      </w:r>
    </w:p>
    <w:p w14:paraId="28F3D859" w14:textId="77777777" w:rsidR="00C262FC" w:rsidRDefault="00C262FC" w:rsidP="00A14E38">
      <w:pPr>
        <w:pStyle w:val="Normal-Bibliography"/>
      </w:pPr>
      <w:r>
        <w:t xml:space="preserve">Grimshaw D, Brandl B, Bertranou F and Gontero S, ‘Tracing the Potential Benefits and Complex Contingencies of Multilevel Collective Bargaining’ (2024) 163(4) </w:t>
      </w:r>
      <w:r w:rsidRPr="00CC2DC3">
        <w:rPr>
          <w:i/>
          <w:iCs/>
        </w:rPr>
        <w:t>International Labour Review</w:t>
      </w:r>
      <w:r>
        <w:t xml:space="preserve"> 657.</w:t>
      </w:r>
    </w:p>
    <w:p w14:paraId="2DBFA5C6" w14:textId="77777777" w:rsidR="00C262FC" w:rsidRDefault="00C262FC" w:rsidP="00A14E38">
      <w:pPr>
        <w:pStyle w:val="Normal-Bibliography"/>
      </w:pPr>
      <w:r>
        <w:t xml:space="preserve">Gunningham N, ‘Enforcement and Compliance Strategies’ in R Baldwin, M Cave and M Lodge (eds), </w:t>
      </w:r>
      <w:r w:rsidRPr="00CC2DC3">
        <w:rPr>
          <w:i/>
          <w:iCs/>
        </w:rPr>
        <w:t>The Oxford Handbook of Regulation</w:t>
      </w:r>
      <w:r>
        <w:t xml:space="preserve"> (Oxford University Press, 2011) 120</w:t>
      </w:r>
      <w:r>
        <w:rPr>
          <w:rFonts w:ascii="Symbol" w:eastAsia="Symbol" w:hAnsi="Symbol" w:cs="Symbol"/>
        </w:rPr>
        <w:sym w:font="Symbol" w:char="F02D"/>
      </w:r>
      <w:r>
        <w:t>145.</w:t>
      </w:r>
    </w:p>
    <w:p w14:paraId="2C4775CC" w14:textId="77777777" w:rsidR="00C262FC" w:rsidRDefault="00C262FC" w:rsidP="00A14E38">
      <w:pPr>
        <w:pStyle w:val="Normal-Bibliography"/>
      </w:pPr>
      <w:r>
        <w:t xml:space="preserve">Hamberger J and Booth A, </w:t>
      </w:r>
      <w:r w:rsidRPr="00CC2DC3">
        <w:rPr>
          <w:i/>
          <w:iCs/>
        </w:rPr>
        <w:t>Registered Organisations Review Report</w:t>
      </w:r>
      <w:r>
        <w:t xml:space="preserve"> (Report, 2023).</w:t>
      </w:r>
    </w:p>
    <w:p w14:paraId="4C7ED6EB" w14:textId="77777777" w:rsidR="00C262FC" w:rsidRDefault="00C262FC" w:rsidP="00A14E38">
      <w:pPr>
        <w:pStyle w:val="Normal-Bibliography"/>
      </w:pPr>
      <w:r>
        <w:t xml:space="preserve">Hamilton R, </w:t>
      </w:r>
      <w:r w:rsidRPr="00CC2DC3">
        <w:rPr>
          <w:i/>
          <w:iCs/>
        </w:rPr>
        <w:t>The History of the Australian Minimum Wage</w:t>
      </w:r>
      <w:r>
        <w:t xml:space="preserve"> (2022) &lt;https://www.fwc.gov.au/documents/resources/history-of-australian-minimum-wage.pdf&gt;.</w:t>
      </w:r>
    </w:p>
    <w:p w14:paraId="3907DDF9" w14:textId="77777777" w:rsidR="00C262FC" w:rsidRDefault="00C262FC" w:rsidP="00A14E38">
      <w:pPr>
        <w:pStyle w:val="Normal-Bibliography"/>
      </w:pPr>
      <w:r>
        <w:t xml:space="preserve">Hancock K, ‘Enterprise Bargaining and Productivity’ (2012) 22(3) </w:t>
      </w:r>
      <w:r w:rsidRPr="00CC2DC3">
        <w:rPr>
          <w:i/>
          <w:iCs/>
        </w:rPr>
        <w:t>Labour and Industry</w:t>
      </w:r>
      <w:r>
        <w:t xml:space="preserve"> 289.</w:t>
      </w:r>
    </w:p>
    <w:p w14:paraId="7DDB62CF" w14:textId="77777777" w:rsidR="00C262FC" w:rsidRDefault="00C262FC" w:rsidP="00A14E38">
      <w:pPr>
        <w:pStyle w:val="Normal-Bibliography"/>
      </w:pPr>
      <w:r>
        <w:t xml:space="preserve">Hancock K, ‘Reforming Industrial Relations: Revisiting the 1980s and 1990s’ in K Hancock and R Lansbury (eds), </w:t>
      </w:r>
      <w:r w:rsidRPr="00CC2DC3">
        <w:rPr>
          <w:i/>
          <w:iCs/>
        </w:rPr>
        <w:t>Industrial Relations Reform: Looking to the Future</w:t>
      </w:r>
      <w:r>
        <w:t xml:space="preserve"> (Federation Press, 2016) 16</w:t>
      </w:r>
      <w:r>
        <w:rPr>
          <w:rFonts w:ascii="Symbol" w:eastAsia="Symbol" w:hAnsi="Symbol" w:cs="Symbol"/>
        </w:rPr>
        <w:sym w:font="Symbol" w:char="F02D"/>
      </w:r>
      <w:r>
        <w:t>39.</w:t>
      </w:r>
    </w:p>
    <w:p w14:paraId="646A98BB" w14:textId="77777777" w:rsidR="00C262FC" w:rsidRDefault="00C262FC" w:rsidP="00A14E38">
      <w:pPr>
        <w:pStyle w:val="Normal-Bibliography"/>
      </w:pPr>
      <w:r>
        <w:t xml:space="preserve">Hancock K, </w:t>
      </w:r>
      <w:r w:rsidRPr="00CC2DC3">
        <w:rPr>
          <w:i/>
          <w:iCs/>
        </w:rPr>
        <w:t>Committee of Review into Australian Industrial Relations Law and Systems, Report</w:t>
      </w:r>
      <w:r>
        <w:t xml:space="preserve"> (AGPS, 1985).</w:t>
      </w:r>
    </w:p>
    <w:p w14:paraId="68722FBF" w14:textId="77777777" w:rsidR="00C262FC" w:rsidRDefault="00C262FC" w:rsidP="00A14E38">
      <w:pPr>
        <w:pStyle w:val="Normal-Bibliography"/>
      </w:pPr>
      <w:r>
        <w:t xml:space="preserve">Hancock KJ, </w:t>
      </w:r>
      <w:r w:rsidRPr="00CC2DC3">
        <w:rPr>
          <w:i/>
          <w:iCs/>
        </w:rPr>
        <w:t>Australian Industrial Relations Law and Systems: Report of the Committee of Review</w:t>
      </w:r>
      <w:r>
        <w:t xml:space="preserve"> (AGPS, 1985)</w:t>
      </w:r>
    </w:p>
    <w:p w14:paraId="7F9EAF37" w14:textId="77777777" w:rsidR="00C262FC" w:rsidRDefault="00C262FC" w:rsidP="00A14E38">
      <w:pPr>
        <w:pStyle w:val="Normal-Bibliography"/>
      </w:pPr>
      <w:r>
        <w:t xml:space="preserve">Hare J, ‘Wage Theft Shameful and Systemic, Says Senate Report’, </w:t>
      </w:r>
      <w:r w:rsidRPr="00CC2DC3">
        <w:rPr>
          <w:i/>
          <w:iCs/>
        </w:rPr>
        <w:t>Australian Financial Review</w:t>
      </w:r>
      <w:r>
        <w:t xml:space="preserve"> (online, 31 March 2022) &lt;https://www.afr.com/work-and-careers/education/wage-theft-shameful-and-systemic-says-senate-report-20220331-p5a9rn&gt;.</w:t>
      </w:r>
    </w:p>
    <w:p w14:paraId="05B4C25A" w14:textId="77777777" w:rsidR="00C262FC" w:rsidRDefault="00C262FC" w:rsidP="00A14E38">
      <w:pPr>
        <w:pStyle w:val="Normal-Bibliography"/>
      </w:pPr>
      <w:r>
        <w:t>Hatcher A, Justice, ‘Review of the Fair Work Commission’s Implementation of the Secure Jobs, Better Pay Legislation’ (Speech, Australian Industry Group Conference, 31 July 2023) &lt;https://www.fwc.gov.au/documents/resources/presidents-address-aig-pir-conference-2023-07-31.pdf&gt;.</w:t>
      </w:r>
    </w:p>
    <w:p w14:paraId="0290A36E" w14:textId="77777777" w:rsidR="00C262FC" w:rsidRDefault="00C262FC" w:rsidP="00A14E38">
      <w:pPr>
        <w:pStyle w:val="Normal-Bibliography"/>
      </w:pPr>
      <w:r>
        <w:t xml:space="preserve">Hatcher A, Justice, Fair Work Commission, </w:t>
      </w:r>
      <w:r w:rsidRPr="00CC2DC3">
        <w:rPr>
          <w:i/>
          <w:iCs/>
        </w:rPr>
        <w:t>Modern Awards Review 2023</w:t>
      </w:r>
      <w:r>
        <w:rPr>
          <w:rFonts w:ascii="Symbol" w:eastAsia="Symbol" w:hAnsi="Symbol" w:cs="Symbol"/>
          <w:i/>
        </w:rPr>
        <w:sym w:font="Symbol" w:char="F02D"/>
      </w:r>
      <w:r w:rsidRPr="00CC2DC3">
        <w:rPr>
          <w:i/>
          <w:iCs/>
        </w:rPr>
        <w:t>24</w:t>
      </w:r>
      <w:r>
        <w:t xml:space="preserve"> (Report, 2024).</w:t>
      </w:r>
    </w:p>
    <w:p w14:paraId="01DA774D" w14:textId="77777777" w:rsidR="00C262FC" w:rsidRDefault="00C262FC" w:rsidP="00A14E38">
      <w:pPr>
        <w:pStyle w:val="Normal-Bibliography"/>
      </w:pPr>
      <w:r>
        <w:t xml:space="preserve">Heap L and Peetz D, ‘Should Non-disclosure Agreement Be Restricted in Cases of Workplace Sexual Harassment? Here’s What Reforms Need to Get Right’, </w:t>
      </w:r>
      <w:r w:rsidRPr="00CC2DC3">
        <w:rPr>
          <w:i/>
          <w:iCs/>
        </w:rPr>
        <w:t>The Conversation</w:t>
      </w:r>
      <w:r>
        <w:t xml:space="preserve"> (online, 17 December 2024) &lt;https://theconversation.com/should-non-disclosure-agreements-be-restricted-in-cases-of-workplace-sexual-harassment-heres-what-reforms-need-to-get-right-245851&gt;.</w:t>
      </w:r>
    </w:p>
    <w:p w14:paraId="351F6B44" w14:textId="77777777" w:rsidR="00C262FC" w:rsidRDefault="00C262FC" w:rsidP="00A14E38">
      <w:pPr>
        <w:pStyle w:val="Normal-Bibliography"/>
      </w:pPr>
      <w:r>
        <w:t xml:space="preserve">Hemingway C, Yeh F, Berg L and Farbenblum B, </w:t>
      </w:r>
      <w:r w:rsidRPr="00CC2DC3">
        <w:rPr>
          <w:i/>
          <w:iCs/>
        </w:rPr>
        <w:t>All Work, No Pay: Improving the Legal System So Migrants Can Get the Wages They Are Owed</w:t>
      </w:r>
      <w:r>
        <w:t xml:space="preserve"> (Migrant Justice Institute, 2024).</w:t>
      </w:r>
    </w:p>
    <w:p w14:paraId="1162D336" w14:textId="77777777" w:rsidR="00C262FC" w:rsidRDefault="00C262FC" w:rsidP="00A14E38">
      <w:pPr>
        <w:pStyle w:val="Normal-Bibliography"/>
      </w:pPr>
      <w:r>
        <w:t xml:space="preserve">Hewett J, ‘Low Efficiency Won’t Augur Well’, </w:t>
      </w:r>
      <w:r w:rsidRPr="00CC2DC3">
        <w:rPr>
          <w:i/>
          <w:iCs/>
        </w:rPr>
        <w:t>The Australian</w:t>
      </w:r>
      <w:r>
        <w:t>, 25 August 2011, 24.</w:t>
      </w:r>
    </w:p>
    <w:p w14:paraId="174D83B4" w14:textId="77777777" w:rsidR="00C262FC" w:rsidRDefault="00C262FC" w:rsidP="00A14E38">
      <w:pPr>
        <w:pStyle w:val="Normal-Bibliography"/>
      </w:pPr>
      <w:r>
        <w:t xml:space="preserve">Hutchens G, ‘The World is Shifting to Multi-employer Bargaining. Will Australia Fail to Follow?’, </w:t>
      </w:r>
      <w:r w:rsidRPr="00CC2DC3">
        <w:rPr>
          <w:i/>
          <w:iCs/>
        </w:rPr>
        <w:t>ABC News</w:t>
      </w:r>
      <w:r>
        <w:t xml:space="preserve"> (online, 13 November 2022) &lt;www.abc.net.au/news/world-is-shifting-to-multi-employer-bargaining-will-australia/101646706&gt;.</w:t>
      </w:r>
    </w:p>
    <w:p w14:paraId="13C25601" w14:textId="77777777" w:rsidR="00C262FC" w:rsidRDefault="00C262FC" w:rsidP="00A14E38">
      <w:pPr>
        <w:pStyle w:val="Normal-Bibliography"/>
      </w:pPr>
      <w:r>
        <w:t xml:space="preserve">Ireland O and Crowe D, ‘Fair Work Launches 42 Probes Into CFMEU Coercion, Corruption’, </w:t>
      </w:r>
      <w:r w:rsidRPr="00CC2DC3">
        <w:rPr>
          <w:i/>
          <w:iCs/>
        </w:rPr>
        <w:t>The Age</w:t>
      </w:r>
      <w:r>
        <w:t xml:space="preserve"> (online, 16 October 2024) &lt;https://www.theage.com.au/politics/federal/fair-work-launches-42-probes-into-cfmeu-coercion-corruption-20241015-p5kibg.html&gt;.</w:t>
      </w:r>
    </w:p>
    <w:p w14:paraId="216A0E07" w14:textId="77777777" w:rsidR="00C262FC" w:rsidRDefault="00C262FC" w:rsidP="00A14E38">
      <w:pPr>
        <w:pStyle w:val="Normal-Bibliography"/>
      </w:pPr>
      <w:r>
        <w:lastRenderedPageBreak/>
        <w:t xml:space="preserve">Isaac J, ‘The Arbitration Commission: Prime Mover or Facilitator’ (1989) 31(3) </w:t>
      </w:r>
      <w:r w:rsidRPr="00CC2DC3">
        <w:rPr>
          <w:i/>
          <w:iCs/>
        </w:rPr>
        <w:t>Journal of Industrial Relations</w:t>
      </w:r>
      <w:r>
        <w:t xml:space="preserve"> 407.</w:t>
      </w:r>
    </w:p>
    <w:p w14:paraId="7CA8D5B7" w14:textId="77777777" w:rsidR="00C262FC" w:rsidRDefault="00C262FC" w:rsidP="00A14E38">
      <w:pPr>
        <w:pStyle w:val="Normal-Bibliography"/>
      </w:pPr>
      <w:r>
        <w:t xml:space="preserve">Isaac J, ‘Why are Australian Wages Lagging and What Can Be Done About It?’ (2018) 51(2) </w:t>
      </w:r>
      <w:r w:rsidRPr="00CC2DC3">
        <w:rPr>
          <w:i/>
          <w:iCs/>
        </w:rPr>
        <w:t>Australian Economic Review</w:t>
      </w:r>
      <w:r>
        <w:t xml:space="preserve"> 175.</w:t>
      </w:r>
    </w:p>
    <w:p w14:paraId="741BD001" w14:textId="77777777" w:rsidR="00C262FC" w:rsidRDefault="00C262FC" w:rsidP="00A14E38">
      <w:pPr>
        <w:pStyle w:val="Normal-Bibliography"/>
      </w:pPr>
      <w:r>
        <w:t xml:space="preserve">Janda M, ‘Reserve Bank Says Housing Won’t “Derail the Economy” But Tight-fisted Bosses Might’, </w:t>
      </w:r>
      <w:r w:rsidRPr="00CC2DC3">
        <w:rPr>
          <w:i/>
          <w:iCs/>
        </w:rPr>
        <w:t>ABC News</w:t>
      </w:r>
      <w:r>
        <w:t xml:space="preserve"> (online, 22 February 2019) &lt;https://www.abc.net.au/news/2019-02-22/reserve-bank-governor-philip-lowe-parliament/10836828&gt;.</w:t>
      </w:r>
    </w:p>
    <w:p w14:paraId="6A07A062" w14:textId="77777777" w:rsidR="00C262FC" w:rsidRDefault="00C262FC" w:rsidP="00A14E38">
      <w:pPr>
        <w:pStyle w:val="Normal-Bibliography"/>
      </w:pPr>
      <w:r>
        <w:t>Junor A, Preston A and Smith M, ‘Occupational Segregation and Gender Pay Equity Strategies in Australia: Comparison, Revaluation or Raising Minimum Wages?’ in S Williamson, J Parker, N Donnelly N, Gavin M and Ressia S, Gender, Work and Employment Relations (forthcoming, Edward Elgar Publishing, 2025).</w:t>
      </w:r>
    </w:p>
    <w:p w14:paraId="41A0D0B4" w14:textId="77777777" w:rsidR="00C262FC" w:rsidRDefault="00C262FC" w:rsidP="00A14E38">
      <w:pPr>
        <w:pStyle w:val="Normal-Bibliography"/>
      </w:pPr>
      <w:r>
        <w:t xml:space="preserve">Kent A, ‘New Zealand’s Fair Pay Agreements: A New Direction in Sectoral and Occupational Bargaining’ (2021) 31(3) </w:t>
      </w:r>
      <w:r w:rsidRPr="00CC2DC3">
        <w:rPr>
          <w:i/>
          <w:iCs/>
        </w:rPr>
        <w:t>Labour &amp; Industry</w:t>
      </w:r>
      <w:r>
        <w:t xml:space="preserve"> 235.</w:t>
      </w:r>
    </w:p>
    <w:p w14:paraId="517361F5" w14:textId="77777777" w:rsidR="00C262FC" w:rsidRDefault="00C262FC" w:rsidP="00A14E38">
      <w:pPr>
        <w:pStyle w:val="Normal-Bibliography"/>
      </w:pPr>
      <w:r>
        <w:t xml:space="preserve">KPMG, </w:t>
      </w:r>
      <w:r w:rsidRPr="00CC2DC3">
        <w:rPr>
          <w:i/>
          <w:iCs/>
        </w:rPr>
        <w:t>Australia’s Productivity Growth: Further Research and Findings</w:t>
      </w:r>
      <w:r>
        <w:t xml:space="preserve"> (KPMG Research Paper, June 2024) 14.</w:t>
      </w:r>
    </w:p>
    <w:p w14:paraId="5281C24E" w14:textId="77777777" w:rsidR="00C262FC" w:rsidRDefault="00C262FC" w:rsidP="00A14E38">
      <w:pPr>
        <w:pStyle w:val="Normal-Bibliography"/>
      </w:pPr>
      <w:r>
        <w:t xml:space="preserve">KPMG, </w:t>
      </w:r>
      <w:r w:rsidRPr="00CC2DC3">
        <w:rPr>
          <w:i/>
          <w:iCs/>
        </w:rPr>
        <w:t>Review of the Office of the Fair Work Ombudsman</w:t>
      </w:r>
      <w:r>
        <w:t xml:space="preserve"> (Report, 2023) 26 &lt;https://www.dewr.gov.au/workplace-relations-australia/resources/review-office-fair-work-ombudsman&gt;.</w:t>
      </w:r>
    </w:p>
    <w:p w14:paraId="5707FD0E" w14:textId="77777777" w:rsidR="00C262FC" w:rsidRDefault="00C262FC" w:rsidP="00A14E38">
      <w:pPr>
        <w:pStyle w:val="Normal-Bibliography"/>
      </w:pPr>
      <w:r>
        <w:t xml:space="preserve">KPMG, </w:t>
      </w:r>
      <w:r w:rsidRPr="00CC2DC3">
        <w:rPr>
          <w:i/>
          <w:iCs/>
        </w:rPr>
        <w:t>Trends in Australia’s Productivity Growth: Further Research and Findings</w:t>
      </w:r>
      <w:r>
        <w:t xml:space="preserve"> (KPMG Economics Research Paper, 2024).</w:t>
      </w:r>
    </w:p>
    <w:p w14:paraId="6883F04E" w14:textId="77777777" w:rsidR="00C262FC" w:rsidRDefault="00C262FC" w:rsidP="00A14E38">
      <w:pPr>
        <w:pStyle w:val="Normal-Bibliography"/>
      </w:pPr>
      <w:r>
        <w:t xml:space="preserve">Long S, ‘Reserve Bank Boss Philip Lowe Urges Workers to Push for Pay Rises’, </w:t>
      </w:r>
      <w:r w:rsidRPr="00CC2DC3">
        <w:rPr>
          <w:i/>
          <w:iCs/>
        </w:rPr>
        <w:t>ABC News</w:t>
      </w:r>
      <w:r>
        <w:t xml:space="preserve"> (online, 29 June 2017) &lt;https://www.abc.net.au/news/2017-06-29/rba-governor-philip-lowe-goes-marxist/8662228&gt;.</w:t>
      </w:r>
    </w:p>
    <w:p w14:paraId="28A6C198" w14:textId="77777777" w:rsidR="00C262FC" w:rsidRDefault="00C262FC" w:rsidP="00A14E38">
      <w:pPr>
        <w:pStyle w:val="Normal-Bibliography"/>
      </w:pPr>
      <w:r>
        <w:t xml:space="preserve">M Boland, </w:t>
      </w:r>
      <w:r w:rsidRPr="00CC2DC3">
        <w:rPr>
          <w:i/>
          <w:iCs/>
        </w:rPr>
        <w:t>Review of the Model Work Health and Safety Laws: Final Report</w:t>
      </w:r>
      <w:r>
        <w:t xml:space="preserve"> (Report, 2018) 65 &lt;https://www.safeworkaustralia.gov.au/system/files/documents/1902/review_of_the_model_whs_laws_final_report_0.pdf&gt;.</w:t>
      </w:r>
    </w:p>
    <w:p w14:paraId="205DB538" w14:textId="77777777" w:rsidR="00C262FC" w:rsidRDefault="00C262FC" w:rsidP="00A14E38">
      <w:pPr>
        <w:pStyle w:val="Normal-Bibliography"/>
      </w:pPr>
      <w:r>
        <w:t xml:space="preserve">Macdonald F, Charlesworth S and Brigden B, ‘Access to Collective Bargaining for Low-Paid Workers’ in S McCrystal, B Creighton and A Forsyth (eds), </w:t>
      </w:r>
      <w:r w:rsidRPr="00CC2DC3">
        <w:rPr>
          <w:i/>
          <w:iCs/>
        </w:rPr>
        <w:t>Collective Bargaining under the Fair Work Act</w:t>
      </w:r>
      <w:r>
        <w:t xml:space="preserve"> (Federation Press, 2018) 206</w:t>
      </w:r>
      <w:r>
        <w:rPr>
          <w:rFonts w:ascii="Symbol" w:eastAsia="Symbol" w:hAnsi="Symbol" w:cs="Symbol"/>
        </w:rPr>
        <w:sym w:font="Symbol" w:char="F02D"/>
      </w:r>
      <w:r>
        <w:t>227.</w:t>
      </w:r>
    </w:p>
    <w:p w14:paraId="45FDE662" w14:textId="77777777" w:rsidR="00C262FC" w:rsidRDefault="00C262FC" w:rsidP="00A14E38">
      <w:pPr>
        <w:pStyle w:val="Normal-Bibliography"/>
      </w:pPr>
      <w:r>
        <w:t xml:space="preserve">Macneil J, Bray M and Spiess L, ‘Unions and Collective Bargaining in 2019’ (2020) 62(3) </w:t>
      </w:r>
      <w:r w:rsidRPr="00CC2DC3">
        <w:rPr>
          <w:i/>
          <w:iCs/>
        </w:rPr>
        <w:t>Journal of Industrial Relations</w:t>
      </w:r>
      <w:r>
        <w:t xml:space="preserve"> 380.</w:t>
      </w:r>
    </w:p>
    <w:p w14:paraId="387C0A8E" w14:textId="77777777" w:rsidR="00C262FC" w:rsidRDefault="00C262FC" w:rsidP="00A14E38">
      <w:pPr>
        <w:pStyle w:val="Normal-Bibliography"/>
      </w:pPr>
      <w:r>
        <w:t xml:space="preserve">Marin-Guzman D, ‘CFMEU Deal Helps Add 10pc to Apartment Costs’, </w:t>
      </w:r>
      <w:r w:rsidRPr="00CC2DC3">
        <w:rPr>
          <w:i/>
          <w:iCs/>
        </w:rPr>
        <w:t>Australian Financial Review</w:t>
      </w:r>
      <w:r>
        <w:t xml:space="preserve"> (online, 10 July 2024).</w:t>
      </w:r>
    </w:p>
    <w:p w14:paraId="09ADB1F8" w14:textId="77777777" w:rsidR="00C262FC" w:rsidRDefault="00C262FC" w:rsidP="00A14E38">
      <w:pPr>
        <w:pStyle w:val="Normal-Bibliography"/>
      </w:pPr>
      <w:r>
        <w:t xml:space="preserve">Marin-Guzman D, ‘Secret Union Push for 26pc Pay Rise to Spike Building Costs’, </w:t>
      </w:r>
      <w:r w:rsidRPr="00CC2DC3">
        <w:rPr>
          <w:i/>
          <w:iCs/>
        </w:rPr>
        <w:t>Australian Financial Review</w:t>
      </w:r>
      <w:r>
        <w:t xml:space="preserve"> (online, 8 March 2024).</w:t>
      </w:r>
    </w:p>
    <w:p w14:paraId="67913C66" w14:textId="77777777" w:rsidR="00C262FC" w:rsidRDefault="00C262FC" w:rsidP="00A14E38">
      <w:pPr>
        <w:pStyle w:val="Normal-Bibliography"/>
      </w:pPr>
      <w:r>
        <w:t xml:space="preserve">Marsh S, ‘Sydney’s Five-star Shangri-La Hotel Underpaid Employees More Than $3 million’, </w:t>
      </w:r>
      <w:r w:rsidRPr="00CC2DC3">
        <w:rPr>
          <w:i/>
          <w:iCs/>
        </w:rPr>
        <w:t>9news</w:t>
      </w:r>
      <w:r>
        <w:t xml:space="preserve"> (online, 1 April 2022 ) &lt;https://www.9news.com.au/national/shangrila-sydney-five-star-hotel-found-to-have-underpaid-workers-3-million/16feb7b5-1a40-4dc9-9168-e8e2a4c1fd71&gt;.</w:t>
      </w:r>
    </w:p>
    <w:p w14:paraId="49C715EE" w14:textId="77777777" w:rsidR="00C262FC" w:rsidRDefault="00C262FC" w:rsidP="00A14E38">
      <w:pPr>
        <w:pStyle w:val="Normal-Bibliography"/>
      </w:pPr>
      <w:r>
        <w:t xml:space="preserve">Martin RL, ‘What Economists Get Wrong About Measuring Productivity’, </w:t>
      </w:r>
      <w:r w:rsidRPr="00CC2DC3">
        <w:rPr>
          <w:i/>
          <w:iCs/>
        </w:rPr>
        <w:t>Harvard Business Review</w:t>
      </w:r>
      <w:r>
        <w:t>, 14 September 2015 &lt;https://hbr.org/2015/09/what-economists-get-wrong-about-measuring-productivity&gt;.</w:t>
      </w:r>
    </w:p>
    <w:p w14:paraId="75A1357B" w14:textId="77777777" w:rsidR="00C262FC" w:rsidRDefault="00C262FC" w:rsidP="00A14E38">
      <w:pPr>
        <w:pStyle w:val="Normal-Bibliography"/>
      </w:pPr>
      <w:r>
        <w:lastRenderedPageBreak/>
        <w:t xml:space="preserve">McCallum R, Moore E and Edwards J, </w:t>
      </w:r>
      <w:r w:rsidRPr="00CC2DC3">
        <w:rPr>
          <w:i/>
          <w:iCs/>
        </w:rPr>
        <w:t>Towards More Productive and Equitable Workplaces: An Evaluation of the Fair Work Legislation</w:t>
      </w:r>
      <w:r>
        <w:t xml:space="preserve"> (Australian Government, 2012).</w:t>
      </w:r>
    </w:p>
    <w:p w14:paraId="448DB0B6" w14:textId="77777777" w:rsidR="00C262FC" w:rsidRDefault="00C262FC" w:rsidP="00A14E38">
      <w:pPr>
        <w:pStyle w:val="Normal-Bibliography"/>
      </w:pPr>
      <w:r>
        <w:t xml:space="preserve">McCrystal S, ‘Avoiding Collective Bargaining under the Fair Work Act 2009 (Cth): Making Collective Agreements Without Unions and the Impact of Recent Reforms’ (2024) </w:t>
      </w:r>
      <w:r w:rsidRPr="00CC2DC3">
        <w:rPr>
          <w:i/>
          <w:iCs/>
        </w:rPr>
        <w:t>Labour and Industry</w:t>
      </w:r>
      <w:r>
        <w:t xml:space="preserve"> 4 &lt;DOI: 10.1080/10301763.2024.2439108&gt;.</w:t>
      </w:r>
    </w:p>
    <w:p w14:paraId="0AC107DE" w14:textId="77777777" w:rsidR="00C262FC" w:rsidRDefault="00C262FC" w:rsidP="00A14E38">
      <w:pPr>
        <w:pStyle w:val="Normal-Bibliography"/>
      </w:pPr>
      <w:r>
        <w:t xml:space="preserve">McCrystal S, ‘Why Is It So Hard to Take Lawful Strike Action in Australia?’ (2019) 61(1) </w:t>
      </w:r>
      <w:r w:rsidRPr="00CC2DC3">
        <w:rPr>
          <w:i/>
          <w:iCs/>
        </w:rPr>
        <w:t>Journal of Industrial Relations</w:t>
      </w:r>
      <w:r>
        <w:t xml:space="preserve"> 132.</w:t>
      </w:r>
    </w:p>
    <w:p w14:paraId="2A5789A5" w14:textId="77777777" w:rsidR="00C262FC" w:rsidRDefault="00C262FC" w:rsidP="00A14E38">
      <w:pPr>
        <w:pStyle w:val="Normal-Bibliography"/>
      </w:pPr>
      <w:r>
        <w:t xml:space="preserve">McCrystal S, ‘Avoiding Collective Bargaining under the Fair Work Act 2009 (Cth): Making Collective Agreements Without Unions and the Impact of Recent Reforms’ (2024) </w:t>
      </w:r>
      <w:r w:rsidRPr="00CC2DC3">
        <w:rPr>
          <w:i/>
          <w:iCs/>
        </w:rPr>
        <w:t>Labour and Industry</w:t>
      </w:r>
      <w:r>
        <w:t xml:space="preserve"> &lt;DOI: 10.1080/10301763.2024.2439108&gt;.</w:t>
      </w:r>
    </w:p>
    <w:p w14:paraId="7B48490B" w14:textId="77777777" w:rsidR="00C262FC" w:rsidRDefault="00C262FC" w:rsidP="00A14E38">
      <w:pPr>
        <w:pStyle w:val="Normal-Bibliography"/>
      </w:pPr>
      <w:r>
        <w:t xml:space="preserve">McCrystal S and Bray M, ‘Non-Union Agreement-Making in Australia in Comparative and Historical Context’ (2021) 41(3) </w:t>
      </w:r>
      <w:r w:rsidRPr="00CC2DC3">
        <w:rPr>
          <w:i/>
          <w:iCs/>
        </w:rPr>
        <w:t>Comparative Labor Law and Policy Journal</w:t>
      </w:r>
      <w:r>
        <w:t xml:space="preserve"> 753.</w:t>
      </w:r>
    </w:p>
    <w:p w14:paraId="1F271D7D" w14:textId="77777777" w:rsidR="00C262FC" w:rsidRDefault="00C262FC" w:rsidP="00A14E38">
      <w:pPr>
        <w:pStyle w:val="Normal-Bibliography"/>
      </w:pPr>
      <w:r>
        <w:t xml:space="preserve">McCrystal S, Creighton B and Forsyth A (eds), </w:t>
      </w:r>
      <w:r w:rsidRPr="00CC2DC3">
        <w:rPr>
          <w:i/>
          <w:iCs/>
        </w:rPr>
        <w:t>Collective Bargaining under the Fair Work Act</w:t>
      </w:r>
      <w:r>
        <w:t xml:space="preserve"> (Federation Press, 2018).</w:t>
      </w:r>
    </w:p>
    <w:p w14:paraId="3AA30CDE" w14:textId="77777777" w:rsidR="00C262FC" w:rsidRDefault="00C262FC" w:rsidP="00A14E38">
      <w:pPr>
        <w:pStyle w:val="Normal-Bibliography"/>
      </w:pPr>
      <w:r>
        <w:t xml:space="preserve">McDonald F, Charlesworth S and Brigden C, ‘Access to Collective Bargaining for Low-Paid Workers’ in S McCrystal, B Creighton and A Forsyth (eds), </w:t>
      </w:r>
      <w:r w:rsidRPr="00CC2DC3">
        <w:rPr>
          <w:i/>
          <w:iCs/>
        </w:rPr>
        <w:t>Collective Bargaining under the Fair Work Act</w:t>
      </w:r>
      <w:r>
        <w:t xml:space="preserve"> (Federation Press, 2018) 206</w:t>
      </w:r>
      <w:r>
        <w:rPr>
          <w:rFonts w:ascii="Symbol" w:eastAsia="Symbol" w:hAnsi="Symbol" w:cs="Symbol"/>
        </w:rPr>
        <w:sym w:font="Symbol" w:char="F02D"/>
      </w:r>
      <w:r>
        <w:t>227.</w:t>
      </w:r>
    </w:p>
    <w:p w14:paraId="1C316CEE" w14:textId="77777777" w:rsidR="00C262FC" w:rsidRDefault="00C262FC" w:rsidP="00A14E38">
      <w:pPr>
        <w:pStyle w:val="Normal-Bibliography"/>
      </w:pPr>
      <w:r>
        <w:t xml:space="preserve">McIlroy T and Coorey P, ‘Multi-employer Bargaining Less Helpful for Productivity: Brennan’, </w:t>
      </w:r>
      <w:r w:rsidRPr="00CC2DC3">
        <w:rPr>
          <w:i/>
          <w:iCs/>
        </w:rPr>
        <w:t>Australian Financial Review</w:t>
      </w:r>
      <w:r>
        <w:t xml:space="preserve"> (online, 2 November 2022) &lt;https://www.afr.com/politics/federal/multi-employer-bargaining-less-helpful-for-productivity-brennan-20221102-p5buzk&gt;.</w:t>
      </w:r>
    </w:p>
    <w:p w14:paraId="2F2C967E" w14:textId="77777777" w:rsidR="00C262FC" w:rsidRDefault="00C262FC" w:rsidP="00A14E38">
      <w:pPr>
        <w:pStyle w:val="Normal-Bibliography"/>
      </w:pPr>
      <w:r>
        <w:t xml:space="preserve">McKenzie N, Marin-Guzman D and Schneiders B, ‘Bikies, Underworld Figures and the CFMEU Takeover of Construction’, </w:t>
      </w:r>
      <w:r w:rsidRPr="00CC2DC3">
        <w:rPr>
          <w:i/>
          <w:iCs/>
        </w:rPr>
        <w:t>Australian Financial Review</w:t>
      </w:r>
      <w:r>
        <w:t xml:space="preserve"> (online, 13 July 2024).</w:t>
      </w:r>
    </w:p>
    <w:p w14:paraId="5C9623CF" w14:textId="77777777" w:rsidR="00C262FC" w:rsidRDefault="00C262FC" w:rsidP="00A14E38">
      <w:pPr>
        <w:pStyle w:val="Normal-Bibliography"/>
      </w:pPr>
      <w:r>
        <w:t xml:space="preserve">Morehead A, </w:t>
      </w:r>
      <w:r w:rsidRPr="00CC2DC3">
        <w:rPr>
          <w:i/>
          <w:iCs/>
        </w:rPr>
        <w:t xml:space="preserve">Changes at Work: The 1995 Australian Workplace Industrial </w:t>
      </w:r>
      <w:r>
        <w:rPr>
          <w:i/>
          <w:iCs/>
        </w:rPr>
        <w:t>R</w:t>
      </w:r>
      <w:r w:rsidRPr="00CC2DC3">
        <w:rPr>
          <w:i/>
          <w:iCs/>
        </w:rPr>
        <w:t>elations Survey</w:t>
      </w:r>
      <w:r>
        <w:t xml:space="preserve"> (Longman, 1997).</w:t>
      </w:r>
    </w:p>
    <w:p w14:paraId="06E89358" w14:textId="77777777" w:rsidR="00C262FC" w:rsidRDefault="00C262FC" w:rsidP="00A14E38">
      <w:pPr>
        <w:pStyle w:val="Normal-Bibliography"/>
      </w:pPr>
      <w:r>
        <w:t xml:space="preserve">Naughton R, ‘Bargaining in Good Faith’ in P Ronfeldt and R McCallum (eds), </w:t>
      </w:r>
      <w:r w:rsidRPr="00CC2DC3">
        <w:rPr>
          <w:i/>
          <w:iCs/>
        </w:rPr>
        <w:t>Enterprise Bargaining, Trade Unions and the Law</w:t>
      </w:r>
      <w:r>
        <w:t xml:space="preserve"> (Federation Press, 1995).</w:t>
      </w:r>
    </w:p>
    <w:p w14:paraId="236953F6" w14:textId="77777777" w:rsidR="00C262FC" w:rsidRDefault="00C262FC" w:rsidP="00A14E38">
      <w:pPr>
        <w:pStyle w:val="Normal-Bibliography"/>
      </w:pPr>
      <w:r>
        <w:t xml:space="preserve">Organisation for Economic Co-Operation and Development, </w:t>
      </w:r>
      <w:r w:rsidRPr="00CC2DC3">
        <w:rPr>
          <w:i/>
          <w:iCs/>
        </w:rPr>
        <w:t>Negotiating Our Way Up: Collective Bargaining in a Changing World of Work</w:t>
      </w:r>
      <w:r>
        <w:t xml:space="preserve"> (OECD, 2019).</w:t>
      </w:r>
    </w:p>
    <w:p w14:paraId="1AC6D8AA" w14:textId="77777777" w:rsidR="00C262FC" w:rsidRDefault="00C262FC" w:rsidP="00A14E38">
      <w:pPr>
        <w:pStyle w:val="Normal-Bibliography"/>
      </w:pPr>
      <w:r>
        <w:t xml:space="preserve">Organisation for Economic Co-Operation and Development, </w:t>
      </w:r>
      <w:r w:rsidRPr="00CC2DC3">
        <w:rPr>
          <w:i/>
          <w:iCs/>
        </w:rPr>
        <w:t>Pay Transparency Tools to Close the Gender Wage Gap</w:t>
      </w:r>
      <w:r>
        <w:t xml:space="preserve"> (Final Report, 30 November 2021) 19.</w:t>
      </w:r>
    </w:p>
    <w:p w14:paraId="5972B27F" w14:textId="77777777" w:rsidR="00C262FC" w:rsidRDefault="00C262FC" w:rsidP="00A14E38">
      <w:pPr>
        <w:pStyle w:val="Normal-Bibliography"/>
      </w:pPr>
      <w:r>
        <w:t xml:space="preserve">Peetz D, ‘Does Industrial Relations Policy Affect Productivity’ (2012) 38(4) </w:t>
      </w:r>
      <w:r w:rsidRPr="00CC2DC3">
        <w:rPr>
          <w:i/>
          <w:iCs/>
        </w:rPr>
        <w:t>Australian Bulletin of Labour</w:t>
      </w:r>
      <w:r>
        <w:t xml:space="preserve"> 268.</w:t>
      </w:r>
    </w:p>
    <w:p w14:paraId="20368995" w14:textId="77777777" w:rsidR="00C262FC" w:rsidRDefault="00C262FC" w:rsidP="00A14E38">
      <w:pPr>
        <w:pStyle w:val="Normal-Bibliography"/>
      </w:pPr>
      <w:r>
        <w:t xml:space="preserve">Peetz D, ‘Productivity is Often Mistaken for Wages. What Does it Really Mean? How Does it Work?’, </w:t>
      </w:r>
      <w:r w:rsidRPr="00CC2DC3">
        <w:rPr>
          <w:i/>
          <w:iCs/>
        </w:rPr>
        <w:t>The Conversation</w:t>
      </w:r>
      <w:r>
        <w:t>, October 2024.</w:t>
      </w:r>
    </w:p>
    <w:p w14:paraId="6748CBA1" w14:textId="77777777" w:rsidR="00C262FC" w:rsidRDefault="00C262FC" w:rsidP="00A14E38">
      <w:pPr>
        <w:pStyle w:val="Normal-Bibliography"/>
      </w:pPr>
      <w:r>
        <w:t xml:space="preserve">Pekarek A, Landau I, Gahan P, Forsyth A and Howe J, ‘Old Game, New Rules? The Dynamics of Enterprise Bargaining under the Fair Work Act’ (2017) 59(1) </w:t>
      </w:r>
      <w:r w:rsidRPr="00CC2DC3">
        <w:rPr>
          <w:i/>
          <w:iCs/>
        </w:rPr>
        <w:t>Journal of Industrial Relations</w:t>
      </w:r>
      <w:r>
        <w:t xml:space="preserve"> 44.</w:t>
      </w:r>
    </w:p>
    <w:p w14:paraId="6EB8C9A9" w14:textId="77777777" w:rsidR="00C262FC" w:rsidRDefault="00C262FC" w:rsidP="00A14E38">
      <w:pPr>
        <w:pStyle w:val="Normal-Bibliography"/>
      </w:pPr>
      <w:r>
        <w:t xml:space="preserve">Pennington A, </w:t>
      </w:r>
      <w:r w:rsidRPr="00CC2DC3">
        <w:rPr>
          <w:i/>
          <w:iCs/>
        </w:rPr>
        <w:t>On the Brink: The Erosion of Enterprise Agreement Coverage in Australia’s Private Sector</w:t>
      </w:r>
      <w:r>
        <w:t xml:space="preserve"> (Centre for Future Work, Australia Institute, 2018) &lt;https://australiainstitute.org.au/wp-content/uploads/2020/12/Collective-Bargaining-On-the-Brink-WEB.pdf&gt;.</w:t>
      </w:r>
    </w:p>
    <w:p w14:paraId="421D40FF" w14:textId="77777777" w:rsidR="00C262FC" w:rsidRDefault="00C262FC" w:rsidP="00A14E38">
      <w:pPr>
        <w:pStyle w:val="Normal-Bibliography"/>
      </w:pPr>
      <w:r>
        <w:lastRenderedPageBreak/>
        <w:t xml:space="preserve">Pohler D, ‘Collective Bargaining’ in A Wilkinson et al. (eds), </w:t>
      </w:r>
      <w:r w:rsidRPr="00CC2DC3">
        <w:rPr>
          <w:i/>
          <w:iCs/>
        </w:rPr>
        <w:t>The Routledge Companion to Employment Relations</w:t>
      </w:r>
      <w:r>
        <w:t xml:space="preserve"> (Routledge, 2018) 235</w:t>
      </w:r>
      <w:r>
        <w:t>250.</w:t>
      </w:r>
    </w:p>
    <w:p w14:paraId="77533FFD" w14:textId="77777777" w:rsidR="00C262FC" w:rsidRDefault="00C262FC" w:rsidP="00A14E38">
      <w:pPr>
        <w:pStyle w:val="Normal-Bibliography"/>
      </w:pPr>
      <w:r>
        <w:t xml:space="preserve">Productivity Commission, </w:t>
      </w:r>
      <w:r w:rsidRPr="00CC2DC3">
        <w:rPr>
          <w:i/>
          <w:iCs/>
        </w:rPr>
        <w:t>Advancing Prosperity: Five-year Productivity Inquiry Report</w:t>
      </w:r>
      <w:r>
        <w:t xml:space="preserve"> (Report, 2023) &lt;www.pc.gov.au/inquiries/completed/productivity/report/productivity-volume1-advancing-prosperity.pdf&gt;.</w:t>
      </w:r>
    </w:p>
    <w:p w14:paraId="4FCAC671" w14:textId="77777777" w:rsidR="00C262FC" w:rsidRDefault="00C262FC" w:rsidP="00A14E38">
      <w:pPr>
        <w:pStyle w:val="Normal-Bibliography"/>
      </w:pPr>
      <w:r>
        <w:t xml:space="preserve">Productivity Commission, </w:t>
      </w:r>
      <w:r w:rsidRPr="00CC2DC3">
        <w:rPr>
          <w:i/>
          <w:iCs/>
        </w:rPr>
        <w:t>Five-year Productivity Inquiry: A More Productive Labour Market</w:t>
      </w:r>
      <w:r>
        <w:t xml:space="preserve"> (Report, 2023).</w:t>
      </w:r>
    </w:p>
    <w:p w14:paraId="312BCEDE" w14:textId="77777777" w:rsidR="00C262FC" w:rsidRDefault="00C262FC" w:rsidP="00A14E38">
      <w:pPr>
        <w:pStyle w:val="Normal-Bibliography"/>
      </w:pPr>
      <w:r>
        <w:t xml:space="preserve">Productivity Commission, </w:t>
      </w:r>
      <w:r w:rsidRPr="00CC2DC3">
        <w:rPr>
          <w:i/>
          <w:iCs/>
        </w:rPr>
        <w:t>From Industry Assistance to Productivity: 30 Years of the Commission</w:t>
      </w:r>
      <w:r>
        <w:t xml:space="preserve"> (PC, 2003) 185.</w:t>
      </w:r>
    </w:p>
    <w:p w14:paraId="78ABF11D" w14:textId="77777777" w:rsidR="00C262FC" w:rsidRDefault="00C262FC" w:rsidP="00A14E38">
      <w:pPr>
        <w:pStyle w:val="Normal-Bibliography"/>
      </w:pPr>
      <w:r>
        <w:t xml:space="preserve">Productivity Commission, </w:t>
      </w:r>
      <w:r w:rsidRPr="00CC2DC3">
        <w:rPr>
          <w:i/>
          <w:iCs/>
        </w:rPr>
        <w:t>Productivity Growth and Wages – A Forensic Look</w:t>
      </w:r>
      <w:r>
        <w:t xml:space="preserve"> (PC, 2023) &lt;https://www.pc.gov.au/ongoing/productivity-insights/productivity-growth-wages&gt;.</w:t>
      </w:r>
    </w:p>
    <w:p w14:paraId="774DD6E6" w14:textId="77777777" w:rsidR="00C262FC" w:rsidRDefault="00C262FC" w:rsidP="00A14E38">
      <w:pPr>
        <w:pStyle w:val="Normal-Bibliography"/>
      </w:pPr>
      <w:r>
        <w:t xml:space="preserve">Rasmussen E, Bray M and Stewart A ‘What Is Distinctive About New Zealand’s Employment Relations Act 2000?’ (2019) 29(1) </w:t>
      </w:r>
      <w:r w:rsidRPr="00CC2DC3">
        <w:rPr>
          <w:i/>
          <w:iCs/>
        </w:rPr>
        <w:t>Labour and Industry</w:t>
      </w:r>
      <w:r>
        <w:t xml:space="preserve"> 52.</w:t>
      </w:r>
    </w:p>
    <w:p w14:paraId="003A2F05" w14:textId="77777777" w:rsidR="00C262FC" w:rsidRDefault="00C262FC" w:rsidP="00A14E38">
      <w:pPr>
        <w:pStyle w:val="Normal-Bibliography"/>
      </w:pPr>
      <w:r>
        <w:t xml:space="preserve">Read R, ‘The Role of Trade Unions and Individual Bargaining Representatives: Who Pays for the Work of Bargaining?’ in S McCrystal et al. (eds), </w:t>
      </w:r>
      <w:r w:rsidRPr="00CC2DC3">
        <w:rPr>
          <w:i/>
          <w:iCs/>
        </w:rPr>
        <w:t>Collective Bargaining under the Fair Work Act</w:t>
      </w:r>
      <w:r>
        <w:t xml:space="preserve"> (Federation Press, 2018) 69</w:t>
      </w:r>
      <w:r>
        <w:rPr>
          <w:rFonts w:ascii="Symbol" w:eastAsia="Symbol" w:hAnsi="Symbol" w:cs="Symbol"/>
        </w:rPr>
        <w:sym w:font="Symbol" w:char="F02D"/>
      </w:r>
      <w:r>
        <w:t>92.</w:t>
      </w:r>
    </w:p>
    <w:p w14:paraId="532A70DD" w14:textId="77777777" w:rsidR="00C262FC" w:rsidRDefault="00C262FC" w:rsidP="00A14E38">
      <w:pPr>
        <w:pStyle w:val="Normal-Bibliography"/>
      </w:pPr>
      <w:r>
        <w:t xml:space="preserve">Respect@Work, </w:t>
      </w:r>
      <w:r w:rsidRPr="00BD30FA">
        <w:rPr>
          <w:i/>
          <w:iCs/>
        </w:rPr>
        <w:t>Guide to External Pathways in Australia to Address Workplace Sexual Harassment</w:t>
      </w:r>
      <w:r>
        <w:t xml:space="preserve"> (Respect@Work, 2022) &lt;https://humanrights.gov.au/our-work/sex-discrimination/publications/guide-external-pathways-address-workplace-sexual&gt;.</w:t>
      </w:r>
    </w:p>
    <w:p w14:paraId="1E38A1E9" w14:textId="77777777" w:rsidR="00C262FC" w:rsidRDefault="00C262FC" w:rsidP="00A14E38">
      <w:pPr>
        <w:pStyle w:val="Normal-Bibliography"/>
      </w:pPr>
      <w:r>
        <w:t xml:space="preserve">Ridout H, ‘The Fair Work Act </w:t>
      </w:r>
      <w:r>
        <w:rPr>
          <w:rFonts w:ascii="Symbol" w:eastAsia="Symbol" w:hAnsi="Symbol" w:cs="Symbol"/>
        </w:rPr>
        <w:sym w:font="Symbol" w:char="F02D"/>
      </w:r>
      <w:r>
        <w:t xml:space="preserve"> The Barriers To Productivity Improvement Need To Be Addressed’ (Speech, 10th Annual Workforce Conference, Sydney, Australian Industry Group, 5 September 2011).</w:t>
      </w:r>
    </w:p>
    <w:p w14:paraId="7DA81E6A" w14:textId="77777777" w:rsidR="00C262FC" w:rsidRDefault="00C262FC" w:rsidP="00A14E38">
      <w:pPr>
        <w:pStyle w:val="Normal-Bibliography"/>
      </w:pPr>
      <w:r>
        <w:t xml:space="preserve">Roche W and Gormley T, ‘The Durability of Coordinated Bargaining: Crisis, Recovery and Pay Fixing in Ireland’ (2020) 41(2) </w:t>
      </w:r>
      <w:r w:rsidRPr="00BD30FA">
        <w:rPr>
          <w:i/>
          <w:iCs/>
        </w:rPr>
        <w:t>Economic and Industrial Democracy</w:t>
      </w:r>
      <w:r>
        <w:t xml:space="preserve"> 481.</w:t>
      </w:r>
    </w:p>
    <w:p w14:paraId="35A3C03F" w14:textId="77777777" w:rsidR="00C262FC" w:rsidRDefault="00C262FC" w:rsidP="00A14E38">
      <w:pPr>
        <w:pStyle w:val="Normal-Bibliography"/>
      </w:pPr>
      <w:r>
        <w:t xml:space="preserve">Romeyn J, ‘The Role of Specialist Tribunals’ (1986) 28(1) </w:t>
      </w:r>
      <w:r w:rsidRPr="00BD30FA">
        <w:rPr>
          <w:i/>
          <w:iCs/>
        </w:rPr>
        <w:t>Journal of Industrial Relations</w:t>
      </w:r>
      <w:r>
        <w:t xml:space="preserve"> 3.</w:t>
      </w:r>
    </w:p>
    <w:p w14:paraId="6612EE8D" w14:textId="77777777" w:rsidR="00C262FC" w:rsidRDefault="00C262FC" w:rsidP="00A14E38">
      <w:pPr>
        <w:pStyle w:val="Normal-Bibliography"/>
      </w:pPr>
      <w:r>
        <w:t xml:space="preserve">Schwellnus C, Kappeler A and Pionnier P, </w:t>
      </w:r>
      <w:r w:rsidRPr="00BD30FA">
        <w:rPr>
          <w:i/>
          <w:iCs/>
        </w:rPr>
        <w:t>Decoupling of Wages from Productivity: Micro-level Facts</w:t>
      </w:r>
      <w:r>
        <w:t xml:space="preserve"> (OECD Economics Department Working Papers No 1373, 2017).</w:t>
      </w:r>
    </w:p>
    <w:p w14:paraId="7F5683DD" w14:textId="77777777" w:rsidR="00C262FC" w:rsidRDefault="00C262FC" w:rsidP="00A14E38">
      <w:pPr>
        <w:pStyle w:val="Normal-Bibliography"/>
      </w:pPr>
      <w:r>
        <w:t xml:space="preserve">Selvarajah AD, ‘Proving the Right to Request Flexible Work: The Concerning Consequences of Comments in Quirke v BSR’ (2024) 37 </w:t>
      </w:r>
      <w:r w:rsidRPr="00BD30FA">
        <w:rPr>
          <w:i/>
          <w:iCs/>
        </w:rPr>
        <w:t>Australian Journal of Labour Law</w:t>
      </w:r>
      <w:r>
        <w:t xml:space="preserve"> 3.</w:t>
      </w:r>
    </w:p>
    <w:p w14:paraId="350DC406" w14:textId="77777777" w:rsidR="00C262FC" w:rsidRDefault="00C262FC" w:rsidP="00A14E38">
      <w:pPr>
        <w:pStyle w:val="Normal-Bibliography"/>
      </w:pPr>
      <w:r>
        <w:t xml:space="preserve">Senate Economics References Committee, Parliament of Australia, </w:t>
      </w:r>
      <w:r w:rsidRPr="00BD30FA">
        <w:rPr>
          <w:i/>
          <w:iCs/>
        </w:rPr>
        <w:t>Systemic, Sustained and Shameful: Unlawful Underpayment of Employees’ Remuneration</w:t>
      </w:r>
      <w:r>
        <w:t xml:space="preserve"> (Report, March 2022).</w:t>
      </w:r>
    </w:p>
    <w:p w14:paraId="6C25F511" w14:textId="77777777" w:rsidR="00C262FC" w:rsidRDefault="00C262FC" w:rsidP="00A14E38">
      <w:pPr>
        <w:pStyle w:val="Normal-Bibliography"/>
      </w:pPr>
      <w:r>
        <w:t xml:space="preserve">Senate Select Committee on Job Security, Parliament of Australia, </w:t>
      </w:r>
      <w:r w:rsidRPr="00BD30FA">
        <w:rPr>
          <w:i/>
          <w:iCs/>
        </w:rPr>
        <w:t>Final Report: Matter of Possible Privilege</w:t>
      </w:r>
      <w:r>
        <w:t xml:space="preserve"> (Report, 2022).</w:t>
      </w:r>
    </w:p>
    <w:p w14:paraId="073773AE" w14:textId="77777777" w:rsidR="00C262FC" w:rsidRDefault="00C262FC" w:rsidP="00A14E38">
      <w:pPr>
        <w:pStyle w:val="Normal-Bibliography"/>
      </w:pPr>
      <w:r>
        <w:t xml:space="preserve">Seymour K, Marmo M, Cebulla A, Ibrahim N, Esmaeili H, Richards J and Sinopoli E, </w:t>
      </w:r>
      <w:r w:rsidRPr="00BD30FA">
        <w:rPr>
          <w:i/>
          <w:iCs/>
        </w:rPr>
        <w:t>Independent Review of the Operation of the Paid Family and Domestic Violence Leave Entitlements in the Fair Work Act 2009</w:t>
      </w:r>
      <w:r>
        <w:t xml:space="preserve"> (Report, Flinders University, 2024) &lt;https://www.flinders.edu.au/content/dam/documents/fair-work/FU_Independent_Review_2022_FWA_Final_Report.pdf&gt;.</w:t>
      </w:r>
    </w:p>
    <w:p w14:paraId="755DA044" w14:textId="77777777" w:rsidR="00C262FC" w:rsidRDefault="00C262FC" w:rsidP="00A14E38">
      <w:pPr>
        <w:pStyle w:val="Normal-Bibliography"/>
      </w:pPr>
      <w:r>
        <w:t xml:space="preserve">Sheldon P and Thornthwaite L, ‘Employers’ Associations in Australia’ in L Gooberman and M Hauptmeier (eds), </w:t>
      </w:r>
      <w:r w:rsidRPr="00BD30FA">
        <w:rPr>
          <w:i/>
          <w:iCs/>
        </w:rPr>
        <w:t>Contemporary Employers’ Organisations: Adaptation and Resilience</w:t>
      </w:r>
      <w:r>
        <w:t xml:space="preserve"> (Routledge, 2022) 139</w:t>
      </w:r>
      <w:r>
        <w:rPr>
          <w:rFonts w:ascii="Symbol" w:eastAsia="Symbol" w:hAnsi="Symbol" w:cs="Symbol"/>
        </w:rPr>
        <w:sym w:font="Symbol" w:char="F02D"/>
      </w:r>
      <w:r>
        <w:t>158.</w:t>
      </w:r>
    </w:p>
    <w:p w14:paraId="23DA4A8A" w14:textId="77777777" w:rsidR="00C262FC" w:rsidRDefault="00C262FC" w:rsidP="00A14E38">
      <w:pPr>
        <w:pStyle w:val="Normal-Bibliography"/>
      </w:pPr>
      <w:r>
        <w:lastRenderedPageBreak/>
        <w:t xml:space="preserve">Shubhdeep D, Eechout J, Aseem P and Lawrence W, ‘What Drives Wage Stagnation: Monopsony or Monopoly?’ (2022) 20(6) </w:t>
      </w:r>
      <w:r w:rsidRPr="00BD30FA">
        <w:rPr>
          <w:i/>
          <w:iCs/>
        </w:rPr>
        <w:t>Journal of the European Economic Association</w:t>
      </w:r>
      <w:r>
        <w:t xml:space="preserve"> 2181.</w:t>
      </w:r>
    </w:p>
    <w:p w14:paraId="086A5119" w14:textId="77777777" w:rsidR="00C262FC" w:rsidRDefault="00C262FC" w:rsidP="00A14E38">
      <w:pPr>
        <w:pStyle w:val="Normal-Bibliography"/>
      </w:pPr>
      <w:r>
        <w:t xml:space="preserve">Sisson D and Marginson P, ‘Co-ordinated Bargaining: A Process For Our Times?’ (2002) 40(2) </w:t>
      </w:r>
      <w:r w:rsidRPr="00BD30FA">
        <w:rPr>
          <w:i/>
          <w:iCs/>
        </w:rPr>
        <w:t>British Journal of Industrial Relations</w:t>
      </w:r>
      <w:r>
        <w:t xml:space="preserve"> 199.</w:t>
      </w:r>
    </w:p>
    <w:p w14:paraId="71B5F210" w14:textId="77777777" w:rsidR="00C262FC" w:rsidRDefault="00C262FC" w:rsidP="00A14E38">
      <w:pPr>
        <w:pStyle w:val="Normal-Bibliography"/>
      </w:pPr>
      <w:r>
        <w:t xml:space="preserve">Sisson K, ‘Introducing Sectoral Bargaining in the United Kingdom: Why It Makes Sense and How It Might Be Done’ (2024) 55(6) </w:t>
      </w:r>
      <w:r w:rsidRPr="00BD30FA">
        <w:rPr>
          <w:i/>
          <w:iCs/>
        </w:rPr>
        <w:t>Industrial Relations Journal</w:t>
      </w:r>
      <w:r>
        <w:t xml:space="preserve"> 446.</w:t>
      </w:r>
    </w:p>
    <w:p w14:paraId="6C1442AD" w14:textId="77777777" w:rsidR="00C262FC" w:rsidRDefault="00C262FC" w:rsidP="00A14E38">
      <w:pPr>
        <w:pStyle w:val="Normal-Bibliography"/>
      </w:pPr>
      <w:r>
        <w:t xml:space="preserve">Smith M and Whitehouse G, ‘Wage-setting and Gender Pay Equality in Australia: Advances, Retreats and Future Prospects’ (2020) 62(4) </w:t>
      </w:r>
      <w:r w:rsidRPr="00BD30FA">
        <w:rPr>
          <w:i/>
          <w:iCs/>
        </w:rPr>
        <w:t>Journal of Industrial Relations</w:t>
      </w:r>
      <w:r>
        <w:t xml:space="preserve"> 533.</w:t>
      </w:r>
    </w:p>
    <w:p w14:paraId="604ED238" w14:textId="77777777" w:rsidR="00C262FC" w:rsidRDefault="00C262FC" w:rsidP="00A14E38">
      <w:pPr>
        <w:pStyle w:val="Normal-Bibliography"/>
      </w:pPr>
      <w:r>
        <w:t xml:space="preserve">Smith S and Charlesworth S, </w:t>
      </w:r>
      <w:r w:rsidRPr="00BD30FA">
        <w:rPr>
          <w:i/>
          <w:iCs/>
        </w:rPr>
        <w:t>Literature Review for the Modern Awards Review</w:t>
      </w:r>
      <w:r>
        <w:t xml:space="preserve"> (March 2024) &lt;https://www.fwc.gov.au/documents/sites/award-review-2023-24/am2023-21-literature-review-work-care-2024-03-08.pdf&gt;.</w:t>
      </w:r>
    </w:p>
    <w:p w14:paraId="4AE3936C" w14:textId="77777777" w:rsidR="00C262FC" w:rsidRDefault="00C262FC" w:rsidP="00A14E38">
      <w:pPr>
        <w:pStyle w:val="Normal-Bibliography"/>
      </w:pPr>
      <w:r>
        <w:t xml:space="preserve">Stanford J, ‘The Declining Labour Share in Australia: Definition, Measurement and International Comparisons’ (2018) 81 </w:t>
      </w:r>
      <w:r w:rsidRPr="00CC2DC3">
        <w:rPr>
          <w:i/>
          <w:iCs/>
        </w:rPr>
        <w:t>Journal of Australian Political Economy</w:t>
      </w:r>
      <w:r>
        <w:t xml:space="preserve"> 11.</w:t>
      </w:r>
    </w:p>
    <w:p w14:paraId="179B715A" w14:textId="77777777" w:rsidR="00C262FC" w:rsidRDefault="00C262FC" w:rsidP="00A14E38">
      <w:pPr>
        <w:pStyle w:val="Normal-Bibliography"/>
      </w:pPr>
      <w:r>
        <w:t xml:space="preserve">Stanford J, ‘The Declining Labour Share in Australia: Definition, Measurement, and International Comparisons’ (2018) 81 </w:t>
      </w:r>
      <w:r w:rsidRPr="00BD30FA">
        <w:rPr>
          <w:i/>
          <w:iCs/>
        </w:rPr>
        <w:t>Journal of Australian Political Economy</w:t>
      </w:r>
      <w:r>
        <w:t xml:space="preserve"> 11.</w:t>
      </w:r>
    </w:p>
    <w:p w14:paraId="41583860" w14:textId="77777777" w:rsidR="00C262FC" w:rsidRDefault="00C262FC" w:rsidP="00A14E38">
      <w:pPr>
        <w:pStyle w:val="Normal-Bibliography"/>
      </w:pPr>
      <w:r>
        <w:t>Stanford J, McDonald F and Raynes L, Collective Bargaining and Wage Growth in Australia’, (Centre for Future Work, 2022) &lt;https://futurework.org.au/wp-content/uploads/sites/2/2022/11/Collective_Bargaining_and_Wage_Growth_in_Australia_FINAL.pdf&gt;.</w:t>
      </w:r>
    </w:p>
    <w:p w14:paraId="70779AEE" w14:textId="77777777" w:rsidR="00C262FC" w:rsidRDefault="00C262FC" w:rsidP="00A14E38">
      <w:pPr>
        <w:pStyle w:val="Normal-Bibliography"/>
      </w:pPr>
      <w:r>
        <w:t xml:space="preserve">Stewart A and Forsyth A (eds), </w:t>
      </w:r>
      <w:r w:rsidRPr="00BD30FA">
        <w:rPr>
          <w:i/>
          <w:iCs/>
        </w:rPr>
        <w:t>Fair Work: The New Workplace Laws and the Work Choices Legacy</w:t>
      </w:r>
      <w:r>
        <w:t xml:space="preserve"> (Federation Press, 2009).</w:t>
      </w:r>
    </w:p>
    <w:p w14:paraId="377F976B" w14:textId="77777777" w:rsidR="00C262FC" w:rsidRDefault="00C262FC" w:rsidP="00A14E38">
      <w:pPr>
        <w:pStyle w:val="Normal-Bibliography"/>
      </w:pPr>
      <w:r>
        <w:t xml:space="preserve">Stewart A and Forsyth A, ‘The Journey from Workchoices to Fair Work’, in A Forsyth and A Stewart (eds), </w:t>
      </w:r>
      <w:r w:rsidRPr="00BD30FA">
        <w:rPr>
          <w:i/>
          <w:iCs/>
        </w:rPr>
        <w:t>Fair Work: The New Workplace Laws and the Work Choices Legacy</w:t>
      </w:r>
      <w:r>
        <w:t xml:space="preserve"> (Federation Press, 2009) 1</w:t>
      </w:r>
      <w:r>
        <w:rPr>
          <w:rFonts w:ascii="Symbol" w:eastAsia="Symbol" w:hAnsi="Symbol" w:cs="Symbol"/>
        </w:rPr>
        <w:sym w:font="Symbol" w:char="F02D"/>
      </w:r>
      <w:r>
        <w:t>19.</w:t>
      </w:r>
    </w:p>
    <w:p w14:paraId="34E0C08F" w14:textId="77777777" w:rsidR="00C262FC" w:rsidRDefault="00C262FC" w:rsidP="00A14E38">
      <w:pPr>
        <w:pStyle w:val="Normal-Bibliography"/>
      </w:pPr>
      <w:r>
        <w:t xml:space="preserve">Stewart A, Forsyth A, Irving M, Johnstone R and McCrystal S, </w:t>
      </w:r>
      <w:r w:rsidRPr="00BD30FA">
        <w:rPr>
          <w:i/>
          <w:iCs/>
        </w:rPr>
        <w:t>Creighton &amp; Stewart</w:t>
      </w:r>
      <w:r>
        <w:rPr>
          <w:i/>
          <w:iCs/>
        </w:rPr>
        <w:t>’</w:t>
      </w:r>
      <w:r w:rsidRPr="00BD30FA">
        <w:rPr>
          <w:i/>
          <w:iCs/>
        </w:rPr>
        <w:t>s Labour Law</w:t>
      </w:r>
      <w:r>
        <w:t xml:space="preserve"> (Federation Press, 2016).</w:t>
      </w:r>
    </w:p>
    <w:p w14:paraId="2D47FBE0" w14:textId="77777777" w:rsidR="00C262FC" w:rsidRDefault="00C262FC" w:rsidP="00A14E38">
      <w:pPr>
        <w:pStyle w:val="Normal-Bibliography"/>
      </w:pPr>
      <w:r>
        <w:t xml:space="preserve">Stewart A, McCrystal S and Forsyth A, ‘Will Pay Be Better and Jobs More Secure? Analysing the Albanese Government’s First Round of Fair Work Reforms’ (2023) 36(2) </w:t>
      </w:r>
      <w:r w:rsidRPr="00BD30FA">
        <w:rPr>
          <w:i/>
          <w:iCs/>
        </w:rPr>
        <w:t>Australian Journal of Labour Law</w:t>
      </w:r>
      <w:r>
        <w:t xml:space="preserve"> 104.</w:t>
      </w:r>
    </w:p>
    <w:p w14:paraId="3D96969E" w14:textId="77777777" w:rsidR="00C262FC" w:rsidRDefault="00C262FC" w:rsidP="00A14E38">
      <w:pPr>
        <w:pStyle w:val="Normal-Bibliography"/>
      </w:pPr>
      <w:r>
        <w:t xml:space="preserve">Stewart A, Stanford J and Harding T (eds), </w:t>
      </w:r>
      <w:r w:rsidRPr="00BD30FA">
        <w:rPr>
          <w:i/>
          <w:iCs/>
        </w:rPr>
        <w:t>The Wages Crisis in Australia</w:t>
      </w:r>
      <w:r>
        <w:t xml:space="preserve"> (University of Adelaide Press, 2018) &lt;https://www.adelaide.edu.au/press/ua/media/621/uap-wages-crisis-ebook.pdf&gt;.</w:t>
      </w:r>
    </w:p>
    <w:p w14:paraId="551D07DC" w14:textId="77777777" w:rsidR="00C262FC" w:rsidRDefault="00C262FC" w:rsidP="00A14E38">
      <w:pPr>
        <w:pStyle w:val="Normal-Bibliography"/>
      </w:pPr>
      <w:r>
        <w:t xml:space="preserve">Stofberg R, Mabaso C and Bussin M, ‘Employee Response to Pay Transparency’ (2022) 48(1) </w:t>
      </w:r>
      <w:r w:rsidRPr="00BD30FA">
        <w:rPr>
          <w:i/>
          <w:iCs/>
        </w:rPr>
        <w:t>SA Journal of Industrial Psychology</w:t>
      </w:r>
      <w:r>
        <w:t xml:space="preserve"> 1.</w:t>
      </w:r>
    </w:p>
    <w:p w14:paraId="55C3624E" w14:textId="77777777" w:rsidR="00C262FC" w:rsidRDefault="00C262FC" w:rsidP="00A14E38">
      <w:pPr>
        <w:pStyle w:val="Normal-Bibliography"/>
      </w:pPr>
      <w:r>
        <w:t xml:space="preserve">Sutherland C, ‘Making the “BOOT” Fit: Reforms to Agreement-Making from Work Choices to Fair Work’ in A Forsyth and A Stewart (eds), </w:t>
      </w:r>
      <w:r w:rsidRPr="00BD30FA">
        <w:rPr>
          <w:i/>
          <w:iCs/>
        </w:rPr>
        <w:t>Fair Work: The New Workplace Laws and the Work Choices Legacy</w:t>
      </w:r>
      <w:r>
        <w:t xml:space="preserve"> (Federation Press, 2009) 99</w:t>
      </w:r>
      <w:r>
        <w:rPr>
          <w:rFonts w:ascii="Symbol" w:eastAsia="Symbol" w:hAnsi="Symbol" w:cs="Symbol"/>
        </w:rPr>
        <w:sym w:font="Symbol" w:char="F02D"/>
      </w:r>
      <w:r>
        <w:t>119.</w:t>
      </w:r>
    </w:p>
    <w:p w14:paraId="439F2CF1" w14:textId="77777777" w:rsidR="00C262FC" w:rsidRDefault="00C262FC" w:rsidP="00A14E38">
      <w:pPr>
        <w:pStyle w:val="Normal-Bibliography"/>
      </w:pPr>
      <w:r>
        <w:t xml:space="preserve">The Treasury, </w:t>
      </w:r>
      <w:r w:rsidRPr="00BD30FA">
        <w:rPr>
          <w:i/>
          <w:iCs/>
        </w:rPr>
        <w:t>Analysis of Wage Growth</w:t>
      </w:r>
      <w:r>
        <w:t xml:space="preserve"> (November 2017) &lt;https://treasury.gov.au/sites/default/files/2019-03/p2017-t237966.pdf&gt;.</w:t>
      </w:r>
    </w:p>
    <w:p w14:paraId="4C8BF4E3" w14:textId="77777777" w:rsidR="00C262FC" w:rsidRDefault="00C262FC" w:rsidP="00A14E38">
      <w:pPr>
        <w:pStyle w:val="Normal-Bibliography"/>
      </w:pPr>
      <w:r>
        <w:t xml:space="preserve">The Treasury, </w:t>
      </w:r>
      <w:r w:rsidRPr="00BD30FA">
        <w:rPr>
          <w:i/>
          <w:iCs/>
        </w:rPr>
        <w:t>Working Future: The Australian Government’s White Paper on Jobs and Opportunities</w:t>
      </w:r>
      <w:r>
        <w:t xml:space="preserve"> (Report, 2023) &lt;https://treasury.gov.au/sites/default/files/2023-10/p2023-447996-working-future.pdf&gt;.</w:t>
      </w:r>
    </w:p>
    <w:p w14:paraId="303E926A" w14:textId="77777777" w:rsidR="00C262FC" w:rsidRDefault="00C262FC" w:rsidP="00A14E38">
      <w:pPr>
        <w:pStyle w:val="Normal-Bibliography"/>
      </w:pPr>
      <w:r>
        <w:lastRenderedPageBreak/>
        <w:t xml:space="preserve">Thompson A, ‘Supermarket Giant Coles Forced to Bargaining Table Under New IR Laws’ </w:t>
      </w:r>
      <w:r w:rsidRPr="00BD30FA">
        <w:rPr>
          <w:i/>
          <w:iCs/>
        </w:rPr>
        <w:t>Sydney Morning Herald</w:t>
      </w:r>
      <w:r>
        <w:t xml:space="preserve"> (online, 6 January 2023) &lt;https://www.smh.com.au/politics/federal/supermarket-giant-coles-forced-to-bargaining-table-under-new-ir-laws-20230105-p5cah6.html&gt;.</w:t>
      </w:r>
    </w:p>
    <w:p w14:paraId="6B83C033" w14:textId="77777777" w:rsidR="00C262FC" w:rsidRDefault="00C262FC" w:rsidP="00A14E38">
      <w:pPr>
        <w:pStyle w:val="Normal-Bibliography"/>
      </w:pPr>
      <w:r>
        <w:t xml:space="preserve">Walker K, </w:t>
      </w:r>
      <w:r w:rsidRPr="00BD30FA">
        <w:rPr>
          <w:i/>
          <w:iCs/>
        </w:rPr>
        <w:t>Australian Industrial Relations Systems</w:t>
      </w:r>
      <w:r>
        <w:t xml:space="preserve"> (Oxford University Press, 1970).</w:t>
      </w:r>
    </w:p>
    <w:p w14:paraId="3871609C" w14:textId="77777777" w:rsidR="00C262FC" w:rsidRDefault="00C262FC" w:rsidP="00A14E38">
      <w:pPr>
        <w:pStyle w:val="Normal-Bibliography"/>
      </w:pPr>
      <w:r>
        <w:t xml:space="preserve">Walpole K, ‘The Fair Work Act: Encouraging Collective Agreement-making But Leaving Collective Bargaining to Choice’ (2015) 25(3) </w:t>
      </w:r>
      <w:r w:rsidRPr="00BD30FA">
        <w:rPr>
          <w:i/>
          <w:iCs/>
        </w:rPr>
        <w:t>Labour and Industry</w:t>
      </w:r>
      <w:r>
        <w:t xml:space="preserve"> 205.</w:t>
      </w:r>
    </w:p>
    <w:p w14:paraId="709412B7" w14:textId="77777777" w:rsidR="00C262FC" w:rsidRDefault="00C262FC" w:rsidP="00A14E38">
      <w:pPr>
        <w:pStyle w:val="Normal-Bibliography"/>
      </w:pPr>
      <w:r>
        <w:t xml:space="preserve">Waring P, de Ruyter A and Burgess J, ‘The Australian Fair Pay Commission: Rationale, Operation, Antecedents and Implications’ (2006) 16(2) </w:t>
      </w:r>
      <w:r w:rsidRPr="00BD30FA">
        <w:rPr>
          <w:i/>
          <w:iCs/>
        </w:rPr>
        <w:t>The Economic and Labour Relations Review</w:t>
      </w:r>
      <w:r>
        <w:t xml:space="preserve"> 127.</w:t>
      </w:r>
    </w:p>
    <w:p w14:paraId="7B9EF2B5" w14:textId="77777777" w:rsidR="00C262FC" w:rsidRDefault="00C262FC" w:rsidP="00A14E38">
      <w:pPr>
        <w:pStyle w:val="Normal-Bibliography"/>
      </w:pPr>
      <w:r>
        <w:t>Watt M, Minister for Employment and Workplace Relations, ‘Address to the National Press Club’ (Speech, National Press Club, 18 September 2024) &lt;https://ministers.dewr.gov.au/watt/address-national-press-club&gt;.</w:t>
      </w:r>
    </w:p>
    <w:p w14:paraId="1BD21041" w14:textId="77777777" w:rsidR="00C262FC" w:rsidRDefault="00C262FC" w:rsidP="00A14E38">
      <w:pPr>
        <w:pStyle w:val="Normal-Bibliography"/>
      </w:pPr>
      <w:r>
        <w:t xml:space="preserve">Werner P, ‘Wage Negotiations and Strategic Responses to Transparency’ (2023) 209 (May) </w:t>
      </w:r>
      <w:r w:rsidRPr="00BD30FA">
        <w:rPr>
          <w:i/>
          <w:iCs/>
        </w:rPr>
        <w:t>Journal of Economic Behavior &amp; Organization</w:t>
      </w:r>
      <w:r>
        <w:t xml:space="preserve"> 161.</w:t>
      </w:r>
    </w:p>
    <w:p w14:paraId="64C642E3" w14:textId="77777777" w:rsidR="00C262FC" w:rsidRDefault="00C262FC" w:rsidP="00A14E38">
      <w:pPr>
        <w:pStyle w:val="Normal-Bibliography"/>
      </w:pPr>
      <w:r>
        <w:t>Williamson S, Parker J, Donnelly N, Gavin M and Ressia S, Gender, Work and Employment Relations (forthcoming, Edward Elgar Publishing, 2025).</w:t>
      </w:r>
    </w:p>
    <w:p w14:paraId="2500DDED" w14:textId="77777777" w:rsidR="00C262FC" w:rsidRDefault="00C262FC" w:rsidP="00A14E38">
      <w:pPr>
        <w:pStyle w:val="Normal-Bibliography"/>
      </w:pPr>
      <w:r>
        <w:t xml:space="preserve">Women’s Economic Equality Taskforce, </w:t>
      </w:r>
      <w:r w:rsidRPr="00BD30FA">
        <w:rPr>
          <w:i/>
          <w:iCs/>
        </w:rPr>
        <w:t>A 10-year Plan to Unleash the Full Capacity and Contribution of Women to the Australian Economy</w:t>
      </w:r>
      <w:r>
        <w:t xml:space="preserve"> (Report, Department of the Prime Minister and Cabinet, 2023).</w:t>
      </w:r>
    </w:p>
    <w:p w14:paraId="2D4E904F" w14:textId="77777777" w:rsidR="00C262FC" w:rsidRDefault="00C262FC" w:rsidP="00A14E38">
      <w:pPr>
        <w:pStyle w:val="Normal-Bibliography"/>
      </w:pPr>
      <w:r>
        <w:t xml:space="preserve">Workplace Gender Equality Agency, </w:t>
      </w:r>
      <w:r w:rsidRPr="00BD30FA">
        <w:rPr>
          <w:i/>
          <w:iCs/>
        </w:rPr>
        <w:t>Employer Gender Pay Gap Publication in the United Kingdom: A Review of the Literature</w:t>
      </w:r>
      <w:r>
        <w:t xml:space="preserve"> (Research Paper, 13 February 2024) 1 &lt;https://www.wgea.gov.au/sites/default/files/documents/UK-Gender-Pay-Gap-Publication-Research-Brief-February-2024.pdf&gt;.</w:t>
      </w:r>
    </w:p>
    <w:p w14:paraId="3A02FDEB" w14:textId="77777777" w:rsidR="00C262FC" w:rsidRDefault="00C262FC" w:rsidP="00A14E38">
      <w:pPr>
        <w:pStyle w:val="Normal-Bibliography"/>
      </w:pPr>
      <w:r>
        <w:t xml:space="preserve">Workplace Gender Equality Agency, </w:t>
      </w:r>
      <w:r w:rsidRPr="00BD30FA">
        <w:rPr>
          <w:i/>
          <w:iCs/>
        </w:rPr>
        <w:t>Gender Equality Scorecard November 2024</w:t>
      </w:r>
      <w:r>
        <w:t xml:space="preserve"> (Report, 2024) &lt;https://www.wgea.gov.au/publications/australias-gender-equality-scorecard&gt;.</w:t>
      </w:r>
    </w:p>
    <w:p w14:paraId="5EB88A8C" w14:textId="4C1BBBA1" w:rsidR="00574FF8" w:rsidRDefault="00447B38" w:rsidP="00A14E38">
      <w:pPr>
        <w:pStyle w:val="Normal-Bibliography"/>
      </w:pPr>
      <w:r w:rsidRPr="009943F2">
        <w:t>Wright CF, ‘</w:t>
      </w:r>
      <w:r w:rsidR="007D713D" w:rsidRPr="009943F2">
        <w:t>Multi-employer collective bargaining in liberal market economies: Reasons for survival and reinvigoration</w:t>
      </w:r>
      <w:r w:rsidRPr="009943F2">
        <w:t xml:space="preserve">’ (2024) 163(4) </w:t>
      </w:r>
      <w:r w:rsidRPr="009943F2">
        <w:rPr>
          <w:i/>
          <w:iCs/>
        </w:rPr>
        <w:t>International Labour Review</w:t>
      </w:r>
      <w:r w:rsidRPr="009943F2">
        <w:t xml:space="preserve"> 6</w:t>
      </w:r>
      <w:r w:rsidR="006324D5" w:rsidRPr="009943F2">
        <w:t>7</w:t>
      </w:r>
      <w:r w:rsidRPr="009943F2">
        <w:t>7.</w:t>
      </w:r>
    </w:p>
    <w:p w14:paraId="1FD3E455" w14:textId="03F81133" w:rsidR="00C262FC" w:rsidRDefault="00C262FC" w:rsidP="00A14E38">
      <w:pPr>
        <w:pStyle w:val="Normal-Bibliography"/>
      </w:pPr>
      <w:r>
        <w:t xml:space="preserve">Wright CF and McLaughlin C, ‘Trade Union Legitimacy and Legitimation Politics in Australia and New Zealand’ (2021) 60(3) </w:t>
      </w:r>
      <w:r w:rsidRPr="00BD30FA">
        <w:rPr>
          <w:i/>
          <w:iCs/>
        </w:rPr>
        <w:t>Industrial Relations</w:t>
      </w:r>
      <w:r>
        <w:t xml:space="preserve"> 338.</w:t>
      </w:r>
    </w:p>
    <w:p w14:paraId="1EEB610E" w14:textId="77777777" w:rsidR="00C262FC" w:rsidRDefault="00C262FC" w:rsidP="00A14E38">
      <w:pPr>
        <w:pStyle w:val="Normal-Bibliography"/>
      </w:pPr>
      <w:r>
        <w:t xml:space="preserve">Yerbury D and Isaac J, ‘Recent Trends in Collective Bargaining in Australia’ (1971) 103(5) </w:t>
      </w:r>
      <w:r w:rsidRPr="00BD30FA">
        <w:rPr>
          <w:i/>
          <w:iCs/>
        </w:rPr>
        <w:t>International Labour Review</w:t>
      </w:r>
      <w:r>
        <w:t xml:space="preserve"> 431.</w:t>
      </w:r>
    </w:p>
    <w:p w14:paraId="3BCCF198" w14:textId="35D3F46D" w:rsidR="002B1273" w:rsidRDefault="00C262FC" w:rsidP="00A14E38">
      <w:pPr>
        <w:pStyle w:val="Normal-Bibliography"/>
      </w:pPr>
      <w:r>
        <w:t xml:space="preserve">Young N, Sherwood J, Anthony C, Gilbert J, Gray K and McEwen C, </w:t>
      </w:r>
      <w:r w:rsidRPr="00BD30FA">
        <w:rPr>
          <w:i/>
          <w:iCs/>
        </w:rPr>
        <w:t>A Hidden History of Aboriginal Women’s Work in the Community Controlled Health Sector</w:t>
      </w:r>
      <w:r>
        <w:t xml:space="preserve"> (Jumbunna Institute for Indigenous Education and Research, 2024) &lt;https://www.fwc.gov.au/documents/sites/am2024-19/am202422-lit-review-191124.pdf&gt;.</w:t>
      </w:r>
      <w:r w:rsidR="002B1273">
        <w:br w:type="page"/>
      </w:r>
    </w:p>
    <w:p w14:paraId="2970F945" w14:textId="7E7B717A" w:rsidR="0011475D" w:rsidRPr="00847DD8" w:rsidRDefault="00677577" w:rsidP="00365C93">
      <w:pPr>
        <w:pStyle w:val="Heading2"/>
      </w:pPr>
      <w:bookmarkStart w:id="737" w:name="_Toc188278056"/>
      <w:bookmarkStart w:id="738" w:name="_Toc189260184"/>
      <w:bookmarkStart w:id="739" w:name="_Toc189393660"/>
      <w:bookmarkStart w:id="740" w:name="_Toc192258080"/>
      <w:bookmarkStart w:id="741" w:name="_Toc194311448"/>
      <w:bookmarkEnd w:id="733"/>
      <w:bookmarkEnd w:id="734"/>
      <w:bookmarkEnd w:id="735"/>
      <w:bookmarkEnd w:id="736"/>
      <w:r w:rsidRPr="00365C93">
        <w:lastRenderedPageBreak/>
        <w:t xml:space="preserve">Appendix 1 – </w:t>
      </w:r>
      <w:bookmarkEnd w:id="737"/>
      <w:bookmarkEnd w:id="738"/>
      <w:r w:rsidRPr="00365C93">
        <w:t>Labour market and wages</w:t>
      </w:r>
      <w:bookmarkEnd w:id="739"/>
      <w:bookmarkEnd w:id="740"/>
      <w:bookmarkEnd w:id="741"/>
    </w:p>
    <w:p w14:paraId="70AAEE18" w14:textId="370A83D9" w:rsidR="00677577" w:rsidRPr="00167CB8" w:rsidRDefault="00677577" w:rsidP="00677577">
      <w:pPr>
        <w:pStyle w:val="Heading3"/>
      </w:pPr>
      <w:bookmarkStart w:id="742" w:name="_Toc189393661"/>
      <w:bookmarkStart w:id="743" w:name="_Toc192258341"/>
      <w:bookmarkStart w:id="744" w:name="_Toc193826716"/>
      <w:bookmarkStart w:id="745" w:name="_Toc194066979"/>
      <w:bookmarkStart w:id="746" w:name="_Toc194311449"/>
      <w:bookmarkStart w:id="747" w:name="_Toc188278057"/>
      <w:bookmarkStart w:id="748" w:name="_Toc189260185"/>
      <w:bookmarkStart w:id="749" w:name="_Toc189393675"/>
      <w:r>
        <w:t xml:space="preserve">1. </w:t>
      </w:r>
      <w:r w:rsidRPr="00167CB8">
        <w:t>Introduction</w:t>
      </w:r>
      <w:bookmarkEnd w:id="742"/>
      <w:bookmarkEnd w:id="743"/>
      <w:bookmarkEnd w:id="744"/>
      <w:bookmarkEnd w:id="745"/>
      <w:bookmarkEnd w:id="746"/>
    </w:p>
    <w:p w14:paraId="687D081A" w14:textId="74D6B147" w:rsidR="00677577" w:rsidRPr="00167CB8" w:rsidRDefault="00677577" w:rsidP="00677577">
      <w:r w:rsidRPr="00167CB8">
        <w:t>This statistical appendix draws on data from numerous sources, including the Australian Bureau of Statistics (ABS) and the Household, Income and Labour Dynamics in Australia (HILDA) survey,</w:t>
      </w:r>
      <w:r w:rsidRPr="00167CB8">
        <w:rPr>
          <w:vertAlign w:val="superscript"/>
        </w:rPr>
        <w:footnoteReference w:id="1324"/>
      </w:r>
      <w:r w:rsidRPr="00167CB8">
        <w:t xml:space="preserve"> to describe recent labour market developments and trends in wages in Australia. It presents information that the Review Panel has drawn on when evaluating the impact and effects of the Secure Jobs, Better Pay Act. Information drawn from the Department of </w:t>
      </w:r>
      <w:r w:rsidRPr="006F1F14">
        <w:t xml:space="preserve">Employment and Workplace Relations (DEWR) Workplace Agreements Database is contained in </w:t>
      </w:r>
      <w:r w:rsidRPr="0090134A">
        <w:t>Appendix 2.</w:t>
      </w:r>
    </w:p>
    <w:p w14:paraId="1FACB12D" w14:textId="2BED48B5" w:rsidR="00677577" w:rsidRPr="00167CB8" w:rsidRDefault="00677577" w:rsidP="00677577">
      <w:r w:rsidRPr="00167CB8">
        <w:t xml:space="preserve">The charts and tables in this appendix are organised across </w:t>
      </w:r>
      <w:r w:rsidR="003241A6">
        <w:t>two</w:t>
      </w:r>
      <w:r w:rsidRPr="00167CB8">
        <w:t xml:space="preserve"> </w:t>
      </w:r>
      <w:r w:rsidR="007B7B19">
        <w:t>parts</w:t>
      </w:r>
      <w:r w:rsidRPr="00167CB8">
        <w:t>. The first concerns developments in the labour market. It presents information on employment growth and the characteristics of employment. The second section focuses on wages.</w:t>
      </w:r>
    </w:p>
    <w:p w14:paraId="3F15DC1F" w14:textId="77777777" w:rsidR="00677577" w:rsidRPr="00167CB8" w:rsidRDefault="00677577" w:rsidP="00677577">
      <w:pPr>
        <w:pStyle w:val="Heading3"/>
      </w:pPr>
      <w:bookmarkStart w:id="750" w:name="_Toc186991758"/>
      <w:bookmarkStart w:id="751" w:name="_Toc189393662"/>
      <w:bookmarkStart w:id="752" w:name="_Toc192258342"/>
      <w:bookmarkStart w:id="753" w:name="_Toc193826717"/>
      <w:bookmarkStart w:id="754" w:name="_Toc194066980"/>
      <w:bookmarkStart w:id="755" w:name="_Toc194311450"/>
      <w:r>
        <w:t xml:space="preserve">2. </w:t>
      </w:r>
      <w:r w:rsidRPr="00167CB8">
        <w:t>Developments in the labour market</w:t>
      </w:r>
      <w:bookmarkEnd w:id="750"/>
      <w:bookmarkEnd w:id="751"/>
      <w:bookmarkEnd w:id="752"/>
      <w:bookmarkEnd w:id="753"/>
      <w:bookmarkEnd w:id="754"/>
      <w:bookmarkEnd w:id="755"/>
    </w:p>
    <w:p w14:paraId="44AA63C2" w14:textId="3410090F" w:rsidR="00677577" w:rsidRPr="00167CB8" w:rsidRDefault="00677577" w:rsidP="00677577">
      <w:r w:rsidRPr="00167CB8">
        <w:t xml:space="preserve">This section presents information on patterns and characteristics of employment. There are </w:t>
      </w:r>
      <w:r w:rsidR="003241A6">
        <w:t>six</w:t>
      </w:r>
      <w:r w:rsidRPr="00167CB8">
        <w:t xml:space="preserve"> sections in total, covering employment growth, casual employment, flexible working arrangements, fixed</w:t>
      </w:r>
      <w:r w:rsidR="00800964">
        <w:t xml:space="preserve"> </w:t>
      </w:r>
      <w:r w:rsidRPr="00167CB8">
        <w:t>term contract arrangements, trade union membership and an analysis of employment characteristics based on HILDA.</w:t>
      </w:r>
    </w:p>
    <w:p w14:paraId="57C1E2CA" w14:textId="77777777" w:rsidR="00677577" w:rsidRPr="00167CB8" w:rsidRDefault="00677577" w:rsidP="00677577">
      <w:pPr>
        <w:pStyle w:val="Heading4"/>
      </w:pPr>
      <w:bookmarkStart w:id="756" w:name="_Toc186991759"/>
      <w:bookmarkStart w:id="757" w:name="_Toc189393663"/>
      <w:r w:rsidRPr="00A32FB1">
        <w:t>2.1 Employment growth, by industry and occupation</w:t>
      </w:r>
      <w:bookmarkEnd w:id="756"/>
      <w:bookmarkEnd w:id="757"/>
    </w:p>
    <w:p w14:paraId="7FA86980" w14:textId="1B398EAB" w:rsidR="0011475D" w:rsidRDefault="00677577" w:rsidP="00677577">
      <w:r w:rsidRPr="00167CB8">
        <w:t xml:space="preserve">This section reviews trends in employment, including trends at the </w:t>
      </w:r>
      <w:r w:rsidR="007F4838">
        <w:t>one</w:t>
      </w:r>
      <w:r w:rsidRPr="00167CB8">
        <w:t>-digit industry and occupation levels. Consideration is given to longer</w:t>
      </w:r>
      <w:r w:rsidR="007F4838">
        <w:t xml:space="preserve"> </w:t>
      </w:r>
      <w:r w:rsidRPr="00167CB8">
        <w:t>term changes (e.g. those spanning 2012 to 2022) and changes since 2022 (i.e. since the passage of the Secure Jobs, Better Pay Act in December 2022).</w:t>
      </w:r>
    </w:p>
    <w:p w14:paraId="222A2C35" w14:textId="50C705EC" w:rsidR="0011475D" w:rsidRDefault="00677577" w:rsidP="00677577">
      <w:r w:rsidRPr="00234060">
        <w:t xml:space="preserve">Table </w:t>
      </w:r>
      <w:r w:rsidR="0040194C" w:rsidRPr="00234060">
        <w:t>2</w:t>
      </w:r>
      <w:r w:rsidR="0040194C">
        <w:t>6</w:t>
      </w:r>
      <w:r w:rsidR="0040194C" w:rsidRPr="00A32FB1">
        <w:t xml:space="preserve"> </w:t>
      </w:r>
      <w:r w:rsidRPr="00A32FB1">
        <w:t>draws</w:t>
      </w:r>
      <w:r w:rsidRPr="00167CB8">
        <w:t xml:space="preserve"> on data from the ABS monthly Labour Force Survey.</w:t>
      </w:r>
      <w:r w:rsidRPr="00167CB8">
        <w:rPr>
          <w:vertAlign w:val="superscript"/>
        </w:rPr>
        <w:footnoteReference w:id="1325"/>
      </w:r>
      <w:r w:rsidRPr="00167CB8">
        <w:t xml:space="preserve"> To facilitate comparisons the selected timeframe for </w:t>
      </w:r>
      <w:r>
        <w:t xml:space="preserve">much of the </w:t>
      </w:r>
      <w:r w:rsidRPr="00167CB8">
        <w:t xml:space="preserve">analysis are the 10 years to 2022 and the </w:t>
      </w:r>
      <w:r w:rsidR="007F4838">
        <w:t>two</w:t>
      </w:r>
      <w:r w:rsidRPr="00167CB8">
        <w:t xml:space="preserve"> years </w:t>
      </w:r>
      <w:r>
        <w:t>from 2022</w:t>
      </w:r>
      <w:r w:rsidRPr="00167CB8">
        <w:t xml:space="preserve"> to 2024.</w:t>
      </w:r>
    </w:p>
    <w:p w14:paraId="49031DA9" w14:textId="7AE444A3" w:rsidR="0011475D" w:rsidRDefault="00677577" w:rsidP="00677577">
      <w:r w:rsidRPr="00167CB8">
        <w:t>This analysis illustrates a significant increase in employment since 2012. By November 2024 there were 14.5 million people employed in the Australian labour market. Employment growth increased by 24.3% in the 10 years to November 2022 and by a further 6.6% between November 2022 and November 2024.</w:t>
      </w:r>
    </w:p>
    <w:p w14:paraId="444E973E" w14:textId="232BDD58" w:rsidR="00677577" w:rsidRPr="00167CB8" w:rsidRDefault="00677577" w:rsidP="00677577">
      <w:r w:rsidRPr="00167CB8">
        <w:t xml:space="preserve">Male employment growth was particularly strong in the part-time labour market (fewer than 35 hours per week), increasing by 35.9% in the 10 years to 2022 and by a further 10.4% in the </w:t>
      </w:r>
      <w:r w:rsidR="007F4838">
        <w:t>two</w:t>
      </w:r>
      <w:r w:rsidRPr="00167CB8">
        <w:t xml:space="preserve"> years to November 2024. There has been an increase in the unemployment rate – from 3.5% in </w:t>
      </w:r>
      <w:r w:rsidRPr="00167CB8">
        <w:lastRenderedPageBreak/>
        <w:t>November 2022 to 4.1% in November 2024. The male underemployment rate (as a share of total employed) has increased between 2022 and 2024. At November 2024 it was equal to 5.2%.</w:t>
      </w:r>
    </w:p>
    <w:p w14:paraId="160D0EA7" w14:textId="49896D57" w:rsidR="00677577" w:rsidRPr="00167CB8" w:rsidRDefault="00677577" w:rsidP="00677577">
      <w:r w:rsidRPr="00167CB8">
        <w:t xml:space="preserve">Among women, employment growth was more marked in the full-time labour market, rising by 32% in the 10 years to November 2022 and by a further 6.1% in the </w:t>
      </w:r>
      <w:r w:rsidR="007F4838">
        <w:t>two</w:t>
      </w:r>
      <w:r w:rsidRPr="00167CB8">
        <w:t xml:space="preserve"> years to November 2024. By November 2024, 48% of all employed persons were women. As a share of full-time employment, women accounted for 39% (up from 35% at November 2012). The share of women participating in the labour market has also increased markedly in recent years, up from 58.6% at November 2012 to 62.9% at November 2024. In line with this, the gender gap in labour force participation continues to fall, declining from 13 percentage points in November 2012 to 8.4</w:t>
      </w:r>
      <w:r w:rsidR="007F4838">
        <w:t> </w:t>
      </w:r>
      <w:r w:rsidRPr="00167CB8">
        <w:t>percentage points at November 2024. The underemployment rate (as a % of total employed) among women was stable between 2022 and 2024 at 7.6%.</w:t>
      </w:r>
    </w:p>
    <w:p w14:paraId="46EEC4FF" w14:textId="77777777" w:rsidR="0011475D" w:rsidRDefault="0011475D" w:rsidP="00677577"/>
    <w:p w14:paraId="76101796" w14:textId="1795AC32" w:rsidR="00677577" w:rsidRPr="00167CB8" w:rsidRDefault="00677577" w:rsidP="00677577">
      <w:pPr>
        <w:sectPr w:rsidR="00677577" w:rsidRPr="00167CB8" w:rsidSect="00A14E38">
          <w:footerReference w:type="default" r:id="rId43"/>
          <w:pgSz w:w="11906" w:h="16838"/>
          <w:pgMar w:top="1440" w:right="1440" w:bottom="1440" w:left="1440" w:header="708" w:footer="708" w:gutter="0"/>
          <w:pgNumType w:start="1"/>
          <w:cols w:space="720"/>
        </w:sectPr>
      </w:pPr>
    </w:p>
    <w:p w14:paraId="6265C9C7" w14:textId="7AF07BC9" w:rsidR="00677577" w:rsidRPr="00167CB8" w:rsidRDefault="00365C93" w:rsidP="00365C93">
      <w:pPr>
        <w:pStyle w:val="Caption"/>
      </w:pPr>
      <w:bookmarkStart w:id="758" w:name="_Ref184403783"/>
      <w:bookmarkStart w:id="759" w:name="_Toc186991801"/>
      <w:bookmarkStart w:id="760" w:name="_Toc189310852"/>
      <w:bookmarkStart w:id="761" w:name="_Toc194251450"/>
      <w:r>
        <w:lastRenderedPageBreak/>
        <w:t xml:space="preserve">Table </w:t>
      </w:r>
      <w:r>
        <w:fldChar w:fldCharType="begin"/>
      </w:r>
      <w:r>
        <w:instrText xml:space="preserve"> SEQ Table \* ARABIC </w:instrText>
      </w:r>
      <w:r>
        <w:fldChar w:fldCharType="separate"/>
      </w:r>
      <w:r w:rsidR="00DE5F5E">
        <w:rPr>
          <w:noProof/>
        </w:rPr>
        <w:t>26</w:t>
      </w:r>
      <w:r>
        <w:fldChar w:fldCharType="end"/>
      </w:r>
      <w:r>
        <w:t xml:space="preserve">: </w:t>
      </w:r>
      <w:bookmarkEnd w:id="758"/>
      <w:r w:rsidR="00677577" w:rsidRPr="00167CB8">
        <w:t>Selected indicators of labour force status</w:t>
      </w:r>
      <w:r w:rsidR="00677577">
        <w:t>,</w:t>
      </w:r>
      <w:r w:rsidR="00677577" w:rsidRPr="00167CB8">
        <w:t xml:space="preserve"> November 2012 </w:t>
      </w:r>
      <w:r w:rsidR="0037612D">
        <w:t>to</w:t>
      </w:r>
      <w:r w:rsidR="00677577" w:rsidRPr="00167CB8">
        <w:t xml:space="preserve"> November 202</w:t>
      </w:r>
      <w:r w:rsidR="00677577">
        <w:t xml:space="preserve">4, </w:t>
      </w:r>
      <w:r w:rsidR="00677577" w:rsidRPr="00167CB8">
        <w:t>Australia</w:t>
      </w:r>
      <w:bookmarkEnd w:id="759"/>
      <w:bookmarkEnd w:id="760"/>
      <w:bookmarkEnd w:id="761"/>
    </w:p>
    <w:tbl>
      <w:tblPr>
        <w:tblW w:w="13745" w:type="dxa"/>
        <w:tblLayout w:type="fixed"/>
        <w:tblLook w:val="04A0" w:firstRow="1" w:lastRow="0" w:firstColumn="1" w:lastColumn="0" w:noHBand="0" w:noVBand="1"/>
      </w:tblPr>
      <w:tblGrid>
        <w:gridCol w:w="3496"/>
        <w:gridCol w:w="1380"/>
        <w:gridCol w:w="1382"/>
        <w:gridCol w:w="1382"/>
        <w:gridCol w:w="1382"/>
        <w:gridCol w:w="1382"/>
        <w:gridCol w:w="931"/>
        <w:gridCol w:w="1134"/>
        <w:gridCol w:w="1276"/>
      </w:tblGrid>
      <w:tr w:rsidR="00677577" w:rsidRPr="00365C93" w14:paraId="2D71629B" w14:textId="77777777">
        <w:trPr>
          <w:trHeight w:val="566"/>
        </w:trPr>
        <w:tc>
          <w:tcPr>
            <w:tcW w:w="3496" w:type="dxa"/>
            <w:tcBorders>
              <w:top w:val="single" w:sz="4" w:space="0" w:color="auto"/>
              <w:left w:val="single" w:sz="4" w:space="0" w:color="auto"/>
              <w:bottom w:val="single" w:sz="4" w:space="0" w:color="auto"/>
              <w:right w:val="nil"/>
            </w:tcBorders>
            <w:noWrap/>
            <w:vAlign w:val="center"/>
            <w:hideMark/>
          </w:tcPr>
          <w:p w14:paraId="75FAD3E5" w14:textId="77777777" w:rsidR="00677577" w:rsidRPr="00627C4E" w:rsidRDefault="00677577">
            <w:pPr>
              <w:rPr>
                <w:b/>
                <w:bCs/>
              </w:rPr>
            </w:pPr>
          </w:p>
        </w:tc>
        <w:tc>
          <w:tcPr>
            <w:tcW w:w="1380" w:type="dxa"/>
            <w:tcBorders>
              <w:top w:val="single" w:sz="4" w:space="0" w:color="auto"/>
              <w:left w:val="nil"/>
              <w:bottom w:val="single" w:sz="4" w:space="0" w:color="auto"/>
              <w:right w:val="nil"/>
            </w:tcBorders>
            <w:vAlign w:val="center"/>
            <w:hideMark/>
          </w:tcPr>
          <w:p w14:paraId="329FFB04" w14:textId="53573E18" w:rsidR="00677577" w:rsidRPr="00627C4E" w:rsidRDefault="00677577" w:rsidP="00627C4E">
            <w:pPr>
              <w:jc w:val="right"/>
              <w:rPr>
                <w:b/>
                <w:bCs/>
                <w:sz w:val="20"/>
                <w:szCs w:val="20"/>
              </w:rPr>
            </w:pPr>
            <w:r w:rsidRPr="00627C4E">
              <w:rPr>
                <w:b/>
                <w:bCs/>
                <w:sz w:val="20"/>
                <w:szCs w:val="20"/>
              </w:rPr>
              <w:t xml:space="preserve">Employed full-time </w:t>
            </w:r>
            <w:r w:rsidR="007F4838" w:rsidRPr="00627C4E">
              <w:rPr>
                <w:b/>
                <w:bCs/>
                <w:sz w:val="20"/>
                <w:szCs w:val="20"/>
              </w:rPr>
              <w:t>‘</w:t>
            </w:r>
            <w:r w:rsidRPr="00627C4E">
              <w:rPr>
                <w:b/>
                <w:bCs/>
                <w:sz w:val="20"/>
                <w:szCs w:val="20"/>
              </w:rPr>
              <w:t>000</w:t>
            </w:r>
          </w:p>
        </w:tc>
        <w:tc>
          <w:tcPr>
            <w:tcW w:w="1382" w:type="dxa"/>
            <w:tcBorders>
              <w:top w:val="single" w:sz="4" w:space="0" w:color="auto"/>
              <w:left w:val="nil"/>
              <w:bottom w:val="single" w:sz="4" w:space="0" w:color="auto"/>
              <w:right w:val="nil"/>
            </w:tcBorders>
            <w:vAlign w:val="center"/>
            <w:hideMark/>
          </w:tcPr>
          <w:p w14:paraId="3E6DA7FD" w14:textId="37F6A2F8" w:rsidR="00677577" w:rsidRPr="00627C4E" w:rsidRDefault="00677577" w:rsidP="00627C4E">
            <w:pPr>
              <w:jc w:val="right"/>
              <w:rPr>
                <w:b/>
                <w:bCs/>
                <w:sz w:val="20"/>
                <w:szCs w:val="20"/>
              </w:rPr>
            </w:pPr>
            <w:r w:rsidRPr="00627C4E">
              <w:rPr>
                <w:b/>
                <w:bCs/>
                <w:sz w:val="20"/>
                <w:szCs w:val="20"/>
              </w:rPr>
              <w:t xml:space="preserve">Employed part-time </w:t>
            </w:r>
            <w:r w:rsidR="007F4838" w:rsidRPr="00627C4E">
              <w:rPr>
                <w:b/>
                <w:bCs/>
                <w:sz w:val="20"/>
                <w:szCs w:val="20"/>
              </w:rPr>
              <w:t>‘</w:t>
            </w:r>
            <w:r w:rsidRPr="00627C4E">
              <w:rPr>
                <w:b/>
                <w:bCs/>
                <w:sz w:val="20"/>
                <w:szCs w:val="20"/>
              </w:rPr>
              <w:t>000</w:t>
            </w:r>
          </w:p>
        </w:tc>
        <w:tc>
          <w:tcPr>
            <w:tcW w:w="1382" w:type="dxa"/>
            <w:tcBorders>
              <w:top w:val="single" w:sz="4" w:space="0" w:color="auto"/>
              <w:left w:val="nil"/>
              <w:bottom w:val="single" w:sz="4" w:space="0" w:color="auto"/>
              <w:right w:val="nil"/>
            </w:tcBorders>
            <w:vAlign w:val="center"/>
            <w:hideMark/>
          </w:tcPr>
          <w:p w14:paraId="0FD25F18" w14:textId="6B14CE01" w:rsidR="00677577" w:rsidRPr="00627C4E" w:rsidRDefault="00677577" w:rsidP="00627C4E">
            <w:pPr>
              <w:jc w:val="right"/>
              <w:rPr>
                <w:b/>
                <w:bCs/>
                <w:sz w:val="20"/>
                <w:szCs w:val="20"/>
              </w:rPr>
            </w:pPr>
            <w:r w:rsidRPr="00627C4E">
              <w:rPr>
                <w:b/>
                <w:bCs/>
                <w:sz w:val="20"/>
                <w:szCs w:val="20"/>
              </w:rPr>
              <w:t xml:space="preserve">Employed total </w:t>
            </w:r>
            <w:r w:rsidR="007F4838" w:rsidRPr="00627C4E">
              <w:rPr>
                <w:b/>
                <w:bCs/>
                <w:sz w:val="20"/>
                <w:szCs w:val="20"/>
              </w:rPr>
              <w:t>‘</w:t>
            </w:r>
            <w:r w:rsidRPr="00627C4E">
              <w:rPr>
                <w:b/>
                <w:bCs/>
                <w:sz w:val="20"/>
                <w:szCs w:val="20"/>
              </w:rPr>
              <w:t>000</w:t>
            </w:r>
          </w:p>
        </w:tc>
        <w:tc>
          <w:tcPr>
            <w:tcW w:w="1382" w:type="dxa"/>
            <w:tcBorders>
              <w:top w:val="single" w:sz="4" w:space="0" w:color="auto"/>
              <w:left w:val="nil"/>
              <w:bottom w:val="single" w:sz="4" w:space="0" w:color="auto"/>
              <w:right w:val="nil"/>
            </w:tcBorders>
            <w:vAlign w:val="center"/>
            <w:hideMark/>
          </w:tcPr>
          <w:p w14:paraId="1496C874" w14:textId="77777777" w:rsidR="00677577" w:rsidRPr="00627C4E" w:rsidRDefault="00677577" w:rsidP="00627C4E">
            <w:pPr>
              <w:jc w:val="right"/>
              <w:rPr>
                <w:b/>
                <w:bCs/>
                <w:sz w:val="20"/>
                <w:szCs w:val="20"/>
              </w:rPr>
            </w:pPr>
            <w:r w:rsidRPr="00627C4E">
              <w:rPr>
                <w:b/>
                <w:bCs/>
                <w:sz w:val="20"/>
                <w:szCs w:val="20"/>
              </w:rPr>
              <w:t>E/P ratio (%)</w:t>
            </w:r>
          </w:p>
        </w:tc>
        <w:tc>
          <w:tcPr>
            <w:tcW w:w="1382" w:type="dxa"/>
            <w:tcBorders>
              <w:top w:val="single" w:sz="4" w:space="0" w:color="auto"/>
              <w:left w:val="nil"/>
              <w:bottom w:val="single" w:sz="4" w:space="0" w:color="auto"/>
              <w:right w:val="nil"/>
            </w:tcBorders>
            <w:vAlign w:val="center"/>
            <w:hideMark/>
          </w:tcPr>
          <w:p w14:paraId="7794CE79" w14:textId="4066F32B" w:rsidR="00677577" w:rsidRPr="00627C4E" w:rsidRDefault="00677577" w:rsidP="00627C4E">
            <w:pPr>
              <w:jc w:val="right"/>
              <w:rPr>
                <w:b/>
                <w:bCs/>
                <w:sz w:val="20"/>
                <w:szCs w:val="20"/>
              </w:rPr>
            </w:pPr>
            <w:r w:rsidRPr="00627C4E">
              <w:rPr>
                <w:b/>
                <w:bCs/>
                <w:sz w:val="20"/>
                <w:szCs w:val="20"/>
              </w:rPr>
              <w:t xml:space="preserve">Labour force </w:t>
            </w:r>
            <w:r w:rsidR="007F4838" w:rsidRPr="00627C4E">
              <w:rPr>
                <w:b/>
                <w:bCs/>
                <w:sz w:val="20"/>
                <w:szCs w:val="20"/>
              </w:rPr>
              <w:t>‘</w:t>
            </w:r>
            <w:r w:rsidRPr="00627C4E">
              <w:rPr>
                <w:b/>
                <w:bCs/>
                <w:sz w:val="20"/>
                <w:szCs w:val="20"/>
              </w:rPr>
              <w:t>000</w:t>
            </w:r>
          </w:p>
        </w:tc>
        <w:tc>
          <w:tcPr>
            <w:tcW w:w="931" w:type="dxa"/>
            <w:tcBorders>
              <w:top w:val="single" w:sz="4" w:space="0" w:color="auto"/>
              <w:left w:val="nil"/>
              <w:bottom w:val="single" w:sz="4" w:space="0" w:color="auto"/>
              <w:right w:val="nil"/>
            </w:tcBorders>
            <w:vAlign w:val="center"/>
            <w:hideMark/>
          </w:tcPr>
          <w:p w14:paraId="22C1EAF9" w14:textId="727D2EE2" w:rsidR="00677577" w:rsidRPr="00627C4E" w:rsidRDefault="00677577" w:rsidP="00627C4E">
            <w:pPr>
              <w:jc w:val="right"/>
              <w:rPr>
                <w:b/>
                <w:bCs/>
                <w:sz w:val="20"/>
                <w:szCs w:val="20"/>
              </w:rPr>
            </w:pPr>
            <w:r w:rsidRPr="00627C4E">
              <w:rPr>
                <w:b/>
                <w:bCs/>
                <w:sz w:val="20"/>
                <w:szCs w:val="20"/>
              </w:rPr>
              <w:t>Participation rate (%)</w:t>
            </w:r>
          </w:p>
        </w:tc>
        <w:tc>
          <w:tcPr>
            <w:tcW w:w="1134" w:type="dxa"/>
            <w:tcBorders>
              <w:top w:val="single" w:sz="4" w:space="0" w:color="auto"/>
              <w:left w:val="nil"/>
              <w:bottom w:val="single" w:sz="4" w:space="0" w:color="auto"/>
              <w:right w:val="nil"/>
            </w:tcBorders>
            <w:vAlign w:val="center"/>
            <w:hideMark/>
          </w:tcPr>
          <w:p w14:paraId="04602568" w14:textId="77777777" w:rsidR="00677577" w:rsidRPr="00627C4E" w:rsidRDefault="00677577" w:rsidP="00627C4E">
            <w:pPr>
              <w:jc w:val="right"/>
              <w:rPr>
                <w:b/>
                <w:bCs/>
                <w:sz w:val="20"/>
                <w:szCs w:val="20"/>
              </w:rPr>
            </w:pPr>
            <w:r w:rsidRPr="00627C4E">
              <w:rPr>
                <w:b/>
                <w:bCs/>
                <w:sz w:val="20"/>
                <w:szCs w:val="20"/>
              </w:rPr>
              <w:t>Unemployment rate (%)</w:t>
            </w:r>
          </w:p>
        </w:tc>
        <w:tc>
          <w:tcPr>
            <w:tcW w:w="1276" w:type="dxa"/>
            <w:tcBorders>
              <w:top w:val="single" w:sz="4" w:space="0" w:color="auto"/>
              <w:left w:val="nil"/>
              <w:bottom w:val="single" w:sz="4" w:space="0" w:color="auto"/>
              <w:right w:val="single" w:sz="4" w:space="0" w:color="auto"/>
            </w:tcBorders>
            <w:vAlign w:val="center"/>
            <w:hideMark/>
          </w:tcPr>
          <w:p w14:paraId="7787BD2D" w14:textId="77777777" w:rsidR="00677577" w:rsidRPr="00627C4E" w:rsidRDefault="00677577" w:rsidP="00627C4E">
            <w:pPr>
              <w:jc w:val="right"/>
              <w:rPr>
                <w:b/>
                <w:bCs/>
                <w:sz w:val="20"/>
                <w:szCs w:val="20"/>
              </w:rPr>
            </w:pPr>
            <w:r w:rsidRPr="00627C4E">
              <w:rPr>
                <w:b/>
                <w:bCs/>
                <w:sz w:val="20"/>
                <w:szCs w:val="20"/>
              </w:rPr>
              <w:t>Underemployment ratio (% of employed)</w:t>
            </w:r>
          </w:p>
        </w:tc>
      </w:tr>
      <w:tr w:rsidR="00677577" w:rsidRPr="00167CB8" w14:paraId="630EDEA1" w14:textId="77777777">
        <w:trPr>
          <w:trHeight w:val="341"/>
        </w:trPr>
        <w:tc>
          <w:tcPr>
            <w:tcW w:w="3496" w:type="dxa"/>
            <w:tcBorders>
              <w:top w:val="nil"/>
              <w:left w:val="single" w:sz="4" w:space="0" w:color="auto"/>
              <w:bottom w:val="nil"/>
              <w:right w:val="nil"/>
            </w:tcBorders>
            <w:noWrap/>
            <w:vAlign w:val="center"/>
            <w:hideMark/>
          </w:tcPr>
          <w:p w14:paraId="71E0A681" w14:textId="77777777" w:rsidR="00677577" w:rsidRPr="00BB4D6B" w:rsidRDefault="00677577">
            <w:pPr>
              <w:spacing w:after="0" w:line="240" w:lineRule="auto"/>
              <w:rPr>
                <w:b/>
                <w:bCs/>
                <w:sz w:val="20"/>
                <w:szCs w:val="20"/>
              </w:rPr>
            </w:pPr>
            <w:r w:rsidRPr="00BB4D6B">
              <w:rPr>
                <w:b/>
                <w:bCs/>
                <w:sz w:val="20"/>
                <w:szCs w:val="20"/>
              </w:rPr>
              <w:t>Men</w:t>
            </w:r>
          </w:p>
        </w:tc>
        <w:tc>
          <w:tcPr>
            <w:tcW w:w="1380" w:type="dxa"/>
            <w:vAlign w:val="center"/>
            <w:hideMark/>
          </w:tcPr>
          <w:p w14:paraId="526086AB" w14:textId="77777777" w:rsidR="00677577" w:rsidRPr="00BB4D6B" w:rsidRDefault="00677577">
            <w:pPr>
              <w:spacing w:after="0" w:line="240" w:lineRule="auto"/>
              <w:rPr>
                <w:b/>
                <w:bCs/>
                <w:sz w:val="20"/>
                <w:szCs w:val="20"/>
              </w:rPr>
            </w:pPr>
          </w:p>
        </w:tc>
        <w:tc>
          <w:tcPr>
            <w:tcW w:w="1382" w:type="dxa"/>
            <w:vAlign w:val="center"/>
            <w:hideMark/>
          </w:tcPr>
          <w:p w14:paraId="5C1B25DC" w14:textId="77777777" w:rsidR="00677577" w:rsidRPr="00BB4D6B" w:rsidRDefault="00677577">
            <w:pPr>
              <w:spacing w:after="0" w:line="240" w:lineRule="auto"/>
              <w:rPr>
                <w:sz w:val="20"/>
                <w:szCs w:val="20"/>
              </w:rPr>
            </w:pPr>
          </w:p>
        </w:tc>
        <w:tc>
          <w:tcPr>
            <w:tcW w:w="1382" w:type="dxa"/>
            <w:vAlign w:val="center"/>
            <w:hideMark/>
          </w:tcPr>
          <w:p w14:paraId="18885DAA" w14:textId="77777777" w:rsidR="00677577" w:rsidRPr="00BB4D6B" w:rsidRDefault="00677577">
            <w:pPr>
              <w:spacing w:after="0" w:line="240" w:lineRule="auto"/>
              <w:rPr>
                <w:sz w:val="20"/>
                <w:szCs w:val="20"/>
              </w:rPr>
            </w:pPr>
          </w:p>
        </w:tc>
        <w:tc>
          <w:tcPr>
            <w:tcW w:w="1382" w:type="dxa"/>
            <w:vAlign w:val="center"/>
            <w:hideMark/>
          </w:tcPr>
          <w:p w14:paraId="427DF615" w14:textId="77777777" w:rsidR="00677577" w:rsidRPr="00BB4D6B" w:rsidRDefault="00677577">
            <w:pPr>
              <w:spacing w:after="0" w:line="240" w:lineRule="auto"/>
              <w:rPr>
                <w:sz w:val="20"/>
                <w:szCs w:val="20"/>
              </w:rPr>
            </w:pPr>
          </w:p>
        </w:tc>
        <w:tc>
          <w:tcPr>
            <w:tcW w:w="1382" w:type="dxa"/>
            <w:vAlign w:val="center"/>
            <w:hideMark/>
          </w:tcPr>
          <w:p w14:paraId="75566DB9" w14:textId="77777777" w:rsidR="00677577" w:rsidRPr="00BB4D6B" w:rsidRDefault="00677577">
            <w:pPr>
              <w:spacing w:after="0" w:line="240" w:lineRule="auto"/>
              <w:rPr>
                <w:sz w:val="20"/>
                <w:szCs w:val="20"/>
              </w:rPr>
            </w:pPr>
          </w:p>
        </w:tc>
        <w:tc>
          <w:tcPr>
            <w:tcW w:w="931" w:type="dxa"/>
            <w:vAlign w:val="center"/>
            <w:hideMark/>
          </w:tcPr>
          <w:p w14:paraId="0FBC5A35" w14:textId="77777777" w:rsidR="00677577" w:rsidRPr="00BB4D6B" w:rsidRDefault="00677577">
            <w:pPr>
              <w:spacing w:after="0" w:line="240" w:lineRule="auto"/>
              <w:rPr>
                <w:sz w:val="20"/>
                <w:szCs w:val="20"/>
              </w:rPr>
            </w:pPr>
          </w:p>
        </w:tc>
        <w:tc>
          <w:tcPr>
            <w:tcW w:w="1134" w:type="dxa"/>
            <w:vAlign w:val="center"/>
            <w:hideMark/>
          </w:tcPr>
          <w:p w14:paraId="47DD4A71" w14:textId="77777777" w:rsidR="00677577" w:rsidRPr="00BB4D6B" w:rsidRDefault="00677577">
            <w:pPr>
              <w:spacing w:after="0" w:line="240" w:lineRule="auto"/>
              <w:rPr>
                <w:sz w:val="20"/>
                <w:szCs w:val="20"/>
              </w:rPr>
            </w:pPr>
          </w:p>
        </w:tc>
        <w:tc>
          <w:tcPr>
            <w:tcW w:w="1276" w:type="dxa"/>
            <w:tcBorders>
              <w:top w:val="nil"/>
              <w:left w:val="nil"/>
              <w:bottom w:val="nil"/>
              <w:right w:val="single" w:sz="4" w:space="0" w:color="auto"/>
            </w:tcBorders>
            <w:vAlign w:val="center"/>
            <w:hideMark/>
          </w:tcPr>
          <w:p w14:paraId="0F7DAAD1" w14:textId="77777777" w:rsidR="00677577" w:rsidRPr="00BB4D6B" w:rsidRDefault="00677577">
            <w:pPr>
              <w:spacing w:after="0" w:line="240" w:lineRule="auto"/>
              <w:rPr>
                <w:sz w:val="20"/>
                <w:szCs w:val="20"/>
              </w:rPr>
            </w:pPr>
          </w:p>
        </w:tc>
      </w:tr>
      <w:tr w:rsidR="00677577" w:rsidRPr="00167CB8" w14:paraId="4BB5E3E5" w14:textId="77777777">
        <w:trPr>
          <w:trHeight w:val="341"/>
        </w:trPr>
        <w:tc>
          <w:tcPr>
            <w:tcW w:w="3496" w:type="dxa"/>
            <w:tcBorders>
              <w:top w:val="nil"/>
              <w:left w:val="single" w:sz="4" w:space="0" w:color="auto"/>
              <w:bottom w:val="nil"/>
              <w:right w:val="nil"/>
            </w:tcBorders>
            <w:noWrap/>
            <w:vAlign w:val="center"/>
            <w:hideMark/>
          </w:tcPr>
          <w:p w14:paraId="4C7FA400" w14:textId="77777777" w:rsidR="00677577" w:rsidRPr="00BB4D6B" w:rsidRDefault="00677577">
            <w:pPr>
              <w:spacing w:after="0" w:line="240" w:lineRule="auto"/>
              <w:rPr>
                <w:sz w:val="20"/>
                <w:szCs w:val="20"/>
              </w:rPr>
            </w:pPr>
            <w:r w:rsidRPr="00BB4D6B">
              <w:rPr>
                <w:sz w:val="20"/>
                <w:szCs w:val="20"/>
              </w:rPr>
              <w:t>Nov-12</w:t>
            </w:r>
          </w:p>
        </w:tc>
        <w:tc>
          <w:tcPr>
            <w:tcW w:w="1380" w:type="dxa"/>
            <w:noWrap/>
            <w:vAlign w:val="center"/>
            <w:hideMark/>
          </w:tcPr>
          <w:p w14:paraId="57C361D9" w14:textId="77777777" w:rsidR="00677577" w:rsidRPr="00BB4D6B" w:rsidRDefault="00677577" w:rsidP="00627C4E">
            <w:pPr>
              <w:spacing w:after="0" w:line="240" w:lineRule="auto"/>
              <w:jc w:val="right"/>
              <w:rPr>
                <w:sz w:val="20"/>
                <w:szCs w:val="20"/>
              </w:rPr>
            </w:pPr>
            <w:r w:rsidRPr="00BB4D6B">
              <w:rPr>
                <w:sz w:val="20"/>
                <w:szCs w:val="20"/>
              </w:rPr>
              <w:t>5,182.3</w:t>
            </w:r>
          </w:p>
        </w:tc>
        <w:tc>
          <w:tcPr>
            <w:tcW w:w="1382" w:type="dxa"/>
            <w:noWrap/>
            <w:vAlign w:val="center"/>
            <w:hideMark/>
          </w:tcPr>
          <w:p w14:paraId="7D8DB777" w14:textId="77777777" w:rsidR="00677577" w:rsidRPr="00BB4D6B" w:rsidRDefault="00677577" w:rsidP="00627C4E">
            <w:pPr>
              <w:spacing w:after="0" w:line="240" w:lineRule="auto"/>
              <w:jc w:val="right"/>
              <w:rPr>
                <w:sz w:val="20"/>
                <w:szCs w:val="20"/>
              </w:rPr>
            </w:pPr>
            <w:r w:rsidRPr="00BB4D6B">
              <w:rPr>
                <w:sz w:val="20"/>
                <w:szCs w:val="20"/>
              </w:rPr>
              <w:t>990.8</w:t>
            </w:r>
          </w:p>
        </w:tc>
        <w:tc>
          <w:tcPr>
            <w:tcW w:w="1382" w:type="dxa"/>
            <w:noWrap/>
            <w:vAlign w:val="center"/>
            <w:hideMark/>
          </w:tcPr>
          <w:p w14:paraId="40C4572D" w14:textId="77777777" w:rsidR="00677577" w:rsidRPr="00BB4D6B" w:rsidRDefault="00677577" w:rsidP="00627C4E">
            <w:pPr>
              <w:spacing w:after="0" w:line="240" w:lineRule="auto"/>
              <w:jc w:val="right"/>
              <w:rPr>
                <w:sz w:val="20"/>
                <w:szCs w:val="20"/>
              </w:rPr>
            </w:pPr>
            <w:r w:rsidRPr="00BB4D6B">
              <w:rPr>
                <w:sz w:val="20"/>
                <w:szCs w:val="20"/>
              </w:rPr>
              <w:t>6,173.1</w:t>
            </w:r>
          </w:p>
        </w:tc>
        <w:tc>
          <w:tcPr>
            <w:tcW w:w="1382" w:type="dxa"/>
            <w:noWrap/>
            <w:vAlign w:val="center"/>
            <w:hideMark/>
          </w:tcPr>
          <w:p w14:paraId="4751386E" w14:textId="77777777" w:rsidR="00677577" w:rsidRPr="00BB4D6B" w:rsidRDefault="00677577" w:rsidP="00627C4E">
            <w:pPr>
              <w:spacing w:after="0" w:line="240" w:lineRule="auto"/>
              <w:jc w:val="right"/>
              <w:rPr>
                <w:sz w:val="20"/>
                <w:szCs w:val="20"/>
              </w:rPr>
            </w:pPr>
            <w:r w:rsidRPr="00BB4D6B">
              <w:rPr>
                <w:sz w:val="20"/>
                <w:szCs w:val="20"/>
              </w:rPr>
              <w:t>67.7</w:t>
            </w:r>
          </w:p>
        </w:tc>
        <w:tc>
          <w:tcPr>
            <w:tcW w:w="1382" w:type="dxa"/>
            <w:noWrap/>
            <w:vAlign w:val="center"/>
            <w:hideMark/>
          </w:tcPr>
          <w:p w14:paraId="11EEC10F" w14:textId="77777777" w:rsidR="00677577" w:rsidRPr="00BB4D6B" w:rsidRDefault="00677577" w:rsidP="00627C4E">
            <w:pPr>
              <w:spacing w:after="0" w:line="240" w:lineRule="auto"/>
              <w:jc w:val="right"/>
              <w:rPr>
                <w:sz w:val="20"/>
                <w:szCs w:val="20"/>
              </w:rPr>
            </w:pPr>
            <w:r w:rsidRPr="00BB4D6B">
              <w:rPr>
                <w:sz w:val="20"/>
                <w:szCs w:val="20"/>
              </w:rPr>
              <w:t>6,517.4</w:t>
            </w:r>
          </w:p>
        </w:tc>
        <w:tc>
          <w:tcPr>
            <w:tcW w:w="931" w:type="dxa"/>
            <w:noWrap/>
            <w:vAlign w:val="center"/>
            <w:hideMark/>
          </w:tcPr>
          <w:p w14:paraId="0F7121E9" w14:textId="77777777" w:rsidR="00677577" w:rsidRPr="00BB4D6B" w:rsidRDefault="00677577" w:rsidP="00627C4E">
            <w:pPr>
              <w:spacing w:after="0" w:line="240" w:lineRule="auto"/>
              <w:jc w:val="right"/>
              <w:rPr>
                <w:sz w:val="20"/>
                <w:szCs w:val="20"/>
              </w:rPr>
            </w:pPr>
            <w:r w:rsidRPr="00BB4D6B">
              <w:rPr>
                <w:sz w:val="20"/>
                <w:szCs w:val="20"/>
              </w:rPr>
              <w:t>71.6</w:t>
            </w:r>
          </w:p>
        </w:tc>
        <w:tc>
          <w:tcPr>
            <w:tcW w:w="1134" w:type="dxa"/>
            <w:noWrap/>
            <w:vAlign w:val="center"/>
            <w:hideMark/>
          </w:tcPr>
          <w:p w14:paraId="022EA9BC" w14:textId="77777777" w:rsidR="00677577" w:rsidRPr="00BB4D6B" w:rsidRDefault="00677577" w:rsidP="00627C4E">
            <w:pPr>
              <w:spacing w:after="0" w:line="240" w:lineRule="auto"/>
              <w:jc w:val="right"/>
              <w:rPr>
                <w:sz w:val="20"/>
                <w:szCs w:val="20"/>
              </w:rPr>
            </w:pPr>
            <w:r w:rsidRPr="00BB4D6B">
              <w:rPr>
                <w:sz w:val="20"/>
                <w:szCs w:val="20"/>
              </w:rPr>
              <w:t>5.3</w:t>
            </w:r>
          </w:p>
        </w:tc>
        <w:tc>
          <w:tcPr>
            <w:tcW w:w="1276" w:type="dxa"/>
            <w:tcBorders>
              <w:top w:val="nil"/>
              <w:left w:val="nil"/>
              <w:bottom w:val="nil"/>
              <w:right w:val="single" w:sz="4" w:space="0" w:color="auto"/>
            </w:tcBorders>
            <w:noWrap/>
            <w:vAlign w:val="center"/>
            <w:hideMark/>
          </w:tcPr>
          <w:p w14:paraId="53324CB7" w14:textId="77777777" w:rsidR="00677577" w:rsidRPr="00BB4D6B" w:rsidRDefault="00677577" w:rsidP="00627C4E">
            <w:pPr>
              <w:spacing w:after="0" w:line="240" w:lineRule="auto"/>
              <w:jc w:val="right"/>
              <w:rPr>
                <w:sz w:val="20"/>
                <w:szCs w:val="20"/>
              </w:rPr>
            </w:pPr>
            <w:r w:rsidRPr="00BB4D6B">
              <w:rPr>
                <w:sz w:val="20"/>
                <w:szCs w:val="20"/>
              </w:rPr>
              <w:t>5.6</w:t>
            </w:r>
          </w:p>
        </w:tc>
      </w:tr>
      <w:tr w:rsidR="00677577" w:rsidRPr="00167CB8" w14:paraId="468D778D" w14:textId="77777777">
        <w:trPr>
          <w:trHeight w:val="341"/>
        </w:trPr>
        <w:tc>
          <w:tcPr>
            <w:tcW w:w="3496" w:type="dxa"/>
            <w:tcBorders>
              <w:top w:val="nil"/>
              <w:left w:val="single" w:sz="4" w:space="0" w:color="auto"/>
              <w:bottom w:val="nil"/>
              <w:right w:val="nil"/>
            </w:tcBorders>
            <w:noWrap/>
            <w:vAlign w:val="center"/>
            <w:hideMark/>
          </w:tcPr>
          <w:p w14:paraId="1BF4A9C0" w14:textId="77777777" w:rsidR="00677577" w:rsidRPr="00BB4D6B" w:rsidRDefault="00677577">
            <w:pPr>
              <w:spacing w:after="0" w:line="240" w:lineRule="auto"/>
              <w:rPr>
                <w:sz w:val="20"/>
                <w:szCs w:val="20"/>
              </w:rPr>
            </w:pPr>
            <w:r w:rsidRPr="00BB4D6B">
              <w:rPr>
                <w:sz w:val="20"/>
                <w:szCs w:val="20"/>
              </w:rPr>
              <w:t>Nov-22</w:t>
            </w:r>
          </w:p>
        </w:tc>
        <w:tc>
          <w:tcPr>
            <w:tcW w:w="1380" w:type="dxa"/>
            <w:noWrap/>
            <w:vAlign w:val="center"/>
            <w:hideMark/>
          </w:tcPr>
          <w:p w14:paraId="1420F143" w14:textId="77777777" w:rsidR="00677577" w:rsidRPr="00BB4D6B" w:rsidRDefault="00677577" w:rsidP="00627C4E">
            <w:pPr>
              <w:spacing w:after="0" w:line="240" w:lineRule="auto"/>
              <w:jc w:val="right"/>
              <w:rPr>
                <w:sz w:val="20"/>
                <w:szCs w:val="20"/>
              </w:rPr>
            </w:pPr>
            <w:r w:rsidRPr="00BB4D6B">
              <w:rPr>
                <w:sz w:val="20"/>
                <w:szCs w:val="20"/>
              </w:rPr>
              <w:t>5,850.4</w:t>
            </w:r>
          </w:p>
        </w:tc>
        <w:tc>
          <w:tcPr>
            <w:tcW w:w="1382" w:type="dxa"/>
            <w:noWrap/>
            <w:vAlign w:val="center"/>
            <w:hideMark/>
          </w:tcPr>
          <w:p w14:paraId="4ED447E5" w14:textId="77777777" w:rsidR="00677577" w:rsidRPr="00BB4D6B" w:rsidRDefault="00677577" w:rsidP="00627C4E">
            <w:pPr>
              <w:spacing w:after="0" w:line="240" w:lineRule="auto"/>
              <w:jc w:val="right"/>
              <w:rPr>
                <w:sz w:val="20"/>
                <w:szCs w:val="20"/>
              </w:rPr>
            </w:pPr>
            <w:r w:rsidRPr="00BB4D6B">
              <w:rPr>
                <w:sz w:val="20"/>
                <w:szCs w:val="20"/>
              </w:rPr>
              <w:t>1,346.1</w:t>
            </w:r>
          </w:p>
        </w:tc>
        <w:tc>
          <w:tcPr>
            <w:tcW w:w="1382" w:type="dxa"/>
            <w:noWrap/>
            <w:vAlign w:val="center"/>
            <w:hideMark/>
          </w:tcPr>
          <w:p w14:paraId="40D6EAA4" w14:textId="77777777" w:rsidR="00677577" w:rsidRPr="00BB4D6B" w:rsidRDefault="00677577" w:rsidP="00627C4E">
            <w:pPr>
              <w:spacing w:after="0" w:line="240" w:lineRule="auto"/>
              <w:jc w:val="right"/>
              <w:rPr>
                <w:sz w:val="20"/>
                <w:szCs w:val="20"/>
              </w:rPr>
            </w:pPr>
            <w:r w:rsidRPr="00BB4D6B">
              <w:rPr>
                <w:sz w:val="20"/>
                <w:szCs w:val="20"/>
              </w:rPr>
              <w:t>7,196.5</w:t>
            </w:r>
          </w:p>
        </w:tc>
        <w:tc>
          <w:tcPr>
            <w:tcW w:w="1382" w:type="dxa"/>
            <w:noWrap/>
            <w:vAlign w:val="center"/>
            <w:hideMark/>
          </w:tcPr>
          <w:p w14:paraId="0FF4763D" w14:textId="77777777" w:rsidR="00677577" w:rsidRPr="00BB4D6B" w:rsidRDefault="00677577" w:rsidP="00627C4E">
            <w:pPr>
              <w:spacing w:after="0" w:line="240" w:lineRule="auto"/>
              <w:jc w:val="right"/>
              <w:rPr>
                <w:sz w:val="20"/>
                <w:szCs w:val="20"/>
              </w:rPr>
            </w:pPr>
            <w:r w:rsidRPr="00BB4D6B">
              <w:rPr>
                <w:sz w:val="20"/>
                <w:szCs w:val="20"/>
              </w:rPr>
              <w:t>68.3</w:t>
            </w:r>
          </w:p>
        </w:tc>
        <w:tc>
          <w:tcPr>
            <w:tcW w:w="1382" w:type="dxa"/>
            <w:noWrap/>
            <w:vAlign w:val="center"/>
            <w:hideMark/>
          </w:tcPr>
          <w:p w14:paraId="3068C1C7" w14:textId="77777777" w:rsidR="00677577" w:rsidRPr="00BB4D6B" w:rsidRDefault="00677577" w:rsidP="00627C4E">
            <w:pPr>
              <w:spacing w:after="0" w:line="240" w:lineRule="auto"/>
              <w:jc w:val="right"/>
              <w:rPr>
                <w:sz w:val="20"/>
                <w:szCs w:val="20"/>
              </w:rPr>
            </w:pPr>
            <w:r w:rsidRPr="00BB4D6B">
              <w:rPr>
                <w:sz w:val="20"/>
                <w:szCs w:val="20"/>
              </w:rPr>
              <w:t>7,457.2</w:t>
            </w:r>
          </w:p>
        </w:tc>
        <w:tc>
          <w:tcPr>
            <w:tcW w:w="931" w:type="dxa"/>
            <w:noWrap/>
            <w:vAlign w:val="center"/>
            <w:hideMark/>
          </w:tcPr>
          <w:p w14:paraId="3DDEAAF0" w14:textId="77777777" w:rsidR="00677577" w:rsidRPr="00BB4D6B" w:rsidRDefault="00677577" w:rsidP="00627C4E">
            <w:pPr>
              <w:spacing w:after="0" w:line="240" w:lineRule="auto"/>
              <w:jc w:val="right"/>
              <w:rPr>
                <w:sz w:val="20"/>
                <w:szCs w:val="20"/>
              </w:rPr>
            </w:pPr>
            <w:r w:rsidRPr="00BB4D6B">
              <w:rPr>
                <w:sz w:val="20"/>
                <w:szCs w:val="20"/>
              </w:rPr>
              <w:t>70.7</w:t>
            </w:r>
          </w:p>
        </w:tc>
        <w:tc>
          <w:tcPr>
            <w:tcW w:w="1134" w:type="dxa"/>
            <w:noWrap/>
            <w:vAlign w:val="center"/>
            <w:hideMark/>
          </w:tcPr>
          <w:p w14:paraId="22508325" w14:textId="77777777" w:rsidR="00677577" w:rsidRPr="00BB4D6B" w:rsidRDefault="00677577" w:rsidP="00627C4E">
            <w:pPr>
              <w:spacing w:after="0" w:line="240" w:lineRule="auto"/>
              <w:jc w:val="right"/>
              <w:rPr>
                <w:sz w:val="20"/>
                <w:szCs w:val="20"/>
              </w:rPr>
            </w:pPr>
            <w:r w:rsidRPr="00BB4D6B">
              <w:rPr>
                <w:sz w:val="20"/>
                <w:szCs w:val="20"/>
              </w:rPr>
              <w:t>3.5</w:t>
            </w:r>
          </w:p>
        </w:tc>
        <w:tc>
          <w:tcPr>
            <w:tcW w:w="1276" w:type="dxa"/>
            <w:tcBorders>
              <w:top w:val="nil"/>
              <w:left w:val="nil"/>
              <w:bottom w:val="nil"/>
              <w:right w:val="single" w:sz="4" w:space="0" w:color="auto"/>
            </w:tcBorders>
            <w:noWrap/>
            <w:vAlign w:val="center"/>
            <w:hideMark/>
          </w:tcPr>
          <w:p w14:paraId="05C3E0A3" w14:textId="77777777" w:rsidR="00677577" w:rsidRPr="00BB4D6B" w:rsidRDefault="00677577" w:rsidP="00627C4E">
            <w:pPr>
              <w:spacing w:after="0" w:line="240" w:lineRule="auto"/>
              <w:jc w:val="right"/>
              <w:rPr>
                <w:sz w:val="20"/>
                <w:szCs w:val="20"/>
              </w:rPr>
            </w:pPr>
            <w:r w:rsidRPr="00BB4D6B">
              <w:rPr>
                <w:sz w:val="20"/>
                <w:szCs w:val="20"/>
              </w:rPr>
              <w:t>4.8</w:t>
            </w:r>
          </w:p>
        </w:tc>
      </w:tr>
      <w:tr w:rsidR="00677577" w:rsidRPr="00167CB8" w14:paraId="4789F4F5" w14:textId="77777777">
        <w:trPr>
          <w:trHeight w:val="341"/>
        </w:trPr>
        <w:tc>
          <w:tcPr>
            <w:tcW w:w="3496" w:type="dxa"/>
            <w:tcBorders>
              <w:top w:val="nil"/>
              <w:left w:val="single" w:sz="4" w:space="0" w:color="auto"/>
              <w:bottom w:val="nil"/>
              <w:right w:val="nil"/>
            </w:tcBorders>
            <w:noWrap/>
            <w:vAlign w:val="center"/>
            <w:hideMark/>
          </w:tcPr>
          <w:p w14:paraId="3C3027C0" w14:textId="77777777" w:rsidR="00677577" w:rsidRPr="00BB4D6B" w:rsidRDefault="00677577">
            <w:pPr>
              <w:spacing w:after="0" w:line="240" w:lineRule="auto"/>
              <w:rPr>
                <w:sz w:val="20"/>
                <w:szCs w:val="20"/>
              </w:rPr>
            </w:pPr>
            <w:r w:rsidRPr="00BB4D6B">
              <w:rPr>
                <w:sz w:val="20"/>
                <w:szCs w:val="20"/>
              </w:rPr>
              <w:t>Nov-24</w:t>
            </w:r>
          </w:p>
        </w:tc>
        <w:tc>
          <w:tcPr>
            <w:tcW w:w="1380" w:type="dxa"/>
            <w:noWrap/>
            <w:vAlign w:val="center"/>
            <w:hideMark/>
          </w:tcPr>
          <w:p w14:paraId="1E71CE30" w14:textId="77777777" w:rsidR="00677577" w:rsidRPr="00BB4D6B" w:rsidRDefault="00677577" w:rsidP="00627C4E">
            <w:pPr>
              <w:spacing w:after="0" w:line="240" w:lineRule="auto"/>
              <w:jc w:val="right"/>
              <w:rPr>
                <w:sz w:val="20"/>
                <w:szCs w:val="20"/>
              </w:rPr>
            </w:pPr>
            <w:r w:rsidRPr="00BB4D6B">
              <w:rPr>
                <w:sz w:val="20"/>
                <w:szCs w:val="20"/>
              </w:rPr>
              <w:t>6,101.2</w:t>
            </w:r>
          </w:p>
        </w:tc>
        <w:tc>
          <w:tcPr>
            <w:tcW w:w="1382" w:type="dxa"/>
            <w:noWrap/>
            <w:vAlign w:val="center"/>
            <w:hideMark/>
          </w:tcPr>
          <w:p w14:paraId="0EFFCE53" w14:textId="77777777" w:rsidR="00677577" w:rsidRPr="00BB4D6B" w:rsidRDefault="00677577" w:rsidP="00627C4E">
            <w:pPr>
              <w:spacing w:after="0" w:line="240" w:lineRule="auto"/>
              <w:jc w:val="right"/>
              <w:rPr>
                <w:sz w:val="20"/>
                <w:szCs w:val="20"/>
              </w:rPr>
            </w:pPr>
            <w:r w:rsidRPr="00BB4D6B">
              <w:rPr>
                <w:sz w:val="20"/>
                <w:szCs w:val="20"/>
              </w:rPr>
              <w:t>1,486.6</w:t>
            </w:r>
          </w:p>
        </w:tc>
        <w:tc>
          <w:tcPr>
            <w:tcW w:w="1382" w:type="dxa"/>
            <w:noWrap/>
            <w:vAlign w:val="center"/>
            <w:hideMark/>
          </w:tcPr>
          <w:p w14:paraId="069AF330" w14:textId="77777777" w:rsidR="00677577" w:rsidRPr="00BB4D6B" w:rsidRDefault="00677577" w:rsidP="00627C4E">
            <w:pPr>
              <w:spacing w:after="0" w:line="240" w:lineRule="auto"/>
              <w:jc w:val="right"/>
              <w:rPr>
                <w:sz w:val="20"/>
                <w:szCs w:val="20"/>
              </w:rPr>
            </w:pPr>
            <w:r w:rsidRPr="00BB4D6B">
              <w:rPr>
                <w:sz w:val="20"/>
                <w:szCs w:val="20"/>
              </w:rPr>
              <w:t>7,587.8</w:t>
            </w:r>
          </w:p>
        </w:tc>
        <w:tc>
          <w:tcPr>
            <w:tcW w:w="1382" w:type="dxa"/>
            <w:noWrap/>
            <w:vAlign w:val="center"/>
            <w:hideMark/>
          </w:tcPr>
          <w:p w14:paraId="01703249" w14:textId="77777777" w:rsidR="00677577" w:rsidRPr="00BB4D6B" w:rsidRDefault="00677577" w:rsidP="00627C4E">
            <w:pPr>
              <w:spacing w:after="0" w:line="240" w:lineRule="auto"/>
              <w:jc w:val="right"/>
              <w:rPr>
                <w:sz w:val="20"/>
                <w:szCs w:val="20"/>
              </w:rPr>
            </w:pPr>
            <w:r w:rsidRPr="00BB4D6B">
              <w:rPr>
                <w:sz w:val="20"/>
                <w:szCs w:val="20"/>
              </w:rPr>
              <w:t>68.3</w:t>
            </w:r>
          </w:p>
        </w:tc>
        <w:tc>
          <w:tcPr>
            <w:tcW w:w="1382" w:type="dxa"/>
            <w:noWrap/>
            <w:vAlign w:val="center"/>
            <w:hideMark/>
          </w:tcPr>
          <w:p w14:paraId="4845D6B0" w14:textId="77777777" w:rsidR="00677577" w:rsidRPr="00BB4D6B" w:rsidRDefault="00677577" w:rsidP="00627C4E">
            <w:pPr>
              <w:spacing w:after="0" w:line="240" w:lineRule="auto"/>
              <w:jc w:val="right"/>
              <w:rPr>
                <w:sz w:val="20"/>
                <w:szCs w:val="20"/>
              </w:rPr>
            </w:pPr>
            <w:r w:rsidRPr="00BB4D6B">
              <w:rPr>
                <w:sz w:val="20"/>
                <w:szCs w:val="20"/>
              </w:rPr>
              <w:t>7,909.4</w:t>
            </w:r>
          </w:p>
        </w:tc>
        <w:tc>
          <w:tcPr>
            <w:tcW w:w="931" w:type="dxa"/>
            <w:noWrap/>
            <w:vAlign w:val="center"/>
            <w:hideMark/>
          </w:tcPr>
          <w:p w14:paraId="3A49F24F" w14:textId="77777777" w:rsidR="00677577" w:rsidRPr="00BB4D6B" w:rsidRDefault="00677577" w:rsidP="00627C4E">
            <w:pPr>
              <w:spacing w:after="0" w:line="240" w:lineRule="auto"/>
              <w:jc w:val="right"/>
              <w:rPr>
                <w:sz w:val="20"/>
                <w:szCs w:val="20"/>
              </w:rPr>
            </w:pPr>
            <w:r w:rsidRPr="00BB4D6B">
              <w:rPr>
                <w:sz w:val="20"/>
                <w:szCs w:val="20"/>
              </w:rPr>
              <w:t>71.3</w:t>
            </w:r>
          </w:p>
        </w:tc>
        <w:tc>
          <w:tcPr>
            <w:tcW w:w="1134" w:type="dxa"/>
            <w:noWrap/>
            <w:vAlign w:val="center"/>
            <w:hideMark/>
          </w:tcPr>
          <w:p w14:paraId="41E193DF" w14:textId="77777777" w:rsidR="00677577" w:rsidRPr="00BB4D6B" w:rsidRDefault="00677577" w:rsidP="00627C4E">
            <w:pPr>
              <w:spacing w:after="0" w:line="240" w:lineRule="auto"/>
              <w:jc w:val="right"/>
              <w:rPr>
                <w:sz w:val="20"/>
                <w:szCs w:val="20"/>
              </w:rPr>
            </w:pPr>
            <w:r w:rsidRPr="00BB4D6B">
              <w:rPr>
                <w:sz w:val="20"/>
                <w:szCs w:val="20"/>
              </w:rPr>
              <w:t>4.1</w:t>
            </w:r>
          </w:p>
        </w:tc>
        <w:tc>
          <w:tcPr>
            <w:tcW w:w="1276" w:type="dxa"/>
            <w:tcBorders>
              <w:top w:val="nil"/>
              <w:left w:val="nil"/>
              <w:bottom w:val="nil"/>
              <w:right w:val="single" w:sz="4" w:space="0" w:color="auto"/>
            </w:tcBorders>
            <w:noWrap/>
            <w:vAlign w:val="center"/>
            <w:hideMark/>
          </w:tcPr>
          <w:p w14:paraId="05F29D52" w14:textId="77777777" w:rsidR="00677577" w:rsidRPr="00BB4D6B" w:rsidRDefault="00677577" w:rsidP="00627C4E">
            <w:pPr>
              <w:spacing w:after="0" w:line="240" w:lineRule="auto"/>
              <w:jc w:val="right"/>
              <w:rPr>
                <w:sz w:val="20"/>
                <w:szCs w:val="20"/>
              </w:rPr>
            </w:pPr>
            <w:r w:rsidRPr="00BB4D6B">
              <w:rPr>
                <w:sz w:val="20"/>
                <w:szCs w:val="20"/>
              </w:rPr>
              <w:t>5.2</w:t>
            </w:r>
          </w:p>
        </w:tc>
      </w:tr>
      <w:tr w:rsidR="00677577" w:rsidRPr="00167CB8" w14:paraId="2D3D184F" w14:textId="77777777">
        <w:trPr>
          <w:trHeight w:val="341"/>
        </w:trPr>
        <w:tc>
          <w:tcPr>
            <w:tcW w:w="3496" w:type="dxa"/>
            <w:tcBorders>
              <w:top w:val="nil"/>
              <w:left w:val="single" w:sz="4" w:space="0" w:color="auto"/>
              <w:bottom w:val="nil"/>
              <w:right w:val="nil"/>
            </w:tcBorders>
            <w:vAlign w:val="center"/>
            <w:hideMark/>
          </w:tcPr>
          <w:p w14:paraId="12872E41" w14:textId="77777777" w:rsidR="00677577" w:rsidRPr="00BB4D6B" w:rsidRDefault="00677577">
            <w:pPr>
              <w:spacing w:after="0" w:line="240" w:lineRule="auto"/>
              <w:rPr>
                <w:sz w:val="20"/>
                <w:szCs w:val="20"/>
              </w:rPr>
            </w:pPr>
            <w:r w:rsidRPr="00BB4D6B">
              <w:rPr>
                <w:sz w:val="20"/>
                <w:szCs w:val="20"/>
              </w:rPr>
              <w:t xml:space="preserve">Change Nov 2012 </w:t>
            </w:r>
            <w:r w:rsidRPr="00BB4D6B">
              <w:rPr>
                <w:rFonts w:ascii="Symbol" w:eastAsia="Symbol" w:hAnsi="Symbol" w:cs="Symbol"/>
                <w:sz w:val="20"/>
                <w:szCs w:val="20"/>
              </w:rPr>
              <w:sym w:font="Symbol" w:char="F02D"/>
            </w:r>
            <w:r w:rsidRPr="00BB4D6B">
              <w:rPr>
                <w:sz w:val="20"/>
                <w:szCs w:val="20"/>
              </w:rPr>
              <w:t xml:space="preserve"> Nov 2022</w:t>
            </w:r>
          </w:p>
        </w:tc>
        <w:tc>
          <w:tcPr>
            <w:tcW w:w="1380" w:type="dxa"/>
            <w:noWrap/>
            <w:vAlign w:val="center"/>
            <w:hideMark/>
          </w:tcPr>
          <w:p w14:paraId="67061F85" w14:textId="77777777" w:rsidR="00677577" w:rsidRPr="00BB4D6B" w:rsidRDefault="00677577" w:rsidP="00627C4E">
            <w:pPr>
              <w:spacing w:after="0" w:line="240" w:lineRule="auto"/>
              <w:jc w:val="right"/>
              <w:rPr>
                <w:sz w:val="20"/>
                <w:szCs w:val="20"/>
              </w:rPr>
            </w:pPr>
            <w:r w:rsidRPr="00BB4D6B">
              <w:rPr>
                <w:sz w:val="20"/>
                <w:szCs w:val="20"/>
              </w:rPr>
              <w:t>12.9%</w:t>
            </w:r>
          </w:p>
        </w:tc>
        <w:tc>
          <w:tcPr>
            <w:tcW w:w="1382" w:type="dxa"/>
            <w:noWrap/>
            <w:vAlign w:val="center"/>
            <w:hideMark/>
          </w:tcPr>
          <w:p w14:paraId="70F41C16" w14:textId="77777777" w:rsidR="00677577" w:rsidRPr="00BB4D6B" w:rsidRDefault="00677577" w:rsidP="00627C4E">
            <w:pPr>
              <w:spacing w:after="0" w:line="240" w:lineRule="auto"/>
              <w:jc w:val="right"/>
              <w:rPr>
                <w:sz w:val="20"/>
                <w:szCs w:val="20"/>
              </w:rPr>
            </w:pPr>
            <w:r w:rsidRPr="00BB4D6B">
              <w:rPr>
                <w:sz w:val="20"/>
                <w:szCs w:val="20"/>
              </w:rPr>
              <w:t>35.9%</w:t>
            </w:r>
          </w:p>
        </w:tc>
        <w:tc>
          <w:tcPr>
            <w:tcW w:w="1382" w:type="dxa"/>
            <w:noWrap/>
            <w:vAlign w:val="center"/>
            <w:hideMark/>
          </w:tcPr>
          <w:p w14:paraId="5FE671F9" w14:textId="77777777" w:rsidR="00677577" w:rsidRPr="00BB4D6B" w:rsidRDefault="00677577" w:rsidP="00627C4E">
            <w:pPr>
              <w:spacing w:after="0" w:line="240" w:lineRule="auto"/>
              <w:jc w:val="right"/>
              <w:rPr>
                <w:sz w:val="20"/>
                <w:szCs w:val="20"/>
              </w:rPr>
            </w:pPr>
            <w:r w:rsidRPr="00BB4D6B">
              <w:rPr>
                <w:sz w:val="20"/>
                <w:szCs w:val="20"/>
              </w:rPr>
              <w:t>16.6%</w:t>
            </w:r>
          </w:p>
        </w:tc>
        <w:tc>
          <w:tcPr>
            <w:tcW w:w="1382" w:type="dxa"/>
            <w:noWrap/>
            <w:vAlign w:val="center"/>
            <w:hideMark/>
          </w:tcPr>
          <w:p w14:paraId="26AF5292" w14:textId="77777777" w:rsidR="00677577" w:rsidRPr="00BB4D6B" w:rsidRDefault="00677577" w:rsidP="00627C4E">
            <w:pPr>
              <w:spacing w:after="0" w:line="240" w:lineRule="auto"/>
              <w:jc w:val="right"/>
              <w:rPr>
                <w:sz w:val="20"/>
                <w:szCs w:val="20"/>
              </w:rPr>
            </w:pPr>
            <w:r w:rsidRPr="00BB4D6B">
              <w:rPr>
                <w:sz w:val="20"/>
                <w:szCs w:val="20"/>
              </w:rPr>
              <w:t>0.62</w:t>
            </w:r>
          </w:p>
        </w:tc>
        <w:tc>
          <w:tcPr>
            <w:tcW w:w="1382" w:type="dxa"/>
            <w:noWrap/>
            <w:vAlign w:val="center"/>
            <w:hideMark/>
          </w:tcPr>
          <w:p w14:paraId="2EFF8135" w14:textId="77777777" w:rsidR="00677577" w:rsidRPr="00BB4D6B" w:rsidRDefault="00677577" w:rsidP="00627C4E">
            <w:pPr>
              <w:spacing w:after="0" w:line="240" w:lineRule="auto"/>
              <w:jc w:val="right"/>
              <w:rPr>
                <w:sz w:val="20"/>
                <w:szCs w:val="20"/>
              </w:rPr>
            </w:pPr>
            <w:r w:rsidRPr="00BB4D6B">
              <w:rPr>
                <w:sz w:val="20"/>
                <w:szCs w:val="20"/>
              </w:rPr>
              <w:t>14.4%</w:t>
            </w:r>
          </w:p>
        </w:tc>
        <w:tc>
          <w:tcPr>
            <w:tcW w:w="931" w:type="dxa"/>
            <w:noWrap/>
            <w:vAlign w:val="center"/>
            <w:hideMark/>
          </w:tcPr>
          <w:p w14:paraId="1B0CA3C0" w14:textId="77777777" w:rsidR="00677577" w:rsidRPr="00BB4D6B" w:rsidRDefault="00677577" w:rsidP="00627C4E">
            <w:pPr>
              <w:spacing w:after="0" w:line="240" w:lineRule="auto"/>
              <w:jc w:val="right"/>
              <w:rPr>
                <w:sz w:val="20"/>
                <w:szCs w:val="20"/>
              </w:rPr>
            </w:pPr>
            <w:r w:rsidRPr="00BB4D6B">
              <w:rPr>
                <w:sz w:val="20"/>
                <w:szCs w:val="20"/>
              </w:rPr>
              <w:t>-0.92</w:t>
            </w:r>
          </w:p>
        </w:tc>
        <w:tc>
          <w:tcPr>
            <w:tcW w:w="1134" w:type="dxa"/>
            <w:noWrap/>
            <w:vAlign w:val="center"/>
            <w:hideMark/>
          </w:tcPr>
          <w:p w14:paraId="4EF2B9E4" w14:textId="77777777" w:rsidR="00677577" w:rsidRPr="00BB4D6B" w:rsidRDefault="00677577" w:rsidP="00627C4E">
            <w:pPr>
              <w:spacing w:after="0" w:line="240" w:lineRule="auto"/>
              <w:jc w:val="right"/>
              <w:rPr>
                <w:sz w:val="20"/>
                <w:szCs w:val="20"/>
              </w:rPr>
            </w:pPr>
            <w:r w:rsidRPr="00BB4D6B">
              <w:rPr>
                <w:sz w:val="20"/>
                <w:szCs w:val="20"/>
              </w:rPr>
              <w:t>-1.71</w:t>
            </w:r>
          </w:p>
        </w:tc>
        <w:tc>
          <w:tcPr>
            <w:tcW w:w="1276" w:type="dxa"/>
            <w:tcBorders>
              <w:top w:val="nil"/>
              <w:left w:val="nil"/>
              <w:bottom w:val="nil"/>
              <w:right w:val="single" w:sz="4" w:space="0" w:color="auto"/>
            </w:tcBorders>
            <w:noWrap/>
            <w:vAlign w:val="center"/>
            <w:hideMark/>
          </w:tcPr>
          <w:p w14:paraId="50D2420F" w14:textId="77777777" w:rsidR="00677577" w:rsidRPr="00BB4D6B" w:rsidRDefault="00677577" w:rsidP="00627C4E">
            <w:pPr>
              <w:spacing w:after="0" w:line="240" w:lineRule="auto"/>
              <w:jc w:val="right"/>
              <w:rPr>
                <w:sz w:val="20"/>
                <w:szCs w:val="20"/>
              </w:rPr>
            </w:pPr>
            <w:r w:rsidRPr="00BB4D6B">
              <w:rPr>
                <w:sz w:val="20"/>
                <w:szCs w:val="20"/>
              </w:rPr>
              <w:t>-0.80</w:t>
            </w:r>
          </w:p>
        </w:tc>
      </w:tr>
      <w:tr w:rsidR="00677577" w:rsidRPr="00167CB8" w14:paraId="005FBDAE" w14:textId="77777777">
        <w:trPr>
          <w:trHeight w:val="341"/>
        </w:trPr>
        <w:tc>
          <w:tcPr>
            <w:tcW w:w="3496" w:type="dxa"/>
            <w:tcBorders>
              <w:top w:val="nil"/>
              <w:left w:val="single" w:sz="4" w:space="0" w:color="auto"/>
              <w:bottom w:val="nil"/>
              <w:right w:val="nil"/>
            </w:tcBorders>
            <w:vAlign w:val="center"/>
            <w:hideMark/>
          </w:tcPr>
          <w:p w14:paraId="1BDA66E4" w14:textId="77777777" w:rsidR="00677577" w:rsidRPr="00BB4D6B" w:rsidRDefault="00677577">
            <w:pPr>
              <w:spacing w:after="0" w:line="240" w:lineRule="auto"/>
              <w:rPr>
                <w:sz w:val="20"/>
                <w:szCs w:val="20"/>
              </w:rPr>
            </w:pPr>
            <w:r w:rsidRPr="00BB4D6B">
              <w:rPr>
                <w:sz w:val="20"/>
                <w:szCs w:val="20"/>
              </w:rPr>
              <w:t xml:space="preserve">Change Nov 2022 </w:t>
            </w:r>
            <w:r w:rsidRPr="00BB4D6B">
              <w:rPr>
                <w:rFonts w:ascii="Symbol" w:eastAsia="Symbol" w:hAnsi="Symbol" w:cs="Symbol"/>
                <w:sz w:val="20"/>
                <w:szCs w:val="20"/>
              </w:rPr>
              <w:sym w:font="Symbol" w:char="F02D"/>
            </w:r>
            <w:r w:rsidRPr="00BB4D6B">
              <w:rPr>
                <w:sz w:val="20"/>
                <w:szCs w:val="20"/>
              </w:rPr>
              <w:t xml:space="preserve"> Nov 2024</w:t>
            </w:r>
          </w:p>
        </w:tc>
        <w:tc>
          <w:tcPr>
            <w:tcW w:w="1380" w:type="dxa"/>
            <w:noWrap/>
            <w:vAlign w:val="center"/>
            <w:hideMark/>
          </w:tcPr>
          <w:p w14:paraId="24AA0AA7" w14:textId="77777777" w:rsidR="00677577" w:rsidRPr="00BB4D6B" w:rsidRDefault="00677577" w:rsidP="004B7C39">
            <w:pPr>
              <w:spacing w:after="0" w:line="240" w:lineRule="auto"/>
              <w:jc w:val="right"/>
              <w:rPr>
                <w:sz w:val="20"/>
                <w:szCs w:val="20"/>
              </w:rPr>
            </w:pPr>
            <w:r w:rsidRPr="00BB4D6B">
              <w:rPr>
                <w:sz w:val="20"/>
                <w:szCs w:val="20"/>
              </w:rPr>
              <w:t>4.3%</w:t>
            </w:r>
          </w:p>
        </w:tc>
        <w:tc>
          <w:tcPr>
            <w:tcW w:w="1382" w:type="dxa"/>
            <w:noWrap/>
            <w:vAlign w:val="center"/>
            <w:hideMark/>
          </w:tcPr>
          <w:p w14:paraId="2A6769A2" w14:textId="77777777" w:rsidR="00677577" w:rsidRPr="00BB4D6B" w:rsidRDefault="00677577" w:rsidP="004B7C39">
            <w:pPr>
              <w:spacing w:after="0" w:line="240" w:lineRule="auto"/>
              <w:jc w:val="right"/>
              <w:rPr>
                <w:sz w:val="20"/>
                <w:szCs w:val="20"/>
              </w:rPr>
            </w:pPr>
            <w:r w:rsidRPr="00BB4D6B">
              <w:rPr>
                <w:sz w:val="20"/>
                <w:szCs w:val="20"/>
              </w:rPr>
              <w:t>10.4%</w:t>
            </w:r>
          </w:p>
        </w:tc>
        <w:tc>
          <w:tcPr>
            <w:tcW w:w="1382" w:type="dxa"/>
            <w:noWrap/>
            <w:vAlign w:val="center"/>
            <w:hideMark/>
          </w:tcPr>
          <w:p w14:paraId="5C4C31D5" w14:textId="77777777" w:rsidR="00677577" w:rsidRPr="00BB4D6B" w:rsidRDefault="00677577" w:rsidP="004B7C39">
            <w:pPr>
              <w:spacing w:after="0" w:line="240" w:lineRule="auto"/>
              <w:jc w:val="right"/>
              <w:rPr>
                <w:sz w:val="20"/>
                <w:szCs w:val="20"/>
              </w:rPr>
            </w:pPr>
            <w:r w:rsidRPr="00BB4D6B">
              <w:rPr>
                <w:sz w:val="20"/>
                <w:szCs w:val="20"/>
              </w:rPr>
              <w:t>5.4%</w:t>
            </w:r>
          </w:p>
        </w:tc>
        <w:tc>
          <w:tcPr>
            <w:tcW w:w="1382" w:type="dxa"/>
            <w:noWrap/>
            <w:vAlign w:val="center"/>
            <w:hideMark/>
          </w:tcPr>
          <w:p w14:paraId="7220AB3E" w14:textId="77777777" w:rsidR="00677577" w:rsidRPr="00BB4D6B" w:rsidRDefault="00677577" w:rsidP="004B7C39">
            <w:pPr>
              <w:spacing w:after="0" w:line="240" w:lineRule="auto"/>
              <w:jc w:val="right"/>
              <w:rPr>
                <w:sz w:val="20"/>
                <w:szCs w:val="20"/>
              </w:rPr>
            </w:pPr>
            <w:r w:rsidRPr="00BB4D6B">
              <w:rPr>
                <w:sz w:val="20"/>
                <w:szCs w:val="20"/>
              </w:rPr>
              <w:t>0.0</w:t>
            </w:r>
          </w:p>
        </w:tc>
        <w:tc>
          <w:tcPr>
            <w:tcW w:w="1382" w:type="dxa"/>
            <w:noWrap/>
            <w:vAlign w:val="center"/>
            <w:hideMark/>
          </w:tcPr>
          <w:p w14:paraId="6A5654D2" w14:textId="77777777" w:rsidR="00677577" w:rsidRPr="00BB4D6B" w:rsidRDefault="00677577" w:rsidP="004B7C39">
            <w:pPr>
              <w:spacing w:after="0" w:line="240" w:lineRule="auto"/>
              <w:jc w:val="right"/>
              <w:rPr>
                <w:sz w:val="20"/>
                <w:szCs w:val="20"/>
              </w:rPr>
            </w:pPr>
            <w:r w:rsidRPr="00BB4D6B">
              <w:rPr>
                <w:sz w:val="20"/>
                <w:szCs w:val="20"/>
              </w:rPr>
              <w:t>6.1%</w:t>
            </w:r>
          </w:p>
        </w:tc>
        <w:tc>
          <w:tcPr>
            <w:tcW w:w="931" w:type="dxa"/>
            <w:noWrap/>
            <w:vAlign w:val="center"/>
            <w:hideMark/>
          </w:tcPr>
          <w:p w14:paraId="0D00DA54" w14:textId="77777777" w:rsidR="00677577" w:rsidRPr="00BB4D6B" w:rsidRDefault="00677577" w:rsidP="004B7C39">
            <w:pPr>
              <w:spacing w:after="0" w:line="240" w:lineRule="auto"/>
              <w:jc w:val="right"/>
              <w:rPr>
                <w:sz w:val="20"/>
                <w:szCs w:val="20"/>
              </w:rPr>
            </w:pPr>
            <w:r w:rsidRPr="00BB4D6B">
              <w:rPr>
                <w:sz w:val="20"/>
                <w:szCs w:val="20"/>
              </w:rPr>
              <w:t>0.62</w:t>
            </w:r>
          </w:p>
        </w:tc>
        <w:tc>
          <w:tcPr>
            <w:tcW w:w="1134" w:type="dxa"/>
            <w:noWrap/>
            <w:vAlign w:val="center"/>
            <w:hideMark/>
          </w:tcPr>
          <w:p w14:paraId="74C47A6A" w14:textId="77777777" w:rsidR="00677577" w:rsidRPr="00BB4D6B" w:rsidRDefault="00677577" w:rsidP="004B7C39">
            <w:pPr>
              <w:spacing w:after="0" w:line="240" w:lineRule="auto"/>
              <w:jc w:val="right"/>
              <w:rPr>
                <w:sz w:val="20"/>
                <w:szCs w:val="20"/>
              </w:rPr>
            </w:pPr>
            <w:r w:rsidRPr="00BB4D6B">
              <w:rPr>
                <w:sz w:val="20"/>
                <w:szCs w:val="20"/>
              </w:rPr>
              <w:t>0.55</w:t>
            </w:r>
          </w:p>
        </w:tc>
        <w:tc>
          <w:tcPr>
            <w:tcW w:w="1276" w:type="dxa"/>
            <w:tcBorders>
              <w:top w:val="nil"/>
              <w:left w:val="nil"/>
              <w:bottom w:val="nil"/>
              <w:right w:val="single" w:sz="4" w:space="0" w:color="auto"/>
            </w:tcBorders>
            <w:noWrap/>
            <w:vAlign w:val="center"/>
            <w:hideMark/>
          </w:tcPr>
          <w:p w14:paraId="309933AA" w14:textId="77777777" w:rsidR="00677577" w:rsidRPr="00BB4D6B" w:rsidRDefault="00677577" w:rsidP="004B7C39">
            <w:pPr>
              <w:spacing w:after="0" w:line="240" w:lineRule="auto"/>
              <w:jc w:val="right"/>
              <w:rPr>
                <w:sz w:val="20"/>
                <w:szCs w:val="20"/>
              </w:rPr>
            </w:pPr>
            <w:r w:rsidRPr="00BB4D6B">
              <w:rPr>
                <w:sz w:val="20"/>
                <w:szCs w:val="20"/>
              </w:rPr>
              <w:t>0.40</w:t>
            </w:r>
          </w:p>
        </w:tc>
      </w:tr>
      <w:tr w:rsidR="00677577" w:rsidRPr="00167CB8" w14:paraId="02ACE2EA" w14:textId="77777777">
        <w:trPr>
          <w:trHeight w:val="341"/>
        </w:trPr>
        <w:tc>
          <w:tcPr>
            <w:tcW w:w="3496" w:type="dxa"/>
            <w:tcBorders>
              <w:top w:val="single" w:sz="4" w:space="0" w:color="auto"/>
              <w:left w:val="single" w:sz="4" w:space="0" w:color="auto"/>
              <w:bottom w:val="nil"/>
              <w:right w:val="nil"/>
            </w:tcBorders>
            <w:noWrap/>
            <w:vAlign w:val="center"/>
            <w:hideMark/>
          </w:tcPr>
          <w:p w14:paraId="73FC632C" w14:textId="77777777" w:rsidR="00677577" w:rsidRPr="00BB4D6B" w:rsidRDefault="00677577">
            <w:pPr>
              <w:spacing w:after="0" w:line="240" w:lineRule="auto"/>
              <w:rPr>
                <w:b/>
                <w:bCs/>
                <w:sz w:val="20"/>
                <w:szCs w:val="20"/>
              </w:rPr>
            </w:pPr>
            <w:r w:rsidRPr="00BB4D6B">
              <w:rPr>
                <w:b/>
                <w:bCs/>
                <w:sz w:val="20"/>
                <w:szCs w:val="20"/>
              </w:rPr>
              <w:t>Women</w:t>
            </w:r>
          </w:p>
        </w:tc>
        <w:tc>
          <w:tcPr>
            <w:tcW w:w="1380" w:type="dxa"/>
            <w:tcBorders>
              <w:top w:val="single" w:sz="4" w:space="0" w:color="auto"/>
              <w:left w:val="nil"/>
              <w:bottom w:val="nil"/>
              <w:right w:val="nil"/>
            </w:tcBorders>
            <w:vAlign w:val="center"/>
            <w:hideMark/>
          </w:tcPr>
          <w:p w14:paraId="34757A36" w14:textId="77777777" w:rsidR="00677577" w:rsidRPr="00BB4D6B" w:rsidRDefault="00677577" w:rsidP="004B7C39">
            <w:pPr>
              <w:spacing w:after="0" w:line="240" w:lineRule="auto"/>
              <w:jc w:val="right"/>
              <w:rPr>
                <w:b/>
                <w:bCs/>
                <w:sz w:val="20"/>
                <w:szCs w:val="20"/>
              </w:rPr>
            </w:pPr>
          </w:p>
        </w:tc>
        <w:tc>
          <w:tcPr>
            <w:tcW w:w="1382" w:type="dxa"/>
            <w:tcBorders>
              <w:top w:val="single" w:sz="4" w:space="0" w:color="auto"/>
              <w:left w:val="nil"/>
              <w:bottom w:val="nil"/>
              <w:right w:val="nil"/>
            </w:tcBorders>
            <w:vAlign w:val="center"/>
            <w:hideMark/>
          </w:tcPr>
          <w:p w14:paraId="19DE28C9" w14:textId="77777777" w:rsidR="00677577" w:rsidRPr="00BB4D6B" w:rsidRDefault="00677577" w:rsidP="004B7C39">
            <w:pPr>
              <w:spacing w:after="0" w:line="240" w:lineRule="auto"/>
              <w:jc w:val="right"/>
              <w:rPr>
                <w:sz w:val="20"/>
                <w:szCs w:val="20"/>
              </w:rPr>
            </w:pPr>
          </w:p>
        </w:tc>
        <w:tc>
          <w:tcPr>
            <w:tcW w:w="1382" w:type="dxa"/>
            <w:tcBorders>
              <w:top w:val="single" w:sz="4" w:space="0" w:color="auto"/>
              <w:left w:val="nil"/>
              <w:bottom w:val="nil"/>
              <w:right w:val="nil"/>
            </w:tcBorders>
            <w:vAlign w:val="center"/>
            <w:hideMark/>
          </w:tcPr>
          <w:p w14:paraId="7ACF5F36" w14:textId="77777777" w:rsidR="00677577" w:rsidRPr="00BB4D6B" w:rsidRDefault="00677577" w:rsidP="004B7C39">
            <w:pPr>
              <w:spacing w:after="0" w:line="240" w:lineRule="auto"/>
              <w:jc w:val="right"/>
              <w:rPr>
                <w:sz w:val="20"/>
                <w:szCs w:val="20"/>
              </w:rPr>
            </w:pPr>
          </w:p>
        </w:tc>
        <w:tc>
          <w:tcPr>
            <w:tcW w:w="1382" w:type="dxa"/>
            <w:tcBorders>
              <w:top w:val="single" w:sz="4" w:space="0" w:color="auto"/>
              <w:left w:val="nil"/>
              <w:bottom w:val="nil"/>
              <w:right w:val="nil"/>
            </w:tcBorders>
            <w:vAlign w:val="center"/>
            <w:hideMark/>
          </w:tcPr>
          <w:p w14:paraId="0084A3AA" w14:textId="77777777" w:rsidR="00677577" w:rsidRPr="00BB4D6B" w:rsidRDefault="00677577" w:rsidP="004B7C39">
            <w:pPr>
              <w:spacing w:after="0" w:line="240" w:lineRule="auto"/>
              <w:jc w:val="right"/>
              <w:rPr>
                <w:sz w:val="20"/>
                <w:szCs w:val="20"/>
              </w:rPr>
            </w:pPr>
          </w:p>
        </w:tc>
        <w:tc>
          <w:tcPr>
            <w:tcW w:w="1382" w:type="dxa"/>
            <w:tcBorders>
              <w:top w:val="single" w:sz="4" w:space="0" w:color="auto"/>
              <w:left w:val="nil"/>
              <w:bottom w:val="nil"/>
              <w:right w:val="nil"/>
            </w:tcBorders>
            <w:vAlign w:val="center"/>
            <w:hideMark/>
          </w:tcPr>
          <w:p w14:paraId="7B876CC6" w14:textId="77777777" w:rsidR="00677577" w:rsidRPr="00BB4D6B" w:rsidRDefault="00677577" w:rsidP="004B7C39">
            <w:pPr>
              <w:spacing w:after="0" w:line="240" w:lineRule="auto"/>
              <w:jc w:val="right"/>
              <w:rPr>
                <w:sz w:val="20"/>
                <w:szCs w:val="20"/>
              </w:rPr>
            </w:pPr>
          </w:p>
        </w:tc>
        <w:tc>
          <w:tcPr>
            <w:tcW w:w="931" w:type="dxa"/>
            <w:tcBorders>
              <w:top w:val="single" w:sz="4" w:space="0" w:color="auto"/>
              <w:left w:val="nil"/>
              <w:bottom w:val="nil"/>
              <w:right w:val="nil"/>
            </w:tcBorders>
            <w:vAlign w:val="center"/>
            <w:hideMark/>
          </w:tcPr>
          <w:p w14:paraId="1564D4BB" w14:textId="77777777" w:rsidR="00677577" w:rsidRPr="00BB4D6B" w:rsidRDefault="00677577" w:rsidP="004B7C39">
            <w:pPr>
              <w:spacing w:after="0" w:line="240" w:lineRule="auto"/>
              <w:jc w:val="right"/>
              <w:rPr>
                <w:sz w:val="20"/>
                <w:szCs w:val="20"/>
              </w:rPr>
            </w:pPr>
          </w:p>
        </w:tc>
        <w:tc>
          <w:tcPr>
            <w:tcW w:w="1134" w:type="dxa"/>
            <w:tcBorders>
              <w:top w:val="single" w:sz="4" w:space="0" w:color="auto"/>
              <w:left w:val="nil"/>
              <w:bottom w:val="nil"/>
              <w:right w:val="nil"/>
            </w:tcBorders>
            <w:vAlign w:val="center"/>
            <w:hideMark/>
          </w:tcPr>
          <w:p w14:paraId="5841BF0E" w14:textId="77777777" w:rsidR="00677577" w:rsidRPr="00BB4D6B" w:rsidRDefault="00677577" w:rsidP="004B7C39">
            <w:pPr>
              <w:spacing w:after="0" w:line="240" w:lineRule="auto"/>
              <w:jc w:val="right"/>
              <w:rPr>
                <w:sz w:val="20"/>
                <w:szCs w:val="20"/>
              </w:rPr>
            </w:pPr>
          </w:p>
        </w:tc>
        <w:tc>
          <w:tcPr>
            <w:tcW w:w="1276" w:type="dxa"/>
            <w:tcBorders>
              <w:top w:val="single" w:sz="4" w:space="0" w:color="auto"/>
              <w:left w:val="nil"/>
              <w:bottom w:val="nil"/>
              <w:right w:val="single" w:sz="4" w:space="0" w:color="auto"/>
            </w:tcBorders>
            <w:vAlign w:val="center"/>
            <w:hideMark/>
          </w:tcPr>
          <w:p w14:paraId="6D4B73F8" w14:textId="77777777" w:rsidR="00677577" w:rsidRPr="00BB4D6B" w:rsidRDefault="00677577" w:rsidP="004B7C39">
            <w:pPr>
              <w:spacing w:after="0" w:line="240" w:lineRule="auto"/>
              <w:jc w:val="right"/>
              <w:rPr>
                <w:sz w:val="20"/>
                <w:szCs w:val="20"/>
              </w:rPr>
            </w:pPr>
          </w:p>
        </w:tc>
      </w:tr>
      <w:tr w:rsidR="00677577" w:rsidRPr="00167CB8" w14:paraId="78E2D1D8" w14:textId="77777777">
        <w:trPr>
          <w:trHeight w:val="341"/>
        </w:trPr>
        <w:tc>
          <w:tcPr>
            <w:tcW w:w="3496" w:type="dxa"/>
            <w:tcBorders>
              <w:top w:val="nil"/>
              <w:left w:val="single" w:sz="4" w:space="0" w:color="auto"/>
              <w:bottom w:val="nil"/>
              <w:right w:val="nil"/>
            </w:tcBorders>
            <w:noWrap/>
            <w:vAlign w:val="center"/>
            <w:hideMark/>
          </w:tcPr>
          <w:p w14:paraId="3D89DB30" w14:textId="77777777" w:rsidR="00677577" w:rsidRPr="00BB4D6B" w:rsidRDefault="00677577">
            <w:pPr>
              <w:spacing w:after="0" w:line="240" w:lineRule="auto"/>
              <w:rPr>
                <w:sz w:val="20"/>
                <w:szCs w:val="20"/>
              </w:rPr>
            </w:pPr>
            <w:r w:rsidRPr="00BB4D6B">
              <w:rPr>
                <w:sz w:val="20"/>
                <w:szCs w:val="20"/>
              </w:rPr>
              <w:t>Nov-12</w:t>
            </w:r>
          </w:p>
        </w:tc>
        <w:tc>
          <w:tcPr>
            <w:tcW w:w="1380" w:type="dxa"/>
            <w:noWrap/>
            <w:vAlign w:val="center"/>
            <w:hideMark/>
          </w:tcPr>
          <w:p w14:paraId="6CAA9269" w14:textId="77777777" w:rsidR="00677577" w:rsidRPr="00BB4D6B" w:rsidRDefault="00677577" w:rsidP="004B7C39">
            <w:pPr>
              <w:spacing w:after="0" w:line="240" w:lineRule="auto"/>
              <w:jc w:val="right"/>
              <w:rPr>
                <w:sz w:val="20"/>
                <w:szCs w:val="20"/>
              </w:rPr>
            </w:pPr>
            <w:r w:rsidRPr="00BB4D6B">
              <w:rPr>
                <w:sz w:val="20"/>
                <w:szCs w:val="20"/>
              </w:rPr>
              <w:t>2,833.3</w:t>
            </w:r>
          </w:p>
        </w:tc>
        <w:tc>
          <w:tcPr>
            <w:tcW w:w="1382" w:type="dxa"/>
            <w:noWrap/>
            <w:vAlign w:val="center"/>
            <w:hideMark/>
          </w:tcPr>
          <w:p w14:paraId="66BFAC0C" w14:textId="77777777" w:rsidR="00677577" w:rsidRPr="00BB4D6B" w:rsidRDefault="00677577" w:rsidP="004B7C39">
            <w:pPr>
              <w:spacing w:after="0" w:line="240" w:lineRule="auto"/>
              <w:jc w:val="right"/>
              <w:rPr>
                <w:sz w:val="20"/>
                <w:szCs w:val="20"/>
              </w:rPr>
            </w:pPr>
            <w:r w:rsidRPr="00BB4D6B">
              <w:rPr>
                <w:sz w:val="20"/>
                <w:szCs w:val="20"/>
              </w:rPr>
              <w:t>2,378.5</w:t>
            </w:r>
          </w:p>
        </w:tc>
        <w:tc>
          <w:tcPr>
            <w:tcW w:w="1382" w:type="dxa"/>
            <w:noWrap/>
            <w:vAlign w:val="center"/>
            <w:hideMark/>
          </w:tcPr>
          <w:p w14:paraId="62382365" w14:textId="77777777" w:rsidR="00677577" w:rsidRPr="00BB4D6B" w:rsidRDefault="00677577" w:rsidP="004B7C39">
            <w:pPr>
              <w:spacing w:after="0" w:line="240" w:lineRule="auto"/>
              <w:jc w:val="right"/>
              <w:rPr>
                <w:sz w:val="20"/>
                <w:szCs w:val="20"/>
              </w:rPr>
            </w:pPr>
            <w:r w:rsidRPr="00BB4D6B">
              <w:rPr>
                <w:sz w:val="20"/>
                <w:szCs w:val="20"/>
              </w:rPr>
              <w:t>5,211.8</w:t>
            </w:r>
          </w:p>
        </w:tc>
        <w:tc>
          <w:tcPr>
            <w:tcW w:w="1382" w:type="dxa"/>
            <w:noWrap/>
            <w:vAlign w:val="center"/>
            <w:hideMark/>
          </w:tcPr>
          <w:p w14:paraId="1EB2CE22" w14:textId="77777777" w:rsidR="00677577" w:rsidRPr="00BB4D6B" w:rsidRDefault="00677577" w:rsidP="004B7C39">
            <w:pPr>
              <w:spacing w:after="0" w:line="240" w:lineRule="auto"/>
              <w:jc w:val="right"/>
              <w:rPr>
                <w:sz w:val="20"/>
                <w:szCs w:val="20"/>
              </w:rPr>
            </w:pPr>
            <w:r w:rsidRPr="00BB4D6B">
              <w:rPr>
                <w:sz w:val="20"/>
                <w:szCs w:val="20"/>
              </w:rPr>
              <w:t>55.5</w:t>
            </w:r>
          </w:p>
        </w:tc>
        <w:tc>
          <w:tcPr>
            <w:tcW w:w="1382" w:type="dxa"/>
            <w:noWrap/>
            <w:vAlign w:val="center"/>
            <w:hideMark/>
          </w:tcPr>
          <w:p w14:paraId="4C9AAC2B" w14:textId="77777777" w:rsidR="00677577" w:rsidRPr="00BB4D6B" w:rsidRDefault="00677577" w:rsidP="004B7C39">
            <w:pPr>
              <w:spacing w:after="0" w:line="240" w:lineRule="auto"/>
              <w:jc w:val="right"/>
              <w:rPr>
                <w:sz w:val="20"/>
                <w:szCs w:val="20"/>
              </w:rPr>
            </w:pPr>
            <w:r w:rsidRPr="00BB4D6B">
              <w:rPr>
                <w:sz w:val="20"/>
                <w:szCs w:val="20"/>
              </w:rPr>
              <w:t>5,499.2</w:t>
            </w:r>
          </w:p>
        </w:tc>
        <w:tc>
          <w:tcPr>
            <w:tcW w:w="931" w:type="dxa"/>
            <w:noWrap/>
            <w:vAlign w:val="center"/>
            <w:hideMark/>
          </w:tcPr>
          <w:p w14:paraId="64CBC1D7" w14:textId="77777777" w:rsidR="00677577" w:rsidRPr="00BB4D6B" w:rsidRDefault="00677577" w:rsidP="004B7C39">
            <w:pPr>
              <w:spacing w:after="0" w:line="240" w:lineRule="auto"/>
              <w:jc w:val="right"/>
              <w:rPr>
                <w:sz w:val="20"/>
                <w:szCs w:val="20"/>
              </w:rPr>
            </w:pPr>
            <w:r w:rsidRPr="00BB4D6B">
              <w:rPr>
                <w:sz w:val="20"/>
                <w:szCs w:val="20"/>
              </w:rPr>
              <w:t>58.6</w:t>
            </w:r>
          </w:p>
        </w:tc>
        <w:tc>
          <w:tcPr>
            <w:tcW w:w="1134" w:type="dxa"/>
            <w:noWrap/>
            <w:vAlign w:val="center"/>
            <w:hideMark/>
          </w:tcPr>
          <w:p w14:paraId="77D8353C" w14:textId="77777777" w:rsidR="00677577" w:rsidRPr="00BB4D6B" w:rsidRDefault="00677577" w:rsidP="004B7C39">
            <w:pPr>
              <w:spacing w:after="0" w:line="240" w:lineRule="auto"/>
              <w:jc w:val="right"/>
              <w:rPr>
                <w:sz w:val="20"/>
                <w:szCs w:val="20"/>
              </w:rPr>
            </w:pPr>
            <w:r w:rsidRPr="00BB4D6B">
              <w:rPr>
                <w:sz w:val="20"/>
                <w:szCs w:val="20"/>
              </w:rPr>
              <w:t>5.2</w:t>
            </w:r>
          </w:p>
        </w:tc>
        <w:tc>
          <w:tcPr>
            <w:tcW w:w="1276" w:type="dxa"/>
            <w:tcBorders>
              <w:top w:val="nil"/>
              <w:left w:val="nil"/>
              <w:bottom w:val="nil"/>
              <w:right w:val="single" w:sz="4" w:space="0" w:color="auto"/>
            </w:tcBorders>
            <w:noWrap/>
            <w:vAlign w:val="center"/>
            <w:hideMark/>
          </w:tcPr>
          <w:p w14:paraId="3C7F40B9" w14:textId="77777777" w:rsidR="00677577" w:rsidRPr="00BB4D6B" w:rsidRDefault="00677577" w:rsidP="004B7C39">
            <w:pPr>
              <w:spacing w:after="0" w:line="240" w:lineRule="auto"/>
              <w:jc w:val="right"/>
              <w:rPr>
                <w:sz w:val="20"/>
                <w:szCs w:val="20"/>
              </w:rPr>
            </w:pPr>
            <w:r w:rsidRPr="00BB4D6B">
              <w:rPr>
                <w:sz w:val="20"/>
                <w:szCs w:val="20"/>
              </w:rPr>
              <w:t>9.6</w:t>
            </w:r>
          </w:p>
        </w:tc>
      </w:tr>
      <w:tr w:rsidR="00677577" w:rsidRPr="00167CB8" w14:paraId="3346B689" w14:textId="77777777">
        <w:trPr>
          <w:trHeight w:val="341"/>
        </w:trPr>
        <w:tc>
          <w:tcPr>
            <w:tcW w:w="3496" w:type="dxa"/>
            <w:tcBorders>
              <w:top w:val="nil"/>
              <w:left w:val="single" w:sz="4" w:space="0" w:color="auto"/>
              <w:bottom w:val="nil"/>
              <w:right w:val="nil"/>
            </w:tcBorders>
            <w:noWrap/>
            <w:vAlign w:val="center"/>
            <w:hideMark/>
          </w:tcPr>
          <w:p w14:paraId="3099471A" w14:textId="77777777" w:rsidR="00677577" w:rsidRPr="00BB4D6B" w:rsidRDefault="00677577">
            <w:pPr>
              <w:spacing w:after="0" w:line="240" w:lineRule="auto"/>
              <w:rPr>
                <w:sz w:val="20"/>
                <w:szCs w:val="20"/>
              </w:rPr>
            </w:pPr>
            <w:r w:rsidRPr="00BB4D6B">
              <w:rPr>
                <w:sz w:val="20"/>
                <w:szCs w:val="20"/>
              </w:rPr>
              <w:t>Nov-22</w:t>
            </w:r>
          </w:p>
        </w:tc>
        <w:tc>
          <w:tcPr>
            <w:tcW w:w="1380" w:type="dxa"/>
            <w:noWrap/>
            <w:vAlign w:val="center"/>
            <w:hideMark/>
          </w:tcPr>
          <w:p w14:paraId="03497F33" w14:textId="77777777" w:rsidR="00677577" w:rsidRPr="00BB4D6B" w:rsidRDefault="00677577" w:rsidP="004B7C39">
            <w:pPr>
              <w:spacing w:after="0" w:line="240" w:lineRule="auto"/>
              <w:jc w:val="right"/>
              <w:rPr>
                <w:sz w:val="20"/>
                <w:szCs w:val="20"/>
              </w:rPr>
            </w:pPr>
            <w:r w:rsidRPr="00BB4D6B">
              <w:rPr>
                <w:sz w:val="20"/>
                <w:szCs w:val="20"/>
              </w:rPr>
              <w:t>3,740.5</w:t>
            </w:r>
          </w:p>
        </w:tc>
        <w:tc>
          <w:tcPr>
            <w:tcW w:w="1382" w:type="dxa"/>
            <w:noWrap/>
            <w:vAlign w:val="center"/>
            <w:hideMark/>
          </w:tcPr>
          <w:p w14:paraId="35A17755" w14:textId="77777777" w:rsidR="00677577" w:rsidRPr="00BB4D6B" w:rsidRDefault="00677577" w:rsidP="004B7C39">
            <w:pPr>
              <w:spacing w:after="0" w:line="240" w:lineRule="auto"/>
              <w:jc w:val="right"/>
              <w:rPr>
                <w:sz w:val="20"/>
                <w:szCs w:val="20"/>
              </w:rPr>
            </w:pPr>
            <w:r w:rsidRPr="00BB4D6B">
              <w:rPr>
                <w:sz w:val="20"/>
                <w:szCs w:val="20"/>
              </w:rPr>
              <w:t>2,843.0</w:t>
            </w:r>
          </w:p>
        </w:tc>
        <w:tc>
          <w:tcPr>
            <w:tcW w:w="1382" w:type="dxa"/>
            <w:noWrap/>
            <w:vAlign w:val="center"/>
            <w:hideMark/>
          </w:tcPr>
          <w:p w14:paraId="0E6BCD61" w14:textId="77777777" w:rsidR="00677577" w:rsidRPr="00BB4D6B" w:rsidRDefault="00677577" w:rsidP="004B7C39">
            <w:pPr>
              <w:spacing w:after="0" w:line="240" w:lineRule="auto"/>
              <w:jc w:val="right"/>
              <w:rPr>
                <w:sz w:val="20"/>
                <w:szCs w:val="20"/>
              </w:rPr>
            </w:pPr>
            <w:r w:rsidRPr="00BB4D6B">
              <w:rPr>
                <w:sz w:val="20"/>
                <w:szCs w:val="20"/>
              </w:rPr>
              <w:t>6,583.5</w:t>
            </w:r>
          </w:p>
        </w:tc>
        <w:tc>
          <w:tcPr>
            <w:tcW w:w="1382" w:type="dxa"/>
            <w:noWrap/>
            <w:vAlign w:val="center"/>
            <w:hideMark/>
          </w:tcPr>
          <w:p w14:paraId="58B2B005" w14:textId="77777777" w:rsidR="00677577" w:rsidRPr="00BB4D6B" w:rsidRDefault="00677577" w:rsidP="004B7C39">
            <w:pPr>
              <w:spacing w:after="0" w:line="240" w:lineRule="auto"/>
              <w:jc w:val="right"/>
              <w:rPr>
                <w:sz w:val="20"/>
                <w:szCs w:val="20"/>
              </w:rPr>
            </w:pPr>
            <w:r w:rsidRPr="00BB4D6B">
              <w:rPr>
                <w:sz w:val="20"/>
                <w:szCs w:val="20"/>
              </w:rPr>
              <w:t>60.4</w:t>
            </w:r>
          </w:p>
        </w:tc>
        <w:tc>
          <w:tcPr>
            <w:tcW w:w="1382" w:type="dxa"/>
            <w:noWrap/>
            <w:vAlign w:val="center"/>
            <w:hideMark/>
          </w:tcPr>
          <w:p w14:paraId="5A1788FB" w14:textId="77777777" w:rsidR="00677577" w:rsidRPr="00BB4D6B" w:rsidRDefault="00677577" w:rsidP="004B7C39">
            <w:pPr>
              <w:spacing w:after="0" w:line="240" w:lineRule="auto"/>
              <w:jc w:val="right"/>
              <w:rPr>
                <w:sz w:val="20"/>
                <w:szCs w:val="20"/>
              </w:rPr>
            </w:pPr>
            <w:r w:rsidRPr="00BB4D6B">
              <w:rPr>
                <w:sz w:val="20"/>
                <w:szCs w:val="20"/>
              </w:rPr>
              <w:t>6,824.3</w:t>
            </w:r>
          </w:p>
        </w:tc>
        <w:tc>
          <w:tcPr>
            <w:tcW w:w="931" w:type="dxa"/>
            <w:noWrap/>
            <w:vAlign w:val="center"/>
            <w:hideMark/>
          </w:tcPr>
          <w:p w14:paraId="53EEE4DE" w14:textId="77777777" w:rsidR="00677577" w:rsidRPr="00BB4D6B" w:rsidRDefault="00677577" w:rsidP="004B7C39">
            <w:pPr>
              <w:spacing w:after="0" w:line="240" w:lineRule="auto"/>
              <w:jc w:val="right"/>
              <w:rPr>
                <w:sz w:val="20"/>
                <w:szCs w:val="20"/>
              </w:rPr>
            </w:pPr>
            <w:r w:rsidRPr="00BB4D6B">
              <w:rPr>
                <w:sz w:val="20"/>
                <w:szCs w:val="20"/>
              </w:rPr>
              <w:t>62.6</w:t>
            </w:r>
          </w:p>
        </w:tc>
        <w:tc>
          <w:tcPr>
            <w:tcW w:w="1134" w:type="dxa"/>
            <w:noWrap/>
            <w:vAlign w:val="center"/>
            <w:hideMark/>
          </w:tcPr>
          <w:p w14:paraId="0ECEF0C4" w14:textId="77777777" w:rsidR="00677577" w:rsidRPr="00BB4D6B" w:rsidRDefault="00677577" w:rsidP="004B7C39">
            <w:pPr>
              <w:spacing w:after="0" w:line="240" w:lineRule="auto"/>
              <w:jc w:val="right"/>
              <w:rPr>
                <w:sz w:val="20"/>
                <w:szCs w:val="20"/>
              </w:rPr>
            </w:pPr>
            <w:r w:rsidRPr="00BB4D6B">
              <w:rPr>
                <w:sz w:val="20"/>
                <w:szCs w:val="20"/>
              </w:rPr>
              <w:t>3.5</w:t>
            </w:r>
          </w:p>
        </w:tc>
        <w:tc>
          <w:tcPr>
            <w:tcW w:w="1276" w:type="dxa"/>
            <w:tcBorders>
              <w:top w:val="nil"/>
              <w:left w:val="nil"/>
              <w:bottom w:val="nil"/>
              <w:right w:val="single" w:sz="4" w:space="0" w:color="auto"/>
            </w:tcBorders>
            <w:noWrap/>
            <w:vAlign w:val="center"/>
            <w:hideMark/>
          </w:tcPr>
          <w:p w14:paraId="33F75A0F" w14:textId="77777777" w:rsidR="00677577" w:rsidRPr="00BB4D6B" w:rsidRDefault="00677577" w:rsidP="004B7C39">
            <w:pPr>
              <w:spacing w:after="0" w:line="240" w:lineRule="auto"/>
              <w:jc w:val="right"/>
              <w:rPr>
                <w:sz w:val="20"/>
                <w:szCs w:val="20"/>
              </w:rPr>
            </w:pPr>
            <w:r w:rsidRPr="00BB4D6B">
              <w:rPr>
                <w:sz w:val="20"/>
                <w:szCs w:val="20"/>
              </w:rPr>
              <w:t>7.6</w:t>
            </w:r>
          </w:p>
        </w:tc>
      </w:tr>
      <w:tr w:rsidR="00677577" w:rsidRPr="00167CB8" w14:paraId="47049B7D" w14:textId="77777777">
        <w:trPr>
          <w:trHeight w:val="341"/>
        </w:trPr>
        <w:tc>
          <w:tcPr>
            <w:tcW w:w="3496" w:type="dxa"/>
            <w:tcBorders>
              <w:top w:val="nil"/>
              <w:left w:val="single" w:sz="4" w:space="0" w:color="auto"/>
              <w:bottom w:val="nil"/>
              <w:right w:val="nil"/>
            </w:tcBorders>
            <w:noWrap/>
            <w:vAlign w:val="center"/>
            <w:hideMark/>
          </w:tcPr>
          <w:p w14:paraId="3AD56B61" w14:textId="77777777" w:rsidR="00677577" w:rsidRPr="00BB4D6B" w:rsidRDefault="00677577">
            <w:pPr>
              <w:spacing w:after="0" w:line="240" w:lineRule="auto"/>
              <w:rPr>
                <w:sz w:val="20"/>
                <w:szCs w:val="20"/>
              </w:rPr>
            </w:pPr>
            <w:r w:rsidRPr="00BB4D6B">
              <w:rPr>
                <w:sz w:val="20"/>
                <w:szCs w:val="20"/>
              </w:rPr>
              <w:t>Nov-24</w:t>
            </w:r>
          </w:p>
        </w:tc>
        <w:tc>
          <w:tcPr>
            <w:tcW w:w="1380" w:type="dxa"/>
            <w:noWrap/>
            <w:vAlign w:val="center"/>
            <w:hideMark/>
          </w:tcPr>
          <w:p w14:paraId="28853843" w14:textId="77777777" w:rsidR="00677577" w:rsidRPr="00BB4D6B" w:rsidRDefault="00677577" w:rsidP="004B7C39">
            <w:pPr>
              <w:spacing w:after="0" w:line="240" w:lineRule="auto"/>
              <w:jc w:val="right"/>
              <w:rPr>
                <w:sz w:val="20"/>
                <w:szCs w:val="20"/>
              </w:rPr>
            </w:pPr>
            <w:r w:rsidRPr="00BB4D6B">
              <w:rPr>
                <w:sz w:val="20"/>
                <w:szCs w:val="20"/>
              </w:rPr>
              <w:t>3,966.9</w:t>
            </w:r>
          </w:p>
        </w:tc>
        <w:tc>
          <w:tcPr>
            <w:tcW w:w="1382" w:type="dxa"/>
            <w:noWrap/>
            <w:vAlign w:val="center"/>
            <w:hideMark/>
          </w:tcPr>
          <w:p w14:paraId="19CC3BE2" w14:textId="77777777" w:rsidR="00677577" w:rsidRPr="00BB4D6B" w:rsidRDefault="00677577" w:rsidP="004B7C39">
            <w:pPr>
              <w:spacing w:after="0" w:line="240" w:lineRule="auto"/>
              <w:jc w:val="right"/>
              <w:rPr>
                <w:sz w:val="20"/>
                <w:szCs w:val="20"/>
              </w:rPr>
            </w:pPr>
            <w:r w:rsidRPr="00BB4D6B">
              <w:rPr>
                <w:sz w:val="20"/>
                <w:szCs w:val="20"/>
              </w:rPr>
              <w:t>2,980.8</w:t>
            </w:r>
          </w:p>
        </w:tc>
        <w:tc>
          <w:tcPr>
            <w:tcW w:w="1382" w:type="dxa"/>
            <w:noWrap/>
            <w:vAlign w:val="center"/>
            <w:hideMark/>
          </w:tcPr>
          <w:p w14:paraId="4B2202E6" w14:textId="77777777" w:rsidR="00677577" w:rsidRPr="00BB4D6B" w:rsidRDefault="00677577" w:rsidP="004B7C39">
            <w:pPr>
              <w:spacing w:after="0" w:line="240" w:lineRule="auto"/>
              <w:jc w:val="right"/>
              <w:rPr>
                <w:sz w:val="20"/>
                <w:szCs w:val="20"/>
              </w:rPr>
            </w:pPr>
            <w:r w:rsidRPr="00BB4D6B">
              <w:rPr>
                <w:sz w:val="20"/>
                <w:szCs w:val="20"/>
              </w:rPr>
              <w:t>6,947.7</w:t>
            </w:r>
          </w:p>
        </w:tc>
        <w:tc>
          <w:tcPr>
            <w:tcW w:w="1382" w:type="dxa"/>
            <w:noWrap/>
            <w:vAlign w:val="center"/>
            <w:hideMark/>
          </w:tcPr>
          <w:p w14:paraId="72D61B6D" w14:textId="77777777" w:rsidR="00677577" w:rsidRPr="00BB4D6B" w:rsidRDefault="00677577" w:rsidP="004B7C39">
            <w:pPr>
              <w:spacing w:after="0" w:line="240" w:lineRule="auto"/>
              <w:jc w:val="right"/>
              <w:rPr>
                <w:sz w:val="20"/>
                <w:szCs w:val="20"/>
              </w:rPr>
            </w:pPr>
            <w:r w:rsidRPr="00BB4D6B">
              <w:rPr>
                <w:sz w:val="20"/>
                <w:szCs w:val="20"/>
              </w:rPr>
              <w:t>60.6</w:t>
            </w:r>
          </w:p>
        </w:tc>
        <w:tc>
          <w:tcPr>
            <w:tcW w:w="1382" w:type="dxa"/>
            <w:noWrap/>
            <w:vAlign w:val="center"/>
            <w:hideMark/>
          </w:tcPr>
          <w:p w14:paraId="1AE717B1" w14:textId="77777777" w:rsidR="00677577" w:rsidRPr="00BB4D6B" w:rsidRDefault="00677577" w:rsidP="004B7C39">
            <w:pPr>
              <w:spacing w:after="0" w:line="240" w:lineRule="auto"/>
              <w:jc w:val="right"/>
              <w:rPr>
                <w:sz w:val="20"/>
                <w:szCs w:val="20"/>
              </w:rPr>
            </w:pPr>
            <w:r w:rsidRPr="00BB4D6B">
              <w:rPr>
                <w:sz w:val="20"/>
                <w:szCs w:val="20"/>
              </w:rPr>
              <w:t>7,221.4</w:t>
            </w:r>
          </w:p>
        </w:tc>
        <w:tc>
          <w:tcPr>
            <w:tcW w:w="931" w:type="dxa"/>
            <w:noWrap/>
            <w:vAlign w:val="center"/>
            <w:hideMark/>
          </w:tcPr>
          <w:p w14:paraId="2E8494C7" w14:textId="77777777" w:rsidR="00677577" w:rsidRPr="00BB4D6B" w:rsidRDefault="00677577" w:rsidP="004B7C39">
            <w:pPr>
              <w:spacing w:after="0" w:line="240" w:lineRule="auto"/>
              <w:jc w:val="right"/>
              <w:rPr>
                <w:sz w:val="20"/>
                <w:szCs w:val="20"/>
              </w:rPr>
            </w:pPr>
            <w:r w:rsidRPr="00BB4D6B">
              <w:rPr>
                <w:sz w:val="20"/>
                <w:szCs w:val="20"/>
              </w:rPr>
              <w:t>62.9</w:t>
            </w:r>
          </w:p>
        </w:tc>
        <w:tc>
          <w:tcPr>
            <w:tcW w:w="1134" w:type="dxa"/>
            <w:noWrap/>
            <w:vAlign w:val="center"/>
            <w:hideMark/>
          </w:tcPr>
          <w:p w14:paraId="2F4C67F7" w14:textId="77777777" w:rsidR="00677577" w:rsidRPr="00BB4D6B" w:rsidRDefault="00677577" w:rsidP="004B7C39">
            <w:pPr>
              <w:spacing w:after="0" w:line="240" w:lineRule="auto"/>
              <w:jc w:val="right"/>
              <w:rPr>
                <w:sz w:val="20"/>
                <w:szCs w:val="20"/>
              </w:rPr>
            </w:pPr>
            <w:r w:rsidRPr="00BB4D6B">
              <w:rPr>
                <w:sz w:val="20"/>
                <w:szCs w:val="20"/>
              </w:rPr>
              <w:t>3.8</w:t>
            </w:r>
          </w:p>
        </w:tc>
        <w:tc>
          <w:tcPr>
            <w:tcW w:w="1276" w:type="dxa"/>
            <w:tcBorders>
              <w:top w:val="nil"/>
              <w:left w:val="nil"/>
              <w:bottom w:val="nil"/>
              <w:right w:val="single" w:sz="4" w:space="0" w:color="auto"/>
            </w:tcBorders>
            <w:noWrap/>
            <w:vAlign w:val="center"/>
            <w:hideMark/>
          </w:tcPr>
          <w:p w14:paraId="213D481F" w14:textId="77777777" w:rsidR="00677577" w:rsidRPr="00BB4D6B" w:rsidRDefault="00677577" w:rsidP="004B7C39">
            <w:pPr>
              <w:spacing w:after="0" w:line="240" w:lineRule="auto"/>
              <w:jc w:val="right"/>
              <w:rPr>
                <w:sz w:val="20"/>
                <w:szCs w:val="20"/>
              </w:rPr>
            </w:pPr>
            <w:r w:rsidRPr="00BB4D6B">
              <w:rPr>
                <w:sz w:val="20"/>
                <w:szCs w:val="20"/>
              </w:rPr>
              <w:t>7.6</w:t>
            </w:r>
          </w:p>
        </w:tc>
      </w:tr>
      <w:tr w:rsidR="00677577" w:rsidRPr="00167CB8" w14:paraId="74975EB3" w14:textId="77777777">
        <w:trPr>
          <w:trHeight w:val="341"/>
        </w:trPr>
        <w:tc>
          <w:tcPr>
            <w:tcW w:w="3496" w:type="dxa"/>
            <w:tcBorders>
              <w:top w:val="nil"/>
              <w:left w:val="single" w:sz="4" w:space="0" w:color="auto"/>
              <w:bottom w:val="nil"/>
              <w:right w:val="nil"/>
            </w:tcBorders>
            <w:vAlign w:val="center"/>
            <w:hideMark/>
          </w:tcPr>
          <w:p w14:paraId="16CDD62A" w14:textId="77777777" w:rsidR="00677577" w:rsidRPr="00BB4D6B" w:rsidRDefault="00677577">
            <w:pPr>
              <w:spacing w:after="0" w:line="240" w:lineRule="auto"/>
              <w:rPr>
                <w:sz w:val="20"/>
                <w:szCs w:val="20"/>
              </w:rPr>
            </w:pPr>
            <w:r w:rsidRPr="00BB4D6B">
              <w:rPr>
                <w:sz w:val="20"/>
                <w:szCs w:val="20"/>
              </w:rPr>
              <w:t xml:space="preserve">Change Nov 2012 </w:t>
            </w:r>
            <w:r w:rsidRPr="00BB4D6B">
              <w:rPr>
                <w:rFonts w:ascii="Symbol" w:eastAsia="Symbol" w:hAnsi="Symbol" w:cs="Symbol"/>
                <w:sz w:val="20"/>
                <w:szCs w:val="20"/>
              </w:rPr>
              <w:sym w:font="Symbol" w:char="F02D"/>
            </w:r>
            <w:r w:rsidRPr="00BB4D6B">
              <w:rPr>
                <w:sz w:val="20"/>
                <w:szCs w:val="20"/>
              </w:rPr>
              <w:t xml:space="preserve"> Nov 2022</w:t>
            </w:r>
          </w:p>
        </w:tc>
        <w:tc>
          <w:tcPr>
            <w:tcW w:w="1380" w:type="dxa"/>
            <w:noWrap/>
            <w:vAlign w:val="center"/>
            <w:hideMark/>
          </w:tcPr>
          <w:p w14:paraId="719DD53B" w14:textId="77777777" w:rsidR="00677577" w:rsidRPr="00BB4D6B" w:rsidRDefault="00677577" w:rsidP="004B7C39">
            <w:pPr>
              <w:spacing w:after="0" w:line="240" w:lineRule="auto"/>
              <w:jc w:val="right"/>
              <w:rPr>
                <w:sz w:val="20"/>
                <w:szCs w:val="20"/>
              </w:rPr>
            </w:pPr>
            <w:r w:rsidRPr="00BB4D6B">
              <w:rPr>
                <w:sz w:val="20"/>
                <w:szCs w:val="20"/>
              </w:rPr>
              <w:t>32.0%</w:t>
            </w:r>
          </w:p>
        </w:tc>
        <w:tc>
          <w:tcPr>
            <w:tcW w:w="1382" w:type="dxa"/>
            <w:noWrap/>
            <w:vAlign w:val="center"/>
            <w:hideMark/>
          </w:tcPr>
          <w:p w14:paraId="4F0A3FAE" w14:textId="77777777" w:rsidR="00677577" w:rsidRPr="00BB4D6B" w:rsidRDefault="00677577" w:rsidP="004B7C39">
            <w:pPr>
              <w:spacing w:after="0" w:line="240" w:lineRule="auto"/>
              <w:jc w:val="right"/>
              <w:rPr>
                <w:sz w:val="20"/>
                <w:szCs w:val="20"/>
              </w:rPr>
            </w:pPr>
            <w:r w:rsidRPr="00BB4D6B">
              <w:rPr>
                <w:sz w:val="20"/>
                <w:szCs w:val="20"/>
              </w:rPr>
              <w:t>19.5%</w:t>
            </w:r>
          </w:p>
        </w:tc>
        <w:tc>
          <w:tcPr>
            <w:tcW w:w="1382" w:type="dxa"/>
            <w:noWrap/>
            <w:vAlign w:val="center"/>
            <w:hideMark/>
          </w:tcPr>
          <w:p w14:paraId="5739CACE" w14:textId="77777777" w:rsidR="00677577" w:rsidRPr="00BB4D6B" w:rsidRDefault="00677577" w:rsidP="004B7C39">
            <w:pPr>
              <w:spacing w:after="0" w:line="240" w:lineRule="auto"/>
              <w:jc w:val="right"/>
              <w:rPr>
                <w:sz w:val="20"/>
                <w:szCs w:val="20"/>
              </w:rPr>
            </w:pPr>
            <w:r w:rsidRPr="00BB4D6B">
              <w:rPr>
                <w:sz w:val="20"/>
                <w:szCs w:val="20"/>
              </w:rPr>
              <w:t>26.3%</w:t>
            </w:r>
          </w:p>
        </w:tc>
        <w:tc>
          <w:tcPr>
            <w:tcW w:w="1382" w:type="dxa"/>
            <w:noWrap/>
            <w:vAlign w:val="center"/>
            <w:hideMark/>
          </w:tcPr>
          <w:p w14:paraId="5F261D72" w14:textId="77777777" w:rsidR="00677577" w:rsidRPr="00BB4D6B" w:rsidRDefault="00677577" w:rsidP="004B7C39">
            <w:pPr>
              <w:spacing w:after="0" w:line="240" w:lineRule="auto"/>
              <w:jc w:val="right"/>
              <w:rPr>
                <w:sz w:val="20"/>
                <w:szCs w:val="20"/>
              </w:rPr>
            </w:pPr>
            <w:r w:rsidRPr="00BB4D6B">
              <w:rPr>
                <w:sz w:val="20"/>
                <w:szCs w:val="20"/>
              </w:rPr>
              <w:t>4.87</w:t>
            </w:r>
          </w:p>
        </w:tc>
        <w:tc>
          <w:tcPr>
            <w:tcW w:w="1382" w:type="dxa"/>
            <w:noWrap/>
            <w:vAlign w:val="center"/>
            <w:hideMark/>
          </w:tcPr>
          <w:p w14:paraId="54448BBC" w14:textId="77777777" w:rsidR="00677577" w:rsidRPr="00BB4D6B" w:rsidRDefault="00677577" w:rsidP="004B7C39">
            <w:pPr>
              <w:spacing w:after="0" w:line="240" w:lineRule="auto"/>
              <w:jc w:val="right"/>
              <w:rPr>
                <w:sz w:val="20"/>
                <w:szCs w:val="20"/>
              </w:rPr>
            </w:pPr>
            <w:r w:rsidRPr="00BB4D6B">
              <w:rPr>
                <w:sz w:val="20"/>
                <w:szCs w:val="20"/>
              </w:rPr>
              <w:t>24.1%</w:t>
            </w:r>
          </w:p>
        </w:tc>
        <w:tc>
          <w:tcPr>
            <w:tcW w:w="931" w:type="dxa"/>
            <w:noWrap/>
            <w:vAlign w:val="center"/>
            <w:hideMark/>
          </w:tcPr>
          <w:p w14:paraId="64B185A9" w14:textId="77777777" w:rsidR="00677577" w:rsidRPr="00BB4D6B" w:rsidRDefault="00677577" w:rsidP="004B7C39">
            <w:pPr>
              <w:spacing w:after="0" w:line="240" w:lineRule="auto"/>
              <w:jc w:val="right"/>
              <w:rPr>
                <w:sz w:val="20"/>
                <w:szCs w:val="20"/>
              </w:rPr>
            </w:pPr>
            <w:r w:rsidRPr="00BB4D6B">
              <w:rPr>
                <w:sz w:val="20"/>
                <w:szCs w:val="20"/>
              </w:rPr>
              <w:t>3.98</w:t>
            </w:r>
          </w:p>
        </w:tc>
        <w:tc>
          <w:tcPr>
            <w:tcW w:w="1134" w:type="dxa"/>
            <w:noWrap/>
            <w:vAlign w:val="center"/>
            <w:hideMark/>
          </w:tcPr>
          <w:p w14:paraId="0961807C" w14:textId="77777777" w:rsidR="00677577" w:rsidRPr="00BB4D6B" w:rsidRDefault="00677577" w:rsidP="004B7C39">
            <w:pPr>
              <w:spacing w:after="0" w:line="240" w:lineRule="auto"/>
              <w:jc w:val="right"/>
              <w:rPr>
                <w:sz w:val="20"/>
                <w:szCs w:val="20"/>
              </w:rPr>
            </w:pPr>
            <w:r w:rsidRPr="00BB4D6B">
              <w:rPr>
                <w:sz w:val="20"/>
                <w:szCs w:val="20"/>
              </w:rPr>
              <w:t>-1.70</w:t>
            </w:r>
          </w:p>
        </w:tc>
        <w:tc>
          <w:tcPr>
            <w:tcW w:w="1276" w:type="dxa"/>
            <w:tcBorders>
              <w:top w:val="nil"/>
              <w:left w:val="nil"/>
              <w:bottom w:val="nil"/>
              <w:right w:val="single" w:sz="4" w:space="0" w:color="auto"/>
            </w:tcBorders>
            <w:noWrap/>
            <w:vAlign w:val="center"/>
            <w:hideMark/>
          </w:tcPr>
          <w:p w14:paraId="7C8AD196" w14:textId="77777777" w:rsidR="00677577" w:rsidRPr="00BB4D6B" w:rsidRDefault="00677577" w:rsidP="004B7C39">
            <w:pPr>
              <w:spacing w:after="0" w:line="240" w:lineRule="auto"/>
              <w:jc w:val="right"/>
              <w:rPr>
                <w:sz w:val="20"/>
                <w:szCs w:val="20"/>
              </w:rPr>
            </w:pPr>
            <w:r w:rsidRPr="00BB4D6B">
              <w:rPr>
                <w:sz w:val="20"/>
                <w:szCs w:val="20"/>
              </w:rPr>
              <w:t>-2.00</w:t>
            </w:r>
          </w:p>
        </w:tc>
      </w:tr>
      <w:tr w:rsidR="00677577" w:rsidRPr="00167CB8" w14:paraId="4B57D932" w14:textId="77777777">
        <w:trPr>
          <w:trHeight w:val="341"/>
        </w:trPr>
        <w:tc>
          <w:tcPr>
            <w:tcW w:w="3496" w:type="dxa"/>
            <w:tcBorders>
              <w:top w:val="nil"/>
              <w:left w:val="single" w:sz="4" w:space="0" w:color="auto"/>
              <w:bottom w:val="nil"/>
              <w:right w:val="nil"/>
            </w:tcBorders>
            <w:vAlign w:val="center"/>
            <w:hideMark/>
          </w:tcPr>
          <w:p w14:paraId="6E18F8ED" w14:textId="77777777" w:rsidR="00677577" w:rsidRPr="00BB4D6B" w:rsidRDefault="00677577">
            <w:pPr>
              <w:spacing w:after="0" w:line="240" w:lineRule="auto"/>
              <w:rPr>
                <w:sz w:val="20"/>
                <w:szCs w:val="20"/>
              </w:rPr>
            </w:pPr>
            <w:r w:rsidRPr="00BB4D6B">
              <w:rPr>
                <w:sz w:val="20"/>
                <w:szCs w:val="20"/>
              </w:rPr>
              <w:t xml:space="preserve">Change Nov 2022 </w:t>
            </w:r>
            <w:r w:rsidRPr="00BB4D6B">
              <w:rPr>
                <w:rFonts w:ascii="Symbol" w:eastAsia="Symbol" w:hAnsi="Symbol" w:cs="Symbol"/>
                <w:sz w:val="20"/>
                <w:szCs w:val="20"/>
              </w:rPr>
              <w:sym w:font="Symbol" w:char="F02D"/>
            </w:r>
            <w:r w:rsidRPr="00BB4D6B">
              <w:rPr>
                <w:sz w:val="20"/>
                <w:szCs w:val="20"/>
              </w:rPr>
              <w:t xml:space="preserve"> Nov 2024</w:t>
            </w:r>
          </w:p>
        </w:tc>
        <w:tc>
          <w:tcPr>
            <w:tcW w:w="1380" w:type="dxa"/>
            <w:tcBorders>
              <w:top w:val="nil"/>
              <w:left w:val="nil"/>
              <w:bottom w:val="single" w:sz="4" w:space="0" w:color="auto"/>
              <w:right w:val="nil"/>
            </w:tcBorders>
            <w:noWrap/>
            <w:vAlign w:val="center"/>
            <w:hideMark/>
          </w:tcPr>
          <w:p w14:paraId="4F129EB2" w14:textId="77777777" w:rsidR="00677577" w:rsidRPr="00BB4D6B" w:rsidRDefault="00677577" w:rsidP="004B7C39">
            <w:pPr>
              <w:spacing w:after="0" w:line="240" w:lineRule="auto"/>
              <w:jc w:val="right"/>
              <w:rPr>
                <w:sz w:val="20"/>
                <w:szCs w:val="20"/>
              </w:rPr>
            </w:pPr>
            <w:r w:rsidRPr="00BB4D6B">
              <w:rPr>
                <w:sz w:val="20"/>
                <w:szCs w:val="20"/>
              </w:rPr>
              <w:t>6.1%</w:t>
            </w:r>
          </w:p>
        </w:tc>
        <w:tc>
          <w:tcPr>
            <w:tcW w:w="1382" w:type="dxa"/>
            <w:tcBorders>
              <w:top w:val="nil"/>
              <w:left w:val="nil"/>
              <w:bottom w:val="single" w:sz="4" w:space="0" w:color="auto"/>
              <w:right w:val="nil"/>
            </w:tcBorders>
            <w:noWrap/>
            <w:vAlign w:val="center"/>
            <w:hideMark/>
          </w:tcPr>
          <w:p w14:paraId="185F0395" w14:textId="77777777" w:rsidR="00677577" w:rsidRPr="00BB4D6B" w:rsidRDefault="00677577" w:rsidP="004B7C39">
            <w:pPr>
              <w:spacing w:after="0" w:line="240" w:lineRule="auto"/>
              <w:jc w:val="right"/>
              <w:rPr>
                <w:sz w:val="20"/>
                <w:szCs w:val="20"/>
              </w:rPr>
            </w:pPr>
            <w:r w:rsidRPr="00BB4D6B">
              <w:rPr>
                <w:sz w:val="20"/>
                <w:szCs w:val="20"/>
              </w:rPr>
              <w:t>4.8%</w:t>
            </w:r>
          </w:p>
        </w:tc>
        <w:tc>
          <w:tcPr>
            <w:tcW w:w="1382" w:type="dxa"/>
            <w:tcBorders>
              <w:top w:val="nil"/>
              <w:left w:val="nil"/>
              <w:bottom w:val="single" w:sz="4" w:space="0" w:color="auto"/>
              <w:right w:val="nil"/>
            </w:tcBorders>
            <w:noWrap/>
            <w:vAlign w:val="center"/>
            <w:hideMark/>
          </w:tcPr>
          <w:p w14:paraId="10193AB5" w14:textId="77777777" w:rsidR="00677577" w:rsidRPr="00BB4D6B" w:rsidRDefault="00677577" w:rsidP="004B7C39">
            <w:pPr>
              <w:spacing w:after="0" w:line="240" w:lineRule="auto"/>
              <w:jc w:val="right"/>
              <w:rPr>
                <w:sz w:val="20"/>
                <w:szCs w:val="20"/>
              </w:rPr>
            </w:pPr>
            <w:r w:rsidRPr="00BB4D6B">
              <w:rPr>
                <w:sz w:val="20"/>
                <w:szCs w:val="20"/>
              </w:rPr>
              <w:t>5.5%</w:t>
            </w:r>
          </w:p>
        </w:tc>
        <w:tc>
          <w:tcPr>
            <w:tcW w:w="1382" w:type="dxa"/>
            <w:tcBorders>
              <w:top w:val="nil"/>
              <w:left w:val="nil"/>
              <w:bottom w:val="single" w:sz="4" w:space="0" w:color="auto"/>
              <w:right w:val="nil"/>
            </w:tcBorders>
            <w:noWrap/>
            <w:vAlign w:val="center"/>
            <w:hideMark/>
          </w:tcPr>
          <w:p w14:paraId="32EDE17C" w14:textId="77777777" w:rsidR="00677577" w:rsidRPr="00BB4D6B" w:rsidRDefault="00677577" w:rsidP="004B7C39">
            <w:pPr>
              <w:spacing w:after="0" w:line="240" w:lineRule="auto"/>
              <w:jc w:val="right"/>
              <w:rPr>
                <w:sz w:val="20"/>
                <w:szCs w:val="20"/>
              </w:rPr>
            </w:pPr>
            <w:r w:rsidRPr="00BB4D6B">
              <w:rPr>
                <w:sz w:val="20"/>
                <w:szCs w:val="20"/>
              </w:rPr>
              <w:t>0.15</w:t>
            </w:r>
          </w:p>
        </w:tc>
        <w:tc>
          <w:tcPr>
            <w:tcW w:w="1382" w:type="dxa"/>
            <w:noWrap/>
            <w:vAlign w:val="center"/>
            <w:hideMark/>
          </w:tcPr>
          <w:p w14:paraId="6AF02092" w14:textId="77777777" w:rsidR="00677577" w:rsidRPr="00BB4D6B" w:rsidRDefault="00677577" w:rsidP="004B7C39">
            <w:pPr>
              <w:spacing w:after="0" w:line="240" w:lineRule="auto"/>
              <w:jc w:val="right"/>
              <w:rPr>
                <w:sz w:val="20"/>
                <w:szCs w:val="20"/>
              </w:rPr>
            </w:pPr>
            <w:r w:rsidRPr="00BB4D6B">
              <w:rPr>
                <w:sz w:val="20"/>
                <w:szCs w:val="20"/>
              </w:rPr>
              <w:t>5.8%</w:t>
            </w:r>
          </w:p>
        </w:tc>
        <w:tc>
          <w:tcPr>
            <w:tcW w:w="931" w:type="dxa"/>
            <w:tcBorders>
              <w:top w:val="nil"/>
              <w:left w:val="nil"/>
              <w:bottom w:val="single" w:sz="4" w:space="0" w:color="auto"/>
              <w:right w:val="nil"/>
            </w:tcBorders>
            <w:noWrap/>
            <w:vAlign w:val="center"/>
            <w:hideMark/>
          </w:tcPr>
          <w:p w14:paraId="191E68AB" w14:textId="77777777" w:rsidR="00677577" w:rsidRPr="00BB4D6B" w:rsidRDefault="00677577" w:rsidP="004B7C39">
            <w:pPr>
              <w:spacing w:after="0" w:line="240" w:lineRule="auto"/>
              <w:jc w:val="right"/>
              <w:rPr>
                <w:sz w:val="20"/>
                <w:szCs w:val="20"/>
              </w:rPr>
            </w:pPr>
            <w:r w:rsidRPr="00BB4D6B">
              <w:rPr>
                <w:sz w:val="20"/>
                <w:szCs w:val="20"/>
              </w:rPr>
              <w:t>0.30</w:t>
            </w:r>
          </w:p>
        </w:tc>
        <w:tc>
          <w:tcPr>
            <w:tcW w:w="1134" w:type="dxa"/>
            <w:tcBorders>
              <w:top w:val="nil"/>
              <w:left w:val="nil"/>
              <w:bottom w:val="single" w:sz="4" w:space="0" w:color="auto"/>
              <w:right w:val="nil"/>
            </w:tcBorders>
            <w:noWrap/>
            <w:vAlign w:val="center"/>
            <w:hideMark/>
          </w:tcPr>
          <w:p w14:paraId="3EA223B1" w14:textId="77777777" w:rsidR="00677577" w:rsidRPr="00BB4D6B" w:rsidRDefault="00677577" w:rsidP="004B7C39">
            <w:pPr>
              <w:spacing w:after="0" w:line="240" w:lineRule="auto"/>
              <w:jc w:val="right"/>
              <w:rPr>
                <w:sz w:val="20"/>
                <w:szCs w:val="20"/>
              </w:rPr>
            </w:pPr>
            <w:r w:rsidRPr="00BB4D6B">
              <w:rPr>
                <w:sz w:val="20"/>
                <w:szCs w:val="20"/>
              </w:rPr>
              <w:t>0.30</w:t>
            </w:r>
          </w:p>
        </w:tc>
        <w:tc>
          <w:tcPr>
            <w:tcW w:w="1276" w:type="dxa"/>
            <w:tcBorders>
              <w:top w:val="nil"/>
              <w:left w:val="nil"/>
              <w:bottom w:val="single" w:sz="4" w:space="0" w:color="auto"/>
              <w:right w:val="single" w:sz="4" w:space="0" w:color="auto"/>
            </w:tcBorders>
            <w:noWrap/>
            <w:vAlign w:val="center"/>
            <w:hideMark/>
          </w:tcPr>
          <w:p w14:paraId="6D400049" w14:textId="77777777" w:rsidR="00677577" w:rsidRPr="00BB4D6B" w:rsidRDefault="00677577" w:rsidP="004B7C39">
            <w:pPr>
              <w:spacing w:after="0" w:line="240" w:lineRule="auto"/>
              <w:jc w:val="right"/>
              <w:rPr>
                <w:sz w:val="20"/>
                <w:szCs w:val="20"/>
              </w:rPr>
            </w:pPr>
            <w:r w:rsidRPr="00BB4D6B">
              <w:rPr>
                <w:sz w:val="20"/>
                <w:szCs w:val="20"/>
              </w:rPr>
              <w:t>0.00</w:t>
            </w:r>
          </w:p>
        </w:tc>
      </w:tr>
      <w:tr w:rsidR="00677577" w:rsidRPr="00167CB8" w14:paraId="482DA461" w14:textId="77777777">
        <w:trPr>
          <w:trHeight w:val="341"/>
        </w:trPr>
        <w:tc>
          <w:tcPr>
            <w:tcW w:w="3496" w:type="dxa"/>
            <w:tcBorders>
              <w:top w:val="single" w:sz="4" w:space="0" w:color="auto"/>
              <w:left w:val="single" w:sz="4" w:space="0" w:color="auto"/>
              <w:bottom w:val="nil"/>
              <w:right w:val="nil"/>
            </w:tcBorders>
            <w:noWrap/>
            <w:vAlign w:val="center"/>
            <w:hideMark/>
          </w:tcPr>
          <w:p w14:paraId="04342391" w14:textId="77777777" w:rsidR="00677577" w:rsidRPr="00BB4D6B" w:rsidRDefault="00677577">
            <w:pPr>
              <w:spacing w:after="0" w:line="240" w:lineRule="auto"/>
              <w:rPr>
                <w:b/>
                <w:bCs/>
                <w:sz w:val="20"/>
                <w:szCs w:val="20"/>
              </w:rPr>
            </w:pPr>
            <w:r w:rsidRPr="00BB4D6B">
              <w:rPr>
                <w:b/>
                <w:bCs/>
                <w:sz w:val="20"/>
                <w:szCs w:val="20"/>
              </w:rPr>
              <w:t>Persons</w:t>
            </w:r>
          </w:p>
        </w:tc>
        <w:tc>
          <w:tcPr>
            <w:tcW w:w="1380" w:type="dxa"/>
            <w:vAlign w:val="center"/>
            <w:hideMark/>
          </w:tcPr>
          <w:p w14:paraId="5F452154" w14:textId="77777777" w:rsidR="00677577" w:rsidRPr="00BB4D6B" w:rsidRDefault="00677577" w:rsidP="004B7C39">
            <w:pPr>
              <w:spacing w:after="0" w:line="240" w:lineRule="auto"/>
              <w:jc w:val="right"/>
              <w:rPr>
                <w:b/>
                <w:bCs/>
                <w:sz w:val="20"/>
                <w:szCs w:val="20"/>
              </w:rPr>
            </w:pPr>
          </w:p>
        </w:tc>
        <w:tc>
          <w:tcPr>
            <w:tcW w:w="1382" w:type="dxa"/>
            <w:vAlign w:val="center"/>
            <w:hideMark/>
          </w:tcPr>
          <w:p w14:paraId="7A1C816F" w14:textId="77777777" w:rsidR="00677577" w:rsidRPr="00BB4D6B" w:rsidRDefault="00677577" w:rsidP="004B7C39">
            <w:pPr>
              <w:spacing w:after="0" w:line="240" w:lineRule="auto"/>
              <w:jc w:val="right"/>
              <w:rPr>
                <w:sz w:val="20"/>
                <w:szCs w:val="20"/>
              </w:rPr>
            </w:pPr>
          </w:p>
        </w:tc>
        <w:tc>
          <w:tcPr>
            <w:tcW w:w="1382" w:type="dxa"/>
            <w:vAlign w:val="center"/>
            <w:hideMark/>
          </w:tcPr>
          <w:p w14:paraId="329E6B12" w14:textId="77777777" w:rsidR="00677577" w:rsidRPr="00BB4D6B" w:rsidRDefault="00677577" w:rsidP="004B7C39">
            <w:pPr>
              <w:spacing w:after="0" w:line="240" w:lineRule="auto"/>
              <w:jc w:val="right"/>
              <w:rPr>
                <w:sz w:val="20"/>
                <w:szCs w:val="20"/>
              </w:rPr>
            </w:pPr>
          </w:p>
        </w:tc>
        <w:tc>
          <w:tcPr>
            <w:tcW w:w="1382" w:type="dxa"/>
            <w:vAlign w:val="center"/>
            <w:hideMark/>
          </w:tcPr>
          <w:p w14:paraId="027E732D" w14:textId="77777777" w:rsidR="00677577" w:rsidRPr="00BB4D6B" w:rsidRDefault="00677577" w:rsidP="004B7C39">
            <w:pPr>
              <w:spacing w:after="0" w:line="240" w:lineRule="auto"/>
              <w:jc w:val="right"/>
              <w:rPr>
                <w:sz w:val="20"/>
                <w:szCs w:val="20"/>
              </w:rPr>
            </w:pPr>
          </w:p>
        </w:tc>
        <w:tc>
          <w:tcPr>
            <w:tcW w:w="1382" w:type="dxa"/>
            <w:tcBorders>
              <w:top w:val="single" w:sz="4" w:space="0" w:color="auto"/>
              <w:left w:val="nil"/>
              <w:bottom w:val="nil"/>
              <w:right w:val="nil"/>
            </w:tcBorders>
            <w:vAlign w:val="center"/>
            <w:hideMark/>
          </w:tcPr>
          <w:p w14:paraId="48152C76" w14:textId="77777777" w:rsidR="00677577" w:rsidRPr="00BB4D6B" w:rsidRDefault="00677577" w:rsidP="004B7C39">
            <w:pPr>
              <w:spacing w:after="0" w:line="240" w:lineRule="auto"/>
              <w:jc w:val="right"/>
              <w:rPr>
                <w:sz w:val="20"/>
                <w:szCs w:val="20"/>
              </w:rPr>
            </w:pPr>
          </w:p>
        </w:tc>
        <w:tc>
          <w:tcPr>
            <w:tcW w:w="931" w:type="dxa"/>
            <w:vAlign w:val="center"/>
            <w:hideMark/>
          </w:tcPr>
          <w:p w14:paraId="6F577DAA" w14:textId="77777777" w:rsidR="00677577" w:rsidRPr="00BB4D6B" w:rsidRDefault="00677577" w:rsidP="004B7C39">
            <w:pPr>
              <w:spacing w:after="0" w:line="240" w:lineRule="auto"/>
              <w:jc w:val="right"/>
              <w:rPr>
                <w:sz w:val="20"/>
                <w:szCs w:val="20"/>
              </w:rPr>
            </w:pPr>
          </w:p>
        </w:tc>
        <w:tc>
          <w:tcPr>
            <w:tcW w:w="1134" w:type="dxa"/>
            <w:vAlign w:val="center"/>
            <w:hideMark/>
          </w:tcPr>
          <w:p w14:paraId="0A7CC897" w14:textId="77777777" w:rsidR="00677577" w:rsidRPr="00BB4D6B" w:rsidRDefault="00677577" w:rsidP="004B7C39">
            <w:pPr>
              <w:spacing w:after="0" w:line="240" w:lineRule="auto"/>
              <w:jc w:val="right"/>
              <w:rPr>
                <w:sz w:val="20"/>
                <w:szCs w:val="20"/>
              </w:rPr>
            </w:pPr>
          </w:p>
        </w:tc>
        <w:tc>
          <w:tcPr>
            <w:tcW w:w="1276" w:type="dxa"/>
            <w:tcBorders>
              <w:top w:val="nil"/>
              <w:left w:val="nil"/>
              <w:bottom w:val="nil"/>
              <w:right w:val="single" w:sz="4" w:space="0" w:color="auto"/>
            </w:tcBorders>
            <w:vAlign w:val="center"/>
            <w:hideMark/>
          </w:tcPr>
          <w:p w14:paraId="7027F6A2" w14:textId="77777777" w:rsidR="00677577" w:rsidRPr="00BB4D6B" w:rsidRDefault="00677577" w:rsidP="004B7C39">
            <w:pPr>
              <w:spacing w:after="0" w:line="240" w:lineRule="auto"/>
              <w:jc w:val="right"/>
              <w:rPr>
                <w:sz w:val="20"/>
                <w:szCs w:val="20"/>
              </w:rPr>
            </w:pPr>
          </w:p>
        </w:tc>
      </w:tr>
      <w:tr w:rsidR="00677577" w:rsidRPr="00167CB8" w14:paraId="2923A9A5" w14:textId="77777777">
        <w:trPr>
          <w:trHeight w:val="341"/>
        </w:trPr>
        <w:tc>
          <w:tcPr>
            <w:tcW w:w="3496" w:type="dxa"/>
            <w:tcBorders>
              <w:top w:val="nil"/>
              <w:left w:val="single" w:sz="4" w:space="0" w:color="auto"/>
              <w:bottom w:val="nil"/>
              <w:right w:val="nil"/>
            </w:tcBorders>
            <w:noWrap/>
            <w:vAlign w:val="center"/>
            <w:hideMark/>
          </w:tcPr>
          <w:p w14:paraId="1A07FD13" w14:textId="77777777" w:rsidR="00677577" w:rsidRPr="00BB4D6B" w:rsidRDefault="00677577">
            <w:pPr>
              <w:spacing w:after="0" w:line="240" w:lineRule="auto"/>
              <w:rPr>
                <w:sz w:val="20"/>
                <w:szCs w:val="20"/>
              </w:rPr>
            </w:pPr>
            <w:r w:rsidRPr="00BB4D6B">
              <w:rPr>
                <w:sz w:val="20"/>
                <w:szCs w:val="20"/>
              </w:rPr>
              <w:t>Nov-12</w:t>
            </w:r>
          </w:p>
        </w:tc>
        <w:tc>
          <w:tcPr>
            <w:tcW w:w="1380" w:type="dxa"/>
            <w:noWrap/>
            <w:vAlign w:val="center"/>
            <w:hideMark/>
          </w:tcPr>
          <w:p w14:paraId="3F848197" w14:textId="77777777" w:rsidR="00677577" w:rsidRPr="00BB4D6B" w:rsidRDefault="00677577" w:rsidP="004B7C39">
            <w:pPr>
              <w:spacing w:after="0" w:line="240" w:lineRule="auto"/>
              <w:jc w:val="right"/>
              <w:rPr>
                <w:sz w:val="20"/>
                <w:szCs w:val="20"/>
              </w:rPr>
            </w:pPr>
            <w:r w:rsidRPr="00BB4D6B">
              <w:rPr>
                <w:sz w:val="20"/>
                <w:szCs w:val="20"/>
              </w:rPr>
              <w:t>8,015.6</w:t>
            </w:r>
          </w:p>
        </w:tc>
        <w:tc>
          <w:tcPr>
            <w:tcW w:w="1382" w:type="dxa"/>
            <w:noWrap/>
            <w:vAlign w:val="center"/>
            <w:hideMark/>
          </w:tcPr>
          <w:p w14:paraId="596C66D4" w14:textId="77777777" w:rsidR="00677577" w:rsidRPr="00BB4D6B" w:rsidRDefault="00677577" w:rsidP="004B7C39">
            <w:pPr>
              <w:spacing w:after="0" w:line="240" w:lineRule="auto"/>
              <w:jc w:val="right"/>
              <w:rPr>
                <w:sz w:val="20"/>
                <w:szCs w:val="20"/>
              </w:rPr>
            </w:pPr>
            <w:r w:rsidRPr="00BB4D6B">
              <w:rPr>
                <w:sz w:val="20"/>
                <w:szCs w:val="20"/>
              </w:rPr>
              <w:t>3,369.3</w:t>
            </w:r>
          </w:p>
        </w:tc>
        <w:tc>
          <w:tcPr>
            <w:tcW w:w="1382" w:type="dxa"/>
            <w:noWrap/>
            <w:vAlign w:val="center"/>
            <w:hideMark/>
          </w:tcPr>
          <w:p w14:paraId="2EB1BF37" w14:textId="77777777" w:rsidR="00677577" w:rsidRPr="00BB4D6B" w:rsidRDefault="00677577" w:rsidP="004B7C39">
            <w:pPr>
              <w:spacing w:after="0" w:line="240" w:lineRule="auto"/>
              <w:jc w:val="right"/>
              <w:rPr>
                <w:sz w:val="20"/>
                <w:szCs w:val="20"/>
              </w:rPr>
            </w:pPr>
            <w:r w:rsidRPr="00BB4D6B">
              <w:rPr>
                <w:sz w:val="20"/>
                <w:szCs w:val="20"/>
              </w:rPr>
              <w:t>11,384.9</w:t>
            </w:r>
          </w:p>
        </w:tc>
        <w:tc>
          <w:tcPr>
            <w:tcW w:w="1382" w:type="dxa"/>
            <w:noWrap/>
            <w:vAlign w:val="center"/>
            <w:hideMark/>
          </w:tcPr>
          <w:p w14:paraId="74015F8B" w14:textId="77777777" w:rsidR="00677577" w:rsidRPr="00BB4D6B" w:rsidRDefault="00677577" w:rsidP="004B7C39">
            <w:pPr>
              <w:spacing w:after="0" w:line="240" w:lineRule="auto"/>
              <w:jc w:val="right"/>
              <w:rPr>
                <w:sz w:val="20"/>
                <w:szCs w:val="20"/>
              </w:rPr>
            </w:pPr>
            <w:r w:rsidRPr="00BB4D6B">
              <w:rPr>
                <w:sz w:val="20"/>
                <w:szCs w:val="20"/>
              </w:rPr>
              <w:t>61.5</w:t>
            </w:r>
          </w:p>
        </w:tc>
        <w:tc>
          <w:tcPr>
            <w:tcW w:w="1382" w:type="dxa"/>
            <w:noWrap/>
            <w:vAlign w:val="center"/>
            <w:hideMark/>
          </w:tcPr>
          <w:p w14:paraId="73BB4B08" w14:textId="77777777" w:rsidR="00677577" w:rsidRPr="00BB4D6B" w:rsidRDefault="00677577" w:rsidP="004B7C39">
            <w:pPr>
              <w:spacing w:after="0" w:line="240" w:lineRule="auto"/>
              <w:jc w:val="right"/>
              <w:rPr>
                <w:sz w:val="20"/>
                <w:szCs w:val="20"/>
              </w:rPr>
            </w:pPr>
            <w:r w:rsidRPr="00BB4D6B">
              <w:rPr>
                <w:sz w:val="20"/>
                <w:szCs w:val="20"/>
              </w:rPr>
              <w:t>12,016.5</w:t>
            </w:r>
          </w:p>
        </w:tc>
        <w:tc>
          <w:tcPr>
            <w:tcW w:w="931" w:type="dxa"/>
            <w:noWrap/>
            <w:vAlign w:val="center"/>
            <w:hideMark/>
          </w:tcPr>
          <w:p w14:paraId="733A75B4" w14:textId="77777777" w:rsidR="00677577" w:rsidRPr="00BB4D6B" w:rsidRDefault="00677577" w:rsidP="004B7C39">
            <w:pPr>
              <w:spacing w:after="0" w:line="240" w:lineRule="auto"/>
              <w:jc w:val="right"/>
              <w:rPr>
                <w:sz w:val="20"/>
                <w:szCs w:val="20"/>
              </w:rPr>
            </w:pPr>
            <w:r w:rsidRPr="00BB4D6B">
              <w:rPr>
                <w:sz w:val="20"/>
                <w:szCs w:val="20"/>
              </w:rPr>
              <w:t>64.9</w:t>
            </w:r>
          </w:p>
        </w:tc>
        <w:tc>
          <w:tcPr>
            <w:tcW w:w="1134" w:type="dxa"/>
            <w:noWrap/>
            <w:vAlign w:val="center"/>
            <w:hideMark/>
          </w:tcPr>
          <w:p w14:paraId="24C267B7" w14:textId="77777777" w:rsidR="00677577" w:rsidRPr="00BB4D6B" w:rsidRDefault="00677577" w:rsidP="004B7C39">
            <w:pPr>
              <w:spacing w:after="0" w:line="240" w:lineRule="auto"/>
              <w:jc w:val="right"/>
              <w:rPr>
                <w:sz w:val="20"/>
                <w:szCs w:val="20"/>
              </w:rPr>
            </w:pPr>
            <w:r w:rsidRPr="00BB4D6B">
              <w:rPr>
                <w:sz w:val="20"/>
                <w:szCs w:val="20"/>
              </w:rPr>
              <w:t>5.3</w:t>
            </w:r>
          </w:p>
        </w:tc>
        <w:tc>
          <w:tcPr>
            <w:tcW w:w="1276" w:type="dxa"/>
            <w:tcBorders>
              <w:top w:val="nil"/>
              <w:left w:val="nil"/>
              <w:bottom w:val="nil"/>
              <w:right w:val="single" w:sz="4" w:space="0" w:color="auto"/>
            </w:tcBorders>
            <w:noWrap/>
            <w:vAlign w:val="center"/>
            <w:hideMark/>
          </w:tcPr>
          <w:p w14:paraId="51118B8E" w14:textId="77777777" w:rsidR="00677577" w:rsidRPr="00BB4D6B" w:rsidRDefault="00677577" w:rsidP="004B7C39">
            <w:pPr>
              <w:spacing w:after="0" w:line="240" w:lineRule="auto"/>
              <w:jc w:val="right"/>
              <w:rPr>
                <w:sz w:val="20"/>
                <w:szCs w:val="20"/>
              </w:rPr>
            </w:pPr>
            <w:r w:rsidRPr="00BB4D6B">
              <w:rPr>
                <w:sz w:val="20"/>
                <w:szCs w:val="20"/>
              </w:rPr>
              <w:t>7.4</w:t>
            </w:r>
          </w:p>
        </w:tc>
      </w:tr>
      <w:tr w:rsidR="00677577" w:rsidRPr="00167CB8" w14:paraId="7D349C0F" w14:textId="77777777">
        <w:trPr>
          <w:trHeight w:val="341"/>
        </w:trPr>
        <w:tc>
          <w:tcPr>
            <w:tcW w:w="3496" w:type="dxa"/>
            <w:tcBorders>
              <w:top w:val="nil"/>
              <w:left w:val="single" w:sz="4" w:space="0" w:color="auto"/>
              <w:bottom w:val="nil"/>
              <w:right w:val="nil"/>
            </w:tcBorders>
            <w:noWrap/>
            <w:vAlign w:val="center"/>
            <w:hideMark/>
          </w:tcPr>
          <w:p w14:paraId="582FD75C" w14:textId="77777777" w:rsidR="00677577" w:rsidRPr="00BB4D6B" w:rsidRDefault="00677577">
            <w:pPr>
              <w:spacing w:after="0" w:line="240" w:lineRule="auto"/>
              <w:rPr>
                <w:sz w:val="20"/>
                <w:szCs w:val="20"/>
              </w:rPr>
            </w:pPr>
            <w:r w:rsidRPr="00BB4D6B">
              <w:rPr>
                <w:sz w:val="20"/>
                <w:szCs w:val="20"/>
              </w:rPr>
              <w:t>Nov-22</w:t>
            </w:r>
          </w:p>
        </w:tc>
        <w:tc>
          <w:tcPr>
            <w:tcW w:w="1380" w:type="dxa"/>
            <w:noWrap/>
            <w:vAlign w:val="center"/>
            <w:hideMark/>
          </w:tcPr>
          <w:p w14:paraId="3E65DC02" w14:textId="77777777" w:rsidR="00677577" w:rsidRPr="00BB4D6B" w:rsidRDefault="00677577" w:rsidP="004B7C39">
            <w:pPr>
              <w:spacing w:after="0" w:line="240" w:lineRule="auto"/>
              <w:jc w:val="right"/>
              <w:rPr>
                <w:sz w:val="20"/>
                <w:szCs w:val="20"/>
              </w:rPr>
            </w:pPr>
            <w:r w:rsidRPr="00BB4D6B">
              <w:rPr>
                <w:sz w:val="20"/>
                <w:szCs w:val="20"/>
              </w:rPr>
              <w:t>9,590.9</w:t>
            </w:r>
          </w:p>
        </w:tc>
        <w:tc>
          <w:tcPr>
            <w:tcW w:w="1382" w:type="dxa"/>
            <w:noWrap/>
            <w:vAlign w:val="center"/>
            <w:hideMark/>
          </w:tcPr>
          <w:p w14:paraId="64B60EAB" w14:textId="77777777" w:rsidR="00677577" w:rsidRPr="00BB4D6B" w:rsidRDefault="00677577" w:rsidP="004B7C39">
            <w:pPr>
              <w:spacing w:after="0" w:line="240" w:lineRule="auto"/>
              <w:jc w:val="right"/>
              <w:rPr>
                <w:sz w:val="20"/>
                <w:szCs w:val="20"/>
              </w:rPr>
            </w:pPr>
            <w:r w:rsidRPr="00BB4D6B">
              <w:rPr>
                <w:sz w:val="20"/>
                <w:szCs w:val="20"/>
              </w:rPr>
              <w:t>4,189.1</w:t>
            </w:r>
          </w:p>
        </w:tc>
        <w:tc>
          <w:tcPr>
            <w:tcW w:w="1382" w:type="dxa"/>
            <w:noWrap/>
            <w:vAlign w:val="center"/>
            <w:hideMark/>
          </w:tcPr>
          <w:p w14:paraId="375D9D13" w14:textId="77777777" w:rsidR="00677577" w:rsidRPr="00BB4D6B" w:rsidRDefault="00677577" w:rsidP="004B7C39">
            <w:pPr>
              <w:spacing w:after="0" w:line="240" w:lineRule="auto"/>
              <w:jc w:val="right"/>
              <w:rPr>
                <w:sz w:val="20"/>
                <w:szCs w:val="20"/>
              </w:rPr>
            </w:pPr>
            <w:r w:rsidRPr="00BB4D6B">
              <w:rPr>
                <w:sz w:val="20"/>
                <w:szCs w:val="20"/>
              </w:rPr>
              <w:t>13,780.0</w:t>
            </w:r>
          </w:p>
        </w:tc>
        <w:tc>
          <w:tcPr>
            <w:tcW w:w="1382" w:type="dxa"/>
            <w:noWrap/>
            <w:vAlign w:val="center"/>
            <w:hideMark/>
          </w:tcPr>
          <w:p w14:paraId="1D5FAB69" w14:textId="77777777" w:rsidR="00677577" w:rsidRPr="00BB4D6B" w:rsidRDefault="00677577" w:rsidP="004B7C39">
            <w:pPr>
              <w:spacing w:after="0" w:line="240" w:lineRule="auto"/>
              <w:jc w:val="right"/>
              <w:rPr>
                <w:sz w:val="20"/>
                <w:szCs w:val="20"/>
              </w:rPr>
            </w:pPr>
            <w:r w:rsidRPr="00BB4D6B">
              <w:rPr>
                <w:sz w:val="20"/>
                <w:szCs w:val="20"/>
              </w:rPr>
              <w:t>64.3</w:t>
            </w:r>
          </w:p>
        </w:tc>
        <w:tc>
          <w:tcPr>
            <w:tcW w:w="1382" w:type="dxa"/>
            <w:noWrap/>
            <w:vAlign w:val="center"/>
            <w:hideMark/>
          </w:tcPr>
          <w:p w14:paraId="7A3F95E3" w14:textId="77777777" w:rsidR="00677577" w:rsidRPr="00BB4D6B" w:rsidRDefault="00677577" w:rsidP="004B7C39">
            <w:pPr>
              <w:spacing w:after="0" w:line="240" w:lineRule="auto"/>
              <w:jc w:val="right"/>
              <w:rPr>
                <w:sz w:val="20"/>
                <w:szCs w:val="20"/>
              </w:rPr>
            </w:pPr>
            <w:r w:rsidRPr="00BB4D6B">
              <w:rPr>
                <w:sz w:val="20"/>
                <w:szCs w:val="20"/>
              </w:rPr>
              <w:t>14,281.5</w:t>
            </w:r>
          </w:p>
        </w:tc>
        <w:tc>
          <w:tcPr>
            <w:tcW w:w="931" w:type="dxa"/>
            <w:noWrap/>
            <w:vAlign w:val="center"/>
            <w:hideMark/>
          </w:tcPr>
          <w:p w14:paraId="74660EE3" w14:textId="77777777" w:rsidR="00677577" w:rsidRPr="00BB4D6B" w:rsidRDefault="00677577" w:rsidP="004B7C39">
            <w:pPr>
              <w:spacing w:after="0" w:line="240" w:lineRule="auto"/>
              <w:jc w:val="right"/>
              <w:rPr>
                <w:sz w:val="20"/>
                <w:szCs w:val="20"/>
              </w:rPr>
            </w:pPr>
            <w:r w:rsidRPr="00BB4D6B">
              <w:rPr>
                <w:sz w:val="20"/>
                <w:szCs w:val="20"/>
              </w:rPr>
              <w:t>66.6</w:t>
            </w:r>
          </w:p>
        </w:tc>
        <w:tc>
          <w:tcPr>
            <w:tcW w:w="1134" w:type="dxa"/>
            <w:noWrap/>
            <w:vAlign w:val="center"/>
            <w:hideMark/>
          </w:tcPr>
          <w:p w14:paraId="0A560A30" w14:textId="77777777" w:rsidR="00677577" w:rsidRPr="00BB4D6B" w:rsidRDefault="00677577" w:rsidP="004B7C39">
            <w:pPr>
              <w:spacing w:after="0" w:line="240" w:lineRule="auto"/>
              <w:jc w:val="right"/>
              <w:rPr>
                <w:sz w:val="20"/>
                <w:szCs w:val="20"/>
              </w:rPr>
            </w:pPr>
            <w:r w:rsidRPr="00BB4D6B">
              <w:rPr>
                <w:sz w:val="20"/>
                <w:szCs w:val="20"/>
              </w:rPr>
              <w:t>3.5</w:t>
            </w:r>
          </w:p>
        </w:tc>
        <w:tc>
          <w:tcPr>
            <w:tcW w:w="1276" w:type="dxa"/>
            <w:tcBorders>
              <w:top w:val="nil"/>
              <w:left w:val="nil"/>
              <w:bottom w:val="nil"/>
              <w:right w:val="single" w:sz="4" w:space="0" w:color="auto"/>
            </w:tcBorders>
            <w:noWrap/>
            <w:vAlign w:val="center"/>
            <w:hideMark/>
          </w:tcPr>
          <w:p w14:paraId="21D18052" w14:textId="77777777" w:rsidR="00677577" w:rsidRPr="00BB4D6B" w:rsidRDefault="00677577" w:rsidP="004B7C39">
            <w:pPr>
              <w:spacing w:after="0" w:line="240" w:lineRule="auto"/>
              <w:jc w:val="right"/>
              <w:rPr>
                <w:sz w:val="20"/>
                <w:szCs w:val="20"/>
              </w:rPr>
            </w:pPr>
            <w:r w:rsidRPr="00BB4D6B">
              <w:rPr>
                <w:sz w:val="20"/>
                <w:szCs w:val="20"/>
              </w:rPr>
              <w:t>6.1</w:t>
            </w:r>
          </w:p>
        </w:tc>
      </w:tr>
      <w:tr w:rsidR="00677577" w:rsidRPr="00167CB8" w14:paraId="7FD1BD24" w14:textId="77777777">
        <w:trPr>
          <w:trHeight w:val="341"/>
        </w:trPr>
        <w:tc>
          <w:tcPr>
            <w:tcW w:w="3496" w:type="dxa"/>
            <w:tcBorders>
              <w:top w:val="nil"/>
              <w:left w:val="single" w:sz="4" w:space="0" w:color="auto"/>
              <w:bottom w:val="nil"/>
              <w:right w:val="nil"/>
            </w:tcBorders>
            <w:noWrap/>
            <w:vAlign w:val="center"/>
            <w:hideMark/>
          </w:tcPr>
          <w:p w14:paraId="6653D638" w14:textId="77777777" w:rsidR="00677577" w:rsidRPr="00BB4D6B" w:rsidRDefault="00677577">
            <w:pPr>
              <w:spacing w:after="0" w:line="240" w:lineRule="auto"/>
              <w:rPr>
                <w:sz w:val="20"/>
                <w:szCs w:val="20"/>
              </w:rPr>
            </w:pPr>
            <w:r w:rsidRPr="00BB4D6B">
              <w:rPr>
                <w:sz w:val="20"/>
                <w:szCs w:val="20"/>
              </w:rPr>
              <w:t>Nov-24</w:t>
            </w:r>
          </w:p>
        </w:tc>
        <w:tc>
          <w:tcPr>
            <w:tcW w:w="1380" w:type="dxa"/>
            <w:noWrap/>
            <w:vAlign w:val="center"/>
            <w:hideMark/>
          </w:tcPr>
          <w:p w14:paraId="394E1C67" w14:textId="77777777" w:rsidR="00677577" w:rsidRPr="00BB4D6B" w:rsidRDefault="00677577" w:rsidP="004B7C39">
            <w:pPr>
              <w:spacing w:after="0" w:line="240" w:lineRule="auto"/>
              <w:jc w:val="right"/>
              <w:rPr>
                <w:sz w:val="20"/>
                <w:szCs w:val="20"/>
              </w:rPr>
            </w:pPr>
            <w:r w:rsidRPr="00BB4D6B">
              <w:rPr>
                <w:sz w:val="20"/>
                <w:szCs w:val="20"/>
              </w:rPr>
              <w:t>10,068.1</w:t>
            </w:r>
          </w:p>
        </w:tc>
        <w:tc>
          <w:tcPr>
            <w:tcW w:w="1382" w:type="dxa"/>
            <w:noWrap/>
            <w:vAlign w:val="center"/>
            <w:hideMark/>
          </w:tcPr>
          <w:p w14:paraId="04A47124" w14:textId="77777777" w:rsidR="00677577" w:rsidRPr="00BB4D6B" w:rsidRDefault="00677577" w:rsidP="004B7C39">
            <w:pPr>
              <w:spacing w:after="0" w:line="240" w:lineRule="auto"/>
              <w:jc w:val="right"/>
              <w:rPr>
                <w:sz w:val="20"/>
                <w:szCs w:val="20"/>
              </w:rPr>
            </w:pPr>
            <w:r w:rsidRPr="00BB4D6B">
              <w:rPr>
                <w:sz w:val="20"/>
                <w:szCs w:val="20"/>
              </w:rPr>
              <w:t>4,467.4</w:t>
            </w:r>
          </w:p>
        </w:tc>
        <w:tc>
          <w:tcPr>
            <w:tcW w:w="1382" w:type="dxa"/>
            <w:noWrap/>
            <w:vAlign w:val="center"/>
            <w:hideMark/>
          </w:tcPr>
          <w:p w14:paraId="33951DC3" w14:textId="77777777" w:rsidR="00677577" w:rsidRPr="00BB4D6B" w:rsidRDefault="00677577" w:rsidP="004B7C39">
            <w:pPr>
              <w:spacing w:after="0" w:line="240" w:lineRule="auto"/>
              <w:jc w:val="right"/>
              <w:rPr>
                <w:sz w:val="20"/>
                <w:szCs w:val="20"/>
              </w:rPr>
            </w:pPr>
            <w:r w:rsidRPr="00BB4D6B">
              <w:rPr>
                <w:sz w:val="20"/>
                <w:szCs w:val="20"/>
              </w:rPr>
              <w:t>14,535.5</w:t>
            </w:r>
          </w:p>
        </w:tc>
        <w:tc>
          <w:tcPr>
            <w:tcW w:w="1382" w:type="dxa"/>
            <w:noWrap/>
            <w:vAlign w:val="center"/>
            <w:hideMark/>
          </w:tcPr>
          <w:p w14:paraId="7AA397B4" w14:textId="77777777" w:rsidR="00677577" w:rsidRPr="00BB4D6B" w:rsidRDefault="00677577" w:rsidP="004B7C39">
            <w:pPr>
              <w:spacing w:after="0" w:line="240" w:lineRule="auto"/>
              <w:jc w:val="right"/>
              <w:rPr>
                <w:sz w:val="20"/>
                <w:szCs w:val="20"/>
              </w:rPr>
            </w:pPr>
            <w:r w:rsidRPr="00BB4D6B">
              <w:rPr>
                <w:sz w:val="20"/>
                <w:szCs w:val="20"/>
              </w:rPr>
              <w:t>64.4</w:t>
            </w:r>
          </w:p>
        </w:tc>
        <w:tc>
          <w:tcPr>
            <w:tcW w:w="1382" w:type="dxa"/>
            <w:noWrap/>
            <w:vAlign w:val="center"/>
            <w:hideMark/>
          </w:tcPr>
          <w:p w14:paraId="70FFDABC" w14:textId="77777777" w:rsidR="00677577" w:rsidRPr="00BB4D6B" w:rsidRDefault="00677577" w:rsidP="004B7C39">
            <w:pPr>
              <w:spacing w:after="0" w:line="240" w:lineRule="auto"/>
              <w:jc w:val="right"/>
              <w:rPr>
                <w:sz w:val="20"/>
                <w:szCs w:val="20"/>
              </w:rPr>
            </w:pPr>
            <w:r w:rsidRPr="00BB4D6B">
              <w:rPr>
                <w:sz w:val="20"/>
                <w:szCs w:val="20"/>
              </w:rPr>
              <w:t>15,130.8</w:t>
            </w:r>
          </w:p>
        </w:tc>
        <w:tc>
          <w:tcPr>
            <w:tcW w:w="931" w:type="dxa"/>
            <w:noWrap/>
            <w:vAlign w:val="center"/>
            <w:hideMark/>
          </w:tcPr>
          <w:p w14:paraId="2277525D" w14:textId="77777777" w:rsidR="00677577" w:rsidRPr="00BB4D6B" w:rsidRDefault="00677577" w:rsidP="004B7C39">
            <w:pPr>
              <w:spacing w:after="0" w:line="240" w:lineRule="auto"/>
              <w:jc w:val="right"/>
              <w:rPr>
                <w:sz w:val="20"/>
                <w:szCs w:val="20"/>
              </w:rPr>
            </w:pPr>
            <w:r w:rsidRPr="00BB4D6B">
              <w:rPr>
                <w:sz w:val="20"/>
                <w:szCs w:val="20"/>
              </w:rPr>
              <w:t>67.0</w:t>
            </w:r>
          </w:p>
        </w:tc>
        <w:tc>
          <w:tcPr>
            <w:tcW w:w="1134" w:type="dxa"/>
            <w:noWrap/>
            <w:vAlign w:val="center"/>
            <w:hideMark/>
          </w:tcPr>
          <w:p w14:paraId="569F7B32" w14:textId="77777777" w:rsidR="00677577" w:rsidRPr="00BB4D6B" w:rsidRDefault="00677577" w:rsidP="004B7C39">
            <w:pPr>
              <w:spacing w:after="0" w:line="240" w:lineRule="auto"/>
              <w:jc w:val="right"/>
              <w:rPr>
                <w:sz w:val="20"/>
                <w:szCs w:val="20"/>
              </w:rPr>
            </w:pPr>
            <w:r w:rsidRPr="00BB4D6B">
              <w:rPr>
                <w:sz w:val="20"/>
                <w:szCs w:val="20"/>
              </w:rPr>
              <w:t>3.9</w:t>
            </w:r>
          </w:p>
        </w:tc>
        <w:tc>
          <w:tcPr>
            <w:tcW w:w="1276" w:type="dxa"/>
            <w:tcBorders>
              <w:top w:val="nil"/>
              <w:left w:val="nil"/>
              <w:bottom w:val="nil"/>
              <w:right w:val="single" w:sz="4" w:space="0" w:color="auto"/>
            </w:tcBorders>
            <w:noWrap/>
            <w:vAlign w:val="center"/>
            <w:hideMark/>
          </w:tcPr>
          <w:p w14:paraId="3F461CF5" w14:textId="77777777" w:rsidR="00677577" w:rsidRPr="00BB4D6B" w:rsidRDefault="00677577" w:rsidP="004B7C39">
            <w:pPr>
              <w:spacing w:after="0" w:line="240" w:lineRule="auto"/>
              <w:jc w:val="right"/>
              <w:rPr>
                <w:sz w:val="20"/>
                <w:szCs w:val="20"/>
              </w:rPr>
            </w:pPr>
            <w:r w:rsidRPr="00BB4D6B">
              <w:rPr>
                <w:sz w:val="20"/>
                <w:szCs w:val="20"/>
              </w:rPr>
              <w:t>6.3</w:t>
            </w:r>
          </w:p>
        </w:tc>
      </w:tr>
      <w:tr w:rsidR="00677577" w:rsidRPr="00167CB8" w14:paraId="35B1F70D" w14:textId="77777777">
        <w:trPr>
          <w:trHeight w:val="341"/>
        </w:trPr>
        <w:tc>
          <w:tcPr>
            <w:tcW w:w="3496" w:type="dxa"/>
            <w:tcBorders>
              <w:top w:val="nil"/>
              <w:left w:val="single" w:sz="4" w:space="0" w:color="auto"/>
              <w:bottom w:val="nil"/>
              <w:right w:val="nil"/>
            </w:tcBorders>
            <w:vAlign w:val="center"/>
            <w:hideMark/>
          </w:tcPr>
          <w:p w14:paraId="2C51FBA0" w14:textId="77777777" w:rsidR="00677577" w:rsidRPr="00BB4D6B" w:rsidRDefault="00677577">
            <w:pPr>
              <w:spacing w:after="0" w:line="240" w:lineRule="auto"/>
              <w:rPr>
                <w:sz w:val="20"/>
                <w:szCs w:val="20"/>
              </w:rPr>
            </w:pPr>
            <w:r w:rsidRPr="00BB4D6B">
              <w:rPr>
                <w:sz w:val="20"/>
                <w:szCs w:val="20"/>
              </w:rPr>
              <w:t>Change Nov 2012-Nov 2022</w:t>
            </w:r>
          </w:p>
        </w:tc>
        <w:tc>
          <w:tcPr>
            <w:tcW w:w="1380" w:type="dxa"/>
            <w:noWrap/>
            <w:vAlign w:val="center"/>
            <w:hideMark/>
          </w:tcPr>
          <w:p w14:paraId="602EF22E" w14:textId="77777777" w:rsidR="00677577" w:rsidRPr="00BB4D6B" w:rsidRDefault="00677577" w:rsidP="004B7C39">
            <w:pPr>
              <w:spacing w:after="0" w:line="240" w:lineRule="auto"/>
              <w:jc w:val="right"/>
              <w:rPr>
                <w:sz w:val="20"/>
                <w:szCs w:val="20"/>
              </w:rPr>
            </w:pPr>
            <w:r w:rsidRPr="00BB4D6B">
              <w:rPr>
                <w:sz w:val="20"/>
                <w:szCs w:val="20"/>
              </w:rPr>
              <w:t>19.7%</w:t>
            </w:r>
          </w:p>
        </w:tc>
        <w:tc>
          <w:tcPr>
            <w:tcW w:w="1382" w:type="dxa"/>
            <w:noWrap/>
            <w:vAlign w:val="center"/>
            <w:hideMark/>
          </w:tcPr>
          <w:p w14:paraId="040DAC60" w14:textId="77777777" w:rsidR="00677577" w:rsidRPr="00BB4D6B" w:rsidRDefault="00677577" w:rsidP="004B7C39">
            <w:pPr>
              <w:spacing w:after="0" w:line="240" w:lineRule="auto"/>
              <w:jc w:val="right"/>
              <w:rPr>
                <w:sz w:val="20"/>
                <w:szCs w:val="20"/>
              </w:rPr>
            </w:pPr>
            <w:r w:rsidRPr="00BB4D6B">
              <w:rPr>
                <w:sz w:val="20"/>
                <w:szCs w:val="20"/>
              </w:rPr>
              <w:t>24.3%</w:t>
            </w:r>
          </w:p>
        </w:tc>
        <w:tc>
          <w:tcPr>
            <w:tcW w:w="1382" w:type="dxa"/>
            <w:noWrap/>
            <w:vAlign w:val="center"/>
            <w:hideMark/>
          </w:tcPr>
          <w:p w14:paraId="1B9A944D" w14:textId="77777777" w:rsidR="00677577" w:rsidRPr="00BB4D6B" w:rsidRDefault="00677577" w:rsidP="004B7C39">
            <w:pPr>
              <w:spacing w:after="0" w:line="240" w:lineRule="auto"/>
              <w:jc w:val="right"/>
              <w:rPr>
                <w:sz w:val="20"/>
                <w:szCs w:val="20"/>
              </w:rPr>
            </w:pPr>
            <w:r w:rsidRPr="00BB4D6B">
              <w:rPr>
                <w:sz w:val="20"/>
                <w:szCs w:val="20"/>
              </w:rPr>
              <w:t>21.0%</w:t>
            </w:r>
          </w:p>
        </w:tc>
        <w:tc>
          <w:tcPr>
            <w:tcW w:w="1382" w:type="dxa"/>
            <w:noWrap/>
            <w:vAlign w:val="center"/>
            <w:hideMark/>
          </w:tcPr>
          <w:p w14:paraId="14381502" w14:textId="77777777" w:rsidR="00677577" w:rsidRPr="00BB4D6B" w:rsidRDefault="00677577" w:rsidP="004B7C39">
            <w:pPr>
              <w:spacing w:after="0" w:line="240" w:lineRule="auto"/>
              <w:jc w:val="right"/>
              <w:rPr>
                <w:sz w:val="20"/>
                <w:szCs w:val="20"/>
              </w:rPr>
            </w:pPr>
            <w:r w:rsidRPr="00BB4D6B">
              <w:rPr>
                <w:sz w:val="20"/>
                <w:szCs w:val="20"/>
              </w:rPr>
              <w:t>2.77</w:t>
            </w:r>
          </w:p>
        </w:tc>
        <w:tc>
          <w:tcPr>
            <w:tcW w:w="1382" w:type="dxa"/>
            <w:noWrap/>
            <w:vAlign w:val="center"/>
            <w:hideMark/>
          </w:tcPr>
          <w:p w14:paraId="468AA8B2" w14:textId="77777777" w:rsidR="00677577" w:rsidRPr="00BB4D6B" w:rsidRDefault="00677577" w:rsidP="004B7C39">
            <w:pPr>
              <w:spacing w:after="0" w:line="240" w:lineRule="auto"/>
              <w:jc w:val="right"/>
              <w:rPr>
                <w:sz w:val="20"/>
                <w:szCs w:val="20"/>
              </w:rPr>
            </w:pPr>
            <w:r w:rsidRPr="00BB4D6B">
              <w:rPr>
                <w:sz w:val="20"/>
                <w:szCs w:val="20"/>
              </w:rPr>
              <w:t>18.8%</w:t>
            </w:r>
          </w:p>
        </w:tc>
        <w:tc>
          <w:tcPr>
            <w:tcW w:w="931" w:type="dxa"/>
            <w:noWrap/>
            <w:vAlign w:val="center"/>
            <w:hideMark/>
          </w:tcPr>
          <w:p w14:paraId="50768CA1" w14:textId="77777777" w:rsidR="00677577" w:rsidRPr="00BB4D6B" w:rsidRDefault="00677577" w:rsidP="004B7C39">
            <w:pPr>
              <w:spacing w:after="0" w:line="240" w:lineRule="auto"/>
              <w:jc w:val="right"/>
              <w:rPr>
                <w:sz w:val="20"/>
                <w:szCs w:val="20"/>
              </w:rPr>
            </w:pPr>
            <w:r w:rsidRPr="00BB4D6B">
              <w:rPr>
                <w:sz w:val="20"/>
                <w:szCs w:val="20"/>
              </w:rPr>
              <w:t>1.69</w:t>
            </w:r>
          </w:p>
        </w:tc>
        <w:tc>
          <w:tcPr>
            <w:tcW w:w="1134" w:type="dxa"/>
            <w:noWrap/>
            <w:vAlign w:val="center"/>
            <w:hideMark/>
          </w:tcPr>
          <w:p w14:paraId="6EFDDFC4" w14:textId="77777777" w:rsidR="00677577" w:rsidRPr="00BB4D6B" w:rsidRDefault="00677577" w:rsidP="004B7C39">
            <w:pPr>
              <w:spacing w:after="0" w:line="240" w:lineRule="auto"/>
              <w:jc w:val="right"/>
              <w:rPr>
                <w:sz w:val="20"/>
                <w:szCs w:val="20"/>
              </w:rPr>
            </w:pPr>
            <w:r w:rsidRPr="00BB4D6B">
              <w:rPr>
                <w:sz w:val="20"/>
                <w:szCs w:val="20"/>
              </w:rPr>
              <w:t>-1.71</w:t>
            </w:r>
          </w:p>
        </w:tc>
        <w:tc>
          <w:tcPr>
            <w:tcW w:w="1276" w:type="dxa"/>
            <w:tcBorders>
              <w:top w:val="nil"/>
              <w:left w:val="nil"/>
              <w:bottom w:val="nil"/>
              <w:right w:val="single" w:sz="4" w:space="0" w:color="auto"/>
            </w:tcBorders>
            <w:noWrap/>
            <w:vAlign w:val="center"/>
            <w:hideMark/>
          </w:tcPr>
          <w:p w14:paraId="1C7E55E5" w14:textId="77777777" w:rsidR="00677577" w:rsidRPr="00BB4D6B" w:rsidRDefault="00677577" w:rsidP="004B7C39">
            <w:pPr>
              <w:spacing w:after="0" w:line="240" w:lineRule="auto"/>
              <w:jc w:val="right"/>
              <w:rPr>
                <w:sz w:val="20"/>
                <w:szCs w:val="20"/>
              </w:rPr>
            </w:pPr>
            <w:r w:rsidRPr="00BB4D6B">
              <w:rPr>
                <w:sz w:val="20"/>
                <w:szCs w:val="20"/>
              </w:rPr>
              <w:t>-1.30</w:t>
            </w:r>
          </w:p>
        </w:tc>
      </w:tr>
      <w:tr w:rsidR="00677577" w:rsidRPr="00167CB8" w14:paraId="60AC788C" w14:textId="77777777">
        <w:trPr>
          <w:trHeight w:val="341"/>
        </w:trPr>
        <w:tc>
          <w:tcPr>
            <w:tcW w:w="3496" w:type="dxa"/>
            <w:tcBorders>
              <w:top w:val="nil"/>
              <w:left w:val="single" w:sz="4" w:space="0" w:color="auto"/>
              <w:bottom w:val="single" w:sz="4" w:space="0" w:color="auto"/>
              <w:right w:val="nil"/>
            </w:tcBorders>
            <w:vAlign w:val="center"/>
            <w:hideMark/>
          </w:tcPr>
          <w:p w14:paraId="075F84CB" w14:textId="77777777" w:rsidR="00677577" w:rsidRPr="00BB4D6B" w:rsidRDefault="00677577">
            <w:pPr>
              <w:spacing w:after="0" w:line="240" w:lineRule="auto"/>
              <w:rPr>
                <w:sz w:val="20"/>
                <w:szCs w:val="20"/>
              </w:rPr>
            </w:pPr>
            <w:r w:rsidRPr="00BB4D6B">
              <w:rPr>
                <w:sz w:val="20"/>
                <w:szCs w:val="20"/>
              </w:rPr>
              <w:t>Change Nov 2022-Nov 2024</w:t>
            </w:r>
          </w:p>
        </w:tc>
        <w:tc>
          <w:tcPr>
            <w:tcW w:w="1380" w:type="dxa"/>
            <w:tcBorders>
              <w:top w:val="nil"/>
              <w:left w:val="nil"/>
              <w:bottom w:val="single" w:sz="4" w:space="0" w:color="auto"/>
              <w:right w:val="nil"/>
            </w:tcBorders>
            <w:noWrap/>
            <w:vAlign w:val="center"/>
            <w:hideMark/>
          </w:tcPr>
          <w:p w14:paraId="767615C4" w14:textId="77777777" w:rsidR="00677577" w:rsidRPr="00BB4D6B" w:rsidRDefault="00677577" w:rsidP="004B7C39">
            <w:pPr>
              <w:spacing w:after="0" w:line="240" w:lineRule="auto"/>
              <w:jc w:val="right"/>
              <w:rPr>
                <w:sz w:val="20"/>
                <w:szCs w:val="20"/>
              </w:rPr>
            </w:pPr>
            <w:r w:rsidRPr="00BB4D6B">
              <w:rPr>
                <w:sz w:val="20"/>
                <w:szCs w:val="20"/>
              </w:rPr>
              <w:t>5.0%</w:t>
            </w:r>
          </w:p>
        </w:tc>
        <w:tc>
          <w:tcPr>
            <w:tcW w:w="1382" w:type="dxa"/>
            <w:tcBorders>
              <w:top w:val="nil"/>
              <w:left w:val="nil"/>
              <w:bottom w:val="single" w:sz="4" w:space="0" w:color="auto"/>
              <w:right w:val="nil"/>
            </w:tcBorders>
            <w:noWrap/>
            <w:vAlign w:val="center"/>
            <w:hideMark/>
          </w:tcPr>
          <w:p w14:paraId="2B2DFEFC" w14:textId="77777777" w:rsidR="00677577" w:rsidRPr="00BB4D6B" w:rsidRDefault="00677577" w:rsidP="004B7C39">
            <w:pPr>
              <w:spacing w:after="0" w:line="240" w:lineRule="auto"/>
              <w:jc w:val="right"/>
              <w:rPr>
                <w:sz w:val="20"/>
                <w:szCs w:val="20"/>
              </w:rPr>
            </w:pPr>
            <w:r w:rsidRPr="00BB4D6B">
              <w:rPr>
                <w:sz w:val="20"/>
                <w:szCs w:val="20"/>
              </w:rPr>
              <w:t>6.6%</w:t>
            </w:r>
          </w:p>
        </w:tc>
        <w:tc>
          <w:tcPr>
            <w:tcW w:w="1382" w:type="dxa"/>
            <w:tcBorders>
              <w:top w:val="nil"/>
              <w:left w:val="nil"/>
              <w:bottom w:val="single" w:sz="4" w:space="0" w:color="auto"/>
              <w:right w:val="nil"/>
            </w:tcBorders>
            <w:noWrap/>
            <w:vAlign w:val="center"/>
            <w:hideMark/>
          </w:tcPr>
          <w:p w14:paraId="1E9BC9EA" w14:textId="77777777" w:rsidR="00677577" w:rsidRPr="00BB4D6B" w:rsidRDefault="00677577" w:rsidP="004B7C39">
            <w:pPr>
              <w:spacing w:after="0" w:line="240" w:lineRule="auto"/>
              <w:jc w:val="right"/>
              <w:rPr>
                <w:sz w:val="20"/>
                <w:szCs w:val="20"/>
              </w:rPr>
            </w:pPr>
            <w:r w:rsidRPr="00BB4D6B">
              <w:rPr>
                <w:sz w:val="20"/>
                <w:szCs w:val="20"/>
              </w:rPr>
              <w:t>5.5%</w:t>
            </w:r>
          </w:p>
        </w:tc>
        <w:tc>
          <w:tcPr>
            <w:tcW w:w="1382" w:type="dxa"/>
            <w:tcBorders>
              <w:top w:val="nil"/>
              <w:left w:val="nil"/>
              <w:bottom w:val="single" w:sz="4" w:space="0" w:color="auto"/>
              <w:right w:val="nil"/>
            </w:tcBorders>
            <w:noWrap/>
            <w:vAlign w:val="center"/>
            <w:hideMark/>
          </w:tcPr>
          <w:p w14:paraId="599DCA9B" w14:textId="77777777" w:rsidR="00677577" w:rsidRPr="00BB4D6B" w:rsidRDefault="00677577" w:rsidP="004B7C39">
            <w:pPr>
              <w:spacing w:after="0" w:line="240" w:lineRule="auto"/>
              <w:jc w:val="right"/>
              <w:rPr>
                <w:sz w:val="20"/>
                <w:szCs w:val="20"/>
              </w:rPr>
            </w:pPr>
            <w:r w:rsidRPr="00BB4D6B">
              <w:rPr>
                <w:sz w:val="20"/>
                <w:szCs w:val="20"/>
              </w:rPr>
              <w:t>0.06</w:t>
            </w:r>
          </w:p>
        </w:tc>
        <w:tc>
          <w:tcPr>
            <w:tcW w:w="1382" w:type="dxa"/>
            <w:tcBorders>
              <w:top w:val="nil"/>
              <w:left w:val="nil"/>
              <w:bottom w:val="single" w:sz="4" w:space="0" w:color="auto"/>
              <w:right w:val="nil"/>
            </w:tcBorders>
            <w:noWrap/>
            <w:vAlign w:val="center"/>
            <w:hideMark/>
          </w:tcPr>
          <w:p w14:paraId="157289C8" w14:textId="77777777" w:rsidR="00677577" w:rsidRPr="00BB4D6B" w:rsidRDefault="00677577" w:rsidP="004B7C39">
            <w:pPr>
              <w:spacing w:after="0" w:line="240" w:lineRule="auto"/>
              <w:jc w:val="right"/>
              <w:rPr>
                <w:sz w:val="20"/>
                <w:szCs w:val="20"/>
              </w:rPr>
            </w:pPr>
            <w:r w:rsidRPr="00BB4D6B">
              <w:rPr>
                <w:sz w:val="20"/>
                <w:szCs w:val="20"/>
              </w:rPr>
              <w:t>5.9%</w:t>
            </w:r>
          </w:p>
        </w:tc>
        <w:tc>
          <w:tcPr>
            <w:tcW w:w="931" w:type="dxa"/>
            <w:tcBorders>
              <w:top w:val="nil"/>
              <w:left w:val="nil"/>
              <w:bottom w:val="single" w:sz="4" w:space="0" w:color="auto"/>
              <w:right w:val="nil"/>
            </w:tcBorders>
            <w:noWrap/>
            <w:vAlign w:val="center"/>
            <w:hideMark/>
          </w:tcPr>
          <w:p w14:paraId="661C7F97" w14:textId="77777777" w:rsidR="00677577" w:rsidRPr="00BB4D6B" w:rsidRDefault="00677577" w:rsidP="004B7C39">
            <w:pPr>
              <w:spacing w:after="0" w:line="240" w:lineRule="auto"/>
              <w:jc w:val="right"/>
              <w:rPr>
                <w:sz w:val="20"/>
                <w:szCs w:val="20"/>
              </w:rPr>
            </w:pPr>
            <w:r w:rsidRPr="00BB4D6B">
              <w:rPr>
                <w:sz w:val="20"/>
                <w:szCs w:val="20"/>
              </w:rPr>
              <w:t>0.36</w:t>
            </w:r>
          </w:p>
        </w:tc>
        <w:tc>
          <w:tcPr>
            <w:tcW w:w="1134" w:type="dxa"/>
            <w:tcBorders>
              <w:top w:val="nil"/>
              <w:left w:val="nil"/>
              <w:bottom w:val="single" w:sz="4" w:space="0" w:color="auto"/>
              <w:right w:val="nil"/>
            </w:tcBorders>
            <w:noWrap/>
            <w:vAlign w:val="center"/>
            <w:hideMark/>
          </w:tcPr>
          <w:p w14:paraId="6E57BE10" w14:textId="77777777" w:rsidR="00677577" w:rsidRPr="00BB4D6B" w:rsidRDefault="00677577" w:rsidP="004B7C39">
            <w:pPr>
              <w:spacing w:after="0" w:line="240" w:lineRule="auto"/>
              <w:jc w:val="right"/>
              <w:rPr>
                <w:sz w:val="20"/>
                <w:szCs w:val="20"/>
              </w:rPr>
            </w:pPr>
            <w:r w:rsidRPr="00BB4D6B">
              <w:rPr>
                <w:sz w:val="20"/>
                <w:szCs w:val="20"/>
              </w:rPr>
              <w:t>0.35</w:t>
            </w:r>
          </w:p>
        </w:tc>
        <w:tc>
          <w:tcPr>
            <w:tcW w:w="1276" w:type="dxa"/>
            <w:tcBorders>
              <w:top w:val="nil"/>
              <w:left w:val="nil"/>
              <w:bottom w:val="single" w:sz="4" w:space="0" w:color="auto"/>
              <w:right w:val="single" w:sz="4" w:space="0" w:color="auto"/>
            </w:tcBorders>
            <w:noWrap/>
            <w:vAlign w:val="center"/>
            <w:hideMark/>
          </w:tcPr>
          <w:p w14:paraId="37234F78" w14:textId="77777777" w:rsidR="00677577" w:rsidRPr="00BB4D6B" w:rsidRDefault="00677577" w:rsidP="004B7C39">
            <w:pPr>
              <w:spacing w:after="0" w:line="240" w:lineRule="auto"/>
              <w:jc w:val="right"/>
              <w:rPr>
                <w:sz w:val="20"/>
                <w:szCs w:val="20"/>
              </w:rPr>
            </w:pPr>
            <w:r w:rsidRPr="00BB4D6B">
              <w:rPr>
                <w:sz w:val="20"/>
                <w:szCs w:val="20"/>
              </w:rPr>
              <w:t>0.20</w:t>
            </w:r>
          </w:p>
        </w:tc>
      </w:tr>
    </w:tbl>
    <w:p w14:paraId="0BFAAF9B" w14:textId="77777777" w:rsidR="0011475D" w:rsidRDefault="00677577" w:rsidP="00677577">
      <w:pPr>
        <w:spacing w:after="0"/>
        <w:rPr>
          <w:b/>
          <w:bCs/>
          <w:sz w:val="18"/>
          <w:szCs w:val="18"/>
        </w:rPr>
      </w:pPr>
      <w:r w:rsidRPr="00BB4D6B">
        <w:rPr>
          <w:b/>
          <w:bCs/>
          <w:sz w:val="18"/>
          <w:szCs w:val="18"/>
        </w:rPr>
        <w:t>Notes:</w:t>
      </w:r>
    </w:p>
    <w:p w14:paraId="4186EE35" w14:textId="4BD380A2" w:rsidR="00677577" w:rsidRPr="00BB4D6B" w:rsidRDefault="00677577" w:rsidP="00677577">
      <w:pPr>
        <w:spacing w:after="0" w:line="240" w:lineRule="auto"/>
        <w:rPr>
          <w:sz w:val="18"/>
          <w:szCs w:val="18"/>
        </w:rPr>
      </w:pPr>
      <w:r w:rsidRPr="00BB4D6B">
        <w:rPr>
          <w:sz w:val="18"/>
          <w:szCs w:val="18"/>
        </w:rPr>
        <w:t>1. E/P: employment to population ratio.</w:t>
      </w:r>
    </w:p>
    <w:p w14:paraId="580AB516" w14:textId="77777777" w:rsidR="0011475D" w:rsidRDefault="00677577" w:rsidP="00677577">
      <w:pPr>
        <w:spacing w:after="0" w:line="240" w:lineRule="auto"/>
        <w:rPr>
          <w:sz w:val="18"/>
          <w:szCs w:val="18"/>
        </w:rPr>
      </w:pPr>
      <w:r w:rsidRPr="00BB4D6B">
        <w:rPr>
          <w:sz w:val="18"/>
          <w:szCs w:val="18"/>
        </w:rPr>
        <w:t>2. Where the initial data is a % (e.g. E/P ratio), the change calculation shows the percentage point change.</w:t>
      </w:r>
    </w:p>
    <w:p w14:paraId="6C4020A1" w14:textId="77777777" w:rsidR="0011475D" w:rsidRDefault="00677577" w:rsidP="00677577">
      <w:pPr>
        <w:spacing w:after="0" w:line="240" w:lineRule="auto"/>
        <w:rPr>
          <w:sz w:val="18"/>
          <w:szCs w:val="18"/>
        </w:rPr>
      </w:pPr>
      <w:r w:rsidRPr="00BB4D6B">
        <w:rPr>
          <w:b/>
          <w:bCs/>
          <w:sz w:val="18"/>
          <w:szCs w:val="18"/>
        </w:rPr>
        <w:t>Source:</w:t>
      </w:r>
      <w:r w:rsidRPr="00BB4D6B">
        <w:rPr>
          <w:sz w:val="18"/>
          <w:szCs w:val="18"/>
        </w:rPr>
        <w:t xml:space="preserve"> ABS Labour Force, Australia (Cat No 6202.0), Table 1 and Table 22 (Underutilised persons by age and sex). Seasonally adjusted data.</w:t>
      </w:r>
    </w:p>
    <w:p w14:paraId="070A5FAE" w14:textId="2DD1FF69" w:rsidR="00677577" w:rsidRPr="00167CB8" w:rsidRDefault="00677577" w:rsidP="00677577">
      <w:pPr>
        <w:sectPr w:rsidR="00677577" w:rsidRPr="00167CB8" w:rsidSect="00677577">
          <w:pgSz w:w="16838" w:h="11906" w:orient="landscape"/>
          <w:pgMar w:top="1440" w:right="1440" w:bottom="1440" w:left="1440" w:header="708" w:footer="708" w:gutter="0"/>
          <w:cols w:space="720"/>
        </w:sectPr>
      </w:pPr>
    </w:p>
    <w:p w14:paraId="2EF2E858" w14:textId="6883375D" w:rsidR="0011475D" w:rsidRDefault="00677577" w:rsidP="00677577">
      <w:r w:rsidRPr="00F532EE">
        <w:lastRenderedPageBreak/>
        <w:t xml:space="preserve">Table </w:t>
      </w:r>
      <w:r w:rsidR="00111C3C" w:rsidRPr="00F532EE">
        <w:t>2</w:t>
      </w:r>
      <w:r w:rsidR="00111C3C">
        <w:t>7</w:t>
      </w:r>
      <w:r w:rsidR="00111C3C" w:rsidRPr="00A32FB1">
        <w:t xml:space="preserve"> </w:t>
      </w:r>
      <w:r w:rsidRPr="00A32FB1">
        <w:t>s</w:t>
      </w:r>
      <w:r w:rsidRPr="00167CB8">
        <w:t xml:space="preserve">hows the distribution of men and women across major industry divisions and, in so doing, highlights the sex-segregated nature of the Australian labour market. </w:t>
      </w:r>
      <w:r w:rsidR="00884FA4" w:rsidRPr="00167CB8">
        <w:t>Th</w:t>
      </w:r>
      <w:r w:rsidR="00884FA4">
        <w:t>i</w:t>
      </w:r>
      <w:r w:rsidR="00884FA4" w:rsidRPr="00167CB8">
        <w:t xml:space="preserve">s </w:t>
      </w:r>
      <w:r w:rsidRPr="00167CB8">
        <w:t xml:space="preserve">data </w:t>
      </w:r>
      <w:r w:rsidR="00884FA4">
        <w:t xml:space="preserve">is </w:t>
      </w:r>
      <w:r w:rsidRPr="00167CB8">
        <w:t>from the ABS detailed Labour Force Survey.</w:t>
      </w:r>
      <w:r w:rsidRPr="00167CB8">
        <w:rPr>
          <w:vertAlign w:val="superscript"/>
        </w:rPr>
        <w:footnoteReference w:id="1326"/>
      </w:r>
    </w:p>
    <w:p w14:paraId="438001C7" w14:textId="5621C500" w:rsidR="0011475D" w:rsidRDefault="00677577" w:rsidP="00677577">
      <w:r w:rsidRPr="00167CB8">
        <w:t xml:space="preserve">In the 10 years to 2022 the top </w:t>
      </w:r>
      <w:r w:rsidR="007F4838">
        <w:t>five</w:t>
      </w:r>
      <w:r w:rsidRPr="00167CB8">
        <w:t xml:space="preserve"> growth industries (in descending order of growth) were health care and social assistance; professional, scientific and technical services; education and training; financial and insurance; and public administration and safety.</w:t>
      </w:r>
    </w:p>
    <w:p w14:paraId="1FE68E3B" w14:textId="6B7F3949" w:rsidR="0011475D" w:rsidRDefault="00677577" w:rsidP="00677577">
      <w:r w:rsidRPr="00167CB8">
        <w:t>Employment fell in manufacturing; wholesale trade and agriculture; and forestry and fishing. Since August 2022</w:t>
      </w:r>
      <w:r w:rsidR="007F4838">
        <w:t>,</w:t>
      </w:r>
      <w:r w:rsidRPr="00167CB8">
        <w:t xml:space="preserve"> </w:t>
      </w:r>
      <w:r w:rsidR="007F4838">
        <w:t>two</w:t>
      </w:r>
      <w:r w:rsidRPr="00167CB8">
        <w:t xml:space="preserve"> industries </w:t>
      </w:r>
      <w:r w:rsidRPr="00167CB8">
        <w:rPr>
          <w:rFonts w:ascii="Symbol" w:eastAsia="Symbol" w:hAnsi="Symbol" w:cs="Symbol"/>
        </w:rPr>
        <w:sym w:font="Symbol" w:char="F02D"/>
      </w:r>
      <w:r w:rsidRPr="00167CB8">
        <w:t xml:space="preserve"> health care and social assistance; and education and training – have continued to exhibit strong employment growth.</w:t>
      </w:r>
    </w:p>
    <w:p w14:paraId="0EFF5D76" w14:textId="7DB18FCC" w:rsidR="00677577" w:rsidRPr="00167CB8" w:rsidRDefault="00677577" w:rsidP="00677577">
      <w:r w:rsidRPr="00167CB8">
        <w:t>By August 2024 nearly a quarter (24.7%) of all employed women were employed in the health care and social assistance sector. A further 13.1% were employed in education and training and 10.6% in retail trade. The distribution of men across the industry divisions was quite different. The largest share, at 15%, was in construction, followed by 9.8% in professional, scientific and technical services and then 8.3% in manufacturing. Only 3.7% of employed women were in manufacturing. These patterns of labour market segmentation have implications for the gender wage gap (as will be explained below).</w:t>
      </w:r>
    </w:p>
    <w:p w14:paraId="5BB0416A" w14:textId="37651A0C" w:rsidR="0011475D" w:rsidRDefault="00677577" w:rsidP="00677577">
      <w:r w:rsidRPr="00167CB8">
        <w:t>In terms of total employment</w:t>
      </w:r>
      <w:r w:rsidRPr="00A32FB1">
        <w:t xml:space="preserve">, </w:t>
      </w:r>
      <w:r w:rsidRPr="00766B56">
        <w:t xml:space="preserve">Table </w:t>
      </w:r>
      <w:r w:rsidR="00125755" w:rsidRPr="00766B56">
        <w:t>2</w:t>
      </w:r>
      <w:r w:rsidR="00125755">
        <w:t>7</w:t>
      </w:r>
      <w:r w:rsidR="00125755" w:rsidRPr="00A32FB1">
        <w:t xml:space="preserve"> </w:t>
      </w:r>
      <w:r w:rsidRPr="00A32FB1">
        <w:t>shows</w:t>
      </w:r>
      <w:r w:rsidRPr="00167CB8">
        <w:t xml:space="preserve"> that the largest is health care and social assistance. At August 2024 this industry division accounted for 15.5% of all employed people in Australia. The second largest industry division was retail trade (at 9.3%), followed by construction (9.2%), professional, scientific and technical services (9.1%) and education and training (8.6%).</w:t>
      </w:r>
    </w:p>
    <w:p w14:paraId="588CD211" w14:textId="54473083" w:rsidR="0011475D" w:rsidRDefault="00677577" w:rsidP="00677577">
      <w:r w:rsidRPr="00F63DFC">
        <w:t xml:space="preserve">Table </w:t>
      </w:r>
      <w:r w:rsidR="00125755" w:rsidRPr="00F63DFC">
        <w:t>2</w:t>
      </w:r>
      <w:r w:rsidR="00125755">
        <w:t xml:space="preserve">8 </w:t>
      </w:r>
      <w:r w:rsidRPr="00167CB8">
        <w:t xml:space="preserve">shows employment growth – and distribution – by occupation of employment. Between August 2012 and August 2024 total employment increased by 28%. Above average growth, however, occurred among community and personal service workers (56% growth rate between 2012 and 2024) and professionals (52% increase in employment over the same period). In the </w:t>
      </w:r>
      <w:r w:rsidR="007F4838">
        <w:t>two</w:t>
      </w:r>
      <w:r w:rsidRPr="00167CB8">
        <w:t xml:space="preserve"> years to August 2022 employment growth among men was strongest amongst clerical and administrative workers, whereas among women it was strongest amongst community and personal service workers.</w:t>
      </w:r>
    </w:p>
    <w:p w14:paraId="72377B96" w14:textId="13CA723A" w:rsidR="00677577" w:rsidRPr="00167CB8" w:rsidRDefault="00677577" w:rsidP="00677577">
      <w:pPr>
        <w:sectPr w:rsidR="00677577" w:rsidRPr="00167CB8" w:rsidSect="00677577">
          <w:pgSz w:w="11906" w:h="16838"/>
          <w:pgMar w:top="1440" w:right="1440" w:bottom="1440" w:left="1440" w:header="708" w:footer="708" w:gutter="0"/>
          <w:cols w:space="720"/>
        </w:sectPr>
      </w:pPr>
    </w:p>
    <w:p w14:paraId="558D232D" w14:textId="05A10473" w:rsidR="00677577" w:rsidRPr="00167CB8" w:rsidRDefault="00365C93" w:rsidP="007F380D">
      <w:pPr>
        <w:pStyle w:val="Caption"/>
      </w:pPr>
      <w:bookmarkStart w:id="762" w:name="_Ref184403803"/>
      <w:bookmarkStart w:id="763" w:name="_Toc186991802"/>
      <w:bookmarkStart w:id="764" w:name="_Toc189310853"/>
      <w:bookmarkStart w:id="765" w:name="_Toc194251451"/>
      <w:r>
        <w:lastRenderedPageBreak/>
        <w:t xml:space="preserve">Table </w:t>
      </w:r>
      <w:r>
        <w:fldChar w:fldCharType="begin"/>
      </w:r>
      <w:r>
        <w:instrText xml:space="preserve"> SEQ Table \* ARABIC </w:instrText>
      </w:r>
      <w:r>
        <w:fldChar w:fldCharType="separate"/>
      </w:r>
      <w:r w:rsidR="00DE5F5E">
        <w:rPr>
          <w:noProof/>
        </w:rPr>
        <w:t>27</w:t>
      </w:r>
      <w:r>
        <w:fldChar w:fldCharType="end"/>
      </w:r>
      <w:r>
        <w:t xml:space="preserve">: </w:t>
      </w:r>
      <w:bookmarkEnd w:id="762"/>
      <w:r w:rsidR="00677577" w:rsidRPr="00167CB8">
        <w:t>Employment growth and distribution by industry division</w:t>
      </w:r>
      <w:r w:rsidR="00677577" w:rsidRPr="00167CB8" w:rsidDel="00A32FB1">
        <w:t xml:space="preserve">, </w:t>
      </w:r>
      <w:r w:rsidR="00677577" w:rsidRPr="007F0E48" w:rsidDel="00A32FB1">
        <w:t>Australia</w:t>
      </w:r>
      <w:bookmarkEnd w:id="763"/>
      <w:bookmarkEnd w:id="764"/>
      <w:bookmarkEnd w:id="765"/>
    </w:p>
    <w:tbl>
      <w:tblPr>
        <w:tblW w:w="1410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163"/>
        <w:gridCol w:w="934"/>
        <w:gridCol w:w="934"/>
        <w:gridCol w:w="935"/>
        <w:gridCol w:w="1019"/>
        <w:gridCol w:w="1019"/>
        <w:gridCol w:w="1020"/>
        <w:gridCol w:w="1019"/>
        <w:gridCol w:w="1019"/>
        <w:gridCol w:w="1019"/>
        <w:gridCol w:w="1019"/>
      </w:tblGrid>
      <w:tr w:rsidR="00677577" w:rsidRPr="00167CB8" w14:paraId="65E96D30" w14:textId="77777777">
        <w:trPr>
          <w:trHeight w:val="267"/>
        </w:trPr>
        <w:tc>
          <w:tcPr>
            <w:tcW w:w="4160" w:type="dxa"/>
            <w:tcBorders>
              <w:top w:val="single" w:sz="4" w:space="0" w:color="auto"/>
              <w:left w:val="single" w:sz="4" w:space="0" w:color="auto"/>
              <w:bottom w:val="nil"/>
              <w:right w:val="nil"/>
            </w:tcBorders>
            <w:noWrap/>
            <w:vAlign w:val="bottom"/>
            <w:hideMark/>
          </w:tcPr>
          <w:p w14:paraId="228B4E97" w14:textId="77777777" w:rsidR="00677577" w:rsidRPr="00BB4D6B" w:rsidRDefault="00677577">
            <w:pPr>
              <w:spacing w:after="0" w:line="240" w:lineRule="auto"/>
              <w:rPr>
                <w:b/>
                <w:bCs/>
                <w:sz w:val="20"/>
                <w:szCs w:val="20"/>
              </w:rPr>
            </w:pPr>
          </w:p>
        </w:tc>
        <w:tc>
          <w:tcPr>
            <w:tcW w:w="2800" w:type="dxa"/>
            <w:gridSpan w:val="3"/>
            <w:tcBorders>
              <w:top w:val="single" w:sz="4" w:space="0" w:color="auto"/>
              <w:left w:val="nil"/>
              <w:bottom w:val="nil"/>
              <w:right w:val="single" w:sz="4" w:space="0" w:color="auto"/>
            </w:tcBorders>
            <w:hideMark/>
          </w:tcPr>
          <w:p w14:paraId="5552B725" w14:textId="77777777" w:rsidR="00677577" w:rsidRPr="00BB4D6B" w:rsidRDefault="00677577" w:rsidP="00D049C1">
            <w:pPr>
              <w:spacing w:after="0" w:line="240" w:lineRule="auto"/>
              <w:jc w:val="right"/>
              <w:rPr>
                <w:b/>
                <w:bCs/>
                <w:sz w:val="20"/>
                <w:szCs w:val="20"/>
              </w:rPr>
            </w:pPr>
            <w:r w:rsidRPr="00BB4D6B">
              <w:rPr>
                <w:b/>
                <w:bCs/>
                <w:sz w:val="20"/>
                <w:szCs w:val="20"/>
              </w:rPr>
              <w:t>Aug 2012</w:t>
            </w:r>
            <w:r w:rsidRPr="00BB4D6B">
              <w:rPr>
                <w:rFonts w:ascii="Symbol" w:eastAsia="Symbol" w:hAnsi="Symbol" w:cs="Symbol"/>
                <w:b/>
                <w:bCs/>
                <w:sz w:val="20"/>
                <w:szCs w:val="20"/>
              </w:rPr>
              <w:sym w:font="Symbol" w:char="F02D"/>
            </w:r>
            <w:r w:rsidRPr="00BB4D6B">
              <w:rPr>
                <w:b/>
                <w:bCs/>
                <w:sz w:val="20"/>
                <w:szCs w:val="20"/>
              </w:rPr>
              <w:t>2022</w:t>
            </w:r>
          </w:p>
        </w:tc>
        <w:tc>
          <w:tcPr>
            <w:tcW w:w="3058" w:type="dxa"/>
            <w:gridSpan w:val="3"/>
            <w:tcBorders>
              <w:top w:val="single" w:sz="4" w:space="0" w:color="auto"/>
              <w:left w:val="single" w:sz="4" w:space="0" w:color="auto"/>
              <w:bottom w:val="nil"/>
              <w:right w:val="single" w:sz="4" w:space="0" w:color="auto"/>
            </w:tcBorders>
            <w:hideMark/>
          </w:tcPr>
          <w:p w14:paraId="6148DA6F" w14:textId="77777777" w:rsidR="00677577" w:rsidRPr="00BB4D6B" w:rsidRDefault="00677577" w:rsidP="00D049C1">
            <w:pPr>
              <w:spacing w:after="0" w:line="240" w:lineRule="auto"/>
              <w:jc w:val="right"/>
              <w:rPr>
                <w:b/>
                <w:bCs/>
                <w:sz w:val="20"/>
                <w:szCs w:val="20"/>
              </w:rPr>
            </w:pPr>
            <w:r w:rsidRPr="00BB4D6B">
              <w:rPr>
                <w:b/>
                <w:bCs/>
                <w:sz w:val="20"/>
                <w:szCs w:val="20"/>
              </w:rPr>
              <w:t>Aug 2022</w:t>
            </w:r>
            <w:r w:rsidRPr="00BB4D6B">
              <w:rPr>
                <w:rFonts w:ascii="Symbol" w:eastAsia="Symbol" w:hAnsi="Symbol" w:cs="Symbol"/>
                <w:b/>
                <w:bCs/>
                <w:sz w:val="20"/>
                <w:szCs w:val="20"/>
              </w:rPr>
              <w:sym w:font="Symbol" w:char="F02D"/>
            </w:r>
            <w:r w:rsidRPr="00BB4D6B">
              <w:rPr>
                <w:b/>
                <w:bCs/>
                <w:sz w:val="20"/>
                <w:szCs w:val="20"/>
              </w:rPr>
              <w:t>2024</w:t>
            </w:r>
          </w:p>
        </w:tc>
        <w:tc>
          <w:tcPr>
            <w:tcW w:w="2038" w:type="dxa"/>
            <w:gridSpan w:val="2"/>
            <w:tcBorders>
              <w:top w:val="single" w:sz="4" w:space="0" w:color="auto"/>
              <w:left w:val="single" w:sz="4" w:space="0" w:color="auto"/>
              <w:bottom w:val="nil"/>
              <w:right w:val="nil"/>
            </w:tcBorders>
            <w:hideMark/>
          </w:tcPr>
          <w:p w14:paraId="42F0C5EA" w14:textId="77777777" w:rsidR="00677577" w:rsidRPr="00BB4D6B" w:rsidRDefault="00677577" w:rsidP="00D049C1">
            <w:pPr>
              <w:spacing w:after="0" w:line="240" w:lineRule="auto"/>
              <w:jc w:val="right"/>
              <w:rPr>
                <w:b/>
                <w:bCs/>
                <w:sz w:val="20"/>
                <w:szCs w:val="20"/>
              </w:rPr>
            </w:pPr>
            <w:r w:rsidRPr="00BB4D6B">
              <w:rPr>
                <w:b/>
                <w:bCs/>
                <w:sz w:val="20"/>
                <w:szCs w:val="20"/>
              </w:rPr>
              <w:t>Aug-2012</w:t>
            </w:r>
          </w:p>
        </w:tc>
        <w:tc>
          <w:tcPr>
            <w:tcW w:w="2038" w:type="dxa"/>
            <w:gridSpan w:val="2"/>
            <w:tcBorders>
              <w:top w:val="single" w:sz="4" w:space="0" w:color="auto"/>
              <w:left w:val="nil"/>
              <w:bottom w:val="nil"/>
              <w:right w:val="single" w:sz="4" w:space="0" w:color="auto"/>
            </w:tcBorders>
            <w:hideMark/>
          </w:tcPr>
          <w:p w14:paraId="29E589EF" w14:textId="77777777" w:rsidR="00677577" w:rsidRPr="00BB4D6B" w:rsidRDefault="00677577" w:rsidP="00D049C1">
            <w:pPr>
              <w:spacing w:after="0" w:line="240" w:lineRule="auto"/>
              <w:jc w:val="right"/>
              <w:rPr>
                <w:b/>
                <w:bCs/>
                <w:sz w:val="20"/>
                <w:szCs w:val="20"/>
              </w:rPr>
            </w:pPr>
            <w:r w:rsidRPr="00BB4D6B">
              <w:rPr>
                <w:b/>
                <w:bCs/>
                <w:sz w:val="20"/>
                <w:szCs w:val="20"/>
              </w:rPr>
              <w:t>Aug-2024</w:t>
            </w:r>
          </w:p>
        </w:tc>
      </w:tr>
      <w:tr w:rsidR="00677577" w:rsidRPr="00167CB8" w14:paraId="3B47DD6D" w14:textId="77777777">
        <w:trPr>
          <w:trHeight w:val="304"/>
        </w:trPr>
        <w:tc>
          <w:tcPr>
            <w:tcW w:w="4160" w:type="dxa"/>
            <w:tcBorders>
              <w:top w:val="nil"/>
              <w:left w:val="single" w:sz="4" w:space="0" w:color="auto"/>
              <w:bottom w:val="single" w:sz="4" w:space="0" w:color="auto"/>
              <w:right w:val="nil"/>
            </w:tcBorders>
            <w:noWrap/>
            <w:vAlign w:val="bottom"/>
            <w:hideMark/>
          </w:tcPr>
          <w:p w14:paraId="470EC2B3" w14:textId="77777777" w:rsidR="00677577" w:rsidRPr="00BB4D6B" w:rsidRDefault="00677577">
            <w:pPr>
              <w:spacing w:after="0" w:line="240" w:lineRule="auto"/>
              <w:rPr>
                <w:b/>
                <w:bCs/>
                <w:sz w:val="20"/>
                <w:szCs w:val="20"/>
              </w:rPr>
            </w:pPr>
          </w:p>
        </w:tc>
        <w:tc>
          <w:tcPr>
            <w:tcW w:w="933" w:type="dxa"/>
            <w:tcBorders>
              <w:top w:val="nil"/>
              <w:left w:val="nil"/>
              <w:bottom w:val="single" w:sz="4" w:space="0" w:color="auto"/>
              <w:right w:val="nil"/>
            </w:tcBorders>
            <w:hideMark/>
          </w:tcPr>
          <w:p w14:paraId="1C5014F6" w14:textId="77777777" w:rsidR="00677577" w:rsidRPr="00BB4D6B" w:rsidRDefault="00677577" w:rsidP="00D049C1">
            <w:pPr>
              <w:spacing w:after="0" w:line="240" w:lineRule="auto"/>
              <w:jc w:val="right"/>
              <w:rPr>
                <w:b/>
                <w:bCs/>
                <w:sz w:val="20"/>
                <w:szCs w:val="20"/>
              </w:rPr>
            </w:pPr>
            <w:r w:rsidRPr="00BB4D6B">
              <w:rPr>
                <w:b/>
                <w:bCs/>
                <w:sz w:val="20"/>
                <w:szCs w:val="20"/>
              </w:rPr>
              <w:t>Total</w:t>
            </w:r>
          </w:p>
        </w:tc>
        <w:tc>
          <w:tcPr>
            <w:tcW w:w="933" w:type="dxa"/>
            <w:tcBorders>
              <w:top w:val="nil"/>
              <w:left w:val="nil"/>
              <w:bottom w:val="single" w:sz="4" w:space="0" w:color="auto"/>
              <w:right w:val="nil"/>
            </w:tcBorders>
            <w:hideMark/>
          </w:tcPr>
          <w:p w14:paraId="4740E33B" w14:textId="77777777" w:rsidR="00677577" w:rsidRPr="00BB4D6B" w:rsidRDefault="00677577" w:rsidP="00D049C1">
            <w:pPr>
              <w:spacing w:after="0" w:line="240" w:lineRule="auto"/>
              <w:jc w:val="right"/>
              <w:rPr>
                <w:b/>
                <w:bCs/>
                <w:sz w:val="20"/>
                <w:szCs w:val="20"/>
              </w:rPr>
            </w:pPr>
            <w:r w:rsidRPr="00BB4D6B">
              <w:rPr>
                <w:b/>
                <w:bCs/>
                <w:sz w:val="20"/>
                <w:szCs w:val="20"/>
              </w:rPr>
              <w:t>Men</w:t>
            </w:r>
          </w:p>
        </w:tc>
        <w:tc>
          <w:tcPr>
            <w:tcW w:w="934" w:type="dxa"/>
            <w:tcBorders>
              <w:top w:val="nil"/>
              <w:left w:val="nil"/>
              <w:bottom w:val="single" w:sz="4" w:space="0" w:color="auto"/>
              <w:right w:val="single" w:sz="4" w:space="0" w:color="auto"/>
            </w:tcBorders>
            <w:hideMark/>
          </w:tcPr>
          <w:p w14:paraId="1F5A1B50" w14:textId="77777777" w:rsidR="00677577" w:rsidRPr="00BB4D6B" w:rsidRDefault="00677577" w:rsidP="00D049C1">
            <w:pPr>
              <w:spacing w:after="0" w:line="240" w:lineRule="auto"/>
              <w:jc w:val="right"/>
              <w:rPr>
                <w:b/>
                <w:bCs/>
                <w:sz w:val="20"/>
                <w:szCs w:val="20"/>
              </w:rPr>
            </w:pPr>
            <w:r w:rsidRPr="00BB4D6B">
              <w:rPr>
                <w:b/>
                <w:bCs/>
                <w:sz w:val="20"/>
                <w:szCs w:val="20"/>
              </w:rPr>
              <w:t>Women</w:t>
            </w:r>
          </w:p>
        </w:tc>
        <w:tc>
          <w:tcPr>
            <w:tcW w:w="1019" w:type="dxa"/>
            <w:tcBorders>
              <w:top w:val="nil"/>
              <w:left w:val="single" w:sz="4" w:space="0" w:color="auto"/>
              <w:bottom w:val="single" w:sz="4" w:space="0" w:color="auto"/>
              <w:right w:val="nil"/>
            </w:tcBorders>
            <w:hideMark/>
          </w:tcPr>
          <w:p w14:paraId="5ED68D79" w14:textId="77777777" w:rsidR="00677577" w:rsidRPr="00BB4D6B" w:rsidRDefault="00677577" w:rsidP="00D049C1">
            <w:pPr>
              <w:spacing w:after="0" w:line="240" w:lineRule="auto"/>
              <w:jc w:val="right"/>
              <w:rPr>
                <w:b/>
                <w:bCs/>
                <w:sz w:val="20"/>
                <w:szCs w:val="20"/>
              </w:rPr>
            </w:pPr>
            <w:r w:rsidRPr="00BB4D6B">
              <w:rPr>
                <w:b/>
                <w:bCs/>
                <w:sz w:val="20"/>
                <w:szCs w:val="20"/>
              </w:rPr>
              <w:t>Total</w:t>
            </w:r>
          </w:p>
        </w:tc>
        <w:tc>
          <w:tcPr>
            <w:tcW w:w="1019" w:type="dxa"/>
            <w:tcBorders>
              <w:top w:val="nil"/>
              <w:left w:val="nil"/>
              <w:bottom w:val="single" w:sz="4" w:space="0" w:color="auto"/>
              <w:right w:val="nil"/>
            </w:tcBorders>
            <w:hideMark/>
          </w:tcPr>
          <w:p w14:paraId="67FE4ABF" w14:textId="77777777" w:rsidR="00677577" w:rsidRPr="00BB4D6B" w:rsidRDefault="00677577" w:rsidP="00D049C1">
            <w:pPr>
              <w:spacing w:after="0" w:line="240" w:lineRule="auto"/>
              <w:jc w:val="right"/>
              <w:rPr>
                <w:b/>
                <w:bCs/>
                <w:sz w:val="20"/>
                <w:szCs w:val="20"/>
              </w:rPr>
            </w:pPr>
            <w:r w:rsidRPr="00BB4D6B">
              <w:rPr>
                <w:b/>
                <w:bCs/>
                <w:sz w:val="20"/>
                <w:szCs w:val="20"/>
              </w:rPr>
              <w:t>Men</w:t>
            </w:r>
          </w:p>
        </w:tc>
        <w:tc>
          <w:tcPr>
            <w:tcW w:w="1020" w:type="dxa"/>
            <w:tcBorders>
              <w:top w:val="nil"/>
              <w:left w:val="nil"/>
              <w:bottom w:val="single" w:sz="4" w:space="0" w:color="auto"/>
              <w:right w:val="single" w:sz="4" w:space="0" w:color="auto"/>
            </w:tcBorders>
            <w:hideMark/>
          </w:tcPr>
          <w:p w14:paraId="218681E4" w14:textId="77777777" w:rsidR="00677577" w:rsidRPr="00BB4D6B" w:rsidRDefault="00677577" w:rsidP="00D049C1">
            <w:pPr>
              <w:spacing w:after="0" w:line="240" w:lineRule="auto"/>
              <w:jc w:val="right"/>
              <w:rPr>
                <w:b/>
                <w:bCs/>
                <w:sz w:val="20"/>
                <w:szCs w:val="20"/>
              </w:rPr>
            </w:pPr>
            <w:r w:rsidRPr="00BB4D6B">
              <w:rPr>
                <w:b/>
                <w:bCs/>
                <w:sz w:val="20"/>
                <w:szCs w:val="20"/>
              </w:rPr>
              <w:t>Women</w:t>
            </w:r>
          </w:p>
        </w:tc>
        <w:tc>
          <w:tcPr>
            <w:tcW w:w="1019" w:type="dxa"/>
            <w:tcBorders>
              <w:top w:val="nil"/>
              <w:left w:val="single" w:sz="4" w:space="0" w:color="auto"/>
              <w:bottom w:val="single" w:sz="4" w:space="0" w:color="auto"/>
              <w:right w:val="nil"/>
            </w:tcBorders>
            <w:hideMark/>
          </w:tcPr>
          <w:p w14:paraId="4031CF03" w14:textId="77777777" w:rsidR="00677577" w:rsidRPr="00BB4D6B" w:rsidRDefault="00677577" w:rsidP="00D049C1">
            <w:pPr>
              <w:spacing w:after="0" w:line="240" w:lineRule="auto"/>
              <w:jc w:val="right"/>
              <w:rPr>
                <w:b/>
                <w:bCs/>
                <w:sz w:val="20"/>
                <w:szCs w:val="20"/>
              </w:rPr>
            </w:pPr>
            <w:r w:rsidRPr="00BB4D6B">
              <w:rPr>
                <w:b/>
                <w:bCs/>
                <w:sz w:val="20"/>
                <w:szCs w:val="20"/>
              </w:rPr>
              <w:t>Men</w:t>
            </w:r>
          </w:p>
        </w:tc>
        <w:tc>
          <w:tcPr>
            <w:tcW w:w="1019" w:type="dxa"/>
            <w:tcBorders>
              <w:top w:val="nil"/>
              <w:left w:val="nil"/>
              <w:bottom w:val="single" w:sz="4" w:space="0" w:color="auto"/>
              <w:right w:val="nil"/>
            </w:tcBorders>
            <w:hideMark/>
          </w:tcPr>
          <w:p w14:paraId="51DF6EFF" w14:textId="77777777" w:rsidR="00677577" w:rsidRPr="00BB4D6B" w:rsidRDefault="00677577" w:rsidP="00D049C1">
            <w:pPr>
              <w:spacing w:after="0" w:line="240" w:lineRule="auto"/>
              <w:jc w:val="right"/>
              <w:rPr>
                <w:b/>
                <w:bCs/>
                <w:sz w:val="20"/>
                <w:szCs w:val="20"/>
              </w:rPr>
            </w:pPr>
            <w:r w:rsidRPr="00BB4D6B">
              <w:rPr>
                <w:b/>
                <w:bCs/>
                <w:sz w:val="20"/>
                <w:szCs w:val="20"/>
              </w:rPr>
              <w:t>Women</w:t>
            </w:r>
          </w:p>
        </w:tc>
        <w:tc>
          <w:tcPr>
            <w:tcW w:w="1019" w:type="dxa"/>
            <w:tcBorders>
              <w:top w:val="nil"/>
              <w:left w:val="nil"/>
              <w:bottom w:val="single" w:sz="4" w:space="0" w:color="auto"/>
              <w:right w:val="nil"/>
            </w:tcBorders>
            <w:hideMark/>
          </w:tcPr>
          <w:p w14:paraId="03B1FC5D" w14:textId="77777777" w:rsidR="00677577" w:rsidRPr="00BB4D6B" w:rsidRDefault="00677577" w:rsidP="00D049C1">
            <w:pPr>
              <w:spacing w:after="0" w:line="240" w:lineRule="auto"/>
              <w:jc w:val="right"/>
              <w:rPr>
                <w:b/>
                <w:bCs/>
                <w:sz w:val="20"/>
                <w:szCs w:val="20"/>
              </w:rPr>
            </w:pPr>
            <w:r w:rsidRPr="00BB4D6B">
              <w:rPr>
                <w:b/>
                <w:bCs/>
                <w:sz w:val="20"/>
                <w:szCs w:val="20"/>
              </w:rPr>
              <w:t>Men</w:t>
            </w:r>
          </w:p>
        </w:tc>
        <w:tc>
          <w:tcPr>
            <w:tcW w:w="1019" w:type="dxa"/>
            <w:tcBorders>
              <w:top w:val="nil"/>
              <w:left w:val="nil"/>
              <w:bottom w:val="single" w:sz="4" w:space="0" w:color="auto"/>
              <w:right w:val="single" w:sz="4" w:space="0" w:color="auto"/>
            </w:tcBorders>
            <w:hideMark/>
          </w:tcPr>
          <w:p w14:paraId="5E2B3973" w14:textId="77777777" w:rsidR="00677577" w:rsidRPr="00BB4D6B" w:rsidRDefault="00677577" w:rsidP="00D049C1">
            <w:pPr>
              <w:spacing w:after="0" w:line="240" w:lineRule="auto"/>
              <w:jc w:val="right"/>
              <w:rPr>
                <w:b/>
                <w:bCs/>
                <w:sz w:val="20"/>
                <w:szCs w:val="20"/>
              </w:rPr>
            </w:pPr>
            <w:r w:rsidRPr="00BB4D6B">
              <w:rPr>
                <w:b/>
                <w:bCs/>
                <w:sz w:val="20"/>
                <w:szCs w:val="20"/>
              </w:rPr>
              <w:t>Women</w:t>
            </w:r>
          </w:p>
        </w:tc>
      </w:tr>
      <w:tr w:rsidR="00677577" w:rsidRPr="00167CB8" w14:paraId="017908A7" w14:textId="77777777">
        <w:trPr>
          <w:trHeight w:val="371"/>
        </w:trPr>
        <w:tc>
          <w:tcPr>
            <w:tcW w:w="4160" w:type="dxa"/>
            <w:tcBorders>
              <w:top w:val="single" w:sz="4" w:space="0" w:color="auto"/>
              <w:left w:val="single" w:sz="4" w:space="0" w:color="auto"/>
              <w:bottom w:val="nil"/>
              <w:right w:val="nil"/>
            </w:tcBorders>
            <w:vAlign w:val="bottom"/>
            <w:hideMark/>
          </w:tcPr>
          <w:p w14:paraId="4F06609C" w14:textId="77777777" w:rsidR="00677577" w:rsidRPr="00BB4D6B" w:rsidRDefault="00677577">
            <w:pPr>
              <w:spacing w:after="0" w:line="240" w:lineRule="auto"/>
              <w:rPr>
                <w:sz w:val="20"/>
                <w:szCs w:val="20"/>
              </w:rPr>
            </w:pPr>
            <w:r w:rsidRPr="00BB4D6B">
              <w:rPr>
                <w:sz w:val="20"/>
                <w:szCs w:val="20"/>
              </w:rPr>
              <w:t>Agriculture, forestry and fishing</w:t>
            </w:r>
          </w:p>
        </w:tc>
        <w:tc>
          <w:tcPr>
            <w:tcW w:w="933" w:type="dxa"/>
            <w:tcBorders>
              <w:top w:val="single" w:sz="4" w:space="0" w:color="auto"/>
              <w:left w:val="nil"/>
              <w:bottom w:val="nil"/>
              <w:right w:val="nil"/>
            </w:tcBorders>
            <w:noWrap/>
            <w:vAlign w:val="bottom"/>
            <w:hideMark/>
          </w:tcPr>
          <w:p w14:paraId="42B51B7C" w14:textId="77777777" w:rsidR="00677577" w:rsidRPr="00BB4D6B" w:rsidRDefault="00677577" w:rsidP="00D049C1">
            <w:pPr>
              <w:spacing w:after="0" w:line="240" w:lineRule="auto"/>
              <w:jc w:val="right"/>
              <w:rPr>
                <w:sz w:val="20"/>
                <w:szCs w:val="20"/>
              </w:rPr>
            </w:pPr>
            <w:r w:rsidRPr="00BB4D6B">
              <w:rPr>
                <w:sz w:val="20"/>
                <w:szCs w:val="20"/>
              </w:rPr>
              <w:t>-6%</w:t>
            </w:r>
          </w:p>
        </w:tc>
        <w:tc>
          <w:tcPr>
            <w:tcW w:w="933" w:type="dxa"/>
            <w:tcBorders>
              <w:top w:val="single" w:sz="4" w:space="0" w:color="auto"/>
              <w:left w:val="nil"/>
              <w:bottom w:val="nil"/>
              <w:right w:val="nil"/>
            </w:tcBorders>
            <w:noWrap/>
            <w:vAlign w:val="bottom"/>
            <w:hideMark/>
          </w:tcPr>
          <w:p w14:paraId="38EC4395" w14:textId="77777777" w:rsidR="00677577" w:rsidRPr="00BB4D6B" w:rsidRDefault="00677577" w:rsidP="00D049C1">
            <w:pPr>
              <w:spacing w:after="0" w:line="240" w:lineRule="auto"/>
              <w:jc w:val="right"/>
              <w:rPr>
                <w:sz w:val="20"/>
                <w:szCs w:val="20"/>
              </w:rPr>
            </w:pPr>
            <w:r w:rsidRPr="00BB4D6B">
              <w:rPr>
                <w:sz w:val="20"/>
                <w:szCs w:val="20"/>
              </w:rPr>
              <w:t>-3%</w:t>
            </w:r>
          </w:p>
        </w:tc>
        <w:tc>
          <w:tcPr>
            <w:tcW w:w="934" w:type="dxa"/>
            <w:tcBorders>
              <w:top w:val="single" w:sz="4" w:space="0" w:color="auto"/>
              <w:left w:val="nil"/>
              <w:bottom w:val="nil"/>
              <w:right w:val="single" w:sz="4" w:space="0" w:color="auto"/>
            </w:tcBorders>
            <w:noWrap/>
            <w:vAlign w:val="bottom"/>
            <w:hideMark/>
          </w:tcPr>
          <w:p w14:paraId="5AE9754E" w14:textId="77777777" w:rsidR="00677577" w:rsidRPr="00BB4D6B" w:rsidRDefault="00677577" w:rsidP="00D049C1">
            <w:pPr>
              <w:spacing w:after="0" w:line="240" w:lineRule="auto"/>
              <w:jc w:val="right"/>
              <w:rPr>
                <w:sz w:val="20"/>
                <w:szCs w:val="20"/>
              </w:rPr>
            </w:pPr>
            <w:r w:rsidRPr="00BB4D6B">
              <w:rPr>
                <w:sz w:val="20"/>
                <w:szCs w:val="20"/>
              </w:rPr>
              <w:t>-8%</w:t>
            </w:r>
          </w:p>
        </w:tc>
        <w:tc>
          <w:tcPr>
            <w:tcW w:w="1019" w:type="dxa"/>
            <w:tcBorders>
              <w:top w:val="single" w:sz="4" w:space="0" w:color="auto"/>
              <w:left w:val="single" w:sz="4" w:space="0" w:color="auto"/>
              <w:bottom w:val="nil"/>
              <w:right w:val="nil"/>
            </w:tcBorders>
            <w:noWrap/>
            <w:vAlign w:val="bottom"/>
            <w:hideMark/>
          </w:tcPr>
          <w:p w14:paraId="49462ACB" w14:textId="77777777" w:rsidR="00677577" w:rsidRPr="00BB4D6B" w:rsidRDefault="00677577" w:rsidP="00D049C1">
            <w:pPr>
              <w:spacing w:after="0" w:line="240" w:lineRule="auto"/>
              <w:jc w:val="right"/>
              <w:rPr>
                <w:sz w:val="20"/>
                <w:szCs w:val="20"/>
              </w:rPr>
            </w:pPr>
            <w:r w:rsidRPr="00BB4D6B">
              <w:rPr>
                <w:sz w:val="20"/>
                <w:szCs w:val="20"/>
              </w:rPr>
              <w:t>10%</w:t>
            </w:r>
          </w:p>
        </w:tc>
        <w:tc>
          <w:tcPr>
            <w:tcW w:w="1019" w:type="dxa"/>
            <w:tcBorders>
              <w:top w:val="single" w:sz="4" w:space="0" w:color="auto"/>
              <w:left w:val="nil"/>
              <w:bottom w:val="nil"/>
              <w:right w:val="nil"/>
            </w:tcBorders>
            <w:noWrap/>
            <w:vAlign w:val="bottom"/>
            <w:hideMark/>
          </w:tcPr>
          <w:p w14:paraId="23E49872" w14:textId="77777777" w:rsidR="00677577" w:rsidRPr="00BB4D6B" w:rsidRDefault="00677577" w:rsidP="00D049C1">
            <w:pPr>
              <w:spacing w:after="0" w:line="240" w:lineRule="auto"/>
              <w:jc w:val="right"/>
              <w:rPr>
                <w:sz w:val="20"/>
                <w:szCs w:val="20"/>
              </w:rPr>
            </w:pPr>
            <w:r w:rsidRPr="00BB4D6B">
              <w:rPr>
                <w:sz w:val="20"/>
                <w:szCs w:val="20"/>
              </w:rPr>
              <w:t>6%</w:t>
            </w:r>
          </w:p>
        </w:tc>
        <w:tc>
          <w:tcPr>
            <w:tcW w:w="1020" w:type="dxa"/>
            <w:tcBorders>
              <w:top w:val="single" w:sz="4" w:space="0" w:color="auto"/>
              <w:left w:val="nil"/>
              <w:bottom w:val="nil"/>
              <w:right w:val="single" w:sz="4" w:space="0" w:color="auto"/>
            </w:tcBorders>
            <w:noWrap/>
            <w:vAlign w:val="bottom"/>
            <w:hideMark/>
          </w:tcPr>
          <w:p w14:paraId="13B91A12" w14:textId="77777777" w:rsidR="00677577" w:rsidRPr="00BB4D6B" w:rsidRDefault="00677577" w:rsidP="00D049C1">
            <w:pPr>
              <w:spacing w:after="0" w:line="240" w:lineRule="auto"/>
              <w:jc w:val="right"/>
              <w:rPr>
                <w:sz w:val="20"/>
                <w:szCs w:val="20"/>
              </w:rPr>
            </w:pPr>
            <w:r w:rsidRPr="00BB4D6B">
              <w:rPr>
                <w:sz w:val="20"/>
                <w:szCs w:val="20"/>
              </w:rPr>
              <w:t>18%</w:t>
            </w:r>
          </w:p>
        </w:tc>
        <w:tc>
          <w:tcPr>
            <w:tcW w:w="1019" w:type="dxa"/>
            <w:tcBorders>
              <w:top w:val="single" w:sz="4" w:space="0" w:color="auto"/>
              <w:left w:val="single" w:sz="4" w:space="0" w:color="auto"/>
              <w:bottom w:val="nil"/>
              <w:right w:val="nil"/>
            </w:tcBorders>
            <w:noWrap/>
            <w:vAlign w:val="bottom"/>
            <w:hideMark/>
          </w:tcPr>
          <w:p w14:paraId="3F29D10C" w14:textId="77777777" w:rsidR="00677577" w:rsidRPr="00BB4D6B" w:rsidRDefault="00677577" w:rsidP="00D049C1">
            <w:pPr>
              <w:spacing w:after="0" w:line="240" w:lineRule="auto"/>
              <w:jc w:val="right"/>
              <w:rPr>
                <w:sz w:val="20"/>
                <w:szCs w:val="20"/>
              </w:rPr>
            </w:pPr>
            <w:r w:rsidRPr="00BB4D6B">
              <w:rPr>
                <w:sz w:val="20"/>
                <w:szCs w:val="20"/>
              </w:rPr>
              <w:t>3.5%</w:t>
            </w:r>
          </w:p>
        </w:tc>
        <w:tc>
          <w:tcPr>
            <w:tcW w:w="1019" w:type="dxa"/>
            <w:tcBorders>
              <w:top w:val="single" w:sz="4" w:space="0" w:color="auto"/>
              <w:left w:val="nil"/>
              <w:bottom w:val="nil"/>
              <w:right w:val="nil"/>
            </w:tcBorders>
            <w:noWrap/>
            <w:vAlign w:val="bottom"/>
            <w:hideMark/>
          </w:tcPr>
          <w:p w14:paraId="42458F27" w14:textId="77777777" w:rsidR="00677577" w:rsidRPr="00BB4D6B" w:rsidRDefault="00677577" w:rsidP="00D049C1">
            <w:pPr>
              <w:spacing w:after="0" w:line="240" w:lineRule="auto"/>
              <w:jc w:val="right"/>
              <w:rPr>
                <w:sz w:val="20"/>
                <w:szCs w:val="20"/>
              </w:rPr>
            </w:pPr>
            <w:r w:rsidRPr="00BB4D6B">
              <w:rPr>
                <w:sz w:val="20"/>
                <w:szCs w:val="20"/>
              </w:rPr>
              <w:t>1.8%</w:t>
            </w:r>
          </w:p>
        </w:tc>
        <w:tc>
          <w:tcPr>
            <w:tcW w:w="1019" w:type="dxa"/>
            <w:tcBorders>
              <w:top w:val="single" w:sz="4" w:space="0" w:color="auto"/>
              <w:left w:val="nil"/>
              <w:bottom w:val="nil"/>
              <w:right w:val="nil"/>
            </w:tcBorders>
            <w:noWrap/>
            <w:vAlign w:val="bottom"/>
            <w:hideMark/>
          </w:tcPr>
          <w:p w14:paraId="0191A430" w14:textId="77777777" w:rsidR="00677577" w:rsidRPr="00BB4D6B" w:rsidRDefault="00677577" w:rsidP="00D049C1">
            <w:pPr>
              <w:spacing w:after="0" w:line="240" w:lineRule="auto"/>
              <w:jc w:val="right"/>
              <w:rPr>
                <w:sz w:val="20"/>
                <w:szCs w:val="20"/>
              </w:rPr>
            </w:pPr>
            <w:r w:rsidRPr="00BB4D6B">
              <w:rPr>
                <w:sz w:val="20"/>
                <w:szCs w:val="20"/>
              </w:rPr>
              <w:t>3.0%</w:t>
            </w:r>
          </w:p>
        </w:tc>
        <w:tc>
          <w:tcPr>
            <w:tcW w:w="1019" w:type="dxa"/>
            <w:tcBorders>
              <w:top w:val="single" w:sz="4" w:space="0" w:color="auto"/>
              <w:left w:val="nil"/>
              <w:bottom w:val="nil"/>
              <w:right w:val="single" w:sz="4" w:space="0" w:color="auto"/>
            </w:tcBorders>
            <w:noWrap/>
            <w:vAlign w:val="bottom"/>
            <w:hideMark/>
          </w:tcPr>
          <w:p w14:paraId="4B5470D2" w14:textId="77777777" w:rsidR="00677577" w:rsidRPr="00BB4D6B" w:rsidRDefault="00677577" w:rsidP="00D049C1">
            <w:pPr>
              <w:spacing w:after="0" w:line="240" w:lineRule="auto"/>
              <w:jc w:val="right"/>
              <w:rPr>
                <w:sz w:val="20"/>
                <w:szCs w:val="20"/>
              </w:rPr>
            </w:pPr>
            <w:r w:rsidRPr="00BB4D6B">
              <w:rPr>
                <w:sz w:val="20"/>
                <w:szCs w:val="20"/>
              </w:rPr>
              <w:t>1.5%</w:t>
            </w:r>
          </w:p>
        </w:tc>
      </w:tr>
      <w:tr w:rsidR="00677577" w:rsidRPr="00167CB8" w14:paraId="54457F6C" w14:textId="77777777">
        <w:trPr>
          <w:trHeight w:val="371"/>
        </w:trPr>
        <w:tc>
          <w:tcPr>
            <w:tcW w:w="4160" w:type="dxa"/>
            <w:tcBorders>
              <w:top w:val="nil"/>
              <w:left w:val="single" w:sz="4" w:space="0" w:color="auto"/>
              <w:bottom w:val="nil"/>
              <w:right w:val="nil"/>
            </w:tcBorders>
            <w:vAlign w:val="bottom"/>
            <w:hideMark/>
          </w:tcPr>
          <w:p w14:paraId="1B4D9DE0" w14:textId="77777777" w:rsidR="00677577" w:rsidRPr="00BB4D6B" w:rsidRDefault="00677577">
            <w:pPr>
              <w:spacing w:after="0" w:line="240" w:lineRule="auto"/>
              <w:rPr>
                <w:sz w:val="20"/>
                <w:szCs w:val="20"/>
              </w:rPr>
            </w:pPr>
            <w:r w:rsidRPr="00BB4D6B">
              <w:rPr>
                <w:sz w:val="20"/>
                <w:szCs w:val="20"/>
              </w:rPr>
              <w:t>Mining</w:t>
            </w:r>
          </w:p>
        </w:tc>
        <w:tc>
          <w:tcPr>
            <w:tcW w:w="933" w:type="dxa"/>
            <w:tcBorders>
              <w:top w:val="nil"/>
              <w:left w:val="nil"/>
              <w:bottom w:val="nil"/>
              <w:right w:val="nil"/>
            </w:tcBorders>
            <w:noWrap/>
            <w:vAlign w:val="bottom"/>
            <w:hideMark/>
          </w:tcPr>
          <w:p w14:paraId="0BAE5E7D" w14:textId="77777777" w:rsidR="00677577" w:rsidRPr="00BB4D6B" w:rsidRDefault="00677577" w:rsidP="00D049C1">
            <w:pPr>
              <w:spacing w:after="0" w:line="240" w:lineRule="auto"/>
              <w:jc w:val="right"/>
              <w:rPr>
                <w:sz w:val="20"/>
                <w:szCs w:val="20"/>
              </w:rPr>
            </w:pPr>
            <w:r w:rsidRPr="00BB4D6B">
              <w:rPr>
                <w:sz w:val="20"/>
                <w:szCs w:val="20"/>
              </w:rPr>
              <w:t>9%</w:t>
            </w:r>
          </w:p>
        </w:tc>
        <w:tc>
          <w:tcPr>
            <w:tcW w:w="933" w:type="dxa"/>
            <w:tcBorders>
              <w:top w:val="nil"/>
              <w:left w:val="nil"/>
              <w:bottom w:val="nil"/>
              <w:right w:val="nil"/>
            </w:tcBorders>
            <w:noWrap/>
            <w:vAlign w:val="bottom"/>
            <w:hideMark/>
          </w:tcPr>
          <w:p w14:paraId="3B6BA4A9" w14:textId="77777777" w:rsidR="00677577" w:rsidRPr="00BB4D6B" w:rsidRDefault="00677577" w:rsidP="00D049C1">
            <w:pPr>
              <w:spacing w:after="0" w:line="240" w:lineRule="auto"/>
              <w:jc w:val="right"/>
              <w:rPr>
                <w:sz w:val="20"/>
                <w:szCs w:val="20"/>
              </w:rPr>
            </w:pPr>
            <w:r w:rsidRPr="00BB4D6B">
              <w:rPr>
                <w:sz w:val="20"/>
                <w:szCs w:val="20"/>
              </w:rPr>
              <w:t>0%</w:t>
            </w:r>
          </w:p>
        </w:tc>
        <w:tc>
          <w:tcPr>
            <w:tcW w:w="934" w:type="dxa"/>
            <w:tcBorders>
              <w:top w:val="nil"/>
              <w:left w:val="nil"/>
              <w:bottom w:val="nil"/>
              <w:right w:val="single" w:sz="4" w:space="0" w:color="auto"/>
            </w:tcBorders>
            <w:noWrap/>
            <w:vAlign w:val="bottom"/>
            <w:hideMark/>
          </w:tcPr>
          <w:p w14:paraId="2B98AEEA" w14:textId="77777777" w:rsidR="00677577" w:rsidRPr="00BB4D6B" w:rsidRDefault="00677577" w:rsidP="00D049C1">
            <w:pPr>
              <w:spacing w:after="0" w:line="240" w:lineRule="auto"/>
              <w:jc w:val="right"/>
              <w:rPr>
                <w:sz w:val="20"/>
                <w:szCs w:val="20"/>
              </w:rPr>
            </w:pPr>
            <w:r w:rsidRPr="00BB4D6B">
              <w:rPr>
                <w:sz w:val="20"/>
                <w:szCs w:val="20"/>
              </w:rPr>
              <w:t>49%</w:t>
            </w:r>
          </w:p>
        </w:tc>
        <w:tc>
          <w:tcPr>
            <w:tcW w:w="1019" w:type="dxa"/>
            <w:tcBorders>
              <w:top w:val="nil"/>
              <w:left w:val="single" w:sz="4" w:space="0" w:color="auto"/>
              <w:bottom w:val="nil"/>
              <w:right w:val="nil"/>
            </w:tcBorders>
            <w:noWrap/>
            <w:vAlign w:val="bottom"/>
            <w:hideMark/>
          </w:tcPr>
          <w:p w14:paraId="1B7B1C21" w14:textId="77777777" w:rsidR="00677577" w:rsidRPr="00BB4D6B" w:rsidRDefault="00677577" w:rsidP="00D049C1">
            <w:pPr>
              <w:spacing w:after="0" w:line="240" w:lineRule="auto"/>
              <w:jc w:val="right"/>
              <w:rPr>
                <w:sz w:val="20"/>
                <w:szCs w:val="20"/>
              </w:rPr>
            </w:pPr>
            <w:r w:rsidRPr="00BB4D6B">
              <w:rPr>
                <w:sz w:val="20"/>
                <w:szCs w:val="20"/>
              </w:rPr>
              <w:t>1%</w:t>
            </w:r>
          </w:p>
        </w:tc>
        <w:tc>
          <w:tcPr>
            <w:tcW w:w="1019" w:type="dxa"/>
            <w:tcBorders>
              <w:top w:val="nil"/>
              <w:left w:val="nil"/>
              <w:bottom w:val="nil"/>
              <w:right w:val="nil"/>
            </w:tcBorders>
            <w:noWrap/>
            <w:vAlign w:val="bottom"/>
            <w:hideMark/>
          </w:tcPr>
          <w:p w14:paraId="5CF2DEA6" w14:textId="77777777" w:rsidR="00677577" w:rsidRPr="00BB4D6B" w:rsidRDefault="00677577" w:rsidP="00D049C1">
            <w:pPr>
              <w:spacing w:after="0" w:line="240" w:lineRule="auto"/>
              <w:jc w:val="right"/>
              <w:rPr>
                <w:sz w:val="20"/>
                <w:szCs w:val="20"/>
              </w:rPr>
            </w:pPr>
            <w:r w:rsidRPr="00BB4D6B">
              <w:rPr>
                <w:sz w:val="20"/>
                <w:szCs w:val="20"/>
              </w:rPr>
              <w:t>-1%</w:t>
            </w:r>
          </w:p>
        </w:tc>
        <w:tc>
          <w:tcPr>
            <w:tcW w:w="1020" w:type="dxa"/>
            <w:tcBorders>
              <w:top w:val="nil"/>
              <w:left w:val="nil"/>
              <w:bottom w:val="nil"/>
              <w:right w:val="single" w:sz="4" w:space="0" w:color="auto"/>
            </w:tcBorders>
            <w:noWrap/>
            <w:vAlign w:val="bottom"/>
            <w:hideMark/>
          </w:tcPr>
          <w:p w14:paraId="6C547D23" w14:textId="77777777" w:rsidR="00677577" w:rsidRPr="00BB4D6B" w:rsidRDefault="00677577" w:rsidP="00D049C1">
            <w:pPr>
              <w:spacing w:after="0" w:line="240" w:lineRule="auto"/>
              <w:jc w:val="right"/>
              <w:rPr>
                <w:sz w:val="20"/>
                <w:szCs w:val="20"/>
              </w:rPr>
            </w:pPr>
            <w:r w:rsidRPr="00BB4D6B">
              <w:rPr>
                <w:sz w:val="20"/>
                <w:szCs w:val="20"/>
              </w:rPr>
              <w:t>6%</w:t>
            </w:r>
          </w:p>
        </w:tc>
        <w:tc>
          <w:tcPr>
            <w:tcW w:w="1019" w:type="dxa"/>
            <w:tcBorders>
              <w:top w:val="nil"/>
              <w:left w:val="single" w:sz="4" w:space="0" w:color="auto"/>
              <w:bottom w:val="nil"/>
              <w:right w:val="nil"/>
            </w:tcBorders>
            <w:noWrap/>
            <w:vAlign w:val="bottom"/>
            <w:hideMark/>
          </w:tcPr>
          <w:p w14:paraId="0051AB11" w14:textId="77777777" w:rsidR="00677577" w:rsidRPr="00BB4D6B" w:rsidRDefault="00677577" w:rsidP="00D049C1">
            <w:pPr>
              <w:spacing w:after="0" w:line="240" w:lineRule="auto"/>
              <w:jc w:val="right"/>
              <w:rPr>
                <w:sz w:val="20"/>
                <w:szCs w:val="20"/>
              </w:rPr>
            </w:pPr>
            <w:r w:rsidRPr="00BB4D6B">
              <w:rPr>
                <w:sz w:val="20"/>
                <w:szCs w:val="20"/>
              </w:rPr>
              <w:t>3.8%</w:t>
            </w:r>
          </w:p>
        </w:tc>
        <w:tc>
          <w:tcPr>
            <w:tcW w:w="1019" w:type="dxa"/>
            <w:tcBorders>
              <w:top w:val="nil"/>
              <w:left w:val="nil"/>
              <w:bottom w:val="nil"/>
              <w:right w:val="nil"/>
            </w:tcBorders>
            <w:noWrap/>
            <w:vAlign w:val="bottom"/>
            <w:hideMark/>
          </w:tcPr>
          <w:p w14:paraId="581C6EAF" w14:textId="77777777" w:rsidR="00677577" w:rsidRPr="00BB4D6B" w:rsidRDefault="00677577" w:rsidP="00D049C1">
            <w:pPr>
              <w:spacing w:after="0" w:line="240" w:lineRule="auto"/>
              <w:jc w:val="right"/>
              <w:rPr>
                <w:sz w:val="20"/>
                <w:szCs w:val="20"/>
              </w:rPr>
            </w:pPr>
            <w:r w:rsidRPr="00BB4D6B">
              <w:rPr>
                <w:sz w:val="20"/>
                <w:szCs w:val="20"/>
              </w:rPr>
              <w:t>0.7%</w:t>
            </w:r>
          </w:p>
        </w:tc>
        <w:tc>
          <w:tcPr>
            <w:tcW w:w="1019" w:type="dxa"/>
            <w:tcBorders>
              <w:top w:val="nil"/>
              <w:left w:val="nil"/>
              <w:bottom w:val="nil"/>
              <w:right w:val="nil"/>
            </w:tcBorders>
            <w:noWrap/>
            <w:vAlign w:val="bottom"/>
            <w:hideMark/>
          </w:tcPr>
          <w:p w14:paraId="55CF22AA" w14:textId="77777777" w:rsidR="00677577" w:rsidRPr="00BB4D6B" w:rsidRDefault="00677577" w:rsidP="00D049C1">
            <w:pPr>
              <w:spacing w:after="0" w:line="240" w:lineRule="auto"/>
              <w:jc w:val="right"/>
              <w:rPr>
                <w:sz w:val="20"/>
                <w:szCs w:val="20"/>
              </w:rPr>
            </w:pPr>
            <w:r w:rsidRPr="00BB4D6B">
              <w:rPr>
                <w:sz w:val="20"/>
                <w:szCs w:val="20"/>
              </w:rPr>
              <w:t>3.1%</w:t>
            </w:r>
          </w:p>
        </w:tc>
        <w:tc>
          <w:tcPr>
            <w:tcW w:w="1019" w:type="dxa"/>
            <w:tcBorders>
              <w:top w:val="nil"/>
              <w:left w:val="nil"/>
              <w:bottom w:val="nil"/>
              <w:right w:val="single" w:sz="4" w:space="0" w:color="auto"/>
            </w:tcBorders>
            <w:noWrap/>
            <w:vAlign w:val="bottom"/>
            <w:hideMark/>
          </w:tcPr>
          <w:p w14:paraId="0671BBFD" w14:textId="77777777" w:rsidR="00677577" w:rsidRPr="00BB4D6B" w:rsidRDefault="00677577" w:rsidP="00D049C1">
            <w:pPr>
              <w:spacing w:after="0" w:line="240" w:lineRule="auto"/>
              <w:jc w:val="right"/>
              <w:rPr>
                <w:sz w:val="20"/>
                <w:szCs w:val="20"/>
              </w:rPr>
            </w:pPr>
            <w:r w:rsidRPr="00BB4D6B">
              <w:rPr>
                <w:sz w:val="20"/>
                <w:szCs w:val="20"/>
              </w:rPr>
              <w:t>0.9%</w:t>
            </w:r>
          </w:p>
        </w:tc>
      </w:tr>
      <w:tr w:rsidR="00677577" w:rsidRPr="00167CB8" w14:paraId="6DDB717F" w14:textId="77777777">
        <w:trPr>
          <w:trHeight w:val="371"/>
        </w:trPr>
        <w:tc>
          <w:tcPr>
            <w:tcW w:w="4160" w:type="dxa"/>
            <w:tcBorders>
              <w:top w:val="nil"/>
              <w:left w:val="single" w:sz="4" w:space="0" w:color="auto"/>
              <w:bottom w:val="nil"/>
              <w:right w:val="nil"/>
            </w:tcBorders>
            <w:vAlign w:val="bottom"/>
            <w:hideMark/>
          </w:tcPr>
          <w:p w14:paraId="09363A04" w14:textId="77777777" w:rsidR="00677577" w:rsidRPr="00BB4D6B" w:rsidRDefault="00677577">
            <w:pPr>
              <w:spacing w:after="0" w:line="240" w:lineRule="auto"/>
              <w:rPr>
                <w:sz w:val="20"/>
                <w:szCs w:val="20"/>
              </w:rPr>
            </w:pPr>
            <w:r w:rsidRPr="00BB4D6B">
              <w:rPr>
                <w:sz w:val="20"/>
                <w:szCs w:val="20"/>
              </w:rPr>
              <w:t>Manufacturing</w:t>
            </w:r>
          </w:p>
        </w:tc>
        <w:tc>
          <w:tcPr>
            <w:tcW w:w="933" w:type="dxa"/>
            <w:tcBorders>
              <w:top w:val="nil"/>
              <w:left w:val="nil"/>
              <w:bottom w:val="nil"/>
              <w:right w:val="nil"/>
            </w:tcBorders>
            <w:noWrap/>
            <w:vAlign w:val="bottom"/>
            <w:hideMark/>
          </w:tcPr>
          <w:p w14:paraId="005C4E86" w14:textId="77777777" w:rsidR="00677577" w:rsidRPr="00BB4D6B" w:rsidRDefault="00677577" w:rsidP="00D049C1">
            <w:pPr>
              <w:spacing w:after="0" w:line="240" w:lineRule="auto"/>
              <w:jc w:val="right"/>
              <w:rPr>
                <w:sz w:val="20"/>
                <w:szCs w:val="20"/>
              </w:rPr>
            </w:pPr>
            <w:r w:rsidRPr="00BB4D6B">
              <w:rPr>
                <w:sz w:val="20"/>
                <w:szCs w:val="20"/>
              </w:rPr>
              <w:t>-10%</w:t>
            </w:r>
          </w:p>
        </w:tc>
        <w:tc>
          <w:tcPr>
            <w:tcW w:w="933" w:type="dxa"/>
            <w:tcBorders>
              <w:top w:val="nil"/>
              <w:left w:val="nil"/>
              <w:bottom w:val="nil"/>
              <w:right w:val="nil"/>
            </w:tcBorders>
            <w:noWrap/>
            <w:vAlign w:val="bottom"/>
            <w:hideMark/>
          </w:tcPr>
          <w:p w14:paraId="703D1E74" w14:textId="77777777" w:rsidR="00677577" w:rsidRPr="00BB4D6B" w:rsidRDefault="00677577" w:rsidP="00D049C1">
            <w:pPr>
              <w:spacing w:after="0" w:line="240" w:lineRule="auto"/>
              <w:jc w:val="right"/>
              <w:rPr>
                <w:sz w:val="20"/>
                <w:szCs w:val="20"/>
              </w:rPr>
            </w:pPr>
            <w:r w:rsidRPr="00BB4D6B">
              <w:rPr>
                <w:sz w:val="20"/>
                <w:szCs w:val="20"/>
              </w:rPr>
              <w:t>-15%</w:t>
            </w:r>
          </w:p>
        </w:tc>
        <w:tc>
          <w:tcPr>
            <w:tcW w:w="934" w:type="dxa"/>
            <w:tcBorders>
              <w:top w:val="nil"/>
              <w:left w:val="nil"/>
              <w:bottom w:val="nil"/>
              <w:right w:val="single" w:sz="4" w:space="0" w:color="auto"/>
            </w:tcBorders>
            <w:noWrap/>
            <w:vAlign w:val="bottom"/>
            <w:hideMark/>
          </w:tcPr>
          <w:p w14:paraId="73C635AF" w14:textId="77777777" w:rsidR="00677577" w:rsidRPr="00BB4D6B" w:rsidRDefault="00677577" w:rsidP="00D049C1">
            <w:pPr>
              <w:spacing w:after="0" w:line="240" w:lineRule="auto"/>
              <w:jc w:val="right"/>
              <w:rPr>
                <w:sz w:val="20"/>
                <w:szCs w:val="20"/>
              </w:rPr>
            </w:pPr>
            <w:r w:rsidRPr="00BB4D6B">
              <w:rPr>
                <w:sz w:val="20"/>
                <w:szCs w:val="20"/>
              </w:rPr>
              <w:t>0%</w:t>
            </w:r>
          </w:p>
        </w:tc>
        <w:tc>
          <w:tcPr>
            <w:tcW w:w="1019" w:type="dxa"/>
            <w:tcBorders>
              <w:top w:val="nil"/>
              <w:left w:val="single" w:sz="4" w:space="0" w:color="auto"/>
              <w:bottom w:val="nil"/>
              <w:right w:val="nil"/>
            </w:tcBorders>
            <w:noWrap/>
            <w:vAlign w:val="bottom"/>
            <w:hideMark/>
          </w:tcPr>
          <w:p w14:paraId="1606783B" w14:textId="77777777" w:rsidR="00677577" w:rsidRPr="00BB4D6B" w:rsidRDefault="00677577" w:rsidP="00D049C1">
            <w:pPr>
              <w:spacing w:after="0" w:line="240" w:lineRule="auto"/>
              <w:jc w:val="right"/>
              <w:rPr>
                <w:sz w:val="20"/>
                <w:szCs w:val="20"/>
              </w:rPr>
            </w:pPr>
            <w:r w:rsidRPr="00BB4D6B">
              <w:rPr>
                <w:sz w:val="20"/>
                <w:szCs w:val="20"/>
              </w:rPr>
              <w:t>5%</w:t>
            </w:r>
          </w:p>
        </w:tc>
        <w:tc>
          <w:tcPr>
            <w:tcW w:w="1019" w:type="dxa"/>
            <w:tcBorders>
              <w:top w:val="nil"/>
              <w:left w:val="nil"/>
              <w:bottom w:val="nil"/>
              <w:right w:val="nil"/>
            </w:tcBorders>
            <w:noWrap/>
            <w:vAlign w:val="bottom"/>
            <w:hideMark/>
          </w:tcPr>
          <w:p w14:paraId="113F3A71" w14:textId="77777777" w:rsidR="00677577" w:rsidRPr="00BB4D6B" w:rsidRDefault="00677577" w:rsidP="00D049C1">
            <w:pPr>
              <w:spacing w:after="0" w:line="240" w:lineRule="auto"/>
              <w:jc w:val="right"/>
              <w:rPr>
                <w:sz w:val="20"/>
                <w:szCs w:val="20"/>
              </w:rPr>
            </w:pPr>
            <w:r w:rsidRPr="00BB4D6B">
              <w:rPr>
                <w:sz w:val="20"/>
                <w:szCs w:val="20"/>
              </w:rPr>
              <w:t>6%</w:t>
            </w:r>
          </w:p>
        </w:tc>
        <w:tc>
          <w:tcPr>
            <w:tcW w:w="1020" w:type="dxa"/>
            <w:tcBorders>
              <w:top w:val="nil"/>
              <w:left w:val="nil"/>
              <w:bottom w:val="nil"/>
              <w:right w:val="single" w:sz="4" w:space="0" w:color="auto"/>
            </w:tcBorders>
            <w:noWrap/>
            <w:vAlign w:val="bottom"/>
            <w:hideMark/>
          </w:tcPr>
          <w:p w14:paraId="41B1ADB5" w14:textId="77777777" w:rsidR="00677577" w:rsidRPr="00BB4D6B" w:rsidRDefault="00677577" w:rsidP="00D049C1">
            <w:pPr>
              <w:spacing w:after="0" w:line="240" w:lineRule="auto"/>
              <w:jc w:val="right"/>
              <w:rPr>
                <w:sz w:val="20"/>
                <w:szCs w:val="20"/>
              </w:rPr>
            </w:pPr>
            <w:r w:rsidRPr="00BB4D6B">
              <w:rPr>
                <w:sz w:val="20"/>
                <w:szCs w:val="20"/>
              </w:rPr>
              <w:t>2%</w:t>
            </w:r>
          </w:p>
        </w:tc>
        <w:tc>
          <w:tcPr>
            <w:tcW w:w="1019" w:type="dxa"/>
            <w:tcBorders>
              <w:top w:val="nil"/>
              <w:left w:val="single" w:sz="4" w:space="0" w:color="auto"/>
              <w:bottom w:val="nil"/>
              <w:right w:val="nil"/>
            </w:tcBorders>
            <w:noWrap/>
            <w:vAlign w:val="bottom"/>
            <w:hideMark/>
          </w:tcPr>
          <w:p w14:paraId="5861DC7B" w14:textId="77777777" w:rsidR="00677577" w:rsidRPr="00BB4D6B" w:rsidRDefault="00677577" w:rsidP="00D049C1">
            <w:pPr>
              <w:spacing w:after="0" w:line="240" w:lineRule="auto"/>
              <w:jc w:val="right"/>
              <w:rPr>
                <w:sz w:val="20"/>
                <w:szCs w:val="20"/>
              </w:rPr>
            </w:pPr>
            <w:r w:rsidRPr="00BB4D6B">
              <w:rPr>
                <w:sz w:val="20"/>
                <w:szCs w:val="20"/>
              </w:rPr>
              <w:t>11.4%</w:t>
            </w:r>
          </w:p>
        </w:tc>
        <w:tc>
          <w:tcPr>
            <w:tcW w:w="1019" w:type="dxa"/>
            <w:tcBorders>
              <w:top w:val="nil"/>
              <w:left w:val="nil"/>
              <w:bottom w:val="nil"/>
              <w:right w:val="nil"/>
            </w:tcBorders>
            <w:noWrap/>
            <w:vAlign w:val="bottom"/>
            <w:hideMark/>
          </w:tcPr>
          <w:p w14:paraId="3D5451D2" w14:textId="77777777" w:rsidR="00677577" w:rsidRPr="00BB4D6B" w:rsidRDefault="00677577" w:rsidP="00D049C1">
            <w:pPr>
              <w:spacing w:after="0" w:line="240" w:lineRule="auto"/>
              <w:jc w:val="right"/>
              <w:rPr>
                <w:sz w:val="20"/>
                <w:szCs w:val="20"/>
              </w:rPr>
            </w:pPr>
            <w:r w:rsidRPr="00BB4D6B">
              <w:rPr>
                <w:sz w:val="20"/>
                <w:szCs w:val="20"/>
              </w:rPr>
              <w:t>4.8%</w:t>
            </w:r>
          </w:p>
        </w:tc>
        <w:tc>
          <w:tcPr>
            <w:tcW w:w="1019" w:type="dxa"/>
            <w:tcBorders>
              <w:top w:val="nil"/>
              <w:left w:val="nil"/>
              <w:bottom w:val="nil"/>
              <w:right w:val="nil"/>
            </w:tcBorders>
            <w:noWrap/>
            <w:vAlign w:val="bottom"/>
            <w:hideMark/>
          </w:tcPr>
          <w:p w14:paraId="66D3B7C8" w14:textId="77777777" w:rsidR="00677577" w:rsidRPr="00BB4D6B" w:rsidRDefault="00677577" w:rsidP="00D049C1">
            <w:pPr>
              <w:spacing w:after="0" w:line="240" w:lineRule="auto"/>
              <w:jc w:val="right"/>
              <w:rPr>
                <w:sz w:val="20"/>
                <w:szCs w:val="20"/>
              </w:rPr>
            </w:pPr>
            <w:r w:rsidRPr="00BB4D6B">
              <w:rPr>
                <w:sz w:val="20"/>
                <w:szCs w:val="20"/>
              </w:rPr>
              <w:t>8.3%</w:t>
            </w:r>
          </w:p>
        </w:tc>
        <w:tc>
          <w:tcPr>
            <w:tcW w:w="1019" w:type="dxa"/>
            <w:tcBorders>
              <w:top w:val="nil"/>
              <w:left w:val="nil"/>
              <w:bottom w:val="nil"/>
              <w:right w:val="single" w:sz="4" w:space="0" w:color="auto"/>
            </w:tcBorders>
            <w:noWrap/>
            <w:vAlign w:val="bottom"/>
            <w:hideMark/>
          </w:tcPr>
          <w:p w14:paraId="633E7355" w14:textId="77777777" w:rsidR="00677577" w:rsidRPr="00BB4D6B" w:rsidRDefault="00677577" w:rsidP="00D049C1">
            <w:pPr>
              <w:spacing w:after="0" w:line="240" w:lineRule="auto"/>
              <w:jc w:val="right"/>
              <w:rPr>
                <w:sz w:val="20"/>
                <w:szCs w:val="20"/>
              </w:rPr>
            </w:pPr>
            <w:r w:rsidRPr="00BB4D6B">
              <w:rPr>
                <w:sz w:val="20"/>
                <w:szCs w:val="20"/>
              </w:rPr>
              <w:t>3.7%</w:t>
            </w:r>
          </w:p>
        </w:tc>
      </w:tr>
      <w:tr w:rsidR="00677577" w:rsidRPr="00167CB8" w14:paraId="3BA0AF5A" w14:textId="77777777">
        <w:trPr>
          <w:trHeight w:val="371"/>
        </w:trPr>
        <w:tc>
          <w:tcPr>
            <w:tcW w:w="4160" w:type="dxa"/>
            <w:tcBorders>
              <w:top w:val="nil"/>
              <w:left w:val="single" w:sz="4" w:space="0" w:color="auto"/>
              <w:bottom w:val="nil"/>
              <w:right w:val="nil"/>
            </w:tcBorders>
            <w:vAlign w:val="bottom"/>
            <w:hideMark/>
          </w:tcPr>
          <w:p w14:paraId="169E0B60" w14:textId="77777777" w:rsidR="00677577" w:rsidRPr="00BB4D6B" w:rsidRDefault="00677577">
            <w:pPr>
              <w:spacing w:after="0" w:line="240" w:lineRule="auto"/>
              <w:rPr>
                <w:sz w:val="20"/>
                <w:szCs w:val="20"/>
              </w:rPr>
            </w:pPr>
            <w:r w:rsidRPr="00BB4D6B">
              <w:rPr>
                <w:sz w:val="20"/>
                <w:szCs w:val="20"/>
              </w:rPr>
              <w:t>Electricity, gas, water and waste services</w:t>
            </w:r>
          </w:p>
        </w:tc>
        <w:tc>
          <w:tcPr>
            <w:tcW w:w="933" w:type="dxa"/>
            <w:tcBorders>
              <w:top w:val="nil"/>
              <w:left w:val="nil"/>
              <w:bottom w:val="nil"/>
              <w:right w:val="nil"/>
            </w:tcBorders>
            <w:noWrap/>
            <w:vAlign w:val="bottom"/>
            <w:hideMark/>
          </w:tcPr>
          <w:p w14:paraId="48272DA1" w14:textId="77777777" w:rsidR="00677577" w:rsidRPr="00BB4D6B" w:rsidRDefault="00677577" w:rsidP="00D049C1">
            <w:pPr>
              <w:spacing w:after="0" w:line="240" w:lineRule="auto"/>
              <w:jc w:val="right"/>
              <w:rPr>
                <w:sz w:val="20"/>
                <w:szCs w:val="20"/>
              </w:rPr>
            </w:pPr>
            <w:r w:rsidRPr="00BB4D6B">
              <w:rPr>
                <w:sz w:val="20"/>
                <w:szCs w:val="20"/>
              </w:rPr>
              <w:t>8%</w:t>
            </w:r>
          </w:p>
        </w:tc>
        <w:tc>
          <w:tcPr>
            <w:tcW w:w="933" w:type="dxa"/>
            <w:tcBorders>
              <w:top w:val="nil"/>
              <w:left w:val="nil"/>
              <w:bottom w:val="nil"/>
              <w:right w:val="nil"/>
            </w:tcBorders>
            <w:noWrap/>
            <w:vAlign w:val="bottom"/>
            <w:hideMark/>
          </w:tcPr>
          <w:p w14:paraId="220E4578" w14:textId="77777777" w:rsidR="00677577" w:rsidRPr="00BB4D6B" w:rsidRDefault="00677577" w:rsidP="00D049C1">
            <w:pPr>
              <w:spacing w:after="0" w:line="240" w:lineRule="auto"/>
              <w:jc w:val="right"/>
              <w:rPr>
                <w:sz w:val="20"/>
                <w:szCs w:val="20"/>
              </w:rPr>
            </w:pPr>
            <w:r w:rsidRPr="00BB4D6B">
              <w:rPr>
                <w:sz w:val="20"/>
                <w:szCs w:val="20"/>
              </w:rPr>
              <w:t>12%</w:t>
            </w:r>
          </w:p>
        </w:tc>
        <w:tc>
          <w:tcPr>
            <w:tcW w:w="934" w:type="dxa"/>
            <w:tcBorders>
              <w:top w:val="nil"/>
              <w:left w:val="nil"/>
              <w:bottom w:val="nil"/>
              <w:right w:val="single" w:sz="4" w:space="0" w:color="auto"/>
            </w:tcBorders>
            <w:noWrap/>
            <w:vAlign w:val="bottom"/>
            <w:hideMark/>
          </w:tcPr>
          <w:p w14:paraId="188BC71E" w14:textId="77777777" w:rsidR="00677577" w:rsidRPr="00BB4D6B" w:rsidRDefault="00677577" w:rsidP="00D049C1">
            <w:pPr>
              <w:spacing w:after="0" w:line="240" w:lineRule="auto"/>
              <w:jc w:val="right"/>
              <w:rPr>
                <w:sz w:val="20"/>
                <w:szCs w:val="20"/>
              </w:rPr>
            </w:pPr>
            <w:r w:rsidRPr="00BB4D6B">
              <w:rPr>
                <w:sz w:val="20"/>
                <w:szCs w:val="20"/>
              </w:rPr>
              <w:t>-4%</w:t>
            </w:r>
          </w:p>
        </w:tc>
        <w:tc>
          <w:tcPr>
            <w:tcW w:w="1019" w:type="dxa"/>
            <w:tcBorders>
              <w:top w:val="nil"/>
              <w:left w:val="single" w:sz="4" w:space="0" w:color="auto"/>
              <w:bottom w:val="nil"/>
              <w:right w:val="nil"/>
            </w:tcBorders>
            <w:noWrap/>
            <w:vAlign w:val="bottom"/>
            <w:hideMark/>
          </w:tcPr>
          <w:p w14:paraId="4562780E" w14:textId="77777777" w:rsidR="00677577" w:rsidRPr="00BB4D6B" w:rsidRDefault="00677577" w:rsidP="00D049C1">
            <w:pPr>
              <w:spacing w:after="0" w:line="240" w:lineRule="auto"/>
              <w:jc w:val="right"/>
              <w:rPr>
                <w:sz w:val="20"/>
                <w:szCs w:val="20"/>
              </w:rPr>
            </w:pPr>
            <w:r w:rsidRPr="00BB4D6B">
              <w:rPr>
                <w:sz w:val="20"/>
                <w:szCs w:val="20"/>
              </w:rPr>
              <w:t>31%</w:t>
            </w:r>
          </w:p>
        </w:tc>
        <w:tc>
          <w:tcPr>
            <w:tcW w:w="1019" w:type="dxa"/>
            <w:tcBorders>
              <w:top w:val="nil"/>
              <w:left w:val="nil"/>
              <w:bottom w:val="nil"/>
              <w:right w:val="nil"/>
            </w:tcBorders>
            <w:noWrap/>
            <w:vAlign w:val="bottom"/>
            <w:hideMark/>
          </w:tcPr>
          <w:p w14:paraId="6DA486BA" w14:textId="77777777" w:rsidR="00677577" w:rsidRPr="00BB4D6B" w:rsidRDefault="00677577" w:rsidP="00D049C1">
            <w:pPr>
              <w:spacing w:after="0" w:line="240" w:lineRule="auto"/>
              <w:jc w:val="right"/>
              <w:rPr>
                <w:sz w:val="20"/>
                <w:szCs w:val="20"/>
              </w:rPr>
            </w:pPr>
            <w:r w:rsidRPr="00BB4D6B">
              <w:rPr>
                <w:sz w:val="20"/>
                <w:szCs w:val="20"/>
              </w:rPr>
              <w:t>21%</w:t>
            </w:r>
          </w:p>
        </w:tc>
        <w:tc>
          <w:tcPr>
            <w:tcW w:w="1020" w:type="dxa"/>
            <w:tcBorders>
              <w:top w:val="nil"/>
              <w:left w:val="nil"/>
              <w:bottom w:val="nil"/>
              <w:right w:val="single" w:sz="4" w:space="0" w:color="auto"/>
            </w:tcBorders>
            <w:noWrap/>
            <w:vAlign w:val="bottom"/>
            <w:hideMark/>
          </w:tcPr>
          <w:p w14:paraId="5BD17F03" w14:textId="77777777" w:rsidR="00677577" w:rsidRPr="00BB4D6B" w:rsidRDefault="00677577" w:rsidP="00D049C1">
            <w:pPr>
              <w:spacing w:after="0" w:line="240" w:lineRule="auto"/>
              <w:jc w:val="right"/>
              <w:rPr>
                <w:sz w:val="20"/>
                <w:szCs w:val="20"/>
              </w:rPr>
            </w:pPr>
            <w:r w:rsidRPr="00BB4D6B">
              <w:rPr>
                <w:sz w:val="20"/>
                <w:szCs w:val="20"/>
              </w:rPr>
              <w:t>69%</w:t>
            </w:r>
          </w:p>
        </w:tc>
        <w:tc>
          <w:tcPr>
            <w:tcW w:w="1019" w:type="dxa"/>
            <w:tcBorders>
              <w:top w:val="nil"/>
              <w:left w:val="single" w:sz="4" w:space="0" w:color="auto"/>
              <w:bottom w:val="nil"/>
              <w:right w:val="nil"/>
            </w:tcBorders>
            <w:noWrap/>
            <w:vAlign w:val="bottom"/>
            <w:hideMark/>
          </w:tcPr>
          <w:p w14:paraId="0F02703B" w14:textId="77777777" w:rsidR="00677577" w:rsidRPr="00BB4D6B" w:rsidRDefault="00677577" w:rsidP="00D049C1">
            <w:pPr>
              <w:spacing w:after="0" w:line="240" w:lineRule="auto"/>
              <w:jc w:val="right"/>
              <w:rPr>
                <w:sz w:val="20"/>
                <w:szCs w:val="20"/>
              </w:rPr>
            </w:pPr>
            <w:r w:rsidRPr="00BB4D6B">
              <w:rPr>
                <w:sz w:val="20"/>
                <w:szCs w:val="20"/>
              </w:rPr>
              <w:t>1.8%</w:t>
            </w:r>
          </w:p>
        </w:tc>
        <w:tc>
          <w:tcPr>
            <w:tcW w:w="1019" w:type="dxa"/>
            <w:tcBorders>
              <w:top w:val="nil"/>
              <w:left w:val="nil"/>
              <w:bottom w:val="nil"/>
              <w:right w:val="nil"/>
            </w:tcBorders>
            <w:noWrap/>
            <w:vAlign w:val="bottom"/>
            <w:hideMark/>
          </w:tcPr>
          <w:p w14:paraId="6B984E9D" w14:textId="77777777" w:rsidR="00677577" w:rsidRPr="00BB4D6B" w:rsidRDefault="00677577" w:rsidP="00D049C1">
            <w:pPr>
              <w:spacing w:after="0" w:line="240" w:lineRule="auto"/>
              <w:jc w:val="right"/>
              <w:rPr>
                <w:sz w:val="20"/>
                <w:szCs w:val="20"/>
              </w:rPr>
            </w:pPr>
            <w:r w:rsidRPr="00BB4D6B">
              <w:rPr>
                <w:sz w:val="20"/>
                <w:szCs w:val="20"/>
              </w:rPr>
              <w:t>0.7%</w:t>
            </w:r>
          </w:p>
        </w:tc>
        <w:tc>
          <w:tcPr>
            <w:tcW w:w="1019" w:type="dxa"/>
            <w:tcBorders>
              <w:top w:val="nil"/>
              <w:left w:val="nil"/>
              <w:bottom w:val="nil"/>
              <w:right w:val="nil"/>
            </w:tcBorders>
            <w:noWrap/>
            <w:vAlign w:val="bottom"/>
            <w:hideMark/>
          </w:tcPr>
          <w:p w14:paraId="4D0CCC4E" w14:textId="77777777" w:rsidR="00677577" w:rsidRPr="00BB4D6B" w:rsidRDefault="00677577" w:rsidP="00D049C1">
            <w:pPr>
              <w:spacing w:after="0" w:line="240" w:lineRule="auto"/>
              <w:jc w:val="right"/>
              <w:rPr>
                <w:sz w:val="20"/>
                <w:szCs w:val="20"/>
              </w:rPr>
            </w:pPr>
            <w:r w:rsidRPr="00BB4D6B">
              <w:rPr>
                <w:sz w:val="20"/>
                <w:szCs w:val="20"/>
              </w:rPr>
              <w:t>2.0%</w:t>
            </w:r>
          </w:p>
        </w:tc>
        <w:tc>
          <w:tcPr>
            <w:tcW w:w="1019" w:type="dxa"/>
            <w:tcBorders>
              <w:top w:val="nil"/>
              <w:left w:val="nil"/>
              <w:bottom w:val="nil"/>
              <w:right w:val="single" w:sz="4" w:space="0" w:color="auto"/>
            </w:tcBorders>
            <w:noWrap/>
            <w:vAlign w:val="bottom"/>
            <w:hideMark/>
          </w:tcPr>
          <w:p w14:paraId="7F069C22" w14:textId="77777777" w:rsidR="00677577" w:rsidRPr="00BB4D6B" w:rsidRDefault="00677577" w:rsidP="00D049C1">
            <w:pPr>
              <w:spacing w:after="0" w:line="240" w:lineRule="auto"/>
              <w:jc w:val="right"/>
              <w:rPr>
                <w:sz w:val="20"/>
                <w:szCs w:val="20"/>
              </w:rPr>
            </w:pPr>
            <w:r w:rsidRPr="00BB4D6B">
              <w:rPr>
                <w:sz w:val="20"/>
                <w:szCs w:val="20"/>
              </w:rPr>
              <w:t>0.8%</w:t>
            </w:r>
          </w:p>
        </w:tc>
      </w:tr>
      <w:tr w:rsidR="00677577" w:rsidRPr="00167CB8" w14:paraId="17BACEE6" w14:textId="77777777">
        <w:trPr>
          <w:trHeight w:val="371"/>
        </w:trPr>
        <w:tc>
          <w:tcPr>
            <w:tcW w:w="4160" w:type="dxa"/>
            <w:tcBorders>
              <w:top w:val="nil"/>
              <w:left w:val="single" w:sz="4" w:space="0" w:color="auto"/>
              <w:bottom w:val="nil"/>
              <w:right w:val="nil"/>
            </w:tcBorders>
            <w:vAlign w:val="bottom"/>
            <w:hideMark/>
          </w:tcPr>
          <w:p w14:paraId="1E73D1DC" w14:textId="77777777" w:rsidR="00677577" w:rsidRPr="00BB4D6B" w:rsidRDefault="00677577">
            <w:pPr>
              <w:spacing w:after="0" w:line="240" w:lineRule="auto"/>
              <w:rPr>
                <w:sz w:val="20"/>
                <w:szCs w:val="20"/>
              </w:rPr>
            </w:pPr>
            <w:r w:rsidRPr="00BB4D6B">
              <w:rPr>
                <w:sz w:val="20"/>
                <w:szCs w:val="20"/>
              </w:rPr>
              <w:t>Construction</w:t>
            </w:r>
          </w:p>
        </w:tc>
        <w:tc>
          <w:tcPr>
            <w:tcW w:w="933" w:type="dxa"/>
            <w:tcBorders>
              <w:top w:val="nil"/>
              <w:left w:val="nil"/>
              <w:bottom w:val="nil"/>
              <w:right w:val="nil"/>
            </w:tcBorders>
            <w:noWrap/>
            <w:vAlign w:val="bottom"/>
            <w:hideMark/>
          </w:tcPr>
          <w:p w14:paraId="5C46A74F" w14:textId="77777777" w:rsidR="00677577" w:rsidRPr="00BB4D6B" w:rsidRDefault="00677577" w:rsidP="00F73304">
            <w:pPr>
              <w:spacing w:after="0" w:line="240" w:lineRule="auto"/>
              <w:jc w:val="right"/>
              <w:rPr>
                <w:sz w:val="20"/>
                <w:szCs w:val="20"/>
              </w:rPr>
            </w:pPr>
            <w:r w:rsidRPr="00BB4D6B">
              <w:rPr>
                <w:sz w:val="20"/>
                <w:szCs w:val="20"/>
              </w:rPr>
              <w:t>33%</w:t>
            </w:r>
          </w:p>
        </w:tc>
        <w:tc>
          <w:tcPr>
            <w:tcW w:w="933" w:type="dxa"/>
            <w:tcBorders>
              <w:top w:val="nil"/>
              <w:left w:val="nil"/>
              <w:bottom w:val="nil"/>
              <w:right w:val="nil"/>
            </w:tcBorders>
            <w:noWrap/>
            <w:vAlign w:val="bottom"/>
            <w:hideMark/>
          </w:tcPr>
          <w:p w14:paraId="1D8D58FE" w14:textId="77777777" w:rsidR="00677577" w:rsidRPr="00BB4D6B" w:rsidRDefault="00677577" w:rsidP="00F73304">
            <w:pPr>
              <w:spacing w:after="0" w:line="240" w:lineRule="auto"/>
              <w:jc w:val="right"/>
              <w:rPr>
                <w:sz w:val="20"/>
                <w:szCs w:val="20"/>
              </w:rPr>
            </w:pPr>
            <w:r w:rsidRPr="00BB4D6B">
              <w:rPr>
                <w:sz w:val="20"/>
                <w:szCs w:val="20"/>
              </w:rPr>
              <w:t>29%</w:t>
            </w:r>
          </w:p>
        </w:tc>
        <w:tc>
          <w:tcPr>
            <w:tcW w:w="934" w:type="dxa"/>
            <w:tcBorders>
              <w:top w:val="nil"/>
              <w:left w:val="nil"/>
              <w:bottom w:val="nil"/>
              <w:right w:val="single" w:sz="4" w:space="0" w:color="auto"/>
            </w:tcBorders>
            <w:noWrap/>
            <w:vAlign w:val="bottom"/>
            <w:hideMark/>
          </w:tcPr>
          <w:p w14:paraId="529BD333" w14:textId="77777777" w:rsidR="00677577" w:rsidRPr="00BB4D6B" w:rsidRDefault="00677577" w:rsidP="00F73304">
            <w:pPr>
              <w:spacing w:after="0" w:line="240" w:lineRule="auto"/>
              <w:jc w:val="right"/>
              <w:rPr>
                <w:sz w:val="20"/>
                <w:szCs w:val="20"/>
              </w:rPr>
            </w:pPr>
            <w:r w:rsidRPr="00BB4D6B">
              <w:rPr>
                <w:sz w:val="20"/>
                <w:szCs w:val="20"/>
              </w:rPr>
              <w:t>55%</w:t>
            </w:r>
          </w:p>
        </w:tc>
        <w:tc>
          <w:tcPr>
            <w:tcW w:w="1019" w:type="dxa"/>
            <w:tcBorders>
              <w:top w:val="nil"/>
              <w:left w:val="single" w:sz="4" w:space="0" w:color="auto"/>
              <w:bottom w:val="nil"/>
              <w:right w:val="nil"/>
            </w:tcBorders>
            <w:noWrap/>
            <w:vAlign w:val="bottom"/>
            <w:hideMark/>
          </w:tcPr>
          <w:p w14:paraId="3F023DF1" w14:textId="77777777" w:rsidR="00677577" w:rsidRPr="00BB4D6B" w:rsidRDefault="00677577" w:rsidP="00F73304">
            <w:pPr>
              <w:spacing w:after="0" w:line="240" w:lineRule="auto"/>
              <w:jc w:val="right"/>
              <w:rPr>
                <w:sz w:val="20"/>
                <w:szCs w:val="20"/>
              </w:rPr>
            </w:pPr>
            <w:r w:rsidRPr="00BB4D6B">
              <w:rPr>
                <w:sz w:val="20"/>
                <w:szCs w:val="20"/>
              </w:rPr>
              <w:t>4%</w:t>
            </w:r>
          </w:p>
        </w:tc>
        <w:tc>
          <w:tcPr>
            <w:tcW w:w="1019" w:type="dxa"/>
            <w:tcBorders>
              <w:top w:val="nil"/>
              <w:left w:val="nil"/>
              <w:bottom w:val="nil"/>
              <w:right w:val="nil"/>
            </w:tcBorders>
            <w:noWrap/>
            <w:vAlign w:val="bottom"/>
            <w:hideMark/>
          </w:tcPr>
          <w:p w14:paraId="540F2E67" w14:textId="77777777" w:rsidR="00677577" w:rsidRPr="00BB4D6B" w:rsidRDefault="00677577" w:rsidP="00F73304">
            <w:pPr>
              <w:spacing w:after="0" w:line="240" w:lineRule="auto"/>
              <w:jc w:val="right"/>
              <w:rPr>
                <w:sz w:val="20"/>
                <w:szCs w:val="20"/>
              </w:rPr>
            </w:pPr>
            <w:r w:rsidRPr="00BB4D6B">
              <w:rPr>
                <w:sz w:val="20"/>
                <w:szCs w:val="20"/>
              </w:rPr>
              <w:t>4%</w:t>
            </w:r>
          </w:p>
        </w:tc>
        <w:tc>
          <w:tcPr>
            <w:tcW w:w="1020" w:type="dxa"/>
            <w:tcBorders>
              <w:top w:val="nil"/>
              <w:left w:val="nil"/>
              <w:bottom w:val="nil"/>
              <w:right w:val="single" w:sz="4" w:space="0" w:color="auto"/>
            </w:tcBorders>
            <w:noWrap/>
            <w:vAlign w:val="bottom"/>
            <w:hideMark/>
          </w:tcPr>
          <w:p w14:paraId="6573F5D0" w14:textId="77777777" w:rsidR="00677577" w:rsidRPr="00BB4D6B" w:rsidRDefault="00677577" w:rsidP="00F73304">
            <w:pPr>
              <w:spacing w:after="0" w:line="240" w:lineRule="auto"/>
              <w:jc w:val="right"/>
              <w:rPr>
                <w:sz w:val="20"/>
                <w:szCs w:val="20"/>
              </w:rPr>
            </w:pPr>
            <w:r w:rsidRPr="00BB4D6B">
              <w:rPr>
                <w:sz w:val="20"/>
                <w:szCs w:val="20"/>
              </w:rPr>
              <w:t>5%</w:t>
            </w:r>
          </w:p>
        </w:tc>
        <w:tc>
          <w:tcPr>
            <w:tcW w:w="1019" w:type="dxa"/>
            <w:tcBorders>
              <w:top w:val="nil"/>
              <w:left w:val="single" w:sz="4" w:space="0" w:color="auto"/>
              <w:bottom w:val="nil"/>
              <w:right w:val="nil"/>
            </w:tcBorders>
            <w:noWrap/>
            <w:vAlign w:val="bottom"/>
            <w:hideMark/>
          </w:tcPr>
          <w:p w14:paraId="2CAA28F2" w14:textId="77777777" w:rsidR="00677577" w:rsidRPr="00BB4D6B" w:rsidRDefault="00677577" w:rsidP="00F73304">
            <w:pPr>
              <w:spacing w:after="0" w:line="240" w:lineRule="auto"/>
              <w:jc w:val="right"/>
              <w:rPr>
                <w:sz w:val="20"/>
                <w:szCs w:val="20"/>
              </w:rPr>
            </w:pPr>
            <w:r w:rsidRPr="00BB4D6B">
              <w:rPr>
                <w:sz w:val="20"/>
                <w:szCs w:val="20"/>
              </w:rPr>
              <w:t>13.7%</w:t>
            </w:r>
          </w:p>
        </w:tc>
        <w:tc>
          <w:tcPr>
            <w:tcW w:w="1019" w:type="dxa"/>
            <w:tcBorders>
              <w:top w:val="nil"/>
              <w:left w:val="nil"/>
              <w:bottom w:val="nil"/>
              <w:right w:val="nil"/>
            </w:tcBorders>
            <w:noWrap/>
            <w:vAlign w:val="bottom"/>
            <w:hideMark/>
          </w:tcPr>
          <w:p w14:paraId="16F19379" w14:textId="77777777" w:rsidR="00677577" w:rsidRPr="00BB4D6B" w:rsidRDefault="00677577" w:rsidP="00F73304">
            <w:pPr>
              <w:spacing w:after="0" w:line="240" w:lineRule="auto"/>
              <w:jc w:val="right"/>
              <w:rPr>
                <w:sz w:val="20"/>
                <w:szCs w:val="20"/>
              </w:rPr>
            </w:pPr>
            <w:r w:rsidRPr="00BB4D6B">
              <w:rPr>
                <w:sz w:val="20"/>
                <w:szCs w:val="20"/>
              </w:rPr>
              <w:t>2.1%</w:t>
            </w:r>
          </w:p>
        </w:tc>
        <w:tc>
          <w:tcPr>
            <w:tcW w:w="1019" w:type="dxa"/>
            <w:tcBorders>
              <w:top w:val="nil"/>
              <w:left w:val="nil"/>
              <w:bottom w:val="nil"/>
              <w:right w:val="nil"/>
            </w:tcBorders>
            <w:noWrap/>
            <w:vAlign w:val="bottom"/>
            <w:hideMark/>
          </w:tcPr>
          <w:p w14:paraId="4CB34E57" w14:textId="77777777" w:rsidR="00677577" w:rsidRPr="00BB4D6B" w:rsidRDefault="00677577" w:rsidP="00F73304">
            <w:pPr>
              <w:spacing w:after="0" w:line="240" w:lineRule="auto"/>
              <w:jc w:val="right"/>
              <w:rPr>
                <w:sz w:val="20"/>
                <w:szCs w:val="20"/>
              </w:rPr>
            </w:pPr>
            <w:r w:rsidRPr="00BB4D6B">
              <w:rPr>
                <w:sz w:val="20"/>
                <w:szCs w:val="20"/>
              </w:rPr>
              <w:t>15.0%</w:t>
            </w:r>
          </w:p>
        </w:tc>
        <w:tc>
          <w:tcPr>
            <w:tcW w:w="1019" w:type="dxa"/>
            <w:tcBorders>
              <w:top w:val="nil"/>
              <w:left w:val="nil"/>
              <w:bottom w:val="nil"/>
              <w:right w:val="single" w:sz="4" w:space="0" w:color="auto"/>
            </w:tcBorders>
            <w:noWrap/>
            <w:vAlign w:val="bottom"/>
            <w:hideMark/>
          </w:tcPr>
          <w:p w14:paraId="15D14117" w14:textId="77777777" w:rsidR="00677577" w:rsidRPr="00BB4D6B" w:rsidRDefault="00677577" w:rsidP="00F73304">
            <w:pPr>
              <w:spacing w:after="0" w:line="240" w:lineRule="auto"/>
              <w:jc w:val="right"/>
              <w:rPr>
                <w:sz w:val="20"/>
                <w:szCs w:val="20"/>
              </w:rPr>
            </w:pPr>
            <w:r w:rsidRPr="00BB4D6B">
              <w:rPr>
                <w:sz w:val="20"/>
                <w:szCs w:val="20"/>
              </w:rPr>
              <w:t>2.6%</w:t>
            </w:r>
          </w:p>
        </w:tc>
      </w:tr>
      <w:tr w:rsidR="00677577" w:rsidRPr="00167CB8" w14:paraId="37BEBF89" w14:textId="77777777">
        <w:trPr>
          <w:trHeight w:val="371"/>
        </w:trPr>
        <w:tc>
          <w:tcPr>
            <w:tcW w:w="4160" w:type="dxa"/>
            <w:tcBorders>
              <w:top w:val="nil"/>
              <w:left w:val="single" w:sz="4" w:space="0" w:color="auto"/>
              <w:bottom w:val="nil"/>
              <w:right w:val="nil"/>
            </w:tcBorders>
            <w:vAlign w:val="bottom"/>
            <w:hideMark/>
          </w:tcPr>
          <w:p w14:paraId="74A0023A" w14:textId="77777777" w:rsidR="00677577" w:rsidRPr="00BB4D6B" w:rsidRDefault="00677577">
            <w:pPr>
              <w:spacing w:after="0" w:line="240" w:lineRule="auto"/>
              <w:rPr>
                <w:sz w:val="20"/>
                <w:szCs w:val="20"/>
              </w:rPr>
            </w:pPr>
            <w:r w:rsidRPr="00BB4D6B">
              <w:rPr>
                <w:sz w:val="20"/>
                <w:szCs w:val="20"/>
              </w:rPr>
              <w:t xml:space="preserve">Wholesale trade </w:t>
            </w:r>
          </w:p>
        </w:tc>
        <w:tc>
          <w:tcPr>
            <w:tcW w:w="933" w:type="dxa"/>
            <w:tcBorders>
              <w:top w:val="nil"/>
              <w:left w:val="nil"/>
              <w:bottom w:val="nil"/>
              <w:right w:val="nil"/>
            </w:tcBorders>
            <w:noWrap/>
            <w:vAlign w:val="bottom"/>
            <w:hideMark/>
          </w:tcPr>
          <w:p w14:paraId="39825F82" w14:textId="77777777" w:rsidR="00677577" w:rsidRPr="00BB4D6B" w:rsidRDefault="00677577" w:rsidP="00F73304">
            <w:pPr>
              <w:spacing w:after="0" w:line="240" w:lineRule="auto"/>
              <w:jc w:val="right"/>
              <w:rPr>
                <w:sz w:val="20"/>
                <w:szCs w:val="20"/>
              </w:rPr>
            </w:pPr>
            <w:r w:rsidRPr="00BB4D6B">
              <w:rPr>
                <w:sz w:val="20"/>
                <w:szCs w:val="20"/>
              </w:rPr>
              <w:t>-13%</w:t>
            </w:r>
          </w:p>
        </w:tc>
        <w:tc>
          <w:tcPr>
            <w:tcW w:w="933" w:type="dxa"/>
            <w:tcBorders>
              <w:top w:val="nil"/>
              <w:left w:val="nil"/>
              <w:bottom w:val="nil"/>
              <w:right w:val="nil"/>
            </w:tcBorders>
            <w:noWrap/>
            <w:vAlign w:val="bottom"/>
            <w:hideMark/>
          </w:tcPr>
          <w:p w14:paraId="5996E28E" w14:textId="77777777" w:rsidR="00677577" w:rsidRPr="00BB4D6B" w:rsidRDefault="00677577" w:rsidP="00F73304">
            <w:pPr>
              <w:spacing w:after="0" w:line="240" w:lineRule="auto"/>
              <w:jc w:val="right"/>
              <w:rPr>
                <w:sz w:val="20"/>
                <w:szCs w:val="20"/>
              </w:rPr>
            </w:pPr>
            <w:r w:rsidRPr="00BB4D6B">
              <w:rPr>
                <w:sz w:val="20"/>
                <w:szCs w:val="20"/>
              </w:rPr>
              <w:t>-4%</w:t>
            </w:r>
          </w:p>
        </w:tc>
        <w:tc>
          <w:tcPr>
            <w:tcW w:w="934" w:type="dxa"/>
            <w:tcBorders>
              <w:top w:val="nil"/>
              <w:left w:val="nil"/>
              <w:bottom w:val="nil"/>
              <w:right w:val="single" w:sz="4" w:space="0" w:color="auto"/>
            </w:tcBorders>
            <w:noWrap/>
            <w:vAlign w:val="bottom"/>
            <w:hideMark/>
          </w:tcPr>
          <w:p w14:paraId="0C7E43BF" w14:textId="77777777" w:rsidR="00677577" w:rsidRPr="00BB4D6B" w:rsidRDefault="00677577" w:rsidP="00F73304">
            <w:pPr>
              <w:spacing w:after="0" w:line="240" w:lineRule="auto"/>
              <w:jc w:val="right"/>
              <w:rPr>
                <w:sz w:val="20"/>
                <w:szCs w:val="20"/>
              </w:rPr>
            </w:pPr>
            <w:r w:rsidRPr="00BB4D6B">
              <w:rPr>
                <w:sz w:val="20"/>
                <w:szCs w:val="20"/>
              </w:rPr>
              <w:t>-17%</w:t>
            </w:r>
          </w:p>
        </w:tc>
        <w:tc>
          <w:tcPr>
            <w:tcW w:w="1019" w:type="dxa"/>
            <w:tcBorders>
              <w:top w:val="nil"/>
              <w:left w:val="single" w:sz="4" w:space="0" w:color="auto"/>
              <w:bottom w:val="nil"/>
              <w:right w:val="nil"/>
            </w:tcBorders>
            <w:noWrap/>
            <w:vAlign w:val="bottom"/>
            <w:hideMark/>
          </w:tcPr>
          <w:p w14:paraId="62F9A7EA" w14:textId="77777777" w:rsidR="00677577" w:rsidRPr="00BB4D6B" w:rsidRDefault="00677577" w:rsidP="00F73304">
            <w:pPr>
              <w:spacing w:after="0" w:line="240" w:lineRule="auto"/>
              <w:jc w:val="right"/>
              <w:rPr>
                <w:sz w:val="20"/>
                <w:szCs w:val="20"/>
              </w:rPr>
            </w:pPr>
            <w:r w:rsidRPr="00BB4D6B">
              <w:rPr>
                <w:sz w:val="20"/>
                <w:szCs w:val="20"/>
              </w:rPr>
              <w:t>1%</w:t>
            </w:r>
          </w:p>
        </w:tc>
        <w:tc>
          <w:tcPr>
            <w:tcW w:w="1019" w:type="dxa"/>
            <w:tcBorders>
              <w:top w:val="nil"/>
              <w:left w:val="nil"/>
              <w:bottom w:val="nil"/>
              <w:right w:val="nil"/>
            </w:tcBorders>
            <w:noWrap/>
            <w:vAlign w:val="bottom"/>
            <w:hideMark/>
          </w:tcPr>
          <w:p w14:paraId="1EAB9852" w14:textId="77777777" w:rsidR="00677577" w:rsidRPr="00BB4D6B" w:rsidRDefault="00677577" w:rsidP="00F73304">
            <w:pPr>
              <w:spacing w:after="0" w:line="240" w:lineRule="auto"/>
              <w:jc w:val="right"/>
              <w:rPr>
                <w:sz w:val="20"/>
                <w:szCs w:val="20"/>
              </w:rPr>
            </w:pPr>
            <w:r w:rsidRPr="00BB4D6B">
              <w:rPr>
                <w:sz w:val="20"/>
                <w:szCs w:val="20"/>
              </w:rPr>
              <w:t>-3%</w:t>
            </w:r>
          </w:p>
        </w:tc>
        <w:tc>
          <w:tcPr>
            <w:tcW w:w="1020" w:type="dxa"/>
            <w:tcBorders>
              <w:top w:val="nil"/>
              <w:left w:val="nil"/>
              <w:bottom w:val="nil"/>
              <w:right w:val="single" w:sz="4" w:space="0" w:color="auto"/>
            </w:tcBorders>
            <w:noWrap/>
            <w:vAlign w:val="bottom"/>
            <w:hideMark/>
          </w:tcPr>
          <w:p w14:paraId="37FF533D" w14:textId="77777777" w:rsidR="00677577" w:rsidRPr="00BB4D6B" w:rsidRDefault="00677577" w:rsidP="00F73304">
            <w:pPr>
              <w:spacing w:after="0" w:line="240" w:lineRule="auto"/>
              <w:jc w:val="right"/>
              <w:rPr>
                <w:sz w:val="20"/>
                <w:szCs w:val="20"/>
              </w:rPr>
            </w:pPr>
            <w:r w:rsidRPr="00BB4D6B">
              <w:rPr>
                <w:sz w:val="20"/>
                <w:szCs w:val="20"/>
              </w:rPr>
              <w:t>11%</w:t>
            </w:r>
          </w:p>
        </w:tc>
        <w:tc>
          <w:tcPr>
            <w:tcW w:w="1019" w:type="dxa"/>
            <w:tcBorders>
              <w:top w:val="nil"/>
              <w:left w:val="single" w:sz="4" w:space="0" w:color="auto"/>
              <w:bottom w:val="nil"/>
              <w:right w:val="nil"/>
            </w:tcBorders>
            <w:noWrap/>
            <w:vAlign w:val="bottom"/>
            <w:hideMark/>
          </w:tcPr>
          <w:p w14:paraId="59290FA5" w14:textId="77777777" w:rsidR="00677577" w:rsidRPr="00BB4D6B" w:rsidRDefault="00677577" w:rsidP="00F73304">
            <w:pPr>
              <w:spacing w:after="0" w:line="240" w:lineRule="auto"/>
              <w:jc w:val="right"/>
              <w:rPr>
                <w:sz w:val="20"/>
                <w:szCs w:val="20"/>
              </w:rPr>
            </w:pPr>
            <w:r w:rsidRPr="00BB4D6B">
              <w:rPr>
                <w:sz w:val="20"/>
                <w:szCs w:val="20"/>
              </w:rPr>
              <w:t>4.4%</w:t>
            </w:r>
          </w:p>
        </w:tc>
        <w:tc>
          <w:tcPr>
            <w:tcW w:w="1019" w:type="dxa"/>
            <w:tcBorders>
              <w:top w:val="nil"/>
              <w:left w:val="nil"/>
              <w:bottom w:val="nil"/>
              <w:right w:val="nil"/>
            </w:tcBorders>
            <w:noWrap/>
            <w:vAlign w:val="bottom"/>
            <w:hideMark/>
          </w:tcPr>
          <w:p w14:paraId="174A0788" w14:textId="77777777" w:rsidR="00677577" w:rsidRPr="00BB4D6B" w:rsidRDefault="00677577" w:rsidP="00F73304">
            <w:pPr>
              <w:spacing w:after="0" w:line="240" w:lineRule="auto"/>
              <w:jc w:val="right"/>
              <w:rPr>
                <w:sz w:val="20"/>
                <w:szCs w:val="20"/>
              </w:rPr>
            </w:pPr>
            <w:r w:rsidRPr="00BB4D6B">
              <w:rPr>
                <w:sz w:val="20"/>
                <w:szCs w:val="20"/>
              </w:rPr>
              <w:t>2.8%</w:t>
            </w:r>
          </w:p>
        </w:tc>
        <w:tc>
          <w:tcPr>
            <w:tcW w:w="1019" w:type="dxa"/>
            <w:tcBorders>
              <w:top w:val="nil"/>
              <w:left w:val="nil"/>
              <w:bottom w:val="nil"/>
              <w:right w:val="nil"/>
            </w:tcBorders>
            <w:noWrap/>
            <w:vAlign w:val="bottom"/>
            <w:hideMark/>
          </w:tcPr>
          <w:p w14:paraId="0E0FB70A" w14:textId="77777777" w:rsidR="00677577" w:rsidRPr="00BB4D6B" w:rsidRDefault="00677577" w:rsidP="00F73304">
            <w:pPr>
              <w:spacing w:after="0" w:line="240" w:lineRule="auto"/>
              <w:jc w:val="right"/>
              <w:rPr>
                <w:sz w:val="20"/>
                <w:szCs w:val="20"/>
              </w:rPr>
            </w:pPr>
            <w:r w:rsidRPr="00BB4D6B">
              <w:rPr>
                <w:sz w:val="20"/>
                <w:szCs w:val="20"/>
              </w:rPr>
              <w:t>3.3%</w:t>
            </w:r>
          </w:p>
        </w:tc>
        <w:tc>
          <w:tcPr>
            <w:tcW w:w="1019" w:type="dxa"/>
            <w:tcBorders>
              <w:top w:val="nil"/>
              <w:left w:val="nil"/>
              <w:bottom w:val="nil"/>
              <w:right w:val="single" w:sz="4" w:space="0" w:color="auto"/>
            </w:tcBorders>
            <w:noWrap/>
            <w:vAlign w:val="bottom"/>
            <w:hideMark/>
          </w:tcPr>
          <w:p w14:paraId="0BEDAAD1" w14:textId="77777777" w:rsidR="00677577" w:rsidRPr="00BB4D6B" w:rsidRDefault="00677577" w:rsidP="00F73304">
            <w:pPr>
              <w:spacing w:after="0" w:line="240" w:lineRule="auto"/>
              <w:jc w:val="right"/>
              <w:rPr>
                <w:sz w:val="20"/>
                <w:szCs w:val="20"/>
              </w:rPr>
            </w:pPr>
            <w:r w:rsidRPr="00BB4D6B">
              <w:rPr>
                <w:sz w:val="20"/>
                <w:szCs w:val="20"/>
              </w:rPr>
              <w:t>1.9%</w:t>
            </w:r>
          </w:p>
        </w:tc>
      </w:tr>
      <w:tr w:rsidR="00677577" w:rsidRPr="00167CB8" w14:paraId="14B6E12D" w14:textId="77777777">
        <w:trPr>
          <w:trHeight w:val="371"/>
        </w:trPr>
        <w:tc>
          <w:tcPr>
            <w:tcW w:w="4160" w:type="dxa"/>
            <w:tcBorders>
              <w:top w:val="nil"/>
              <w:left w:val="single" w:sz="4" w:space="0" w:color="auto"/>
              <w:bottom w:val="nil"/>
              <w:right w:val="nil"/>
            </w:tcBorders>
            <w:vAlign w:val="bottom"/>
            <w:hideMark/>
          </w:tcPr>
          <w:p w14:paraId="2BC6B9AC" w14:textId="77777777" w:rsidR="00677577" w:rsidRPr="00BB4D6B" w:rsidRDefault="00677577">
            <w:pPr>
              <w:spacing w:after="0" w:line="240" w:lineRule="auto"/>
              <w:rPr>
                <w:sz w:val="20"/>
                <w:szCs w:val="20"/>
              </w:rPr>
            </w:pPr>
            <w:r w:rsidRPr="00BB4D6B">
              <w:rPr>
                <w:sz w:val="20"/>
                <w:szCs w:val="20"/>
              </w:rPr>
              <w:t xml:space="preserve">Retail trade </w:t>
            </w:r>
          </w:p>
        </w:tc>
        <w:tc>
          <w:tcPr>
            <w:tcW w:w="933" w:type="dxa"/>
            <w:tcBorders>
              <w:top w:val="nil"/>
              <w:left w:val="nil"/>
              <w:bottom w:val="nil"/>
              <w:right w:val="nil"/>
            </w:tcBorders>
            <w:noWrap/>
            <w:vAlign w:val="bottom"/>
            <w:hideMark/>
          </w:tcPr>
          <w:p w14:paraId="01CDB93B" w14:textId="77777777" w:rsidR="00677577" w:rsidRPr="00BB4D6B" w:rsidRDefault="00677577" w:rsidP="00F73304">
            <w:pPr>
              <w:spacing w:after="0" w:line="240" w:lineRule="auto"/>
              <w:jc w:val="right"/>
              <w:rPr>
                <w:sz w:val="20"/>
                <w:szCs w:val="20"/>
              </w:rPr>
            </w:pPr>
            <w:r w:rsidRPr="00BB4D6B">
              <w:rPr>
                <w:sz w:val="20"/>
                <w:szCs w:val="20"/>
              </w:rPr>
              <w:t>12%</w:t>
            </w:r>
          </w:p>
        </w:tc>
        <w:tc>
          <w:tcPr>
            <w:tcW w:w="933" w:type="dxa"/>
            <w:tcBorders>
              <w:top w:val="nil"/>
              <w:left w:val="nil"/>
              <w:bottom w:val="nil"/>
              <w:right w:val="nil"/>
            </w:tcBorders>
            <w:noWrap/>
            <w:vAlign w:val="bottom"/>
            <w:hideMark/>
          </w:tcPr>
          <w:p w14:paraId="4C47B352" w14:textId="77777777" w:rsidR="00677577" w:rsidRPr="00BB4D6B" w:rsidRDefault="00677577" w:rsidP="00F73304">
            <w:pPr>
              <w:spacing w:after="0" w:line="240" w:lineRule="auto"/>
              <w:jc w:val="right"/>
              <w:rPr>
                <w:sz w:val="20"/>
                <w:szCs w:val="20"/>
              </w:rPr>
            </w:pPr>
            <w:r w:rsidRPr="00BB4D6B">
              <w:rPr>
                <w:sz w:val="20"/>
                <w:szCs w:val="20"/>
              </w:rPr>
              <w:t>21%</w:t>
            </w:r>
          </w:p>
        </w:tc>
        <w:tc>
          <w:tcPr>
            <w:tcW w:w="934" w:type="dxa"/>
            <w:tcBorders>
              <w:top w:val="nil"/>
              <w:left w:val="nil"/>
              <w:bottom w:val="nil"/>
              <w:right w:val="single" w:sz="4" w:space="0" w:color="auto"/>
            </w:tcBorders>
            <w:noWrap/>
            <w:vAlign w:val="bottom"/>
            <w:hideMark/>
          </w:tcPr>
          <w:p w14:paraId="75B7350B" w14:textId="77777777" w:rsidR="00677577" w:rsidRPr="00BB4D6B" w:rsidRDefault="00677577" w:rsidP="00F73304">
            <w:pPr>
              <w:spacing w:after="0" w:line="240" w:lineRule="auto"/>
              <w:jc w:val="right"/>
              <w:rPr>
                <w:sz w:val="20"/>
                <w:szCs w:val="20"/>
              </w:rPr>
            </w:pPr>
            <w:r w:rsidRPr="00BB4D6B">
              <w:rPr>
                <w:sz w:val="20"/>
                <w:szCs w:val="20"/>
              </w:rPr>
              <w:t>4%</w:t>
            </w:r>
          </w:p>
        </w:tc>
        <w:tc>
          <w:tcPr>
            <w:tcW w:w="1019" w:type="dxa"/>
            <w:tcBorders>
              <w:top w:val="nil"/>
              <w:left w:val="single" w:sz="4" w:space="0" w:color="auto"/>
              <w:bottom w:val="nil"/>
              <w:right w:val="nil"/>
            </w:tcBorders>
            <w:noWrap/>
            <w:vAlign w:val="bottom"/>
            <w:hideMark/>
          </w:tcPr>
          <w:p w14:paraId="107AD931" w14:textId="77777777" w:rsidR="00677577" w:rsidRPr="00BB4D6B" w:rsidRDefault="00677577" w:rsidP="00F73304">
            <w:pPr>
              <w:spacing w:after="0" w:line="240" w:lineRule="auto"/>
              <w:jc w:val="right"/>
              <w:rPr>
                <w:sz w:val="20"/>
                <w:szCs w:val="20"/>
              </w:rPr>
            </w:pPr>
            <w:r w:rsidRPr="00BB4D6B">
              <w:rPr>
                <w:sz w:val="20"/>
                <w:szCs w:val="20"/>
              </w:rPr>
              <w:t>1%</w:t>
            </w:r>
          </w:p>
        </w:tc>
        <w:tc>
          <w:tcPr>
            <w:tcW w:w="1019" w:type="dxa"/>
            <w:tcBorders>
              <w:top w:val="nil"/>
              <w:left w:val="nil"/>
              <w:bottom w:val="nil"/>
              <w:right w:val="nil"/>
            </w:tcBorders>
            <w:noWrap/>
            <w:vAlign w:val="bottom"/>
            <w:hideMark/>
          </w:tcPr>
          <w:p w14:paraId="53EAD962" w14:textId="77777777" w:rsidR="00677577" w:rsidRPr="00BB4D6B" w:rsidRDefault="00677577" w:rsidP="00F73304">
            <w:pPr>
              <w:spacing w:after="0" w:line="240" w:lineRule="auto"/>
              <w:jc w:val="right"/>
              <w:rPr>
                <w:sz w:val="20"/>
                <w:szCs w:val="20"/>
              </w:rPr>
            </w:pPr>
            <w:r w:rsidRPr="00BB4D6B">
              <w:rPr>
                <w:sz w:val="20"/>
                <w:szCs w:val="20"/>
              </w:rPr>
              <w:t>0%</w:t>
            </w:r>
          </w:p>
        </w:tc>
        <w:tc>
          <w:tcPr>
            <w:tcW w:w="1020" w:type="dxa"/>
            <w:tcBorders>
              <w:top w:val="nil"/>
              <w:left w:val="nil"/>
              <w:bottom w:val="nil"/>
              <w:right w:val="single" w:sz="4" w:space="0" w:color="auto"/>
            </w:tcBorders>
            <w:noWrap/>
            <w:vAlign w:val="bottom"/>
            <w:hideMark/>
          </w:tcPr>
          <w:p w14:paraId="73A2615C" w14:textId="77777777" w:rsidR="00677577" w:rsidRPr="00BB4D6B" w:rsidRDefault="00677577" w:rsidP="00F73304">
            <w:pPr>
              <w:spacing w:after="0" w:line="240" w:lineRule="auto"/>
              <w:jc w:val="right"/>
              <w:rPr>
                <w:sz w:val="20"/>
                <w:szCs w:val="20"/>
              </w:rPr>
            </w:pPr>
            <w:r w:rsidRPr="00BB4D6B">
              <w:rPr>
                <w:sz w:val="20"/>
                <w:szCs w:val="20"/>
              </w:rPr>
              <w:t>2%</w:t>
            </w:r>
          </w:p>
        </w:tc>
        <w:tc>
          <w:tcPr>
            <w:tcW w:w="1019" w:type="dxa"/>
            <w:tcBorders>
              <w:top w:val="nil"/>
              <w:left w:val="single" w:sz="4" w:space="0" w:color="auto"/>
              <w:bottom w:val="nil"/>
              <w:right w:val="nil"/>
            </w:tcBorders>
            <w:noWrap/>
            <w:vAlign w:val="bottom"/>
            <w:hideMark/>
          </w:tcPr>
          <w:p w14:paraId="377E01AE" w14:textId="77777777" w:rsidR="00677577" w:rsidRPr="00BB4D6B" w:rsidRDefault="00677577" w:rsidP="00F73304">
            <w:pPr>
              <w:spacing w:after="0" w:line="240" w:lineRule="auto"/>
              <w:jc w:val="right"/>
              <w:rPr>
                <w:sz w:val="20"/>
                <w:szCs w:val="20"/>
              </w:rPr>
            </w:pPr>
            <w:r w:rsidRPr="00BB4D6B">
              <w:rPr>
                <w:sz w:val="20"/>
                <w:szCs w:val="20"/>
              </w:rPr>
              <w:t>8.2%</w:t>
            </w:r>
          </w:p>
        </w:tc>
        <w:tc>
          <w:tcPr>
            <w:tcW w:w="1019" w:type="dxa"/>
            <w:tcBorders>
              <w:top w:val="nil"/>
              <w:left w:val="nil"/>
              <w:bottom w:val="nil"/>
              <w:right w:val="nil"/>
            </w:tcBorders>
            <w:noWrap/>
            <w:vAlign w:val="bottom"/>
            <w:hideMark/>
          </w:tcPr>
          <w:p w14:paraId="78134267" w14:textId="77777777" w:rsidR="00677577" w:rsidRPr="00BB4D6B" w:rsidRDefault="00677577" w:rsidP="00F73304">
            <w:pPr>
              <w:spacing w:after="0" w:line="240" w:lineRule="auto"/>
              <w:jc w:val="right"/>
              <w:rPr>
                <w:sz w:val="20"/>
                <w:szCs w:val="20"/>
              </w:rPr>
            </w:pPr>
            <w:r w:rsidRPr="00BB4D6B">
              <w:rPr>
                <w:sz w:val="20"/>
                <w:szCs w:val="20"/>
              </w:rPr>
              <w:t>13.2%</w:t>
            </w:r>
          </w:p>
        </w:tc>
        <w:tc>
          <w:tcPr>
            <w:tcW w:w="1019" w:type="dxa"/>
            <w:tcBorders>
              <w:top w:val="nil"/>
              <w:left w:val="nil"/>
              <w:bottom w:val="nil"/>
              <w:right w:val="nil"/>
            </w:tcBorders>
            <w:noWrap/>
            <w:vAlign w:val="bottom"/>
            <w:hideMark/>
          </w:tcPr>
          <w:p w14:paraId="15E77397" w14:textId="77777777" w:rsidR="00677577" w:rsidRPr="00BB4D6B" w:rsidRDefault="00677577" w:rsidP="00F73304">
            <w:pPr>
              <w:spacing w:after="0" w:line="240" w:lineRule="auto"/>
              <w:jc w:val="right"/>
              <w:rPr>
                <w:sz w:val="20"/>
                <w:szCs w:val="20"/>
              </w:rPr>
            </w:pPr>
            <w:r w:rsidRPr="00BB4D6B">
              <w:rPr>
                <w:sz w:val="20"/>
                <w:szCs w:val="20"/>
              </w:rPr>
              <w:t>8.1%</w:t>
            </w:r>
          </w:p>
        </w:tc>
        <w:tc>
          <w:tcPr>
            <w:tcW w:w="1019" w:type="dxa"/>
            <w:tcBorders>
              <w:top w:val="nil"/>
              <w:left w:val="nil"/>
              <w:bottom w:val="nil"/>
              <w:right w:val="single" w:sz="4" w:space="0" w:color="auto"/>
            </w:tcBorders>
            <w:noWrap/>
            <w:vAlign w:val="bottom"/>
            <w:hideMark/>
          </w:tcPr>
          <w:p w14:paraId="6B4A193B" w14:textId="77777777" w:rsidR="00677577" w:rsidRPr="00BB4D6B" w:rsidRDefault="00677577" w:rsidP="00F73304">
            <w:pPr>
              <w:spacing w:after="0" w:line="240" w:lineRule="auto"/>
              <w:jc w:val="right"/>
              <w:rPr>
                <w:sz w:val="20"/>
                <w:szCs w:val="20"/>
              </w:rPr>
            </w:pPr>
            <w:r w:rsidRPr="00BB4D6B">
              <w:rPr>
                <w:sz w:val="20"/>
                <w:szCs w:val="20"/>
              </w:rPr>
              <w:t>10.6%</w:t>
            </w:r>
          </w:p>
        </w:tc>
      </w:tr>
      <w:tr w:rsidR="00677577" w:rsidRPr="00167CB8" w14:paraId="33CDF6A5" w14:textId="77777777">
        <w:trPr>
          <w:trHeight w:val="371"/>
        </w:trPr>
        <w:tc>
          <w:tcPr>
            <w:tcW w:w="4160" w:type="dxa"/>
            <w:tcBorders>
              <w:top w:val="nil"/>
              <w:left w:val="single" w:sz="4" w:space="0" w:color="auto"/>
              <w:bottom w:val="nil"/>
              <w:right w:val="nil"/>
            </w:tcBorders>
            <w:vAlign w:val="bottom"/>
            <w:hideMark/>
          </w:tcPr>
          <w:p w14:paraId="46E92ED3" w14:textId="77777777" w:rsidR="00677577" w:rsidRPr="00BB4D6B" w:rsidRDefault="00677577">
            <w:pPr>
              <w:spacing w:after="0" w:line="240" w:lineRule="auto"/>
              <w:rPr>
                <w:sz w:val="20"/>
                <w:szCs w:val="20"/>
              </w:rPr>
            </w:pPr>
            <w:r w:rsidRPr="00BB4D6B">
              <w:rPr>
                <w:sz w:val="20"/>
                <w:szCs w:val="20"/>
              </w:rPr>
              <w:t>Accommodation and food services</w:t>
            </w:r>
          </w:p>
        </w:tc>
        <w:tc>
          <w:tcPr>
            <w:tcW w:w="933" w:type="dxa"/>
            <w:tcBorders>
              <w:top w:val="nil"/>
              <w:left w:val="nil"/>
              <w:bottom w:val="nil"/>
              <w:right w:val="nil"/>
            </w:tcBorders>
            <w:noWrap/>
            <w:vAlign w:val="bottom"/>
            <w:hideMark/>
          </w:tcPr>
          <w:p w14:paraId="7AB62652" w14:textId="77777777" w:rsidR="00677577" w:rsidRPr="00BB4D6B" w:rsidRDefault="00677577" w:rsidP="00F73304">
            <w:pPr>
              <w:spacing w:after="0" w:line="240" w:lineRule="auto"/>
              <w:jc w:val="right"/>
              <w:rPr>
                <w:sz w:val="20"/>
                <w:szCs w:val="20"/>
              </w:rPr>
            </w:pPr>
            <w:r w:rsidRPr="00BB4D6B">
              <w:rPr>
                <w:sz w:val="20"/>
                <w:szCs w:val="20"/>
              </w:rPr>
              <w:t>20%</w:t>
            </w:r>
          </w:p>
        </w:tc>
        <w:tc>
          <w:tcPr>
            <w:tcW w:w="933" w:type="dxa"/>
            <w:tcBorders>
              <w:top w:val="nil"/>
              <w:left w:val="nil"/>
              <w:bottom w:val="nil"/>
              <w:right w:val="nil"/>
            </w:tcBorders>
            <w:noWrap/>
            <w:vAlign w:val="bottom"/>
            <w:hideMark/>
          </w:tcPr>
          <w:p w14:paraId="38E9178B" w14:textId="77777777" w:rsidR="00677577" w:rsidRPr="00BB4D6B" w:rsidRDefault="00677577" w:rsidP="00F73304">
            <w:pPr>
              <w:spacing w:after="0" w:line="240" w:lineRule="auto"/>
              <w:jc w:val="right"/>
              <w:rPr>
                <w:sz w:val="20"/>
                <w:szCs w:val="20"/>
              </w:rPr>
            </w:pPr>
            <w:r w:rsidRPr="00BB4D6B">
              <w:rPr>
                <w:sz w:val="20"/>
                <w:szCs w:val="20"/>
              </w:rPr>
              <w:t>16%</w:t>
            </w:r>
          </w:p>
        </w:tc>
        <w:tc>
          <w:tcPr>
            <w:tcW w:w="934" w:type="dxa"/>
            <w:tcBorders>
              <w:top w:val="nil"/>
              <w:left w:val="nil"/>
              <w:bottom w:val="nil"/>
              <w:right w:val="single" w:sz="4" w:space="0" w:color="auto"/>
            </w:tcBorders>
            <w:noWrap/>
            <w:vAlign w:val="bottom"/>
            <w:hideMark/>
          </w:tcPr>
          <w:p w14:paraId="6138FDCB" w14:textId="77777777" w:rsidR="00677577" w:rsidRPr="00BB4D6B" w:rsidRDefault="00677577" w:rsidP="00F73304">
            <w:pPr>
              <w:spacing w:after="0" w:line="240" w:lineRule="auto"/>
              <w:jc w:val="right"/>
              <w:rPr>
                <w:sz w:val="20"/>
                <w:szCs w:val="20"/>
              </w:rPr>
            </w:pPr>
            <w:r w:rsidRPr="00BB4D6B">
              <w:rPr>
                <w:sz w:val="20"/>
                <w:szCs w:val="20"/>
              </w:rPr>
              <w:t>22%</w:t>
            </w:r>
          </w:p>
        </w:tc>
        <w:tc>
          <w:tcPr>
            <w:tcW w:w="1019" w:type="dxa"/>
            <w:tcBorders>
              <w:top w:val="nil"/>
              <w:left w:val="single" w:sz="4" w:space="0" w:color="auto"/>
              <w:bottom w:val="nil"/>
              <w:right w:val="nil"/>
            </w:tcBorders>
            <w:noWrap/>
            <w:vAlign w:val="bottom"/>
            <w:hideMark/>
          </w:tcPr>
          <w:p w14:paraId="626D4DD4" w14:textId="77777777" w:rsidR="00677577" w:rsidRPr="00BB4D6B" w:rsidRDefault="00677577" w:rsidP="00F73304">
            <w:pPr>
              <w:spacing w:after="0" w:line="240" w:lineRule="auto"/>
              <w:jc w:val="right"/>
              <w:rPr>
                <w:sz w:val="20"/>
                <w:szCs w:val="20"/>
              </w:rPr>
            </w:pPr>
            <w:r w:rsidRPr="00BB4D6B">
              <w:rPr>
                <w:sz w:val="20"/>
                <w:szCs w:val="20"/>
              </w:rPr>
              <w:t>5%</w:t>
            </w:r>
          </w:p>
        </w:tc>
        <w:tc>
          <w:tcPr>
            <w:tcW w:w="1019" w:type="dxa"/>
            <w:tcBorders>
              <w:top w:val="nil"/>
              <w:left w:val="nil"/>
              <w:bottom w:val="nil"/>
              <w:right w:val="nil"/>
            </w:tcBorders>
            <w:noWrap/>
            <w:vAlign w:val="bottom"/>
            <w:hideMark/>
          </w:tcPr>
          <w:p w14:paraId="164FAC3D" w14:textId="77777777" w:rsidR="00677577" w:rsidRPr="00BB4D6B" w:rsidRDefault="00677577" w:rsidP="00F73304">
            <w:pPr>
              <w:spacing w:after="0" w:line="240" w:lineRule="auto"/>
              <w:jc w:val="right"/>
              <w:rPr>
                <w:sz w:val="20"/>
                <w:szCs w:val="20"/>
              </w:rPr>
            </w:pPr>
            <w:r w:rsidRPr="00BB4D6B">
              <w:rPr>
                <w:sz w:val="20"/>
                <w:szCs w:val="20"/>
              </w:rPr>
              <w:t>13%</w:t>
            </w:r>
          </w:p>
        </w:tc>
        <w:tc>
          <w:tcPr>
            <w:tcW w:w="1020" w:type="dxa"/>
            <w:tcBorders>
              <w:top w:val="nil"/>
              <w:left w:val="nil"/>
              <w:bottom w:val="nil"/>
              <w:right w:val="single" w:sz="4" w:space="0" w:color="auto"/>
            </w:tcBorders>
            <w:noWrap/>
            <w:vAlign w:val="bottom"/>
            <w:hideMark/>
          </w:tcPr>
          <w:p w14:paraId="098F5B0F" w14:textId="77777777" w:rsidR="00677577" w:rsidRPr="00BB4D6B" w:rsidRDefault="00677577" w:rsidP="00F73304">
            <w:pPr>
              <w:spacing w:after="0" w:line="240" w:lineRule="auto"/>
              <w:jc w:val="right"/>
              <w:rPr>
                <w:sz w:val="20"/>
                <w:szCs w:val="20"/>
              </w:rPr>
            </w:pPr>
            <w:r w:rsidRPr="00BB4D6B">
              <w:rPr>
                <w:sz w:val="20"/>
                <w:szCs w:val="20"/>
              </w:rPr>
              <w:t>-1%</w:t>
            </w:r>
          </w:p>
        </w:tc>
        <w:tc>
          <w:tcPr>
            <w:tcW w:w="1019" w:type="dxa"/>
            <w:tcBorders>
              <w:top w:val="nil"/>
              <w:left w:val="single" w:sz="4" w:space="0" w:color="auto"/>
              <w:bottom w:val="nil"/>
              <w:right w:val="nil"/>
            </w:tcBorders>
            <w:noWrap/>
            <w:vAlign w:val="bottom"/>
            <w:hideMark/>
          </w:tcPr>
          <w:p w14:paraId="5BA4F915" w14:textId="77777777" w:rsidR="00677577" w:rsidRPr="00BB4D6B" w:rsidRDefault="00677577" w:rsidP="00F73304">
            <w:pPr>
              <w:spacing w:after="0" w:line="240" w:lineRule="auto"/>
              <w:jc w:val="right"/>
              <w:rPr>
                <w:sz w:val="20"/>
                <w:szCs w:val="20"/>
              </w:rPr>
            </w:pPr>
            <w:r w:rsidRPr="00BB4D6B">
              <w:rPr>
                <w:sz w:val="20"/>
                <w:szCs w:val="20"/>
              </w:rPr>
              <w:t>5.7%</w:t>
            </w:r>
          </w:p>
        </w:tc>
        <w:tc>
          <w:tcPr>
            <w:tcW w:w="1019" w:type="dxa"/>
            <w:tcBorders>
              <w:top w:val="nil"/>
              <w:left w:val="nil"/>
              <w:bottom w:val="nil"/>
              <w:right w:val="nil"/>
            </w:tcBorders>
            <w:noWrap/>
            <w:vAlign w:val="bottom"/>
            <w:hideMark/>
          </w:tcPr>
          <w:p w14:paraId="62F48207" w14:textId="77777777" w:rsidR="00677577" w:rsidRPr="00BB4D6B" w:rsidRDefault="00677577" w:rsidP="00F73304">
            <w:pPr>
              <w:spacing w:after="0" w:line="240" w:lineRule="auto"/>
              <w:jc w:val="right"/>
              <w:rPr>
                <w:sz w:val="20"/>
                <w:szCs w:val="20"/>
              </w:rPr>
            </w:pPr>
            <w:r w:rsidRPr="00BB4D6B">
              <w:rPr>
                <w:sz w:val="20"/>
                <w:szCs w:val="20"/>
              </w:rPr>
              <w:t>8.1%</w:t>
            </w:r>
          </w:p>
        </w:tc>
        <w:tc>
          <w:tcPr>
            <w:tcW w:w="1019" w:type="dxa"/>
            <w:tcBorders>
              <w:top w:val="nil"/>
              <w:left w:val="nil"/>
              <w:bottom w:val="nil"/>
              <w:right w:val="nil"/>
            </w:tcBorders>
            <w:noWrap/>
            <w:vAlign w:val="bottom"/>
            <w:hideMark/>
          </w:tcPr>
          <w:p w14:paraId="592D39DB" w14:textId="77777777" w:rsidR="00677577" w:rsidRPr="00BB4D6B" w:rsidRDefault="00677577" w:rsidP="00F73304">
            <w:pPr>
              <w:spacing w:after="0" w:line="240" w:lineRule="auto"/>
              <w:jc w:val="right"/>
              <w:rPr>
                <w:sz w:val="20"/>
                <w:szCs w:val="20"/>
              </w:rPr>
            </w:pPr>
            <w:r w:rsidRPr="00BB4D6B">
              <w:rPr>
                <w:sz w:val="20"/>
                <w:szCs w:val="20"/>
              </w:rPr>
              <w:t>6.1%</w:t>
            </w:r>
          </w:p>
        </w:tc>
        <w:tc>
          <w:tcPr>
            <w:tcW w:w="1019" w:type="dxa"/>
            <w:tcBorders>
              <w:top w:val="nil"/>
              <w:left w:val="nil"/>
              <w:bottom w:val="nil"/>
              <w:right w:val="single" w:sz="4" w:space="0" w:color="auto"/>
            </w:tcBorders>
            <w:noWrap/>
            <w:vAlign w:val="bottom"/>
            <w:hideMark/>
          </w:tcPr>
          <w:p w14:paraId="3711754E" w14:textId="77777777" w:rsidR="00677577" w:rsidRPr="00BB4D6B" w:rsidRDefault="00677577" w:rsidP="00F73304">
            <w:pPr>
              <w:spacing w:after="0" w:line="240" w:lineRule="auto"/>
              <w:jc w:val="right"/>
              <w:rPr>
                <w:sz w:val="20"/>
                <w:szCs w:val="20"/>
              </w:rPr>
            </w:pPr>
            <w:r w:rsidRPr="00BB4D6B">
              <w:rPr>
                <w:sz w:val="20"/>
                <w:szCs w:val="20"/>
              </w:rPr>
              <w:t>7.4%</w:t>
            </w:r>
          </w:p>
        </w:tc>
      </w:tr>
      <w:tr w:rsidR="00677577" w:rsidRPr="00167CB8" w14:paraId="1004C5BF" w14:textId="77777777">
        <w:trPr>
          <w:trHeight w:val="371"/>
        </w:trPr>
        <w:tc>
          <w:tcPr>
            <w:tcW w:w="4160" w:type="dxa"/>
            <w:tcBorders>
              <w:top w:val="nil"/>
              <w:left w:val="single" w:sz="4" w:space="0" w:color="auto"/>
              <w:bottom w:val="nil"/>
              <w:right w:val="nil"/>
            </w:tcBorders>
            <w:vAlign w:val="bottom"/>
            <w:hideMark/>
          </w:tcPr>
          <w:p w14:paraId="7F7BF274" w14:textId="77777777" w:rsidR="00677577" w:rsidRPr="00BB4D6B" w:rsidRDefault="00677577">
            <w:pPr>
              <w:spacing w:after="0" w:line="240" w:lineRule="auto"/>
              <w:rPr>
                <w:sz w:val="20"/>
                <w:szCs w:val="20"/>
              </w:rPr>
            </w:pPr>
            <w:r w:rsidRPr="00BB4D6B">
              <w:rPr>
                <w:sz w:val="20"/>
                <w:szCs w:val="20"/>
              </w:rPr>
              <w:t xml:space="preserve">Transport, postal and warehousing </w:t>
            </w:r>
          </w:p>
        </w:tc>
        <w:tc>
          <w:tcPr>
            <w:tcW w:w="933" w:type="dxa"/>
            <w:tcBorders>
              <w:top w:val="nil"/>
              <w:left w:val="nil"/>
              <w:bottom w:val="nil"/>
              <w:right w:val="nil"/>
            </w:tcBorders>
            <w:noWrap/>
            <w:vAlign w:val="bottom"/>
            <w:hideMark/>
          </w:tcPr>
          <w:p w14:paraId="5111362A" w14:textId="77777777" w:rsidR="00677577" w:rsidRPr="00BB4D6B" w:rsidRDefault="00677577" w:rsidP="00F73304">
            <w:pPr>
              <w:spacing w:after="0" w:line="240" w:lineRule="auto"/>
              <w:jc w:val="right"/>
              <w:rPr>
                <w:sz w:val="20"/>
                <w:szCs w:val="20"/>
              </w:rPr>
            </w:pPr>
            <w:r w:rsidRPr="00BB4D6B">
              <w:rPr>
                <w:sz w:val="20"/>
                <w:szCs w:val="20"/>
              </w:rPr>
              <w:t>26%</w:t>
            </w:r>
          </w:p>
        </w:tc>
        <w:tc>
          <w:tcPr>
            <w:tcW w:w="933" w:type="dxa"/>
            <w:tcBorders>
              <w:top w:val="nil"/>
              <w:left w:val="nil"/>
              <w:bottom w:val="nil"/>
              <w:right w:val="nil"/>
            </w:tcBorders>
            <w:noWrap/>
            <w:vAlign w:val="bottom"/>
            <w:hideMark/>
          </w:tcPr>
          <w:p w14:paraId="1C57C400" w14:textId="77777777" w:rsidR="00677577" w:rsidRPr="00BB4D6B" w:rsidRDefault="00677577" w:rsidP="00F73304">
            <w:pPr>
              <w:spacing w:after="0" w:line="240" w:lineRule="auto"/>
              <w:jc w:val="right"/>
              <w:rPr>
                <w:sz w:val="20"/>
                <w:szCs w:val="20"/>
              </w:rPr>
            </w:pPr>
            <w:r w:rsidRPr="00BB4D6B">
              <w:rPr>
                <w:sz w:val="20"/>
                <w:szCs w:val="20"/>
              </w:rPr>
              <w:t>22%</w:t>
            </w:r>
          </w:p>
        </w:tc>
        <w:tc>
          <w:tcPr>
            <w:tcW w:w="934" w:type="dxa"/>
            <w:tcBorders>
              <w:top w:val="nil"/>
              <w:left w:val="nil"/>
              <w:bottom w:val="nil"/>
              <w:right w:val="single" w:sz="4" w:space="0" w:color="auto"/>
            </w:tcBorders>
            <w:noWrap/>
            <w:vAlign w:val="bottom"/>
            <w:hideMark/>
          </w:tcPr>
          <w:p w14:paraId="6E06E633" w14:textId="77777777" w:rsidR="00677577" w:rsidRPr="00BB4D6B" w:rsidRDefault="00677577" w:rsidP="00F73304">
            <w:pPr>
              <w:spacing w:after="0" w:line="240" w:lineRule="auto"/>
              <w:jc w:val="right"/>
              <w:rPr>
                <w:sz w:val="20"/>
                <w:szCs w:val="20"/>
              </w:rPr>
            </w:pPr>
            <w:r w:rsidRPr="00BB4D6B">
              <w:rPr>
                <w:sz w:val="20"/>
                <w:szCs w:val="20"/>
              </w:rPr>
              <w:t>42%</w:t>
            </w:r>
          </w:p>
        </w:tc>
        <w:tc>
          <w:tcPr>
            <w:tcW w:w="1019" w:type="dxa"/>
            <w:tcBorders>
              <w:top w:val="nil"/>
              <w:left w:val="single" w:sz="4" w:space="0" w:color="auto"/>
              <w:bottom w:val="nil"/>
              <w:right w:val="nil"/>
            </w:tcBorders>
            <w:noWrap/>
            <w:vAlign w:val="bottom"/>
            <w:hideMark/>
          </w:tcPr>
          <w:p w14:paraId="19BA2732" w14:textId="77777777" w:rsidR="00677577" w:rsidRPr="00BB4D6B" w:rsidRDefault="00677577" w:rsidP="00F73304">
            <w:pPr>
              <w:spacing w:after="0" w:line="240" w:lineRule="auto"/>
              <w:jc w:val="right"/>
              <w:rPr>
                <w:sz w:val="20"/>
                <w:szCs w:val="20"/>
              </w:rPr>
            </w:pPr>
            <w:r w:rsidRPr="00BB4D6B">
              <w:rPr>
                <w:sz w:val="20"/>
                <w:szCs w:val="20"/>
              </w:rPr>
              <w:t>2%</w:t>
            </w:r>
          </w:p>
        </w:tc>
        <w:tc>
          <w:tcPr>
            <w:tcW w:w="1019" w:type="dxa"/>
            <w:tcBorders>
              <w:top w:val="nil"/>
              <w:left w:val="nil"/>
              <w:bottom w:val="nil"/>
              <w:right w:val="nil"/>
            </w:tcBorders>
            <w:noWrap/>
            <w:vAlign w:val="bottom"/>
            <w:hideMark/>
          </w:tcPr>
          <w:p w14:paraId="157E5599" w14:textId="77777777" w:rsidR="00677577" w:rsidRPr="00BB4D6B" w:rsidRDefault="00677577" w:rsidP="00F73304">
            <w:pPr>
              <w:spacing w:after="0" w:line="240" w:lineRule="auto"/>
              <w:jc w:val="right"/>
              <w:rPr>
                <w:sz w:val="20"/>
                <w:szCs w:val="20"/>
              </w:rPr>
            </w:pPr>
            <w:r w:rsidRPr="00BB4D6B">
              <w:rPr>
                <w:sz w:val="20"/>
                <w:szCs w:val="20"/>
              </w:rPr>
              <w:t>3%</w:t>
            </w:r>
          </w:p>
        </w:tc>
        <w:tc>
          <w:tcPr>
            <w:tcW w:w="1020" w:type="dxa"/>
            <w:tcBorders>
              <w:top w:val="nil"/>
              <w:left w:val="nil"/>
              <w:bottom w:val="nil"/>
              <w:right w:val="single" w:sz="4" w:space="0" w:color="auto"/>
            </w:tcBorders>
            <w:noWrap/>
            <w:vAlign w:val="bottom"/>
            <w:hideMark/>
          </w:tcPr>
          <w:p w14:paraId="2AA69D69" w14:textId="77777777" w:rsidR="00677577" w:rsidRPr="00BB4D6B" w:rsidRDefault="00677577" w:rsidP="00F73304">
            <w:pPr>
              <w:spacing w:after="0" w:line="240" w:lineRule="auto"/>
              <w:jc w:val="right"/>
              <w:rPr>
                <w:sz w:val="20"/>
                <w:szCs w:val="20"/>
              </w:rPr>
            </w:pPr>
            <w:r w:rsidRPr="00BB4D6B">
              <w:rPr>
                <w:sz w:val="20"/>
                <w:szCs w:val="20"/>
              </w:rPr>
              <w:t>-2%</w:t>
            </w:r>
          </w:p>
        </w:tc>
        <w:tc>
          <w:tcPr>
            <w:tcW w:w="1019" w:type="dxa"/>
            <w:tcBorders>
              <w:top w:val="nil"/>
              <w:left w:val="single" w:sz="4" w:space="0" w:color="auto"/>
              <w:bottom w:val="nil"/>
              <w:right w:val="nil"/>
            </w:tcBorders>
            <w:noWrap/>
            <w:vAlign w:val="bottom"/>
            <w:hideMark/>
          </w:tcPr>
          <w:p w14:paraId="54F17BEB" w14:textId="77777777" w:rsidR="00677577" w:rsidRPr="00BB4D6B" w:rsidRDefault="00677577" w:rsidP="00F73304">
            <w:pPr>
              <w:spacing w:after="0" w:line="240" w:lineRule="auto"/>
              <w:jc w:val="right"/>
              <w:rPr>
                <w:sz w:val="20"/>
                <w:szCs w:val="20"/>
              </w:rPr>
            </w:pPr>
            <w:r w:rsidRPr="00BB4D6B">
              <w:rPr>
                <w:sz w:val="20"/>
                <w:szCs w:val="20"/>
              </w:rPr>
              <w:t>7.1%</w:t>
            </w:r>
          </w:p>
        </w:tc>
        <w:tc>
          <w:tcPr>
            <w:tcW w:w="1019" w:type="dxa"/>
            <w:tcBorders>
              <w:top w:val="nil"/>
              <w:left w:val="nil"/>
              <w:bottom w:val="nil"/>
              <w:right w:val="nil"/>
            </w:tcBorders>
            <w:noWrap/>
            <w:vAlign w:val="bottom"/>
            <w:hideMark/>
          </w:tcPr>
          <w:p w14:paraId="4F2BB7BE" w14:textId="77777777" w:rsidR="00677577" w:rsidRPr="00BB4D6B" w:rsidRDefault="00677577" w:rsidP="00F73304">
            <w:pPr>
              <w:spacing w:after="0" w:line="240" w:lineRule="auto"/>
              <w:jc w:val="right"/>
              <w:rPr>
                <w:sz w:val="20"/>
                <w:szCs w:val="20"/>
              </w:rPr>
            </w:pPr>
            <w:r w:rsidRPr="00BB4D6B">
              <w:rPr>
                <w:sz w:val="20"/>
                <w:szCs w:val="20"/>
              </w:rPr>
              <w:t>2.2%</w:t>
            </w:r>
          </w:p>
        </w:tc>
        <w:tc>
          <w:tcPr>
            <w:tcW w:w="1019" w:type="dxa"/>
            <w:tcBorders>
              <w:top w:val="nil"/>
              <w:left w:val="nil"/>
              <w:bottom w:val="nil"/>
              <w:right w:val="nil"/>
            </w:tcBorders>
            <w:noWrap/>
            <w:vAlign w:val="bottom"/>
            <w:hideMark/>
          </w:tcPr>
          <w:p w14:paraId="5B34D7E7" w14:textId="77777777" w:rsidR="00677577" w:rsidRPr="00BB4D6B" w:rsidRDefault="00677577" w:rsidP="00F73304">
            <w:pPr>
              <w:spacing w:after="0" w:line="240" w:lineRule="auto"/>
              <w:jc w:val="right"/>
              <w:rPr>
                <w:sz w:val="20"/>
                <w:szCs w:val="20"/>
              </w:rPr>
            </w:pPr>
            <w:r w:rsidRPr="00BB4D6B">
              <w:rPr>
                <w:sz w:val="20"/>
                <w:szCs w:val="20"/>
              </w:rPr>
              <w:t>7.3%</w:t>
            </w:r>
          </w:p>
        </w:tc>
        <w:tc>
          <w:tcPr>
            <w:tcW w:w="1019" w:type="dxa"/>
            <w:tcBorders>
              <w:top w:val="nil"/>
              <w:left w:val="nil"/>
              <w:bottom w:val="nil"/>
              <w:right w:val="single" w:sz="4" w:space="0" w:color="auto"/>
            </w:tcBorders>
            <w:noWrap/>
            <w:vAlign w:val="bottom"/>
            <w:hideMark/>
          </w:tcPr>
          <w:p w14:paraId="154B97A1" w14:textId="77777777" w:rsidR="00677577" w:rsidRPr="00BB4D6B" w:rsidRDefault="00677577" w:rsidP="00F73304">
            <w:pPr>
              <w:spacing w:after="0" w:line="240" w:lineRule="auto"/>
              <w:jc w:val="right"/>
              <w:rPr>
                <w:sz w:val="20"/>
                <w:szCs w:val="20"/>
              </w:rPr>
            </w:pPr>
            <w:r w:rsidRPr="00BB4D6B">
              <w:rPr>
                <w:sz w:val="20"/>
                <w:szCs w:val="20"/>
              </w:rPr>
              <w:t>2.3%</w:t>
            </w:r>
          </w:p>
        </w:tc>
      </w:tr>
      <w:tr w:rsidR="00677577" w:rsidRPr="00167CB8" w14:paraId="006B3CD2" w14:textId="77777777">
        <w:trPr>
          <w:trHeight w:val="371"/>
        </w:trPr>
        <w:tc>
          <w:tcPr>
            <w:tcW w:w="4160" w:type="dxa"/>
            <w:tcBorders>
              <w:top w:val="nil"/>
              <w:left w:val="single" w:sz="4" w:space="0" w:color="auto"/>
              <w:bottom w:val="nil"/>
              <w:right w:val="nil"/>
            </w:tcBorders>
            <w:vAlign w:val="bottom"/>
            <w:hideMark/>
          </w:tcPr>
          <w:p w14:paraId="2222E417" w14:textId="77777777" w:rsidR="00677577" w:rsidRPr="00BB4D6B" w:rsidRDefault="00677577">
            <w:pPr>
              <w:spacing w:after="0" w:line="240" w:lineRule="auto"/>
              <w:rPr>
                <w:sz w:val="20"/>
                <w:szCs w:val="20"/>
              </w:rPr>
            </w:pPr>
            <w:r w:rsidRPr="00BB4D6B">
              <w:rPr>
                <w:sz w:val="20"/>
                <w:szCs w:val="20"/>
              </w:rPr>
              <w:t xml:space="preserve">Information, media and telecommunications </w:t>
            </w:r>
          </w:p>
        </w:tc>
        <w:tc>
          <w:tcPr>
            <w:tcW w:w="933" w:type="dxa"/>
            <w:tcBorders>
              <w:top w:val="nil"/>
              <w:left w:val="nil"/>
              <w:bottom w:val="nil"/>
              <w:right w:val="nil"/>
            </w:tcBorders>
            <w:noWrap/>
            <w:vAlign w:val="bottom"/>
            <w:hideMark/>
          </w:tcPr>
          <w:p w14:paraId="2F950692" w14:textId="77777777" w:rsidR="00677577" w:rsidRPr="00BB4D6B" w:rsidRDefault="00677577" w:rsidP="00F73304">
            <w:pPr>
              <w:spacing w:after="0" w:line="240" w:lineRule="auto"/>
              <w:jc w:val="right"/>
              <w:rPr>
                <w:sz w:val="20"/>
                <w:szCs w:val="20"/>
              </w:rPr>
            </w:pPr>
            <w:r w:rsidRPr="00BB4D6B">
              <w:rPr>
                <w:sz w:val="20"/>
                <w:szCs w:val="20"/>
              </w:rPr>
              <w:t>-15%</w:t>
            </w:r>
          </w:p>
        </w:tc>
        <w:tc>
          <w:tcPr>
            <w:tcW w:w="933" w:type="dxa"/>
            <w:tcBorders>
              <w:top w:val="nil"/>
              <w:left w:val="nil"/>
              <w:bottom w:val="nil"/>
              <w:right w:val="nil"/>
            </w:tcBorders>
            <w:noWrap/>
            <w:vAlign w:val="bottom"/>
            <w:hideMark/>
          </w:tcPr>
          <w:p w14:paraId="0329DC12" w14:textId="77777777" w:rsidR="00677577" w:rsidRPr="00BB4D6B" w:rsidRDefault="00677577" w:rsidP="00F73304">
            <w:pPr>
              <w:spacing w:after="0" w:line="240" w:lineRule="auto"/>
              <w:jc w:val="right"/>
              <w:rPr>
                <w:sz w:val="20"/>
                <w:szCs w:val="20"/>
              </w:rPr>
            </w:pPr>
            <w:r w:rsidRPr="00BB4D6B">
              <w:rPr>
                <w:sz w:val="20"/>
                <w:szCs w:val="20"/>
              </w:rPr>
              <w:t>-14%</w:t>
            </w:r>
          </w:p>
        </w:tc>
        <w:tc>
          <w:tcPr>
            <w:tcW w:w="934" w:type="dxa"/>
            <w:tcBorders>
              <w:top w:val="nil"/>
              <w:left w:val="nil"/>
              <w:bottom w:val="nil"/>
              <w:right w:val="single" w:sz="4" w:space="0" w:color="auto"/>
            </w:tcBorders>
            <w:noWrap/>
            <w:vAlign w:val="bottom"/>
            <w:hideMark/>
          </w:tcPr>
          <w:p w14:paraId="77EC4786" w14:textId="77777777" w:rsidR="00677577" w:rsidRPr="00BB4D6B" w:rsidRDefault="00677577" w:rsidP="00F73304">
            <w:pPr>
              <w:spacing w:after="0" w:line="240" w:lineRule="auto"/>
              <w:jc w:val="right"/>
              <w:rPr>
                <w:sz w:val="20"/>
                <w:szCs w:val="20"/>
              </w:rPr>
            </w:pPr>
            <w:r w:rsidRPr="00BB4D6B">
              <w:rPr>
                <w:sz w:val="20"/>
                <w:szCs w:val="20"/>
              </w:rPr>
              <w:t>-20%</w:t>
            </w:r>
          </w:p>
        </w:tc>
        <w:tc>
          <w:tcPr>
            <w:tcW w:w="1019" w:type="dxa"/>
            <w:tcBorders>
              <w:top w:val="nil"/>
              <w:left w:val="single" w:sz="4" w:space="0" w:color="auto"/>
              <w:bottom w:val="nil"/>
              <w:right w:val="nil"/>
            </w:tcBorders>
            <w:noWrap/>
            <w:vAlign w:val="bottom"/>
            <w:hideMark/>
          </w:tcPr>
          <w:p w14:paraId="3E80C73C" w14:textId="77777777" w:rsidR="00677577" w:rsidRPr="00BB4D6B" w:rsidRDefault="00677577" w:rsidP="00F73304">
            <w:pPr>
              <w:spacing w:after="0" w:line="240" w:lineRule="auto"/>
              <w:jc w:val="right"/>
              <w:rPr>
                <w:sz w:val="20"/>
                <w:szCs w:val="20"/>
              </w:rPr>
            </w:pPr>
            <w:r w:rsidRPr="00BB4D6B">
              <w:rPr>
                <w:sz w:val="20"/>
                <w:szCs w:val="20"/>
              </w:rPr>
              <w:t>-6%</w:t>
            </w:r>
          </w:p>
        </w:tc>
        <w:tc>
          <w:tcPr>
            <w:tcW w:w="1019" w:type="dxa"/>
            <w:tcBorders>
              <w:top w:val="nil"/>
              <w:left w:val="nil"/>
              <w:bottom w:val="nil"/>
              <w:right w:val="nil"/>
            </w:tcBorders>
            <w:noWrap/>
            <w:vAlign w:val="bottom"/>
            <w:hideMark/>
          </w:tcPr>
          <w:p w14:paraId="6D681466" w14:textId="77777777" w:rsidR="00677577" w:rsidRPr="00BB4D6B" w:rsidRDefault="00677577" w:rsidP="00F73304">
            <w:pPr>
              <w:spacing w:after="0" w:line="240" w:lineRule="auto"/>
              <w:jc w:val="right"/>
              <w:rPr>
                <w:sz w:val="20"/>
                <w:szCs w:val="20"/>
              </w:rPr>
            </w:pPr>
            <w:r w:rsidRPr="00BB4D6B">
              <w:rPr>
                <w:sz w:val="20"/>
                <w:szCs w:val="20"/>
              </w:rPr>
              <w:t>-4%</w:t>
            </w:r>
          </w:p>
        </w:tc>
        <w:tc>
          <w:tcPr>
            <w:tcW w:w="1020" w:type="dxa"/>
            <w:tcBorders>
              <w:top w:val="nil"/>
              <w:left w:val="nil"/>
              <w:bottom w:val="nil"/>
              <w:right w:val="single" w:sz="4" w:space="0" w:color="auto"/>
            </w:tcBorders>
            <w:noWrap/>
            <w:vAlign w:val="bottom"/>
            <w:hideMark/>
          </w:tcPr>
          <w:p w14:paraId="4CE37175" w14:textId="77777777" w:rsidR="00677577" w:rsidRPr="00BB4D6B" w:rsidRDefault="00677577" w:rsidP="00F73304">
            <w:pPr>
              <w:spacing w:after="0" w:line="240" w:lineRule="auto"/>
              <w:jc w:val="right"/>
              <w:rPr>
                <w:sz w:val="20"/>
                <w:szCs w:val="20"/>
              </w:rPr>
            </w:pPr>
            <w:r w:rsidRPr="00BB4D6B">
              <w:rPr>
                <w:sz w:val="20"/>
                <w:szCs w:val="20"/>
              </w:rPr>
              <w:t>-9%</w:t>
            </w:r>
          </w:p>
        </w:tc>
        <w:tc>
          <w:tcPr>
            <w:tcW w:w="1019" w:type="dxa"/>
            <w:tcBorders>
              <w:top w:val="nil"/>
              <w:left w:val="single" w:sz="4" w:space="0" w:color="auto"/>
              <w:bottom w:val="nil"/>
              <w:right w:val="nil"/>
            </w:tcBorders>
            <w:noWrap/>
            <w:vAlign w:val="bottom"/>
            <w:hideMark/>
          </w:tcPr>
          <w:p w14:paraId="4C847EA1" w14:textId="77777777" w:rsidR="00677577" w:rsidRPr="00BB4D6B" w:rsidRDefault="00677577" w:rsidP="00F73304">
            <w:pPr>
              <w:spacing w:after="0" w:line="240" w:lineRule="auto"/>
              <w:jc w:val="right"/>
              <w:rPr>
                <w:sz w:val="20"/>
                <w:szCs w:val="20"/>
              </w:rPr>
            </w:pPr>
            <w:r w:rsidRPr="00BB4D6B">
              <w:rPr>
                <w:sz w:val="20"/>
                <w:szCs w:val="20"/>
              </w:rPr>
              <w:t>2.2%</w:t>
            </w:r>
          </w:p>
        </w:tc>
        <w:tc>
          <w:tcPr>
            <w:tcW w:w="1019" w:type="dxa"/>
            <w:tcBorders>
              <w:top w:val="nil"/>
              <w:left w:val="nil"/>
              <w:bottom w:val="nil"/>
              <w:right w:val="nil"/>
            </w:tcBorders>
            <w:noWrap/>
            <w:vAlign w:val="bottom"/>
            <w:hideMark/>
          </w:tcPr>
          <w:p w14:paraId="11FABA43" w14:textId="77777777" w:rsidR="00677577" w:rsidRPr="00BB4D6B" w:rsidRDefault="00677577" w:rsidP="00F73304">
            <w:pPr>
              <w:spacing w:after="0" w:line="240" w:lineRule="auto"/>
              <w:jc w:val="right"/>
              <w:rPr>
                <w:sz w:val="20"/>
                <w:szCs w:val="20"/>
              </w:rPr>
            </w:pPr>
            <w:r w:rsidRPr="00BB4D6B">
              <w:rPr>
                <w:sz w:val="20"/>
                <w:szCs w:val="20"/>
              </w:rPr>
              <w:t>1.9%</w:t>
            </w:r>
          </w:p>
        </w:tc>
        <w:tc>
          <w:tcPr>
            <w:tcW w:w="1019" w:type="dxa"/>
            <w:tcBorders>
              <w:top w:val="nil"/>
              <w:left w:val="nil"/>
              <w:bottom w:val="nil"/>
              <w:right w:val="nil"/>
            </w:tcBorders>
            <w:noWrap/>
            <w:vAlign w:val="bottom"/>
            <w:hideMark/>
          </w:tcPr>
          <w:p w14:paraId="5AC852A9" w14:textId="77777777" w:rsidR="00677577" w:rsidRPr="00BB4D6B" w:rsidRDefault="00677577" w:rsidP="00F73304">
            <w:pPr>
              <w:spacing w:after="0" w:line="240" w:lineRule="auto"/>
              <w:jc w:val="right"/>
              <w:rPr>
                <w:sz w:val="20"/>
                <w:szCs w:val="20"/>
              </w:rPr>
            </w:pPr>
            <w:r w:rsidRPr="00BB4D6B">
              <w:rPr>
                <w:sz w:val="20"/>
                <w:szCs w:val="20"/>
              </w:rPr>
              <w:t>1.5%</w:t>
            </w:r>
          </w:p>
        </w:tc>
        <w:tc>
          <w:tcPr>
            <w:tcW w:w="1019" w:type="dxa"/>
            <w:tcBorders>
              <w:top w:val="nil"/>
              <w:left w:val="nil"/>
              <w:bottom w:val="nil"/>
              <w:right w:val="single" w:sz="4" w:space="0" w:color="auto"/>
            </w:tcBorders>
            <w:noWrap/>
            <w:vAlign w:val="bottom"/>
            <w:hideMark/>
          </w:tcPr>
          <w:p w14:paraId="521811AF" w14:textId="77777777" w:rsidR="00677577" w:rsidRPr="00BB4D6B" w:rsidRDefault="00677577" w:rsidP="00F73304">
            <w:pPr>
              <w:spacing w:after="0" w:line="240" w:lineRule="auto"/>
              <w:jc w:val="right"/>
              <w:rPr>
                <w:sz w:val="20"/>
                <w:szCs w:val="20"/>
              </w:rPr>
            </w:pPr>
            <w:r w:rsidRPr="00BB4D6B">
              <w:rPr>
                <w:sz w:val="20"/>
                <w:szCs w:val="20"/>
              </w:rPr>
              <w:t>1.0%</w:t>
            </w:r>
          </w:p>
        </w:tc>
      </w:tr>
      <w:tr w:rsidR="00677577" w:rsidRPr="00167CB8" w14:paraId="615D74DC" w14:textId="77777777">
        <w:trPr>
          <w:trHeight w:val="371"/>
        </w:trPr>
        <w:tc>
          <w:tcPr>
            <w:tcW w:w="4160" w:type="dxa"/>
            <w:tcBorders>
              <w:top w:val="nil"/>
              <w:left w:val="single" w:sz="4" w:space="0" w:color="auto"/>
              <w:bottom w:val="nil"/>
              <w:right w:val="nil"/>
            </w:tcBorders>
            <w:vAlign w:val="bottom"/>
            <w:hideMark/>
          </w:tcPr>
          <w:p w14:paraId="2D08FA64" w14:textId="77777777" w:rsidR="00677577" w:rsidRPr="00BB4D6B" w:rsidRDefault="00677577">
            <w:pPr>
              <w:spacing w:after="0" w:line="240" w:lineRule="auto"/>
              <w:rPr>
                <w:sz w:val="20"/>
                <w:szCs w:val="20"/>
              </w:rPr>
            </w:pPr>
            <w:r w:rsidRPr="00BB4D6B">
              <w:rPr>
                <w:sz w:val="20"/>
                <w:szCs w:val="20"/>
              </w:rPr>
              <w:t>Financial and insurance services</w:t>
            </w:r>
          </w:p>
        </w:tc>
        <w:tc>
          <w:tcPr>
            <w:tcW w:w="933" w:type="dxa"/>
            <w:tcBorders>
              <w:top w:val="nil"/>
              <w:left w:val="nil"/>
              <w:bottom w:val="nil"/>
              <w:right w:val="nil"/>
            </w:tcBorders>
            <w:noWrap/>
            <w:vAlign w:val="bottom"/>
            <w:hideMark/>
          </w:tcPr>
          <w:p w14:paraId="4C7A8759" w14:textId="77777777" w:rsidR="00677577" w:rsidRPr="00BB4D6B" w:rsidRDefault="00677577" w:rsidP="00F73304">
            <w:pPr>
              <w:spacing w:after="0" w:line="240" w:lineRule="auto"/>
              <w:jc w:val="right"/>
              <w:rPr>
                <w:sz w:val="20"/>
                <w:szCs w:val="20"/>
              </w:rPr>
            </w:pPr>
            <w:r w:rsidRPr="00BB4D6B">
              <w:rPr>
                <w:sz w:val="20"/>
                <w:szCs w:val="20"/>
              </w:rPr>
              <w:t>27%</w:t>
            </w:r>
          </w:p>
        </w:tc>
        <w:tc>
          <w:tcPr>
            <w:tcW w:w="933" w:type="dxa"/>
            <w:tcBorders>
              <w:top w:val="nil"/>
              <w:left w:val="nil"/>
              <w:bottom w:val="nil"/>
              <w:right w:val="nil"/>
            </w:tcBorders>
            <w:noWrap/>
            <w:vAlign w:val="bottom"/>
            <w:hideMark/>
          </w:tcPr>
          <w:p w14:paraId="13A74F71" w14:textId="77777777" w:rsidR="00677577" w:rsidRPr="00BB4D6B" w:rsidRDefault="00677577" w:rsidP="00F73304">
            <w:pPr>
              <w:spacing w:after="0" w:line="240" w:lineRule="auto"/>
              <w:jc w:val="right"/>
              <w:rPr>
                <w:sz w:val="20"/>
                <w:szCs w:val="20"/>
              </w:rPr>
            </w:pPr>
            <w:r w:rsidRPr="00BB4D6B">
              <w:rPr>
                <w:sz w:val="20"/>
                <w:szCs w:val="20"/>
              </w:rPr>
              <w:t>27%</w:t>
            </w:r>
          </w:p>
        </w:tc>
        <w:tc>
          <w:tcPr>
            <w:tcW w:w="934" w:type="dxa"/>
            <w:tcBorders>
              <w:top w:val="nil"/>
              <w:left w:val="nil"/>
              <w:bottom w:val="nil"/>
              <w:right w:val="single" w:sz="4" w:space="0" w:color="auto"/>
            </w:tcBorders>
            <w:noWrap/>
            <w:vAlign w:val="bottom"/>
            <w:hideMark/>
          </w:tcPr>
          <w:p w14:paraId="149F65A4" w14:textId="77777777" w:rsidR="00677577" w:rsidRPr="00BB4D6B" w:rsidRDefault="00677577" w:rsidP="00F73304">
            <w:pPr>
              <w:spacing w:after="0" w:line="240" w:lineRule="auto"/>
              <w:jc w:val="right"/>
              <w:rPr>
                <w:sz w:val="20"/>
                <w:szCs w:val="20"/>
              </w:rPr>
            </w:pPr>
            <w:r w:rsidRPr="00BB4D6B">
              <w:rPr>
                <w:sz w:val="20"/>
                <w:szCs w:val="20"/>
              </w:rPr>
              <w:t>26%</w:t>
            </w:r>
          </w:p>
        </w:tc>
        <w:tc>
          <w:tcPr>
            <w:tcW w:w="1019" w:type="dxa"/>
            <w:tcBorders>
              <w:top w:val="nil"/>
              <w:left w:val="single" w:sz="4" w:space="0" w:color="auto"/>
              <w:bottom w:val="nil"/>
              <w:right w:val="nil"/>
            </w:tcBorders>
            <w:noWrap/>
            <w:vAlign w:val="bottom"/>
            <w:hideMark/>
          </w:tcPr>
          <w:p w14:paraId="420AF1E9" w14:textId="77777777" w:rsidR="00677577" w:rsidRPr="00BB4D6B" w:rsidRDefault="00677577" w:rsidP="00F73304">
            <w:pPr>
              <w:spacing w:after="0" w:line="240" w:lineRule="auto"/>
              <w:jc w:val="right"/>
              <w:rPr>
                <w:sz w:val="20"/>
                <w:szCs w:val="20"/>
              </w:rPr>
            </w:pPr>
            <w:r w:rsidRPr="00BB4D6B">
              <w:rPr>
                <w:sz w:val="20"/>
                <w:szCs w:val="20"/>
              </w:rPr>
              <w:t>0%</w:t>
            </w:r>
          </w:p>
        </w:tc>
        <w:tc>
          <w:tcPr>
            <w:tcW w:w="1019" w:type="dxa"/>
            <w:tcBorders>
              <w:top w:val="nil"/>
              <w:left w:val="nil"/>
              <w:bottom w:val="nil"/>
              <w:right w:val="nil"/>
            </w:tcBorders>
            <w:noWrap/>
            <w:vAlign w:val="bottom"/>
            <w:hideMark/>
          </w:tcPr>
          <w:p w14:paraId="38EF4D5D" w14:textId="77777777" w:rsidR="00677577" w:rsidRPr="00BB4D6B" w:rsidRDefault="00677577" w:rsidP="00F73304">
            <w:pPr>
              <w:spacing w:after="0" w:line="240" w:lineRule="auto"/>
              <w:jc w:val="right"/>
              <w:rPr>
                <w:sz w:val="20"/>
                <w:szCs w:val="20"/>
              </w:rPr>
            </w:pPr>
            <w:r w:rsidRPr="00BB4D6B">
              <w:rPr>
                <w:sz w:val="20"/>
                <w:szCs w:val="20"/>
              </w:rPr>
              <w:t>2%</w:t>
            </w:r>
          </w:p>
        </w:tc>
        <w:tc>
          <w:tcPr>
            <w:tcW w:w="1020" w:type="dxa"/>
            <w:tcBorders>
              <w:top w:val="nil"/>
              <w:left w:val="nil"/>
              <w:bottom w:val="nil"/>
              <w:right w:val="single" w:sz="4" w:space="0" w:color="auto"/>
            </w:tcBorders>
            <w:noWrap/>
            <w:vAlign w:val="bottom"/>
            <w:hideMark/>
          </w:tcPr>
          <w:p w14:paraId="4F77BAD5" w14:textId="77777777" w:rsidR="00677577" w:rsidRPr="00BB4D6B" w:rsidRDefault="00677577" w:rsidP="00F73304">
            <w:pPr>
              <w:spacing w:after="0" w:line="240" w:lineRule="auto"/>
              <w:jc w:val="right"/>
              <w:rPr>
                <w:sz w:val="20"/>
                <w:szCs w:val="20"/>
              </w:rPr>
            </w:pPr>
            <w:r w:rsidRPr="00BB4D6B">
              <w:rPr>
                <w:sz w:val="20"/>
                <w:szCs w:val="20"/>
              </w:rPr>
              <w:t>-2%</w:t>
            </w:r>
          </w:p>
        </w:tc>
        <w:tc>
          <w:tcPr>
            <w:tcW w:w="1019" w:type="dxa"/>
            <w:tcBorders>
              <w:top w:val="nil"/>
              <w:left w:val="single" w:sz="4" w:space="0" w:color="auto"/>
              <w:bottom w:val="nil"/>
              <w:right w:val="nil"/>
            </w:tcBorders>
            <w:noWrap/>
            <w:vAlign w:val="bottom"/>
            <w:hideMark/>
          </w:tcPr>
          <w:p w14:paraId="3F47533F" w14:textId="77777777" w:rsidR="00677577" w:rsidRPr="00BB4D6B" w:rsidRDefault="00677577" w:rsidP="00F73304">
            <w:pPr>
              <w:spacing w:after="0" w:line="240" w:lineRule="auto"/>
              <w:jc w:val="right"/>
              <w:rPr>
                <w:sz w:val="20"/>
                <w:szCs w:val="20"/>
              </w:rPr>
            </w:pPr>
            <w:r w:rsidRPr="00BB4D6B">
              <w:rPr>
                <w:sz w:val="20"/>
                <w:szCs w:val="20"/>
              </w:rPr>
              <w:t>3.3%</w:t>
            </w:r>
          </w:p>
        </w:tc>
        <w:tc>
          <w:tcPr>
            <w:tcW w:w="1019" w:type="dxa"/>
            <w:tcBorders>
              <w:top w:val="nil"/>
              <w:left w:val="nil"/>
              <w:bottom w:val="nil"/>
              <w:right w:val="nil"/>
            </w:tcBorders>
            <w:noWrap/>
            <w:vAlign w:val="bottom"/>
            <w:hideMark/>
          </w:tcPr>
          <w:p w14:paraId="2E5177DF" w14:textId="77777777" w:rsidR="00677577" w:rsidRPr="00BB4D6B" w:rsidRDefault="00677577" w:rsidP="00F73304">
            <w:pPr>
              <w:spacing w:after="0" w:line="240" w:lineRule="auto"/>
              <w:jc w:val="right"/>
              <w:rPr>
                <w:sz w:val="20"/>
                <w:szCs w:val="20"/>
              </w:rPr>
            </w:pPr>
            <w:r w:rsidRPr="00BB4D6B">
              <w:rPr>
                <w:sz w:val="20"/>
                <w:szCs w:val="20"/>
              </w:rPr>
              <w:t>4.2%</w:t>
            </w:r>
          </w:p>
        </w:tc>
        <w:tc>
          <w:tcPr>
            <w:tcW w:w="1019" w:type="dxa"/>
            <w:tcBorders>
              <w:top w:val="nil"/>
              <w:left w:val="nil"/>
              <w:bottom w:val="nil"/>
              <w:right w:val="nil"/>
            </w:tcBorders>
            <w:noWrap/>
            <w:vAlign w:val="bottom"/>
            <w:hideMark/>
          </w:tcPr>
          <w:p w14:paraId="067073A4" w14:textId="77777777" w:rsidR="00677577" w:rsidRPr="00BB4D6B" w:rsidRDefault="00677577" w:rsidP="00F73304">
            <w:pPr>
              <w:spacing w:after="0" w:line="240" w:lineRule="auto"/>
              <w:jc w:val="right"/>
              <w:rPr>
                <w:sz w:val="20"/>
                <w:szCs w:val="20"/>
              </w:rPr>
            </w:pPr>
            <w:r w:rsidRPr="00BB4D6B">
              <w:rPr>
                <w:sz w:val="20"/>
                <w:szCs w:val="20"/>
              </w:rPr>
              <w:t>3.5%</w:t>
            </w:r>
          </w:p>
        </w:tc>
        <w:tc>
          <w:tcPr>
            <w:tcW w:w="1019" w:type="dxa"/>
            <w:tcBorders>
              <w:top w:val="nil"/>
              <w:left w:val="nil"/>
              <w:bottom w:val="nil"/>
              <w:right w:val="single" w:sz="4" w:space="0" w:color="auto"/>
            </w:tcBorders>
            <w:noWrap/>
            <w:vAlign w:val="bottom"/>
            <w:hideMark/>
          </w:tcPr>
          <w:p w14:paraId="231114F3" w14:textId="77777777" w:rsidR="00677577" w:rsidRPr="00BB4D6B" w:rsidRDefault="00677577" w:rsidP="00F73304">
            <w:pPr>
              <w:spacing w:after="0" w:line="240" w:lineRule="auto"/>
              <w:jc w:val="right"/>
              <w:rPr>
                <w:sz w:val="20"/>
                <w:szCs w:val="20"/>
              </w:rPr>
            </w:pPr>
            <w:r w:rsidRPr="00BB4D6B">
              <w:rPr>
                <w:sz w:val="20"/>
                <w:szCs w:val="20"/>
              </w:rPr>
              <w:t>3.9%</w:t>
            </w:r>
          </w:p>
        </w:tc>
      </w:tr>
      <w:tr w:rsidR="00677577" w:rsidRPr="00167CB8" w14:paraId="1D11811F" w14:textId="77777777">
        <w:trPr>
          <w:trHeight w:val="371"/>
        </w:trPr>
        <w:tc>
          <w:tcPr>
            <w:tcW w:w="4160" w:type="dxa"/>
            <w:tcBorders>
              <w:top w:val="nil"/>
              <w:left w:val="single" w:sz="4" w:space="0" w:color="auto"/>
              <w:bottom w:val="nil"/>
              <w:right w:val="nil"/>
            </w:tcBorders>
            <w:vAlign w:val="bottom"/>
            <w:hideMark/>
          </w:tcPr>
          <w:p w14:paraId="5958F9CE" w14:textId="77777777" w:rsidR="00677577" w:rsidRPr="00BB4D6B" w:rsidRDefault="00677577">
            <w:pPr>
              <w:spacing w:after="0" w:line="240" w:lineRule="auto"/>
              <w:rPr>
                <w:sz w:val="20"/>
                <w:szCs w:val="20"/>
              </w:rPr>
            </w:pPr>
            <w:r w:rsidRPr="00BB4D6B">
              <w:rPr>
                <w:sz w:val="20"/>
                <w:szCs w:val="20"/>
              </w:rPr>
              <w:t xml:space="preserve">Rental, hiring and real estate services </w:t>
            </w:r>
          </w:p>
        </w:tc>
        <w:tc>
          <w:tcPr>
            <w:tcW w:w="933" w:type="dxa"/>
            <w:tcBorders>
              <w:top w:val="nil"/>
              <w:left w:val="nil"/>
              <w:bottom w:val="nil"/>
              <w:right w:val="nil"/>
            </w:tcBorders>
            <w:noWrap/>
            <w:vAlign w:val="bottom"/>
            <w:hideMark/>
          </w:tcPr>
          <w:p w14:paraId="45744487" w14:textId="77777777" w:rsidR="00677577" w:rsidRPr="00BB4D6B" w:rsidRDefault="00677577" w:rsidP="00F73304">
            <w:pPr>
              <w:spacing w:after="0" w:line="240" w:lineRule="auto"/>
              <w:jc w:val="right"/>
              <w:rPr>
                <w:sz w:val="20"/>
                <w:szCs w:val="20"/>
              </w:rPr>
            </w:pPr>
            <w:r w:rsidRPr="00BB4D6B">
              <w:rPr>
                <w:sz w:val="20"/>
                <w:szCs w:val="20"/>
              </w:rPr>
              <w:t>14%</w:t>
            </w:r>
          </w:p>
        </w:tc>
        <w:tc>
          <w:tcPr>
            <w:tcW w:w="933" w:type="dxa"/>
            <w:tcBorders>
              <w:top w:val="nil"/>
              <w:left w:val="nil"/>
              <w:bottom w:val="nil"/>
              <w:right w:val="nil"/>
            </w:tcBorders>
            <w:noWrap/>
            <w:vAlign w:val="bottom"/>
            <w:hideMark/>
          </w:tcPr>
          <w:p w14:paraId="1875D014" w14:textId="77777777" w:rsidR="00677577" w:rsidRPr="00BB4D6B" w:rsidRDefault="00677577" w:rsidP="00F73304">
            <w:pPr>
              <w:spacing w:after="0" w:line="240" w:lineRule="auto"/>
              <w:jc w:val="right"/>
              <w:rPr>
                <w:sz w:val="20"/>
                <w:szCs w:val="20"/>
              </w:rPr>
            </w:pPr>
            <w:r w:rsidRPr="00BB4D6B">
              <w:rPr>
                <w:sz w:val="20"/>
                <w:szCs w:val="20"/>
              </w:rPr>
              <w:t>4%</w:t>
            </w:r>
          </w:p>
        </w:tc>
        <w:tc>
          <w:tcPr>
            <w:tcW w:w="934" w:type="dxa"/>
            <w:tcBorders>
              <w:top w:val="nil"/>
              <w:left w:val="nil"/>
              <w:bottom w:val="nil"/>
              <w:right w:val="single" w:sz="4" w:space="0" w:color="auto"/>
            </w:tcBorders>
            <w:noWrap/>
            <w:vAlign w:val="bottom"/>
            <w:hideMark/>
          </w:tcPr>
          <w:p w14:paraId="7ABC4B5B" w14:textId="77777777" w:rsidR="00677577" w:rsidRPr="00BB4D6B" w:rsidRDefault="00677577" w:rsidP="00F73304">
            <w:pPr>
              <w:spacing w:after="0" w:line="240" w:lineRule="auto"/>
              <w:jc w:val="right"/>
              <w:rPr>
                <w:sz w:val="20"/>
                <w:szCs w:val="20"/>
              </w:rPr>
            </w:pPr>
            <w:r w:rsidRPr="00BB4D6B">
              <w:rPr>
                <w:sz w:val="20"/>
                <w:szCs w:val="20"/>
              </w:rPr>
              <w:t>27%</w:t>
            </w:r>
          </w:p>
        </w:tc>
        <w:tc>
          <w:tcPr>
            <w:tcW w:w="1019" w:type="dxa"/>
            <w:tcBorders>
              <w:top w:val="nil"/>
              <w:left w:val="single" w:sz="4" w:space="0" w:color="auto"/>
              <w:bottom w:val="nil"/>
              <w:right w:val="nil"/>
            </w:tcBorders>
            <w:noWrap/>
            <w:vAlign w:val="bottom"/>
            <w:hideMark/>
          </w:tcPr>
          <w:p w14:paraId="24A3D5D3" w14:textId="77777777" w:rsidR="00677577" w:rsidRPr="00BB4D6B" w:rsidRDefault="00677577" w:rsidP="00F73304">
            <w:pPr>
              <w:spacing w:after="0" w:line="240" w:lineRule="auto"/>
              <w:jc w:val="right"/>
              <w:rPr>
                <w:sz w:val="20"/>
                <w:szCs w:val="20"/>
              </w:rPr>
            </w:pPr>
            <w:r w:rsidRPr="00BB4D6B">
              <w:rPr>
                <w:sz w:val="20"/>
                <w:szCs w:val="20"/>
              </w:rPr>
              <w:t>11%</w:t>
            </w:r>
          </w:p>
        </w:tc>
        <w:tc>
          <w:tcPr>
            <w:tcW w:w="1019" w:type="dxa"/>
            <w:tcBorders>
              <w:top w:val="nil"/>
              <w:left w:val="nil"/>
              <w:bottom w:val="nil"/>
              <w:right w:val="nil"/>
            </w:tcBorders>
            <w:noWrap/>
            <w:vAlign w:val="bottom"/>
            <w:hideMark/>
          </w:tcPr>
          <w:p w14:paraId="3C4ECB8E" w14:textId="77777777" w:rsidR="00677577" w:rsidRPr="00BB4D6B" w:rsidRDefault="00677577" w:rsidP="00F73304">
            <w:pPr>
              <w:spacing w:after="0" w:line="240" w:lineRule="auto"/>
              <w:jc w:val="right"/>
              <w:rPr>
                <w:sz w:val="20"/>
                <w:szCs w:val="20"/>
              </w:rPr>
            </w:pPr>
            <w:r w:rsidRPr="00BB4D6B">
              <w:rPr>
                <w:sz w:val="20"/>
                <w:szCs w:val="20"/>
              </w:rPr>
              <w:t>21%</w:t>
            </w:r>
          </w:p>
        </w:tc>
        <w:tc>
          <w:tcPr>
            <w:tcW w:w="1020" w:type="dxa"/>
            <w:tcBorders>
              <w:top w:val="nil"/>
              <w:left w:val="nil"/>
              <w:bottom w:val="nil"/>
              <w:right w:val="single" w:sz="4" w:space="0" w:color="auto"/>
            </w:tcBorders>
            <w:noWrap/>
            <w:vAlign w:val="bottom"/>
            <w:hideMark/>
          </w:tcPr>
          <w:p w14:paraId="35E3E080" w14:textId="77777777" w:rsidR="00677577" w:rsidRPr="00BB4D6B" w:rsidRDefault="00677577" w:rsidP="00F73304">
            <w:pPr>
              <w:spacing w:after="0" w:line="240" w:lineRule="auto"/>
              <w:jc w:val="right"/>
              <w:rPr>
                <w:sz w:val="20"/>
                <w:szCs w:val="20"/>
              </w:rPr>
            </w:pPr>
            <w:r w:rsidRPr="00BB4D6B">
              <w:rPr>
                <w:sz w:val="20"/>
                <w:szCs w:val="20"/>
              </w:rPr>
              <w:t>3%</w:t>
            </w:r>
          </w:p>
        </w:tc>
        <w:tc>
          <w:tcPr>
            <w:tcW w:w="1019" w:type="dxa"/>
            <w:tcBorders>
              <w:top w:val="nil"/>
              <w:left w:val="single" w:sz="4" w:space="0" w:color="auto"/>
              <w:bottom w:val="nil"/>
              <w:right w:val="nil"/>
            </w:tcBorders>
            <w:noWrap/>
            <w:vAlign w:val="bottom"/>
            <w:hideMark/>
          </w:tcPr>
          <w:p w14:paraId="02286725" w14:textId="77777777" w:rsidR="00677577" w:rsidRPr="00BB4D6B" w:rsidRDefault="00677577" w:rsidP="00F73304">
            <w:pPr>
              <w:spacing w:after="0" w:line="240" w:lineRule="auto"/>
              <w:jc w:val="right"/>
              <w:rPr>
                <w:sz w:val="20"/>
                <w:szCs w:val="20"/>
              </w:rPr>
            </w:pPr>
            <w:r w:rsidRPr="00BB4D6B">
              <w:rPr>
                <w:sz w:val="20"/>
                <w:szCs w:val="20"/>
              </w:rPr>
              <w:t>1.7%</w:t>
            </w:r>
          </w:p>
        </w:tc>
        <w:tc>
          <w:tcPr>
            <w:tcW w:w="1019" w:type="dxa"/>
            <w:tcBorders>
              <w:top w:val="nil"/>
              <w:left w:val="nil"/>
              <w:bottom w:val="nil"/>
              <w:right w:val="nil"/>
            </w:tcBorders>
            <w:noWrap/>
            <w:vAlign w:val="bottom"/>
            <w:hideMark/>
          </w:tcPr>
          <w:p w14:paraId="6309A558" w14:textId="77777777" w:rsidR="00677577" w:rsidRPr="00BB4D6B" w:rsidRDefault="00677577" w:rsidP="00F73304">
            <w:pPr>
              <w:spacing w:after="0" w:line="240" w:lineRule="auto"/>
              <w:jc w:val="right"/>
              <w:rPr>
                <w:sz w:val="20"/>
                <w:szCs w:val="20"/>
              </w:rPr>
            </w:pPr>
            <w:r w:rsidRPr="00BB4D6B">
              <w:rPr>
                <w:sz w:val="20"/>
                <w:szCs w:val="20"/>
              </w:rPr>
              <w:t>1.8%</w:t>
            </w:r>
          </w:p>
        </w:tc>
        <w:tc>
          <w:tcPr>
            <w:tcW w:w="1019" w:type="dxa"/>
            <w:tcBorders>
              <w:top w:val="nil"/>
              <w:left w:val="nil"/>
              <w:bottom w:val="nil"/>
              <w:right w:val="nil"/>
            </w:tcBorders>
            <w:noWrap/>
            <w:vAlign w:val="bottom"/>
            <w:hideMark/>
          </w:tcPr>
          <w:p w14:paraId="041915F0" w14:textId="77777777" w:rsidR="00677577" w:rsidRPr="00BB4D6B" w:rsidRDefault="00677577" w:rsidP="00F73304">
            <w:pPr>
              <w:spacing w:after="0" w:line="240" w:lineRule="auto"/>
              <w:jc w:val="right"/>
              <w:rPr>
                <w:sz w:val="20"/>
                <w:szCs w:val="20"/>
              </w:rPr>
            </w:pPr>
            <w:r w:rsidRPr="00BB4D6B">
              <w:rPr>
                <w:sz w:val="20"/>
                <w:szCs w:val="20"/>
              </w:rPr>
              <w:t>1.8%</w:t>
            </w:r>
          </w:p>
        </w:tc>
        <w:tc>
          <w:tcPr>
            <w:tcW w:w="1019" w:type="dxa"/>
            <w:tcBorders>
              <w:top w:val="nil"/>
              <w:left w:val="nil"/>
              <w:bottom w:val="nil"/>
              <w:right w:val="single" w:sz="4" w:space="0" w:color="auto"/>
            </w:tcBorders>
            <w:noWrap/>
            <w:vAlign w:val="bottom"/>
            <w:hideMark/>
          </w:tcPr>
          <w:p w14:paraId="516B510F" w14:textId="77777777" w:rsidR="00677577" w:rsidRPr="00BB4D6B" w:rsidRDefault="00677577" w:rsidP="00F73304">
            <w:pPr>
              <w:spacing w:after="0" w:line="240" w:lineRule="auto"/>
              <w:jc w:val="right"/>
              <w:rPr>
                <w:sz w:val="20"/>
                <w:szCs w:val="20"/>
              </w:rPr>
            </w:pPr>
            <w:r w:rsidRPr="00BB4D6B">
              <w:rPr>
                <w:sz w:val="20"/>
                <w:szCs w:val="20"/>
              </w:rPr>
              <w:t>1.8%</w:t>
            </w:r>
          </w:p>
        </w:tc>
      </w:tr>
      <w:tr w:rsidR="00677577" w:rsidRPr="00167CB8" w14:paraId="551CF94E" w14:textId="77777777">
        <w:trPr>
          <w:trHeight w:val="371"/>
        </w:trPr>
        <w:tc>
          <w:tcPr>
            <w:tcW w:w="4160" w:type="dxa"/>
            <w:tcBorders>
              <w:top w:val="nil"/>
              <w:left w:val="single" w:sz="4" w:space="0" w:color="auto"/>
              <w:bottom w:val="nil"/>
              <w:right w:val="nil"/>
            </w:tcBorders>
            <w:vAlign w:val="bottom"/>
            <w:hideMark/>
          </w:tcPr>
          <w:p w14:paraId="43933F7A" w14:textId="77777777" w:rsidR="00677577" w:rsidRPr="00BB4D6B" w:rsidRDefault="00677577">
            <w:pPr>
              <w:spacing w:after="0" w:line="240" w:lineRule="auto"/>
              <w:rPr>
                <w:sz w:val="20"/>
                <w:szCs w:val="20"/>
              </w:rPr>
            </w:pPr>
            <w:r w:rsidRPr="00BB4D6B">
              <w:rPr>
                <w:sz w:val="20"/>
                <w:szCs w:val="20"/>
              </w:rPr>
              <w:t>Professional, scientific and technical services</w:t>
            </w:r>
          </w:p>
        </w:tc>
        <w:tc>
          <w:tcPr>
            <w:tcW w:w="933" w:type="dxa"/>
            <w:tcBorders>
              <w:top w:val="nil"/>
              <w:left w:val="nil"/>
              <w:bottom w:val="nil"/>
              <w:right w:val="nil"/>
            </w:tcBorders>
            <w:noWrap/>
            <w:vAlign w:val="bottom"/>
            <w:hideMark/>
          </w:tcPr>
          <w:p w14:paraId="02F71486" w14:textId="77777777" w:rsidR="00677577" w:rsidRPr="00BB4D6B" w:rsidRDefault="00677577" w:rsidP="00F73304">
            <w:pPr>
              <w:spacing w:after="0" w:line="240" w:lineRule="auto"/>
              <w:jc w:val="right"/>
              <w:rPr>
                <w:sz w:val="20"/>
                <w:szCs w:val="20"/>
              </w:rPr>
            </w:pPr>
            <w:r w:rsidRPr="00BB4D6B">
              <w:rPr>
                <w:sz w:val="20"/>
                <w:szCs w:val="20"/>
              </w:rPr>
              <w:t>42%</w:t>
            </w:r>
          </w:p>
        </w:tc>
        <w:tc>
          <w:tcPr>
            <w:tcW w:w="933" w:type="dxa"/>
            <w:tcBorders>
              <w:top w:val="nil"/>
              <w:left w:val="nil"/>
              <w:bottom w:val="nil"/>
              <w:right w:val="nil"/>
            </w:tcBorders>
            <w:noWrap/>
            <w:vAlign w:val="bottom"/>
            <w:hideMark/>
          </w:tcPr>
          <w:p w14:paraId="5BDB0D0E" w14:textId="77777777" w:rsidR="00677577" w:rsidRPr="00BB4D6B" w:rsidRDefault="00677577" w:rsidP="00F73304">
            <w:pPr>
              <w:spacing w:after="0" w:line="240" w:lineRule="auto"/>
              <w:jc w:val="right"/>
              <w:rPr>
                <w:sz w:val="20"/>
                <w:szCs w:val="20"/>
              </w:rPr>
            </w:pPr>
            <w:r w:rsidRPr="00BB4D6B">
              <w:rPr>
                <w:sz w:val="20"/>
                <w:szCs w:val="20"/>
              </w:rPr>
              <w:t>41%</w:t>
            </w:r>
          </w:p>
        </w:tc>
        <w:tc>
          <w:tcPr>
            <w:tcW w:w="934" w:type="dxa"/>
            <w:tcBorders>
              <w:top w:val="nil"/>
              <w:left w:val="nil"/>
              <w:bottom w:val="nil"/>
              <w:right w:val="single" w:sz="4" w:space="0" w:color="auto"/>
            </w:tcBorders>
            <w:noWrap/>
            <w:vAlign w:val="bottom"/>
            <w:hideMark/>
          </w:tcPr>
          <w:p w14:paraId="7D90AAA6" w14:textId="77777777" w:rsidR="00677577" w:rsidRPr="00BB4D6B" w:rsidRDefault="00677577" w:rsidP="00F73304">
            <w:pPr>
              <w:spacing w:after="0" w:line="240" w:lineRule="auto"/>
              <w:jc w:val="right"/>
              <w:rPr>
                <w:sz w:val="20"/>
                <w:szCs w:val="20"/>
              </w:rPr>
            </w:pPr>
            <w:r w:rsidRPr="00BB4D6B">
              <w:rPr>
                <w:sz w:val="20"/>
                <w:szCs w:val="20"/>
              </w:rPr>
              <w:t>37%</w:t>
            </w:r>
          </w:p>
        </w:tc>
        <w:tc>
          <w:tcPr>
            <w:tcW w:w="1019" w:type="dxa"/>
            <w:tcBorders>
              <w:top w:val="nil"/>
              <w:left w:val="single" w:sz="4" w:space="0" w:color="auto"/>
              <w:bottom w:val="nil"/>
              <w:right w:val="nil"/>
            </w:tcBorders>
            <w:noWrap/>
            <w:vAlign w:val="bottom"/>
            <w:hideMark/>
          </w:tcPr>
          <w:p w14:paraId="31EFADF9" w14:textId="77777777" w:rsidR="00677577" w:rsidRPr="00BB4D6B" w:rsidRDefault="00677577" w:rsidP="00F73304">
            <w:pPr>
              <w:spacing w:after="0" w:line="240" w:lineRule="auto"/>
              <w:jc w:val="right"/>
              <w:rPr>
                <w:sz w:val="20"/>
                <w:szCs w:val="20"/>
              </w:rPr>
            </w:pPr>
            <w:r w:rsidRPr="00BB4D6B">
              <w:rPr>
                <w:sz w:val="20"/>
                <w:szCs w:val="20"/>
              </w:rPr>
              <w:t>3%</w:t>
            </w:r>
          </w:p>
        </w:tc>
        <w:tc>
          <w:tcPr>
            <w:tcW w:w="1019" w:type="dxa"/>
            <w:tcBorders>
              <w:top w:val="nil"/>
              <w:left w:val="nil"/>
              <w:bottom w:val="nil"/>
              <w:right w:val="nil"/>
            </w:tcBorders>
            <w:noWrap/>
            <w:vAlign w:val="bottom"/>
            <w:hideMark/>
          </w:tcPr>
          <w:p w14:paraId="52F1F31C" w14:textId="77777777" w:rsidR="00677577" w:rsidRPr="00BB4D6B" w:rsidRDefault="00677577" w:rsidP="00F73304">
            <w:pPr>
              <w:spacing w:after="0" w:line="240" w:lineRule="auto"/>
              <w:jc w:val="right"/>
              <w:rPr>
                <w:sz w:val="20"/>
                <w:szCs w:val="20"/>
              </w:rPr>
            </w:pPr>
            <w:r w:rsidRPr="00BB4D6B">
              <w:rPr>
                <w:sz w:val="20"/>
                <w:szCs w:val="20"/>
              </w:rPr>
              <w:t>2%</w:t>
            </w:r>
          </w:p>
        </w:tc>
        <w:tc>
          <w:tcPr>
            <w:tcW w:w="1020" w:type="dxa"/>
            <w:tcBorders>
              <w:top w:val="nil"/>
              <w:left w:val="nil"/>
              <w:bottom w:val="nil"/>
              <w:right w:val="single" w:sz="4" w:space="0" w:color="auto"/>
            </w:tcBorders>
            <w:noWrap/>
            <w:vAlign w:val="bottom"/>
            <w:hideMark/>
          </w:tcPr>
          <w:p w14:paraId="27086838" w14:textId="77777777" w:rsidR="00677577" w:rsidRPr="00BB4D6B" w:rsidRDefault="00677577" w:rsidP="00F73304">
            <w:pPr>
              <w:spacing w:after="0" w:line="240" w:lineRule="auto"/>
              <w:jc w:val="right"/>
              <w:rPr>
                <w:sz w:val="20"/>
                <w:szCs w:val="20"/>
              </w:rPr>
            </w:pPr>
            <w:r w:rsidRPr="00BB4D6B">
              <w:rPr>
                <w:sz w:val="20"/>
                <w:szCs w:val="20"/>
              </w:rPr>
              <w:t>4%</w:t>
            </w:r>
          </w:p>
        </w:tc>
        <w:tc>
          <w:tcPr>
            <w:tcW w:w="1019" w:type="dxa"/>
            <w:tcBorders>
              <w:top w:val="nil"/>
              <w:left w:val="single" w:sz="4" w:space="0" w:color="auto"/>
              <w:bottom w:val="nil"/>
              <w:right w:val="nil"/>
            </w:tcBorders>
            <w:noWrap/>
            <w:vAlign w:val="bottom"/>
            <w:hideMark/>
          </w:tcPr>
          <w:p w14:paraId="0892E72B" w14:textId="77777777" w:rsidR="00677577" w:rsidRPr="00BB4D6B" w:rsidRDefault="00677577" w:rsidP="00F73304">
            <w:pPr>
              <w:spacing w:after="0" w:line="240" w:lineRule="auto"/>
              <w:jc w:val="right"/>
              <w:rPr>
                <w:sz w:val="20"/>
                <w:szCs w:val="20"/>
              </w:rPr>
            </w:pPr>
            <w:r w:rsidRPr="00BB4D6B">
              <w:rPr>
                <w:sz w:val="20"/>
                <w:szCs w:val="20"/>
              </w:rPr>
              <w:t>8.4%</w:t>
            </w:r>
          </w:p>
        </w:tc>
        <w:tc>
          <w:tcPr>
            <w:tcW w:w="1019" w:type="dxa"/>
            <w:tcBorders>
              <w:top w:val="nil"/>
              <w:left w:val="nil"/>
              <w:bottom w:val="nil"/>
              <w:right w:val="nil"/>
            </w:tcBorders>
            <w:noWrap/>
            <w:vAlign w:val="bottom"/>
            <w:hideMark/>
          </w:tcPr>
          <w:p w14:paraId="06BB004A" w14:textId="77777777" w:rsidR="00677577" w:rsidRPr="00BB4D6B" w:rsidRDefault="00677577" w:rsidP="00F73304">
            <w:pPr>
              <w:spacing w:after="0" w:line="240" w:lineRule="auto"/>
              <w:jc w:val="right"/>
              <w:rPr>
                <w:sz w:val="20"/>
                <w:szCs w:val="20"/>
              </w:rPr>
            </w:pPr>
            <w:r w:rsidRPr="00BB4D6B">
              <w:rPr>
                <w:sz w:val="20"/>
                <w:szCs w:val="20"/>
              </w:rPr>
              <w:t>7.7%</w:t>
            </w:r>
          </w:p>
        </w:tc>
        <w:tc>
          <w:tcPr>
            <w:tcW w:w="1019" w:type="dxa"/>
            <w:tcBorders>
              <w:top w:val="nil"/>
              <w:left w:val="nil"/>
              <w:bottom w:val="nil"/>
              <w:right w:val="nil"/>
            </w:tcBorders>
            <w:noWrap/>
            <w:vAlign w:val="bottom"/>
            <w:hideMark/>
          </w:tcPr>
          <w:p w14:paraId="4F06DC0B" w14:textId="77777777" w:rsidR="00677577" w:rsidRPr="00BB4D6B" w:rsidRDefault="00677577" w:rsidP="00F73304">
            <w:pPr>
              <w:spacing w:after="0" w:line="240" w:lineRule="auto"/>
              <w:jc w:val="right"/>
              <w:rPr>
                <w:sz w:val="20"/>
                <w:szCs w:val="20"/>
              </w:rPr>
            </w:pPr>
            <w:r w:rsidRPr="00BB4D6B">
              <w:rPr>
                <w:sz w:val="20"/>
                <w:szCs w:val="20"/>
              </w:rPr>
              <w:t>9.8%</w:t>
            </w:r>
          </w:p>
        </w:tc>
        <w:tc>
          <w:tcPr>
            <w:tcW w:w="1019" w:type="dxa"/>
            <w:tcBorders>
              <w:top w:val="nil"/>
              <w:left w:val="nil"/>
              <w:bottom w:val="nil"/>
              <w:right w:val="single" w:sz="4" w:space="0" w:color="auto"/>
            </w:tcBorders>
            <w:noWrap/>
            <w:vAlign w:val="bottom"/>
            <w:hideMark/>
          </w:tcPr>
          <w:p w14:paraId="55345E92" w14:textId="77777777" w:rsidR="00677577" w:rsidRPr="00BB4D6B" w:rsidRDefault="00677577" w:rsidP="00F73304">
            <w:pPr>
              <w:spacing w:after="0" w:line="240" w:lineRule="auto"/>
              <w:jc w:val="right"/>
              <w:rPr>
                <w:sz w:val="20"/>
                <w:szCs w:val="20"/>
              </w:rPr>
            </w:pPr>
            <w:r w:rsidRPr="00BB4D6B">
              <w:rPr>
                <w:sz w:val="20"/>
                <w:szCs w:val="20"/>
              </w:rPr>
              <w:t>8.3%</w:t>
            </w:r>
          </w:p>
        </w:tc>
      </w:tr>
      <w:tr w:rsidR="00677577" w:rsidRPr="00167CB8" w14:paraId="0B2BAD1F" w14:textId="77777777">
        <w:trPr>
          <w:trHeight w:val="371"/>
        </w:trPr>
        <w:tc>
          <w:tcPr>
            <w:tcW w:w="4160" w:type="dxa"/>
            <w:tcBorders>
              <w:top w:val="nil"/>
              <w:left w:val="single" w:sz="4" w:space="0" w:color="auto"/>
              <w:bottom w:val="nil"/>
              <w:right w:val="nil"/>
            </w:tcBorders>
            <w:vAlign w:val="bottom"/>
            <w:hideMark/>
          </w:tcPr>
          <w:p w14:paraId="5394FF40" w14:textId="77777777" w:rsidR="00677577" w:rsidRPr="00BB4D6B" w:rsidRDefault="00677577">
            <w:pPr>
              <w:spacing w:after="0" w:line="240" w:lineRule="auto"/>
              <w:rPr>
                <w:sz w:val="20"/>
                <w:szCs w:val="20"/>
              </w:rPr>
            </w:pPr>
            <w:r w:rsidRPr="00BB4D6B">
              <w:rPr>
                <w:sz w:val="20"/>
                <w:szCs w:val="20"/>
              </w:rPr>
              <w:t xml:space="preserve">Administrative and support services </w:t>
            </w:r>
          </w:p>
        </w:tc>
        <w:tc>
          <w:tcPr>
            <w:tcW w:w="933" w:type="dxa"/>
            <w:tcBorders>
              <w:top w:val="nil"/>
              <w:left w:val="nil"/>
              <w:bottom w:val="nil"/>
              <w:right w:val="nil"/>
            </w:tcBorders>
            <w:noWrap/>
            <w:vAlign w:val="bottom"/>
            <w:hideMark/>
          </w:tcPr>
          <w:p w14:paraId="161112E5" w14:textId="77777777" w:rsidR="00677577" w:rsidRPr="00BB4D6B" w:rsidRDefault="00677577" w:rsidP="00F73304">
            <w:pPr>
              <w:spacing w:after="0" w:line="240" w:lineRule="auto"/>
              <w:jc w:val="right"/>
              <w:rPr>
                <w:sz w:val="20"/>
                <w:szCs w:val="20"/>
              </w:rPr>
            </w:pPr>
            <w:r w:rsidRPr="00BB4D6B">
              <w:rPr>
                <w:sz w:val="20"/>
                <w:szCs w:val="20"/>
              </w:rPr>
              <w:t>11%</w:t>
            </w:r>
          </w:p>
        </w:tc>
        <w:tc>
          <w:tcPr>
            <w:tcW w:w="933" w:type="dxa"/>
            <w:tcBorders>
              <w:top w:val="nil"/>
              <w:left w:val="nil"/>
              <w:bottom w:val="nil"/>
              <w:right w:val="nil"/>
            </w:tcBorders>
            <w:noWrap/>
            <w:vAlign w:val="bottom"/>
            <w:hideMark/>
          </w:tcPr>
          <w:p w14:paraId="280E8A19" w14:textId="77777777" w:rsidR="00677577" w:rsidRPr="00BB4D6B" w:rsidRDefault="00677577" w:rsidP="00F73304">
            <w:pPr>
              <w:spacing w:after="0" w:line="240" w:lineRule="auto"/>
              <w:jc w:val="right"/>
              <w:rPr>
                <w:sz w:val="20"/>
                <w:szCs w:val="20"/>
              </w:rPr>
            </w:pPr>
            <w:r w:rsidRPr="00BB4D6B">
              <w:rPr>
                <w:sz w:val="20"/>
                <w:szCs w:val="20"/>
              </w:rPr>
              <w:t>8%</w:t>
            </w:r>
          </w:p>
        </w:tc>
        <w:tc>
          <w:tcPr>
            <w:tcW w:w="934" w:type="dxa"/>
            <w:tcBorders>
              <w:top w:val="nil"/>
              <w:left w:val="nil"/>
              <w:bottom w:val="nil"/>
              <w:right w:val="single" w:sz="4" w:space="0" w:color="auto"/>
            </w:tcBorders>
            <w:noWrap/>
            <w:vAlign w:val="bottom"/>
            <w:hideMark/>
          </w:tcPr>
          <w:p w14:paraId="50D4AFAE" w14:textId="77777777" w:rsidR="00677577" w:rsidRPr="00BB4D6B" w:rsidRDefault="00677577" w:rsidP="00F73304">
            <w:pPr>
              <w:spacing w:after="0" w:line="240" w:lineRule="auto"/>
              <w:jc w:val="right"/>
              <w:rPr>
                <w:sz w:val="20"/>
                <w:szCs w:val="20"/>
              </w:rPr>
            </w:pPr>
            <w:r w:rsidRPr="00BB4D6B">
              <w:rPr>
                <w:sz w:val="20"/>
                <w:szCs w:val="20"/>
              </w:rPr>
              <w:t>18%</w:t>
            </w:r>
          </w:p>
        </w:tc>
        <w:tc>
          <w:tcPr>
            <w:tcW w:w="1019" w:type="dxa"/>
            <w:tcBorders>
              <w:top w:val="nil"/>
              <w:left w:val="single" w:sz="4" w:space="0" w:color="auto"/>
              <w:bottom w:val="nil"/>
              <w:right w:val="nil"/>
            </w:tcBorders>
            <w:noWrap/>
            <w:vAlign w:val="bottom"/>
            <w:hideMark/>
          </w:tcPr>
          <w:p w14:paraId="0A6494CF" w14:textId="77777777" w:rsidR="00677577" w:rsidRPr="00BB4D6B" w:rsidRDefault="00677577" w:rsidP="00F73304">
            <w:pPr>
              <w:spacing w:after="0" w:line="240" w:lineRule="auto"/>
              <w:jc w:val="right"/>
              <w:rPr>
                <w:sz w:val="20"/>
                <w:szCs w:val="20"/>
              </w:rPr>
            </w:pPr>
            <w:r w:rsidRPr="00BB4D6B">
              <w:rPr>
                <w:sz w:val="20"/>
                <w:szCs w:val="20"/>
              </w:rPr>
              <w:t>0%</w:t>
            </w:r>
          </w:p>
        </w:tc>
        <w:tc>
          <w:tcPr>
            <w:tcW w:w="1019" w:type="dxa"/>
            <w:tcBorders>
              <w:top w:val="nil"/>
              <w:left w:val="nil"/>
              <w:bottom w:val="nil"/>
              <w:right w:val="nil"/>
            </w:tcBorders>
            <w:noWrap/>
            <w:vAlign w:val="bottom"/>
            <w:hideMark/>
          </w:tcPr>
          <w:p w14:paraId="4FAD8092" w14:textId="77777777" w:rsidR="00677577" w:rsidRPr="00BB4D6B" w:rsidRDefault="00677577" w:rsidP="00F73304">
            <w:pPr>
              <w:spacing w:after="0" w:line="240" w:lineRule="auto"/>
              <w:jc w:val="right"/>
              <w:rPr>
                <w:sz w:val="20"/>
                <w:szCs w:val="20"/>
              </w:rPr>
            </w:pPr>
            <w:r w:rsidRPr="00BB4D6B">
              <w:rPr>
                <w:sz w:val="20"/>
                <w:szCs w:val="20"/>
              </w:rPr>
              <w:t>1%</w:t>
            </w:r>
          </w:p>
        </w:tc>
        <w:tc>
          <w:tcPr>
            <w:tcW w:w="1020" w:type="dxa"/>
            <w:tcBorders>
              <w:top w:val="nil"/>
              <w:left w:val="nil"/>
              <w:bottom w:val="nil"/>
              <w:right w:val="single" w:sz="4" w:space="0" w:color="auto"/>
            </w:tcBorders>
            <w:noWrap/>
            <w:vAlign w:val="bottom"/>
            <w:hideMark/>
          </w:tcPr>
          <w:p w14:paraId="4E2A43CB" w14:textId="77777777" w:rsidR="00677577" w:rsidRPr="00BB4D6B" w:rsidRDefault="00677577" w:rsidP="00F73304">
            <w:pPr>
              <w:spacing w:after="0" w:line="240" w:lineRule="auto"/>
              <w:jc w:val="right"/>
              <w:rPr>
                <w:sz w:val="20"/>
                <w:szCs w:val="20"/>
              </w:rPr>
            </w:pPr>
            <w:r w:rsidRPr="00BB4D6B">
              <w:rPr>
                <w:sz w:val="20"/>
                <w:szCs w:val="20"/>
              </w:rPr>
              <w:t>-2%</w:t>
            </w:r>
          </w:p>
        </w:tc>
        <w:tc>
          <w:tcPr>
            <w:tcW w:w="1019" w:type="dxa"/>
            <w:tcBorders>
              <w:top w:val="nil"/>
              <w:left w:val="single" w:sz="4" w:space="0" w:color="auto"/>
              <w:bottom w:val="nil"/>
              <w:right w:val="nil"/>
            </w:tcBorders>
            <w:noWrap/>
            <w:vAlign w:val="bottom"/>
            <w:hideMark/>
          </w:tcPr>
          <w:p w14:paraId="4677AC05" w14:textId="77777777" w:rsidR="00677577" w:rsidRPr="00BB4D6B" w:rsidRDefault="00677577" w:rsidP="00F73304">
            <w:pPr>
              <w:spacing w:after="0" w:line="240" w:lineRule="auto"/>
              <w:jc w:val="right"/>
              <w:rPr>
                <w:sz w:val="20"/>
                <w:szCs w:val="20"/>
              </w:rPr>
            </w:pPr>
            <w:r w:rsidRPr="00BB4D6B">
              <w:rPr>
                <w:sz w:val="20"/>
                <w:szCs w:val="20"/>
              </w:rPr>
              <w:t>3.2%</w:t>
            </w:r>
          </w:p>
        </w:tc>
        <w:tc>
          <w:tcPr>
            <w:tcW w:w="1019" w:type="dxa"/>
            <w:tcBorders>
              <w:top w:val="nil"/>
              <w:left w:val="nil"/>
              <w:bottom w:val="nil"/>
              <w:right w:val="nil"/>
            </w:tcBorders>
            <w:noWrap/>
            <w:vAlign w:val="bottom"/>
            <w:hideMark/>
          </w:tcPr>
          <w:p w14:paraId="780F1D85" w14:textId="77777777" w:rsidR="00677577" w:rsidRPr="00BB4D6B" w:rsidRDefault="00677577" w:rsidP="00F73304">
            <w:pPr>
              <w:spacing w:after="0" w:line="240" w:lineRule="auto"/>
              <w:jc w:val="right"/>
              <w:rPr>
                <w:sz w:val="20"/>
                <w:szCs w:val="20"/>
              </w:rPr>
            </w:pPr>
            <w:r w:rsidRPr="00BB4D6B">
              <w:rPr>
                <w:sz w:val="20"/>
                <w:szCs w:val="20"/>
              </w:rPr>
              <w:t>3.9%</w:t>
            </w:r>
          </w:p>
        </w:tc>
        <w:tc>
          <w:tcPr>
            <w:tcW w:w="1019" w:type="dxa"/>
            <w:tcBorders>
              <w:top w:val="nil"/>
              <w:left w:val="nil"/>
              <w:bottom w:val="nil"/>
              <w:right w:val="nil"/>
            </w:tcBorders>
            <w:noWrap/>
            <w:vAlign w:val="bottom"/>
            <w:hideMark/>
          </w:tcPr>
          <w:p w14:paraId="76EC721F" w14:textId="77777777" w:rsidR="00677577" w:rsidRPr="00BB4D6B" w:rsidRDefault="00677577" w:rsidP="00F73304">
            <w:pPr>
              <w:spacing w:after="0" w:line="240" w:lineRule="auto"/>
              <w:jc w:val="right"/>
              <w:rPr>
                <w:sz w:val="20"/>
                <w:szCs w:val="20"/>
              </w:rPr>
            </w:pPr>
            <w:r w:rsidRPr="00BB4D6B">
              <w:rPr>
                <w:sz w:val="20"/>
                <w:szCs w:val="20"/>
              </w:rPr>
              <w:t>2.8%</w:t>
            </w:r>
          </w:p>
        </w:tc>
        <w:tc>
          <w:tcPr>
            <w:tcW w:w="1019" w:type="dxa"/>
            <w:tcBorders>
              <w:top w:val="nil"/>
              <w:left w:val="nil"/>
              <w:bottom w:val="nil"/>
              <w:right w:val="single" w:sz="4" w:space="0" w:color="auto"/>
            </w:tcBorders>
            <w:noWrap/>
            <w:vAlign w:val="bottom"/>
            <w:hideMark/>
          </w:tcPr>
          <w:p w14:paraId="67E3045F" w14:textId="77777777" w:rsidR="00677577" w:rsidRPr="00BB4D6B" w:rsidRDefault="00677577" w:rsidP="00F73304">
            <w:pPr>
              <w:spacing w:after="0" w:line="240" w:lineRule="auto"/>
              <w:jc w:val="right"/>
              <w:rPr>
                <w:sz w:val="20"/>
                <w:szCs w:val="20"/>
              </w:rPr>
            </w:pPr>
            <w:r w:rsidRPr="00BB4D6B">
              <w:rPr>
                <w:sz w:val="20"/>
                <w:szCs w:val="20"/>
              </w:rPr>
              <w:t>3.3%</w:t>
            </w:r>
          </w:p>
        </w:tc>
      </w:tr>
      <w:tr w:rsidR="00677577" w:rsidRPr="00167CB8" w14:paraId="5C7D18C5" w14:textId="77777777">
        <w:trPr>
          <w:trHeight w:val="371"/>
        </w:trPr>
        <w:tc>
          <w:tcPr>
            <w:tcW w:w="4160" w:type="dxa"/>
            <w:tcBorders>
              <w:top w:val="nil"/>
              <w:left w:val="single" w:sz="4" w:space="0" w:color="auto"/>
              <w:bottom w:val="nil"/>
              <w:right w:val="nil"/>
            </w:tcBorders>
            <w:vAlign w:val="bottom"/>
            <w:hideMark/>
          </w:tcPr>
          <w:p w14:paraId="259D345D" w14:textId="77777777" w:rsidR="00677577" w:rsidRPr="00BB4D6B" w:rsidRDefault="00677577">
            <w:pPr>
              <w:spacing w:after="0" w:line="240" w:lineRule="auto"/>
              <w:rPr>
                <w:sz w:val="20"/>
                <w:szCs w:val="20"/>
              </w:rPr>
            </w:pPr>
            <w:r w:rsidRPr="00BB4D6B">
              <w:rPr>
                <w:sz w:val="20"/>
                <w:szCs w:val="20"/>
              </w:rPr>
              <w:t xml:space="preserve">Public administration and safety </w:t>
            </w:r>
          </w:p>
        </w:tc>
        <w:tc>
          <w:tcPr>
            <w:tcW w:w="933" w:type="dxa"/>
            <w:tcBorders>
              <w:top w:val="nil"/>
              <w:left w:val="nil"/>
              <w:bottom w:val="nil"/>
              <w:right w:val="nil"/>
            </w:tcBorders>
            <w:noWrap/>
            <w:vAlign w:val="bottom"/>
            <w:hideMark/>
          </w:tcPr>
          <w:p w14:paraId="1AEE8CCF" w14:textId="77777777" w:rsidR="00677577" w:rsidRPr="00BB4D6B" w:rsidRDefault="00677577" w:rsidP="00F73304">
            <w:pPr>
              <w:spacing w:after="0" w:line="240" w:lineRule="auto"/>
              <w:jc w:val="right"/>
              <w:rPr>
                <w:sz w:val="20"/>
                <w:szCs w:val="20"/>
              </w:rPr>
            </w:pPr>
            <w:r w:rsidRPr="00BB4D6B">
              <w:rPr>
                <w:sz w:val="20"/>
                <w:szCs w:val="20"/>
              </w:rPr>
              <w:t>25%</w:t>
            </w:r>
          </w:p>
        </w:tc>
        <w:tc>
          <w:tcPr>
            <w:tcW w:w="933" w:type="dxa"/>
            <w:tcBorders>
              <w:top w:val="nil"/>
              <w:left w:val="nil"/>
              <w:bottom w:val="nil"/>
              <w:right w:val="nil"/>
            </w:tcBorders>
            <w:noWrap/>
            <w:vAlign w:val="bottom"/>
            <w:hideMark/>
          </w:tcPr>
          <w:p w14:paraId="4C9C9D71" w14:textId="77777777" w:rsidR="00677577" w:rsidRPr="00BB4D6B" w:rsidRDefault="00677577" w:rsidP="00F73304">
            <w:pPr>
              <w:spacing w:after="0" w:line="240" w:lineRule="auto"/>
              <w:jc w:val="right"/>
              <w:rPr>
                <w:sz w:val="20"/>
                <w:szCs w:val="20"/>
              </w:rPr>
            </w:pPr>
            <w:r w:rsidRPr="00BB4D6B">
              <w:rPr>
                <w:sz w:val="20"/>
                <w:szCs w:val="20"/>
              </w:rPr>
              <w:t>14%</w:t>
            </w:r>
          </w:p>
        </w:tc>
        <w:tc>
          <w:tcPr>
            <w:tcW w:w="934" w:type="dxa"/>
            <w:tcBorders>
              <w:top w:val="nil"/>
              <w:left w:val="nil"/>
              <w:bottom w:val="nil"/>
              <w:right w:val="single" w:sz="4" w:space="0" w:color="auto"/>
            </w:tcBorders>
            <w:noWrap/>
            <w:vAlign w:val="bottom"/>
            <w:hideMark/>
          </w:tcPr>
          <w:p w14:paraId="2F50D364" w14:textId="77777777" w:rsidR="00677577" w:rsidRPr="00BB4D6B" w:rsidRDefault="00677577" w:rsidP="00F73304">
            <w:pPr>
              <w:spacing w:after="0" w:line="240" w:lineRule="auto"/>
              <w:jc w:val="right"/>
              <w:rPr>
                <w:sz w:val="20"/>
                <w:szCs w:val="20"/>
              </w:rPr>
            </w:pPr>
            <w:r w:rsidRPr="00BB4D6B">
              <w:rPr>
                <w:sz w:val="20"/>
                <w:szCs w:val="20"/>
              </w:rPr>
              <w:t>37%</w:t>
            </w:r>
          </w:p>
        </w:tc>
        <w:tc>
          <w:tcPr>
            <w:tcW w:w="1019" w:type="dxa"/>
            <w:tcBorders>
              <w:top w:val="nil"/>
              <w:left w:val="single" w:sz="4" w:space="0" w:color="auto"/>
              <w:bottom w:val="nil"/>
              <w:right w:val="nil"/>
            </w:tcBorders>
            <w:noWrap/>
            <w:vAlign w:val="bottom"/>
            <w:hideMark/>
          </w:tcPr>
          <w:p w14:paraId="4ACA66EA" w14:textId="77777777" w:rsidR="00677577" w:rsidRPr="00BB4D6B" w:rsidRDefault="00677577" w:rsidP="00F73304">
            <w:pPr>
              <w:spacing w:after="0" w:line="240" w:lineRule="auto"/>
              <w:jc w:val="right"/>
              <w:rPr>
                <w:sz w:val="20"/>
                <w:szCs w:val="20"/>
              </w:rPr>
            </w:pPr>
            <w:r w:rsidRPr="00BB4D6B">
              <w:rPr>
                <w:sz w:val="20"/>
                <w:szCs w:val="20"/>
              </w:rPr>
              <w:t>14%</w:t>
            </w:r>
          </w:p>
        </w:tc>
        <w:tc>
          <w:tcPr>
            <w:tcW w:w="1019" w:type="dxa"/>
            <w:tcBorders>
              <w:top w:val="nil"/>
              <w:left w:val="nil"/>
              <w:bottom w:val="nil"/>
              <w:right w:val="nil"/>
            </w:tcBorders>
            <w:noWrap/>
            <w:vAlign w:val="bottom"/>
            <w:hideMark/>
          </w:tcPr>
          <w:p w14:paraId="51DAF2B4" w14:textId="77777777" w:rsidR="00677577" w:rsidRPr="00BB4D6B" w:rsidRDefault="00677577" w:rsidP="00F73304">
            <w:pPr>
              <w:spacing w:after="0" w:line="240" w:lineRule="auto"/>
              <w:jc w:val="right"/>
              <w:rPr>
                <w:sz w:val="20"/>
                <w:szCs w:val="20"/>
              </w:rPr>
            </w:pPr>
            <w:r w:rsidRPr="00BB4D6B">
              <w:rPr>
                <w:sz w:val="20"/>
                <w:szCs w:val="20"/>
              </w:rPr>
              <w:t>14%</w:t>
            </w:r>
          </w:p>
        </w:tc>
        <w:tc>
          <w:tcPr>
            <w:tcW w:w="1020" w:type="dxa"/>
            <w:tcBorders>
              <w:top w:val="nil"/>
              <w:left w:val="nil"/>
              <w:bottom w:val="nil"/>
              <w:right w:val="single" w:sz="4" w:space="0" w:color="auto"/>
            </w:tcBorders>
            <w:noWrap/>
            <w:vAlign w:val="bottom"/>
            <w:hideMark/>
          </w:tcPr>
          <w:p w14:paraId="579DB91C" w14:textId="77777777" w:rsidR="00677577" w:rsidRPr="00BB4D6B" w:rsidRDefault="00677577" w:rsidP="00F73304">
            <w:pPr>
              <w:spacing w:after="0" w:line="240" w:lineRule="auto"/>
              <w:jc w:val="right"/>
              <w:rPr>
                <w:sz w:val="20"/>
                <w:szCs w:val="20"/>
              </w:rPr>
            </w:pPr>
            <w:r w:rsidRPr="00BB4D6B">
              <w:rPr>
                <w:sz w:val="20"/>
                <w:szCs w:val="20"/>
              </w:rPr>
              <w:t>16%</w:t>
            </w:r>
          </w:p>
        </w:tc>
        <w:tc>
          <w:tcPr>
            <w:tcW w:w="1019" w:type="dxa"/>
            <w:tcBorders>
              <w:top w:val="nil"/>
              <w:left w:val="single" w:sz="4" w:space="0" w:color="auto"/>
              <w:bottom w:val="nil"/>
              <w:right w:val="nil"/>
            </w:tcBorders>
            <w:noWrap/>
            <w:vAlign w:val="bottom"/>
            <w:hideMark/>
          </w:tcPr>
          <w:p w14:paraId="58D33938" w14:textId="77777777" w:rsidR="00677577" w:rsidRPr="00BB4D6B" w:rsidRDefault="00677577" w:rsidP="00F73304">
            <w:pPr>
              <w:spacing w:after="0" w:line="240" w:lineRule="auto"/>
              <w:jc w:val="right"/>
              <w:rPr>
                <w:sz w:val="20"/>
                <w:szCs w:val="20"/>
              </w:rPr>
            </w:pPr>
            <w:r w:rsidRPr="00BB4D6B">
              <w:rPr>
                <w:sz w:val="20"/>
                <w:szCs w:val="20"/>
              </w:rPr>
              <w:t>6.2%</w:t>
            </w:r>
          </w:p>
        </w:tc>
        <w:tc>
          <w:tcPr>
            <w:tcW w:w="1019" w:type="dxa"/>
            <w:tcBorders>
              <w:top w:val="nil"/>
              <w:left w:val="nil"/>
              <w:bottom w:val="nil"/>
              <w:right w:val="nil"/>
            </w:tcBorders>
            <w:noWrap/>
            <w:vAlign w:val="bottom"/>
            <w:hideMark/>
          </w:tcPr>
          <w:p w14:paraId="3A46EF36" w14:textId="77777777" w:rsidR="00677577" w:rsidRPr="00BB4D6B" w:rsidRDefault="00677577" w:rsidP="00F73304">
            <w:pPr>
              <w:spacing w:after="0" w:line="240" w:lineRule="auto"/>
              <w:jc w:val="right"/>
              <w:rPr>
                <w:sz w:val="20"/>
                <w:szCs w:val="20"/>
              </w:rPr>
            </w:pPr>
            <w:r w:rsidRPr="00BB4D6B">
              <w:rPr>
                <w:sz w:val="20"/>
                <w:szCs w:val="20"/>
              </w:rPr>
              <w:t>6.0%</w:t>
            </w:r>
          </w:p>
        </w:tc>
        <w:tc>
          <w:tcPr>
            <w:tcW w:w="1019" w:type="dxa"/>
            <w:tcBorders>
              <w:top w:val="nil"/>
              <w:left w:val="nil"/>
              <w:bottom w:val="nil"/>
              <w:right w:val="nil"/>
            </w:tcBorders>
            <w:noWrap/>
            <w:vAlign w:val="bottom"/>
            <w:hideMark/>
          </w:tcPr>
          <w:p w14:paraId="4E53CA9A" w14:textId="77777777" w:rsidR="00677577" w:rsidRPr="00BB4D6B" w:rsidRDefault="00677577" w:rsidP="00F73304">
            <w:pPr>
              <w:spacing w:after="0" w:line="240" w:lineRule="auto"/>
              <w:jc w:val="right"/>
              <w:rPr>
                <w:sz w:val="20"/>
                <w:szCs w:val="20"/>
              </w:rPr>
            </w:pPr>
            <w:r w:rsidRPr="00BB4D6B">
              <w:rPr>
                <w:sz w:val="20"/>
                <w:szCs w:val="20"/>
              </w:rPr>
              <w:t>6.5%</w:t>
            </w:r>
          </w:p>
        </w:tc>
        <w:tc>
          <w:tcPr>
            <w:tcW w:w="1019" w:type="dxa"/>
            <w:tcBorders>
              <w:top w:val="nil"/>
              <w:left w:val="nil"/>
              <w:bottom w:val="nil"/>
              <w:right w:val="single" w:sz="4" w:space="0" w:color="auto"/>
            </w:tcBorders>
            <w:noWrap/>
            <w:vAlign w:val="bottom"/>
            <w:hideMark/>
          </w:tcPr>
          <w:p w14:paraId="7F904391" w14:textId="77777777" w:rsidR="00677577" w:rsidRPr="00BB4D6B" w:rsidRDefault="00677577" w:rsidP="00F73304">
            <w:pPr>
              <w:spacing w:after="0" w:line="240" w:lineRule="auto"/>
              <w:jc w:val="right"/>
              <w:rPr>
                <w:sz w:val="20"/>
                <w:szCs w:val="20"/>
              </w:rPr>
            </w:pPr>
            <w:r w:rsidRPr="00BB4D6B">
              <w:rPr>
                <w:sz w:val="20"/>
                <w:szCs w:val="20"/>
              </w:rPr>
              <w:t>7.1%</w:t>
            </w:r>
          </w:p>
        </w:tc>
      </w:tr>
      <w:tr w:rsidR="00677577" w:rsidRPr="00167CB8" w14:paraId="45EEE62D" w14:textId="77777777">
        <w:trPr>
          <w:trHeight w:val="371"/>
        </w:trPr>
        <w:tc>
          <w:tcPr>
            <w:tcW w:w="4160" w:type="dxa"/>
            <w:tcBorders>
              <w:top w:val="nil"/>
              <w:left w:val="single" w:sz="4" w:space="0" w:color="auto"/>
              <w:bottom w:val="nil"/>
              <w:right w:val="nil"/>
            </w:tcBorders>
            <w:vAlign w:val="bottom"/>
            <w:hideMark/>
          </w:tcPr>
          <w:p w14:paraId="462C2A96" w14:textId="77777777" w:rsidR="00677577" w:rsidRPr="00BB4D6B" w:rsidRDefault="00677577">
            <w:pPr>
              <w:spacing w:after="0" w:line="240" w:lineRule="auto"/>
              <w:rPr>
                <w:sz w:val="20"/>
                <w:szCs w:val="20"/>
              </w:rPr>
            </w:pPr>
            <w:r w:rsidRPr="00BB4D6B">
              <w:rPr>
                <w:sz w:val="20"/>
                <w:szCs w:val="20"/>
              </w:rPr>
              <w:t xml:space="preserve">Education and training </w:t>
            </w:r>
          </w:p>
        </w:tc>
        <w:tc>
          <w:tcPr>
            <w:tcW w:w="933" w:type="dxa"/>
            <w:tcBorders>
              <w:top w:val="nil"/>
              <w:left w:val="nil"/>
              <w:bottom w:val="nil"/>
              <w:right w:val="nil"/>
            </w:tcBorders>
            <w:noWrap/>
            <w:vAlign w:val="bottom"/>
            <w:hideMark/>
          </w:tcPr>
          <w:p w14:paraId="276AA159" w14:textId="77777777" w:rsidR="00677577" w:rsidRPr="00BB4D6B" w:rsidRDefault="00677577" w:rsidP="00F73304">
            <w:pPr>
              <w:spacing w:after="0" w:line="240" w:lineRule="auto"/>
              <w:jc w:val="right"/>
              <w:rPr>
                <w:sz w:val="20"/>
                <w:szCs w:val="20"/>
              </w:rPr>
            </w:pPr>
            <w:r w:rsidRPr="00BB4D6B">
              <w:rPr>
                <w:sz w:val="20"/>
                <w:szCs w:val="20"/>
              </w:rPr>
              <w:t>28%</w:t>
            </w:r>
          </w:p>
        </w:tc>
        <w:tc>
          <w:tcPr>
            <w:tcW w:w="933" w:type="dxa"/>
            <w:tcBorders>
              <w:top w:val="nil"/>
              <w:left w:val="nil"/>
              <w:bottom w:val="nil"/>
              <w:right w:val="nil"/>
            </w:tcBorders>
            <w:noWrap/>
            <w:vAlign w:val="bottom"/>
            <w:hideMark/>
          </w:tcPr>
          <w:p w14:paraId="40BC998A" w14:textId="77777777" w:rsidR="00677577" w:rsidRPr="00BB4D6B" w:rsidRDefault="00677577" w:rsidP="00F73304">
            <w:pPr>
              <w:spacing w:after="0" w:line="240" w:lineRule="auto"/>
              <w:jc w:val="right"/>
              <w:rPr>
                <w:sz w:val="20"/>
                <w:szCs w:val="20"/>
              </w:rPr>
            </w:pPr>
            <w:r w:rsidRPr="00BB4D6B">
              <w:rPr>
                <w:sz w:val="20"/>
                <w:szCs w:val="20"/>
              </w:rPr>
              <w:t>9%</w:t>
            </w:r>
          </w:p>
        </w:tc>
        <w:tc>
          <w:tcPr>
            <w:tcW w:w="934" w:type="dxa"/>
            <w:tcBorders>
              <w:top w:val="nil"/>
              <w:left w:val="nil"/>
              <w:bottom w:val="nil"/>
              <w:right w:val="single" w:sz="4" w:space="0" w:color="auto"/>
            </w:tcBorders>
            <w:noWrap/>
            <w:vAlign w:val="bottom"/>
            <w:hideMark/>
          </w:tcPr>
          <w:p w14:paraId="1E5B248B" w14:textId="77777777" w:rsidR="00677577" w:rsidRPr="00BB4D6B" w:rsidRDefault="00677577" w:rsidP="00F73304">
            <w:pPr>
              <w:spacing w:after="0" w:line="240" w:lineRule="auto"/>
              <w:jc w:val="right"/>
              <w:rPr>
                <w:sz w:val="20"/>
                <w:szCs w:val="20"/>
              </w:rPr>
            </w:pPr>
            <w:r w:rsidRPr="00BB4D6B">
              <w:rPr>
                <w:sz w:val="20"/>
                <w:szCs w:val="20"/>
              </w:rPr>
              <w:t>37%</w:t>
            </w:r>
          </w:p>
        </w:tc>
        <w:tc>
          <w:tcPr>
            <w:tcW w:w="1019" w:type="dxa"/>
            <w:tcBorders>
              <w:top w:val="nil"/>
              <w:left w:val="single" w:sz="4" w:space="0" w:color="auto"/>
              <w:bottom w:val="nil"/>
              <w:right w:val="nil"/>
            </w:tcBorders>
            <w:noWrap/>
            <w:vAlign w:val="bottom"/>
            <w:hideMark/>
          </w:tcPr>
          <w:p w14:paraId="2995A112" w14:textId="77777777" w:rsidR="00677577" w:rsidRPr="00BB4D6B" w:rsidRDefault="00677577" w:rsidP="00F73304">
            <w:pPr>
              <w:spacing w:after="0" w:line="240" w:lineRule="auto"/>
              <w:jc w:val="right"/>
              <w:rPr>
                <w:sz w:val="20"/>
                <w:szCs w:val="20"/>
              </w:rPr>
            </w:pPr>
            <w:r w:rsidRPr="00BB4D6B">
              <w:rPr>
                <w:sz w:val="20"/>
                <w:szCs w:val="20"/>
              </w:rPr>
              <w:t>11%</w:t>
            </w:r>
          </w:p>
        </w:tc>
        <w:tc>
          <w:tcPr>
            <w:tcW w:w="1019" w:type="dxa"/>
            <w:tcBorders>
              <w:top w:val="nil"/>
              <w:left w:val="nil"/>
              <w:bottom w:val="nil"/>
              <w:right w:val="nil"/>
            </w:tcBorders>
            <w:noWrap/>
            <w:vAlign w:val="bottom"/>
            <w:hideMark/>
          </w:tcPr>
          <w:p w14:paraId="6C50E855" w14:textId="77777777" w:rsidR="00677577" w:rsidRPr="00BB4D6B" w:rsidRDefault="00677577" w:rsidP="00F73304">
            <w:pPr>
              <w:spacing w:after="0" w:line="240" w:lineRule="auto"/>
              <w:jc w:val="right"/>
              <w:rPr>
                <w:sz w:val="20"/>
                <w:szCs w:val="20"/>
              </w:rPr>
            </w:pPr>
            <w:r w:rsidRPr="00BB4D6B">
              <w:rPr>
                <w:sz w:val="20"/>
                <w:szCs w:val="20"/>
              </w:rPr>
              <w:t>18%</w:t>
            </w:r>
          </w:p>
        </w:tc>
        <w:tc>
          <w:tcPr>
            <w:tcW w:w="1020" w:type="dxa"/>
            <w:tcBorders>
              <w:top w:val="nil"/>
              <w:left w:val="nil"/>
              <w:bottom w:val="nil"/>
              <w:right w:val="single" w:sz="4" w:space="0" w:color="auto"/>
            </w:tcBorders>
            <w:noWrap/>
            <w:vAlign w:val="bottom"/>
            <w:hideMark/>
          </w:tcPr>
          <w:p w14:paraId="76EDF8F1" w14:textId="77777777" w:rsidR="00677577" w:rsidRPr="00BB4D6B" w:rsidRDefault="00677577" w:rsidP="00F73304">
            <w:pPr>
              <w:spacing w:after="0" w:line="240" w:lineRule="auto"/>
              <w:jc w:val="right"/>
              <w:rPr>
                <w:sz w:val="20"/>
                <w:szCs w:val="20"/>
              </w:rPr>
            </w:pPr>
            <w:r w:rsidRPr="00BB4D6B">
              <w:rPr>
                <w:sz w:val="20"/>
                <w:szCs w:val="20"/>
              </w:rPr>
              <w:t>8%</w:t>
            </w:r>
          </w:p>
        </w:tc>
        <w:tc>
          <w:tcPr>
            <w:tcW w:w="1019" w:type="dxa"/>
            <w:tcBorders>
              <w:top w:val="nil"/>
              <w:left w:val="single" w:sz="4" w:space="0" w:color="auto"/>
              <w:bottom w:val="nil"/>
              <w:right w:val="nil"/>
            </w:tcBorders>
            <w:noWrap/>
            <w:vAlign w:val="bottom"/>
            <w:hideMark/>
          </w:tcPr>
          <w:p w14:paraId="22741D54" w14:textId="77777777" w:rsidR="00677577" w:rsidRPr="00BB4D6B" w:rsidRDefault="00677577" w:rsidP="00F73304">
            <w:pPr>
              <w:spacing w:after="0" w:line="240" w:lineRule="auto"/>
              <w:jc w:val="right"/>
              <w:rPr>
                <w:sz w:val="20"/>
                <w:szCs w:val="20"/>
              </w:rPr>
            </w:pPr>
            <w:r w:rsidRPr="00BB4D6B">
              <w:rPr>
                <w:sz w:val="20"/>
                <w:szCs w:val="20"/>
              </w:rPr>
              <w:t>4.6%</w:t>
            </w:r>
          </w:p>
        </w:tc>
        <w:tc>
          <w:tcPr>
            <w:tcW w:w="1019" w:type="dxa"/>
            <w:tcBorders>
              <w:top w:val="nil"/>
              <w:left w:val="nil"/>
              <w:bottom w:val="nil"/>
              <w:right w:val="nil"/>
            </w:tcBorders>
            <w:noWrap/>
            <w:vAlign w:val="bottom"/>
            <w:hideMark/>
          </w:tcPr>
          <w:p w14:paraId="5B95E905" w14:textId="77777777" w:rsidR="00677577" w:rsidRPr="00BB4D6B" w:rsidRDefault="00677577" w:rsidP="00F73304">
            <w:pPr>
              <w:spacing w:after="0" w:line="240" w:lineRule="auto"/>
              <w:jc w:val="right"/>
              <w:rPr>
                <w:sz w:val="20"/>
                <w:szCs w:val="20"/>
              </w:rPr>
            </w:pPr>
            <w:r w:rsidRPr="00BB4D6B">
              <w:rPr>
                <w:sz w:val="20"/>
                <w:szCs w:val="20"/>
              </w:rPr>
              <w:t>11.9%</w:t>
            </w:r>
          </w:p>
        </w:tc>
        <w:tc>
          <w:tcPr>
            <w:tcW w:w="1019" w:type="dxa"/>
            <w:tcBorders>
              <w:top w:val="nil"/>
              <w:left w:val="nil"/>
              <w:bottom w:val="nil"/>
              <w:right w:val="nil"/>
            </w:tcBorders>
            <w:noWrap/>
            <w:vAlign w:val="bottom"/>
            <w:hideMark/>
          </w:tcPr>
          <w:p w14:paraId="211945ED" w14:textId="77777777" w:rsidR="00677577" w:rsidRPr="00BB4D6B" w:rsidRDefault="00677577" w:rsidP="00F73304">
            <w:pPr>
              <w:spacing w:after="0" w:line="240" w:lineRule="auto"/>
              <w:jc w:val="right"/>
              <w:rPr>
                <w:sz w:val="20"/>
                <w:szCs w:val="20"/>
              </w:rPr>
            </w:pPr>
            <w:r w:rsidRPr="00BB4D6B">
              <w:rPr>
                <w:sz w:val="20"/>
                <w:szCs w:val="20"/>
              </w:rPr>
              <w:t>4.8%</w:t>
            </w:r>
          </w:p>
        </w:tc>
        <w:tc>
          <w:tcPr>
            <w:tcW w:w="1019" w:type="dxa"/>
            <w:tcBorders>
              <w:top w:val="nil"/>
              <w:left w:val="nil"/>
              <w:bottom w:val="nil"/>
              <w:right w:val="single" w:sz="4" w:space="0" w:color="auto"/>
            </w:tcBorders>
            <w:noWrap/>
            <w:vAlign w:val="bottom"/>
            <w:hideMark/>
          </w:tcPr>
          <w:p w14:paraId="619C5828" w14:textId="77777777" w:rsidR="00677577" w:rsidRPr="00BB4D6B" w:rsidRDefault="00677577" w:rsidP="00F73304">
            <w:pPr>
              <w:spacing w:after="0" w:line="240" w:lineRule="auto"/>
              <w:jc w:val="right"/>
              <w:rPr>
                <w:sz w:val="20"/>
                <w:szCs w:val="20"/>
              </w:rPr>
            </w:pPr>
            <w:r w:rsidRPr="00BB4D6B">
              <w:rPr>
                <w:sz w:val="20"/>
                <w:szCs w:val="20"/>
              </w:rPr>
              <w:t>13.1%</w:t>
            </w:r>
          </w:p>
        </w:tc>
      </w:tr>
      <w:tr w:rsidR="00677577" w:rsidRPr="00167CB8" w14:paraId="4FBEBF06" w14:textId="77777777">
        <w:trPr>
          <w:trHeight w:val="371"/>
        </w:trPr>
        <w:tc>
          <w:tcPr>
            <w:tcW w:w="4160" w:type="dxa"/>
            <w:tcBorders>
              <w:top w:val="nil"/>
              <w:left w:val="single" w:sz="4" w:space="0" w:color="auto"/>
              <w:bottom w:val="nil"/>
              <w:right w:val="nil"/>
            </w:tcBorders>
            <w:vAlign w:val="bottom"/>
            <w:hideMark/>
          </w:tcPr>
          <w:p w14:paraId="7901188C" w14:textId="77777777" w:rsidR="00677577" w:rsidRPr="00BB4D6B" w:rsidRDefault="00677577">
            <w:pPr>
              <w:spacing w:after="0" w:line="240" w:lineRule="auto"/>
              <w:rPr>
                <w:sz w:val="20"/>
                <w:szCs w:val="20"/>
              </w:rPr>
            </w:pPr>
            <w:r w:rsidRPr="00BB4D6B">
              <w:rPr>
                <w:sz w:val="20"/>
                <w:szCs w:val="20"/>
              </w:rPr>
              <w:t>Health care and social assistance</w:t>
            </w:r>
          </w:p>
        </w:tc>
        <w:tc>
          <w:tcPr>
            <w:tcW w:w="933" w:type="dxa"/>
            <w:tcBorders>
              <w:top w:val="nil"/>
              <w:left w:val="nil"/>
              <w:bottom w:val="nil"/>
              <w:right w:val="nil"/>
            </w:tcBorders>
            <w:noWrap/>
            <w:vAlign w:val="bottom"/>
            <w:hideMark/>
          </w:tcPr>
          <w:p w14:paraId="3A17A8A6" w14:textId="77777777" w:rsidR="00677577" w:rsidRPr="00BB4D6B" w:rsidRDefault="00677577" w:rsidP="00F73304">
            <w:pPr>
              <w:spacing w:after="0" w:line="240" w:lineRule="auto"/>
              <w:jc w:val="right"/>
              <w:rPr>
                <w:sz w:val="20"/>
                <w:szCs w:val="20"/>
              </w:rPr>
            </w:pPr>
            <w:r w:rsidRPr="00BB4D6B">
              <w:rPr>
                <w:sz w:val="20"/>
                <w:szCs w:val="20"/>
              </w:rPr>
              <w:t>51%</w:t>
            </w:r>
          </w:p>
        </w:tc>
        <w:tc>
          <w:tcPr>
            <w:tcW w:w="933" w:type="dxa"/>
            <w:tcBorders>
              <w:top w:val="nil"/>
              <w:left w:val="nil"/>
              <w:bottom w:val="nil"/>
              <w:right w:val="nil"/>
            </w:tcBorders>
            <w:noWrap/>
            <w:vAlign w:val="bottom"/>
            <w:hideMark/>
          </w:tcPr>
          <w:p w14:paraId="38ADB076" w14:textId="77777777" w:rsidR="00677577" w:rsidRPr="00BB4D6B" w:rsidRDefault="00677577" w:rsidP="00F73304">
            <w:pPr>
              <w:spacing w:after="0" w:line="240" w:lineRule="auto"/>
              <w:jc w:val="right"/>
              <w:rPr>
                <w:sz w:val="20"/>
                <w:szCs w:val="20"/>
              </w:rPr>
            </w:pPr>
            <w:r w:rsidRPr="00BB4D6B">
              <w:rPr>
                <w:sz w:val="20"/>
                <w:szCs w:val="20"/>
              </w:rPr>
              <w:t>73%</w:t>
            </w:r>
          </w:p>
        </w:tc>
        <w:tc>
          <w:tcPr>
            <w:tcW w:w="934" w:type="dxa"/>
            <w:tcBorders>
              <w:top w:val="nil"/>
              <w:left w:val="nil"/>
              <w:bottom w:val="nil"/>
              <w:right w:val="single" w:sz="4" w:space="0" w:color="auto"/>
            </w:tcBorders>
            <w:noWrap/>
            <w:vAlign w:val="bottom"/>
            <w:hideMark/>
          </w:tcPr>
          <w:p w14:paraId="7A5775A2" w14:textId="77777777" w:rsidR="00677577" w:rsidRPr="00BB4D6B" w:rsidRDefault="00677577" w:rsidP="00F73304">
            <w:pPr>
              <w:spacing w:after="0" w:line="240" w:lineRule="auto"/>
              <w:jc w:val="right"/>
              <w:rPr>
                <w:sz w:val="20"/>
                <w:szCs w:val="20"/>
              </w:rPr>
            </w:pPr>
            <w:r w:rsidRPr="00BB4D6B">
              <w:rPr>
                <w:sz w:val="20"/>
                <w:szCs w:val="20"/>
              </w:rPr>
              <w:t>46%</w:t>
            </w:r>
          </w:p>
        </w:tc>
        <w:tc>
          <w:tcPr>
            <w:tcW w:w="1019" w:type="dxa"/>
            <w:tcBorders>
              <w:top w:val="nil"/>
              <w:left w:val="single" w:sz="4" w:space="0" w:color="auto"/>
              <w:bottom w:val="nil"/>
              <w:right w:val="nil"/>
            </w:tcBorders>
            <w:noWrap/>
            <w:vAlign w:val="bottom"/>
            <w:hideMark/>
          </w:tcPr>
          <w:p w14:paraId="0848AEBB" w14:textId="77777777" w:rsidR="00677577" w:rsidRPr="00BB4D6B" w:rsidRDefault="00677577" w:rsidP="00F73304">
            <w:pPr>
              <w:spacing w:after="0" w:line="240" w:lineRule="auto"/>
              <w:jc w:val="right"/>
              <w:rPr>
                <w:sz w:val="20"/>
                <w:szCs w:val="20"/>
              </w:rPr>
            </w:pPr>
            <w:r w:rsidRPr="00BB4D6B">
              <w:rPr>
                <w:sz w:val="20"/>
                <w:szCs w:val="20"/>
              </w:rPr>
              <w:t>10%</w:t>
            </w:r>
          </w:p>
        </w:tc>
        <w:tc>
          <w:tcPr>
            <w:tcW w:w="1019" w:type="dxa"/>
            <w:tcBorders>
              <w:top w:val="nil"/>
              <w:left w:val="nil"/>
              <w:bottom w:val="nil"/>
              <w:right w:val="nil"/>
            </w:tcBorders>
            <w:noWrap/>
            <w:vAlign w:val="bottom"/>
            <w:hideMark/>
          </w:tcPr>
          <w:p w14:paraId="6763FE8B" w14:textId="77777777" w:rsidR="00677577" w:rsidRPr="00BB4D6B" w:rsidRDefault="00677577" w:rsidP="00F73304">
            <w:pPr>
              <w:spacing w:after="0" w:line="240" w:lineRule="auto"/>
              <w:jc w:val="right"/>
              <w:rPr>
                <w:sz w:val="20"/>
                <w:szCs w:val="20"/>
              </w:rPr>
            </w:pPr>
            <w:r w:rsidRPr="00BB4D6B">
              <w:rPr>
                <w:sz w:val="20"/>
                <w:szCs w:val="20"/>
              </w:rPr>
              <w:t>10%</w:t>
            </w:r>
          </w:p>
        </w:tc>
        <w:tc>
          <w:tcPr>
            <w:tcW w:w="1020" w:type="dxa"/>
            <w:tcBorders>
              <w:top w:val="nil"/>
              <w:left w:val="nil"/>
              <w:bottom w:val="nil"/>
              <w:right w:val="single" w:sz="4" w:space="0" w:color="auto"/>
            </w:tcBorders>
            <w:noWrap/>
            <w:vAlign w:val="bottom"/>
            <w:hideMark/>
          </w:tcPr>
          <w:p w14:paraId="022906B2" w14:textId="77777777" w:rsidR="00677577" w:rsidRPr="00BB4D6B" w:rsidRDefault="00677577" w:rsidP="00F73304">
            <w:pPr>
              <w:spacing w:after="0" w:line="240" w:lineRule="auto"/>
              <w:jc w:val="right"/>
              <w:rPr>
                <w:sz w:val="20"/>
                <w:szCs w:val="20"/>
              </w:rPr>
            </w:pPr>
            <w:r w:rsidRPr="00BB4D6B">
              <w:rPr>
                <w:sz w:val="20"/>
                <w:szCs w:val="20"/>
              </w:rPr>
              <w:t>10%</w:t>
            </w:r>
          </w:p>
        </w:tc>
        <w:tc>
          <w:tcPr>
            <w:tcW w:w="1019" w:type="dxa"/>
            <w:tcBorders>
              <w:top w:val="nil"/>
              <w:left w:val="single" w:sz="4" w:space="0" w:color="auto"/>
              <w:bottom w:val="nil"/>
              <w:right w:val="nil"/>
            </w:tcBorders>
            <w:noWrap/>
            <w:vAlign w:val="bottom"/>
            <w:hideMark/>
          </w:tcPr>
          <w:p w14:paraId="7AF2993A" w14:textId="77777777" w:rsidR="00677577" w:rsidRPr="00BB4D6B" w:rsidRDefault="00677577" w:rsidP="00F73304">
            <w:pPr>
              <w:spacing w:after="0" w:line="240" w:lineRule="auto"/>
              <w:jc w:val="right"/>
              <w:rPr>
                <w:sz w:val="20"/>
                <w:szCs w:val="20"/>
              </w:rPr>
            </w:pPr>
            <w:r w:rsidRPr="00BB4D6B">
              <w:rPr>
                <w:sz w:val="20"/>
                <w:szCs w:val="20"/>
              </w:rPr>
              <w:t>4.7%</w:t>
            </w:r>
          </w:p>
        </w:tc>
        <w:tc>
          <w:tcPr>
            <w:tcW w:w="1019" w:type="dxa"/>
            <w:tcBorders>
              <w:top w:val="nil"/>
              <w:left w:val="nil"/>
              <w:bottom w:val="nil"/>
              <w:right w:val="nil"/>
            </w:tcBorders>
            <w:noWrap/>
            <w:vAlign w:val="bottom"/>
            <w:hideMark/>
          </w:tcPr>
          <w:p w14:paraId="47ED399D" w14:textId="77777777" w:rsidR="00677577" w:rsidRPr="00BB4D6B" w:rsidRDefault="00677577" w:rsidP="00F73304">
            <w:pPr>
              <w:spacing w:after="0" w:line="240" w:lineRule="auto"/>
              <w:jc w:val="right"/>
              <w:rPr>
                <w:sz w:val="20"/>
                <w:szCs w:val="20"/>
              </w:rPr>
            </w:pPr>
            <w:r w:rsidRPr="00BB4D6B">
              <w:rPr>
                <w:sz w:val="20"/>
                <w:szCs w:val="20"/>
              </w:rPr>
              <w:t>20.6%</w:t>
            </w:r>
          </w:p>
        </w:tc>
        <w:tc>
          <w:tcPr>
            <w:tcW w:w="1019" w:type="dxa"/>
            <w:tcBorders>
              <w:top w:val="nil"/>
              <w:left w:val="nil"/>
              <w:bottom w:val="nil"/>
              <w:right w:val="nil"/>
            </w:tcBorders>
            <w:noWrap/>
            <w:vAlign w:val="bottom"/>
            <w:hideMark/>
          </w:tcPr>
          <w:p w14:paraId="72C80A08" w14:textId="77777777" w:rsidR="00677577" w:rsidRPr="00BB4D6B" w:rsidRDefault="00677577" w:rsidP="00F73304">
            <w:pPr>
              <w:spacing w:after="0" w:line="240" w:lineRule="auto"/>
              <w:jc w:val="right"/>
              <w:rPr>
                <w:sz w:val="20"/>
                <w:szCs w:val="20"/>
              </w:rPr>
            </w:pPr>
            <w:r w:rsidRPr="00BB4D6B">
              <w:rPr>
                <w:sz w:val="20"/>
                <w:szCs w:val="20"/>
              </w:rPr>
              <w:t>7.3%</w:t>
            </w:r>
          </w:p>
        </w:tc>
        <w:tc>
          <w:tcPr>
            <w:tcW w:w="1019" w:type="dxa"/>
            <w:tcBorders>
              <w:top w:val="nil"/>
              <w:left w:val="nil"/>
              <w:bottom w:val="nil"/>
              <w:right w:val="single" w:sz="4" w:space="0" w:color="auto"/>
            </w:tcBorders>
            <w:noWrap/>
            <w:vAlign w:val="bottom"/>
            <w:hideMark/>
          </w:tcPr>
          <w:p w14:paraId="7F35D87A" w14:textId="77777777" w:rsidR="00677577" w:rsidRPr="00BB4D6B" w:rsidRDefault="00677577" w:rsidP="00F73304">
            <w:pPr>
              <w:spacing w:after="0" w:line="240" w:lineRule="auto"/>
              <w:jc w:val="right"/>
              <w:rPr>
                <w:sz w:val="20"/>
                <w:szCs w:val="20"/>
              </w:rPr>
            </w:pPr>
            <w:r w:rsidRPr="00BB4D6B">
              <w:rPr>
                <w:sz w:val="20"/>
                <w:szCs w:val="20"/>
              </w:rPr>
              <w:t>24.7%</w:t>
            </w:r>
          </w:p>
        </w:tc>
      </w:tr>
      <w:tr w:rsidR="00677577" w:rsidRPr="00167CB8" w14:paraId="76DF211F" w14:textId="77777777">
        <w:trPr>
          <w:trHeight w:val="371"/>
        </w:trPr>
        <w:tc>
          <w:tcPr>
            <w:tcW w:w="4160" w:type="dxa"/>
            <w:tcBorders>
              <w:top w:val="nil"/>
              <w:left w:val="single" w:sz="4" w:space="0" w:color="auto"/>
              <w:bottom w:val="nil"/>
              <w:right w:val="nil"/>
            </w:tcBorders>
            <w:vAlign w:val="bottom"/>
            <w:hideMark/>
          </w:tcPr>
          <w:p w14:paraId="63B32903" w14:textId="77777777" w:rsidR="00677577" w:rsidRPr="00BB4D6B" w:rsidRDefault="00677577">
            <w:pPr>
              <w:spacing w:after="0" w:line="240" w:lineRule="auto"/>
              <w:rPr>
                <w:sz w:val="20"/>
                <w:szCs w:val="20"/>
              </w:rPr>
            </w:pPr>
            <w:r w:rsidRPr="00BB4D6B">
              <w:rPr>
                <w:sz w:val="20"/>
                <w:szCs w:val="20"/>
              </w:rPr>
              <w:t>Arts and recreation services</w:t>
            </w:r>
          </w:p>
        </w:tc>
        <w:tc>
          <w:tcPr>
            <w:tcW w:w="933" w:type="dxa"/>
            <w:tcBorders>
              <w:top w:val="nil"/>
              <w:left w:val="nil"/>
              <w:bottom w:val="nil"/>
              <w:right w:val="nil"/>
            </w:tcBorders>
            <w:noWrap/>
            <w:vAlign w:val="bottom"/>
            <w:hideMark/>
          </w:tcPr>
          <w:p w14:paraId="6B393E24" w14:textId="77777777" w:rsidR="00677577" w:rsidRPr="00BB4D6B" w:rsidRDefault="00677577" w:rsidP="00E05632">
            <w:pPr>
              <w:spacing w:after="0" w:line="240" w:lineRule="auto"/>
              <w:jc w:val="right"/>
              <w:rPr>
                <w:sz w:val="20"/>
                <w:szCs w:val="20"/>
              </w:rPr>
            </w:pPr>
            <w:r w:rsidRPr="00BB4D6B">
              <w:rPr>
                <w:sz w:val="20"/>
                <w:szCs w:val="20"/>
              </w:rPr>
              <w:t>9%</w:t>
            </w:r>
          </w:p>
        </w:tc>
        <w:tc>
          <w:tcPr>
            <w:tcW w:w="933" w:type="dxa"/>
            <w:tcBorders>
              <w:top w:val="nil"/>
              <w:left w:val="nil"/>
              <w:bottom w:val="nil"/>
              <w:right w:val="nil"/>
            </w:tcBorders>
            <w:noWrap/>
            <w:vAlign w:val="bottom"/>
            <w:hideMark/>
          </w:tcPr>
          <w:p w14:paraId="0E11D40E" w14:textId="77777777" w:rsidR="00677577" w:rsidRPr="00BB4D6B" w:rsidRDefault="00677577" w:rsidP="00E05632">
            <w:pPr>
              <w:spacing w:after="0" w:line="240" w:lineRule="auto"/>
              <w:jc w:val="right"/>
              <w:rPr>
                <w:sz w:val="20"/>
                <w:szCs w:val="20"/>
              </w:rPr>
            </w:pPr>
            <w:r w:rsidRPr="00BB4D6B">
              <w:rPr>
                <w:sz w:val="20"/>
                <w:szCs w:val="20"/>
              </w:rPr>
              <w:t>4%</w:t>
            </w:r>
          </w:p>
        </w:tc>
        <w:tc>
          <w:tcPr>
            <w:tcW w:w="934" w:type="dxa"/>
            <w:tcBorders>
              <w:top w:val="nil"/>
              <w:left w:val="nil"/>
              <w:bottom w:val="nil"/>
              <w:right w:val="single" w:sz="4" w:space="0" w:color="auto"/>
            </w:tcBorders>
            <w:noWrap/>
            <w:vAlign w:val="bottom"/>
            <w:hideMark/>
          </w:tcPr>
          <w:p w14:paraId="5D00E2FE" w14:textId="77777777" w:rsidR="00677577" w:rsidRPr="00BB4D6B" w:rsidRDefault="00677577" w:rsidP="00E05632">
            <w:pPr>
              <w:spacing w:after="0" w:line="240" w:lineRule="auto"/>
              <w:jc w:val="right"/>
              <w:rPr>
                <w:sz w:val="20"/>
                <w:szCs w:val="20"/>
              </w:rPr>
            </w:pPr>
            <w:r w:rsidRPr="00BB4D6B">
              <w:rPr>
                <w:sz w:val="20"/>
                <w:szCs w:val="20"/>
              </w:rPr>
              <w:t>11%</w:t>
            </w:r>
          </w:p>
        </w:tc>
        <w:tc>
          <w:tcPr>
            <w:tcW w:w="1019" w:type="dxa"/>
            <w:tcBorders>
              <w:top w:val="nil"/>
              <w:left w:val="single" w:sz="4" w:space="0" w:color="auto"/>
              <w:bottom w:val="nil"/>
              <w:right w:val="nil"/>
            </w:tcBorders>
            <w:noWrap/>
            <w:vAlign w:val="bottom"/>
            <w:hideMark/>
          </w:tcPr>
          <w:p w14:paraId="0611162D" w14:textId="77777777" w:rsidR="00677577" w:rsidRPr="00BB4D6B" w:rsidRDefault="00677577" w:rsidP="00E05632">
            <w:pPr>
              <w:spacing w:after="0" w:line="240" w:lineRule="auto"/>
              <w:jc w:val="right"/>
              <w:rPr>
                <w:sz w:val="20"/>
                <w:szCs w:val="20"/>
              </w:rPr>
            </w:pPr>
            <w:r w:rsidRPr="00BB4D6B">
              <w:rPr>
                <w:sz w:val="20"/>
                <w:szCs w:val="20"/>
              </w:rPr>
              <w:t>19%</w:t>
            </w:r>
          </w:p>
        </w:tc>
        <w:tc>
          <w:tcPr>
            <w:tcW w:w="1019" w:type="dxa"/>
            <w:tcBorders>
              <w:top w:val="nil"/>
              <w:left w:val="nil"/>
              <w:bottom w:val="nil"/>
              <w:right w:val="nil"/>
            </w:tcBorders>
            <w:noWrap/>
            <w:vAlign w:val="bottom"/>
            <w:hideMark/>
          </w:tcPr>
          <w:p w14:paraId="588C5F0A" w14:textId="77777777" w:rsidR="00677577" w:rsidRPr="00BB4D6B" w:rsidRDefault="00677577" w:rsidP="00E05632">
            <w:pPr>
              <w:spacing w:after="0" w:line="240" w:lineRule="auto"/>
              <w:jc w:val="right"/>
              <w:rPr>
                <w:sz w:val="20"/>
                <w:szCs w:val="20"/>
              </w:rPr>
            </w:pPr>
            <w:r w:rsidRPr="00BB4D6B">
              <w:rPr>
                <w:sz w:val="20"/>
                <w:szCs w:val="20"/>
              </w:rPr>
              <w:t>10%</w:t>
            </w:r>
          </w:p>
        </w:tc>
        <w:tc>
          <w:tcPr>
            <w:tcW w:w="1020" w:type="dxa"/>
            <w:tcBorders>
              <w:top w:val="nil"/>
              <w:left w:val="nil"/>
              <w:bottom w:val="nil"/>
              <w:right w:val="single" w:sz="4" w:space="0" w:color="auto"/>
            </w:tcBorders>
            <w:noWrap/>
            <w:vAlign w:val="bottom"/>
            <w:hideMark/>
          </w:tcPr>
          <w:p w14:paraId="1C26E04C" w14:textId="77777777" w:rsidR="00677577" w:rsidRPr="00BB4D6B" w:rsidRDefault="00677577" w:rsidP="00E05632">
            <w:pPr>
              <w:spacing w:after="0" w:line="240" w:lineRule="auto"/>
              <w:jc w:val="right"/>
              <w:rPr>
                <w:sz w:val="20"/>
                <w:szCs w:val="20"/>
              </w:rPr>
            </w:pPr>
            <w:r w:rsidRPr="00BB4D6B">
              <w:rPr>
                <w:sz w:val="20"/>
                <w:szCs w:val="20"/>
              </w:rPr>
              <w:t>28%</w:t>
            </w:r>
          </w:p>
        </w:tc>
        <w:tc>
          <w:tcPr>
            <w:tcW w:w="1019" w:type="dxa"/>
            <w:tcBorders>
              <w:top w:val="nil"/>
              <w:left w:val="single" w:sz="4" w:space="0" w:color="auto"/>
              <w:bottom w:val="nil"/>
              <w:right w:val="nil"/>
            </w:tcBorders>
            <w:noWrap/>
            <w:vAlign w:val="bottom"/>
            <w:hideMark/>
          </w:tcPr>
          <w:p w14:paraId="1A777909" w14:textId="77777777" w:rsidR="00677577" w:rsidRPr="00BB4D6B" w:rsidRDefault="00677577" w:rsidP="00E05632">
            <w:pPr>
              <w:spacing w:after="0" w:line="240" w:lineRule="auto"/>
              <w:jc w:val="right"/>
              <w:rPr>
                <w:sz w:val="20"/>
                <w:szCs w:val="20"/>
              </w:rPr>
            </w:pPr>
            <w:r w:rsidRPr="00BB4D6B">
              <w:rPr>
                <w:sz w:val="20"/>
                <w:szCs w:val="20"/>
              </w:rPr>
              <w:t>1.9%</w:t>
            </w:r>
          </w:p>
        </w:tc>
        <w:tc>
          <w:tcPr>
            <w:tcW w:w="1019" w:type="dxa"/>
            <w:tcBorders>
              <w:top w:val="nil"/>
              <w:left w:val="nil"/>
              <w:bottom w:val="nil"/>
              <w:right w:val="nil"/>
            </w:tcBorders>
            <w:noWrap/>
            <w:vAlign w:val="bottom"/>
            <w:hideMark/>
          </w:tcPr>
          <w:p w14:paraId="746B154C" w14:textId="77777777" w:rsidR="00677577" w:rsidRPr="00BB4D6B" w:rsidRDefault="00677577" w:rsidP="00E05632">
            <w:pPr>
              <w:spacing w:after="0" w:line="240" w:lineRule="auto"/>
              <w:jc w:val="right"/>
              <w:rPr>
                <w:sz w:val="20"/>
                <w:szCs w:val="20"/>
              </w:rPr>
            </w:pPr>
            <w:r w:rsidRPr="00BB4D6B">
              <w:rPr>
                <w:sz w:val="20"/>
                <w:szCs w:val="20"/>
              </w:rPr>
              <w:t>1.9%</w:t>
            </w:r>
          </w:p>
        </w:tc>
        <w:tc>
          <w:tcPr>
            <w:tcW w:w="1019" w:type="dxa"/>
            <w:tcBorders>
              <w:top w:val="nil"/>
              <w:left w:val="nil"/>
              <w:bottom w:val="nil"/>
              <w:right w:val="nil"/>
            </w:tcBorders>
            <w:noWrap/>
            <w:vAlign w:val="bottom"/>
            <w:hideMark/>
          </w:tcPr>
          <w:p w14:paraId="4B1D0C4E" w14:textId="77777777" w:rsidR="00677577" w:rsidRPr="00BB4D6B" w:rsidRDefault="00677577" w:rsidP="00E05632">
            <w:pPr>
              <w:spacing w:after="0" w:line="240" w:lineRule="auto"/>
              <w:jc w:val="right"/>
              <w:rPr>
                <w:sz w:val="20"/>
                <w:szCs w:val="20"/>
              </w:rPr>
            </w:pPr>
            <w:r w:rsidRPr="00BB4D6B">
              <w:rPr>
                <w:sz w:val="20"/>
                <w:szCs w:val="20"/>
              </w:rPr>
              <w:t>1.8%</w:t>
            </w:r>
          </w:p>
        </w:tc>
        <w:tc>
          <w:tcPr>
            <w:tcW w:w="1019" w:type="dxa"/>
            <w:tcBorders>
              <w:top w:val="nil"/>
              <w:left w:val="nil"/>
              <w:bottom w:val="nil"/>
              <w:right w:val="single" w:sz="4" w:space="0" w:color="auto"/>
            </w:tcBorders>
            <w:noWrap/>
            <w:vAlign w:val="bottom"/>
            <w:hideMark/>
          </w:tcPr>
          <w:p w14:paraId="346DE461" w14:textId="77777777" w:rsidR="00677577" w:rsidRPr="00BB4D6B" w:rsidRDefault="00677577" w:rsidP="00E05632">
            <w:pPr>
              <w:spacing w:after="0" w:line="240" w:lineRule="auto"/>
              <w:jc w:val="right"/>
              <w:rPr>
                <w:sz w:val="20"/>
                <w:szCs w:val="20"/>
              </w:rPr>
            </w:pPr>
            <w:r w:rsidRPr="00BB4D6B">
              <w:rPr>
                <w:sz w:val="20"/>
                <w:szCs w:val="20"/>
              </w:rPr>
              <w:t>2.0%</w:t>
            </w:r>
          </w:p>
        </w:tc>
      </w:tr>
      <w:tr w:rsidR="00677577" w:rsidRPr="00167CB8" w14:paraId="39C68EF8" w14:textId="77777777">
        <w:trPr>
          <w:trHeight w:val="371"/>
        </w:trPr>
        <w:tc>
          <w:tcPr>
            <w:tcW w:w="4160" w:type="dxa"/>
            <w:tcBorders>
              <w:top w:val="nil"/>
              <w:left w:val="single" w:sz="4" w:space="0" w:color="auto"/>
              <w:bottom w:val="single" w:sz="4" w:space="0" w:color="auto"/>
              <w:right w:val="nil"/>
            </w:tcBorders>
            <w:vAlign w:val="bottom"/>
            <w:hideMark/>
          </w:tcPr>
          <w:p w14:paraId="690691D4" w14:textId="77777777" w:rsidR="00677577" w:rsidRPr="00BB4D6B" w:rsidRDefault="00677577">
            <w:pPr>
              <w:spacing w:after="0" w:line="240" w:lineRule="auto"/>
              <w:rPr>
                <w:sz w:val="20"/>
                <w:szCs w:val="20"/>
              </w:rPr>
            </w:pPr>
            <w:r w:rsidRPr="00BB4D6B">
              <w:rPr>
                <w:sz w:val="20"/>
                <w:szCs w:val="20"/>
              </w:rPr>
              <w:t xml:space="preserve">Other services </w:t>
            </w:r>
          </w:p>
        </w:tc>
        <w:tc>
          <w:tcPr>
            <w:tcW w:w="933" w:type="dxa"/>
            <w:tcBorders>
              <w:top w:val="nil"/>
              <w:left w:val="nil"/>
              <w:bottom w:val="single" w:sz="4" w:space="0" w:color="auto"/>
              <w:right w:val="nil"/>
            </w:tcBorders>
            <w:noWrap/>
            <w:vAlign w:val="bottom"/>
            <w:hideMark/>
          </w:tcPr>
          <w:p w14:paraId="3C155DB0" w14:textId="77777777" w:rsidR="00677577" w:rsidRPr="00BB4D6B" w:rsidRDefault="00677577" w:rsidP="00E05632">
            <w:pPr>
              <w:spacing w:after="0" w:line="240" w:lineRule="auto"/>
              <w:jc w:val="right"/>
              <w:rPr>
                <w:sz w:val="20"/>
                <w:szCs w:val="20"/>
              </w:rPr>
            </w:pPr>
            <w:r w:rsidRPr="00BB4D6B">
              <w:rPr>
                <w:sz w:val="20"/>
                <w:szCs w:val="20"/>
              </w:rPr>
              <w:t>19%</w:t>
            </w:r>
          </w:p>
        </w:tc>
        <w:tc>
          <w:tcPr>
            <w:tcW w:w="933" w:type="dxa"/>
            <w:tcBorders>
              <w:top w:val="nil"/>
              <w:left w:val="nil"/>
              <w:bottom w:val="single" w:sz="4" w:space="0" w:color="auto"/>
              <w:right w:val="nil"/>
            </w:tcBorders>
            <w:noWrap/>
            <w:vAlign w:val="bottom"/>
            <w:hideMark/>
          </w:tcPr>
          <w:p w14:paraId="1AB80374" w14:textId="77777777" w:rsidR="00677577" w:rsidRPr="00BB4D6B" w:rsidRDefault="00677577" w:rsidP="00E05632">
            <w:pPr>
              <w:spacing w:after="0" w:line="240" w:lineRule="auto"/>
              <w:jc w:val="right"/>
              <w:rPr>
                <w:sz w:val="20"/>
                <w:szCs w:val="20"/>
              </w:rPr>
            </w:pPr>
            <w:r w:rsidRPr="00BB4D6B">
              <w:rPr>
                <w:sz w:val="20"/>
                <w:szCs w:val="20"/>
              </w:rPr>
              <w:t>16%</w:t>
            </w:r>
          </w:p>
        </w:tc>
        <w:tc>
          <w:tcPr>
            <w:tcW w:w="934" w:type="dxa"/>
            <w:tcBorders>
              <w:top w:val="nil"/>
              <w:left w:val="nil"/>
              <w:bottom w:val="single" w:sz="4" w:space="0" w:color="auto"/>
              <w:right w:val="single" w:sz="4" w:space="0" w:color="auto"/>
            </w:tcBorders>
            <w:noWrap/>
            <w:vAlign w:val="bottom"/>
            <w:hideMark/>
          </w:tcPr>
          <w:p w14:paraId="20693CCE" w14:textId="77777777" w:rsidR="00677577" w:rsidRPr="00BB4D6B" w:rsidRDefault="00677577" w:rsidP="00E05632">
            <w:pPr>
              <w:spacing w:after="0" w:line="240" w:lineRule="auto"/>
              <w:jc w:val="right"/>
              <w:rPr>
                <w:sz w:val="20"/>
                <w:szCs w:val="20"/>
              </w:rPr>
            </w:pPr>
            <w:r w:rsidRPr="00BB4D6B">
              <w:rPr>
                <w:sz w:val="20"/>
                <w:szCs w:val="20"/>
              </w:rPr>
              <w:t>22%</w:t>
            </w:r>
          </w:p>
        </w:tc>
        <w:tc>
          <w:tcPr>
            <w:tcW w:w="1019" w:type="dxa"/>
            <w:tcBorders>
              <w:top w:val="nil"/>
              <w:left w:val="single" w:sz="4" w:space="0" w:color="auto"/>
              <w:bottom w:val="single" w:sz="4" w:space="0" w:color="auto"/>
              <w:right w:val="nil"/>
            </w:tcBorders>
            <w:noWrap/>
            <w:vAlign w:val="bottom"/>
            <w:hideMark/>
          </w:tcPr>
          <w:p w14:paraId="004E5F24" w14:textId="77777777" w:rsidR="00677577" w:rsidRPr="00BB4D6B" w:rsidRDefault="00677577" w:rsidP="00E05632">
            <w:pPr>
              <w:spacing w:after="0" w:line="240" w:lineRule="auto"/>
              <w:jc w:val="right"/>
              <w:rPr>
                <w:sz w:val="20"/>
                <w:szCs w:val="20"/>
              </w:rPr>
            </w:pPr>
            <w:r w:rsidRPr="00BB4D6B">
              <w:rPr>
                <w:sz w:val="20"/>
                <w:szCs w:val="20"/>
              </w:rPr>
              <w:t>1%</w:t>
            </w:r>
          </w:p>
        </w:tc>
        <w:tc>
          <w:tcPr>
            <w:tcW w:w="1019" w:type="dxa"/>
            <w:tcBorders>
              <w:top w:val="nil"/>
              <w:left w:val="nil"/>
              <w:bottom w:val="single" w:sz="4" w:space="0" w:color="auto"/>
              <w:right w:val="nil"/>
            </w:tcBorders>
            <w:noWrap/>
            <w:vAlign w:val="bottom"/>
            <w:hideMark/>
          </w:tcPr>
          <w:p w14:paraId="59A4934F" w14:textId="77777777" w:rsidR="00677577" w:rsidRPr="00BB4D6B" w:rsidRDefault="00677577" w:rsidP="00E05632">
            <w:pPr>
              <w:spacing w:after="0" w:line="240" w:lineRule="auto"/>
              <w:jc w:val="right"/>
              <w:rPr>
                <w:sz w:val="20"/>
                <w:szCs w:val="20"/>
              </w:rPr>
            </w:pPr>
            <w:r w:rsidRPr="00BB4D6B">
              <w:rPr>
                <w:sz w:val="20"/>
                <w:szCs w:val="20"/>
              </w:rPr>
              <w:t>3%</w:t>
            </w:r>
          </w:p>
        </w:tc>
        <w:tc>
          <w:tcPr>
            <w:tcW w:w="1020" w:type="dxa"/>
            <w:tcBorders>
              <w:top w:val="nil"/>
              <w:left w:val="nil"/>
              <w:bottom w:val="single" w:sz="4" w:space="0" w:color="auto"/>
              <w:right w:val="single" w:sz="4" w:space="0" w:color="auto"/>
            </w:tcBorders>
            <w:noWrap/>
            <w:vAlign w:val="bottom"/>
            <w:hideMark/>
          </w:tcPr>
          <w:p w14:paraId="19B4367D" w14:textId="77777777" w:rsidR="00677577" w:rsidRPr="00BB4D6B" w:rsidRDefault="00677577" w:rsidP="00E05632">
            <w:pPr>
              <w:spacing w:after="0" w:line="240" w:lineRule="auto"/>
              <w:jc w:val="right"/>
              <w:rPr>
                <w:sz w:val="20"/>
                <w:szCs w:val="20"/>
              </w:rPr>
            </w:pPr>
            <w:r w:rsidRPr="00BB4D6B">
              <w:rPr>
                <w:sz w:val="20"/>
                <w:szCs w:val="20"/>
              </w:rPr>
              <w:t>-3%</w:t>
            </w:r>
          </w:p>
        </w:tc>
        <w:tc>
          <w:tcPr>
            <w:tcW w:w="1019" w:type="dxa"/>
            <w:tcBorders>
              <w:top w:val="nil"/>
              <w:left w:val="single" w:sz="4" w:space="0" w:color="auto"/>
              <w:bottom w:val="single" w:sz="4" w:space="0" w:color="auto"/>
              <w:right w:val="nil"/>
            </w:tcBorders>
            <w:noWrap/>
            <w:vAlign w:val="bottom"/>
            <w:hideMark/>
          </w:tcPr>
          <w:p w14:paraId="319B13C8" w14:textId="77777777" w:rsidR="00677577" w:rsidRPr="00BB4D6B" w:rsidRDefault="00677577" w:rsidP="00E05632">
            <w:pPr>
              <w:spacing w:after="0" w:line="240" w:lineRule="auto"/>
              <w:jc w:val="right"/>
              <w:rPr>
                <w:sz w:val="20"/>
                <w:szCs w:val="20"/>
              </w:rPr>
            </w:pPr>
            <w:r w:rsidRPr="00BB4D6B">
              <w:rPr>
                <w:sz w:val="20"/>
                <w:szCs w:val="20"/>
              </w:rPr>
              <w:t>4.1%</w:t>
            </w:r>
          </w:p>
        </w:tc>
        <w:tc>
          <w:tcPr>
            <w:tcW w:w="1019" w:type="dxa"/>
            <w:tcBorders>
              <w:top w:val="nil"/>
              <w:left w:val="nil"/>
              <w:bottom w:val="single" w:sz="4" w:space="0" w:color="auto"/>
              <w:right w:val="nil"/>
            </w:tcBorders>
            <w:noWrap/>
            <w:vAlign w:val="bottom"/>
            <w:hideMark/>
          </w:tcPr>
          <w:p w14:paraId="2552A63E" w14:textId="77777777" w:rsidR="00677577" w:rsidRPr="00BB4D6B" w:rsidRDefault="00677577" w:rsidP="00E05632">
            <w:pPr>
              <w:spacing w:after="0" w:line="240" w:lineRule="auto"/>
              <w:jc w:val="right"/>
              <w:rPr>
                <w:sz w:val="20"/>
                <w:szCs w:val="20"/>
              </w:rPr>
            </w:pPr>
            <w:r w:rsidRPr="00BB4D6B">
              <w:rPr>
                <w:sz w:val="20"/>
                <w:szCs w:val="20"/>
              </w:rPr>
              <w:t>3.6%</w:t>
            </w:r>
          </w:p>
        </w:tc>
        <w:tc>
          <w:tcPr>
            <w:tcW w:w="1019" w:type="dxa"/>
            <w:tcBorders>
              <w:top w:val="nil"/>
              <w:left w:val="nil"/>
              <w:bottom w:val="single" w:sz="4" w:space="0" w:color="auto"/>
              <w:right w:val="nil"/>
            </w:tcBorders>
            <w:noWrap/>
            <w:vAlign w:val="bottom"/>
            <w:hideMark/>
          </w:tcPr>
          <w:p w14:paraId="6EC0500B" w14:textId="77777777" w:rsidR="00677577" w:rsidRPr="00BB4D6B" w:rsidRDefault="00677577" w:rsidP="00E05632">
            <w:pPr>
              <w:spacing w:after="0" w:line="240" w:lineRule="auto"/>
              <w:jc w:val="right"/>
              <w:rPr>
                <w:sz w:val="20"/>
                <w:szCs w:val="20"/>
              </w:rPr>
            </w:pPr>
            <w:r w:rsidRPr="00BB4D6B">
              <w:rPr>
                <w:sz w:val="20"/>
                <w:szCs w:val="20"/>
              </w:rPr>
              <w:t>3.9%</w:t>
            </w:r>
          </w:p>
        </w:tc>
        <w:tc>
          <w:tcPr>
            <w:tcW w:w="1019" w:type="dxa"/>
            <w:tcBorders>
              <w:top w:val="nil"/>
              <w:left w:val="nil"/>
              <w:bottom w:val="single" w:sz="4" w:space="0" w:color="auto"/>
              <w:right w:val="single" w:sz="4" w:space="0" w:color="auto"/>
            </w:tcBorders>
            <w:noWrap/>
            <w:vAlign w:val="bottom"/>
            <w:hideMark/>
          </w:tcPr>
          <w:p w14:paraId="62CBA6B0" w14:textId="77777777" w:rsidR="00677577" w:rsidRPr="00BB4D6B" w:rsidRDefault="00677577" w:rsidP="00E05632">
            <w:pPr>
              <w:spacing w:after="0" w:line="240" w:lineRule="auto"/>
              <w:jc w:val="right"/>
              <w:rPr>
                <w:sz w:val="20"/>
                <w:szCs w:val="20"/>
              </w:rPr>
            </w:pPr>
            <w:r w:rsidRPr="00BB4D6B">
              <w:rPr>
                <w:sz w:val="20"/>
                <w:szCs w:val="20"/>
              </w:rPr>
              <w:t>3.2%</w:t>
            </w:r>
          </w:p>
        </w:tc>
      </w:tr>
      <w:tr w:rsidR="00677577" w:rsidRPr="00167CB8" w14:paraId="33F82761" w14:textId="77777777">
        <w:trPr>
          <w:trHeight w:val="371"/>
        </w:trPr>
        <w:tc>
          <w:tcPr>
            <w:tcW w:w="4160" w:type="dxa"/>
            <w:tcBorders>
              <w:top w:val="single" w:sz="4" w:space="0" w:color="auto"/>
              <w:left w:val="single" w:sz="4" w:space="0" w:color="auto"/>
              <w:bottom w:val="single" w:sz="4" w:space="0" w:color="auto"/>
              <w:right w:val="nil"/>
            </w:tcBorders>
            <w:noWrap/>
            <w:vAlign w:val="bottom"/>
            <w:hideMark/>
          </w:tcPr>
          <w:p w14:paraId="1167A28D" w14:textId="77777777" w:rsidR="00677577" w:rsidRPr="00BB4D6B" w:rsidRDefault="00677577">
            <w:pPr>
              <w:spacing w:after="0" w:line="240" w:lineRule="auto"/>
              <w:rPr>
                <w:sz w:val="20"/>
                <w:szCs w:val="20"/>
              </w:rPr>
            </w:pPr>
            <w:r w:rsidRPr="00BB4D6B">
              <w:rPr>
                <w:sz w:val="20"/>
                <w:szCs w:val="20"/>
              </w:rPr>
              <w:t>Total (All industries)</w:t>
            </w:r>
          </w:p>
        </w:tc>
        <w:tc>
          <w:tcPr>
            <w:tcW w:w="933" w:type="dxa"/>
            <w:tcBorders>
              <w:top w:val="single" w:sz="4" w:space="0" w:color="auto"/>
              <w:left w:val="nil"/>
              <w:bottom w:val="single" w:sz="4" w:space="0" w:color="auto"/>
              <w:right w:val="nil"/>
            </w:tcBorders>
            <w:noWrap/>
            <w:vAlign w:val="bottom"/>
            <w:hideMark/>
          </w:tcPr>
          <w:p w14:paraId="4FD3C89F" w14:textId="77777777" w:rsidR="00677577" w:rsidRPr="00BB4D6B" w:rsidRDefault="00677577" w:rsidP="00E05632">
            <w:pPr>
              <w:spacing w:after="0" w:line="240" w:lineRule="auto"/>
              <w:jc w:val="right"/>
              <w:rPr>
                <w:sz w:val="20"/>
                <w:szCs w:val="20"/>
              </w:rPr>
            </w:pPr>
            <w:r w:rsidRPr="00BB4D6B">
              <w:rPr>
                <w:sz w:val="20"/>
                <w:szCs w:val="20"/>
              </w:rPr>
              <w:t>16%</w:t>
            </w:r>
          </w:p>
        </w:tc>
        <w:tc>
          <w:tcPr>
            <w:tcW w:w="933" w:type="dxa"/>
            <w:tcBorders>
              <w:top w:val="single" w:sz="4" w:space="0" w:color="auto"/>
              <w:left w:val="nil"/>
              <w:bottom w:val="single" w:sz="4" w:space="0" w:color="auto"/>
              <w:right w:val="nil"/>
            </w:tcBorders>
            <w:noWrap/>
            <w:vAlign w:val="bottom"/>
            <w:hideMark/>
          </w:tcPr>
          <w:p w14:paraId="0AC46DF5" w14:textId="77777777" w:rsidR="00677577" w:rsidRPr="00BB4D6B" w:rsidRDefault="00677577" w:rsidP="00E05632">
            <w:pPr>
              <w:spacing w:after="0" w:line="240" w:lineRule="auto"/>
              <w:jc w:val="right"/>
              <w:rPr>
                <w:sz w:val="20"/>
                <w:szCs w:val="20"/>
              </w:rPr>
            </w:pPr>
            <w:r w:rsidRPr="00BB4D6B">
              <w:rPr>
                <w:sz w:val="20"/>
                <w:szCs w:val="20"/>
              </w:rPr>
              <w:t>16%</w:t>
            </w:r>
          </w:p>
        </w:tc>
        <w:tc>
          <w:tcPr>
            <w:tcW w:w="934" w:type="dxa"/>
            <w:tcBorders>
              <w:top w:val="single" w:sz="4" w:space="0" w:color="auto"/>
              <w:left w:val="nil"/>
              <w:bottom w:val="single" w:sz="4" w:space="0" w:color="auto"/>
              <w:right w:val="single" w:sz="4" w:space="0" w:color="auto"/>
            </w:tcBorders>
            <w:noWrap/>
            <w:vAlign w:val="bottom"/>
            <w:hideMark/>
          </w:tcPr>
          <w:p w14:paraId="2CBAFC96" w14:textId="77777777" w:rsidR="00677577" w:rsidRPr="00BB4D6B" w:rsidRDefault="00677577" w:rsidP="00E05632">
            <w:pPr>
              <w:spacing w:after="0" w:line="240" w:lineRule="auto"/>
              <w:jc w:val="right"/>
              <w:rPr>
                <w:sz w:val="20"/>
                <w:szCs w:val="20"/>
              </w:rPr>
            </w:pPr>
            <w:r w:rsidRPr="00BB4D6B">
              <w:rPr>
                <w:sz w:val="20"/>
                <w:szCs w:val="20"/>
              </w:rPr>
              <w:t>26%</w:t>
            </w:r>
          </w:p>
        </w:tc>
        <w:tc>
          <w:tcPr>
            <w:tcW w:w="1019" w:type="dxa"/>
            <w:tcBorders>
              <w:top w:val="single" w:sz="4" w:space="0" w:color="auto"/>
              <w:left w:val="single" w:sz="4" w:space="0" w:color="auto"/>
              <w:bottom w:val="single" w:sz="4" w:space="0" w:color="auto"/>
              <w:right w:val="nil"/>
            </w:tcBorders>
            <w:noWrap/>
            <w:vAlign w:val="bottom"/>
            <w:hideMark/>
          </w:tcPr>
          <w:p w14:paraId="1C78E342" w14:textId="77777777" w:rsidR="00677577" w:rsidRPr="00BB4D6B" w:rsidRDefault="00677577" w:rsidP="00E05632">
            <w:pPr>
              <w:spacing w:after="0" w:line="240" w:lineRule="auto"/>
              <w:jc w:val="right"/>
              <w:rPr>
                <w:sz w:val="20"/>
                <w:szCs w:val="20"/>
              </w:rPr>
            </w:pPr>
            <w:r w:rsidRPr="00BB4D6B">
              <w:rPr>
                <w:sz w:val="20"/>
                <w:szCs w:val="20"/>
              </w:rPr>
              <w:t>3%</w:t>
            </w:r>
          </w:p>
        </w:tc>
        <w:tc>
          <w:tcPr>
            <w:tcW w:w="1019" w:type="dxa"/>
            <w:tcBorders>
              <w:top w:val="single" w:sz="4" w:space="0" w:color="auto"/>
              <w:left w:val="nil"/>
              <w:bottom w:val="single" w:sz="4" w:space="0" w:color="auto"/>
              <w:right w:val="nil"/>
            </w:tcBorders>
            <w:noWrap/>
            <w:vAlign w:val="bottom"/>
            <w:hideMark/>
          </w:tcPr>
          <w:p w14:paraId="64B30981" w14:textId="77777777" w:rsidR="00677577" w:rsidRPr="00BB4D6B" w:rsidRDefault="00677577" w:rsidP="00E05632">
            <w:pPr>
              <w:spacing w:after="0" w:line="240" w:lineRule="auto"/>
              <w:jc w:val="right"/>
              <w:rPr>
                <w:sz w:val="20"/>
                <w:szCs w:val="20"/>
              </w:rPr>
            </w:pPr>
            <w:r w:rsidRPr="00BB4D6B">
              <w:rPr>
                <w:sz w:val="20"/>
                <w:szCs w:val="20"/>
              </w:rPr>
              <w:t>6%</w:t>
            </w:r>
          </w:p>
        </w:tc>
        <w:tc>
          <w:tcPr>
            <w:tcW w:w="1020" w:type="dxa"/>
            <w:tcBorders>
              <w:top w:val="single" w:sz="4" w:space="0" w:color="auto"/>
              <w:left w:val="nil"/>
              <w:bottom w:val="single" w:sz="4" w:space="0" w:color="auto"/>
              <w:right w:val="single" w:sz="4" w:space="0" w:color="auto"/>
            </w:tcBorders>
            <w:noWrap/>
            <w:vAlign w:val="bottom"/>
            <w:hideMark/>
          </w:tcPr>
          <w:p w14:paraId="43809259" w14:textId="77777777" w:rsidR="00677577" w:rsidRPr="00BB4D6B" w:rsidRDefault="00677577" w:rsidP="00E05632">
            <w:pPr>
              <w:spacing w:after="0" w:line="240" w:lineRule="auto"/>
              <w:jc w:val="right"/>
              <w:rPr>
                <w:sz w:val="20"/>
                <w:szCs w:val="20"/>
              </w:rPr>
            </w:pPr>
            <w:r w:rsidRPr="00BB4D6B">
              <w:rPr>
                <w:sz w:val="20"/>
                <w:szCs w:val="20"/>
              </w:rPr>
              <w:t>6%</w:t>
            </w:r>
          </w:p>
        </w:tc>
        <w:tc>
          <w:tcPr>
            <w:tcW w:w="1019" w:type="dxa"/>
            <w:tcBorders>
              <w:top w:val="single" w:sz="4" w:space="0" w:color="auto"/>
              <w:left w:val="single" w:sz="4" w:space="0" w:color="auto"/>
              <w:bottom w:val="single" w:sz="4" w:space="0" w:color="auto"/>
              <w:right w:val="nil"/>
            </w:tcBorders>
            <w:noWrap/>
            <w:vAlign w:val="bottom"/>
            <w:hideMark/>
          </w:tcPr>
          <w:p w14:paraId="367B3D2B" w14:textId="77777777" w:rsidR="00677577" w:rsidRPr="00BB4D6B" w:rsidRDefault="00677577" w:rsidP="00E05632">
            <w:pPr>
              <w:spacing w:after="0" w:line="240" w:lineRule="auto"/>
              <w:jc w:val="right"/>
              <w:rPr>
                <w:sz w:val="20"/>
                <w:szCs w:val="20"/>
              </w:rPr>
            </w:pPr>
            <w:r w:rsidRPr="00BB4D6B">
              <w:rPr>
                <w:sz w:val="20"/>
                <w:szCs w:val="20"/>
              </w:rPr>
              <w:t>100.0%</w:t>
            </w:r>
          </w:p>
        </w:tc>
        <w:tc>
          <w:tcPr>
            <w:tcW w:w="1019" w:type="dxa"/>
            <w:tcBorders>
              <w:top w:val="single" w:sz="4" w:space="0" w:color="auto"/>
              <w:left w:val="nil"/>
              <w:bottom w:val="single" w:sz="4" w:space="0" w:color="auto"/>
              <w:right w:val="nil"/>
            </w:tcBorders>
            <w:noWrap/>
            <w:vAlign w:val="bottom"/>
            <w:hideMark/>
          </w:tcPr>
          <w:p w14:paraId="30E6767C" w14:textId="77777777" w:rsidR="00677577" w:rsidRPr="00BB4D6B" w:rsidRDefault="00677577" w:rsidP="00E05632">
            <w:pPr>
              <w:spacing w:after="0" w:line="240" w:lineRule="auto"/>
              <w:jc w:val="right"/>
              <w:rPr>
                <w:sz w:val="20"/>
                <w:szCs w:val="20"/>
              </w:rPr>
            </w:pPr>
            <w:r w:rsidRPr="00BB4D6B">
              <w:rPr>
                <w:sz w:val="20"/>
                <w:szCs w:val="20"/>
              </w:rPr>
              <w:t>100.0%</w:t>
            </w:r>
          </w:p>
        </w:tc>
        <w:tc>
          <w:tcPr>
            <w:tcW w:w="1019" w:type="dxa"/>
            <w:tcBorders>
              <w:top w:val="single" w:sz="4" w:space="0" w:color="auto"/>
              <w:left w:val="nil"/>
              <w:bottom w:val="single" w:sz="4" w:space="0" w:color="auto"/>
              <w:right w:val="nil"/>
            </w:tcBorders>
            <w:noWrap/>
            <w:vAlign w:val="bottom"/>
            <w:hideMark/>
          </w:tcPr>
          <w:p w14:paraId="145C410D" w14:textId="77777777" w:rsidR="00677577" w:rsidRPr="00BB4D6B" w:rsidRDefault="00677577" w:rsidP="00E05632">
            <w:pPr>
              <w:spacing w:after="0" w:line="240" w:lineRule="auto"/>
              <w:jc w:val="right"/>
              <w:rPr>
                <w:sz w:val="20"/>
                <w:szCs w:val="20"/>
              </w:rPr>
            </w:pPr>
            <w:r w:rsidRPr="00BB4D6B">
              <w:rPr>
                <w:sz w:val="20"/>
                <w:szCs w:val="20"/>
              </w:rPr>
              <w:t>100.0%</w:t>
            </w:r>
          </w:p>
        </w:tc>
        <w:tc>
          <w:tcPr>
            <w:tcW w:w="1019" w:type="dxa"/>
            <w:tcBorders>
              <w:top w:val="single" w:sz="4" w:space="0" w:color="auto"/>
              <w:left w:val="nil"/>
              <w:bottom w:val="single" w:sz="4" w:space="0" w:color="auto"/>
              <w:right w:val="single" w:sz="4" w:space="0" w:color="auto"/>
            </w:tcBorders>
            <w:noWrap/>
            <w:vAlign w:val="bottom"/>
            <w:hideMark/>
          </w:tcPr>
          <w:p w14:paraId="32384692" w14:textId="77777777" w:rsidR="00677577" w:rsidRPr="00BB4D6B" w:rsidRDefault="00677577" w:rsidP="00E05632">
            <w:pPr>
              <w:spacing w:after="0" w:line="240" w:lineRule="auto"/>
              <w:jc w:val="right"/>
              <w:rPr>
                <w:sz w:val="20"/>
                <w:szCs w:val="20"/>
              </w:rPr>
            </w:pPr>
            <w:r w:rsidRPr="00BB4D6B">
              <w:rPr>
                <w:sz w:val="20"/>
                <w:szCs w:val="20"/>
              </w:rPr>
              <w:t>100.0%</w:t>
            </w:r>
          </w:p>
        </w:tc>
      </w:tr>
    </w:tbl>
    <w:p w14:paraId="10C7F2F7" w14:textId="77777777" w:rsidR="0011475D" w:rsidRDefault="00677577" w:rsidP="00677577">
      <w:pPr>
        <w:pStyle w:val="Source"/>
        <w:spacing w:after="0" w:line="240" w:lineRule="auto"/>
      </w:pPr>
      <w:r w:rsidRPr="00167CB8">
        <w:rPr>
          <w:b/>
          <w:bCs/>
        </w:rPr>
        <w:t>Source:</w:t>
      </w:r>
      <w:r w:rsidRPr="00167CB8">
        <w:t xml:space="preserve"> ABS Labour Force, Australia, Detailed (Cat No 6291.0.55.001), Table 4. Seasonally adjusted data.</w:t>
      </w:r>
    </w:p>
    <w:p w14:paraId="21397CB9" w14:textId="20D11965" w:rsidR="00677577" w:rsidRPr="00167CB8" w:rsidRDefault="00677577" w:rsidP="00677577">
      <w:pPr>
        <w:sectPr w:rsidR="00677577" w:rsidRPr="00167CB8" w:rsidSect="00677577">
          <w:pgSz w:w="16838" w:h="11906" w:orient="landscape"/>
          <w:pgMar w:top="1440" w:right="1440" w:bottom="1440" w:left="1440" w:header="708" w:footer="708" w:gutter="0"/>
          <w:cols w:space="720"/>
        </w:sectPr>
      </w:pPr>
    </w:p>
    <w:p w14:paraId="35728BF1" w14:textId="1BAE9786" w:rsidR="00677577" w:rsidRPr="00167CB8" w:rsidRDefault="00365C93" w:rsidP="007F380D">
      <w:pPr>
        <w:pStyle w:val="Caption"/>
      </w:pPr>
      <w:bookmarkStart w:id="766" w:name="_Ref184403902"/>
      <w:bookmarkStart w:id="767" w:name="_Toc186991803"/>
      <w:bookmarkStart w:id="768" w:name="_Toc189310854"/>
      <w:bookmarkStart w:id="769" w:name="_Toc194251452"/>
      <w:r>
        <w:lastRenderedPageBreak/>
        <w:t xml:space="preserve">Table </w:t>
      </w:r>
      <w:r>
        <w:fldChar w:fldCharType="begin"/>
      </w:r>
      <w:r>
        <w:instrText xml:space="preserve"> SEQ Table \* ARABIC </w:instrText>
      </w:r>
      <w:r>
        <w:fldChar w:fldCharType="separate"/>
      </w:r>
      <w:r w:rsidR="00DE5F5E">
        <w:rPr>
          <w:noProof/>
        </w:rPr>
        <w:t>28</w:t>
      </w:r>
      <w:r>
        <w:fldChar w:fldCharType="end"/>
      </w:r>
      <w:r>
        <w:t xml:space="preserve">: </w:t>
      </w:r>
      <w:bookmarkEnd w:id="766"/>
      <w:r w:rsidR="00677577" w:rsidRPr="00167CB8">
        <w:t xml:space="preserve">Employment growth by </w:t>
      </w:r>
      <w:r>
        <w:t>one</w:t>
      </w:r>
      <w:r w:rsidR="00677577" w:rsidRPr="00167CB8">
        <w:t>-digit occupation division and distribution of employment by occupation</w:t>
      </w:r>
      <w:r w:rsidR="00677577" w:rsidRPr="00167CB8" w:rsidDel="00A32FB1">
        <w:t xml:space="preserve">, </w:t>
      </w:r>
      <w:r w:rsidR="00677577" w:rsidRPr="00760C71" w:rsidDel="00A32FB1">
        <w:t>Australia</w:t>
      </w:r>
      <w:bookmarkEnd w:id="767"/>
      <w:bookmarkEnd w:id="768"/>
      <w:bookmarkEnd w:id="769"/>
    </w:p>
    <w:tbl>
      <w:tblPr>
        <w:tblW w:w="13801" w:type="dxa"/>
        <w:tblLook w:val="04A0" w:firstRow="1" w:lastRow="0" w:firstColumn="1" w:lastColumn="0" w:noHBand="0" w:noVBand="1"/>
      </w:tblPr>
      <w:tblGrid>
        <w:gridCol w:w="2526"/>
        <w:gridCol w:w="1273"/>
        <w:gridCol w:w="1465"/>
        <w:gridCol w:w="1332"/>
        <w:gridCol w:w="1287"/>
        <w:gridCol w:w="1520"/>
        <w:gridCol w:w="1010"/>
        <w:gridCol w:w="1188"/>
        <w:gridCol w:w="1166"/>
        <w:gridCol w:w="1044"/>
      </w:tblGrid>
      <w:tr w:rsidR="00677577" w:rsidRPr="00365C93" w14:paraId="399CE11B" w14:textId="77777777">
        <w:trPr>
          <w:trHeight w:val="873"/>
        </w:trPr>
        <w:tc>
          <w:tcPr>
            <w:tcW w:w="2526" w:type="dxa"/>
            <w:tcBorders>
              <w:top w:val="single" w:sz="4" w:space="0" w:color="auto"/>
              <w:left w:val="single" w:sz="4" w:space="0" w:color="auto"/>
              <w:bottom w:val="single" w:sz="4" w:space="0" w:color="auto"/>
              <w:right w:val="nil"/>
            </w:tcBorders>
            <w:noWrap/>
            <w:vAlign w:val="bottom"/>
            <w:hideMark/>
          </w:tcPr>
          <w:p w14:paraId="066F6203" w14:textId="77777777" w:rsidR="00677577" w:rsidRPr="00E05632" w:rsidRDefault="00677577">
            <w:pPr>
              <w:spacing w:after="0" w:line="240" w:lineRule="auto"/>
              <w:rPr>
                <w:b/>
                <w:bCs/>
                <w:sz w:val="20"/>
                <w:szCs w:val="20"/>
              </w:rPr>
            </w:pPr>
          </w:p>
        </w:tc>
        <w:tc>
          <w:tcPr>
            <w:tcW w:w="1273" w:type="dxa"/>
            <w:tcBorders>
              <w:top w:val="single" w:sz="4" w:space="0" w:color="auto"/>
              <w:left w:val="nil"/>
              <w:bottom w:val="single" w:sz="4" w:space="0" w:color="auto"/>
              <w:right w:val="nil"/>
            </w:tcBorders>
            <w:hideMark/>
          </w:tcPr>
          <w:p w14:paraId="7A0FCF2C" w14:textId="77777777" w:rsidR="00677577" w:rsidRPr="00E05632" w:rsidRDefault="00677577" w:rsidP="00E05632">
            <w:pPr>
              <w:spacing w:after="0" w:line="240" w:lineRule="auto"/>
              <w:jc w:val="right"/>
              <w:rPr>
                <w:b/>
                <w:bCs/>
                <w:sz w:val="18"/>
                <w:szCs w:val="18"/>
              </w:rPr>
            </w:pPr>
            <w:r w:rsidRPr="00E05632">
              <w:rPr>
                <w:b/>
                <w:bCs/>
                <w:sz w:val="18"/>
                <w:szCs w:val="18"/>
              </w:rPr>
              <w:t>Managers</w:t>
            </w:r>
          </w:p>
        </w:tc>
        <w:tc>
          <w:tcPr>
            <w:tcW w:w="1465" w:type="dxa"/>
            <w:tcBorders>
              <w:top w:val="single" w:sz="4" w:space="0" w:color="auto"/>
              <w:left w:val="nil"/>
              <w:bottom w:val="single" w:sz="4" w:space="0" w:color="auto"/>
              <w:right w:val="nil"/>
            </w:tcBorders>
            <w:hideMark/>
          </w:tcPr>
          <w:p w14:paraId="4B8BD321" w14:textId="77777777" w:rsidR="00677577" w:rsidRPr="00E05632" w:rsidRDefault="00677577" w:rsidP="00E05632">
            <w:pPr>
              <w:spacing w:after="0" w:line="240" w:lineRule="auto"/>
              <w:jc w:val="right"/>
              <w:rPr>
                <w:b/>
                <w:bCs/>
                <w:sz w:val="18"/>
                <w:szCs w:val="18"/>
              </w:rPr>
            </w:pPr>
            <w:r w:rsidRPr="00E05632">
              <w:rPr>
                <w:b/>
                <w:bCs/>
                <w:sz w:val="18"/>
                <w:szCs w:val="18"/>
              </w:rPr>
              <w:t>Professionals</w:t>
            </w:r>
          </w:p>
        </w:tc>
        <w:tc>
          <w:tcPr>
            <w:tcW w:w="1332" w:type="dxa"/>
            <w:tcBorders>
              <w:top w:val="single" w:sz="4" w:space="0" w:color="auto"/>
              <w:left w:val="nil"/>
              <w:bottom w:val="single" w:sz="4" w:space="0" w:color="auto"/>
              <w:right w:val="nil"/>
            </w:tcBorders>
            <w:hideMark/>
          </w:tcPr>
          <w:p w14:paraId="4E2F747A" w14:textId="77777777" w:rsidR="00677577" w:rsidRPr="00E05632" w:rsidRDefault="00677577" w:rsidP="00E05632">
            <w:pPr>
              <w:spacing w:after="0" w:line="240" w:lineRule="auto"/>
              <w:jc w:val="right"/>
              <w:rPr>
                <w:b/>
                <w:bCs/>
                <w:sz w:val="18"/>
                <w:szCs w:val="18"/>
              </w:rPr>
            </w:pPr>
            <w:r w:rsidRPr="00E05632">
              <w:rPr>
                <w:b/>
                <w:bCs/>
                <w:sz w:val="18"/>
                <w:szCs w:val="18"/>
              </w:rPr>
              <w:t>Technicians and trades workers</w:t>
            </w:r>
          </w:p>
        </w:tc>
        <w:tc>
          <w:tcPr>
            <w:tcW w:w="1277" w:type="dxa"/>
            <w:tcBorders>
              <w:top w:val="single" w:sz="4" w:space="0" w:color="auto"/>
              <w:left w:val="nil"/>
              <w:bottom w:val="single" w:sz="4" w:space="0" w:color="auto"/>
              <w:right w:val="nil"/>
            </w:tcBorders>
            <w:hideMark/>
          </w:tcPr>
          <w:p w14:paraId="0D943DD8" w14:textId="3A7DDEB4" w:rsidR="00677577" w:rsidRPr="00E05632" w:rsidRDefault="00677577" w:rsidP="00E05632">
            <w:pPr>
              <w:spacing w:after="0" w:line="240" w:lineRule="auto"/>
              <w:jc w:val="right"/>
              <w:rPr>
                <w:b/>
                <w:bCs/>
                <w:sz w:val="18"/>
                <w:szCs w:val="18"/>
              </w:rPr>
            </w:pPr>
            <w:r w:rsidRPr="00E05632">
              <w:rPr>
                <w:b/>
                <w:bCs/>
                <w:sz w:val="18"/>
                <w:szCs w:val="18"/>
              </w:rPr>
              <w:t>Community and</w:t>
            </w:r>
            <w:r w:rsidR="009657AC">
              <w:rPr>
                <w:b/>
                <w:bCs/>
                <w:sz w:val="18"/>
                <w:szCs w:val="18"/>
              </w:rPr>
              <w:t> </w:t>
            </w:r>
            <w:r w:rsidRPr="00E05632">
              <w:rPr>
                <w:b/>
                <w:bCs/>
                <w:sz w:val="18"/>
                <w:szCs w:val="18"/>
              </w:rPr>
              <w:t xml:space="preserve">personal </w:t>
            </w:r>
            <w:r w:rsidR="009657AC" w:rsidRPr="00E05632">
              <w:rPr>
                <w:b/>
                <w:bCs/>
                <w:sz w:val="18"/>
                <w:szCs w:val="18"/>
              </w:rPr>
              <w:t>service</w:t>
            </w:r>
            <w:r w:rsidR="009657AC">
              <w:rPr>
                <w:b/>
                <w:bCs/>
                <w:sz w:val="18"/>
                <w:szCs w:val="18"/>
              </w:rPr>
              <w:t xml:space="preserve"> </w:t>
            </w:r>
            <w:r w:rsidRPr="00E05632">
              <w:rPr>
                <w:b/>
                <w:bCs/>
                <w:sz w:val="18"/>
                <w:szCs w:val="18"/>
              </w:rPr>
              <w:t>workers</w:t>
            </w:r>
          </w:p>
        </w:tc>
        <w:tc>
          <w:tcPr>
            <w:tcW w:w="1520" w:type="dxa"/>
            <w:tcBorders>
              <w:top w:val="single" w:sz="4" w:space="0" w:color="auto"/>
              <w:left w:val="nil"/>
              <w:bottom w:val="single" w:sz="4" w:space="0" w:color="auto"/>
              <w:right w:val="nil"/>
            </w:tcBorders>
            <w:hideMark/>
          </w:tcPr>
          <w:p w14:paraId="0B1552ED" w14:textId="77777777" w:rsidR="00677577" w:rsidRPr="00E05632" w:rsidRDefault="00677577" w:rsidP="00E05632">
            <w:pPr>
              <w:spacing w:after="0" w:line="240" w:lineRule="auto"/>
              <w:jc w:val="right"/>
              <w:rPr>
                <w:b/>
                <w:bCs/>
                <w:sz w:val="18"/>
                <w:szCs w:val="18"/>
              </w:rPr>
            </w:pPr>
            <w:r w:rsidRPr="00E05632">
              <w:rPr>
                <w:b/>
                <w:bCs/>
                <w:sz w:val="18"/>
                <w:szCs w:val="18"/>
              </w:rPr>
              <w:t>Clerical and administrative workers</w:t>
            </w:r>
          </w:p>
        </w:tc>
        <w:tc>
          <w:tcPr>
            <w:tcW w:w="1010" w:type="dxa"/>
            <w:tcBorders>
              <w:top w:val="single" w:sz="4" w:space="0" w:color="auto"/>
              <w:left w:val="nil"/>
              <w:bottom w:val="single" w:sz="4" w:space="0" w:color="auto"/>
              <w:right w:val="nil"/>
            </w:tcBorders>
            <w:hideMark/>
          </w:tcPr>
          <w:p w14:paraId="4C1AFE34" w14:textId="77777777" w:rsidR="00677577" w:rsidRPr="00E05632" w:rsidRDefault="00677577" w:rsidP="00E05632">
            <w:pPr>
              <w:spacing w:after="0" w:line="240" w:lineRule="auto"/>
              <w:jc w:val="right"/>
              <w:rPr>
                <w:b/>
                <w:bCs/>
                <w:sz w:val="18"/>
                <w:szCs w:val="18"/>
              </w:rPr>
            </w:pPr>
            <w:r w:rsidRPr="00E05632">
              <w:rPr>
                <w:b/>
                <w:bCs/>
                <w:sz w:val="18"/>
                <w:szCs w:val="18"/>
              </w:rPr>
              <w:t>Sales workers</w:t>
            </w:r>
          </w:p>
        </w:tc>
        <w:tc>
          <w:tcPr>
            <w:tcW w:w="1188" w:type="dxa"/>
            <w:tcBorders>
              <w:top w:val="single" w:sz="4" w:space="0" w:color="auto"/>
              <w:left w:val="nil"/>
              <w:bottom w:val="single" w:sz="4" w:space="0" w:color="auto"/>
              <w:right w:val="nil"/>
            </w:tcBorders>
            <w:hideMark/>
          </w:tcPr>
          <w:p w14:paraId="4296DBE5" w14:textId="77777777" w:rsidR="00677577" w:rsidRPr="00E05632" w:rsidRDefault="00677577" w:rsidP="00E05632">
            <w:pPr>
              <w:spacing w:after="0" w:line="240" w:lineRule="auto"/>
              <w:jc w:val="right"/>
              <w:rPr>
                <w:b/>
                <w:bCs/>
                <w:sz w:val="18"/>
                <w:szCs w:val="18"/>
              </w:rPr>
            </w:pPr>
            <w:r w:rsidRPr="00E05632">
              <w:rPr>
                <w:b/>
                <w:bCs/>
                <w:sz w:val="18"/>
                <w:szCs w:val="18"/>
              </w:rPr>
              <w:t>Machinery operators and drivers</w:t>
            </w:r>
          </w:p>
        </w:tc>
        <w:tc>
          <w:tcPr>
            <w:tcW w:w="1166" w:type="dxa"/>
            <w:tcBorders>
              <w:top w:val="single" w:sz="4" w:space="0" w:color="auto"/>
              <w:left w:val="nil"/>
              <w:bottom w:val="single" w:sz="4" w:space="0" w:color="auto"/>
              <w:right w:val="nil"/>
            </w:tcBorders>
            <w:hideMark/>
          </w:tcPr>
          <w:p w14:paraId="307EB337" w14:textId="77777777" w:rsidR="00677577" w:rsidRPr="00E05632" w:rsidRDefault="00677577" w:rsidP="00E05632">
            <w:pPr>
              <w:spacing w:after="0" w:line="240" w:lineRule="auto"/>
              <w:jc w:val="right"/>
              <w:rPr>
                <w:b/>
                <w:bCs/>
                <w:sz w:val="18"/>
                <w:szCs w:val="18"/>
              </w:rPr>
            </w:pPr>
            <w:r w:rsidRPr="00E05632">
              <w:rPr>
                <w:b/>
                <w:bCs/>
                <w:sz w:val="18"/>
                <w:szCs w:val="18"/>
              </w:rPr>
              <w:t>Labourers</w:t>
            </w:r>
          </w:p>
        </w:tc>
        <w:tc>
          <w:tcPr>
            <w:tcW w:w="1044" w:type="dxa"/>
            <w:tcBorders>
              <w:top w:val="single" w:sz="4" w:space="0" w:color="auto"/>
              <w:left w:val="nil"/>
              <w:bottom w:val="single" w:sz="4" w:space="0" w:color="auto"/>
              <w:right w:val="single" w:sz="4" w:space="0" w:color="auto"/>
            </w:tcBorders>
            <w:hideMark/>
          </w:tcPr>
          <w:p w14:paraId="07AE025A" w14:textId="77777777" w:rsidR="00677577" w:rsidRPr="00E05632" w:rsidRDefault="00677577" w:rsidP="00E05632">
            <w:pPr>
              <w:spacing w:after="0" w:line="240" w:lineRule="auto"/>
              <w:jc w:val="right"/>
              <w:rPr>
                <w:b/>
                <w:bCs/>
                <w:sz w:val="18"/>
                <w:szCs w:val="18"/>
              </w:rPr>
            </w:pPr>
            <w:r w:rsidRPr="00E05632">
              <w:rPr>
                <w:b/>
                <w:bCs/>
                <w:sz w:val="18"/>
                <w:szCs w:val="18"/>
              </w:rPr>
              <w:t>Total</w:t>
            </w:r>
          </w:p>
        </w:tc>
      </w:tr>
      <w:tr w:rsidR="00677577" w:rsidRPr="00BB4D6B" w14:paraId="1FC58053" w14:textId="77777777">
        <w:trPr>
          <w:trHeight w:val="287"/>
        </w:trPr>
        <w:tc>
          <w:tcPr>
            <w:tcW w:w="2526" w:type="dxa"/>
            <w:tcBorders>
              <w:top w:val="single" w:sz="4" w:space="0" w:color="auto"/>
              <w:left w:val="single" w:sz="4" w:space="0" w:color="auto"/>
              <w:bottom w:val="nil"/>
              <w:right w:val="nil"/>
            </w:tcBorders>
            <w:noWrap/>
            <w:hideMark/>
          </w:tcPr>
          <w:p w14:paraId="52749B4E" w14:textId="77777777" w:rsidR="00677577" w:rsidRPr="00BB4D6B" w:rsidRDefault="00677577">
            <w:pPr>
              <w:spacing w:after="0" w:line="240" w:lineRule="auto"/>
              <w:rPr>
                <w:b/>
                <w:bCs/>
                <w:sz w:val="20"/>
                <w:szCs w:val="20"/>
              </w:rPr>
            </w:pPr>
            <w:r w:rsidRPr="00BB4D6B">
              <w:rPr>
                <w:b/>
                <w:bCs/>
                <w:sz w:val="20"/>
                <w:szCs w:val="20"/>
              </w:rPr>
              <w:t>Men</w:t>
            </w:r>
          </w:p>
        </w:tc>
        <w:tc>
          <w:tcPr>
            <w:tcW w:w="1273" w:type="dxa"/>
            <w:tcBorders>
              <w:top w:val="single" w:sz="4" w:space="0" w:color="auto"/>
              <w:left w:val="nil"/>
              <w:bottom w:val="nil"/>
              <w:right w:val="nil"/>
            </w:tcBorders>
            <w:hideMark/>
          </w:tcPr>
          <w:p w14:paraId="5E76D8A6" w14:textId="77777777" w:rsidR="00677577" w:rsidRPr="00BB4D6B" w:rsidRDefault="00677577" w:rsidP="00E05632">
            <w:pPr>
              <w:spacing w:after="0" w:line="240" w:lineRule="auto"/>
              <w:jc w:val="right"/>
              <w:rPr>
                <w:b/>
                <w:bCs/>
                <w:sz w:val="20"/>
                <w:szCs w:val="20"/>
              </w:rPr>
            </w:pPr>
          </w:p>
        </w:tc>
        <w:tc>
          <w:tcPr>
            <w:tcW w:w="1465" w:type="dxa"/>
            <w:tcBorders>
              <w:top w:val="single" w:sz="4" w:space="0" w:color="auto"/>
              <w:left w:val="nil"/>
              <w:bottom w:val="nil"/>
              <w:right w:val="nil"/>
            </w:tcBorders>
            <w:hideMark/>
          </w:tcPr>
          <w:p w14:paraId="106245EE" w14:textId="77777777" w:rsidR="00677577" w:rsidRPr="00BB4D6B" w:rsidRDefault="00677577" w:rsidP="00E05632">
            <w:pPr>
              <w:spacing w:after="0" w:line="240" w:lineRule="auto"/>
              <w:jc w:val="right"/>
              <w:rPr>
                <w:sz w:val="20"/>
                <w:szCs w:val="20"/>
              </w:rPr>
            </w:pPr>
          </w:p>
        </w:tc>
        <w:tc>
          <w:tcPr>
            <w:tcW w:w="1332" w:type="dxa"/>
            <w:tcBorders>
              <w:top w:val="single" w:sz="4" w:space="0" w:color="auto"/>
              <w:left w:val="nil"/>
              <w:bottom w:val="nil"/>
              <w:right w:val="nil"/>
            </w:tcBorders>
            <w:hideMark/>
          </w:tcPr>
          <w:p w14:paraId="252164F9" w14:textId="77777777" w:rsidR="00677577" w:rsidRPr="00BB4D6B" w:rsidRDefault="00677577" w:rsidP="00E05632">
            <w:pPr>
              <w:spacing w:after="0" w:line="240" w:lineRule="auto"/>
              <w:jc w:val="right"/>
              <w:rPr>
                <w:sz w:val="20"/>
                <w:szCs w:val="20"/>
              </w:rPr>
            </w:pPr>
          </w:p>
        </w:tc>
        <w:tc>
          <w:tcPr>
            <w:tcW w:w="1277" w:type="dxa"/>
            <w:tcBorders>
              <w:top w:val="single" w:sz="4" w:space="0" w:color="auto"/>
              <w:left w:val="nil"/>
              <w:bottom w:val="nil"/>
              <w:right w:val="nil"/>
            </w:tcBorders>
            <w:hideMark/>
          </w:tcPr>
          <w:p w14:paraId="0D2B7010" w14:textId="77777777" w:rsidR="00677577" w:rsidRPr="00BB4D6B" w:rsidRDefault="00677577" w:rsidP="00E05632">
            <w:pPr>
              <w:spacing w:after="0" w:line="240" w:lineRule="auto"/>
              <w:jc w:val="right"/>
              <w:rPr>
                <w:sz w:val="20"/>
                <w:szCs w:val="20"/>
              </w:rPr>
            </w:pPr>
          </w:p>
        </w:tc>
        <w:tc>
          <w:tcPr>
            <w:tcW w:w="1520" w:type="dxa"/>
            <w:tcBorders>
              <w:top w:val="single" w:sz="4" w:space="0" w:color="auto"/>
              <w:left w:val="nil"/>
              <w:bottom w:val="nil"/>
              <w:right w:val="nil"/>
            </w:tcBorders>
            <w:hideMark/>
          </w:tcPr>
          <w:p w14:paraId="5676D3DA" w14:textId="77777777" w:rsidR="00677577" w:rsidRPr="00BB4D6B" w:rsidRDefault="00677577" w:rsidP="00E05632">
            <w:pPr>
              <w:spacing w:after="0" w:line="240" w:lineRule="auto"/>
              <w:jc w:val="right"/>
              <w:rPr>
                <w:sz w:val="20"/>
                <w:szCs w:val="20"/>
              </w:rPr>
            </w:pPr>
          </w:p>
        </w:tc>
        <w:tc>
          <w:tcPr>
            <w:tcW w:w="1010" w:type="dxa"/>
            <w:tcBorders>
              <w:top w:val="single" w:sz="4" w:space="0" w:color="auto"/>
              <w:left w:val="nil"/>
              <w:bottom w:val="nil"/>
              <w:right w:val="nil"/>
            </w:tcBorders>
            <w:hideMark/>
          </w:tcPr>
          <w:p w14:paraId="27AA3B52" w14:textId="77777777" w:rsidR="00677577" w:rsidRPr="00BB4D6B" w:rsidRDefault="00677577" w:rsidP="00E05632">
            <w:pPr>
              <w:spacing w:after="0" w:line="240" w:lineRule="auto"/>
              <w:jc w:val="right"/>
              <w:rPr>
                <w:sz w:val="20"/>
                <w:szCs w:val="20"/>
              </w:rPr>
            </w:pPr>
          </w:p>
        </w:tc>
        <w:tc>
          <w:tcPr>
            <w:tcW w:w="1188" w:type="dxa"/>
            <w:tcBorders>
              <w:top w:val="single" w:sz="4" w:space="0" w:color="auto"/>
              <w:left w:val="nil"/>
              <w:bottom w:val="nil"/>
              <w:right w:val="nil"/>
            </w:tcBorders>
            <w:hideMark/>
          </w:tcPr>
          <w:p w14:paraId="48B28C8F" w14:textId="77777777" w:rsidR="00677577" w:rsidRPr="00BB4D6B" w:rsidRDefault="00677577" w:rsidP="00E05632">
            <w:pPr>
              <w:spacing w:after="0" w:line="240" w:lineRule="auto"/>
              <w:jc w:val="right"/>
              <w:rPr>
                <w:sz w:val="20"/>
                <w:szCs w:val="20"/>
              </w:rPr>
            </w:pPr>
          </w:p>
        </w:tc>
        <w:tc>
          <w:tcPr>
            <w:tcW w:w="1166" w:type="dxa"/>
            <w:tcBorders>
              <w:top w:val="single" w:sz="4" w:space="0" w:color="auto"/>
              <w:left w:val="nil"/>
              <w:bottom w:val="nil"/>
              <w:right w:val="nil"/>
            </w:tcBorders>
            <w:hideMark/>
          </w:tcPr>
          <w:p w14:paraId="04C726A4" w14:textId="77777777" w:rsidR="00677577" w:rsidRPr="00BB4D6B" w:rsidRDefault="00677577" w:rsidP="00E05632">
            <w:pPr>
              <w:spacing w:after="0" w:line="240" w:lineRule="auto"/>
              <w:jc w:val="right"/>
              <w:rPr>
                <w:sz w:val="20"/>
                <w:szCs w:val="20"/>
              </w:rPr>
            </w:pPr>
          </w:p>
        </w:tc>
        <w:tc>
          <w:tcPr>
            <w:tcW w:w="1044" w:type="dxa"/>
            <w:tcBorders>
              <w:top w:val="single" w:sz="4" w:space="0" w:color="auto"/>
              <w:left w:val="nil"/>
              <w:bottom w:val="nil"/>
              <w:right w:val="single" w:sz="4" w:space="0" w:color="auto"/>
            </w:tcBorders>
            <w:noWrap/>
            <w:hideMark/>
          </w:tcPr>
          <w:p w14:paraId="67220923" w14:textId="77777777" w:rsidR="00677577" w:rsidRPr="00BB4D6B" w:rsidRDefault="00677577" w:rsidP="00E05632">
            <w:pPr>
              <w:spacing w:after="0" w:line="240" w:lineRule="auto"/>
              <w:jc w:val="right"/>
              <w:rPr>
                <w:sz w:val="20"/>
                <w:szCs w:val="20"/>
              </w:rPr>
            </w:pPr>
          </w:p>
        </w:tc>
      </w:tr>
      <w:tr w:rsidR="00677577" w:rsidRPr="00BB4D6B" w14:paraId="31B90341" w14:textId="77777777">
        <w:trPr>
          <w:trHeight w:val="287"/>
        </w:trPr>
        <w:tc>
          <w:tcPr>
            <w:tcW w:w="2526" w:type="dxa"/>
            <w:tcBorders>
              <w:top w:val="nil"/>
              <w:left w:val="single" w:sz="4" w:space="0" w:color="auto"/>
              <w:bottom w:val="nil"/>
              <w:right w:val="nil"/>
            </w:tcBorders>
            <w:noWrap/>
            <w:hideMark/>
          </w:tcPr>
          <w:p w14:paraId="76D8A63F" w14:textId="77777777" w:rsidR="00677577" w:rsidRPr="00A32741" w:rsidRDefault="00677577">
            <w:pPr>
              <w:spacing w:after="0" w:line="240" w:lineRule="auto"/>
              <w:rPr>
                <w:sz w:val="18"/>
                <w:szCs w:val="18"/>
              </w:rPr>
            </w:pPr>
            <w:r w:rsidRPr="00A32741">
              <w:rPr>
                <w:sz w:val="18"/>
                <w:szCs w:val="18"/>
              </w:rPr>
              <w:t>Aug-2012</w:t>
            </w:r>
          </w:p>
        </w:tc>
        <w:tc>
          <w:tcPr>
            <w:tcW w:w="1273" w:type="dxa"/>
            <w:noWrap/>
            <w:hideMark/>
          </w:tcPr>
          <w:p w14:paraId="706EC4A2" w14:textId="77777777" w:rsidR="00677577" w:rsidRPr="00A32741" w:rsidRDefault="00677577" w:rsidP="00E05632">
            <w:pPr>
              <w:spacing w:after="0" w:line="240" w:lineRule="auto"/>
              <w:jc w:val="right"/>
              <w:rPr>
                <w:sz w:val="18"/>
                <w:szCs w:val="18"/>
              </w:rPr>
            </w:pPr>
            <w:r w:rsidRPr="00A32741">
              <w:rPr>
                <w:sz w:val="18"/>
                <w:szCs w:val="18"/>
              </w:rPr>
              <w:t>939.8</w:t>
            </w:r>
          </w:p>
        </w:tc>
        <w:tc>
          <w:tcPr>
            <w:tcW w:w="1465" w:type="dxa"/>
            <w:noWrap/>
            <w:hideMark/>
          </w:tcPr>
          <w:p w14:paraId="647A5D88" w14:textId="77777777" w:rsidR="00677577" w:rsidRPr="00A32741" w:rsidRDefault="00677577" w:rsidP="00E05632">
            <w:pPr>
              <w:spacing w:after="0" w:line="240" w:lineRule="auto"/>
              <w:jc w:val="right"/>
              <w:rPr>
                <w:sz w:val="18"/>
                <w:szCs w:val="18"/>
              </w:rPr>
            </w:pPr>
            <w:r w:rsidRPr="00A32741">
              <w:rPr>
                <w:sz w:val="18"/>
                <w:szCs w:val="18"/>
              </w:rPr>
              <w:t>1,204.8</w:t>
            </w:r>
          </w:p>
        </w:tc>
        <w:tc>
          <w:tcPr>
            <w:tcW w:w="1332" w:type="dxa"/>
            <w:noWrap/>
            <w:hideMark/>
          </w:tcPr>
          <w:p w14:paraId="45630CC9" w14:textId="77777777" w:rsidR="00677577" w:rsidRPr="00A32741" w:rsidRDefault="00677577" w:rsidP="00E05632">
            <w:pPr>
              <w:spacing w:after="0" w:line="240" w:lineRule="auto"/>
              <w:jc w:val="right"/>
              <w:rPr>
                <w:sz w:val="18"/>
                <w:szCs w:val="18"/>
              </w:rPr>
            </w:pPr>
            <w:r w:rsidRPr="00A32741">
              <w:rPr>
                <w:sz w:val="18"/>
                <w:szCs w:val="18"/>
              </w:rPr>
              <w:t>1,419.0</w:t>
            </w:r>
          </w:p>
        </w:tc>
        <w:tc>
          <w:tcPr>
            <w:tcW w:w="1277" w:type="dxa"/>
            <w:noWrap/>
            <w:hideMark/>
          </w:tcPr>
          <w:p w14:paraId="03EE67D2" w14:textId="77777777" w:rsidR="00677577" w:rsidRPr="00A32741" w:rsidRDefault="00677577" w:rsidP="00E05632">
            <w:pPr>
              <w:spacing w:after="0" w:line="240" w:lineRule="auto"/>
              <w:jc w:val="right"/>
              <w:rPr>
                <w:sz w:val="18"/>
                <w:szCs w:val="18"/>
              </w:rPr>
            </w:pPr>
            <w:r w:rsidRPr="00A32741">
              <w:rPr>
                <w:sz w:val="18"/>
                <w:szCs w:val="18"/>
              </w:rPr>
              <w:t>337.1</w:t>
            </w:r>
          </w:p>
        </w:tc>
        <w:tc>
          <w:tcPr>
            <w:tcW w:w="1520" w:type="dxa"/>
            <w:noWrap/>
            <w:hideMark/>
          </w:tcPr>
          <w:p w14:paraId="6C118CDF" w14:textId="77777777" w:rsidR="00677577" w:rsidRPr="00A32741" w:rsidRDefault="00677577" w:rsidP="00E05632">
            <w:pPr>
              <w:spacing w:after="0" w:line="240" w:lineRule="auto"/>
              <w:jc w:val="right"/>
              <w:rPr>
                <w:sz w:val="18"/>
                <w:szCs w:val="18"/>
              </w:rPr>
            </w:pPr>
            <w:r w:rsidRPr="00A32741">
              <w:rPr>
                <w:sz w:val="18"/>
                <w:szCs w:val="18"/>
              </w:rPr>
              <w:t>397.2</w:t>
            </w:r>
          </w:p>
        </w:tc>
        <w:tc>
          <w:tcPr>
            <w:tcW w:w="1010" w:type="dxa"/>
            <w:noWrap/>
            <w:hideMark/>
          </w:tcPr>
          <w:p w14:paraId="78563FF1" w14:textId="77777777" w:rsidR="00677577" w:rsidRPr="00A32741" w:rsidRDefault="00677577" w:rsidP="00E05632">
            <w:pPr>
              <w:spacing w:after="0" w:line="240" w:lineRule="auto"/>
              <w:jc w:val="right"/>
              <w:rPr>
                <w:sz w:val="18"/>
                <w:szCs w:val="18"/>
              </w:rPr>
            </w:pPr>
            <w:r w:rsidRPr="00A32741">
              <w:rPr>
                <w:sz w:val="18"/>
                <w:szCs w:val="18"/>
              </w:rPr>
              <w:t>405.1</w:t>
            </w:r>
          </w:p>
        </w:tc>
        <w:tc>
          <w:tcPr>
            <w:tcW w:w="1188" w:type="dxa"/>
            <w:noWrap/>
            <w:hideMark/>
          </w:tcPr>
          <w:p w14:paraId="1FE00759" w14:textId="77777777" w:rsidR="00677577" w:rsidRPr="00A32741" w:rsidRDefault="00677577" w:rsidP="00E05632">
            <w:pPr>
              <w:spacing w:after="0" w:line="240" w:lineRule="auto"/>
              <w:jc w:val="right"/>
              <w:rPr>
                <w:sz w:val="18"/>
                <w:szCs w:val="18"/>
              </w:rPr>
            </w:pPr>
            <w:r w:rsidRPr="00A32741">
              <w:rPr>
                <w:sz w:val="18"/>
                <w:szCs w:val="18"/>
              </w:rPr>
              <w:t>669.1</w:t>
            </w:r>
          </w:p>
        </w:tc>
        <w:tc>
          <w:tcPr>
            <w:tcW w:w="1166" w:type="dxa"/>
            <w:noWrap/>
            <w:hideMark/>
          </w:tcPr>
          <w:p w14:paraId="7086B27A" w14:textId="77777777" w:rsidR="00677577" w:rsidRPr="00A32741" w:rsidRDefault="00677577" w:rsidP="00E05632">
            <w:pPr>
              <w:spacing w:after="0" w:line="240" w:lineRule="auto"/>
              <w:jc w:val="right"/>
              <w:rPr>
                <w:sz w:val="18"/>
                <w:szCs w:val="18"/>
              </w:rPr>
            </w:pPr>
            <w:r w:rsidRPr="00A32741">
              <w:rPr>
                <w:sz w:val="18"/>
                <w:szCs w:val="18"/>
              </w:rPr>
              <w:t>736.1</w:t>
            </w:r>
          </w:p>
        </w:tc>
        <w:tc>
          <w:tcPr>
            <w:tcW w:w="1044" w:type="dxa"/>
            <w:tcBorders>
              <w:top w:val="nil"/>
              <w:left w:val="nil"/>
              <w:bottom w:val="nil"/>
              <w:right w:val="single" w:sz="4" w:space="0" w:color="auto"/>
            </w:tcBorders>
            <w:noWrap/>
            <w:hideMark/>
          </w:tcPr>
          <w:p w14:paraId="7A79E7A8" w14:textId="77777777" w:rsidR="00677577" w:rsidRPr="00A32741" w:rsidRDefault="00677577" w:rsidP="00E05632">
            <w:pPr>
              <w:spacing w:after="0" w:line="240" w:lineRule="auto"/>
              <w:jc w:val="right"/>
              <w:rPr>
                <w:sz w:val="18"/>
                <w:szCs w:val="18"/>
              </w:rPr>
            </w:pPr>
            <w:r w:rsidRPr="00A32741">
              <w:rPr>
                <w:sz w:val="18"/>
                <w:szCs w:val="18"/>
              </w:rPr>
              <w:t>6,108.2</w:t>
            </w:r>
          </w:p>
        </w:tc>
      </w:tr>
      <w:tr w:rsidR="00677577" w:rsidRPr="00BB4D6B" w14:paraId="3464C066" w14:textId="77777777">
        <w:trPr>
          <w:trHeight w:val="287"/>
        </w:trPr>
        <w:tc>
          <w:tcPr>
            <w:tcW w:w="2526" w:type="dxa"/>
            <w:tcBorders>
              <w:top w:val="nil"/>
              <w:left w:val="single" w:sz="4" w:space="0" w:color="auto"/>
              <w:bottom w:val="nil"/>
              <w:right w:val="nil"/>
            </w:tcBorders>
            <w:noWrap/>
            <w:hideMark/>
          </w:tcPr>
          <w:p w14:paraId="21BEABC2" w14:textId="77777777" w:rsidR="00677577" w:rsidRPr="00A32741" w:rsidRDefault="00677577">
            <w:pPr>
              <w:spacing w:after="0" w:line="240" w:lineRule="auto"/>
              <w:rPr>
                <w:sz w:val="18"/>
                <w:szCs w:val="18"/>
              </w:rPr>
            </w:pPr>
            <w:r w:rsidRPr="00A32741">
              <w:rPr>
                <w:sz w:val="18"/>
                <w:szCs w:val="18"/>
              </w:rPr>
              <w:t>Aug-2022</w:t>
            </w:r>
          </w:p>
        </w:tc>
        <w:tc>
          <w:tcPr>
            <w:tcW w:w="1273" w:type="dxa"/>
            <w:noWrap/>
            <w:hideMark/>
          </w:tcPr>
          <w:p w14:paraId="2ACFEE78" w14:textId="77777777" w:rsidR="00677577" w:rsidRPr="00A32741" w:rsidRDefault="00677577" w:rsidP="00E05632">
            <w:pPr>
              <w:spacing w:after="0" w:line="240" w:lineRule="auto"/>
              <w:jc w:val="right"/>
              <w:rPr>
                <w:sz w:val="18"/>
                <w:szCs w:val="18"/>
              </w:rPr>
            </w:pPr>
            <w:r w:rsidRPr="00A32741">
              <w:rPr>
                <w:sz w:val="18"/>
                <w:szCs w:val="18"/>
              </w:rPr>
              <w:t>1,132.6</w:t>
            </w:r>
          </w:p>
        </w:tc>
        <w:tc>
          <w:tcPr>
            <w:tcW w:w="1465" w:type="dxa"/>
            <w:noWrap/>
            <w:hideMark/>
          </w:tcPr>
          <w:p w14:paraId="05FC45E4" w14:textId="77777777" w:rsidR="00677577" w:rsidRPr="00A32741" w:rsidRDefault="00677577" w:rsidP="00E05632">
            <w:pPr>
              <w:spacing w:after="0" w:line="240" w:lineRule="auto"/>
              <w:jc w:val="right"/>
              <w:rPr>
                <w:sz w:val="18"/>
                <w:szCs w:val="18"/>
              </w:rPr>
            </w:pPr>
            <w:r w:rsidRPr="00A32741">
              <w:rPr>
                <w:sz w:val="18"/>
                <w:szCs w:val="18"/>
              </w:rPr>
              <w:t>1,539.7</w:t>
            </w:r>
          </w:p>
        </w:tc>
        <w:tc>
          <w:tcPr>
            <w:tcW w:w="1332" w:type="dxa"/>
            <w:noWrap/>
            <w:hideMark/>
          </w:tcPr>
          <w:p w14:paraId="3A11FC91" w14:textId="77777777" w:rsidR="00677577" w:rsidRPr="00A32741" w:rsidRDefault="00677577" w:rsidP="00E05632">
            <w:pPr>
              <w:spacing w:after="0" w:line="240" w:lineRule="auto"/>
              <w:jc w:val="right"/>
              <w:rPr>
                <w:sz w:val="18"/>
                <w:szCs w:val="18"/>
              </w:rPr>
            </w:pPr>
            <w:r w:rsidRPr="00A32741">
              <w:rPr>
                <w:sz w:val="18"/>
                <w:szCs w:val="18"/>
              </w:rPr>
              <w:t>1,538.4</w:t>
            </w:r>
          </w:p>
        </w:tc>
        <w:tc>
          <w:tcPr>
            <w:tcW w:w="1277" w:type="dxa"/>
            <w:noWrap/>
            <w:hideMark/>
          </w:tcPr>
          <w:p w14:paraId="5F131E1E" w14:textId="77777777" w:rsidR="00677577" w:rsidRPr="00A32741" w:rsidRDefault="00677577" w:rsidP="00E05632">
            <w:pPr>
              <w:spacing w:after="0" w:line="240" w:lineRule="auto"/>
              <w:jc w:val="right"/>
              <w:rPr>
                <w:sz w:val="18"/>
                <w:szCs w:val="18"/>
              </w:rPr>
            </w:pPr>
            <w:r w:rsidRPr="00A32741">
              <w:rPr>
                <w:sz w:val="18"/>
                <w:szCs w:val="18"/>
              </w:rPr>
              <w:t>460.3</w:t>
            </w:r>
          </w:p>
        </w:tc>
        <w:tc>
          <w:tcPr>
            <w:tcW w:w="1520" w:type="dxa"/>
            <w:noWrap/>
            <w:hideMark/>
          </w:tcPr>
          <w:p w14:paraId="7B773DC3" w14:textId="77777777" w:rsidR="00677577" w:rsidRPr="00A32741" w:rsidRDefault="00677577" w:rsidP="00E05632">
            <w:pPr>
              <w:spacing w:after="0" w:line="240" w:lineRule="auto"/>
              <w:jc w:val="right"/>
              <w:rPr>
                <w:sz w:val="18"/>
                <w:szCs w:val="18"/>
              </w:rPr>
            </w:pPr>
            <w:r w:rsidRPr="00A32741">
              <w:rPr>
                <w:sz w:val="18"/>
                <w:szCs w:val="18"/>
              </w:rPr>
              <w:t>451.9</w:t>
            </w:r>
          </w:p>
        </w:tc>
        <w:tc>
          <w:tcPr>
            <w:tcW w:w="1010" w:type="dxa"/>
            <w:noWrap/>
            <w:hideMark/>
          </w:tcPr>
          <w:p w14:paraId="28894C04" w14:textId="77777777" w:rsidR="00677577" w:rsidRPr="00A32741" w:rsidRDefault="00677577" w:rsidP="00E05632">
            <w:pPr>
              <w:spacing w:after="0" w:line="240" w:lineRule="auto"/>
              <w:jc w:val="right"/>
              <w:rPr>
                <w:sz w:val="18"/>
                <w:szCs w:val="18"/>
              </w:rPr>
            </w:pPr>
            <w:r w:rsidRPr="00A32741">
              <w:rPr>
                <w:sz w:val="18"/>
                <w:szCs w:val="18"/>
              </w:rPr>
              <w:t>441.4</w:t>
            </w:r>
          </w:p>
        </w:tc>
        <w:tc>
          <w:tcPr>
            <w:tcW w:w="1188" w:type="dxa"/>
            <w:noWrap/>
            <w:hideMark/>
          </w:tcPr>
          <w:p w14:paraId="3635F7C4" w14:textId="77777777" w:rsidR="00677577" w:rsidRPr="00A32741" w:rsidRDefault="00677577" w:rsidP="00E05632">
            <w:pPr>
              <w:spacing w:after="0" w:line="240" w:lineRule="auto"/>
              <w:jc w:val="right"/>
              <w:rPr>
                <w:sz w:val="18"/>
                <w:szCs w:val="18"/>
              </w:rPr>
            </w:pPr>
            <w:r w:rsidRPr="00A32741">
              <w:rPr>
                <w:sz w:val="18"/>
                <w:szCs w:val="18"/>
              </w:rPr>
              <w:t>770.7</w:t>
            </w:r>
          </w:p>
        </w:tc>
        <w:tc>
          <w:tcPr>
            <w:tcW w:w="1166" w:type="dxa"/>
            <w:noWrap/>
            <w:hideMark/>
          </w:tcPr>
          <w:p w14:paraId="4F6EEA87" w14:textId="77777777" w:rsidR="00677577" w:rsidRPr="00A32741" w:rsidRDefault="00677577" w:rsidP="00E05632">
            <w:pPr>
              <w:spacing w:after="0" w:line="240" w:lineRule="auto"/>
              <w:jc w:val="right"/>
              <w:rPr>
                <w:sz w:val="18"/>
                <w:szCs w:val="18"/>
              </w:rPr>
            </w:pPr>
            <w:r w:rsidRPr="00A32741">
              <w:rPr>
                <w:sz w:val="18"/>
                <w:szCs w:val="18"/>
              </w:rPr>
              <w:t>763.6</w:t>
            </w:r>
          </w:p>
        </w:tc>
        <w:tc>
          <w:tcPr>
            <w:tcW w:w="1044" w:type="dxa"/>
            <w:tcBorders>
              <w:top w:val="nil"/>
              <w:left w:val="nil"/>
              <w:bottom w:val="nil"/>
              <w:right w:val="single" w:sz="4" w:space="0" w:color="auto"/>
            </w:tcBorders>
            <w:noWrap/>
            <w:hideMark/>
          </w:tcPr>
          <w:p w14:paraId="6D280C17" w14:textId="77777777" w:rsidR="00677577" w:rsidRPr="00A32741" w:rsidRDefault="00677577" w:rsidP="00E05632">
            <w:pPr>
              <w:spacing w:after="0" w:line="240" w:lineRule="auto"/>
              <w:jc w:val="right"/>
              <w:rPr>
                <w:sz w:val="18"/>
                <w:szCs w:val="18"/>
              </w:rPr>
            </w:pPr>
            <w:r w:rsidRPr="00A32741">
              <w:rPr>
                <w:sz w:val="18"/>
                <w:szCs w:val="18"/>
              </w:rPr>
              <w:t>7,098.6</w:t>
            </w:r>
          </w:p>
        </w:tc>
      </w:tr>
      <w:tr w:rsidR="00677577" w:rsidRPr="00BB4D6B" w14:paraId="18B8C438" w14:textId="77777777">
        <w:trPr>
          <w:trHeight w:val="287"/>
        </w:trPr>
        <w:tc>
          <w:tcPr>
            <w:tcW w:w="2526" w:type="dxa"/>
            <w:tcBorders>
              <w:top w:val="nil"/>
              <w:left w:val="single" w:sz="4" w:space="0" w:color="auto"/>
              <w:bottom w:val="nil"/>
              <w:right w:val="nil"/>
            </w:tcBorders>
            <w:noWrap/>
            <w:hideMark/>
          </w:tcPr>
          <w:p w14:paraId="1835CE37" w14:textId="77777777" w:rsidR="00677577" w:rsidRPr="00A32741" w:rsidRDefault="00677577">
            <w:pPr>
              <w:spacing w:after="0" w:line="240" w:lineRule="auto"/>
              <w:rPr>
                <w:sz w:val="18"/>
                <w:szCs w:val="18"/>
              </w:rPr>
            </w:pPr>
            <w:r w:rsidRPr="00A32741">
              <w:rPr>
                <w:sz w:val="18"/>
                <w:szCs w:val="18"/>
              </w:rPr>
              <w:t>Aug-2024</w:t>
            </w:r>
          </w:p>
        </w:tc>
        <w:tc>
          <w:tcPr>
            <w:tcW w:w="1273" w:type="dxa"/>
            <w:noWrap/>
            <w:hideMark/>
          </w:tcPr>
          <w:p w14:paraId="6334E08E" w14:textId="77777777" w:rsidR="00677577" w:rsidRPr="00A32741" w:rsidRDefault="00677577" w:rsidP="00E05632">
            <w:pPr>
              <w:spacing w:after="0" w:line="240" w:lineRule="auto"/>
              <w:jc w:val="right"/>
              <w:rPr>
                <w:sz w:val="18"/>
                <w:szCs w:val="18"/>
              </w:rPr>
            </w:pPr>
            <w:r w:rsidRPr="00A32741">
              <w:rPr>
                <w:sz w:val="18"/>
                <w:szCs w:val="18"/>
              </w:rPr>
              <w:t>1,116.8</w:t>
            </w:r>
          </w:p>
        </w:tc>
        <w:tc>
          <w:tcPr>
            <w:tcW w:w="1465" w:type="dxa"/>
            <w:noWrap/>
            <w:hideMark/>
          </w:tcPr>
          <w:p w14:paraId="7E9799D9" w14:textId="77777777" w:rsidR="00677577" w:rsidRPr="00A32741" w:rsidRDefault="00677577" w:rsidP="00E05632">
            <w:pPr>
              <w:spacing w:after="0" w:line="240" w:lineRule="auto"/>
              <w:jc w:val="right"/>
              <w:rPr>
                <w:sz w:val="18"/>
                <w:szCs w:val="18"/>
              </w:rPr>
            </w:pPr>
            <w:r w:rsidRPr="00A32741">
              <w:rPr>
                <w:sz w:val="18"/>
                <w:szCs w:val="18"/>
              </w:rPr>
              <w:t>1,723.0</w:t>
            </w:r>
          </w:p>
        </w:tc>
        <w:tc>
          <w:tcPr>
            <w:tcW w:w="1332" w:type="dxa"/>
            <w:noWrap/>
            <w:hideMark/>
          </w:tcPr>
          <w:p w14:paraId="18F61A1D" w14:textId="77777777" w:rsidR="00677577" w:rsidRPr="00A32741" w:rsidRDefault="00677577" w:rsidP="00E05632">
            <w:pPr>
              <w:spacing w:after="0" w:line="240" w:lineRule="auto"/>
              <w:jc w:val="right"/>
              <w:rPr>
                <w:sz w:val="18"/>
                <w:szCs w:val="18"/>
              </w:rPr>
            </w:pPr>
            <w:r w:rsidRPr="00A32741">
              <w:rPr>
                <w:sz w:val="18"/>
                <w:szCs w:val="18"/>
              </w:rPr>
              <w:t>1,620.2</w:t>
            </w:r>
          </w:p>
        </w:tc>
        <w:tc>
          <w:tcPr>
            <w:tcW w:w="1277" w:type="dxa"/>
            <w:noWrap/>
            <w:hideMark/>
          </w:tcPr>
          <w:p w14:paraId="34547CD0" w14:textId="77777777" w:rsidR="00677577" w:rsidRPr="00A32741" w:rsidRDefault="00677577" w:rsidP="00E05632">
            <w:pPr>
              <w:spacing w:after="0" w:line="240" w:lineRule="auto"/>
              <w:jc w:val="right"/>
              <w:rPr>
                <w:sz w:val="18"/>
                <w:szCs w:val="18"/>
              </w:rPr>
            </w:pPr>
            <w:r w:rsidRPr="00A32741">
              <w:rPr>
                <w:sz w:val="18"/>
                <w:szCs w:val="18"/>
              </w:rPr>
              <w:t>514.8</w:t>
            </w:r>
          </w:p>
        </w:tc>
        <w:tc>
          <w:tcPr>
            <w:tcW w:w="1520" w:type="dxa"/>
            <w:noWrap/>
            <w:hideMark/>
          </w:tcPr>
          <w:p w14:paraId="28450CD5" w14:textId="77777777" w:rsidR="00677577" w:rsidRPr="00A32741" w:rsidRDefault="00677577" w:rsidP="00E05632">
            <w:pPr>
              <w:spacing w:after="0" w:line="240" w:lineRule="auto"/>
              <w:jc w:val="right"/>
              <w:rPr>
                <w:sz w:val="18"/>
                <w:szCs w:val="18"/>
              </w:rPr>
            </w:pPr>
            <w:r w:rsidRPr="00A32741">
              <w:rPr>
                <w:sz w:val="18"/>
                <w:szCs w:val="18"/>
              </w:rPr>
              <w:t>505.9</w:t>
            </w:r>
          </w:p>
        </w:tc>
        <w:tc>
          <w:tcPr>
            <w:tcW w:w="1010" w:type="dxa"/>
            <w:noWrap/>
            <w:hideMark/>
          </w:tcPr>
          <w:p w14:paraId="7C0A15FA" w14:textId="77777777" w:rsidR="00677577" w:rsidRPr="00A32741" w:rsidRDefault="00677577" w:rsidP="00E05632">
            <w:pPr>
              <w:spacing w:after="0" w:line="240" w:lineRule="auto"/>
              <w:jc w:val="right"/>
              <w:rPr>
                <w:sz w:val="18"/>
                <w:szCs w:val="18"/>
              </w:rPr>
            </w:pPr>
            <w:r w:rsidRPr="00A32741">
              <w:rPr>
                <w:sz w:val="18"/>
                <w:szCs w:val="18"/>
              </w:rPr>
              <w:t>465.4</w:t>
            </w:r>
          </w:p>
        </w:tc>
        <w:tc>
          <w:tcPr>
            <w:tcW w:w="1188" w:type="dxa"/>
            <w:noWrap/>
            <w:hideMark/>
          </w:tcPr>
          <w:p w14:paraId="29FA066B" w14:textId="77777777" w:rsidR="00677577" w:rsidRPr="00A32741" w:rsidRDefault="00677577" w:rsidP="00E05632">
            <w:pPr>
              <w:spacing w:after="0" w:line="240" w:lineRule="auto"/>
              <w:jc w:val="right"/>
              <w:rPr>
                <w:sz w:val="18"/>
                <w:szCs w:val="18"/>
              </w:rPr>
            </w:pPr>
            <w:r w:rsidRPr="00A32741">
              <w:rPr>
                <w:sz w:val="18"/>
                <w:szCs w:val="18"/>
              </w:rPr>
              <w:t>772.8</w:t>
            </w:r>
          </w:p>
        </w:tc>
        <w:tc>
          <w:tcPr>
            <w:tcW w:w="1166" w:type="dxa"/>
            <w:noWrap/>
            <w:hideMark/>
          </w:tcPr>
          <w:p w14:paraId="77D4EE3D" w14:textId="77777777" w:rsidR="00677577" w:rsidRPr="00A32741" w:rsidRDefault="00677577" w:rsidP="00E05632">
            <w:pPr>
              <w:spacing w:after="0" w:line="240" w:lineRule="auto"/>
              <w:jc w:val="right"/>
              <w:rPr>
                <w:sz w:val="18"/>
                <w:szCs w:val="18"/>
              </w:rPr>
            </w:pPr>
            <w:r w:rsidRPr="00A32741">
              <w:rPr>
                <w:sz w:val="18"/>
                <w:szCs w:val="18"/>
              </w:rPr>
              <w:t>786.3</w:t>
            </w:r>
          </w:p>
        </w:tc>
        <w:tc>
          <w:tcPr>
            <w:tcW w:w="1044" w:type="dxa"/>
            <w:tcBorders>
              <w:top w:val="nil"/>
              <w:left w:val="nil"/>
              <w:bottom w:val="nil"/>
              <w:right w:val="single" w:sz="4" w:space="0" w:color="auto"/>
            </w:tcBorders>
            <w:noWrap/>
            <w:hideMark/>
          </w:tcPr>
          <w:p w14:paraId="3EC4A348" w14:textId="77777777" w:rsidR="00677577" w:rsidRPr="00A32741" w:rsidRDefault="00677577" w:rsidP="00E05632">
            <w:pPr>
              <w:spacing w:after="0" w:line="240" w:lineRule="auto"/>
              <w:jc w:val="right"/>
              <w:rPr>
                <w:sz w:val="18"/>
                <w:szCs w:val="18"/>
              </w:rPr>
            </w:pPr>
            <w:r w:rsidRPr="00A32741">
              <w:rPr>
                <w:sz w:val="18"/>
                <w:szCs w:val="18"/>
              </w:rPr>
              <w:t>7,505.1</w:t>
            </w:r>
          </w:p>
        </w:tc>
      </w:tr>
      <w:tr w:rsidR="00677577" w:rsidRPr="00BB4D6B" w14:paraId="58C42605" w14:textId="77777777">
        <w:trPr>
          <w:trHeight w:val="287"/>
        </w:trPr>
        <w:tc>
          <w:tcPr>
            <w:tcW w:w="2526" w:type="dxa"/>
            <w:tcBorders>
              <w:top w:val="nil"/>
              <w:left w:val="single" w:sz="4" w:space="0" w:color="auto"/>
              <w:bottom w:val="nil"/>
              <w:right w:val="nil"/>
            </w:tcBorders>
            <w:noWrap/>
            <w:hideMark/>
          </w:tcPr>
          <w:p w14:paraId="034C61A1" w14:textId="77777777" w:rsidR="00677577" w:rsidRPr="00A32741" w:rsidRDefault="00677577">
            <w:pPr>
              <w:spacing w:after="0" w:line="240" w:lineRule="auto"/>
              <w:rPr>
                <w:sz w:val="18"/>
                <w:szCs w:val="18"/>
              </w:rPr>
            </w:pPr>
            <w:r w:rsidRPr="00A32741">
              <w:rPr>
                <w:sz w:val="18"/>
                <w:szCs w:val="18"/>
              </w:rPr>
              <w:t xml:space="preserve">Change Aug 2012 </w:t>
            </w:r>
            <w:r w:rsidRPr="00A32741">
              <w:rPr>
                <w:rFonts w:ascii="Symbol" w:eastAsia="Symbol" w:hAnsi="Symbol" w:cs="Symbol"/>
                <w:sz w:val="18"/>
                <w:szCs w:val="18"/>
              </w:rPr>
              <w:sym w:font="Symbol" w:char="F02D"/>
            </w:r>
            <w:r w:rsidRPr="00A32741">
              <w:rPr>
                <w:sz w:val="18"/>
                <w:szCs w:val="18"/>
              </w:rPr>
              <w:t xml:space="preserve"> Aug 2022</w:t>
            </w:r>
          </w:p>
        </w:tc>
        <w:tc>
          <w:tcPr>
            <w:tcW w:w="1273" w:type="dxa"/>
            <w:noWrap/>
            <w:hideMark/>
          </w:tcPr>
          <w:p w14:paraId="244A0354" w14:textId="77777777" w:rsidR="00677577" w:rsidRPr="00A32741" w:rsidRDefault="00677577" w:rsidP="00E05632">
            <w:pPr>
              <w:spacing w:after="0" w:line="240" w:lineRule="auto"/>
              <w:jc w:val="right"/>
              <w:rPr>
                <w:sz w:val="18"/>
                <w:szCs w:val="18"/>
              </w:rPr>
            </w:pPr>
            <w:r w:rsidRPr="00A32741">
              <w:rPr>
                <w:sz w:val="18"/>
                <w:szCs w:val="18"/>
              </w:rPr>
              <w:t>20.5%</w:t>
            </w:r>
          </w:p>
        </w:tc>
        <w:tc>
          <w:tcPr>
            <w:tcW w:w="1465" w:type="dxa"/>
            <w:noWrap/>
            <w:hideMark/>
          </w:tcPr>
          <w:p w14:paraId="466E7CF1" w14:textId="77777777" w:rsidR="00677577" w:rsidRPr="00A32741" w:rsidRDefault="00677577" w:rsidP="00E05632">
            <w:pPr>
              <w:spacing w:after="0" w:line="240" w:lineRule="auto"/>
              <w:jc w:val="right"/>
              <w:rPr>
                <w:sz w:val="18"/>
                <w:szCs w:val="18"/>
              </w:rPr>
            </w:pPr>
            <w:r w:rsidRPr="00A32741">
              <w:rPr>
                <w:sz w:val="18"/>
                <w:szCs w:val="18"/>
              </w:rPr>
              <w:t>27.8%</w:t>
            </w:r>
          </w:p>
        </w:tc>
        <w:tc>
          <w:tcPr>
            <w:tcW w:w="1332" w:type="dxa"/>
            <w:noWrap/>
            <w:hideMark/>
          </w:tcPr>
          <w:p w14:paraId="17BC08B6" w14:textId="77777777" w:rsidR="00677577" w:rsidRPr="00A32741" w:rsidRDefault="00677577" w:rsidP="00E05632">
            <w:pPr>
              <w:spacing w:after="0" w:line="240" w:lineRule="auto"/>
              <w:jc w:val="right"/>
              <w:rPr>
                <w:sz w:val="18"/>
                <w:szCs w:val="18"/>
              </w:rPr>
            </w:pPr>
            <w:r w:rsidRPr="00A32741">
              <w:rPr>
                <w:sz w:val="18"/>
                <w:szCs w:val="18"/>
              </w:rPr>
              <w:t>8.4%</w:t>
            </w:r>
          </w:p>
        </w:tc>
        <w:tc>
          <w:tcPr>
            <w:tcW w:w="1277" w:type="dxa"/>
            <w:noWrap/>
            <w:hideMark/>
          </w:tcPr>
          <w:p w14:paraId="23A6FBD2" w14:textId="77777777" w:rsidR="00677577" w:rsidRPr="00A32741" w:rsidRDefault="00677577" w:rsidP="00E05632">
            <w:pPr>
              <w:spacing w:after="0" w:line="240" w:lineRule="auto"/>
              <w:jc w:val="right"/>
              <w:rPr>
                <w:sz w:val="18"/>
                <w:szCs w:val="18"/>
              </w:rPr>
            </w:pPr>
            <w:r w:rsidRPr="00A32741">
              <w:rPr>
                <w:sz w:val="18"/>
                <w:szCs w:val="18"/>
              </w:rPr>
              <w:t>36.6%</w:t>
            </w:r>
          </w:p>
        </w:tc>
        <w:tc>
          <w:tcPr>
            <w:tcW w:w="1520" w:type="dxa"/>
            <w:noWrap/>
            <w:hideMark/>
          </w:tcPr>
          <w:p w14:paraId="581768A0" w14:textId="77777777" w:rsidR="00677577" w:rsidRPr="00A32741" w:rsidRDefault="00677577" w:rsidP="00E05632">
            <w:pPr>
              <w:spacing w:after="0" w:line="240" w:lineRule="auto"/>
              <w:jc w:val="right"/>
              <w:rPr>
                <w:sz w:val="18"/>
                <w:szCs w:val="18"/>
              </w:rPr>
            </w:pPr>
            <w:r w:rsidRPr="00A32741">
              <w:rPr>
                <w:sz w:val="18"/>
                <w:szCs w:val="18"/>
              </w:rPr>
              <w:t>13.8%</w:t>
            </w:r>
          </w:p>
        </w:tc>
        <w:tc>
          <w:tcPr>
            <w:tcW w:w="1010" w:type="dxa"/>
            <w:noWrap/>
            <w:hideMark/>
          </w:tcPr>
          <w:p w14:paraId="1515AAF4" w14:textId="77777777" w:rsidR="00677577" w:rsidRPr="00A32741" w:rsidRDefault="00677577" w:rsidP="00E05632">
            <w:pPr>
              <w:spacing w:after="0" w:line="240" w:lineRule="auto"/>
              <w:jc w:val="right"/>
              <w:rPr>
                <w:sz w:val="18"/>
                <w:szCs w:val="18"/>
              </w:rPr>
            </w:pPr>
            <w:r w:rsidRPr="00A32741">
              <w:rPr>
                <w:sz w:val="18"/>
                <w:szCs w:val="18"/>
              </w:rPr>
              <w:t>9.0%</w:t>
            </w:r>
          </w:p>
        </w:tc>
        <w:tc>
          <w:tcPr>
            <w:tcW w:w="1188" w:type="dxa"/>
            <w:noWrap/>
            <w:hideMark/>
          </w:tcPr>
          <w:p w14:paraId="7B4C0A89" w14:textId="77777777" w:rsidR="00677577" w:rsidRPr="00A32741" w:rsidRDefault="00677577" w:rsidP="00E05632">
            <w:pPr>
              <w:spacing w:after="0" w:line="240" w:lineRule="auto"/>
              <w:jc w:val="right"/>
              <w:rPr>
                <w:sz w:val="18"/>
                <w:szCs w:val="18"/>
              </w:rPr>
            </w:pPr>
            <w:r w:rsidRPr="00A32741">
              <w:rPr>
                <w:sz w:val="18"/>
                <w:szCs w:val="18"/>
              </w:rPr>
              <w:t>15.2%</w:t>
            </w:r>
          </w:p>
        </w:tc>
        <w:tc>
          <w:tcPr>
            <w:tcW w:w="1166" w:type="dxa"/>
            <w:noWrap/>
            <w:hideMark/>
          </w:tcPr>
          <w:p w14:paraId="2F3D16F1" w14:textId="77777777" w:rsidR="00677577" w:rsidRPr="00A32741" w:rsidRDefault="00677577" w:rsidP="00E05632">
            <w:pPr>
              <w:spacing w:after="0" w:line="240" w:lineRule="auto"/>
              <w:jc w:val="right"/>
              <w:rPr>
                <w:sz w:val="18"/>
                <w:szCs w:val="18"/>
              </w:rPr>
            </w:pPr>
            <w:r w:rsidRPr="00A32741">
              <w:rPr>
                <w:sz w:val="18"/>
                <w:szCs w:val="18"/>
              </w:rPr>
              <w:t>3.7%</w:t>
            </w:r>
          </w:p>
        </w:tc>
        <w:tc>
          <w:tcPr>
            <w:tcW w:w="1044" w:type="dxa"/>
            <w:tcBorders>
              <w:top w:val="nil"/>
              <w:left w:val="nil"/>
              <w:bottom w:val="nil"/>
              <w:right w:val="single" w:sz="4" w:space="0" w:color="auto"/>
            </w:tcBorders>
            <w:noWrap/>
            <w:hideMark/>
          </w:tcPr>
          <w:p w14:paraId="55A5E80D" w14:textId="77777777" w:rsidR="00677577" w:rsidRPr="00A32741" w:rsidRDefault="00677577" w:rsidP="00E05632">
            <w:pPr>
              <w:spacing w:after="0" w:line="240" w:lineRule="auto"/>
              <w:jc w:val="right"/>
              <w:rPr>
                <w:sz w:val="18"/>
                <w:szCs w:val="18"/>
              </w:rPr>
            </w:pPr>
            <w:r w:rsidRPr="00A32741">
              <w:rPr>
                <w:sz w:val="18"/>
                <w:szCs w:val="18"/>
              </w:rPr>
              <w:t>16.2%</w:t>
            </w:r>
          </w:p>
        </w:tc>
      </w:tr>
      <w:tr w:rsidR="00677577" w:rsidRPr="00BB4D6B" w14:paraId="78BC0B23" w14:textId="77777777">
        <w:trPr>
          <w:trHeight w:val="287"/>
        </w:trPr>
        <w:tc>
          <w:tcPr>
            <w:tcW w:w="2526" w:type="dxa"/>
            <w:tcBorders>
              <w:top w:val="nil"/>
              <w:left w:val="single" w:sz="4" w:space="0" w:color="auto"/>
              <w:bottom w:val="single" w:sz="4" w:space="0" w:color="auto"/>
              <w:right w:val="nil"/>
            </w:tcBorders>
            <w:noWrap/>
            <w:hideMark/>
          </w:tcPr>
          <w:p w14:paraId="77F36BD9" w14:textId="77777777" w:rsidR="00677577" w:rsidRPr="00A32741" w:rsidRDefault="00677577">
            <w:pPr>
              <w:spacing w:after="0" w:line="240" w:lineRule="auto"/>
              <w:rPr>
                <w:sz w:val="18"/>
                <w:szCs w:val="18"/>
              </w:rPr>
            </w:pPr>
            <w:r w:rsidRPr="00A32741">
              <w:rPr>
                <w:sz w:val="18"/>
                <w:szCs w:val="18"/>
              </w:rPr>
              <w:t xml:space="preserve">Change Aug 2022 </w:t>
            </w:r>
            <w:r w:rsidRPr="00A32741">
              <w:rPr>
                <w:rFonts w:ascii="Symbol" w:eastAsia="Symbol" w:hAnsi="Symbol" w:cs="Symbol"/>
                <w:sz w:val="18"/>
                <w:szCs w:val="18"/>
              </w:rPr>
              <w:sym w:font="Symbol" w:char="F02D"/>
            </w:r>
            <w:r w:rsidRPr="00A32741">
              <w:rPr>
                <w:sz w:val="18"/>
                <w:szCs w:val="18"/>
              </w:rPr>
              <w:t xml:space="preserve"> Aug 2024</w:t>
            </w:r>
          </w:p>
        </w:tc>
        <w:tc>
          <w:tcPr>
            <w:tcW w:w="1273" w:type="dxa"/>
            <w:tcBorders>
              <w:top w:val="nil"/>
              <w:left w:val="nil"/>
              <w:bottom w:val="single" w:sz="4" w:space="0" w:color="auto"/>
              <w:right w:val="nil"/>
            </w:tcBorders>
            <w:noWrap/>
            <w:hideMark/>
          </w:tcPr>
          <w:p w14:paraId="507D6276" w14:textId="77777777" w:rsidR="00677577" w:rsidRPr="00A32741" w:rsidRDefault="00677577" w:rsidP="00E05632">
            <w:pPr>
              <w:spacing w:after="0" w:line="240" w:lineRule="auto"/>
              <w:jc w:val="right"/>
              <w:rPr>
                <w:sz w:val="18"/>
                <w:szCs w:val="18"/>
              </w:rPr>
            </w:pPr>
            <w:r w:rsidRPr="00A32741">
              <w:rPr>
                <w:sz w:val="18"/>
                <w:szCs w:val="18"/>
              </w:rPr>
              <w:t>-1.4%</w:t>
            </w:r>
          </w:p>
        </w:tc>
        <w:tc>
          <w:tcPr>
            <w:tcW w:w="1465" w:type="dxa"/>
            <w:tcBorders>
              <w:top w:val="nil"/>
              <w:left w:val="nil"/>
              <w:bottom w:val="single" w:sz="4" w:space="0" w:color="auto"/>
              <w:right w:val="nil"/>
            </w:tcBorders>
            <w:noWrap/>
            <w:hideMark/>
          </w:tcPr>
          <w:p w14:paraId="753721CE" w14:textId="77777777" w:rsidR="00677577" w:rsidRPr="00A32741" w:rsidRDefault="00677577" w:rsidP="00E05632">
            <w:pPr>
              <w:spacing w:after="0" w:line="240" w:lineRule="auto"/>
              <w:jc w:val="right"/>
              <w:rPr>
                <w:sz w:val="18"/>
                <w:szCs w:val="18"/>
              </w:rPr>
            </w:pPr>
            <w:r w:rsidRPr="00A32741">
              <w:rPr>
                <w:sz w:val="18"/>
                <w:szCs w:val="18"/>
              </w:rPr>
              <w:t>11.9%</w:t>
            </w:r>
          </w:p>
        </w:tc>
        <w:tc>
          <w:tcPr>
            <w:tcW w:w="1332" w:type="dxa"/>
            <w:tcBorders>
              <w:top w:val="nil"/>
              <w:left w:val="nil"/>
              <w:bottom w:val="single" w:sz="4" w:space="0" w:color="auto"/>
              <w:right w:val="nil"/>
            </w:tcBorders>
            <w:noWrap/>
            <w:hideMark/>
          </w:tcPr>
          <w:p w14:paraId="5F18CCFA" w14:textId="77777777" w:rsidR="00677577" w:rsidRPr="00A32741" w:rsidRDefault="00677577" w:rsidP="00E05632">
            <w:pPr>
              <w:spacing w:after="0" w:line="240" w:lineRule="auto"/>
              <w:jc w:val="right"/>
              <w:rPr>
                <w:sz w:val="18"/>
                <w:szCs w:val="18"/>
              </w:rPr>
            </w:pPr>
            <w:r w:rsidRPr="00A32741">
              <w:rPr>
                <w:sz w:val="18"/>
                <w:szCs w:val="18"/>
              </w:rPr>
              <w:t>5.3%</w:t>
            </w:r>
          </w:p>
        </w:tc>
        <w:tc>
          <w:tcPr>
            <w:tcW w:w="1277" w:type="dxa"/>
            <w:tcBorders>
              <w:top w:val="nil"/>
              <w:left w:val="nil"/>
              <w:bottom w:val="single" w:sz="4" w:space="0" w:color="auto"/>
              <w:right w:val="nil"/>
            </w:tcBorders>
            <w:noWrap/>
            <w:hideMark/>
          </w:tcPr>
          <w:p w14:paraId="557C7773" w14:textId="77777777" w:rsidR="00677577" w:rsidRPr="00A32741" w:rsidRDefault="00677577" w:rsidP="00E05632">
            <w:pPr>
              <w:spacing w:after="0" w:line="240" w:lineRule="auto"/>
              <w:jc w:val="right"/>
              <w:rPr>
                <w:sz w:val="18"/>
                <w:szCs w:val="18"/>
              </w:rPr>
            </w:pPr>
            <w:r w:rsidRPr="00A32741">
              <w:rPr>
                <w:sz w:val="18"/>
                <w:szCs w:val="18"/>
              </w:rPr>
              <w:t>11.8%</w:t>
            </w:r>
          </w:p>
        </w:tc>
        <w:tc>
          <w:tcPr>
            <w:tcW w:w="1520" w:type="dxa"/>
            <w:tcBorders>
              <w:top w:val="nil"/>
              <w:left w:val="nil"/>
              <w:bottom w:val="single" w:sz="4" w:space="0" w:color="auto"/>
              <w:right w:val="nil"/>
            </w:tcBorders>
            <w:noWrap/>
            <w:hideMark/>
          </w:tcPr>
          <w:p w14:paraId="22FF4E72" w14:textId="77777777" w:rsidR="00677577" w:rsidRPr="00A32741" w:rsidRDefault="00677577" w:rsidP="00E05632">
            <w:pPr>
              <w:spacing w:after="0" w:line="240" w:lineRule="auto"/>
              <w:jc w:val="right"/>
              <w:rPr>
                <w:sz w:val="18"/>
                <w:szCs w:val="18"/>
              </w:rPr>
            </w:pPr>
            <w:r w:rsidRPr="00A32741">
              <w:rPr>
                <w:sz w:val="18"/>
                <w:szCs w:val="18"/>
              </w:rPr>
              <w:t>11.9%</w:t>
            </w:r>
          </w:p>
        </w:tc>
        <w:tc>
          <w:tcPr>
            <w:tcW w:w="1010" w:type="dxa"/>
            <w:tcBorders>
              <w:top w:val="nil"/>
              <w:left w:val="nil"/>
              <w:bottom w:val="single" w:sz="4" w:space="0" w:color="auto"/>
              <w:right w:val="nil"/>
            </w:tcBorders>
            <w:noWrap/>
            <w:hideMark/>
          </w:tcPr>
          <w:p w14:paraId="377132D2" w14:textId="77777777" w:rsidR="00677577" w:rsidRPr="00A32741" w:rsidRDefault="00677577" w:rsidP="00E05632">
            <w:pPr>
              <w:spacing w:after="0" w:line="240" w:lineRule="auto"/>
              <w:jc w:val="right"/>
              <w:rPr>
                <w:sz w:val="18"/>
                <w:szCs w:val="18"/>
              </w:rPr>
            </w:pPr>
            <w:r w:rsidRPr="00A32741">
              <w:rPr>
                <w:sz w:val="18"/>
                <w:szCs w:val="18"/>
              </w:rPr>
              <w:t>5.4%</w:t>
            </w:r>
          </w:p>
        </w:tc>
        <w:tc>
          <w:tcPr>
            <w:tcW w:w="1188" w:type="dxa"/>
            <w:tcBorders>
              <w:top w:val="nil"/>
              <w:left w:val="nil"/>
              <w:bottom w:val="single" w:sz="4" w:space="0" w:color="auto"/>
              <w:right w:val="nil"/>
            </w:tcBorders>
            <w:noWrap/>
            <w:hideMark/>
          </w:tcPr>
          <w:p w14:paraId="0CB7801A" w14:textId="77777777" w:rsidR="00677577" w:rsidRPr="00A32741" w:rsidRDefault="00677577" w:rsidP="00E05632">
            <w:pPr>
              <w:spacing w:after="0" w:line="240" w:lineRule="auto"/>
              <w:jc w:val="right"/>
              <w:rPr>
                <w:sz w:val="18"/>
                <w:szCs w:val="18"/>
              </w:rPr>
            </w:pPr>
            <w:r w:rsidRPr="00A32741">
              <w:rPr>
                <w:sz w:val="18"/>
                <w:szCs w:val="18"/>
              </w:rPr>
              <w:t>0.3%</w:t>
            </w:r>
          </w:p>
        </w:tc>
        <w:tc>
          <w:tcPr>
            <w:tcW w:w="1166" w:type="dxa"/>
            <w:tcBorders>
              <w:top w:val="nil"/>
              <w:left w:val="nil"/>
              <w:bottom w:val="single" w:sz="4" w:space="0" w:color="auto"/>
              <w:right w:val="nil"/>
            </w:tcBorders>
            <w:noWrap/>
            <w:hideMark/>
          </w:tcPr>
          <w:p w14:paraId="76BA28CE" w14:textId="77777777" w:rsidR="00677577" w:rsidRPr="00A32741" w:rsidRDefault="00677577" w:rsidP="00E05632">
            <w:pPr>
              <w:spacing w:after="0" w:line="240" w:lineRule="auto"/>
              <w:jc w:val="right"/>
              <w:rPr>
                <w:sz w:val="18"/>
                <w:szCs w:val="18"/>
              </w:rPr>
            </w:pPr>
            <w:r w:rsidRPr="00A32741">
              <w:rPr>
                <w:sz w:val="18"/>
                <w:szCs w:val="18"/>
              </w:rPr>
              <w:t>3.0%</w:t>
            </w:r>
          </w:p>
        </w:tc>
        <w:tc>
          <w:tcPr>
            <w:tcW w:w="1044" w:type="dxa"/>
            <w:tcBorders>
              <w:top w:val="nil"/>
              <w:left w:val="nil"/>
              <w:bottom w:val="single" w:sz="4" w:space="0" w:color="auto"/>
              <w:right w:val="single" w:sz="4" w:space="0" w:color="auto"/>
            </w:tcBorders>
            <w:noWrap/>
            <w:hideMark/>
          </w:tcPr>
          <w:p w14:paraId="5EBC4BFD" w14:textId="77777777" w:rsidR="00677577" w:rsidRPr="00A32741" w:rsidRDefault="00677577" w:rsidP="00E05632">
            <w:pPr>
              <w:spacing w:after="0" w:line="240" w:lineRule="auto"/>
              <w:jc w:val="right"/>
              <w:rPr>
                <w:sz w:val="18"/>
                <w:szCs w:val="18"/>
              </w:rPr>
            </w:pPr>
            <w:r w:rsidRPr="00A32741">
              <w:rPr>
                <w:sz w:val="18"/>
                <w:szCs w:val="18"/>
              </w:rPr>
              <w:t>5.7%</w:t>
            </w:r>
          </w:p>
        </w:tc>
      </w:tr>
      <w:tr w:rsidR="00677577" w:rsidRPr="00BB4D6B" w14:paraId="0EF5FF6F" w14:textId="77777777">
        <w:trPr>
          <w:trHeight w:val="287"/>
        </w:trPr>
        <w:tc>
          <w:tcPr>
            <w:tcW w:w="2526" w:type="dxa"/>
            <w:tcBorders>
              <w:top w:val="single" w:sz="4" w:space="0" w:color="auto"/>
              <w:left w:val="single" w:sz="4" w:space="0" w:color="auto"/>
              <w:bottom w:val="nil"/>
              <w:right w:val="nil"/>
            </w:tcBorders>
            <w:noWrap/>
            <w:hideMark/>
          </w:tcPr>
          <w:p w14:paraId="610442F0" w14:textId="77777777" w:rsidR="00677577" w:rsidRPr="00BB4D6B" w:rsidRDefault="00677577">
            <w:pPr>
              <w:spacing w:after="0" w:line="240" w:lineRule="auto"/>
              <w:rPr>
                <w:b/>
                <w:bCs/>
                <w:sz w:val="20"/>
                <w:szCs w:val="20"/>
              </w:rPr>
            </w:pPr>
            <w:r w:rsidRPr="00BB4D6B">
              <w:rPr>
                <w:b/>
                <w:bCs/>
                <w:sz w:val="20"/>
                <w:szCs w:val="20"/>
              </w:rPr>
              <w:t>Women</w:t>
            </w:r>
          </w:p>
        </w:tc>
        <w:tc>
          <w:tcPr>
            <w:tcW w:w="1273" w:type="dxa"/>
            <w:tcBorders>
              <w:top w:val="single" w:sz="4" w:space="0" w:color="auto"/>
              <w:left w:val="nil"/>
              <w:bottom w:val="nil"/>
              <w:right w:val="nil"/>
            </w:tcBorders>
            <w:noWrap/>
            <w:hideMark/>
          </w:tcPr>
          <w:p w14:paraId="7B88C986" w14:textId="77777777" w:rsidR="00677577" w:rsidRPr="00BB4D6B" w:rsidRDefault="00677577" w:rsidP="00E05632">
            <w:pPr>
              <w:spacing w:after="0" w:line="240" w:lineRule="auto"/>
              <w:jc w:val="right"/>
              <w:rPr>
                <w:b/>
                <w:bCs/>
                <w:sz w:val="20"/>
                <w:szCs w:val="20"/>
              </w:rPr>
            </w:pPr>
          </w:p>
        </w:tc>
        <w:tc>
          <w:tcPr>
            <w:tcW w:w="1465" w:type="dxa"/>
            <w:tcBorders>
              <w:top w:val="single" w:sz="4" w:space="0" w:color="auto"/>
              <w:left w:val="nil"/>
              <w:bottom w:val="nil"/>
              <w:right w:val="nil"/>
            </w:tcBorders>
            <w:noWrap/>
            <w:hideMark/>
          </w:tcPr>
          <w:p w14:paraId="49A81FCD" w14:textId="77777777" w:rsidR="00677577" w:rsidRPr="00BB4D6B" w:rsidRDefault="00677577" w:rsidP="00E05632">
            <w:pPr>
              <w:spacing w:after="0" w:line="240" w:lineRule="auto"/>
              <w:jc w:val="right"/>
              <w:rPr>
                <w:sz w:val="20"/>
                <w:szCs w:val="20"/>
              </w:rPr>
            </w:pPr>
          </w:p>
        </w:tc>
        <w:tc>
          <w:tcPr>
            <w:tcW w:w="1332" w:type="dxa"/>
            <w:tcBorders>
              <w:top w:val="single" w:sz="4" w:space="0" w:color="auto"/>
              <w:left w:val="nil"/>
              <w:bottom w:val="nil"/>
              <w:right w:val="nil"/>
            </w:tcBorders>
            <w:noWrap/>
            <w:hideMark/>
          </w:tcPr>
          <w:p w14:paraId="51D8DAB5" w14:textId="77777777" w:rsidR="00677577" w:rsidRPr="00BB4D6B" w:rsidRDefault="00677577" w:rsidP="00E05632">
            <w:pPr>
              <w:spacing w:after="0" w:line="240" w:lineRule="auto"/>
              <w:jc w:val="right"/>
              <w:rPr>
                <w:sz w:val="20"/>
                <w:szCs w:val="20"/>
              </w:rPr>
            </w:pPr>
          </w:p>
        </w:tc>
        <w:tc>
          <w:tcPr>
            <w:tcW w:w="1277" w:type="dxa"/>
            <w:tcBorders>
              <w:top w:val="single" w:sz="4" w:space="0" w:color="auto"/>
              <w:left w:val="nil"/>
              <w:bottom w:val="nil"/>
              <w:right w:val="nil"/>
            </w:tcBorders>
            <w:noWrap/>
            <w:hideMark/>
          </w:tcPr>
          <w:p w14:paraId="074B266D" w14:textId="77777777" w:rsidR="00677577" w:rsidRPr="00BB4D6B" w:rsidRDefault="00677577" w:rsidP="00E05632">
            <w:pPr>
              <w:spacing w:after="0" w:line="240" w:lineRule="auto"/>
              <w:jc w:val="right"/>
              <w:rPr>
                <w:sz w:val="20"/>
                <w:szCs w:val="20"/>
              </w:rPr>
            </w:pPr>
          </w:p>
        </w:tc>
        <w:tc>
          <w:tcPr>
            <w:tcW w:w="1520" w:type="dxa"/>
            <w:tcBorders>
              <w:top w:val="single" w:sz="4" w:space="0" w:color="auto"/>
              <w:left w:val="nil"/>
              <w:bottom w:val="nil"/>
              <w:right w:val="nil"/>
            </w:tcBorders>
            <w:noWrap/>
            <w:hideMark/>
          </w:tcPr>
          <w:p w14:paraId="690DE0D0" w14:textId="77777777" w:rsidR="00677577" w:rsidRPr="00BB4D6B" w:rsidRDefault="00677577" w:rsidP="00E05632">
            <w:pPr>
              <w:spacing w:after="0" w:line="240" w:lineRule="auto"/>
              <w:jc w:val="right"/>
              <w:rPr>
                <w:sz w:val="20"/>
                <w:szCs w:val="20"/>
              </w:rPr>
            </w:pPr>
          </w:p>
        </w:tc>
        <w:tc>
          <w:tcPr>
            <w:tcW w:w="1010" w:type="dxa"/>
            <w:tcBorders>
              <w:top w:val="single" w:sz="4" w:space="0" w:color="auto"/>
              <w:left w:val="nil"/>
              <w:bottom w:val="nil"/>
              <w:right w:val="nil"/>
            </w:tcBorders>
            <w:noWrap/>
            <w:hideMark/>
          </w:tcPr>
          <w:p w14:paraId="547674C3" w14:textId="77777777" w:rsidR="00677577" w:rsidRPr="00BB4D6B" w:rsidRDefault="00677577" w:rsidP="00E05632">
            <w:pPr>
              <w:spacing w:after="0" w:line="240" w:lineRule="auto"/>
              <w:jc w:val="right"/>
              <w:rPr>
                <w:sz w:val="20"/>
                <w:szCs w:val="20"/>
              </w:rPr>
            </w:pPr>
          </w:p>
        </w:tc>
        <w:tc>
          <w:tcPr>
            <w:tcW w:w="1188" w:type="dxa"/>
            <w:tcBorders>
              <w:top w:val="single" w:sz="4" w:space="0" w:color="auto"/>
              <w:left w:val="nil"/>
              <w:bottom w:val="nil"/>
              <w:right w:val="nil"/>
            </w:tcBorders>
            <w:noWrap/>
            <w:hideMark/>
          </w:tcPr>
          <w:p w14:paraId="5F6A3794" w14:textId="77777777" w:rsidR="00677577" w:rsidRPr="00BB4D6B" w:rsidRDefault="00677577" w:rsidP="00E05632">
            <w:pPr>
              <w:spacing w:after="0" w:line="240" w:lineRule="auto"/>
              <w:jc w:val="right"/>
              <w:rPr>
                <w:sz w:val="20"/>
                <w:szCs w:val="20"/>
              </w:rPr>
            </w:pPr>
          </w:p>
        </w:tc>
        <w:tc>
          <w:tcPr>
            <w:tcW w:w="1166" w:type="dxa"/>
            <w:tcBorders>
              <w:top w:val="single" w:sz="4" w:space="0" w:color="auto"/>
              <w:left w:val="nil"/>
              <w:bottom w:val="nil"/>
              <w:right w:val="nil"/>
            </w:tcBorders>
            <w:noWrap/>
            <w:hideMark/>
          </w:tcPr>
          <w:p w14:paraId="08E30156" w14:textId="77777777" w:rsidR="00677577" w:rsidRPr="00BB4D6B" w:rsidRDefault="00677577" w:rsidP="00E05632">
            <w:pPr>
              <w:spacing w:after="0" w:line="240" w:lineRule="auto"/>
              <w:jc w:val="right"/>
              <w:rPr>
                <w:sz w:val="20"/>
                <w:szCs w:val="20"/>
              </w:rPr>
            </w:pPr>
          </w:p>
        </w:tc>
        <w:tc>
          <w:tcPr>
            <w:tcW w:w="1044" w:type="dxa"/>
            <w:tcBorders>
              <w:top w:val="single" w:sz="4" w:space="0" w:color="auto"/>
              <w:left w:val="nil"/>
              <w:bottom w:val="nil"/>
              <w:right w:val="single" w:sz="4" w:space="0" w:color="auto"/>
            </w:tcBorders>
            <w:noWrap/>
            <w:hideMark/>
          </w:tcPr>
          <w:p w14:paraId="07B6E82F" w14:textId="77777777" w:rsidR="00677577" w:rsidRPr="00BB4D6B" w:rsidRDefault="00677577" w:rsidP="00E05632">
            <w:pPr>
              <w:spacing w:after="0" w:line="240" w:lineRule="auto"/>
              <w:jc w:val="right"/>
              <w:rPr>
                <w:sz w:val="20"/>
                <w:szCs w:val="20"/>
              </w:rPr>
            </w:pPr>
          </w:p>
        </w:tc>
      </w:tr>
      <w:tr w:rsidR="00677577" w:rsidRPr="00BB4D6B" w14:paraId="1BFE2C84" w14:textId="77777777">
        <w:trPr>
          <w:trHeight w:val="287"/>
        </w:trPr>
        <w:tc>
          <w:tcPr>
            <w:tcW w:w="2526" w:type="dxa"/>
            <w:tcBorders>
              <w:top w:val="nil"/>
              <w:left w:val="single" w:sz="4" w:space="0" w:color="auto"/>
              <w:bottom w:val="nil"/>
              <w:right w:val="nil"/>
            </w:tcBorders>
            <w:noWrap/>
            <w:hideMark/>
          </w:tcPr>
          <w:p w14:paraId="0E550D2F" w14:textId="77777777" w:rsidR="00677577" w:rsidRPr="00A32741" w:rsidRDefault="00677577">
            <w:pPr>
              <w:spacing w:after="0" w:line="240" w:lineRule="auto"/>
              <w:rPr>
                <w:sz w:val="18"/>
                <w:szCs w:val="18"/>
              </w:rPr>
            </w:pPr>
            <w:r w:rsidRPr="00A32741">
              <w:rPr>
                <w:sz w:val="18"/>
                <w:szCs w:val="18"/>
              </w:rPr>
              <w:t>Aug-2012</w:t>
            </w:r>
          </w:p>
        </w:tc>
        <w:tc>
          <w:tcPr>
            <w:tcW w:w="1273" w:type="dxa"/>
            <w:noWrap/>
            <w:hideMark/>
          </w:tcPr>
          <w:p w14:paraId="6FE77EF7" w14:textId="77777777" w:rsidR="00677577" w:rsidRPr="00A32741" w:rsidRDefault="00677577" w:rsidP="00E05632">
            <w:pPr>
              <w:spacing w:after="0" w:line="240" w:lineRule="auto"/>
              <w:jc w:val="right"/>
              <w:rPr>
                <w:sz w:val="18"/>
                <w:szCs w:val="18"/>
              </w:rPr>
            </w:pPr>
            <w:r w:rsidRPr="00A32741">
              <w:rPr>
                <w:sz w:val="18"/>
                <w:szCs w:val="18"/>
              </w:rPr>
              <w:t>489.4</w:t>
            </w:r>
          </w:p>
        </w:tc>
        <w:tc>
          <w:tcPr>
            <w:tcW w:w="1465" w:type="dxa"/>
            <w:noWrap/>
            <w:hideMark/>
          </w:tcPr>
          <w:p w14:paraId="1EFEC118" w14:textId="77777777" w:rsidR="00677577" w:rsidRPr="00A32741" w:rsidRDefault="00677577" w:rsidP="00E05632">
            <w:pPr>
              <w:spacing w:after="0" w:line="240" w:lineRule="auto"/>
              <w:jc w:val="right"/>
              <w:rPr>
                <w:sz w:val="18"/>
                <w:szCs w:val="18"/>
              </w:rPr>
            </w:pPr>
            <w:r w:rsidRPr="00A32741">
              <w:rPr>
                <w:sz w:val="18"/>
                <w:szCs w:val="18"/>
              </w:rPr>
              <w:t>1,310.9</w:t>
            </w:r>
          </w:p>
        </w:tc>
        <w:tc>
          <w:tcPr>
            <w:tcW w:w="1332" w:type="dxa"/>
            <w:noWrap/>
            <w:hideMark/>
          </w:tcPr>
          <w:p w14:paraId="2E4276D5" w14:textId="77777777" w:rsidR="00677577" w:rsidRPr="00A32741" w:rsidRDefault="00677577" w:rsidP="00E05632">
            <w:pPr>
              <w:spacing w:after="0" w:line="240" w:lineRule="auto"/>
              <w:jc w:val="right"/>
              <w:rPr>
                <w:sz w:val="18"/>
                <w:szCs w:val="18"/>
              </w:rPr>
            </w:pPr>
            <w:r w:rsidRPr="00A32741">
              <w:rPr>
                <w:sz w:val="18"/>
                <w:szCs w:val="18"/>
              </w:rPr>
              <w:t>235.4</w:t>
            </w:r>
          </w:p>
        </w:tc>
        <w:tc>
          <w:tcPr>
            <w:tcW w:w="1277" w:type="dxa"/>
            <w:noWrap/>
            <w:hideMark/>
          </w:tcPr>
          <w:p w14:paraId="46D59D4C" w14:textId="77777777" w:rsidR="00677577" w:rsidRPr="00A32741" w:rsidRDefault="00677577" w:rsidP="00E05632">
            <w:pPr>
              <w:spacing w:after="0" w:line="240" w:lineRule="auto"/>
              <w:jc w:val="right"/>
              <w:rPr>
                <w:sz w:val="18"/>
                <w:szCs w:val="18"/>
              </w:rPr>
            </w:pPr>
            <w:r w:rsidRPr="00A32741">
              <w:rPr>
                <w:sz w:val="18"/>
                <w:szCs w:val="18"/>
              </w:rPr>
              <w:t>727.4</w:t>
            </w:r>
          </w:p>
        </w:tc>
        <w:tc>
          <w:tcPr>
            <w:tcW w:w="1520" w:type="dxa"/>
            <w:noWrap/>
            <w:hideMark/>
          </w:tcPr>
          <w:p w14:paraId="0C00573C" w14:textId="77777777" w:rsidR="00677577" w:rsidRPr="00A32741" w:rsidRDefault="00677577" w:rsidP="00E05632">
            <w:pPr>
              <w:spacing w:after="0" w:line="240" w:lineRule="auto"/>
              <w:jc w:val="right"/>
              <w:rPr>
                <w:sz w:val="18"/>
                <w:szCs w:val="18"/>
              </w:rPr>
            </w:pPr>
            <w:r w:rsidRPr="00A32741">
              <w:rPr>
                <w:sz w:val="18"/>
                <w:szCs w:val="18"/>
              </w:rPr>
              <w:t>1,267.0</w:t>
            </w:r>
          </w:p>
        </w:tc>
        <w:tc>
          <w:tcPr>
            <w:tcW w:w="1010" w:type="dxa"/>
            <w:noWrap/>
            <w:hideMark/>
          </w:tcPr>
          <w:p w14:paraId="041F5E7C" w14:textId="77777777" w:rsidR="00677577" w:rsidRPr="00A32741" w:rsidRDefault="00677577" w:rsidP="00E05632">
            <w:pPr>
              <w:spacing w:after="0" w:line="240" w:lineRule="auto"/>
              <w:jc w:val="right"/>
              <w:rPr>
                <w:sz w:val="18"/>
                <w:szCs w:val="18"/>
              </w:rPr>
            </w:pPr>
            <w:r w:rsidRPr="00A32741">
              <w:rPr>
                <w:sz w:val="18"/>
                <w:szCs w:val="18"/>
              </w:rPr>
              <w:t>653.9</w:t>
            </w:r>
          </w:p>
        </w:tc>
        <w:tc>
          <w:tcPr>
            <w:tcW w:w="1188" w:type="dxa"/>
            <w:noWrap/>
            <w:hideMark/>
          </w:tcPr>
          <w:p w14:paraId="42786BAD" w14:textId="77777777" w:rsidR="00677577" w:rsidRPr="00A32741" w:rsidRDefault="00677577" w:rsidP="00E05632">
            <w:pPr>
              <w:spacing w:after="0" w:line="240" w:lineRule="auto"/>
              <w:jc w:val="right"/>
              <w:rPr>
                <w:sz w:val="18"/>
                <w:szCs w:val="18"/>
              </w:rPr>
            </w:pPr>
            <w:r w:rsidRPr="00A32741">
              <w:rPr>
                <w:sz w:val="18"/>
                <w:szCs w:val="18"/>
              </w:rPr>
              <w:t>57.3</w:t>
            </w:r>
          </w:p>
        </w:tc>
        <w:tc>
          <w:tcPr>
            <w:tcW w:w="1166" w:type="dxa"/>
            <w:noWrap/>
            <w:hideMark/>
          </w:tcPr>
          <w:p w14:paraId="20C7A145" w14:textId="77777777" w:rsidR="00677577" w:rsidRPr="00A32741" w:rsidRDefault="00677577" w:rsidP="00E05632">
            <w:pPr>
              <w:spacing w:after="0" w:line="240" w:lineRule="auto"/>
              <w:jc w:val="right"/>
              <w:rPr>
                <w:sz w:val="18"/>
                <w:szCs w:val="18"/>
              </w:rPr>
            </w:pPr>
            <w:r w:rsidRPr="00A32741">
              <w:rPr>
                <w:sz w:val="18"/>
                <w:szCs w:val="18"/>
              </w:rPr>
              <w:t>414.7</w:t>
            </w:r>
          </w:p>
        </w:tc>
        <w:tc>
          <w:tcPr>
            <w:tcW w:w="1044" w:type="dxa"/>
            <w:tcBorders>
              <w:top w:val="nil"/>
              <w:left w:val="nil"/>
              <w:bottom w:val="nil"/>
              <w:right w:val="single" w:sz="4" w:space="0" w:color="auto"/>
            </w:tcBorders>
            <w:noWrap/>
            <w:hideMark/>
          </w:tcPr>
          <w:p w14:paraId="25828A3E" w14:textId="77777777" w:rsidR="00677577" w:rsidRPr="00A32741" w:rsidRDefault="00677577" w:rsidP="00E05632">
            <w:pPr>
              <w:spacing w:after="0" w:line="240" w:lineRule="auto"/>
              <w:jc w:val="right"/>
              <w:rPr>
                <w:sz w:val="18"/>
                <w:szCs w:val="18"/>
              </w:rPr>
            </w:pPr>
            <w:r w:rsidRPr="00A32741">
              <w:rPr>
                <w:sz w:val="18"/>
                <w:szCs w:val="18"/>
              </w:rPr>
              <w:t>5,155.9</w:t>
            </w:r>
          </w:p>
        </w:tc>
      </w:tr>
      <w:tr w:rsidR="00677577" w:rsidRPr="00BB4D6B" w14:paraId="31953898" w14:textId="77777777">
        <w:trPr>
          <w:trHeight w:val="287"/>
        </w:trPr>
        <w:tc>
          <w:tcPr>
            <w:tcW w:w="2526" w:type="dxa"/>
            <w:tcBorders>
              <w:top w:val="nil"/>
              <w:left w:val="single" w:sz="4" w:space="0" w:color="auto"/>
              <w:bottom w:val="nil"/>
              <w:right w:val="nil"/>
            </w:tcBorders>
            <w:noWrap/>
            <w:hideMark/>
          </w:tcPr>
          <w:p w14:paraId="00FE7C14" w14:textId="77777777" w:rsidR="00677577" w:rsidRPr="00A32741" w:rsidRDefault="00677577">
            <w:pPr>
              <w:spacing w:after="0" w:line="240" w:lineRule="auto"/>
              <w:rPr>
                <w:sz w:val="18"/>
                <w:szCs w:val="18"/>
              </w:rPr>
            </w:pPr>
            <w:r w:rsidRPr="00A32741">
              <w:rPr>
                <w:sz w:val="18"/>
                <w:szCs w:val="18"/>
              </w:rPr>
              <w:t>Aug-2022</w:t>
            </w:r>
          </w:p>
        </w:tc>
        <w:tc>
          <w:tcPr>
            <w:tcW w:w="1273" w:type="dxa"/>
            <w:noWrap/>
            <w:hideMark/>
          </w:tcPr>
          <w:p w14:paraId="3DEAC09D" w14:textId="77777777" w:rsidR="00677577" w:rsidRPr="00A32741" w:rsidRDefault="00677577" w:rsidP="00E05632">
            <w:pPr>
              <w:spacing w:after="0" w:line="240" w:lineRule="auto"/>
              <w:jc w:val="right"/>
              <w:rPr>
                <w:sz w:val="18"/>
                <w:szCs w:val="18"/>
              </w:rPr>
            </w:pPr>
            <w:r w:rsidRPr="00A32741">
              <w:rPr>
                <w:sz w:val="18"/>
                <w:szCs w:val="18"/>
              </w:rPr>
              <w:t>735.2</w:t>
            </w:r>
          </w:p>
        </w:tc>
        <w:tc>
          <w:tcPr>
            <w:tcW w:w="1465" w:type="dxa"/>
            <w:noWrap/>
            <w:hideMark/>
          </w:tcPr>
          <w:p w14:paraId="71EC2D76" w14:textId="77777777" w:rsidR="00677577" w:rsidRPr="00A32741" w:rsidRDefault="00677577" w:rsidP="00E05632">
            <w:pPr>
              <w:spacing w:after="0" w:line="240" w:lineRule="auto"/>
              <w:jc w:val="right"/>
              <w:rPr>
                <w:sz w:val="18"/>
                <w:szCs w:val="18"/>
              </w:rPr>
            </w:pPr>
            <w:r w:rsidRPr="00A32741">
              <w:rPr>
                <w:sz w:val="18"/>
                <w:szCs w:val="18"/>
              </w:rPr>
              <w:t>1,935.0</w:t>
            </w:r>
          </w:p>
        </w:tc>
        <w:tc>
          <w:tcPr>
            <w:tcW w:w="1332" w:type="dxa"/>
            <w:noWrap/>
            <w:hideMark/>
          </w:tcPr>
          <w:p w14:paraId="0C98F8CA" w14:textId="77777777" w:rsidR="00677577" w:rsidRPr="00A32741" w:rsidRDefault="00677577" w:rsidP="00E05632">
            <w:pPr>
              <w:spacing w:after="0" w:line="240" w:lineRule="auto"/>
              <w:jc w:val="right"/>
              <w:rPr>
                <w:sz w:val="18"/>
                <w:szCs w:val="18"/>
              </w:rPr>
            </w:pPr>
            <w:r w:rsidRPr="00A32741">
              <w:rPr>
                <w:sz w:val="18"/>
                <w:szCs w:val="18"/>
              </w:rPr>
              <w:t>311.9</w:t>
            </w:r>
          </w:p>
        </w:tc>
        <w:tc>
          <w:tcPr>
            <w:tcW w:w="1277" w:type="dxa"/>
            <w:noWrap/>
            <w:hideMark/>
          </w:tcPr>
          <w:p w14:paraId="638D06AB" w14:textId="77777777" w:rsidR="00677577" w:rsidRPr="00A32741" w:rsidRDefault="00677577" w:rsidP="00E05632">
            <w:pPr>
              <w:spacing w:after="0" w:line="240" w:lineRule="auto"/>
              <w:jc w:val="right"/>
              <w:rPr>
                <w:sz w:val="18"/>
                <w:szCs w:val="18"/>
              </w:rPr>
            </w:pPr>
            <w:r w:rsidRPr="00A32741">
              <w:rPr>
                <w:sz w:val="18"/>
                <w:szCs w:val="18"/>
              </w:rPr>
              <w:t>1,037.1</w:t>
            </w:r>
          </w:p>
        </w:tc>
        <w:tc>
          <w:tcPr>
            <w:tcW w:w="1520" w:type="dxa"/>
            <w:noWrap/>
            <w:hideMark/>
          </w:tcPr>
          <w:p w14:paraId="3445AB2F" w14:textId="77777777" w:rsidR="00677577" w:rsidRPr="00A32741" w:rsidRDefault="00677577" w:rsidP="00E05632">
            <w:pPr>
              <w:spacing w:after="0" w:line="240" w:lineRule="auto"/>
              <w:jc w:val="right"/>
              <w:rPr>
                <w:sz w:val="18"/>
                <w:szCs w:val="18"/>
              </w:rPr>
            </w:pPr>
            <w:r w:rsidRPr="00A32741">
              <w:rPr>
                <w:sz w:val="18"/>
                <w:szCs w:val="18"/>
              </w:rPr>
              <w:t>1,281.2</w:t>
            </w:r>
          </w:p>
        </w:tc>
        <w:tc>
          <w:tcPr>
            <w:tcW w:w="1010" w:type="dxa"/>
            <w:noWrap/>
            <w:hideMark/>
          </w:tcPr>
          <w:p w14:paraId="6FC4F47A" w14:textId="77777777" w:rsidR="00677577" w:rsidRPr="00A32741" w:rsidRDefault="00677577" w:rsidP="00E05632">
            <w:pPr>
              <w:spacing w:after="0" w:line="240" w:lineRule="auto"/>
              <w:jc w:val="right"/>
              <w:rPr>
                <w:sz w:val="18"/>
                <w:szCs w:val="18"/>
              </w:rPr>
            </w:pPr>
            <w:r w:rsidRPr="00A32741">
              <w:rPr>
                <w:sz w:val="18"/>
                <w:szCs w:val="18"/>
              </w:rPr>
              <w:t>659.0</w:t>
            </w:r>
          </w:p>
        </w:tc>
        <w:tc>
          <w:tcPr>
            <w:tcW w:w="1188" w:type="dxa"/>
            <w:noWrap/>
            <w:hideMark/>
          </w:tcPr>
          <w:p w14:paraId="71E3D451" w14:textId="77777777" w:rsidR="00677577" w:rsidRPr="00A32741" w:rsidRDefault="00677577" w:rsidP="00E05632">
            <w:pPr>
              <w:spacing w:after="0" w:line="240" w:lineRule="auto"/>
              <w:jc w:val="right"/>
              <w:rPr>
                <w:sz w:val="18"/>
                <w:szCs w:val="18"/>
              </w:rPr>
            </w:pPr>
            <w:r w:rsidRPr="00A32741">
              <w:rPr>
                <w:sz w:val="18"/>
                <w:szCs w:val="18"/>
              </w:rPr>
              <w:t>124.0</w:t>
            </w:r>
          </w:p>
        </w:tc>
        <w:tc>
          <w:tcPr>
            <w:tcW w:w="1166" w:type="dxa"/>
            <w:noWrap/>
            <w:hideMark/>
          </w:tcPr>
          <w:p w14:paraId="4C552C20" w14:textId="77777777" w:rsidR="00677577" w:rsidRPr="00A32741" w:rsidRDefault="00677577" w:rsidP="00E05632">
            <w:pPr>
              <w:spacing w:after="0" w:line="240" w:lineRule="auto"/>
              <w:jc w:val="right"/>
              <w:rPr>
                <w:sz w:val="18"/>
                <w:szCs w:val="18"/>
              </w:rPr>
            </w:pPr>
            <w:r w:rsidRPr="00A32741">
              <w:rPr>
                <w:sz w:val="18"/>
                <w:szCs w:val="18"/>
              </w:rPr>
              <w:t>412.7</w:t>
            </w:r>
          </w:p>
        </w:tc>
        <w:tc>
          <w:tcPr>
            <w:tcW w:w="1044" w:type="dxa"/>
            <w:tcBorders>
              <w:top w:val="nil"/>
              <w:left w:val="nil"/>
              <w:bottom w:val="nil"/>
              <w:right w:val="single" w:sz="4" w:space="0" w:color="auto"/>
            </w:tcBorders>
            <w:noWrap/>
            <w:hideMark/>
          </w:tcPr>
          <w:p w14:paraId="7A8A9579" w14:textId="77777777" w:rsidR="00677577" w:rsidRPr="00A32741" w:rsidRDefault="00677577" w:rsidP="00E05632">
            <w:pPr>
              <w:spacing w:after="0" w:line="240" w:lineRule="auto"/>
              <w:jc w:val="right"/>
              <w:rPr>
                <w:sz w:val="18"/>
                <w:szCs w:val="18"/>
              </w:rPr>
            </w:pPr>
            <w:r w:rsidRPr="00A32741">
              <w:rPr>
                <w:sz w:val="18"/>
                <w:szCs w:val="18"/>
              </w:rPr>
              <w:t>6,496.2</w:t>
            </w:r>
          </w:p>
        </w:tc>
      </w:tr>
      <w:tr w:rsidR="00677577" w:rsidRPr="00BB4D6B" w14:paraId="1AB6AB8E" w14:textId="77777777">
        <w:trPr>
          <w:trHeight w:val="287"/>
        </w:trPr>
        <w:tc>
          <w:tcPr>
            <w:tcW w:w="2526" w:type="dxa"/>
            <w:tcBorders>
              <w:top w:val="nil"/>
              <w:left w:val="single" w:sz="4" w:space="0" w:color="auto"/>
              <w:bottom w:val="nil"/>
              <w:right w:val="nil"/>
            </w:tcBorders>
            <w:noWrap/>
            <w:hideMark/>
          </w:tcPr>
          <w:p w14:paraId="44A8FFF4" w14:textId="77777777" w:rsidR="00677577" w:rsidRPr="00A32741" w:rsidRDefault="00677577">
            <w:pPr>
              <w:spacing w:after="0" w:line="240" w:lineRule="auto"/>
              <w:rPr>
                <w:sz w:val="18"/>
                <w:szCs w:val="18"/>
              </w:rPr>
            </w:pPr>
            <w:r w:rsidRPr="00A32741">
              <w:rPr>
                <w:sz w:val="18"/>
                <w:szCs w:val="18"/>
              </w:rPr>
              <w:t>Aug-2024</w:t>
            </w:r>
          </w:p>
        </w:tc>
        <w:tc>
          <w:tcPr>
            <w:tcW w:w="1273" w:type="dxa"/>
            <w:noWrap/>
            <w:hideMark/>
          </w:tcPr>
          <w:p w14:paraId="226FFA3A" w14:textId="77777777" w:rsidR="00677577" w:rsidRPr="00A32741" w:rsidRDefault="00677577" w:rsidP="00E05632">
            <w:pPr>
              <w:spacing w:after="0" w:line="240" w:lineRule="auto"/>
              <w:jc w:val="right"/>
              <w:rPr>
                <w:sz w:val="18"/>
                <w:szCs w:val="18"/>
              </w:rPr>
            </w:pPr>
            <w:r w:rsidRPr="00A32741">
              <w:rPr>
                <w:sz w:val="18"/>
                <w:szCs w:val="18"/>
              </w:rPr>
              <w:t>760.6</w:t>
            </w:r>
          </w:p>
        </w:tc>
        <w:tc>
          <w:tcPr>
            <w:tcW w:w="1465" w:type="dxa"/>
            <w:noWrap/>
            <w:hideMark/>
          </w:tcPr>
          <w:p w14:paraId="3CDF3A98" w14:textId="77777777" w:rsidR="00677577" w:rsidRPr="00A32741" w:rsidRDefault="00677577" w:rsidP="00E05632">
            <w:pPr>
              <w:spacing w:after="0" w:line="240" w:lineRule="auto"/>
              <w:jc w:val="right"/>
              <w:rPr>
                <w:sz w:val="18"/>
                <w:szCs w:val="18"/>
              </w:rPr>
            </w:pPr>
            <w:r w:rsidRPr="00A32741">
              <w:rPr>
                <w:sz w:val="18"/>
                <w:szCs w:val="18"/>
              </w:rPr>
              <w:t>2,097.4</w:t>
            </w:r>
          </w:p>
        </w:tc>
        <w:tc>
          <w:tcPr>
            <w:tcW w:w="1332" w:type="dxa"/>
            <w:noWrap/>
            <w:hideMark/>
          </w:tcPr>
          <w:p w14:paraId="5AD7A38C" w14:textId="77777777" w:rsidR="00677577" w:rsidRPr="00A32741" w:rsidRDefault="00677577" w:rsidP="00E05632">
            <w:pPr>
              <w:spacing w:after="0" w:line="240" w:lineRule="auto"/>
              <w:jc w:val="right"/>
              <w:rPr>
                <w:sz w:val="18"/>
                <w:szCs w:val="18"/>
              </w:rPr>
            </w:pPr>
            <w:r w:rsidRPr="00A32741">
              <w:rPr>
                <w:sz w:val="18"/>
                <w:szCs w:val="18"/>
              </w:rPr>
              <w:t>333.8</w:t>
            </w:r>
          </w:p>
        </w:tc>
        <w:tc>
          <w:tcPr>
            <w:tcW w:w="1277" w:type="dxa"/>
            <w:noWrap/>
            <w:hideMark/>
          </w:tcPr>
          <w:p w14:paraId="1DAA12E5" w14:textId="77777777" w:rsidR="00677577" w:rsidRPr="00A32741" w:rsidRDefault="00677577" w:rsidP="00E05632">
            <w:pPr>
              <w:spacing w:after="0" w:line="240" w:lineRule="auto"/>
              <w:jc w:val="right"/>
              <w:rPr>
                <w:sz w:val="18"/>
                <w:szCs w:val="18"/>
              </w:rPr>
            </w:pPr>
            <w:r w:rsidRPr="00A32741">
              <w:rPr>
                <w:sz w:val="18"/>
                <w:szCs w:val="18"/>
              </w:rPr>
              <w:t>1,143.5</w:t>
            </w:r>
          </w:p>
        </w:tc>
        <w:tc>
          <w:tcPr>
            <w:tcW w:w="1520" w:type="dxa"/>
            <w:noWrap/>
            <w:hideMark/>
          </w:tcPr>
          <w:p w14:paraId="20A39749" w14:textId="77777777" w:rsidR="00677577" w:rsidRPr="00A32741" w:rsidRDefault="00677577" w:rsidP="00E05632">
            <w:pPr>
              <w:spacing w:after="0" w:line="240" w:lineRule="auto"/>
              <w:jc w:val="right"/>
              <w:rPr>
                <w:sz w:val="18"/>
                <w:szCs w:val="18"/>
              </w:rPr>
            </w:pPr>
            <w:r w:rsidRPr="00A32741">
              <w:rPr>
                <w:sz w:val="18"/>
                <w:szCs w:val="18"/>
              </w:rPr>
              <w:t>1,346.2</w:t>
            </w:r>
          </w:p>
        </w:tc>
        <w:tc>
          <w:tcPr>
            <w:tcW w:w="1010" w:type="dxa"/>
            <w:noWrap/>
            <w:hideMark/>
          </w:tcPr>
          <w:p w14:paraId="3EEF98EC" w14:textId="77777777" w:rsidR="00677577" w:rsidRPr="00A32741" w:rsidRDefault="00677577" w:rsidP="00E05632">
            <w:pPr>
              <w:spacing w:after="0" w:line="240" w:lineRule="auto"/>
              <w:jc w:val="right"/>
              <w:rPr>
                <w:sz w:val="18"/>
                <w:szCs w:val="18"/>
              </w:rPr>
            </w:pPr>
            <w:r w:rsidRPr="00A32741">
              <w:rPr>
                <w:sz w:val="18"/>
                <w:szCs w:val="18"/>
              </w:rPr>
              <w:t>650.7</w:t>
            </w:r>
          </w:p>
        </w:tc>
        <w:tc>
          <w:tcPr>
            <w:tcW w:w="1188" w:type="dxa"/>
            <w:noWrap/>
            <w:hideMark/>
          </w:tcPr>
          <w:p w14:paraId="08CA6191" w14:textId="77777777" w:rsidR="00677577" w:rsidRPr="00A32741" w:rsidRDefault="00677577" w:rsidP="00E05632">
            <w:pPr>
              <w:spacing w:after="0" w:line="240" w:lineRule="auto"/>
              <w:jc w:val="right"/>
              <w:rPr>
                <w:sz w:val="18"/>
                <w:szCs w:val="18"/>
              </w:rPr>
            </w:pPr>
            <w:r w:rsidRPr="00A32741">
              <w:rPr>
                <w:sz w:val="18"/>
                <w:szCs w:val="18"/>
              </w:rPr>
              <w:t>113.4</w:t>
            </w:r>
          </w:p>
        </w:tc>
        <w:tc>
          <w:tcPr>
            <w:tcW w:w="1166" w:type="dxa"/>
            <w:noWrap/>
            <w:hideMark/>
          </w:tcPr>
          <w:p w14:paraId="570DA442" w14:textId="77777777" w:rsidR="00677577" w:rsidRPr="00A32741" w:rsidRDefault="00677577" w:rsidP="00E05632">
            <w:pPr>
              <w:spacing w:after="0" w:line="240" w:lineRule="auto"/>
              <w:jc w:val="right"/>
              <w:rPr>
                <w:sz w:val="18"/>
                <w:szCs w:val="18"/>
              </w:rPr>
            </w:pPr>
            <w:r w:rsidRPr="00A32741">
              <w:rPr>
                <w:sz w:val="18"/>
                <w:szCs w:val="18"/>
              </w:rPr>
              <w:t>446.1</w:t>
            </w:r>
          </w:p>
        </w:tc>
        <w:tc>
          <w:tcPr>
            <w:tcW w:w="1044" w:type="dxa"/>
            <w:tcBorders>
              <w:top w:val="nil"/>
              <w:left w:val="nil"/>
              <w:bottom w:val="nil"/>
              <w:right w:val="single" w:sz="4" w:space="0" w:color="auto"/>
            </w:tcBorders>
            <w:noWrap/>
            <w:hideMark/>
          </w:tcPr>
          <w:p w14:paraId="416354BD" w14:textId="77777777" w:rsidR="00677577" w:rsidRPr="00A32741" w:rsidRDefault="00677577" w:rsidP="00E05632">
            <w:pPr>
              <w:spacing w:after="0" w:line="240" w:lineRule="auto"/>
              <w:jc w:val="right"/>
              <w:rPr>
                <w:sz w:val="18"/>
                <w:szCs w:val="18"/>
              </w:rPr>
            </w:pPr>
            <w:r w:rsidRPr="00A32741">
              <w:rPr>
                <w:sz w:val="18"/>
                <w:szCs w:val="18"/>
              </w:rPr>
              <w:t>6,891.7</w:t>
            </w:r>
          </w:p>
        </w:tc>
      </w:tr>
      <w:tr w:rsidR="00677577" w:rsidRPr="00BB4D6B" w14:paraId="31E1C901" w14:textId="77777777">
        <w:trPr>
          <w:trHeight w:val="341"/>
        </w:trPr>
        <w:tc>
          <w:tcPr>
            <w:tcW w:w="2526" w:type="dxa"/>
            <w:tcBorders>
              <w:top w:val="nil"/>
              <w:left w:val="single" w:sz="4" w:space="0" w:color="auto"/>
              <w:bottom w:val="nil"/>
              <w:right w:val="nil"/>
            </w:tcBorders>
            <w:noWrap/>
            <w:hideMark/>
          </w:tcPr>
          <w:p w14:paraId="6CE038B4" w14:textId="77777777" w:rsidR="00677577" w:rsidRPr="00A32741" w:rsidRDefault="00677577">
            <w:pPr>
              <w:spacing w:after="0" w:line="240" w:lineRule="auto"/>
              <w:rPr>
                <w:sz w:val="18"/>
                <w:szCs w:val="18"/>
              </w:rPr>
            </w:pPr>
            <w:r w:rsidRPr="00A32741">
              <w:rPr>
                <w:sz w:val="18"/>
                <w:szCs w:val="18"/>
              </w:rPr>
              <w:t xml:space="preserve">Change Aug 2012 </w:t>
            </w:r>
            <w:r w:rsidRPr="00A32741">
              <w:rPr>
                <w:rFonts w:ascii="Symbol" w:eastAsia="Symbol" w:hAnsi="Symbol" w:cs="Symbol"/>
                <w:sz w:val="18"/>
                <w:szCs w:val="18"/>
              </w:rPr>
              <w:sym w:font="Symbol" w:char="F02D"/>
            </w:r>
            <w:r w:rsidRPr="00A32741">
              <w:rPr>
                <w:sz w:val="18"/>
                <w:szCs w:val="18"/>
              </w:rPr>
              <w:t xml:space="preserve"> Aug 2022</w:t>
            </w:r>
          </w:p>
        </w:tc>
        <w:tc>
          <w:tcPr>
            <w:tcW w:w="1273" w:type="dxa"/>
            <w:noWrap/>
            <w:hideMark/>
          </w:tcPr>
          <w:p w14:paraId="70EC5496" w14:textId="77777777" w:rsidR="00677577" w:rsidRPr="00A32741" w:rsidRDefault="00677577" w:rsidP="00E05632">
            <w:pPr>
              <w:spacing w:after="0" w:line="240" w:lineRule="auto"/>
              <w:jc w:val="right"/>
              <w:rPr>
                <w:sz w:val="18"/>
                <w:szCs w:val="18"/>
              </w:rPr>
            </w:pPr>
            <w:r w:rsidRPr="00A32741">
              <w:rPr>
                <w:sz w:val="18"/>
                <w:szCs w:val="18"/>
              </w:rPr>
              <w:t>50.2%</w:t>
            </w:r>
          </w:p>
        </w:tc>
        <w:tc>
          <w:tcPr>
            <w:tcW w:w="1465" w:type="dxa"/>
            <w:noWrap/>
            <w:hideMark/>
          </w:tcPr>
          <w:p w14:paraId="357600CB" w14:textId="77777777" w:rsidR="00677577" w:rsidRPr="00A32741" w:rsidRDefault="00677577" w:rsidP="00E05632">
            <w:pPr>
              <w:spacing w:after="0" w:line="240" w:lineRule="auto"/>
              <w:jc w:val="right"/>
              <w:rPr>
                <w:sz w:val="18"/>
                <w:szCs w:val="18"/>
              </w:rPr>
            </w:pPr>
            <w:r w:rsidRPr="00A32741">
              <w:rPr>
                <w:sz w:val="18"/>
                <w:szCs w:val="18"/>
              </w:rPr>
              <w:t>47.6%</w:t>
            </w:r>
          </w:p>
        </w:tc>
        <w:tc>
          <w:tcPr>
            <w:tcW w:w="1332" w:type="dxa"/>
            <w:noWrap/>
            <w:hideMark/>
          </w:tcPr>
          <w:p w14:paraId="0B0940CB" w14:textId="77777777" w:rsidR="00677577" w:rsidRPr="00A32741" w:rsidRDefault="00677577" w:rsidP="00E05632">
            <w:pPr>
              <w:spacing w:after="0" w:line="240" w:lineRule="auto"/>
              <w:jc w:val="right"/>
              <w:rPr>
                <w:sz w:val="18"/>
                <w:szCs w:val="18"/>
              </w:rPr>
            </w:pPr>
            <w:r w:rsidRPr="00A32741">
              <w:rPr>
                <w:sz w:val="18"/>
                <w:szCs w:val="18"/>
              </w:rPr>
              <w:t>32.5%</w:t>
            </w:r>
          </w:p>
        </w:tc>
        <w:tc>
          <w:tcPr>
            <w:tcW w:w="1277" w:type="dxa"/>
            <w:noWrap/>
            <w:hideMark/>
          </w:tcPr>
          <w:p w14:paraId="7D076570" w14:textId="77777777" w:rsidR="00677577" w:rsidRPr="00A32741" w:rsidRDefault="00677577" w:rsidP="00E05632">
            <w:pPr>
              <w:spacing w:after="0" w:line="240" w:lineRule="auto"/>
              <w:jc w:val="right"/>
              <w:rPr>
                <w:sz w:val="18"/>
                <w:szCs w:val="18"/>
              </w:rPr>
            </w:pPr>
            <w:r w:rsidRPr="00A32741">
              <w:rPr>
                <w:sz w:val="18"/>
                <w:szCs w:val="18"/>
              </w:rPr>
              <w:t>42.6%</w:t>
            </w:r>
          </w:p>
        </w:tc>
        <w:tc>
          <w:tcPr>
            <w:tcW w:w="1520" w:type="dxa"/>
            <w:noWrap/>
            <w:hideMark/>
          </w:tcPr>
          <w:p w14:paraId="1FCB74A6" w14:textId="77777777" w:rsidR="00677577" w:rsidRPr="00A32741" w:rsidRDefault="00677577" w:rsidP="00E05632">
            <w:pPr>
              <w:spacing w:after="0" w:line="240" w:lineRule="auto"/>
              <w:jc w:val="right"/>
              <w:rPr>
                <w:sz w:val="18"/>
                <w:szCs w:val="18"/>
              </w:rPr>
            </w:pPr>
            <w:r w:rsidRPr="00A32741">
              <w:rPr>
                <w:sz w:val="18"/>
                <w:szCs w:val="18"/>
              </w:rPr>
              <w:t>1.1%</w:t>
            </w:r>
          </w:p>
        </w:tc>
        <w:tc>
          <w:tcPr>
            <w:tcW w:w="1010" w:type="dxa"/>
            <w:noWrap/>
            <w:hideMark/>
          </w:tcPr>
          <w:p w14:paraId="5B46BAA0" w14:textId="77777777" w:rsidR="00677577" w:rsidRPr="00A32741" w:rsidRDefault="00677577" w:rsidP="00E05632">
            <w:pPr>
              <w:spacing w:after="0" w:line="240" w:lineRule="auto"/>
              <w:jc w:val="right"/>
              <w:rPr>
                <w:sz w:val="18"/>
                <w:szCs w:val="18"/>
              </w:rPr>
            </w:pPr>
            <w:r w:rsidRPr="00A32741">
              <w:rPr>
                <w:sz w:val="18"/>
                <w:szCs w:val="18"/>
              </w:rPr>
              <w:t>0.8%</w:t>
            </w:r>
          </w:p>
        </w:tc>
        <w:tc>
          <w:tcPr>
            <w:tcW w:w="1188" w:type="dxa"/>
            <w:noWrap/>
            <w:hideMark/>
          </w:tcPr>
          <w:p w14:paraId="4372806A" w14:textId="77777777" w:rsidR="00677577" w:rsidRPr="00A32741" w:rsidRDefault="00677577" w:rsidP="00E05632">
            <w:pPr>
              <w:spacing w:after="0" w:line="240" w:lineRule="auto"/>
              <w:jc w:val="right"/>
              <w:rPr>
                <w:sz w:val="18"/>
                <w:szCs w:val="18"/>
              </w:rPr>
            </w:pPr>
            <w:r w:rsidRPr="00A32741">
              <w:rPr>
                <w:sz w:val="18"/>
                <w:szCs w:val="18"/>
              </w:rPr>
              <w:t>116.5%</w:t>
            </w:r>
          </w:p>
        </w:tc>
        <w:tc>
          <w:tcPr>
            <w:tcW w:w="1166" w:type="dxa"/>
            <w:noWrap/>
            <w:hideMark/>
          </w:tcPr>
          <w:p w14:paraId="1AB538C1" w14:textId="77777777" w:rsidR="00677577" w:rsidRPr="00A32741" w:rsidRDefault="00677577" w:rsidP="00E05632">
            <w:pPr>
              <w:spacing w:after="0" w:line="240" w:lineRule="auto"/>
              <w:jc w:val="right"/>
              <w:rPr>
                <w:sz w:val="18"/>
                <w:szCs w:val="18"/>
              </w:rPr>
            </w:pPr>
            <w:r w:rsidRPr="00A32741">
              <w:rPr>
                <w:sz w:val="18"/>
                <w:szCs w:val="18"/>
              </w:rPr>
              <w:t>-0.5%</w:t>
            </w:r>
          </w:p>
        </w:tc>
        <w:tc>
          <w:tcPr>
            <w:tcW w:w="1044" w:type="dxa"/>
            <w:tcBorders>
              <w:top w:val="nil"/>
              <w:left w:val="nil"/>
              <w:bottom w:val="nil"/>
              <w:right w:val="single" w:sz="4" w:space="0" w:color="auto"/>
            </w:tcBorders>
            <w:noWrap/>
            <w:hideMark/>
          </w:tcPr>
          <w:p w14:paraId="354EFA36" w14:textId="77777777" w:rsidR="00677577" w:rsidRPr="00A32741" w:rsidRDefault="00677577" w:rsidP="00E05632">
            <w:pPr>
              <w:spacing w:after="0" w:line="240" w:lineRule="auto"/>
              <w:jc w:val="right"/>
              <w:rPr>
                <w:sz w:val="18"/>
                <w:szCs w:val="18"/>
              </w:rPr>
            </w:pPr>
            <w:r w:rsidRPr="00A32741">
              <w:rPr>
                <w:sz w:val="18"/>
                <w:szCs w:val="18"/>
              </w:rPr>
              <w:t>26.0%</w:t>
            </w:r>
          </w:p>
        </w:tc>
      </w:tr>
      <w:tr w:rsidR="00677577" w:rsidRPr="00BB4D6B" w14:paraId="37CC73D1" w14:textId="77777777">
        <w:trPr>
          <w:trHeight w:val="287"/>
        </w:trPr>
        <w:tc>
          <w:tcPr>
            <w:tcW w:w="2526" w:type="dxa"/>
            <w:tcBorders>
              <w:top w:val="nil"/>
              <w:left w:val="single" w:sz="4" w:space="0" w:color="auto"/>
              <w:bottom w:val="single" w:sz="4" w:space="0" w:color="auto"/>
              <w:right w:val="nil"/>
            </w:tcBorders>
            <w:noWrap/>
            <w:hideMark/>
          </w:tcPr>
          <w:p w14:paraId="3DE8E79B" w14:textId="77777777" w:rsidR="00677577" w:rsidRPr="00A32741" w:rsidRDefault="00677577">
            <w:pPr>
              <w:spacing w:after="0" w:line="240" w:lineRule="auto"/>
              <w:rPr>
                <w:sz w:val="18"/>
                <w:szCs w:val="18"/>
              </w:rPr>
            </w:pPr>
            <w:r w:rsidRPr="00A32741">
              <w:rPr>
                <w:sz w:val="18"/>
                <w:szCs w:val="18"/>
              </w:rPr>
              <w:t xml:space="preserve">Change Aug 2022 </w:t>
            </w:r>
            <w:r w:rsidRPr="00A32741">
              <w:rPr>
                <w:rFonts w:ascii="Symbol" w:eastAsia="Symbol" w:hAnsi="Symbol" w:cs="Symbol"/>
                <w:sz w:val="18"/>
                <w:szCs w:val="18"/>
              </w:rPr>
              <w:sym w:font="Symbol" w:char="F02D"/>
            </w:r>
            <w:r w:rsidRPr="00A32741">
              <w:rPr>
                <w:sz w:val="18"/>
                <w:szCs w:val="18"/>
              </w:rPr>
              <w:t xml:space="preserve"> Aug 2024</w:t>
            </w:r>
          </w:p>
        </w:tc>
        <w:tc>
          <w:tcPr>
            <w:tcW w:w="1273" w:type="dxa"/>
            <w:tcBorders>
              <w:top w:val="nil"/>
              <w:left w:val="nil"/>
              <w:bottom w:val="single" w:sz="4" w:space="0" w:color="auto"/>
              <w:right w:val="nil"/>
            </w:tcBorders>
            <w:noWrap/>
            <w:hideMark/>
          </w:tcPr>
          <w:p w14:paraId="2B0A00A6" w14:textId="77777777" w:rsidR="00677577" w:rsidRPr="00A32741" w:rsidRDefault="00677577" w:rsidP="00E05632">
            <w:pPr>
              <w:spacing w:after="0" w:line="240" w:lineRule="auto"/>
              <w:jc w:val="right"/>
              <w:rPr>
                <w:sz w:val="18"/>
                <w:szCs w:val="18"/>
              </w:rPr>
            </w:pPr>
            <w:r w:rsidRPr="00A32741">
              <w:rPr>
                <w:sz w:val="18"/>
                <w:szCs w:val="18"/>
              </w:rPr>
              <w:t>3.5%</w:t>
            </w:r>
          </w:p>
        </w:tc>
        <w:tc>
          <w:tcPr>
            <w:tcW w:w="1465" w:type="dxa"/>
            <w:tcBorders>
              <w:top w:val="nil"/>
              <w:left w:val="nil"/>
              <w:bottom w:val="single" w:sz="4" w:space="0" w:color="auto"/>
              <w:right w:val="nil"/>
            </w:tcBorders>
            <w:noWrap/>
            <w:hideMark/>
          </w:tcPr>
          <w:p w14:paraId="39C7A3E4" w14:textId="77777777" w:rsidR="00677577" w:rsidRPr="00A32741" w:rsidRDefault="00677577" w:rsidP="00E05632">
            <w:pPr>
              <w:spacing w:after="0" w:line="240" w:lineRule="auto"/>
              <w:jc w:val="right"/>
              <w:rPr>
                <w:sz w:val="18"/>
                <w:szCs w:val="18"/>
              </w:rPr>
            </w:pPr>
            <w:r w:rsidRPr="00A32741">
              <w:rPr>
                <w:sz w:val="18"/>
                <w:szCs w:val="18"/>
              </w:rPr>
              <w:t>8.4%</w:t>
            </w:r>
          </w:p>
        </w:tc>
        <w:tc>
          <w:tcPr>
            <w:tcW w:w="1332" w:type="dxa"/>
            <w:tcBorders>
              <w:top w:val="nil"/>
              <w:left w:val="nil"/>
              <w:bottom w:val="single" w:sz="4" w:space="0" w:color="auto"/>
              <w:right w:val="nil"/>
            </w:tcBorders>
            <w:noWrap/>
            <w:hideMark/>
          </w:tcPr>
          <w:p w14:paraId="3AE73586" w14:textId="77777777" w:rsidR="00677577" w:rsidRPr="00A32741" w:rsidRDefault="00677577" w:rsidP="00E05632">
            <w:pPr>
              <w:spacing w:after="0" w:line="240" w:lineRule="auto"/>
              <w:jc w:val="right"/>
              <w:rPr>
                <w:sz w:val="18"/>
                <w:szCs w:val="18"/>
              </w:rPr>
            </w:pPr>
            <w:r w:rsidRPr="00A32741">
              <w:rPr>
                <w:sz w:val="18"/>
                <w:szCs w:val="18"/>
              </w:rPr>
              <w:t>7.0%</w:t>
            </w:r>
          </w:p>
        </w:tc>
        <w:tc>
          <w:tcPr>
            <w:tcW w:w="1277" w:type="dxa"/>
            <w:tcBorders>
              <w:top w:val="nil"/>
              <w:left w:val="nil"/>
              <w:bottom w:val="single" w:sz="4" w:space="0" w:color="auto"/>
              <w:right w:val="nil"/>
            </w:tcBorders>
            <w:noWrap/>
            <w:hideMark/>
          </w:tcPr>
          <w:p w14:paraId="52FD2B66" w14:textId="77777777" w:rsidR="00677577" w:rsidRPr="00A32741" w:rsidRDefault="00677577" w:rsidP="00E05632">
            <w:pPr>
              <w:spacing w:after="0" w:line="240" w:lineRule="auto"/>
              <w:jc w:val="right"/>
              <w:rPr>
                <w:sz w:val="18"/>
                <w:szCs w:val="18"/>
              </w:rPr>
            </w:pPr>
            <w:r w:rsidRPr="00A32741">
              <w:rPr>
                <w:sz w:val="18"/>
                <w:szCs w:val="18"/>
              </w:rPr>
              <w:t>10.3%</w:t>
            </w:r>
          </w:p>
        </w:tc>
        <w:tc>
          <w:tcPr>
            <w:tcW w:w="1520" w:type="dxa"/>
            <w:tcBorders>
              <w:top w:val="nil"/>
              <w:left w:val="nil"/>
              <w:bottom w:val="single" w:sz="4" w:space="0" w:color="auto"/>
              <w:right w:val="nil"/>
            </w:tcBorders>
            <w:noWrap/>
            <w:hideMark/>
          </w:tcPr>
          <w:p w14:paraId="5576BA1A" w14:textId="77777777" w:rsidR="00677577" w:rsidRPr="00A32741" w:rsidRDefault="00677577" w:rsidP="00E05632">
            <w:pPr>
              <w:spacing w:after="0" w:line="240" w:lineRule="auto"/>
              <w:jc w:val="right"/>
              <w:rPr>
                <w:sz w:val="18"/>
                <w:szCs w:val="18"/>
              </w:rPr>
            </w:pPr>
            <w:r w:rsidRPr="00A32741">
              <w:rPr>
                <w:sz w:val="18"/>
                <w:szCs w:val="18"/>
              </w:rPr>
              <w:t>5.1%</w:t>
            </w:r>
          </w:p>
        </w:tc>
        <w:tc>
          <w:tcPr>
            <w:tcW w:w="1010" w:type="dxa"/>
            <w:tcBorders>
              <w:top w:val="nil"/>
              <w:left w:val="nil"/>
              <w:bottom w:val="single" w:sz="4" w:space="0" w:color="auto"/>
              <w:right w:val="nil"/>
            </w:tcBorders>
            <w:noWrap/>
            <w:hideMark/>
          </w:tcPr>
          <w:p w14:paraId="46CE4D50" w14:textId="77777777" w:rsidR="00677577" w:rsidRPr="00A32741" w:rsidRDefault="00677577" w:rsidP="00E05632">
            <w:pPr>
              <w:spacing w:after="0" w:line="240" w:lineRule="auto"/>
              <w:jc w:val="right"/>
              <w:rPr>
                <w:sz w:val="18"/>
                <w:szCs w:val="18"/>
              </w:rPr>
            </w:pPr>
            <w:r w:rsidRPr="00A32741">
              <w:rPr>
                <w:sz w:val="18"/>
                <w:szCs w:val="18"/>
              </w:rPr>
              <w:t>-1.3%</w:t>
            </w:r>
          </w:p>
        </w:tc>
        <w:tc>
          <w:tcPr>
            <w:tcW w:w="1188" w:type="dxa"/>
            <w:tcBorders>
              <w:top w:val="nil"/>
              <w:left w:val="nil"/>
              <w:bottom w:val="single" w:sz="4" w:space="0" w:color="auto"/>
              <w:right w:val="nil"/>
            </w:tcBorders>
            <w:noWrap/>
            <w:hideMark/>
          </w:tcPr>
          <w:p w14:paraId="7378D60B" w14:textId="77777777" w:rsidR="00677577" w:rsidRPr="00A32741" w:rsidRDefault="00677577" w:rsidP="00E05632">
            <w:pPr>
              <w:spacing w:after="0" w:line="240" w:lineRule="auto"/>
              <w:jc w:val="right"/>
              <w:rPr>
                <w:sz w:val="18"/>
                <w:szCs w:val="18"/>
              </w:rPr>
            </w:pPr>
            <w:r w:rsidRPr="00A32741">
              <w:rPr>
                <w:sz w:val="18"/>
                <w:szCs w:val="18"/>
              </w:rPr>
              <w:t>-8.5%</w:t>
            </w:r>
          </w:p>
        </w:tc>
        <w:tc>
          <w:tcPr>
            <w:tcW w:w="1166" w:type="dxa"/>
            <w:tcBorders>
              <w:top w:val="nil"/>
              <w:left w:val="nil"/>
              <w:bottom w:val="single" w:sz="4" w:space="0" w:color="auto"/>
              <w:right w:val="nil"/>
            </w:tcBorders>
            <w:noWrap/>
            <w:hideMark/>
          </w:tcPr>
          <w:p w14:paraId="7DB857FB" w14:textId="77777777" w:rsidR="00677577" w:rsidRPr="00A32741" w:rsidRDefault="00677577" w:rsidP="00E05632">
            <w:pPr>
              <w:spacing w:after="0" w:line="240" w:lineRule="auto"/>
              <w:jc w:val="right"/>
              <w:rPr>
                <w:sz w:val="18"/>
                <w:szCs w:val="18"/>
              </w:rPr>
            </w:pPr>
            <w:r w:rsidRPr="00A32741">
              <w:rPr>
                <w:sz w:val="18"/>
                <w:szCs w:val="18"/>
              </w:rPr>
              <w:t>8.1%</w:t>
            </w:r>
          </w:p>
        </w:tc>
        <w:tc>
          <w:tcPr>
            <w:tcW w:w="1044" w:type="dxa"/>
            <w:tcBorders>
              <w:top w:val="nil"/>
              <w:left w:val="nil"/>
              <w:bottom w:val="single" w:sz="4" w:space="0" w:color="auto"/>
              <w:right w:val="single" w:sz="4" w:space="0" w:color="auto"/>
            </w:tcBorders>
            <w:noWrap/>
            <w:hideMark/>
          </w:tcPr>
          <w:p w14:paraId="24143F48" w14:textId="77777777" w:rsidR="00677577" w:rsidRPr="00A32741" w:rsidRDefault="00677577" w:rsidP="00E05632">
            <w:pPr>
              <w:spacing w:after="0" w:line="240" w:lineRule="auto"/>
              <w:jc w:val="right"/>
              <w:rPr>
                <w:sz w:val="18"/>
                <w:szCs w:val="18"/>
              </w:rPr>
            </w:pPr>
            <w:r w:rsidRPr="00A32741">
              <w:rPr>
                <w:sz w:val="18"/>
                <w:szCs w:val="18"/>
              </w:rPr>
              <w:t>6.1%</w:t>
            </w:r>
          </w:p>
        </w:tc>
      </w:tr>
      <w:tr w:rsidR="00677577" w:rsidRPr="00BB4D6B" w14:paraId="0F5C01FD" w14:textId="77777777">
        <w:trPr>
          <w:trHeight w:val="287"/>
        </w:trPr>
        <w:tc>
          <w:tcPr>
            <w:tcW w:w="2526" w:type="dxa"/>
            <w:tcBorders>
              <w:top w:val="single" w:sz="4" w:space="0" w:color="auto"/>
              <w:left w:val="single" w:sz="4" w:space="0" w:color="auto"/>
              <w:bottom w:val="nil"/>
              <w:right w:val="nil"/>
            </w:tcBorders>
            <w:noWrap/>
            <w:hideMark/>
          </w:tcPr>
          <w:p w14:paraId="3983D76B" w14:textId="77777777" w:rsidR="00677577" w:rsidRPr="00BB4D6B" w:rsidRDefault="00677577">
            <w:pPr>
              <w:spacing w:after="0" w:line="240" w:lineRule="auto"/>
              <w:rPr>
                <w:b/>
                <w:bCs/>
                <w:sz w:val="20"/>
                <w:szCs w:val="20"/>
              </w:rPr>
            </w:pPr>
            <w:r w:rsidRPr="00BB4D6B">
              <w:rPr>
                <w:b/>
                <w:bCs/>
                <w:sz w:val="20"/>
                <w:szCs w:val="20"/>
              </w:rPr>
              <w:t>Persons</w:t>
            </w:r>
          </w:p>
        </w:tc>
        <w:tc>
          <w:tcPr>
            <w:tcW w:w="1273" w:type="dxa"/>
            <w:tcBorders>
              <w:top w:val="single" w:sz="4" w:space="0" w:color="auto"/>
              <w:left w:val="nil"/>
              <w:bottom w:val="nil"/>
              <w:right w:val="nil"/>
            </w:tcBorders>
            <w:noWrap/>
            <w:hideMark/>
          </w:tcPr>
          <w:p w14:paraId="11EBEA15" w14:textId="77777777" w:rsidR="00677577" w:rsidRPr="00BB4D6B" w:rsidRDefault="00677577" w:rsidP="00E05632">
            <w:pPr>
              <w:spacing w:after="0" w:line="240" w:lineRule="auto"/>
              <w:jc w:val="right"/>
              <w:rPr>
                <w:b/>
                <w:bCs/>
                <w:sz w:val="20"/>
                <w:szCs w:val="20"/>
              </w:rPr>
            </w:pPr>
          </w:p>
        </w:tc>
        <w:tc>
          <w:tcPr>
            <w:tcW w:w="1465" w:type="dxa"/>
            <w:tcBorders>
              <w:top w:val="single" w:sz="4" w:space="0" w:color="auto"/>
              <w:left w:val="nil"/>
              <w:bottom w:val="nil"/>
              <w:right w:val="nil"/>
            </w:tcBorders>
            <w:noWrap/>
            <w:hideMark/>
          </w:tcPr>
          <w:p w14:paraId="227FE2AD" w14:textId="77777777" w:rsidR="00677577" w:rsidRPr="00BB4D6B" w:rsidRDefault="00677577" w:rsidP="00E05632">
            <w:pPr>
              <w:spacing w:after="0" w:line="240" w:lineRule="auto"/>
              <w:jc w:val="right"/>
              <w:rPr>
                <w:sz w:val="20"/>
                <w:szCs w:val="20"/>
              </w:rPr>
            </w:pPr>
          </w:p>
        </w:tc>
        <w:tc>
          <w:tcPr>
            <w:tcW w:w="1332" w:type="dxa"/>
            <w:tcBorders>
              <w:top w:val="single" w:sz="4" w:space="0" w:color="auto"/>
              <w:left w:val="nil"/>
              <w:bottom w:val="nil"/>
              <w:right w:val="nil"/>
            </w:tcBorders>
            <w:noWrap/>
            <w:hideMark/>
          </w:tcPr>
          <w:p w14:paraId="1F27BF6C" w14:textId="77777777" w:rsidR="00677577" w:rsidRPr="00BB4D6B" w:rsidRDefault="00677577" w:rsidP="00E05632">
            <w:pPr>
              <w:spacing w:after="0" w:line="240" w:lineRule="auto"/>
              <w:jc w:val="right"/>
              <w:rPr>
                <w:sz w:val="20"/>
                <w:szCs w:val="20"/>
              </w:rPr>
            </w:pPr>
          </w:p>
        </w:tc>
        <w:tc>
          <w:tcPr>
            <w:tcW w:w="1277" w:type="dxa"/>
            <w:tcBorders>
              <w:top w:val="single" w:sz="4" w:space="0" w:color="auto"/>
              <w:left w:val="nil"/>
              <w:bottom w:val="nil"/>
              <w:right w:val="nil"/>
            </w:tcBorders>
            <w:noWrap/>
            <w:hideMark/>
          </w:tcPr>
          <w:p w14:paraId="52E74B07" w14:textId="77777777" w:rsidR="00677577" w:rsidRPr="00BB4D6B" w:rsidRDefault="00677577" w:rsidP="00E05632">
            <w:pPr>
              <w:spacing w:after="0" w:line="240" w:lineRule="auto"/>
              <w:jc w:val="right"/>
              <w:rPr>
                <w:sz w:val="20"/>
                <w:szCs w:val="20"/>
              </w:rPr>
            </w:pPr>
          </w:p>
        </w:tc>
        <w:tc>
          <w:tcPr>
            <w:tcW w:w="1520" w:type="dxa"/>
            <w:tcBorders>
              <w:top w:val="single" w:sz="4" w:space="0" w:color="auto"/>
              <w:left w:val="nil"/>
              <w:bottom w:val="nil"/>
              <w:right w:val="nil"/>
            </w:tcBorders>
            <w:noWrap/>
            <w:hideMark/>
          </w:tcPr>
          <w:p w14:paraId="0E363F9C" w14:textId="77777777" w:rsidR="00677577" w:rsidRPr="00BB4D6B" w:rsidRDefault="00677577" w:rsidP="00E05632">
            <w:pPr>
              <w:spacing w:after="0" w:line="240" w:lineRule="auto"/>
              <w:jc w:val="right"/>
              <w:rPr>
                <w:sz w:val="20"/>
                <w:szCs w:val="20"/>
              </w:rPr>
            </w:pPr>
          </w:p>
        </w:tc>
        <w:tc>
          <w:tcPr>
            <w:tcW w:w="1010" w:type="dxa"/>
            <w:tcBorders>
              <w:top w:val="single" w:sz="4" w:space="0" w:color="auto"/>
              <w:left w:val="nil"/>
              <w:bottom w:val="nil"/>
              <w:right w:val="nil"/>
            </w:tcBorders>
            <w:noWrap/>
            <w:hideMark/>
          </w:tcPr>
          <w:p w14:paraId="52330502" w14:textId="77777777" w:rsidR="00677577" w:rsidRPr="00BB4D6B" w:rsidRDefault="00677577" w:rsidP="00E05632">
            <w:pPr>
              <w:spacing w:after="0" w:line="240" w:lineRule="auto"/>
              <w:jc w:val="right"/>
              <w:rPr>
                <w:sz w:val="20"/>
                <w:szCs w:val="20"/>
              </w:rPr>
            </w:pPr>
          </w:p>
        </w:tc>
        <w:tc>
          <w:tcPr>
            <w:tcW w:w="1188" w:type="dxa"/>
            <w:tcBorders>
              <w:top w:val="single" w:sz="4" w:space="0" w:color="auto"/>
              <w:left w:val="nil"/>
              <w:bottom w:val="nil"/>
              <w:right w:val="nil"/>
            </w:tcBorders>
            <w:noWrap/>
            <w:hideMark/>
          </w:tcPr>
          <w:p w14:paraId="0A54068E" w14:textId="77777777" w:rsidR="00677577" w:rsidRPr="00BB4D6B" w:rsidRDefault="00677577" w:rsidP="00E05632">
            <w:pPr>
              <w:spacing w:after="0" w:line="240" w:lineRule="auto"/>
              <w:jc w:val="right"/>
              <w:rPr>
                <w:sz w:val="20"/>
                <w:szCs w:val="20"/>
              </w:rPr>
            </w:pPr>
          </w:p>
        </w:tc>
        <w:tc>
          <w:tcPr>
            <w:tcW w:w="1166" w:type="dxa"/>
            <w:tcBorders>
              <w:top w:val="single" w:sz="4" w:space="0" w:color="auto"/>
              <w:left w:val="nil"/>
              <w:bottom w:val="nil"/>
              <w:right w:val="nil"/>
            </w:tcBorders>
            <w:noWrap/>
            <w:hideMark/>
          </w:tcPr>
          <w:p w14:paraId="548C2D7B" w14:textId="77777777" w:rsidR="00677577" w:rsidRPr="00BB4D6B" w:rsidRDefault="00677577" w:rsidP="00E05632">
            <w:pPr>
              <w:spacing w:after="0" w:line="240" w:lineRule="auto"/>
              <w:jc w:val="right"/>
              <w:rPr>
                <w:sz w:val="20"/>
                <w:szCs w:val="20"/>
              </w:rPr>
            </w:pPr>
          </w:p>
        </w:tc>
        <w:tc>
          <w:tcPr>
            <w:tcW w:w="1044" w:type="dxa"/>
            <w:tcBorders>
              <w:top w:val="single" w:sz="4" w:space="0" w:color="auto"/>
              <w:left w:val="nil"/>
              <w:bottom w:val="nil"/>
              <w:right w:val="single" w:sz="4" w:space="0" w:color="auto"/>
            </w:tcBorders>
            <w:noWrap/>
            <w:hideMark/>
          </w:tcPr>
          <w:p w14:paraId="20B9B4DB" w14:textId="77777777" w:rsidR="00677577" w:rsidRPr="00BB4D6B" w:rsidRDefault="00677577" w:rsidP="00E05632">
            <w:pPr>
              <w:spacing w:after="0" w:line="240" w:lineRule="auto"/>
              <w:jc w:val="right"/>
              <w:rPr>
                <w:sz w:val="20"/>
                <w:szCs w:val="20"/>
              </w:rPr>
            </w:pPr>
          </w:p>
        </w:tc>
      </w:tr>
      <w:tr w:rsidR="00677577" w:rsidRPr="00BB4D6B" w14:paraId="433B31E9" w14:textId="77777777">
        <w:trPr>
          <w:trHeight w:val="287"/>
        </w:trPr>
        <w:tc>
          <w:tcPr>
            <w:tcW w:w="2526" w:type="dxa"/>
            <w:tcBorders>
              <w:top w:val="nil"/>
              <w:left w:val="single" w:sz="4" w:space="0" w:color="auto"/>
              <w:bottom w:val="nil"/>
              <w:right w:val="nil"/>
            </w:tcBorders>
            <w:noWrap/>
            <w:hideMark/>
          </w:tcPr>
          <w:p w14:paraId="57C504E0" w14:textId="77777777" w:rsidR="00677577" w:rsidRPr="00A32741" w:rsidRDefault="00677577">
            <w:pPr>
              <w:spacing w:after="0" w:line="240" w:lineRule="auto"/>
              <w:rPr>
                <w:sz w:val="18"/>
                <w:szCs w:val="18"/>
              </w:rPr>
            </w:pPr>
            <w:r w:rsidRPr="00A32741">
              <w:rPr>
                <w:sz w:val="18"/>
                <w:szCs w:val="18"/>
              </w:rPr>
              <w:t>Aug-2012</w:t>
            </w:r>
          </w:p>
        </w:tc>
        <w:tc>
          <w:tcPr>
            <w:tcW w:w="1273" w:type="dxa"/>
            <w:noWrap/>
            <w:hideMark/>
          </w:tcPr>
          <w:p w14:paraId="3C58E788" w14:textId="77777777" w:rsidR="00677577" w:rsidRPr="00A32741" w:rsidRDefault="00677577" w:rsidP="00E05632">
            <w:pPr>
              <w:spacing w:after="0" w:line="240" w:lineRule="auto"/>
              <w:jc w:val="right"/>
              <w:rPr>
                <w:sz w:val="18"/>
                <w:szCs w:val="18"/>
              </w:rPr>
            </w:pPr>
            <w:r w:rsidRPr="00A32741">
              <w:rPr>
                <w:sz w:val="18"/>
                <w:szCs w:val="18"/>
              </w:rPr>
              <w:t>1,429.1</w:t>
            </w:r>
          </w:p>
        </w:tc>
        <w:tc>
          <w:tcPr>
            <w:tcW w:w="1465" w:type="dxa"/>
            <w:noWrap/>
            <w:hideMark/>
          </w:tcPr>
          <w:p w14:paraId="39B7244C" w14:textId="77777777" w:rsidR="00677577" w:rsidRPr="00A32741" w:rsidRDefault="00677577" w:rsidP="00E05632">
            <w:pPr>
              <w:spacing w:after="0" w:line="240" w:lineRule="auto"/>
              <w:jc w:val="right"/>
              <w:rPr>
                <w:sz w:val="18"/>
                <w:szCs w:val="18"/>
              </w:rPr>
            </w:pPr>
            <w:r w:rsidRPr="00A32741">
              <w:rPr>
                <w:sz w:val="18"/>
                <w:szCs w:val="18"/>
              </w:rPr>
              <w:t>2,515.7</w:t>
            </w:r>
          </w:p>
        </w:tc>
        <w:tc>
          <w:tcPr>
            <w:tcW w:w="1332" w:type="dxa"/>
            <w:noWrap/>
            <w:hideMark/>
          </w:tcPr>
          <w:p w14:paraId="41F853EC" w14:textId="77777777" w:rsidR="00677577" w:rsidRPr="00A32741" w:rsidRDefault="00677577" w:rsidP="00E05632">
            <w:pPr>
              <w:spacing w:after="0" w:line="240" w:lineRule="auto"/>
              <w:jc w:val="right"/>
              <w:rPr>
                <w:sz w:val="18"/>
                <w:szCs w:val="18"/>
              </w:rPr>
            </w:pPr>
            <w:r w:rsidRPr="00A32741">
              <w:rPr>
                <w:sz w:val="18"/>
                <w:szCs w:val="18"/>
              </w:rPr>
              <w:t>1,654.4</w:t>
            </w:r>
          </w:p>
        </w:tc>
        <w:tc>
          <w:tcPr>
            <w:tcW w:w="1277" w:type="dxa"/>
            <w:noWrap/>
            <w:hideMark/>
          </w:tcPr>
          <w:p w14:paraId="6EB8562E" w14:textId="77777777" w:rsidR="00677577" w:rsidRPr="00A32741" w:rsidRDefault="00677577" w:rsidP="00E05632">
            <w:pPr>
              <w:spacing w:after="0" w:line="240" w:lineRule="auto"/>
              <w:jc w:val="right"/>
              <w:rPr>
                <w:sz w:val="18"/>
                <w:szCs w:val="18"/>
              </w:rPr>
            </w:pPr>
            <w:r w:rsidRPr="00A32741">
              <w:rPr>
                <w:sz w:val="18"/>
                <w:szCs w:val="18"/>
              </w:rPr>
              <w:t>1,064.5</w:t>
            </w:r>
          </w:p>
        </w:tc>
        <w:tc>
          <w:tcPr>
            <w:tcW w:w="1520" w:type="dxa"/>
            <w:noWrap/>
            <w:hideMark/>
          </w:tcPr>
          <w:p w14:paraId="30CF0D8F" w14:textId="77777777" w:rsidR="00677577" w:rsidRPr="00A32741" w:rsidRDefault="00677577" w:rsidP="00E05632">
            <w:pPr>
              <w:spacing w:after="0" w:line="240" w:lineRule="auto"/>
              <w:jc w:val="right"/>
              <w:rPr>
                <w:sz w:val="18"/>
                <w:szCs w:val="18"/>
              </w:rPr>
            </w:pPr>
            <w:r w:rsidRPr="00A32741">
              <w:rPr>
                <w:sz w:val="18"/>
                <w:szCs w:val="18"/>
              </w:rPr>
              <w:t>1,664.2</w:t>
            </w:r>
          </w:p>
        </w:tc>
        <w:tc>
          <w:tcPr>
            <w:tcW w:w="1010" w:type="dxa"/>
            <w:noWrap/>
            <w:hideMark/>
          </w:tcPr>
          <w:p w14:paraId="124801B1" w14:textId="77777777" w:rsidR="00677577" w:rsidRPr="00A32741" w:rsidRDefault="00677577" w:rsidP="00E05632">
            <w:pPr>
              <w:spacing w:after="0" w:line="240" w:lineRule="auto"/>
              <w:jc w:val="right"/>
              <w:rPr>
                <w:sz w:val="18"/>
                <w:szCs w:val="18"/>
              </w:rPr>
            </w:pPr>
            <w:r w:rsidRPr="00A32741">
              <w:rPr>
                <w:sz w:val="18"/>
                <w:szCs w:val="18"/>
              </w:rPr>
              <w:t>1,059.0</w:t>
            </w:r>
          </w:p>
        </w:tc>
        <w:tc>
          <w:tcPr>
            <w:tcW w:w="1188" w:type="dxa"/>
            <w:noWrap/>
            <w:hideMark/>
          </w:tcPr>
          <w:p w14:paraId="6F759580" w14:textId="77777777" w:rsidR="00677577" w:rsidRPr="00A32741" w:rsidRDefault="00677577" w:rsidP="00E05632">
            <w:pPr>
              <w:spacing w:after="0" w:line="240" w:lineRule="auto"/>
              <w:jc w:val="right"/>
              <w:rPr>
                <w:sz w:val="18"/>
                <w:szCs w:val="18"/>
              </w:rPr>
            </w:pPr>
            <w:r w:rsidRPr="00A32741">
              <w:rPr>
                <w:sz w:val="18"/>
                <w:szCs w:val="18"/>
              </w:rPr>
              <w:t>726.4</w:t>
            </w:r>
          </w:p>
        </w:tc>
        <w:tc>
          <w:tcPr>
            <w:tcW w:w="1166" w:type="dxa"/>
            <w:noWrap/>
            <w:hideMark/>
          </w:tcPr>
          <w:p w14:paraId="0CF5442B" w14:textId="77777777" w:rsidR="00677577" w:rsidRPr="00A32741" w:rsidRDefault="00677577" w:rsidP="00E05632">
            <w:pPr>
              <w:spacing w:after="0" w:line="240" w:lineRule="auto"/>
              <w:jc w:val="right"/>
              <w:rPr>
                <w:sz w:val="18"/>
                <w:szCs w:val="18"/>
              </w:rPr>
            </w:pPr>
            <w:r w:rsidRPr="00A32741">
              <w:rPr>
                <w:sz w:val="18"/>
                <w:szCs w:val="18"/>
              </w:rPr>
              <w:t>1,150.8</w:t>
            </w:r>
          </w:p>
        </w:tc>
        <w:tc>
          <w:tcPr>
            <w:tcW w:w="1044" w:type="dxa"/>
            <w:tcBorders>
              <w:top w:val="nil"/>
              <w:left w:val="nil"/>
              <w:bottom w:val="nil"/>
              <w:right w:val="single" w:sz="4" w:space="0" w:color="auto"/>
            </w:tcBorders>
            <w:noWrap/>
            <w:hideMark/>
          </w:tcPr>
          <w:p w14:paraId="3844D20E" w14:textId="77777777" w:rsidR="00677577" w:rsidRPr="00A32741" w:rsidRDefault="00677577" w:rsidP="00E05632">
            <w:pPr>
              <w:spacing w:after="0" w:line="240" w:lineRule="auto"/>
              <w:jc w:val="right"/>
              <w:rPr>
                <w:sz w:val="18"/>
                <w:szCs w:val="18"/>
              </w:rPr>
            </w:pPr>
            <w:r w:rsidRPr="00A32741">
              <w:rPr>
                <w:sz w:val="18"/>
                <w:szCs w:val="18"/>
              </w:rPr>
              <w:t>11,264.1</w:t>
            </w:r>
          </w:p>
        </w:tc>
      </w:tr>
      <w:tr w:rsidR="00677577" w:rsidRPr="00BB4D6B" w14:paraId="6050F6F7" w14:textId="77777777">
        <w:trPr>
          <w:trHeight w:val="287"/>
        </w:trPr>
        <w:tc>
          <w:tcPr>
            <w:tcW w:w="2526" w:type="dxa"/>
            <w:tcBorders>
              <w:top w:val="nil"/>
              <w:left w:val="single" w:sz="4" w:space="0" w:color="auto"/>
              <w:bottom w:val="nil"/>
              <w:right w:val="nil"/>
            </w:tcBorders>
            <w:noWrap/>
            <w:hideMark/>
          </w:tcPr>
          <w:p w14:paraId="50F694C8" w14:textId="77777777" w:rsidR="00677577" w:rsidRPr="00A32741" w:rsidRDefault="00677577">
            <w:pPr>
              <w:spacing w:after="0" w:line="240" w:lineRule="auto"/>
              <w:rPr>
                <w:sz w:val="18"/>
                <w:szCs w:val="18"/>
              </w:rPr>
            </w:pPr>
            <w:r w:rsidRPr="00A32741">
              <w:rPr>
                <w:sz w:val="18"/>
                <w:szCs w:val="18"/>
              </w:rPr>
              <w:t>Aug-2022</w:t>
            </w:r>
          </w:p>
        </w:tc>
        <w:tc>
          <w:tcPr>
            <w:tcW w:w="1273" w:type="dxa"/>
            <w:noWrap/>
            <w:hideMark/>
          </w:tcPr>
          <w:p w14:paraId="1EB68E08" w14:textId="77777777" w:rsidR="00677577" w:rsidRPr="00A32741" w:rsidRDefault="00677577" w:rsidP="00E05632">
            <w:pPr>
              <w:spacing w:after="0" w:line="240" w:lineRule="auto"/>
              <w:jc w:val="right"/>
              <w:rPr>
                <w:sz w:val="18"/>
                <w:szCs w:val="18"/>
              </w:rPr>
            </w:pPr>
            <w:r w:rsidRPr="00A32741">
              <w:rPr>
                <w:sz w:val="18"/>
                <w:szCs w:val="18"/>
              </w:rPr>
              <w:t>1,867.8</w:t>
            </w:r>
          </w:p>
        </w:tc>
        <w:tc>
          <w:tcPr>
            <w:tcW w:w="1465" w:type="dxa"/>
            <w:noWrap/>
            <w:hideMark/>
          </w:tcPr>
          <w:p w14:paraId="5C73866C" w14:textId="77777777" w:rsidR="00677577" w:rsidRPr="00A32741" w:rsidRDefault="00677577" w:rsidP="00E05632">
            <w:pPr>
              <w:spacing w:after="0" w:line="240" w:lineRule="auto"/>
              <w:jc w:val="right"/>
              <w:rPr>
                <w:sz w:val="18"/>
                <w:szCs w:val="18"/>
              </w:rPr>
            </w:pPr>
            <w:r w:rsidRPr="00A32741">
              <w:rPr>
                <w:sz w:val="18"/>
                <w:szCs w:val="18"/>
              </w:rPr>
              <w:t>3,474.7</w:t>
            </w:r>
          </w:p>
        </w:tc>
        <w:tc>
          <w:tcPr>
            <w:tcW w:w="1332" w:type="dxa"/>
            <w:noWrap/>
            <w:hideMark/>
          </w:tcPr>
          <w:p w14:paraId="56F8BBF1" w14:textId="77777777" w:rsidR="00677577" w:rsidRPr="00A32741" w:rsidRDefault="00677577" w:rsidP="00E05632">
            <w:pPr>
              <w:spacing w:after="0" w:line="240" w:lineRule="auto"/>
              <w:jc w:val="right"/>
              <w:rPr>
                <w:sz w:val="18"/>
                <w:szCs w:val="18"/>
              </w:rPr>
            </w:pPr>
            <w:r w:rsidRPr="00A32741">
              <w:rPr>
                <w:sz w:val="18"/>
                <w:szCs w:val="18"/>
              </w:rPr>
              <w:t>1,850.3</w:t>
            </w:r>
          </w:p>
        </w:tc>
        <w:tc>
          <w:tcPr>
            <w:tcW w:w="1277" w:type="dxa"/>
            <w:noWrap/>
            <w:hideMark/>
          </w:tcPr>
          <w:p w14:paraId="1F4EFD2C" w14:textId="77777777" w:rsidR="00677577" w:rsidRPr="00A32741" w:rsidRDefault="00677577" w:rsidP="00E05632">
            <w:pPr>
              <w:spacing w:after="0" w:line="240" w:lineRule="auto"/>
              <w:jc w:val="right"/>
              <w:rPr>
                <w:sz w:val="18"/>
                <w:szCs w:val="18"/>
              </w:rPr>
            </w:pPr>
            <w:r w:rsidRPr="00A32741">
              <w:rPr>
                <w:sz w:val="18"/>
                <w:szCs w:val="18"/>
              </w:rPr>
              <w:t>1,497.5</w:t>
            </w:r>
          </w:p>
        </w:tc>
        <w:tc>
          <w:tcPr>
            <w:tcW w:w="1520" w:type="dxa"/>
            <w:noWrap/>
            <w:hideMark/>
          </w:tcPr>
          <w:p w14:paraId="345334B0" w14:textId="77777777" w:rsidR="00677577" w:rsidRPr="00A32741" w:rsidRDefault="00677577" w:rsidP="00E05632">
            <w:pPr>
              <w:spacing w:after="0" w:line="240" w:lineRule="auto"/>
              <w:jc w:val="right"/>
              <w:rPr>
                <w:sz w:val="18"/>
                <w:szCs w:val="18"/>
              </w:rPr>
            </w:pPr>
            <w:r w:rsidRPr="00A32741">
              <w:rPr>
                <w:sz w:val="18"/>
                <w:szCs w:val="18"/>
              </w:rPr>
              <w:t>1,733.1</w:t>
            </w:r>
          </w:p>
        </w:tc>
        <w:tc>
          <w:tcPr>
            <w:tcW w:w="1010" w:type="dxa"/>
            <w:noWrap/>
            <w:hideMark/>
          </w:tcPr>
          <w:p w14:paraId="77190426" w14:textId="77777777" w:rsidR="00677577" w:rsidRPr="00A32741" w:rsidRDefault="00677577" w:rsidP="00E05632">
            <w:pPr>
              <w:spacing w:after="0" w:line="240" w:lineRule="auto"/>
              <w:jc w:val="right"/>
              <w:rPr>
                <w:sz w:val="18"/>
                <w:szCs w:val="18"/>
              </w:rPr>
            </w:pPr>
            <w:r w:rsidRPr="00A32741">
              <w:rPr>
                <w:sz w:val="18"/>
                <w:szCs w:val="18"/>
              </w:rPr>
              <w:t>1,100.4</w:t>
            </w:r>
          </w:p>
        </w:tc>
        <w:tc>
          <w:tcPr>
            <w:tcW w:w="1188" w:type="dxa"/>
            <w:noWrap/>
            <w:hideMark/>
          </w:tcPr>
          <w:p w14:paraId="15C11932" w14:textId="77777777" w:rsidR="00677577" w:rsidRPr="00A32741" w:rsidRDefault="00677577" w:rsidP="00E05632">
            <w:pPr>
              <w:spacing w:after="0" w:line="240" w:lineRule="auto"/>
              <w:jc w:val="right"/>
              <w:rPr>
                <w:sz w:val="18"/>
                <w:szCs w:val="18"/>
              </w:rPr>
            </w:pPr>
            <w:r w:rsidRPr="00A32741">
              <w:rPr>
                <w:sz w:val="18"/>
                <w:szCs w:val="18"/>
              </w:rPr>
              <w:t>894.7</w:t>
            </w:r>
          </w:p>
        </w:tc>
        <w:tc>
          <w:tcPr>
            <w:tcW w:w="1166" w:type="dxa"/>
            <w:noWrap/>
            <w:hideMark/>
          </w:tcPr>
          <w:p w14:paraId="2BF06284" w14:textId="77777777" w:rsidR="00677577" w:rsidRPr="00A32741" w:rsidRDefault="00677577" w:rsidP="00E05632">
            <w:pPr>
              <w:spacing w:after="0" w:line="240" w:lineRule="auto"/>
              <w:jc w:val="right"/>
              <w:rPr>
                <w:sz w:val="18"/>
                <w:szCs w:val="18"/>
              </w:rPr>
            </w:pPr>
            <w:r w:rsidRPr="00A32741">
              <w:rPr>
                <w:sz w:val="18"/>
                <w:szCs w:val="18"/>
              </w:rPr>
              <w:t>1,176.3</w:t>
            </w:r>
          </w:p>
        </w:tc>
        <w:tc>
          <w:tcPr>
            <w:tcW w:w="1044" w:type="dxa"/>
            <w:tcBorders>
              <w:top w:val="nil"/>
              <w:left w:val="nil"/>
              <w:bottom w:val="nil"/>
              <w:right w:val="single" w:sz="4" w:space="0" w:color="auto"/>
            </w:tcBorders>
            <w:noWrap/>
            <w:hideMark/>
          </w:tcPr>
          <w:p w14:paraId="40002324" w14:textId="77777777" w:rsidR="00677577" w:rsidRPr="00A32741" w:rsidRDefault="00677577" w:rsidP="00E05632">
            <w:pPr>
              <w:spacing w:after="0" w:line="240" w:lineRule="auto"/>
              <w:jc w:val="right"/>
              <w:rPr>
                <w:sz w:val="18"/>
                <w:szCs w:val="18"/>
              </w:rPr>
            </w:pPr>
            <w:r w:rsidRPr="00A32741">
              <w:rPr>
                <w:sz w:val="18"/>
                <w:szCs w:val="18"/>
              </w:rPr>
              <w:t>13,594.7</w:t>
            </w:r>
          </w:p>
        </w:tc>
      </w:tr>
      <w:tr w:rsidR="00677577" w:rsidRPr="00BB4D6B" w14:paraId="7FDA7BA5" w14:textId="77777777">
        <w:trPr>
          <w:trHeight w:val="287"/>
        </w:trPr>
        <w:tc>
          <w:tcPr>
            <w:tcW w:w="2526" w:type="dxa"/>
            <w:tcBorders>
              <w:top w:val="nil"/>
              <w:left w:val="single" w:sz="4" w:space="0" w:color="auto"/>
              <w:bottom w:val="nil"/>
              <w:right w:val="nil"/>
            </w:tcBorders>
            <w:noWrap/>
            <w:hideMark/>
          </w:tcPr>
          <w:p w14:paraId="1D1F483C" w14:textId="77777777" w:rsidR="00677577" w:rsidRPr="00A32741" w:rsidRDefault="00677577">
            <w:pPr>
              <w:spacing w:after="0" w:line="240" w:lineRule="auto"/>
              <w:rPr>
                <w:sz w:val="18"/>
                <w:szCs w:val="18"/>
              </w:rPr>
            </w:pPr>
            <w:r w:rsidRPr="00A32741">
              <w:rPr>
                <w:sz w:val="18"/>
                <w:szCs w:val="18"/>
              </w:rPr>
              <w:t>Aug-2024</w:t>
            </w:r>
          </w:p>
        </w:tc>
        <w:tc>
          <w:tcPr>
            <w:tcW w:w="1273" w:type="dxa"/>
            <w:noWrap/>
            <w:hideMark/>
          </w:tcPr>
          <w:p w14:paraId="5422EBDB" w14:textId="77777777" w:rsidR="00677577" w:rsidRPr="00A32741" w:rsidRDefault="00677577" w:rsidP="00E05632">
            <w:pPr>
              <w:spacing w:after="0" w:line="240" w:lineRule="auto"/>
              <w:jc w:val="right"/>
              <w:rPr>
                <w:sz w:val="18"/>
                <w:szCs w:val="18"/>
              </w:rPr>
            </w:pPr>
            <w:r w:rsidRPr="00A32741">
              <w:rPr>
                <w:sz w:val="18"/>
                <w:szCs w:val="18"/>
              </w:rPr>
              <w:t>1,877.4</w:t>
            </w:r>
          </w:p>
        </w:tc>
        <w:tc>
          <w:tcPr>
            <w:tcW w:w="1465" w:type="dxa"/>
            <w:noWrap/>
            <w:hideMark/>
          </w:tcPr>
          <w:p w14:paraId="5ABF0407" w14:textId="77777777" w:rsidR="00677577" w:rsidRPr="00A32741" w:rsidRDefault="00677577" w:rsidP="00E05632">
            <w:pPr>
              <w:spacing w:after="0" w:line="240" w:lineRule="auto"/>
              <w:jc w:val="right"/>
              <w:rPr>
                <w:sz w:val="18"/>
                <w:szCs w:val="18"/>
              </w:rPr>
            </w:pPr>
            <w:r w:rsidRPr="00A32741">
              <w:rPr>
                <w:sz w:val="18"/>
                <w:szCs w:val="18"/>
              </w:rPr>
              <w:t>3,820.5</w:t>
            </w:r>
          </w:p>
        </w:tc>
        <w:tc>
          <w:tcPr>
            <w:tcW w:w="1332" w:type="dxa"/>
            <w:noWrap/>
            <w:hideMark/>
          </w:tcPr>
          <w:p w14:paraId="6D0A67B8" w14:textId="77777777" w:rsidR="00677577" w:rsidRPr="00A32741" w:rsidRDefault="00677577" w:rsidP="00E05632">
            <w:pPr>
              <w:spacing w:after="0" w:line="240" w:lineRule="auto"/>
              <w:jc w:val="right"/>
              <w:rPr>
                <w:sz w:val="18"/>
                <w:szCs w:val="18"/>
              </w:rPr>
            </w:pPr>
            <w:r w:rsidRPr="00A32741">
              <w:rPr>
                <w:sz w:val="18"/>
                <w:szCs w:val="18"/>
              </w:rPr>
              <w:t>1,953.9</w:t>
            </w:r>
          </w:p>
        </w:tc>
        <w:tc>
          <w:tcPr>
            <w:tcW w:w="1277" w:type="dxa"/>
            <w:noWrap/>
            <w:hideMark/>
          </w:tcPr>
          <w:p w14:paraId="4339DC41" w14:textId="77777777" w:rsidR="00677577" w:rsidRPr="00A32741" w:rsidRDefault="00677577" w:rsidP="00E05632">
            <w:pPr>
              <w:spacing w:after="0" w:line="240" w:lineRule="auto"/>
              <w:jc w:val="right"/>
              <w:rPr>
                <w:sz w:val="18"/>
                <w:szCs w:val="18"/>
              </w:rPr>
            </w:pPr>
            <w:r w:rsidRPr="00A32741">
              <w:rPr>
                <w:sz w:val="18"/>
                <w:szCs w:val="18"/>
              </w:rPr>
              <w:t>1,658.3</w:t>
            </w:r>
          </w:p>
        </w:tc>
        <w:tc>
          <w:tcPr>
            <w:tcW w:w="1520" w:type="dxa"/>
            <w:noWrap/>
            <w:hideMark/>
          </w:tcPr>
          <w:p w14:paraId="1DC37E5C" w14:textId="77777777" w:rsidR="00677577" w:rsidRPr="00A32741" w:rsidRDefault="00677577" w:rsidP="00E05632">
            <w:pPr>
              <w:spacing w:after="0" w:line="240" w:lineRule="auto"/>
              <w:jc w:val="right"/>
              <w:rPr>
                <w:sz w:val="18"/>
                <w:szCs w:val="18"/>
              </w:rPr>
            </w:pPr>
            <w:r w:rsidRPr="00A32741">
              <w:rPr>
                <w:sz w:val="18"/>
                <w:szCs w:val="18"/>
              </w:rPr>
              <w:t>1,852.1</w:t>
            </w:r>
          </w:p>
        </w:tc>
        <w:tc>
          <w:tcPr>
            <w:tcW w:w="1010" w:type="dxa"/>
            <w:noWrap/>
            <w:hideMark/>
          </w:tcPr>
          <w:p w14:paraId="6FD3539B" w14:textId="77777777" w:rsidR="00677577" w:rsidRPr="00A32741" w:rsidRDefault="00677577" w:rsidP="00E05632">
            <w:pPr>
              <w:spacing w:after="0" w:line="240" w:lineRule="auto"/>
              <w:jc w:val="right"/>
              <w:rPr>
                <w:sz w:val="18"/>
                <w:szCs w:val="18"/>
              </w:rPr>
            </w:pPr>
            <w:r w:rsidRPr="00A32741">
              <w:rPr>
                <w:sz w:val="18"/>
                <w:szCs w:val="18"/>
              </w:rPr>
              <w:t>1,116.1</w:t>
            </w:r>
          </w:p>
        </w:tc>
        <w:tc>
          <w:tcPr>
            <w:tcW w:w="1188" w:type="dxa"/>
            <w:noWrap/>
            <w:hideMark/>
          </w:tcPr>
          <w:p w14:paraId="193B4664" w14:textId="77777777" w:rsidR="00677577" w:rsidRPr="00A32741" w:rsidRDefault="00677577" w:rsidP="00E05632">
            <w:pPr>
              <w:spacing w:after="0" w:line="240" w:lineRule="auto"/>
              <w:jc w:val="right"/>
              <w:rPr>
                <w:sz w:val="18"/>
                <w:szCs w:val="18"/>
              </w:rPr>
            </w:pPr>
            <w:r w:rsidRPr="00A32741">
              <w:rPr>
                <w:sz w:val="18"/>
                <w:szCs w:val="18"/>
              </w:rPr>
              <w:t>886.2</w:t>
            </w:r>
          </w:p>
        </w:tc>
        <w:tc>
          <w:tcPr>
            <w:tcW w:w="1166" w:type="dxa"/>
            <w:noWrap/>
            <w:hideMark/>
          </w:tcPr>
          <w:p w14:paraId="12081F28" w14:textId="77777777" w:rsidR="00677577" w:rsidRPr="00A32741" w:rsidRDefault="00677577" w:rsidP="00E05632">
            <w:pPr>
              <w:spacing w:after="0" w:line="240" w:lineRule="auto"/>
              <w:jc w:val="right"/>
              <w:rPr>
                <w:sz w:val="18"/>
                <w:szCs w:val="18"/>
              </w:rPr>
            </w:pPr>
            <w:r w:rsidRPr="00A32741">
              <w:rPr>
                <w:sz w:val="18"/>
                <w:szCs w:val="18"/>
              </w:rPr>
              <w:t>1,232.4</w:t>
            </w:r>
          </w:p>
        </w:tc>
        <w:tc>
          <w:tcPr>
            <w:tcW w:w="1044" w:type="dxa"/>
            <w:tcBorders>
              <w:top w:val="nil"/>
              <w:left w:val="nil"/>
              <w:bottom w:val="nil"/>
              <w:right w:val="single" w:sz="4" w:space="0" w:color="auto"/>
            </w:tcBorders>
            <w:noWrap/>
            <w:hideMark/>
          </w:tcPr>
          <w:p w14:paraId="5C9FF72E" w14:textId="77777777" w:rsidR="00677577" w:rsidRPr="00A32741" w:rsidRDefault="00677577" w:rsidP="00E05632">
            <w:pPr>
              <w:spacing w:after="0" w:line="240" w:lineRule="auto"/>
              <w:jc w:val="right"/>
              <w:rPr>
                <w:sz w:val="18"/>
                <w:szCs w:val="18"/>
              </w:rPr>
            </w:pPr>
            <w:r w:rsidRPr="00A32741">
              <w:rPr>
                <w:sz w:val="18"/>
                <w:szCs w:val="18"/>
              </w:rPr>
              <w:t>14,396.8</w:t>
            </w:r>
          </w:p>
        </w:tc>
      </w:tr>
      <w:tr w:rsidR="00677577" w:rsidRPr="00BB4D6B" w14:paraId="20624325" w14:textId="77777777">
        <w:trPr>
          <w:trHeight w:val="287"/>
        </w:trPr>
        <w:tc>
          <w:tcPr>
            <w:tcW w:w="2526" w:type="dxa"/>
            <w:tcBorders>
              <w:top w:val="nil"/>
              <w:left w:val="single" w:sz="4" w:space="0" w:color="auto"/>
              <w:bottom w:val="nil"/>
              <w:right w:val="nil"/>
            </w:tcBorders>
            <w:noWrap/>
            <w:hideMark/>
          </w:tcPr>
          <w:p w14:paraId="7BC66445" w14:textId="42BE934D" w:rsidR="00677577" w:rsidRPr="00A32741" w:rsidRDefault="00677577">
            <w:pPr>
              <w:spacing w:after="0" w:line="240" w:lineRule="auto"/>
              <w:rPr>
                <w:sz w:val="18"/>
                <w:szCs w:val="18"/>
              </w:rPr>
            </w:pPr>
            <w:r w:rsidRPr="00A32741">
              <w:rPr>
                <w:sz w:val="18"/>
                <w:szCs w:val="18"/>
              </w:rPr>
              <w:t>Change Aug 2012</w:t>
            </w:r>
            <w:r w:rsidR="007F4838">
              <w:rPr>
                <w:sz w:val="18"/>
                <w:szCs w:val="18"/>
              </w:rPr>
              <w:t xml:space="preserve"> </w:t>
            </w:r>
            <w:r w:rsidR="007F4838">
              <w:rPr>
                <w:rFonts w:ascii="Symbol" w:eastAsia="Symbol" w:hAnsi="Symbol" w:cs="Symbol"/>
                <w:sz w:val="18"/>
                <w:szCs w:val="18"/>
              </w:rPr>
              <w:sym w:font="Symbol" w:char="F02D"/>
            </w:r>
            <w:r w:rsidR="007F4838">
              <w:rPr>
                <w:sz w:val="18"/>
                <w:szCs w:val="18"/>
              </w:rPr>
              <w:t xml:space="preserve"> </w:t>
            </w:r>
            <w:r w:rsidRPr="00A32741">
              <w:rPr>
                <w:sz w:val="18"/>
                <w:szCs w:val="18"/>
              </w:rPr>
              <w:t>Aug 2022</w:t>
            </w:r>
          </w:p>
        </w:tc>
        <w:tc>
          <w:tcPr>
            <w:tcW w:w="1273" w:type="dxa"/>
            <w:noWrap/>
            <w:hideMark/>
          </w:tcPr>
          <w:p w14:paraId="0501AAAC" w14:textId="77777777" w:rsidR="00677577" w:rsidRPr="00A32741" w:rsidRDefault="00677577" w:rsidP="00E05632">
            <w:pPr>
              <w:spacing w:after="0" w:line="240" w:lineRule="auto"/>
              <w:jc w:val="right"/>
              <w:rPr>
                <w:sz w:val="18"/>
                <w:szCs w:val="18"/>
              </w:rPr>
            </w:pPr>
            <w:r w:rsidRPr="00A32741">
              <w:rPr>
                <w:sz w:val="18"/>
                <w:szCs w:val="18"/>
              </w:rPr>
              <w:t>30.7%</w:t>
            </w:r>
          </w:p>
        </w:tc>
        <w:tc>
          <w:tcPr>
            <w:tcW w:w="1465" w:type="dxa"/>
            <w:noWrap/>
            <w:hideMark/>
          </w:tcPr>
          <w:p w14:paraId="2BFD48D9" w14:textId="77777777" w:rsidR="00677577" w:rsidRPr="00A32741" w:rsidRDefault="00677577" w:rsidP="00E05632">
            <w:pPr>
              <w:spacing w:after="0" w:line="240" w:lineRule="auto"/>
              <w:jc w:val="right"/>
              <w:rPr>
                <w:sz w:val="18"/>
                <w:szCs w:val="18"/>
              </w:rPr>
            </w:pPr>
            <w:r w:rsidRPr="00A32741">
              <w:rPr>
                <w:sz w:val="18"/>
                <w:szCs w:val="18"/>
              </w:rPr>
              <w:t>38.1%</w:t>
            </w:r>
          </w:p>
        </w:tc>
        <w:tc>
          <w:tcPr>
            <w:tcW w:w="1332" w:type="dxa"/>
            <w:noWrap/>
            <w:hideMark/>
          </w:tcPr>
          <w:p w14:paraId="2EE087CC" w14:textId="77777777" w:rsidR="00677577" w:rsidRPr="00A32741" w:rsidRDefault="00677577" w:rsidP="00E05632">
            <w:pPr>
              <w:spacing w:after="0" w:line="240" w:lineRule="auto"/>
              <w:jc w:val="right"/>
              <w:rPr>
                <w:sz w:val="18"/>
                <w:szCs w:val="18"/>
              </w:rPr>
            </w:pPr>
            <w:r w:rsidRPr="00A32741">
              <w:rPr>
                <w:sz w:val="18"/>
                <w:szCs w:val="18"/>
              </w:rPr>
              <w:t>11.8%</w:t>
            </w:r>
          </w:p>
        </w:tc>
        <w:tc>
          <w:tcPr>
            <w:tcW w:w="1277" w:type="dxa"/>
            <w:noWrap/>
            <w:hideMark/>
          </w:tcPr>
          <w:p w14:paraId="76C66437" w14:textId="77777777" w:rsidR="00677577" w:rsidRPr="00A32741" w:rsidRDefault="00677577" w:rsidP="00E05632">
            <w:pPr>
              <w:spacing w:after="0" w:line="240" w:lineRule="auto"/>
              <w:jc w:val="right"/>
              <w:rPr>
                <w:sz w:val="18"/>
                <w:szCs w:val="18"/>
              </w:rPr>
            </w:pPr>
            <w:r w:rsidRPr="00A32741">
              <w:rPr>
                <w:sz w:val="18"/>
                <w:szCs w:val="18"/>
              </w:rPr>
              <w:t>40.7%</w:t>
            </w:r>
          </w:p>
        </w:tc>
        <w:tc>
          <w:tcPr>
            <w:tcW w:w="1520" w:type="dxa"/>
            <w:noWrap/>
            <w:hideMark/>
          </w:tcPr>
          <w:p w14:paraId="33FF7A48" w14:textId="77777777" w:rsidR="00677577" w:rsidRPr="00A32741" w:rsidRDefault="00677577" w:rsidP="00E05632">
            <w:pPr>
              <w:spacing w:after="0" w:line="240" w:lineRule="auto"/>
              <w:jc w:val="right"/>
              <w:rPr>
                <w:sz w:val="18"/>
                <w:szCs w:val="18"/>
              </w:rPr>
            </w:pPr>
            <w:r w:rsidRPr="00A32741">
              <w:rPr>
                <w:sz w:val="18"/>
                <w:szCs w:val="18"/>
              </w:rPr>
              <w:t>4.1%</w:t>
            </w:r>
          </w:p>
        </w:tc>
        <w:tc>
          <w:tcPr>
            <w:tcW w:w="1010" w:type="dxa"/>
            <w:noWrap/>
            <w:hideMark/>
          </w:tcPr>
          <w:p w14:paraId="6B02F000" w14:textId="77777777" w:rsidR="00677577" w:rsidRPr="00A32741" w:rsidRDefault="00677577" w:rsidP="00E05632">
            <w:pPr>
              <w:spacing w:after="0" w:line="240" w:lineRule="auto"/>
              <w:jc w:val="right"/>
              <w:rPr>
                <w:sz w:val="18"/>
                <w:szCs w:val="18"/>
              </w:rPr>
            </w:pPr>
            <w:r w:rsidRPr="00A32741">
              <w:rPr>
                <w:sz w:val="18"/>
                <w:szCs w:val="18"/>
              </w:rPr>
              <w:t>3.9%</w:t>
            </w:r>
          </w:p>
        </w:tc>
        <w:tc>
          <w:tcPr>
            <w:tcW w:w="1188" w:type="dxa"/>
            <w:noWrap/>
            <w:hideMark/>
          </w:tcPr>
          <w:p w14:paraId="6ABE13A7" w14:textId="77777777" w:rsidR="00677577" w:rsidRPr="00A32741" w:rsidRDefault="00677577" w:rsidP="00E05632">
            <w:pPr>
              <w:spacing w:after="0" w:line="240" w:lineRule="auto"/>
              <w:jc w:val="right"/>
              <w:rPr>
                <w:sz w:val="18"/>
                <w:szCs w:val="18"/>
              </w:rPr>
            </w:pPr>
            <w:r w:rsidRPr="00A32741">
              <w:rPr>
                <w:sz w:val="18"/>
                <w:szCs w:val="18"/>
              </w:rPr>
              <w:t>23.2%</w:t>
            </w:r>
          </w:p>
        </w:tc>
        <w:tc>
          <w:tcPr>
            <w:tcW w:w="1166" w:type="dxa"/>
            <w:noWrap/>
            <w:hideMark/>
          </w:tcPr>
          <w:p w14:paraId="1904DDFD" w14:textId="77777777" w:rsidR="00677577" w:rsidRPr="00A32741" w:rsidRDefault="00677577" w:rsidP="00E05632">
            <w:pPr>
              <w:spacing w:after="0" w:line="240" w:lineRule="auto"/>
              <w:jc w:val="right"/>
              <w:rPr>
                <w:sz w:val="18"/>
                <w:szCs w:val="18"/>
              </w:rPr>
            </w:pPr>
            <w:r w:rsidRPr="00A32741">
              <w:rPr>
                <w:sz w:val="18"/>
                <w:szCs w:val="18"/>
              </w:rPr>
              <w:t>2.2%</w:t>
            </w:r>
          </w:p>
        </w:tc>
        <w:tc>
          <w:tcPr>
            <w:tcW w:w="1044" w:type="dxa"/>
            <w:tcBorders>
              <w:top w:val="nil"/>
              <w:left w:val="nil"/>
              <w:bottom w:val="nil"/>
              <w:right w:val="single" w:sz="4" w:space="0" w:color="auto"/>
            </w:tcBorders>
            <w:noWrap/>
            <w:hideMark/>
          </w:tcPr>
          <w:p w14:paraId="6AC4F119" w14:textId="77777777" w:rsidR="00677577" w:rsidRPr="00A32741" w:rsidRDefault="00677577" w:rsidP="00E05632">
            <w:pPr>
              <w:spacing w:after="0" w:line="240" w:lineRule="auto"/>
              <w:jc w:val="right"/>
              <w:rPr>
                <w:sz w:val="18"/>
                <w:szCs w:val="18"/>
              </w:rPr>
            </w:pPr>
            <w:r w:rsidRPr="00A32741">
              <w:rPr>
                <w:sz w:val="18"/>
                <w:szCs w:val="18"/>
              </w:rPr>
              <w:t>20.7%</w:t>
            </w:r>
          </w:p>
        </w:tc>
      </w:tr>
      <w:tr w:rsidR="00677577" w:rsidRPr="00BB4D6B" w14:paraId="202367CA" w14:textId="77777777">
        <w:trPr>
          <w:trHeight w:val="287"/>
        </w:trPr>
        <w:tc>
          <w:tcPr>
            <w:tcW w:w="2526" w:type="dxa"/>
            <w:tcBorders>
              <w:top w:val="nil"/>
              <w:left w:val="single" w:sz="4" w:space="0" w:color="auto"/>
              <w:bottom w:val="single" w:sz="4" w:space="0" w:color="auto"/>
              <w:right w:val="nil"/>
            </w:tcBorders>
            <w:noWrap/>
            <w:hideMark/>
          </w:tcPr>
          <w:p w14:paraId="74B6AE0B" w14:textId="2286C28B" w:rsidR="00677577" w:rsidRPr="00A32741" w:rsidRDefault="00677577">
            <w:pPr>
              <w:spacing w:after="0" w:line="240" w:lineRule="auto"/>
              <w:rPr>
                <w:sz w:val="18"/>
                <w:szCs w:val="18"/>
              </w:rPr>
            </w:pPr>
            <w:r w:rsidRPr="00A32741">
              <w:rPr>
                <w:sz w:val="18"/>
                <w:szCs w:val="18"/>
              </w:rPr>
              <w:t>Change Aug 2022</w:t>
            </w:r>
            <w:r w:rsidR="007F4838">
              <w:rPr>
                <w:sz w:val="18"/>
                <w:szCs w:val="18"/>
              </w:rPr>
              <w:t xml:space="preserve"> </w:t>
            </w:r>
            <w:r w:rsidR="007F4838">
              <w:rPr>
                <w:rFonts w:ascii="Symbol" w:eastAsia="Symbol" w:hAnsi="Symbol" w:cs="Symbol"/>
                <w:sz w:val="18"/>
                <w:szCs w:val="18"/>
              </w:rPr>
              <w:sym w:font="Symbol" w:char="F02D"/>
            </w:r>
            <w:r w:rsidR="007F4838">
              <w:rPr>
                <w:sz w:val="18"/>
                <w:szCs w:val="18"/>
              </w:rPr>
              <w:t xml:space="preserve"> </w:t>
            </w:r>
            <w:r w:rsidRPr="00A32741">
              <w:rPr>
                <w:sz w:val="18"/>
                <w:szCs w:val="18"/>
              </w:rPr>
              <w:t>Aug 2024</w:t>
            </w:r>
          </w:p>
        </w:tc>
        <w:tc>
          <w:tcPr>
            <w:tcW w:w="1273" w:type="dxa"/>
            <w:tcBorders>
              <w:top w:val="nil"/>
              <w:left w:val="nil"/>
              <w:bottom w:val="single" w:sz="4" w:space="0" w:color="auto"/>
              <w:right w:val="nil"/>
            </w:tcBorders>
            <w:noWrap/>
            <w:hideMark/>
          </w:tcPr>
          <w:p w14:paraId="1F3FC067" w14:textId="77777777" w:rsidR="00677577" w:rsidRPr="00A32741" w:rsidRDefault="00677577" w:rsidP="00E05632">
            <w:pPr>
              <w:spacing w:after="0" w:line="240" w:lineRule="auto"/>
              <w:jc w:val="right"/>
              <w:rPr>
                <w:sz w:val="18"/>
                <w:szCs w:val="18"/>
              </w:rPr>
            </w:pPr>
            <w:r w:rsidRPr="00A32741">
              <w:rPr>
                <w:sz w:val="18"/>
                <w:szCs w:val="18"/>
              </w:rPr>
              <w:t>0.5%</w:t>
            </w:r>
          </w:p>
        </w:tc>
        <w:tc>
          <w:tcPr>
            <w:tcW w:w="1465" w:type="dxa"/>
            <w:tcBorders>
              <w:top w:val="nil"/>
              <w:left w:val="nil"/>
              <w:bottom w:val="single" w:sz="4" w:space="0" w:color="auto"/>
              <w:right w:val="nil"/>
            </w:tcBorders>
            <w:noWrap/>
            <w:hideMark/>
          </w:tcPr>
          <w:p w14:paraId="6BC4F22D" w14:textId="77777777" w:rsidR="00677577" w:rsidRPr="00A32741" w:rsidRDefault="00677577" w:rsidP="00E05632">
            <w:pPr>
              <w:spacing w:after="0" w:line="240" w:lineRule="auto"/>
              <w:jc w:val="right"/>
              <w:rPr>
                <w:sz w:val="18"/>
                <w:szCs w:val="18"/>
              </w:rPr>
            </w:pPr>
            <w:r w:rsidRPr="00A32741">
              <w:rPr>
                <w:sz w:val="18"/>
                <w:szCs w:val="18"/>
              </w:rPr>
              <w:t>10.0%</w:t>
            </w:r>
          </w:p>
        </w:tc>
        <w:tc>
          <w:tcPr>
            <w:tcW w:w="1332" w:type="dxa"/>
            <w:tcBorders>
              <w:top w:val="nil"/>
              <w:left w:val="nil"/>
              <w:bottom w:val="single" w:sz="4" w:space="0" w:color="auto"/>
              <w:right w:val="nil"/>
            </w:tcBorders>
            <w:noWrap/>
            <w:hideMark/>
          </w:tcPr>
          <w:p w14:paraId="7D8BA27A" w14:textId="77777777" w:rsidR="00677577" w:rsidRPr="00A32741" w:rsidRDefault="00677577" w:rsidP="00E05632">
            <w:pPr>
              <w:spacing w:after="0" w:line="240" w:lineRule="auto"/>
              <w:jc w:val="right"/>
              <w:rPr>
                <w:sz w:val="18"/>
                <w:szCs w:val="18"/>
              </w:rPr>
            </w:pPr>
            <w:r w:rsidRPr="00A32741">
              <w:rPr>
                <w:sz w:val="18"/>
                <w:szCs w:val="18"/>
              </w:rPr>
              <w:t>5.6%</w:t>
            </w:r>
          </w:p>
        </w:tc>
        <w:tc>
          <w:tcPr>
            <w:tcW w:w="1277" w:type="dxa"/>
            <w:tcBorders>
              <w:top w:val="nil"/>
              <w:left w:val="nil"/>
              <w:bottom w:val="single" w:sz="4" w:space="0" w:color="auto"/>
              <w:right w:val="nil"/>
            </w:tcBorders>
            <w:noWrap/>
            <w:hideMark/>
          </w:tcPr>
          <w:p w14:paraId="70E52584" w14:textId="77777777" w:rsidR="00677577" w:rsidRPr="00A32741" w:rsidRDefault="00677577" w:rsidP="00E05632">
            <w:pPr>
              <w:spacing w:after="0" w:line="240" w:lineRule="auto"/>
              <w:jc w:val="right"/>
              <w:rPr>
                <w:sz w:val="18"/>
                <w:szCs w:val="18"/>
              </w:rPr>
            </w:pPr>
            <w:r w:rsidRPr="00A32741">
              <w:rPr>
                <w:sz w:val="18"/>
                <w:szCs w:val="18"/>
              </w:rPr>
              <w:t>10.7%</w:t>
            </w:r>
          </w:p>
        </w:tc>
        <w:tc>
          <w:tcPr>
            <w:tcW w:w="1520" w:type="dxa"/>
            <w:tcBorders>
              <w:top w:val="nil"/>
              <w:left w:val="nil"/>
              <w:bottom w:val="single" w:sz="4" w:space="0" w:color="auto"/>
              <w:right w:val="nil"/>
            </w:tcBorders>
            <w:noWrap/>
            <w:hideMark/>
          </w:tcPr>
          <w:p w14:paraId="21DD3B41" w14:textId="77777777" w:rsidR="00677577" w:rsidRPr="00A32741" w:rsidRDefault="00677577" w:rsidP="00E05632">
            <w:pPr>
              <w:spacing w:after="0" w:line="240" w:lineRule="auto"/>
              <w:jc w:val="right"/>
              <w:rPr>
                <w:sz w:val="18"/>
                <w:szCs w:val="18"/>
              </w:rPr>
            </w:pPr>
            <w:r w:rsidRPr="00A32741">
              <w:rPr>
                <w:sz w:val="18"/>
                <w:szCs w:val="18"/>
              </w:rPr>
              <w:t>6.9%</w:t>
            </w:r>
          </w:p>
        </w:tc>
        <w:tc>
          <w:tcPr>
            <w:tcW w:w="1010" w:type="dxa"/>
            <w:tcBorders>
              <w:top w:val="nil"/>
              <w:left w:val="nil"/>
              <w:bottom w:val="single" w:sz="4" w:space="0" w:color="auto"/>
              <w:right w:val="nil"/>
            </w:tcBorders>
            <w:noWrap/>
            <w:hideMark/>
          </w:tcPr>
          <w:p w14:paraId="3F3701A8" w14:textId="77777777" w:rsidR="00677577" w:rsidRPr="00A32741" w:rsidRDefault="00677577" w:rsidP="00E05632">
            <w:pPr>
              <w:spacing w:after="0" w:line="240" w:lineRule="auto"/>
              <w:jc w:val="right"/>
              <w:rPr>
                <w:sz w:val="18"/>
                <w:szCs w:val="18"/>
              </w:rPr>
            </w:pPr>
            <w:r w:rsidRPr="00A32741">
              <w:rPr>
                <w:sz w:val="18"/>
                <w:szCs w:val="18"/>
              </w:rPr>
              <w:t>1.4%</w:t>
            </w:r>
          </w:p>
        </w:tc>
        <w:tc>
          <w:tcPr>
            <w:tcW w:w="1188" w:type="dxa"/>
            <w:tcBorders>
              <w:top w:val="nil"/>
              <w:left w:val="nil"/>
              <w:bottom w:val="single" w:sz="4" w:space="0" w:color="auto"/>
              <w:right w:val="nil"/>
            </w:tcBorders>
            <w:noWrap/>
            <w:hideMark/>
          </w:tcPr>
          <w:p w14:paraId="3C476A17" w14:textId="77777777" w:rsidR="00677577" w:rsidRPr="00A32741" w:rsidRDefault="00677577" w:rsidP="00E05632">
            <w:pPr>
              <w:spacing w:after="0" w:line="240" w:lineRule="auto"/>
              <w:jc w:val="right"/>
              <w:rPr>
                <w:sz w:val="18"/>
                <w:szCs w:val="18"/>
              </w:rPr>
            </w:pPr>
            <w:r w:rsidRPr="00A32741">
              <w:rPr>
                <w:sz w:val="18"/>
                <w:szCs w:val="18"/>
              </w:rPr>
              <w:t>-0.9%</w:t>
            </w:r>
          </w:p>
        </w:tc>
        <w:tc>
          <w:tcPr>
            <w:tcW w:w="1166" w:type="dxa"/>
            <w:tcBorders>
              <w:top w:val="nil"/>
              <w:left w:val="nil"/>
              <w:bottom w:val="single" w:sz="4" w:space="0" w:color="auto"/>
              <w:right w:val="nil"/>
            </w:tcBorders>
            <w:noWrap/>
            <w:hideMark/>
          </w:tcPr>
          <w:p w14:paraId="1ABDC8F4" w14:textId="77777777" w:rsidR="00677577" w:rsidRPr="00A32741" w:rsidRDefault="00677577" w:rsidP="00E05632">
            <w:pPr>
              <w:spacing w:after="0" w:line="240" w:lineRule="auto"/>
              <w:jc w:val="right"/>
              <w:rPr>
                <w:sz w:val="18"/>
                <w:szCs w:val="18"/>
              </w:rPr>
            </w:pPr>
            <w:r w:rsidRPr="00A32741">
              <w:rPr>
                <w:sz w:val="18"/>
                <w:szCs w:val="18"/>
              </w:rPr>
              <w:t>4.8%</w:t>
            </w:r>
          </w:p>
        </w:tc>
        <w:tc>
          <w:tcPr>
            <w:tcW w:w="1044" w:type="dxa"/>
            <w:tcBorders>
              <w:top w:val="nil"/>
              <w:left w:val="nil"/>
              <w:bottom w:val="single" w:sz="4" w:space="0" w:color="auto"/>
              <w:right w:val="single" w:sz="4" w:space="0" w:color="auto"/>
            </w:tcBorders>
            <w:noWrap/>
            <w:hideMark/>
          </w:tcPr>
          <w:p w14:paraId="7DD2EEE3" w14:textId="77777777" w:rsidR="00677577" w:rsidRPr="00A32741" w:rsidRDefault="00677577" w:rsidP="00E05632">
            <w:pPr>
              <w:spacing w:after="0" w:line="240" w:lineRule="auto"/>
              <w:jc w:val="right"/>
              <w:rPr>
                <w:sz w:val="18"/>
                <w:szCs w:val="18"/>
              </w:rPr>
            </w:pPr>
            <w:r w:rsidRPr="00A32741">
              <w:rPr>
                <w:sz w:val="18"/>
                <w:szCs w:val="18"/>
              </w:rPr>
              <w:t>5.9%</w:t>
            </w:r>
          </w:p>
        </w:tc>
      </w:tr>
      <w:tr w:rsidR="00677577" w:rsidRPr="00BB4D6B" w14:paraId="58791AE6" w14:textId="77777777">
        <w:trPr>
          <w:trHeight w:val="287"/>
        </w:trPr>
        <w:tc>
          <w:tcPr>
            <w:tcW w:w="3799" w:type="dxa"/>
            <w:gridSpan w:val="2"/>
            <w:tcBorders>
              <w:top w:val="single" w:sz="4" w:space="0" w:color="auto"/>
              <w:left w:val="single" w:sz="4" w:space="0" w:color="auto"/>
              <w:bottom w:val="nil"/>
              <w:right w:val="nil"/>
            </w:tcBorders>
            <w:noWrap/>
            <w:hideMark/>
          </w:tcPr>
          <w:p w14:paraId="09516476" w14:textId="77777777" w:rsidR="00677577" w:rsidRPr="00BB4D6B" w:rsidRDefault="00677577" w:rsidP="00F51742">
            <w:pPr>
              <w:spacing w:after="0" w:line="240" w:lineRule="auto"/>
              <w:rPr>
                <w:b/>
                <w:bCs/>
                <w:sz w:val="20"/>
                <w:szCs w:val="20"/>
              </w:rPr>
            </w:pPr>
            <w:r w:rsidRPr="00BB4D6B">
              <w:rPr>
                <w:b/>
                <w:bCs/>
                <w:sz w:val="20"/>
                <w:szCs w:val="20"/>
              </w:rPr>
              <w:t>Distribution at August 2024</w:t>
            </w:r>
          </w:p>
        </w:tc>
        <w:tc>
          <w:tcPr>
            <w:tcW w:w="1465" w:type="dxa"/>
            <w:tcBorders>
              <w:top w:val="single" w:sz="4" w:space="0" w:color="auto"/>
              <w:left w:val="nil"/>
              <w:bottom w:val="nil"/>
              <w:right w:val="nil"/>
            </w:tcBorders>
            <w:noWrap/>
            <w:hideMark/>
          </w:tcPr>
          <w:p w14:paraId="1287BF90" w14:textId="77777777" w:rsidR="00677577" w:rsidRPr="00BB4D6B" w:rsidRDefault="00677577" w:rsidP="00E05632">
            <w:pPr>
              <w:spacing w:after="0" w:line="240" w:lineRule="auto"/>
              <w:jc w:val="right"/>
              <w:rPr>
                <w:b/>
                <w:bCs/>
                <w:sz w:val="20"/>
                <w:szCs w:val="20"/>
              </w:rPr>
            </w:pPr>
          </w:p>
        </w:tc>
        <w:tc>
          <w:tcPr>
            <w:tcW w:w="1332" w:type="dxa"/>
            <w:tcBorders>
              <w:top w:val="single" w:sz="4" w:space="0" w:color="auto"/>
              <w:left w:val="nil"/>
              <w:bottom w:val="nil"/>
              <w:right w:val="nil"/>
            </w:tcBorders>
            <w:noWrap/>
            <w:hideMark/>
          </w:tcPr>
          <w:p w14:paraId="7CCCAFBB" w14:textId="77777777" w:rsidR="00677577" w:rsidRPr="00BB4D6B" w:rsidRDefault="00677577" w:rsidP="00E05632">
            <w:pPr>
              <w:spacing w:after="0" w:line="240" w:lineRule="auto"/>
              <w:jc w:val="right"/>
              <w:rPr>
                <w:sz w:val="20"/>
                <w:szCs w:val="20"/>
              </w:rPr>
            </w:pPr>
          </w:p>
        </w:tc>
        <w:tc>
          <w:tcPr>
            <w:tcW w:w="1277" w:type="dxa"/>
            <w:tcBorders>
              <w:top w:val="single" w:sz="4" w:space="0" w:color="auto"/>
              <w:left w:val="nil"/>
              <w:bottom w:val="nil"/>
              <w:right w:val="nil"/>
            </w:tcBorders>
            <w:noWrap/>
            <w:hideMark/>
          </w:tcPr>
          <w:p w14:paraId="537E9085" w14:textId="77777777" w:rsidR="00677577" w:rsidRPr="00BB4D6B" w:rsidRDefault="00677577" w:rsidP="00E05632">
            <w:pPr>
              <w:spacing w:after="0" w:line="240" w:lineRule="auto"/>
              <w:jc w:val="right"/>
              <w:rPr>
                <w:sz w:val="20"/>
                <w:szCs w:val="20"/>
              </w:rPr>
            </w:pPr>
          </w:p>
        </w:tc>
        <w:tc>
          <w:tcPr>
            <w:tcW w:w="1520" w:type="dxa"/>
            <w:tcBorders>
              <w:top w:val="single" w:sz="4" w:space="0" w:color="auto"/>
              <w:left w:val="nil"/>
              <w:bottom w:val="nil"/>
              <w:right w:val="nil"/>
            </w:tcBorders>
            <w:noWrap/>
            <w:hideMark/>
          </w:tcPr>
          <w:p w14:paraId="397B1443" w14:textId="77777777" w:rsidR="00677577" w:rsidRPr="00BB4D6B" w:rsidRDefault="00677577" w:rsidP="00E05632">
            <w:pPr>
              <w:spacing w:after="0" w:line="240" w:lineRule="auto"/>
              <w:jc w:val="right"/>
              <w:rPr>
                <w:sz w:val="20"/>
                <w:szCs w:val="20"/>
              </w:rPr>
            </w:pPr>
          </w:p>
        </w:tc>
        <w:tc>
          <w:tcPr>
            <w:tcW w:w="1010" w:type="dxa"/>
            <w:tcBorders>
              <w:top w:val="single" w:sz="4" w:space="0" w:color="auto"/>
              <w:left w:val="nil"/>
              <w:bottom w:val="nil"/>
              <w:right w:val="nil"/>
            </w:tcBorders>
            <w:noWrap/>
            <w:hideMark/>
          </w:tcPr>
          <w:p w14:paraId="41C50EEE" w14:textId="77777777" w:rsidR="00677577" w:rsidRPr="00BB4D6B" w:rsidRDefault="00677577" w:rsidP="00E05632">
            <w:pPr>
              <w:spacing w:after="0" w:line="240" w:lineRule="auto"/>
              <w:jc w:val="right"/>
              <w:rPr>
                <w:sz w:val="20"/>
                <w:szCs w:val="20"/>
              </w:rPr>
            </w:pPr>
          </w:p>
        </w:tc>
        <w:tc>
          <w:tcPr>
            <w:tcW w:w="1188" w:type="dxa"/>
            <w:tcBorders>
              <w:top w:val="single" w:sz="4" w:space="0" w:color="auto"/>
              <w:left w:val="nil"/>
              <w:bottom w:val="nil"/>
              <w:right w:val="nil"/>
            </w:tcBorders>
            <w:noWrap/>
            <w:hideMark/>
          </w:tcPr>
          <w:p w14:paraId="3FDA89F7" w14:textId="77777777" w:rsidR="00677577" w:rsidRPr="00BB4D6B" w:rsidRDefault="00677577" w:rsidP="00E05632">
            <w:pPr>
              <w:spacing w:after="0" w:line="240" w:lineRule="auto"/>
              <w:jc w:val="right"/>
              <w:rPr>
                <w:sz w:val="20"/>
                <w:szCs w:val="20"/>
              </w:rPr>
            </w:pPr>
          </w:p>
        </w:tc>
        <w:tc>
          <w:tcPr>
            <w:tcW w:w="1166" w:type="dxa"/>
            <w:tcBorders>
              <w:top w:val="single" w:sz="4" w:space="0" w:color="auto"/>
              <w:left w:val="nil"/>
              <w:bottom w:val="nil"/>
              <w:right w:val="nil"/>
            </w:tcBorders>
            <w:noWrap/>
            <w:hideMark/>
          </w:tcPr>
          <w:p w14:paraId="3DEBA9D7" w14:textId="77777777" w:rsidR="00677577" w:rsidRPr="00BB4D6B" w:rsidRDefault="00677577" w:rsidP="00E05632">
            <w:pPr>
              <w:spacing w:after="0" w:line="240" w:lineRule="auto"/>
              <w:jc w:val="right"/>
              <w:rPr>
                <w:sz w:val="20"/>
                <w:szCs w:val="20"/>
              </w:rPr>
            </w:pPr>
          </w:p>
        </w:tc>
        <w:tc>
          <w:tcPr>
            <w:tcW w:w="1044" w:type="dxa"/>
            <w:tcBorders>
              <w:top w:val="single" w:sz="4" w:space="0" w:color="auto"/>
              <w:left w:val="nil"/>
              <w:bottom w:val="nil"/>
              <w:right w:val="single" w:sz="4" w:space="0" w:color="auto"/>
            </w:tcBorders>
            <w:noWrap/>
            <w:hideMark/>
          </w:tcPr>
          <w:p w14:paraId="14DF602B" w14:textId="77777777" w:rsidR="00677577" w:rsidRPr="00BB4D6B" w:rsidRDefault="00677577" w:rsidP="00E05632">
            <w:pPr>
              <w:spacing w:after="0" w:line="240" w:lineRule="auto"/>
              <w:jc w:val="right"/>
              <w:rPr>
                <w:sz w:val="20"/>
                <w:szCs w:val="20"/>
              </w:rPr>
            </w:pPr>
          </w:p>
        </w:tc>
      </w:tr>
      <w:tr w:rsidR="00677577" w:rsidRPr="00BB4D6B" w14:paraId="45460A4A" w14:textId="77777777">
        <w:trPr>
          <w:trHeight w:val="287"/>
        </w:trPr>
        <w:tc>
          <w:tcPr>
            <w:tcW w:w="2526" w:type="dxa"/>
            <w:tcBorders>
              <w:top w:val="nil"/>
              <w:left w:val="single" w:sz="4" w:space="0" w:color="auto"/>
              <w:bottom w:val="nil"/>
              <w:right w:val="nil"/>
            </w:tcBorders>
            <w:noWrap/>
            <w:hideMark/>
          </w:tcPr>
          <w:p w14:paraId="3909DC1F" w14:textId="77777777" w:rsidR="00677577" w:rsidRPr="00A32741" w:rsidRDefault="00677577">
            <w:pPr>
              <w:spacing w:after="0" w:line="240" w:lineRule="auto"/>
              <w:rPr>
                <w:sz w:val="18"/>
                <w:szCs w:val="18"/>
              </w:rPr>
            </w:pPr>
            <w:r w:rsidRPr="00A32741">
              <w:rPr>
                <w:sz w:val="18"/>
                <w:szCs w:val="18"/>
              </w:rPr>
              <w:t>Men</w:t>
            </w:r>
          </w:p>
        </w:tc>
        <w:tc>
          <w:tcPr>
            <w:tcW w:w="1273" w:type="dxa"/>
            <w:noWrap/>
            <w:hideMark/>
          </w:tcPr>
          <w:p w14:paraId="4A4E60AF" w14:textId="77777777" w:rsidR="00677577" w:rsidRPr="00A32741" w:rsidRDefault="00677577" w:rsidP="00E05632">
            <w:pPr>
              <w:spacing w:after="0" w:line="240" w:lineRule="auto"/>
              <w:jc w:val="right"/>
              <w:rPr>
                <w:sz w:val="18"/>
                <w:szCs w:val="18"/>
              </w:rPr>
            </w:pPr>
            <w:r w:rsidRPr="00A32741">
              <w:rPr>
                <w:sz w:val="18"/>
                <w:szCs w:val="18"/>
              </w:rPr>
              <w:t>14.9%</w:t>
            </w:r>
          </w:p>
        </w:tc>
        <w:tc>
          <w:tcPr>
            <w:tcW w:w="1465" w:type="dxa"/>
            <w:noWrap/>
            <w:hideMark/>
          </w:tcPr>
          <w:p w14:paraId="3BE00818" w14:textId="77777777" w:rsidR="00677577" w:rsidRPr="00A32741" w:rsidRDefault="00677577" w:rsidP="00E05632">
            <w:pPr>
              <w:spacing w:after="0" w:line="240" w:lineRule="auto"/>
              <w:jc w:val="right"/>
              <w:rPr>
                <w:sz w:val="18"/>
                <w:szCs w:val="18"/>
              </w:rPr>
            </w:pPr>
            <w:r w:rsidRPr="00A32741">
              <w:rPr>
                <w:sz w:val="18"/>
                <w:szCs w:val="18"/>
              </w:rPr>
              <w:t>23.0%</w:t>
            </w:r>
          </w:p>
        </w:tc>
        <w:tc>
          <w:tcPr>
            <w:tcW w:w="1332" w:type="dxa"/>
            <w:noWrap/>
            <w:hideMark/>
          </w:tcPr>
          <w:p w14:paraId="1CA3577D" w14:textId="77777777" w:rsidR="00677577" w:rsidRPr="00A32741" w:rsidRDefault="00677577" w:rsidP="00E05632">
            <w:pPr>
              <w:spacing w:after="0" w:line="240" w:lineRule="auto"/>
              <w:jc w:val="right"/>
              <w:rPr>
                <w:sz w:val="18"/>
                <w:szCs w:val="18"/>
              </w:rPr>
            </w:pPr>
            <w:r w:rsidRPr="00A32741">
              <w:rPr>
                <w:sz w:val="18"/>
                <w:szCs w:val="18"/>
              </w:rPr>
              <w:t>21.6%</w:t>
            </w:r>
          </w:p>
        </w:tc>
        <w:tc>
          <w:tcPr>
            <w:tcW w:w="1277" w:type="dxa"/>
            <w:noWrap/>
            <w:hideMark/>
          </w:tcPr>
          <w:p w14:paraId="416016EC" w14:textId="77777777" w:rsidR="00677577" w:rsidRPr="00A32741" w:rsidRDefault="00677577" w:rsidP="00E05632">
            <w:pPr>
              <w:spacing w:after="0" w:line="240" w:lineRule="auto"/>
              <w:jc w:val="right"/>
              <w:rPr>
                <w:sz w:val="18"/>
                <w:szCs w:val="18"/>
              </w:rPr>
            </w:pPr>
            <w:r w:rsidRPr="00A32741">
              <w:rPr>
                <w:sz w:val="18"/>
                <w:szCs w:val="18"/>
              </w:rPr>
              <w:t>6.9%</w:t>
            </w:r>
          </w:p>
        </w:tc>
        <w:tc>
          <w:tcPr>
            <w:tcW w:w="1520" w:type="dxa"/>
            <w:noWrap/>
            <w:hideMark/>
          </w:tcPr>
          <w:p w14:paraId="1E5C44A3" w14:textId="77777777" w:rsidR="00677577" w:rsidRPr="00A32741" w:rsidRDefault="00677577" w:rsidP="00E05632">
            <w:pPr>
              <w:spacing w:after="0" w:line="240" w:lineRule="auto"/>
              <w:jc w:val="right"/>
              <w:rPr>
                <w:sz w:val="18"/>
                <w:szCs w:val="18"/>
              </w:rPr>
            </w:pPr>
            <w:r w:rsidRPr="00A32741">
              <w:rPr>
                <w:sz w:val="18"/>
                <w:szCs w:val="18"/>
              </w:rPr>
              <w:t>6.7%</w:t>
            </w:r>
          </w:p>
        </w:tc>
        <w:tc>
          <w:tcPr>
            <w:tcW w:w="1010" w:type="dxa"/>
            <w:noWrap/>
            <w:hideMark/>
          </w:tcPr>
          <w:p w14:paraId="54C1E014" w14:textId="77777777" w:rsidR="00677577" w:rsidRPr="00A32741" w:rsidRDefault="00677577" w:rsidP="00E05632">
            <w:pPr>
              <w:spacing w:after="0" w:line="240" w:lineRule="auto"/>
              <w:jc w:val="right"/>
              <w:rPr>
                <w:sz w:val="18"/>
                <w:szCs w:val="18"/>
              </w:rPr>
            </w:pPr>
            <w:r w:rsidRPr="00A32741">
              <w:rPr>
                <w:sz w:val="18"/>
                <w:szCs w:val="18"/>
              </w:rPr>
              <w:t>6.2%</w:t>
            </w:r>
          </w:p>
        </w:tc>
        <w:tc>
          <w:tcPr>
            <w:tcW w:w="1188" w:type="dxa"/>
            <w:noWrap/>
            <w:hideMark/>
          </w:tcPr>
          <w:p w14:paraId="2CBE4851" w14:textId="77777777" w:rsidR="00677577" w:rsidRPr="00A32741" w:rsidRDefault="00677577" w:rsidP="00E05632">
            <w:pPr>
              <w:spacing w:after="0" w:line="240" w:lineRule="auto"/>
              <w:jc w:val="right"/>
              <w:rPr>
                <w:sz w:val="18"/>
                <w:szCs w:val="18"/>
              </w:rPr>
            </w:pPr>
            <w:r w:rsidRPr="00A32741">
              <w:rPr>
                <w:sz w:val="18"/>
                <w:szCs w:val="18"/>
              </w:rPr>
              <w:t>10.3%</w:t>
            </w:r>
          </w:p>
        </w:tc>
        <w:tc>
          <w:tcPr>
            <w:tcW w:w="1166" w:type="dxa"/>
            <w:noWrap/>
            <w:hideMark/>
          </w:tcPr>
          <w:p w14:paraId="1AE9183B" w14:textId="77777777" w:rsidR="00677577" w:rsidRPr="00A32741" w:rsidRDefault="00677577" w:rsidP="00E05632">
            <w:pPr>
              <w:spacing w:after="0" w:line="240" w:lineRule="auto"/>
              <w:jc w:val="right"/>
              <w:rPr>
                <w:sz w:val="18"/>
                <w:szCs w:val="18"/>
              </w:rPr>
            </w:pPr>
            <w:r w:rsidRPr="00A32741">
              <w:rPr>
                <w:sz w:val="18"/>
                <w:szCs w:val="18"/>
              </w:rPr>
              <w:t>10.5%</w:t>
            </w:r>
          </w:p>
        </w:tc>
        <w:tc>
          <w:tcPr>
            <w:tcW w:w="1044" w:type="dxa"/>
            <w:tcBorders>
              <w:top w:val="nil"/>
              <w:left w:val="nil"/>
              <w:bottom w:val="nil"/>
              <w:right w:val="single" w:sz="4" w:space="0" w:color="auto"/>
            </w:tcBorders>
            <w:noWrap/>
            <w:hideMark/>
          </w:tcPr>
          <w:p w14:paraId="7B5349E0" w14:textId="77777777" w:rsidR="00677577" w:rsidRPr="00A32741" w:rsidRDefault="00677577" w:rsidP="00E05632">
            <w:pPr>
              <w:spacing w:after="0" w:line="240" w:lineRule="auto"/>
              <w:jc w:val="right"/>
              <w:rPr>
                <w:sz w:val="18"/>
                <w:szCs w:val="18"/>
              </w:rPr>
            </w:pPr>
            <w:r w:rsidRPr="00A32741">
              <w:rPr>
                <w:sz w:val="18"/>
                <w:szCs w:val="18"/>
              </w:rPr>
              <w:t>100.0%</w:t>
            </w:r>
          </w:p>
        </w:tc>
      </w:tr>
      <w:tr w:rsidR="00677577" w:rsidRPr="00BB4D6B" w14:paraId="2C5663EB" w14:textId="77777777">
        <w:trPr>
          <w:trHeight w:val="287"/>
        </w:trPr>
        <w:tc>
          <w:tcPr>
            <w:tcW w:w="2526" w:type="dxa"/>
            <w:tcBorders>
              <w:top w:val="nil"/>
              <w:left w:val="single" w:sz="4" w:space="0" w:color="auto"/>
              <w:bottom w:val="nil"/>
              <w:right w:val="nil"/>
            </w:tcBorders>
            <w:noWrap/>
            <w:hideMark/>
          </w:tcPr>
          <w:p w14:paraId="2B0592B9" w14:textId="77777777" w:rsidR="00677577" w:rsidRPr="00A32741" w:rsidRDefault="00677577">
            <w:pPr>
              <w:spacing w:after="0" w:line="240" w:lineRule="auto"/>
              <w:rPr>
                <w:sz w:val="18"/>
                <w:szCs w:val="18"/>
              </w:rPr>
            </w:pPr>
            <w:r w:rsidRPr="00A32741">
              <w:rPr>
                <w:sz w:val="18"/>
                <w:szCs w:val="18"/>
              </w:rPr>
              <w:t>Women</w:t>
            </w:r>
          </w:p>
        </w:tc>
        <w:tc>
          <w:tcPr>
            <w:tcW w:w="1273" w:type="dxa"/>
            <w:noWrap/>
            <w:hideMark/>
          </w:tcPr>
          <w:p w14:paraId="0FDA94E2" w14:textId="77777777" w:rsidR="00677577" w:rsidRPr="00A32741" w:rsidRDefault="00677577" w:rsidP="00E05632">
            <w:pPr>
              <w:spacing w:after="0" w:line="240" w:lineRule="auto"/>
              <w:jc w:val="right"/>
              <w:rPr>
                <w:sz w:val="18"/>
                <w:szCs w:val="18"/>
              </w:rPr>
            </w:pPr>
            <w:r w:rsidRPr="00A32741">
              <w:rPr>
                <w:sz w:val="18"/>
                <w:szCs w:val="18"/>
              </w:rPr>
              <w:t>11.0%</w:t>
            </w:r>
          </w:p>
        </w:tc>
        <w:tc>
          <w:tcPr>
            <w:tcW w:w="1465" w:type="dxa"/>
            <w:noWrap/>
            <w:hideMark/>
          </w:tcPr>
          <w:p w14:paraId="4F8E5521" w14:textId="77777777" w:rsidR="00677577" w:rsidRPr="00A32741" w:rsidRDefault="00677577" w:rsidP="00E05632">
            <w:pPr>
              <w:spacing w:after="0" w:line="240" w:lineRule="auto"/>
              <w:jc w:val="right"/>
              <w:rPr>
                <w:sz w:val="18"/>
                <w:szCs w:val="18"/>
              </w:rPr>
            </w:pPr>
            <w:r w:rsidRPr="00A32741">
              <w:rPr>
                <w:sz w:val="18"/>
                <w:szCs w:val="18"/>
              </w:rPr>
              <w:t>30.4%</w:t>
            </w:r>
          </w:p>
        </w:tc>
        <w:tc>
          <w:tcPr>
            <w:tcW w:w="1332" w:type="dxa"/>
            <w:noWrap/>
            <w:hideMark/>
          </w:tcPr>
          <w:p w14:paraId="2264A137" w14:textId="77777777" w:rsidR="00677577" w:rsidRPr="00A32741" w:rsidRDefault="00677577" w:rsidP="00E05632">
            <w:pPr>
              <w:spacing w:after="0" w:line="240" w:lineRule="auto"/>
              <w:jc w:val="right"/>
              <w:rPr>
                <w:sz w:val="18"/>
                <w:szCs w:val="18"/>
              </w:rPr>
            </w:pPr>
            <w:r w:rsidRPr="00A32741">
              <w:rPr>
                <w:sz w:val="18"/>
                <w:szCs w:val="18"/>
              </w:rPr>
              <w:t>4.8%</w:t>
            </w:r>
          </w:p>
        </w:tc>
        <w:tc>
          <w:tcPr>
            <w:tcW w:w="1277" w:type="dxa"/>
            <w:noWrap/>
            <w:hideMark/>
          </w:tcPr>
          <w:p w14:paraId="098986BD" w14:textId="77777777" w:rsidR="00677577" w:rsidRPr="00A32741" w:rsidRDefault="00677577" w:rsidP="00E05632">
            <w:pPr>
              <w:spacing w:after="0" w:line="240" w:lineRule="auto"/>
              <w:jc w:val="right"/>
              <w:rPr>
                <w:sz w:val="18"/>
                <w:szCs w:val="18"/>
              </w:rPr>
            </w:pPr>
            <w:r w:rsidRPr="00A32741">
              <w:rPr>
                <w:sz w:val="18"/>
                <w:szCs w:val="18"/>
              </w:rPr>
              <w:t>16.6%</w:t>
            </w:r>
          </w:p>
        </w:tc>
        <w:tc>
          <w:tcPr>
            <w:tcW w:w="1520" w:type="dxa"/>
            <w:noWrap/>
            <w:hideMark/>
          </w:tcPr>
          <w:p w14:paraId="7C02A645" w14:textId="77777777" w:rsidR="00677577" w:rsidRPr="00A32741" w:rsidRDefault="00677577" w:rsidP="00E05632">
            <w:pPr>
              <w:spacing w:after="0" w:line="240" w:lineRule="auto"/>
              <w:jc w:val="right"/>
              <w:rPr>
                <w:sz w:val="18"/>
                <w:szCs w:val="18"/>
              </w:rPr>
            </w:pPr>
            <w:r w:rsidRPr="00A32741">
              <w:rPr>
                <w:sz w:val="18"/>
                <w:szCs w:val="18"/>
              </w:rPr>
              <w:t>19.5%</w:t>
            </w:r>
          </w:p>
        </w:tc>
        <w:tc>
          <w:tcPr>
            <w:tcW w:w="1010" w:type="dxa"/>
            <w:noWrap/>
            <w:hideMark/>
          </w:tcPr>
          <w:p w14:paraId="0CB1AC51" w14:textId="77777777" w:rsidR="00677577" w:rsidRPr="00A32741" w:rsidRDefault="00677577" w:rsidP="00E05632">
            <w:pPr>
              <w:spacing w:after="0" w:line="240" w:lineRule="auto"/>
              <w:jc w:val="right"/>
              <w:rPr>
                <w:sz w:val="18"/>
                <w:szCs w:val="18"/>
              </w:rPr>
            </w:pPr>
            <w:r w:rsidRPr="00A32741">
              <w:rPr>
                <w:sz w:val="18"/>
                <w:szCs w:val="18"/>
              </w:rPr>
              <w:t>9.4%</w:t>
            </w:r>
          </w:p>
        </w:tc>
        <w:tc>
          <w:tcPr>
            <w:tcW w:w="1188" w:type="dxa"/>
            <w:noWrap/>
            <w:hideMark/>
          </w:tcPr>
          <w:p w14:paraId="172C4DA9" w14:textId="77777777" w:rsidR="00677577" w:rsidRPr="00A32741" w:rsidRDefault="00677577" w:rsidP="00E05632">
            <w:pPr>
              <w:spacing w:after="0" w:line="240" w:lineRule="auto"/>
              <w:jc w:val="right"/>
              <w:rPr>
                <w:sz w:val="18"/>
                <w:szCs w:val="18"/>
              </w:rPr>
            </w:pPr>
            <w:r w:rsidRPr="00A32741">
              <w:rPr>
                <w:sz w:val="18"/>
                <w:szCs w:val="18"/>
              </w:rPr>
              <w:t>1.6%</w:t>
            </w:r>
          </w:p>
        </w:tc>
        <w:tc>
          <w:tcPr>
            <w:tcW w:w="1166" w:type="dxa"/>
            <w:noWrap/>
            <w:hideMark/>
          </w:tcPr>
          <w:p w14:paraId="19AC02A5" w14:textId="77777777" w:rsidR="00677577" w:rsidRPr="00A32741" w:rsidRDefault="00677577" w:rsidP="00E05632">
            <w:pPr>
              <w:spacing w:after="0" w:line="240" w:lineRule="auto"/>
              <w:jc w:val="right"/>
              <w:rPr>
                <w:sz w:val="18"/>
                <w:szCs w:val="18"/>
              </w:rPr>
            </w:pPr>
            <w:r w:rsidRPr="00A32741">
              <w:rPr>
                <w:sz w:val="18"/>
                <w:szCs w:val="18"/>
              </w:rPr>
              <w:t>6.5%</w:t>
            </w:r>
          </w:p>
        </w:tc>
        <w:tc>
          <w:tcPr>
            <w:tcW w:w="1044" w:type="dxa"/>
            <w:tcBorders>
              <w:top w:val="nil"/>
              <w:left w:val="nil"/>
              <w:bottom w:val="nil"/>
              <w:right w:val="single" w:sz="4" w:space="0" w:color="auto"/>
            </w:tcBorders>
            <w:noWrap/>
            <w:hideMark/>
          </w:tcPr>
          <w:p w14:paraId="76EE3AE5" w14:textId="77777777" w:rsidR="00677577" w:rsidRPr="00A32741" w:rsidRDefault="00677577" w:rsidP="00E05632">
            <w:pPr>
              <w:spacing w:after="0" w:line="240" w:lineRule="auto"/>
              <w:jc w:val="right"/>
              <w:rPr>
                <w:sz w:val="18"/>
                <w:szCs w:val="18"/>
              </w:rPr>
            </w:pPr>
            <w:r w:rsidRPr="00A32741">
              <w:rPr>
                <w:sz w:val="18"/>
                <w:szCs w:val="18"/>
              </w:rPr>
              <w:t>100.0%</w:t>
            </w:r>
          </w:p>
        </w:tc>
      </w:tr>
      <w:tr w:rsidR="00677577" w:rsidRPr="00BB4D6B" w14:paraId="1DD10B2F" w14:textId="77777777">
        <w:trPr>
          <w:trHeight w:val="287"/>
        </w:trPr>
        <w:tc>
          <w:tcPr>
            <w:tcW w:w="2526" w:type="dxa"/>
            <w:tcBorders>
              <w:top w:val="nil"/>
              <w:left w:val="single" w:sz="4" w:space="0" w:color="auto"/>
              <w:bottom w:val="single" w:sz="4" w:space="0" w:color="auto"/>
              <w:right w:val="nil"/>
            </w:tcBorders>
            <w:noWrap/>
            <w:hideMark/>
          </w:tcPr>
          <w:p w14:paraId="09440A9D" w14:textId="77777777" w:rsidR="00677577" w:rsidRPr="00A32741" w:rsidRDefault="00677577">
            <w:pPr>
              <w:spacing w:after="0" w:line="240" w:lineRule="auto"/>
              <w:rPr>
                <w:sz w:val="18"/>
                <w:szCs w:val="18"/>
              </w:rPr>
            </w:pPr>
            <w:r w:rsidRPr="00A32741">
              <w:rPr>
                <w:sz w:val="18"/>
                <w:szCs w:val="18"/>
              </w:rPr>
              <w:t>Persons</w:t>
            </w:r>
          </w:p>
        </w:tc>
        <w:tc>
          <w:tcPr>
            <w:tcW w:w="1273" w:type="dxa"/>
            <w:tcBorders>
              <w:top w:val="nil"/>
              <w:left w:val="nil"/>
              <w:bottom w:val="single" w:sz="4" w:space="0" w:color="auto"/>
              <w:right w:val="nil"/>
            </w:tcBorders>
            <w:noWrap/>
            <w:hideMark/>
          </w:tcPr>
          <w:p w14:paraId="1257CD27" w14:textId="77777777" w:rsidR="00677577" w:rsidRPr="00A32741" w:rsidRDefault="00677577" w:rsidP="00E05632">
            <w:pPr>
              <w:spacing w:after="0" w:line="240" w:lineRule="auto"/>
              <w:jc w:val="right"/>
              <w:rPr>
                <w:sz w:val="18"/>
                <w:szCs w:val="18"/>
              </w:rPr>
            </w:pPr>
            <w:r w:rsidRPr="00A32741">
              <w:rPr>
                <w:sz w:val="18"/>
                <w:szCs w:val="18"/>
              </w:rPr>
              <w:t>13.0%</w:t>
            </w:r>
          </w:p>
        </w:tc>
        <w:tc>
          <w:tcPr>
            <w:tcW w:w="1465" w:type="dxa"/>
            <w:tcBorders>
              <w:top w:val="nil"/>
              <w:left w:val="nil"/>
              <w:bottom w:val="single" w:sz="4" w:space="0" w:color="auto"/>
              <w:right w:val="nil"/>
            </w:tcBorders>
            <w:noWrap/>
            <w:hideMark/>
          </w:tcPr>
          <w:p w14:paraId="4D6619C6" w14:textId="77777777" w:rsidR="00677577" w:rsidRPr="00A32741" w:rsidRDefault="00677577" w:rsidP="00E05632">
            <w:pPr>
              <w:spacing w:after="0" w:line="240" w:lineRule="auto"/>
              <w:jc w:val="right"/>
              <w:rPr>
                <w:sz w:val="18"/>
                <w:szCs w:val="18"/>
              </w:rPr>
            </w:pPr>
            <w:r w:rsidRPr="00A32741">
              <w:rPr>
                <w:sz w:val="18"/>
                <w:szCs w:val="18"/>
              </w:rPr>
              <w:t>26.5%</w:t>
            </w:r>
          </w:p>
        </w:tc>
        <w:tc>
          <w:tcPr>
            <w:tcW w:w="1332" w:type="dxa"/>
            <w:tcBorders>
              <w:top w:val="nil"/>
              <w:left w:val="nil"/>
              <w:bottom w:val="single" w:sz="4" w:space="0" w:color="auto"/>
              <w:right w:val="nil"/>
            </w:tcBorders>
            <w:noWrap/>
            <w:hideMark/>
          </w:tcPr>
          <w:p w14:paraId="60F79B24" w14:textId="77777777" w:rsidR="00677577" w:rsidRPr="00A32741" w:rsidRDefault="00677577" w:rsidP="00E05632">
            <w:pPr>
              <w:spacing w:after="0" w:line="240" w:lineRule="auto"/>
              <w:jc w:val="right"/>
              <w:rPr>
                <w:sz w:val="18"/>
                <w:szCs w:val="18"/>
              </w:rPr>
            </w:pPr>
            <w:r w:rsidRPr="00A32741">
              <w:rPr>
                <w:sz w:val="18"/>
                <w:szCs w:val="18"/>
              </w:rPr>
              <w:t>13.6%</w:t>
            </w:r>
          </w:p>
        </w:tc>
        <w:tc>
          <w:tcPr>
            <w:tcW w:w="1277" w:type="dxa"/>
            <w:tcBorders>
              <w:top w:val="nil"/>
              <w:left w:val="nil"/>
              <w:bottom w:val="single" w:sz="4" w:space="0" w:color="auto"/>
              <w:right w:val="nil"/>
            </w:tcBorders>
            <w:noWrap/>
            <w:hideMark/>
          </w:tcPr>
          <w:p w14:paraId="1607A898" w14:textId="77777777" w:rsidR="00677577" w:rsidRPr="00A32741" w:rsidRDefault="00677577" w:rsidP="00E05632">
            <w:pPr>
              <w:spacing w:after="0" w:line="240" w:lineRule="auto"/>
              <w:jc w:val="right"/>
              <w:rPr>
                <w:sz w:val="18"/>
                <w:szCs w:val="18"/>
              </w:rPr>
            </w:pPr>
            <w:r w:rsidRPr="00A32741">
              <w:rPr>
                <w:sz w:val="18"/>
                <w:szCs w:val="18"/>
              </w:rPr>
              <w:t>11.5%</w:t>
            </w:r>
          </w:p>
        </w:tc>
        <w:tc>
          <w:tcPr>
            <w:tcW w:w="1520" w:type="dxa"/>
            <w:tcBorders>
              <w:top w:val="nil"/>
              <w:left w:val="nil"/>
              <w:bottom w:val="single" w:sz="4" w:space="0" w:color="auto"/>
              <w:right w:val="nil"/>
            </w:tcBorders>
            <w:noWrap/>
            <w:hideMark/>
          </w:tcPr>
          <w:p w14:paraId="3EDB9401" w14:textId="77777777" w:rsidR="00677577" w:rsidRPr="00A32741" w:rsidRDefault="00677577" w:rsidP="00E05632">
            <w:pPr>
              <w:spacing w:after="0" w:line="240" w:lineRule="auto"/>
              <w:jc w:val="right"/>
              <w:rPr>
                <w:sz w:val="18"/>
                <w:szCs w:val="18"/>
              </w:rPr>
            </w:pPr>
            <w:r w:rsidRPr="00A32741">
              <w:rPr>
                <w:sz w:val="18"/>
                <w:szCs w:val="18"/>
              </w:rPr>
              <w:t>12.9%</w:t>
            </w:r>
          </w:p>
        </w:tc>
        <w:tc>
          <w:tcPr>
            <w:tcW w:w="1010" w:type="dxa"/>
            <w:tcBorders>
              <w:top w:val="nil"/>
              <w:left w:val="nil"/>
              <w:bottom w:val="single" w:sz="4" w:space="0" w:color="auto"/>
              <w:right w:val="nil"/>
            </w:tcBorders>
            <w:noWrap/>
            <w:hideMark/>
          </w:tcPr>
          <w:p w14:paraId="08C9BA77" w14:textId="77777777" w:rsidR="00677577" w:rsidRPr="00A32741" w:rsidRDefault="00677577" w:rsidP="00E05632">
            <w:pPr>
              <w:spacing w:after="0" w:line="240" w:lineRule="auto"/>
              <w:jc w:val="right"/>
              <w:rPr>
                <w:sz w:val="18"/>
                <w:szCs w:val="18"/>
              </w:rPr>
            </w:pPr>
            <w:r w:rsidRPr="00A32741">
              <w:rPr>
                <w:sz w:val="18"/>
                <w:szCs w:val="18"/>
              </w:rPr>
              <w:t>7.8%</w:t>
            </w:r>
          </w:p>
        </w:tc>
        <w:tc>
          <w:tcPr>
            <w:tcW w:w="1188" w:type="dxa"/>
            <w:tcBorders>
              <w:top w:val="nil"/>
              <w:left w:val="nil"/>
              <w:bottom w:val="single" w:sz="4" w:space="0" w:color="auto"/>
              <w:right w:val="nil"/>
            </w:tcBorders>
            <w:noWrap/>
            <w:hideMark/>
          </w:tcPr>
          <w:p w14:paraId="3E032160" w14:textId="77777777" w:rsidR="00677577" w:rsidRPr="00A32741" w:rsidRDefault="00677577" w:rsidP="00E05632">
            <w:pPr>
              <w:spacing w:after="0" w:line="240" w:lineRule="auto"/>
              <w:jc w:val="right"/>
              <w:rPr>
                <w:sz w:val="18"/>
                <w:szCs w:val="18"/>
              </w:rPr>
            </w:pPr>
            <w:r w:rsidRPr="00A32741">
              <w:rPr>
                <w:sz w:val="18"/>
                <w:szCs w:val="18"/>
              </w:rPr>
              <w:t>6.2%</w:t>
            </w:r>
          </w:p>
        </w:tc>
        <w:tc>
          <w:tcPr>
            <w:tcW w:w="1166" w:type="dxa"/>
            <w:tcBorders>
              <w:top w:val="nil"/>
              <w:left w:val="nil"/>
              <w:bottom w:val="single" w:sz="4" w:space="0" w:color="auto"/>
              <w:right w:val="nil"/>
            </w:tcBorders>
            <w:noWrap/>
            <w:hideMark/>
          </w:tcPr>
          <w:p w14:paraId="192437EB" w14:textId="77777777" w:rsidR="00677577" w:rsidRPr="00A32741" w:rsidRDefault="00677577" w:rsidP="00E05632">
            <w:pPr>
              <w:spacing w:after="0" w:line="240" w:lineRule="auto"/>
              <w:jc w:val="right"/>
              <w:rPr>
                <w:sz w:val="18"/>
                <w:szCs w:val="18"/>
              </w:rPr>
            </w:pPr>
            <w:r w:rsidRPr="00A32741">
              <w:rPr>
                <w:sz w:val="18"/>
                <w:szCs w:val="18"/>
              </w:rPr>
              <w:t>8.6%</w:t>
            </w:r>
          </w:p>
        </w:tc>
        <w:tc>
          <w:tcPr>
            <w:tcW w:w="1044" w:type="dxa"/>
            <w:tcBorders>
              <w:top w:val="nil"/>
              <w:left w:val="nil"/>
              <w:bottom w:val="single" w:sz="4" w:space="0" w:color="auto"/>
              <w:right w:val="single" w:sz="4" w:space="0" w:color="auto"/>
            </w:tcBorders>
            <w:noWrap/>
            <w:hideMark/>
          </w:tcPr>
          <w:p w14:paraId="1D81F642" w14:textId="77777777" w:rsidR="00677577" w:rsidRPr="00A32741" w:rsidRDefault="00677577" w:rsidP="00E05632">
            <w:pPr>
              <w:spacing w:after="0" w:line="240" w:lineRule="auto"/>
              <w:jc w:val="right"/>
              <w:rPr>
                <w:sz w:val="18"/>
                <w:szCs w:val="18"/>
              </w:rPr>
            </w:pPr>
            <w:r w:rsidRPr="00A32741">
              <w:rPr>
                <w:sz w:val="18"/>
                <w:szCs w:val="18"/>
              </w:rPr>
              <w:t>100.0%</w:t>
            </w:r>
          </w:p>
        </w:tc>
      </w:tr>
      <w:tr w:rsidR="00677577" w:rsidRPr="00BB4D6B" w14:paraId="6F922CEB" w14:textId="77777777">
        <w:trPr>
          <w:trHeight w:val="287"/>
        </w:trPr>
        <w:tc>
          <w:tcPr>
            <w:tcW w:w="2526" w:type="dxa"/>
            <w:tcBorders>
              <w:top w:val="single" w:sz="4" w:space="0" w:color="auto"/>
              <w:left w:val="single" w:sz="4" w:space="0" w:color="auto"/>
              <w:bottom w:val="single" w:sz="4" w:space="0" w:color="auto"/>
              <w:right w:val="nil"/>
            </w:tcBorders>
            <w:noWrap/>
            <w:hideMark/>
          </w:tcPr>
          <w:p w14:paraId="77A6CF4E" w14:textId="77777777" w:rsidR="00677577" w:rsidRPr="00A32741" w:rsidRDefault="00677577">
            <w:pPr>
              <w:spacing w:after="0" w:line="240" w:lineRule="auto"/>
              <w:rPr>
                <w:sz w:val="18"/>
                <w:szCs w:val="18"/>
              </w:rPr>
            </w:pPr>
            <w:r w:rsidRPr="00A32741">
              <w:rPr>
                <w:sz w:val="18"/>
                <w:szCs w:val="18"/>
              </w:rPr>
              <w:t>Share of new jobs created between August 2012 and August 2024, by occupation (persons)</w:t>
            </w:r>
          </w:p>
        </w:tc>
        <w:tc>
          <w:tcPr>
            <w:tcW w:w="1273" w:type="dxa"/>
            <w:tcBorders>
              <w:top w:val="single" w:sz="4" w:space="0" w:color="auto"/>
              <w:left w:val="nil"/>
              <w:bottom w:val="single" w:sz="4" w:space="0" w:color="auto"/>
              <w:right w:val="nil"/>
            </w:tcBorders>
            <w:noWrap/>
            <w:vAlign w:val="center"/>
            <w:hideMark/>
          </w:tcPr>
          <w:p w14:paraId="556BDD3E" w14:textId="77777777" w:rsidR="00677577" w:rsidRPr="00A32741" w:rsidRDefault="00677577" w:rsidP="00E05632">
            <w:pPr>
              <w:spacing w:after="0" w:line="240" w:lineRule="auto"/>
              <w:jc w:val="right"/>
              <w:rPr>
                <w:sz w:val="18"/>
                <w:szCs w:val="18"/>
              </w:rPr>
            </w:pPr>
            <w:r w:rsidRPr="00A32741">
              <w:rPr>
                <w:sz w:val="18"/>
                <w:szCs w:val="18"/>
              </w:rPr>
              <w:t>14.3%</w:t>
            </w:r>
          </w:p>
        </w:tc>
        <w:tc>
          <w:tcPr>
            <w:tcW w:w="1465" w:type="dxa"/>
            <w:tcBorders>
              <w:top w:val="single" w:sz="4" w:space="0" w:color="auto"/>
              <w:left w:val="nil"/>
              <w:bottom w:val="single" w:sz="4" w:space="0" w:color="auto"/>
              <w:right w:val="nil"/>
            </w:tcBorders>
            <w:noWrap/>
            <w:vAlign w:val="center"/>
            <w:hideMark/>
          </w:tcPr>
          <w:p w14:paraId="261381BF" w14:textId="77777777" w:rsidR="00677577" w:rsidRPr="00A32741" w:rsidRDefault="00677577" w:rsidP="00E05632">
            <w:pPr>
              <w:spacing w:after="0" w:line="240" w:lineRule="auto"/>
              <w:jc w:val="right"/>
              <w:rPr>
                <w:sz w:val="18"/>
                <w:szCs w:val="18"/>
              </w:rPr>
            </w:pPr>
            <w:r w:rsidRPr="00A32741">
              <w:rPr>
                <w:sz w:val="18"/>
                <w:szCs w:val="18"/>
              </w:rPr>
              <w:t>41.6%</w:t>
            </w:r>
          </w:p>
        </w:tc>
        <w:tc>
          <w:tcPr>
            <w:tcW w:w="1332" w:type="dxa"/>
            <w:tcBorders>
              <w:top w:val="single" w:sz="4" w:space="0" w:color="auto"/>
              <w:left w:val="nil"/>
              <w:bottom w:val="single" w:sz="4" w:space="0" w:color="auto"/>
              <w:right w:val="nil"/>
            </w:tcBorders>
            <w:noWrap/>
            <w:vAlign w:val="center"/>
            <w:hideMark/>
          </w:tcPr>
          <w:p w14:paraId="55653748" w14:textId="77777777" w:rsidR="00677577" w:rsidRPr="00A32741" w:rsidRDefault="00677577" w:rsidP="00E05632">
            <w:pPr>
              <w:spacing w:after="0" w:line="240" w:lineRule="auto"/>
              <w:jc w:val="right"/>
              <w:rPr>
                <w:sz w:val="18"/>
                <w:szCs w:val="18"/>
              </w:rPr>
            </w:pPr>
            <w:r w:rsidRPr="00A32741">
              <w:rPr>
                <w:sz w:val="18"/>
                <w:szCs w:val="18"/>
              </w:rPr>
              <w:t>9.6%</w:t>
            </w:r>
          </w:p>
        </w:tc>
        <w:tc>
          <w:tcPr>
            <w:tcW w:w="1277" w:type="dxa"/>
            <w:tcBorders>
              <w:top w:val="single" w:sz="4" w:space="0" w:color="auto"/>
              <w:left w:val="nil"/>
              <w:bottom w:val="single" w:sz="4" w:space="0" w:color="auto"/>
              <w:right w:val="nil"/>
            </w:tcBorders>
            <w:noWrap/>
            <w:vAlign w:val="center"/>
            <w:hideMark/>
          </w:tcPr>
          <w:p w14:paraId="27069628" w14:textId="77777777" w:rsidR="00677577" w:rsidRPr="00A32741" w:rsidRDefault="00677577" w:rsidP="00E05632">
            <w:pPr>
              <w:spacing w:after="0" w:line="240" w:lineRule="auto"/>
              <w:jc w:val="right"/>
              <w:rPr>
                <w:sz w:val="18"/>
                <w:szCs w:val="18"/>
              </w:rPr>
            </w:pPr>
            <w:r w:rsidRPr="00A32741">
              <w:rPr>
                <w:sz w:val="18"/>
                <w:szCs w:val="18"/>
              </w:rPr>
              <w:t>19.0%</w:t>
            </w:r>
          </w:p>
        </w:tc>
        <w:tc>
          <w:tcPr>
            <w:tcW w:w="1520" w:type="dxa"/>
            <w:tcBorders>
              <w:top w:val="single" w:sz="4" w:space="0" w:color="auto"/>
              <w:left w:val="nil"/>
              <w:bottom w:val="single" w:sz="4" w:space="0" w:color="auto"/>
              <w:right w:val="nil"/>
            </w:tcBorders>
            <w:noWrap/>
            <w:vAlign w:val="center"/>
            <w:hideMark/>
          </w:tcPr>
          <w:p w14:paraId="42BB3D92" w14:textId="77777777" w:rsidR="00677577" w:rsidRPr="00A32741" w:rsidRDefault="00677577" w:rsidP="00E05632">
            <w:pPr>
              <w:spacing w:after="0" w:line="240" w:lineRule="auto"/>
              <w:jc w:val="right"/>
              <w:rPr>
                <w:sz w:val="18"/>
                <w:szCs w:val="18"/>
              </w:rPr>
            </w:pPr>
            <w:r w:rsidRPr="00A32741">
              <w:rPr>
                <w:sz w:val="18"/>
                <w:szCs w:val="18"/>
              </w:rPr>
              <w:t>6.0%</w:t>
            </w:r>
          </w:p>
        </w:tc>
        <w:tc>
          <w:tcPr>
            <w:tcW w:w="1010" w:type="dxa"/>
            <w:tcBorders>
              <w:top w:val="single" w:sz="4" w:space="0" w:color="auto"/>
              <w:left w:val="nil"/>
              <w:bottom w:val="single" w:sz="4" w:space="0" w:color="auto"/>
              <w:right w:val="nil"/>
            </w:tcBorders>
            <w:noWrap/>
            <w:vAlign w:val="center"/>
            <w:hideMark/>
          </w:tcPr>
          <w:p w14:paraId="2435D6FE" w14:textId="77777777" w:rsidR="00677577" w:rsidRPr="00A32741" w:rsidRDefault="00677577" w:rsidP="00E05632">
            <w:pPr>
              <w:spacing w:after="0" w:line="240" w:lineRule="auto"/>
              <w:jc w:val="right"/>
              <w:rPr>
                <w:sz w:val="18"/>
                <w:szCs w:val="18"/>
              </w:rPr>
            </w:pPr>
            <w:r w:rsidRPr="00A32741">
              <w:rPr>
                <w:sz w:val="18"/>
                <w:szCs w:val="18"/>
              </w:rPr>
              <w:t>1.8%</w:t>
            </w:r>
          </w:p>
        </w:tc>
        <w:tc>
          <w:tcPr>
            <w:tcW w:w="1188" w:type="dxa"/>
            <w:tcBorders>
              <w:top w:val="single" w:sz="4" w:space="0" w:color="auto"/>
              <w:left w:val="nil"/>
              <w:bottom w:val="single" w:sz="4" w:space="0" w:color="auto"/>
              <w:right w:val="nil"/>
            </w:tcBorders>
            <w:noWrap/>
            <w:vAlign w:val="center"/>
            <w:hideMark/>
          </w:tcPr>
          <w:p w14:paraId="408596A8" w14:textId="77777777" w:rsidR="00677577" w:rsidRPr="00A32741" w:rsidRDefault="00677577" w:rsidP="00E05632">
            <w:pPr>
              <w:spacing w:after="0" w:line="240" w:lineRule="auto"/>
              <w:jc w:val="right"/>
              <w:rPr>
                <w:sz w:val="18"/>
                <w:szCs w:val="18"/>
              </w:rPr>
            </w:pPr>
            <w:r w:rsidRPr="00A32741">
              <w:rPr>
                <w:sz w:val="18"/>
                <w:szCs w:val="18"/>
              </w:rPr>
              <w:t>5.1%</w:t>
            </w:r>
          </w:p>
        </w:tc>
        <w:tc>
          <w:tcPr>
            <w:tcW w:w="1166" w:type="dxa"/>
            <w:tcBorders>
              <w:top w:val="single" w:sz="4" w:space="0" w:color="auto"/>
              <w:left w:val="nil"/>
              <w:bottom w:val="single" w:sz="4" w:space="0" w:color="auto"/>
              <w:right w:val="nil"/>
            </w:tcBorders>
            <w:noWrap/>
            <w:vAlign w:val="center"/>
            <w:hideMark/>
          </w:tcPr>
          <w:p w14:paraId="5FF17057" w14:textId="77777777" w:rsidR="00677577" w:rsidRPr="00A32741" w:rsidRDefault="00677577" w:rsidP="00E05632">
            <w:pPr>
              <w:spacing w:after="0" w:line="240" w:lineRule="auto"/>
              <w:jc w:val="right"/>
              <w:rPr>
                <w:sz w:val="18"/>
                <w:szCs w:val="18"/>
              </w:rPr>
            </w:pPr>
            <w:r w:rsidRPr="00A32741">
              <w:rPr>
                <w:sz w:val="18"/>
                <w:szCs w:val="18"/>
              </w:rPr>
              <w:t>2.6%</w:t>
            </w:r>
          </w:p>
        </w:tc>
        <w:tc>
          <w:tcPr>
            <w:tcW w:w="1044" w:type="dxa"/>
            <w:tcBorders>
              <w:top w:val="single" w:sz="4" w:space="0" w:color="auto"/>
              <w:left w:val="nil"/>
              <w:bottom w:val="single" w:sz="4" w:space="0" w:color="auto"/>
              <w:right w:val="single" w:sz="4" w:space="0" w:color="auto"/>
            </w:tcBorders>
            <w:noWrap/>
            <w:vAlign w:val="center"/>
            <w:hideMark/>
          </w:tcPr>
          <w:p w14:paraId="4C6F941E" w14:textId="77777777" w:rsidR="00677577" w:rsidRPr="00A32741" w:rsidRDefault="00677577" w:rsidP="00E05632">
            <w:pPr>
              <w:spacing w:after="0" w:line="240" w:lineRule="auto"/>
              <w:jc w:val="right"/>
              <w:rPr>
                <w:sz w:val="18"/>
                <w:szCs w:val="18"/>
              </w:rPr>
            </w:pPr>
            <w:r w:rsidRPr="00A32741">
              <w:rPr>
                <w:sz w:val="18"/>
                <w:szCs w:val="18"/>
              </w:rPr>
              <w:t>100.0%</w:t>
            </w:r>
          </w:p>
        </w:tc>
      </w:tr>
    </w:tbl>
    <w:p w14:paraId="55D23466" w14:textId="77777777" w:rsidR="00677577" w:rsidRPr="00A32741" w:rsidRDefault="00677577" w:rsidP="00677577">
      <w:pPr>
        <w:pStyle w:val="Source"/>
        <w:spacing w:after="0" w:line="240" w:lineRule="auto"/>
        <w:rPr>
          <w:szCs w:val="18"/>
        </w:rPr>
      </w:pPr>
      <w:r w:rsidRPr="00A32741">
        <w:rPr>
          <w:b/>
          <w:bCs/>
          <w:szCs w:val="18"/>
        </w:rPr>
        <w:t>Source:</w:t>
      </w:r>
      <w:r w:rsidRPr="00A32741">
        <w:rPr>
          <w:szCs w:val="18"/>
        </w:rPr>
        <w:t xml:space="preserve"> ABS Labour Force, Australia, Detailed (Cat No 6291.0.55.001), Table 7, original series.</w:t>
      </w:r>
    </w:p>
    <w:p w14:paraId="7C30FECC" w14:textId="77777777" w:rsidR="00677577" w:rsidRPr="00167CB8" w:rsidRDefault="00677577" w:rsidP="00677577">
      <w:pPr>
        <w:sectPr w:rsidR="00677577" w:rsidRPr="00167CB8" w:rsidSect="00677577">
          <w:pgSz w:w="16838" w:h="11906" w:orient="landscape"/>
          <w:pgMar w:top="1440" w:right="1440" w:bottom="1440" w:left="1440" w:header="708" w:footer="708" w:gutter="0"/>
          <w:cols w:space="720"/>
        </w:sectPr>
      </w:pPr>
    </w:p>
    <w:p w14:paraId="7EABDED4" w14:textId="711029C2" w:rsidR="00677577" w:rsidRPr="00167CB8" w:rsidRDefault="00365C93" w:rsidP="007F380D">
      <w:pPr>
        <w:pStyle w:val="Caption"/>
      </w:pPr>
      <w:bookmarkStart w:id="770" w:name="_Ref184403834"/>
      <w:bookmarkStart w:id="771" w:name="_Toc186991777"/>
      <w:bookmarkStart w:id="772" w:name="_Toc189310810"/>
      <w:bookmarkStart w:id="773" w:name="_Toc194251522"/>
      <w:r>
        <w:lastRenderedPageBreak/>
        <w:t xml:space="preserve">Figure </w:t>
      </w:r>
      <w:r>
        <w:fldChar w:fldCharType="begin"/>
      </w:r>
      <w:r>
        <w:instrText xml:space="preserve"> SEQ Figure \* ARABIC </w:instrText>
      </w:r>
      <w:r>
        <w:fldChar w:fldCharType="separate"/>
      </w:r>
      <w:r w:rsidR="00DE5F5E">
        <w:rPr>
          <w:noProof/>
        </w:rPr>
        <w:t>24</w:t>
      </w:r>
      <w:r>
        <w:fldChar w:fldCharType="end"/>
      </w:r>
      <w:r>
        <w:t xml:space="preserve">: </w:t>
      </w:r>
      <w:r w:rsidR="00677577" w:rsidRPr="00167CB8">
        <w:t>Industry size (employment) and distribution of employment</w:t>
      </w:r>
      <w:bookmarkEnd w:id="770"/>
      <w:bookmarkEnd w:id="771"/>
      <w:bookmarkEnd w:id="772"/>
      <w:bookmarkEnd w:id="773"/>
    </w:p>
    <w:p w14:paraId="22905BA3" w14:textId="3347CAF3" w:rsidR="00677577" w:rsidRPr="00167CB8" w:rsidRDefault="00677577" w:rsidP="00677577">
      <w:r w:rsidRPr="00167CB8">
        <w:rPr>
          <w:noProof/>
        </w:rPr>
        <w:drawing>
          <wp:inline distT="0" distB="0" distL="0" distR="0" wp14:anchorId="2262E7E2" wp14:editId="0D6E6D2D">
            <wp:extent cx="5731510" cy="3745230"/>
            <wp:effectExtent l="0" t="0" r="2540" b="7620"/>
            <wp:docPr id="1434940265" name="Picture 67" descr="A combination chart showing industry size and distribution of employment.&#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940265" name="Picture 67" descr="A combination chart showing industry size and distribution of employment.&#10;&#10;See alt-text following the sourc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31510" cy="3745230"/>
                    </a:xfrm>
                    <a:prstGeom prst="rect">
                      <a:avLst/>
                    </a:prstGeom>
                    <a:noFill/>
                    <a:ln>
                      <a:noFill/>
                    </a:ln>
                  </pic:spPr>
                </pic:pic>
              </a:graphicData>
            </a:graphic>
          </wp:inline>
        </w:drawing>
      </w:r>
    </w:p>
    <w:p w14:paraId="17182FFE" w14:textId="77777777" w:rsidR="00677577" w:rsidRPr="00167CB8" w:rsidRDefault="00677577" w:rsidP="00677577">
      <w:pPr>
        <w:pStyle w:val="Source"/>
      </w:pPr>
      <w:r w:rsidRPr="00167CB8">
        <w:rPr>
          <w:b/>
          <w:bCs/>
        </w:rPr>
        <w:t>Source:</w:t>
      </w:r>
      <w:r w:rsidRPr="00167CB8">
        <w:t xml:space="preserve"> ABS Labour Force, Australia, Detailed (Cat No 6291.0.55.001), Table 4, August 2024. Seasonally adjusted data.</w:t>
      </w:r>
    </w:p>
    <w:p w14:paraId="016ACD57" w14:textId="336E2C7B" w:rsidR="0011475D" w:rsidRDefault="00677577" w:rsidP="00677577">
      <w:pPr>
        <w:pStyle w:val="Source"/>
      </w:pPr>
      <w:r w:rsidRPr="00167CB8">
        <w:rPr>
          <w:b/>
          <w:bCs/>
        </w:rPr>
        <w:t>Alt-text:</w:t>
      </w:r>
      <w:r w:rsidRPr="00167CB8">
        <w:t xml:space="preserve"> A combination chart showing the distribution of employees by industry. At August 2024, 15.5% of all employees (persons) (black line) were employed in the health care and social assistance sector (making this the largest industry sector (by employee size)</w:t>
      </w:r>
      <w:r w:rsidR="007F4838">
        <w:t>)</w:t>
      </w:r>
      <w:r w:rsidRPr="00167CB8">
        <w:t>. The bars show the distribution of men and women across industries. In 2024, around 17% of all women employees were in the health care and social assistance sector, followed by around 9% of women in the education and training sector. Among men the largest share (around 11%) were in construction.</w:t>
      </w:r>
    </w:p>
    <w:p w14:paraId="16305369" w14:textId="7AB15DDC" w:rsidR="00677577" w:rsidRPr="00167CB8" w:rsidRDefault="00677577" w:rsidP="00677577">
      <w:pPr>
        <w:pStyle w:val="Heading4"/>
      </w:pPr>
      <w:bookmarkStart w:id="774" w:name="_Toc186991760"/>
      <w:bookmarkStart w:id="775" w:name="_Toc189393664"/>
      <w:r w:rsidRPr="00167CB8">
        <w:t>2.2 Casual employment</w:t>
      </w:r>
      <w:bookmarkEnd w:id="774"/>
      <w:bookmarkEnd w:id="775"/>
    </w:p>
    <w:p w14:paraId="56FCB2DE" w14:textId="47ABF006" w:rsidR="00677577" w:rsidRPr="00A32FB1" w:rsidRDefault="00677577" w:rsidP="00677577">
      <w:r w:rsidRPr="00167CB8">
        <w:t xml:space="preserve">There are various ways of defining casual employment. A common approach used in Australia </w:t>
      </w:r>
      <w:r w:rsidRPr="00A32FB1">
        <w:t xml:space="preserve">is to classify someone as casual if they have no paid leave entitlements. Adopting this approach </w:t>
      </w:r>
      <w:r w:rsidRPr="003011E8">
        <w:t>Figure 2</w:t>
      </w:r>
      <w:r w:rsidR="00365C93" w:rsidRPr="003011E8">
        <w:t>5</w:t>
      </w:r>
      <w:r w:rsidRPr="00A32FB1">
        <w:t xml:space="preserve"> shows that, among women, much of the full-time employment growth among women is casual in nature.</w:t>
      </w:r>
    </w:p>
    <w:p w14:paraId="30F5FAEC" w14:textId="176D7A9E" w:rsidR="0011475D" w:rsidRDefault="00677577" w:rsidP="00677577">
      <w:r w:rsidRPr="001F14AF">
        <w:t>Figure 2</w:t>
      </w:r>
      <w:r w:rsidR="00365C93" w:rsidRPr="001F14AF">
        <w:t>6</w:t>
      </w:r>
      <w:r w:rsidRPr="00A32FB1">
        <w:t xml:space="preserve"> for men, shows that over the last decade part-time employment (with and without paid leave en</w:t>
      </w:r>
      <w:r w:rsidRPr="00167CB8">
        <w:t>titlements) has grown faster than full-time employment.</w:t>
      </w:r>
    </w:p>
    <w:p w14:paraId="7EAD237D" w14:textId="7A62EA57" w:rsidR="00677577" w:rsidRPr="00167CB8" w:rsidRDefault="00365C93" w:rsidP="007F380D">
      <w:pPr>
        <w:pStyle w:val="Caption"/>
      </w:pPr>
      <w:bookmarkStart w:id="776" w:name="_Toc186991778"/>
      <w:bookmarkStart w:id="777" w:name="_Toc189310811"/>
      <w:bookmarkStart w:id="778" w:name="_Toc194251523"/>
      <w:r>
        <w:lastRenderedPageBreak/>
        <w:t xml:space="preserve">Figure </w:t>
      </w:r>
      <w:r>
        <w:fldChar w:fldCharType="begin"/>
      </w:r>
      <w:r>
        <w:instrText xml:space="preserve"> SEQ Figure \* ARABIC </w:instrText>
      </w:r>
      <w:r>
        <w:fldChar w:fldCharType="separate"/>
      </w:r>
      <w:r w:rsidR="00DE5F5E">
        <w:rPr>
          <w:noProof/>
        </w:rPr>
        <w:t>25</w:t>
      </w:r>
      <w:r>
        <w:fldChar w:fldCharType="end"/>
      </w:r>
      <w:r>
        <w:t xml:space="preserve">: </w:t>
      </w:r>
      <w:r w:rsidR="00677577" w:rsidRPr="00167CB8">
        <w:t>Trends in casual employment, women</w:t>
      </w:r>
      <w:bookmarkEnd w:id="776"/>
      <w:bookmarkEnd w:id="777"/>
      <w:bookmarkEnd w:id="778"/>
    </w:p>
    <w:p w14:paraId="53378126" w14:textId="05BC19B5" w:rsidR="00677577" w:rsidRPr="00167CB8" w:rsidRDefault="00677577" w:rsidP="00677577">
      <w:r w:rsidRPr="00167CB8">
        <w:rPr>
          <w:noProof/>
        </w:rPr>
        <w:drawing>
          <wp:inline distT="0" distB="0" distL="0" distR="0" wp14:anchorId="44ABAA12" wp14:editId="19F4BCC1">
            <wp:extent cx="5731510" cy="3745230"/>
            <wp:effectExtent l="0" t="0" r="2540" b="7620"/>
            <wp:docPr id="1302843211" name="Picture 66" descr="A line chart of trends in casual employment for women.&#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843211" name="Picture 66" descr="A line chart of trends in casual employment for women.&#10;&#10;See alt-text following the sourc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31510" cy="3745230"/>
                    </a:xfrm>
                    <a:prstGeom prst="rect">
                      <a:avLst/>
                    </a:prstGeom>
                    <a:noFill/>
                    <a:ln>
                      <a:noFill/>
                    </a:ln>
                  </pic:spPr>
                </pic:pic>
              </a:graphicData>
            </a:graphic>
          </wp:inline>
        </w:drawing>
      </w:r>
    </w:p>
    <w:p w14:paraId="136269B2" w14:textId="77777777" w:rsidR="00677577" w:rsidRPr="00167CB8" w:rsidRDefault="00677577" w:rsidP="00677577">
      <w:pPr>
        <w:pStyle w:val="Source"/>
      </w:pPr>
      <w:r w:rsidRPr="00167CB8">
        <w:rPr>
          <w:b/>
          <w:bCs/>
        </w:rPr>
        <w:t>Source:</w:t>
      </w:r>
      <w:r w:rsidRPr="00167CB8">
        <w:t xml:space="preserve"> ABS Labour Force, Australia, Detailed (Cat No 6291.0.55.001), EQ04. Original series. Indexed to August 2014 and then smoothed using a four-quarter moving average to August 2024.</w:t>
      </w:r>
    </w:p>
    <w:p w14:paraId="417D91CE" w14:textId="77777777" w:rsidR="00677577" w:rsidRPr="00167CB8" w:rsidRDefault="00677577" w:rsidP="00677577">
      <w:pPr>
        <w:pStyle w:val="Source"/>
      </w:pPr>
      <w:r w:rsidRPr="00167CB8">
        <w:rPr>
          <w:b/>
          <w:bCs/>
        </w:rPr>
        <w:t>Alt-text:</w:t>
      </w:r>
      <w:r w:rsidRPr="00167CB8">
        <w:t xml:space="preserve"> A line chart showing trends in female employment disaggregated by hours (full-time, part-time) and paid leave entitlements. Between 2015 and 2024, in the female labour market, full-time employment (with paid leave) has grown by nearly 140%. The next strongest growth has been among full-timers without paid leave entitlements (i.e. casuals), increasing by just over 130% between 2015 and 2024.</w:t>
      </w:r>
    </w:p>
    <w:p w14:paraId="094F51E6" w14:textId="77777777" w:rsidR="00677577" w:rsidRPr="00167CB8" w:rsidRDefault="00677577" w:rsidP="00677577">
      <w:pPr>
        <w:rPr>
          <w:i/>
          <w:iCs/>
        </w:rPr>
      </w:pPr>
      <w:r w:rsidRPr="00167CB8">
        <w:br w:type="page"/>
      </w:r>
      <w:bookmarkStart w:id="779" w:name="_Ref184403949"/>
    </w:p>
    <w:p w14:paraId="430591A9" w14:textId="28F59845" w:rsidR="00677577" w:rsidRPr="00167CB8" w:rsidRDefault="00365C93" w:rsidP="007F380D">
      <w:pPr>
        <w:pStyle w:val="Caption"/>
      </w:pPr>
      <w:bookmarkStart w:id="780" w:name="_Toc186991779"/>
      <w:bookmarkStart w:id="781" w:name="_Toc189310812"/>
      <w:bookmarkStart w:id="782" w:name="_Toc194251524"/>
      <w:bookmarkEnd w:id="779"/>
      <w:r>
        <w:lastRenderedPageBreak/>
        <w:t xml:space="preserve">Figure </w:t>
      </w:r>
      <w:r>
        <w:fldChar w:fldCharType="begin"/>
      </w:r>
      <w:r>
        <w:instrText xml:space="preserve"> SEQ Figure \* ARABIC </w:instrText>
      </w:r>
      <w:r>
        <w:fldChar w:fldCharType="separate"/>
      </w:r>
      <w:r w:rsidR="00DE5F5E">
        <w:rPr>
          <w:noProof/>
        </w:rPr>
        <w:t>26</w:t>
      </w:r>
      <w:r>
        <w:fldChar w:fldCharType="end"/>
      </w:r>
      <w:r>
        <w:t xml:space="preserve">: </w:t>
      </w:r>
      <w:r w:rsidR="00677577" w:rsidRPr="00167CB8">
        <w:t>Trends in casual employment, men</w:t>
      </w:r>
      <w:bookmarkEnd w:id="780"/>
      <w:bookmarkEnd w:id="781"/>
      <w:bookmarkEnd w:id="782"/>
    </w:p>
    <w:p w14:paraId="47B1E792" w14:textId="1C32DD85" w:rsidR="00677577" w:rsidRPr="00167CB8" w:rsidRDefault="00677577" w:rsidP="00677577">
      <w:r w:rsidRPr="00167CB8">
        <w:rPr>
          <w:noProof/>
        </w:rPr>
        <w:drawing>
          <wp:inline distT="0" distB="0" distL="0" distR="0" wp14:anchorId="3D661ECE" wp14:editId="0DDE4841">
            <wp:extent cx="5731510" cy="3753485"/>
            <wp:effectExtent l="0" t="0" r="2540" b="0"/>
            <wp:docPr id="52606997" name="Picture 65" descr="A line chart of trend in casual employment for men.&#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06997" name="Picture 65" descr="A line chart of trend in casual employment for men.&#10;&#10;See alt-text following the sourc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31510" cy="3753485"/>
                    </a:xfrm>
                    <a:prstGeom prst="rect">
                      <a:avLst/>
                    </a:prstGeom>
                    <a:noFill/>
                    <a:ln>
                      <a:noFill/>
                    </a:ln>
                  </pic:spPr>
                </pic:pic>
              </a:graphicData>
            </a:graphic>
          </wp:inline>
        </w:drawing>
      </w:r>
    </w:p>
    <w:p w14:paraId="0F0DAA74" w14:textId="45DED140" w:rsidR="00677577" w:rsidRPr="00167CB8" w:rsidRDefault="00677577" w:rsidP="00677577">
      <w:pPr>
        <w:pStyle w:val="Source"/>
      </w:pPr>
      <w:r w:rsidRPr="00167CB8">
        <w:rPr>
          <w:b/>
          <w:bCs/>
        </w:rPr>
        <w:t>Source:</w:t>
      </w:r>
      <w:r w:rsidRPr="00167CB8">
        <w:t xml:space="preserve"> ABS Labour Force, Australia, Detailed (Cat No 6291.0.55.001), EQ04. Original series. Indexed to August 2014 and then smoothed using a </w:t>
      </w:r>
      <w:r w:rsidR="007F4838">
        <w:t>four</w:t>
      </w:r>
      <w:r w:rsidRPr="00167CB8">
        <w:t>-quarter moving average to August 2024.</w:t>
      </w:r>
    </w:p>
    <w:p w14:paraId="1A50D286" w14:textId="6B29285E" w:rsidR="00677577" w:rsidRPr="00167CB8" w:rsidRDefault="00677577" w:rsidP="00677577">
      <w:pPr>
        <w:pStyle w:val="Source"/>
      </w:pPr>
      <w:r w:rsidRPr="00167CB8">
        <w:rPr>
          <w:b/>
          <w:bCs/>
        </w:rPr>
        <w:t>Alt-text:</w:t>
      </w:r>
      <w:r w:rsidRPr="00167CB8">
        <w:t xml:space="preserve"> A line chart showing trends in male employment disaggregated by hours (full-time, part-time) and paid leave entitlements. Between 2015 and 2024, in the male labour market, part-time employment (with paid leave) has grown by around 145%. The next strongest growth has been among part-timers without paid leave entitlements (i.e. casuals), increasing by around 130% between 2015 and 2024.</w:t>
      </w:r>
    </w:p>
    <w:p w14:paraId="341AF544" w14:textId="6A7579C2" w:rsidR="0011475D" w:rsidRDefault="00677577" w:rsidP="00677577">
      <w:r w:rsidRPr="0051797E">
        <w:t xml:space="preserve">Table </w:t>
      </w:r>
      <w:r w:rsidR="00022427" w:rsidRPr="0051797E">
        <w:t>2</w:t>
      </w:r>
      <w:r w:rsidR="00022427">
        <w:t>9</w:t>
      </w:r>
      <w:r w:rsidR="00022427" w:rsidRPr="00A32FB1">
        <w:t xml:space="preserve"> </w:t>
      </w:r>
      <w:r w:rsidRPr="00A32FB1">
        <w:t>summarise changes in employment by hours (full-time, part-time) and status of</w:t>
      </w:r>
      <w:r w:rsidRPr="00167CB8">
        <w:t xml:space="preserve"> employment in the main job between November 2022 (before the Secure Jobs, Better Pay Act) and August 2024. Among women there has been a decline in the incidence of casual employment in the full-time and part-time labour markets. Among men, the number and share employed as casuals has decline in the full-time labour market but increased in the part-time labour market.</w:t>
      </w:r>
    </w:p>
    <w:p w14:paraId="58AB5D5D" w14:textId="61C094D7" w:rsidR="00677577" w:rsidRPr="00167CB8" w:rsidRDefault="00677577" w:rsidP="00677577">
      <w:pPr>
        <w:sectPr w:rsidR="00677577" w:rsidRPr="00167CB8" w:rsidSect="00677577">
          <w:pgSz w:w="11906" w:h="16838"/>
          <w:pgMar w:top="1440" w:right="1440" w:bottom="1440" w:left="1440" w:header="708" w:footer="708" w:gutter="0"/>
          <w:cols w:space="720"/>
        </w:sectPr>
      </w:pPr>
    </w:p>
    <w:p w14:paraId="412993E6" w14:textId="1585437D" w:rsidR="00677577" w:rsidRPr="00167CB8" w:rsidRDefault="00365C93" w:rsidP="007F380D">
      <w:pPr>
        <w:pStyle w:val="Caption"/>
      </w:pPr>
      <w:bookmarkStart w:id="783" w:name="_Ref184403966"/>
      <w:bookmarkStart w:id="784" w:name="_Toc186991804"/>
      <w:bookmarkStart w:id="785" w:name="_Toc189310855"/>
      <w:bookmarkStart w:id="786" w:name="_Toc194251453"/>
      <w:r>
        <w:lastRenderedPageBreak/>
        <w:t xml:space="preserve">Table </w:t>
      </w:r>
      <w:r>
        <w:fldChar w:fldCharType="begin"/>
      </w:r>
      <w:r>
        <w:instrText xml:space="preserve"> SEQ Table \* ARABIC </w:instrText>
      </w:r>
      <w:r>
        <w:fldChar w:fldCharType="separate"/>
      </w:r>
      <w:r w:rsidR="00DE5F5E">
        <w:rPr>
          <w:noProof/>
        </w:rPr>
        <w:t>29</w:t>
      </w:r>
      <w:r>
        <w:fldChar w:fldCharType="end"/>
      </w:r>
      <w:r>
        <w:t xml:space="preserve">: </w:t>
      </w:r>
      <w:bookmarkEnd w:id="783"/>
      <w:r w:rsidR="00677577" w:rsidRPr="00167CB8">
        <w:t>Employed persons by sex and status in employment of main job</w:t>
      </w:r>
      <w:bookmarkEnd w:id="784"/>
      <w:bookmarkEnd w:id="785"/>
      <w:bookmarkEnd w:id="786"/>
    </w:p>
    <w:tbl>
      <w:tblPr>
        <w:tblW w:w="1388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15"/>
        <w:gridCol w:w="1355"/>
        <w:gridCol w:w="1355"/>
        <w:gridCol w:w="1355"/>
        <w:gridCol w:w="1355"/>
        <w:gridCol w:w="866"/>
        <w:gridCol w:w="1355"/>
        <w:gridCol w:w="1355"/>
        <w:gridCol w:w="1355"/>
        <w:gridCol w:w="1355"/>
        <w:gridCol w:w="866"/>
      </w:tblGrid>
      <w:tr w:rsidR="00677577" w:rsidRPr="00167CB8" w14:paraId="21F77057" w14:textId="77777777">
        <w:trPr>
          <w:trHeight w:val="504"/>
        </w:trPr>
        <w:tc>
          <w:tcPr>
            <w:tcW w:w="1315" w:type="dxa"/>
            <w:tcBorders>
              <w:top w:val="single" w:sz="4" w:space="0" w:color="auto"/>
              <w:left w:val="single" w:sz="4" w:space="0" w:color="auto"/>
              <w:bottom w:val="nil"/>
              <w:right w:val="nil"/>
            </w:tcBorders>
            <w:hideMark/>
          </w:tcPr>
          <w:p w14:paraId="731BB398" w14:textId="77777777" w:rsidR="00677577" w:rsidRPr="00A32741" w:rsidRDefault="00677577">
            <w:pPr>
              <w:rPr>
                <w:b/>
                <w:bCs/>
                <w:sz w:val="20"/>
                <w:szCs w:val="20"/>
              </w:rPr>
            </w:pPr>
          </w:p>
        </w:tc>
        <w:tc>
          <w:tcPr>
            <w:tcW w:w="6286" w:type="dxa"/>
            <w:gridSpan w:val="5"/>
            <w:tcBorders>
              <w:top w:val="single" w:sz="4" w:space="0" w:color="auto"/>
              <w:left w:val="nil"/>
              <w:bottom w:val="nil"/>
              <w:right w:val="single" w:sz="4" w:space="0" w:color="auto"/>
            </w:tcBorders>
            <w:vAlign w:val="center"/>
            <w:hideMark/>
          </w:tcPr>
          <w:p w14:paraId="08C5D4A5" w14:textId="77777777" w:rsidR="00677577" w:rsidRPr="00A32741" w:rsidRDefault="00677577">
            <w:pPr>
              <w:rPr>
                <w:b/>
                <w:bCs/>
                <w:sz w:val="20"/>
                <w:szCs w:val="20"/>
              </w:rPr>
            </w:pPr>
            <w:r w:rsidRPr="00A32741">
              <w:rPr>
                <w:b/>
                <w:bCs/>
                <w:sz w:val="20"/>
                <w:szCs w:val="20"/>
              </w:rPr>
              <w:t>Women</w:t>
            </w:r>
          </w:p>
        </w:tc>
        <w:tc>
          <w:tcPr>
            <w:tcW w:w="6286" w:type="dxa"/>
            <w:gridSpan w:val="5"/>
            <w:tcBorders>
              <w:top w:val="single" w:sz="4" w:space="0" w:color="auto"/>
              <w:left w:val="single" w:sz="4" w:space="0" w:color="auto"/>
              <w:bottom w:val="nil"/>
              <w:right w:val="single" w:sz="4" w:space="0" w:color="auto"/>
            </w:tcBorders>
            <w:vAlign w:val="center"/>
            <w:hideMark/>
          </w:tcPr>
          <w:p w14:paraId="287B6C53" w14:textId="77777777" w:rsidR="00677577" w:rsidRPr="00A32741" w:rsidRDefault="00677577">
            <w:pPr>
              <w:rPr>
                <w:b/>
                <w:bCs/>
                <w:sz w:val="20"/>
                <w:szCs w:val="20"/>
              </w:rPr>
            </w:pPr>
            <w:r w:rsidRPr="00A32741">
              <w:rPr>
                <w:b/>
                <w:bCs/>
                <w:sz w:val="20"/>
                <w:szCs w:val="20"/>
              </w:rPr>
              <w:t>Men</w:t>
            </w:r>
          </w:p>
        </w:tc>
      </w:tr>
      <w:tr w:rsidR="00677577" w:rsidRPr="00167CB8" w14:paraId="139687B9" w14:textId="77777777">
        <w:trPr>
          <w:trHeight w:val="791"/>
        </w:trPr>
        <w:tc>
          <w:tcPr>
            <w:tcW w:w="1315" w:type="dxa"/>
            <w:tcBorders>
              <w:top w:val="nil"/>
              <w:left w:val="single" w:sz="4" w:space="0" w:color="auto"/>
              <w:bottom w:val="single" w:sz="4" w:space="0" w:color="auto"/>
              <w:right w:val="nil"/>
            </w:tcBorders>
            <w:vAlign w:val="center"/>
            <w:hideMark/>
          </w:tcPr>
          <w:p w14:paraId="2C9D7852" w14:textId="77777777" w:rsidR="00677577" w:rsidRPr="00A32741" w:rsidRDefault="00677577">
            <w:pPr>
              <w:rPr>
                <w:b/>
                <w:bCs/>
                <w:sz w:val="20"/>
                <w:szCs w:val="20"/>
              </w:rPr>
            </w:pPr>
          </w:p>
        </w:tc>
        <w:tc>
          <w:tcPr>
            <w:tcW w:w="1355" w:type="dxa"/>
            <w:tcBorders>
              <w:top w:val="nil"/>
              <w:left w:val="nil"/>
              <w:bottom w:val="single" w:sz="4" w:space="0" w:color="auto"/>
              <w:right w:val="nil"/>
            </w:tcBorders>
            <w:vAlign w:val="center"/>
            <w:hideMark/>
          </w:tcPr>
          <w:p w14:paraId="301DBCE7" w14:textId="77777777" w:rsidR="00677577" w:rsidRPr="00310C3D" w:rsidRDefault="00677577" w:rsidP="00F6583D">
            <w:pPr>
              <w:jc w:val="right"/>
              <w:rPr>
                <w:b/>
                <w:bCs/>
                <w:sz w:val="19"/>
                <w:szCs w:val="19"/>
              </w:rPr>
            </w:pPr>
            <w:r w:rsidRPr="00310C3D">
              <w:rPr>
                <w:b/>
                <w:bCs/>
                <w:sz w:val="19"/>
                <w:szCs w:val="19"/>
              </w:rPr>
              <w:t>Full-time, with paid leave entitlements</w:t>
            </w:r>
          </w:p>
        </w:tc>
        <w:tc>
          <w:tcPr>
            <w:tcW w:w="1355" w:type="dxa"/>
            <w:tcBorders>
              <w:top w:val="nil"/>
              <w:left w:val="nil"/>
              <w:bottom w:val="single" w:sz="4" w:space="0" w:color="auto"/>
              <w:right w:val="nil"/>
            </w:tcBorders>
            <w:vAlign w:val="center"/>
            <w:hideMark/>
          </w:tcPr>
          <w:p w14:paraId="7FE4BEF5" w14:textId="77777777" w:rsidR="00677577" w:rsidRPr="00310C3D" w:rsidRDefault="00677577" w:rsidP="00F6583D">
            <w:pPr>
              <w:jc w:val="right"/>
              <w:rPr>
                <w:b/>
                <w:bCs/>
                <w:sz w:val="19"/>
                <w:szCs w:val="19"/>
              </w:rPr>
            </w:pPr>
            <w:r w:rsidRPr="00310C3D">
              <w:rPr>
                <w:b/>
                <w:bCs/>
                <w:sz w:val="19"/>
                <w:szCs w:val="19"/>
              </w:rPr>
              <w:t>Full-time, no paid leave entitlements</w:t>
            </w:r>
          </w:p>
        </w:tc>
        <w:tc>
          <w:tcPr>
            <w:tcW w:w="1355" w:type="dxa"/>
            <w:tcBorders>
              <w:top w:val="nil"/>
              <w:left w:val="nil"/>
              <w:bottom w:val="single" w:sz="4" w:space="0" w:color="auto"/>
              <w:right w:val="nil"/>
            </w:tcBorders>
            <w:vAlign w:val="center"/>
            <w:hideMark/>
          </w:tcPr>
          <w:p w14:paraId="057EC36E" w14:textId="77777777" w:rsidR="00677577" w:rsidRPr="00310C3D" w:rsidRDefault="00677577" w:rsidP="00F6583D">
            <w:pPr>
              <w:jc w:val="right"/>
              <w:rPr>
                <w:b/>
                <w:bCs/>
                <w:sz w:val="19"/>
                <w:szCs w:val="19"/>
              </w:rPr>
            </w:pPr>
            <w:r w:rsidRPr="00310C3D">
              <w:rPr>
                <w:b/>
                <w:bCs/>
                <w:sz w:val="19"/>
                <w:szCs w:val="19"/>
              </w:rPr>
              <w:t>Part-time, with paid leave entitlements</w:t>
            </w:r>
          </w:p>
        </w:tc>
        <w:tc>
          <w:tcPr>
            <w:tcW w:w="1355" w:type="dxa"/>
            <w:tcBorders>
              <w:top w:val="nil"/>
              <w:left w:val="nil"/>
              <w:bottom w:val="single" w:sz="4" w:space="0" w:color="auto"/>
              <w:right w:val="nil"/>
            </w:tcBorders>
            <w:vAlign w:val="center"/>
            <w:hideMark/>
          </w:tcPr>
          <w:p w14:paraId="6B1C0157" w14:textId="77777777" w:rsidR="00677577" w:rsidRPr="00310C3D" w:rsidRDefault="00677577" w:rsidP="00F6583D">
            <w:pPr>
              <w:jc w:val="right"/>
              <w:rPr>
                <w:b/>
                <w:bCs/>
                <w:sz w:val="19"/>
                <w:szCs w:val="19"/>
              </w:rPr>
            </w:pPr>
            <w:r w:rsidRPr="00310C3D">
              <w:rPr>
                <w:b/>
                <w:bCs/>
                <w:sz w:val="19"/>
                <w:szCs w:val="19"/>
              </w:rPr>
              <w:t>Part-time, no paid leave entitlements</w:t>
            </w:r>
          </w:p>
        </w:tc>
        <w:tc>
          <w:tcPr>
            <w:tcW w:w="866" w:type="dxa"/>
            <w:tcBorders>
              <w:top w:val="nil"/>
              <w:left w:val="nil"/>
              <w:bottom w:val="single" w:sz="4" w:space="0" w:color="auto"/>
              <w:right w:val="single" w:sz="4" w:space="0" w:color="auto"/>
            </w:tcBorders>
            <w:vAlign w:val="center"/>
            <w:hideMark/>
          </w:tcPr>
          <w:p w14:paraId="2C6C5128" w14:textId="77777777" w:rsidR="00677577" w:rsidRPr="00310C3D" w:rsidRDefault="00677577" w:rsidP="00F6583D">
            <w:pPr>
              <w:jc w:val="right"/>
              <w:rPr>
                <w:b/>
                <w:bCs/>
                <w:sz w:val="19"/>
                <w:szCs w:val="19"/>
              </w:rPr>
            </w:pPr>
            <w:r w:rsidRPr="00310C3D">
              <w:rPr>
                <w:b/>
                <w:bCs/>
                <w:sz w:val="19"/>
                <w:szCs w:val="19"/>
              </w:rPr>
              <w:t>Total</w:t>
            </w:r>
          </w:p>
        </w:tc>
        <w:tc>
          <w:tcPr>
            <w:tcW w:w="1355" w:type="dxa"/>
            <w:tcBorders>
              <w:top w:val="nil"/>
              <w:left w:val="single" w:sz="4" w:space="0" w:color="auto"/>
              <w:bottom w:val="single" w:sz="4" w:space="0" w:color="auto"/>
              <w:right w:val="nil"/>
            </w:tcBorders>
            <w:vAlign w:val="center"/>
            <w:hideMark/>
          </w:tcPr>
          <w:p w14:paraId="52722A65" w14:textId="77777777" w:rsidR="00677577" w:rsidRPr="00310C3D" w:rsidRDefault="00677577" w:rsidP="00F6583D">
            <w:pPr>
              <w:jc w:val="right"/>
              <w:rPr>
                <w:b/>
                <w:bCs/>
                <w:sz w:val="19"/>
                <w:szCs w:val="19"/>
              </w:rPr>
            </w:pPr>
            <w:r w:rsidRPr="00310C3D">
              <w:rPr>
                <w:b/>
                <w:bCs/>
                <w:sz w:val="19"/>
                <w:szCs w:val="19"/>
              </w:rPr>
              <w:t>Full-time, with paid leave entitlements</w:t>
            </w:r>
          </w:p>
        </w:tc>
        <w:tc>
          <w:tcPr>
            <w:tcW w:w="1355" w:type="dxa"/>
            <w:tcBorders>
              <w:top w:val="nil"/>
              <w:left w:val="nil"/>
              <w:bottom w:val="single" w:sz="4" w:space="0" w:color="auto"/>
              <w:right w:val="nil"/>
            </w:tcBorders>
            <w:vAlign w:val="center"/>
            <w:hideMark/>
          </w:tcPr>
          <w:p w14:paraId="00D14DBF" w14:textId="77777777" w:rsidR="00677577" w:rsidRPr="00310C3D" w:rsidRDefault="00677577" w:rsidP="00F6583D">
            <w:pPr>
              <w:jc w:val="right"/>
              <w:rPr>
                <w:b/>
                <w:bCs/>
                <w:sz w:val="19"/>
                <w:szCs w:val="19"/>
              </w:rPr>
            </w:pPr>
            <w:r w:rsidRPr="00310C3D">
              <w:rPr>
                <w:b/>
                <w:bCs/>
                <w:sz w:val="19"/>
                <w:szCs w:val="19"/>
              </w:rPr>
              <w:t>Full-time, no paid leave entitlements</w:t>
            </w:r>
          </w:p>
        </w:tc>
        <w:tc>
          <w:tcPr>
            <w:tcW w:w="1355" w:type="dxa"/>
            <w:tcBorders>
              <w:top w:val="nil"/>
              <w:left w:val="nil"/>
              <w:bottom w:val="single" w:sz="4" w:space="0" w:color="auto"/>
              <w:right w:val="nil"/>
            </w:tcBorders>
            <w:vAlign w:val="center"/>
            <w:hideMark/>
          </w:tcPr>
          <w:p w14:paraId="78A03ED2" w14:textId="77777777" w:rsidR="00677577" w:rsidRPr="00310C3D" w:rsidRDefault="00677577" w:rsidP="00F6583D">
            <w:pPr>
              <w:jc w:val="right"/>
              <w:rPr>
                <w:b/>
                <w:bCs/>
                <w:sz w:val="19"/>
                <w:szCs w:val="19"/>
              </w:rPr>
            </w:pPr>
            <w:r w:rsidRPr="00310C3D">
              <w:rPr>
                <w:b/>
                <w:bCs/>
                <w:sz w:val="19"/>
                <w:szCs w:val="19"/>
              </w:rPr>
              <w:t>Part-time, with paid leave entitlements</w:t>
            </w:r>
          </w:p>
        </w:tc>
        <w:tc>
          <w:tcPr>
            <w:tcW w:w="1355" w:type="dxa"/>
            <w:tcBorders>
              <w:top w:val="nil"/>
              <w:left w:val="nil"/>
              <w:bottom w:val="single" w:sz="4" w:space="0" w:color="auto"/>
              <w:right w:val="nil"/>
            </w:tcBorders>
            <w:vAlign w:val="center"/>
            <w:hideMark/>
          </w:tcPr>
          <w:p w14:paraId="36970576" w14:textId="77777777" w:rsidR="00677577" w:rsidRPr="00310C3D" w:rsidRDefault="00677577" w:rsidP="00F6583D">
            <w:pPr>
              <w:jc w:val="right"/>
              <w:rPr>
                <w:b/>
                <w:bCs/>
                <w:sz w:val="19"/>
                <w:szCs w:val="19"/>
              </w:rPr>
            </w:pPr>
            <w:r w:rsidRPr="00310C3D">
              <w:rPr>
                <w:b/>
                <w:bCs/>
                <w:sz w:val="19"/>
                <w:szCs w:val="19"/>
              </w:rPr>
              <w:t>Part-time, no paid leave entitlements</w:t>
            </w:r>
          </w:p>
        </w:tc>
        <w:tc>
          <w:tcPr>
            <w:tcW w:w="866" w:type="dxa"/>
            <w:tcBorders>
              <w:top w:val="nil"/>
              <w:left w:val="nil"/>
              <w:bottom w:val="single" w:sz="4" w:space="0" w:color="auto"/>
              <w:right w:val="single" w:sz="4" w:space="0" w:color="auto"/>
            </w:tcBorders>
            <w:vAlign w:val="center"/>
            <w:hideMark/>
          </w:tcPr>
          <w:p w14:paraId="5AB958F5" w14:textId="77777777" w:rsidR="00677577" w:rsidRPr="00310C3D" w:rsidRDefault="00677577" w:rsidP="00F6583D">
            <w:pPr>
              <w:jc w:val="right"/>
              <w:rPr>
                <w:b/>
                <w:bCs/>
                <w:sz w:val="19"/>
                <w:szCs w:val="19"/>
              </w:rPr>
            </w:pPr>
            <w:r w:rsidRPr="00310C3D">
              <w:rPr>
                <w:b/>
                <w:bCs/>
                <w:sz w:val="19"/>
                <w:szCs w:val="19"/>
              </w:rPr>
              <w:t>Total</w:t>
            </w:r>
          </w:p>
        </w:tc>
      </w:tr>
      <w:tr w:rsidR="00677577" w:rsidRPr="00167CB8" w14:paraId="21D856CC" w14:textId="77777777">
        <w:trPr>
          <w:trHeight w:val="262"/>
        </w:trPr>
        <w:tc>
          <w:tcPr>
            <w:tcW w:w="1315" w:type="dxa"/>
            <w:tcBorders>
              <w:top w:val="single" w:sz="4" w:space="0" w:color="auto"/>
              <w:left w:val="single" w:sz="4" w:space="0" w:color="auto"/>
              <w:bottom w:val="nil"/>
              <w:right w:val="nil"/>
            </w:tcBorders>
            <w:vAlign w:val="center"/>
            <w:hideMark/>
          </w:tcPr>
          <w:p w14:paraId="10E17A15" w14:textId="77777777" w:rsidR="00677577" w:rsidRPr="00A32741" w:rsidRDefault="00677577">
            <w:pPr>
              <w:rPr>
                <w:sz w:val="20"/>
                <w:szCs w:val="20"/>
              </w:rPr>
            </w:pPr>
            <w:r w:rsidRPr="00A32741">
              <w:rPr>
                <w:sz w:val="20"/>
                <w:szCs w:val="20"/>
              </w:rPr>
              <w:t>Nov-2022 (employed ‘000)</w:t>
            </w:r>
          </w:p>
        </w:tc>
        <w:tc>
          <w:tcPr>
            <w:tcW w:w="1355" w:type="dxa"/>
            <w:tcBorders>
              <w:top w:val="single" w:sz="4" w:space="0" w:color="auto"/>
              <w:left w:val="nil"/>
              <w:bottom w:val="nil"/>
              <w:right w:val="nil"/>
            </w:tcBorders>
            <w:vAlign w:val="center"/>
            <w:hideMark/>
          </w:tcPr>
          <w:p w14:paraId="3515421C" w14:textId="77777777" w:rsidR="00677577" w:rsidRPr="00A32741" w:rsidRDefault="00677577" w:rsidP="00F6583D">
            <w:pPr>
              <w:jc w:val="right"/>
              <w:rPr>
                <w:sz w:val="20"/>
                <w:szCs w:val="20"/>
              </w:rPr>
            </w:pPr>
            <w:r w:rsidRPr="00A32741">
              <w:rPr>
                <w:sz w:val="20"/>
                <w:szCs w:val="20"/>
              </w:rPr>
              <w:t>2,826</w:t>
            </w:r>
          </w:p>
        </w:tc>
        <w:tc>
          <w:tcPr>
            <w:tcW w:w="1355" w:type="dxa"/>
            <w:tcBorders>
              <w:top w:val="single" w:sz="4" w:space="0" w:color="auto"/>
              <w:left w:val="nil"/>
              <w:bottom w:val="nil"/>
              <w:right w:val="nil"/>
            </w:tcBorders>
            <w:vAlign w:val="center"/>
            <w:hideMark/>
          </w:tcPr>
          <w:p w14:paraId="0B95F4C8" w14:textId="77777777" w:rsidR="00677577" w:rsidRPr="00A32741" w:rsidRDefault="00677577" w:rsidP="00F6583D">
            <w:pPr>
              <w:jc w:val="right"/>
              <w:rPr>
                <w:sz w:val="20"/>
                <w:szCs w:val="20"/>
              </w:rPr>
            </w:pPr>
            <w:r w:rsidRPr="00A32741">
              <w:rPr>
                <w:sz w:val="20"/>
                <w:szCs w:val="20"/>
              </w:rPr>
              <w:t>325</w:t>
            </w:r>
          </w:p>
        </w:tc>
        <w:tc>
          <w:tcPr>
            <w:tcW w:w="1355" w:type="dxa"/>
            <w:tcBorders>
              <w:top w:val="single" w:sz="4" w:space="0" w:color="auto"/>
              <w:left w:val="nil"/>
              <w:bottom w:val="nil"/>
              <w:right w:val="nil"/>
            </w:tcBorders>
            <w:vAlign w:val="center"/>
            <w:hideMark/>
          </w:tcPr>
          <w:p w14:paraId="12DC5082" w14:textId="77777777" w:rsidR="00677577" w:rsidRPr="00A32741" w:rsidRDefault="00677577" w:rsidP="00F6583D">
            <w:pPr>
              <w:jc w:val="right"/>
              <w:rPr>
                <w:sz w:val="20"/>
                <w:szCs w:val="20"/>
              </w:rPr>
            </w:pPr>
            <w:r w:rsidRPr="00A32741">
              <w:rPr>
                <w:sz w:val="20"/>
                <w:szCs w:val="20"/>
              </w:rPr>
              <w:t>1,212</w:t>
            </w:r>
          </w:p>
        </w:tc>
        <w:tc>
          <w:tcPr>
            <w:tcW w:w="1355" w:type="dxa"/>
            <w:tcBorders>
              <w:top w:val="single" w:sz="4" w:space="0" w:color="auto"/>
              <w:left w:val="nil"/>
              <w:bottom w:val="nil"/>
              <w:right w:val="nil"/>
            </w:tcBorders>
            <w:vAlign w:val="center"/>
            <w:hideMark/>
          </w:tcPr>
          <w:p w14:paraId="29095961" w14:textId="77777777" w:rsidR="00677577" w:rsidRPr="00A32741" w:rsidRDefault="00677577" w:rsidP="00F6583D">
            <w:pPr>
              <w:jc w:val="right"/>
              <w:rPr>
                <w:sz w:val="20"/>
                <w:szCs w:val="20"/>
              </w:rPr>
            </w:pPr>
            <w:r w:rsidRPr="00A32741">
              <w:rPr>
                <w:sz w:val="20"/>
                <w:szCs w:val="20"/>
              </w:rPr>
              <w:t>1,038</w:t>
            </w:r>
          </w:p>
        </w:tc>
        <w:tc>
          <w:tcPr>
            <w:tcW w:w="866" w:type="dxa"/>
            <w:tcBorders>
              <w:top w:val="single" w:sz="4" w:space="0" w:color="auto"/>
              <w:left w:val="nil"/>
              <w:bottom w:val="nil"/>
              <w:right w:val="single" w:sz="4" w:space="0" w:color="auto"/>
            </w:tcBorders>
            <w:vAlign w:val="center"/>
            <w:hideMark/>
          </w:tcPr>
          <w:p w14:paraId="66B6A305" w14:textId="77777777" w:rsidR="00677577" w:rsidRPr="00A32741" w:rsidRDefault="00677577" w:rsidP="00F6583D">
            <w:pPr>
              <w:jc w:val="right"/>
              <w:rPr>
                <w:sz w:val="20"/>
                <w:szCs w:val="20"/>
              </w:rPr>
            </w:pPr>
            <w:r w:rsidRPr="00A32741">
              <w:rPr>
                <w:sz w:val="20"/>
                <w:szCs w:val="20"/>
              </w:rPr>
              <w:t>5,401</w:t>
            </w:r>
          </w:p>
        </w:tc>
        <w:tc>
          <w:tcPr>
            <w:tcW w:w="1355" w:type="dxa"/>
            <w:tcBorders>
              <w:top w:val="single" w:sz="4" w:space="0" w:color="auto"/>
              <w:left w:val="single" w:sz="4" w:space="0" w:color="auto"/>
              <w:bottom w:val="nil"/>
              <w:right w:val="nil"/>
            </w:tcBorders>
            <w:vAlign w:val="center"/>
            <w:hideMark/>
          </w:tcPr>
          <w:p w14:paraId="0798ED48" w14:textId="77777777" w:rsidR="00677577" w:rsidRPr="00A32741" w:rsidRDefault="00677577" w:rsidP="00F6583D">
            <w:pPr>
              <w:jc w:val="right"/>
              <w:rPr>
                <w:sz w:val="20"/>
                <w:szCs w:val="20"/>
              </w:rPr>
            </w:pPr>
            <w:r w:rsidRPr="00A32741">
              <w:rPr>
                <w:sz w:val="20"/>
                <w:szCs w:val="20"/>
              </w:rPr>
              <w:t>3,982</w:t>
            </w:r>
          </w:p>
        </w:tc>
        <w:tc>
          <w:tcPr>
            <w:tcW w:w="1355" w:type="dxa"/>
            <w:tcBorders>
              <w:top w:val="single" w:sz="4" w:space="0" w:color="auto"/>
              <w:left w:val="nil"/>
              <w:bottom w:val="nil"/>
              <w:right w:val="nil"/>
            </w:tcBorders>
            <w:vAlign w:val="center"/>
            <w:hideMark/>
          </w:tcPr>
          <w:p w14:paraId="10D39D4E" w14:textId="77777777" w:rsidR="00677577" w:rsidRPr="00A32741" w:rsidRDefault="00677577" w:rsidP="00F6583D">
            <w:pPr>
              <w:jc w:val="right"/>
              <w:rPr>
                <w:sz w:val="20"/>
                <w:szCs w:val="20"/>
              </w:rPr>
            </w:pPr>
            <w:r w:rsidRPr="00A32741">
              <w:rPr>
                <w:sz w:val="20"/>
                <w:szCs w:val="20"/>
              </w:rPr>
              <w:t>569</w:t>
            </w:r>
          </w:p>
        </w:tc>
        <w:tc>
          <w:tcPr>
            <w:tcW w:w="1355" w:type="dxa"/>
            <w:tcBorders>
              <w:top w:val="single" w:sz="4" w:space="0" w:color="auto"/>
              <w:left w:val="nil"/>
              <w:bottom w:val="nil"/>
              <w:right w:val="nil"/>
            </w:tcBorders>
            <w:vAlign w:val="center"/>
            <w:hideMark/>
          </w:tcPr>
          <w:p w14:paraId="21466B04" w14:textId="77777777" w:rsidR="00677577" w:rsidRPr="00A32741" w:rsidRDefault="00677577" w:rsidP="00F6583D">
            <w:pPr>
              <w:jc w:val="right"/>
              <w:rPr>
                <w:sz w:val="20"/>
                <w:szCs w:val="20"/>
              </w:rPr>
            </w:pPr>
            <w:r w:rsidRPr="00A32741">
              <w:rPr>
                <w:sz w:val="20"/>
                <w:szCs w:val="20"/>
              </w:rPr>
              <w:t>362</w:t>
            </w:r>
          </w:p>
        </w:tc>
        <w:tc>
          <w:tcPr>
            <w:tcW w:w="1355" w:type="dxa"/>
            <w:tcBorders>
              <w:top w:val="single" w:sz="4" w:space="0" w:color="auto"/>
              <w:left w:val="nil"/>
              <w:bottom w:val="nil"/>
              <w:right w:val="nil"/>
            </w:tcBorders>
            <w:vAlign w:val="center"/>
            <w:hideMark/>
          </w:tcPr>
          <w:p w14:paraId="25843C57" w14:textId="77777777" w:rsidR="00677577" w:rsidRPr="00A32741" w:rsidRDefault="00677577" w:rsidP="00F6583D">
            <w:pPr>
              <w:jc w:val="right"/>
              <w:rPr>
                <w:sz w:val="20"/>
                <w:szCs w:val="20"/>
              </w:rPr>
            </w:pPr>
            <w:r w:rsidRPr="00A32741">
              <w:rPr>
                <w:sz w:val="20"/>
                <w:szCs w:val="20"/>
              </w:rPr>
              <w:t>601</w:t>
            </w:r>
          </w:p>
        </w:tc>
        <w:tc>
          <w:tcPr>
            <w:tcW w:w="866" w:type="dxa"/>
            <w:tcBorders>
              <w:top w:val="single" w:sz="4" w:space="0" w:color="auto"/>
              <w:left w:val="nil"/>
              <w:bottom w:val="nil"/>
              <w:right w:val="single" w:sz="4" w:space="0" w:color="auto"/>
            </w:tcBorders>
            <w:vAlign w:val="center"/>
            <w:hideMark/>
          </w:tcPr>
          <w:p w14:paraId="5D0B9ECF" w14:textId="77777777" w:rsidR="00677577" w:rsidRPr="00A32741" w:rsidRDefault="00677577" w:rsidP="00F6583D">
            <w:pPr>
              <w:jc w:val="right"/>
              <w:rPr>
                <w:sz w:val="20"/>
                <w:szCs w:val="20"/>
              </w:rPr>
            </w:pPr>
            <w:r w:rsidRPr="00A32741">
              <w:rPr>
                <w:sz w:val="20"/>
                <w:szCs w:val="20"/>
              </w:rPr>
              <w:t>5,513</w:t>
            </w:r>
          </w:p>
        </w:tc>
      </w:tr>
      <w:tr w:rsidR="00677577" w:rsidRPr="00167CB8" w14:paraId="1215BBD5" w14:textId="77777777">
        <w:trPr>
          <w:trHeight w:val="262"/>
        </w:trPr>
        <w:tc>
          <w:tcPr>
            <w:tcW w:w="1315" w:type="dxa"/>
            <w:tcBorders>
              <w:top w:val="nil"/>
              <w:left w:val="single" w:sz="4" w:space="0" w:color="auto"/>
              <w:bottom w:val="nil"/>
              <w:right w:val="nil"/>
            </w:tcBorders>
            <w:vAlign w:val="center"/>
            <w:hideMark/>
          </w:tcPr>
          <w:p w14:paraId="0386A3A9" w14:textId="77777777" w:rsidR="00677577" w:rsidRPr="00A32741" w:rsidRDefault="00677577">
            <w:pPr>
              <w:rPr>
                <w:sz w:val="20"/>
                <w:szCs w:val="20"/>
              </w:rPr>
            </w:pPr>
            <w:r w:rsidRPr="00A32741">
              <w:rPr>
                <w:sz w:val="20"/>
                <w:szCs w:val="20"/>
              </w:rPr>
              <w:t>Aug-2024 (employed ‘000)</w:t>
            </w:r>
          </w:p>
        </w:tc>
        <w:tc>
          <w:tcPr>
            <w:tcW w:w="1355" w:type="dxa"/>
            <w:tcBorders>
              <w:top w:val="nil"/>
              <w:left w:val="nil"/>
              <w:bottom w:val="nil"/>
              <w:right w:val="nil"/>
            </w:tcBorders>
            <w:vAlign w:val="center"/>
            <w:hideMark/>
          </w:tcPr>
          <w:p w14:paraId="5F412BD0" w14:textId="77777777" w:rsidR="00677577" w:rsidRPr="00A32741" w:rsidRDefault="00677577" w:rsidP="00F6583D">
            <w:pPr>
              <w:jc w:val="right"/>
              <w:rPr>
                <w:sz w:val="20"/>
                <w:szCs w:val="20"/>
              </w:rPr>
            </w:pPr>
            <w:r w:rsidRPr="00A32741">
              <w:rPr>
                <w:sz w:val="20"/>
                <w:szCs w:val="20"/>
              </w:rPr>
              <w:t>3,022</w:t>
            </w:r>
          </w:p>
        </w:tc>
        <w:tc>
          <w:tcPr>
            <w:tcW w:w="1355" w:type="dxa"/>
            <w:tcBorders>
              <w:top w:val="nil"/>
              <w:left w:val="nil"/>
              <w:bottom w:val="nil"/>
              <w:right w:val="nil"/>
            </w:tcBorders>
            <w:vAlign w:val="center"/>
            <w:hideMark/>
          </w:tcPr>
          <w:p w14:paraId="623AA4D9" w14:textId="77777777" w:rsidR="00677577" w:rsidRPr="00A32741" w:rsidRDefault="00677577" w:rsidP="00F6583D">
            <w:pPr>
              <w:jc w:val="right"/>
              <w:rPr>
                <w:sz w:val="20"/>
                <w:szCs w:val="20"/>
              </w:rPr>
            </w:pPr>
            <w:r w:rsidRPr="00A32741">
              <w:rPr>
                <w:sz w:val="20"/>
                <w:szCs w:val="20"/>
              </w:rPr>
              <w:t>305</w:t>
            </w:r>
          </w:p>
        </w:tc>
        <w:tc>
          <w:tcPr>
            <w:tcW w:w="1355" w:type="dxa"/>
            <w:tcBorders>
              <w:top w:val="nil"/>
              <w:left w:val="nil"/>
              <w:bottom w:val="nil"/>
              <w:right w:val="nil"/>
            </w:tcBorders>
            <w:vAlign w:val="center"/>
            <w:hideMark/>
          </w:tcPr>
          <w:p w14:paraId="7ED3144F" w14:textId="77777777" w:rsidR="00677577" w:rsidRPr="00A32741" w:rsidRDefault="00677577" w:rsidP="00F6583D">
            <w:pPr>
              <w:jc w:val="right"/>
              <w:rPr>
                <w:sz w:val="20"/>
                <w:szCs w:val="20"/>
              </w:rPr>
            </w:pPr>
            <w:r w:rsidRPr="00A32741">
              <w:rPr>
                <w:sz w:val="20"/>
                <w:szCs w:val="20"/>
              </w:rPr>
              <w:t>1,306</w:t>
            </w:r>
          </w:p>
        </w:tc>
        <w:tc>
          <w:tcPr>
            <w:tcW w:w="1355" w:type="dxa"/>
            <w:tcBorders>
              <w:top w:val="nil"/>
              <w:left w:val="nil"/>
              <w:bottom w:val="nil"/>
              <w:right w:val="nil"/>
            </w:tcBorders>
            <w:vAlign w:val="center"/>
            <w:hideMark/>
          </w:tcPr>
          <w:p w14:paraId="02BF2818" w14:textId="77777777" w:rsidR="00677577" w:rsidRPr="00A32741" w:rsidRDefault="00677577" w:rsidP="00F6583D">
            <w:pPr>
              <w:jc w:val="right"/>
              <w:rPr>
                <w:sz w:val="20"/>
                <w:szCs w:val="20"/>
              </w:rPr>
            </w:pPr>
            <w:r w:rsidRPr="00A32741">
              <w:rPr>
                <w:sz w:val="20"/>
                <w:szCs w:val="20"/>
              </w:rPr>
              <w:t>1,018</w:t>
            </w:r>
          </w:p>
        </w:tc>
        <w:tc>
          <w:tcPr>
            <w:tcW w:w="866" w:type="dxa"/>
            <w:tcBorders>
              <w:top w:val="nil"/>
              <w:left w:val="nil"/>
              <w:bottom w:val="nil"/>
              <w:right w:val="single" w:sz="4" w:space="0" w:color="auto"/>
            </w:tcBorders>
            <w:vAlign w:val="center"/>
            <w:hideMark/>
          </w:tcPr>
          <w:p w14:paraId="7A71CAE6" w14:textId="77777777" w:rsidR="00677577" w:rsidRPr="00A32741" w:rsidRDefault="00677577" w:rsidP="00F6583D">
            <w:pPr>
              <w:jc w:val="right"/>
              <w:rPr>
                <w:sz w:val="20"/>
                <w:szCs w:val="20"/>
              </w:rPr>
            </w:pPr>
            <w:r w:rsidRPr="00A32741">
              <w:rPr>
                <w:sz w:val="20"/>
                <w:szCs w:val="20"/>
              </w:rPr>
              <w:t>5,652</w:t>
            </w:r>
          </w:p>
        </w:tc>
        <w:tc>
          <w:tcPr>
            <w:tcW w:w="1355" w:type="dxa"/>
            <w:tcBorders>
              <w:top w:val="nil"/>
              <w:left w:val="single" w:sz="4" w:space="0" w:color="auto"/>
              <w:bottom w:val="nil"/>
              <w:right w:val="nil"/>
            </w:tcBorders>
            <w:vAlign w:val="center"/>
            <w:hideMark/>
          </w:tcPr>
          <w:p w14:paraId="7A81E3DF" w14:textId="77777777" w:rsidR="00677577" w:rsidRPr="00A32741" w:rsidRDefault="00677577" w:rsidP="00F6583D">
            <w:pPr>
              <w:jc w:val="right"/>
              <w:rPr>
                <w:sz w:val="20"/>
                <w:szCs w:val="20"/>
              </w:rPr>
            </w:pPr>
            <w:r w:rsidRPr="00A32741">
              <w:rPr>
                <w:sz w:val="20"/>
                <w:szCs w:val="20"/>
              </w:rPr>
              <w:t>4,120</w:t>
            </w:r>
          </w:p>
        </w:tc>
        <w:tc>
          <w:tcPr>
            <w:tcW w:w="1355" w:type="dxa"/>
            <w:tcBorders>
              <w:top w:val="nil"/>
              <w:left w:val="nil"/>
              <w:bottom w:val="nil"/>
              <w:right w:val="nil"/>
            </w:tcBorders>
            <w:vAlign w:val="center"/>
            <w:hideMark/>
          </w:tcPr>
          <w:p w14:paraId="640FDEC4" w14:textId="77777777" w:rsidR="00677577" w:rsidRPr="00A32741" w:rsidRDefault="00677577" w:rsidP="00F6583D">
            <w:pPr>
              <w:jc w:val="right"/>
              <w:rPr>
                <w:sz w:val="20"/>
                <w:szCs w:val="20"/>
              </w:rPr>
            </w:pPr>
            <w:r w:rsidRPr="00A32741">
              <w:rPr>
                <w:sz w:val="20"/>
                <w:szCs w:val="20"/>
              </w:rPr>
              <w:t>508</w:t>
            </w:r>
          </w:p>
        </w:tc>
        <w:tc>
          <w:tcPr>
            <w:tcW w:w="1355" w:type="dxa"/>
            <w:tcBorders>
              <w:top w:val="nil"/>
              <w:left w:val="nil"/>
              <w:bottom w:val="nil"/>
              <w:right w:val="nil"/>
            </w:tcBorders>
            <w:vAlign w:val="center"/>
            <w:hideMark/>
          </w:tcPr>
          <w:p w14:paraId="4FE1EFAD" w14:textId="77777777" w:rsidR="00677577" w:rsidRPr="00A32741" w:rsidRDefault="00677577" w:rsidP="00F6583D">
            <w:pPr>
              <w:jc w:val="right"/>
              <w:rPr>
                <w:sz w:val="20"/>
                <w:szCs w:val="20"/>
              </w:rPr>
            </w:pPr>
            <w:r w:rsidRPr="00A32741">
              <w:rPr>
                <w:sz w:val="20"/>
                <w:szCs w:val="20"/>
              </w:rPr>
              <w:t>412</w:t>
            </w:r>
          </w:p>
        </w:tc>
        <w:tc>
          <w:tcPr>
            <w:tcW w:w="1355" w:type="dxa"/>
            <w:tcBorders>
              <w:top w:val="nil"/>
              <w:left w:val="nil"/>
              <w:bottom w:val="nil"/>
              <w:right w:val="nil"/>
            </w:tcBorders>
            <w:vAlign w:val="center"/>
            <w:hideMark/>
          </w:tcPr>
          <w:p w14:paraId="29B49DF6" w14:textId="77777777" w:rsidR="00677577" w:rsidRPr="00A32741" w:rsidRDefault="00677577" w:rsidP="00F6583D">
            <w:pPr>
              <w:jc w:val="right"/>
              <w:rPr>
                <w:sz w:val="20"/>
                <w:szCs w:val="20"/>
              </w:rPr>
            </w:pPr>
            <w:r w:rsidRPr="00A32741">
              <w:rPr>
                <w:sz w:val="20"/>
                <w:szCs w:val="20"/>
              </w:rPr>
              <w:t>689</w:t>
            </w:r>
          </w:p>
        </w:tc>
        <w:tc>
          <w:tcPr>
            <w:tcW w:w="866" w:type="dxa"/>
            <w:tcBorders>
              <w:top w:val="nil"/>
              <w:left w:val="nil"/>
              <w:bottom w:val="nil"/>
              <w:right w:val="single" w:sz="4" w:space="0" w:color="auto"/>
            </w:tcBorders>
            <w:vAlign w:val="center"/>
            <w:hideMark/>
          </w:tcPr>
          <w:p w14:paraId="111C9F3E" w14:textId="77777777" w:rsidR="00677577" w:rsidRPr="00A32741" w:rsidRDefault="00677577" w:rsidP="00F6583D">
            <w:pPr>
              <w:jc w:val="right"/>
              <w:rPr>
                <w:sz w:val="20"/>
                <w:szCs w:val="20"/>
              </w:rPr>
            </w:pPr>
            <w:r w:rsidRPr="00A32741">
              <w:rPr>
                <w:sz w:val="20"/>
                <w:szCs w:val="20"/>
              </w:rPr>
              <w:t>5,729</w:t>
            </w:r>
          </w:p>
        </w:tc>
      </w:tr>
      <w:tr w:rsidR="00677577" w:rsidRPr="00167CB8" w14:paraId="5E967067" w14:textId="77777777">
        <w:trPr>
          <w:trHeight w:val="335"/>
        </w:trPr>
        <w:tc>
          <w:tcPr>
            <w:tcW w:w="1315" w:type="dxa"/>
            <w:tcBorders>
              <w:top w:val="nil"/>
              <w:left w:val="single" w:sz="4" w:space="0" w:color="auto"/>
              <w:bottom w:val="single" w:sz="4" w:space="0" w:color="auto"/>
              <w:right w:val="nil"/>
            </w:tcBorders>
            <w:vAlign w:val="center"/>
            <w:hideMark/>
          </w:tcPr>
          <w:p w14:paraId="66D39798" w14:textId="77777777" w:rsidR="00677577" w:rsidRPr="00A32741" w:rsidRDefault="00677577">
            <w:pPr>
              <w:rPr>
                <w:sz w:val="20"/>
                <w:szCs w:val="20"/>
              </w:rPr>
            </w:pPr>
            <w:r w:rsidRPr="00A32741">
              <w:rPr>
                <w:sz w:val="20"/>
                <w:szCs w:val="20"/>
              </w:rPr>
              <w:t>% change</w:t>
            </w:r>
          </w:p>
        </w:tc>
        <w:tc>
          <w:tcPr>
            <w:tcW w:w="1355" w:type="dxa"/>
            <w:tcBorders>
              <w:top w:val="nil"/>
              <w:left w:val="nil"/>
              <w:bottom w:val="single" w:sz="4" w:space="0" w:color="auto"/>
              <w:right w:val="nil"/>
            </w:tcBorders>
            <w:vAlign w:val="center"/>
            <w:hideMark/>
          </w:tcPr>
          <w:p w14:paraId="5E6B8B6B" w14:textId="77777777" w:rsidR="00677577" w:rsidRPr="00A32741" w:rsidRDefault="00677577" w:rsidP="00F6583D">
            <w:pPr>
              <w:jc w:val="right"/>
              <w:rPr>
                <w:sz w:val="20"/>
                <w:szCs w:val="20"/>
              </w:rPr>
            </w:pPr>
            <w:r w:rsidRPr="00A32741">
              <w:rPr>
                <w:sz w:val="20"/>
                <w:szCs w:val="20"/>
              </w:rPr>
              <w:t>7.0%</w:t>
            </w:r>
          </w:p>
        </w:tc>
        <w:tc>
          <w:tcPr>
            <w:tcW w:w="1355" w:type="dxa"/>
            <w:tcBorders>
              <w:top w:val="nil"/>
              <w:left w:val="nil"/>
              <w:bottom w:val="single" w:sz="4" w:space="0" w:color="auto"/>
              <w:right w:val="nil"/>
            </w:tcBorders>
            <w:vAlign w:val="center"/>
            <w:hideMark/>
          </w:tcPr>
          <w:p w14:paraId="5ED0629C" w14:textId="77777777" w:rsidR="00677577" w:rsidRPr="00A32741" w:rsidRDefault="00677577" w:rsidP="00F6583D">
            <w:pPr>
              <w:jc w:val="right"/>
              <w:rPr>
                <w:sz w:val="20"/>
                <w:szCs w:val="20"/>
              </w:rPr>
            </w:pPr>
            <w:r w:rsidRPr="00A32741">
              <w:rPr>
                <w:sz w:val="20"/>
                <w:szCs w:val="20"/>
              </w:rPr>
              <w:t>-6.1%</w:t>
            </w:r>
          </w:p>
        </w:tc>
        <w:tc>
          <w:tcPr>
            <w:tcW w:w="1355" w:type="dxa"/>
            <w:tcBorders>
              <w:top w:val="nil"/>
              <w:left w:val="nil"/>
              <w:bottom w:val="single" w:sz="4" w:space="0" w:color="auto"/>
              <w:right w:val="nil"/>
            </w:tcBorders>
            <w:vAlign w:val="center"/>
            <w:hideMark/>
          </w:tcPr>
          <w:p w14:paraId="7B63D33C" w14:textId="77777777" w:rsidR="00677577" w:rsidRPr="00A32741" w:rsidRDefault="00677577" w:rsidP="00F6583D">
            <w:pPr>
              <w:jc w:val="right"/>
              <w:rPr>
                <w:sz w:val="20"/>
                <w:szCs w:val="20"/>
              </w:rPr>
            </w:pPr>
            <w:r w:rsidRPr="00A32741">
              <w:rPr>
                <w:sz w:val="20"/>
                <w:szCs w:val="20"/>
              </w:rPr>
              <w:t>7.7%</w:t>
            </w:r>
          </w:p>
        </w:tc>
        <w:tc>
          <w:tcPr>
            <w:tcW w:w="1355" w:type="dxa"/>
            <w:tcBorders>
              <w:top w:val="nil"/>
              <w:left w:val="nil"/>
              <w:bottom w:val="single" w:sz="4" w:space="0" w:color="auto"/>
              <w:right w:val="nil"/>
            </w:tcBorders>
            <w:vAlign w:val="center"/>
            <w:hideMark/>
          </w:tcPr>
          <w:p w14:paraId="3FAB9976" w14:textId="77777777" w:rsidR="00677577" w:rsidRPr="00A32741" w:rsidRDefault="00677577" w:rsidP="00F6583D">
            <w:pPr>
              <w:jc w:val="right"/>
              <w:rPr>
                <w:sz w:val="20"/>
                <w:szCs w:val="20"/>
              </w:rPr>
            </w:pPr>
            <w:r w:rsidRPr="00A32741">
              <w:rPr>
                <w:sz w:val="20"/>
                <w:szCs w:val="20"/>
              </w:rPr>
              <w:t>-1.9%</w:t>
            </w:r>
          </w:p>
        </w:tc>
        <w:tc>
          <w:tcPr>
            <w:tcW w:w="866" w:type="dxa"/>
            <w:tcBorders>
              <w:top w:val="nil"/>
              <w:left w:val="nil"/>
              <w:bottom w:val="single" w:sz="4" w:space="0" w:color="auto"/>
              <w:right w:val="single" w:sz="4" w:space="0" w:color="auto"/>
            </w:tcBorders>
            <w:vAlign w:val="center"/>
            <w:hideMark/>
          </w:tcPr>
          <w:p w14:paraId="352B16AA" w14:textId="77777777" w:rsidR="00677577" w:rsidRPr="00A32741" w:rsidRDefault="00677577" w:rsidP="00F6583D">
            <w:pPr>
              <w:jc w:val="right"/>
              <w:rPr>
                <w:sz w:val="20"/>
                <w:szCs w:val="20"/>
              </w:rPr>
            </w:pPr>
            <w:r w:rsidRPr="00A32741">
              <w:rPr>
                <w:sz w:val="20"/>
                <w:szCs w:val="20"/>
              </w:rPr>
              <w:t>4.6%</w:t>
            </w:r>
          </w:p>
        </w:tc>
        <w:tc>
          <w:tcPr>
            <w:tcW w:w="1355" w:type="dxa"/>
            <w:tcBorders>
              <w:top w:val="nil"/>
              <w:left w:val="single" w:sz="4" w:space="0" w:color="auto"/>
              <w:bottom w:val="single" w:sz="4" w:space="0" w:color="auto"/>
              <w:right w:val="nil"/>
            </w:tcBorders>
            <w:vAlign w:val="center"/>
            <w:hideMark/>
          </w:tcPr>
          <w:p w14:paraId="51114695" w14:textId="77777777" w:rsidR="00677577" w:rsidRPr="00A32741" w:rsidRDefault="00677577" w:rsidP="00F6583D">
            <w:pPr>
              <w:jc w:val="right"/>
              <w:rPr>
                <w:sz w:val="20"/>
                <w:szCs w:val="20"/>
              </w:rPr>
            </w:pPr>
            <w:r w:rsidRPr="00A32741">
              <w:rPr>
                <w:sz w:val="20"/>
                <w:szCs w:val="20"/>
              </w:rPr>
              <w:t>3.5%</w:t>
            </w:r>
          </w:p>
        </w:tc>
        <w:tc>
          <w:tcPr>
            <w:tcW w:w="1355" w:type="dxa"/>
            <w:tcBorders>
              <w:top w:val="nil"/>
              <w:left w:val="nil"/>
              <w:bottom w:val="single" w:sz="4" w:space="0" w:color="auto"/>
              <w:right w:val="nil"/>
            </w:tcBorders>
            <w:vAlign w:val="center"/>
            <w:hideMark/>
          </w:tcPr>
          <w:p w14:paraId="1ECD9F44" w14:textId="77777777" w:rsidR="00677577" w:rsidRPr="00A32741" w:rsidRDefault="00677577" w:rsidP="00F6583D">
            <w:pPr>
              <w:jc w:val="right"/>
              <w:rPr>
                <w:sz w:val="20"/>
                <w:szCs w:val="20"/>
              </w:rPr>
            </w:pPr>
            <w:r w:rsidRPr="00A32741">
              <w:rPr>
                <w:sz w:val="20"/>
                <w:szCs w:val="20"/>
              </w:rPr>
              <w:t>-10.6%</w:t>
            </w:r>
          </w:p>
        </w:tc>
        <w:tc>
          <w:tcPr>
            <w:tcW w:w="1355" w:type="dxa"/>
            <w:tcBorders>
              <w:top w:val="nil"/>
              <w:left w:val="nil"/>
              <w:bottom w:val="single" w:sz="4" w:space="0" w:color="auto"/>
              <w:right w:val="nil"/>
            </w:tcBorders>
            <w:vAlign w:val="center"/>
            <w:hideMark/>
          </w:tcPr>
          <w:p w14:paraId="5163C513" w14:textId="77777777" w:rsidR="00677577" w:rsidRPr="00A32741" w:rsidRDefault="00677577" w:rsidP="00F6583D">
            <w:pPr>
              <w:jc w:val="right"/>
              <w:rPr>
                <w:sz w:val="20"/>
                <w:szCs w:val="20"/>
              </w:rPr>
            </w:pPr>
            <w:r w:rsidRPr="00A32741">
              <w:rPr>
                <w:sz w:val="20"/>
                <w:szCs w:val="20"/>
              </w:rPr>
              <w:t>13.8%</w:t>
            </w:r>
          </w:p>
        </w:tc>
        <w:tc>
          <w:tcPr>
            <w:tcW w:w="1355" w:type="dxa"/>
            <w:tcBorders>
              <w:top w:val="nil"/>
              <w:left w:val="nil"/>
              <w:bottom w:val="single" w:sz="4" w:space="0" w:color="auto"/>
              <w:right w:val="nil"/>
            </w:tcBorders>
            <w:vAlign w:val="center"/>
            <w:hideMark/>
          </w:tcPr>
          <w:p w14:paraId="7B8C4DC7" w14:textId="77777777" w:rsidR="00677577" w:rsidRPr="00A32741" w:rsidRDefault="00677577" w:rsidP="00F6583D">
            <w:pPr>
              <w:jc w:val="right"/>
              <w:rPr>
                <w:sz w:val="20"/>
                <w:szCs w:val="20"/>
              </w:rPr>
            </w:pPr>
            <w:r w:rsidRPr="00A32741">
              <w:rPr>
                <w:sz w:val="20"/>
                <w:szCs w:val="20"/>
              </w:rPr>
              <w:t>14.7%</w:t>
            </w:r>
          </w:p>
        </w:tc>
        <w:tc>
          <w:tcPr>
            <w:tcW w:w="866" w:type="dxa"/>
            <w:tcBorders>
              <w:top w:val="nil"/>
              <w:left w:val="nil"/>
              <w:bottom w:val="single" w:sz="4" w:space="0" w:color="auto"/>
              <w:right w:val="single" w:sz="4" w:space="0" w:color="auto"/>
            </w:tcBorders>
            <w:vAlign w:val="center"/>
            <w:hideMark/>
          </w:tcPr>
          <w:p w14:paraId="5090D05D" w14:textId="77777777" w:rsidR="00677577" w:rsidRPr="00A32741" w:rsidRDefault="00677577" w:rsidP="00F6583D">
            <w:pPr>
              <w:jc w:val="right"/>
              <w:rPr>
                <w:sz w:val="20"/>
                <w:szCs w:val="20"/>
              </w:rPr>
            </w:pPr>
            <w:r w:rsidRPr="00A32741">
              <w:rPr>
                <w:sz w:val="20"/>
                <w:szCs w:val="20"/>
              </w:rPr>
              <w:t>3.9%</w:t>
            </w:r>
          </w:p>
        </w:tc>
      </w:tr>
      <w:tr w:rsidR="00677577" w:rsidRPr="00167CB8" w14:paraId="7042BFB2" w14:textId="77777777">
        <w:trPr>
          <w:trHeight w:val="262"/>
        </w:trPr>
        <w:tc>
          <w:tcPr>
            <w:tcW w:w="5380" w:type="dxa"/>
            <w:gridSpan w:val="4"/>
            <w:tcBorders>
              <w:top w:val="single" w:sz="4" w:space="0" w:color="auto"/>
              <w:left w:val="single" w:sz="4" w:space="0" w:color="auto"/>
              <w:bottom w:val="nil"/>
              <w:right w:val="nil"/>
            </w:tcBorders>
            <w:vAlign w:val="center"/>
            <w:hideMark/>
          </w:tcPr>
          <w:p w14:paraId="4C62F97B" w14:textId="77777777" w:rsidR="00677577" w:rsidRPr="00A32741" w:rsidRDefault="00677577" w:rsidP="00F6583D">
            <w:pPr>
              <w:jc w:val="right"/>
              <w:rPr>
                <w:sz w:val="20"/>
                <w:szCs w:val="20"/>
              </w:rPr>
            </w:pPr>
            <w:r w:rsidRPr="00A32741">
              <w:rPr>
                <w:sz w:val="20"/>
                <w:szCs w:val="20"/>
              </w:rPr>
              <w:t>Row % share of each employment group</w:t>
            </w:r>
          </w:p>
        </w:tc>
        <w:tc>
          <w:tcPr>
            <w:tcW w:w="1355" w:type="dxa"/>
            <w:tcBorders>
              <w:top w:val="single" w:sz="4" w:space="0" w:color="auto"/>
              <w:left w:val="nil"/>
              <w:bottom w:val="nil"/>
              <w:right w:val="nil"/>
            </w:tcBorders>
            <w:vAlign w:val="center"/>
            <w:hideMark/>
          </w:tcPr>
          <w:p w14:paraId="0C09CA44" w14:textId="77777777" w:rsidR="00677577" w:rsidRPr="00A32741" w:rsidRDefault="00677577" w:rsidP="00F6583D">
            <w:pPr>
              <w:jc w:val="right"/>
              <w:rPr>
                <w:sz w:val="20"/>
                <w:szCs w:val="20"/>
              </w:rPr>
            </w:pPr>
          </w:p>
        </w:tc>
        <w:tc>
          <w:tcPr>
            <w:tcW w:w="866" w:type="dxa"/>
            <w:tcBorders>
              <w:top w:val="single" w:sz="4" w:space="0" w:color="auto"/>
              <w:left w:val="nil"/>
              <w:bottom w:val="nil"/>
              <w:right w:val="single" w:sz="4" w:space="0" w:color="auto"/>
            </w:tcBorders>
            <w:vAlign w:val="center"/>
            <w:hideMark/>
          </w:tcPr>
          <w:p w14:paraId="6EA1395D" w14:textId="77777777" w:rsidR="00677577" w:rsidRPr="00A32741" w:rsidRDefault="00677577" w:rsidP="00F6583D">
            <w:pPr>
              <w:jc w:val="right"/>
              <w:rPr>
                <w:sz w:val="20"/>
                <w:szCs w:val="20"/>
              </w:rPr>
            </w:pPr>
          </w:p>
        </w:tc>
        <w:tc>
          <w:tcPr>
            <w:tcW w:w="1355" w:type="dxa"/>
            <w:tcBorders>
              <w:top w:val="single" w:sz="4" w:space="0" w:color="auto"/>
              <w:left w:val="single" w:sz="4" w:space="0" w:color="auto"/>
              <w:bottom w:val="nil"/>
              <w:right w:val="nil"/>
            </w:tcBorders>
            <w:vAlign w:val="center"/>
            <w:hideMark/>
          </w:tcPr>
          <w:p w14:paraId="3A229A80" w14:textId="77777777" w:rsidR="00677577" w:rsidRPr="00A32741" w:rsidRDefault="00677577" w:rsidP="00F6583D">
            <w:pPr>
              <w:jc w:val="right"/>
              <w:rPr>
                <w:sz w:val="20"/>
                <w:szCs w:val="20"/>
              </w:rPr>
            </w:pPr>
          </w:p>
        </w:tc>
        <w:tc>
          <w:tcPr>
            <w:tcW w:w="1355" w:type="dxa"/>
            <w:tcBorders>
              <w:top w:val="single" w:sz="4" w:space="0" w:color="auto"/>
              <w:left w:val="nil"/>
              <w:bottom w:val="nil"/>
              <w:right w:val="nil"/>
            </w:tcBorders>
            <w:vAlign w:val="center"/>
            <w:hideMark/>
          </w:tcPr>
          <w:p w14:paraId="5C8DE1C3" w14:textId="77777777" w:rsidR="00677577" w:rsidRPr="00A32741" w:rsidRDefault="00677577" w:rsidP="00F6583D">
            <w:pPr>
              <w:jc w:val="right"/>
              <w:rPr>
                <w:sz w:val="20"/>
                <w:szCs w:val="20"/>
              </w:rPr>
            </w:pPr>
          </w:p>
        </w:tc>
        <w:tc>
          <w:tcPr>
            <w:tcW w:w="1355" w:type="dxa"/>
            <w:tcBorders>
              <w:top w:val="single" w:sz="4" w:space="0" w:color="auto"/>
              <w:left w:val="nil"/>
              <w:bottom w:val="nil"/>
              <w:right w:val="nil"/>
            </w:tcBorders>
            <w:vAlign w:val="center"/>
            <w:hideMark/>
          </w:tcPr>
          <w:p w14:paraId="4A1AD7B2" w14:textId="77777777" w:rsidR="00677577" w:rsidRPr="00A32741" w:rsidRDefault="00677577" w:rsidP="00F6583D">
            <w:pPr>
              <w:jc w:val="right"/>
              <w:rPr>
                <w:sz w:val="20"/>
                <w:szCs w:val="20"/>
              </w:rPr>
            </w:pPr>
          </w:p>
        </w:tc>
        <w:tc>
          <w:tcPr>
            <w:tcW w:w="1355" w:type="dxa"/>
            <w:tcBorders>
              <w:top w:val="single" w:sz="4" w:space="0" w:color="auto"/>
              <w:left w:val="nil"/>
              <w:bottom w:val="nil"/>
              <w:right w:val="nil"/>
            </w:tcBorders>
            <w:vAlign w:val="center"/>
            <w:hideMark/>
          </w:tcPr>
          <w:p w14:paraId="02D1AA0D" w14:textId="77777777" w:rsidR="00677577" w:rsidRPr="00A32741" w:rsidRDefault="00677577" w:rsidP="00F6583D">
            <w:pPr>
              <w:jc w:val="right"/>
              <w:rPr>
                <w:sz w:val="20"/>
                <w:szCs w:val="20"/>
              </w:rPr>
            </w:pPr>
          </w:p>
        </w:tc>
        <w:tc>
          <w:tcPr>
            <w:tcW w:w="866" w:type="dxa"/>
            <w:tcBorders>
              <w:top w:val="single" w:sz="4" w:space="0" w:color="auto"/>
              <w:left w:val="nil"/>
              <w:bottom w:val="nil"/>
              <w:right w:val="single" w:sz="4" w:space="0" w:color="auto"/>
            </w:tcBorders>
            <w:vAlign w:val="center"/>
            <w:hideMark/>
          </w:tcPr>
          <w:p w14:paraId="407554CB" w14:textId="77777777" w:rsidR="00677577" w:rsidRPr="00A32741" w:rsidRDefault="00677577" w:rsidP="00F6583D">
            <w:pPr>
              <w:jc w:val="right"/>
              <w:rPr>
                <w:sz w:val="20"/>
                <w:szCs w:val="20"/>
              </w:rPr>
            </w:pPr>
          </w:p>
        </w:tc>
      </w:tr>
      <w:tr w:rsidR="00677577" w:rsidRPr="00167CB8" w14:paraId="16D5104C" w14:textId="77777777">
        <w:trPr>
          <w:trHeight w:val="443"/>
        </w:trPr>
        <w:tc>
          <w:tcPr>
            <w:tcW w:w="1315" w:type="dxa"/>
            <w:tcBorders>
              <w:top w:val="nil"/>
              <w:left w:val="single" w:sz="4" w:space="0" w:color="auto"/>
              <w:bottom w:val="nil"/>
              <w:right w:val="nil"/>
            </w:tcBorders>
            <w:vAlign w:val="center"/>
            <w:hideMark/>
          </w:tcPr>
          <w:p w14:paraId="4BC0F93D" w14:textId="77777777" w:rsidR="00677577" w:rsidRPr="00A32741" w:rsidRDefault="00677577">
            <w:pPr>
              <w:rPr>
                <w:sz w:val="20"/>
                <w:szCs w:val="20"/>
              </w:rPr>
            </w:pPr>
            <w:r w:rsidRPr="00A32741">
              <w:rPr>
                <w:sz w:val="20"/>
                <w:szCs w:val="20"/>
              </w:rPr>
              <w:t>Nov-2022</w:t>
            </w:r>
          </w:p>
        </w:tc>
        <w:tc>
          <w:tcPr>
            <w:tcW w:w="1355" w:type="dxa"/>
            <w:tcBorders>
              <w:top w:val="nil"/>
              <w:left w:val="nil"/>
              <w:bottom w:val="nil"/>
              <w:right w:val="nil"/>
            </w:tcBorders>
            <w:vAlign w:val="center"/>
            <w:hideMark/>
          </w:tcPr>
          <w:p w14:paraId="45267074" w14:textId="77777777" w:rsidR="00677577" w:rsidRPr="00A32741" w:rsidRDefault="00677577" w:rsidP="00F6583D">
            <w:pPr>
              <w:jc w:val="right"/>
              <w:rPr>
                <w:sz w:val="20"/>
                <w:szCs w:val="20"/>
              </w:rPr>
            </w:pPr>
            <w:r w:rsidRPr="00A32741">
              <w:rPr>
                <w:sz w:val="20"/>
                <w:szCs w:val="20"/>
              </w:rPr>
              <w:t>52.3%</w:t>
            </w:r>
          </w:p>
        </w:tc>
        <w:tc>
          <w:tcPr>
            <w:tcW w:w="1355" w:type="dxa"/>
            <w:tcBorders>
              <w:top w:val="nil"/>
              <w:left w:val="nil"/>
              <w:bottom w:val="nil"/>
              <w:right w:val="nil"/>
            </w:tcBorders>
            <w:vAlign w:val="center"/>
            <w:hideMark/>
          </w:tcPr>
          <w:p w14:paraId="6EB4DD11" w14:textId="77777777" w:rsidR="00677577" w:rsidRPr="00A32741" w:rsidRDefault="00677577" w:rsidP="00F6583D">
            <w:pPr>
              <w:jc w:val="right"/>
              <w:rPr>
                <w:sz w:val="20"/>
                <w:szCs w:val="20"/>
              </w:rPr>
            </w:pPr>
            <w:r w:rsidRPr="00A32741">
              <w:rPr>
                <w:sz w:val="20"/>
                <w:szCs w:val="20"/>
              </w:rPr>
              <w:t>6.0%</w:t>
            </w:r>
          </w:p>
        </w:tc>
        <w:tc>
          <w:tcPr>
            <w:tcW w:w="1355" w:type="dxa"/>
            <w:tcBorders>
              <w:top w:val="nil"/>
              <w:left w:val="nil"/>
              <w:bottom w:val="nil"/>
              <w:right w:val="nil"/>
            </w:tcBorders>
            <w:vAlign w:val="center"/>
            <w:hideMark/>
          </w:tcPr>
          <w:p w14:paraId="2B91C798" w14:textId="77777777" w:rsidR="00677577" w:rsidRPr="00A32741" w:rsidRDefault="00677577" w:rsidP="00F6583D">
            <w:pPr>
              <w:jc w:val="right"/>
              <w:rPr>
                <w:sz w:val="20"/>
                <w:szCs w:val="20"/>
              </w:rPr>
            </w:pPr>
            <w:r w:rsidRPr="00A32741">
              <w:rPr>
                <w:sz w:val="20"/>
                <w:szCs w:val="20"/>
              </w:rPr>
              <w:t>22.4%</w:t>
            </w:r>
          </w:p>
        </w:tc>
        <w:tc>
          <w:tcPr>
            <w:tcW w:w="1355" w:type="dxa"/>
            <w:tcBorders>
              <w:top w:val="nil"/>
              <w:left w:val="nil"/>
              <w:bottom w:val="nil"/>
              <w:right w:val="nil"/>
            </w:tcBorders>
            <w:vAlign w:val="center"/>
            <w:hideMark/>
          </w:tcPr>
          <w:p w14:paraId="12A2D3C9" w14:textId="77777777" w:rsidR="00677577" w:rsidRPr="00A32741" w:rsidRDefault="00677577" w:rsidP="00F6583D">
            <w:pPr>
              <w:jc w:val="right"/>
              <w:rPr>
                <w:sz w:val="20"/>
                <w:szCs w:val="20"/>
              </w:rPr>
            </w:pPr>
            <w:r w:rsidRPr="00A32741">
              <w:rPr>
                <w:sz w:val="20"/>
                <w:szCs w:val="20"/>
              </w:rPr>
              <w:t>19.2%</w:t>
            </w:r>
          </w:p>
        </w:tc>
        <w:tc>
          <w:tcPr>
            <w:tcW w:w="866" w:type="dxa"/>
            <w:tcBorders>
              <w:top w:val="nil"/>
              <w:left w:val="nil"/>
              <w:bottom w:val="nil"/>
              <w:right w:val="single" w:sz="4" w:space="0" w:color="auto"/>
            </w:tcBorders>
            <w:vAlign w:val="center"/>
            <w:hideMark/>
          </w:tcPr>
          <w:p w14:paraId="0BA37707" w14:textId="77777777" w:rsidR="00677577" w:rsidRPr="00A32741" w:rsidRDefault="00677577" w:rsidP="00F6583D">
            <w:pPr>
              <w:jc w:val="right"/>
              <w:rPr>
                <w:sz w:val="20"/>
                <w:szCs w:val="20"/>
              </w:rPr>
            </w:pPr>
            <w:r w:rsidRPr="00A32741">
              <w:rPr>
                <w:sz w:val="20"/>
                <w:szCs w:val="20"/>
              </w:rPr>
              <w:t>100.0%</w:t>
            </w:r>
          </w:p>
        </w:tc>
        <w:tc>
          <w:tcPr>
            <w:tcW w:w="1355" w:type="dxa"/>
            <w:tcBorders>
              <w:top w:val="nil"/>
              <w:left w:val="single" w:sz="4" w:space="0" w:color="auto"/>
              <w:bottom w:val="nil"/>
              <w:right w:val="nil"/>
            </w:tcBorders>
            <w:vAlign w:val="center"/>
            <w:hideMark/>
          </w:tcPr>
          <w:p w14:paraId="1919F314" w14:textId="77777777" w:rsidR="00677577" w:rsidRPr="00A32741" w:rsidRDefault="00677577" w:rsidP="00F6583D">
            <w:pPr>
              <w:jc w:val="right"/>
              <w:rPr>
                <w:sz w:val="20"/>
                <w:szCs w:val="20"/>
              </w:rPr>
            </w:pPr>
            <w:r w:rsidRPr="00A32741">
              <w:rPr>
                <w:sz w:val="20"/>
                <w:szCs w:val="20"/>
              </w:rPr>
              <w:t>72.2%</w:t>
            </w:r>
          </w:p>
        </w:tc>
        <w:tc>
          <w:tcPr>
            <w:tcW w:w="1355" w:type="dxa"/>
            <w:tcBorders>
              <w:top w:val="nil"/>
              <w:left w:val="nil"/>
              <w:bottom w:val="nil"/>
              <w:right w:val="nil"/>
            </w:tcBorders>
            <w:vAlign w:val="center"/>
            <w:hideMark/>
          </w:tcPr>
          <w:p w14:paraId="138F0E33" w14:textId="77777777" w:rsidR="00677577" w:rsidRPr="00A32741" w:rsidRDefault="00677577" w:rsidP="00F6583D">
            <w:pPr>
              <w:jc w:val="right"/>
              <w:rPr>
                <w:sz w:val="20"/>
                <w:szCs w:val="20"/>
              </w:rPr>
            </w:pPr>
            <w:r w:rsidRPr="00A32741">
              <w:rPr>
                <w:sz w:val="20"/>
                <w:szCs w:val="20"/>
              </w:rPr>
              <w:t>10.3%</w:t>
            </w:r>
          </w:p>
        </w:tc>
        <w:tc>
          <w:tcPr>
            <w:tcW w:w="1355" w:type="dxa"/>
            <w:tcBorders>
              <w:top w:val="nil"/>
              <w:left w:val="nil"/>
              <w:bottom w:val="nil"/>
              <w:right w:val="nil"/>
            </w:tcBorders>
            <w:vAlign w:val="center"/>
            <w:hideMark/>
          </w:tcPr>
          <w:p w14:paraId="72207C63" w14:textId="77777777" w:rsidR="00677577" w:rsidRPr="00A32741" w:rsidRDefault="00677577" w:rsidP="00F6583D">
            <w:pPr>
              <w:jc w:val="right"/>
              <w:rPr>
                <w:sz w:val="20"/>
                <w:szCs w:val="20"/>
              </w:rPr>
            </w:pPr>
            <w:r w:rsidRPr="00A32741">
              <w:rPr>
                <w:sz w:val="20"/>
                <w:szCs w:val="20"/>
              </w:rPr>
              <w:t>6.6%</w:t>
            </w:r>
          </w:p>
        </w:tc>
        <w:tc>
          <w:tcPr>
            <w:tcW w:w="1355" w:type="dxa"/>
            <w:tcBorders>
              <w:top w:val="nil"/>
              <w:left w:val="nil"/>
              <w:bottom w:val="nil"/>
              <w:right w:val="nil"/>
            </w:tcBorders>
            <w:vAlign w:val="center"/>
            <w:hideMark/>
          </w:tcPr>
          <w:p w14:paraId="6350D534" w14:textId="77777777" w:rsidR="00677577" w:rsidRPr="00A32741" w:rsidRDefault="00677577" w:rsidP="00F6583D">
            <w:pPr>
              <w:jc w:val="right"/>
              <w:rPr>
                <w:sz w:val="20"/>
                <w:szCs w:val="20"/>
              </w:rPr>
            </w:pPr>
            <w:r w:rsidRPr="00A32741">
              <w:rPr>
                <w:sz w:val="20"/>
                <w:szCs w:val="20"/>
              </w:rPr>
              <w:t>10.9%</w:t>
            </w:r>
          </w:p>
        </w:tc>
        <w:tc>
          <w:tcPr>
            <w:tcW w:w="866" w:type="dxa"/>
            <w:tcBorders>
              <w:top w:val="nil"/>
              <w:left w:val="nil"/>
              <w:bottom w:val="nil"/>
              <w:right w:val="single" w:sz="4" w:space="0" w:color="auto"/>
            </w:tcBorders>
            <w:vAlign w:val="center"/>
            <w:hideMark/>
          </w:tcPr>
          <w:p w14:paraId="2F1013D1" w14:textId="77777777" w:rsidR="00677577" w:rsidRPr="00A32741" w:rsidRDefault="00677577" w:rsidP="00F6583D">
            <w:pPr>
              <w:jc w:val="right"/>
              <w:rPr>
                <w:sz w:val="20"/>
                <w:szCs w:val="20"/>
              </w:rPr>
            </w:pPr>
            <w:r w:rsidRPr="00A32741">
              <w:rPr>
                <w:sz w:val="20"/>
                <w:szCs w:val="20"/>
              </w:rPr>
              <w:t>100.0%</w:t>
            </w:r>
          </w:p>
        </w:tc>
      </w:tr>
      <w:tr w:rsidR="00677577" w:rsidRPr="00167CB8" w14:paraId="2E14A9BF" w14:textId="77777777">
        <w:trPr>
          <w:trHeight w:val="420"/>
        </w:trPr>
        <w:tc>
          <w:tcPr>
            <w:tcW w:w="1315" w:type="dxa"/>
            <w:tcBorders>
              <w:top w:val="nil"/>
              <w:left w:val="single" w:sz="4" w:space="0" w:color="auto"/>
              <w:bottom w:val="single" w:sz="4" w:space="0" w:color="auto"/>
              <w:right w:val="nil"/>
            </w:tcBorders>
            <w:vAlign w:val="center"/>
            <w:hideMark/>
          </w:tcPr>
          <w:p w14:paraId="06DEDF26" w14:textId="77777777" w:rsidR="00677577" w:rsidRPr="00A32741" w:rsidRDefault="00677577">
            <w:pPr>
              <w:rPr>
                <w:sz w:val="20"/>
                <w:szCs w:val="20"/>
              </w:rPr>
            </w:pPr>
            <w:r w:rsidRPr="00A32741">
              <w:rPr>
                <w:sz w:val="20"/>
                <w:szCs w:val="20"/>
              </w:rPr>
              <w:t>Aug-2024</w:t>
            </w:r>
          </w:p>
        </w:tc>
        <w:tc>
          <w:tcPr>
            <w:tcW w:w="1355" w:type="dxa"/>
            <w:tcBorders>
              <w:top w:val="nil"/>
              <w:left w:val="nil"/>
              <w:bottom w:val="single" w:sz="4" w:space="0" w:color="auto"/>
              <w:right w:val="nil"/>
            </w:tcBorders>
            <w:vAlign w:val="center"/>
            <w:hideMark/>
          </w:tcPr>
          <w:p w14:paraId="2F235660" w14:textId="77777777" w:rsidR="00677577" w:rsidRPr="00A32741" w:rsidRDefault="00677577" w:rsidP="00F6583D">
            <w:pPr>
              <w:jc w:val="right"/>
              <w:rPr>
                <w:sz w:val="20"/>
                <w:szCs w:val="20"/>
              </w:rPr>
            </w:pPr>
            <w:r w:rsidRPr="00A32741">
              <w:rPr>
                <w:sz w:val="20"/>
                <w:szCs w:val="20"/>
              </w:rPr>
              <w:t>53.5%</w:t>
            </w:r>
          </w:p>
        </w:tc>
        <w:tc>
          <w:tcPr>
            <w:tcW w:w="1355" w:type="dxa"/>
            <w:tcBorders>
              <w:top w:val="nil"/>
              <w:left w:val="nil"/>
              <w:bottom w:val="single" w:sz="4" w:space="0" w:color="auto"/>
              <w:right w:val="nil"/>
            </w:tcBorders>
            <w:vAlign w:val="center"/>
            <w:hideMark/>
          </w:tcPr>
          <w:p w14:paraId="79B562BC" w14:textId="77777777" w:rsidR="00677577" w:rsidRPr="00A32741" w:rsidRDefault="00677577" w:rsidP="00F6583D">
            <w:pPr>
              <w:jc w:val="right"/>
              <w:rPr>
                <w:sz w:val="20"/>
                <w:szCs w:val="20"/>
              </w:rPr>
            </w:pPr>
            <w:r w:rsidRPr="00A32741">
              <w:rPr>
                <w:sz w:val="20"/>
                <w:szCs w:val="20"/>
              </w:rPr>
              <w:t>5.4%</w:t>
            </w:r>
          </w:p>
        </w:tc>
        <w:tc>
          <w:tcPr>
            <w:tcW w:w="1355" w:type="dxa"/>
            <w:tcBorders>
              <w:top w:val="nil"/>
              <w:left w:val="nil"/>
              <w:bottom w:val="single" w:sz="4" w:space="0" w:color="auto"/>
              <w:right w:val="nil"/>
            </w:tcBorders>
            <w:vAlign w:val="center"/>
            <w:hideMark/>
          </w:tcPr>
          <w:p w14:paraId="3E99B989" w14:textId="77777777" w:rsidR="00677577" w:rsidRPr="00A32741" w:rsidRDefault="00677577" w:rsidP="00F6583D">
            <w:pPr>
              <w:jc w:val="right"/>
              <w:rPr>
                <w:sz w:val="20"/>
                <w:szCs w:val="20"/>
              </w:rPr>
            </w:pPr>
            <w:r w:rsidRPr="00A32741">
              <w:rPr>
                <w:sz w:val="20"/>
                <w:szCs w:val="20"/>
              </w:rPr>
              <w:t>23.1%</w:t>
            </w:r>
          </w:p>
        </w:tc>
        <w:tc>
          <w:tcPr>
            <w:tcW w:w="1355" w:type="dxa"/>
            <w:tcBorders>
              <w:top w:val="nil"/>
              <w:left w:val="nil"/>
              <w:bottom w:val="single" w:sz="4" w:space="0" w:color="auto"/>
              <w:right w:val="nil"/>
            </w:tcBorders>
            <w:vAlign w:val="center"/>
            <w:hideMark/>
          </w:tcPr>
          <w:p w14:paraId="2A6FA4B2" w14:textId="77777777" w:rsidR="00677577" w:rsidRPr="00A32741" w:rsidRDefault="00677577" w:rsidP="00F6583D">
            <w:pPr>
              <w:jc w:val="right"/>
              <w:rPr>
                <w:sz w:val="20"/>
                <w:szCs w:val="20"/>
              </w:rPr>
            </w:pPr>
            <w:r w:rsidRPr="00A32741">
              <w:rPr>
                <w:sz w:val="20"/>
                <w:szCs w:val="20"/>
              </w:rPr>
              <w:t>18.0%</w:t>
            </w:r>
          </w:p>
        </w:tc>
        <w:tc>
          <w:tcPr>
            <w:tcW w:w="866" w:type="dxa"/>
            <w:tcBorders>
              <w:top w:val="nil"/>
              <w:left w:val="nil"/>
              <w:bottom w:val="single" w:sz="4" w:space="0" w:color="auto"/>
              <w:right w:val="single" w:sz="4" w:space="0" w:color="auto"/>
            </w:tcBorders>
            <w:vAlign w:val="center"/>
            <w:hideMark/>
          </w:tcPr>
          <w:p w14:paraId="180E1809" w14:textId="77777777" w:rsidR="00677577" w:rsidRPr="00A32741" w:rsidRDefault="00677577" w:rsidP="00F6583D">
            <w:pPr>
              <w:jc w:val="right"/>
              <w:rPr>
                <w:sz w:val="20"/>
                <w:szCs w:val="20"/>
              </w:rPr>
            </w:pPr>
            <w:r w:rsidRPr="00A32741">
              <w:rPr>
                <w:sz w:val="20"/>
                <w:szCs w:val="20"/>
              </w:rPr>
              <w:t>100.0%</w:t>
            </w:r>
          </w:p>
        </w:tc>
        <w:tc>
          <w:tcPr>
            <w:tcW w:w="1355" w:type="dxa"/>
            <w:tcBorders>
              <w:top w:val="nil"/>
              <w:left w:val="single" w:sz="4" w:space="0" w:color="auto"/>
              <w:bottom w:val="single" w:sz="4" w:space="0" w:color="auto"/>
              <w:right w:val="nil"/>
            </w:tcBorders>
            <w:vAlign w:val="center"/>
            <w:hideMark/>
          </w:tcPr>
          <w:p w14:paraId="6FBCBCCD" w14:textId="77777777" w:rsidR="00677577" w:rsidRPr="00A32741" w:rsidRDefault="00677577" w:rsidP="00F6583D">
            <w:pPr>
              <w:jc w:val="right"/>
              <w:rPr>
                <w:sz w:val="20"/>
                <w:szCs w:val="20"/>
              </w:rPr>
            </w:pPr>
            <w:r w:rsidRPr="00A32741">
              <w:rPr>
                <w:sz w:val="20"/>
                <w:szCs w:val="20"/>
              </w:rPr>
              <w:t>71.9%</w:t>
            </w:r>
          </w:p>
        </w:tc>
        <w:tc>
          <w:tcPr>
            <w:tcW w:w="1355" w:type="dxa"/>
            <w:tcBorders>
              <w:top w:val="nil"/>
              <w:left w:val="nil"/>
              <w:bottom w:val="single" w:sz="4" w:space="0" w:color="auto"/>
              <w:right w:val="nil"/>
            </w:tcBorders>
            <w:vAlign w:val="center"/>
            <w:hideMark/>
          </w:tcPr>
          <w:p w14:paraId="36A3F2C5" w14:textId="77777777" w:rsidR="00677577" w:rsidRPr="00A32741" w:rsidRDefault="00677577" w:rsidP="00F6583D">
            <w:pPr>
              <w:jc w:val="right"/>
              <w:rPr>
                <w:sz w:val="20"/>
                <w:szCs w:val="20"/>
              </w:rPr>
            </w:pPr>
            <w:r w:rsidRPr="00A32741">
              <w:rPr>
                <w:sz w:val="20"/>
                <w:szCs w:val="20"/>
              </w:rPr>
              <w:t>8.9%</w:t>
            </w:r>
          </w:p>
        </w:tc>
        <w:tc>
          <w:tcPr>
            <w:tcW w:w="1355" w:type="dxa"/>
            <w:tcBorders>
              <w:top w:val="nil"/>
              <w:left w:val="nil"/>
              <w:bottom w:val="single" w:sz="4" w:space="0" w:color="auto"/>
              <w:right w:val="nil"/>
            </w:tcBorders>
            <w:vAlign w:val="center"/>
            <w:hideMark/>
          </w:tcPr>
          <w:p w14:paraId="4AA5316E" w14:textId="77777777" w:rsidR="00677577" w:rsidRPr="00A32741" w:rsidRDefault="00677577" w:rsidP="00F6583D">
            <w:pPr>
              <w:jc w:val="right"/>
              <w:rPr>
                <w:sz w:val="20"/>
                <w:szCs w:val="20"/>
              </w:rPr>
            </w:pPr>
            <w:r w:rsidRPr="00A32741">
              <w:rPr>
                <w:sz w:val="20"/>
                <w:szCs w:val="20"/>
              </w:rPr>
              <w:t>7.2%</w:t>
            </w:r>
          </w:p>
        </w:tc>
        <w:tc>
          <w:tcPr>
            <w:tcW w:w="1355" w:type="dxa"/>
            <w:tcBorders>
              <w:top w:val="nil"/>
              <w:left w:val="nil"/>
              <w:bottom w:val="single" w:sz="4" w:space="0" w:color="auto"/>
              <w:right w:val="nil"/>
            </w:tcBorders>
            <w:vAlign w:val="center"/>
            <w:hideMark/>
          </w:tcPr>
          <w:p w14:paraId="3E6615D6" w14:textId="77777777" w:rsidR="00677577" w:rsidRPr="00A32741" w:rsidRDefault="00677577" w:rsidP="00F6583D">
            <w:pPr>
              <w:jc w:val="right"/>
              <w:rPr>
                <w:sz w:val="20"/>
                <w:szCs w:val="20"/>
              </w:rPr>
            </w:pPr>
            <w:r w:rsidRPr="00A32741">
              <w:rPr>
                <w:sz w:val="20"/>
                <w:szCs w:val="20"/>
              </w:rPr>
              <w:t>12.0%</w:t>
            </w:r>
          </w:p>
        </w:tc>
        <w:tc>
          <w:tcPr>
            <w:tcW w:w="866" w:type="dxa"/>
            <w:tcBorders>
              <w:top w:val="nil"/>
              <w:left w:val="nil"/>
              <w:bottom w:val="single" w:sz="4" w:space="0" w:color="auto"/>
              <w:right w:val="single" w:sz="4" w:space="0" w:color="auto"/>
            </w:tcBorders>
            <w:vAlign w:val="center"/>
            <w:hideMark/>
          </w:tcPr>
          <w:p w14:paraId="6D609A84" w14:textId="77777777" w:rsidR="00677577" w:rsidRPr="00A32741" w:rsidRDefault="00677577" w:rsidP="00F6583D">
            <w:pPr>
              <w:jc w:val="right"/>
              <w:rPr>
                <w:sz w:val="20"/>
                <w:szCs w:val="20"/>
              </w:rPr>
            </w:pPr>
            <w:r w:rsidRPr="00A32741">
              <w:rPr>
                <w:sz w:val="20"/>
                <w:szCs w:val="20"/>
              </w:rPr>
              <w:t>100.0%</w:t>
            </w:r>
          </w:p>
        </w:tc>
      </w:tr>
    </w:tbl>
    <w:p w14:paraId="7761182D" w14:textId="77777777" w:rsidR="0011475D" w:rsidRDefault="00677577" w:rsidP="00677577">
      <w:pPr>
        <w:pStyle w:val="Source"/>
      </w:pPr>
      <w:r w:rsidRPr="00167CB8">
        <w:rPr>
          <w:b/>
          <w:bCs/>
        </w:rPr>
        <w:t>Source:</w:t>
      </w:r>
      <w:r w:rsidRPr="00167CB8">
        <w:t xml:space="preserve"> ABS Labour Force, Australia, Detailed (Cat No 6291.0.55.001), EQ04. Original series.</w:t>
      </w:r>
    </w:p>
    <w:p w14:paraId="6AB381F9" w14:textId="77777777" w:rsidR="00677577" w:rsidRPr="00167CB8" w:rsidRDefault="00677577" w:rsidP="00677577">
      <w:pPr>
        <w:sectPr w:rsidR="00677577" w:rsidRPr="00167CB8" w:rsidSect="00677577">
          <w:pgSz w:w="16838" w:h="11906" w:orient="landscape"/>
          <w:pgMar w:top="1440" w:right="1440" w:bottom="1440" w:left="1440" w:header="708" w:footer="708" w:gutter="0"/>
          <w:cols w:space="720"/>
        </w:sectPr>
      </w:pPr>
    </w:p>
    <w:p w14:paraId="038E238C" w14:textId="77777777" w:rsidR="00677577" w:rsidRPr="00167CB8" w:rsidRDefault="00677577" w:rsidP="00677577">
      <w:pPr>
        <w:pStyle w:val="Heading4"/>
      </w:pPr>
      <w:bookmarkStart w:id="787" w:name="_Toc186991761"/>
      <w:bookmarkStart w:id="788" w:name="_Toc189393665"/>
      <w:r w:rsidRPr="00167CB8">
        <w:lastRenderedPageBreak/>
        <w:t>2.3 Flexible working arrangements</w:t>
      </w:r>
      <w:bookmarkEnd w:id="787"/>
      <w:bookmarkEnd w:id="788"/>
    </w:p>
    <w:p w14:paraId="100B2409" w14:textId="784B7323" w:rsidR="0011475D" w:rsidRDefault="00677577" w:rsidP="00677577">
      <w:r w:rsidRPr="00A713F0">
        <w:t xml:space="preserve">Table </w:t>
      </w:r>
      <w:r w:rsidR="00EA73A3">
        <w:t>30</w:t>
      </w:r>
      <w:r w:rsidR="00EA73A3" w:rsidRPr="00A32FB1">
        <w:t xml:space="preserve"> </w:t>
      </w:r>
      <w:r w:rsidRPr="00A32FB1">
        <w:t>summarises changes in working arrangements since 2015.</w:t>
      </w:r>
      <w:r w:rsidRPr="00A32FB1">
        <w:rPr>
          <w:vertAlign w:val="superscript"/>
        </w:rPr>
        <w:footnoteReference w:id="1327"/>
      </w:r>
      <w:r w:rsidRPr="00A32FB1">
        <w:t xml:space="preserve"> As shown, in 2024,</w:t>
      </w:r>
      <w:r w:rsidRPr="00167CB8">
        <w:t xml:space="preserve"> 30.3% of employees had an agreement with their employer to work flexible hours, down from 33.4% in August 2023.</w:t>
      </w:r>
    </w:p>
    <w:p w14:paraId="4F215453" w14:textId="012DB044" w:rsidR="00677577" w:rsidRPr="00167CB8" w:rsidRDefault="00365C93" w:rsidP="007F380D">
      <w:pPr>
        <w:pStyle w:val="Caption"/>
      </w:pPr>
      <w:bookmarkStart w:id="789" w:name="_Ref184404105"/>
      <w:bookmarkStart w:id="790" w:name="_Toc186991805"/>
      <w:bookmarkStart w:id="791" w:name="_Toc189310856"/>
      <w:bookmarkStart w:id="792" w:name="_Toc194251454"/>
      <w:r>
        <w:t xml:space="preserve">Table </w:t>
      </w:r>
      <w:r>
        <w:fldChar w:fldCharType="begin"/>
      </w:r>
      <w:r>
        <w:instrText xml:space="preserve"> SEQ Table \* ARABIC </w:instrText>
      </w:r>
      <w:r>
        <w:fldChar w:fldCharType="separate"/>
      </w:r>
      <w:r w:rsidR="00DE5F5E">
        <w:rPr>
          <w:noProof/>
        </w:rPr>
        <w:t>30</w:t>
      </w:r>
      <w:r>
        <w:fldChar w:fldCharType="end"/>
      </w:r>
      <w:r>
        <w:t xml:space="preserve">: </w:t>
      </w:r>
      <w:bookmarkEnd w:id="789"/>
      <w:r w:rsidR="00677577" w:rsidRPr="00167CB8">
        <w:t>Working arrangements, Australia</w:t>
      </w:r>
      <w:bookmarkEnd w:id="790"/>
      <w:bookmarkEnd w:id="791"/>
      <w:bookmarkEnd w:id="792"/>
    </w:p>
    <w:tbl>
      <w:tblPr>
        <w:tblW w:w="941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539"/>
        <w:gridCol w:w="979"/>
        <w:gridCol w:w="979"/>
        <w:gridCol w:w="979"/>
        <w:gridCol w:w="979"/>
        <w:gridCol w:w="979"/>
        <w:gridCol w:w="979"/>
      </w:tblGrid>
      <w:tr w:rsidR="00677577" w:rsidRPr="00236247" w14:paraId="1CAEDA2C" w14:textId="77777777">
        <w:trPr>
          <w:trHeight w:val="380"/>
        </w:trPr>
        <w:tc>
          <w:tcPr>
            <w:tcW w:w="3539" w:type="dxa"/>
            <w:tcBorders>
              <w:top w:val="single" w:sz="4" w:space="0" w:color="auto"/>
              <w:left w:val="single" w:sz="4" w:space="0" w:color="auto"/>
              <w:bottom w:val="single" w:sz="4" w:space="0" w:color="auto"/>
              <w:right w:val="nil"/>
            </w:tcBorders>
            <w:noWrap/>
            <w:vAlign w:val="center"/>
            <w:hideMark/>
          </w:tcPr>
          <w:p w14:paraId="4CACDCAD" w14:textId="77777777" w:rsidR="00677577" w:rsidRPr="00377FDC" w:rsidRDefault="00677577" w:rsidP="00377FDC">
            <w:pPr>
              <w:spacing w:line="240" w:lineRule="auto"/>
              <w:rPr>
                <w:b/>
                <w:bCs/>
                <w:sz w:val="20"/>
                <w:szCs w:val="20"/>
              </w:rPr>
            </w:pPr>
          </w:p>
        </w:tc>
        <w:tc>
          <w:tcPr>
            <w:tcW w:w="979" w:type="dxa"/>
            <w:tcBorders>
              <w:top w:val="single" w:sz="4" w:space="0" w:color="auto"/>
              <w:left w:val="nil"/>
              <w:bottom w:val="single" w:sz="4" w:space="0" w:color="auto"/>
              <w:right w:val="nil"/>
            </w:tcBorders>
            <w:noWrap/>
            <w:vAlign w:val="center"/>
            <w:hideMark/>
          </w:tcPr>
          <w:p w14:paraId="1E9AC19A" w14:textId="77777777" w:rsidR="00677577" w:rsidRPr="00377FDC" w:rsidRDefault="00677577" w:rsidP="00377FDC">
            <w:pPr>
              <w:spacing w:line="240" w:lineRule="auto"/>
              <w:jc w:val="right"/>
              <w:rPr>
                <w:b/>
                <w:bCs/>
                <w:sz w:val="20"/>
                <w:szCs w:val="20"/>
              </w:rPr>
            </w:pPr>
            <w:r w:rsidRPr="00377FDC">
              <w:rPr>
                <w:b/>
                <w:bCs/>
                <w:sz w:val="20"/>
                <w:szCs w:val="20"/>
              </w:rPr>
              <w:t>Aug-15 (%)</w:t>
            </w:r>
          </w:p>
        </w:tc>
        <w:tc>
          <w:tcPr>
            <w:tcW w:w="979" w:type="dxa"/>
            <w:tcBorders>
              <w:top w:val="single" w:sz="4" w:space="0" w:color="auto"/>
              <w:left w:val="nil"/>
              <w:bottom w:val="single" w:sz="4" w:space="0" w:color="auto"/>
              <w:right w:val="nil"/>
            </w:tcBorders>
            <w:noWrap/>
            <w:vAlign w:val="center"/>
            <w:hideMark/>
          </w:tcPr>
          <w:p w14:paraId="3201E1E0" w14:textId="77777777" w:rsidR="00677577" w:rsidRPr="00377FDC" w:rsidRDefault="00677577" w:rsidP="00377FDC">
            <w:pPr>
              <w:spacing w:line="240" w:lineRule="auto"/>
              <w:jc w:val="right"/>
              <w:rPr>
                <w:b/>
                <w:bCs/>
                <w:sz w:val="20"/>
                <w:szCs w:val="20"/>
              </w:rPr>
            </w:pPr>
            <w:r w:rsidRPr="00377FDC">
              <w:rPr>
                <w:b/>
                <w:bCs/>
                <w:sz w:val="20"/>
                <w:szCs w:val="20"/>
              </w:rPr>
              <w:t>Aug-17 (%)</w:t>
            </w:r>
          </w:p>
        </w:tc>
        <w:tc>
          <w:tcPr>
            <w:tcW w:w="979" w:type="dxa"/>
            <w:tcBorders>
              <w:top w:val="single" w:sz="4" w:space="0" w:color="auto"/>
              <w:left w:val="nil"/>
              <w:bottom w:val="single" w:sz="4" w:space="0" w:color="auto"/>
              <w:right w:val="nil"/>
            </w:tcBorders>
            <w:noWrap/>
            <w:vAlign w:val="center"/>
            <w:hideMark/>
          </w:tcPr>
          <w:p w14:paraId="0D43194F" w14:textId="77777777" w:rsidR="00677577" w:rsidRPr="00377FDC" w:rsidRDefault="00677577" w:rsidP="00377FDC">
            <w:pPr>
              <w:spacing w:line="240" w:lineRule="auto"/>
              <w:jc w:val="right"/>
              <w:rPr>
                <w:b/>
                <w:bCs/>
                <w:sz w:val="20"/>
                <w:szCs w:val="20"/>
              </w:rPr>
            </w:pPr>
            <w:r w:rsidRPr="00377FDC">
              <w:rPr>
                <w:b/>
                <w:bCs/>
                <w:sz w:val="20"/>
                <w:szCs w:val="20"/>
              </w:rPr>
              <w:t>Aug-19 (%)</w:t>
            </w:r>
          </w:p>
        </w:tc>
        <w:tc>
          <w:tcPr>
            <w:tcW w:w="979" w:type="dxa"/>
            <w:tcBorders>
              <w:top w:val="single" w:sz="4" w:space="0" w:color="auto"/>
              <w:left w:val="nil"/>
              <w:bottom w:val="single" w:sz="4" w:space="0" w:color="auto"/>
              <w:right w:val="nil"/>
            </w:tcBorders>
            <w:noWrap/>
            <w:vAlign w:val="center"/>
            <w:hideMark/>
          </w:tcPr>
          <w:p w14:paraId="622E9163" w14:textId="77777777" w:rsidR="00677577" w:rsidRPr="00377FDC" w:rsidRDefault="00677577" w:rsidP="00377FDC">
            <w:pPr>
              <w:spacing w:line="240" w:lineRule="auto"/>
              <w:jc w:val="right"/>
              <w:rPr>
                <w:b/>
                <w:bCs/>
                <w:sz w:val="20"/>
                <w:szCs w:val="20"/>
              </w:rPr>
            </w:pPr>
            <w:r w:rsidRPr="00377FDC">
              <w:rPr>
                <w:b/>
                <w:bCs/>
                <w:sz w:val="20"/>
                <w:szCs w:val="20"/>
              </w:rPr>
              <w:t>Aug-21 (%)</w:t>
            </w:r>
          </w:p>
        </w:tc>
        <w:tc>
          <w:tcPr>
            <w:tcW w:w="979" w:type="dxa"/>
            <w:tcBorders>
              <w:top w:val="single" w:sz="4" w:space="0" w:color="auto"/>
              <w:left w:val="nil"/>
              <w:bottom w:val="single" w:sz="4" w:space="0" w:color="auto"/>
              <w:right w:val="nil"/>
            </w:tcBorders>
            <w:noWrap/>
            <w:vAlign w:val="center"/>
            <w:hideMark/>
          </w:tcPr>
          <w:p w14:paraId="2F8C6AD1" w14:textId="77777777" w:rsidR="00677577" w:rsidRPr="00377FDC" w:rsidRDefault="00677577" w:rsidP="00377FDC">
            <w:pPr>
              <w:spacing w:line="240" w:lineRule="auto"/>
              <w:jc w:val="right"/>
              <w:rPr>
                <w:b/>
                <w:bCs/>
                <w:sz w:val="20"/>
                <w:szCs w:val="20"/>
              </w:rPr>
            </w:pPr>
            <w:r w:rsidRPr="00377FDC">
              <w:rPr>
                <w:b/>
                <w:bCs/>
                <w:sz w:val="20"/>
                <w:szCs w:val="20"/>
              </w:rPr>
              <w:t>Aug-23 (%)</w:t>
            </w:r>
          </w:p>
        </w:tc>
        <w:tc>
          <w:tcPr>
            <w:tcW w:w="979" w:type="dxa"/>
            <w:tcBorders>
              <w:top w:val="single" w:sz="4" w:space="0" w:color="auto"/>
              <w:left w:val="nil"/>
              <w:bottom w:val="single" w:sz="4" w:space="0" w:color="auto"/>
              <w:right w:val="single" w:sz="4" w:space="0" w:color="auto"/>
            </w:tcBorders>
            <w:vAlign w:val="center"/>
            <w:hideMark/>
          </w:tcPr>
          <w:p w14:paraId="38EAA453" w14:textId="77777777" w:rsidR="00677577" w:rsidRPr="00377FDC" w:rsidRDefault="00677577" w:rsidP="00377FDC">
            <w:pPr>
              <w:spacing w:line="240" w:lineRule="auto"/>
              <w:jc w:val="right"/>
              <w:rPr>
                <w:b/>
                <w:bCs/>
                <w:sz w:val="20"/>
                <w:szCs w:val="20"/>
              </w:rPr>
            </w:pPr>
            <w:r w:rsidRPr="00377FDC">
              <w:rPr>
                <w:b/>
                <w:bCs/>
                <w:sz w:val="20"/>
                <w:szCs w:val="20"/>
              </w:rPr>
              <w:t>Aug-24 (%)</w:t>
            </w:r>
          </w:p>
        </w:tc>
      </w:tr>
      <w:tr w:rsidR="00677577" w:rsidRPr="00236247" w14:paraId="28EB6F4B" w14:textId="77777777">
        <w:trPr>
          <w:trHeight w:val="380"/>
        </w:trPr>
        <w:tc>
          <w:tcPr>
            <w:tcW w:w="3539" w:type="dxa"/>
            <w:tcBorders>
              <w:top w:val="nil"/>
              <w:left w:val="single" w:sz="4" w:space="0" w:color="auto"/>
              <w:bottom w:val="nil"/>
              <w:right w:val="nil"/>
            </w:tcBorders>
            <w:noWrap/>
            <w:vAlign w:val="center"/>
            <w:hideMark/>
          </w:tcPr>
          <w:p w14:paraId="7AF4918A" w14:textId="77777777" w:rsidR="00677577" w:rsidRPr="00377FDC" w:rsidRDefault="00677577" w:rsidP="00377FDC">
            <w:pPr>
              <w:spacing w:line="240" w:lineRule="auto"/>
              <w:rPr>
                <w:sz w:val="20"/>
                <w:szCs w:val="20"/>
              </w:rPr>
            </w:pPr>
            <w:r w:rsidRPr="00377FDC">
              <w:rPr>
                <w:sz w:val="20"/>
                <w:szCs w:val="20"/>
              </w:rPr>
              <w:t>Had an agreement to work flexible hours</w:t>
            </w:r>
          </w:p>
        </w:tc>
        <w:tc>
          <w:tcPr>
            <w:tcW w:w="979" w:type="dxa"/>
            <w:tcBorders>
              <w:top w:val="nil"/>
              <w:left w:val="nil"/>
              <w:bottom w:val="nil"/>
              <w:right w:val="nil"/>
            </w:tcBorders>
            <w:noWrap/>
            <w:vAlign w:val="center"/>
            <w:hideMark/>
          </w:tcPr>
          <w:p w14:paraId="138046E2" w14:textId="77777777" w:rsidR="00677577" w:rsidRPr="00377FDC" w:rsidRDefault="00677577" w:rsidP="00377FDC">
            <w:pPr>
              <w:spacing w:line="240" w:lineRule="auto"/>
              <w:jc w:val="right"/>
              <w:rPr>
                <w:sz w:val="20"/>
                <w:szCs w:val="20"/>
              </w:rPr>
            </w:pPr>
            <w:r w:rsidRPr="00377FDC">
              <w:rPr>
                <w:sz w:val="20"/>
                <w:szCs w:val="20"/>
              </w:rPr>
              <w:t>31.9</w:t>
            </w:r>
          </w:p>
        </w:tc>
        <w:tc>
          <w:tcPr>
            <w:tcW w:w="979" w:type="dxa"/>
            <w:tcBorders>
              <w:top w:val="nil"/>
              <w:left w:val="nil"/>
              <w:bottom w:val="nil"/>
              <w:right w:val="nil"/>
            </w:tcBorders>
            <w:noWrap/>
            <w:vAlign w:val="center"/>
            <w:hideMark/>
          </w:tcPr>
          <w:p w14:paraId="3B2C075F" w14:textId="77777777" w:rsidR="00677577" w:rsidRPr="00377FDC" w:rsidRDefault="00677577" w:rsidP="00377FDC">
            <w:pPr>
              <w:spacing w:line="240" w:lineRule="auto"/>
              <w:jc w:val="right"/>
              <w:rPr>
                <w:sz w:val="20"/>
                <w:szCs w:val="20"/>
              </w:rPr>
            </w:pPr>
            <w:r w:rsidRPr="00377FDC">
              <w:rPr>
                <w:sz w:val="20"/>
                <w:szCs w:val="20"/>
              </w:rPr>
              <w:t>32.7</w:t>
            </w:r>
          </w:p>
        </w:tc>
        <w:tc>
          <w:tcPr>
            <w:tcW w:w="979" w:type="dxa"/>
            <w:tcBorders>
              <w:top w:val="nil"/>
              <w:left w:val="nil"/>
              <w:bottom w:val="nil"/>
              <w:right w:val="nil"/>
            </w:tcBorders>
            <w:noWrap/>
            <w:vAlign w:val="center"/>
            <w:hideMark/>
          </w:tcPr>
          <w:p w14:paraId="232394FD" w14:textId="77777777" w:rsidR="00677577" w:rsidRPr="00377FDC" w:rsidRDefault="00677577" w:rsidP="00377FDC">
            <w:pPr>
              <w:spacing w:line="240" w:lineRule="auto"/>
              <w:jc w:val="right"/>
              <w:rPr>
                <w:sz w:val="20"/>
                <w:szCs w:val="20"/>
              </w:rPr>
            </w:pPr>
            <w:r w:rsidRPr="00377FDC">
              <w:rPr>
                <w:sz w:val="20"/>
                <w:szCs w:val="20"/>
              </w:rPr>
              <w:t>34.1</w:t>
            </w:r>
          </w:p>
        </w:tc>
        <w:tc>
          <w:tcPr>
            <w:tcW w:w="979" w:type="dxa"/>
            <w:tcBorders>
              <w:top w:val="nil"/>
              <w:left w:val="nil"/>
              <w:bottom w:val="nil"/>
              <w:right w:val="nil"/>
            </w:tcBorders>
            <w:noWrap/>
            <w:vAlign w:val="center"/>
            <w:hideMark/>
          </w:tcPr>
          <w:p w14:paraId="271780B5" w14:textId="77777777" w:rsidR="00677577" w:rsidRPr="00377FDC" w:rsidRDefault="00677577" w:rsidP="00377FDC">
            <w:pPr>
              <w:spacing w:line="240" w:lineRule="auto"/>
              <w:jc w:val="right"/>
              <w:rPr>
                <w:sz w:val="20"/>
                <w:szCs w:val="20"/>
              </w:rPr>
            </w:pPr>
            <w:r w:rsidRPr="00377FDC">
              <w:rPr>
                <w:sz w:val="20"/>
                <w:szCs w:val="20"/>
              </w:rPr>
              <w:t>35.6</w:t>
            </w:r>
          </w:p>
        </w:tc>
        <w:tc>
          <w:tcPr>
            <w:tcW w:w="979" w:type="dxa"/>
            <w:tcBorders>
              <w:top w:val="nil"/>
              <w:left w:val="nil"/>
              <w:bottom w:val="nil"/>
              <w:right w:val="nil"/>
            </w:tcBorders>
            <w:noWrap/>
            <w:vAlign w:val="center"/>
            <w:hideMark/>
          </w:tcPr>
          <w:p w14:paraId="4BB16E94" w14:textId="77777777" w:rsidR="00677577" w:rsidRPr="00377FDC" w:rsidRDefault="00677577" w:rsidP="00377FDC">
            <w:pPr>
              <w:spacing w:line="240" w:lineRule="auto"/>
              <w:jc w:val="right"/>
              <w:rPr>
                <w:sz w:val="20"/>
                <w:szCs w:val="20"/>
              </w:rPr>
            </w:pPr>
            <w:r w:rsidRPr="00377FDC">
              <w:rPr>
                <w:sz w:val="20"/>
                <w:szCs w:val="20"/>
              </w:rPr>
              <w:t>33.4</w:t>
            </w:r>
          </w:p>
        </w:tc>
        <w:tc>
          <w:tcPr>
            <w:tcW w:w="979" w:type="dxa"/>
            <w:tcBorders>
              <w:top w:val="nil"/>
              <w:left w:val="nil"/>
              <w:bottom w:val="nil"/>
              <w:right w:val="single" w:sz="4" w:space="0" w:color="auto"/>
            </w:tcBorders>
            <w:vAlign w:val="center"/>
            <w:hideMark/>
          </w:tcPr>
          <w:p w14:paraId="70EC00E6" w14:textId="77777777" w:rsidR="00677577" w:rsidRPr="00377FDC" w:rsidRDefault="00677577" w:rsidP="00377FDC">
            <w:pPr>
              <w:spacing w:line="240" w:lineRule="auto"/>
              <w:jc w:val="right"/>
              <w:rPr>
                <w:sz w:val="20"/>
                <w:szCs w:val="20"/>
              </w:rPr>
            </w:pPr>
            <w:r w:rsidRPr="00377FDC">
              <w:rPr>
                <w:sz w:val="20"/>
                <w:szCs w:val="20"/>
              </w:rPr>
              <w:t>30.3</w:t>
            </w:r>
          </w:p>
        </w:tc>
      </w:tr>
      <w:tr w:rsidR="00677577" w:rsidRPr="00236247" w14:paraId="5D8935EF" w14:textId="77777777">
        <w:trPr>
          <w:trHeight w:val="380"/>
        </w:trPr>
        <w:tc>
          <w:tcPr>
            <w:tcW w:w="3539" w:type="dxa"/>
            <w:tcBorders>
              <w:top w:val="nil"/>
              <w:left w:val="single" w:sz="4" w:space="0" w:color="auto"/>
              <w:bottom w:val="single" w:sz="4" w:space="0" w:color="auto"/>
              <w:right w:val="nil"/>
            </w:tcBorders>
            <w:noWrap/>
            <w:vAlign w:val="center"/>
            <w:hideMark/>
          </w:tcPr>
          <w:p w14:paraId="6B194DE9" w14:textId="77777777" w:rsidR="00677577" w:rsidRPr="006F1D80" w:rsidRDefault="00677577" w:rsidP="006F1D80">
            <w:pPr>
              <w:spacing w:line="240" w:lineRule="auto"/>
              <w:rPr>
                <w:sz w:val="20"/>
                <w:szCs w:val="20"/>
              </w:rPr>
            </w:pPr>
            <w:r w:rsidRPr="006F1D80">
              <w:rPr>
                <w:sz w:val="20"/>
                <w:szCs w:val="20"/>
              </w:rPr>
              <w:t>Regularly worked from home in job or business</w:t>
            </w:r>
          </w:p>
        </w:tc>
        <w:tc>
          <w:tcPr>
            <w:tcW w:w="979" w:type="dxa"/>
            <w:tcBorders>
              <w:top w:val="nil"/>
              <w:left w:val="nil"/>
              <w:bottom w:val="single" w:sz="4" w:space="0" w:color="auto"/>
              <w:right w:val="nil"/>
            </w:tcBorders>
            <w:noWrap/>
            <w:vAlign w:val="center"/>
            <w:hideMark/>
          </w:tcPr>
          <w:p w14:paraId="44CED04A" w14:textId="77777777" w:rsidR="00677577" w:rsidRPr="006F1D80" w:rsidRDefault="00677577" w:rsidP="006F1D80">
            <w:pPr>
              <w:spacing w:line="240" w:lineRule="auto"/>
              <w:jc w:val="right"/>
              <w:rPr>
                <w:sz w:val="20"/>
                <w:szCs w:val="20"/>
              </w:rPr>
            </w:pPr>
            <w:r w:rsidRPr="006F1D80">
              <w:rPr>
                <w:sz w:val="20"/>
                <w:szCs w:val="20"/>
              </w:rPr>
              <w:t>29.9</w:t>
            </w:r>
          </w:p>
        </w:tc>
        <w:tc>
          <w:tcPr>
            <w:tcW w:w="979" w:type="dxa"/>
            <w:tcBorders>
              <w:top w:val="nil"/>
              <w:left w:val="nil"/>
              <w:bottom w:val="single" w:sz="4" w:space="0" w:color="auto"/>
              <w:right w:val="nil"/>
            </w:tcBorders>
            <w:noWrap/>
            <w:vAlign w:val="center"/>
            <w:hideMark/>
          </w:tcPr>
          <w:p w14:paraId="4D198F68" w14:textId="77777777" w:rsidR="00677577" w:rsidRPr="006F1D80" w:rsidRDefault="00677577" w:rsidP="006F1D80">
            <w:pPr>
              <w:spacing w:line="240" w:lineRule="auto"/>
              <w:jc w:val="right"/>
              <w:rPr>
                <w:sz w:val="20"/>
                <w:szCs w:val="20"/>
              </w:rPr>
            </w:pPr>
            <w:r w:rsidRPr="006F1D80">
              <w:rPr>
                <w:sz w:val="20"/>
                <w:szCs w:val="20"/>
              </w:rPr>
              <w:t>30.9</w:t>
            </w:r>
          </w:p>
        </w:tc>
        <w:tc>
          <w:tcPr>
            <w:tcW w:w="979" w:type="dxa"/>
            <w:tcBorders>
              <w:top w:val="nil"/>
              <w:left w:val="nil"/>
              <w:bottom w:val="single" w:sz="4" w:space="0" w:color="auto"/>
              <w:right w:val="nil"/>
            </w:tcBorders>
            <w:noWrap/>
            <w:vAlign w:val="center"/>
            <w:hideMark/>
          </w:tcPr>
          <w:p w14:paraId="689F7187" w14:textId="77777777" w:rsidR="00677577" w:rsidRPr="006F1D80" w:rsidRDefault="00677577" w:rsidP="006F1D80">
            <w:pPr>
              <w:spacing w:line="240" w:lineRule="auto"/>
              <w:jc w:val="right"/>
              <w:rPr>
                <w:sz w:val="20"/>
                <w:szCs w:val="20"/>
              </w:rPr>
            </w:pPr>
            <w:r w:rsidRPr="006F1D80">
              <w:rPr>
                <w:sz w:val="20"/>
                <w:szCs w:val="20"/>
              </w:rPr>
              <w:t>32.1</w:t>
            </w:r>
          </w:p>
        </w:tc>
        <w:tc>
          <w:tcPr>
            <w:tcW w:w="979" w:type="dxa"/>
            <w:tcBorders>
              <w:top w:val="nil"/>
              <w:left w:val="nil"/>
              <w:bottom w:val="single" w:sz="4" w:space="0" w:color="auto"/>
              <w:right w:val="nil"/>
            </w:tcBorders>
            <w:noWrap/>
            <w:vAlign w:val="center"/>
            <w:hideMark/>
          </w:tcPr>
          <w:p w14:paraId="47D345B3" w14:textId="77777777" w:rsidR="00677577" w:rsidRPr="006F1D80" w:rsidRDefault="00677577" w:rsidP="006F1D80">
            <w:pPr>
              <w:spacing w:line="240" w:lineRule="auto"/>
              <w:jc w:val="right"/>
              <w:rPr>
                <w:sz w:val="20"/>
                <w:szCs w:val="20"/>
              </w:rPr>
            </w:pPr>
            <w:r w:rsidRPr="006F1D80">
              <w:rPr>
                <w:sz w:val="20"/>
                <w:szCs w:val="20"/>
              </w:rPr>
              <w:t>40.3</w:t>
            </w:r>
          </w:p>
        </w:tc>
        <w:tc>
          <w:tcPr>
            <w:tcW w:w="979" w:type="dxa"/>
            <w:tcBorders>
              <w:top w:val="nil"/>
              <w:left w:val="nil"/>
              <w:bottom w:val="single" w:sz="4" w:space="0" w:color="auto"/>
              <w:right w:val="nil"/>
            </w:tcBorders>
            <w:noWrap/>
            <w:vAlign w:val="center"/>
            <w:hideMark/>
          </w:tcPr>
          <w:p w14:paraId="0F25AEF5" w14:textId="77777777" w:rsidR="00677577" w:rsidRPr="006F1D80" w:rsidRDefault="00677577" w:rsidP="006F1D80">
            <w:pPr>
              <w:spacing w:line="240" w:lineRule="auto"/>
              <w:jc w:val="right"/>
              <w:rPr>
                <w:sz w:val="20"/>
                <w:szCs w:val="20"/>
              </w:rPr>
            </w:pPr>
            <w:r w:rsidRPr="006F1D80">
              <w:rPr>
                <w:sz w:val="20"/>
                <w:szCs w:val="20"/>
              </w:rPr>
              <w:t>36.9</w:t>
            </w:r>
          </w:p>
        </w:tc>
        <w:tc>
          <w:tcPr>
            <w:tcW w:w="979" w:type="dxa"/>
            <w:tcBorders>
              <w:top w:val="nil"/>
              <w:left w:val="nil"/>
              <w:bottom w:val="single" w:sz="4" w:space="0" w:color="auto"/>
              <w:right w:val="single" w:sz="4" w:space="0" w:color="auto"/>
            </w:tcBorders>
            <w:vAlign w:val="center"/>
            <w:hideMark/>
          </w:tcPr>
          <w:p w14:paraId="33B5B90F" w14:textId="77777777" w:rsidR="00677577" w:rsidRPr="006F1D80" w:rsidRDefault="00677577" w:rsidP="006F1D80">
            <w:pPr>
              <w:spacing w:line="240" w:lineRule="auto"/>
              <w:jc w:val="right"/>
              <w:rPr>
                <w:sz w:val="20"/>
                <w:szCs w:val="20"/>
              </w:rPr>
            </w:pPr>
            <w:r w:rsidRPr="006F1D80">
              <w:rPr>
                <w:sz w:val="20"/>
                <w:szCs w:val="20"/>
              </w:rPr>
              <w:t>31.5</w:t>
            </w:r>
          </w:p>
        </w:tc>
      </w:tr>
    </w:tbl>
    <w:p w14:paraId="73E70895" w14:textId="77777777" w:rsidR="00677577" w:rsidRPr="00167CB8" w:rsidRDefault="00677577" w:rsidP="00677577">
      <w:pPr>
        <w:pStyle w:val="Source"/>
      </w:pPr>
      <w:r w:rsidRPr="00167CB8">
        <w:rPr>
          <w:b/>
          <w:bCs/>
        </w:rPr>
        <w:t>Source:</w:t>
      </w:r>
      <w:r w:rsidRPr="00167CB8">
        <w:t xml:space="preserve"> ABS Working Arrangements, August (Cat No 5336.0 and Cat No. 6336.0).</w:t>
      </w:r>
    </w:p>
    <w:p w14:paraId="3E21C126" w14:textId="50BE8CE7" w:rsidR="00677577" w:rsidRPr="00167CB8" w:rsidRDefault="00677577" w:rsidP="00677577">
      <w:pPr>
        <w:pStyle w:val="Heading4"/>
      </w:pPr>
      <w:bookmarkStart w:id="793" w:name="_Toc186991762"/>
      <w:bookmarkStart w:id="794" w:name="_Toc189393666"/>
      <w:r w:rsidRPr="00167CB8">
        <w:t>2.4 Fixed</w:t>
      </w:r>
      <w:r w:rsidR="003B02AF">
        <w:t xml:space="preserve"> </w:t>
      </w:r>
      <w:r w:rsidRPr="00167CB8">
        <w:t>term arrangements</w:t>
      </w:r>
      <w:bookmarkEnd w:id="793"/>
      <w:bookmarkEnd w:id="794"/>
    </w:p>
    <w:p w14:paraId="36952C12" w14:textId="20F8AC66" w:rsidR="0011475D" w:rsidRPr="00A32FB1" w:rsidRDefault="00677577" w:rsidP="00677577">
      <w:r w:rsidRPr="003F2F98">
        <w:t xml:space="preserve">Tables </w:t>
      </w:r>
      <w:r w:rsidR="0061552F" w:rsidRPr="003F2F98">
        <w:t>3</w:t>
      </w:r>
      <w:r w:rsidR="0061552F">
        <w:t>1</w:t>
      </w:r>
      <w:r w:rsidR="0061552F" w:rsidRPr="003F2F98">
        <w:t xml:space="preserve"> </w:t>
      </w:r>
      <w:r w:rsidRPr="003F2F98">
        <w:t xml:space="preserve">to </w:t>
      </w:r>
      <w:r w:rsidR="0061552F" w:rsidRPr="003F2F98">
        <w:t>3</w:t>
      </w:r>
      <w:r w:rsidR="0061552F">
        <w:t>5</w:t>
      </w:r>
      <w:r w:rsidR="0061552F" w:rsidRPr="00A32FB1">
        <w:t xml:space="preserve"> </w:t>
      </w:r>
      <w:r w:rsidRPr="00A32FB1">
        <w:t xml:space="preserve">and </w:t>
      </w:r>
      <w:r w:rsidRPr="00704EB5">
        <w:t>Figure 2</w:t>
      </w:r>
      <w:r w:rsidR="00365C93" w:rsidRPr="00704EB5">
        <w:t>7</w:t>
      </w:r>
      <w:r w:rsidRPr="00A32FB1">
        <w:t xml:space="preserve"> are based on ABS data for August 2024 and describe the</w:t>
      </w:r>
      <w:r w:rsidRPr="00167CB8">
        <w:t xml:space="preserve"> employment characteristics of employees on fixed</w:t>
      </w:r>
      <w:r w:rsidR="00800964">
        <w:t xml:space="preserve"> </w:t>
      </w:r>
      <w:r w:rsidRPr="00A32FB1">
        <w:t>term contracts or arrangements. In total there were 512,000 employees (4.2% of all employees) on fixed</w:t>
      </w:r>
      <w:r w:rsidR="00800964">
        <w:t xml:space="preserve"> </w:t>
      </w:r>
      <w:r w:rsidRPr="00A32FB1">
        <w:t>term contracts at this time. The majority of employees on fixed</w:t>
      </w:r>
      <w:r w:rsidR="00800964">
        <w:t xml:space="preserve"> </w:t>
      </w:r>
      <w:r w:rsidRPr="00A32FB1">
        <w:t xml:space="preserve">term contracts are full-time employees (72.4%) (see </w:t>
      </w:r>
      <w:r w:rsidRPr="00817C45">
        <w:t xml:space="preserve">Table </w:t>
      </w:r>
      <w:r w:rsidR="0061552F" w:rsidRPr="00817C45">
        <w:t>3</w:t>
      </w:r>
      <w:r w:rsidR="0061552F">
        <w:t>1</w:t>
      </w:r>
      <w:r w:rsidRPr="00A32FB1">
        <w:t xml:space="preserve">) and professionals (48.4%) (see </w:t>
      </w:r>
      <w:r w:rsidRPr="003F2F98">
        <w:t xml:space="preserve">Table </w:t>
      </w:r>
      <w:r w:rsidR="0061552F" w:rsidRPr="003F2F98">
        <w:t>3</w:t>
      </w:r>
      <w:r w:rsidR="0061552F">
        <w:t>4</w:t>
      </w:r>
      <w:r w:rsidRPr="00A32FB1">
        <w:t xml:space="preserve">). Many (40.8%) have been in their current job for less than one year (see </w:t>
      </w:r>
      <w:r w:rsidRPr="00C2073D">
        <w:t xml:space="preserve">Table </w:t>
      </w:r>
      <w:r w:rsidR="0061552F" w:rsidRPr="00C2073D">
        <w:t>3</w:t>
      </w:r>
      <w:r w:rsidR="0061552F">
        <w:t>2</w:t>
      </w:r>
      <w:r w:rsidRPr="00A32FB1">
        <w:t xml:space="preserve">). Although tenure is short, there is a high expectation of ongoing employment; 74.8% expect to remain in their job for the next 12 months (see </w:t>
      </w:r>
      <w:r w:rsidRPr="00FE1FE7">
        <w:t xml:space="preserve">Table </w:t>
      </w:r>
      <w:r w:rsidR="0061552F" w:rsidRPr="00FE1FE7">
        <w:t>3</w:t>
      </w:r>
      <w:r w:rsidR="0061552F">
        <w:t>3</w:t>
      </w:r>
      <w:r w:rsidRPr="00A32FB1">
        <w:t>).</w:t>
      </w:r>
    </w:p>
    <w:p w14:paraId="10ABB153" w14:textId="6D2AA5D4" w:rsidR="0011475D" w:rsidRDefault="00677577" w:rsidP="00677577">
      <w:r w:rsidRPr="00A32FB1">
        <w:t xml:space="preserve">At August 2024, </w:t>
      </w:r>
      <w:r w:rsidR="007F4838" w:rsidRPr="00A32FB1">
        <w:t>three</w:t>
      </w:r>
      <w:r w:rsidRPr="00A32FB1">
        <w:t xml:space="preserve"> industries stood out for their use of fixed</w:t>
      </w:r>
      <w:r w:rsidR="00800964">
        <w:t xml:space="preserve"> </w:t>
      </w:r>
      <w:r w:rsidRPr="00A32FB1">
        <w:t xml:space="preserve">term contracts (see </w:t>
      </w:r>
      <w:r w:rsidRPr="00D371F3">
        <w:t xml:space="preserve">Table </w:t>
      </w:r>
      <w:r w:rsidR="0061552F" w:rsidRPr="00D371F3">
        <w:t>3</w:t>
      </w:r>
      <w:r w:rsidR="0061552F">
        <w:t>5</w:t>
      </w:r>
      <w:r w:rsidRPr="00A32FB1">
        <w:t>):</w:t>
      </w:r>
      <w:r w:rsidRPr="00167CB8">
        <w:t xml:space="preserve"> the share was highest in:</w:t>
      </w:r>
    </w:p>
    <w:p w14:paraId="42A9A77D" w14:textId="13C89292" w:rsidR="00677577" w:rsidRPr="00167CB8" w:rsidRDefault="00677577" w:rsidP="000A2220">
      <w:pPr>
        <w:pStyle w:val="ListBullet"/>
        <w:numPr>
          <w:ilvl w:val="0"/>
          <w:numId w:val="4"/>
        </w:numPr>
      </w:pPr>
      <w:r w:rsidRPr="00167CB8">
        <w:t>education and training (11.7% of all employees)</w:t>
      </w:r>
    </w:p>
    <w:p w14:paraId="018B30BE" w14:textId="77777777" w:rsidR="00677577" w:rsidRPr="00167CB8" w:rsidRDefault="00677577" w:rsidP="000A2220">
      <w:pPr>
        <w:pStyle w:val="ListBullet"/>
        <w:numPr>
          <w:ilvl w:val="0"/>
          <w:numId w:val="4"/>
        </w:numPr>
      </w:pPr>
      <w:r w:rsidRPr="00167CB8">
        <w:t>public administration and safety (8.1%) of all employees)</w:t>
      </w:r>
    </w:p>
    <w:p w14:paraId="53D9A3B1" w14:textId="77777777" w:rsidR="00677577" w:rsidRPr="00167CB8" w:rsidRDefault="00677577" w:rsidP="000A2220">
      <w:pPr>
        <w:pStyle w:val="ListBullet"/>
        <w:numPr>
          <w:ilvl w:val="0"/>
          <w:numId w:val="4"/>
        </w:numPr>
      </w:pPr>
      <w:r w:rsidRPr="00167CB8">
        <w:t>arts and recreational services (7.9%) of all employees.</w:t>
      </w:r>
    </w:p>
    <w:p w14:paraId="18214913" w14:textId="03833539" w:rsidR="0011475D" w:rsidRDefault="00677577" w:rsidP="00677577">
      <w:r w:rsidRPr="00167CB8">
        <w:t>Since August 2022 fixed</w:t>
      </w:r>
      <w:r w:rsidR="003B02AF">
        <w:t xml:space="preserve"> </w:t>
      </w:r>
      <w:r w:rsidRPr="00167CB8">
        <w:t xml:space="preserve">term employment among employees has increased by 122,600 </w:t>
      </w:r>
      <w:r w:rsidRPr="00167CB8">
        <w:rPr>
          <w:rFonts w:ascii="Symbol" w:eastAsia="Symbol" w:hAnsi="Symbol" w:cs="Symbol"/>
        </w:rPr>
        <w:sym w:font="Symbol" w:char="F02D"/>
      </w:r>
      <w:r w:rsidRPr="00167CB8">
        <w:t xml:space="preserve"> an increase of 31% from the 389,700 fixed</w:t>
      </w:r>
      <w:r w:rsidR="00800964">
        <w:t xml:space="preserve"> </w:t>
      </w:r>
      <w:r w:rsidRPr="00167CB8">
        <w:t>term employees at August 2022. Of all new fixed</w:t>
      </w:r>
      <w:r w:rsidR="00800964">
        <w:t xml:space="preserve"> </w:t>
      </w:r>
      <w:r w:rsidRPr="00167CB8">
        <w:t>term employment contracts, 21.7% were in health care and social assistance, 18.7% in public administration and safety and 14.1% in education and training.</w:t>
      </w:r>
    </w:p>
    <w:p w14:paraId="7222AE57" w14:textId="25BE7F2B" w:rsidR="00677577" w:rsidRDefault="00677577" w:rsidP="00677577">
      <w:pPr>
        <w:rPr>
          <w:rFonts w:cs="Calibri"/>
          <w:b/>
          <w:bCs/>
          <w:lang w:val="en-US"/>
        </w:rPr>
      </w:pPr>
      <w:bookmarkStart w:id="795" w:name="_Ref184404151"/>
      <w:bookmarkStart w:id="796" w:name="_Toc186991806"/>
      <w:bookmarkStart w:id="797" w:name="_Toc189310857"/>
      <w:r>
        <w:br w:type="page"/>
      </w:r>
    </w:p>
    <w:p w14:paraId="378729C8" w14:textId="00B94867" w:rsidR="00677577" w:rsidRPr="00167CB8" w:rsidRDefault="00365C93" w:rsidP="007F380D">
      <w:pPr>
        <w:pStyle w:val="Caption"/>
      </w:pPr>
      <w:bookmarkStart w:id="798" w:name="_Toc194251455"/>
      <w:r>
        <w:lastRenderedPageBreak/>
        <w:t xml:space="preserve">Table </w:t>
      </w:r>
      <w:r>
        <w:fldChar w:fldCharType="begin"/>
      </w:r>
      <w:r>
        <w:instrText xml:space="preserve"> SEQ Table \* ARABIC </w:instrText>
      </w:r>
      <w:r>
        <w:fldChar w:fldCharType="separate"/>
      </w:r>
      <w:r w:rsidR="00DE5F5E">
        <w:rPr>
          <w:noProof/>
        </w:rPr>
        <w:t>31</w:t>
      </w:r>
      <w:r>
        <w:fldChar w:fldCharType="end"/>
      </w:r>
      <w:r>
        <w:t xml:space="preserve">: </w:t>
      </w:r>
      <w:bookmarkEnd w:id="795"/>
      <w:r w:rsidR="00677577" w:rsidRPr="00167CB8">
        <w:t>Fixed</w:t>
      </w:r>
      <w:r w:rsidR="003B02AF">
        <w:t xml:space="preserve"> </w:t>
      </w:r>
      <w:r w:rsidR="00677577" w:rsidRPr="00167CB8">
        <w:t>term employment, by status in main job</w:t>
      </w:r>
      <w:bookmarkEnd w:id="796"/>
      <w:bookmarkEnd w:id="797"/>
      <w:bookmarkEnd w:id="798"/>
    </w:p>
    <w:tbl>
      <w:tblPr>
        <w:tblW w:w="9269" w:type="dxa"/>
        <w:tblLook w:val="04A0" w:firstRow="1" w:lastRow="0" w:firstColumn="1" w:lastColumn="0" w:noHBand="0" w:noVBand="1"/>
      </w:tblPr>
      <w:tblGrid>
        <w:gridCol w:w="5022"/>
        <w:gridCol w:w="2310"/>
        <w:gridCol w:w="1937"/>
      </w:tblGrid>
      <w:tr w:rsidR="00677577" w:rsidRPr="00167CB8" w14:paraId="1060A96A" w14:textId="77777777">
        <w:trPr>
          <w:trHeight w:val="179"/>
        </w:trPr>
        <w:tc>
          <w:tcPr>
            <w:tcW w:w="5022" w:type="dxa"/>
            <w:tcBorders>
              <w:top w:val="single" w:sz="4" w:space="0" w:color="auto"/>
              <w:left w:val="single" w:sz="4" w:space="0" w:color="auto"/>
              <w:bottom w:val="single" w:sz="4" w:space="0" w:color="auto"/>
              <w:right w:val="nil"/>
            </w:tcBorders>
            <w:shd w:val="clear" w:color="auto" w:fill="FFFFFF"/>
            <w:noWrap/>
            <w:vAlign w:val="bottom"/>
            <w:hideMark/>
          </w:tcPr>
          <w:p w14:paraId="575A9FF7" w14:textId="77777777" w:rsidR="00677577" w:rsidRPr="002F7CA1" w:rsidRDefault="00677577" w:rsidP="002F7CA1">
            <w:pPr>
              <w:spacing w:line="240" w:lineRule="auto"/>
              <w:rPr>
                <w:b/>
                <w:bCs/>
                <w:sz w:val="20"/>
                <w:szCs w:val="20"/>
              </w:rPr>
            </w:pPr>
            <w:r w:rsidRPr="002F7CA1">
              <w:rPr>
                <w:b/>
                <w:bCs/>
                <w:sz w:val="20"/>
                <w:szCs w:val="20"/>
              </w:rPr>
              <w:t>Full-time or part-time status in main job</w:t>
            </w:r>
          </w:p>
        </w:tc>
        <w:tc>
          <w:tcPr>
            <w:tcW w:w="2310" w:type="dxa"/>
            <w:tcBorders>
              <w:top w:val="single" w:sz="4" w:space="0" w:color="auto"/>
              <w:left w:val="nil"/>
              <w:bottom w:val="single" w:sz="4" w:space="0" w:color="auto"/>
              <w:right w:val="nil"/>
            </w:tcBorders>
            <w:shd w:val="clear" w:color="auto" w:fill="FFFFFF"/>
            <w:noWrap/>
            <w:vAlign w:val="center"/>
            <w:hideMark/>
          </w:tcPr>
          <w:p w14:paraId="775937CA" w14:textId="77777777" w:rsidR="00677577" w:rsidRDefault="00677577" w:rsidP="002F7CA1">
            <w:pPr>
              <w:spacing w:line="240" w:lineRule="auto"/>
              <w:jc w:val="right"/>
              <w:rPr>
                <w:b/>
                <w:bCs/>
                <w:sz w:val="20"/>
                <w:szCs w:val="20"/>
              </w:rPr>
            </w:pPr>
            <w:r w:rsidRPr="002F7CA1">
              <w:rPr>
                <w:b/>
                <w:bCs/>
                <w:sz w:val="20"/>
                <w:szCs w:val="20"/>
              </w:rPr>
              <w:t>Number fixed</w:t>
            </w:r>
            <w:r w:rsidR="003B02AF">
              <w:rPr>
                <w:b/>
                <w:bCs/>
                <w:sz w:val="20"/>
                <w:szCs w:val="20"/>
              </w:rPr>
              <w:t xml:space="preserve"> </w:t>
            </w:r>
            <w:r w:rsidRPr="002F7CA1">
              <w:rPr>
                <w:b/>
                <w:bCs/>
                <w:sz w:val="20"/>
                <w:szCs w:val="20"/>
              </w:rPr>
              <w:t>term at August 2024</w:t>
            </w:r>
          </w:p>
          <w:p w14:paraId="4AB7BD6B" w14:textId="753C432D" w:rsidR="00F92E4D" w:rsidRPr="002F7CA1" w:rsidRDefault="00F92E4D" w:rsidP="002F7CA1">
            <w:pPr>
              <w:spacing w:line="240" w:lineRule="auto"/>
              <w:jc w:val="right"/>
              <w:rPr>
                <w:b/>
                <w:bCs/>
                <w:sz w:val="20"/>
                <w:szCs w:val="20"/>
              </w:rPr>
            </w:pPr>
            <w:r>
              <w:rPr>
                <w:b/>
                <w:bCs/>
                <w:sz w:val="20"/>
                <w:szCs w:val="20"/>
              </w:rPr>
              <w:t>(‘000)</w:t>
            </w:r>
          </w:p>
        </w:tc>
        <w:tc>
          <w:tcPr>
            <w:tcW w:w="1937" w:type="dxa"/>
            <w:tcBorders>
              <w:top w:val="single" w:sz="4" w:space="0" w:color="auto"/>
              <w:left w:val="nil"/>
              <w:bottom w:val="single" w:sz="4" w:space="0" w:color="auto"/>
              <w:right w:val="single" w:sz="4" w:space="0" w:color="auto"/>
            </w:tcBorders>
            <w:shd w:val="clear" w:color="auto" w:fill="FFFFFF"/>
            <w:noWrap/>
            <w:vAlign w:val="center"/>
            <w:hideMark/>
          </w:tcPr>
          <w:p w14:paraId="05EA80ED" w14:textId="77777777" w:rsidR="00677577" w:rsidRPr="002F7CA1" w:rsidRDefault="00677577" w:rsidP="002F7CA1">
            <w:pPr>
              <w:spacing w:line="240" w:lineRule="auto"/>
              <w:jc w:val="right"/>
              <w:rPr>
                <w:b/>
                <w:bCs/>
                <w:sz w:val="20"/>
                <w:szCs w:val="20"/>
              </w:rPr>
            </w:pPr>
            <w:r w:rsidRPr="002F7CA1">
              <w:rPr>
                <w:b/>
                <w:bCs/>
                <w:sz w:val="20"/>
                <w:szCs w:val="20"/>
              </w:rPr>
              <w:t>% (distribution)</w:t>
            </w:r>
          </w:p>
        </w:tc>
      </w:tr>
      <w:tr w:rsidR="00677577" w:rsidRPr="00167CB8" w14:paraId="084751F9" w14:textId="77777777">
        <w:trPr>
          <w:trHeight w:val="179"/>
        </w:trPr>
        <w:tc>
          <w:tcPr>
            <w:tcW w:w="5022" w:type="dxa"/>
            <w:tcBorders>
              <w:top w:val="nil"/>
              <w:left w:val="single" w:sz="4" w:space="0" w:color="auto"/>
              <w:bottom w:val="nil"/>
              <w:right w:val="nil"/>
            </w:tcBorders>
            <w:shd w:val="clear" w:color="auto" w:fill="FFFFFF"/>
            <w:noWrap/>
            <w:vAlign w:val="bottom"/>
            <w:hideMark/>
          </w:tcPr>
          <w:p w14:paraId="67500C84" w14:textId="77777777" w:rsidR="00677577" w:rsidRPr="002F7CA1" w:rsidRDefault="00677577" w:rsidP="002F7CA1">
            <w:pPr>
              <w:spacing w:line="240" w:lineRule="auto"/>
              <w:rPr>
                <w:sz w:val="20"/>
                <w:szCs w:val="20"/>
              </w:rPr>
            </w:pPr>
            <w:r w:rsidRPr="002F7CA1">
              <w:rPr>
                <w:sz w:val="20"/>
                <w:szCs w:val="20"/>
              </w:rPr>
              <w:t>Full-time</w:t>
            </w:r>
          </w:p>
        </w:tc>
        <w:tc>
          <w:tcPr>
            <w:tcW w:w="2310" w:type="dxa"/>
            <w:shd w:val="clear" w:color="auto" w:fill="FFFFFF"/>
            <w:noWrap/>
            <w:vAlign w:val="center"/>
            <w:hideMark/>
          </w:tcPr>
          <w:p w14:paraId="04FD08F6" w14:textId="77777777" w:rsidR="00677577" w:rsidRPr="002F7CA1" w:rsidRDefault="00677577" w:rsidP="002F7CA1">
            <w:pPr>
              <w:spacing w:line="240" w:lineRule="auto"/>
              <w:jc w:val="right"/>
              <w:rPr>
                <w:sz w:val="20"/>
                <w:szCs w:val="20"/>
              </w:rPr>
            </w:pPr>
            <w:r w:rsidRPr="002F7CA1">
              <w:rPr>
                <w:sz w:val="20"/>
                <w:szCs w:val="20"/>
              </w:rPr>
              <w:t>371.1</w:t>
            </w:r>
          </w:p>
        </w:tc>
        <w:tc>
          <w:tcPr>
            <w:tcW w:w="1937" w:type="dxa"/>
            <w:tcBorders>
              <w:top w:val="nil"/>
              <w:left w:val="nil"/>
              <w:bottom w:val="nil"/>
              <w:right w:val="single" w:sz="4" w:space="0" w:color="auto"/>
            </w:tcBorders>
            <w:noWrap/>
            <w:vAlign w:val="center"/>
            <w:hideMark/>
          </w:tcPr>
          <w:p w14:paraId="7A4D7325" w14:textId="77777777" w:rsidR="00677577" w:rsidRPr="002F7CA1" w:rsidRDefault="00677577" w:rsidP="002F7CA1">
            <w:pPr>
              <w:spacing w:line="240" w:lineRule="auto"/>
              <w:jc w:val="right"/>
              <w:rPr>
                <w:sz w:val="20"/>
                <w:szCs w:val="20"/>
              </w:rPr>
            </w:pPr>
            <w:r w:rsidRPr="002F7CA1">
              <w:rPr>
                <w:sz w:val="20"/>
                <w:szCs w:val="20"/>
              </w:rPr>
              <w:t>72.4%</w:t>
            </w:r>
          </w:p>
        </w:tc>
      </w:tr>
      <w:tr w:rsidR="00677577" w:rsidRPr="00167CB8" w14:paraId="7EE03890" w14:textId="77777777">
        <w:trPr>
          <w:trHeight w:val="179"/>
        </w:trPr>
        <w:tc>
          <w:tcPr>
            <w:tcW w:w="5022" w:type="dxa"/>
            <w:tcBorders>
              <w:top w:val="nil"/>
              <w:left w:val="single" w:sz="4" w:space="0" w:color="auto"/>
              <w:bottom w:val="nil"/>
              <w:right w:val="nil"/>
            </w:tcBorders>
            <w:shd w:val="clear" w:color="auto" w:fill="FFFFFF"/>
            <w:noWrap/>
            <w:vAlign w:val="bottom"/>
            <w:hideMark/>
          </w:tcPr>
          <w:p w14:paraId="332076EE" w14:textId="77777777" w:rsidR="00677577" w:rsidRPr="002F7CA1" w:rsidRDefault="00677577" w:rsidP="002F7CA1">
            <w:pPr>
              <w:spacing w:line="240" w:lineRule="auto"/>
              <w:rPr>
                <w:sz w:val="20"/>
                <w:szCs w:val="20"/>
              </w:rPr>
            </w:pPr>
            <w:r w:rsidRPr="002F7CA1">
              <w:rPr>
                <w:sz w:val="20"/>
                <w:szCs w:val="20"/>
              </w:rPr>
              <w:t>Part-time</w:t>
            </w:r>
          </w:p>
        </w:tc>
        <w:tc>
          <w:tcPr>
            <w:tcW w:w="2310" w:type="dxa"/>
            <w:shd w:val="clear" w:color="auto" w:fill="FFFFFF"/>
            <w:noWrap/>
            <w:vAlign w:val="center"/>
            <w:hideMark/>
          </w:tcPr>
          <w:p w14:paraId="7F7F4825" w14:textId="77777777" w:rsidR="00677577" w:rsidRPr="002F7CA1" w:rsidRDefault="00677577" w:rsidP="002F7CA1">
            <w:pPr>
              <w:spacing w:line="240" w:lineRule="auto"/>
              <w:jc w:val="right"/>
              <w:rPr>
                <w:sz w:val="20"/>
                <w:szCs w:val="20"/>
              </w:rPr>
            </w:pPr>
            <w:r w:rsidRPr="002F7CA1">
              <w:rPr>
                <w:sz w:val="20"/>
                <w:szCs w:val="20"/>
              </w:rPr>
              <w:t>141.2</w:t>
            </w:r>
          </w:p>
        </w:tc>
        <w:tc>
          <w:tcPr>
            <w:tcW w:w="1937" w:type="dxa"/>
            <w:tcBorders>
              <w:top w:val="nil"/>
              <w:left w:val="nil"/>
              <w:bottom w:val="nil"/>
              <w:right w:val="single" w:sz="4" w:space="0" w:color="auto"/>
            </w:tcBorders>
            <w:noWrap/>
            <w:vAlign w:val="center"/>
            <w:hideMark/>
          </w:tcPr>
          <w:p w14:paraId="50FFC2C7" w14:textId="77777777" w:rsidR="00677577" w:rsidRPr="002F7CA1" w:rsidRDefault="00677577" w:rsidP="002F7CA1">
            <w:pPr>
              <w:spacing w:line="240" w:lineRule="auto"/>
              <w:jc w:val="right"/>
              <w:rPr>
                <w:sz w:val="20"/>
                <w:szCs w:val="20"/>
              </w:rPr>
            </w:pPr>
            <w:r w:rsidRPr="002F7CA1">
              <w:rPr>
                <w:sz w:val="20"/>
                <w:szCs w:val="20"/>
              </w:rPr>
              <w:t>27.6%</w:t>
            </w:r>
          </w:p>
        </w:tc>
      </w:tr>
      <w:tr w:rsidR="00677577" w:rsidRPr="00167CB8" w14:paraId="487CF319" w14:textId="77777777">
        <w:trPr>
          <w:trHeight w:val="179"/>
        </w:trPr>
        <w:tc>
          <w:tcPr>
            <w:tcW w:w="5022" w:type="dxa"/>
            <w:tcBorders>
              <w:top w:val="nil"/>
              <w:left w:val="single" w:sz="4" w:space="0" w:color="auto"/>
              <w:bottom w:val="single" w:sz="4" w:space="0" w:color="auto"/>
              <w:right w:val="nil"/>
            </w:tcBorders>
            <w:noWrap/>
            <w:vAlign w:val="bottom"/>
            <w:hideMark/>
          </w:tcPr>
          <w:p w14:paraId="7AE6D835" w14:textId="77777777" w:rsidR="00677577" w:rsidRPr="002F7CA1" w:rsidRDefault="00677577" w:rsidP="002F7CA1">
            <w:pPr>
              <w:spacing w:line="240" w:lineRule="auto"/>
              <w:rPr>
                <w:sz w:val="20"/>
                <w:szCs w:val="20"/>
              </w:rPr>
            </w:pPr>
            <w:r w:rsidRPr="002F7CA1">
              <w:rPr>
                <w:sz w:val="20"/>
                <w:szCs w:val="20"/>
              </w:rPr>
              <w:t>Total</w:t>
            </w:r>
          </w:p>
        </w:tc>
        <w:tc>
          <w:tcPr>
            <w:tcW w:w="2310" w:type="dxa"/>
            <w:tcBorders>
              <w:top w:val="nil"/>
              <w:left w:val="nil"/>
              <w:bottom w:val="single" w:sz="4" w:space="0" w:color="auto"/>
              <w:right w:val="nil"/>
            </w:tcBorders>
            <w:noWrap/>
            <w:vAlign w:val="center"/>
            <w:hideMark/>
          </w:tcPr>
          <w:p w14:paraId="050158AD" w14:textId="77777777" w:rsidR="00677577" w:rsidRPr="002F7CA1" w:rsidRDefault="00677577" w:rsidP="002F7CA1">
            <w:pPr>
              <w:spacing w:line="240" w:lineRule="auto"/>
              <w:jc w:val="right"/>
              <w:rPr>
                <w:sz w:val="20"/>
                <w:szCs w:val="20"/>
              </w:rPr>
            </w:pPr>
            <w:r w:rsidRPr="002F7CA1">
              <w:rPr>
                <w:sz w:val="20"/>
                <w:szCs w:val="20"/>
              </w:rPr>
              <w:t>512.3</w:t>
            </w:r>
          </w:p>
        </w:tc>
        <w:tc>
          <w:tcPr>
            <w:tcW w:w="1937" w:type="dxa"/>
            <w:tcBorders>
              <w:top w:val="nil"/>
              <w:left w:val="nil"/>
              <w:bottom w:val="single" w:sz="4" w:space="0" w:color="auto"/>
              <w:right w:val="single" w:sz="4" w:space="0" w:color="auto"/>
            </w:tcBorders>
            <w:noWrap/>
            <w:vAlign w:val="center"/>
            <w:hideMark/>
          </w:tcPr>
          <w:p w14:paraId="1FB39C39" w14:textId="77777777" w:rsidR="00677577" w:rsidRPr="002F7CA1" w:rsidRDefault="00677577" w:rsidP="002F7CA1">
            <w:pPr>
              <w:spacing w:line="240" w:lineRule="auto"/>
              <w:jc w:val="right"/>
              <w:rPr>
                <w:sz w:val="20"/>
                <w:szCs w:val="20"/>
              </w:rPr>
            </w:pPr>
            <w:r w:rsidRPr="002F7CA1">
              <w:rPr>
                <w:sz w:val="20"/>
                <w:szCs w:val="20"/>
              </w:rPr>
              <w:t>100.0%</w:t>
            </w:r>
          </w:p>
        </w:tc>
      </w:tr>
    </w:tbl>
    <w:p w14:paraId="3B6AFE15" w14:textId="77777777" w:rsidR="0011475D" w:rsidRDefault="00677577" w:rsidP="00677577">
      <w:pPr>
        <w:pStyle w:val="Source"/>
      </w:pPr>
      <w:r w:rsidRPr="00167CB8">
        <w:rPr>
          <w:b/>
          <w:bCs/>
        </w:rPr>
        <w:t>Source:</w:t>
      </w:r>
      <w:r w:rsidRPr="00167CB8">
        <w:t xml:space="preserve"> ABS Working Arrangements, August 2024 (Cat No 6336.0, Table 6).</w:t>
      </w:r>
    </w:p>
    <w:p w14:paraId="18C8CEA6" w14:textId="338049EB" w:rsidR="00677577" w:rsidRPr="00167CB8" w:rsidRDefault="00365C93" w:rsidP="007F380D">
      <w:pPr>
        <w:pStyle w:val="Caption"/>
      </w:pPr>
      <w:bookmarkStart w:id="799" w:name="_Ref184404256"/>
      <w:bookmarkStart w:id="800" w:name="_Toc186991807"/>
      <w:bookmarkStart w:id="801" w:name="_Toc189310858"/>
      <w:bookmarkStart w:id="802" w:name="_Toc194251456"/>
      <w:r>
        <w:t xml:space="preserve">Table </w:t>
      </w:r>
      <w:r>
        <w:fldChar w:fldCharType="begin"/>
      </w:r>
      <w:r>
        <w:instrText xml:space="preserve"> SEQ Table \* ARABIC </w:instrText>
      </w:r>
      <w:r>
        <w:fldChar w:fldCharType="separate"/>
      </w:r>
      <w:r w:rsidR="00DE5F5E">
        <w:rPr>
          <w:noProof/>
        </w:rPr>
        <w:t>32</w:t>
      </w:r>
      <w:r>
        <w:fldChar w:fldCharType="end"/>
      </w:r>
      <w:r>
        <w:t xml:space="preserve">: </w:t>
      </w:r>
      <w:bookmarkEnd w:id="799"/>
      <w:r w:rsidR="00677577" w:rsidRPr="00167CB8">
        <w:t>Fixed</w:t>
      </w:r>
      <w:r w:rsidR="003B02AF">
        <w:t xml:space="preserve"> </w:t>
      </w:r>
      <w:r w:rsidR="00677577" w:rsidRPr="00167CB8">
        <w:t>term employment, by duration of employment in main job</w:t>
      </w:r>
      <w:bookmarkEnd w:id="800"/>
      <w:bookmarkEnd w:id="801"/>
      <w:bookmarkEnd w:id="802"/>
    </w:p>
    <w:tbl>
      <w:tblPr>
        <w:tblW w:w="9238" w:type="dxa"/>
        <w:tblLook w:val="04A0" w:firstRow="1" w:lastRow="0" w:firstColumn="1" w:lastColumn="0" w:noHBand="0" w:noVBand="1"/>
      </w:tblPr>
      <w:tblGrid>
        <w:gridCol w:w="5002"/>
        <w:gridCol w:w="2300"/>
        <w:gridCol w:w="1936"/>
      </w:tblGrid>
      <w:tr w:rsidR="00677577" w:rsidRPr="00167CB8" w14:paraId="5B3D461C" w14:textId="77777777">
        <w:trPr>
          <w:trHeight w:val="181"/>
        </w:trPr>
        <w:tc>
          <w:tcPr>
            <w:tcW w:w="5002" w:type="dxa"/>
            <w:tcBorders>
              <w:top w:val="single" w:sz="4" w:space="0" w:color="auto"/>
              <w:left w:val="single" w:sz="4" w:space="0" w:color="auto"/>
              <w:bottom w:val="single" w:sz="4" w:space="0" w:color="auto"/>
              <w:right w:val="nil"/>
            </w:tcBorders>
            <w:shd w:val="clear" w:color="auto" w:fill="FFFFFF"/>
            <w:noWrap/>
            <w:vAlign w:val="bottom"/>
            <w:hideMark/>
          </w:tcPr>
          <w:p w14:paraId="6AAC84FA" w14:textId="77777777" w:rsidR="00677577" w:rsidRPr="00593185" w:rsidRDefault="00677577" w:rsidP="00593185">
            <w:pPr>
              <w:spacing w:line="240" w:lineRule="auto"/>
              <w:rPr>
                <w:b/>
                <w:bCs/>
                <w:sz w:val="20"/>
                <w:szCs w:val="20"/>
              </w:rPr>
            </w:pPr>
            <w:r w:rsidRPr="00593185">
              <w:rPr>
                <w:b/>
                <w:bCs/>
                <w:sz w:val="20"/>
                <w:szCs w:val="20"/>
              </w:rPr>
              <w:t>Duration of employment in main job</w:t>
            </w:r>
          </w:p>
        </w:tc>
        <w:tc>
          <w:tcPr>
            <w:tcW w:w="2300" w:type="dxa"/>
            <w:tcBorders>
              <w:top w:val="single" w:sz="4" w:space="0" w:color="auto"/>
              <w:left w:val="nil"/>
              <w:bottom w:val="single" w:sz="4" w:space="0" w:color="auto"/>
              <w:right w:val="nil"/>
            </w:tcBorders>
            <w:noWrap/>
            <w:vAlign w:val="center"/>
            <w:hideMark/>
          </w:tcPr>
          <w:p w14:paraId="0FB84B55" w14:textId="77777777" w:rsidR="00677577" w:rsidRDefault="00677577" w:rsidP="00593185">
            <w:pPr>
              <w:spacing w:line="240" w:lineRule="auto"/>
              <w:jc w:val="right"/>
              <w:rPr>
                <w:b/>
                <w:bCs/>
                <w:sz w:val="20"/>
                <w:szCs w:val="20"/>
              </w:rPr>
            </w:pPr>
            <w:r w:rsidRPr="00593185">
              <w:rPr>
                <w:b/>
                <w:bCs/>
                <w:sz w:val="20"/>
                <w:szCs w:val="20"/>
              </w:rPr>
              <w:t>Number fixed</w:t>
            </w:r>
            <w:r w:rsidR="003B02AF">
              <w:rPr>
                <w:b/>
                <w:bCs/>
                <w:sz w:val="20"/>
                <w:szCs w:val="20"/>
              </w:rPr>
              <w:t xml:space="preserve"> </w:t>
            </w:r>
            <w:r w:rsidRPr="00593185">
              <w:rPr>
                <w:b/>
                <w:bCs/>
                <w:sz w:val="20"/>
                <w:szCs w:val="20"/>
              </w:rPr>
              <w:t>term at August 2024</w:t>
            </w:r>
          </w:p>
          <w:p w14:paraId="77766061" w14:textId="256C76F4" w:rsidR="00F92E4D" w:rsidRPr="00593185" w:rsidRDefault="00F92E4D" w:rsidP="00593185">
            <w:pPr>
              <w:spacing w:line="240" w:lineRule="auto"/>
              <w:jc w:val="right"/>
              <w:rPr>
                <w:sz w:val="20"/>
                <w:szCs w:val="20"/>
              </w:rPr>
            </w:pPr>
            <w:r>
              <w:rPr>
                <w:b/>
                <w:bCs/>
                <w:sz w:val="20"/>
                <w:szCs w:val="20"/>
              </w:rPr>
              <w:t>(‘000)</w:t>
            </w:r>
          </w:p>
        </w:tc>
        <w:tc>
          <w:tcPr>
            <w:tcW w:w="1936" w:type="dxa"/>
            <w:tcBorders>
              <w:top w:val="single" w:sz="4" w:space="0" w:color="auto"/>
              <w:left w:val="nil"/>
              <w:bottom w:val="single" w:sz="4" w:space="0" w:color="auto"/>
              <w:right w:val="single" w:sz="4" w:space="0" w:color="auto"/>
            </w:tcBorders>
            <w:noWrap/>
            <w:vAlign w:val="center"/>
            <w:hideMark/>
          </w:tcPr>
          <w:p w14:paraId="135C6938" w14:textId="77777777" w:rsidR="00677577" w:rsidRPr="00593185" w:rsidRDefault="00677577" w:rsidP="00593185">
            <w:pPr>
              <w:spacing w:line="240" w:lineRule="auto"/>
              <w:jc w:val="right"/>
              <w:rPr>
                <w:sz w:val="20"/>
                <w:szCs w:val="20"/>
              </w:rPr>
            </w:pPr>
            <w:r w:rsidRPr="00593185">
              <w:rPr>
                <w:b/>
                <w:bCs/>
                <w:sz w:val="20"/>
                <w:szCs w:val="20"/>
              </w:rPr>
              <w:t>% (distribution)</w:t>
            </w:r>
          </w:p>
        </w:tc>
      </w:tr>
      <w:tr w:rsidR="00677577" w:rsidRPr="00167CB8" w14:paraId="29F3C5E6" w14:textId="77777777">
        <w:trPr>
          <w:trHeight w:val="181"/>
        </w:trPr>
        <w:tc>
          <w:tcPr>
            <w:tcW w:w="5002" w:type="dxa"/>
            <w:tcBorders>
              <w:top w:val="single" w:sz="4" w:space="0" w:color="auto"/>
              <w:left w:val="single" w:sz="4" w:space="0" w:color="auto"/>
              <w:bottom w:val="nil"/>
              <w:right w:val="nil"/>
            </w:tcBorders>
            <w:shd w:val="clear" w:color="auto" w:fill="FFFFFF"/>
            <w:noWrap/>
            <w:vAlign w:val="bottom"/>
            <w:hideMark/>
          </w:tcPr>
          <w:p w14:paraId="58B785EC" w14:textId="77777777" w:rsidR="00677577" w:rsidRPr="00593185" w:rsidRDefault="00677577" w:rsidP="00593185">
            <w:pPr>
              <w:spacing w:line="240" w:lineRule="auto"/>
              <w:rPr>
                <w:sz w:val="20"/>
                <w:szCs w:val="20"/>
              </w:rPr>
            </w:pPr>
            <w:r w:rsidRPr="00593185">
              <w:rPr>
                <w:sz w:val="20"/>
                <w:szCs w:val="20"/>
              </w:rPr>
              <w:t>Less than 1 year</w:t>
            </w:r>
          </w:p>
        </w:tc>
        <w:tc>
          <w:tcPr>
            <w:tcW w:w="2300" w:type="dxa"/>
            <w:tcBorders>
              <w:top w:val="single" w:sz="4" w:space="0" w:color="auto"/>
              <w:left w:val="nil"/>
              <w:bottom w:val="nil"/>
              <w:right w:val="nil"/>
            </w:tcBorders>
            <w:noWrap/>
            <w:vAlign w:val="center"/>
            <w:hideMark/>
          </w:tcPr>
          <w:p w14:paraId="1399A234" w14:textId="77777777" w:rsidR="00677577" w:rsidRPr="00593185" w:rsidRDefault="00677577" w:rsidP="00593185">
            <w:pPr>
              <w:spacing w:line="240" w:lineRule="auto"/>
              <w:jc w:val="right"/>
              <w:rPr>
                <w:sz w:val="20"/>
                <w:szCs w:val="20"/>
              </w:rPr>
            </w:pPr>
            <w:r w:rsidRPr="00593185">
              <w:rPr>
                <w:sz w:val="20"/>
                <w:szCs w:val="20"/>
              </w:rPr>
              <w:t>209.2</w:t>
            </w:r>
          </w:p>
        </w:tc>
        <w:tc>
          <w:tcPr>
            <w:tcW w:w="1936" w:type="dxa"/>
            <w:tcBorders>
              <w:top w:val="single" w:sz="4" w:space="0" w:color="auto"/>
              <w:left w:val="nil"/>
              <w:bottom w:val="nil"/>
              <w:right w:val="single" w:sz="4" w:space="0" w:color="auto"/>
            </w:tcBorders>
            <w:noWrap/>
            <w:vAlign w:val="center"/>
            <w:hideMark/>
          </w:tcPr>
          <w:p w14:paraId="07F054D9" w14:textId="77777777" w:rsidR="00677577" w:rsidRPr="00593185" w:rsidRDefault="00677577" w:rsidP="00593185">
            <w:pPr>
              <w:spacing w:line="240" w:lineRule="auto"/>
              <w:jc w:val="right"/>
              <w:rPr>
                <w:sz w:val="20"/>
                <w:szCs w:val="20"/>
              </w:rPr>
            </w:pPr>
            <w:r w:rsidRPr="00593185">
              <w:rPr>
                <w:sz w:val="20"/>
                <w:szCs w:val="20"/>
              </w:rPr>
              <w:t>40.8%</w:t>
            </w:r>
          </w:p>
        </w:tc>
      </w:tr>
      <w:tr w:rsidR="00677577" w:rsidRPr="00167CB8" w14:paraId="5AE0836D" w14:textId="77777777">
        <w:trPr>
          <w:trHeight w:val="181"/>
        </w:trPr>
        <w:tc>
          <w:tcPr>
            <w:tcW w:w="5002" w:type="dxa"/>
            <w:tcBorders>
              <w:top w:val="nil"/>
              <w:left w:val="single" w:sz="4" w:space="0" w:color="auto"/>
              <w:bottom w:val="nil"/>
              <w:right w:val="nil"/>
            </w:tcBorders>
            <w:shd w:val="clear" w:color="auto" w:fill="FFFFFF"/>
            <w:noWrap/>
            <w:vAlign w:val="bottom"/>
            <w:hideMark/>
          </w:tcPr>
          <w:p w14:paraId="07FBE3D2" w14:textId="77777777" w:rsidR="00677577" w:rsidRPr="00593185" w:rsidRDefault="00677577" w:rsidP="00593185">
            <w:pPr>
              <w:spacing w:line="240" w:lineRule="auto"/>
              <w:rPr>
                <w:sz w:val="20"/>
                <w:szCs w:val="20"/>
              </w:rPr>
            </w:pPr>
            <w:r w:rsidRPr="00593185">
              <w:rPr>
                <w:sz w:val="20"/>
                <w:szCs w:val="20"/>
              </w:rPr>
              <w:t>1 year and over</w:t>
            </w:r>
          </w:p>
        </w:tc>
        <w:tc>
          <w:tcPr>
            <w:tcW w:w="2300" w:type="dxa"/>
            <w:noWrap/>
            <w:vAlign w:val="center"/>
            <w:hideMark/>
          </w:tcPr>
          <w:p w14:paraId="655FABE7" w14:textId="77777777" w:rsidR="00677577" w:rsidRPr="00593185" w:rsidRDefault="00677577" w:rsidP="00593185">
            <w:pPr>
              <w:spacing w:line="240" w:lineRule="auto"/>
              <w:jc w:val="right"/>
              <w:rPr>
                <w:sz w:val="20"/>
                <w:szCs w:val="20"/>
              </w:rPr>
            </w:pPr>
            <w:r w:rsidRPr="00593185">
              <w:rPr>
                <w:sz w:val="20"/>
                <w:szCs w:val="20"/>
              </w:rPr>
              <w:t>303.1</w:t>
            </w:r>
          </w:p>
        </w:tc>
        <w:tc>
          <w:tcPr>
            <w:tcW w:w="1936" w:type="dxa"/>
            <w:tcBorders>
              <w:top w:val="nil"/>
              <w:left w:val="nil"/>
              <w:bottom w:val="nil"/>
              <w:right w:val="single" w:sz="4" w:space="0" w:color="auto"/>
            </w:tcBorders>
            <w:noWrap/>
            <w:vAlign w:val="center"/>
            <w:hideMark/>
          </w:tcPr>
          <w:p w14:paraId="2252BB19" w14:textId="77777777" w:rsidR="00677577" w:rsidRPr="00593185" w:rsidRDefault="00677577" w:rsidP="00593185">
            <w:pPr>
              <w:spacing w:line="240" w:lineRule="auto"/>
              <w:jc w:val="right"/>
              <w:rPr>
                <w:sz w:val="20"/>
                <w:szCs w:val="20"/>
              </w:rPr>
            </w:pPr>
            <w:r w:rsidRPr="00593185">
              <w:rPr>
                <w:sz w:val="20"/>
                <w:szCs w:val="20"/>
              </w:rPr>
              <w:t>59.2%</w:t>
            </w:r>
          </w:p>
        </w:tc>
      </w:tr>
      <w:tr w:rsidR="00677577" w:rsidRPr="00167CB8" w14:paraId="2E23A01A" w14:textId="77777777">
        <w:trPr>
          <w:trHeight w:val="181"/>
        </w:trPr>
        <w:tc>
          <w:tcPr>
            <w:tcW w:w="5002" w:type="dxa"/>
            <w:tcBorders>
              <w:top w:val="nil"/>
              <w:left w:val="single" w:sz="4" w:space="0" w:color="auto"/>
              <w:bottom w:val="nil"/>
              <w:right w:val="nil"/>
            </w:tcBorders>
            <w:shd w:val="clear" w:color="auto" w:fill="FFFFFF"/>
            <w:noWrap/>
            <w:vAlign w:val="bottom"/>
            <w:hideMark/>
          </w:tcPr>
          <w:p w14:paraId="721EC22A" w14:textId="75B91F05" w:rsidR="00677577" w:rsidRPr="00B430D5" w:rsidRDefault="00677577" w:rsidP="00835775">
            <w:pPr>
              <w:spacing w:line="240" w:lineRule="auto"/>
              <w:rPr>
                <w:sz w:val="20"/>
                <w:szCs w:val="20"/>
              </w:rPr>
            </w:pPr>
            <w:r w:rsidRPr="00835775">
              <w:rPr>
                <w:sz w:val="20"/>
                <w:szCs w:val="20"/>
              </w:rPr>
              <w:t>1</w:t>
            </w:r>
            <w:r w:rsidRPr="00835775">
              <w:rPr>
                <w:rFonts w:ascii="Symbol" w:eastAsia="Symbol" w:hAnsi="Symbol" w:cs="Symbol"/>
                <w:sz w:val="20"/>
                <w:szCs w:val="20"/>
              </w:rPr>
              <w:sym w:font="Symbol" w:char="F02D"/>
            </w:r>
            <w:r w:rsidRPr="00B430D5">
              <w:rPr>
                <w:sz w:val="20"/>
                <w:szCs w:val="20"/>
              </w:rPr>
              <w:t>2 years</w:t>
            </w:r>
          </w:p>
        </w:tc>
        <w:tc>
          <w:tcPr>
            <w:tcW w:w="2300" w:type="dxa"/>
            <w:noWrap/>
            <w:vAlign w:val="center"/>
            <w:hideMark/>
          </w:tcPr>
          <w:p w14:paraId="210BAFBC" w14:textId="77777777" w:rsidR="00677577" w:rsidRPr="00B430D5" w:rsidRDefault="00677577" w:rsidP="00B430D5">
            <w:pPr>
              <w:spacing w:line="240" w:lineRule="auto"/>
              <w:jc w:val="right"/>
              <w:rPr>
                <w:sz w:val="20"/>
                <w:szCs w:val="20"/>
              </w:rPr>
            </w:pPr>
            <w:r w:rsidRPr="00B430D5">
              <w:rPr>
                <w:sz w:val="20"/>
                <w:szCs w:val="20"/>
              </w:rPr>
              <w:t>141.5</w:t>
            </w:r>
          </w:p>
        </w:tc>
        <w:tc>
          <w:tcPr>
            <w:tcW w:w="1936" w:type="dxa"/>
            <w:tcBorders>
              <w:top w:val="nil"/>
              <w:left w:val="nil"/>
              <w:bottom w:val="nil"/>
              <w:right w:val="single" w:sz="4" w:space="0" w:color="auto"/>
            </w:tcBorders>
            <w:noWrap/>
            <w:vAlign w:val="center"/>
            <w:hideMark/>
          </w:tcPr>
          <w:p w14:paraId="5861771E" w14:textId="77777777" w:rsidR="00677577" w:rsidRPr="00B430D5" w:rsidRDefault="00677577" w:rsidP="00B430D5">
            <w:pPr>
              <w:spacing w:line="240" w:lineRule="auto"/>
              <w:jc w:val="right"/>
              <w:rPr>
                <w:sz w:val="20"/>
                <w:szCs w:val="20"/>
              </w:rPr>
            </w:pPr>
            <w:r w:rsidRPr="00B430D5">
              <w:rPr>
                <w:sz w:val="20"/>
                <w:szCs w:val="20"/>
              </w:rPr>
              <w:t>27.6%</w:t>
            </w:r>
          </w:p>
        </w:tc>
      </w:tr>
      <w:tr w:rsidR="00677577" w:rsidRPr="00167CB8" w14:paraId="6F9BC6E1" w14:textId="77777777">
        <w:trPr>
          <w:trHeight w:val="181"/>
        </w:trPr>
        <w:tc>
          <w:tcPr>
            <w:tcW w:w="5002" w:type="dxa"/>
            <w:tcBorders>
              <w:top w:val="nil"/>
              <w:left w:val="single" w:sz="4" w:space="0" w:color="auto"/>
              <w:bottom w:val="nil"/>
              <w:right w:val="nil"/>
            </w:tcBorders>
            <w:shd w:val="clear" w:color="auto" w:fill="FFFFFF"/>
            <w:noWrap/>
            <w:vAlign w:val="bottom"/>
            <w:hideMark/>
          </w:tcPr>
          <w:p w14:paraId="27C1D5FF" w14:textId="7C3E02F9" w:rsidR="00677577" w:rsidRPr="00B430D5" w:rsidRDefault="00677577" w:rsidP="00B430D5">
            <w:pPr>
              <w:spacing w:line="240" w:lineRule="auto"/>
              <w:rPr>
                <w:sz w:val="20"/>
                <w:szCs w:val="20"/>
              </w:rPr>
            </w:pPr>
            <w:r w:rsidRPr="00B430D5">
              <w:rPr>
                <w:sz w:val="20"/>
                <w:szCs w:val="20"/>
              </w:rPr>
              <w:t>3</w:t>
            </w:r>
            <w:r w:rsidRPr="00B430D5">
              <w:rPr>
                <w:rFonts w:ascii="Symbol" w:eastAsia="Symbol" w:hAnsi="Symbol" w:cs="Symbol"/>
                <w:sz w:val="20"/>
                <w:szCs w:val="20"/>
              </w:rPr>
              <w:sym w:font="Symbol" w:char="F02D"/>
            </w:r>
            <w:r w:rsidRPr="00B430D5">
              <w:rPr>
                <w:sz w:val="20"/>
                <w:szCs w:val="20"/>
              </w:rPr>
              <w:t>4 years</w:t>
            </w:r>
          </w:p>
        </w:tc>
        <w:tc>
          <w:tcPr>
            <w:tcW w:w="2300" w:type="dxa"/>
            <w:noWrap/>
            <w:vAlign w:val="center"/>
            <w:hideMark/>
          </w:tcPr>
          <w:p w14:paraId="523B553A" w14:textId="77777777" w:rsidR="00677577" w:rsidRPr="00B430D5" w:rsidRDefault="00677577" w:rsidP="00B430D5">
            <w:pPr>
              <w:spacing w:line="240" w:lineRule="auto"/>
              <w:jc w:val="right"/>
              <w:rPr>
                <w:sz w:val="20"/>
                <w:szCs w:val="20"/>
              </w:rPr>
            </w:pPr>
            <w:r w:rsidRPr="00B430D5">
              <w:rPr>
                <w:sz w:val="20"/>
                <w:szCs w:val="20"/>
              </w:rPr>
              <w:t>62.2</w:t>
            </w:r>
          </w:p>
        </w:tc>
        <w:tc>
          <w:tcPr>
            <w:tcW w:w="1936" w:type="dxa"/>
            <w:tcBorders>
              <w:top w:val="nil"/>
              <w:left w:val="nil"/>
              <w:bottom w:val="nil"/>
              <w:right w:val="single" w:sz="4" w:space="0" w:color="auto"/>
            </w:tcBorders>
            <w:noWrap/>
            <w:vAlign w:val="center"/>
            <w:hideMark/>
          </w:tcPr>
          <w:p w14:paraId="494177BF" w14:textId="77777777" w:rsidR="00677577" w:rsidRPr="00B430D5" w:rsidRDefault="00677577" w:rsidP="00B430D5">
            <w:pPr>
              <w:spacing w:line="240" w:lineRule="auto"/>
              <w:jc w:val="right"/>
              <w:rPr>
                <w:sz w:val="20"/>
                <w:szCs w:val="20"/>
              </w:rPr>
            </w:pPr>
            <w:r w:rsidRPr="00B430D5">
              <w:rPr>
                <w:sz w:val="20"/>
                <w:szCs w:val="20"/>
              </w:rPr>
              <w:t>12.1%</w:t>
            </w:r>
          </w:p>
        </w:tc>
      </w:tr>
      <w:tr w:rsidR="00677577" w:rsidRPr="00167CB8" w14:paraId="58EDACD2" w14:textId="77777777">
        <w:trPr>
          <w:trHeight w:val="181"/>
        </w:trPr>
        <w:tc>
          <w:tcPr>
            <w:tcW w:w="5002" w:type="dxa"/>
            <w:tcBorders>
              <w:top w:val="nil"/>
              <w:left w:val="single" w:sz="4" w:space="0" w:color="auto"/>
              <w:bottom w:val="nil"/>
              <w:right w:val="nil"/>
            </w:tcBorders>
            <w:shd w:val="clear" w:color="auto" w:fill="FFFFFF"/>
            <w:noWrap/>
            <w:vAlign w:val="bottom"/>
            <w:hideMark/>
          </w:tcPr>
          <w:p w14:paraId="4629A68A" w14:textId="5AC3952F" w:rsidR="00677577" w:rsidRPr="00B430D5" w:rsidRDefault="00677577" w:rsidP="00B430D5">
            <w:pPr>
              <w:spacing w:line="240" w:lineRule="auto"/>
              <w:rPr>
                <w:sz w:val="20"/>
                <w:szCs w:val="20"/>
              </w:rPr>
            </w:pPr>
            <w:r w:rsidRPr="00B430D5">
              <w:rPr>
                <w:sz w:val="20"/>
                <w:szCs w:val="20"/>
              </w:rPr>
              <w:t>5</w:t>
            </w:r>
            <w:r w:rsidRPr="00B430D5">
              <w:rPr>
                <w:rFonts w:ascii="Symbol" w:eastAsia="Symbol" w:hAnsi="Symbol" w:cs="Symbol"/>
                <w:sz w:val="20"/>
                <w:szCs w:val="20"/>
              </w:rPr>
              <w:sym w:font="Symbol" w:char="F02D"/>
            </w:r>
            <w:r w:rsidRPr="00B430D5">
              <w:rPr>
                <w:sz w:val="20"/>
                <w:szCs w:val="20"/>
              </w:rPr>
              <w:t>9 years</w:t>
            </w:r>
          </w:p>
        </w:tc>
        <w:tc>
          <w:tcPr>
            <w:tcW w:w="2300" w:type="dxa"/>
            <w:noWrap/>
            <w:vAlign w:val="center"/>
            <w:hideMark/>
          </w:tcPr>
          <w:p w14:paraId="46E6DF43" w14:textId="77777777" w:rsidR="00677577" w:rsidRPr="00B430D5" w:rsidRDefault="00677577" w:rsidP="00B430D5">
            <w:pPr>
              <w:spacing w:line="240" w:lineRule="auto"/>
              <w:jc w:val="right"/>
              <w:rPr>
                <w:sz w:val="20"/>
                <w:szCs w:val="20"/>
              </w:rPr>
            </w:pPr>
            <w:r w:rsidRPr="00B430D5">
              <w:rPr>
                <w:sz w:val="20"/>
                <w:szCs w:val="20"/>
              </w:rPr>
              <w:t>52.6</w:t>
            </w:r>
          </w:p>
        </w:tc>
        <w:tc>
          <w:tcPr>
            <w:tcW w:w="1936" w:type="dxa"/>
            <w:tcBorders>
              <w:top w:val="nil"/>
              <w:left w:val="nil"/>
              <w:bottom w:val="nil"/>
              <w:right w:val="single" w:sz="4" w:space="0" w:color="auto"/>
            </w:tcBorders>
            <w:noWrap/>
            <w:vAlign w:val="center"/>
            <w:hideMark/>
          </w:tcPr>
          <w:p w14:paraId="220FF318" w14:textId="77777777" w:rsidR="00677577" w:rsidRPr="00B430D5" w:rsidRDefault="00677577" w:rsidP="00B430D5">
            <w:pPr>
              <w:spacing w:line="240" w:lineRule="auto"/>
              <w:jc w:val="right"/>
              <w:rPr>
                <w:sz w:val="20"/>
                <w:szCs w:val="20"/>
              </w:rPr>
            </w:pPr>
            <w:r w:rsidRPr="00B430D5">
              <w:rPr>
                <w:sz w:val="20"/>
                <w:szCs w:val="20"/>
              </w:rPr>
              <w:t>10.3%</w:t>
            </w:r>
          </w:p>
        </w:tc>
      </w:tr>
      <w:tr w:rsidR="00677577" w:rsidRPr="00167CB8" w14:paraId="5AA250B7" w14:textId="77777777">
        <w:trPr>
          <w:trHeight w:val="181"/>
        </w:trPr>
        <w:tc>
          <w:tcPr>
            <w:tcW w:w="5002" w:type="dxa"/>
            <w:tcBorders>
              <w:top w:val="nil"/>
              <w:left w:val="single" w:sz="4" w:space="0" w:color="auto"/>
              <w:bottom w:val="single" w:sz="4" w:space="0" w:color="auto"/>
              <w:right w:val="nil"/>
            </w:tcBorders>
            <w:shd w:val="clear" w:color="auto" w:fill="FFFFFF"/>
            <w:noWrap/>
            <w:vAlign w:val="bottom"/>
            <w:hideMark/>
          </w:tcPr>
          <w:p w14:paraId="310BCA9C" w14:textId="0B5476E0" w:rsidR="00677577" w:rsidRPr="00B430D5" w:rsidRDefault="00677577" w:rsidP="00B430D5">
            <w:pPr>
              <w:spacing w:line="240" w:lineRule="auto"/>
              <w:rPr>
                <w:sz w:val="20"/>
                <w:szCs w:val="20"/>
              </w:rPr>
            </w:pPr>
            <w:r w:rsidRPr="00B430D5">
              <w:rPr>
                <w:sz w:val="20"/>
                <w:szCs w:val="20"/>
              </w:rPr>
              <w:t>10 years and over</w:t>
            </w:r>
          </w:p>
        </w:tc>
        <w:tc>
          <w:tcPr>
            <w:tcW w:w="2300" w:type="dxa"/>
            <w:tcBorders>
              <w:top w:val="nil"/>
              <w:left w:val="nil"/>
              <w:bottom w:val="single" w:sz="4" w:space="0" w:color="auto"/>
              <w:right w:val="nil"/>
            </w:tcBorders>
            <w:noWrap/>
            <w:vAlign w:val="center"/>
            <w:hideMark/>
          </w:tcPr>
          <w:p w14:paraId="2C687FBD" w14:textId="77777777" w:rsidR="00677577" w:rsidRPr="00B430D5" w:rsidRDefault="00677577" w:rsidP="00B430D5">
            <w:pPr>
              <w:spacing w:line="240" w:lineRule="auto"/>
              <w:jc w:val="right"/>
              <w:rPr>
                <w:sz w:val="20"/>
                <w:szCs w:val="20"/>
              </w:rPr>
            </w:pPr>
            <w:r w:rsidRPr="00B430D5">
              <w:rPr>
                <w:sz w:val="20"/>
                <w:szCs w:val="20"/>
              </w:rPr>
              <w:t>46.8</w:t>
            </w:r>
          </w:p>
        </w:tc>
        <w:tc>
          <w:tcPr>
            <w:tcW w:w="1936" w:type="dxa"/>
            <w:tcBorders>
              <w:top w:val="nil"/>
              <w:left w:val="nil"/>
              <w:bottom w:val="single" w:sz="4" w:space="0" w:color="auto"/>
              <w:right w:val="single" w:sz="4" w:space="0" w:color="auto"/>
            </w:tcBorders>
            <w:noWrap/>
            <w:vAlign w:val="center"/>
            <w:hideMark/>
          </w:tcPr>
          <w:p w14:paraId="3FF950EC" w14:textId="77777777" w:rsidR="00677577" w:rsidRPr="00B430D5" w:rsidRDefault="00677577" w:rsidP="00B430D5">
            <w:pPr>
              <w:spacing w:line="240" w:lineRule="auto"/>
              <w:jc w:val="right"/>
              <w:rPr>
                <w:sz w:val="20"/>
                <w:szCs w:val="20"/>
              </w:rPr>
            </w:pPr>
            <w:r w:rsidRPr="00B430D5">
              <w:rPr>
                <w:sz w:val="20"/>
                <w:szCs w:val="20"/>
              </w:rPr>
              <w:t>9.1%</w:t>
            </w:r>
          </w:p>
        </w:tc>
      </w:tr>
      <w:tr w:rsidR="00677577" w:rsidRPr="00167CB8" w14:paraId="162385BB" w14:textId="77777777">
        <w:trPr>
          <w:trHeight w:val="181"/>
        </w:trPr>
        <w:tc>
          <w:tcPr>
            <w:tcW w:w="5002" w:type="dxa"/>
            <w:tcBorders>
              <w:top w:val="nil"/>
              <w:left w:val="single" w:sz="4" w:space="0" w:color="auto"/>
              <w:bottom w:val="single" w:sz="4" w:space="0" w:color="auto"/>
              <w:right w:val="nil"/>
            </w:tcBorders>
            <w:shd w:val="clear" w:color="auto" w:fill="FFFFFF"/>
            <w:noWrap/>
            <w:vAlign w:val="bottom"/>
            <w:hideMark/>
          </w:tcPr>
          <w:p w14:paraId="1FFF544C" w14:textId="77777777" w:rsidR="00677577" w:rsidRPr="00B430D5" w:rsidRDefault="00677577" w:rsidP="00B430D5">
            <w:pPr>
              <w:spacing w:line="240" w:lineRule="auto"/>
              <w:rPr>
                <w:sz w:val="20"/>
                <w:szCs w:val="20"/>
              </w:rPr>
            </w:pPr>
          </w:p>
        </w:tc>
        <w:tc>
          <w:tcPr>
            <w:tcW w:w="2300" w:type="dxa"/>
            <w:tcBorders>
              <w:top w:val="nil"/>
              <w:left w:val="nil"/>
              <w:bottom w:val="single" w:sz="4" w:space="0" w:color="auto"/>
              <w:right w:val="nil"/>
            </w:tcBorders>
            <w:noWrap/>
            <w:vAlign w:val="center"/>
            <w:hideMark/>
          </w:tcPr>
          <w:p w14:paraId="2151BCF4" w14:textId="77777777" w:rsidR="00677577" w:rsidRPr="00B430D5" w:rsidRDefault="00677577" w:rsidP="00B430D5">
            <w:pPr>
              <w:spacing w:line="240" w:lineRule="auto"/>
              <w:jc w:val="right"/>
              <w:rPr>
                <w:sz w:val="20"/>
                <w:szCs w:val="20"/>
              </w:rPr>
            </w:pPr>
            <w:r w:rsidRPr="00B430D5">
              <w:rPr>
                <w:sz w:val="20"/>
                <w:szCs w:val="20"/>
              </w:rPr>
              <w:t>512.3</w:t>
            </w:r>
          </w:p>
        </w:tc>
        <w:tc>
          <w:tcPr>
            <w:tcW w:w="1936" w:type="dxa"/>
            <w:tcBorders>
              <w:top w:val="nil"/>
              <w:left w:val="nil"/>
              <w:bottom w:val="single" w:sz="4" w:space="0" w:color="auto"/>
              <w:right w:val="single" w:sz="4" w:space="0" w:color="auto"/>
            </w:tcBorders>
            <w:noWrap/>
            <w:vAlign w:val="center"/>
            <w:hideMark/>
          </w:tcPr>
          <w:p w14:paraId="57CAB235" w14:textId="77777777" w:rsidR="00677577" w:rsidRPr="00B430D5" w:rsidRDefault="00677577" w:rsidP="00B430D5">
            <w:pPr>
              <w:spacing w:line="240" w:lineRule="auto"/>
              <w:jc w:val="right"/>
              <w:rPr>
                <w:sz w:val="20"/>
                <w:szCs w:val="20"/>
              </w:rPr>
            </w:pPr>
            <w:r w:rsidRPr="00B430D5">
              <w:rPr>
                <w:sz w:val="20"/>
                <w:szCs w:val="20"/>
              </w:rPr>
              <w:t>100.0%</w:t>
            </w:r>
          </w:p>
        </w:tc>
      </w:tr>
    </w:tbl>
    <w:p w14:paraId="754D29E7" w14:textId="77777777" w:rsidR="0011475D" w:rsidRDefault="00677577" w:rsidP="00677577">
      <w:pPr>
        <w:pStyle w:val="Source"/>
      </w:pPr>
      <w:r w:rsidRPr="00167CB8">
        <w:rPr>
          <w:b/>
          <w:bCs/>
        </w:rPr>
        <w:t>Source:</w:t>
      </w:r>
      <w:r w:rsidRPr="00167CB8">
        <w:t xml:space="preserve"> ABS Working Arrangements, August 2024 (Cat No 6336.0, Table 6).</w:t>
      </w:r>
    </w:p>
    <w:p w14:paraId="774ED228" w14:textId="152BC592" w:rsidR="00677577" w:rsidRPr="00167CB8" w:rsidRDefault="00365C93" w:rsidP="00365C93">
      <w:pPr>
        <w:pStyle w:val="Caption"/>
      </w:pPr>
      <w:bookmarkStart w:id="803" w:name="_Ref184404272"/>
      <w:bookmarkStart w:id="804" w:name="_Toc186991808"/>
      <w:bookmarkStart w:id="805" w:name="_Toc189310859"/>
      <w:bookmarkStart w:id="806" w:name="_Toc194251457"/>
      <w:r>
        <w:t xml:space="preserve">Table </w:t>
      </w:r>
      <w:r>
        <w:fldChar w:fldCharType="begin"/>
      </w:r>
      <w:r>
        <w:instrText xml:space="preserve"> SEQ Table \* ARABIC </w:instrText>
      </w:r>
      <w:r>
        <w:fldChar w:fldCharType="separate"/>
      </w:r>
      <w:r w:rsidR="00DE5F5E">
        <w:rPr>
          <w:noProof/>
        </w:rPr>
        <w:t>33</w:t>
      </w:r>
      <w:r>
        <w:fldChar w:fldCharType="end"/>
      </w:r>
      <w:r>
        <w:t xml:space="preserve">: </w:t>
      </w:r>
      <w:bookmarkEnd w:id="803"/>
      <w:r w:rsidR="00677577" w:rsidRPr="00167CB8">
        <w:t>Fixed</w:t>
      </w:r>
      <w:r w:rsidR="00C16E22">
        <w:t xml:space="preserve"> </w:t>
      </w:r>
      <w:r w:rsidR="00677577" w:rsidRPr="00167CB8">
        <w:t>term employment, by expectation of future employment in main job</w:t>
      </w:r>
      <w:bookmarkEnd w:id="804"/>
      <w:bookmarkEnd w:id="805"/>
      <w:bookmarkEnd w:id="806"/>
    </w:p>
    <w:tbl>
      <w:tblPr>
        <w:tblW w:w="9128" w:type="dxa"/>
        <w:tblLook w:val="04A0" w:firstRow="1" w:lastRow="0" w:firstColumn="1" w:lastColumn="0" w:noHBand="0" w:noVBand="1"/>
      </w:tblPr>
      <w:tblGrid>
        <w:gridCol w:w="5003"/>
        <w:gridCol w:w="2267"/>
        <w:gridCol w:w="1858"/>
      </w:tblGrid>
      <w:tr w:rsidR="00677577" w:rsidRPr="00167CB8" w14:paraId="7AC0D073" w14:textId="77777777">
        <w:trPr>
          <w:trHeight w:val="263"/>
        </w:trPr>
        <w:tc>
          <w:tcPr>
            <w:tcW w:w="5003" w:type="dxa"/>
            <w:tcBorders>
              <w:top w:val="single" w:sz="4" w:space="0" w:color="auto"/>
              <w:left w:val="single" w:sz="4" w:space="0" w:color="auto"/>
              <w:bottom w:val="single" w:sz="4" w:space="0" w:color="auto"/>
              <w:right w:val="nil"/>
            </w:tcBorders>
            <w:shd w:val="clear" w:color="auto" w:fill="FFFFFF"/>
            <w:noWrap/>
            <w:vAlign w:val="bottom"/>
            <w:hideMark/>
          </w:tcPr>
          <w:p w14:paraId="25E13315" w14:textId="77777777" w:rsidR="00677577" w:rsidRPr="00B430D5" w:rsidRDefault="00677577" w:rsidP="00B430D5">
            <w:pPr>
              <w:spacing w:line="240" w:lineRule="auto"/>
              <w:rPr>
                <w:b/>
                <w:bCs/>
                <w:sz w:val="20"/>
                <w:szCs w:val="20"/>
              </w:rPr>
            </w:pPr>
            <w:r w:rsidRPr="00B430D5">
              <w:rPr>
                <w:b/>
                <w:bCs/>
                <w:sz w:val="20"/>
                <w:szCs w:val="20"/>
              </w:rPr>
              <w:t>Expectation of future employment in main job</w:t>
            </w:r>
          </w:p>
        </w:tc>
        <w:tc>
          <w:tcPr>
            <w:tcW w:w="2267" w:type="dxa"/>
            <w:tcBorders>
              <w:top w:val="single" w:sz="4" w:space="0" w:color="auto"/>
              <w:left w:val="nil"/>
              <w:bottom w:val="single" w:sz="4" w:space="0" w:color="auto"/>
              <w:right w:val="nil"/>
            </w:tcBorders>
            <w:noWrap/>
            <w:vAlign w:val="center"/>
            <w:hideMark/>
          </w:tcPr>
          <w:p w14:paraId="6DC888DA" w14:textId="77777777" w:rsidR="00677577" w:rsidRDefault="00677577" w:rsidP="00B430D5">
            <w:pPr>
              <w:spacing w:line="240" w:lineRule="auto"/>
              <w:jc w:val="right"/>
              <w:rPr>
                <w:b/>
                <w:bCs/>
                <w:sz w:val="20"/>
                <w:szCs w:val="20"/>
              </w:rPr>
            </w:pPr>
            <w:r w:rsidRPr="00B430D5">
              <w:rPr>
                <w:b/>
                <w:bCs/>
                <w:sz w:val="20"/>
                <w:szCs w:val="20"/>
              </w:rPr>
              <w:t>Number fixed</w:t>
            </w:r>
            <w:r w:rsidR="003B02AF">
              <w:rPr>
                <w:b/>
                <w:bCs/>
                <w:sz w:val="20"/>
                <w:szCs w:val="20"/>
              </w:rPr>
              <w:t xml:space="preserve"> </w:t>
            </w:r>
            <w:r w:rsidRPr="00B430D5">
              <w:rPr>
                <w:b/>
                <w:bCs/>
                <w:sz w:val="20"/>
                <w:szCs w:val="20"/>
              </w:rPr>
              <w:t>term at August 2024</w:t>
            </w:r>
          </w:p>
          <w:p w14:paraId="4B716B7E" w14:textId="0AE5BE1F" w:rsidR="00F92E4D" w:rsidRPr="00B430D5" w:rsidRDefault="00F92E4D" w:rsidP="00B430D5">
            <w:pPr>
              <w:spacing w:line="240" w:lineRule="auto"/>
              <w:jc w:val="right"/>
              <w:rPr>
                <w:b/>
                <w:bCs/>
                <w:sz w:val="20"/>
                <w:szCs w:val="20"/>
              </w:rPr>
            </w:pPr>
            <w:r>
              <w:rPr>
                <w:b/>
                <w:bCs/>
                <w:sz w:val="20"/>
                <w:szCs w:val="20"/>
              </w:rPr>
              <w:t>‘(000)</w:t>
            </w:r>
          </w:p>
        </w:tc>
        <w:tc>
          <w:tcPr>
            <w:tcW w:w="1858" w:type="dxa"/>
            <w:tcBorders>
              <w:top w:val="single" w:sz="4" w:space="0" w:color="auto"/>
              <w:left w:val="nil"/>
              <w:bottom w:val="single" w:sz="4" w:space="0" w:color="auto"/>
              <w:right w:val="single" w:sz="4" w:space="0" w:color="auto"/>
            </w:tcBorders>
            <w:noWrap/>
            <w:vAlign w:val="center"/>
            <w:hideMark/>
          </w:tcPr>
          <w:p w14:paraId="5935A9D2" w14:textId="77777777" w:rsidR="00677577" w:rsidRPr="00B430D5" w:rsidRDefault="00677577" w:rsidP="00B430D5">
            <w:pPr>
              <w:spacing w:line="240" w:lineRule="auto"/>
              <w:jc w:val="right"/>
              <w:rPr>
                <w:sz w:val="20"/>
                <w:szCs w:val="20"/>
              </w:rPr>
            </w:pPr>
            <w:r w:rsidRPr="00B430D5">
              <w:rPr>
                <w:b/>
                <w:bCs/>
                <w:sz w:val="20"/>
                <w:szCs w:val="20"/>
              </w:rPr>
              <w:t>% (distribution)</w:t>
            </w:r>
          </w:p>
        </w:tc>
      </w:tr>
      <w:tr w:rsidR="00677577" w:rsidRPr="00167CB8" w14:paraId="2E54725C" w14:textId="77777777">
        <w:trPr>
          <w:trHeight w:val="263"/>
        </w:trPr>
        <w:tc>
          <w:tcPr>
            <w:tcW w:w="5003" w:type="dxa"/>
            <w:tcBorders>
              <w:top w:val="single" w:sz="4" w:space="0" w:color="auto"/>
              <w:left w:val="single" w:sz="4" w:space="0" w:color="auto"/>
              <w:bottom w:val="nil"/>
              <w:right w:val="nil"/>
            </w:tcBorders>
            <w:shd w:val="clear" w:color="auto" w:fill="FFFFFF"/>
            <w:noWrap/>
            <w:vAlign w:val="bottom"/>
            <w:hideMark/>
          </w:tcPr>
          <w:p w14:paraId="5209D2F2" w14:textId="77777777" w:rsidR="00677577" w:rsidRPr="00B430D5" w:rsidRDefault="00677577" w:rsidP="00B430D5">
            <w:pPr>
              <w:spacing w:line="240" w:lineRule="auto"/>
              <w:rPr>
                <w:sz w:val="20"/>
                <w:szCs w:val="20"/>
              </w:rPr>
            </w:pPr>
            <w:r w:rsidRPr="00B430D5">
              <w:rPr>
                <w:sz w:val="20"/>
                <w:szCs w:val="20"/>
              </w:rPr>
              <w:t>Expects to remain in main job for next 12 months</w:t>
            </w:r>
          </w:p>
        </w:tc>
        <w:tc>
          <w:tcPr>
            <w:tcW w:w="2267" w:type="dxa"/>
            <w:tcBorders>
              <w:top w:val="single" w:sz="4" w:space="0" w:color="auto"/>
              <w:left w:val="nil"/>
              <w:bottom w:val="nil"/>
              <w:right w:val="nil"/>
            </w:tcBorders>
            <w:noWrap/>
            <w:vAlign w:val="center"/>
            <w:hideMark/>
          </w:tcPr>
          <w:p w14:paraId="5DEE81D4" w14:textId="77777777" w:rsidR="00677577" w:rsidRPr="00B430D5" w:rsidRDefault="00677577" w:rsidP="00B430D5">
            <w:pPr>
              <w:spacing w:line="240" w:lineRule="auto"/>
              <w:jc w:val="right"/>
              <w:rPr>
                <w:sz w:val="20"/>
                <w:szCs w:val="20"/>
              </w:rPr>
            </w:pPr>
            <w:r w:rsidRPr="00B430D5">
              <w:rPr>
                <w:sz w:val="20"/>
                <w:szCs w:val="20"/>
              </w:rPr>
              <w:t>383.2</w:t>
            </w:r>
          </w:p>
        </w:tc>
        <w:tc>
          <w:tcPr>
            <w:tcW w:w="1858" w:type="dxa"/>
            <w:tcBorders>
              <w:top w:val="single" w:sz="4" w:space="0" w:color="auto"/>
              <w:left w:val="nil"/>
              <w:bottom w:val="nil"/>
              <w:right w:val="single" w:sz="4" w:space="0" w:color="auto"/>
            </w:tcBorders>
            <w:noWrap/>
            <w:vAlign w:val="center"/>
            <w:hideMark/>
          </w:tcPr>
          <w:p w14:paraId="21F77BC8" w14:textId="77777777" w:rsidR="00677577" w:rsidRPr="00B430D5" w:rsidRDefault="00677577" w:rsidP="00B430D5">
            <w:pPr>
              <w:spacing w:line="240" w:lineRule="auto"/>
              <w:jc w:val="right"/>
              <w:rPr>
                <w:sz w:val="20"/>
                <w:szCs w:val="20"/>
              </w:rPr>
            </w:pPr>
            <w:r w:rsidRPr="00B430D5">
              <w:rPr>
                <w:sz w:val="20"/>
                <w:szCs w:val="20"/>
              </w:rPr>
              <w:t>74.8%</w:t>
            </w:r>
          </w:p>
        </w:tc>
      </w:tr>
      <w:tr w:rsidR="00677577" w:rsidRPr="00167CB8" w14:paraId="0FE50FB8" w14:textId="77777777">
        <w:trPr>
          <w:trHeight w:val="263"/>
        </w:trPr>
        <w:tc>
          <w:tcPr>
            <w:tcW w:w="5003" w:type="dxa"/>
            <w:tcBorders>
              <w:top w:val="nil"/>
              <w:left w:val="single" w:sz="4" w:space="0" w:color="auto"/>
              <w:bottom w:val="nil"/>
              <w:right w:val="nil"/>
            </w:tcBorders>
            <w:shd w:val="clear" w:color="auto" w:fill="FFFFFF"/>
            <w:noWrap/>
            <w:vAlign w:val="bottom"/>
            <w:hideMark/>
          </w:tcPr>
          <w:p w14:paraId="78B410EE" w14:textId="77777777" w:rsidR="00677577" w:rsidRPr="00B430D5" w:rsidRDefault="00677577" w:rsidP="00B430D5">
            <w:pPr>
              <w:spacing w:line="240" w:lineRule="auto"/>
              <w:rPr>
                <w:sz w:val="20"/>
                <w:szCs w:val="20"/>
              </w:rPr>
            </w:pPr>
            <w:r w:rsidRPr="00B430D5">
              <w:rPr>
                <w:sz w:val="20"/>
                <w:szCs w:val="20"/>
              </w:rPr>
              <w:t>Does not expect to remain in main job for next 12 months</w:t>
            </w:r>
          </w:p>
        </w:tc>
        <w:tc>
          <w:tcPr>
            <w:tcW w:w="2267" w:type="dxa"/>
            <w:noWrap/>
            <w:vAlign w:val="center"/>
            <w:hideMark/>
          </w:tcPr>
          <w:p w14:paraId="2EFA6EAD" w14:textId="77777777" w:rsidR="00677577" w:rsidRPr="00B430D5" w:rsidRDefault="00677577" w:rsidP="00B430D5">
            <w:pPr>
              <w:spacing w:line="240" w:lineRule="auto"/>
              <w:jc w:val="right"/>
              <w:rPr>
                <w:sz w:val="20"/>
                <w:szCs w:val="20"/>
              </w:rPr>
            </w:pPr>
            <w:r w:rsidRPr="00B430D5">
              <w:rPr>
                <w:sz w:val="20"/>
                <w:szCs w:val="20"/>
              </w:rPr>
              <w:t>129.1</w:t>
            </w:r>
          </w:p>
        </w:tc>
        <w:tc>
          <w:tcPr>
            <w:tcW w:w="1858" w:type="dxa"/>
            <w:tcBorders>
              <w:top w:val="nil"/>
              <w:left w:val="nil"/>
              <w:bottom w:val="nil"/>
              <w:right w:val="single" w:sz="4" w:space="0" w:color="auto"/>
            </w:tcBorders>
            <w:noWrap/>
            <w:vAlign w:val="center"/>
            <w:hideMark/>
          </w:tcPr>
          <w:p w14:paraId="5874B232" w14:textId="77777777" w:rsidR="00677577" w:rsidRPr="00B430D5" w:rsidRDefault="00677577" w:rsidP="00B430D5">
            <w:pPr>
              <w:spacing w:line="240" w:lineRule="auto"/>
              <w:jc w:val="right"/>
              <w:rPr>
                <w:sz w:val="20"/>
                <w:szCs w:val="20"/>
              </w:rPr>
            </w:pPr>
            <w:r w:rsidRPr="00B430D5">
              <w:rPr>
                <w:sz w:val="20"/>
                <w:szCs w:val="20"/>
              </w:rPr>
              <w:t>25.2%</w:t>
            </w:r>
          </w:p>
        </w:tc>
      </w:tr>
      <w:tr w:rsidR="00677577" w:rsidRPr="00167CB8" w14:paraId="53B34D0A" w14:textId="77777777">
        <w:trPr>
          <w:trHeight w:val="263"/>
        </w:trPr>
        <w:tc>
          <w:tcPr>
            <w:tcW w:w="5003" w:type="dxa"/>
            <w:tcBorders>
              <w:top w:val="nil"/>
              <w:left w:val="single" w:sz="4" w:space="0" w:color="auto"/>
              <w:bottom w:val="single" w:sz="4" w:space="0" w:color="auto"/>
              <w:right w:val="nil"/>
            </w:tcBorders>
            <w:noWrap/>
            <w:vAlign w:val="bottom"/>
            <w:hideMark/>
          </w:tcPr>
          <w:p w14:paraId="6198BA5E" w14:textId="77777777" w:rsidR="00677577" w:rsidRPr="00B430D5" w:rsidRDefault="00677577" w:rsidP="00B430D5">
            <w:pPr>
              <w:spacing w:line="240" w:lineRule="auto"/>
              <w:rPr>
                <w:sz w:val="20"/>
                <w:szCs w:val="20"/>
              </w:rPr>
            </w:pPr>
            <w:r w:rsidRPr="00B430D5">
              <w:rPr>
                <w:sz w:val="20"/>
                <w:szCs w:val="20"/>
              </w:rPr>
              <w:t>Total</w:t>
            </w:r>
          </w:p>
        </w:tc>
        <w:tc>
          <w:tcPr>
            <w:tcW w:w="2267" w:type="dxa"/>
            <w:tcBorders>
              <w:top w:val="nil"/>
              <w:left w:val="nil"/>
              <w:bottom w:val="single" w:sz="4" w:space="0" w:color="auto"/>
              <w:right w:val="nil"/>
            </w:tcBorders>
            <w:noWrap/>
            <w:vAlign w:val="center"/>
            <w:hideMark/>
          </w:tcPr>
          <w:p w14:paraId="3B328EA7" w14:textId="77777777" w:rsidR="00677577" w:rsidRPr="00B430D5" w:rsidRDefault="00677577" w:rsidP="00B430D5">
            <w:pPr>
              <w:spacing w:line="240" w:lineRule="auto"/>
              <w:jc w:val="right"/>
              <w:rPr>
                <w:sz w:val="20"/>
                <w:szCs w:val="20"/>
              </w:rPr>
            </w:pPr>
            <w:r w:rsidRPr="00B430D5">
              <w:rPr>
                <w:sz w:val="20"/>
                <w:szCs w:val="20"/>
              </w:rPr>
              <w:t>512.3</w:t>
            </w:r>
          </w:p>
        </w:tc>
        <w:tc>
          <w:tcPr>
            <w:tcW w:w="1858" w:type="dxa"/>
            <w:tcBorders>
              <w:top w:val="nil"/>
              <w:left w:val="nil"/>
              <w:bottom w:val="single" w:sz="4" w:space="0" w:color="auto"/>
              <w:right w:val="single" w:sz="4" w:space="0" w:color="auto"/>
            </w:tcBorders>
            <w:noWrap/>
            <w:vAlign w:val="center"/>
            <w:hideMark/>
          </w:tcPr>
          <w:p w14:paraId="1D9762BA" w14:textId="77777777" w:rsidR="00677577" w:rsidRPr="00B430D5" w:rsidRDefault="00677577" w:rsidP="00B430D5">
            <w:pPr>
              <w:spacing w:line="240" w:lineRule="auto"/>
              <w:jc w:val="right"/>
              <w:rPr>
                <w:sz w:val="20"/>
                <w:szCs w:val="20"/>
              </w:rPr>
            </w:pPr>
            <w:r w:rsidRPr="00B430D5">
              <w:rPr>
                <w:sz w:val="20"/>
                <w:szCs w:val="20"/>
              </w:rPr>
              <w:t>100.0%</w:t>
            </w:r>
          </w:p>
        </w:tc>
      </w:tr>
    </w:tbl>
    <w:p w14:paraId="727D4968" w14:textId="77777777" w:rsidR="0011475D" w:rsidRDefault="00677577" w:rsidP="00677577">
      <w:pPr>
        <w:pStyle w:val="Source"/>
      </w:pPr>
      <w:r w:rsidRPr="00167CB8">
        <w:rPr>
          <w:b/>
          <w:bCs/>
        </w:rPr>
        <w:t>Source:</w:t>
      </w:r>
      <w:r w:rsidRPr="00167CB8">
        <w:t xml:space="preserve"> ABS Working Arrangements, August 2024 (Cat No 6336.0, Table 6).</w:t>
      </w:r>
    </w:p>
    <w:p w14:paraId="4FC35B0B" w14:textId="65779504" w:rsidR="00365C93" w:rsidRDefault="00365C93" w:rsidP="00B430D5">
      <w:pPr>
        <w:spacing w:after="160"/>
      </w:pPr>
      <w:r>
        <w:br w:type="page"/>
      </w:r>
    </w:p>
    <w:p w14:paraId="250C436B" w14:textId="2F18E9D6" w:rsidR="00677577" w:rsidRPr="00167CB8" w:rsidRDefault="00365C93" w:rsidP="00365C93">
      <w:pPr>
        <w:pStyle w:val="Caption"/>
      </w:pPr>
      <w:bookmarkStart w:id="807" w:name="_Toc194251458"/>
      <w:r>
        <w:lastRenderedPageBreak/>
        <w:t xml:space="preserve">Table </w:t>
      </w:r>
      <w:r>
        <w:rPr>
          <w:sz w:val="18"/>
        </w:rPr>
        <w:fldChar w:fldCharType="begin"/>
      </w:r>
      <w:r>
        <w:instrText xml:space="preserve"> SEQ Table \* ARABIC </w:instrText>
      </w:r>
      <w:r>
        <w:rPr>
          <w:sz w:val="18"/>
        </w:rPr>
        <w:fldChar w:fldCharType="separate"/>
      </w:r>
      <w:r w:rsidR="00DE5F5E">
        <w:rPr>
          <w:noProof/>
        </w:rPr>
        <w:t>34</w:t>
      </w:r>
      <w:r>
        <w:rPr>
          <w:sz w:val="18"/>
        </w:rPr>
        <w:fldChar w:fldCharType="end"/>
      </w:r>
      <w:r>
        <w:t xml:space="preserve">: </w:t>
      </w:r>
      <w:bookmarkStart w:id="808" w:name="_Toc186991809"/>
      <w:bookmarkStart w:id="809" w:name="_Toc189310860"/>
      <w:r w:rsidR="00677577" w:rsidRPr="00167CB8">
        <w:t>Fixed</w:t>
      </w:r>
      <w:r w:rsidR="003B02AF">
        <w:t xml:space="preserve"> </w:t>
      </w:r>
      <w:r w:rsidR="00677577" w:rsidRPr="00167CB8">
        <w:t>term employment, by occupation of main job</w:t>
      </w:r>
      <w:bookmarkEnd w:id="807"/>
      <w:bookmarkEnd w:id="808"/>
      <w:bookmarkEnd w:id="809"/>
    </w:p>
    <w:tbl>
      <w:tblPr>
        <w:tblW w:w="9026" w:type="dxa"/>
        <w:tblLook w:val="04A0" w:firstRow="1" w:lastRow="0" w:firstColumn="1" w:lastColumn="0" w:noHBand="0" w:noVBand="1"/>
      </w:tblPr>
      <w:tblGrid>
        <w:gridCol w:w="5105"/>
        <w:gridCol w:w="1993"/>
        <w:gridCol w:w="1928"/>
      </w:tblGrid>
      <w:tr w:rsidR="00677577" w:rsidRPr="00167CB8" w14:paraId="27AF018F" w14:textId="77777777">
        <w:trPr>
          <w:trHeight w:val="247"/>
        </w:trPr>
        <w:tc>
          <w:tcPr>
            <w:tcW w:w="5105" w:type="dxa"/>
            <w:tcBorders>
              <w:top w:val="single" w:sz="4" w:space="0" w:color="auto"/>
              <w:left w:val="single" w:sz="4" w:space="0" w:color="auto"/>
              <w:bottom w:val="single" w:sz="4" w:space="0" w:color="auto"/>
              <w:right w:val="nil"/>
            </w:tcBorders>
            <w:shd w:val="clear" w:color="auto" w:fill="FFFFFF"/>
            <w:noWrap/>
            <w:vAlign w:val="bottom"/>
            <w:hideMark/>
          </w:tcPr>
          <w:p w14:paraId="6283240E" w14:textId="77777777" w:rsidR="00677577" w:rsidRPr="00611B2D" w:rsidRDefault="00677577" w:rsidP="00611B2D">
            <w:pPr>
              <w:spacing w:line="240" w:lineRule="auto"/>
              <w:rPr>
                <w:b/>
                <w:bCs/>
                <w:sz w:val="20"/>
                <w:szCs w:val="20"/>
              </w:rPr>
            </w:pPr>
            <w:r w:rsidRPr="00611B2D">
              <w:rPr>
                <w:b/>
                <w:bCs/>
                <w:sz w:val="20"/>
                <w:szCs w:val="20"/>
              </w:rPr>
              <w:t>Occupation of main job</w:t>
            </w:r>
          </w:p>
        </w:tc>
        <w:tc>
          <w:tcPr>
            <w:tcW w:w="1993" w:type="dxa"/>
            <w:tcBorders>
              <w:top w:val="single" w:sz="4" w:space="0" w:color="auto"/>
              <w:left w:val="nil"/>
              <w:bottom w:val="single" w:sz="4" w:space="0" w:color="auto"/>
              <w:right w:val="nil"/>
            </w:tcBorders>
            <w:noWrap/>
            <w:vAlign w:val="center"/>
            <w:hideMark/>
          </w:tcPr>
          <w:p w14:paraId="60E3098D" w14:textId="77777777" w:rsidR="00677577" w:rsidRDefault="00677577" w:rsidP="00611B2D">
            <w:pPr>
              <w:spacing w:line="240" w:lineRule="auto"/>
              <w:jc w:val="right"/>
              <w:rPr>
                <w:b/>
                <w:bCs/>
                <w:sz w:val="20"/>
                <w:szCs w:val="20"/>
              </w:rPr>
            </w:pPr>
            <w:r w:rsidRPr="00611B2D">
              <w:rPr>
                <w:b/>
                <w:bCs/>
                <w:sz w:val="20"/>
                <w:szCs w:val="20"/>
              </w:rPr>
              <w:t>Number fixed</w:t>
            </w:r>
            <w:r w:rsidR="003B02AF">
              <w:rPr>
                <w:b/>
                <w:bCs/>
                <w:sz w:val="20"/>
                <w:szCs w:val="20"/>
              </w:rPr>
              <w:t xml:space="preserve"> </w:t>
            </w:r>
            <w:r w:rsidRPr="00611B2D">
              <w:rPr>
                <w:b/>
                <w:bCs/>
                <w:sz w:val="20"/>
                <w:szCs w:val="20"/>
              </w:rPr>
              <w:t>term at August 2024</w:t>
            </w:r>
          </w:p>
          <w:p w14:paraId="5C0B122A" w14:textId="18446279" w:rsidR="00F92E4D" w:rsidRPr="00611B2D" w:rsidRDefault="00F92E4D" w:rsidP="00611B2D">
            <w:pPr>
              <w:spacing w:line="240" w:lineRule="auto"/>
              <w:jc w:val="right"/>
              <w:rPr>
                <w:b/>
                <w:bCs/>
                <w:sz w:val="20"/>
                <w:szCs w:val="20"/>
              </w:rPr>
            </w:pPr>
            <w:r>
              <w:rPr>
                <w:b/>
                <w:bCs/>
                <w:sz w:val="20"/>
                <w:szCs w:val="20"/>
              </w:rPr>
              <w:t>‘(000)</w:t>
            </w:r>
          </w:p>
        </w:tc>
        <w:tc>
          <w:tcPr>
            <w:tcW w:w="1928" w:type="dxa"/>
            <w:tcBorders>
              <w:top w:val="single" w:sz="4" w:space="0" w:color="auto"/>
              <w:left w:val="nil"/>
              <w:bottom w:val="single" w:sz="4" w:space="0" w:color="auto"/>
              <w:right w:val="single" w:sz="4" w:space="0" w:color="auto"/>
            </w:tcBorders>
            <w:noWrap/>
            <w:vAlign w:val="center"/>
            <w:hideMark/>
          </w:tcPr>
          <w:p w14:paraId="2FC4B05F" w14:textId="77777777" w:rsidR="00677577" w:rsidRPr="00611B2D" w:rsidRDefault="00677577" w:rsidP="00611B2D">
            <w:pPr>
              <w:spacing w:line="240" w:lineRule="auto"/>
              <w:jc w:val="right"/>
              <w:rPr>
                <w:sz w:val="20"/>
                <w:szCs w:val="20"/>
              </w:rPr>
            </w:pPr>
            <w:r w:rsidRPr="00611B2D">
              <w:rPr>
                <w:b/>
                <w:bCs/>
                <w:sz w:val="20"/>
                <w:szCs w:val="20"/>
              </w:rPr>
              <w:t>% distribution</w:t>
            </w:r>
          </w:p>
        </w:tc>
      </w:tr>
      <w:tr w:rsidR="00677577" w:rsidRPr="00167CB8" w14:paraId="31D3BC6E" w14:textId="77777777">
        <w:trPr>
          <w:trHeight w:val="247"/>
        </w:trPr>
        <w:tc>
          <w:tcPr>
            <w:tcW w:w="5105" w:type="dxa"/>
            <w:tcBorders>
              <w:top w:val="single" w:sz="4" w:space="0" w:color="auto"/>
              <w:left w:val="single" w:sz="4" w:space="0" w:color="auto"/>
              <w:bottom w:val="nil"/>
              <w:right w:val="nil"/>
            </w:tcBorders>
            <w:shd w:val="clear" w:color="auto" w:fill="FFFFFF"/>
            <w:noWrap/>
            <w:vAlign w:val="bottom"/>
            <w:hideMark/>
          </w:tcPr>
          <w:p w14:paraId="7FDB84A4" w14:textId="77777777" w:rsidR="00677577" w:rsidRPr="00611B2D" w:rsidRDefault="00677577" w:rsidP="00611B2D">
            <w:pPr>
              <w:spacing w:line="240" w:lineRule="auto"/>
              <w:rPr>
                <w:sz w:val="20"/>
                <w:szCs w:val="20"/>
              </w:rPr>
            </w:pPr>
            <w:r w:rsidRPr="00611B2D">
              <w:rPr>
                <w:sz w:val="20"/>
                <w:szCs w:val="20"/>
              </w:rPr>
              <w:t>Managers</w:t>
            </w:r>
          </w:p>
        </w:tc>
        <w:tc>
          <w:tcPr>
            <w:tcW w:w="1993" w:type="dxa"/>
            <w:tcBorders>
              <w:top w:val="single" w:sz="4" w:space="0" w:color="auto"/>
              <w:left w:val="nil"/>
              <w:bottom w:val="nil"/>
              <w:right w:val="nil"/>
            </w:tcBorders>
            <w:noWrap/>
            <w:vAlign w:val="center"/>
            <w:hideMark/>
          </w:tcPr>
          <w:p w14:paraId="237C828A" w14:textId="77777777" w:rsidR="00677577" w:rsidRPr="00611B2D" w:rsidRDefault="00677577" w:rsidP="00611B2D">
            <w:pPr>
              <w:spacing w:line="240" w:lineRule="auto"/>
              <w:jc w:val="right"/>
              <w:rPr>
                <w:sz w:val="20"/>
                <w:szCs w:val="20"/>
              </w:rPr>
            </w:pPr>
            <w:r w:rsidRPr="00611B2D">
              <w:rPr>
                <w:sz w:val="20"/>
                <w:szCs w:val="20"/>
              </w:rPr>
              <w:t>49.8</w:t>
            </w:r>
          </w:p>
        </w:tc>
        <w:tc>
          <w:tcPr>
            <w:tcW w:w="1928" w:type="dxa"/>
            <w:tcBorders>
              <w:top w:val="single" w:sz="4" w:space="0" w:color="auto"/>
              <w:left w:val="nil"/>
              <w:bottom w:val="nil"/>
              <w:right w:val="single" w:sz="4" w:space="0" w:color="auto"/>
            </w:tcBorders>
            <w:noWrap/>
            <w:vAlign w:val="center"/>
            <w:hideMark/>
          </w:tcPr>
          <w:p w14:paraId="7AA89E74" w14:textId="77777777" w:rsidR="00677577" w:rsidRPr="00611B2D" w:rsidRDefault="00677577" w:rsidP="00611B2D">
            <w:pPr>
              <w:spacing w:line="240" w:lineRule="auto"/>
              <w:jc w:val="right"/>
              <w:rPr>
                <w:sz w:val="20"/>
                <w:szCs w:val="20"/>
              </w:rPr>
            </w:pPr>
            <w:r w:rsidRPr="00611B2D">
              <w:rPr>
                <w:sz w:val="20"/>
                <w:szCs w:val="20"/>
              </w:rPr>
              <w:t>9.7%</w:t>
            </w:r>
          </w:p>
        </w:tc>
      </w:tr>
      <w:tr w:rsidR="00677577" w:rsidRPr="00167CB8" w14:paraId="5CF082DF" w14:textId="77777777">
        <w:trPr>
          <w:trHeight w:val="247"/>
        </w:trPr>
        <w:tc>
          <w:tcPr>
            <w:tcW w:w="5105" w:type="dxa"/>
            <w:tcBorders>
              <w:top w:val="nil"/>
              <w:left w:val="single" w:sz="4" w:space="0" w:color="auto"/>
              <w:bottom w:val="nil"/>
              <w:right w:val="nil"/>
            </w:tcBorders>
            <w:shd w:val="clear" w:color="auto" w:fill="FFFFFF"/>
            <w:noWrap/>
            <w:vAlign w:val="bottom"/>
            <w:hideMark/>
          </w:tcPr>
          <w:p w14:paraId="22F09E35" w14:textId="77777777" w:rsidR="00677577" w:rsidRPr="00611B2D" w:rsidRDefault="00677577" w:rsidP="00611B2D">
            <w:pPr>
              <w:spacing w:line="240" w:lineRule="auto"/>
              <w:rPr>
                <w:sz w:val="20"/>
                <w:szCs w:val="20"/>
              </w:rPr>
            </w:pPr>
            <w:r w:rsidRPr="00611B2D">
              <w:rPr>
                <w:sz w:val="20"/>
                <w:szCs w:val="20"/>
              </w:rPr>
              <w:t>Professionals</w:t>
            </w:r>
          </w:p>
        </w:tc>
        <w:tc>
          <w:tcPr>
            <w:tcW w:w="1993" w:type="dxa"/>
            <w:noWrap/>
            <w:vAlign w:val="center"/>
            <w:hideMark/>
          </w:tcPr>
          <w:p w14:paraId="03F20D5B" w14:textId="77777777" w:rsidR="00677577" w:rsidRPr="00611B2D" w:rsidRDefault="00677577" w:rsidP="00611B2D">
            <w:pPr>
              <w:spacing w:line="240" w:lineRule="auto"/>
              <w:jc w:val="right"/>
              <w:rPr>
                <w:sz w:val="20"/>
                <w:szCs w:val="20"/>
              </w:rPr>
            </w:pPr>
            <w:r w:rsidRPr="00611B2D">
              <w:rPr>
                <w:sz w:val="20"/>
                <w:szCs w:val="20"/>
              </w:rPr>
              <w:t>248.1</w:t>
            </w:r>
          </w:p>
        </w:tc>
        <w:tc>
          <w:tcPr>
            <w:tcW w:w="1928" w:type="dxa"/>
            <w:tcBorders>
              <w:top w:val="nil"/>
              <w:left w:val="nil"/>
              <w:bottom w:val="nil"/>
              <w:right w:val="single" w:sz="4" w:space="0" w:color="auto"/>
            </w:tcBorders>
            <w:noWrap/>
            <w:vAlign w:val="center"/>
            <w:hideMark/>
          </w:tcPr>
          <w:p w14:paraId="77F71513" w14:textId="77777777" w:rsidR="00677577" w:rsidRPr="00611B2D" w:rsidRDefault="00677577" w:rsidP="00611B2D">
            <w:pPr>
              <w:spacing w:line="240" w:lineRule="auto"/>
              <w:jc w:val="right"/>
              <w:rPr>
                <w:sz w:val="20"/>
                <w:szCs w:val="20"/>
              </w:rPr>
            </w:pPr>
            <w:r w:rsidRPr="00611B2D">
              <w:rPr>
                <w:sz w:val="20"/>
                <w:szCs w:val="20"/>
              </w:rPr>
              <w:t>48.4%</w:t>
            </w:r>
          </w:p>
        </w:tc>
      </w:tr>
      <w:tr w:rsidR="00677577" w:rsidRPr="00167CB8" w14:paraId="222B49EA" w14:textId="77777777">
        <w:trPr>
          <w:trHeight w:val="247"/>
        </w:trPr>
        <w:tc>
          <w:tcPr>
            <w:tcW w:w="5105" w:type="dxa"/>
            <w:tcBorders>
              <w:top w:val="nil"/>
              <w:left w:val="single" w:sz="4" w:space="0" w:color="auto"/>
              <w:bottom w:val="nil"/>
              <w:right w:val="nil"/>
            </w:tcBorders>
            <w:shd w:val="clear" w:color="auto" w:fill="FFFFFF"/>
            <w:noWrap/>
            <w:vAlign w:val="bottom"/>
            <w:hideMark/>
          </w:tcPr>
          <w:p w14:paraId="11D9805A" w14:textId="77777777" w:rsidR="00677577" w:rsidRPr="00611B2D" w:rsidRDefault="00677577" w:rsidP="00611B2D">
            <w:pPr>
              <w:spacing w:line="240" w:lineRule="auto"/>
              <w:rPr>
                <w:sz w:val="20"/>
                <w:szCs w:val="20"/>
              </w:rPr>
            </w:pPr>
            <w:r w:rsidRPr="00611B2D">
              <w:rPr>
                <w:sz w:val="20"/>
                <w:szCs w:val="20"/>
              </w:rPr>
              <w:t>Technicians and trade workers</w:t>
            </w:r>
          </w:p>
        </w:tc>
        <w:tc>
          <w:tcPr>
            <w:tcW w:w="1993" w:type="dxa"/>
            <w:noWrap/>
            <w:vAlign w:val="center"/>
            <w:hideMark/>
          </w:tcPr>
          <w:p w14:paraId="601DC047" w14:textId="77777777" w:rsidR="00677577" w:rsidRPr="00611B2D" w:rsidRDefault="00677577" w:rsidP="00611B2D">
            <w:pPr>
              <w:spacing w:line="240" w:lineRule="auto"/>
              <w:jc w:val="right"/>
              <w:rPr>
                <w:sz w:val="20"/>
                <w:szCs w:val="20"/>
              </w:rPr>
            </w:pPr>
            <w:r w:rsidRPr="00611B2D">
              <w:rPr>
                <w:sz w:val="20"/>
                <w:szCs w:val="20"/>
              </w:rPr>
              <w:t>45.9</w:t>
            </w:r>
          </w:p>
        </w:tc>
        <w:tc>
          <w:tcPr>
            <w:tcW w:w="1928" w:type="dxa"/>
            <w:tcBorders>
              <w:top w:val="nil"/>
              <w:left w:val="nil"/>
              <w:bottom w:val="nil"/>
              <w:right w:val="single" w:sz="4" w:space="0" w:color="auto"/>
            </w:tcBorders>
            <w:noWrap/>
            <w:vAlign w:val="center"/>
            <w:hideMark/>
          </w:tcPr>
          <w:p w14:paraId="70665DD9" w14:textId="77777777" w:rsidR="00677577" w:rsidRPr="00611B2D" w:rsidRDefault="00677577" w:rsidP="00611B2D">
            <w:pPr>
              <w:spacing w:line="240" w:lineRule="auto"/>
              <w:jc w:val="right"/>
              <w:rPr>
                <w:sz w:val="20"/>
                <w:szCs w:val="20"/>
              </w:rPr>
            </w:pPr>
            <w:r w:rsidRPr="00611B2D">
              <w:rPr>
                <w:sz w:val="20"/>
                <w:szCs w:val="20"/>
              </w:rPr>
              <w:t>9.0%</w:t>
            </w:r>
          </w:p>
        </w:tc>
      </w:tr>
      <w:tr w:rsidR="00677577" w:rsidRPr="00167CB8" w14:paraId="232C1D7F" w14:textId="77777777">
        <w:trPr>
          <w:trHeight w:val="247"/>
        </w:trPr>
        <w:tc>
          <w:tcPr>
            <w:tcW w:w="5105" w:type="dxa"/>
            <w:tcBorders>
              <w:top w:val="nil"/>
              <w:left w:val="single" w:sz="4" w:space="0" w:color="auto"/>
              <w:bottom w:val="nil"/>
              <w:right w:val="nil"/>
            </w:tcBorders>
            <w:shd w:val="clear" w:color="auto" w:fill="FFFFFF"/>
            <w:noWrap/>
            <w:vAlign w:val="bottom"/>
            <w:hideMark/>
          </w:tcPr>
          <w:p w14:paraId="71BF680D" w14:textId="77777777" w:rsidR="00677577" w:rsidRPr="00611B2D" w:rsidRDefault="00677577" w:rsidP="00611B2D">
            <w:pPr>
              <w:spacing w:line="240" w:lineRule="auto"/>
              <w:rPr>
                <w:sz w:val="20"/>
                <w:szCs w:val="20"/>
              </w:rPr>
            </w:pPr>
            <w:r w:rsidRPr="00611B2D">
              <w:rPr>
                <w:sz w:val="20"/>
                <w:szCs w:val="20"/>
              </w:rPr>
              <w:t>Community and personal service workers</w:t>
            </w:r>
          </w:p>
        </w:tc>
        <w:tc>
          <w:tcPr>
            <w:tcW w:w="1993" w:type="dxa"/>
            <w:noWrap/>
            <w:vAlign w:val="center"/>
            <w:hideMark/>
          </w:tcPr>
          <w:p w14:paraId="5707B6F4" w14:textId="77777777" w:rsidR="00677577" w:rsidRPr="00611B2D" w:rsidRDefault="00677577" w:rsidP="00611B2D">
            <w:pPr>
              <w:spacing w:line="240" w:lineRule="auto"/>
              <w:jc w:val="right"/>
              <w:rPr>
                <w:sz w:val="20"/>
                <w:szCs w:val="20"/>
              </w:rPr>
            </w:pPr>
            <w:r w:rsidRPr="00611B2D">
              <w:rPr>
                <w:sz w:val="20"/>
                <w:szCs w:val="20"/>
              </w:rPr>
              <w:t>49.9</w:t>
            </w:r>
          </w:p>
        </w:tc>
        <w:tc>
          <w:tcPr>
            <w:tcW w:w="1928" w:type="dxa"/>
            <w:tcBorders>
              <w:top w:val="nil"/>
              <w:left w:val="nil"/>
              <w:bottom w:val="nil"/>
              <w:right w:val="single" w:sz="4" w:space="0" w:color="auto"/>
            </w:tcBorders>
            <w:noWrap/>
            <w:vAlign w:val="center"/>
            <w:hideMark/>
          </w:tcPr>
          <w:p w14:paraId="5E028EC6" w14:textId="77777777" w:rsidR="00677577" w:rsidRPr="00611B2D" w:rsidRDefault="00677577" w:rsidP="00611B2D">
            <w:pPr>
              <w:spacing w:line="240" w:lineRule="auto"/>
              <w:jc w:val="right"/>
              <w:rPr>
                <w:sz w:val="20"/>
                <w:szCs w:val="20"/>
              </w:rPr>
            </w:pPr>
            <w:r w:rsidRPr="00611B2D">
              <w:rPr>
                <w:sz w:val="20"/>
                <w:szCs w:val="20"/>
              </w:rPr>
              <w:t>9.7%</w:t>
            </w:r>
          </w:p>
        </w:tc>
      </w:tr>
      <w:tr w:rsidR="00677577" w:rsidRPr="00167CB8" w14:paraId="02169719" w14:textId="77777777">
        <w:trPr>
          <w:trHeight w:val="247"/>
        </w:trPr>
        <w:tc>
          <w:tcPr>
            <w:tcW w:w="5105" w:type="dxa"/>
            <w:tcBorders>
              <w:top w:val="nil"/>
              <w:left w:val="single" w:sz="4" w:space="0" w:color="auto"/>
              <w:bottom w:val="nil"/>
              <w:right w:val="nil"/>
            </w:tcBorders>
            <w:shd w:val="clear" w:color="auto" w:fill="FFFFFF"/>
            <w:noWrap/>
            <w:vAlign w:val="bottom"/>
            <w:hideMark/>
          </w:tcPr>
          <w:p w14:paraId="6E744343" w14:textId="77777777" w:rsidR="00677577" w:rsidRPr="00611B2D" w:rsidRDefault="00677577" w:rsidP="00611B2D">
            <w:pPr>
              <w:spacing w:line="240" w:lineRule="auto"/>
              <w:rPr>
                <w:sz w:val="20"/>
                <w:szCs w:val="20"/>
              </w:rPr>
            </w:pPr>
            <w:r w:rsidRPr="00611B2D">
              <w:rPr>
                <w:sz w:val="20"/>
                <w:szCs w:val="20"/>
              </w:rPr>
              <w:t>Clerical and administrative workers</w:t>
            </w:r>
          </w:p>
        </w:tc>
        <w:tc>
          <w:tcPr>
            <w:tcW w:w="1993" w:type="dxa"/>
            <w:noWrap/>
            <w:vAlign w:val="center"/>
            <w:hideMark/>
          </w:tcPr>
          <w:p w14:paraId="7D454F08" w14:textId="77777777" w:rsidR="00677577" w:rsidRPr="00611B2D" w:rsidRDefault="00677577" w:rsidP="00611B2D">
            <w:pPr>
              <w:spacing w:line="240" w:lineRule="auto"/>
              <w:jc w:val="right"/>
              <w:rPr>
                <w:sz w:val="20"/>
                <w:szCs w:val="20"/>
              </w:rPr>
            </w:pPr>
            <w:r w:rsidRPr="00611B2D">
              <w:rPr>
                <w:sz w:val="20"/>
                <w:szCs w:val="20"/>
              </w:rPr>
              <w:t>79.0</w:t>
            </w:r>
          </w:p>
        </w:tc>
        <w:tc>
          <w:tcPr>
            <w:tcW w:w="1928" w:type="dxa"/>
            <w:tcBorders>
              <w:top w:val="nil"/>
              <w:left w:val="nil"/>
              <w:bottom w:val="nil"/>
              <w:right w:val="single" w:sz="4" w:space="0" w:color="auto"/>
            </w:tcBorders>
            <w:noWrap/>
            <w:vAlign w:val="center"/>
            <w:hideMark/>
          </w:tcPr>
          <w:p w14:paraId="66F5E31C" w14:textId="77777777" w:rsidR="00677577" w:rsidRPr="00611B2D" w:rsidRDefault="00677577" w:rsidP="00611B2D">
            <w:pPr>
              <w:spacing w:line="240" w:lineRule="auto"/>
              <w:jc w:val="right"/>
              <w:rPr>
                <w:sz w:val="20"/>
                <w:szCs w:val="20"/>
              </w:rPr>
            </w:pPr>
            <w:r w:rsidRPr="00611B2D">
              <w:rPr>
                <w:sz w:val="20"/>
                <w:szCs w:val="20"/>
              </w:rPr>
              <w:t>15.4%</w:t>
            </w:r>
          </w:p>
        </w:tc>
      </w:tr>
      <w:tr w:rsidR="00677577" w:rsidRPr="00167CB8" w14:paraId="011F6857" w14:textId="77777777">
        <w:trPr>
          <w:trHeight w:val="247"/>
        </w:trPr>
        <w:tc>
          <w:tcPr>
            <w:tcW w:w="5105" w:type="dxa"/>
            <w:tcBorders>
              <w:top w:val="nil"/>
              <w:left w:val="single" w:sz="4" w:space="0" w:color="auto"/>
              <w:bottom w:val="nil"/>
              <w:right w:val="nil"/>
            </w:tcBorders>
            <w:shd w:val="clear" w:color="auto" w:fill="FFFFFF"/>
            <w:noWrap/>
            <w:vAlign w:val="bottom"/>
            <w:hideMark/>
          </w:tcPr>
          <w:p w14:paraId="37AF391A" w14:textId="77777777" w:rsidR="00677577" w:rsidRPr="00611B2D" w:rsidRDefault="00677577" w:rsidP="00611B2D">
            <w:pPr>
              <w:spacing w:line="240" w:lineRule="auto"/>
              <w:rPr>
                <w:sz w:val="20"/>
                <w:szCs w:val="20"/>
              </w:rPr>
            </w:pPr>
            <w:r w:rsidRPr="00611B2D">
              <w:rPr>
                <w:sz w:val="20"/>
                <w:szCs w:val="20"/>
              </w:rPr>
              <w:t>Sales workers</w:t>
            </w:r>
          </w:p>
        </w:tc>
        <w:tc>
          <w:tcPr>
            <w:tcW w:w="1993" w:type="dxa"/>
            <w:noWrap/>
            <w:vAlign w:val="center"/>
            <w:hideMark/>
          </w:tcPr>
          <w:p w14:paraId="582E7BEE" w14:textId="77777777" w:rsidR="00677577" w:rsidRPr="00611B2D" w:rsidRDefault="00677577" w:rsidP="00611B2D">
            <w:pPr>
              <w:spacing w:line="240" w:lineRule="auto"/>
              <w:jc w:val="right"/>
              <w:rPr>
                <w:sz w:val="20"/>
                <w:szCs w:val="20"/>
              </w:rPr>
            </w:pPr>
            <w:r w:rsidRPr="00611B2D">
              <w:rPr>
                <w:sz w:val="20"/>
                <w:szCs w:val="20"/>
              </w:rPr>
              <w:t>10.5</w:t>
            </w:r>
          </w:p>
        </w:tc>
        <w:tc>
          <w:tcPr>
            <w:tcW w:w="1928" w:type="dxa"/>
            <w:tcBorders>
              <w:top w:val="nil"/>
              <w:left w:val="nil"/>
              <w:bottom w:val="nil"/>
              <w:right w:val="single" w:sz="4" w:space="0" w:color="auto"/>
            </w:tcBorders>
            <w:noWrap/>
            <w:vAlign w:val="center"/>
            <w:hideMark/>
          </w:tcPr>
          <w:p w14:paraId="0A553002" w14:textId="77777777" w:rsidR="00677577" w:rsidRPr="00611B2D" w:rsidRDefault="00677577" w:rsidP="00611B2D">
            <w:pPr>
              <w:spacing w:line="240" w:lineRule="auto"/>
              <w:jc w:val="right"/>
              <w:rPr>
                <w:sz w:val="20"/>
                <w:szCs w:val="20"/>
              </w:rPr>
            </w:pPr>
            <w:r w:rsidRPr="00611B2D">
              <w:rPr>
                <w:sz w:val="20"/>
                <w:szCs w:val="20"/>
              </w:rPr>
              <w:t>2.1%</w:t>
            </w:r>
          </w:p>
        </w:tc>
      </w:tr>
      <w:tr w:rsidR="00677577" w:rsidRPr="00167CB8" w14:paraId="7B64BBAA" w14:textId="77777777">
        <w:trPr>
          <w:trHeight w:val="247"/>
        </w:trPr>
        <w:tc>
          <w:tcPr>
            <w:tcW w:w="5105" w:type="dxa"/>
            <w:tcBorders>
              <w:top w:val="nil"/>
              <w:left w:val="single" w:sz="4" w:space="0" w:color="auto"/>
              <w:bottom w:val="nil"/>
              <w:right w:val="nil"/>
            </w:tcBorders>
            <w:shd w:val="clear" w:color="auto" w:fill="FFFFFF"/>
            <w:noWrap/>
            <w:vAlign w:val="bottom"/>
            <w:hideMark/>
          </w:tcPr>
          <w:p w14:paraId="2CF27A25" w14:textId="77777777" w:rsidR="00677577" w:rsidRPr="00611B2D" w:rsidRDefault="00677577" w:rsidP="00611B2D">
            <w:pPr>
              <w:spacing w:line="240" w:lineRule="auto"/>
              <w:rPr>
                <w:sz w:val="20"/>
                <w:szCs w:val="20"/>
              </w:rPr>
            </w:pPr>
            <w:r w:rsidRPr="00611B2D">
              <w:rPr>
                <w:sz w:val="20"/>
                <w:szCs w:val="20"/>
              </w:rPr>
              <w:t>Machinery operators and drivers</w:t>
            </w:r>
          </w:p>
        </w:tc>
        <w:tc>
          <w:tcPr>
            <w:tcW w:w="1993" w:type="dxa"/>
            <w:noWrap/>
            <w:vAlign w:val="center"/>
            <w:hideMark/>
          </w:tcPr>
          <w:p w14:paraId="6D449B2E" w14:textId="77777777" w:rsidR="00677577" w:rsidRPr="00611B2D" w:rsidRDefault="00677577" w:rsidP="00611B2D">
            <w:pPr>
              <w:spacing w:line="240" w:lineRule="auto"/>
              <w:jc w:val="right"/>
              <w:rPr>
                <w:sz w:val="20"/>
                <w:szCs w:val="20"/>
              </w:rPr>
            </w:pPr>
            <w:r w:rsidRPr="00611B2D">
              <w:rPr>
                <w:sz w:val="20"/>
                <w:szCs w:val="20"/>
              </w:rPr>
              <w:t>12.5</w:t>
            </w:r>
          </w:p>
        </w:tc>
        <w:tc>
          <w:tcPr>
            <w:tcW w:w="1928" w:type="dxa"/>
            <w:tcBorders>
              <w:top w:val="nil"/>
              <w:left w:val="nil"/>
              <w:bottom w:val="nil"/>
              <w:right w:val="single" w:sz="4" w:space="0" w:color="auto"/>
            </w:tcBorders>
            <w:noWrap/>
            <w:vAlign w:val="center"/>
            <w:hideMark/>
          </w:tcPr>
          <w:p w14:paraId="7C0232D3" w14:textId="77777777" w:rsidR="00677577" w:rsidRPr="00611B2D" w:rsidRDefault="00677577" w:rsidP="00611B2D">
            <w:pPr>
              <w:spacing w:line="240" w:lineRule="auto"/>
              <w:jc w:val="right"/>
              <w:rPr>
                <w:sz w:val="20"/>
                <w:szCs w:val="20"/>
              </w:rPr>
            </w:pPr>
            <w:r w:rsidRPr="00611B2D">
              <w:rPr>
                <w:sz w:val="20"/>
                <w:szCs w:val="20"/>
              </w:rPr>
              <w:t>2.4%</w:t>
            </w:r>
          </w:p>
        </w:tc>
      </w:tr>
      <w:tr w:rsidR="00677577" w:rsidRPr="00167CB8" w14:paraId="5E4B0FCA" w14:textId="77777777">
        <w:trPr>
          <w:trHeight w:val="247"/>
        </w:trPr>
        <w:tc>
          <w:tcPr>
            <w:tcW w:w="5105" w:type="dxa"/>
            <w:tcBorders>
              <w:top w:val="nil"/>
              <w:left w:val="single" w:sz="4" w:space="0" w:color="auto"/>
              <w:bottom w:val="nil"/>
              <w:right w:val="nil"/>
            </w:tcBorders>
            <w:shd w:val="clear" w:color="auto" w:fill="FFFFFF"/>
            <w:noWrap/>
            <w:vAlign w:val="bottom"/>
            <w:hideMark/>
          </w:tcPr>
          <w:p w14:paraId="62806211" w14:textId="77777777" w:rsidR="00677577" w:rsidRPr="00611B2D" w:rsidRDefault="00677577" w:rsidP="00611B2D">
            <w:pPr>
              <w:spacing w:line="240" w:lineRule="auto"/>
              <w:rPr>
                <w:sz w:val="20"/>
                <w:szCs w:val="20"/>
              </w:rPr>
            </w:pPr>
            <w:r w:rsidRPr="00611B2D">
              <w:rPr>
                <w:sz w:val="20"/>
                <w:szCs w:val="20"/>
              </w:rPr>
              <w:t>Labourers</w:t>
            </w:r>
          </w:p>
        </w:tc>
        <w:tc>
          <w:tcPr>
            <w:tcW w:w="1993" w:type="dxa"/>
            <w:noWrap/>
            <w:vAlign w:val="center"/>
            <w:hideMark/>
          </w:tcPr>
          <w:p w14:paraId="723F0302" w14:textId="77777777" w:rsidR="00677577" w:rsidRPr="00611B2D" w:rsidRDefault="00677577" w:rsidP="00611B2D">
            <w:pPr>
              <w:spacing w:line="240" w:lineRule="auto"/>
              <w:jc w:val="right"/>
              <w:rPr>
                <w:sz w:val="20"/>
                <w:szCs w:val="20"/>
              </w:rPr>
            </w:pPr>
            <w:r w:rsidRPr="00611B2D">
              <w:rPr>
                <w:sz w:val="20"/>
                <w:szCs w:val="20"/>
              </w:rPr>
              <w:t>16.6</w:t>
            </w:r>
          </w:p>
        </w:tc>
        <w:tc>
          <w:tcPr>
            <w:tcW w:w="1928" w:type="dxa"/>
            <w:tcBorders>
              <w:top w:val="nil"/>
              <w:left w:val="nil"/>
              <w:bottom w:val="nil"/>
              <w:right w:val="single" w:sz="4" w:space="0" w:color="auto"/>
            </w:tcBorders>
            <w:noWrap/>
            <w:vAlign w:val="center"/>
            <w:hideMark/>
          </w:tcPr>
          <w:p w14:paraId="766365F3" w14:textId="77777777" w:rsidR="00677577" w:rsidRPr="00611B2D" w:rsidRDefault="00677577" w:rsidP="00611B2D">
            <w:pPr>
              <w:spacing w:line="240" w:lineRule="auto"/>
              <w:jc w:val="right"/>
              <w:rPr>
                <w:sz w:val="20"/>
                <w:szCs w:val="20"/>
              </w:rPr>
            </w:pPr>
            <w:r w:rsidRPr="00611B2D">
              <w:rPr>
                <w:sz w:val="20"/>
                <w:szCs w:val="20"/>
              </w:rPr>
              <w:t>3.2%</w:t>
            </w:r>
          </w:p>
        </w:tc>
      </w:tr>
      <w:tr w:rsidR="00677577" w:rsidRPr="00167CB8" w14:paraId="01DD5943" w14:textId="77777777">
        <w:trPr>
          <w:trHeight w:val="247"/>
        </w:trPr>
        <w:tc>
          <w:tcPr>
            <w:tcW w:w="5105" w:type="dxa"/>
            <w:tcBorders>
              <w:top w:val="nil"/>
              <w:left w:val="single" w:sz="4" w:space="0" w:color="auto"/>
              <w:bottom w:val="single" w:sz="4" w:space="0" w:color="auto"/>
              <w:right w:val="nil"/>
            </w:tcBorders>
            <w:shd w:val="clear" w:color="auto" w:fill="FFFFFF"/>
            <w:noWrap/>
            <w:vAlign w:val="bottom"/>
            <w:hideMark/>
          </w:tcPr>
          <w:p w14:paraId="00A9A39C" w14:textId="77777777" w:rsidR="00677577" w:rsidRPr="00236247" w:rsidRDefault="00677577" w:rsidP="00611B2D">
            <w:pPr>
              <w:spacing w:line="240" w:lineRule="auto"/>
              <w:rPr>
                <w:sz w:val="20"/>
                <w:szCs w:val="20"/>
              </w:rPr>
            </w:pPr>
            <w:r w:rsidRPr="00611B2D">
              <w:rPr>
                <w:sz w:val="20"/>
                <w:szCs w:val="20"/>
              </w:rPr>
              <w:t> Total</w:t>
            </w:r>
          </w:p>
        </w:tc>
        <w:tc>
          <w:tcPr>
            <w:tcW w:w="1993" w:type="dxa"/>
            <w:tcBorders>
              <w:top w:val="nil"/>
              <w:left w:val="nil"/>
              <w:bottom w:val="single" w:sz="4" w:space="0" w:color="auto"/>
              <w:right w:val="nil"/>
            </w:tcBorders>
            <w:noWrap/>
            <w:vAlign w:val="center"/>
            <w:hideMark/>
          </w:tcPr>
          <w:p w14:paraId="06F64861" w14:textId="77777777" w:rsidR="00677577" w:rsidRPr="00611B2D" w:rsidRDefault="00677577" w:rsidP="00611B2D">
            <w:pPr>
              <w:spacing w:line="240" w:lineRule="auto"/>
              <w:jc w:val="right"/>
              <w:rPr>
                <w:sz w:val="20"/>
                <w:szCs w:val="20"/>
              </w:rPr>
            </w:pPr>
            <w:r w:rsidRPr="00611B2D">
              <w:rPr>
                <w:sz w:val="20"/>
                <w:szCs w:val="20"/>
              </w:rPr>
              <w:t>512.3</w:t>
            </w:r>
          </w:p>
        </w:tc>
        <w:tc>
          <w:tcPr>
            <w:tcW w:w="1928" w:type="dxa"/>
            <w:tcBorders>
              <w:top w:val="nil"/>
              <w:left w:val="nil"/>
              <w:bottom w:val="single" w:sz="4" w:space="0" w:color="auto"/>
              <w:right w:val="single" w:sz="4" w:space="0" w:color="auto"/>
            </w:tcBorders>
            <w:noWrap/>
            <w:vAlign w:val="center"/>
            <w:hideMark/>
          </w:tcPr>
          <w:p w14:paraId="31436744" w14:textId="77777777" w:rsidR="00677577" w:rsidRPr="00611B2D" w:rsidRDefault="00677577" w:rsidP="00611B2D">
            <w:pPr>
              <w:spacing w:line="240" w:lineRule="auto"/>
              <w:jc w:val="right"/>
              <w:rPr>
                <w:sz w:val="20"/>
                <w:szCs w:val="20"/>
              </w:rPr>
            </w:pPr>
            <w:r w:rsidRPr="00611B2D">
              <w:rPr>
                <w:sz w:val="20"/>
                <w:szCs w:val="20"/>
              </w:rPr>
              <w:t>100%</w:t>
            </w:r>
          </w:p>
        </w:tc>
      </w:tr>
    </w:tbl>
    <w:p w14:paraId="0BD0D47D" w14:textId="77777777" w:rsidR="0011475D" w:rsidRDefault="00677577" w:rsidP="00677577">
      <w:pPr>
        <w:pStyle w:val="Source"/>
      </w:pPr>
      <w:r w:rsidRPr="00167CB8">
        <w:rPr>
          <w:b/>
          <w:bCs/>
        </w:rPr>
        <w:t>Source:</w:t>
      </w:r>
      <w:r w:rsidRPr="00167CB8">
        <w:t xml:space="preserve"> ABS Working Arrangements, August 2024 (Cat No 6336.0, Table 6).</w:t>
      </w:r>
    </w:p>
    <w:p w14:paraId="2BDDF1C6" w14:textId="657477C1" w:rsidR="00677577" w:rsidRPr="00167CB8" w:rsidRDefault="00677577" w:rsidP="00677577">
      <w:pPr>
        <w:rPr>
          <w:i/>
          <w:iCs/>
        </w:rPr>
      </w:pPr>
    </w:p>
    <w:p w14:paraId="7C9114AD" w14:textId="77777777" w:rsidR="00677577" w:rsidRPr="00167CB8" w:rsidRDefault="00677577" w:rsidP="00677577">
      <w:pPr>
        <w:sectPr w:rsidR="00677577" w:rsidRPr="00167CB8" w:rsidSect="00677577">
          <w:pgSz w:w="11906" w:h="16838"/>
          <w:pgMar w:top="1440" w:right="1440" w:bottom="1440" w:left="1440" w:header="708" w:footer="708" w:gutter="0"/>
          <w:cols w:space="720"/>
        </w:sectPr>
      </w:pPr>
    </w:p>
    <w:p w14:paraId="64D32DF0" w14:textId="5AFC2228" w:rsidR="00677577" w:rsidRPr="00167CB8" w:rsidRDefault="00365C93" w:rsidP="007F380D">
      <w:pPr>
        <w:pStyle w:val="Caption"/>
      </w:pPr>
      <w:bookmarkStart w:id="810" w:name="_Ref184404290"/>
      <w:bookmarkStart w:id="811" w:name="_Toc186991810"/>
      <w:bookmarkStart w:id="812" w:name="_Toc189310861"/>
      <w:bookmarkStart w:id="813" w:name="_Toc194251459"/>
      <w:r>
        <w:lastRenderedPageBreak/>
        <w:t xml:space="preserve">Table </w:t>
      </w:r>
      <w:r>
        <w:fldChar w:fldCharType="begin"/>
      </w:r>
      <w:r>
        <w:instrText xml:space="preserve"> SEQ Table \* ARABIC </w:instrText>
      </w:r>
      <w:r>
        <w:fldChar w:fldCharType="separate"/>
      </w:r>
      <w:r w:rsidR="00DE5F5E">
        <w:rPr>
          <w:noProof/>
        </w:rPr>
        <w:t>35</w:t>
      </w:r>
      <w:r>
        <w:fldChar w:fldCharType="end"/>
      </w:r>
      <w:r>
        <w:t xml:space="preserve">: </w:t>
      </w:r>
      <w:bookmarkEnd w:id="810"/>
      <w:r w:rsidR="00677577" w:rsidRPr="00167CB8">
        <w:t>Fixed</w:t>
      </w:r>
      <w:r w:rsidR="003B02AF">
        <w:t xml:space="preserve"> </w:t>
      </w:r>
      <w:r w:rsidR="00677577" w:rsidRPr="00167CB8">
        <w:t>term employment, by industry of main job</w:t>
      </w:r>
      <w:bookmarkEnd w:id="811"/>
      <w:bookmarkEnd w:id="812"/>
      <w:bookmarkEnd w:id="813"/>
    </w:p>
    <w:tbl>
      <w:tblPr>
        <w:tblW w:w="13875" w:type="dxa"/>
        <w:tblLayout w:type="fixed"/>
        <w:tblLook w:val="04A0" w:firstRow="1" w:lastRow="0" w:firstColumn="1" w:lastColumn="0" w:noHBand="0" w:noVBand="1"/>
      </w:tblPr>
      <w:tblGrid>
        <w:gridCol w:w="4955"/>
        <w:gridCol w:w="1783"/>
        <w:gridCol w:w="1784"/>
        <w:gridCol w:w="1784"/>
        <w:gridCol w:w="1784"/>
        <w:gridCol w:w="1785"/>
      </w:tblGrid>
      <w:tr w:rsidR="00677577" w:rsidRPr="00167CB8" w14:paraId="18051D66" w14:textId="77777777">
        <w:trPr>
          <w:trHeight w:val="233"/>
        </w:trPr>
        <w:tc>
          <w:tcPr>
            <w:tcW w:w="4957" w:type="dxa"/>
            <w:tcBorders>
              <w:top w:val="single" w:sz="4" w:space="0" w:color="auto"/>
              <w:left w:val="single" w:sz="4" w:space="0" w:color="auto"/>
              <w:bottom w:val="single" w:sz="4" w:space="0" w:color="auto"/>
              <w:right w:val="nil"/>
            </w:tcBorders>
            <w:shd w:val="clear" w:color="auto" w:fill="FFFFFF"/>
            <w:noWrap/>
            <w:vAlign w:val="bottom"/>
            <w:hideMark/>
          </w:tcPr>
          <w:p w14:paraId="149646CD" w14:textId="77777777" w:rsidR="00677577" w:rsidRPr="00EA1F10" w:rsidRDefault="00677577">
            <w:pPr>
              <w:spacing w:after="0" w:line="240" w:lineRule="auto"/>
              <w:rPr>
                <w:b/>
                <w:bCs/>
                <w:sz w:val="18"/>
                <w:szCs w:val="18"/>
              </w:rPr>
            </w:pPr>
            <w:r w:rsidRPr="00EA1F10">
              <w:rPr>
                <w:b/>
                <w:bCs/>
                <w:sz w:val="18"/>
                <w:szCs w:val="18"/>
              </w:rPr>
              <w:t>Industry of main job</w:t>
            </w:r>
          </w:p>
        </w:tc>
        <w:tc>
          <w:tcPr>
            <w:tcW w:w="1784" w:type="dxa"/>
            <w:tcBorders>
              <w:top w:val="single" w:sz="4" w:space="0" w:color="auto"/>
              <w:left w:val="nil"/>
              <w:bottom w:val="single" w:sz="4" w:space="0" w:color="auto"/>
              <w:right w:val="nil"/>
            </w:tcBorders>
            <w:vAlign w:val="center"/>
            <w:hideMark/>
          </w:tcPr>
          <w:p w14:paraId="6426EE8D" w14:textId="3F8055EF" w:rsidR="00677577" w:rsidRPr="00EA1F10" w:rsidRDefault="00677577" w:rsidP="0041090E">
            <w:pPr>
              <w:spacing w:after="0" w:line="240" w:lineRule="auto"/>
              <w:jc w:val="right"/>
              <w:rPr>
                <w:b/>
                <w:bCs/>
                <w:sz w:val="18"/>
                <w:szCs w:val="18"/>
              </w:rPr>
            </w:pPr>
            <w:r w:rsidRPr="00EA1F10">
              <w:rPr>
                <w:b/>
                <w:bCs/>
                <w:sz w:val="18"/>
                <w:szCs w:val="18"/>
              </w:rPr>
              <w:t>Number fixed</w:t>
            </w:r>
            <w:r w:rsidR="003B02AF">
              <w:rPr>
                <w:b/>
                <w:bCs/>
                <w:sz w:val="18"/>
                <w:szCs w:val="18"/>
              </w:rPr>
              <w:t xml:space="preserve"> </w:t>
            </w:r>
            <w:r w:rsidRPr="00EA1F10">
              <w:rPr>
                <w:b/>
                <w:bCs/>
                <w:sz w:val="18"/>
                <w:szCs w:val="18"/>
              </w:rPr>
              <w:t>term at August 2022</w:t>
            </w:r>
          </w:p>
          <w:p w14:paraId="449A8D62" w14:textId="77777777" w:rsidR="00677577" w:rsidRPr="00EA1F10" w:rsidRDefault="00677577" w:rsidP="0041090E">
            <w:pPr>
              <w:spacing w:after="0" w:line="240" w:lineRule="auto"/>
              <w:jc w:val="right"/>
              <w:rPr>
                <w:b/>
                <w:bCs/>
                <w:sz w:val="18"/>
                <w:szCs w:val="18"/>
              </w:rPr>
            </w:pPr>
            <w:r w:rsidRPr="00EA1F10">
              <w:rPr>
                <w:b/>
                <w:bCs/>
                <w:sz w:val="18"/>
                <w:szCs w:val="18"/>
              </w:rPr>
              <w:t>(‘000)</w:t>
            </w:r>
          </w:p>
        </w:tc>
        <w:tc>
          <w:tcPr>
            <w:tcW w:w="1784" w:type="dxa"/>
            <w:tcBorders>
              <w:top w:val="single" w:sz="4" w:space="0" w:color="auto"/>
              <w:left w:val="nil"/>
              <w:bottom w:val="single" w:sz="4" w:space="0" w:color="auto"/>
              <w:right w:val="nil"/>
            </w:tcBorders>
            <w:noWrap/>
            <w:vAlign w:val="center"/>
            <w:hideMark/>
          </w:tcPr>
          <w:p w14:paraId="782ED399" w14:textId="48624850" w:rsidR="00677577" w:rsidRPr="00EA1F10" w:rsidRDefault="00677577" w:rsidP="0041090E">
            <w:pPr>
              <w:spacing w:after="0" w:line="240" w:lineRule="auto"/>
              <w:jc w:val="right"/>
              <w:rPr>
                <w:b/>
                <w:bCs/>
                <w:sz w:val="18"/>
                <w:szCs w:val="18"/>
              </w:rPr>
            </w:pPr>
            <w:r w:rsidRPr="00EA1F10">
              <w:rPr>
                <w:b/>
                <w:bCs/>
                <w:sz w:val="18"/>
                <w:szCs w:val="18"/>
              </w:rPr>
              <w:t>Number fixed</w:t>
            </w:r>
            <w:r w:rsidR="003B02AF">
              <w:rPr>
                <w:b/>
                <w:bCs/>
                <w:sz w:val="18"/>
                <w:szCs w:val="18"/>
              </w:rPr>
              <w:t xml:space="preserve"> </w:t>
            </w:r>
            <w:r w:rsidRPr="00EA1F10">
              <w:rPr>
                <w:b/>
                <w:bCs/>
                <w:sz w:val="18"/>
                <w:szCs w:val="18"/>
              </w:rPr>
              <w:t>term at August 2024</w:t>
            </w:r>
          </w:p>
          <w:p w14:paraId="37787D1C" w14:textId="77777777" w:rsidR="00677577" w:rsidRPr="00EA1F10" w:rsidRDefault="00677577" w:rsidP="0041090E">
            <w:pPr>
              <w:spacing w:after="0" w:line="240" w:lineRule="auto"/>
              <w:jc w:val="right"/>
              <w:rPr>
                <w:b/>
                <w:bCs/>
                <w:sz w:val="18"/>
                <w:szCs w:val="18"/>
              </w:rPr>
            </w:pPr>
            <w:r w:rsidRPr="00EA1F10">
              <w:rPr>
                <w:b/>
                <w:bCs/>
                <w:sz w:val="18"/>
                <w:szCs w:val="18"/>
              </w:rPr>
              <w:t>(‘000)</w:t>
            </w:r>
          </w:p>
        </w:tc>
        <w:tc>
          <w:tcPr>
            <w:tcW w:w="1784" w:type="dxa"/>
            <w:tcBorders>
              <w:top w:val="single" w:sz="4" w:space="0" w:color="auto"/>
              <w:left w:val="nil"/>
              <w:bottom w:val="single" w:sz="4" w:space="0" w:color="auto"/>
              <w:right w:val="nil"/>
            </w:tcBorders>
            <w:hideMark/>
          </w:tcPr>
          <w:p w14:paraId="24645DA3" w14:textId="635136B0" w:rsidR="00677577" w:rsidRPr="00EA1F10" w:rsidRDefault="00677577" w:rsidP="0041090E">
            <w:pPr>
              <w:spacing w:after="0" w:line="240" w:lineRule="auto"/>
              <w:jc w:val="right"/>
              <w:rPr>
                <w:b/>
                <w:bCs/>
                <w:sz w:val="18"/>
                <w:szCs w:val="18"/>
              </w:rPr>
            </w:pPr>
            <w:r w:rsidRPr="00EA1F10">
              <w:rPr>
                <w:b/>
                <w:bCs/>
                <w:sz w:val="18"/>
                <w:szCs w:val="18"/>
              </w:rPr>
              <w:t>Within industry share of employees on fixed</w:t>
            </w:r>
            <w:r w:rsidR="00800964">
              <w:rPr>
                <w:b/>
                <w:bCs/>
                <w:sz w:val="18"/>
                <w:szCs w:val="18"/>
              </w:rPr>
              <w:t xml:space="preserve"> </w:t>
            </w:r>
            <w:r w:rsidRPr="00EA1F10">
              <w:rPr>
                <w:b/>
                <w:bCs/>
                <w:sz w:val="18"/>
                <w:szCs w:val="18"/>
              </w:rPr>
              <w:t>term contracts (2024) (%)</w:t>
            </w:r>
          </w:p>
        </w:tc>
        <w:tc>
          <w:tcPr>
            <w:tcW w:w="1784" w:type="dxa"/>
            <w:tcBorders>
              <w:top w:val="single" w:sz="4" w:space="0" w:color="auto"/>
              <w:left w:val="nil"/>
              <w:bottom w:val="single" w:sz="4" w:space="0" w:color="auto"/>
              <w:right w:val="nil"/>
            </w:tcBorders>
            <w:vAlign w:val="center"/>
            <w:hideMark/>
          </w:tcPr>
          <w:p w14:paraId="3968EE1D" w14:textId="377FD5CB" w:rsidR="00677577" w:rsidRPr="00EA1F10" w:rsidRDefault="00677577" w:rsidP="0041090E">
            <w:pPr>
              <w:spacing w:after="0" w:line="240" w:lineRule="auto"/>
              <w:jc w:val="right"/>
              <w:rPr>
                <w:b/>
                <w:bCs/>
                <w:sz w:val="18"/>
                <w:szCs w:val="18"/>
              </w:rPr>
            </w:pPr>
            <w:r w:rsidRPr="00EA1F10">
              <w:rPr>
                <w:b/>
                <w:bCs/>
                <w:sz w:val="18"/>
                <w:szCs w:val="18"/>
              </w:rPr>
              <w:t>Distribution of fixed</w:t>
            </w:r>
            <w:r w:rsidR="00C16E22">
              <w:rPr>
                <w:b/>
                <w:bCs/>
                <w:sz w:val="18"/>
                <w:szCs w:val="18"/>
              </w:rPr>
              <w:t xml:space="preserve"> </w:t>
            </w:r>
            <w:r w:rsidRPr="00EA1F10">
              <w:rPr>
                <w:b/>
                <w:bCs/>
                <w:sz w:val="18"/>
                <w:szCs w:val="18"/>
              </w:rPr>
              <w:t>term employment at 2024 (%)</w:t>
            </w:r>
          </w:p>
        </w:tc>
        <w:tc>
          <w:tcPr>
            <w:tcW w:w="1785" w:type="dxa"/>
            <w:tcBorders>
              <w:top w:val="single" w:sz="4" w:space="0" w:color="auto"/>
              <w:left w:val="nil"/>
              <w:bottom w:val="single" w:sz="4" w:space="0" w:color="auto"/>
              <w:right w:val="single" w:sz="4" w:space="0" w:color="auto"/>
            </w:tcBorders>
            <w:noWrap/>
            <w:vAlign w:val="center"/>
            <w:hideMark/>
          </w:tcPr>
          <w:p w14:paraId="09839559" w14:textId="22FCE308" w:rsidR="00677577" w:rsidRPr="00EA1F10" w:rsidRDefault="00677577" w:rsidP="0041090E">
            <w:pPr>
              <w:spacing w:after="0" w:line="240" w:lineRule="auto"/>
              <w:jc w:val="right"/>
              <w:rPr>
                <w:sz w:val="18"/>
                <w:szCs w:val="18"/>
              </w:rPr>
            </w:pPr>
            <w:r w:rsidRPr="00EA1F10">
              <w:rPr>
                <w:b/>
                <w:bCs/>
                <w:sz w:val="18"/>
                <w:szCs w:val="18"/>
              </w:rPr>
              <w:t>% share of growth in fixed</w:t>
            </w:r>
            <w:r w:rsidR="00C16E22">
              <w:rPr>
                <w:b/>
                <w:bCs/>
                <w:sz w:val="18"/>
                <w:szCs w:val="18"/>
              </w:rPr>
              <w:t xml:space="preserve"> </w:t>
            </w:r>
            <w:r w:rsidRPr="00EA1F10">
              <w:rPr>
                <w:b/>
                <w:bCs/>
                <w:sz w:val="18"/>
                <w:szCs w:val="18"/>
              </w:rPr>
              <w:t>term employment 2022</w:t>
            </w:r>
            <w:r w:rsidRPr="00EA1F10">
              <w:rPr>
                <w:rFonts w:ascii="Symbol" w:eastAsia="Symbol" w:hAnsi="Symbol" w:cs="Symbol"/>
                <w:b/>
                <w:sz w:val="18"/>
                <w:szCs w:val="18"/>
              </w:rPr>
              <w:sym w:font="Symbol" w:char="F02D"/>
            </w:r>
            <w:r w:rsidRPr="00EA1F10">
              <w:rPr>
                <w:b/>
                <w:bCs/>
                <w:sz w:val="18"/>
                <w:szCs w:val="18"/>
              </w:rPr>
              <w:t>2024</w:t>
            </w:r>
          </w:p>
        </w:tc>
      </w:tr>
      <w:tr w:rsidR="00677577" w:rsidRPr="00167CB8" w14:paraId="7D1CA84C" w14:textId="77777777">
        <w:trPr>
          <w:trHeight w:val="233"/>
        </w:trPr>
        <w:tc>
          <w:tcPr>
            <w:tcW w:w="4957" w:type="dxa"/>
            <w:tcBorders>
              <w:top w:val="single" w:sz="4" w:space="0" w:color="auto"/>
              <w:left w:val="single" w:sz="4" w:space="0" w:color="auto"/>
              <w:bottom w:val="nil"/>
              <w:right w:val="nil"/>
            </w:tcBorders>
            <w:shd w:val="clear" w:color="auto" w:fill="FFFFFF"/>
            <w:noWrap/>
            <w:vAlign w:val="center"/>
          </w:tcPr>
          <w:p w14:paraId="17459006" w14:textId="77777777" w:rsidR="00677577" w:rsidRPr="00E12A27" w:rsidRDefault="00677577">
            <w:pPr>
              <w:spacing w:after="0" w:line="240" w:lineRule="auto"/>
              <w:rPr>
                <w:sz w:val="20"/>
                <w:szCs w:val="20"/>
              </w:rPr>
            </w:pPr>
          </w:p>
        </w:tc>
        <w:tc>
          <w:tcPr>
            <w:tcW w:w="1784" w:type="dxa"/>
            <w:tcBorders>
              <w:top w:val="single" w:sz="4" w:space="0" w:color="auto"/>
              <w:left w:val="nil"/>
              <w:bottom w:val="nil"/>
              <w:right w:val="nil"/>
            </w:tcBorders>
            <w:vAlign w:val="center"/>
            <w:hideMark/>
          </w:tcPr>
          <w:p w14:paraId="62B2F1F8" w14:textId="77777777" w:rsidR="00677577" w:rsidRPr="00E12A27" w:rsidRDefault="00677577" w:rsidP="0041090E">
            <w:pPr>
              <w:spacing w:after="0" w:line="240" w:lineRule="auto"/>
              <w:jc w:val="right"/>
              <w:rPr>
                <w:sz w:val="20"/>
                <w:szCs w:val="20"/>
              </w:rPr>
            </w:pPr>
            <w:r w:rsidRPr="00E12A27">
              <w:rPr>
                <w:sz w:val="20"/>
                <w:szCs w:val="20"/>
              </w:rPr>
              <w:t>(1)</w:t>
            </w:r>
          </w:p>
        </w:tc>
        <w:tc>
          <w:tcPr>
            <w:tcW w:w="1784" w:type="dxa"/>
            <w:tcBorders>
              <w:top w:val="single" w:sz="4" w:space="0" w:color="auto"/>
              <w:left w:val="nil"/>
              <w:bottom w:val="nil"/>
              <w:right w:val="nil"/>
            </w:tcBorders>
            <w:noWrap/>
            <w:vAlign w:val="center"/>
            <w:hideMark/>
          </w:tcPr>
          <w:p w14:paraId="05F9B55A" w14:textId="77777777" w:rsidR="00677577" w:rsidRPr="00E12A27" w:rsidRDefault="00677577" w:rsidP="0041090E">
            <w:pPr>
              <w:spacing w:after="0" w:line="240" w:lineRule="auto"/>
              <w:jc w:val="right"/>
              <w:rPr>
                <w:sz w:val="20"/>
                <w:szCs w:val="20"/>
              </w:rPr>
            </w:pPr>
            <w:r w:rsidRPr="00E12A27">
              <w:rPr>
                <w:sz w:val="20"/>
                <w:szCs w:val="20"/>
              </w:rPr>
              <w:t>(2)</w:t>
            </w:r>
          </w:p>
        </w:tc>
        <w:tc>
          <w:tcPr>
            <w:tcW w:w="1784" w:type="dxa"/>
            <w:tcBorders>
              <w:top w:val="single" w:sz="4" w:space="0" w:color="auto"/>
              <w:left w:val="nil"/>
              <w:bottom w:val="nil"/>
              <w:right w:val="nil"/>
            </w:tcBorders>
            <w:vAlign w:val="center"/>
            <w:hideMark/>
          </w:tcPr>
          <w:p w14:paraId="57AEF3A4" w14:textId="77777777" w:rsidR="00677577" w:rsidRPr="00E12A27" w:rsidRDefault="00677577" w:rsidP="0041090E">
            <w:pPr>
              <w:spacing w:after="0" w:line="240" w:lineRule="auto"/>
              <w:jc w:val="right"/>
              <w:rPr>
                <w:sz w:val="20"/>
                <w:szCs w:val="20"/>
              </w:rPr>
            </w:pPr>
            <w:r w:rsidRPr="00E12A27">
              <w:rPr>
                <w:sz w:val="20"/>
                <w:szCs w:val="20"/>
              </w:rPr>
              <w:t>(3)</w:t>
            </w:r>
          </w:p>
        </w:tc>
        <w:tc>
          <w:tcPr>
            <w:tcW w:w="1784" w:type="dxa"/>
            <w:tcBorders>
              <w:top w:val="single" w:sz="4" w:space="0" w:color="auto"/>
              <w:left w:val="nil"/>
              <w:bottom w:val="nil"/>
              <w:right w:val="nil"/>
            </w:tcBorders>
            <w:vAlign w:val="center"/>
            <w:hideMark/>
          </w:tcPr>
          <w:p w14:paraId="6DC5D263" w14:textId="77777777" w:rsidR="00677577" w:rsidRPr="00E12A27" w:rsidRDefault="00677577" w:rsidP="0041090E">
            <w:pPr>
              <w:spacing w:after="0" w:line="240" w:lineRule="auto"/>
              <w:jc w:val="right"/>
              <w:rPr>
                <w:sz w:val="20"/>
                <w:szCs w:val="20"/>
              </w:rPr>
            </w:pPr>
            <w:r w:rsidRPr="00E12A27">
              <w:rPr>
                <w:sz w:val="20"/>
                <w:szCs w:val="20"/>
              </w:rPr>
              <w:t>(4)</w:t>
            </w:r>
          </w:p>
        </w:tc>
        <w:tc>
          <w:tcPr>
            <w:tcW w:w="1785" w:type="dxa"/>
            <w:tcBorders>
              <w:top w:val="single" w:sz="4" w:space="0" w:color="auto"/>
              <w:left w:val="nil"/>
              <w:bottom w:val="nil"/>
              <w:right w:val="single" w:sz="4" w:space="0" w:color="auto"/>
            </w:tcBorders>
            <w:noWrap/>
            <w:vAlign w:val="center"/>
            <w:hideMark/>
          </w:tcPr>
          <w:p w14:paraId="59250AD0" w14:textId="77777777" w:rsidR="00677577" w:rsidRPr="00E12A27" w:rsidRDefault="00677577" w:rsidP="0041090E">
            <w:pPr>
              <w:spacing w:after="0" w:line="240" w:lineRule="auto"/>
              <w:jc w:val="right"/>
              <w:rPr>
                <w:sz w:val="20"/>
                <w:szCs w:val="20"/>
              </w:rPr>
            </w:pPr>
            <w:r w:rsidRPr="00E12A27">
              <w:rPr>
                <w:sz w:val="20"/>
                <w:szCs w:val="20"/>
              </w:rPr>
              <w:t>(5)</w:t>
            </w:r>
          </w:p>
        </w:tc>
      </w:tr>
      <w:tr w:rsidR="00677577" w:rsidRPr="00167CB8" w14:paraId="3CFB52BF" w14:textId="77777777">
        <w:trPr>
          <w:trHeight w:val="283"/>
        </w:trPr>
        <w:tc>
          <w:tcPr>
            <w:tcW w:w="4957" w:type="dxa"/>
            <w:tcBorders>
              <w:top w:val="single" w:sz="4" w:space="0" w:color="auto"/>
              <w:left w:val="single" w:sz="4" w:space="0" w:color="auto"/>
              <w:bottom w:val="nil"/>
              <w:right w:val="nil"/>
            </w:tcBorders>
            <w:shd w:val="clear" w:color="auto" w:fill="FFFFFF"/>
            <w:noWrap/>
            <w:vAlign w:val="center"/>
            <w:hideMark/>
          </w:tcPr>
          <w:p w14:paraId="4F716A8A" w14:textId="77777777" w:rsidR="00677577" w:rsidRPr="00E12A27" w:rsidRDefault="00677577">
            <w:pPr>
              <w:spacing w:after="0" w:line="240" w:lineRule="auto"/>
              <w:rPr>
                <w:sz w:val="20"/>
                <w:szCs w:val="20"/>
              </w:rPr>
            </w:pPr>
            <w:r w:rsidRPr="00E12A27">
              <w:rPr>
                <w:sz w:val="20"/>
                <w:szCs w:val="20"/>
              </w:rPr>
              <w:t>Agriculture, forestry and fishing</w:t>
            </w:r>
          </w:p>
        </w:tc>
        <w:tc>
          <w:tcPr>
            <w:tcW w:w="1784" w:type="dxa"/>
            <w:tcBorders>
              <w:top w:val="single" w:sz="4" w:space="0" w:color="auto"/>
              <w:left w:val="nil"/>
              <w:bottom w:val="nil"/>
              <w:right w:val="nil"/>
            </w:tcBorders>
            <w:vAlign w:val="center"/>
            <w:hideMark/>
          </w:tcPr>
          <w:p w14:paraId="4D10FE95" w14:textId="77777777" w:rsidR="00677577" w:rsidRPr="00E12A27" w:rsidRDefault="00677577" w:rsidP="0041090E">
            <w:pPr>
              <w:spacing w:after="0" w:line="240" w:lineRule="auto"/>
              <w:jc w:val="right"/>
              <w:rPr>
                <w:sz w:val="20"/>
                <w:szCs w:val="20"/>
              </w:rPr>
            </w:pPr>
            <w:r w:rsidRPr="00E12A27">
              <w:rPr>
                <w:sz w:val="20"/>
                <w:szCs w:val="20"/>
              </w:rPr>
              <w:t>0.7</w:t>
            </w:r>
          </w:p>
        </w:tc>
        <w:tc>
          <w:tcPr>
            <w:tcW w:w="1784" w:type="dxa"/>
            <w:tcBorders>
              <w:top w:val="single" w:sz="4" w:space="0" w:color="auto"/>
              <w:left w:val="nil"/>
              <w:bottom w:val="nil"/>
              <w:right w:val="nil"/>
            </w:tcBorders>
            <w:noWrap/>
            <w:vAlign w:val="center"/>
            <w:hideMark/>
          </w:tcPr>
          <w:p w14:paraId="20037ACA" w14:textId="77777777" w:rsidR="00677577" w:rsidRPr="00E12A27" w:rsidRDefault="00677577" w:rsidP="0041090E">
            <w:pPr>
              <w:spacing w:after="0" w:line="240" w:lineRule="auto"/>
              <w:jc w:val="right"/>
              <w:rPr>
                <w:sz w:val="20"/>
                <w:szCs w:val="20"/>
              </w:rPr>
            </w:pPr>
            <w:r w:rsidRPr="00E12A27">
              <w:rPr>
                <w:sz w:val="20"/>
                <w:szCs w:val="20"/>
              </w:rPr>
              <w:t>2.8</w:t>
            </w:r>
          </w:p>
        </w:tc>
        <w:tc>
          <w:tcPr>
            <w:tcW w:w="1784" w:type="dxa"/>
            <w:tcBorders>
              <w:top w:val="single" w:sz="4" w:space="0" w:color="auto"/>
              <w:left w:val="nil"/>
              <w:bottom w:val="nil"/>
              <w:right w:val="nil"/>
            </w:tcBorders>
            <w:vAlign w:val="center"/>
            <w:hideMark/>
          </w:tcPr>
          <w:p w14:paraId="408A56FF" w14:textId="77777777" w:rsidR="00677577" w:rsidRPr="00E12A27" w:rsidRDefault="00677577" w:rsidP="0041090E">
            <w:pPr>
              <w:spacing w:after="0" w:line="240" w:lineRule="auto"/>
              <w:jc w:val="right"/>
              <w:rPr>
                <w:sz w:val="20"/>
                <w:szCs w:val="20"/>
              </w:rPr>
            </w:pPr>
            <w:r w:rsidRPr="00E12A27">
              <w:rPr>
                <w:sz w:val="20"/>
                <w:szCs w:val="20"/>
              </w:rPr>
              <w:t>2.2%</w:t>
            </w:r>
          </w:p>
        </w:tc>
        <w:tc>
          <w:tcPr>
            <w:tcW w:w="1784" w:type="dxa"/>
            <w:tcBorders>
              <w:top w:val="single" w:sz="4" w:space="0" w:color="auto"/>
              <w:left w:val="nil"/>
              <w:bottom w:val="nil"/>
              <w:right w:val="nil"/>
            </w:tcBorders>
            <w:vAlign w:val="center"/>
            <w:hideMark/>
          </w:tcPr>
          <w:p w14:paraId="163856A5" w14:textId="77777777" w:rsidR="00677577" w:rsidRPr="00E12A27" w:rsidRDefault="00677577" w:rsidP="0041090E">
            <w:pPr>
              <w:spacing w:after="0" w:line="240" w:lineRule="auto"/>
              <w:jc w:val="right"/>
              <w:rPr>
                <w:sz w:val="20"/>
                <w:szCs w:val="20"/>
              </w:rPr>
            </w:pPr>
            <w:r w:rsidRPr="00E12A27">
              <w:rPr>
                <w:sz w:val="20"/>
                <w:szCs w:val="20"/>
              </w:rPr>
              <w:t>0.6%</w:t>
            </w:r>
          </w:p>
        </w:tc>
        <w:tc>
          <w:tcPr>
            <w:tcW w:w="1785" w:type="dxa"/>
            <w:tcBorders>
              <w:top w:val="single" w:sz="4" w:space="0" w:color="auto"/>
              <w:left w:val="nil"/>
              <w:bottom w:val="nil"/>
              <w:right w:val="single" w:sz="4" w:space="0" w:color="auto"/>
            </w:tcBorders>
            <w:noWrap/>
            <w:vAlign w:val="center"/>
            <w:hideMark/>
          </w:tcPr>
          <w:p w14:paraId="0A60C1E6" w14:textId="77777777" w:rsidR="00677577" w:rsidRPr="00E12A27" w:rsidRDefault="00677577" w:rsidP="0041090E">
            <w:pPr>
              <w:spacing w:after="0" w:line="240" w:lineRule="auto"/>
              <w:jc w:val="right"/>
              <w:rPr>
                <w:sz w:val="20"/>
                <w:szCs w:val="20"/>
              </w:rPr>
            </w:pPr>
            <w:r w:rsidRPr="00E12A27">
              <w:rPr>
                <w:sz w:val="20"/>
                <w:szCs w:val="20"/>
              </w:rPr>
              <w:t>1.7%</w:t>
            </w:r>
          </w:p>
        </w:tc>
      </w:tr>
      <w:tr w:rsidR="00677577" w:rsidRPr="00167CB8" w14:paraId="7C18D9B7" w14:textId="77777777">
        <w:trPr>
          <w:trHeight w:val="283"/>
        </w:trPr>
        <w:tc>
          <w:tcPr>
            <w:tcW w:w="4957" w:type="dxa"/>
            <w:tcBorders>
              <w:top w:val="nil"/>
              <w:left w:val="single" w:sz="4" w:space="0" w:color="auto"/>
              <w:bottom w:val="nil"/>
              <w:right w:val="nil"/>
            </w:tcBorders>
            <w:shd w:val="clear" w:color="auto" w:fill="FFFFFF"/>
            <w:noWrap/>
            <w:vAlign w:val="center"/>
            <w:hideMark/>
          </w:tcPr>
          <w:p w14:paraId="10A23A16" w14:textId="77777777" w:rsidR="00677577" w:rsidRPr="00E12A27" w:rsidRDefault="00677577">
            <w:pPr>
              <w:spacing w:after="0" w:line="240" w:lineRule="auto"/>
              <w:rPr>
                <w:sz w:val="20"/>
                <w:szCs w:val="20"/>
              </w:rPr>
            </w:pPr>
            <w:r w:rsidRPr="00E12A27">
              <w:rPr>
                <w:sz w:val="20"/>
                <w:szCs w:val="20"/>
              </w:rPr>
              <w:t>Mining</w:t>
            </w:r>
          </w:p>
        </w:tc>
        <w:tc>
          <w:tcPr>
            <w:tcW w:w="1784" w:type="dxa"/>
            <w:vAlign w:val="center"/>
            <w:hideMark/>
          </w:tcPr>
          <w:p w14:paraId="3A9B2985" w14:textId="77777777" w:rsidR="00677577" w:rsidRPr="00E12A27" w:rsidRDefault="00677577" w:rsidP="0041090E">
            <w:pPr>
              <w:spacing w:after="0" w:line="240" w:lineRule="auto"/>
              <w:jc w:val="right"/>
              <w:rPr>
                <w:sz w:val="20"/>
                <w:szCs w:val="20"/>
              </w:rPr>
            </w:pPr>
            <w:r w:rsidRPr="00E12A27">
              <w:rPr>
                <w:sz w:val="20"/>
                <w:szCs w:val="20"/>
              </w:rPr>
              <w:t>4.4</w:t>
            </w:r>
          </w:p>
        </w:tc>
        <w:tc>
          <w:tcPr>
            <w:tcW w:w="1784" w:type="dxa"/>
            <w:noWrap/>
            <w:vAlign w:val="center"/>
            <w:hideMark/>
          </w:tcPr>
          <w:p w14:paraId="6D94B0C0" w14:textId="77777777" w:rsidR="00677577" w:rsidRPr="00E12A27" w:rsidRDefault="00677577" w:rsidP="0041090E">
            <w:pPr>
              <w:spacing w:after="0" w:line="240" w:lineRule="auto"/>
              <w:jc w:val="right"/>
              <w:rPr>
                <w:sz w:val="20"/>
                <w:szCs w:val="20"/>
              </w:rPr>
            </w:pPr>
            <w:r w:rsidRPr="00E12A27">
              <w:rPr>
                <w:sz w:val="20"/>
                <w:szCs w:val="20"/>
              </w:rPr>
              <w:t>11.2</w:t>
            </w:r>
          </w:p>
        </w:tc>
        <w:tc>
          <w:tcPr>
            <w:tcW w:w="1784" w:type="dxa"/>
            <w:vAlign w:val="center"/>
            <w:hideMark/>
          </w:tcPr>
          <w:p w14:paraId="7C4DA2FE" w14:textId="77777777" w:rsidR="00677577" w:rsidRPr="00E12A27" w:rsidRDefault="00677577" w:rsidP="0041090E">
            <w:pPr>
              <w:spacing w:after="0" w:line="240" w:lineRule="auto"/>
              <w:jc w:val="right"/>
              <w:rPr>
                <w:sz w:val="20"/>
                <w:szCs w:val="20"/>
              </w:rPr>
            </w:pPr>
            <w:r w:rsidRPr="00E12A27">
              <w:rPr>
                <w:sz w:val="20"/>
                <w:szCs w:val="20"/>
              </w:rPr>
              <w:t>4.3%</w:t>
            </w:r>
          </w:p>
        </w:tc>
        <w:tc>
          <w:tcPr>
            <w:tcW w:w="1784" w:type="dxa"/>
            <w:vAlign w:val="center"/>
            <w:hideMark/>
          </w:tcPr>
          <w:p w14:paraId="4972E42E" w14:textId="77777777" w:rsidR="00677577" w:rsidRPr="00E12A27" w:rsidRDefault="00677577" w:rsidP="0041090E">
            <w:pPr>
              <w:spacing w:after="0" w:line="240" w:lineRule="auto"/>
              <w:jc w:val="right"/>
              <w:rPr>
                <w:sz w:val="20"/>
                <w:szCs w:val="20"/>
              </w:rPr>
            </w:pPr>
            <w:r w:rsidRPr="00E12A27">
              <w:rPr>
                <w:sz w:val="20"/>
                <w:szCs w:val="20"/>
              </w:rPr>
              <w:t>2.2%</w:t>
            </w:r>
          </w:p>
        </w:tc>
        <w:tc>
          <w:tcPr>
            <w:tcW w:w="1785" w:type="dxa"/>
            <w:tcBorders>
              <w:top w:val="nil"/>
              <w:left w:val="nil"/>
              <w:bottom w:val="nil"/>
              <w:right w:val="single" w:sz="4" w:space="0" w:color="auto"/>
            </w:tcBorders>
            <w:noWrap/>
            <w:vAlign w:val="center"/>
            <w:hideMark/>
          </w:tcPr>
          <w:p w14:paraId="57A8A6EE" w14:textId="77777777" w:rsidR="00677577" w:rsidRPr="00E12A27" w:rsidRDefault="00677577" w:rsidP="0041090E">
            <w:pPr>
              <w:spacing w:after="0" w:line="240" w:lineRule="auto"/>
              <w:jc w:val="right"/>
              <w:rPr>
                <w:sz w:val="20"/>
                <w:szCs w:val="20"/>
              </w:rPr>
            </w:pPr>
            <w:r w:rsidRPr="00E12A27">
              <w:rPr>
                <w:sz w:val="20"/>
                <w:szCs w:val="20"/>
              </w:rPr>
              <w:t>5.6%</w:t>
            </w:r>
          </w:p>
        </w:tc>
      </w:tr>
      <w:tr w:rsidR="00677577" w:rsidRPr="00167CB8" w14:paraId="7BD55316" w14:textId="77777777">
        <w:trPr>
          <w:trHeight w:val="283"/>
        </w:trPr>
        <w:tc>
          <w:tcPr>
            <w:tcW w:w="4957" w:type="dxa"/>
            <w:tcBorders>
              <w:top w:val="nil"/>
              <w:left w:val="single" w:sz="4" w:space="0" w:color="auto"/>
              <w:bottom w:val="nil"/>
              <w:right w:val="nil"/>
            </w:tcBorders>
            <w:shd w:val="clear" w:color="auto" w:fill="FFFFFF"/>
            <w:noWrap/>
            <w:vAlign w:val="center"/>
            <w:hideMark/>
          </w:tcPr>
          <w:p w14:paraId="606538D7" w14:textId="77777777" w:rsidR="00677577" w:rsidRPr="00E12A27" w:rsidRDefault="00677577">
            <w:pPr>
              <w:spacing w:after="0" w:line="240" w:lineRule="auto"/>
              <w:rPr>
                <w:sz w:val="20"/>
                <w:szCs w:val="20"/>
              </w:rPr>
            </w:pPr>
            <w:r w:rsidRPr="00E12A27">
              <w:rPr>
                <w:sz w:val="20"/>
                <w:szCs w:val="20"/>
              </w:rPr>
              <w:t>Manufacturing</w:t>
            </w:r>
          </w:p>
        </w:tc>
        <w:tc>
          <w:tcPr>
            <w:tcW w:w="1784" w:type="dxa"/>
            <w:vAlign w:val="center"/>
            <w:hideMark/>
          </w:tcPr>
          <w:p w14:paraId="26427795" w14:textId="77777777" w:rsidR="00677577" w:rsidRPr="00E12A27" w:rsidRDefault="00677577" w:rsidP="0041090E">
            <w:pPr>
              <w:spacing w:after="0" w:line="240" w:lineRule="auto"/>
              <w:jc w:val="right"/>
              <w:rPr>
                <w:sz w:val="20"/>
                <w:szCs w:val="20"/>
              </w:rPr>
            </w:pPr>
            <w:r w:rsidRPr="00E12A27">
              <w:rPr>
                <w:sz w:val="20"/>
                <w:szCs w:val="20"/>
              </w:rPr>
              <w:t>9.8</w:t>
            </w:r>
          </w:p>
        </w:tc>
        <w:tc>
          <w:tcPr>
            <w:tcW w:w="1784" w:type="dxa"/>
            <w:noWrap/>
            <w:vAlign w:val="center"/>
            <w:hideMark/>
          </w:tcPr>
          <w:p w14:paraId="5EF2630C" w14:textId="77777777" w:rsidR="00677577" w:rsidRPr="00E12A27" w:rsidRDefault="00677577" w:rsidP="0041090E">
            <w:pPr>
              <w:spacing w:after="0" w:line="240" w:lineRule="auto"/>
              <w:jc w:val="right"/>
              <w:rPr>
                <w:sz w:val="20"/>
                <w:szCs w:val="20"/>
              </w:rPr>
            </w:pPr>
            <w:r w:rsidRPr="00E12A27">
              <w:rPr>
                <w:sz w:val="20"/>
                <w:szCs w:val="20"/>
              </w:rPr>
              <w:t>10.2</w:t>
            </w:r>
          </w:p>
        </w:tc>
        <w:tc>
          <w:tcPr>
            <w:tcW w:w="1784" w:type="dxa"/>
            <w:vAlign w:val="center"/>
            <w:hideMark/>
          </w:tcPr>
          <w:p w14:paraId="13CEADFC" w14:textId="77777777" w:rsidR="00677577" w:rsidRPr="00E12A27" w:rsidRDefault="00677577" w:rsidP="0041090E">
            <w:pPr>
              <w:spacing w:after="0" w:line="240" w:lineRule="auto"/>
              <w:jc w:val="right"/>
              <w:rPr>
                <w:sz w:val="20"/>
                <w:szCs w:val="20"/>
              </w:rPr>
            </w:pPr>
            <w:r w:rsidRPr="00E12A27">
              <w:rPr>
                <w:sz w:val="20"/>
                <w:szCs w:val="20"/>
              </w:rPr>
              <w:t>1.3%</w:t>
            </w:r>
          </w:p>
        </w:tc>
        <w:tc>
          <w:tcPr>
            <w:tcW w:w="1784" w:type="dxa"/>
            <w:vAlign w:val="center"/>
            <w:hideMark/>
          </w:tcPr>
          <w:p w14:paraId="7AF5623A" w14:textId="77777777" w:rsidR="00677577" w:rsidRPr="00E12A27" w:rsidRDefault="00677577" w:rsidP="0041090E">
            <w:pPr>
              <w:spacing w:after="0" w:line="240" w:lineRule="auto"/>
              <w:jc w:val="right"/>
              <w:rPr>
                <w:sz w:val="20"/>
                <w:szCs w:val="20"/>
              </w:rPr>
            </w:pPr>
            <w:r w:rsidRPr="00E12A27">
              <w:rPr>
                <w:sz w:val="20"/>
                <w:szCs w:val="20"/>
              </w:rPr>
              <w:t>2.0%</w:t>
            </w:r>
          </w:p>
        </w:tc>
        <w:tc>
          <w:tcPr>
            <w:tcW w:w="1785" w:type="dxa"/>
            <w:tcBorders>
              <w:top w:val="nil"/>
              <w:left w:val="nil"/>
              <w:bottom w:val="nil"/>
              <w:right w:val="single" w:sz="4" w:space="0" w:color="auto"/>
            </w:tcBorders>
            <w:noWrap/>
            <w:vAlign w:val="center"/>
            <w:hideMark/>
          </w:tcPr>
          <w:p w14:paraId="32C6486D" w14:textId="77777777" w:rsidR="00677577" w:rsidRPr="00E12A27" w:rsidRDefault="00677577" w:rsidP="0041090E">
            <w:pPr>
              <w:spacing w:after="0" w:line="240" w:lineRule="auto"/>
              <w:jc w:val="right"/>
              <w:rPr>
                <w:sz w:val="20"/>
                <w:szCs w:val="20"/>
              </w:rPr>
            </w:pPr>
            <w:r w:rsidRPr="00E12A27">
              <w:rPr>
                <w:sz w:val="20"/>
                <w:szCs w:val="20"/>
              </w:rPr>
              <w:t>0.3%</w:t>
            </w:r>
          </w:p>
        </w:tc>
      </w:tr>
      <w:tr w:rsidR="00677577" w:rsidRPr="00167CB8" w14:paraId="3D4FB87D" w14:textId="77777777">
        <w:trPr>
          <w:trHeight w:val="283"/>
        </w:trPr>
        <w:tc>
          <w:tcPr>
            <w:tcW w:w="4957" w:type="dxa"/>
            <w:tcBorders>
              <w:top w:val="nil"/>
              <w:left w:val="single" w:sz="4" w:space="0" w:color="auto"/>
              <w:bottom w:val="nil"/>
              <w:right w:val="nil"/>
            </w:tcBorders>
            <w:shd w:val="clear" w:color="auto" w:fill="FFFFFF"/>
            <w:noWrap/>
            <w:vAlign w:val="center"/>
            <w:hideMark/>
          </w:tcPr>
          <w:p w14:paraId="41E17CDC" w14:textId="77777777" w:rsidR="00677577" w:rsidRPr="00E12A27" w:rsidRDefault="00677577">
            <w:pPr>
              <w:spacing w:after="0" w:line="240" w:lineRule="auto"/>
              <w:rPr>
                <w:sz w:val="20"/>
                <w:szCs w:val="20"/>
              </w:rPr>
            </w:pPr>
            <w:r w:rsidRPr="00E12A27">
              <w:rPr>
                <w:sz w:val="20"/>
                <w:szCs w:val="20"/>
              </w:rPr>
              <w:t>Electricity, gas, water and waste services</w:t>
            </w:r>
          </w:p>
        </w:tc>
        <w:tc>
          <w:tcPr>
            <w:tcW w:w="1784" w:type="dxa"/>
            <w:vAlign w:val="center"/>
            <w:hideMark/>
          </w:tcPr>
          <w:p w14:paraId="027FE628" w14:textId="77777777" w:rsidR="00677577" w:rsidRPr="00E12A27" w:rsidRDefault="00677577" w:rsidP="0041090E">
            <w:pPr>
              <w:spacing w:after="0" w:line="240" w:lineRule="auto"/>
              <w:jc w:val="right"/>
              <w:rPr>
                <w:sz w:val="20"/>
                <w:szCs w:val="20"/>
              </w:rPr>
            </w:pPr>
            <w:r w:rsidRPr="00E12A27">
              <w:rPr>
                <w:sz w:val="20"/>
                <w:szCs w:val="20"/>
              </w:rPr>
              <w:t>5.8</w:t>
            </w:r>
          </w:p>
        </w:tc>
        <w:tc>
          <w:tcPr>
            <w:tcW w:w="1784" w:type="dxa"/>
            <w:noWrap/>
            <w:vAlign w:val="center"/>
            <w:hideMark/>
          </w:tcPr>
          <w:p w14:paraId="7FAD4506" w14:textId="77777777" w:rsidR="00677577" w:rsidRPr="00E12A27" w:rsidRDefault="00677577" w:rsidP="0041090E">
            <w:pPr>
              <w:spacing w:after="0" w:line="240" w:lineRule="auto"/>
              <w:jc w:val="right"/>
              <w:rPr>
                <w:sz w:val="20"/>
                <w:szCs w:val="20"/>
              </w:rPr>
            </w:pPr>
            <w:r w:rsidRPr="00E12A27">
              <w:rPr>
                <w:sz w:val="20"/>
                <w:szCs w:val="20"/>
              </w:rPr>
              <w:t>7.7</w:t>
            </w:r>
          </w:p>
        </w:tc>
        <w:tc>
          <w:tcPr>
            <w:tcW w:w="1784" w:type="dxa"/>
            <w:vAlign w:val="center"/>
            <w:hideMark/>
          </w:tcPr>
          <w:p w14:paraId="353DF5BD" w14:textId="77777777" w:rsidR="00677577" w:rsidRPr="00E12A27" w:rsidRDefault="00677577" w:rsidP="0041090E">
            <w:pPr>
              <w:spacing w:after="0" w:line="240" w:lineRule="auto"/>
              <w:jc w:val="right"/>
              <w:rPr>
                <w:sz w:val="20"/>
                <w:szCs w:val="20"/>
              </w:rPr>
            </w:pPr>
            <w:r w:rsidRPr="00E12A27">
              <w:rPr>
                <w:sz w:val="20"/>
                <w:szCs w:val="20"/>
              </w:rPr>
              <w:t>3.7%</w:t>
            </w:r>
          </w:p>
        </w:tc>
        <w:tc>
          <w:tcPr>
            <w:tcW w:w="1784" w:type="dxa"/>
            <w:vAlign w:val="center"/>
            <w:hideMark/>
          </w:tcPr>
          <w:p w14:paraId="25091620" w14:textId="77777777" w:rsidR="00677577" w:rsidRPr="00E12A27" w:rsidRDefault="00677577" w:rsidP="0041090E">
            <w:pPr>
              <w:spacing w:after="0" w:line="240" w:lineRule="auto"/>
              <w:jc w:val="right"/>
              <w:rPr>
                <w:sz w:val="20"/>
                <w:szCs w:val="20"/>
              </w:rPr>
            </w:pPr>
            <w:r w:rsidRPr="00E12A27">
              <w:rPr>
                <w:sz w:val="20"/>
                <w:szCs w:val="20"/>
              </w:rPr>
              <w:t>1.5%</w:t>
            </w:r>
          </w:p>
        </w:tc>
        <w:tc>
          <w:tcPr>
            <w:tcW w:w="1785" w:type="dxa"/>
            <w:tcBorders>
              <w:top w:val="nil"/>
              <w:left w:val="nil"/>
              <w:bottom w:val="nil"/>
              <w:right w:val="single" w:sz="4" w:space="0" w:color="auto"/>
            </w:tcBorders>
            <w:noWrap/>
            <w:vAlign w:val="center"/>
            <w:hideMark/>
          </w:tcPr>
          <w:p w14:paraId="68A28185" w14:textId="77777777" w:rsidR="00677577" w:rsidRPr="00E12A27" w:rsidRDefault="00677577" w:rsidP="0041090E">
            <w:pPr>
              <w:spacing w:after="0" w:line="240" w:lineRule="auto"/>
              <w:jc w:val="right"/>
              <w:rPr>
                <w:sz w:val="20"/>
                <w:szCs w:val="20"/>
              </w:rPr>
            </w:pPr>
            <w:r w:rsidRPr="00E12A27">
              <w:rPr>
                <w:sz w:val="20"/>
                <w:szCs w:val="20"/>
              </w:rPr>
              <w:t>1.5%</w:t>
            </w:r>
          </w:p>
        </w:tc>
      </w:tr>
      <w:tr w:rsidR="00677577" w:rsidRPr="00167CB8" w14:paraId="173C57ED" w14:textId="77777777">
        <w:trPr>
          <w:trHeight w:val="283"/>
        </w:trPr>
        <w:tc>
          <w:tcPr>
            <w:tcW w:w="4957" w:type="dxa"/>
            <w:tcBorders>
              <w:top w:val="nil"/>
              <w:left w:val="single" w:sz="4" w:space="0" w:color="auto"/>
              <w:bottom w:val="nil"/>
              <w:right w:val="nil"/>
            </w:tcBorders>
            <w:shd w:val="clear" w:color="auto" w:fill="FFFFFF"/>
            <w:noWrap/>
            <w:vAlign w:val="center"/>
            <w:hideMark/>
          </w:tcPr>
          <w:p w14:paraId="36655FD7" w14:textId="77777777" w:rsidR="00677577" w:rsidRPr="00E12A27" w:rsidRDefault="00677577">
            <w:pPr>
              <w:spacing w:after="0" w:line="240" w:lineRule="auto"/>
              <w:rPr>
                <w:sz w:val="20"/>
                <w:szCs w:val="20"/>
              </w:rPr>
            </w:pPr>
            <w:r w:rsidRPr="00E12A27">
              <w:rPr>
                <w:sz w:val="20"/>
                <w:szCs w:val="20"/>
              </w:rPr>
              <w:t>Construction</w:t>
            </w:r>
          </w:p>
        </w:tc>
        <w:tc>
          <w:tcPr>
            <w:tcW w:w="1784" w:type="dxa"/>
            <w:vAlign w:val="center"/>
            <w:hideMark/>
          </w:tcPr>
          <w:p w14:paraId="6A1A7912" w14:textId="77777777" w:rsidR="00677577" w:rsidRPr="00E12A27" w:rsidRDefault="00677577" w:rsidP="0041090E">
            <w:pPr>
              <w:spacing w:after="0" w:line="240" w:lineRule="auto"/>
              <w:jc w:val="right"/>
              <w:rPr>
                <w:sz w:val="20"/>
                <w:szCs w:val="20"/>
              </w:rPr>
            </w:pPr>
            <w:r w:rsidRPr="00E12A27">
              <w:rPr>
                <w:sz w:val="20"/>
                <w:szCs w:val="20"/>
              </w:rPr>
              <w:t>9.2</w:t>
            </w:r>
          </w:p>
        </w:tc>
        <w:tc>
          <w:tcPr>
            <w:tcW w:w="1784" w:type="dxa"/>
            <w:noWrap/>
            <w:vAlign w:val="center"/>
            <w:hideMark/>
          </w:tcPr>
          <w:p w14:paraId="14A389B3" w14:textId="77777777" w:rsidR="00677577" w:rsidRPr="00E12A27" w:rsidRDefault="00677577" w:rsidP="0041090E">
            <w:pPr>
              <w:spacing w:after="0" w:line="240" w:lineRule="auto"/>
              <w:jc w:val="right"/>
              <w:rPr>
                <w:sz w:val="20"/>
                <w:szCs w:val="20"/>
              </w:rPr>
            </w:pPr>
            <w:r w:rsidRPr="00E12A27">
              <w:rPr>
                <w:sz w:val="20"/>
                <w:szCs w:val="20"/>
              </w:rPr>
              <w:t>16.4</w:t>
            </w:r>
          </w:p>
        </w:tc>
        <w:tc>
          <w:tcPr>
            <w:tcW w:w="1784" w:type="dxa"/>
            <w:vAlign w:val="center"/>
            <w:hideMark/>
          </w:tcPr>
          <w:p w14:paraId="60E6498E" w14:textId="77777777" w:rsidR="00677577" w:rsidRPr="00E12A27" w:rsidRDefault="00677577" w:rsidP="0041090E">
            <w:pPr>
              <w:spacing w:after="0" w:line="240" w:lineRule="auto"/>
              <w:jc w:val="right"/>
              <w:rPr>
                <w:sz w:val="20"/>
                <w:szCs w:val="20"/>
              </w:rPr>
            </w:pPr>
            <w:r w:rsidRPr="00E12A27">
              <w:rPr>
                <w:sz w:val="20"/>
                <w:szCs w:val="20"/>
              </w:rPr>
              <w:t>1.9%</w:t>
            </w:r>
          </w:p>
        </w:tc>
        <w:tc>
          <w:tcPr>
            <w:tcW w:w="1784" w:type="dxa"/>
            <w:vAlign w:val="center"/>
            <w:hideMark/>
          </w:tcPr>
          <w:p w14:paraId="7DA0A8E5" w14:textId="77777777" w:rsidR="00677577" w:rsidRPr="00E12A27" w:rsidRDefault="00677577" w:rsidP="0041090E">
            <w:pPr>
              <w:spacing w:after="0" w:line="240" w:lineRule="auto"/>
              <w:jc w:val="right"/>
              <w:rPr>
                <w:sz w:val="20"/>
                <w:szCs w:val="20"/>
              </w:rPr>
            </w:pPr>
            <w:r w:rsidRPr="00E12A27">
              <w:rPr>
                <w:sz w:val="20"/>
                <w:szCs w:val="20"/>
              </w:rPr>
              <w:t>3.2%</w:t>
            </w:r>
          </w:p>
        </w:tc>
        <w:tc>
          <w:tcPr>
            <w:tcW w:w="1785" w:type="dxa"/>
            <w:tcBorders>
              <w:top w:val="nil"/>
              <w:left w:val="nil"/>
              <w:bottom w:val="nil"/>
              <w:right w:val="single" w:sz="4" w:space="0" w:color="auto"/>
            </w:tcBorders>
            <w:noWrap/>
            <w:vAlign w:val="center"/>
            <w:hideMark/>
          </w:tcPr>
          <w:p w14:paraId="177C5101" w14:textId="77777777" w:rsidR="00677577" w:rsidRPr="00E12A27" w:rsidRDefault="00677577" w:rsidP="0041090E">
            <w:pPr>
              <w:spacing w:after="0" w:line="240" w:lineRule="auto"/>
              <w:jc w:val="right"/>
              <w:rPr>
                <w:sz w:val="20"/>
                <w:szCs w:val="20"/>
              </w:rPr>
            </w:pPr>
            <w:r w:rsidRPr="00E12A27">
              <w:rPr>
                <w:sz w:val="20"/>
                <w:szCs w:val="20"/>
              </w:rPr>
              <w:t>5.8%</w:t>
            </w:r>
          </w:p>
        </w:tc>
      </w:tr>
      <w:tr w:rsidR="00677577" w:rsidRPr="00167CB8" w14:paraId="08D04789" w14:textId="77777777">
        <w:trPr>
          <w:trHeight w:val="283"/>
        </w:trPr>
        <w:tc>
          <w:tcPr>
            <w:tcW w:w="4957" w:type="dxa"/>
            <w:tcBorders>
              <w:top w:val="nil"/>
              <w:left w:val="single" w:sz="4" w:space="0" w:color="auto"/>
              <w:bottom w:val="nil"/>
              <w:right w:val="nil"/>
            </w:tcBorders>
            <w:shd w:val="clear" w:color="auto" w:fill="FFFFFF"/>
            <w:noWrap/>
            <w:vAlign w:val="center"/>
            <w:hideMark/>
          </w:tcPr>
          <w:p w14:paraId="0105DA4C" w14:textId="77777777" w:rsidR="00677577" w:rsidRPr="00E12A27" w:rsidRDefault="00677577">
            <w:pPr>
              <w:spacing w:after="0" w:line="240" w:lineRule="auto"/>
              <w:rPr>
                <w:sz w:val="20"/>
                <w:szCs w:val="20"/>
              </w:rPr>
            </w:pPr>
            <w:r w:rsidRPr="00E12A27">
              <w:rPr>
                <w:sz w:val="20"/>
                <w:szCs w:val="20"/>
              </w:rPr>
              <w:t>Wholesale trade</w:t>
            </w:r>
          </w:p>
        </w:tc>
        <w:tc>
          <w:tcPr>
            <w:tcW w:w="1784" w:type="dxa"/>
            <w:vAlign w:val="center"/>
            <w:hideMark/>
          </w:tcPr>
          <w:p w14:paraId="589435C1" w14:textId="77777777" w:rsidR="00677577" w:rsidRPr="00E12A27" w:rsidRDefault="00677577" w:rsidP="0041090E">
            <w:pPr>
              <w:spacing w:after="0" w:line="240" w:lineRule="auto"/>
              <w:jc w:val="right"/>
              <w:rPr>
                <w:sz w:val="20"/>
                <w:szCs w:val="20"/>
              </w:rPr>
            </w:pPr>
            <w:r w:rsidRPr="00E12A27">
              <w:rPr>
                <w:sz w:val="20"/>
                <w:szCs w:val="20"/>
              </w:rPr>
              <w:t>2.2</w:t>
            </w:r>
          </w:p>
        </w:tc>
        <w:tc>
          <w:tcPr>
            <w:tcW w:w="1784" w:type="dxa"/>
            <w:noWrap/>
            <w:vAlign w:val="center"/>
            <w:hideMark/>
          </w:tcPr>
          <w:p w14:paraId="48DF0408" w14:textId="77777777" w:rsidR="00677577" w:rsidRPr="00E12A27" w:rsidRDefault="00677577" w:rsidP="0041090E">
            <w:pPr>
              <w:spacing w:after="0" w:line="240" w:lineRule="auto"/>
              <w:jc w:val="right"/>
              <w:rPr>
                <w:sz w:val="20"/>
                <w:szCs w:val="20"/>
              </w:rPr>
            </w:pPr>
            <w:r w:rsidRPr="00E12A27">
              <w:rPr>
                <w:sz w:val="20"/>
                <w:szCs w:val="20"/>
              </w:rPr>
              <w:t>2.6</w:t>
            </w:r>
          </w:p>
        </w:tc>
        <w:tc>
          <w:tcPr>
            <w:tcW w:w="1784" w:type="dxa"/>
            <w:vAlign w:val="center"/>
            <w:hideMark/>
          </w:tcPr>
          <w:p w14:paraId="2EAA80D2" w14:textId="77777777" w:rsidR="00677577" w:rsidRPr="00E12A27" w:rsidRDefault="00677577" w:rsidP="0041090E">
            <w:pPr>
              <w:spacing w:after="0" w:line="240" w:lineRule="auto"/>
              <w:jc w:val="right"/>
              <w:rPr>
                <w:sz w:val="20"/>
                <w:szCs w:val="20"/>
              </w:rPr>
            </w:pPr>
            <w:r w:rsidRPr="00E12A27">
              <w:rPr>
                <w:sz w:val="20"/>
                <w:szCs w:val="20"/>
              </w:rPr>
              <w:t>0.8%</w:t>
            </w:r>
          </w:p>
        </w:tc>
        <w:tc>
          <w:tcPr>
            <w:tcW w:w="1784" w:type="dxa"/>
            <w:vAlign w:val="center"/>
            <w:hideMark/>
          </w:tcPr>
          <w:p w14:paraId="5E1CD0ED" w14:textId="77777777" w:rsidR="00677577" w:rsidRPr="00E12A27" w:rsidRDefault="00677577" w:rsidP="0041090E">
            <w:pPr>
              <w:spacing w:after="0" w:line="240" w:lineRule="auto"/>
              <w:jc w:val="right"/>
              <w:rPr>
                <w:sz w:val="20"/>
                <w:szCs w:val="20"/>
              </w:rPr>
            </w:pPr>
            <w:r w:rsidRPr="00E12A27">
              <w:rPr>
                <w:sz w:val="20"/>
                <w:szCs w:val="20"/>
              </w:rPr>
              <w:t>0.5%</w:t>
            </w:r>
          </w:p>
        </w:tc>
        <w:tc>
          <w:tcPr>
            <w:tcW w:w="1785" w:type="dxa"/>
            <w:tcBorders>
              <w:top w:val="nil"/>
              <w:left w:val="nil"/>
              <w:bottom w:val="nil"/>
              <w:right w:val="single" w:sz="4" w:space="0" w:color="auto"/>
            </w:tcBorders>
            <w:noWrap/>
            <w:vAlign w:val="center"/>
            <w:hideMark/>
          </w:tcPr>
          <w:p w14:paraId="12880FBC" w14:textId="77777777" w:rsidR="00677577" w:rsidRPr="00E12A27" w:rsidRDefault="00677577" w:rsidP="0041090E">
            <w:pPr>
              <w:spacing w:after="0" w:line="240" w:lineRule="auto"/>
              <w:jc w:val="right"/>
              <w:rPr>
                <w:sz w:val="20"/>
                <w:szCs w:val="20"/>
              </w:rPr>
            </w:pPr>
            <w:r w:rsidRPr="00E12A27">
              <w:rPr>
                <w:sz w:val="20"/>
                <w:szCs w:val="20"/>
              </w:rPr>
              <w:t>0.3%</w:t>
            </w:r>
          </w:p>
        </w:tc>
      </w:tr>
      <w:tr w:rsidR="00677577" w:rsidRPr="00167CB8" w14:paraId="7A62BF2E" w14:textId="77777777">
        <w:trPr>
          <w:trHeight w:val="283"/>
        </w:trPr>
        <w:tc>
          <w:tcPr>
            <w:tcW w:w="4957" w:type="dxa"/>
            <w:tcBorders>
              <w:top w:val="nil"/>
              <w:left w:val="single" w:sz="4" w:space="0" w:color="auto"/>
              <w:bottom w:val="nil"/>
              <w:right w:val="nil"/>
            </w:tcBorders>
            <w:shd w:val="clear" w:color="auto" w:fill="FFFFFF"/>
            <w:noWrap/>
            <w:vAlign w:val="center"/>
            <w:hideMark/>
          </w:tcPr>
          <w:p w14:paraId="39551B00" w14:textId="77777777" w:rsidR="00677577" w:rsidRPr="00E12A27" w:rsidRDefault="00677577">
            <w:pPr>
              <w:spacing w:after="0" w:line="240" w:lineRule="auto"/>
              <w:rPr>
                <w:sz w:val="20"/>
                <w:szCs w:val="20"/>
              </w:rPr>
            </w:pPr>
            <w:r w:rsidRPr="00E12A27">
              <w:rPr>
                <w:sz w:val="20"/>
                <w:szCs w:val="20"/>
              </w:rPr>
              <w:t>Retail trade</w:t>
            </w:r>
          </w:p>
        </w:tc>
        <w:tc>
          <w:tcPr>
            <w:tcW w:w="1784" w:type="dxa"/>
            <w:vAlign w:val="center"/>
            <w:hideMark/>
          </w:tcPr>
          <w:p w14:paraId="10F9ACBD" w14:textId="77777777" w:rsidR="00677577" w:rsidRPr="00E12A27" w:rsidRDefault="00677577" w:rsidP="0041090E">
            <w:pPr>
              <w:spacing w:after="0" w:line="240" w:lineRule="auto"/>
              <w:jc w:val="right"/>
              <w:rPr>
                <w:sz w:val="20"/>
                <w:szCs w:val="20"/>
              </w:rPr>
            </w:pPr>
            <w:r w:rsidRPr="00E12A27">
              <w:rPr>
                <w:sz w:val="20"/>
                <w:szCs w:val="20"/>
              </w:rPr>
              <w:t>7.7</w:t>
            </w:r>
          </w:p>
        </w:tc>
        <w:tc>
          <w:tcPr>
            <w:tcW w:w="1784" w:type="dxa"/>
            <w:noWrap/>
            <w:vAlign w:val="center"/>
            <w:hideMark/>
          </w:tcPr>
          <w:p w14:paraId="55648B0D" w14:textId="77777777" w:rsidR="00677577" w:rsidRPr="00E12A27" w:rsidRDefault="00677577" w:rsidP="0041090E">
            <w:pPr>
              <w:spacing w:after="0" w:line="240" w:lineRule="auto"/>
              <w:jc w:val="right"/>
              <w:rPr>
                <w:sz w:val="20"/>
                <w:szCs w:val="20"/>
              </w:rPr>
            </w:pPr>
            <w:r w:rsidRPr="00E12A27">
              <w:rPr>
                <w:sz w:val="20"/>
                <w:szCs w:val="20"/>
              </w:rPr>
              <w:t>15.5</w:t>
            </w:r>
          </w:p>
        </w:tc>
        <w:tc>
          <w:tcPr>
            <w:tcW w:w="1784" w:type="dxa"/>
            <w:vAlign w:val="center"/>
            <w:hideMark/>
          </w:tcPr>
          <w:p w14:paraId="0D375B00" w14:textId="77777777" w:rsidR="00677577" w:rsidRPr="00E12A27" w:rsidRDefault="00677577" w:rsidP="0041090E">
            <w:pPr>
              <w:spacing w:after="0" w:line="240" w:lineRule="auto"/>
              <w:jc w:val="right"/>
              <w:rPr>
                <w:sz w:val="20"/>
                <w:szCs w:val="20"/>
              </w:rPr>
            </w:pPr>
            <w:r w:rsidRPr="00E12A27">
              <w:rPr>
                <w:sz w:val="20"/>
                <w:szCs w:val="20"/>
              </w:rPr>
              <w:t>1.3%</w:t>
            </w:r>
          </w:p>
        </w:tc>
        <w:tc>
          <w:tcPr>
            <w:tcW w:w="1784" w:type="dxa"/>
            <w:vAlign w:val="center"/>
            <w:hideMark/>
          </w:tcPr>
          <w:p w14:paraId="1FAACA58" w14:textId="77777777" w:rsidR="00677577" w:rsidRPr="00E12A27" w:rsidRDefault="00677577" w:rsidP="0041090E">
            <w:pPr>
              <w:spacing w:after="0" w:line="240" w:lineRule="auto"/>
              <w:jc w:val="right"/>
              <w:rPr>
                <w:sz w:val="20"/>
                <w:szCs w:val="20"/>
              </w:rPr>
            </w:pPr>
            <w:r w:rsidRPr="00E12A27">
              <w:rPr>
                <w:sz w:val="20"/>
                <w:szCs w:val="20"/>
              </w:rPr>
              <w:t>3.0%</w:t>
            </w:r>
          </w:p>
        </w:tc>
        <w:tc>
          <w:tcPr>
            <w:tcW w:w="1785" w:type="dxa"/>
            <w:tcBorders>
              <w:top w:val="nil"/>
              <w:left w:val="nil"/>
              <w:bottom w:val="nil"/>
              <w:right w:val="single" w:sz="4" w:space="0" w:color="auto"/>
            </w:tcBorders>
            <w:noWrap/>
            <w:vAlign w:val="center"/>
            <w:hideMark/>
          </w:tcPr>
          <w:p w14:paraId="76216669" w14:textId="77777777" w:rsidR="00677577" w:rsidRPr="00E12A27" w:rsidRDefault="00677577" w:rsidP="0041090E">
            <w:pPr>
              <w:spacing w:after="0" w:line="240" w:lineRule="auto"/>
              <w:jc w:val="right"/>
              <w:rPr>
                <w:sz w:val="20"/>
                <w:szCs w:val="20"/>
              </w:rPr>
            </w:pPr>
            <w:r w:rsidRPr="00E12A27">
              <w:rPr>
                <w:sz w:val="20"/>
                <w:szCs w:val="20"/>
              </w:rPr>
              <w:t>6.3%</w:t>
            </w:r>
          </w:p>
        </w:tc>
      </w:tr>
      <w:tr w:rsidR="00677577" w:rsidRPr="00167CB8" w14:paraId="5C6C5B61" w14:textId="77777777">
        <w:trPr>
          <w:trHeight w:val="283"/>
        </w:trPr>
        <w:tc>
          <w:tcPr>
            <w:tcW w:w="4957" w:type="dxa"/>
            <w:tcBorders>
              <w:top w:val="nil"/>
              <w:left w:val="single" w:sz="4" w:space="0" w:color="auto"/>
              <w:bottom w:val="nil"/>
              <w:right w:val="nil"/>
            </w:tcBorders>
            <w:shd w:val="clear" w:color="auto" w:fill="FFFFFF"/>
            <w:noWrap/>
            <w:vAlign w:val="center"/>
            <w:hideMark/>
          </w:tcPr>
          <w:p w14:paraId="394D3D6D" w14:textId="77777777" w:rsidR="00677577" w:rsidRPr="00E12A27" w:rsidRDefault="00677577">
            <w:pPr>
              <w:spacing w:after="0" w:line="240" w:lineRule="auto"/>
              <w:rPr>
                <w:sz w:val="20"/>
                <w:szCs w:val="20"/>
              </w:rPr>
            </w:pPr>
            <w:r w:rsidRPr="00E12A27">
              <w:rPr>
                <w:sz w:val="20"/>
                <w:szCs w:val="20"/>
              </w:rPr>
              <w:t>Accommodation and food services</w:t>
            </w:r>
          </w:p>
        </w:tc>
        <w:tc>
          <w:tcPr>
            <w:tcW w:w="1784" w:type="dxa"/>
            <w:vAlign w:val="center"/>
            <w:hideMark/>
          </w:tcPr>
          <w:p w14:paraId="633A3FDC" w14:textId="77777777" w:rsidR="00677577" w:rsidRPr="00E12A27" w:rsidRDefault="00677577" w:rsidP="0041090E">
            <w:pPr>
              <w:spacing w:after="0" w:line="240" w:lineRule="auto"/>
              <w:jc w:val="right"/>
              <w:rPr>
                <w:sz w:val="20"/>
                <w:szCs w:val="20"/>
              </w:rPr>
            </w:pPr>
            <w:r w:rsidRPr="00E12A27">
              <w:rPr>
                <w:sz w:val="20"/>
                <w:szCs w:val="20"/>
              </w:rPr>
              <w:t>3.1</w:t>
            </w:r>
          </w:p>
        </w:tc>
        <w:tc>
          <w:tcPr>
            <w:tcW w:w="1784" w:type="dxa"/>
            <w:noWrap/>
            <w:vAlign w:val="center"/>
            <w:hideMark/>
          </w:tcPr>
          <w:p w14:paraId="4CB0BCC7" w14:textId="77777777" w:rsidR="00677577" w:rsidRPr="00E12A27" w:rsidRDefault="00677577" w:rsidP="0041090E">
            <w:pPr>
              <w:spacing w:after="0" w:line="240" w:lineRule="auto"/>
              <w:jc w:val="right"/>
              <w:rPr>
                <w:sz w:val="20"/>
                <w:szCs w:val="20"/>
              </w:rPr>
            </w:pPr>
            <w:r w:rsidRPr="00E12A27">
              <w:rPr>
                <w:sz w:val="20"/>
                <w:szCs w:val="20"/>
              </w:rPr>
              <w:t>9.8</w:t>
            </w:r>
          </w:p>
        </w:tc>
        <w:tc>
          <w:tcPr>
            <w:tcW w:w="1784" w:type="dxa"/>
            <w:vAlign w:val="center"/>
            <w:hideMark/>
          </w:tcPr>
          <w:p w14:paraId="334700AD" w14:textId="77777777" w:rsidR="00677577" w:rsidRPr="00E12A27" w:rsidRDefault="00677577" w:rsidP="0041090E">
            <w:pPr>
              <w:spacing w:after="0" w:line="240" w:lineRule="auto"/>
              <w:jc w:val="right"/>
              <w:rPr>
                <w:sz w:val="20"/>
                <w:szCs w:val="20"/>
              </w:rPr>
            </w:pPr>
            <w:r w:rsidRPr="00E12A27">
              <w:rPr>
                <w:sz w:val="20"/>
                <w:szCs w:val="20"/>
              </w:rPr>
              <w:t>1.1%</w:t>
            </w:r>
          </w:p>
        </w:tc>
        <w:tc>
          <w:tcPr>
            <w:tcW w:w="1784" w:type="dxa"/>
            <w:vAlign w:val="center"/>
            <w:hideMark/>
          </w:tcPr>
          <w:p w14:paraId="45F1B348" w14:textId="77777777" w:rsidR="00677577" w:rsidRPr="00E12A27" w:rsidRDefault="00677577" w:rsidP="0041090E">
            <w:pPr>
              <w:spacing w:after="0" w:line="240" w:lineRule="auto"/>
              <w:jc w:val="right"/>
              <w:rPr>
                <w:sz w:val="20"/>
                <w:szCs w:val="20"/>
              </w:rPr>
            </w:pPr>
            <w:r w:rsidRPr="00E12A27">
              <w:rPr>
                <w:sz w:val="20"/>
                <w:szCs w:val="20"/>
              </w:rPr>
              <w:t>1.9%</w:t>
            </w:r>
          </w:p>
        </w:tc>
        <w:tc>
          <w:tcPr>
            <w:tcW w:w="1785" w:type="dxa"/>
            <w:tcBorders>
              <w:top w:val="nil"/>
              <w:left w:val="nil"/>
              <w:bottom w:val="nil"/>
              <w:right w:val="single" w:sz="4" w:space="0" w:color="auto"/>
            </w:tcBorders>
            <w:noWrap/>
            <w:vAlign w:val="center"/>
            <w:hideMark/>
          </w:tcPr>
          <w:p w14:paraId="6477A11A" w14:textId="77777777" w:rsidR="00677577" w:rsidRPr="00E12A27" w:rsidRDefault="00677577" w:rsidP="0041090E">
            <w:pPr>
              <w:spacing w:after="0" w:line="240" w:lineRule="auto"/>
              <w:jc w:val="right"/>
              <w:rPr>
                <w:sz w:val="20"/>
                <w:szCs w:val="20"/>
              </w:rPr>
            </w:pPr>
            <w:r w:rsidRPr="00E12A27">
              <w:rPr>
                <w:sz w:val="20"/>
                <w:szCs w:val="20"/>
              </w:rPr>
              <w:t>5.5%</w:t>
            </w:r>
          </w:p>
        </w:tc>
      </w:tr>
      <w:tr w:rsidR="00677577" w:rsidRPr="00167CB8" w14:paraId="5CA149AF" w14:textId="77777777">
        <w:trPr>
          <w:trHeight w:val="283"/>
        </w:trPr>
        <w:tc>
          <w:tcPr>
            <w:tcW w:w="4957" w:type="dxa"/>
            <w:tcBorders>
              <w:top w:val="nil"/>
              <w:left w:val="single" w:sz="4" w:space="0" w:color="auto"/>
              <w:bottom w:val="nil"/>
              <w:right w:val="nil"/>
            </w:tcBorders>
            <w:shd w:val="clear" w:color="auto" w:fill="FFFFFF"/>
            <w:noWrap/>
            <w:vAlign w:val="center"/>
            <w:hideMark/>
          </w:tcPr>
          <w:p w14:paraId="43FA7885" w14:textId="77777777" w:rsidR="00677577" w:rsidRPr="00E12A27" w:rsidRDefault="00677577">
            <w:pPr>
              <w:spacing w:after="0" w:line="240" w:lineRule="auto"/>
              <w:rPr>
                <w:sz w:val="20"/>
                <w:szCs w:val="20"/>
              </w:rPr>
            </w:pPr>
            <w:r w:rsidRPr="00E12A27">
              <w:rPr>
                <w:sz w:val="20"/>
                <w:szCs w:val="20"/>
              </w:rPr>
              <w:t>Transport, postal and warehousing</w:t>
            </w:r>
          </w:p>
        </w:tc>
        <w:tc>
          <w:tcPr>
            <w:tcW w:w="1784" w:type="dxa"/>
            <w:vAlign w:val="center"/>
            <w:hideMark/>
          </w:tcPr>
          <w:p w14:paraId="7AEE6FD0" w14:textId="77777777" w:rsidR="00677577" w:rsidRPr="00E12A27" w:rsidRDefault="00677577" w:rsidP="0041090E">
            <w:pPr>
              <w:spacing w:after="0" w:line="240" w:lineRule="auto"/>
              <w:jc w:val="right"/>
              <w:rPr>
                <w:sz w:val="20"/>
                <w:szCs w:val="20"/>
              </w:rPr>
            </w:pPr>
            <w:r w:rsidRPr="00E12A27">
              <w:rPr>
                <w:sz w:val="20"/>
                <w:szCs w:val="20"/>
              </w:rPr>
              <w:t>4.5</w:t>
            </w:r>
          </w:p>
        </w:tc>
        <w:tc>
          <w:tcPr>
            <w:tcW w:w="1784" w:type="dxa"/>
            <w:noWrap/>
            <w:vAlign w:val="center"/>
            <w:hideMark/>
          </w:tcPr>
          <w:p w14:paraId="2844752D" w14:textId="77777777" w:rsidR="00677577" w:rsidRPr="00E12A27" w:rsidRDefault="00677577" w:rsidP="0041090E">
            <w:pPr>
              <w:spacing w:after="0" w:line="240" w:lineRule="auto"/>
              <w:jc w:val="right"/>
              <w:rPr>
                <w:sz w:val="20"/>
                <w:szCs w:val="20"/>
              </w:rPr>
            </w:pPr>
            <w:r w:rsidRPr="00E12A27">
              <w:rPr>
                <w:sz w:val="20"/>
                <w:szCs w:val="20"/>
              </w:rPr>
              <w:t>8.6</w:t>
            </w:r>
          </w:p>
        </w:tc>
        <w:tc>
          <w:tcPr>
            <w:tcW w:w="1784" w:type="dxa"/>
            <w:vAlign w:val="center"/>
            <w:hideMark/>
          </w:tcPr>
          <w:p w14:paraId="65500780" w14:textId="77777777" w:rsidR="00677577" w:rsidRPr="00E12A27" w:rsidRDefault="00677577" w:rsidP="0041090E">
            <w:pPr>
              <w:spacing w:after="0" w:line="240" w:lineRule="auto"/>
              <w:jc w:val="right"/>
              <w:rPr>
                <w:sz w:val="20"/>
                <w:szCs w:val="20"/>
              </w:rPr>
            </w:pPr>
            <w:r w:rsidRPr="00E12A27">
              <w:rPr>
                <w:sz w:val="20"/>
                <w:szCs w:val="20"/>
              </w:rPr>
              <w:t>1.5%</w:t>
            </w:r>
          </w:p>
        </w:tc>
        <w:tc>
          <w:tcPr>
            <w:tcW w:w="1784" w:type="dxa"/>
            <w:vAlign w:val="center"/>
            <w:hideMark/>
          </w:tcPr>
          <w:p w14:paraId="4A3CB6A1" w14:textId="77777777" w:rsidR="00677577" w:rsidRPr="00E12A27" w:rsidRDefault="00677577" w:rsidP="0041090E">
            <w:pPr>
              <w:spacing w:after="0" w:line="240" w:lineRule="auto"/>
              <w:jc w:val="right"/>
              <w:rPr>
                <w:sz w:val="20"/>
                <w:szCs w:val="20"/>
              </w:rPr>
            </w:pPr>
            <w:r w:rsidRPr="00E12A27">
              <w:rPr>
                <w:sz w:val="20"/>
                <w:szCs w:val="20"/>
              </w:rPr>
              <w:t>1.7%</w:t>
            </w:r>
          </w:p>
        </w:tc>
        <w:tc>
          <w:tcPr>
            <w:tcW w:w="1785" w:type="dxa"/>
            <w:tcBorders>
              <w:top w:val="nil"/>
              <w:left w:val="nil"/>
              <w:bottom w:val="nil"/>
              <w:right w:val="single" w:sz="4" w:space="0" w:color="auto"/>
            </w:tcBorders>
            <w:noWrap/>
            <w:vAlign w:val="center"/>
            <w:hideMark/>
          </w:tcPr>
          <w:p w14:paraId="1637255E" w14:textId="77777777" w:rsidR="00677577" w:rsidRPr="00E12A27" w:rsidRDefault="00677577" w:rsidP="0041090E">
            <w:pPr>
              <w:spacing w:after="0" w:line="240" w:lineRule="auto"/>
              <w:jc w:val="right"/>
              <w:rPr>
                <w:sz w:val="20"/>
                <w:szCs w:val="20"/>
              </w:rPr>
            </w:pPr>
            <w:r w:rsidRPr="00E12A27">
              <w:rPr>
                <w:sz w:val="20"/>
                <w:szCs w:val="20"/>
              </w:rPr>
              <w:t>3.4%</w:t>
            </w:r>
          </w:p>
        </w:tc>
      </w:tr>
      <w:tr w:rsidR="00677577" w:rsidRPr="00167CB8" w14:paraId="139301F3" w14:textId="77777777">
        <w:trPr>
          <w:trHeight w:val="283"/>
        </w:trPr>
        <w:tc>
          <w:tcPr>
            <w:tcW w:w="4957" w:type="dxa"/>
            <w:tcBorders>
              <w:top w:val="nil"/>
              <w:left w:val="single" w:sz="4" w:space="0" w:color="auto"/>
              <w:bottom w:val="nil"/>
              <w:right w:val="nil"/>
            </w:tcBorders>
            <w:shd w:val="clear" w:color="auto" w:fill="FFFFFF"/>
            <w:noWrap/>
            <w:vAlign w:val="center"/>
            <w:hideMark/>
          </w:tcPr>
          <w:p w14:paraId="3294A3CE" w14:textId="77777777" w:rsidR="00677577" w:rsidRPr="00E12A27" w:rsidRDefault="00677577">
            <w:pPr>
              <w:spacing w:after="0" w:line="240" w:lineRule="auto"/>
              <w:rPr>
                <w:sz w:val="20"/>
                <w:szCs w:val="20"/>
              </w:rPr>
            </w:pPr>
            <w:r w:rsidRPr="00E12A27">
              <w:rPr>
                <w:sz w:val="20"/>
                <w:szCs w:val="20"/>
              </w:rPr>
              <w:t>Information, media and telecommunications</w:t>
            </w:r>
          </w:p>
        </w:tc>
        <w:tc>
          <w:tcPr>
            <w:tcW w:w="1784" w:type="dxa"/>
            <w:vAlign w:val="center"/>
            <w:hideMark/>
          </w:tcPr>
          <w:p w14:paraId="0B5CD887" w14:textId="77777777" w:rsidR="00677577" w:rsidRPr="00E12A27" w:rsidRDefault="00677577" w:rsidP="0041090E">
            <w:pPr>
              <w:spacing w:after="0" w:line="240" w:lineRule="auto"/>
              <w:jc w:val="right"/>
              <w:rPr>
                <w:sz w:val="20"/>
                <w:szCs w:val="20"/>
              </w:rPr>
            </w:pPr>
            <w:r w:rsidRPr="00E12A27">
              <w:rPr>
                <w:sz w:val="20"/>
                <w:szCs w:val="20"/>
              </w:rPr>
              <w:t>12.7</w:t>
            </w:r>
          </w:p>
        </w:tc>
        <w:tc>
          <w:tcPr>
            <w:tcW w:w="1784" w:type="dxa"/>
            <w:noWrap/>
            <w:vAlign w:val="center"/>
            <w:hideMark/>
          </w:tcPr>
          <w:p w14:paraId="03EB597C" w14:textId="77777777" w:rsidR="00677577" w:rsidRPr="00E12A27" w:rsidRDefault="00677577" w:rsidP="0041090E">
            <w:pPr>
              <w:spacing w:after="0" w:line="240" w:lineRule="auto"/>
              <w:jc w:val="right"/>
              <w:rPr>
                <w:sz w:val="20"/>
                <w:szCs w:val="20"/>
              </w:rPr>
            </w:pPr>
            <w:r w:rsidRPr="00E12A27">
              <w:rPr>
                <w:sz w:val="20"/>
                <w:szCs w:val="20"/>
              </w:rPr>
              <w:t>9.5</w:t>
            </w:r>
          </w:p>
        </w:tc>
        <w:tc>
          <w:tcPr>
            <w:tcW w:w="1784" w:type="dxa"/>
            <w:vAlign w:val="center"/>
            <w:hideMark/>
          </w:tcPr>
          <w:p w14:paraId="76D4A47D" w14:textId="77777777" w:rsidR="00677577" w:rsidRPr="00E12A27" w:rsidRDefault="00677577" w:rsidP="0041090E">
            <w:pPr>
              <w:spacing w:after="0" w:line="240" w:lineRule="auto"/>
              <w:jc w:val="right"/>
              <w:rPr>
                <w:sz w:val="20"/>
                <w:szCs w:val="20"/>
              </w:rPr>
            </w:pPr>
            <w:r w:rsidRPr="00E12A27">
              <w:rPr>
                <w:sz w:val="20"/>
                <w:szCs w:val="20"/>
              </w:rPr>
              <w:t>6.0%</w:t>
            </w:r>
          </w:p>
        </w:tc>
        <w:tc>
          <w:tcPr>
            <w:tcW w:w="1784" w:type="dxa"/>
            <w:vAlign w:val="center"/>
            <w:hideMark/>
          </w:tcPr>
          <w:p w14:paraId="56B74353" w14:textId="77777777" w:rsidR="00677577" w:rsidRPr="00E12A27" w:rsidRDefault="00677577" w:rsidP="0041090E">
            <w:pPr>
              <w:spacing w:after="0" w:line="240" w:lineRule="auto"/>
              <w:jc w:val="right"/>
              <w:rPr>
                <w:sz w:val="20"/>
                <w:szCs w:val="20"/>
              </w:rPr>
            </w:pPr>
            <w:r w:rsidRPr="00E12A27">
              <w:rPr>
                <w:sz w:val="20"/>
                <w:szCs w:val="20"/>
              </w:rPr>
              <w:t>1.8%</w:t>
            </w:r>
          </w:p>
        </w:tc>
        <w:tc>
          <w:tcPr>
            <w:tcW w:w="1785" w:type="dxa"/>
            <w:tcBorders>
              <w:top w:val="nil"/>
              <w:left w:val="nil"/>
              <w:bottom w:val="nil"/>
              <w:right w:val="single" w:sz="4" w:space="0" w:color="auto"/>
            </w:tcBorders>
            <w:noWrap/>
            <w:vAlign w:val="center"/>
            <w:hideMark/>
          </w:tcPr>
          <w:p w14:paraId="4F9EA0FE" w14:textId="77777777" w:rsidR="00677577" w:rsidRPr="00E12A27" w:rsidRDefault="00677577" w:rsidP="0041090E">
            <w:pPr>
              <w:spacing w:after="0" w:line="240" w:lineRule="auto"/>
              <w:jc w:val="right"/>
              <w:rPr>
                <w:sz w:val="20"/>
                <w:szCs w:val="20"/>
              </w:rPr>
            </w:pPr>
            <w:r w:rsidRPr="00E12A27">
              <w:rPr>
                <w:sz w:val="20"/>
                <w:szCs w:val="20"/>
              </w:rPr>
              <w:t>-2.6%</w:t>
            </w:r>
          </w:p>
        </w:tc>
      </w:tr>
      <w:tr w:rsidR="00677577" w:rsidRPr="00167CB8" w14:paraId="1644641D" w14:textId="77777777">
        <w:trPr>
          <w:trHeight w:val="283"/>
        </w:trPr>
        <w:tc>
          <w:tcPr>
            <w:tcW w:w="4957" w:type="dxa"/>
            <w:tcBorders>
              <w:top w:val="nil"/>
              <w:left w:val="single" w:sz="4" w:space="0" w:color="auto"/>
              <w:bottom w:val="nil"/>
              <w:right w:val="nil"/>
            </w:tcBorders>
            <w:shd w:val="clear" w:color="auto" w:fill="FFFFFF"/>
            <w:noWrap/>
            <w:vAlign w:val="center"/>
            <w:hideMark/>
          </w:tcPr>
          <w:p w14:paraId="09BE7A4F" w14:textId="77777777" w:rsidR="00677577" w:rsidRPr="00E12A27" w:rsidRDefault="00677577">
            <w:pPr>
              <w:spacing w:after="0" w:line="240" w:lineRule="auto"/>
              <w:rPr>
                <w:sz w:val="20"/>
                <w:szCs w:val="20"/>
              </w:rPr>
            </w:pPr>
            <w:r w:rsidRPr="00E12A27">
              <w:rPr>
                <w:sz w:val="20"/>
                <w:szCs w:val="20"/>
              </w:rPr>
              <w:t>Financial and insurance services</w:t>
            </w:r>
          </w:p>
        </w:tc>
        <w:tc>
          <w:tcPr>
            <w:tcW w:w="1784" w:type="dxa"/>
            <w:vAlign w:val="center"/>
            <w:hideMark/>
          </w:tcPr>
          <w:p w14:paraId="6B66D08F" w14:textId="77777777" w:rsidR="00677577" w:rsidRPr="00E12A27" w:rsidRDefault="00677577" w:rsidP="0041090E">
            <w:pPr>
              <w:spacing w:after="0" w:line="240" w:lineRule="auto"/>
              <w:jc w:val="right"/>
              <w:rPr>
                <w:sz w:val="20"/>
                <w:szCs w:val="20"/>
              </w:rPr>
            </w:pPr>
            <w:r w:rsidRPr="00E12A27">
              <w:rPr>
                <w:sz w:val="20"/>
                <w:szCs w:val="20"/>
              </w:rPr>
              <w:t>10.6</w:t>
            </w:r>
          </w:p>
        </w:tc>
        <w:tc>
          <w:tcPr>
            <w:tcW w:w="1784" w:type="dxa"/>
            <w:noWrap/>
            <w:vAlign w:val="center"/>
            <w:hideMark/>
          </w:tcPr>
          <w:p w14:paraId="625BF010" w14:textId="77777777" w:rsidR="00677577" w:rsidRPr="00E12A27" w:rsidRDefault="00677577" w:rsidP="0041090E">
            <w:pPr>
              <w:spacing w:after="0" w:line="240" w:lineRule="auto"/>
              <w:jc w:val="right"/>
              <w:rPr>
                <w:sz w:val="20"/>
                <w:szCs w:val="20"/>
              </w:rPr>
            </w:pPr>
            <w:r w:rsidRPr="00E12A27">
              <w:rPr>
                <w:sz w:val="20"/>
                <w:szCs w:val="20"/>
              </w:rPr>
              <w:t>17.1</w:t>
            </w:r>
          </w:p>
        </w:tc>
        <w:tc>
          <w:tcPr>
            <w:tcW w:w="1784" w:type="dxa"/>
            <w:vAlign w:val="center"/>
            <w:hideMark/>
          </w:tcPr>
          <w:p w14:paraId="7C15883A" w14:textId="77777777" w:rsidR="00677577" w:rsidRPr="00E12A27" w:rsidRDefault="00677577" w:rsidP="0041090E">
            <w:pPr>
              <w:spacing w:after="0" w:line="240" w:lineRule="auto"/>
              <w:jc w:val="right"/>
              <w:rPr>
                <w:sz w:val="20"/>
                <w:szCs w:val="20"/>
              </w:rPr>
            </w:pPr>
            <w:r w:rsidRPr="00E12A27">
              <w:rPr>
                <w:sz w:val="20"/>
                <w:szCs w:val="20"/>
              </w:rPr>
              <w:t>3.4%</w:t>
            </w:r>
          </w:p>
        </w:tc>
        <w:tc>
          <w:tcPr>
            <w:tcW w:w="1784" w:type="dxa"/>
            <w:vAlign w:val="center"/>
            <w:hideMark/>
          </w:tcPr>
          <w:p w14:paraId="611800EB" w14:textId="77777777" w:rsidR="00677577" w:rsidRPr="00E12A27" w:rsidRDefault="00677577" w:rsidP="0041090E">
            <w:pPr>
              <w:spacing w:after="0" w:line="240" w:lineRule="auto"/>
              <w:jc w:val="right"/>
              <w:rPr>
                <w:sz w:val="20"/>
                <w:szCs w:val="20"/>
              </w:rPr>
            </w:pPr>
            <w:r w:rsidRPr="00E12A27">
              <w:rPr>
                <w:sz w:val="20"/>
                <w:szCs w:val="20"/>
              </w:rPr>
              <w:t>3.3%</w:t>
            </w:r>
          </w:p>
        </w:tc>
        <w:tc>
          <w:tcPr>
            <w:tcW w:w="1785" w:type="dxa"/>
            <w:tcBorders>
              <w:top w:val="nil"/>
              <w:left w:val="nil"/>
              <w:bottom w:val="nil"/>
              <w:right w:val="single" w:sz="4" w:space="0" w:color="auto"/>
            </w:tcBorders>
            <w:noWrap/>
            <w:vAlign w:val="center"/>
            <w:hideMark/>
          </w:tcPr>
          <w:p w14:paraId="70E82E48" w14:textId="77777777" w:rsidR="00677577" w:rsidRPr="00E12A27" w:rsidRDefault="00677577" w:rsidP="0041090E">
            <w:pPr>
              <w:spacing w:after="0" w:line="240" w:lineRule="auto"/>
              <w:jc w:val="right"/>
              <w:rPr>
                <w:sz w:val="20"/>
                <w:szCs w:val="20"/>
              </w:rPr>
            </w:pPr>
            <w:r w:rsidRPr="00E12A27">
              <w:rPr>
                <w:sz w:val="20"/>
                <w:szCs w:val="20"/>
              </w:rPr>
              <w:t>5.3%</w:t>
            </w:r>
          </w:p>
        </w:tc>
      </w:tr>
      <w:tr w:rsidR="00677577" w:rsidRPr="00167CB8" w14:paraId="2741D120" w14:textId="77777777">
        <w:trPr>
          <w:trHeight w:val="283"/>
        </w:trPr>
        <w:tc>
          <w:tcPr>
            <w:tcW w:w="4957" w:type="dxa"/>
            <w:tcBorders>
              <w:top w:val="nil"/>
              <w:left w:val="single" w:sz="4" w:space="0" w:color="auto"/>
              <w:bottom w:val="nil"/>
              <w:right w:val="nil"/>
            </w:tcBorders>
            <w:shd w:val="clear" w:color="auto" w:fill="FFFFFF"/>
            <w:noWrap/>
            <w:vAlign w:val="center"/>
            <w:hideMark/>
          </w:tcPr>
          <w:p w14:paraId="58C16C00" w14:textId="77777777" w:rsidR="00677577" w:rsidRPr="00E12A27" w:rsidRDefault="00677577">
            <w:pPr>
              <w:spacing w:after="0" w:line="240" w:lineRule="auto"/>
              <w:rPr>
                <w:sz w:val="20"/>
                <w:szCs w:val="20"/>
              </w:rPr>
            </w:pPr>
            <w:r w:rsidRPr="00E12A27">
              <w:rPr>
                <w:sz w:val="20"/>
                <w:szCs w:val="20"/>
              </w:rPr>
              <w:t>Rental, hiring and real estate services</w:t>
            </w:r>
          </w:p>
        </w:tc>
        <w:tc>
          <w:tcPr>
            <w:tcW w:w="1784" w:type="dxa"/>
            <w:vAlign w:val="center"/>
            <w:hideMark/>
          </w:tcPr>
          <w:p w14:paraId="0F591013" w14:textId="77777777" w:rsidR="00677577" w:rsidRPr="00E12A27" w:rsidRDefault="00677577" w:rsidP="0041090E">
            <w:pPr>
              <w:spacing w:after="0" w:line="240" w:lineRule="auto"/>
              <w:jc w:val="right"/>
              <w:rPr>
                <w:sz w:val="20"/>
                <w:szCs w:val="20"/>
              </w:rPr>
            </w:pPr>
            <w:r w:rsidRPr="00E12A27">
              <w:rPr>
                <w:sz w:val="20"/>
                <w:szCs w:val="20"/>
              </w:rPr>
              <w:t>2.8</w:t>
            </w:r>
          </w:p>
        </w:tc>
        <w:tc>
          <w:tcPr>
            <w:tcW w:w="1784" w:type="dxa"/>
            <w:noWrap/>
            <w:vAlign w:val="center"/>
            <w:hideMark/>
          </w:tcPr>
          <w:p w14:paraId="66CA54BC" w14:textId="77777777" w:rsidR="00677577" w:rsidRPr="00E12A27" w:rsidRDefault="00677577" w:rsidP="0041090E">
            <w:pPr>
              <w:spacing w:after="0" w:line="240" w:lineRule="auto"/>
              <w:jc w:val="right"/>
              <w:rPr>
                <w:sz w:val="20"/>
                <w:szCs w:val="20"/>
              </w:rPr>
            </w:pPr>
            <w:r w:rsidRPr="00E12A27">
              <w:rPr>
                <w:sz w:val="20"/>
                <w:szCs w:val="20"/>
              </w:rPr>
              <w:t>5.0</w:t>
            </w:r>
          </w:p>
        </w:tc>
        <w:tc>
          <w:tcPr>
            <w:tcW w:w="1784" w:type="dxa"/>
            <w:vAlign w:val="center"/>
            <w:hideMark/>
          </w:tcPr>
          <w:p w14:paraId="7B219419" w14:textId="77777777" w:rsidR="00677577" w:rsidRPr="00E12A27" w:rsidRDefault="00677577" w:rsidP="0041090E">
            <w:pPr>
              <w:spacing w:after="0" w:line="240" w:lineRule="auto"/>
              <w:jc w:val="right"/>
              <w:rPr>
                <w:sz w:val="20"/>
                <w:szCs w:val="20"/>
              </w:rPr>
            </w:pPr>
            <w:r w:rsidRPr="00E12A27">
              <w:rPr>
                <w:sz w:val="20"/>
                <w:szCs w:val="20"/>
              </w:rPr>
              <w:t>2.7%</w:t>
            </w:r>
          </w:p>
        </w:tc>
        <w:tc>
          <w:tcPr>
            <w:tcW w:w="1784" w:type="dxa"/>
            <w:vAlign w:val="center"/>
            <w:hideMark/>
          </w:tcPr>
          <w:p w14:paraId="523B8130" w14:textId="77777777" w:rsidR="00677577" w:rsidRPr="00E12A27" w:rsidRDefault="00677577" w:rsidP="0041090E">
            <w:pPr>
              <w:spacing w:after="0" w:line="240" w:lineRule="auto"/>
              <w:jc w:val="right"/>
              <w:rPr>
                <w:sz w:val="20"/>
                <w:szCs w:val="20"/>
              </w:rPr>
            </w:pPr>
            <w:r w:rsidRPr="00E12A27">
              <w:rPr>
                <w:sz w:val="20"/>
                <w:szCs w:val="20"/>
              </w:rPr>
              <w:t>1.0%</w:t>
            </w:r>
          </w:p>
        </w:tc>
        <w:tc>
          <w:tcPr>
            <w:tcW w:w="1785" w:type="dxa"/>
            <w:tcBorders>
              <w:top w:val="nil"/>
              <w:left w:val="nil"/>
              <w:bottom w:val="nil"/>
              <w:right w:val="single" w:sz="4" w:space="0" w:color="auto"/>
            </w:tcBorders>
            <w:noWrap/>
            <w:vAlign w:val="center"/>
            <w:hideMark/>
          </w:tcPr>
          <w:p w14:paraId="4FD7DCE3" w14:textId="77777777" w:rsidR="00677577" w:rsidRPr="00E12A27" w:rsidRDefault="00677577" w:rsidP="0041090E">
            <w:pPr>
              <w:spacing w:after="0" w:line="240" w:lineRule="auto"/>
              <w:jc w:val="right"/>
              <w:rPr>
                <w:sz w:val="20"/>
                <w:szCs w:val="20"/>
              </w:rPr>
            </w:pPr>
            <w:r w:rsidRPr="00E12A27">
              <w:rPr>
                <w:sz w:val="20"/>
                <w:szCs w:val="20"/>
              </w:rPr>
              <w:t>1.8%</w:t>
            </w:r>
          </w:p>
        </w:tc>
      </w:tr>
      <w:tr w:rsidR="00677577" w:rsidRPr="00167CB8" w14:paraId="33564FCF" w14:textId="77777777">
        <w:trPr>
          <w:trHeight w:val="283"/>
        </w:trPr>
        <w:tc>
          <w:tcPr>
            <w:tcW w:w="4957" w:type="dxa"/>
            <w:tcBorders>
              <w:top w:val="nil"/>
              <w:left w:val="single" w:sz="4" w:space="0" w:color="auto"/>
              <w:bottom w:val="nil"/>
              <w:right w:val="nil"/>
            </w:tcBorders>
            <w:shd w:val="clear" w:color="auto" w:fill="FFFFFF"/>
            <w:noWrap/>
            <w:vAlign w:val="center"/>
            <w:hideMark/>
          </w:tcPr>
          <w:p w14:paraId="2300783E" w14:textId="77777777" w:rsidR="00677577" w:rsidRPr="00E12A27" w:rsidRDefault="00677577">
            <w:pPr>
              <w:spacing w:after="0" w:line="240" w:lineRule="auto"/>
              <w:rPr>
                <w:sz w:val="20"/>
                <w:szCs w:val="20"/>
              </w:rPr>
            </w:pPr>
            <w:r w:rsidRPr="00E12A27">
              <w:rPr>
                <w:sz w:val="20"/>
                <w:szCs w:val="20"/>
              </w:rPr>
              <w:t>Professional, scientific and technical services</w:t>
            </w:r>
          </w:p>
        </w:tc>
        <w:tc>
          <w:tcPr>
            <w:tcW w:w="1784" w:type="dxa"/>
            <w:vAlign w:val="center"/>
            <w:hideMark/>
          </w:tcPr>
          <w:p w14:paraId="64119E2A" w14:textId="77777777" w:rsidR="00677577" w:rsidRPr="00E12A27" w:rsidRDefault="00677577" w:rsidP="0041090E">
            <w:pPr>
              <w:spacing w:after="0" w:line="240" w:lineRule="auto"/>
              <w:jc w:val="right"/>
              <w:rPr>
                <w:sz w:val="20"/>
                <w:szCs w:val="20"/>
              </w:rPr>
            </w:pPr>
            <w:r w:rsidRPr="00E12A27">
              <w:rPr>
                <w:sz w:val="20"/>
                <w:szCs w:val="20"/>
              </w:rPr>
              <w:t>31.8</w:t>
            </w:r>
          </w:p>
        </w:tc>
        <w:tc>
          <w:tcPr>
            <w:tcW w:w="1784" w:type="dxa"/>
            <w:noWrap/>
            <w:vAlign w:val="center"/>
            <w:hideMark/>
          </w:tcPr>
          <w:p w14:paraId="12EDA194" w14:textId="77777777" w:rsidR="00677577" w:rsidRPr="00E12A27" w:rsidRDefault="00677577" w:rsidP="0041090E">
            <w:pPr>
              <w:spacing w:after="0" w:line="240" w:lineRule="auto"/>
              <w:jc w:val="right"/>
              <w:rPr>
                <w:sz w:val="20"/>
                <w:szCs w:val="20"/>
              </w:rPr>
            </w:pPr>
            <w:r w:rsidRPr="00E12A27">
              <w:rPr>
                <w:sz w:val="20"/>
                <w:szCs w:val="20"/>
              </w:rPr>
              <w:t>34.2</w:t>
            </w:r>
          </w:p>
        </w:tc>
        <w:tc>
          <w:tcPr>
            <w:tcW w:w="1784" w:type="dxa"/>
            <w:vAlign w:val="center"/>
            <w:hideMark/>
          </w:tcPr>
          <w:p w14:paraId="415C68F5" w14:textId="77777777" w:rsidR="00677577" w:rsidRPr="00E12A27" w:rsidRDefault="00677577" w:rsidP="0041090E">
            <w:pPr>
              <w:spacing w:after="0" w:line="240" w:lineRule="auto"/>
              <w:jc w:val="right"/>
              <w:rPr>
                <w:sz w:val="20"/>
                <w:szCs w:val="20"/>
              </w:rPr>
            </w:pPr>
            <w:r w:rsidRPr="00E12A27">
              <w:rPr>
                <w:sz w:val="20"/>
                <w:szCs w:val="20"/>
              </w:rPr>
              <w:t>3.4%</w:t>
            </w:r>
          </w:p>
        </w:tc>
        <w:tc>
          <w:tcPr>
            <w:tcW w:w="1784" w:type="dxa"/>
            <w:vAlign w:val="center"/>
            <w:hideMark/>
          </w:tcPr>
          <w:p w14:paraId="11334FB4" w14:textId="77777777" w:rsidR="00677577" w:rsidRPr="00E12A27" w:rsidRDefault="00677577" w:rsidP="0041090E">
            <w:pPr>
              <w:spacing w:after="0" w:line="240" w:lineRule="auto"/>
              <w:jc w:val="right"/>
              <w:rPr>
                <w:sz w:val="20"/>
                <w:szCs w:val="20"/>
              </w:rPr>
            </w:pPr>
            <w:r w:rsidRPr="00E12A27">
              <w:rPr>
                <w:sz w:val="20"/>
                <w:szCs w:val="20"/>
              </w:rPr>
              <w:t>6.7%</w:t>
            </w:r>
          </w:p>
        </w:tc>
        <w:tc>
          <w:tcPr>
            <w:tcW w:w="1785" w:type="dxa"/>
            <w:tcBorders>
              <w:top w:val="nil"/>
              <w:left w:val="nil"/>
              <w:bottom w:val="nil"/>
              <w:right w:val="single" w:sz="4" w:space="0" w:color="auto"/>
            </w:tcBorders>
            <w:noWrap/>
            <w:vAlign w:val="center"/>
            <w:hideMark/>
          </w:tcPr>
          <w:p w14:paraId="788577EA" w14:textId="77777777" w:rsidR="00677577" w:rsidRPr="00E12A27" w:rsidRDefault="00677577" w:rsidP="0041090E">
            <w:pPr>
              <w:spacing w:after="0" w:line="240" w:lineRule="auto"/>
              <w:jc w:val="right"/>
              <w:rPr>
                <w:sz w:val="20"/>
                <w:szCs w:val="20"/>
              </w:rPr>
            </w:pPr>
            <w:r w:rsidRPr="00E12A27">
              <w:rPr>
                <w:sz w:val="20"/>
                <w:szCs w:val="20"/>
              </w:rPr>
              <w:t>2.0%</w:t>
            </w:r>
          </w:p>
        </w:tc>
      </w:tr>
      <w:tr w:rsidR="00677577" w:rsidRPr="00167CB8" w14:paraId="03DA9481" w14:textId="77777777">
        <w:trPr>
          <w:trHeight w:val="283"/>
        </w:trPr>
        <w:tc>
          <w:tcPr>
            <w:tcW w:w="4957" w:type="dxa"/>
            <w:tcBorders>
              <w:top w:val="nil"/>
              <w:left w:val="single" w:sz="4" w:space="0" w:color="auto"/>
              <w:bottom w:val="nil"/>
              <w:right w:val="nil"/>
            </w:tcBorders>
            <w:shd w:val="clear" w:color="auto" w:fill="FFFFFF"/>
            <w:noWrap/>
            <w:vAlign w:val="center"/>
            <w:hideMark/>
          </w:tcPr>
          <w:p w14:paraId="11407F29" w14:textId="77777777" w:rsidR="00677577" w:rsidRPr="00E12A27" w:rsidRDefault="00677577">
            <w:pPr>
              <w:spacing w:after="0" w:line="240" w:lineRule="auto"/>
              <w:rPr>
                <w:sz w:val="20"/>
                <w:szCs w:val="20"/>
              </w:rPr>
            </w:pPr>
            <w:r w:rsidRPr="00E12A27">
              <w:rPr>
                <w:sz w:val="20"/>
                <w:szCs w:val="20"/>
              </w:rPr>
              <w:t>Administrative and support services</w:t>
            </w:r>
          </w:p>
        </w:tc>
        <w:tc>
          <w:tcPr>
            <w:tcW w:w="1784" w:type="dxa"/>
            <w:vAlign w:val="center"/>
            <w:hideMark/>
          </w:tcPr>
          <w:p w14:paraId="725AFBE4" w14:textId="77777777" w:rsidR="00677577" w:rsidRPr="00E12A27" w:rsidRDefault="00677577" w:rsidP="0041090E">
            <w:pPr>
              <w:spacing w:after="0" w:line="240" w:lineRule="auto"/>
              <w:jc w:val="right"/>
              <w:rPr>
                <w:sz w:val="20"/>
                <w:szCs w:val="20"/>
              </w:rPr>
            </w:pPr>
            <w:r w:rsidRPr="00E12A27">
              <w:rPr>
                <w:sz w:val="20"/>
                <w:szCs w:val="20"/>
              </w:rPr>
              <w:t>15.9</w:t>
            </w:r>
          </w:p>
        </w:tc>
        <w:tc>
          <w:tcPr>
            <w:tcW w:w="1784" w:type="dxa"/>
            <w:noWrap/>
            <w:vAlign w:val="center"/>
            <w:hideMark/>
          </w:tcPr>
          <w:p w14:paraId="277E5C48" w14:textId="77777777" w:rsidR="00677577" w:rsidRPr="00E12A27" w:rsidRDefault="00677577" w:rsidP="0041090E">
            <w:pPr>
              <w:spacing w:after="0" w:line="240" w:lineRule="auto"/>
              <w:jc w:val="right"/>
              <w:rPr>
                <w:sz w:val="20"/>
                <w:szCs w:val="20"/>
              </w:rPr>
            </w:pPr>
            <w:r w:rsidRPr="00E12A27">
              <w:rPr>
                <w:sz w:val="20"/>
                <w:szCs w:val="20"/>
              </w:rPr>
              <w:t>13.8</w:t>
            </w:r>
          </w:p>
        </w:tc>
        <w:tc>
          <w:tcPr>
            <w:tcW w:w="1784" w:type="dxa"/>
            <w:vAlign w:val="center"/>
            <w:hideMark/>
          </w:tcPr>
          <w:p w14:paraId="35A6F2C6" w14:textId="77777777" w:rsidR="00677577" w:rsidRPr="00E12A27" w:rsidRDefault="00677577" w:rsidP="0041090E">
            <w:pPr>
              <w:spacing w:after="0" w:line="240" w:lineRule="auto"/>
              <w:jc w:val="right"/>
              <w:rPr>
                <w:sz w:val="20"/>
                <w:szCs w:val="20"/>
              </w:rPr>
            </w:pPr>
            <w:r w:rsidRPr="00E12A27">
              <w:rPr>
                <w:sz w:val="20"/>
                <w:szCs w:val="20"/>
              </w:rPr>
              <w:t>4.5%</w:t>
            </w:r>
          </w:p>
        </w:tc>
        <w:tc>
          <w:tcPr>
            <w:tcW w:w="1784" w:type="dxa"/>
            <w:vAlign w:val="center"/>
            <w:hideMark/>
          </w:tcPr>
          <w:p w14:paraId="60BC6DBE" w14:textId="77777777" w:rsidR="00677577" w:rsidRPr="00E12A27" w:rsidRDefault="00677577" w:rsidP="0041090E">
            <w:pPr>
              <w:spacing w:after="0" w:line="240" w:lineRule="auto"/>
              <w:jc w:val="right"/>
              <w:rPr>
                <w:sz w:val="20"/>
                <w:szCs w:val="20"/>
              </w:rPr>
            </w:pPr>
            <w:r w:rsidRPr="00E12A27">
              <w:rPr>
                <w:sz w:val="20"/>
                <w:szCs w:val="20"/>
              </w:rPr>
              <w:t>2.7%</w:t>
            </w:r>
          </w:p>
        </w:tc>
        <w:tc>
          <w:tcPr>
            <w:tcW w:w="1785" w:type="dxa"/>
            <w:tcBorders>
              <w:top w:val="nil"/>
              <w:left w:val="nil"/>
              <w:bottom w:val="nil"/>
              <w:right w:val="single" w:sz="4" w:space="0" w:color="auto"/>
            </w:tcBorders>
            <w:noWrap/>
            <w:vAlign w:val="center"/>
            <w:hideMark/>
          </w:tcPr>
          <w:p w14:paraId="37CB0DBB" w14:textId="77777777" w:rsidR="00677577" w:rsidRPr="00E12A27" w:rsidRDefault="00677577" w:rsidP="0041090E">
            <w:pPr>
              <w:spacing w:after="0" w:line="240" w:lineRule="auto"/>
              <w:jc w:val="right"/>
              <w:rPr>
                <w:sz w:val="20"/>
                <w:szCs w:val="20"/>
              </w:rPr>
            </w:pPr>
            <w:r w:rsidRPr="00E12A27">
              <w:rPr>
                <w:sz w:val="20"/>
                <w:szCs w:val="20"/>
              </w:rPr>
              <w:t>-1.7%</w:t>
            </w:r>
          </w:p>
        </w:tc>
      </w:tr>
      <w:tr w:rsidR="00677577" w:rsidRPr="00167CB8" w14:paraId="02864F09" w14:textId="77777777">
        <w:trPr>
          <w:trHeight w:val="283"/>
        </w:trPr>
        <w:tc>
          <w:tcPr>
            <w:tcW w:w="4957" w:type="dxa"/>
            <w:tcBorders>
              <w:top w:val="nil"/>
              <w:left w:val="single" w:sz="4" w:space="0" w:color="auto"/>
              <w:bottom w:val="nil"/>
              <w:right w:val="nil"/>
            </w:tcBorders>
            <w:shd w:val="clear" w:color="auto" w:fill="FFFFFF"/>
            <w:noWrap/>
            <w:vAlign w:val="center"/>
            <w:hideMark/>
          </w:tcPr>
          <w:p w14:paraId="737FDCF8" w14:textId="77777777" w:rsidR="00677577" w:rsidRPr="00E12A27" w:rsidRDefault="00677577">
            <w:pPr>
              <w:spacing w:after="0" w:line="240" w:lineRule="auto"/>
              <w:rPr>
                <w:sz w:val="20"/>
                <w:szCs w:val="20"/>
              </w:rPr>
            </w:pPr>
            <w:r w:rsidRPr="00E12A27">
              <w:rPr>
                <w:sz w:val="20"/>
                <w:szCs w:val="20"/>
              </w:rPr>
              <w:t>Public administration and safety</w:t>
            </w:r>
          </w:p>
        </w:tc>
        <w:tc>
          <w:tcPr>
            <w:tcW w:w="1784" w:type="dxa"/>
            <w:vAlign w:val="center"/>
            <w:hideMark/>
          </w:tcPr>
          <w:p w14:paraId="0B4D1A92" w14:textId="77777777" w:rsidR="00677577" w:rsidRPr="00E12A27" w:rsidRDefault="00677577" w:rsidP="0041090E">
            <w:pPr>
              <w:spacing w:after="0" w:line="240" w:lineRule="auto"/>
              <w:jc w:val="right"/>
              <w:rPr>
                <w:sz w:val="20"/>
                <w:szCs w:val="20"/>
              </w:rPr>
            </w:pPr>
            <w:r w:rsidRPr="00E12A27">
              <w:rPr>
                <w:sz w:val="20"/>
                <w:szCs w:val="20"/>
              </w:rPr>
              <w:t>55.4</w:t>
            </w:r>
          </w:p>
        </w:tc>
        <w:tc>
          <w:tcPr>
            <w:tcW w:w="1784" w:type="dxa"/>
            <w:noWrap/>
            <w:vAlign w:val="center"/>
            <w:hideMark/>
          </w:tcPr>
          <w:p w14:paraId="28010BE9" w14:textId="77777777" w:rsidR="00677577" w:rsidRPr="00E12A27" w:rsidRDefault="00677577" w:rsidP="0041090E">
            <w:pPr>
              <w:spacing w:after="0" w:line="240" w:lineRule="auto"/>
              <w:jc w:val="right"/>
              <w:rPr>
                <w:sz w:val="20"/>
                <w:szCs w:val="20"/>
              </w:rPr>
            </w:pPr>
            <w:r w:rsidRPr="00E12A27">
              <w:rPr>
                <w:sz w:val="20"/>
                <w:szCs w:val="20"/>
              </w:rPr>
              <w:t>78.3</w:t>
            </w:r>
          </w:p>
        </w:tc>
        <w:tc>
          <w:tcPr>
            <w:tcW w:w="1784" w:type="dxa"/>
            <w:vAlign w:val="center"/>
            <w:hideMark/>
          </w:tcPr>
          <w:p w14:paraId="4B32BE50" w14:textId="77777777" w:rsidR="00677577" w:rsidRPr="00E12A27" w:rsidRDefault="00677577" w:rsidP="0041090E">
            <w:pPr>
              <w:spacing w:after="0" w:line="240" w:lineRule="auto"/>
              <w:jc w:val="right"/>
              <w:rPr>
                <w:sz w:val="20"/>
                <w:szCs w:val="20"/>
              </w:rPr>
            </w:pPr>
            <w:r w:rsidRPr="00E12A27">
              <w:rPr>
                <w:sz w:val="20"/>
                <w:szCs w:val="20"/>
              </w:rPr>
              <w:t>8.1%</w:t>
            </w:r>
          </w:p>
        </w:tc>
        <w:tc>
          <w:tcPr>
            <w:tcW w:w="1784" w:type="dxa"/>
            <w:vAlign w:val="center"/>
            <w:hideMark/>
          </w:tcPr>
          <w:p w14:paraId="74BBE6A4" w14:textId="77777777" w:rsidR="00677577" w:rsidRPr="00E12A27" w:rsidRDefault="00677577" w:rsidP="0041090E">
            <w:pPr>
              <w:spacing w:after="0" w:line="240" w:lineRule="auto"/>
              <w:jc w:val="right"/>
              <w:rPr>
                <w:sz w:val="20"/>
                <w:szCs w:val="20"/>
              </w:rPr>
            </w:pPr>
            <w:r w:rsidRPr="00E12A27">
              <w:rPr>
                <w:sz w:val="20"/>
                <w:szCs w:val="20"/>
              </w:rPr>
              <w:t>15.3%</w:t>
            </w:r>
          </w:p>
        </w:tc>
        <w:tc>
          <w:tcPr>
            <w:tcW w:w="1785" w:type="dxa"/>
            <w:tcBorders>
              <w:top w:val="nil"/>
              <w:left w:val="nil"/>
              <w:bottom w:val="nil"/>
              <w:right w:val="single" w:sz="4" w:space="0" w:color="auto"/>
            </w:tcBorders>
            <w:noWrap/>
            <w:vAlign w:val="center"/>
            <w:hideMark/>
          </w:tcPr>
          <w:p w14:paraId="678C0AC6" w14:textId="77777777" w:rsidR="00677577" w:rsidRPr="00E12A27" w:rsidRDefault="00677577" w:rsidP="0041090E">
            <w:pPr>
              <w:spacing w:after="0" w:line="240" w:lineRule="auto"/>
              <w:jc w:val="right"/>
              <w:rPr>
                <w:sz w:val="20"/>
                <w:szCs w:val="20"/>
              </w:rPr>
            </w:pPr>
            <w:r w:rsidRPr="00E12A27">
              <w:rPr>
                <w:sz w:val="20"/>
                <w:szCs w:val="20"/>
              </w:rPr>
              <w:t>18.7%</w:t>
            </w:r>
          </w:p>
        </w:tc>
      </w:tr>
      <w:tr w:rsidR="00677577" w:rsidRPr="00167CB8" w14:paraId="583C4956" w14:textId="77777777">
        <w:trPr>
          <w:trHeight w:val="283"/>
        </w:trPr>
        <w:tc>
          <w:tcPr>
            <w:tcW w:w="4957" w:type="dxa"/>
            <w:tcBorders>
              <w:top w:val="nil"/>
              <w:left w:val="single" w:sz="4" w:space="0" w:color="auto"/>
              <w:bottom w:val="nil"/>
              <w:right w:val="nil"/>
            </w:tcBorders>
            <w:shd w:val="clear" w:color="auto" w:fill="FFFFFF"/>
            <w:noWrap/>
            <w:vAlign w:val="center"/>
            <w:hideMark/>
          </w:tcPr>
          <w:p w14:paraId="7592BE78" w14:textId="77777777" w:rsidR="00677577" w:rsidRPr="00E12A27" w:rsidRDefault="00677577">
            <w:pPr>
              <w:spacing w:after="0" w:line="240" w:lineRule="auto"/>
              <w:rPr>
                <w:sz w:val="20"/>
                <w:szCs w:val="20"/>
              </w:rPr>
            </w:pPr>
            <w:r w:rsidRPr="00E12A27">
              <w:rPr>
                <w:sz w:val="20"/>
                <w:szCs w:val="20"/>
              </w:rPr>
              <w:t>Education and training</w:t>
            </w:r>
          </w:p>
        </w:tc>
        <w:tc>
          <w:tcPr>
            <w:tcW w:w="1784" w:type="dxa"/>
            <w:vAlign w:val="center"/>
            <w:hideMark/>
          </w:tcPr>
          <w:p w14:paraId="19A1F643" w14:textId="77777777" w:rsidR="00677577" w:rsidRPr="00E12A27" w:rsidRDefault="00677577" w:rsidP="0041090E">
            <w:pPr>
              <w:spacing w:after="0" w:line="240" w:lineRule="auto"/>
              <w:jc w:val="right"/>
              <w:rPr>
                <w:sz w:val="20"/>
                <w:szCs w:val="20"/>
              </w:rPr>
            </w:pPr>
            <w:r w:rsidRPr="00E12A27">
              <w:rPr>
                <w:sz w:val="20"/>
                <w:szCs w:val="20"/>
              </w:rPr>
              <w:t>120.3</w:t>
            </w:r>
          </w:p>
        </w:tc>
        <w:tc>
          <w:tcPr>
            <w:tcW w:w="1784" w:type="dxa"/>
            <w:noWrap/>
            <w:vAlign w:val="center"/>
            <w:hideMark/>
          </w:tcPr>
          <w:p w14:paraId="75712BB3" w14:textId="77777777" w:rsidR="00677577" w:rsidRPr="00E12A27" w:rsidRDefault="00677577" w:rsidP="0041090E">
            <w:pPr>
              <w:spacing w:after="0" w:line="240" w:lineRule="auto"/>
              <w:jc w:val="right"/>
              <w:rPr>
                <w:sz w:val="20"/>
                <w:szCs w:val="20"/>
              </w:rPr>
            </w:pPr>
            <w:r w:rsidRPr="00E12A27">
              <w:rPr>
                <w:sz w:val="20"/>
                <w:szCs w:val="20"/>
              </w:rPr>
              <w:t>137.6</w:t>
            </w:r>
          </w:p>
        </w:tc>
        <w:tc>
          <w:tcPr>
            <w:tcW w:w="1784" w:type="dxa"/>
            <w:vAlign w:val="center"/>
            <w:hideMark/>
          </w:tcPr>
          <w:p w14:paraId="11A6572F" w14:textId="77777777" w:rsidR="00677577" w:rsidRPr="00E12A27" w:rsidRDefault="00677577" w:rsidP="0041090E">
            <w:pPr>
              <w:spacing w:after="0" w:line="240" w:lineRule="auto"/>
              <w:jc w:val="right"/>
              <w:rPr>
                <w:sz w:val="20"/>
                <w:szCs w:val="20"/>
              </w:rPr>
            </w:pPr>
            <w:r w:rsidRPr="00E12A27">
              <w:rPr>
                <w:sz w:val="20"/>
                <w:szCs w:val="20"/>
              </w:rPr>
              <w:t>11.7%</w:t>
            </w:r>
          </w:p>
        </w:tc>
        <w:tc>
          <w:tcPr>
            <w:tcW w:w="1784" w:type="dxa"/>
            <w:vAlign w:val="center"/>
            <w:hideMark/>
          </w:tcPr>
          <w:p w14:paraId="356B61F1" w14:textId="77777777" w:rsidR="00677577" w:rsidRPr="00E12A27" w:rsidRDefault="00677577" w:rsidP="0041090E">
            <w:pPr>
              <w:spacing w:after="0" w:line="240" w:lineRule="auto"/>
              <w:jc w:val="right"/>
              <w:rPr>
                <w:sz w:val="20"/>
                <w:szCs w:val="20"/>
              </w:rPr>
            </w:pPr>
            <w:r w:rsidRPr="00E12A27">
              <w:rPr>
                <w:sz w:val="20"/>
                <w:szCs w:val="20"/>
              </w:rPr>
              <w:t>26.9%</w:t>
            </w:r>
          </w:p>
        </w:tc>
        <w:tc>
          <w:tcPr>
            <w:tcW w:w="1785" w:type="dxa"/>
            <w:tcBorders>
              <w:top w:val="nil"/>
              <w:left w:val="nil"/>
              <w:bottom w:val="nil"/>
              <w:right w:val="single" w:sz="4" w:space="0" w:color="auto"/>
            </w:tcBorders>
            <w:noWrap/>
            <w:vAlign w:val="center"/>
            <w:hideMark/>
          </w:tcPr>
          <w:p w14:paraId="73993968" w14:textId="77777777" w:rsidR="00677577" w:rsidRPr="00E12A27" w:rsidRDefault="00677577" w:rsidP="0041090E">
            <w:pPr>
              <w:spacing w:after="0" w:line="240" w:lineRule="auto"/>
              <w:jc w:val="right"/>
              <w:rPr>
                <w:sz w:val="20"/>
                <w:szCs w:val="20"/>
              </w:rPr>
            </w:pPr>
            <w:r w:rsidRPr="00E12A27">
              <w:rPr>
                <w:sz w:val="20"/>
                <w:szCs w:val="20"/>
              </w:rPr>
              <w:t>14.1%</w:t>
            </w:r>
          </w:p>
        </w:tc>
      </w:tr>
      <w:tr w:rsidR="00677577" w:rsidRPr="00167CB8" w14:paraId="704ECFB4" w14:textId="77777777">
        <w:trPr>
          <w:trHeight w:val="283"/>
        </w:trPr>
        <w:tc>
          <w:tcPr>
            <w:tcW w:w="4957" w:type="dxa"/>
            <w:tcBorders>
              <w:top w:val="nil"/>
              <w:left w:val="single" w:sz="4" w:space="0" w:color="auto"/>
              <w:bottom w:val="nil"/>
              <w:right w:val="nil"/>
            </w:tcBorders>
            <w:shd w:val="clear" w:color="auto" w:fill="FFFFFF"/>
            <w:noWrap/>
            <w:vAlign w:val="center"/>
            <w:hideMark/>
          </w:tcPr>
          <w:p w14:paraId="1BD63A24" w14:textId="77777777" w:rsidR="00677577" w:rsidRPr="00E12A27" w:rsidRDefault="00677577">
            <w:pPr>
              <w:spacing w:after="0" w:line="240" w:lineRule="auto"/>
              <w:rPr>
                <w:sz w:val="20"/>
                <w:szCs w:val="20"/>
              </w:rPr>
            </w:pPr>
            <w:r w:rsidRPr="00E12A27">
              <w:rPr>
                <w:sz w:val="20"/>
                <w:szCs w:val="20"/>
              </w:rPr>
              <w:t>Health care and social assistance</w:t>
            </w:r>
          </w:p>
        </w:tc>
        <w:tc>
          <w:tcPr>
            <w:tcW w:w="1784" w:type="dxa"/>
            <w:vAlign w:val="center"/>
            <w:hideMark/>
          </w:tcPr>
          <w:p w14:paraId="04813F03" w14:textId="77777777" w:rsidR="00677577" w:rsidRPr="00E12A27" w:rsidRDefault="00677577" w:rsidP="0041090E">
            <w:pPr>
              <w:spacing w:after="0" w:line="240" w:lineRule="auto"/>
              <w:jc w:val="right"/>
              <w:rPr>
                <w:sz w:val="20"/>
                <w:szCs w:val="20"/>
              </w:rPr>
            </w:pPr>
            <w:r w:rsidRPr="00E12A27">
              <w:rPr>
                <w:sz w:val="20"/>
                <w:szCs w:val="20"/>
              </w:rPr>
              <w:t>78.7</w:t>
            </w:r>
          </w:p>
        </w:tc>
        <w:tc>
          <w:tcPr>
            <w:tcW w:w="1784" w:type="dxa"/>
            <w:noWrap/>
            <w:vAlign w:val="center"/>
            <w:hideMark/>
          </w:tcPr>
          <w:p w14:paraId="6D5B17F3" w14:textId="77777777" w:rsidR="00677577" w:rsidRPr="00E12A27" w:rsidRDefault="00677577" w:rsidP="0041090E">
            <w:pPr>
              <w:spacing w:after="0" w:line="240" w:lineRule="auto"/>
              <w:jc w:val="right"/>
              <w:rPr>
                <w:sz w:val="20"/>
                <w:szCs w:val="20"/>
              </w:rPr>
            </w:pPr>
            <w:r w:rsidRPr="00E12A27">
              <w:rPr>
                <w:sz w:val="20"/>
                <w:szCs w:val="20"/>
              </w:rPr>
              <w:t>105.3</w:t>
            </w:r>
          </w:p>
        </w:tc>
        <w:tc>
          <w:tcPr>
            <w:tcW w:w="1784" w:type="dxa"/>
            <w:vAlign w:val="center"/>
            <w:hideMark/>
          </w:tcPr>
          <w:p w14:paraId="5AB2B884" w14:textId="77777777" w:rsidR="00677577" w:rsidRPr="00E12A27" w:rsidRDefault="00677577" w:rsidP="0041090E">
            <w:pPr>
              <w:spacing w:after="0" w:line="240" w:lineRule="auto"/>
              <w:jc w:val="right"/>
              <w:rPr>
                <w:sz w:val="20"/>
                <w:szCs w:val="20"/>
              </w:rPr>
            </w:pPr>
            <w:r w:rsidRPr="00E12A27">
              <w:rPr>
                <w:sz w:val="20"/>
                <w:szCs w:val="20"/>
              </w:rPr>
              <w:t>5.3%</w:t>
            </w:r>
          </w:p>
        </w:tc>
        <w:tc>
          <w:tcPr>
            <w:tcW w:w="1784" w:type="dxa"/>
            <w:vAlign w:val="center"/>
            <w:hideMark/>
          </w:tcPr>
          <w:p w14:paraId="155D87E2" w14:textId="77777777" w:rsidR="00677577" w:rsidRPr="00E12A27" w:rsidRDefault="00677577" w:rsidP="0041090E">
            <w:pPr>
              <w:spacing w:after="0" w:line="240" w:lineRule="auto"/>
              <w:jc w:val="right"/>
              <w:rPr>
                <w:sz w:val="20"/>
                <w:szCs w:val="20"/>
              </w:rPr>
            </w:pPr>
            <w:r w:rsidRPr="00E12A27">
              <w:rPr>
                <w:sz w:val="20"/>
                <w:szCs w:val="20"/>
              </w:rPr>
              <w:t>20.5%</w:t>
            </w:r>
          </w:p>
        </w:tc>
        <w:tc>
          <w:tcPr>
            <w:tcW w:w="1785" w:type="dxa"/>
            <w:tcBorders>
              <w:top w:val="nil"/>
              <w:left w:val="nil"/>
              <w:bottom w:val="nil"/>
              <w:right w:val="single" w:sz="4" w:space="0" w:color="auto"/>
            </w:tcBorders>
            <w:noWrap/>
            <w:vAlign w:val="center"/>
            <w:hideMark/>
          </w:tcPr>
          <w:p w14:paraId="40329A1B" w14:textId="77777777" w:rsidR="00677577" w:rsidRPr="00E12A27" w:rsidRDefault="00677577" w:rsidP="0041090E">
            <w:pPr>
              <w:spacing w:after="0" w:line="240" w:lineRule="auto"/>
              <w:jc w:val="right"/>
              <w:rPr>
                <w:sz w:val="20"/>
                <w:szCs w:val="20"/>
              </w:rPr>
            </w:pPr>
            <w:r w:rsidRPr="00E12A27">
              <w:rPr>
                <w:sz w:val="20"/>
                <w:szCs w:val="20"/>
              </w:rPr>
              <w:t>21.7%</w:t>
            </w:r>
          </w:p>
        </w:tc>
      </w:tr>
      <w:tr w:rsidR="00677577" w:rsidRPr="00167CB8" w14:paraId="39767E40" w14:textId="77777777">
        <w:trPr>
          <w:trHeight w:val="283"/>
        </w:trPr>
        <w:tc>
          <w:tcPr>
            <w:tcW w:w="4957" w:type="dxa"/>
            <w:tcBorders>
              <w:top w:val="nil"/>
              <w:left w:val="single" w:sz="4" w:space="0" w:color="auto"/>
              <w:bottom w:val="nil"/>
              <w:right w:val="nil"/>
            </w:tcBorders>
            <w:shd w:val="clear" w:color="auto" w:fill="FFFFFF"/>
            <w:noWrap/>
            <w:vAlign w:val="center"/>
            <w:hideMark/>
          </w:tcPr>
          <w:p w14:paraId="1A831AB0" w14:textId="77777777" w:rsidR="00677577" w:rsidRPr="00E12A27" w:rsidRDefault="00677577">
            <w:pPr>
              <w:spacing w:after="0" w:line="240" w:lineRule="auto"/>
              <w:rPr>
                <w:sz w:val="20"/>
                <w:szCs w:val="20"/>
              </w:rPr>
            </w:pPr>
            <w:r w:rsidRPr="00E12A27">
              <w:rPr>
                <w:sz w:val="20"/>
                <w:szCs w:val="20"/>
              </w:rPr>
              <w:t>Arts and recreation services</w:t>
            </w:r>
          </w:p>
        </w:tc>
        <w:tc>
          <w:tcPr>
            <w:tcW w:w="1784" w:type="dxa"/>
            <w:vAlign w:val="center"/>
            <w:hideMark/>
          </w:tcPr>
          <w:p w14:paraId="32A393CD" w14:textId="77777777" w:rsidR="00677577" w:rsidRPr="00E12A27" w:rsidRDefault="00677577" w:rsidP="0041090E">
            <w:pPr>
              <w:spacing w:after="0" w:line="240" w:lineRule="auto"/>
              <w:jc w:val="right"/>
              <w:rPr>
                <w:sz w:val="20"/>
                <w:szCs w:val="20"/>
              </w:rPr>
            </w:pPr>
            <w:r w:rsidRPr="00E12A27">
              <w:rPr>
                <w:sz w:val="20"/>
                <w:szCs w:val="20"/>
              </w:rPr>
              <w:t>5.3</w:t>
            </w:r>
          </w:p>
        </w:tc>
        <w:tc>
          <w:tcPr>
            <w:tcW w:w="1784" w:type="dxa"/>
            <w:noWrap/>
            <w:vAlign w:val="center"/>
            <w:hideMark/>
          </w:tcPr>
          <w:p w14:paraId="4869EC59" w14:textId="77777777" w:rsidR="00677577" w:rsidRPr="00E12A27" w:rsidRDefault="00677577" w:rsidP="0041090E">
            <w:pPr>
              <w:spacing w:after="0" w:line="240" w:lineRule="auto"/>
              <w:jc w:val="right"/>
              <w:rPr>
                <w:sz w:val="20"/>
                <w:szCs w:val="20"/>
              </w:rPr>
            </w:pPr>
            <w:r w:rsidRPr="00E12A27">
              <w:rPr>
                <w:sz w:val="20"/>
                <w:szCs w:val="20"/>
              </w:rPr>
              <w:t>16.3</w:t>
            </w:r>
          </w:p>
        </w:tc>
        <w:tc>
          <w:tcPr>
            <w:tcW w:w="1784" w:type="dxa"/>
            <w:vAlign w:val="center"/>
            <w:hideMark/>
          </w:tcPr>
          <w:p w14:paraId="229CFA1C" w14:textId="77777777" w:rsidR="00677577" w:rsidRPr="00E12A27" w:rsidRDefault="00677577" w:rsidP="0041090E">
            <w:pPr>
              <w:spacing w:after="0" w:line="240" w:lineRule="auto"/>
              <w:jc w:val="right"/>
              <w:rPr>
                <w:sz w:val="20"/>
                <w:szCs w:val="20"/>
              </w:rPr>
            </w:pPr>
            <w:r w:rsidRPr="00E12A27">
              <w:rPr>
                <w:sz w:val="20"/>
                <w:szCs w:val="20"/>
              </w:rPr>
              <w:t>7.9%</w:t>
            </w:r>
          </w:p>
        </w:tc>
        <w:tc>
          <w:tcPr>
            <w:tcW w:w="1784" w:type="dxa"/>
            <w:vAlign w:val="center"/>
            <w:hideMark/>
          </w:tcPr>
          <w:p w14:paraId="7B33CD99" w14:textId="77777777" w:rsidR="00677577" w:rsidRPr="00E12A27" w:rsidRDefault="00677577" w:rsidP="0041090E">
            <w:pPr>
              <w:spacing w:after="0" w:line="240" w:lineRule="auto"/>
              <w:jc w:val="right"/>
              <w:rPr>
                <w:sz w:val="20"/>
                <w:szCs w:val="20"/>
              </w:rPr>
            </w:pPr>
            <w:r w:rsidRPr="00E12A27">
              <w:rPr>
                <w:sz w:val="20"/>
                <w:szCs w:val="20"/>
              </w:rPr>
              <w:t>3.2%</w:t>
            </w:r>
          </w:p>
        </w:tc>
        <w:tc>
          <w:tcPr>
            <w:tcW w:w="1785" w:type="dxa"/>
            <w:tcBorders>
              <w:top w:val="nil"/>
              <w:left w:val="nil"/>
              <w:bottom w:val="nil"/>
              <w:right w:val="single" w:sz="4" w:space="0" w:color="auto"/>
            </w:tcBorders>
            <w:noWrap/>
            <w:vAlign w:val="center"/>
            <w:hideMark/>
          </w:tcPr>
          <w:p w14:paraId="0D636716" w14:textId="77777777" w:rsidR="00677577" w:rsidRPr="00E12A27" w:rsidRDefault="00677577" w:rsidP="0041090E">
            <w:pPr>
              <w:spacing w:after="0" w:line="240" w:lineRule="auto"/>
              <w:jc w:val="right"/>
              <w:rPr>
                <w:sz w:val="20"/>
                <w:szCs w:val="20"/>
              </w:rPr>
            </w:pPr>
            <w:r w:rsidRPr="00E12A27">
              <w:rPr>
                <w:sz w:val="20"/>
                <w:szCs w:val="20"/>
              </w:rPr>
              <w:t>9.0%</w:t>
            </w:r>
          </w:p>
        </w:tc>
      </w:tr>
      <w:tr w:rsidR="00677577" w:rsidRPr="00167CB8" w14:paraId="77AC44F2" w14:textId="77777777">
        <w:trPr>
          <w:trHeight w:val="283"/>
        </w:trPr>
        <w:tc>
          <w:tcPr>
            <w:tcW w:w="4957" w:type="dxa"/>
            <w:tcBorders>
              <w:top w:val="nil"/>
              <w:left w:val="single" w:sz="4" w:space="0" w:color="auto"/>
              <w:bottom w:val="nil"/>
              <w:right w:val="nil"/>
            </w:tcBorders>
            <w:shd w:val="clear" w:color="auto" w:fill="FFFFFF"/>
            <w:noWrap/>
            <w:vAlign w:val="center"/>
            <w:hideMark/>
          </w:tcPr>
          <w:p w14:paraId="11D62D20" w14:textId="77777777" w:rsidR="00677577" w:rsidRPr="00E12A27" w:rsidRDefault="00677577">
            <w:pPr>
              <w:spacing w:after="0" w:line="240" w:lineRule="auto"/>
              <w:rPr>
                <w:sz w:val="20"/>
                <w:szCs w:val="20"/>
              </w:rPr>
            </w:pPr>
            <w:r w:rsidRPr="00E12A27">
              <w:rPr>
                <w:sz w:val="20"/>
                <w:szCs w:val="20"/>
              </w:rPr>
              <w:t>Other services</w:t>
            </w:r>
          </w:p>
        </w:tc>
        <w:tc>
          <w:tcPr>
            <w:tcW w:w="1784" w:type="dxa"/>
            <w:vAlign w:val="center"/>
            <w:hideMark/>
          </w:tcPr>
          <w:p w14:paraId="608DF03A" w14:textId="77777777" w:rsidR="00677577" w:rsidRPr="00E12A27" w:rsidRDefault="00677577" w:rsidP="0041090E">
            <w:pPr>
              <w:spacing w:after="0" w:line="240" w:lineRule="auto"/>
              <w:jc w:val="right"/>
              <w:rPr>
                <w:sz w:val="20"/>
                <w:szCs w:val="20"/>
              </w:rPr>
            </w:pPr>
            <w:r w:rsidRPr="00E12A27">
              <w:rPr>
                <w:sz w:val="20"/>
                <w:szCs w:val="20"/>
              </w:rPr>
              <w:t>8.8</w:t>
            </w:r>
          </w:p>
        </w:tc>
        <w:tc>
          <w:tcPr>
            <w:tcW w:w="1784" w:type="dxa"/>
            <w:noWrap/>
            <w:vAlign w:val="center"/>
            <w:hideMark/>
          </w:tcPr>
          <w:p w14:paraId="4045C579" w14:textId="77777777" w:rsidR="00677577" w:rsidRPr="00E12A27" w:rsidRDefault="00677577" w:rsidP="0041090E">
            <w:pPr>
              <w:spacing w:after="0" w:line="240" w:lineRule="auto"/>
              <w:jc w:val="right"/>
              <w:rPr>
                <w:sz w:val="20"/>
                <w:szCs w:val="20"/>
              </w:rPr>
            </w:pPr>
            <w:r w:rsidRPr="00E12A27">
              <w:rPr>
                <w:sz w:val="20"/>
                <w:szCs w:val="20"/>
              </w:rPr>
              <w:t>10.5</w:t>
            </w:r>
          </w:p>
        </w:tc>
        <w:tc>
          <w:tcPr>
            <w:tcW w:w="1784" w:type="dxa"/>
            <w:vAlign w:val="center"/>
            <w:hideMark/>
          </w:tcPr>
          <w:p w14:paraId="4FB59C15" w14:textId="77777777" w:rsidR="00677577" w:rsidRPr="00E12A27" w:rsidRDefault="00677577" w:rsidP="0041090E">
            <w:pPr>
              <w:spacing w:after="0" w:line="240" w:lineRule="auto"/>
              <w:jc w:val="right"/>
              <w:rPr>
                <w:sz w:val="20"/>
                <w:szCs w:val="20"/>
              </w:rPr>
            </w:pPr>
            <w:r w:rsidRPr="00E12A27">
              <w:rPr>
                <w:sz w:val="20"/>
                <w:szCs w:val="20"/>
              </w:rPr>
              <w:t>3.0%</w:t>
            </w:r>
          </w:p>
        </w:tc>
        <w:tc>
          <w:tcPr>
            <w:tcW w:w="1784" w:type="dxa"/>
            <w:vAlign w:val="center"/>
            <w:hideMark/>
          </w:tcPr>
          <w:p w14:paraId="0531A567" w14:textId="77777777" w:rsidR="00677577" w:rsidRPr="00E12A27" w:rsidRDefault="00677577" w:rsidP="0041090E">
            <w:pPr>
              <w:spacing w:after="0" w:line="240" w:lineRule="auto"/>
              <w:jc w:val="right"/>
              <w:rPr>
                <w:sz w:val="20"/>
                <w:szCs w:val="20"/>
              </w:rPr>
            </w:pPr>
            <w:r w:rsidRPr="00E12A27">
              <w:rPr>
                <w:sz w:val="20"/>
                <w:szCs w:val="20"/>
              </w:rPr>
              <w:t>2.1%</w:t>
            </w:r>
          </w:p>
        </w:tc>
        <w:tc>
          <w:tcPr>
            <w:tcW w:w="1785" w:type="dxa"/>
            <w:tcBorders>
              <w:top w:val="nil"/>
              <w:left w:val="nil"/>
              <w:bottom w:val="nil"/>
              <w:right w:val="single" w:sz="4" w:space="0" w:color="auto"/>
            </w:tcBorders>
            <w:noWrap/>
            <w:vAlign w:val="center"/>
            <w:hideMark/>
          </w:tcPr>
          <w:p w14:paraId="5CA316BD" w14:textId="77777777" w:rsidR="00677577" w:rsidRPr="00E12A27" w:rsidRDefault="00677577" w:rsidP="0041090E">
            <w:pPr>
              <w:spacing w:after="0" w:line="240" w:lineRule="auto"/>
              <w:jc w:val="right"/>
              <w:rPr>
                <w:sz w:val="20"/>
                <w:szCs w:val="20"/>
              </w:rPr>
            </w:pPr>
            <w:r w:rsidRPr="00E12A27">
              <w:rPr>
                <w:sz w:val="20"/>
                <w:szCs w:val="20"/>
              </w:rPr>
              <w:t>1.4%</w:t>
            </w:r>
          </w:p>
        </w:tc>
      </w:tr>
      <w:tr w:rsidR="00677577" w:rsidRPr="00167CB8" w14:paraId="5530DEAB" w14:textId="77777777">
        <w:trPr>
          <w:trHeight w:val="283"/>
        </w:trPr>
        <w:tc>
          <w:tcPr>
            <w:tcW w:w="4957" w:type="dxa"/>
            <w:tcBorders>
              <w:top w:val="nil"/>
              <w:left w:val="single" w:sz="4" w:space="0" w:color="auto"/>
              <w:bottom w:val="single" w:sz="4" w:space="0" w:color="auto"/>
              <w:right w:val="nil"/>
            </w:tcBorders>
            <w:shd w:val="clear" w:color="auto" w:fill="FFFFFF"/>
            <w:noWrap/>
            <w:vAlign w:val="center"/>
            <w:hideMark/>
          </w:tcPr>
          <w:p w14:paraId="26DDF486" w14:textId="77777777" w:rsidR="00677577" w:rsidRPr="00E12A27" w:rsidRDefault="00677577">
            <w:pPr>
              <w:spacing w:after="0" w:line="240" w:lineRule="auto"/>
              <w:rPr>
                <w:sz w:val="20"/>
                <w:szCs w:val="20"/>
              </w:rPr>
            </w:pPr>
          </w:p>
        </w:tc>
        <w:tc>
          <w:tcPr>
            <w:tcW w:w="1784" w:type="dxa"/>
            <w:tcBorders>
              <w:top w:val="nil"/>
              <w:left w:val="nil"/>
              <w:bottom w:val="single" w:sz="4" w:space="0" w:color="auto"/>
              <w:right w:val="nil"/>
            </w:tcBorders>
            <w:vAlign w:val="center"/>
            <w:hideMark/>
          </w:tcPr>
          <w:p w14:paraId="2BFA6EDB" w14:textId="77777777" w:rsidR="00677577" w:rsidRPr="00E12A27" w:rsidRDefault="00677577" w:rsidP="0041090E">
            <w:pPr>
              <w:spacing w:after="0" w:line="240" w:lineRule="auto"/>
              <w:jc w:val="right"/>
              <w:rPr>
                <w:sz w:val="20"/>
                <w:szCs w:val="20"/>
              </w:rPr>
            </w:pPr>
            <w:r w:rsidRPr="00E12A27">
              <w:rPr>
                <w:sz w:val="20"/>
                <w:szCs w:val="20"/>
              </w:rPr>
              <w:t>389.7</w:t>
            </w:r>
          </w:p>
        </w:tc>
        <w:tc>
          <w:tcPr>
            <w:tcW w:w="1784" w:type="dxa"/>
            <w:tcBorders>
              <w:top w:val="nil"/>
              <w:left w:val="nil"/>
              <w:bottom w:val="single" w:sz="4" w:space="0" w:color="auto"/>
              <w:right w:val="nil"/>
            </w:tcBorders>
            <w:noWrap/>
            <w:vAlign w:val="center"/>
            <w:hideMark/>
          </w:tcPr>
          <w:p w14:paraId="417B878C" w14:textId="77777777" w:rsidR="00677577" w:rsidRPr="00E12A27" w:rsidRDefault="00677577" w:rsidP="0041090E">
            <w:pPr>
              <w:spacing w:after="0" w:line="240" w:lineRule="auto"/>
              <w:jc w:val="right"/>
              <w:rPr>
                <w:sz w:val="20"/>
                <w:szCs w:val="20"/>
              </w:rPr>
            </w:pPr>
            <w:r w:rsidRPr="00E12A27">
              <w:rPr>
                <w:sz w:val="20"/>
                <w:szCs w:val="20"/>
              </w:rPr>
              <w:t>512.3</w:t>
            </w:r>
          </w:p>
        </w:tc>
        <w:tc>
          <w:tcPr>
            <w:tcW w:w="1784" w:type="dxa"/>
            <w:tcBorders>
              <w:top w:val="nil"/>
              <w:left w:val="nil"/>
              <w:bottom w:val="single" w:sz="4" w:space="0" w:color="auto"/>
              <w:right w:val="nil"/>
            </w:tcBorders>
            <w:vAlign w:val="center"/>
            <w:hideMark/>
          </w:tcPr>
          <w:p w14:paraId="3B0BE458" w14:textId="77777777" w:rsidR="00677577" w:rsidRPr="00E12A27" w:rsidRDefault="00677577" w:rsidP="0041090E">
            <w:pPr>
              <w:spacing w:after="0" w:line="240" w:lineRule="auto"/>
              <w:jc w:val="right"/>
              <w:rPr>
                <w:sz w:val="20"/>
                <w:szCs w:val="20"/>
              </w:rPr>
            </w:pPr>
            <w:r w:rsidRPr="00E12A27">
              <w:rPr>
                <w:sz w:val="20"/>
                <w:szCs w:val="20"/>
              </w:rPr>
              <w:t>4.2%</w:t>
            </w:r>
          </w:p>
        </w:tc>
        <w:tc>
          <w:tcPr>
            <w:tcW w:w="1784" w:type="dxa"/>
            <w:tcBorders>
              <w:top w:val="nil"/>
              <w:left w:val="nil"/>
              <w:bottom w:val="single" w:sz="4" w:space="0" w:color="auto"/>
              <w:right w:val="nil"/>
            </w:tcBorders>
            <w:vAlign w:val="center"/>
            <w:hideMark/>
          </w:tcPr>
          <w:p w14:paraId="5243DFAE" w14:textId="77777777" w:rsidR="00677577" w:rsidRPr="00E12A27" w:rsidRDefault="00677577" w:rsidP="0041090E">
            <w:pPr>
              <w:spacing w:after="0" w:line="240" w:lineRule="auto"/>
              <w:jc w:val="right"/>
              <w:rPr>
                <w:sz w:val="20"/>
                <w:szCs w:val="20"/>
              </w:rPr>
            </w:pPr>
            <w:r w:rsidRPr="00E12A27">
              <w:rPr>
                <w:sz w:val="20"/>
                <w:szCs w:val="20"/>
              </w:rPr>
              <w:t>100%</w:t>
            </w:r>
          </w:p>
        </w:tc>
        <w:tc>
          <w:tcPr>
            <w:tcW w:w="1785" w:type="dxa"/>
            <w:tcBorders>
              <w:top w:val="nil"/>
              <w:left w:val="nil"/>
              <w:bottom w:val="single" w:sz="4" w:space="0" w:color="auto"/>
              <w:right w:val="single" w:sz="4" w:space="0" w:color="auto"/>
            </w:tcBorders>
            <w:noWrap/>
            <w:vAlign w:val="center"/>
            <w:hideMark/>
          </w:tcPr>
          <w:p w14:paraId="10E8FCA4" w14:textId="77777777" w:rsidR="00677577" w:rsidRPr="00E12A27" w:rsidRDefault="00677577" w:rsidP="0041090E">
            <w:pPr>
              <w:spacing w:after="0" w:line="240" w:lineRule="auto"/>
              <w:jc w:val="right"/>
              <w:rPr>
                <w:sz w:val="20"/>
                <w:szCs w:val="20"/>
              </w:rPr>
            </w:pPr>
            <w:r w:rsidRPr="00E12A27">
              <w:rPr>
                <w:sz w:val="20"/>
                <w:szCs w:val="20"/>
              </w:rPr>
              <w:t>100.0%</w:t>
            </w:r>
          </w:p>
        </w:tc>
      </w:tr>
    </w:tbl>
    <w:p w14:paraId="02BD9AEE" w14:textId="398D9606" w:rsidR="00365C93" w:rsidRDefault="00677577" w:rsidP="00677577">
      <w:pPr>
        <w:pStyle w:val="Source"/>
        <w:spacing w:after="0" w:line="240" w:lineRule="auto"/>
      </w:pPr>
      <w:r w:rsidRPr="00167CB8">
        <w:rPr>
          <w:b/>
          <w:bCs/>
        </w:rPr>
        <w:t>Source:</w:t>
      </w:r>
      <w:r w:rsidRPr="00167CB8">
        <w:t xml:space="preserve"> ABS Working Arrangements, August 2024 (Cat No 6336.0, Table 6).</w:t>
      </w:r>
    </w:p>
    <w:p w14:paraId="470FB5EB" w14:textId="77777777" w:rsidR="00677577" w:rsidRPr="00167CB8" w:rsidRDefault="00677577" w:rsidP="00677577">
      <w:pPr>
        <w:sectPr w:rsidR="00677577" w:rsidRPr="00167CB8" w:rsidSect="00677577">
          <w:pgSz w:w="16838" w:h="11906" w:orient="landscape"/>
          <w:pgMar w:top="1440" w:right="1440" w:bottom="1440" w:left="1440" w:header="708" w:footer="708" w:gutter="0"/>
          <w:cols w:space="720"/>
        </w:sectPr>
      </w:pPr>
    </w:p>
    <w:p w14:paraId="40C2DA4D" w14:textId="439C049E" w:rsidR="00677577" w:rsidRDefault="00365C93" w:rsidP="007F380D">
      <w:pPr>
        <w:pStyle w:val="Caption"/>
      </w:pPr>
      <w:bookmarkStart w:id="814" w:name="_Toc189310813"/>
      <w:bookmarkStart w:id="815" w:name="_Toc194251525"/>
      <w:r>
        <w:lastRenderedPageBreak/>
        <w:t xml:space="preserve">Figure </w:t>
      </w:r>
      <w:r>
        <w:fldChar w:fldCharType="begin"/>
      </w:r>
      <w:r>
        <w:instrText xml:space="preserve"> SEQ Figure \* ARABIC </w:instrText>
      </w:r>
      <w:r>
        <w:fldChar w:fldCharType="separate"/>
      </w:r>
      <w:r w:rsidR="00DE5F5E">
        <w:rPr>
          <w:noProof/>
        </w:rPr>
        <w:t>27</w:t>
      </w:r>
      <w:r>
        <w:fldChar w:fldCharType="end"/>
      </w:r>
      <w:r>
        <w:t xml:space="preserve">: </w:t>
      </w:r>
      <w:r w:rsidR="00677577" w:rsidRPr="00167CB8">
        <w:t>Trends in fixed</w:t>
      </w:r>
      <w:r w:rsidR="00C16E22">
        <w:t xml:space="preserve"> </w:t>
      </w:r>
      <w:r w:rsidR="00677577" w:rsidRPr="00167CB8">
        <w:t>term employment, 2014 to 2024</w:t>
      </w:r>
      <w:bookmarkEnd w:id="814"/>
      <w:bookmarkEnd w:id="815"/>
    </w:p>
    <w:p w14:paraId="0E3DA553" w14:textId="6668EF18" w:rsidR="00677577" w:rsidRPr="00167CB8" w:rsidRDefault="00677577" w:rsidP="00677577">
      <w:pPr>
        <w:ind w:left="57"/>
        <w:rPr>
          <w:i/>
          <w:iCs/>
        </w:rPr>
      </w:pPr>
      <w:r w:rsidRPr="00167CB8">
        <w:rPr>
          <w:i/>
          <w:iCs/>
          <w:noProof/>
        </w:rPr>
        <w:drawing>
          <wp:inline distT="0" distB="0" distL="0" distR="0" wp14:anchorId="726167E1" wp14:editId="600D3403">
            <wp:extent cx="5731510" cy="3750945"/>
            <wp:effectExtent l="0" t="0" r="2540" b="1905"/>
            <wp:docPr id="520357691" name="Picture 64" descr="A line chart of trends in fixed-term employment.&#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357691" name="Picture 64" descr="A line chart of trends in fixed-term employment.&#10;&#10;See alt-text following the sourc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31510" cy="3750945"/>
                    </a:xfrm>
                    <a:prstGeom prst="rect">
                      <a:avLst/>
                    </a:prstGeom>
                    <a:noFill/>
                    <a:ln>
                      <a:noFill/>
                    </a:ln>
                  </pic:spPr>
                </pic:pic>
              </a:graphicData>
            </a:graphic>
          </wp:inline>
        </w:drawing>
      </w:r>
    </w:p>
    <w:p w14:paraId="76AE2F36" w14:textId="77777777" w:rsidR="0011475D" w:rsidRDefault="00677577" w:rsidP="00677577">
      <w:pPr>
        <w:pStyle w:val="Source"/>
      </w:pPr>
      <w:r w:rsidRPr="00167CB8">
        <w:rPr>
          <w:b/>
          <w:bCs/>
        </w:rPr>
        <w:t>Source:</w:t>
      </w:r>
      <w:r w:rsidRPr="00167CB8">
        <w:t xml:space="preserve"> ABS Working Arrangements, August 2024 (Cat No 6336.0, Table 6).</w:t>
      </w:r>
    </w:p>
    <w:p w14:paraId="7CE95C8D" w14:textId="3D7EDA67" w:rsidR="00677577" w:rsidRPr="00167CB8" w:rsidRDefault="00677577" w:rsidP="00677577">
      <w:pPr>
        <w:pStyle w:val="Source"/>
      </w:pPr>
      <w:r w:rsidRPr="00167CB8">
        <w:rPr>
          <w:b/>
          <w:bCs/>
        </w:rPr>
        <w:t>Alt-text:</w:t>
      </w:r>
      <w:r w:rsidRPr="00167CB8">
        <w:t xml:space="preserve"> A line chart showing trends in the growth in fixed</w:t>
      </w:r>
      <w:r w:rsidR="00C16E22">
        <w:t xml:space="preserve"> </w:t>
      </w:r>
      <w:r w:rsidRPr="00167CB8">
        <w:t>term employment between 2014 and 2024 (indexed to 2014). Fixed</w:t>
      </w:r>
      <w:r w:rsidR="00C16E22">
        <w:t xml:space="preserve"> </w:t>
      </w:r>
      <w:r w:rsidRPr="00167CB8">
        <w:t>term employment grew by nearly 20% by 2020 among men and women employed full-time. There was a marked decline between 2022 and 2023 in the numbers of male part-time employees and female full-time employees engaged on fixed</w:t>
      </w:r>
      <w:r w:rsidR="00800964">
        <w:t xml:space="preserve"> </w:t>
      </w:r>
      <w:r w:rsidRPr="00167CB8">
        <w:t>term contracts. The use of fixed</w:t>
      </w:r>
      <w:r w:rsidR="00C16E22">
        <w:t xml:space="preserve"> </w:t>
      </w:r>
      <w:r w:rsidRPr="00167CB8">
        <w:t>term employment contracts resumed in 2024. By August 2024 the number of full-timers engaged on a fixed</w:t>
      </w:r>
      <w:r w:rsidR="00800964">
        <w:t xml:space="preserve"> </w:t>
      </w:r>
      <w:r w:rsidRPr="00167CB8">
        <w:t>term contract was nearly 50% higher than levels recorded in 2014.</w:t>
      </w:r>
    </w:p>
    <w:p w14:paraId="1F9082A3" w14:textId="77777777" w:rsidR="00677577" w:rsidRPr="00167CB8" w:rsidRDefault="00677577" w:rsidP="00677577">
      <w:r w:rsidRPr="00167CB8">
        <w:br w:type="page"/>
      </w:r>
    </w:p>
    <w:p w14:paraId="05F072F9" w14:textId="77777777" w:rsidR="00677577" w:rsidRPr="00167CB8" w:rsidRDefault="00677577" w:rsidP="00677577">
      <w:pPr>
        <w:pStyle w:val="Heading4"/>
      </w:pPr>
      <w:bookmarkStart w:id="816" w:name="_Toc186991763"/>
      <w:bookmarkStart w:id="817" w:name="_Toc189393667"/>
      <w:r w:rsidRPr="00167CB8">
        <w:lastRenderedPageBreak/>
        <w:t>2.5 Trade union membership</w:t>
      </w:r>
      <w:bookmarkEnd w:id="816"/>
      <w:bookmarkEnd w:id="817"/>
    </w:p>
    <w:p w14:paraId="69CA0213" w14:textId="5641A353" w:rsidR="0011475D" w:rsidRDefault="00677577" w:rsidP="00677577">
      <w:r w:rsidRPr="0041090E">
        <w:t>Figure 2</w:t>
      </w:r>
      <w:r w:rsidR="00365C93" w:rsidRPr="0041090E">
        <w:t>8</w:t>
      </w:r>
      <w:r w:rsidRPr="00A32FB1">
        <w:t xml:space="preserve"> shows trends in trade union membership in Australia. The data are from the ABS</w:t>
      </w:r>
      <w:r w:rsidRPr="00167CB8">
        <w:t xml:space="preserve"> Characteristics of Employment Survey. As of August 2024, 1.6 million employees (or 13.1%) were trade union members. The incidence of union membership was higher among women (14.1%) than men (12.0%).</w:t>
      </w:r>
    </w:p>
    <w:p w14:paraId="22AD736C" w14:textId="36BA53E7" w:rsidR="00677577" w:rsidRPr="00167CB8" w:rsidRDefault="00365C93" w:rsidP="007F380D">
      <w:pPr>
        <w:pStyle w:val="Caption"/>
      </w:pPr>
      <w:bookmarkStart w:id="818" w:name="_Toc186991781"/>
      <w:bookmarkStart w:id="819" w:name="_Toc189310814"/>
      <w:bookmarkStart w:id="820" w:name="_Toc194251526"/>
      <w:r>
        <w:t xml:space="preserve">Figure </w:t>
      </w:r>
      <w:r>
        <w:fldChar w:fldCharType="begin"/>
      </w:r>
      <w:r>
        <w:instrText xml:space="preserve"> SEQ Figure \* ARABIC </w:instrText>
      </w:r>
      <w:r>
        <w:fldChar w:fldCharType="separate"/>
      </w:r>
      <w:r w:rsidR="00DE5F5E">
        <w:rPr>
          <w:noProof/>
        </w:rPr>
        <w:t>28</w:t>
      </w:r>
      <w:r>
        <w:fldChar w:fldCharType="end"/>
      </w:r>
      <w:r>
        <w:t xml:space="preserve">: </w:t>
      </w:r>
      <w:r w:rsidR="00677577" w:rsidRPr="00167CB8">
        <w:t>Trade union membership (%), Australia</w:t>
      </w:r>
      <w:bookmarkEnd w:id="818"/>
      <w:r w:rsidR="00677577" w:rsidRPr="00167CB8">
        <w:t>, 2004 to 2024</w:t>
      </w:r>
      <w:bookmarkEnd w:id="819"/>
      <w:bookmarkEnd w:id="820"/>
    </w:p>
    <w:p w14:paraId="7331CAD3" w14:textId="62A959F9" w:rsidR="00677577" w:rsidRPr="00167CB8" w:rsidRDefault="00677577" w:rsidP="00677577">
      <w:r w:rsidRPr="00167CB8">
        <w:rPr>
          <w:noProof/>
        </w:rPr>
        <w:drawing>
          <wp:inline distT="0" distB="0" distL="0" distR="0" wp14:anchorId="799657C7" wp14:editId="28572763">
            <wp:extent cx="5731510" cy="3750945"/>
            <wp:effectExtent l="0" t="0" r="2540" b="1905"/>
            <wp:docPr id="1828232707" name="Picture 63" descr="A line chart of trade union membership.&#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232707" name="Picture 63" descr="A line chart of trade union membership.&#10;&#10;See alt-text following the sourc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31510" cy="3750945"/>
                    </a:xfrm>
                    <a:prstGeom prst="rect">
                      <a:avLst/>
                    </a:prstGeom>
                    <a:noFill/>
                    <a:ln>
                      <a:noFill/>
                    </a:ln>
                  </pic:spPr>
                </pic:pic>
              </a:graphicData>
            </a:graphic>
          </wp:inline>
        </w:drawing>
      </w:r>
    </w:p>
    <w:p w14:paraId="583F03A0" w14:textId="77777777" w:rsidR="00677577" w:rsidRPr="00167CB8" w:rsidRDefault="00677577" w:rsidP="00677577">
      <w:pPr>
        <w:pStyle w:val="Source"/>
      </w:pPr>
      <w:r w:rsidRPr="00167CB8">
        <w:rPr>
          <w:b/>
          <w:bCs/>
        </w:rPr>
        <w:t>Source:</w:t>
      </w:r>
      <w:r w:rsidRPr="00167CB8">
        <w:t xml:space="preserve"> Australian Bureau of Statistics, Trade union membership August 2024.</w:t>
      </w:r>
    </w:p>
    <w:p w14:paraId="047AFE73" w14:textId="77777777" w:rsidR="00677577" w:rsidRPr="00167CB8" w:rsidRDefault="00677577" w:rsidP="00677577">
      <w:pPr>
        <w:pStyle w:val="Source"/>
      </w:pPr>
      <w:r w:rsidRPr="00167CB8">
        <w:rPr>
          <w:b/>
          <w:bCs/>
        </w:rPr>
        <w:t>Alt-text:</w:t>
      </w:r>
      <w:r w:rsidRPr="00167CB8">
        <w:t xml:space="preserve"> A line chart showing trends in the trade union membership in Australia. Although the share of union membership has declined significantly over recent decades, there was a slight increase in the incidence of membership between 2022 and 2024.</w:t>
      </w:r>
    </w:p>
    <w:p w14:paraId="7D8035C6" w14:textId="77777777" w:rsidR="00677577" w:rsidRPr="00167CB8" w:rsidRDefault="00677577" w:rsidP="00677577">
      <w:pPr>
        <w:rPr>
          <w:i/>
          <w:iCs/>
        </w:rPr>
      </w:pPr>
      <w:r w:rsidRPr="00167CB8">
        <w:rPr>
          <w:i/>
          <w:iCs/>
        </w:rPr>
        <w:br w:type="page"/>
      </w:r>
    </w:p>
    <w:p w14:paraId="3A9BEF61" w14:textId="1DD50A22" w:rsidR="00677577" w:rsidRPr="00167CB8" w:rsidRDefault="00677577" w:rsidP="00677577">
      <w:r w:rsidRPr="00B96F6E">
        <w:lastRenderedPageBreak/>
        <w:t>Figure 2</w:t>
      </w:r>
      <w:r w:rsidR="00365C93" w:rsidRPr="00B96F6E">
        <w:t>9</w:t>
      </w:r>
      <w:r w:rsidRPr="00A32FB1">
        <w:t xml:space="preserve"> presents information on union density (the share of employees who are union</w:t>
      </w:r>
      <w:r w:rsidRPr="00167CB8">
        <w:t xml:space="preserve"> members) by industry. At August 2024, 27% of employees in the education and training industry division were union members. In health care and social assistance (the largest sector in terms of employment size), 23% of employees were union members. In construction (the second largest industry in terms of employment size) union density was equal to 11.7%.</w:t>
      </w:r>
    </w:p>
    <w:p w14:paraId="0B3B3F39" w14:textId="041CA16A" w:rsidR="00677577" w:rsidRPr="00167CB8" w:rsidRDefault="00365C93" w:rsidP="007F380D">
      <w:pPr>
        <w:pStyle w:val="Caption"/>
      </w:pPr>
      <w:bookmarkStart w:id="821" w:name="_Toc186991782"/>
      <w:bookmarkStart w:id="822" w:name="_Toc189310815"/>
      <w:bookmarkStart w:id="823" w:name="_Toc194251527"/>
      <w:r>
        <w:t xml:space="preserve">Figure </w:t>
      </w:r>
      <w:r>
        <w:fldChar w:fldCharType="begin"/>
      </w:r>
      <w:r>
        <w:instrText xml:space="preserve"> SEQ Figure \* ARABIC </w:instrText>
      </w:r>
      <w:r>
        <w:fldChar w:fldCharType="separate"/>
      </w:r>
      <w:r w:rsidR="00DE5F5E">
        <w:rPr>
          <w:noProof/>
        </w:rPr>
        <w:t>29</w:t>
      </w:r>
      <w:r>
        <w:fldChar w:fldCharType="end"/>
      </w:r>
      <w:r>
        <w:t xml:space="preserve">: </w:t>
      </w:r>
      <w:r w:rsidR="00677577" w:rsidRPr="00167CB8">
        <w:t>Trade union membership by industry, Australia, August 2024</w:t>
      </w:r>
      <w:bookmarkEnd w:id="821"/>
      <w:bookmarkEnd w:id="822"/>
      <w:bookmarkEnd w:id="823"/>
    </w:p>
    <w:p w14:paraId="7AF51F28" w14:textId="15ED9D58" w:rsidR="00677577" w:rsidRPr="00167CB8" w:rsidRDefault="00677577" w:rsidP="00677577">
      <w:r w:rsidRPr="00167CB8">
        <w:rPr>
          <w:noProof/>
        </w:rPr>
        <w:drawing>
          <wp:inline distT="0" distB="0" distL="0" distR="0" wp14:anchorId="344785A4" wp14:editId="1A080B65">
            <wp:extent cx="5731510" cy="3750945"/>
            <wp:effectExtent l="0" t="0" r="2540" b="1905"/>
            <wp:docPr id="1836874789" name="Picture 62" descr="A bar chart of trade union membership by industry.&#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874789" name="Picture 62" descr="A bar chart of trade union membership by industry.&#10;&#10;See alt-text following the sourc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31510" cy="3750945"/>
                    </a:xfrm>
                    <a:prstGeom prst="rect">
                      <a:avLst/>
                    </a:prstGeom>
                    <a:noFill/>
                    <a:ln>
                      <a:noFill/>
                    </a:ln>
                  </pic:spPr>
                </pic:pic>
              </a:graphicData>
            </a:graphic>
          </wp:inline>
        </w:drawing>
      </w:r>
    </w:p>
    <w:p w14:paraId="28B93D3D" w14:textId="77777777" w:rsidR="00677577" w:rsidRPr="00167CB8" w:rsidRDefault="00677577" w:rsidP="00677577">
      <w:pPr>
        <w:pStyle w:val="Source"/>
      </w:pPr>
      <w:r w:rsidRPr="00167CB8">
        <w:rPr>
          <w:b/>
          <w:bCs/>
        </w:rPr>
        <w:t>Source:</w:t>
      </w:r>
      <w:r w:rsidRPr="00167CB8">
        <w:t xml:space="preserve"> Australian Bureau of Statistics, Trade union membership August 2024.</w:t>
      </w:r>
    </w:p>
    <w:p w14:paraId="656F22CD" w14:textId="77777777" w:rsidR="00677577" w:rsidRPr="00167CB8" w:rsidRDefault="00677577" w:rsidP="00677577">
      <w:pPr>
        <w:pStyle w:val="Source"/>
      </w:pPr>
      <w:r w:rsidRPr="00167CB8">
        <w:rPr>
          <w:b/>
          <w:bCs/>
        </w:rPr>
        <w:t>Alt-text:</w:t>
      </w:r>
      <w:r w:rsidRPr="00167CB8">
        <w:t xml:space="preserve"> A bar chart showing union membership by industry. In 2024 union membership was highest in the education and training sector.</w:t>
      </w:r>
    </w:p>
    <w:p w14:paraId="776C8F07" w14:textId="1A7CA53F" w:rsidR="0011475D" w:rsidRDefault="00677577" w:rsidP="00677577">
      <w:bookmarkStart w:id="824" w:name="_Ref184404455"/>
      <w:r w:rsidRPr="00167CB8">
        <w:t xml:space="preserve">Union density is highest among </w:t>
      </w:r>
      <w:r w:rsidRPr="00A32FB1">
        <w:t xml:space="preserve">professionals (see </w:t>
      </w:r>
      <w:r w:rsidRPr="00B96F6E">
        <w:t xml:space="preserve">Table </w:t>
      </w:r>
      <w:r w:rsidR="007E10A3" w:rsidRPr="00B96F6E">
        <w:t>3</w:t>
      </w:r>
      <w:r w:rsidR="007E10A3">
        <w:t>6</w:t>
      </w:r>
      <w:r w:rsidRPr="00A32FB1">
        <w:t>). This</w:t>
      </w:r>
      <w:r w:rsidRPr="00167CB8">
        <w:t xml:space="preserve"> likely reflects the large incidence of union membership in the education and training industry and the health care and social assistance industry.</w:t>
      </w:r>
    </w:p>
    <w:p w14:paraId="037E0200" w14:textId="05BE7A75" w:rsidR="00677577" w:rsidRPr="00167CB8" w:rsidRDefault="00677577" w:rsidP="00677577">
      <w:pPr>
        <w:rPr>
          <w:i/>
          <w:iCs/>
        </w:rPr>
      </w:pPr>
      <w:r w:rsidRPr="00167CB8">
        <w:rPr>
          <w:i/>
          <w:iCs/>
        </w:rPr>
        <w:br w:type="page"/>
      </w:r>
    </w:p>
    <w:p w14:paraId="141F7353" w14:textId="5367663A" w:rsidR="00677577" w:rsidRPr="00167CB8" w:rsidRDefault="00365C93" w:rsidP="007F380D">
      <w:pPr>
        <w:pStyle w:val="Caption"/>
      </w:pPr>
      <w:bookmarkStart w:id="825" w:name="_Toc186991811"/>
      <w:bookmarkStart w:id="826" w:name="_Toc189310862"/>
      <w:bookmarkStart w:id="827" w:name="_Toc194251460"/>
      <w:r>
        <w:lastRenderedPageBreak/>
        <w:t xml:space="preserve">Table </w:t>
      </w:r>
      <w:r>
        <w:fldChar w:fldCharType="begin"/>
      </w:r>
      <w:r>
        <w:instrText xml:space="preserve"> SEQ Table \* ARABIC </w:instrText>
      </w:r>
      <w:r>
        <w:fldChar w:fldCharType="separate"/>
      </w:r>
      <w:r w:rsidR="00DE5F5E">
        <w:rPr>
          <w:noProof/>
        </w:rPr>
        <w:t>36</w:t>
      </w:r>
      <w:r>
        <w:fldChar w:fldCharType="end"/>
      </w:r>
      <w:r>
        <w:t xml:space="preserve">: </w:t>
      </w:r>
      <w:bookmarkEnd w:id="824"/>
      <w:r w:rsidR="00677577" w:rsidRPr="00167CB8">
        <w:t>Trade union membership by occupation, August 2024</w:t>
      </w:r>
      <w:bookmarkEnd w:id="825"/>
      <w:bookmarkEnd w:id="826"/>
      <w:bookmarkEnd w:id="827"/>
    </w:p>
    <w:tbl>
      <w:tblPr>
        <w:tblW w:w="882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037"/>
        <w:gridCol w:w="1791"/>
      </w:tblGrid>
      <w:tr w:rsidR="00677577" w:rsidRPr="00236247" w14:paraId="3D201ECD" w14:textId="77777777">
        <w:trPr>
          <w:trHeight w:val="283"/>
        </w:trPr>
        <w:tc>
          <w:tcPr>
            <w:tcW w:w="7037" w:type="dxa"/>
            <w:tcBorders>
              <w:top w:val="single" w:sz="4" w:space="0" w:color="auto"/>
              <w:left w:val="single" w:sz="4" w:space="0" w:color="auto"/>
              <w:bottom w:val="single" w:sz="4" w:space="0" w:color="auto"/>
              <w:right w:val="nil"/>
            </w:tcBorders>
            <w:noWrap/>
            <w:vAlign w:val="bottom"/>
            <w:hideMark/>
          </w:tcPr>
          <w:p w14:paraId="1597E8E8" w14:textId="23906649" w:rsidR="00677577" w:rsidRPr="006F115E" w:rsidRDefault="00365C93" w:rsidP="006F115E">
            <w:pPr>
              <w:spacing w:line="240" w:lineRule="auto"/>
              <w:rPr>
                <w:b/>
                <w:bCs/>
                <w:sz w:val="20"/>
                <w:szCs w:val="20"/>
              </w:rPr>
            </w:pPr>
            <w:r w:rsidRPr="006F115E">
              <w:rPr>
                <w:b/>
                <w:bCs/>
                <w:sz w:val="20"/>
                <w:szCs w:val="20"/>
              </w:rPr>
              <w:t>One</w:t>
            </w:r>
            <w:r w:rsidR="00677577" w:rsidRPr="006F115E">
              <w:rPr>
                <w:b/>
                <w:bCs/>
                <w:sz w:val="20"/>
                <w:szCs w:val="20"/>
              </w:rPr>
              <w:t>-Digit occupation division</w:t>
            </w:r>
          </w:p>
        </w:tc>
        <w:tc>
          <w:tcPr>
            <w:tcW w:w="1791" w:type="dxa"/>
            <w:tcBorders>
              <w:top w:val="single" w:sz="4" w:space="0" w:color="auto"/>
              <w:left w:val="nil"/>
              <w:bottom w:val="single" w:sz="4" w:space="0" w:color="auto"/>
              <w:right w:val="single" w:sz="4" w:space="0" w:color="auto"/>
            </w:tcBorders>
            <w:noWrap/>
            <w:vAlign w:val="bottom"/>
            <w:hideMark/>
          </w:tcPr>
          <w:p w14:paraId="7FCED722" w14:textId="77777777" w:rsidR="00677577" w:rsidRPr="006F115E" w:rsidRDefault="00677577" w:rsidP="006F115E">
            <w:pPr>
              <w:spacing w:line="240" w:lineRule="auto"/>
              <w:jc w:val="right"/>
              <w:rPr>
                <w:b/>
                <w:bCs/>
                <w:sz w:val="20"/>
                <w:szCs w:val="20"/>
              </w:rPr>
            </w:pPr>
            <w:r w:rsidRPr="006F115E">
              <w:rPr>
                <w:b/>
                <w:bCs/>
                <w:sz w:val="20"/>
                <w:szCs w:val="20"/>
              </w:rPr>
              <w:t>Trade union membership (%)</w:t>
            </w:r>
          </w:p>
        </w:tc>
      </w:tr>
      <w:tr w:rsidR="00677577" w:rsidRPr="00236247" w14:paraId="211938FE" w14:textId="77777777">
        <w:trPr>
          <w:trHeight w:val="283"/>
        </w:trPr>
        <w:tc>
          <w:tcPr>
            <w:tcW w:w="7037" w:type="dxa"/>
            <w:tcBorders>
              <w:top w:val="single" w:sz="4" w:space="0" w:color="auto"/>
              <w:left w:val="single" w:sz="4" w:space="0" w:color="auto"/>
              <w:bottom w:val="nil"/>
              <w:right w:val="nil"/>
            </w:tcBorders>
            <w:noWrap/>
            <w:vAlign w:val="center"/>
            <w:hideMark/>
          </w:tcPr>
          <w:p w14:paraId="144A643C" w14:textId="77777777" w:rsidR="00677577" w:rsidRPr="00617073" w:rsidRDefault="00677577" w:rsidP="00617073">
            <w:pPr>
              <w:spacing w:line="240" w:lineRule="auto"/>
              <w:rPr>
                <w:sz w:val="20"/>
                <w:szCs w:val="20"/>
              </w:rPr>
            </w:pPr>
            <w:r w:rsidRPr="00617073">
              <w:rPr>
                <w:sz w:val="20"/>
                <w:szCs w:val="20"/>
              </w:rPr>
              <w:t>Professionals</w:t>
            </w:r>
          </w:p>
        </w:tc>
        <w:tc>
          <w:tcPr>
            <w:tcW w:w="1791" w:type="dxa"/>
            <w:tcBorders>
              <w:top w:val="single" w:sz="4" w:space="0" w:color="auto"/>
              <w:left w:val="nil"/>
              <w:bottom w:val="nil"/>
              <w:right w:val="single" w:sz="4" w:space="0" w:color="auto"/>
            </w:tcBorders>
            <w:noWrap/>
            <w:vAlign w:val="bottom"/>
            <w:hideMark/>
          </w:tcPr>
          <w:p w14:paraId="04F40966" w14:textId="77777777" w:rsidR="00677577" w:rsidRPr="00617073" w:rsidRDefault="00677577" w:rsidP="00617073">
            <w:pPr>
              <w:spacing w:line="240" w:lineRule="auto"/>
              <w:jc w:val="right"/>
              <w:rPr>
                <w:sz w:val="20"/>
                <w:szCs w:val="20"/>
              </w:rPr>
            </w:pPr>
            <w:r w:rsidRPr="00617073">
              <w:rPr>
                <w:sz w:val="20"/>
                <w:szCs w:val="20"/>
              </w:rPr>
              <w:t>19.8%</w:t>
            </w:r>
          </w:p>
        </w:tc>
      </w:tr>
      <w:tr w:rsidR="00677577" w:rsidRPr="00236247" w14:paraId="21FA0C25" w14:textId="77777777">
        <w:trPr>
          <w:trHeight w:val="283"/>
        </w:trPr>
        <w:tc>
          <w:tcPr>
            <w:tcW w:w="7037" w:type="dxa"/>
            <w:tcBorders>
              <w:top w:val="nil"/>
              <w:left w:val="single" w:sz="4" w:space="0" w:color="auto"/>
              <w:bottom w:val="nil"/>
              <w:right w:val="nil"/>
            </w:tcBorders>
            <w:noWrap/>
            <w:vAlign w:val="center"/>
            <w:hideMark/>
          </w:tcPr>
          <w:p w14:paraId="5FAC1ED2" w14:textId="5DBE59BC" w:rsidR="00677577" w:rsidRPr="00617073" w:rsidRDefault="00677577" w:rsidP="00617073">
            <w:pPr>
              <w:spacing w:line="240" w:lineRule="auto"/>
              <w:rPr>
                <w:sz w:val="20"/>
                <w:szCs w:val="20"/>
              </w:rPr>
            </w:pPr>
            <w:r w:rsidRPr="00617073">
              <w:rPr>
                <w:sz w:val="20"/>
                <w:szCs w:val="20"/>
              </w:rPr>
              <w:t>Community and Personal Service Workers</w:t>
            </w:r>
          </w:p>
        </w:tc>
        <w:tc>
          <w:tcPr>
            <w:tcW w:w="1791" w:type="dxa"/>
            <w:tcBorders>
              <w:top w:val="nil"/>
              <w:left w:val="nil"/>
              <w:bottom w:val="nil"/>
              <w:right w:val="single" w:sz="4" w:space="0" w:color="auto"/>
            </w:tcBorders>
            <w:noWrap/>
            <w:vAlign w:val="bottom"/>
            <w:hideMark/>
          </w:tcPr>
          <w:p w14:paraId="6927411E" w14:textId="77777777" w:rsidR="00677577" w:rsidRPr="00617073" w:rsidRDefault="00677577" w:rsidP="00617073">
            <w:pPr>
              <w:spacing w:line="240" w:lineRule="auto"/>
              <w:jc w:val="right"/>
              <w:rPr>
                <w:sz w:val="20"/>
                <w:szCs w:val="20"/>
              </w:rPr>
            </w:pPr>
            <w:r w:rsidRPr="00617073">
              <w:rPr>
                <w:sz w:val="20"/>
                <w:szCs w:val="20"/>
              </w:rPr>
              <w:t>16.4%</w:t>
            </w:r>
          </w:p>
        </w:tc>
      </w:tr>
      <w:tr w:rsidR="00677577" w:rsidRPr="00236247" w14:paraId="08F35CEC" w14:textId="77777777">
        <w:trPr>
          <w:trHeight w:val="283"/>
        </w:trPr>
        <w:tc>
          <w:tcPr>
            <w:tcW w:w="7037" w:type="dxa"/>
            <w:tcBorders>
              <w:top w:val="nil"/>
              <w:left w:val="single" w:sz="4" w:space="0" w:color="auto"/>
              <w:bottom w:val="nil"/>
              <w:right w:val="nil"/>
            </w:tcBorders>
            <w:noWrap/>
            <w:vAlign w:val="center"/>
            <w:hideMark/>
          </w:tcPr>
          <w:p w14:paraId="10B09EAB" w14:textId="03334265" w:rsidR="00677577" w:rsidRPr="00617073" w:rsidRDefault="00677577" w:rsidP="00617073">
            <w:pPr>
              <w:spacing w:line="240" w:lineRule="auto"/>
              <w:rPr>
                <w:sz w:val="20"/>
                <w:szCs w:val="20"/>
              </w:rPr>
            </w:pPr>
            <w:r w:rsidRPr="00617073">
              <w:rPr>
                <w:sz w:val="20"/>
                <w:szCs w:val="20"/>
              </w:rPr>
              <w:t>Machinery Operators and Drivers</w:t>
            </w:r>
          </w:p>
        </w:tc>
        <w:tc>
          <w:tcPr>
            <w:tcW w:w="1791" w:type="dxa"/>
            <w:tcBorders>
              <w:top w:val="nil"/>
              <w:left w:val="nil"/>
              <w:bottom w:val="nil"/>
              <w:right w:val="single" w:sz="4" w:space="0" w:color="auto"/>
            </w:tcBorders>
            <w:noWrap/>
            <w:vAlign w:val="bottom"/>
            <w:hideMark/>
          </w:tcPr>
          <w:p w14:paraId="62C3B493" w14:textId="77777777" w:rsidR="00677577" w:rsidRPr="00617073" w:rsidRDefault="00677577" w:rsidP="00617073">
            <w:pPr>
              <w:spacing w:line="240" w:lineRule="auto"/>
              <w:jc w:val="right"/>
              <w:rPr>
                <w:sz w:val="20"/>
                <w:szCs w:val="20"/>
              </w:rPr>
            </w:pPr>
            <w:r w:rsidRPr="00617073">
              <w:rPr>
                <w:sz w:val="20"/>
                <w:szCs w:val="20"/>
              </w:rPr>
              <w:t>15.9%</w:t>
            </w:r>
          </w:p>
        </w:tc>
      </w:tr>
      <w:tr w:rsidR="00677577" w:rsidRPr="00236247" w14:paraId="1D5305F6" w14:textId="77777777">
        <w:trPr>
          <w:trHeight w:val="283"/>
        </w:trPr>
        <w:tc>
          <w:tcPr>
            <w:tcW w:w="7037" w:type="dxa"/>
            <w:tcBorders>
              <w:top w:val="nil"/>
              <w:left w:val="single" w:sz="4" w:space="0" w:color="auto"/>
              <w:bottom w:val="nil"/>
              <w:right w:val="nil"/>
            </w:tcBorders>
            <w:noWrap/>
            <w:vAlign w:val="center"/>
            <w:hideMark/>
          </w:tcPr>
          <w:p w14:paraId="7B408453" w14:textId="6FC7A7E3" w:rsidR="00677577" w:rsidRPr="00617073" w:rsidRDefault="00677577" w:rsidP="00617073">
            <w:pPr>
              <w:spacing w:line="240" w:lineRule="auto"/>
              <w:rPr>
                <w:sz w:val="20"/>
                <w:szCs w:val="20"/>
              </w:rPr>
            </w:pPr>
            <w:r w:rsidRPr="00617073">
              <w:rPr>
                <w:sz w:val="20"/>
                <w:szCs w:val="20"/>
              </w:rPr>
              <w:t>Technicians and Trades Workers</w:t>
            </w:r>
          </w:p>
        </w:tc>
        <w:tc>
          <w:tcPr>
            <w:tcW w:w="1791" w:type="dxa"/>
            <w:tcBorders>
              <w:top w:val="nil"/>
              <w:left w:val="nil"/>
              <w:bottom w:val="nil"/>
              <w:right w:val="single" w:sz="4" w:space="0" w:color="auto"/>
            </w:tcBorders>
            <w:noWrap/>
            <w:vAlign w:val="bottom"/>
            <w:hideMark/>
          </w:tcPr>
          <w:p w14:paraId="75216600" w14:textId="77777777" w:rsidR="00677577" w:rsidRPr="00617073" w:rsidRDefault="00677577" w:rsidP="00617073">
            <w:pPr>
              <w:spacing w:line="240" w:lineRule="auto"/>
              <w:jc w:val="right"/>
              <w:rPr>
                <w:sz w:val="20"/>
                <w:szCs w:val="20"/>
              </w:rPr>
            </w:pPr>
            <w:r w:rsidRPr="00617073">
              <w:rPr>
                <w:sz w:val="20"/>
                <w:szCs w:val="20"/>
              </w:rPr>
              <w:t>13.0%</w:t>
            </w:r>
          </w:p>
        </w:tc>
      </w:tr>
      <w:tr w:rsidR="00677577" w:rsidRPr="00236247" w14:paraId="743D1633" w14:textId="77777777">
        <w:trPr>
          <w:trHeight w:val="283"/>
        </w:trPr>
        <w:tc>
          <w:tcPr>
            <w:tcW w:w="7037" w:type="dxa"/>
            <w:tcBorders>
              <w:top w:val="nil"/>
              <w:left w:val="single" w:sz="4" w:space="0" w:color="auto"/>
              <w:bottom w:val="nil"/>
              <w:right w:val="nil"/>
            </w:tcBorders>
            <w:noWrap/>
            <w:vAlign w:val="center"/>
            <w:hideMark/>
          </w:tcPr>
          <w:p w14:paraId="151880DE" w14:textId="77777777" w:rsidR="00677577" w:rsidRPr="00617073" w:rsidRDefault="00677577" w:rsidP="00617073">
            <w:pPr>
              <w:spacing w:line="240" w:lineRule="auto"/>
              <w:rPr>
                <w:sz w:val="20"/>
                <w:szCs w:val="20"/>
              </w:rPr>
            </w:pPr>
            <w:r w:rsidRPr="00617073">
              <w:rPr>
                <w:sz w:val="20"/>
                <w:szCs w:val="20"/>
              </w:rPr>
              <w:t>Labourers</w:t>
            </w:r>
          </w:p>
        </w:tc>
        <w:tc>
          <w:tcPr>
            <w:tcW w:w="1791" w:type="dxa"/>
            <w:tcBorders>
              <w:top w:val="nil"/>
              <w:left w:val="nil"/>
              <w:bottom w:val="nil"/>
              <w:right w:val="single" w:sz="4" w:space="0" w:color="auto"/>
            </w:tcBorders>
            <w:noWrap/>
            <w:vAlign w:val="bottom"/>
            <w:hideMark/>
          </w:tcPr>
          <w:p w14:paraId="68147799" w14:textId="77777777" w:rsidR="00677577" w:rsidRPr="00617073" w:rsidRDefault="00677577" w:rsidP="00617073">
            <w:pPr>
              <w:spacing w:line="240" w:lineRule="auto"/>
              <w:jc w:val="right"/>
              <w:rPr>
                <w:sz w:val="20"/>
                <w:szCs w:val="20"/>
              </w:rPr>
            </w:pPr>
            <w:r w:rsidRPr="00617073">
              <w:rPr>
                <w:sz w:val="20"/>
                <w:szCs w:val="20"/>
              </w:rPr>
              <w:t>9.8%</w:t>
            </w:r>
          </w:p>
        </w:tc>
      </w:tr>
      <w:tr w:rsidR="00677577" w:rsidRPr="00236247" w14:paraId="3AFF1CFB" w14:textId="77777777">
        <w:trPr>
          <w:trHeight w:val="283"/>
        </w:trPr>
        <w:tc>
          <w:tcPr>
            <w:tcW w:w="7037" w:type="dxa"/>
            <w:tcBorders>
              <w:top w:val="nil"/>
              <w:left w:val="single" w:sz="4" w:space="0" w:color="auto"/>
              <w:bottom w:val="nil"/>
              <w:right w:val="nil"/>
            </w:tcBorders>
            <w:noWrap/>
            <w:vAlign w:val="center"/>
            <w:hideMark/>
          </w:tcPr>
          <w:p w14:paraId="668998C3" w14:textId="72ADBC57" w:rsidR="00677577" w:rsidRPr="00617073" w:rsidRDefault="00677577" w:rsidP="00617073">
            <w:pPr>
              <w:spacing w:line="240" w:lineRule="auto"/>
              <w:rPr>
                <w:sz w:val="20"/>
                <w:szCs w:val="20"/>
              </w:rPr>
            </w:pPr>
            <w:r w:rsidRPr="00617073">
              <w:rPr>
                <w:sz w:val="20"/>
                <w:szCs w:val="20"/>
              </w:rPr>
              <w:t>Clerical and Administrative Workers</w:t>
            </w:r>
          </w:p>
        </w:tc>
        <w:tc>
          <w:tcPr>
            <w:tcW w:w="1791" w:type="dxa"/>
            <w:tcBorders>
              <w:top w:val="nil"/>
              <w:left w:val="nil"/>
              <w:bottom w:val="nil"/>
              <w:right w:val="single" w:sz="4" w:space="0" w:color="auto"/>
            </w:tcBorders>
            <w:noWrap/>
            <w:vAlign w:val="bottom"/>
            <w:hideMark/>
          </w:tcPr>
          <w:p w14:paraId="47B662F5" w14:textId="77777777" w:rsidR="00677577" w:rsidRPr="00617073" w:rsidRDefault="00677577" w:rsidP="00617073">
            <w:pPr>
              <w:spacing w:line="240" w:lineRule="auto"/>
              <w:jc w:val="right"/>
              <w:rPr>
                <w:sz w:val="20"/>
                <w:szCs w:val="20"/>
              </w:rPr>
            </w:pPr>
            <w:r w:rsidRPr="00617073">
              <w:rPr>
                <w:sz w:val="20"/>
                <w:szCs w:val="20"/>
              </w:rPr>
              <w:t>7.9%</w:t>
            </w:r>
          </w:p>
        </w:tc>
      </w:tr>
      <w:tr w:rsidR="00677577" w:rsidRPr="00236247" w14:paraId="6483DC4E" w14:textId="77777777">
        <w:trPr>
          <w:trHeight w:val="283"/>
        </w:trPr>
        <w:tc>
          <w:tcPr>
            <w:tcW w:w="7037" w:type="dxa"/>
            <w:tcBorders>
              <w:top w:val="nil"/>
              <w:left w:val="single" w:sz="4" w:space="0" w:color="auto"/>
              <w:bottom w:val="nil"/>
              <w:right w:val="nil"/>
            </w:tcBorders>
            <w:noWrap/>
            <w:vAlign w:val="center"/>
            <w:hideMark/>
          </w:tcPr>
          <w:p w14:paraId="6807AA10" w14:textId="77777777" w:rsidR="00677577" w:rsidRPr="00617073" w:rsidRDefault="00677577" w:rsidP="00617073">
            <w:pPr>
              <w:spacing w:line="240" w:lineRule="auto"/>
              <w:rPr>
                <w:sz w:val="20"/>
                <w:szCs w:val="20"/>
              </w:rPr>
            </w:pPr>
            <w:r w:rsidRPr="00617073">
              <w:rPr>
                <w:sz w:val="20"/>
                <w:szCs w:val="20"/>
              </w:rPr>
              <w:t>Managers</w:t>
            </w:r>
          </w:p>
        </w:tc>
        <w:tc>
          <w:tcPr>
            <w:tcW w:w="1791" w:type="dxa"/>
            <w:tcBorders>
              <w:top w:val="nil"/>
              <w:left w:val="nil"/>
              <w:bottom w:val="nil"/>
              <w:right w:val="single" w:sz="4" w:space="0" w:color="auto"/>
            </w:tcBorders>
            <w:noWrap/>
            <w:vAlign w:val="bottom"/>
            <w:hideMark/>
          </w:tcPr>
          <w:p w14:paraId="091422B3" w14:textId="77777777" w:rsidR="00677577" w:rsidRPr="00617073" w:rsidRDefault="00677577" w:rsidP="00617073">
            <w:pPr>
              <w:spacing w:line="240" w:lineRule="auto"/>
              <w:jc w:val="right"/>
              <w:rPr>
                <w:sz w:val="20"/>
                <w:szCs w:val="20"/>
              </w:rPr>
            </w:pPr>
            <w:r w:rsidRPr="00617073">
              <w:rPr>
                <w:sz w:val="20"/>
                <w:szCs w:val="20"/>
              </w:rPr>
              <w:t>6.3%</w:t>
            </w:r>
          </w:p>
        </w:tc>
      </w:tr>
      <w:tr w:rsidR="00677577" w:rsidRPr="00236247" w14:paraId="31C6DAC4" w14:textId="77777777">
        <w:trPr>
          <w:trHeight w:val="283"/>
        </w:trPr>
        <w:tc>
          <w:tcPr>
            <w:tcW w:w="7037" w:type="dxa"/>
            <w:tcBorders>
              <w:top w:val="nil"/>
              <w:left w:val="single" w:sz="4" w:space="0" w:color="auto"/>
              <w:bottom w:val="single" w:sz="4" w:space="0" w:color="auto"/>
              <w:right w:val="nil"/>
            </w:tcBorders>
            <w:noWrap/>
            <w:vAlign w:val="center"/>
            <w:hideMark/>
          </w:tcPr>
          <w:p w14:paraId="31A78DC7" w14:textId="0773DBB9" w:rsidR="00677577" w:rsidRPr="00617073" w:rsidRDefault="00677577" w:rsidP="00617073">
            <w:pPr>
              <w:spacing w:line="240" w:lineRule="auto"/>
              <w:rPr>
                <w:sz w:val="20"/>
                <w:szCs w:val="20"/>
              </w:rPr>
            </w:pPr>
            <w:r w:rsidRPr="00617073">
              <w:rPr>
                <w:sz w:val="20"/>
                <w:szCs w:val="20"/>
              </w:rPr>
              <w:t>Sales Workers</w:t>
            </w:r>
          </w:p>
        </w:tc>
        <w:tc>
          <w:tcPr>
            <w:tcW w:w="1791" w:type="dxa"/>
            <w:tcBorders>
              <w:top w:val="nil"/>
              <w:left w:val="nil"/>
              <w:bottom w:val="single" w:sz="4" w:space="0" w:color="auto"/>
              <w:right w:val="single" w:sz="4" w:space="0" w:color="auto"/>
            </w:tcBorders>
            <w:noWrap/>
            <w:vAlign w:val="bottom"/>
            <w:hideMark/>
          </w:tcPr>
          <w:p w14:paraId="03F6E549" w14:textId="77777777" w:rsidR="00677577" w:rsidRPr="00617073" w:rsidRDefault="00677577" w:rsidP="00617073">
            <w:pPr>
              <w:spacing w:line="240" w:lineRule="auto"/>
              <w:jc w:val="right"/>
              <w:rPr>
                <w:sz w:val="20"/>
                <w:szCs w:val="20"/>
              </w:rPr>
            </w:pPr>
            <w:r w:rsidRPr="00617073">
              <w:rPr>
                <w:sz w:val="20"/>
                <w:szCs w:val="20"/>
              </w:rPr>
              <w:t>5.9%</w:t>
            </w:r>
          </w:p>
        </w:tc>
      </w:tr>
    </w:tbl>
    <w:p w14:paraId="34C3625A" w14:textId="77777777" w:rsidR="00677577" w:rsidRPr="00167CB8" w:rsidRDefault="00677577" w:rsidP="00677577">
      <w:pPr>
        <w:pStyle w:val="Source"/>
      </w:pPr>
      <w:r w:rsidRPr="00167CB8">
        <w:rPr>
          <w:b/>
          <w:bCs/>
        </w:rPr>
        <w:t>Source:</w:t>
      </w:r>
      <w:r w:rsidRPr="00167CB8">
        <w:t xml:space="preserve"> Australian Bureau of Statistics, Trade union membership August 2024.</w:t>
      </w:r>
    </w:p>
    <w:p w14:paraId="2597BC32" w14:textId="1AB7E60C" w:rsidR="00677577" w:rsidRPr="00365C93" w:rsidRDefault="00677577" w:rsidP="00365C93">
      <w:pPr>
        <w:pStyle w:val="Heading4"/>
      </w:pPr>
      <w:bookmarkStart w:id="828" w:name="_Toc186991764"/>
      <w:bookmarkStart w:id="829" w:name="_Toc189393668"/>
      <w:r w:rsidRPr="00365C93">
        <w:t>2.6 Select employment characteristics based on data from the HILDA Survey</w:t>
      </w:r>
      <w:bookmarkEnd w:id="828"/>
      <w:bookmarkEnd w:id="829"/>
    </w:p>
    <w:p w14:paraId="6EBFFCC7" w14:textId="178C3948" w:rsidR="0011475D" w:rsidRDefault="00677577" w:rsidP="00677577">
      <w:r w:rsidRPr="00167CB8">
        <w:t>Additional insight into various labour market characteristics may be obtained from the HILDA survey. HILDA is a longitudinal household survey. After weighting using the population weights the HILDA data are nationally representative.</w:t>
      </w:r>
    </w:p>
    <w:p w14:paraId="41EE88E0" w14:textId="72457C57" w:rsidR="00677577" w:rsidRPr="00167CB8" w:rsidRDefault="00677577" w:rsidP="00677577">
      <w:pPr>
        <w:pStyle w:val="Heading5"/>
      </w:pPr>
      <w:r w:rsidRPr="00167CB8">
        <w:t>2.6.1 Union membership</w:t>
      </w:r>
    </w:p>
    <w:p w14:paraId="0B5537DE" w14:textId="4174C09B" w:rsidR="0011475D" w:rsidRDefault="00677577" w:rsidP="00677577">
      <w:r w:rsidRPr="002F118C">
        <w:t xml:space="preserve">Table </w:t>
      </w:r>
      <w:r w:rsidR="007E10A3" w:rsidRPr="002F118C">
        <w:t>3</w:t>
      </w:r>
      <w:r w:rsidR="007E10A3">
        <w:t>7</w:t>
      </w:r>
      <w:r w:rsidR="007E10A3" w:rsidRPr="00A32FB1">
        <w:t xml:space="preserve"> </w:t>
      </w:r>
      <w:r w:rsidRPr="00A32FB1">
        <w:t>reports trends in trade union membership by employment status and method of pay</w:t>
      </w:r>
      <w:r w:rsidRPr="00167CB8">
        <w:t xml:space="preserve"> setting. In 2012, 10.8% of all casual employees were union members. By 2023 this had declined to 6.9%. Similarly, in 2012, 30.2% of all employees on a permanent contract were union members. By 2023 this had fallen to 24.5%. Among all those whose pay is determined by a collective agreement, 40.8% are union members.</w:t>
      </w:r>
    </w:p>
    <w:p w14:paraId="35315A67" w14:textId="56516324" w:rsidR="00677577" w:rsidRPr="00167CB8" w:rsidRDefault="00677577" w:rsidP="00677577">
      <w:pPr>
        <w:sectPr w:rsidR="00677577" w:rsidRPr="00167CB8" w:rsidSect="00677577">
          <w:pgSz w:w="11906" w:h="16838"/>
          <w:pgMar w:top="1440" w:right="1440" w:bottom="1440" w:left="1440" w:header="708" w:footer="708" w:gutter="0"/>
          <w:cols w:space="720"/>
        </w:sectPr>
      </w:pPr>
    </w:p>
    <w:p w14:paraId="4165FF4E" w14:textId="7A7496D7" w:rsidR="00677577" w:rsidRPr="00167CB8" w:rsidRDefault="00365C93" w:rsidP="007F380D">
      <w:pPr>
        <w:pStyle w:val="Caption"/>
      </w:pPr>
      <w:bookmarkStart w:id="830" w:name="_Ref186905097"/>
      <w:bookmarkStart w:id="831" w:name="_Toc186991812"/>
      <w:bookmarkStart w:id="832" w:name="_Toc189310863"/>
      <w:bookmarkStart w:id="833" w:name="_Toc194251461"/>
      <w:r>
        <w:lastRenderedPageBreak/>
        <w:t xml:space="preserve">Table </w:t>
      </w:r>
      <w:r>
        <w:fldChar w:fldCharType="begin"/>
      </w:r>
      <w:r>
        <w:instrText xml:space="preserve"> SEQ Table \* ARABIC </w:instrText>
      </w:r>
      <w:r>
        <w:fldChar w:fldCharType="separate"/>
      </w:r>
      <w:r w:rsidR="00DE5F5E">
        <w:rPr>
          <w:noProof/>
        </w:rPr>
        <w:t>37</w:t>
      </w:r>
      <w:r>
        <w:fldChar w:fldCharType="end"/>
      </w:r>
      <w:r>
        <w:t xml:space="preserve">: </w:t>
      </w:r>
      <w:bookmarkEnd w:id="830"/>
      <w:r w:rsidR="00677577" w:rsidRPr="00167CB8">
        <w:t>Union membership (%) by employment status and method of pay setting status in main job, 2012 to 2023</w:t>
      </w:r>
      <w:bookmarkEnd w:id="831"/>
      <w:bookmarkEnd w:id="832"/>
      <w:bookmarkEnd w:id="833"/>
    </w:p>
    <w:tbl>
      <w:tblPr>
        <w:tblW w:w="1395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132"/>
        <w:gridCol w:w="1478"/>
        <w:gridCol w:w="1477"/>
        <w:gridCol w:w="1477"/>
        <w:gridCol w:w="1477"/>
        <w:gridCol w:w="1477"/>
        <w:gridCol w:w="1477"/>
        <w:gridCol w:w="1477"/>
        <w:gridCol w:w="1478"/>
      </w:tblGrid>
      <w:tr w:rsidR="00677577" w:rsidRPr="00236247" w14:paraId="29775D07" w14:textId="77777777">
        <w:trPr>
          <w:trHeight w:val="309"/>
        </w:trPr>
        <w:tc>
          <w:tcPr>
            <w:tcW w:w="2131" w:type="dxa"/>
            <w:tcBorders>
              <w:top w:val="single" w:sz="4" w:space="0" w:color="auto"/>
              <w:left w:val="single" w:sz="4" w:space="0" w:color="auto"/>
              <w:bottom w:val="single" w:sz="4" w:space="0" w:color="auto"/>
              <w:right w:val="nil"/>
            </w:tcBorders>
            <w:noWrap/>
            <w:vAlign w:val="bottom"/>
            <w:hideMark/>
          </w:tcPr>
          <w:p w14:paraId="01001DAB" w14:textId="77777777" w:rsidR="00677577" w:rsidRPr="001253CF" w:rsidRDefault="00677577">
            <w:pPr>
              <w:rPr>
                <w:b/>
                <w:sz w:val="20"/>
                <w:szCs w:val="20"/>
              </w:rPr>
            </w:pPr>
          </w:p>
        </w:tc>
        <w:tc>
          <w:tcPr>
            <w:tcW w:w="1477" w:type="dxa"/>
            <w:tcBorders>
              <w:top w:val="single" w:sz="4" w:space="0" w:color="auto"/>
              <w:left w:val="nil"/>
              <w:bottom w:val="single" w:sz="4" w:space="0" w:color="auto"/>
              <w:right w:val="nil"/>
            </w:tcBorders>
            <w:noWrap/>
            <w:vAlign w:val="center"/>
            <w:hideMark/>
          </w:tcPr>
          <w:p w14:paraId="7C7EE3C9" w14:textId="77777777" w:rsidR="00677577" w:rsidRPr="001253CF" w:rsidRDefault="00677577" w:rsidP="001253CF">
            <w:pPr>
              <w:jc w:val="right"/>
              <w:rPr>
                <w:b/>
                <w:sz w:val="20"/>
                <w:szCs w:val="20"/>
              </w:rPr>
            </w:pPr>
            <w:r w:rsidRPr="001253CF">
              <w:rPr>
                <w:b/>
                <w:sz w:val="20"/>
                <w:szCs w:val="20"/>
              </w:rPr>
              <w:t>Casual</w:t>
            </w:r>
          </w:p>
        </w:tc>
        <w:tc>
          <w:tcPr>
            <w:tcW w:w="1477" w:type="dxa"/>
            <w:tcBorders>
              <w:top w:val="single" w:sz="4" w:space="0" w:color="auto"/>
              <w:left w:val="nil"/>
              <w:bottom w:val="single" w:sz="4" w:space="0" w:color="auto"/>
              <w:right w:val="nil"/>
            </w:tcBorders>
            <w:noWrap/>
            <w:vAlign w:val="center"/>
            <w:hideMark/>
          </w:tcPr>
          <w:p w14:paraId="2AF59ED7" w14:textId="77777777" w:rsidR="00677577" w:rsidRPr="001253CF" w:rsidRDefault="00677577" w:rsidP="001253CF">
            <w:pPr>
              <w:jc w:val="right"/>
              <w:rPr>
                <w:b/>
                <w:sz w:val="20"/>
                <w:szCs w:val="20"/>
              </w:rPr>
            </w:pPr>
            <w:r w:rsidRPr="001253CF">
              <w:rPr>
                <w:b/>
                <w:sz w:val="20"/>
                <w:szCs w:val="20"/>
              </w:rPr>
              <w:t>Permanent</w:t>
            </w:r>
          </w:p>
        </w:tc>
        <w:tc>
          <w:tcPr>
            <w:tcW w:w="1477" w:type="dxa"/>
            <w:tcBorders>
              <w:top w:val="single" w:sz="4" w:space="0" w:color="auto"/>
              <w:left w:val="nil"/>
              <w:bottom w:val="single" w:sz="4" w:space="0" w:color="auto"/>
              <w:right w:val="nil"/>
            </w:tcBorders>
            <w:noWrap/>
            <w:vAlign w:val="center"/>
            <w:hideMark/>
          </w:tcPr>
          <w:p w14:paraId="2BDB770C" w14:textId="0DE39063" w:rsidR="00677577" w:rsidRPr="001253CF" w:rsidRDefault="00677577" w:rsidP="001253CF">
            <w:pPr>
              <w:jc w:val="right"/>
              <w:rPr>
                <w:b/>
                <w:sz w:val="20"/>
                <w:szCs w:val="20"/>
              </w:rPr>
            </w:pPr>
            <w:r w:rsidRPr="001253CF">
              <w:rPr>
                <w:b/>
                <w:sz w:val="20"/>
                <w:szCs w:val="20"/>
              </w:rPr>
              <w:t>Fixed</w:t>
            </w:r>
            <w:r w:rsidR="00800964">
              <w:rPr>
                <w:b/>
                <w:bCs/>
                <w:sz w:val="20"/>
                <w:szCs w:val="20"/>
              </w:rPr>
              <w:t xml:space="preserve"> </w:t>
            </w:r>
            <w:r w:rsidRPr="001253CF">
              <w:rPr>
                <w:b/>
                <w:sz w:val="20"/>
                <w:szCs w:val="20"/>
              </w:rPr>
              <w:t>term contract</w:t>
            </w:r>
          </w:p>
        </w:tc>
        <w:tc>
          <w:tcPr>
            <w:tcW w:w="1477" w:type="dxa"/>
            <w:tcBorders>
              <w:top w:val="single" w:sz="4" w:space="0" w:color="auto"/>
              <w:left w:val="nil"/>
              <w:bottom w:val="single" w:sz="4" w:space="0" w:color="auto"/>
              <w:right w:val="nil"/>
            </w:tcBorders>
            <w:vAlign w:val="center"/>
            <w:hideMark/>
          </w:tcPr>
          <w:p w14:paraId="1D72D224" w14:textId="77777777" w:rsidR="00677577" w:rsidRPr="001253CF" w:rsidRDefault="00677577" w:rsidP="001253CF">
            <w:pPr>
              <w:jc w:val="right"/>
              <w:rPr>
                <w:b/>
                <w:sz w:val="20"/>
                <w:szCs w:val="20"/>
              </w:rPr>
            </w:pPr>
            <w:r w:rsidRPr="001253CF">
              <w:rPr>
                <w:b/>
                <w:sz w:val="20"/>
                <w:szCs w:val="20"/>
              </w:rPr>
              <w:t>Part-time</w:t>
            </w:r>
          </w:p>
        </w:tc>
        <w:tc>
          <w:tcPr>
            <w:tcW w:w="1477" w:type="dxa"/>
            <w:tcBorders>
              <w:top w:val="single" w:sz="4" w:space="0" w:color="auto"/>
              <w:left w:val="nil"/>
              <w:bottom w:val="single" w:sz="4" w:space="0" w:color="auto"/>
              <w:right w:val="nil"/>
            </w:tcBorders>
            <w:vAlign w:val="center"/>
            <w:hideMark/>
          </w:tcPr>
          <w:p w14:paraId="58F46D31" w14:textId="77777777" w:rsidR="00677577" w:rsidRPr="001253CF" w:rsidRDefault="00677577" w:rsidP="001253CF">
            <w:pPr>
              <w:jc w:val="right"/>
              <w:rPr>
                <w:b/>
                <w:sz w:val="20"/>
                <w:szCs w:val="20"/>
              </w:rPr>
            </w:pPr>
            <w:r w:rsidRPr="001253CF">
              <w:rPr>
                <w:b/>
                <w:sz w:val="20"/>
                <w:szCs w:val="20"/>
              </w:rPr>
              <w:t>Full-time</w:t>
            </w:r>
          </w:p>
        </w:tc>
        <w:tc>
          <w:tcPr>
            <w:tcW w:w="1477" w:type="dxa"/>
            <w:tcBorders>
              <w:top w:val="single" w:sz="4" w:space="0" w:color="auto"/>
              <w:left w:val="nil"/>
              <w:bottom w:val="single" w:sz="4" w:space="0" w:color="auto"/>
              <w:right w:val="nil"/>
            </w:tcBorders>
            <w:vAlign w:val="center"/>
            <w:hideMark/>
          </w:tcPr>
          <w:p w14:paraId="340DE0E5" w14:textId="77777777" w:rsidR="00677577" w:rsidRPr="001253CF" w:rsidRDefault="00677577" w:rsidP="001253CF">
            <w:pPr>
              <w:jc w:val="right"/>
              <w:rPr>
                <w:b/>
                <w:sz w:val="20"/>
                <w:szCs w:val="20"/>
              </w:rPr>
            </w:pPr>
            <w:r w:rsidRPr="001253CF">
              <w:rPr>
                <w:b/>
                <w:sz w:val="20"/>
                <w:szCs w:val="20"/>
              </w:rPr>
              <w:t>Award</w:t>
            </w:r>
          </w:p>
        </w:tc>
        <w:tc>
          <w:tcPr>
            <w:tcW w:w="1477" w:type="dxa"/>
            <w:tcBorders>
              <w:top w:val="single" w:sz="4" w:space="0" w:color="auto"/>
              <w:left w:val="nil"/>
              <w:bottom w:val="single" w:sz="4" w:space="0" w:color="auto"/>
              <w:right w:val="nil"/>
            </w:tcBorders>
            <w:vAlign w:val="center"/>
            <w:hideMark/>
          </w:tcPr>
          <w:p w14:paraId="137980D8" w14:textId="77777777" w:rsidR="00677577" w:rsidRPr="001253CF" w:rsidRDefault="00677577" w:rsidP="001253CF">
            <w:pPr>
              <w:jc w:val="right"/>
              <w:rPr>
                <w:b/>
                <w:sz w:val="20"/>
                <w:szCs w:val="20"/>
              </w:rPr>
            </w:pPr>
            <w:r w:rsidRPr="001253CF">
              <w:rPr>
                <w:b/>
                <w:sz w:val="20"/>
                <w:szCs w:val="20"/>
              </w:rPr>
              <w:t>Collective agreement</w:t>
            </w:r>
          </w:p>
        </w:tc>
        <w:tc>
          <w:tcPr>
            <w:tcW w:w="1478" w:type="dxa"/>
            <w:tcBorders>
              <w:top w:val="single" w:sz="4" w:space="0" w:color="auto"/>
              <w:left w:val="nil"/>
              <w:bottom w:val="single" w:sz="4" w:space="0" w:color="auto"/>
              <w:right w:val="single" w:sz="4" w:space="0" w:color="auto"/>
            </w:tcBorders>
            <w:vAlign w:val="center"/>
            <w:hideMark/>
          </w:tcPr>
          <w:p w14:paraId="3750952B" w14:textId="77777777" w:rsidR="00677577" w:rsidRPr="001253CF" w:rsidRDefault="00677577" w:rsidP="001253CF">
            <w:pPr>
              <w:jc w:val="right"/>
              <w:rPr>
                <w:b/>
                <w:sz w:val="20"/>
                <w:szCs w:val="20"/>
              </w:rPr>
            </w:pPr>
            <w:r w:rsidRPr="001253CF">
              <w:rPr>
                <w:b/>
                <w:sz w:val="20"/>
                <w:szCs w:val="20"/>
              </w:rPr>
              <w:t>Individual agreement</w:t>
            </w:r>
          </w:p>
        </w:tc>
      </w:tr>
      <w:tr w:rsidR="00677577" w:rsidRPr="00236247" w14:paraId="6F5129F8" w14:textId="77777777">
        <w:trPr>
          <w:trHeight w:val="309"/>
        </w:trPr>
        <w:tc>
          <w:tcPr>
            <w:tcW w:w="2131" w:type="dxa"/>
            <w:tcBorders>
              <w:top w:val="single" w:sz="4" w:space="0" w:color="auto"/>
              <w:left w:val="single" w:sz="4" w:space="0" w:color="auto"/>
              <w:bottom w:val="nil"/>
              <w:right w:val="nil"/>
            </w:tcBorders>
            <w:noWrap/>
            <w:vAlign w:val="bottom"/>
            <w:hideMark/>
          </w:tcPr>
          <w:p w14:paraId="6338972E" w14:textId="77777777" w:rsidR="00677577" w:rsidRPr="001253CF" w:rsidRDefault="00677577">
            <w:pPr>
              <w:rPr>
                <w:sz w:val="20"/>
                <w:szCs w:val="20"/>
              </w:rPr>
            </w:pPr>
            <w:r w:rsidRPr="001253CF">
              <w:rPr>
                <w:sz w:val="20"/>
                <w:szCs w:val="20"/>
              </w:rPr>
              <w:t>2012</w:t>
            </w:r>
          </w:p>
        </w:tc>
        <w:tc>
          <w:tcPr>
            <w:tcW w:w="1477" w:type="dxa"/>
            <w:tcBorders>
              <w:top w:val="single" w:sz="4" w:space="0" w:color="auto"/>
              <w:left w:val="nil"/>
              <w:bottom w:val="nil"/>
              <w:right w:val="nil"/>
            </w:tcBorders>
            <w:noWrap/>
            <w:vAlign w:val="bottom"/>
            <w:hideMark/>
          </w:tcPr>
          <w:p w14:paraId="0D0C9E0D" w14:textId="77777777" w:rsidR="00677577" w:rsidRPr="001253CF" w:rsidRDefault="00677577" w:rsidP="001253CF">
            <w:pPr>
              <w:jc w:val="right"/>
              <w:rPr>
                <w:sz w:val="20"/>
                <w:szCs w:val="20"/>
              </w:rPr>
            </w:pPr>
            <w:r w:rsidRPr="001253CF">
              <w:rPr>
                <w:sz w:val="20"/>
                <w:szCs w:val="20"/>
              </w:rPr>
              <w:t>10.8%</w:t>
            </w:r>
          </w:p>
        </w:tc>
        <w:tc>
          <w:tcPr>
            <w:tcW w:w="1477" w:type="dxa"/>
            <w:tcBorders>
              <w:top w:val="single" w:sz="4" w:space="0" w:color="auto"/>
              <w:left w:val="nil"/>
              <w:bottom w:val="nil"/>
              <w:right w:val="nil"/>
            </w:tcBorders>
            <w:noWrap/>
            <w:vAlign w:val="bottom"/>
            <w:hideMark/>
          </w:tcPr>
          <w:p w14:paraId="38180023" w14:textId="77777777" w:rsidR="00677577" w:rsidRPr="001253CF" w:rsidRDefault="00677577" w:rsidP="001253CF">
            <w:pPr>
              <w:jc w:val="right"/>
              <w:rPr>
                <w:sz w:val="20"/>
                <w:szCs w:val="20"/>
              </w:rPr>
            </w:pPr>
            <w:r w:rsidRPr="001253CF">
              <w:rPr>
                <w:sz w:val="20"/>
                <w:szCs w:val="20"/>
              </w:rPr>
              <w:t>30.2%</w:t>
            </w:r>
          </w:p>
        </w:tc>
        <w:tc>
          <w:tcPr>
            <w:tcW w:w="1477" w:type="dxa"/>
            <w:tcBorders>
              <w:top w:val="single" w:sz="4" w:space="0" w:color="auto"/>
              <w:left w:val="nil"/>
              <w:bottom w:val="nil"/>
              <w:right w:val="nil"/>
            </w:tcBorders>
            <w:noWrap/>
            <w:vAlign w:val="bottom"/>
            <w:hideMark/>
          </w:tcPr>
          <w:p w14:paraId="0BCA0706" w14:textId="77777777" w:rsidR="00677577" w:rsidRPr="001253CF" w:rsidRDefault="00677577" w:rsidP="001253CF">
            <w:pPr>
              <w:jc w:val="right"/>
              <w:rPr>
                <w:sz w:val="20"/>
                <w:szCs w:val="20"/>
              </w:rPr>
            </w:pPr>
            <w:r w:rsidRPr="001253CF">
              <w:rPr>
                <w:sz w:val="20"/>
                <w:szCs w:val="20"/>
              </w:rPr>
              <w:t>24.8%</w:t>
            </w:r>
          </w:p>
        </w:tc>
        <w:tc>
          <w:tcPr>
            <w:tcW w:w="1477" w:type="dxa"/>
            <w:tcBorders>
              <w:top w:val="single" w:sz="4" w:space="0" w:color="auto"/>
              <w:left w:val="nil"/>
              <w:bottom w:val="nil"/>
              <w:right w:val="nil"/>
            </w:tcBorders>
            <w:vAlign w:val="bottom"/>
            <w:hideMark/>
          </w:tcPr>
          <w:p w14:paraId="607C2F85" w14:textId="77777777" w:rsidR="00677577" w:rsidRPr="001253CF" w:rsidRDefault="00677577" w:rsidP="001253CF">
            <w:pPr>
              <w:jc w:val="right"/>
              <w:rPr>
                <w:sz w:val="20"/>
                <w:szCs w:val="20"/>
              </w:rPr>
            </w:pPr>
            <w:r w:rsidRPr="001253CF">
              <w:rPr>
                <w:sz w:val="20"/>
                <w:szCs w:val="20"/>
              </w:rPr>
              <w:t>20.8%</w:t>
            </w:r>
          </w:p>
        </w:tc>
        <w:tc>
          <w:tcPr>
            <w:tcW w:w="1477" w:type="dxa"/>
            <w:tcBorders>
              <w:top w:val="single" w:sz="4" w:space="0" w:color="auto"/>
              <w:left w:val="nil"/>
              <w:bottom w:val="nil"/>
              <w:right w:val="nil"/>
            </w:tcBorders>
            <w:vAlign w:val="bottom"/>
            <w:hideMark/>
          </w:tcPr>
          <w:p w14:paraId="1737DFF4" w14:textId="77777777" w:rsidR="00677577" w:rsidRPr="001253CF" w:rsidRDefault="00677577" w:rsidP="001253CF">
            <w:pPr>
              <w:jc w:val="right"/>
              <w:rPr>
                <w:sz w:val="20"/>
                <w:szCs w:val="20"/>
              </w:rPr>
            </w:pPr>
            <w:r w:rsidRPr="001253CF">
              <w:rPr>
                <w:sz w:val="20"/>
                <w:szCs w:val="20"/>
              </w:rPr>
              <w:t>27.8%</w:t>
            </w:r>
          </w:p>
        </w:tc>
        <w:tc>
          <w:tcPr>
            <w:tcW w:w="1477" w:type="dxa"/>
            <w:tcBorders>
              <w:top w:val="single" w:sz="4" w:space="0" w:color="auto"/>
              <w:left w:val="nil"/>
              <w:bottom w:val="nil"/>
              <w:right w:val="nil"/>
            </w:tcBorders>
            <w:vAlign w:val="bottom"/>
            <w:hideMark/>
          </w:tcPr>
          <w:p w14:paraId="559756ED" w14:textId="77777777" w:rsidR="00677577" w:rsidRPr="001253CF" w:rsidRDefault="00677577" w:rsidP="001253CF">
            <w:pPr>
              <w:jc w:val="right"/>
              <w:rPr>
                <w:sz w:val="20"/>
                <w:szCs w:val="20"/>
              </w:rPr>
            </w:pPr>
            <w:r w:rsidRPr="001253CF">
              <w:rPr>
                <w:sz w:val="20"/>
                <w:szCs w:val="20"/>
              </w:rPr>
              <w:t>25.2%</w:t>
            </w:r>
          </w:p>
        </w:tc>
        <w:tc>
          <w:tcPr>
            <w:tcW w:w="1477" w:type="dxa"/>
            <w:tcBorders>
              <w:top w:val="single" w:sz="4" w:space="0" w:color="auto"/>
              <w:left w:val="nil"/>
              <w:bottom w:val="nil"/>
              <w:right w:val="nil"/>
            </w:tcBorders>
            <w:vAlign w:val="bottom"/>
            <w:hideMark/>
          </w:tcPr>
          <w:p w14:paraId="29EEA049" w14:textId="77777777" w:rsidR="00677577" w:rsidRPr="001253CF" w:rsidRDefault="00677577" w:rsidP="001253CF">
            <w:pPr>
              <w:jc w:val="right"/>
              <w:rPr>
                <w:sz w:val="20"/>
                <w:szCs w:val="20"/>
              </w:rPr>
            </w:pPr>
            <w:r w:rsidRPr="001253CF">
              <w:rPr>
                <w:sz w:val="20"/>
                <w:szCs w:val="20"/>
              </w:rPr>
              <w:t>47.3%</w:t>
            </w:r>
          </w:p>
        </w:tc>
        <w:tc>
          <w:tcPr>
            <w:tcW w:w="1478" w:type="dxa"/>
            <w:tcBorders>
              <w:top w:val="single" w:sz="4" w:space="0" w:color="auto"/>
              <w:left w:val="nil"/>
              <w:bottom w:val="nil"/>
              <w:right w:val="single" w:sz="4" w:space="0" w:color="auto"/>
            </w:tcBorders>
            <w:vAlign w:val="bottom"/>
            <w:hideMark/>
          </w:tcPr>
          <w:p w14:paraId="4287D05C" w14:textId="77777777" w:rsidR="00677577" w:rsidRPr="001253CF" w:rsidRDefault="00677577" w:rsidP="001253CF">
            <w:pPr>
              <w:jc w:val="right"/>
              <w:rPr>
                <w:sz w:val="20"/>
                <w:szCs w:val="20"/>
              </w:rPr>
            </w:pPr>
            <w:r w:rsidRPr="001253CF">
              <w:rPr>
                <w:sz w:val="20"/>
                <w:szCs w:val="20"/>
              </w:rPr>
              <w:t>8.1%</w:t>
            </w:r>
          </w:p>
        </w:tc>
      </w:tr>
      <w:tr w:rsidR="00677577" w:rsidRPr="00236247" w14:paraId="7DC96CEE" w14:textId="77777777">
        <w:trPr>
          <w:trHeight w:val="309"/>
        </w:trPr>
        <w:tc>
          <w:tcPr>
            <w:tcW w:w="2131" w:type="dxa"/>
            <w:tcBorders>
              <w:top w:val="nil"/>
              <w:left w:val="single" w:sz="4" w:space="0" w:color="auto"/>
              <w:bottom w:val="nil"/>
              <w:right w:val="nil"/>
            </w:tcBorders>
            <w:noWrap/>
            <w:vAlign w:val="bottom"/>
            <w:hideMark/>
          </w:tcPr>
          <w:p w14:paraId="17C3F30D" w14:textId="77777777" w:rsidR="00677577" w:rsidRPr="001253CF" w:rsidRDefault="00677577">
            <w:pPr>
              <w:rPr>
                <w:sz w:val="20"/>
                <w:szCs w:val="20"/>
              </w:rPr>
            </w:pPr>
            <w:r w:rsidRPr="001253CF">
              <w:rPr>
                <w:sz w:val="20"/>
                <w:szCs w:val="20"/>
              </w:rPr>
              <w:t>2013</w:t>
            </w:r>
          </w:p>
        </w:tc>
        <w:tc>
          <w:tcPr>
            <w:tcW w:w="1477" w:type="dxa"/>
            <w:tcBorders>
              <w:top w:val="nil"/>
              <w:left w:val="nil"/>
              <w:bottom w:val="nil"/>
              <w:right w:val="nil"/>
            </w:tcBorders>
            <w:noWrap/>
            <w:vAlign w:val="bottom"/>
            <w:hideMark/>
          </w:tcPr>
          <w:p w14:paraId="534FF930" w14:textId="77777777" w:rsidR="00677577" w:rsidRPr="001253CF" w:rsidRDefault="00677577" w:rsidP="001253CF">
            <w:pPr>
              <w:jc w:val="right"/>
              <w:rPr>
                <w:sz w:val="20"/>
                <w:szCs w:val="20"/>
              </w:rPr>
            </w:pPr>
            <w:r w:rsidRPr="001253CF">
              <w:rPr>
                <w:sz w:val="20"/>
                <w:szCs w:val="20"/>
              </w:rPr>
              <w:t>9.0%</w:t>
            </w:r>
          </w:p>
        </w:tc>
        <w:tc>
          <w:tcPr>
            <w:tcW w:w="1477" w:type="dxa"/>
            <w:tcBorders>
              <w:top w:val="nil"/>
              <w:left w:val="nil"/>
              <w:bottom w:val="nil"/>
              <w:right w:val="nil"/>
            </w:tcBorders>
            <w:noWrap/>
            <w:vAlign w:val="bottom"/>
            <w:hideMark/>
          </w:tcPr>
          <w:p w14:paraId="3E177A82" w14:textId="77777777" w:rsidR="00677577" w:rsidRPr="001253CF" w:rsidRDefault="00677577" w:rsidP="001253CF">
            <w:pPr>
              <w:jc w:val="right"/>
              <w:rPr>
                <w:sz w:val="20"/>
                <w:szCs w:val="20"/>
              </w:rPr>
            </w:pPr>
            <w:r w:rsidRPr="001253CF">
              <w:rPr>
                <w:sz w:val="20"/>
                <w:szCs w:val="20"/>
              </w:rPr>
              <w:t>30.8%</w:t>
            </w:r>
          </w:p>
        </w:tc>
        <w:tc>
          <w:tcPr>
            <w:tcW w:w="1477" w:type="dxa"/>
            <w:tcBorders>
              <w:top w:val="nil"/>
              <w:left w:val="nil"/>
              <w:bottom w:val="nil"/>
              <w:right w:val="nil"/>
            </w:tcBorders>
            <w:noWrap/>
            <w:vAlign w:val="bottom"/>
            <w:hideMark/>
          </w:tcPr>
          <w:p w14:paraId="25C39F6D" w14:textId="77777777" w:rsidR="00677577" w:rsidRPr="001253CF" w:rsidRDefault="00677577" w:rsidP="001253CF">
            <w:pPr>
              <w:jc w:val="right"/>
              <w:rPr>
                <w:sz w:val="20"/>
                <w:szCs w:val="20"/>
              </w:rPr>
            </w:pPr>
            <w:r w:rsidRPr="001253CF">
              <w:rPr>
                <w:sz w:val="20"/>
                <w:szCs w:val="20"/>
              </w:rPr>
              <w:t>29.8%</w:t>
            </w:r>
          </w:p>
        </w:tc>
        <w:tc>
          <w:tcPr>
            <w:tcW w:w="1477" w:type="dxa"/>
            <w:tcBorders>
              <w:top w:val="nil"/>
              <w:left w:val="nil"/>
              <w:bottom w:val="nil"/>
              <w:right w:val="nil"/>
            </w:tcBorders>
            <w:vAlign w:val="bottom"/>
            <w:hideMark/>
          </w:tcPr>
          <w:p w14:paraId="5CC7D60A" w14:textId="77777777" w:rsidR="00677577" w:rsidRPr="001253CF" w:rsidRDefault="00677577" w:rsidP="001253CF">
            <w:pPr>
              <w:jc w:val="right"/>
              <w:rPr>
                <w:sz w:val="20"/>
                <w:szCs w:val="20"/>
              </w:rPr>
            </w:pPr>
            <w:r w:rsidRPr="001253CF">
              <w:rPr>
                <w:sz w:val="20"/>
                <w:szCs w:val="20"/>
              </w:rPr>
              <w:t>21.4%</w:t>
            </w:r>
          </w:p>
        </w:tc>
        <w:tc>
          <w:tcPr>
            <w:tcW w:w="1477" w:type="dxa"/>
            <w:tcBorders>
              <w:top w:val="nil"/>
              <w:left w:val="nil"/>
              <w:bottom w:val="nil"/>
              <w:right w:val="nil"/>
            </w:tcBorders>
            <w:vAlign w:val="bottom"/>
            <w:hideMark/>
          </w:tcPr>
          <w:p w14:paraId="796B155F" w14:textId="77777777" w:rsidR="00677577" w:rsidRPr="001253CF" w:rsidRDefault="00677577" w:rsidP="001253CF">
            <w:pPr>
              <w:jc w:val="right"/>
              <w:rPr>
                <w:sz w:val="20"/>
                <w:szCs w:val="20"/>
              </w:rPr>
            </w:pPr>
            <w:r w:rsidRPr="001253CF">
              <w:rPr>
                <w:sz w:val="20"/>
                <w:szCs w:val="20"/>
              </w:rPr>
              <w:t>28.4%</w:t>
            </w:r>
          </w:p>
        </w:tc>
        <w:tc>
          <w:tcPr>
            <w:tcW w:w="1477" w:type="dxa"/>
            <w:tcBorders>
              <w:top w:val="nil"/>
              <w:left w:val="nil"/>
              <w:bottom w:val="nil"/>
              <w:right w:val="nil"/>
            </w:tcBorders>
            <w:vAlign w:val="bottom"/>
            <w:hideMark/>
          </w:tcPr>
          <w:p w14:paraId="1C1FD241" w14:textId="77777777" w:rsidR="00677577" w:rsidRPr="001253CF" w:rsidRDefault="00677577" w:rsidP="001253CF">
            <w:pPr>
              <w:jc w:val="right"/>
              <w:rPr>
                <w:sz w:val="20"/>
                <w:szCs w:val="20"/>
              </w:rPr>
            </w:pPr>
            <w:r w:rsidRPr="001253CF">
              <w:rPr>
                <w:sz w:val="20"/>
                <w:szCs w:val="20"/>
              </w:rPr>
              <w:t>24.8%</w:t>
            </w:r>
          </w:p>
        </w:tc>
        <w:tc>
          <w:tcPr>
            <w:tcW w:w="1477" w:type="dxa"/>
            <w:tcBorders>
              <w:top w:val="nil"/>
              <w:left w:val="nil"/>
              <w:bottom w:val="nil"/>
              <w:right w:val="nil"/>
            </w:tcBorders>
            <w:vAlign w:val="bottom"/>
            <w:hideMark/>
          </w:tcPr>
          <w:p w14:paraId="0BD1BB18" w14:textId="77777777" w:rsidR="00677577" w:rsidRPr="001253CF" w:rsidRDefault="00677577" w:rsidP="001253CF">
            <w:pPr>
              <w:jc w:val="right"/>
              <w:rPr>
                <w:sz w:val="20"/>
                <w:szCs w:val="20"/>
              </w:rPr>
            </w:pPr>
            <w:r w:rsidRPr="001253CF">
              <w:rPr>
                <w:sz w:val="20"/>
                <w:szCs w:val="20"/>
              </w:rPr>
              <w:t>48.2%</w:t>
            </w:r>
          </w:p>
        </w:tc>
        <w:tc>
          <w:tcPr>
            <w:tcW w:w="1478" w:type="dxa"/>
            <w:tcBorders>
              <w:top w:val="nil"/>
              <w:left w:val="nil"/>
              <w:bottom w:val="nil"/>
              <w:right w:val="single" w:sz="4" w:space="0" w:color="auto"/>
            </w:tcBorders>
            <w:vAlign w:val="bottom"/>
            <w:hideMark/>
          </w:tcPr>
          <w:p w14:paraId="08033308" w14:textId="77777777" w:rsidR="00677577" w:rsidRPr="001253CF" w:rsidRDefault="00677577" w:rsidP="001253CF">
            <w:pPr>
              <w:jc w:val="right"/>
              <w:rPr>
                <w:sz w:val="20"/>
                <w:szCs w:val="20"/>
              </w:rPr>
            </w:pPr>
            <w:r w:rsidRPr="001253CF">
              <w:rPr>
                <w:sz w:val="20"/>
                <w:szCs w:val="20"/>
              </w:rPr>
              <w:t>8.9%</w:t>
            </w:r>
          </w:p>
        </w:tc>
      </w:tr>
      <w:tr w:rsidR="00677577" w:rsidRPr="00236247" w14:paraId="3C13F7DE" w14:textId="77777777">
        <w:trPr>
          <w:trHeight w:val="309"/>
        </w:trPr>
        <w:tc>
          <w:tcPr>
            <w:tcW w:w="2131" w:type="dxa"/>
            <w:tcBorders>
              <w:top w:val="nil"/>
              <w:left w:val="single" w:sz="4" w:space="0" w:color="auto"/>
              <w:bottom w:val="nil"/>
              <w:right w:val="nil"/>
            </w:tcBorders>
            <w:noWrap/>
            <w:vAlign w:val="bottom"/>
            <w:hideMark/>
          </w:tcPr>
          <w:p w14:paraId="3364DB0D" w14:textId="77777777" w:rsidR="00677577" w:rsidRPr="001253CF" w:rsidRDefault="00677577">
            <w:pPr>
              <w:rPr>
                <w:sz w:val="20"/>
                <w:szCs w:val="20"/>
              </w:rPr>
            </w:pPr>
            <w:r w:rsidRPr="001253CF">
              <w:rPr>
                <w:sz w:val="20"/>
                <w:szCs w:val="20"/>
              </w:rPr>
              <w:t>2014</w:t>
            </w:r>
          </w:p>
        </w:tc>
        <w:tc>
          <w:tcPr>
            <w:tcW w:w="1477" w:type="dxa"/>
            <w:tcBorders>
              <w:top w:val="nil"/>
              <w:left w:val="nil"/>
              <w:bottom w:val="nil"/>
              <w:right w:val="nil"/>
            </w:tcBorders>
            <w:noWrap/>
            <w:vAlign w:val="bottom"/>
            <w:hideMark/>
          </w:tcPr>
          <w:p w14:paraId="3F344D7A" w14:textId="77777777" w:rsidR="00677577" w:rsidRPr="001253CF" w:rsidRDefault="00677577" w:rsidP="001253CF">
            <w:pPr>
              <w:jc w:val="right"/>
              <w:rPr>
                <w:sz w:val="20"/>
                <w:szCs w:val="20"/>
              </w:rPr>
            </w:pPr>
            <w:r w:rsidRPr="001253CF">
              <w:rPr>
                <w:sz w:val="20"/>
                <w:szCs w:val="20"/>
              </w:rPr>
              <w:t>10.1%</w:t>
            </w:r>
          </w:p>
        </w:tc>
        <w:tc>
          <w:tcPr>
            <w:tcW w:w="1477" w:type="dxa"/>
            <w:tcBorders>
              <w:top w:val="nil"/>
              <w:left w:val="nil"/>
              <w:bottom w:val="nil"/>
              <w:right w:val="nil"/>
            </w:tcBorders>
            <w:noWrap/>
            <w:vAlign w:val="bottom"/>
            <w:hideMark/>
          </w:tcPr>
          <w:p w14:paraId="548D0D4C" w14:textId="77777777" w:rsidR="00677577" w:rsidRPr="001253CF" w:rsidRDefault="00677577" w:rsidP="001253CF">
            <w:pPr>
              <w:jc w:val="right"/>
              <w:rPr>
                <w:sz w:val="20"/>
                <w:szCs w:val="20"/>
              </w:rPr>
            </w:pPr>
            <w:r w:rsidRPr="001253CF">
              <w:rPr>
                <w:sz w:val="20"/>
                <w:szCs w:val="20"/>
              </w:rPr>
              <w:t>29.4%</w:t>
            </w:r>
          </w:p>
        </w:tc>
        <w:tc>
          <w:tcPr>
            <w:tcW w:w="1477" w:type="dxa"/>
            <w:tcBorders>
              <w:top w:val="nil"/>
              <w:left w:val="nil"/>
              <w:bottom w:val="nil"/>
              <w:right w:val="nil"/>
            </w:tcBorders>
            <w:noWrap/>
            <w:vAlign w:val="bottom"/>
            <w:hideMark/>
          </w:tcPr>
          <w:p w14:paraId="4243FD7E" w14:textId="77777777" w:rsidR="00677577" w:rsidRPr="001253CF" w:rsidRDefault="00677577" w:rsidP="001253CF">
            <w:pPr>
              <w:jc w:val="right"/>
              <w:rPr>
                <w:sz w:val="20"/>
                <w:szCs w:val="20"/>
              </w:rPr>
            </w:pPr>
            <w:r w:rsidRPr="001253CF">
              <w:rPr>
                <w:sz w:val="20"/>
                <w:szCs w:val="20"/>
              </w:rPr>
              <w:t>26.9%</w:t>
            </w:r>
          </w:p>
        </w:tc>
        <w:tc>
          <w:tcPr>
            <w:tcW w:w="1477" w:type="dxa"/>
            <w:tcBorders>
              <w:top w:val="nil"/>
              <w:left w:val="nil"/>
              <w:bottom w:val="nil"/>
              <w:right w:val="nil"/>
            </w:tcBorders>
            <w:vAlign w:val="bottom"/>
            <w:hideMark/>
          </w:tcPr>
          <w:p w14:paraId="45609F4B" w14:textId="77777777" w:rsidR="00677577" w:rsidRPr="001253CF" w:rsidRDefault="00677577" w:rsidP="001253CF">
            <w:pPr>
              <w:jc w:val="right"/>
              <w:rPr>
                <w:sz w:val="20"/>
                <w:szCs w:val="20"/>
              </w:rPr>
            </w:pPr>
            <w:r w:rsidRPr="001253CF">
              <w:rPr>
                <w:sz w:val="20"/>
                <w:szCs w:val="20"/>
              </w:rPr>
              <w:t>21.3%</w:t>
            </w:r>
          </w:p>
        </w:tc>
        <w:tc>
          <w:tcPr>
            <w:tcW w:w="1477" w:type="dxa"/>
            <w:tcBorders>
              <w:top w:val="nil"/>
              <w:left w:val="nil"/>
              <w:bottom w:val="nil"/>
              <w:right w:val="nil"/>
            </w:tcBorders>
            <w:vAlign w:val="bottom"/>
            <w:hideMark/>
          </w:tcPr>
          <w:p w14:paraId="26CBD5E4" w14:textId="77777777" w:rsidR="00677577" w:rsidRPr="001253CF" w:rsidRDefault="00677577" w:rsidP="001253CF">
            <w:pPr>
              <w:jc w:val="right"/>
              <w:rPr>
                <w:sz w:val="20"/>
                <w:szCs w:val="20"/>
              </w:rPr>
            </w:pPr>
            <w:r w:rsidRPr="001253CF">
              <w:rPr>
                <w:sz w:val="20"/>
                <w:szCs w:val="20"/>
              </w:rPr>
              <w:t>26.6%</w:t>
            </w:r>
          </w:p>
        </w:tc>
        <w:tc>
          <w:tcPr>
            <w:tcW w:w="1477" w:type="dxa"/>
            <w:tcBorders>
              <w:top w:val="nil"/>
              <w:left w:val="nil"/>
              <w:bottom w:val="nil"/>
              <w:right w:val="nil"/>
            </w:tcBorders>
            <w:vAlign w:val="bottom"/>
            <w:hideMark/>
          </w:tcPr>
          <w:p w14:paraId="74D956E7" w14:textId="77777777" w:rsidR="00677577" w:rsidRPr="001253CF" w:rsidRDefault="00677577" w:rsidP="001253CF">
            <w:pPr>
              <w:jc w:val="right"/>
              <w:rPr>
                <w:sz w:val="20"/>
                <w:szCs w:val="20"/>
              </w:rPr>
            </w:pPr>
            <w:r w:rsidRPr="001253CF">
              <w:rPr>
                <w:sz w:val="20"/>
                <w:szCs w:val="20"/>
              </w:rPr>
              <w:t>24.3%</w:t>
            </w:r>
          </w:p>
        </w:tc>
        <w:tc>
          <w:tcPr>
            <w:tcW w:w="1477" w:type="dxa"/>
            <w:tcBorders>
              <w:top w:val="nil"/>
              <w:left w:val="nil"/>
              <w:bottom w:val="nil"/>
              <w:right w:val="nil"/>
            </w:tcBorders>
            <w:vAlign w:val="bottom"/>
            <w:hideMark/>
          </w:tcPr>
          <w:p w14:paraId="50E7DC45" w14:textId="77777777" w:rsidR="00677577" w:rsidRPr="001253CF" w:rsidRDefault="00677577" w:rsidP="001253CF">
            <w:pPr>
              <w:jc w:val="right"/>
              <w:rPr>
                <w:sz w:val="20"/>
                <w:szCs w:val="20"/>
              </w:rPr>
            </w:pPr>
            <w:r w:rsidRPr="001253CF">
              <w:rPr>
                <w:sz w:val="20"/>
                <w:szCs w:val="20"/>
              </w:rPr>
              <w:t>46.7%</w:t>
            </w:r>
          </w:p>
        </w:tc>
        <w:tc>
          <w:tcPr>
            <w:tcW w:w="1478" w:type="dxa"/>
            <w:tcBorders>
              <w:top w:val="nil"/>
              <w:left w:val="nil"/>
              <w:bottom w:val="nil"/>
              <w:right w:val="single" w:sz="4" w:space="0" w:color="auto"/>
            </w:tcBorders>
            <w:vAlign w:val="bottom"/>
            <w:hideMark/>
          </w:tcPr>
          <w:p w14:paraId="69FA22BF" w14:textId="77777777" w:rsidR="00677577" w:rsidRPr="001253CF" w:rsidRDefault="00677577" w:rsidP="001253CF">
            <w:pPr>
              <w:jc w:val="right"/>
              <w:rPr>
                <w:sz w:val="20"/>
                <w:szCs w:val="20"/>
              </w:rPr>
            </w:pPr>
            <w:r w:rsidRPr="001253CF">
              <w:rPr>
                <w:sz w:val="20"/>
                <w:szCs w:val="20"/>
              </w:rPr>
              <w:t>8.0%</w:t>
            </w:r>
          </w:p>
        </w:tc>
      </w:tr>
      <w:tr w:rsidR="00677577" w:rsidRPr="00236247" w14:paraId="666F1BC6" w14:textId="77777777">
        <w:trPr>
          <w:trHeight w:val="309"/>
        </w:trPr>
        <w:tc>
          <w:tcPr>
            <w:tcW w:w="2131" w:type="dxa"/>
            <w:tcBorders>
              <w:top w:val="nil"/>
              <w:left w:val="single" w:sz="4" w:space="0" w:color="auto"/>
              <w:bottom w:val="nil"/>
              <w:right w:val="nil"/>
            </w:tcBorders>
            <w:noWrap/>
            <w:vAlign w:val="bottom"/>
            <w:hideMark/>
          </w:tcPr>
          <w:p w14:paraId="6518CA80" w14:textId="77777777" w:rsidR="00677577" w:rsidRPr="001253CF" w:rsidRDefault="00677577">
            <w:pPr>
              <w:rPr>
                <w:sz w:val="20"/>
                <w:szCs w:val="20"/>
              </w:rPr>
            </w:pPr>
            <w:r w:rsidRPr="001253CF">
              <w:rPr>
                <w:sz w:val="20"/>
                <w:szCs w:val="20"/>
              </w:rPr>
              <w:t>2015</w:t>
            </w:r>
          </w:p>
        </w:tc>
        <w:tc>
          <w:tcPr>
            <w:tcW w:w="1477" w:type="dxa"/>
            <w:tcBorders>
              <w:top w:val="nil"/>
              <w:left w:val="nil"/>
              <w:bottom w:val="nil"/>
              <w:right w:val="nil"/>
            </w:tcBorders>
            <w:noWrap/>
            <w:vAlign w:val="bottom"/>
            <w:hideMark/>
          </w:tcPr>
          <w:p w14:paraId="031D7BF4" w14:textId="77777777" w:rsidR="00677577" w:rsidRPr="001253CF" w:rsidRDefault="00677577" w:rsidP="001253CF">
            <w:pPr>
              <w:jc w:val="right"/>
              <w:rPr>
                <w:sz w:val="20"/>
                <w:szCs w:val="20"/>
              </w:rPr>
            </w:pPr>
            <w:r w:rsidRPr="001253CF">
              <w:rPr>
                <w:sz w:val="20"/>
                <w:szCs w:val="20"/>
              </w:rPr>
              <w:t>9.0%</w:t>
            </w:r>
          </w:p>
        </w:tc>
        <w:tc>
          <w:tcPr>
            <w:tcW w:w="1477" w:type="dxa"/>
            <w:tcBorders>
              <w:top w:val="nil"/>
              <w:left w:val="nil"/>
              <w:bottom w:val="nil"/>
              <w:right w:val="nil"/>
            </w:tcBorders>
            <w:noWrap/>
            <w:vAlign w:val="bottom"/>
            <w:hideMark/>
          </w:tcPr>
          <w:p w14:paraId="1D28DEE3" w14:textId="77777777" w:rsidR="00677577" w:rsidRPr="001253CF" w:rsidRDefault="00677577" w:rsidP="001253CF">
            <w:pPr>
              <w:jc w:val="right"/>
              <w:rPr>
                <w:sz w:val="20"/>
                <w:szCs w:val="20"/>
              </w:rPr>
            </w:pPr>
            <w:r w:rsidRPr="001253CF">
              <w:rPr>
                <w:sz w:val="20"/>
                <w:szCs w:val="20"/>
              </w:rPr>
              <w:t>29.3%</w:t>
            </w:r>
          </w:p>
        </w:tc>
        <w:tc>
          <w:tcPr>
            <w:tcW w:w="1477" w:type="dxa"/>
            <w:tcBorders>
              <w:top w:val="nil"/>
              <w:left w:val="nil"/>
              <w:bottom w:val="nil"/>
              <w:right w:val="nil"/>
            </w:tcBorders>
            <w:noWrap/>
            <w:vAlign w:val="bottom"/>
            <w:hideMark/>
          </w:tcPr>
          <w:p w14:paraId="43FB7A7E" w14:textId="77777777" w:rsidR="00677577" w:rsidRPr="001253CF" w:rsidRDefault="00677577" w:rsidP="001253CF">
            <w:pPr>
              <w:jc w:val="right"/>
              <w:rPr>
                <w:sz w:val="20"/>
                <w:szCs w:val="20"/>
              </w:rPr>
            </w:pPr>
            <w:r w:rsidRPr="001253CF">
              <w:rPr>
                <w:sz w:val="20"/>
                <w:szCs w:val="20"/>
              </w:rPr>
              <w:t>23.4%</w:t>
            </w:r>
          </w:p>
        </w:tc>
        <w:tc>
          <w:tcPr>
            <w:tcW w:w="1477" w:type="dxa"/>
            <w:tcBorders>
              <w:top w:val="nil"/>
              <w:left w:val="nil"/>
              <w:bottom w:val="nil"/>
              <w:right w:val="nil"/>
            </w:tcBorders>
            <w:vAlign w:val="bottom"/>
            <w:hideMark/>
          </w:tcPr>
          <w:p w14:paraId="2196FDF4" w14:textId="77777777" w:rsidR="00677577" w:rsidRPr="001253CF" w:rsidRDefault="00677577" w:rsidP="001253CF">
            <w:pPr>
              <w:jc w:val="right"/>
              <w:rPr>
                <w:sz w:val="20"/>
                <w:szCs w:val="20"/>
              </w:rPr>
            </w:pPr>
            <w:r w:rsidRPr="001253CF">
              <w:rPr>
                <w:sz w:val="20"/>
                <w:szCs w:val="20"/>
              </w:rPr>
              <w:t>20.7%</w:t>
            </w:r>
          </w:p>
        </w:tc>
        <w:tc>
          <w:tcPr>
            <w:tcW w:w="1477" w:type="dxa"/>
            <w:tcBorders>
              <w:top w:val="nil"/>
              <w:left w:val="nil"/>
              <w:bottom w:val="nil"/>
              <w:right w:val="nil"/>
            </w:tcBorders>
            <w:vAlign w:val="bottom"/>
            <w:hideMark/>
          </w:tcPr>
          <w:p w14:paraId="38994CBD" w14:textId="77777777" w:rsidR="00677577" w:rsidRPr="001253CF" w:rsidRDefault="00677577" w:rsidP="001253CF">
            <w:pPr>
              <w:jc w:val="right"/>
              <w:rPr>
                <w:sz w:val="20"/>
                <w:szCs w:val="20"/>
              </w:rPr>
            </w:pPr>
            <w:r w:rsidRPr="001253CF">
              <w:rPr>
                <w:sz w:val="20"/>
                <w:szCs w:val="20"/>
              </w:rPr>
              <w:t>25.9%</w:t>
            </w:r>
          </w:p>
        </w:tc>
        <w:tc>
          <w:tcPr>
            <w:tcW w:w="1477" w:type="dxa"/>
            <w:tcBorders>
              <w:top w:val="nil"/>
              <w:left w:val="nil"/>
              <w:bottom w:val="nil"/>
              <w:right w:val="nil"/>
            </w:tcBorders>
            <w:vAlign w:val="bottom"/>
            <w:hideMark/>
          </w:tcPr>
          <w:p w14:paraId="6C21B2FE" w14:textId="77777777" w:rsidR="00677577" w:rsidRPr="001253CF" w:rsidRDefault="00677577" w:rsidP="001253CF">
            <w:pPr>
              <w:jc w:val="right"/>
              <w:rPr>
                <w:sz w:val="20"/>
                <w:szCs w:val="20"/>
              </w:rPr>
            </w:pPr>
            <w:r w:rsidRPr="001253CF">
              <w:rPr>
                <w:sz w:val="20"/>
                <w:szCs w:val="20"/>
              </w:rPr>
              <w:t>22.2%</w:t>
            </w:r>
          </w:p>
        </w:tc>
        <w:tc>
          <w:tcPr>
            <w:tcW w:w="1477" w:type="dxa"/>
            <w:tcBorders>
              <w:top w:val="nil"/>
              <w:left w:val="nil"/>
              <w:bottom w:val="nil"/>
              <w:right w:val="nil"/>
            </w:tcBorders>
            <w:vAlign w:val="bottom"/>
            <w:hideMark/>
          </w:tcPr>
          <w:p w14:paraId="63DCAD49" w14:textId="77777777" w:rsidR="00677577" w:rsidRPr="001253CF" w:rsidRDefault="00677577" w:rsidP="001253CF">
            <w:pPr>
              <w:jc w:val="right"/>
              <w:rPr>
                <w:sz w:val="20"/>
                <w:szCs w:val="20"/>
              </w:rPr>
            </w:pPr>
            <w:r w:rsidRPr="001253CF">
              <w:rPr>
                <w:sz w:val="20"/>
                <w:szCs w:val="20"/>
              </w:rPr>
              <w:t>45.3%</w:t>
            </w:r>
          </w:p>
        </w:tc>
        <w:tc>
          <w:tcPr>
            <w:tcW w:w="1478" w:type="dxa"/>
            <w:tcBorders>
              <w:top w:val="nil"/>
              <w:left w:val="nil"/>
              <w:bottom w:val="nil"/>
              <w:right w:val="single" w:sz="4" w:space="0" w:color="auto"/>
            </w:tcBorders>
            <w:vAlign w:val="bottom"/>
            <w:hideMark/>
          </w:tcPr>
          <w:p w14:paraId="23F0C2D5" w14:textId="77777777" w:rsidR="00677577" w:rsidRPr="001253CF" w:rsidRDefault="00677577" w:rsidP="001253CF">
            <w:pPr>
              <w:jc w:val="right"/>
              <w:rPr>
                <w:sz w:val="20"/>
                <w:szCs w:val="20"/>
              </w:rPr>
            </w:pPr>
            <w:r w:rsidRPr="001253CF">
              <w:rPr>
                <w:sz w:val="20"/>
                <w:szCs w:val="20"/>
              </w:rPr>
              <w:t>7.9%</w:t>
            </w:r>
          </w:p>
        </w:tc>
      </w:tr>
      <w:tr w:rsidR="00677577" w:rsidRPr="00236247" w14:paraId="1CACACB8" w14:textId="77777777">
        <w:trPr>
          <w:trHeight w:val="309"/>
        </w:trPr>
        <w:tc>
          <w:tcPr>
            <w:tcW w:w="2131" w:type="dxa"/>
            <w:tcBorders>
              <w:top w:val="nil"/>
              <w:left w:val="single" w:sz="4" w:space="0" w:color="auto"/>
              <w:bottom w:val="nil"/>
              <w:right w:val="nil"/>
            </w:tcBorders>
            <w:noWrap/>
            <w:vAlign w:val="bottom"/>
            <w:hideMark/>
          </w:tcPr>
          <w:p w14:paraId="4F897630" w14:textId="77777777" w:rsidR="00677577" w:rsidRPr="001253CF" w:rsidRDefault="00677577">
            <w:pPr>
              <w:rPr>
                <w:sz w:val="20"/>
                <w:szCs w:val="20"/>
              </w:rPr>
            </w:pPr>
            <w:r w:rsidRPr="001253CF">
              <w:rPr>
                <w:sz w:val="20"/>
                <w:szCs w:val="20"/>
              </w:rPr>
              <w:t>2016</w:t>
            </w:r>
          </w:p>
        </w:tc>
        <w:tc>
          <w:tcPr>
            <w:tcW w:w="1477" w:type="dxa"/>
            <w:tcBorders>
              <w:top w:val="nil"/>
              <w:left w:val="nil"/>
              <w:bottom w:val="nil"/>
              <w:right w:val="nil"/>
            </w:tcBorders>
            <w:noWrap/>
            <w:vAlign w:val="bottom"/>
            <w:hideMark/>
          </w:tcPr>
          <w:p w14:paraId="6787E18F" w14:textId="77777777" w:rsidR="00677577" w:rsidRPr="001253CF" w:rsidRDefault="00677577" w:rsidP="001253CF">
            <w:pPr>
              <w:jc w:val="right"/>
              <w:rPr>
                <w:sz w:val="20"/>
                <w:szCs w:val="20"/>
              </w:rPr>
            </w:pPr>
            <w:r w:rsidRPr="001253CF">
              <w:rPr>
                <w:sz w:val="20"/>
                <w:szCs w:val="20"/>
              </w:rPr>
              <w:t>7.6%</w:t>
            </w:r>
          </w:p>
        </w:tc>
        <w:tc>
          <w:tcPr>
            <w:tcW w:w="1477" w:type="dxa"/>
            <w:tcBorders>
              <w:top w:val="nil"/>
              <w:left w:val="nil"/>
              <w:bottom w:val="nil"/>
              <w:right w:val="nil"/>
            </w:tcBorders>
            <w:noWrap/>
            <w:vAlign w:val="bottom"/>
            <w:hideMark/>
          </w:tcPr>
          <w:p w14:paraId="62E507C9" w14:textId="77777777" w:rsidR="00677577" w:rsidRPr="001253CF" w:rsidRDefault="00677577" w:rsidP="001253CF">
            <w:pPr>
              <w:jc w:val="right"/>
              <w:rPr>
                <w:sz w:val="20"/>
                <w:szCs w:val="20"/>
              </w:rPr>
            </w:pPr>
            <w:r w:rsidRPr="001253CF">
              <w:rPr>
                <w:sz w:val="20"/>
                <w:szCs w:val="20"/>
              </w:rPr>
              <w:t>27.6%</w:t>
            </w:r>
          </w:p>
        </w:tc>
        <w:tc>
          <w:tcPr>
            <w:tcW w:w="1477" w:type="dxa"/>
            <w:tcBorders>
              <w:top w:val="nil"/>
              <w:left w:val="nil"/>
              <w:bottom w:val="nil"/>
              <w:right w:val="nil"/>
            </w:tcBorders>
            <w:noWrap/>
            <w:vAlign w:val="bottom"/>
            <w:hideMark/>
          </w:tcPr>
          <w:p w14:paraId="076885E3" w14:textId="77777777" w:rsidR="00677577" w:rsidRPr="001253CF" w:rsidRDefault="00677577" w:rsidP="001253CF">
            <w:pPr>
              <w:jc w:val="right"/>
              <w:rPr>
                <w:sz w:val="20"/>
                <w:szCs w:val="20"/>
              </w:rPr>
            </w:pPr>
            <w:r w:rsidRPr="001253CF">
              <w:rPr>
                <w:sz w:val="20"/>
                <w:szCs w:val="20"/>
              </w:rPr>
              <w:t>23.1%</w:t>
            </w:r>
          </w:p>
        </w:tc>
        <w:tc>
          <w:tcPr>
            <w:tcW w:w="1477" w:type="dxa"/>
            <w:tcBorders>
              <w:top w:val="nil"/>
              <w:left w:val="nil"/>
              <w:bottom w:val="nil"/>
              <w:right w:val="nil"/>
            </w:tcBorders>
            <w:vAlign w:val="bottom"/>
            <w:hideMark/>
          </w:tcPr>
          <w:p w14:paraId="4FE4FD1A" w14:textId="77777777" w:rsidR="00677577" w:rsidRPr="001253CF" w:rsidRDefault="00677577" w:rsidP="001253CF">
            <w:pPr>
              <w:jc w:val="right"/>
              <w:rPr>
                <w:sz w:val="20"/>
                <w:szCs w:val="20"/>
              </w:rPr>
            </w:pPr>
            <w:r w:rsidRPr="001253CF">
              <w:rPr>
                <w:sz w:val="20"/>
                <w:szCs w:val="20"/>
              </w:rPr>
              <w:t>18.5%</w:t>
            </w:r>
          </w:p>
        </w:tc>
        <w:tc>
          <w:tcPr>
            <w:tcW w:w="1477" w:type="dxa"/>
            <w:tcBorders>
              <w:top w:val="nil"/>
              <w:left w:val="nil"/>
              <w:bottom w:val="nil"/>
              <w:right w:val="nil"/>
            </w:tcBorders>
            <w:vAlign w:val="bottom"/>
            <w:hideMark/>
          </w:tcPr>
          <w:p w14:paraId="1ECEABA9" w14:textId="77777777" w:rsidR="00677577" w:rsidRPr="001253CF" w:rsidRDefault="00677577" w:rsidP="001253CF">
            <w:pPr>
              <w:jc w:val="right"/>
              <w:rPr>
                <w:sz w:val="20"/>
                <w:szCs w:val="20"/>
              </w:rPr>
            </w:pPr>
            <w:r w:rsidRPr="001253CF">
              <w:rPr>
                <w:sz w:val="20"/>
                <w:szCs w:val="20"/>
              </w:rPr>
              <w:t>24.8%</w:t>
            </w:r>
          </w:p>
        </w:tc>
        <w:tc>
          <w:tcPr>
            <w:tcW w:w="1477" w:type="dxa"/>
            <w:tcBorders>
              <w:top w:val="nil"/>
              <w:left w:val="nil"/>
              <w:bottom w:val="nil"/>
              <w:right w:val="nil"/>
            </w:tcBorders>
            <w:vAlign w:val="bottom"/>
            <w:hideMark/>
          </w:tcPr>
          <w:p w14:paraId="799C245E" w14:textId="77777777" w:rsidR="00677577" w:rsidRPr="001253CF" w:rsidRDefault="00677577" w:rsidP="001253CF">
            <w:pPr>
              <w:jc w:val="right"/>
              <w:rPr>
                <w:sz w:val="20"/>
                <w:szCs w:val="20"/>
              </w:rPr>
            </w:pPr>
            <w:r w:rsidRPr="001253CF">
              <w:rPr>
                <w:sz w:val="20"/>
                <w:szCs w:val="20"/>
              </w:rPr>
              <w:t>19.1%</w:t>
            </w:r>
          </w:p>
        </w:tc>
        <w:tc>
          <w:tcPr>
            <w:tcW w:w="1477" w:type="dxa"/>
            <w:tcBorders>
              <w:top w:val="nil"/>
              <w:left w:val="nil"/>
              <w:bottom w:val="nil"/>
              <w:right w:val="nil"/>
            </w:tcBorders>
            <w:vAlign w:val="bottom"/>
            <w:hideMark/>
          </w:tcPr>
          <w:p w14:paraId="762C3044" w14:textId="77777777" w:rsidR="00677577" w:rsidRPr="001253CF" w:rsidRDefault="00677577" w:rsidP="001253CF">
            <w:pPr>
              <w:jc w:val="right"/>
              <w:rPr>
                <w:sz w:val="20"/>
                <w:szCs w:val="20"/>
              </w:rPr>
            </w:pPr>
            <w:r w:rsidRPr="001253CF">
              <w:rPr>
                <w:sz w:val="20"/>
                <w:szCs w:val="20"/>
              </w:rPr>
              <w:t>44.4%</w:t>
            </w:r>
          </w:p>
        </w:tc>
        <w:tc>
          <w:tcPr>
            <w:tcW w:w="1478" w:type="dxa"/>
            <w:tcBorders>
              <w:top w:val="nil"/>
              <w:left w:val="nil"/>
              <w:bottom w:val="nil"/>
              <w:right w:val="single" w:sz="4" w:space="0" w:color="auto"/>
            </w:tcBorders>
            <w:vAlign w:val="bottom"/>
            <w:hideMark/>
          </w:tcPr>
          <w:p w14:paraId="1844A64E" w14:textId="77777777" w:rsidR="00677577" w:rsidRPr="001253CF" w:rsidRDefault="00677577" w:rsidP="001253CF">
            <w:pPr>
              <w:jc w:val="right"/>
              <w:rPr>
                <w:sz w:val="20"/>
                <w:szCs w:val="20"/>
              </w:rPr>
            </w:pPr>
            <w:r w:rsidRPr="001253CF">
              <w:rPr>
                <w:sz w:val="20"/>
                <w:szCs w:val="20"/>
              </w:rPr>
              <w:t>9.1%</w:t>
            </w:r>
          </w:p>
        </w:tc>
      </w:tr>
      <w:tr w:rsidR="00677577" w:rsidRPr="00236247" w14:paraId="661D04BB" w14:textId="77777777">
        <w:trPr>
          <w:trHeight w:val="309"/>
        </w:trPr>
        <w:tc>
          <w:tcPr>
            <w:tcW w:w="2131" w:type="dxa"/>
            <w:tcBorders>
              <w:top w:val="nil"/>
              <w:left w:val="single" w:sz="4" w:space="0" w:color="auto"/>
              <w:bottom w:val="nil"/>
              <w:right w:val="nil"/>
            </w:tcBorders>
            <w:noWrap/>
            <w:vAlign w:val="bottom"/>
            <w:hideMark/>
          </w:tcPr>
          <w:p w14:paraId="276AD308" w14:textId="77777777" w:rsidR="00677577" w:rsidRPr="001253CF" w:rsidRDefault="00677577">
            <w:pPr>
              <w:rPr>
                <w:sz w:val="20"/>
                <w:szCs w:val="20"/>
              </w:rPr>
            </w:pPr>
            <w:r w:rsidRPr="001253CF">
              <w:rPr>
                <w:sz w:val="20"/>
                <w:szCs w:val="20"/>
              </w:rPr>
              <w:t>2017</w:t>
            </w:r>
          </w:p>
        </w:tc>
        <w:tc>
          <w:tcPr>
            <w:tcW w:w="1477" w:type="dxa"/>
            <w:tcBorders>
              <w:top w:val="nil"/>
              <w:left w:val="nil"/>
              <w:bottom w:val="nil"/>
              <w:right w:val="nil"/>
            </w:tcBorders>
            <w:noWrap/>
            <w:vAlign w:val="bottom"/>
            <w:hideMark/>
          </w:tcPr>
          <w:p w14:paraId="482E989F" w14:textId="77777777" w:rsidR="00677577" w:rsidRPr="001253CF" w:rsidRDefault="00677577" w:rsidP="001253CF">
            <w:pPr>
              <w:jc w:val="right"/>
              <w:rPr>
                <w:sz w:val="20"/>
                <w:szCs w:val="20"/>
              </w:rPr>
            </w:pPr>
            <w:r w:rsidRPr="001253CF">
              <w:rPr>
                <w:sz w:val="20"/>
                <w:szCs w:val="20"/>
              </w:rPr>
              <w:t>8.6%</w:t>
            </w:r>
          </w:p>
        </w:tc>
        <w:tc>
          <w:tcPr>
            <w:tcW w:w="1477" w:type="dxa"/>
            <w:tcBorders>
              <w:top w:val="nil"/>
              <w:left w:val="nil"/>
              <w:bottom w:val="nil"/>
              <w:right w:val="nil"/>
            </w:tcBorders>
            <w:noWrap/>
            <w:vAlign w:val="bottom"/>
            <w:hideMark/>
          </w:tcPr>
          <w:p w14:paraId="3EA1E6E0" w14:textId="77777777" w:rsidR="00677577" w:rsidRPr="001253CF" w:rsidRDefault="00677577" w:rsidP="001253CF">
            <w:pPr>
              <w:jc w:val="right"/>
              <w:rPr>
                <w:sz w:val="20"/>
                <w:szCs w:val="20"/>
              </w:rPr>
            </w:pPr>
            <w:r w:rsidRPr="001253CF">
              <w:rPr>
                <w:sz w:val="20"/>
                <w:szCs w:val="20"/>
              </w:rPr>
              <w:t>27.6%</w:t>
            </w:r>
          </w:p>
        </w:tc>
        <w:tc>
          <w:tcPr>
            <w:tcW w:w="1477" w:type="dxa"/>
            <w:tcBorders>
              <w:top w:val="nil"/>
              <w:left w:val="nil"/>
              <w:bottom w:val="nil"/>
              <w:right w:val="nil"/>
            </w:tcBorders>
            <w:noWrap/>
            <w:vAlign w:val="bottom"/>
            <w:hideMark/>
          </w:tcPr>
          <w:p w14:paraId="6422F46B" w14:textId="77777777" w:rsidR="00677577" w:rsidRPr="001253CF" w:rsidRDefault="00677577" w:rsidP="001253CF">
            <w:pPr>
              <w:jc w:val="right"/>
              <w:rPr>
                <w:sz w:val="20"/>
                <w:szCs w:val="20"/>
              </w:rPr>
            </w:pPr>
            <w:r w:rsidRPr="001253CF">
              <w:rPr>
                <w:sz w:val="20"/>
                <w:szCs w:val="20"/>
              </w:rPr>
              <w:t>22.9%</w:t>
            </w:r>
          </w:p>
        </w:tc>
        <w:tc>
          <w:tcPr>
            <w:tcW w:w="1477" w:type="dxa"/>
            <w:tcBorders>
              <w:top w:val="nil"/>
              <w:left w:val="nil"/>
              <w:bottom w:val="nil"/>
              <w:right w:val="nil"/>
            </w:tcBorders>
            <w:vAlign w:val="bottom"/>
            <w:hideMark/>
          </w:tcPr>
          <w:p w14:paraId="2C078CEE" w14:textId="77777777" w:rsidR="00677577" w:rsidRPr="001253CF" w:rsidRDefault="00677577" w:rsidP="001253CF">
            <w:pPr>
              <w:jc w:val="right"/>
              <w:rPr>
                <w:sz w:val="20"/>
                <w:szCs w:val="20"/>
              </w:rPr>
            </w:pPr>
            <w:r w:rsidRPr="001253CF">
              <w:rPr>
                <w:sz w:val="20"/>
                <w:szCs w:val="20"/>
              </w:rPr>
              <w:t>17.9%</w:t>
            </w:r>
          </w:p>
        </w:tc>
        <w:tc>
          <w:tcPr>
            <w:tcW w:w="1477" w:type="dxa"/>
            <w:tcBorders>
              <w:top w:val="nil"/>
              <w:left w:val="nil"/>
              <w:bottom w:val="nil"/>
              <w:right w:val="nil"/>
            </w:tcBorders>
            <w:vAlign w:val="bottom"/>
            <w:hideMark/>
          </w:tcPr>
          <w:p w14:paraId="38B65B0E" w14:textId="77777777" w:rsidR="00677577" w:rsidRPr="001253CF" w:rsidRDefault="00677577" w:rsidP="001253CF">
            <w:pPr>
              <w:jc w:val="right"/>
              <w:rPr>
                <w:sz w:val="20"/>
                <w:szCs w:val="20"/>
              </w:rPr>
            </w:pPr>
            <w:r w:rsidRPr="001253CF">
              <w:rPr>
                <w:sz w:val="20"/>
                <w:szCs w:val="20"/>
              </w:rPr>
              <w:t>25.2%</w:t>
            </w:r>
          </w:p>
        </w:tc>
        <w:tc>
          <w:tcPr>
            <w:tcW w:w="1477" w:type="dxa"/>
            <w:tcBorders>
              <w:top w:val="nil"/>
              <w:left w:val="nil"/>
              <w:bottom w:val="nil"/>
              <w:right w:val="nil"/>
            </w:tcBorders>
            <w:vAlign w:val="bottom"/>
            <w:hideMark/>
          </w:tcPr>
          <w:p w14:paraId="46D004B2" w14:textId="77777777" w:rsidR="00677577" w:rsidRPr="001253CF" w:rsidRDefault="00677577" w:rsidP="001253CF">
            <w:pPr>
              <w:jc w:val="right"/>
              <w:rPr>
                <w:sz w:val="20"/>
                <w:szCs w:val="20"/>
              </w:rPr>
            </w:pPr>
            <w:r w:rsidRPr="001253CF">
              <w:rPr>
                <w:sz w:val="20"/>
                <w:szCs w:val="20"/>
              </w:rPr>
              <w:t>18.3%</w:t>
            </w:r>
          </w:p>
        </w:tc>
        <w:tc>
          <w:tcPr>
            <w:tcW w:w="1477" w:type="dxa"/>
            <w:tcBorders>
              <w:top w:val="nil"/>
              <w:left w:val="nil"/>
              <w:bottom w:val="nil"/>
              <w:right w:val="nil"/>
            </w:tcBorders>
            <w:vAlign w:val="bottom"/>
            <w:hideMark/>
          </w:tcPr>
          <w:p w14:paraId="35510DFC" w14:textId="77777777" w:rsidR="00677577" w:rsidRPr="001253CF" w:rsidRDefault="00677577" w:rsidP="001253CF">
            <w:pPr>
              <w:jc w:val="right"/>
              <w:rPr>
                <w:sz w:val="20"/>
                <w:szCs w:val="20"/>
              </w:rPr>
            </w:pPr>
            <w:r w:rsidRPr="001253CF">
              <w:rPr>
                <w:sz w:val="20"/>
                <w:szCs w:val="20"/>
              </w:rPr>
              <w:t>44.2%</w:t>
            </w:r>
          </w:p>
        </w:tc>
        <w:tc>
          <w:tcPr>
            <w:tcW w:w="1478" w:type="dxa"/>
            <w:tcBorders>
              <w:top w:val="nil"/>
              <w:left w:val="nil"/>
              <w:bottom w:val="nil"/>
              <w:right w:val="single" w:sz="4" w:space="0" w:color="auto"/>
            </w:tcBorders>
            <w:vAlign w:val="bottom"/>
            <w:hideMark/>
          </w:tcPr>
          <w:p w14:paraId="019256EA" w14:textId="77777777" w:rsidR="00677577" w:rsidRPr="001253CF" w:rsidRDefault="00677577" w:rsidP="001253CF">
            <w:pPr>
              <w:jc w:val="right"/>
              <w:rPr>
                <w:sz w:val="20"/>
                <w:szCs w:val="20"/>
              </w:rPr>
            </w:pPr>
            <w:r w:rsidRPr="001253CF">
              <w:rPr>
                <w:sz w:val="20"/>
                <w:szCs w:val="20"/>
              </w:rPr>
              <w:t>9.8%</w:t>
            </w:r>
          </w:p>
        </w:tc>
      </w:tr>
      <w:tr w:rsidR="00677577" w:rsidRPr="00236247" w14:paraId="037E0C27" w14:textId="77777777">
        <w:trPr>
          <w:trHeight w:val="309"/>
        </w:trPr>
        <w:tc>
          <w:tcPr>
            <w:tcW w:w="2131" w:type="dxa"/>
            <w:tcBorders>
              <w:top w:val="nil"/>
              <w:left w:val="single" w:sz="4" w:space="0" w:color="auto"/>
              <w:bottom w:val="nil"/>
              <w:right w:val="nil"/>
            </w:tcBorders>
            <w:noWrap/>
            <w:vAlign w:val="bottom"/>
            <w:hideMark/>
          </w:tcPr>
          <w:p w14:paraId="024B5CD8" w14:textId="77777777" w:rsidR="00677577" w:rsidRPr="001253CF" w:rsidRDefault="00677577">
            <w:pPr>
              <w:rPr>
                <w:sz w:val="20"/>
                <w:szCs w:val="20"/>
              </w:rPr>
            </w:pPr>
            <w:r w:rsidRPr="001253CF">
              <w:rPr>
                <w:sz w:val="20"/>
                <w:szCs w:val="20"/>
              </w:rPr>
              <w:t>2018</w:t>
            </w:r>
          </w:p>
        </w:tc>
        <w:tc>
          <w:tcPr>
            <w:tcW w:w="1477" w:type="dxa"/>
            <w:tcBorders>
              <w:top w:val="nil"/>
              <w:left w:val="nil"/>
              <w:bottom w:val="nil"/>
              <w:right w:val="nil"/>
            </w:tcBorders>
            <w:noWrap/>
            <w:vAlign w:val="bottom"/>
            <w:hideMark/>
          </w:tcPr>
          <w:p w14:paraId="2035806B" w14:textId="77777777" w:rsidR="00677577" w:rsidRPr="001253CF" w:rsidRDefault="00677577" w:rsidP="001253CF">
            <w:pPr>
              <w:jc w:val="right"/>
              <w:rPr>
                <w:sz w:val="20"/>
                <w:szCs w:val="20"/>
              </w:rPr>
            </w:pPr>
            <w:r w:rsidRPr="001253CF">
              <w:rPr>
                <w:sz w:val="20"/>
                <w:szCs w:val="20"/>
              </w:rPr>
              <w:t>7.4%</w:t>
            </w:r>
          </w:p>
        </w:tc>
        <w:tc>
          <w:tcPr>
            <w:tcW w:w="1477" w:type="dxa"/>
            <w:tcBorders>
              <w:top w:val="nil"/>
              <w:left w:val="nil"/>
              <w:bottom w:val="nil"/>
              <w:right w:val="nil"/>
            </w:tcBorders>
            <w:noWrap/>
            <w:vAlign w:val="bottom"/>
            <w:hideMark/>
          </w:tcPr>
          <w:p w14:paraId="3F8C5A52" w14:textId="77777777" w:rsidR="00677577" w:rsidRPr="001253CF" w:rsidRDefault="00677577" w:rsidP="001253CF">
            <w:pPr>
              <w:jc w:val="right"/>
              <w:rPr>
                <w:sz w:val="20"/>
                <w:szCs w:val="20"/>
              </w:rPr>
            </w:pPr>
            <w:r w:rsidRPr="001253CF">
              <w:rPr>
                <w:sz w:val="20"/>
                <w:szCs w:val="20"/>
              </w:rPr>
              <w:t>26.6%</w:t>
            </w:r>
          </w:p>
        </w:tc>
        <w:tc>
          <w:tcPr>
            <w:tcW w:w="1477" w:type="dxa"/>
            <w:tcBorders>
              <w:top w:val="nil"/>
              <w:left w:val="nil"/>
              <w:bottom w:val="nil"/>
              <w:right w:val="nil"/>
            </w:tcBorders>
            <w:noWrap/>
            <w:vAlign w:val="bottom"/>
            <w:hideMark/>
          </w:tcPr>
          <w:p w14:paraId="0671D748" w14:textId="77777777" w:rsidR="00677577" w:rsidRPr="001253CF" w:rsidRDefault="00677577" w:rsidP="001253CF">
            <w:pPr>
              <w:jc w:val="right"/>
              <w:rPr>
                <w:sz w:val="20"/>
                <w:szCs w:val="20"/>
              </w:rPr>
            </w:pPr>
            <w:r w:rsidRPr="001253CF">
              <w:rPr>
                <w:sz w:val="20"/>
                <w:szCs w:val="20"/>
              </w:rPr>
              <w:t>20.7%</w:t>
            </w:r>
          </w:p>
        </w:tc>
        <w:tc>
          <w:tcPr>
            <w:tcW w:w="1477" w:type="dxa"/>
            <w:tcBorders>
              <w:top w:val="nil"/>
              <w:left w:val="nil"/>
              <w:bottom w:val="nil"/>
              <w:right w:val="nil"/>
            </w:tcBorders>
            <w:vAlign w:val="bottom"/>
            <w:hideMark/>
          </w:tcPr>
          <w:p w14:paraId="585C9050" w14:textId="77777777" w:rsidR="00677577" w:rsidRPr="001253CF" w:rsidRDefault="00677577" w:rsidP="001253CF">
            <w:pPr>
              <w:jc w:val="right"/>
              <w:rPr>
                <w:sz w:val="20"/>
                <w:szCs w:val="20"/>
              </w:rPr>
            </w:pPr>
            <w:r w:rsidRPr="001253CF">
              <w:rPr>
                <w:sz w:val="20"/>
                <w:szCs w:val="20"/>
              </w:rPr>
              <w:t>18.3%</w:t>
            </w:r>
          </w:p>
        </w:tc>
        <w:tc>
          <w:tcPr>
            <w:tcW w:w="1477" w:type="dxa"/>
            <w:tcBorders>
              <w:top w:val="nil"/>
              <w:left w:val="nil"/>
              <w:bottom w:val="nil"/>
              <w:right w:val="nil"/>
            </w:tcBorders>
            <w:vAlign w:val="bottom"/>
            <w:hideMark/>
          </w:tcPr>
          <w:p w14:paraId="72193EE0" w14:textId="77777777" w:rsidR="00677577" w:rsidRPr="001253CF" w:rsidRDefault="00677577" w:rsidP="001253CF">
            <w:pPr>
              <w:jc w:val="right"/>
              <w:rPr>
                <w:sz w:val="20"/>
                <w:szCs w:val="20"/>
              </w:rPr>
            </w:pPr>
            <w:r w:rsidRPr="001253CF">
              <w:rPr>
                <w:sz w:val="20"/>
                <w:szCs w:val="20"/>
              </w:rPr>
              <w:t>23.5%</w:t>
            </w:r>
          </w:p>
        </w:tc>
        <w:tc>
          <w:tcPr>
            <w:tcW w:w="1477" w:type="dxa"/>
            <w:tcBorders>
              <w:top w:val="nil"/>
              <w:left w:val="nil"/>
              <w:bottom w:val="nil"/>
              <w:right w:val="nil"/>
            </w:tcBorders>
            <w:vAlign w:val="bottom"/>
            <w:hideMark/>
          </w:tcPr>
          <w:p w14:paraId="4D8E1434" w14:textId="77777777" w:rsidR="00677577" w:rsidRPr="001253CF" w:rsidRDefault="00677577" w:rsidP="001253CF">
            <w:pPr>
              <w:jc w:val="right"/>
              <w:rPr>
                <w:sz w:val="20"/>
                <w:szCs w:val="20"/>
              </w:rPr>
            </w:pPr>
            <w:r w:rsidRPr="001253CF">
              <w:rPr>
                <w:sz w:val="20"/>
                <w:szCs w:val="20"/>
              </w:rPr>
              <w:t>17.8%</w:t>
            </w:r>
          </w:p>
        </w:tc>
        <w:tc>
          <w:tcPr>
            <w:tcW w:w="1477" w:type="dxa"/>
            <w:tcBorders>
              <w:top w:val="nil"/>
              <w:left w:val="nil"/>
              <w:bottom w:val="nil"/>
              <w:right w:val="nil"/>
            </w:tcBorders>
            <w:vAlign w:val="bottom"/>
            <w:hideMark/>
          </w:tcPr>
          <w:p w14:paraId="5EAA0068" w14:textId="77777777" w:rsidR="00677577" w:rsidRPr="001253CF" w:rsidRDefault="00677577" w:rsidP="001253CF">
            <w:pPr>
              <w:jc w:val="right"/>
              <w:rPr>
                <w:sz w:val="20"/>
                <w:szCs w:val="20"/>
              </w:rPr>
            </w:pPr>
            <w:r w:rsidRPr="001253CF">
              <w:rPr>
                <w:sz w:val="20"/>
                <w:szCs w:val="20"/>
              </w:rPr>
              <w:t>42.0%</w:t>
            </w:r>
          </w:p>
        </w:tc>
        <w:tc>
          <w:tcPr>
            <w:tcW w:w="1478" w:type="dxa"/>
            <w:tcBorders>
              <w:top w:val="nil"/>
              <w:left w:val="nil"/>
              <w:bottom w:val="nil"/>
              <w:right w:val="single" w:sz="4" w:space="0" w:color="auto"/>
            </w:tcBorders>
            <w:vAlign w:val="bottom"/>
            <w:hideMark/>
          </w:tcPr>
          <w:p w14:paraId="3ADE76BD" w14:textId="77777777" w:rsidR="00677577" w:rsidRPr="001253CF" w:rsidRDefault="00677577" w:rsidP="001253CF">
            <w:pPr>
              <w:jc w:val="right"/>
              <w:rPr>
                <w:sz w:val="20"/>
                <w:szCs w:val="20"/>
              </w:rPr>
            </w:pPr>
            <w:r w:rsidRPr="001253CF">
              <w:rPr>
                <w:sz w:val="20"/>
                <w:szCs w:val="20"/>
              </w:rPr>
              <w:t>8.8%</w:t>
            </w:r>
          </w:p>
        </w:tc>
      </w:tr>
      <w:tr w:rsidR="00677577" w:rsidRPr="00236247" w14:paraId="7FE03FC7" w14:textId="77777777">
        <w:trPr>
          <w:trHeight w:val="309"/>
        </w:trPr>
        <w:tc>
          <w:tcPr>
            <w:tcW w:w="2131" w:type="dxa"/>
            <w:tcBorders>
              <w:top w:val="nil"/>
              <w:left w:val="single" w:sz="4" w:space="0" w:color="auto"/>
              <w:bottom w:val="nil"/>
              <w:right w:val="nil"/>
            </w:tcBorders>
            <w:noWrap/>
            <w:vAlign w:val="bottom"/>
            <w:hideMark/>
          </w:tcPr>
          <w:p w14:paraId="15A4DF54" w14:textId="77777777" w:rsidR="00677577" w:rsidRPr="001253CF" w:rsidRDefault="00677577">
            <w:pPr>
              <w:rPr>
                <w:sz w:val="20"/>
                <w:szCs w:val="20"/>
              </w:rPr>
            </w:pPr>
            <w:r w:rsidRPr="001253CF">
              <w:rPr>
                <w:sz w:val="20"/>
                <w:szCs w:val="20"/>
              </w:rPr>
              <w:t>2019</w:t>
            </w:r>
          </w:p>
        </w:tc>
        <w:tc>
          <w:tcPr>
            <w:tcW w:w="1477" w:type="dxa"/>
            <w:tcBorders>
              <w:top w:val="nil"/>
              <w:left w:val="nil"/>
              <w:bottom w:val="nil"/>
              <w:right w:val="nil"/>
            </w:tcBorders>
            <w:noWrap/>
            <w:vAlign w:val="bottom"/>
            <w:hideMark/>
          </w:tcPr>
          <w:p w14:paraId="711864F7" w14:textId="77777777" w:rsidR="00677577" w:rsidRPr="001253CF" w:rsidRDefault="00677577" w:rsidP="001253CF">
            <w:pPr>
              <w:jc w:val="right"/>
              <w:rPr>
                <w:sz w:val="20"/>
                <w:szCs w:val="20"/>
              </w:rPr>
            </w:pPr>
            <w:r w:rsidRPr="001253CF">
              <w:rPr>
                <w:sz w:val="20"/>
                <w:szCs w:val="20"/>
              </w:rPr>
              <w:t>8.5%</w:t>
            </w:r>
          </w:p>
        </w:tc>
        <w:tc>
          <w:tcPr>
            <w:tcW w:w="1477" w:type="dxa"/>
            <w:tcBorders>
              <w:top w:val="nil"/>
              <w:left w:val="nil"/>
              <w:bottom w:val="nil"/>
              <w:right w:val="nil"/>
            </w:tcBorders>
            <w:noWrap/>
            <w:vAlign w:val="bottom"/>
            <w:hideMark/>
          </w:tcPr>
          <w:p w14:paraId="4FE6548F" w14:textId="77777777" w:rsidR="00677577" w:rsidRPr="001253CF" w:rsidRDefault="00677577" w:rsidP="001253CF">
            <w:pPr>
              <w:jc w:val="right"/>
              <w:rPr>
                <w:sz w:val="20"/>
                <w:szCs w:val="20"/>
              </w:rPr>
            </w:pPr>
            <w:r w:rsidRPr="001253CF">
              <w:rPr>
                <w:sz w:val="20"/>
                <w:szCs w:val="20"/>
              </w:rPr>
              <w:t>25.7%</w:t>
            </w:r>
          </w:p>
        </w:tc>
        <w:tc>
          <w:tcPr>
            <w:tcW w:w="1477" w:type="dxa"/>
            <w:tcBorders>
              <w:top w:val="nil"/>
              <w:left w:val="nil"/>
              <w:bottom w:val="nil"/>
              <w:right w:val="nil"/>
            </w:tcBorders>
            <w:noWrap/>
            <w:vAlign w:val="bottom"/>
            <w:hideMark/>
          </w:tcPr>
          <w:p w14:paraId="5246E377" w14:textId="77777777" w:rsidR="00677577" w:rsidRPr="001253CF" w:rsidRDefault="00677577" w:rsidP="001253CF">
            <w:pPr>
              <w:jc w:val="right"/>
              <w:rPr>
                <w:sz w:val="20"/>
                <w:szCs w:val="20"/>
              </w:rPr>
            </w:pPr>
            <w:r w:rsidRPr="001253CF">
              <w:rPr>
                <w:sz w:val="20"/>
                <w:szCs w:val="20"/>
              </w:rPr>
              <w:t>20.3%</w:t>
            </w:r>
          </w:p>
        </w:tc>
        <w:tc>
          <w:tcPr>
            <w:tcW w:w="1477" w:type="dxa"/>
            <w:tcBorders>
              <w:top w:val="nil"/>
              <w:left w:val="nil"/>
              <w:bottom w:val="nil"/>
              <w:right w:val="nil"/>
            </w:tcBorders>
            <w:vAlign w:val="bottom"/>
            <w:hideMark/>
          </w:tcPr>
          <w:p w14:paraId="04912D31" w14:textId="77777777" w:rsidR="00677577" w:rsidRPr="001253CF" w:rsidRDefault="00677577" w:rsidP="001253CF">
            <w:pPr>
              <w:jc w:val="right"/>
              <w:rPr>
                <w:sz w:val="20"/>
                <w:szCs w:val="20"/>
              </w:rPr>
            </w:pPr>
            <w:r w:rsidRPr="001253CF">
              <w:rPr>
                <w:sz w:val="20"/>
                <w:szCs w:val="20"/>
              </w:rPr>
              <w:t>18.4%</w:t>
            </w:r>
          </w:p>
        </w:tc>
        <w:tc>
          <w:tcPr>
            <w:tcW w:w="1477" w:type="dxa"/>
            <w:tcBorders>
              <w:top w:val="nil"/>
              <w:left w:val="nil"/>
              <w:bottom w:val="nil"/>
              <w:right w:val="nil"/>
            </w:tcBorders>
            <w:vAlign w:val="bottom"/>
            <w:hideMark/>
          </w:tcPr>
          <w:p w14:paraId="507F65ED" w14:textId="77777777" w:rsidR="00677577" w:rsidRPr="001253CF" w:rsidRDefault="00677577" w:rsidP="001253CF">
            <w:pPr>
              <w:jc w:val="right"/>
              <w:rPr>
                <w:sz w:val="20"/>
                <w:szCs w:val="20"/>
              </w:rPr>
            </w:pPr>
            <w:r w:rsidRPr="001253CF">
              <w:rPr>
                <w:sz w:val="20"/>
                <w:szCs w:val="20"/>
              </w:rPr>
              <w:t>22.9%</w:t>
            </w:r>
          </w:p>
        </w:tc>
        <w:tc>
          <w:tcPr>
            <w:tcW w:w="1477" w:type="dxa"/>
            <w:tcBorders>
              <w:top w:val="nil"/>
              <w:left w:val="nil"/>
              <w:bottom w:val="nil"/>
              <w:right w:val="nil"/>
            </w:tcBorders>
            <w:vAlign w:val="bottom"/>
            <w:hideMark/>
          </w:tcPr>
          <w:p w14:paraId="4276069F" w14:textId="77777777" w:rsidR="00677577" w:rsidRPr="001253CF" w:rsidRDefault="00677577" w:rsidP="001253CF">
            <w:pPr>
              <w:jc w:val="right"/>
              <w:rPr>
                <w:sz w:val="20"/>
                <w:szCs w:val="20"/>
              </w:rPr>
            </w:pPr>
            <w:r w:rsidRPr="001253CF">
              <w:rPr>
                <w:sz w:val="20"/>
                <w:szCs w:val="20"/>
              </w:rPr>
              <w:t>18.1%</w:t>
            </w:r>
          </w:p>
        </w:tc>
        <w:tc>
          <w:tcPr>
            <w:tcW w:w="1477" w:type="dxa"/>
            <w:tcBorders>
              <w:top w:val="nil"/>
              <w:left w:val="nil"/>
              <w:bottom w:val="nil"/>
              <w:right w:val="nil"/>
            </w:tcBorders>
            <w:vAlign w:val="bottom"/>
            <w:hideMark/>
          </w:tcPr>
          <w:p w14:paraId="44E8CD37" w14:textId="77777777" w:rsidR="00677577" w:rsidRPr="001253CF" w:rsidRDefault="00677577" w:rsidP="001253CF">
            <w:pPr>
              <w:jc w:val="right"/>
              <w:rPr>
                <w:sz w:val="20"/>
                <w:szCs w:val="20"/>
              </w:rPr>
            </w:pPr>
            <w:r w:rsidRPr="001253CF">
              <w:rPr>
                <w:sz w:val="20"/>
                <w:szCs w:val="20"/>
              </w:rPr>
              <w:t>40.6%</w:t>
            </w:r>
          </w:p>
        </w:tc>
        <w:tc>
          <w:tcPr>
            <w:tcW w:w="1478" w:type="dxa"/>
            <w:tcBorders>
              <w:top w:val="nil"/>
              <w:left w:val="nil"/>
              <w:bottom w:val="nil"/>
              <w:right w:val="single" w:sz="4" w:space="0" w:color="auto"/>
            </w:tcBorders>
            <w:vAlign w:val="bottom"/>
            <w:hideMark/>
          </w:tcPr>
          <w:p w14:paraId="32158D73" w14:textId="77777777" w:rsidR="00677577" w:rsidRPr="001253CF" w:rsidRDefault="00677577" w:rsidP="001253CF">
            <w:pPr>
              <w:jc w:val="right"/>
              <w:rPr>
                <w:sz w:val="20"/>
                <w:szCs w:val="20"/>
              </w:rPr>
            </w:pPr>
            <w:r w:rsidRPr="001253CF">
              <w:rPr>
                <w:sz w:val="20"/>
                <w:szCs w:val="20"/>
              </w:rPr>
              <w:t>7.7%</w:t>
            </w:r>
          </w:p>
        </w:tc>
      </w:tr>
      <w:tr w:rsidR="00677577" w:rsidRPr="00236247" w14:paraId="64E98034" w14:textId="77777777">
        <w:trPr>
          <w:trHeight w:val="309"/>
        </w:trPr>
        <w:tc>
          <w:tcPr>
            <w:tcW w:w="2131" w:type="dxa"/>
            <w:tcBorders>
              <w:top w:val="nil"/>
              <w:left w:val="single" w:sz="4" w:space="0" w:color="auto"/>
              <w:bottom w:val="nil"/>
              <w:right w:val="nil"/>
            </w:tcBorders>
            <w:noWrap/>
            <w:vAlign w:val="bottom"/>
            <w:hideMark/>
          </w:tcPr>
          <w:p w14:paraId="58FBAEAD" w14:textId="77777777" w:rsidR="00677577" w:rsidRPr="001253CF" w:rsidRDefault="00677577">
            <w:pPr>
              <w:rPr>
                <w:sz w:val="20"/>
                <w:szCs w:val="20"/>
              </w:rPr>
            </w:pPr>
            <w:r w:rsidRPr="001253CF">
              <w:rPr>
                <w:sz w:val="20"/>
                <w:szCs w:val="20"/>
              </w:rPr>
              <w:t>2020</w:t>
            </w:r>
          </w:p>
        </w:tc>
        <w:tc>
          <w:tcPr>
            <w:tcW w:w="1477" w:type="dxa"/>
            <w:tcBorders>
              <w:top w:val="nil"/>
              <w:left w:val="nil"/>
              <w:bottom w:val="nil"/>
              <w:right w:val="nil"/>
            </w:tcBorders>
            <w:noWrap/>
            <w:vAlign w:val="bottom"/>
            <w:hideMark/>
          </w:tcPr>
          <w:p w14:paraId="4A690694" w14:textId="77777777" w:rsidR="00677577" w:rsidRPr="001253CF" w:rsidRDefault="00677577" w:rsidP="001253CF">
            <w:pPr>
              <w:jc w:val="right"/>
              <w:rPr>
                <w:sz w:val="20"/>
                <w:szCs w:val="20"/>
              </w:rPr>
            </w:pPr>
            <w:r w:rsidRPr="001253CF">
              <w:rPr>
                <w:sz w:val="20"/>
                <w:szCs w:val="20"/>
              </w:rPr>
              <w:t>9.1%</w:t>
            </w:r>
          </w:p>
        </w:tc>
        <w:tc>
          <w:tcPr>
            <w:tcW w:w="1477" w:type="dxa"/>
            <w:tcBorders>
              <w:top w:val="nil"/>
              <w:left w:val="nil"/>
              <w:bottom w:val="nil"/>
              <w:right w:val="nil"/>
            </w:tcBorders>
            <w:noWrap/>
            <w:vAlign w:val="bottom"/>
            <w:hideMark/>
          </w:tcPr>
          <w:p w14:paraId="3A2E2C8A" w14:textId="77777777" w:rsidR="00677577" w:rsidRPr="001253CF" w:rsidRDefault="00677577" w:rsidP="001253CF">
            <w:pPr>
              <w:jc w:val="right"/>
              <w:rPr>
                <w:sz w:val="20"/>
                <w:szCs w:val="20"/>
              </w:rPr>
            </w:pPr>
            <w:r w:rsidRPr="001253CF">
              <w:rPr>
                <w:sz w:val="20"/>
                <w:szCs w:val="20"/>
              </w:rPr>
              <w:t>25.6%</w:t>
            </w:r>
          </w:p>
        </w:tc>
        <w:tc>
          <w:tcPr>
            <w:tcW w:w="1477" w:type="dxa"/>
            <w:tcBorders>
              <w:top w:val="nil"/>
              <w:left w:val="nil"/>
              <w:bottom w:val="nil"/>
              <w:right w:val="nil"/>
            </w:tcBorders>
            <w:noWrap/>
            <w:vAlign w:val="bottom"/>
            <w:hideMark/>
          </w:tcPr>
          <w:p w14:paraId="186F7CA2" w14:textId="77777777" w:rsidR="00677577" w:rsidRPr="001253CF" w:rsidRDefault="00677577" w:rsidP="001253CF">
            <w:pPr>
              <w:jc w:val="right"/>
              <w:rPr>
                <w:sz w:val="20"/>
                <w:szCs w:val="20"/>
              </w:rPr>
            </w:pPr>
            <w:r w:rsidRPr="001253CF">
              <w:rPr>
                <w:sz w:val="20"/>
                <w:szCs w:val="20"/>
              </w:rPr>
              <w:t>23.5%</w:t>
            </w:r>
          </w:p>
        </w:tc>
        <w:tc>
          <w:tcPr>
            <w:tcW w:w="1477" w:type="dxa"/>
            <w:tcBorders>
              <w:top w:val="nil"/>
              <w:left w:val="nil"/>
              <w:bottom w:val="nil"/>
              <w:right w:val="nil"/>
            </w:tcBorders>
            <w:vAlign w:val="bottom"/>
            <w:hideMark/>
          </w:tcPr>
          <w:p w14:paraId="080D05CE" w14:textId="77777777" w:rsidR="00677577" w:rsidRPr="001253CF" w:rsidRDefault="00677577" w:rsidP="001253CF">
            <w:pPr>
              <w:jc w:val="right"/>
              <w:rPr>
                <w:sz w:val="20"/>
                <w:szCs w:val="20"/>
              </w:rPr>
            </w:pPr>
            <w:r w:rsidRPr="001253CF">
              <w:rPr>
                <w:sz w:val="20"/>
                <w:szCs w:val="20"/>
              </w:rPr>
              <w:t>20.2%</w:t>
            </w:r>
          </w:p>
        </w:tc>
        <w:tc>
          <w:tcPr>
            <w:tcW w:w="1477" w:type="dxa"/>
            <w:tcBorders>
              <w:top w:val="nil"/>
              <w:left w:val="nil"/>
              <w:bottom w:val="nil"/>
              <w:right w:val="nil"/>
            </w:tcBorders>
            <w:vAlign w:val="bottom"/>
            <w:hideMark/>
          </w:tcPr>
          <w:p w14:paraId="76A47717" w14:textId="77777777" w:rsidR="00677577" w:rsidRPr="001253CF" w:rsidRDefault="00677577" w:rsidP="001253CF">
            <w:pPr>
              <w:jc w:val="right"/>
              <w:rPr>
                <w:sz w:val="20"/>
                <w:szCs w:val="20"/>
              </w:rPr>
            </w:pPr>
            <w:r w:rsidRPr="001253CF">
              <w:rPr>
                <w:sz w:val="20"/>
                <w:szCs w:val="20"/>
              </w:rPr>
              <w:t>23.2%</w:t>
            </w:r>
          </w:p>
        </w:tc>
        <w:tc>
          <w:tcPr>
            <w:tcW w:w="1477" w:type="dxa"/>
            <w:tcBorders>
              <w:top w:val="nil"/>
              <w:left w:val="nil"/>
              <w:bottom w:val="nil"/>
              <w:right w:val="nil"/>
            </w:tcBorders>
            <w:vAlign w:val="bottom"/>
            <w:hideMark/>
          </w:tcPr>
          <w:p w14:paraId="1E79A398" w14:textId="77777777" w:rsidR="00677577" w:rsidRPr="001253CF" w:rsidRDefault="00677577" w:rsidP="001253CF">
            <w:pPr>
              <w:jc w:val="right"/>
              <w:rPr>
                <w:sz w:val="20"/>
                <w:szCs w:val="20"/>
              </w:rPr>
            </w:pPr>
            <w:r w:rsidRPr="001253CF">
              <w:rPr>
                <w:sz w:val="20"/>
                <w:szCs w:val="20"/>
              </w:rPr>
              <w:t>17.4%</w:t>
            </w:r>
          </w:p>
        </w:tc>
        <w:tc>
          <w:tcPr>
            <w:tcW w:w="1477" w:type="dxa"/>
            <w:tcBorders>
              <w:top w:val="nil"/>
              <w:left w:val="nil"/>
              <w:bottom w:val="nil"/>
              <w:right w:val="nil"/>
            </w:tcBorders>
            <w:vAlign w:val="bottom"/>
            <w:hideMark/>
          </w:tcPr>
          <w:p w14:paraId="3B85C9F9" w14:textId="77777777" w:rsidR="00677577" w:rsidRPr="001253CF" w:rsidRDefault="00677577" w:rsidP="001253CF">
            <w:pPr>
              <w:jc w:val="right"/>
              <w:rPr>
                <w:sz w:val="20"/>
                <w:szCs w:val="20"/>
              </w:rPr>
            </w:pPr>
            <w:r w:rsidRPr="001253CF">
              <w:rPr>
                <w:sz w:val="20"/>
                <w:szCs w:val="20"/>
              </w:rPr>
              <w:t>44.1%</w:t>
            </w:r>
          </w:p>
        </w:tc>
        <w:tc>
          <w:tcPr>
            <w:tcW w:w="1478" w:type="dxa"/>
            <w:tcBorders>
              <w:top w:val="nil"/>
              <w:left w:val="nil"/>
              <w:bottom w:val="nil"/>
              <w:right w:val="single" w:sz="4" w:space="0" w:color="auto"/>
            </w:tcBorders>
            <w:vAlign w:val="bottom"/>
            <w:hideMark/>
          </w:tcPr>
          <w:p w14:paraId="16A22170" w14:textId="77777777" w:rsidR="00677577" w:rsidRPr="001253CF" w:rsidRDefault="00677577" w:rsidP="001253CF">
            <w:pPr>
              <w:jc w:val="right"/>
              <w:rPr>
                <w:sz w:val="20"/>
                <w:szCs w:val="20"/>
              </w:rPr>
            </w:pPr>
            <w:r w:rsidRPr="001253CF">
              <w:rPr>
                <w:sz w:val="20"/>
                <w:szCs w:val="20"/>
              </w:rPr>
              <w:t>8.6%</w:t>
            </w:r>
          </w:p>
        </w:tc>
      </w:tr>
      <w:tr w:rsidR="00677577" w:rsidRPr="00236247" w14:paraId="05433691" w14:textId="77777777">
        <w:trPr>
          <w:trHeight w:val="309"/>
        </w:trPr>
        <w:tc>
          <w:tcPr>
            <w:tcW w:w="2131" w:type="dxa"/>
            <w:tcBorders>
              <w:top w:val="nil"/>
              <w:left w:val="single" w:sz="4" w:space="0" w:color="auto"/>
              <w:bottom w:val="nil"/>
              <w:right w:val="nil"/>
            </w:tcBorders>
            <w:noWrap/>
            <w:vAlign w:val="bottom"/>
            <w:hideMark/>
          </w:tcPr>
          <w:p w14:paraId="6CE845C5" w14:textId="77777777" w:rsidR="00677577" w:rsidRPr="001253CF" w:rsidRDefault="00677577">
            <w:pPr>
              <w:rPr>
                <w:sz w:val="20"/>
                <w:szCs w:val="20"/>
              </w:rPr>
            </w:pPr>
            <w:r w:rsidRPr="001253CF">
              <w:rPr>
                <w:sz w:val="20"/>
                <w:szCs w:val="20"/>
              </w:rPr>
              <w:t>2021</w:t>
            </w:r>
          </w:p>
        </w:tc>
        <w:tc>
          <w:tcPr>
            <w:tcW w:w="1477" w:type="dxa"/>
            <w:tcBorders>
              <w:top w:val="nil"/>
              <w:left w:val="nil"/>
              <w:bottom w:val="nil"/>
              <w:right w:val="nil"/>
            </w:tcBorders>
            <w:noWrap/>
            <w:vAlign w:val="bottom"/>
            <w:hideMark/>
          </w:tcPr>
          <w:p w14:paraId="25C99293" w14:textId="77777777" w:rsidR="00677577" w:rsidRPr="001253CF" w:rsidRDefault="00677577" w:rsidP="001253CF">
            <w:pPr>
              <w:jc w:val="right"/>
              <w:rPr>
                <w:sz w:val="20"/>
                <w:szCs w:val="20"/>
              </w:rPr>
            </w:pPr>
            <w:r w:rsidRPr="001253CF">
              <w:rPr>
                <w:sz w:val="20"/>
                <w:szCs w:val="20"/>
              </w:rPr>
              <w:t>7.3%</w:t>
            </w:r>
          </w:p>
        </w:tc>
        <w:tc>
          <w:tcPr>
            <w:tcW w:w="1477" w:type="dxa"/>
            <w:tcBorders>
              <w:top w:val="nil"/>
              <w:left w:val="nil"/>
              <w:bottom w:val="nil"/>
              <w:right w:val="nil"/>
            </w:tcBorders>
            <w:noWrap/>
            <w:vAlign w:val="bottom"/>
            <w:hideMark/>
          </w:tcPr>
          <w:p w14:paraId="4108DC8E" w14:textId="77777777" w:rsidR="00677577" w:rsidRPr="001253CF" w:rsidRDefault="00677577" w:rsidP="001253CF">
            <w:pPr>
              <w:jc w:val="right"/>
              <w:rPr>
                <w:sz w:val="20"/>
                <w:szCs w:val="20"/>
              </w:rPr>
            </w:pPr>
            <w:r w:rsidRPr="001253CF">
              <w:rPr>
                <w:sz w:val="20"/>
                <w:szCs w:val="20"/>
              </w:rPr>
              <w:t>25.0%</w:t>
            </w:r>
          </w:p>
        </w:tc>
        <w:tc>
          <w:tcPr>
            <w:tcW w:w="1477" w:type="dxa"/>
            <w:tcBorders>
              <w:top w:val="nil"/>
              <w:left w:val="nil"/>
              <w:bottom w:val="nil"/>
              <w:right w:val="nil"/>
            </w:tcBorders>
            <w:noWrap/>
            <w:vAlign w:val="bottom"/>
            <w:hideMark/>
          </w:tcPr>
          <w:p w14:paraId="0C02148C" w14:textId="77777777" w:rsidR="00677577" w:rsidRPr="001253CF" w:rsidRDefault="00677577" w:rsidP="001253CF">
            <w:pPr>
              <w:jc w:val="right"/>
              <w:rPr>
                <w:sz w:val="20"/>
                <w:szCs w:val="20"/>
              </w:rPr>
            </w:pPr>
            <w:r w:rsidRPr="001253CF">
              <w:rPr>
                <w:sz w:val="20"/>
                <w:szCs w:val="20"/>
              </w:rPr>
              <w:t>22.7%</w:t>
            </w:r>
          </w:p>
        </w:tc>
        <w:tc>
          <w:tcPr>
            <w:tcW w:w="1477" w:type="dxa"/>
            <w:tcBorders>
              <w:top w:val="nil"/>
              <w:left w:val="nil"/>
              <w:bottom w:val="nil"/>
              <w:right w:val="nil"/>
            </w:tcBorders>
            <w:vAlign w:val="bottom"/>
            <w:hideMark/>
          </w:tcPr>
          <w:p w14:paraId="46DAF3FC" w14:textId="77777777" w:rsidR="00677577" w:rsidRPr="001253CF" w:rsidRDefault="00677577" w:rsidP="001253CF">
            <w:pPr>
              <w:jc w:val="right"/>
              <w:rPr>
                <w:sz w:val="20"/>
                <w:szCs w:val="20"/>
              </w:rPr>
            </w:pPr>
            <w:r w:rsidRPr="001253CF">
              <w:rPr>
                <w:sz w:val="20"/>
                <w:szCs w:val="20"/>
              </w:rPr>
              <w:t>18.8%</w:t>
            </w:r>
          </w:p>
        </w:tc>
        <w:tc>
          <w:tcPr>
            <w:tcW w:w="1477" w:type="dxa"/>
            <w:tcBorders>
              <w:top w:val="nil"/>
              <w:left w:val="nil"/>
              <w:bottom w:val="nil"/>
              <w:right w:val="nil"/>
            </w:tcBorders>
            <w:vAlign w:val="bottom"/>
            <w:hideMark/>
          </w:tcPr>
          <w:p w14:paraId="58CEDC11" w14:textId="77777777" w:rsidR="00677577" w:rsidRPr="001253CF" w:rsidRDefault="00677577" w:rsidP="001253CF">
            <w:pPr>
              <w:jc w:val="right"/>
              <w:rPr>
                <w:sz w:val="20"/>
                <w:szCs w:val="20"/>
              </w:rPr>
            </w:pPr>
            <w:r w:rsidRPr="001253CF">
              <w:rPr>
                <w:sz w:val="20"/>
                <w:szCs w:val="20"/>
              </w:rPr>
              <w:t>22.4%</w:t>
            </w:r>
          </w:p>
        </w:tc>
        <w:tc>
          <w:tcPr>
            <w:tcW w:w="1477" w:type="dxa"/>
            <w:tcBorders>
              <w:top w:val="nil"/>
              <w:left w:val="nil"/>
              <w:bottom w:val="nil"/>
              <w:right w:val="nil"/>
            </w:tcBorders>
            <w:vAlign w:val="bottom"/>
            <w:hideMark/>
          </w:tcPr>
          <w:p w14:paraId="12DD69FF" w14:textId="77777777" w:rsidR="00677577" w:rsidRPr="001253CF" w:rsidRDefault="00677577" w:rsidP="001253CF">
            <w:pPr>
              <w:jc w:val="right"/>
              <w:rPr>
                <w:sz w:val="20"/>
                <w:szCs w:val="20"/>
              </w:rPr>
            </w:pPr>
            <w:r w:rsidRPr="001253CF">
              <w:rPr>
                <w:sz w:val="20"/>
                <w:szCs w:val="20"/>
              </w:rPr>
              <w:t>16.5%</w:t>
            </w:r>
          </w:p>
        </w:tc>
        <w:tc>
          <w:tcPr>
            <w:tcW w:w="1477" w:type="dxa"/>
            <w:tcBorders>
              <w:top w:val="nil"/>
              <w:left w:val="nil"/>
              <w:bottom w:val="nil"/>
              <w:right w:val="nil"/>
            </w:tcBorders>
            <w:vAlign w:val="bottom"/>
            <w:hideMark/>
          </w:tcPr>
          <w:p w14:paraId="53380BBD" w14:textId="77777777" w:rsidR="00677577" w:rsidRPr="001253CF" w:rsidRDefault="00677577" w:rsidP="001253CF">
            <w:pPr>
              <w:jc w:val="right"/>
              <w:rPr>
                <w:sz w:val="20"/>
                <w:szCs w:val="20"/>
              </w:rPr>
            </w:pPr>
            <w:r w:rsidRPr="001253CF">
              <w:rPr>
                <w:sz w:val="20"/>
                <w:szCs w:val="20"/>
              </w:rPr>
              <w:t>41.5%</w:t>
            </w:r>
          </w:p>
        </w:tc>
        <w:tc>
          <w:tcPr>
            <w:tcW w:w="1478" w:type="dxa"/>
            <w:tcBorders>
              <w:top w:val="nil"/>
              <w:left w:val="nil"/>
              <w:bottom w:val="nil"/>
              <w:right w:val="single" w:sz="4" w:space="0" w:color="auto"/>
            </w:tcBorders>
            <w:vAlign w:val="bottom"/>
            <w:hideMark/>
          </w:tcPr>
          <w:p w14:paraId="28274307" w14:textId="77777777" w:rsidR="00677577" w:rsidRPr="001253CF" w:rsidRDefault="00677577" w:rsidP="001253CF">
            <w:pPr>
              <w:jc w:val="right"/>
              <w:rPr>
                <w:sz w:val="20"/>
                <w:szCs w:val="20"/>
              </w:rPr>
            </w:pPr>
            <w:r w:rsidRPr="001253CF">
              <w:rPr>
                <w:sz w:val="20"/>
                <w:szCs w:val="20"/>
              </w:rPr>
              <w:t>7.7%</w:t>
            </w:r>
          </w:p>
        </w:tc>
      </w:tr>
      <w:tr w:rsidR="00677577" w:rsidRPr="00236247" w14:paraId="1056BA23" w14:textId="77777777">
        <w:trPr>
          <w:trHeight w:val="309"/>
        </w:trPr>
        <w:tc>
          <w:tcPr>
            <w:tcW w:w="2131" w:type="dxa"/>
            <w:tcBorders>
              <w:top w:val="nil"/>
              <w:left w:val="single" w:sz="4" w:space="0" w:color="auto"/>
              <w:bottom w:val="nil"/>
              <w:right w:val="nil"/>
            </w:tcBorders>
            <w:noWrap/>
            <w:vAlign w:val="bottom"/>
            <w:hideMark/>
          </w:tcPr>
          <w:p w14:paraId="7E91160A" w14:textId="77777777" w:rsidR="00677577" w:rsidRPr="001253CF" w:rsidRDefault="00677577">
            <w:pPr>
              <w:rPr>
                <w:sz w:val="20"/>
                <w:szCs w:val="20"/>
              </w:rPr>
            </w:pPr>
            <w:r w:rsidRPr="001253CF">
              <w:rPr>
                <w:sz w:val="20"/>
                <w:szCs w:val="20"/>
              </w:rPr>
              <w:t>2022</w:t>
            </w:r>
          </w:p>
        </w:tc>
        <w:tc>
          <w:tcPr>
            <w:tcW w:w="1477" w:type="dxa"/>
            <w:tcBorders>
              <w:top w:val="nil"/>
              <w:left w:val="nil"/>
              <w:bottom w:val="nil"/>
              <w:right w:val="nil"/>
            </w:tcBorders>
            <w:noWrap/>
            <w:vAlign w:val="bottom"/>
            <w:hideMark/>
          </w:tcPr>
          <w:p w14:paraId="1F0774C5" w14:textId="77777777" w:rsidR="00677577" w:rsidRPr="001253CF" w:rsidRDefault="00677577" w:rsidP="001253CF">
            <w:pPr>
              <w:jc w:val="right"/>
              <w:rPr>
                <w:sz w:val="20"/>
                <w:szCs w:val="20"/>
              </w:rPr>
            </w:pPr>
            <w:r w:rsidRPr="001253CF">
              <w:rPr>
                <w:sz w:val="20"/>
                <w:szCs w:val="20"/>
              </w:rPr>
              <w:t>6.8%</w:t>
            </w:r>
          </w:p>
        </w:tc>
        <w:tc>
          <w:tcPr>
            <w:tcW w:w="1477" w:type="dxa"/>
            <w:tcBorders>
              <w:top w:val="nil"/>
              <w:left w:val="nil"/>
              <w:bottom w:val="nil"/>
              <w:right w:val="nil"/>
            </w:tcBorders>
            <w:noWrap/>
            <w:vAlign w:val="bottom"/>
            <w:hideMark/>
          </w:tcPr>
          <w:p w14:paraId="7C177C35" w14:textId="77777777" w:rsidR="00677577" w:rsidRPr="001253CF" w:rsidRDefault="00677577" w:rsidP="001253CF">
            <w:pPr>
              <w:jc w:val="right"/>
              <w:rPr>
                <w:sz w:val="20"/>
                <w:szCs w:val="20"/>
              </w:rPr>
            </w:pPr>
            <w:r w:rsidRPr="001253CF">
              <w:rPr>
                <w:sz w:val="20"/>
                <w:szCs w:val="20"/>
              </w:rPr>
              <w:t>24.1%</w:t>
            </w:r>
          </w:p>
        </w:tc>
        <w:tc>
          <w:tcPr>
            <w:tcW w:w="1477" w:type="dxa"/>
            <w:tcBorders>
              <w:top w:val="nil"/>
              <w:left w:val="nil"/>
              <w:bottom w:val="nil"/>
              <w:right w:val="nil"/>
            </w:tcBorders>
            <w:noWrap/>
            <w:vAlign w:val="bottom"/>
            <w:hideMark/>
          </w:tcPr>
          <w:p w14:paraId="2C050ADF" w14:textId="77777777" w:rsidR="00677577" w:rsidRPr="001253CF" w:rsidRDefault="00677577" w:rsidP="001253CF">
            <w:pPr>
              <w:jc w:val="right"/>
              <w:rPr>
                <w:sz w:val="20"/>
                <w:szCs w:val="20"/>
              </w:rPr>
            </w:pPr>
            <w:r w:rsidRPr="001253CF">
              <w:rPr>
                <w:sz w:val="20"/>
                <w:szCs w:val="20"/>
              </w:rPr>
              <w:t>22.2%</w:t>
            </w:r>
          </w:p>
        </w:tc>
        <w:tc>
          <w:tcPr>
            <w:tcW w:w="1477" w:type="dxa"/>
            <w:tcBorders>
              <w:top w:val="nil"/>
              <w:left w:val="nil"/>
              <w:bottom w:val="nil"/>
              <w:right w:val="nil"/>
            </w:tcBorders>
            <w:vAlign w:val="bottom"/>
            <w:hideMark/>
          </w:tcPr>
          <w:p w14:paraId="587ECC2D" w14:textId="77777777" w:rsidR="00677577" w:rsidRPr="001253CF" w:rsidRDefault="00677577" w:rsidP="001253CF">
            <w:pPr>
              <w:jc w:val="right"/>
              <w:rPr>
                <w:sz w:val="20"/>
                <w:szCs w:val="20"/>
              </w:rPr>
            </w:pPr>
            <w:r w:rsidRPr="001253CF">
              <w:rPr>
                <w:sz w:val="20"/>
                <w:szCs w:val="20"/>
              </w:rPr>
              <w:t>18.0%</w:t>
            </w:r>
          </w:p>
        </w:tc>
        <w:tc>
          <w:tcPr>
            <w:tcW w:w="1477" w:type="dxa"/>
            <w:tcBorders>
              <w:top w:val="nil"/>
              <w:left w:val="nil"/>
              <w:bottom w:val="nil"/>
              <w:right w:val="nil"/>
            </w:tcBorders>
            <w:vAlign w:val="bottom"/>
            <w:hideMark/>
          </w:tcPr>
          <w:p w14:paraId="136BB8E9" w14:textId="77777777" w:rsidR="00677577" w:rsidRPr="001253CF" w:rsidRDefault="00677577" w:rsidP="001253CF">
            <w:pPr>
              <w:jc w:val="right"/>
              <w:rPr>
                <w:sz w:val="20"/>
                <w:szCs w:val="20"/>
              </w:rPr>
            </w:pPr>
            <w:r w:rsidRPr="001253CF">
              <w:rPr>
                <w:sz w:val="20"/>
                <w:szCs w:val="20"/>
              </w:rPr>
              <w:t>21.3%</w:t>
            </w:r>
          </w:p>
        </w:tc>
        <w:tc>
          <w:tcPr>
            <w:tcW w:w="1477" w:type="dxa"/>
            <w:tcBorders>
              <w:top w:val="nil"/>
              <w:left w:val="nil"/>
              <w:bottom w:val="nil"/>
              <w:right w:val="nil"/>
            </w:tcBorders>
            <w:vAlign w:val="bottom"/>
            <w:hideMark/>
          </w:tcPr>
          <w:p w14:paraId="26A17EF7" w14:textId="77777777" w:rsidR="00677577" w:rsidRPr="001253CF" w:rsidRDefault="00677577" w:rsidP="001253CF">
            <w:pPr>
              <w:jc w:val="right"/>
              <w:rPr>
                <w:sz w:val="20"/>
                <w:szCs w:val="20"/>
              </w:rPr>
            </w:pPr>
            <w:r w:rsidRPr="001253CF">
              <w:rPr>
                <w:sz w:val="20"/>
                <w:szCs w:val="20"/>
              </w:rPr>
              <w:t>16.1%</w:t>
            </w:r>
          </w:p>
        </w:tc>
        <w:tc>
          <w:tcPr>
            <w:tcW w:w="1477" w:type="dxa"/>
            <w:tcBorders>
              <w:top w:val="nil"/>
              <w:left w:val="nil"/>
              <w:bottom w:val="nil"/>
              <w:right w:val="nil"/>
            </w:tcBorders>
            <w:vAlign w:val="bottom"/>
            <w:hideMark/>
          </w:tcPr>
          <w:p w14:paraId="1C9085AD" w14:textId="77777777" w:rsidR="00677577" w:rsidRPr="001253CF" w:rsidRDefault="00677577" w:rsidP="001253CF">
            <w:pPr>
              <w:jc w:val="right"/>
              <w:rPr>
                <w:sz w:val="20"/>
                <w:szCs w:val="20"/>
              </w:rPr>
            </w:pPr>
            <w:r w:rsidRPr="001253CF">
              <w:rPr>
                <w:sz w:val="20"/>
                <w:szCs w:val="20"/>
              </w:rPr>
              <w:t>41.5%</w:t>
            </w:r>
          </w:p>
        </w:tc>
        <w:tc>
          <w:tcPr>
            <w:tcW w:w="1478" w:type="dxa"/>
            <w:tcBorders>
              <w:top w:val="nil"/>
              <w:left w:val="nil"/>
              <w:bottom w:val="nil"/>
              <w:right w:val="single" w:sz="4" w:space="0" w:color="auto"/>
            </w:tcBorders>
            <w:vAlign w:val="bottom"/>
            <w:hideMark/>
          </w:tcPr>
          <w:p w14:paraId="6F64FD4F" w14:textId="77777777" w:rsidR="00677577" w:rsidRPr="001253CF" w:rsidRDefault="00677577" w:rsidP="001253CF">
            <w:pPr>
              <w:jc w:val="right"/>
              <w:rPr>
                <w:sz w:val="20"/>
                <w:szCs w:val="20"/>
              </w:rPr>
            </w:pPr>
            <w:r w:rsidRPr="001253CF">
              <w:rPr>
                <w:sz w:val="20"/>
                <w:szCs w:val="20"/>
              </w:rPr>
              <w:t>6.4%</w:t>
            </w:r>
          </w:p>
        </w:tc>
      </w:tr>
      <w:tr w:rsidR="00677577" w:rsidRPr="00236247" w14:paraId="7E6EF06D" w14:textId="77777777">
        <w:trPr>
          <w:trHeight w:val="309"/>
        </w:trPr>
        <w:tc>
          <w:tcPr>
            <w:tcW w:w="2131" w:type="dxa"/>
            <w:tcBorders>
              <w:top w:val="nil"/>
              <w:left w:val="single" w:sz="4" w:space="0" w:color="auto"/>
              <w:bottom w:val="single" w:sz="4" w:space="0" w:color="auto"/>
              <w:right w:val="nil"/>
            </w:tcBorders>
            <w:noWrap/>
            <w:vAlign w:val="bottom"/>
            <w:hideMark/>
          </w:tcPr>
          <w:p w14:paraId="6A2F7CB2" w14:textId="77777777" w:rsidR="00677577" w:rsidRPr="001253CF" w:rsidRDefault="00677577">
            <w:pPr>
              <w:rPr>
                <w:sz w:val="20"/>
                <w:szCs w:val="20"/>
              </w:rPr>
            </w:pPr>
            <w:r w:rsidRPr="001253CF">
              <w:rPr>
                <w:sz w:val="20"/>
                <w:szCs w:val="20"/>
              </w:rPr>
              <w:t>2023</w:t>
            </w:r>
          </w:p>
        </w:tc>
        <w:tc>
          <w:tcPr>
            <w:tcW w:w="1477" w:type="dxa"/>
            <w:tcBorders>
              <w:top w:val="nil"/>
              <w:left w:val="nil"/>
              <w:bottom w:val="single" w:sz="4" w:space="0" w:color="auto"/>
              <w:right w:val="nil"/>
            </w:tcBorders>
            <w:noWrap/>
            <w:vAlign w:val="bottom"/>
            <w:hideMark/>
          </w:tcPr>
          <w:p w14:paraId="3ACFAA68" w14:textId="77777777" w:rsidR="00677577" w:rsidRPr="001253CF" w:rsidRDefault="00677577" w:rsidP="001253CF">
            <w:pPr>
              <w:jc w:val="right"/>
              <w:rPr>
                <w:sz w:val="20"/>
                <w:szCs w:val="20"/>
              </w:rPr>
            </w:pPr>
            <w:r w:rsidRPr="001253CF">
              <w:rPr>
                <w:sz w:val="20"/>
                <w:szCs w:val="20"/>
              </w:rPr>
              <w:t>6.9%</w:t>
            </w:r>
          </w:p>
        </w:tc>
        <w:tc>
          <w:tcPr>
            <w:tcW w:w="1477" w:type="dxa"/>
            <w:tcBorders>
              <w:top w:val="nil"/>
              <w:left w:val="nil"/>
              <w:bottom w:val="single" w:sz="4" w:space="0" w:color="auto"/>
              <w:right w:val="nil"/>
            </w:tcBorders>
            <w:noWrap/>
            <w:vAlign w:val="bottom"/>
            <w:hideMark/>
          </w:tcPr>
          <w:p w14:paraId="4BC92748" w14:textId="77777777" w:rsidR="00677577" w:rsidRPr="001253CF" w:rsidRDefault="00677577" w:rsidP="001253CF">
            <w:pPr>
              <w:jc w:val="right"/>
              <w:rPr>
                <w:sz w:val="20"/>
                <w:szCs w:val="20"/>
              </w:rPr>
            </w:pPr>
            <w:r w:rsidRPr="001253CF">
              <w:rPr>
                <w:sz w:val="20"/>
                <w:szCs w:val="20"/>
              </w:rPr>
              <w:t>24.5%</w:t>
            </w:r>
          </w:p>
        </w:tc>
        <w:tc>
          <w:tcPr>
            <w:tcW w:w="1477" w:type="dxa"/>
            <w:tcBorders>
              <w:top w:val="nil"/>
              <w:left w:val="nil"/>
              <w:bottom w:val="single" w:sz="4" w:space="0" w:color="auto"/>
              <w:right w:val="nil"/>
            </w:tcBorders>
            <w:noWrap/>
            <w:vAlign w:val="bottom"/>
            <w:hideMark/>
          </w:tcPr>
          <w:p w14:paraId="7EF4C447" w14:textId="77777777" w:rsidR="00677577" w:rsidRPr="001253CF" w:rsidRDefault="00677577" w:rsidP="001253CF">
            <w:pPr>
              <w:jc w:val="right"/>
              <w:rPr>
                <w:sz w:val="20"/>
                <w:szCs w:val="20"/>
              </w:rPr>
            </w:pPr>
            <w:r w:rsidRPr="001253CF">
              <w:rPr>
                <w:sz w:val="20"/>
                <w:szCs w:val="20"/>
              </w:rPr>
              <w:t>19.8%</w:t>
            </w:r>
          </w:p>
        </w:tc>
        <w:tc>
          <w:tcPr>
            <w:tcW w:w="1477" w:type="dxa"/>
            <w:tcBorders>
              <w:top w:val="nil"/>
              <w:left w:val="nil"/>
              <w:bottom w:val="single" w:sz="4" w:space="0" w:color="auto"/>
              <w:right w:val="nil"/>
            </w:tcBorders>
            <w:vAlign w:val="bottom"/>
            <w:hideMark/>
          </w:tcPr>
          <w:p w14:paraId="0F1AD0CE" w14:textId="77777777" w:rsidR="00677577" w:rsidRPr="001253CF" w:rsidRDefault="00677577" w:rsidP="001253CF">
            <w:pPr>
              <w:jc w:val="right"/>
              <w:rPr>
                <w:sz w:val="20"/>
                <w:szCs w:val="20"/>
              </w:rPr>
            </w:pPr>
            <w:r w:rsidRPr="001253CF">
              <w:rPr>
                <w:sz w:val="20"/>
                <w:szCs w:val="20"/>
              </w:rPr>
              <w:t>17.8%</w:t>
            </w:r>
          </w:p>
        </w:tc>
        <w:tc>
          <w:tcPr>
            <w:tcW w:w="1477" w:type="dxa"/>
            <w:tcBorders>
              <w:top w:val="nil"/>
              <w:left w:val="nil"/>
              <w:bottom w:val="single" w:sz="4" w:space="0" w:color="auto"/>
              <w:right w:val="nil"/>
            </w:tcBorders>
            <w:vAlign w:val="bottom"/>
            <w:hideMark/>
          </w:tcPr>
          <w:p w14:paraId="12C92FCD" w14:textId="77777777" w:rsidR="00677577" w:rsidRPr="001253CF" w:rsidRDefault="00677577" w:rsidP="001253CF">
            <w:pPr>
              <w:jc w:val="right"/>
              <w:rPr>
                <w:sz w:val="20"/>
                <w:szCs w:val="20"/>
              </w:rPr>
            </w:pPr>
            <w:r w:rsidRPr="001253CF">
              <w:rPr>
                <w:sz w:val="20"/>
                <w:szCs w:val="20"/>
              </w:rPr>
              <w:t>22.1%</w:t>
            </w:r>
          </w:p>
        </w:tc>
        <w:tc>
          <w:tcPr>
            <w:tcW w:w="1477" w:type="dxa"/>
            <w:tcBorders>
              <w:top w:val="nil"/>
              <w:left w:val="nil"/>
              <w:bottom w:val="single" w:sz="4" w:space="0" w:color="auto"/>
              <w:right w:val="nil"/>
            </w:tcBorders>
            <w:vAlign w:val="bottom"/>
            <w:hideMark/>
          </w:tcPr>
          <w:p w14:paraId="4B3B9175" w14:textId="77777777" w:rsidR="00677577" w:rsidRPr="001253CF" w:rsidRDefault="00677577" w:rsidP="001253CF">
            <w:pPr>
              <w:jc w:val="right"/>
              <w:rPr>
                <w:sz w:val="20"/>
                <w:szCs w:val="20"/>
              </w:rPr>
            </w:pPr>
            <w:r w:rsidRPr="001253CF">
              <w:rPr>
                <w:sz w:val="20"/>
                <w:szCs w:val="20"/>
              </w:rPr>
              <w:t>16.0%</w:t>
            </w:r>
          </w:p>
        </w:tc>
        <w:tc>
          <w:tcPr>
            <w:tcW w:w="1477" w:type="dxa"/>
            <w:tcBorders>
              <w:top w:val="nil"/>
              <w:left w:val="nil"/>
              <w:bottom w:val="single" w:sz="4" w:space="0" w:color="auto"/>
              <w:right w:val="nil"/>
            </w:tcBorders>
            <w:vAlign w:val="bottom"/>
            <w:hideMark/>
          </w:tcPr>
          <w:p w14:paraId="47480201" w14:textId="77777777" w:rsidR="00677577" w:rsidRPr="001253CF" w:rsidRDefault="00677577" w:rsidP="001253CF">
            <w:pPr>
              <w:jc w:val="right"/>
              <w:rPr>
                <w:sz w:val="20"/>
                <w:szCs w:val="20"/>
              </w:rPr>
            </w:pPr>
            <w:r w:rsidRPr="001253CF">
              <w:rPr>
                <w:sz w:val="20"/>
                <w:szCs w:val="20"/>
              </w:rPr>
              <w:t>40.8%</w:t>
            </w:r>
          </w:p>
        </w:tc>
        <w:tc>
          <w:tcPr>
            <w:tcW w:w="1478" w:type="dxa"/>
            <w:tcBorders>
              <w:top w:val="nil"/>
              <w:left w:val="nil"/>
              <w:bottom w:val="single" w:sz="4" w:space="0" w:color="auto"/>
              <w:right w:val="single" w:sz="4" w:space="0" w:color="auto"/>
            </w:tcBorders>
            <w:vAlign w:val="bottom"/>
            <w:hideMark/>
          </w:tcPr>
          <w:p w14:paraId="3081CBA9" w14:textId="77777777" w:rsidR="00677577" w:rsidRPr="001253CF" w:rsidRDefault="00677577" w:rsidP="001253CF">
            <w:pPr>
              <w:jc w:val="right"/>
              <w:rPr>
                <w:sz w:val="20"/>
                <w:szCs w:val="20"/>
              </w:rPr>
            </w:pPr>
            <w:r w:rsidRPr="001253CF">
              <w:rPr>
                <w:sz w:val="20"/>
                <w:szCs w:val="20"/>
              </w:rPr>
              <w:t>7.9%</w:t>
            </w:r>
          </w:p>
        </w:tc>
      </w:tr>
    </w:tbl>
    <w:p w14:paraId="2906228B" w14:textId="77777777" w:rsidR="0011475D" w:rsidRDefault="00677577" w:rsidP="00677577">
      <w:pPr>
        <w:pStyle w:val="Source"/>
      </w:pPr>
      <w:r w:rsidRPr="00167CB8">
        <w:rPr>
          <w:b/>
          <w:bCs/>
        </w:rPr>
        <w:t>Source:</w:t>
      </w:r>
      <w:r w:rsidRPr="00167CB8">
        <w:t xml:space="preserve"> HILDA, waves 12 to 23. Sample: employees. Estimates weighted to reflect population totals.</w:t>
      </w:r>
    </w:p>
    <w:p w14:paraId="351203DF" w14:textId="62E96E15" w:rsidR="00677577" w:rsidRPr="00167CB8" w:rsidRDefault="00677577" w:rsidP="00677577">
      <w:pPr>
        <w:sectPr w:rsidR="00677577" w:rsidRPr="00167CB8" w:rsidSect="00677577">
          <w:pgSz w:w="16838" w:h="11906" w:orient="landscape"/>
          <w:pgMar w:top="1440" w:right="1440" w:bottom="1440" w:left="1440" w:header="708" w:footer="708" w:gutter="0"/>
          <w:cols w:space="720"/>
        </w:sectPr>
      </w:pPr>
      <w:bookmarkStart w:id="834" w:name="_Ref184404480"/>
      <w:r w:rsidRPr="00167CB8">
        <w:br w:type="page"/>
      </w:r>
    </w:p>
    <w:bookmarkEnd w:id="834"/>
    <w:p w14:paraId="0F2B4BA2" w14:textId="77777777" w:rsidR="00677577" w:rsidRPr="00167CB8" w:rsidRDefault="00677577" w:rsidP="00677577">
      <w:pPr>
        <w:pStyle w:val="Heading5"/>
      </w:pPr>
      <w:r w:rsidRPr="00167CB8">
        <w:lastRenderedPageBreak/>
        <w:t>2.6.2 Flexibility to balance work and non-work commitments</w:t>
      </w:r>
    </w:p>
    <w:p w14:paraId="4A29A015" w14:textId="58CF7B75" w:rsidR="0011475D" w:rsidRDefault="00677577" w:rsidP="00677577">
      <w:r w:rsidRPr="001253CF">
        <w:t xml:space="preserve">Figure </w:t>
      </w:r>
      <w:r w:rsidR="00365C93" w:rsidRPr="001253CF">
        <w:t>30</w:t>
      </w:r>
      <w:r w:rsidRPr="00A32FB1">
        <w:t xml:space="preserve"> reports the extent to which employees are satisfied with their ability to balance work</w:t>
      </w:r>
      <w:r w:rsidRPr="00167CB8">
        <w:t xml:space="preserve"> and non-work commitments. The scale ranges from 0 (totally dissatisfied) to 10 (totally satisfied). As shown, since COVID-19 there has been a marked increase in the share reporting that they are satisfied. This may relate to the increased ability among some employees to work at home.</w:t>
      </w:r>
    </w:p>
    <w:p w14:paraId="248E9C2A" w14:textId="547BAA28" w:rsidR="0011475D" w:rsidRDefault="00677577" w:rsidP="00677577">
      <w:r w:rsidRPr="001253CF">
        <w:t xml:space="preserve">Figure </w:t>
      </w:r>
      <w:r w:rsidR="00365C93" w:rsidRPr="001253CF">
        <w:t>31</w:t>
      </w:r>
      <w:r w:rsidRPr="00A32FB1">
        <w:t xml:space="preserve"> shows</w:t>
      </w:r>
      <w:r w:rsidRPr="00167CB8">
        <w:t xml:space="preserve"> that in 2012 around 15% of employees worked some or all their usual hours in their main job at home. By 2023 this had increased to around 31%.</w:t>
      </w:r>
    </w:p>
    <w:p w14:paraId="646C82F5" w14:textId="532EE9FB" w:rsidR="00677577" w:rsidRPr="00167CB8" w:rsidRDefault="00365C93" w:rsidP="007F380D">
      <w:pPr>
        <w:pStyle w:val="Caption"/>
      </w:pPr>
      <w:bookmarkStart w:id="835" w:name="_Toc186991783"/>
      <w:bookmarkStart w:id="836" w:name="_Toc189310816"/>
      <w:bookmarkStart w:id="837" w:name="_Toc194251528"/>
      <w:r>
        <w:t xml:space="preserve">Figure </w:t>
      </w:r>
      <w:r>
        <w:fldChar w:fldCharType="begin"/>
      </w:r>
      <w:r>
        <w:instrText xml:space="preserve"> SEQ Figure \* ARABIC </w:instrText>
      </w:r>
      <w:r>
        <w:fldChar w:fldCharType="separate"/>
      </w:r>
      <w:r w:rsidR="00DE5F5E">
        <w:rPr>
          <w:noProof/>
        </w:rPr>
        <w:t>30</w:t>
      </w:r>
      <w:r>
        <w:fldChar w:fldCharType="end"/>
      </w:r>
      <w:r>
        <w:t xml:space="preserve">: </w:t>
      </w:r>
      <w:r w:rsidR="00677577" w:rsidRPr="00167CB8">
        <w:t>Perceived satisfaction with ability to balance work and non-work commitments, employees, Australia</w:t>
      </w:r>
      <w:bookmarkEnd w:id="835"/>
      <w:bookmarkEnd w:id="836"/>
      <w:bookmarkEnd w:id="837"/>
    </w:p>
    <w:p w14:paraId="31E8DE40" w14:textId="57BA046C" w:rsidR="00677577" w:rsidRPr="00167CB8" w:rsidRDefault="00677577" w:rsidP="00677577">
      <w:r w:rsidRPr="00167CB8">
        <w:rPr>
          <w:noProof/>
        </w:rPr>
        <w:drawing>
          <wp:inline distT="0" distB="0" distL="0" distR="0" wp14:anchorId="1622AFC0" wp14:editId="1B55F9A3">
            <wp:extent cx="5731510" cy="3750945"/>
            <wp:effectExtent l="0" t="0" r="2540" b="1905"/>
            <wp:docPr id="29475386" name="Picture 61" descr="A bar chart of perceived satisfaction with ability to balance work and non-work commitments.&#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75386" name="Picture 61" descr="A bar chart of perceived satisfaction with ability to balance work and non-work commitments.&#10;&#10;See alt-text following the sourc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31510" cy="3750945"/>
                    </a:xfrm>
                    <a:prstGeom prst="rect">
                      <a:avLst/>
                    </a:prstGeom>
                    <a:noFill/>
                    <a:ln>
                      <a:noFill/>
                    </a:ln>
                  </pic:spPr>
                </pic:pic>
              </a:graphicData>
            </a:graphic>
          </wp:inline>
        </w:drawing>
      </w:r>
    </w:p>
    <w:p w14:paraId="4DA310A5" w14:textId="77777777" w:rsidR="00677577" w:rsidRPr="00167CB8" w:rsidRDefault="00677577" w:rsidP="00677577">
      <w:pPr>
        <w:pStyle w:val="Source"/>
      </w:pPr>
      <w:r w:rsidRPr="00167CB8">
        <w:rPr>
          <w:b/>
          <w:bCs/>
        </w:rPr>
        <w:t>Source:</w:t>
      </w:r>
      <w:r w:rsidRPr="00167CB8">
        <w:t xml:space="preserve"> HILDA, waves 12 to 23. Estimates weighted to reflect population totals.</w:t>
      </w:r>
    </w:p>
    <w:p w14:paraId="077C5A40" w14:textId="77777777" w:rsidR="0011475D" w:rsidRDefault="00677577" w:rsidP="00677577">
      <w:pPr>
        <w:pStyle w:val="Source"/>
      </w:pPr>
      <w:bookmarkStart w:id="838" w:name="_Ref184404512"/>
      <w:r w:rsidRPr="00167CB8">
        <w:rPr>
          <w:b/>
          <w:bCs/>
        </w:rPr>
        <w:t>Alt-text:</w:t>
      </w:r>
      <w:r w:rsidRPr="00167CB8">
        <w:t xml:space="preserve"> A bar chart showing employee perceived satisfaction levels with ability to balance work and non-work commitments. In 2015 the mean response among employees, on a scale of 0 (low) to 10 (high), was 7.5. By 2023 this equivalent mean response had increased to just over 7.8, suggesting satisfaction levels are increasing.</w:t>
      </w:r>
    </w:p>
    <w:p w14:paraId="546F1656" w14:textId="37FD3238" w:rsidR="00677577" w:rsidRPr="00167CB8" w:rsidRDefault="00677577" w:rsidP="00677577">
      <w:pPr>
        <w:rPr>
          <w:i/>
          <w:iCs/>
        </w:rPr>
      </w:pPr>
      <w:r w:rsidRPr="00167CB8">
        <w:br w:type="page"/>
      </w:r>
    </w:p>
    <w:p w14:paraId="44B8B59D" w14:textId="59FA637F" w:rsidR="00677577" w:rsidRPr="00167CB8" w:rsidRDefault="00365C93" w:rsidP="007F380D">
      <w:pPr>
        <w:pStyle w:val="Caption"/>
      </w:pPr>
      <w:bookmarkStart w:id="839" w:name="_Toc186991784"/>
      <w:bookmarkStart w:id="840" w:name="_Toc189310817"/>
      <w:bookmarkStart w:id="841" w:name="_Toc194251529"/>
      <w:bookmarkEnd w:id="838"/>
      <w:r>
        <w:lastRenderedPageBreak/>
        <w:t xml:space="preserve">Figure </w:t>
      </w:r>
      <w:r>
        <w:fldChar w:fldCharType="begin"/>
      </w:r>
      <w:r>
        <w:instrText xml:space="preserve"> SEQ Figure \* ARABIC </w:instrText>
      </w:r>
      <w:r>
        <w:fldChar w:fldCharType="separate"/>
      </w:r>
      <w:r w:rsidR="00DE5F5E">
        <w:rPr>
          <w:noProof/>
        </w:rPr>
        <w:t>31</w:t>
      </w:r>
      <w:r>
        <w:fldChar w:fldCharType="end"/>
      </w:r>
      <w:r>
        <w:t xml:space="preserve">: </w:t>
      </w:r>
      <w:r w:rsidR="00677577" w:rsidRPr="00167CB8">
        <w:t>Share of employees who report being able to work some or all of their usual hours in their main job at home</w:t>
      </w:r>
      <w:bookmarkEnd w:id="839"/>
      <w:bookmarkEnd w:id="840"/>
      <w:r w:rsidR="007F4838">
        <w:t>, 2012 to 2023</w:t>
      </w:r>
      <w:bookmarkEnd w:id="841"/>
    </w:p>
    <w:p w14:paraId="7D1C0FBD" w14:textId="164879B4" w:rsidR="00677577" w:rsidRPr="00167CB8" w:rsidRDefault="00677577" w:rsidP="00677577">
      <w:r w:rsidRPr="00167CB8">
        <w:rPr>
          <w:noProof/>
        </w:rPr>
        <w:drawing>
          <wp:inline distT="0" distB="0" distL="0" distR="0" wp14:anchorId="2FAD31AE" wp14:editId="6BF2A38B">
            <wp:extent cx="5731510" cy="3750945"/>
            <wp:effectExtent l="0" t="0" r="2540" b="1905"/>
            <wp:docPr id="505263915" name="Picture 60" descr="A line chart of share of employees who report being able to work their usual hours in their main job at home.&#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263915" name="Picture 60" descr="A line chart of share of employees who report being able to work their usual hours in their main job at home.&#10;&#10;See alt-text following the sourc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31510" cy="3750945"/>
                    </a:xfrm>
                    <a:prstGeom prst="rect">
                      <a:avLst/>
                    </a:prstGeom>
                    <a:noFill/>
                    <a:ln>
                      <a:noFill/>
                    </a:ln>
                  </pic:spPr>
                </pic:pic>
              </a:graphicData>
            </a:graphic>
          </wp:inline>
        </w:drawing>
      </w:r>
    </w:p>
    <w:p w14:paraId="3894BF58" w14:textId="77777777" w:rsidR="00677577" w:rsidRPr="00167CB8" w:rsidRDefault="00677577" w:rsidP="00677577">
      <w:pPr>
        <w:pStyle w:val="Source"/>
      </w:pPr>
      <w:r w:rsidRPr="00167CB8">
        <w:rPr>
          <w:b/>
          <w:bCs/>
        </w:rPr>
        <w:t>Source:</w:t>
      </w:r>
      <w:r w:rsidRPr="00167CB8">
        <w:t xml:space="preserve"> HILDA, waves 12 to 23. Estimates weighted to reflect population totals.</w:t>
      </w:r>
    </w:p>
    <w:p w14:paraId="71FEA075" w14:textId="77777777" w:rsidR="0011475D" w:rsidRDefault="00677577" w:rsidP="00677577">
      <w:pPr>
        <w:pStyle w:val="Source"/>
      </w:pPr>
      <w:r w:rsidRPr="00167CB8">
        <w:rPr>
          <w:b/>
          <w:bCs/>
        </w:rPr>
        <w:t>Alt-text:</w:t>
      </w:r>
      <w:r w:rsidRPr="00167CB8">
        <w:t xml:space="preserve"> A line chart showing the share of employees able to work some or all of their usual hours of work per week (main job) at home. Since 2019 and the effects of COVID-19 there has been a significant jump in the share of workers who may work at home. In 2023 around 30% of all employees could work some or all hours at home.</w:t>
      </w:r>
    </w:p>
    <w:p w14:paraId="0FAD13E9" w14:textId="13F40A1A" w:rsidR="00677577" w:rsidRPr="00365C93" w:rsidRDefault="00677577" w:rsidP="00365C93">
      <w:pPr>
        <w:pStyle w:val="Heading5"/>
      </w:pPr>
      <w:r w:rsidRPr="001253CF">
        <w:t>2</w:t>
      </w:r>
      <w:r w:rsidRPr="00365C93">
        <w:t>.6.3 Fixed</w:t>
      </w:r>
      <w:r w:rsidR="00800964">
        <w:t xml:space="preserve"> </w:t>
      </w:r>
      <w:r w:rsidRPr="00365C93">
        <w:t>term contracts</w:t>
      </w:r>
    </w:p>
    <w:p w14:paraId="7DE17F46" w14:textId="63478F4D" w:rsidR="00677577" w:rsidRPr="00167CB8" w:rsidRDefault="00677577" w:rsidP="00677577">
      <w:pPr>
        <w:rPr>
          <w:i/>
          <w:iCs/>
        </w:rPr>
      </w:pPr>
      <w:r w:rsidRPr="001253CF">
        <w:t>Figures 3</w:t>
      </w:r>
      <w:r w:rsidR="00365C93" w:rsidRPr="001253CF">
        <w:t>2</w:t>
      </w:r>
      <w:r w:rsidRPr="001253CF">
        <w:t xml:space="preserve"> and 3</w:t>
      </w:r>
      <w:r w:rsidR="00365C93" w:rsidRPr="001253CF">
        <w:t>3</w:t>
      </w:r>
      <w:r w:rsidRPr="00A32FB1">
        <w:t xml:space="preserve"> show trends in fixed</w:t>
      </w:r>
      <w:r w:rsidR="001F2B2A">
        <w:t xml:space="preserve"> </w:t>
      </w:r>
      <w:r w:rsidRPr="00A32FB1">
        <w:t>term employment. Between 2001 and 2023 there has</w:t>
      </w:r>
      <w:r w:rsidRPr="00167CB8">
        <w:t xml:space="preserve"> been a 58% growth in the total number of employees on fixed</w:t>
      </w:r>
      <w:r w:rsidR="001F2B2A">
        <w:t xml:space="preserve"> </w:t>
      </w:r>
      <w:r w:rsidRPr="00167CB8">
        <w:t>term contracts. The growth has been faster among women (64% growth) compared to men (52% growth) and parallels growth in the education and training sector. Between 2022 and 2023 there was a sharp growth in the number of men employed under a fixed</w:t>
      </w:r>
      <w:r w:rsidR="001F2B2A">
        <w:t xml:space="preserve"> </w:t>
      </w:r>
      <w:r w:rsidRPr="00167CB8">
        <w:t>term contract. As a share of all employees, male fixed</w:t>
      </w:r>
      <w:r w:rsidR="001F2B2A">
        <w:t xml:space="preserve"> </w:t>
      </w:r>
      <w:r w:rsidRPr="00167CB8">
        <w:t xml:space="preserve">term contracts increased from 7% in 2022 to 9% in 2023. </w:t>
      </w:r>
      <w:r w:rsidRPr="00167CB8">
        <w:rPr>
          <w:i/>
          <w:iCs/>
        </w:rPr>
        <w:br w:type="page"/>
      </w:r>
    </w:p>
    <w:p w14:paraId="5FA1A566" w14:textId="324DBE3C" w:rsidR="0011475D" w:rsidRDefault="00365C93" w:rsidP="007F380D">
      <w:pPr>
        <w:pStyle w:val="Caption"/>
      </w:pPr>
      <w:bookmarkStart w:id="842" w:name="_Toc186991785"/>
      <w:bookmarkStart w:id="843" w:name="_Toc189310818"/>
      <w:bookmarkStart w:id="844" w:name="_Toc194251530"/>
      <w:r>
        <w:lastRenderedPageBreak/>
        <w:t xml:space="preserve">Figure </w:t>
      </w:r>
      <w:r>
        <w:fldChar w:fldCharType="begin"/>
      </w:r>
      <w:r>
        <w:instrText xml:space="preserve"> SEQ Figure \* ARABIC </w:instrText>
      </w:r>
      <w:r>
        <w:fldChar w:fldCharType="separate"/>
      </w:r>
      <w:r w:rsidR="00DE5F5E">
        <w:rPr>
          <w:noProof/>
        </w:rPr>
        <w:t>32</w:t>
      </w:r>
      <w:r>
        <w:fldChar w:fldCharType="end"/>
      </w:r>
      <w:r>
        <w:t xml:space="preserve">: </w:t>
      </w:r>
      <w:r w:rsidR="00677577" w:rsidRPr="00167CB8">
        <w:t>Trends in the number of employees who are employed via a fixed</w:t>
      </w:r>
      <w:r w:rsidR="001F2B2A">
        <w:t xml:space="preserve"> </w:t>
      </w:r>
      <w:r w:rsidR="00677577" w:rsidRPr="00167CB8">
        <w:t>term contract, by gender</w:t>
      </w:r>
      <w:bookmarkEnd w:id="842"/>
      <w:bookmarkEnd w:id="843"/>
      <w:r w:rsidR="007F4838">
        <w:t>, 2001 to 2023</w:t>
      </w:r>
      <w:bookmarkEnd w:id="844"/>
    </w:p>
    <w:p w14:paraId="7EDAB1BD" w14:textId="5BA18CC1" w:rsidR="00677577" w:rsidRPr="00167CB8" w:rsidRDefault="00677577" w:rsidP="00677577">
      <w:pPr>
        <w:rPr>
          <w:i/>
          <w:iCs/>
        </w:rPr>
      </w:pPr>
      <w:r w:rsidRPr="00167CB8">
        <w:rPr>
          <w:noProof/>
        </w:rPr>
        <w:drawing>
          <wp:inline distT="0" distB="0" distL="0" distR="0" wp14:anchorId="1B556D37" wp14:editId="53D432EF">
            <wp:extent cx="5731510" cy="3750945"/>
            <wp:effectExtent l="0" t="0" r="2540" b="1905"/>
            <wp:docPr id="1927185314" name="Picture 59" descr="A line chart of trends in the number of employees who are employed by a fixed term contract.&#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185314" name="Picture 59" descr="A line chart of trends in the number of employees who are employed by a fixed term contract.&#10;&#10;See alt-text following the sourc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31510" cy="3750945"/>
                    </a:xfrm>
                    <a:prstGeom prst="rect">
                      <a:avLst/>
                    </a:prstGeom>
                    <a:noFill/>
                    <a:ln>
                      <a:noFill/>
                    </a:ln>
                  </pic:spPr>
                </pic:pic>
              </a:graphicData>
            </a:graphic>
          </wp:inline>
        </w:drawing>
      </w:r>
    </w:p>
    <w:p w14:paraId="26E19D64" w14:textId="77777777" w:rsidR="00677577" w:rsidRPr="00167CB8" w:rsidRDefault="00677577" w:rsidP="00677577">
      <w:pPr>
        <w:pStyle w:val="Source"/>
      </w:pPr>
      <w:r w:rsidRPr="00167CB8">
        <w:rPr>
          <w:b/>
          <w:bCs/>
        </w:rPr>
        <w:t>Source:</w:t>
      </w:r>
      <w:r w:rsidRPr="00167CB8">
        <w:t xml:space="preserve"> HILDA, waves 1</w:t>
      </w:r>
      <w:r w:rsidRPr="00167CB8">
        <w:rPr>
          <w:rFonts w:ascii="Symbol" w:eastAsia="Symbol" w:hAnsi="Symbol" w:cs="Symbol"/>
        </w:rPr>
        <w:sym w:font="Symbol" w:char="F02D"/>
      </w:r>
      <w:r w:rsidRPr="00167CB8">
        <w:t>23.</w:t>
      </w:r>
    </w:p>
    <w:p w14:paraId="385FD760" w14:textId="4135B0BE" w:rsidR="00677577" w:rsidRPr="00167CB8" w:rsidRDefault="00677577" w:rsidP="00677577">
      <w:pPr>
        <w:pStyle w:val="Source"/>
      </w:pPr>
      <w:r w:rsidRPr="00167CB8">
        <w:rPr>
          <w:b/>
          <w:bCs/>
        </w:rPr>
        <w:t>Alt-text:</w:t>
      </w:r>
      <w:r w:rsidRPr="00167CB8">
        <w:t xml:space="preserve"> A line chart showing the number of men and women who are employees and engaged using a fixed</w:t>
      </w:r>
      <w:r w:rsidR="001F2B2A">
        <w:t xml:space="preserve"> </w:t>
      </w:r>
      <w:r w:rsidRPr="00167CB8">
        <w:t>term contract. In 2001 there were 326,148 female employees on fixed</w:t>
      </w:r>
      <w:r w:rsidR="001F2B2A">
        <w:t xml:space="preserve"> </w:t>
      </w:r>
      <w:r w:rsidRPr="00167CB8">
        <w:t>term contracts. By 2023 this number stood at 533,875 (a 64% increase). The number of employees on fixed</w:t>
      </w:r>
      <w:r w:rsidR="001F2B2A">
        <w:t xml:space="preserve"> </w:t>
      </w:r>
      <w:r w:rsidRPr="00167CB8">
        <w:t>term contracts who work in the education and training sector peaked in 2017 at 278,950</w:t>
      </w:r>
      <w:r w:rsidR="000742C4">
        <w:t xml:space="preserve"> (</w:t>
      </w:r>
      <w:r w:rsidR="0033096F">
        <w:t>as given by the ‘person-ed’ line with markers)</w:t>
      </w:r>
      <w:r w:rsidRPr="00167CB8">
        <w:t>.</w:t>
      </w:r>
    </w:p>
    <w:p w14:paraId="4FD653BE" w14:textId="77777777" w:rsidR="00677577" w:rsidRPr="00167CB8" w:rsidRDefault="00677577" w:rsidP="00677577">
      <w:pPr>
        <w:rPr>
          <w:i/>
          <w:iCs/>
        </w:rPr>
      </w:pPr>
      <w:r w:rsidRPr="00167CB8">
        <w:br w:type="page"/>
      </w:r>
    </w:p>
    <w:p w14:paraId="6C578001" w14:textId="7F76F996" w:rsidR="00677577" w:rsidRPr="00167CB8" w:rsidRDefault="00365C93" w:rsidP="007F380D">
      <w:pPr>
        <w:pStyle w:val="Caption"/>
      </w:pPr>
      <w:bookmarkStart w:id="845" w:name="_Toc186991786"/>
      <w:bookmarkStart w:id="846" w:name="_Toc189310819"/>
      <w:bookmarkStart w:id="847" w:name="_Toc194251531"/>
      <w:r>
        <w:lastRenderedPageBreak/>
        <w:t xml:space="preserve">Figure </w:t>
      </w:r>
      <w:r>
        <w:fldChar w:fldCharType="begin"/>
      </w:r>
      <w:r>
        <w:instrText xml:space="preserve"> SEQ Figure \* ARABIC </w:instrText>
      </w:r>
      <w:r>
        <w:fldChar w:fldCharType="separate"/>
      </w:r>
      <w:r w:rsidR="00DE5F5E">
        <w:rPr>
          <w:noProof/>
        </w:rPr>
        <w:t>33</w:t>
      </w:r>
      <w:r>
        <w:fldChar w:fldCharType="end"/>
      </w:r>
      <w:r>
        <w:t xml:space="preserve">: </w:t>
      </w:r>
      <w:r w:rsidR="00677577" w:rsidRPr="00167CB8">
        <w:t>Trends in the share of employees who are on fixed</w:t>
      </w:r>
      <w:r w:rsidR="001F2B2A">
        <w:t xml:space="preserve"> </w:t>
      </w:r>
      <w:r w:rsidR="00677577" w:rsidRPr="00167CB8">
        <w:t>term contracts, by gender</w:t>
      </w:r>
      <w:bookmarkEnd w:id="845"/>
      <w:bookmarkEnd w:id="846"/>
      <w:r w:rsidR="007F4838">
        <w:t>, 2001 to 2023</w:t>
      </w:r>
      <w:bookmarkEnd w:id="847"/>
    </w:p>
    <w:p w14:paraId="73D69A59" w14:textId="7571B964" w:rsidR="00677577" w:rsidRPr="00167CB8" w:rsidRDefault="00677577" w:rsidP="00677577">
      <w:r w:rsidRPr="00167CB8">
        <w:rPr>
          <w:noProof/>
        </w:rPr>
        <w:drawing>
          <wp:inline distT="0" distB="0" distL="0" distR="0" wp14:anchorId="6A1F4440" wp14:editId="1A90FAC9">
            <wp:extent cx="5731510" cy="3750945"/>
            <wp:effectExtent l="0" t="0" r="2540" b="1905"/>
            <wp:docPr id="1636292976" name="Picture 58" descr="A line chart of trends in the share of employees who are on fixed term contracts.&#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292976" name="Picture 58" descr="A line chart of trends in the share of employees who are on fixed term contracts.&#10;&#10;See alt-text following the sourc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31510" cy="3750945"/>
                    </a:xfrm>
                    <a:prstGeom prst="rect">
                      <a:avLst/>
                    </a:prstGeom>
                    <a:noFill/>
                    <a:ln>
                      <a:noFill/>
                    </a:ln>
                  </pic:spPr>
                </pic:pic>
              </a:graphicData>
            </a:graphic>
          </wp:inline>
        </w:drawing>
      </w:r>
    </w:p>
    <w:p w14:paraId="0AEC4F6E" w14:textId="77777777" w:rsidR="00677577" w:rsidRPr="00167CB8" w:rsidRDefault="00677577" w:rsidP="00677577">
      <w:pPr>
        <w:pStyle w:val="Source"/>
      </w:pPr>
      <w:r w:rsidRPr="00167CB8">
        <w:rPr>
          <w:b/>
          <w:bCs/>
        </w:rPr>
        <w:t>Source:</w:t>
      </w:r>
      <w:r w:rsidRPr="00167CB8">
        <w:t xml:space="preserve"> HILDA, waves 1</w:t>
      </w:r>
      <w:r w:rsidRPr="00167CB8">
        <w:rPr>
          <w:rFonts w:ascii="Symbol" w:eastAsia="Symbol" w:hAnsi="Symbol" w:cs="Symbol"/>
        </w:rPr>
        <w:sym w:font="Symbol" w:char="F02D"/>
      </w:r>
      <w:r w:rsidRPr="00167CB8">
        <w:t>23.</w:t>
      </w:r>
    </w:p>
    <w:p w14:paraId="26AFF59F" w14:textId="40E0FF8F" w:rsidR="00677577" w:rsidRPr="00167CB8" w:rsidRDefault="00677577" w:rsidP="00677577">
      <w:pPr>
        <w:pStyle w:val="Source"/>
      </w:pPr>
      <w:r w:rsidRPr="00167CB8">
        <w:rPr>
          <w:b/>
          <w:bCs/>
        </w:rPr>
        <w:t>Alt-text:</w:t>
      </w:r>
      <w:r w:rsidRPr="00167CB8">
        <w:t xml:space="preserve"> A line chart showing the share of employees, by gender, who are on fixed</w:t>
      </w:r>
      <w:r w:rsidR="001F2B2A">
        <w:t xml:space="preserve"> </w:t>
      </w:r>
      <w:r w:rsidRPr="00167CB8">
        <w:t>term contracts. The share averaged 9% for men and 10% for women between 2001 and 2018. It peaked in 2019 among women at 12%. Since 2022 it has decline for women and increased, sharply, among men. In the education and training sector</w:t>
      </w:r>
      <w:r>
        <w:t xml:space="preserve"> (the blue line with markers)</w:t>
      </w:r>
      <w:r w:rsidRPr="00167CB8">
        <w:t xml:space="preserve"> the share</w:t>
      </w:r>
      <w:r>
        <w:t xml:space="preserve"> of persons engaged on a fixed term contract</w:t>
      </w:r>
      <w:r w:rsidRPr="00167CB8">
        <w:t xml:space="preserve"> peaked at 24% in 2017. </w:t>
      </w:r>
      <w:r>
        <w:t>In 2023 it was equal to 18%, significantly higher than the overall industry average of 9%.</w:t>
      </w:r>
    </w:p>
    <w:p w14:paraId="2A00E06D" w14:textId="509D1FBC" w:rsidR="0011475D" w:rsidRDefault="00677577" w:rsidP="00677577">
      <w:r w:rsidRPr="00A32FB1">
        <w:t xml:space="preserve">In </w:t>
      </w:r>
      <w:r w:rsidRPr="00361377">
        <w:t xml:space="preserve">Table </w:t>
      </w:r>
      <w:r w:rsidR="00B51818" w:rsidRPr="00361377">
        <w:t>3</w:t>
      </w:r>
      <w:r w:rsidR="00B51818">
        <w:t>8</w:t>
      </w:r>
      <w:r w:rsidR="00B51818" w:rsidRPr="00A32FB1">
        <w:t xml:space="preserve"> </w:t>
      </w:r>
      <w:r w:rsidRPr="00A32FB1">
        <w:t>the analysis focuses on understanding what share of fixed</w:t>
      </w:r>
      <w:r w:rsidR="001F2B2A">
        <w:t xml:space="preserve"> </w:t>
      </w:r>
      <w:r w:rsidRPr="00A32FB1">
        <w:t>term contract holders</w:t>
      </w:r>
      <w:r w:rsidRPr="00167CB8">
        <w:t xml:space="preserve"> earn above the high income threshold. In 2023</w:t>
      </w:r>
      <w:r w:rsidRPr="00167CB8">
        <w:rPr>
          <w:rFonts w:ascii="Symbol" w:eastAsia="Symbol" w:hAnsi="Symbol" w:cs="Symbol"/>
        </w:rPr>
        <w:t>-</w:t>
      </w:r>
      <w:r w:rsidRPr="00167CB8">
        <w:t>24 financial year, persons earning more than $167,500 on an annual basis were exempt from the new provisions in the Secure Jobs, Better Pay Act concerning limits on fixed</w:t>
      </w:r>
      <w:r w:rsidR="001F2B2A">
        <w:t xml:space="preserve"> </w:t>
      </w:r>
      <w:r w:rsidRPr="00167CB8">
        <w:t>term contracts. To estimate the share, hourly earnings in HILDA were computed as usual weekly earnings divided by usual hours worked. These were deflated into 2023 prices and then multiplied by 38 (for 38 hours) and 52 (for 52 weeks). A dummy variable was then created and set equal to 1 if a persons usual hourly earnings, on a full-time equivalent basis, exceeded the $167,500 threshold.</w:t>
      </w:r>
    </w:p>
    <w:p w14:paraId="7813EAD1" w14:textId="58C32BB5" w:rsidR="00677577" w:rsidRPr="00167CB8" w:rsidRDefault="00677577" w:rsidP="00677577">
      <w:r w:rsidRPr="00A32FB1">
        <w:t xml:space="preserve">The descriptive data in </w:t>
      </w:r>
      <w:r w:rsidRPr="00361377">
        <w:t xml:space="preserve">Table </w:t>
      </w:r>
      <w:r w:rsidR="00B51818" w:rsidRPr="00361377">
        <w:t>3</w:t>
      </w:r>
      <w:r w:rsidR="00B51818">
        <w:t>8</w:t>
      </w:r>
      <w:r w:rsidR="00B51818" w:rsidRPr="00A32FB1">
        <w:t xml:space="preserve"> </w:t>
      </w:r>
      <w:r w:rsidRPr="00A32FB1">
        <w:t>show</w:t>
      </w:r>
      <w:r w:rsidR="00A32FB1">
        <w:t>s</w:t>
      </w:r>
      <w:r w:rsidRPr="00A32FB1">
        <w:t xml:space="preserve"> that, over the 23 years of HILDA data (2001 to 2023), 10%</w:t>
      </w:r>
      <w:r w:rsidRPr="00167CB8">
        <w:t xml:space="preserve"> of all employees were on a fixed</w:t>
      </w:r>
      <w:r w:rsidR="001F2B2A">
        <w:t xml:space="preserve"> </w:t>
      </w:r>
      <w:r w:rsidRPr="00167CB8">
        <w:t>term contract. This falls to 9% among a sample where hourly earnings are below the threshold and rises to 14% for a sample where hourly earnings are above the threshold. The results are consistent with earlier findings showing that professionals have the greatest likelihood of being on a fixed</w:t>
      </w:r>
      <w:r w:rsidR="001F2B2A">
        <w:t xml:space="preserve"> </w:t>
      </w:r>
      <w:r w:rsidRPr="00167CB8">
        <w:t>term contract.</w:t>
      </w:r>
    </w:p>
    <w:p w14:paraId="2F245BB2" w14:textId="77777777" w:rsidR="00677577" w:rsidRDefault="00677577" w:rsidP="00677577">
      <w:pPr>
        <w:rPr>
          <w:rFonts w:cs="Calibri"/>
          <w:b/>
          <w:bCs/>
          <w:lang w:val="en-US"/>
        </w:rPr>
      </w:pPr>
      <w:bookmarkStart w:id="848" w:name="_Toc186991813"/>
      <w:bookmarkStart w:id="849" w:name="_Toc189310864"/>
      <w:r>
        <w:br w:type="page"/>
      </w:r>
    </w:p>
    <w:p w14:paraId="20DE9A9A" w14:textId="74906A9A" w:rsidR="00677577" w:rsidRPr="00167CB8" w:rsidRDefault="00365C93" w:rsidP="007F380D">
      <w:pPr>
        <w:pStyle w:val="Caption"/>
      </w:pPr>
      <w:bookmarkStart w:id="850" w:name="_Toc194251462"/>
      <w:r>
        <w:lastRenderedPageBreak/>
        <w:t xml:space="preserve">Table </w:t>
      </w:r>
      <w:r>
        <w:fldChar w:fldCharType="begin"/>
      </w:r>
      <w:r>
        <w:instrText xml:space="preserve"> SEQ Table \* ARABIC </w:instrText>
      </w:r>
      <w:r>
        <w:fldChar w:fldCharType="separate"/>
      </w:r>
      <w:r w:rsidR="00DE5F5E">
        <w:rPr>
          <w:noProof/>
        </w:rPr>
        <w:t>38</w:t>
      </w:r>
      <w:r>
        <w:fldChar w:fldCharType="end"/>
      </w:r>
      <w:r>
        <w:t xml:space="preserve">: </w:t>
      </w:r>
      <w:r w:rsidR="00677577" w:rsidRPr="00167CB8">
        <w:t>Share of fixed</w:t>
      </w:r>
      <w:r w:rsidR="001F2B2A">
        <w:t xml:space="preserve"> </w:t>
      </w:r>
      <w:r w:rsidR="00677577" w:rsidRPr="00167CB8">
        <w:t>term contract holders who earn over the high income threshold</w:t>
      </w:r>
      <w:r w:rsidR="007F380D">
        <w:t>, 2001 to 2023</w:t>
      </w:r>
      <w:bookmarkEnd w:id="848"/>
      <w:bookmarkEnd w:id="849"/>
      <w:bookmarkEnd w:id="850"/>
    </w:p>
    <w:tbl>
      <w:tblPr>
        <w:tblW w:w="892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25"/>
        <w:gridCol w:w="2815"/>
        <w:gridCol w:w="2157"/>
        <w:gridCol w:w="2131"/>
      </w:tblGrid>
      <w:tr w:rsidR="000277CA" w:rsidRPr="00167CB8" w14:paraId="4F8C791B" w14:textId="77777777" w:rsidTr="000277CA">
        <w:trPr>
          <w:trHeight w:val="630"/>
        </w:trPr>
        <w:tc>
          <w:tcPr>
            <w:tcW w:w="1825" w:type="dxa"/>
            <w:tcBorders>
              <w:top w:val="single" w:sz="4" w:space="0" w:color="auto"/>
              <w:bottom w:val="nil"/>
              <w:right w:val="single" w:sz="4" w:space="0" w:color="auto"/>
            </w:tcBorders>
            <w:noWrap/>
            <w:vAlign w:val="center"/>
            <w:hideMark/>
          </w:tcPr>
          <w:p w14:paraId="53EB4CB9" w14:textId="77777777" w:rsidR="000277CA" w:rsidRPr="00BE1A14" w:rsidRDefault="000277CA" w:rsidP="00990D5E">
            <w:pPr>
              <w:spacing w:line="240" w:lineRule="auto"/>
              <w:rPr>
                <w:sz w:val="20"/>
                <w:szCs w:val="20"/>
              </w:rPr>
            </w:pPr>
          </w:p>
        </w:tc>
        <w:tc>
          <w:tcPr>
            <w:tcW w:w="7103" w:type="dxa"/>
            <w:gridSpan w:val="3"/>
            <w:tcBorders>
              <w:top w:val="single" w:sz="4" w:space="0" w:color="auto"/>
              <w:left w:val="single" w:sz="4" w:space="0" w:color="auto"/>
              <w:bottom w:val="nil"/>
            </w:tcBorders>
            <w:noWrap/>
            <w:vAlign w:val="center"/>
            <w:hideMark/>
          </w:tcPr>
          <w:p w14:paraId="04EB3CE9" w14:textId="77777777" w:rsidR="000277CA" w:rsidRPr="00BE1A14" w:rsidRDefault="000277CA" w:rsidP="00990D5E">
            <w:pPr>
              <w:spacing w:line="240" w:lineRule="auto"/>
              <w:rPr>
                <w:b/>
                <w:sz w:val="20"/>
                <w:szCs w:val="20"/>
              </w:rPr>
            </w:pPr>
            <w:r w:rsidRPr="00BE1A14">
              <w:rPr>
                <w:b/>
                <w:sz w:val="20"/>
                <w:szCs w:val="20"/>
              </w:rPr>
              <w:t>Earns over $167,500 on an annual equivalent basis (in 2023 prices)</w:t>
            </w:r>
          </w:p>
        </w:tc>
      </w:tr>
      <w:tr w:rsidR="000277CA" w:rsidRPr="00167CB8" w14:paraId="0513B451" w14:textId="77777777" w:rsidTr="000277CA">
        <w:trPr>
          <w:trHeight w:val="318"/>
        </w:trPr>
        <w:tc>
          <w:tcPr>
            <w:tcW w:w="1825" w:type="dxa"/>
            <w:tcBorders>
              <w:top w:val="nil"/>
              <w:bottom w:val="single" w:sz="4" w:space="0" w:color="auto"/>
              <w:right w:val="single" w:sz="4" w:space="0" w:color="auto"/>
            </w:tcBorders>
            <w:noWrap/>
            <w:vAlign w:val="center"/>
            <w:hideMark/>
          </w:tcPr>
          <w:p w14:paraId="64907C58" w14:textId="77777777" w:rsidR="000277CA" w:rsidRPr="00990D5E" w:rsidRDefault="000277CA" w:rsidP="00130856">
            <w:pPr>
              <w:spacing w:line="240" w:lineRule="auto"/>
              <w:rPr>
                <w:sz w:val="20"/>
                <w:szCs w:val="20"/>
              </w:rPr>
            </w:pPr>
          </w:p>
        </w:tc>
        <w:tc>
          <w:tcPr>
            <w:tcW w:w="2815" w:type="dxa"/>
            <w:tcBorders>
              <w:top w:val="nil"/>
              <w:left w:val="single" w:sz="4" w:space="0" w:color="auto"/>
              <w:bottom w:val="single" w:sz="4" w:space="0" w:color="auto"/>
            </w:tcBorders>
            <w:noWrap/>
            <w:vAlign w:val="center"/>
            <w:hideMark/>
          </w:tcPr>
          <w:p w14:paraId="15FF2EC3" w14:textId="6EC9C952" w:rsidR="000277CA" w:rsidRPr="00990D5E" w:rsidRDefault="000277CA" w:rsidP="00130856">
            <w:pPr>
              <w:spacing w:line="240" w:lineRule="auto"/>
              <w:rPr>
                <w:b/>
                <w:sz w:val="20"/>
                <w:szCs w:val="20"/>
              </w:rPr>
            </w:pPr>
            <w:r w:rsidRPr="00990D5E">
              <w:rPr>
                <w:b/>
                <w:bCs/>
                <w:sz w:val="20"/>
                <w:szCs w:val="20"/>
              </w:rPr>
              <w:t>No</w:t>
            </w:r>
          </w:p>
        </w:tc>
        <w:tc>
          <w:tcPr>
            <w:tcW w:w="2157" w:type="dxa"/>
            <w:tcBorders>
              <w:top w:val="nil"/>
              <w:bottom w:val="single" w:sz="4" w:space="0" w:color="auto"/>
            </w:tcBorders>
            <w:noWrap/>
            <w:vAlign w:val="center"/>
            <w:hideMark/>
          </w:tcPr>
          <w:p w14:paraId="79B1ACCD" w14:textId="38B7F5E3" w:rsidR="000277CA" w:rsidRPr="00990D5E" w:rsidRDefault="000277CA" w:rsidP="00130856">
            <w:pPr>
              <w:spacing w:line="240" w:lineRule="auto"/>
              <w:rPr>
                <w:b/>
                <w:sz w:val="20"/>
                <w:szCs w:val="20"/>
              </w:rPr>
            </w:pPr>
            <w:r w:rsidRPr="00990D5E">
              <w:rPr>
                <w:b/>
                <w:bCs/>
                <w:sz w:val="20"/>
                <w:szCs w:val="20"/>
              </w:rPr>
              <w:t>Yes</w:t>
            </w:r>
          </w:p>
        </w:tc>
        <w:tc>
          <w:tcPr>
            <w:tcW w:w="2130" w:type="dxa"/>
            <w:tcBorders>
              <w:top w:val="nil"/>
              <w:bottom w:val="single" w:sz="4" w:space="0" w:color="auto"/>
            </w:tcBorders>
            <w:noWrap/>
            <w:vAlign w:val="center"/>
            <w:hideMark/>
          </w:tcPr>
          <w:p w14:paraId="303F3CFE" w14:textId="77777777" w:rsidR="000277CA" w:rsidRPr="00990D5E" w:rsidRDefault="000277CA" w:rsidP="00130856">
            <w:pPr>
              <w:spacing w:line="240" w:lineRule="auto"/>
              <w:rPr>
                <w:b/>
                <w:sz w:val="20"/>
                <w:szCs w:val="20"/>
              </w:rPr>
            </w:pPr>
            <w:r w:rsidRPr="00990D5E">
              <w:rPr>
                <w:b/>
                <w:sz w:val="20"/>
                <w:szCs w:val="20"/>
              </w:rPr>
              <w:t>Total employees</w:t>
            </w:r>
          </w:p>
        </w:tc>
      </w:tr>
      <w:tr w:rsidR="000277CA" w:rsidRPr="00167CB8" w14:paraId="6857841B" w14:textId="77777777" w:rsidTr="000277CA">
        <w:trPr>
          <w:trHeight w:val="318"/>
        </w:trPr>
        <w:tc>
          <w:tcPr>
            <w:tcW w:w="1825" w:type="dxa"/>
            <w:tcBorders>
              <w:right w:val="single" w:sz="4" w:space="0" w:color="auto"/>
            </w:tcBorders>
            <w:noWrap/>
            <w:vAlign w:val="center"/>
            <w:hideMark/>
          </w:tcPr>
          <w:p w14:paraId="1F646E7E" w14:textId="35A06901" w:rsidR="000277CA" w:rsidRPr="00130856" w:rsidRDefault="000277CA" w:rsidP="00130856">
            <w:pPr>
              <w:spacing w:line="240" w:lineRule="auto"/>
              <w:rPr>
                <w:b/>
                <w:sz w:val="20"/>
                <w:szCs w:val="20"/>
              </w:rPr>
            </w:pPr>
            <w:r>
              <w:rPr>
                <w:b/>
                <w:sz w:val="20"/>
                <w:szCs w:val="20"/>
              </w:rPr>
              <w:t>Not fixed-term</w:t>
            </w:r>
          </w:p>
        </w:tc>
        <w:tc>
          <w:tcPr>
            <w:tcW w:w="2815" w:type="dxa"/>
            <w:tcBorders>
              <w:top w:val="nil"/>
              <w:left w:val="single" w:sz="4" w:space="0" w:color="auto"/>
              <w:bottom w:val="single" w:sz="4" w:space="0" w:color="auto"/>
            </w:tcBorders>
            <w:noWrap/>
            <w:vAlign w:val="center"/>
            <w:hideMark/>
          </w:tcPr>
          <w:p w14:paraId="6AEF9D14" w14:textId="77777777" w:rsidR="000277CA" w:rsidRPr="00130856" w:rsidRDefault="000277CA" w:rsidP="00130856">
            <w:pPr>
              <w:spacing w:line="240" w:lineRule="auto"/>
              <w:rPr>
                <w:sz w:val="20"/>
                <w:szCs w:val="20"/>
              </w:rPr>
            </w:pPr>
            <w:r w:rsidRPr="00130856">
              <w:rPr>
                <w:sz w:val="20"/>
                <w:szCs w:val="20"/>
              </w:rPr>
              <w:t>91%</w:t>
            </w:r>
          </w:p>
        </w:tc>
        <w:tc>
          <w:tcPr>
            <w:tcW w:w="2157" w:type="dxa"/>
            <w:tcBorders>
              <w:top w:val="nil"/>
              <w:bottom w:val="single" w:sz="4" w:space="0" w:color="auto"/>
            </w:tcBorders>
            <w:noWrap/>
            <w:vAlign w:val="center"/>
            <w:hideMark/>
          </w:tcPr>
          <w:p w14:paraId="056A0925" w14:textId="77777777" w:rsidR="000277CA" w:rsidRPr="00130856" w:rsidRDefault="000277CA" w:rsidP="00130856">
            <w:pPr>
              <w:spacing w:line="240" w:lineRule="auto"/>
              <w:rPr>
                <w:sz w:val="20"/>
                <w:szCs w:val="20"/>
              </w:rPr>
            </w:pPr>
            <w:r w:rsidRPr="00130856">
              <w:rPr>
                <w:sz w:val="20"/>
                <w:szCs w:val="20"/>
              </w:rPr>
              <w:t>86%</w:t>
            </w:r>
          </w:p>
        </w:tc>
        <w:tc>
          <w:tcPr>
            <w:tcW w:w="2130" w:type="dxa"/>
            <w:tcBorders>
              <w:top w:val="nil"/>
              <w:bottom w:val="single" w:sz="4" w:space="0" w:color="auto"/>
            </w:tcBorders>
            <w:noWrap/>
            <w:vAlign w:val="center"/>
            <w:hideMark/>
          </w:tcPr>
          <w:p w14:paraId="4FED941A" w14:textId="77777777" w:rsidR="000277CA" w:rsidRPr="00130856" w:rsidRDefault="000277CA" w:rsidP="00130856">
            <w:pPr>
              <w:spacing w:line="240" w:lineRule="auto"/>
              <w:rPr>
                <w:sz w:val="20"/>
                <w:szCs w:val="20"/>
              </w:rPr>
            </w:pPr>
            <w:r w:rsidRPr="00130856">
              <w:rPr>
                <w:sz w:val="20"/>
                <w:szCs w:val="20"/>
              </w:rPr>
              <w:t>90%</w:t>
            </w:r>
          </w:p>
        </w:tc>
      </w:tr>
      <w:tr w:rsidR="000277CA" w:rsidRPr="00167CB8" w14:paraId="6AF248A4" w14:textId="77777777" w:rsidTr="000277CA">
        <w:trPr>
          <w:trHeight w:val="318"/>
        </w:trPr>
        <w:tc>
          <w:tcPr>
            <w:tcW w:w="1825" w:type="dxa"/>
            <w:tcBorders>
              <w:right w:val="single" w:sz="4" w:space="0" w:color="auto"/>
            </w:tcBorders>
            <w:noWrap/>
            <w:vAlign w:val="center"/>
            <w:hideMark/>
          </w:tcPr>
          <w:p w14:paraId="6E9B334D" w14:textId="6373AE2F" w:rsidR="000277CA" w:rsidRPr="00E648FB" w:rsidRDefault="000277CA" w:rsidP="00E648FB">
            <w:pPr>
              <w:spacing w:line="240" w:lineRule="auto"/>
              <w:rPr>
                <w:b/>
                <w:bCs/>
                <w:sz w:val="20"/>
                <w:szCs w:val="20"/>
              </w:rPr>
            </w:pPr>
            <w:r>
              <w:rPr>
                <w:b/>
                <w:bCs/>
                <w:sz w:val="20"/>
                <w:szCs w:val="20"/>
              </w:rPr>
              <w:t>Is Fixed term</w:t>
            </w:r>
          </w:p>
        </w:tc>
        <w:tc>
          <w:tcPr>
            <w:tcW w:w="2815" w:type="dxa"/>
            <w:tcBorders>
              <w:top w:val="nil"/>
              <w:left w:val="single" w:sz="4" w:space="0" w:color="auto"/>
              <w:bottom w:val="single" w:sz="4" w:space="0" w:color="auto"/>
            </w:tcBorders>
            <w:noWrap/>
            <w:vAlign w:val="center"/>
            <w:hideMark/>
          </w:tcPr>
          <w:p w14:paraId="530C131F" w14:textId="77777777" w:rsidR="000277CA" w:rsidRPr="00E648FB" w:rsidRDefault="000277CA" w:rsidP="00E648FB">
            <w:pPr>
              <w:spacing w:line="240" w:lineRule="auto"/>
              <w:rPr>
                <w:sz w:val="20"/>
                <w:szCs w:val="20"/>
              </w:rPr>
            </w:pPr>
            <w:r w:rsidRPr="00E648FB">
              <w:rPr>
                <w:sz w:val="20"/>
                <w:szCs w:val="20"/>
              </w:rPr>
              <w:t>9%</w:t>
            </w:r>
          </w:p>
        </w:tc>
        <w:tc>
          <w:tcPr>
            <w:tcW w:w="2157" w:type="dxa"/>
            <w:tcBorders>
              <w:top w:val="nil"/>
              <w:bottom w:val="single" w:sz="4" w:space="0" w:color="auto"/>
            </w:tcBorders>
            <w:noWrap/>
            <w:vAlign w:val="center"/>
            <w:hideMark/>
          </w:tcPr>
          <w:p w14:paraId="114679BC" w14:textId="77777777" w:rsidR="000277CA" w:rsidRPr="00E648FB" w:rsidRDefault="000277CA" w:rsidP="00E648FB">
            <w:pPr>
              <w:spacing w:line="240" w:lineRule="auto"/>
              <w:rPr>
                <w:sz w:val="20"/>
                <w:szCs w:val="20"/>
              </w:rPr>
            </w:pPr>
            <w:r w:rsidRPr="00E648FB">
              <w:rPr>
                <w:sz w:val="20"/>
                <w:szCs w:val="20"/>
              </w:rPr>
              <w:t>14%</w:t>
            </w:r>
          </w:p>
        </w:tc>
        <w:tc>
          <w:tcPr>
            <w:tcW w:w="2130" w:type="dxa"/>
            <w:tcBorders>
              <w:top w:val="nil"/>
              <w:bottom w:val="single" w:sz="4" w:space="0" w:color="auto"/>
            </w:tcBorders>
            <w:noWrap/>
            <w:vAlign w:val="center"/>
            <w:hideMark/>
          </w:tcPr>
          <w:p w14:paraId="57B8E33C" w14:textId="77777777" w:rsidR="000277CA" w:rsidRPr="00E648FB" w:rsidRDefault="000277CA" w:rsidP="00E648FB">
            <w:pPr>
              <w:spacing w:line="240" w:lineRule="auto"/>
              <w:rPr>
                <w:sz w:val="20"/>
                <w:szCs w:val="20"/>
              </w:rPr>
            </w:pPr>
            <w:r w:rsidRPr="00E648FB">
              <w:rPr>
                <w:sz w:val="20"/>
                <w:szCs w:val="20"/>
              </w:rPr>
              <w:t>10%</w:t>
            </w:r>
          </w:p>
        </w:tc>
      </w:tr>
      <w:tr w:rsidR="000277CA" w:rsidRPr="00167CB8" w14:paraId="562218BF" w14:textId="77777777" w:rsidTr="000277CA">
        <w:trPr>
          <w:trHeight w:val="318"/>
        </w:trPr>
        <w:tc>
          <w:tcPr>
            <w:tcW w:w="1825" w:type="dxa"/>
            <w:tcBorders>
              <w:bottom w:val="single" w:sz="4" w:space="0" w:color="auto"/>
              <w:right w:val="single" w:sz="4" w:space="0" w:color="auto"/>
            </w:tcBorders>
            <w:noWrap/>
            <w:vAlign w:val="center"/>
            <w:hideMark/>
          </w:tcPr>
          <w:p w14:paraId="16BE8AC1" w14:textId="77777777" w:rsidR="000277CA" w:rsidRPr="00E648FB" w:rsidRDefault="000277CA" w:rsidP="00E648FB">
            <w:pPr>
              <w:spacing w:line="240" w:lineRule="auto"/>
              <w:rPr>
                <w:b/>
                <w:bCs/>
                <w:sz w:val="20"/>
                <w:szCs w:val="20"/>
              </w:rPr>
            </w:pPr>
            <w:r w:rsidRPr="00E648FB">
              <w:rPr>
                <w:b/>
                <w:bCs/>
                <w:sz w:val="20"/>
                <w:szCs w:val="20"/>
              </w:rPr>
              <w:t>Total employees</w:t>
            </w:r>
          </w:p>
        </w:tc>
        <w:tc>
          <w:tcPr>
            <w:tcW w:w="2815" w:type="dxa"/>
            <w:tcBorders>
              <w:top w:val="single" w:sz="4" w:space="0" w:color="auto"/>
              <w:left w:val="single" w:sz="4" w:space="0" w:color="auto"/>
            </w:tcBorders>
            <w:noWrap/>
            <w:vAlign w:val="center"/>
            <w:hideMark/>
          </w:tcPr>
          <w:p w14:paraId="26DDCC61" w14:textId="1D932874" w:rsidR="000277CA" w:rsidRPr="00E648FB" w:rsidRDefault="000277CA" w:rsidP="00E648FB">
            <w:pPr>
              <w:spacing w:line="240" w:lineRule="auto"/>
              <w:rPr>
                <w:sz w:val="20"/>
                <w:szCs w:val="20"/>
              </w:rPr>
            </w:pPr>
            <w:r>
              <w:rPr>
                <w:sz w:val="20"/>
                <w:szCs w:val="20"/>
              </w:rPr>
              <w:t>100%</w:t>
            </w:r>
          </w:p>
        </w:tc>
        <w:tc>
          <w:tcPr>
            <w:tcW w:w="2157" w:type="dxa"/>
            <w:tcBorders>
              <w:top w:val="single" w:sz="4" w:space="0" w:color="auto"/>
            </w:tcBorders>
            <w:noWrap/>
            <w:vAlign w:val="center"/>
            <w:hideMark/>
          </w:tcPr>
          <w:p w14:paraId="25F67CE8" w14:textId="3183B033" w:rsidR="000277CA" w:rsidRPr="00E648FB" w:rsidRDefault="000277CA" w:rsidP="00E648FB">
            <w:pPr>
              <w:spacing w:line="240" w:lineRule="auto"/>
              <w:rPr>
                <w:sz w:val="20"/>
                <w:szCs w:val="20"/>
              </w:rPr>
            </w:pPr>
            <w:r>
              <w:rPr>
                <w:sz w:val="20"/>
                <w:szCs w:val="20"/>
              </w:rPr>
              <w:t>100%</w:t>
            </w:r>
          </w:p>
        </w:tc>
        <w:tc>
          <w:tcPr>
            <w:tcW w:w="2130" w:type="dxa"/>
            <w:tcBorders>
              <w:top w:val="single" w:sz="4" w:space="0" w:color="auto"/>
            </w:tcBorders>
            <w:noWrap/>
            <w:vAlign w:val="center"/>
            <w:hideMark/>
          </w:tcPr>
          <w:p w14:paraId="7C2297AF" w14:textId="240B6800" w:rsidR="000277CA" w:rsidRPr="00E648FB" w:rsidRDefault="000277CA" w:rsidP="00E648FB">
            <w:pPr>
              <w:spacing w:line="240" w:lineRule="auto"/>
              <w:rPr>
                <w:sz w:val="20"/>
                <w:szCs w:val="20"/>
              </w:rPr>
            </w:pPr>
            <w:r>
              <w:rPr>
                <w:sz w:val="20"/>
                <w:szCs w:val="20"/>
              </w:rPr>
              <w:t>100%</w:t>
            </w:r>
          </w:p>
        </w:tc>
      </w:tr>
    </w:tbl>
    <w:p w14:paraId="04D965E1" w14:textId="77777777" w:rsidR="0011475D" w:rsidRDefault="00677577" w:rsidP="00677577">
      <w:pPr>
        <w:pStyle w:val="Source"/>
        <w:rPr>
          <w:b/>
          <w:bCs/>
        </w:rPr>
      </w:pPr>
      <w:r w:rsidRPr="00167CB8">
        <w:rPr>
          <w:b/>
          <w:bCs/>
        </w:rPr>
        <w:t>Note:</w:t>
      </w:r>
    </w:p>
    <w:p w14:paraId="57FAB453" w14:textId="7EAE6EB1" w:rsidR="00677577" w:rsidRPr="00167CB8" w:rsidRDefault="00677577" w:rsidP="00677577">
      <w:pPr>
        <w:pStyle w:val="Source"/>
      </w:pPr>
      <w:r w:rsidRPr="00167CB8">
        <w:t>1. Sample: employees aged 18</w:t>
      </w:r>
      <w:r w:rsidRPr="00167CB8">
        <w:rPr>
          <w:rFonts w:ascii="Symbol" w:eastAsia="Symbol" w:hAnsi="Symbol" w:cs="Symbol"/>
        </w:rPr>
        <w:sym w:font="Symbol" w:char="F02D"/>
      </w:r>
      <w:r w:rsidRPr="00167CB8">
        <w:t>64 employed on either a permanent, fixed or casual contract.</w:t>
      </w:r>
    </w:p>
    <w:p w14:paraId="2C35AC76" w14:textId="632824EE" w:rsidR="00677577" w:rsidRPr="00167CB8" w:rsidRDefault="007F380D" w:rsidP="00677577">
      <w:pPr>
        <w:pStyle w:val="Source"/>
      </w:pPr>
      <w:r>
        <w:t>2</w:t>
      </w:r>
      <w:r w:rsidR="00677577" w:rsidRPr="00167CB8">
        <w:t>. Estimates weighted to reflect population totals.</w:t>
      </w:r>
    </w:p>
    <w:p w14:paraId="2226030F" w14:textId="77777777" w:rsidR="00677577" w:rsidRPr="00167CB8" w:rsidRDefault="00677577" w:rsidP="00677577">
      <w:pPr>
        <w:pStyle w:val="Source"/>
      </w:pPr>
      <w:r w:rsidRPr="00167CB8">
        <w:rPr>
          <w:b/>
          <w:bCs/>
        </w:rPr>
        <w:t>Source:</w:t>
      </w:r>
      <w:r w:rsidRPr="00167CB8">
        <w:t xml:space="preserve"> HILDA, waves 1</w:t>
      </w:r>
      <w:r w:rsidRPr="00167CB8">
        <w:rPr>
          <w:rFonts w:ascii="Symbol" w:eastAsia="Symbol" w:hAnsi="Symbol" w:cs="Symbol"/>
        </w:rPr>
        <w:sym w:font="Symbol" w:char="F02D"/>
      </w:r>
      <w:r w:rsidRPr="00167CB8">
        <w:t>23.</w:t>
      </w:r>
    </w:p>
    <w:p w14:paraId="5C047965" w14:textId="157A4079" w:rsidR="0011475D" w:rsidRDefault="00677577" w:rsidP="00677577">
      <w:r w:rsidRPr="00A32FB1">
        <w:t xml:space="preserve">In </w:t>
      </w:r>
      <w:r w:rsidRPr="00502077">
        <w:t>Figure 3</w:t>
      </w:r>
      <w:r w:rsidR="00365C93" w:rsidRPr="00502077">
        <w:t>4</w:t>
      </w:r>
      <w:r w:rsidRPr="00A32FB1">
        <w:t>, descriptive analysis is used to examine the transition outcomes of employees who</w:t>
      </w:r>
      <w:r w:rsidRPr="00167CB8">
        <w:t xml:space="preserve"> are on fixed</w:t>
      </w:r>
      <w:r w:rsidR="001F2B2A">
        <w:t xml:space="preserve"> </w:t>
      </w:r>
      <w:r w:rsidRPr="00167CB8">
        <w:t xml:space="preserve">term contracts. The analysis is based on a sample of HILDA employees who are observed over at least </w:t>
      </w:r>
      <w:r w:rsidR="007F380D">
        <w:t>two</w:t>
      </w:r>
      <w:r w:rsidRPr="00167CB8">
        <w:t xml:space="preserve"> consecutive waves. The results for 2001 to 2021 (first dark blue bar) show that, over this period, 44% of those who were on a fixed</w:t>
      </w:r>
      <w:r w:rsidR="001F2B2A">
        <w:t xml:space="preserve"> </w:t>
      </w:r>
      <w:r w:rsidRPr="00167CB8">
        <w:t>term contract in period 1 were on a fixed</w:t>
      </w:r>
      <w:r w:rsidR="001F2B2A">
        <w:t xml:space="preserve"> </w:t>
      </w:r>
      <w:r w:rsidRPr="00167CB8">
        <w:t>term contract in period 2, and 49% of those on a fixed</w:t>
      </w:r>
      <w:r w:rsidR="001F2B2A">
        <w:t xml:space="preserve"> </w:t>
      </w:r>
      <w:r w:rsidRPr="00167CB8">
        <w:t>term contract in period 1 were on a permanent contract in period 2. The ‘2023’ results show outcomes among those on a fixed</w:t>
      </w:r>
      <w:r w:rsidR="00CC6B4F">
        <w:t xml:space="preserve"> </w:t>
      </w:r>
      <w:r w:rsidRPr="00167CB8">
        <w:t>term contract in 2022 and their status in 2023. The results are qualitatively the same as those for the 2001</w:t>
      </w:r>
      <w:r w:rsidRPr="00167CB8">
        <w:rPr>
          <w:rFonts w:ascii="Symbol" w:eastAsia="Symbol" w:hAnsi="Symbol" w:cs="Symbol"/>
        </w:rPr>
        <w:t>-</w:t>
      </w:r>
      <w:r w:rsidRPr="00167CB8">
        <w:t>2021 period. A marginally higher share (50%) transition to a permanent contract and a smaller (6%) transition to a casual contract. The bars labelled ‘2001</w:t>
      </w:r>
      <w:r w:rsidRPr="00167CB8">
        <w:rPr>
          <w:rFonts w:ascii="Symbol" w:eastAsia="Symbol" w:hAnsi="Symbol" w:cs="Symbol"/>
        </w:rPr>
        <w:t>-</w:t>
      </w:r>
      <w:r w:rsidRPr="00167CB8">
        <w:t>23 earning less than the threshold’ show the outcomes for those earning less than the high income threshold (on a full-time, annual, equivalent basis). A slightly higher share transition to having a permanent contract in year 2.</w:t>
      </w:r>
    </w:p>
    <w:p w14:paraId="4938D6AD" w14:textId="4579A538" w:rsidR="00677577" w:rsidRPr="00167CB8" w:rsidRDefault="00365C93" w:rsidP="007F380D">
      <w:pPr>
        <w:pStyle w:val="Caption"/>
      </w:pPr>
      <w:bookmarkStart w:id="851" w:name="_Toc186991787"/>
      <w:bookmarkStart w:id="852" w:name="_Toc189310820"/>
      <w:bookmarkStart w:id="853" w:name="_Toc194251532"/>
      <w:r>
        <w:lastRenderedPageBreak/>
        <w:t xml:space="preserve">Figure </w:t>
      </w:r>
      <w:r>
        <w:fldChar w:fldCharType="begin"/>
      </w:r>
      <w:r>
        <w:instrText xml:space="preserve"> SEQ Figure \* ARABIC </w:instrText>
      </w:r>
      <w:r>
        <w:fldChar w:fldCharType="separate"/>
      </w:r>
      <w:r w:rsidR="00DE5F5E">
        <w:rPr>
          <w:noProof/>
        </w:rPr>
        <w:t>34</w:t>
      </w:r>
      <w:r>
        <w:fldChar w:fldCharType="end"/>
      </w:r>
      <w:r>
        <w:t xml:space="preserve">: </w:t>
      </w:r>
      <w:r w:rsidR="00677577" w:rsidRPr="00167CB8">
        <w:t>Fixed</w:t>
      </w:r>
      <w:r w:rsidR="00CC6B4F">
        <w:t xml:space="preserve"> </w:t>
      </w:r>
      <w:r w:rsidR="00677577" w:rsidRPr="00167CB8">
        <w:t>term contract transition analysis</w:t>
      </w:r>
      <w:bookmarkEnd w:id="851"/>
      <w:bookmarkEnd w:id="852"/>
      <w:r w:rsidR="007F380D">
        <w:t>, 2001 to 2023</w:t>
      </w:r>
      <w:bookmarkEnd w:id="853"/>
    </w:p>
    <w:p w14:paraId="2490775A" w14:textId="26E22AB7" w:rsidR="00677577" w:rsidRPr="00167CB8" w:rsidRDefault="00677577" w:rsidP="00677577">
      <w:r w:rsidRPr="00167CB8">
        <w:rPr>
          <w:noProof/>
        </w:rPr>
        <w:drawing>
          <wp:inline distT="0" distB="0" distL="0" distR="0" wp14:anchorId="6B674D65" wp14:editId="6FCA28A2">
            <wp:extent cx="5731510" cy="3750945"/>
            <wp:effectExtent l="0" t="0" r="2540" b="1905"/>
            <wp:docPr id="1859260020" name="Picture 57" descr="A bar chart of fixed term contract transitions.&#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260020" name="Picture 57" descr="A bar chart of fixed term contract transitions.&#10;&#10;See alt-text following the sourc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31510" cy="3750945"/>
                    </a:xfrm>
                    <a:prstGeom prst="rect">
                      <a:avLst/>
                    </a:prstGeom>
                    <a:noFill/>
                    <a:ln>
                      <a:noFill/>
                    </a:ln>
                  </pic:spPr>
                </pic:pic>
              </a:graphicData>
            </a:graphic>
          </wp:inline>
        </w:drawing>
      </w:r>
    </w:p>
    <w:p w14:paraId="553F7CA1" w14:textId="77777777" w:rsidR="00677577" w:rsidRPr="00167CB8" w:rsidRDefault="00677577" w:rsidP="00677577">
      <w:pPr>
        <w:pStyle w:val="Source"/>
        <w:rPr>
          <w:b/>
          <w:bCs/>
        </w:rPr>
      </w:pPr>
      <w:r w:rsidRPr="00167CB8">
        <w:rPr>
          <w:b/>
          <w:bCs/>
        </w:rPr>
        <w:t>Notes:</w:t>
      </w:r>
    </w:p>
    <w:p w14:paraId="7F9D0A85" w14:textId="49FD0BD6" w:rsidR="00677577" w:rsidRPr="00167CB8" w:rsidRDefault="00677577" w:rsidP="00677577">
      <w:pPr>
        <w:pStyle w:val="Source"/>
      </w:pPr>
      <w:r w:rsidRPr="00167CB8">
        <w:t>1. Employees aged 18</w:t>
      </w:r>
      <w:r w:rsidRPr="00167CB8">
        <w:rPr>
          <w:rFonts w:ascii="Symbol" w:eastAsia="Symbol" w:hAnsi="Symbol" w:cs="Symbol"/>
        </w:rPr>
        <w:sym w:font="Symbol" w:char="F02D"/>
      </w:r>
      <w:r w:rsidRPr="00167CB8">
        <w:t xml:space="preserve">64, excludes employees in agriculture and restricts the sample to those observed in at least </w:t>
      </w:r>
      <w:r w:rsidR="007F380D">
        <w:t>two</w:t>
      </w:r>
      <w:r w:rsidRPr="00167CB8">
        <w:t xml:space="preserve"> consecutive waves of data.</w:t>
      </w:r>
    </w:p>
    <w:p w14:paraId="46A98EF2" w14:textId="77777777" w:rsidR="00677577" w:rsidRPr="00167CB8" w:rsidRDefault="00677577" w:rsidP="00677577">
      <w:pPr>
        <w:pStyle w:val="Source"/>
      </w:pPr>
      <w:r w:rsidRPr="00167CB8">
        <w:t>2. Estimates weighted to reflect population totals.</w:t>
      </w:r>
    </w:p>
    <w:p w14:paraId="71DDB2DA" w14:textId="77777777" w:rsidR="00677577" w:rsidRPr="00167CB8" w:rsidRDefault="00677577" w:rsidP="00677577">
      <w:pPr>
        <w:pStyle w:val="Source"/>
      </w:pPr>
      <w:r w:rsidRPr="00167CB8">
        <w:rPr>
          <w:b/>
          <w:bCs/>
        </w:rPr>
        <w:t>Source:</w:t>
      </w:r>
      <w:r w:rsidRPr="00167CB8">
        <w:t xml:space="preserve"> HILDA, waves 1</w:t>
      </w:r>
      <w:r w:rsidRPr="00167CB8">
        <w:rPr>
          <w:rFonts w:ascii="Symbol" w:eastAsia="Symbol" w:hAnsi="Symbol" w:cs="Symbol"/>
        </w:rPr>
        <w:sym w:font="Symbol" w:char="F02D"/>
      </w:r>
      <w:r w:rsidRPr="00167CB8">
        <w:t>23.</w:t>
      </w:r>
    </w:p>
    <w:p w14:paraId="6B29951A" w14:textId="12CB2EF5" w:rsidR="0011475D" w:rsidRDefault="00677577" w:rsidP="00677577">
      <w:pPr>
        <w:pStyle w:val="Source"/>
      </w:pPr>
      <w:r w:rsidRPr="00167CB8">
        <w:rPr>
          <w:b/>
          <w:bCs/>
        </w:rPr>
        <w:t>Alt-text:</w:t>
      </w:r>
      <w:r w:rsidRPr="00167CB8">
        <w:t xml:space="preserve"> A bar chart showing the employment status in year 2 of employees who were on fixed</w:t>
      </w:r>
      <w:r w:rsidR="00CC6B4F">
        <w:t xml:space="preserve"> </w:t>
      </w:r>
      <w:r w:rsidRPr="00167CB8">
        <w:t>term contracts in year 1. The ‘2023’ bars show that, of those who were fixed term in 2022, 44% where fixed term in 2023, 50% were permanent in 2023 and 6% were casual. The ‘2001</w:t>
      </w:r>
      <w:r w:rsidRPr="00167CB8">
        <w:rPr>
          <w:rFonts w:ascii="Symbol" w:eastAsia="Symbol" w:hAnsi="Symbol" w:cs="Symbol"/>
        </w:rPr>
        <w:sym w:font="Symbol" w:char="F02D"/>
      </w:r>
      <w:r w:rsidRPr="00167CB8">
        <w:t>23, earning less than threshold’ bars show that those earning less than the threshold who were fixed</w:t>
      </w:r>
      <w:r w:rsidR="00CC6B4F">
        <w:t xml:space="preserve"> </w:t>
      </w:r>
      <w:r w:rsidRPr="00167CB8">
        <w:t>term contract holders in year 1 had a 50% probability of being permanent in year 2.</w:t>
      </w:r>
    </w:p>
    <w:p w14:paraId="71307F9B" w14:textId="050FA24C" w:rsidR="0011475D" w:rsidRDefault="00677577" w:rsidP="00677577">
      <w:r w:rsidRPr="00DF3F3C">
        <w:t xml:space="preserve">Table </w:t>
      </w:r>
      <w:r w:rsidR="00A81DC3" w:rsidRPr="00DF3F3C">
        <w:t>3</w:t>
      </w:r>
      <w:r w:rsidR="00A81DC3">
        <w:t>9</w:t>
      </w:r>
      <w:r w:rsidR="00A81DC3" w:rsidRPr="00A32FB1">
        <w:t xml:space="preserve"> </w:t>
      </w:r>
      <w:r w:rsidRPr="00A32FB1">
        <w:t>uses regression analysis to explore the characteristics of employees who are on fixed</w:t>
      </w:r>
      <w:r w:rsidR="00CC6B4F">
        <w:t xml:space="preserve"> </w:t>
      </w:r>
      <w:r w:rsidRPr="00167CB8">
        <w:t xml:space="preserve">term contracts over </w:t>
      </w:r>
      <w:r w:rsidR="007F380D">
        <w:t>two</w:t>
      </w:r>
      <w:r w:rsidRPr="00167CB8">
        <w:t xml:space="preserve"> consecutive years and those who transition from a fixed</w:t>
      </w:r>
      <w:r w:rsidR="00CC6B4F">
        <w:t xml:space="preserve"> </w:t>
      </w:r>
      <w:r w:rsidRPr="00167CB8">
        <w:t>term contract to a permanent position. A dummy variable ‘Post22’ is used to see if there is any difference post the Secure Jobs, Better Pay Act coming into effect. The coefficient on this variable is not significant. The variable ‘Thresh’ is highly significant and shows that high income earners are much more likely than other employees to have consecutive fixed</w:t>
      </w:r>
      <w:r w:rsidR="00E27776">
        <w:t xml:space="preserve"> </w:t>
      </w:r>
      <w:r w:rsidRPr="00167CB8">
        <w:t>term contracts (column 1). Column 2 shows high income earners are less likely than other employees to transition to a permanent job.</w:t>
      </w:r>
    </w:p>
    <w:p w14:paraId="422D0568" w14:textId="77777777" w:rsidR="0011475D" w:rsidRDefault="00677577" w:rsidP="00677577">
      <w:r w:rsidRPr="00167CB8">
        <w:t>Remaining with column 2, the analysis shows there is no difference in the outcome by gender. In terms of age, the reference group is aged 18</w:t>
      </w:r>
      <w:r w:rsidRPr="00167CB8">
        <w:rPr>
          <w:rFonts w:ascii="Symbol" w:eastAsia="Symbol" w:hAnsi="Symbol" w:cs="Symbol"/>
        </w:rPr>
        <w:sym w:font="Symbol" w:char="F02D"/>
      </w:r>
      <w:r w:rsidRPr="00167CB8">
        <w:t>24. When compared to this group, persons aged 25</w:t>
      </w:r>
      <w:r w:rsidRPr="00167CB8">
        <w:rPr>
          <w:rFonts w:ascii="Symbol" w:eastAsia="Symbol" w:hAnsi="Symbol" w:cs="Symbol"/>
        </w:rPr>
        <w:sym w:font="Symbol" w:char="F02D"/>
      </w:r>
      <w:r w:rsidRPr="00167CB8">
        <w:t>34 are more likely to transition from a fixed to permanent, whereas older aged workers are less likely to transition from fixed to permanent. When compared to labourers and related workers, transitioning probabilities (transitioning to a permanent contract) are also significantly higher for all occupation groups.</w:t>
      </w:r>
    </w:p>
    <w:p w14:paraId="1C52CA89" w14:textId="77777777" w:rsidR="0011475D" w:rsidRDefault="00677577" w:rsidP="00677577">
      <w:r w:rsidRPr="00167CB8">
        <w:t>The industry analysis shows the results benchmarked to education and training. When compared to this sector, the only sector where there is a significantly higher likelihood of transitioning from fixed to permanent is mining. In the health care and social assistance sector the probability of transitioning to permanent is the same as in the education training sector. The negative and statistically significant sign on many of the other industry coefficients shows that in these sectors, when compared to education and training, the probability of transitioning from fixed to permanent is significantly lower.</w:t>
      </w:r>
    </w:p>
    <w:p w14:paraId="7AC1E0E1" w14:textId="77777777" w:rsidR="0011475D" w:rsidRDefault="00677577" w:rsidP="00677577">
      <w:r w:rsidRPr="00167CB8">
        <w:t>Transitioning is lower in urban areas. When compared to New South Wales, the likelihood of moving from fixed to permanent is higher in Victoria, Queensland, South Australia and Western Australia.</w:t>
      </w:r>
    </w:p>
    <w:p w14:paraId="641412FA" w14:textId="1AAE5D25" w:rsidR="00677577" w:rsidRPr="00167CB8" w:rsidRDefault="00365C93" w:rsidP="007F380D">
      <w:pPr>
        <w:pStyle w:val="Caption"/>
      </w:pPr>
      <w:bookmarkStart w:id="854" w:name="_Toc186991814"/>
      <w:bookmarkStart w:id="855" w:name="_Toc189310865"/>
      <w:bookmarkStart w:id="856" w:name="_Toc194251463"/>
      <w:r>
        <w:t xml:space="preserve">Table </w:t>
      </w:r>
      <w:r>
        <w:fldChar w:fldCharType="begin"/>
      </w:r>
      <w:r>
        <w:instrText xml:space="preserve"> SEQ Table \* ARABIC </w:instrText>
      </w:r>
      <w:r>
        <w:fldChar w:fldCharType="separate"/>
      </w:r>
      <w:r w:rsidR="00DE5F5E">
        <w:rPr>
          <w:noProof/>
        </w:rPr>
        <w:t>39</w:t>
      </w:r>
      <w:r>
        <w:fldChar w:fldCharType="end"/>
      </w:r>
      <w:r>
        <w:t xml:space="preserve">: </w:t>
      </w:r>
      <w:r w:rsidR="00677577" w:rsidRPr="00167CB8">
        <w:t>Logit regressions –characteristics of employees who transition from fixed-to-fixed and from fixed-to-permanent contracts</w:t>
      </w:r>
      <w:r w:rsidR="007F380D">
        <w:t>, 2001 to 2023</w:t>
      </w:r>
      <w:bookmarkEnd w:id="854"/>
      <w:bookmarkEnd w:id="855"/>
      <w:bookmarkEnd w:id="856"/>
    </w:p>
    <w:tbl>
      <w:tblPr>
        <w:tblW w:w="907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812"/>
        <w:gridCol w:w="1418"/>
        <w:gridCol w:w="1842"/>
      </w:tblGrid>
      <w:tr w:rsidR="00677577" w:rsidRPr="00365C93" w14:paraId="0E1EB765" w14:textId="77777777" w:rsidTr="00F51742">
        <w:trPr>
          <w:trHeight w:val="211"/>
          <w:tblHeader/>
        </w:trPr>
        <w:tc>
          <w:tcPr>
            <w:tcW w:w="5812" w:type="dxa"/>
            <w:tcBorders>
              <w:top w:val="single" w:sz="4" w:space="0" w:color="auto"/>
              <w:left w:val="single" w:sz="4" w:space="0" w:color="auto"/>
              <w:bottom w:val="nil"/>
              <w:right w:val="nil"/>
            </w:tcBorders>
            <w:noWrap/>
            <w:vAlign w:val="bottom"/>
            <w:hideMark/>
          </w:tcPr>
          <w:p w14:paraId="7128E5F9" w14:textId="77777777" w:rsidR="00677577" w:rsidRPr="006F1B94" w:rsidRDefault="00677577">
            <w:pPr>
              <w:spacing w:after="0" w:line="240" w:lineRule="auto"/>
              <w:rPr>
                <w:b/>
                <w:sz w:val="20"/>
                <w:szCs w:val="20"/>
              </w:rPr>
            </w:pPr>
          </w:p>
        </w:tc>
        <w:tc>
          <w:tcPr>
            <w:tcW w:w="1418" w:type="dxa"/>
            <w:tcBorders>
              <w:top w:val="single" w:sz="4" w:space="0" w:color="auto"/>
              <w:left w:val="nil"/>
              <w:bottom w:val="nil"/>
              <w:right w:val="nil"/>
            </w:tcBorders>
            <w:noWrap/>
            <w:vAlign w:val="bottom"/>
            <w:hideMark/>
          </w:tcPr>
          <w:p w14:paraId="490B638A" w14:textId="77777777" w:rsidR="00677577" w:rsidRPr="006F1B94" w:rsidRDefault="00677577" w:rsidP="006F1B94">
            <w:pPr>
              <w:spacing w:after="0" w:line="240" w:lineRule="auto"/>
              <w:jc w:val="right"/>
              <w:rPr>
                <w:b/>
                <w:sz w:val="20"/>
                <w:szCs w:val="20"/>
              </w:rPr>
            </w:pPr>
            <w:r w:rsidRPr="006F1B94">
              <w:rPr>
                <w:b/>
                <w:sz w:val="20"/>
                <w:szCs w:val="20"/>
              </w:rPr>
              <w:t>Fixed to fixed</w:t>
            </w:r>
          </w:p>
        </w:tc>
        <w:tc>
          <w:tcPr>
            <w:tcW w:w="1842" w:type="dxa"/>
            <w:tcBorders>
              <w:top w:val="single" w:sz="4" w:space="0" w:color="auto"/>
              <w:left w:val="nil"/>
              <w:bottom w:val="nil"/>
              <w:right w:val="single" w:sz="4" w:space="0" w:color="auto"/>
            </w:tcBorders>
            <w:noWrap/>
            <w:vAlign w:val="bottom"/>
            <w:hideMark/>
          </w:tcPr>
          <w:p w14:paraId="54F67621" w14:textId="77777777" w:rsidR="00677577" w:rsidRPr="006F1B94" w:rsidRDefault="00677577" w:rsidP="006F1B94">
            <w:pPr>
              <w:spacing w:after="0" w:line="240" w:lineRule="auto"/>
              <w:jc w:val="right"/>
              <w:rPr>
                <w:b/>
                <w:sz w:val="20"/>
                <w:szCs w:val="20"/>
              </w:rPr>
            </w:pPr>
            <w:r w:rsidRPr="006F1B94">
              <w:rPr>
                <w:b/>
                <w:sz w:val="20"/>
                <w:szCs w:val="20"/>
              </w:rPr>
              <w:t>Fixed to permanent</w:t>
            </w:r>
          </w:p>
        </w:tc>
      </w:tr>
      <w:tr w:rsidR="00677577" w:rsidRPr="00365C93" w14:paraId="31E98691" w14:textId="77777777" w:rsidTr="00F51742">
        <w:trPr>
          <w:trHeight w:val="211"/>
          <w:tblHeader/>
        </w:trPr>
        <w:tc>
          <w:tcPr>
            <w:tcW w:w="5812" w:type="dxa"/>
            <w:tcBorders>
              <w:top w:val="nil"/>
              <w:left w:val="single" w:sz="4" w:space="0" w:color="auto"/>
              <w:bottom w:val="single" w:sz="4" w:space="0" w:color="auto"/>
              <w:right w:val="nil"/>
            </w:tcBorders>
            <w:noWrap/>
            <w:vAlign w:val="bottom"/>
            <w:hideMark/>
          </w:tcPr>
          <w:p w14:paraId="4B6E4447" w14:textId="77777777" w:rsidR="00677577" w:rsidRPr="006F1B94" w:rsidRDefault="00677577">
            <w:pPr>
              <w:spacing w:after="0" w:line="240" w:lineRule="auto"/>
              <w:rPr>
                <w:b/>
                <w:sz w:val="20"/>
                <w:szCs w:val="20"/>
              </w:rPr>
            </w:pPr>
          </w:p>
        </w:tc>
        <w:tc>
          <w:tcPr>
            <w:tcW w:w="1418" w:type="dxa"/>
            <w:tcBorders>
              <w:top w:val="nil"/>
              <w:left w:val="nil"/>
              <w:bottom w:val="single" w:sz="4" w:space="0" w:color="auto"/>
              <w:right w:val="nil"/>
            </w:tcBorders>
            <w:noWrap/>
            <w:vAlign w:val="bottom"/>
            <w:hideMark/>
          </w:tcPr>
          <w:p w14:paraId="603E4689" w14:textId="77777777" w:rsidR="00677577" w:rsidRPr="006F1B94" w:rsidRDefault="00677577" w:rsidP="006F1B94">
            <w:pPr>
              <w:spacing w:after="0" w:line="240" w:lineRule="auto"/>
              <w:jc w:val="right"/>
              <w:rPr>
                <w:b/>
                <w:sz w:val="20"/>
                <w:szCs w:val="20"/>
              </w:rPr>
            </w:pPr>
            <w:r w:rsidRPr="006F1B94">
              <w:rPr>
                <w:b/>
                <w:sz w:val="20"/>
                <w:szCs w:val="20"/>
              </w:rPr>
              <w:t>(1)</w:t>
            </w:r>
          </w:p>
        </w:tc>
        <w:tc>
          <w:tcPr>
            <w:tcW w:w="1842" w:type="dxa"/>
            <w:tcBorders>
              <w:top w:val="nil"/>
              <w:left w:val="nil"/>
              <w:bottom w:val="single" w:sz="4" w:space="0" w:color="auto"/>
              <w:right w:val="single" w:sz="4" w:space="0" w:color="auto"/>
            </w:tcBorders>
            <w:noWrap/>
            <w:vAlign w:val="bottom"/>
            <w:hideMark/>
          </w:tcPr>
          <w:p w14:paraId="5024E171" w14:textId="77777777" w:rsidR="00677577" w:rsidRPr="006F1B94" w:rsidRDefault="00677577" w:rsidP="006F1B94">
            <w:pPr>
              <w:spacing w:after="0" w:line="240" w:lineRule="auto"/>
              <w:jc w:val="right"/>
              <w:rPr>
                <w:b/>
                <w:sz w:val="20"/>
                <w:szCs w:val="20"/>
              </w:rPr>
            </w:pPr>
            <w:r w:rsidRPr="006F1B94">
              <w:rPr>
                <w:b/>
                <w:sz w:val="20"/>
                <w:szCs w:val="20"/>
              </w:rPr>
              <w:t>(2)</w:t>
            </w:r>
          </w:p>
        </w:tc>
      </w:tr>
      <w:tr w:rsidR="00677577" w:rsidRPr="00167CB8" w14:paraId="1F00EC29" w14:textId="77777777">
        <w:trPr>
          <w:trHeight w:val="211"/>
        </w:trPr>
        <w:tc>
          <w:tcPr>
            <w:tcW w:w="5812" w:type="dxa"/>
            <w:tcBorders>
              <w:top w:val="single" w:sz="4" w:space="0" w:color="auto"/>
              <w:left w:val="single" w:sz="4" w:space="0" w:color="auto"/>
              <w:bottom w:val="nil"/>
              <w:right w:val="nil"/>
            </w:tcBorders>
            <w:noWrap/>
            <w:vAlign w:val="bottom"/>
            <w:hideMark/>
          </w:tcPr>
          <w:p w14:paraId="66DC2C56" w14:textId="77777777" w:rsidR="00677577" w:rsidRPr="002154E6" w:rsidRDefault="00677577">
            <w:pPr>
              <w:spacing w:after="0" w:line="240" w:lineRule="auto"/>
              <w:rPr>
                <w:sz w:val="20"/>
                <w:szCs w:val="20"/>
              </w:rPr>
            </w:pPr>
            <w:r w:rsidRPr="002154E6">
              <w:rPr>
                <w:sz w:val="20"/>
                <w:szCs w:val="20"/>
              </w:rPr>
              <w:t>Post22 (=1 if 2023 and 0 otherwise)</w:t>
            </w:r>
          </w:p>
        </w:tc>
        <w:tc>
          <w:tcPr>
            <w:tcW w:w="1418" w:type="dxa"/>
            <w:tcBorders>
              <w:top w:val="single" w:sz="4" w:space="0" w:color="auto"/>
              <w:left w:val="nil"/>
              <w:bottom w:val="nil"/>
              <w:right w:val="nil"/>
            </w:tcBorders>
            <w:noWrap/>
            <w:vAlign w:val="bottom"/>
            <w:hideMark/>
          </w:tcPr>
          <w:p w14:paraId="279DB9E8" w14:textId="77777777" w:rsidR="00677577" w:rsidRPr="002154E6" w:rsidRDefault="00677577" w:rsidP="006F1B94">
            <w:pPr>
              <w:spacing w:after="0" w:line="240" w:lineRule="auto"/>
              <w:jc w:val="right"/>
              <w:rPr>
                <w:sz w:val="20"/>
                <w:szCs w:val="20"/>
              </w:rPr>
            </w:pPr>
            <w:r w:rsidRPr="002154E6">
              <w:rPr>
                <w:sz w:val="20"/>
                <w:szCs w:val="20"/>
              </w:rPr>
              <w:t>-0.002</w:t>
            </w:r>
          </w:p>
        </w:tc>
        <w:tc>
          <w:tcPr>
            <w:tcW w:w="1842" w:type="dxa"/>
            <w:tcBorders>
              <w:top w:val="single" w:sz="4" w:space="0" w:color="auto"/>
              <w:left w:val="nil"/>
              <w:bottom w:val="nil"/>
              <w:right w:val="single" w:sz="4" w:space="0" w:color="auto"/>
            </w:tcBorders>
            <w:noWrap/>
            <w:vAlign w:val="bottom"/>
            <w:hideMark/>
          </w:tcPr>
          <w:p w14:paraId="68F1CAE0" w14:textId="77777777" w:rsidR="00677577" w:rsidRPr="002154E6" w:rsidRDefault="00677577" w:rsidP="006F1B94">
            <w:pPr>
              <w:spacing w:after="0" w:line="240" w:lineRule="auto"/>
              <w:jc w:val="right"/>
              <w:rPr>
                <w:sz w:val="20"/>
                <w:szCs w:val="20"/>
              </w:rPr>
            </w:pPr>
            <w:r w:rsidRPr="002154E6">
              <w:rPr>
                <w:sz w:val="20"/>
                <w:szCs w:val="20"/>
              </w:rPr>
              <w:t>-0.001</w:t>
            </w:r>
          </w:p>
        </w:tc>
      </w:tr>
      <w:tr w:rsidR="00677577" w:rsidRPr="00167CB8" w14:paraId="5E687875" w14:textId="77777777">
        <w:trPr>
          <w:trHeight w:val="211"/>
        </w:trPr>
        <w:tc>
          <w:tcPr>
            <w:tcW w:w="5812" w:type="dxa"/>
            <w:tcBorders>
              <w:top w:val="nil"/>
              <w:left w:val="single" w:sz="4" w:space="0" w:color="auto"/>
              <w:bottom w:val="nil"/>
              <w:right w:val="nil"/>
            </w:tcBorders>
            <w:noWrap/>
            <w:vAlign w:val="bottom"/>
            <w:hideMark/>
          </w:tcPr>
          <w:p w14:paraId="0170B33F" w14:textId="77777777" w:rsidR="00677577" w:rsidRPr="002154E6" w:rsidRDefault="00677577">
            <w:pPr>
              <w:spacing w:after="0" w:line="240" w:lineRule="auto"/>
              <w:rPr>
                <w:sz w:val="20"/>
                <w:szCs w:val="20"/>
              </w:rPr>
            </w:pPr>
          </w:p>
        </w:tc>
        <w:tc>
          <w:tcPr>
            <w:tcW w:w="1418" w:type="dxa"/>
            <w:tcBorders>
              <w:top w:val="nil"/>
              <w:left w:val="nil"/>
              <w:bottom w:val="nil"/>
              <w:right w:val="nil"/>
            </w:tcBorders>
            <w:noWrap/>
            <w:vAlign w:val="bottom"/>
            <w:hideMark/>
          </w:tcPr>
          <w:p w14:paraId="5B991CE6" w14:textId="77777777" w:rsidR="00677577" w:rsidRPr="002154E6" w:rsidRDefault="00677577" w:rsidP="006F1B94">
            <w:pPr>
              <w:spacing w:after="0" w:line="240" w:lineRule="auto"/>
              <w:jc w:val="right"/>
              <w:rPr>
                <w:sz w:val="20"/>
                <w:szCs w:val="20"/>
              </w:rPr>
            </w:pPr>
            <w:r w:rsidRPr="002154E6">
              <w:rPr>
                <w:sz w:val="20"/>
                <w:szCs w:val="20"/>
              </w:rPr>
              <w:t>(0.002)</w:t>
            </w:r>
          </w:p>
        </w:tc>
        <w:tc>
          <w:tcPr>
            <w:tcW w:w="1842" w:type="dxa"/>
            <w:tcBorders>
              <w:top w:val="nil"/>
              <w:left w:val="nil"/>
              <w:bottom w:val="nil"/>
              <w:right w:val="single" w:sz="4" w:space="0" w:color="auto"/>
            </w:tcBorders>
            <w:noWrap/>
            <w:vAlign w:val="bottom"/>
            <w:hideMark/>
          </w:tcPr>
          <w:p w14:paraId="1BF6996C" w14:textId="77777777" w:rsidR="00677577" w:rsidRPr="002154E6" w:rsidRDefault="00677577" w:rsidP="006F1B94">
            <w:pPr>
              <w:spacing w:after="0" w:line="240" w:lineRule="auto"/>
              <w:jc w:val="right"/>
              <w:rPr>
                <w:sz w:val="20"/>
                <w:szCs w:val="20"/>
              </w:rPr>
            </w:pPr>
            <w:r w:rsidRPr="002154E6">
              <w:rPr>
                <w:sz w:val="20"/>
                <w:szCs w:val="20"/>
              </w:rPr>
              <w:t>(0.002)</w:t>
            </w:r>
          </w:p>
        </w:tc>
      </w:tr>
      <w:tr w:rsidR="00677577" w:rsidRPr="00167CB8" w14:paraId="5FD0ADF9" w14:textId="77777777">
        <w:trPr>
          <w:trHeight w:val="211"/>
        </w:trPr>
        <w:tc>
          <w:tcPr>
            <w:tcW w:w="5812" w:type="dxa"/>
            <w:tcBorders>
              <w:top w:val="nil"/>
              <w:left w:val="single" w:sz="4" w:space="0" w:color="auto"/>
              <w:bottom w:val="nil"/>
              <w:right w:val="nil"/>
            </w:tcBorders>
            <w:noWrap/>
            <w:vAlign w:val="bottom"/>
            <w:hideMark/>
          </w:tcPr>
          <w:p w14:paraId="68E2117E" w14:textId="77777777" w:rsidR="00677577" w:rsidRPr="002154E6" w:rsidRDefault="00677577">
            <w:pPr>
              <w:spacing w:after="0" w:line="240" w:lineRule="auto"/>
              <w:rPr>
                <w:sz w:val="20"/>
                <w:szCs w:val="20"/>
              </w:rPr>
            </w:pPr>
            <w:r w:rsidRPr="002154E6">
              <w:rPr>
                <w:sz w:val="20"/>
                <w:szCs w:val="20"/>
              </w:rPr>
              <w:t>Thresh (=1 if hourly wage * 38 * 52 &gt; $167,500) (in 2023 prices).</w:t>
            </w:r>
          </w:p>
        </w:tc>
        <w:tc>
          <w:tcPr>
            <w:tcW w:w="1418" w:type="dxa"/>
            <w:tcBorders>
              <w:top w:val="nil"/>
              <w:left w:val="nil"/>
              <w:bottom w:val="nil"/>
              <w:right w:val="nil"/>
            </w:tcBorders>
            <w:noWrap/>
            <w:vAlign w:val="bottom"/>
            <w:hideMark/>
          </w:tcPr>
          <w:p w14:paraId="43C60BAE" w14:textId="77777777" w:rsidR="00677577" w:rsidRPr="002154E6" w:rsidRDefault="00677577" w:rsidP="006F1B94">
            <w:pPr>
              <w:spacing w:after="0" w:line="240" w:lineRule="auto"/>
              <w:jc w:val="right"/>
              <w:rPr>
                <w:sz w:val="20"/>
                <w:szCs w:val="20"/>
              </w:rPr>
            </w:pPr>
            <w:r w:rsidRPr="002154E6">
              <w:rPr>
                <w:sz w:val="20"/>
                <w:szCs w:val="20"/>
              </w:rPr>
              <w:t>0.018***</w:t>
            </w:r>
          </w:p>
        </w:tc>
        <w:tc>
          <w:tcPr>
            <w:tcW w:w="1842" w:type="dxa"/>
            <w:tcBorders>
              <w:top w:val="nil"/>
              <w:left w:val="nil"/>
              <w:bottom w:val="nil"/>
              <w:right w:val="single" w:sz="4" w:space="0" w:color="auto"/>
            </w:tcBorders>
            <w:noWrap/>
            <w:vAlign w:val="bottom"/>
            <w:hideMark/>
          </w:tcPr>
          <w:p w14:paraId="1FBAE42F" w14:textId="77777777" w:rsidR="00677577" w:rsidRPr="002154E6" w:rsidRDefault="00677577" w:rsidP="006F1B94">
            <w:pPr>
              <w:spacing w:after="0" w:line="240" w:lineRule="auto"/>
              <w:jc w:val="right"/>
              <w:rPr>
                <w:sz w:val="20"/>
                <w:szCs w:val="20"/>
              </w:rPr>
            </w:pPr>
            <w:r w:rsidRPr="002154E6">
              <w:rPr>
                <w:sz w:val="20"/>
                <w:szCs w:val="20"/>
              </w:rPr>
              <w:t>-0.010***</w:t>
            </w:r>
          </w:p>
        </w:tc>
      </w:tr>
      <w:tr w:rsidR="00677577" w:rsidRPr="00167CB8" w14:paraId="0EA697DE" w14:textId="77777777">
        <w:trPr>
          <w:trHeight w:val="211"/>
        </w:trPr>
        <w:tc>
          <w:tcPr>
            <w:tcW w:w="5812" w:type="dxa"/>
            <w:tcBorders>
              <w:top w:val="nil"/>
              <w:left w:val="single" w:sz="4" w:space="0" w:color="auto"/>
              <w:bottom w:val="nil"/>
              <w:right w:val="nil"/>
            </w:tcBorders>
            <w:noWrap/>
            <w:vAlign w:val="bottom"/>
            <w:hideMark/>
          </w:tcPr>
          <w:p w14:paraId="63AF0D8F" w14:textId="77777777" w:rsidR="00677577" w:rsidRPr="002154E6" w:rsidRDefault="00677577">
            <w:pPr>
              <w:spacing w:after="0" w:line="240" w:lineRule="auto"/>
              <w:rPr>
                <w:sz w:val="20"/>
                <w:szCs w:val="20"/>
              </w:rPr>
            </w:pPr>
          </w:p>
        </w:tc>
        <w:tc>
          <w:tcPr>
            <w:tcW w:w="1418" w:type="dxa"/>
            <w:tcBorders>
              <w:top w:val="nil"/>
              <w:left w:val="nil"/>
              <w:bottom w:val="nil"/>
              <w:right w:val="nil"/>
            </w:tcBorders>
            <w:noWrap/>
            <w:vAlign w:val="bottom"/>
            <w:hideMark/>
          </w:tcPr>
          <w:p w14:paraId="4DA81A90" w14:textId="77777777" w:rsidR="00677577" w:rsidRPr="002154E6" w:rsidRDefault="00677577" w:rsidP="006F1B94">
            <w:pPr>
              <w:spacing w:after="0" w:line="240" w:lineRule="auto"/>
              <w:jc w:val="right"/>
              <w:rPr>
                <w:sz w:val="20"/>
                <w:szCs w:val="20"/>
              </w:rPr>
            </w:pPr>
            <w:r w:rsidRPr="002154E6">
              <w:rPr>
                <w:sz w:val="20"/>
                <w:szCs w:val="20"/>
              </w:rPr>
              <w:t>(0.002)</w:t>
            </w:r>
          </w:p>
        </w:tc>
        <w:tc>
          <w:tcPr>
            <w:tcW w:w="1842" w:type="dxa"/>
            <w:tcBorders>
              <w:top w:val="nil"/>
              <w:left w:val="nil"/>
              <w:bottom w:val="nil"/>
              <w:right w:val="single" w:sz="4" w:space="0" w:color="auto"/>
            </w:tcBorders>
            <w:noWrap/>
            <w:vAlign w:val="bottom"/>
            <w:hideMark/>
          </w:tcPr>
          <w:p w14:paraId="450FEA91" w14:textId="77777777" w:rsidR="00677577" w:rsidRPr="002154E6" w:rsidRDefault="00677577" w:rsidP="006F1B94">
            <w:pPr>
              <w:spacing w:after="0" w:line="240" w:lineRule="auto"/>
              <w:jc w:val="right"/>
              <w:rPr>
                <w:sz w:val="20"/>
                <w:szCs w:val="20"/>
              </w:rPr>
            </w:pPr>
            <w:r w:rsidRPr="002154E6">
              <w:rPr>
                <w:sz w:val="20"/>
                <w:szCs w:val="20"/>
              </w:rPr>
              <w:t>(0.002)</w:t>
            </w:r>
          </w:p>
        </w:tc>
      </w:tr>
      <w:tr w:rsidR="00677577" w:rsidRPr="00167CB8" w14:paraId="06B37142" w14:textId="77777777">
        <w:trPr>
          <w:trHeight w:val="211"/>
        </w:trPr>
        <w:tc>
          <w:tcPr>
            <w:tcW w:w="5812" w:type="dxa"/>
            <w:tcBorders>
              <w:top w:val="nil"/>
              <w:left w:val="single" w:sz="4" w:space="0" w:color="auto"/>
              <w:bottom w:val="nil"/>
              <w:right w:val="nil"/>
            </w:tcBorders>
            <w:noWrap/>
            <w:vAlign w:val="bottom"/>
            <w:hideMark/>
          </w:tcPr>
          <w:p w14:paraId="281CD54D" w14:textId="77777777" w:rsidR="00677577" w:rsidRPr="002154E6" w:rsidRDefault="00677577">
            <w:pPr>
              <w:spacing w:after="0" w:line="240" w:lineRule="auto"/>
              <w:rPr>
                <w:sz w:val="20"/>
                <w:szCs w:val="20"/>
              </w:rPr>
            </w:pPr>
            <w:r w:rsidRPr="002154E6">
              <w:rPr>
                <w:sz w:val="20"/>
                <w:szCs w:val="20"/>
              </w:rPr>
              <w:t>thresh22 (=1 if thresh=1 &amp; post22=1)</w:t>
            </w:r>
          </w:p>
        </w:tc>
        <w:tc>
          <w:tcPr>
            <w:tcW w:w="1418" w:type="dxa"/>
            <w:tcBorders>
              <w:top w:val="nil"/>
              <w:left w:val="nil"/>
              <w:bottom w:val="nil"/>
              <w:right w:val="nil"/>
            </w:tcBorders>
            <w:noWrap/>
            <w:vAlign w:val="bottom"/>
            <w:hideMark/>
          </w:tcPr>
          <w:p w14:paraId="752FA08B" w14:textId="77777777" w:rsidR="00677577" w:rsidRPr="002154E6" w:rsidRDefault="00677577" w:rsidP="006F1B94">
            <w:pPr>
              <w:spacing w:after="0" w:line="240" w:lineRule="auto"/>
              <w:jc w:val="right"/>
              <w:rPr>
                <w:sz w:val="20"/>
                <w:szCs w:val="20"/>
              </w:rPr>
            </w:pPr>
            <w:r w:rsidRPr="002154E6">
              <w:rPr>
                <w:sz w:val="20"/>
                <w:szCs w:val="20"/>
              </w:rPr>
              <w:t>0.000</w:t>
            </w:r>
          </w:p>
        </w:tc>
        <w:tc>
          <w:tcPr>
            <w:tcW w:w="1842" w:type="dxa"/>
            <w:tcBorders>
              <w:top w:val="nil"/>
              <w:left w:val="nil"/>
              <w:bottom w:val="nil"/>
              <w:right w:val="single" w:sz="4" w:space="0" w:color="auto"/>
            </w:tcBorders>
            <w:noWrap/>
            <w:vAlign w:val="bottom"/>
            <w:hideMark/>
          </w:tcPr>
          <w:p w14:paraId="3F2EEFD4" w14:textId="77777777" w:rsidR="00677577" w:rsidRPr="002154E6" w:rsidRDefault="00677577" w:rsidP="006F1B94">
            <w:pPr>
              <w:spacing w:after="0" w:line="240" w:lineRule="auto"/>
              <w:jc w:val="right"/>
              <w:rPr>
                <w:sz w:val="20"/>
                <w:szCs w:val="20"/>
              </w:rPr>
            </w:pPr>
            <w:r w:rsidRPr="002154E6">
              <w:rPr>
                <w:sz w:val="20"/>
                <w:szCs w:val="20"/>
              </w:rPr>
              <w:t>0.004</w:t>
            </w:r>
          </w:p>
        </w:tc>
      </w:tr>
      <w:tr w:rsidR="00677577" w:rsidRPr="00167CB8" w14:paraId="477CA48A" w14:textId="77777777">
        <w:trPr>
          <w:trHeight w:val="211"/>
        </w:trPr>
        <w:tc>
          <w:tcPr>
            <w:tcW w:w="5812" w:type="dxa"/>
            <w:tcBorders>
              <w:top w:val="nil"/>
              <w:left w:val="single" w:sz="4" w:space="0" w:color="auto"/>
              <w:bottom w:val="nil"/>
              <w:right w:val="nil"/>
            </w:tcBorders>
            <w:noWrap/>
            <w:vAlign w:val="bottom"/>
            <w:hideMark/>
          </w:tcPr>
          <w:p w14:paraId="2D0CB144" w14:textId="77777777" w:rsidR="00677577" w:rsidRPr="002154E6" w:rsidRDefault="00677577">
            <w:pPr>
              <w:spacing w:after="0" w:line="240" w:lineRule="auto"/>
              <w:rPr>
                <w:sz w:val="20"/>
                <w:szCs w:val="20"/>
              </w:rPr>
            </w:pPr>
          </w:p>
        </w:tc>
        <w:tc>
          <w:tcPr>
            <w:tcW w:w="1418" w:type="dxa"/>
            <w:tcBorders>
              <w:top w:val="nil"/>
              <w:left w:val="nil"/>
              <w:bottom w:val="nil"/>
              <w:right w:val="nil"/>
            </w:tcBorders>
            <w:noWrap/>
            <w:vAlign w:val="bottom"/>
            <w:hideMark/>
          </w:tcPr>
          <w:p w14:paraId="5AF951B2" w14:textId="77777777" w:rsidR="00677577" w:rsidRPr="002154E6" w:rsidRDefault="00677577" w:rsidP="006F1B94">
            <w:pPr>
              <w:spacing w:after="0" w:line="240" w:lineRule="auto"/>
              <w:jc w:val="right"/>
              <w:rPr>
                <w:sz w:val="20"/>
                <w:szCs w:val="20"/>
              </w:rPr>
            </w:pPr>
            <w:r w:rsidRPr="002154E6">
              <w:rPr>
                <w:sz w:val="20"/>
                <w:szCs w:val="20"/>
              </w:rPr>
              <w:t>(0.007)</w:t>
            </w:r>
          </w:p>
        </w:tc>
        <w:tc>
          <w:tcPr>
            <w:tcW w:w="1842" w:type="dxa"/>
            <w:tcBorders>
              <w:top w:val="nil"/>
              <w:left w:val="nil"/>
              <w:bottom w:val="nil"/>
              <w:right w:val="single" w:sz="4" w:space="0" w:color="auto"/>
            </w:tcBorders>
            <w:noWrap/>
            <w:vAlign w:val="bottom"/>
            <w:hideMark/>
          </w:tcPr>
          <w:p w14:paraId="29C00B42" w14:textId="77777777" w:rsidR="00677577" w:rsidRPr="002154E6" w:rsidRDefault="00677577" w:rsidP="006F1B94">
            <w:pPr>
              <w:spacing w:after="0" w:line="240" w:lineRule="auto"/>
              <w:jc w:val="right"/>
              <w:rPr>
                <w:sz w:val="20"/>
                <w:szCs w:val="20"/>
              </w:rPr>
            </w:pPr>
            <w:r w:rsidRPr="002154E6">
              <w:rPr>
                <w:sz w:val="20"/>
                <w:szCs w:val="20"/>
              </w:rPr>
              <w:t>(0.010)</w:t>
            </w:r>
          </w:p>
        </w:tc>
      </w:tr>
      <w:tr w:rsidR="00677577" w:rsidRPr="00167CB8" w14:paraId="6431F8C5" w14:textId="77777777">
        <w:trPr>
          <w:trHeight w:val="211"/>
        </w:trPr>
        <w:tc>
          <w:tcPr>
            <w:tcW w:w="5812" w:type="dxa"/>
            <w:tcBorders>
              <w:top w:val="nil"/>
              <w:left w:val="single" w:sz="4" w:space="0" w:color="auto"/>
              <w:bottom w:val="nil"/>
              <w:right w:val="nil"/>
            </w:tcBorders>
            <w:noWrap/>
            <w:vAlign w:val="bottom"/>
            <w:hideMark/>
          </w:tcPr>
          <w:p w14:paraId="13C11981" w14:textId="77777777" w:rsidR="00677577" w:rsidRPr="002154E6" w:rsidRDefault="00677577">
            <w:pPr>
              <w:spacing w:after="0" w:line="240" w:lineRule="auto"/>
              <w:rPr>
                <w:sz w:val="20"/>
                <w:szCs w:val="20"/>
              </w:rPr>
            </w:pPr>
            <w:r w:rsidRPr="002154E6">
              <w:rPr>
                <w:sz w:val="20"/>
                <w:szCs w:val="20"/>
              </w:rPr>
              <w:t>Female (=1 if female)</w:t>
            </w:r>
          </w:p>
        </w:tc>
        <w:tc>
          <w:tcPr>
            <w:tcW w:w="1418" w:type="dxa"/>
            <w:tcBorders>
              <w:top w:val="nil"/>
              <w:left w:val="nil"/>
              <w:bottom w:val="nil"/>
              <w:right w:val="nil"/>
            </w:tcBorders>
            <w:noWrap/>
            <w:vAlign w:val="bottom"/>
            <w:hideMark/>
          </w:tcPr>
          <w:p w14:paraId="71FC1565" w14:textId="77777777" w:rsidR="00677577" w:rsidRPr="002154E6" w:rsidRDefault="00677577" w:rsidP="006F1B94">
            <w:pPr>
              <w:spacing w:after="0" w:line="240" w:lineRule="auto"/>
              <w:jc w:val="right"/>
              <w:rPr>
                <w:sz w:val="20"/>
                <w:szCs w:val="20"/>
              </w:rPr>
            </w:pPr>
            <w:r w:rsidRPr="002154E6">
              <w:rPr>
                <w:sz w:val="20"/>
                <w:szCs w:val="20"/>
              </w:rPr>
              <w:t>-0.002</w:t>
            </w:r>
          </w:p>
        </w:tc>
        <w:tc>
          <w:tcPr>
            <w:tcW w:w="1842" w:type="dxa"/>
            <w:tcBorders>
              <w:top w:val="nil"/>
              <w:left w:val="nil"/>
              <w:bottom w:val="nil"/>
              <w:right w:val="single" w:sz="4" w:space="0" w:color="auto"/>
            </w:tcBorders>
            <w:noWrap/>
            <w:vAlign w:val="bottom"/>
            <w:hideMark/>
          </w:tcPr>
          <w:p w14:paraId="6ECDB1FC" w14:textId="77777777" w:rsidR="00677577" w:rsidRPr="002154E6" w:rsidRDefault="00677577" w:rsidP="006F1B94">
            <w:pPr>
              <w:spacing w:after="0" w:line="240" w:lineRule="auto"/>
              <w:jc w:val="right"/>
              <w:rPr>
                <w:sz w:val="20"/>
                <w:szCs w:val="20"/>
              </w:rPr>
            </w:pPr>
            <w:r w:rsidRPr="002154E6">
              <w:rPr>
                <w:sz w:val="20"/>
                <w:szCs w:val="20"/>
              </w:rPr>
              <w:t>-0.001</w:t>
            </w:r>
          </w:p>
        </w:tc>
      </w:tr>
      <w:tr w:rsidR="00677577" w:rsidRPr="00167CB8" w14:paraId="44361550" w14:textId="77777777">
        <w:trPr>
          <w:trHeight w:val="211"/>
        </w:trPr>
        <w:tc>
          <w:tcPr>
            <w:tcW w:w="5812" w:type="dxa"/>
            <w:tcBorders>
              <w:top w:val="nil"/>
              <w:left w:val="single" w:sz="4" w:space="0" w:color="auto"/>
              <w:bottom w:val="nil"/>
              <w:right w:val="nil"/>
            </w:tcBorders>
            <w:noWrap/>
            <w:vAlign w:val="bottom"/>
            <w:hideMark/>
          </w:tcPr>
          <w:p w14:paraId="6C2190E1" w14:textId="77777777" w:rsidR="00677577" w:rsidRPr="002154E6" w:rsidRDefault="00677577">
            <w:pPr>
              <w:spacing w:after="0" w:line="240" w:lineRule="auto"/>
              <w:rPr>
                <w:sz w:val="20"/>
                <w:szCs w:val="20"/>
              </w:rPr>
            </w:pPr>
          </w:p>
        </w:tc>
        <w:tc>
          <w:tcPr>
            <w:tcW w:w="1418" w:type="dxa"/>
            <w:tcBorders>
              <w:top w:val="nil"/>
              <w:left w:val="nil"/>
              <w:bottom w:val="nil"/>
              <w:right w:val="nil"/>
            </w:tcBorders>
            <w:noWrap/>
            <w:vAlign w:val="bottom"/>
            <w:hideMark/>
          </w:tcPr>
          <w:p w14:paraId="5EBFF67B" w14:textId="77777777" w:rsidR="00677577" w:rsidRPr="002154E6" w:rsidRDefault="00677577" w:rsidP="006F1B94">
            <w:pPr>
              <w:spacing w:after="0" w:line="240" w:lineRule="auto"/>
              <w:jc w:val="right"/>
              <w:rPr>
                <w:sz w:val="20"/>
                <w:szCs w:val="20"/>
              </w:rPr>
            </w:pPr>
            <w:r w:rsidRPr="002154E6">
              <w:rPr>
                <w:sz w:val="20"/>
                <w:szCs w:val="20"/>
              </w:rPr>
              <w:t>(0.001)</w:t>
            </w:r>
          </w:p>
        </w:tc>
        <w:tc>
          <w:tcPr>
            <w:tcW w:w="1842" w:type="dxa"/>
            <w:tcBorders>
              <w:top w:val="nil"/>
              <w:left w:val="nil"/>
              <w:bottom w:val="nil"/>
              <w:right w:val="single" w:sz="4" w:space="0" w:color="auto"/>
            </w:tcBorders>
            <w:noWrap/>
            <w:vAlign w:val="bottom"/>
            <w:hideMark/>
          </w:tcPr>
          <w:p w14:paraId="055FB882" w14:textId="77777777" w:rsidR="00677577" w:rsidRPr="002154E6" w:rsidRDefault="00677577" w:rsidP="006F1B94">
            <w:pPr>
              <w:spacing w:after="0" w:line="240" w:lineRule="auto"/>
              <w:jc w:val="right"/>
              <w:rPr>
                <w:sz w:val="20"/>
                <w:szCs w:val="20"/>
              </w:rPr>
            </w:pPr>
            <w:r w:rsidRPr="002154E6">
              <w:rPr>
                <w:sz w:val="20"/>
                <w:szCs w:val="20"/>
              </w:rPr>
              <w:t>(0.001)</w:t>
            </w:r>
          </w:p>
        </w:tc>
      </w:tr>
      <w:tr w:rsidR="00677577" w:rsidRPr="00167CB8" w14:paraId="2A26409B" w14:textId="77777777">
        <w:trPr>
          <w:trHeight w:val="211"/>
        </w:trPr>
        <w:tc>
          <w:tcPr>
            <w:tcW w:w="5812" w:type="dxa"/>
            <w:tcBorders>
              <w:top w:val="nil"/>
              <w:left w:val="single" w:sz="4" w:space="0" w:color="auto"/>
              <w:bottom w:val="nil"/>
              <w:right w:val="nil"/>
            </w:tcBorders>
            <w:noWrap/>
            <w:vAlign w:val="bottom"/>
            <w:hideMark/>
          </w:tcPr>
          <w:p w14:paraId="69DC7FD7" w14:textId="77777777" w:rsidR="00677577" w:rsidRPr="002154E6" w:rsidRDefault="00677577">
            <w:pPr>
              <w:spacing w:after="0" w:line="240" w:lineRule="auto"/>
              <w:rPr>
                <w:sz w:val="20"/>
                <w:szCs w:val="20"/>
              </w:rPr>
            </w:pPr>
            <w:r w:rsidRPr="002154E6">
              <w:rPr>
                <w:sz w:val="20"/>
                <w:szCs w:val="20"/>
              </w:rPr>
              <w:t>age2534 (=1 if aged 25-34)</w:t>
            </w:r>
          </w:p>
        </w:tc>
        <w:tc>
          <w:tcPr>
            <w:tcW w:w="1418" w:type="dxa"/>
            <w:tcBorders>
              <w:top w:val="nil"/>
              <w:left w:val="nil"/>
              <w:bottom w:val="nil"/>
              <w:right w:val="nil"/>
            </w:tcBorders>
            <w:noWrap/>
            <w:vAlign w:val="bottom"/>
            <w:hideMark/>
          </w:tcPr>
          <w:p w14:paraId="4B215CE2" w14:textId="77777777" w:rsidR="00677577" w:rsidRPr="002154E6" w:rsidRDefault="00677577" w:rsidP="006F1B94">
            <w:pPr>
              <w:spacing w:after="0" w:line="240" w:lineRule="auto"/>
              <w:jc w:val="right"/>
              <w:rPr>
                <w:sz w:val="20"/>
                <w:szCs w:val="20"/>
              </w:rPr>
            </w:pPr>
            <w:r w:rsidRPr="002154E6">
              <w:rPr>
                <w:sz w:val="20"/>
                <w:szCs w:val="20"/>
              </w:rPr>
              <w:t>0.005***</w:t>
            </w:r>
          </w:p>
        </w:tc>
        <w:tc>
          <w:tcPr>
            <w:tcW w:w="1842" w:type="dxa"/>
            <w:tcBorders>
              <w:top w:val="nil"/>
              <w:left w:val="nil"/>
              <w:bottom w:val="nil"/>
              <w:right w:val="single" w:sz="4" w:space="0" w:color="auto"/>
            </w:tcBorders>
            <w:noWrap/>
            <w:vAlign w:val="bottom"/>
            <w:hideMark/>
          </w:tcPr>
          <w:p w14:paraId="59F514A7" w14:textId="77777777" w:rsidR="00677577" w:rsidRPr="002154E6" w:rsidRDefault="00677577" w:rsidP="006F1B94">
            <w:pPr>
              <w:spacing w:after="0" w:line="240" w:lineRule="auto"/>
              <w:jc w:val="right"/>
              <w:rPr>
                <w:sz w:val="20"/>
                <w:szCs w:val="20"/>
              </w:rPr>
            </w:pPr>
            <w:r w:rsidRPr="002154E6">
              <w:rPr>
                <w:sz w:val="20"/>
                <w:szCs w:val="20"/>
              </w:rPr>
              <w:t>0.005***</w:t>
            </w:r>
          </w:p>
        </w:tc>
      </w:tr>
      <w:tr w:rsidR="00677577" w:rsidRPr="00167CB8" w14:paraId="1903E635" w14:textId="77777777">
        <w:trPr>
          <w:trHeight w:val="211"/>
        </w:trPr>
        <w:tc>
          <w:tcPr>
            <w:tcW w:w="5812" w:type="dxa"/>
            <w:tcBorders>
              <w:top w:val="nil"/>
              <w:left w:val="single" w:sz="4" w:space="0" w:color="auto"/>
              <w:bottom w:val="nil"/>
              <w:right w:val="nil"/>
            </w:tcBorders>
            <w:noWrap/>
            <w:vAlign w:val="bottom"/>
            <w:hideMark/>
          </w:tcPr>
          <w:p w14:paraId="18895067" w14:textId="77777777" w:rsidR="00677577" w:rsidRPr="002154E6" w:rsidRDefault="00677577">
            <w:pPr>
              <w:spacing w:after="0" w:line="240" w:lineRule="auto"/>
              <w:rPr>
                <w:sz w:val="20"/>
                <w:szCs w:val="20"/>
              </w:rPr>
            </w:pPr>
          </w:p>
        </w:tc>
        <w:tc>
          <w:tcPr>
            <w:tcW w:w="1418" w:type="dxa"/>
            <w:tcBorders>
              <w:top w:val="nil"/>
              <w:left w:val="nil"/>
              <w:bottom w:val="nil"/>
              <w:right w:val="nil"/>
            </w:tcBorders>
            <w:noWrap/>
            <w:vAlign w:val="bottom"/>
            <w:hideMark/>
          </w:tcPr>
          <w:p w14:paraId="66DE4DF1" w14:textId="77777777" w:rsidR="00677577" w:rsidRPr="002154E6" w:rsidRDefault="00677577" w:rsidP="006F1B94">
            <w:pPr>
              <w:spacing w:after="0" w:line="240" w:lineRule="auto"/>
              <w:jc w:val="right"/>
              <w:rPr>
                <w:sz w:val="20"/>
                <w:szCs w:val="20"/>
              </w:rPr>
            </w:pPr>
            <w:r w:rsidRPr="002154E6">
              <w:rPr>
                <w:sz w:val="20"/>
                <w:szCs w:val="20"/>
              </w:rPr>
              <w:t>(0.002)</w:t>
            </w:r>
          </w:p>
        </w:tc>
        <w:tc>
          <w:tcPr>
            <w:tcW w:w="1842" w:type="dxa"/>
            <w:tcBorders>
              <w:top w:val="nil"/>
              <w:left w:val="nil"/>
              <w:bottom w:val="nil"/>
              <w:right w:val="single" w:sz="4" w:space="0" w:color="auto"/>
            </w:tcBorders>
            <w:noWrap/>
            <w:vAlign w:val="bottom"/>
            <w:hideMark/>
          </w:tcPr>
          <w:p w14:paraId="7960FE2C" w14:textId="77777777" w:rsidR="00677577" w:rsidRPr="002154E6" w:rsidRDefault="00677577" w:rsidP="006F1B94">
            <w:pPr>
              <w:spacing w:after="0" w:line="240" w:lineRule="auto"/>
              <w:jc w:val="right"/>
              <w:rPr>
                <w:sz w:val="20"/>
                <w:szCs w:val="20"/>
              </w:rPr>
            </w:pPr>
            <w:r w:rsidRPr="002154E6">
              <w:rPr>
                <w:sz w:val="20"/>
                <w:szCs w:val="20"/>
              </w:rPr>
              <w:t>(0.002)</w:t>
            </w:r>
          </w:p>
        </w:tc>
      </w:tr>
      <w:tr w:rsidR="00677577" w:rsidRPr="00167CB8" w14:paraId="44B4A8C6" w14:textId="77777777">
        <w:trPr>
          <w:trHeight w:val="211"/>
        </w:trPr>
        <w:tc>
          <w:tcPr>
            <w:tcW w:w="5812" w:type="dxa"/>
            <w:tcBorders>
              <w:top w:val="nil"/>
              <w:left w:val="single" w:sz="4" w:space="0" w:color="auto"/>
              <w:bottom w:val="nil"/>
              <w:right w:val="nil"/>
            </w:tcBorders>
            <w:noWrap/>
            <w:vAlign w:val="bottom"/>
            <w:hideMark/>
          </w:tcPr>
          <w:p w14:paraId="45A33B6C" w14:textId="77777777" w:rsidR="00677577" w:rsidRPr="002154E6" w:rsidRDefault="00677577">
            <w:pPr>
              <w:spacing w:after="0" w:line="240" w:lineRule="auto"/>
              <w:rPr>
                <w:sz w:val="20"/>
                <w:szCs w:val="20"/>
              </w:rPr>
            </w:pPr>
            <w:r w:rsidRPr="002154E6">
              <w:rPr>
                <w:sz w:val="20"/>
                <w:szCs w:val="20"/>
              </w:rPr>
              <w:t>age3554 (=1 if aged 35-54)</w:t>
            </w:r>
          </w:p>
        </w:tc>
        <w:tc>
          <w:tcPr>
            <w:tcW w:w="1418" w:type="dxa"/>
            <w:tcBorders>
              <w:top w:val="nil"/>
              <w:left w:val="nil"/>
              <w:bottom w:val="nil"/>
              <w:right w:val="nil"/>
            </w:tcBorders>
            <w:noWrap/>
            <w:vAlign w:val="bottom"/>
            <w:hideMark/>
          </w:tcPr>
          <w:p w14:paraId="222B729B" w14:textId="77777777" w:rsidR="00677577" w:rsidRPr="002154E6" w:rsidRDefault="00677577" w:rsidP="006F1B94">
            <w:pPr>
              <w:spacing w:after="0" w:line="240" w:lineRule="auto"/>
              <w:jc w:val="right"/>
              <w:rPr>
                <w:sz w:val="20"/>
                <w:szCs w:val="20"/>
              </w:rPr>
            </w:pPr>
            <w:r w:rsidRPr="002154E6">
              <w:rPr>
                <w:sz w:val="20"/>
                <w:szCs w:val="20"/>
              </w:rPr>
              <w:t>-0.002</w:t>
            </w:r>
          </w:p>
        </w:tc>
        <w:tc>
          <w:tcPr>
            <w:tcW w:w="1842" w:type="dxa"/>
            <w:tcBorders>
              <w:top w:val="nil"/>
              <w:left w:val="nil"/>
              <w:bottom w:val="nil"/>
              <w:right w:val="single" w:sz="4" w:space="0" w:color="auto"/>
            </w:tcBorders>
            <w:noWrap/>
            <w:vAlign w:val="bottom"/>
            <w:hideMark/>
          </w:tcPr>
          <w:p w14:paraId="77D86C03" w14:textId="77777777" w:rsidR="00677577" w:rsidRPr="002154E6" w:rsidRDefault="00677577" w:rsidP="006F1B94">
            <w:pPr>
              <w:spacing w:after="0" w:line="240" w:lineRule="auto"/>
              <w:jc w:val="right"/>
              <w:rPr>
                <w:sz w:val="20"/>
                <w:szCs w:val="20"/>
              </w:rPr>
            </w:pPr>
            <w:r w:rsidRPr="002154E6">
              <w:rPr>
                <w:sz w:val="20"/>
                <w:szCs w:val="20"/>
              </w:rPr>
              <w:t>-0.004**</w:t>
            </w:r>
          </w:p>
        </w:tc>
      </w:tr>
      <w:tr w:rsidR="00677577" w:rsidRPr="00167CB8" w14:paraId="409566E7" w14:textId="77777777">
        <w:trPr>
          <w:trHeight w:val="211"/>
        </w:trPr>
        <w:tc>
          <w:tcPr>
            <w:tcW w:w="5812" w:type="dxa"/>
            <w:tcBorders>
              <w:top w:val="nil"/>
              <w:left w:val="single" w:sz="4" w:space="0" w:color="auto"/>
              <w:bottom w:val="nil"/>
              <w:right w:val="nil"/>
            </w:tcBorders>
            <w:noWrap/>
            <w:vAlign w:val="bottom"/>
            <w:hideMark/>
          </w:tcPr>
          <w:p w14:paraId="61BB8D2B" w14:textId="77777777" w:rsidR="00677577" w:rsidRPr="002154E6" w:rsidRDefault="00677577">
            <w:pPr>
              <w:spacing w:after="0" w:line="240" w:lineRule="auto"/>
              <w:rPr>
                <w:sz w:val="20"/>
                <w:szCs w:val="20"/>
              </w:rPr>
            </w:pPr>
          </w:p>
        </w:tc>
        <w:tc>
          <w:tcPr>
            <w:tcW w:w="1418" w:type="dxa"/>
            <w:tcBorders>
              <w:top w:val="nil"/>
              <w:left w:val="nil"/>
              <w:bottom w:val="nil"/>
              <w:right w:val="nil"/>
            </w:tcBorders>
            <w:noWrap/>
            <w:vAlign w:val="bottom"/>
            <w:hideMark/>
          </w:tcPr>
          <w:p w14:paraId="73239145" w14:textId="77777777" w:rsidR="00677577" w:rsidRPr="002154E6" w:rsidRDefault="00677577" w:rsidP="006F1B94">
            <w:pPr>
              <w:spacing w:after="0" w:line="240" w:lineRule="auto"/>
              <w:jc w:val="right"/>
              <w:rPr>
                <w:sz w:val="20"/>
                <w:szCs w:val="20"/>
              </w:rPr>
            </w:pPr>
            <w:r w:rsidRPr="002154E6">
              <w:rPr>
                <w:sz w:val="20"/>
                <w:szCs w:val="20"/>
              </w:rPr>
              <w:t>(0.002)</w:t>
            </w:r>
          </w:p>
        </w:tc>
        <w:tc>
          <w:tcPr>
            <w:tcW w:w="1842" w:type="dxa"/>
            <w:tcBorders>
              <w:top w:val="nil"/>
              <w:left w:val="nil"/>
              <w:bottom w:val="nil"/>
              <w:right w:val="single" w:sz="4" w:space="0" w:color="auto"/>
            </w:tcBorders>
            <w:noWrap/>
            <w:vAlign w:val="bottom"/>
            <w:hideMark/>
          </w:tcPr>
          <w:p w14:paraId="3688FE6D" w14:textId="77777777" w:rsidR="00677577" w:rsidRPr="002154E6" w:rsidRDefault="00677577" w:rsidP="006F1B94">
            <w:pPr>
              <w:spacing w:after="0" w:line="240" w:lineRule="auto"/>
              <w:jc w:val="right"/>
              <w:rPr>
                <w:sz w:val="20"/>
                <w:szCs w:val="20"/>
              </w:rPr>
            </w:pPr>
            <w:r w:rsidRPr="002154E6">
              <w:rPr>
                <w:sz w:val="20"/>
                <w:szCs w:val="20"/>
              </w:rPr>
              <w:t>(0.002)</w:t>
            </w:r>
          </w:p>
        </w:tc>
      </w:tr>
      <w:tr w:rsidR="00677577" w:rsidRPr="00167CB8" w14:paraId="5CB6098C" w14:textId="77777777">
        <w:trPr>
          <w:trHeight w:val="211"/>
        </w:trPr>
        <w:tc>
          <w:tcPr>
            <w:tcW w:w="5812" w:type="dxa"/>
            <w:tcBorders>
              <w:top w:val="nil"/>
              <w:left w:val="single" w:sz="4" w:space="0" w:color="auto"/>
              <w:bottom w:val="nil"/>
              <w:right w:val="nil"/>
            </w:tcBorders>
            <w:noWrap/>
            <w:vAlign w:val="bottom"/>
            <w:hideMark/>
          </w:tcPr>
          <w:p w14:paraId="3E997473" w14:textId="77777777" w:rsidR="00677577" w:rsidRPr="002154E6" w:rsidRDefault="00677577">
            <w:pPr>
              <w:spacing w:after="0" w:line="240" w:lineRule="auto"/>
              <w:rPr>
                <w:sz w:val="20"/>
                <w:szCs w:val="20"/>
              </w:rPr>
            </w:pPr>
            <w:r w:rsidRPr="002154E6">
              <w:rPr>
                <w:sz w:val="20"/>
                <w:szCs w:val="20"/>
              </w:rPr>
              <w:t>age5564 (=1 if aged 55-64)</w:t>
            </w:r>
          </w:p>
        </w:tc>
        <w:tc>
          <w:tcPr>
            <w:tcW w:w="1418" w:type="dxa"/>
            <w:tcBorders>
              <w:top w:val="nil"/>
              <w:left w:val="nil"/>
              <w:bottom w:val="nil"/>
              <w:right w:val="nil"/>
            </w:tcBorders>
            <w:noWrap/>
            <w:vAlign w:val="bottom"/>
            <w:hideMark/>
          </w:tcPr>
          <w:p w14:paraId="20153306" w14:textId="77777777" w:rsidR="00677577" w:rsidRPr="002154E6" w:rsidRDefault="00677577" w:rsidP="006F1B94">
            <w:pPr>
              <w:spacing w:after="0" w:line="240" w:lineRule="auto"/>
              <w:jc w:val="right"/>
              <w:rPr>
                <w:sz w:val="20"/>
                <w:szCs w:val="20"/>
              </w:rPr>
            </w:pPr>
            <w:r w:rsidRPr="002154E6">
              <w:rPr>
                <w:sz w:val="20"/>
                <w:szCs w:val="20"/>
              </w:rPr>
              <w:t>-0.003*</w:t>
            </w:r>
          </w:p>
        </w:tc>
        <w:tc>
          <w:tcPr>
            <w:tcW w:w="1842" w:type="dxa"/>
            <w:tcBorders>
              <w:top w:val="nil"/>
              <w:left w:val="nil"/>
              <w:bottom w:val="nil"/>
              <w:right w:val="single" w:sz="4" w:space="0" w:color="auto"/>
            </w:tcBorders>
            <w:noWrap/>
            <w:vAlign w:val="bottom"/>
            <w:hideMark/>
          </w:tcPr>
          <w:p w14:paraId="68533F73" w14:textId="77777777" w:rsidR="00677577" w:rsidRPr="002154E6" w:rsidRDefault="00677577" w:rsidP="006F1B94">
            <w:pPr>
              <w:spacing w:after="0" w:line="240" w:lineRule="auto"/>
              <w:jc w:val="right"/>
              <w:rPr>
                <w:sz w:val="20"/>
                <w:szCs w:val="20"/>
              </w:rPr>
            </w:pPr>
            <w:r w:rsidRPr="002154E6">
              <w:rPr>
                <w:sz w:val="20"/>
                <w:szCs w:val="20"/>
              </w:rPr>
              <w:t>-0.010***</w:t>
            </w:r>
          </w:p>
        </w:tc>
      </w:tr>
      <w:tr w:rsidR="00677577" w:rsidRPr="00167CB8" w14:paraId="14A9FB16" w14:textId="77777777">
        <w:trPr>
          <w:trHeight w:val="211"/>
        </w:trPr>
        <w:tc>
          <w:tcPr>
            <w:tcW w:w="5812" w:type="dxa"/>
            <w:tcBorders>
              <w:top w:val="nil"/>
              <w:left w:val="single" w:sz="4" w:space="0" w:color="auto"/>
              <w:bottom w:val="nil"/>
              <w:right w:val="nil"/>
            </w:tcBorders>
            <w:noWrap/>
            <w:vAlign w:val="bottom"/>
            <w:hideMark/>
          </w:tcPr>
          <w:p w14:paraId="4E9939D8" w14:textId="77777777" w:rsidR="00677577" w:rsidRPr="002154E6" w:rsidRDefault="00677577">
            <w:pPr>
              <w:spacing w:after="0" w:line="240" w:lineRule="auto"/>
              <w:rPr>
                <w:sz w:val="20"/>
                <w:szCs w:val="20"/>
              </w:rPr>
            </w:pPr>
          </w:p>
        </w:tc>
        <w:tc>
          <w:tcPr>
            <w:tcW w:w="1418" w:type="dxa"/>
            <w:tcBorders>
              <w:top w:val="nil"/>
              <w:left w:val="nil"/>
              <w:bottom w:val="nil"/>
              <w:right w:val="nil"/>
            </w:tcBorders>
            <w:noWrap/>
            <w:vAlign w:val="bottom"/>
            <w:hideMark/>
          </w:tcPr>
          <w:p w14:paraId="674CE237" w14:textId="77777777" w:rsidR="00677577" w:rsidRPr="002154E6" w:rsidRDefault="00677577" w:rsidP="006F1B94">
            <w:pPr>
              <w:spacing w:after="0" w:line="240" w:lineRule="auto"/>
              <w:jc w:val="right"/>
              <w:rPr>
                <w:sz w:val="20"/>
                <w:szCs w:val="20"/>
              </w:rPr>
            </w:pPr>
            <w:r w:rsidRPr="002154E6">
              <w:rPr>
                <w:sz w:val="20"/>
                <w:szCs w:val="20"/>
              </w:rPr>
              <w:t>(0.002)</w:t>
            </w:r>
          </w:p>
        </w:tc>
        <w:tc>
          <w:tcPr>
            <w:tcW w:w="1842" w:type="dxa"/>
            <w:tcBorders>
              <w:top w:val="nil"/>
              <w:left w:val="nil"/>
              <w:bottom w:val="nil"/>
              <w:right w:val="single" w:sz="4" w:space="0" w:color="auto"/>
            </w:tcBorders>
            <w:noWrap/>
            <w:vAlign w:val="bottom"/>
            <w:hideMark/>
          </w:tcPr>
          <w:p w14:paraId="0B8F5484" w14:textId="77777777" w:rsidR="00677577" w:rsidRPr="002154E6" w:rsidRDefault="00677577" w:rsidP="006F1B94">
            <w:pPr>
              <w:spacing w:after="0" w:line="240" w:lineRule="auto"/>
              <w:jc w:val="right"/>
              <w:rPr>
                <w:sz w:val="20"/>
                <w:szCs w:val="20"/>
              </w:rPr>
            </w:pPr>
            <w:r w:rsidRPr="002154E6">
              <w:rPr>
                <w:sz w:val="20"/>
                <w:szCs w:val="20"/>
              </w:rPr>
              <w:t>(0.002)</w:t>
            </w:r>
          </w:p>
        </w:tc>
      </w:tr>
      <w:tr w:rsidR="00677577" w:rsidRPr="00167CB8" w14:paraId="59324E19" w14:textId="77777777">
        <w:trPr>
          <w:trHeight w:val="211"/>
        </w:trPr>
        <w:tc>
          <w:tcPr>
            <w:tcW w:w="5812" w:type="dxa"/>
            <w:tcBorders>
              <w:top w:val="nil"/>
              <w:left w:val="single" w:sz="4" w:space="0" w:color="auto"/>
              <w:bottom w:val="nil"/>
              <w:right w:val="nil"/>
            </w:tcBorders>
            <w:noWrap/>
            <w:vAlign w:val="bottom"/>
            <w:hideMark/>
          </w:tcPr>
          <w:p w14:paraId="58123822" w14:textId="77777777" w:rsidR="00677577" w:rsidRPr="002154E6" w:rsidRDefault="00677577">
            <w:pPr>
              <w:spacing w:after="0" w:line="240" w:lineRule="auto"/>
              <w:rPr>
                <w:sz w:val="20"/>
                <w:szCs w:val="20"/>
              </w:rPr>
            </w:pPr>
            <w:r w:rsidRPr="002154E6">
              <w:rPr>
                <w:sz w:val="20"/>
                <w:szCs w:val="20"/>
              </w:rPr>
              <w:t xml:space="preserve">Manager </w:t>
            </w:r>
          </w:p>
        </w:tc>
        <w:tc>
          <w:tcPr>
            <w:tcW w:w="1418" w:type="dxa"/>
            <w:tcBorders>
              <w:top w:val="nil"/>
              <w:left w:val="nil"/>
              <w:bottom w:val="nil"/>
              <w:right w:val="nil"/>
            </w:tcBorders>
            <w:noWrap/>
            <w:vAlign w:val="bottom"/>
            <w:hideMark/>
          </w:tcPr>
          <w:p w14:paraId="4E005295" w14:textId="77777777" w:rsidR="00677577" w:rsidRPr="002154E6" w:rsidRDefault="00677577" w:rsidP="006F1B94">
            <w:pPr>
              <w:spacing w:after="0" w:line="240" w:lineRule="auto"/>
              <w:jc w:val="right"/>
              <w:rPr>
                <w:sz w:val="20"/>
                <w:szCs w:val="20"/>
              </w:rPr>
            </w:pPr>
            <w:r w:rsidRPr="002154E6">
              <w:rPr>
                <w:sz w:val="20"/>
                <w:szCs w:val="20"/>
              </w:rPr>
              <w:t>0.048***</w:t>
            </w:r>
          </w:p>
        </w:tc>
        <w:tc>
          <w:tcPr>
            <w:tcW w:w="1842" w:type="dxa"/>
            <w:tcBorders>
              <w:top w:val="nil"/>
              <w:left w:val="nil"/>
              <w:bottom w:val="nil"/>
              <w:right w:val="single" w:sz="4" w:space="0" w:color="auto"/>
            </w:tcBorders>
            <w:noWrap/>
            <w:vAlign w:val="bottom"/>
            <w:hideMark/>
          </w:tcPr>
          <w:p w14:paraId="7D6CFCFC" w14:textId="77777777" w:rsidR="00677577" w:rsidRPr="002154E6" w:rsidRDefault="00677577" w:rsidP="006F1B94">
            <w:pPr>
              <w:spacing w:after="0" w:line="240" w:lineRule="auto"/>
              <w:jc w:val="right"/>
              <w:rPr>
                <w:sz w:val="20"/>
                <w:szCs w:val="20"/>
              </w:rPr>
            </w:pPr>
            <w:r w:rsidRPr="002154E6">
              <w:rPr>
                <w:sz w:val="20"/>
                <w:szCs w:val="20"/>
              </w:rPr>
              <w:t>0.032***</w:t>
            </w:r>
          </w:p>
        </w:tc>
      </w:tr>
      <w:tr w:rsidR="00677577" w:rsidRPr="00167CB8" w14:paraId="79F77888" w14:textId="77777777">
        <w:trPr>
          <w:trHeight w:val="211"/>
        </w:trPr>
        <w:tc>
          <w:tcPr>
            <w:tcW w:w="5812" w:type="dxa"/>
            <w:tcBorders>
              <w:top w:val="nil"/>
              <w:left w:val="single" w:sz="4" w:space="0" w:color="auto"/>
              <w:bottom w:val="nil"/>
              <w:right w:val="nil"/>
            </w:tcBorders>
            <w:noWrap/>
            <w:vAlign w:val="bottom"/>
            <w:hideMark/>
          </w:tcPr>
          <w:p w14:paraId="79EB0D57" w14:textId="77777777" w:rsidR="00677577" w:rsidRPr="002154E6" w:rsidRDefault="00677577">
            <w:pPr>
              <w:spacing w:after="0" w:line="240" w:lineRule="auto"/>
              <w:rPr>
                <w:sz w:val="20"/>
                <w:szCs w:val="20"/>
              </w:rPr>
            </w:pPr>
          </w:p>
        </w:tc>
        <w:tc>
          <w:tcPr>
            <w:tcW w:w="1418" w:type="dxa"/>
            <w:tcBorders>
              <w:top w:val="nil"/>
              <w:left w:val="nil"/>
              <w:bottom w:val="nil"/>
              <w:right w:val="nil"/>
            </w:tcBorders>
            <w:noWrap/>
            <w:vAlign w:val="bottom"/>
            <w:hideMark/>
          </w:tcPr>
          <w:p w14:paraId="496BB0E6" w14:textId="77777777" w:rsidR="00677577" w:rsidRPr="002154E6" w:rsidRDefault="00677577" w:rsidP="006F1B94">
            <w:pPr>
              <w:spacing w:after="0" w:line="240" w:lineRule="auto"/>
              <w:jc w:val="right"/>
              <w:rPr>
                <w:sz w:val="20"/>
                <w:szCs w:val="20"/>
              </w:rPr>
            </w:pPr>
            <w:r w:rsidRPr="002154E6">
              <w:rPr>
                <w:sz w:val="20"/>
                <w:szCs w:val="20"/>
              </w:rPr>
              <w:t>(0.003)</w:t>
            </w:r>
          </w:p>
        </w:tc>
        <w:tc>
          <w:tcPr>
            <w:tcW w:w="1842" w:type="dxa"/>
            <w:tcBorders>
              <w:top w:val="nil"/>
              <w:left w:val="nil"/>
              <w:bottom w:val="nil"/>
              <w:right w:val="single" w:sz="4" w:space="0" w:color="auto"/>
            </w:tcBorders>
            <w:noWrap/>
            <w:vAlign w:val="bottom"/>
            <w:hideMark/>
          </w:tcPr>
          <w:p w14:paraId="436E4FC8" w14:textId="77777777" w:rsidR="00677577" w:rsidRPr="002154E6" w:rsidRDefault="00677577" w:rsidP="006F1B94">
            <w:pPr>
              <w:spacing w:after="0" w:line="240" w:lineRule="auto"/>
              <w:jc w:val="right"/>
              <w:rPr>
                <w:sz w:val="20"/>
                <w:szCs w:val="20"/>
              </w:rPr>
            </w:pPr>
            <w:r w:rsidRPr="002154E6">
              <w:rPr>
                <w:sz w:val="20"/>
                <w:szCs w:val="20"/>
              </w:rPr>
              <w:t>(0.003)</w:t>
            </w:r>
          </w:p>
        </w:tc>
      </w:tr>
      <w:tr w:rsidR="00677577" w:rsidRPr="00167CB8" w14:paraId="15134370" w14:textId="77777777">
        <w:trPr>
          <w:trHeight w:val="211"/>
        </w:trPr>
        <w:tc>
          <w:tcPr>
            <w:tcW w:w="5812" w:type="dxa"/>
            <w:tcBorders>
              <w:top w:val="nil"/>
              <w:left w:val="single" w:sz="4" w:space="0" w:color="auto"/>
              <w:bottom w:val="nil"/>
              <w:right w:val="nil"/>
            </w:tcBorders>
            <w:noWrap/>
            <w:vAlign w:val="bottom"/>
            <w:hideMark/>
          </w:tcPr>
          <w:p w14:paraId="25D7E12F" w14:textId="77777777" w:rsidR="00677577" w:rsidRPr="002154E6" w:rsidRDefault="00677577">
            <w:pPr>
              <w:spacing w:after="0" w:line="240" w:lineRule="auto"/>
              <w:rPr>
                <w:sz w:val="20"/>
                <w:szCs w:val="20"/>
              </w:rPr>
            </w:pPr>
            <w:r w:rsidRPr="002154E6">
              <w:rPr>
                <w:sz w:val="20"/>
                <w:szCs w:val="20"/>
              </w:rPr>
              <w:t>Professional</w:t>
            </w:r>
          </w:p>
        </w:tc>
        <w:tc>
          <w:tcPr>
            <w:tcW w:w="1418" w:type="dxa"/>
            <w:tcBorders>
              <w:top w:val="nil"/>
              <w:left w:val="nil"/>
              <w:bottom w:val="nil"/>
              <w:right w:val="nil"/>
            </w:tcBorders>
            <w:noWrap/>
            <w:vAlign w:val="bottom"/>
            <w:hideMark/>
          </w:tcPr>
          <w:p w14:paraId="65E69194" w14:textId="77777777" w:rsidR="00677577" w:rsidRPr="002154E6" w:rsidRDefault="00677577" w:rsidP="006F1B94">
            <w:pPr>
              <w:spacing w:after="0" w:line="240" w:lineRule="auto"/>
              <w:jc w:val="right"/>
              <w:rPr>
                <w:sz w:val="20"/>
                <w:szCs w:val="20"/>
              </w:rPr>
            </w:pPr>
            <w:r w:rsidRPr="002154E6">
              <w:rPr>
                <w:sz w:val="20"/>
                <w:szCs w:val="20"/>
              </w:rPr>
              <w:t>0.044***</w:t>
            </w:r>
          </w:p>
        </w:tc>
        <w:tc>
          <w:tcPr>
            <w:tcW w:w="1842" w:type="dxa"/>
            <w:tcBorders>
              <w:top w:val="nil"/>
              <w:left w:val="nil"/>
              <w:bottom w:val="nil"/>
              <w:right w:val="single" w:sz="4" w:space="0" w:color="auto"/>
            </w:tcBorders>
            <w:noWrap/>
            <w:vAlign w:val="bottom"/>
            <w:hideMark/>
          </w:tcPr>
          <w:p w14:paraId="596BBBDF" w14:textId="77777777" w:rsidR="00677577" w:rsidRPr="002154E6" w:rsidRDefault="00677577" w:rsidP="006F1B94">
            <w:pPr>
              <w:spacing w:after="0" w:line="240" w:lineRule="auto"/>
              <w:jc w:val="right"/>
              <w:rPr>
                <w:sz w:val="20"/>
                <w:szCs w:val="20"/>
              </w:rPr>
            </w:pPr>
            <w:r w:rsidRPr="002154E6">
              <w:rPr>
                <w:sz w:val="20"/>
                <w:szCs w:val="20"/>
              </w:rPr>
              <w:t>0.029***</w:t>
            </w:r>
          </w:p>
        </w:tc>
      </w:tr>
      <w:tr w:rsidR="00677577" w:rsidRPr="00167CB8" w14:paraId="49CD566D" w14:textId="77777777">
        <w:trPr>
          <w:trHeight w:val="211"/>
        </w:trPr>
        <w:tc>
          <w:tcPr>
            <w:tcW w:w="5812" w:type="dxa"/>
            <w:tcBorders>
              <w:top w:val="nil"/>
              <w:left w:val="single" w:sz="4" w:space="0" w:color="auto"/>
              <w:bottom w:val="nil"/>
              <w:right w:val="nil"/>
            </w:tcBorders>
            <w:noWrap/>
            <w:vAlign w:val="bottom"/>
            <w:hideMark/>
          </w:tcPr>
          <w:p w14:paraId="1F0EE8F8" w14:textId="77777777" w:rsidR="00677577" w:rsidRPr="002154E6" w:rsidRDefault="00677577">
            <w:pPr>
              <w:spacing w:after="0" w:line="240" w:lineRule="auto"/>
              <w:rPr>
                <w:sz w:val="20"/>
                <w:szCs w:val="20"/>
              </w:rPr>
            </w:pPr>
          </w:p>
        </w:tc>
        <w:tc>
          <w:tcPr>
            <w:tcW w:w="1418" w:type="dxa"/>
            <w:tcBorders>
              <w:top w:val="nil"/>
              <w:left w:val="nil"/>
              <w:bottom w:val="nil"/>
              <w:right w:val="nil"/>
            </w:tcBorders>
            <w:noWrap/>
            <w:vAlign w:val="bottom"/>
            <w:hideMark/>
          </w:tcPr>
          <w:p w14:paraId="1A0C3E4C" w14:textId="77777777" w:rsidR="00677577" w:rsidRPr="002154E6" w:rsidRDefault="00677577" w:rsidP="006F1B94">
            <w:pPr>
              <w:spacing w:after="0" w:line="240" w:lineRule="auto"/>
              <w:jc w:val="right"/>
              <w:rPr>
                <w:sz w:val="20"/>
                <w:szCs w:val="20"/>
              </w:rPr>
            </w:pPr>
            <w:r w:rsidRPr="002154E6">
              <w:rPr>
                <w:sz w:val="20"/>
                <w:szCs w:val="20"/>
              </w:rPr>
              <w:t>(0.003)</w:t>
            </w:r>
          </w:p>
        </w:tc>
        <w:tc>
          <w:tcPr>
            <w:tcW w:w="1842" w:type="dxa"/>
            <w:tcBorders>
              <w:top w:val="nil"/>
              <w:left w:val="nil"/>
              <w:bottom w:val="nil"/>
              <w:right w:val="single" w:sz="4" w:space="0" w:color="auto"/>
            </w:tcBorders>
            <w:noWrap/>
            <w:vAlign w:val="bottom"/>
            <w:hideMark/>
          </w:tcPr>
          <w:p w14:paraId="62BEB908" w14:textId="77777777" w:rsidR="00677577" w:rsidRPr="002154E6" w:rsidRDefault="00677577" w:rsidP="006F1B94">
            <w:pPr>
              <w:spacing w:after="0" w:line="240" w:lineRule="auto"/>
              <w:jc w:val="right"/>
              <w:rPr>
                <w:sz w:val="20"/>
                <w:szCs w:val="20"/>
              </w:rPr>
            </w:pPr>
            <w:r w:rsidRPr="002154E6">
              <w:rPr>
                <w:sz w:val="20"/>
                <w:szCs w:val="20"/>
              </w:rPr>
              <w:t>(0.003)</w:t>
            </w:r>
          </w:p>
        </w:tc>
      </w:tr>
      <w:tr w:rsidR="00677577" w:rsidRPr="00167CB8" w14:paraId="1B23067A" w14:textId="77777777">
        <w:trPr>
          <w:trHeight w:val="211"/>
        </w:trPr>
        <w:tc>
          <w:tcPr>
            <w:tcW w:w="5812" w:type="dxa"/>
            <w:tcBorders>
              <w:top w:val="nil"/>
              <w:left w:val="single" w:sz="4" w:space="0" w:color="auto"/>
              <w:bottom w:val="nil"/>
              <w:right w:val="nil"/>
            </w:tcBorders>
            <w:noWrap/>
            <w:vAlign w:val="bottom"/>
            <w:hideMark/>
          </w:tcPr>
          <w:p w14:paraId="65796A5D" w14:textId="77777777" w:rsidR="00677577" w:rsidRPr="002154E6" w:rsidRDefault="00677577">
            <w:pPr>
              <w:spacing w:after="0" w:line="240" w:lineRule="auto"/>
              <w:rPr>
                <w:sz w:val="20"/>
                <w:szCs w:val="20"/>
              </w:rPr>
            </w:pPr>
            <w:r w:rsidRPr="002154E6">
              <w:rPr>
                <w:sz w:val="20"/>
                <w:szCs w:val="20"/>
              </w:rPr>
              <w:t>Trades person</w:t>
            </w:r>
          </w:p>
        </w:tc>
        <w:tc>
          <w:tcPr>
            <w:tcW w:w="1418" w:type="dxa"/>
            <w:tcBorders>
              <w:top w:val="nil"/>
              <w:left w:val="nil"/>
              <w:bottom w:val="nil"/>
              <w:right w:val="nil"/>
            </w:tcBorders>
            <w:noWrap/>
            <w:vAlign w:val="bottom"/>
            <w:hideMark/>
          </w:tcPr>
          <w:p w14:paraId="7DF258A9" w14:textId="77777777" w:rsidR="00677577" w:rsidRPr="002154E6" w:rsidRDefault="00677577" w:rsidP="006F1B94">
            <w:pPr>
              <w:spacing w:after="0" w:line="240" w:lineRule="auto"/>
              <w:jc w:val="right"/>
              <w:rPr>
                <w:sz w:val="20"/>
                <w:szCs w:val="20"/>
              </w:rPr>
            </w:pPr>
            <w:r w:rsidRPr="002154E6">
              <w:rPr>
                <w:sz w:val="20"/>
                <w:szCs w:val="20"/>
              </w:rPr>
              <w:t>0.035***</w:t>
            </w:r>
          </w:p>
        </w:tc>
        <w:tc>
          <w:tcPr>
            <w:tcW w:w="1842" w:type="dxa"/>
            <w:tcBorders>
              <w:top w:val="nil"/>
              <w:left w:val="nil"/>
              <w:bottom w:val="nil"/>
              <w:right w:val="single" w:sz="4" w:space="0" w:color="auto"/>
            </w:tcBorders>
            <w:noWrap/>
            <w:vAlign w:val="bottom"/>
            <w:hideMark/>
          </w:tcPr>
          <w:p w14:paraId="5540344B" w14:textId="77777777" w:rsidR="00677577" w:rsidRPr="002154E6" w:rsidRDefault="00677577" w:rsidP="006F1B94">
            <w:pPr>
              <w:spacing w:after="0" w:line="240" w:lineRule="auto"/>
              <w:jc w:val="right"/>
              <w:rPr>
                <w:sz w:val="20"/>
                <w:szCs w:val="20"/>
              </w:rPr>
            </w:pPr>
            <w:r w:rsidRPr="002154E6">
              <w:rPr>
                <w:sz w:val="20"/>
                <w:szCs w:val="20"/>
              </w:rPr>
              <w:t>0.027***</w:t>
            </w:r>
          </w:p>
        </w:tc>
      </w:tr>
      <w:tr w:rsidR="00677577" w:rsidRPr="00167CB8" w14:paraId="482905BF" w14:textId="77777777">
        <w:trPr>
          <w:trHeight w:val="211"/>
        </w:trPr>
        <w:tc>
          <w:tcPr>
            <w:tcW w:w="5812" w:type="dxa"/>
            <w:tcBorders>
              <w:top w:val="nil"/>
              <w:left w:val="single" w:sz="4" w:space="0" w:color="auto"/>
              <w:bottom w:val="nil"/>
              <w:right w:val="nil"/>
            </w:tcBorders>
            <w:noWrap/>
            <w:vAlign w:val="bottom"/>
            <w:hideMark/>
          </w:tcPr>
          <w:p w14:paraId="29BC3902" w14:textId="77777777" w:rsidR="00677577" w:rsidRPr="002154E6" w:rsidRDefault="00677577">
            <w:pPr>
              <w:spacing w:after="0" w:line="240" w:lineRule="auto"/>
              <w:rPr>
                <w:sz w:val="20"/>
                <w:szCs w:val="20"/>
              </w:rPr>
            </w:pPr>
          </w:p>
        </w:tc>
        <w:tc>
          <w:tcPr>
            <w:tcW w:w="1418" w:type="dxa"/>
            <w:tcBorders>
              <w:top w:val="nil"/>
              <w:left w:val="nil"/>
              <w:bottom w:val="nil"/>
              <w:right w:val="nil"/>
            </w:tcBorders>
            <w:noWrap/>
            <w:vAlign w:val="bottom"/>
            <w:hideMark/>
          </w:tcPr>
          <w:p w14:paraId="34E3CE87" w14:textId="77777777" w:rsidR="00677577" w:rsidRPr="002154E6" w:rsidRDefault="00677577" w:rsidP="006F1B94">
            <w:pPr>
              <w:spacing w:after="0" w:line="240" w:lineRule="auto"/>
              <w:jc w:val="right"/>
              <w:rPr>
                <w:sz w:val="20"/>
                <w:szCs w:val="20"/>
              </w:rPr>
            </w:pPr>
            <w:r w:rsidRPr="002154E6">
              <w:rPr>
                <w:sz w:val="20"/>
                <w:szCs w:val="20"/>
              </w:rPr>
              <w:t>(0.003)</w:t>
            </w:r>
          </w:p>
        </w:tc>
        <w:tc>
          <w:tcPr>
            <w:tcW w:w="1842" w:type="dxa"/>
            <w:tcBorders>
              <w:top w:val="nil"/>
              <w:left w:val="nil"/>
              <w:bottom w:val="nil"/>
              <w:right w:val="single" w:sz="4" w:space="0" w:color="auto"/>
            </w:tcBorders>
            <w:noWrap/>
            <w:vAlign w:val="bottom"/>
            <w:hideMark/>
          </w:tcPr>
          <w:p w14:paraId="2276F1DA" w14:textId="77777777" w:rsidR="00677577" w:rsidRPr="002154E6" w:rsidRDefault="00677577" w:rsidP="006F1B94">
            <w:pPr>
              <w:spacing w:after="0" w:line="240" w:lineRule="auto"/>
              <w:jc w:val="right"/>
              <w:rPr>
                <w:sz w:val="20"/>
                <w:szCs w:val="20"/>
              </w:rPr>
            </w:pPr>
            <w:r w:rsidRPr="002154E6">
              <w:rPr>
                <w:sz w:val="20"/>
                <w:szCs w:val="20"/>
              </w:rPr>
              <w:t>(0.003)</w:t>
            </w:r>
          </w:p>
        </w:tc>
      </w:tr>
      <w:tr w:rsidR="00677577" w:rsidRPr="00167CB8" w14:paraId="6EB3AE87" w14:textId="77777777">
        <w:trPr>
          <w:trHeight w:val="211"/>
        </w:trPr>
        <w:tc>
          <w:tcPr>
            <w:tcW w:w="5812" w:type="dxa"/>
            <w:tcBorders>
              <w:top w:val="nil"/>
              <w:left w:val="single" w:sz="4" w:space="0" w:color="auto"/>
              <w:bottom w:val="nil"/>
              <w:right w:val="nil"/>
            </w:tcBorders>
            <w:noWrap/>
            <w:vAlign w:val="bottom"/>
            <w:hideMark/>
          </w:tcPr>
          <w:p w14:paraId="68CE4A26" w14:textId="77777777" w:rsidR="00677577" w:rsidRPr="002154E6" w:rsidRDefault="00677577">
            <w:pPr>
              <w:spacing w:after="0" w:line="240" w:lineRule="auto"/>
              <w:rPr>
                <w:sz w:val="20"/>
                <w:szCs w:val="20"/>
              </w:rPr>
            </w:pPr>
            <w:r w:rsidRPr="002154E6">
              <w:rPr>
                <w:sz w:val="20"/>
                <w:szCs w:val="20"/>
              </w:rPr>
              <w:t>Service worker</w:t>
            </w:r>
          </w:p>
        </w:tc>
        <w:tc>
          <w:tcPr>
            <w:tcW w:w="1418" w:type="dxa"/>
            <w:tcBorders>
              <w:top w:val="nil"/>
              <w:left w:val="nil"/>
              <w:bottom w:val="nil"/>
              <w:right w:val="nil"/>
            </w:tcBorders>
            <w:noWrap/>
            <w:vAlign w:val="bottom"/>
            <w:hideMark/>
          </w:tcPr>
          <w:p w14:paraId="4CFF84DF" w14:textId="77777777" w:rsidR="00677577" w:rsidRPr="002154E6" w:rsidRDefault="00677577" w:rsidP="006F1B94">
            <w:pPr>
              <w:spacing w:after="0" w:line="240" w:lineRule="auto"/>
              <w:jc w:val="right"/>
              <w:rPr>
                <w:sz w:val="20"/>
                <w:szCs w:val="20"/>
              </w:rPr>
            </w:pPr>
            <w:r w:rsidRPr="002154E6">
              <w:rPr>
                <w:sz w:val="20"/>
                <w:szCs w:val="20"/>
              </w:rPr>
              <w:t>0.026***</w:t>
            </w:r>
          </w:p>
        </w:tc>
        <w:tc>
          <w:tcPr>
            <w:tcW w:w="1842" w:type="dxa"/>
            <w:tcBorders>
              <w:top w:val="nil"/>
              <w:left w:val="nil"/>
              <w:bottom w:val="nil"/>
              <w:right w:val="single" w:sz="4" w:space="0" w:color="auto"/>
            </w:tcBorders>
            <w:noWrap/>
            <w:vAlign w:val="bottom"/>
            <w:hideMark/>
          </w:tcPr>
          <w:p w14:paraId="01993C87" w14:textId="77777777" w:rsidR="00677577" w:rsidRPr="002154E6" w:rsidRDefault="00677577" w:rsidP="006F1B94">
            <w:pPr>
              <w:spacing w:after="0" w:line="240" w:lineRule="auto"/>
              <w:jc w:val="right"/>
              <w:rPr>
                <w:sz w:val="20"/>
                <w:szCs w:val="20"/>
              </w:rPr>
            </w:pPr>
            <w:r w:rsidRPr="002154E6">
              <w:rPr>
                <w:sz w:val="20"/>
                <w:szCs w:val="20"/>
              </w:rPr>
              <w:t>0.015***</w:t>
            </w:r>
          </w:p>
        </w:tc>
      </w:tr>
      <w:tr w:rsidR="00677577" w:rsidRPr="00167CB8" w14:paraId="0E131047" w14:textId="77777777">
        <w:trPr>
          <w:trHeight w:val="211"/>
        </w:trPr>
        <w:tc>
          <w:tcPr>
            <w:tcW w:w="5812" w:type="dxa"/>
            <w:tcBorders>
              <w:top w:val="nil"/>
              <w:left w:val="single" w:sz="4" w:space="0" w:color="auto"/>
              <w:bottom w:val="nil"/>
              <w:right w:val="nil"/>
            </w:tcBorders>
            <w:noWrap/>
            <w:vAlign w:val="bottom"/>
            <w:hideMark/>
          </w:tcPr>
          <w:p w14:paraId="7E3B66AE" w14:textId="77777777" w:rsidR="00677577" w:rsidRPr="002154E6" w:rsidRDefault="00677577">
            <w:pPr>
              <w:spacing w:after="0" w:line="240" w:lineRule="auto"/>
              <w:rPr>
                <w:sz w:val="20"/>
                <w:szCs w:val="20"/>
              </w:rPr>
            </w:pPr>
          </w:p>
        </w:tc>
        <w:tc>
          <w:tcPr>
            <w:tcW w:w="1418" w:type="dxa"/>
            <w:tcBorders>
              <w:top w:val="nil"/>
              <w:left w:val="nil"/>
              <w:bottom w:val="nil"/>
              <w:right w:val="nil"/>
            </w:tcBorders>
            <w:noWrap/>
            <w:vAlign w:val="bottom"/>
            <w:hideMark/>
          </w:tcPr>
          <w:p w14:paraId="47DF0D55" w14:textId="77777777" w:rsidR="00677577" w:rsidRPr="002154E6" w:rsidRDefault="00677577" w:rsidP="006F1B94">
            <w:pPr>
              <w:spacing w:after="0" w:line="240" w:lineRule="auto"/>
              <w:jc w:val="right"/>
              <w:rPr>
                <w:sz w:val="20"/>
                <w:szCs w:val="20"/>
              </w:rPr>
            </w:pPr>
            <w:r w:rsidRPr="002154E6">
              <w:rPr>
                <w:sz w:val="20"/>
                <w:szCs w:val="20"/>
              </w:rPr>
              <w:t>(0.003)</w:t>
            </w:r>
          </w:p>
        </w:tc>
        <w:tc>
          <w:tcPr>
            <w:tcW w:w="1842" w:type="dxa"/>
            <w:tcBorders>
              <w:top w:val="nil"/>
              <w:left w:val="nil"/>
              <w:bottom w:val="nil"/>
              <w:right w:val="single" w:sz="4" w:space="0" w:color="auto"/>
            </w:tcBorders>
            <w:noWrap/>
            <w:vAlign w:val="bottom"/>
            <w:hideMark/>
          </w:tcPr>
          <w:p w14:paraId="530F53EA" w14:textId="77777777" w:rsidR="00677577" w:rsidRPr="002154E6" w:rsidRDefault="00677577" w:rsidP="006F1B94">
            <w:pPr>
              <w:spacing w:after="0" w:line="240" w:lineRule="auto"/>
              <w:jc w:val="right"/>
              <w:rPr>
                <w:sz w:val="20"/>
                <w:szCs w:val="20"/>
              </w:rPr>
            </w:pPr>
            <w:r w:rsidRPr="002154E6">
              <w:rPr>
                <w:sz w:val="20"/>
                <w:szCs w:val="20"/>
              </w:rPr>
              <w:t>(0.003)</w:t>
            </w:r>
          </w:p>
        </w:tc>
      </w:tr>
      <w:tr w:rsidR="00677577" w:rsidRPr="00167CB8" w14:paraId="3E82852F" w14:textId="77777777">
        <w:trPr>
          <w:trHeight w:val="211"/>
        </w:trPr>
        <w:tc>
          <w:tcPr>
            <w:tcW w:w="5812" w:type="dxa"/>
            <w:tcBorders>
              <w:top w:val="nil"/>
              <w:left w:val="single" w:sz="4" w:space="0" w:color="auto"/>
              <w:bottom w:val="nil"/>
              <w:right w:val="nil"/>
            </w:tcBorders>
            <w:noWrap/>
            <w:vAlign w:val="bottom"/>
            <w:hideMark/>
          </w:tcPr>
          <w:p w14:paraId="0C642639" w14:textId="77777777" w:rsidR="00677577" w:rsidRPr="002154E6" w:rsidRDefault="00677577">
            <w:pPr>
              <w:spacing w:after="0" w:line="240" w:lineRule="auto"/>
              <w:rPr>
                <w:sz w:val="20"/>
                <w:szCs w:val="20"/>
              </w:rPr>
            </w:pPr>
            <w:r w:rsidRPr="002154E6">
              <w:rPr>
                <w:sz w:val="20"/>
                <w:szCs w:val="20"/>
              </w:rPr>
              <w:t>Clerical worker</w:t>
            </w:r>
          </w:p>
        </w:tc>
        <w:tc>
          <w:tcPr>
            <w:tcW w:w="1418" w:type="dxa"/>
            <w:tcBorders>
              <w:top w:val="nil"/>
              <w:left w:val="nil"/>
              <w:bottom w:val="nil"/>
              <w:right w:val="nil"/>
            </w:tcBorders>
            <w:noWrap/>
            <w:vAlign w:val="bottom"/>
            <w:hideMark/>
          </w:tcPr>
          <w:p w14:paraId="791B158C" w14:textId="77777777" w:rsidR="00677577" w:rsidRPr="002154E6" w:rsidRDefault="00677577" w:rsidP="006F1B94">
            <w:pPr>
              <w:spacing w:after="0" w:line="240" w:lineRule="auto"/>
              <w:jc w:val="right"/>
              <w:rPr>
                <w:sz w:val="20"/>
                <w:szCs w:val="20"/>
              </w:rPr>
            </w:pPr>
            <w:r w:rsidRPr="002154E6">
              <w:rPr>
                <w:sz w:val="20"/>
                <w:szCs w:val="20"/>
              </w:rPr>
              <w:t>0.026***</w:t>
            </w:r>
          </w:p>
        </w:tc>
        <w:tc>
          <w:tcPr>
            <w:tcW w:w="1842" w:type="dxa"/>
            <w:tcBorders>
              <w:top w:val="nil"/>
              <w:left w:val="nil"/>
              <w:bottom w:val="nil"/>
              <w:right w:val="single" w:sz="4" w:space="0" w:color="auto"/>
            </w:tcBorders>
            <w:noWrap/>
            <w:vAlign w:val="bottom"/>
            <w:hideMark/>
          </w:tcPr>
          <w:p w14:paraId="1F168895" w14:textId="77777777" w:rsidR="00677577" w:rsidRPr="002154E6" w:rsidRDefault="00677577" w:rsidP="006F1B94">
            <w:pPr>
              <w:spacing w:after="0" w:line="240" w:lineRule="auto"/>
              <w:jc w:val="right"/>
              <w:rPr>
                <w:sz w:val="20"/>
                <w:szCs w:val="20"/>
              </w:rPr>
            </w:pPr>
            <w:r w:rsidRPr="002154E6">
              <w:rPr>
                <w:sz w:val="20"/>
                <w:szCs w:val="20"/>
              </w:rPr>
              <w:t>0.022***</w:t>
            </w:r>
          </w:p>
        </w:tc>
      </w:tr>
      <w:tr w:rsidR="00677577" w:rsidRPr="00167CB8" w14:paraId="618B1383" w14:textId="77777777">
        <w:trPr>
          <w:trHeight w:val="211"/>
        </w:trPr>
        <w:tc>
          <w:tcPr>
            <w:tcW w:w="5812" w:type="dxa"/>
            <w:tcBorders>
              <w:top w:val="nil"/>
              <w:left w:val="single" w:sz="4" w:space="0" w:color="auto"/>
              <w:bottom w:val="nil"/>
              <w:right w:val="nil"/>
            </w:tcBorders>
            <w:noWrap/>
            <w:vAlign w:val="bottom"/>
            <w:hideMark/>
          </w:tcPr>
          <w:p w14:paraId="303C39BC" w14:textId="77777777" w:rsidR="00677577" w:rsidRPr="002154E6" w:rsidRDefault="00677577">
            <w:pPr>
              <w:spacing w:after="0" w:line="240" w:lineRule="auto"/>
              <w:rPr>
                <w:sz w:val="20"/>
                <w:szCs w:val="20"/>
              </w:rPr>
            </w:pPr>
          </w:p>
        </w:tc>
        <w:tc>
          <w:tcPr>
            <w:tcW w:w="1418" w:type="dxa"/>
            <w:tcBorders>
              <w:top w:val="nil"/>
              <w:left w:val="nil"/>
              <w:bottom w:val="nil"/>
              <w:right w:val="nil"/>
            </w:tcBorders>
            <w:noWrap/>
            <w:vAlign w:val="bottom"/>
            <w:hideMark/>
          </w:tcPr>
          <w:p w14:paraId="117FBD16" w14:textId="77777777" w:rsidR="00677577" w:rsidRPr="002154E6" w:rsidRDefault="00677577" w:rsidP="006F1B94">
            <w:pPr>
              <w:spacing w:after="0" w:line="240" w:lineRule="auto"/>
              <w:jc w:val="right"/>
              <w:rPr>
                <w:sz w:val="20"/>
                <w:szCs w:val="20"/>
              </w:rPr>
            </w:pPr>
            <w:r w:rsidRPr="002154E6">
              <w:rPr>
                <w:sz w:val="20"/>
                <w:szCs w:val="20"/>
              </w:rPr>
              <w:t>(0.003)</w:t>
            </w:r>
          </w:p>
        </w:tc>
        <w:tc>
          <w:tcPr>
            <w:tcW w:w="1842" w:type="dxa"/>
            <w:tcBorders>
              <w:top w:val="nil"/>
              <w:left w:val="nil"/>
              <w:bottom w:val="nil"/>
              <w:right w:val="single" w:sz="4" w:space="0" w:color="auto"/>
            </w:tcBorders>
            <w:noWrap/>
            <w:vAlign w:val="bottom"/>
            <w:hideMark/>
          </w:tcPr>
          <w:p w14:paraId="6C85BC06" w14:textId="77777777" w:rsidR="00677577" w:rsidRPr="002154E6" w:rsidRDefault="00677577" w:rsidP="006F1B94">
            <w:pPr>
              <w:spacing w:after="0" w:line="240" w:lineRule="auto"/>
              <w:jc w:val="right"/>
              <w:rPr>
                <w:sz w:val="20"/>
                <w:szCs w:val="20"/>
              </w:rPr>
            </w:pPr>
            <w:r w:rsidRPr="002154E6">
              <w:rPr>
                <w:sz w:val="20"/>
                <w:szCs w:val="20"/>
              </w:rPr>
              <w:t>(0.003)</w:t>
            </w:r>
          </w:p>
        </w:tc>
      </w:tr>
      <w:tr w:rsidR="00677577" w:rsidRPr="00167CB8" w14:paraId="49EF92E2" w14:textId="77777777">
        <w:trPr>
          <w:trHeight w:val="211"/>
        </w:trPr>
        <w:tc>
          <w:tcPr>
            <w:tcW w:w="5812" w:type="dxa"/>
            <w:tcBorders>
              <w:top w:val="nil"/>
              <w:left w:val="single" w:sz="4" w:space="0" w:color="auto"/>
              <w:bottom w:val="nil"/>
              <w:right w:val="nil"/>
            </w:tcBorders>
            <w:noWrap/>
            <w:vAlign w:val="bottom"/>
            <w:hideMark/>
          </w:tcPr>
          <w:p w14:paraId="2F7860A2" w14:textId="77777777" w:rsidR="00677577" w:rsidRPr="002154E6" w:rsidRDefault="00677577">
            <w:pPr>
              <w:spacing w:after="0" w:line="240" w:lineRule="auto"/>
              <w:rPr>
                <w:sz w:val="20"/>
                <w:szCs w:val="20"/>
              </w:rPr>
            </w:pPr>
            <w:r w:rsidRPr="002154E6">
              <w:rPr>
                <w:sz w:val="20"/>
                <w:szCs w:val="20"/>
              </w:rPr>
              <w:t>Sales worker</w:t>
            </w:r>
          </w:p>
        </w:tc>
        <w:tc>
          <w:tcPr>
            <w:tcW w:w="1418" w:type="dxa"/>
            <w:tcBorders>
              <w:top w:val="nil"/>
              <w:left w:val="nil"/>
              <w:bottom w:val="nil"/>
              <w:right w:val="nil"/>
            </w:tcBorders>
            <w:noWrap/>
            <w:vAlign w:val="bottom"/>
            <w:hideMark/>
          </w:tcPr>
          <w:p w14:paraId="381FEABD" w14:textId="77777777" w:rsidR="00677577" w:rsidRPr="002154E6" w:rsidRDefault="00677577" w:rsidP="006F1B94">
            <w:pPr>
              <w:spacing w:after="0" w:line="240" w:lineRule="auto"/>
              <w:jc w:val="right"/>
              <w:rPr>
                <w:sz w:val="20"/>
                <w:szCs w:val="20"/>
              </w:rPr>
            </w:pPr>
            <w:r w:rsidRPr="002154E6">
              <w:rPr>
                <w:sz w:val="20"/>
                <w:szCs w:val="20"/>
              </w:rPr>
              <w:t>0.021***</w:t>
            </w:r>
          </w:p>
        </w:tc>
        <w:tc>
          <w:tcPr>
            <w:tcW w:w="1842" w:type="dxa"/>
            <w:tcBorders>
              <w:top w:val="nil"/>
              <w:left w:val="nil"/>
              <w:bottom w:val="nil"/>
              <w:right w:val="single" w:sz="4" w:space="0" w:color="auto"/>
            </w:tcBorders>
            <w:noWrap/>
            <w:vAlign w:val="bottom"/>
            <w:hideMark/>
          </w:tcPr>
          <w:p w14:paraId="3B7D1DDE" w14:textId="77777777" w:rsidR="00677577" w:rsidRPr="002154E6" w:rsidRDefault="00677577" w:rsidP="006F1B94">
            <w:pPr>
              <w:spacing w:after="0" w:line="240" w:lineRule="auto"/>
              <w:jc w:val="right"/>
              <w:rPr>
                <w:sz w:val="20"/>
                <w:szCs w:val="20"/>
              </w:rPr>
            </w:pPr>
            <w:r w:rsidRPr="002154E6">
              <w:rPr>
                <w:sz w:val="20"/>
                <w:szCs w:val="20"/>
              </w:rPr>
              <w:t>0.012***</w:t>
            </w:r>
          </w:p>
        </w:tc>
      </w:tr>
      <w:tr w:rsidR="00677577" w:rsidRPr="00167CB8" w14:paraId="30B7FC47" w14:textId="77777777">
        <w:trPr>
          <w:trHeight w:val="211"/>
        </w:trPr>
        <w:tc>
          <w:tcPr>
            <w:tcW w:w="5812" w:type="dxa"/>
            <w:tcBorders>
              <w:top w:val="nil"/>
              <w:left w:val="single" w:sz="4" w:space="0" w:color="auto"/>
              <w:bottom w:val="nil"/>
              <w:right w:val="nil"/>
            </w:tcBorders>
            <w:noWrap/>
            <w:vAlign w:val="bottom"/>
            <w:hideMark/>
          </w:tcPr>
          <w:p w14:paraId="06E2BBA7" w14:textId="77777777" w:rsidR="00677577" w:rsidRPr="002154E6" w:rsidRDefault="00677577">
            <w:pPr>
              <w:spacing w:after="0" w:line="240" w:lineRule="auto"/>
              <w:rPr>
                <w:sz w:val="20"/>
                <w:szCs w:val="20"/>
              </w:rPr>
            </w:pPr>
          </w:p>
        </w:tc>
        <w:tc>
          <w:tcPr>
            <w:tcW w:w="1418" w:type="dxa"/>
            <w:tcBorders>
              <w:top w:val="nil"/>
              <w:left w:val="nil"/>
              <w:bottom w:val="nil"/>
              <w:right w:val="nil"/>
            </w:tcBorders>
            <w:noWrap/>
            <w:vAlign w:val="bottom"/>
            <w:hideMark/>
          </w:tcPr>
          <w:p w14:paraId="43459716" w14:textId="77777777" w:rsidR="00677577" w:rsidRPr="002154E6" w:rsidRDefault="00677577" w:rsidP="006F1B94">
            <w:pPr>
              <w:spacing w:after="0" w:line="240" w:lineRule="auto"/>
              <w:jc w:val="right"/>
              <w:rPr>
                <w:sz w:val="20"/>
                <w:szCs w:val="20"/>
              </w:rPr>
            </w:pPr>
            <w:r w:rsidRPr="002154E6">
              <w:rPr>
                <w:sz w:val="20"/>
                <w:szCs w:val="20"/>
              </w:rPr>
              <w:t>(0.004)</w:t>
            </w:r>
          </w:p>
        </w:tc>
        <w:tc>
          <w:tcPr>
            <w:tcW w:w="1842" w:type="dxa"/>
            <w:tcBorders>
              <w:top w:val="nil"/>
              <w:left w:val="nil"/>
              <w:bottom w:val="nil"/>
              <w:right w:val="single" w:sz="4" w:space="0" w:color="auto"/>
            </w:tcBorders>
            <w:noWrap/>
            <w:vAlign w:val="bottom"/>
            <w:hideMark/>
          </w:tcPr>
          <w:p w14:paraId="5FC20147" w14:textId="77777777" w:rsidR="00677577" w:rsidRPr="002154E6" w:rsidRDefault="00677577" w:rsidP="006F1B94">
            <w:pPr>
              <w:spacing w:after="0" w:line="240" w:lineRule="auto"/>
              <w:jc w:val="right"/>
              <w:rPr>
                <w:sz w:val="20"/>
                <w:szCs w:val="20"/>
              </w:rPr>
            </w:pPr>
            <w:r w:rsidRPr="002154E6">
              <w:rPr>
                <w:sz w:val="20"/>
                <w:szCs w:val="20"/>
              </w:rPr>
              <w:t>(0.003)</w:t>
            </w:r>
          </w:p>
        </w:tc>
      </w:tr>
      <w:tr w:rsidR="00677577" w:rsidRPr="00167CB8" w14:paraId="54BEB7A2" w14:textId="77777777">
        <w:trPr>
          <w:trHeight w:val="211"/>
        </w:trPr>
        <w:tc>
          <w:tcPr>
            <w:tcW w:w="5812" w:type="dxa"/>
            <w:tcBorders>
              <w:top w:val="nil"/>
              <w:left w:val="single" w:sz="4" w:space="0" w:color="auto"/>
              <w:bottom w:val="nil"/>
              <w:right w:val="nil"/>
            </w:tcBorders>
            <w:noWrap/>
            <w:vAlign w:val="bottom"/>
            <w:hideMark/>
          </w:tcPr>
          <w:p w14:paraId="1D55F075" w14:textId="77777777" w:rsidR="00677577" w:rsidRPr="002154E6" w:rsidRDefault="00677577">
            <w:pPr>
              <w:spacing w:after="0" w:line="240" w:lineRule="auto"/>
              <w:rPr>
                <w:sz w:val="20"/>
                <w:szCs w:val="20"/>
              </w:rPr>
            </w:pPr>
            <w:r w:rsidRPr="002154E6">
              <w:rPr>
                <w:sz w:val="20"/>
                <w:szCs w:val="20"/>
              </w:rPr>
              <w:t>Operator</w:t>
            </w:r>
          </w:p>
        </w:tc>
        <w:tc>
          <w:tcPr>
            <w:tcW w:w="1418" w:type="dxa"/>
            <w:tcBorders>
              <w:top w:val="nil"/>
              <w:left w:val="nil"/>
              <w:bottom w:val="nil"/>
              <w:right w:val="nil"/>
            </w:tcBorders>
            <w:noWrap/>
            <w:vAlign w:val="bottom"/>
            <w:hideMark/>
          </w:tcPr>
          <w:p w14:paraId="04F688FB" w14:textId="77777777" w:rsidR="00677577" w:rsidRPr="002154E6" w:rsidRDefault="00677577" w:rsidP="006F1B94">
            <w:pPr>
              <w:spacing w:after="0" w:line="240" w:lineRule="auto"/>
              <w:jc w:val="right"/>
              <w:rPr>
                <w:sz w:val="20"/>
                <w:szCs w:val="20"/>
              </w:rPr>
            </w:pPr>
            <w:r w:rsidRPr="002154E6">
              <w:rPr>
                <w:sz w:val="20"/>
                <w:szCs w:val="20"/>
              </w:rPr>
              <w:t>0.008*</w:t>
            </w:r>
          </w:p>
        </w:tc>
        <w:tc>
          <w:tcPr>
            <w:tcW w:w="1842" w:type="dxa"/>
            <w:tcBorders>
              <w:top w:val="nil"/>
              <w:left w:val="nil"/>
              <w:bottom w:val="nil"/>
              <w:right w:val="single" w:sz="4" w:space="0" w:color="auto"/>
            </w:tcBorders>
            <w:noWrap/>
            <w:vAlign w:val="bottom"/>
            <w:hideMark/>
          </w:tcPr>
          <w:p w14:paraId="00F1BBCF" w14:textId="77777777" w:rsidR="00677577" w:rsidRPr="002154E6" w:rsidRDefault="00677577" w:rsidP="006F1B94">
            <w:pPr>
              <w:spacing w:after="0" w:line="240" w:lineRule="auto"/>
              <w:jc w:val="right"/>
              <w:rPr>
                <w:sz w:val="20"/>
                <w:szCs w:val="20"/>
              </w:rPr>
            </w:pPr>
            <w:r w:rsidRPr="002154E6">
              <w:rPr>
                <w:sz w:val="20"/>
                <w:szCs w:val="20"/>
              </w:rPr>
              <w:t>0.011***</w:t>
            </w:r>
          </w:p>
        </w:tc>
      </w:tr>
      <w:tr w:rsidR="00677577" w:rsidRPr="00167CB8" w14:paraId="757A48CD" w14:textId="77777777">
        <w:trPr>
          <w:trHeight w:val="211"/>
        </w:trPr>
        <w:tc>
          <w:tcPr>
            <w:tcW w:w="5812" w:type="dxa"/>
            <w:tcBorders>
              <w:top w:val="nil"/>
              <w:left w:val="single" w:sz="4" w:space="0" w:color="auto"/>
              <w:bottom w:val="nil"/>
              <w:right w:val="nil"/>
            </w:tcBorders>
            <w:noWrap/>
            <w:vAlign w:val="bottom"/>
            <w:hideMark/>
          </w:tcPr>
          <w:p w14:paraId="3397ADFA" w14:textId="77777777" w:rsidR="00677577" w:rsidRPr="002154E6" w:rsidRDefault="00677577">
            <w:pPr>
              <w:spacing w:after="0" w:line="240" w:lineRule="auto"/>
              <w:rPr>
                <w:sz w:val="20"/>
                <w:szCs w:val="20"/>
              </w:rPr>
            </w:pPr>
          </w:p>
        </w:tc>
        <w:tc>
          <w:tcPr>
            <w:tcW w:w="1418" w:type="dxa"/>
            <w:tcBorders>
              <w:top w:val="nil"/>
              <w:left w:val="nil"/>
              <w:bottom w:val="nil"/>
              <w:right w:val="nil"/>
            </w:tcBorders>
            <w:noWrap/>
            <w:vAlign w:val="bottom"/>
            <w:hideMark/>
          </w:tcPr>
          <w:p w14:paraId="5CFA12E1" w14:textId="77777777" w:rsidR="00677577" w:rsidRPr="002154E6" w:rsidRDefault="00677577" w:rsidP="006F1B94">
            <w:pPr>
              <w:spacing w:after="0" w:line="240" w:lineRule="auto"/>
              <w:jc w:val="right"/>
              <w:rPr>
                <w:sz w:val="20"/>
                <w:szCs w:val="20"/>
              </w:rPr>
            </w:pPr>
            <w:r w:rsidRPr="002154E6">
              <w:rPr>
                <w:sz w:val="20"/>
                <w:szCs w:val="20"/>
              </w:rPr>
              <w:t>(0.005)</w:t>
            </w:r>
          </w:p>
        </w:tc>
        <w:tc>
          <w:tcPr>
            <w:tcW w:w="1842" w:type="dxa"/>
            <w:tcBorders>
              <w:top w:val="nil"/>
              <w:left w:val="nil"/>
              <w:bottom w:val="nil"/>
              <w:right w:val="single" w:sz="4" w:space="0" w:color="auto"/>
            </w:tcBorders>
            <w:noWrap/>
            <w:vAlign w:val="bottom"/>
            <w:hideMark/>
          </w:tcPr>
          <w:p w14:paraId="00B33163" w14:textId="77777777" w:rsidR="00677577" w:rsidRPr="002154E6" w:rsidRDefault="00677577" w:rsidP="006F1B94">
            <w:pPr>
              <w:spacing w:after="0" w:line="240" w:lineRule="auto"/>
              <w:jc w:val="right"/>
              <w:rPr>
                <w:sz w:val="20"/>
                <w:szCs w:val="20"/>
              </w:rPr>
            </w:pPr>
            <w:r w:rsidRPr="002154E6">
              <w:rPr>
                <w:sz w:val="20"/>
                <w:szCs w:val="20"/>
              </w:rPr>
              <w:t>(0.003)</w:t>
            </w:r>
          </w:p>
        </w:tc>
      </w:tr>
      <w:tr w:rsidR="00677577" w:rsidRPr="00167CB8" w14:paraId="00A1CDD5" w14:textId="77777777">
        <w:trPr>
          <w:trHeight w:val="211"/>
        </w:trPr>
        <w:tc>
          <w:tcPr>
            <w:tcW w:w="5812" w:type="dxa"/>
            <w:tcBorders>
              <w:top w:val="nil"/>
              <w:left w:val="single" w:sz="4" w:space="0" w:color="auto"/>
              <w:bottom w:val="nil"/>
              <w:right w:val="nil"/>
            </w:tcBorders>
            <w:noWrap/>
            <w:vAlign w:val="bottom"/>
            <w:hideMark/>
          </w:tcPr>
          <w:p w14:paraId="6F47D642" w14:textId="77777777" w:rsidR="00677577" w:rsidRPr="002154E6" w:rsidRDefault="00677577">
            <w:pPr>
              <w:spacing w:after="0" w:line="240" w:lineRule="auto"/>
              <w:rPr>
                <w:sz w:val="20"/>
                <w:szCs w:val="20"/>
              </w:rPr>
            </w:pPr>
            <w:r w:rsidRPr="002154E6">
              <w:rPr>
                <w:sz w:val="20"/>
                <w:szCs w:val="20"/>
              </w:rPr>
              <w:t>Public sector</w:t>
            </w:r>
          </w:p>
        </w:tc>
        <w:tc>
          <w:tcPr>
            <w:tcW w:w="1418" w:type="dxa"/>
            <w:tcBorders>
              <w:top w:val="nil"/>
              <w:left w:val="nil"/>
              <w:bottom w:val="nil"/>
              <w:right w:val="nil"/>
            </w:tcBorders>
            <w:noWrap/>
            <w:vAlign w:val="bottom"/>
            <w:hideMark/>
          </w:tcPr>
          <w:p w14:paraId="31F39C09" w14:textId="77777777" w:rsidR="00677577" w:rsidRPr="002154E6" w:rsidRDefault="00677577" w:rsidP="006F1B94">
            <w:pPr>
              <w:spacing w:after="0" w:line="240" w:lineRule="auto"/>
              <w:jc w:val="right"/>
              <w:rPr>
                <w:sz w:val="20"/>
                <w:szCs w:val="20"/>
              </w:rPr>
            </w:pPr>
            <w:r w:rsidRPr="002154E6">
              <w:rPr>
                <w:sz w:val="20"/>
                <w:szCs w:val="20"/>
              </w:rPr>
              <w:t>0.020***</w:t>
            </w:r>
          </w:p>
        </w:tc>
        <w:tc>
          <w:tcPr>
            <w:tcW w:w="1842" w:type="dxa"/>
            <w:tcBorders>
              <w:top w:val="nil"/>
              <w:left w:val="nil"/>
              <w:bottom w:val="nil"/>
              <w:right w:val="single" w:sz="4" w:space="0" w:color="auto"/>
            </w:tcBorders>
            <w:noWrap/>
            <w:vAlign w:val="bottom"/>
            <w:hideMark/>
          </w:tcPr>
          <w:p w14:paraId="69B5DB0F" w14:textId="77777777" w:rsidR="00677577" w:rsidRPr="002154E6" w:rsidRDefault="00677577" w:rsidP="006F1B94">
            <w:pPr>
              <w:spacing w:after="0" w:line="240" w:lineRule="auto"/>
              <w:jc w:val="right"/>
              <w:rPr>
                <w:sz w:val="20"/>
                <w:szCs w:val="20"/>
              </w:rPr>
            </w:pPr>
            <w:r w:rsidRPr="002154E6">
              <w:rPr>
                <w:sz w:val="20"/>
                <w:szCs w:val="20"/>
              </w:rPr>
              <w:t>0.003**</w:t>
            </w:r>
          </w:p>
        </w:tc>
      </w:tr>
      <w:tr w:rsidR="00677577" w:rsidRPr="00167CB8" w14:paraId="47C1C157" w14:textId="77777777">
        <w:trPr>
          <w:trHeight w:val="211"/>
        </w:trPr>
        <w:tc>
          <w:tcPr>
            <w:tcW w:w="5812" w:type="dxa"/>
            <w:tcBorders>
              <w:top w:val="nil"/>
              <w:left w:val="single" w:sz="4" w:space="0" w:color="auto"/>
              <w:bottom w:val="nil"/>
              <w:right w:val="nil"/>
            </w:tcBorders>
            <w:noWrap/>
            <w:vAlign w:val="bottom"/>
            <w:hideMark/>
          </w:tcPr>
          <w:p w14:paraId="5A620FC3" w14:textId="77777777" w:rsidR="00677577" w:rsidRPr="002154E6" w:rsidRDefault="00677577">
            <w:pPr>
              <w:spacing w:after="0" w:line="240" w:lineRule="auto"/>
              <w:rPr>
                <w:sz w:val="20"/>
                <w:szCs w:val="20"/>
              </w:rPr>
            </w:pPr>
          </w:p>
        </w:tc>
        <w:tc>
          <w:tcPr>
            <w:tcW w:w="1418" w:type="dxa"/>
            <w:tcBorders>
              <w:top w:val="nil"/>
              <w:left w:val="nil"/>
              <w:bottom w:val="nil"/>
              <w:right w:val="nil"/>
            </w:tcBorders>
            <w:noWrap/>
            <w:vAlign w:val="bottom"/>
            <w:hideMark/>
          </w:tcPr>
          <w:p w14:paraId="7F038C32" w14:textId="77777777" w:rsidR="00677577" w:rsidRPr="002154E6" w:rsidRDefault="00677577" w:rsidP="006F1B94">
            <w:pPr>
              <w:spacing w:after="0" w:line="240" w:lineRule="auto"/>
              <w:jc w:val="right"/>
              <w:rPr>
                <w:sz w:val="20"/>
                <w:szCs w:val="20"/>
              </w:rPr>
            </w:pPr>
            <w:r w:rsidRPr="002154E6">
              <w:rPr>
                <w:sz w:val="20"/>
                <w:szCs w:val="20"/>
              </w:rPr>
              <w:t>(0.001)</w:t>
            </w:r>
          </w:p>
        </w:tc>
        <w:tc>
          <w:tcPr>
            <w:tcW w:w="1842" w:type="dxa"/>
            <w:tcBorders>
              <w:top w:val="nil"/>
              <w:left w:val="nil"/>
              <w:bottom w:val="nil"/>
              <w:right w:val="single" w:sz="4" w:space="0" w:color="auto"/>
            </w:tcBorders>
            <w:noWrap/>
            <w:vAlign w:val="bottom"/>
            <w:hideMark/>
          </w:tcPr>
          <w:p w14:paraId="46265618" w14:textId="77777777" w:rsidR="00677577" w:rsidRPr="002154E6" w:rsidRDefault="00677577" w:rsidP="006F1B94">
            <w:pPr>
              <w:spacing w:after="0" w:line="240" w:lineRule="auto"/>
              <w:jc w:val="right"/>
              <w:rPr>
                <w:sz w:val="20"/>
                <w:szCs w:val="20"/>
              </w:rPr>
            </w:pPr>
            <w:r w:rsidRPr="002154E6">
              <w:rPr>
                <w:sz w:val="20"/>
                <w:szCs w:val="20"/>
              </w:rPr>
              <w:t>(0.001)</w:t>
            </w:r>
          </w:p>
        </w:tc>
      </w:tr>
      <w:tr w:rsidR="00677577" w:rsidRPr="00167CB8" w14:paraId="319E4EF9" w14:textId="77777777">
        <w:trPr>
          <w:trHeight w:val="211"/>
        </w:trPr>
        <w:tc>
          <w:tcPr>
            <w:tcW w:w="5812" w:type="dxa"/>
            <w:tcBorders>
              <w:top w:val="nil"/>
              <w:left w:val="single" w:sz="4" w:space="0" w:color="auto"/>
              <w:bottom w:val="nil"/>
              <w:right w:val="nil"/>
            </w:tcBorders>
            <w:noWrap/>
            <w:vAlign w:val="bottom"/>
            <w:hideMark/>
          </w:tcPr>
          <w:p w14:paraId="6F2312A6" w14:textId="77777777" w:rsidR="00677577" w:rsidRPr="002154E6" w:rsidRDefault="00677577">
            <w:pPr>
              <w:spacing w:after="0" w:line="240" w:lineRule="auto"/>
              <w:rPr>
                <w:sz w:val="20"/>
                <w:szCs w:val="20"/>
              </w:rPr>
            </w:pPr>
            <w:r w:rsidRPr="002154E6">
              <w:rPr>
                <w:sz w:val="20"/>
                <w:szCs w:val="20"/>
              </w:rPr>
              <w:t>Mining</w:t>
            </w:r>
          </w:p>
        </w:tc>
        <w:tc>
          <w:tcPr>
            <w:tcW w:w="1418" w:type="dxa"/>
            <w:tcBorders>
              <w:top w:val="nil"/>
              <w:left w:val="nil"/>
              <w:bottom w:val="nil"/>
              <w:right w:val="nil"/>
            </w:tcBorders>
            <w:noWrap/>
            <w:vAlign w:val="bottom"/>
            <w:hideMark/>
          </w:tcPr>
          <w:p w14:paraId="2F8F67A9" w14:textId="77777777" w:rsidR="00677577" w:rsidRPr="002154E6" w:rsidRDefault="00677577" w:rsidP="006F1B94">
            <w:pPr>
              <w:spacing w:after="0" w:line="240" w:lineRule="auto"/>
              <w:jc w:val="right"/>
              <w:rPr>
                <w:sz w:val="20"/>
                <w:szCs w:val="20"/>
              </w:rPr>
            </w:pPr>
            <w:r w:rsidRPr="002154E6">
              <w:rPr>
                <w:sz w:val="20"/>
                <w:szCs w:val="20"/>
              </w:rPr>
              <w:t>-0.019***</w:t>
            </w:r>
          </w:p>
        </w:tc>
        <w:tc>
          <w:tcPr>
            <w:tcW w:w="1842" w:type="dxa"/>
            <w:tcBorders>
              <w:top w:val="nil"/>
              <w:left w:val="nil"/>
              <w:bottom w:val="nil"/>
              <w:right w:val="single" w:sz="4" w:space="0" w:color="auto"/>
            </w:tcBorders>
            <w:noWrap/>
            <w:vAlign w:val="bottom"/>
            <w:hideMark/>
          </w:tcPr>
          <w:p w14:paraId="2B8893E4" w14:textId="77777777" w:rsidR="00677577" w:rsidRPr="002154E6" w:rsidRDefault="00677577" w:rsidP="006F1B94">
            <w:pPr>
              <w:spacing w:after="0" w:line="240" w:lineRule="auto"/>
              <w:jc w:val="right"/>
              <w:rPr>
                <w:sz w:val="20"/>
                <w:szCs w:val="20"/>
              </w:rPr>
            </w:pPr>
            <w:r w:rsidRPr="002154E6">
              <w:rPr>
                <w:sz w:val="20"/>
                <w:szCs w:val="20"/>
              </w:rPr>
              <w:t>0.010***</w:t>
            </w:r>
          </w:p>
        </w:tc>
      </w:tr>
      <w:tr w:rsidR="00677577" w:rsidRPr="00167CB8" w14:paraId="4839CC0D" w14:textId="77777777">
        <w:trPr>
          <w:trHeight w:val="211"/>
        </w:trPr>
        <w:tc>
          <w:tcPr>
            <w:tcW w:w="5812" w:type="dxa"/>
            <w:tcBorders>
              <w:top w:val="nil"/>
              <w:left w:val="single" w:sz="4" w:space="0" w:color="auto"/>
              <w:bottom w:val="nil"/>
              <w:right w:val="nil"/>
            </w:tcBorders>
            <w:noWrap/>
            <w:vAlign w:val="bottom"/>
            <w:hideMark/>
          </w:tcPr>
          <w:p w14:paraId="21486254" w14:textId="77777777" w:rsidR="00677577" w:rsidRPr="002154E6" w:rsidRDefault="00677577">
            <w:pPr>
              <w:spacing w:after="0" w:line="240" w:lineRule="auto"/>
              <w:rPr>
                <w:sz w:val="20"/>
                <w:szCs w:val="20"/>
              </w:rPr>
            </w:pPr>
          </w:p>
        </w:tc>
        <w:tc>
          <w:tcPr>
            <w:tcW w:w="1418" w:type="dxa"/>
            <w:tcBorders>
              <w:top w:val="nil"/>
              <w:left w:val="nil"/>
              <w:bottom w:val="nil"/>
              <w:right w:val="nil"/>
            </w:tcBorders>
            <w:noWrap/>
            <w:vAlign w:val="bottom"/>
            <w:hideMark/>
          </w:tcPr>
          <w:p w14:paraId="70F0E902" w14:textId="77777777" w:rsidR="00677577" w:rsidRPr="002154E6" w:rsidRDefault="00677577" w:rsidP="006F1B94">
            <w:pPr>
              <w:spacing w:after="0" w:line="240" w:lineRule="auto"/>
              <w:jc w:val="right"/>
              <w:rPr>
                <w:sz w:val="20"/>
                <w:szCs w:val="20"/>
              </w:rPr>
            </w:pPr>
            <w:r w:rsidRPr="002154E6">
              <w:rPr>
                <w:sz w:val="20"/>
                <w:szCs w:val="20"/>
              </w:rPr>
              <w:t>(0.004)</w:t>
            </w:r>
          </w:p>
        </w:tc>
        <w:tc>
          <w:tcPr>
            <w:tcW w:w="1842" w:type="dxa"/>
            <w:tcBorders>
              <w:top w:val="nil"/>
              <w:left w:val="nil"/>
              <w:bottom w:val="nil"/>
              <w:right w:val="single" w:sz="4" w:space="0" w:color="auto"/>
            </w:tcBorders>
            <w:noWrap/>
            <w:vAlign w:val="bottom"/>
            <w:hideMark/>
          </w:tcPr>
          <w:p w14:paraId="6527F047" w14:textId="77777777" w:rsidR="00677577" w:rsidRPr="002154E6" w:rsidRDefault="00677577" w:rsidP="006F1B94">
            <w:pPr>
              <w:spacing w:after="0" w:line="240" w:lineRule="auto"/>
              <w:jc w:val="right"/>
              <w:rPr>
                <w:sz w:val="20"/>
                <w:szCs w:val="20"/>
              </w:rPr>
            </w:pPr>
            <w:r w:rsidRPr="002154E6">
              <w:rPr>
                <w:sz w:val="20"/>
                <w:szCs w:val="20"/>
              </w:rPr>
              <w:t>(0.003)</w:t>
            </w:r>
          </w:p>
        </w:tc>
      </w:tr>
      <w:tr w:rsidR="00677577" w:rsidRPr="00167CB8" w14:paraId="049FADA4" w14:textId="77777777">
        <w:trPr>
          <w:trHeight w:val="211"/>
        </w:trPr>
        <w:tc>
          <w:tcPr>
            <w:tcW w:w="5812" w:type="dxa"/>
            <w:tcBorders>
              <w:top w:val="nil"/>
              <w:left w:val="single" w:sz="4" w:space="0" w:color="auto"/>
              <w:bottom w:val="nil"/>
              <w:right w:val="nil"/>
            </w:tcBorders>
            <w:noWrap/>
            <w:vAlign w:val="bottom"/>
            <w:hideMark/>
          </w:tcPr>
          <w:p w14:paraId="6C55FD04" w14:textId="77777777" w:rsidR="00677577" w:rsidRPr="002154E6" w:rsidRDefault="00677577">
            <w:pPr>
              <w:spacing w:after="0" w:line="240" w:lineRule="auto"/>
              <w:rPr>
                <w:sz w:val="20"/>
                <w:szCs w:val="20"/>
              </w:rPr>
            </w:pPr>
            <w:r w:rsidRPr="002154E6">
              <w:rPr>
                <w:sz w:val="20"/>
                <w:szCs w:val="20"/>
              </w:rPr>
              <w:t>Manufacturing</w:t>
            </w:r>
          </w:p>
        </w:tc>
        <w:tc>
          <w:tcPr>
            <w:tcW w:w="1418" w:type="dxa"/>
            <w:tcBorders>
              <w:top w:val="nil"/>
              <w:left w:val="nil"/>
              <w:bottom w:val="nil"/>
              <w:right w:val="nil"/>
            </w:tcBorders>
            <w:noWrap/>
            <w:vAlign w:val="bottom"/>
            <w:hideMark/>
          </w:tcPr>
          <w:p w14:paraId="39D86AAE" w14:textId="77777777" w:rsidR="00677577" w:rsidRPr="002154E6" w:rsidRDefault="00677577" w:rsidP="006F1B94">
            <w:pPr>
              <w:spacing w:after="0" w:line="240" w:lineRule="auto"/>
              <w:jc w:val="right"/>
              <w:rPr>
                <w:sz w:val="20"/>
                <w:szCs w:val="20"/>
              </w:rPr>
            </w:pPr>
            <w:r w:rsidRPr="002154E6">
              <w:rPr>
                <w:sz w:val="20"/>
                <w:szCs w:val="20"/>
              </w:rPr>
              <w:t>-0.043***</w:t>
            </w:r>
          </w:p>
        </w:tc>
        <w:tc>
          <w:tcPr>
            <w:tcW w:w="1842" w:type="dxa"/>
            <w:tcBorders>
              <w:top w:val="nil"/>
              <w:left w:val="nil"/>
              <w:bottom w:val="nil"/>
              <w:right w:val="single" w:sz="4" w:space="0" w:color="auto"/>
            </w:tcBorders>
            <w:noWrap/>
            <w:vAlign w:val="bottom"/>
            <w:hideMark/>
          </w:tcPr>
          <w:p w14:paraId="3E81622A" w14:textId="77777777" w:rsidR="00677577" w:rsidRPr="002154E6" w:rsidRDefault="00677577" w:rsidP="006F1B94">
            <w:pPr>
              <w:spacing w:after="0" w:line="240" w:lineRule="auto"/>
              <w:jc w:val="right"/>
              <w:rPr>
                <w:sz w:val="20"/>
                <w:szCs w:val="20"/>
              </w:rPr>
            </w:pPr>
            <w:r w:rsidRPr="002154E6">
              <w:rPr>
                <w:sz w:val="20"/>
                <w:szCs w:val="20"/>
              </w:rPr>
              <w:t>-0.008***</w:t>
            </w:r>
          </w:p>
        </w:tc>
      </w:tr>
      <w:tr w:rsidR="00677577" w:rsidRPr="00167CB8" w14:paraId="6BDE5C21" w14:textId="77777777">
        <w:trPr>
          <w:trHeight w:val="211"/>
        </w:trPr>
        <w:tc>
          <w:tcPr>
            <w:tcW w:w="5812" w:type="dxa"/>
            <w:tcBorders>
              <w:top w:val="nil"/>
              <w:left w:val="single" w:sz="4" w:space="0" w:color="auto"/>
              <w:bottom w:val="nil"/>
              <w:right w:val="nil"/>
            </w:tcBorders>
            <w:noWrap/>
            <w:vAlign w:val="bottom"/>
            <w:hideMark/>
          </w:tcPr>
          <w:p w14:paraId="7CD531E2" w14:textId="77777777" w:rsidR="00677577" w:rsidRPr="002154E6" w:rsidRDefault="00677577">
            <w:pPr>
              <w:spacing w:after="0" w:line="240" w:lineRule="auto"/>
              <w:rPr>
                <w:sz w:val="20"/>
                <w:szCs w:val="20"/>
              </w:rPr>
            </w:pPr>
          </w:p>
        </w:tc>
        <w:tc>
          <w:tcPr>
            <w:tcW w:w="1418" w:type="dxa"/>
            <w:tcBorders>
              <w:top w:val="nil"/>
              <w:left w:val="nil"/>
              <w:bottom w:val="nil"/>
              <w:right w:val="nil"/>
            </w:tcBorders>
            <w:noWrap/>
            <w:vAlign w:val="bottom"/>
            <w:hideMark/>
          </w:tcPr>
          <w:p w14:paraId="19E7ABFB" w14:textId="77777777" w:rsidR="00677577" w:rsidRPr="002154E6" w:rsidRDefault="00677577" w:rsidP="006F1B94">
            <w:pPr>
              <w:spacing w:after="0" w:line="240" w:lineRule="auto"/>
              <w:jc w:val="right"/>
              <w:rPr>
                <w:sz w:val="20"/>
                <w:szCs w:val="20"/>
              </w:rPr>
            </w:pPr>
            <w:r w:rsidRPr="002154E6">
              <w:rPr>
                <w:sz w:val="20"/>
                <w:szCs w:val="20"/>
              </w:rPr>
              <w:t>(0.003)</w:t>
            </w:r>
          </w:p>
        </w:tc>
        <w:tc>
          <w:tcPr>
            <w:tcW w:w="1842" w:type="dxa"/>
            <w:tcBorders>
              <w:top w:val="nil"/>
              <w:left w:val="nil"/>
              <w:bottom w:val="nil"/>
              <w:right w:val="single" w:sz="4" w:space="0" w:color="auto"/>
            </w:tcBorders>
            <w:noWrap/>
            <w:vAlign w:val="bottom"/>
            <w:hideMark/>
          </w:tcPr>
          <w:p w14:paraId="67BD7FD7" w14:textId="77777777" w:rsidR="00677577" w:rsidRPr="002154E6" w:rsidRDefault="00677577" w:rsidP="006F1B94">
            <w:pPr>
              <w:spacing w:after="0" w:line="240" w:lineRule="auto"/>
              <w:jc w:val="right"/>
              <w:rPr>
                <w:sz w:val="20"/>
                <w:szCs w:val="20"/>
              </w:rPr>
            </w:pPr>
            <w:r w:rsidRPr="002154E6">
              <w:rPr>
                <w:sz w:val="20"/>
                <w:szCs w:val="20"/>
              </w:rPr>
              <w:t>(0.003)</w:t>
            </w:r>
          </w:p>
        </w:tc>
      </w:tr>
      <w:tr w:rsidR="00677577" w:rsidRPr="00167CB8" w14:paraId="58294E24" w14:textId="77777777">
        <w:trPr>
          <w:trHeight w:val="211"/>
        </w:trPr>
        <w:tc>
          <w:tcPr>
            <w:tcW w:w="5812" w:type="dxa"/>
            <w:tcBorders>
              <w:top w:val="nil"/>
              <w:left w:val="single" w:sz="4" w:space="0" w:color="auto"/>
              <w:bottom w:val="nil"/>
              <w:right w:val="nil"/>
            </w:tcBorders>
            <w:noWrap/>
            <w:vAlign w:val="bottom"/>
            <w:hideMark/>
          </w:tcPr>
          <w:p w14:paraId="4C8155F3" w14:textId="77777777" w:rsidR="00677577" w:rsidRPr="002154E6" w:rsidRDefault="00677577">
            <w:pPr>
              <w:spacing w:after="0" w:line="240" w:lineRule="auto"/>
              <w:rPr>
                <w:sz w:val="20"/>
                <w:szCs w:val="20"/>
              </w:rPr>
            </w:pPr>
            <w:r w:rsidRPr="002154E6">
              <w:rPr>
                <w:sz w:val="20"/>
                <w:szCs w:val="20"/>
              </w:rPr>
              <w:t>Electricity, gas and water</w:t>
            </w:r>
          </w:p>
        </w:tc>
        <w:tc>
          <w:tcPr>
            <w:tcW w:w="1418" w:type="dxa"/>
            <w:tcBorders>
              <w:top w:val="nil"/>
              <w:left w:val="nil"/>
              <w:bottom w:val="nil"/>
              <w:right w:val="nil"/>
            </w:tcBorders>
            <w:noWrap/>
            <w:vAlign w:val="bottom"/>
            <w:hideMark/>
          </w:tcPr>
          <w:p w14:paraId="18CB1DC7" w14:textId="77777777" w:rsidR="00677577" w:rsidRPr="002154E6" w:rsidRDefault="00677577" w:rsidP="006F1B94">
            <w:pPr>
              <w:spacing w:after="0" w:line="240" w:lineRule="auto"/>
              <w:jc w:val="right"/>
              <w:rPr>
                <w:sz w:val="20"/>
                <w:szCs w:val="20"/>
              </w:rPr>
            </w:pPr>
            <w:r w:rsidRPr="002154E6">
              <w:rPr>
                <w:sz w:val="20"/>
                <w:szCs w:val="20"/>
              </w:rPr>
              <w:t>-0.019***</w:t>
            </w:r>
          </w:p>
        </w:tc>
        <w:tc>
          <w:tcPr>
            <w:tcW w:w="1842" w:type="dxa"/>
            <w:tcBorders>
              <w:top w:val="nil"/>
              <w:left w:val="nil"/>
              <w:bottom w:val="nil"/>
              <w:right w:val="single" w:sz="4" w:space="0" w:color="auto"/>
            </w:tcBorders>
            <w:noWrap/>
            <w:vAlign w:val="bottom"/>
            <w:hideMark/>
          </w:tcPr>
          <w:p w14:paraId="43420E3F" w14:textId="77777777" w:rsidR="00677577" w:rsidRPr="002154E6" w:rsidRDefault="00677577" w:rsidP="006F1B94">
            <w:pPr>
              <w:spacing w:after="0" w:line="240" w:lineRule="auto"/>
              <w:jc w:val="right"/>
              <w:rPr>
                <w:sz w:val="20"/>
                <w:szCs w:val="20"/>
              </w:rPr>
            </w:pPr>
            <w:r w:rsidRPr="002154E6">
              <w:rPr>
                <w:sz w:val="20"/>
                <w:szCs w:val="20"/>
              </w:rPr>
              <w:t>-0.008*</w:t>
            </w:r>
          </w:p>
        </w:tc>
      </w:tr>
      <w:tr w:rsidR="00677577" w:rsidRPr="00167CB8" w14:paraId="3876790A" w14:textId="77777777">
        <w:trPr>
          <w:trHeight w:val="211"/>
        </w:trPr>
        <w:tc>
          <w:tcPr>
            <w:tcW w:w="5812" w:type="dxa"/>
            <w:tcBorders>
              <w:top w:val="nil"/>
              <w:left w:val="single" w:sz="4" w:space="0" w:color="auto"/>
              <w:bottom w:val="nil"/>
              <w:right w:val="nil"/>
            </w:tcBorders>
            <w:noWrap/>
            <w:vAlign w:val="bottom"/>
            <w:hideMark/>
          </w:tcPr>
          <w:p w14:paraId="43A7B151" w14:textId="77777777" w:rsidR="00677577" w:rsidRPr="002154E6" w:rsidRDefault="00677577">
            <w:pPr>
              <w:spacing w:after="0" w:line="240" w:lineRule="auto"/>
              <w:rPr>
                <w:sz w:val="20"/>
                <w:szCs w:val="20"/>
              </w:rPr>
            </w:pPr>
          </w:p>
        </w:tc>
        <w:tc>
          <w:tcPr>
            <w:tcW w:w="1418" w:type="dxa"/>
            <w:tcBorders>
              <w:top w:val="nil"/>
              <w:left w:val="nil"/>
              <w:bottom w:val="nil"/>
              <w:right w:val="nil"/>
            </w:tcBorders>
            <w:noWrap/>
            <w:vAlign w:val="bottom"/>
            <w:hideMark/>
          </w:tcPr>
          <w:p w14:paraId="134A3C08" w14:textId="77777777" w:rsidR="00677577" w:rsidRPr="002154E6" w:rsidRDefault="00677577" w:rsidP="006F1B94">
            <w:pPr>
              <w:spacing w:after="0" w:line="240" w:lineRule="auto"/>
              <w:jc w:val="right"/>
              <w:rPr>
                <w:sz w:val="20"/>
                <w:szCs w:val="20"/>
              </w:rPr>
            </w:pPr>
            <w:r w:rsidRPr="002154E6">
              <w:rPr>
                <w:sz w:val="20"/>
                <w:szCs w:val="20"/>
              </w:rPr>
              <w:t>(0.004)</w:t>
            </w:r>
          </w:p>
        </w:tc>
        <w:tc>
          <w:tcPr>
            <w:tcW w:w="1842" w:type="dxa"/>
            <w:tcBorders>
              <w:top w:val="nil"/>
              <w:left w:val="nil"/>
              <w:bottom w:val="nil"/>
              <w:right w:val="single" w:sz="4" w:space="0" w:color="auto"/>
            </w:tcBorders>
            <w:noWrap/>
            <w:vAlign w:val="bottom"/>
            <w:hideMark/>
          </w:tcPr>
          <w:p w14:paraId="21EDBCF3" w14:textId="77777777" w:rsidR="00677577" w:rsidRPr="002154E6" w:rsidRDefault="00677577" w:rsidP="006F1B94">
            <w:pPr>
              <w:spacing w:after="0" w:line="240" w:lineRule="auto"/>
              <w:jc w:val="right"/>
              <w:rPr>
                <w:sz w:val="20"/>
                <w:szCs w:val="20"/>
              </w:rPr>
            </w:pPr>
            <w:r w:rsidRPr="002154E6">
              <w:rPr>
                <w:sz w:val="20"/>
                <w:szCs w:val="20"/>
              </w:rPr>
              <w:t>(0.005)</w:t>
            </w:r>
          </w:p>
        </w:tc>
      </w:tr>
      <w:tr w:rsidR="00677577" w:rsidRPr="00167CB8" w14:paraId="5658EB8A" w14:textId="77777777">
        <w:trPr>
          <w:trHeight w:val="211"/>
        </w:trPr>
        <w:tc>
          <w:tcPr>
            <w:tcW w:w="5812" w:type="dxa"/>
            <w:tcBorders>
              <w:top w:val="nil"/>
              <w:left w:val="single" w:sz="4" w:space="0" w:color="auto"/>
              <w:bottom w:val="nil"/>
              <w:right w:val="nil"/>
            </w:tcBorders>
            <w:noWrap/>
            <w:vAlign w:val="bottom"/>
            <w:hideMark/>
          </w:tcPr>
          <w:p w14:paraId="340E4867" w14:textId="77777777" w:rsidR="00677577" w:rsidRPr="002154E6" w:rsidRDefault="00677577">
            <w:pPr>
              <w:spacing w:after="0" w:line="240" w:lineRule="auto"/>
              <w:rPr>
                <w:sz w:val="20"/>
                <w:szCs w:val="20"/>
              </w:rPr>
            </w:pPr>
            <w:r w:rsidRPr="002154E6">
              <w:rPr>
                <w:sz w:val="20"/>
                <w:szCs w:val="20"/>
              </w:rPr>
              <w:t>Construction</w:t>
            </w:r>
          </w:p>
        </w:tc>
        <w:tc>
          <w:tcPr>
            <w:tcW w:w="1418" w:type="dxa"/>
            <w:tcBorders>
              <w:top w:val="nil"/>
              <w:left w:val="nil"/>
              <w:bottom w:val="nil"/>
              <w:right w:val="nil"/>
            </w:tcBorders>
            <w:noWrap/>
            <w:vAlign w:val="bottom"/>
            <w:hideMark/>
          </w:tcPr>
          <w:p w14:paraId="22FC741B" w14:textId="77777777" w:rsidR="00677577" w:rsidRPr="002154E6" w:rsidRDefault="00677577" w:rsidP="006F1B94">
            <w:pPr>
              <w:spacing w:after="0" w:line="240" w:lineRule="auto"/>
              <w:jc w:val="right"/>
              <w:rPr>
                <w:sz w:val="20"/>
                <w:szCs w:val="20"/>
              </w:rPr>
            </w:pPr>
            <w:r w:rsidRPr="002154E6">
              <w:rPr>
                <w:sz w:val="20"/>
                <w:szCs w:val="20"/>
              </w:rPr>
              <w:t>-0.030***</w:t>
            </w:r>
          </w:p>
        </w:tc>
        <w:tc>
          <w:tcPr>
            <w:tcW w:w="1842" w:type="dxa"/>
            <w:tcBorders>
              <w:top w:val="nil"/>
              <w:left w:val="nil"/>
              <w:bottom w:val="nil"/>
              <w:right w:val="single" w:sz="4" w:space="0" w:color="auto"/>
            </w:tcBorders>
            <w:noWrap/>
            <w:vAlign w:val="bottom"/>
            <w:hideMark/>
          </w:tcPr>
          <w:p w14:paraId="49FEFDBC" w14:textId="77777777" w:rsidR="00677577" w:rsidRPr="002154E6" w:rsidRDefault="00677577" w:rsidP="006F1B94">
            <w:pPr>
              <w:spacing w:after="0" w:line="240" w:lineRule="auto"/>
              <w:jc w:val="right"/>
              <w:rPr>
                <w:sz w:val="20"/>
                <w:szCs w:val="20"/>
              </w:rPr>
            </w:pPr>
            <w:r w:rsidRPr="002154E6">
              <w:rPr>
                <w:sz w:val="20"/>
                <w:szCs w:val="20"/>
              </w:rPr>
              <w:t>-0.005*</w:t>
            </w:r>
          </w:p>
        </w:tc>
      </w:tr>
      <w:tr w:rsidR="00677577" w:rsidRPr="00167CB8" w14:paraId="66DE3D8F" w14:textId="77777777">
        <w:trPr>
          <w:trHeight w:val="211"/>
        </w:trPr>
        <w:tc>
          <w:tcPr>
            <w:tcW w:w="5812" w:type="dxa"/>
            <w:tcBorders>
              <w:top w:val="nil"/>
              <w:left w:val="single" w:sz="4" w:space="0" w:color="auto"/>
              <w:bottom w:val="nil"/>
              <w:right w:val="nil"/>
            </w:tcBorders>
            <w:noWrap/>
            <w:vAlign w:val="bottom"/>
            <w:hideMark/>
          </w:tcPr>
          <w:p w14:paraId="2C50E999" w14:textId="77777777" w:rsidR="00677577" w:rsidRPr="002154E6" w:rsidRDefault="00677577">
            <w:pPr>
              <w:spacing w:after="0" w:line="240" w:lineRule="auto"/>
              <w:rPr>
                <w:sz w:val="20"/>
                <w:szCs w:val="20"/>
              </w:rPr>
            </w:pPr>
          </w:p>
        </w:tc>
        <w:tc>
          <w:tcPr>
            <w:tcW w:w="1418" w:type="dxa"/>
            <w:tcBorders>
              <w:top w:val="nil"/>
              <w:left w:val="nil"/>
              <w:bottom w:val="nil"/>
              <w:right w:val="nil"/>
            </w:tcBorders>
            <w:noWrap/>
            <w:vAlign w:val="bottom"/>
            <w:hideMark/>
          </w:tcPr>
          <w:p w14:paraId="371E4B9A" w14:textId="77777777" w:rsidR="00677577" w:rsidRPr="002154E6" w:rsidRDefault="00677577" w:rsidP="006F1B94">
            <w:pPr>
              <w:spacing w:after="0" w:line="240" w:lineRule="auto"/>
              <w:jc w:val="right"/>
              <w:rPr>
                <w:sz w:val="20"/>
                <w:szCs w:val="20"/>
              </w:rPr>
            </w:pPr>
            <w:r w:rsidRPr="002154E6">
              <w:rPr>
                <w:sz w:val="20"/>
                <w:szCs w:val="20"/>
              </w:rPr>
              <w:t>(0.003)</w:t>
            </w:r>
          </w:p>
        </w:tc>
        <w:tc>
          <w:tcPr>
            <w:tcW w:w="1842" w:type="dxa"/>
            <w:tcBorders>
              <w:top w:val="nil"/>
              <w:left w:val="nil"/>
              <w:bottom w:val="nil"/>
              <w:right w:val="single" w:sz="4" w:space="0" w:color="auto"/>
            </w:tcBorders>
            <w:noWrap/>
            <w:vAlign w:val="bottom"/>
            <w:hideMark/>
          </w:tcPr>
          <w:p w14:paraId="2047358E" w14:textId="77777777" w:rsidR="00677577" w:rsidRPr="002154E6" w:rsidRDefault="00677577" w:rsidP="006F1B94">
            <w:pPr>
              <w:spacing w:after="0" w:line="240" w:lineRule="auto"/>
              <w:jc w:val="right"/>
              <w:rPr>
                <w:sz w:val="20"/>
                <w:szCs w:val="20"/>
              </w:rPr>
            </w:pPr>
            <w:r w:rsidRPr="002154E6">
              <w:rPr>
                <w:sz w:val="20"/>
                <w:szCs w:val="20"/>
              </w:rPr>
              <w:t>(0.003)</w:t>
            </w:r>
          </w:p>
        </w:tc>
      </w:tr>
      <w:tr w:rsidR="00677577" w:rsidRPr="00167CB8" w14:paraId="14817B04" w14:textId="77777777">
        <w:trPr>
          <w:trHeight w:val="211"/>
        </w:trPr>
        <w:tc>
          <w:tcPr>
            <w:tcW w:w="5812" w:type="dxa"/>
            <w:tcBorders>
              <w:top w:val="nil"/>
              <w:left w:val="single" w:sz="4" w:space="0" w:color="auto"/>
              <w:bottom w:val="nil"/>
              <w:right w:val="nil"/>
            </w:tcBorders>
            <w:noWrap/>
            <w:vAlign w:val="bottom"/>
            <w:hideMark/>
          </w:tcPr>
          <w:p w14:paraId="76EC80E5" w14:textId="77777777" w:rsidR="00677577" w:rsidRPr="002154E6" w:rsidRDefault="00677577">
            <w:pPr>
              <w:spacing w:after="0" w:line="240" w:lineRule="auto"/>
              <w:rPr>
                <w:sz w:val="20"/>
                <w:szCs w:val="20"/>
              </w:rPr>
            </w:pPr>
            <w:r w:rsidRPr="002154E6">
              <w:rPr>
                <w:sz w:val="20"/>
                <w:szCs w:val="20"/>
              </w:rPr>
              <w:t>Wholesale trade</w:t>
            </w:r>
          </w:p>
        </w:tc>
        <w:tc>
          <w:tcPr>
            <w:tcW w:w="1418" w:type="dxa"/>
            <w:tcBorders>
              <w:top w:val="nil"/>
              <w:left w:val="nil"/>
              <w:bottom w:val="nil"/>
              <w:right w:val="nil"/>
            </w:tcBorders>
            <w:noWrap/>
            <w:vAlign w:val="bottom"/>
            <w:hideMark/>
          </w:tcPr>
          <w:p w14:paraId="6A19CB3F" w14:textId="77777777" w:rsidR="00677577" w:rsidRPr="002154E6" w:rsidRDefault="00677577" w:rsidP="006F1B94">
            <w:pPr>
              <w:spacing w:after="0" w:line="240" w:lineRule="auto"/>
              <w:jc w:val="right"/>
              <w:rPr>
                <w:sz w:val="20"/>
                <w:szCs w:val="20"/>
              </w:rPr>
            </w:pPr>
            <w:r w:rsidRPr="002154E6">
              <w:rPr>
                <w:sz w:val="20"/>
                <w:szCs w:val="20"/>
              </w:rPr>
              <w:t>-0.035***</w:t>
            </w:r>
          </w:p>
        </w:tc>
        <w:tc>
          <w:tcPr>
            <w:tcW w:w="1842" w:type="dxa"/>
            <w:tcBorders>
              <w:top w:val="nil"/>
              <w:left w:val="nil"/>
              <w:bottom w:val="nil"/>
              <w:right w:val="single" w:sz="4" w:space="0" w:color="auto"/>
            </w:tcBorders>
            <w:noWrap/>
            <w:vAlign w:val="bottom"/>
            <w:hideMark/>
          </w:tcPr>
          <w:p w14:paraId="7A972C0A" w14:textId="77777777" w:rsidR="00677577" w:rsidRPr="002154E6" w:rsidRDefault="00677577" w:rsidP="006F1B94">
            <w:pPr>
              <w:spacing w:after="0" w:line="240" w:lineRule="auto"/>
              <w:jc w:val="right"/>
              <w:rPr>
                <w:sz w:val="20"/>
                <w:szCs w:val="20"/>
              </w:rPr>
            </w:pPr>
            <w:r w:rsidRPr="002154E6">
              <w:rPr>
                <w:sz w:val="20"/>
                <w:szCs w:val="20"/>
              </w:rPr>
              <w:t>-0.007**</w:t>
            </w:r>
          </w:p>
        </w:tc>
      </w:tr>
      <w:tr w:rsidR="00677577" w:rsidRPr="00167CB8" w14:paraId="23B4415A" w14:textId="77777777">
        <w:trPr>
          <w:trHeight w:val="211"/>
        </w:trPr>
        <w:tc>
          <w:tcPr>
            <w:tcW w:w="5812" w:type="dxa"/>
            <w:tcBorders>
              <w:top w:val="nil"/>
              <w:left w:val="single" w:sz="4" w:space="0" w:color="auto"/>
              <w:bottom w:val="nil"/>
              <w:right w:val="nil"/>
            </w:tcBorders>
            <w:noWrap/>
            <w:vAlign w:val="bottom"/>
            <w:hideMark/>
          </w:tcPr>
          <w:p w14:paraId="4658F3D6" w14:textId="77777777" w:rsidR="00677577" w:rsidRPr="002154E6" w:rsidRDefault="00677577">
            <w:pPr>
              <w:spacing w:after="0" w:line="240" w:lineRule="auto"/>
              <w:rPr>
                <w:sz w:val="20"/>
                <w:szCs w:val="20"/>
              </w:rPr>
            </w:pPr>
          </w:p>
        </w:tc>
        <w:tc>
          <w:tcPr>
            <w:tcW w:w="1418" w:type="dxa"/>
            <w:tcBorders>
              <w:top w:val="nil"/>
              <w:left w:val="nil"/>
              <w:bottom w:val="nil"/>
              <w:right w:val="nil"/>
            </w:tcBorders>
            <w:noWrap/>
            <w:vAlign w:val="bottom"/>
            <w:hideMark/>
          </w:tcPr>
          <w:p w14:paraId="5D8F3919" w14:textId="77777777" w:rsidR="00677577" w:rsidRPr="002154E6" w:rsidRDefault="00677577" w:rsidP="006F1B94">
            <w:pPr>
              <w:spacing w:after="0" w:line="240" w:lineRule="auto"/>
              <w:jc w:val="right"/>
              <w:rPr>
                <w:sz w:val="20"/>
                <w:szCs w:val="20"/>
              </w:rPr>
            </w:pPr>
            <w:r w:rsidRPr="002154E6">
              <w:rPr>
                <w:sz w:val="20"/>
                <w:szCs w:val="20"/>
              </w:rPr>
              <w:t>(0.004)</w:t>
            </w:r>
          </w:p>
        </w:tc>
        <w:tc>
          <w:tcPr>
            <w:tcW w:w="1842" w:type="dxa"/>
            <w:tcBorders>
              <w:top w:val="nil"/>
              <w:left w:val="nil"/>
              <w:bottom w:val="nil"/>
              <w:right w:val="single" w:sz="4" w:space="0" w:color="auto"/>
            </w:tcBorders>
            <w:noWrap/>
            <w:vAlign w:val="bottom"/>
            <w:hideMark/>
          </w:tcPr>
          <w:p w14:paraId="5A8E648C" w14:textId="77777777" w:rsidR="00677577" w:rsidRPr="002154E6" w:rsidRDefault="00677577" w:rsidP="006F1B94">
            <w:pPr>
              <w:spacing w:after="0" w:line="240" w:lineRule="auto"/>
              <w:jc w:val="right"/>
              <w:rPr>
                <w:sz w:val="20"/>
                <w:szCs w:val="20"/>
              </w:rPr>
            </w:pPr>
            <w:r w:rsidRPr="002154E6">
              <w:rPr>
                <w:sz w:val="20"/>
                <w:szCs w:val="20"/>
              </w:rPr>
              <w:t>(0.003)</w:t>
            </w:r>
          </w:p>
        </w:tc>
      </w:tr>
      <w:tr w:rsidR="00677577" w:rsidRPr="00167CB8" w14:paraId="7F5E564E" w14:textId="77777777">
        <w:trPr>
          <w:trHeight w:val="211"/>
        </w:trPr>
        <w:tc>
          <w:tcPr>
            <w:tcW w:w="5812" w:type="dxa"/>
            <w:tcBorders>
              <w:top w:val="nil"/>
              <w:left w:val="single" w:sz="4" w:space="0" w:color="auto"/>
              <w:bottom w:val="nil"/>
              <w:right w:val="nil"/>
            </w:tcBorders>
            <w:noWrap/>
            <w:vAlign w:val="bottom"/>
            <w:hideMark/>
          </w:tcPr>
          <w:p w14:paraId="553BE226" w14:textId="77777777" w:rsidR="00677577" w:rsidRPr="002154E6" w:rsidRDefault="00677577">
            <w:pPr>
              <w:spacing w:after="0" w:line="240" w:lineRule="auto"/>
              <w:rPr>
                <w:sz w:val="20"/>
                <w:szCs w:val="20"/>
              </w:rPr>
            </w:pPr>
            <w:r w:rsidRPr="002154E6">
              <w:rPr>
                <w:sz w:val="20"/>
                <w:szCs w:val="20"/>
              </w:rPr>
              <w:t>Retail trade</w:t>
            </w:r>
          </w:p>
        </w:tc>
        <w:tc>
          <w:tcPr>
            <w:tcW w:w="1418" w:type="dxa"/>
            <w:tcBorders>
              <w:top w:val="nil"/>
              <w:left w:val="nil"/>
              <w:bottom w:val="nil"/>
              <w:right w:val="nil"/>
            </w:tcBorders>
            <w:noWrap/>
            <w:vAlign w:val="bottom"/>
            <w:hideMark/>
          </w:tcPr>
          <w:p w14:paraId="755FBE71" w14:textId="77777777" w:rsidR="00677577" w:rsidRPr="002154E6" w:rsidRDefault="00677577" w:rsidP="006F1B94">
            <w:pPr>
              <w:spacing w:after="0" w:line="240" w:lineRule="auto"/>
              <w:jc w:val="right"/>
              <w:rPr>
                <w:sz w:val="20"/>
                <w:szCs w:val="20"/>
              </w:rPr>
            </w:pPr>
            <w:r w:rsidRPr="002154E6">
              <w:rPr>
                <w:sz w:val="20"/>
                <w:szCs w:val="20"/>
              </w:rPr>
              <w:t>-0.029***</w:t>
            </w:r>
          </w:p>
        </w:tc>
        <w:tc>
          <w:tcPr>
            <w:tcW w:w="1842" w:type="dxa"/>
            <w:tcBorders>
              <w:top w:val="nil"/>
              <w:left w:val="nil"/>
              <w:bottom w:val="nil"/>
              <w:right w:val="single" w:sz="4" w:space="0" w:color="auto"/>
            </w:tcBorders>
            <w:noWrap/>
            <w:vAlign w:val="bottom"/>
            <w:hideMark/>
          </w:tcPr>
          <w:p w14:paraId="7519F1CE" w14:textId="77777777" w:rsidR="00677577" w:rsidRPr="002154E6" w:rsidRDefault="00677577" w:rsidP="006F1B94">
            <w:pPr>
              <w:spacing w:after="0" w:line="240" w:lineRule="auto"/>
              <w:jc w:val="right"/>
              <w:rPr>
                <w:sz w:val="20"/>
                <w:szCs w:val="20"/>
              </w:rPr>
            </w:pPr>
            <w:r w:rsidRPr="002154E6">
              <w:rPr>
                <w:sz w:val="20"/>
                <w:szCs w:val="20"/>
              </w:rPr>
              <w:t>-0.003</w:t>
            </w:r>
          </w:p>
        </w:tc>
      </w:tr>
      <w:tr w:rsidR="00677577" w:rsidRPr="00167CB8" w14:paraId="7F8149F1" w14:textId="77777777">
        <w:trPr>
          <w:trHeight w:val="211"/>
        </w:trPr>
        <w:tc>
          <w:tcPr>
            <w:tcW w:w="5812" w:type="dxa"/>
            <w:tcBorders>
              <w:top w:val="nil"/>
              <w:left w:val="single" w:sz="4" w:space="0" w:color="auto"/>
              <w:bottom w:val="nil"/>
              <w:right w:val="nil"/>
            </w:tcBorders>
            <w:noWrap/>
            <w:vAlign w:val="bottom"/>
            <w:hideMark/>
          </w:tcPr>
          <w:p w14:paraId="6121F2E2" w14:textId="77777777" w:rsidR="00677577" w:rsidRPr="002154E6" w:rsidRDefault="00677577">
            <w:pPr>
              <w:spacing w:after="0" w:line="240" w:lineRule="auto"/>
              <w:rPr>
                <w:sz w:val="20"/>
                <w:szCs w:val="20"/>
              </w:rPr>
            </w:pPr>
          </w:p>
        </w:tc>
        <w:tc>
          <w:tcPr>
            <w:tcW w:w="1418" w:type="dxa"/>
            <w:tcBorders>
              <w:top w:val="nil"/>
              <w:left w:val="nil"/>
              <w:bottom w:val="nil"/>
              <w:right w:val="nil"/>
            </w:tcBorders>
            <w:noWrap/>
            <w:vAlign w:val="bottom"/>
            <w:hideMark/>
          </w:tcPr>
          <w:p w14:paraId="6E6FAE60" w14:textId="77777777" w:rsidR="00677577" w:rsidRPr="002154E6" w:rsidRDefault="00677577" w:rsidP="006F1B94">
            <w:pPr>
              <w:spacing w:after="0" w:line="240" w:lineRule="auto"/>
              <w:jc w:val="right"/>
              <w:rPr>
                <w:sz w:val="20"/>
                <w:szCs w:val="20"/>
              </w:rPr>
            </w:pPr>
            <w:r w:rsidRPr="002154E6">
              <w:rPr>
                <w:sz w:val="20"/>
                <w:szCs w:val="20"/>
              </w:rPr>
              <w:t>(0.003)</w:t>
            </w:r>
          </w:p>
        </w:tc>
        <w:tc>
          <w:tcPr>
            <w:tcW w:w="1842" w:type="dxa"/>
            <w:tcBorders>
              <w:top w:val="nil"/>
              <w:left w:val="nil"/>
              <w:bottom w:val="nil"/>
              <w:right w:val="single" w:sz="4" w:space="0" w:color="auto"/>
            </w:tcBorders>
            <w:noWrap/>
            <w:vAlign w:val="bottom"/>
            <w:hideMark/>
          </w:tcPr>
          <w:p w14:paraId="4D8196C1" w14:textId="77777777" w:rsidR="00677577" w:rsidRPr="002154E6" w:rsidRDefault="00677577" w:rsidP="006F1B94">
            <w:pPr>
              <w:spacing w:after="0" w:line="240" w:lineRule="auto"/>
              <w:jc w:val="right"/>
              <w:rPr>
                <w:sz w:val="20"/>
                <w:szCs w:val="20"/>
              </w:rPr>
            </w:pPr>
            <w:r w:rsidRPr="002154E6">
              <w:rPr>
                <w:sz w:val="20"/>
                <w:szCs w:val="20"/>
              </w:rPr>
              <w:t>(0.003)</w:t>
            </w:r>
          </w:p>
        </w:tc>
      </w:tr>
      <w:tr w:rsidR="00677577" w:rsidRPr="00167CB8" w14:paraId="02841635" w14:textId="77777777">
        <w:trPr>
          <w:trHeight w:val="211"/>
        </w:trPr>
        <w:tc>
          <w:tcPr>
            <w:tcW w:w="5812" w:type="dxa"/>
            <w:tcBorders>
              <w:top w:val="nil"/>
              <w:left w:val="single" w:sz="4" w:space="0" w:color="auto"/>
              <w:bottom w:val="nil"/>
              <w:right w:val="nil"/>
            </w:tcBorders>
            <w:noWrap/>
            <w:vAlign w:val="bottom"/>
            <w:hideMark/>
          </w:tcPr>
          <w:p w14:paraId="1DFEAEF8" w14:textId="77777777" w:rsidR="00677577" w:rsidRPr="002154E6" w:rsidRDefault="00677577">
            <w:pPr>
              <w:spacing w:after="0" w:line="240" w:lineRule="auto"/>
              <w:rPr>
                <w:sz w:val="20"/>
                <w:szCs w:val="20"/>
              </w:rPr>
            </w:pPr>
            <w:r w:rsidRPr="002154E6">
              <w:rPr>
                <w:sz w:val="20"/>
                <w:szCs w:val="20"/>
              </w:rPr>
              <w:t>Accommodation and food services</w:t>
            </w:r>
          </w:p>
        </w:tc>
        <w:tc>
          <w:tcPr>
            <w:tcW w:w="1418" w:type="dxa"/>
            <w:tcBorders>
              <w:top w:val="nil"/>
              <w:left w:val="nil"/>
              <w:bottom w:val="nil"/>
              <w:right w:val="nil"/>
            </w:tcBorders>
            <w:noWrap/>
            <w:vAlign w:val="bottom"/>
            <w:hideMark/>
          </w:tcPr>
          <w:p w14:paraId="4E8B22DB" w14:textId="77777777" w:rsidR="00677577" w:rsidRPr="002154E6" w:rsidRDefault="00677577" w:rsidP="006F1B94">
            <w:pPr>
              <w:spacing w:after="0" w:line="240" w:lineRule="auto"/>
              <w:jc w:val="right"/>
              <w:rPr>
                <w:sz w:val="20"/>
                <w:szCs w:val="20"/>
              </w:rPr>
            </w:pPr>
            <w:r w:rsidRPr="002154E6">
              <w:rPr>
                <w:sz w:val="20"/>
                <w:szCs w:val="20"/>
              </w:rPr>
              <w:t>-0.060***</w:t>
            </w:r>
          </w:p>
        </w:tc>
        <w:tc>
          <w:tcPr>
            <w:tcW w:w="1842" w:type="dxa"/>
            <w:tcBorders>
              <w:top w:val="nil"/>
              <w:left w:val="nil"/>
              <w:bottom w:val="nil"/>
              <w:right w:val="single" w:sz="4" w:space="0" w:color="auto"/>
            </w:tcBorders>
            <w:noWrap/>
            <w:vAlign w:val="bottom"/>
            <w:hideMark/>
          </w:tcPr>
          <w:p w14:paraId="4AC4FF54" w14:textId="77777777" w:rsidR="00677577" w:rsidRPr="002154E6" w:rsidRDefault="00677577" w:rsidP="006F1B94">
            <w:pPr>
              <w:spacing w:after="0" w:line="240" w:lineRule="auto"/>
              <w:jc w:val="right"/>
              <w:rPr>
                <w:sz w:val="20"/>
                <w:szCs w:val="20"/>
              </w:rPr>
            </w:pPr>
            <w:r w:rsidRPr="002154E6">
              <w:rPr>
                <w:sz w:val="20"/>
                <w:szCs w:val="20"/>
              </w:rPr>
              <w:t>-0.034***</w:t>
            </w:r>
          </w:p>
        </w:tc>
      </w:tr>
      <w:tr w:rsidR="00677577" w:rsidRPr="00167CB8" w14:paraId="7224294F" w14:textId="77777777">
        <w:trPr>
          <w:trHeight w:val="211"/>
        </w:trPr>
        <w:tc>
          <w:tcPr>
            <w:tcW w:w="5812" w:type="dxa"/>
            <w:tcBorders>
              <w:top w:val="nil"/>
              <w:left w:val="single" w:sz="4" w:space="0" w:color="auto"/>
              <w:bottom w:val="nil"/>
              <w:right w:val="nil"/>
            </w:tcBorders>
            <w:noWrap/>
            <w:vAlign w:val="bottom"/>
            <w:hideMark/>
          </w:tcPr>
          <w:p w14:paraId="205496D1" w14:textId="77777777" w:rsidR="00677577" w:rsidRPr="002154E6" w:rsidRDefault="00677577">
            <w:pPr>
              <w:spacing w:after="0" w:line="240" w:lineRule="auto"/>
              <w:rPr>
                <w:sz w:val="20"/>
                <w:szCs w:val="20"/>
              </w:rPr>
            </w:pPr>
          </w:p>
        </w:tc>
        <w:tc>
          <w:tcPr>
            <w:tcW w:w="1418" w:type="dxa"/>
            <w:tcBorders>
              <w:top w:val="nil"/>
              <w:left w:val="nil"/>
              <w:bottom w:val="nil"/>
              <w:right w:val="nil"/>
            </w:tcBorders>
            <w:noWrap/>
            <w:vAlign w:val="bottom"/>
            <w:hideMark/>
          </w:tcPr>
          <w:p w14:paraId="682AA62B" w14:textId="77777777" w:rsidR="00677577" w:rsidRPr="002154E6" w:rsidRDefault="00677577" w:rsidP="006F1B94">
            <w:pPr>
              <w:spacing w:after="0" w:line="240" w:lineRule="auto"/>
              <w:jc w:val="right"/>
              <w:rPr>
                <w:sz w:val="20"/>
                <w:szCs w:val="20"/>
              </w:rPr>
            </w:pPr>
            <w:r w:rsidRPr="002154E6">
              <w:rPr>
                <w:sz w:val="20"/>
                <w:szCs w:val="20"/>
              </w:rPr>
              <w:t>(0.004)</w:t>
            </w:r>
          </w:p>
        </w:tc>
        <w:tc>
          <w:tcPr>
            <w:tcW w:w="1842" w:type="dxa"/>
            <w:tcBorders>
              <w:top w:val="nil"/>
              <w:left w:val="nil"/>
              <w:bottom w:val="nil"/>
              <w:right w:val="single" w:sz="4" w:space="0" w:color="auto"/>
            </w:tcBorders>
            <w:noWrap/>
            <w:vAlign w:val="bottom"/>
            <w:hideMark/>
          </w:tcPr>
          <w:p w14:paraId="4735B316" w14:textId="77777777" w:rsidR="00677577" w:rsidRPr="002154E6" w:rsidRDefault="00677577" w:rsidP="006F1B94">
            <w:pPr>
              <w:spacing w:after="0" w:line="240" w:lineRule="auto"/>
              <w:jc w:val="right"/>
              <w:rPr>
                <w:sz w:val="20"/>
                <w:szCs w:val="20"/>
              </w:rPr>
            </w:pPr>
            <w:r w:rsidRPr="002154E6">
              <w:rPr>
                <w:sz w:val="20"/>
                <w:szCs w:val="20"/>
              </w:rPr>
              <w:t>(0.004)</w:t>
            </w:r>
          </w:p>
        </w:tc>
      </w:tr>
      <w:tr w:rsidR="00677577" w:rsidRPr="00167CB8" w14:paraId="11C85B04" w14:textId="77777777">
        <w:trPr>
          <w:trHeight w:val="211"/>
        </w:trPr>
        <w:tc>
          <w:tcPr>
            <w:tcW w:w="5812" w:type="dxa"/>
            <w:tcBorders>
              <w:top w:val="nil"/>
              <w:left w:val="single" w:sz="4" w:space="0" w:color="auto"/>
              <w:bottom w:val="nil"/>
              <w:right w:val="nil"/>
            </w:tcBorders>
            <w:noWrap/>
            <w:vAlign w:val="bottom"/>
            <w:hideMark/>
          </w:tcPr>
          <w:p w14:paraId="70519F20" w14:textId="77777777" w:rsidR="00677577" w:rsidRPr="002154E6" w:rsidRDefault="00677577">
            <w:pPr>
              <w:spacing w:after="0" w:line="240" w:lineRule="auto"/>
              <w:rPr>
                <w:sz w:val="20"/>
                <w:szCs w:val="20"/>
              </w:rPr>
            </w:pPr>
            <w:r w:rsidRPr="002154E6">
              <w:rPr>
                <w:sz w:val="20"/>
                <w:szCs w:val="20"/>
              </w:rPr>
              <w:t>Transport, postal and warehousing</w:t>
            </w:r>
          </w:p>
        </w:tc>
        <w:tc>
          <w:tcPr>
            <w:tcW w:w="1418" w:type="dxa"/>
            <w:tcBorders>
              <w:top w:val="nil"/>
              <w:left w:val="nil"/>
              <w:bottom w:val="nil"/>
              <w:right w:val="nil"/>
            </w:tcBorders>
            <w:noWrap/>
            <w:vAlign w:val="bottom"/>
            <w:hideMark/>
          </w:tcPr>
          <w:p w14:paraId="06529054" w14:textId="77777777" w:rsidR="00677577" w:rsidRPr="002154E6" w:rsidRDefault="00677577" w:rsidP="006F1B94">
            <w:pPr>
              <w:spacing w:after="0" w:line="240" w:lineRule="auto"/>
              <w:jc w:val="right"/>
              <w:rPr>
                <w:sz w:val="20"/>
                <w:szCs w:val="20"/>
              </w:rPr>
            </w:pPr>
            <w:r w:rsidRPr="002154E6">
              <w:rPr>
                <w:sz w:val="20"/>
                <w:szCs w:val="20"/>
              </w:rPr>
              <w:t>-0.035***</w:t>
            </w:r>
          </w:p>
        </w:tc>
        <w:tc>
          <w:tcPr>
            <w:tcW w:w="1842" w:type="dxa"/>
            <w:tcBorders>
              <w:top w:val="nil"/>
              <w:left w:val="nil"/>
              <w:bottom w:val="nil"/>
              <w:right w:val="single" w:sz="4" w:space="0" w:color="auto"/>
            </w:tcBorders>
            <w:noWrap/>
            <w:vAlign w:val="bottom"/>
            <w:hideMark/>
          </w:tcPr>
          <w:p w14:paraId="2877AA2D" w14:textId="77777777" w:rsidR="00677577" w:rsidRPr="002154E6" w:rsidRDefault="00677577" w:rsidP="006F1B94">
            <w:pPr>
              <w:spacing w:after="0" w:line="240" w:lineRule="auto"/>
              <w:jc w:val="right"/>
              <w:rPr>
                <w:sz w:val="20"/>
                <w:szCs w:val="20"/>
              </w:rPr>
            </w:pPr>
            <w:r w:rsidRPr="002154E6">
              <w:rPr>
                <w:sz w:val="20"/>
                <w:szCs w:val="20"/>
              </w:rPr>
              <w:t>-0.010***</w:t>
            </w:r>
          </w:p>
        </w:tc>
      </w:tr>
      <w:tr w:rsidR="00677577" w:rsidRPr="00167CB8" w14:paraId="681880F1" w14:textId="77777777">
        <w:trPr>
          <w:trHeight w:val="211"/>
        </w:trPr>
        <w:tc>
          <w:tcPr>
            <w:tcW w:w="5812" w:type="dxa"/>
            <w:tcBorders>
              <w:top w:val="nil"/>
              <w:left w:val="single" w:sz="4" w:space="0" w:color="auto"/>
              <w:bottom w:val="nil"/>
              <w:right w:val="nil"/>
            </w:tcBorders>
            <w:noWrap/>
            <w:vAlign w:val="bottom"/>
            <w:hideMark/>
          </w:tcPr>
          <w:p w14:paraId="4E5853B0" w14:textId="77777777" w:rsidR="00677577" w:rsidRPr="002154E6" w:rsidRDefault="00677577">
            <w:pPr>
              <w:spacing w:after="0" w:line="240" w:lineRule="auto"/>
              <w:rPr>
                <w:sz w:val="20"/>
                <w:szCs w:val="20"/>
              </w:rPr>
            </w:pPr>
          </w:p>
        </w:tc>
        <w:tc>
          <w:tcPr>
            <w:tcW w:w="1418" w:type="dxa"/>
            <w:tcBorders>
              <w:top w:val="nil"/>
              <w:left w:val="nil"/>
              <w:bottom w:val="nil"/>
              <w:right w:val="nil"/>
            </w:tcBorders>
            <w:noWrap/>
            <w:vAlign w:val="bottom"/>
            <w:hideMark/>
          </w:tcPr>
          <w:p w14:paraId="2D8F595C" w14:textId="77777777" w:rsidR="00677577" w:rsidRPr="002154E6" w:rsidRDefault="00677577" w:rsidP="006F1B94">
            <w:pPr>
              <w:spacing w:after="0" w:line="240" w:lineRule="auto"/>
              <w:jc w:val="right"/>
              <w:rPr>
                <w:sz w:val="20"/>
                <w:szCs w:val="20"/>
              </w:rPr>
            </w:pPr>
            <w:r w:rsidRPr="002154E6">
              <w:rPr>
                <w:sz w:val="20"/>
                <w:szCs w:val="20"/>
              </w:rPr>
              <w:t>(0.004)</w:t>
            </w:r>
          </w:p>
        </w:tc>
        <w:tc>
          <w:tcPr>
            <w:tcW w:w="1842" w:type="dxa"/>
            <w:tcBorders>
              <w:top w:val="nil"/>
              <w:left w:val="nil"/>
              <w:bottom w:val="nil"/>
              <w:right w:val="single" w:sz="4" w:space="0" w:color="auto"/>
            </w:tcBorders>
            <w:noWrap/>
            <w:vAlign w:val="bottom"/>
            <w:hideMark/>
          </w:tcPr>
          <w:p w14:paraId="6F63F0C4" w14:textId="77777777" w:rsidR="00677577" w:rsidRPr="002154E6" w:rsidRDefault="00677577" w:rsidP="006F1B94">
            <w:pPr>
              <w:spacing w:after="0" w:line="240" w:lineRule="auto"/>
              <w:jc w:val="right"/>
              <w:rPr>
                <w:sz w:val="20"/>
                <w:szCs w:val="20"/>
              </w:rPr>
            </w:pPr>
            <w:r w:rsidRPr="002154E6">
              <w:rPr>
                <w:sz w:val="20"/>
                <w:szCs w:val="20"/>
              </w:rPr>
              <w:t>(0.003)</w:t>
            </w:r>
          </w:p>
        </w:tc>
      </w:tr>
      <w:tr w:rsidR="00677577" w:rsidRPr="00167CB8" w14:paraId="666A7CCB" w14:textId="77777777">
        <w:trPr>
          <w:trHeight w:val="211"/>
        </w:trPr>
        <w:tc>
          <w:tcPr>
            <w:tcW w:w="5812" w:type="dxa"/>
            <w:tcBorders>
              <w:top w:val="nil"/>
              <w:left w:val="single" w:sz="4" w:space="0" w:color="auto"/>
              <w:bottom w:val="nil"/>
              <w:right w:val="nil"/>
            </w:tcBorders>
            <w:noWrap/>
            <w:vAlign w:val="bottom"/>
            <w:hideMark/>
          </w:tcPr>
          <w:p w14:paraId="0F179391" w14:textId="77777777" w:rsidR="00677577" w:rsidRPr="002154E6" w:rsidRDefault="00677577">
            <w:pPr>
              <w:spacing w:after="0" w:line="240" w:lineRule="auto"/>
              <w:rPr>
                <w:sz w:val="20"/>
                <w:szCs w:val="20"/>
              </w:rPr>
            </w:pPr>
            <w:r w:rsidRPr="002154E6">
              <w:rPr>
                <w:sz w:val="20"/>
                <w:szCs w:val="20"/>
              </w:rPr>
              <w:t>Information media and telecommunications</w:t>
            </w:r>
          </w:p>
        </w:tc>
        <w:tc>
          <w:tcPr>
            <w:tcW w:w="1418" w:type="dxa"/>
            <w:tcBorders>
              <w:top w:val="nil"/>
              <w:left w:val="nil"/>
              <w:bottom w:val="nil"/>
              <w:right w:val="nil"/>
            </w:tcBorders>
            <w:noWrap/>
            <w:vAlign w:val="bottom"/>
            <w:hideMark/>
          </w:tcPr>
          <w:p w14:paraId="1684D860" w14:textId="77777777" w:rsidR="00677577" w:rsidRPr="002154E6" w:rsidRDefault="00677577" w:rsidP="006F1B94">
            <w:pPr>
              <w:spacing w:after="0" w:line="240" w:lineRule="auto"/>
              <w:jc w:val="right"/>
              <w:rPr>
                <w:sz w:val="20"/>
                <w:szCs w:val="20"/>
              </w:rPr>
            </w:pPr>
            <w:r w:rsidRPr="002154E6">
              <w:rPr>
                <w:sz w:val="20"/>
                <w:szCs w:val="20"/>
              </w:rPr>
              <w:t>-0.019***</w:t>
            </w:r>
          </w:p>
        </w:tc>
        <w:tc>
          <w:tcPr>
            <w:tcW w:w="1842" w:type="dxa"/>
            <w:tcBorders>
              <w:top w:val="nil"/>
              <w:left w:val="nil"/>
              <w:bottom w:val="nil"/>
              <w:right w:val="single" w:sz="4" w:space="0" w:color="auto"/>
            </w:tcBorders>
            <w:noWrap/>
            <w:vAlign w:val="bottom"/>
            <w:hideMark/>
          </w:tcPr>
          <w:p w14:paraId="016DA548" w14:textId="77777777" w:rsidR="00677577" w:rsidRPr="002154E6" w:rsidRDefault="00677577" w:rsidP="006F1B94">
            <w:pPr>
              <w:spacing w:after="0" w:line="240" w:lineRule="auto"/>
              <w:jc w:val="right"/>
              <w:rPr>
                <w:sz w:val="20"/>
                <w:szCs w:val="20"/>
              </w:rPr>
            </w:pPr>
            <w:r w:rsidRPr="002154E6">
              <w:rPr>
                <w:sz w:val="20"/>
                <w:szCs w:val="20"/>
              </w:rPr>
              <w:t>-0.007*</w:t>
            </w:r>
          </w:p>
        </w:tc>
      </w:tr>
      <w:tr w:rsidR="00677577" w:rsidRPr="00167CB8" w14:paraId="31D0191E" w14:textId="77777777">
        <w:trPr>
          <w:trHeight w:val="211"/>
        </w:trPr>
        <w:tc>
          <w:tcPr>
            <w:tcW w:w="5812" w:type="dxa"/>
            <w:tcBorders>
              <w:top w:val="nil"/>
              <w:left w:val="single" w:sz="4" w:space="0" w:color="auto"/>
              <w:bottom w:val="nil"/>
              <w:right w:val="nil"/>
            </w:tcBorders>
            <w:noWrap/>
            <w:vAlign w:val="bottom"/>
            <w:hideMark/>
          </w:tcPr>
          <w:p w14:paraId="1E425616" w14:textId="77777777" w:rsidR="00677577" w:rsidRPr="002154E6" w:rsidRDefault="00677577">
            <w:pPr>
              <w:spacing w:after="0" w:line="240" w:lineRule="auto"/>
              <w:rPr>
                <w:sz w:val="20"/>
                <w:szCs w:val="20"/>
              </w:rPr>
            </w:pPr>
          </w:p>
        </w:tc>
        <w:tc>
          <w:tcPr>
            <w:tcW w:w="1418" w:type="dxa"/>
            <w:tcBorders>
              <w:top w:val="nil"/>
              <w:left w:val="nil"/>
              <w:bottom w:val="nil"/>
              <w:right w:val="nil"/>
            </w:tcBorders>
            <w:noWrap/>
            <w:vAlign w:val="bottom"/>
            <w:hideMark/>
          </w:tcPr>
          <w:p w14:paraId="71ED3CDE" w14:textId="77777777" w:rsidR="00677577" w:rsidRPr="002154E6" w:rsidRDefault="00677577" w:rsidP="006F1B94">
            <w:pPr>
              <w:spacing w:after="0" w:line="240" w:lineRule="auto"/>
              <w:jc w:val="right"/>
              <w:rPr>
                <w:sz w:val="20"/>
                <w:szCs w:val="20"/>
              </w:rPr>
            </w:pPr>
            <w:r w:rsidRPr="002154E6">
              <w:rPr>
                <w:sz w:val="20"/>
                <w:szCs w:val="20"/>
              </w:rPr>
              <w:t>(0.003)</w:t>
            </w:r>
          </w:p>
        </w:tc>
        <w:tc>
          <w:tcPr>
            <w:tcW w:w="1842" w:type="dxa"/>
            <w:tcBorders>
              <w:top w:val="nil"/>
              <w:left w:val="nil"/>
              <w:bottom w:val="nil"/>
              <w:right w:val="single" w:sz="4" w:space="0" w:color="auto"/>
            </w:tcBorders>
            <w:noWrap/>
            <w:vAlign w:val="bottom"/>
            <w:hideMark/>
          </w:tcPr>
          <w:p w14:paraId="3544F74D" w14:textId="77777777" w:rsidR="00677577" w:rsidRPr="002154E6" w:rsidRDefault="00677577" w:rsidP="006F1B94">
            <w:pPr>
              <w:spacing w:after="0" w:line="240" w:lineRule="auto"/>
              <w:jc w:val="right"/>
              <w:rPr>
                <w:sz w:val="20"/>
                <w:szCs w:val="20"/>
              </w:rPr>
            </w:pPr>
            <w:r w:rsidRPr="002154E6">
              <w:rPr>
                <w:sz w:val="20"/>
                <w:szCs w:val="20"/>
              </w:rPr>
              <w:t>(0.004)</w:t>
            </w:r>
          </w:p>
        </w:tc>
      </w:tr>
      <w:tr w:rsidR="00677577" w:rsidRPr="00167CB8" w14:paraId="51E33677" w14:textId="77777777">
        <w:trPr>
          <w:trHeight w:val="211"/>
        </w:trPr>
        <w:tc>
          <w:tcPr>
            <w:tcW w:w="5812" w:type="dxa"/>
            <w:tcBorders>
              <w:top w:val="nil"/>
              <w:left w:val="single" w:sz="4" w:space="0" w:color="auto"/>
              <w:bottom w:val="nil"/>
              <w:right w:val="nil"/>
            </w:tcBorders>
            <w:noWrap/>
            <w:vAlign w:val="bottom"/>
            <w:hideMark/>
          </w:tcPr>
          <w:p w14:paraId="17606D11" w14:textId="77777777" w:rsidR="00677577" w:rsidRPr="002154E6" w:rsidRDefault="00677577">
            <w:pPr>
              <w:spacing w:after="0" w:line="240" w:lineRule="auto"/>
              <w:rPr>
                <w:sz w:val="20"/>
                <w:szCs w:val="20"/>
              </w:rPr>
            </w:pPr>
            <w:r w:rsidRPr="002154E6">
              <w:rPr>
                <w:sz w:val="20"/>
                <w:szCs w:val="20"/>
              </w:rPr>
              <w:t>Financial and insurance services</w:t>
            </w:r>
          </w:p>
        </w:tc>
        <w:tc>
          <w:tcPr>
            <w:tcW w:w="1418" w:type="dxa"/>
            <w:tcBorders>
              <w:top w:val="nil"/>
              <w:left w:val="nil"/>
              <w:bottom w:val="nil"/>
              <w:right w:val="nil"/>
            </w:tcBorders>
            <w:noWrap/>
            <w:vAlign w:val="bottom"/>
            <w:hideMark/>
          </w:tcPr>
          <w:p w14:paraId="6944DE7E" w14:textId="77777777" w:rsidR="00677577" w:rsidRPr="002154E6" w:rsidRDefault="00677577" w:rsidP="006F1B94">
            <w:pPr>
              <w:spacing w:after="0" w:line="240" w:lineRule="auto"/>
              <w:jc w:val="right"/>
              <w:rPr>
                <w:sz w:val="20"/>
                <w:szCs w:val="20"/>
              </w:rPr>
            </w:pPr>
            <w:r w:rsidRPr="002154E6">
              <w:rPr>
                <w:sz w:val="20"/>
                <w:szCs w:val="20"/>
              </w:rPr>
              <w:t>-0.037***</w:t>
            </w:r>
          </w:p>
        </w:tc>
        <w:tc>
          <w:tcPr>
            <w:tcW w:w="1842" w:type="dxa"/>
            <w:tcBorders>
              <w:top w:val="nil"/>
              <w:left w:val="nil"/>
              <w:bottom w:val="nil"/>
              <w:right w:val="single" w:sz="4" w:space="0" w:color="auto"/>
            </w:tcBorders>
            <w:noWrap/>
            <w:vAlign w:val="bottom"/>
            <w:hideMark/>
          </w:tcPr>
          <w:p w14:paraId="12188641" w14:textId="77777777" w:rsidR="00677577" w:rsidRPr="002154E6" w:rsidRDefault="00677577" w:rsidP="006F1B94">
            <w:pPr>
              <w:spacing w:after="0" w:line="240" w:lineRule="auto"/>
              <w:jc w:val="right"/>
              <w:rPr>
                <w:sz w:val="20"/>
                <w:szCs w:val="20"/>
              </w:rPr>
            </w:pPr>
            <w:r w:rsidRPr="002154E6">
              <w:rPr>
                <w:sz w:val="20"/>
                <w:szCs w:val="20"/>
              </w:rPr>
              <w:t>-0.004</w:t>
            </w:r>
          </w:p>
        </w:tc>
      </w:tr>
      <w:tr w:rsidR="00677577" w:rsidRPr="00167CB8" w14:paraId="06A96C9B" w14:textId="77777777">
        <w:trPr>
          <w:trHeight w:val="211"/>
        </w:trPr>
        <w:tc>
          <w:tcPr>
            <w:tcW w:w="5812" w:type="dxa"/>
            <w:tcBorders>
              <w:top w:val="nil"/>
              <w:left w:val="single" w:sz="4" w:space="0" w:color="auto"/>
              <w:bottom w:val="nil"/>
              <w:right w:val="nil"/>
            </w:tcBorders>
            <w:noWrap/>
            <w:vAlign w:val="bottom"/>
            <w:hideMark/>
          </w:tcPr>
          <w:p w14:paraId="14AD5EAE" w14:textId="77777777" w:rsidR="00677577" w:rsidRPr="002154E6" w:rsidRDefault="00677577">
            <w:pPr>
              <w:spacing w:after="0" w:line="240" w:lineRule="auto"/>
              <w:rPr>
                <w:sz w:val="20"/>
                <w:szCs w:val="20"/>
              </w:rPr>
            </w:pPr>
          </w:p>
        </w:tc>
        <w:tc>
          <w:tcPr>
            <w:tcW w:w="1418" w:type="dxa"/>
            <w:tcBorders>
              <w:top w:val="nil"/>
              <w:left w:val="nil"/>
              <w:bottom w:val="nil"/>
              <w:right w:val="nil"/>
            </w:tcBorders>
            <w:noWrap/>
            <w:vAlign w:val="bottom"/>
            <w:hideMark/>
          </w:tcPr>
          <w:p w14:paraId="5A15FED1" w14:textId="77777777" w:rsidR="00677577" w:rsidRPr="002154E6" w:rsidRDefault="00677577" w:rsidP="006F1B94">
            <w:pPr>
              <w:spacing w:after="0" w:line="240" w:lineRule="auto"/>
              <w:jc w:val="right"/>
              <w:rPr>
                <w:sz w:val="20"/>
                <w:szCs w:val="20"/>
              </w:rPr>
            </w:pPr>
            <w:r w:rsidRPr="002154E6">
              <w:rPr>
                <w:sz w:val="20"/>
                <w:szCs w:val="20"/>
              </w:rPr>
              <w:t>(0.003)</w:t>
            </w:r>
          </w:p>
        </w:tc>
        <w:tc>
          <w:tcPr>
            <w:tcW w:w="1842" w:type="dxa"/>
            <w:tcBorders>
              <w:top w:val="nil"/>
              <w:left w:val="nil"/>
              <w:bottom w:val="nil"/>
              <w:right w:val="single" w:sz="4" w:space="0" w:color="auto"/>
            </w:tcBorders>
            <w:noWrap/>
            <w:vAlign w:val="bottom"/>
            <w:hideMark/>
          </w:tcPr>
          <w:p w14:paraId="18DD8E51" w14:textId="77777777" w:rsidR="00677577" w:rsidRPr="002154E6" w:rsidRDefault="00677577" w:rsidP="006F1B94">
            <w:pPr>
              <w:spacing w:after="0" w:line="240" w:lineRule="auto"/>
              <w:jc w:val="right"/>
              <w:rPr>
                <w:sz w:val="20"/>
                <w:szCs w:val="20"/>
              </w:rPr>
            </w:pPr>
            <w:r w:rsidRPr="002154E6">
              <w:rPr>
                <w:sz w:val="20"/>
                <w:szCs w:val="20"/>
              </w:rPr>
              <w:t>(0.003)</w:t>
            </w:r>
          </w:p>
        </w:tc>
      </w:tr>
      <w:tr w:rsidR="00677577" w:rsidRPr="00167CB8" w14:paraId="5953CACF" w14:textId="77777777">
        <w:trPr>
          <w:trHeight w:val="211"/>
        </w:trPr>
        <w:tc>
          <w:tcPr>
            <w:tcW w:w="5812" w:type="dxa"/>
            <w:tcBorders>
              <w:top w:val="nil"/>
              <w:left w:val="single" w:sz="4" w:space="0" w:color="auto"/>
              <w:bottom w:val="nil"/>
              <w:right w:val="nil"/>
            </w:tcBorders>
            <w:noWrap/>
            <w:vAlign w:val="bottom"/>
            <w:hideMark/>
          </w:tcPr>
          <w:p w14:paraId="2CB82C1C" w14:textId="77777777" w:rsidR="00677577" w:rsidRPr="002154E6" w:rsidRDefault="00677577">
            <w:pPr>
              <w:spacing w:after="0" w:line="240" w:lineRule="auto"/>
              <w:rPr>
                <w:sz w:val="20"/>
                <w:szCs w:val="20"/>
              </w:rPr>
            </w:pPr>
            <w:r w:rsidRPr="002154E6">
              <w:rPr>
                <w:sz w:val="20"/>
                <w:szCs w:val="20"/>
              </w:rPr>
              <w:t>Rental, hiring and real estate services</w:t>
            </w:r>
          </w:p>
        </w:tc>
        <w:tc>
          <w:tcPr>
            <w:tcW w:w="1418" w:type="dxa"/>
            <w:tcBorders>
              <w:top w:val="nil"/>
              <w:left w:val="nil"/>
              <w:bottom w:val="nil"/>
              <w:right w:val="nil"/>
            </w:tcBorders>
            <w:noWrap/>
            <w:vAlign w:val="bottom"/>
            <w:hideMark/>
          </w:tcPr>
          <w:p w14:paraId="3080F1AF" w14:textId="77777777" w:rsidR="00677577" w:rsidRPr="002154E6" w:rsidRDefault="00677577" w:rsidP="006F1B94">
            <w:pPr>
              <w:spacing w:after="0" w:line="240" w:lineRule="auto"/>
              <w:jc w:val="right"/>
              <w:rPr>
                <w:sz w:val="20"/>
                <w:szCs w:val="20"/>
              </w:rPr>
            </w:pPr>
            <w:r w:rsidRPr="002154E6">
              <w:rPr>
                <w:sz w:val="20"/>
                <w:szCs w:val="20"/>
              </w:rPr>
              <w:t>-0.029***</w:t>
            </w:r>
          </w:p>
        </w:tc>
        <w:tc>
          <w:tcPr>
            <w:tcW w:w="1842" w:type="dxa"/>
            <w:tcBorders>
              <w:top w:val="nil"/>
              <w:left w:val="nil"/>
              <w:bottom w:val="nil"/>
              <w:right w:val="single" w:sz="4" w:space="0" w:color="auto"/>
            </w:tcBorders>
            <w:noWrap/>
            <w:vAlign w:val="bottom"/>
            <w:hideMark/>
          </w:tcPr>
          <w:p w14:paraId="5DC4934D" w14:textId="77777777" w:rsidR="00677577" w:rsidRPr="002154E6" w:rsidRDefault="00677577" w:rsidP="006F1B94">
            <w:pPr>
              <w:spacing w:after="0" w:line="240" w:lineRule="auto"/>
              <w:jc w:val="right"/>
              <w:rPr>
                <w:sz w:val="20"/>
                <w:szCs w:val="20"/>
              </w:rPr>
            </w:pPr>
            <w:r w:rsidRPr="002154E6">
              <w:rPr>
                <w:sz w:val="20"/>
                <w:szCs w:val="20"/>
              </w:rPr>
              <w:t>0.006</w:t>
            </w:r>
          </w:p>
        </w:tc>
      </w:tr>
      <w:tr w:rsidR="00677577" w:rsidRPr="00167CB8" w14:paraId="06597263" w14:textId="77777777">
        <w:trPr>
          <w:trHeight w:val="211"/>
        </w:trPr>
        <w:tc>
          <w:tcPr>
            <w:tcW w:w="5812" w:type="dxa"/>
            <w:tcBorders>
              <w:top w:val="nil"/>
              <w:left w:val="single" w:sz="4" w:space="0" w:color="auto"/>
              <w:bottom w:val="nil"/>
              <w:right w:val="nil"/>
            </w:tcBorders>
            <w:noWrap/>
            <w:vAlign w:val="bottom"/>
            <w:hideMark/>
          </w:tcPr>
          <w:p w14:paraId="7E985F3B" w14:textId="77777777" w:rsidR="00677577" w:rsidRPr="002154E6" w:rsidRDefault="00677577">
            <w:pPr>
              <w:spacing w:after="0" w:line="240" w:lineRule="auto"/>
              <w:rPr>
                <w:sz w:val="20"/>
                <w:szCs w:val="20"/>
              </w:rPr>
            </w:pPr>
          </w:p>
        </w:tc>
        <w:tc>
          <w:tcPr>
            <w:tcW w:w="1418" w:type="dxa"/>
            <w:tcBorders>
              <w:top w:val="nil"/>
              <w:left w:val="nil"/>
              <w:bottom w:val="nil"/>
              <w:right w:val="nil"/>
            </w:tcBorders>
            <w:noWrap/>
            <w:vAlign w:val="bottom"/>
            <w:hideMark/>
          </w:tcPr>
          <w:p w14:paraId="368A5A30" w14:textId="77777777" w:rsidR="00677577" w:rsidRPr="002154E6" w:rsidRDefault="00677577" w:rsidP="006F1B94">
            <w:pPr>
              <w:spacing w:after="0" w:line="240" w:lineRule="auto"/>
              <w:jc w:val="right"/>
              <w:rPr>
                <w:sz w:val="20"/>
                <w:szCs w:val="20"/>
              </w:rPr>
            </w:pPr>
            <w:r w:rsidRPr="002154E6">
              <w:rPr>
                <w:sz w:val="20"/>
                <w:szCs w:val="20"/>
              </w:rPr>
              <w:t>(0.005)</w:t>
            </w:r>
          </w:p>
        </w:tc>
        <w:tc>
          <w:tcPr>
            <w:tcW w:w="1842" w:type="dxa"/>
            <w:tcBorders>
              <w:top w:val="nil"/>
              <w:left w:val="nil"/>
              <w:bottom w:val="nil"/>
              <w:right w:val="single" w:sz="4" w:space="0" w:color="auto"/>
            </w:tcBorders>
            <w:noWrap/>
            <w:vAlign w:val="bottom"/>
            <w:hideMark/>
          </w:tcPr>
          <w:p w14:paraId="74B2B1BC" w14:textId="77777777" w:rsidR="00677577" w:rsidRPr="002154E6" w:rsidRDefault="00677577" w:rsidP="006F1B94">
            <w:pPr>
              <w:spacing w:after="0" w:line="240" w:lineRule="auto"/>
              <w:jc w:val="right"/>
              <w:rPr>
                <w:sz w:val="20"/>
                <w:szCs w:val="20"/>
              </w:rPr>
            </w:pPr>
            <w:r w:rsidRPr="002154E6">
              <w:rPr>
                <w:sz w:val="20"/>
                <w:szCs w:val="20"/>
              </w:rPr>
              <w:t>(0.004)</w:t>
            </w:r>
          </w:p>
        </w:tc>
      </w:tr>
      <w:tr w:rsidR="00677577" w:rsidRPr="00167CB8" w14:paraId="49931425" w14:textId="77777777">
        <w:trPr>
          <w:trHeight w:val="211"/>
        </w:trPr>
        <w:tc>
          <w:tcPr>
            <w:tcW w:w="5812" w:type="dxa"/>
            <w:tcBorders>
              <w:top w:val="nil"/>
              <w:left w:val="single" w:sz="4" w:space="0" w:color="auto"/>
              <w:bottom w:val="nil"/>
              <w:right w:val="nil"/>
            </w:tcBorders>
            <w:noWrap/>
            <w:vAlign w:val="bottom"/>
            <w:hideMark/>
          </w:tcPr>
          <w:p w14:paraId="3085E176" w14:textId="77777777" w:rsidR="00677577" w:rsidRPr="002154E6" w:rsidRDefault="00677577">
            <w:pPr>
              <w:spacing w:after="0" w:line="240" w:lineRule="auto"/>
              <w:rPr>
                <w:sz w:val="20"/>
                <w:szCs w:val="20"/>
              </w:rPr>
            </w:pPr>
            <w:r w:rsidRPr="002154E6">
              <w:rPr>
                <w:sz w:val="20"/>
                <w:szCs w:val="20"/>
              </w:rPr>
              <w:t>Professional, scientific and technical</w:t>
            </w:r>
          </w:p>
        </w:tc>
        <w:tc>
          <w:tcPr>
            <w:tcW w:w="1418" w:type="dxa"/>
            <w:tcBorders>
              <w:top w:val="nil"/>
              <w:left w:val="nil"/>
              <w:bottom w:val="nil"/>
              <w:right w:val="nil"/>
            </w:tcBorders>
            <w:noWrap/>
            <w:vAlign w:val="bottom"/>
            <w:hideMark/>
          </w:tcPr>
          <w:p w14:paraId="1B2726C3" w14:textId="77777777" w:rsidR="00677577" w:rsidRPr="002154E6" w:rsidRDefault="00677577" w:rsidP="006F1B94">
            <w:pPr>
              <w:spacing w:after="0" w:line="240" w:lineRule="auto"/>
              <w:jc w:val="right"/>
              <w:rPr>
                <w:sz w:val="20"/>
                <w:szCs w:val="20"/>
              </w:rPr>
            </w:pPr>
            <w:r w:rsidRPr="002154E6">
              <w:rPr>
                <w:sz w:val="20"/>
                <w:szCs w:val="20"/>
              </w:rPr>
              <w:t>-0.026***</w:t>
            </w:r>
          </w:p>
        </w:tc>
        <w:tc>
          <w:tcPr>
            <w:tcW w:w="1842" w:type="dxa"/>
            <w:tcBorders>
              <w:top w:val="nil"/>
              <w:left w:val="nil"/>
              <w:bottom w:val="nil"/>
              <w:right w:val="single" w:sz="4" w:space="0" w:color="auto"/>
            </w:tcBorders>
            <w:noWrap/>
            <w:vAlign w:val="bottom"/>
            <w:hideMark/>
          </w:tcPr>
          <w:p w14:paraId="4806D7D6" w14:textId="77777777" w:rsidR="00677577" w:rsidRPr="002154E6" w:rsidRDefault="00677577" w:rsidP="006F1B94">
            <w:pPr>
              <w:spacing w:after="0" w:line="240" w:lineRule="auto"/>
              <w:jc w:val="right"/>
              <w:rPr>
                <w:sz w:val="20"/>
                <w:szCs w:val="20"/>
              </w:rPr>
            </w:pPr>
            <w:r w:rsidRPr="002154E6">
              <w:rPr>
                <w:sz w:val="20"/>
                <w:szCs w:val="20"/>
              </w:rPr>
              <w:t>-0.010***</w:t>
            </w:r>
          </w:p>
        </w:tc>
      </w:tr>
      <w:tr w:rsidR="00677577" w:rsidRPr="00167CB8" w14:paraId="1DDAE735" w14:textId="77777777">
        <w:trPr>
          <w:trHeight w:val="211"/>
        </w:trPr>
        <w:tc>
          <w:tcPr>
            <w:tcW w:w="5812" w:type="dxa"/>
            <w:tcBorders>
              <w:top w:val="nil"/>
              <w:left w:val="single" w:sz="4" w:space="0" w:color="auto"/>
              <w:bottom w:val="nil"/>
              <w:right w:val="nil"/>
            </w:tcBorders>
            <w:noWrap/>
            <w:vAlign w:val="bottom"/>
            <w:hideMark/>
          </w:tcPr>
          <w:p w14:paraId="2A789C65" w14:textId="77777777" w:rsidR="00677577" w:rsidRPr="002154E6" w:rsidRDefault="00677577">
            <w:pPr>
              <w:spacing w:after="0" w:line="240" w:lineRule="auto"/>
              <w:rPr>
                <w:sz w:val="20"/>
                <w:szCs w:val="20"/>
              </w:rPr>
            </w:pPr>
          </w:p>
        </w:tc>
        <w:tc>
          <w:tcPr>
            <w:tcW w:w="1418" w:type="dxa"/>
            <w:tcBorders>
              <w:top w:val="nil"/>
              <w:left w:val="nil"/>
              <w:bottom w:val="nil"/>
              <w:right w:val="nil"/>
            </w:tcBorders>
            <w:noWrap/>
            <w:vAlign w:val="bottom"/>
            <w:hideMark/>
          </w:tcPr>
          <w:p w14:paraId="70149712" w14:textId="77777777" w:rsidR="00677577" w:rsidRPr="002154E6" w:rsidRDefault="00677577" w:rsidP="006F1B94">
            <w:pPr>
              <w:spacing w:after="0" w:line="240" w:lineRule="auto"/>
              <w:jc w:val="right"/>
              <w:rPr>
                <w:sz w:val="20"/>
                <w:szCs w:val="20"/>
              </w:rPr>
            </w:pPr>
            <w:r w:rsidRPr="002154E6">
              <w:rPr>
                <w:sz w:val="20"/>
                <w:szCs w:val="20"/>
              </w:rPr>
              <w:t>(0.002)</w:t>
            </w:r>
          </w:p>
        </w:tc>
        <w:tc>
          <w:tcPr>
            <w:tcW w:w="1842" w:type="dxa"/>
            <w:tcBorders>
              <w:top w:val="nil"/>
              <w:left w:val="nil"/>
              <w:bottom w:val="nil"/>
              <w:right w:val="single" w:sz="4" w:space="0" w:color="auto"/>
            </w:tcBorders>
            <w:noWrap/>
            <w:vAlign w:val="bottom"/>
            <w:hideMark/>
          </w:tcPr>
          <w:p w14:paraId="60F47936" w14:textId="77777777" w:rsidR="00677577" w:rsidRPr="002154E6" w:rsidRDefault="00677577" w:rsidP="006F1B94">
            <w:pPr>
              <w:spacing w:after="0" w:line="240" w:lineRule="auto"/>
              <w:jc w:val="right"/>
              <w:rPr>
                <w:sz w:val="20"/>
                <w:szCs w:val="20"/>
              </w:rPr>
            </w:pPr>
            <w:r w:rsidRPr="002154E6">
              <w:rPr>
                <w:sz w:val="20"/>
                <w:szCs w:val="20"/>
              </w:rPr>
              <w:t>(0.002)</w:t>
            </w:r>
          </w:p>
        </w:tc>
      </w:tr>
      <w:tr w:rsidR="00677577" w:rsidRPr="00167CB8" w14:paraId="562ED0DA" w14:textId="77777777">
        <w:trPr>
          <w:trHeight w:val="211"/>
        </w:trPr>
        <w:tc>
          <w:tcPr>
            <w:tcW w:w="5812" w:type="dxa"/>
            <w:tcBorders>
              <w:top w:val="nil"/>
              <w:left w:val="single" w:sz="4" w:space="0" w:color="auto"/>
              <w:bottom w:val="nil"/>
              <w:right w:val="nil"/>
            </w:tcBorders>
            <w:noWrap/>
            <w:vAlign w:val="bottom"/>
            <w:hideMark/>
          </w:tcPr>
          <w:p w14:paraId="71E4A6E1" w14:textId="77777777" w:rsidR="00677577" w:rsidRPr="002154E6" w:rsidRDefault="00677577">
            <w:pPr>
              <w:spacing w:after="0" w:line="240" w:lineRule="auto"/>
              <w:rPr>
                <w:sz w:val="20"/>
                <w:szCs w:val="20"/>
              </w:rPr>
            </w:pPr>
            <w:r w:rsidRPr="002154E6">
              <w:rPr>
                <w:sz w:val="20"/>
                <w:szCs w:val="20"/>
              </w:rPr>
              <w:t>Administrative and support service</w:t>
            </w:r>
          </w:p>
        </w:tc>
        <w:tc>
          <w:tcPr>
            <w:tcW w:w="1418" w:type="dxa"/>
            <w:tcBorders>
              <w:top w:val="nil"/>
              <w:left w:val="nil"/>
              <w:bottom w:val="nil"/>
              <w:right w:val="nil"/>
            </w:tcBorders>
            <w:noWrap/>
            <w:vAlign w:val="bottom"/>
            <w:hideMark/>
          </w:tcPr>
          <w:p w14:paraId="6BE302A4" w14:textId="77777777" w:rsidR="00677577" w:rsidRPr="002154E6" w:rsidRDefault="00677577" w:rsidP="006F1B94">
            <w:pPr>
              <w:spacing w:after="0" w:line="240" w:lineRule="auto"/>
              <w:jc w:val="right"/>
              <w:rPr>
                <w:sz w:val="20"/>
                <w:szCs w:val="20"/>
              </w:rPr>
            </w:pPr>
            <w:r w:rsidRPr="002154E6">
              <w:rPr>
                <w:sz w:val="20"/>
                <w:szCs w:val="20"/>
              </w:rPr>
              <w:t>-0.021***</w:t>
            </w:r>
          </w:p>
        </w:tc>
        <w:tc>
          <w:tcPr>
            <w:tcW w:w="1842" w:type="dxa"/>
            <w:tcBorders>
              <w:top w:val="nil"/>
              <w:left w:val="nil"/>
              <w:bottom w:val="nil"/>
              <w:right w:val="single" w:sz="4" w:space="0" w:color="auto"/>
            </w:tcBorders>
            <w:noWrap/>
            <w:vAlign w:val="bottom"/>
            <w:hideMark/>
          </w:tcPr>
          <w:p w14:paraId="7EE945FC" w14:textId="77777777" w:rsidR="00677577" w:rsidRPr="002154E6" w:rsidRDefault="00677577" w:rsidP="006F1B94">
            <w:pPr>
              <w:spacing w:after="0" w:line="240" w:lineRule="auto"/>
              <w:jc w:val="right"/>
              <w:rPr>
                <w:sz w:val="20"/>
                <w:szCs w:val="20"/>
              </w:rPr>
            </w:pPr>
            <w:r w:rsidRPr="002154E6">
              <w:rPr>
                <w:sz w:val="20"/>
                <w:szCs w:val="20"/>
              </w:rPr>
              <w:t>-0.010***</w:t>
            </w:r>
          </w:p>
        </w:tc>
      </w:tr>
      <w:tr w:rsidR="00677577" w:rsidRPr="00167CB8" w14:paraId="76C9D076" w14:textId="77777777">
        <w:trPr>
          <w:trHeight w:val="211"/>
        </w:trPr>
        <w:tc>
          <w:tcPr>
            <w:tcW w:w="5812" w:type="dxa"/>
            <w:tcBorders>
              <w:top w:val="nil"/>
              <w:left w:val="single" w:sz="4" w:space="0" w:color="auto"/>
              <w:bottom w:val="nil"/>
              <w:right w:val="nil"/>
            </w:tcBorders>
            <w:noWrap/>
            <w:vAlign w:val="bottom"/>
            <w:hideMark/>
          </w:tcPr>
          <w:p w14:paraId="5D0F2238" w14:textId="77777777" w:rsidR="00677577" w:rsidRPr="002154E6" w:rsidRDefault="00677577">
            <w:pPr>
              <w:spacing w:after="0" w:line="240" w:lineRule="auto"/>
              <w:rPr>
                <w:sz w:val="20"/>
                <w:szCs w:val="20"/>
              </w:rPr>
            </w:pPr>
          </w:p>
        </w:tc>
        <w:tc>
          <w:tcPr>
            <w:tcW w:w="1418" w:type="dxa"/>
            <w:tcBorders>
              <w:top w:val="nil"/>
              <w:left w:val="nil"/>
              <w:bottom w:val="nil"/>
              <w:right w:val="nil"/>
            </w:tcBorders>
            <w:noWrap/>
            <w:vAlign w:val="bottom"/>
            <w:hideMark/>
          </w:tcPr>
          <w:p w14:paraId="28A0B52F" w14:textId="77777777" w:rsidR="00677577" w:rsidRPr="002154E6" w:rsidRDefault="00677577" w:rsidP="006F1B94">
            <w:pPr>
              <w:spacing w:after="0" w:line="240" w:lineRule="auto"/>
              <w:jc w:val="right"/>
              <w:rPr>
                <w:sz w:val="20"/>
                <w:szCs w:val="20"/>
              </w:rPr>
            </w:pPr>
            <w:r w:rsidRPr="002154E6">
              <w:rPr>
                <w:sz w:val="20"/>
                <w:szCs w:val="20"/>
              </w:rPr>
              <w:t>(0.003)</w:t>
            </w:r>
          </w:p>
        </w:tc>
        <w:tc>
          <w:tcPr>
            <w:tcW w:w="1842" w:type="dxa"/>
            <w:tcBorders>
              <w:top w:val="nil"/>
              <w:left w:val="nil"/>
              <w:bottom w:val="nil"/>
              <w:right w:val="single" w:sz="4" w:space="0" w:color="auto"/>
            </w:tcBorders>
            <w:noWrap/>
            <w:vAlign w:val="bottom"/>
            <w:hideMark/>
          </w:tcPr>
          <w:p w14:paraId="385382B3" w14:textId="77777777" w:rsidR="00677577" w:rsidRPr="002154E6" w:rsidRDefault="00677577" w:rsidP="006F1B94">
            <w:pPr>
              <w:spacing w:after="0" w:line="240" w:lineRule="auto"/>
              <w:jc w:val="right"/>
              <w:rPr>
                <w:sz w:val="20"/>
                <w:szCs w:val="20"/>
              </w:rPr>
            </w:pPr>
            <w:r w:rsidRPr="002154E6">
              <w:rPr>
                <w:sz w:val="20"/>
                <w:szCs w:val="20"/>
              </w:rPr>
              <w:t>(0.004)</w:t>
            </w:r>
          </w:p>
        </w:tc>
      </w:tr>
      <w:tr w:rsidR="00677577" w:rsidRPr="00167CB8" w14:paraId="2237FAA7" w14:textId="77777777">
        <w:trPr>
          <w:trHeight w:val="211"/>
        </w:trPr>
        <w:tc>
          <w:tcPr>
            <w:tcW w:w="5812" w:type="dxa"/>
            <w:tcBorders>
              <w:top w:val="nil"/>
              <w:left w:val="single" w:sz="4" w:space="0" w:color="auto"/>
              <w:bottom w:val="nil"/>
              <w:right w:val="nil"/>
            </w:tcBorders>
            <w:noWrap/>
            <w:vAlign w:val="bottom"/>
            <w:hideMark/>
          </w:tcPr>
          <w:p w14:paraId="374F2AFD" w14:textId="77777777" w:rsidR="00677577" w:rsidRPr="002154E6" w:rsidRDefault="00677577">
            <w:pPr>
              <w:spacing w:after="0" w:line="240" w:lineRule="auto"/>
              <w:rPr>
                <w:sz w:val="20"/>
                <w:szCs w:val="20"/>
              </w:rPr>
            </w:pPr>
            <w:r w:rsidRPr="002154E6">
              <w:rPr>
                <w:sz w:val="20"/>
                <w:szCs w:val="20"/>
              </w:rPr>
              <w:t>Public, administration and safety</w:t>
            </w:r>
          </w:p>
        </w:tc>
        <w:tc>
          <w:tcPr>
            <w:tcW w:w="1418" w:type="dxa"/>
            <w:tcBorders>
              <w:top w:val="nil"/>
              <w:left w:val="nil"/>
              <w:bottom w:val="nil"/>
              <w:right w:val="nil"/>
            </w:tcBorders>
            <w:noWrap/>
            <w:vAlign w:val="bottom"/>
            <w:hideMark/>
          </w:tcPr>
          <w:p w14:paraId="733109F1" w14:textId="77777777" w:rsidR="00677577" w:rsidRPr="002154E6" w:rsidRDefault="00677577" w:rsidP="006F1B94">
            <w:pPr>
              <w:spacing w:after="0" w:line="240" w:lineRule="auto"/>
              <w:jc w:val="right"/>
              <w:rPr>
                <w:sz w:val="20"/>
                <w:szCs w:val="20"/>
              </w:rPr>
            </w:pPr>
            <w:r w:rsidRPr="002154E6">
              <w:rPr>
                <w:sz w:val="20"/>
                <w:szCs w:val="20"/>
              </w:rPr>
              <w:t>-0.019***</w:t>
            </w:r>
          </w:p>
        </w:tc>
        <w:tc>
          <w:tcPr>
            <w:tcW w:w="1842" w:type="dxa"/>
            <w:tcBorders>
              <w:top w:val="nil"/>
              <w:left w:val="nil"/>
              <w:bottom w:val="nil"/>
              <w:right w:val="single" w:sz="4" w:space="0" w:color="auto"/>
            </w:tcBorders>
            <w:noWrap/>
            <w:vAlign w:val="bottom"/>
            <w:hideMark/>
          </w:tcPr>
          <w:p w14:paraId="3B57612E" w14:textId="77777777" w:rsidR="00677577" w:rsidRPr="002154E6" w:rsidRDefault="00677577" w:rsidP="006F1B94">
            <w:pPr>
              <w:spacing w:after="0" w:line="240" w:lineRule="auto"/>
              <w:jc w:val="right"/>
              <w:rPr>
                <w:sz w:val="20"/>
                <w:szCs w:val="20"/>
              </w:rPr>
            </w:pPr>
            <w:r w:rsidRPr="002154E6">
              <w:rPr>
                <w:sz w:val="20"/>
                <w:szCs w:val="20"/>
              </w:rPr>
              <w:t>-0.004**</w:t>
            </w:r>
          </w:p>
        </w:tc>
      </w:tr>
      <w:tr w:rsidR="00677577" w:rsidRPr="00167CB8" w14:paraId="36D44F62" w14:textId="77777777">
        <w:trPr>
          <w:trHeight w:val="211"/>
        </w:trPr>
        <w:tc>
          <w:tcPr>
            <w:tcW w:w="5812" w:type="dxa"/>
            <w:tcBorders>
              <w:top w:val="nil"/>
              <w:left w:val="single" w:sz="4" w:space="0" w:color="auto"/>
              <w:bottom w:val="nil"/>
              <w:right w:val="nil"/>
            </w:tcBorders>
            <w:noWrap/>
            <w:vAlign w:val="bottom"/>
            <w:hideMark/>
          </w:tcPr>
          <w:p w14:paraId="5897A372" w14:textId="77777777" w:rsidR="00677577" w:rsidRPr="002154E6" w:rsidRDefault="00677577">
            <w:pPr>
              <w:spacing w:after="0" w:line="240" w:lineRule="auto"/>
              <w:rPr>
                <w:sz w:val="20"/>
                <w:szCs w:val="20"/>
              </w:rPr>
            </w:pPr>
          </w:p>
        </w:tc>
        <w:tc>
          <w:tcPr>
            <w:tcW w:w="1418" w:type="dxa"/>
            <w:tcBorders>
              <w:top w:val="nil"/>
              <w:left w:val="nil"/>
              <w:bottom w:val="nil"/>
              <w:right w:val="nil"/>
            </w:tcBorders>
            <w:noWrap/>
            <w:vAlign w:val="bottom"/>
            <w:hideMark/>
          </w:tcPr>
          <w:p w14:paraId="4C6630E4" w14:textId="77777777" w:rsidR="00677577" w:rsidRPr="002154E6" w:rsidRDefault="00677577" w:rsidP="006F1B94">
            <w:pPr>
              <w:spacing w:after="0" w:line="240" w:lineRule="auto"/>
              <w:jc w:val="right"/>
              <w:rPr>
                <w:sz w:val="20"/>
                <w:szCs w:val="20"/>
              </w:rPr>
            </w:pPr>
            <w:r w:rsidRPr="002154E6">
              <w:rPr>
                <w:sz w:val="20"/>
                <w:szCs w:val="20"/>
              </w:rPr>
              <w:t>(0.002)</w:t>
            </w:r>
          </w:p>
        </w:tc>
        <w:tc>
          <w:tcPr>
            <w:tcW w:w="1842" w:type="dxa"/>
            <w:tcBorders>
              <w:top w:val="nil"/>
              <w:left w:val="nil"/>
              <w:bottom w:val="nil"/>
              <w:right w:val="single" w:sz="4" w:space="0" w:color="auto"/>
            </w:tcBorders>
            <w:noWrap/>
            <w:vAlign w:val="bottom"/>
            <w:hideMark/>
          </w:tcPr>
          <w:p w14:paraId="076E8AED" w14:textId="77777777" w:rsidR="00677577" w:rsidRPr="002154E6" w:rsidRDefault="00677577" w:rsidP="006F1B94">
            <w:pPr>
              <w:spacing w:after="0" w:line="240" w:lineRule="auto"/>
              <w:jc w:val="right"/>
              <w:rPr>
                <w:sz w:val="20"/>
                <w:szCs w:val="20"/>
              </w:rPr>
            </w:pPr>
            <w:r w:rsidRPr="002154E6">
              <w:rPr>
                <w:sz w:val="20"/>
                <w:szCs w:val="20"/>
              </w:rPr>
              <w:t>(0.002)</w:t>
            </w:r>
          </w:p>
        </w:tc>
      </w:tr>
      <w:tr w:rsidR="00677577" w:rsidRPr="00167CB8" w14:paraId="12292A87" w14:textId="77777777">
        <w:trPr>
          <w:trHeight w:val="211"/>
        </w:trPr>
        <w:tc>
          <w:tcPr>
            <w:tcW w:w="5812" w:type="dxa"/>
            <w:tcBorders>
              <w:top w:val="nil"/>
              <w:left w:val="single" w:sz="4" w:space="0" w:color="auto"/>
              <w:bottom w:val="nil"/>
              <w:right w:val="nil"/>
            </w:tcBorders>
            <w:noWrap/>
            <w:vAlign w:val="bottom"/>
            <w:hideMark/>
          </w:tcPr>
          <w:p w14:paraId="09F63FAB" w14:textId="77777777" w:rsidR="00677577" w:rsidRPr="002154E6" w:rsidRDefault="00677577">
            <w:pPr>
              <w:spacing w:after="0" w:line="240" w:lineRule="auto"/>
              <w:rPr>
                <w:sz w:val="20"/>
                <w:szCs w:val="20"/>
              </w:rPr>
            </w:pPr>
            <w:r w:rsidRPr="002154E6">
              <w:rPr>
                <w:sz w:val="20"/>
                <w:szCs w:val="20"/>
              </w:rPr>
              <w:t>Health care and social assistance</w:t>
            </w:r>
          </w:p>
        </w:tc>
        <w:tc>
          <w:tcPr>
            <w:tcW w:w="1418" w:type="dxa"/>
            <w:tcBorders>
              <w:top w:val="nil"/>
              <w:left w:val="nil"/>
              <w:bottom w:val="nil"/>
              <w:right w:val="nil"/>
            </w:tcBorders>
            <w:noWrap/>
            <w:vAlign w:val="bottom"/>
            <w:hideMark/>
          </w:tcPr>
          <w:p w14:paraId="46F52729" w14:textId="77777777" w:rsidR="00677577" w:rsidRPr="002154E6" w:rsidRDefault="00677577" w:rsidP="006F1B94">
            <w:pPr>
              <w:spacing w:after="0" w:line="240" w:lineRule="auto"/>
              <w:jc w:val="right"/>
              <w:rPr>
                <w:sz w:val="20"/>
                <w:szCs w:val="20"/>
              </w:rPr>
            </w:pPr>
            <w:r w:rsidRPr="002154E6">
              <w:rPr>
                <w:sz w:val="20"/>
                <w:szCs w:val="20"/>
              </w:rPr>
              <w:t>-0.016***</w:t>
            </w:r>
          </w:p>
        </w:tc>
        <w:tc>
          <w:tcPr>
            <w:tcW w:w="1842" w:type="dxa"/>
            <w:tcBorders>
              <w:top w:val="nil"/>
              <w:left w:val="nil"/>
              <w:bottom w:val="nil"/>
              <w:right w:val="single" w:sz="4" w:space="0" w:color="auto"/>
            </w:tcBorders>
            <w:noWrap/>
            <w:vAlign w:val="bottom"/>
            <w:hideMark/>
          </w:tcPr>
          <w:p w14:paraId="45EC37E5" w14:textId="77777777" w:rsidR="00677577" w:rsidRPr="002154E6" w:rsidRDefault="00677577" w:rsidP="006F1B94">
            <w:pPr>
              <w:spacing w:after="0" w:line="240" w:lineRule="auto"/>
              <w:jc w:val="right"/>
              <w:rPr>
                <w:sz w:val="20"/>
                <w:szCs w:val="20"/>
              </w:rPr>
            </w:pPr>
            <w:r w:rsidRPr="002154E6">
              <w:rPr>
                <w:sz w:val="20"/>
                <w:szCs w:val="20"/>
              </w:rPr>
              <w:t>-0.000</w:t>
            </w:r>
          </w:p>
        </w:tc>
      </w:tr>
      <w:tr w:rsidR="00677577" w:rsidRPr="00167CB8" w14:paraId="14EC0D5F" w14:textId="77777777">
        <w:trPr>
          <w:trHeight w:val="211"/>
        </w:trPr>
        <w:tc>
          <w:tcPr>
            <w:tcW w:w="5812" w:type="dxa"/>
            <w:tcBorders>
              <w:top w:val="nil"/>
              <w:left w:val="single" w:sz="4" w:space="0" w:color="auto"/>
              <w:bottom w:val="nil"/>
              <w:right w:val="nil"/>
            </w:tcBorders>
            <w:noWrap/>
            <w:vAlign w:val="bottom"/>
            <w:hideMark/>
          </w:tcPr>
          <w:p w14:paraId="50514AD1" w14:textId="77777777" w:rsidR="00677577" w:rsidRPr="002154E6" w:rsidRDefault="00677577">
            <w:pPr>
              <w:spacing w:after="0" w:line="240" w:lineRule="auto"/>
              <w:rPr>
                <w:sz w:val="20"/>
                <w:szCs w:val="20"/>
              </w:rPr>
            </w:pPr>
          </w:p>
        </w:tc>
        <w:tc>
          <w:tcPr>
            <w:tcW w:w="1418" w:type="dxa"/>
            <w:tcBorders>
              <w:top w:val="nil"/>
              <w:left w:val="nil"/>
              <w:bottom w:val="nil"/>
              <w:right w:val="nil"/>
            </w:tcBorders>
            <w:noWrap/>
            <w:vAlign w:val="bottom"/>
            <w:hideMark/>
          </w:tcPr>
          <w:p w14:paraId="59B02298" w14:textId="77777777" w:rsidR="00677577" w:rsidRPr="002154E6" w:rsidRDefault="00677577" w:rsidP="006F1B94">
            <w:pPr>
              <w:spacing w:after="0" w:line="240" w:lineRule="auto"/>
              <w:jc w:val="right"/>
              <w:rPr>
                <w:sz w:val="20"/>
                <w:szCs w:val="20"/>
              </w:rPr>
            </w:pPr>
            <w:r w:rsidRPr="002154E6">
              <w:rPr>
                <w:sz w:val="20"/>
                <w:szCs w:val="20"/>
              </w:rPr>
              <w:t>(0.001)</w:t>
            </w:r>
          </w:p>
        </w:tc>
        <w:tc>
          <w:tcPr>
            <w:tcW w:w="1842" w:type="dxa"/>
            <w:tcBorders>
              <w:top w:val="nil"/>
              <w:left w:val="nil"/>
              <w:bottom w:val="nil"/>
              <w:right w:val="single" w:sz="4" w:space="0" w:color="auto"/>
            </w:tcBorders>
            <w:noWrap/>
            <w:vAlign w:val="bottom"/>
            <w:hideMark/>
          </w:tcPr>
          <w:p w14:paraId="552C05EC" w14:textId="77777777" w:rsidR="00677577" w:rsidRPr="002154E6" w:rsidRDefault="00677577" w:rsidP="006F1B94">
            <w:pPr>
              <w:spacing w:after="0" w:line="240" w:lineRule="auto"/>
              <w:jc w:val="right"/>
              <w:rPr>
                <w:sz w:val="20"/>
                <w:szCs w:val="20"/>
              </w:rPr>
            </w:pPr>
            <w:r w:rsidRPr="002154E6">
              <w:rPr>
                <w:sz w:val="20"/>
                <w:szCs w:val="20"/>
              </w:rPr>
              <w:t>(0.002)</w:t>
            </w:r>
          </w:p>
        </w:tc>
      </w:tr>
      <w:tr w:rsidR="00677577" w:rsidRPr="00167CB8" w14:paraId="78904B52" w14:textId="77777777">
        <w:trPr>
          <w:trHeight w:val="211"/>
        </w:trPr>
        <w:tc>
          <w:tcPr>
            <w:tcW w:w="5812" w:type="dxa"/>
            <w:tcBorders>
              <w:top w:val="nil"/>
              <w:left w:val="single" w:sz="4" w:space="0" w:color="auto"/>
              <w:bottom w:val="nil"/>
              <w:right w:val="nil"/>
            </w:tcBorders>
            <w:noWrap/>
            <w:vAlign w:val="bottom"/>
            <w:hideMark/>
          </w:tcPr>
          <w:p w14:paraId="3EC9B8CC" w14:textId="77777777" w:rsidR="00677577" w:rsidRPr="002154E6" w:rsidRDefault="00677577">
            <w:pPr>
              <w:spacing w:after="0" w:line="240" w:lineRule="auto"/>
              <w:rPr>
                <w:sz w:val="20"/>
                <w:szCs w:val="20"/>
              </w:rPr>
            </w:pPr>
            <w:r w:rsidRPr="002154E6">
              <w:rPr>
                <w:sz w:val="20"/>
                <w:szCs w:val="20"/>
              </w:rPr>
              <w:t>Arts and recreation services</w:t>
            </w:r>
          </w:p>
        </w:tc>
        <w:tc>
          <w:tcPr>
            <w:tcW w:w="1418" w:type="dxa"/>
            <w:tcBorders>
              <w:top w:val="nil"/>
              <w:left w:val="nil"/>
              <w:bottom w:val="nil"/>
              <w:right w:val="nil"/>
            </w:tcBorders>
            <w:noWrap/>
            <w:vAlign w:val="bottom"/>
            <w:hideMark/>
          </w:tcPr>
          <w:p w14:paraId="5BC3484B" w14:textId="77777777" w:rsidR="00677577" w:rsidRPr="002154E6" w:rsidRDefault="00677577" w:rsidP="006F1B94">
            <w:pPr>
              <w:spacing w:after="0" w:line="240" w:lineRule="auto"/>
              <w:jc w:val="right"/>
              <w:rPr>
                <w:sz w:val="20"/>
                <w:szCs w:val="20"/>
              </w:rPr>
            </w:pPr>
            <w:r w:rsidRPr="002154E6">
              <w:rPr>
                <w:sz w:val="20"/>
                <w:szCs w:val="20"/>
              </w:rPr>
              <w:t>-0.012***</w:t>
            </w:r>
          </w:p>
        </w:tc>
        <w:tc>
          <w:tcPr>
            <w:tcW w:w="1842" w:type="dxa"/>
            <w:tcBorders>
              <w:top w:val="nil"/>
              <w:left w:val="nil"/>
              <w:bottom w:val="nil"/>
              <w:right w:val="single" w:sz="4" w:space="0" w:color="auto"/>
            </w:tcBorders>
            <w:noWrap/>
            <w:vAlign w:val="bottom"/>
            <w:hideMark/>
          </w:tcPr>
          <w:p w14:paraId="6DB94B72" w14:textId="77777777" w:rsidR="00677577" w:rsidRPr="002154E6" w:rsidRDefault="00677577" w:rsidP="006F1B94">
            <w:pPr>
              <w:spacing w:after="0" w:line="240" w:lineRule="auto"/>
              <w:jc w:val="right"/>
              <w:rPr>
                <w:sz w:val="20"/>
                <w:szCs w:val="20"/>
              </w:rPr>
            </w:pPr>
            <w:r w:rsidRPr="002154E6">
              <w:rPr>
                <w:sz w:val="20"/>
                <w:szCs w:val="20"/>
              </w:rPr>
              <w:t>-0.011***</w:t>
            </w:r>
          </w:p>
        </w:tc>
      </w:tr>
      <w:tr w:rsidR="00677577" w:rsidRPr="00167CB8" w14:paraId="0E9F5E08" w14:textId="77777777">
        <w:trPr>
          <w:trHeight w:val="211"/>
        </w:trPr>
        <w:tc>
          <w:tcPr>
            <w:tcW w:w="5812" w:type="dxa"/>
            <w:tcBorders>
              <w:top w:val="nil"/>
              <w:left w:val="single" w:sz="4" w:space="0" w:color="auto"/>
              <w:bottom w:val="nil"/>
              <w:right w:val="nil"/>
            </w:tcBorders>
            <w:noWrap/>
            <w:vAlign w:val="bottom"/>
            <w:hideMark/>
          </w:tcPr>
          <w:p w14:paraId="52A6932E" w14:textId="77777777" w:rsidR="00677577" w:rsidRPr="002154E6" w:rsidRDefault="00677577">
            <w:pPr>
              <w:spacing w:after="0" w:line="240" w:lineRule="auto"/>
              <w:rPr>
                <w:sz w:val="20"/>
                <w:szCs w:val="20"/>
              </w:rPr>
            </w:pPr>
          </w:p>
        </w:tc>
        <w:tc>
          <w:tcPr>
            <w:tcW w:w="1418" w:type="dxa"/>
            <w:tcBorders>
              <w:top w:val="nil"/>
              <w:left w:val="nil"/>
              <w:bottom w:val="nil"/>
              <w:right w:val="nil"/>
            </w:tcBorders>
            <w:noWrap/>
            <w:vAlign w:val="bottom"/>
            <w:hideMark/>
          </w:tcPr>
          <w:p w14:paraId="5B69386E" w14:textId="77777777" w:rsidR="00677577" w:rsidRPr="002154E6" w:rsidRDefault="00677577" w:rsidP="006F1B94">
            <w:pPr>
              <w:spacing w:after="0" w:line="240" w:lineRule="auto"/>
              <w:jc w:val="right"/>
              <w:rPr>
                <w:sz w:val="20"/>
                <w:szCs w:val="20"/>
              </w:rPr>
            </w:pPr>
            <w:r w:rsidRPr="002154E6">
              <w:rPr>
                <w:sz w:val="20"/>
                <w:szCs w:val="20"/>
              </w:rPr>
              <w:t>(0.003)</w:t>
            </w:r>
          </w:p>
        </w:tc>
        <w:tc>
          <w:tcPr>
            <w:tcW w:w="1842" w:type="dxa"/>
            <w:tcBorders>
              <w:top w:val="nil"/>
              <w:left w:val="nil"/>
              <w:bottom w:val="nil"/>
              <w:right w:val="single" w:sz="4" w:space="0" w:color="auto"/>
            </w:tcBorders>
            <w:noWrap/>
            <w:vAlign w:val="bottom"/>
            <w:hideMark/>
          </w:tcPr>
          <w:p w14:paraId="6EA6C34D" w14:textId="77777777" w:rsidR="00677577" w:rsidRPr="002154E6" w:rsidRDefault="00677577" w:rsidP="006F1B94">
            <w:pPr>
              <w:spacing w:after="0" w:line="240" w:lineRule="auto"/>
              <w:jc w:val="right"/>
              <w:rPr>
                <w:sz w:val="20"/>
                <w:szCs w:val="20"/>
              </w:rPr>
            </w:pPr>
            <w:r w:rsidRPr="002154E6">
              <w:rPr>
                <w:sz w:val="20"/>
                <w:szCs w:val="20"/>
              </w:rPr>
              <w:t>(0.004)</w:t>
            </w:r>
          </w:p>
        </w:tc>
      </w:tr>
      <w:tr w:rsidR="00677577" w:rsidRPr="00167CB8" w14:paraId="1194BA25" w14:textId="77777777">
        <w:trPr>
          <w:trHeight w:val="211"/>
        </w:trPr>
        <w:tc>
          <w:tcPr>
            <w:tcW w:w="5812" w:type="dxa"/>
            <w:tcBorders>
              <w:top w:val="nil"/>
              <w:left w:val="single" w:sz="4" w:space="0" w:color="auto"/>
              <w:bottom w:val="nil"/>
              <w:right w:val="nil"/>
            </w:tcBorders>
            <w:noWrap/>
            <w:vAlign w:val="bottom"/>
            <w:hideMark/>
          </w:tcPr>
          <w:p w14:paraId="12E71287" w14:textId="77777777" w:rsidR="00677577" w:rsidRPr="002154E6" w:rsidRDefault="00677577">
            <w:pPr>
              <w:spacing w:after="0" w:line="240" w:lineRule="auto"/>
              <w:rPr>
                <w:sz w:val="20"/>
                <w:szCs w:val="20"/>
              </w:rPr>
            </w:pPr>
            <w:r w:rsidRPr="002154E6">
              <w:rPr>
                <w:sz w:val="20"/>
                <w:szCs w:val="20"/>
              </w:rPr>
              <w:t>Other services</w:t>
            </w:r>
          </w:p>
        </w:tc>
        <w:tc>
          <w:tcPr>
            <w:tcW w:w="1418" w:type="dxa"/>
            <w:tcBorders>
              <w:top w:val="nil"/>
              <w:left w:val="nil"/>
              <w:bottom w:val="nil"/>
              <w:right w:val="nil"/>
            </w:tcBorders>
            <w:noWrap/>
            <w:vAlign w:val="bottom"/>
            <w:hideMark/>
          </w:tcPr>
          <w:p w14:paraId="45BE92AB" w14:textId="77777777" w:rsidR="00677577" w:rsidRPr="002154E6" w:rsidRDefault="00677577" w:rsidP="006F1B94">
            <w:pPr>
              <w:spacing w:after="0" w:line="240" w:lineRule="auto"/>
              <w:jc w:val="right"/>
              <w:rPr>
                <w:sz w:val="20"/>
                <w:szCs w:val="20"/>
              </w:rPr>
            </w:pPr>
            <w:r w:rsidRPr="002154E6">
              <w:rPr>
                <w:sz w:val="20"/>
                <w:szCs w:val="20"/>
              </w:rPr>
              <w:t>-0.016***</w:t>
            </w:r>
          </w:p>
        </w:tc>
        <w:tc>
          <w:tcPr>
            <w:tcW w:w="1842" w:type="dxa"/>
            <w:tcBorders>
              <w:top w:val="nil"/>
              <w:left w:val="nil"/>
              <w:bottom w:val="nil"/>
              <w:right w:val="single" w:sz="4" w:space="0" w:color="auto"/>
            </w:tcBorders>
            <w:noWrap/>
            <w:vAlign w:val="bottom"/>
            <w:hideMark/>
          </w:tcPr>
          <w:p w14:paraId="3B0D8ADB" w14:textId="77777777" w:rsidR="00677577" w:rsidRPr="002154E6" w:rsidRDefault="00677577" w:rsidP="006F1B94">
            <w:pPr>
              <w:spacing w:after="0" w:line="240" w:lineRule="auto"/>
              <w:jc w:val="right"/>
              <w:rPr>
                <w:sz w:val="20"/>
                <w:szCs w:val="20"/>
              </w:rPr>
            </w:pPr>
            <w:r w:rsidRPr="002154E6">
              <w:rPr>
                <w:sz w:val="20"/>
                <w:szCs w:val="20"/>
              </w:rPr>
              <w:t>-0.003</w:t>
            </w:r>
          </w:p>
        </w:tc>
      </w:tr>
      <w:tr w:rsidR="00677577" w:rsidRPr="00167CB8" w14:paraId="21BBD324" w14:textId="77777777">
        <w:trPr>
          <w:trHeight w:val="211"/>
        </w:trPr>
        <w:tc>
          <w:tcPr>
            <w:tcW w:w="5812" w:type="dxa"/>
            <w:tcBorders>
              <w:top w:val="nil"/>
              <w:left w:val="single" w:sz="4" w:space="0" w:color="auto"/>
              <w:bottom w:val="nil"/>
              <w:right w:val="nil"/>
            </w:tcBorders>
            <w:noWrap/>
            <w:vAlign w:val="bottom"/>
            <w:hideMark/>
          </w:tcPr>
          <w:p w14:paraId="11B5D4F7" w14:textId="77777777" w:rsidR="00677577" w:rsidRPr="002154E6" w:rsidRDefault="00677577">
            <w:pPr>
              <w:spacing w:after="0" w:line="240" w:lineRule="auto"/>
              <w:rPr>
                <w:sz w:val="20"/>
                <w:szCs w:val="20"/>
              </w:rPr>
            </w:pPr>
          </w:p>
        </w:tc>
        <w:tc>
          <w:tcPr>
            <w:tcW w:w="1418" w:type="dxa"/>
            <w:tcBorders>
              <w:top w:val="nil"/>
              <w:left w:val="nil"/>
              <w:bottom w:val="nil"/>
              <w:right w:val="nil"/>
            </w:tcBorders>
            <w:noWrap/>
            <w:vAlign w:val="bottom"/>
            <w:hideMark/>
          </w:tcPr>
          <w:p w14:paraId="07B7D210" w14:textId="77777777" w:rsidR="00677577" w:rsidRPr="002154E6" w:rsidRDefault="00677577" w:rsidP="006F1B94">
            <w:pPr>
              <w:spacing w:after="0" w:line="240" w:lineRule="auto"/>
              <w:jc w:val="right"/>
              <w:rPr>
                <w:sz w:val="20"/>
                <w:szCs w:val="20"/>
              </w:rPr>
            </w:pPr>
            <w:r w:rsidRPr="002154E6">
              <w:rPr>
                <w:sz w:val="20"/>
                <w:szCs w:val="20"/>
              </w:rPr>
              <w:t>(0.003)</w:t>
            </w:r>
          </w:p>
        </w:tc>
        <w:tc>
          <w:tcPr>
            <w:tcW w:w="1842" w:type="dxa"/>
            <w:tcBorders>
              <w:top w:val="nil"/>
              <w:left w:val="nil"/>
              <w:bottom w:val="nil"/>
              <w:right w:val="single" w:sz="4" w:space="0" w:color="auto"/>
            </w:tcBorders>
            <w:noWrap/>
            <w:vAlign w:val="bottom"/>
            <w:hideMark/>
          </w:tcPr>
          <w:p w14:paraId="32026A7C" w14:textId="77777777" w:rsidR="00677577" w:rsidRPr="002154E6" w:rsidRDefault="00677577" w:rsidP="006F1B94">
            <w:pPr>
              <w:spacing w:after="0" w:line="240" w:lineRule="auto"/>
              <w:jc w:val="right"/>
              <w:rPr>
                <w:sz w:val="20"/>
                <w:szCs w:val="20"/>
              </w:rPr>
            </w:pPr>
            <w:r w:rsidRPr="002154E6">
              <w:rPr>
                <w:sz w:val="20"/>
                <w:szCs w:val="20"/>
              </w:rPr>
              <w:t>(0.003)</w:t>
            </w:r>
          </w:p>
        </w:tc>
      </w:tr>
      <w:tr w:rsidR="00677577" w:rsidRPr="00167CB8" w14:paraId="57214F88" w14:textId="77777777">
        <w:trPr>
          <w:trHeight w:val="211"/>
        </w:trPr>
        <w:tc>
          <w:tcPr>
            <w:tcW w:w="5812" w:type="dxa"/>
            <w:tcBorders>
              <w:top w:val="nil"/>
              <w:left w:val="single" w:sz="4" w:space="0" w:color="auto"/>
              <w:bottom w:val="nil"/>
              <w:right w:val="nil"/>
            </w:tcBorders>
            <w:noWrap/>
            <w:vAlign w:val="bottom"/>
            <w:hideMark/>
          </w:tcPr>
          <w:p w14:paraId="3D9FD97B" w14:textId="77777777" w:rsidR="00677577" w:rsidRPr="002154E6" w:rsidRDefault="00677577">
            <w:pPr>
              <w:spacing w:after="0" w:line="240" w:lineRule="auto"/>
              <w:rPr>
                <w:sz w:val="20"/>
                <w:szCs w:val="20"/>
              </w:rPr>
            </w:pPr>
            <w:r w:rsidRPr="002154E6">
              <w:rPr>
                <w:sz w:val="20"/>
                <w:szCs w:val="20"/>
              </w:rPr>
              <w:t>Migrant, born main English-speaking country</w:t>
            </w:r>
          </w:p>
        </w:tc>
        <w:tc>
          <w:tcPr>
            <w:tcW w:w="1418" w:type="dxa"/>
            <w:tcBorders>
              <w:top w:val="nil"/>
              <w:left w:val="nil"/>
              <w:bottom w:val="nil"/>
              <w:right w:val="nil"/>
            </w:tcBorders>
            <w:noWrap/>
            <w:vAlign w:val="bottom"/>
            <w:hideMark/>
          </w:tcPr>
          <w:p w14:paraId="38670F83" w14:textId="77777777" w:rsidR="00677577" w:rsidRPr="002154E6" w:rsidRDefault="00677577" w:rsidP="006F1B94">
            <w:pPr>
              <w:spacing w:after="0" w:line="240" w:lineRule="auto"/>
              <w:jc w:val="right"/>
              <w:rPr>
                <w:sz w:val="20"/>
                <w:szCs w:val="20"/>
              </w:rPr>
            </w:pPr>
            <w:r w:rsidRPr="002154E6">
              <w:rPr>
                <w:sz w:val="20"/>
                <w:szCs w:val="20"/>
              </w:rPr>
              <w:t>0.002</w:t>
            </w:r>
          </w:p>
        </w:tc>
        <w:tc>
          <w:tcPr>
            <w:tcW w:w="1842" w:type="dxa"/>
            <w:tcBorders>
              <w:top w:val="nil"/>
              <w:left w:val="nil"/>
              <w:bottom w:val="nil"/>
              <w:right w:val="single" w:sz="4" w:space="0" w:color="auto"/>
            </w:tcBorders>
            <w:noWrap/>
            <w:vAlign w:val="bottom"/>
            <w:hideMark/>
          </w:tcPr>
          <w:p w14:paraId="64CAE789" w14:textId="77777777" w:rsidR="00677577" w:rsidRPr="002154E6" w:rsidRDefault="00677577" w:rsidP="006F1B94">
            <w:pPr>
              <w:spacing w:after="0" w:line="240" w:lineRule="auto"/>
              <w:jc w:val="right"/>
              <w:rPr>
                <w:sz w:val="20"/>
                <w:szCs w:val="20"/>
              </w:rPr>
            </w:pPr>
            <w:r w:rsidRPr="002154E6">
              <w:rPr>
                <w:sz w:val="20"/>
                <w:szCs w:val="20"/>
              </w:rPr>
              <w:t>0.002</w:t>
            </w:r>
          </w:p>
        </w:tc>
      </w:tr>
      <w:tr w:rsidR="00677577" w:rsidRPr="00167CB8" w14:paraId="2C576D73" w14:textId="77777777">
        <w:trPr>
          <w:trHeight w:val="211"/>
        </w:trPr>
        <w:tc>
          <w:tcPr>
            <w:tcW w:w="5812" w:type="dxa"/>
            <w:tcBorders>
              <w:top w:val="nil"/>
              <w:left w:val="single" w:sz="4" w:space="0" w:color="auto"/>
              <w:bottom w:val="nil"/>
              <w:right w:val="nil"/>
            </w:tcBorders>
            <w:noWrap/>
            <w:vAlign w:val="bottom"/>
            <w:hideMark/>
          </w:tcPr>
          <w:p w14:paraId="33F4E94D" w14:textId="77777777" w:rsidR="00677577" w:rsidRPr="002154E6" w:rsidRDefault="00677577">
            <w:pPr>
              <w:spacing w:after="0" w:line="240" w:lineRule="auto"/>
              <w:rPr>
                <w:sz w:val="20"/>
                <w:szCs w:val="20"/>
              </w:rPr>
            </w:pPr>
          </w:p>
        </w:tc>
        <w:tc>
          <w:tcPr>
            <w:tcW w:w="1418" w:type="dxa"/>
            <w:tcBorders>
              <w:top w:val="nil"/>
              <w:left w:val="nil"/>
              <w:bottom w:val="nil"/>
              <w:right w:val="nil"/>
            </w:tcBorders>
            <w:noWrap/>
            <w:vAlign w:val="bottom"/>
            <w:hideMark/>
          </w:tcPr>
          <w:p w14:paraId="55A70118" w14:textId="77777777" w:rsidR="00677577" w:rsidRPr="002154E6" w:rsidRDefault="00677577" w:rsidP="006F1B94">
            <w:pPr>
              <w:spacing w:after="0" w:line="240" w:lineRule="auto"/>
              <w:jc w:val="right"/>
              <w:rPr>
                <w:sz w:val="20"/>
                <w:szCs w:val="20"/>
              </w:rPr>
            </w:pPr>
            <w:r w:rsidRPr="002154E6">
              <w:rPr>
                <w:sz w:val="20"/>
                <w:szCs w:val="20"/>
              </w:rPr>
              <w:t>(0.002)</w:t>
            </w:r>
          </w:p>
        </w:tc>
        <w:tc>
          <w:tcPr>
            <w:tcW w:w="1842" w:type="dxa"/>
            <w:tcBorders>
              <w:top w:val="nil"/>
              <w:left w:val="nil"/>
              <w:bottom w:val="nil"/>
              <w:right w:val="single" w:sz="4" w:space="0" w:color="auto"/>
            </w:tcBorders>
            <w:noWrap/>
            <w:vAlign w:val="bottom"/>
            <w:hideMark/>
          </w:tcPr>
          <w:p w14:paraId="02E1D28F" w14:textId="77777777" w:rsidR="00677577" w:rsidRPr="002154E6" w:rsidRDefault="00677577" w:rsidP="006F1B94">
            <w:pPr>
              <w:spacing w:after="0" w:line="240" w:lineRule="auto"/>
              <w:jc w:val="right"/>
              <w:rPr>
                <w:sz w:val="20"/>
                <w:szCs w:val="20"/>
              </w:rPr>
            </w:pPr>
            <w:r w:rsidRPr="002154E6">
              <w:rPr>
                <w:sz w:val="20"/>
                <w:szCs w:val="20"/>
              </w:rPr>
              <w:t>(0.002)</w:t>
            </w:r>
          </w:p>
        </w:tc>
      </w:tr>
      <w:tr w:rsidR="00677577" w:rsidRPr="00167CB8" w14:paraId="4D739115" w14:textId="77777777">
        <w:trPr>
          <w:trHeight w:val="211"/>
        </w:trPr>
        <w:tc>
          <w:tcPr>
            <w:tcW w:w="5812" w:type="dxa"/>
            <w:tcBorders>
              <w:top w:val="nil"/>
              <w:left w:val="single" w:sz="4" w:space="0" w:color="auto"/>
              <w:bottom w:val="nil"/>
              <w:right w:val="nil"/>
            </w:tcBorders>
            <w:noWrap/>
            <w:vAlign w:val="bottom"/>
            <w:hideMark/>
          </w:tcPr>
          <w:p w14:paraId="310EA2C8" w14:textId="77777777" w:rsidR="00677577" w:rsidRPr="002154E6" w:rsidRDefault="00677577">
            <w:pPr>
              <w:spacing w:after="0" w:line="240" w:lineRule="auto"/>
              <w:rPr>
                <w:sz w:val="20"/>
                <w:szCs w:val="20"/>
              </w:rPr>
            </w:pPr>
            <w:r w:rsidRPr="002154E6">
              <w:rPr>
                <w:sz w:val="20"/>
                <w:szCs w:val="20"/>
              </w:rPr>
              <w:t>Migrant, born non-English-speaking country</w:t>
            </w:r>
          </w:p>
        </w:tc>
        <w:tc>
          <w:tcPr>
            <w:tcW w:w="1418" w:type="dxa"/>
            <w:tcBorders>
              <w:top w:val="nil"/>
              <w:left w:val="nil"/>
              <w:bottom w:val="nil"/>
              <w:right w:val="nil"/>
            </w:tcBorders>
            <w:noWrap/>
            <w:vAlign w:val="bottom"/>
            <w:hideMark/>
          </w:tcPr>
          <w:p w14:paraId="1987A082" w14:textId="77777777" w:rsidR="00677577" w:rsidRPr="002154E6" w:rsidRDefault="00677577" w:rsidP="006F1B94">
            <w:pPr>
              <w:spacing w:after="0" w:line="240" w:lineRule="auto"/>
              <w:jc w:val="right"/>
              <w:rPr>
                <w:sz w:val="20"/>
                <w:szCs w:val="20"/>
              </w:rPr>
            </w:pPr>
            <w:r w:rsidRPr="002154E6">
              <w:rPr>
                <w:sz w:val="20"/>
                <w:szCs w:val="20"/>
              </w:rPr>
              <w:t>0.002</w:t>
            </w:r>
          </w:p>
        </w:tc>
        <w:tc>
          <w:tcPr>
            <w:tcW w:w="1842" w:type="dxa"/>
            <w:tcBorders>
              <w:top w:val="nil"/>
              <w:left w:val="nil"/>
              <w:bottom w:val="nil"/>
              <w:right w:val="single" w:sz="4" w:space="0" w:color="auto"/>
            </w:tcBorders>
            <w:noWrap/>
            <w:vAlign w:val="bottom"/>
            <w:hideMark/>
          </w:tcPr>
          <w:p w14:paraId="03256A81" w14:textId="77777777" w:rsidR="00677577" w:rsidRPr="002154E6" w:rsidRDefault="00677577" w:rsidP="006F1B94">
            <w:pPr>
              <w:spacing w:after="0" w:line="240" w:lineRule="auto"/>
              <w:jc w:val="right"/>
              <w:rPr>
                <w:sz w:val="20"/>
                <w:szCs w:val="20"/>
              </w:rPr>
            </w:pPr>
            <w:r w:rsidRPr="002154E6">
              <w:rPr>
                <w:sz w:val="20"/>
                <w:szCs w:val="20"/>
              </w:rPr>
              <w:t>0.001</w:t>
            </w:r>
          </w:p>
        </w:tc>
      </w:tr>
      <w:tr w:rsidR="00677577" w:rsidRPr="00167CB8" w14:paraId="09ADF45F" w14:textId="77777777">
        <w:trPr>
          <w:trHeight w:val="211"/>
        </w:trPr>
        <w:tc>
          <w:tcPr>
            <w:tcW w:w="5812" w:type="dxa"/>
            <w:tcBorders>
              <w:top w:val="nil"/>
              <w:left w:val="single" w:sz="4" w:space="0" w:color="auto"/>
              <w:bottom w:val="nil"/>
              <w:right w:val="nil"/>
            </w:tcBorders>
            <w:noWrap/>
            <w:vAlign w:val="bottom"/>
            <w:hideMark/>
          </w:tcPr>
          <w:p w14:paraId="6591B1A3" w14:textId="77777777" w:rsidR="00677577" w:rsidRPr="002154E6" w:rsidRDefault="00677577">
            <w:pPr>
              <w:spacing w:after="0" w:line="240" w:lineRule="auto"/>
              <w:rPr>
                <w:sz w:val="20"/>
                <w:szCs w:val="20"/>
              </w:rPr>
            </w:pPr>
          </w:p>
        </w:tc>
        <w:tc>
          <w:tcPr>
            <w:tcW w:w="1418" w:type="dxa"/>
            <w:tcBorders>
              <w:top w:val="nil"/>
              <w:left w:val="nil"/>
              <w:bottom w:val="nil"/>
              <w:right w:val="nil"/>
            </w:tcBorders>
            <w:noWrap/>
            <w:vAlign w:val="bottom"/>
            <w:hideMark/>
          </w:tcPr>
          <w:p w14:paraId="2158B759" w14:textId="77777777" w:rsidR="00677577" w:rsidRPr="002154E6" w:rsidRDefault="00677577" w:rsidP="006F1B94">
            <w:pPr>
              <w:spacing w:after="0" w:line="240" w:lineRule="auto"/>
              <w:jc w:val="right"/>
              <w:rPr>
                <w:sz w:val="20"/>
                <w:szCs w:val="20"/>
              </w:rPr>
            </w:pPr>
            <w:r w:rsidRPr="002154E6">
              <w:rPr>
                <w:sz w:val="20"/>
                <w:szCs w:val="20"/>
              </w:rPr>
              <w:t>(0.001)</w:t>
            </w:r>
          </w:p>
        </w:tc>
        <w:tc>
          <w:tcPr>
            <w:tcW w:w="1842" w:type="dxa"/>
            <w:tcBorders>
              <w:top w:val="nil"/>
              <w:left w:val="nil"/>
              <w:bottom w:val="nil"/>
              <w:right w:val="single" w:sz="4" w:space="0" w:color="auto"/>
            </w:tcBorders>
            <w:noWrap/>
            <w:vAlign w:val="bottom"/>
            <w:hideMark/>
          </w:tcPr>
          <w:p w14:paraId="637E91D8" w14:textId="77777777" w:rsidR="00677577" w:rsidRPr="002154E6" w:rsidRDefault="00677577" w:rsidP="006F1B94">
            <w:pPr>
              <w:spacing w:after="0" w:line="240" w:lineRule="auto"/>
              <w:jc w:val="right"/>
              <w:rPr>
                <w:sz w:val="20"/>
                <w:szCs w:val="20"/>
              </w:rPr>
            </w:pPr>
            <w:r w:rsidRPr="002154E6">
              <w:rPr>
                <w:sz w:val="20"/>
                <w:szCs w:val="20"/>
              </w:rPr>
              <w:t>(0.002)</w:t>
            </w:r>
          </w:p>
        </w:tc>
      </w:tr>
      <w:tr w:rsidR="00677577" w:rsidRPr="00167CB8" w14:paraId="6C3E261A" w14:textId="77777777">
        <w:trPr>
          <w:trHeight w:val="211"/>
        </w:trPr>
        <w:tc>
          <w:tcPr>
            <w:tcW w:w="5812" w:type="dxa"/>
            <w:tcBorders>
              <w:top w:val="nil"/>
              <w:left w:val="single" w:sz="4" w:space="0" w:color="auto"/>
              <w:bottom w:val="nil"/>
              <w:right w:val="nil"/>
            </w:tcBorders>
            <w:noWrap/>
            <w:vAlign w:val="bottom"/>
            <w:hideMark/>
          </w:tcPr>
          <w:p w14:paraId="71849F60" w14:textId="77777777" w:rsidR="00677577" w:rsidRPr="002154E6" w:rsidRDefault="00677577">
            <w:pPr>
              <w:spacing w:after="0" w:line="240" w:lineRule="auto"/>
              <w:rPr>
                <w:sz w:val="20"/>
                <w:szCs w:val="20"/>
              </w:rPr>
            </w:pPr>
            <w:r w:rsidRPr="002154E6">
              <w:rPr>
                <w:sz w:val="20"/>
                <w:szCs w:val="20"/>
              </w:rPr>
              <w:t>Resides in a main urban area</w:t>
            </w:r>
          </w:p>
        </w:tc>
        <w:tc>
          <w:tcPr>
            <w:tcW w:w="1418" w:type="dxa"/>
            <w:tcBorders>
              <w:top w:val="nil"/>
              <w:left w:val="nil"/>
              <w:bottom w:val="nil"/>
              <w:right w:val="nil"/>
            </w:tcBorders>
            <w:noWrap/>
            <w:vAlign w:val="bottom"/>
            <w:hideMark/>
          </w:tcPr>
          <w:p w14:paraId="07E30EEE" w14:textId="77777777" w:rsidR="00677577" w:rsidRPr="002154E6" w:rsidRDefault="00677577" w:rsidP="006F1B94">
            <w:pPr>
              <w:spacing w:after="0" w:line="240" w:lineRule="auto"/>
              <w:jc w:val="right"/>
              <w:rPr>
                <w:sz w:val="20"/>
                <w:szCs w:val="20"/>
              </w:rPr>
            </w:pPr>
            <w:r w:rsidRPr="002154E6">
              <w:rPr>
                <w:sz w:val="20"/>
                <w:szCs w:val="20"/>
              </w:rPr>
              <w:t>-0.002**</w:t>
            </w:r>
          </w:p>
        </w:tc>
        <w:tc>
          <w:tcPr>
            <w:tcW w:w="1842" w:type="dxa"/>
            <w:tcBorders>
              <w:top w:val="nil"/>
              <w:left w:val="nil"/>
              <w:bottom w:val="nil"/>
              <w:right w:val="single" w:sz="4" w:space="0" w:color="auto"/>
            </w:tcBorders>
            <w:noWrap/>
            <w:vAlign w:val="bottom"/>
            <w:hideMark/>
          </w:tcPr>
          <w:p w14:paraId="2CC0670D" w14:textId="77777777" w:rsidR="00677577" w:rsidRPr="002154E6" w:rsidRDefault="00677577" w:rsidP="006F1B94">
            <w:pPr>
              <w:spacing w:after="0" w:line="240" w:lineRule="auto"/>
              <w:jc w:val="right"/>
              <w:rPr>
                <w:sz w:val="20"/>
                <w:szCs w:val="20"/>
              </w:rPr>
            </w:pPr>
            <w:r w:rsidRPr="002154E6">
              <w:rPr>
                <w:sz w:val="20"/>
                <w:szCs w:val="20"/>
              </w:rPr>
              <w:t>-0.002**</w:t>
            </w:r>
          </w:p>
        </w:tc>
      </w:tr>
      <w:tr w:rsidR="00677577" w:rsidRPr="00167CB8" w14:paraId="275D002D" w14:textId="77777777">
        <w:trPr>
          <w:trHeight w:val="211"/>
        </w:trPr>
        <w:tc>
          <w:tcPr>
            <w:tcW w:w="5812" w:type="dxa"/>
            <w:tcBorders>
              <w:top w:val="nil"/>
              <w:left w:val="single" w:sz="4" w:space="0" w:color="auto"/>
              <w:bottom w:val="nil"/>
              <w:right w:val="nil"/>
            </w:tcBorders>
            <w:noWrap/>
            <w:vAlign w:val="bottom"/>
            <w:hideMark/>
          </w:tcPr>
          <w:p w14:paraId="27489F1E" w14:textId="77777777" w:rsidR="00677577" w:rsidRPr="002154E6" w:rsidRDefault="00677577">
            <w:pPr>
              <w:spacing w:after="0" w:line="240" w:lineRule="auto"/>
              <w:rPr>
                <w:sz w:val="20"/>
                <w:szCs w:val="20"/>
              </w:rPr>
            </w:pPr>
          </w:p>
        </w:tc>
        <w:tc>
          <w:tcPr>
            <w:tcW w:w="1418" w:type="dxa"/>
            <w:tcBorders>
              <w:top w:val="nil"/>
              <w:left w:val="nil"/>
              <w:bottom w:val="nil"/>
              <w:right w:val="nil"/>
            </w:tcBorders>
            <w:noWrap/>
            <w:vAlign w:val="bottom"/>
            <w:hideMark/>
          </w:tcPr>
          <w:p w14:paraId="280D1C7D" w14:textId="77777777" w:rsidR="00677577" w:rsidRPr="002154E6" w:rsidRDefault="00677577" w:rsidP="006F1B94">
            <w:pPr>
              <w:spacing w:after="0" w:line="240" w:lineRule="auto"/>
              <w:jc w:val="right"/>
              <w:rPr>
                <w:sz w:val="20"/>
                <w:szCs w:val="20"/>
              </w:rPr>
            </w:pPr>
            <w:r w:rsidRPr="002154E6">
              <w:rPr>
                <w:sz w:val="20"/>
                <w:szCs w:val="20"/>
              </w:rPr>
              <w:t>(0.001)</w:t>
            </w:r>
          </w:p>
        </w:tc>
        <w:tc>
          <w:tcPr>
            <w:tcW w:w="1842" w:type="dxa"/>
            <w:tcBorders>
              <w:top w:val="nil"/>
              <w:left w:val="nil"/>
              <w:bottom w:val="nil"/>
              <w:right w:val="single" w:sz="4" w:space="0" w:color="auto"/>
            </w:tcBorders>
            <w:noWrap/>
            <w:vAlign w:val="bottom"/>
            <w:hideMark/>
          </w:tcPr>
          <w:p w14:paraId="1A0AB20B" w14:textId="77777777" w:rsidR="00677577" w:rsidRPr="002154E6" w:rsidRDefault="00677577" w:rsidP="006F1B94">
            <w:pPr>
              <w:spacing w:after="0" w:line="240" w:lineRule="auto"/>
              <w:jc w:val="right"/>
              <w:rPr>
                <w:sz w:val="20"/>
                <w:szCs w:val="20"/>
              </w:rPr>
            </w:pPr>
            <w:r w:rsidRPr="002154E6">
              <w:rPr>
                <w:sz w:val="20"/>
                <w:szCs w:val="20"/>
              </w:rPr>
              <w:t>(0.001)</w:t>
            </w:r>
          </w:p>
        </w:tc>
      </w:tr>
      <w:tr w:rsidR="00677577" w:rsidRPr="00167CB8" w14:paraId="0FA4CF40" w14:textId="77777777">
        <w:trPr>
          <w:trHeight w:val="211"/>
        </w:trPr>
        <w:tc>
          <w:tcPr>
            <w:tcW w:w="5812" w:type="dxa"/>
            <w:tcBorders>
              <w:top w:val="nil"/>
              <w:left w:val="single" w:sz="4" w:space="0" w:color="auto"/>
              <w:bottom w:val="nil"/>
              <w:right w:val="nil"/>
            </w:tcBorders>
            <w:noWrap/>
            <w:vAlign w:val="bottom"/>
            <w:hideMark/>
          </w:tcPr>
          <w:p w14:paraId="35DC9052" w14:textId="77777777" w:rsidR="00677577" w:rsidRPr="002154E6" w:rsidRDefault="00677577">
            <w:pPr>
              <w:spacing w:after="0" w:line="240" w:lineRule="auto"/>
              <w:rPr>
                <w:sz w:val="20"/>
                <w:szCs w:val="20"/>
              </w:rPr>
            </w:pPr>
            <w:r w:rsidRPr="002154E6">
              <w:rPr>
                <w:sz w:val="20"/>
                <w:szCs w:val="20"/>
              </w:rPr>
              <w:t>Victoria</w:t>
            </w:r>
          </w:p>
        </w:tc>
        <w:tc>
          <w:tcPr>
            <w:tcW w:w="1418" w:type="dxa"/>
            <w:tcBorders>
              <w:top w:val="nil"/>
              <w:left w:val="nil"/>
              <w:bottom w:val="nil"/>
              <w:right w:val="nil"/>
            </w:tcBorders>
            <w:noWrap/>
            <w:vAlign w:val="bottom"/>
            <w:hideMark/>
          </w:tcPr>
          <w:p w14:paraId="699968B0" w14:textId="77777777" w:rsidR="00677577" w:rsidRPr="002154E6" w:rsidRDefault="00677577" w:rsidP="006F1B94">
            <w:pPr>
              <w:spacing w:after="0" w:line="240" w:lineRule="auto"/>
              <w:jc w:val="right"/>
              <w:rPr>
                <w:sz w:val="20"/>
                <w:szCs w:val="20"/>
              </w:rPr>
            </w:pPr>
            <w:r w:rsidRPr="002154E6">
              <w:rPr>
                <w:sz w:val="20"/>
                <w:szCs w:val="20"/>
              </w:rPr>
              <w:t>0.006***</w:t>
            </w:r>
          </w:p>
        </w:tc>
        <w:tc>
          <w:tcPr>
            <w:tcW w:w="1842" w:type="dxa"/>
            <w:tcBorders>
              <w:top w:val="nil"/>
              <w:left w:val="nil"/>
              <w:bottom w:val="nil"/>
              <w:right w:val="single" w:sz="4" w:space="0" w:color="auto"/>
            </w:tcBorders>
            <w:noWrap/>
            <w:vAlign w:val="bottom"/>
            <w:hideMark/>
          </w:tcPr>
          <w:p w14:paraId="3D520C0B" w14:textId="77777777" w:rsidR="00677577" w:rsidRPr="002154E6" w:rsidRDefault="00677577" w:rsidP="006F1B94">
            <w:pPr>
              <w:spacing w:after="0" w:line="240" w:lineRule="auto"/>
              <w:jc w:val="right"/>
              <w:rPr>
                <w:sz w:val="20"/>
                <w:szCs w:val="20"/>
              </w:rPr>
            </w:pPr>
            <w:r w:rsidRPr="002154E6">
              <w:rPr>
                <w:sz w:val="20"/>
                <w:szCs w:val="20"/>
              </w:rPr>
              <w:t>0.009***</w:t>
            </w:r>
          </w:p>
        </w:tc>
      </w:tr>
      <w:tr w:rsidR="00677577" w:rsidRPr="00167CB8" w14:paraId="56918C6B" w14:textId="77777777">
        <w:trPr>
          <w:trHeight w:val="211"/>
        </w:trPr>
        <w:tc>
          <w:tcPr>
            <w:tcW w:w="5812" w:type="dxa"/>
            <w:tcBorders>
              <w:top w:val="nil"/>
              <w:left w:val="single" w:sz="4" w:space="0" w:color="auto"/>
              <w:bottom w:val="nil"/>
              <w:right w:val="nil"/>
            </w:tcBorders>
            <w:noWrap/>
            <w:vAlign w:val="bottom"/>
            <w:hideMark/>
          </w:tcPr>
          <w:p w14:paraId="40AF8824" w14:textId="77777777" w:rsidR="00677577" w:rsidRPr="002154E6" w:rsidRDefault="00677577">
            <w:pPr>
              <w:spacing w:after="0" w:line="240" w:lineRule="auto"/>
              <w:rPr>
                <w:sz w:val="20"/>
                <w:szCs w:val="20"/>
              </w:rPr>
            </w:pPr>
          </w:p>
        </w:tc>
        <w:tc>
          <w:tcPr>
            <w:tcW w:w="1418" w:type="dxa"/>
            <w:tcBorders>
              <w:top w:val="nil"/>
              <w:left w:val="nil"/>
              <w:bottom w:val="nil"/>
              <w:right w:val="nil"/>
            </w:tcBorders>
            <w:noWrap/>
            <w:vAlign w:val="bottom"/>
            <w:hideMark/>
          </w:tcPr>
          <w:p w14:paraId="2906A845" w14:textId="77777777" w:rsidR="00677577" w:rsidRPr="002154E6" w:rsidRDefault="00677577" w:rsidP="006F1B94">
            <w:pPr>
              <w:spacing w:after="0" w:line="240" w:lineRule="auto"/>
              <w:jc w:val="right"/>
              <w:rPr>
                <w:sz w:val="20"/>
                <w:szCs w:val="20"/>
              </w:rPr>
            </w:pPr>
            <w:r w:rsidRPr="002154E6">
              <w:rPr>
                <w:sz w:val="20"/>
                <w:szCs w:val="20"/>
              </w:rPr>
              <w:t>(0.001)</w:t>
            </w:r>
          </w:p>
        </w:tc>
        <w:tc>
          <w:tcPr>
            <w:tcW w:w="1842" w:type="dxa"/>
            <w:tcBorders>
              <w:top w:val="nil"/>
              <w:left w:val="nil"/>
              <w:bottom w:val="nil"/>
              <w:right w:val="single" w:sz="4" w:space="0" w:color="auto"/>
            </w:tcBorders>
            <w:noWrap/>
            <w:vAlign w:val="bottom"/>
            <w:hideMark/>
          </w:tcPr>
          <w:p w14:paraId="7F7214B6" w14:textId="77777777" w:rsidR="00677577" w:rsidRPr="002154E6" w:rsidRDefault="00677577" w:rsidP="006F1B94">
            <w:pPr>
              <w:spacing w:after="0" w:line="240" w:lineRule="auto"/>
              <w:jc w:val="right"/>
              <w:rPr>
                <w:sz w:val="20"/>
                <w:szCs w:val="20"/>
              </w:rPr>
            </w:pPr>
            <w:r w:rsidRPr="002154E6">
              <w:rPr>
                <w:sz w:val="20"/>
                <w:szCs w:val="20"/>
              </w:rPr>
              <w:t>(0.001)</w:t>
            </w:r>
          </w:p>
        </w:tc>
      </w:tr>
      <w:tr w:rsidR="00677577" w:rsidRPr="00167CB8" w14:paraId="3BF1182E" w14:textId="77777777">
        <w:trPr>
          <w:trHeight w:val="211"/>
        </w:trPr>
        <w:tc>
          <w:tcPr>
            <w:tcW w:w="5812" w:type="dxa"/>
            <w:tcBorders>
              <w:top w:val="nil"/>
              <w:left w:val="single" w:sz="4" w:space="0" w:color="auto"/>
              <w:bottom w:val="nil"/>
              <w:right w:val="nil"/>
            </w:tcBorders>
            <w:noWrap/>
            <w:vAlign w:val="bottom"/>
            <w:hideMark/>
          </w:tcPr>
          <w:p w14:paraId="28C4B9EB" w14:textId="77777777" w:rsidR="00677577" w:rsidRPr="002154E6" w:rsidRDefault="00677577">
            <w:pPr>
              <w:spacing w:after="0" w:line="240" w:lineRule="auto"/>
              <w:rPr>
                <w:sz w:val="20"/>
                <w:szCs w:val="20"/>
              </w:rPr>
            </w:pPr>
            <w:r w:rsidRPr="002154E6">
              <w:rPr>
                <w:sz w:val="20"/>
                <w:szCs w:val="20"/>
              </w:rPr>
              <w:t>Queensland</w:t>
            </w:r>
          </w:p>
        </w:tc>
        <w:tc>
          <w:tcPr>
            <w:tcW w:w="1418" w:type="dxa"/>
            <w:tcBorders>
              <w:top w:val="nil"/>
              <w:left w:val="nil"/>
              <w:bottom w:val="nil"/>
              <w:right w:val="nil"/>
            </w:tcBorders>
            <w:noWrap/>
            <w:vAlign w:val="bottom"/>
            <w:hideMark/>
          </w:tcPr>
          <w:p w14:paraId="1E1D2611" w14:textId="77777777" w:rsidR="00677577" w:rsidRPr="002154E6" w:rsidRDefault="00677577" w:rsidP="006F1B94">
            <w:pPr>
              <w:spacing w:after="0" w:line="240" w:lineRule="auto"/>
              <w:jc w:val="right"/>
              <w:rPr>
                <w:sz w:val="20"/>
                <w:szCs w:val="20"/>
              </w:rPr>
            </w:pPr>
            <w:r w:rsidRPr="002154E6">
              <w:rPr>
                <w:sz w:val="20"/>
                <w:szCs w:val="20"/>
              </w:rPr>
              <w:t>-0.001</w:t>
            </w:r>
          </w:p>
        </w:tc>
        <w:tc>
          <w:tcPr>
            <w:tcW w:w="1842" w:type="dxa"/>
            <w:tcBorders>
              <w:top w:val="nil"/>
              <w:left w:val="nil"/>
              <w:bottom w:val="nil"/>
              <w:right w:val="single" w:sz="4" w:space="0" w:color="auto"/>
            </w:tcBorders>
            <w:noWrap/>
            <w:vAlign w:val="bottom"/>
            <w:hideMark/>
          </w:tcPr>
          <w:p w14:paraId="5F4A2EC5" w14:textId="77777777" w:rsidR="00677577" w:rsidRPr="002154E6" w:rsidRDefault="00677577" w:rsidP="006F1B94">
            <w:pPr>
              <w:spacing w:after="0" w:line="240" w:lineRule="auto"/>
              <w:jc w:val="right"/>
              <w:rPr>
                <w:sz w:val="20"/>
                <w:szCs w:val="20"/>
              </w:rPr>
            </w:pPr>
            <w:r w:rsidRPr="002154E6">
              <w:rPr>
                <w:sz w:val="20"/>
                <w:szCs w:val="20"/>
              </w:rPr>
              <w:t>0.004**</w:t>
            </w:r>
          </w:p>
        </w:tc>
      </w:tr>
      <w:tr w:rsidR="00677577" w:rsidRPr="00167CB8" w14:paraId="2602C142" w14:textId="77777777">
        <w:trPr>
          <w:trHeight w:val="211"/>
        </w:trPr>
        <w:tc>
          <w:tcPr>
            <w:tcW w:w="5812" w:type="dxa"/>
            <w:tcBorders>
              <w:top w:val="nil"/>
              <w:left w:val="single" w:sz="4" w:space="0" w:color="auto"/>
              <w:bottom w:val="nil"/>
              <w:right w:val="nil"/>
            </w:tcBorders>
            <w:noWrap/>
            <w:vAlign w:val="bottom"/>
            <w:hideMark/>
          </w:tcPr>
          <w:p w14:paraId="2B3963AB" w14:textId="77777777" w:rsidR="00677577" w:rsidRPr="002154E6" w:rsidRDefault="00677577">
            <w:pPr>
              <w:spacing w:after="0" w:line="240" w:lineRule="auto"/>
              <w:rPr>
                <w:sz w:val="20"/>
                <w:szCs w:val="20"/>
              </w:rPr>
            </w:pPr>
          </w:p>
        </w:tc>
        <w:tc>
          <w:tcPr>
            <w:tcW w:w="1418" w:type="dxa"/>
            <w:tcBorders>
              <w:top w:val="nil"/>
              <w:left w:val="nil"/>
              <w:bottom w:val="nil"/>
              <w:right w:val="nil"/>
            </w:tcBorders>
            <w:noWrap/>
            <w:vAlign w:val="bottom"/>
            <w:hideMark/>
          </w:tcPr>
          <w:p w14:paraId="53B1717C" w14:textId="77777777" w:rsidR="00677577" w:rsidRPr="002154E6" w:rsidRDefault="00677577" w:rsidP="006F1B94">
            <w:pPr>
              <w:spacing w:after="0" w:line="240" w:lineRule="auto"/>
              <w:jc w:val="right"/>
              <w:rPr>
                <w:sz w:val="20"/>
                <w:szCs w:val="20"/>
              </w:rPr>
            </w:pPr>
            <w:r w:rsidRPr="002154E6">
              <w:rPr>
                <w:sz w:val="20"/>
                <w:szCs w:val="20"/>
              </w:rPr>
              <w:t>(0.001)</w:t>
            </w:r>
          </w:p>
        </w:tc>
        <w:tc>
          <w:tcPr>
            <w:tcW w:w="1842" w:type="dxa"/>
            <w:tcBorders>
              <w:top w:val="nil"/>
              <w:left w:val="nil"/>
              <w:bottom w:val="nil"/>
              <w:right w:val="single" w:sz="4" w:space="0" w:color="auto"/>
            </w:tcBorders>
            <w:noWrap/>
            <w:vAlign w:val="bottom"/>
            <w:hideMark/>
          </w:tcPr>
          <w:p w14:paraId="595B7E22" w14:textId="77777777" w:rsidR="00677577" w:rsidRPr="002154E6" w:rsidRDefault="00677577" w:rsidP="006F1B94">
            <w:pPr>
              <w:spacing w:after="0" w:line="240" w:lineRule="auto"/>
              <w:jc w:val="right"/>
              <w:rPr>
                <w:sz w:val="20"/>
                <w:szCs w:val="20"/>
              </w:rPr>
            </w:pPr>
            <w:r w:rsidRPr="002154E6">
              <w:rPr>
                <w:sz w:val="20"/>
                <w:szCs w:val="20"/>
              </w:rPr>
              <w:t>(0.001)</w:t>
            </w:r>
          </w:p>
        </w:tc>
      </w:tr>
      <w:tr w:rsidR="00677577" w:rsidRPr="00167CB8" w14:paraId="194E315A" w14:textId="77777777">
        <w:trPr>
          <w:trHeight w:val="211"/>
        </w:trPr>
        <w:tc>
          <w:tcPr>
            <w:tcW w:w="5812" w:type="dxa"/>
            <w:tcBorders>
              <w:top w:val="nil"/>
              <w:left w:val="single" w:sz="4" w:space="0" w:color="auto"/>
              <w:bottom w:val="nil"/>
              <w:right w:val="nil"/>
            </w:tcBorders>
            <w:noWrap/>
            <w:vAlign w:val="bottom"/>
            <w:hideMark/>
          </w:tcPr>
          <w:p w14:paraId="52BCD1D3" w14:textId="77777777" w:rsidR="00677577" w:rsidRPr="002154E6" w:rsidRDefault="00677577">
            <w:pPr>
              <w:spacing w:after="0" w:line="240" w:lineRule="auto"/>
              <w:rPr>
                <w:sz w:val="20"/>
                <w:szCs w:val="20"/>
              </w:rPr>
            </w:pPr>
            <w:r w:rsidRPr="002154E6">
              <w:rPr>
                <w:sz w:val="20"/>
                <w:szCs w:val="20"/>
              </w:rPr>
              <w:t>South Australia</w:t>
            </w:r>
          </w:p>
        </w:tc>
        <w:tc>
          <w:tcPr>
            <w:tcW w:w="1418" w:type="dxa"/>
            <w:tcBorders>
              <w:top w:val="nil"/>
              <w:left w:val="nil"/>
              <w:bottom w:val="nil"/>
              <w:right w:val="nil"/>
            </w:tcBorders>
            <w:noWrap/>
            <w:vAlign w:val="bottom"/>
            <w:hideMark/>
          </w:tcPr>
          <w:p w14:paraId="30CA651E" w14:textId="77777777" w:rsidR="00677577" w:rsidRPr="002154E6" w:rsidRDefault="00677577" w:rsidP="006F1B94">
            <w:pPr>
              <w:spacing w:after="0" w:line="240" w:lineRule="auto"/>
              <w:jc w:val="right"/>
              <w:rPr>
                <w:sz w:val="20"/>
                <w:szCs w:val="20"/>
              </w:rPr>
            </w:pPr>
            <w:r w:rsidRPr="002154E6">
              <w:rPr>
                <w:sz w:val="20"/>
                <w:szCs w:val="20"/>
              </w:rPr>
              <w:t>0.017***</w:t>
            </w:r>
          </w:p>
        </w:tc>
        <w:tc>
          <w:tcPr>
            <w:tcW w:w="1842" w:type="dxa"/>
            <w:tcBorders>
              <w:top w:val="nil"/>
              <w:left w:val="nil"/>
              <w:bottom w:val="nil"/>
              <w:right w:val="single" w:sz="4" w:space="0" w:color="auto"/>
            </w:tcBorders>
            <w:noWrap/>
            <w:vAlign w:val="bottom"/>
            <w:hideMark/>
          </w:tcPr>
          <w:p w14:paraId="5F960517" w14:textId="77777777" w:rsidR="00677577" w:rsidRPr="002154E6" w:rsidRDefault="00677577" w:rsidP="006F1B94">
            <w:pPr>
              <w:spacing w:after="0" w:line="240" w:lineRule="auto"/>
              <w:jc w:val="right"/>
              <w:rPr>
                <w:sz w:val="20"/>
                <w:szCs w:val="20"/>
              </w:rPr>
            </w:pPr>
            <w:r w:rsidRPr="002154E6">
              <w:rPr>
                <w:sz w:val="20"/>
                <w:szCs w:val="20"/>
              </w:rPr>
              <w:t>0.006***</w:t>
            </w:r>
          </w:p>
        </w:tc>
      </w:tr>
      <w:tr w:rsidR="00677577" w:rsidRPr="00167CB8" w14:paraId="1D1B90C8" w14:textId="77777777">
        <w:trPr>
          <w:trHeight w:val="211"/>
        </w:trPr>
        <w:tc>
          <w:tcPr>
            <w:tcW w:w="5812" w:type="dxa"/>
            <w:tcBorders>
              <w:top w:val="nil"/>
              <w:left w:val="single" w:sz="4" w:space="0" w:color="auto"/>
              <w:bottom w:val="nil"/>
              <w:right w:val="nil"/>
            </w:tcBorders>
            <w:noWrap/>
            <w:vAlign w:val="bottom"/>
            <w:hideMark/>
          </w:tcPr>
          <w:p w14:paraId="67C8160C" w14:textId="77777777" w:rsidR="00677577" w:rsidRPr="002154E6" w:rsidRDefault="00677577">
            <w:pPr>
              <w:spacing w:after="0" w:line="240" w:lineRule="auto"/>
              <w:rPr>
                <w:sz w:val="20"/>
                <w:szCs w:val="20"/>
              </w:rPr>
            </w:pPr>
          </w:p>
        </w:tc>
        <w:tc>
          <w:tcPr>
            <w:tcW w:w="1418" w:type="dxa"/>
            <w:tcBorders>
              <w:top w:val="nil"/>
              <w:left w:val="nil"/>
              <w:bottom w:val="nil"/>
              <w:right w:val="nil"/>
            </w:tcBorders>
            <w:noWrap/>
            <w:vAlign w:val="bottom"/>
            <w:hideMark/>
          </w:tcPr>
          <w:p w14:paraId="0202A7B9" w14:textId="77777777" w:rsidR="00677577" w:rsidRPr="002154E6" w:rsidRDefault="00677577" w:rsidP="006F1B94">
            <w:pPr>
              <w:spacing w:after="0" w:line="240" w:lineRule="auto"/>
              <w:jc w:val="right"/>
              <w:rPr>
                <w:sz w:val="20"/>
                <w:szCs w:val="20"/>
              </w:rPr>
            </w:pPr>
            <w:r w:rsidRPr="002154E6">
              <w:rPr>
                <w:sz w:val="20"/>
                <w:szCs w:val="20"/>
              </w:rPr>
              <w:t>(0.002)</w:t>
            </w:r>
          </w:p>
        </w:tc>
        <w:tc>
          <w:tcPr>
            <w:tcW w:w="1842" w:type="dxa"/>
            <w:tcBorders>
              <w:top w:val="nil"/>
              <w:left w:val="nil"/>
              <w:bottom w:val="nil"/>
              <w:right w:val="single" w:sz="4" w:space="0" w:color="auto"/>
            </w:tcBorders>
            <w:noWrap/>
            <w:vAlign w:val="bottom"/>
            <w:hideMark/>
          </w:tcPr>
          <w:p w14:paraId="3AE9241F" w14:textId="77777777" w:rsidR="00677577" w:rsidRPr="002154E6" w:rsidRDefault="00677577" w:rsidP="006F1B94">
            <w:pPr>
              <w:spacing w:after="0" w:line="240" w:lineRule="auto"/>
              <w:jc w:val="right"/>
              <w:rPr>
                <w:sz w:val="20"/>
                <w:szCs w:val="20"/>
              </w:rPr>
            </w:pPr>
            <w:r w:rsidRPr="002154E6">
              <w:rPr>
                <w:sz w:val="20"/>
                <w:szCs w:val="20"/>
              </w:rPr>
              <w:t>(0.002)</w:t>
            </w:r>
          </w:p>
        </w:tc>
      </w:tr>
      <w:tr w:rsidR="00677577" w:rsidRPr="00167CB8" w14:paraId="0350F6BD" w14:textId="77777777">
        <w:trPr>
          <w:trHeight w:val="211"/>
        </w:trPr>
        <w:tc>
          <w:tcPr>
            <w:tcW w:w="5812" w:type="dxa"/>
            <w:tcBorders>
              <w:top w:val="nil"/>
              <w:left w:val="single" w:sz="4" w:space="0" w:color="auto"/>
              <w:bottom w:val="nil"/>
              <w:right w:val="nil"/>
            </w:tcBorders>
            <w:noWrap/>
            <w:vAlign w:val="bottom"/>
            <w:hideMark/>
          </w:tcPr>
          <w:p w14:paraId="458E1921" w14:textId="77777777" w:rsidR="00677577" w:rsidRPr="002154E6" w:rsidRDefault="00677577">
            <w:pPr>
              <w:spacing w:after="0" w:line="240" w:lineRule="auto"/>
              <w:rPr>
                <w:sz w:val="20"/>
                <w:szCs w:val="20"/>
              </w:rPr>
            </w:pPr>
            <w:r w:rsidRPr="002154E6">
              <w:rPr>
                <w:sz w:val="20"/>
                <w:szCs w:val="20"/>
              </w:rPr>
              <w:t>Western Australia</w:t>
            </w:r>
          </w:p>
        </w:tc>
        <w:tc>
          <w:tcPr>
            <w:tcW w:w="1418" w:type="dxa"/>
            <w:tcBorders>
              <w:top w:val="nil"/>
              <w:left w:val="nil"/>
              <w:bottom w:val="nil"/>
              <w:right w:val="nil"/>
            </w:tcBorders>
            <w:noWrap/>
            <w:vAlign w:val="bottom"/>
            <w:hideMark/>
          </w:tcPr>
          <w:p w14:paraId="7766E3F9" w14:textId="77777777" w:rsidR="00677577" w:rsidRPr="002154E6" w:rsidRDefault="00677577" w:rsidP="006F1B94">
            <w:pPr>
              <w:spacing w:after="0" w:line="240" w:lineRule="auto"/>
              <w:jc w:val="right"/>
              <w:rPr>
                <w:sz w:val="20"/>
                <w:szCs w:val="20"/>
              </w:rPr>
            </w:pPr>
            <w:r w:rsidRPr="002154E6">
              <w:rPr>
                <w:sz w:val="20"/>
                <w:szCs w:val="20"/>
              </w:rPr>
              <w:t>0.005***</w:t>
            </w:r>
          </w:p>
        </w:tc>
        <w:tc>
          <w:tcPr>
            <w:tcW w:w="1842" w:type="dxa"/>
            <w:tcBorders>
              <w:top w:val="nil"/>
              <w:left w:val="nil"/>
              <w:bottom w:val="nil"/>
              <w:right w:val="single" w:sz="4" w:space="0" w:color="auto"/>
            </w:tcBorders>
            <w:noWrap/>
            <w:vAlign w:val="bottom"/>
            <w:hideMark/>
          </w:tcPr>
          <w:p w14:paraId="4144B142" w14:textId="77777777" w:rsidR="00677577" w:rsidRPr="002154E6" w:rsidRDefault="00677577" w:rsidP="006F1B94">
            <w:pPr>
              <w:spacing w:after="0" w:line="240" w:lineRule="auto"/>
              <w:jc w:val="right"/>
              <w:rPr>
                <w:sz w:val="20"/>
                <w:szCs w:val="20"/>
              </w:rPr>
            </w:pPr>
            <w:r w:rsidRPr="002154E6">
              <w:rPr>
                <w:sz w:val="20"/>
                <w:szCs w:val="20"/>
              </w:rPr>
              <w:t>0.010***</w:t>
            </w:r>
          </w:p>
        </w:tc>
      </w:tr>
      <w:tr w:rsidR="00677577" w:rsidRPr="00167CB8" w14:paraId="5E893BCE" w14:textId="77777777">
        <w:trPr>
          <w:trHeight w:val="211"/>
        </w:trPr>
        <w:tc>
          <w:tcPr>
            <w:tcW w:w="5812" w:type="dxa"/>
            <w:tcBorders>
              <w:top w:val="nil"/>
              <w:left w:val="single" w:sz="4" w:space="0" w:color="auto"/>
              <w:bottom w:val="nil"/>
              <w:right w:val="nil"/>
            </w:tcBorders>
            <w:noWrap/>
            <w:vAlign w:val="bottom"/>
            <w:hideMark/>
          </w:tcPr>
          <w:p w14:paraId="54166842" w14:textId="77777777" w:rsidR="00677577" w:rsidRPr="002154E6" w:rsidRDefault="00677577">
            <w:pPr>
              <w:spacing w:after="0" w:line="240" w:lineRule="auto"/>
              <w:rPr>
                <w:sz w:val="20"/>
                <w:szCs w:val="20"/>
              </w:rPr>
            </w:pPr>
          </w:p>
        </w:tc>
        <w:tc>
          <w:tcPr>
            <w:tcW w:w="1418" w:type="dxa"/>
            <w:tcBorders>
              <w:top w:val="nil"/>
              <w:left w:val="nil"/>
              <w:bottom w:val="nil"/>
              <w:right w:val="nil"/>
            </w:tcBorders>
            <w:noWrap/>
            <w:vAlign w:val="bottom"/>
            <w:hideMark/>
          </w:tcPr>
          <w:p w14:paraId="7AAA7D46" w14:textId="77777777" w:rsidR="00677577" w:rsidRPr="002154E6" w:rsidRDefault="00677577" w:rsidP="006F1B94">
            <w:pPr>
              <w:spacing w:after="0" w:line="240" w:lineRule="auto"/>
              <w:jc w:val="right"/>
              <w:rPr>
                <w:sz w:val="20"/>
                <w:szCs w:val="20"/>
              </w:rPr>
            </w:pPr>
            <w:r w:rsidRPr="002154E6">
              <w:rPr>
                <w:sz w:val="20"/>
                <w:szCs w:val="20"/>
              </w:rPr>
              <w:t>(0.002)</w:t>
            </w:r>
          </w:p>
        </w:tc>
        <w:tc>
          <w:tcPr>
            <w:tcW w:w="1842" w:type="dxa"/>
            <w:tcBorders>
              <w:top w:val="nil"/>
              <w:left w:val="nil"/>
              <w:bottom w:val="nil"/>
              <w:right w:val="single" w:sz="4" w:space="0" w:color="auto"/>
            </w:tcBorders>
            <w:noWrap/>
            <w:vAlign w:val="bottom"/>
            <w:hideMark/>
          </w:tcPr>
          <w:p w14:paraId="7994DA57" w14:textId="77777777" w:rsidR="00677577" w:rsidRPr="002154E6" w:rsidRDefault="00677577" w:rsidP="006F1B94">
            <w:pPr>
              <w:spacing w:after="0" w:line="240" w:lineRule="auto"/>
              <w:jc w:val="right"/>
              <w:rPr>
                <w:sz w:val="20"/>
                <w:szCs w:val="20"/>
              </w:rPr>
            </w:pPr>
            <w:r w:rsidRPr="002154E6">
              <w:rPr>
                <w:sz w:val="20"/>
                <w:szCs w:val="20"/>
              </w:rPr>
              <w:t>(0.002)</w:t>
            </w:r>
          </w:p>
        </w:tc>
      </w:tr>
      <w:tr w:rsidR="00677577" w:rsidRPr="00167CB8" w14:paraId="521ABBE5" w14:textId="77777777">
        <w:trPr>
          <w:trHeight w:val="211"/>
        </w:trPr>
        <w:tc>
          <w:tcPr>
            <w:tcW w:w="5812" w:type="dxa"/>
            <w:tcBorders>
              <w:top w:val="nil"/>
              <w:left w:val="single" w:sz="4" w:space="0" w:color="auto"/>
              <w:bottom w:val="nil"/>
              <w:right w:val="nil"/>
            </w:tcBorders>
            <w:noWrap/>
            <w:vAlign w:val="bottom"/>
            <w:hideMark/>
          </w:tcPr>
          <w:p w14:paraId="51C845F2" w14:textId="77777777" w:rsidR="00677577" w:rsidRPr="002154E6" w:rsidRDefault="00677577">
            <w:pPr>
              <w:spacing w:after="0" w:line="240" w:lineRule="auto"/>
              <w:rPr>
                <w:sz w:val="20"/>
                <w:szCs w:val="20"/>
              </w:rPr>
            </w:pPr>
            <w:r w:rsidRPr="002154E6">
              <w:rPr>
                <w:sz w:val="20"/>
                <w:szCs w:val="20"/>
              </w:rPr>
              <w:t>Tasmania</w:t>
            </w:r>
          </w:p>
        </w:tc>
        <w:tc>
          <w:tcPr>
            <w:tcW w:w="1418" w:type="dxa"/>
            <w:tcBorders>
              <w:top w:val="nil"/>
              <w:left w:val="nil"/>
              <w:bottom w:val="nil"/>
              <w:right w:val="nil"/>
            </w:tcBorders>
            <w:noWrap/>
            <w:vAlign w:val="bottom"/>
            <w:hideMark/>
          </w:tcPr>
          <w:p w14:paraId="0B303547" w14:textId="77777777" w:rsidR="00677577" w:rsidRPr="002154E6" w:rsidRDefault="00677577" w:rsidP="006F1B94">
            <w:pPr>
              <w:spacing w:after="0" w:line="240" w:lineRule="auto"/>
              <w:jc w:val="right"/>
              <w:rPr>
                <w:sz w:val="20"/>
                <w:szCs w:val="20"/>
              </w:rPr>
            </w:pPr>
            <w:r w:rsidRPr="002154E6">
              <w:rPr>
                <w:sz w:val="20"/>
                <w:szCs w:val="20"/>
              </w:rPr>
              <w:t>0.002</w:t>
            </w:r>
          </w:p>
        </w:tc>
        <w:tc>
          <w:tcPr>
            <w:tcW w:w="1842" w:type="dxa"/>
            <w:tcBorders>
              <w:top w:val="nil"/>
              <w:left w:val="nil"/>
              <w:bottom w:val="nil"/>
              <w:right w:val="single" w:sz="4" w:space="0" w:color="auto"/>
            </w:tcBorders>
            <w:noWrap/>
            <w:vAlign w:val="bottom"/>
            <w:hideMark/>
          </w:tcPr>
          <w:p w14:paraId="53788888" w14:textId="77777777" w:rsidR="00677577" w:rsidRPr="002154E6" w:rsidRDefault="00677577" w:rsidP="006F1B94">
            <w:pPr>
              <w:spacing w:after="0" w:line="240" w:lineRule="auto"/>
              <w:jc w:val="right"/>
              <w:rPr>
                <w:sz w:val="20"/>
                <w:szCs w:val="20"/>
              </w:rPr>
            </w:pPr>
            <w:r w:rsidRPr="002154E6">
              <w:rPr>
                <w:sz w:val="20"/>
                <w:szCs w:val="20"/>
              </w:rPr>
              <w:t>0.002</w:t>
            </w:r>
          </w:p>
        </w:tc>
      </w:tr>
      <w:tr w:rsidR="00677577" w:rsidRPr="00167CB8" w14:paraId="53D6B688" w14:textId="77777777">
        <w:trPr>
          <w:trHeight w:val="211"/>
        </w:trPr>
        <w:tc>
          <w:tcPr>
            <w:tcW w:w="5812" w:type="dxa"/>
            <w:tcBorders>
              <w:top w:val="nil"/>
              <w:left w:val="single" w:sz="4" w:space="0" w:color="auto"/>
              <w:bottom w:val="nil"/>
              <w:right w:val="nil"/>
            </w:tcBorders>
            <w:noWrap/>
            <w:vAlign w:val="bottom"/>
            <w:hideMark/>
          </w:tcPr>
          <w:p w14:paraId="66A72F02" w14:textId="77777777" w:rsidR="00677577" w:rsidRPr="002154E6" w:rsidRDefault="00677577">
            <w:pPr>
              <w:spacing w:after="0" w:line="240" w:lineRule="auto"/>
              <w:rPr>
                <w:sz w:val="20"/>
                <w:szCs w:val="20"/>
              </w:rPr>
            </w:pPr>
          </w:p>
        </w:tc>
        <w:tc>
          <w:tcPr>
            <w:tcW w:w="1418" w:type="dxa"/>
            <w:tcBorders>
              <w:top w:val="nil"/>
              <w:left w:val="nil"/>
              <w:bottom w:val="nil"/>
              <w:right w:val="nil"/>
            </w:tcBorders>
            <w:noWrap/>
            <w:vAlign w:val="bottom"/>
            <w:hideMark/>
          </w:tcPr>
          <w:p w14:paraId="36C3525E" w14:textId="77777777" w:rsidR="00677577" w:rsidRPr="002154E6" w:rsidRDefault="00677577" w:rsidP="006F1B94">
            <w:pPr>
              <w:spacing w:after="0" w:line="240" w:lineRule="auto"/>
              <w:jc w:val="right"/>
              <w:rPr>
                <w:sz w:val="20"/>
                <w:szCs w:val="20"/>
              </w:rPr>
            </w:pPr>
            <w:r w:rsidRPr="002154E6">
              <w:rPr>
                <w:sz w:val="20"/>
                <w:szCs w:val="20"/>
              </w:rPr>
              <w:t>(0.003)</w:t>
            </w:r>
          </w:p>
        </w:tc>
        <w:tc>
          <w:tcPr>
            <w:tcW w:w="1842" w:type="dxa"/>
            <w:tcBorders>
              <w:top w:val="nil"/>
              <w:left w:val="nil"/>
              <w:bottom w:val="nil"/>
              <w:right w:val="single" w:sz="4" w:space="0" w:color="auto"/>
            </w:tcBorders>
            <w:noWrap/>
            <w:vAlign w:val="bottom"/>
            <w:hideMark/>
          </w:tcPr>
          <w:p w14:paraId="7E3BB68A" w14:textId="77777777" w:rsidR="00677577" w:rsidRPr="002154E6" w:rsidRDefault="00677577" w:rsidP="006F1B94">
            <w:pPr>
              <w:spacing w:after="0" w:line="240" w:lineRule="auto"/>
              <w:jc w:val="right"/>
              <w:rPr>
                <w:sz w:val="20"/>
                <w:szCs w:val="20"/>
              </w:rPr>
            </w:pPr>
            <w:r w:rsidRPr="002154E6">
              <w:rPr>
                <w:sz w:val="20"/>
                <w:szCs w:val="20"/>
              </w:rPr>
              <w:t>(0.003)</w:t>
            </w:r>
          </w:p>
        </w:tc>
      </w:tr>
      <w:tr w:rsidR="00677577" w:rsidRPr="00167CB8" w14:paraId="3BD8AA46" w14:textId="77777777">
        <w:trPr>
          <w:trHeight w:val="211"/>
        </w:trPr>
        <w:tc>
          <w:tcPr>
            <w:tcW w:w="5812" w:type="dxa"/>
            <w:tcBorders>
              <w:top w:val="nil"/>
              <w:left w:val="single" w:sz="4" w:space="0" w:color="auto"/>
              <w:bottom w:val="nil"/>
              <w:right w:val="nil"/>
            </w:tcBorders>
            <w:noWrap/>
            <w:vAlign w:val="bottom"/>
            <w:hideMark/>
          </w:tcPr>
          <w:p w14:paraId="6F25568C" w14:textId="6523B299" w:rsidR="00677577" w:rsidRPr="002154E6" w:rsidRDefault="00677577">
            <w:pPr>
              <w:spacing w:after="0" w:line="240" w:lineRule="auto"/>
              <w:rPr>
                <w:sz w:val="20"/>
                <w:szCs w:val="20"/>
              </w:rPr>
            </w:pPr>
            <w:r w:rsidRPr="002154E6">
              <w:rPr>
                <w:sz w:val="20"/>
                <w:szCs w:val="20"/>
              </w:rPr>
              <w:t>N</w:t>
            </w:r>
            <w:r w:rsidR="007F380D">
              <w:rPr>
                <w:sz w:val="20"/>
                <w:szCs w:val="20"/>
              </w:rPr>
              <w:t>orthern Territory</w:t>
            </w:r>
            <w:r w:rsidRPr="002154E6">
              <w:rPr>
                <w:sz w:val="20"/>
                <w:szCs w:val="20"/>
              </w:rPr>
              <w:t xml:space="preserve"> and A</w:t>
            </w:r>
            <w:r w:rsidR="007F380D">
              <w:rPr>
                <w:sz w:val="20"/>
                <w:szCs w:val="20"/>
              </w:rPr>
              <w:t xml:space="preserve">ustralian </w:t>
            </w:r>
            <w:r w:rsidRPr="002154E6">
              <w:rPr>
                <w:sz w:val="20"/>
                <w:szCs w:val="20"/>
              </w:rPr>
              <w:t>C</w:t>
            </w:r>
            <w:r w:rsidR="007F380D">
              <w:rPr>
                <w:sz w:val="20"/>
                <w:szCs w:val="20"/>
              </w:rPr>
              <w:t xml:space="preserve">apital </w:t>
            </w:r>
            <w:r w:rsidRPr="002154E6">
              <w:rPr>
                <w:sz w:val="20"/>
                <w:szCs w:val="20"/>
              </w:rPr>
              <w:t>T</w:t>
            </w:r>
            <w:r w:rsidR="007F380D">
              <w:rPr>
                <w:sz w:val="20"/>
                <w:szCs w:val="20"/>
              </w:rPr>
              <w:t>erritory</w:t>
            </w:r>
          </w:p>
        </w:tc>
        <w:tc>
          <w:tcPr>
            <w:tcW w:w="1418" w:type="dxa"/>
            <w:tcBorders>
              <w:top w:val="nil"/>
              <w:left w:val="nil"/>
              <w:bottom w:val="nil"/>
              <w:right w:val="nil"/>
            </w:tcBorders>
            <w:noWrap/>
            <w:vAlign w:val="bottom"/>
            <w:hideMark/>
          </w:tcPr>
          <w:p w14:paraId="06761C38" w14:textId="77777777" w:rsidR="00677577" w:rsidRPr="002154E6" w:rsidRDefault="00677577" w:rsidP="006F1B94">
            <w:pPr>
              <w:spacing w:after="0" w:line="240" w:lineRule="auto"/>
              <w:jc w:val="right"/>
              <w:rPr>
                <w:sz w:val="20"/>
                <w:szCs w:val="20"/>
              </w:rPr>
            </w:pPr>
            <w:r w:rsidRPr="002154E6">
              <w:rPr>
                <w:sz w:val="20"/>
                <w:szCs w:val="20"/>
              </w:rPr>
              <w:t>0.012***</w:t>
            </w:r>
          </w:p>
        </w:tc>
        <w:tc>
          <w:tcPr>
            <w:tcW w:w="1842" w:type="dxa"/>
            <w:tcBorders>
              <w:top w:val="nil"/>
              <w:left w:val="nil"/>
              <w:bottom w:val="nil"/>
              <w:right w:val="single" w:sz="4" w:space="0" w:color="auto"/>
            </w:tcBorders>
            <w:noWrap/>
            <w:vAlign w:val="bottom"/>
            <w:hideMark/>
          </w:tcPr>
          <w:p w14:paraId="7C253E6C" w14:textId="77777777" w:rsidR="00677577" w:rsidRPr="002154E6" w:rsidRDefault="00677577" w:rsidP="006F1B94">
            <w:pPr>
              <w:spacing w:after="0" w:line="240" w:lineRule="auto"/>
              <w:jc w:val="right"/>
              <w:rPr>
                <w:sz w:val="20"/>
                <w:szCs w:val="20"/>
              </w:rPr>
            </w:pPr>
            <w:r w:rsidRPr="002154E6">
              <w:rPr>
                <w:sz w:val="20"/>
                <w:szCs w:val="20"/>
              </w:rPr>
              <w:t>0.003</w:t>
            </w:r>
          </w:p>
        </w:tc>
      </w:tr>
      <w:tr w:rsidR="00677577" w:rsidRPr="00167CB8" w14:paraId="3E3BDC90" w14:textId="77777777">
        <w:trPr>
          <w:trHeight w:val="211"/>
        </w:trPr>
        <w:tc>
          <w:tcPr>
            <w:tcW w:w="5812" w:type="dxa"/>
            <w:tcBorders>
              <w:top w:val="nil"/>
              <w:left w:val="single" w:sz="4" w:space="0" w:color="auto"/>
              <w:bottom w:val="nil"/>
              <w:right w:val="nil"/>
            </w:tcBorders>
            <w:noWrap/>
            <w:vAlign w:val="bottom"/>
            <w:hideMark/>
          </w:tcPr>
          <w:p w14:paraId="02090EC8" w14:textId="77777777" w:rsidR="00677577" w:rsidRPr="002154E6" w:rsidRDefault="00677577">
            <w:pPr>
              <w:spacing w:after="0" w:line="240" w:lineRule="auto"/>
              <w:rPr>
                <w:sz w:val="20"/>
                <w:szCs w:val="20"/>
              </w:rPr>
            </w:pPr>
          </w:p>
        </w:tc>
        <w:tc>
          <w:tcPr>
            <w:tcW w:w="1418" w:type="dxa"/>
            <w:tcBorders>
              <w:top w:val="nil"/>
              <w:left w:val="nil"/>
              <w:bottom w:val="nil"/>
              <w:right w:val="nil"/>
            </w:tcBorders>
            <w:noWrap/>
            <w:vAlign w:val="bottom"/>
            <w:hideMark/>
          </w:tcPr>
          <w:p w14:paraId="3088CFD8" w14:textId="77777777" w:rsidR="00677577" w:rsidRPr="002154E6" w:rsidRDefault="00677577" w:rsidP="006F1B94">
            <w:pPr>
              <w:spacing w:after="0" w:line="240" w:lineRule="auto"/>
              <w:jc w:val="right"/>
              <w:rPr>
                <w:sz w:val="20"/>
                <w:szCs w:val="20"/>
              </w:rPr>
            </w:pPr>
            <w:r w:rsidRPr="002154E6">
              <w:rPr>
                <w:sz w:val="20"/>
                <w:szCs w:val="20"/>
              </w:rPr>
              <w:t>(0.002)</w:t>
            </w:r>
          </w:p>
        </w:tc>
        <w:tc>
          <w:tcPr>
            <w:tcW w:w="1842" w:type="dxa"/>
            <w:tcBorders>
              <w:top w:val="nil"/>
              <w:left w:val="nil"/>
              <w:bottom w:val="nil"/>
              <w:right w:val="single" w:sz="4" w:space="0" w:color="auto"/>
            </w:tcBorders>
            <w:noWrap/>
            <w:vAlign w:val="bottom"/>
            <w:hideMark/>
          </w:tcPr>
          <w:p w14:paraId="0B9A6C5D" w14:textId="77777777" w:rsidR="00677577" w:rsidRPr="002154E6" w:rsidRDefault="00677577" w:rsidP="006F1B94">
            <w:pPr>
              <w:spacing w:after="0" w:line="240" w:lineRule="auto"/>
              <w:jc w:val="right"/>
              <w:rPr>
                <w:sz w:val="20"/>
                <w:szCs w:val="20"/>
              </w:rPr>
            </w:pPr>
            <w:r w:rsidRPr="002154E6">
              <w:rPr>
                <w:sz w:val="20"/>
                <w:szCs w:val="20"/>
              </w:rPr>
              <w:t>(0.003)</w:t>
            </w:r>
          </w:p>
        </w:tc>
      </w:tr>
      <w:tr w:rsidR="00677577" w:rsidRPr="00167CB8" w14:paraId="694B401C" w14:textId="77777777">
        <w:trPr>
          <w:trHeight w:val="211"/>
        </w:trPr>
        <w:tc>
          <w:tcPr>
            <w:tcW w:w="5812" w:type="dxa"/>
            <w:tcBorders>
              <w:top w:val="single" w:sz="4" w:space="0" w:color="auto"/>
              <w:left w:val="single" w:sz="4" w:space="0" w:color="auto"/>
              <w:bottom w:val="single" w:sz="4" w:space="0" w:color="auto"/>
              <w:right w:val="nil"/>
            </w:tcBorders>
            <w:noWrap/>
            <w:vAlign w:val="bottom"/>
            <w:hideMark/>
          </w:tcPr>
          <w:p w14:paraId="198963AC" w14:textId="77777777" w:rsidR="00677577" w:rsidRPr="002154E6" w:rsidRDefault="00677577">
            <w:pPr>
              <w:spacing w:after="0" w:line="240" w:lineRule="auto"/>
              <w:rPr>
                <w:sz w:val="20"/>
                <w:szCs w:val="20"/>
              </w:rPr>
            </w:pPr>
            <w:r w:rsidRPr="002154E6">
              <w:rPr>
                <w:sz w:val="20"/>
                <w:szCs w:val="20"/>
              </w:rPr>
              <w:t>Observations</w:t>
            </w:r>
          </w:p>
        </w:tc>
        <w:tc>
          <w:tcPr>
            <w:tcW w:w="1418" w:type="dxa"/>
            <w:tcBorders>
              <w:top w:val="single" w:sz="4" w:space="0" w:color="auto"/>
              <w:left w:val="nil"/>
              <w:bottom w:val="single" w:sz="4" w:space="0" w:color="auto"/>
              <w:right w:val="nil"/>
            </w:tcBorders>
            <w:noWrap/>
            <w:vAlign w:val="bottom"/>
            <w:hideMark/>
          </w:tcPr>
          <w:p w14:paraId="46C16B6A" w14:textId="77777777" w:rsidR="00677577" w:rsidRPr="002154E6" w:rsidRDefault="00677577" w:rsidP="006F1B94">
            <w:pPr>
              <w:spacing w:after="0" w:line="240" w:lineRule="auto"/>
              <w:jc w:val="right"/>
              <w:rPr>
                <w:sz w:val="20"/>
                <w:szCs w:val="20"/>
              </w:rPr>
            </w:pPr>
            <w:r w:rsidRPr="002154E6">
              <w:rPr>
                <w:sz w:val="20"/>
                <w:szCs w:val="20"/>
              </w:rPr>
              <w:t>168,701</w:t>
            </w:r>
          </w:p>
        </w:tc>
        <w:tc>
          <w:tcPr>
            <w:tcW w:w="1842" w:type="dxa"/>
            <w:tcBorders>
              <w:top w:val="single" w:sz="4" w:space="0" w:color="auto"/>
              <w:left w:val="nil"/>
              <w:bottom w:val="single" w:sz="4" w:space="0" w:color="auto"/>
              <w:right w:val="single" w:sz="4" w:space="0" w:color="auto"/>
            </w:tcBorders>
            <w:noWrap/>
            <w:vAlign w:val="bottom"/>
            <w:hideMark/>
          </w:tcPr>
          <w:p w14:paraId="0542A89D" w14:textId="77777777" w:rsidR="00677577" w:rsidRPr="002154E6" w:rsidRDefault="00677577" w:rsidP="006F1B94">
            <w:pPr>
              <w:spacing w:after="0" w:line="240" w:lineRule="auto"/>
              <w:jc w:val="right"/>
              <w:rPr>
                <w:sz w:val="20"/>
                <w:szCs w:val="20"/>
              </w:rPr>
            </w:pPr>
            <w:r w:rsidRPr="002154E6">
              <w:rPr>
                <w:sz w:val="20"/>
                <w:szCs w:val="20"/>
              </w:rPr>
              <w:t>168,701</w:t>
            </w:r>
          </w:p>
        </w:tc>
      </w:tr>
    </w:tbl>
    <w:p w14:paraId="0C45E8D2" w14:textId="77777777" w:rsidR="0011475D" w:rsidRDefault="00677577" w:rsidP="00677577">
      <w:pPr>
        <w:pStyle w:val="Source"/>
      </w:pPr>
      <w:r w:rsidRPr="00167CB8">
        <w:rPr>
          <w:b/>
          <w:bCs/>
        </w:rPr>
        <w:t>Note:</w:t>
      </w:r>
    </w:p>
    <w:p w14:paraId="77F6403A" w14:textId="799D6310" w:rsidR="00677577" w:rsidRPr="00167CB8" w:rsidRDefault="00677577" w:rsidP="00677577">
      <w:pPr>
        <w:pStyle w:val="Source"/>
      </w:pPr>
      <w:r w:rsidRPr="00167CB8">
        <w:t xml:space="preserve">1.Dependent variable in column 1 is equal to 1 if transition is from fixed-to-fixed (from year 1 to year 2). Dependent </w:t>
      </w:r>
      <w:r w:rsidRPr="00A32FB1">
        <w:t>variable in column 2 is equal to 1 if transition is from fixed-to-permanent (from year 1 to year 2).</w:t>
      </w:r>
    </w:p>
    <w:p w14:paraId="3D0AD9AC" w14:textId="5AC2D5A3" w:rsidR="00677577" w:rsidRPr="00167CB8" w:rsidRDefault="00677577" w:rsidP="00677577">
      <w:pPr>
        <w:pStyle w:val="Source"/>
      </w:pPr>
      <w:r w:rsidRPr="00167CB8">
        <w:t>2. Sample: aged 18</w:t>
      </w:r>
      <w:r w:rsidRPr="00167CB8">
        <w:rPr>
          <w:rFonts w:ascii="Symbol" w:eastAsia="Symbol" w:hAnsi="Symbol" w:cs="Symbol"/>
        </w:rPr>
        <w:sym w:font="Symbol" w:char="F02D"/>
      </w:r>
      <w:r w:rsidRPr="00167CB8">
        <w:t xml:space="preserve">64, excludes agriculture and persons not observed in employment over at least </w:t>
      </w:r>
      <w:r w:rsidR="007F380D">
        <w:t>two</w:t>
      </w:r>
      <w:r w:rsidRPr="00167CB8">
        <w:t xml:space="preserve"> consecutive </w:t>
      </w:r>
      <w:r w:rsidRPr="00A32FB1">
        <w:t xml:space="preserve">waves. </w:t>
      </w:r>
    </w:p>
    <w:p w14:paraId="644D64D6" w14:textId="77777777" w:rsidR="00677577" w:rsidRPr="00167CB8" w:rsidRDefault="00677577" w:rsidP="00677577">
      <w:pPr>
        <w:pStyle w:val="Source"/>
      </w:pPr>
      <w:r w:rsidRPr="00167CB8">
        <w:t>3. Estimator: logit. Marginal effects reported.</w:t>
      </w:r>
    </w:p>
    <w:p w14:paraId="08225F48" w14:textId="77777777" w:rsidR="00677577" w:rsidRPr="00167CB8" w:rsidRDefault="00677577" w:rsidP="00677577">
      <w:pPr>
        <w:pStyle w:val="Source"/>
      </w:pPr>
      <w:r w:rsidRPr="00167CB8">
        <w:t>4. Significance given by: *** p&lt;0.01, ** p&lt;0.05, * p&lt;0.1; 5. Robust standard errors in parentheses.</w:t>
      </w:r>
    </w:p>
    <w:p w14:paraId="62C55537" w14:textId="77777777" w:rsidR="0011475D" w:rsidRDefault="00677577" w:rsidP="00677577">
      <w:pPr>
        <w:pStyle w:val="Source"/>
      </w:pPr>
      <w:r w:rsidRPr="00167CB8">
        <w:t>6. Reference groups are: aged 18</w:t>
      </w:r>
      <w:r w:rsidRPr="00167CB8">
        <w:rPr>
          <w:rFonts w:ascii="Symbol" w:eastAsia="Symbol" w:hAnsi="Symbol" w:cs="Symbol"/>
        </w:rPr>
        <w:sym w:font="Symbol" w:char="F02D"/>
      </w:r>
      <w:r w:rsidRPr="00167CB8">
        <w:t>24, labourers, education and training, Australian born, New South Wales.</w:t>
      </w:r>
    </w:p>
    <w:p w14:paraId="3C1B5483" w14:textId="5B067F4D" w:rsidR="0011475D" w:rsidRDefault="00677577" w:rsidP="00677577">
      <w:pPr>
        <w:pStyle w:val="Source"/>
      </w:pPr>
      <w:r w:rsidRPr="0082136A">
        <w:rPr>
          <w:b/>
        </w:rPr>
        <w:t>Source:</w:t>
      </w:r>
      <w:r w:rsidRPr="00167CB8">
        <w:t xml:space="preserve"> HILDA, waves 1</w:t>
      </w:r>
      <w:r w:rsidRPr="00167CB8">
        <w:rPr>
          <w:rFonts w:ascii="Symbol" w:eastAsia="Symbol" w:hAnsi="Symbol" w:cs="Symbol"/>
        </w:rPr>
        <w:t>-</w:t>
      </w:r>
      <w:r w:rsidRPr="00167CB8">
        <w:t>23.</w:t>
      </w:r>
    </w:p>
    <w:p w14:paraId="34C3076E" w14:textId="77777777" w:rsidR="00677577" w:rsidRPr="00167CB8" w:rsidRDefault="00677577" w:rsidP="00677577">
      <w:pPr>
        <w:pStyle w:val="Heading3"/>
      </w:pPr>
      <w:bookmarkStart w:id="857" w:name="_Toc186991765"/>
      <w:bookmarkStart w:id="858" w:name="_Toc189393669"/>
      <w:bookmarkStart w:id="859" w:name="_Toc192258343"/>
      <w:bookmarkStart w:id="860" w:name="_Toc193826718"/>
      <w:bookmarkStart w:id="861" w:name="_Toc194066981"/>
      <w:bookmarkStart w:id="862" w:name="_Toc194311451"/>
      <w:r w:rsidRPr="00167CB8">
        <w:t>3. Wage relativities and growth</w:t>
      </w:r>
      <w:bookmarkEnd w:id="857"/>
      <w:bookmarkEnd w:id="858"/>
      <w:bookmarkEnd w:id="859"/>
      <w:bookmarkEnd w:id="860"/>
      <w:bookmarkEnd w:id="861"/>
      <w:bookmarkEnd w:id="862"/>
    </w:p>
    <w:p w14:paraId="3900CB5F" w14:textId="3829383C" w:rsidR="00677577" w:rsidRPr="00167CB8" w:rsidRDefault="00677577" w:rsidP="00677577">
      <w:r w:rsidRPr="00167CB8">
        <w:t xml:space="preserve">Within Australia wage data are collected via a range of different surveys and methods. Some of it is collected from employer records and employer surveys; other data is collected from </w:t>
      </w:r>
      <w:r w:rsidRPr="00A32FB1">
        <w:t xml:space="preserve">surveys of individuals </w:t>
      </w:r>
      <w:r w:rsidR="007F380D" w:rsidRPr="00A32FB1">
        <w:t>(</w:t>
      </w:r>
      <w:r w:rsidRPr="0082136A">
        <w:t xml:space="preserve">Table </w:t>
      </w:r>
      <w:r w:rsidR="00A81DC3">
        <w:t>40</w:t>
      </w:r>
      <w:r w:rsidR="007F380D" w:rsidRPr="00A32FB1">
        <w:t>)</w:t>
      </w:r>
      <w:r w:rsidRPr="00A32FB1">
        <w:t xml:space="preserve">. Aside from challenges </w:t>
      </w:r>
      <w:r w:rsidR="007F380D" w:rsidRPr="00A32FB1">
        <w:t xml:space="preserve">in </w:t>
      </w:r>
      <w:r w:rsidRPr="00A32FB1">
        <w:t>monitoring wages using different</w:t>
      </w:r>
      <w:r w:rsidRPr="00167CB8">
        <w:t xml:space="preserve"> sources, there is no common agreement on how to best measure or define wages. For example, should the measure focus on hourly, weekly or annual labour earnings? Should it be by gender? Should it measure hours paid for or be a measure based on hours worked (e.g. usual weekly wage divided by usual weekly hours worked)? Should it only measure the wages of employees or should it include all workers (including the self-employed)? Should the focus be the ordinary time earnings or total earnings (including irregular payments such as bonuses)? Should it be labour earnings f</w:t>
      </w:r>
      <w:r w:rsidR="007F380D">
        <w:t>ro</w:t>
      </w:r>
      <w:r w:rsidRPr="00167CB8">
        <w:t>m all jobs or just the main job? Should the focus be on gross or net labour earnings? Should it include superannuation? Should the sample be restricted to persons employed full-time or should part-timers also be included?</w:t>
      </w:r>
    </w:p>
    <w:p w14:paraId="6E86CF21" w14:textId="4D0B5FFF" w:rsidR="00677577" w:rsidRPr="00167CB8" w:rsidRDefault="00677577" w:rsidP="00677577">
      <w:r w:rsidRPr="00167CB8">
        <w:t>In addition to the above, there is also a lack of agreement as to what the denominator might be for certain high</w:t>
      </w:r>
      <w:r w:rsidR="007F380D">
        <w:t>-</w:t>
      </w:r>
      <w:r w:rsidRPr="00167CB8">
        <w:t xml:space="preserve">level indicators such as the gender wage gap (GWG). The GWG is commonly measured as: </w:t>
      </w:r>
      <m:oMath>
        <m:sSub>
          <m:sSubPr>
            <m:ctrlPr>
              <w:rPr>
                <w:rFonts w:ascii="Cambria Math" w:hAnsi="Cambria Math"/>
                <w:i/>
              </w:rPr>
            </m:ctrlPr>
          </m:sSubPr>
          <m:e>
            <m:r>
              <w:rPr>
                <w:rFonts w:ascii="Cambria Math" w:hAnsi="Cambria Math"/>
              </w:rPr>
              <m:t>(Wages</m:t>
            </m:r>
          </m:e>
          <m:sub>
            <m:r>
              <w:rPr>
                <w:rFonts w:ascii="Cambria Math" w:hAnsi="Cambria Math"/>
              </w:rPr>
              <m:t>Men</m:t>
            </m:r>
          </m:sub>
        </m:sSub>
        <m:r>
          <w:rPr>
            <w:rFonts w:ascii="Cambria Math" w:hAnsi="Cambria Math"/>
          </w:rPr>
          <m:t>-</m:t>
        </m:r>
        <m:sSub>
          <m:sSubPr>
            <m:ctrlPr>
              <w:rPr>
                <w:rFonts w:ascii="Cambria Math" w:hAnsi="Cambria Math"/>
                <w:i/>
              </w:rPr>
            </m:ctrlPr>
          </m:sSubPr>
          <m:e>
            <m:r>
              <w:rPr>
                <w:rFonts w:ascii="Cambria Math" w:hAnsi="Cambria Math"/>
              </w:rPr>
              <m:t>Wages</m:t>
            </m:r>
          </m:e>
          <m:sub>
            <m:r>
              <w:rPr>
                <w:rFonts w:ascii="Cambria Math" w:hAnsi="Cambria Math"/>
              </w:rPr>
              <m:t>Women</m:t>
            </m:r>
          </m:sub>
        </m:sSub>
        <m:r>
          <w:rPr>
            <w:rFonts w:ascii="Cambria Math" w:hAnsi="Cambria Math"/>
          </w:rPr>
          <m:t>)/</m:t>
        </m:r>
        <m:sSub>
          <m:sSubPr>
            <m:ctrlPr>
              <w:rPr>
                <w:rFonts w:ascii="Cambria Math" w:hAnsi="Cambria Math"/>
                <w:i/>
              </w:rPr>
            </m:ctrlPr>
          </m:sSubPr>
          <m:e>
            <m:r>
              <w:rPr>
                <w:rFonts w:ascii="Cambria Math" w:hAnsi="Cambria Math"/>
              </w:rPr>
              <m:t>Wages</m:t>
            </m:r>
          </m:e>
          <m:sub>
            <m:r>
              <w:rPr>
                <w:rFonts w:ascii="Cambria Math" w:hAnsi="Cambria Math"/>
              </w:rPr>
              <m:t>Men</m:t>
            </m:r>
          </m:sub>
        </m:sSub>
        <m:r>
          <w:rPr>
            <w:rFonts w:ascii="Cambria Math" w:hAnsi="Cambria Math"/>
          </w:rPr>
          <m:t>*100</m:t>
        </m:r>
      </m:oMath>
      <w:r w:rsidRPr="00167CB8">
        <w:t xml:space="preserve">. This shows how much lower the wages of men need to be for the gap to equal zero. An alternative approach is to measure the GWG as: </w:t>
      </w:r>
      <m:oMath>
        <m:sSub>
          <m:sSubPr>
            <m:ctrlPr>
              <w:rPr>
                <w:rFonts w:ascii="Cambria Math" w:hAnsi="Cambria Math"/>
                <w:i/>
              </w:rPr>
            </m:ctrlPr>
          </m:sSubPr>
          <m:e>
            <m:r>
              <w:rPr>
                <w:rFonts w:ascii="Cambria Math" w:hAnsi="Cambria Math"/>
              </w:rPr>
              <m:t>(Wages</m:t>
            </m:r>
          </m:e>
          <m:sub>
            <m:r>
              <w:rPr>
                <w:rFonts w:ascii="Cambria Math" w:hAnsi="Cambria Math"/>
              </w:rPr>
              <m:t>Men</m:t>
            </m:r>
          </m:sub>
        </m:sSub>
        <m:r>
          <w:rPr>
            <w:rFonts w:ascii="Cambria Math" w:hAnsi="Cambria Math"/>
          </w:rPr>
          <m:t>-</m:t>
        </m:r>
        <m:sSub>
          <m:sSubPr>
            <m:ctrlPr>
              <w:rPr>
                <w:rFonts w:ascii="Cambria Math" w:hAnsi="Cambria Math"/>
                <w:i/>
              </w:rPr>
            </m:ctrlPr>
          </m:sSubPr>
          <m:e>
            <m:r>
              <w:rPr>
                <w:rFonts w:ascii="Cambria Math" w:hAnsi="Cambria Math"/>
              </w:rPr>
              <m:t>Wages</m:t>
            </m:r>
          </m:e>
          <m:sub>
            <m:r>
              <w:rPr>
                <w:rFonts w:ascii="Cambria Math" w:hAnsi="Cambria Math"/>
              </w:rPr>
              <m:t>Women</m:t>
            </m:r>
          </m:sub>
        </m:sSub>
        <m:r>
          <w:rPr>
            <w:rFonts w:ascii="Cambria Math" w:hAnsi="Cambria Math"/>
          </w:rPr>
          <m:t>)/</m:t>
        </m:r>
        <m:sSub>
          <m:sSubPr>
            <m:ctrlPr>
              <w:rPr>
                <w:rFonts w:ascii="Cambria Math" w:hAnsi="Cambria Math"/>
                <w:i/>
              </w:rPr>
            </m:ctrlPr>
          </m:sSubPr>
          <m:e>
            <m:r>
              <w:rPr>
                <w:rFonts w:ascii="Cambria Math" w:hAnsi="Cambria Math"/>
              </w:rPr>
              <m:t>Wages</m:t>
            </m:r>
          </m:e>
          <m:sub>
            <m:r>
              <w:rPr>
                <w:rFonts w:ascii="Cambria Math" w:hAnsi="Cambria Math"/>
              </w:rPr>
              <m:t>Women</m:t>
            </m:r>
          </m:sub>
        </m:sSub>
        <m:r>
          <w:rPr>
            <w:rFonts w:ascii="Cambria Math" w:hAnsi="Cambria Math"/>
          </w:rPr>
          <m:t>*100</m:t>
        </m:r>
      </m:oMath>
      <w:r w:rsidRPr="00167CB8">
        <w:t>. This shows how much higher the wages of women need to be to equal those of men.</w:t>
      </w:r>
    </w:p>
    <w:p w14:paraId="5196BCCA" w14:textId="4CAA4AB4" w:rsidR="0011475D" w:rsidRDefault="00677577" w:rsidP="00677577">
      <w:r w:rsidRPr="00167CB8">
        <w:t xml:space="preserve">There is also the question of nominal wages (wages at current prices) and real wages (wages after adjusting for inflation). Additionally, a distinction is sometimes made between the real </w:t>
      </w:r>
      <w:r w:rsidRPr="00602CE3">
        <w:rPr>
          <w:b/>
        </w:rPr>
        <w:t>consumer</w:t>
      </w:r>
      <w:r w:rsidRPr="00167CB8">
        <w:rPr>
          <w:i/>
          <w:iCs/>
        </w:rPr>
        <w:t xml:space="preserve"> </w:t>
      </w:r>
      <w:r w:rsidRPr="00167CB8">
        <w:t xml:space="preserve">wage and the real </w:t>
      </w:r>
      <w:r w:rsidRPr="00200AA6">
        <w:rPr>
          <w:b/>
        </w:rPr>
        <w:t>producer</w:t>
      </w:r>
      <w:r w:rsidRPr="00167CB8">
        <w:t xml:space="preserve"> wage.</w:t>
      </w:r>
      <w:r>
        <w:rPr>
          <w:rStyle w:val="FootnoteReference"/>
        </w:rPr>
        <w:footnoteReference w:id="1328"/>
      </w:r>
      <w:r w:rsidRPr="00167CB8" w:rsidDel="007F380D">
        <w:t xml:space="preserve"> </w:t>
      </w:r>
      <w:r w:rsidRPr="00167CB8">
        <w:t xml:space="preserve">The real consumer wage </w:t>
      </w:r>
      <w:r>
        <w:t xml:space="preserve">is derived by deflating the nominal wage by the consumer price index (CPI). It shows the purchasing power (to the consumer) associated with an hour of work. The producer wage, in contrast, is deflated using the </w:t>
      </w:r>
      <w:r w:rsidR="007F380D">
        <w:t>gross domestic product (</w:t>
      </w:r>
      <w:r>
        <w:t>GDP</w:t>
      </w:r>
      <w:r w:rsidR="007F380D">
        <w:t>)</w:t>
      </w:r>
      <w:r>
        <w:t xml:space="preserve"> deflator.</w:t>
      </w:r>
      <w:r w:rsidRPr="00B00813">
        <w:rPr>
          <w:rStyle w:val="FootnoteReference"/>
        </w:rPr>
        <w:t xml:space="preserve"> </w:t>
      </w:r>
      <w:r>
        <w:t>In the analysis that follows real wages are deflated using the CPI.</w:t>
      </w:r>
    </w:p>
    <w:p w14:paraId="58872DB0" w14:textId="7F85F862" w:rsidR="00677577" w:rsidRPr="00167CB8" w:rsidRDefault="00677577" w:rsidP="00677577">
      <w:pPr>
        <w:sectPr w:rsidR="00677577" w:rsidRPr="00167CB8" w:rsidSect="00677577">
          <w:pgSz w:w="11906" w:h="16838"/>
          <w:pgMar w:top="1440" w:right="1440" w:bottom="1440" w:left="1440" w:header="708" w:footer="708" w:gutter="0"/>
          <w:cols w:space="720"/>
        </w:sectPr>
      </w:pPr>
      <w:r w:rsidRPr="00167CB8">
        <w:br w:type="page"/>
      </w:r>
    </w:p>
    <w:p w14:paraId="54F09566" w14:textId="69DE88F5" w:rsidR="00677577" w:rsidRPr="00167CB8" w:rsidRDefault="00365C93" w:rsidP="007F380D">
      <w:pPr>
        <w:pStyle w:val="Caption"/>
      </w:pPr>
      <w:bookmarkStart w:id="863" w:name="_Ref184404541"/>
      <w:bookmarkStart w:id="864" w:name="_Ref186902995"/>
      <w:bookmarkStart w:id="865" w:name="_Toc186991815"/>
      <w:bookmarkStart w:id="866" w:name="_Toc189310866"/>
      <w:bookmarkStart w:id="867" w:name="_Toc194251464"/>
      <w:r>
        <w:t xml:space="preserve">Table </w:t>
      </w:r>
      <w:r>
        <w:fldChar w:fldCharType="begin"/>
      </w:r>
      <w:r>
        <w:instrText xml:space="preserve"> SEQ Table \* ARABIC </w:instrText>
      </w:r>
      <w:r>
        <w:fldChar w:fldCharType="separate"/>
      </w:r>
      <w:r w:rsidR="00DE5F5E">
        <w:rPr>
          <w:noProof/>
        </w:rPr>
        <w:t>40</w:t>
      </w:r>
      <w:r>
        <w:fldChar w:fldCharType="end"/>
      </w:r>
      <w:r>
        <w:t xml:space="preserve">: </w:t>
      </w:r>
      <w:bookmarkEnd w:id="863"/>
      <w:r w:rsidR="00677577" w:rsidRPr="00167CB8">
        <w:t>Source of wage data in Australia</w:t>
      </w:r>
      <w:bookmarkEnd w:id="864"/>
      <w:r w:rsidR="00677577" w:rsidRPr="00167CB8">
        <w:rPr>
          <w:vertAlign w:val="superscript"/>
        </w:rPr>
        <w:footnoteReference w:id="1329"/>
      </w:r>
      <w:bookmarkEnd w:id="865"/>
      <w:bookmarkEnd w:id="866"/>
      <w:bookmarkEnd w:id="867"/>
    </w:p>
    <w:tbl>
      <w:tblPr>
        <w:tblStyle w:val="TableGrid"/>
        <w:tblW w:w="14075" w:type="dxa"/>
        <w:tblLook w:val="04A0" w:firstRow="1" w:lastRow="0" w:firstColumn="1" w:lastColumn="0" w:noHBand="0" w:noVBand="1"/>
      </w:tblPr>
      <w:tblGrid>
        <w:gridCol w:w="2242"/>
        <w:gridCol w:w="1574"/>
        <w:gridCol w:w="2830"/>
        <w:gridCol w:w="7429"/>
      </w:tblGrid>
      <w:tr w:rsidR="00677577" w:rsidRPr="00167CB8" w14:paraId="5C1B20F6" w14:textId="77777777" w:rsidTr="00200AA6">
        <w:trPr>
          <w:trHeight w:val="266"/>
          <w:tblHeader/>
        </w:trPr>
        <w:tc>
          <w:tcPr>
            <w:tcW w:w="2242" w:type="dxa"/>
            <w:tcBorders>
              <w:top w:val="single" w:sz="4" w:space="0" w:color="auto"/>
              <w:left w:val="single" w:sz="4" w:space="0" w:color="auto"/>
              <w:bottom w:val="single" w:sz="4" w:space="0" w:color="auto"/>
              <w:right w:val="single" w:sz="4" w:space="0" w:color="auto"/>
            </w:tcBorders>
            <w:hideMark/>
          </w:tcPr>
          <w:p w14:paraId="2CA04971" w14:textId="77777777" w:rsidR="00677577" w:rsidRPr="00200AA6" w:rsidRDefault="00677577" w:rsidP="00200AA6">
            <w:pPr>
              <w:spacing w:after="160"/>
              <w:rPr>
                <w:b/>
                <w:sz w:val="20"/>
                <w:szCs w:val="20"/>
              </w:rPr>
            </w:pPr>
            <w:r w:rsidRPr="00200AA6">
              <w:rPr>
                <w:b/>
                <w:sz w:val="20"/>
                <w:szCs w:val="20"/>
              </w:rPr>
              <w:t>Series</w:t>
            </w:r>
          </w:p>
        </w:tc>
        <w:tc>
          <w:tcPr>
            <w:tcW w:w="1574" w:type="dxa"/>
            <w:tcBorders>
              <w:top w:val="single" w:sz="4" w:space="0" w:color="auto"/>
              <w:left w:val="single" w:sz="4" w:space="0" w:color="auto"/>
              <w:bottom w:val="single" w:sz="4" w:space="0" w:color="auto"/>
              <w:right w:val="single" w:sz="4" w:space="0" w:color="auto"/>
            </w:tcBorders>
            <w:hideMark/>
          </w:tcPr>
          <w:p w14:paraId="1C2E304C" w14:textId="77777777" w:rsidR="00677577" w:rsidRPr="00200AA6" w:rsidRDefault="00677577" w:rsidP="00200AA6">
            <w:pPr>
              <w:spacing w:after="160"/>
              <w:rPr>
                <w:b/>
                <w:sz w:val="20"/>
                <w:szCs w:val="20"/>
              </w:rPr>
            </w:pPr>
            <w:r w:rsidRPr="00200AA6">
              <w:rPr>
                <w:b/>
                <w:sz w:val="20"/>
                <w:szCs w:val="20"/>
              </w:rPr>
              <w:t>Source</w:t>
            </w:r>
          </w:p>
        </w:tc>
        <w:tc>
          <w:tcPr>
            <w:tcW w:w="2830" w:type="dxa"/>
            <w:tcBorders>
              <w:top w:val="single" w:sz="4" w:space="0" w:color="auto"/>
              <w:left w:val="single" w:sz="4" w:space="0" w:color="auto"/>
              <w:bottom w:val="single" w:sz="4" w:space="0" w:color="auto"/>
              <w:right w:val="single" w:sz="4" w:space="0" w:color="auto"/>
            </w:tcBorders>
            <w:hideMark/>
          </w:tcPr>
          <w:p w14:paraId="32FF8896" w14:textId="77777777" w:rsidR="00677577" w:rsidRPr="00200AA6" w:rsidRDefault="00677577" w:rsidP="00200AA6">
            <w:pPr>
              <w:spacing w:after="160"/>
              <w:rPr>
                <w:b/>
                <w:sz w:val="20"/>
                <w:szCs w:val="20"/>
              </w:rPr>
            </w:pPr>
            <w:r w:rsidRPr="00200AA6">
              <w:rPr>
                <w:b/>
                <w:sz w:val="20"/>
                <w:szCs w:val="20"/>
              </w:rPr>
              <w:t>Availability</w:t>
            </w:r>
          </w:p>
        </w:tc>
        <w:tc>
          <w:tcPr>
            <w:tcW w:w="7429" w:type="dxa"/>
            <w:tcBorders>
              <w:top w:val="single" w:sz="4" w:space="0" w:color="auto"/>
              <w:left w:val="single" w:sz="4" w:space="0" w:color="auto"/>
              <w:bottom w:val="single" w:sz="4" w:space="0" w:color="auto"/>
              <w:right w:val="single" w:sz="4" w:space="0" w:color="auto"/>
            </w:tcBorders>
            <w:hideMark/>
          </w:tcPr>
          <w:p w14:paraId="1027A615" w14:textId="77777777" w:rsidR="00677577" w:rsidRPr="00200AA6" w:rsidRDefault="00677577" w:rsidP="00200AA6">
            <w:pPr>
              <w:spacing w:after="160"/>
              <w:rPr>
                <w:b/>
                <w:sz w:val="20"/>
                <w:szCs w:val="20"/>
              </w:rPr>
            </w:pPr>
            <w:r w:rsidRPr="00200AA6">
              <w:rPr>
                <w:b/>
                <w:sz w:val="20"/>
                <w:szCs w:val="20"/>
              </w:rPr>
              <w:t>Description</w:t>
            </w:r>
          </w:p>
        </w:tc>
      </w:tr>
      <w:tr w:rsidR="00677577" w:rsidRPr="00167CB8" w14:paraId="51CF8EAC" w14:textId="77777777">
        <w:trPr>
          <w:trHeight w:val="742"/>
        </w:trPr>
        <w:tc>
          <w:tcPr>
            <w:tcW w:w="2242" w:type="dxa"/>
            <w:tcBorders>
              <w:top w:val="single" w:sz="4" w:space="0" w:color="auto"/>
              <w:left w:val="single" w:sz="4" w:space="0" w:color="auto"/>
              <w:bottom w:val="single" w:sz="4" w:space="0" w:color="auto"/>
              <w:right w:val="single" w:sz="4" w:space="0" w:color="auto"/>
            </w:tcBorders>
            <w:hideMark/>
          </w:tcPr>
          <w:p w14:paraId="17CC5317" w14:textId="77777777" w:rsidR="00677577" w:rsidRPr="00200AA6" w:rsidRDefault="00677577" w:rsidP="00200AA6">
            <w:pPr>
              <w:spacing w:after="160"/>
              <w:rPr>
                <w:sz w:val="20"/>
                <w:szCs w:val="20"/>
              </w:rPr>
            </w:pPr>
            <w:r w:rsidRPr="00200AA6">
              <w:rPr>
                <w:sz w:val="20"/>
                <w:szCs w:val="20"/>
              </w:rPr>
              <w:t>Wage price index (WPI)</w:t>
            </w:r>
          </w:p>
        </w:tc>
        <w:tc>
          <w:tcPr>
            <w:tcW w:w="1574" w:type="dxa"/>
            <w:tcBorders>
              <w:top w:val="single" w:sz="4" w:space="0" w:color="auto"/>
              <w:left w:val="single" w:sz="4" w:space="0" w:color="auto"/>
              <w:bottom w:val="single" w:sz="4" w:space="0" w:color="auto"/>
              <w:right w:val="single" w:sz="4" w:space="0" w:color="auto"/>
            </w:tcBorders>
            <w:hideMark/>
          </w:tcPr>
          <w:p w14:paraId="149C450B" w14:textId="77777777" w:rsidR="00677577" w:rsidRPr="00200AA6" w:rsidRDefault="00677577" w:rsidP="00200AA6">
            <w:pPr>
              <w:spacing w:after="160"/>
              <w:rPr>
                <w:sz w:val="20"/>
                <w:szCs w:val="20"/>
              </w:rPr>
            </w:pPr>
            <w:r w:rsidRPr="00200AA6">
              <w:rPr>
                <w:sz w:val="20"/>
                <w:szCs w:val="20"/>
              </w:rPr>
              <w:t>ABS Cat No 6345.0</w:t>
            </w:r>
          </w:p>
        </w:tc>
        <w:tc>
          <w:tcPr>
            <w:tcW w:w="2830" w:type="dxa"/>
            <w:tcBorders>
              <w:top w:val="single" w:sz="4" w:space="0" w:color="auto"/>
              <w:left w:val="single" w:sz="4" w:space="0" w:color="auto"/>
              <w:bottom w:val="single" w:sz="4" w:space="0" w:color="auto"/>
              <w:right w:val="single" w:sz="4" w:space="0" w:color="auto"/>
            </w:tcBorders>
            <w:hideMark/>
          </w:tcPr>
          <w:p w14:paraId="4A116680" w14:textId="3F9D11D8" w:rsidR="00677577" w:rsidRPr="00200AA6" w:rsidRDefault="00677577" w:rsidP="00200AA6">
            <w:pPr>
              <w:spacing w:after="160"/>
              <w:rPr>
                <w:sz w:val="20"/>
                <w:szCs w:val="20"/>
              </w:rPr>
            </w:pPr>
            <w:r w:rsidRPr="00200AA6">
              <w:rPr>
                <w:sz w:val="20"/>
                <w:szCs w:val="20"/>
              </w:rPr>
              <w:t xml:space="preserve">Available quarterly covering March, June, September and December. (December 2024 WPI </w:t>
            </w:r>
            <w:r w:rsidR="001C5994">
              <w:rPr>
                <w:sz w:val="20"/>
                <w:szCs w:val="20"/>
              </w:rPr>
              <w:t>was</w:t>
            </w:r>
            <w:r w:rsidRPr="00200AA6">
              <w:rPr>
                <w:sz w:val="20"/>
                <w:szCs w:val="20"/>
              </w:rPr>
              <w:t xml:space="preserve"> released on 19 February 2025.)</w:t>
            </w:r>
          </w:p>
        </w:tc>
        <w:tc>
          <w:tcPr>
            <w:tcW w:w="7429" w:type="dxa"/>
            <w:tcBorders>
              <w:top w:val="single" w:sz="4" w:space="0" w:color="auto"/>
              <w:left w:val="single" w:sz="4" w:space="0" w:color="auto"/>
              <w:bottom w:val="single" w:sz="4" w:space="0" w:color="auto"/>
              <w:right w:val="single" w:sz="4" w:space="0" w:color="auto"/>
            </w:tcBorders>
            <w:hideMark/>
          </w:tcPr>
          <w:p w14:paraId="18961C7C" w14:textId="7B3FE7A7" w:rsidR="00677577" w:rsidRPr="00200AA6" w:rsidRDefault="00677577" w:rsidP="00200AA6">
            <w:pPr>
              <w:spacing w:after="160"/>
              <w:rPr>
                <w:sz w:val="20"/>
                <w:szCs w:val="20"/>
              </w:rPr>
            </w:pPr>
            <w:r w:rsidRPr="00200AA6">
              <w:rPr>
                <w:sz w:val="20"/>
                <w:szCs w:val="20"/>
              </w:rPr>
              <w:t xml:space="preserve">The wages for a basket of jobs are collected from a sample of public and private sector employers. The index is not affected by compositional changes in the labour market or hours worked. Information </w:t>
            </w:r>
            <w:r w:rsidR="007F380D" w:rsidRPr="00200AA6">
              <w:rPr>
                <w:sz w:val="20"/>
                <w:szCs w:val="20"/>
              </w:rPr>
              <w:t xml:space="preserve">is </w:t>
            </w:r>
            <w:r w:rsidRPr="00200AA6">
              <w:rPr>
                <w:sz w:val="20"/>
                <w:szCs w:val="20"/>
              </w:rPr>
              <w:t>available by sector and industry but not gender. Most published series do not include bonuses. Superannuation is not included in the index. Index numbers are available on a quarterly basis. Information on the ‘contribution to wage growth by method of setting pay’ (enterprise agreement, individual arrangement or award) is also available.</w:t>
            </w:r>
          </w:p>
        </w:tc>
      </w:tr>
      <w:tr w:rsidR="00677577" w:rsidRPr="00167CB8" w14:paraId="607A7368" w14:textId="77777777">
        <w:trPr>
          <w:trHeight w:val="266"/>
        </w:trPr>
        <w:tc>
          <w:tcPr>
            <w:tcW w:w="2242" w:type="dxa"/>
            <w:tcBorders>
              <w:top w:val="single" w:sz="4" w:space="0" w:color="auto"/>
              <w:left w:val="single" w:sz="4" w:space="0" w:color="auto"/>
              <w:bottom w:val="single" w:sz="4" w:space="0" w:color="auto"/>
              <w:right w:val="single" w:sz="4" w:space="0" w:color="auto"/>
            </w:tcBorders>
            <w:hideMark/>
          </w:tcPr>
          <w:p w14:paraId="22A13D38" w14:textId="77777777" w:rsidR="00677577" w:rsidRPr="00896A6F" w:rsidRDefault="00677577" w:rsidP="00896A6F">
            <w:pPr>
              <w:spacing w:after="160"/>
              <w:rPr>
                <w:sz w:val="20"/>
                <w:szCs w:val="20"/>
              </w:rPr>
            </w:pPr>
            <w:r w:rsidRPr="00896A6F">
              <w:rPr>
                <w:sz w:val="20"/>
                <w:szCs w:val="20"/>
              </w:rPr>
              <w:t>Average weekly earnings (AWE), Australia</w:t>
            </w:r>
          </w:p>
        </w:tc>
        <w:tc>
          <w:tcPr>
            <w:tcW w:w="1574" w:type="dxa"/>
            <w:tcBorders>
              <w:top w:val="single" w:sz="4" w:space="0" w:color="auto"/>
              <w:left w:val="single" w:sz="4" w:space="0" w:color="auto"/>
              <w:bottom w:val="single" w:sz="4" w:space="0" w:color="auto"/>
              <w:right w:val="single" w:sz="4" w:space="0" w:color="auto"/>
            </w:tcBorders>
            <w:hideMark/>
          </w:tcPr>
          <w:p w14:paraId="1EB653EE" w14:textId="77777777" w:rsidR="00677577" w:rsidRPr="00896A6F" w:rsidRDefault="00677577" w:rsidP="00896A6F">
            <w:pPr>
              <w:spacing w:after="160"/>
              <w:rPr>
                <w:sz w:val="20"/>
                <w:szCs w:val="20"/>
              </w:rPr>
            </w:pPr>
            <w:r w:rsidRPr="00896A6F">
              <w:rPr>
                <w:sz w:val="20"/>
                <w:szCs w:val="20"/>
              </w:rPr>
              <w:t>ABS Cat No 6302.0</w:t>
            </w:r>
          </w:p>
        </w:tc>
        <w:tc>
          <w:tcPr>
            <w:tcW w:w="2830" w:type="dxa"/>
            <w:tcBorders>
              <w:top w:val="single" w:sz="4" w:space="0" w:color="auto"/>
              <w:left w:val="single" w:sz="4" w:space="0" w:color="auto"/>
              <w:bottom w:val="single" w:sz="4" w:space="0" w:color="auto"/>
              <w:right w:val="single" w:sz="4" w:space="0" w:color="auto"/>
            </w:tcBorders>
            <w:hideMark/>
          </w:tcPr>
          <w:p w14:paraId="53BE88FB" w14:textId="621BC223" w:rsidR="00677577" w:rsidRPr="00896A6F" w:rsidRDefault="00677577" w:rsidP="00896A6F">
            <w:pPr>
              <w:spacing w:after="160"/>
              <w:rPr>
                <w:sz w:val="20"/>
                <w:szCs w:val="20"/>
              </w:rPr>
            </w:pPr>
            <w:r w:rsidRPr="00896A6F">
              <w:rPr>
                <w:sz w:val="20"/>
                <w:szCs w:val="20"/>
              </w:rPr>
              <w:t xml:space="preserve">Estimates are available on a bi-annual basis (May and November). November 2024 data </w:t>
            </w:r>
            <w:r w:rsidR="004C503E">
              <w:rPr>
                <w:sz w:val="20"/>
                <w:szCs w:val="20"/>
              </w:rPr>
              <w:t>was</w:t>
            </w:r>
            <w:r w:rsidRPr="00896A6F">
              <w:rPr>
                <w:sz w:val="20"/>
                <w:szCs w:val="20"/>
              </w:rPr>
              <w:t xml:space="preserve"> released in February 2025.</w:t>
            </w:r>
          </w:p>
        </w:tc>
        <w:tc>
          <w:tcPr>
            <w:tcW w:w="7429" w:type="dxa"/>
            <w:tcBorders>
              <w:top w:val="single" w:sz="4" w:space="0" w:color="auto"/>
              <w:left w:val="single" w:sz="4" w:space="0" w:color="auto"/>
              <w:bottom w:val="single" w:sz="4" w:space="0" w:color="auto"/>
              <w:right w:val="single" w:sz="4" w:space="0" w:color="auto"/>
            </w:tcBorders>
            <w:hideMark/>
          </w:tcPr>
          <w:p w14:paraId="4F99F5E0" w14:textId="77777777" w:rsidR="00677577" w:rsidRPr="00896A6F" w:rsidRDefault="00677577" w:rsidP="00896A6F">
            <w:pPr>
              <w:spacing w:after="160"/>
              <w:rPr>
                <w:sz w:val="20"/>
                <w:szCs w:val="20"/>
              </w:rPr>
            </w:pPr>
            <w:r w:rsidRPr="00896A6F">
              <w:rPr>
                <w:sz w:val="20"/>
                <w:szCs w:val="20"/>
              </w:rPr>
              <w:t>Survey of business units. Information stratified by gender, sector, industry and state/territory as well as by full-time (35 or more hours per week) employment. AWE excludes irregular and infrequent payments such as annual bonuses and leave loading. AWE data is collected for a typical week.</w:t>
            </w:r>
          </w:p>
        </w:tc>
      </w:tr>
      <w:tr w:rsidR="00677577" w:rsidRPr="00167CB8" w14:paraId="40E59EF1" w14:textId="77777777">
        <w:trPr>
          <w:trHeight w:val="266"/>
        </w:trPr>
        <w:tc>
          <w:tcPr>
            <w:tcW w:w="2242" w:type="dxa"/>
            <w:tcBorders>
              <w:top w:val="single" w:sz="4" w:space="0" w:color="auto"/>
              <w:left w:val="single" w:sz="4" w:space="0" w:color="auto"/>
              <w:bottom w:val="single" w:sz="4" w:space="0" w:color="auto"/>
              <w:right w:val="single" w:sz="4" w:space="0" w:color="auto"/>
            </w:tcBorders>
            <w:hideMark/>
          </w:tcPr>
          <w:p w14:paraId="54AA3F3C" w14:textId="77777777" w:rsidR="00677577" w:rsidRPr="008D5238" w:rsidRDefault="00677577" w:rsidP="008D5238">
            <w:pPr>
              <w:spacing w:after="160"/>
              <w:rPr>
                <w:sz w:val="20"/>
                <w:szCs w:val="20"/>
              </w:rPr>
            </w:pPr>
            <w:r w:rsidRPr="008D5238">
              <w:rPr>
                <w:sz w:val="20"/>
                <w:szCs w:val="20"/>
              </w:rPr>
              <w:t xml:space="preserve">Employee earnings and hours (EEH), Australia </w:t>
            </w:r>
          </w:p>
        </w:tc>
        <w:tc>
          <w:tcPr>
            <w:tcW w:w="1574" w:type="dxa"/>
            <w:tcBorders>
              <w:top w:val="single" w:sz="4" w:space="0" w:color="auto"/>
              <w:left w:val="single" w:sz="4" w:space="0" w:color="auto"/>
              <w:bottom w:val="single" w:sz="4" w:space="0" w:color="auto"/>
              <w:right w:val="single" w:sz="4" w:space="0" w:color="auto"/>
            </w:tcBorders>
            <w:hideMark/>
          </w:tcPr>
          <w:p w14:paraId="2248D490" w14:textId="77777777" w:rsidR="00677577" w:rsidRPr="008D5238" w:rsidRDefault="00677577" w:rsidP="008D5238">
            <w:pPr>
              <w:spacing w:after="160"/>
              <w:rPr>
                <w:sz w:val="20"/>
                <w:szCs w:val="20"/>
              </w:rPr>
            </w:pPr>
            <w:r w:rsidRPr="008D5238">
              <w:rPr>
                <w:sz w:val="20"/>
                <w:szCs w:val="20"/>
              </w:rPr>
              <w:t>ABS Cat No 6306.0.</w:t>
            </w:r>
          </w:p>
        </w:tc>
        <w:tc>
          <w:tcPr>
            <w:tcW w:w="2830" w:type="dxa"/>
            <w:tcBorders>
              <w:top w:val="single" w:sz="4" w:space="0" w:color="auto"/>
              <w:left w:val="single" w:sz="4" w:space="0" w:color="auto"/>
              <w:bottom w:val="single" w:sz="4" w:space="0" w:color="auto"/>
              <w:right w:val="single" w:sz="4" w:space="0" w:color="auto"/>
            </w:tcBorders>
            <w:hideMark/>
          </w:tcPr>
          <w:p w14:paraId="5F0F6423" w14:textId="4D4D433D" w:rsidR="00677577" w:rsidRPr="008D5238" w:rsidRDefault="00677577" w:rsidP="008D5238">
            <w:pPr>
              <w:spacing w:after="160"/>
              <w:rPr>
                <w:sz w:val="20"/>
                <w:szCs w:val="20"/>
              </w:rPr>
            </w:pPr>
            <w:r w:rsidRPr="008D5238">
              <w:rPr>
                <w:sz w:val="20"/>
                <w:szCs w:val="20"/>
              </w:rPr>
              <w:t xml:space="preserve">Available every </w:t>
            </w:r>
            <w:r w:rsidR="007F380D" w:rsidRPr="008D5238">
              <w:rPr>
                <w:sz w:val="20"/>
                <w:szCs w:val="20"/>
              </w:rPr>
              <w:t>two</w:t>
            </w:r>
            <w:r w:rsidRPr="008D5238">
              <w:rPr>
                <w:sz w:val="20"/>
                <w:szCs w:val="20"/>
              </w:rPr>
              <w:t xml:space="preserve"> years. Most recent reference period is May 2023 (released in January 2024); next release will pertain to May 2025. </w:t>
            </w:r>
          </w:p>
        </w:tc>
        <w:tc>
          <w:tcPr>
            <w:tcW w:w="7429" w:type="dxa"/>
            <w:tcBorders>
              <w:top w:val="single" w:sz="4" w:space="0" w:color="auto"/>
              <w:left w:val="single" w:sz="4" w:space="0" w:color="auto"/>
              <w:bottom w:val="single" w:sz="4" w:space="0" w:color="auto"/>
              <w:right w:val="single" w:sz="4" w:space="0" w:color="auto"/>
            </w:tcBorders>
            <w:hideMark/>
          </w:tcPr>
          <w:p w14:paraId="03B512EA" w14:textId="730BE685" w:rsidR="00677577" w:rsidRPr="008D5238" w:rsidRDefault="00677577" w:rsidP="00C0474E">
            <w:pPr>
              <w:spacing w:after="160"/>
              <w:rPr>
                <w:sz w:val="20"/>
                <w:szCs w:val="20"/>
              </w:rPr>
            </w:pPr>
            <w:r w:rsidRPr="008D5238">
              <w:rPr>
                <w:sz w:val="20"/>
                <w:szCs w:val="20"/>
              </w:rPr>
              <w:t xml:space="preserve">The EEH is conducted every </w:t>
            </w:r>
            <w:r w:rsidR="007F380D" w:rsidRPr="008D5238">
              <w:rPr>
                <w:sz w:val="20"/>
                <w:szCs w:val="20"/>
              </w:rPr>
              <w:t>two</w:t>
            </w:r>
            <w:r w:rsidRPr="008D5238">
              <w:rPr>
                <w:sz w:val="20"/>
                <w:szCs w:val="20"/>
              </w:rPr>
              <w:t xml:space="preserve"> years. It was last conducted in May 2023. It contains information on methods of setting pay with current categories being award only, collective agreement (enterprise agreement), individual arrangement or owner manager of incorporated enterprise. Employees who receive pay above the award rate are classified as being paid by either a collective agreement or an individual arrangement. Wage data is collected from employers and pertains to hours paid for. It includes all cash earnings, including regular bonuses.</w:t>
            </w:r>
          </w:p>
        </w:tc>
      </w:tr>
      <w:tr w:rsidR="00677577" w:rsidRPr="00167CB8" w14:paraId="75BCF1B8" w14:textId="77777777">
        <w:trPr>
          <w:trHeight w:val="279"/>
        </w:trPr>
        <w:tc>
          <w:tcPr>
            <w:tcW w:w="2242" w:type="dxa"/>
            <w:tcBorders>
              <w:top w:val="single" w:sz="4" w:space="0" w:color="auto"/>
              <w:left w:val="single" w:sz="4" w:space="0" w:color="auto"/>
              <w:bottom w:val="single" w:sz="4" w:space="0" w:color="auto"/>
              <w:right w:val="single" w:sz="4" w:space="0" w:color="auto"/>
            </w:tcBorders>
            <w:hideMark/>
          </w:tcPr>
          <w:p w14:paraId="440F5898" w14:textId="77777777" w:rsidR="00677577" w:rsidRPr="008D5238" w:rsidRDefault="00677577" w:rsidP="008D5238">
            <w:pPr>
              <w:spacing w:after="160"/>
              <w:rPr>
                <w:sz w:val="20"/>
                <w:szCs w:val="20"/>
              </w:rPr>
            </w:pPr>
            <w:r w:rsidRPr="008D5238">
              <w:rPr>
                <w:sz w:val="20"/>
                <w:szCs w:val="20"/>
              </w:rPr>
              <w:t xml:space="preserve">Employee earnings </w:t>
            </w:r>
          </w:p>
        </w:tc>
        <w:tc>
          <w:tcPr>
            <w:tcW w:w="1574" w:type="dxa"/>
            <w:tcBorders>
              <w:top w:val="single" w:sz="4" w:space="0" w:color="auto"/>
              <w:left w:val="single" w:sz="4" w:space="0" w:color="auto"/>
              <w:bottom w:val="single" w:sz="4" w:space="0" w:color="auto"/>
              <w:right w:val="single" w:sz="4" w:space="0" w:color="auto"/>
            </w:tcBorders>
            <w:hideMark/>
          </w:tcPr>
          <w:p w14:paraId="1BC69F48" w14:textId="77777777" w:rsidR="00677577" w:rsidRPr="008D5238" w:rsidRDefault="00677577" w:rsidP="008D5238">
            <w:pPr>
              <w:spacing w:after="160"/>
              <w:rPr>
                <w:sz w:val="20"/>
                <w:szCs w:val="20"/>
              </w:rPr>
            </w:pPr>
            <w:r w:rsidRPr="008D5238">
              <w:rPr>
                <w:sz w:val="20"/>
                <w:szCs w:val="20"/>
              </w:rPr>
              <w:t>ABS Cat No 6337.0</w:t>
            </w:r>
          </w:p>
        </w:tc>
        <w:tc>
          <w:tcPr>
            <w:tcW w:w="2830" w:type="dxa"/>
            <w:tcBorders>
              <w:top w:val="single" w:sz="4" w:space="0" w:color="auto"/>
              <w:left w:val="single" w:sz="4" w:space="0" w:color="auto"/>
              <w:bottom w:val="single" w:sz="4" w:space="0" w:color="auto"/>
              <w:right w:val="single" w:sz="4" w:space="0" w:color="auto"/>
            </w:tcBorders>
            <w:hideMark/>
          </w:tcPr>
          <w:p w14:paraId="2DD93B63" w14:textId="77777777" w:rsidR="00677577" w:rsidRPr="008D5238" w:rsidRDefault="00677577" w:rsidP="008D5238">
            <w:pPr>
              <w:spacing w:after="160"/>
              <w:rPr>
                <w:sz w:val="20"/>
                <w:szCs w:val="20"/>
              </w:rPr>
            </w:pPr>
            <w:r w:rsidRPr="008D5238">
              <w:rPr>
                <w:sz w:val="20"/>
                <w:szCs w:val="20"/>
              </w:rPr>
              <w:t>Reference period August 2024 (released December 2024).</w:t>
            </w:r>
          </w:p>
        </w:tc>
        <w:tc>
          <w:tcPr>
            <w:tcW w:w="7429" w:type="dxa"/>
            <w:tcBorders>
              <w:top w:val="single" w:sz="4" w:space="0" w:color="auto"/>
              <w:left w:val="single" w:sz="4" w:space="0" w:color="auto"/>
              <w:bottom w:val="single" w:sz="4" w:space="0" w:color="auto"/>
              <w:right w:val="single" w:sz="4" w:space="0" w:color="auto"/>
            </w:tcBorders>
            <w:hideMark/>
          </w:tcPr>
          <w:p w14:paraId="01C82195" w14:textId="77777777" w:rsidR="00677577" w:rsidRPr="008D5238" w:rsidRDefault="00677577" w:rsidP="008D5238">
            <w:pPr>
              <w:spacing w:after="160"/>
              <w:rPr>
                <w:sz w:val="20"/>
                <w:szCs w:val="20"/>
              </w:rPr>
            </w:pPr>
            <w:r w:rsidRPr="008D5238">
              <w:rPr>
                <w:sz w:val="20"/>
                <w:szCs w:val="20"/>
              </w:rPr>
              <w:t>Released on an annual basis. Wage information pertains to hours actually worked. (The employee earnings information is part of the Characteristics of Employment (COE) survey (ABS 6333.0)).</w:t>
            </w:r>
          </w:p>
        </w:tc>
      </w:tr>
      <w:tr w:rsidR="00677577" w:rsidRPr="00167CB8" w14:paraId="4A82186C" w14:textId="77777777">
        <w:trPr>
          <w:trHeight w:val="279"/>
        </w:trPr>
        <w:tc>
          <w:tcPr>
            <w:tcW w:w="2242" w:type="dxa"/>
            <w:tcBorders>
              <w:top w:val="single" w:sz="4" w:space="0" w:color="auto"/>
              <w:left w:val="single" w:sz="4" w:space="0" w:color="auto"/>
              <w:bottom w:val="single" w:sz="4" w:space="0" w:color="auto"/>
              <w:right w:val="single" w:sz="4" w:space="0" w:color="auto"/>
            </w:tcBorders>
            <w:hideMark/>
          </w:tcPr>
          <w:p w14:paraId="6C922092" w14:textId="77777777" w:rsidR="00677577" w:rsidRPr="008D5238" w:rsidRDefault="00677577" w:rsidP="008D5238">
            <w:pPr>
              <w:spacing w:after="160"/>
              <w:rPr>
                <w:sz w:val="20"/>
                <w:szCs w:val="20"/>
              </w:rPr>
            </w:pPr>
            <w:r w:rsidRPr="008D5238">
              <w:rPr>
                <w:sz w:val="20"/>
                <w:szCs w:val="20"/>
              </w:rPr>
              <w:t xml:space="preserve">Labour Account Australia </w:t>
            </w:r>
          </w:p>
        </w:tc>
        <w:tc>
          <w:tcPr>
            <w:tcW w:w="1574" w:type="dxa"/>
            <w:tcBorders>
              <w:top w:val="single" w:sz="4" w:space="0" w:color="auto"/>
              <w:left w:val="single" w:sz="4" w:space="0" w:color="auto"/>
              <w:bottom w:val="single" w:sz="4" w:space="0" w:color="auto"/>
              <w:right w:val="single" w:sz="4" w:space="0" w:color="auto"/>
            </w:tcBorders>
            <w:hideMark/>
          </w:tcPr>
          <w:p w14:paraId="3CF87434" w14:textId="77777777" w:rsidR="00677577" w:rsidRPr="008D5238" w:rsidRDefault="00677577" w:rsidP="008D5238">
            <w:pPr>
              <w:spacing w:after="160"/>
              <w:rPr>
                <w:sz w:val="20"/>
                <w:szCs w:val="20"/>
              </w:rPr>
            </w:pPr>
            <w:r w:rsidRPr="008D5238">
              <w:rPr>
                <w:sz w:val="20"/>
                <w:szCs w:val="20"/>
              </w:rPr>
              <w:t xml:space="preserve">ABS Cat No 6150.0.55.003 </w:t>
            </w:r>
          </w:p>
        </w:tc>
        <w:tc>
          <w:tcPr>
            <w:tcW w:w="2830" w:type="dxa"/>
            <w:tcBorders>
              <w:top w:val="single" w:sz="4" w:space="0" w:color="auto"/>
              <w:left w:val="single" w:sz="4" w:space="0" w:color="auto"/>
              <w:bottom w:val="single" w:sz="4" w:space="0" w:color="auto"/>
              <w:right w:val="single" w:sz="4" w:space="0" w:color="auto"/>
            </w:tcBorders>
            <w:hideMark/>
          </w:tcPr>
          <w:p w14:paraId="228ECFC6" w14:textId="77777777" w:rsidR="00677577" w:rsidRPr="008D5238" w:rsidRDefault="00677577" w:rsidP="008D5238">
            <w:pPr>
              <w:spacing w:after="160"/>
              <w:rPr>
                <w:sz w:val="20"/>
                <w:szCs w:val="20"/>
              </w:rPr>
            </w:pPr>
            <w:r w:rsidRPr="008D5238">
              <w:rPr>
                <w:sz w:val="20"/>
                <w:szCs w:val="20"/>
              </w:rPr>
              <w:t xml:space="preserve">Monthly. </w:t>
            </w:r>
          </w:p>
        </w:tc>
        <w:tc>
          <w:tcPr>
            <w:tcW w:w="7429" w:type="dxa"/>
            <w:tcBorders>
              <w:top w:val="single" w:sz="4" w:space="0" w:color="auto"/>
              <w:left w:val="single" w:sz="4" w:space="0" w:color="auto"/>
              <w:bottom w:val="single" w:sz="4" w:space="0" w:color="auto"/>
              <w:right w:val="single" w:sz="4" w:space="0" w:color="auto"/>
            </w:tcBorders>
            <w:hideMark/>
          </w:tcPr>
          <w:p w14:paraId="5BC5B373" w14:textId="2054CFFC" w:rsidR="00677577" w:rsidRPr="008D5238" w:rsidRDefault="00677577" w:rsidP="008D5238">
            <w:pPr>
              <w:spacing w:after="160"/>
              <w:rPr>
                <w:sz w:val="20"/>
                <w:szCs w:val="20"/>
              </w:rPr>
            </w:pPr>
            <w:r w:rsidRPr="008D5238">
              <w:rPr>
                <w:sz w:val="20"/>
                <w:szCs w:val="20"/>
              </w:rPr>
              <w:t>Includes information on average hourly income per Labour Account employed person and total compensation of employees. It includes employees and owner managers. As with the WPI, th</w:t>
            </w:r>
            <w:r w:rsidR="007F380D" w:rsidRPr="008D5238">
              <w:rPr>
                <w:sz w:val="20"/>
                <w:szCs w:val="20"/>
              </w:rPr>
              <w:t>is</w:t>
            </w:r>
            <w:r w:rsidRPr="008D5238">
              <w:rPr>
                <w:sz w:val="20"/>
                <w:szCs w:val="20"/>
              </w:rPr>
              <w:t xml:space="preserve"> data cannot be disaggregated by gender but they may be disaggregated by industry.</w:t>
            </w:r>
          </w:p>
        </w:tc>
      </w:tr>
      <w:tr w:rsidR="00677577" w:rsidRPr="00167CB8" w14:paraId="0E204269" w14:textId="77777777">
        <w:trPr>
          <w:trHeight w:val="279"/>
        </w:trPr>
        <w:tc>
          <w:tcPr>
            <w:tcW w:w="2242" w:type="dxa"/>
            <w:tcBorders>
              <w:top w:val="single" w:sz="4" w:space="0" w:color="auto"/>
              <w:left w:val="single" w:sz="4" w:space="0" w:color="auto"/>
              <w:bottom w:val="single" w:sz="4" w:space="0" w:color="auto"/>
              <w:right w:val="single" w:sz="4" w:space="0" w:color="auto"/>
            </w:tcBorders>
            <w:hideMark/>
          </w:tcPr>
          <w:p w14:paraId="7BEFB24F" w14:textId="18FDD0FF" w:rsidR="00677577" w:rsidRPr="00766AB5" w:rsidRDefault="00677577" w:rsidP="00766AB5">
            <w:pPr>
              <w:spacing w:after="160"/>
              <w:rPr>
                <w:sz w:val="20"/>
                <w:szCs w:val="20"/>
              </w:rPr>
            </w:pPr>
            <w:r w:rsidRPr="00766AB5">
              <w:rPr>
                <w:sz w:val="20"/>
                <w:szCs w:val="20"/>
              </w:rPr>
              <w:t>Workplace Agreement</w:t>
            </w:r>
            <w:r w:rsidR="00A32FB1" w:rsidRPr="00766AB5">
              <w:rPr>
                <w:sz w:val="20"/>
                <w:szCs w:val="20"/>
              </w:rPr>
              <w:t>s</w:t>
            </w:r>
            <w:r w:rsidRPr="00766AB5">
              <w:rPr>
                <w:sz w:val="20"/>
                <w:szCs w:val="20"/>
              </w:rPr>
              <w:t xml:space="preserve"> Database (WAD)</w:t>
            </w:r>
          </w:p>
        </w:tc>
        <w:tc>
          <w:tcPr>
            <w:tcW w:w="1574" w:type="dxa"/>
            <w:tcBorders>
              <w:top w:val="single" w:sz="4" w:space="0" w:color="auto"/>
              <w:left w:val="single" w:sz="4" w:space="0" w:color="auto"/>
              <w:bottom w:val="single" w:sz="4" w:space="0" w:color="auto"/>
              <w:right w:val="single" w:sz="4" w:space="0" w:color="auto"/>
            </w:tcBorders>
            <w:hideMark/>
          </w:tcPr>
          <w:p w14:paraId="3598810D" w14:textId="77777777" w:rsidR="00677577" w:rsidRPr="00766AB5" w:rsidRDefault="00677577" w:rsidP="00766AB5">
            <w:pPr>
              <w:spacing w:after="160"/>
              <w:rPr>
                <w:sz w:val="20"/>
                <w:szCs w:val="20"/>
              </w:rPr>
            </w:pPr>
            <w:r w:rsidRPr="00766AB5">
              <w:rPr>
                <w:sz w:val="20"/>
                <w:szCs w:val="20"/>
              </w:rPr>
              <w:t>Department of Employment and Workplace Relations (DEWR)</w:t>
            </w:r>
          </w:p>
        </w:tc>
        <w:tc>
          <w:tcPr>
            <w:tcW w:w="2830" w:type="dxa"/>
            <w:tcBorders>
              <w:top w:val="single" w:sz="4" w:space="0" w:color="auto"/>
              <w:left w:val="single" w:sz="4" w:space="0" w:color="auto"/>
              <w:bottom w:val="single" w:sz="4" w:space="0" w:color="auto"/>
              <w:right w:val="single" w:sz="4" w:space="0" w:color="auto"/>
            </w:tcBorders>
            <w:hideMark/>
          </w:tcPr>
          <w:p w14:paraId="369BAF68" w14:textId="77777777" w:rsidR="00677577" w:rsidRPr="00766AB5" w:rsidRDefault="00677577" w:rsidP="00766AB5">
            <w:pPr>
              <w:spacing w:after="160"/>
              <w:rPr>
                <w:sz w:val="20"/>
                <w:szCs w:val="20"/>
              </w:rPr>
            </w:pPr>
            <w:r w:rsidRPr="00766AB5">
              <w:rPr>
                <w:sz w:val="20"/>
                <w:szCs w:val="20"/>
              </w:rPr>
              <w:t>All federal enterprise agreements certified or approved since 1 January 1997.</w:t>
            </w:r>
          </w:p>
        </w:tc>
        <w:tc>
          <w:tcPr>
            <w:tcW w:w="7429" w:type="dxa"/>
            <w:tcBorders>
              <w:top w:val="single" w:sz="4" w:space="0" w:color="auto"/>
              <w:left w:val="single" w:sz="4" w:space="0" w:color="auto"/>
              <w:bottom w:val="single" w:sz="4" w:space="0" w:color="auto"/>
              <w:right w:val="single" w:sz="4" w:space="0" w:color="auto"/>
            </w:tcBorders>
            <w:hideMark/>
          </w:tcPr>
          <w:p w14:paraId="0DA500E6" w14:textId="77777777" w:rsidR="00677577" w:rsidRPr="00766AB5" w:rsidRDefault="00677577" w:rsidP="00766AB5">
            <w:pPr>
              <w:spacing w:after="160"/>
              <w:rPr>
                <w:sz w:val="20"/>
                <w:szCs w:val="20"/>
              </w:rPr>
            </w:pPr>
            <w:r w:rsidRPr="00766AB5">
              <w:rPr>
                <w:sz w:val="20"/>
                <w:szCs w:val="20"/>
              </w:rPr>
              <w:t>Contains information on the coverage of federal enterprise agreements and wage increase. DEWR publishes a quarterly bulletin on trends in federal enterprise bargaining. The most recent bulletin (released September 2024) is for the June 2024 quarter.</w:t>
            </w:r>
          </w:p>
        </w:tc>
      </w:tr>
      <w:tr w:rsidR="00677577" w:rsidRPr="00167CB8" w14:paraId="14CF3639" w14:textId="77777777">
        <w:trPr>
          <w:trHeight w:val="748"/>
        </w:trPr>
        <w:tc>
          <w:tcPr>
            <w:tcW w:w="2242" w:type="dxa"/>
            <w:tcBorders>
              <w:top w:val="single" w:sz="4" w:space="0" w:color="auto"/>
              <w:left w:val="single" w:sz="4" w:space="0" w:color="auto"/>
              <w:bottom w:val="single" w:sz="4" w:space="0" w:color="auto"/>
              <w:right w:val="single" w:sz="4" w:space="0" w:color="auto"/>
            </w:tcBorders>
            <w:hideMark/>
          </w:tcPr>
          <w:p w14:paraId="06A07B3B" w14:textId="77777777" w:rsidR="00677577" w:rsidRPr="00632521" w:rsidRDefault="00677577" w:rsidP="00632521">
            <w:pPr>
              <w:spacing w:after="160"/>
              <w:rPr>
                <w:sz w:val="20"/>
                <w:szCs w:val="20"/>
              </w:rPr>
            </w:pPr>
            <w:r w:rsidRPr="00632521">
              <w:rPr>
                <w:sz w:val="20"/>
                <w:szCs w:val="20"/>
              </w:rPr>
              <w:t>Household, Income and Labour Dynamics in Australia (HILDA) survey</w:t>
            </w:r>
          </w:p>
        </w:tc>
        <w:tc>
          <w:tcPr>
            <w:tcW w:w="1574" w:type="dxa"/>
            <w:tcBorders>
              <w:top w:val="single" w:sz="4" w:space="0" w:color="auto"/>
              <w:left w:val="single" w:sz="4" w:space="0" w:color="auto"/>
              <w:bottom w:val="single" w:sz="4" w:space="0" w:color="auto"/>
              <w:right w:val="single" w:sz="4" w:space="0" w:color="auto"/>
            </w:tcBorders>
            <w:hideMark/>
          </w:tcPr>
          <w:p w14:paraId="55A44C0A" w14:textId="77777777" w:rsidR="00677577" w:rsidRPr="00632521" w:rsidRDefault="00677577" w:rsidP="00632521">
            <w:pPr>
              <w:spacing w:after="160"/>
              <w:rPr>
                <w:sz w:val="20"/>
                <w:szCs w:val="20"/>
              </w:rPr>
            </w:pPr>
            <w:r w:rsidRPr="00632521">
              <w:rPr>
                <w:sz w:val="20"/>
                <w:szCs w:val="20"/>
              </w:rPr>
              <w:t xml:space="preserve">Melbourne Institute </w:t>
            </w:r>
          </w:p>
        </w:tc>
        <w:tc>
          <w:tcPr>
            <w:tcW w:w="2830" w:type="dxa"/>
            <w:tcBorders>
              <w:top w:val="single" w:sz="4" w:space="0" w:color="auto"/>
              <w:left w:val="single" w:sz="4" w:space="0" w:color="auto"/>
              <w:bottom w:val="single" w:sz="4" w:space="0" w:color="auto"/>
              <w:right w:val="single" w:sz="4" w:space="0" w:color="auto"/>
            </w:tcBorders>
            <w:hideMark/>
          </w:tcPr>
          <w:p w14:paraId="1B061206" w14:textId="77777777" w:rsidR="00677577" w:rsidRPr="00632521" w:rsidRDefault="00677577" w:rsidP="00632521">
            <w:pPr>
              <w:spacing w:after="160"/>
              <w:rPr>
                <w:sz w:val="20"/>
                <w:szCs w:val="20"/>
              </w:rPr>
            </w:pPr>
            <w:r w:rsidRPr="00632521">
              <w:rPr>
                <w:sz w:val="20"/>
                <w:szCs w:val="20"/>
              </w:rPr>
              <w:t>Available annually since 2000.</w:t>
            </w:r>
          </w:p>
        </w:tc>
        <w:tc>
          <w:tcPr>
            <w:tcW w:w="7429" w:type="dxa"/>
            <w:tcBorders>
              <w:top w:val="single" w:sz="4" w:space="0" w:color="auto"/>
              <w:left w:val="single" w:sz="4" w:space="0" w:color="auto"/>
              <w:bottom w:val="single" w:sz="4" w:space="0" w:color="auto"/>
              <w:right w:val="single" w:sz="4" w:space="0" w:color="auto"/>
            </w:tcBorders>
            <w:hideMark/>
          </w:tcPr>
          <w:p w14:paraId="52EE235B" w14:textId="77777777" w:rsidR="00677577" w:rsidRPr="00632521" w:rsidRDefault="00677577" w:rsidP="00632521">
            <w:pPr>
              <w:spacing w:after="160"/>
              <w:rPr>
                <w:sz w:val="20"/>
                <w:szCs w:val="20"/>
              </w:rPr>
            </w:pPr>
            <w:r w:rsidRPr="00632521">
              <w:rPr>
                <w:sz w:val="20"/>
                <w:szCs w:val="20"/>
              </w:rPr>
              <w:t xml:space="preserve">Unit record data, with the survey collecting information from responding individuals on their usual weekly labour earnings in their main job and all jobs and total hours usually worked each week in main job and all jobs. HILDA data can be used to compute estimates of hourly wage and disaggregated trends by sector and gender. </w:t>
            </w:r>
          </w:p>
        </w:tc>
      </w:tr>
    </w:tbl>
    <w:p w14:paraId="6C5FEC37" w14:textId="77777777" w:rsidR="00677577" w:rsidRPr="00167CB8" w:rsidRDefault="00677577" w:rsidP="00677577">
      <w:pPr>
        <w:sectPr w:rsidR="00677577" w:rsidRPr="00167CB8" w:rsidSect="00677577">
          <w:pgSz w:w="16838" w:h="11906" w:orient="landscape"/>
          <w:pgMar w:top="1440" w:right="1440" w:bottom="1440" w:left="1440" w:header="708" w:footer="708" w:gutter="0"/>
          <w:cols w:space="720"/>
        </w:sectPr>
      </w:pPr>
    </w:p>
    <w:p w14:paraId="36F5ED12" w14:textId="21B05494" w:rsidR="00677577" w:rsidRPr="00167CB8" w:rsidRDefault="00677577" w:rsidP="00677577">
      <w:pPr>
        <w:pStyle w:val="Heading4"/>
      </w:pPr>
      <w:bookmarkStart w:id="868" w:name="_Toc186991766"/>
      <w:bookmarkStart w:id="869" w:name="_Toc189393670"/>
      <w:r w:rsidRPr="00167CB8">
        <w:t>3.1 W</w:t>
      </w:r>
      <w:r w:rsidR="007F380D">
        <w:t>age price index</w:t>
      </w:r>
      <w:r w:rsidRPr="00167CB8">
        <w:t xml:space="preserve"> data</w:t>
      </w:r>
      <w:bookmarkEnd w:id="868"/>
      <w:bookmarkEnd w:id="869"/>
    </w:p>
    <w:p w14:paraId="7CFDB5AF" w14:textId="167A1BA6" w:rsidR="0011475D" w:rsidRDefault="00677577" w:rsidP="00677577">
      <w:r w:rsidRPr="00632521">
        <w:t>Figure 3</w:t>
      </w:r>
      <w:r w:rsidR="00365C93" w:rsidRPr="00632521">
        <w:t>5</w:t>
      </w:r>
      <w:r w:rsidRPr="00A32FB1">
        <w:t>, based on the WPI, shows trends in nominal wages (total hourly rates of pay excluding</w:t>
      </w:r>
      <w:r w:rsidRPr="00167CB8">
        <w:t xml:space="preserve"> bonuses</w:t>
      </w:r>
      <w:r>
        <w:t>)</w:t>
      </w:r>
      <w:r w:rsidRPr="00167CB8">
        <w:t xml:space="preserve"> since </w:t>
      </w:r>
      <w:r>
        <w:t>December 2010.</w:t>
      </w:r>
      <w:r w:rsidRPr="00167CB8">
        <w:t xml:space="preserve"> Information on the CPI and </w:t>
      </w:r>
      <w:r>
        <w:t xml:space="preserve">trends in the real wage (the WPI deflated using the CPI) </w:t>
      </w:r>
      <w:r w:rsidR="007F380D">
        <w:t xml:space="preserve">is </w:t>
      </w:r>
      <w:r>
        <w:t>als</w:t>
      </w:r>
      <w:r w:rsidRPr="00167CB8">
        <w:t>o included for comparison purposes. Between 20</w:t>
      </w:r>
      <w:r>
        <w:t>10</w:t>
      </w:r>
      <w:r w:rsidRPr="00167CB8">
        <w:t xml:space="preserve"> and 2020 the WPI grew at a faster rate than the CPI</w:t>
      </w:r>
      <w:r w:rsidR="007F380D">
        <w:t>,</w:t>
      </w:r>
      <w:r w:rsidRPr="00167CB8">
        <w:t xml:space="preserve"> </w:t>
      </w:r>
      <w:r>
        <w:t xml:space="preserve">and real wages, therefore, similarly increased. </w:t>
      </w:r>
      <w:r w:rsidRPr="00167CB8">
        <w:t>This was reversed after COVID-19 owing to inflationary pressures</w:t>
      </w:r>
      <w:r>
        <w:t>. Since</w:t>
      </w:r>
      <w:r w:rsidRPr="00167CB8">
        <w:t xml:space="preserve"> September 2023 </w:t>
      </w:r>
      <w:r>
        <w:t>the WPI has, generally, grown faster than the CPI (particularly over the last two quarters)</w:t>
      </w:r>
      <w:r w:rsidR="007F380D">
        <w:t>,</w:t>
      </w:r>
      <w:r>
        <w:t xml:space="preserve"> resulting in a positive growth in real wages</w:t>
      </w:r>
      <w:r w:rsidRPr="00167CB8">
        <w:t>.</w:t>
      </w:r>
    </w:p>
    <w:p w14:paraId="48994BE9" w14:textId="4DCDEA87" w:rsidR="00677577" w:rsidRPr="00167CB8" w:rsidRDefault="00365C93" w:rsidP="007F380D">
      <w:pPr>
        <w:pStyle w:val="Caption"/>
      </w:pPr>
      <w:bookmarkStart w:id="870" w:name="_Toc186991788"/>
      <w:bookmarkStart w:id="871" w:name="_Toc189310821"/>
      <w:bookmarkStart w:id="872" w:name="_Toc194251533"/>
      <w:r>
        <w:t xml:space="preserve">Figure </w:t>
      </w:r>
      <w:r>
        <w:fldChar w:fldCharType="begin"/>
      </w:r>
      <w:r>
        <w:instrText xml:space="preserve"> SEQ Figure \* ARABIC </w:instrText>
      </w:r>
      <w:r>
        <w:fldChar w:fldCharType="separate"/>
      </w:r>
      <w:r w:rsidR="00DE5F5E">
        <w:rPr>
          <w:noProof/>
        </w:rPr>
        <w:t>35</w:t>
      </w:r>
      <w:r>
        <w:fldChar w:fldCharType="end"/>
      </w:r>
      <w:r>
        <w:t xml:space="preserve">: </w:t>
      </w:r>
      <w:r w:rsidR="00677577" w:rsidRPr="00C80EED">
        <w:t>Nominal and real wage growth in Australia indexed to December 2010</w:t>
      </w:r>
      <w:bookmarkEnd w:id="870"/>
      <w:bookmarkEnd w:id="871"/>
      <w:bookmarkEnd w:id="872"/>
    </w:p>
    <w:p w14:paraId="3C020309" w14:textId="4D8D6BD9" w:rsidR="00677577" w:rsidRPr="00167CB8" w:rsidRDefault="00677577" w:rsidP="00677577">
      <w:r w:rsidRPr="000262BD">
        <w:rPr>
          <w:noProof/>
        </w:rPr>
        <w:drawing>
          <wp:inline distT="0" distB="0" distL="0" distR="0" wp14:anchorId="2A656904" wp14:editId="7057E064">
            <wp:extent cx="5731510" cy="3742690"/>
            <wp:effectExtent l="0" t="0" r="2540" b="0"/>
            <wp:docPr id="1872024201" name="Picture 1" descr="A line chart of nominal and real wage growth in Australia.&#10;&#10;See alt-text following 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024201" name="Picture 1" descr="A line chart of nominal and real wage growth in Australia.&#10;&#10;See alt-text following note."/>
                    <pic:cNvPicPr/>
                  </pic:nvPicPr>
                  <pic:blipFill>
                    <a:blip r:embed="rId54"/>
                    <a:stretch>
                      <a:fillRect/>
                    </a:stretch>
                  </pic:blipFill>
                  <pic:spPr>
                    <a:xfrm>
                      <a:off x="0" y="0"/>
                      <a:ext cx="5731510" cy="3742690"/>
                    </a:xfrm>
                    <a:prstGeom prst="rect">
                      <a:avLst/>
                    </a:prstGeom>
                  </pic:spPr>
                </pic:pic>
              </a:graphicData>
            </a:graphic>
          </wp:inline>
        </w:drawing>
      </w:r>
    </w:p>
    <w:p w14:paraId="6F818D09" w14:textId="39C2836F" w:rsidR="00193C26" w:rsidRPr="00167CB8" w:rsidRDefault="00677577" w:rsidP="00677577">
      <w:pPr>
        <w:pStyle w:val="Source"/>
      </w:pPr>
      <w:r w:rsidRPr="00167CB8">
        <w:rPr>
          <w:b/>
          <w:bCs/>
        </w:rPr>
        <w:t>Note:</w:t>
      </w:r>
      <w:r w:rsidRPr="00167CB8">
        <w:t xml:space="preserve"> Calculations based on ABS Cat No 6345.0 (WPI), ABS Cat No 6401.0 (CPI)</w:t>
      </w:r>
      <w:r w:rsidR="007F380D">
        <w:t>.</w:t>
      </w:r>
      <w:r w:rsidR="00193C26">
        <w:t xml:space="preserve">  The red vertical line shows when the Secure Jobs, Better Pay amendments commenced.</w:t>
      </w:r>
    </w:p>
    <w:p w14:paraId="5FD959E3" w14:textId="2669AA5A" w:rsidR="00677577" w:rsidRPr="00167CB8" w:rsidRDefault="00677577" w:rsidP="00677577">
      <w:pPr>
        <w:pStyle w:val="Source"/>
      </w:pPr>
      <w:r w:rsidRPr="00167CB8">
        <w:rPr>
          <w:b/>
          <w:bCs/>
        </w:rPr>
        <w:t>Alt-text:</w:t>
      </w:r>
      <w:r w:rsidRPr="00167CB8">
        <w:t xml:space="preserve"> A line chart showing the trend in the WPI, CPI and </w:t>
      </w:r>
      <w:r>
        <w:t>real wage between December 2010 and December 2024</w:t>
      </w:r>
      <w:r w:rsidRPr="00167CB8" w:rsidDel="007F380D">
        <w:t>.</w:t>
      </w:r>
    </w:p>
    <w:p w14:paraId="305A4BCF" w14:textId="77777777" w:rsidR="00677577" w:rsidRPr="00167CB8" w:rsidRDefault="00677577" w:rsidP="00677577">
      <w:pPr>
        <w:rPr>
          <w:i/>
          <w:iCs/>
        </w:rPr>
      </w:pPr>
      <w:r w:rsidRPr="00167CB8">
        <w:br w:type="page"/>
      </w:r>
    </w:p>
    <w:p w14:paraId="131AFEB9" w14:textId="104DC6AC" w:rsidR="00677577" w:rsidRDefault="00677577" w:rsidP="00677577">
      <w:r w:rsidRPr="003D5B03">
        <w:t xml:space="preserve">Table </w:t>
      </w:r>
      <w:r w:rsidR="005F25C7" w:rsidRPr="003D5B03">
        <w:t>4</w:t>
      </w:r>
      <w:r w:rsidR="005F25C7">
        <w:t>1</w:t>
      </w:r>
      <w:r w:rsidR="005F25C7" w:rsidRPr="00A32FB1">
        <w:t xml:space="preserve"> </w:t>
      </w:r>
      <w:r w:rsidRPr="00A32FB1">
        <w:t xml:space="preserve">shows </w:t>
      </w:r>
      <w:r w:rsidR="00416DD5">
        <w:t>nominal wage growth and real wage growth</w:t>
      </w:r>
      <w:r w:rsidRPr="00A32FB1">
        <w:t>. Estimates elsewhere</w:t>
      </w:r>
      <w:r w:rsidRPr="00167CB8">
        <w:t xml:space="preserve"> point to a slowdown in Australian wage growth from around 2012.</w:t>
      </w:r>
      <w:r w:rsidRPr="00167CB8">
        <w:rPr>
          <w:vertAlign w:val="superscript"/>
        </w:rPr>
        <w:footnoteReference w:id="1330"/>
      </w:r>
      <w:r w:rsidRPr="00167CB8">
        <w:t xml:space="preserve"> This is also reflected in </w:t>
      </w:r>
      <w:r w:rsidRPr="003D5B03">
        <w:t>Figure 3</w:t>
      </w:r>
      <w:r w:rsidR="00365C93" w:rsidRPr="003D5B03">
        <w:t>6</w:t>
      </w:r>
      <w:r w:rsidRPr="00A32FB1">
        <w:t>, with real wage growth stalling (becoming negative) in 2014 and again in 2021. Most</w:t>
      </w:r>
      <w:r w:rsidRPr="00167CB8">
        <w:t xml:space="preserve"> recently available data points to a slower growth in the WPI and faster growth in real consumer wages, with the latter underpinned by a slowdown in inflation (slower growth in the CPI).</w:t>
      </w:r>
    </w:p>
    <w:p w14:paraId="0DAAAD5E" w14:textId="7B8F5AB1" w:rsidR="00677577" w:rsidRPr="00167CB8" w:rsidRDefault="00365C93" w:rsidP="007F380D">
      <w:pPr>
        <w:pStyle w:val="Caption"/>
      </w:pPr>
      <w:bookmarkStart w:id="873" w:name="_Ref184404578"/>
      <w:bookmarkStart w:id="874" w:name="_Toc186991816"/>
      <w:bookmarkStart w:id="875" w:name="_Toc189310867"/>
      <w:bookmarkStart w:id="876" w:name="_Toc194251465"/>
      <w:bookmarkStart w:id="877" w:name="_Ref184404602"/>
      <w:r>
        <w:t xml:space="preserve">Table </w:t>
      </w:r>
      <w:r>
        <w:fldChar w:fldCharType="begin"/>
      </w:r>
      <w:r>
        <w:instrText xml:space="preserve"> SEQ Table \* ARABIC </w:instrText>
      </w:r>
      <w:r>
        <w:fldChar w:fldCharType="separate"/>
      </w:r>
      <w:r w:rsidR="00DE5F5E">
        <w:rPr>
          <w:noProof/>
        </w:rPr>
        <w:t>41</w:t>
      </w:r>
      <w:r>
        <w:fldChar w:fldCharType="end"/>
      </w:r>
      <w:r>
        <w:t xml:space="preserve">: </w:t>
      </w:r>
      <w:bookmarkEnd w:id="873"/>
      <w:r w:rsidR="00677577" w:rsidRPr="00167CB8">
        <w:t>Real</w:t>
      </w:r>
      <w:r w:rsidR="00677577">
        <w:t xml:space="preserve"> and nominal</w:t>
      </w:r>
      <w:r w:rsidR="00677577" w:rsidRPr="00167CB8">
        <w:t xml:space="preserve"> wage growth</w:t>
      </w:r>
      <w:bookmarkEnd w:id="874"/>
      <w:bookmarkEnd w:id="875"/>
      <w:bookmarkEnd w:id="876"/>
    </w:p>
    <w:tbl>
      <w:tblPr>
        <w:tblW w:w="873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91"/>
        <w:gridCol w:w="1786"/>
        <w:gridCol w:w="1786"/>
        <w:gridCol w:w="1786"/>
        <w:gridCol w:w="1786"/>
      </w:tblGrid>
      <w:tr w:rsidR="00677577" w:rsidRPr="00167CB8" w14:paraId="50ED022D" w14:textId="77777777" w:rsidTr="00193C26">
        <w:trPr>
          <w:trHeight w:val="374"/>
        </w:trPr>
        <w:tc>
          <w:tcPr>
            <w:tcW w:w="1591" w:type="dxa"/>
            <w:tcBorders>
              <w:top w:val="single" w:sz="4" w:space="0" w:color="auto"/>
              <w:left w:val="single" w:sz="4" w:space="0" w:color="auto"/>
              <w:bottom w:val="single" w:sz="4" w:space="0" w:color="auto"/>
              <w:right w:val="nil"/>
            </w:tcBorders>
            <w:noWrap/>
            <w:vAlign w:val="bottom"/>
            <w:hideMark/>
          </w:tcPr>
          <w:p w14:paraId="67C99E6D" w14:textId="77777777" w:rsidR="00677577" w:rsidRPr="00FB5C13" w:rsidRDefault="00677577">
            <w:pPr>
              <w:spacing w:after="0" w:line="240" w:lineRule="auto"/>
              <w:rPr>
                <w:sz w:val="20"/>
                <w:szCs w:val="20"/>
              </w:rPr>
            </w:pPr>
          </w:p>
        </w:tc>
        <w:tc>
          <w:tcPr>
            <w:tcW w:w="1786" w:type="dxa"/>
            <w:tcBorders>
              <w:top w:val="single" w:sz="4" w:space="0" w:color="auto"/>
              <w:left w:val="nil"/>
              <w:bottom w:val="single" w:sz="4" w:space="0" w:color="auto"/>
              <w:right w:val="nil"/>
            </w:tcBorders>
            <w:vAlign w:val="bottom"/>
          </w:tcPr>
          <w:p w14:paraId="3CCFAD0A" w14:textId="77777777" w:rsidR="00677577" w:rsidRPr="00FB5C13" w:rsidRDefault="00677577" w:rsidP="00FB5C13">
            <w:pPr>
              <w:spacing w:after="0" w:line="240" w:lineRule="auto"/>
              <w:jc w:val="right"/>
              <w:rPr>
                <w:sz w:val="20"/>
                <w:szCs w:val="20"/>
              </w:rPr>
            </w:pPr>
            <w:r w:rsidRPr="00FB5C13">
              <w:rPr>
                <w:sz w:val="20"/>
                <w:szCs w:val="20"/>
              </w:rPr>
              <w:t>% change Dec 2010 to Dec 2022</w:t>
            </w:r>
          </w:p>
        </w:tc>
        <w:tc>
          <w:tcPr>
            <w:tcW w:w="1786" w:type="dxa"/>
            <w:tcBorders>
              <w:top w:val="single" w:sz="4" w:space="0" w:color="auto"/>
              <w:left w:val="nil"/>
              <w:bottom w:val="single" w:sz="4" w:space="0" w:color="auto"/>
              <w:right w:val="nil"/>
            </w:tcBorders>
            <w:noWrap/>
            <w:vAlign w:val="bottom"/>
            <w:hideMark/>
          </w:tcPr>
          <w:p w14:paraId="062E32A0" w14:textId="77777777" w:rsidR="00677577" w:rsidRPr="00FB5C13" w:rsidRDefault="00677577" w:rsidP="00FB5C13">
            <w:pPr>
              <w:spacing w:after="0" w:line="240" w:lineRule="auto"/>
              <w:jc w:val="right"/>
              <w:rPr>
                <w:sz w:val="20"/>
                <w:szCs w:val="20"/>
              </w:rPr>
            </w:pPr>
            <w:r w:rsidRPr="00FB5C13">
              <w:rPr>
                <w:sz w:val="20"/>
                <w:szCs w:val="20"/>
              </w:rPr>
              <w:t>% change Dec 22 to Dec 24</w:t>
            </w:r>
          </w:p>
        </w:tc>
        <w:tc>
          <w:tcPr>
            <w:tcW w:w="1786" w:type="dxa"/>
            <w:tcBorders>
              <w:top w:val="single" w:sz="4" w:space="0" w:color="auto"/>
              <w:left w:val="nil"/>
              <w:bottom w:val="single" w:sz="4" w:space="0" w:color="auto"/>
              <w:right w:val="nil"/>
            </w:tcBorders>
            <w:noWrap/>
            <w:vAlign w:val="bottom"/>
            <w:hideMark/>
          </w:tcPr>
          <w:p w14:paraId="4935A4B6" w14:textId="77777777" w:rsidR="0011475D" w:rsidRPr="00FB5C13" w:rsidRDefault="00677577" w:rsidP="00FB5C13">
            <w:pPr>
              <w:spacing w:after="0" w:line="240" w:lineRule="auto"/>
              <w:jc w:val="right"/>
              <w:rPr>
                <w:b/>
                <w:sz w:val="20"/>
                <w:szCs w:val="20"/>
              </w:rPr>
            </w:pPr>
            <w:r w:rsidRPr="00FB5C13">
              <w:rPr>
                <w:b/>
                <w:sz w:val="20"/>
                <w:szCs w:val="20"/>
              </w:rPr>
              <w:t>% change from corresponding quarter of previous year</w:t>
            </w:r>
          </w:p>
          <w:p w14:paraId="2D3156A9" w14:textId="2C3004D2" w:rsidR="00677577" w:rsidRPr="00FB5C13" w:rsidRDefault="00677577" w:rsidP="00FB5C13">
            <w:pPr>
              <w:spacing w:after="0" w:line="240" w:lineRule="auto"/>
              <w:jc w:val="right"/>
              <w:rPr>
                <w:sz w:val="20"/>
                <w:szCs w:val="20"/>
              </w:rPr>
            </w:pPr>
            <w:r w:rsidRPr="00FB5C13">
              <w:rPr>
                <w:sz w:val="20"/>
                <w:szCs w:val="20"/>
              </w:rPr>
              <w:t>Dec 22 to</w:t>
            </w:r>
          </w:p>
          <w:p w14:paraId="58D6605E" w14:textId="77777777" w:rsidR="00677577" w:rsidRPr="00FB5C13" w:rsidRDefault="00677577" w:rsidP="00FB5C13">
            <w:pPr>
              <w:spacing w:after="0" w:line="240" w:lineRule="auto"/>
              <w:jc w:val="right"/>
              <w:rPr>
                <w:sz w:val="20"/>
                <w:szCs w:val="20"/>
              </w:rPr>
            </w:pPr>
            <w:r w:rsidRPr="00FB5C13">
              <w:rPr>
                <w:sz w:val="20"/>
                <w:szCs w:val="20"/>
              </w:rPr>
              <w:t>Dec 23</w:t>
            </w:r>
          </w:p>
        </w:tc>
        <w:tc>
          <w:tcPr>
            <w:tcW w:w="1786" w:type="dxa"/>
            <w:tcBorders>
              <w:top w:val="single" w:sz="4" w:space="0" w:color="auto"/>
              <w:left w:val="nil"/>
              <w:bottom w:val="single" w:sz="4" w:space="0" w:color="auto"/>
              <w:right w:val="single" w:sz="4" w:space="0" w:color="auto"/>
            </w:tcBorders>
            <w:noWrap/>
            <w:vAlign w:val="bottom"/>
            <w:hideMark/>
          </w:tcPr>
          <w:p w14:paraId="5D45FE8C" w14:textId="77777777" w:rsidR="0011475D" w:rsidRPr="00FB5C13" w:rsidRDefault="00677577" w:rsidP="00FB5C13">
            <w:pPr>
              <w:spacing w:after="0" w:line="240" w:lineRule="auto"/>
              <w:jc w:val="right"/>
              <w:rPr>
                <w:b/>
                <w:sz w:val="20"/>
                <w:szCs w:val="20"/>
              </w:rPr>
            </w:pPr>
            <w:r w:rsidRPr="00FB5C13">
              <w:rPr>
                <w:b/>
                <w:sz w:val="20"/>
                <w:szCs w:val="20"/>
              </w:rPr>
              <w:t>% change from corresponding quarter of previous year</w:t>
            </w:r>
          </w:p>
          <w:p w14:paraId="1B3C10D7" w14:textId="29FCAB57" w:rsidR="00677577" w:rsidRPr="00FB5C13" w:rsidRDefault="00677577" w:rsidP="00FB5C13">
            <w:pPr>
              <w:spacing w:after="0" w:line="240" w:lineRule="auto"/>
              <w:jc w:val="right"/>
              <w:rPr>
                <w:sz w:val="20"/>
                <w:szCs w:val="20"/>
              </w:rPr>
            </w:pPr>
            <w:r w:rsidRPr="00FB5C13">
              <w:rPr>
                <w:sz w:val="20"/>
                <w:szCs w:val="20"/>
              </w:rPr>
              <w:t>Dec 23 to</w:t>
            </w:r>
          </w:p>
          <w:p w14:paraId="6A5EC65E" w14:textId="77777777" w:rsidR="00677577" w:rsidRPr="00FB5C13" w:rsidRDefault="00677577" w:rsidP="00FB5C13">
            <w:pPr>
              <w:spacing w:after="0" w:line="240" w:lineRule="auto"/>
              <w:jc w:val="right"/>
              <w:rPr>
                <w:sz w:val="20"/>
                <w:szCs w:val="20"/>
              </w:rPr>
            </w:pPr>
            <w:r w:rsidRPr="00FB5C13">
              <w:rPr>
                <w:sz w:val="20"/>
                <w:szCs w:val="20"/>
              </w:rPr>
              <w:t>Dec 24</w:t>
            </w:r>
          </w:p>
        </w:tc>
      </w:tr>
      <w:tr w:rsidR="00677577" w:rsidRPr="00167CB8" w14:paraId="2FE9D0A2" w14:textId="77777777" w:rsidTr="00193C26">
        <w:trPr>
          <w:trHeight w:val="374"/>
        </w:trPr>
        <w:tc>
          <w:tcPr>
            <w:tcW w:w="1591" w:type="dxa"/>
            <w:tcBorders>
              <w:top w:val="single" w:sz="4" w:space="0" w:color="auto"/>
              <w:left w:val="single" w:sz="4" w:space="0" w:color="auto"/>
              <w:bottom w:val="single" w:sz="4" w:space="0" w:color="auto"/>
              <w:right w:val="nil"/>
            </w:tcBorders>
            <w:noWrap/>
            <w:vAlign w:val="bottom"/>
            <w:hideMark/>
          </w:tcPr>
          <w:p w14:paraId="2F79661E" w14:textId="77777777" w:rsidR="00677577" w:rsidRPr="00FB5C13" w:rsidRDefault="00677577">
            <w:pPr>
              <w:spacing w:after="0" w:line="240" w:lineRule="auto"/>
              <w:rPr>
                <w:sz w:val="20"/>
                <w:szCs w:val="20"/>
              </w:rPr>
            </w:pPr>
            <w:r w:rsidRPr="00FB5C13">
              <w:rPr>
                <w:sz w:val="20"/>
                <w:szCs w:val="20"/>
              </w:rPr>
              <w:t>Nominal wage growth</w:t>
            </w:r>
          </w:p>
        </w:tc>
        <w:tc>
          <w:tcPr>
            <w:tcW w:w="1786" w:type="dxa"/>
            <w:tcBorders>
              <w:top w:val="single" w:sz="4" w:space="0" w:color="auto"/>
              <w:left w:val="nil"/>
              <w:bottom w:val="single" w:sz="4" w:space="0" w:color="auto"/>
              <w:right w:val="nil"/>
            </w:tcBorders>
            <w:vAlign w:val="center"/>
          </w:tcPr>
          <w:p w14:paraId="5F4F6AB5" w14:textId="77777777" w:rsidR="00677577" w:rsidRPr="00FB5C13" w:rsidDel="00234780" w:rsidRDefault="00677577" w:rsidP="00FB5C13">
            <w:pPr>
              <w:spacing w:after="0" w:line="240" w:lineRule="auto"/>
              <w:jc w:val="right"/>
              <w:rPr>
                <w:sz w:val="20"/>
                <w:szCs w:val="20"/>
              </w:rPr>
            </w:pPr>
            <w:r w:rsidRPr="00FB5C13">
              <w:rPr>
                <w:sz w:val="20"/>
                <w:szCs w:val="20"/>
              </w:rPr>
              <w:t>34.3%</w:t>
            </w:r>
          </w:p>
        </w:tc>
        <w:tc>
          <w:tcPr>
            <w:tcW w:w="1786" w:type="dxa"/>
            <w:tcBorders>
              <w:top w:val="single" w:sz="4" w:space="0" w:color="auto"/>
              <w:left w:val="nil"/>
              <w:bottom w:val="single" w:sz="4" w:space="0" w:color="auto"/>
              <w:right w:val="nil"/>
            </w:tcBorders>
            <w:noWrap/>
            <w:vAlign w:val="center"/>
            <w:hideMark/>
          </w:tcPr>
          <w:p w14:paraId="04BD8B7B" w14:textId="77777777" w:rsidR="00677577" w:rsidRPr="00FB5C13" w:rsidRDefault="00677577" w:rsidP="00FB5C13">
            <w:pPr>
              <w:spacing w:after="0" w:line="240" w:lineRule="auto"/>
              <w:jc w:val="right"/>
              <w:rPr>
                <w:sz w:val="20"/>
                <w:szCs w:val="20"/>
              </w:rPr>
            </w:pPr>
            <w:r w:rsidRPr="00FB5C13">
              <w:rPr>
                <w:sz w:val="20"/>
                <w:szCs w:val="20"/>
              </w:rPr>
              <w:t>7.6%</w:t>
            </w:r>
          </w:p>
        </w:tc>
        <w:tc>
          <w:tcPr>
            <w:tcW w:w="1786" w:type="dxa"/>
            <w:tcBorders>
              <w:top w:val="single" w:sz="4" w:space="0" w:color="auto"/>
              <w:left w:val="nil"/>
              <w:bottom w:val="single" w:sz="4" w:space="0" w:color="auto"/>
              <w:right w:val="nil"/>
            </w:tcBorders>
            <w:noWrap/>
            <w:vAlign w:val="center"/>
            <w:hideMark/>
          </w:tcPr>
          <w:p w14:paraId="769CAC78" w14:textId="77777777" w:rsidR="00677577" w:rsidRPr="00FB5C13" w:rsidRDefault="00677577" w:rsidP="00FB5C13">
            <w:pPr>
              <w:spacing w:after="0" w:line="240" w:lineRule="auto"/>
              <w:jc w:val="right"/>
              <w:rPr>
                <w:sz w:val="20"/>
                <w:szCs w:val="20"/>
              </w:rPr>
            </w:pPr>
            <w:r w:rsidRPr="00FB5C13">
              <w:rPr>
                <w:sz w:val="20"/>
                <w:szCs w:val="20"/>
              </w:rPr>
              <w:t>4.3%</w:t>
            </w:r>
          </w:p>
        </w:tc>
        <w:tc>
          <w:tcPr>
            <w:tcW w:w="1786" w:type="dxa"/>
            <w:tcBorders>
              <w:top w:val="single" w:sz="4" w:space="0" w:color="auto"/>
              <w:left w:val="nil"/>
              <w:bottom w:val="single" w:sz="4" w:space="0" w:color="auto"/>
              <w:right w:val="single" w:sz="4" w:space="0" w:color="auto"/>
            </w:tcBorders>
            <w:noWrap/>
            <w:vAlign w:val="center"/>
            <w:hideMark/>
          </w:tcPr>
          <w:p w14:paraId="73918009" w14:textId="77777777" w:rsidR="00677577" w:rsidRPr="00FB5C13" w:rsidRDefault="00677577" w:rsidP="00FB5C13">
            <w:pPr>
              <w:spacing w:after="0" w:line="240" w:lineRule="auto"/>
              <w:jc w:val="right"/>
              <w:rPr>
                <w:sz w:val="20"/>
                <w:szCs w:val="20"/>
              </w:rPr>
            </w:pPr>
            <w:r w:rsidRPr="00FB5C13">
              <w:rPr>
                <w:sz w:val="20"/>
                <w:szCs w:val="20"/>
              </w:rPr>
              <w:t>3.2%</w:t>
            </w:r>
          </w:p>
        </w:tc>
      </w:tr>
      <w:tr w:rsidR="00677577" w:rsidRPr="00167CB8" w14:paraId="4F0E45BE" w14:textId="77777777" w:rsidTr="00193C26">
        <w:trPr>
          <w:trHeight w:val="374"/>
        </w:trPr>
        <w:tc>
          <w:tcPr>
            <w:tcW w:w="1591" w:type="dxa"/>
            <w:tcBorders>
              <w:top w:val="single" w:sz="4" w:space="0" w:color="auto"/>
              <w:left w:val="single" w:sz="4" w:space="0" w:color="auto"/>
              <w:bottom w:val="single" w:sz="4" w:space="0" w:color="auto"/>
              <w:right w:val="nil"/>
            </w:tcBorders>
            <w:noWrap/>
            <w:vAlign w:val="bottom"/>
            <w:hideMark/>
          </w:tcPr>
          <w:p w14:paraId="37F597F7" w14:textId="77777777" w:rsidR="00677577" w:rsidRPr="00FB5C13" w:rsidRDefault="00677577">
            <w:pPr>
              <w:spacing w:after="0" w:line="240" w:lineRule="auto"/>
              <w:rPr>
                <w:sz w:val="20"/>
                <w:szCs w:val="20"/>
              </w:rPr>
            </w:pPr>
            <w:r w:rsidRPr="00FB5C13">
              <w:rPr>
                <w:sz w:val="20"/>
                <w:szCs w:val="20"/>
              </w:rPr>
              <w:t>Real wage growth</w:t>
            </w:r>
          </w:p>
        </w:tc>
        <w:tc>
          <w:tcPr>
            <w:tcW w:w="1786" w:type="dxa"/>
            <w:tcBorders>
              <w:top w:val="single" w:sz="4" w:space="0" w:color="auto"/>
              <w:left w:val="nil"/>
              <w:bottom w:val="single" w:sz="4" w:space="0" w:color="auto"/>
              <w:right w:val="nil"/>
            </w:tcBorders>
            <w:vAlign w:val="center"/>
          </w:tcPr>
          <w:p w14:paraId="63D3B2A6" w14:textId="77777777" w:rsidR="00677577" w:rsidRPr="00FB5C13" w:rsidDel="00234780" w:rsidRDefault="00677577" w:rsidP="00FB5C13">
            <w:pPr>
              <w:spacing w:after="0" w:line="240" w:lineRule="auto"/>
              <w:jc w:val="right"/>
              <w:rPr>
                <w:sz w:val="20"/>
                <w:szCs w:val="20"/>
              </w:rPr>
            </w:pPr>
            <w:r w:rsidRPr="00FB5C13">
              <w:rPr>
                <w:sz w:val="20"/>
                <w:szCs w:val="20"/>
              </w:rPr>
              <w:t>0.3%</w:t>
            </w:r>
          </w:p>
        </w:tc>
        <w:tc>
          <w:tcPr>
            <w:tcW w:w="1786" w:type="dxa"/>
            <w:tcBorders>
              <w:top w:val="single" w:sz="4" w:space="0" w:color="auto"/>
              <w:left w:val="nil"/>
              <w:bottom w:val="single" w:sz="4" w:space="0" w:color="auto"/>
              <w:right w:val="nil"/>
            </w:tcBorders>
            <w:noWrap/>
            <w:vAlign w:val="center"/>
            <w:hideMark/>
          </w:tcPr>
          <w:p w14:paraId="4B7974ED" w14:textId="77777777" w:rsidR="00677577" w:rsidRPr="00FB5C13" w:rsidRDefault="00677577" w:rsidP="00FB5C13">
            <w:pPr>
              <w:spacing w:after="0" w:line="240" w:lineRule="auto"/>
              <w:jc w:val="right"/>
              <w:rPr>
                <w:sz w:val="20"/>
                <w:szCs w:val="20"/>
              </w:rPr>
            </w:pPr>
            <w:r w:rsidRPr="00FB5C13">
              <w:rPr>
                <w:sz w:val="20"/>
                <w:szCs w:val="20"/>
              </w:rPr>
              <w:t>1.5%</w:t>
            </w:r>
          </w:p>
        </w:tc>
        <w:tc>
          <w:tcPr>
            <w:tcW w:w="1786" w:type="dxa"/>
            <w:tcBorders>
              <w:top w:val="single" w:sz="4" w:space="0" w:color="auto"/>
              <w:left w:val="nil"/>
              <w:bottom w:val="single" w:sz="4" w:space="0" w:color="auto"/>
              <w:right w:val="nil"/>
            </w:tcBorders>
            <w:noWrap/>
            <w:vAlign w:val="center"/>
            <w:hideMark/>
          </w:tcPr>
          <w:p w14:paraId="0D879426" w14:textId="77777777" w:rsidR="00677577" w:rsidRPr="00FB5C13" w:rsidRDefault="00677577" w:rsidP="00FB5C13">
            <w:pPr>
              <w:spacing w:after="0" w:line="240" w:lineRule="auto"/>
              <w:jc w:val="right"/>
              <w:rPr>
                <w:sz w:val="20"/>
                <w:szCs w:val="20"/>
              </w:rPr>
            </w:pPr>
            <w:r w:rsidRPr="00FB5C13">
              <w:rPr>
                <w:sz w:val="20"/>
                <w:szCs w:val="20"/>
              </w:rPr>
              <w:t>0.2%</w:t>
            </w:r>
          </w:p>
        </w:tc>
        <w:tc>
          <w:tcPr>
            <w:tcW w:w="1786" w:type="dxa"/>
            <w:tcBorders>
              <w:top w:val="single" w:sz="4" w:space="0" w:color="auto"/>
              <w:left w:val="nil"/>
              <w:bottom w:val="single" w:sz="4" w:space="0" w:color="auto"/>
              <w:right w:val="single" w:sz="4" w:space="0" w:color="auto"/>
            </w:tcBorders>
            <w:noWrap/>
            <w:vAlign w:val="center"/>
            <w:hideMark/>
          </w:tcPr>
          <w:p w14:paraId="254B266F" w14:textId="77777777" w:rsidR="00677577" w:rsidRPr="00FB5C13" w:rsidRDefault="00677577" w:rsidP="00FB5C13">
            <w:pPr>
              <w:spacing w:after="0" w:line="240" w:lineRule="auto"/>
              <w:jc w:val="right"/>
              <w:rPr>
                <w:sz w:val="20"/>
                <w:szCs w:val="20"/>
              </w:rPr>
            </w:pPr>
            <w:r w:rsidRPr="00FB5C13">
              <w:rPr>
                <w:sz w:val="20"/>
                <w:szCs w:val="20"/>
              </w:rPr>
              <w:t>0.8%</w:t>
            </w:r>
          </w:p>
        </w:tc>
      </w:tr>
    </w:tbl>
    <w:p w14:paraId="685B2011" w14:textId="12EF73FE" w:rsidR="0011475D" w:rsidRDefault="00677577" w:rsidP="00677577">
      <w:pPr>
        <w:pStyle w:val="Source"/>
      </w:pPr>
      <w:r w:rsidRPr="00167CB8">
        <w:rPr>
          <w:b/>
          <w:bCs/>
        </w:rPr>
        <w:t>Source:</w:t>
      </w:r>
      <w:r w:rsidRPr="00167CB8">
        <w:t xml:space="preserve"> ABS Cat No 6345.0 (WPI), ABS Cat No 6401.0 (CPI)</w:t>
      </w:r>
      <w:r w:rsidR="007F380D">
        <w:t>.</w:t>
      </w:r>
    </w:p>
    <w:p w14:paraId="06C1B881" w14:textId="57A4C41A" w:rsidR="007F380D" w:rsidRDefault="007F380D">
      <w:pPr>
        <w:spacing w:after="160"/>
        <w:rPr>
          <w:sz w:val="18"/>
        </w:rPr>
      </w:pPr>
      <w:r>
        <w:br w:type="page"/>
      </w:r>
    </w:p>
    <w:p w14:paraId="2E09DDF5" w14:textId="4568534A" w:rsidR="00677577" w:rsidRPr="00167CB8" w:rsidRDefault="00365C93" w:rsidP="007F380D">
      <w:pPr>
        <w:pStyle w:val="Caption"/>
      </w:pPr>
      <w:bookmarkStart w:id="878" w:name="_Toc186991789"/>
      <w:bookmarkStart w:id="879" w:name="_Toc189310822"/>
      <w:bookmarkStart w:id="880" w:name="_Toc194251534"/>
      <w:bookmarkEnd w:id="877"/>
      <w:r>
        <w:t xml:space="preserve">Figure </w:t>
      </w:r>
      <w:r>
        <w:fldChar w:fldCharType="begin"/>
      </w:r>
      <w:r>
        <w:instrText xml:space="preserve"> SEQ Figure \* ARABIC </w:instrText>
      </w:r>
      <w:r>
        <w:fldChar w:fldCharType="separate"/>
      </w:r>
      <w:r w:rsidR="00DE5F5E">
        <w:rPr>
          <w:noProof/>
        </w:rPr>
        <w:t>36</w:t>
      </w:r>
      <w:r>
        <w:fldChar w:fldCharType="end"/>
      </w:r>
      <w:r>
        <w:t xml:space="preserve">: </w:t>
      </w:r>
      <w:r w:rsidR="00677577" w:rsidRPr="00167CB8">
        <w:t>Nominal and real</w:t>
      </w:r>
      <w:r w:rsidR="00677577">
        <w:t xml:space="preserve"> annual</w:t>
      </w:r>
      <w:r w:rsidR="00677577" w:rsidRPr="00167CB8">
        <w:t xml:space="preserve"> wage growth in Australia, </w:t>
      </w:r>
      <w:r w:rsidR="00677577">
        <w:t>December</w:t>
      </w:r>
      <w:r w:rsidR="00677577" w:rsidRPr="00167CB8">
        <w:t xml:space="preserve"> 2010 to </w:t>
      </w:r>
      <w:r w:rsidR="00677577">
        <w:t>December</w:t>
      </w:r>
      <w:r w:rsidR="00677577" w:rsidRPr="00167CB8">
        <w:t xml:space="preserve"> 2024</w:t>
      </w:r>
      <w:bookmarkEnd w:id="878"/>
      <w:bookmarkEnd w:id="879"/>
      <w:bookmarkEnd w:id="880"/>
    </w:p>
    <w:p w14:paraId="4B94DE30" w14:textId="456F349B" w:rsidR="00677577" w:rsidRPr="00167CB8" w:rsidRDefault="00677577" w:rsidP="00677577">
      <w:r w:rsidRPr="00216015">
        <w:rPr>
          <w:noProof/>
        </w:rPr>
        <w:drawing>
          <wp:inline distT="0" distB="0" distL="0" distR="0" wp14:anchorId="68B37AA5" wp14:editId="645F2CC5">
            <wp:extent cx="5731510" cy="3748405"/>
            <wp:effectExtent l="0" t="0" r="2540" b="4445"/>
            <wp:docPr id="1085868476" name="Picture 1" descr="A line chart showing nominal and real annual wage growth.&#10;&#10;See alt-text following 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868476" name="Picture 1" descr="A line chart showing nominal and real annual wage growth.&#10;&#10;See alt-text following Notes."/>
                    <pic:cNvPicPr/>
                  </pic:nvPicPr>
                  <pic:blipFill>
                    <a:blip r:embed="rId20"/>
                    <a:stretch>
                      <a:fillRect/>
                    </a:stretch>
                  </pic:blipFill>
                  <pic:spPr>
                    <a:xfrm>
                      <a:off x="0" y="0"/>
                      <a:ext cx="5731510" cy="3748405"/>
                    </a:xfrm>
                    <a:prstGeom prst="rect">
                      <a:avLst/>
                    </a:prstGeom>
                  </pic:spPr>
                </pic:pic>
              </a:graphicData>
            </a:graphic>
          </wp:inline>
        </w:drawing>
      </w:r>
    </w:p>
    <w:p w14:paraId="500C6C94" w14:textId="77777777" w:rsidR="0011475D" w:rsidRDefault="00677577" w:rsidP="00677577">
      <w:pPr>
        <w:pStyle w:val="Source"/>
        <w:rPr>
          <w:b/>
          <w:bCs/>
        </w:rPr>
      </w:pPr>
      <w:r w:rsidRPr="00167CB8">
        <w:rPr>
          <w:b/>
          <w:bCs/>
        </w:rPr>
        <w:t>Note:</w:t>
      </w:r>
    </w:p>
    <w:p w14:paraId="69E84CB5" w14:textId="10E77F5C" w:rsidR="007F380D" w:rsidRDefault="00677577" w:rsidP="00677577">
      <w:pPr>
        <w:pStyle w:val="Source"/>
      </w:pPr>
      <w:r w:rsidRPr="00167CB8">
        <w:t xml:space="preserve">1. </w:t>
      </w:r>
      <w:r w:rsidR="007F380D">
        <w:t>CPI: consumer price index.</w:t>
      </w:r>
    </w:p>
    <w:p w14:paraId="4EA40D20" w14:textId="6A2BF173" w:rsidR="00677577" w:rsidRPr="00167CB8" w:rsidRDefault="007F380D" w:rsidP="00677577">
      <w:pPr>
        <w:pStyle w:val="Source"/>
      </w:pPr>
      <w:r>
        <w:t xml:space="preserve">2. </w:t>
      </w:r>
      <w:r w:rsidR="00677577" w:rsidRPr="00167CB8">
        <w:t>ABS 6345.0 Wage Price Index, Australia. Table 1, Total hourly rates of pay excluding bonuses, original.</w:t>
      </w:r>
    </w:p>
    <w:p w14:paraId="06986895" w14:textId="67C07827" w:rsidR="00677577" w:rsidRPr="00167CB8" w:rsidRDefault="007F380D" w:rsidP="00677577">
      <w:pPr>
        <w:pStyle w:val="Source"/>
      </w:pPr>
      <w:r>
        <w:t>3</w:t>
      </w:r>
      <w:r w:rsidR="00677577" w:rsidRPr="00167CB8">
        <w:t>. ABS 6401.0 Consumer Price Index, Australia. Tables 1 and 2, All groups CPI Australia, original.</w:t>
      </w:r>
    </w:p>
    <w:p w14:paraId="1FF0DB72" w14:textId="7714D4FB" w:rsidR="00677577" w:rsidRDefault="007F380D" w:rsidP="00677577">
      <w:pPr>
        <w:pStyle w:val="Source"/>
      </w:pPr>
      <w:r>
        <w:t>4</w:t>
      </w:r>
      <w:r w:rsidR="00677577" w:rsidRPr="00167CB8">
        <w:t xml:space="preserve">. Real wages derived by subtracting the CPI from the </w:t>
      </w:r>
      <w:r>
        <w:t>wage price index</w:t>
      </w:r>
      <w:r w:rsidR="00677577" w:rsidRPr="00167CB8">
        <w:t>.</w:t>
      </w:r>
    </w:p>
    <w:p w14:paraId="7D280EF0" w14:textId="6A46AA18" w:rsidR="002E24EE" w:rsidRPr="00167CB8" w:rsidRDefault="002E24EE" w:rsidP="00677577">
      <w:pPr>
        <w:pStyle w:val="Source"/>
      </w:pPr>
      <w:r>
        <w:t>5. The red vertical line shows when the Secure Job, Better Pay amendments commenced.</w:t>
      </w:r>
    </w:p>
    <w:p w14:paraId="5D706C94" w14:textId="77777777" w:rsidR="002234AF" w:rsidRPr="00F405AB" w:rsidRDefault="002234AF" w:rsidP="002234AF">
      <w:pPr>
        <w:pStyle w:val="Source"/>
      </w:pPr>
      <w:bookmarkStart w:id="881" w:name="_Ref184404628"/>
      <w:bookmarkStart w:id="882" w:name="_Ref184404623"/>
      <w:r w:rsidRPr="00284CB9">
        <w:rPr>
          <w:b/>
          <w:bCs/>
        </w:rPr>
        <w:t>Alt-text:</w:t>
      </w:r>
      <w:r>
        <w:t xml:space="preserve"> A line chart showing the nominal and real wage growth, in comparison to the CPI between December 2010 and December 2024.</w:t>
      </w:r>
    </w:p>
    <w:p w14:paraId="46A8DD59" w14:textId="0140F5DC" w:rsidR="0011475D" w:rsidRDefault="00677577" w:rsidP="00677577">
      <w:r w:rsidRPr="00385A8D">
        <w:t xml:space="preserve">Table </w:t>
      </w:r>
      <w:r w:rsidR="003E5B44" w:rsidRPr="00385A8D">
        <w:t>4</w:t>
      </w:r>
      <w:r w:rsidR="003E5B44">
        <w:t>2</w:t>
      </w:r>
      <w:r w:rsidR="003E5B44" w:rsidRPr="00A32FB1">
        <w:t xml:space="preserve"> </w:t>
      </w:r>
      <w:r w:rsidRPr="00A32FB1">
        <w:t>shows nominal wage growth by sector. Estimates in column 2 show that certain</w:t>
      </w:r>
      <w:r w:rsidRPr="00167CB8">
        <w:t xml:space="preserve"> industries such as manufacturing, construction, education and training, and health care and social assistance (private sector) have experienced above average wage growth since December 2022. Sectors with below average wage growth include health care and social assistance workers (public sector)</w:t>
      </w:r>
      <w:r w:rsidR="007F380D">
        <w:t>;</w:t>
      </w:r>
      <w:r w:rsidRPr="00167CB8">
        <w:t xml:space="preserve"> arts and recreational services</w:t>
      </w:r>
      <w:r w:rsidR="007F380D">
        <w:t>;</w:t>
      </w:r>
      <w:r w:rsidRPr="00167CB8">
        <w:t xml:space="preserve"> and rental, hiring and real estate services.</w:t>
      </w:r>
    </w:p>
    <w:p w14:paraId="779CF569" w14:textId="07AE596A" w:rsidR="00677577" w:rsidRPr="00167CB8" w:rsidRDefault="00677577" w:rsidP="00677577">
      <w:r w:rsidRPr="00167CB8">
        <w:br w:type="page"/>
      </w:r>
    </w:p>
    <w:p w14:paraId="5B7FB09C" w14:textId="02A2772E" w:rsidR="00677577" w:rsidRPr="00167CB8" w:rsidRDefault="00365C93" w:rsidP="007F380D">
      <w:pPr>
        <w:pStyle w:val="Caption"/>
      </w:pPr>
      <w:bookmarkStart w:id="883" w:name="_Ref186903704"/>
      <w:bookmarkStart w:id="884" w:name="_Toc186991817"/>
      <w:bookmarkStart w:id="885" w:name="_Toc189310868"/>
      <w:bookmarkStart w:id="886" w:name="_Toc194251466"/>
      <w:r>
        <w:t xml:space="preserve">Table </w:t>
      </w:r>
      <w:r>
        <w:fldChar w:fldCharType="begin"/>
      </w:r>
      <w:r>
        <w:instrText xml:space="preserve"> SEQ Table \* ARABIC </w:instrText>
      </w:r>
      <w:r>
        <w:fldChar w:fldCharType="separate"/>
      </w:r>
      <w:r w:rsidR="00DE5F5E">
        <w:rPr>
          <w:noProof/>
        </w:rPr>
        <w:t>42</w:t>
      </w:r>
      <w:r>
        <w:fldChar w:fldCharType="end"/>
      </w:r>
      <w:r>
        <w:t xml:space="preserve">: </w:t>
      </w:r>
      <w:bookmarkEnd w:id="881"/>
      <w:bookmarkEnd w:id="883"/>
      <w:r w:rsidR="00677577" w:rsidRPr="00167CB8">
        <w:t>Nominal</w:t>
      </w:r>
      <w:r w:rsidR="00677577">
        <w:t xml:space="preserve"> and real</w:t>
      </w:r>
      <w:r w:rsidR="00677577" w:rsidRPr="00167CB8">
        <w:t xml:space="preserve"> wage growth by industry and sectors</w:t>
      </w:r>
      <w:r w:rsidR="00677577">
        <w:t>, December 2010 to December 2024</w:t>
      </w:r>
      <w:bookmarkEnd w:id="882"/>
      <w:bookmarkEnd w:id="884"/>
      <w:bookmarkEnd w:id="885"/>
      <w:bookmarkEnd w:id="886"/>
    </w:p>
    <w:tbl>
      <w:tblPr>
        <w:tblW w:w="931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673"/>
        <w:gridCol w:w="1409"/>
        <w:gridCol w:w="1409"/>
        <w:gridCol w:w="1409"/>
        <w:gridCol w:w="1410"/>
      </w:tblGrid>
      <w:tr w:rsidR="00677577" w:rsidRPr="00167CB8" w14:paraId="7621DCE0" w14:textId="77777777" w:rsidTr="00E3552B">
        <w:trPr>
          <w:trHeight w:val="346"/>
        </w:trPr>
        <w:tc>
          <w:tcPr>
            <w:tcW w:w="3673" w:type="dxa"/>
            <w:tcBorders>
              <w:top w:val="single" w:sz="4" w:space="0" w:color="auto"/>
              <w:left w:val="single" w:sz="4" w:space="0" w:color="auto"/>
              <w:bottom w:val="nil"/>
              <w:right w:val="nil"/>
            </w:tcBorders>
            <w:vAlign w:val="center"/>
          </w:tcPr>
          <w:p w14:paraId="4CA73DFE" w14:textId="77777777" w:rsidR="00677577" w:rsidRPr="00C73F11" w:rsidRDefault="00677577">
            <w:pPr>
              <w:spacing w:after="0" w:line="240" w:lineRule="auto"/>
              <w:rPr>
                <w:sz w:val="20"/>
                <w:szCs w:val="20"/>
              </w:rPr>
            </w:pPr>
          </w:p>
        </w:tc>
        <w:tc>
          <w:tcPr>
            <w:tcW w:w="2818" w:type="dxa"/>
            <w:gridSpan w:val="2"/>
            <w:tcBorders>
              <w:top w:val="single" w:sz="4" w:space="0" w:color="auto"/>
              <w:left w:val="nil"/>
              <w:bottom w:val="nil"/>
              <w:right w:val="nil"/>
            </w:tcBorders>
            <w:vAlign w:val="center"/>
          </w:tcPr>
          <w:p w14:paraId="470213A3" w14:textId="77777777" w:rsidR="00677577" w:rsidRDefault="00677577">
            <w:pPr>
              <w:spacing w:after="0" w:line="240" w:lineRule="auto"/>
              <w:jc w:val="center"/>
              <w:rPr>
                <w:sz w:val="20"/>
                <w:szCs w:val="20"/>
              </w:rPr>
            </w:pPr>
            <w:r>
              <w:rPr>
                <w:sz w:val="20"/>
                <w:szCs w:val="20"/>
              </w:rPr>
              <w:t>Nominal wage growth</w:t>
            </w:r>
          </w:p>
        </w:tc>
        <w:tc>
          <w:tcPr>
            <w:tcW w:w="2819" w:type="dxa"/>
            <w:gridSpan w:val="2"/>
            <w:tcBorders>
              <w:top w:val="single" w:sz="4" w:space="0" w:color="auto"/>
              <w:left w:val="nil"/>
              <w:bottom w:val="nil"/>
              <w:right w:val="single" w:sz="4" w:space="0" w:color="auto"/>
            </w:tcBorders>
            <w:noWrap/>
            <w:vAlign w:val="center"/>
          </w:tcPr>
          <w:p w14:paraId="35B8304D" w14:textId="77777777" w:rsidR="00677577" w:rsidRDefault="00677577">
            <w:pPr>
              <w:spacing w:after="0" w:line="240" w:lineRule="auto"/>
              <w:jc w:val="center"/>
              <w:rPr>
                <w:sz w:val="20"/>
                <w:szCs w:val="20"/>
              </w:rPr>
            </w:pPr>
            <w:r>
              <w:rPr>
                <w:sz w:val="20"/>
                <w:szCs w:val="20"/>
              </w:rPr>
              <w:t>Real wage growth</w:t>
            </w:r>
          </w:p>
        </w:tc>
      </w:tr>
      <w:tr w:rsidR="00677577" w:rsidRPr="00167CB8" w14:paraId="2FBC417D" w14:textId="77777777" w:rsidTr="00E3552B">
        <w:trPr>
          <w:trHeight w:val="346"/>
        </w:trPr>
        <w:tc>
          <w:tcPr>
            <w:tcW w:w="3673" w:type="dxa"/>
            <w:tcBorders>
              <w:top w:val="single" w:sz="4" w:space="0" w:color="auto"/>
              <w:left w:val="single" w:sz="4" w:space="0" w:color="auto"/>
              <w:bottom w:val="nil"/>
              <w:right w:val="nil"/>
            </w:tcBorders>
            <w:vAlign w:val="center"/>
          </w:tcPr>
          <w:p w14:paraId="0C237497" w14:textId="77777777" w:rsidR="00677577" w:rsidRPr="00C73F11" w:rsidRDefault="00677577">
            <w:pPr>
              <w:spacing w:after="0" w:line="240" w:lineRule="auto"/>
              <w:rPr>
                <w:sz w:val="20"/>
                <w:szCs w:val="20"/>
              </w:rPr>
            </w:pPr>
          </w:p>
        </w:tc>
        <w:tc>
          <w:tcPr>
            <w:tcW w:w="1409" w:type="dxa"/>
            <w:tcBorders>
              <w:top w:val="single" w:sz="4" w:space="0" w:color="auto"/>
              <w:left w:val="nil"/>
              <w:bottom w:val="nil"/>
              <w:right w:val="nil"/>
            </w:tcBorders>
            <w:vAlign w:val="center"/>
          </w:tcPr>
          <w:p w14:paraId="473C7808" w14:textId="77777777" w:rsidR="00677577" w:rsidRPr="00C73F11" w:rsidRDefault="00677577" w:rsidP="00435588">
            <w:pPr>
              <w:spacing w:after="0" w:line="240" w:lineRule="auto"/>
              <w:jc w:val="right"/>
              <w:rPr>
                <w:sz w:val="20"/>
                <w:szCs w:val="20"/>
              </w:rPr>
            </w:pPr>
            <w:r>
              <w:rPr>
                <w:sz w:val="20"/>
                <w:szCs w:val="20"/>
              </w:rPr>
              <w:t>Dec-2010 to Dec-2022</w:t>
            </w:r>
          </w:p>
        </w:tc>
        <w:tc>
          <w:tcPr>
            <w:tcW w:w="1409" w:type="dxa"/>
            <w:tcBorders>
              <w:top w:val="single" w:sz="4" w:space="0" w:color="auto"/>
              <w:left w:val="nil"/>
              <w:bottom w:val="nil"/>
              <w:right w:val="nil"/>
            </w:tcBorders>
            <w:vAlign w:val="center"/>
          </w:tcPr>
          <w:p w14:paraId="75D5A711" w14:textId="77777777" w:rsidR="00677577" w:rsidRPr="00C73F11" w:rsidRDefault="00677577" w:rsidP="00435588">
            <w:pPr>
              <w:spacing w:after="0" w:line="240" w:lineRule="auto"/>
              <w:jc w:val="right"/>
              <w:rPr>
                <w:sz w:val="20"/>
                <w:szCs w:val="20"/>
              </w:rPr>
            </w:pPr>
            <w:r>
              <w:rPr>
                <w:sz w:val="20"/>
                <w:szCs w:val="20"/>
              </w:rPr>
              <w:t>Dec-2022 to Dec-2024</w:t>
            </w:r>
          </w:p>
        </w:tc>
        <w:tc>
          <w:tcPr>
            <w:tcW w:w="1409" w:type="dxa"/>
            <w:tcBorders>
              <w:top w:val="single" w:sz="4" w:space="0" w:color="auto"/>
              <w:left w:val="nil"/>
              <w:bottom w:val="nil"/>
              <w:right w:val="nil"/>
            </w:tcBorders>
            <w:noWrap/>
            <w:vAlign w:val="center"/>
          </w:tcPr>
          <w:p w14:paraId="2077210D" w14:textId="77777777" w:rsidR="00677577" w:rsidRPr="00C73F11" w:rsidRDefault="00677577" w:rsidP="00435588">
            <w:pPr>
              <w:spacing w:after="0" w:line="240" w:lineRule="auto"/>
              <w:jc w:val="right"/>
              <w:rPr>
                <w:sz w:val="20"/>
                <w:szCs w:val="20"/>
              </w:rPr>
            </w:pPr>
            <w:r>
              <w:rPr>
                <w:sz w:val="20"/>
                <w:szCs w:val="20"/>
              </w:rPr>
              <w:t>Dec-2010 to Dec-2022</w:t>
            </w:r>
          </w:p>
        </w:tc>
        <w:tc>
          <w:tcPr>
            <w:tcW w:w="1410" w:type="dxa"/>
            <w:tcBorders>
              <w:top w:val="single" w:sz="4" w:space="0" w:color="auto"/>
              <w:left w:val="nil"/>
              <w:bottom w:val="nil"/>
              <w:right w:val="single" w:sz="4" w:space="0" w:color="auto"/>
            </w:tcBorders>
            <w:noWrap/>
            <w:vAlign w:val="center"/>
          </w:tcPr>
          <w:p w14:paraId="153BBC87" w14:textId="77777777" w:rsidR="00677577" w:rsidRPr="00C73F11" w:rsidRDefault="00677577" w:rsidP="00435588">
            <w:pPr>
              <w:spacing w:after="0" w:line="240" w:lineRule="auto"/>
              <w:jc w:val="right"/>
              <w:rPr>
                <w:sz w:val="20"/>
                <w:szCs w:val="20"/>
              </w:rPr>
            </w:pPr>
            <w:r>
              <w:rPr>
                <w:sz w:val="20"/>
                <w:szCs w:val="20"/>
              </w:rPr>
              <w:t>Dec-2022 to Dec-2024</w:t>
            </w:r>
          </w:p>
        </w:tc>
      </w:tr>
      <w:tr w:rsidR="00677577" w:rsidRPr="00167CB8" w14:paraId="5E639D99" w14:textId="77777777" w:rsidTr="00E3552B">
        <w:trPr>
          <w:trHeight w:val="346"/>
        </w:trPr>
        <w:tc>
          <w:tcPr>
            <w:tcW w:w="3673" w:type="dxa"/>
            <w:tcBorders>
              <w:top w:val="single" w:sz="4" w:space="0" w:color="auto"/>
              <w:left w:val="single" w:sz="4" w:space="0" w:color="auto"/>
              <w:bottom w:val="nil"/>
              <w:right w:val="nil"/>
            </w:tcBorders>
            <w:vAlign w:val="center"/>
          </w:tcPr>
          <w:p w14:paraId="642925F6" w14:textId="77777777" w:rsidR="00677577" w:rsidRPr="00C73F11" w:rsidRDefault="00677577">
            <w:pPr>
              <w:spacing w:after="0" w:line="240" w:lineRule="auto"/>
              <w:rPr>
                <w:sz w:val="20"/>
                <w:szCs w:val="20"/>
              </w:rPr>
            </w:pPr>
          </w:p>
        </w:tc>
        <w:tc>
          <w:tcPr>
            <w:tcW w:w="1409" w:type="dxa"/>
            <w:tcBorders>
              <w:top w:val="single" w:sz="4" w:space="0" w:color="auto"/>
              <w:left w:val="nil"/>
              <w:bottom w:val="nil"/>
              <w:right w:val="nil"/>
            </w:tcBorders>
            <w:vAlign w:val="center"/>
            <w:hideMark/>
          </w:tcPr>
          <w:p w14:paraId="19A22822" w14:textId="7672C32A" w:rsidR="00677577" w:rsidRPr="00C73F11" w:rsidRDefault="00677577" w:rsidP="00085121">
            <w:pPr>
              <w:spacing w:after="0" w:line="240" w:lineRule="auto"/>
              <w:jc w:val="right"/>
              <w:rPr>
                <w:sz w:val="20"/>
                <w:szCs w:val="20"/>
              </w:rPr>
            </w:pPr>
            <w:r w:rsidRPr="00C73F11">
              <w:rPr>
                <w:sz w:val="20"/>
                <w:szCs w:val="20"/>
              </w:rPr>
              <w:t>(</w:t>
            </w:r>
            <w:r w:rsidR="00A32FB1">
              <w:rPr>
                <w:sz w:val="20"/>
                <w:szCs w:val="20"/>
              </w:rPr>
              <w:t>1</w:t>
            </w:r>
            <w:r w:rsidRPr="00C73F11">
              <w:rPr>
                <w:sz w:val="20"/>
                <w:szCs w:val="20"/>
              </w:rPr>
              <w:t>)</w:t>
            </w:r>
          </w:p>
        </w:tc>
        <w:tc>
          <w:tcPr>
            <w:tcW w:w="1409" w:type="dxa"/>
            <w:tcBorders>
              <w:top w:val="single" w:sz="4" w:space="0" w:color="auto"/>
              <w:left w:val="nil"/>
              <w:bottom w:val="nil"/>
              <w:right w:val="nil"/>
            </w:tcBorders>
            <w:vAlign w:val="center"/>
            <w:hideMark/>
          </w:tcPr>
          <w:p w14:paraId="7CEA6B0D" w14:textId="41439C66" w:rsidR="00677577" w:rsidRPr="00C73F11" w:rsidRDefault="00677577" w:rsidP="00085121">
            <w:pPr>
              <w:spacing w:after="0" w:line="240" w:lineRule="auto"/>
              <w:jc w:val="right"/>
              <w:rPr>
                <w:sz w:val="20"/>
                <w:szCs w:val="20"/>
              </w:rPr>
            </w:pPr>
            <w:r w:rsidRPr="00C73F11">
              <w:rPr>
                <w:sz w:val="20"/>
                <w:szCs w:val="20"/>
              </w:rPr>
              <w:t>(</w:t>
            </w:r>
            <w:r w:rsidR="00A32FB1">
              <w:rPr>
                <w:sz w:val="20"/>
                <w:szCs w:val="20"/>
              </w:rPr>
              <w:t>2</w:t>
            </w:r>
            <w:r w:rsidRPr="00C73F11">
              <w:rPr>
                <w:sz w:val="20"/>
                <w:szCs w:val="20"/>
              </w:rPr>
              <w:t>)</w:t>
            </w:r>
          </w:p>
        </w:tc>
        <w:tc>
          <w:tcPr>
            <w:tcW w:w="1409" w:type="dxa"/>
            <w:tcBorders>
              <w:top w:val="single" w:sz="4" w:space="0" w:color="auto"/>
              <w:left w:val="nil"/>
              <w:bottom w:val="nil"/>
              <w:right w:val="nil"/>
            </w:tcBorders>
            <w:noWrap/>
            <w:vAlign w:val="center"/>
            <w:hideMark/>
          </w:tcPr>
          <w:p w14:paraId="4819D599" w14:textId="6AC618DF" w:rsidR="00677577" w:rsidRPr="00C73F11" w:rsidRDefault="00677577" w:rsidP="00085121">
            <w:pPr>
              <w:spacing w:after="0" w:line="240" w:lineRule="auto"/>
              <w:jc w:val="right"/>
              <w:rPr>
                <w:sz w:val="20"/>
                <w:szCs w:val="20"/>
              </w:rPr>
            </w:pPr>
            <w:r w:rsidRPr="00C73F11">
              <w:rPr>
                <w:sz w:val="20"/>
                <w:szCs w:val="20"/>
              </w:rPr>
              <w:t>(</w:t>
            </w:r>
            <w:r w:rsidR="00A32FB1">
              <w:rPr>
                <w:sz w:val="20"/>
                <w:szCs w:val="20"/>
              </w:rPr>
              <w:t>3</w:t>
            </w:r>
            <w:r w:rsidRPr="00C73F11">
              <w:rPr>
                <w:sz w:val="20"/>
                <w:szCs w:val="20"/>
              </w:rPr>
              <w:t>)</w:t>
            </w:r>
          </w:p>
        </w:tc>
        <w:tc>
          <w:tcPr>
            <w:tcW w:w="1410" w:type="dxa"/>
            <w:tcBorders>
              <w:top w:val="single" w:sz="4" w:space="0" w:color="auto"/>
              <w:left w:val="nil"/>
              <w:bottom w:val="nil"/>
              <w:right w:val="single" w:sz="4" w:space="0" w:color="auto"/>
            </w:tcBorders>
            <w:noWrap/>
            <w:vAlign w:val="center"/>
            <w:hideMark/>
          </w:tcPr>
          <w:p w14:paraId="22241C6F" w14:textId="4D61020C" w:rsidR="00677577" w:rsidRPr="00C73F11" w:rsidRDefault="00677577" w:rsidP="00085121">
            <w:pPr>
              <w:spacing w:after="0" w:line="240" w:lineRule="auto"/>
              <w:jc w:val="right"/>
              <w:rPr>
                <w:sz w:val="20"/>
                <w:szCs w:val="20"/>
              </w:rPr>
            </w:pPr>
            <w:r w:rsidRPr="00C73F11">
              <w:rPr>
                <w:sz w:val="20"/>
                <w:szCs w:val="20"/>
              </w:rPr>
              <w:t>(</w:t>
            </w:r>
            <w:r w:rsidR="00A32FB1">
              <w:rPr>
                <w:sz w:val="20"/>
                <w:szCs w:val="20"/>
              </w:rPr>
              <w:t>4</w:t>
            </w:r>
            <w:r w:rsidRPr="00C73F11">
              <w:rPr>
                <w:sz w:val="20"/>
                <w:szCs w:val="20"/>
              </w:rPr>
              <w:t>)</w:t>
            </w:r>
          </w:p>
        </w:tc>
      </w:tr>
      <w:tr w:rsidR="00677577" w:rsidRPr="00167CB8" w14:paraId="6794BE91" w14:textId="77777777" w:rsidTr="00E3552B">
        <w:trPr>
          <w:trHeight w:val="346"/>
        </w:trPr>
        <w:tc>
          <w:tcPr>
            <w:tcW w:w="3673" w:type="dxa"/>
            <w:tcBorders>
              <w:top w:val="nil"/>
              <w:left w:val="single" w:sz="4" w:space="0" w:color="auto"/>
              <w:bottom w:val="nil"/>
              <w:right w:val="nil"/>
            </w:tcBorders>
            <w:vAlign w:val="center"/>
            <w:hideMark/>
          </w:tcPr>
          <w:p w14:paraId="2EA1D72A" w14:textId="77777777" w:rsidR="00677577" w:rsidRPr="00C73F11" w:rsidRDefault="00677577">
            <w:pPr>
              <w:spacing w:after="0" w:line="240" w:lineRule="auto"/>
              <w:rPr>
                <w:sz w:val="20"/>
                <w:szCs w:val="20"/>
              </w:rPr>
            </w:pPr>
            <w:r w:rsidRPr="00C73F11">
              <w:rPr>
                <w:sz w:val="20"/>
                <w:szCs w:val="20"/>
              </w:rPr>
              <w:t>Mining</w:t>
            </w:r>
          </w:p>
        </w:tc>
        <w:tc>
          <w:tcPr>
            <w:tcW w:w="1409" w:type="dxa"/>
            <w:tcBorders>
              <w:top w:val="nil"/>
              <w:left w:val="nil"/>
              <w:bottom w:val="nil"/>
              <w:right w:val="nil"/>
            </w:tcBorders>
            <w:vAlign w:val="bottom"/>
            <w:hideMark/>
          </w:tcPr>
          <w:p w14:paraId="11C84545" w14:textId="77777777" w:rsidR="00677577" w:rsidRPr="00C73F11" w:rsidRDefault="00677577" w:rsidP="00085121">
            <w:pPr>
              <w:spacing w:after="0" w:line="240" w:lineRule="auto"/>
              <w:jc w:val="right"/>
              <w:rPr>
                <w:sz w:val="20"/>
                <w:szCs w:val="20"/>
              </w:rPr>
            </w:pPr>
            <w:r>
              <w:rPr>
                <w:rFonts w:ascii="Arial" w:hAnsi="Arial" w:cs="Arial"/>
                <w:sz w:val="16"/>
                <w:szCs w:val="16"/>
              </w:rPr>
              <w:t>32.7%</w:t>
            </w:r>
          </w:p>
        </w:tc>
        <w:tc>
          <w:tcPr>
            <w:tcW w:w="1409" w:type="dxa"/>
            <w:tcBorders>
              <w:top w:val="nil"/>
              <w:left w:val="nil"/>
              <w:bottom w:val="nil"/>
              <w:right w:val="nil"/>
            </w:tcBorders>
            <w:vAlign w:val="bottom"/>
            <w:hideMark/>
          </w:tcPr>
          <w:p w14:paraId="4B1627D4" w14:textId="77777777" w:rsidR="00677577" w:rsidRPr="00C73F11" w:rsidRDefault="00677577" w:rsidP="00085121">
            <w:pPr>
              <w:spacing w:after="0" w:line="240" w:lineRule="auto"/>
              <w:jc w:val="right"/>
              <w:rPr>
                <w:sz w:val="20"/>
                <w:szCs w:val="20"/>
              </w:rPr>
            </w:pPr>
            <w:r>
              <w:rPr>
                <w:rFonts w:ascii="Arial" w:hAnsi="Arial" w:cs="Arial"/>
                <w:sz w:val="16"/>
                <w:szCs w:val="16"/>
              </w:rPr>
              <w:t>7.8%</w:t>
            </w:r>
          </w:p>
        </w:tc>
        <w:tc>
          <w:tcPr>
            <w:tcW w:w="1409" w:type="dxa"/>
            <w:tcBorders>
              <w:top w:val="nil"/>
              <w:left w:val="nil"/>
              <w:bottom w:val="nil"/>
              <w:right w:val="nil"/>
            </w:tcBorders>
            <w:noWrap/>
            <w:vAlign w:val="bottom"/>
            <w:hideMark/>
          </w:tcPr>
          <w:p w14:paraId="2C02DFF6" w14:textId="77777777" w:rsidR="00677577" w:rsidRPr="00C73F11" w:rsidRDefault="00677577" w:rsidP="00085121">
            <w:pPr>
              <w:spacing w:after="0" w:line="240" w:lineRule="auto"/>
              <w:jc w:val="right"/>
              <w:rPr>
                <w:sz w:val="20"/>
                <w:szCs w:val="20"/>
              </w:rPr>
            </w:pPr>
            <w:r>
              <w:rPr>
                <w:rFonts w:ascii="Arial" w:hAnsi="Arial" w:cs="Arial"/>
                <w:sz w:val="16"/>
                <w:szCs w:val="16"/>
              </w:rPr>
              <w:t>-0.9%</w:t>
            </w:r>
          </w:p>
        </w:tc>
        <w:tc>
          <w:tcPr>
            <w:tcW w:w="1410" w:type="dxa"/>
            <w:tcBorders>
              <w:top w:val="nil"/>
              <w:left w:val="nil"/>
              <w:bottom w:val="nil"/>
              <w:right w:val="single" w:sz="4" w:space="0" w:color="auto"/>
            </w:tcBorders>
            <w:noWrap/>
            <w:vAlign w:val="bottom"/>
            <w:hideMark/>
          </w:tcPr>
          <w:p w14:paraId="0556A215" w14:textId="77777777" w:rsidR="00677577" w:rsidRPr="00C73F11" w:rsidRDefault="00677577" w:rsidP="00085121">
            <w:pPr>
              <w:spacing w:after="0" w:line="240" w:lineRule="auto"/>
              <w:jc w:val="right"/>
              <w:rPr>
                <w:sz w:val="20"/>
                <w:szCs w:val="20"/>
              </w:rPr>
            </w:pPr>
            <w:r>
              <w:rPr>
                <w:rFonts w:ascii="Arial" w:hAnsi="Arial" w:cs="Arial"/>
                <w:sz w:val="16"/>
                <w:szCs w:val="16"/>
              </w:rPr>
              <w:t>1.7%</w:t>
            </w:r>
          </w:p>
        </w:tc>
      </w:tr>
      <w:tr w:rsidR="00677577" w:rsidRPr="00167CB8" w14:paraId="3EBEC5F6" w14:textId="77777777" w:rsidTr="00E3552B">
        <w:trPr>
          <w:trHeight w:val="346"/>
        </w:trPr>
        <w:tc>
          <w:tcPr>
            <w:tcW w:w="3673" w:type="dxa"/>
            <w:tcBorders>
              <w:top w:val="nil"/>
              <w:left w:val="single" w:sz="4" w:space="0" w:color="auto"/>
              <w:bottom w:val="nil"/>
              <w:right w:val="nil"/>
            </w:tcBorders>
            <w:vAlign w:val="center"/>
            <w:hideMark/>
          </w:tcPr>
          <w:p w14:paraId="505FB0B1" w14:textId="77777777" w:rsidR="00677577" w:rsidRPr="00C73F11" w:rsidRDefault="00677577">
            <w:pPr>
              <w:spacing w:after="0" w:line="240" w:lineRule="auto"/>
              <w:rPr>
                <w:sz w:val="20"/>
                <w:szCs w:val="20"/>
              </w:rPr>
            </w:pPr>
            <w:r w:rsidRPr="00C73F11">
              <w:rPr>
                <w:sz w:val="20"/>
                <w:szCs w:val="20"/>
              </w:rPr>
              <w:t>Manufacturing</w:t>
            </w:r>
          </w:p>
        </w:tc>
        <w:tc>
          <w:tcPr>
            <w:tcW w:w="1409" w:type="dxa"/>
            <w:tcBorders>
              <w:top w:val="nil"/>
              <w:left w:val="nil"/>
              <w:bottom w:val="nil"/>
              <w:right w:val="nil"/>
            </w:tcBorders>
            <w:vAlign w:val="bottom"/>
            <w:hideMark/>
          </w:tcPr>
          <w:p w14:paraId="020A6559" w14:textId="77777777" w:rsidR="00677577" w:rsidRPr="00C73F11" w:rsidRDefault="00677577" w:rsidP="00085121">
            <w:pPr>
              <w:spacing w:after="0" w:line="240" w:lineRule="auto"/>
              <w:jc w:val="right"/>
              <w:rPr>
                <w:sz w:val="20"/>
                <w:szCs w:val="20"/>
              </w:rPr>
            </w:pPr>
            <w:r>
              <w:rPr>
                <w:rFonts w:ascii="Arial" w:hAnsi="Arial" w:cs="Arial"/>
                <w:sz w:val="16"/>
                <w:szCs w:val="16"/>
              </w:rPr>
              <w:t>36.1%</w:t>
            </w:r>
          </w:p>
        </w:tc>
        <w:tc>
          <w:tcPr>
            <w:tcW w:w="1409" w:type="dxa"/>
            <w:tcBorders>
              <w:top w:val="nil"/>
              <w:left w:val="nil"/>
              <w:bottom w:val="nil"/>
              <w:right w:val="nil"/>
            </w:tcBorders>
            <w:vAlign w:val="bottom"/>
            <w:hideMark/>
          </w:tcPr>
          <w:p w14:paraId="63DEC226" w14:textId="77777777" w:rsidR="00677577" w:rsidRPr="00C73F11" w:rsidRDefault="00677577" w:rsidP="00085121">
            <w:pPr>
              <w:spacing w:after="0" w:line="240" w:lineRule="auto"/>
              <w:jc w:val="right"/>
              <w:rPr>
                <w:sz w:val="20"/>
                <w:szCs w:val="20"/>
              </w:rPr>
            </w:pPr>
            <w:r>
              <w:rPr>
                <w:rFonts w:ascii="Arial" w:hAnsi="Arial" w:cs="Arial"/>
                <w:sz w:val="16"/>
                <w:szCs w:val="16"/>
              </w:rPr>
              <w:t>8.1%</w:t>
            </w:r>
          </w:p>
        </w:tc>
        <w:tc>
          <w:tcPr>
            <w:tcW w:w="1409" w:type="dxa"/>
            <w:tcBorders>
              <w:top w:val="nil"/>
              <w:left w:val="nil"/>
              <w:bottom w:val="nil"/>
              <w:right w:val="nil"/>
            </w:tcBorders>
            <w:noWrap/>
            <w:vAlign w:val="bottom"/>
            <w:hideMark/>
          </w:tcPr>
          <w:p w14:paraId="73CB1C32" w14:textId="77777777" w:rsidR="00677577" w:rsidRPr="00C73F11" w:rsidRDefault="00677577" w:rsidP="00085121">
            <w:pPr>
              <w:spacing w:after="0" w:line="240" w:lineRule="auto"/>
              <w:jc w:val="right"/>
              <w:rPr>
                <w:sz w:val="20"/>
                <w:szCs w:val="20"/>
              </w:rPr>
            </w:pPr>
            <w:r>
              <w:rPr>
                <w:rFonts w:ascii="Arial" w:hAnsi="Arial" w:cs="Arial"/>
                <w:sz w:val="16"/>
                <w:szCs w:val="16"/>
              </w:rPr>
              <w:t>1.6%</w:t>
            </w:r>
          </w:p>
        </w:tc>
        <w:tc>
          <w:tcPr>
            <w:tcW w:w="1410" w:type="dxa"/>
            <w:tcBorders>
              <w:top w:val="nil"/>
              <w:left w:val="nil"/>
              <w:bottom w:val="nil"/>
              <w:right w:val="single" w:sz="4" w:space="0" w:color="auto"/>
            </w:tcBorders>
            <w:noWrap/>
            <w:vAlign w:val="bottom"/>
            <w:hideMark/>
          </w:tcPr>
          <w:p w14:paraId="5205ACB0" w14:textId="77777777" w:rsidR="00677577" w:rsidRPr="00C73F11" w:rsidRDefault="00677577" w:rsidP="00085121">
            <w:pPr>
              <w:spacing w:after="0" w:line="240" w:lineRule="auto"/>
              <w:jc w:val="right"/>
              <w:rPr>
                <w:sz w:val="20"/>
                <w:szCs w:val="20"/>
              </w:rPr>
            </w:pPr>
            <w:r>
              <w:rPr>
                <w:rFonts w:ascii="Arial" w:hAnsi="Arial" w:cs="Arial"/>
                <w:sz w:val="16"/>
                <w:szCs w:val="16"/>
              </w:rPr>
              <w:t>2.0%</w:t>
            </w:r>
          </w:p>
        </w:tc>
      </w:tr>
      <w:tr w:rsidR="00677577" w:rsidRPr="00167CB8" w14:paraId="1E0C79FD" w14:textId="77777777" w:rsidTr="00E3552B">
        <w:trPr>
          <w:trHeight w:val="346"/>
        </w:trPr>
        <w:tc>
          <w:tcPr>
            <w:tcW w:w="3673" w:type="dxa"/>
            <w:tcBorders>
              <w:top w:val="nil"/>
              <w:left w:val="single" w:sz="4" w:space="0" w:color="auto"/>
              <w:bottom w:val="nil"/>
              <w:right w:val="nil"/>
            </w:tcBorders>
            <w:vAlign w:val="center"/>
            <w:hideMark/>
          </w:tcPr>
          <w:p w14:paraId="37BD4908" w14:textId="77777777" w:rsidR="00677577" w:rsidRPr="00C73F11" w:rsidRDefault="00677577">
            <w:pPr>
              <w:spacing w:after="0" w:line="240" w:lineRule="auto"/>
              <w:rPr>
                <w:sz w:val="20"/>
                <w:szCs w:val="20"/>
              </w:rPr>
            </w:pPr>
            <w:r w:rsidRPr="00C73F11">
              <w:rPr>
                <w:sz w:val="20"/>
                <w:szCs w:val="20"/>
              </w:rPr>
              <w:t>Electricity, gas, water and waste services</w:t>
            </w:r>
          </w:p>
        </w:tc>
        <w:tc>
          <w:tcPr>
            <w:tcW w:w="1409" w:type="dxa"/>
            <w:tcBorders>
              <w:top w:val="nil"/>
              <w:left w:val="nil"/>
              <w:bottom w:val="nil"/>
              <w:right w:val="nil"/>
            </w:tcBorders>
            <w:vAlign w:val="bottom"/>
            <w:hideMark/>
          </w:tcPr>
          <w:p w14:paraId="73A78980" w14:textId="77777777" w:rsidR="00677577" w:rsidRPr="00C73F11" w:rsidRDefault="00677577" w:rsidP="00085121">
            <w:pPr>
              <w:spacing w:after="0" w:line="240" w:lineRule="auto"/>
              <w:jc w:val="right"/>
              <w:rPr>
                <w:sz w:val="20"/>
                <w:szCs w:val="20"/>
              </w:rPr>
            </w:pPr>
            <w:r>
              <w:rPr>
                <w:rFonts w:ascii="Arial" w:hAnsi="Arial" w:cs="Arial"/>
                <w:sz w:val="16"/>
                <w:szCs w:val="16"/>
              </w:rPr>
              <w:t>37.9%</w:t>
            </w:r>
          </w:p>
        </w:tc>
        <w:tc>
          <w:tcPr>
            <w:tcW w:w="1409" w:type="dxa"/>
            <w:tcBorders>
              <w:top w:val="nil"/>
              <w:left w:val="nil"/>
              <w:bottom w:val="nil"/>
              <w:right w:val="nil"/>
            </w:tcBorders>
            <w:vAlign w:val="bottom"/>
            <w:hideMark/>
          </w:tcPr>
          <w:p w14:paraId="7D52EC48" w14:textId="77777777" w:rsidR="00677577" w:rsidRPr="00C73F11" w:rsidRDefault="00677577" w:rsidP="00085121">
            <w:pPr>
              <w:spacing w:after="0" w:line="240" w:lineRule="auto"/>
              <w:jc w:val="right"/>
              <w:rPr>
                <w:sz w:val="20"/>
                <w:szCs w:val="20"/>
              </w:rPr>
            </w:pPr>
            <w:r>
              <w:rPr>
                <w:rFonts w:ascii="Arial" w:hAnsi="Arial" w:cs="Arial"/>
                <w:sz w:val="16"/>
                <w:szCs w:val="16"/>
              </w:rPr>
              <w:t>8.6%</w:t>
            </w:r>
          </w:p>
        </w:tc>
        <w:tc>
          <w:tcPr>
            <w:tcW w:w="1409" w:type="dxa"/>
            <w:tcBorders>
              <w:top w:val="nil"/>
              <w:left w:val="nil"/>
              <w:bottom w:val="nil"/>
              <w:right w:val="nil"/>
            </w:tcBorders>
            <w:noWrap/>
            <w:vAlign w:val="bottom"/>
            <w:hideMark/>
          </w:tcPr>
          <w:p w14:paraId="713F7EDD" w14:textId="77777777" w:rsidR="00677577" w:rsidRPr="00C73F11" w:rsidRDefault="00677577" w:rsidP="00085121">
            <w:pPr>
              <w:spacing w:after="0" w:line="240" w:lineRule="auto"/>
              <w:jc w:val="right"/>
              <w:rPr>
                <w:sz w:val="20"/>
                <w:szCs w:val="20"/>
              </w:rPr>
            </w:pPr>
            <w:r>
              <w:rPr>
                <w:rFonts w:ascii="Arial" w:hAnsi="Arial" w:cs="Arial"/>
                <w:sz w:val="16"/>
                <w:szCs w:val="16"/>
              </w:rPr>
              <w:t>3.0%</w:t>
            </w:r>
          </w:p>
        </w:tc>
        <w:tc>
          <w:tcPr>
            <w:tcW w:w="1410" w:type="dxa"/>
            <w:tcBorders>
              <w:top w:val="nil"/>
              <w:left w:val="nil"/>
              <w:bottom w:val="nil"/>
              <w:right w:val="single" w:sz="4" w:space="0" w:color="auto"/>
            </w:tcBorders>
            <w:noWrap/>
            <w:vAlign w:val="bottom"/>
            <w:hideMark/>
          </w:tcPr>
          <w:p w14:paraId="2BF2D61A" w14:textId="77777777" w:rsidR="00677577" w:rsidRPr="00C73F11" w:rsidRDefault="00677577" w:rsidP="00085121">
            <w:pPr>
              <w:spacing w:after="0" w:line="240" w:lineRule="auto"/>
              <w:jc w:val="right"/>
              <w:rPr>
                <w:sz w:val="20"/>
                <w:szCs w:val="20"/>
              </w:rPr>
            </w:pPr>
            <w:r>
              <w:rPr>
                <w:rFonts w:ascii="Arial" w:hAnsi="Arial" w:cs="Arial"/>
                <w:sz w:val="16"/>
                <w:szCs w:val="16"/>
              </w:rPr>
              <w:t>2.4%</w:t>
            </w:r>
          </w:p>
        </w:tc>
      </w:tr>
      <w:tr w:rsidR="00677577" w:rsidRPr="00167CB8" w14:paraId="5C328D94" w14:textId="77777777" w:rsidTr="00E3552B">
        <w:trPr>
          <w:trHeight w:val="346"/>
        </w:trPr>
        <w:tc>
          <w:tcPr>
            <w:tcW w:w="3673" w:type="dxa"/>
            <w:tcBorders>
              <w:top w:val="nil"/>
              <w:left w:val="single" w:sz="4" w:space="0" w:color="auto"/>
              <w:bottom w:val="nil"/>
              <w:right w:val="nil"/>
            </w:tcBorders>
            <w:vAlign w:val="center"/>
            <w:hideMark/>
          </w:tcPr>
          <w:p w14:paraId="5FB0B0E1" w14:textId="77777777" w:rsidR="00677577" w:rsidRPr="00C73F11" w:rsidRDefault="00677577">
            <w:pPr>
              <w:spacing w:after="0" w:line="240" w:lineRule="auto"/>
              <w:rPr>
                <w:sz w:val="20"/>
                <w:szCs w:val="20"/>
              </w:rPr>
            </w:pPr>
            <w:r w:rsidRPr="00C73F11">
              <w:rPr>
                <w:sz w:val="20"/>
                <w:szCs w:val="20"/>
              </w:rPr>
              <w:t>Construction</w:t>
            </w:r>
          </w:p>
        </w:tc>
        <w:tc>
          <w:tcPr>
            <w:tcW w:w="1409" w:type="dxa"/>
            <w:tcBorders>
              <w:top w:val="nil"/>
              <w:left w:val="nil"/>
              <w:bottom w:val="nil"/>
              <w:right w:val="nil"/>
            </w:tcBorders>
            <w:vAlign w:val="bottom"/>
            <w:hideMark/>
          </w:tcPr>
          <w:p w14:paraId="187E9D01" w14:textId="77777777" w:rsidR="00677577" w:rsidRPr="00C73F11" w:rsidRDefault="00677577" w:rsidP="00085121">
            <w:pPr>
              <w:spacing w:after="0" w:line="240" w:lineRule="auto"/>
              <w:jc w:val="right"/>
              <w:rPr>
                <w:sz w:val="20"/>
                <w:szCs w:val="20"/>
              </w:rPr>
            </w:pPr>
            <w:r>
              <w:rPr>
                <w:rFonts w:ascii="Arial" w:hAnsi="Arial" w:cs="Arial"/>
                <w:sz w:val="16"/>
                <w:szCs w:val="16"/>
              </w:rPr>
              <w:t>33.0%</w:t>
            </w:r>
          </w:p>
        </w:tc>
        <w:tc>
          <w:tcPr>
            <w:tcW w:w="1409" w:type="dxa"/>
            <w:tcBorders>
              <w:top w:val="nil"/>
              <w:left w:val="nil"/>
              <w:bottom w:val="nil"/>
              <w:right w:val="nil"/>
            </w:tcBorders>
            <w:vAlign w:val="bottom"/>
            <w:hideMark/>
          </w:tcPr>
          <w:p w14:paraId="4C59ED1B" w14:textId="77777777" w:rsidR="00677577" w:rsidRPr="00C73F11" w:rsidRDefault="00677577" w:rsidP="00085121">
            <w:pPr>
              <w:spacing w:after="0" w:line="240" w:lineRule="auto"/>
              <w:jc w:val="right"/>
              <w:rPr>
                <w:sz w:val="20"/>
                <w:szCs w:val="20"/>
              </w:rPr>
            </w:pPr>
            <w:r>
              <w:rPr>
                <w:rFonts w:ascii="Arial" w:hAnsi="Arial" w:cs="Arial"/>
                <w:sz w:val="16"/>
                <w:szCs w:val="16"/>
              </w:rPr>
              <w:t>7.7%</w:t>
            </w:r>
          </w:p>
        </w:tc>
        <w:tc>
          <w:tcPr>
            <w:tcW w:w="1409" w:type="dxa"/>
            <w:tcBorders>
              <w:top w:val="nil"/>
              <w:left w:val="nil"/>
              <w:bottom w:val="nil"/>
              <w:right w:val="nil"/>
            </w:tcBorders>
            <w:noWrap/>
            <w:vAlign w:val="bottom"/>
            <w:hideMark/>
          </w:tcPr>
          <w:p w14:paraId="30E9F210" w14:textId="77777777" w:rsidR="00677577" w:rsidRPr="00C73F11" w:rsidRDefault="00677577" w:rsidP="00085121">
            <w:pPr>
              <w:spacing w:after="0" w:line="240" w:lineRule="auto"/>
              <w:jc w:val="right"/>
              <w:rPr>
                <w:sz w:val="20"/>
                <w:szCs w:val="20"/>
              </w:rPr>
            </w:pPr>
            <w:r>
              <w:rPr>
                <w:rFonts w:ascii="Arial" w:hAnsi="Arial" w:cs="Arial"/>
                <w:sz w:val="16"/>
                <w:szCs w:val="16"/>
              </w:rPr>
              <w:t>-0.7%</w:t>
            </w:r>
          </w:p>
        </w:tc>
        <w:tc>
          <w:tcPr>
            <w:tcW w:w="1410" w:type="dxa"/>
            <w:tcBorders>
              <w:top w:val="nil"/>
              <w:left w:val="nil"/>
              <w:bottom w:val="nil"/>
              <w:right w:val="single" w:sz="4" w:space="0" w:color="auto"/>
            </w:tcBorders>
            <w:noWrap/>
            <w:vAlign w:val="bottom"/>
            <w:hideMark/>
          </w:tcPr>
          <w:p w14:paraId="19F80DB5" w14:textId="77777777" w:rsidR="00677577" w:rsidRPr="00C73F11" w:rsidRDefault="00677577" w:rsidP="00085121">
            <w:pPr>
              <w:spacing w:after="0" w:line="240" w:lineRule="auto"/>
              <w:jc w:val="right"/>
              <w:rPr>
                <w:sz w:val="20"/>
                <w:szCs w:val="20"/>
              </w:rPr>
            </w:pPr>
            <w:r>
              <w:rPr>
                <w:rFonts w:ascii="Arial" w:hAnsi="Arial" w:cs="Arial"/>
                <w:sz w:val="16"/>
                <w:szCs w:val="16"/>
              </w:rPr>
              <w:t>1.6%</w:t>
            </w:r>
          </w:p>
        </w:tc>
      </w:tr>
      <w:tr w:rsidR="00677577" w:rsidRPr="00167CB8" w14:paraId="44CF2CCA" w14:textId="77777777" w:rsidTr="00E3552B">
        <w:trPr>
          <w:trHeight w:val="346"/>
        </w:trPr>
        <w:tc>
          <w:tcPr>
            <w:tcW w:w="3673" w:type="dxa"/>
            <w:tcBorders>
              <w:top w:val="nil"/>
              <w:left w:val="single" w:sz="4" w:space="0" w:color="auto"/>
              <w:bottom w:val="nil"/>
              <w:right w:val="nil"/>
            </w:tcBorders>
            <w:vAlign w:val="center"/>
            <w:hideMark/>
          </w:tcPr>
          <w:p w14:paraId="1A6E42C8" w14:textId="77777777" w:rsidR="00677577" w:rsidRPr="00C73F11" w:rsidRDefault="00677577">
            <w:pPr>
              <w:spacing w:after="0" w:line="240" w:lineRule="auto"/>
              <w:rPr>
                <w:sz w:val="20"/>
                <w:szCs w:val="20"/>
              </w:rPr>
            </w:pPr>
            <w:r w:rsidRPr="00C73F11">
              <w:rPr>
                <w:sz w:val="20"/>
                <w:szCs w:val="20"/>
              </w:rPr>
              <w:t>Wholesale trade</w:t>
            </w:r>
          </w:p>
        </w:tc>
        <w:tc>
          <w:tcPr>
            <w:tcW w:w="1409" w:type="dxa"/>
            <w:tcBorders>
              <w:top w:val="nil"/>
              <w:left w:val="nil"/>
              <w:bottom w:val="nil"/>
              <w:right w:val="nil"/>
            </w:tcBorders>
            <w:vAlign w:val="bottom"/>
            <w:hideMark/>
          </w:tcPr>
          <w:p w14:paraId="1304A83C" w14:textId="77777777" w:rsidR="00677577" w:rsidRPr="00C73F11" w:rsidRDefault="00677577" w:rsidP="00085121">
            <w:pPr>
              <w:spacing w:after="0" w:line="240" w:lineRule="auto"/>
              <w:jc w:val="right"/>
              <w:rPr>
                <w:sz w:val="20"/>
                <w:szCs w:val="20"/>
              </w:rPr>
            </w:pPr>
            <w:r>
              <w:rPr>
                <w:rFonts w:ascii="Arial" w:hAnsi="Arial" w:cs="Arial"/>
                <w:sz w:val="16"/>
                <w:szCs w:val="16"/>
              </w:rPr>
              <w:t>34.9%</w:t>
            </w:r>
          </w:p>
        </w:tc>
        <w:tc>
          <w:tcPr>
            <w:tcW w:w="1409" w:type="dxa"/>
            <w:tcBorders>
              <w:top w:val="nil"/>
              <w:left w:val="nil"/>
              <w:bottom w:val="nil"/>
              <w:right w:val="nil"/>
            </w:tcBorders>
            <w:vAlign w:val="bottom"/>
            <w:hideMark/>
          </w:tcPr>
          <w:p w14:paraId="34B6B467" w14:textId="77777777" w:rsidR="00677577" w:rsidRPr="00C73F11" w:rsidRDefault="00677577" w:rsidP="00085121">
            <w:pPr>
              <w:spacing w:after="0" w:line="240" w:lineRule="auto"/>
              <w:jc w:val="right"/>
              <w:rPr>
                <w:sz w:val="20"/>
                <w:szCs w:val="20"/>
              </w:rPr>
            </w:pPr>
            <w:r>
              <w:rPr>
                <w:rFonts w:ascii="Arial" w:hAnsi="Arial" w:cs="Arial"/>
                <w:sz w:val="16"/>
                <w:szCs w:val="16"/>
              </w:rPr>
              <w:t>6.7%</w:t>
            </w:r>
          </w:p>
        </w:tc>
        <w:tc>
          <w:tcPr>
            <w:tcW w:w="1409" w:type="dxa"/>
            <w:tcBorders>
              <w:top w:val="nil"/>
              <w:left w:val="nil"/>
              <w:bottom w:val="nil"/>
              <w:right w:val="nil"/>
            </w:tcBorders>
            <w:noWrap/>
            <w:vAlign w:val="bottom"/>
            <w:hideMark/>
          </w:tcPr>
          <w:p w14:paraId="6033AC82" w14:textId="77777777" w:rsidR="00677577" w:rsidRPr="00C73F11" w:rsidRDefault="00677577" w:rsidP="00085121">
            <w:pPr>
              <w:spacing w:after="0" w:line="240" w:lineRule="auto"/>
              <w:jc w:val="right"/>
              <w:rPr>
                <w:sz w:val="20"/>
                <w:szCs w:val="20"/>
              </w:rPr>
            </w:pPr>
            <w:r>
              <w:rPr>
                <w:rFonts w:ascii="Arial" w:hAnsi="Arial" w:cs="Arial"/>
                <w:sz w:val="16"/>
                <w:szCs w:val="16"/>
              </w:rPr>
              <w:t>0.7%</w:t>
            </w:r>
          </w:p>
        </w:tc>
        <w:tc>
          <w:tcPr>
            <w:tcW w:w="1410" w:type="dxa"/>
            <w:tcBorders>
              <w:top w:val="nil"/>
              <w:left w:val="nil"/>
              <w:bottom w:val="nil"/>
              <w:right w:val="single" w:sz="4" w:space="0" w:color="auto"/>
            </w:tcBorders>
            <w:noWrap/>
            <w:vAlign w:val="bottom"/>
            <w:hideMark/>
          </w:tcPr>
          <w:p w14:paraId="396DCFF1" w14:textId="77777777" w:rsidR="00677577" w:rsidRPr="00C73F11" w:rsidRDefault="00677577" w:rsidP="00085121">
            <w:pPr>
              <w:spacing w:after="0" w:line="240" w:lineRule="auto"/>
              <w:jc w:val="right"/>
              <w:rPr>
                <w:sz w:val="20"/>
                <w:szCs w:val="20"/>
              </w:rPr>
            </w:pPr>
            <w:r>
              <w:rPr>
                <w:rFonts w:ascii="Arial" w:hAnsi="Arial" w:cs="Arial"/>
                <w:sz w:val="16"/>
                <w:szCs w:val="16"/>
              </w:rPr>
              <w:t>0.7%</w:t>
            </w:r>
          </w:p>
        </w:tc>
      </w:tr>
      <w:tr w:rsidR="00677577" w:rsidRPr="00167CB8" w14:paraId="4F0B70F4" w14:textId="77777777" w:rsidTr="00E3552B">
        <w:trPr>
          <w:trHeight w:val="346"/>
        </w:trPr>
        <w:tc>
          <w:tcPr>
            <w:tcW w:w="3673" w:type="dxa"/>
            <w:tcBorders>
              <w:top w:val="nil"/>
              <w:left w:val="single" w:sz="4" w:space="0" w:color="auto"/>
              <w:bottom w:val="nil"/>
              <w:right w:val="nil"/>
            </w:tcBorders>
            <w:vAlign w:val="center"/>
            <w:hideMark/>
          </w:tcPr>
          <w:p w14:paraId="5AF60BDC" w14:textId="77777777" w:rsidR="00677577" w:rsidRPr="00C73F11" w:rsidRDefault="00677577">
            <w:pPr>
              <w:spacing w:after="0" w:line="240" w:lineRule="auto"/>
              <w:rPr>
                <w:sz w:val="20"/>
                <w:szCs w:val="20"/>
              </w:rPr>
            </w:pPr>
            <w:r w:rsidRPr="00C73F11">
              <w:rPr>
                <w:sz w:val="20"/>
                <w:szCs w:val="20"/>
              </w:rPr>
              <w:t>Retail trade</w:t>
            </w:r>
          </w:p>
        </w:tc>
        <w:tc>
          <w:tcPr>
            <w:tcW w:w="1409" w:type="dxa"/>
            <w:tcBorders>
              <w:top w:val="nil"/>
              <w:left w:val="nil"/>
              <w:bottom w:val="nil"/>
              <w:right w:val="nil"/>
            </w:tcBorders>
            <w:vAlign w:val="bottom"/>
            <w:hideMark/>
          </w:tcPr>
          <w:p w14:paraId="2C31E5E4" w14:textId="77777777" w:rsidR="00677577" w:rsidRPr="00C73F11" w:rsidRDefault="00677577" w:rsidP="00085121">
            <w:pPr>
              <w:spacing w:after="0" w:line="240" w:lineRule="auto"/>
              <w:jc w:val="right"/>
              <w:rPr>
                <w:sz w:val="20"/>
                <w:szCs w:val="20"/>
              </w:rPr>
            </w:pPr>
            <w:r>
              <w:rPr>
                <w:rFonts w:ascii="Arial" w:hAnsi="Arial" w:cs="Arial"/>
                <w:sz w:val="16"/>
                <w:szCs w:val="16"/>
              </w:rPr>
              <w:t>31.4%</w:t>
            </w:r>
          </w:p>
        </w:tc>
        <w:tc>
          <w:tcPr>
            <w:tcW w:w="1409" w:type="dxa"/>
            <w:tcBorders>
              <w:top w:val="nil"/>
              <w:left w:val="nil"/>
              <w:bottom w:val="nil"/>
              <w:right w:val="nil"/>
            </w:tcBorders>
            <w:vAlign w:val="bottom"/>
            <w:hideMark/>
          </w:tcPr>
          <w:p w14:paraId="114D360C" w14:textId="77777777" w:rsidR="00677577" w:rsidRPr="00C73F11" w:rsidRDefault="00677577" w:rsidP="00085121">
            <w:pPr>
              <w:spacing w:after="0" w:line="240" w:lineRule="auto"/>
              <w:jc w:val="right"/>
              <w:rPr>
                <w:sz w:val="20"/>
                <w:szCs w:val="20"/>
              </w:rPr>
            </w:pPr>
            <w:r>
              <w:rPr>
                <w:rFonts w:ascii="Arial" w:hAnsi="Arial" w:cs="Arial"/>
                <w:sz w:val="16"/>
                <w:szCs w:val="16"/>
              </w:rPr>
              <w:t>7.6%</w:t>
            </w:r>
          </w:p>
        </w:tc>
        <w:tc>
          <w:tcPr>
            <w:tcW w:w="1409" w:type="dxa"/>
            <w:tcBorders>
              <w:top w:val="nil"/>
              <w:left w:val="nil"/>
              <w:bottom w:val="nil"/>
              <w:right w:val="nil"/>
            </w:tcBorders>
            <w:noWrap/>
            <w:vAlign w:val="bottom"/>
            <w:hideMark/>
          </w:tcPr>
          <w:p w14:paraId="5A1F1225" w14:textId="77777777" w:rsidR="00677577" w:rsidRPr="00C73F11" w:rsidRDefault="00677577" w:rsidP="00085121">
            <w:pPr>
              <w:spacing w:after="0" w:line="240" w:lineRule="auto"/>
              <w:jc w:val="right"/>
              <w:rPr>
                <w:sz w:val="20"/>
                <w:szCs w:val="20"/>
              </w:rPr>
            </w:pPr>
            <w:r>
              <w:rPr>
                <w:rFonts w:ascii="Arial" w:hAnsi="Arial" w:cs="Arial"/>
                <w:sz w:val="16"/>
                <w:szCs w:val="16"/>
              </w:rPr>
              <w:t>-1.9%</w:t>
            </w:r>
          </w:p>
        </w:tc>
        <w:tc>
          <w:tcPr>
            <w:tcW w:w="1410" w:type="dxa"/>
            <w:tcBorders>
              <w:top w:val="nil"/>
              <w:left w:val="nil"/>
              <w:bottom w:val="nil"/>
              <w:right w:val="single" w:sz="4" w:space="0" w:color="auto"/>
            </w:tcBorders>
            <w:noWrap/>
            <w:vAlign w:val="bottom"/>
            <w:hideMark/>
          </w:tcPr>
          <w:p w14:paraId="75080096" w14:textId="77777777" w:rsidR="00677577" w:rsidRPr="00C73F11" w:rsidRDefault="00677577" w:rsidP="00085121">
            <w:pPr>
              <w:spacing w:after="0" w:line="240" w:lineRule="auto"/>
              <w:jc w:val="right"/>
              <w:rPr>
                <w:sz w:val="20"/>
                <w:szCs w:val="20"/>
              </w:rPr>
            </w:pPr>
            <w:r>
              <w:rPr>
                <w:rFonts w:ascii="Arial" w:hAnsi="Arial" w:cs="Arial"/>
                <w:sz w:val="16"/>
                <w:szCs w:val="16"/>
              </w:rPr>
              <w:t>1.5%</w:t>
            </w:r>
          </w:p>
        </w:tc>
      </w:tr>
      <w:tr w:rsidR="00677577" w:rsidRPr="00167CB8" w14:paraId="15F95275" w14:textId="77777777" w:rsidTr="00E3552B">
        <w:trPr>
          <w:trHeight w:val="346"/>
        </w:trPr>
        <w:tc>
          <w:tcPr>
            <w:tcW w:w="3673" w:type="dxa"/>
            <w:tcBorders>
              <w:top w:val="nil"/>
              <w:left w:val="single" w:sz="4" w:space="0" w:color="auto"/>
              <w:bottom w:val="nil"/>
              <w:right w:val="nil"/>
            </w:tcBorders>
            <w:vAlign w:val="center"/>
            <w:hideMark/>
          </w:tcPr>
          <w:p w14:paraId="04F9213A" w14:textId="77777777" w:rsidR="00677577" w:rsidRPr="00C73F11" w:rsidRDefault="00677577">
            <w:pPr>
              <w:spacing w:after="0" w:line="240" w:lineRule="auto"/>
              <w:rPr>
                <w:sz w:val="20"/>
                <w:szCs w:val="20"/>
              </w:rPr>
            </w:pPr>
            <w:r w:rsidRPr="00C73F11">
              <w:rPr>
                <w:sz w:val="20"/>
                <w:szCs w:val="20"/>
              </w:rPr>
              <w:t>Accommodation and food services</w:t>
            </w:r>
          </w:p>
        </w:tc>
        <w:tc>
          <w:tcPr>
            <w:tcW w:w="1409" w:type="dxa"/>
            <w:tcBorders>
              <w:top w:val="nil"/>
              <w:left w:val="nil"/>
              <w:bottom w:val="nil"/>
              <w:right w:val="nil"/>
            </w:tcBorders>
            <w:vAlign w:val="bottom"/>
            <w:hideMark/>
          </w:tcPr>
          <w:p w14:paraId="647C66B7" w14:textId="77777777" w:rsidR="00677577" w:rsidRPr="00C73F11" w:rsidRDefault="00677577" w:rsidP="00085121">
            <w:pPr>
              <w:spacing w:after="0" w:line="240" w:lineRule="auto"/>
              <w:jc w:val="right"/>
              <w:rPr>
                <w:sz w:val="20"/>
                <w:szCs w:val="20"/>
              </w:rPr>
            </w:pPr>
            <w:r>
              <w:rPr>
                <w:rFonts w:ascii="Arial" w:hAnsi="Arial" w:cs="Arial"/>
                <w:sz w:val="16"/>
                <w:szCs w:val="16"/>
              </w:rPr>
              <w:t>33.6%</w:t>
            </w:r>
          </w:p>
        </w:tc>
        <w:tc>
          <w:tcPr>
            <w:tcW w:w="1409" w:type="dxa"/>
            <w:tcBorders>
              <w:top w:val="nil"/>
              <w:left w:val="nil"/>
              <w:bottom w:val="nil"/>
              <w:right w:val="nil"/>
            </w:tcBorders>
            <w:vAlign w:val="bottom"/>
            <w:hideMark/>
          </w:tcPr>
          <w:p w14:paraId="137D609C" w14:textId="77777777" w:rsidR="00677577" w:rsidRPr="00C73F11" w:rsidRDefault="00677577" w:rsidP="00085121">
            <w:pPr>
              <w:spacing w:after="0" w:line="240" w:lineRule="auto"/>
              <w:jc w:val="right"/>
              <w:rPr>
                <w:sz w:val="20"/>
                <w:szCs w:val="20"/>
              </w:rPr>
            </w:pPr>
            <w:r>
              <w:rPr>
                <w:rFonts w:ascii="Arial" w:hAnsi="Arial" w:cs="Arial"/>
                <w:sz w:val="16"/>
                <w:szCs w:val="16"/>
              </w:rPr>
              <w:t>7.5%</w:t>
            </w:r>
          </w:p>
        </w:tc>
        <w:tc>
          <w:tcPr>
            <w:tcW w:w="1409" w:type="dxa"/>
            <w:tcBorders>
              <w:top w:val="nil"/>
              <w:left w:val="nil"/>
              <w:bottom w:val="nil"/>
              <w:right w:val="nil"/>
            </w:tcBorders>
            <w:noWrap/>
            <w:vAlign w:val="bottom"/>
            <w:hideMark/>
          </w:tcPr>
          <w:p w14:paraId="4BF00A40" w14:textId="77777777" w:rsidR="00677577" w:rsidRPr="00C73F11" w:rsidRDefault="00677577" w:rsidP="00085121">
            <w:pPr>
              <w:spacing w:after="0" w:line="240" w:lineRule="auto"/>
              <w:jc w:val="right"/>
              <w:rPr>
                <w:sz w:val="20"/>
                <w:szCs w:val="20"/>
              </w:rPr>
            </w:pPr>
            <w:r>
              <w:rPr>
                <w:rFonts w:ascii="Arial" w:hAnsi="Arial" w:cs="Arial"/>
                <w:sz w:val="16"/>
                <w:szCs w:val="16"/>
              </w:rPr>
              <w:t>-0.2%</w:t>
            </w:r>
          </w:p>
        </w:tc>
        <w:tc>
          <w:tcPr>
            <w:tcW w:w="1410" w:type="dxa"/>
            <w:tcBorders>
              <w:top w:val="nil"/>
              <w:left w:val="nil"/>
              <w:bottom w:val="nil"/>
              <w:right w:val="single" w:sz="4" w:space="0" w:color="auto"/>
            </w:tcBorders>
            <w:noWrap/>
            <w:vAlign w:val="bottom"/>
            <w:hideMark/>
          </w:tcPr>
          <w:p w14:paraId="52C62153" w14:textId="77777777" w:rsidR="00677577" w:rsidRPr="00C73F11" w:rsidRDefault="00677577" w:rsidP="00085121">
            <w:pPr>
              <w:spacing w:after="0" w:line="240" w:lineRule="auto"/>
              <w:jc w:val="right"/>
              <w:rPr>
                <w:sz w:val="20"/>
                <w:szCs w:val="20"/>
              </w:rPr>
            </w:pPr>
            <w:r>
              <w:rPr>
                <w:rFonts w:ascii="Arial" w:hAnsi="Arial" w:cs="Arial"/>
                <w:sz w:val="16"/>
                <w:szCs w:val="16"/>
              </w:rPr>
              <w:t>1.4%</w:t>
            </w:r>
          </w:p>
        </w:tc>
      </w:tr>
      <w:tr w:rsidR="00677577" w:rsidRPr="00167CB8" w14:paraId="227C9893" w14:textId="77777777" w:rsidTr="00E3552B">
        <w:trPr>
          <w:trHeight w:val="346"/>
        </w:trPr>
        <w:tc>
          <w:tcPr>
            <w:tcW w:w="3673" w:type="dxa"/>
            <w:tcBorders>
              <w:top w:val="nil"/>
              <w:left w:val="single" w:sz="4" w:space="0" w:color="auto"/>
              <w:bottom w:val="nil"/>
              <w:right w:val="nil"/>
            </w:tcBorders>
            <w:vAlign w:val="center"/>
            <w:hideMark/>
          </w:tcPr>
          <w:p w14:paraId="18DD1C29" w14:textId="77777777" w:rsidR="00677577" w:rsidRPr="00C73F11" w:rsidRDefault="00677577">
            <w:pPr>
              <w:spacing w:after="0" w:line="240" w:lineRule="auto"/>
              <w:rPr>
                <w:sz w:val="20"/>
                <w:szCs w:val="20"/>
              </w:rPr>
            </w:pPr>
            <w:r w:rsidRPr="00C73F11">
              <w:rPr>
                <w:sz w:val="20"/>
                <w:szCs w:val="20"/>
              </w:rPr>
              <w:t>Transport, postal and warehousing</w:t>
            </w:r>
          </w:p>
        </w:tc>
        <w:tc>
          <w:tcPr>
            <w:tcW w:w="1409" w:type="dxa"/>
            <w:tcBorders>
              <w:top w:val="nil"/>
              <w:left w:val="nil"/>
              <w:bottom w:val="nil"/>
              <w:right w:val="nil"/>
            </w:tcBorders>
            <w:vAlign w:val="bottom"/>
            <w:hideMark/>
          </w:tcPr>
          <w:p w14:paraId="758E1992" w14:textId="77777777" w:rsidR="00677577" w:rsidRPr="00C73F11" w:rsidRDefault="00677577" w:rsidP="00085121">
            <w:pPr>
              <w:spacing w:after="0" w:line="240" w:lineRule="auto"/>
              <w:jc w:val="right"/>
              <w:rPr>
                <w:sz w:val="20"/>
                <w:szCs w:val="20"/>
              </w:rPr>
            </w:pPr>
            <w:r>
              <w:rPr>
                <w:rFonts w:ascii="Arial" w:hAnsi="Arial" w:cs="Arial"/>
                <w:sz w:val="16"/>
                <w:szCs w:val="16"/>
              </w:rPr>
              <w:t>33.7%</w:t>
            </w:r>
          </w:p>
        </w:tc>
        <w:tc>
          <w:tcPr>
            <w:tcW w:w="1409" w:type="dxa"/>
            <w:tcBorders>
              <w:top w:val="nil"/>
              <w:left w:val="nil"/>
              <w:bottom w:val="nil"/>
              <w:right w:val="nil"/>
            </w:tcBorders>
            <w:vAlign w:val="bottom"/>
            <w:hideMark/>
          </w:tcPr>
          <w:p w14:paraId="6777FD95" w14:textId="77777777" w:rsidR="00677577" w:rsidRPr="00C73F11" w:rsidRDefault="00677577" w:rsidP="00085121">
            <w:pPr>
              <w:spacing w:after="0" w:line="240" w:lineRule="auto"/>
              <w:jc w:val="right"/>
              <w:rPr>
                <w:sz w:val="20"/>
                <w:szCs w:val="20"/>
              </w:rPr>
            </w:pPr>
            <w:r>
              <w:rPr>
                <w:rFonts w:ascii="Arial" w:hAnsi="Arial" w:cs="Arial"/>
                <w:sz w:val="16"/>
                <w:szCs w:val="16"/>
              </w:rPr>
              <w:t>8.0%</w:t>
            </w:r>
          </w:p>
        </w:tc>
        <w:tc>
          <w:tcPr>
            <w:tcW w:w="1409" w:type="dxa"/>
            <w:tcBorders>
              <w:top w:val="nil"/>
              <w:left w:val="nil"/>
              <w:bottom w:val="nil"/>
              <w:right w:val="nil"/>
            </w:tcBorders>
            <w:noWrap/>
            <w:vAlign w:val="bottom"/>
            <w:hideMark/>
          </w:tcPr>
          <w:p w14:paraId="01482D9A" w14:textId="77777777" w:rsidR="00677577" w:rsidRPr="00C73F11" w:rsidRDefault="00677577" w:rsidP="00085121">
            <w:pPr>
              <w:spacing w:after="0" w:line="240" w:lineRule="auto"/>
              <w:jc w:val="right"/>
              <w:rPr>
                <w:sz w:val="20"/>
                <w:szCs w:val="20"/>
              </w:rPr>
            </w:pPr>
            <w:r>
              <w:rPr>
                <w:rFonts w:ascii="Arial" w:hAnsi="Arial" w:cs="Arial"/>
                <w:sz w:val="16"/>
                <w:szCs w:val="16"/>
              </w:rPr>
              <w:t>-0.1%</w:t>
            </w:r>
          </w:p>
        </w:tc>
        <w:tc>
          <w:tcPr>
            <w:tcW w:w="1410" w:type="dxa"/>
            <w:tcBorders>
              <w:top w:val="nil"/>
              <w:left w:val="nil"/>
              <w:bottom w:val="nil"/>
              <w:right w:val="single" w:sz="4" w:space="0" w:color="auto"/>
            </w:tcBorders>
            <w:noWrap/>
            <w:vAlign w:val="bottom"/>
            <w:hideMark/>
          </w:tcPr>
          <w:p w14:paraId="490A12B5" w14:textId="77777777" w:rsidR="00677577" w:rsidRPr="00C73F11" w:rsidRDefault="00677577" w:rsidP="00085121">
            <w:pPr>
              <w:spacing w:after="0" w:line="240" w:lineRule="auto"/>
              <w:jc w:val="right"/>
              <w:rPr>
                <w:sz w:val="20"/>
                <w:szCs w:val="20"/>
              </w:rPr>
            </w:pPr>
            <w:r>
              <w:rPr>
                <w:rFonts w:ascii="Arial" w:hAnsi="Arial" w:cs="Arial"/>
                <w:sz w:val="16"/>
                <w:szCs w:val="16"/>
              </w:rPr>
              <w:t>1.9%</w:t>
            </w:r>
          </w:p>
        </w:tc>
      </w:tr>
      <w:tr w:rsidR="00677577" w:rsidRPr="00167CB8" w14:paraId="16AF8A07" w14:textId="77777777" w:rsidTr="00E3552B">
        <w:trPr>
          <w:trHeight w:val="346"/>
        </w:trPr>
        <w:tc>
          <w:tcPr>
            <w:tcW w:w="3673" w:type="dxa"/>
            <w:tcBorders>
              <w:top w:val="nil"/>
              <w:left w:val="single" w:sz="4" w:space="0" w:color="auto"/>
              <w:bottom w:val="nil"/>
              <w:right w:val="nil"/>
            </w:tcBorders>
            <w:vAlign w:val="center"/>
            <w:hideMark/>
          </w:tcPr>
          <w:p w14:paraId="20F61725" w14:textId="77777777" w:rsidR="00677577" w:rsidRPr="00C73F11" w:rsidRDefault="00677577">
            <w:pPr>
              <w:spacing w:after="0" w:line="240" w:lineRule="auto"/>
              <w:rPr>
                <w:sz w:val="20"/>
                <w:szCs w:val="20"/>
              </w:rPr>
            </w:pPr>
            <w:r w:rsidRPr="00C73F11">
              <w:rPr>
                <w:sz w:val="20"/>
                <w:szCs w:val="20"/>
              </w:rPr>
              <w:t>Information media and telecommunications</w:t>
            </w:r>
          </w:p>
        </w:tc>
        <w:tc>
          <w:tcPr>
            <w:tcW w:w="1409" w:type="dxa"/>
            <w:tcBorders>
              <w:top w:val="nil"/>
              <w:left w:val="nil"/>
              <w:bottom w:val="nil"/>
              <w:right w:val="nil"/>
            </w:tcBorders>
            <w:vAlign w:val="bottom"/>
            <w:hideMark/>
          </w:tcPr>
          <w:p w14:paraId="1BE2B4D2" w14:textId="77777777" w:rsidR="00677577" w:rsidRPr="00C73F11" w:rsidRDefault="00677577" w:rsidP="00085121">
            <w:pPr>
              <w:spacing w:after="0" w:line="240" w:lineRule="auto"/>
              <w:jc w:val="right"/>
              <w:rPr>
                <w:sz w:val="20"/>
                <w:szCs w:val="20"/>
              </w:rPr>
            </w:pPr>
            <w:r>
              <w:rPr>
                <w:rFonts w:ascii="Arial" w:hAnsi="Arial" w:cs="Arial"/>
                <w:sz w:val="16"/>
                <w:szCs w:val="16"/>
              </w:rPr>
              <w:t>31.8%</w:t>
            </w:r>
          </w:p>
        </w:tc>
        <w:tc>
          <w:tcPr>
            <w:tcW w:w="1409" w:type="dxa"/>
            <w:tcBorders>
              <w:top w:val="nil"/>
              <w:left w:val="nil"/>
              <w:bottom w:val="nil"/>
              <w:right w:val="nil"/>
            </w:tcBorders>
            <w:vAlign w:val="bottom"/>
            <w:hideMark/>
          </w:tcPr>
          <w:p w14:paraId="633F8F9D" w14:textId="77777777" w:rsidR="00677577" w:rsidRPr="00C73F11" w:rsidRDefault="00677577" w:rsidP="00085121">
            <w:pPr>
              <w:spacing w:after="0" w:line="240" w:lineRule="auto"/>
              <w:jc w:val="right"/>
              <w:rPr>
                <w:sz w:val="20"/>
                <w:szCs w:val="20"/>
              </w:rPr>
            </w:pPr>
            <w:r>
              <w:rPr>
                <w:rFonts w:ascii="Arial" w:hAnsi="Arial" w:cs="Arial"/>
                <w:sz w:val="16"/>
                <w:szCs w:val="16"/>
              </w:rPr>
              <w:t>7.4%</w:t>
            </w:r>
          </w:p>
        </w:tc>
        <w:tc>
          <w:tcPr>
            <w:tcW w:w="1409" w:type="dxa"/>
            <w:tcBorders>
              <w:top w:val="nil"/>
              <w:left w:val="nil"/>
              <w:bottom w:val="nil"/>
              <w:right w:val="nil"/>
            </w:tcBorders>
            <w:noWrap/>
            <w:vAlign w:val="bottom"/>
            <w:hideMark/>
          </w:tcPr>
          <w:p w14:paraId="18756423" w14:textId="77777777" w:rsidR="00677577" w:rsidRPr="00C73F11" w:rsidRDefault="00677577" w:rsidP="00085121">
            <w:pPr>
              <w:spacing w:after="0" w:line="240" w:lineRule="auto"/>
              <w:jc w:val="right"/>
              <w:rPr>
                <w:sz w:val="20"/>
                <w:szCs w:val="20"/>
              </w:rPr>
            </w:pPr>
            <w:r>
              <w:rPr>
                <w:rFonts w:ascii="Arial" w:hAnsi="Arial" w:cs="Arial"/>
                <w:sz w:val="16"/>
                <w:szCs w:val="16"/>
              </w:rPr>
              <w:t>-1.6%</w:t>
            </w:r>
          </w:p>
        </w:tc>
        <w:tc>
          <w:tcPr>
            <w:tcW w:w="1410" w:type="dxa"/>
            <w:tcBorders>
              <w:top w:val="nil"/>
              <w:left w:val="nil"/>
              <w:bottom w:val="nil"/>
              <w:right w:val="single" w:sz="4" w:space="0" w:color="auto"/>
            </w:tcBorders>
            <w:noWrap/>
            <w:vAlign w:val="bottom"/>
            <w:hideMark/>
          </w:tcPr>
          <w:p w14:paraId="6A8F4DFB" w14:textId="77777777" w:rsidR="00677577" w:rsidRPr="00C73F11" w:rsidRDefault="00677577" w:rsidP="00085121">
            <w:pPr>
              <w:spacing w:after="0" w:line="240" w:lineRule="auto"/>
              <w:jc w:val="right"/>
              <w:rPr>
                <w:sz w:val="20"/>
                <w:szCs w:val="20"/>
              </w:rPr>
            </w:pPr>
            <w:r>
              <w:rPr>
                <w:rFonts w:ascii="Arial" w:hAnsi="Arial" w:cs="Arial"/>
                <w:sz w:val="16"/>
                <w:szCs w:val="16"/>
              </w:rPr>
              <w:t>1.3%</w:t>
            </w:r>
          </w:p>
        </w:tc>
      </w:tr>
      <w:tr w:rsidR="00677577" w:rsidRPr="00167CB8" w14:paraId="3E3E0E2B" w14:textId="77777777" w:rsidTr="00E3552B">
        <w:trPr>
          <w:trHeight w:val="346"/>
        </w:trPr>
        <w:tc>
          <w:tcPr>
            <w:tcW w:w="3673" w:type="dxa"/>
            <w:tcBorders>
              <w:top w:val="nil"/>
              <w:left w:val="single" w:sz="4" w:space="0" w:color="auto"/>
              <w:bottom w:val="nil"/>
              <w:right w:val="nil"/>
            </w:tcBorders>
            <w:vAlign w:val="center"/>
            <w:hideMark/>
          </w:tcPr>
          <w:p w14:paraId="674EDAF9" w14:textId="77777777" w:rsidR="00677577" w:rsidRPr="00C73F11" w:rsidRDefault="00677577">
            <w:pPr>
              <w:spacing w:after="0" w:line="240" w:lineRule="auto"/>
              <w:rPr>
                <w:sz w:val="20"/>
                <w:szCs w:val="20"/>
              </w:rPr>
            </w:pPr>
            <w:r w:rsidRPr="00C73F11">
              <w:rPr>
                <w:sz w:val="20"/>
                <w:szCs w:val="20"/>
              </w:rPr>
              <w:t>Financial and insurance services</w:t>
            </w:r>
          </w:p>
        </w:tc>
        <w:tc>
          <w:tcPr>
            <w:tcW w:w="1409" w:type="dxa"/>
            <w:tcBorders>
              <w:top w:val="nil"/>
              <w:left w:val="nil"/>
              <w:bottom w:val="nil"/>
              <w:right w:val="nil"/>
            </w:tcBorders>
            <w:vAlign w:val="bottom"/>
            <w:hideMark/>
          </w:tcPr>
          <w:p w14:paraId="573377A5" w14:textId="77777777" w:rsidR="00677577" w:rsidRPr="00C73F11" w:rsidRDefault="00677577" w:rsidP="00085121">
            <w:pPr>
              <w:spacing w:after="0" w:line="240" w:lineRule="auto"/>
              <w:jc w:val="right"/>
              <w:rPr>
                <w:sz w:val="20"/>
                <w:szCs w:val="20"/>
              </w:rPr>
            </w:pPr>
            <w:r>
              <w:rPr>
                <w:rFonts w:ascii="Arial" w:hAnsi="Arial" w:cs="Arial"/>
                <w:sz w:val="16"/>
                <w:szCs w:val="16"/>
              </w:rPr>
              <w:t>37.1%</w:t>
            </w:r>
          </w:p>
        </w:tc>
        <w:tc>
          <w:tcPr>
            <w:tcW w:w="1409" w:type="dxa"/>
            <w:tcBorders>
              <w:top w:val="nil"/>
              <w:left w:val="nil"/>
              <w:bottom w:val="nil"/>
              <w:right w:val="nil"/>
            </w:tcBorders>
            <w:vAlign w:val="bottom"/>
            <w:hideMark/>
          </w:tcPr>
          <w:p w14:paraId="6C81D213" w14:textId="77777777" w:rsidR="00677577" w:rsidRPr="00C73F11" w:rsidRDefault="00677577" w:rsidP="00085121">
            <w:pPr>
              <w:spacing w:after="0" w:line="240" w:lineRule="auto"/>
              <w:jc w:val="right"/>
              <w:rPr>
                <w:sz w:val="20"/>
                <w:szCs w:val="20"/>
              </w:rPr>
            </w:pPr>
            <w:r>
              <w:rPr>
                <w:rFonts w:ascii="Arial" w:hAnsi="Arial" w:cs="Arial"/>
                <w:sz w:val="16"/>
                <w:szCs w:val="16"/>
              </w:rPr>
              <w:t>6.1%</w:t>
            </w:r>
          </w:p>
        </w:tc>
        <w:tc>
          <w:tcPr>
            <w:tcW w:w="1409" w:type="dxa"/>
            <w:tcBorders>
              <w:top w:val="nil"/>
              <w:left w:val="nil"/>
              <w:bottom w:val="nil"/>
              <w:right w:val="nil"/>
            </w:tcBorders>
            <w:noWrap/>
            <w:vAlign w:val="bottom"/>
            <w:hideMark/>
          </w:tcPr>
          <w:p w14:paraId="4B651AA3" w14:textId="77777777" w:rsidR="00677577" w:rsidRPr="00C73F11" w:rsidRDefault="00677577" w:rsidP="00085121">
            <w:pPr>
              <w:spacing w:after="0" w:line="240" w:lineRule="auto"/>
              <w:jc w:val="right"/>
              <w:rPr>
                <w:sz w:val="20"/>
                <w:szCs w:val="20"/>
              </w:rPr>
            </w:pPr>
            <w:r>
              <w:rPr>
                <w:rFonts w:ascii="Arial" w:hAnsi="Arial" w:cs="Arial"/>
                <w:sz w:val="16"/>
                <w:szCs w:val="16"/>
              </w:rPr>
              <w:t>2.4%</w:t>
            </w:r>
          </w:p>
        </w:tc>
        <w:tc>
          <w:tcPr>
            <w:tcW w:w="1410" w:type="dxa"/>
            <w:tcBorders>
              <w:top w:val="nil"/>
              <w:left w:val="nil"/>
              <w:bottom w:val="nil"/>
              <w:right w:val="single" w:sz="4" w:space="0" w:color="auto"/>
            </w:tcBorders>
            <w:noWrap/>
            <w:vAlign w:val="bottom"/>
            <w:hideMark/>
          </w:tcPr>
          <w:p w14:paraId="00BBC340" w14:textId="77777777" w:rsidR="00677577" w:rsidRPr="00C73F11" w:rsidRDefault="00677577" w:rsidP="00085121">
            <w:pPr>
              <w:spacing w:after="0" w:line="240" w:lineRule="auto"/>
              <w:jc w:val="right"/>
              <w:rPr>
                <w:sz w:val="20"/>
                <w:szCs w:val="20"/>
              </w:rPr>
            </w:pPr>
            <w:r>
              <w:rPr>
                <w:rFonts w:ascii="Arial" w:hAnsi="Arial" w:cs="Arial"/>
                <w:sz w:val="16"/>
                <w:szCs w:val="16"/>
              </w:rPr>
              <w:t>0.1%</w:t>
            </w:r>
          </w:p>
        </w:tc>
      </w:tr>
      <w:tr w:rsidR="00677577" w:rsidRPr="00167CB8" w14:paraId="6478FCA5" w14:textId="77777777" w:rsidTr="00E3552B">
        <w:trPr>
          <w:trHeight w:val="346"/>
        </w:trPr>
        <w:tc>
          <w:tcPr>
            <w:tcW w:w="3673" w:type="dxa"/>
            <w:tcBorders>
              <w:top w:val="nil"/>
              <w:left w:val="single" w:sz="4" w:space="0" w:color="auto"/>
              <w:bottom w:val="nil"/>
              <w:right w:val="nil"/>
            </w:tcBorders>
            <w:vAlign w:val="center"/>
            <w:hideMark/>
          </w:tcPr>
          <w:p w14:paraId="6DB26FFF" w14:textId="77777777" w:rsidR="00677577" w:rsidRPr="00C73F11" w:rsidRDefault="00677577">
            <w:pPr>
              <w:spacing w:after="0" w:line="240" w:lineRule="auto"/>
              <w:rPr>
                <w:sz w:val="20"/>
                <w:szCs w:val="20"/>
              </w:rPr>
            </w:pPr>
            <w:r w:rsidRPr="00C73F11">
              <w:rPr>
                <w:sz w:val="20"/>
                <w:szCs w:val="20"/>
              </w:rPr>
              <w:t>Rental, hiring and real estate services</w:t>
            </w:r>
          </w:p>
        </w:tc>
        <w:tc>
          <w:tcPr>
            <w:tcW w:w="1409" w:type="dxa"/>
            <w:tcBorders>
              <w:top w:val="nil"/>
              <w:left w:val="nil"/>
              <w:bottom w:val="nil"/>
              <w:right w:val="nil"/>
            </w:tcBorders>
            <w:vAlign w:val="bottom"/>
            <w:hideMark/>
          </w:tcPr>
          <w:p w14:paraId="717F6FE9" w14:textId="77777777" w:rsidR="00677577" w:rsidRPr="00C73F11" w:rsidRDefault="00677577" w:rsidP="00085121">
            <w:pPr>
              <w:spacing w:after="0" w:line="240" w:lineRule="auto"/>
              <w:jc w:val="right"/>
              <w:rPr>
                <w:sz w:val="20"/>
                <w:szCs w:val="20"/>
              </w:rPr>
            </w:pPr>
            <w:r>
              <w:rPr>
                <w:rFonts w:ascii="Arial" w:hAnsi="Arial" w:cs="Arial"/>
                <w:sz w:val="16"/>
                <w:szCs w:val="16"/>
              </w:rPr>
              <w:t>31.1%</w:t>
            </w:r>
          </w:p>
        </w:tc>
        <w:tc>
          <w:tcPr>
            <w:tcW w:w="1409" w:type="dxa"/>
            <w:tcBorders>
              <w:top w:val="nil"/>
              <w:left w:val="nil"/>
              <w:bottom w:val="nil"/>
              <w:right w:val="nil"/>
            </w:tcBorders>
            <w:vAlign w:val="bottom"/>
            <w:hideMark/>
          </w:tcPr>
          <w:p w14:paraId="40F53B99" w14:textId="77777777" w:rsidR="00677577" w:rsidRPr="00C73F11" w:rsidRDefault="00677577" w:rsidP="00085121">
            <w:pPr>
              <w:spacing w:after="0" w:line="240" w:lineRule="auto"/>
              <w:jc w:val="right"/>
              <w:rPr>
                <w:sz w:val="20"/>
                <w:szCs w:val="20"/>
              </w:rPr>
            </w:pPr>
            <w:r>
              <w:rPr>
                <w:rFonts w:ascii="Arial" w:hAnsi="Arial" w:cs="Arial"/>
                <w:sz w:val="16"/>
                <w:szCs w:val="16"/>
              </w:rPr>
              <w:t>7.0%</w:t>
            </w:r>
          </w:p>
        </w:tc>
        <w:tc>
          <w:tcPr>
            <w:tcW w:w="1409" w:type="dxa"/>
            <w:tcBorders>
              <w:top w:val="nil"/>
              <w:left w:val="nil"/>
              <w:bottom w:val="nil"/>
              <w:right w:val="nil"/>
            </w:tcBorders>
            <w:noWrap/>
            <w:vAlign w:val="bottom"/>
            <w:hideMark/>
          </w:tcPr>
          <w:p w14:paraId="1AFC4376" w14:textId="77777777" w:rsidR="00677577" w:rsidRPr="00C73F11" w:rsidRDefault="00677577" w:rsidP="00085121">
            <w:pPr>
              <w:spacing w:after="0" w:line="240" w:lineRule="auto"/>
              <w:jc w:val="right"/>
              <w:rPr>
                <w:sz w:val="20"/>
                <w:szCs w:val="20"/>
              </w:rPr>
            </w:pPr>
            <w:r>
              <w:rPr>
                <w:rFonts w:ascii="Arial" w:hAnsi="Arial" w:cs="Arial"/>
                <w:sz w:val="16"/>
                <w:szCs w:val="16"/>
              </w:rPr>
              <w:t>-2.1%</w:t>
            </w:r>
          </w:p>
        </w:tc>
        <w:tc>
          <w:tcPr>
            <w:tcW w:w="1410" w:type="dxa"/>
            <w:tcBorders>
              <w:top w:val="nil"/>
              <w:left w:val="nil"/>
              <w:bottom w:val="nil"/>
              <w:right w:val="single" w:sz="4" w:space="0" w:color="auto"/>
            </w:tcBorders>
            <w:noWrap/>
            <w:vAlign w:val="bottom"/>
            <w:hideMark/>
          </w:tcPr>
          <w:p w14:paraId="5AB4C867" w14:textId="77777777" w:rsidR="00677577" w:rsidRPr="00C73F11" w:rsidRDefault="00677577" w:rsidP="00085121">
            <w:pPr>
              <w:spacing w:after="0" w:line="240" w:lineRule="auto"/>
              <w:jc w:val="right"/>
              <w:rPr>
                <w:sz w:val="20"/>
                <w:szCs w:val="20"/>
              </w:rPr>
            </w:pPr>
            <w:r>
              <w:rPr>
                <w:rFonts w:ascii="Arial" w:hAnsi="Arial" w:cs="Arial"/>
                <w:sz w:val="16"/>
                <w:szCs w:val="16"/>
              </w:rPr>
              <w:t>0.9%</w:t>
            </w:r>
          </w:p>
        </w:tc>
      </w:tr>
      <w:tr w:rsidR="00677577" w:rsidRPr="00167CB8" w14:paraId="43444F2B" w14:textId="77777777" w:rsidTr="00E3552B">
        <w:trPr>
          <w:trHeight w:val="346"/>
        </w:trPr>
        <w:tc>
          <w:tcPr>
            <w:tcW w:w="3673" w:type="dxa"/>
            <w:tcBorders>
              <w:top w:val="nil"/>
              <w:left w:val="single" w:sz="4" w:space="0" w:color="auto"/>
              <w:bottom w:val="nil"/>
              <w:right w:val="nil"/>
            </w:tcBorders>
            <w:vAlign w:val="center"/>
            <w:hideMark/>
          </w:tcPr>
          <w:p w14:paraId="10812EFE" w14:textId="77777777" w:rsidR="00677577" w:rsidRPr="00C73F11" w:rsidRDefault="00677577">
            <w:pPr>
              <w:spacing w:after="0" w:line="240" w:lineRule="auto"/>
              <w:rPr>
                <w:sz w:val="20"/>
                <w:szCs w:val="20"/>
              </w:rPr>
            </w:pPr>
            <w:r w:rsidRPr="00C73F11">
              <w:rPr>
                <w:sz w:val="20"/>
                <w:szCs w:val="20"/>
              </w:rPr>
              <w:t>Professional, scientific and technical services</w:t>
            </w:r>
          </w:p>
        </w:tc>
        <w:tc>
          <w:tcPr>
            <w:tcW w:w="1409" w:type="dxa"/>
            <w:tcBorders>
              <w:top w:val="nil"/>
              <w:left w:val="nil"/>
              <w:bottom w:val="nil"/>
              <w:right w:val="nil"/>
            </w:tcBorders>
            <w:vAlign w:val="bottom"/>
            <w:hideMark/>
          </w:tcPr>
          <w:p w14:paraId="46F49313" w14:textId="77777777" w:rsidR="00677577" w:rsidRPr="00C73F11" w:rsidRDefault="00677577" w:rsidP="00085121">
            <w:pPr>
              <w:spacing w:after="0" w:line="240" w:lineRule="auto"/>
              <w:jc w:val="right"/>
              <w:rPr>
                <w:sz w:val="20"/>
                <w:szCs w:val="20"/>
              </w:rPr>
            </w:pPr>
            <w:r>
              <w:rPr>
                <w:rFonts w:ascii="Arial" w:hAnsi="Arial" w:cs="Arial"/>
                <w:sz w:val="16"/>
                <w:szCs w:val="16"/>
              </w:rPr>
              <w:t>32.8%</w:t>
            </w:r>
          </w:p>
        </w:tc>
        <w:tc>
          <w:tcPr>
            <w:tcW w:w="1409" w:type="dxa"/>
            <w:tcBorders>
              <w:top w:val="nil"/>
              <w:left w:val="nil"/>
              <w:bottom w:val="nil"/>
              <w:right w:val="nil"/>
            </w:tcBorders>
            <w:vAlign w:val="bottom"/>
            <w:hideMark/>
          </w:tcPr>
          <w:p w14:paraId="2FBB20B6" w14:textId="77777777" w:rsidR="00677577" w:rsidRPr="00C73F11" w:rsidRDefault="00677577" w:rsidP="00085121">
            <w:pPr>
              <w:spacing w:after="0" w:line="240" w:lineRule="auto"/>
              <w:jc w:val="right"/>
              <w:rPr>
                <w:sz w:val="20"/>
                <w:szCs w:val="20"/>
              </w:rPr>
            </w:pPr>
            <w:r>
              <w:rPr>
                <w:rFonts w:ascii="Arial" w:hAnsi="Arial" w:cs="Arial"/>
                <w:sz w:val="16"/>
                <w:szCs w:val="16"/>
              </w:rPr>
              <w:t>6.8%</w:t>
            </w:r>
          </w:p>
        </w:tc>
        <w:tc>
          <w:tcPr>
            <w:tcW w:w="1409" w:type="dxa"/>
            <w:tcBorders>
              <w:top w:val="nil"/>
              <w:left w:val="nil"/>
              <w:bottom w:val="nil"/>
              <w:right w:val="nil"/>
            </w:tcBorders>
            <w:noWrap/>
            <w:vAlign w:val="bottom"/>
            <w:hideMark/>
          </w:tcPr>
          <w:p w14:paraId="38E2B3AB" w14:textId="77777777" w:rsidR="00677577" w:rsidRPr="00C73F11" w:rsidRDefault="00677577" w:rsidP="00085121">
            <w:pPr>
              <w:spacing w:after="0" w:line="240" w:lineRule="auto"/>
              <w:jc w:val="right"/>
              <w:rPr>
                <w:sz w:val="20"/>
                <w:szCs w:val="20"/>
              </w:rPr>
            </w:pPr>
            <w:r>
              <w:rPr>
                <w:rFonts w:ascii="Arial" w:hAnsi="Arial" w:cs="Arial"/>
                <w:sz w:val="16"/>
                <w:szCs w:val="16"/>
              </w:rPr>
              <w:t>-0.8%</w:t>
            </w:r>
          </w:p>
        </w:tc>
        <w:tc>
          <w:tcPr>
            <w:tcW w:w="1410" w:type="dxa"/>
            <w:tcBorders>
              <w:top w:val="nil"/>
              <w:left w:val="nil"/>
              <w:bottom w:val="nil"/>
              <w:right w:val="single" w:sz="4" w:space="0" w:color="auto"/>
            </w:tcBorders>
            <w:noWrap/>
            <w:vAlign w:val="bottom"/>
            <w:hideMark/>
          </w:tcPr>
          <w:p w14:paraId="6C1380E2" w14:textId="77777777" w:rsidR="00677577" w:rsidRPr="00C73F11" w:rsidRDefault="00677577" w:rsidP="00085121">
            <w:pPr>
              <w:spacing w:after="0" w:line="240" w:lineRule="auto"/>
              <w:jc w:val="right"/>
              <w:rPr>
                <w:sz w:val="20"/>
                <w:szCs w:val="20"/>
              </w:rPr>
            </w:pPr>
            <w:r>
              <w:rPr>
                <w:rFonts w:ascii="Arial" w:hAnsi="Arial" w:cs="Arial"/>
                <w:sz w:val="16"/>
                <w:szCs w:val="16"/>
              </w:rPr>
              <w:t>0.7%</w:t>
            </w:r>
          </w:p>
        </w:tc>
      </w:tr>
      <w:tr w:rsidR="00677577" w:rsidRPr="00167CB8" w14:paraId="08F2AB77" w14:textId="77777777" w:rsidTr="00E3552B">
        <w:trPr>
          <w:trHeight w:val="346"/>
        </w:trPr>
        <w:tc>
          <w:tcPr>
            <w:tcW w:w="3673" w:type="dxa"/>
            <w:tcBorders>
              <w:top w:val="nil"/>
              <w:left w:val="single" w:sz="4" w:space="0" w:color="auto"/>
              <w:bottom w:val="nil"/>
              <w:right w:val="nil"/>
            </w:tcBorders>
            <w:vAlign w:val="center"/>
            <w:hideMark/>
          </w:tcPr>
          <w:p w14:paraId="2E9E0235" w14:textId="77777777" w:rsidR="00677577" w:rsidRPr="00C73F11" w:rsidRDefault="00677577">
            <w:pPr>
              <w:spacing w:after="0" w:line="240" w:lineRule="auto"/>
              <w:rPr>
                <w:sz w:val="20"/>
                <w:szCs w:val="20"/>
              </w:rPr>
            </w:pPr>
            <w:r w:rsidRPr="00C73F11">
              <w:rPr>
                <w:sz w:val="20"/>
                <w:szCs w:val="20"/>
              </w:rPr>
              <w:t>Administrative and support services</w:t>
            </w:r>
          </w:p>
        </w:tc>
        <w:tc>
          <w:tcPr>
            <w:tcW w:w="1409" w:type="dxa"/>
            <w:tcBorders>
              <w:top w:val="nil"/>
              <w:left w:val="nil"/>
              <w:bottom w:val="nil"/>
              <w:right w:val="nil"/>
            </w:tcBorders>
            <w:vAlign w:val="bottom"/>
            <w:hideMark/>
          </w:tcPr>
          <w:p w14:paraId="7EC78012" w14:textId="77777777" w:rsidR="00677577" w:rsidRPr="00C73F11" w:rsidRDefault="00677577" w:rsidP="00085121">
            <w:pPr>
              <w:spacing w:after="0" w:line="240" w:lineRule="auto"/>
              <w:jc w:val="right"/>
              <w:rPr>
                <w:sz w:val="20"/>
                <w:szCs w:val="20"/>
              </w:rPr>
            </w:pPr>
            <w:r>
              <w:rPr>
                <w:rFonts w:ascii="Arial" w:hAnsi="Arial" w:cs="Arial"/>
                <w:sz w:val="16"/>
                <w:szCs w:val="16"/>
              </w:rPr>
              <w:t>29.3%</w:t>
            </w:r>
          </w:p>
        </w:tc>
        <w:tc>
          <w:tcPr>
            <w:tcW w:w="1409" w:type="dxa"/>
            <w:tcBorders>
              <w:top w:val="nil"/>
              <w:left w:val="nil"/>
              <w:bottom w:val="nil"/>
              <w:right w:val="nil"/>
            </w:tcBorders>
            <w:vAlign w:val="bottom"/>
            <w:hideMark/>
          </w:tcPr>
          <w:p w14:paraId="4689240E" w14:textId="77777777" w:rsidR="00677577" w:rsidRPr="00C73F11" w:rsidRDefault="00677577" w:rsidP="00085121">
            <w:pPr>
              <w:spacing w:after="0" w:line="240" w:lineRule="auto"/>
              <w:jc w:val="right"/>
              <w:rPr>
                <w:sz w:val="20"/>
                <w:szCs w:val="20"/>
              </w:rPr>
            </w:pPr>
            <w:r>
              <w:rPr>
                <w:rFonts w:ascii="Arial" w:hAnsi="Arial" w:cs="Arial"/>
                <w:sz w:val="16"/>
                <w:szCs w:val="16"/>
              </w:rPr>
              <w:t>8.3%</w:t>
            </w:r>
          </w:p>
        </w:tc>
        <w:tc>
          <w:tcPr>
            <w:tcW w:w="1409" w:type="dxa"/>
            <w:tcBorders>
              <w:top w:val="nil"/>
              <w:left w:val="nil"/>
              <w:bottom w:val="nil"/>
              <w:right w:val="nil"/>
            </w:tcBorders>
            <w:noWrap/>
            <w:vAlign w:val="bottom"/>
            <w:hideMark/>
          </w:tcPr>
          <w:p w14:paraId="16390E1F" w14:textId="77777777" w:rsidR="00677577" w:rsidRPr="00C73F11" w:rsidRDefault="00677577" w:rsidP="00085121">
            <w:pPr>
              <w:spacing w:after="0" w:line="240" w:lineRule="auto"/>
              <w:jc w:val="right"/>
              <w:rPr>
                <w:sz w:val="20"/>
                <w:szCs w:val="20"/>
              </w:rPr>
            </w:pPr>
            <w:r>
              <w:rPr>
                <w:rFonts w:ascii="Arial" w:hAnsi="Arial" w:cs="Arial"/>
                <w:sz w:val="16"/>
                <w:szCs w:val="16"/>
              </w:rPr>
              <w:t>-3.4%</w:t>
            </w:r>
          </w:p>
        </w:tc>
        <w:tc>
          <w:tcPr>
            <w:tcW w:w="1410" w:type="dxa"/>
            <w:tcBorders>
              <w:top w:val="nil"/>
              <w:left w:val="nil"/>
              <w:bottom w:val="nil"/>
              <w:right w:val="single" w:sz="4" w:space="0" w:color="auto"/>
            </w:tcBorders>
            <w:noWrap/>
            <w:vAlign w:val="bottom"/>
            <w:hideMark/>
          </w:tcPr>
          <w:p w14:paraId="25DF775B" w14:textId="77777777" w:rsidR="00677577" w:rsidRPr="00C73F11" w:rsidRDefault="00677577" w:rsidP="00085121">
            <w:pPr>
              <w:spacing w:after="0" w:line="240" w:lineRule="auto"/>
              <w:jc w:val="right"/>
              <w:rPr>
                <w:sz w:val="20"/>
                <w:szCs w:val="20"/>
              </w:rPr>
            </w:pPr>
            <w:r>
              <w:rPr>
                <w:rFonts w:ascii="Arial" w:hAnsi="Arial" w:cs="Arial"/>
                <w:sz w:val="16"/>
                <w:szCs w:val="16"/>
              </w:rPr>
              <w:t>2.1%</w:t>
            </w:r>
          </w:p>
        </w:tc>
      </w:tr>
      <w:tr w:rsidR="00677577" w:rsidRPr="00167CB8" w14:paraId="43FB4411" w14:textId="77777777" w:rsidTr="00E3552B">
        <w:trPr>
          <w:trHeight w:val="346"/>
        </w:trPr>
        <w:tc>
          <w:tcPr>
            <w:tcW w:w="3673" w:type="dxa"/>
            <w:tcBorders>
              <w:top w:val="nil"/>
              <w:left w:val="single" w:sz="4" w:space="0" w:color="auto"/>
              <w:bottom w:val="nil"/>
              <w:right w:val="nil"/>
            </w:tcBorders>
            <w:vAlign w:val="center"/>
            <w:hideMark/>
          </w:tcPr>
          <w:p w14:paraId="60A899B1" w14:textId="77777777" w:rsidR="00677577" w:rsidRPr="00C73F11" w:rsidRDefault="00677577">
            <w:pPr>
              <w:spacing w:after="0" w:line="240" w:lineRule="auto"/>
              <w:rPr>
                <w:sz w:val="20"/>
                <w:szCs w:val="20"/>
              </w:rPr>
            </w:pPr>
            <w:r w:rsidRPr="00C73F11">
              <w:rPr>
                <w:sz w:val="20"/>
                <w:szCs w:val="20"/>
              </w:rPr>
              <w:t>Public administration and safety</w:t>
            </w:r>
          </w:p>
        </w:tc>
        <w:tc>
          <w:tcPr>
            <w:tcW w:w="1409" w:type="dxa"/>
            <w:tcBorders>
              <w:top w:val="nil"/>
              <w:left w:val="nil"/>
              <w:bottom w:val="nil"/>
              <w:right w:val="nil"/>
            </w:tcBorders>
            <w:vAlign w:val="bottom"/>
            <w:hideMark/>
          </w:tcPr>
          <w:p w14:paraId="3F1D149C" w14:textId="77777777" w:rsidR="00677577" w:rsidRPr="00C73F11" w:rsidRDefault="00677577" w:rsidP="00085121">
            <w:pPr>
              <w:spacing w:after="0" w:line="240" w:lineRule="auto"/>
              <w:jc w:val="right"/>
              <w:rPr>
                <w:sz w:val="20"/>
                <w:szCs w:val="20"/>
              </w:rPr>
            </w:pPr>
            <w:r>
              <w:rPr>
                <w:rFonts w:ascii="Arial" w:hAnsi="Arial" w:cs="Arial"/>
                <w:sz w:val="16"/>
                <w:szCs w:val="16"/>
              </w:rPr>
              <w:t>33.2%</w:t>
            </w:r>
          </w:p>
        </w:tc>
        <w:tc>
          <w:tcPr>
            <w:tcW w:w="1409" w:type="dxa"/>
            <w:tcBorders>
              <w:top w:val="nil"/>
              <w:left w:val="nil"/>
              <w:bottom w:val="nil"/>
              <w:right w:val="nil"/>
            </w:tcBorders>
            <w:vAlign w:val="bottom"/>
            <w:hideMark/>
          </w:tcPr>
          <w:p w14:paraId="59AC816F" w14:textId="77777777" w:rsidR="00677577" w:rsidRPr="00C73F11" w:rsidRDefault="00677577" w:rsidP="00085121">
            <w:pPr>
              <w:spacing w:after="0" w:line="240" w:lineRule="auto"/>
              <w:jc w:val="right"/>
              <w:rPr>
                <w:sz w:val="20"/>
                <w:szCs w:val="20"/>
              </w:rPr>
            </w:pPr>
            <w:r>
              <w:rPr>
                <w:rFonts w:ascii="Arial" w:hAnsi="Arial" w:cs="Arial"/>
                <w:sz w:val="16"/>
                <w:szCs w:val="16"/>
              </w:rPr>
              <w:t>6.8%</w:t>
            </w:r>
          </w:p>
        </w:tc>
        <w:tc>
          <w:tcPr>
            <w:tcW w:w="1409" w:type="dxa"/>
            <w:tcBorders>
              <w:top w:val="nil"/>
              <w:left w:val="nil"/>
              <w:bottom w:val="nil"/>
              <w:right w:val="nil"/>
            </w:tcBorders>
            <w:noWrap/>
            <w:vAlign w:val="bottom"/>
            <w:hideMark/>
          </w:tcPr>
          <w:p w14:paraId="49EE5438" w14:textId="77777777" w:rsidR="00677577" w:rsidRPr="00C73F11" w:rsidRDefault="00677577" w:rsidP="00085121">
            <w:pPr>
              <w:spacing w:after="0" w:line="240" w:lineRule="auto"/>
              <w:jc w:val="right"/>
              <w:rPr>
                <w:sz w:val="20"/>
                <w:szCs w:val="20"/>
              </w:rPr>
            </w:pPr>
            <w:r>
              <w:rPr>
                <w:rFonts w:ascii="Arial" w:hAnsi="Arial" w:cs="Arial"/>
                <w:sz w:val="16"/>
                <w:szCs w:val="16"/>
              </w:rPr>
              <w:t>-0.5%</w:t>
            </w:r>
          </w:p>
        </w:tc>
        <w:tc>
          <w:tcPr>
            <w:tcW w:w="1410" w:type="dxa"/>
            <w:tcBorders>
              <w:top w:val="nil"/>
              <w:left w:val="nil"/>
              <w:bottom w:val="nil"/>
              <w:right w:val="single" w:sz="4" w:space="0" w:color="auto"/>
            </w:tcBorders>
            <w:noWrap/>
            <w:vAlign w:val="bottom"/>
            <w:hideMark/>
          </w:tcPr>
          <w:p w14:paraId="5721BA77" w14:textId="77777777" w:rsidR="00677577" w:rsidRPr="00C73F11" w:rsidRDefault="00677577" w:rsidP="00085121">
            <w:pPr>
              <w:spacing w:after="0" w:line="240" w:lineRule="auto"/>
              <w:jc w:val="right"/>
              <w:rPr>
                <w:sz w:val="20"/>
                <w:szCs w:val="20"/>
              </w:rPr>
            </w:pPr>
            <w:r>
              <w:rPr>
                <w:rFonts w:ascii="Arial" w:hAnsi="Arial" w:cs="Arial"/>
                <w:sz w:val="16"/>
                <w:szCs w:val="16"/>
              </w:rPr>
              <w:t>0.7%</w:t>
            </w:r>
          </w:p>
        </w:tc>
      </w:tr>
      <w:tr w:rsidR="00677577" w:rsidRPr="00167CB8" w14:paraId="55D5E90D" w14:textId="77777777" w:rsidTr="00E3552B">
        <w:trPr>
          <w:trHeight w:val="346"/>
        </w:trPr>
        <w:tc>
          <w:tcPr>
            <w:tcW w:w="3673" w:type="dxa"/>
            <w:tcBorders>
              <w:top w:val="nil"/>
              <w:left w:val="single" w:sz="4" w:space="0" w:color="auto"/>
              <w:bottom w:val="nil"/>
              <w:right w:val="nil"/>
            </w:tcBorders>
            <w:vAlign w:val="center"/>
            <w:hideMark/>
          </w:tcPr>
          <w:p w14:paraId="196F1C0A" w14:textId="77777777" w:rsidR="00677577" w:rsidRPr="00C73F11" w:rsidRDefault="00677577">
            <w:pPr>
              <w:spacing w:after="0" w:line="240" w:lineRule="auto"/>
              <w:rPr>
                <w:sz w:val="20"/>
                <w:szCs w:val="20"/>
              </w:rPr>
            </w:pPr>
            <w:r w:rsidRPr="00C73F11">
              <w:rPr>
                <w:sz w:val="20"/>
                <w:szCs w:val="20"/>
              </w:rPr>
              <w:t>Education and training</w:t>
            </w:r>
          </w:p>
        </w:tc>
        <w:tc>
          <w:tcPr>
            <w:tcW w:w="1409" w:type="dxa"/>
            <w:tcBorders>
              <w:top w:val="nil"/>
              <w:left w:val="nil"/>
              <w:bottom w:val="nil"/>
              <w:right w:val="nil"/>
            </w:tcBorders>
            <w:vAlign w:val="bottom"/>
            <w:hideMark/>
          </w:tcPr>
          <w:p w14:paraId="569379A2" w14:textId="77777777" w:rsidR="00677577" w:rsidRPr="00C73F11" w:rsidRDefault="00677577" w:rsidP="00085121">
            <w:pPr>
              <w:spacing w:after="0" w:line="240" w:lineRule="auto"/>
              <w:jc w:val="right"/>
              <w:rPr>
                <w:sz w:val="20"/>
                <w:szCs w:val="20"/>
              </w:rPr>
            </w:pPr>
            <w:r>
              <w:rPr>
                <w:rFonts w:ascii="Arial" w:hAnsi="Arial" w:cs="Arial"/>
                <w:sz w:val="16"/>
                <w:szCs w:val="16"/>
              </w:rPr>
              <w:t>36.7%</w:t>
            </w:r>
          </w:p>
        </w:tc>
        <w:tc>
          <w:tcPr>
            <w:tcW w:w="1409" w:type="dxa"/>
            <w:tcBorders>
              <w:top w:val="nil"/>
              <w:left w:val="nil"/>
              <w:bottom w:val="nil"/>
              <w:right w:val="nil"/>
            </w:tcBorders>
            <w:vAlign w:val="bottom"/>
            <w:hideMark/>
          </w:tcPr>
          <w:p w14:paraId="72AE190F" w14:textId="77777777" w:rsidR="00677577" w:rsidRPr="00C73F11" w:rsidRDefault="00677577" w:rsidP="00085121">
            <w:pPr>
              <w:spacing w:after="0" w:line="240" w:lineRule="auto"/>
              <w:jc w:val="right"/>
              <w:rPr>
                <w:sz w:val="20"/>
                <w:szCs w:val="20"/>
              </w:rPr>
            </w:pPr>
            <w:r>
              <w:rPr>
                <w:rFonts w:ascii="Arial" w:hAnsi="Arial" w:cs="Arial"/>
                <w:sz w:val="16"/>
                <w:szCs w:val="16"/>
              </w:rPr>
              <w:t>8.2%</w:t>
            </w:r>
          </w:p>
        </w:tc>
        <w:tc>
          <w:tcPr>
            <w:tcW w:w="1409" w:type="dxa"/>
            <w:tcBorders>
              <w:top w:val="nil"/>
              <w:left w:val="nil"/>
              <w:bottom w:val="nil"/>
              <w:right w:val="nil"/>
            </w:tcBorders>
            <w:noWrap/>
            <w:vAlign w:val="bottom"/>
            <w:hideMark/>
          </w:tcPr>
          <w:p w14:paraId="1C045328" w14:textId="77777777" w:rsidR="00677577" w:rsidRPr="00C73F11" w:rsidRDefault="00677577" w:rsidP="00085121">
            <w:pPr>
              <w:spacing w:after="0" w:line="240" w:lineRule="auto"/>
              <w:jc w:val="right"/>
              <w:rPr>
                <w:sz w:val="20"/>
                <w:szCs w:val="20"/>
              </w:rPr>
            </w:pPr>
            <w:r>
              <w:rPr>
                <w:rFonts w:ascii="Arial" w:hAnsi="Arial" w:cs="Arial"/>
                <w:sz w:val="16"/>
                <w:szCs w:val="16"/>
              </w:rPr>
              <w:t>2.1%</w:t>
            </w:r>
          </w:p>
        </w:tc>
        <w:tc>
          <w:tcPr>
            <w:tcW w:w="1410" w:type="dxa"/>
            <w:tcBorders>
              <w:top w:val="nil"/>
              <w:left w:val="nil"/>
              <w:bottom w:val="nil"/>
              <w:right w:val="single" w:sz="4" w:space="0" w:color="auto"/>
            </w:tcBorders>
            <w:noWrap/>
            <w:vAlign w:val="bottom"/>
            <w:hideMark/>
          </w:tcPr>
          <w:p w14:paraId="6CF6DF00" w14:textId="77777777" w:rsidR="00677577" w:rsidRPr="00C73F11" w:rsidRDefault="00677577" w:rsidP="00085121">
            <w:pPr>
              <w:spacing w:after="0" w:line="240" w:lineRule="auto"/>
              <w:jc w:val="right"/>
              <w:rPr>
                <w:sz w:val="20"/>
                <w:szCs w:val="20"/>
              </w:rPr>
            </w:pPr>
            <w:r>
              <w:rPr>
                <w:rFonts w:ascii="Arial" w:hAnsi="Arial" w:cs="Arial"/>
                <w:sz w:val="16"/>
                <w:szCs w:val="16"/>
              </w:rPr>
              <w:t>2.1%</w:t>
            </w:r>
          </w:p>
        </w:tc>
      </w:tr>
      <w:tr w:rsidR="00677577" w:rsidRPr="00167CB8" w14:paraId="4FDA283B" w14:textId="77777777" w:rsidTr="00E3552B">
        <w:trPr>
          <w:trHeight w:val="346"/>
        </w:trPr>
        <w:tc>
          <w:tcPr>
            <w:tcW w:w="3673" w:type="dxa"/>
            <w:tcBorders>
              <w:top w:val="nil"/>
              <w:left w:val="single" w:sz="4" w:space="0" w:color="auto"/>
              <w:bottom w:val="nil"/>
              <w:right w:val="nil"/>
            </w:tcBorders>
            <w:vAlign w:val="center"/>
            <w:hideMark/>
          </w:tcPr>
          <w:p w14:paraId="0A5A80DA" w14:textId="77777777" w:rsidR="00677577" w:rsidRPr="00C73F11" w:rsidRDefault="00677577">
            <w:pPr>
              <w:spacing w:after="0" w:line="240" w:lineRule="auto"/>
              <w:rPr>
                <w:sz w:val="20"/>
                <w:szCs w:val="20"/>
              </w:rPr>
            </w:pPr>
            <w:r w:rsidRPr="00C73F11">
              <w:rPr>
                <w:sz w:val="20"/>
                <w:szCs w:val="20"/>
              </w:rPr>
              <w:t>Health care and social assistance</w:t>
            </w:r>
          </w:p>
        </w:tc>
        <w:tc>
          <w:tcPr>
            <w:tcW w:w="1409" w:type="dxa"/>
            <w:tcBorders>
              <w:top w:val="nil"/>
              <w:left w:val="nil"/>
              <w:bottom w:val="nil"/>
              <w:right w:val="nil"/>
            </w:tcBorders>
            <w:vAlign w:val="bottom"/>
            <w:hideMark/>
          </w:tcPr>
          <w:p w14:paraId="4D0DD89A" w14:textId="77777777" w:rsidR="00677577" w:rsidRPr="00C73F11" w:rsidRDefault="00677577" w:rsidP="00085121">
            <w:pPr>
              <w:spacing w:after="0" w:line="240" w:lineRule="auto"/>
              <w:jc w:val="right"/>
              <w:rPr>
                <w:sz w:val="20"/>
                <w:szCs w:val="20"/>
              </w:rPr>
            </w:pPr>
            <w:r>
              <w:rPr>
                <w:rFonts w:ascii="Arial" w:hAnsi="Arial" w:cs="Arial"/>
                <w:sz w:val="16"/>
                <w:szCs w:val="16"/>
              </w:rPr>
              <w:t>37.7%</w:t>
            </w:r>
          </w:p>
        </w:tc>
        <w:tc>
          <w:tcPr>
            <w:tcW w:w="1409" w:type="dxa"/>
            <w:tcBorders>
              <w:top w:val="nil"/>
              <w:left w:val="nil"/>
              <w:bottom w:val="nil"/>
              <w:right w:val="nil"/>
            </w:tcBorders>
            <w:vAlign w:val="bottom"/>
            <w:hideMark/>
          </w:tcPr>
          <w:p w14:paraId="273B68A2" w14:textId="77777777" w:rsidR="00677577" w:rsidRPr="00C73F11" w:rsidRDefault="00677577" w:rsidP="00085121">
            <w:pPr>
              <w:spacing w:after="0" w:line="240" w:lineRule="auto"/>
              <w:jc w:val="right"/>
              <w:rPr>
                <w:sz w:val="20"/>
                <w:szCs w:val="20"/>
              </w:rPr>
            </w:pPr>
            <w:r>
              <w:rPr>
                <w:rFonts w:ascii="Arial" w:hAnsi="Arial" w:cs="Arial"/>
                <w:sz w:val="16"/>
                <w:szCs w:val="16"/>
              </w:rPr>
              <w:t>8.5%</w:t>
            </w:r>
          </w:p>
        </w:tc>
        <w:tc>
          <w:tcPr>
            <w:tcW w:w="1409" w:type="dxa"/>
            <w:tcBorders>
              <w:top w:val="nil"/>
              <w:left w:val="nil"/>
              <w:bottom w:val="nil"/>
              <w:right w:val="nil"/>
            </w:tcBorders>
            <w:noWrap/>
            <w:vAlign w:val="bottom"/>
            <w:hideMark/>
          </w:tcPr>
          <w:p w14:paraId="2D29DCC7" w14:textId="77777777" w:rsidR="00677577" w:rsidRPr="00C73F11" w:rsidRDefault="00677577" w:rsidP="00085121">
            <w:pPr>
              <w:spacing w:after="0" w:line="240" w:lineRule="auto"/>
              <w:jc w:val="right"/>
              <w:rPr>
                <w:sz w:val="20"/>
                <w:szCs w:val="20"/>
              </w:rPr>
            </w:pPr>
            <w:r>
              <w:rPr>
                <w:rFonts w:ascii="Arial" w:hAnsi="Arial" w:cs="Arial"/>
                <w:sz w:val="16"/>
                <w:szCs w:val="16"/>
              </w:rPr>
              <w:t>2.8%</w:t>
            </w:r>
          </w:p>
        </w:tc>
        <w:tc>
          <w:tcPr>
            <w:tcW w:w="1410" w:type="dxa"/>
            <w:tcBorders>
              <w:top w:val="nil"/>
              <w:left w:val="nil"/>
              <w:bottom w:val="nil"/>
              <w:right w:val="single" w:sz="4" w:space="0" w:color="auto"/>
            </w:tcBorders>
            <w:noWrap/>
            <w:vAlign w:val="bottom"/>
            <w:hideMark/>
          </w:tcPr>
          <w:p w14:paraId="3A079489" w14:textId="77777777" w:rsidR="00677577" w:rsidRPr="00C73F11" w:rsidRDefault="00677577" w:rsidP="00085121">
            <w:pPr>
              <w:spacing w:after="0" w:line="240" w:lineRule="auto"/>
              <w:jc w:val="right"/>
              <w:rPr>
                <w:sz w:val="20"/>
                <w:szCs w:val="20"/>
              </w:rPr>
            </w:pPr>
            <w:r>
              <w:rPr>
                <w:rFonts w:ascii="Arial" w:hAnsi="Arial" w:cs="Arial"/>
                <w:sz w:val="16"/>
                <w:szCs w:val="16"/>
              </w:rPr>
              <w:t>2.4%</w:t>
            </w:r>
          </w:p>
        </w:tc>
      </w:tr>
      <w:tr w:rsidR="00677577" w:rsidRPr="00167CB8" w14:paraId="6491B9E2" w14:textId="77777777" w:rsidTr="00E3552B">
        <w:trPr>
          <w:trHeight w:val="346"/>
        </w:trPr>
        <w:tc>
          <w:tcPr>
            <w:tcW w:w="3673" w:type="dxa"/>
            <w:tcBorders>
              <w:top w:val="nil"/>
              <w:left w:val="single" w:sz="4" w:space="0" w:color="auto"/>
              <w:bottom w:val="nil"/>
              <w:right w:val="nil"/>
            </w:tcBorders>
            <w:vAlign w:val="center"/>
            <w:hideMark/>
          </w:tcPr>
          <w:p w14:paraId="7F463ED0" w14:textId="77777777" w:rsidR="00677577" w:rsidRPr="00C73F11" w:rsidRDefault="00677577">
            <w:pPr>
              <w:spacing w:after="0" w:line="240" w:lineRule="auto"/>
              <w:rPr>
                <w:sz w:val="20"/>
                <w:szCs w:val="20"/>
              </w:rPr>
            </w:pPr>
            <w:r w:rsidRPr="00C73F11">
              <w:rPr>
                <w:sz w:val="20"/>
                <w:szCs w:val="20"/>
              </w:rPr>
              <w:t>Arts and recreational services</w:t>
            </w:r>
          </w:p>
        </w:tc>
        <w:tc>
          <w:tcPr>
            <w:tcW w:w="1409" w:type="dxa"/>
            <w:tcBorders>
              <w:top w:val="nil"/>
              <w:left w:val="nil"/>
              <w:bottom w:val="nil"/>
              <w:right w:val="nil"/>
            </w:tcBorders>
            <w:vAlign w:val="bottom"/>
            <w:hideMark/>
          </w:tcPr>
          <w:p w14:paraId="44E4BA88" w14:textId="77777777" w:rsidR="00677577" w:rsidRPr="00C73F11" w:rsidRDefault="00677577" w:rsidP="00085121">
            <w:pPr>
              <w:spacing w:after="0" w:line="240" w:lineRule="auto"/>
              <w:jc w:val="right"/>
              <w:rPr>
                <w:sz w:val="20"/>
                <w:szCs w:val="20"/>
              </w:rPr>
            </w:pPr>
            <w:r>
              <w:rPr>
                <w:rFonts w:ascii="Arial" w:hAnsi="Arial" w:cs="Arial"/>
                <w:sz w:val="16"/>
                <w:szCs w:val="16"/>
              </w:rPr>
              <w:t>36.7%</w:t>
            </w:r>
          </w:p>
        </w:tc>
        <w:tc>
          <w:tcPr>
            <w:tcW w:w="1409" w:type="dxa"/>
            <w:tcBorders>
              <w:top w:val="nil"/>
              <w:left w:val="nil"/>
              <w:bottom w:val="nil"/>
              <w:right w:val="nil"/>
            </w:tcBorders>
            <w:vAlign w:val="bottom"/>
            <w:hideMark/>
          </w:tcPr>
          <w:p w14:paraId="15D4CEBF" w14:textId="77777777" w:rsidR="00677577" w:rsidRPr="00C73F11" w:rsidRDefault="00677577" w:rsidP="00085121">
            <w:pPr>
              <w:spacing w:after="0" w:line="240" w:lineRule="auto"/>
              <w:jc w:val="right"/>
              <w:rPr>
                <w:sz w:val="20"/>
                <w:szCs w:val="20"/>
              </w:rPr>
            </w:pPr>
            <w:r>
              <w:rPr>
                <w:rFonts w:ascii="Arial" w:hAnsi="Arial" w:cs="Arial"/>
                <w:sz w:val="16"/>
                <w:szCs w:val="16"/>
              </w:rPr>
              <w:t>6.8%</w:t>
            </w:r>
          </w:p>
        </w:tc>
        <w:tc>
          <w:tcPr>
            <w:tcW w:w="1409" w:type="dxa"/>
            <w:tcBorders>
              <w:top w:val="nil"/>
              <w:left w:val="nil"/>
              <w:bottom w:val="nil"/>
              <w:right w:val="nil"/>
            </w:tcBorders>
            <w:noWrap/>
            <w:vAlign w:val="bottom"/>
            <w:hideMark/>
          </w:tcPr>
          <w:p w14:paraId="200C38F9" w14:textId="77777777" w:rsidR="00677577" w:rsidRPr="00C73F11" w:rsidRDefault="00677577" w:rsidP="00085121">
            <w:pPr>
              <w:spacing w:after="0" w:line="240" w:lineRule="auto"/>
              <w:jc w:val="right"/>
              <w:rPr>
                <w:sz w:val="20"/>
                <w:szCs w:val="20"/>
              </w:rPr>
            </w:pPr>
            <w:r>
              <w:rPr>
                <w:rFonts w:ascii="Arial" w:hAnsi="Arial" w:cs="Arial"/>
                <w:sz w:val="16"/>
                <w:szCs w:val="16"/>
              </w:rPr>
              <w:t>2.1%</w:t>
            </w:r>
          </w:p>
        </w:tc>
        <w:tc>
          <w:tcPr>
            <w:tcW w:w="1410" w:type="dxa"/>
            <w:tcBorders>
              <w:top w:val="nil"/>
              <w:left w:val="nil"/>
              <w:bottom w:val="nil"/>
              <w:right w:val="single" w:sz="4" w:space="0" w:color="auto"/>
            </w:tcBorders>
            <w:noWrap/>
            <w:vAlign w:val="bottom"/>
            <w:hideMark/>
          </w:tcPr>
          <w:p w14:paraId="0FF27C28" w14:textId="77777777" w:rsidR="00677577" w:rsidRPr="00C73F11" w:rsidRDefault="00677577" w:rsidP="00085121">
            <w:pPr>
              <w:spacing w:after="0" w:line="240" w:lineRule="auto"/>
              <w:jc w:val="right"/>
              <w:rPr>
                <w:sz w:val="20"/>
                <w:szCs w:val="20"/>
              </w:rPr>
            </w:pPr>
            <w:r>
              <w:rPr>
                <w:rFonts w:ascii="Arial" w:hAnsi="Arial" w:cs="Arial"/>
                <w:sz w:val="16"/>
                <w:szCs w:val="16"/>
              </w:rPr>
              <w:t>0.8%</w:t>
            </w:r>
          </w:p>
        </w:tc>
      </w:tr>
      <w:tr w:rsidR="00677577" w:rsidRPr="00167CB8" w14:paraId="4977663E" w14:textId="77777777" w:rsidTr="00E3552B">
        <w:trPr>
          <w:trHeight w:val="346"/>
        </w:trPr>
        <w:tc>
          <w:tcPr>
            <w:tcW w:w="3673" w:type="dxa"/>
            <w:tcBorders>
              <w:top w:val="nil"/>
              <w:left w:val="single" w:sz="4" w:space="0" w:color="auto"/>
              <w:bottom w:val="single" w:sz="4" w:space="0" w:color="auto"/>
              <w:right w:val="nil"/>
            </w:tcBorders>
            <w:vAlign w:val="center"/>
            <w:hideMark/>
          </w:tcPr>
          <w:p w14:paraId="45950B83" w14:textId="77777777" w:rsidR="00677577" w:rsidRPr="00C73F11" w:rsidRDefault="00677577">
            <w:pPr>
              <w:spacing w:after="0" w:line="240" w:lineRule="auto"/>
              <w:rPr>
                <w:sz w:val="20"/>
                <w:szCs w:val="20"/>
              </w:rPr>
            </w:pPr>
            <w:r w:rsidRPr="00C73F11">
              <w:rPr>
                <w:sz w:val="20"/>
                <w:szCs w:val="20"/>
              </w:rPr>
              <w:t>Other services</w:t>
            </w:r>
          </w:p>
        </w:tc>
        <w:tc>
          <w:tcPr>
            <w:tcW w:w="1409" w:type="dxa"/>
            <w:tcBorders>
              <w:top w:val="nil"/>
              <w:left w:val="nil"/>
              <w:bottom w:val="single" w:sz="4" w:space="0" w:color="auto"/>
              <w:right w:val="nil"/>
            </w:tcBorders>
            <w:vAlign w:val="bottom"/>
            <w:hideMark/>
          </w:tcPr>
          <w:p w14:paraId="01E77676" w14:textId="77777777" w:rsidR="00677577" w:rsidRPr="00C73F11" w:rsidRDefault="00677577" w:rsidP="00085121">
            <w:pPr>
              <w:spacing w:after="0" w:line="240" w:lineRule="auto"/>
              <w:jc w:val="right"/>
              <w:rPr>
                <w:sz w:val="20"/>
                <w:szCs w:val="20"/>
              </w:rPr>
            </w:pPr>
            <w:r>
              <w:rPr>
                <w:rFonts w:ascii="Arial" w:hAnsi="Arial" w:cs="Arial"/>
                <w:sz w:val="16"/>
                <w:szCs w:val="16"/>
              </w:rPr>
              <w:t>34.9%</w:t>
            </w:r>
          </w:p>
        </w:tc>
        <w:tc>
          <w:tcPr>
            <w:tcW w:w="1409" w:type="dxa"/>
            <w:tcBorders>
              <w:top w:val="nil"/>
              <w:left w:val="nil"/>
              <w:bottom w:val="single" w:sz="4" w:space="0" w:color="auto"/>
              <w:right w:val="nil"/>
            </w:tcBorders>
            <w:vAlign w:val="bottom"/>
            <w:hideMark/>
          </w:tcPr>
          <w:p w14:paraId="27B8467D" w14:textId="77777777" w:rsidR="00677577" w:rsidRPr="00C73F11" w:rsidRDefault="00677577" w:rsidP="00085121">
            <w:pPr>
              <w:spacing w:after="0" w:line="240" w:lineRule="auto"/>
              <w:jc w:val="right"/>
              <w:rPr>
                <w:sz w:val="20"/>
                <w:szCs w:val="20"/>
              </w:rPr>
            </w:pPr>
            <w:r>
              <w:rPr>
                <w:rFonts w:ascii="Arial" w:hAnsi="Arial" w:cs="Arial"/>
                <w:sz w:val="16"/>
                <w:szCs w:val="16"/>
              </w:rPr>
              <w:t>6.8%</w:t>
            </w:r>
          </w:p>
        </w:tc>
        <w:tc>
          <w:tcPr>
            <w:tcW w:w="1409" w:type="dxa"/>
            <w:tcBorders>
              <w:top w:val="nil"/>
              <w:left w:val="nil"/>
              <w:bottom w:val="single" w:sz="4" w:space="0" w:color="auto"/>
              <w:right w:val="nil"/>
            </w:tcBorders>
            <w:noWrap/>
            <w:vAlign w:val="bottom"/>
            <w:hideMark/>
          </w:tcPr>
          <w:p w14:paraId="6374F709" w14:textId="77777777" w:rsidR="00677577" w:rsidRPr="00C73F11" w:rsidRDefault="00677577" w:rsidP="00085121">
            <w:pPr>
              <w:spacing w:after="0" w:line="240" w:lineRule="auto"/>
              <w:jc w:val="right"/>
              <w:rPr>
                <w:sz w:val="20"/>
                <w:szCs w:val="20"/>
              </w:rPr>
            </w:pPr>
            <w:r>
              <w:rPr>
                <w:rFonts w:ascii="Arial" w:hAnsi="Arial" w:cs="Arial"/>
                <w:sz w:val="16"/>
                <w:szCs w:val="16"/>
              </w:rPr>
              <w:t>0.8%</w:t>
            </w:r>
          </w:p>
        </w:tc>
        <w:tc>
          <w:tcPr>
            <w:tcW w:w="1410" w:type="dxa"/>
            <w:tcBorders>
              <w:top w:val="nil"/>
              <w:left w:val="nil"/>
              <w:bottom w:val="single" w:sz="4" w:space="0" w:color="auto"/>
              <w:right w:val="single" w:sz="4" w:space="0" w:color="auto"/>
            </w:tcBorders>
            <w:noWrap/>
            <w:vAlign w:val="bottom"/>
            <w:hideMark/>
          </w:tcPr>
          <w:p w14:paraId="19360C02" w14:textId="77777777" w:rsidR="00677577" w:rsidRPr="00C73F11" w:rsidRDefault="00677577" w:rsidP="00085121">
            <w:pPr>
              <w:spacing w:after="0" w:line="240" w:lineRule="auto"/>
              <w:jc w:val="right"/>
              <w:rPr>
                <w:sz w:val="20"/>
                <w:szCs w:val="20"/>
              </w:rPr>
            </w:pPr>
            <w:r>
              <w:rPr>
                <w:rFonts w:ascii="Arial" w:hAnsi="Arial" w:cs="Arial"/>
                <w:sz w:val="16"/>
                <w:szCs w:val="16"/>
              </w:rPr>
              <w:t>0.7%</w:t>
            </w:r>
          </w:p>
        </w:tc>
      </w:tr>
      <w:tr w:rsidR="00677577" w:rsidRPr="00167CB8" w14:paraId="1745DE06" w14:textId="77777777" w:rsidTr="00E3552B">
        <w:trPr>
          <w:trHeight w:val="346"/>
        </w:trPr>
        <w:tc>
          <w:tcPr>
            <w:tcW w:w="3673" w:type="dxa"/>
            <w:tcBorders>
              <w:top w:val="single" w:sz="4" w:space="0" w:color="auto"/>
              <w:left w:val="single" w:sz="4" w:space="0" w:color="auto"/>
              <w:bottom w:val="nil"/>
              <w:right w:val="nil"/>
            </w:tcBorders>
            <w:vAlign w:val="center"/>
            <w:hideMark/>
          </w:tcPr>
          <w:p w14:paraId="049A373D" w14:textId="77777777" w:rsidR="00677577" w:rsidRPr="00C73F11" w:rsidRDefault="00677577">
            <w:pPr>
              <w:spacing w:after="0" w:line="240" w:lineRule="auto"/>
              <w:rPr>
                <w:b/>
                <w:bCs/>
                <w:sz w:val="20"/>
                <w:szCs w:val="20"/>
              </w:rPr>
            </w:pPr>
            <w:r w:rsidRPr="00C73F11">
              <w:rPr>
                <w:b/>
                <w:bCs/>
                <w:sz w:val="20"/>
                <w:szCs w:val="20"/>
              </w:rPr>
              <w:t>All Industries</w:t>
            </w:r>
          </w:p>
        </w:tc>
        <w:tc>
          <w:tcPr>
            <w:tcW w:w="1409" w:type="dxa"/>
            <w:tcBorders>
              <w:top w:val="single" w:sz="4" w:space="0" w:color="auto"/>
              <w:left w:val="nil"/>
              <w:bottom w:val="nil"/>
              <w:right w:val="nil"/>
            </w:tcBorders>
            <w:vAlign w:val="bottom"/>
            <w:hideMark/>
          </w:tcPr>
          <w:p w14:paraId="2B45C30D" w14:textId="77777777" w:rsidR="00677577" w:rsidRPr="00AD4C54" w:rsidRDefault="00677577" w:rsidP="00085121">
            <w:pPr>
              <w:spacing w:after="0" w:line="240" w:lineRule="auto"/>
              <w:jc w:val="right"/>
              <w:rPr>
                <w:b/>
                <w:bCs/>
                <w:sz w:val="20"/>
                <w:szCs w:val="20"/>
              </w:rPr>
            </w:pPr>
            <w:r w:rsidRPr="00AD4C54">
              <w:rPr>
                <w:rFonts w:ascii="Arial" w:hAnsi="Arial" w:cs="Arial"/>
                <w:b/>
                <w:bCs/>
                <w:sz w:val="16"/>
                <w:szCs w:val="16"/>
              </w:rPr>
              <w:t>34.3%</w:t>
            </w:r>
          </w:p>
        </w:tc>
        <w:tc>
          <w:tcPr>
            <w:tcW w:w="1409" w:type="dxa"/>
            <w:tcBorders>
              <w:top w:val="single" w:sz="4" w:space="0" w:color="auto"/>
              <w:left w:val="nil"/>
              <w:bottom w:val="nil"/>
              <w:right w:val="nil"/>
            </w:tcBorders>
            <w:vAlign w:val="bottom"/>
            <w:hideMark/>
          </w:tcPr>
          <w:p w14:paraId="2E58A3CA" w14:textId="77777777" w:rsidR="00677577" w:rsidRPr="00AD4C54" w:rsidRDefault="00677577" w:rsidP="00085121">
            <w:pPr>
              <w:spacing w:after="0" w:line="240" w:lineRule="auto"/>
              <w:jc w:val="right"/>
              <w:rPr>
                <w:b/>
                <w:bCs/>
                <w:sz w:val="20"/>
                <w:szCs w:val="20"/>
              </w:rPr>
            </w:pPr>
            <w:r w:rsidRPr="00AD4C54">
              <w:rPr>
                <w:rFonts w:ascii="Arial" w:hAnsi="Arial" w:cs="Arial"/>
                <w:b/>
                <w:bCs/>
                <w:sz w:val="16"/>
                <w:szCs w:val="16"/>
              </w:rPr>
              <w:t>7.6%</w:t>
            </w:r>
          </w:p>
        </w:tc>
        <w:tc>
          <w:tcPr>
            <w:tcW w:w="1409" w:type="dxa"/>
            <w:tcBorders>
              <w:top w:val="single" w:sz="4" w:space="0" w:color="auto"/>
              <w:left w:val="nil"/>
              <w:bottom w:val="nil"/>
              <w:right w:val="nil"/>
            </w:tcBorders>
            <w:noWrap/>
            <w:vAlign w:val="bottom"/>
            <w:hideMark/>
          </w:tcPr>
          <w:p w14:paraId="19903C99" w14:textId="77777777" w:rsidR="00677577" w:rsidRPr="00AD4C54" w:rsidRDefault="00677577" w:rsidP="00085121">
            <w:pPr>
              <w:spacing w:after="0" w:line="240" w:lineRule="auto"/>
              <w:jc w:val="right"/>
              <w:rPr>
                <w:b/>
                <w:bCs/>
                <w:sz w:val="20"/>
                <w:szCs w:val="20"/>
              </w:rPr>
            </w:pPr>
            <w:r w:rsidRPr="00AD4C54">
              <w:rPr>
                <w:rFonts w:ascii="Arial" w:hAnsi="Arial" w:cs="Arial"/>
                <w:b/>
                <w:bCs/>
                <w:sz w:val="16"/>
                <w:szCs w:val="16"/>
              </w:rPr>
              <w:t>0.3%</w:t>
            </w:r>
          </w:p>
        </w:tc>
        <w:tc>
          <w:tcPr>
            <w:tcW w:w="1410" w:type="dxa"/>
            <w:tcBorders>
              <w:top w:val="single" w:sz="4" w:space="0" w:color="auto"/>
              <w:left w:val="nil"/>
              <w:bottom w:val="nil"/>
              <w:right w:val="single" w:sz="4" w:space="0" w:color="auto"/>
            </w:tcBorders>
            <w:noWrap/>
            <w:vAlign w:val="bottom"/>
            <w:hideMark/>
          </w:tcPr>
          <w:p w14:paraId="4D71869C" w14:textId="77777777" w:rsidR="00677577" w:rsidRPr="00AD4C54" w:rsidRDefault="00677577" w:rsidP="00085121">
            <w:pPr>
              <w:spacing w:after="0" w:line="240" w:lineRule="auto"/>
              <w:jc w:val="right"/>
              <w:rPr>
                <w:b/>
                <w:bCs/>
                <w:sz w:val="20"/>
                <w:szCs w:val="20"/>
              </w:rPr>
            </w:pPr>
            <w:r w:rsidRPr="00AD4C54">
              <w:rPr>
                <w:rFonts w:ascii="Arial" w:hAnsi="Arial" w:cs="Arial"/>
                <w:b/>
                <w:bCs/>
                <w:sz w:val="16"/>
                <w:szCs w:val="16"/>
              </w:rPr>
              <w:t>1.5%</w:t>
            </w:r>
          </w:p>
        </w:tc>
      </w:tr>
      <w:tr w:rsidR="00677577" w:rsidRPr="00167CB8" w14:paraId="10D9D183" w14:textId="77777777" w:rsidTr="00E3552B">
        <w:trPr>
          <w:trHeight w:val="346"/>
        </w:trPr>
        <w:tc>
          <w:tcPr>
            <w:tcW w:w="3673" w:type="dxa"/>
            <w:tcBorders>
              <w:top w:val="nil"/>
              <w:left w:val="single" w:sz="4" w:space="0" w:color="auto"/>
              <w:bottom w:val="nil"/>
              <w:right w:val="nil"/>
            </w:tcBorders>
            <w:vAlign w:val="center"/>
            <w:hideMark/>
          </w:tcPr>
          <w:p w14:paraId="6E634D5D" w14:textId="77777777" w:rsidR="00677577" w:rsidRPr="00C73F11" w:rsidRDefault="00677577">
            <w:pPr>
              <w:spacing w:after="0" w:line="240" w:lineRule="auto"/>
              <w:rPr>
                <w:i/>
                <w:iCs/>
                <w:sz w:val="20"/>
                <w:szCs w:val="20"/>
              </w:rPr>
            </w:pPr>
            <w:r w:rsidRPr="00C73F11">
              <w:rPr>
                <w:i/>
                <w:iCs/>
                <w:sz w:val="20"/>
                <w:szCs w:val="20"/>
              </w:rPr>
              <w:t>Private</w:t>
            </w:r>
          </w:p>
        </w:tc>
        <w:tc>
          <w:tcPr>
            <w:tcW w:w="1409" w:type="dxa"/>
            <w:tcBorders>
              <w:top w:val="nil"/>
              <w:left w:val="nil"/>
              <w:bottom w:val="nil"/>
              <w:right w:val="nil"/>
            </w:tcBorders>
            <w:vAlign w:val="bottom"/>
            <w:hideMark/>
          </w:tcPr>
          <w:p w14:paraId="729BEA09" w14:textId="77777777" w:rsidR="00677577" w:rsidRPr="00C26FB7" w:rsidRDefault="00677577" w:rsidP="00085121">
            <w:pPr>
              <w:spacing w:after="0" w:line="240" w:lineRule="auto"/>
              <w:jc w:val="right"/>
              <w:rPr>
                <w:i/>
                <w:iCs/>
                <w:sz w:val="20"/>
                <w:szCs w:val="20"/>
              </w:rPr>
            </w:pPr>
            <w:r>
              <w:rPr>
                <w:rFonts w:ascii="Arial" w:hAnsi="Arial" w:cs="Arial"/>
                <w:i/>
                <w:iCs/>
                <w:sz w:val="16"/>
                <w:szCs w:val="16"/>
              </w:rPr>
              <w:t>34.1%</w:t>
            </w:r>
          </w:p>
        </w:tc>
        <w:tc>
          <w:tcPr>
            <w:tcW w:w="1409" w:type="dxa"/>
            <w:tcBorders>
              <w:top w:val="nil"/>
              <w:left w:val="nil"/>
              <w:bottom w:val="nil"/>
              <w:right w:val="nil"/>
            </w:tcBorders>
            <w:vAlign w:val="bottom"/>
            <w:hideMark/>
          </w:tcPr>
          <w:p w14:paraId="626E41D8" w14:textId="77777777" w:rsidR="00677577" w:rsidRPr="00C26FB7" w:rsidRDefault="00677577" w:rsidP="00085121">
            <w:pPr>
              <w:spacing w:after="0" w:line="240" w:lineRule="auto"/>
              <w:jc w:val="right"/>
              <w:rPr>
                <w:i/>
                <w:iCs/>
                <w:sz w:val="20"/>
                <w:szCs w:val="20"/>
              </w:rPr>
            </w:pPr>
            <w:r>
              <w:rPr>
                <w:rFonts w:ascii="Arial" w:hAnsi="Arial" w:cs="Arial"/>
                <w:i/>
                <w:iCs/>
                <w:sz w:val="16"/>
                <w:szCs w:val="16"/>
              </w:rPr>
              <w:t>7.7%</w:t>
            </w:r>
          </w:p>
        </w:tc>
        <w:tc>
          <w:tcPr>
            <w:tcW w:w="1409" w:type="dxa"/>
            <w:tcBorders>
              <w:top w:val="nil"/>
              <w:left w:val="nil"/>
              <w:bottom w:val="nil"/>
              <w:right w:val="nil"/>
            </w:tcBorders>
            <w:noWrap/>
            <w:vAlign w:val="bottom"/>
            <w:hideMark/>
          </w:tcPr>
          <w:p w14:paraId="3AE0EEEF" w14:textId="77777777" w:rsidR="00677577" w:rsidRPr="00C26FB7" w:rsidRDefault="00677577" w:rsidP="00085121">
            <w:pPr>
              <w:spacing w:after="0" w:line="240" w:lineRule="auto"/>
              <w:jc w:val="right"/>
              <w:rPr>
                <w:i/>
                <w:iCs/>
                <w:sz w:val="20"/>
                <w:szCs w:val="20"/>
              </w:rPr>
            </w:pPr>
            <w:r>
              <w:rPr>
                <w:rFonts w:ascii="Arial" w:hAnsi="Arial" w:cs="Arial"/>
                <w:i/>
                <w:iCs/>
                <w:sz w:val="16"/>
                <w:szCs w:val="16"/>
              </w:rPr>
              <w:t>0.2%</w:t>
            </w:r>
          </w:p>
        </w:tc>
        <w:tc>
          <w:tcPr>
            <w:tcW w:w="1410" w:type="dxa"/>
            <w:tcBorders>
              <w:top w:val="nil"/>
              <w:left w:val="nil"/>
              <w:bottom w:val="nil"/>
              <w:right w:val="single" w:sz="4" w:space="0" w:color="auto"/>
            </w:tcBorders>
            <w:noWrap/>
            <w:vAlign w:val="bottom"/>
            <w:hideMark/>
          </w:tcPr>
          <w:p w14:paraId="623B1D24" w14:textId="77777777" w:rsidR="00677577" w:rsidRPr="00C26FB7" w:rsidRDefault="00677577" w:rsidP="00085121">
            <w:pPr>
              <w:spacing w:after="0" w:line="240" w:lineRule="auto"/>
              <w:jc w:val="right"/>
              <w:rPr>
                <w:i/>
                <w:iCs/>
                <w:sz w:val="20"/>
                <w:szCs w:val="20"/>
              </w:rPr>
            </w:pPr>
            <w:r>
              <w:rPr>
                <w:rFonts w:ascii="Arial" w:hAnsi="Arial" w:cs="Arial"/>
                <w:i/>
                <w:iCs/>
                <w:sz w:val="16"/>
                <w:szCs w:val="16"/>
              </w:rPr>
              <w:t>1.6%</w:t>
            </w:r>
          </w:p>
        </w:tc>
      </w:tr>
      <w:tr w:rsidR="00677577" w:rsidRPr="00167CB8" w14:paraId="6EFD91F6" w14:textId="77777777" w:rsidTr="00E3552B">
        <w:trPr>
          <w:trHeight w:val="346"/>
        </w:trPr>
        <w:tc>
          <w:tcPr>
            <w:tcW w:w="3673" w:type="dxa"/>
            <w:tcBorders>
              <w:top w:val="nil"/>
              <w:left w:val="single" w:sz="4" w:space="0" w:color="auto"/>
              <w:bottom w:val="single" w:sz="4" w:space="0" w:color="auto"/>
              <w:right w:val="nil"/>
            </w:tcBorders>
            <w:vAlign w:val="center"/>
            <w:hideMark/>
          </w:tcPr>
          <w:p w14:paraId="0F47437E" w14:textId="77777777" w:rsidR="00677577" w:rsidRPr="00C73F11" w:rsidRDefault="00677577">
            <w:pPr>
              <w:spacing w:after="0" w:line="240" w:lineRule="auto"/>
              <w:rPr>
                <w:i/>
                <w:iCs/>
                <w:sz w:val="20"/>
                <w:szCs w:val="20"/>
              </w:rPr>
            </w:pPr>
            <w:r w:rsidRPr="00C73F11">
              <w:rPr>
                <w:i/>
                <w:iCs/>
                <w:sz w:val="20"/>
                <w:szCs w:val="20"/>
              </w:rPr>
              <w:t>Public</w:t>
            </w:r>
          </w:p>
        </w:tc>
        <w:tc>
          <w:tcPr>
            <w:tcW w:w="1409" w:type="dxa"/>
            <w:tcBorders>
              <w:top w:val="nil"/>
              <w:left w:val="nil"/>
              <w:bottom w:val="single" w:sz="4" w:space="0" w:color="auto"/>
              <w:right w:val="nil"/>
            </w:tcBorders>
            <w:vAlign w:val="bottom"/>
            <w:hideMark/>
          </w:tcPr>
          <w:p w14:paraId="3BF4F564" w14:textId="77777777" w:rsidR="00677577" w:rsidRPr="00C26FB7" w:rsidRDefault="00677577" w:rsidP="00085121">
            <w:pPr>
              <w:spacing w:after="0" w:line="240" w:lineRule="auto"/>
              <w:jc w:val="right"/>
              <w:rPr>
                <w:i/>
                <w:iCs/>
                <w:sz w:val="20"/>
                <w:szCs w:val="20"/>
              </w:rPr>
            </w:pPr>
            <w:r>
              <w:rPr>
                <w:rFonts w:ascii="Arial" w:hAnsi="Arial" w:cs="Arial"/>
                <w:i/>
                <w:iCs/>
                <w:sz w:val="16"/>
                <w:szCs w:val="16"/>
              </w:rPr>
              <w:t>34.6%</w:t>
            </w:r>
          </w:p>
        </w:tc>
        <w:tc>
          <w:tcPr>
            <w:tcW w:w="1409" w:type="dxa"/>
            <w:tcBorders>
              <w:top w:val="nil"/>
              <w:left w:val="nil"/>
              <w:bottom w:val="single" w:sz="4" w:space="0" w:color="auto"/>
              <w:right w:val="nil"/>
            </w:tcBorders>
            <w:vAlign w:val="bottom"/>
            <w:hideMark/>
          </w:tcPr>
          <w:p w14:paraId="3F76D525" w14:textId="77777777" w:rsidR="00677577" w:rsidRPr="00C26FB7" w:rsidRDefault="00677577" w:rsidP="00085121">
            <w:pPr>
              <w:spacing w:after="0" w:line="240" w:lineRule="auto"/>
              <w:jc w:val="right"/>
              <w:rPr>
                <w:i/>
                <w:iCs/>
                <w:sz w:val="20"/>
                <w:szCs w:val="20"/>
              </w:rPr>
            </w:pPr>
            <w:r>
              <w:rPr>
                <w:rFonts w:ascii="Arial" w:hAnsi="Arial" w:cs="Arial"/>
                <w:i/>
                <w:iCs/>
                <w:sz w:val="16"/>
                <w:szCs w:val="16"/>
              </w:rPr>
              <w:t>7.3%</w:t>
            </w:r>
          </w:p>
        </w:tc>
        <w:tc>
          <w:tcPr>
            <w:tcW w:w="1409" w:type="dxa"/>
            <w:tcBorders>
              <w:top w:val="nil"/>
              <w:left w:val="nil"/>
              <w:bottom w:val="single" w:sz="4" w:space="0" w:color="auto"/>
              <w:right w:val="nil"/>
            </w:tcBorders>
            <w:noWrap/>
            <w:vAlign w:val="bottom"/>
            <w:hideMark/>
          </w:tcPr>
          <w:p w14:paraId="4CDBC1C9" w14:textId="77777777" w:rsidR="00677577" w:rsidRPr="00C26FB7" w:rsidRDefault="00677577" w:rsidP="00085121">
            <w:pPr>
              <w:spacing w:after="0" w:line="240" w:lineRule="auto"/>
              <w:jc w:val="right"/>
              <w:rPr>
                <w:i/>
                <w:iCs/>
                <w:sz w:val="20"/>
                <w:szCs w:val="20"/>
              </w:rPr>
            </w:pPr>
            <w:r>
              <w:rPr>
                <w:rFonts w:ascii="Arial" w:hAnsi="Arial" w:cs="Arial"/>
                <w:i/>
                <w:iCs/>
                <w:sz w:val="16"/>
                <w:szCs w:val="16"/>
              </w:rPr>
              <w:t>0.5%</w:t>
            </w:r>
          </w:p>
        </w:tc>
        <w:tc>
          <w:tcPr>
            <w:tcW w:w="1410" w:type="dxa"/>
            <w:tcBorders>
              <w:top w:val="nil"/>
              <w:left w:val="nil"/>
              <w:bottom w:val="single" w:sz="4" w:space="0" w:color="auto"/>
              <w:right w:val="single" w:sz="4" w:space="0" w:color="auto"/>
            </w:tcBorders>
            <w:noWrap/>
            <w:vAlign w:val="bottom"/>
            <w:hideMark/>
          </w:tcPr>
          <w:p w14:paraId="25A61197" w14:textId="77777777" w:rsidR="00677577" w:rsidRPr="00C26FB7" w:rsidRDefault="00677577" w:rsidP="00085121">
            <w:pPr>
              <w:spacing w:after="0" w:line="240" w:lineRule="auto"/>
              <w:jc w:val="right"/>
              <w:rPr>
                <w:i/>
                <w:iCs/>
                <w:sz w:val="20"/>
                <w:szCs w:val="20"/>
              </w:rPr>
            </w:pPr>
            <w:r>
              <w:rPr>
                <w:rFonts w:ascii="Arial" w:hAnsi="Arial" w:cs="Arial"/>
                <w:i/>
                <w:iCs/>
                <w:sz w:val="16"/>
                <w:szCs w:val="16"/>
              </w:rPr>
              <w:t>1.2%</w:t>
            </w:r>
          </w:p>
        </w:tc>
      </w:tr>
    </w:tbl>
    <w:p w14:paraId="10D58ED8" w14:textId="19516264" w:rsidR="00677577" w:rsidRPr="00DE3F56" w:rsidRDefault="00677577" w:rsidP="00677577">
      <w:pPr>
        <w:pStyle w:val="Source"/>
      </w:pPr>
      <w:r>
        <w:rPr>
          <w:b/>
          <w:bCs/>
        </w:rPr>
        <w:t xml:space="preserve">Note: </w:t>
      </w:r>
      <w:r w:rsidR="007F380D">
        <w:t>R</w:t>
      </w:r>
      <w:r w:rsidRPr="00DE3F56">
        <w:t xml:space="preserve">eal wage growth based on the </w:t>
      </w:r>
      <w:r w:rsidR="007F380D">
        <w:t>consumer price index</w:t>
      </w:r>
      <w:r w:rsidRPr="00DE3F56">
        <w:t>.</w:t>
      </w:r>
    </w:p>
    <w:p w14:paraId="6BD5AD56" w14:textId="77777777" w:rsidR="00677577" w:rsidRPr="00167CB8" w:rsidRDefault="00677577" w:rsidP="00677577">
      <w:pPr>
        <w:pStyle w:val="Source"/>
      </w:pPr>
      <w:r w:rsidRPr="00167CB8">
        <w:rPr>
          <w:b/>
          <w:bCs/>
        </w:rPr>
        <w:t>Source:</w:t>
      </w:r>
      <w:r w:rsidRPr="00167CB8">
        <w:t xml:space="preserve"> ABS Cat No 6345.0, Wage Price Index, Australia, Tables 1, 4b and 5b.</w:t>
      </w:r>
    </w:p>
    <w:p w14:paraId="48EEDC29" w14:textId="57406EC1" w:rsidR="00677577" w:rsidRDefault="00677577" w:rsidP="00677577">
      <w:r>
        <w:br w:type="page"/>
      </w:r>
    </w:p>
    <w:p w14:paraId="0E80E1BF" w14:textId="77777777" w:rsidR="00677577" w:rsidRPr="00167CB8" w:rsidRDefault="00677577" w:rsidP="00677577">
      <w:pPr>
        <w:sectPr w:rsidR="00677577" w:rsidRPr="00167CB8" w:rsidSect="00677577">
          <w:pgSz w:w="11906" w:h="16838"/>
          <w:pgMar w:top="1440" w:right="1440" w:bottom="1440" w:left="1440" w:header="708" w:footer="708" w:gutter="0"/>
          <w:cols w:space="720"/>
          <w:docGrid w:linePitch="299"/>
        </w:sectPr>
      </w:pPr>
    </w:p>
    <w:p w14:paraId="01610F7E" w14:textId="77777777" w:rsidR="00677577" w:rsidRPr="007F380D" w:rsidRDefault="00677577" w:rsidP="007F380D">
      <w:pPr>
        <w:pStyle w:val="Heading5"/>
      </w:pPr>
      <w:r w:rsidRPr="007F380D">
        <w:t>3.1.1 Contributions of methods of pay setting to wage growth</w:t>
      </w:r>
    </w:p>
    <w:p w14:paraId="0DEE6D47" w14:textId="5E355831" w:rsidR="0011475D" w:rsidRDefault="00677577" w:rsidP="00677577">
      <w:r w:rsidRPr="006C4F02">
        <w:t>Figure 3</w:t>
      </w:r>
      <w:r w:rsidR="00365C93" w:rsidRPr="006C4F02">
        <w:t>7</w:t>
      </w:r>
      <w:r w:rsidRPr="00A32FB1">
        <w:t xml:space="preserve"> shows nominal wage growth by method of pay setting. The data (from the WPI) are</w:t>
      </w:r>
      <w:r>
        <w:t xml:space="preserve"> indexed to December 2010. Over the 14 years shown, wage growth (in per cent terms) has been strongest in the award sector, but this is really </w:t>
      </w:r>
      <w:r w:rsidRPr="00167CB8">
        <w:t xml:space="preserve">since December 2022. </w:t>
      </w:r>
      <w:r>
        <w:t xml:space="preserve">The award WPI data also shows that wage growth is more ‘stepped’ compared to the other two series. This reflects the strong institutional involvement in award wage setting and the fact that much of the growth is linked to annual wage </w:t>
      </w:r>
      <w:r w:rsidRPr="00A32FB1">
        <w:t xml:space="preserve">reviews (AWRs). </w:t>
      </w:r>
      <w:r w:rsidR="007F380D" w:rsidRPr="00A32FB1">
        <w:t>Fair Work Commission (</w:t>
      </w:r>
      <w:r w:rsidRPr="00A32FB1">
        <w:t>FWC</w:t>
      </w:r>
      <w:r w:rsidR="007F380D" w:rsidRPr="00A32FB1">
        <w:t>)</w:t>
      </w:r>
      <w:r w:rsidRPr="00A32FB1">
        <w:t xml:space="preserve"> decisions</w:t>
      </w:r>
      <w:r>
        <w:t xml:space="preserve"> concerning the National Minimum Wage and adjustments in modern awards are generally handed down in June of each year</w:t>
      </w:r>
      <w:r w:rsidR="007F380D">
        <w:t>,</w:t>
      </w:r>
      <w:r>
        <w:t xml:space="preserve"> with the wage orders coming into effect from July of each year. These changes then show up in the September quarterly WPI data.</w:t>
      </w:r>
    </w:p>
    <w:p w14:paraId="50A90670" w14:textId="5BDCF5D3" w:rsidR="00677577" w:rsidRDefault="00365C93" w:rsidP="007F380D">
      <w:pPr>
        <w:pStyle w:val="Caption"/>
      </w:pPr>
      <w:bookmarkStart w:id="887" w:name="_Toc194251535"/>
      <w:r>
        <w:t xml:space="preserve">Figure </w:t>
      </w:r>
      <w:r>
        <w:fldChar w:fldCharType="begin"/>
      </w:r>
      <w:r>
        <w:instrText xml:space="preserve"> SEQ Figure \* ARABIC </w:instrText>
      </w:r>
      <w:r>
        <w:fldChar w:fldCharType="separate"/>
      </w:r>
      <w:r w:rsidR="00DE5F5E">
        <w:rPr>
          <w:noProof/>
        </w:rPr>
        <w:t>37</w:t>
      </w:r>
      <w:r>
        <w:fldChar w:fldCharType="end"/>
      </w:r>
      <w:r>
        <w:t xml:space="preserve">: </w:t>
      </w:r>
      <w:r w:rsidR="00677577">
        <w:t>Growth in nominal wages by method of pay setting, December 2010 to December 2024</w:t>
      </w:r>
      <w:bookmarkEnd w:id="887"/>
    </w:p>
    <w:p w14:paraId="7F68E7A8" w14:textId="5641F0CE" w:rsidR="00677577" w:rsidRPr="006544DE" w:rsidRDefault="00677577" w:rsidP="00677577">
      <w:pPr>
        <w:rPr>
          <w:lang w:val="en-US"/>
        </w:rPr>
      </w:pPr>
      <w:r w:rsidRPr="00F87BE5">
        <w:rPr>
          <w:noProof/>
        </w:rPr>
        <w:drawing>
          <wp:inline distT="0" distB="0" distL="0" distR="0" wp14:anchorId="4D207BF5" wp14:editId="533591DC">
            <wp:extent cx="5731510" cy="3748405"/>
            <wp:effectExtent l="0" t="0" r="2540" b="4445"/>
            <wp:docPr id="966719568" name="Picture 1" descr="A chart showing growth in nominal wages by method of pay setting.&#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719568" name="Picture 1" descr="A chart showing growth in nominal wages by method of pay setting.&#10;&#10;See alt-text following the source."/>
                    <pic:cNvPicPr/>
                  </pic:nvPicPr>
                  <pic:blipFill>
                    <a:blip r:embed="rId55"/>
                    <a:stretch>
                      <a:fillRect/>
                    </a:stretch>
                  </pic:blipFill>
                  <pic:spPr>
                    <a:xfrm>
                      <a:off x="0" y="0"/>
                      <a:ext cx="5731510" cy="3748405"/>
                    </a:xfrm>
                    <a:prstGeom prst="rect">
                      <a:avLst/>
                    </a:prstGeom>
                  </pic:spPr>
                </pic:pic>
              </a:graphicData>
            </a:graphic>
          </wp:inline>
        </w:drawing>
      </w:r>
    </w:p>
    <w:p w14:paraId="3F93D0EF" w14:textId="1883F323" w:rsidR="00CD538C" w:rsidRPr="00167CB8" w:rsidRDefault="00CD538C" w:rsidP="00CD538C">
      <w:pPr>
        <w:pStyle w:val="Source"/>
      </w:pPr>
      <w:r>
        <w:rPr>
          <w:b/>
          <w:bCs/>
        </w:rPr>
        <w:t xml:space="preserve">Note: </w:t>
      </w:r>
      <w:r>
        <w:t xml:space="preserve"> The red vertical line shows when the Secure Job, Better Pay amendments commenced.</w:t>
      </w:r>
    </w:p>
    <w:p w14:paraId="768C1CCD" w14:textId="24C3295B" w:rsidR="00677577" w:rsidRPr="00167CB8" w:rsidRDefault="00677577" w:rsidP="00677577">
      <w:pPr>
        <w:pStyle w:val="Source"/>
      </w:pPr>
      <w:r w:rsidRPr="00167CB8">
        <w:rPr>
          <w:b/>
          <w:bCs/>
        </w:rPr>
        <w:t>Source:</w:t>
      </w:r>
      <w:r w:rsidRPr="00167CB8">
        <w:t xml:space="preserve"> ABS Cat No 6345.0,</w:t>
      </w:r>
      <w:r>
        <w:t xml:space="preserve"> </w:t>
      </w:r>
      <w:r w:rsidRPr="00167CB8">
        <w:t xml:space="preserve"> Wage Price Index, Australia, </w:t>
      </w:r>
      <w:r>
        <w:t>unpublished data</w:t>
      </w:r>
    </w:p>
    <w:p w14:paraId="356A1EBF" w14:textId="24864494" w:rsidR="0011475D" w:rsidRDefault="00677577" w:rsidP="00677577">
      <w:pPr>
        <w:rPr>
          <w:sz w:val="18"/>
          <w:szCs w:val="18"/>
        </w:rPr>
      </w:pPr>
      <w:r w:rsidRPr="00905C85">
        <w:rPr>
          <w:b/>
          <w:bCs/>
          <w:sz w:val="18"/>
          <w:szCs w:val="18"/>
        </w:rPr>
        <w:t>Alt-text:</w:t>
      </w:r>
      <w:r w:rsidRPr="00905C85">
        <w:rPr>
          <w:sz w:val="18"/>
          <w:szCs w:val="18"/>
        </w:rPr>
        <w:t xml:space="preserve"> A chart showing the growth in nominal wages disaggregated by method of pay setting. Between December 2010 and December 2022 award wages grew by 38.1%</w:t>
      </w:r>
      <w:r w:rsidR="007F380D">
        <w:rPr>
          <w:sz w:val="18"/>
          <w:szCs w:val="18"/>
        </w:rPr>
        <w:t>,</w:t>
      </w:r>
      <w:r w:rsidRPr="00905C85">
        <w:rPr>
          <w:sz w:val="18"/>
          <w:szCs w:val="18"/>
        </w:rPr>
        <w:t xml:space="preserve"> while wages in enterprise agreements and individual arrangements increased by 36% and 32.2%, respectively.</w:t>
      </w:r>
    </w:p>
    <w:p w14:paraId="744029E3" w14:textId="64275F89" w:rsidR="0011475D" w:rsidRDefault="00677577" w:rsidP="00677577">
      <w:r w:rsidRPr="0067130B">
        <w:t xml:space="preserve">Table </w:t>
      </w:r>
      <w:r w:rsidR="00072401" w:rsidRPr="0067130B">
        <w:t>4</w:t>
      </w:r>
      <w:r w:rsidR="00072401">
        <w:t>3</w:t>
      </w:r>
      <w:r w:rsidR="00072401" w:rsidRPr="00A32FB1">
        <w:t xml:space="preserve"> </w:t>
      </w:r>
      <w:r w:rsidRPr="00A32FB1">
        <w:t xml:space="preserve">shows nominal wage growth between 2010 and 2024. The last row of </w:t>
      </w:r>
      <w:r w:rsidRPr="0067130B">
        <w:t xml:space="preserve">Table </w:t>
      </w:r>
      <w:r w:rsidR="00072401" w:rsidRPr="0067130B">
        <w:t>4</w:t>
      </w:r>
      <w:r w:rsidR="00072401">
        <w:t>3</w:t>
      </w:r>
      <w:r w:rsidR="00072401" w:rsidRPr="00A32FB1">
        <w:t xml:space="preserve"> </w:t>
      </w:r>
      <w:r w:rsidRPr="00A32FB1">
        <w:t>shows</w:t>
      </w:r>
      <w:r>
        <w:t xml:space="preserve"> that</w:t>
      </w:r>
      <w:r w:rsidR="007F380D">
        <w:t>,</w:t>
      </w:r>
      <w:r>
        <w:t xml:space="preserve"> between December 2022 and December 2024, in nominal terms, wages grew by 7.6% overall. When disaggregated by method of pay setting, the data shows that award wages increased by 8.7%, while growth in wages in enterprise agreements and individual arrangements averaged 8.0% and 7.0%, respectively. In real terms</w:t>
      </w:r>
      <w:r w:rsidR="007F380D">
        <w:t>,</w:t>
      </w:r>
      <w:r>
        <w:t xml:space="preserve"> wages</w:t>
      </w:r>
      <w:r w:rsidDel="007F380D">
        <w:t xml:space="preserve"> </w:t>
      </w:r>
      <w:r>
        <w:t xml:space="preserve">grew by 1.5% between December 2022 and December 2024. Growth was proportionately faster in the </w:t>
      </w:r>
      <w:r w:rsidR="007F380D">
        <w:t>a</w:t>
      </w:r>
      <w:r>
        <w:t>ward stream, equal to 2.6%, followed by enterprise agreements (1.9%) and individual arrangements (1.0%).</w:t>
      </w:r>
    </w:p>
    <w:p w14:paraId="0E90D6F5" w14:textId="79EE99CD" w:rsidR="00677577" w:rsidRPr="00A32FB1" w:rsidRDefault="00677577" w:rsidP="00677577">
      <w:r w:rsidRPr="0067130B">
        <w:t xml:space="preserve">Table </w:t>
      </w:r>
      <w:r w:rsidR="00072401" w:rsidRPr="0067130B">
        <w:t>4</w:t>
      </w:r>
      <w:r w:rsidR="00072401">
        <w:t>4</w:t>
      </w:r>
      <w:r w:rsidR="00072401" w:rsidRPr="00A32FB1">
        <w:t xml:space="preserve"> </w:t>
      </w:r>
      <w:r w:rsidRPr="00A32FB1">
        <w:t xml:space="preserve">shows the contribution to quarterly wage growth between 2010 and 2024. This information is also summarised in </w:t>
      </w:r>
      <w:r w:rsidRPr="0067130B">
        <w:t xml:space="preserve">Table </w:t>
      </w:r>
      <w:r w:rsidR="00072401" w:rsidRPr="0067130B">
        <w:t>4</w:t>
      </w:r>
      <w:r w:rsidR="00072401">
        <w:t>5</w:t>
      </w:r>
      <w:r w:rsidR="00072401" w:rsidRPr="00A32FB1">
        <w:t xml:space="preserve"> </w:t>
      </w:r>
      <w:r w:rsidRPr="00A32FB1">
        <w:t xml:space="preserve">but for annual growth (rather than quarterly growth). Estimates in </w:t>
      </w:r>
      <w:r w:rsidRPr="0067130B">
        <w:t xml:space="preserve">Table </w:t>
      </w:r>
      <w:r w:rsidR="00072401" w:rsidRPr="0067130B">
        <w:t>4</w:t>
      </w:r>
      <w:r w:rsidR="00072401">
        <w:t>5</w:t>
      </w:r>
      <w:r w:rsidR="00072401" w:rsidRPr="00A32FB1">
        <w:t xml:space="preserve"> </w:t>
      </w:r>
      <w:r w:rsidRPr="00A32FB1">
        <w:t>for the year to December 2023 show</w:t>
      </w:r>
      <w:r>
        <w:t xml:space="preserve"> that total nominal wage growth was equal to 4.3%. This was the product of a 0.8 percentage point growth in award wages, a 1.7</w:t>
      </w:r>
      <w:r w:rsidR="007F380D">
        <w:t> </w:t>
      </w:r>
      <w:r>
        <w:t>percentage point growth in wages in enterprise agreements and a 1.9 percentage point growth in wages in individual arrangements. Th</w:t>
      </w:r>
      <w:r w:rsidR="007F380D">
        <w:t>is</w:t>
      </w:r>
      <w:r>
        <w:t xml:space="preserve"> </w:t>
      </w:r>
      <w:r w:rsidRPr="00A32FB1">
        <w:t xml:space="preserve">data </w:t>
      </w:r>
      <w:r w:rsidR="007F380D" w:rsidRPr="00A32FB1">
        <w:t xml:space="preserve">is </w:t>
      </w:r>
      <w:r w:rsidRPr="00A32FB1">
        <w:t xml:space="preserve">also summarised in </w:t>
      </w:r>
      <w:r w:rsidRPr="00D1063D">
        <w:t>Figure 3</w:t>
      </w:r>
      <w:r w:rsidR="00365C93" w:rsidRPr="00D1063D">
        <w:t>8</w:t>
      </w:r>
      <w:r w:rsidRPr="00A32FB1">
        <w:t>.</w:t>
      </w:r>
    </w:p>
    <w:p w14:paraId="65931FF0" w14:textId="7AF07967" w:rsidR="00677577" w:rsidRDefault="00677577" w:rsidP="00677577">
      <w:r w:rsidRPr="00D1063D">
        <w:t xml:space="preserve">Table </w:t>
      </w:r>
      <w:r w:rsidR="00072401" w:rsidRPr="00D1063D">
        <w:t>4</w:t>
      </w:r>
      <w:r w:rsidR="00072401">
        <w:t>6</w:t>
      </w:r>
      <w:r w:rsidR="00072401" w:rsidRPr="00A32FB1">
        <w:t xml:space="preserve"> </w:t>
      </w:r>
      <w:r w:rsidRPr="00A32FB1">
        <w:t>shows the share (%) contribution of each component to total wage growth over the year. For example, in the year to December 2023 the 0.8 percentage</w:t>
      </w:r>
      <w:r>
        <w:t xml:space="preserve"> point increase in wages in the award stream (noted above) is equal to 18% of the overall wage growth of 4.3% for the period. The contribution from enterprise agreements was 39% and from individual agreements was 43%.</w:t>
      </w:r>
    </w:p>
    <w:p w14:paraId="583D1719" w14:textId="77777777" w:rsidR="00677577" w:rsidRDefault="00677577" w:rsidP="00677577">
      <w:pPr>
        <w:sectPr w:rsidR="00677577" w:rsidSect="00677577">
          <w:pgSz w:w="11906" w:h="16838"/>
          <w:pgMar w:top="1440" w:right="1440" w:bottom="1440" w:left="1440" w:header="708" w:footer="708" w:gutter="0"/>
          <w:cols w:space="720"/>
        </w:sectPr>
      </w:pPr>
    </w:p>
    <w:p w14:paraId="731266E2" w14:textId="6FA99400" w:rsidR="00677577" w:rsidRPr="00536436" w:rsidRDefault="00365C93" w:rsidP="00365C93">
      <w:pPr>
        <w:pStyle w:val="Caption"/>
      </w:pPr>
      <w:bookmarkStart w:id="888" w:name="_Toc194251467"/>
      <w:r>
        <w:t xml:space="preserve">Table </w:t>
      </w:r>
      <w:r>
        <w:rPr>
          <w:bCs w:val="0"/>
          <w:iCs w:val="0"/>
        </w:rPr>
        <w:fldChar w:fldCharType="begin"/>
      </w:r>
      <w:r>
        <w:instrText xml:space="preserve"> SEQ Table \* ARABIC </w:instrText>
      </w:r>
      <w:r>
        <w:rPr>
          <w:bCs w:val="0"/>
          <w:iCs w:val="0"/>
        </w:rPr>
        <w:fldChar w:fldCharType="separate"/>
      </w:r>
      <w:r w:rsidR="00DE5F5E">
        <w:rPr>
          <w:noProof/>
        </w:rPr>
        <w:t>43</w:t>
      </w:r>
      <w:r>
        <w:rPr>
          <w:bCs w:val="0"/>
          <w:iCs w:val="0"/>
        </w:rPr>
        <w:fldChar w:fldCharType="end"/>
      </w:r>
      <w:r>
        <w:t xml:space="preserve">: </w:t>
      </w:r>
      <w:r w:rsidR="00677577" w:rsidRPr="00536436">
        <w:t>Nominal and real wage growth by pay setting method, 2010 to 2024</w:t>
      </w:r>
      <w:bookmarkEnd w:id="888"/>
    </w:p>
    <w:tbl>
      <w:tblPr>
        <w:tblW w:w="13109" w:type="dxa"/>
        <w:tblBorders>
          <w:top w:val="single" w:sz="4" w:space="0" w:color="auto"/>
          <w:bottom w:val="single" w:sz="4" w:space="0" w:color="auto"/>
        </w:tblBorders>
        <w:tblLook w:val="04A0" w:firstRow="1" w:lastRow="0" w:firstColumn="1" w:lastColumn="0" w:noHBand="0" w:noVBand="1"/>
      </w:tblPr>
      <w:tblGrid>
        <w:gridCol w:w="1805"/>
        <w:gridCol w:w="1437"/>
        <w:gridCol w:w="1642"/>
        <w:gridCol w:w="1232"/>
        <w:gridCol w:w="1373"/>
        <w:gridCol w:w="1437"/>
        <w:gridCol w:w="1642"/>
        <w:gridCol w:w="1232"/>
        <w:gridCol w:w="1309"/>
      </w:tblGrid>
      <w:tr w:rsidR="00677577" w:rsidRPr="00365C93" w14:paraId="0A4BDD28" w14:textId="77777777" w:rsidTr="00D1063D">
        <w:trPr>
          <w:trHeight w:val="340"/>
          <w:tblHeader/>
        </w:trPr>
        <w:tc>
          <w:tcPr>
            <w:tcW w:w="1805" w:type="dxa"/>
            <w:tcBorders>
              <w:bottom w:val="nil"/>
            </w:tcBorders>
            <w:noWrap/>
          </w:tcPr>
          <w:p w14:paraId="2401F00D" w14:textId="77777777" w:rsidR="00677577" w:rsidRPr="00D1063D" w:rsidRDefault="00677577">
            <w:pPr>
              <w:spacing w:after="0" w:line="240" w:lineRule="auto"/>
              <w:rPr>
                <w:rFonts w:ascii="Times New Roman" w:eastAsia="Times New Roman" w:hAnsi="Times New Roman" w:cs="Times New Roman"/>
                <w:b/>
                <w:sz w:val="20"/>
                <w:szCs w:val="20"/>
                <w:lang w:eastAsia="en-AU"/>
              </w:rPr>
            </w:pPr>
          </w:p>
        </w:tc>
        <w:tc>
          <w:tcPr>
            <w:tcW w:w="5684" w:type="dxa"/>
            <w:gridSpan w:val="4"/>
            <w:tcBorders>
              <w:bottom w:val="nil"/>
              <w:right w:val="single" w:sz="4" w:space="0" w:color="auto"/>
            </w:tcBorders>
            <w:noWrap/>
          </w:tcPr>
          <w:p w14:paraId="7962F79D" w14:textId="77777777" w:rsidR="00677577" w:rsidRPr="00D1063D" w:rsidRDefault="00677577">
            <w:pPr>
              <w:spacing w:after="0" w:line="240" w:lineRule="auto"/>
              <w:jc w:val="center"/>
              <w:rPr>
                <w:rFonts w:ascii="Arial" w:eastAsia="Times New Roman" w:hAnsi="Arial" w:cs="Arial"/>
                <w:b/>
                <w:sz w:val="20"/>
                <w:szCs w:val="20"/>
                <w:lang w:eastAsia="en-AU"/>
              </w:rPr>
            </w:pPr>
            <w:r w:rsidRPr="00D1063D">
              <w:rPr>
                <w:rFonts w:ascii="Arial" w:eastAsia="Times New Roman" w:hAnsi="Arial" w:cs="Arial"/>
                <w:b/>
                <w:sz w:val="20"/>
                <w:szCs w:val="20"/>
                <w:lang w:eastAsia="en-AU"/>
              </w:rPr>
              <w:t>Nominal wage growth</w:t>
            </w:r>
          </w:p>
        </w:tc>
        <w:tc>
          <w:tcPr>
            <w:tcW w:w="5620" w:type="dxa"/>
            <w:gridSpan w:val="4"/>
            <w:tcBorders>
              <w:top w:val="single" w:sz="4" w:space="0" w:color="auto"/>
              <w:left w:val="single" w:sz="4" w:space="0" w:color="auto"/>
              <w:bottom w:val="nil"/>
            </w:tcBorders>
            <w:noWrap/>
          </w:tcPr>
          <w:p w14:paraId="64C23A85" w14:textId="77777777" w:rsidR="00677577" w:rsidRPr="00D1063D" w:rsidRDefault="00677577">
            <w:pPr>
              <w:spacing w:after="0" w:line="240" w:lineRule="auto"/>
              <w:jc w:val="center"/>
              <w:rPr>
                <w:rFonts w:ascii="Arial" w:eastAsia="Times New Roman" w:hAnsi="Arial" w:cs="Arial"/>
                <w:b/>
                <w:sz w:val="20"/>
                <w:szCs w:val="20"/>
                <w:lang w:eastAsia="en-AU"/>
              </w:rPr>
            </w:pPr>
            <w:r w:rsidRPr="00D1063D">
              <w:rPr>
                <w:rFonts w:ascii="Arial" w:eastAsia="Times New Roman" w:hAnsi="Arial" w:cs="Arial"/>
                <w:b/>
                <w:sz w:val="20"/>
                <w:szCs w:val="20"/>
                <w:lang w:eastAsia="en-AU"/>
              </w:rPr>
              <w:t>Real wage growth</w:t>
            </w:r>
          </w:p>
        </w:tc>
      </w:tr>
      <w:tr w:rsidR="00677577" w:rsidRPr="00365C93" w14:paraId="1DFFE866" w14:textId="77777777" w:rsidTr="00D1063D">
        <w:trPr>
          <w:trHeight w:val="340"/>
          <w:tblHeader/>
        </w:trPr>
        <w:tc>
          <w:tcPr>
            <w:tcW w:w="1805" w:type="dxa"/>
            <w:tcBorders>
              <w:top w:val="nil"/>
              <w:bottom w:val="single" w:sz="4" w:space="0" w:color="auto"/>
            </w:tcBorders>
            <w:noWrap/>
            <w:hideMark/>
          </w:tcPr>
          <w:p w14:paraId="1B6FFD08" w14:textId="77777777" w:rsidR="00677577" w:rsidRPr="00D1063D" w:rsidRDefault="00677577">
            <w:pPr>
              <w:spacing w:after="0" w:line="240" w:lineRule="auto"/>
              <w:rPr>
                <w:rFonts w:ascii="Times New Roman" w:eastAsia="Times New Roman" w:hAnsi="Times New Roman" w:cs="Times New Roman"/>
                <w:b/>
                <w:sz w:val="20"/>
                <w:szCs w:val="20"/>
                <w:lang w:eastAsia="en-AU"/>
              </w:rPr>
            </w:pPr>
          </w:p>
        </w:tc>
        <w:tc>
          <w:tcPr>
            <w:tcW w:w="1437" w:type="dxa"/>
            <w:tcBorders>
              <w:top w:val="nil"/>
              <w:bottom w:val="single" w:sz="4" w:space="0" w:color="auto"/>
            </w:tcBorders>
            <w:noWrap/>
            <w:hideMark/>
          </w:tcPr>
          <w:p w14:paraId="324AE9E8" w14:textId="1F883DBD" w:rsidR="00677577" w:rsidRPr="00D1063D" w:rsidRDefault="00677577" w:rsidP="00A61F3E">
            <w:pPr>
              <w:spacing w:after="0" w:line="240" w:lineRule="auto"/>
              <w:jc w:val="right"/>
              <w:rPr>
                <w:rFonts w:ascii="Arial" w:eastAsia="Times New Roman" w:hAnsi="Arial" w:cs="Arial"/>
                <w:b/>
                <w:sz w:val="20"/>
                <w:szCs w:val="20"/>
                <w:lang w:eastAsia="en-AU"/>
              </w:rPr>
            </w:pPr>
            <w:r w:rsidRPr="00D1063D">
              <w:rPr>
                <w:rFonts w:ascii="Arial" w:eastAsia="Times New Roman" w:hAnsi="Arial" w:cs="Arial"/>
                <w:b/>
                <w:sz w:val="20"/>
                <w:szCs w:val="20"/>
                <w:lang w:eastAsia="en-AU"/>
              </w:rPr>
              <w:t xml:space="preserve">Enterprise </w:t>
            </w:r>
            <w:r w:rsidR="007F380D" w:rsidRPr="00D1063D">
              <w:rPr>
                <w:rFonts w:ascii="Arial" w:eastAsia="Times New Roman" w:hAnsi="Arial" w:cs="Arial"/>
                <w:b/>
                <w:sz w:val="20"/>
                <w:szCs w:val="20"/>
                <w:lang w:eastAsia="en-AU"/>
              </w:rPr>
              <w:t>a</w:t>
            </w:r>
            <w:r w:rsidRPr="00D1063D">
              <w:rPr>
                <w:rFonts w:ascii="Arial" w:eastAsia="Times New Roman" w:hAnsi="Arial" w:cs="Arial"/>
                <w:b/>
                <w:sz w:val="20"/>
                <w:szCs w:val="20"/>
                <w:lang w:eastAsia="en-AU"/>
              </w:rPr>
              <w:t>greement</w:t>
            </w:r>
          </w:p>
        </w:tc>
        <w:tc>
          <w:tcPr>
            <w:tcW w:w="1642" w:type="dxa"/>
            <w:tcBorders>
              <w:top w:val="nil"/>
              <w:bottom w:val="single" w:sz="4" w:space="0" w:color="auto"/>
            </w:tcBorders>
            <w:noWrap/>
            <w:hideMark/>
          </w:tcPr>
          <w:p w14:paraId="7EFC467D" w14:textId="68817A58" w:rsidR="00677577" w:rsidRPr="00D1063D" w:rsidRDefault="00677577" w:rsidP="00A61F3E">
            <w:pPr>
              <w:spacing w:after="0" w:line="240" w:lineRule="auto"/>
              <w:jc w:val="right"/>
              <w:rPr>
                <w:rFonts w:ascii="Arial" w:eastAsia="Times New Roman" w:hAnsi="Arial" w:cs="Arial"/>
                <w:b/>
                <w:sz w:val="20"/>
                <w:szCs w:val="20"/>
                <w:lang w:eastAsia="en-AU"/>
              </w:rPr>
            </w:pPr>
            <w:r w:rsidRPr="00D1063D">
              <w:rPr>
                <w:rFonts w:ascii="Arial" w:eastAsia="Times New Roman" w:hAnsi="Arial" w:cs="Arial"/>
                <w:b/>
                <w:sz w:val="20"/>
                <w:szCs w:val="20"/>
                <w:lang w:eastAsia="en-AU"/>
              </w:rPr>
              <w:t xml:space="preserve">Individual </w:t>
            </w:r>
            <w:r w:rsidR="007F380D" w:rsidRPr="00D1063D">
              <w:rPr>
                <w:rFonts w:ascii="Arial" w:eastAsia="Times New Roman" w:hAnsi="Arial" w:cs="Arial"/>
                <w:b/>
                <w:sz w:val="20"/>
                <w:szCs w:val="20"/>
                <w:lang w:eastAsia="en-AU"/>
              </w:rPr>
              <w:t>a</w:t>
            </w:r>
            <w:r w:rsidRPr="00D1063D">
              <w:rPr>
                <w:rFonts w:ascii="Arial" w:eastAsia="Times New Roman" w:hAnsi="Arial" w:cs="Arial"/>
                <w:b/>
                <w:sz w:val="20"/>
                <w:szCs w:val="20"/>
                <w:lang w:eastAsia="en-AU"/>
              </w:rPr>
              <w:t>rrangement</w:t>
            </w:r>
          </w:p>
        </w:tc>
        <w:tc>
          <w:tcPr>
            <w:tcW w:w="1232" w:type="dxa"/>
            <w:tcBorders>
              <w:top w:val="nil"/>
              <w:bottom w:val="single" w:sz="4" w:space="0" w:color="auto"/>
            </w:tcBorders>
            <w:noWrap/>
            <w:hideMark/>
          </w:tcPr>
          <w:p w14:paraId="2F29281E" w14:textId="77777777" w:rsidR="00677577" w:rsidRPr="00D1063D" w:rsidRDefault="00677577" w:rsidP="00A61F3E">
            <w:pPr>
              <w:spacing w:after="0" w:line="240" w:lineRule="auto"/>
              <w:jc w:val="right"/>
              <w:rPr>
                <w:rFonts w:ascii="Arial" w:eastAsia="Times New Roman" w:hAnsi="Arial" w:cs="Arial"/>
                <w:b/>
                <w:sz w:val="20"/>
                <w:szCs w:val="20"/>
                <w:lang w:eastAsia="en-AU"/>
              </w:rPr>
            </w:pPr>
            <w:r w:rsidRPr="00D1063D">
              <w:rPr>
                <w:rFonts w:ascii="Arial" w:eastAsia="Times New Roman" w:hAnsi="Arial" w:cs="Arial"/>
                <w:b/>
                <w:sz w:val="20"/>
                <w:szCs w:val="20"/>
                <w:lang w:eastAsia="en-AU"/>
              </w:rPr>
              <w:t>Award</w:t>
            </w:r>
          </w:p>
        </w:tc>
        <w:tc>
          <w:tcPr>
            <w:tcW w:w="1373" w:type="dxa"/>
            <w:tcBorders>
              <w:top w:val="nil"/>
              <w:bottom w:val="single" w:sz="4" w:space="0" w:color="auto"/>
              <w:right w:val="single" w:sz="4" w:space="0" w:color="auto"/>
            </w:tcBorders>
            <w:noWrap/>
            <w:hideMark/>
          </w:tcPr>
          <w:p w14:paraId="58F4C05E" w14:textId="3205CD63" w:rsidR="00677577" w:rsidRPr="00D1063D" w:rsidRDefault="00677577" w:rsidP="00A61F3E">
            <w:pPr>
              <w:spacing w:after="0" w:line="240" w:lineRule="auto"/>
              <w:jc w:val="right"/>
              <w:rPr>
                <w:rFonts w:ascii="Arial" w:eastAsia="Times New Roman" w:hAnsi="Arial" w:cs="Arial"/>
                <w:b/>
                <w:sz w:val="20"/>
                <w:szCs w:val="20"/>
                <w:lang w:eastAsia="en-AU"/>
              </w:rPr>
            </w:pPr>
            <w:r w:rsidRPr="00D1063D">
              <w:rPr>
                <w:rFonts w:ascii="Arial" w:eastAsia="Times New Roman" w:hAnsi="Arial" w:cs="Arial"/>
                <w:b/>
                <w:sz w:val="20"/>
                <w:szCs w:val="20"/>
                <w:lang w:eastAsia="en-AU"/>
              </w:rPr>
              <w:t xml:space="preserve">All </w:t>
            </w:r>
            <w:r w:rsidR="007F380D" w:rsidRPr="00D1063D">
              <w:rPr>
                <w:rFonts w:ascii="Arial" w:eastAsia="Times New Roman" w:hAnsi="Arial" w:cs="Arial"/>
                <w:b/>
                <w:sz w:val="20"/>
                <w:szCs w:val="20"/>
                <w:lang w:eastAsia="en-AU"/>
              </w:rPr>
              <w:t>i</w:t>
            </w:r>
            <w:r w:rsidRPr="00D1063D">
              <w:rPr>
                <w:rFonts w:ascii="Arial" w:eastAsia="Times New Roman" w:hAnsi="Arial" w:cs="Arial"/>
                <w:b/>
                <w:sz w:val="20"/>
                <w:szCs w:val="20"/>
                <w:lang w:eastAsia="en-AU"/>
              </w:rPr>
              <w:t>ndustries</w:t>
            </w:r>
          </w:p>
        </w:tc>
        <w:tc>
          <w:tcPr>
            <w:tcW w:w="1437" w:type="dxa"/>
            <w:tcBorders>
              <w:top w:val="nil"/>
              <w:left w:val="single" w:sz="4" w:space="0" w:color="auto"/>
              <w:bottom w:val="single" w:sz="4" w:space="0" w:color="auto"/>
            </w:tcBorders>
            <w:noWrap/>
            <w:hideMark/>
          </w:tcPr>
          <w:p w14:paraId="4084BC33" w14:textId="39042562" w:rsidR="00677577" w:rsidRPr="00D1063D" w:rsidRDefault="00677577" w:rsidP="00A61F3E">
            <w:pPr>
              <w:spacing w:after="0" w:line="240" w:lineRule="auto"/>
              <w:jc w:val="right"/>
              <w:rPr>
                <w:rFonts w:ascii="Arial" w:eastAsia="Times New Roman" w:hAnsi="Arial" w:cs="Arial"/>
                <w:b/>
                <w:sz w:val="20"/>
                <w:szCs w:val="20"/>
                <w:lang w:eastAsia="en-AU"/>
              </w:rPr>
            </w:pPr>
            <w:r w:rsidRPr="00D1063D">
              <w:rPr>
                <w:rFonts w:ascii="Arial" w:eastAsia="Times New Roman" w:hAnsi="Arial" w:cs="Arial"/>
                <w:b/>
                <w:sz w:val="20"/>
                <w:szCs w:val="20"/>
                <w:lang w:eastAsia="en-AU"/>
              </w:rPr>
              <w:t xml:space="preserve">Enterprise </w:t>
            </w:r>
            <w:r w:rsidR="007F380D" w:rsidRPr="00D1063D">
              <w:rPr>
                <w:rFonts w:ascii="Arial" w:eastAsia="Times New Roman" w:hAnsi="Arial" w:cs="Arial"/>
                <w:b/>
                <w:sz w:val="20"/>
                <w:szCs w:val="20"/>
                <w:lang w:eastAsia="en-AU"/>
              </w:rPr>
              <w:t>a</w:t>
            </w:r>
            <w:r w:rsidRPr="00D1063D">
              <w:rPr>
                <w:rFonts w:ascii="Arial" w:eastAsia="Times New Roman" w:hAnsi="Arial" w:cs="Arial"/>
                <w:b/>
                <w:sz w:val="20"/>
                <w:szCs w:val="20"/>
                <w:lang w:eastAsia="en-AU"/>
              </w:rPr>
              <w:t>greement</w:t>
            </w:r>
          </w:p>
        </w:tc>
        <w:tc>
          <w:tcPr>
            <w:tcW w:w="1642" w:type="dxa"/>
            <w:tcBorders>
              <w:top w:val="nil"/>
              <w:bottom w:val="single" w:sz="4" w:space="0" w:color="auto"/>
            </w:tcBorders>
            <w:noWrap/>
            <w:hideMark/>
          </w:tcPr>
          <w:p w14:paraId="3F34D981" w14:textId="7A47DF25" w:rsidR="00677577" w:rsidRPr="00D1063D" w:rsidRDefault="00677577" w:rsidP="00A61F3E">
            <w:pPr>
              <w:spacing w:after="0" w:line="240" w:lineRule="auto"/>
              <w:jc w:val="right"/>
              <w:rPr>
                <w:rFonts w:ascii="Arial" w:eastAsia="Times New Roman" w:hAnsi="Arial" w:cs="Arial"/>
                <w:b/>
                <w:sz w:val="20"/>
                <w:szCs w:val="20"/>
                <w:lang w:eastAsia="en-AU"/>
              </w:rPr>
            </w:pPr>
            <w:r w:rsidRPr="00D1063D">
              <w:rPr>
                <w:rFonts w:ascii="Arial" w:eastAsia="Times New Roman" w:hAnsi="Arial" w:cs="Arial"/>
                <w:b/>
                <w:sz w:val="20"/>
                <w:szCs w:val="20"/>
                <w:lang w:eastAsia="en-AU"/>
              </w:rPr>
              <w:t xml:space="preserve">Individual </w:t>
            </w:r>
            <w:r w:rsidR="007F380D" w:rsidRPr="00D1063D">
              <w:rPr>
                <w:rFonts w:ascii="Arial" w:eastAsia="Times New Roman" w:hAnsi="Arial" w:cs="Arial"/>
                <w:b/>
                <w:sz w:val="20"/>
                <w:szCs w:val="20"/>
                <w:lang w:eastAsia="en-AU"/>
              </w:rPr>
              <w:t>a</w:t>
            </w:r>
            <w:r w:rsidRPr="00D1063D">
              <w:rPr>
                <w:rFonts w:ascii="Arial" w:eastAsia="Times New Roman" w:hAnsi="Arial" w:cs="Arial"/>
                <w:b/>
                <w:sz w:val="20"/>
                <w:szCs w:val="20"/>
                <w:lang w:eastAsia="en-AU"/>
              </w:rPr>
              <w:t>rrangement</w:t>
            </w:r>
          </w:p>
        </w:tc>
        <w:tc>
          <w:tcPr>
            <w:tcW w:w="1232" w:type="dxa"/>
            <w:tcBorders>
              <w:top w:val="nil"/>
              <w:bottom w:val="single" w:sz="4" w:space="0" w:color="auto"/>
            </w:tcBorders>
            <w:noWrap/>
            <w:hideMark/>
          </w:tcPr>
          <w:p w14:paraId="6988EFB2" w14:textId="77777777" w:rsidR="00677577" w:rsidRPr="00D1063D" w:rsidRDefault="00677577" w:rsidP="00A61F3E">
            <w:pPr>
              <w:spacing w:after="0" w:line="240" w:lineRule="auto"/>
              <w:jc w:val="right"/>
              <w:rPr>
                <w:rFonts w:ascii="Arial" w:eastAsia="Times New Roman" w:hAnsi="Arial" w:cs="Arial"/>
                <w:b/>
                <w:sz w:val="20"/>
                <w:szCs w:val="20"/>
                <w:lang w:eastAsia="en-AU"/>
              </w:rPr>
            </w:pPr>
            <w:r w:rsidRPr="00D1063D">
              <w:rPr>
                <w:rFonts w:ascii="Arial" w:eastAsia="Times New Roman" w:hAnsi="Arial" w:cs="Arial"/>
                <w:b/>
                <w:sz w:val="20"/>
                <w:szCs w:val="20"/>
                <w:lang w:eastAsia="en-AU"/>
              </w:rPr>
              <w:t>Award</w:t>
            </w:r>
          </w:p>
        </w:tc>
        <w:tc>
          <w:tcPr>
            <w:tcW w:w="1309" w:type="dxa"/>
            <w:tcBorders>
              <w:top w:val="nil"/>
              <w:bottom w:val="single" w:sz="4" w:space="0" w:color="auto"/>
            </w:tcBorders>
            <w:noWrap/>
            <w:hideMark/>
          </w:tcPr>
          <w:p w14:paraId="45606498" w14:textId="31F60980" w:rsidR="00677577" w:rsidRPr="00D1063D" w:rsidRDefault="00677577" w:rsidP="00A61F3E">
            <w:pPr>
              <w:spacing w:after="0" w:line="240" w:lineRule="auto"/>
              <w:jc w:val="right"/>
              <w:rPr>
                <w:rFonts w:ascii="Arial" w:eastAsia="Times New Roman" w:hAnsi="Arial" w:cs="Arial"/>
                <w:b/>
                <w:sz w:val="20"/>
                <w:szCs w:val="20"/>
                <w:lang w:eastAsia="en-AU"/>
              </w:rPr>
            </w:pPr>
            <w:r w:rsidRPr="00D1063D">
              <w:rPr>
                <w:rFonts w:ascii="Arial" w:eastAsia="Times New Roman" w:hAnsi="Arial" w:cs="Arial"/>
                <w:b/>
                <w:sz w:val="20"/>
                <w:szCs w:val="20"/>
                <w:lang w:eastAsia="en-AU"/>
              </w:rPr>
              <w:t xml:space="preserve">All </w:t>
            </w:r>
            <w:r w:rsidR="007F380D" w:rsidRPr="00D1063D">
              <w:rPr>
                <w:rFonts w:ascii="Arial" w:eastAsia="Times New Roman" w:hAnsi="Arial" w:cs="Arial"/>
                <w:b/>
                <w:sz w:val="20"/>
                <w:szCs w:val="20"/>
                <w:lang w:eastAsia="en-AU"/>
              </w:rPr>
              <w:t>i</w:t>
            </w:r>
            <w:r w:rsidRPr="00D1063D">
              <w:rPr>
                <w:rFonts w:ascii="Arial" w:eastAsia="Times New Roman" w:hAnsi="Arial" w:cs="Arial"/>
                <w:b/>
                <w:sz w:val="20"/>
                <w:szCs w:val="20"/>
                <w:lang w:eastAsia="en-AU"/>
              </w:rPr>
              <w:t>ndustries</w:t>
            </w:r>
          </w:p>
        </w:tc>
      </w:tr>
      <w:tr w:rsidR="00677577" w:rsidRPr="00561D7B" w14:paraId="793E48F3" w14:textId="77777777">
        <w:trPr>
          <w:trHeight w:val="340"/>
        </w:trPr>
        <w:tc>
          <w:tcPr>
            <w:tcW w:w="1805" w:type="dxa"/>
            <w:tcBorders>
              <w:top w:val="single" w:sz="4" w:space="0" w:color="auto"/>
            </w:tcBorders>
            <w:noWrap/>
            <w:hideMark/>
          </w:tcPr>
          <w:p w14:paraId="7D8347F9"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Dec-2010</w:t>
            </w:r>
          </w:p>
        </w:tc>
        <w:tc>
          <w:tcPr>
            <w:tcW w:w="1437" w:type="dxa"/>
            <w:tcBorders>
              <w:top w:val="single" w:sz="4" w:space="0" w:color="auto"/>
            </w:tcBorders>
            <w:noWrap/>
            <w:hideMark/>
          </w:tcPr>
          <w:p w14:paraId="306D2121"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100.0</w:t>
            </w:r>
          </w:p>
        </w:tc>
        <w:tc>
          <w:tcPr>
            <w:tcW w:w="1642" w:type="dxa"/>
            <w:tcBorders>
              <w:top w:val="single" w:sz="4" w:space="0" w:color="auto"/>
            </w:tcBorders>
            <w:noWrap/>
            <w:hideMark/>
          </w:tcPr>
          <w:p w14:paraId="659CCAA0"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100.0</w:t>
            </w:r>
          </w:p>
        </w:tc>
        <w:tc>
          <w:tcPr>
            <w:tcW w:w="1232" w:type="dxa"/>
            <w:tcBorders>
              <w:top w:val="single" w:sz="4" w:space="0" w:color="auto"/>
            </w:tcBorders>
            <w:noWrap/>
            <w:hideMark/>
          </w:tcPr>
          <w:p w14:paraId="4B163B95"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100.0</w:t>
            </w:r>
          </w:p>
        </w:tc>
        <w:tc>
          <w:tcPr>
            <w:tcW w:w="1373" w:type="dxa"/>
            <w:tcBorders>
              <w:top w:val="single" w:sz="4" w:space="0" w:color="auto"/>
              <w:right w:val="single" w:sz="4" w:space="0" w:color="auto"/>
            </w:tcBorders>
            <w:noWrap/>
            <w:hideMark/>
          </w:tcPr>
          <w:p w14:paraId="2EF8ACB4"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100.0</w:t>
            </w:r>
          </w:p>
        </w:tc>
        <w:tc>
          <w:tcPr>
            <w:tcW w:w="1437" w:type="dxa"/>
            <w:tcBorders>
              <w:top w:val="single" w:sz="4" w:space="0" w:color="auto"/>
              <w:left w:val="single" w:sz="4" w:space="0" w:color="auto"/>
            </w:tcBorders>
            <w:noWrap/>
            <w:hideMark/>
          </w:tcPr>
          <w:p w14:paraId="15064C9C"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100.0</w:t>
            </w:r>
          </w:p>
        </w:tc>
        <w:tc>
          <w:tcPr>
            <w:tcW w:w="1642" w:type="dxa"/>
            <w:tcBorders>
              <w:top w:val="single" w:sz="4" w:space="0" w:color="auto"/>
            </w:tcBorders>
            <w:noWrap/>
            <w:hideMark/>
          </w:tcPr>
          <w:p w14:paraId="2DB5C0A2"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100.0</w:t>
            </w:r>
          </w:p>
        </w:tc>
        <w:tc>
          <w:tcPr>
            <w:tcW w:w="1232" w:type="dxa"/>
            <w:tcBorders>
              <w:top w:val="single" w:sz="4" w:space="0" w:color="auto"/>
            </w:tcBorders>
            <w:noWrap/>
            <w:hideMark/>
          </w:tcPr>
          <w:p w14:paraId="30ABD707"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100.0</w:t>
            </w:r>
          </w:p>
        </w:tc>
        <w:tc>
          <w:tcPr>
            <w:tcW w:w="1309" w:type="dxa"/>
            <w:tcBorders>
              <w:top w:val="single" w:sz="4" w:space="0" w:color="auto"/>
            </w:tcBorders>
            <w:noWrap/>
            <w:hideMark/>
          </w:tcPr>
          <w:p w14:paraId="4B64E8A8"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100.0</w:t>
            </w:r>
          </w:p>
        </w:tc>
      </w:tr>
      <w:tr w:rsidR="00677577" w:rsidRPr="00561D7B" w14:paraId="78FBBF9C" w14:textId="77777777">
        <w:trPr>
          <w:trHeight w:val="340"/>
        </w:trPr>
        <w:tc>
          <w:tcPr>
            <w:tcW w:w="1805" w:type="dxa"/>
            <w:noWrap/>
            <w:hideMark/>
          </w:tcPr>
          <w:p w14:paraId="65817CE6"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Mar-2011</w:t>
            </w:r>
          </w:p>
        </w:tc>
        <w:tc>
          <w:tcPr>
            <w:tcW w:w="1437" w:type="dxa"/>
            <w:noWrap/>
            <w:hideMark/>
          </w:tcPr>
          <w:p w14:paraId="33A16FAD"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101.0</w:t>
            </w:r>
          </w:p>
        </w:tc>
        <w:tc>
          <w:tcPr>
            <w:tcW w:w="1642" w:type="dxa"/>
            <w:noWrap/>
            <w:hideMark/>
          </w:tcPr>
          <w:p w14:paraId="53461DCF"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100.9</w:t>
            </w:r>
          </w:p>
        </w:tc>
        <w:tc>
          <w:tcPr>
            <w:tcW w:w="1232" w:type="dxa"/>
            <w:noWrap/>
            <w:hideMark/>
          </w:tcPr>
          <w:p w14:paraId="43F25F7F"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100.2</w:t>
            </w:r>
          </w:p>
        </w:tc>
        <w:tc>
          <w:tcPr>
            <w:tcW w:w="1373" w:type="dxa"/>
            <w:tcBorders>
              <w:right w:val="single" w:sz="4" w:space="0" w:color="auto"/>
            </w:tcBorders>
            <w:noWrap/>
            <w:hideMark/>
          </w:tcPr>
          <w:p w14:paraId="4446680C"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100.9</w:t>
            </w:r>
          </w:p>
        </w:tc>
        <w:tc>
          <w:tcPr>
            <w:tcW w:w="1437" w:type="dxa"/>
            <w:tcBorders>
              <w:left w:val="single" w:sz="4" w:space="0" w:color="auto"/>
            </w:tcBorders>
            <w:noWrap/>
            <w:hideMark/>
          </w:tcPr>
          <w:p w14:paraId="5C127730"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99.6</w:t>
            </w:r>
          </w:p>
        </w:tc>
        <w:tc>
          <w:tcPr>
            <w:tcW w:w="1642" w:type="dxa"/>
            <w:noWrap/>
            <w:hideMark/>
          </w:tcPr>
          <w:p w14:paraId="4B735CAE"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99.5</w:t>
            </w:r>
          </w:p>
        </w:tc>
        <w:tc>
          <w:tcPr>
            <w:tcW w:w="1232" w:type="dxa"/>
            <w:noWrap/>
            <w:hideMark/>
          </w:tcPr>
          <w:p w14:paraId="23B75CCC"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98.8</w:t>
            </w:r>
          </w:p>
        </w:tc>
        <w:tc>
          <w:tcPr>
            <w:tcW w:w="1309" w:type="dxa"/>
            <w:noWrap/>
            <w:hideMark/>
          </w:tcPr>
          <w:p w14:paraId="4C6FD2EE"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99.5</w:t>
            </w:r>
          </w:p>
        </w:tc>
      </w:tr>
      <w:tr w:rsidR="00677577" w:rsidRPr="00561D7B" w14:paraId="7035BC9F" w14:textId="77777777">
        <w:trPr>
          <w:trHeight w:val="340"/>
        </w:trPr>
        <w:tc>
          <w:tcPr>
            <w:tcW w:w="1805" w:type="dxa"/>
            <w:noWrap/>
            <w:hideMark/>
          </w:tcPr>
          <w:p w14:paraId="6CF2CAFD"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Jun-2011</w:t>
            </w:r>
          </w:p>
        </w:tc>
        <w:tc>
          <w:tcPr>
            <w:tcW w:w="1437" w:type="dxa"/>
            <w:noWrap/>
            <w:hideMark/>
          </w:tcPr>
          <w:p w14:paraId="39624DE9"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101.6</w:t>
            </w:r>
          </w:p>
        </w:tc>
        <w:tc>
          <w:tcPr>
            <w:tcW w:w="1642" w:type="dxa"/>
            <w:noWrap/>
            <w:hideMark/>
          </w:tcPr>
          <w:p w14:paraId="0B53C32F"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101.6</w:t>
            </w:r>
          </w:p>
        </w:tc>
        <w:tc>
          <w:tcPr>
            <w:tcW w:w="1232" w:type="dxa"/>
            <w:noWrap/>
            <w:hideMark/>
          </w:tcPr>
          <w:p w14:paraId="277385E4"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100.3</w:t>
            </w:r>
          </w:p>
        </w:tc>
        <w:tc>
          <w:tcPr>
            <w:tcW w:w="1373" w:type="dxa"/>
            <w:tcBorders>
              <w:right w:val="single" w:sz="4" w:space="0" w:color="auto"/>
            </w:tcBorders>
            <w:noWrap/>
            <w:hideMark/>
          </w:tcPr>
          <w:p w14:paraId="15E44EED"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101.5</w:t>
            </w:r>
          </w:p>
        </w:tc>
        <w:tc>
          <w:tcPr>
            <w:tcW w:w="1437" w:type="dxa"/>
            <w:tcBorders>
              <w:left w:val="single" w:sz="4" w:space="0" w:color="auto"/>
            </w:tcBorders>
            <w:noWrap/>
            <w:hideMark/>
          </w:tcPr>
          <w:p w14:paraId="72B49E6E"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99.0</w:t>
            </w:r>
          </w:p>
        </w:tc>
        <w:tc>
          <w:tcPr>
            <w:tcW w:w="1642" w:type="dxa"/>
            <w:noWrap/>
            <w:hideMark/>
          </w:tcPr>
          <w:p w14:paraId="162ED4FB"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99.0</w:t>
            </w:r>
          </w:p>
        </w:tc>
        <w:tc>
          <w:tcPr>
            <w:tcW w:w="1232" w:type="dxa"/>
            <w:noWrap/>
            <w:hideMark/>
          </w:tcPr>
          <w:p w14:paraId="1DAD4DC5"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97.8</w:t>
            </w:r>
          </w:p>
        </w:tc>
        <w:tc>
          <w:tcPr>
            <w:tcW w:w="1309" w:type="dxa"/>
            <w:noWrap/>
            <w:hideMark/>
          </w:tcPr>
          <w:p w14:paraId="1C8D34F8"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98.9</w:t>
            </w:r>
          </w:p>
        </w:tc>
      </w:tr>
      <w:tr w:rsidR="00677577" w:rsidRPr="00561D7B" w14:paraId="110CB37F" w14:textId="77777777">
        <w:trPr>
          <w:trHeight w:val="340"/>
        </w:trPr>
        <w:tc>
          <w:tcPr>
            <w:tcW w:w="1805" w:type="dxa"/>
            <w:noWrap/>
            <w:hideMark/>
          </w:tcPr>
          <w:p w14:paraId="5892183F"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Sep-2011</w:t>
            </w:r>
          </w:p>
        </w:tc>
        <w:tc>
          <w:tcPr>
            <w:tcW w:w="1437" w:type="dxa"/>
            <w:noWrap/>
            <w:hideMark/>
          </w:tcPr>
          <w:p w14:paraId="77B905B8"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102.7</w:t>
            </w:r>
          </w:p>
        </w:tc>
        <w:tc>
          <w:tcPr>
            <w:tcW w:w="1642" w:type="dxa"/>
            <w:noWrap/>
            <w:hideMark/>
          </w:tcPr>
          <w:p w14:paraId="101D6613"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102.9</w:t>
            </w:r>
          </w:p>
        </w:tc>
        <w:tc>
          <w:tcPr>
            <w:tcW w:w="1232" w:type="dxa"/>
            <w:noWrap/>
            <w:hideMark/>
          </w:tcPr>
          <w:p w14:paraId="52E18EB0"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102.7</w:t>
            </w:r>
          </w:p>
        </w:tc>
        <w:tc>
          <w:tcPr>
            <w:tcW w:w="1373" w:type="dxa"/>
            <w:tcBorders>
              <w:right w:val="single" w:sz="4" w:space="0" w:color="auto"/>
            </w:tcBorders>
            <w:noWrap/>
            <w:hideMark/>
          </w:tcPr>
          <w:p w14:paraId="322BE116"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102.7</w:t>
            </w:r>
          </w:p>
        </w:tc>
        <w:tc>
          <w:tcPr>
            <w:tcW w:w="1437" w:type="dxa"/>
            <w:tcBorders>
              <w:left w:val="single" w:sz="4" w:space="0" w:color="auto"/>
            </w:tcBorders>
            <w:noWrap/>
            <w:hideMark/>
          </w:tcPr>
          <w:p w14:paraId="5866D917"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99.5</w:t>
            </w:r>
          </w:p>
        </w:tc>
        <w:tc>
          <w:tcPr>
            <w:tcW w:w="1642" w:type="dxa"/>
            <w:noWrap/>
            <w:hideMark/>
          </w:tcPr>
          <w:p w14:paraId="7CA327DC"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99.7</w:t>
            </w:r>
          </w:p>
        </w:tc>
        <w:tc>
          <w:tcPr>
            <w:tcW w:w="1232" w:type="dxa"/>
            <w:noWrap/>
            <w:hideMark/>
          </w:tcPr>
          <w:p w14:paraId="1A3D2154"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99.5</w:t>
            </w:r>
          </w:p>
        </w:tc>
        <w:tc>
          <w:tcPr>
            <w:tcW w:w="1309" w:type="dxa"/>
            <w:noWrap/>
            <w:hideMark/>
          </w:tcPr>
          <w:p w14:paraId="3634577A"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99.5</w:t>
            </w:r>
          </w:p>
        </w:tc>
      </w:tr>
      <w:tr w:rsidR="00677577" w:rsidRPr="00561D7B" w14:paraId="6B303031" w14:textId="77777777">
        <w:trPr>
          <w:trHeight w:val="340"/>
        </w:trPr>
        <w:tc>
          <w:tcPr>
            <w:tcW w:w="1805" w:type="dxa"/>
            <w:noWrap/>
            <w:hideMark/>
          </w:tcPr>
          <w:p w14:paraId="2F4ED040"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Dec-2011</w:t>
            </w:r>
          </w:p>
        </w:tc>
        <w:tc>
          <w:tcPr>
            <w:tcW w:w="1437" w:type="dxa"/>
            <w:noWrap/>
            <w:hideMark/>
          </w:tcPr>
          <w:p w14:paraId="7D97FB2B"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103.4</w:t>
            </w:r>
          </w:p>
        </w:tc>
        <w:tc>
          <w:tcPr>
            <w:tcW w:w="1642" w:type="dxa"/>
            <w:noWrap/>
            <w:hideMark/>
          </w:tcPr>
          <w:p w14:paraId="4A8B8B3E"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104.0</w:t>
            </w:r>
          </w:p>
        </w:tc>
        <w:tc>
          <w:tcPr>
            <w:tcW w:w="1232" w:type="dxa"/>
            <w:noWrap/>
            <w:hideMark/>
          </w:tcPr>
          <w:p w14:paraId="6669B5A5"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102.9</w:t>
            </w:r>
          </w:p>
        </w:tc>
        <w:tc>
          <w:tcPr>
            <w:tcW w:w="1373" w:type="dxa"/>
            <w:tcBorders>
              <w:right w:val="single" w:sz="4" w:space="0" w:color="auto"/>
            </w:tcBorders>
            <w:noWrap/>
            <w:hideMark/>
          </w:tcPr>
          <w:p w14:paraId="006A58E8"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103.7</w:t>
            </w:r>
          </w:p>
        </w:tc>
        <w:tc>
          <w:tcPr>
            <w:tcW w:w="1437" w:type="dxa"/>
            <w:tcBorders>
              <w:left w:val="single" w:sz="4" w:space="0" w:color="auto"/>
            </w:tcBorders>
            <w:noWrap/>
            <w:hideMark/>
          </w:tcPr>
          <w:p w14:paraId="0AE16738"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99.9</w:t>
            </w:r>
          </w:p>
        </w:tc>
        <w:tc>
          <w:tcPr>
            <w:tcW w:w="1642" w:type="dxa"/>
            <w:noWrap/>
            <w:hideMark/>
          </w:tcPr>
          <w:p w14:paraId="044185E6"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100.4</w:t>
            </w:r>
          </w:p>
        </w:tc>
        <w:tc>
          <w:tcPr>
            <w:tcW w:w="1232" w:type="dxa"/>
            <w:noWrap/>
            <w:hideMark/>
          </w:tcPr>
          <w:p w14:paraId="60BA6A29"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99.4</w:t>
            </w:r>
          </w:p>
        </w:tc>
        <w:tc>
          <w:tcPr>
            <w:tcW w:w="1309" w:type="dxa"/>
            <w:noWrap/>
            <w:hideMark/>
          </w:tcPr>
          <w:p w14:paraId="6A877F6C"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100.1</w:t>
            </w:r>
          </w:p>
        </w:tc>
      </w:tr>
      <w:tr w:rsidR="00677577" w:rsidRPr="00561D7B" w14:paraId="27D2EF44" w14:textId="77777777">
        <w:trPr>
          <w:trHeight w:val="340"/>
        </w:trPr>
        <w:tc>
          <w:tcPr>
            <w:tcW w:w="1805" w:type="dxa"/>
            <w:noWrap/>
            <w:hideMark/>
          </w:tcPr>
          <w:p w14:paraId="32B5BF76"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Mar-2012</w:t>
            </w:r>
          </w:p>
        </w:tc>
        <w:tc>
          <w:tcPr>
            <w:tcW w:w="1437" w:type="dxa"/>
            <w:noWrap/>
            <w:hideMark/>
          </w:tcPr>
          <w:p w14:paraId="017EEEDB"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104.4</w:t>
            </w:r>
          </w:p>
        </w:tc>
        <w:tc>
          <w:tcPr>
            <w:tcW w:w="1642" w:type="dxa"/>
            <w:noWrap/>
            <w:hideMark/>
          </w:tcPr>
          <w:p w14:paraId="7D9E0AFE"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104.9</w:t>
            </w:r>
          </w:p>
        </w:tc>
        <w:tc>
          <w:tcPr>
            <w:tcW w:w="1232" w:type="dxa"/>
            <w:noWrap/>
            <w:hideMark/>
          </w:tcPr>
          <w:p w14:paraId="33189E66"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103.1</w:t>
            </w:r>
          </w:p>
        </w:tc>
        <w:tc>
          <w:tcPr>
            <w:tcW w:w="1373" w:type="dxa"/>
            <w:tcBorders>
              <w:right w:val="single" w:sz="4" w:space="0" w:color="auto"/>
            </w:tcBorders>
            <w:noWrap/>
            <w:hideMark/>
          </w:tcPr>
          <w:p w14:paraId="52817244"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104.5</w:t>
            </w:r>
          </w:p>
        </w:tc>
        <w:tc>
          <w:tcPr>
            <w:tcW w:w="1437" w:type="dxa"/>
            <w:tcBorders>
              <w:left w:val="single" w:sz="4" w:space="0" w:color="auto"/>
            </w:tcBorders>
            <w:noWrap/>
            <w:hideMark/>
          </w:tcPr>
          <w:p w14:paraId="4B0971EB"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101.2</w:t>
            </w:r>
          </w:p>
        </w:tc>
        <w:tc>
          <w:tcPr>
            <w:tcW w:w="1642" w:type="dxa"/>
            <w:noWrap/>
            <w:hideMark/>
          </w:tcPr>
          <w:p w14:paraId="44642EB2"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101.7</w:t>
            </w:r>
          </w:p>
        </w:tc>
        <w:tc>
          <w:tcPr>
            <w:tcW w:w="1232" w:type="dxa"/>
            <w:noWrap/>
            <w:hideMark/>
          </w:tcPr>
          <w:p w14:paraId="526032D6"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100.0</w:t>
            </w:r>
          </w:p>
        </w:tc>
        <w:tc>
          <w:tcPr>
            <w:tcW w:w="1309" w:type="dxa"/>
            <w:noWrap/>
            <w:hideMark/>
          </w:tcPr>
          <w:p w14:paraId="4F8B2338"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101.4</w:t>
            </w:r>
          </w:p>
        </w:tc>
      </w:tr>
      <w:tr w:rsidR="00677577" w:rsidRPr="00561D7B" w14:paraId="04F500A2" w14:textId="77777777">
        <w:trPr>
          <w:trHeight w:val="340"/>
        </w:trPr>
        <w:tc>
          <w:tcPr>
            <w:tcW w:w="1805" w:type="dxa"/>
            <w:noWrap/>
            <w:hideMark/>
          </w:tcPr>
          <w:p w14:paraId="6231C7F6"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Jun-2012</w:t>
            </w:r>
          </w:p>
        </w:tc>
        <w:tc>
          <w:tcPr>
            <w:tcW w:w="1437" w:type="dxa"/>
            <w:noWrap/>
            <w:hideMark/>
          </w:tcPr>
          <w:p w14:paraId="2AD1146A"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105.1</w:t>
            </w:r>
          </w:p>
        </w:tc>
        <w:tc>
          <w:tcPr>
            <w:tcW w:w="1642" w:type="dxa"/>
            <w:noWrap/>
            <w:hideMark/>
          </w:tcPr>
          <w:p w14:paraId="3208FD80"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105.7</w:t>
            </w:r>
          </w:p>
        </w:tc>
        <w:tc>
          <w:tcPr>
            <w:tcW w:w="1232" w:type="dxa"/>
            <w:noWrap/>
            <w:hideMark/>
          </w:tcPr>
          <w:p w14:paraId="1DF1ECEC"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103.2</w:t>
            </w:r>
          </w:p>
        </w:tc>
        <w:tc>
          <w:tcPr>
            <w:tcW w:w="1373" w:type="dxa"/>
            <w:tcBorders>
              <w:right w:val="single" w:sz="4" w:space="0" w:color="auto"/>
            </w:tcBorders>
            <w:noWrap/>
            <w:hideMark/>
          </w:tcPr>
          <w:p w14:paraId="651ACFE8"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105.3</w:t>
            </w:r>
          </w:p>
        </w:tc>
        <w:tc>
          <w:tcPr>
            <w:tcW w:w="1437" w:type="dxa"/>
            <w:tcBorders>
              <w:left w:val="single" w:sz="4" w:space="0" w:color="auto"/>
            </w:tcBorders>
            <w:noWrap/>
            <w:hideMark/>
          </w:tcPr>
          <w:p w14:paraId="50A6DDA2"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101.3</w:t>
            </w:r>
          </w:p>
        </w:tc>
        <w:tc>
          <w:tcPr>
            <w:tcW w:w="1642" w:type="dxa"/>
            <w:noWrap/>
            <w:hideMark/>
          </w:tcPr>
          <w:p w14:paraId="2C916E56"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101.9</w:t>
            </w:r>
          </w:p>
        </w:tc>
        <w:tc>
          <w:tcPr>
            <w:tcW w:w="1232" w:type="dxa"/>
            <w:noWrap/>
            <w:hideMark/>
          </w:tcPr>
          <w:p w14:paraId="6242B4F4"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99.5</w:t>
            </w:r>
          </w:p>
        </w:tc>
        <w:tc>
          <w:tcPr>
            <w:tcW w:w="1309" w:type="dxa"/>
            <w:noWrap/>
            <w:hideMark/>
          </w:tcPr>
          <w:p w14:paraId="3424DB12"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101.5</w:t>
            </w:r>
          </w:p>
        </w:tc>
      </w:tr>
      <w:tr w:rsidR="00677577" w:rsidRPr="00561D7B" w14:paraId="0CF1FF3F" w14:textId="77777777">
        <w:trPr>
          <w:trHeight w:val="340"/>
        </w:trPr>
        <w:tc>
          <w:tcPr>
            <w:tcW w:w="1805" w:type="dxa"/>
            <w:noWrap/>
            <w:hideMark/>
          </w:tcPr>
          <w:p w14:paraId="4625F814"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Sep-2012</w:t>
            </w:r>
          </w:p>
        </w:tc>
        <w:tc>
          <w:tcPr>
            <w:tcW w:w="1437" w:type="dxa"/>
            <w:noWrap/>
            <w:hideMark/>
          </w:tcPr>
          <w:p w14:paraId="39AAFE11"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106.3</w:t>
            </w:r>
          </w:p>
        </w:tc>
        <w:tc>
          <w:tcPr>
            <w:tcW w:w="1642" w:type="dxa"/>
            <w:noWrap/>
            <w:hideMark/>
          </w:tcPr>
          <w:p w14:paraId="6FE1B41B"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106.8</w:t>
            </w:r>
          </w:p>
        </w:tc>
        <w:tc>
          <w:tcPr>
            <w:tcW w:w="1232" w:type="dxa"/>
            <w:noWrap/>
            <w:hideMark/>
          </w:tcPr>
          <w:p w14:paraId="40C75928"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105.4</w:t>
            </w:r>
          </w:p>
        </w:tc>
        <w:tc>
          <w:tcPr>
            <w:tcW w:w="1373" w:type="dxa"/>
            <w:tcBorders>
              <w:right w:val="single" w:sz="4" w:space="0" w:color="auto"/>
            </w:tcBorders>
            <w:noWrap/>
            <w:hideMark/>
          </w:tcPr>
          <w:p w14:paraId="3AB43C5B"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106.5</w:t>
            </w:r>
          </w:p>
        </w:tc>
        <w:tc>
          <w:tcPr>
            <w:tcW w:w="1437" w:type="dxa"/>
            <w:tcBorders>
              <w:left w:val="single" w:sz="4" w:space="0" w:color="auto"/>
            </w:tcBorders>
            <w:noWrap/>
            <w:hideMark/>
          </w:tcPr>
          <w:p w14:paraId="2F7C4D52"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101.3</w:t>
            </w:r>
          </w:p>
        </w:tc>
        <w:tc>
          <w:tcPr>
            <w:tcW w:w="1642" w:type="dxa"/>
            <w:noWrap/>
            <w:hideMark/>
          </w:tcPr>
          <w:p w14:paraId="4EAF0999"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101.9</w:t>
            </w:r>
          </w:p>
        </w:tc>
        <w:tc>
          <w:tcPr>
            <w:tcW w:w="1232" w:type="dxa"/>
            <w:noWrap/>
            <w:hideMark/>
          </w:tcPr>
          <w:p w14:paraId="2C0FFF03"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100.5</w:t>
            </w:r>
          </w:p>
        </w:tc>
        <w:tc>
          <w:tcPr>
            <w:tcW w:w="1309" w:type="dxa"/>
            <w:noWrap/>
            <w:hideMark/>
          </w:tcPr>
          <w:p w14:paraId="7CB6D40D"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101.5</w:t>
            </w:r>
          </w:p>
        </w:tc>
      </w:tr>
      <w:tr w:rsidR="00677577" w:rsidRPr="00561D7B" w14:paraId="31E4F841" w14:textId="77777777">
        <w:trPr>
          <w:trHeight w:val="340"/>
        </w:trPr>
        <w:tc>
          <w:tcPr>
            <w:tcW w:w="1805" w:type="dxa"/>
            <w:noWrap/>
            <w:hideMark/>
          </w:tcPr>
          <w:p w14:paraId="3AD9C591"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Dec-2012</w:t>
            </w:r>
          </w:p>
        </w:tc>
        <w:tc>
          <w:tcPr>
            <w:tcW w:w="1437" w:type="dxa"/>
            <w:noWrap/>
            <w:hideMark/>
          </w:tcPr>
          <w:p w14:paraId="4F7D0F8F"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106.9</w:t>
            </w:r>
          </w:p>
        </w:tc>
        <w:tc>
          <w:tcPr>
            <w:tcW w:w="1642" w:type="dxa"/>
            <w:noWrap/>
            <w:hideMark/>
          </w:tcPr>
          <w:p w14:paraId="0BCAD085"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107.6</w:t>
            </w:r>
          </w:p>
        </w:tc>
        <w:tc>
          <w:tcPr>
            <w:tcW w:w="1232" w:type="dxa"/>
            <w:noWrap/>
            <w:hideMark/>
          </w:tcPr>
          <w:p w14:paraId="7EAE438C"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105.6</w:t>
            </w:r>
          </w:p>
        </w:tc>
        <w:tc>
          <w:tcPr>
            <w:tcW w:w="1373" w:type="dxa"/>
            <w:tcBorders>
              <w:right w:val="single" w:sz="4" w:space="0" w:color="auto"/>
            </w:tcBorders>
            <w:noWrap/>
            <w:hideMark/>
          </w:tcPr>
          <w:p w14:paraId="7E624BC4"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107.2</w:t>
            </w:r>
          </w:p>
        </w:tc>
        <w:tc>
          <w:tcPr>
            <w:tcW w:w="1437" w:type="dxa"/>
            <w:tcBorders>
              <w:left w:val="single" w:sz="4" w:space="0" w:color="auto"/>
            </w:tcBorders>
            <w:noWrap/>
            <w:hideMark/>
          </w:tcPr>
          <w:p w14:paraId="1C018C6D"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101.6</w:t>
            </w:r>
          </w:p>
        </w:tc>
        <w:tc>
          <w:tcPr>
            <w:tcW w:w="1642" w:type="dxa"/>
            <w:noWrap/>
            <w:hideMark/>
          </w:tcPr>
          <w:p w14:paraId="0274EC92"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102.2</w:t>
            </w:r>
          </w:p>
        </w:tc>
        <w:tc>
          <w:tcPr>
            <w:tcW w:w="1232" w:type="dxa"/>
            <w:noWrap/>
            <w:hideMark/>
          </w:tcPr>
          <w:p w14:paraId="5AA44EA4"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100.3</w:t>
            </w:r>
          </w:p>
        </w:tc>
        <w:tc>
          <w:tcPr>
            <w:tcW w:w="1309" w:type="dxa"/>
            <w:noWrap/>
            <w:hideMark/>
          </w:tcPr>
          <w:p w14:paraId="6C69CCDC"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101.9</w:t>
            </w:r>
          </w:p>
        </w:tc>
      </w:tr>
      <w:tr w:rsidR="00677577" w:rsidRPr="00561D7B" w14:paraId="4953C859" w14:textId="77777777">
        <w:trPr>
          <w:trHeight w:val="340"/>
        </w:trPr>
        <w:tc>
          <w:tcPr>
            <w:tcW w:w="1805" w:type="dxa"/>
            <w:noWrap/>
            <w:hideMark/>
          </w:tcPr>
          <w:p w14:paraId="3814917B"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Mar-2013</w:t>
            </w:r>
          </w:p>
        </w:tc>
        <w:tc>
          <w:tcPr>
            <w:tcW w:w="1437" w:type="dxa"/>
            <w:noWrap/>
            <w:hideMark/>
          </w:tcPr>
          <w:p w14:paraId="081DFA8C"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107.7</w:t>
            </w:r>
          </w:p>
        </w:tc>
        <w:tc>
          <w:tcPr>
            <w:tcW w:w="1642" w:type="dxa"/>
            <w:noWrap/>
            <w:hideMark/>
          </w:tcPr>
          <w:p w14:paraId="01217EB1"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108.2</w:t>
            </w:r>
          </w:p>
        </w:tc>
        <w:tc>
          <w:tcPr>
            <w:tcW w:w="1232" w:type="dxa"/>
            <w:noWrap/>
            <w:hideMark/>
          </w:tcPr>
          <w:p w14:paraId="7D05F7C1"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105.9</w:t>
            </w:r>
          </w:p>
        </w:tc>
        <w:tc>
          <w:tcPr>
            <w:tcW w:w="1373" w:type="dxa"/>
            <w:tcBorders>
              <w:right w:val="single" w:sz="4" w:space="0" w:color="auto"/>
            </w:tcBorders>
            <w:noWrap/>
            <w:hideMark/>
          </w:tcPr>
          <w:p w14:paraId="68FEB4CD"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107.9</w:t>
            </w:r>
          </w:p>
        </w:tc>
        <w:tc>
          <w:tcPr>
            <w:tcW w:w="1437" w:type="dxa"/>
            <w:tcBorders>
              <w:left w:val="single" w:sz="4" w:space="0" w:color="auto"/>
            </w:tcBorders>
            <w:noWrap/>
            <w:hideMark/>
          </w:tcPr>
          <w:p w14:paraId="0E6B1470"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102.2</w:t>
            </w:r>
          </w:p>
        </w:tc>
        <w:tc>
          <w:tcPr>
            <w:tcW w:w="1642" w:type="dxa"/>
            <w:noWrap/>
            <w:hideMark/>
          </w:tcPr>
          <w:p w14:paraId="3CFBB8BF"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102.7</w:t>
            </w:r>
          </w:p>
        </w:tc>
        <w:tc>
          <w:tcPr>
            <w:tcW w:w="1232" w:type="dxa"/>
            <w:noWrap/>
            <w:hideMark/>
          </w:tcPr>
          <w:p w14:paraId="1FEB49BC"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100.5</w:t>
            </w:r>
          </w:p>
        </w:tc>
        <w:tc>
          <w:tcPr>
            <w:tcW w:w="1309" w:type="dxa"/>
            <w:noWrap/>
            <w:hideMark/>
          </w:tcPr>
          <w:p w14:paraId="20787CAD"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102.4</w:t>
            </w:r>
          </w:p>
        </w:tc>
      </w:tr>
      <w:tr w:rsidR="00677577" w:rsidRPr="00561D7B" w14:paraId="3DFD4A7C" w14:textId="77777777">
        <w:trPr>
          <w:trHeight w:val="340"/>
        </w:trPr>
        <w:tc>
          <w:tcPr>
            <w:tcW w:w="1805" w:type="dxa"/>
            <w:noWrap/>
            <w:hideMark/>
          </w:tcPr>
          <w:p w14:paraId="2E39CD75"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Jun-2013</w:t>
            </w:r>
          </w:p>
        </w:tc>
        <w:tc>
          <w:tcPr>
            <w:tcW w:w="1437" w:type="dxa"/>
            <w:noWrap/>
            <w:hideMark/>
          </w:tcPr>
          <w:p w14:paraId="7A8BD426"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108.2</w:t>
            </w:r>
          </w:p>
        </w:tc>
        <w:tc>
          <w:tcPr>
            <w:tcW w:w="1642" w:type="dxa"/>
            <w:noWrap/>
            <w:hideMark/>
          </w:tcPr>
          <w:p w14:paraId="61569D0E"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108.8</w:t>
            </w:r>
          </w:p>
        </w:tc>
        <w:tc>
          <w:tcPr>
            <w:tcW w:w="1232" w:type="dxa"/>
            <w:noWrap/>
            <w:hideMark/>
          </w:tcPr>
          <w:p w14:paraId="52D4079D"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105.9</w:t>
            </w:r>
          </w:p>
        </w:tc>
        <w:tc>
          <w:tcPr>
            <w:tcW w:w="1373" w:type="dxa"/>
            <w:tcBorders>
              <w:right w:val="single" w:sz="4" w:space="0" w:color="auto"/>
            </w:tcBorders>
            <w:noWrap/>
            <w:hideMark/>
          </w:tcPr>
          <w:p w14:paraId="2B34F099"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108.3</w:t>
            </w:r>
          </w:p>
        </w:tc>
        <w:tc>
          <w:tcPr>
            <w:tcW w:w="1437" w:type="dxa"/>
            <w:tcBorders>
              <w:left w:val="single" w:sz="4" w:space="0" w:color="auto"/>
            </w:tcBorders>
            <w:noWrap/>
            <w:hideMark/>
          </w:tcPr>
          <w:p w14:paraId="28FED9E7"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102.1</w:t>
            </w:r>
          </w:p>
        </w:tc>
        <w:tc>
          <w:tcPr>
            <w:tcW w:w="1642" w:type="dxa"/>
            <w:noWrap/>
            <w:hideMark/>
          </w:tcPr>
          <w:p w14:paraId="53FA2EDC"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102.7</w:t>
            </w:r>
          </w:p>
        </w:tc>
        <w:tc>
          <w:tcPr>
            <w:tcW w:w="1232" w:type="dxa"/>
            <w:noWrap/>
            <w:hideMark/>
          </w:tcPr>
          <w:p w14:paraId="3FE493C0"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99.9</w:t>
            </w:r>
          </w:p>
        </w:tc>
        <w:tc>
          <w:tcPr>
            <w:tcW w:w="1309" w:type="dxa"/>
            <w:noWrap/>
            <w:hideMark/>
          </w:tcPr>
          <w:p w14:paraId="3F0500D2"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102.2</w:t>
            </w:r>
          </w:p>
        </w:tc>
      </w:tr>
      <w:tr w:rsidR="00677577" w:rsidRPr="00561D7B" w14:paraId="3071BE2D" w14:textId="77777777">
        <w:trPr>
          <w:trHeight w:val="340"/>
        </w:trPr>
        <w:tc>
          <w:tcPr>
            <w:tcW w:w="1805" w:type="dxa"/>
            <w:noWrap/>
            <w:hideMark/>
          </w:tcPr>
          <w:p w14:paraId="391F5ADA"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Sep-2013</w:t>
            </w:r>
          </w:p>
        </w:tc>
        <w:tc>
          <w:tcPr>
            <w:tcW w:w="1437" w:type="dxa"/>
            <w:noWrap/>
            <w:hideMark/>
          </w:tcPr>
          <w:p w14:paraId="02ED34F1"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109.3</w:t>
            </w:r>
          </w:p>
        </w:tc>
        <w:tc>
          <w:tcPr>
            <w:tcW w:w="1642" w:type="dxa"/>
            <w:noWrap/>
            <w:hideMark/>
          </w:tcPr>
          <w:p w14:paraId="6114A990"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109.6</w:t>
            </w:r>
          </w:p>
        </w:tc>
        <w:tc>
          <w:tcPr>
            <w:tcW w:w="1232" w:type="dxa"/>
            <w:noWrap/>
            <w:hideMark/>
          </w:tcPr>
          <w:p w14:paraId="70B9D300"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108.1</w:t>
            </w:r>
          </w:p>
        </w:tc>
        <w:tc>
          <w:tcPr>
            <w:tcW w:w="1373" w:type="dxa"/>
            <w:tcBorders>
              <w:right w:val="single" w:sz="4" w:space="0" w:color="auto"/>
            </w:tcBorders>
            <w:noWrap/>
            <w:hideMark/>
          </w:tcPr>
          <w:p w14:paraId="23E0A81A"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109.4</w:t>
            </w:r>
          </w:p>
        </w:tc>
        <w:tc>
          <w:tcPr>
            <w:tcW w:w="1437" w:type="dxa"/>
            <w:tcBorders>
              <w:left w:val="single" w:sz="4" w:space="0" w:color="auto"/>
            </w:tcBorders>
            <w:noWrap/>
            <w:hideMark/>
          </w:tcPr>
          <w:p w14:paraId="7C9DC615"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102.5</w:t>
            </w:r>
          </w:p>
        </w:tc>
        <w:tc>
          <w:tcPr>
            <w:tcW w:w="1642" w:type="dxa"/>
            <w:noWrap/>
            <w:hideMark/>
          </w:tcPr>
          <w:p w14:paraId="4BC50F43"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102.8</w:t>
            </w:r>
          </w:p>
        </w:tc>
        <w:tc>
          <w:tcPr>
            <w:tcW w:w="1232" w:type="dxa"/>
            <w:noWrap/>
            <w:hideMark/>
          </w:tcPr>
          <w:p w14:paraId="61E74C16"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101.4</w:t>
            </w:r>
          </w:p>
        </w:tc>
        <w:tc>
          <w:tcPr>
            <w:tcW w:w="1309" w:type="dxa"/>
            <w:noWrap/>
            <w:hideMark/>
          </w:tcPr>
          <w:p w14:paraId="015EE487"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102.6</w:t>
            </w:r>
          </w:p>
        </w:tc>
      </w:tr>
      <w:tr w:rsidR="00677577" w:rsidRPr="00561D7B" w14:paraId="5DD9C03F" w14:textId="77777777">
        <w:trPr>
          <w:trHeight w:val="340"/>
        </w:trPr>
        <w:tc>
          <w:tcPr>
            <w:tcW w:w="1805" w:type="dxa"/>
            <w:noWrap/>
            <w:hideMark/>
          </w:tcPr>
          <w:p w14:paraId="1699817E"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Dec-2013</w:t>
            </w:r>
          </w:p>
        </w:tc>
        <w:tc>
          <w:tcPr>
            <w:tcW w:w="1437" w:type="dxa"/>
            <w:noWrap/>
            <w:hideMark/>
          </w:tcPr>
          <w:p w14:paraId="1A098625"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110.0</w:t>
            </w:r>
          </w:p>
        </w:tc>
        <w:tc>
          <w:tcPr>
            <w:tcW w:w="1642" w:type="dxa"/>
            <w:noWrap/>
            <w:hideMark/>
          </w:tcPr>
          <w:p w14:paraId="7A6C0095"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110.1</w:t>
            </w:r>
          </w:p>
        </w:tc>
        <w:tc>
          <w:tcPr>
            <w:tcW w:w="1232" w:type="dxa"/>
            <w:noWrap/>
            <w:hideMark/>
          </w:tcPr>
          <w:p w14:paraId="1C5F5319"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108.5</w:t>
            </w:r>
          </w:p>
        </w:tc>
        <w:tc>
          <w:tcPr>
            <w:tcW w:w="1373" w:type="dxa"/>
            <w:tcBorders>
              <w:right w:val="single" w:sz="4" w:space="0" w:color="auto"/>
            </w:tcBorders>
            <w:noWrap/>
            <w:hideMark/>
          </w:tcPr>
          <w:p w14:paraId="1003A4CD"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109.9</w:t>
            </w:r>
          </w:p>
        </w:tc>
        <w:tc>
          <w:tcPr>
            <w:tcW w:w="1437" w:type="dxa"/>
            <w:tcBorders>
              <w:left w:val="single" w:sz="4" w:space="0" w:color="auto"/>
            </w:tcBorders>
            <w:noWrap/>
            <w:hideMark/>
          </w:tcPr>
          <w:p w14:paraId="76D60138"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102.2</w:t>
            </w:r>
          </w:p>
        </w:tc>
        <w:tc>
          <w:tcPr>
            <w:tcW w:w="1642" w:type="dxa"/>
            <w:noWrap/>
            <w:hideMark/>
          </w:tcPr>
          <w:p w14:paraId="0AF9BCC1"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102.3</w:t>
            </w:r>
          </w:p>
        </w:tc>
        <w:tc>
          <w:tcPr>
            <w:tcW w:w="1232" w:type="dxa"/>
            <w:noWrap/>
            <w:hideMark/>
          </w:tcPr>
          <w:p w14:paraId="29CAF1E2"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100.8</w:t>
            </w:r>
          </w:p>
        </w:tc>
        <w:tc>
          <w:tcPr>
            <w:tcW w:w="1309" w:type="dxa"/>
            <w:noWrap/>
            <w:hideMark/>
          </w:tcPr>
          <w:p w14:paraId="69AE46A9"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102.1</w:t>
            </w:r>
          </w:p>
        </w:tc>
      </w:tr>
      <w:tr w:rsidR="00677577" w:rsidRPr="00561D7B" w14:paraId="40D4921D" w14:textId="77777777">
        <w:trPr>
          <w:trHeight w:val="340"/>
        </w:trPr>
        <w:tc>
          <w:tcPr>
            <w:tcW w:w="1805" w:type="dxa"/>
            <w:noWrap/>
            <w:hideMark/>
          </w:tcPr>
          <w:p w14:paraId="05B11E96"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Mar-2014</w:t>
            </w:r>
          </w:p>
        </w:tc>
        <w:tc>
          <w:tcPr>
            <w:tcW w:w="1437" w:type="dxa"/>
            <w:noWrap/>
            <w:hideMark/>
          </w:tcPr>
          <w:p w14:paraId="76EF10F8"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111.1</w:t>
            </w:r>
          </w:p>
        </w:tc>
        <w:tc>
          <w:tcPr>
            <w:tcW w:w="1642" w:type="dxa"/>
            <w:noWrap/>
            <w:hideMark/>
          </w:tcPr>
          <w:p w14:paraId="4C6AE7F0"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110.7</w:t>
            </w:r>
          </w:p>
        </w:tc>
        <w:tc>
          <w:tcPr>
            <w:tcW w:w="1232" w:type="dxa"/>
            <w:noWrap/>
            <w:hideMark/>
          </w:tcPr>
          <w:p w14:paraId="3C50C71E"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108.9</w:t>
            </w:r>
          </w:p>
        </w:tc>
        <w:tc>
          <w:tcPr>
            <w:tcW w:w="1373" w:type="dxa"/>
            <w:tcBorders>
              <w:right w:val="single" w:sz="4" w:space="0" w:color="auto"/>
            </w:tcBorders>
            <w:noWrap/>
            <w:hideMark/>
          </w:tcPr>
          <w:p w14:paraId="01F39714"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110.7</w:t>
            </w:r>
          </w:p>
        </w:tc>
        <w:tc>
          <w:tcPr>
            <w:tcW w:w="1437" w:type="dxa"/>
            <w:tcBorders>
              <w:left w:val="single" w:sz="4" w:space="0" w:color="auto"/>
            </w:tcBorders>
            <w:noWrap/>
            <w:hideMark/>
          </w:tcPr>
          <w:p w14:paraId="78F7912F"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102.7</w:t>
            </w:r>
          </w:p>
        </w:tc>
        <w:tc>
          <w:tcPr>
            <w:tcW w:w="1642" w:type="dxa"/>
            <w:noWrap/>
            <w:hideMark/>
          </w:tcPr>
          <w:p w14:paraId="4C89BDC0"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102.3</w:t>
            </w:r>
          </w:p>
        </w:tc>
        <w:tc>
          <w:tcPr>
            <w:tcW w:w="1232" w:type="dxa"/>
            <w:noWrap/>
            <w:hideMark/>
          </w:tcPr>
          <w:p w14:paraId="5B413B1A"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100.7</w:t>
            </w:r>
          </w:p>
        </w:tc>
        <w:tc>
          <w:tcPr>
            <w:tcW w:w="1309" w:type="dxa"/>
            <w:noWrap/>
            <w:hideMark/>
          </w:tcPr>
          <w:p w14:paraId="708531CE"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102.3</w:t>
            </w:r>
          </w:p>
        </w:tc>
      </w:tr>
      <w:tr w:rsidR="00677577" w:rsidRPr="00561D7B" w14:paraId="585D5F1A" w14:textId="77777777">
        <w:trPr>
          <w:trHeight w:val="340"/>
        </w:trPr>
        <w:tc>
          <w:tcPr>
            <w:tcW w:w="1805" w:type="dxa"/>
            <w:noWrap/>
            <w:hideMark/>
          </w:tcPr>
          <w:p w14:paraId="35F63A21"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Jun-2014</w:t>
            </w:r>
          </w:p>
        </w:tc>
        <w:tc>
          <w:tcPr>
            <w:tcW w:w="1437" w:type="dxa"/>
            <w:noWrap/>
            <w:hideMark/>
          </w:tcPr>
          <w:p w14:paraId="4220C46D"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111.5</w:t>
            </w:r>
          </w:p>
        </w:tc>
        <w:tc>
          <w:tcPr>
            <w:tcW w:w="1642" w:type="dxa"/>
            <w:noWrap/>
            <w:hideMark/>
          </w:tcPr>
          <w:p w14:paraId="7E1C6B87"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111.2</w:t>
            </w:r>
          </w:p>
        </w:tc>
        <w:tc>
          <w:tcPr>
            <w:tcW w:w="1232" w:type="dxa"/>
            <w:noWrap/>
            <w:hideMark/>
          </w:tcPr>
          <w:p w14:paraId="23560365"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109.0</w:t>
            </w:r>
          </w:p>
        </w:tc>
        <w:tc>
          <w:tcPr>
            <w:tcW w:w="1373" w:type="dxa"/>
            <w:tcBorders>
              <w:right w:val="single" w:sz="4" w:space="0" w:color="auto"/>
            </w:tcBorders>
            <w:noWrap/>
            <w:hideMark/>
          </w:tcPr>
          <w:p w14:paraId="35CCFC27"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111.2</w:t>
            </w:r>
          </w:p>
        </w:tc>
        <w:tc>
          <w:tcPr>
            <w:tcW w:w="1437" w:type="dxa"/>
            <w:tcBorders>
              <w:left w:val="single" w:sz="4" w:space="0" w:color="auto"/>
            </w:tcBorders>
            <w:noWrap/>
            <w:hideMark/>
          </w:tcPr>
          <w:p w14:paraId="13F2426E"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102.9</w:t>
            </w:r>
          </w:p>
        </w:tc>
        <w:tc>
          <w:tcPr>
            <w:tcW w:w="1642" w:type="dxa"/>
            <w:noWrap/>
            <w:hideMark/>
          </w:tcPr>
          <w:p w14:paraId="4FEB3CC4"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102.6</w:t>
            </w:r>
          </w:p>
        </w:tc>
        <w:tc>
          <w:tcPr>
            <w:tcW w:w="1232" w:type="dxa"/>
            <w:noWrap/>
            <w:hideMark/>
          </w:tcPr>
          <w:p w14:paraId="0E871DFF"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100.6</w:t>
            </w:r>
          </w:p>
        </w:tc>
        <w:tc>
          <w:tcPr>
            <w:tcW w:w="1309" w:type="dxa"/>
            <w:noWrap/>
            <w:hideMark/>
          </w:tcPr>
          <w:p w14:paraId="70967D9A"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102.6</w:t>
            </w:r>
          </w:p>
        </w:tc>
      </w:tr>
      <w:tr w:rsidR="00677577" w:rsidRPr="00561D7B" w14:paraId="319FDEFD" w14:textId="77777777">
        <w:trPr>
          <w:trHeight w:val="340"/>
        </w:trPr>
        <w:tc>
          <w:tcPr>
            <w:tcW w:w="1805" w:type="dxa"/>
            <w:noWrap/>
            <w:hideMark/>
          </w:tcPr>
          <w:p w14:paraId="1116407D"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Sep-2014</w:t>
            </w:r>
          </w:p>
        </w:tc>
        <w:tc>
          <w:tcPr>
            <w:tcW w:w="1437" w:type="dxa"/>
            <w:noWrap/>
            <w:hideMark/>
          </w:tcPr>
          <w:p w14:paraId="1DB4BF4C"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112.5</w:t>
            </w:r>
          </w:p>
        </w:tc>
        <w:tc>
          <w:tcPr>
            <w:tcW w:w="1642" w:type="dxa"/>
            <w:noWrap/>
            <w:hideMark/>
          </w:tcPr>
          <w:p w14:paraId="3A1B8FD1"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112.0</w:t>
            </w:r>
          </w:p>
        </w:tc>
        <w:tc>
          <w:tcPr>
            <w:tcW w:w="1232" w:type="dxa"/>
            <w:noWrap/>
            <w:hideMark/>
          </w:tcPr>
          <w:p w14:paraId="4E690A29"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111.2</w:t>
            </w:r>
          </w:p>
        </w:tc>
        <w:tc>
          <w:tcPr>
            <w:tcW w:w="1373" w:type="dxa"/>
            <w:tcBorders>
              <w:right w:val="single" w:sz="4" w:space="0" w:color="auto"/>
            </w:tcBorders>
            <w:noWrap/>
            <w:hideMark/>
          </w:tcPr>
          <w:p w14:paraId="2EB79A71"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112.1</w:t>
            </w:r>
          </w:p>
        </w:tc>
        <w:tc>
          <w:tcPr>
            <w:tcW w:w="1437" w:type="dxa"/>
            <w:tcBorders>
              <w:left w:val="single" w:sz="4" w:space="0" w:color="auto"/>
            </w:tcBorders>
            <w:noWrap/>
            <w:hideMark/>
          </w:tcPr>
          <w:p w14:paraId="54ACA8D5"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103.4</w:t>
            </w:r>
          </w:p>
        </w:tc>
        <w:tc>
          <w:tcPr>
            <w:tcW w:w="1642" w:type="dxa"/>
            <w:noWrap/>
            <w:hideMark/>
          </w:tcPr>
          <w:p w14:paraId="7ED5CDAA"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102.9</w:t>
            </w:r>
          </w:p>
        </w:tc>
        <w:tc>
          <w:tcPr>
            <w:tcW w:w="1232" w:type="dxa"/>
            <w:noWrap/>
            <w:hideMark/>
          </w:tcPr>
          <w:p w14:paraId="6B3FEE3D"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102.2</w:t>
            </w:r>
          </w:p>
        </w:tc>
        <w:tc>
          <w:tcPr>
            <w:tcW w:w="1309" w:type="dxa"/>
            <w:noWrap/>
            <w:hideMark/>
          </w:tcPr>
          <w:p w14:paraId="0EA38131"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103.0</w:t>
            </w:r>
          </w:p>
        </w:tc>
      </w:tr>
      <w:tr w:rsidR="00677577" w:rsidRPr="00561D7B" w14:paraId="2F00B811" w14:textId="77777777">
        <w:trPr>
          <w:trHeight w:val="340"/>
        </w:trPr>
        <w:tc>
          <w:tcPr>
            <w:tcW w:w="1805" w:type="dxa"/>
            <w:noWrap/>
            <w:hideMark/>
          </w:tcPr>
          <w:p w14:paraId="5D3A4D80"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Dec-2014</w:t>
            </w:r>
          </w:p>
        </w:tc>
        <w:tc>
          <w:tcPr>
            <w:tcW w:w="1437" w:type="dxa"/>
            <w:noWrap/>
            <w:hideMark/>
          </w:tcPr>
          <w:p w14:paraId="20BC0D2E"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113.2</w:t>
            </w:r>
          </w:p>
        </w:tc>
        <w:tc>
          <w:tcPr>
            <w:tcW w:w="1642" w:type="dxa"/>
            <w:noWrap/>
            <w:hideMark/>
          </w:tcPr>
          <w:p w14:paraId="695263D7"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112.6</w:t>
            </w:r>
          </w:p>
        </w:tc>
        <w:tc>
          <w:tcPr>
            <w:tcW w:w="1232" w:type="dxa"/>
            <w:noWrap/>
            <w:hideMark/>
          </w:tcPr>
          <w:p w14:paraId="18CD2FE9"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111.4</w:t>
            </w:r>
          </w:p>
        </w:tc>
        <w:tc>
          <w:tcPr>
            <w:tcW w:w="1373" w:type="dxa"/>
            <w:tcBorders>
              <w:right w:val="single" w:sz="4" w:space="0" w:color="auto"/>
            </w:tcBorders>
            <w:noWrap/>
            <w:hideMark/>
          </w:tcPr>
          <w:p w14:paraId="12B3BA57"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112.8</w:t>
            </w:r>
          </w:p>
        </w:tc>
        <w:tc>
          <w:tcPr>
            <w:tcW w:w="1437" w:type="dxa"/>
            <w:tcBorders>
              <w:left w:val="single" w:sz="4" w:space="0" w:color="auto"/>
            </w:tcBorders>
            <w:noWrap/>
            <w:hideMark/>
          </w:tcPr>
          <w:p w14:paraId="14005408"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103.9</w:t>
            </w:r>
          </w:p>
        </w:tc>
        <w:tc>
          <w:tcPr>
            <w:tcW w:w="1642" w:type="dxa"/>
            <w:noWrap/>
            <w:hideMark/>
          </w:tcPr>
          <w:p w14:paraId="6BA461C3"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103.4</w:t>
            </w:r>
          </w:p>
        </w:tc>
        <w:tc>
          <w:tcPr>
            <w:tcW w:w="1232" w:type="dxa"/>
            <w:noWrap/>
            <w:hideMark/>
          </w:tcPr>
          <w:p w14:paraId="1C477226"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102.3</w:t>
            </w:r>
          </w:p>
        </w:tc>
        <w:tc>
          <w:tcPr>
            <w:tcW w:w="1309" w:type="dxa"/>
            <w:noWrap/>
            <w:hideMark/>
          </w:tcPr>
          <w:p w14:paraId="7BF2DC77"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103.5</w:t>
            </w:r>
          </w:p>
        </w:tc>
      </w:tr>
      <w:tr w:rsidR="00677577" w:rsidRPr="00561D7B" w14:paraId="2D30E1B4" w14:textId="77777777">
        <w:trPr>
          <w:trHeight w:val="340"/>
        </w:trPr>
        <w:tc>
          <w:tcPr>
            <w:tcW w:w="1805" w:type="dxa"/>
            <w:noWrap/>
            <w:hideMark/>
          </w:tcPr>
          <w:p w14:paraId="49A24150"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Mar-2015</w:t>
            </w:r>
          </w:p>
        </w:tc>
        <w:tc>
          <w:tcPr>
            <w:tcW w:w="1437" w:type="dxa"/>
            <w:noWrap/>
            <w:hideMark/>
          </w:tcPr>
          <w:p w14:paraId="70B06B6F"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114.0</w:t>
            </w:r>
          </w:p>
        </w:tc>
        <w:tc>
          <w:tcPr>
            <w:tcW w:w="1642" w:type="dxa"/>
            <w:noWrap/>
            <w:hideMark/>
          </w:tcPr>
          <w:p w14:paraId="3B166534"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112.9</w:t>
            </w:r>
          </w:p>
        </w:tc>
        <w:tc>
          <w:tcPr>
            <w:tcW w:w="1232" w:type="dxa"/>
            <w:noWrap/>
            <w:hideMark/>
          </w:tcPr>
          <w:p w14:paraId="65355AAC"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111.7</w:t>
            </w:r>
          </w:p>
        </w:tc>
        <w:tc>
          <w:tcPr>
            <w:tcW w:w="1373" w:type="dxa"/>
            <w:tcBorders>
              <w:right w:val="single" w:sz="4" w:space="0" w:color="auto"/>
            </w:tcBorders>
            <w:noWrap/>
            <w:hideMark/>
          </w:tcPr>
          <w:p w14:paraId="4AE47012"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113.2</w:t>
            </w:r>
          </w:p>
        </w:tc>
        <w:tc>
          <w:tcPr>
            <w:tcW w:w="1437" w:type="dxa"/>
            <w:tcBorders>
              <w:left w:val="single" w:sz="4" w:space="0" w:color="auto"/>
            </w:tcBorders>
            <w:noWrap/>
            <w:hideMark/>
          </w:tcPr>
          <w:p w14:paraId="38AC387C"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104.8</w:t>
            </w:r>
          </w:p>
        </w:tc>
        <w:tc>
          <w:tcPr>
            <w:tcW w:w="1642" w:type="dxa"/>
            <w:noWrap/>
            <w:hideMark/>
          </w:tcPr>
          <w:p w14:paraId="41FFADA3"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103.8</w:t>
            </w:r>
          </w:p>
        </w:tc>
        <w:tc>
          <w:tcPr>
            <w:tcW w:w="1232" w:type="dxa"/>
            <w:noWrap/>
            <w:hideMark/>
          </w:tcPr>
          <w:p w14:paraId="08B50FB9"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102.7</w:t>
            </w:r>
          </w:p>
        </w:tc>
        <w:tc>
          <w:tcPr>
            <w:tcW w:w="1309" w:type="dxa"/>
            <w:noWrap/>
            <w:hideMark/>
          </w:tcPr>
          <w:p w14:paraId="2528E6F4"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104.1</w:t>
            </w:r>
          </w:p>
        </w:tc>
      </w:tr>
      <w:tr w:rsidR="00677577" w:rsidRPr="00561D7B" w14:paraId="4AA7244A" w14:textId="77777777">
        <w:trPr>
          <w:trHeight w:val="340"/>
        </w:trPr>
        <w:tc>
          <w:tcPr>
            <w:tcW w:w="1805" w:type="dxa"/>
            <w:noWrap/>
            <w:hideMark/>
          </w:tcPr>
          <w:p w14:paraId="474F7FAC"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Jun-2015</w:t>
            </w:r>
          </w:p>
        </w:tc>
        <w:tc>
          <w:tcPr>
            <w:tcW w:w="1437" w:type="dxa"/>
            <w:noWrap/>
            <w:hideMark/>
          </w:tcPr>
          <w:p w14:paraId="4FE1B5B0"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114.4</w:t>
            </w:r>
          </w:p>
        </w:tc>
        <w:tc>
          <w:tcPr>
            <w:tcW w:w="1642" w:type="dxa"/>
            <w:noWrap/>
            <w:hideMark/>
          </w:tcPr>
          <w:p w14:paraId="2103F05D"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113.4</w:t>
            </w:r>
          </w:p>
        </w:tc>
        <w:tc>
          <w:tcPr>
            <w:tcW w:w="1232" w:type="dxa"/>
            <w:noWrap/>
            <w:hideMark/>
          </w:tcPr>
          <w:p w14:paraId="2F28E7F1"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111.8</w:t>
            </w:r>
          </w:p>
        </w:tc>
        <w:tc>
          <w:tcPr>
            <w:tcW w:w="1373" w:type="dxa"/>
            <w:tcBorders>
              <w:right w:val="single" w:sz="4" w:space="0" w:color="auto"/>
            </w:tcBorders>
            <w:noWrap/>
            <w:hideMark/>
          </w:tcPr>
          <w:p w14:paraId="4F56DF51"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113.7</w:t>
            </w:r>
          </w:p>
        </w:tc>
        <w:tc>
          <w:tcPr>
            <w:tcW w:w="1437" w:type="dxa"/>
            <w:tcBorders>
              <w:left w:val="single" w:sz="4" w:space="0" w:color="auto"/>
            </w:tcBorders>
            <w:noWrap/>
            <w:hideMark/>
          </w:tcPr>
          <w:p w14:paraId="52C20D4D"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104.7</w:t>
            </w:r>
          </w:p>
        </w:tc>
        <w:tc>
          <w:tcPr>
            <w:tcW w:w="1642" w:type="dxa"/>
            <w:noWrap/>
            <w:hideMark/>
          </w:tcPr>
          <w:p w14:paraId="79852BDE"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103.8</w:t>
            </w:r>
          </w:p>
        </w:tc>
        <w:tc>
          <w:tcPr>
            <w:tcW w:w="1232" w:type="dxa"/>
            <w:noWrap/>
            <w:hideMark/>
          </w:tcPr>
          <w:p w14:paraId="04F0EF3E"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102.4</w:t>
            </w:r>
          </w:p>
        </w:tc>
        <w:tc>
          <w:tcPr>
            <w:tcW w:w="1309" w:type="dxa"/>
            <w:noWrap/>
            <w:hideMark/>
          </w:tcPr>
          <w:p w14:paraId="2A16E049"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104.1</w:t>
            </w:r>
          </w:p>
        </w:tc>
      </w:tr>
      <w:tr w:rsidR="00677577" w:rsidRPr="00561D7B" w14:paraId="2BC9D513" w14:textId="77777777">
        <w:trPr>
          <w:trHeight w:val="340"/>
        </w:trPr>
        <w:tc>
          <w:tcPr>
            <w:tcW w:w="1805" w:type="dxa"/>
            <w:noWrap/>
            <w:hideMark/>
          </w:tcPr>
          <w:p w14:paraId="09280793"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Sep-2015</w:t>
            </w:r>
          </w:p>
        </w:tc>
        <w:tc>
          <w:tcPr>
            <w:tcW w:w="1437" w:type="dxa"/>
            <w:noWrap/>
            <w:hideMark/>
          </w:tcPr>
          <w:p w14:paraId="5FB739F6"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115.5</w:t>
            </w:r>
          </w:p>
        </w:tc>
        <w:tc>
          <w:tcPr>
            <w:tcW w:w="1642" w:type="dxa"/>
            <w:noWrap/>
            <w:hideMark/>
          </w:tcPr>
          <w:p w14:paraId="13378EFA"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114.1</w:t>
            </w:r>
          </w:p>
        </w:tc>
        <w:tc>
          <w:tcPr>
            <w:tcW w:w="1232" w:type="dxa"/>
            <w:noWrap/>
            <w:hideMark/>
          </w:tcPr>
          <w:p w14:paraId="5574C2EB"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113.8</w:t>
            </w:r>
          </w:p>
        </w:tc>
        <w:tc>
          <w:tcPr>
            <w:tcW w:w="1373" w:type="dxa"/>
            <w:tcBorders>
              <w:right w:val="single" w:sz="4" w:space="0" w:color="auto"/>
            </w:tcBorders>
            <w:noWrap/>
            <w:hideMark/>
          </w:tcPr>
          <w:p w14:paraId="7B6690C0"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114.6</w:t>
            </w:r>
          </w:p>
        </w:tc>
        <w:tc>
          <w:tcPr>
            <w:tcW w:w="1437" w:type="dxa"/>
            <w:tcBorders>
              <w:left w:val="single" w:sz="4" w:space="0" w:color="auto"/>
            </w:tcBorders>
            <w:noWrap/>
            <w:hideMark/>
          </w:tcPr>
          <w:p w14:paraId="28CC1EB8"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105.5</w:t>
            </w:r>
          </w:p>
        </w:tc>
        <w:tc>
          <w:tcPr>
            <w:tcW w:w="1642" w:type="dxa"/>
            <w:noWrap/>
            <w:hideMark/>
          </w:tcPr>
          <w:p w14:paraId="39C3542F"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104.2</w:t>
            </w:r>
          </w:p>
        </w:tc>
        <w:tc>
          <w:tcPr>
            <w:tcW w:w="1232" w:type="dxa"/>
            <w:noWrap/>
            <w:hideMark/>
          </w:tcPr>
          <w:p w14:paraId="158152AA"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104.0</w:t>
            </w:r>
          </w:p>
        </w:tc>
        <w:tc>
          <w:tcPr>
            <w:tcW w:w="1309" w:type="dxa"/>
            <w:noWrap/>
            <w:hideMark/>
          </w:tcPr>
          <w:p w14:paraId="1D4CF118"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104.8</w:t>
            </w:r>
          </w:p>
        </w:tc>
      </w:tr>
      <w:tr w:rsidR="00677577" w:rsidRPr="00561D7B" w14:paraId="495F10DA" w14:textId="77777777">
        <w:trPr>
          <w:trHeight w:val="340"/>
        </w:trPr>
        <w:tc>
          <w:tcPr>
            <w:tcW w:w="1805" w:type="dxa"/>
            <w:tcBorders>
              <w:bottom w:val="nil"/>
            </w:tcBorders>
            <w:noWrap/>
            <w:hideMark/>
          </w:tcPr>
          <w:p w14:paraId="79000BF2"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Dec-2015</w:t>
            </w:r>
          </w:p>
        </w:tc>
        <w:tc>
          <w:tcPr>
            <w:tcW w:w="1437" w:type="dxa"/>
            <w:tcBorders>
              <w:bottom w:val="nil"/>
            </w:tcBorders>
            <w:noWrap/>
            <w:hideMark/>
          </w:tcPr>
          <w:p w14:paraId="11D73F26"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116.0</w:t>
            </w:r>
          </w:p>
        </w:tc>
        <w:tc>
          <w:tcPr>
            <w:tcW w:w="1642" w:type="dxa"/>
            <w:tcBorders>
              <w:bottom w:val="nil"/>
            </w:tcBorders>
            <w:noWrap/>
            <w:hideMark/>
          </w:tcPr>
          <w:p w14:paraId="099E4E94"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114.6</w:t>
            </w:r>
          </w:p>
        </w:tc>
        <w:tc>
          <w:tcPr>
            <w:tcW w:w="1232" w:type="dxa"/>
            <w:tcBorders>
              <w:bottom w:val="nil"/>
            </w:tcBorders>
            <w:noWrap/>
            <w:hideMark/>
          </w:tcPr>
          <w:p w14:paraId="193938F8"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114.0</w:t>
            </w:r>
          </w:p>
        </w:tc>
        <w:tc>
          <w:tcPr>
            <w:tcW w:w="1373" w:type="dxa"/>
            <w:tcBorders>
              <w:bottom w:val="nil"/>
              <w:right w:val="single" w:sz="4" w:space="0" w:color="auto"/>
            </w:tcBorders>
            <w:noWrap/>
            <w:hideMark/>
          </w:tcPr>
          <w:p w14:paraId="434B3439"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115.1</w:t>
            </w:r>
          </w:p>
        </w:tc>
        <w:tc>
          <w:tcPr>
            <w:tcW w:w="1437" w:type="dxa"/>
            <w:tcBorders>
              <w:left w:val="single" w:sz="4" w:space="0" w:color="auto"/>
              <w:bottom w:val="nil"/>
            </w:tcBorders>
            <w:noWrap/>
            <w:hideMark/>
          </w:tcPr>
          <w:p w14:paraId="371F360A"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105.8</w:t>
            </w:r>
          </w:p>
        </w:tc>
        <w:tc>
          <w:tcPr>
            <w:tcW w:w="1642" w:type="dxa"/>
            <w:tcBorders>
              <w:bottom w:val="nil"/>
            </w:tcBorders>
            <w:noWrap/>
            <w:hideMark/>
          </w:tcPr>
          <w:p w14:paraId="4368F47A"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104.5</w:t>
            </w:r>
          </w:p>
        </w:tc>
        <w:tc>
          <w:tcPr>
            <w:tcW w:w="1232" w:type="dxa"/>
            <w:tcBorders>
              <w:bottom w:val="nil"/>
            </w:tcBorders>
            <w:noWrap/>
            <w:hideMark/>
          </w:tcPr>
          <w:p w14:paraId="2C77B3CE"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104.0</w:t>
            </w:r>
          </w:p>
        </w:tc>
        <w:tc>
          <w:tcPr>
            <w:tcW w:w="1309" w:type="dxa"/>
            <w:tcBorders>
              <w:bottom w:val="nil"/>
            </w:tcBorders>
            <w:noWrap/>
            <w:hideMark/>
          </w:tcPr>
          <w:p w14:paraId="0739A441" w14:textId="77777777" w:rsidR="00677577" w:rsidRPr="00561D7B" w:rsidRDefault="00677577" w:rsidP="00A61F3E">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105.0</w:t>
            </w:r>
          </w:p>
        </w:tc>
      </w:tr>
      <w:tr w:rsidR="00677577" w:rsidRPr="00561D7B" w14:paraId="28F7CC7C" w14:textId="77777777">
        <w:trPr>
          <w:trHeight w:val="340"/>
        </w:trPr>
        <w:tc>
          <w:tcPr>
            <w:tcW w:w="1805" w:type="dxa"/>
            <w:tcBorders>
              <w:top w:val="nil"/>
              <w:bottom w:val="nil"/>
            </w:tcBorders>
            <w:noWrap/>
          </w:tcPr>
          <w:p w14:paraId="5F1660B9" w14:textId="77777777" w:rsidR="00677577" w:rsidRPr="00561D7B" w:rsidRDefault="00677577">
            <w:pPr>
              <w:spacing w:after="0" w:line="240" w:lineRule="auto"/>
              <w:rPr>
                <w:rFonts w:ascii="Arial" w:eastAsia="Times New Roman" w:hAnsi="Arial" w:cs="Arial"/>
                <w:sz w:val="20"/>
                <w:szCs w:val="20"/>
                <w:lang w:eastAsia="en-AU"/>
              </w:rPr>
            </w:pPr>
          </w:p>
        </w:tc>
        <w:tc>
          <w:tcPr>
            <w:tcW w:w="5684" w:type="dxa"/>
            <w:gridSpan w:val="4"/>
            <w:tcBorders>
              <w:top w:val="nil"/>
              <w:bottom w:val="nil"/>
              <w:right w:val="single" w:sz="4" w:space="0" w:color="auto"/>
            </w:tcBorders>
            <w:noWrap/>
          </w:tcPr>
          <w:p w14:paraId="788977C3" w14:textId="05AF32B0" w:rsidR="00677577" w:rsidRPr="00561D7B" w:rsidRDefault="00677577">
            <w:pPr>
              <w:spacing w:after="0" w:line="240" w:lineRule="auto"/>
              <w:jc w:val="center"/>
              <w:rPr>
                <w:rFonts w:ascii="Arial" w:eastAsia="Times New Roman" w:hAnsi="Arial" w:cs="Arial"/>
                <w:sz w:val="20"/>
                <w:szCs w:val="20"/>
                <w:lang w:eastAsia="en-AU"/>
              </w:rPr>
            </w:pPr>
          </w:p>
        </w:tc>
        <w:tc>
          <w:tcPr>
            <w:tcW w:w="5620" w:type="dxa"/>
            <w:gridSpan w:val="4"/>
            <w:tcBorders>
              <w:top w:val="nil"/>
              <w:left w:val="single" w:sz="4" w:space="0" w:color="auto"/>
              <w:bottom w:val="nil"/>
            </w:tcBorders>
            <w:noWrap/>
          </w:tcPr>
          <w:p w14:paraId="4CC47CE2" w14:textId="2D383938" w:rsidR="00677577" w:rsidRPr="00561D7B" w:rsidRDefault="00677577">
            <w:pPr>
              <w:spacing w:after="0" w:line="240" w:lineRule="auto"/>
              <w:jc w:val="center"/>
              <w:rPr>
                <w:rFonts w:ascii="Arial" w:eastAsia="Times New Roman" w:hAnsi="Arial" w:cs="Arial"/>
                <w:sz w:val="20"/>
                <w:szCs w:val="20"/>
                <w:lang w:eastAsia="en-AU"/>
              </w:rPr>
            </w:pPr>
          </w:p>
        </w:tc>
      </w:tr>
      <w:tr w:rsidR="00677577" w:rsidRPr="00561D7B" w14:paraId="6F011FAA" w14:textId="77777777">
        <w:trPr>
          <w:trHeight w:val="340"/>
        </w:trPr>
        <w:tc>
          <w:tcPr>
            <w:tcW w:w="1805" w:type="dxa"/>
            <w:tcBorders>
              <w:top w:val="single" w:sz="4" w:space="0" w:color="auto"/>
            </w:tcBorders>
            <w:noWrap/>
          </w:tcPr>
          <w:p w14:paraId="0553188F" w14:textId="77777777" w:rsidR="00677577" w:rsidRPr="00561D7B" w:rsidRDefault="00677577">
            <w:pPr>
              <w:spacing w:after="0" w:line="240" w:lineRule="auto"/>
              <w:rPr>
                <w:rFonts w:ascii="Arial" w:eastAsia="Times New Roman" w:hAnsi="Arial" w:cs="Arial"/>
                <w:sz w:val="20"/>
                <w:szCs w:val="20"/>
                <w:lang w:eastAsia="en-AU"/>
              </w:rPr>
            </w:pPr>
          </w:p>
        </w:tc>
        <w:tc>
          <w:tcPr>
            <w:tcW w:w="1437" w:type="dxa"/>
            <w:tcBorders>
              <w:top w:val="single" w:sz="4" w:space="0" w:color="auto"/>
            </w:tcBorders>
            <w:noWrap/>
          </w:tcPr>
          <w:p w14:paraId="5FE1D9DF" w14:textId="77777777" w:rsidR="00677577" w:rsidRPr="00561D7B" w:rsidRDefault="00677577">
            <w:pPr>
              <w:spacing w:after="0" w:line="240" w:lineRule="auto"/>
              <w:jc w:val="center"/>
              <w:rPr>
                <w:rFonts w:ascii="Arial" w:eastAsia="Times New Roman" w:hAnsi="Arial" w:cs="Arial"/>
                <w:sz w:val="20"/>
                <w:szCs w:val="20"/>
                <w:lang w:eastAsia="en-AU"/>
              </w:rPr>
            </w:pPr>
          </w:p>
        </w:tc>
        <w:tc>
          <w:tcPr>
            <w:tcW w:w="1642" w:type="dxa"/>
            <w:tcBorders>
              <w:top w:val="single" w:sz="4" w:space="0" w:color="auto"/>
            </w:tcBorders>
            <w:noWrap/>
          </w:tcPr>
          <w:p w14:paraId="76703B7E" w14:textId="77777777" w:rsidR="00677577" w:rsidRPr="00561D7B" w:rsidRDefault="00677577">
            <w:pPr>
              <w:spacing w:after="0" w:line="240" w:lineRule="auto"/>
              <w:jc w:val="center"/>
              <w:rPr>
                <w:rFonts w:ascii="Arial" w:eastAsia="Times New Roman" w:hAnsi="Arial" w:cs="Arial"/>
                <w:sz w:val="20"/>
                <w:szCs w:val="20"/>
                <w:lang w:eastAsia="en-AU"/>
              </w:rPr>
            </w:pPr>
          </w:p>
        </w:tc>
        <w:tc>
          <w:tcPr>
            <w:tcW w:w="1232" w:type="dxa"/>
            <w:tcBorders>
              <w:top w:val="single" w:sz="4" w:space="0" w:color="auto"/>
            </w:tcBorders>
            <w:noWrap/>
          </w:tcPr>
          <w:p w14:paraId="4AA737CD" w14:textId="77777777" w:rsidR="00677577" w:rsidRPr="00561D7B" w:rsidRDefault="00677577">
            <w:pPr>
              <w:spacing w:after="0" w:line="240" w:lineRule="auto"/>
              <w:jc w:val="center"/>
              <w:rPr>
                <w:rFonts w:ascii="Arial" w:eastAsia="Times New Roman" w:hAnsi="Arial" w:cs="Arial"/>
                <w:sz w:val="20"/>
                <w:szCs w:val="20"/>
                <w:lang w:eastAsia="en-AU"/>
              </w:rPr>
            </w:pPr>
          </w:p>
        </w:tc>
        <w:tc>
          <w:tcPr>
            <w:tcW w:w="1373" w:type="dxa"/>
            <w:tcBorders>
              <w:top w:val="single" w:sz="4" w:space="0" w:color="auto"/>
              <w:right w:val="single" w:sz="4" w:space="0" w:color="auto"/>
            </w:tcBorders>
            <w:noWrap/>
          </w:tcPr>
          <w:p w14:paraId="0C148406" w14:textId="77777777" w:rsidR="00677577" w:rsidRPr="00561D7B" w:rsidRDefault="00677577">
            <w:pPr>
              <w:spacing w:after="0" w:line="240" w:lineRule="auto"/>
              <w:jc w:val="center"/>
              <w:rPr>
                <w:rFonts w:ascii="Arial" w:eastAsia="Times New Roman" w:hAnsi="Arial" w:cs="Arial"/>
                <w:sz w:val="20"/>
                <w:szCs w:val="20"/>
                <w:lang w:eastAsia="en-AU"/>
              </w:rPr>
            </w:pPr>
          </w:p>
        </w:tc>
        <w:tc>
          <w:tcPr>
            <w:tcW w:w="1437" w:type="dxa"/>
            <w:tcBorders>
              <w:top w:val="single" w:sz="4" w:space="0" w:color="auto"/>
              <w:left w:val="single" w:sz="4" w:space="0" w:color="auto"/>
            </w:tcBorders>
            <w:noWrap/>
          </w:tcPr>
          <w:p w14:paraId="0A1997C6" w14:textId="77777777" w:rsidR="00677577" w:rsidRPr="00561D7B" w:rsidRDefault="00677577">
            <w:pPr>
              <w:spacing w:after="0" w:line="240" w:lineRule="auto"/>
              <w:jc w:val="center"/>
              <w:rPr>
                <w:rFonts w:ascii="Arial" w:eastAsia="Times New Roman" w:hAnsi="Arial" w:cs="Arial"/>
                <w:sz w:val="20"/>
                <w:szCs w:val="20"/>
                <w:lang w:eastAsia="en-AU"/>
              </w:rPr>
            </w:pPr>
          </w:p>
        </w:tc>
        <w:tc>
          <w:tcPr>
            <w:tcW w:w="1642" w:type="dxa"/>
            <w:tcBorders>
              <w:top w:val="single" w:sz="4" w:space="0" w:color="auto"/>
            </w:tcBorders>
            <w:noWrap/>
          </w:tcPr>
          <w:p w14:paraId="12E0463F" w14:textId="77777777" w:rsidR="00677577" w:rsidRPr="00561D7B" w:rsidRDefault="00677577">
            <w:pPr>
              <w:spacing w:after="0" w:line="240" w:lineRule="auto"/>
              <w:jc w:val="center"/>
              <w:rPr>
                <w:rFonts w:ascii="Arial" w:eastAsia="Times New Roman" w:hAnsi="Arial" w:cs="Arial"/>
                <w:sz w:val="20"/>
                <w:szCs w:val="20"/>
                <w:lang w:eastAsia="en-AU"/>
              </w:rPr>
            </w:pPr>
          </w:p>
        </w:tc>
        <w:tc>
          <w:tcPr>
            <w:tcW w:w="1232" w:type="dxa"/>
            <w:tcBorders>
              <w:top w:val="single" w:sz="4" w:space="0" w:color="auto"/>
            </w:tcBorders>
            <w:noWrap/>
          </w:tcPr>
          <w:p w14:paraId="40F3A505" w14:textId="77777777" w:rsidR="00677577" w:rsidRPr="00561D7B" w:rsidRDefault="00677577">
            <w:pPr>
              <w:spacing w:after="0" w:line="240" w:lineRule="auto"/>
              <w:jc w:val="center"/>
              <w:rPr>
                <w:rFonts w:ascii="Arial" w:eastAsia="Times New Roman" w:hAnsi="Arial" w:cs="Arial"/>
                <w:sz w:val="20"/>
                <w:szCs w:val="20"/>
                <w:lang w:eastAsia="en-AU"/>
              </w:rPr>
            </w:pPr>
          </w:p>
        </w:tc>
        <w:tc>
          <w:tcPr>
            <w:tcW w:w="1309" w:type="dxa"/>
            <w:tcBorders>
              <w:top w:val="single" w:sz="4" w:space="0" w:color="auto"/>
            </w:tcBorders>
            <w:noWrap/>
          </w:tcPr>
          <w:p w14:paraId="5E0E8B41" w14:textId="77777777" w:rsidR="00677577" w:rsidRPr="00561D7B" w:rsidRDefault="00677577">
            <w:pPr>
              <w:spacing w:after="0" w:line="240" w:lineRule="auto"/>
              <w:jc w:val="center"/>
              <w:rPr>
                <w:rFonts w:ascii="Arial" w:eastAsia="Times New Roman" w:hAnsi="Arial" w:cs="Arial"/>
                <w:sz w:val="20"/>
                <w:szCs w:val="20"/>
                <w:lang w:eastAsia="en-AU"/>
              </w:rPr>
            </w:pPr>
          </w:p>
        </w:tc>
      </w:tr>
      <w:tr w:rsidR="00677577" w:rsidRPr="00561D7B" w14:paraId="1E9A962C" w14:textId="77777777">
        <w:trPr>
          <w:trHeight w:val="340"/>
        </w:trPr>
        <w:tc>
          <w:tcPr>
            <w:tcW w:w="1805" w:type="dxa"/>
            <w:noWrap/>
            <w:hideMark/>
          </w:tcPr>
          <w:p w14:paraId="1928C1E8"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Mar-2016</w:t>
            </w:r>
          </w:p>
        </w:tc>
        <w:tc>
          <w:tcPr>
            <w:tcW w:w="1437" w:type="dxa"/>
            <w:noWrap/>
            <w:hideMark/>
          </w:tcPr>
          <w:p w14:paraId="4BA3B294"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116.7</w:t>
            </w:r>
          </w:p>
        </w:tc>
        <w:tc>
          <w:tcPr>
            <w:tcW w:w="1642" w:type="dxa"/>
            <w:noWrap/>
            <w:hideMark/>
          </w:tcPr>
          <w:p w14:paraId="6206B4AD"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114.9</w:t>
            </w:r>
          </w:p>
        </w:tc>
        <w:tc>
          <w:tcPr>
            <w:tcW w:w="1232" w:type="dxa"/>
            <w:noWrap/>
            <w:hideMark/>
          </w:tcPr>
          <w:p w14:paraId="364E33AE"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114.2</w:t>
            </w:r>
          </w:p>
        </w:tc>
        <w:tc>
          <w:tcPr>
            <w:tcW w:w="1373" w:type="dxa"/>
            <w:tcBorders>
              <w:right w:val="single" w:sz="4" w:space="0" w:color="auto"/>
            </w:tcBorders>
            <w:noWrap/>
            <w:hideMark/>
          </w:tcPr>
          <w:p w14:paraId="71216416"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115.6</w:t>
            </w:r>
          </w:p>
        </w:tc>
        <w:tc>
          <w:tcPr>
            <w:tcW w:w="1437" w:type="dxa"/>
            <w:tcBorders>
              <w:left w:val="single" w:sz="4" w:space="0" w:color="auto"/>
            </w:tcBorders>
            <w:noWrap/>
            <w:hideMark/>
          </w:tcPr>
          <w:p w14:paraId="2909A3F1"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106.2</w:t>
            </w:r>
          </w:p>
        </w:tc>
        <w:tc>
          <w:tcPr>
            <w:tcW w:w="1642" w:type="dxa"/>
            <w:noWrap/>
            <w:hideMark/>
          </w:tcPr>
          <w:p w14:paraId="71E32971"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104.6</w:t>
            </w:r>
          </w:p>
        </w:tc>
        <w:tc>
          <w:tcPr>
            <w:tcW w:w="1232" w:type="dxa"/>
            <w:noWrap/>
            <w:hideMark/>
          </w:tcPr>
          <w:p w14:paraId="32B9CC89"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104.0</w:t>
            </w:r>
          </w:p>
        </w:tc>
        <w:tc>
          <w:tcPr>
            <w:tcW w:w="1309" w:type="dxa"/>
            <w:noWrap/>
            <w:hideMark/>
          </w:tcPr>
          <w:p w14:paraId="1CE8809C"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105.2</w:t>
            </w:r>
          </w:p>
        </w:tc>
      </w:tr>
      <w:tr w:rsidR="00677577" w:rsidRPr="00561D7B" w14:paraId="66B77EC1" w14:textId="77777777">
        <w:trPr>
          <w:trHeight w:val="340"/>
        </w:trPr>
        <w:tc>
          <w:tcPr>
            <w:tcW w:w="1805" w:type="dxa"/>
            <w:noWrap/>
            <w:hideMark/>
          </w:tcPr>
          <w:p w14:paraId="2B7FE3FC"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Jun-2016</w:t>
            </w:r>
          </w:p>
        </w:tc>
        <w:tc>
          <w:tcPr>
            <w:tcW w:w="1437" w:type="dxa"/>
            <w:noWrap/>
            <w:hideMark/>
          </w:tcPr>
          <w:p w14:paraId="645A17C1"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117.1</w:t>
            </w:r>
          </w:p>
        </w:tc>
        <w:tc>
          <w:tcPr>
            <w:tcW w:w="1642" w:type="dxa"/>
            <w:noWrap/>
            <w:hideMark/>
          </w:tcPr>
          <w:p w14:paraId="6F4E45D1"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115.3</w:t>
            </w:r>
          </w:p>
        </w:tc>
        <w:tc>
          <w:tcPr>
            <w:tcW w:w="1232" w:type="dxa"/>
            <w:noWrap/>
            <w:hideMark/>
          </w:tcPr>
          <w:p w14:paraId="28D942B0"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114.2</w:t>
            </w:r>
          </w:p>
        </w:tc>
        <w:tc>
          <w:tcPr>
            <w:tcW w:w="1373" w:type="dxa"/>
            <w:tcBorders>
              <w:right w:val="single" w:sz="4" w:space="0" w:color="auto"/>
            </w:tcBorders>
            <w:noWrap/>
            <w:hideMark/>
          </w:tcPr>
          <w:p w14:paraId="31E012CF"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116.0</w:t>
            </w:r>
          </w:p>
        </w:tc>
        <w:tc>
          <w:tcPr>
            <w:tcW w:w="1437" w:type="dxa"/>
            <w:tcBorders>
              <w:left w:val="single" w:sz="4" w:space="0" w:color="auto"/>
            </w:tcBorders>
            <w:noWrap/>
            <w:hideMark/>
          </w:tcPr>
          <w:p w14:paraId="7C3E63DD"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106.4</w:t>
            </w:r>
          </w:p>
        </w:tc>
        <w:tc>
          <w:tcPr>
            <w:tcW w:w="1642" w:type="dxa"/>
            <w:noWrap/>
            <w:hideMark/>
          </w:tcPr>
          <w:p w14:paraId="008A1F3B"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104.8</w:t>
            </w:r>
          </w:p>
        </w:tc>
        <w:tc>
          <w:tcPr>
            <w:tcW w:w="1232" w:type="dxa"/>
            <w:noWrap/>
            <w:hideMark/>
          </w:tcPr>
          <w:p w14:paraId="4DDCDD58"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103.8</w:t>
            </w:r>
          </w:p>
        </w:tc>
        <w:tc>
          <w:tcPr>
            <w:tcW w:w="1309" w:type="dxa"/>
            <w:noWrap/>
            <w:hideMark/>
          </w:tcPr>
          <w:p w14:paraId="2D245AAE"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105.5</w:t>
            </w:r>
          </w:p>
        </w:tc>
      </w:tr>
      <w:tr w:rsidR="00677577" w:rsidRPr="00561D7B" w14:paraId="05320487" w14:textId="77777777">
        <w:trPr>
          <w:trHeight w:val="340"/>
        </w:trPr>
        <w:tc>
          <w:tcPr>
            <w:tcW w:w="1805" w:type="dxa"/>
            <w:noWrap/>
            <w:hideMark/>
          </w:tcPr>
          <w:p w14:paraId="28869F23"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Sep-2016</w:t>
            </w:r>
          </w:p>
        </w:tc>
        <w:tc>
          <w:tcPr>
            <w:tcW w:w="1437" w:type="dxa"/>
            <w:noWrap/>
            <w:hideMark/>
          </w:tcPr>
          <w:p w14:paraId="4F93C034"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118.1</w:t>
            </w:r>
          </w:p>
        </w:tc>
        <w:tc>
          <w:tcPr>
            <w:tcW w:w="1642" w:type="dxa"/>
            <w:noWrap/>
            <w:hideMark/>
          </w:tcPr>
          <w:p w14:paraId="72417775"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115.9</w:t>
            </w:r>
          </w:p>
        </w:tc>
        <w:tc>
          <w:tcPr>
            <w:tcW w:w="1232" w:type="dxa"/>
            <w:noWrap/>
            <w:hideMark/>
          </w:tcPr>
          <w:p w14:paraId="5490CB46"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116.3</w:t>
            </w:r>
          </w:p>
        </w:tc>
        <w:tc>
          <w:tcPr>
            <w:tcW w:w="1373" w:type="dxa"/>
            <w:tcBorders>
              <w:right w:val="single" w:sz="4" w:space="0" w:color="auto"/>
            </w:tcBorders>
            <w:noWrap/>
            <w:hideMark/>
          </w:tcPr>
          <w:p w14:paraId="51D31B5D"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116.9</w:t>
            </w:r>
          </w:p>
        </w:tc>
        <w:tc>
          <w:tcPr>
            <w:tcW w:w="1437" w:type="dxa"/>
            <w:tcBorders>
              <w:left w:val="single" w:sz="4" w:space="0" w:color="auto"/>
            </w:tcBorders>
            <w:noWrap/>
            <w:hideMark/>
          </w:tcPr>
          <w:p w14:paraId="2ACD9DF2"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106.4</w:t>
            </w:r>
          </w:p>
        </w:tc>
        <w:tc>
          <w:tcPr>
            <w:tcW w:w="1642" w:type="dxa"/>
            <w:noWrap/>
            <w:hideMark/>
          </w:tcPr>
          <w:p w14:paraId="2D311A9E"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104.5</w:t>
            </w:r>
          </w:p>
        </w:tc>
        <w:tc>
          <w:tcPr>
            <w:tcW w:w="1232" w:type="dxa"/>
            <w:noWrap/>
            <w:hideMark/>
          </w:tcPr>
          <w:p w14:paraId="4FD6E0BC"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104.8</w:t>
            </w:r>
          </w:p>
        </w:tc>
        <w:tc>
          <w:tcPr>
            <w:tcW w:w="1309" w:type="dxa"/>
            <w:noWrap/>
            <w:hideMark/>
          </w:tcPr>
          <w:p w14:paraId="01787520"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105.3</w:t>
            </w:r>
          </w:p>
        </w:tc>
      </w:tr>
      <w:tr w:rsidR="00677577" w:rsidRPr="00561D7B" w14:paraId="1C266895" w14:textId="77777777">
        <w:trPr>
          <w:trHeight w:val="340"/>
        </w:trPr>
        <w:tc>
          <w:tcPr>
            <w:tcW w:w="1805" w:type="dxa"/>
            <w:noWrap/>
            <w:hideMark/>
          </w:tcPr>
          <w:p w14:paraId="6AE44F7C"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Dec-2016</w:t>
            </w:r>
          </w:p>
        </w:tc>
        <w:tc>
          <w:tcPr>
            <w:tcW w:w="1437" w:type="dxa"/>
            <w:noWrap/>
            <w:hideMark/>
          </w:tcPr>
          <w:p w14:paraId="53CA4655"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118.8</w:t>
            </w:r>
          </w:p>
        </w:tc>
        <w:tc>
          <w:tcPr>
            <w:tcW w:w="1642" w:type="dxa"/>
            <w:noWrap/>
            <w:hideMark/>
          </w:tcPr>
          <w:p w14:paraId="11F91641"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116.3</w:t>
            </w:r>
          </w:p>
        </w:tc>
        <w:tc>
          <w:tcPr>
            <w:tcW w:w="1232" w:type="dxa"/>
            <w:noWrap/>
            <w:hideMark/>
          </w:tcPr>
          <w:p w14:paraId="1BD77A42"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116.5</w:t>
            </w:r>
          </w:p>
        </w:tc>
        <w:tc>
          <w:tcPr>
            <w:tcW w:w="1373" w:type="dxa"/>
            <w:tcBorders>
              <w:right w:val="single" w:sz="4" w:space="0" w:color="auto"/>
            </w:tcBorders>
            <w:noWrap/>
            <w:hideMark/>
          </w:tcPr>
          <w:p w14:paraId="3479E3C2"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117.4</w:t>
            </w:r>
          </w:p>
        </w:tc>
        <w:tc>
          <w:tcPr>
            <w:tcW w:w="1437" w:type="dxa"/>
            <w:tcBorders>
              <w:left w:val="single" w:sz="4" w:space="0" w:color="auto"/>
            </w:tcBorders>
            <w:noWrap/>
            <w:hideMark/>
          </w:tcPr>
          <w:p w14:paraId="432362A4"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106.4</w:t>
            </w:r>
          </w:p>
        </w:tc>
        <w:tc>
          <w:tcPr>
            <w:tcW w:w="1642" w:type="dxa"/>
            <w:noWrap/>
            <w:hideMark/>
          </w:tcPr>
          <w:p w14:paraId="3F8C0D43"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104.3</w:t>
            </w:r>
          </w:p>
        </w:tc>
        <w:tc>
          <w:tcPr>
            <w:tcW w:w="1232" w:type="dxa"/>
            <w:noWrap/>
            <w:hideMark/>
          </w:tcPr>
          <w:p w14:paraId="7AE59B74"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104.4</w:t>
            </w:r>
          </w:p>
        </w:tc>
        <w:tc>
          <w:tcPr>
            <w:tcW w:w="1309" w:type="dxa"/>
            <w:noWrap/>
            <w:hideMark/>
          </w:tcPr>
          <w:p w14:paraId="5589A25B"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105.2</w:t>
            </w:r>
          </w:p>
        </w:tc>
      </w:tr>
      <w:tr w:rsidR="00677577" w:rsidRPr="00561D7B" w14:paraId="72C22E7E" w14:textId="77777777">
        <w:trPr>
          <w:trHeight w:val="340"/>
        </w:trPr>
        <w:tc>
          <w:tcPr>
            <w:tcW w:w="1805" w:type="dxa"/>
            <w:noWrap/>
            <w:hideMark/>
          </w:tcPr>
          <w:p w14:paraId="0886E8B6"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Mar-2017</w:t>
            </w:r>
          </w:p>
        </w:tc>
        <w:tc>
          <w:tcPr>
            <w:tcW w:w="1437" w:type="dxa"/>
            <w:noWrap/>
            <w:hideMark/>
          </w:tcPr>
          <w:p w14:paraId="3A9A33A8"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119.3</w:t>
            </w:r>
          </w:p>
        </w:tc>
        <w:tc>
          <w:tcPr>
            <w:tcW w:w="1642" w:type="dxa"/>
            <w:noWrap/>
            <w:hideMark/>
          </w:tcPr>
          <w:p w14:paraId="48BC8DF2"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116.7</w:t>
            </w:r>
          </w:p>
        </w:tc>
        <w:tc>
          <w:tcPr>
            <w:tcW w:w="1232" w:type="dxa"/>
            <w:noWrap/>
            <w:hideMark/>
          </w:tcPr>
          <w:p w14:paraId="049E558F"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116.8</w:t>
            </w:r>
          </w:p>
        </w:tc>
        <w:tc>
          <w:tcPr>
            <w:tcW w:w="1373" w:type="dxa"/>
            <w:tcBorders>
              <w:right w:val="single" w:sz="4" w:space="0" w:color="auto"/>
            </w:tcBorders>
            <w:noWrap/>
            <w:hideMark/>
          </w:tcPr>
          <w:p w14:paraId="4944FDDB"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117.8</w:t>
            </w:r>
          </w:p>
        </w:tc>
        <w:tc>
          <w:tcPr>
            <w:tcW w:w="1437" w:type="dxa"/>
            <w:tcBorders>
              <w:left w:val="single" w:sz="4" w:space="0" w:color="auto"/>
            </w:tcBorders>
            <w:noWrap/>
            <w:hideMark/>
          </w:tcPr>
          <w:p w14:paraId="76CB8928"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106.3</w:t>
            </w:r>
          </w:p>
        </w:tc>
        <w:tc>
          <w:tcPr>
            <w:tcW w:w="1642" w:type="dxa"/>
            <w:noWrap/>
            <w:hideMark/>
          </w:tcPr>
          <w:p w14:paraId="7959B21F"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103.9</w:t>
            </w:r>
          </w:p>
        </w:tc>
        <w:tc>
          <w:tcPr>
            <w:tcW w:w="1232" w:type="dxa"/>
            <w:noWrap/>
            <w:hideMark/>
          </w:tcPr>
          <w:p w14:paraId="0113535D"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104.0</w:t>
            </w:r>
          </w:p>
        </w:tc>
        <w:tc>
          <w:tcPr>
            <w:tcW w:w="1309" w:type="dxa"/>
            <w:noWrap/>
            <w:hideMark/>
          </w:tcPr>
          <w:p w14:paraId="5D71D340"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104.9</w:t>
            </w:r>
          </w:p>
        </w:tc>
      </w:tr>
      <w:tr w:rsidR="00677577" w:rsidRPr="00561D7B" w14:paraId="47FE76C0" w14:textId="77777777">
        <w:trPr>
          <w:trHeight w:val="340"/>
        </w:trPr>
        <w:tc>
          <w:tcPr>
            <w:tcW w:w="1805" w:type="dxa"/>
            <w:noWrap/>
            <w:hideMark/>
          </w:tcPr>
          <w:p w14:paraId="1E7E80D3"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Jun-2017</w:t>
            </w:r>
          </w:p>
        </w:tc>
        <w:tc>
          <w:tcPr>
            <w:tcW w:w="1437" w:type="dxa"/>
            <w:noWrap/>
            <w:hideMark/>
          </w:tcPr>
          <w:p w14:paraId="7620EB9A"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119.7</w:t>
            </w:r>
          </w:p>
        </w:tc>
        <w:tc>
          <w:tcPr>
            <w:tcW w:w="1642" w:type="dxa"/>
            <w:noWrap/>
            <w:hideMark/>
          </w:tcPr>
          <w:p w14:paraId="67FB61B0"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117.1</w:t>
            </w:r>
          </w:p>
        </w:tc>
        <w:tc>
          <w:tcPr>
            <w:tcW w:w="1232" w:type="dxa"/>
            <w:noWrap/>
            <w:hideMark/>
          </w:tcPr>
          <w:p w14:paraId="31DF88C3"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116.9</w:t>
            </w:r>
          </w:p>
        </w:tc>
        <w:tc>
          <w:tcPr>
            <w:tcW w:w="1373" w:type="dxa"/>
            <w:tcBorders>
              <w:right w:val="single" w:sz="4" w:space="0" w:color="auto"/>
            </w:tcBorders>
            <w:noWrap/>
            <w:hideMark/>
          </w:tcPr>
          <w:p w14:paraId="678E62ED"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118.3</w:t>
            </w:r>
          </w:p>
        </w:tc>
        <w:tc>
          <w:tcPr>
            <w:tcW w:w="1437" w:type="dxa"/>
            <w:tcBorders>
              <w:left w:val="single" w:sz="4" w:space="0" w:color="auto"/>
            </w:tcBorders>
            <w:noWrap/>
            <w:hideMark/>
          </w:tcPr>
          <w:p w14:paraId="5C75FFE1"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106.6</w:t>
            </w:r>
          </w:p>
        </w:tc>
        <w:tc>
          <w:tcPr>
            <w:tcW w:w="1642" w:type="dxa"/>
            <w:noWrap/>
            <w:hideMark/>
          </w:tcPr>
          <w:p w14:paraId="35E63627"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104.3</w:t>
            </w:r>
          </w:p>
        </w:tc>
        <w:tc>
          <w:tcPr>
            <w:tcW w:w="1232" w:type="dxa"/>
            <w:noWrap/>
            <w:hideMark/>
          </w:tcPr>
          <w:p w14:paraId="5BB840B8"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104.1</w:t>
            </w:r>
          </w:p>
        </w:tc>
        <w:tc>
          <w:tcPr>
            <w:tcW w:w="1309" w:type="dxa"/>
            <w:noWrap/>
            <w:hideMark/>
          </w:tcPr>
          <w:p w14:paraId="4697C8C8"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105.3</w:t>
            </w:r>
          </w:p>
        </w:tc>
      </w:tr>
      <w:tr w:rsidR="00677577" w:rsidRPr="00561D7B" w14:paraId="4EAAB39E" w14:textId="77777777">
        <w:trPr>
          <w:trHeight w:val="340"/>
        </w:trPr>
        <w:tc>
          <w:tcPr>
            <w:tcW w:w="1805" w:type="dxa"/>
            <w:noWrap/>
            <w:hideMark/>
          </w:tcPr>
          <w:p w14:paraId="081E7247"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Sep-2017</w:t>
            </w:r>
          </w:p>
        </w:tc>
        <w:tc>
          <w:tcPr>
            <w:tcW w:w="1437" w:type="dxa"/>
            <w:noWrap/>
            <w:hideMark/>
          </w:tcPr>
          <w:p w14:paraId="1312CF0F"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120.7</w:t>
            </w:r>
          </w:p>
        </w:tc>
        <w:tc>
          <w:tcPr>
            <w:tcW w:w="1642" w:type="dxa"/>
            <w:noWrap/>
            <w:hideMark/>
          </w:tcPr>
          <w:p w14:paraId="539E2DF1"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117.9</w:t>
            </w:r>
          </w:p>
        </w:tc>
        <w:tc>
          <w:tcPr>
            <w:tcW w:w="1232" w:type="dxa"/>
            <w:noWrap/>
            <w:hideMark/>
          </w:tcPr>
          <w:p w14:paraId="765558EE"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119.4</w:t>
            </w:r>
          </w:p>
        </w:tc>
        <w:tc>
          <w:tcPr>
            <w:tcW w:w="1373" w:type="dxa"/>
            <w:tcBorders>
              <w:right w:val="single" w:sz="4" w:space="0" w:color="auto"/>
            </w:tcBorders>
            <w:noWrap/>
            <w:hideMark/>
          </w:tcPr>
          <w:p w14:paraId="43418F42"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119.2</w:t>
            </w:r>
          </w:p>
        </w:tc>
        <w:tc>
          <w:tcPr>
            <w:tcW w:w="1437" w:type="dxa"/>
            <w:tcBorders>
              <w:left w:val="single" w:sz="4" w:space="0" w:color="auto"/>
            </w:tcBorders>
            <w:noWrap/>
            <w:hideMark/>
          </w:tcPr>
          <w:p w14:paraId="4521A6ED"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106.5</w:t>
            </w:r>
          </w:p>
        </w:tc>
        <w:tc>
          <w:tcPr>
            <w:tcW w:w="1642" w:type="dxa"/>
            <w:noWrap/>
            <w:hideMark/>
          </w:tcPr>
          <w:p w14:paraId="370DA4AB"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104.0</w:t>
            </w:r>
          </w:p>
        </w:tc>
        <w:tc>
          <w:tcPr>
            <w:tcW w:w="1232" w:type="dxa"/>
            <w:noWrap/>
            <w:hideMark/>
          </w:tcPr>
          <w:p w14:paraId="21731468"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105.3</w:t>
            </w:r>
          </w:p>
        </w:tc>
        <w:tc>
          <w:tcPr>
            <w:tcW w:w="1309" w:type="dxa"/>
            <w:noWrap/>
            <w:hideMark/>
          </w:tcPr>
          <w:p w14:paraId="56E29CEA"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105.2</w:t>
            </w:r>
          </w:p>
        </w:tc>
      </w:tr>
      <w:tr w:rsidR="00677577" w:rsidRPr="00561D7B" w14:paraId="0AA8A734" w14:textId="77777777">
        <w:trPr>
          <w:trHeight w:val="340"/>
        </w:trPr>
        <w:tc>
          <w:tcPr>
            <w:tcW w:w="1805" w:type="dxa"/>
            <w:noWrap/>
            <w:hideMark/>
          </w:tcPr>
          <w:p w14:paraId="05B9A2D9"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Dec-2017</w:t>
            </w:r>
          </w:p>
        </w:tc>
        <w:tc>
          <w:tcPr>
            <w:tcW w:w="1437" w:type="dxa"/>
            <w:noWrap/>
            <w:hideMark/>
          </w:tcPr>
          <w:p w14:paraId="3DA90845"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121.4</w:t>
            </w:r>
          </w:p>
        </w:tc>
        <w:tc>
          <w:tcPr>
            <w:tcW w:w="1642" w:type="dxa"/>
            <w:noWrap/>
            <w:hideMark/>
          </w:tcPr>
          <w:p w14:paraId="18AF03B4"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118.3</w:t>
            </w:r>
          </w:p>
        </w:tc>
        <w:tc>
          <w:tcPr>
            <w:tcW w:w="1232" w:type="dxa"/>
            <w:noWrap/>
            <w:hideMark/>
          </w:tcPr>
          <w:p w14:paraId="0D2DD28E"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119.7</w:t>
            </w:r>
          </w:p>
        </w:tc>
        <w:tc>
          <w:tcPr>
            <w:tcW w:w="1373" w:type="dxa"/>
            <w:tcBorders>
              <w:right w:val="single" w:sz="4" w:space="0" w:color="auto"/>
            </w:tcBorders>
            <w:noWrap/>
            <w:hideMark/>
          </w:tcPr>
          <w:p w14:paraId="31F353F9"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119.8</w:t>
            </w:r>
          </w:p>
        </w:tc>
        <w:tc>
          <w:tcPr>
            <w:tcW w:w="1437" w:type="dxa"/>
            <w:tcBorders>
              <w:left w:val="single" w:sz="4" w:space="0" w:color="auto"/>
            </w:tcBorders>
            <w:noWrap/>
            <w:hideMark/>
          </w:tcPr>
          <w:p w14:paraId="5EE94EBF"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106.5</w:t>
            </w:r>
          </w:p>
        </w:tc>
        <w:tc>
          <w:tcPr>
            <w:tcW w:w="1642" w:type="dxa"/>
            <w:noWrap/>
            <w:hideMark/>
          </w:tcPr>
          <w:p w14:paraId="377EE6AE"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103.7</w:t>
            </w:r>
          </w:p>
        </w:tc>
        <w:tc>
          <w:tcPr>
            <w:tcW w:w="1232" w:type="dxa"/>
            <w:noWrap/>
            <w:hideMark/>
          </w:tcPr>
          <w:p w14:paraId="1A646D44"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104.9</w:t>
            </w:r>
          </w:p>
        </w:tc>
        <w:tc>
          <w:tcPr>
            <w:tcW w:w="1309" w:type="dxa"/>
            <w:noWrap/>
            <w:hideMark/>
          </w:tcPr>
          <w:p w14:paraId="19C08B31"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105.0</w:t>
            </w:r>
          </w:p>
        </w:tc>
      </w:tr>
      <w:tr w:rsidR="00677577" w:rsidRPr="00561D7B" w14:paraId="0AF70DD0" w14:textId="77777777">
        <w:trPr>
          <w:trHeight w:val="340"/>
        </w:trPr>
        <w:tc>
          <w:tcPr>
            <w:tcW w:w="1805" w:type="dxa"/>
            <w:noWrap/>
            <w:hideMark/>
          </w:tcPr>
          <w:p w14:paraId="0323258D"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Mar-2018</w:t>
            </w:r>
          </w:p>
        </w:tc>
        <w:tc>
          <w:tcPr>
            <w:tcW w:w="1437" w:type="dxa"/>
            <w:noWrap/>
            <w:hideMark/>
          </w:tcPr>
          <w:p w14:paraId="7664336A"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122.0</w:t>
            </w:r>
          </w:p>
        </w:tc>
        <w:tc>
          <w:tcPr>
            <w:tcW w:w="1642" w:type="dxa"/>
            <w:noWrap/>
            <w:hideMark/>
          </w:tcPr>
          <w:p w14:paraId="7D155541"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118.7</w:t>
            </w:r>
          </w:p>
        </w:tc>
        <w:tc>
          <w:tcPr>
            <w:tcW w:w="1232" w:type="dxa"/>
            <w:noWrap/>
            <w:hideMark/>
          </w:tcPr>
          <w:p w14:paraId="3674972C"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120.1</w:t>
            </w:r>
          </w:p>
        </w:tc>
        <w:tc>
          <w:tcPr>
            <w:tcW w:w="1373" w:type="dxa"/>
            <w:tcBorders>
              <w:right w:val="single" w:sz="4" w:space="0" w:color="auto"/>
            </w:tcBorders>
            <w:noWrap/>
            <w:hideMark/>
          </w:tcPr>
          <w:p w14:paraId="31D856DD"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120.3</w:t>
            </w:r>
          </w:p>
        </w:tc>
        <w:tc>
          <w:tcPr>
            <w:tcW w:w="1437" w:type="dxa"/>
            <w:tcBorders>
              <w:left w:val="single" w:sz="4" w:space="0" w:color="auto"/>
            </w:tcBorders>
            <w:noWrap/>
            <w:hideMark/>
          </w:tcPr>
          <w:p w14:paraId="53893AFE"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106.1</w:t>
            </w:r>
          </w:p>
        </w:tc>
        <w:tc>
          <w:tcPr>
            <w:tcW w:w="1642" w:type="dxa"/>
            <w:noWrap/>
            <w:hideMark/>
          </w:tcPr>
          <w:p w14:paraId="52A912E4"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103.2</w:t>
            </w:r>
          </w:p>
        </w:tc>
        <w:tc>
          <w:tcPr>
            <w:tcW w:w="1232" w:type="dxa"/>
            <w:noWrap/>
            <w:hideMark/>
          </w:tcPr>
          <w:p w14:paraId="3B468EE4"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104.4</w:t>
            </w:r>
          </w:p>
        </w:tc>
        <w:tc>
          <w:tcPr>
            <w:tcW w:w="1309" w:type="dxa"/>
            <w:noWrap/>
            <w:hideMark/>
          </w:tcPr>
          <w:p w14:paraId="1CE4A768"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104.6</w:t>
            </w:r>
          </w:p>
        </w:tc>
      </w:tr>
      <w:tr w:rsidR="00677577" w:rsidRPr="00561D7B" w14:paraId="325DAF01" w14:textId="77777777">
        <w:trPr>
          <w:trHeight w:val="340"/>
        </w:trPr>
        <w:tc>
          <w:tcPr>
            <w:tcW w:w="1805" w:type="dxa"/>
            <w:noWrap/>
            <w:hideMark/>
          </w:tcPr>
          <w:p w14:paraId="42D98D8C"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Jun-2018</w:t>
            </w:r>
          </w:p>
        </w:tc>
        <w:tc>
          <w:tcPr>
            <w:tcW w:w="1437" w:type="dxa"/>
            <w:noWrap/>
            <w:hideMark/>
          </w:tcPr>
          <w:p w14:paraId="2F181B69"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122.5</w:t>
            </w:r>
          </w:p>
        </w:tc>
        <w:tc>
          <w:tcPr>
            <w:tcW w:w="1642" w:type="dxa"/>
            <w:noWrap/>
            <w:hideMark/>
          </w:tcPr>
          <w:p w14:paraId="4AE06608"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119.4</w:t>
            </w:r>
          </w:p>
        </w:tc>
        <w:tc>
          <w:tcPr>
            <w:tcW w:w="1232" w:type="dxa"/>
            <w:noWrap/>
            <w:hideMark/>
          </w:tcPr>
          <w:p w14:paraId="1DB72769"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120.2</w:t>
            </w:r>
          </w:p>
        </w:tc>
        <w:tc>
          <w:tcPr>
            <w:tcW w:w="1373" w:type="dxa"/>
            <w:tcBorders>
              <w:right w:val="single" w:sz="4" w:space="0" w:color="auto"/>
            </w:tcBorders>
            <w:noWrap/>
            <w:hideMark/>
          </w:tcPr>
          <w:p w14:paraId="166FAD35"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120.7</w:t>
            </w:r>
          </w:p>
        </w:tc>
        <w:tc>
          <w:tcPr>
            <w:tcW w:w="1437" w:type="dxa"/>
            <w:tcBorders>
              <w:left w:val="single" w:sz="4" w:space="0" w:color="auto"/>
            </w:tcBorders>
            <w:noWrap/>
            <w:hideMark/>
          </w:tcPr>
          <w:p w14:paraId="5554775C"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106.2</w:t>
            </w:r>
          </w:p>
        </w:tc>
        <w:tc>
          <w:tcPr>
            <w:tcW w:w="1642" w:type="dxa"/>
            <w:noWrap/>
            <w:hideMark/>
          </w:tcPr>
          <w:p w14:paraId="2473EB9A"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103.5</w:t>
            </w:r>
          </w:p>
        </w:tc>
        <w:tc>
          <w:tcPr>
            <w:tcW w:w="1232" w:type="dxa"/>
            <w:noWrap/>
            <w:hideMark/>
          </w:tcPr>
          <w:p w14:paraId="0E222AFF"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104.1</w:t>
            </w:r>
          </w:p>
        </w:tc>
        <w:tc>
          <w:tcPr>
            <w:tcW w:w="1309" w:type="dxa"/>
            <w:noWrap/>
            <w:hideMark/>
          </w:tcPr>
          <w:p w14:paraId="4FD82704"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104.6</w:t>
            </w:r>
          </w:p>
        </w:tc>
      </w:tr>
      <w:tr w:rsidR="00677577" w:rsidRPr="00561D7B" w14:paraId="218CF10C" w14:textId="77777777">
        <w:trPr>
          <w:trHeight w:val="340"/>
        </w:trPr>
        <w:tc>
          <w:tcPr>
            <w:tcW w:w="1805" w:type="dxa"/>
            <w:noWrap/>
            <w:hideMark/>
          </w:tcPr>
          <w:p w14:paraId="4F0F7814"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Sep-2018</w:t>
            </w:r>
          </w:p>
        </w:tc>
        <w:tc>
          <w:tcPr>
            <w:tcW w:w="1437" w:type="dxa"/>
            <w:noWrap/>
            <w:hideMark/>
          </w:tcPr>
          <w:p w14:paraId="1F7E7261"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123.6</w:t>
            </w:r>
          </w:p>
        </w:tc>
        <w:tc>
          <w:tcPr>
            <w:tcW w:w="1642" w:type="dxa"/>
            <w:noWrap/>
            <w:hideMark/>
          </w:tcPr>
          <w:p w14:paraId="50F6C848"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120.2</w:t>
            </w:r>
          </w:p>
        </w:tc>
        <w:tc>
          <w:tcPr>
            <w:tcW w:w="1232" w:type="dxa"/>
            <w:noWrap/>
            <w:hideMark/>
          </w:tcPr>
          <w:p w14:paraId="266E5237"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123.2</w:t>
            </w:r>
          </w:p>
        </w:tc>
        <w:tc>
          <w:tcPr>
            <w:tcW w:w="1373" w:type="dxa"/>
            <w:tcBorders>
              <w:right w:val="single" w:sz="4" w:space="0" w:color="auto"/>
            </w:tcBorders>
            <w:noWrap/>
            <w:hideMark/>
          </w:tcPr>
          <w:p w14:paraId="7154DC92"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122.0</w:t>
            </w:r>
          </w:p>
        </w:tc>
        <w:tc>
          <w:tcPr>
            <w:tcW w:w="1437" w:type="dxa"/>
            <w:tcBorders>
              <w:left w:val="single" w:sz="4" w:space="0" w:color="auto"/>
            </w:tcBorders>
            <w:noWrap/>
            <w:hideMark/>
          </w:tcPr>
          <w:p w14:paraId="5F9ED003"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106.4</w:t>
            </w:r>
          </w:p>
        </w:tc>
        <w:tc>
          <w:tcPr>
            <w:tcW w:w="1642" w:type="dxa"/>
            <w:noWrap/>
            <w:hideMark/>
          </w:tcPr>
          <w:p w14:paraId="6A9EF068"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103.5</w:t>
            </w:r>
          </w:p>
        </w:tc>
        <w:tc>
          <w:tcPr>
            <w:tcW w:w="1232" w:type="dxa"/>
            <w:noWrap/>
            <w:hideMark/>
          </w:tcPr>
          <w:p w14:paraId="6E79C681"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106.0</w:t>
            </w:r>
          </w:p>
        </w:tc>
        <w:tc>
          <w:tcPr>
            <w:tcW w:w="1309" w:type="dxa"/>
            <w:noWrap/>
            <w:hideMark/>
          </w:tcPr>
          <w:p w14:paraId="50C14550"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105.0</w:t>
            </w:r>
          </w:p>
        </w:tc>
      </w:tr>
      <w:tr w:rsidR="00677577" w:rsidRPr="00561D7B" w14:paraId="602F1855" w14:textId="77777777">
        <w:trPr>
          <w:trHeight w:val="340"/>
        </w:trPr>
        <w:tc>
          <w:tcPr>
            <w:tcW w:w="1805" w:type="dxa"/>
            <w:noWrap/>
            <w:hideMark/>
          </w:tcPr>
          <w:p w14:paraId="37080AD0"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Dec-2018</w:t>
            </w:r>
          </w:p>
        </w:tc>
        <w:tc>
          <w:tcPr>
            <w:tcW w:w="1437" w:type="dxa"/>
            <w:noWrap/>
            <w:hideMark/>
          </w:tcPr>
          <w:p w14:paraId="4A93A2E8"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124.4</w:t>
            </w:r>
          </w:p>
        </w:tc>
        <w:tc>
          <w:tcPr>
            <w:tcW w:w="1642" w:type="dxa"/>
            <w:noWrap/>
            <w:hideMark/>
          </w:tcPr>
          <w:p w14:paraId="1CDD73DA"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120.8</w:t>
            </w:r>
          </w:p>
        </w:tc>
        <w:tc>
          <w:tcPr>
            <w:tcW w:w="1232" w:type="dxa"/>
            <w:noWrap/>
            <w:hideMark/>
          </w:tcPr>
          <w:p w14:paraId="76B2364D"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123.5</w:t>
            </w:r>
          </w:p>
        </w:tc>
        <w:tc>
          <w:tcPr>
            <w:tcW w:w="1373" w:type="dxa"/>
            <w:tcBorders>
              <w:right w:val="single" w:sz="4" w:space="0" w:color="auto"/>
            </w:tcBorders>
            <w:noWrap/>
            <w:hideMark/>
          </w:tcPr>
          <w:p w14:paraId="2DDA2C73"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122.5</w:t>
            </w:r>
          </w:p>
        </w:tc>
        <w:tc>
          <w:tcPr>
            <w:tcW w:w="1437" w:type="dxa"/>
            <w:tcBorders>
              <w:left w:val="single" w:sz="4" w:space="0" w:color="auto"/>
            </w:tcBorders>
            <w:noWrap/>
            <w:hideMark/>
          </w:tcPr>
          <w:p w14:paraId="25E7F0A6"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106.4</w:t>
            </w:r>
          </w:p>
        </w:tc>
        <w:tc>
          <w:tcPr>
            <w:tcW w:w="1642" w:type="dxa"/>
            <w:noWrap/>
            <w:hideMark/>
          </w:tcPr>
          <w:p w14:paraId="4E07E4F9"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103.3</w:t>
            </w:r>
          </w:p>
        </w:tc>
        <w:tc>
          <w:tcPr>
            <w:tcW w:w="1232" w:type="dxa"/>
            <w:noWrap/>
            <w:hideMark/>
          </w:tcPr>
          <w:p w14:paraId="1FE8080A"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105.6</w:t>
            </w:r>
          </w:p>
        </w:tc>
        <w:tc>
          <w:tcPr>
            <w:tcW w:w="1309" w:type="dxa"/>
            <w:noWrap/>
            <w:hideMark/>
          </w:tcPr>
          <w:p w14:paraId="23892A79"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104.7</w:t>
            </w:r>
          </w:p>
        </w:tc>
      </w:tr>
      <w:tr w:rsidR="00677577" w:rsidRPr="00561D7B" w14:paraId="2D106F61" w14:textId="77777777">
        <w:trPr>
          <w:trHeight w:val="340"/>
        </w:trPr>
        <w:tc>
          <w:tcPr>
            <w:tcW w:w="1805" w:type="dxa"/>
            <w:noWrap/>
            <w:hideMark/>
          </w:tcPr>
          <w:p w14:paraId="09C54D73"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Mar-2019</w:t>
            </w:r>
          </w:p>
        </w:tc>
        <w:tc>
          <w:tcPr>
            <w:tcW w:w="1437" w:type="dxa"/>
            <w:noWrap/>
            <w:hideMark/>
          </w:tcPr>
          <w:p w14:paraId="7138DCB6"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125.0</w:t>
            </w:r>
          </w:p>
        </w:tc>
        <w:tc>
          <w:tcPr>
            <w:tcW w:w="1642" w:type="dxa"/>
            <w:noWrap/>
            <w:hideMark/>
          </w:tcPr>
          <w:p w14:paraId="2D782B34"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121.2</w:t>
            </w:r>
          </w:p>
        </w:tc>
        <w:tc>
          <w:tcPr>
            <w:tcW w:w="1232" w:type="dxa"/>
            <w:noWrap/>
            <w:hideMark/>
          </w:tcPr>
          <w:p w14:paraId="761E31BE"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123.8</w:t>
            </w:r>
          </w:p>
        </w:tc>
        <w:tc>
          <w:tcPr>
            <w:tcW w:w="1373" w:type="dxa"/>
            <w:tcBorders>
              <w:right w:val="single" w:sz="4" w:space="0" w:color="auto"/>
            </w:tcBorders>
            <w:noWrap/>
            <w:hideMark/>
          </w:tcPr>
          <w:p w14:paraId="7F674DA4"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123.1</w:t>
            </w:r>
          </w:p>
        </w:tc>
        <w:tc>
          <w:tcPr>
            <w:tcW w:w="1437" w:type="dxa"/>
            <w:tcBorders>
              <w:left w:val="single" w:sz="4" w:space="0" w:color="auto"/>
            </w:tcBorders>
            <w:noWrap/>
            <w:hideMark/>
          </w:tcPr>
          <w:p w14:paraId="391A8417"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106.8</w:t>
            </w:r>
          </w:p>
        </w:tc>
        <w:tc>
          <w:tcPr>
            <w:tcW w:w="1642" w:type="dxa"/>
            <w:noWrap/>
            <w:hideMark/>
          </w:tcPr>
          <w:p w14:paraId="494A3568"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103.5</w:t>
            </w:r>
          </w:p>
        </w:tc>
        <w:tc>
          <w:tcPr>
            <w:tcW w:w="1232" w:type="dxa"/>
            <w:noWrap/>
            <w:hideMark/>
          </w:tcPr>
          <w:p w14:paraId="3EEFA276"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105.7</w:t>
            </w:r>
          </w:p>
        </w:tc>
        <w:tc>
          <w:tcPr>
            <w:tcW w:w="1309" w:type="dxa"/>
            <w:noWrap/>
            <w:hideMark/>
          </w:tcPr>
          <w:p w14:paraId="0A384DE1"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105.1</w:t>
            </w:r>
          </w:p>
        </w:tc>
      </w:tr>
      <w:tr w:rsidR="00677577" w:rsidRPr="00561D7B" w14:paraId="784DD233" w14:textId="77777777">
        <w:trPr>
          <w:trHeight w:val="340"/>
        </w:trPr>
        <w:tc>
          <w:tcPr>
            <w:tcW w:w="1805" w:type="dxa"/>
            <w:noWrap/>
            <w:hideMark/>
          </w:tcPr>
          <w:p w14:paraId="6A8DB061"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Jun-2019</w:t>
            </w:r>
          </w:p>
        </w:tc>
        <w:tc>
          <w:tcPr>
            <w:tcW w:w="1437" w:type="dxa"/>
            <w:noWrap/>
            <w:hideMark/>
          </w:tcPr>
          <w:p w14:paraId="58B478C4"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125.7</w:t>
            </w:r>
          </w:p>
        </w:tc>
        <w:tc>
          <w:tcPr>
            <w:tcW w:w="1642" w:type="dxa"/>
            <w:noWrap/>
            <w:hideMark/>
          </w:tcPr>
          <w:p w14:paraId="1E89D6E4"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121.7</w:t>
            </w:r>
          </w:p>
        </w:tc>
        <w:tc>
          <w:tcPr>
            <w:tcW w:w="1232" w:type="dxa"/>
            <w:noWrap/>
            <w:hideMark/>
          </w:tcPr>
          <w:p w14:paraId="29059A95"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123.9</w:t>
            </w:r>
          </w:p>
        </w:tc>
        <w:tc>
          <w:tcPr>
            <w:tcW w:w="1373" w:type="dxa"/>
            <w:tcBorders>
              <w:right w:val="single" w:sz="4" w:space="0" w:color="auto"/>
            </w:tcBorders>
            <w:noWrap/>
            <w:hideMark/>
          </w:tcPr>
          <w:p w14:paraId="570810FB"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123.6</w:t>
            </w:r>
          </w:p>
        </w:tc>
        <w:tc>
          <w:tcPr>
            <w:tcW w:w="1437" w:type="dxa"/>
            <w:tcBorders>
              <w:left w:val="single" w:sz="4" w:space="0" w:color="auto"/>
            </w:tcBorders>
            <w:noWrap/>
            <w:hideMark/>
          </w:tcPr>
          <w:p w14:paraId="6B8058A1"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107.1</w:t>
            </w:r>
          </w:p>
        </w:tc>
        <w:tc>
          <w:tcPr>
            <w:tcW w:w="1642" w:type="dxa"/>
            <w:noWrap/>
            <w:hideMark/>
          </w:tcPr>
          <w:p w14:paraId="35D50476"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103.7</w:t>
            </w:r>
          </w:p>
        </w:tc>
        <w:tc>
          <w:tcPr>
            <w:tcW w:w="1232" w:type="dxa"/>
            <w:noWrap/>
            <w:hideMark/>
          </w:tcPr>
          <w:p w14:paraId="4818F2F7"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105.5</w:t>
            </w:r>
          </w:p>
        </w:tc>
        <w:tc>
          <w:tcPr>
            <w:tcW w:w="1309" w:type="dxa"/>
            <w:noWrap/>
            <w:hideMark/>
          </w:tcPr>
          <w:p w14:paraId="002DCE3E"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105.3</w:t>
            </w:r>
          </w:p>
        </w:tc>
      </w:tr>
      <w:tr w:rsidR="00677577" w:rsidRPr="00561D7B" w14:paraId="560D82C7" w14:textId="77777777">
        <w:trPr>
          <w:trHeight w:val="340"/>
        </w:trPr>
        <w:tc>
          <w:tcPr>
            <w:tcW w:w="1805" w:type="dxa"/>
            <w:noWrap/>
            <w:hideMark/>
          </w:tcPr>
          <w:p w14:paraId="5C85D8C7"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Sep-2019</w:t>
            </w:r>
          </w:p>
        </w:tc>
        <w:tc>
          <w:tcPr>
            <w:tcW w:w="1437" w:type="dxa"/>
            <w:noWrap/>
            <w:hideMark/>
          </w:tcPr>
          <w:p w14:paraId="15DA21E3"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126.7</w:t>
            </w:r>
          </w:p>
        </w:tc>
        <w:tc>
          <w:tcPr>
            <w:tcW w:w="1642" w:type="dxa"/>
            <w:noWrap/>
            <w:hideMark/>
          </w:tcPr>
          <w:p w14:paraId="6C52C1E7"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122.6</w:t>
            </w:r>
          </w:p>
        </w:tc>
        <w:tc>
          <w:tcPr>
            <w:tcW w:w="1232" w:type="dxa"/>
            <w:noWrap/>
            <w:hideMark/>
          </w:tcPr>
          <w:p w14:paraId="3DE59CDA"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126.7</w:t>
            </w:r>
          </w:p>
        </w:tc>
        <w:tc>
          <w:tcPr>
            <w:tcW w:w="1373" w:type="dxa"/>
            <w:tcBorders>
              <w:right w:val="single" w:sz="4" w:space="0" w:color="auto"/>
            </w:tcBorders>
            <w:noWrap/>
            <w:hideMark/>
          </w:tcPr>
          <w:p w14:paraId="2CBF1A42"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124.7</w:t>
            </w:r>
          </w:p>
        </w:tc>
        <w:tc>
          <w:tcPr>
            <w:tcW w:w="1437" w:type="dxa"/>
            <w:tcBorders>
              <w:left w:val="single" w:sz="4" w:space="0" w:color="auto"/>
            </w:tcBorders>
            <w:noWrap/>
            <w:hideMark/>
          </w:tcPr>
          <w:p w14:paraId="3A5F1F42"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107.2</w:t>
            </w:r>
          </w:p>
        </w:tc>
        <w:tc>
          <w:tcPr>
            <w:tcW w:w="1642" w:type="dxa"/>
            <w:noWrap/>
            <w:hideMark/>
          </w:tcPr>
          <w:p w14:paraId="6E3EF32D"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103.7</w:t>
            </w:r>
          </w:p>
        </w:tc>
        <w:tc>
          <w:tcPr>
            <w:tcW w:w="1232" w:type="dxa"/>
            <w:noWrap/>
            <w:hideMark/>
          </w:tcPr>
          <w:p w14:paraId="0003FB24"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107.2</w:t>
            </w:r>
          </w:p>
        </w:tc>
        <w:tc>
          <w:tcPr>
            <w:tcW w:w="1309" w:type="dxa"/>
            <w:noWrap/>
            <w:hideMark/>
          </w:tcPr>
          <w:p w14:paraId="33C635DF"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105.5</w:t>
            </w:r>
          </w:p>
        </w:tc>
      </w:tr>
      <w:tr w:rsidR="00677577" w:rsidRPr="00561D7B" w14:paraId="122E48D1" w14:textId="77777777">
        <w:trPr>
          <w:trHeight w:val="340"/>
        </w:trPr>
        <w:tc>
          <w:tcPr>
            <w:tcW w:w="1805" w:type="dxa"/>
            <w:noWrap/>
            <w:hideMark/>
          </w:tcPr>
          <w:p w14:paraId="5F5F00FE"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Dec-2019</w:t>
            </w:r>
          </w:p>
        </w:tc>
        <w:tc>
          <w:tcPr>
            <w:tcW w:w="1437" w:type="dxa"/>
            <w:noWrap/>
            <w:hideMark/>
          </w:tcPr>
          <w:p w14:paraId="5AB5F99F"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127.2</w:t>
            </w:r>
          </w:p>
        </w:tc>
        <w:tc>
          <w:tcPr>
            <w:tcW w:w="1642" w:type="dxa"/>
            <w:noWrap/>
            <w:hideMark/>
          </w:tcPr>
          <w:p w14:paraId="12363171"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123.2</w:t>
            </w:r>
          </w:p>
        </w:tc>
        <w:tc>
          <w:tcPr>
            <w:tcW w:w="1232" w:type="dxa"/>
            <w:noWrap/>
            <w:hideMark/>
          </w:tcPr>
          <w:p w14:paraId="44136603"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126.8</w:t>
            </w:r>
          </w:p>
        </w:tc>
        <w:tc>
          <w:tcPr>
            <w:tcW w:w="1373" w:type="dxa"/>
            <w:tcBorders>
              <w:right w:val="single" w:sz="4" w:space="0" w:color="auto"/>
            </w:tcBorders>
            <w:noWrap/>
            <w:hideMark/>
          </w:tcPr>
          <w:p w14:paraId="373D5024"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125.2</w:t>
            </w:r>
          </w:p>
        </w:tc>
        <w:tc>
          <w:tcPr>
            <w:tcW w:w="1437" w:type="dxa"/>
            <w:tcBorders>
              <w:left w:val="single" w:sz="4" w:space="0" w:color="auto"/>
            </w:tcBorders>
            <w:noWrap/>
            <w:hideMark/>
          </w:tcPr>
          <w:p w14:paraId="463840C1"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106.9</w:t>
            </w:r>
          </w:p>
        </w:tc>
        <w:tc>
          <w:tcPr>
            <w:tcW w:w="1642" w:type="dxa"/>
            <w:noWrap/>
            <w:hideMark/>
          </w:tcPr>
          <w:p w14:paraId="7719177C"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103.6</w:t>
            </w:r>
          </w:p>
        </w:tc>
        <w:tc>
          <w:tcPr>
            <w:tcW w:w="1232" w:type="dxa"/>
            <w:noWrap/>
            <w:hideMark/>
          </w:tcPr>
          <w:p w14:paraId="18A6D50E"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106.7</w:t>
            </w:r>
          </w:p>
        </w:tc>
        <w:tc>
          <w:tcPr>
            <w:tcW w:w="1309" w:type="dxa"/>
            <w:noWrap/>
            <w:hideMark/>
          </w:tcPr>
          <w:p w14:paraId="534827DE"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105.3</w:t>
            </w:r>
          </w:p>
        </w:tc>
      </w:tr>
      <w:tr w:rsidR="00677577" w:rsidRPr="00561D7B" w14:paraId="524F234D" w14:textId="77777777">
        <w:trPr>
          <w:trHeight w:val="340"/>
        </w:trPr>
        <w:tc>
          <w:tcPr>
            <w:tcW w:w="1805" w:type="dxa"/>
            <w:noWrap/>
            <w:hideMark/>
          </w:tcPr>
          <w:p w14:paraId="14AC3340"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Mar-2020</w:t>
            </w:r>
          </w:p>
        </w:tc>
        <w:tc>
          <w:tcPr>
            <w:tcW w:w="1437" w:type="dxa"/>
            <w:noWrap/>
            <w:hideMark/>
          </w:tcPr>
          <w:p w14:paraId="2D36D001"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128.0</w:t>
            </w:r>
          </w:p>
        </w:tc>
        <w:tc>
          <w:tcPr>
            <w:tcW w:w="1642" w:type="dxa"/>
            <w:noWrap/>
            <w:hideMark/>
          </w:tcPr>
          <w:p w14:paraId="2AD68138"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123.6</w:t>
            </w:r>
          </w:p>
        </w:tc>
        <w:tc>
          <w:tcPr>
            <w:tcW w:w="1232" w:type="dxa"/>
            <w:noWrap/>
            <w:hideMark/>
          </w:tcPr>
          <w:p w14:paraId="0228066F"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127.2</w:t>
            </w:r>
          </w:p>
        </w:tc>
        <w:tc>
          <w:tcPr>
            <w:tcW w:w="1373" w:type="dxa"/>
            <w:tcBorders>
              <w:right w:val="single" w:sz="4" w:space="0" w:color="auto"/>
            </w:tcBorders>
            <w:noWrap/>
            <w:hideMark/>
          </w:tcPr>
          <w:p w14:paraId="548B6F92"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125.8</w:t>
            </w:r>
          </w:p>
        </w:tc>
        <w:tc>
          <w:tcPr>
            <w:tcW w:w="1437" w:type="dxa"/>
            <w:tcBorders>
              <w:left w:val="single" w:sz="4" w:space="0" w:color="auto"/>
            </w:tcBorders>
            <w:noWrap/>
            <w:hideMark/>
          </w:tcPr>
          <w:p w14:paraId="04440412"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107.1</w:t>
            </w:r>
          </w:p>
        </w:tc>
        <w:tc>
          <w:tcPr>
            <w:tcW w:w="1642" w:type="dxa"/>
            <w:noWrap/>
            <w:hideMark/>
          </w:tcPr>
          <w:p w14:paraId="405CCA5B"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103.5</w:t>
            </w:r>
          </w:p>
        </w:tc>
        <w:tc>
          <w:tcPr>
            <w:tcW w:w="1232" w:type="dxa"/>
            <w:noWrap/>
            <w:hideMark/>
          </w:tcPr>
          <w:p w14:paraId="42CBD827"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106.5</w:t>
            </w:r>
          </w:p>
        </w:tc>
        <w:tc>
          <w:tcPr>
            <w:tcW w:w="1309" w:type="dxa"/>
            <w:noWrap/>
            <w:hideMark/>
          </w:tcPr>
          <w:p w14:paraId="21303ADE"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105.3</w:t>
            </w:r>
          </w:p>
        </w:tc>
      </w:tr>
      <w:tr w:rsidR="00677577" w:rsidRPr="00561D7B" w14:paraId="7C0FA406" w14:textId="77777777">
        <w:trPr>
          <w:trHeight w:val="340"/>
        </w:trPr>
        <w:tc>
          <w:tcPr>
            <w:tcW w:w="1805" w:type="dxa"/>
            <w:noWrap/>
            <w:hideMark/>
          </w:tcPr>
          <w:p w14:paraId="410A13D8"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Jun-2020</w:t>
            </w:r>
          </w:p>
        </w:tc>
        <w:tc>
          <w:tcPr>
            <w:tcW w:w="1437" w:type="dxa"/>
            <w:noWrap/>
            <w:hideMark/>
          </w:tcPr>
          <w:p w14:paraId="3AA81B43"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128.4</w:t>
            </w:r>
          </w:p>
        </w:tc>
        <w:tc>
          <w:tcPr>
            <w:tcW w:w="1642" w:type="dxa"/>
            <w:noWrap/>
            <w:hideMark/>
          </w:tcPr>
          <w:p w14:paraId="5E2AB25A"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123.3</w:t>
            </w:r>
          </w:p>
        </w:tc>
        <w:tc>
          <w:tcPr>
            <w:tcW w:w="1232" w:type="dxa"/>
            <w:noWrap/>
            <w:hideMark/>
          </w:tcPr>
          <w:p w14:paraId="27091ECF"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127.3</w:t>
            </w:r>
          </w:p>
        </w:tc>
        <w:tc>
          <w:tcPr>
            <w:tcW w:w="1373" w:type="dxa"/>
            <w:tcBorders>
              <w:right w:val="single" w:sz="4" w:space="0" w:color="auto"/>
            </w:tcBorders>
            <w:noWrap/>
            <w:hideMark/>
          </w:tcPr>
          <w:p w14:paraId="23EFA532"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125.8</w:t>
            </w:r>
          </w:p>
        </w:tc>
        <w:tc>
          <w:tcPr>
            <w:tcW w:w="1437" w:type="dxa"/>
            <w:tcBorders>
              <w:left w:val="single" w:sz="4" w:space="0" w:color="auto"/>
            </w:tcBorders>
            <w:noWrap/>
            <w:hideMark/>
          </w:tcPr>
          <w:p w14:paraId="3BA13945"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110.1</w:t>
            </w:r>
          </w:p>
        </w:tc>
        <w:tc>
          <w:tcPr>
            <w:tcW w:w="1642" w:type="dxa"/>
            <w:noWrap/>
            <w:hideMark/>
          </w:tcPr>
          <w:p w14:paraId="331ED832"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105.7</w:t>
            </w:r>
          </w:p>
        </w:tc>
        <w:tc>
          <w:tcPr>
            <w:tcW w:w="1232" w:type="dxa"/>
            <w:noWrap/>
            <w:hideMark/>
          </w:tcPr>
          <w:p w14:paraId="4158BE9F"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109.2</w:t>
            </w:r>
          </w:p>
        </w:tc>
        <w:tc>
          <w:tcPr>
            <w:tcW w:w="1309" w:type="dxa"/>
            <w:noWrap/>
            <w:hideMark/>
          </w:tcPr>
          <w:p w14:paraId="0495A60B"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107.8</w:t>
            </w:r>
          </w:p>
        </w:tc>
      </w:tr>
      <w:tr w:rsidR="00677577" w:rsidRPr="00561D7B" w14:paraId="49B49C1C" w14:textId="77777777">
        <w:trPr>
          <w:trHeight w:val="340"/>
        </w:trPr>
        <w:tc>
          <w:tcPr>
            <w:tcW w:w="1805" w:type="dxa"/>
            <w:noWrap/>
            <w:hideMark/>
          </w:tcPr>
          <w:p w14:paraId="7F146493"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Sep-2020</w:t>
            </w:r>
          </w:p>
        </w:tc>
        <w:tc>
          <w:tcPr>
            <w:tcW w:w="1437" w:type="dxa"/>
            <w:noWrap/>
            <w:hideMark/>
          </w:tcPr>
          <w:p w14:paraId="4C6358E8"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129.2</w:t>
            </w:r>
          </w:p>
        </w:tc>
        <w:tc>
          <w:tcPr>
            <w:tcW w:w="1642" w:type="dxa"/>
            <w:noWrap/>
            <w:hideMark/>
          </w:tcPr>
          <w:p w14:paraId="1A569FB7"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123.8</w:t>
            </w:r>
          </w:p>
        </w:tc>
        <w:tc>
          <w:tcPr>
            <w:tcW w:w="1232" w:type="dxa"/>
            <w:noWrap/>
            <w:hideMark/>
          </w:tcPr>
          <w:p w14:paraId="0839E462"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127.7</w:t>
            </w:r>
          </w:p>
        </w:tc>
        <w:tc>
          <w:tcPr>
            <w:tcW w:w="1373" w:type="dxa"/>
            <w:tcBorders>
              <w:right w:val="single" w:sz="4" w:space="0" w:color="auto"/>
            </w:tcBorders>
            <w:noWrap/>
            <w:hideMark/>
          </w:tcPr>
          <w:p w14:paraId="2FFB4038"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126.4</w:t>
            </w:r>
          </w:p>
        </w:tc>
        <w:tc>
          <w:tcPr>
            <w:tcW w:w="1437" w:type="dxa"/>
            <w:tcBorders>
              <w:left w:val="single" w:sz="4" w:space="0" w:color="auto"/>
            </w:tcBorders>
            <w:noWrap/>
            <w:hideMark/>
          </w:tcPr>
          <w:p w14:paraId="54DB7C29"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108.2</w:t>
            </w:r>
          </w:p>
        </w:tc>
        <w:tc>
          <w:tcPr>
            <w:tcW w:w="1642" w:type="dxa"/>
            <w:noWrap/>
            <w:hideMark/>
          </w:tcPr>
          <w:p w14:paraId="0337063E"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103.7</w:t>
            </w:r>
          </w:p>
        </w:tc>
        <w:tc>
          <w:tcPr>
            <w:tcW w:w="1232" w:type="dxa"/>
            <w:noWrap/>
            <w:hideMark/>
          </w:tcPr>
          <w:p w14:paraId="70F727BA"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107.0</w:t>
            </w:r>
          </w:p>
        </w:tc>
        <w:tc>
          <w:tcPr>
            <w:tcW w:w="1309" w:type="dxa"/>
            <w:noWrap/>
            <w:hideMark/>
          </w:tcPr>
          <w:p w14:paraId="54BBF50B"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105.9</w:t>
            </w:r>
          </w:p>
        </w:tc>
      </w:tr>
      <w:tr w:rsidR="00677577" w:rsidRPr="00561D7B" w14:paraId="07A734C0" w14:textId="77777777">
        <w:trPr>
          <w:trHeight w:val="340"/>
        </w:trPr>
        <w:tc>
          <w:tcPr>
            <w:tcW w:w="1805" w:type="dxa"/>
            <w:noWrap/>
            <w:hideMark/>
          </w:tcPr>
          <w:p w14:paraId="30D5B457"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Dec-2020</w:t>
            </w:r>
          </w:p>
        </w:tc>
        <w:tc>
          <w:tcPr>
            <w:tcW w:w="1437" w:type="dxa"/>
            <w:noWrap/>
            <w:hideMark/>
          </w:tcPr>
          <w:p w14:paraId="1174431A"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129.6</w:t>
            </w:r>
          </w:p>
        </w:tc>
        <w:tc>
          <w:tcPr>
            <w:tcW w:w="1642" w:type="dxa"/>
            <w:noWrap/>
            <w:hideMark/>
          </w:tcPr>
          <w:p w14:paraId="343EF996"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124.5</w:t>
            </w:r>
          </w:p>
        </w:tc>
        <w:tc>
          <w:tcPr>
            <w:tcW w:w="1232" w:type="dxa"/>
            <w:noWrap/>
            <w:hideMark/>
          </w:tcPr>
          <w:p w14:paraId="6EF9D1B8"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128.4</w:t>
            </w:r>
          </w:p>
        </w:tc>
        <w:tc>
          <w:tcPr>
            <w:tcW w:w="1373" w:type="dxa"/>
            <w:tcBorders>
              <w:right w:val="single" w:sz="4" w:space="0" w:color="auto"/>
            </w:tcBorders>
            <w:noWrap/>
            <w:hideMark/>
          </w:tcPr>
          <w:p w14:paraId="00EF8512"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127.0</w:t>
            </w:r>
          </w:p>
        </w:tc>
        <w:tc>
          <w:tcPr>
            <w:tcW w:w="1437" w:type="dxa"/>
            <w:tcBorders>
              <w:left w:val="single" w:sz="4" w:space="0" w:color="auto"/>
            </w:tcBorders>
            <w:noWrap/>
            <w:hideMark/>
          </w:tcPr>
          <w:p w14:paraId="7FD0B583"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107.7</w:t>
            </w:r>
          </w:p>
        </w:tc>
        <w:tc>
          <w:tcPr>
            <w:tcW w:w="1642" w:type="dxa"/>
            <w:noWrap/>
            <w:hideMark/>
          </w:tcPr>
          <w:p w14:paraId="04D068B7"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103.5</w:t>
            </w:r>
          </w:p>
        </w:tc>
        <w:tc>
          <w:tcPr>
            <w:tcW w:w="1232" w:type="dxa"/>
            <w:noWrap/>
            <w:hideMark/>
          </w:tcPr>
          <w:p w14:paraId="4A4DF8BD"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106.8</w:t>
            </w:r>
          </w:p>
        </w:tc>
        <w:tc>
          <w:tcPr>
            <w:tcW w:w="1309" w:type="dxa"/>
            <w:noWrap/>
            <w:hideMark/>
          </w:tcPr>
          <w:p w14:paraId="2C4C56B5"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105.6</w:t>
            </w:r>
          </w:p>
        </w:tc>
      </w:tr>
      <w:tr w:rsidR="00677577" w:rsidRPr="00561D7B" w14:paraId="129F29F3" w14:textId="77777777">
        <w:trPr>
          <w:trHeight w:val="340"/>
        </w:trPr>
        <w:tc>
          <w:tcPr>
            <w:tcW w:w="1805" w:type="dxa"/>
            <w:noWrap/>
            <w:hideMark/>
          </w:tcPr>
          <w:p w14:paraId="349F58CE"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Mar-2021</w:t>
            </w:r>
          </w:p>
        </w:tc>
        <w:tc>
          <w:tcPr>
            <w:tcW w:w="1437" w:type="dxa"/>
            <w:noWrap/>
            <w:hideMark/>
          </w:tcPr>
          <w:p w14:paraId="601EB35F"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130.3</w:t>
            </w:r>
          </w:p>
        </w:tc>
        <w:tc>
          <w:tcPr>
            <w:tcW w:w="1642" w:type="dxa"/>
            <w:noWrap/>
            <w:hideMark/>
          </w:tcPr>
          <w:p w14:paraId="14D429DE"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125.0</w:t>
            </w:r>
          </w:p>
        </w:tc>
        <w:tc>
          <w:tcPr>
            <w:tcW w:w="1232" w:type="dxa"/>
            <w:noWrap/>
            <w:hideMark/>
          </w:tcPr>
          <w:p w14:paraId="2A56E1C5"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129.5</w:t>
            </w:r>
          </w:p>
        </w:tc>
        <w:tc>
          <w:tcPr>
            <w:tcW w:w="1373" w:type="dxa"/>
            <w:tcBorders>
              <w:right w:val="single" w:sz="4" w:space="0" w:color="auto"/>
            </w:tcBorders>
            <w:noWrap/>
            <w:hideMark/>
          </w:tcPr>
          <w:p w14:paraId="62201E47"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127.7</w:t>
            </w:r>
          </w:p>
        </w:tc>
        <w:tc>
          <w:tcPr>
            <w:tcW w:w="1437" w:type="dxa"/>
            <w:tcBorders>
              <w:left w:val="single" w:sz="4" w:space="0" w:color="auto"/>
            </w:tcBorders>
            <w:noWrap/>
            <w:hideMark/>
          </w:tcPr>
          <w:p w14:paraId="05367039"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107.4</w:t>
            </w:r>
          </w:p>
        </w:tc>
        <w:tc>
          <w:tcPr>
            <w:tcW w:w="1642" w:type="dxa"/>
            <w:noWrap/>
            <w:hideMark/>
          </w:tcPr>
          <w:p w14:paraId="147BF9CD"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103.1</w:t>
            </w:r>
          </w:p>
        </w:tc>
        <w:tc>
          <w:tcPr>
            <w:tcW w:w="1232" w:type="dxa"/>
            <w:noWrap/>
            <w:hideMark/>
          </w:tcPr>
          <w:p w14:paraId="732ADEB3"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106.8</w:t>
            </w:r>
          </w:p>
        </w:tc>
        <w:tc>
          <w:tcPr>
            <w:tcW w:w="1309" w:type="dxa"/>
            <w:noWrap/>
            <w:hideMark/>
          </w:tcPr>
          <w:p w14:paraId="4EAE5FD4"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105.3</w:t>
            </w:r>
          </w:p>
        </w:tc>
      </w:tr>
      <w:tr w:rsidR="00677577" w:rsidRPr="00561D7B" w14:paraId="03E10868" w14:textId="77777777">
        <w:trPr>
          <w:trHeight w:val="340"/>
        </w:trPr>
        <w:tc>
          <w:tcPr>
            <w:tcW w:w="1805" w:type="dxa"/>
            <w:noWrap/>
            <w:hideMark/>
          </w:tcPr>
          <w:p w14:paraId="7F191242"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Jun-2021</w:t>
            </w:r>
          </w:p>
        </w:tc>
        <w:tc>
          <w:tcPr>
            <w:tcW w:w="1437" w:type="dxa"/>
            <w:noWrap/>
            <w:hideMark/>
          </w:tcPr>
          <w:p w14:paraId="7FDE7D03"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130.6</w:t>
            </w:r>
          </w:p>
        </w:tc>
        <w:tc>
          <w:tcPr>
            <w:tcW w:w="1642" w:type="dxa"/>
            <w:noWrap/>
            <w:hideMark/>
          </w:tcPr>
          <w:p w14:paraId="156ED2DB"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125.5</w:t>
            </w:r>
          </w:p>
        </w:tc>
        <w:tc>
          <w:tcPr>
            <w:tcW w:w="1232" w:type="dxa"/>
            <w:noWrap/>
            <w:hideMark/>
          </w:tcPr>
          <w:p w14:paraId="579BCB49"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129.6</w:t>
            </w:r>
          </w:p>
        </w:tc>
        <w:tc>
          <w:tcPr>
            <w:tcW w:w="1373" w:type="dxa"/>
            <w:tcBorders>
              <w:right w:val="single" w:sz="4" w:space="0" w:color="auto"/>
            </w:tcBorders>
            <w:noWrap/>
            <w:hideMark/>
          </w:tcPr>
          <w:p w14:paraId="0ED2A469"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128.0</w:t>
            </w:r>
          </w:p>
        </w:tc>
        <w:tc>
          <w:tcPr>
            <w:tcW w:w="1437" w:type="dxa"/>
            <w:tcBorders>
              <w:left w:val="single" w:sz="4" w:space="0" w:color="auto"/>
            </w:tcBorders>
            <w:noWrap/>
            <w:hideMark/>
          </w:tcPr>
          <w:p w14:paraId="41FA1168"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106.8</w:t>
            </w:r>
          </w:p>
        </w:tc>
        <w:tc>
          <w:tcPr>
            <w:tcW w:w="1642" w:type="dxa"/>
            <w:noWrap/>
            <w:hideMark/>
          </w:tcPr>
          <w:p w14:paraId="317AA4A4"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102.7</w:t>
            </w:r>
          </w:p>
        </w:tc>
        <w:tc>
          <w:tcPr>
            <w:tcW w:w="1232" w:type="dxa"/>
            <w:noWrap/>
            <w:hideMark/>
          </w:tcPr>
          <w:p w14:paraId="490AE398"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106.1</w:t>
            </w:r>
          </w:p>
        </w:tc>
        <w:tc>
          <w:tcPr>
            <w:tcW w:w="1309" w:type="dxa"/>
            <w:noWrap/>
            <w:hideMark/>
          </w:tcPr>
          <w:p w14:paraId="41CA2B04"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104.8</w:t>
            </w:r>
          </w:p>
        </w:tc>
      </w:tr>
      <w:tr w:rsidR="00677577" w:rsidRPr="00561D7B" w14:paraId="266EC4CA" w14:textId="77777777">
        <w:trPr>
          <w:trHeight w:val="340"/>
        </w:trPr>
        <w:tc>
          <w:tcPr>
            <w:tcW w:w="1805" w:type="dxa"/>
            <w:tcBorders>
              <w:bottom w:val="single" w:sz="4" w:space="0" w:color="auto"/>
            </w:tcBorders>
            <w:noWrap/>
            <w:hideMark/>
          </w:tcPr>
          <w:p w14:paraId="6B0C29FD"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Sep-2021</w:t>
            </w:r>
          </w:p>
        </w:tc>
        <w:tc>
          <w:tcPr>
            <w:tcW w:w="1437" w:type="dxa"/>
            <w:tcBorders>
              <w:bottom w:val="single" w:sz="4" w:space="0" w:color="auto"/>
            </w:tcBorders>
            <w:noWrap/>
            <w:hideMark/>
          </w:tcPr>
          <w:p w14:paraId="4CB3AF31"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131.5</w:t>
            </w:r>
          </w:p>
        </w:tc>
        <w:tc>
          <w:tcPr>
            <w:tcW w:w="1642" w:type="dxa"/>
            <w:tcBorders>
              <w:bottom w:val="single" w:sz="4" w:space="0" w:color="auto"/>
            </w:tcBorders>
            <w:noWrap/>
            <w:hideMark/>
          </w:tcPr>
          <w:p w14:paraId="2454D460"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126.6</w:t>
            </w:r>
          </w:p>
        </w:tc>
        <w:tc>
          <w:tcPr>
            <w:tcW w:w="1232" w:type="dxa"/>
            <w:tcBorders>
              <w:bottom w:val="single" w:sz="4" w:space="0" w:color="auto"/>
            </w:tcBorders>
            <w:noWrap/>
            <w:hideMark/>
          </w:tcPr>
          <w:p w14:paraId="65643E17"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131.3</w:t>
            </w:r>
          </w:p>
        </w:tc>
        <w:tc>
          <w:tcPr>
            <w:tcW w:w="1373" w:type="dxa"/>
            <w:tcBorders>
              <w:bottom w:val="single" w:sz="4" w:space="0" w:color="auto"/>
              <w:right w:val="single" w:sz="4" w:space="0" w:color="auto"/>
            </w:tcBorders>
            <w:noWrap/>
            <w:hideMark/>
          </w:tcPr>
          <w:p w14:paraId="51AEE2AE"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129.2</w:t>
            </w:r>
          </w:p>
        </w:tc>
        <w:tc>
          <w:tcPr>
            <w:tcW w:w="1437" w:type="dxa"/>
            <w:tcBorders>
              <w:left w:val="single" w:sz="4" w:space="0" w:color="auto"/>
              <w:bottom w:val="single" w:sz="4" w:space="0" w:color="auto"/>
            </w:tcBorders>
            <w:noWrap/>
            <w:hideMark/>
          </w:tcPr>
          <w:p w14:paraId="3D3AFD62"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106.3</w:t>
            </w:r>
          </w:p>
        </w:tc>
        <w:tc>
          <w:tcPr>
            <w:tcW w:w="1642" w:type="dxa"/>
            <w:tcBorders>
              <w:bottom w:val="single" w:sz="4" w:space="0" w:color="auto"/>
            </w:tcBorders>
            <w:noWrap/>
            <w:hideMark/>
          </w:tcPr>
          <w:p w14:paraId="1B178015"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102.3</w:t>
            </w:r>
          </w:p>
        </w:tc>
        <w:tc>
          <w:tcPr>
            <w:tcW w:w="1232" w:type="dxa"/>
            <w:tcBorders>
              <w:bottom w:val="single" w:sz="4" w:space="0" w:color="auto"/>
            </w:tcBorders>
            <w:noWrap/>
            <w:hideMark/>
          </w:tcPr>
          <w:p w14:paraId="6F99532F"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106.1</w:t>
            </w:r>
          </w:p>
        </w:tc>
        <w:tc>
          <w:tcPr>
            <w:tcW w:w="1309" w:type="dxa"/>
            <w:tcBorders>
              <w:bottom w:val="single" w:sz="4" w:space="0" w:color="auto"/>
            </w:tcBorders>
            <w:noWrap/>
            <w:hideMark/>
          </w:tcPr>
          <w:p w14:paraId="68191CB2"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104.4</w:t>
            </w:r>
          </w:p>
        </w:tc>
      </w:tr>
      <w:tr w:rsidR="00677577" w:rsidRPr="00561D7B" w14:paraId="04CCB647" w14:textId="77777777">
        <w:trPr>
          <w:trHeight w:val="340"/>
        </w:trPr>
        <w:tc>
          <w:tcPr>
            <w:tcW w:w="1805" w:type="dxa"/>
            <w:noWrap/>
            <w:hideMark/>
          </w:tcPr>
          <w:p w14:paraId="35E7EB3C"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Dec-2021</w:t>
            </w:r>
          </w:p>
        </w:tc>
        <w:tc>
          <w:tcPr>
            <w:tcW w:w="1437" w:type="dxa"/>
            <w:tcBorders>
              <w:top w:val="single" w:sz="4" w:space="0" w:color="auto"/>
            </w:tcBorders>
            <w:noWrap/>
            <w:hideMark/>
          </w:tcPr>
          <w:p w14:paraId="1D381B84"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132.3</w:t>
            </w:r>
          </w:p>
        </w:tc>
        <w:tc>
          <w:tcPr>
            <w:tcW w:w="1642" w:type="dxa"/>
            <w:tcBorders>
              <w:top w:val="single" w:sz="4" w:space="0" w:color="auto"/>
            </w:tcBorders>
            <w:noWrap/>
            <w:hideMark/>
          </w:tcPr>
          <w:p w14:paraId="0C844BB5"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127.4</w:t>
            </w:r>
          </w:p>
        </w:tc>
        <w:tc>
          <w:tcPr>
            <w:tcW w:w="1232" w:type="dxa"/>
            <w:tcBorders>
              <w:top w:val="single" w:sz="4" w:space="0" w:color="auto"/>
            </w:tcBorders>
            <w:noWrap/>
            <w:hideMark/>
          </w:tcPr>
          <w:p w14:paraId="4A590D6F"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132.5</w:t>
            </w:r>
          </w:p>
        </w:tc>
        <w:tc>
          <w:tcPr>
            <w:tcW w:w="1373" w:type="dxa"/>
            <w:tcBorders>
              <w:top w:val="single" w:sz="4" w:space="0" w:color="auto"/>
              <w:right w:val="single" w:sz="4" w:space="0" w:color="auto"/>
            </w:tcBorders>
            <w:noWrap/>
            <w:hideMark/>
          </w:tcPr>
          <w:p w14:paraId="55653B62"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129.9</w:t>
            </w:r>
          </w:p>
        </w:tc>
        <w:tc>
          <w:tcPr>
            <w:tcW w:w="1437" w:type="dxa"/>
            <w:tcBorders>
              <w:top w:val="single" w:sz="4" w:space="0" w:color="auto"/>
              <w:left w:val="single" w:sz="4" w:space="0" w:color="auto"/>
            </w:tcBorders>
            <w:noWrap/>
            <w:hideMark/>
          </w:tcPr>
          <w:p w14:paraId="27A3F333"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105.9</w:t>
            </w:r>
          </w:p>
        </w:tc>
        <w:tc>
          <w:tcPr>
            <w:tcW w:w="1642" w:type="dxa"/>
            <w:tcBorders>
              <w:top w:val="single" w:sz="4" w:space="0" w:color="auto"/>
            </w:tcBorders>
            <w:noWrap/>
            <w:hideMark/>
          </w:tcPr>
          <w:p w14:paraId="57B5A1C6"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101.9</w:t>
            </w:r>
          </w:p>
        </w:tc>
        <w:tc>
          <w:tcPr>
            <w:tcW w:w="1232" w:type="dxa"/>
            <w:tcBorders>
              <w:top w:val="single" w:sz="4" w:space="0" w:color="auto"/>
            </w:tcBorders>
            <w:noWrap/>
            <w:hideMark/>
          </w:tcPr>
          <w:p w14:paraId="6E0C163F"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106.0</w:t>
            </w:r>
          </w:p>
        </w:tc>
        <w:tc>
          <w:tcPr>
            <w:tcW w:w="1309" w:type="dxa"/>
            <w:tcBorders>
              <w:top w:val="single" w:sz="4" w:space="0" w:color="auto"/>
            </w:tcBorders>
            <w:noWrap/>
            <w:hideMark/>
          </w:tcPr>
          <w:p w14:paraId="60BE6F9D"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103.9</w:t>
            </w:r>
          </w:p>
        </w:tc>
      </w:tr>
      <w:tr w:rsidR="00677577" w:rsidRPr="00561D7B" w14:paraId="76C1D1E8" w14:textId="77777777">
        <w:trPr>
          <w:trHeight w:val="340"/>
        </w:trPr>
        <w:tc>
          <w:tcPr>
            <w:tcW w:w="1805" w:type="dxa"/>
            <w:noWrap/>
            <w:hideMark/>
          </w:tcPr>
          <w:p w14:paraId="3C7965E9"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Mar-2022</w:t>
            </w:r>
          </w:p>
        </w:tc>
        <w:tc>
          <w:tcPr>
            <w:tcW w:w="1437" w:type="dxa"/>
            <w:noWrap/>
            <w:hideMark/>
          </w:tcPr>
          <w:p w14:paraId="18476441"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133.0</w:t>
            </w:r>
          </w:p>
        </w:tc>
        <w:tc>
          <w:tcPr>
            <w:tcW w:w="1642" w:type="dxa"/>
            <w:noWrap/>
            <w:hideMark/>
          </w:tcPr>
          <w:p w14:paraId="05DDC578"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128.1</w:t>
            </w:r>
          </w:p>
        </w:tc>
        <w:tc>
          <w:tcPr>
            <w:tcW w:w="1232" w:type="dxa"/>
            <w:noWrap/>
            <w:hideMark/>
          </w:tcPr>
          <w:p w14:paraId="27ED3462"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132.6</w:t>
            </w:r>
          </w:p>
        </w:tc>
        <w:tc>
          <w:tcPr>
            <w:tcW w:w="1373" w:type="dxa"/>
            <w:tcBorders>
              <w:right w:val="single" w:sz="4" w:space="0" w:color="auto"/>
            </w:tcBorders>
            <w:noWrap/>
            <w:hideMark/>
          </w:tcPr>
          <w:p w14:paraId="51FF5863"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130.7</w:t>
            </w:r>
          </w:p>
        </w:tc>
        <w:tc>
          <w:tcPr>
            <w:tcW w:w="1437" w:type="dxa"/>
            <w:tcBorders>
              <w:left w:val="single" w:sz="4" w:space="0" w:color="auto"/>
            </w:tcBorders>
            <w:noWrap/>
            <w:hideMark/>
          </w:tcPr>
          <w:p w14:paraId="4BEE9E10"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104.1</w:t>
            </w:r>
          </w:p>
        </w:tc>
        <w:tc>
          <w:tcPr>
            <w:tcW w:w="1642" w:type="dxa"/>
            <w:noWrap/>
            <w:hideMark/>
          </w:tcPr>
          <w:p w14:paraId="1C32AC53"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100.2</w:t>
            </w:r>
          </w:p>
        </w:tc>
        <w:tc>
          <w:tcPr>
            <w:tcW w:w="1232" w:type="dxa"/>
            <w:noWrap/>
            <w:hideMark/>
          </w:tcPr>
          <w:p w14:paraId="5F099DD4"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103.8</w:t>
            </w:r>
          </w:p>
        </w:tc>
        <w:tc>
          <w:tcPr>
            <w:tcW w:w="1309" w:type="dxa"/>
            <w:noWrap/>
            <w:hideMark/>
          </w:tcPr>
          <w:p w14:paraId="0EF8B844"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102.2</w:t>
            </w:r>
          </w:p>
        </w:tc>
      </w:tr>
      <w:tr w:rsidR="00677577" w:rsidRPr="00561D7B" w14:paraId="79F5864F" w14:textId="77777777">
        <w:trPr>
          <w:trHeight w:val="340"/>
        </w:trPr>
        <w:tc>
          <w:tcPr>
            <w:tcW w:w="1805" w:type="dxa"/>
            <w:noWrap/>
            <w:hideMark/>
          </w:tcPr>
          <w:p w14:paraId="049E9CE2"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Jun-2022</w:t>
            </w:r>
          </w:p>
        </w:tc>
        <w:tc>
          <w:tcPr>
            <w:tcW w:w="1437" w:type="dxa"/>
            <w:noWrap/>
            <w:hideMark/>
          </w:tcPr>
          <w:p w14:paraId="53F53748"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133.7</w:t>
            </w:r>
          </w:p>
        </w:tc>
        <w:tc>
          <w:tcPr>
            <w:tcW w:w="1642" w:type="dxa"/>
            <w:noWrap/>
            <w:hideMark/>
          </w:tcPr>
          <w:p w14:paraId="0156B34E"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129.1</w:t>
            </w:r>
          </w:p>
        </w:tc>
        <w:tc>
          <w:tcPr>
            <w:tcW w:w="1232" w:type="dxa"/>
            <w:noWrap/>
            <w:hideMark/>
          </w:tcPr>
          <w:p w14:paraId="76296B42"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132.6</w:t>
            </w:r>
          </w:p>
        </w:tc>
        <w:tc>
          <w:tcPr>
            <w:tcW w:w="1373" w:type="dxa"/>
            <w:tcBorders>
              <w:right w:val="single" w:sz="4" w:space="0" w:color="auto"/>
            </w:tcBorders>
            <w:noWrap/>
            <w:hideMark/>
          </w:tcPr>
          <w:p w14:paraId="2E04BE76"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131.4</w:t>
            </w:r>
          </w:p>
        </w:tc>
        <w:tc>
          <w:tcPr>
            <w:tcW w:w="1437" w:type="dxa"/>
            <w:tcBorders>
              <w:left w:val="single" w:sz="4" w:space="0" w:color="auto"/>
            </w:tcBorders>
            <w:noWrap/>
            <w:hideMark/>
          </w:tcPr>
          <w:p w14:paraId="070B8113"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103.0</w:t>
            </w:r>
          </w:p>
        </w:tc>
        <w:tc>
          <w:tcPr>
            <w:tcW w:w="1642" w:type="dxa"/>
            <w:noWrap/>
            <w:hideMark/>
          </w:tcPr>
          <w:p w14:paraId="5F635EF6"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99.4</w:t>
            </w:r>
          </w:p>
        </w:tc>
        <w:tc>
          <w:tcPr>
            <w:tcW w:w="1232" w:type="dxa"/>
            <w:noWrap/>
            <w:hideMark/>
          </w:tcPr>
          <w:p w14:paraId="023EF1E4"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102.1</w:t>
            </w:r>
          </w:p>
        </w:tc>
        <w:tc>
          <w:tcPr>
            <w:tcW w:w="1309" w:type="dxa"/>
            <w:noWrap/>
            <w:hideMark/>
          </w:tcPr>
          <w:p w14:paraId="43D2683B"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101.2</w:t>
            </w:r>
          </w:p>
        </w:tc>
      </w:tr>
      <w:tr w:rsidR="00677577" w:rsidRPr="00561D7B" w14:paraId="2DD9155E" w14:textId="77777777">
        <w:trPr>
          <w:trHeight w:val="340"/>
        </w:trPr>
        <w:tc>
          <w:tcPr>
            <w:tcW w:w="1805" w:type="dxa"/>
            <w:noWrap/>
            <w:hideMark/>
          </w:tcPr>
          <w:p w14:paraId="5B2E849A"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Sep-2022</w:t>
            </w:r>
          </w:p>
        </w:tc>
        <w:tc>
          <w:tcPr>
            <w:tcW w:w="1437" w:type="dxa"/>
            <w:noWrap/>
            <w:hideMark/>
          </w:tcPr>
          <w:p w14:paraId="22A1E42F"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135.0</w:t>
            </w:r>
          </w:p>
        </w:tc>
        <w:tc>
          <w:tcPr>
            <w:tcW w:w="1642" w:type="dxa"/>
            <w:noWrap/>
            <w:hideMark/>
          </w:tcPr>
          <w:p w14:paraId="37BBA98E"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131.0</w:t>
            </w:r>
          </w:p>
        </w:tc>
        <w:tc>
          <w:tcPr>
            <w:tcW w:w="1232" w:type="dxa"/>
            <w:noWrap/>
            <w:hideMark/>
          </w:tcPr>
          <w:p w14:paraId="35647531"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136.6</w:t>
            </w:r>
          </w:p>
        </w:tc>
        <w:tc>
          <w:tcPr>
            <w:tcW w:w="1373" w:type="dxa"/>
            <w:tcBorders>
              <w:right w:val="single" w:sz="4" w:space="0" w:color="auto"/>
            </w:tcBorders>
            <w:noWrap/>
            <w:hideMark/>
          </w:tcPr>
          <w:p w14:paraId="69F0B303"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133.3</w:t>
            </w:r>
          </w:p>
        </w:tc>
        <w:tc>
          <w:tcPr>
            <w:tcW w:w="1437" w:type="dxa"/>
            <w:tcBorders>
              <w:left w:val="single" w:sz="4" w:space="0" w:color="auto"/>
            </w:tcBorders>
            <w:noWrap/>
            <w:hideMark/>
          </w:tcPr>
          <w:p w14:paraId="52106E9A"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102.0</w:t>
            </w:r>
          </w:p>
        </w:tc>
        <w:tc>
          <w:tcPr>
            <w:tcW w:w="1642" w:type="dxa"/>
            <w:noWrap/>
            <w:hideMark/>
          </w:tcPr>
          <w:p w14:paraId="5B6FF517"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99.0</w:t>
            </w:r>
          </w:p>
        </w:tc>
        <w:tc>
          <w:tcPr>
            <w:tcW w:w="1232" w:type="dxa"/>
            <w:noWrap/>
            <w:hideMark/>
          </w:tcPr>
          <w:p w14:paraId="711A69D0"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103.2</w:t>
            </w:r>
          </w:p>
        </w:tc>
        <w:tc>
          <w:tcPr>
            <w:tcW w:w="1309" w:type="dxa"/>
            <w:noWrap/>
            <w:hideMark/>
          </w:tcPr>
          <w:p w14:paraId="1D5A5770"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100.7</w:t>
            </w:r>
          </w:p>
        </w:tc>
      </w:tr>
      <w:tr w:rsidR="00677577" w:rsidRPr="00561D7B" w14:paraId="244C7623" w14:textId="77777777">
        <w:trPr>
          <w:trHeight w:val="340"/>
        </w:trPr>
        <w:tc>
          <w:tcPr>
            <w:tcW w:w="1805" w:type="dxa"/>
            <w:noWrap/>
            <w:hideMark/>
          </w:tcPr>
          <w:p w14:paraId="7C157B08"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Dec-2022</w:t>
            </w:r>
          </w:p>
        </w:tc>
        <w:tc>
          <w:tcPr>
            <w:tcW w:w="1437" w:type="dxa"/>
            <w:noWrap/>
            <w:hideMark/>
          </w:tcPr>
          <w:p w14:paraId="5F1DD179"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136.0</w:t>
            </w:r>
          </w:p>
        </w:tc>
        <w:tc>
          <w:tcPr>
            <w:tcW w:w="1642" w:type="dxa"/>
            <w:noWrap/>
            <w:hideMark/>
          </w:tcPr>
          <w:p w14:paraId="15F9FAA2"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132.2</w:t>
            </w:r>
          </w:p>
        </w:tc>
        <w:tc>
          <w:tcPr>
            <w:tcW w:w="1232" w:type="dxa"/>
            <w:noWrap/>
            <w:hideMark/>
          </w:tcPr>
          <w:p w14:paraId="3210CD01"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138.1</w:t>
            </w:r>
          </w:p>
        </w:tc>
        <w:tc>
          <w:tcPr>
            <w:tcW w:w="1373" w:type="dxa"/>
            <w:tcBorders>
              <w:right w:val="single" w:sz="4" w:space="0" w:color="auto"/>
            </w:tcBorders>
            <w:noWrap/>
            <w:hideMark/>
          </w:tcPr>
          <w:p w14:paraId="49956306"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134.3</w:t>
            </w:r>
          </w:p>
        </w:tc>
        <w:tc>
          <w:tcPr>
            <w:tcW w:w="1437" w:type="dxa"/>
            <w:tcBorders>
              <w:left w:val="single" w:sz="4" w:space="0" w:color="auto"/>
            </w:tcBorders>
            <w:noWrap/>
            <w:hideMark/>
          </w:tcPr>
          <w:p w14:paraId="0304B7D9"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101.6</w:t>
            </w:r>
          </w:p>
        </w:tc>
        <w:tc>
          <w:tcPr>
            <w:tcW w:w="1642" w:type="dxa"/>
            <w:noWrap/>
            <w:hideMark/>
          </w:tcPr>
          <w:p w14:paraId="670DAB10"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98.7</w:t>
            </w:r>
          </w:p>
        </w:tc>
        <w:tc>
          <w:tcPr>
            <w:tcW w:w="1232" w:type="dxa"/>
            <w:noWrap/>
            <w:hideMark/>
          </w:tcPr>
          <w:p w14:paraId="12687D9A"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103.1</w:t>
            </w:r>
          </w:p>
        </w:tc>
        <w:tc>
          <w:tcPr>
            <w:tcW w:w="1309" w:type="dxa"/>
            <w:noWrap/>
            <w:hideMark/>
          </w:tcPr>
          <w:p w14:paraId="4DA73FEE"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100.3</w:t>
            </w:r>
          </w:p>
        </w:tc>
      </w:tr>
      <w:tr w:rsidR="00677577" w:rsidRPr="00561D7B" w14:paraId="78797781" w14:textId="77777777">
        <w:trPr>
          <w:trHeight w:val="340"/>
        </w:trPr>
        <w:tc>
          <w:tcPr>
            <w:tcW w:w="1805" w:type="dxa"/>
            <w:noWrap/>
            <w:hideMark/>
          </w:tcPr>
          <w:p w14:paraId="245CED0A"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Mar-2023</w:t>
            </w:r>
          </w:p>
        </w:tc>
        <w:tc>
          <w:tcPr>
            <w:tcW w:w="1437" w:type="dxa"/>
            <w:noWrap/>
            <w:hideMark/>
          </w:tcPr>
          <w:p w14:paraId="1BFE67AF"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137.3</w:t>
            </w:r>
          </w:p>
        </w:tc>
        <w:tc>
          <w:tcPr>
            <w:tcW w:w="1642" w:type="dxa"/>
            <w:noWrap/>
            <w:hideMark/>
          </w:tcPr>
          <w:p w14:paraId="09DC7041"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133.2</w:t>
            </w:r>
          </w:p>
        </w:tc>
        <w:tc>
          <w:tcPr>
            <w:tcW w:w="1232" w:type="dxa"/>
            <w:noWrap/>
            <w:hideMark/>
          </w:tcPr>
          <w:p w14:paraId="68CB329F"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138.3</w:t>
            </w:r>
          </w:p>
        </w:tc>
        <w:tc>
          <w:tcPr>
            <w:tcW w:w="1373" w:type="dxa"/>
            <w:tcBorders>
              <w:right w:val="single" w:sz="4" w:space="0" w:color="auto"/>
            </w:tcBorders>
            <w:noWrap/>
            <w:hideMark/>
          </w:tcPr>
          <w:p w14:paraId="5661E2C4"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135.4</w:t>
            </w:r>
          </w:p>
        </w:tc>
        <w:tc>
          <w:tcPr>
            <w:tcW w:w="1437" w:type="dxa"/>
            <w:tcBorders>
              <w:left w:val="single" w:sz="4" w:space="0" w:color="auto"/>
            </w:tcBorders>
            <w:noWrap/>
            <w:hideMark/>
          </w:tcPr>
          <w:p w14:paraId="04454D5A"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101.1</w:t>
            </w:r>
          </w:p>
        </w:tc>
        <w:tc>
          <w:tcPr>
            <w:tcW w:w="1642" w:type="dxa"/>
            <w:noWrap/>
            <w:hideMark/>
          </w:tcPr>
          <w:p w14:paraId="71B5287E"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98.1</w:t>
            </w:r>
          </w:p>
        </w:tc>
        <w:tc>
          <w:tcPr>
            <w:tcW w:w="1232" w:type="dxa"/>
            <w:noWrap/>
            <w:hideMark/>
          </w:tcPr>
          <w:p w14:paraId="4DDF6FD2"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101.9</w:t>
            </w:r>
          </w:p>
        </w:tc>
        <w:tc>
          <w:tcPr>
            <w:tcW w:w="1309" w:type="dxa"/>
            <w:noWrap/>
            <w:hideMark/>
          </w:tcPr>
          <w:p w14:paraId="0FD1A37C"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99.7</w:t>
            </w:r>
          </w:p>
        </w:tc>
      </w:tr>
      <w:tr w:rsidR="00677577" w:rsidRPr="00561D7B" w14:paraId="51FB7CF0" w14:textId="77777777">
        <w:trPr>
          <w:trHeight w:val="340"/>
        </w:trPr>
        <w:tc>
          <w:tcPr>
            <w:tcW w:w="1805" w:type="dxa"/>
            <w:noWrap/>
            <w:hideMark/>
          </w:tcPr>
          <w:p w14:paraId="66EA7730"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Jun-2023</w:t>
            </w:r>
          </w:p>
        </w:tc>
        <w:tc>
          <w:tcPr>
            <w:tcW w:w="1437" w:type="dxa"/>
            <w:noWrap/>
            <w:hideMark/>
          </w:tcPr>
          <w:p w14:paraId="4BEB58DC"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138.1</w:t>
            </w:r>
          </w:p>
        </w:tc>
        <w:tc>
          <w:tcPr>
            <w:tcW w:w="1642" w:type="dxa"/>
            <w:noWrap/>
            <w:hideMark/>
          </w:tcPr>
          <w:p w14:paraId="1EBCC365"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134.1</w:t>
            </w:r>
          </w:p>
        </w:tc>
        <w:tc>
          <w:tcPr>
            <w:tcW w:w="1232" w:type="dxa"/>
            <w:noWrap/>
            <w:hideMark/>
          </w:tcPr>
          <w:p w14:paraId="4AA0BA81"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138.3</w:t>
            </w:r>
          </w:p>
        </w:tc>
        <w:tc>
          <w:tcPr>
            <w:tcW w:w="1373" w:type="dxa"/>
            <w:tcBorders>
              <w:right w:val="single" w:sz="4" w:space="0" w:color="auto"/>
            </w:tcBorders>
            <w:noWrap/>
            <w:hideMark/>
          </w:tcPr>
          <w:p w14:paraId="131FC547"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136.2</w:t>
            </w:r>
          </w:p>
        </w:tc>
        <w:tc>
          <w:tcPr>
            <w:tcW w:w="1437" w:type="dxa"/>
            <w:tcBorders>
              <w:left w:val="single" w:sz="4" w:space="0" w:color="auto"/>
            </w:tcBorders>
            <w:noWrap/>
            <w:hideMark/>
          </w:tcPr>
          <w:p w14:paraId="44DFE32C"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100.6</w:t>
            </w:r>
          </w:p>
        </w:tc>
        <w:tc>
          <w:tcPr>
            <w:tcW w:w="1642" w:type="dxa"/>
            <w:noWrap/>
            <w:hideMark/>
          </w:tcPr>
          <w:p w14:paraId="5C1AF988"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97.7</w:t>
            </w:r>
          </w:p>
        </w:tc>
        <w:tc>
          <w:tcPr>
            <w:tcW w:w="1232" w:type="dxa"/>
            <w:noWrap/>
            <w:hideMark/>
          </w:tcPr>
          <w:p w14:paraId="11E3BB7D"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100.8</w:t>
            </w:r>
          </w:p>
        </w:tc>
        <w:tc>
          <w:tcPr>
            <w:tcW w:w="1309" w:type="dxa"/>
            <w:noWrap/>
            <w:hideMark/>
          </w:tcPr>
          <w:p w14:paraId="689C5F28"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99.3</w:t>
            </w:r>
          </w:p>
        </w:tc>
      </w:tr>
      <w:tr w:rsidR="00677577" w:rsidRPr="00561D7B" w14:paraId="57BAB4B4" w14:textId="77777777">
        <w:trPr>
          <w:trHeight w:val="340"/>
        </w:trPr>
        <w:tc>
          <w:tcPr>
            <w:tcW w:w="1805" w:type="dxa"/>
            <w:noWrap/>
            <w:hideMark/>
          </w:tcPr>
          <w:p w14:paraId="37F4E33F"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Sep-2023</w:t>
            </w:r>
          </w:p>
        </w:tc>
        <w:tc>
          <w:tcPr>
            <w:tcW w:w="1437" w:type="dxa"/>
            <w:noWrap/>
            <w:hideMark/>
          </w:tcPr>
          <w:p w14:paraId="48BEBC7B"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140.6</w:t>
            </w:r>
          </w:p>
        </w:tc>
        <w:tc>
          <w:tcPr>
            <w:tcW w:w="1642" w:type="dxa"/>
            <w:noWrap/>
            <w:hideMark/>
          </w:tcPr>
          <w:p w14:paraId="5851974B"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136.0</w:t>
            </w:r>
          </w:p>
        </w:tc>
        <w:tc>
          <w:tcPr>
            <w:tcW w:w="1232" w:type="dxa"/>
            <w:noWrap/>
            <w:hideMark/>
          </w:tcPr>
          <w:p w14:paraId="4D260591"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144.6</w:t>
            </w:r>
          </w:p>
        </w:tc>
        <w:tc>
          <w:tcPr>
            <w:tcW w:w="1373" w:type="dxa"/>
            <w:tcBorders>
              <w:right w:val="single" w:sz="4" w:space="0" w:color="auto"/>
            </w:tcBorders>
            <w:noWrap/>
            <w:hideMark/>
          </w:tcPr>
          <w:p w14:paraId="46B0660A"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138.7</w:t>
            </w:r>
          </w:p>
        </w:tc>
        <w:tc>
          <w:tcPr>
            <w:tcW w:w="1437" w:type="dxa"/>
            <w:tcBorders>
              <w:left w:val="single" w:sz="4" w:space="0" w:color="auto"/>
            </w:tcBorders>
            <w:noWrap/>
            <w:hideMark/>
          </w:tcPr>
          <w:p w14:paraId="784769B7"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101.7</w:t>
            </w:r>
          </w:p>
        </w:tc>
        <w:tc>
          <w:tcPr>
            <w:tcW w:w="1642" w:type="dxa"/>
            <w:noWrap/>
            <w:hideMark/>
          </w:tcPr>
          <w:p w14:paraId="66AF9ABF"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98.4</w:t>
            </w:r>
          </w:p>
        </w:tc>
        <w:tc>
          <w:tcPr>
            <w:tcW w:w="1232" w:type="dxa"/>
            <w:noWrap/>
            <w:hideMark/>
          </w:tcPr>
          <w:p w14:paraId="79D08898"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104.6</w:t>
            </w:r>
          </w:p>
        </w:tc>
        <w:tc>
          <w:tcPr>
            <w:tcW w:w="1309" w:type="dxa"/>
            <w:noWrap/>
            <w:hideMark/>
          </w:tcPr>
          <w:p w14:paraId="50152F0C"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100.3</w:t>
            </w:r>
          </w:p>
        </w:tc>
      </w:tr>
      <w:tr w:rsidR="00677577" w:rsidRPr="00561D7B" w14:paraId="5143CD63" w14:textId="77777777">
        <w:trPr>
          <w:trHeight w:val="340"/>
        </w:trPr>
        <w:tc>
          <w:tcPr>
            <w:tcW w:w="1805" w:type="dxa"/>
            <w:noWrap/>
            <w:hideMark/>
          </w:tcPr>
          <w:p w14:paraId="30B332F6"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Dec-2023</w:t>
            </w:r>
          </w:p>
        </w:tc>
        <w:tc>
          <w:tcPr>
            <w:tcW w:w="1437" w:type="dxa"/>
            <w:noWrap/>
            <w:hideMark/>
          </w:tcPr>
          <w:p w14:paraId="65B6CB7A"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142.4</w:t>
            </w:r>
          </w:p>
        </w:tc>
        <w:tc>
          <w:tcPr>
            <w:tcW w:w="1642" w:type="dxa"/>
            <w:noWrap/>
            <w:hideMark/>
          </w:tcPr>
          <w:p w14:paraId="30A8E56E"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137.1</w:t>
            </w:r>
          </w:p>
        </w:tc>
        <w:tc>
          <w:tcPr>
            <w:tcW w:w="1232" w:type="dxa"/>
            <w:noWrap/>
            <w:hideMark/>
          </w:tcPr>
          <w:p w14:paraId="5A768C32"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145.8</w:t>
            </w:r>
          </w:p>
        </w:tc>
        <w:tc>
          <w:tcPr>
            <w:tcW w:w="1373" w:type="dxa"/>
            <w:tcBorders>
              <w:right w:val="single" w:sz="4" w:space="0" w:color="auto"/>
            </w:tcBorders>
            <w:noWrap/>
            <w:hideMark/>
          </w:tcPr>
          <w:p w14:paraId="10ED2ED6"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140.1</w:t>
            </w:r>
          </w:p>
        </w:tc>
        <w:tc>
          <w:tcPr>
            <w:tcW w:w="1437" w:type="dxa"/>
            <w:tcBorders>
              <w:left w:val="single" w:sz="4" w:space="0" w:color="auto"/>
            </w:tcBorders>
            <w:noWrap/>
            <w:hideMark/>
          </w:tcPr>
          <w:p w14:paraId="762A84F5"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102.5</w:t>
            </w:r>
          </w:p>
        </w:tc>
        <w:tc>
          <w:tcPr>
            <w:tcW w:w="1642" w:type="dxa"/>
            <w:noWrap/>
            <w:hideMark/>
          </w:tcPr>
          <w:p w14:paraId="583B9434"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98.7</w:t>
            </w:r>
          </w:p>
        </w:tc>
        <w:tc>
          <w:tcPr>
            <w:tcW w:w="1232" w:type="dxa"/>
            <w:noWrap/>
            <w:hideMark/>
          </w:tcPr>
          <w:p w14:paraId="00B169A2"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105.0</w:t>
            </w:r>
          </w:p>
        </w:tc>
        <w:tc>
          <w:tcPr>
            <w:tcW w:w="1309" w:type="dxa"/>
            <w:noWrap/>
            <w:hideMark/>
          </w:tcPr>
          <w:p w14:paraId="312E1E0E"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100.8</w:t>
            </w:r>
          </w:p>
        </w:tc>
      </w:tr>
      <w:tr w:rsidR="00677577" w:rsidRPr="00561D7B" w14:paraId="6F51582C" w14:textId="77777777">
        <w:trPr>
          <w:trHeight w:val="340"/>
        </w:trPr>
        <w:tc>
          <w:tcPr>
            <w:tcW w:w="1805" w:type="dxa"/>
            <w:noWrap/>
            <w:hideMark/>
          </w:tcPr>
          <w:p w14:paraId="312B2D30"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Mar-2024</w:t>
            </w:r>
          </w:p>
        </w:tc>
        <w:tc>
          <w:tcPr>
            <w:tcW w:w="1437" w:type="dxa"/>
            <w:noWrap/>
            <w:hideMark/>
          </w:tcPr>
          <w:p w14:paraId="607160E7"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143.2</w:t>
            </w:r>
          </w:p>
        </w:tc>
        <w:tc>
          <w:tcPr>
            <w:tcW w:w="1642" w:type="dxa"/>
            <w:noWrap/>
            <w:hideMark/>
          </w:tcPr>
          <w:p w14:paraId="789F6F48"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138.0</w:t>
            </w:r>
          </w:p>
        </w:tc>
        <w:tc>
          <w:tcPr>
            <w:tcW w:w="1232" w:type="dxa"/>
            <w:noWrap/>
            <w:hideMark/>
          </w:tcPr>
          <w:p w14:paraId="177D168B"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146.0</w:t>
            </w:r>
          </w:p>
        </w:tc>
        <w:tc>
          <w:tcPr>
            <w:tcW w:w="1373" w:type="dxa"/>
            <w:tcBorders>
              <w:right w:val="single" w:sz="4" w:space="0" w:color="auto"/>
            </w:tcBorders>
            <w:noWrap/>
            <w:hideMark/>
          </w:tcPr>
          <w:p w14:paraId="34D68FDD"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140.9</w:t>
            </w:r>
          </w:p>
        </w:tc>
        <w:tc>
          <w:tcPr>
            <w:tcW w:w="1437" w:type="dxa"/>
            <w:tcBorders>
              <w:left w:val="single" w:sz="4" w:space="0" w:color="auto"/>
            </w:tcBorders>
            <w:noWrap/>
            <w:hideMark/>
          </w:tcPr>
          <w:p w14:paraId="2659E20F"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102.1</w:t>
            </w:r>
          </w:p>
        </w:tc>
        <w:tc>
          <w:tcPr>
            <w:tcW w:w="1642" w:type="dxa"/>
            <w:noWrap/>
            <w:hideMark/>
          </w:tcPr>
          <w:p w14:paraId="61422BF2"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98.4</w:t>
            </w:r>
          </w:p>
        </w:tc>
        <w:tc>
          <w:tcPr>
            <w:tcW w:w="1232" w:type="dxa"/>
            <w:noWrap/>
            <w:hideMark/>
          </w:tcPr>
          <w:p w14:paraId="429CBC3B"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104.1</w:t>
            </w:r>
          </w:p>
        </w:tc>
        <w:tc>
          <w:tcPr>
            <w:tcW w:w="1309" w:type="dxa"/>
            <w:noWrap/>
            <w:hideMark/>
          </w:tcPr>
          <w:p w14:paraId="11EDEAB2"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100.5</w:t>
            </w:r>
          </w:p>
        </w:tc>
      </w:tr>
      <w:tr w:rsidR="00677577" w:rsidRPr="00561D7B" w14:paraId="41D633F4" w14:textId="77777777">
        <w:trPr>
          <w:trHeight w:val="340"/>
        </w:trPr>
        <w:tc>
          <w:tcPr>
            <w:tcW w:w="1805" w:type="dxa"/>
            <w:noWrap/>
            <w:hideMark/>
          </w:tcPr>
          <w:p w14:paraId="1EB081F4"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Jun-2024</w:t>
            </w:r>
          </w:p>
        </w:tc>
        <w:tc>
          <w:tcPr>
            <w:tcW w:w="1437" w:type="dxa"/>
            <w:noWrap/>
            <w:hideMark/>
          </w:tcPr>
          <w:p w14:paraId="74762BC1"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144.0</w:t>
            </w:r>
          </w:p>
        </w:tc>
        <w:tc>
          <w:tcPr>
            <w:tcW w:w="1642" w:type="dxa"/>
            <w:noWrap/>
            <w:hideMark/>
          </w:tcPr>
          <w:p w14:paraId="74797B34"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138.9</w:t>
            </w:r>
          </w:p>
        </w:tc>
        <w:tc>
          <w:tcPr>
            <w:tcW w:w="1232" w:type="dxa"/>
            <w:noWrap/>
            <w:hideMark/>
          </w:tcPr>
          <w:p w14:paraId="73786FE6"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146.1</w:t>
            </w:r>
          </w:p>
        </w:tc>
        <w:tc>
          <w:tcPr>
            <w:tcW w:w="1373" w:type="dxa"/>
            <w:tcBorders>
              <w:right w:val="single" w:sz="4" w:space="0" w:color="auto"/>
            </w:tcBorders>
            <w:noWrap/>
            <w:hideMark/>
          </w:tcPr>
          <w:p w14:paraId="6E69CE0D"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141.7</w:t>
            </w:r>
          </w:p>
        </w:tc>
        <w:tc>
          <w:tcPr>
            <w:tcW w:w="1437" w:type="dxa"/>
            <w:tcBorders>
              <w:left w:val="single" w:sz="4" w:space="0" w:color="auto"/>
            </w:tcBorders>
            <w:noWrap/>
            <w:hideMark/>
          </w:tcPr>
          <w:p w14:paraId="6C12C088"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101.8</w:t>
            </w:r>
          </w:p>
        </w:tc>
        <w:tc>
          <w:tcPr>
            <w:tcW w:w="1642" w:type="dxa"/>
            <w:noWrap/>
            <w:hideMark/>
          </w:tcPr>
          <w:p w14:paraId="26710C55"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98.2</w:t>
            </w:r>
          </w:p>
        </w:tc>
        <w:tc>
          <w:tcPr>
            <w:tcW w:w="1232" w:type="dxa"/>
            <w:noWrap/>
            <w:hideMark/>
          </w:tcPr>
          <w:p w14:paraId="59F2D425"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103.3</w:t>
            </w:r>
          </w:p>
        </w:tc>
        <w:tc>
          <w:tcPr>
            <w:tcW w:w="1309" w:type="dxa"/>
            <w:noWrap/>
            <w:hideMark/>
          </w:tcPr>
          <w:p w14:paraId="53C18348"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100.2</w:t>
            </w:r>
          </w:p>
        </w:tc>
      </w:tr>
      <w:tr w:rsidR="00677577" w:rsidRPr="00561D7B" w14:paraId="230EDBDA" w14:textId="77777777">
        <w:trPr>
          <w:trHeight w:val="340"/>
        </w:trPr>
        <w:tc>
          <w:tcPr>
            <w:tcW w:w="1805" w:type="dxa"/>
            <w:tcBorders>
              <w:bottom w:val="nil"/>
            </w:tcBorders>
            <w:noWrap/>
            <w:hideMark/>
          </w:tcPr>
          <w:p w14:paraId="5193E677"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Sep-2024</w:t>
            </w:r>
          </w:p>
        </w:tc>
        <w:tc>
          <w:tcPr>
            <w:tcW w:w="1437" w:type="dxa"/>
            <w:tcBorders>
              <w:bottom w:val="nil"/>
            </w:tcBorders>
            <w:noWrap/>
            <w:hideMark/>
          </w:tcPr>
          <w:p w14:paraId="31FD405E"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145.8</w:t>
            </w:r>
          </w:p>
        </w:tc>
        <w:tc>
          <w:tcPr>
            <w:tcW w:w="1642" w:type="dxa"/>
            <w:tcBorders>
              <w:bottom w:val="nil"/>
            </w:tcBorders>
            <w:noWrap/>
            <w:hideMark/>
          </w:tcPr>
          <w:p w14:paraId="5B9B2785"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140.6</w:t>
            </w:r>
          </w:p>
        </w:tc>
        <w:tc>
          <w:tcPr>
            <w:tcW w:w="1232" w:type="dxa"/>
            <w:tcBorders>
              <w:bottom w:val="nil"/>
            </w:tcBorders>
            <w:noWrap/>
            <w:hideMark/>
          </w:tcPr>
          <w:p w14:paraId="6A47FD32"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150.0</w:t>
            </w:r>
          </w:p>
        </w:tc>
        <w:tc>
          <w:tcPr>
            <w:tcW w:w="1373" w:type="dxa"/>
            <w:tcBorders>
              <w:bottom w:val="nil"/>
              <w:right w:val="single" w:sz="4" w:space="0" w:color="auto"/>
            </w:tcBorders>
            <w:noWrap/>
            <w:hideMark/>
          </w:tcPr>
          <w:p w14:paraId="66C945DF"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143.6</w:t>
            </w:r>
          </w:p>
        </w:tc>
        <w:tc>
          <w:tcPr>
            <w:tcW w:w="1437" w:type="dxa"/>
            <w:tcBorders>
              <w:left w:val="single" w:sz="4" w:space="0" w:color="auto"/>
              <w:bottom w:val="nil"/>
            </w:tcBorders>
            <w:noWrap/>
            <w:hideMark/>
          </w:tcPr>
          <w:p w14:paraId="528A6CA1"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102.8</w:t>
            </w:r>
          </w:p>
        </w:tc>
        <w:tc>
          <w:tcPr>
            <w:tcW w:w="1642" w:type="dxa"/>
            <w:tcBorders>
              <w:bottom w:val="nil"/>
            </w:tcBorders>
            <w:noWrap/>
            <w:hideMark/>
          </w:tcPr>
          <w:p w14:paraId="2376368E"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99.1</w:t>
            </w:r>
          </w:p>
        </w:tc>
        <w:tc>
          <w:tcPr>
            <w:tcW w:w="1232" w:type="dxa"/>
            <w:tcBorders>
              <w:bottom w:val="nil"/>
            </w:tcBorders>
            <w:noWrap/>
            <w:hideMark/>
          </w:tcPr>
          <w:p w14:paraId="0917A5CE"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105.7</w:t>
            </w:r>
          </w:p>
        </w:tc>
        <w:tc>
          <w:tcPr>
            <w:tcW w:w="1309" w:type="dxa"/>
            <w:tcBorders>
              <w:bottom w:val="nil"/>
            </w:tcBorders>
            <w:noWrap/>
            <w:hideMark/>
          </w:tcPr>
          <w:p w14:paraId="6B40767F"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101.2</w:t>
            </w:r>
          </w:p>
        </w:tc>
      </w:tr>
      <w:tr w:rsidR="00677577" w:rsidRPr="00561D7B" w14:paraId="0AD37924" w14:textId="77777777">
        <w:trPr>
          <w:trHeight w:val="340"/>
        </w:trPr>
        <w:tc>
          <w:tcPr>
            <w:tcW w:w="1805" w:type="dxa"/>
            <w:tcBorders>
              <w:top w:val="nil"/>
              <w:bottom w:val="single" w:sz="4" w:space="0" w:color="auto"/>
            </w:tcBorders>
            <w:noWrap/>
            <w:hideMark/>
          </w:tcPr>
          <w:p w14:paraId="0C14FB76"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Dec-2024</w:t>
            </w:r>
          </w:p>
        </w:tc>
        <w:tc>
          <w:tcPr>
            <w:tcW w:w="1437" w:type="dxa"/>
            <w:tcBorders>
              <w:top w:val="nil"/>
              <w:bottom w:val="single" w:sz="4" w:space="0" w:color="auto"/>
            </w:tcBorders>
            <w:noWrap/>
            <w:hideMark/>
          </w:tcPr>
          <w:p w14:paraId="1BFF995D"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146.9</w:t>
            </w:r>
          </w:p>
        </w:tc>
        <w:tc>
          <w:tcPr>
            <w:tcW w:w="1642" w:type="dxa"/>
            <w:tcBorders>
              <w:top w:val="nil"/>
              <w:bottom w:val="single" w:sz="4" w:space="0" w:color="auto"/>
            </w:tcBorders>
            <w:noWrap/>
            <w:hideMark/>
          </w:tcPr>
          <w:p w14:paraId="37AB40CE"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141.5</w:t>
            </w:r>
          </w:p>
        </w:tc>
        <w:tc>
          <w:tcPr>
            <w:tcW w:w="1232" w:type="dxa"/>
            <w:tcBorders>
              <w:top w:val="nil"/>
              <w:bottom w:val="single" w:sz="4" w:space="0" w:color="auto"/>
            </w:tcBorders>
            <w:noWrap/>
            <w:hideMark/>
          </w:tcPr>
          <w:p w14:paraId="3FE1E545"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150.2</w:t>
            </w:r>
          </w:p>
        </w:tc>
        <w:tc>
          <w:tcPr>
            <w:tcW w:w="1373" w:type="dxa"/>
            <w:tcBorders>
              <w:top w:val="nil"/>
              <w:bottom w:val="single" w:sz="4" w:space="0" w:color="auto"/>
              <w:right w:val="single" w:sz="4" w:space="0" w:color="auto"/>
            </w:tcBorders>
            <w:noWrap/>
            <w:hideMark/>
          </w:tcPr>
          <w:p w14:paraId="58255804"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144.6</w:t>
            </w:r>
          </w:p>
        </w:tc>
        <w:tc>
          <w:tcPr>
            <w:tcW w:w="1437" w:type="dxa"/>
            <w:tcBorders>
              <w:top w:val="nil"/>
              <w:left w:val="single" w:sz="4" w:space="0" w:color="auto"/>
              <w:bottom w:val="single" w:sz="4" w:space="0" w:color="auto"/>
            </w:tcBorders>
            <w:noWrap/>
            <w:hideMark/>
          </w:tcPr>
          <w:p w14:paraId="2BAE6407"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103.5</w:t>
            </w:r>
          </w:p>
        </w:tc>
        <w:tc>
          <w:tcPr>
            <w:tcW w:w="1642" w:type="dxa"/>
            <w:tcBorders>
              <w:top w:val="nil"/>
              <w:bottom w:val="single" w:sz="4" w:space="0" w:color="auto"/>
            </w:tcBorders>
            <w:noWrap/>
            <w:hideMark/>
          </w:tcPr>
          <w:p w14:paraId="5C401A76"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99.6</w:t>
            </w:r>
          </w:p>
        </w:tc>
        <w:tc>
          <w:tcPr>
            <w:tcW w:w="1232" w:type="dxa"/>
            <w:tcBorders>
              <w:top w:val="nil"/>
              <w:bottom w:val="single" w:sz="4" w:space="0" w:color="auto"/>
            </w:tcBorders>
            <w:noWrap/>
            <w:hideMark/>
          </w:tcPr>
          <w:p w14:paraId="22440A5E"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105.8</w:t>
            </w:r>
          </w:p>
        </w:tc>
        <w:tc>
          <w:tcPr>
            <w:tcW w:w="1309" w:type="dxa"/>
            <w:tcBorders>
              <w:top w:val="nil"/>
              <w:bottom w:val="single" w:sz="4" w:space="0" w:color="auto"/>
            </w:tcBorders>
            <w:noWrap/>
            <w:hideMark/>
          </w:tcPr>
          <w:p w14:paraId="274E8866"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101.8</w:t>
            </w:r>
          </w:p>
        </w:tc>
      </w:tr>
      <w:tr w:rsidR="00677577" w:rsidRPr="00561D7B" w14:paraId="0B79C120" w14:textId="77777777">
        <w:trPr>
          <w:trHeight w:val="340"/>
        </w:trPr>
        <w:tc>
          <w:tcPr>
            <w:tcW w:w="1805" w:type="dxa"/>
            <w:tcBorders>
              <w:top w:val="single" w:sz="4" w:space="0" w:color="auto"/>
            </w:tcBorders>
            <w:noWrap/>
            <w:hideMark/>
          </w:tcPr>
          <w:p w14:paraId="6DDB0383"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 change</w:t>
            </w:r>
          </w:p>
        </w:tc>
        <w:tc>
          <w:tcPr>
            <w:tcW w:w="1437" w:type="dxa"/>
            <w:tcBorders>
              <w:top w:val="single" w:sz="4" w:space="0" w:color="auto"/>
            </w:tcBorders>
            <w:noWrap/>
            <w:hideMark/>
          </w:tcPr>
          <w:p w14:paraId="0622A397" w14:textId="77777777" w:rsidR="00677577" w:rsidRPr="00561D7B" w:rsidRDefault="00677577">
            <w:pPr>
              <w:spacing w:after="0" w:line="240" w:lineRule="auto"/>
              <w:jc w:val="center"/>
              <w:rPr>
                <w:rFonts w:ascii="Arial" w:eastAsia="Times New Roman" w:hAnsi="Arial" w:cs="Arial"/>
                <w:sz w:val="20"/>
                <w:szCs w:val="20"/>
                <w:lang w:eastAsia="en-AU"/>
              </w:rPr>
            </w:pPr>
          </w:p>
        </w:tc>
        <w:tc>
          <w:tcPr>
            <w:tcW w:w="1642" w:type="dxa"/>
            <w:tcBorders>
              <w:top w:val="single" w:sz="4" w:space="0" w:color="auto"/>
            </w:tcBorders>
            <w:noWrap/>
            <w:hideMark/>
          </w:tcPr>
          <w:p w14:paraId="79EA9A04" w14:textId="77777777" w:rsidR="00677577" w:rsidRPr="00561D7B" w:rsidRDefault="00677577">
            <w:pPr>
              <w:spacing w:after="0" w:line="240" w:lineRule="auto"/>
              <w:jc w:val="center"/>
              <w:rPr>
                <w:rFonts w:ascii="Times New Roman" w:eastAsia="Times New Roman" w:hAnsi="Times New Roman" w:cs="Times New Roman"/>
                <w:sz w:val="20"/>
                <w:szCs w:val="20"/>
                <w:lang w:eastAsia="en-AU"/>
              </w:rPr>
            </w:pPr>
          </w:p>
        </w:tc>
        <w:tc>
          <w:tcPr>
            <w:tcW w:w="1232" w:type="dxa"/>
            <w:tcBorders>
              <w:top w:val="single" w:sz="4" w:space="0" w:color="auto"/>
            </w:tcBorders>
            <w:noWrap/>
            <w:hideMark/>
          </w:tcPr>
          <w:p w14:paraId="38237434" w14:textId="77777777" w:rsidR="00677577" w:rsidRPr="00561D7B" w:rsidRDefault="00677577">
            <w:pPr>
              <w:spacing w:after="0" w:line="240" w:lineRule="auto"/>
              <w:jc w:val="center"/>
              <w:rPr>
                <w:rFonts w:ascii="Times New Roman" w:eastAsia="Times New Roman" w:hAnsi="Times New Roman" w:cs="Times New Roman"/>
                <w:sz w:val="20"/>
                <w:szCs w:val="20"/>
                <w:lang w:eastAsia="en-AU"/>
              </w:rPr>
            </w:pPr>
          </w:p>
        </w:tc>
        <w:tc>
          <w:tcPr>
            <w:tcW w:w="1373" w:type="dxa"/>
            <w:tcBorders>
              <w:top w:val="single" w:sz="4" w:space="0" w:color="auto"/>
              <w:right w:val="single" w:sz="4" w:space="0" w:color="auto"/>
            </w:tcBorders>
            <w:noWrap/>
            <w:hideMark/>
          </w:tcPr>
          <w:p w14:paraId="432DC655" w14:textId="77777777" w:rsidR="00677577" w:rsidRPr="00561D7B" w:rsidRDefault="00677577">
            <w:pPr>
              <w:spacing w:after="0" w:line="240" w:lineRule="auto"/>
              <w:jc w:val="center"/>
              <w:rPr>
                <w:rFonts w:ascii="Times New Roman" w:eastAsia="Times New Roman" w:hAnsi="Times New Roman" w:cs="Times New Roman"/>
                <w:sz w:val="20"/>
                <w:szCs w:val="20"/>
                <w:lang w:eastAsia="en-AU"/>
              </w:rPr>
            </w:pPr>
          </w:p>
        </w:tc>
        <w:tc>
          <w:tcPr>
            <w:tcW w:w="1437" w:type="dxa"/>
            <w:tcBorders>
              <w:top w:val="single" w:sz="4" w:space="0" w:color="auto"/>
              <w:left w:val="single" w:sz="4" w:space="0" w:color="auto"/>
            </w:tcBorders>
            <w:noWrap/>
            <w:hideMark/>
          </w:tcPr>
          <w:p w14:paraId="4E1E83BE" w14:textId="77777777" w:rsidR="00677577" w:rsidRPr="00561D7B" w:rsidRDefault="00677577">
            <w:pPr>
              <w:spacing w:after="0" w:line="240" w:lineRule="auto"/>
              <w:jc w:val="center"/>
              <w:rPr>
                <w:rFonts w:ascii="Times New Roman" w:eastAsia="Times New Roman" w:hAnsi="Times New Roman" w:cs="Times New Roman"/>
                <w:sz w:val="20"/>
                <w:szCs w:val="20"/>
                <w:lang w:eastAsia="en-AU"/>
              </w:rPr>
            </w:pPr>
          </w:p>
        </w:tc>
        <w:tc>
          <w:tcPr>
            <w:tcW w:w="1642" w:type="dxa"/>
            <w:tcBorders>
              <w:top w:val="single" w:sz="4" w:space="0" w:color="auto"/>
            </w:tcBorders>
            <w:noWrap/>
            <w:hideMark/>
          </w:tcPr>
          <w:p w14:paraId="03B0FA33" w14:textId="77777777" w:rsidR="00677577" w:rsidRPr="00561D7B" w:rsidRDefault="00677577">
            <w:pPr>
              <w:spacing w:after="0" w:line="240" w:lineRule="auto"/>
              <w:jc w:val="center"/>
              <w:rPr>
                <w:rFonts w:ascii="Times New Roman" w:eastAsia="Times New Roman" w:hAnsi="Times New Roman" w:cs="Times New Roman"/>
                <w:sz w:val="20"/>
                <w:szCs w:val="20"/>
                <w:lang w:eastAsia="en-AU"/>
              </w:rPr>
            </w:pPr>
          </w:p>
        </w:tc>
        <w:tc>
          <w:tcPr>
            <w:tcW w:w="1232" w:type="dxa"/>
            <w:tcBorders>
              <w:top w:val="single" w:sz="4" w:space="0" w:color="auto"/>
            </w:tcBorders>
            <w:noWrap/>
            <w:hideMark/>
          </w:tcPr>
          <w:p w14:paraId="377B38C4" w14:textId="77777777" w:rsidR="00677577" w:rsidRPr="00561D7B" w:rsidRDefault="00677577">
            <w:pPr>
              <w:spacing w:after="0" w:line="240" w:lineRule="auto"/>
              <w:jc w:val="center"/>
              <w:rPr>
                <w:rFonts w:ascii="Times New Roman" w:eastAsia="Times New Roman" w:hAnsi="Times New Roman" w:cs="Times New Roman"/>
                <w:sz w:val="20"/>
                <w:szCs w:val="20"/>
                <w:lang w:eastAsia="en-AU"/>
              </w:rPr>
            </w:pPr>
          </w:p>
        </w:tc>
        <w:tc>
          <w:tcPr>
            <w:tcW w:w="1309" w:type="dxa"/>
            <w:tcBorders>
              <w:top w:val="single" w:sz="4" w:space="0" w:color="auto"/>
            </w:tcBorders>
            <w:noWrap/>
            <w:hideMark/>
          </w:tcPr>
          <w:p w14:paraId="0D3D8090" w14:textId="77777777" w:rsidR="00677577" w:rsidRPr="00561D7B" w:rsidRDefault="00677577">
            <w:pPr>
              <w:spacing w:after="0" w:line="240" w:lineRule="auto"/>
              <w:jc w:val="center"/>
              <w:rPr>
                <w:rFonts w:ascii="Times New Roman" w:eastAsia="Times New Roman" w:hAnsi="Times New Roman" w:cs="Times New Roman"/>
                <w:sz w:val="20"/>
                <w:szCs w:val="20"/>
                <w:lang w:eastAsia="en-AU"/>
              </w:rPr>
            </w:pPr>
          </w:p>
        </w:tc>
      </w:tr>
      <w:tr w:rsidR="00677577" w:rsidRPr="00561D7B" w14:paraId="17A77809" w14:textId="77777777">
        <w:trPr>
          <w:trHeight w:val="340"/>
        </w:trPr>
        <w:tc>
          <w:tcPr>
            <w:tcW w:w="1805" w:type="dxa"/>
            <w:noWrap/>
            <w:hideMark/>
          </w:tcPr>
          <w:p w14:paraId="58F28D90"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Dec-10 to Dec-22</w:t>
            </w:r>
          </w:p>
        </w:tc>
        <w:tc>
          <w:tcPr>
            <w:tcW w:w="1437" w:type="dxa"/>
            <w:noWrap/>
            <w:hideMark/>
          </w:tcPr>
          <w:p w14:paraId="6C2DBC34"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36.0%</w:t>
            </w:r>
          </w:p>
        </w:tc>
        <w:tc>
          <w:tcPr>
            <w:tcW w:w="1642" w:type="dxa"/>
            <w:noWrap/>
            <w:hideMark/>
          </w:tcPr>
          <w:p w14:paraId="319A1080"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32.2%</w:t>
            </w:r>
          </w:p>
        </w:tc>
        <w:tc>
          <w:tcPr>
            <w:tcW w:w="1232" w:type="dxa"/>
            <w:noWrap/>
            <w:hideMark/>
          </w:tcPr>
          <w:p w14:paraId="7E77D0D8"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38.1%</w:t>
            </w:r>
          </w:p>
        </w:tc>
        <w:tc>
          <w:tcPr>
            <w:tcW w:w="1373" w:type="dxa"/>
            <w:tcBorders>
              <w:right w:val="single" w:sz="4" w:space="0" w:color="auto"/>
            </w:tcBorders>
            <w:noWrap/>
            <w:hideMark/>
          </w:tcPr>
          <w:p w14:paraId="5593E035"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34.3%</w:t>
            </w:r>
          </w:p>
        </w:tc>
        <w:tc>
          <w:tcPr>
            <w:tcW w:w="1437" w:type="dxa"/>
            <w:tcBorders>
              <w:left w:val="single" w:sz="4" w:space="0" w:color="auto"/>
            </w:tcBorders>
            <w:noWrap/>
            <w:hideMark/>
          </w:tcPr>
          <w:p w14:paraId="250D4745"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1.6%</w:t>
            </w:r>
          </w:p>
        </w:tc>
        <w:tc>
          <w:tcPr>
            <w:tcW w:w="1642" w:type="dxa"/>
            <w:noWrap/>
            <w:hideMark/>
          </w:tcPr>
          <w:p w14:paraId="0973D8C5"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-1.3%</w:t>
            </w:r>
          </w:p>
        </w:tc>
        <w:tc>
          <w:tcPr>
            <w:tcW w:w="1232" w:type="dxa"/>
            <w:noWrap/>
            <w:hideMark/>
          </w:tcPr>
          <w:p w14:paraId="3C4FA19C"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3.1%</w:t>
            </w:r>
          </w:p>
        </w:tc>
        <w:tc>
          <w:tcPr>
            <w:tcW w:w="1309" w:type="dxa"/>
            <w:noWrap/>
            <w:hideMark/>
          </w:tcPr>
          <w:p w14:paraId="55F79F4F"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0.3%</w:t>
            </w:r>
          </w:p>
        </w:tc>
      </w:tr>
      <w:tr w:rsidR="00677577" w:rsidRPr="00561D7B" w14:paraId="72F968AD" w14:textId="77777777">
        <w:trPr>
          <w:trHeight w:val="340"/>
        </w:trPr>
        <w:tc>
          <w:tcPr>
            <w:tcW w:w="1805" w:type="dxa"/>
            <w:noWrap/>
            <w:hideMark/>
          </w:tcPr>
          <w:p w14:paraId="0EB4BF0C"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Dec-22 to Dec-24</w:t>
            </w:r>
          </w:p>
        </w:tc>
        <w:tc>
          <w:tcPr>
            <w:tcW w:w="1437" w:type="dxa"/>
            <w:noWrap/>
            <w:hideMark/>
          </w:tcPr>
          <w:p w14:paraId="4711F7AA"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8.0%</w:t>
            </w:r>
          </w:p>
        </w:tc>
        <w:tc>
          <w:tcPr>
            <w:tcW w:w="1642" w:type="dxa"/>
            <w:noWrap/>
            <w:hideMark/>
          </w:tcPr>
          <w:p w14:paraId="17571977"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7.0%</w:t>
            </w:r>
          </w:p>
        </w:tc>
        <w:tc>
          <w:tcPr>
            <w:tcW w:w="1232" w:type="dxa"/>
            <w:noWrap/>
            <w:hideMark/>
          </w:tcPr>
          <w:p w14:paraId="0378A281"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8.7%</w:t>
            </w:r>
          </w:p>
        </w:tc>
        <w:tc>
          <w:tcPr>
            <w:tcW w:w="1373" w:type="dxa"/>
            <w:tcBorders>
              <w:right w:val="single" w:sz="4" w:space="0" w:color="auto"/>
            </w:tcBorders>
            <w:noWrap/>
            <w:hideMark/>
          </w:tcPr>
          <w:p w14:paraId="45FEF226"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7.6%</w:t>
            </w:r>
          </w:p>
        </w:tc>
        <w:tc>
          <w:tcPr>
            <w:tcW w:w="1437" w:type="dxa"/>
            <w:tcBorders>
              <w:left w:val="single" w:sz="4" w:space="0" w:color="auto"/>
              <w:bottom w:val="single" w:sz="4" w:space="0" w:color="auto"/>
            </w:tcBorders>
            <w:noWrap/>
            <w:hideMark/>
          </w:tcPr>
          <w:p w14:paraId="609C79FD"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1.9%</w:t>
            </w:r>
          </w:p>
        </w:tc>
        <w:tc>
          <w:tcPr>
            <w:tcW w:w="1642" w:type="dxa"/>
            <w:tcBorders>
              <w:bottom w:val="single" w:sz="4" w:space="0" w:color="auto"/>
            </w:tcBorders>
            <w:noWrap/>
            <w:hideMark/>
          </w:tcPr>
          <w:p w14:paraId="6E00C51C"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1.0%</w:t>
            </w:r>
          </w:p>
        </w:tc>
        <w:tc>
          <w:tcPr>
            <w:tcW w:w="1232" w:type="dxa"/>
            <w:tcBorders>
              <w:bottom w:val="single" w:sz="4" w:space="0" w:color="auto"/>
            </w:tcBorders>
            <w:noWrap/>
            <w:hideMark/>
          </w:tcPr>
          <w:p w14:paraId="2E96BA16"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2.6%</w:t>
            </w:r>
          </w:p>
        </w:tc>
        <w:tc>
          <w:tcPr>
            <w:tcW w:w="1309" w:type="dxa"/>
            <w:tcBorders>
              <w:bottom w:val="single" w:sz="4" w:space="0" w:color="auto"/>
            </w:tcBorders>
            <w:noWrap/>
            <w:hideMark/>
          </w:tcPr>
          <w:p w14:paraId="676D9BA8" w14:textId="77777777" w:rsidR="00677577" w:rsidRPr="00561D7B" w:rsidRDefault="00677577" w:rsidP="00767AC7">
            <w:pPr>
              <w:spacing w:after="0" w:line="240" w:lineRule="auto"/>
              <w:jc w:val="right"/>
              <w:rPr>
                <w:rFonts w:ascii="Arial" w:eastAsia="Times New Roman" w:hAnsi="Arial" w:cs="Arial"/>
                <w:sz w:val="20"/>
                <w:szCs w:val="20"/>
                <w:lang w:eastAsia="en-AU"/>
              </w:rPr>
            </w:pPr>
            <w:r w:rsidRPr="00561D7B">
              <w:rPr>
                <w:rFonts w:ascii="Arial" w:eastAsia="Times New Roman" w:hAnsi="Arial" w:cs="Arial"/>
                <w:sz w:val="20"/>
                <w:szCs w:val="20"/>
                <w:lang w:eastAsia="en-AU"/>
              </w:rPr>
              <w:t>1.5%</w:t>
            </w:r>
          </w:p>
        </w:tc>
      </w:tr>
    </w:tbl>
    <w:p w14:paraId="65319D39" w14:textId="676D4C49" w:rsidR="00677577" w:rsidRPr="007F380D" w:rsidRDefault="00677577" w:rsidP="00767AC7">
      <w:pPr>
        <w:pStyle w:val="Source"/>
      </w:pPr>
      <w:r w:rsidRPr="00767AC7">
        <w:rPr>
          <w:b/>
        </w:rPr>
        <w:t xml:space="preserve">Source: </w:t>
      </w:r>
      <w:r w:rsidRPr="007F380D">
        <w:t>ABS 6345.0 Wage Price Index, unpublished data</w:t>
      </w:r>
      <w:r w:rsidR="007F380D">
        <w:t>.</w:t>
      </w:r>
    </w:p>
    <w:p w14:paraId="50C9B644" w14:textId="77777777" w:rsidR="00677577" w:rsidRDefault="00677577" w:rsidP="00677577">
      <w:pPr>
        <w:rPr>
          <w:lang w:val="en-US"/>
        </w:rPr>
      </w:pPr>
      <w:r>
        <w:rPr>
          <w:lang w:val="en-US"/>
        </w:rPr>
        <w:br w:type="page"/>
      </w:r>
    </w:p>
    <w:p w14:paraId="00C5D92A" w14:textId="0987F012" w:rsidR="00677577" w:rsidRPr="00536436" w:rsidRDefault="00365C93" w:rsidP="007F380D">
      <w:pPr>
        <w:pStyle w:val="Caption"/>
      </w:pPr>
      <w:bookmarkStart w:id="889" w:name="_Toc194251468"/>
      <w:r>
        <w:t xml:space="preserve">Table </w:t>
      </w:r>
      <w:r>
        <w:fldChar w:fldCharType="begin"/>
      </w:r>
      <w:r>
        <w:instrText xml:space="preserve"> SEQ Table \* ARABIC </w:instrText>
      </w:r>
      <w:r>
        <w:fldChar w:fldCharType="separate"/>
      </w:r>
      <w:r w:rsidR="00DE5F5E">
        <w:rPr>
          <w:noProof/>
        </w:rPr>
        <w:t>44</w:t>
      </w:r>
      <w:r>
        <w:fldChar w:fldCharType="end"/>
      </w:r>
      <w:r>
        <w:t xml:space="preserve">: </w:t>
      </w:r>
      <w:r w:rsidR="00677577">
        <w:t>Quarterly contribution to wage</w:t>
      </w:r>
      <w:r w:rsidR="00677577" w:rsidRPr="00536436">
        <w:t xml:space="preserve"> growth by pay setting method, 2010 to 2024</w:t>
      </w:r>
      <w:bookmarkEnd w:id="889"/>
    </w:p>
    <w:tbl>
      <w:tblPr>
        <w:tblW w:w="13109" w:type="dxa"/>
        <w:tblBorders>
          <w:top w:val="single" w:sz="4" w:space="0" w:color="auto"/>
          <w:bottom w:val="single" w:sz="4" w:space="0" w:color="auto"/>
        </w:tblBorders>
        <w:tblLook w:val="04A0" w:firstRow="1" w:lastRow="0" w:firstColumn="1" w:lastColumn="0" w:noHBand="0" w:noVBand="1"/>
      </w:tblPr>
      <w:tblGrid>
        <w:gridCol w:w="1805"/>
        <w:gridCol w:w="1437"/>
        <w:gridCol w:w="1642"/>
        <w:gridCol w:w="1232"/>
        <w:gridCol w:w="1373"/>
        <w:gridCol w:w="1437"/>
        <w:gridCol w:w="1642"/>
        <w:gridCol w:w="1232"/>
        <w:gridCol w:w="1309"/>
      </w:tblGrid>
      <w:tr w:rsidR="00103757" w:rsidRPr="00365C93" w14:paraId="4F96F67C" w14:textId="77777777" w:rsidTr="00767AC7">
        <w:trPr>
          <w:trHeight w:val="340"/>
          <w:tblHeader/>
        </w:trPr>
        <w:tc>
          <w:tcPr>
            <w:tcW w:w="1805" w:type="dxa"/>
            <w:tcBorders>
              <w:top w:val="single" w:sz="4" w:space="0" w:color="auto"/>
              <w:bottom w:val="nil"/>
            </w:tcBorders>
            <w:noWrap/>
          </w:tcPr>
          <w:p w14:paraId="4128D84E" w14:textId="77777777" w:rsidR="00677577" w:rsidRPr="00767AC7" w:rsidRDefault="00677577">
            <w:pPr>
              <w:spacing w:after="0" w:line="240" w:lineRule="auto"/>
              <w:rPr>
                <w:rFonts w:ascii="Times New Roman" w:eastAsia="Times New Roman" w:hAnsi="Times New Roman" w:cs="Times New Roman"/>
                <w:b/>
                <w:sz w:val="20"/>
                <w:szCs w:val="20"/>
                <w:lang w:eastAsia="en-AU"/>
              </w:rPr>
            </w:pPr>
          </w:p>
        </w:tc>
        <w:tc>
          <w:tcPr>
            <w:tcW w:w="4311" w:type="dxa"/>
            <w:gridSpan w:val="3"/>
            <w:tcBorders>
              <w:top w:val="single" w:sz="4" w:space="0" w:color="auto"/>
              <w:bottom w:val="nil"/>
            </w:tcBorders>
            <w:noWrap/>
          </w:tcPr>
          <w:p w14:paraId="56FEFD14" w14:textId="77777777" w:rsidR="00677577" w:rsidRPr="00767AC7" w:rsidRDefault="00677577">
            <w:pPr>
              <w:spacing w:after="0" w:line="240" w:lineRule="auto"/>
              <w:jc w:val="center"/>
              <w:rPr>
                <w:rFonts w:ascii="Arial" w:eastAsia="Times New Roman" w:hAnsi="Arial" w:cs="Arial"/>
                <w:b/>
                <w:sz w:val="20"/>
                <w:szCs w:val="20"/>
                <w:lang w:eastAsia="en-AU"/>
              </w:rPr>
            </w:pPr>
            <w:r w:rsidRPr="00767AC7">
              <w:rPr>
                <w:rFonts w:ascii="Arial" w:eastAsia="Times New Roman" w:hAnsi="Arial" w:cs="Arial"/>
                <w:b/>
                <w:sz w:val="20"/>
                <w:szCs w:val="20"/>
                <w:lang w:eastAsia="en-AU"/>
              </w:rPr>
              <w:t>%-point change</w:t>
            </w:r>
          </w:p>
        </w:tc>
        <w:tc>
          <w:tcPr>
            <w:tcW w:w="1373" w:type="dxa"/>
            <w:vMerge w:val="restart"/>
            <w:tcBorders>
              <w:top w:val="single" w:sz="4" w:space="0" w:color="auto"/>
              <w:right w:val="single" w:sz="4" w:space="0" w:color="auto"/>
            </w:tcBorders>
            <w:noWrap/>
          </w:tcPr>
          <w:p w14:paraId="0F3FDE48" w14:textId="77777777" w:rsidR="00677577" w:rsidRPr="00767AC7" w:rsidRDefault="00677577">
            <w:pPr>
              <w:spacing w:after="0" w:line="240" w:lineRule="auto"/>
              <w:jc w:val="center"/>
              <w:rPr>
                <w:rFonts w:ascii="Arial" w:eastAsia="Times New Roman" w:hAnsi="Arial" w:cs="Arial"/>
                <w:b/>
                <w:sz w:val="20"/>
                <w:szCs w:val="20"/>
                <w:lang w:eastAsia="en-AU"/>
              </w:rPr>
            </w:pPr>
            <w:r w:rsidRPr="00767AC7">
              <w:rPr>
                <w:rFonts w:ascii="Arial" w:eastAsia="Times New Roman" w:hAnsi="Arial" w:cs="Arial"/>
                <w:b/>
                <w:sz w:val="20"/>
                <w:szCs w:val="20"/>
                <w:lang w:eastAsia="en-AU"/>
              </w:rPr>
              <w:t>% change,</w:t>
            </w:r>
          </w:p>
          <w:p w14:paraId="203F26DB" w14:textId="271680F1" w:rsidR="00677577" w:rsidRPr="00767AC7" w:rsidRDefault="00677577">
            <w:pPr>
              <w:spacing w:after="0" w:line="240" w:lineRule="auto"/>
              <w:jc w:val="center"/>
              <w:rPr>
                <w:rFonts w:ascii="Arial" w:eastAsia="Times New Roman" w:hAnsi="Arial" w:cs="Arial"/>
                <w:b/>
                <w:sz w:val="20"/>
                <w:szCs w:val="20"/>
                <w:lang w:eastAsia="en-AU"/>
              </w:rPr>
            </w:pPr>
            <w:r w:rsidRPr="00767AC7">
              <w:rPr>
                <w:rFonts w:ascii="Arial" w:eastAsia="Times New Roman" w:hAnsi="Arial" w:cs="Arial"/>
                <w:b/>
                <w:sz w:val="20"/>
                <w:szCs w:val="20"/>
                <w:lang w:eastAsia="en-AU"/>
              </w:rPr>
              <w:t xml:space="preserve">All </w:t>
            </w:r>
            <w:r w:rsidR="00702D44" w:rsidRPr="00767AC7">
              <w:rPr>
                <w:rFonts w:ascii="Arial" w:eastAsia="Times New Roman" w:hAnsi="Arial" w:cs="Arial"/>
                <w:b/>
                <w:sz w:val="20"/>
                <w:szCs w:val="20"/>
                <w:lang w:eastAsia="en-AU"/>
              </w:rPr>
              <w:t>i</w:t>
            </w:r>
            <w:r w:rsidRPr="00767AC7">
              <w:rPr>
                <w:rFonts w:ascii="Arial" w:eastAsia="Times New Roman" w:hAnsi="Arial" w:cs="Arial"/>
                <w:b/>
                <w:sz w:val="20"/>
                <w:szCs w:val="20"/>
                <w:lang w:eastAsia="en-AU"/>
              </w:rPr>
              <w:t>ndustries</w:t>
            </w:r>
          </w:p>
        </w:tc>
        <w:tc>
          <w:tcPr>
            <w:tcW w:w="4311" w:type="dxa"/>
            <w:gridSpan w:val="3"/>
            <w:tcBorders>
              <w:top w:val="single" w:sz="4" w:space="0" w:color="auto"/>
              <w:left w:val="single" w:sz="4" w:space="0" w:color="auto"/>
              <w:bottom w:val="nil"/>
            </w:tcBorders>
            <w:noWrap/>
          </w:tcPr>
          <w:p w14:paraId="31C269F7" w14:textId="77777777" w:rsidR="00677577" w:rsidRPr="00767AC7" w:rsidRDefault="00677577">
            <w:pPr>
              <w:spacing w:after="0" w:line="240" w:lineRule="auto"/>
              <w:jc w:val="center"/>
              <w:rPr>
                <w:rFonts w:ascii="Arial" w:eastAsia="Times New Roman" w:hAnsi="Arial" w:cs="Arial"/>
                <w:b/>
                <w:sz w:val="20"/>
                <w:szCs w:val="20"/>
                <w:lang w:eastAsia="en-AU"/>
              </w:rPr>
            </w:pPr>
            <w:r w:rsidRPr="00767AC7">
              <w:rPr>
                <w:rFonts w:ascii="Arial" w:eastAsia="Times New Roman" w:hAnsi="Arial" w:cs="Arial"/>
                <w:b/>
                <w:sz w:val="20"/>
                <w:szCs w:val="20"/>
                <w:lang w:eastAsia="en-AU"/>
              </w:rPr>
              <w:t>% contribution</w:t>
            </w:r>
          </w:p>
        </w:tc>
        <w:tc>
          <w:tcPr>
            <w:tcW w:w="1309" w:type="dxa"/>
            <w:tcBorders>
              <w:top w:val="single" w:sz="4" w:space="0" w:color="auto"/>
              <w:bottom w:val="nil"/>
            </w:tcBorders>
            <w:noWrap/>
          </w:tcPr>
          <w:p w14:paraId="0A67EA5F" w14:textId="77777777" w:rsidR="00677577" w:rsidRPr="00767AC7" w:rsidRDefault="00677577">
            <w:pPr>
              <w:spacing w:after="0" w:line="240" w:lineRule="auto"/>
              <w:jc w:val="center"/>
              <w:rPr>
                <w:rFonts w:ascii="Arial" w:eastAsia="Times New Roman" w:hAnsi="Arial" w:cs="Arial"/>
                <w:b/>
                <w:sz w:val="20"/>
                <w:szCs w:val="20"/>
                <w:lang w:eastAsia="en-AU"/>
              </w:rPr>
            </w:pPr>
          </w:p>
        </w:tc>
      </w:tr>
      <w:tr w:rsidR="00103757" w:rsidRPr="00365C93" w14:paraId="0C013856" w14:textId="77777777" w:rsidTr="00767AC7">
        <w:trPr>
          <w:trHeight w:val="340"/>
          <w:tblHeader/>
        </w:trPr>
        <w:tc>
          <w:tcPr>
            <w:tcW w:w="1805" w:type="dxa"/>
            <w:tcBorders>
              <w:top w:val="nil"/>
              <w:bottom w:val="single" w:sz="4" w:space="0" w:color="auto"/>
            </w:tcBorders>
            <w:noWrap/>
            <w:hideMark/>
          </w:tcPr>
          <w:p w14:paraId="6D7AC0D2" w14:textId="77777777" w:rsidR="00677577" w:rsidRPr="0000484F" w:rsidRDefault="00677577">
            <w:pPr>
              <w:spacing w:after="0" w:line="240" w:lineRule="auto"/>
              <w:rPr>
                <w:rFonts w:ascii="Times New Roman" w:eastAsia="Times New Roman" w:hAnsi="Times New Roman" w:cs="Times New Roman"/>
                <w:b/>
                <w:sz w:val="20"/>
                <w:szCs w:val="20"/>
                <w:lang w:eastAsia="en-AU"/>
              </w:rPr>
            </w:pPr>
          </w:p>
        </w:tc>
        <w:tc>
          <w:tcPr>
            <w:tcW w:w="1437" w:type="dxa"/>
            <w:tcBorders>
              <w:top w:val="nil"/>
              <w:bottom w:val="single" w:sz="4" w:space="0" w:color="auto"/>
            </w:tcBorders>
            <w:noWrap/>
            <w:hideMark/>
          </w:tcPr>
          <w:p w14:paraId="194426F6" w14:textId="2BC30EFE" w:rsidR="00677577" w:rsidRPr="0000484F" w:rsidRDefault="00677577">
            <w:pPr>
              <w:spacing w:after="0" w:line="240" w:lineRule="auto"/>
              <w:jc w:val="center"/>
              <w:rPr>
                <w:rFonts w:ascii="Arial" w:eastAsia="Times New Roman" w:hAnsi="Arial" w:cs="Arial"/>
                <w:b/>
                <w:sz w:val="20"/>
                <w:szCs w:val="20"/>
                <w:lang w:eastAsia="en-AU"/>
              </w:rPr>
            </w:pPr>
            <w:r w:rsidRPr="0000484F">
              <w:rPr>
                <w:rFonts w:ascii="Arial" w:eastAsia="Times New Roman" w:hAnsi="Arial" w:cs="Arial"/>
                <w:b/>
                <w:sz w:val="20"/>
                <w:szCs w:val="20"/>
                <w:lang w:eastAsia="en-AU"/>
              </w:rPr>
              <w:t xml:space="preserve">Enterprise </w:t>
            </w:r>
            <w:r w:rsidR="00702D44" w:rsidRPr="0000484F">
              <w:rPr>
                <w:rFonts w:ascii="Arial" w:eastAsia="Times New Roman" w:hAnsi="Arial" w:cs="Arial"/>
                <w:b/>
                <w:sz w:val="20"/>
                <w:szCs w:val="20"/>
                <w:lang w:eastAsia="en-AU"/>
              </w:rPr>
              <w:t>a</w:t>
            </w:r>
            <w:r w:rsidRPr="0000484F">
              <w:rPr>
                <w:rFonts w:ascii="Arial" w:eastAsia="Times New Roman" w:hAnsi="Arial" w:cs="Arial"/>
                <w:b/>
                <w:sz w:val="20"/>
                <w:szCs w:val="20"/>
                <w:lang w:eastAsia="en-AU"/>
              </w:rPr>
              <w:t>greement</w:t>
            </w:r>
          </w:p>
        </w:tc>
        <w:tc>
          <w:tcPr>
            <w:tcW w:w="1642" w:type="dxa"/>
            <w:tcBorders>
              <w:top w:val="nil"/>
              <w:bottom w:val="single" w:sz="4" w:space="0" w:color="auto"/>
            </w:tcBorders>
            <w:noWrap/>
            <w:hideMark/>
          </w:tcPr>
          <w:p w14:paraId="669769C8" w14:textId="1DB2F4CA" w:rsidR="00677577" w:rsidRPr="0000484F" w:rsidRDefault="00677577">
            <w:pPr>
              <w:spacing w:after="0" w:line="240" w:lineRule="auto"/>
              <w:jc w:val="center"/>
              <w:rPr>
                <w:rFonts w:ascii="Arial" w:eastAsia="Times New Roman" w:hAnsi="Arial" w:cs="Arial"/>
                <w:b/>
                <w:sz w:val="20"/>
                <w:szCs w:val="20"/>
                <w:lang w:eastAsia="en-AU"/>
              </w:rPr>
            </w:pPr>
            <w:r w:rsidRPr="0000484F">
              <w:rPr>
                <w:rFonts w:ascii="Arial" w:eastAsia="Times New Roman" w:hAnsi="Arial" w:cs="Arial"/>
                <w:b/>
                <w:sz w:val="20"/>
                <w:szCs w:val="20"/>
                <w:lang w:eastAsia="en-AU"/>
              </w:rPr>
              <w:t xml:space="preserve">Individual </w:t>
            </w:r>
            <w:r w:rsidR="00702D44" w:rsidRPr="0000484F">
              <w:rPr>
                <w:rFonts w:ascii="Arial" w:eastAsia="Times New Roman" w:hAnsi="Arial" w:cs="Arial"/>
                <w:b/>
                <w:sz w:val="20"/>
                <w:szCs w:val="20"/>
                <w:lang w:eastAsia="en-AU"/>
              </w:rPr>
              <w:t>a</w:t>
            </w:r>
            <w:r w:rsidRPr="0000484F">
              <w:rPr>
                <w:rFonts w:ascii="Arial" w:eastAsia="Times New Roman" w:hAnsi="Arial" w:cs="Arial"/>
                <w:b/>
                <w:sz w:val="20"/>
                <w:szCs w:val="20"/>
                <w:lang w:eastAsia="en-AU"/>
              </w:rPr>
              <w:t>rrangement</w:t>
            </w:r>
          </w:p>
        </w:tc>
        <w:tc>
          <w:tcPr>
            <w:tcW w:w="1232" w:type="dxa"/>
            <w:tcBorders>
              <w:top w:val="nil"/>
              <w:bottom w:val="single" w:sz="4" w:space="0" w:color="auto"/>
            </w:tcBorders>
            <w:noWrap/>
            <w:hideMark/>
          </w:tcPr>
          <w:p w14:paraId="59C20342" w14:textId="77777777" w:rsidR="00677577" w:rsidRPr="0000484F" w:rsidRDefault="00677577">
            <w:pPr>
              <w:spacing w:after="0" w:line="240" w:lineRule="auto"/>
              <w:jc w:val="center"/>
              <w:rPr>
                <w:rFonts w:ascii="Arial" w:eastAsia="Times New Roman" w:hAnsi="Arial" w:cs="Arial"/>
                <w:b/>
                <w:sz w:val="20"/>
                <w:szCs w:val="20"/>
                <w:lang w:eastAsia="en-AU"/>
              </w:rPr>
            </w:pPr>
            <w:r w:rsidRPr="0000484F">
              <w:rPr>
                <w:rFonts w:ascii="Arial" w:eastAsia="Times New Roman" w:hAnsi="Arial" w:cs="Arial"/>
                <w:b/>
                <w:sz w:val="20"/>
                <w:szCs w:val="20"/>
                <w:lang w:eastAsia="en-AU"/>
              </w:rPr>
              <w:t>Award</w:t>
            </w:r>
          </w:p>
        </w:tc>
        <w:tc>
          <w:tcPr>
            <w:tcW w:w="1373" w:type="dxa"/>
            <w:vMerge/>
            <w:tcBorders>
              <w:bottom w:val="single" w:sz="4" w:space="0" w:color="auto"/>
              <w:right w:val="single" w:sz="4" w:space="0" w:color="auto"/>
            </w:tcBorders>
            <w:noWrap/>
            <w:hideMark/>
          </w:tcPr>
          <w:p w14:paraId="0303E082" w14:textId="77777777" w:rsidR="00677577" w:rsidRPr="0000484F" w:rsidRDefault="00677577">
            <w:pPr>
              <w:spacing w:after="0" w:line="240" w:lineRule="auto"/>
              <w:jc w:val="center"/>
              <w:rPr>
                <w:rFonts w:ascii="Arial" w:eastAsia="Times New Roman" w:hAnsi="Arial" w:cs="Arial"/>
                <w:b/>
                <w:sz w:val="20"/>
                <w:szCs w:val="20"/>
                <w:lang w:eastAsia="en-AU"/>
              </w:rPr>
            </w:pPr>
          </w:p>
        </w:tc>
        <w:tc>
          <w:tcPr>
            <w:tcW w:w="1437" w:type="dxa"/>
            <w:tcBorders>
              <w:top w:val="nil"/>
              <w:left w:val="single" w:sz="4" w:space="0" w:color="auto"/>
              <w:bottom w:val="single" w:sz="4" w:space="0" w:color="auto"/>
            </w:tcBorders>
            <w:noWrap/>
            <w:hideMark/>
          </w:tcPr>
          <w:p w14:paraId="46C8936C" w14:textId="5E92B599" w:rsidR="00677577" w:rsidRPr="0000484F" w:rsidRDefault="00677577">
            <w:pPr>
              <w:spacing w:after="0" w:line="240" w:lineRule="auto"/>
              <w:jc w:val="center"/>
              <w:rPr>
                <w:rFonts w:ascii="Arial" w:eastAsia="Times New Roman" w:hAnsi="Arial" w:cs="Arial"/>
                <w:b/>
                <w:sz w:val="20"/>
                <w:szCs w:val="20"/>
                <w:lang w:eastAsia="en-AU"/>
              </w:rPr>
            </w:pPr>
            <w:r w:rsidRPr="0000484F">
              <w:rPr>
                <w:rFonts w:ascii="Arial" w:eastAsia="Times New Roman" w:hAnsi="Arial" w:cs="Arial"/>
                <w:b/>
                <w:sz w:val="20"/>
                <w:szCs w:val="20"/>
                <w:lang w:eastAsia="en-AU"/>
              </w:rPr>
              <w:t xml:space="preserve">Enterprise </w:t>
            </w:r>
            <w:r w:rsidR="00702D44" w:rsidRPr="0000484F">
              <w:rPr>
                <w:rFonts w:ascii="Arial" w:eastAsia="Times New Roman" w:hAnsi="Arial" w:cs="Arial"/>
                <w:b/>
                <w:sz w:val="20"/>
                <w:szCs w:val="20"/>
                <w:lang w:eastAsia="en-AU"/>
              </w:rPr>
              <w:t>a</w:t>
            </w:r>
            <w:r w:rsidRPr="0000484F">
              <w:rPr>
                <w:rFonts w:ascii="Arial" w:eastAsia="Times New Roman" w:hAnsi="Arial" w:cs="Arial"/>
                <w:b/>
                <w:sz w:val="20"/>
                <w:szCs w:val="20"/>
                <w:lang w:eastAsia="en-AU"/>
              </w:rPr>
              <w:t>greement</w:t>
            </w:r>
          </w:p>
        </w:tc>
        <w:tc>
          <w:tcPr>
            <w:tcW w:w="1642" w:type="dxa"/>
            <w:tcBorders>
              <w:top w:val="nil"/>
              <w:bottom w:val="single" w:sz="4" w:space="0" w:color="auto"/>
            </w:tcBorders>
            <w:noWrap/>
            <w:hideMark/>
          </w:tcPr>
          <w:p w14:paraId="17CC78EC" w14:textId="418EB778" w:rsidR="00677577" w:rsidRPr="0000484F" w:rsidRDefault="00677577">
            <w:pPr>
              <w:spacing w:after="0" w:line="240" w:lineRule="auto"/>
              <w:jc w:val="center"/>
              <w:rPr>
                <w:rFonts w:ascii="Arial" w:eastAsia="Times New Roman" w:hAnsi="Arial" w:cs="Arial"/>
                <w:b/>
                <w:sz w:val="20"/>
                <w:szCs w:val="20"/>
                <w:lang w:eastAsia="en-AU"/>
              </w:rPr>
            </w:pPr>
            <w:r w:rsidRPr="0000484F">
              <w:rPr>
                <w:rFonts w:ascii="Arial" w:eastAsia="Times New Roman" w:hAnsi="Arial" w:cs="Arial"/>
                <w:b/>
                <w:sz w:val="20"/>
                <w:szCs w:val="20"/>
                <w:lang w:eastAsia="en-AU"/>
              </w:rPr>
              <w:t xml:space="preserve">Individual </w:t>
            </w:r>
            <w:r w:rsidR="00702D44" w:rsidRPr="0000484F">
              <w:rPr>
                <w:rFonts w:ascii="Arial" w:eastAsia="Times New Roman" w:hAnsi="Arial" w:cs="Arial"/>
                <w:b/>
                <w:sz w:val="20"/>
                <w:szCs w:val="20"/>
                <w:lang w:eastAsia="en-AU"/>
              </w:rPr>
              <w:t>a</w:t>
            </w:r>
            <w:r w:rsidRPr="0000484F">
              <w:rPr>
                <w:rFonts w:ascii="Arial" w:eastAsia="Times New Roman" w:hAnsi="Arial" w:cs="Arial"/>
                <w:b/>
                <w:sz w:val="20"/>
                <w:szCs w:val="20"/>
                <w:lang w:eastAsia="en-AU"/>
              </w:rPr>
              <w:t>rrangement</w:t>
            </w:r>
          </w:p>
        </w:tc>
        <w:tc>
          <w:tcPr>
            <w:tcW w:w="1232" w:type="dxa"/>
            <w:tcBorders>
              <w:top w:val="nil"/>
              <w:bottom w:val="single" w:sz="4" w:space="0" w:color="auto"/>
            </w:tcBorders>
            <w:noWrap/>
            <w:hideMark/>
          </w:tcPr>
          <w:p w14:paraId="1A47A252" w14:textId="77777777" w:rsidR="00677577" w:rsidRPr="0000484F" w:rsidRDefault="00677577">
            <w:pPr>
              <w:spacing w:after="0" w:line="240" w:lineRule="auto"/>
              <w:jc w:val="center"/>
              <w:rPr>
                <w:rFonts w:ascii="Arial" w:eastAsia="Times New Roman" w:hAnsi="Arial" w:cs="Arial"/>
                <w:b/>
                <w:sz w:val="20"/>
                <w:szCs w:val="20"/>
                <w:lang w:eastAsia="en-AU"/>
              </w:rPr>
            </w:pPr>
            <w:r w:rsidRPr="0000484F">
              <w:rPr>
                <w:rFonts w:ascii="Arial" w:eastAsia="Times New Roman" w:hAnsi="Arial" w:cs="Arial"/>
                <w:b/>
                <w:sz w:val="20"/>
                <w:szCs w:val="20"/>
                <w:lang w:eastAsia="en-AU"/>
              </w:rPr>
              <w:t>Award</w:t>
            </w:r>
          </w:p>
        </w:tc>
        <w:tc>
          <w:tcPr>
            <w:tcW w:w="1309" w:type="dxa"/>
            <w:tcBorders>
              <w:top w:val="nil"/>
              <w:bottom w:val="single" w:sz="4" w:space="0" w:color="auto"/>
            </w:tcBorders>
            <w:noWrap/>
            <w:hideMark/>
          </w:tcPr>
          <w:p w14:paraId="492ADA30" w14:textId="3B9DC8F9" w:rsidR="00677577" w:rsidRPr="0000484F" w:rsidRDefault="00677577">
            <w:pPr>
              <w:spacing w:after="0" w:line="240" w:lineRule="auto"/>
              <w:jc w:val="center"/>
              <w:rPr>
                <w:rFonts w:ascii="Arial" w:eastAsia="Times New Roman" w:hAnsi="Arial" w:cs="Arial"/>
                <w:b/>
                <w:sz w:val="20"/>
                <w:szCs w:val="20"/>
                <w:lang w:eastAsia="en-AU"/>
              </w:rPr>
            </w:pPr>
            <w:r w:rsidRPr="0000484F">
              <w:rPr>
                <w:rFonts w:ascii="Arial" w:eastAsia="Times New Roman" w:hAnsi="Arial" w:cs="Arial"/>
                <w:b/>
                <w:sz w:val="20"/>
                <w:szCs w:val="20"/>
                <w:lang w:eastAsia="en-AU"/>
              </w:rPr>
              <w:t xml:space="preserve">All </w:t>
            </w:r>
            <w:r w:rsidR="00702D44" w:rsidRPr="0000484F">
              <w:rPr>
                <w:rFonts w:ascii="Arial" w:eastAsia="Times New Roman" w:hAnsi="Arial" w:cs="Arial"/>
                <w:b/>
                <w:sz w:val="20"/>
                <w:szCs w:val="20"/>
                <w:lang w:eastAsia="en-AU"/>
              </w:rPr>
              <w:t>i</w:t>
            </w:r>
            <w:r w:rsidRPr="0000484F">
              <w:rPr>
                <w:rFonts w:ascii="Arial" w:eastAsia="Times New Roman" w:hAnsi="Arial" w:cs="Arial"/>
                <w:b/>
                <w:sz w:val="20"/>
                <w:szCs w:val="20"/>
                <w:lang w:eastAsia="en-AU"/>
              </w:rPr>
              <w:t>ndustries</w:t>
            </w:r>
          </w:p>
        </w:tc>
      </w:tr>
      <w:tr w:rsidR="00677577" w:rsidRPr="00561D7B" w14:paraId="7E3ADF8C" w14:textId="77777777">
        <w:trPr>
          <w:trHeight w:val="340"/>
        </w:trPr>
        <w:tc>
          <w:tcPr>
            <w:tcW w:w="1805" w:type="dxa"/>
            <w:tcBorders>
              <w:top w:val="single" w:sz="4" w:space="0" w:color="auto"/>
            </w:tcBorders>
            <w:noWrap/>
            <w:hideMark/>
          </w:tcPr>
          <w:p w14:paraId="25DAE701"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Dec-2010</w:t>
            </w:r>
          </w:p>
        </w:tc>
        <w:tc>
          <w:tcPr>
            <w:tcW w:w="1437" w:type="dxa"/>
            <w:tcBorders>
              <w:top w:val="single" w:sz="4" w:space="0" w:color="auto"/>
            </w:tcBorders>
            <w:noWrap/>
            <w:vAlign w:val="center"/>
            <w:hideMark/>
          </w:tcPr>
          <w:p w14:paraId="59DCC7D6"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color w:val="000000"/>
                <w:sz w:val="20"/>
                <w:szCs w:val="20"/>
              </w:rPr>
              <w:t>0.37</w:t>
            </w:r>
          </w:p>
        </w:tc>
        <w:tc>
          <w:tcPr>
            <w:tcW w:w="1642" w:type="dxa"/>
            <w:tcBorders>
              <w:top w:val="single" w:sz="4" w:space="0" w:color="auto"/>
            </w:tcBorders>
            <w:noWrap/>
            <w:vAlign w:val="center"/>
            <w:hideMark/>
          </w:tcPr>
          <w:p w14:paraId="05EB389C"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color w:val="000000"/>
                <w:sz w:val="20"/>
                <w:szCs w:val="20"/>
              </w:rPr>
              <w:t>0.47</w:t>
            </w:r>
          </w:p>
        </w:tc>
        <w:tc>
          <w:tcPr>
            <w:tcW w:w="1232" w:type="dxa"/>
            <w:tcBorders>
              <w:top w:val="single" w:sz="4" w:space="0" w:color="auto"/>
            </w:tcBorders>
            <w:noWrap/>
            <w:vAlign w:val="center"/>
            <w:hideMark/>
          </w:tcPr>
          <w:p w14:paraId="2BE7604F"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color w:val="000000"/>
                <w:sz w:val="20"/>
                <w:szCs w:val="20"/>
              </w:rPr>
              <w:t>0.02</w:t>
            </w:r>
          </w:p>
        </w:tc>
        <w:tc>
          <w:tcPr>
            <w:tcW w:w="1373" w:type="dxa"/>
            <w:tcBorders>
              <w:top w:val="single" w:sz="4" w:space="0" w:color="auto"/>
              <w:right w:val="single" w:sz="4" w:space="0" w:color="auto"/>
            </w:tcBorders>
            <w:noWrap/>
            <w:vAlign w:val="center"/>
            <w:hideMark/>
          </w:tcPr>
          <w:p w14:paraId="666693E8"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color w:val="000000"/>
                <w:sz w:val="20"/>
                <w:szCs w:val="20"/>
              </w:rPr>
              <w:t>0.86</w:t>
            </w:r>
          </w:p>
        </w:tc>
        <w:tc>
          <w:tcPr>
            <w:tcW w:w="1437" w:type="dxa"/>
            <w:tcBorders>
              <w:top w:val="single" w:sz="4" w:space="0" w:color="auto"/>
              <w:left w:val="single" w:sz="4" w:space="0" w:color="auto"/>
            </w:tcBorders>
            <w:noWrap/>
            <w:vAlign w:val="center"/>
            <w:hideMark/>
          </w:tcPr>
          <w:p w14:paraId="084529FD"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43.0%</w:t>
            </w:r>
          </w:p>
        </w:tc>
        <w:tc>
          <w:tcPr>
            <w:tcW w:w="1642" w:type="dxa"/>
            <w:tcBorders>
              <w:top w:val="single" w:sz="4" w:space="0" w:color="auto"/>
            </w:tcBorders>
            <w:noWrap/>
            <w:vAlign w:val="center"/>
            <w:hideMark/>
          </w:tcPr>
          <w:p w14:paraId="6068884E"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54.7%</w:t>
            </w:r>
          </w:p>
        </w:tc>
        <w:tc>
          <w:tcPr>
            <w:tcW w:w="1232" w:type="dxa"/>
            <w:tcBorders>
              <w:top w:val="single" w:sz="4" w:space="0" w:color="auto"/>
            </w:tcBorders>
            <w:noWrap/>
            <w:vAlign w:val="center"/>
            <w:hideMark/>
          </w:tcPr>
          <w:p w14:paraId="2541F76C"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2.3%</w:t>
            </w:r>
          </w:p>
        </w:tc>
        <w:tc>
          <w:tcPr>
            <w:tcW w:w="1309" w:type="dxa"/>
            <w:tcBorders>
              <w:top w:val="single" w:sz="4" w:space="0" w:color="auto"/>
            </w:tcBorders>
            <w:noWrap/>
            <w:vAlign w:val="center"/>
            <w:hideMark/>
          </w:tcPr>
          <w:p w14:paraId="6EBDB0F7"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5318D5C6" w14:textId="77777777">
        <w:trPr>
          <w:trHeight w:val="340"/>
        </w:trPr>
        <w:tc>
          <w:tcPr>
            <w:tcW w:w="1805" w:type="dxa"/>
            <w:noWrap/>
            <w:hideMark/>
          </w:tcPr>
          <w:p w14:paraId="339F0CC0"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Mar-2011</w:t>
            </w:r>
          </w:p>
        </w:tc>
        <w:tc>
          <w:tcPr>
            <w:tcW w:w="1437" w:type="dxa"/>
            <w:noWrap/>
            <w:vAlign w:val="center"/>
            <w:hideMark/>
          </w:tcPr>
          <w:p w14:paraId="77B8E435"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color w:val="000000"/>
                <w:sz w:val="20"/>
                <w:szCs w:val="20"/>
              </w:rPr>
              <w:t>0.43</w:t>
            </w:r>
          </w:p>
        </w:tc>
        <w:tc>
          <w:tcPr>
            <w:tcW w:w="1642" w:type="dxa"/>
            <w:noWrap/>
            <w:vAlign w:val="center"/>
            <w:hideMark/>
          </w:tcPr>
          <w:p w14:paraId="0B17C9E1"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color w:val="000000"/>
                <w:sz w:val="20"/>
                <w:szCs w:val="20"/>
              </w:rPr>
              <w:t>0.40</w:t>
            </w:r>
          </w:p>
        </w:tc>
        <w:tc>
          <w:tcPr>
            <w:tcW w:w="1232" w:type="dxa"/>
            <w:noWrap/>
            <w:vAlign w:val="center"/>
            <w:hideMark/>
          </w:tcPr>
          <w:p w14:paraId="2AA883B2"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color w:val="000000"/>
                <w:sz w:val="20"/>
                <w:szCs w:val="20"/>
              </w:rPr>
              <w:t>0.02</w:t>
            </w:r>
          </w:p>
        </w:tc>
        <w:tc>
          <w:tcPr>
            <w:tcW w:w="1373" w:type="dxa"/>
            <w:tcBorders>
              <w:right w:val="single" w:sz="4" w:space="0" w:color="auto"/>
            </w:tcBorders>
            <w:noWrap/>
            <w:vAlign w:val="center"/>
            <w:hideMark/>
          </w:tcPr>
          <w:p w14:paraId="1DD11E08"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color w:val="000000"/>
                <w:sz w:val="20"/>
                <w:szCs w:val="20"/>
              </w:rPr>
              <w:t>0.85</w:t>
            </w:r>
          </w:p>
        </w:tc>
        <w:tc>
          <w:tcPr>
            <w:tcW w:w="1437" w:type="dxa"/>
            <w:tcBorders>
              <w:left w:val="single" w:sz="4" w:space="0" w:color="auto"/>
            </w:tcBorders>
            <w:noWrap/>
            <w:vAlign w:val="center"/>
            <w:hideMark/>
          </w:tcPr>
          <w:p w14:paraId="7A79CEA0"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50.6%</w:t>
            </w:r>
          </w:p>
        </w:tc>
        <w:tc>
          <w:tcPr>
            <w:tcW w:w="1642" w:type="dxa"/>
            <w:noWrap/>
            <w:vAlign w:val="center"/>
            <w:hideMark/>
          </w:tcPr>
          <w:p w14:paraId="2DF8D965"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47.1%</w:t>
            </w:r>
          </w:p>
        </w:tc>
        <w:tc>
          <w:tcPr>
            <w:tcW w:w="1232" w:type="dxa"/>
            <w:noWrap/>
            <w:vAlign w:val="center"/>
            <w:hideMark/>
          </w:tcPr>
          <w:p w14:paraId="3EB8C88A"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2.4%</w:t>
            </w:r>
          </w:p>
        </w:tc>
        <w:tc>
          <w:tcPr>
            <w:tcW w:w="1309" w:type="dxa"/>
            <w:noWrap/>
            <w:vAlign w:val="center"/>
            <w:hideMark/>
          </w:tcPr>
          <w:p w14:paraId="51F22F99"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122A8895" w14:textId="77777777">
        <w:trPr>
          <w:trHeight w:val="340"/>
        </w:trPr>
        <w:tc>
          <w:tcPr>
            <w:tcW w:w="1805" w:type="dxa"/>
            <w:noWrap/>
            <w:hideMark/>
          </w:tcPr>
          <w:p w14:paraId="7ACDFAEC"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Jun-2011</w:t>
            </w:r>
          </w:p>
        </w:tc>
        <w:tc>
          <w:tcPr>
            <w:tcW w:w="1437" w:type="dxa"/>
            <w:noWrap/>
            <w:vAlign w:val="center"/>
            <w:hideMark/>
          </w:tcPr>
          <w:p w14:paraId="4B202273"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sz w:val="20"/>
                <w:szCs w:val="20"/>
              </w:rPr>
              <w:t>0.24</w:t>
            </w:r>
          </w:p>
        </w:tc>
        <w:tc>
          <w:tcPr>
            <w:tcW w:w="1642" w:type="dxa"/>
            <w:noWrap/>
            <w:vAlign w:val="center"/>
            <w:hideMark/>
          </w:tcPr>
          <w:p w14:paraId="2AD67337"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sz w:val="20"/>
                <w:szCs w:val="20"/>
              </w:rPr>
              <w:t>0.33</w:t>
            </w:r>
          </w:p>
        </w:tc>
        <w:tc>
          <w:tcPr>
            <w:tcW w:w="1232" w:type="dxa"/>
            <w:noWrap/>
            <w:vAlign w:val="center"/>
            <w:hideMark/>
          </w:tcPr>
          <w:p w14:paraId="000ECBDE"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sz w:val="20"/>
                <w:szCs w:val="20"/>
              </w:rPr>
              <w:t>0.01</w:t>
            </w:r>
          </w:p>
        </w:tc>
        <w:tc>
          <w:tcPr>
            <w:tcW w:w="1373" w:type="dxa"/>
            <w:tcBorders>
              <w:right w:val="single" w:sz="4" w:space="0" w:color="auto"/>
            </w:tcBorders>
            <w:noWrap/>
            <w:vAlign w:val="center"/>
            <w:hideMark/>
          </w:tcPr>
          <w:p w14:paraId="52AFB0AE"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color w:val="000000"/>
                <w:sz w:val="20"/>
                <w:szCs w:val="20"/>
              </w:rPr>
              <w:t>0.58</w:t>
            </w:r>
          </w:p>
        </w:tc>
        <w:tc>
          <w:tcPr>
            <w:tcW w:w="1437" w:type="dxa"/>
            <w:tcBorders>
              <w:left w:val="single" w:sz="4" w:space="0" w:color="auto"/>
            </w:tcBorders>
            <w:noWrap/>
            <w:vAlign w:val="center"/>
            <w:hideMark/>
          </w:tcPr>
          <w:p w14:paraId="3919E36C"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41.4%</w:t>
            </w:r>
          </w:p>
        </w:tc>
        <w:tc>
          <w:tcPr>
            <w:tcW w:w="1642" w:type="dxa"/>
            <w:noWrap/>
            <w:vAlign w:val="center"/>
            <w:hideMark/>
          </w:tcPr>
          <w:p w14:paraId="3136700A"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56.9%</w:t>
            </w:r>
          </w:p>
        </w:tc>
        <w:tc>
          <w:tcPr>
            <w:tcW w:w="1232" w:type="dxa"/>
            <w:noWrap/>
            <w:vAlign w:val="center"/>
            <w:hideMark/>
          </w:tcPr>
          <w:p w14:paraId="10750641"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1.7%</w:t>
            </w:r>
          </w:p>
        </w:tc>
        <w:tc>
          <w:tcPr>
            <w:tcW w:w="1309" w:type="dxa"/>
            <w:noWrap/>
            <w:vAlign w:val="center"/>
            <w:hideMark/>
          </w:tcPr>
          <w:p w14:paraId="747D9E30"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721949B5" w14:textId="77777777">
        <w:trPr>
          <w:trHeight w:val="340"/>
        </w:trPr>
        <w:tc>
          <w:tcPr>
            <w:tcW w:w="1805" w:type="dxa"/>
            <w:noWrap/>
            <w:hideMark/>
          </w:tcPr>
          <w:p w14:paraId="04C67A66"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Sep-2011</w:t>
            </w:r>
          </w:p>
        </w:tc>
        <w:tc>
          <w:tcPr>
            <w:tcW w:w="1437" w:type="dxa"/>
            <w:noWrap/>
            <w:vAlign w:val="center"/>
            <w:hideMark/>
          </w:tcPr>
          <w:p w14:paraId="4D524C5B"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sz w:val="20"/>
                <w:szCs w:val="20"/>
              </w:rPr>
              <w:t>0.49</w:t>
            </w:r>
          </w:p>
        </w:tc>
        <w:tc>
          <w:tcPr>
            <w:tcW w:w="1642" w:type="dxa"/>
            <w:noWrap/>
            <w:vAlign w:val="center"/>
            <w:hideMark/>
          </w:tcPr>
          <w:p w14:paraId="69482CD4"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sz w:val="20"/>
                <w:szCs w:val="20"/>
              </w:rPr>
              <w:t>0.59</w:t>
            </w:r>
          </w:p>
        </w:tc>
        <w:tc>
          <w:tcPr>
            <w:tcW w:w="1232" w:type="dxa"/>
            <w:noWrap/>
            <w:vAlign w:val="center"/>
            <w:hideMark/>
          </w:tcPr>
          <w:p w14:paraId="10EC9ED4"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sz w:val="20"/>
                <w:szCs w:val="20"/>
              </w:rPr>
              <w:t>0.19</w:t>
            </w:r>
          </w:p>
        </w:tc>
        <w:tc>
          <w:tcPr>
            <w:tcW w:w="1373" w:type="dxa"/>
            <w:tcBorders>
              <w:right w:val="single" w:sz="4" w:space="0" w:color="auto"/>
            </w:tcBorders>
            <w:noWrap/>
            <w:vAlign w:val="center"/>
            <w:hideMark/>
          </w:tcPr>
          <w:p w14:paraId="6095EE60"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color w:val="000000"/>
                <w:sz w:val="20"/>
                <w:szCs w:val="20"/>
              </w:rPr>
              <w:t>1.27</w:t>
            </w:r>
          </w:p>
        </w:tc>
        <w:tc>
          <w:tcPr>
            <w:tcW w:w="1437" w:type="dxa"/>
            <w:tcBorders>
              <w:left w:val="single" w:sz="4" w:space="0" w:color="auto"/>
            </w:tcBorders>
            <w:noWrap/>
            <w:vAlign w:val="center"/>
            <w:hideMark/>
          </w:tcPr>
          <w:p w14:paraId="72E6BE07"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38.6%</w:t>
            </w:r>
          </w:p>
        </w:tc>
        <w:tc>
          <w:tcPr>
            <w:tcW w:w="1642" w:type="dxa"/>
            <w:noWrap/>
            <w:vAlign w:val="center"/>
            <w:hideMark/>
          </w:tcPr>
          <w:p w14:paraId="1914F4A0"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46.5%</w:t>
            </w:r>
          </w:p>
        </w:tc>
        <w:tc>
          <w:tcPr>
            <w:tcW w:w="1232" w:type="dxa"/>
            <w:noWrap/>
            <w:vAlign w:val="center"/>
            <w:hideMark/>
          </w:tcPr>
          <w:p w14:paraId="53F96F1F"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15.0%</w:t>
            </w:r>
          </w:p>
        </w:tc>
        <w:tc>
          <w:tcPr>
            <w:tcW w:w="1309" w:type="dxa"/>
            <w:noWrap/>
            <w:vAlign w:val="center"/>
            <w:hideMark/>
          </w:tcPr>
          <w:p w14:paraId="2328DFAA"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5A4FE900" w14:textId="77777777">
        <w:trPr>
          <w:trHeight w:val="340"/>
        </w:trPr>
        <w:tc>
          <w:tcPr>
            <w:tcW w:w="1805" w:type="dxa"/>
            <w:noWrap/>
            <w:hideMark/>
          </w:tcPr>
          <w:p w14:paraId="4F2D937F"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Dec-2011</w:t>
            </w:r>
          </w:p>
        </w:tc>
        <w:tc>
          <w:tcPr>
            <w:tcW w:w="1437" w:type="dxa"/>
            <w:noWrap/>
            <w:vAlign w:val="center"/>
            <w:hideMark/>
          </w:tcPr>
          <w:p w14:paraId="22805AF6"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sz w:val="20"/>
                <w:szCs w:val="20"/>
              </w:rPr>
              <w:t>0.33</w:t>
            </w:r>
          </w:p>
        </w:tc>
        <w:tc>
          <w:tcPr>
            <w:tcW w:w="1642" w:type="dxa"/>
            <w:noWrap/>
            <w:vAlign w:val="center"/>
            <w:hideMark/>
          </w:tcPr>
          <w:p w14:paraId="312E5175"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sz w:val="20"/>
                <w:szCs w:val="20"/>
              </w:rPr>
              <w:t>0.54</w:t>
            </w:r>
          </w:p>
        </w:tc>
        <w:tc>
          <w:tcPr>
            <w:tcW w:w="1232" w:type="dxa"/>
            <w:noWrap/>
            <w:vAlign w:val="center"/>
            <w:hideMark/>
          </w:tcPr>
          <w:p w14:paraId="58F7B0EC"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sz w:val="20"/>
                <w:szCs w:val="20"/>
              </w:rPr>
              <w:t>0.01</w:t>
            </w:r>
          </w:p>
        </w:tc>
        <w:tc>
          <w:tcPr>
            <w:tcW w:w="1373" w:type="dxa"/>
            <w:tcBorders>
              <w:right w:val="single" w:sz="4" w:space="0" w:color="auto"/>
            </w:tcBorders>
            <w:noWrap/>
            <w:vAlign w:val="center"/>
            <w:hideMark/>
          </w:tcPr>
          <w:p w14:paraId="314B2926"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color w:val="000000"/>
                <w:sz w:val="20"/>
                <w:szCs w:val="20"/>
              </w:rPr>
              <w:t>0.88</w:t>
            </w:r>
          </w:p>
        </w:tc>
        <w:tc>
          <w:tcPr>
            <w:tcW w:w="1437" w:type="dxa"/>
            <w:tcBorders>
              <w:left w:val="single" w:sz="4" w:space="0" w:color="auto"/>
            </w:tcBorders>
            <w:noWrap/>
            <w:vAlign w:val="center"/>
            <w:hideMark/>
          </w:tcPr>
          <w:p w14:paraId="2B76615C"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37.5%</w:t>
            </w:r>
          </w:p>
        </w:tc>
        <w:tc>
          <w:tcPr>
            <w:tcW w:w="1642" w:type="dxa"/>
            <w:noWrap/>
            <w:vAlign w:val="center"/>
            <w:hideMark/>
          </w:tcPr>
          <w:p w14:paraId="7781D5FE"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61.4%</w:t>
            </w:r>
          </w:p>
        </w:tc>
        <w:tc>
          <w:tcPr>
            <w:tcW w:w="1232" w:type="dxa"/>
            <w:noWrap/>
            <w:vAlign w:val="center"/>
            <w:hideMark/>
          </w:tcPr>
          <w:p w14:paraId="4AFB6DBB"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1.1%</w:t>
            </w:r>
          </w:p>
        </w:tc>
        <w:tc>
          <w:tcPr>
            <w:tcW w:w="1309" w:type="dxa"/>
            <w:noWrap/>
            <w:vAlign w:val="center"/>
            <w:hideMark/>
          </w:tcPr>
          <w:p w14:paraId="2AAD6D89"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28F85B8C" w14:textId="77777777">
        <w:trPr>
          <w:trHeight w:val="340"/>
        </w:trPr>
        <w:tc>
          <w:tcPr>
            <w:tcW w:w="1805" w:type="dxa"/>
            <w:noWrap/>
            <w:hideMark/>
          </w:tcPr>
          <w:p w14:paraId="46AA82BC"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Mar-2012</w:t>
            </w:r>
          </w:p>
        </w:tc>
        <w:tc>
          <w:tcPr>
            <w:tcW w:w="1437" w:type="dxa"/>
            <w:noWrap/>
            <w:vAlign w:val="center"/>
            <w:hideMark/>
          </w:tcPr>
          <w:p w14:paraId="1666490E"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sz w:val="20"/>
                <w:szCs w:val="20"/>
              </w:rPr>
              <w:t>0.43</w:t>
            </w:r>
          </w:p>
        </w:tc>
        <w:tc>
          <w:tcPr>
            <w:tcW w:w="1642" w:type="dxa"/>
            <w:noWrap/>
            <w:vAlign w:val="center"/>
            <w:hideMark/>
          </w:tcPr>
          <w:p w14:paraId="6D0D60FF"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sz w:val="20"/>
                <w:szCs w:val="20"/>
              </w:rPr>
              <w:t>0.40</w:t>
            </w:r>
          </w:p>
        </w:tc>
        <w:tc>
          <w:tcPr>
            <w:tcW w:w="1232" w:type="dxa"/>
            <w:noWrap/>
            <w:vAlign w:val="center"/>
            <w:hideMark/>
          </w:tcPr>
          <w:p w14:paraId="354EF858"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sz w:val="20"/>
                <w:szCs w:val="20"/>
              </w:rPr>
              <w:t>0.01</w:t>
            </w:r>
          </w:p>
        </w:tc>
        <w:tc>
          <w:tcPr>
            <w:tcW w:w="1373" w:type="dxa"/>
            <w:tcBorders>
              <w:right w:val="single" w:sz="4" w:space="0" w:color="auto"/>
            </w:tcBorders>
            <w:noWrap/>
            <w:vAlign w:val="center"/>
            <w:hideMark/>
          </w:tcPr>
          <w:p w14:paraId="319A1C6A"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color w:val="000000"/>
                <w:sz w:val="20"/>
                <w:szCs w:val="20"/>
              </w:rPr>
              <w:t>0.84</w:t>
            </w:r>
          </w:p>
        </w:tc>
        <w:tc>
          <w:tcPr>
            <w:tcW w:w="1437" w:type="dxa"/>
            <w:tcBorders>
              <w:left w:val="single" w:sz="4" w:space="0" w:color="auto"/>
            </w:tcBorders>
            <w:noWrap/>
            <w:vAlign w:val="center"/>
            <w:hideMark/>
          </w:tcPr>
          <w:p w14:paraId="0040DD30"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51.2%</w:t>
            </w:r>
          </w:p>
        </w:tc>
        <w:tc>
          <w:tcPr>
            <w:tcW w:w="1642" w:type="dxa"/>
            <w:noWrap/>
            <w:vAlign w:val="center"/>
            <w:hideMark/>
          </w:tcPr>
          <w:p w14:paraId="53722346"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47.6%</w:t>
            </w:r>
          </w:p>
        </w:tc>
        <w:tc>
          <w:tcPr>
            <w:tcW w:w="1232" w:type="dxa"/>
            <w:noWrap/>
            <w:vAlign w:val="center"/>
            <w:hideMark/>
          </w:tcPr>
          <w:p w14:paraId="5CC00E0B"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1.2%</w:t>
            </w:r>
          </w:p>
        </w:tc>
        <w:tc>
          <w:tcPr>
            <w:tcW w:w="1309" w:type="dxa"/>
            <w:noWrap/>
            <w:vAlign w:val="center"/>
            <w:hideMark/>
          </w:tcPr>
          <w:p w14:paraId="4EE7AD83"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32005D9D" w14:textId="77777777">
        <w:trPr>
          <w:trHeight w:val="340"/>
        </w:trPr>
        <w:tc>
          <w:tcPr>
            <w:tcW w:w="1805" w:type="dxa"/>
            <w:noWrap/>
            <w:hideMark/>
          </w:tcPr>
          <w:p w14:paraId="5ADCE558"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Jun-2012</w:t>
            </w:r>
          </w:p>
        </w:tc>
        <w:tc>
          <w:tcPr>
            <w:tcW w:w="1437" w:type="dxa"/>
            <w:noWrap/>
            <w:vAlign w:val="center"/>
            <w:hideMark/>
          </w:tcPr>
          <w:p w14:paraId="675758DA"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color w:val="000000"/>
                <w:sz w:val="20"/>
                <w:szCs w:val="20"/>
              </w:rPr>
              <w:t>0.28</w:t>
            </w:r>
          </w:p>
        </w:tc>
        <w:tc>
          <w:tcPr>
            <w:tcW w:w="1642" w:type="dxa"/>
            <w:noWrap/>
            <w:vAlign w:val="center"/>
            <w:hideMark/>
          </w:tcPr>
          <w:p w14:paraId="1CF89504"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color w:val="000000"/>
                <w:sz w:val="20"/>
                <w:szCs w:val="20"/>
              </w:rPr>
              <w:t>0.39</w:t>
            </w:r>
          </w:p>
        </w:tc>
        <w:tc>
          <w:tcPr>
            <w:tcW w:w="1232" w:type="dxa"/>
            <w:noWrap/>
            <w:vAlign w:val="center"/>
            <w:hideMark/>
          </w:tcPr>
          <w:p w14:paraId="07796A90"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color w:val="000000"/>
                <w:sz w:val="20"/>
                <w:szCs w:val="20"/>
              </w:rPr>
              <w:t>0.01</w:t>
            </w:r>
          </w:p>
        </w:tc>
        <w:tc>
          <w:tcPr>
            <w:tcW w:w="1373" w:type="dxa"/>
            <w:tcBorders>
              <w:right w:val="single" w:sz="4" w:space="0" w:color="auto"/>
            </w:tcBorders>
            <w:noWrap/>
            <w:vAlign w:val="center"/>
            <w:hideMark/>
          </w:tcPr>
          <w:p w14:paraId="57F9BAF4"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color w:val="000000"/>
                <w:sz w:val="20"/>
                <w:szCs w:val="20"/>
              </w:rPr>
              <w:t>0.68</w:t>
            </w:r>
          </w:p>
        </w:tc>
        <w:tc>
          <w:tcPr>
            <w:tcW w:w="1437" w:type="dxa"/>
            <w:tcBorders>
              <w:left w:val="single" w:sz="4" w:space="0" w:color="auto"/>
            </w:tcBorders>
            <w:noWrap/>
            <w:vAlign w:val="center"/>
            <w:hideMark/>
          </w:tcPr>
          <w:p w14:paraId="2285F5AA"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41.2%</w:t>
            </w:r>
          </w:p>
        </w:tc>
        <w:tc>
          <w:tcPr>
            <w:tcW w:w="1642" w:type="dxa"/>
            <w:noWrap/>
            <w:vAlign w:val="center"/>
            <w:hideMark/>
          </w:tcPr>
          <w:p w14:paraId="082E3821"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57.4%</w:t>
            </w:r>
          </w:p>
        </w:tc>
        <w:tc>
          <w:tcPr>
            <w:tcW w:w="1232" w:type="dxa"/>
            <w:noWrap/>
            <w:vAlign w:val="center"/>
            <w:hideMark/>
          </w:tcPr>
          <w:p w14:paraId="702BF465"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1.5%</w:t>
            </w:r>
          </w:p>
        </w:tc>
        <w:tc>
          <w:tcPr>
            <w:tcW w:w="1309" w:type="dxa"/>
            <w:noWrap/>
            <w:vAlign w:val="center"/>
            <w:hideMark/>
          </w:tcPr>
          <w:p w14:paraId="614BBF8D"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165EF95D" w14:textId="77777777">
        <w:trPr>
          <w:trHeight w:val="340"/>
        </w:trPr>
        <w:tc>
          <w:tcPr>
            <w:tcW w:w="1805" w:type="dxa"/>
            <w:noWrap/>
            <w:hideMark/>
          </w:tcPr>
          <w:p w14:paraId="53141E42"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Sep-2012</w:t>
            </w:r>
          </w:p>
        </w:tc>
        <w:tc>
          <w:tcPr>
            <w:tcW w:w="1437" w:type="dxa"/>
            <w:noWrap/>
            <w:vAlign w:val="center"/>
            <w:hideMark/>
          </w:tcPr>
          <w:p w14:paraId="45D9BC18"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color w:val="000000"/>
                <w:sz w:val="20"/>
                <w:szCs w:val="20"/>
              </w:rPr>
              <w:t>0.52</w:t>
            </w:r>
          </w:p>
        </w:tc>
        <w:tc>
          <w:tcPr>
            <w:tcW w:w="1642" w:type="dxa"/>
            <w:noWrap/>
            <w:vAlign w:val="center"/>
            <w:hideMark/>
          </w:tcPr>
          <w:p w14:paraId="4D11B0B2"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color w:val="000000"/>
                <w:sz w:val="20"/>
                <w:szCs w:val="20"/>
              </w:rPr>
              <w:t>0.50</w:t>
            </w:r>
          </w:p>
        </w:tc>
        <w:tc>
          <w:tcPr>
            <w:tcW w:w="1232" w:type="dxa"/>
            <w:noWrap/>
            <w:vAlign w:val="center"/>
            <w:hideMark/>
          </w:tcPr>
          <w:p w14:paraId="3AB47D8C"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color w:val="000000"/>
                <w:sz w:val="20"/>
                <w:szCs w:val="20"/>
              </w:rPr>
              <w:t>0.17</w:t>
            </w:r>
          </w:p>
        </w:tc>
        <w:tc>
          <w:tcPr>
            <w:tcW w:w="1373" w:type="dxa"/>
            <w:tcBorders>
              <w:right w:val="single" w:sz="4" w:space="0" w:color="auto"/>
            </w:tcBorders>
            <w:noWrap/>
            <w:vAlign w:val="center"/>
            <w:hideMark/>
          </w:tcPr>
          <w:p w14:paraId="39413861"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color w:val="000000"/>
                <w:sz w:val="20"/>
                <w:szCs w:val="20"/>
              </w:rPr>
              <w:t>1.19</w:t>
            </w:r>
          </w:p>
        </w:tc>
        <w:tc>
          <w:tcPr>
            <w:tcW w:w="1437" w:type="dxa"/>
            <w:tcBorders>
              <w:left w:val="single" w:sz="4" w:space="0" w:color="auto"/>
            </w:tcBorders>
            <w:noWrap/>
            <w:vAlign w:val="center"/>
            <w:hideMark/>
          </w:tcPr>
          <w:p w14:paraId="161CB6E2"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43.7%</w:t>
            </w:r>
          </w:p>
        </w:tc>
        <w:tc>
          <w:tcPr>
            <w:tcW w:w="1642" w:type="dxa"/>
            <w:noWrap/>
            <w:vAlign w:val="center"/>
            <w:hideMark/>
          </w:tcPr>
          <w:p w14:paraId="66A0C72D"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42.0%</w:t>
            </w:r>
          </w:p>
        </w:tc>
        <w:tc>
          <w:tcPr>
            <w:tcW w:w="1232" w:type="dxa"/>
            <w:noWrap/>
            <w:vAlign w:val="center"/>
            <w:hideMark/>
          </w:tcPr>
          <w:p w14:paraId="410609B3"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14.3%</w:t>
            </w:r>
          </w:p>
        </w:tc>
        <w:tc>
          <w:tcPr>
            <w:tcW w:w="1309" w:type="dxa"/>
            <w:noWrap/>
            <w:vAlign w:val="center"/>
            <w:hideMark/>
          </w:tcPr>
          <w:p w14:paraId="1FAEF7A3"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349E3449" w14:textId="77777777">
        <w:trPr>
          <w:trHeight w:val="340"/>
        </w:trPr>
        <w:tc>
          <w:tcPr>
            <w:tcW w:w="1805" w:type="dxa"/>
            <w:noWrap/>
            <w:hideMark/>
          </w:tcPr>
          <w:p w14:paraId="549133C2"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Dec-2012</w:t>
            </w:r>
          </w:p>
        </w:tc>
        <w:tc>
          <w:tcPr>
            <w:tcW w:w="1437" w:type="dxa"/>
            <w:noWrap/>
            <w:vAlign w:val="center"/>
            <w:hideMark/>
          </w:tcPr>
          <w:p w14:paraId="617B848C"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sz w:val="20"/>
                <w:szCs w:val="20"/>
              </w:rPr>
              <w:t>0.29</w:t>
            </w:r>
          </w:p>
        </w:tc>
        <w:tc>
          <w:tcPr>
            <w:tcW w:w="1642" w:type="dxa"/>
            <w:noWrap/>
            <w:vAlign w:val="center"/>
            <w:hideMark/>
          </w:tcPr>
          <w:p w14:paraId="5A98DE5A"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sz w:val="20"/>
                <w:szCs w:val="20"/>
              </w:rPr>
              <w:t>0.35</w:t>
            </w:r>
          </w:p>
        </w:tc>
        <w:tc>
          <w:tcPr>
            <w:tcW w:w="1232" w:type="dxa"/>
            <w:noWrap/>
            <w:vAlign w:val="center"/>
            <w:hideMark/>
          </w:tcPr>
          <w:p w14:paraId="35970753"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sz w:val="20"/>
                <w:szCs w:val="20"/>
              </w:rPr>
              <w:t>0.02</w:t>
            </w:r>
          </w:p>
        </w:tc>
        <w:tc>
          <w:tcPr>
            <w:tcW w:w="1373" w:type="dxa"/>
            <w:tcBorders>
              <w:right w:val="single" w:sz="4" w:space="0" w:color="auto"/>
            </w:tcBorders>
            <w:noWrap/>
            <w:vAlign w:val="center"/>
            <w:hideMark/>
          </w:tcPr>
          <w:p w14:paraId="7E00D2D1"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color w:val="000000"/>
                <w:sz w:val="20"/>
                <w:szCs w:val="20"/>
              </w:rPr>
              <w:t>0.66</w:t>
            </w:r>
          </w:p>
        </w:tc>
        <w:tc>
          <w:tcPr>
            <w:tcW w:w="1437" w:type="dxa"/>
            <w:tcBorders>
              <w:left w:val="single" w:sz="4" w:space="0" w:color="auto"/>
            </w:tcBorders>
            <w:noWrap/>
            <w:vAlign w:val="center"/>
            <w:hideMark/>
          </w:tcPr>
          <w:p w14:paraId="00A489B3"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43.9%</w:t>
            </w:r>
          </w:p>
        </w:tc>
        <w:tc>
          <w:tcPr>
            <w:tcW w:w="1642" w:type="dxa"/>
            <w:noWrap/>
            <w:vAlign w:val="center"/>
            <w:hideMark/>
          </w:tcPr>
          <w:p w14:paraId="43434F8D"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53.0%</w:t>
            </w:r>
          </w:p>
        </w:tc>
        <w:tc>
          <w:tcPr>
            <w:tcW w:w="1232" w:type="dxa"/>
            <w:noWrap/>
            <w:vAlign w:val="center"/>
            <w:hideMark/>
          </w:tcPr>
          <w:p w14:paraId="084F9E8E"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3.0%</w:t>
            </w:r>
          </w:p>
        </w:tc>
        <w:tc>
          <w:tcPr>
            <w:tcW w:w="1309" w:type="dxa"/>
            <w:noWrap/>
            <w:vAlign w:val="center"/>
            <w:hideMark/>
          </w:tcPr>
          <w:p w14:paraId="718273B7"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42F42F23" w14:textId="77777777">
        <w:trPr>
          <w:trHeight w:val="340"/>
        </w:trPr>
        <w:tc>
          <w:tcPr>
            <w:tcW w:w="1805" w:type="dxa"/>
            <w:noWrap/>
            <w:hideMark/>
          </w:tcPr>
          <w:p w14:paraId="3448914A"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Mar-2013</w:t>
            </w:r>
          </w:p>
        </w:tc>
        <w:tc>
          <w:tcPr>
            <w:tcW w:w="1437" w:type="dxa"/>
            <w:noWrap/>
            <w:vAlign w:val="center"/>
            <w:hideMark/>
          </w:tcPr>
          <w:p w14:paraId="5EFA8345"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sz w:val="20"/>
                <w:szCs w:val="20"/>
              </w:rPr>
              <w:t>0.34</w:t>
            </w:r>
          </w:p>
        </w:tc>
        <w:tc>
          <w:tcPr>
            <w:tcW w:w="1642" w:type="dxa"/>
            <w:noWrap/>
            <w:vAlign w:val="center"/>
            <w:hideMark/>
          </w:tcPr>
          <w:p w14:paraId="4B8AE188"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sz w:val="20"/>
                <w:szCs w:val="20"/>
              </w:rPr>
              <w:t>0.23</w:t>
            </w:r>
          </w:p>
        </w:tc>
        <w:tc>
          <w:tcPr>
            <w:tcW w:w="1232" w:type="dxa"/>
            <w:noWrap/>
            <w:vAlign w:val="center"/>
            <w:hideMark/>
          </w:tcPr>
          <w:p w14:paraId="29FAF4BA"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sz w:val="20"/>
                <w:szCs w:val="20"/>
              </w:rPr>
              <w:t>0.02</w:t>
            </w:r>
          </w:p>
        </w:tc>
        <w:tc>
          <w:tcPr>
            <w:tcW w:w="1373" w:type="dxa"/>
            <w:tcBorders>
              <w:right w:val="single" w:sz="4" w:space="0" w:color="auto"/>
            </w:tcBorders>
            <w:noWrap/>
            <w:vAlign w:val="center"/>
            <w:hideMark/>
          </w:tcPr>
          <w:p w14:paraId="1B8B40A4"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color w:val="000000"/>
                <w:sz w:val="20"/>
                <w:szCs w:val="20"/>
              </w:rPr>
              <w:t>0.59</w:t>
            </w:r>
          </w:p>
        </w:tc>
        <w:tc>
          <w:tcPr>
            <w:tcW w:w="1437" w:type="dxa"/>
            <w:tcBorders>
              <w:left w:val="single" w:sz="4" w:space="0" w:color="auto"/>
            </w:tcBorders>
            <w:noWrap/>
            <w:vAlign w:val="center"/>
            <w:hideMark/>
          </w:tcPr>
          <w:p w14:paraId="483B887A"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57.6%</w:t>
            </w:r>
          </w:p>
        </w:tc>
        <w:tc>
          <w:tcPr>
            <w:tcW w:w="1642" w:type="dxa"/>
            <w:noWrap/>
            <w:vAlign w:val="center"/>
            <w:hideMark/>
          </w:tcPr>
          <w:p w14:paraId="2EEF934D"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39.0%</w:t>
            </w:r>
          </w:p>
        </w:tc>
        <w:tc>
          <w:tcPr>
            <w:tcW w:w="1232" w:type="dxa"/>
            <w:noWrap/>
            <w:vAlign w:val="center"/>
            <w:hideMark/>
          </w:tcPr>
          <w:p w14:paraId="37F2C8CA"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3.4%</w:t>
            </w:r>
          </w:p>
        </w:tc>
        <w:tc>
          <w:tcPr>
            <w:tcW w:w="1309" w:type="dxa"/>
            <w:noWrap/>
            <w:vAlign w:val="center"/>
            <w:hideMark/>
          </w:tcPr>
          <w:p w14:paraId="780DC2B9"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4239D381" w14:textId="77777777">
        <w:trPr>
          <w:trHeight w:val="340"/>
        </w:trPr>
        <w:tc>
          <w:tcPr>
            <w:tcW w:w="1805" w:type="dxa"/>
            <w:noWrap/>
            <w:hideMark/>
          </w:tcPr>
          <w:p w14:paraId="2CC13C57"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Jun-2013</w:t>
            </w:r>
          </w:p>
        </w:tc>
        <w:tc>
          <w:tcPr>
            <w:tcW w:w="1437" w:type="dxa"/>
            <w:noWrap/>
            <w:vAlign w:val="center"/>
            <w:hideMark/>
          </w:tcPr>
          <w:p w14:paraId="0C349B4B"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sz w:val="20"/>
                <w:szCs w:val="20"/>
              </w:rPr>
              <w:t>0.21</w:t>
            </w:r>
          </w:p>
        </w:tc>
        <w:tc>
          <w:tcPr>
            <w:tcW w:w="1642" w:type="dxa"/>
            <w:noWrap/>
            <w:vAlign w:val="center"/>
            <w:hideMark/>
          </w:tcPr>
          <w:p w14:paraId="59363CE0"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sz w:val="20"/>
                <w:szCs w:val="20"/>
              </w:rPr>
              <w:t>0.27</w:t>
            </w:r>
          </w:p>
        </w:tc>
        <w:tc>
          <w:tcPr>
            <w:tcW w:w="1232" w:type="dxa"/>
            <w:noWrap/>
            <w:vAlign w:val="center"/>
            <w:hideMark/>
          </w:tcPr>
          <w:p w14:paraId="10CA32CC"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sz w:val="20"/>
                <w:szCs w:val="20"/>
              </w:rPr>
              <w:t>0.00</w:t>
            </w:r>
          </w:p>
        </w:tc>
        <w:tc>
          <w:tcPr>
            <w:tcW w:w="1373" w:type="dxa"/>
            <w:tcBorders>
              <w:right w:val="single" w:sz="4" w:space="0" w:color="auto"/>
            </w:tcBorders>
            <w:noWrap/>
            <w:vAlign w:val="center"/>
            <w:hideMark/>
          </w:tcPr>
          <w:p w14:paraId="380B7249"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color w:val="000000"/>
                <w:sz w:val="20"/>
                <w:szCs w:val="20"/>
              </w:rPr>
              <w:t>0.48</w:t>
            </w:r>
          </w:p>
        </w:tc>
        <w:tc>
          <w:tcPr>
            <w:tcW w:w="1437" w:type="dxa"/>
            <w:tcBorders>
              <w:left w:val="single" w:sz="4" w:space="0" w:color="auto"/>
            </w:tcBorders>
            <w:noWrap/>
            <w:vAlign w:val="center"/>
            <w:hideMark/>
          </w:tcPr>
          <w:p w14:paraId="2A2C1A83"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43.8%</w:t>
            </w:r>
          </w:p>
        </w:tc>
        <w:tc>
          <w:tcPr>
            <w:tcW w:w="1642" w:type="dxa"/>
            <w:noWrap/>
            <w:vAlign w:val="center"/>
            <w:hideMark/>
          </w:tcPr>
          <w:p w14:paraId="7901CBB5"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56.3%</w:t>
            </w:r>
          </w:p>
        </w:tc>
        <w:tc>
          <w:tcPr>
            <w:tcW w:w="1232" w:type="dxa"/>
            <w:noWrap/>
            <w:vAlign w:val="center"/>
            <w:hideMark/>
          </w:tcPr>
          <w:p w14:paraId="54F0E0D4"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0.0%</w:t>
            </w:r>
          </w:p>
        </w:tc>
        <w:tc>
          <w:tcPr>
            <w:tcW w:w="1309" w:type="dxa"/>
            <w:noWrap/>
            <w:vAlign w:val="center"/>
            <w:hideMark/>
          </w:tcPr>
          <w:p w14:paraId="37EE0B72"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468A974E" w14:textId="77777777">
        <w:trPr>
          <w:trHeight w:val="340"/>
        </w:trPr>
        <w:tc>
          <w:tcPr>
            <w:tcW w:w="1805" w:type="dxa"/>
            <w:noWrap/>
            <w:hideMark/>
          </w:tcPr>
          <w:p w14:paraId="3F73D374"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Sep-2013</w:t>
            </w:r>
          </w:p>
        </w:tc>
        <w:tc>
          <w:tcPr>
            <w:tcW w:w="1437" w:type="dxa"/>
            <w:noWrap/>
            <w:vAlign w:val="center"/>
            <w:hideMark/>
          </w:tcPr>
          <w:p w14:paraId="5983EFF1"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sz w:val="20"/>
                <w:szCs w:val="20"/>
              </w:rPr>
              <w:t>0.44</w:t>
            </w:r>
          </w:p>
        </w:tc>
        <w:tc>
          <w:tcPr>
            <w:tcW w:w="1642" w:type="dxa"/>
            <w:noWrap/>
            <w:vAlign w:val="center"/>
            <w:hideMark/>
          </w:tcPr>
          <w:p w14:paraId="3598D27C"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sz w:val="20"/>
                <w:szCs w:val="20"/>
              </w:rPr>
              <w:t>0.36</w:t>
            </w:r>
          </w:p>
        </w:tc>
        <w:tc>
          <w:tcPr>
            <w:tcW w:w="1232" w:type="dxa"/>
            <w:noWrap/>
            <w:vAlign w:val="center"/>
            <w:hideMark/>
          </w:tcPr>
          <w:p w14:paraId="42CFA208"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sz w:val="20"/>
                <w:szCs w:val="20"/>
              </w:rPr>
              <w:t>0.16</w:t>
            </w:r>
          </w:p>
        </w:tc>
        <w:tc>
          <w:tcPr>
            <w:tcW w:w="1373" w:type="dxa"/>
            <w:tcBorders>
              <w:right w:val="single" w:sz="4" w:space="0" w:color="auto"/>
            </w:tcBorders>
            <w:noWrap/>
            <w:vAlign w:val="center"/>
            <w:hideMark/>
          </w:tcPr>
          <w:p w14:paraId="3287F595"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color w:val="000000"/>
                <w:sz w:val="20"/>
                <w:szCs w:val="20"/>
              </w:rPr>
              <w:t>0.96</w:t>
            </w:r>
          </w:p>
        </w:tc>
        <w:tc>
          <w:tcPr>
            <w:tcW w:w="1437" w:type="dxa"/>
            <w:tcBorders>
              <w:left w:val="single" w:sz="4" w:space="0" w:color="auto"/>
            </w:tcBorders>
            <w:noWrap/>
            <w:vAlign w:val="center"/>
            <w:hideMark/>
          </w:tcPr>
          <w:p w14:paraId="24E52574"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45.8%</w:t>
            </w:r>
          </w:p>
        </w:tc>
        <w:tc>
          <w:tcPr>
            <w:tcW w:w="1642" w:type="dxa"/>
            <w:noWrap/>
            <w:vAlign w:val="center"/>
            <w:hideMark/>
          </w:tcPr>
          <w:p w14:paraId="05DAA232"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37.5%</w:t>
            </w:r>
          </w:p>
        </w:tc>
        <w:tc>
          <w:tcPr>
            <w:tcW w:w="1232" w:type="dxa"/>
            <w:noWrap/>
            <w:vAlign w:val="center"/>
            <w:hideMark/>
          </w:tcPr>
          <w:p w14:paraId="2F8CFD7B"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16.7%</w:t>
            </w:r>
          </w:p>
        </w:tc>
        <w:tc>
          <w:tcPr>
            <w:tcW w:w="1309" w:type="dxa"/>
            <w:noWrap/>
            <w:vAlign w:val="center"/>
            <w:hideMark/>
          </w:tcPr>
          <w:p w14:paraId="4EE51CB1"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0F268FB2" w14:textId="77777777">
        <w:trPr>
          <w:trHeight w:val="340"/>
        </w:trPr>
        <w:tc>
          <w:tcPr>
            <w:tcW w:w="1805" w:type="dxa"/>
            <w:noWrap/>
            <w:hideMark/>
          </w:tcPr>
          <w:p w14:paraId="4DDB5F7B"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Dec-2013</w:t>
            </w:r>
          </w:p>
        </w:tc>
        <w:tc>
          <w:tcPr>
            <w:tcW w:w="1437" w:type="dxa"/>
            <w:noWrap/>
            <w:vAlign w:val="center"/>
            <w:hideMark/>
          </w:tcPr>
          <w:p w14:paraId="73EACAD8"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sz w:val="20"/>
                <w:szCs w:val="20"/>
              </w:rPr>
              <w:t>0.31</w:t>
            </w:r>
          </w:p>
        </w:tc>
        <w:tc>
          <w:tcPr>
            <w:tcW w:w="1642" w:type="dxa"/>
            <w:noWrap/>
            <w:vAlign w:val="center"/>
            <w:hideMark/>
          </w:tcPr>
          <w:p w14:paraId="1174C685"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sz w:val="20"/>
                <w:szCs w:val="20"/>
              </w:rPr>
              <w:t>0.22</w:t>
            </w:r>
          </w:p>
        </w:tc>
        <w:tc>
          <w:tcPr>
            <w:tcW w:w="1232" w:type="dxa"/>
            <w:noWrap/>
            <w:vAlign w:val="center"/>
            <w:hideMark/>
          </w:tcPr>
          <w:p w14:paraId="47F08E25"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sz w:val="20"/>
                <w:szCs w:val="20"/>
              </w:rPr>
              <w:t>0.02</w:t>
            </w:r>
          </w:p>
        </w:tc>
        <w:tc>
          <w:tcPr>
            <w:tcW w:w="1373" w:type="dxa"/>
            <w:tcBorders>
              <w:right w:val="single" w:sz="4" w:space="0" w:color="auto"/>
            </w:tcBorders>
            <w:noWrap/>
            <w:vAlign w:val="center"/>
            <w:hideMark/>
          </w:tcPr>
          <w:p w14:paraId="7289F343"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color w:val="000000"/>
                <w:sz w:val="20"/>
                <w:szCs w:val="20"/>
              </w:rPr>
              <w:t>0.55</w:t>
            </w:r>
          </w:p>
        </w:tc>
        <w:tc>
          <w:tcPr>
            <w:tcW w:w="1437" w:type="dxa"/>
            <w:tcBorders>
              <w:left w:val="single" w:sz="4" w:space="0" w:color="auto"/>
            </w:tcBorders>
            <w:noWrap/>
            <w:vAlign w:val="center"/>
            <w:hideMark/>
          </w:tcPr>
          <w:p w14:paraId="314638AB"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56.4%</w:t>
            </w:r>
          </w:p>
        </w:tc>
        <w:tc>
          <w:tcPr>
            <w:tcW w:w="1642" w:type="dxa"/>
            <w:noWrap/>
            <w:vAlign w:val="center"/>
            <w:hideMark/>
          </w:tcPr>
          <w:p w14:paraId="6DF8BE2D"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40.0%</w:t>
            </w:r>
          </w:p>
        </w:tc>
        <w:tc>
          <w:tcPr>
            <w:tcW w:w="1232" w:type="dxa"/>
            <w:noWrap/>
            <w:vAlign w:val="center"/>
            <w:hideMark/>
          </w:tcPr>
          <w:p w14:paraId="7AA4BE2E"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3.6%</w:t>
            </w:r>
          </w:p>
        </w:tc>
        <w:tc>
          <w:tcPr>
            <w:tcW w:w="1309" w:type="dxa"/>
            <w:noWrap/>
            <w:vAlign w:val="center"/>
            <w:hideMark/>
          </w:tcPr>
          <w:p w14:paraId="1D20D20A"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541F22F0" w14:textId="77777777">
        <w:trPr>
          <w:trHeight w:val="340"/>
        </w:trPr>
        <w:tc>
          <w:tcPr>
            <w:tcW w:w="1805" w:type="dxa"/>
            <w:noWrap/>
            <w:hideMark/>
          </w:tcPr>
          <w:p w14:paraId="55634CC5"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Mar-2014</w:t>
            </w:r>
          </w:p>
        </w:tc>
        <w:tc>
          <w:tcPr>
            <w:tcW w:w="1437" w:type="dxa"/>
            <w:noWrap/>
            <w:vAlign w:val="center"/>
            <w:hideMark/>
          </w:tcPr>
          <w:p w14:paraId="5D8508BE"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sz w:val="20"/>
                <w:szCs w:val="20"/>
              </w:rPr>
              <w:t>0.40</w:t>
            </w:r>
          </w:p>
        </w:tc>
        <w:tc>
          <w:tcPr>
            <w:tcW w:w="1642" w:type="dxa"/>
            <w:noWrap/>
            <w:vAlign w:val="center"/>
            <w:hideMark/>
          </w:tcPr>
          <w:p w14:paraId="53AD3F6F"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sz w:val="20"/>
                <w:szCs w:val="20"/>
              </w:rPr>
              <w:t>0.24</w:t>
            </w:r>
          </w:p>
        </w:tc>
        <w:tc>
          <w:tcPr>
            <w:tcW w:w="1232" w:type="dxa"/>
            <w:noWrap/>
            <w:vAlign w:val="center"/>
            <w:hideMark/>
          </w:tcPr>
          <w:p w14:paraId="38675A12"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sz w:val="20"/>
                <w:szCs w:val="20"/>
              </w:rPr>
              <w:t>0.04</w:t>
            </w:r>
          </w:p>
        </w:tc>
        <w:tc>
          <w:tcPr>
            <w:tcW w:w="1373" w:type="dxa"/>
            <w:tcBorders>
              <w:right w:val="single" w:sz="4" w:space="0" w:color="auto"/>
            </w:tcBorders>
            <w:noWrap/>
            <w:vAlign w:val="center"/>
            <w:hideMark/>
          </w:tcPr>
          <w:p w14:paraId="6FF728B9"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color w:val="000000"/>
                <w:sz w:val="20"/>
                <w:szCs w:val="20"/>
              </w:rPr>
              <w:t>0.68</w:t>
            </w:r>
          </w:p>
        </w:tc>
        <w:tc>
          <w:tcPr>
            <w:tcW w:w="1437" w:type="dxa"/>
            <w:tcBorders>
              <w:left w:val="single" w:sz="4" w:space="0" w:color="auto"/>
            </w:tcBorders>
            <w:noWrap/>
            <w:vAlign w:val="center"/>
            <w:hideMark/>
          </w:tcPr>
          <w:p w14:paraId="77E22648"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58.8%</w:t>
            </w:r>
          </w:p>
        </w:tc>
        <w:tc>
          <w:tcPr>
            <w:tcW w:w="1642" w:type="dxa"/>
            <w:noWrap/>
            <w:vAlign w:val="center"/>
            <w:hideMark/>
          </w:tcPr>
          <w:p w14:paraId="39E399B5"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35.3%</w:t>
            </w:r>
          </w:p>
        </w:tc>
        <w:tc>
          <w:tcPr>
            <w:tcW w:w="1232" w:type="dxa"/>
            <w:noWrap/>
            <w:vAlign w:val="center"/>
            <w:hideMark/>
          </w:tcPr>
          <w:p w14:paraId="6B8C90D7"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5.9%</w:t>
            </w:r>
          </w:p>
        </w:tc>
        <w:tc>
          <w:tcPr>
            <w:tcW w:w="1309" w:type="dxa"/>
            <w:noWrap/>
            <w:vAlign w:val="center"/>
            <w:hideMark/>
          </w:tcPr>
          <w:p w14:paraId="0A9D6B04"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2E2818DC" w14:textId="77777777">
        <w:trPr>
          <w:trHeight w:val="340"/>
        </w:trPr>
        <w:tc>
          <w:tcPr>
            <w:tcW w:w="1805" w:type="dxa"/>
            <w:noWrap/>
            <w:hideMark/>
          </w:tcPr>
          <w:p w14:paraId="498C2AA7"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Jun-2014</w:t>
            </w:r>
          </w:p>
        </w:tc>
        <w:tc>
          <w:tcPr>
            <w:tcW w:w="1437" w:type="dxa"/>
            <w:noWrap/>
            <w:vAlign w:val="center"/>
            <w:hideMark/>
          </w:tcPr>
          <w:p w14:paraId="214D1DDD"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sz w:val="20"/>
                <w:szCs w:val="20"/>
              </w:rPr>
              <w:t>0.17</w:t>
            </w:r>
          </w:p>
        </w:tc>
        <w:tc>
          <w:tcPr>
            <w:tcW w:w="1642" w:type="dxa"/>
            <w:noWrap/>
            <w:vAlign w:val="center"/>
            <w:hideMark/>
          </w:tcPr>
          <w:p w14:paraId="267F6EEB"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sz w:val="20"/>
                <w:szCs w:val="20"/>
              </w:rPr>
              <w:t>0.20</w:t>
            </w:r>
          </w:p>
        </w:tc>
        <w:tc>
          <w:tcPr>
            <w:tcW w:w="1232" w:type="dxa"/>
            <w:noWrap/>
            <w:vAlign w:val="center"/>
            <w:hideMark/>
          </w:tcPr>
          <w:p w14:paraId="01CEF9BA"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sz w:val="20"/>
                <w:szCs w:val="20"/>
              </w:rPr>
              <w:t>0.01</w:t>
            </w:r>
          </w:p>
        </w:tc>
        <w:tc>
          <w:tcPr>
            <w:tcW w:w="1373" w:type="dxa"/>
            <w:tcBorders>
              <w:right w:val="single" w:sz="4" w:space="0" w:color="auto"/>
            </w:tcBorders>
            <w:noWrap/>
            <w:vAlign w:val="center"/>
            <w:hideMark/>
          </w:tcPr>
          <w:p w14:paraId="7C4F0B90"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color w:val="000000"/>
                <w:sz w:val="20"/>
                <w:szCs w:val="20"/>
              </w:rPr>
              <w:t>0.38</w:t>
            </w:r>
          </w:p>
        </w:tc>
        <w:tc>
          <w:tcPr>
            <w:tcW w:w="1437" w:type="dxa"/>
            <w:tcBorders>
              <w:left w:val="single" w:sz="4" w:space="0" w:color="auto"/>
            </w:tcBorders>
            <w:noWrap/>
            <w:vAlign w:val="center"/>
            <w:hideMark/>
          </w:tcPr>
          <w:p w14:paraId="7F7B9FF4"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44.7%</w:t>
            </w:r>
          </w:p>
        </w:tc>
        <w:tc>
          <w:tcPr>
            <w:tcW w:w="1642" w:type="dxa"/>
            <w:noWrap/>
            <w:vAlign w:val="center"/>
            <w:hideMark/>
          </w:tcPr>
          <w:p w14:paraId="44B44229"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52.6%</w:t>
            </w:r>
          </w:p>
        </w:tc>
        <w:tc>
          <w:tcPr>
            <w:tcW w:w="1232" w:type="dxa"/>
            <w:noWrap/>
            <w:vAlign w:val="center"/>
            <w:hideMark/>
          </w:tcPr>
          <w:p w14:paraId="525AF5BC"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2.6%</w:t>
            </w:r>
          </w:p>
        </w:tc>
        <w:tc>
          <w:tcPr>
            <w:tcW w:w="1309" w:type="dxa"/>
            <w:noWrap/>
            <w:vAlign w:val="center"/>
            <w:hideMark/>
          </w:tcPr>
          <w:p w14:paraId="06921B25"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36EDA1DC" w14:textId="77777777">
        <w:trPr>
          <w:trHeight w:val="340"/>
        </w:trPr>
        <w:tc>
          <w:tcPr>
            <w:tcW w:w="1805" w:type="dxa"/>
            <w:noWrap/>
            <w:hideMark/>
          </w:tcPr>
          <w:p w14:paraId="534E6F29"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Sep-2014</w:t>
            </w:r>
          </w:p>
        </w:tc>
        <w:tc>
          <w:tcPr>
            <w:tcW w:w="1437" w:type="dxa"/>
            <w:noWrap/>
            <w:vAlign w:val="center"/>
            <w:hideMark/>
          </w:tcPr>
          <w:p w14:paraId="030B5D6D"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sz w:val="20"/>
                <w:szCs w:val="20"/>
              </w:rPr>
              <w:t>0.37</w:t>
            </w:r>
          </w:p>
        </w:tc>
        <w:tc>
          <w:tcPr>
            <w:tcW w:w="1642" w:type="dxa"/>
            <w:noWrap/>
            <w:vAlign w:val="center"/>
            <w:hideMark/>
          </w:tcPr>
          <w:p w14:paraId="660BD6CB"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sz w:val="20"/>
                <w:szCs w:val="20"/>
              </w:rPr>
              <w:t>0.37</w:t>
            </w:r>
          </w:p>
        </w:tc>
        <w:tc>
          <w:tcPr>
            <w:tcW w:w="1232" w:type="dxa"/>
            <w:noWrap/>
            <w:vAlign w:val="center"/>
            <w:hideMark/>
          </w:tcPr>
          <w:p w14:paraId="6F3C0C6D"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sz w:val="20"/>
                <w:szCs w:val="20"/>
              </w:rPr>
              <w:t>0.18</w:t>
            </w:r>
          </w:p>
        </w:tc>
        <w:tc>
          <w:tcPr>
            <w:tcW w:w="1373" w:type="dxa"/>
            <w:tcBorders>
              <w:right w:val="single" w:sz="4" w:space="0" w:color="auto"/>
            </w:tcBorders>
            <w:noWrap/>
            <w:vAlign w:val="center"/>
            <w:hideMark/>
          </w:tcPr>
          <w:p w14:paraId="6DB5AAE7"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color w:val="000000"/>
                <w:sz w:val="20"/>
                <w:szCs w:val="20"/>
              </w:rPr>
              <w:t>0.92</w:t>
            </w:r>
          </w:p>
        </w:tc>
        <w:tc>
          <w:tcPr>
            <w:tcW w:w="1437" w:type="dxa"/>
            <w:tcBorders>
              <w:left w:val="single" w:sz="4" w:space="0" w:color="auto"/>
            </w:tcBorders>
            <w:noWrap/>
            <w:vAlign w:val="center"/>
            <w:hideMark/>
          </w:tcPr>
          <w:p w14:paraId="6D6A631D"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40.2%</w:t>
            </w:r>
          </w:p>
        </w:tc>
        <w:tc>
          <w:tcPr>
            <w:tcW w:w="1642" w:type="dxa"/>
            <w:noWrap/>
            <w:vAlign w:val="center"/>
            <w:hideMark/>
          </w:tcPr>
          <w:p w14:paraId="256951D6"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40.2%</w:t>
            </w:r>
          </w:p>
        </w:tc>
        <w:tc>
          <w:tcPr>
            <w:tcW w:w="1232" w:type="dxa"/>
            <w:noWrap/>
            <w:vAlign w:val="center"/>
            <w:hideMark/>
          </w:tcPr>
          <w:p w14:paraId="547553C9"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19.6%</w:t>
            </w:r>
          </w:p>
        </w:tc>
        <w:tc>
          <w:tcPr>
            <w:tcW w:w="1309" w:type="dxa"/>
            <w:noWrap/>
            <w:vAlign w:val="center"/>
            <w:hideMark/>
          </w:tcPr>
          <w:p w14:paraId="341C2614"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3CE29FCA" w14:textId="77777777">
        <w:trPr>
          <w:trHeight w:val="340"/>
        </w:trPr>
        <w:tc>
          <w:tcPr>
            <w:tcW w:w="1805" w:type="dxa"/>
            <w:noWrap/>
            <w:hideMark/>
          </w:tcPr>
          <w:p w14:paraId="55675188"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Dec-2014</w:t>
            </w:r>
          </w:p>
        </w:tc>
        <w:tc>
          <w:tcPr>
            <w:tcW w:w="1437" w:type="dxa"/>
            <w:noWrap/>
            <w:vAlign w:val="center"/>
            <w:hideMark/>
          </w:tcPr>
          <w:p w14:paraId="77AFBBB9"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sz w:val="20"/>
                <w:szCs w:val="20"/>
              </w:rPr>
              <w:t>0.29</w:t>
            </w:r>
          </w:p>
        </w:tc>
        <w:tc>
          <w:tcPr>
            <w:tcW w:w="1642" w:type="dxa"/>
            <w:noWrap/>
            <w:vAlign w:val="center"/>
            <w:hideMark/>
          </w:tcPr>
          <w:p w14:paraId="2BC1A8EF"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sz w:val="20"/>
                <w:szCs w:val="20"/>
              </w:rPr>
              <w:t>0.24</w:t>
            </w:r>
          </w:p>
        </w:tc>
        <w:tc>
          <w:tcPr>
            <w:tcW w:w="1232" w:type="dxa"/>
            <w:noWrap/>
            <w:vAlign w:val="center"/>
            <w:hideMark/>
          </w:tcPr>
          <w:p w14:paraId="3F7AB510"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sz w:val="20"/>
                <w:szCs w:val="20"/>
              </w:rPr>
              <w:t>0.02</w:t>
            </w:r>
          </w:p>
        </w:tc>
        <w:tc>
          <w:tcPr>
            <w:tcW w:w="1373" w:type="dxa"/>
            <w:tcBorders>
              <w:right w:val="single" w:sz="4" w:space="0" w:color="auto"/>
            </w:tcBorders>
            <w:noWrap/>
            <w:vAlign w:val="center"/>
            <w:hideMark/>
          </w:tcPr>
          <w:p w14:paraId="6180F14A"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color w:val="000000"/>
                <w:sz w:val="20"/>
                <w:szCs w:val="20"/>
              </w:rPr>
              <w:t>0.55</w:t>
            </w:r>
          </w:p>
        </w:tc>
        <w:tc>
          <w:tcPr>
            <w:tcW w:w="1437" w:type="dxa"/>
            <w:tcBorders>
              <w:left w:val="single" w:sz="4" w:space="0" w:color="auto"/>
            </w:tcBorders>
            <w:noWrap/>
            <w:vAlign w:val="center"/>
            <w:hideMark/>
          </w:tcPr>
          <w:p w14:paraId="2AB592DA"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52.7%</w:t>
            </w:r>
          </w:p>
        </w:tc>
        <w:tc>
          <w:tcPr>
            <w:tcW w:w="1642" w:type="dxa"/>
            <w:noWrap/>
            <w:vAlign w:val="center"/>
            <w:hideMark/>
          </w:tcPr>
          <w:p w14:paraId="12CF8F69"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43.6%</w:t>
            </w:r>
          </w:p>
        </w:tc>
        <w:tc>
          <w:tcPr>
            <w:tcW w:w="1232" w:type="dxa"/>
            <w:noWrap/>
            <w:vAlign w:val="center"/>
            <w:hideMark/>
          </w:tcPr>
          <w:p w14:paraId="3FBD7D4C"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3.6%</w:t>
            </w:r>
          </w:p>
        </w:tc>
        <w:tc>
          <w:tcPr>
            <w:tcW w:w="1309" w:type="dxa"/>
            <w:noWrap/>
            <w:vAlign w:val="center"/>
            <w:hideMark/>
          </w:tcPr>
          <w:p w14:paraId="637C9164"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7533B8D1" w14:textId="77777777">
        <w:trPr>
          <w:trHeight w:val="340"/>
        </w:trPr>
        <w:tc>
          <w:tcPr>
            <w:tcW w:w="1805" w:type="dxa"/>
            <w:noWrap/>
            <w:hideMark/>
          </w:tcPr>
          <w:p w14:paraId="5D18E8E4"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Mar-2015</w:t>
            </w:r>
          </w:p>
        </w:tc>
        <w:tc>
          <w:tcPr>
            <w:tcW w:w="1437" w:type="dxa"/>
            <w:noWrap/>
            <w:vAlign w:val="center"/>
            <w:hideMark/>
          </w:tcPr>
          <w:p w14:paraId="1FAB4ADF"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sz w:val="20"/>
                <w:szCs w:val="20"/>
              </w:rPr>
              <w:t>0.28</w:t>
            </w:r>
          </w:p>
        </w:tc>
        <w:tc>
          <w:tcPr>
            <w:tcW w:w="1642" w:type="dxa"/>
            <w:noWrap/>
            <w:vAlign w:val="center"/>
            <w:hideMark/>
          </w:tcPr>
          <w:p w14:paraId="096410E7"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sz w:val="20"/>
                <w:szCs w:val="20"/>
              </w:rPr>
              <w:t>0.14</w:t>
            </w:r>
          </w:p>
        </w:tc>
        <w:tc>
          <w:tcPr>
            <w:tcW w:w="1232" w:type="dxa"/>
            <w:noWrap/>
            <w:vAlign w:val="center"/>
            <w:hideMark/>
          </w:tcPr>
          <w:p w14:paraId="5EE910C2"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sz w:val="20"/>
                <w:szCs w:val="20"/>
              </w:rPr>
              <w:t>0.03</w:t>
            </w:r>
          </w:p>
        </w:tc>
        <w:tc>
          <w:tcPr>
            <w:tcW w:w="1373" w:type="dxa"/>
            <w:tcBorders>
              <w:right w:val="single" w:sz="4" w:space="0" w:color="auto"/>
            </w:tcBorders>
            <w:noWrap/>
            <w:vAlign w:val="center"/>
            <w:hideMark/>
          </w:tcPr>
          <w:p w14:paraId="2E34CE13"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Calibri"/>
                <w:color w:val="000000"/>
                <w:sz w:val="20"/>
                <w:szCs w:val="20"/>
              </w:rPr>
              <w:t>0.45</w:t>
            </w:r>
          </w:p>
        </w:tc>
        <w:tc>
          <w:tcPr>
            <w:tcW w:w="1437" w:type="dxa"/>
            <w:tcBorders>
              <w:left w:val="single" w:sz="4" w:space="0" w:color="auto"/>
            </w:tcBorders>
            <w:noWrap/>
            <w:vAlign w:val="center"/>
            <w:hideMark/>
          </w:tcPr>
          <w:p w14:paraId="3AD28273"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62.2%</w:t>
            </w:r>
          </w:p>
        </w:tc>
        <w:tc>
          <w:tcPr>
            <w:tcW w:w="1642" w:type="dxa"/>
            <w:noWrap/>
            <w:vAlign w:val="center"/>
            <w:hideMark/>
          </w:tcPr>
          <w:p w14:paraId="38E33D8F"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31.1%</w:t>
            </w:r>
          </w:p>
        </w:tc>
        <w:tc>
          <w:tcPr>
            <w:tcW w:w="1232" w:type="dxa"/>
            <w:noWrap/>
            <w:vAlign w:val="center"/>
            <w:hideMark/>
          </w:tcPr>
          <w:p w14:paraId="00BD713E"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6.7%</w:t>
            </w:r>
          </w:p>
        </w:tc>
        <w:tc>
          <w:tcPr>
            <w:tcW w:w="1309" w:type="dxa"/>
            <w:noWrap/>
            <w:vAlign w:val="center"/>
            <w:hideMark/>
          </w:tcPr>
          <w:p w14:paraId="7EAE0646" w14:textId="77777777" w:rsidR="00677577" w:rsidRPr="00561D7B" w:rsidRDefault="00677577" w:rsidP="00767AC7">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72AE5AD9" w14:textId="77777777">
        <w:trPr>
          <w:trHeight w:val="340"/>
        </w:trPr>
        <w:tc>
          <w:tcPr>
            <w:tcW w:w="1805" w:type="dxa"/>
            <w:noWrap/>
            <w:hideMark/>
          </w:tcPr>
          <w:p w14:paraId="5C462C60"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Jun-2015</w:t>
            </w:r>
          </w:p>
        </w:tc>
        <w:tc>
          <w:tcPr>
            <w:tcW w:w="1437" w:type="dxa"/>
            <w:noWrap/>
            <w:vAlign w:val="center"/>
            <w:hideMark/>
          </w:tcPr>
          <w:p w14:paraId="0B2141DC"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0.17</w:t>
            </w:r>
          </w:p>
        </w:tc>
        <w:tc>
          <w:tcPr>
            <w:tcW w:w="1642" w:type="dxa"/>
            <w:noWrap/>
            <w:vAlign w:val="center"/>
            <w:hideMark/>
          </w:tcPr>
          <w:p w14:paraId="15E84661"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0.18</w:t>
            </w:r>
          </w:p>
        </w:tc>
        <w:tc>
          <w:tcPr>
            <w:tcW w:w="1232" w:type="dxa"/>
            <w:noWrap/>
            <w:vAlign w:val="center"/>
            <w:hideMark/>
          </w:tcPr>
          <w:p w14:paraId="0AE0A639"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0.01</w:t>
            </w:r>
          </w:p>
        </w:tc>
        <w:tc>
          <w:tcPr>
            <w:tcW w:w="1373" w:type="dxa"/>
            <w:tcBorders>
              <w:right w:val="single" w:sz="4" w:space="0" w:color="auto"/>
            </w:tcBorders>
            <w:noWrap/>
            <w:vAlign w:val="center"/>
            <w:hideMark/>
          </w:tcPr>
          <w:p w14:paraId="675587E9"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color w:val="000000"/>
                <w:sz w:val="20"/>
                <w:szCs w:val="20"/>
              </w:rPr>
              <w:t>0.36</w:t>
            </w:r>
          </w:p>
        </w:tc>
        <w:tc>
          <w:tcPr>
            <w:tcW w:w="1437" w:type="dxa"/>
            <w:tcBorders>
              <w:left w:val="single" w:sz="4" w:space="0" w:color="auto"/>
            </w:tcBorders>
            <w:noWrap/>
            <w:vAlign w:val="center"/>
            <w:hideMark/>
          </w:tcPr>
          <w:p w14:paraId="574BE01E"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47.2%</w:t>
            </w:r>
          </w:p>
        </w:tc>
        <w:tc>
          <w:tcPr>
            <w:tcW w:w="1642" w:type="dxa"/>
            <w:noWrap/>
            <w:vAlign w:val="center"/>
            <w:hideMark/>
          </w:tcPr>
          <w:p w14:paraId="14E1BD03"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50.0%</w:t>
            </w:r>
          </w:p>
        </w:tc>
        <w:tc>
          <w:tcPr>
            <w:tcW w:w="1232" w:type="dxa"/>
            <w:noWrap/>
            <w:vAlign w:val="center"/>
            <w:hideMark/>
          </w:tcPr>
          <w:p w14:paraId="331CD4F6"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2.8%</w:t>
            </w:r>
          </w:p>
        </w:tc>
        <w:tc>
          <w:tcPr>
            <w:tcW w:w="1309" w:type="dxa"/>
            <w:noWrap/>
            <w:vAlign w:val="center"/>
            <w:hideMark/>
          </w:tcPr>
          <w:p w14:paraId="7422B609"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2E0EE844" w14:textId="77777777">
        <w:trPr>
          <w:trHeight w:val="340"/>
        </w:trPr>
        <w:tc>
          <w:tcPr>
            <w:tcW w:w="1805" w:type="dxa"/>
            <w:noWrap/>
            <w:hideMark/>
          </w:tcPr>
          <w:p w14:paraId="25E0201C"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Sep-2015</w:t>
            </w:r>
          </w:p>
        </w:tc>
        <w:tc>
          <w:tcPr>
            <w:tcW w:w="1437" w:type="dxa"/>
            <w:noWrap/>
            <w:vAlign w:val="center"/>
            <w:hideMark/>
          </w:tcPr>
          <w:p w14:paraId="223C8D98"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0.41</w:t>
            </w:r>
          </w:p>
        </w:tc>
        <w:tc>
          <w:tcPr>
            <w:tcW w:w="1642" w:type="dxa"/>
            <w:noWrap/>
            <w:vAlign w:val="center"/>
            <w:hideMark/>
          </w:tcPr>
          <w:p w14:paraId="0810B546"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0.30</w:t>
            </w:r>
          </w:p>
        </w:tc>
        <w:tc>
          <w:tcPr>
            <w:tcW w:w="1232" w:type="dxa"/>
            <w:noWrap/>
            <w:vAlign w:val="center"/>
            <w:hideMark/>
          </w:tcPr>
          <w:p w14:paraId="0406E2A0"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0.20</w:t>
            </w:r>
          </w:p>
        </w:tc>
        <w:tc>
          <w:tcPr>
            <w:tcW w:w="1373" w:type="dxa"/>
            <w:tcBorders>
              <w:right w:val="single" w:sz="4" w:space="0" w:color="auto"/>
            </w:tcBorders>
            <w:noWrap/>
            <w:vAlign w:val="center"/>
            <w:hideMark/>
          </w:tcPr>
          <w:p w14:paraId="1730BD57"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color w:val="000000"/>
                <w:sz w:val="20"/>
                <w:szCs w:val="20"/>
              </w:rPr>
              <w:t>0.91</w:t>
            </w:r>
          </w:p>
        </w:tc>
        <w:tc>
          <w:tcPr>
            <w:tcW w:w="1437" w:type="dxa"/>
            <w:tcBorders>
              <w:left w:val="single" w:sz="4" w:space="0" w:color="auto"/>
            </w:tcBorders>
            <w:noWrap/>
            <w:vAlign w:val="center"/>
            <w:hideMark/>
          </w:tcPr>
          <w:p w14:paraId="43DC6256"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45.1%</w:t>
            </w:r>
          </w:p>
        </w:tc>
        <w:tc>
          <w:tcPr>
            <w:tcW w:w="1642" w:type="dxa"/>
            <w:noWrap/>
            <w:vAlign w:val="center"/>
            <w:hideMark/>
          </w:tcPr>
          <w:p w14:paraId="78B54BC4"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33.0%</w:t>
            </w:r>
          </w:p>
        </w:tc>
        <w:tc>
          <w:tcPr>
            <w:tcW w:w="1232" w:type="dxa"/>
            <w:noWrap/>
            <w:vAlign w:val="center"/>
            <w:hideMark/>
          </w:tcPr>
          <w:p w14:paraId="5E2885D4"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22.0%</w:t>
            </w:r>
          </w:p>
        </w:tc>
        <w:tc>
          <w:tcPr>
            <w:tcW w:w="1309" w:type="dxa"/>
            <w:noWrap/>
            <w:vAlign w:val="center"/>
            <w:hideMark/>
          </w:tcPr>
          <w:p w14:paraId="53A2F7F2"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34965D45" w14:textId="77777777">
        <w:trPr>
          <w:trHeight w:val="340"/>
        </w:trPr>
        <w:tc>
          <w:tcPr>
            <w:tcW w:w="1805" w:type="dxa"/>
            <w:tcBorders>
              <w:bottom w:val="nil"/>
            </w:tcBorders>
            <w:noWrap/>
            <w:hideMark/>
          </w:tcPr>
          <w:p w14:paraId="0CF13B05"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Dec-2015</w:t>
            </w:r>
          </w:p>
        </w:tc>
        <w:tc>
          <w:tcPr>
            <w:tcW w:w="1437" w:type="dxa"/>
            <w:tcBorders>
              <w:bottom w:val="nil"/>
            </w:tcBorders>
            <w:noWrap/>
            <w:vAlign w:val="center"/>
            <w:hideMark/>
          </w:tcPr>
          <w:p w14:paraId="1D71D8C7"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0.19</w:t>
            </w:r>
          </w:p>
        </w:tc>
        <w:tc>
          <w:tcPr>
            <w:tcW w:w="1642" w:type="dxa"/>
            <w:tcBorders>
              <w:bottom w:val="nil"/>
            </w:tcBorders>
            <w:noWrap/>
            <w:vAlign w:val="center"/>
            <w:hideMark/>
          </w:tcPr>
          <w:p w14:paraId="33961958"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0.21</w:t>
            </w:r>
          </w:p>
        </w:tc>
        <w:tc>
          <w:tcPr>
            <w:tcW w:w="1232" w:type="dxa"/>
            <w:tcBorders>
              <w:bottom w:val="nil"/>
            </w:tcBorders>
            <w:noWrap/>
            <w:vAlign w:val="center"/>
            <w:hideMark/>
          </w:tcPr>
          <w:p w14:paraId="205710A6"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0.02</w:t>
            </w:r>
          </w:p>
        </w:tc>
        <w:tc>
          <w:tcPr>
            <w:tcW w:w="1373" w:type="dxa"/>
            <w:tcBorders>
              <w:bottom w:val="nil"/>
              <w:right w:val="single" w:sz="4" w:space="0" w:color="auto"/>
            </w:tcBorders>
            <w:noWrap/>
            <w:vAlign w:val="center"/>
            <w:hideMark/>
          </w:tcPr>
          <w:p w14:paraId="47267550"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color w:val="000000"/>
                <w:sz w:val="20"/>
                <w:szCs w:val="20"/>
              </w:rPr>
              <w:t>0.42</w:t>
            </w:r>
          </w:p>
        </w:tc>
        <w:tc>
          <w:tcPr>
            <w:tcW w:w="1437" w:type="dxa"/>
            <w:tcBorders>
              <w:left w:val="single" w:sz="4" w:space="0" w:color="auto"/>
              <w:bottom w:val="nil"/>
            </w:tcBorders>
            <w:noWrap/>
            <w:vAlign w:val="center"/>
            <w:hideMark/>
          </w:tcPr>
          <w:p w14:paraId="296F6311"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45.2%</w:t>
            </w:r>
          </w:p>
        </w:tc>
        <w:tc>
          <w:tcPr>
            <w:tcW w:w="1642" w:type="dxa"/>
            <w:tcBorders>
              <w:bottom w:val="nil"/>
            </w:tcBorders>
            <w:noWrap/>
            <w:vAlign w:val="center"/>
            <w:hideMark/>
          </w:tcPr>
          <w:p w14:paraId="31385752"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50.0%</w:t>
            </w:r>
          </w:p>
        </w:tc>
        <w:tc>
          <w:tcPr>
            <w:tcW w:w="1232" w:type="dxa"/>
            <w:tcBorders>
              <w:bottom w:val="nil"/>
            </w:tcBorders>
            <w:noWrap/>
            <w:vAlign w:val="center"/>
            <w:hideMark/>
          </w:tcPr>
          <w:p w14:paraId="597ABDF4"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4.8%</w:t>
            </w:r>
          </w:p>
        </w:tc>
        <w:tc>
          <w:tcPr>
            <w:tcW w:w="1309" w:type="dxa"/>
            <w:tcBorders>
              <w:bottom w:val="nil"/>
            </w:tcBorders>
            <w:noWrap/>
            <w:vAlign w:val="center"/>
            <w:hideMark/>
          </w:tcPr>
          <w:p w14:paraId="54D61953"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1DAE6A57" w14:textId="77777777">
        <w:trPr>
          <w:trHeight w:val="340"/>
        </w:trPr>
        <w:tc>
          <w:tcPr>
            <w:tcW w:w="1805" w:type="dxa"/>
            <w:noWrap/>
            <w:hideMark/>
          </w:tcPr>
          <w:p w14:paraId="0784EAEC"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Mar-2016</w:t>
            </w:r>
          </w:p>
        </w:tc>
        <w:tc>
          <w:tcPr>
            <w:tcW w:w="1437" w:type="dxa"/>
            <w:noWrap/>
            <w:vAlign w:val="center"/>
            <w:hideMark/>
          </w:tcPr>
          <w:p w14:paraId="113524D2"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0.25</w:t>
            </w:r>
          </w:p>
        </w:tc>
        <w:tc>
          <w:tcPr>
            <w:tcW w:w="1642" w:type="dxa"/>
            <w:noWrap/>
            <w:vAlign w:val="center"/>
            <w:hideMark/>
          </w:tcPr>
          <w:p w14:paraId="3ED251E6"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0.12</w:t>
            </w:r>
          </w:p>
        </w:tc>
        <w:tc>
          <w:tcPr>
            <w:tcW w:w="1232" w:type="dxa"/>
            <w:noWrap/>
            <w:vAlign w:val="center"/>
            <w:hideMark/>
          </w:tcPr>
          <w:p w14:paraId="259CB494"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0.02</w:t>
            </w:r>
          </w:p>
        </w:tc>
        <w:tc>
          <w:tcPr>
            <w:tcW w:w="1373" w:type="dxa"/>
            <w:tcBorders>
              <w:right w:val="single" w:sz="4" w:space="0" w:color="auto"/>
            </w:tcBorders>
            <w:noWrap/>
            <w:vAlign w:val="center"/>
            <w:hideMark/>
          </w:tcPr>
          <w:p w14:paraId="07C86B4F"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color w:val="000000"/>
                <w:sz w:val="20"/>
                <w:szCs w:val="20"/>
              </w:rPr>
              <w:t>0.39</w:t>
            </w:r>
          </w:p>
        </w:tc>
        <w:tc>
          <w:tcPr>
            <w:tcW w:w="1437" w:type="dxa"/>
            <w:tcBorders>
              <w:left w:val="single" w:sz="4" w:space="0" w:color="auto"/>
            </w:tcBorders>
            <w:noWrap/>
            <w:vAlign w:val="center"/>
            <w:hideMark/>
          </w:tcPr>
          <w:p w14:paraId="2EC96B80"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64.1%</w:t>
            </w:r>
          </w:p>
        </w:tc>
        <w:tc>
          <w:tcPr>
            <w:tcW w:w="1642" w:type="dxa"/>
            <w:noWrap/>
            <w:vAlign w:val="center"/>
            <w:hideMark/>
          </w:tcPr>
          <w:p w14:paraId="002DD104"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30.8%</w:t>
            </w:r>
          </w:p>
        </w:tc>
        <w:tc>
          <w:tcPr>
            <w:tcW w:w="1232" w:type="dxa"/>
            <w:noWrap/>
            <w:vAlign w:val="center"/>
            <w:hideMark/>
          </w:tcPr>
          <w:p w14:paraId="78B82CD0"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5.1%</w:t>
            </w:r>
          </w:p>
        </w:tc>
        <w:tc>
          <w:tcPr>
            <w:tcW w:w="1309" w:type="dxa"/>
            <w:noWrap/>
            <w:vAlign w:val="center"/>
            <w:hideMark/>
          </w:tcPr>
          <w:p w14:paraId="4C9C27C4"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35CE4911" w14:textId="77777777">
        <w:trPr>
          <w:trHeight w:val="340"/>
        </w:trPr>
        <w:tc>
          <w:tcPr>
            <w:tcW w:w="1805" w:type="dxa"/>
            <w:noWrap/>
            <w:hideMark/>
          </w:tcPr>
          <w:p w14:paraId="473240CE"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Jun-2016</w:t>
            </w:r>
          </w:p>
        </w:tc>
        <w:tc>
          <w:tcPr>
            <w:tcW w:w="1437" w:type="dxa"/>
            <w:noWrap/>
            <w:vAlign w:val="center"/>
            <w:hideMark/>
          </w:tcPr>
          <w:p w14:paraId="6DECF753"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0.14</w:t>
            </w:r>
          </w:p>
        </w:tc>
        <w:tc>
          <w:tcPr>
            <w:tcW w:w="1642" w:type="dxa"/>
            <w:noWrap/>
            <w:vAlign w:val="center"/>
            <w:hideMark/>
          </w:tcPr>
          <w:p w14:paraId="36D918D9"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0.19</w:t>
            </w:r>
          </w:p>
        </w:tc>
        <w:tc>
          <w:tcPr>
            <w:tcW w:w="1232" w:type="dxa"/>
            <w:noWrap/>
            <w:vAlign w:val="center"/>
            <w:hideMark/>
          </w:tcPr>
          <w:p w14:paraId="419B13AD"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0.00</w:t>
            </w:r>
          </w:p>
        </w:tc>
        <w:tc>
          <w:tcPr>
            <w:tcW w:w="1373" w:type="dxa"/>
            <w:tcBorders>
              <w:right w:val="single" w:sz="4" w:space="0" w:color="auto"/>
            </w:tcBorders>
            <w:noWrap/>
            <w:vAlign w:val="center"/>
            <w:hideMark/>
          </w:tcPr>
          <w:p w14:paraId="754E9B54"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color w:val="000000"/>
                <w:sz w:val="20"/>
                <w:szCs w:val="20"/>
              </w:rPr>
              <w:t>0.33</w:t>
            </w:r>
          </w:p>
        </w:tc>
        <w:tc>
          <w:tcPr>
            <w:tcW w:w="1437" w:type="dxa"/>
            <w:tcBorders>
              <w:left w:val="single" w:sz="4" w:space="0" w:color="auto"/>
            </w:tcBorders>
            <w:noWrap/>
            <w:vAlign w:val="center"/>
            <w:hideMark/>
          </w:tcPr>
          <w:p w14:paraId="63A9CA4B"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42.4%</w:t>
            </w:r>
          </w:p>
        </w:tc>
        <w:tc>
          <w:tcPr>
            <w:tcW w:w="1642" w:type="dxa"/>
            <w:noWrap/>
            <w:vAlign w:val="center"/>
            <w:hideMark/>
          </w:tcPr>
          <w:p w14:paraId="03C284EE"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57.6%</w:t>
            </w:r>
          </w:p>
        </w:tc>
        <w:tc>
          <w:tcPr>
            <w:tcW w:w="1232" w:type="dxa"/>
            <w:noWrap/>
            <w:vAlign w:val="center"/>
            <w:hideMark/>
          </w:tcPr>
          <w:p w14:paraId="58723E3B"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0.0%</w:t>
            </w:r>
          </w:p>
        </w:tc>
        <w:tc>
          <w:tcPr>
            <w:tcW w:w="1309" w:type="dxa"/>
            <w:noWrap/>
            <w:vAlign w:val="center"/>
            <w:hideMark/>
          </w:tcPr>
          <w:p w14:paraId="31CA37E0"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5ABFB2D1" w14:textId="77777777">
        <w:trPr>
          <w:trHeight w:val="340"/>
        </w:trPr>
        <w:tc>
          <w:tcPr>
            <w:tcW w:w="1805" w:type="dxa"/>
            <w:noWrap/>
            <w:hideMark/>
          </w:tcPr>
          <w:p w14:paraId="45D5EFF6"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Sep-2016</w:t>
            </w:r>
          </w:p>
        </w:tc>
        <w:tc>
          <w:tcPr>
            <w:tcW w:w="1437" w:type="dxa"/>
            <w:noWrap/>
            <w:vAlign w:val="center"/>
            <w:hideMark/>
          </w:tcPr>
          <w:p w14:paraId="3B638197"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0.36</w:t>
            </w:r>
          </w:p>
        </w:tc>
        <w:tc>
          <w:tcPr>
            <w:tcW w:w="1642" w:type="dxa"/>
            <w:noWrap/>
            <w:vAlign w:val="center"/>
            <w:hideMark/>
          </w:tcPr>
          <w:p w14:paraId="736F53CC"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0.23</w:t>
            </w:r>
          </w:p>
        </w:tc>
        <w:tc>
          <w:tcPr>
            <w:tcW w:w="1232" w:type="dxa"/>
            <w:noWrap/>
            <w:vAlign w:val="center"/>
            <w:hideMark/>
          </w:tcPr>
          <w:p w14:paraId="10EEA010"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0.20</w:t>
            </w:r>
          </w:p>
        </w:tc>
        <w:tc>
          <w:tcPr>
            <w:tcW w:w="1373" w:type="dxa"/>
            <w:tcBorders>
              <w:right w:val="single" w:sz="4" w:space="0" w:color="auto"/>
            </w:tcBorders>
            <w:noWrap/>
            <w:vAlign w:val="center"/>
            <w:hideMark/>
          </w:tcPr>
          <w:p w14:paraId="2D7F4F78"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color w:val="000000"/>
                <w:sz w:val="20"/>
                <w:szCs w:val="20"/>
              </w:rPr>
              <w:t>0.79</w:t>
            </w:r>
          </w:p>
        </w:tc>
        <w:tc>
          <w:tcPr>
            <w:tcW w:w="1437" w:type="dxa"/>
            <w:tcBorders>
              <w:left w:val="single" w:sz="4" w:space="0" w:color="auto"/>
            </w:tcBorders>
            <w:noWrap/>
            <w:vAlign w:val="center"/>
            <w:hideMark/>
          </w:tcPr>
          <w:p w14:paraId="08187747"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45.6%</w:t>
            </w:r>
          </w:p>
        </w:tc>
        <w:tc>
          <w:tcPr>
            <w:tcW w:w="1642" w:type="dxa"/>
            <w:noWrap/>
            <w:vAlign w:val="center"/>
            <w:hideMark/>
          </w:tcPr>
          <w:p w14:paraId="2DA4999D"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29.1%</w:t>
            </w:r>
          </w:p>
        </w:tc>
        <w:tc>
          <w:tcPr>
            <w:tcW w:w="1232" w:type="dxa"/>
            <w:noWrap/>
            <w:vAlign w:val="center"/>
            <w:hideMark/>
          </w:tcPr>
          <w:p w14:paraId="1EA5E611"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25.3%</w:t>
            </w:r>
          </w:p>
        </w:tc>
        <w:tc>
          <w:tcPr>
            <w:tcW w:w="1309" w:type="dxa"/>
            <w:noWrap/>
            <w:vAlign w:val="center"/>
            <w:hideMark/>
          </w:tcPr>
          <w:p w14:paraId="5D77DF55"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1E60FE2E" w14:textId="77777777">
        <w:trPr>
          <w:trHeight w:val="340"/>
        </w:trPr>
        <w:tc>
          <w:tcPr>
            <w:tcW w:w="1805" w:type="dxa"/>
            <w:noWrap/>
            <w:hideMark/>
          </w:tcPr>
          <w:p w14:paraId="073BEE32"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Dec-2016</w:t>
            </w:r>
          </w:p>
        </w:tc>
        <w:tc>
          <w:tcPr>
            <w:tcW w:w="1437" w:type="dxa"/>
            <w:noWrap/>
            <w:vAlign w:val="center"/>
            <w:hideMark/>
          </w:tcPr>
          <w:p w14:paraId="212DA7B8"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0.22</w:t>
            </w:r>
          </w:p>
        </w:tc>
        <w:tc>
          <w:tcPr>
            <w:tcW w:w="1642" w:type="dxa"/>
            <w:noWrap/>
            <w:vAlign w:val="center"/>
            <w:hideMark/>
          </w:tcPr>
          <w:p w14:paraId="6F87F01E"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0.14</w:t>
            </w:r>
          </w:p>
        </w:tc>
        <w:tc>
          <w:tcPr>
            <w:tcW w:w="1232" w:type="dxa"/>
            <w:noWrap/>
            <w:vAlign w:val="center"/>
            <w:hideMark/>
          </w:tcPr>
          <w:p w14:paraId="4D13AA88"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0.02</w:t>
            </w:r>
          </w:p>
        </w:tc>
        <w:tc>
          <w:tcPr>
            <w:tcW w:w="1373" w:type="dxa"/>
            <w:tcBorders>
              <w:right w:val="single" w:sz="4" w:space="0" w:color="auto"/>
            </w:tcBorders>
            <w:noWrap/>
            <w:vAlign w:val="center"/>
            <w:hideMark/>
          </w:tcPr>
          <w:p w14:paraId="0681F229"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color w:val="000000"/>
                <w:sz w:val="20"/>
                <w:szCs w:val="20"/>
              </w:rPr>
              <w:t>0.38</w:t>
            </w:r>
          </w:p>
        </w:tc>
        <w:tc>
          <w:tcPr>
            <w:tcW w:w="1437" w:type="dxa"/>
            <w:tcBorders>
              <w:left w:val="single" w:sz="4" w:space="0" w:color="auto"/>
            </w:tcBorders>
            <w:noWrap/>
            <w:vAlign w:val="center"/>
            <w:hideMark/>
          </w:tcPr>
          <w:p w14:paraId="4233BEB3"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57.9%</w:t>
            </w:r>
          </w:p>
        </w:tc>
        <w:tc>
          <w:tcPr>
            <w:tcW w:w="1642" w:type="dxa"/>
            <w:noWrap/>
            <w:vAlign w:val="center"/>
            <w:hideMark/>
          </w:tcPr>
          <w:p w14:paraId="5627AE85"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36.8%</w:t>
            </w:r>
          </w:p>
        </w:tc>
        <w:tc>
          <w:tcPr>
            <w:tcW w:w="1232" w:type="dxa"/>
            <w:noWrap/>
            <w:vAlign w:val="center"/>
            <w:hideMark/>
          </w:tcPr>
          <w:p w14:paraId="4B5F07D2"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5.3%</w:t>
            </w:r>
          </w:p>
        </w:tc>
        <w:tc>
          <w:tcPr>
            <w:tcW w:w="1309" w:type="dxa"/>
            <w:noWrap/>
            <w:vAlign w:val="center"/>
            <w:hideMark/>
          </w:tcPr>
          <w:p w14:paraId="17BBE586"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1761298C" w14:textId="77777777">
        <w:trPr>
          <w:trHeight w:val="340"/>
        </w:trPr>
        <w:tc>
          <w:tcPr>
            <w:tcW w:w="1805" w:type="dxa"/>
            <w:noWrap/>
            <w:hideMark/>
          </w:tcPr>
          <w:p w14:paraId="0A03DC8B"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Mar-2017</w:t>
            </w:r>
          </w:p>
        </w:tc>
        <w:tc>
          <w:tcPr>
            <w:tcW w:w="1437" w:type="dxa"/>
            <w:noWrap/>
            <w:vAlign w:val="center"/>
            <w:hideMark/>
          </w:tcPr>
          <w:p w14:paraId="51306BF4"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0.22</w:t>
            </w:r>
          </w:p>
        </w:tc>
        <w:tc>
          <w:tcPr>
            <w:tcW w:w="1642" w:type="dxa"/>
            <w:noWrap/>
            <w:vAlign w:val="center"/>
            <w:hideMark/>
          </w:tcPr>
          <w:p w14:paraId="49AA56F7"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0.16</w:t>
            </w:r>
          </w:p>
        </w:tc>
        <w:tc>
          <w:tcPr>
            <w:tcW w:w="1232" w:type="dxa"/>
            <w:noWrap/>
            <w:vAlign w:val="center"/>
            <w:hideMark/>
          </w:tcPr>
          <w:p w14:paraId="26D72E14"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0.03</w:t>
            </w:r>
          </w:p>
        </w:tc>
        <w:tc>
          <w:tcPr>
            <w:tcW w:w="1373" w:type="dxa"/>
            <w:tcBorders>
              <w:right w:val="single" w:sz="4" w:space="0" w:color="auto"/>
            </w:tcBorders>
            <w:noWrap/>
            <w:vAlign w:val="center"/>
            <w:hideMark/>
          </w:tcPr>
          <w:p w14:paraId="280F81C5"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color w:val="000000"/>
                <w:sz w:val="20"/>
                <w:szCs w:val="20"/>
              </w:rPr>
              <w:t>0.41</w:t>
            </w:r>
          </w:p>
        </w:tc>
        <w:tc>
          <w:tcPr>
            <w:tcW w:w="1437" w:type="dxa"/>
            <w:tcBorders>
              <w:left w:val="single" w:sz="4" w:space="0" w:color="auto"/>
            </w:tcBorders>
            <w:noWrap/>
            <w:vAlign w:val="center"/>
            <w:hideMark/>
          </w:tcPr>
          <w:p w14:paraId="75F2277F"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53.7%</w:t>
            </w:r>
          </w:p>
        </w:tc>
        <w:tc>
          <w:tcPr>
            <w:tcW w:w="1642" w:type="dxa"/>
            <w:noWrap/>
            <w:vAlign w:val="center"/>
            <w:hideMark/>
          </w:tcPr>
          <w:p w14:paraId="65E23788"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39.0%</w:t>
            </w:r>
          </w:p>
        </w:tc>
        <w:tc>
          <w:tcPr>
            <w:tcW w:w="1232" w:type="dxa"/>
            <w:noWrap/>
            <w:vAlign w:val="center"/>
            <w:hideMark/>
          </w:tcPr>
          <w:p w14:paraId="32795B1C"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7.3%</w:t>
            </w:r>
          </w:p>
        </w:tc>
        <w:tc>
          <w:tcPr>
            <w:tcW w:w="1309" w:type="dxa"/>
            <w:noWrap/>
            <w:vAlign w:val="center"/>
            <w:hideMark/>
          </w:tcPr>
          <w:p w14:paraId="74A920ED"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1D8E6867" w14:textId="77777777">
        <w:trPr>
          <w:trHeight w:val="340"/>
        </w:trPr>
        <w:tc>
          <w:tcPr>
            <w:tcW w:w="1805" w:type="dxa"/>
            <w:noWrap/>
            <w:hideMark/>
          </w:tcPr>
          <w:p w14:paraId="0583A6AC"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Jun-2017</w:t>
            </w:r>
          </w:p>
        </w:tc>
        <w:tc>
          <w:tcPr>
            <w:tcW w:w="1437" w:type="dxa"/>
            <w:noWrap/>
            <w:vAlign w:val="center"/>
            <w:hideMark/>
          </w:tcPr>
          <w:p w14:paraId="269DBA8D"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0.13</w:t>
            </w:r>
          </w:p>
        </w:tc>
        <w:tc>
          <w:tcPr>
            <w:tcW w:w="1642" w:type="dxa"/>
            <w:noWrap/>
            <w:vAlign w:val="center"/>
            <w:hideMark/>
          </w:tcPr>
          <w:p w14:paraId="0C0A7131"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0.19</w:t>
            </w:r>
          </w:p>
        </w:tc>
        <w:tc>
          <w:tcPr>
            <w:tcW w:w="1232" w:type="dxa"/>
            <w:noWrap/>
            <w:vAlign w:val="center"/>
            <w:hideMark/>
          </w:tcPr>
          <w:p w14:paraId="07A52099"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0.01</w:t>
            </w:r>
          </w:p>
        </w:tc>
        <w:tc>
          <w:tcPr>
            <w:tcW w:w="1373" w:type="dxa"/>
            <w:tcBorders>
              <w:right w:val="single" w:sz="4" w:space="0" w:color="auto"/>
            </w:tcBorders>
            <w:noWrap/>
            <w:vAlign w:val="center"/>
            <w:hideMark/>
          </w:tcPr>
          <w:p w14:paraId="64E03F1C"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color w:val="000000"/>
                <w:sz w:val="20"/>
                <w:szCs w:val="20"/>
              </w:rPr>
              <w:t>0.33</w:t>
            </w:r>
          </w:p>
        </w:tc>
        <w:tc>
          <w:tcPr>
            <w:tcW w:w="1437" w:type="dxa"/>
            <w:tcBorders>
              <w:left w:val="single" w:sz="4" w:space="0" w:color="auto"/>
            </w:tcBorders>
            <w:noWrap/>
            <w:vAlign w:val="center"/>
            <w:hideMark/>
          </w:tcPr>
          <w:p w14:paraId="09E1F17D"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39.4%</w:t>
            </w:r>
          </w:p>
        </w:tc>
        <w:tc>
          <w:tcPr>
            <w:tcW w:w="1642" w:type="dxa"/>
            <w:noWrap/>
            <w:vAlign w:val="center"/>
            <w:hideMark/>
          </w:tcPr>
          <w:p w14:paraId="3BF9F37F"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57.6%</w:t>
            </w:r>
          </w:p>
        </w:tc>
        <w:tc>
          <w:tcPr>
            <w:tcW w:w="1232" w:type="dxa"/>
            <w:noWrap/>
            <w:vAlign w:val="center"/>
            <w:hideMark/>
          </w:tcPr>
          <w:p w14:paraId="7EFF139E"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3.0%</w:t>
            </w:r>
          </w:p>
        </w:tc>
        <w:tc>
          <w:tcPr>
            <w:tcW w:w="1309" w:type="dxa"/>
            <w:noWrap/>
            <w:vAlign w:val="center"/>
            <w:hideMark/>
          </w:tcPr>
          <w:p w14:paraId="1AA0955A"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6AB338C0" w14:textId="77777777">
        <w:trPr>
          <w:trHeight w:val="340"/>
        </w:trPr>
        <w:tc>
          <w:tcPr>
            <w:tcW w:w="1805" w:type="dxa"/>
            <w:noWrap/>
            <w:hideMark/>
          </w:tcPr>
          <w:p w14:paraId="7B47EE90"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Sep-2017</w:t>
            </w:r>
          </w:p>
        </w:tc>
        <w:tc>
          <w:tcPr>
            <w:tcW w:w="1437" w:type="dxa"/>
            <w:noWrap/>
            <w:vAlign w:val="center"/>
            <w:hideMark/>
          </w:tcPr>
          <w:p w14:paraId="1197FE88"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0.32</w:t>
            </w:r>
          </w:p>
        </w:tc>
        <w:tc>
          <w:tcPr>
            <w:tcW w:w="1642" w:type="dxa"/>
            <w:noWrap/>
            <w:vAlign w:val="center"/>
            <w:hideMark/>
          </w:tcPr>
          <w:p w14:paraId="0F0C5065"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0.30</w:t>
            </w:r>
          </w:p>
        </w:tc>
        <w:tc>
          <w:tcPr>
            <w:tcW w:w="1232" w:type="dxa"/>
            <w:noWrap/>
            <w:vAlign w:val="center"/>
            <w:hideMark/>
          </w:tcPr>
          <w:p w14:paraId="6674F3E1"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0.28</w:t>
            </w:r>
          </w:p>
        </w:tc>
        <w:tc>
          <w:tcPr>
            <w:tcW w:w="1373" w:type="dxa"/>
            <w:tcBorders>
              <w:right w:val="single" w:sz="4" w:space="0" w:color="auto"/>
            </w:tcBorders>
            <w:noWrap/>
            <w:vAlign w:val="center"/>
            <w:hideMark/>
          </w:tcPr>
          <w:p w14:paraId="2FBCD9A1"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color w:val="000000"/>
                <w:sz w:val="20"/>
                <w:szCs w:val="20"/>
              </w:rPr>
              <w:t>0.90</w:t>
            </w:r>
          </w:p>
        </w:tc>
        <w:tc>
          <w:tcPr>
            <w:tcW w:w="1437" w:type="dxa"/>
            <w:tcBorders>
              <w:left w:val="single" w:sz="4" w:space="0" w:color="auto"/>
            </w:tcBorders>
            <w:noWrap/>
            <w:vAlign w:val="center"/>
            <w:hideMark/>
          </w:tcPr>
          <w:p w14:paraId="7AF5B5A0"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35.6%</w:t>
            </w:r>
          </w:p>
        </w:tc>
        <w:tc>
          <w:tcPr>
            <w:tcW w:w="1642" w:type="dxa"/>
            <w:noWrap/>
            <w:vAlign w:val="center"/>
            <w:hideMark/>
          </w:tcPr>
          <w:p w14:paraId="3F45A78C"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33.3%</w:t>
            </w:r>
          </w:p>
        </w:tc>
        <w:tc>
          <w:tcPr>
            <w:tcW w:w="1232" w:type="dxa"/>
            <w:noWrap/>
            <w:vAlign w:val="center"/>
            <w:hideMark/>
          </w:tcPr>
          <w:p w14:paraId="6E397967"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31.1%</w:t>
            </w:r>
          </w:p>
        </w:tc>
        <w:tc>
          <w:tcPr>
            <w:tcW w:w="1309" w:type="dxa"/>
            <w:noWrap/>
            <w:vAlign w:val="center"/>
            <w:hideMark/>
          </w:tcPr>
          <w:p w14:paraId="2DF35290"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7B44CCCD" w14:textId="77777777">
        <w:trPr>
          <w:trHeight w:val="340"/>
        </w:trPr>
        <w:tc>
          <w:tcPr>
            <w:tcW w:w="1805" w:type="dxa"/>
            <w:noWrap/>
            <w:hideMark/>
          </w:tcPr>
          <w:p w14:paraId="789500CD"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Dec-2017</w:t>
            </w:r>
          </w:p>
        </w:tc>
        <w:tc>
          <w:tcPr>
            <w:tcW w:w="1437" w:type="dxa"/>
            <w:noWrap/>
            <w:vAlign w:val="center"/>
            <w:hideMark/>
          </w:tcPr>
          <w:p w14:paraId="074CBDA0"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0.23</w:t>
            </w:r>
          </w:p>
        </w:tc>
        <w:tc>
          <w:tcPr>
            <w:tcW w:w="1642" w:type="dxa"/>
            <w:noWrap/>
            <w:vAlign w:val="center"/>
            <w:hideMark/>
          </w:tcPr>
          <w:p w14:paraId="26134E10"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0.18</w:t>
            </w:r>
          </w:p>
        </w:tc>
        <w:tc>
          <w:tcPr>
            <w:tcW w:w="1232" w:type="dxa"/>
            <w:noWrap/>
            <w:vAlign w:val="center"/>
            <w:hideMark/>
          </w:tcPr>
          <w:p w14:paraId="4DA6725C"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0.03</w:t>
            </w:r>
          </w:p>
        </w:tc>
        <w:tc>
          <w:tcPr>
            <w:tcW w:w="1373" w:type="dxa"/>
            <w:tcBorders>
              <w:right w:val="single" w:sz="4" w:space="0" w:color="auto"/>
            </w:tcBorders>
            <w:noWrap/>
            <w:vAlign w:val="center"/>
            <w:hideMark/>
          </w:tcPr>
          <w:p w14:paraId="057E1642"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color w:val="000000"/>
                <w:sz w:val="20"/>
                <w:szCs w:val="20"/>
              </w:rPr>
              <w:t>0.44</w:t>
            </w:r>
          </w:p>
        </w:tc>
        <w:tc>
          <w:tcPr>
            <w:tcW w:w="1437" w:type="dxa"/>
            <w:tcBorders>
              <w:left w:val="single" w:sz="4" w:space="0" w:color="auto"/>
            </w:tcBorders>
            <w:noWrap/>
            <w:vAlign w:val="center"/>
            <w:hideMark/>
          </w:tcPr>
          <w:p w14:paraId="5128857E"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52.3%</w:t>
            </w:r>
          </w:p>
        </w:tc>
        <w:tc>
          <w:tcPr>
            <w:tcW w:w="1642" w:type="dxa"/>
            <w:noWrap/>
            <w:vAlign w:val="center"/>
            <w:hideMark/>
          </w:tcPr>
          <w:p w14:paraId="1A96105D"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40.9%</w:t>
            </w:r>
          </w:p>
        </w:tc>
        <w:tc>
          <w:tcPr>
            <w:tcW w:w="1232" w:type="dxa"/>
            <w:noWrap/>
            <w:vAlign w:val="center"/>
            <w:hideMark/>
          </w:tcPr>
          <w:p w14:paraId="09FE6E3F"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6.8%</w:t>
            </w:r>
          </w:p>
        </w:tc>
        <w:tc>
          <w:tcPr>
            <w:tcW w:w="1309" w:type="dxa"/>
            <w:noWrap/>
            <w:vAlign w:val="center"/>
            <w:hideMark/>
          </w:tcPr>
          <w:p w14:paraId="00D80BAE"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304B9A46" w14:textId="77777777">
        <w:trPr>
          <w:trHeight w:val="340"/>
        </w:trPr>
        <w:tc>
          <w:tcPr>
            <w:tcW w:w="1805" w:type="dxa"/>
            <w:noWrap/>
            <w:hideMark/>
          </w:tcPr>
          <w:p w14:paraId="1971D654"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Mar-2018</w:t>
            </w:r>
          </w:p>
        </w:tc>
        <w:tc>
          <w:tcPr>
            <w:tcW w:w="1437" w:type="dxa"/>
            <w:noWrap/>
            <w:vAlign w:val="center"/>
            <w:hideMark/>
          </w:tcPr>
          <w:p w14:paraId="3F380B4A"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0.20</w:t>
            </w:r>
          </w:p>
        </w:tc>
        <w:tc>
          <w:tcPr>
            <w:tcW w:w="1642" w:type="dxa"/>
            <w:noWrap/>
            <w:vAlign w:val="center"/>
            <w:hideMark/>
          </w:tcPr>
          <w:p w14:paraId="6415E741"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0.16</w:t>
            </w:r>
          </w:p>
        </w:tc>
        <w:tc>
          <w:tcPr>
            <w:tcW w:w="1232" w:type="dxa"/>
            <w:noWrap/>
            <w:vAlign w:val="center"/>
            <w:hideMark/>
          </w:tcPr>
          <w:p w14:paraId="37558C7E"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0.04</w:t>
            </w:r>
          </w:p>
        </w:tc>
        <w:tc>
          <w:tcPr>
            <w:tcW w:w="1373" w:type="dxa"/>
            <w:tcBorders>
              <w:right w:val="single" w:sz="4" w:space="0" w:color="auto"/>
            </w:tcBorders>
            <w:noWrap/>
            <w:vAlign w:val="center"/>
            <w:hideMark/>
          </w:tcPr>
          <w:p w14:paraId="67FB9C7B"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color w:val="000000"/>
                <w:sz w:val="20"/>
                <w:szCs w:val="20"/>
              </w:rPr>
              <w:t>0.40</w:t>
            </w:r>
          </w:p>
        </w:tc>
        <w:tc>
          <w:tcPr>
            <w:tcW w:w="1437" w:type="dxa"/>
            <w:tcBorders>
              <w:left w:val="single" w:sz="4" w:space="0" w:color="auto"/>
            </w:tcBorders>
            <w:noWrap/>
            <w:vAlign w:val="center"/>
            <w:hideMark/>
          </w:tcPr>
          <w:p w14:paraId="3AAF0B4D"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50.0%</w:t>
            </w:r>
          </w:p>
        </w:tc>
        <w:tc>
          <w:tcPr>
            <w:tcW w:w="1642" w:type="dxa"/>
            <w:noWrap/>
            <w:vAlign w:val="center"/>
            <w:hideMark/>
          </w:tcPr>
          <w:p w14:paraId="68516309"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40.0%</w:t>
            </w:r>
          </w:p>
        </w:tc>
        <w:tc>
          <w:tcPr>
            <w:tcW w:w="1232" w:type="dxa"/>
            <w:noWrap/>
            <w:vAlign w:val="center"/>
            <w:hideMark/>
          </w:tcPr>
          <w:p w14:paraId="155136D9"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10.0%</w:t>
            </w:r>
          </w:p>
        </w:tc>
        <w:tc>
          <w:tcPr>
            <w:tcW w:w="1309" w:type="dxa"/>
            <w:noWrap/>
            <w:vAlign w:val="center"/>
            <w:hideMark/>
          </w:tcPr>
          <w:p w14:paraId="67B1EFDB"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41C24AF5" w14:textId="77777777">
        <w:trPr>
          <w:trHeight w:val="340"/>
        </w:trPr>
        <w:tc>
          <w:tcPr>
            <w:tcW w:w="1805" w:type="dxa"/>
            <w:noWrap/>
            <w:hideMark/>
          </w:tcPr>
          <w:p w14:paraId="5F6A309E"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Jun-2018</w:t>
            </w:r>
          </w:p>
        </w:tc>
        <w:tc>
          <w:tcPr>
            <w:tcW w:w="1437" w:type="dxa"/>
            <w:noWrap/>
            <w:vAlign w:val="center"/>
            <w:hideMark/>
          </w:tcPr>
          <w:p w14:paraId="07D7F84A"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0.14</w:t>
            </w:r>
          </w:p>
        </w:tc>
        <w:tc>
          <w:tcPr>
            <w:tcW w:w="1642" w:type="dxa"/>
            <w:noWrap/>
            <w:vAlign w:val="center"/>
            <w:hideMark/>
          </w:tcPr>
          <w:p w14:paraId="035CEF07"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0.25</w:t>
            </w:r>
          </w:p>
        </w:tc>
        <w:tc>
          <w:tcPr>
            <w:tcW w:w="1232" w:type="dxa"/>
            <w:noWrap/>
            <w:vAlign w:val="center"/>
            <w:hideMark/>
          </w:tcPr>
          <w:p w14:paraId="1F4A7F3D"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0.02</w:t>
            </w:r>
          </w:p>
        </w:tc>
        <w:tc>
          <w:tcPr>
            <w:tcW w:w="1373" w:type="dxa"/>
            <w:tcBorders>
              <w:right w:val="single" w:sz="4" w:space="0" w:color="auto"/>
            </w:tcBorders>
            <w:noWrap/>
            <w:vAlign w:val="center"/>
            <w:hideMark/>
          </w:tcPr>
          <w:p w14:paraId="08001AA2"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color w:val="000000"/>
                <w:sz w:val="20"/>
                <w:szCs w:val="20"/>
              </w:rPr>
              <w:t>0.41</w:t>
            </w:r>
          </w:p>
        </w:tc>
        <w:tc>
          <w:tcPr>
            <w:tcW w:w="1437" w:type="dxa"/>
            <w:tcBorders>
              <w:left w:val="single" w:sz="4" w:space="0" w:color="auto"/>
            </w:tcBorders>
            <w:noWrap/>
            <w:vAlign w:val="center"/>
            <w:hideMark/>
          </w:tcPr>
          <w:p w14:paraId="070A79AB"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34.1%</w:t>
            </w:r>
          </w:p>
        </w:tc>
        <w:tc>
          <w:tcPr>
            <w:tcW w:w="1642" w:type="dxa"/>
            <w:noWrap/>
            <w:vAlign w:val="center"/>
            <w:hideMark/>
          </w:tcPr>
          <w:p w14:paraId="37EA4D2B"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61.0%</w:t>
            </w:r>
          </w:p>
        </w:tc>
        <w:tc>
          <w:tcPr>
            <w:tcW w:w="1232" w:type="dxa"/>
            <w:noWrap/>
            <w:vAlign w:val="center"/>
            <w:hideMark/>
          </w:tcPr>
          <w:p w14:paraId="329F3F5E"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4.9%</w:t>
            </w:r>
          </w:p>
        </w:tc>
        <w:tc>
          <w:tcPr>
            <w:tcW w:w="1309" w:type="dxa"/>
            <w:noWrap/>
            <w:vAlign w:val="center"/>
            <w:hideMark/>
          </w:tcPr>
          <w:p w14:paraId="224EBD56"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5C2B365F" w14:textId="77777777">
        <w:trPr>
          <w:trHeight w:val="340"/>
        </w:trPr>
        <w:tc>
          <w:tcPr>
            <w:tcW w:w="1805" w:type="dxa"/>
            <w:noWrap/>
            <w:hideMark/>
          </w:tcPr>
          <w:p w14:paraId="55C2741E"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Sep-2018</w:t>
            </w:r>
          </w:p>
        </w:tc>
        <w:tc>
          <w:tcPr>
            <w:tcW w:w="1437" w:type="dxa"/>
            <w:noWrap/>
            <w:vAlign w:val="center"/>
            <w:hideMark/>
          </w:tcPr>
          <w:p w14:paraId="1FED77F2"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0.37</w:t>
            </w:r>
          </w:p>
        </w:tc>
        <w:tc>
          <w:tcPr>
            <w:tcW w:w="1642" w:type="dxa"/>
            <w:noWrap/>
            <w:vAlign w:val="center"/>
            <w:hideMark/>
          </w:tcPr>
          <w:p w14:paraId="741F389B"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0.33</w:t>
            </w:r>
          </w:p>
        </w:tc>
        <w:tc>
          <w:tcPr>
            <w:tcW w:w="1232" w:type="dxa"/>
            <w:noWrap/>
            <w:vAlign w:val="center"/>
            <w:hideMark/>
          </w:tcPr>
          <w:p w14:paraId="6CCB8D43"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0.32</w:t>
            </w:r>
          </w:p>
        </w:tc>
        <w:tc>
          <w:tcPr>
            <w:tcW w:w="1373" w:type="dxa"/>
            <w:tcBorders>
              <w:right w:val="single" w:sz="4" w:space="0" w:color="auto"/>
            </w:tcBorders>
            <w:noWrap/>
            <w:vAlign w:val="center"/>
            <w:hideMark/>
          </w:tcPr>
          <w:p w14:paraId="57F74663"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color w:val="000000"/>
                <w:sz w:val="20"/>
                <w:szCs w:val="20"/>
              </w:rPr>
              <w:t>1.02</w:t>
            </w:r>
          </w:p>
        </w:tc>
        <w:tc>
          <w:tcPr>
            <w:tcW w:w="1437" w:type="dxa"/>
            <w:tcBorders>
              <w:left w:val="single" w:sz="4" w:space="0" w:color="auto"/>
            </w:tcBorders>
            <w:noWrap/>
            <w:vAlign w:val="center"/>
            <w:hideMark/>
          </w:tcPr>
          <w:p w14:paraId="44543854"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36.3%</w:t>
            </w:r>
          </w:p>
        </w:tc>
        <w:tc>
          <w:tcPr>
            <w:tcW w:w="1642" w:type="dxa"/>
            <w:noWrap/>
            <w:vAlign w:val="center"/>
            <w:hideMark/>
          </w:tcPr>
          <w:p w14:paraId="6E01CBB9"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32.4%</w:t>
            </w:r>
          </w:p>
        </w:tc>
        <w:tc>
          <w:tcPr>
            <w:tcW w:w="1232" w:type="dxa"/>
            <w:noWrap/>
            <w:vAlign w:val="center"/>
            <w:hideMark/>
          </w:tcPr>
          <w:p w14:paraId="55F176E9"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31.4%</w:t>
            </w:r>
          </w:p>
        </w:tc>
        <w:tc>
          <w:tcPr>
            <w:tcW w:w="1309" w:type="dxa"/>
            <w:noWrap/>
            <w:vAlign w:val="center"/>
            <w:hideMark/>
          </w:tcPr>
          <w:p w14:paraId="2B6BA87B"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747A9961" w14:textId="77777777">
        <w:trPr>
          <w:trHeight w:val="340"/>
        </w:trPr>
        <w:tc>
          <w:tcPr>
            <w:tcW w:w="1805" w:type="dxa"/>
            <w:noWrap/>
            <w:hideMark/>
          </w:tcPr>
          <w:p w14:paraId="00D1C37E"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Dec-2018</w:t>
            </w:r>
          </w:p>
        </w:tc>
        <w:tc>
          <w:tcPr>
            <w:tcW w:w="1437" w:type="dxa"/>
            <w:noWrap/>
            <w:vAlign w:val="center"/>
            <w:hideMark/>
          </w:tcPr>
          <w:p w14:paraId="0A45583F"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0.23</w:t>
            </w:r>
          </w:p>
        </w:tc>
        <w:tc>
          <w:tcPr>
            <w:tcW w:w="1642" w:type="dxa"/>
            <w:noWrap/>
            <w:vAlign w:val="center"/>
            <w:hideMark/>
          </w:tcPr>
          <w:p w14:paraId="21572775"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0.24</w:t>
            </w:r>
          </w:p>
        </w:tc>
        <w:tc>
          <w:tcPr>
            <w:tcW w:w="1232" w:type="dxa"/>
            <w:noWrap/>
            <w:vAlign w:val="center"/>
            <w:hideMark/>
          </w:tcPr>
          <w:p w14:paraId="279165D2"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0.03</w:t>
            </w:r>
          </w:p>
        </w:tc>
        <w:tc>
          <w:tcPr>
            <w:tcW w:w="1373" w:type="dxa"/>
            <w:tcBorders>
              <w:right w:val="single" w:sz="4" w:space="0" w:color="auto"/>
            </w:tcBorders>
            <w:noWrap/>
            <w:vAlign w:val="center"/>
            <w:hideMark/>
          </w:tcPr>
          <w:p w14:paraId="0FFBEEDD"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color w:val="000000"/>
                <w:sz w:val="20"/>
                <w:szCs w:val="20"/>
              </w:rPr>
              <w:t>0.50</w:t>
            </w:r>
          </w:p>
        </w:tc>
        <w:tc>
          <w:tcPr>
            <w:tcW w:w="1437" w:type="dxa"/>
            <w:tcBorders>
              <w:left w:val="single" w:sz="4" w:space="0" w:color="auto"/>
            </w:tcBorders>
            <w:noWrap/>
            <w:vAlign w:val="center"/>
            <w:hideMark/>
          </w:tcPr>
          <w:p w14:paraId="4F074DA4"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46.0%</w:t>
            </w:r>
          </w:p>
        </w:tc>
        <w:tc>
          <w:tcPr>
            <w:tcW w:w="1642" w:type="dxa"/>
            <w:noWrap/>
            <w:vAlign w:val="center"/>
            <w:hideMark/>
          </w:tcPr>
          <w:p w14:paraId="663A7B5C"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48.0%</w:t>
            </w:r>
          </w:p>
        </w:tc>
        <w:tc>
          <w:tcPr>
            <w:tcW w:w="1232" w:type="dxa"/>
            <w:noWrap/>
            <w:vAlign w:val="center"/>
            <w:hideMark/>
          </w:tcPr>
          <w:p w14:paraId="6C9B546E"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6.0%</w:t>
            </w:r>
          </w:p>
        </w:tc>
        <w:tc>
          <w:tcPr>
            <w:tcW w:w="1309" w:type="dxa"/>
            <w:noWrap/>
            <w:vAlign w:val="center"/>
            <w:hideMark/>
          </w:tcPr>
          <w:p w14:paraId="1E030243"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38476C69" w14:textId="77777777">
        <w:trPr>
          <w:trHeight w:val="340"/>
        </w:trPr>
        <w:tc>
          <w:tcPr>
            <w:tcW w:w="1805" w:type="dxa"/>
            <w:noWrap/>
            <w:hideMark/>
          </w:tcPr>
          <w:p w14:paraId="1E5B24A9"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Mar-2019</w:t>
            </w:r>
          </w:p>
        </w:tc>
        <w:tc>
          <w:tcPr>
            <w:tcW w:w="1437" w:type="dxa"/>
            <w:noWrap/>
            <w:vAlign w:val="center"/>
            <w:hideMark/>
          </w:tcPr>
          <w:p w14:paraId="299A3C24"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0.21</w:t>
            </w:r>
          </w:p>
        </w:tc>
        <w:tc>
          <w:tcPr>
            <w:tcW w:w="1642" w:type="dxa"/>
            <w:noWrap/>
            <w:vAlign w:val="center"/>
            <w:hideMark/>
          </w:tcPr>
          <w:p w14:paraId="1D01F544"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0.18</w:t>
            </w:r>
          </w:p>
        </w:tc>
        <w:tc>
          <w:tcPr>
            <w:tcW w:w="1232" w:type="dxa"/>
            <w:noWrap/>
            <w:vAlign w:val="center"/>
            <w:hideMark/>
          </w:tcPr>
          <w:p w14:paraId="6F2AF06A"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0.04</w:t>
            </w:r>
          </w:p>
        </w:tc>
        <w:tc>
          <w:tcPr>
            <w:tcW w:w="1373" w:type="dxa"/>
            <w:tcBorders>
              <w:right w:val="single" w:sz="4" w:space="0" w:color="auto"/>
            </w:tcBorders>
            <w:noWrap/>
            <w:vAlign w:val="center"/>
            <w:hideMark/>
          </w:tcPr>
          <w:p w14:paraId="5D5613FC"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color w:val="000000"/>
                <w:sz w:val="20"/>
                <w:szCs w:val="20"/>
              </w:rPr>
              <w:t>0.43</w:t>
            </w:r>
          </w:p>
        </w:tc>
        <w:tc>
          <w:tcPr>
            <w:tcW w:w="1437" w:type="dxa"/>
            <w:tcBorders>
              <w:left w:val="single" w:sz="4" w:space="0" w:color="auto"/>
            </w:tcBorders>
            <w:noWrap/>
            <w:vAlign w:val="center"/>
            <w:hideMark/>
          </w:tcPr>
          <w:p w14:paraId="4A497F97"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48.8%</w:t>
            </w:r>
          </w:p>
        </w:tc>
        <w:tc>
          <w:tcPr>
            <w:tcW w:w="1642" w:type="dxa"/>
            <w:noWrap/>
            <w:vAlign w:val="center"/>
            <w:hideMark/>
          </w:tcPr>
          <w:p w14:paraId="00B0A3EB"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41.9%</w:t>
            </w:r>
          </w:p>
        </w:tc>
        <w:tc>
          <w:tcPr>
            <w:tcW w:w="1232" w:type="dxa"/>
            <w:noWrap/>
            <w:vAlign w:val="center"/>
            <w:hideMark/>
          </w:tcPr>
          <w:p w14:paraId="138D1C9B"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9.3%</w:t>
            </w:r>
          </w:p>
        </w:tc>
        <w:tc>
          <w:tcPr>
            <w:tcW w:w="1309" w:type="dxa"/>
            <w:noWrap/>
            <w:vAlign w:val="center"/>
            <w:hideMark/>
          </w:tcPr>
          <w:p w14:paraId="278F1C8F"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37A39E72" w14:textId="77777777">
        <w:trPr>
          <w:trHeight w:val="340"/>
        </w:trPr>
        <w:tc>
          <w:tcPr>
            <w:tcW w:w="1805" w:type="dxa"/>
            <w:noWrap/>
            <w:hideMark/>
          </w:tcPr>
          <w:p w14:paraId="2716BACC"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Jun-2019</w:t>
            </w:r>
          </w:p>
        </w:tc>
        <w:tc>
          <w:tcPr>
            <w:tcW w:w="1437" w:type="dxa"/>
            <w:noWrap/>
            <w:vAlign w:val="center"/>
            <w:hideMark/>
          </w:tcPr>
          <w:p w14:paraId="2E08DA36"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0.20</w:t>
            </w:r>
          </w:p>
        </w:tc>
        <w:tc>
          <w:tcPr>
            <w:tcW w:w="1642" w:type="dxa"/>
            <w:noWrap/>
            <w:vAlign w:val="center"/>
            <w:hideMark/>
          </w:tcPr>
          <w:p w14:paraId="24A802A4"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0.20</w:t>
            </w:r>
          </w:p>
        </w:tc>
        <w:tc>
          <w:tcPr>
            <w:tcW w:w="1232" w:type="dxa"/>
            <w:noWrap/>
            <w:vAlign w:val="center"/>
            <w:hideMark/>
          </w:tcPr>
          <w:p w14:paraId="5C7A09D2"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0.01</w:t>
            </w:r>
          </w:p>
        </w:tc>
        <w:tc>
          <w:tcPr>
            <w:tcW w:w="1373" w:type="dxa"/>
            <w:tcBorders>
              <w:right w:val="single" w:sz="4" w:space="0" w:color="auto"/>
            </w:tcBorders>
            <w:noWrap/>
            <w:vAlign w:val="center"/>
            <w:hideMark/>
          </w:tcPr>
          <w:p w14:paraId="50D798A0"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color w:val="000000"/>
                <w:sz w:val="20"/>
                <w:szCs w:val="20"/>
              </w:rPr>
              <w:t>0.41</w:t>
            </w:r>
          </w:p>
        </w:tc>
        <w:tc>
          <w:tcPr>
            <w:tcW w:w="1437" w:type="dxa"/>
            <w:tcBorders>
              <w:left w:val="single" w:sz="4" w:space="0" w:color="auto"/>
            </w:tcBorders>
            <w:noWrap/>
            <w:vAlign w:val="center"/>
            <w:hideMark/>
          </w:tcPr>
          <w:p w14:paraId="7A071C12"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48.8%</w:t>
            </w:r>
          </w:p>
        </w:tc>
        <w:tc>
          <w:tcPr>
            <w:tcW w:w="1642" w:type="dxa"/>
            <w:noWrap/>
            <w:vAlign w:val="center"/>
            <w:hideMark/>
          </w:tcPr>
          <w:p w14:paraId="7DCCD898"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48.8%</w:t>
            </w:r>
          </w:p>
        </w:tc>
        <w:tc>
          <w:tcPr>
            <w:tcW w:w="1232" w:type="dxa"/>
            <w:noWrap/>
            <w:vAlign w:val="center"/>
            <w:hideMark/>
          </w:tcPr>
          <w:p w14:paraId="369E3B60"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2.4%</w:t>
            </w:r>
          </w:p>
        </w:tc>
        <w:tc>
          <w:tcPr>
            <w:tcW w:w="1309" w:type="dxa"/>
            <w:noWrap/>
            <w:vAlign w:val="center"/>
            <w:hideMark/>
          </w:tcPr>
          <w:p w14:paraId="6F58AAF6"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4FE51CA0" w14:textId="77777777">
        <w:trPr>
          <w:trHeight w:val="340"/>
        </w:trPr>
        <w:tc>
          <w:tcPr>
            <w:tcW w:w="1805" w:type="dxa"/>
            <w:noWrap/>
            <w:hideMark/>
          </w:tcPr>
          <w:p w14:paraId="1B0257A7"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Sep-2019</w:t>
            </w:r>
          </w:p>
        </w:tc>
        <w:tc>
          <w:tcPr>
            <w:tcW w:w="1437" w:type="dxa"/>
            <w:noWrap/>
            <w:vAlign w:val="center"/>
            <w:hideMark/>
          </w:tcPr>
          <w:p w14:paraId="43E96C26"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0.31</w:t>
            </w:r>
          </w:p>
        </w:tc>
        <w:tc>
          <w:tcPr>
            <w:tcW w:w="1642" w:type="dxa"/>
            <w:noWrap/>
            <w:vAlign w:val="center"/>
            <w:hideMark/>
          </w:tcPr>
          <w:p w14:paraId="6CE6B668"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0.33</w:t>
            </w:r>
          </w:p>
        </w:tc>
        <w:tc>
          <w:tcPr>
            <w:tcW w:w="1232" w:type="dxa"/>
            <w:noWrap/>
            <w:vAlign w:val="center"/>
            <w:hideMark/>
          </w:tcPr>
          <w:p w14:paraId="69F0B45B"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0.29</w:t>
            </w:r>
          </w:p>
        </w:tc>
        <w:tc>
          <w:tcPr>
            <w:tcW w:w="1373" w:type="dxa"/>
            <w:tcBorders>
              <w:right w:val="single" w:sz="4" w:space="0" w:color="auto"/>
            </w:tcBorders>
            <w:noWrap/>
            <w:vAlign w:val="center"/>
            <w:hideMark/>
          </w:tcPr>
          <w:p w14:paraId="5243FB92"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color w:val="000000"/>
                <w:sz w:val="20"/>
                <w:szCs w:val="20"/>
              </w:rPr>
              <w:t>0.93</w:t>
            </w:r>
          </w:p>
        </w:tc>
        <w:tc>
          <w:tcPr>
            <w:tcW w:w="1437" w:type="dxa"/>
            <w:tcBorders>
              <w:left w:val="single" w:sz="4" w:space="0" w:color="auto"/>
            </w:tcBorders>
            <w:noWrap/>
            <w:vAlign w:val="center"/>
            <w:hideMark/>
          </w:tcPr>
          <w:p w14:paraId="1516FB31"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33.3%</w:t>
            </w:r>
          </w:p>
        </w:tc>
        <w:tc>
          <w:tcPr>
            <w:tcW w:w="1642" w:type="dxa"/>
            <w:noWrap/>
            <w:vAlign w:val="center"/>
            <w:hideMark/>
          </w:tcPr>
          <w:p w14:paraId="2DAF308A"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35.5%</w:t>
            </w:r>
          </w:p>
        </w:tc>
        <w:tc>
          <w:tcPr>
            <w:tcW w:w="1232" w:type="dxa"/>
            <w:noWrap/>
            <w:vAlign w:val="center"/>
            <w:hideMark/>
          </w:tcPr>
          <w:p w14:paraId="34E5D847"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31.2%</w:t>
            </w:r>
          </w:p>
        </w:tc>
        <w:tc>
          <w:tcPr>
            <w:tcW w:w="1309" w:type="dxa"/>
            <w:noWrap/>
            <w:vAlign w:val="center"/>
            <w:hideMark/>
          </w:tcPr>
          <w:p w14:paraId="70A6F3D5"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2613331A" w14:textId="77777777">
        <w:trPr>
          <w:trHeight w:val="340"/>
        </w:trPr>
        <w:tc>
          <w:tcPr>
            <w:tcW w:w="1805" w:type="dxa"/>
            <w:noWrap/>
            <w:hideMark/>
          </w:tcPr>
          <w:p w14:paraId="238815D8"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Dec-2019</w:t>
            </w:r>
          </w:p>
        </w:tc>
        <w:tc>
          <w:tcPr>
            <w:tcW w:w="1437" w:type="dxa"/>
            <w:noWrap/>
            <w:vAlign w:val="center"/>
            <w:hideMark/>
          </w:tcPr>
          <w:p w14:paraId="36BAD2A4"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0.17</w:t>
            </w:r>
          </w:p>
        </w:tc>
        <w:tc>
          <w:tcPr>
            <w:tcW w:w="1642" w:type="dxa"/>
            <w:noWrap/>
            <w:vAlign w:val="center"/>
            <w:hideMark/>
          </w:tcPr>
          <w:p w14:paraId="382FA8E2"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0.24</w:t>
            </w:r>
          </w:p>
        </w:tc>
        <w:tc>
          <w:tcPr>
            <w:tcW w:w="1232" w:type="dxa"/>
            <w:noWrap/>
            <w:vAlign w:val="center"/>
            <w:hideMark/>
          </w:tcPr>
          <w:p w14:paraId="176EAEA3"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0.01</w:t>
            </w:r>
          </w:p>
        </w:tc>
        <w:tc>
          <w:tcPr>
            <w:tcW w:w="1373" w:type="dxa"/>
            <w:tcBorders>
              <w:right w:val="single" w:sz="4" w:space="0" w:color="auto"/>
            </w:tcBorders>
            <w:noWrap/>
            <w:vAlign w:val="center"/>
            <w:hideMark/>
          </w:tcPr>
          <w:p w14:paraId="0C2E501A"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color w:val="000000"/>
                <w:sz w:val="20"/>
                <w:szCs w:val="20"/>
              </w:rPr>
              <w:t>0.42</w:t>
            </w:r>
          </w:p>
        </w:tc>
        <w:tc>
          <w:tcPr>
            <w:tcW w:w="1437" w:type="dxa"/>
            <w:tcBorders>
              <w:left w:val="single" w:sz="4" w:space="0" w:color="auto"/>
            </w:tcBorders>
            <w:noWrap/>
            <w:vAlign w:val="center"/>
            <w:hideMark/>
          </w:tcPr>
          <w:p w14:paraId="67C3A15A"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40.5%</w:t>
            </w:r>
          </w:p>
        </w:tc>
        <w:tc>
          <w:tcPr>
            <w:tcW w:w="1642" w:type="dxa"/>
            <w:noWrap/>
            <w:vAlign w:val="center"/>
            <w:hideMark/>
          </w:tcPr>
          <w:p w14:paraId="5711E478"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57.1%</w:t>
            </w:r>
          </w:p>
        </w:tc>
        <w:tc>
          <w:tcPr>
            <w:tcW w:w="1232" w:type="dxa"/>
            <w:noWrap/>
            <w:vAlign w:val="center"/>
            <w:hideMark/>
          </w:tcPr>
          <w:p w14:paraId="6476A336"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2.4%</w:t>
            </w:r>
          </w:p>
        </w:tc>
        <w:tc>
          <w:tcPr>
            <w:tcW w:w="1309" w:type="dxa"/>
            <w:noWrap/>
            <w:vAlign w:val="center"/>
            <w:hideMark/>
          </w:tcPr>
          <w:p w14:paraId="366043BB"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4CDF821D" w14:textId="77777777">
        <w:trPr>
          <w:trHeight w:val="340"/>
        </w:trPr>
        <w:tc>
          <w:tcPr>
            <w:tcW w:w="1805" w:type="dxa"/>
            <w:noWrap/>
            <w:hideMark/>
          </w:tcPr>
          <w:p w14:paraId="499C41F0"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Mar-2020</w:t>
            </w:r>
          </w:p>
        </w:tc>
        <w:tc>
          <w:tcPr>
            <w:tcW w:w="1437" w:type="dxa"/>
            <w:noWrap/>
            <w:vAlign w:val="center"/>
            <w:hideMark/>
          </w:tcPr>
          <w:p w14:paraId="0A9A77B2"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0.22</w:t>
            </w:r>
          </w:p>
        </w:tc>
        <w:tc>
          <w:tcPr>
            <w:tcW w:w="1642" w:type="dxa"/>
            <w:noWrap/>
            <w:vAlign w:val="center"/>
            <w:hideMark/>
          </w:tcPr>
          <w:p w14:paraId="62EEA388"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0.16</w:t>
            </w:r>
          </w:p>
        </w:tc>
        <w:tc>
          <w:tcPr>
            <w:tcW w:w="1232" w:type="dxa"/>
            <w:noWrap/>
            <w:vAlign w:val="center"/>
            <w:hideMark/>
          </w:tcPr>
          <w:p w14:paraId="78047743"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0.04</w:t>
            </w:r>
          </w:p>
        </w:tc>
        <w:tc>
          <w:tcPr>
            <w:tcW w:w="1373" w:type="dxa"/>
            <w:tcBorders>
              <w:right w:val="single" w:sz="4" w:space="0" w:color="auto"/>
            </w:tcBorders>
            <w:noWrap/>
            <w:vAlign w:val="center"/>
            <w:hideMark/>
          </w:tcPr>
          <w:p w14:paraId="5E6043E4"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color w:val="000000"/>
                <w:sz w:val="20"/>
                <w:szCs w:val="20"/>
              </w:rPr>
              <w:t>0.42</w:t>
            </w:r>
          </w:p>
        </w:tc>
        <w:tc>
          <w:tcPr>
            <w:tcW w:w="1437" w:type="dxa"/>
            <w:tcBorders>
              <w:left w:val="single" w:sz="4" w:space="0" w:color="auto"/>
            </w:tcBorders>
            <w:noWrap/>
            <w:vAlign w:val="center"/>
            <w:hideMark/>
          </w:tcPr>
          <w:p w14:paraId="2E197A17"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52.4%</w:t>
            </w:r>
          </w:p>
        </w:tc>
        <w:tc>
          <w:tcPr>
            <w:tcW w:w="1642" w:type="dxa"/>
            <w:noWrap/>
            <w:vAlign w:val="center"/>
            <w:hideMark/>
          </w:tcPr>
          <w:p w14:paraId="226D8C4A"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38.1%</w:t>
            </w:r>
          </w:p>
        </w:tc>
        <w:tc>
          <w:tcPr>
            <w:tcW w:w="1232" w:type="dxa"/>
            <w:noWrap/>
            <w:vAlign w:val="center"/>
            <w:hideMark/>
          </w:tcPr>
          <w:p w14:paraId="5FABB4BE"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9.5%</w:t>
            </w:r>
          </w:p>
        </w:tc>
        <w:tc>
          <w:tcPr>
            <w:tcW w:w="1309" w:type="dxa"/>
            <w:noWrap/>
            <w:vAlign w:val="center"/>
            <w:hideMark/>
          </w:tcPr>
          <w:p w14:paraId="5941D043"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583046D8" w14:textId="77777777">
        <w:trPr>
          <w:trHeight w:val="340"/>
        </w:trPr>
        <w:tc>
          <w:tcPr>
            <w:tcW w:w="1805" w:type="dxa"/>
            <w:noWrap/>
            <w:hideMark/>
          </w:tcPr>
          <w:p w14:paraId="358F8254"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Jun-2020</w:t>
            </w:r>
          </w:p>
        </w:tc>
        <w:tc>
          <w:tcPr>
            <w:tcW w:w="1437" w:type="dxa"/>
            <w:noWrap/>
            <w:vAlign w:val="center"/>
            <w:hideMark/>
          </w:tcPr>
          <w:p w14:paraId="5D87AAA7"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0.13</w:t>
            </w:r>
          </w:p>
        </w:tc>
        <w:tc>
          <w:tcPr>
            <w:tcW w:w="1642" w:type="dxa"/>
            <w:noWrap/>
            <w:vAlign w:val="center"/>
            <w:hideMark/>
          </w:tcPr>
          <w:p w14:paraId="38AAB637"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-0.11</w:t>
            </w:r>
          </w:p>
        </w:tc>
        <w:tc>
          <w:tcPr>
            <w:tcW w:w="1232" w:type="dxa"/>
            <w:noWrap/>
            <w:vAlign w:val="center"/>
            <w:hideMark/>
          </w:tcPr>
          <w:p w14:paraId="081D24E4"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0.01</w:t>
            </w:r>
          </w:p>
        </w:tc>
        <w:tc>
          <w:tcPr>
            <w:tcW w:w="1373" w:type="dxa"/>
            <w:tcBorders>
              <w:right w:val="single" w:sz="4" w:space="0" w:color="auto"/>
            </w:tcBorders>
            <w:noWrap/>
            <w:vAlign w:val="center"/>
            <w:hideMark/>
          </w:tcPr>
          <w:p w14:paraId="611CE830"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color w:val="000000"/>
                <w:sz w:val="20"/>
                <w:szCs w:val="20"/>
              </w:rPr>
              <w:t>0.03</w:t>
            </w:r>
          </w:p>
        </w:tc>
        <w:tc>
          <w:tcPr>
            <w:tcW w:w="1437" w:type="dxa"/>
            <w:tcBorders>
              <w:left w:val="single" w:sz="4" w:space="0" w:color="auto"/>
            </w:tcBorders>
            <w:noWrap/>
            <w:vAlign w:val="center"/>
            <w:hideMark/>
          </w:tcPr>
          <w:p w14:paraId="2D045D78"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433.3%</w:t>
            </w:r>
          </w:p>
        </w:tc>
        <w:tc>
          <w:tcPr>
            <w:tcW w:w="1642" w:type="dxa"/>
            <w:noWrap/>
            <w:vAlign w:val="center"/>
            <w:hideMark/>
          </w:tcPr>
          <w:p w14:paraId="1B828AE1"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-366.7%</w:t>
            </w:r>
          </w:p>
        </w:tc>
        <w:tc>
          <w:tcPr>
            <w:tcW w:w="1232" w:type="dxa"/>
            <w:noWrap/>
            <w:vAlign w:val="center"/>
            <w:hideMark/>
          </w:tcPr>
          <w:p w14:paraId="7A169BBF"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33.3%</w:t>
            </w:r>
          </w:p>
        </w:tc>
        <w:tc>
          <w:tcPr>
            <w:tcW w:w="1309" w:type="dxa"/>
            <w:noWrap/>
            <w:vAlign w:val="center"/>
            <w:hideMark/>
          </w:tcPr>
          <w:p w14:paraId="5061EF90"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09AC754E" w14:textId="77777777">
        <w:trPr>
          <w:trHeight w:val="340"/>
        </w:trPr>
        <w:tc>
          <w:tcPr>
            <w:tcW w:w="1805" w:type="dxa"/>
            <w:noWrap/>
            <w:hideMark/>
          </w:tcPr>
          <w:p w14:paraId="4F1ABD03"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Sep-2020</w:t>
            </w:r>
          </w:p>
        </w:tc>
        <w:tc>
          <w:tcPr>
            <w:tcW w:w="1437" w:type="dxa"/>
            <w:noWrap/>
            <w:vAlign w:val="center"/>
            <w:hideMark/>
          </w:tcPr>
          <w:p w14:paraId="4FD1EF2F"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0.23</w:t>
            </w:r>
          </w:p>
        </w:tc>
        <w:tc>
          <w:tcPr>
            <w:tcW w:w="1642" w:type="dxa"/>
            <w:noWrap/>
            <w:vAlign w:val="center"/>
            <w:hideMark/>
          </w:tcPr>
          <w:p w14:paraId="43D1C8C6"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0.17</w:t>
            </w:r>
          </w:p>
        </w:tc>
        <w:tc>
          <w:tcPr>
            <w:tcW w:w="1232" w:type="dxa"/>
            <w:noWrap/>
            <w:vAlign w:val="center"/>
            <w:hideMark/>
          </w:tcPr>
          <w:p w14:paraId="62102094"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0.05</w:t>
            </w:r>
          </w:p>
        </w:tc>
        <w:tc>
          <w:tcPr>
            <w:tcW w:w="1373" w:type="dxa"/>
            <w:tcBorders>
              <w:right w:val="single" w:sz="4" w:space="0" w:color="auto"/>
            </w:tcBorders>
            <w:noWrap/>
            <w:vAlign w:val="center"/>
            <w:hideMark/>
          </w:tcPr>
          <w:p w14:paraId="1FBEC700"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color w:val="000000"/>
                <w:sz w:val="20"/>
                <w:szCs w:val="20"/>
              </w:rPr>
              <w:t>0.45</w:t>
            </w:r>
          </w:p>
        </w:tc>
        <w:tc>
          <w:tcPr>
            <w:tcW w:w="1437" w:type="dxa"/>
            <w:tcBorders>
              <w:left w:val="single" w:sz="4" w:space="0" w:color="auto"/>
            </w:tcBorders>
            <w:noWrap/>
            <w:vAlign w:val="center"/>
            <w:hideMark/>
          </w:tcPr>
          <w:p w14:paraId="74E520CA"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51.1%</w:t>
            </w:r>
          </w:p>
        </w:tc>
        <w:tc>
          <w:tcPr>
            <w:tcW w:w="1642" w:type="dxa"/>
            <w:noWrap/>
            <w:vAlign w:val="center"/>
            <w:hideMark/>
          </w:tcPr>
          <w:p w14:paraId="1527E4C4"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37.8%</w:t>
            </w:r>
          </w:p>
        </w:tc>
        <w:tc>
          <w:tcPr>
            <w:tcW w:w="1232" w:type="dxa"/>
            <w:noWrap/>
            <w:vAlign w:val="center"/>
            <w:hideMark/>
          </w:tcPr>
          <w:p w14:paraId="367FDE96"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11.1%</w:t>
            </w:r>
          </w:p>
        </w:tc>
        <w:tc>
          <w:tcPr>
            <w:tcW w:w="1309" w:type="dxa"/>
            <w:noWrap/>
            <w:vAlign w:val="center"/>
            <w:hideMark/>
          </w:tcPr>
          <w:p w14:paraId="628B00D9"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5AE6633D" w14:textId="77777777">
        <w:trPr>
          <w:trHeight w:val="340"/>
        </w:trPr>
        <w:tc>
          <w:tcPr>
            <w:tcW w:w="1805" w:type="dxa"/>
            <w:noWrap/>
            <w:hideMark/>
          </w:tcPr>
          <w:p w14:paraId="381CD71A"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Dec-2020</w:t>
            </w:r>
          </w:p>
        </w:tc>
        <w:tc>
          <w:tcPr>
            <w:tcW w:w="1437" w:type="dxa"/>
            <w:noWrap/>
            <w:vAlign w:val="center"/>
            <w:hideMark/>
          </w:tcPr>
          <w:p w14:paraId="4574C8E7"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0.14</w:t>
            </w:r>
          </w:p>
        </w:tc>
        <w:tc>
          <w:tcPr>
            <w:tcW w:w="1642" w:type="dxa"/>
            <w:noWrap/>
            <w:vAlign w:val="center"/>
            <w:hideMark/>
          </w:tcPr>
          <w:p w14:paraId="2C4C1232"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0.28</w:t>
            </w:r>
          </w:p>
        </w:tc>
        <w:tc>
          <w:tcPr>
            <w:tcW w:w="1232" w:type="dxa"/>
            <w:noWrap/>
            <w:vAlign w:val="center"/>
            <w:hideMark/>
          </w:tcPr>
          <w:p w14:paraId="7D62DE8E"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0.07</w:t>
            </w:r>
          </w:p>
        </w:tc>
        <w:tc>
          <w:tcPr>
            <w:tcW w:w="1373" w:type="dxa"/>
            <w:tcBorders>
              <w:right w:val="single" w:sz="4" w:space="0" w:color="auto"/>
            </w:tcBorders>
            <w:noWrap/>
            <w:vAlign w:val="center"/>
            <w:hideMark/>
          </w:tcPr>
          <w:p w14:paraId="5500D7FC"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color w:val="000000"/>
                <w:sz w:val="20"/>
                <w:szCs w:val="20"/>
              </w:rPr>
              <w:t>0.49</w:t>
            </w:r>
          </w:p>
        </w:tc>
        <w:tc>
          <w:tcPr>
            <w:tcW w:w="1437" w:type="dxa"/>
            <w:tcBorders>
              <w:left w:val="single" w:sz="4" w:space="0" w:color="auto"/>
            </w:tcBorders>
            <w:noWrap/>
            <w:vAlign w:val="center"/>
            <w:hideMark/>
          </w:tcPr>
          <w:p w14:paraId="1C6AB5B1"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28.6%</w:t>
            </w:r>
          </w:p>
        </w:tc>
        <w:tc>
          <w:tcPr>
            <w:tcW w:w="1642" w:type="dxa"/>
            <w:noWrap/>
            <w:vAlign w:val="center"/>
            <w:hideMark/>
          </w:tcPr>
          <w:p w14:paraId="44C9044B"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57.1%</w:t>
            </w:r>
          </w:p>
        </w:tc>
        <w:tc>
          <w:tcPr>
            <w:tcW w:w="1232" w:type="dxa"/>
            <w:noWrap/>
            <w:vAlign w:val="center"/>
            <w:hideMark/>
          </w:tcPr>
          <w:p w14:paraId="6EB6858A"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14.3%</w:t>
            </w:r>
          </w:p>
        </w:tc>
        <w:tc>
          <w:tcPr>
            <w:tcW w:w="1309" w:type="dxa"/>
            <w:noWrap/>
            <w:vAlign w:val="center"/>
            <w:hideMark/>
          </w:tcPr>
          <w:p w14:paraId="6B2DE63B"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72D55FF8" w14:textId="77777777">
        <w:trPr>
          <w:trHeight w:val="340"/>
        </w:trPr>
        <w:tc>
          <w:tcPr>
            <w:tcW w:w="1805" w:type="dxa"/>
            <w:noWrap/>
            <w:hideMark/>
          </w:tcPr>
          <w:p w14:paraId="5379F419"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Mar-2021</w:t>
            </w:r>
          </w:p>
        </w:tc>
        <w:tc>
          <w:tcPr>
            <w:tcW w:w="1437" w:type="dxa"/>
            <w:noWrap/>
            <w:vAlign w:val="center"/>
            <w:hideMark/>
          </w:tcPr>
          <w:p w14:paraId="0896543A"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0.20</w:t>
            </w:r>
          </w:p>
        </w:tc>
        <w:tc>
          <w:tcPr>
            <w:tcW w:w="1642" w:type="dxa"/>
            <w:noWrap/>
            <w:vAlign w:val="center"/>
            <w:hideMark/>
          </w:tcPr>
          <w:p w14:paraId="0A29F331"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0.22</w:t>
            </w:r>
          </w:p>
        </w:tc>
        <w:tc>
          <w:tcPr>
            <w:tcW w:w="1232" w:type="dxa"/>
            <w:noWrap/>
            <w:vAlign w:val="center"/>
            <w:hideMark/>
          </w:tcPr>
          <w:p w14:paraId="0663422C"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0.11</w:t>
            </w:r>
          </w:p>
        </w:tc>
        <w:tc>
          <w:tcPr>
            <w:tcW w:w="1373" w:type="dxa"/>
            <w:tcBorders>
              <w:right w:val="single" w:sz="4" w:space="0" w:color="auto"/>
            </w:tcBorders>
            <w:noWrap/>
            <w:vAlign w:val="center"/>
            <w:hideMark/>
          </w:tcPr>
          <w:p w14:paraId="28EE3B46"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color w:val="000000"/>
                <w:sz w:val="20"/>
                <w:szCs w:val="20"/>
              </w:rPr>
              <w:t>0.53</w:t>
            </w:r>
          </w:p>
        </w:tc>
        <w:tc>
          <w:tcPr>
            <w:tcW w:w="1437" w:type="dxa"/>
            <w:tcBorders>
              <w:left w:val="single" w:sz="4" w:space="0" w:color="auto"/>
            </w:tcBorders>
            <w:noWrap/>
            <w:vAlign w:val="center"/>
            <w:hideMark/>
          </w:tcPr>
          <w:p w14:paraId="5664A320"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37.7%</w:t>
            </w:r>
          </w:p>
        </w:tc>
        <w:tc>
          <w:tcPr>
            <w:tcW w:w="1642" w:type="dxa"/>
            <w:noWrap/>
            <w:vAlign w:val="center"/>
            <w:hideMark/>
          </w:tcPr>
          <w:p w14:paraId="6DD2F364"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41.5%</w:t>
            </w:r>
          </w:p>
        </w:tc>
        <w:tc>
          <w:tcPr>
            <w:tcW w:w="1232" w:type="dxa"/>
            <w:noWrap/>
            <w:vAlign w:val="center"/>
            <w:hideMark/>
          </w:tcPr>
          <w:p w14:paraId="50D02B54"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20.8%</w:t>
            </w:r>
          </w:p>
        </w:tc>
        <w:tc>
          <w:tcPr>
            <w:tcW w:w="1309" w:type="dxa"/>
            <w:noWrap/>
            <w:vAlign w:val="center"/>
            <w:hideMark/>
          </w:tcPr>
          <w:p w14:paraId="5D1B13D9"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57477E6A" w14:textId="77777777" w:rsidTr="00F51742">
        <w:trPr>
          <w:trHeight w:val="340"/>
        </w:trPr>
        <w:tc>
          <w:tcPr>
            <w:tcW w:w="1805" w:type="dxa"/>
            <w:tcBorders>
              <w:bottom w:val="nil"/>
            </w:tcBorders>
            <w:noWrap/>
            <w:hideMark/>
          </w:tcPr>
          <w:p w14:paraId="7ECF9BC2"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Jun-2021</w:t>
            </w:r>
          </w:p>
        </w:tc>
        <w:tc>
          <w:tcPr>
            <w:tcW w:w="1437" w:type="dxa"/>
            <w:tcBorders>
              <w:bottom w:val="nil"/>
            </w:tcBorders>
            <w:noWrap/>
            <w:vAlign w:val="center"/>
            <w:hideMark/>
          </w:tcPr>
          <w:p w14:paraId="7D976C9D"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0.09</w:t>
            </w:r>
          </w:p>
        </w:tc>
        <w:tc>
          <w:tcPr>
            <w:tcW w:w="1642" w:type="dxa"/>
            <w:tcBorders>
              <w:bottom w:val="nil"/>
            </w:tcBorders>
            <w:noWrap/>
            <w:vAlign w:val="center"/>
            <w:hideMark/>
          </w:tcPr>
          <w:p w14:paraId="352ECF14"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0.19</w:t>
            </w:r>
          </w:p>
        </w:tc>
        <w:tc>
          <w:tcPr>
            <w:tcW w:w="1232" w:type="dxa"/>
            <w:tcBorders>
              <w:bottom w:val="nil"/>
            </w:tcBorders>
            <w:noWrap/>
            <w:vAlign w:val="center"/>
            <w:hideMark/>
          </w:tcPr>
          <w:p w14:paraId="5FCAF879"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0.01</w:t>
            </w:r>
          </w:p>
        </w:tc>
        <w:tc>
          <w:tcPr>
            <w:tcW w:w="1373" w:type="dxa"/>
            <w:tcBorders>
              <w:bottom w:val="nil"/>
              <w:right w:val="single" w:sz="4" w:space="0" w:color="auto"/>
            </w:tcBorders>
            <w:noWrap/>
            <w:vAlign w:val="center"/>
            <w:hideMark/>
          </w:tcPr>
          <w:p w14:paraId="08AB1B5E"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color w:val="000000"/>
                <w:sz w:val="20"/>
                <w:szCs w:val="20"/>
              </w:rPr>
              <w:t>0.29</w:t>
            </w:r>
          </w:p>
        </w:tc>
        <w:tc>
          <w:tcPr>
            <w:tcW w:w="1437" w:type="dxa"/>
            <w:tcBorders>
              <w:left w:val="single" w:sz="4" w:space="0" w:color="auto"/>
              <w:bottom w:val="nil"/>
            </w:tcBorders>
            <w:noWrap/>
            <w:vAlign w:val="center"/>
            <w:hideMark/>
          </w:tcPr>
          <w:p w14:paraId="27459DB9"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31.0%</w:t>
            </w:r>
          </w:p>
        </w:tc>
        <w:tc>
          <w:tcPr>
            <w:tcW w:w="1642" w:type="dxa"/>
            <w:tcBorders>
              <w:bottom w:val="nil"/>
            </w:tcBorders>
            <w:noWrap/>
            <w:vAlign w:val="center"/>
            <w:hideMark/>
          </w:tcPr>
          <w:p w14:paraId="34C07B01"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65.5%</w:t>
            </w:r>
          </w:p>
        </w:tc>
        <w:tc>
          <w:tcPr>
            <w:tcW w:w="1232" w:type="dxa"/>
            <w:tcBorders>
              <w:bottom w:val="nil"/>
            </w:tcBorders>
            <w:noWrap/>
            <w:vAlign w:val="center"/>
            <w:hideMark/>
          </w:tcPr>
          <w:p w14:paraId="573BA310"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3.4%</w:t>
            </w:r>
          </w:p>
        </w:tc>
        <w:tc>
          <w:tcPr>
            <w:tcW w:w="1309" w:type="dxa"/>
            <w:tcBorders>
              <w:bottom w:val="nil"/>
            </w:tcBorders>
            <w:noWrap/>
            <w:vAlign w:val="center"/>
            <w:hideMark/>
          </w:tcPr>
          <w:p w14:paraId="25EB8484"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100.0%</w:t>
            </w:r>
          </w:p>
        </w:tc>
      </w:tr>
      <w:tr w:rsidR="00D21C09" w:rsidRPr="00561D7B" w14:paraId="1C790900" w14:textId="77777777" w:rsidTr="00F51742">
        <w:trPr>
          <w:trHeight w:val="340"/>
        </w:trPr>
        <w:tc>
          <w:tcPr>
            <w:tcW w:w="1805" w:type="dxa"/>
            <w:tcBorders>
              <w:top w:val="nil"/>
              <w:bottom w:val="nil"/>
              <w:right w:val="nil"/>
            </w:tcBorders>
            <w:noWrap/>
            <w:hideMark/>
          </w:tcPr>
          <w:p w14:paraId="6CC986C4"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Sep-2021</w:t>
            </w:r>
          </w:p>
        </w:tc>
        <w:tc>
          <w:tcPr>
            <w:tcW w:w="1437" w:type="dxa"/>
            <w:tcBorders>
              <w:top w:val="nil"/>
              <w:left w:val="nil"/>
              <w:bottom w:val="nil"/>
              <w:right w:val="nil"/>
            </w:tcBorders>
            <w:noWrap/>
            <w:vAlign w:val="center"/>
            <w:hideMark/>
          </w:tcPr>
          <w:p w14:paraId="0A43FA61"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0.32</w:t>
            </w:r>
          </w:p>
        </w:tc>
        <w:tc>
          <w:tcPr>
            <w:tcW w:w="1642" w:type="dxa"/>
            <w:tcBorders>
              <w:top w:val="nil"/>
              <w:left w:val="nil"/>
              <w:bottom w:val="nil"/>
              <w:right w:val="nil"/>
            </w:tcBorders>
            <w:noWrap/>
            <w:vAlign w:val="center"/>
            <w:hideMark/>
          </w:tcPr>
          <w:p w14:paraId="6CE90160"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0.41</w:t>
            </w:r>
          </w:p>
        </w:tc>
        <w:tc>
          <w:tcPr>
            <w:tcW w:w="1232" w:type="dxa"/>
            <w:tcBorders>
              <w:top w:val="nil"/>
              <w:left w:val="nil"/>
              <w:bottom w:val="nil"/>
              <w:right w:val="nil"/>
            </w:tcBorders>
            <w:noWrap/>
            <w:vAlign w:val="center"/>
            <w:hideMark/>
          </w:tcPr>
          <w:p w14:paraId="41E6AB2C"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0.17</w:t>
            </w:r>
          </w:p>
        </w:tc>
        <w:tc>
          <w:tcPr>
            <w:tcW w:w="1373" w:type="dxa"/>
            <w:tcBorders>
              <w:top w:val="nil"/>
              <w:left w:val="nil"/>
              <w:bottom w:val="nil"/>
              <w:right w:val="single" w:sz="4" w:space="0" w:color="auto"/>
            </w:tcBorders>
            <w:noWrap/>
            <w:vAlign w:val="center"/>
            <w:hideMark/>
          </w:tcPr>
          <w:p w14:paraId="49419505"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color w:val="000000"/>
                <w:sz w:val="20"/>
                <w:szCs w:val="20"/>
              </w:rPr>
              <w:t>0.90</w:t>
            </w:r>
          </w:p>
        </w:tc>
        <w:tc>
          <w:tcPr>
            <w:tcW w:w="1437" w:type="dxa"/>
            <w:tcBorders>
              <w:top w:val="nil"/>
              <w:left w:val="single" w:sz="4" w:space="0" w:color="auto"/>
              <w:bottom w:val="nil"/>
              <w:right w:val="nil"/>
            </w:tcBorders>
            <w:noWrap/>
            <w:vAlign w:val="center"/>
            <w:hideMark/>
          </w:tcPr>
          <w:p w14:paraId="73FEB914"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35.6%</w:t>
            </w:r>
          </w:p>
        </w:tc>
        <w:tc>
          <w:tcPr>
            <w:tcW w:w="1642" w:type="dxa"/>
            <w:tcBorders>
              <w:top w:val="nil"/>
              <w:left w:val="nil"/>
              <w:bottom w:val="nil"/>
              <w:right w:val="nil"/>
            </w:tcBorders>
            <w:noWrap/>
            <w:vAlign w:val="center"/>
            <w:hideMark/>
          </w:tcPr>
          <w:p w14:paraId="0E0F336C"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45.6%</w:t>
            </w:r>
          </w:p>
        </w:tc>
        <w:tc>
          <w:tcPr>
            <w:tcW w:w="1232" w:type="dxa"/>
            <w:tcBorders>
              <w:top w:val="nil"/>
              <w:left w:val="nil"/>
              <w:bottom w:val="nil"/>
              <w:right w:val="nil"/>
            </w:tcBorders>
            <w:noWrap/>
            <w:vAlign w:val="center"/>
            <w:hideMark/>
          </w:tcPr>
          <w:p w14:paraId="78347326"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18.9%</w:t>
            </w:r>
          </w:p>
        </w:tc>
        <w:tc>
          <w:tcPr>
            <w:tcW w:w="1309" w:type="dxa"/>
            <w:tcBorders>
              <w:top w:val="nil"/>
              <w:left w:val="nil"/>
              <w:bottom w:val="nil"/>
            </w:tcBorders>
            <w:noWrap/>
            <w:vAlign w:val="center"/>
            <w:hideMark/>
          </w:tcPr>
          <w:p w14:paraId="0F326C7F"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100.0%</w:t>
            </w:r>
          </w:p>
        </w:tc>
      </w:tr>
      <w:tr w:rsidR="00D21C09" w:rsidRPr="00561D7B" w14:paraId="240E6A87" w14:textId="77777777" w:rsidTr="00F51742">
        <w:trPr>
          <w:trHeight w:val="340"/>
        </w:trPr>
        <w:tc>
          <w:tcPr>
            <w:tcW w:w="1805" w:type="dxa"/>
            <w:tcBorders>
              <w:top w:val="nil"/>
              <w:bottom w:val="nil"/>
              <w:right w:val="nil"/>
            </w:tcBorders>
            <w:noWrap/>
            <w:hideMark/>
          </w:tcPr>
          <w:p w14:paraId="6A5AF5B3"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Dec-2021</w:t>
            </w:r>
          </w:p>
        </w:tc>
        <w:tc>
          <w:tcPr>
            <w:tcW w:w="1437" w:type="dxa"/>
            <w:tcBorders>
              <w:top w:val="nil"/>
              <w:left w:val="nil"/>
              <w:bottom w:val="nil"/>
              <w:right w:val="nil"/>
            </w:tcBorders>
            <w:noWrap/>
            <w:vAlign w:val="center"/>
            <w:hideMark/>
          </w:tcPr>
          <w:p w14:paraId="3E90D6C7"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0.22</w:t>
            </w:r>
          </w:p>
        </w:tc>
        <w:tc>
          <w:tcPr>
            <w:tcW w:w="1642" w:type="dxa"/>
            <w:tcBorders>
              <w:top w:val="nil"/>
              <w:left w:val="nil"/>
              <w:bottom w:val="nil"/>
              <w:right w:val="nil"/>
            </w:tcBorders>
            <w:noWrap/>
            <w:vAlign w:val="center"/>
            <w:hideMark/>
          </w:tcPr>
          <w:p w14:paraId="558C68B5"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0.30</w:t>
            </w:r>
          </w:p>
        </w:tc>
        <w:tc>
          <w:tcPr>
            <w:tcW w:w="1232" w:type="dxa"/>
            <w:tcBorders>
              <w:top w:val="nil"/>
              <w:left w:val="nil"/>
              <w:bottom w:val="nil"/>
              <w:right w:val="nil"/>
            </w:tcBorders>
            <w:noWrap/>
            <w:vAlign w:val="center"/>
            <w:hideMark/>
          </w:tcPr>
          <w:p w14:paraId="0699CE7C"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0.13</w:t>
            </w:r>
          </w:p>
        </w:tc>
        <w:tc>
          <w:tcPr>
            <w:tcW w:w="1373" w:type="dxa"/>
            <w:tcBorders>
              <w:top w:val="nil"/>
              <w:left w:val="nil"/>
              <w:bottom w:val="nil"/>
              <w:right w:val="single" w:sz="4" w:space="0" w:color="auto"/>
            </w:tcBorders>
            <w:noWrap/>
            <w:vAlign w:val="center"/>
            <w:hideMark/>
          </w:tcPr>
          <w:p w14:paraId="55931FA5"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color w:val="000000"/>
                <w:sz w:val="20"/>
                <w:szCs w:val="20"/>
              </w:rPr>
              <w:t>0.65</w:t>
            </w:r>
          </w:p>
        </w:tc>
        <w:tc>
          <w:tcPr>
            <w:tcW w:w="1437" w:type="dxa"/>
            <w:tcBorders>
              <w:top w:val="nil"/>
              <w:left w:val="single" w:sz="4" w:space="0" w:color="auto"/>
              <w:bottom w:val="nil"/>
              <w:right w:val="nil"/>
            </w:tcBorders>
            <w:noWrap/>
            <w:vAlign w:val="center"/>
            <w:hideMark/>
          </w:tcPr>
          <w:p w14:paraId="0831EA6A"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33.8%</w:t>
            </w:r>
          </w:p>
        </w:tc>
        <w:tc>
          <w:tcPr>
            <w:tcW w:w="1642" w:type="dxa"/>
            <w:tcBorders>
              <w:top w:val="nil"/>
              <w:left w:val="nil"/>
              <w:bottom w:val="nil"/>
              <w:right w:val="nil"/>
            </w:tcBorders>
            <w:noWrap/>
            <w:vAlign w:val="center"/>
            <w:hideMark/>
          </w:tcPr>
          <w:p w14:paraId="7DFAA671"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46.2%</w:t>
            </w:r>
          </w:p>
        </w:tc>
        <w:tc>
          <w:tcPr>
            <w:tcW w:w="1232" w:type="dxa"/>
            <w:tcBorders>
              <w:top w:val="nil"/>
              <w:left w:val="nil"/>
              <w:bottom w:val="nil"/>
              <w:right w:val="nil"/>
            </w:tcBorders>
            <w:noWrap/>
            <w:vAlign w:val="center"/>
            <w:hideMark/>
          </w:tcPr>
          <w:p w14:paraId="13D03743"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20.0%</w:t>
            </w:r>
          </w:p>
        </w:tc>
        <w:tc>
          <w:tcPr>
            <w:tcW w:w="1309" w:type="dxa"/>
            <w:tcBorders>
              <w:top w:val="nil"/>
              <w:left w:val="nil"/>
              <w:bottom w:val="nil"/>
            </w:tcBorders>
            <w:noWrap/>
            <w:vAlign w:val="center"/>
            <w:hideMark/>
          </w:tcPr>
          <w:p w14:paraId="35E4C2B5"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100.0%</w:t>
            </w:r>
          </w:p>
        </w:tc>
      </w:tr>
      <w:tr w:rsidR="00D21C09" w:rsidRPr="00561D7B" w14:paraId="0F8E3434" w14:textId="77777777" w:rsidTr="00F51742">
        <w:trPr>
          <w:trHeight w:val="340"/>
        </w:trPr>
        <w:tc>
          <w:tcPr>
            <w:tcW w:w="1805" w:type="dxa"/>
            <w:tcBorders>
              <w:top w:val="nil"/>
              <w:bottom w:val="nil"/>
              <w:right w:val="nil"/>
            </w:tcBorders>
            <w:noWrap/>
            <w:hideMark/>
          </w:tcPr>
          <w:p w14:paraId="58198F8A"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Mar-2022</w:t>
            </w:r>
          </w:p>
        </w:tc>
        <w:tc>
          <w:tcPr>
            <w:tcW w:w="1437" w:type="dxa"/>
            <w:tcBorders>
              <w:top w:val="nil"/>
              <w:left w:val="nil"/>
              <w:bottom w:val="nil"/>
              <w:right w:val="nil"/>
            </w:tcBorders>
            <w:noWrap/>
            <w:vAlign w:val="center"/>
            <w:hideMark/>
          </w:tcPr>
          <w:p w14:paraId="67A47A72"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0.20</w:t>
            </w:r>
          </w:p>
        </w:tc>
        <w:tc>
          <w:tcPr>
            <w:tcW w:w="1642" w:type="dxa"/>
            <w:tcBorders>
              <w:top w:val="nil"/>
              <w:left w:val="nil"/>
              <w:bottom w:val="nil"/>
              <w:right w:val="nil"/>
            </w:tcBorders>
            <w:noWrap/>
            <w:vAlign w:val="center"/>
            <w:hideMark/>
          </w:tcPr>
          <w:p w14:paraId="2BFA5509"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0.28</w:t>
            </w:r>
          </w:p>
        </w:tc>
        <w:tc>
          <w:tcPr>
            <w:tcW w:w="1232" w:type="dxa"/>
            <w:tcBorders>
              <w:top w:val="nil"/>
              <w:left w:val="nil"/>
              <w:bottom w:val="nil"/>
              <w:right w:val="nil"/>
            </w:tcBorders>
            <w:noWrap/>
            <w:vAlign w:val="center"/>
            <w:hideMark/>
          </w:tcPr>
          <w:p w14:paraId="3D9D0A25"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0.01</w:t>
            </w:r>
          </w:p>
        </w:tc>
        <w:tc>
          <w:tcPr>
            <w:tcW w:w="1373" w:type="dxa"/>
            <w:tcBorders>
              <w:top w:val="nil"/>
              <w:left w:val="nil"/>
              <w:bottom w:val="nil"/>
              <w:right w:val="single" w:sz="4" w:space="0" w:color="auto"/>
            </w:tcBorders>
            <w:noWrap/>
            <w:vAlign w:val="center"/>
            <w:hideMark/>
          </w:tcPr>
          <w:p w14:paraId="4C9AF90B"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color w:val="000000"/>
                <w:sz w:val="20"/>
                <w:szCs w:val="20"/>
              </w:rPr>
              <w:t>0.49</w:t>
            </w:r>
          </w:p>
        </w:tc>
        <w:tc>
          <w:tcPr>
            <w:tcW w:w="1437" w:type="dxa"/>
            <w:tcBorders>
              <w:top w:val="nil"/>
              <w:left w:val="single" w:sz="4" w:space="0" w:color="auto"/>
              <w:bottom w:val="nil"/>
              <w:right w:val="nil"/>
            </w:tcBorders>
            <w:noWrap/>
            <w:vAlign w:val="center"/>
            <w:hideMark/>
          </w:tcPr>
          <w:p w14:paraId="7050FF66"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40.8%</w:t>
            </w:r>
          </w:p>
        </w:tc>
        <w:tc>
          <w:tcPr>
            <w:tcW w:w="1642" w:type="dxa"/>
            <w:tcBorders>
              <w:top w:val="nil"/>
              <w:left w:val="nil"/>
              <w:bottom w:val="nil"/>
              <w:right w:val="nil"/>
            </w:tcBorders>
            <w:noWrap/>
            <w:vAlign w:val="center"/>
            <w:hideMark/>
          </w:tcPr>
          <w:p w14:paraId="6E62D52D"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57.1%</w:t>
            </w:r>
          </w:p>
        </w:tc>
        <w:tc>
          <w:tcPr>
            <w:tcW w:w="1232" w:type="dxa"/>
            <w:tcBorders>
              <w:top w:val="nil"/>
              <w:left w:val="nil"/>
              <w:bottom w:val="nil"/>
              <w:right w:val="nil"/>
            </w:tcBorders>
            <w:noWrap/>
            <w:vAlign w:val="center"/>
            <w:hideMark/>
          </w:tcPr>
          <w:p w14:paraId="6099198E"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2.0%</w:t>
            </w:r>
          </w:p>
        </w:tc>
        <w:tc>
          <w:tcPr>
            <w:tcW w:w="1309" w:type="dxa"/>
            <w:tcBorders>
              <w:top w:val="nil"/>
              <w:left w:val="nil"/>
              <w:bottom w:val="nil"/>
            </w:tcBorders>
            <w:noWrap/>
            <w:vAlign w:val="center"/>
            <w:hideMark/>
          </w:tcPr>
          <w:p w14:paraId="6C764050"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100.0%</w:t>
            </w:r>
          </w:p>
        </w:tc>
      </w:tr>
      <w:tr w:rsidR="00D21C09" w:rsidRPr="00561D7B" w14:paraId="7D558F4A" w14:textId="77777777" w:rsidTr="00F51742">
        <w:trPr>
          <w:trHeight w:val="340"/>
        </w:trPr>
        <w:tc>
          <w:tcPr>
            <w:tcW w:w="1805" w:type="dxa"/>
            <w:tcBorders>
              <w:top w:val="nil"/>
              <w:bottom w:val="nil"/>
              <w:right w:val="nil"/>
            </w:tcBorders>
            <w:noWrap/>
            <w:hideMark/>
          </w:tcPr>
          <w:p w14:paraId="5D755B2C"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Jun-2022</w:t>
            </w:r>
          </w:p>
        </w:tc>
        <w:tc>
          <w:tcPr>
            <w:tcW w:w="1437" w:type="dxa"/>
            <w:tcBorders>
              <w:top w:val="nil"/>
              <w:left w:val="nil"/>
              <w:bottom w:val="nil"/>
              <w:right w:val="nil"/>
            </w:tcBorders>
            <w:noWrap/>
            <w:vAlign w:val="center"/>
            <w:hideMark/>
          </w:tcPr>
          <w:p w14:paraId="7A378E3B"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0.18</w:t>
            </w:r>
          </w:p>
        </w:tc>
        <w:tc>
          <w:tcPr>
            <w:tcW w:w="1642" w:type="dxa"/>
            <w:tcBorders>
              <w:top w:val="nil"/>
              <w:left w:val="nil"/>
              <w:bottom w:val="nil"/>
              <w:right w:val="nil"/>
            </w:tcBorders>
            <w:noWrap/>
            <w:vAlign w:val="center"/>
            <w:hideMark/>
          </w:tcPr>
          <w:p w14:paraId="4058792D"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0.36</w:t>
            </w:r>
          </w:p>
        </w:tc>
        <w:tc>
          <w:tcPr>
            <w:tcW w:w="1232" w:type="dxa"/>
            <w:tcBorders>
              <w:top w:val="nil"/>
              <w:left w:val="nil"/>
              <w:bottom w:val="nil"/>
              <w:right w:val="nil"/>
            </w:tcBorders>
            <w:noWrap/>
            <w:vAlign w:val="center"/>
            <w:hideMark/>
          </w:tcPr>
          <w:p w14:paraId="1D2D840C"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0.00</w:t>
            </w:r>
          </w:p>
        </w:tc>
        <w:tc>
          <w:tcPr>
            <w:tcW w:w="1373" w:type="dxa"/>
            <w:tcBorders>
              <w:top w:val="nil"/>
              <w:left w:val="nil"/>
              <w:bottom w:val="nil"/>
              <w:right w:val="single" w:sz="4" w:space="0" w:color="auto"/>
            </w:tcBorders>
            <w:noWrap/>
            <w:vAlign w:val="center"/>
            <w:hideMark/>
          </w:tcPr>
          <w:p w14:paraId="762F8BE2"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color w:val="000000"/>
                <w:sz w:val="20"/>
                <w:szCs w:val="20"/>
              </w:rPr>
              <w:t>0.54</w:t>
            </w:r>
          </w:p>
        </w:tc>
        <w:tc>
          <w:tcPr>
            <w:tcW w:w="1437" w:type="dxa"/>
            <w:tcBorders>
              <w:top w:val="nil"/>
              <w:left w:val="single" w:sz="4" w:space="0" w:color="auto"/>
              <w:bottom w:val="nil"/>
              <w:right w:val="nil"/>
            </w:tcBorders>
            <w:noWrap/>
            <w:vAlign w:val="center"/>
            <w:hideMark/>
          </w:tcPr>
          <w:p w14:paraId="191660E7"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33.3%</w:t>
            </w:r>
          </w:p>
        </w:tc>
        <w:tc>
          <w:tcPr>
            <w:tcW w:w="1642" w:type="dxa"/>
            <w:tcBorders>
              <w:top w:val="nil"/>
              <w:left w:val="nil"/>
              <w:bottom w:val="nil"/>
              <w:right w:val="nil"/>
            </w:tcBorders>
            <w:noWrap/>
            <w:vAlign w:val="center"/>
            <w:hideMark/>
          </w:tcPr>
          <w:p w14:paraId="0A9044E1"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66.7%</w:t>
            </w:r>
          </w:p>
        </w:tc>
        <w:tc>
          <w:tcPr>
            <w:tcW w:w="1232" w:type="dxa"/>
            <w:tcBorders>
              <w:top w:val="nil"/>
              <w:left w:val="nil"/>
              <w:bottom w:val="nil"/>
              <w:right w:val="nil"/>
            </w:tcBorders>
            <w:noWrap/>
            <w:vAlign w:val="center"/>
            <w:hideMark/>
          </w:tcPr>
          <w:p w14:paraId="5BAF1FBD"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0.0%</w:t>
            </w:r>
          </w:p>
        </w:tc>
        <w:tc>
          <w:tcPr>
            <w:tcW w:w="1309" w:type="dxa"/>
            <w:tcBorders>
              <w:top w:val="nil"/>
              <w:left w:val="nil"/>
              <w:bottom w:val="nil"/>
            </w:tcBorders>
            <w:noWrap/>
            <w:vAlign w:val="center"/>
            <w:hideMark/>
          </w:tcPr>
          <w:p w14:paraId="686171BF"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2E14A473" w14:textId="77777777">
        <w:trPr>
          <w:trHeight w:val="340"/>
        </w:trPr>
        <w:tc>
          <w:tcPr>
            <w:tcW w:w="1805" w:type="dxa"/>
            <w:tcBorders>
              <w:top w:val="nil"/>
            </w:tcBorders>
            <w:noWrap/>
            <w:hideMark/>
          </w:tcPr>
          <w:p w14:paraId="56670118"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Sep-2022</w:t>
            </w:r>
          </w:p>
        </w:tc>
        <w:tc>
          <w:tcPr>
            <w:tcW w:w="1437" w:type="dxa"/>
            <w:tcBorders>
              <w:top w:val="nil"/>
            </w:tcBorders>
            <w:noWrap/>
            <w:vAlign w:val="center"/>
            <w:hideMark/>
          </w:tcPr>
          <w:p w14:paraId="48A1CF42"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0.36</w:t>
            </w:r>
          </w:p>
        </w:tc>
        <w:tc>
          <w:tcPr>
            <w:tcW w:w="1642" w:type="dxa"/>
            <w:tcBorders>
              <w:top w:val="nil"/>
            </w:tcBorders>
            <w:noWrap/>
            <w:vAlign w:val="center"/>
            <w:hideMark/>
          </w:tcPr>
          <w:p w14:paraId="0298F324"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0.75</w:t>
            </w:r>
          </w:p>
        </w:tc>
        <w:tc>
          <w:tcPr>
            <w:tcW w:w="1232" w:type="dxa"/>
            <w:tcBorders>
              <w:top w:val="nil"/>
            </w:tcBorders>
            <w:noWrap/>
            <w:vAlign w:val="center"/>
            <w:hideMark/>
          </w:tcPr>
          <w:p w14:paraId="40B46F97"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0.41</w:t>
            </w:r>
          </w:p>
        </w:tc>
        <w:tc>
          <w:tcPr>
            <w:tcW w:w="1373" w:type="dxa"/>
            <w:tcBorders>
              <w:top w:val="nil"/>
              <w:right w:val="single" w:sz="4" w:space="0" w:color="auto"/>
            </w:tcBorders>
            <w:noWrap/>
            <w:vAlign w:val="center"/>
            <w:hideMark/>
          </w:tcPr>
          <w:p w14:paraId="6529C095"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color w:val="000000"/>
                <w:sz w:val="20"/>
                <w:szCs w:val="20"/>
              </w:rPr>
              <w:t>1.52</w:t>
            </w:r>
          </w:p>
        </w:tc>
        <w:tc>
          <w:tcPr>
            <w:tcW w:w="1437" w:type="dxa"/>
            <w:tcBorders>
              <w:top w:val="nil"/>
              <w:left w:val="single" w:sz="4" w:space="0" w:color="auto"/>
            </w:tcBorders>
            <w:noWrap/>
            <w:vAlign w:val="center"/>
            <w:hideMark/>
          </w:tcPr>
          <w:p w14:paraId="0DCE04F9"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23.7%</w:t>
            </w:r>
          </w:p>
        </w:tc>
        <w:tc>
          <w:tcPr>
            <w:tcW w:w="1642" w:type="dxa"/>
            <w:tcBorders>
              <w:top w:val="nil"/>
            </w:tcBorders>
            <w:noWrap/>
            <w:vAlign w:val="center"/>
            <w:hideMark/>
          </w:tcPr>
          <w:p w14:paraId="33A18D10"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49.3%</w:t>
            </w:r>
          </w:p>
        </w:tc>
        <w:tc>
          <w:tcPr>
            <w:tcW w:w="1232" w:type="dxa"/>
            <w:tcBorders>
              <w:top w:val="nil"/>
            </w:tcBorders>
            <w:noWrap/>
            <w:vAlign w:val="center"/>
            <w:hideMark/>
          </w:tcPr>
          <w:p w14:paraId="57AD7906"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27.0%</w:t>
            </w:r>
          </w:p>
        </w:tc>
        <w:tc>
          <w:tcPr>
            <w:tcW w:w="1309" w:type="dxa"/>
            <w:tcBorders>
              <w:top w:val="nil"/>
            </w:tcBorders>
            <w:noWrap/>
            <w:vAlign w:val="center"/>
            <w:hideMark/>
          </w:tcPr>
          <w:p w14:paraId="3508CFB2"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43742105" w14:textId="77777777">
        <w:trPr>
          <w:trHeight w:val="340"/>
        </w:trPr>
        <w:tc>
          <w:tcPr>
            <w:tcW w:w="1805" w:type="dxa"/>
            <w:noWrap/>
            <w:hideMark/>
          </w:tcPr>
          <w:p w14:paraId="68F59FE0"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Dec-2022</w:t>
            </w:r>
          </w:p>
        </w:tc>
        <w:tc>
          <w:tcPr>
            <w:tcW w:w="1437" w:type="dxa"/>
            <w:noWrap/>
            <w:vAlign w:val="center"/>
            <w:hideMark/>
          </w:tcPr>
          <w:p w14:paraId="320334E2"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0.27</w:t>
            </w:r>
          </w:p>
        </w:tc>
        <w:tc>
          <w:tcPr>
            <w:tcW w:w="1642" w:type="dxa"/>
            <w:noWrap/>
            <w:vAlign w:val="center"/>
            <w:hideMark/>
          </w:tcPr>
          <w:p w14:paraId="40109A25"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0.42</w:t>
            </w:r>
          </w:p>
        </w:tc>
        <w:tc>
          <w:tcPr>
            <w:tcW w:w="1232" w:type="dxa"/>
            <w:noWrap/>
            <w:vAlign w:val="center"/>
            <w:hideMark/>
          </w:tcPr>
          <w:p w14:paraId="57F64153"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0.15</w:t>
            </w:r>
          </w:p>
        </w:tc>
        <w:tc>
          <w:tcPr>
            <w:tcW w:w="1373" w:type="dxa"/>
            <w:tcBorders>
              <w:right w:val="single" w:sz="4" w:space="0" w:color="auto"/>
            </w:tcBorders>
            <w:noWrap/>
            <w:vAlign w:val="center"/>
            <w:hideMark/>
          </w:tcPr>
          <w:p w14:paraId="1D34FCB9"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color w:val="000000"/>
                <w:sz w:val="20"/>
                <w:szCs w:val="20"/>
              </w:rPr>
              <w:t>0.84</w:t>
            </w:r>
          </w:p>
        </w:tc>
        <w:tc>
          <w:tcPr>
            <w:tcW w:w="1437" w:type="dxa"/>
            <w:tcBorders>
              <w:left w:val="single" w:sz="4" w:space="0" w:color="auto"/>
            </w:tcBorders>
            <w:noWrap/>
            <w:vAlign w:val="center"/>
            <w:hideMark/>
          </w:tcPr>
          <w:p w14:paraId="14D00A72"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32.1%</w:t>
            </w:r>
          </w:p>
        </w:tc>
        <w:tc>
          <w:tcPr>
            <w:tcW w:w="1642" w:type="dxa"/>
            <w:noWrap/>
            <w:vAlign w:val="center"/>
            <w:hideMark/>
          </w:tcPr>
          <w:p w14:paraId="0C2D6499"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50.0%</w:t>
            </w:r>
          </w:p>
        </w:tc>
        <w:tc>
          <w:tcPr>
            <w:tcW w:w="1232" w:type="dxa"/>
            <w:noWrap/>
            <w:vAlign w:val="center"/>
            <w:hideMark/>
          </w:tcPr>
          <w:p w14:paraId="4479095D"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17.9%</w:t>
            </w:r>
          </w:p>
        </w:tc>
        <w:tc>
          <w:tcPr>
            <w:tcW w:w="1309" w:type="dxa"/>
            <w:noWrap/>
            <w:vAlign w:val="center"/>
            <w:hideMark/>
          </w:tcPr>
          <w:p w14:paraId="72690F12"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5C473874" w14:textId="77777777">
        <w:trPr>
          <w:trHeight w:val="340"/>
        </w:trPr>
        <w:tc>
          <w:tcPr>
            <w:tcW w:w="1805" w:type="dxa"/>
            <w:noWrap/>
            <w:hideMark/>
          </w:tcPr>
          <w:p w14:paraId="5923A3D7"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Mar-2023</w:t>
            </w:r>
          </w:p>
        </w:tc>
        <w:tc>
          <w:tcPr>
            <w:tcW w:w="1437" w:type="dxa"/>
            <w:noWrap/>
            <w:vAlign w:val="center"/>
            <w:hideMark/>
          </w:tcPr>
          <w:p w14:paraId="475165F1"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0.34</w:t>
            </w:r>
          </w:p>
        </w:tc>
        <w:tc>
          <w:tcPr>
            <w:tcW w:w="1642" w:type="dxa"/>
            <w:noWrap/>
            <w:vAlign w:val="center"/>
            <w:hideMark/>
          </w:tcPr>
          <w:p w14:paraId="18C0AB8A"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0.37</w:t>
            </w:r>
          </w:p>
        </w:tc>
        <w:tc>
          <w:tcPr>
            <w:tcW w:w="1232" w:type="dxa"/>
            <w:noWrap/>
            <w:vAlign w:val="center"/>
            <w:hideMark/>
          </w:tcPr>
          <w:p w14:paraId="32819092"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0.02</w:t>
            </w:r>
          </w:p>
        </w:tc>
        <w:tc>
          <w:tcPr>
            <w:tcW w:w="1373" w:type="dxa"/>
            <w:tcBorders>
              <w:right w:val="single" w:sz="4" w:space="0" w:color="auto"/>
            </w:tcBorders>
            <w:noWrap/>
            <w:vAlign w:val="center"/>
            <w:hideMark/>
          </w:tcPr>
          <w:p w14:paraId="2F93F6CC"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color w:val="000000"/>
                <w:sz w:val="20"/>
                <w:szCs w:val="20"/>
              </w:rPr>
              <w:t>0.73</w:t>
            </w:r>
          </w:p>
        </w:tc>
        <w:tc>
          <w:tcPr>
            <w:tcW w:w="1437" w:type="dxa"/>
            <w:tcBorders>
              <w:left w:val="single" w:sz="4" w:space="0" w:color="auto"/>
            </w:tcBorders>
            <w:noWrap/>
            <w:vAlign w:val="center"/>
            <w:hideMark/>
          </w:tcPr>
          <w:p w14:paraId="5A6FCE11"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46.6%</w:t>
            </w:r>
          </w:p>
        </w:tc>
        <w:tc>
          <w:tcPr>
            <w:tcW w:w="1642" w:type="dxa"/>
            <w:noWrap/>
            <w:vAlign w:val="center"/>
            <w:hideMark/>
          </w:tcPr>
          <w:p w14:paraId="0E4159D7"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50.7%</w:t>
            </w:r>
          </w:p>
        </w:tc>
        <w:tc>
          <w:tcPr>
            <w:tcW w:w="1232" w:type="dxa"/>
            <w:noWrap/>
            <w:vAlign w:val="center"/>
            <w:hideMark/>
          </w:tcPr>
          <w:p w14:paraId="7C2043A6"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2.7%</w:t>
            </w:r>
          </w:p>
        </w:tc>
        <w:tc>
          <w:tcPr>
            <w:tcW w:w="1309" w:type="dxa"/>
            <w:noWrap/>
            <w:vAlign w:val="center"/>
            <w:hideMark/>
          </w:tcPr>
          <w:p w14:paraId="7CD0407F"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3821431A" w14:textId="77777777">
        <w:trPr>
          <w:trHeight w:val="340"/>
        </w:trPr>
        <w:tc>
          <w:tcPr>
            <w:tcW w:w="1805" w:type="dxa"/>
            <w:noWrap/>
            <w:hideMark/>
          </w:tcPr>
          <w:p w14:paraId="334D9EC5"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Jun-2023</w:t>
            </w:r>
          </w:p>
        </w:tc>
        <w:tc>
          <w:tcPr>
            <w:tcW w:w="1437" w:type="dxa"/>
            <w:noWrap/>
            <w:vAlign w:val="center"/>
            <w:hideMark/>
          </w:tcPr>
          <w:p w14:paraId="43D0C33C"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0.22</w:t>
            </w:r>
          </w:p>
        </w:tc>
        <w:tc>
          <w:tcPr>
            <w:tcW w:w="1642" w:type="dxa"/>
            <w:noWrap/>
            <w:vAlign w:val="center"/>
            <w:hideMark/>
          </w:tcPr>
          <w:p w14:paraId="3ADE9C34"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0.35</w:t>
            </w:r>
          </w:p>
        </w:tc>
        <w:tc>
          <w:tcPr>
            <w:tcW w:w="1232" w:type="dxa"/>
            <w:noWrap/>
            <w:vAlign w:val="center"/>
            <w:hideMark/>
          </w:tcPr>
          <w:p w14:paraId="091B54B4"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0.00</w:t>
            </w:r>
          </w:p>
        </w:tc>
        <w:tc>
          <w:tcPr>
            <w:tcW w:w="1373" w:type="dxa"/>
            <w:tcBorders>
              <w:right w:val="single" w:sz="4" w:space="0" w:color="auto"/>
            </w:tcBorders>
            <w:noWrap/>
            <w:vAlign w:val="center"/>
            <w:hideMark/>
          </w:tcPr>
          <w:p w14:paraId="788D40BF"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color w:val="000000"/>
                <w:sz w:val="20"/>
                <w:szCs w:val="20"/>
              </w:rPr>
              <w:t>0.57</w:t>
            </w:r>
          </w:p>
        </w:tc>
        <w:tc>
          <w:tcPr>
            <w:tcW w:w="1437" w:type="dxa"/>
            <w:tcBorders>
              <w:left w:val="single" w:sz="4" w:space="0" w:color="auto"/>
            </w:tcBorders>
            <w:noWrap/>
            <w:vAlign w:val="center"/>
            <w:hideMark/>
          </w:tcPr>
          <w:p w14:paraId="5DF9EAE7"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38.6%</w:t>
            </w:r>
          </w:p>
        </w:tc>
        <w:tc>
          <w:tcPr>
            <w:tcW w:w="1642" w:type="dxa"/>
            <w:noWrap/>
            <w:vAlign w:val="center"/>
            <w:hideMark/>
          </w:tcPr>
          <w:p w14:paraId="57B58226"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61.4%</w:t>
            </w:r>
          </w:p>
        </w:tc>
        <w:tc>
          <w:tcPr>
            <w:tcW w:w="1232" w:type="dxa"/>
            <w:noWrap/>
            <w:vAlign w:val="center"/>
            <w:hideMark/>
          </w:tcPr>
          <w:p w14:paraId="694ECAA9"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0.0%</w:t>
            </w:r>
          </w:p>
        </w:tc>
        <w:tc>
          <w:tcPr>
            <w:tcW w:w="1309" w:type="dxa"/>
            <w:noWrap/>
            <w:vAlign w:val="center"/>
            <w:hideMark/>
          </w:tcPr>
          <w:p w14:paraId="0EC1B3F4"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3C11BA68" w14:textId="77777777">
        <w:trPr>
          <w:trHeight w:val="340"/>
        </w:trPr>
        <w:tc>
          <w:tcPr>
            <w:tcW w:w="1805" w:type="dxa"/>
            <w:noWrap/>
            <w:hideMark/>
          </w:tcPr>
          <w:p w14:paraId="6F17FD68"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Sep-2023</w:t>
            </w:r>
          </w:p>
        </w:tc>
        <w:tc>
          <w:tcPr>
            <w:tcW w:w="1437" w:type="dxa"/>
            <w:noWrap/>
            <w:vAlign w:val="center"/>
            <w:hideMark/>
          </w:tcPr>
          <w:p w14:paraId="06616B22"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0.66</w:t>
            </w:r>
          </w:p>
        </w:tc>
        <w:tc>
          <w:tcPr>
            <w:tcW w:w="1642" w:type="dxa"/>
            <w:noWrap/>
            <w:vAlign w:val="center"/>
            <w:hideMark/>
          </w:tcPr>
          <w:p w14:paraId="62579DA3"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0.74</w:t>
            </w:r>
          </w:p>
        </w:tc>
        <w:tc>
          <w:tcPr>
            <w:tcW w:w="1232" w:type="dxa"/>
            <w:noWrap/>
            <w:vAlign w:val="center"/>
            <w:hideMark/>
          </w:tcPr>
          <w:p w14:paraId="56476F73"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0.63</w:t>
            </w:r>
          </w:p>
        </w:tc>
        <w:tc>
          <w:tcPr>
            <w:tcW w:w="1373" w:type="dxa"/>
            <w:tcBorders>
              <w:right w:val="single" w:sz="4" w:space="0" w:color="auto"/>
            </w:tcBorders>
            <w:noWrap/>
            <w:vAlign w:val="center"/>
            <w:hideMark/>
          </w:tcPr>
          <w:p w14:paraId="0D8B6493"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color w:val="000000"/>
                <w:sz w:val="20"/>
                <w:szCs w:val="20"/>
              </w:rPr>
              <w:t>2.03</w:t>
            </w:r>
          </w:p>
        </w:tc>
        <w:tc>
          <w:tcPr>
            <w:tcW w:w="1437" w:type="dxa"/>
            <w:tcBorders>
              <w:left w:val="single" w:sz="4" w:space="0" w:color="auto"/>
            </w:tcBorders>
            <w:noWrap/>
            <w:vAlign w:val="center"/>
            <w:hideMark/>
          </w:tcPr>
          <w:p w14:paraId="379E0E0E"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32.5%</w:t>
            </w:r>
          </w:p>
        </w:tc>
        <w:tc>
          <w:tcPr>
            <w:tcW w:w="1642" w:type="dxa"/>
            <w:noWrap/>
            <w:vAlign w:val="center"/>
            <w:hideMark/>
          </w:tcPr>
          <w:p w14:paraId="458E00D5"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36.5%</w:t>
            </w:r>
          </w:p>
        </w:tc>
        <w:tc>
          <w:tcPr>
            <w:tcW w:w="1232" w:type="dxa"/>
            <w:noWrap/>
            <w:vAlign w:val="center"/>
            <w:hideMark/>
          </w:tcPr>
          <w:p w14:paraId="73C2CBBC"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31.0%</w:t>
            </w:r>
          </w:p>
        </w:tc>
        <w:tc>
          <w:tcPr>
            <w:tcW w:w="1309" w:type="dxa"/>
            <w:noWrap/>
            <w:vAlign w:val="center"/>
            <w:hideMark/>
          </w:tcPr>
          <w:p w14:paraId="130EDBC4"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6E3DC422" w14:textId="77777777">
        <w:trPr>
          <w:trHeight w:val="340"/>
        </w:trPr>
        <w:tc>
          <w:tcPr>
            <w:tcW w:w="1805" w:type="dxa"/>
            <w:noWrap/>
            <w:hideMark/>
          </w:tcPr>
          <w:p w14:paraId="0F28F735"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Dec-2023</w:t>
            </w:r>
          </w:p>
        </w:tc>
        <w:tc>
          <w:tcPr>
            <w:tcW w:w="1437" w:type="dxa"/>
            <w:noWrap/>
            <w:vAlign w:val="center"/>
            <w:hideMark/>
          </w:tcPr>
          <w:p w14:paraId="31A07469"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0.45</w:t>
            </w:r>
          </w:p>
        </w:tc>
        <w:tc>
          <w:tcPr>
            <w:tcW w:w="1642" w:type="dxa"/>
            <w:noWrap/>
            <w:vAlign w:val="center"/>
            <w:hideMark/>
          </w:tcPr>
          <w:p w14:paraId="739EB6E9"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0.39</w:t>
            </w:r>
          </w:p>
        </w:tc>
        <w:tc>
          <w:tcPr>
            <w:tcW w:w="1232" w:type="dxa"/>
            <w:noWrap/>
            <w:vAlign w:val="center"/>
            <w:hideMark/>
          </w:tcPr>
          <w:p w14:paraId="2ADBEF86"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0.12</w:t>
            </w:r>
          </w:p>
        </w:tc>
        <w:tc>
          <w:tcPr>
            <w:tcW w:w="1373" w:type="dxa"/>
            <w:tcBorders>
              <w:right w:val="single" w:sz="4" w:space="0" w:color="auto"/>
            </w:tcBorders>
            <w:noWrap/>
            <w:vAlign w:val="center"/>
            <w:hideMark/>
          </w:tcPr>
          <w:p w14:paraId="5280AA4A"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color w:val="000000"/>
                <w:sz w:val="20"/>
                <w:szCs w:val="20"/>
              </w:rPr>
              <w:t>0.96</w:t>
            </w:r>
          </w:p>
        </w:tc>
        <w:tc>
          <w:tcPr>
            <w:tcW w:w="1437" w:type="dxa"/>
            <w:tcBorders>
              <w:left w:val="single" w:sz="4" w:space="0" w:color="auto"/>
            </w:tcBorders>
            <w:noWrap/>
            <w:vAlign w:val="center"/>
            <w:hideMark/>
          </w:tcPr>
          <w:p w14:paraId="2D11C515"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46.9%</w:t>
            </w:r>
          </w:p>
        </w:tc>
        <w:tc>
          <w:tcPr>
            <w:tcW w:w="1642" w:type="dxa"/>
            <w:noWrap/>
            <w:vAlign w:val="center"/>
            <w:hideMark/>
          </w:tcPr>
          <w:p w14:paraId="1DC27532"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40.6%</w:t>
            </w:r>
          </w:p>
        </w:tc>
        <w:tc>
          <w:tcPr>
            <w:tcW w:w="1232" w:type="dxa"/>
            <w:noWrap/>
            <w:vAlign w:val="center"/>
            <w:hideMark/>
          </w:tcPr>
          <w:p w14:paraId="4816CC57"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12.5%</w:t>
            </w:r>
          </w:p>
        </w:tc>
        <w:tc>
          <w:tcPr>
            <w:tcW w:w="1309" w:type="dxa"/>
            <w:noWrap/>
            <w:vAlign w:val="center"/>
            <w:hideMark/>
          </w:tcPr>
          <w:p w14:paraId="2DAA02E5"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6BC8676B" w14:textId="77777777">
        <w:trPr>
          <w:trHeight w:val="340"/>
        </w:trPr>
        <w:tc>
          <w:tcPr>
            <w:tcW w:w="1805" w:type="dxa"/>
            <w:noWrap/>
            <w:hideMark/>
          </w:tcPr>
          <w:p w14:paraId="529A4E5A"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Mar-2024</w:t>
            </w:r>
          </w:p>
        </w:tc>
        <w:tc>
          <w:tcPr>
            <w:tcW w:w="1437" w:type="dxa"/>
            <w:noWrap/>
            <w:vAlign w:val="center"/>
            <w:hideMark/>
          </w:tcPr>
          <w:p w14:paraId="04BCB23C"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0.21</w:t>
            </w:r>
          </w:p>
        </w:tc>
        <w:tc>
          <w:tcPr>
            <w:tcW w:w="1642" w:type="dxa"/>
            <w:noWrap/>
            <w:vAlign w:val="center"/>
            <w:hideMark/>
          </w:tcPr>
          <w:p w14:paraId="560E4B9D"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0.34</w:t>
            </w:r>
          </w:p>
        </w:tc>
        <w:tc>
          <w:tcPr>
            <w:tcW w:w="1232" w:type="dxa"/>
            <w:noWrap/>
            <w:vAlign w:val="center"/>
            <w:hideMark/>
          </w:tcPr>
          <w:p w14:paraId="7D779921"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0.02</w:t>
            </w:r>
          </w:p>
        </w:tc>
        <w:tc>
          <w:tcPr>
            <w:tcW w:w="1373" w:type="dxa"/>
            <w:tcBorders>
              <w:right w:val="single" w:sz="4" w:space="0" w:color="auto"/>
            </w:tcBorders>
            <w:noWrap/>
            <w:vAlign w:val="center"/>
            <w:hideMark/>
          </w:tcPr>
          <w:p w14:paraId="703A71AF"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color w:val="000000"/>
                <w:sz w:val="20"/>
                <w:szCs w:val="20"/>
              </w:rPr>
              <w:t>0.57</w:t>
            </w:r>
          </w:p>
        </w:tc>
        <w:tc>
          <w:tcPr>
            <w:tcW w:w="1437" w:type="dxa"/>
            <w:tcBorders>
              <w:left w:val="single" w:sz="4" w:space="0" w:color="auto"/>
            </w:tcBorders>
            <w:noWrap/>
            <w:vAlign w:val="center"/>
            <w:hideMark/>
          </w:tcPr>
          <w:p w14:paraId="0D283998"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36.8%</w:t>
            </w:r>
          </w:p>
        </w:tc>
        <w:tc>
          <w:tcPr>
            <w:tcW w:w="1642" w:type="dxa"/>
            <w:noWrap/>
            <w:vAlign w:val="center"/>
            <w:hideMark/>
          </w:tcPr>
          <w:p w14:paraId="5B3628CD"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59.6%</w:t>
            </w:r>
          </w:p>
        </w:tc>
        <w:tc>
          <w:tcPr>
            <w:tcW w:w="1232" w:type="dxa"/>
            <w:noWrap/>
            <w:vAlign w:val="center"/>
            <w:hideMark/>
          </w:tcPr>
          <w:p w14:paraId="47C81D3C"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3.5%</w:t>
            </w:r>
          </w:p>
        </w:tc>
        <w:tc>
          <w:tcPr>
            <w:tcW w:w="1309" w:type="dxa"/>
            <w:noWrap/>
            <w:vAlign w:val="center"/>
            <w:hideMark/>
          </w:tcPr>
          <w:p w14:paraId="63165BB0"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7FECF267" w14:textId="77777777">
        <w:trPr>
          <w:trHeight w:val="340"/>
        </w:trPr>
        <w:tc>
          <w:tcPr>
            <w:tcW w:w="1805" w:type="dxa"/>
            <w:noWrap/>
            <w:hideMark/>
          </w:tcPr>
          <w:p w14:paraId="02347713"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Jun-2024</w:t>
            </w:r>
          </w:p>
        </w:tc>
        <w:tc>
          <w:tcPr>
            <w:tcW w:w="1437" w:type="dxa"/>
            <w:noWrap/>
            <w:vAlign w:val="center"/>
            <w:hideMark/>
          </w:tcPr>
          <w:p w14:paraId="31C8C97A"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0.23</w:t>
            </w:r>
          </w:p>
        </w:tc>
        <w:tc>
          <w:tcPr>
            <w:tcW w:w="1642" w:type="dxa"/>
            <w:noWrap/>
            <w:vAlign w:val="center"/>
            <w:hideMark/>
          </w:tcPr>
          <w:p w14:paraId="7EE6224A"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0.32</w:t>
            </w:r>
          </w:p>
        </w:tc>
        <w:tc>
          <w:tcPr>
            <w:tcW w:w="1232" w:type="dxa"/>
            <w:noWrap/>
            <w:vAlign w:val="center"/>
            <w:hideMark/>
          </w:tcPr>
          <w:p w14:paraId="5DBE60F9"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0.01</w:t>
            </w:r>
          </w:p>
        </w:tc>
        <w:tc>
          <w:tcPr>
            <w:tcW w:w="1373" w:type="dxa"/>
            <w:tcBorders>
              <w:right w:val="single" w:sz="4" w:space="0" w:color="auto"/>
            </w:tcBorders>
            <w:noWrap/>
            <w:vAlign w:val="center"/>
            <w:hideMark/>
          </w:tcPr>
          <w:p w14:paraId="6B9B2677"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color w:val="000000"/>
                <w:sz w:val="20"/>
                <w:szCs w:val="20"/>
              </w:rPr>
              <w:t>0.56</w:t>
            </w:r>
          </w:p>
        </w:tc>
        <w:tc>
          <w:tcPr>
            <w:tcW w:w="1437" w:type="dxa"/>
            <w:tcBorders>
              <w:left w:val="single" w:sz="4" w:space="0" w:color="auto"/>
            </w:tcBorders>
            <w:noWrap/>
            <w:vAlign w:val="center"/>
            <w:hideMark/>
          </w:tcPr>
          <w:p w14:paraId="3A1FA6A8"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41.1%</w:t>
            </w:r>
          </w:p>
        </w:tc>
        <w:tc>
          <w:tcPr>
            <w:tcW w:w="1642" w:type="dxa"/>
            <w:noWrap/>
            <w:vAlign w:val="center"/>
            <w:hideMark/>
          </w:tcPr>
          <w:p w14:paraId="6B494595"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57.1%</w:t>
            </w:r>
          </w:p>
        </w:tc>
        <w:tc>
          <w:tcPr>
            <w:tcW w:w="1232" w:type="dxa"/>
            <w:noWrap/>
            <w:vAlign w:val="center"/>
            <w:hideMark/>
          </w:tcPr>
          <w:p w14:paraId="74FF5B10"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1.8%</w:t>
            </w:r>
          </w:p>
        </w:tc>
        <w:tc>
          <w:tcPr>
            <w:tcW w:w="1309" w:type="dxa"/>
            <w:noWrap/>
            <w:vAlign w:val="center"/>
            <w:hideMark/>
          </w:tcPr>
          <w:p w14:paraId="0355716C"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7D685C6F" w14:textId="77777777">
        <w:trPr>
          <w:trHeight w:val="340"/>
        </w:trPr>
        <w:tc>
          <w:tcPr>
            <w:tcW w:w="1805" w:type="dxa"/>
            <w:tcBorders>
              <w:bottom w:val="nil"/>
            </w:tcBorders>
            <w:noWrap/>
            <w:hideMark/>
          </w:tcPr>
          <w:p w14:paraId="401C6623"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Sep-2024</w:t>
            </w:r>
          </w:p>
        </w:tc>
        <w:tc>
          <w:tcPr>
            <w:tcW w:w="1437" w:type="dxa"/>
            <w:tcBorders>
              <w:bottom w:val="nil"/>
            </w:tcBorders>
            <w:noWrap/>
            <w:vAlign w:val="center"/>
            <w:hideMark/>
          </w:tcPr>
          <w:p w14:paraId="1C871BEB"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0.46</w:t>
            </w:r>
          </w:p>
        </w:tc>
        <w:tc>
          <w:tcPr>
            <w:tcW w:w="1642" w:type="dxa"/>
            <w:tcBorders>
              <w:bottom w:val="nil"/>
            </w:tcBorders>
            <w:noWrap/>
            <w:vAlign w:val="center"/>
            <w:hideMark/>
          </w:tcPr>
          <w:p w14:paraId="0646B9A0"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0.59</w:t>
            </w:r>
          </w:p>
        </w:tc>
        <w:tc>
          <w:tcPr>
            <w:tcW w:w="1232" w:type="dxa"/>
            <w:tcBorders>
              <w:bottom w:val="nil"/>
            </w:tcBorders>
            <w:noWrap/>
            <w:vAlign w:val="center"/>
            <w:hideMark/>
          </w:tcPr>
          <w:p w14:paraId="624BEBE4"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0.36</w:t>
            </w:r>
          </w:p>
        </w:tc>
        <w:tc>
          <w:tcPr>
            <w:tcW w:w="1373" w:type="dxa"/>
            <w:tcBorders>
              <w:bottom w:val="nil"/>
              <w:right w:val="single" w:sz="4" w:space="0" w:color="auto"/>
            </w:tcBorders>
            <w:noWrap/>
            <w:vAlign w:val="center"/>
            <w:hideMark/>
          </w:tcPr>
          <w:p w14:paraId="15A56F95"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color w:val="000000"/>
                <w:sz w:val="20"/>
                <w:szCs w:val="20"/>
              </w:rPr>
              <w:t>1.41</w:t>
            </w:r>
          </w:p>
        </w:tc>
        <w:tc>
          <w:tcPr>
            <w:tcW w:w="1437" w:type="dxa"/>
            <w:tcBorders>
              <w:left w:val="single" w:sz="4" w:space="0" w:color="auto"/>
              <w:bottom w:val="nil"/>
            </w:tcBorders>
            <w:noWrap/>
            <w:vAlign w:val="center"/>
            <w:hideMark/>
          </w:tcPr>
          <w:p w14:paraId="06B6743C"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32.6%</w:t>
            </w:r>
          </w:p>
        </w:tc>
        <w:tc>
          <w:tcPr>
            <w:tcW w:w="1642" w:type="dxa"/>
            <w:tcBorders>
              <w:bottom w:val="nil"/>
            </w:tcBorders>
            <w:noWrap/>
            <w:vAlign w:val="center"/>
            <w:hideMark/>
          </w:tcPr>
          <w:p w14:paraId="2095D1C1"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41.8%</w:t>
            </w:r>
          </w:p>
        </w:tc>
        <w:tc>
          <w:tcPr>
            <w:tcW w:w="1232" w:type="dxa"/>
            <w:tcBorders>
              <w:bottom w:val="nil"/>
            </w:tcBorders>
            <w:noWrap/>
            <w:vAlign w:val="center"/>
            <w:hideMark/>
          </w:tcPr>
          <w:p w14:paraId="2E9C962E"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25.5%</w:t>
            </w:r>
          </w:p>
        </w:tc>
        <w:tc>
          <w:tcPr>
            <w:tcW w:w="1309" w:type="dxa"/>
            <w:tcBorders>
              <w:bottom w:val="nil"/>
            </w:tcBorders>
            <w:noWrap/>
            <w:vAlign w:val="center"/>
            <w:hideMark/>
          </w:tcPr>
          <w:p w14:paraId="483A3DF9"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100.0%</w:t>
            </w:r>
          </w:p>
        </w:tc>
      </w:tr>
      <w:tr w:rsidR="00677577" w:rsidRPr="00561D7B" w14:paraId="37B0569E" w14:textId="77777777">
        <w:trPr>
          <w:trHeight w:val="340"/>
        </w:trPr>
        <w:tc>
          <w:tcPr>
            <w:tcW w:w="1805" w:type="dxa"/>
            <w:tcBorders>
              <w:top w:val="nil"/>
              <w:bottom w:val="single" w:sz="4" w:space="0" w:color="auto"/>
            </w:tcBorders>
            <w:noWrap/>
            <w:hideMark/>
          </w:tcPr>
          <w:p w14:paraId="27AF0C81" w14:textId="77777777" w:rsidR="00677577" w:rsidRPr="00561D7B" w:rsidRDefault="00677577">
            <w:pPr>
              <w:spacing w:after="0" w:line="240" w:lineRule="auto"/>
              <w:rPr>
                <w:rFonts w:ascii="Arial" w:eastAsia="Times New Roman" w:hAnsi="Arial" w:cs="Arial"/>
                <w:sz w:val="20"/>
                <w:szCs w:val="20"/>
                <w:lang w:eastAsia="en-AU"/>
              </w:rPr>
            </w:pPr>
            <w:r w:rsidRPr="00561D7B">
              <w:rPr>
                <w:rFonts w:ascii="Arial" w:eastAsia="Times New Roman" w:hAnsi="Arial" w:cs="Arial"/>
                <w:sz w:val="20"/>
                <w:szCs w:val="20"/>
                <w:lang w:eastAsia="en-AU"/>
              </w:rPr>
              <w:t>Dec-2024</w:t>
            </w:r>
          </w:p>
        </w:tc>
        <w:tc>
          <w:tcPr>
            <w:tcW w:w="1437" w:type="dxa"/>
            <w:tcBorders>
              <w:top w:val="nil"/>
              <w:bottom w:val="single" w:sz="4" w:space="0" w:color="auto"/>
            </w:tcBorders>
            <w:noWrap/>
            <w:vAlign w:val="center"/>
            <w:hideMark/>
          </w:tcPr>
          <w:p w14:paraId="017F8636"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0.26</w:t>
            </w:r>
          </w:p>
        </w:tc>
        <w:tc>
          <w:tcPr>
            <w:tcW w:w="1642" w:type="dxa"/>
            <w:tcBorders>
              <w:top w:val="nil"/>
              <w:bottom w:val="single" w:sz="4" w:space="0" w:color="auto"/>
            </w:tcBorders>
            <w:noWrap/>
            <w:vAlign w:val="center"/>
            <w:hideMark/>
          </w:tcPr>
          <w:p w14:paraId="144C74D3"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0.33</w:t>
            </w:r>
          </w:p>
        </w:tc>
        <w:tc>
          <w:tcPr>
            <w:tcW w:w="1232" w:type="dxa"/>
            <w:tcBorders>
              <w:top w:val="nil"/>
              <w:bottom w:val="single" w:sz="4" w:space="0" w:color="auto"/>
            </w:tcBorders>
            <w:noWrap/>
            <w:vAlign w:val="center"/>
            <w:hideMark/>
          </w:tcPr>
          <w:p w14:paraId="542A86C3"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sz w:val="20"/>
                <w:szCs w:val="20"/>
              </w:rPr>
              <w:t>0.02</w:t>
            </w:r>
          </w:p>
        </w:tc>
        <w:tc>
          <w:tcPr>
            <w:tcW w:w="1373" w:type="dxa"/>
            <w:tcBorders>
              <w:top w:val="nil"/>
              <w:bottom w:val="single" w:sz="4" w:space="0" w:color="auto"/>
              <w:right w:val="single" w:sz="4" w:space="0" w:color="auto"/>
            </w:tcBorders>
            <w:noWrap/>
            <w:vAlign w:val="center"/>
            <w:hideMark/>
          </w:tcPr>
          <w:p w14:paraId="7E80D073"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Calibri"/>
                <w:color w:val="000000"/>
                <w:sz w:val="20"/>
                <w:szCs w:val="20"/>
              </w:rPr>
              <w:t>0.61</w:t>
            </w:r>
          </w:p>
        </w:tc>
        <w:tc>
          <w:tcPr>
            <w:tcW w:w="1437" w:type="dxa"/>
            <w:tcBorders>
              <w:top w:val="nil"/>
              <w:left w:val="single" w:sz="4" w:space="0" w:color="auto"/>
              <w:bottom w:val="single" w:sz="4" w:space="0" w:color="auto"/>
            </w:tcBorders>
            <w:noWrap/>
            <w:vAlign w:val="center"/>
            <w:hideMark/>
          </w:tcPr>
          <w:p w14:paraId="2EC9B9A0"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42.6%</w:t>
            </w:r>
          </w:p>
        </w:tc>
        <w:tc>
          <w:tcPr>
            <w:tcW w:w="1642" w:type="dxa"/>
            <w:tcBorders>
              <w:top w:val="nil"/>
              <w:bottom w:val="single" w:sz="4" w:space="0" w:color="auto"/>
            </w:tcBorders>
            <w:noWrap/>
            <w:vAlign w:val="center"/>
            <w:hideMark/>
          </w:tcPr>
          <w:p w14:paraId="0BE2EDB2"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54.1%</w:t>
            </w:r>
          </w:p>
        </w:tc>
        <w:tc>
          <w:tcPr>
            <w:tcW w:w="1232" w:type="dxa"/>
            <w:tcBorders>
              <w:top w:val="nil"/>
              <w:bottom w:val="single" w:sz="4" w:space="0" w:color="auto"/>
            </w:tcBorders>
            <w:noWrap/>
            <w:vAlign w:val="center"/>
            <w:hideMark/>
          </w:tcPr>
          <w:p w14:paraId="1BC56C7B"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3.3%</w:t>
            </w:r>
          </w:p>
        </w:tc>
        <w:tc>
          <w:tcPr>
            <w:tcW w:w="1309" w:type="dxa"/>
            <w:tcBorders>
              <w:top w:val="nil"/>
              <w:bottom w:val="single" w:sz="4" w:space="0" w:color="auto"/>
            </w:tcBorders>
            <w:noWrap/>
            <w:vAlign w:val="center"/>
            <w:hideMark/>
          </w:tcPr>
          <w:p w14:paraId="7FDF619A" w14:textId="77777777" w:rsidR="00677577" w:rsidRPr="00561D7B" w:rsidRDefault="00677577" w:rsidP="0000484F">
            <w:pPr>
              <w:spacing w:after="0" w:line="240" w:lineRule="auto"/>
              <w:jc w:val="right"/>
              <w:rPr>
                <w:rFonts w:eastAsia="Times New Roman" w:cs="Arial"/>
                <w:sz w:val="20"/>
                <w:szCs w:val="20"/>
                <w:lang w:eastAsia="en-AU"/>
              </w:rPr>
            </w:pPr>
            <w:r w:rsidRPr="00503BD9">
              <w:rPr>
                <w:rFonts w:cs="Arial"/>
                <w:sz w:val="20"/>
                <w:szCs w:val="20"/>
              </w:rPr>
              <w:t>100.0%</w:t>
            </w:r>
          </w:p>
        </w:tc>
      </w:tr>
    </w:tbl>
    <w:p w14:paraId="02F7C70A" w14:textId="094AF72A" w:rsidR="00677577" w:rsidRPr="00C9167C" w:rsidRDefault="00677577" w:rsidP="0000484F">
      <w:pPr>
        <w:pStyle w:val="Source"/>
      </w:pPr>
      <w:r w:rsidRPr="0000484F">
        <w:rPr>
          <w:b/>
        </w:rPr>
        <w:t>Source:</w:t>
      </w:r>
      <w:r w:rsidRPr="00C9167C">
        <w:t xml:space="preserve"> ABS 6345.0 Wage Price Index, unpublished data</w:t>
      </w:r>
      <w:r w:rsidR="00702D44">
        <w:t>.</w:t>
      </w:r>
    </w:p>
    <w:p w14:paraId="769B83BA" w14:textId="77777777" w:rsidR="00677577" w:rsidRDefault="00677577" w:rsidP="00677577">
      <w:pPr>
        <w:sectPr w:rsidR="00677577" w:rsidSect="00677577">
          <w:pgSz w:w="16838" w:h="11906" w:orient="landscape"/>
          <w:pgMar w:top="1440" w:right="1440" w:bottom="1440" w:left="1440" w:header="708" w:footer="708" w:gutter="0"/>
          <w:cols w:space="720"/>
          <w:docGrid w:linePitch="299"/>
        </w:sectPr>
      </w:pPr>
    </w:p>
    <w:p w14:paraId="47196026" w14:textId="6C1E2EE4" w:rsidR="00677577" w:rsidRPr="00C02158" w:rsidRDefault="00365C93" w:rsidP="00365C93">
      <w:pPr>
        <w:pStyle w:val="Caption"/>
      </w:pPr>
      <w:bookmarkStart w:id="890" w:name="_Ref184413115"/>
      <w:bookmarkStart w:id="891" w:name="_Toc186991818"/>
      <w:bookmarkStart w:id="892" w:name="_Toc189310869"/>
      <w:bookmarkStart w:id="893" w:name="_Toc194251469"/>
      <w:r>
        <w:t xml:space="preserve">Table </w:t>
      </w:r>
      <w:r>
        <w:fldChar w:fldCharType="begin"/>
      </w:r>
      <w:r>
        <w:instrText xml:space="preserve"> SEQ Table \* ARABIC </w:instrText>
      </w:r>
      <w:r>
        <w:fldChar w:fldCharType="separate"/>
      </w:r>
      <w:r w:rsidR="00DE5F5E">
        <w:rPr>
          <w:noProof/>
        </w:rPr>
        <w:t>45</w:t>
      </w:r>
      <w:r>
        <w:fldChar w:fldCharType="end"/>
      </w:r>
      <w:r>
        <w:t xml:space="preserve">: </w:t>
      </w:r>
      <w:bookmarkEnd w:id="890"/>
      <w:r w:rsidR="00677577" w:rsidRPr="00C02158">
        <w:t>Contribution (%-point) to wage growth over the four quarters to December of each year, December</w:t>
      </w:r>
      <w:r w:rsidR="001442AE">
        <w:t xml:space="preserve"> </w:t>
      </w:r>
      <w:r w:rsidR="00BC0114" w:rsidRPr="00C02158">
        <w:t>201</w:t>
      </w:r>
      <w:r w:rsidR="00BC0114">
        <w:t>1</w:t>
      </w:r>
      <w:r w:rsidR="00BC0114" w:rsidRPr="00C02158">
        <w:t xml:space="preserve"> </w:t>
      </w:r>
      <w:r w:rsidR="00677577" w:rsidRPr="00C02158">
        <w:t>to December 2024</w:t>
      </w:r>
      <w:bookmarkEnd w:id="891"/>
      <w:bookmarkEnd w:id="892"/>
      <w:bookmarkEnd w:id="893"/>
    </w:p>
    <w:tbl>
      <w:tblPr>
        <w:tblW w:w="9026" w:type="dxa"/>
        <w:tblBorders>
          <w:top w:val="single" w:sz="4" w:space="0" w:color="auto"/>
          <w:bottom w:val="single" w:sz="4" w:space="0" w:color="auto"/>
        </w:tblBorders>
        <w:tblLayout w:type="fixed"/>
        <w:tblLook w:val="04A0" w:firstRow="1" w:lastRow="0" w:firstColumn="1" w:lastColumn="0" w:noHBand="0" w:noVBand="1"/>
      </w:tblPr>
      <w:tblGrid>
        <w:gridCol w:w="1583"/>
        <w:gridCol w:w="1252"/>
        <w:gridCol w:w="3783"/>
        <w:gridCol w:w="1238"/>
        <w:gridCol w:w="1170"/>
      </w:tblGrid>
      <w:tr w:rsidR="00BE4196" w:rsidRPr="00632DB6" w14:paraId="6AD60F36" w14:textId="77777777" w:rsidTr="00BE4196">
        <w:trPr>
          <w:trHeight w:val="315"/>
        </w:trPr>
        <w:tc>
          <w:tcPr>
            <w:tcW w:w="1583" w:type="dxa"/>
            <w:tcBorders>
              <w:bottom w:val="nil"/>
            </w:tcBorders>
            <w:shd w:val="clear" w:color="000000" w:fill="FFFFFF"/>
            <w:noWrap/>
            <w:vAlign w:val="bottom"/>
            <w:hideMark/>
          </w:tcPr>
          <w:p w14:paraId="338A59A9" w14:textId="77777777" w:rsidR="00677577" w:rsidRPr="00632DB6" w:rsidRDefault="00677577">
            <w:pPr>
              <w:spacing w:after="0" w:line="240" w:lineRule="auto"/>
              <w:rPr>
                <w:rFonts w:ascii="Calibri" w:eastAsia="Times New Roman" w:hAnsi="Calibri" w:cs="Calibri"/>
                <w:color w:val="000000"/>
                <w:lang w:eastAsia="en-AU"/>
              </w:rPr>
            </w:pPr>
          </w:p>
        </w:tc>
        <w:tc>
          <w:tcPr>
            <w:tcW w:w="1252" w:type="dxa"/>
            <w:tcBorders>
              <w:bottom w:val="nil"/>
            </w:tcBorders>
            <w:vAlign w:val="bottom"/>
            <w:hideMark/>
          </w:tcPr>
          <w:p w14:paraId="5D9E89A6" w14:textId="68E2EB55" w:rsidR="00677577" w:rsidRPr="00632DB6" w:rsidRDefault="00677577" w:rsidP="004C0E04">
            <w:pPr>
              <w:spacing w:after="0" w:line="240" w:lineRule="auto"/>
              <w:jc w:val="center"/>
              <w:rPr>
                <w:rFonts w:ascii="Calibri" w:eastAsia="Times New Roman" w:hAnsi="Calibri" w:cs="Calibri"/>
                <w:b/>
                <w:bCs/>
                <w:lang w:eastAsia="en-AU"/>
              </w:rPr>
            </w:pPr>
            <w:r w:rsidRPr="00632DB6">
              <w:rPr>
                <w:rFonts w:ascii="Calibri" w:eastAsia="Times New Roman" w:hAnsi="Calibri" w:cs="Calibri"/>
                <w:b/>
                <w:bCs/>
                <w:lang w:eastAsia="en-AU"/>
              </w:rPr>
              <w:t xml:space="preserve">Enterprise </w:t>
            </w:r>
            <w:r w:rsidR="00702D44">
              <w:rPr>
                <w:rFonts w:ascii="Calibri" w:eastAsia="Times New Roman" w:hAnsi="Calibri" w:cs="Calibri"/>
                <w:b/>
                <w:bCs/>
                <w:lang w:eastAsia="en-AU"/>
              </w:rPr>
              <w:t>a</w:t>
            </w:r>
            <w:r w:rsidRPr="00632DB6">
              <w:rPr>
                <w:rFonts w:ascii="Calibri" w:eastAsia="Times New Roman" w:hAnsi="Calibri" w:cs="Calibri"/>
                <w:b/>
                <w:bCs/>
                <w:lang w:eastAsia="en-AU"/>
              </w:rPr>
              <w:t>greement</w:t>
            </w:r>
          </w:p>
        </w:tc>
        <w:tc>
          <w:tcPr>
            <w:tcW w:w="3783" w:type="dxa"/>
            <w:tcBorders>
              <w:bottom w:val="nil"/>
            </w:tcBorders>
            <w:vAlign w:val="bottom"/>
            <w:hideMark/>
          </w:tcPr>
          <w:p w14:paraId="26139CAB" w14:textId="258A2076" w:rsidR="00677577" w:rsidRPr="00632DB6" w:rsidRDefault="00677577" w:rsidP="004C0E04">
            <w:pPr>
              <w:spacing w:after="0" w:line="240" w:lineRule="auto"/>
              <w:jc w:val="center"/>
              <w:rPr>
                <w:rFonts w:ascii="Calibri" w:eastAsia="Times New Roman" w:hAnsi="Calibri" w:cs="Calibri"/>
                <w:b/>
                <w:bCs/>
                <w:lang w:eastAsia="en-AU"/>
              </w:rPr>
            </w:pPr>
            <w:r w:rsidRPr="00632DB6">
              <w:rPr>
                <w:rFonts w:ascii="Calibri" w:eastAsia="Times New Roman" w:hAnsi="Calibri" w:cs="Calibri"/>
                <w:b/>
                <w:bCs/>
                <w:lang w:eastAsia="en-AU"/>
              </w:rPr>
              <w:t xml:space="preserve">Individual </w:t>
            </w:r>
            <w:r w:rsidR="00702D44">
              <w:rPr>
                <w:rFonts w:ascii="Calibri" w:eastAsia="Times New Roman" w:hAnsi="Calibri" w:cs="Calibri"/>
                <w:b/>
                <w:bCs/>
                <w:lang w:eastAsia="en-AU"/>
              </w:rPr>
              <w:t>a</w:t>
            </w:r>
            <w:r w:rsidRPr="00632DB6">
              <w:rPr>
                <w:rFonts w:ascii="Calibri" w:eastAsia="Times New Roman" w:hAnsi="Calibri" w:cs="Calibri"/>
                <w:b/>
                <w:bCs/>
                <w:lang w:eastAsia="en-AU"/>
              </w:rPr>
              <w:t>rrangement</w:t>
            </w:r>
          </w:p>
        </w:tc>
        <w:tc>
          <w:tcPr>
            <w:tcW w:w="1238" w:type="dxa"/>
            <w:tcBorders>
              <w:bottom w:val="nil"/>
            </w:tcBorders>
            <w:vAlign w:val="bottom"/>
            <w:hideMark/>
          </w:tcPr>
          <w:p w14:paraId="596E0D28" w14:textId="77777777" w:rsidR="00677577" w:rsidRPr="00632DB6" w:rsidRDefault="00677577" w:rsidP="004C0E04">
            <w:pPr>
              <w:spacing w:after="0" w:line="240" w:lineRule="auto"/>
              <w:jc w:val="center"/>
              <w:rPr>
                <w:rFonts w:ascii="Calibri" w:eastAsia="Times New Roman" w:hAnsi="Calibri" w:cs="Calibri"/>
                <w:b/>
                <w:bCs/>
                <w:lang w:eastAsia="en-AU"/>
              </w:rPr>
            </w:pPr>
            <w:r w:rsidRPr="00632DB6">
              <w:rPr>
                <w:rFonts w:ascii="Calibri" w:eastAsia="Times New Roman" w:hAnsi="Calibri" w:cs="Calibri"/>
                <w:b/>
                <w:bCs/>
                <w:lang w:eastAsia="en-AU"/>
              </w:rPr>
              <w:t>Award</w:t>
            </w:r>
          </w:p>
        </w:tc>
        <w:tc>
          <w:tcPr>
            <w:tcW w:w="1170" w:type="dxa"/>
            <w:tcBorders>
              <w:bottom w:val="nil"/>
            </w:tcBorders>
            <w:noWrap/>
            <w:vAlign w:val="bottom"/>
            <w:hideMark/>
          </w:tcPr>
          <w:p w14:paraId="6DFBAAD8" w14:textId="77777777" w:rsidR="00677577" w:rsidRPr="00632DB6" w:rsidRDefault="00677577" w:rsidP="004C0E04">
            <w:pPr>
              <w:spacing w:after="0" w:line="240" w:lineRule="auto"/>
              <w:jc w:val="center"/>
              <w:rPr>
                <w:rFonts w:ascii="Arial" w:eastAsia="Times New Roman" w:hAnsi="Arial" w:cs="Arial"/>
                <w:b/>
                <w:bCs/>
                <w:sz w:val="20"/>
                <w:szCs w:val="20"/>
                <w:lang w:eastAsia="en-AU"/>
              </w:rPr>
            </w:pPr>
            <w:r w:rsidRPr="00632DB6">
              <w:rPr>
                <w:rFonts w:ascii="Arial" w:eastAsia="Times New Roman" w:hAnsi="Arial" w:cs="Arial"/>
                <w:b/>
                <w:bCs/>
                <w:sz w:val="20"/>
                <w:szCs w:val="20"/>
                <w:lang w:eastAsia="en-AU"/>
              </w:rPr>
              <w:t>Total</w:t>
            </w:r>
          </w:p>
        </w:tc>
      </w:tr>
      <w:tr w:rsidR="00677577" w:rsidRPr="00632DB6" w14:paraId="0FC0F35F" w14:textId="77777777" w:rsidTr="007B2F63">
        <w:trPr>
          <w:trHeight w:val="315"/>
        </w:trPr>
        <w:tc>
          <w:tcPr>
            <w:tcW w:w="1583" w:type="dxa"/>
            <w:tcBorders>
              <w:top w:val="nil"/>
              <w:bottom w:val="single" w:sz="4" w:space="0" w:color="auto"/>
            </w:tcBorders>
            <w:shd w:val="clear" w:color="000000" w:fill="FFFFFF"/>
            <w:noWrap/>
            <w:vAlign w:val="bottom"/>
          </w:tcPr>
          <w:p w14:paraId="31127671" w14:textId="77777777" w:rsidR="00677577" w:rsidRPr="00632DB6" w:rsidRDefault="00677577">
            <w:pPr>
              <w:spacing w:after="0" w:line="240" w:lineRule="auto"/>
              <w:rPr>
                <w:rFonts w:ascii="Calibri" w:eastAsia="Times New Roman" w:hAnsi="Calibri" w:cs="Calibri"/>
                <w:color w:val="000000"/>
                <w:lang w:eastAsia="en-AU"/>
              </w:rPr>
            </w:pPr>
          </w:p>
        </w:tc>
        <w:tc>
          <w:tcPr>
            <w:tcW w:w="7443" w:type="dxa"/>
            <w:gridSpan w:val="4"/>
            <w:tcBorders>
              <w:top w:val="nil"/>
              <w:bottom w:val="single" w:sz="4" w:space="0" w:color="auto"/>
            </w:tcBorders>
            <w:noWrap/>
            <w:vAlign w:val="bottom"/>
          </w:tcPr>
          <w:p w14:paraId="2C568F37" w14:textId="77777777" w:rsidR="00677577" w:rsidRPr="00632DB6" w:rsidRDefault="00677577" w:rsidP="004C0E04">
            <w:pPr>
              <w:spacing w:after="0" w:line="240" w:lineRule="auto"/>
              <w:jc w:val="center"/>
              <w:rPr>
                <w:rFonts w:ascii="Arial" w:eastAsia="Times New Roman" w:hAnsi="Arial" w:cs="Arial"/>
                <w:sz w:val="20"/>
                <w:szCs w:val="20"/>
                <w:lang w:eastAsia="en-AU"/>
              </w:rPr>
            </w:pPr>
            <w:r>
              <w:rPr>
                <w:rFonts w:ascii="Arial" w:eastAsia="Times New Roman" w:hAnsi="Arial" w:cs="Arial"/>
                <w:sz w:val="20"/>
                <w:szCs w:val="20"/>
                <w:lang w:eastAsia="en-AU"/>
              </w:rPr>
              <w:t>%-point</w:t>
            </w:r>
          </w:p>
        </w:tc>
      </w:tr>
      <w:tr w:rsidR="00BE4196" w:rsidRPr="00632DB6" w14:paraId="0932C66A" w14:textId="77777777" w:rsidTr="00BE4196">
        <w:trPr>
          <w:trHeight w:val="283"/>
        </w:trPr>
        <w:tc>
          <w:tcPr>
            <w:tcW w:w="1583" w:type="dxa"/>
            <w:tcBorders>
              <w:top w:val="single" w:sz="4" w:space="0" w:color="auto"/>
            </w:tcBorders>
            <w:shd w:val="clear" w:color="000000" w:fill="FFFFFF"/>
            <w:noWrap/>
            <w:vAlign w:val="bottom"/>
            <w:hideMark/>
          </w:tcPr>
          <w:p w14:paraId="78453470" w14:textId="77777777" w:rsidR="00677577" w:rsidRPr="00632DB6" w:rsidRDefault="00677577">
            <w:pPr>
              <w:spacing w:after="0" w:line="240" w:lineRule="auto"/>
              <w:rPr>
                <w:rFonts w:ascii="Calibri" w:eastAsia="Times New Roman" w:hAnsi="Calibri" w:cs="Calibri"/>
                <w:color w:val="000000"/>
                <w:lang w:eastAsia="en-AU"/>
              </w:rPr>
            </w:pPr>
            <w:r w:rsidRPr="00632DB6">
              <w:rPr>
                <w:rFonts w:ascii="Calibri" w:eastAsia="Times New Roman" w:hAnsi="Calibri" w:cs="Calibri"/>
                <w:color w:val="000000"/>
                <w:lang w:eastAsia="en-AU"/>
              </w:rPr>
              <w:t>Dec-2011</w:t>
            </w:r>
          </w:p>
        </w:tc>
        <w:tc>
          <w:tcPr>
            <w:tcW w:w="1252" w:type="dxa"/>
            <w:tcBorders>
              <w:top w:val="single" w:sz="4" w:space="0" w:color="auto"/>
            </w:tcBorders>
            <w:noWrap/>
            <w:vAlign w:val="bottom"/>
            <w:hideMark/>
          </w:tcPr>
          <w:p w14:paraId="11F99DFB"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1.5</w:t>
            </w:r>
          </w:p>
        </w:tc>
        <w:tc>
          <w:tcPr>
            <w:tcW w:w="3783" w:type="dxa"/>
            <w:tcBorders>
              <w:top w:val="single" w:sz="4" w:space="0" w:color="auto"/>
            </w:tcBorders>
            <w:noWrap/>
            <w:vAlign w:val="bottom"/>
            <w:hideMark/>
          </w:tcPr>
          <w:p w14:paraId="302E723D"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1.9</w:t>
            </w:r>
          </w:p>
        </w:tc>
        <w:tc>
          <w:tcPr>
            <w:tcW w:w="1238" w:type="dxa"/>
            <w:tcBorders>
              <w:top w:val="single" w:sz="4" w:space="0" w:color="auto"/>
            </w:tcBorders>
            <w:noWrap/>
            <w:vAlign w:val="bottom"/>
            <w:hideMark/>
          </w:tcPr>
          <w:p w14:paraId="00E14FA7"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0.2</w:t>
            </w:r>
          </w:p>
        </w:tc>
        <w:tc>
          <w:tcPr>
            <w:tcW w:w="1170" w:type="dxa"/>
            <w:tcBorders>
              <w:top w:val="single" w:sz="4" w:space="0" w:color="auto"/>
            </w:tcBorders>
            <w:noWrap/>
            <w:vAlign w:val="bottom"/>
            <w:hideMark/>
          </w:tcPr>
          <w:p w14:paraId="5EB963B4"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3.6</w:t>
            </w:r>
          </w:p>
        </w:tc>
      </w:tr>
      <w:tr w:rsidR="007B2F63" w:rsidRPr="00632DB6" w14:paraId="7DEDA194" w14:textId="77777777" w:rsidTr="007B2F63">
        <w:trPr>
          <w:trHeight w:val="315"/>
        </w:trPr>
        <w:tc>
          <w:tcPr>
            <w:tcW w:w="1583" w:type="dxa"/>
            <w:shd w:val="clear" w:color="000000" w:fill="FFFFFF"/>
            <w:noWrap/>
            <w:vAlign w:val="bottom"/>
          </w:tcPr>
          <w:p w14:paraId="3F2ED7A3" w14:textId="6D3E87AD" w:rsidR="00E046E2" w:rsidRPr="00632DB6" w:rsidRDefault="00E046E2" w:rsidP="00E046E2">
            <w:pPr>
              <w:spacing w:after="0" w:line="240" w:lineRule="auto"/>
              <w:rPr>
                <w:rFonts w:ascii="Calibri" w:eastAsia="Times New Roman" w:hAnsi="Calibri" w:cs="Calibri"/>
                <w:color w:val="000000"/>
                <w:lang w:eastAsia="en-AU"/>
              </w:rPr>
            </w:pPr>
            <w:r w:rsidRPr="00632DB6">
              <w:rPr>
                <w:rFonts w:ascii="Calibri" w:eastAsia="Times New Roman" w:hAnsi="Calibri" w:cs="Calibri"/>
                <w:color w:val="000000"/>
                <w:lang w:eastAsia="en-AU"/>
              </w:rPr>
              <w:t>Dec-201</w:t>
            </w:r>
            <w:r>
              <w:rPr>
                <w:rFonts w:ascii="Calibri" w:eastAsia="Times New Roman" w:hAnsi="Calibri" w:cs="Calibri"/>
                <w:color w:val="000000"/>
                <w:lang w:eastAsia="en-AU"/>
              </w:rPr>
              <w:t>2</w:t>
            </w:r>
          </w:p>
        </w:tc>
        <w:tc>
          <w:tcPr>
            <w:tcW w:w="1252" w:type="dxa"/>
            <w:noWrap/>
            <w:vAlign w:val="bottom"/>
          </w:tcPr>
          <w:p w14:paraId="03136132" w14:textId="6A4328B3" w:rsidR="00E046E2" w:rsidRPr="00632DB6" w:rsidRDefault="00E046E2"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1.</w:t>
            </w:r>
            <w:r>
              <w:rPr>
                <w:rFonts w:ascii="Arial" w:eastAsia="Times New Roman" w:hAnsi="Arial" w:cs="Arial"/>
                <w:sz w:val="20"/>
                <w:szCs w:val="20"/>
                <w:lang w:eastAsia="en-AU"/>
              </w:rPr>
              <w:t>5</w:t>
            </w:r>
          </w:p>
        </w:tc>
        <w:tc>
          <w:tcPr>
            <w:tcW w:w="3783" w:type="dxa"/>
            <w:noWrap/>
            <w:vAlign w:val="bottom"/>
          </w:tcPr>
          <w:p w14:paraId="19847636" w14:textId="784CAFDB" w:rsidR="00E046E2" w:rsidRPr="00632DB6" w:rsidRDefault="00E046E2"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1.</w:t>
            </w:r>
            <w:r>
              <w:rPr>
                <w:rFonts w:ascii="Arial" w:eastAsia="Times New Roman" w:hAnsi="Arial" w:cs="Arial"/>
                <w:sz w:val="20"/>
                <w:szCs w:val="20"/>
                <w:lang w:eastAsia="en-AU"/>
              </w:rPr>
              <w:t>6</w:t>
            </w:r>
          </w:p>
        </w:tc>
        <w:tc>
          <w:tcPr>
            <w:tcW w:w="1238" w:type="dxa"/>
            <w:noWrap/>
            <w:vAlign w:val="bottom"/>
          </w:tcPr>
          <w:p w14:paraId="09B7AE32" w14:textId="1ADEF5EE" w:rsidR="00E046E2" w:rsidRPr="00632DB6" w:rsidRDefault="00E046E2"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0.2</w:t>
            </w:r>
          </w:p>
        </w:tc>
        <w:tc>
          <w:tcPr>
            <w:tcW w:w="1170" w:type="dxa"/>
            <w:noWrap/>
            <w:vAlign w:val="bottom"/>
          </w:tcPr>
          <w:p w14:paraId="66A25D99" w14:textId="6AEE4F0E" w:rsidR="00E046E2" w:rsidRPr="00632DB6" w:rsidRDefault="00E046E2" w:rsidP="004C0E04">
            <w:pPr>
              <w:spacing w:after="0" w:line="240" w:lineRule="auto"/>
              <w:jc w:val="center"/>
              <w:rPr>
                <w:rFonts w:ascii="Arial" w:eastAsia="Times New Roman" w:hAnsi="Arial" w:cs="Arial"/>
                <w:sz w:val="20"/>
                <w:szCs w:val="20"/>
                <w:lang w:eastAsia="en-AU"/>
              </w:rPr>
            </w:pPr>
            <w:r>
              <w:rPr>
                <w:rFonts w:ascii="Arial" w:eastAsia="Times New Roman" w:hAnsi="Arial" w:cs="Arial"/>
                <w:sz w:val="20"/>
                <w:szCs w:val="20"/>
                <w:lang w:eastAsia="en-AU"/>
              </w:rPr>
              <w:t>3.4</w:t>
            </w:r>
          </w:p>
        </w:tc>
      </w:tr>
      <w:tr w:rsidR="00BE4196" w:rsidRPr="00632DB6" w14:paraId="2134C31B" w14:textId="77777777" w:rsidTr="00BE4196">
        <w:trPr>
          <w:trHeight w:val="315"/>
        </w:trPr>
        <w:tc>
          <w:tcPr>
            <w:tcW w:w="1583" w:type="dxa"/>
            <w:shd w:val="clear" w:color="000000" w:fill="FFFFFF"/>
            <w:noWrap/>
            <w:vAlign w:val="bottom"/>
            <w:hideMark/>
          </w:tcPr>
          <w:p w14:paraId="02AE2421" w14:textId="77777777" w:rsidR="00677577" w:rsidRPr="00632DB6" w:rsidRDefault="00677577">
            <w:pPr>
              <w:spacing w:after="0" w:line="240" w:lineRule="auto"/>
              <w:rPr>
                <w:rFonts w:ascii="Calibri" w:eastAsia="Times New Roman" w:hAnsi="Calibri" w:cs="Calibri"/>
                <w:color w:val="000000"/>
                <w:lang w:eastAsia="en-AU"/>
              </w:rPr>
            </w:pPr>
            <w:r w:rsidRPr="00632DB6">
              <w:rPr>
                <w:rFonts w:ascii="Calibri" w:eastAsia="Times New Roman" w:hAnsi="Calibri" w:cs="Calibri"/>
                <w:color w:val="000000"/>
                <w:lang w:eastAsia="en-AU"/>
              </w:rPr>
              <w:t>Dec-2013</w:t>
            </w:r>
          </w:p>
        </w:tc>
        <w:tc>
          <w:tcPr>
            <w:tcW w:w="1252" w:type="dxa"/>
            <w:noWrap/>
            <w:vAlign w:val="bottom"/>
            <w:hideMark/>
          </w:tcPr>
          <w:p w14:paraId="6DACB737"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1.3</w:t>
            </w:r>
          </w:p>
        </w:tc>
        <w:tc>
          <w:tcPr>
            <w:tcW w:w="3783" w:type="dxa"/>
            <w:noWrap/>
            <w:vAlign w:val="bottom"/>
            <w:hideMark/>
          </w:tcPr>
          <w:p w14:paraId="15FD9FCA"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1.1</w:t>
            </w:r>
          </w:p>
        </w:tc>
        <w:tc>
          <w:tcPr>
            <w:tcW w:w="1238" w:type="dxa"/>
            <w:noWrap/>
            <w:vAlign w:val="bottom"/>
            <w:hideMark/>
          </w:tcPr>
          <w:p w14:paraId="3DE7B4AA"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0.2</w:t>
            </w:r>
          </w:p>
        </w:tc>
        <w:tc>
          <w:tcPr>
            <w:tcW w:w="1170" w:type="dxa"/>
            <w:noWrap/>
            <w:vAlign w:val="bottom"/>
            <w:hideMark/>
          </w:tcPr>
          <w:p w14:paraId="7D0AC501"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2.6</w:t>
            </w:r>
          </w:p>
        </w:tc>
      </w:tr>
      <w:tr w:rsidR="00BE4196" w:rsidRPr="00632DB6" w14:paraId="1F6B7500" w14:textId="77777777" w:rsidTr="00BE4196">
        <w:trPr>
          <w:trHeight w:val="315"/>
        </w:trPr>
        <w:tc>
          <w:tcPr>
            <w:tcW w:w="1583" w:type="dxa"/>
            <w:shd w:val="clear" w:color="000000" w:fill="FFFFFF"/>
            <w:noWrap/>
            <w:vAlign w:val="bottom"/>
            <w:hideMark/>
          </w:tcPr>
          <w:p w14:paraId="002DB383" w14:textId="77777777" w:rsidR="00677577" w:rsidRPr="00632DB6" w:rsidRDefault="00677577">
            <w:pPr>
              <w:spacing w:after="0" w:line="240" w:lineRule="auto"/>
              <w:rPr>
                <w:rFonts w:ascii="Calibri" w:eastAsia="Times New Roman" w:hAnsi="Calibri" w:cs="Calibri"/>
                <w:color w:val="000000"/>
                <w:lang w:eastAsia="en-AU"/>
              </w:rPr>
            </w:pPr>
            <w:r w:rsidRPr="00632DB6">
              <w:rPr>
                <w:rFonts w:ascii="Calibri" w:eastAsia="Times New Roman" w:hAnsi="Calibri" w:cs="Calibri"/>
                <w:color w:val="000000"/>
                <w:lang w:eastAsia="en-AU"/>
              </w:rPr>
              <w:t>Dec-2014</w:t>
            </w:r>
          </w:p>
        </w:tc>
        <w:tc>
          <w:tcPr>
            <w:tcW w:w="1252" w:type="dxa"/>
            <w:noWrap/>
            <w:vAlign w:val="bottom"/>
            <w:hideMark/>
          </w:tcPr>
          <w:p w14:paraId="744C4DC0"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1.2</w:t>
            </w:r>
          </w:p>
        </w:tc>
        <w:tc>
          <w:tcPr>
            <w:tcW w:w="3783" w:type="dxa"/>
            <w:noWrap/>
            <w:vAlign w:val="bottom"/>
            <w:hideMark/>
          </w:tcPr>
          <w:p w14:paraId="2E4FC28D"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1.1</w:t>
            </w:r>
          </w:p>
        </w:tc>
        <w:tc>
          <w:tcPr>
            <w:tcW w:w="1238" w:type="dxa"/>
            <w:noWrap/>
            <w:vAlign w:val="bottom"/>
            <w:hideMark/>
          </w:tcPr>
          <w:p w14:paraId="44E77091"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0.3</w:t>
            </w:r>
          </w:p>
        </w:tc>
        <w:tc>
          <w:tcPr>
            <w:tcW w:w="1170" w:type="dxa"/>
            <w:noWrap/>
            <w:vAlign w:val="bottom"/>
            <w:hideMark/>
          </w:tcPr>
          <w:p w14:paraId="7DD6403E"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2.5</w:t>
            </w:r>
          </w:p>
        </w:tc>
      </w:tr>
      <w:tr w:rsidR="00BE4196" w:rsidRPr="00632DB6" w14:paraId="43914A86" w14:textId="77777777" w:rsidTr="00BE4196">
        <w:trPr>
          <w:trHeight w:val="315"/>
        </w:trPr>
        <w:tc>
          <w:tcPr>
            <w:tcW w:w="1583" w:type="dxa"/>
            <w:shd w:val="clear" w:color="000000" w:fill="FFFFFF"/>
            <w:noWrap/>
            <w:vAlign w:val="bottom"/>
            <w:hideMark/>
          </w:tcPr>
          <w:p w14:paraId="787438D2" w14:textId="77777777" w:rsidR="00677577" w:rsidRPr="00632DB6" w:rsidRDefault="00677577">
            <w:pPr>
              <w:spacing w:after="0" w:line="240" w:lineRule="auto"/>
              <w:rPr>
                <w:rFonts w:ascii="Calibri" w:eastAsia="Times New Roman" w:hAnsi="Calibri" w:cs="Calibri"/>
                <w:color w:val="000000"/>
                <w:lang w:eastAsia="en-AU"/>
              </w:rPr>
            </w:pPr>
            <w:r w:rsidRPr="00632DB6">
              <w:rPr>
                <w:rFonts w:ascii="Calibri" w:eastAsia="Times New Roman" w:hAnsi="Calibri" w:cs="Calibri"/>
                <w:color w:val="000000"/>
                <w:lang w:eastAsia="en-AU"/>
              </w:rPr>
              <w:t>Dec-2015</w:t>
            </w:r>
          </w:p>
        </w:tc>
        <w:tc>
          <w:tcPr>
            <w:tcW w:w="1252" w:type="dxa"/>
            <w:noWrap/>
            <w:vAlign w:val="bottom"/>
            <w:hideMark/>
          </w:tcPr>
          <w:p w14:paraId="1DB4B67E"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1.1</w:t>
            </w:r>
          </w:p>
        </w:tc>
        <w:tc>
          <w:tcPr>
            <w:tcW w:w="3783" w:type="dxa"/>
            <w:noWrap/>
            <w:vAlign w:val="bottom"/>
            <w:hideMark/>
          </w:tcPr>
          <w:p w14:paraId="38C9D052"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0.8</w:t>
            </w:r>
          </w:p>
        </w:tc>
        <w:tc>
          <w:tcPr>
            <w:tcW w:w="1238" w:type="dxa"/>
            <w:noWrap/>
            <w:vAlign w:val="bottom"/>
            <w:hideMark/>
          </w:tcPr>
          <w:p w14:paraId="3149BDBF"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0.3</w:t>
            </w:r>
          </w:p>
        </w:tc>
        <w:tc>
          <w:tcPr>
            <w:tcW w:w="1170" w:type="dxa"/>
            <w:noWrap/>
            <w:vAlign w:val="bottom"/>
            <w:hideMark/>
          </w:tcPr>
          <w:p w14:paraId="750107B3"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2.1</w:t>
            </w:r>
          </w:p>
        </w:tc>
      </w:tr>
      <w:tr w:rsidR="00BE4196" w:rsidRPr="00632DB6" w14:paraId="67EAC362" w14:textId="77777777" w:rsidTr="00BE4196">
        <w:trPr>
          <w:trHeight w:val="315"/>
        </w:trPr>
        <w:tc>
          <w:tcPr>
            <w:tcW w:w="1583" w:type="dxa"/>
            <w:shd w:val="clear" w:color="000000" w:fill="FFFFFF"/>
            <w:noWrap/>
            <w:vAlign w:val="bottom"/>
            <w:hideMark/>
          </w:tcPr>
          <w:p w14:paraId="37E4D11E" w14:textId="77777777" w:rsidR="00677577" w:rsidRPr="00632DB6" w:rsidRDefault="00677577">
            <w:pPr>
              <w:spacing w:after="0" w:line="240" w:lineRule="auto"/>
              <w:rPr>
                <w:rFonts w:ascii="Calibri" w:eastAsia="Times New Roman" w:hAnsi="Calibri" w:cs="Calibri"/>
                <w:color w:val="000000"/>
                <w:lang w:eastAsia="en-AU"/>
              </w:rPr>
            </w:pPr>
            <w:r w:rsidRPr="00632DB6">
              <w:rPr>
                <w:rFonts w:ascii="Calibri" w:eastAsia="Times New Roman" w:hAnsi="Calibri" w:cs="Calibri"/>
                <w:color w:val="000000"/>
                <w:lang w:eastAsia="en-AU"/>
              </w:rPr>
              <w:t>Dec-2016</w:t>
            </w:r>
          </w:p>
        </w:tc>
        <w:tc>
          <w:tcPr>
            <w:tcW w:w="1252" w:type="dxa"/>
            <w:noWrap/>
            <w:vAlign w:val="bottom"/>
            <w:hideMark/>
          </w:tcPr>
          <w:p w14:paraId="60374EF4"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1.0</w:t>
            </w:r>
          </w:p>
        </w:tc>
        <w:tc>
          <w:tcPr>
            <w:tcW w:w="3783" w:type="dxa"/>
            <w:noWrap/>
            <w:vAlign w:val="bottom"/>
            <w:hideMark/>
          </w:tcPr>
          <w:p w14:paraId="44DCC56D"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0.7</w:t>
            </w:r>
          </w:p>
        </w:tc>
        <w:tc>
          <w:tcPr>
            <w:tcW w:w="1238" w:type="dxa"/>
            <w:noWrap/>
            <w:vAlign w:val="bottom"/>
            <w:hideMark/>
          </w:tcPr>
          <w:p w14:paraId="648EB7D1"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0.2</w:t>
            </w:r>
          </w:p>
        </w:tc>
        <w:tc>
          <w:tcPr>
            <w:tcW w:w="1170" w:type="dxa"/>
            <w:noWrap/>
            <w:vAlign w:val="bottom"/>
            <w:hideMark/>
          </w:tcPr>
          <w:p w14:paraId="522EC93B"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1.9</w:t>
            </w:r>
          </w:p>
        </w:tc>
      </w:tr>
      <w:tr w:rsidR="00BE4196" w:rsidRPr="00632DB6" w14:paraId="11AB8578" w14:textId="77777777" w:rsidTr="00BE4196">
        <w:trPr>
          <w:trHeight w:val="315"/>
        </w:trPr>
        <w:tc>
          <w:tcPr>
            <w:tcW w:w="1583" w:type="dxa"/>
            <w:shd w:val="clear" w:color="000000" w:fill="FFFFFF"/>
            <w:noWrap/>
            <w:vAlign w:val="bottom"/>
            <w:hideMark/>
          </w:tcPr>
          <w:p w14:paraId="34567678" w14:textId="77777777" w:rsidR="00677577" w:rsidRPr="00632DB6" w:rsidRDefault="00677577">
            <w:pPr>
              <w:spacing w:after="0" w:line="240" w:lineRule="auto"/>
              <w:rPr>
                <w:rFonts w:ascii="Calibri" w:eastAsia="Times New Roman" w:hAnsi="Calibri" w:cs="Calibri"/>
                <w:color w:val="000000"/>
                <w:lang w:eastAsia="en-AU"/>
              </w:rPr>
            </w:pPr>
            <w:r w:rsidRPr="00632DB6">
              <w:rPr>
                <w:rFonts w:ascii="Calibri" w:eastAsia="Times New Roman" w:hAnsi="Calibri" w:cs="Calibri"/>
                <w:color w:val="000000"/>
                <w:lang w:eastAsia="en-AU"/>
              </w:rPr>
              <w:t>Dec-2017</w:t>
            </w:r>
          </w:p>
        </w:tc>
        <w:tc>
          <w:tcPr>
            <w:tcW w:w="1252" w:type="dxa"/>
            <w:noWrap/>
            <w:vAlign w:val="bottom"/>
            <w:hideMark/>
          </w:tcPr>
          <w:p w14:paraId="740BBAB3"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0.9</w:t>
            </w:r>
          </w:p>
        </w:tc>
        <w:tc>
          <w:tcPr>
            <w:tcW w:w="3783" w:type="dxa"/>
            <w:noWrap/>
            <w:vAlign w:val="bottom"/>
            <w:hideMark/>
          </w:tcPr>
          <w:p w14:paraId="01064E75"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0.8</w:t>
            </w:r>
          </w:p>
        </w:tc>
        <w:tc>
          <w:tcPr>
            <w:tcW w:w="1238" w:type="dxa"/>
            <w:noWrap/>
            <w:vAlign w:val="bottom"/>
            <w:hideMark/>
          </w:tcPr>
          <w:p w14:paraId="69FC817E"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0.4</w:t>
            </w:r>
          </w:p>
        </w:tc>
        <w:tc>
          <w:tcPr>
            <w:tcW w:w="1170" w:type="dxa"/>
            <w:noWrap/>
            <w:vAlign w:val="bottom"/>
            <w:hideMark/>
          </w:tcPr>
          <w:p w14:paraId="1700B850"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2.1</w:t>
            </w:r>
          </w:p>
        </w:tc>
      </w:tr>
      <w:tr w:rsidR="00BE4196" w:rsidRPr="00632DB6" w14:paraId="75E2B763" w14:textId="77777777" w:rsidTr="00BE4196">
        <w:trPr>
          <w:trHeight w:val="315"/>
        </w:trPr>
        <w:tc>
          <w:tcPr>
            <w:tcW w:w="1583" w:type="dxa"/>
            <w:shd w:val="clear" w:color="000000" w:fill="FFFFFF"/>
            <w:noWrap/>
            <w:vAlign w:val="bottom"/>
            <w:hideMark/>
          </w:tcPr>
          <w:p w14:paraId="7C2C0D1B" w14:textId="77777777" w:rsidR="00677577" w:rsidRPr="00632DB6" w:rsidRDefault="00677577">
            <w:pPr>
              <w:spacing w:after="0" w:line="240" w:lineRule="auto"/>
              <w:rPr>
                <w:rFonts w:ascii="Calibri" w:eastAsia="Times New Roman" w:hAnsi="Calibri" w:cs="Calibri"/>
                <w:color w:val="000000"/>
                <w:lang w:eastAsia="en-AU"/>
              </w:rPr>
            </w:pPr>
            <w:r w:rsidRPr="00632DB6">
              <w:rPr>
                <w:rFonts w:ascii="Calibri" w:eastAsia="Times New Roman" w:hAnsi="Calibri" w:cs="Calibri"/>
                <w:color w:val="000000"/>
                <w:lang w:eastAsia="en-AU"/>
              </w:rPr>
              <w:t>Dec-2018</w:t>
            </w:r>
          </w:p>
        </w:tc>
        <w:tc>
          <w:tcPr>
            <w:tcW w:w="1252" w:type="dxa"/>
            <w:noWrap/>
            <w:vAlign w:val="bottom"/>
            <w:hideMark/>
          </w:tcPr>
          <w:p w14:paraId="40FFADB5"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0.9</w:t>
            </w:r>
          </w:p>
        </w:tc>
        <w:tc>
          <w:tcPr>
            <w:tcW w:w="3783" w:type="dxa"/>
            <w:noWrap/>
            <w:vAlign w:val="bottom"/>
            <w:hideMark/>
          </w:tcPr>
          <w:p w14:paraId="2BB7DDFC"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1.0</w:t>
            </w:r>
          </w:p>
        </w:tc>
        <w:tc>
          <w:tcPr>
            <w:tcW w:w="1238" w:type="dxa"/>
            <w:noWrap/>
            <w:vAlign w:val="bottom"/>
            <w:hideMark/>
          </w:tcPr>
          <w:p w14:paraId="47CBCF3C"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0.4</w:t>
            </w:r>
          </w:p>
        </w:tc>
        <w:tc>
          <w:tcPr>
            <w:tcW w:w="1170" w:type="dxa"/>
            <w:noWrap/>
            <w:vAlign w:val="bottom"/>
            <w:hideMark/>
          </w:tcPr>
          <w:p w14:paraId="70D9FD99"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2.3</w:t>
            </w:r>
          </w:p>
        </w:tc>
      </w:tr>
      <w:tr w:rsidR="00BE4196" w:rsidRPr="00632DB6" w14:paraId="5394A886" w14:textId="77777777" w:rsidTr="00BE4196">
        <w:trPr>
          <w:trHeight w:val="315"/>
        </w:trPr>
        <w:tc>
          <w:tcPr>
            <w:tcW w:w="1583" w:type="dxa"/>
            <w:shd w:val="clear" w:color="000000" w:fill="FFFFFF"/>
            <w:noWrap/>
            <w:vAlign w:val="bottom"/>
            <w:hideMark/>
          </w:tcPr>
          <w:p w14:paraId="15A244E2" w14:textId="77777777" w:rsidR="00677577" w:rsidRPr="00632DB6" w:rsidRDefault="00677577">
            <w:pPr>
              <w:spacing w:after="0" w:line="240" w:lineRule="auto"/>
              <w:rPr>
                <w:rFonts w:ascii="Calibri" w:eastAsia="Times New Roman" w:hAnsi="Calibri" w:cs="Calibri"/>
                <w:color w:val="000000"/>
                <w:lang w:eastAsia="en-AU"/>
              </w:rPr>
            </w:pPr>
            <w:r w:rsidRPr="00632DB6">
              <w:rPr>
                <w:rFonts w:ascii="Calibri" w:eastAsia="Times New Roman" w:hAnsi="Calibri" w:cs="Calibri"/>
                <w:color w:val="000000"/>
                <w:lang w:eastAsia="en-AU"/>
              </w:rPr>
              <w:t>Dec-2019</w:t>
            </w:r>
          </w:p>
        </w:tc>
        <w:tc>
          <w:tcPr>
            <w:tcW w:w="1252" w:type="dxa"/>
            <w:noWrap/>
            <w:vAlign w:val="bottom"/>
            <w:hideMark/>
          </w:tcPr>
          <w:p w14:paraId="0D394595"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0.9</w:t>
            </w:r>
          </w:p>
        </w:tc>
        <w:tc>
          <w:tcPr>
            <w:tcW w:w="3783" w:type="dxa"/>
            <w:noWrap/>
            <w:vAlign w:val="bottom"/>
            <w:hideMark/>
          </w:tcPr>
          <w:p w14:paraId="692F106F"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1.0</w:t>
            </w:r>
          </w:p>
        </w:tc>
        <w:tc>
          <w:tcPr>
            <w:tcW w:w="1238" w:type="dxa"/>
            <w:noWrap/>
            <w:vAlign w:val="bottom"/>
            <w:hideMark/>
          </w:tcPr>
          <w:p w14:paraId="4D967214"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0.4</w:t>
            </w:r>
          </w:p>
        </w:tc>
        <w:tc>
          <w:tcPr>
            <w:tcW w:w="1170" w:type="dxa"/>
            <w:noWrap/>
            <w:vAlign w:val="bottom"/>
            <w:hideMark/>
          </w:tcPr>
          <w:p w14:paraId="1FA3377E"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2.2</w:t>
            </w:r>
          </w:p>
        </w:tc>
      </w:tr>
      <w:tr w:rsidR="00BE4196" w:rsidRPr="00632DB6" w14:paraId="420C508A" w14:textId="77777777" w:rsidTr="00BE4196">
        <w:trPr>
          <w:trHeight w:val="315"/>
        </w:trPr>
        <w:tc>
          <w:tcPr>
            <w:tcW w:w="1583" w:type="dxa"/>
            <w:shd w:val="clear" w:color="000000" w:fill="FFFFFF"/>
            <w:noWrap/>
            <w:vAlign w:val="bottom"/>
            <w:hideMark/>
          </w:tcPr>
          <w:p w14:paraId="09120F06" w14:textId="77777777" w:rsidR="00677577" w:rsidRPr="00632DB6" w:rsidRDefault="00677577">
            <w:pPr>
              <w:spacing w:after="0" w:line="240" w:lineRule="auto"/>
              <w:rPr>
                <w:rFonts w:ascii="Calibri" w:eastAsia="Times New Roman" w:hAnsi="Calibri" w:cs="Calibri"/>
                <w:color w:val="000000"/>
                <w:lang w:eastAsia="en-AU"/>
              </w:rPr>
            </w:pPr>
            <w:r w:rsidRPr="00632DB6">
              <w:rPr>
                <w:rFonts w:ascii="Calibri" w:eastAsia="Times New Roman" w:hAnsi="Calibri" w:cs="Calibri"/>
                <w:color w:val="000000"/>
                <w:lang w:eastAsia="en-AU"/>
              </w:rPr>
              <w:t>Dec-2020</w:t>
            </w:r>
          </w:p>
        </w:tc>
        <w:tc>
          <w:tcPr>
            <w:tcW w:w="1252" w:type="dxa"/>
            <w:noWrap/>
            <w:vAlign w:val="bottom"/>
            <w:hideMark/>
          </w:tcPr>
          <w:p w14:paraId="14D713B4"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0.7</w:t>
            </w:r>
          </w:p>
        </w:tc>
        <w:tc>
          <w:tcPr>
            <w:tcW w:w="3783" w:type="dxa"/>
            <w:noWrap/>
            <w:vAlign w:val="bottom"/>
            <w:hideMark/>
          </w:tcPr>
          <w:p w14:paraId="1A1B8E8D"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0.5</w:t>
            </w:r>
          </w:p>
        </w:tc>
        <w:tc>
          <w:tcPr>
            <w:tcW w:w="1238" w:type="dxa"/>
            <w:noWrap/>
            <w:vAlign w:val="bottom"/>
            <w:hideMark/>
          </w:tcPr>
          <w:p w14:paraId="2E386681"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0.2</w:t>
            </w:r>
          </w:p>
        </w:tc>
        <w:tc>
          <w:tcPr>
            <w:tcW w:w="1170" w:type="dxa"/>
            <w:noWrap/>
            <w:vAlign w:val="bottom"/>
            <w:hideMark/>
          </w:tcPr>
          <w:p w14:paraId="44C12DF1"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1.4</w:t>
            </w:r>
          </w:p>
        </w:tc>
      </w:tr>
      <w:tr w:rsidR="00BE4196" w:rsidRPr="00632DB6" w14:paraId="0DC1F287" w14:textId="77777777" w:rsidTr="00BE4196">
        <w:trPr>
          <w:trHeight w:val="315"/>
        </w:trPr>
        <w:tc>
          <w:tcPr>
            <w:tcW w:w="1583" w:type="dxa"/>
            <w:shd w:val="clear" w:color="000000" w:fill="FFFFFF"/>
            <w:noWrap/>
            <w:vAlign w:val="bottom"/>
            <w:hideMark/>
          </w:tcPr>
          <w:p w14:paraId="6D7A9DBD" w14:textId="77777777" w:rsidR="00677577" w:rsidRPr="00632DB6" w:rsidRDefault="00677577">
            <w:pPr>
              <w:spacing w:after="0" w:line="240" w:lineRule="auto"/>
              <w:rPr>
                <w:rFonts w:ascii="Calibri" w:eastAsia="Times New Roman" w:hAnsi="Calibri" w:cs="Calibri"/>
                <w:color w:val="000000"/>
                <w:lang w:eastAsia="en-AU"/>
              </w:rPr>
            </w:pPr>
            <w:r w:rsidRPr="00632DB6">
              <w:rPr>
                <w:rFonts w:ascii="Calibri" w:eastAsia="Times New Roman" w:hAnsi="Calibri" w:cs="Calibri"/>
                <w:color w:val="000000"/>
                <w:lang w:eastAsia="en-AU"/>
              </w:rPr>
              <w:t>Dec-2021</w:t>
            </w:r>
          </w:p>
        </w:tc>
        <w:tc>
          <w:tcPr>
            <w:tcW w:w="1252" w:type="dxa"/>
            <w:noWrap/>
            <w:vAlign w:val="bottom"/>
            <w:hideMark/>
          </w:tcPr>
          <w:p w14:paraId="1402532C"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0.8</w:t>
            </w:r>
          </w:p>
        </w:tc>
        <w:tc>
          <w:tcPr>
            <w:tcW w:w="3783" w:type="dxa"/>
            <w:noWrap/>
            <w:vAlign w:val="bottom"/>
            <w:hideMark/>
          </w:tcPr>
          <w:p w14:paraId="383D8E09"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1.1</w:t>
            </w:r>
          </w:p>
        </w:tc>
        <w:tc>
          <w:tcPr>
            <w:tcW w:w="1238" w:type="dxa"/>
            <w:noWrap/>
            <w:vAlign w:val="bottom"/>
            <w:hideMark/>
          </w:tcPr>
          <w:p w14:paraId="2C7EBAF3"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0.4</w:t>
            </w:r>
          </w:p>
        </w:tc>
        <w:tc>
          <w:tcPr>
            <w:tcW w:w="1170" w:type="dxa"/>
            <w:noWrap/>
            <w:vAlign w:val="bottom"/>
            <w:hideMark/>
          </w:tcPr>
          <w:p w14:paraId="14D6C14A"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2.4</w:t>
            </w:r>
          </w:p>
        </w:tc>
      </w:tr>
      <w:tr w:rsidR="00BE4196" w:rsidRPr="00632DB6" w14:paraId="359D3752" w14:textId="77777777" w:rsidTr="00BE4196">
        <w:trPr>
          <w:trHeight w:val="315"/>
        </w:trPr>
        <w:tc>
          <w:tcPr>
            <w:tcW w:w="1583" w:type="dxa"/>
            <w:shd w:val="clear" w:color="000000" w:fill="FFFFFF"/>
            <w:noWrap/>
            <w:vAlign w:val="bottom"/>
            <w:hideMark/>
          </w:tcPr>
          <w:p w14:paraId="6481D2D2" w14:textId="77777777" w:rsidR="00677577" w:rsidRPr="00632DB6" w:rsidRDefault="00677577">
            <w:pPr>
              <w:spacing w:after="0" w:line="240" w:lineRule="auto"/>
              <w:rPr>
                <w:rFonts w:ascii="Calibri" w:eastAsia="Times New Roman" w:hAnsi="Calibri" w:cs="Calibri"/>
                <w:color w:val="000000"/>
                <w:lang w:eastAsia="en-AU"/>
              </w:rPr>
            </w:pPr>
            <w:r w:rsidRPr="00632DB6">
              <w:rPr>
                <w:rFonts w:ascii="Calibri" w:eastAsia="Times New Roman" w:hAnsi="Calibri" w:cs="Calibri"/>
                <w:color w:val="000000"/>
                <w:lang w:eastAsia="en-AU"/>
              </w:rPr>
              <w:t>Dec-2022</w:t>
            </w:r>
          </w:p>
        </w:tc>
        <w:tc>
          <w:tcPr>
            <w:tcW w:w="1252" w:type="dxa"/>
            <w:noWrap/>
            <w:vAlign w:val="bottom"/>
            <w:hideMark/>
          </w:tcPr>
          <w:p w14:paraId="6381C1D1"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1.0</w:t>
            </w:r>
          </w:p>
        </w:tc>
        <w:tc>
          <w:tcPr>
            <w:tcW w:w="3783" w:type="dxa"/>
            <w:noWrap/>
            <w:vAlign w:val="bottom"/>
            <w:hideMark/>
          </w:tcPr>
          <w:p w14:paraId="03F54E9D"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1.8</w:t>
            </w:r>
          </w:p>
        </w:tc>
        <w:tc>
          <w:tcPr>
            <w:tcW w:w="1238" w:type="dxa"/>
            <w:noWrap/>
            <w:vAlign w:val="bottom"/>
            <w:hideMark/>
          </w:tcPr>
          <w:p w14:paraId="74D58EC9"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0.6</w:t>
            </w:r>
          </w:p>
        </w:tc>
        <w:tc>
          <w:tcPr>
            <w:tcW w:w="1170" w:type="dxa"/>
            <w:noWrap/>
            <w:vAlign w:val="bottom"/>
            <w:hideMark/>
          </w:tcPr>
          <w:p w14:paraId="3FD3A63D"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3.4</w:t>
            </w:r>
          </w:p>
        </w:tc>
      </w:tr>
      <w:tr w:rsidR="00BE4196" w:rsidRPr="00632DB6" w14:paraId="02DC99D2" w14:textId="77777777" w:rsidTr="00BE4196">
        <w:trPr>
          <w:trHeight w:val="315"/>
        </w:trPr>
        <w:tc>
          <w:tcPr>
            <w:tcW w:w="1583" w:type="dxa"/>
            <w:shd w:val="clear" w:color="000000" w:fill="FFFFFF"/>
            <w:noWrap/>
            <w:vAlign w:val="bottom"/>
            <w:hideMark/>
          </w:tcPr>
          <w:p w14:paraId="6B60115D" w14:textId="77777777" w:rsidR="00677577" w:rsidRPr="00632DB6" w:rsidRDefault="00677577">
            <w:pPr>
              <w:spacing w:after="0" w:line="240" w:lineRule="auto"/>
              <w:rPr>
                <w:rFonts w:ascii="Calibri" w:eastAsia="Times New Roman" w:hAnsi="Calibri" w:cs="Calibri"/>
                <w:color w:val="000000"/>
                <w:lang w:eastAsia="en-AU"/>
              </w:rPr>
            </w:pPr>
            <w:r w:rsidRPr="00632DB6">
              <w:rPr>
                <w:rFonts w:ascii="Calibri" w:eastAsia="Times New Roman" w:hAnsi="Calibri" w:cs="Calibri"/>
                <w:color w:val="000000"/>
                <w:lang w:eastAsia="en-AU"/>
              </w:rPr>
              <w:t>Dec-2023</w:t>
            </w:r>
          </w:p>
        </w:tc>
        <w:tc>
          <w:tcPr>
            <w:tcW w:w="1252" w:type="dxa"/>
            <w:noWrap/>
            <w:vAlign w:val="bottom"/>
            <w:hideMark/>
          </w:tcPr>
          <w:p w14:paraId="5F870F0D"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1.7</w:t>
            </w:r>
          </w:p>
        </w:tc>
        <w:tc>
          <w:tcPr>
            <w:tcW w:w="3783" w:type="dxa"/>
            <w:noWrap/>
            <w:vAlign w:val="bottom"/>
            <w:hideMark/>
          </w:tcPr>
          <w:p w14:paraId="5B593FB6"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1.9</w:t>
            </w:r>
          </w:p>
        </w:tc>
        <w:tc>
          <w:tcPr>
            <w:tcW w:w="1238" w:type="dxa"/>
            <w:noWrap/>
            <w:vAlign w:val="bottom"/>
            <w:hideMark/>
          </w:tcPr>
          <w:p w14:paraId="09EE08BB"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0.8</w:t>
            </w:r>
          </w:p>
        </w:tc>
        <w:tc>
          <w:tcPr>
            <w:tcW w:w="1170" w:type="dxa"/>
            <w:noWrap/>
            <w:vAlign w:val="bottom"/>
            <w:hideMark/>
          </w:tcPr>
          <w:p w14:paraId="0BD198B9"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4.3</w:t>
            </w:r>
          </w:p>
        </w:tc>
      </w:tr>
      <w:tr w:rsidR="00BE4196" w:rsidRPr="00632DB6" w14:paraId="79DBA52F" w14:textId="77777777" w:rsidTr="00BE4196">
        <w:trPr>
          <w:trHeight w:val="315"/>
        </w:trPr>
        <w:tc>
          <w:tcPr>
            <w:tcW w:w="1583" w:type="dxa"/>
            <w:shd w:val="clear" w:color="000000" w:fill="FFFFFF"/>
            <w:noWrap/>
            <w:vAlign w:val="bottom"/>
            <w:hideMark/>
          </w:tcPr>
          <w:p w14:paraId="6405D1FF" w14:textId="77777777" w:rsidR="00677577" w:rsidRPr="00632DB6" w:rsidRDefault="00677577">
            <w:pPr>
              <w:spacing w:after="0" w:line="240" w:lineRule="auto"/>
              <w:rPr>
                <w:rFonts w:ascii="Calibri" w:eastAsia="Times New Roman" w:hAnsi="Calibri" w:cs="Calibri"/>
                <w:color w:val="000000"/>
                <w:lang w:eastAsia="en-AU"/>
              </w:rPr>
            </w:pPr>
            <w:r w:rsidRPr="00632DB6">
              <w:rPr>
                <w:rFonts w:ascii="Calibri" w:eastAsia="Times New Roman" w:hAnsi="Calibri" w:cs="Calibri"/>
                <w:color w:val="000000"/>
                <w:lang w:eastAsia="en-AU"/>
              </w:rPr>
              <w:t>Dec-2024</w:t>
            </w:r>
          </w:p>
        </w:tc>
        <w:tc>
          <w:tcPr>
            <w:tcW w:w="1252" w:type="dxa"/>
            <w:noWrap/>
            <w:vAlign w:val="bottom"/>
            <w:hideMark/>
          </w:tcPr>
          <w:p w14:paraId="4E561322"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1.2</w:t>
            </w:r>
          </w:p>
        </w:tc>
        <w:tc>
          <w:tcPr>
            <w:tcW w:w="3783" w:type="dxa"/>
            <w:noWrap/>
            <w:vAlign w:val="bottom"/>
            <w:hideMark/>
          </w:tcPr>
          <w:p w14:paraId="5728D49E"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1.6</w:t>
            </w:r>
          </w:p>
        </w:tc>
        <w:tc>
          <w:tcPr>
            <w:tcW w:w="1238" w:type="dxa"/>
            <w:noWrap/>
            <w:vAlign w:val="bottom"/>
            <w:hideMark/>
          </w:tcPr>
          <w:p w14:paraId="5471A65C"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0.4</w:t>
            </w:r>
          </w:p>
        </w:tc>
        <w:tc>
          <w:tcPr>
            <w:tcW w:w="1170" w:type="dxa"/>
            <w:noWrap/>
            <w:vAlign w:val="bottom"/>
            <w:hideMark/>
          </w:tcPr>
          <w:p w14:paraId="27080605" w14:textId="77777777" w:rsidR="00677577" w:rsidRPr="00632DB6" w:rsidRDefault="00677577" w:rsidP="004C0E04">
            <w:pPr>
              <w:spacing w:after="0" w:line="240" w:lineRule="auto"/>
              <w:jc w:val="center"/>
              <w:rPr>
                <w:rFonts w:ascii="Arial" w:eastAsia="Times New Roman" w:hAnsi="Arial" w:cs="Arial"/>
                <w:sz w:val="20"/>
                <w:szCs w:val="20"/>
                <w:lang w:eastAsia="en-AU"/>
              </w:rPr>
            </w:pPr>
            <w:r w:rsidRPr="00632DB6">
              <w:rPr>
                <w:rFonts w:ascii="Arial" w:eastAsia="Times New Roman" w:hAnsi="Arial" w:cs="Arial"/>
                <w:sz w:val="20"/>
                <w:szCs w:val="20"/>
                <w:lang w:eastAsia="en-AU"/>
              </w:rPr>
              <w:t>3.2</w:t>
            </w:r>
          </w:p>
        </w:tc>
      </w:tr>
    </w:tbl>
    <w:p w14:paraId="7A5D0531" w14:textId="6B0348D1" w:rsidR="00677577" w:rsidRPr="00167CB8" w:rsidRDefault="00677577" w:rsidP="00677577">
      <w:pPr>
        <w:pStyle w:val="Source"/>
      </w:pPr>
      <w:r w:rsidRPr="00167CB8">
        <w:rPr>
          <w:b/>
          <w:bCs/>
        </w:rPr>
        <w:t>Source:</w:t>
      </w:r>
      <w:r w:rsidRPr="00167CB8">
        <w:t xml:space="preserve"> ABS Cat No 6345.0,</w:t>
      </w:r>
      <w:r>
        <w:t xml:space="preserve"> </w:t>
      </w:r>
      <w:r w:rsidRPr="00167CB8">
        <w:t xml:space="preserve">Wage Price Index, Australia, </w:t>
      </w:r>
      <w:r>
        <w:t>unpublished data</w:t>
      </w:r>
      <w:r w:rsidR="00702D44">
        <w:t>.</w:t>
      </w:r>
    </w:p>
    <w:p w14:paraId="6DD1046C" w14:textId="6BEA9EBE" w:rsidR="00677577" w:rsidRPr="0073609D" w:rsidRDefault="00702D44" w:rsidP="0073609D">
      <w:pPr>
        <w:spacing w:after="160"/>
        <w:rPr>
          <w:color w:val="404246" w:themeColor="text2"/>
          <w:szCs w:val="18"/>
        </w:rPr>
      </w:pPr>
      <w:r>
        <w:rPr>
          <w:bCs/>
          <w:iCs/>
          <w:color w:val="404246" w:themeColor="text2"/>
          <w:szCs w:val="18"/>
        </w:rPr>
        <w:br w:type="page"/>
      </w:r>
    </w:p>
    <w:p w14:paraId="06A39CC6" w14:textId="2D53EB0E" w:rsidR="00677577" w:rsidRDefault="00365C93" w:rsidP="007F380D">
      <w:pPr>
        <w:pStyle w:val="Caption"/>
      </w:pPr>
      <w:bookmarkStart w:id="894" w:name="_Toc194251536"/>
      <w:r>
        <w:t xml:space="preserve">Figure </w:t>
      </w:r>
      <w:r>
        <w:fldChar w:fldCharType="begin"/>
      </w:r>
      <w:r>
        <w:instrText xml:space="preserve"> SEQ Figure \* ARABIC </w:instrText>
      </w:r>
      <w:r>
        <w:fldChar w:fldCharType="separate"/>
      </w:r>
      <w:r w:rsidR="00DE5F5E">
        <w:rPr>
          <w:noProof/>
        </w:rPr>
        <w:t>38</w:t>
      </w:r>
      <w:r>
        <w:fldChar w:fldCharType="end"/>
      </w:r>
      <w:r>
        <w:t xml:space="preserve">: </w:t>
      </w:r>
      <w:r w:rsidR="00677577">
        <w:t>Contribution of pay setting method to annual growth in nominal wages, December 2011 to December 2024</w:t>
      </w:r>
      <w:bookmarkEnd w:id="894"/>
    </w:p>
    <w:p w14:paraId="4DC1FD05" w14:textId="3ABFE827" w:rsidR="00677577" w:rsidRDefault="00677577" w:rsidP="00677577">
      <w:pPr>
        <w:rPr>
          <w:lang w:val="en-US"/>
        </w:rPr>
      </w:pPr>
      <w:r w:rsidRPr="00140C89">
        <w:rPr>
          <w:noProof/>
        </w:rPr>
        <w:drawing>
          <wp:inline distT="0" distB="0" distL="0" distR="0" wp14:anchorId="68BB2E2B" wp14:editId="39696DD2">
            <wp:extent cx="5731510" cy="3748405"/>
            <wp:effectExtent l="0" t="0" r="2540" b="4445"/>
            <wp:docPr id="1165649870" name="Picture 1" descr="A bar chart showing contribution of pay setting method to annual growth in nominal wages.&#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649870" name="Picture 1" descr="A bar chart showing contribution of pay setting method to annual growth in nominal wages.&#10;&#10;See alt-text following the source."/>
                    <pic:cNvPicPr/>
                  </pic:nvPicPr>
                  <pic:blipFill>
                    <a:blip r:embed="rId21"/>
                    <a:stretch>
                      <a:fillRect/>
                    </a:stretch>
                  </pic:blipFill>
                  <pic:spPr>
                    <a:xfrm>
                      <a:off x="0" y="0"/>
                      <a:ext cx="5731510" cy="3748405"/>
                    </a:xfrm>
                    <a:prstGeom prst="rect">
                      <a:avLst/>
                    </a:prstGeom>
                  </pic:spPr>
                </pic:pic>
              </a:graphicData>
            </a:graphic>
          </wp:inline>
        </w:drawing>
      </w:r>
    </w:p>
    <w:p w14:paraId="7E4F248A" w14:textId="23619698" w:rsidR="004C0E04" w:rsidRPr="00167CB8" w:rsidRDefault="004C0E04" w:rsidP="004C0E04">
      <w:pPr>
        <w:pStyle w:val="Source"/>
      </w:pPr>
      <w:r>
        <w:rPr>
          <w:b/>
          <w:bCs/>
        </w:rPr>
        <w:t xml:space="preserve">Note: </w:t>
      </w:r>
      <w:r>
        <w:t>The red vertical line shows when the Secure Job, Better Pay amendments commenced.</w:t>
      </w:r>
    </w:p>
    <w:p w14:paraId="09BA09AB" w14:textId="78EDF2FA" w:rsidR="00365C93" w:rsidRPr="00167CB8" w:rsidRDefault="00677577" w:rsidP="00677577">
      <w:pPr>
        <w:pStyle w:val="Source"/>
      </w:pPr>
      <w:r w:rsidRPr="00167CB8">
        <w:rPr>
          <w:b/>
          <w:bCs/>
        </w:rPr>
        <w:t>Source:</w:t>
      </w:r>
      <w:r w:rsidRPr="00167CB8">
        <w:t xml:space="preserve"> </w:t>
      </w:r>
      <w:r w:rsidR="00F113F9">
        <w:t xml:space="preserve">Table 45 above. </w:t>
      </w:r>
    </w:p>
    <w:p w14:paraId="7B63DE85" w14:textId="2E8AEB18" w:rsidR="00677577" w:rsidRPr="00391943" w:rsidRDefault="00365C93" w:rsidP="00677577">
      <w:pPr>
        <w:pStyle w:val="Source"/>
      </w:pPr>
      <w:r w:rsidRPr="002407F8">
        <w:rPr>
          <w:b/>
        </w:rPr>
        <w:t xml:space="preserve">Alt-text: </w:t>
      </w:r>
      <w:r w:rsidR="004E2396" w:rsidRPr="00391943">
        <w:t xml:space="preserve">A </w:t>
      </w:r>
      <w:r w:rsidR="00506C4A">
        <w:rPr>
          <w:bCs/>
        </w:rPr>
        <w:t xml:space="preserve">bar chart </w:t>
      </w:r>
      <w:r w:rsidR="00D45A17" w:rsidRPr="00391943">
        <w:t>showing</w:t>
      </w:r>
      <w:r w:rsidR="00D45A17">
        <w:rPr>
          <w:bCs/>
        </w:rPr>
        <w:t xml:space="preserve"> </w:t>
      </w:r>
      <w:r w:rsidR="00E473F0">
        <w:rPr>
          <w:bCs/>
        </w:rPr>
        <w:t xml:space="preserve">the </w:t>
      </w:r>
      <w:r w:rsidR="00CE3EC0">
        <w:rPr>
          <w:bCs/>
        </w:rPr>
        <w:t>contribution of pay setting method</w:t>
      </w:r>
      <w:r w:rsidR="00811C61">
        <w:rPr>
          <w:bCs/>
        </w:rPr>
        <w:t>s</w:t>
      </w:r>
      <w:r w:rsidR="0009293B">
        <w:rPr>
          <w:bCs/>
        </w:rPr>
        <w:t xml:space="preserve"> </w:t>
      </w:r>
      <w:r w:rsidR="00CE3EC0">
        <w:rPr>
          <w:bCs/>
        </w:rPr>
        <w:t xml:space="preserve">to annual </w:t>
      </w:r>
      <w:r w:rsidR="00B91697">
        <w:rPr>
          <w:bCs/>
        </w:rPr>
        <w:t>wage growth</w:t>
      </w:r>
      <w:r w:rsidR="00CE3EC0">
        <w:rPr>
          <w:bCs/>
        </w:rPr>
        <w:t xml:space="preserve"> in nominal wages</w:t>
      </w:r>
      <w:r w:rsidR="00F84510">
        <w:rPr>
          <w:bCs/>
        </w:rPr>
        <w:t xml:space="preserve"> by year</w:t>
      </w:r>
      <w:r w:rsidR="00C6005F">
        <w:rPr>
          <w:bCs/>
        </w:rPr>
        <w:t xml:space="preserve"> from December 2011 to December 2024.</w:t>
      </w:r>
      <w:r w:rsidR="00CE3EC0">
        <w:rPr>
          <w:bCs/>
        </w:rPr>
        <w:t xml:space="preserve"> </w:t>
      </w:r>
      <w:r w:rsidR="005E1388">
        <w:rPr>
          <w:bCs/>
        </w:rPr>
        <w:t xml:space="preserve">The bars </w:t>
      </w:r>
      <w:r w:rsidR="00FD71AF">
        <w:rPr>
          <w:bCs/>
        </w:rPr>
        <w:t xml:space="preserve">show </w:t>
      </w:r>
      <w:r w:rsidR="006304AE">
        <w:rPr>
          <w:bCs/>
        </w:rPr>
        <w:t xml:space="preserve">the </w:t>
      </w:r>
      <w:r w:rsidR="005E62F2">
        <w:rPr>
          <w:bCs/>
        </w:rPr>
        <w:t xml:space="preserve">percentage point </w:t>
      </w:r>
      <w:r w:rsidR="006304AE">
        <w:rPr>
          <w:bCs/>
        </w:rPr>
        <w:t>contribution</w:t>
      </w:r>
      <w:r w:rsidR="005E62F2">
        <w:rPr>
          <w:bCs/>
        </w:rPr>
        <w:t xml:space="preserve"> (LHS axis)</w:t>
      </w:r>
      <w:r w:rsidR="006304AE">
        <w:rPr>
          <w:bCs/>
        </w:rPr>
        <w:t xml:space="preserve"> of </w:t>
      </w:r>
      <w:r w:rsidR="005E1388">
        <w:rPr>
          <w:bCs/>
        </w:rPr>
        <w:t>enterprise agreements,</w:t>
      </w:r>
      <w:r w:rsidR="00F84510">
        <w:rPr>
          <w:bCs/>
        </w:rPr>
        <w:t xml:space="preserve"> individual arrangements</w:t>
      </w:r>
      <w:r w:rsidR="00806E12">
        <w:rPr>
          <w:bCs/>
        </w:rPr>
        <w:t xml:space="preserve"> </w:t>
      </w:r>
      <w:r w:rsidR="00372FE2">
        <w:rPr>
          <w:bCs/>
        </w:rPr>
        <w:t xml:space="preserve">and </w:t>
      </w:r>
      <w:r w:rsidR="008A47F4">
        <w:rPr>
          <w:bCs/>
        </w:rPr>
        <w:t>award</w:t>
      </w:r>
      <w:r w:rsidR="00785608">
        <w:rPr>
          <w:bCs/>
        </w:rPr>
        <w:t>s</w:t>
      </w:r>
      <w:r w:rsidR="008A47F4">
        <w:rPr>
          <w:bCs/>
        </w:rPr>
        <w:t xml:space="preserve"> </w:t>
      </w:r>
      <w:r w:rsidR="00751AD1">
        <w:rPr>
          <w:bCs/>
        </w:rPr>
        <w:t>by</w:t>
      </w:r>
      <w:r w:rsidR="00E57118">
        <w:rPr>
          <w:bCs/>
        </w:rPr>
        <w:t xml:space="preserve"> year</w:t>
      </w:r>
      <w:r w:rsidR="0006080C">
        <w:rPr>
          <w:bCs/>
        </w:rPr>
        <w:t xml:space="preserve">. </w:t>
      </w:r>
    </w:p>
    <w:p w14:paraId="415C8DB3" w14:textId="77777777" w:rsidR="00677577" w:rsidRDefault="00677577" w:rsidP="00677577">
      <w:r>
        <w:br w:type="page"/>
      </w:r>
    </w:p>
    <w:p w14:paraId="7A179913" w14:textId="1C0486D0" w:rsidR="0011475D" w:rsidRDefault="00677577" w:rsidP="00677577">
      <w:r w:rsidRPr="002407F8">
        <w:t xml:space="preserve">Table </w:t>
      </w:r>
      <w:r w:rsidR="00BC0114" w:rsidRPr="002407F8">
        <w:t>4</w:t>
      </w:r>
      <w:r w:rsidR="00BC0114">
        <w:t>6</w:t>
      </w:r>
      <w:r w:rsidR="00BC0114" w:rsidRPr="00A32FB1">
        <w:t xml:space="preserve"> </w:t>
      </w:r>
      <w:r w:rsidRPr="00A32FB1">
        <w:t xml:space="preserve">replicates </w:t>
      </w:r>
      <w:r w:rsidRPr="002407F8">
        <w:t xml:space="preserve">Table </w:t>
      </w:r>
      <w:r w:rsidR="00BC0114" w:rsidRPr="002407F8">
        <w:t>4</w:t>
      </w:r>
      <w:r w:rsidR="00BC0114">
        <w:t>5</w:t>
      </w:r>
      <w:r w:rsidRPr="00A32FB1">
        <w:t>, but this time focusing on the per cent contribution each</w:t>
      </w:r>
      <w:r>
        <w:t xml:space="preserve"> component makes to total wage growth.</w:t>
      </w:r>
      <w:r w:rsidDel="00702D44">
        <w:t xml:space="preserve"> </w:t>
      </w:r>
      <w:r>
        <w:t>In the year to December 2024, of the total 3.2</w:t>
      </w:r>
      <w:r w:rsidR="00702D44">
        <w:t> </w:t>
      </w:r>
      <w:r>
        <w:t>percentage point increase in nominal wages, 13% was from award increases, 37% from increases in enterprise agreements and 50% from individual arrangements.</w:t>
      </w:r>
    </w:p>
    <w:p w14:paraId="365EB640" w14:textId="7415350F" w:rsidR="00677577" w:rsidRPr="006E7338" w:rsidRDefault="00365C93" w:rsidP="007F380D">
      <w:pPr>
        <w:pStyle w:val="Caption"/>
      </w:pPr>
      <w:bookmarkStart w:id="895" w:name="_Toc194251470"/>
      <w:r>
        <w:t xml:space="preserve">Table </w:t>
      </w:r>
      <w:r>
        <w:fldChar w:fldCharType="begin"/>
      </w:r>
      <w:r>
        <w:instrText xml:space="preserve"> SEQ Table \* ARABIC </w:instrText>
      </w:r>
      <w:r>
        <w:fldChar w:fldCharType="separate"/>
      </w:r>
      <w:r w:rsidR="00DE5F5E">
        <w:rPr>
          <w:noProof/>
        </w:rPr>
        <w:t>46</w:t>
      </w:r>
      <w:r>
        <w:fldChar w:fldCharType="end"/>
      </w:r>
      <w:r>
        <w:t xml:space="preserve">: </w:t>
      </w:r>
      <w:r w:rsidR="00677577" w:rsidRPr="006E7338">
        <w:t>Contribution (%) of different pay setting arrangements to total wage growth in each year, 2011 to 2024</w:t>
      </w:r>
      <w:bookmarkEnd w:id="895"/>
    </w:p>
    <w:tbl>
      <w:tblPr>
        <w:tblW w:w="8658" w:type="dxa"/>
        <w:tblBorders>
          <w:top w:val="single" w:sz="4" w:space="0" w:color="auto"/>
          <w:bottom w:val="single" w:sz="4" w:space="0" w:color="auto"/>
        </w:tblBorders>
        <w:tblLook w:val="04A0" w:firstRow="1" w:lastRow="0" w:firstColumn="1" w:lastColumn="0" w:noHBand="0" w:noVBand="1"/>
      </w:tblPr>
      <w:tblGrid>
        <w:gridCol w:w="1363"/>
        <w:gridCol w:w="1971"/>
        <w:gridCol w:w="2280"/>
        <w:gridCol w:w="1681"/>
        <w:gridCol w:w="1363"/>
      </w:tblGrid>
      <w:tr w:rsidR="00677577" w:rsidRPr="00230A37" w14:paraId="3ACBB478" w14:textId="77777777">
        <w:trPr>
          <w:trHeight w:val="279"/>
        </w:trPr>
        <w:tc>
          <w:tcPr>
            <w:tcW w:w="1363" w:type="dxa"/>
            <w:tcBorders>
              <w:top w:val="single" w:sz="4" w:space="0" w:color="auto"/>
              <w:bottom w:val="single" w:sz="4" w:space="0" w:color="auto"/>
            </w:tcBorders>
            <w:shd w:val="clear" w:color="000000" w:fill="FFFFFF"/>
            <w:noWrap/>
            <w:vAlign w:val="bottom"/>
            <w:hideMark/>
          </w:tcPr>
          <w:p w14:paraId="6A8287BE" w14:textId="77777777" w:rsidR="00677577" w:rsidRPr="00230A37" w:rsidRDefault="00677577">
            <w:pPr>
              <w:spacing w:after="0" w:line="240" w:lineRule="auto"/>
              <w:rPr>
                <w:rFonts w:ascii="Calibri" w:eastAsia="Times New Roman" w:hAnsi="Calibri" w:cs="Calibri"/>
                <w:color w:val="000000"/>
                <w:lang w:eastAsia="en-AU"/>
              </w:rPr>
            </w:pPr>
          </w:p>
        </w:tc>
        <w:tc>
          <w:tcPr>
            <w:tcW w:w="1971" w:type="dxa"/>
            <w:tcBorders>
              <w:top w:val="single" w:sz="4" w:space="0" w:color="auto"/>
              <w:bottom w:val="single" w:sz="4" w:space="0" w:color="auto"/>
            </w:tcBorders>
            <w:vAlign w:val="bottom"/>
            <w:hideMark/>
          </w:tcPr>
          <w:p w14:paraId="2C9E83B4" w14:textId="0740F702" w:rsidR="00677577" w:rsidRPr="00230A37" w:rsidRDefault="00677577" w:rsidP="00E41AE7">
            <w:pPr>
              <w:spacing w:after="0" w:line="240" w:lineRule="auto"/>
              <w:jc w:val="right"/>
              <w:rPr>
                <w:rFonts w:ascii="Calibri" w:eastAsia="Times New Roman" w:hAnsi="Calibri" w:cs="Calibri"/>
                <w:b/>
                <w:bCs/>
                <w:lang w:eastAsia="en-AU"/>
              </w:rPr>
            </w:pPr>
            <w:r w:rsidRPr="00230A37">
              <w:rPr>
                <w:rFonts w:ascii="Calibri" w:eastAsia="Times New Roman" w:hAnsi="Calibri" w:cs="Calibri"/>
                <w:b/>
                <w:bCs/>
                <w:lang w:eastAsia="en-AU"/>
              </w:rPr>
              <w:t xml:space="preserve">Enterprise </w:t>
            </w:r>
            <w:r w:rsidR="00702D44">
              <w:rPr>
                <w:rFonts w:ascii="Calibri" w:eastAsia="Times New Roman" w:hAnsi="Calibri" w:cs="Calibri"/>
                <w:b/>
                <w:bCs/>
                <w:lang w:eastAsia="en-AU"/>
              </w:rPr>
              <w:t>a</w:t>
            </w:r>
            <w:r w:rsidRPr="00230A37">
              <w:rPr>
                <w:rFonts w:ascii="Calibri" w:eastAsia="Times New Roman" w:hAnsi="Calibri" w:cs="Calibri"/>
                <w:b/>
                <w:bCs/>
                <w:lang w:eastAsia="en-AU"/>
              </w:rPr>
              <w:t>greement</w:t>
            </w:r>
          </w:p>
        </w:tc>
        <w:tc>
          <w:tcPr>
            <w:tcW w:w="2280" w:type="dxa"/>
            <w:tcBorders>
              <w:top w:val="single" w:sz="4" w:space="0" w:color="auto"/>
              <w:bottom w:val="single" w:sz="4" w:space="0" w:color="auto"/>
            </w:tcBorders>
            <w:vAlign w:val="bottom"/>
            <w:hideMark/>
          </w:tcPr>
          <w:p w14:paraId="582F57A5" w14:textId="5973734F" w:rsidR="00677577" w:rsidRPr="00230A37" w:rsidRDefault="00677577" w:rsidP="00E41AE7">
            <w:pPr>
              <w:spacing w:after="0" w:line="240" w:lineRule="auto"/>
              <w:jc w:val="right"/>
              <w:rPr>
                <w:rFonts w:ascii="Calibri" w:eastAsia="Times New Roman" w:hAnsi="Calibri" w:cs="Calibri"/>
                <w:b/>
                <w:bCs/>
                <w:lang w:eastAsia="en-AU"/>
              </w:rPr>
            </w:pPr>
            <w:r w:rsidRPr="00230A37">
              <w:rPr>
                <w:rFonts w:ascii="Calibri" w:eastAsia="Times New Roman" w:hAnsi="Calibri" w:cs="Calibri"/>
                <w:b/>
                <w:bCs/>
                <w:lang w:eastAsia="en-AU"/>
              </w:rPr>
              <w:t xml:space="preserve">Individual </w:t>
            </w:r>
            <w:r w:rsidR="00702D44">
              <w:rPr>
                <w:rFonts w:ascii="Calibri" w:eastAsia="Times New Roman" w:hAnsi="Calibri" w:cs="Calibri"/>
                <w:b/>
                <w:bCs/>
                <w:lang w:eastAsia="en-AU"/>
              </w:rPr>
              <w:t>a</w:t>
            </w:r>
            <w:r w:rsidRPr="00230A37">
              <w:rPr>
                <w:rFonts w:ascii="Calibri" w:eastAsia="Times New Roman" w:hAnsi="Calibri" w:cs="Calibri"/>
                <w:b/>
                <w:bCs/>
                <w:lang w:eastAsia="en-AU"/>
              </w:rPr>
              <w:t>rrangement</w:t>
            </w:r>
          </w:p>
        </w:tc>
        <w:tc>
          <w:tcPr>
            <w:tcW w:w="1681" w:type="dxa"/>
            <w:tcBorders>
              <w:top w:val="single" w:sz="4" w:space="0" w:color="auto"/>
              <w:bottom w:val="single" w:sz="4" w:space="0" w:color="auto"/>
            </w:tcBorders>
            <w:vAlign w:val="bottom"/>
            <w:hideMark/>
          </w:tcPr>
          <w:p w14:paraId="2B424B2E" w14:textId="77777777" w:rsidR="00677577" w:rsidRPr="00230A37" w:rsidRDefault="00677577" w:rsidP="00E41AE7">
            <w:pPr>
              <w:spacing w:after="0" w:line="240" w:lineRule="auto"/>
              <w:jc w:val="right"/>
              <w:rPr>
                <w:rFonts w:ascii="Calibri" w:eastAsia="Times New Roman" w:hAnsi="Calibri" w:cs="Calibri"/>
                <w:b/>
                <w:bCs/>
                <w:lang w:eastAsia="en-AU"/>
              </w:rPr>
            </w:pPr>
            <w:r w:rsidRPr="00230A37">
              <w:rPr>
                <w:rFonts w:ascii="Calibri" w:eastAsia="Times New Roman" w:hAnsi="Calibri" w:cs="Calibri"/>
                <w:b/>
                <w:bCs/>
                <w:lang w:eastAsia="en-AU"/>
              </w:rPr>
              <w:t>Award</w:t>
            </w:r>
          </w:p>
        </w:tc>
        <w:tc>
          <w:tcPr>
            <w:tcW w:w="1363" w:type="dxa"/>
            <w:tcBorders>
              <w:top w:val="single" w:sz="4" w:space="0" w:color="auto"/>
              <w:bottom w:val="single" w:sz="4" w:space="0" w:color="auto"/>
            </w:tcBorders>
            <w:noWrap/>
            <w:vAlign w:val="bottom"/>
            <w:hideMark/>
          </w:tcPr>
          <w:p w14:paraId="294AEF51" w14:textId="77777777" w:rsidR="00677577" w:rsidRPr="00230A37" w:rsidRDefault="00677577" w:rsidP="00E41AE7">
            <w:pPr>
              <w:spacing w:after="0" w:line="240" w:lineRule="auto"/>
              <w:jc w:val="right"/>
              <w:rPr>
                <w:rFonts w:ascii="Arial" w:eastAsia="Times New Roman" w:hAnsi="Arial" w:cs="Arial"/>
                <w:b/>
                <w:bCs/>
                <w:sz w:val="20"/>
                <w:szCs w:val="20"/>
                <w:lang w:eastAsia="en-AU"/>
              </w:rPr>
            </w:pPr>
            <w:r w:rsidRPr="00230A37">
              <w:rPr>
                <w:rFonts w:ascii="Arial" w:eastAsia="Times New Roman" w:hAnsi="Arial" w:cs="Arial"/>
                <w:b/>
                <w:bCs/>
                <w:sz w:val="20"/>
                <w:szCs w:val="20"/>
                <w:lang w:eastAsia="en-AU"/>
              </w:rPr>
              <w:t>Total</w:t>
            </w:r>
          </w:p>
        </w:tc>
      </w:tr>
      <w:tr w:rsidR="00CF3816" w:rsidRPr="00230A37" w14:paraId="1DD080C4" w14:textId="77777777" w:rsidTr="00E3552B">
        <w:trPr>
          <w:trHeight w:val="279"/>
        </w:trPr>
        <w:tc>
          <w:tcPr>
            <w:tcW w:w="1363" w:type="dxa"/>
            <w:tcBorders>
              <w:top w:val="single" w:sz="4" w:space="0" w:color="auto"/>
              <w:bottom w:val="nil"/>
            </w:tcBorders>
            <w:shd w:val="clear" w:color="000000" w:fill="FFFFFF"/>
            <w:noWrap/>
            <w:vAlign w:val="bottom"/>
          </w:tcPr>
          <w:p w14:paraId="01D59107" w14:textId="5377458C" w:rsidR="00CF3816" w:rsidRPr="00230A37" w:rsidRDefault="00CF3816" w:rsidP="00CF3816">
            <w:pPr>
              <w:spacing w:after="0" w:line="240" w:lineRule="auto"/>
              <w:rPr>
                <w:rFonts w:ascii="Calibri" w:eastAsia="Times New Roman" w:hAnsi="Calibri" w:cs="Calibri"/>
                <w:color w:val="000000"/>
                <w:lang w:eastAsia="en-AU"/>
              </w:rPr>
            </w:pPr>
            <w:r w:rsidRPr="00230A37">
              <w:rPr>
                <w:rFonts w:ascii="Calibri" w:eastAsia="Times New Roman" w:hAnsi="Calibri" w:cs="Calibri"/>
                <w:color w:val="000000"/>
                <w:lang w:eastAsia="en-AU"/>
              </w:rPr>
              <w:t>Dec-201</w:t>
            </w:r>
            <w:r>
              <w:rPr>
                <w:rFonts w:ascii="Calibri" w:eastAsia="Times New Roman" w:hAnsi="Calibri" w:cs="Calibri"/>
                <w:color w:val="000000"/>
                <w:lang w:eastAsia="en-AU"/>
              </w:rPr>
              <w:t>1</w:t>
            </w:r>
          </w:p>
        </w:tc>
        <w:tc>
          <w:tcPr>
            <w:tcW w:w="1971" w:type="dxa"/>
            <w:tcBorders>
              <w:top w:val="single" w:sz="4" w:space="0" w:color="auto"/>
              <w:bottom w:val="nil"/>
            </w:tcBorders>
            <w:noWrap/>
            <w:vAlign w:val="bottom"/>
          </w:tcPr>
          <w:p w14:paraId="79297781" w14:textId="2D6B145E" w:rsidR="00CF3816" w:rsidRPr="00230A37" w:rsidRDefault="00CF3816" w:rsidP="00CF3816">
            <w:pPr>
              <w:spacing w:after="0" w:line="240" w:lineRule="auto"/>
              <w:jc w:val="right"/>
              <w:rPr>
                <w:rFonts w:ascii="Arial" w:eastAsia="Times New Roman" w:hAnsi="Arial" w:cs="Arial"/>
                <w:sz w:val="20"/>
                <w:szCs w:val="20"/>
                <w:lang w:eastAsia="en-AU"/>
              </w:rPr>
            </w:pPr>
            <w:r>
              <w:rPr>
                <w:rFonts w:ascii="Arial" w:eastAsia="Times New Roman" w:hAnsi="Arial" w:cs="Arial"/>
                <w:sz w:val="20"/>
                <w:szCs w:val="20"/>
                <w:lang w:eastAsia="en-AU"/>
              </w:rPr>
              <w:t>42</w:t>
            </w:r>
            <w:r w:rsidRPr="00230A37">
              <w:rPr>
                <w:rFonts w:ascii="Arial" w:eastAsia="Times New Roman" w:hAnsi="Arial" w:cs="Arial"/>
                <w:sz w:val="20"/>
                <w:szCs w:val="20"/>
                <w:lang w:eastAsia="en-AU"/>
              </w:rPr>
              <w:t>%</w:t>
            </w:r>
          </w:p>
        </w:tc>
        <w:tc>
          <w:tcPr>
            <w:tcW w:w="2280" w:type="dxa"/>
            <w:tcBorders>
              <w:top w:val="single" w:sz="4" w:space="0" w:color="auto"/>
              <w:bottom w:val="nil"/>
            </w:tcBorders>
            <w:noWrap/>
            <w:vAlign w:val="bottom"/>
          </w:tcPr>
          <w:p w14:paraId="46DA9863" w14:textId="7F7745D0" w:rsidR="00CF3816" w:rsidRPr="00230A37" w:rsidRDefault="00CF3816" w:rsidP="00CF3816">
            <w:pPr>
              <w:spacing w:after="0" w:line="240" w:lineRule="auto"/>
              <w:jc w:val="right"/>
              <w:rPr>
                <w:rFonts w:ascii="Arial" w:eastAsia="Times New Roman" w:hAnsi="Arial" w:cs="Arial"/>
                <w:sz w:val="20"/>
                <w:szCs w:val="20"/>
                <w:lang w:eastAsia="en-AU"/>
              </w:rPr>
            </w:pPr>
            <w:r>
              <w:rPr>
                <w:rFonts w:ascii="Arial" w:eastAsia="Times New Roman" w:hAnsi="Arial" w:cs="Arial"/>
                <w:sz w:val="20"/>
                <w:szCs w:val="20"/>
                <w:lang w:eastAsia="en-AU"/>
              </w:rPr>
              <w:t>5</w:t>
            </w:r>
            <w:r w:rsidRPr="00230A37">
              <w:rPr>
                <w:rFonts w:ascii="Arial" w:eastAsia="Times New Roman" w:hAnsi="Arial" w:cs="Arial"/>
                <w:sz w:val="20"/>
                <w:szCs w:val="20"/>
                <w:lang w:eastAsia="en-AU"/>
              </w:rPr>
              <w:t>2%</w:t>
            </w:r>
          </w:p>
        </w:tc>
        <w:tc>
          <w:tcPr>
            <w:tcW w:w="1681" w:type="dxa"/>
            <w:tcBorders>
              <w:top w:val="single" w:sz="4" w:space="0" w:color="auto"/>
              <w:bottom w:val="nil"/>
            </w:tcBorders>
            <w:noWrap/>
            <w:vAlign w:val="bottom"/>
          </w:tcPr>
          <w:p w14:paraId="4B14D692" w14:textId="5CB20556" w:rsidR="00CF3816" w:rsidRPr="00230A37" w:rsidRDefault="00CF3816" w:rsidP="00CF3816">
            <w:pPr>
              <w:spacing w:after="0" w:line="240" w:lineRule="auto"/>
              <w:jc w:val="right"/>
              <w:rPr>
                <w:rFonts w:ascii="Arial" w:eastAsia="Times New Roman" w:hAnsi="Arial" w:cs="Arial"/>
                <w:sz w:val="20"/>
                <w:szCs w:val="20"/>
                <w:lang w:eastAsia="en-AU"/>
              </w:rPr>
            </w:pPr>
            <w:r>
              <w:rPr>
                <w:rFonts w:ascii="Arial" w:eastAsia="Times New Roman" w:hAnsi="Arial" w:cs="Arial"/>
                <w:sz w:val="20"/>
                <w:szCs w:val="20"/>
                <w:lang w:eastAsia="en-AU"/>
              </w:rPr>
              <w:t>6</w:t>
            </w:r>
            <w:r w:rsidRPr="00230A37">
              <w:rPr>
                <w:rFonts w:ascii="Arial" w:eastAsia="Times New Roman" w:hAnsi="Arial" w:cs="Arial"/>
                <w:sz w:val="20"/>
                <w:szCs w:val="20"/>
                <w:lang w:eastAsia="en-AU"/>
              </w:rPr>
              <w:t>%</w:t>
            </w:r>
          </w:p>
        </w:tc>
        <w:tc>
          <w:tcPr>
            <w:tcW w:w="1363" w:type="dxa"/>
            <w:tcBorders>
              <w:top w:val="single" w:sz="4" w:space="0" w:color="auto"/>
              <w:bottom w:val="nil"/>
            </w:tcBorders>
            <w:noWrap/>
            <w:vAlign w:val="bottom"/>
          </w:tcPr>
          <w:p w14:paraId="79787940" w14:textId="51BFE45D" w:rsidR="00CF3816" w:rsidRPr="00230A37" w:rsidRDefault="00CF3816" w:rsidP="00CF3816">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100%</w:t>
            </w:r>
          </w:p>
        </w:tc>
      </w:tr>
      <w:tr w:rsidR="00CF3816" w:rsidRPr="00230A37" w14:paraId="581B25F5" w14:textId="77777777" w:rsidTr="00E3552B">
        <w:trPr>
          <w:trHeight w:val="279"/>
        </w:trPr>
        <w:tc>
          <w:tcPr>
            <w:tcW w:w="1363" w:type="dxa"/>
            <w:tcBorders>
              <w:top w:val="nil"/>
            </w:tcBorders>
            <w:shd w:val="clear" w:color="000000" w:fill="FFFFFF"/>
            <w:noWrap/>
            <w:vAlign w:val="bottom"/>
          </w:tcPr>
          <w:p w14:paraId="67F9F1A5" w14:textId="6AF6729D" w:rsidR="00CF3816" w:rsidRPr="00230A37" w:rsidRDefault="00CF3816" w:rsidP="00CF3816">
            <w:pPr>
              <w:spacing w:after="0" w:line="240" w:lineRule="auto"/>
              <w:rPr>
                <w:rFonts w:ascii="Calibri" w:eastAsia="Times New Roman" w:hAnsi="Calibri" w:cs="Calibri"/>
                <w:color w:val="000000"/>
                <w:lang w:eastAsia="en-AU"/>
              </w:rPr>
            </w:pPr>
            <w:r w:rsidRPr="00230A37">
              <w:rPr>
                <w:rFonts w:ascii="Calibri" w:eastAsia="Times New Roman" w:hAnsi="Calibri" w:cs="Calibri"/>
                <w:color w:val="000000"/>
                <w:lang w:eastAsia="en-AU"/>
              </w:rPr>
              <w:t>Dec-201</w:t>
            </w:r>
            <w:r>
              <w:rPr>
                <w:rFonts w:ascii="Calibri" w:eastAsia="Times New Roman" w:hAnsi="Calibri" w:cs="Calibri"/>
                <w:color w:val="000000"/>
                <w:lang w:eastAsia="en-AU"/>
              </w:rPr>
              <w:t>2</w:t>
            </w:r>
          </w:p>
        </w:tc>
        <w:tc>
          <w:tcPr>
            <w:tcW w:w="1971" w:type="dxa"/>
            <w:tcBorders>
              <w:top w:val="nil"/>
            </w:tcBorders>
            <w:noWrap/>
            <w:vAlign w:val="bottom"/>
          </w:tcPr>
          <w:p w14:paraId="7AB83A2E" w14:textId="7C88258F" w:rsidR="00CF3816" w:rsidRPr="00230A37" w:rsidRDefault="00CF3816" w:rsidP="00CF3816">
            <w:pPr>
              <w:spacing w:after="0" w:line="240" w:lineRule="auto"/>
              <w:jc w:val="right"/>
              <w:rPr>
                <w:rFonts w:ascii="Arial" w:eastAsia="Times New Roman" w:hAnsi="Arial" w:cs="Arial"/>
                <w:sz w:val="20"/>
                <w:szCs w:val="20"/>
                <w:lang w:eastAsia="en-AU"/>
              </w:rPr>
            </w:pPr>
            <w:r>
              <w:rPr>
                <w:rFonts w:ascii="Arial" w:eastAsia="Times New Roman" w:hAnsi="Arial" w:cs="Arial"/>
                <w:sz w:val="20"/>
                <w:szCs w:val="20"/>
                <w:lang w:eastAsia="en-AU"/>
              </w:rPr>
              <w:t>45</w:t>
            </w:r>
            <w:r w:rsidRPr="00230A37">
              <w:rPr>
                <w:rFonts w:ascii="Arial" w:eastAsia="Times New Roman" w:hAnsi="Arial" w:cs="Arial"/>
                <w:sz w:val="20"/>
                <w:szCs w:val="20"/>
                <w:lang w:eastAsia="en-AU"/>
              </w:rPr>
              <w:t>%</w:t>
            </w:r>
          </w:p>
        </w:tc>
        <w:tc>
          <w:tcPr>
            <w:tcW w:w="2280" w:type="dxa"/>
            <w:tcBorders>
              <w:top w:val="nil"/>
            </w:tcBorders>
            <w:noWrap/>
            <w:vAlign w:val="bottom"/>
          </w:tcPr>
          <w:p w14:paraId="089CDE7E" w14:textId="0E9C658F" w:rsidR="00CF3816" w:rsidRPr="00230A37" w:rsidRDefault="00CF3816" w:rsidP="00CF3816">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4</w:t>
            </w:r>
            <w:r>
              <w:rPr>
                <w:rFonts w:ascii="Arial" w:eastAsia="Times New Roman" w:hAnsi="Arial" w:cs="Arial"/>
                <w:sz w:val="20"/>
                <w:szCs w:val="20"/>
                <w:lang w:eastAsia="en-AU"/>
              </w:rPr>
              <w:t>9</w:t>
            </w:r>
            <w:r w:rsidRPr="00230A37">
              <w:rPr>
                <w:rFonts w:ascii="Arial" w:eastAsia="Times New Roman" w:hAnsi="Arial" w:cs="Arial"/>
                <w:sz w:val="20"/>
                <w:szCs w:val="20"/>
                <w:lang w:eastAsia="en-AU"/>
              </w:rPr>
              <w:t>%</w:t>
            </w:r>
          </w:p>
        </w:tc>
        <w:tc>
          <w:tcPr>
            <w:tcW w:w="1681" w:type="dxa"/>
            <w:tcBorders>
              <w:top w:val="nil"/>
            </w:tcBorders>
            <w:noWrap/>
            <w:vAlign w:val="bottom"/>
          </w:tcPr>
          <w:p w14:paraId="05102AEB" w14:textId="711D8593" w:rsidR="00CF3816" w:rsidRPr="00230A37" w:rsidRDefault="00CF3816" w:rsidP="00CF3816">
            <w:pPr>
              <w:spacing w:after="0" w:line="240" w:lineRule="auto"/>
              <w:jc w:val="right"/>
              <w:rPr>
                <w:rFonts w:ascii="Arial" w:eastAsia="Times New Roman" w:hAnsi="Arial" w:cs="Arial"/>
                <w:sz w:val="20"/>
                <w:szCs w:val="20"/>
                <w:lang w:eastAsia="en-AU"/>
              </w:rPr>
            </w:pPr>
            <w:r>
              <w:rPr>
                <w:rFonts w:ascii="Arial" w:eastAsia="Times New Roman" w:hAnsi="Arial" w:cs="Arial"/>
                <w:sz w:val="20"/>
                <w:szCs w:val="20"/>
                <w:lang w:eastAsia="en-AU"/>
              </w:rPr>
              <w:t>6</w:t>
            </w:r>
            <w:r w:rsidRPr="00230A37">
              <w:rPr>
                <w:rFonts w:ascii="Arial" w:eastAsia="Times New Roman" w:hAnsi="Arial" w:cs="Arial"/>
                <w:sz w:val="20"/>
                <w:szCs w:val="20"/>
                <w:lang w:eastAsia="en-AU"/>
              </w:rPr>
              <w:t>%</w:t>
            </w:r>
          </w:p>
        </w:tc>
        <w:tc>
          <w:tcPr>
            <w:tcW w:w="1363" w:type="dxa"/>
            <w:tcBorders>
              <w:top w:val="nil"/>
            </w:tcBorders>
            <w:noWrap/>
            <w:vAlign w:val="bottom"/>
          </w:tcPr>
          <w:p w14:paraId="584B341D" w14:textId="0B676F06" w:rsidR="00CF3816" w:rsidRPr="00230A37" w:rsidRDefault="00CF3816" w:rsidP="00CF3816">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100%</w:t>
            </w:r>
          </w:p>
        </w:tc>
      </w:tr>
      <w:tr w:rsidR="00677577" w:rsidRPr="00230A37" w14:paraId="7012FD4C" w14:textId="77777777">
        <w:trPr>
          <w:trHeight w:val="279"/>
        </w:trPr>
        <w:tc>
          <w:tcPr>
            <w:tcW w:w="1363" w:type="dxa"/>
            <w:shd w:val="clear" w:color="000000" w:fill="FFFFFF"/>
            <w:noWrap/>
            <w:vAlign w:val="bottom"/>
            <w:hideMark/>
          </w:tcPr>
          <w:p w14:paraId="4127B8D7" w14:textId="77777777" w:rsidR="00677577" w:rsidRPr="00230A37" w:rsidRDefault="00677577">
            <w:pPr>
              <w:spacing w:after="0" w:line="240" w:lineRule="auto"/>
              <w:rPr>
                <w:rFonts w:ascii="Calibri" w:eastAsia="Times New Roman" w:hAnsi="Calibri" w:cs="Calibri"/>
                <w:color w:val="000000"/>
                <w:lang w:eastAsia="en-AU"/>
              </w:rPr>
            </w:pPr>
            <w:r w:rsidRPr="00230A37">
              <w:rPr>
                <w:rFonts w:ascii="Calibri" w:eastAsia="Times New Roman" w:hAnsi="Calibri" w:cs="Calibri"/>
                <w:color w:val="000000"/>
                <w:lang w:eastAsia="en-AU"/>
              </w:rPr>
              <w:t>Dec-2013</w:t>
            </w:r>
          </w:p>
        </w:tc>
        <w:tc>
          <w:tcPr>
            <w:tcW w:w="1971" w:type="dxa"/>
            <w:noWrap/>
            <w:vAlign w:val="bottom"/>
            <w:hideMark/>
          </w:tcPr>
          <w:p w14:paraId="2BEAF14A"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50%</w:t>
            </w:r>
          </w:p>
        </w:tc>
        <w:tc>
          <w:tcPr>
            <w:tcW w:w="2280" w:type="dxa"/>
            <w:noWrap/>
            <w:vAlign w:val="bottom"/>
            <w:hideMark/>
          </w:tcPr>
          <w:p w14:paraId="6F376DE9"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42%</w:t>
            </w:r>
          </w:p>
        </w:tc>
        <w:tc>
          <w:tcPr>
            <w:tcW w:w="1681" w:type="dxa"/>
            <w:noWrap/>
            <w:vAlign w:val="bottom"/>
            <w:hideMark/>
          </w:tcPr>
          <w:p w14:paraId="3C806F2B"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8%</w:t>
            </w:r>
          </w:p>
        </w:tc>
        <w:tc>
          <w:tcPr>
            <w:tcW w:w="1363" w:type="dxa"/>
            <w:noWrap/>
            <w:vAlign w:val="bottom"/>
            <w:hideMark/>
          </w:tcPr>
          <w:p w14:paraId="26359146"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100%</w:t>
            </w:r>
          </w:p>
        </w:tc>
      </w:tr>
      <w:tr w:rsidR="00677577" w:rsidRPr="00230A37" w14:paraId="15196BF0" w14:textId="77777777">
        <w:trPr>
          <w:trHeight w:val="279"/>
        </w:trPr>
        <w:tc>
          <w:tcPr>
            <w:tcW w:w="1363" w:type="dxa"/>
            <w:shd w:val="clear" w:color="000000" w:fill="FFFFFF"/>
            <w:noWrap/>
            <w:vAlign w:val="bottom"/>
            <w:hideMark/>
          </w:tcPr>
          <w:p w14:paraId="238C48C5" w14:textId="77777777" w:rsidR="00677577" w:rsidRPr="00230A37" w:rsidRDefault="00677577">
            <w:pPr>
              <w:spacing w:after="0" w:line="240" w:lineRule="auto"/>
              <w:rPr>
                <w:rFonts w:ascii="Calibri" w:eastAsia="Times New Roman" w:hAnsi="Calibri" w:cs="Calibri"/>
                <w:color w:val="000000"/>
                <w:lang w:eastAsia="en-AU"/>
              </w:rPr>
            </w:pPr>
            <w:r w:rsidRPr="00230A37">
              <w:rPr>
                <w:rFonts w:ascii="Calibri" w:eastAsia="Times New Roman" w:hAnsi="Calibri" w:cs="Calibri"/>
                <w:color w:val="000000"/>
                <w:lang w:eastAsia="en-AU"/>
              </w:rPr>
              <w:t>Dec-2014</w:t>
            </w:r>
          </w:p>
        </w:tc>
        <w:tc>
          <w:tcPr>
            <w:tcW w:w="1971" w:type="dxa"/>
            <w:noWrap/>
            <w:vAlign w:val="bottom"/>
            <w:hideMark/>
          </w:tcPr>
          <w:p w14:paraId="57D0604B"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49%</w:t>
            </w:r>
          </w:p>
        </w:tc>
        <w:tc>
          <w:tcPr>
            <w:tcW w:w="2280" w:type="dxa"/>
            <w:noWrap/>
            <w:vAlign w:val="bottom"/>
            <w:hideMark/>
          </w:tcPr>
          <w:p w14:paraId="700AF5F5"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42%</w:t>
            </w:r>
          </w:p>
        </w:tc>
        <w:tc>
          <w:tcPr>
            <w:tcW w:w="1681" w:type="dxa"/>
            <w:noWrap/>
            <w:vAlign w:val="bottom"/>
            <w:hideMark/>
          </w:tcPr>
          <w:p w14:paraId="6F8ABA9A"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10%</w:t>
            </w:r>
          </w:p>
        </w:tc>
        <w:tc>
          <w:tcPr>
            <w:tcW w:w="1363" w:type="dxa"/>
            <w:noWrap/>
            <w:vAlign w:val="bottom"/>
            <w:hideMark/>
          </w:tcPr>
          <w:p w14:paraId="382596DD"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100%</w:t>
            </w:r>
          </w:p>
        </w:tc>
      </w:tr>
      <w:tr w:rsidR="00677577" w:rsidRPr="00230A37" w14:paraId="66E37C5D" w14:textId="77777777">
        <w:trPr>
          <w:trHeight w:val="279"/>
        </w:trPr>
        <w:tc>
          <w:tcPr>
            <w:tcW w:w="1363" w:type="dxa"/>
            <w:shd w:val="clear" w:color="000000" w:fill="FFFFFF"/>
            <w:noWrap/>
            <w:vAlign w:val="bottom"/>
            <w:hideMark/>
          </w:tcPr>
          <w:p w14:paraId="0B4E8CE4" w14:textId="77777777" w:rsidR="00677577" w:rsidRPr="00230A37" w:rsidRDefault="00677577">
            <w:pPr>
              <w:spacing w:after="0" w:line="240" w:lineRule="auto"/>
              <w:rPr>
                <w:rFonts w:ascii="Calibri" w:eastAsia="Times New Roman" w:hAnsi="Calibri" w:cs="Calibri"/>
                <w:color w:val="000000"/>
                <w:lang w:eastAsia="en-AU"/>
              </w:rPr>
            </w:pPr>
            <w:r w:rsidRPr="00230A37">
              <w:rPr>
                <w:rFonts w:ascii="Calibri" w:eastAsia="Times New Roman" w:hAnsi="Calibri" w:cs="Calibri"/>
                <w:color w:val="000000"/>
                <w:lang w:eastAsia="en-AU"/>
              </w:rPr>
              <w:t>Dec-2015</w:t>
            </w:r>
          </w:p>
        </w:tc>
        <w:tc>
          <w:tcPr>
            <w:tcW w:w="1971" w:type="dxa"/>
            <w:noWrap/>
            <w:vAlign w:val="bottom"/>
            <w:hideMark/>
          </w:tcPr>
          <w:p w14:paraId="5F7FAADE"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49%</w:t>
            </w:r>
          </w:p>
        </w:tc>
        <w:tc>
          <w:tcPr>
            <w:tcW w:w="2280" w:type="dxa"/>
            <w:noWrap/>
            <w:vAlign w:val="bottom"/>
            <w:hideMark/>
          </w:tcPr>
          <w:p w14:paraId="3FCAEEA6"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39%</w:t>
            </w:r>
          </w:p>
        </w:tc>
        <w:tc>
          <w:tcPr>
            <w:tcW w:w="1681" w:type="dxa"/>
            <w:noWrap/>
            <w:vAlign w:val="bottom"/>
            <w:hideMark/>
          </w:tcPr>
          <w:p w14:paraId="673234A3"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12%</w:t>
            </w:r>
          </w:p>
        </w:tc>
        <w:tc>
          <w:tcPr>
            <w:tcW w:w="1363" w:type="dxa"/>
            <w:noWrap/>
            <w:vAlign w:val="bottom"/>
            <w:hideMark/>
          </w:tcPr>
          <w:p w14:paraId="0C1A455B"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100%</w:t>
            </w:r>
          </w:p>
        </w:tc>
      </w:tr>
      <w:tr w:rsidR="00677577" w:rsidRPr="00230A37" w14:paraId="1ADD1F91" w14:textId="77777777">
        <w:trPr>
          <w:trHeight w:val="279"/>
        </w:trPr>
        <w:tc>
          <w:tcPr>
            <w:tcW w:w="1363" w:type="dxa"/>
            <w:shd w:val="clear" w:color="000000" w:fill="FFFFFF"/>
            <w:noWrap/>
            <w:vAlign w:val="bottom"/>
            <w:hideMark/>
          </w:tcPr>
          <w:p w14:paraId="4026E07D" w14:textId="77777777" w:rsidR="00677577" w:rsidRPr="00230A37" w:rsidRDefault="00677577">
            <w:pPr>
              <w:spacing w:after="0" w:line="240" w:lineRule="auto"/>
              <w:rPr>
                <w:rFonts w:ascii="Calibri" w:eastAsia="Times New Roman" w:hAnsi="Calibri" w:cs="Calibri"/>
                <w:color w:val="000000"/>
                <w:lang w:eastAsia="en-AU"/>
              </w:rPr>
            </w:pPr>
            <w:r w:rsidRPr="00230A37">
              <w:rPr>
                <w:rFonts w:ascii="Calibri" w:eastAsia="Times New Roman" w:hAnsi="Calibri" w:cs="Calibri"/>
                <w:color w:val="000000"/>
                <w:lang w:eastAsia="en-AU"/>
              </w:rPr>
              <w:t>Dec-2016</w:t>
            </w:r>
          </w:p>
        </w:tc>
        <w:tc>
          <w:tcPr>
            <w:tcW w:w="1971" w:type="dxa"/>
            <w:noWrap/>
            <w:vAlign w:val="bottom"/>
            <w:hideMark/>
          </w:tcPr>
          <w:p w14:paraId="2E7EFA0C"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51%</w:t>
            </w:r>
          </w:p>
        </w:tc>
        <w:tc>
          <w:tcPr>
            <w:tcW w:w="2280" w:type="dxa"/>
            <w:noWrap/>
            <w:vAlign w:val="bottom"/>
            <w:hideMark/>
          </w:tcPr>
          <w:p w14:paraId="584B61A5"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36%</w:t>
            </w:r>
          </w:p>
        </w:tc>
        <w:tc>
          <w:tcPr>
            <w:tcW w:w="1681" w:type="dxa"/>
            <w:noWrap/>
            <w:vAlign w:val="bottom"/>
            <w:hideMark/>
          </w:tcPr>
          <w:p w14:paraId="5EEDD520"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13%</w:t>
            </w:r>
          </w:p>
        </w:tc>
        <w:tc>
          <w:tcPr>
            <w:tcW w:w="1363" w:type="dxa"/>
            <w:noWrap/>
            <w:vAlign w:val="bottom"/>
            <w:hideMark/>
          </w:tcPr>
          <w:p w14:paraId="651612D3"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100%</w:t>
            </w:r>
          </w:p>
        </w:tc>
      </w:tr>
      <w:tr w:rsidR="00677577" w:rsidRPr="00230A37" w14:paraId="1C5AC25A" w14:textId="77777777">
        <w:trPr>
          <w:trHeight w:val="279"/>
        </w:trPr>
        <w:tc>
          <w:tcPr>
            <w:tcW w:w="1363" w:type="dxa"/>
            <w:shd w:val="clear" w:color="000000" w:fill="FFFFFF"/>
            <w:noWrap/>
            <w:vAlign w:val="bottom"/>
            <w:hideMark/>
          </w:tcPr>
          <w:p w14:paraId="3010BB45" w14:textId="77777777" w:rsidR="00677577" w:rsidRPr="00230A37" w:rsidRDefault="00677577">
            <w:pPr>
              <w:spacing w:after="0" w:line="240" w:lineRule="auto"/>
              <w:rPr>
                <w:rFonts w:ascii="Calibri" w:eastAsia="Times New Roman" w:hAnsi="Calibri" w:cs="Calibri"/>
                <w:color w:val="000000"/>
                <w:lang w:eastAsia="en-AU"/>
              </w:rPr>
            </w:pPr>
            <w:r w:rsidRPr="00230A37">
              <w:rPr>
                <w:rFonts w:ascii="Calibri" w:eastAsia="Times New Roman" w:hAnsi="Calibri" w:cs="Calibri"/>
                <w:color w:val="000000"/>
                <w:lang w:eastAsia="en-AU"/>
              </w:rPr>
              <w:t>Dec-2017</w:t>
            </w:r>
          </w:p>
        </w:tc>
        <w:tc>
          <w:tcPr>
            <w:tcW w:w="1971" w:type="dxa"/>
            <w:noWrap/>
            <w:vAlign w:val="bottom"/>
            <w:hideMark/>
          </w:tcPr>
          <w:p w14:paraId="0CED0562"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43%</w:t>
            </w:r>
          </w:p>
        </w:tc>
        <w:tc>
          <w:tcPr>
            <w:tcW w:w="2280" w:type="dxa"/>
            <w:noWrap/>
            <w:vAlign w:val="bottom"/>
            <w:hideMark/>
          </w:tcPr>
          <w:p w14:paraId="7BF446BB"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40%</w:t>
            </w:r>
          </w:p>
        </w:tc>
        <w:tc>
          <w:tcPr>
            <w:tcW w:w="1681" w:type="dxa"/>
            <w:noWrap/>
            <w:vAlign w:val="bottom"/>
            <w:hideMark/>
          </w:tcPr>
          <w:p w14:paraId="654A74BC"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17%</w:t>
            </w:r>
          </w:p>
        </w:tc>
        <w:tc>
          <w:tcPr>
            <w:tcW w:w="1363" w:type="dxa"/>
            <w:noWrap/>
            <w:vAlign w:val="bottom"/>
            <w:hideMark/>
          </w:tcPr>
          <w:p w14:paraId="746D336D"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100%</w:t>
            </w:r>
          </w:p>
        </w:tc>
      </w:tr>
      <w:tr w:rsidR="00677577" w:rsidRPr="00230A37" w14:paraId="2FC9B7A2" w14:textId="77777777">
        <w:trPr>
          <w:trHeight w:val="279"/>
        </w:trPr>
        <w:tc>
          <w:tcPr>
            <w:tcW w:w="1363" w:type="dxa"/>
            <w:shd w:val="clear" w:color="000000" w:fill="FFFFFF"/>
            <w:noWrap/>
            <w:vAlign w:val="bottom"/>
            <w:hideMark/>
          </w:tcPr>
          <w:p w14:paraId="60DEC3F2" w14:textId="77777777" w:rsidR="00677577" w:rsidRPr="00230A37" w:rsidRDefault="00677577">
            <w:pPr>
              <w:spacing w:after="0" w:line="240" w:lineRule="auto"/>
              <w:rPr>
                <w:rFonts w:ascii="Calibri" w:eastAsia="Times New Roman" w:hAnsi="Calibri" w:cs="Calibri"/>
                <w:color w:val="000000"/>
                <w:lang w:eastAsia="en-AU"/>
              </w:rPr>
            </w:pPr>
            <w:r w:rsidRPr="00230A37">
              <w:rPr>
                <w:rFonts w:ascii="Calibri" w:eastAsia="Times New Roman" w:hAnsi="Calibri" w:cs="Calibri"/>
                <w:color w:val="000000"/>
                <w:lang w:eastAsia="en-AU"/>
              </w:rPr>
              <w:t>Dec-2018</w:t>
            </w:r>
          </w:p>
        </w:tc>
        <w:tc>
          <w:tcPr>
            <w:tcW w:w="1971" w:type="dxa"/>
            <w:noWrap/>
            <w:vAlign w:val="bottom"/>
            <w:hideMark/>
          </w:tcPr>
          <w:p w14:paraId="5D0FFF2B"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40%</w:t>
            </w:r>
          </w:p>
        </w:tc>
        <w:tc>
          <w:tcPr>
            <w:tcW w:w="2280" w:type="dxa"/>
            <w:noWrap/>
            <w:vAlign w:val="bottom"/>
            <w:hideMark/>
          </w:tcPr>
          <w:p w14:paraId="49BCEFCF"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42%</w:t>
            </w:r>
          </w:p>
        </w:tc>
        <w:tc>
          <w:tcPr>
            <w:tcW w:w="1681" w:type="dxa"/>
            <w:noWrap/>
            <w:vAlign w:val="bottom"/>
            <w:hideMark/>
          </w:tcPr>
          <w:p w14:paraId="7048B435"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18%</w:t>
            </w:r>
          </w:p>
        </w:tc>
        <w:tc>
          <w:tcPr>
            <w:tcW w:w="1363" w:type="dxa"/>
            <w:noWrap/>
            <w:vAlign w:val="bottom"/>
            <w:hideMark/>
          </w:tcPr>
          <w:p w14:paraId="3036578E"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100%</w:t>
            </w:r>
          </w:p>
        </w:tc>
      </w:tr>
      <w:tr w:rsidR="00677577" w:rsidRPr="00230A37" w14:paraId="3B12D4E0" w14:textId="77777777">
        <w:trPr>
          <w:trHeight w:val="279"/>
        </w:trPr>
        <w:tc>
          <w:tcPr>
            <w:tcW w:w="1363" w:type="dxa"/>
            <w:shd w:val="clear" w:color="000000" w:fill="FFFFFF"/>
            <w:noWrap/>
            <w:vAlign w:val="bottom"/>
            <w:hideMark/>
          </w:tcPr>
          <w:p w14:paraId="68967B8B" w14:textId="77777777" w:rsidR="00677577" w:rsidRPr="00230A37" w:rsidRDefault="00677577">
            <w:pPr>
              <w:spacing w:after="0" w:line="240" w:lineRule="auto"/>
              <w:rPr>
                <w:rFonts w:ascii="Calibri" w:eastAsia="Times New Roman" w:hAnsi="Calibri" w:cs="Calibri"/>
                <w:color w:val="000000"/>
                <w:lang w:eastAsia="en-AU"/>
              </w:rPr>
            </w:pPr>
            <w:r w:rsidRPr="00230A37">
              <w:rPr>
                <w:rFonts w:ascii="Calibri" w:eastAsia="Times New Roman" w:hAnsi="Calibri" w:cs="Calibri"/>
                <w:color w:val="000000"/>
                <w:lang w:eastAsia="en-AU"/>
              </w:rPr>
              <w:t>Dec-2019</w:t>
            </w:r>
          </w:p>
        </w:tc>
        <w:tc>
          <w:tcPr>
            <w:tcW w:w="1971" w:type="dxa"/>
            <w:noWrap/>
            <w:vAlign w:val="bottom"/>
            <w:hideMark/>
          </w:tcPr>
          <w:p w14:paraId="700E7E73"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41%</w:t>
            </w:r>
          </w:p>
        </w:tc>
        <w:tc>
          <w:tcPr>
            <w:tcW w:w="2280" w:type="dxa"/>
            <w:noWrap/>
            <w:vAlign w:val="bottom"/>
            <w:hideMark/>
          </w:tcPr>
          <w:p w14:paraId="771604C0"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43%</w:t>
            </w:r>
          </w:p>
        </w:tc>
        <w:tc>
          <w:tcPr>
            <w:tcW w:w="1681" w:type="dxa"/>
            <w:noWrap/>
            <w:vAlign w:val="bottom"/>
            <w:hideMark/>
          </w:tcPr>
          <w:p w14:paraId="22C12713"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16%</w:t>
            </w:r>
          </w:p>
        </w:tc>
        <w:tc>
          <w:tcPr>
            <w:tcW w:w="1363" w:type="dxa"/>
            <w:noWrap/>
            <w:vAlign w:val="bottom"/>
            <w:hideMark/>
          </w:tcPr>
          <w:p w14:paraId="6704B7FA"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100%</w:t>
            </w:r>
          </w:p>
        </w:tc>
      </w:tr>
      <w:tr w:rsidR="00677577" w:rsidRPr="00230A37" w14:paraId="53E78EBF" w14:textId="77777777">
        <w:trPr>
          <w:trHeight w:val="279"/>
        </w:trPr>
        <w:tc>
          <w:tcPr>
            <w:tcW w:w="1363" w:type="dxa"/>
            <w:shd w:val="clear" w:color="000000" w:fill="FFFFFF"/>
            <w:noWrap/>
            <w:vAlign w:val="bottom"/>
            <w:hideMark/>
          </w:tcPr>
          <w:p w14:paraId="5C7D7428" w14:textId="77777777" w:rsidR="00677577" w:rsidRPr="00230A37" w:rsidRDefault="00677577">
            <w:pPr>
              <w:spacing w:after="0" w:line="240" w:lineRule="auto"/>
              <w:rPr>
                <w:rFonts w:ascii="Calibri" w:eastAsia="Times New Roman" w:hAnsi="Calibri" w:cs="Calibri"/>
                <w:color w:val="000000"/>
                <w:lang w:eastAsia="en-AU"/>
              </w:rPr>
            </w:pPr>
            <w:r w:rsidRPr="00230A37">
              <w:rPr>
                <w:rFonts w:ascii="Calibri" w:eastAsia="Times New Roman" w:hAnsi="Calibri" w:cs="Calibri"/>
                <w:color w:val="000000"/>
                <w:lang w:eastAsia="en-AU"/>
              </w:rPr>
              <w:t>Dec-2020</w:t>
            </w:r>
          </w:p>
        </w:tc>
        <w:tc>
          <w:tcPr>
            <w:tcW w:w="1971" w:type="dxa"/>
            <w:noWrap/>
            <w:vAlign w:val="bottom"/>
            <w:hideMark/>
          </w:tcPr>
          <w:p w14:paraId="53DE1A1E"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52%</w:t>
            </w:r>
          </w:p>
        </w:tc>
        <w:tc>
          <w:tcPr>
            <w:tcW w:w="2280" w:type="dxa"/>
            <w:noWrap/>
            <w:vAlign w:val="bottom"/>
            <w:hideMark/>
          </w:tcPr>
          <w:p w14:paraId="0A9CC6D8"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36%</w:t>
            </w:r>
          </w:p>
        </w:tc>
        <w:tc>
          <w:tcPr>
            <w:tcW w:w="1681" w:type="dxa"/>
            <w:noWrap/>
            <w:vAlign w:val="bottom"/>
            <w:hideMark/>
          </w:tcPr>
          <w:p w14:paraId="3B850D0F"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12%</w:t>
            </w:r>
          </w:p>
        </w:tc>
        <w:tc>
          <w:tcPr>
            <w:tcW w:w="1363" w:type="dxa"/>
            <w:noWrap/>
            <w:vAlign w:val="bottom"/>
            <w:hideMark/>
          </w:tcPr>
          <w:p w14:paraId="7A52C1F3"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100%</w:t>
            </w:r>
          </w:p>
        </w:tc>
      </w:tr>
      <w:tr w:rsidR="00677577" w:rsidRPr="00230A37" w14:paraId="0BDFA2B9" w14:textId="77777777">
        <w:trPr>
          <w:trHeight w:val="279"/>
        </w:trPr>
        <w:tc>
          <w:tcPr>
            <w:tcW w:w="1363" w:type="dxa"/>
            <w:shd w:val="clear" w:color="000000" w:fill="FFFFFF"/>
            <w:noWrap/>
            <w:vAlign w:val="bottom"/>
            <w:hideMark/>
          </w:tcPr>
          <w:p w14:paraId="755C1ECF" w14:textId="77777777" w:rsidR="00677577" w:rsidRPr="00230A37" w:rsidRDefault="00677577">
            <w:pPr>
              <w:spacing w:after="0" w:line="240" w:lineRule="auto"/>
              <w:rPr>
                <w:rFonts w:ascii="Calibri" w:eastAsia="Times New Roman" w:hAnsi="Calibri" w:cs="Calibri"/>
                <w:color w:val="000000"/>
                <w:lang w:eastAsia="en-AU"/>
              </w:rPr>
            </w:pPr>
            <w:r w:rsidRPr="00230A37">
              <w:rPr>
                <w:rFonts w:ascii="Calibri" w:eastAsia="Times New Roman" w:hAnsi="Calibri" w:cs="Calibri"/>
                <w:color w:val="000000"/>
                <w:lang w:eastAsia="en-AU"/>
              </w:rPr>
              <w:t>Dec-2021</w:t>
            </w:r>
          </w:p>
        </w:tc>
        <w:tc>
          <w:tcPr>
            <w:tcW w:w="1971" w:type="dxa"/>
            <w:noWrap/>
            <w:vAlign w:val="bottom"/>
            <w:hideMark/>
          </w:tcPr>
          <w:p w14:paraId="6A16DAD7"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35%</w:t>
            </w:r>
          </w:p>
        </w:tc>
        <w:tc>
          <w:tcPr>
            <w:tcW w:w="2280" w:type="dxa"/>
            <w:noWrap/>
            <w:vAlign w:val="bottom"/>
            <w:hideMark/>
          </w:tcPr>
          <w:p w14:paraId="09D65CD3"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47%</w:t>
            </w:r>
          </w:p>
        </w:tc>
        <w:tc>
          <w:tcPr>
            <w:tcW w:w="1681" w:type="dxa"/>
            <w:noWrap/>
            <w:vAlign w:val="bottom"/>
            <w:hideMark/>
          </w:tcPr>
          <w:p w14:paraId="7FB3C1A5"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18%</w:t>
            </w:r>
          </w:p>
        </w:tc>
        <w:tc>
          <w:tcPr>
            <w:tcW w:w="1363" w:type="dxa"/>
            <w:noWrap/>
            <w:vAlign w:val="bottom"/>
            <w:hideMark/>
          </w:tcPr>
          <w:p w14:paraId="2E18E395"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100%</w:t>
            </w:r>
          </w:p>
        </w:tc>
      </w:tr>
      <w:tr w:rsidR="00677577" w:rsidRPr="00230A37" w14:paraId="731FFFB3" w14:textId="77777777">
        <w:trPr>
          <w:trHeight w:val="279"/>
        </w:trPr>
        <w:tc>
          <w:tcPr>
            <w:tcW w:w="1363" w:type="dxa"/>
            <w:shd w:val="clear" w:color="000000" w:fill="FFFFFF"/>
            <w:noWrap/>
            <w:vAlign w:val="bottom"/>
            <w:hideMark/>
          </w:tcPr>
          <w:p w14:paraId="1D7253A6" w14:textId="77777777" w:rsidR="00677577" w:rsidRPr="00230A37" w:rsidRDefault="00677577">
            <w:pPr>
              <w:spacing w:after="0" w:line="240" w:lineRule="auto"/>
              <w:rPr>
                <w:rFonts w:ascii="Calibri" w:eastAsia="Times New Roman" w:hAnsi="Calibri" w:cs="Calibri"/>
                <w:color w:val="000000"/>
                <w:lang w:eastAsia="en-AU"/>
              </w:rPr>
            </w:pPr>
            <w:r w:rsidRPr="00230A37">
              <w:rPr>
                <w:rFonts w:ascii="Calibri" w:eastAsia="Times New Roman" w:hAnsi="Calibri" w:cs="Calibri"/>
                <w:color w:val="000000"/>
                <w:lang w:eastAsia="en-AU"/>
              </w:rPr>
              <w:t>Dec-2022</w:t>
            </w:r>
          </w:p>
        </w:tc>
        <w:tc>
          <w:tcPr>
            <w:tcW w:w="1971" w:type="dxa"/>
            <w:noWrap/>
            <w:vAlign w:val="bottom"/>
            <w:hideMark/>
          </w:tcPr>
          <w:p w14:paraId="45FFC2DF"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30%</w:t>
            </w:r>
          </w:p>
        </w:tc>
        <w:tc>
          <w:tcPr>
            <w:tcW w:w="2280" w:type="dxa"/>
            <w:noWrap/>
            <w:vAlign w:val="bottom"/>
            <w:hideMark/>
          </w:tcPr>
          <w:p w14:paraId="7FE3CE5B"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53%</w:t>
            </w:r>
          </w:p>
        </w:tc>
        <w:tc>
          <w:tcPr>
            <w:tcW w:w="1681" w:type="dxa"/>
            <w:noWrap/>
            <w:vAlign w:val="bottom"/>
            <w:hideMark/>
          </w:tcPr>
          <w:p w14:paraId="61708818"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17%</w:t>
            </w:r>
          </w:p>
        </w:tc>
        <w:tc>
          <w:tcPr>
            <w:tcW w:w="1363" w:type="dxa"/>
            <w:noWrap/>
            <w:vAlign w:val="bottom"/>
            <w:hideMark/>
          </w:tcPr>
          <w:p w14:paraId="3521F77B"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100%</w:t>
            </w:r>
          </w:p>
        </w:tc>
      </w:tr>
      <w:tr w:rsidR="00677577" w:rsidRPr="00230A37" w14:paraId="0AECCFD4" w14:textId="77777777">
        <w:trPr>
          <w:trHeight w:val="279"/>
        </w:trPr>
        <w:tc>
          <w:tcPr>
            <w:tcW w:w="1363" w:type="dxa"/>
            <w:shd w:val="clear" w:color="000000" w:fill="FFFFFF"/>
            <w:noWrap/>
            <w:vAlign w:val="bottom"/>
            <w:hideMark/>
          </w:tcPr>
          <w:p w14:paraId="2DA163F3" w14:textId="77777777" w:rsidR="00677577" w:rsidRPr="00230A37" w:rsidRDefault="00677577">
            <w:pPr>
              <w:spacing w:after="0" w:line="240" w:lineRule="auto"/>
              <w:rPr>
                <w:rFonts w:ascii="Calibri" w:eastAsia="Times New Roman" w:hAnsi="Calibri" w:cs="Calibri"/>
                <w:color w:val="000000"/>
                <w:lang w:eastAsia="en-AU"/>
              </w:rPr>
            </w:pPr>
            <w:r w:rsidRPr="00230A37">
              <w:rPr>
                <w:rFonts w:ascii="Calibri" w:eastAsia="Times New Roman" w:hAnsi="Calibri" w:cs="Calibri"/>
                <w:color w:val="000000"/>
                <w:lang w:eastAsia="en-AU"/>
              </w:rPr>
              <w:t>Dec-2023</w:t>
            </w:r>
          </w:p>
        </w:tc>
        <w:tc>
          <w:tcPr>
            <w:tcW w:w="1971" w:type="dxa"/>
            <w:noWrap/>
            <w:vAlign w:val="bottom"/>
            <w:hideMark/>
          </w:tcPr>
          <w:p w14:paraId="238426BD"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39%</w:t>
            </w:r>
          </w:p>
        </w:tc>
        <w:tc>
          <w:tcPr>
            <w:tcW w:w="2280" w:type="dxa"/>
            <w:noWrap/>
            <w:vAlign w:val="bottom"/>
            <w:hideMark/>
          </w:tcPr>
          <w:p w14:paraId="1FCEE2C0"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43%</w:t>
            </w:r>
          </w:p>
        </w:tc>
        <w:tc>
          <w:tcPr>
            <w:tcW w:w="1681" w:type="dxa"/>
            <w:noWrap/>
            <w:vAlign w:val="bottom"/>
            <w:hideMark/>
          </w:tcPr>
          <w:p w14:paraId="5EDD9B2B"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18%</w:t>
            </w:r>
          </w:p>
        </w:tc>
        <w:tc>
          <w:tcPr>
            <w:tcW w:w="1363" w:type="dxa"/>
            <w:noWrap/>
            <w:vAlign w:val="bottom"/>
            <w:hideMark/>
          </w:tcPr>
          <w:p w14:paraId="76969C08"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100%</w:t>
            </w:r>
          </w:p>
        </w:tc>
      </w:tr>
      <w:tr w:rsidR="00677577" w:rsidRPr="00230A37" w14:paraId="0DEB1F45" w14:textId="77777777">
        <w:trPr>
          <w:trHeight w:val="279"/>
        </w:trPr>
        <w:tc>
          <w:tcPr>
            <w:tcW w:w="1363" w:type="dxa"/>
            <w:shd w:val="clear" w:color="000000" w:fill="FFFFFF"/>
            <w:noWrap/>
            <w:vAlign w:val="bottom"/>
            <w:hideMark/>
          </w:tcPr>
          <w:p w14:paraId="39EDA14D" w14:textId="77777777" w:rsidR="00677577" w:rsidRPr="00230A37" w:rsidRDefault="00677577">
            <w:pPr>
              <w:spacing w:after="0" w:line="240" w:lineRule="auto"/>
              <w:rPr>
                <w:rFonts w:ascii="Calibri" w:eastAsia="Times New Roman" w:hAnsi="Calibri" w:cs="Calibri"/>
                <w:color w:val="000000"/>
                <w:lang w:eastAsia="en-AU"/>
              </w:rPr>
            </w:pPr>
            <w:r w:rsidRPr="00230A37">
              <w:rPr>
                <w:rFonts w:ascii="Calibri" w:eastAsia="Times New Roman" w:hAnsi="Calibri" w:cs="Calibri"/>
                <w:color w:val="000000"/>
                <w:lang w:eastAsia="en-AU"/>
              </w:rPr>
              <w:t>Dec-2024</w:t>
            </w:r>
          </w:p>
        </w:tc>
        <w:tc>
          <w:tcPr>
            <w:tcW w:w="1971" w:type="dxa"/>
            <w:noWrap/>
            <w:vAlign w:val="bottom"/>
            <w:hideMark/>
          </w:tcPr>
          <w:p w14:paraId="6C51E408"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37%</w:t>
            </w:r>
          </w:p>
        </w:tc>
        <w:tc>
          <w:tcPr>
            <w:tcW w:w="2280" w:type="dxa"/>
            <w:noWrap/>
            <w:vAlign w:val="bottom"/>
            <w:hideMark/>
          </w:tcPr>
          <w:p w14:paraId="1CA5F7AD"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50%</w:t>
            </w:r>
          </w:p>
        </w:tc>
        <w:tc>
          <w:tcPr>
            <w:tcW w:w="1681" w:type="dxa"/>
            <w:noWrap/>
            <w:vAlign w:val="bottom"/>
            <w:hideMark/>
          </w:tcPr>
          <w:p w14:paraId="261B6990"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13%</w:t>
            </w:r>
          </w:p>
        </w:tc>
        <w:tc>
          <w:tcPr>
            <w:tcW w:w="1363" w:type="dxa"/>
            <w:noWrap/>
            <w:vAlign w:val="bottom"/>
            <w:hideMark/>
          </w:tcPr>
          <w:p w14:paraId="04AD7842" w14:textId="77777777" w:rsidR="00677577" w:rsidRPr="00230A37" w:rsidRDefault="00677577">
            <w:pPr>
              <w:spacing w:after="0" w:line="240" w:lineRule="auto"/>
              <w:jc w:val="right"/>
              <w:rPr>
                <w:rFonts w:ascii="Arial" w:eastAsia="Times New Roman" w:hAnsi="Arial" w:cs="Arial"/>
                <w:sz w:val="20"/>
                <w:szCs w:val="20"/>
                <w:lang w:eastAsia="en-AU"/>
              </w:rPr>
            </w:pPr>
            <w:r w:rsidRPr="00230A37">
              <w:rPr>
                <w:rFonts w:ascii="Arial" w:eastAsia="Times New Roman" w:hAnsi="Arial" w:cs="Arial"/>
                <w:sz w:val="20"/>
                <w:szCs w:val="20"/>
                <w:lang w:eastAsia="en-AU"/>
              </w:rPr>
              <w:t>100%</w:t>
            </w:r>
          </w:p>
        </w:tc>
      </w:tr>
    </w:tbl>
    <w:p w14:paraId="72158609" w14:textId="1E2296DF" w:rsidR="00365C93" w:rsidRPr="00167CB8" w:rsidRDefault="00365C93" w:rsidP="00365C93">
      <w:pPr>
        <w:pStyle w:val="Source"/>
      </w:pPr>
      <w:r w:rsidRPr="00167CB8">
        <w:rPr>
          <w:b/>
          <w:bCs/>
        </w:rPr>
        <w:t>Source:</w:t>
      </w:r>
      <w:r w:rsidRPr="00167CB8">
        <w:t xml:space="preserve"> ABS Cat No 6345.0,</w:t>
      </w:r>
      <w:r>
        <w:t xml:space="preserve"> </w:t>
      </w:r>
      <w:r w:rsidRPr="00167CB8">
        <w:t xml:space="preserve">Wage Price Index, Australia, </w:t>
      </w:r>
      <w:r>
        <w:t>unpublished data.</w:t>
      </w:r>
    </w:p>
    <w:p w14:paraId="1D101D12" w14:textId="7B1132A5" w:rsidR="00677577" w:rsidRPr="00167CB8" w:rsidRDefault="00677577" w:rsidP="00677577">
      <w:pPr>
        <w:pStyle w:val="Heading4"/>
      </w:pPr>
      <w:bookmarkStart w:id="896" w:name="_Toc186991767"/>
      <w:bookmarkStart w:id="897" w:name="_Toc189393671"/>
      <w:r w:rsidRPr="00167CB8">
        <w:t>3.2 Average weekly ordinary time earnings data</w:t>
      </w:r>
      <w:bookmarkEnd w:id="896"/>
      <w:bookmarkEnd w:id="897"/>
    </w:p>
    <w:p w14:paraId="0E3800B4" w14:textId="47C8D0F4" w:rsidR="00677577" w:rsidRDefault="00677577" w:rsidP="00677577">
      <w:r w:rsidRPr="00167CB8">
        <w:t xml:space="preserve">This section describes wage trends and outcomes using data from the Average Weekly </w:t>
      </w:r>
      <w:r w:rsidRPr="00167CB8" w:rsidDel="00702D44">
        <w:t>E</w:t>
      </w:r>
      <w:r w:rsidRPr="00167CB8">
        <w:t>arnings (AWE) bi-annual survey of business units (ABS Cat No 6302.0). The latest release (at the time of writing) is for November 2024.</w:t>
      </w:r>
    </w:p>
    <w:p w14:paraId="157F9F9B" w14:textId="63A15FA7" w:rsidR="00677577" w:rsidRDefault="00677577" w:rsidP="00677577">
      <w:r w:rsidRPr="003044E4">
        <w:t>Figure 3</w:t>
      </w:r>
      <w:r w:rsidR="00365C93" w:rsidRPr="003044E4">
        <w:t>9</w:t>
      </w:r>
      <w:r w:rsidRPr="00A32FB1">
        <w:t xml:space="preserve"> shows trends in the average weekly ordinary time earnings (AWOTE) of adult men</w:t>
      </w:r>
      <w:r>
        <w:t xml:space="preserve"> employed full-time (dark bars) at May of each year alongside the </w:t>
      </w:r>
      <w:r w:rsidR="00A32FB1">
        <w:t>N</w:t>
      </w:r>
      <w:r>
        <w:t xml:space="preserve">ational </w:t>
      </w:r>
      <w:r w:rsidR="00A32FB1">
        <w:t>M</w:t>
      </w:r>
      <w:r>
        <w:t xml:space="preserve">inimum </w:t>
      </w:r>
      <w:r w:rsidR="00A32FB1">
        <w:t>W</w:t>
      </w:r>
      <w:r>
        <w:t xml:space="preserve">age (NMW) order (typically commencing </w:t>
      </w:r>
      <w:r w:rsidR="00702D44">
        <w:t xml:space="preserve">in </w:t>
      </w:r>
      <w:r>
        <w:t>July) of each year. The trend line shows trends in the NMW relativity (relative to male AWOTE). In 2001 the NMW as a share of AWOTE of adult men employed full-time (the benchmark group) was equal to 48%. This relativity had reached a low of 40% by 2021. Sizeable adjustments to the NMW (in relative terms) post the Secure Jobs, Better Pay amendments saw the relativity rise to 46% in 2023. In 2024 the relativity stood at 45%.</w:t>
      </w:r>
    </w:p>
    <w:p w14:paraId="5C1AC936" w14:textId="77777777" w:rsidR="00677577" w:rsidRDefault="00677577" w:rsidP="00677577">
      <w:pPr>
        <w:rPr>
          <w:rFonts w:cs="Calibri"/>
          <w:b/>
          <w:bCs/>
          <w:lang w:val="en-US"/>
        </w:rPr>
      </w:pPr>
      <w:r>
        <w:br w:type="page"/>
      </w:r>
    </w:p>
    <w:p w14:paraId="3984D38E" w14:textId="4249A0CD" w:rsidR="0011475D" w:rsidRDefault="00365C93" w:rsidP="007F380D">
      <w:pPr>
        <w:pStyle w:val="Caption"/>
      </w:pPr>
      <w:bookmarkStart w:id="898" w:name="_Toc194251537"/>
      <w:r>
        <w:t xml:space="preserve">Figure </w:t>
      </w:r>
      <w:r>
        <w:fldChar w:fldCharType="begin"/>
      </w:r>
      <w:r>
        <w:instrText xml:space="preserve"> SEQ Figure \* ARABIC </w:instrText>
      </w:r>
      <w:r>
        <w:fldChar w:fldCharType="separate"/>
      </w:r>
      <w:r w:rsidR="00DE5F5E">
        <w:rPr>
          <w:noProof/>
        </w:rPr>
        <w:t>39</w:t>
      </w:r>
      <w:r>
        <w:fldChar w:fldCharType="end"/>
      </w:r>
      <w:r>
        <w:t xml:space="preserve">: </w:t>
      </w:r>
      <w:r w:rsidR="00677577" w:rsidRPr="00167CB8">
        <w:t xml:space="preserve">Trends in </w:t>
      </w:r>
      <w:r w:rsidR="00677577">
        <w:t xml:space="preserve">National Minimum Wage relative to </w:t>
      </w:r>
      <w:r w:rsidR="00702D44">
        <w:t xml:space="preserve">average weekly ordinary time earnings </w:t>
      </w:r>
      <w:r w:rsidR="00677577">
        <w:t>of men employed full-time, 2001 to 2024</w:t>
      </w:r>
      <w:bookmarkEnd w:id="898"/>
    </w:p>
    <w:p w14:paraId="1BEF980D" w14:textId="76586E1A" w:rsidR="00677577" w:rsidRPr="00167CB8" w:rsidRDefault="00677577" w:rsidP="00677577">
      <w:r w:rsidRPr="00B011EE">
        <w:rPr>
          <w:noProof/>
        </w:rPr>
        <w:drawing>
          <wp:inline distT="0" distB="0" distL="0" distR="0" wp14:anchorId="552842F1" wp14:editId="1218FD08">
            <wp:extent cx="5731510" cy="3742690"/>
            <wp:effectExtent l="0" t="0" r="2540" b="0"/>
            <wp:docPr id="1473323334" name="Picture 1" descr="A combination chart of trends in national minimum wage relative to average weekly ordinary time earnings of men employed full time.&#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323334" name="Picture 1" descr="A combination chart of trends in national minimum wage relative to average weekly ordinary time earnings of men employed full time.&#10;&#10;See alt-text following the source."/>
                    <pic:cNvPicPr/>
                  </pic:nvPicPr>
                  <pic:blipFill>
                    <a:blip r:embed="rId56"/>
                    <a:stretch>
                      <a:fillRect/>
                    </a:stretch>
                  </pic:blipFill>
                  <pic:spPr>
                    <a:xfrm>
                      <a:off x="0" y="0"/>
                      <a:ext cx="5731510" cy="3742690"/>
                    </a:xfrm>
                    <a:prstGeom prst="rect">
                      <a:avLst/>
                    </a:prstGeom>
                  </pic:spPr>
                </pic:pic>
              </a:graphicData>
            </a:graphic>
          </wp:inline>
        </w:drawing>
      </w:r>
    </w:p>
    <w:p w14:paraId="3FECAFF4" w14:textId="0A6A9020" w:rsidR="005F0C55" w:rsidRPr="00167CB8" w:rsidRDefault="00702D44" w:rsidP="005F0C55">
      <w:pPr>
        <w:pStyle w:val="Source"/>
      </w:pPr>
      <w:r>
        <w:rPr>
          <w:b/>
          <w:bCs/>
        </w:rPr>
        <w:t xml:space="preserve">Note: </w:t>
      </w:r>
      <w:r w:rsidRPr="00D0365B">
        <w:t>AWOTE: average weekly ordinary time earnings; NMW: National Minimum Wage; RHS: right-hand side.</w:t>
      </w:r>
      <w:r w:rsidR="005F0C55">
        <w:t xml:space="preserve"> The red vertical line shows when the Secure Job, Better Pay amendments commenced.</w:t>
      </w:r>
    </w:p>
    <w:p w14:paraId="51A8D9A1" w14:textId="6D1619ED" w:rsidR="00677577" w:rsidRDefault="00677577" w:rsidP="00677577">
      <w:pPr>
        <w:pStyle w:val="Source"/>
      </w:pPr>
      <w:r w:rsidRPr="00167CB8">
        <w:rPr>
          <w:b/>
          <w:bCs/>
        </w:rPr>
        <w:t>Source:</w:t>
      </w:r>
      <w:r w:rsidRPr="00167CB8">
        <w:t xml:space="preserve"> ABS 6302.0 Average Weekly Earnings, Australia</w:t>
      </w:r>
      <w:r>
        <w:t xml:space="preserve"> and FWC National Minimum Wage Orders (various)</w:t>
      </w:r>
      <w:r w:rsidR="00702D44">
        <w:t>.</w:t>
      </w:r>
    </w:p>
    <w:p w14:paraId="44DA441B" w14:textId="4D322C3E" w:rsidR="00B21EF9" w:rsidRDefault="00B21EF9" w:rsidP="00677577">
      <w:pPr>
        <w:pStyle w:val="Source"/>
      </w:pPr>
      <w:r w:rsidRPr="002407F8">
        <w:rPr>
          <w:b/>
        </w:rPr>
        <w:t xml:space="preserve">Alt-text: </w:t>
      </w:r>
      <w:r w:rsidRPr="00947A92">
        <w:rPr>
          <w:bCs/>
        </w:rPr>
        <w:t xml:space="preserve">A </w:t>
      </w:r>
      <w:r w:rsidR="00E732E8">
        <w:rPr>
          <w:bCs/>
        </w:rPr>
        <w:t>combination</w:t>
      </w:r>
      <w:r w:rsidR="0025594C">
        <w:rPr>
          <w:bCs/>
        </w:rPr>
        <w:t xml:space="preserve"> chart showing </w:t>
      </w:r>
      <w:r w:rsidR="004C1A73">
        <w:rPr>
          <w:bCs/>
        </w:rPr>
        <w:t>trends in the National Minimum Wage relative to average weekly ordinary time earnings of men employed full-time</w:t>
      </w:r>
      <w:r w:rsidR="00603E32">
        <w:rPr>
          <w:bCs/>
        </w:rPr>
        <w:t xml:space="preserve"> from 2001 to 2024</w:t>
      </w:r>
      <w:r w:rsidR="004C1A73">
        <w:rPr>
          <w:bCs/>
        </w:rPr>
        <w:t xml:space="preserve">. </w:t>
      </w:r>
      <w:r w:rsidR="00594561">
        <w:rPr>
          <w:bCs/>
        </w:rPr>
        <w:t>The dark blue bars show</w:t>
      </w:r>
      <w:r w:rsidR="00914D2B">
        <w:rPr>
          <w:bCs/>
        </w:rPr>
        <w:t xml:space="preserve"> the average weekly ordinary time earnings </w:t>
      </w:r>
      <w:r w:rsidR="00DF0072">
        <w:rPr>
          <w:bCs/>
        </w:rPr>
        <w:t>(LHS axis)</w:t>
      </w:r>
      <w:r w:rsidR="00914D2B">
        <w:rPr>
          <w:bCs/>
        </w:rPr>
        <w:t xml:space="preserve"> of</w:t>
      </w:r>
      <w:r w:rsidR="00361CCD">
        <w:rPr>
          <w:bCs/>
        </w:rPr>
        <w:t xml:space="preserve"> adult</w:t>
      </w:r>
      <w:r w:rsidR="00914D2B">
        <w:rPr>
          <w:bCs/>
        </w:rPr>
        <w:t xml:space="preserve"> men </w:t>
      </w:r>
      <w:r w:rsidR="009477CF">
        <w:rPr>
          <w:bCs/>
        </w:rPr>
        <w:t>employed full-time</w:t>
      </w:r>
      <w:r w:rsidR="00914D2B">
        <w:rPr>
          <w:bCs/>
        </w:rPr>
        <w:t xml:space="preserve"> </w:t>
      </w:r>
      <w:r w:rsidR="00751AD1">
        <w:rPr>
          <w:bCs/>
        </w:rPr>
        <w:t>by year</w:t>
      </w:r>
      <w:r w:rsidR="00D526C0">
        <w:rPr>
          <w:bCs/>
        </w:rPr>
        <w:t xml:space="preserve">. </w:t>
      </w:r>
      <w:r w:rsidR="00594561">
        <w:rPr>
          <w:bCs/>
        </w:rPr>
        <w:t xml:space="preserve">The light blue bars </w:t>
      </w:r>
      <w:r w:rsidR="00450450">
        <w:rPr>
          <w:bCs/>
        </w:rPr>
        <w:t>show</w:t>
      </w:r>
      <w:r w:rsidR="00594561">
        <w:rPr>
          <w:bCs/>
        </w:rPr>
        <w:t xml:space="preserve"> the </w:t>
      </w:r>
      <w:r w:rsidR="00A51838">
        <w:rPr>
          <w:bCs/>
        </w:rPr>
        <w:t>National Minimum Wage (LHS axis</w:t>
      </w:r>
      <w:r w:rsidR="00DF0072">
        <w:rPr>
          <w:bCs/>
        </w:rPr>
        <w:t>)</w:t>
      </w:r>
      <w:r w:rsidR="00450450">
        <w:rPr>
          <w:bCs/>
        </w:rPr>
        <w:t xml:space="preserve"> by year</w:t>
      </w:r>
      <w:r w:rsidR="00A51838">
        <w:rPr>
          <w:bCs/>
        </w:rPr>
        <w:t>.</w:t>
      </w:r>
      <w:r w:rsidR="007F4F7C">
        <w:rPr>
          <w:bCs/>
        </w:rPr>
        <w:t xml:space="preserve"> The </w:t>
      </w:r>
      <w:r w:rsidR="00DD2DE2">
        <w:rPr>
          <w:bCs/>
        </w:rPr>
        <w:t>light</w:t>
      </w:r>
      <w:r w:rsidR="007F4F7C">
        <w:rPr>
          <w:bCs/>
        </w:rPr>
        <w:t xml:space="preserve"> blue line shows </w:t>
      </w:r>
      <w:r w:rsidR="009C3A88">
        <w:rPr>
          <w:bCs/>
        </w:rPr>
        <w:t>trends in National Minimum Wage relativity</w:t>
      </w:r>
      <w:r w:rsidR="00D526C0">
        <w:rPr>
          <w:bCs/>
        </w:rPr>
        <w:t xml:space="preserve">, </w:t>
      </w:r>
      <w:r w:rsidR="009C3A88">
        <w:rPr>
          <w:bCs/>
        </w:rPr>
        <w:t xml:space="preserve">relative to male </w:t>
      </w:r>
      <w:r w:rsidR="002C5A18">
        <w:rPr>
          <w:bCs/>
        </w:rPr>
        <w:t>average weekly ordinary time earnings</w:t>
      </w:r>
      <w:r w:rsidR="003B7322">
        <w:rPr>
          <w:bCs/>
        </w:rPr>
        <w:t xml:space="preserve"> (RHS axis</w:t>
      </w:r>
      <w:r w:rsidR="002C5A18">
        <w:rPr>
          <w:bCs/>
        </w:rPr>
        <w:t xml:space="preserve">). </w:t>
      </w:r>
    </w:p>
    <w:p w14:paraId="2E76C3E4" w14:textId="11E442A6" w:rsidR="0011475D" w:rsidRPr="00A32FB1" w:rsidRDefault="00677577" w:rsidP="00677577">
      <w:r w:rsidRPr="00173F25">
        <w:t xml:space="preserve">Figure </w:t>
      </w:r>
      <w:r w:rsidR="00365C93" w:rsidRPr="00173F25">
        <w:t>40</w:t>
      </w:r>
      <w:r w:rsidRPr="00A32FB1">
        <w:t xml:space="preserve"> focuses on trends in the AWOTE of adult men </w:t>
      </w:r>
      <w:r w:rsidRPr="00A32FB1" w:rsidDel="00702D44">
        <w:t>a</w:t>
      </w:r>
      <w:r w:rsidRPr="00A32FB1">
        <w:t>nd women employed full-time. Two versions of the GWG are provided for comparison purposes. The conventional measure (using male wages as the denominator) shows how much male earnings need to fall for gender equality to be achieved. The gap using female wages as the denominator (showing how much female wages need to increase for equality to be achieved) is also reported but not the focus of discussion.</w:t>
      </w:r>
    </w:p>
    <w:p w14:paraId="1AEB4E3B" w14:textId="324B803C" w:rsidR="00677577" w:rsidRDefault="00677577" w:rsidP="00677577">
      <w:r w:rsidRPr="00A32FB1">
        <w:t xml:space="preserve">The estimates in </w:t>
      </w:r>
      <w:r w:rsidRPr="000C152A">
        <w:t xml:space="preserve">Figure </w:t>
      </w:r>
      <w:r w:rsidR="00365C93" w:rsidRPr="000C152A">
        <w:t>40</w:t>
      </w:r>
      <w:r w:rsidRPr="00A32FB1">
        <w:t xml:space="preserve"> show that between November 2022 and November 2024 </w:t>
      </w:r>
      <w:r w:rsidR="00702D44" w:rsidRPr="00A32FB1">
        <w:t xml:space="preserve">the </w:t>
      </w:r>
      <w:r w:rsidRPr="00A32FB1">
        <w:t>AWOTE of adults employed full-time has grown faster among women than men, although in the last six months (May 2024 to November 2024) male AWOTE grew faster than female AWOTE.</w:t>
      </w:r>
    </w:p>
    <w:p w14:paraId="5024E9D3" w14:textId="08719859" w:rsidR="00677577" w:rsidRPr="00167CB8" w:rsidRDefault="00365C93" w:rsidP="007F380D">
      <w:pPr>
        <w:pStyle w:val="Caption"/>
      </w:pPr>
      <w:bookmarkStart w:id="899" w:name="_Toc186991793"/>
      <w:bookmarkStart w:id="900" w:name="_Toc189310826"/>
      <w:bookmarkStart w:id="901" w:name="_Toc194251538"/>
      <w:r>
        <w:t xml:space="preserve">Figure </w:t>
      </w:r>
      <w:r>
        <w:fldChar w:fldCharType="begin"/>
      </w:r>
      <w:r>
        <w:instrText xml:space="preserve"> SEQ Figure \* ARABIC </w:instrText>
      </w:r>
      <w:r>
        <w:fldChar w:fldCharType="separate"/>
      </w:r>
      <w:r w:rsidR="00DE5F5E">
        <w:rPr>
          <w:noProof/>
        </w:rPr>
        <w:t>40</w:t>
      </w:r>
      <w:r>
        <w:fldChar w:fldCharType="end"/>
      </w:r>
      <w:r>
        <w:t xml:space="preserve">: </w:t>
      </w:r>
      <w:r w:rsidR="00677577" w:rsidRPr="00167CB8">
        <w:t xml:space="preserve">Trends in </w:t>
      </w:r>
      <w:r w:rsidR="00702D44">
        <w:t>average weekly ordinary time earnings</w:t>
      </w:r>
      <w:r w:rsidR="00677577" w:rsidRPr="00167CB8">
        <w:t xml:space="preserve"> of men and women and in the </w:t>
      </w:r>
      <w:bookmarkEnd w:id="899"/>
      <w:bookmarkEnd w:id="900"/>
      <w:r w:rsidR="00702D44">
        <w:t>gender wage gap</w:t>
      </w:r>
      <w:bookmarkEnd w:id="901"/>
    </w:p>
    <w:p w14:paraId="332B2CED" w14:textId="6F39E76C" w:rsidR="00677577" w:rsidRPr="00167CB8" w:rsidRDefault="00677577" w:rsidP="00677577">
      <w:r w:rsidRPr="009C07DD">
        <w:rPr>
          <w:noProof/>
        </w:rPr>
        <w:t xml:space="preserve"> </w:t>
      </w:r>
      <w:r w:rsidRPr="009C07DD">
        <w:rPr>
          <w:noProof/>
        </w:rPr>
        <w:drawing>
          <wp:inline distT="0" distB="0" distL="0" distR="0" wp14:anchorId="1447169B" wp14:editId="64E06B05">
            <wp:extent cx="5731510" cy="3748405"/>
            <wp:effectExtent l="0" t="0" r="2540" b="4445"/>
            <wp:docPr id="2037653233" name="Picture 1" descr="A combination graph showing trends in average weekly ordinary time earnings of men and women and in the gender pay gap.&#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653233" name="Picture 1" descr="A combination graph showing trends in average weekly ordinary time earnings of men and women and in the gender pay gap.&#10;&#10;See alt-text following the source."/>
                    <pic:cNvPicPr/>
                  </pic:nvPicPr>
                  <pic:blipFill>
                    <a:blip r:embed="rId57"/>
                    <a:stretch>
                      <a:fillRect/>
                    </a:stretch>
                  </pic:blipFill>
                  <pic:spPr>
                    <a:xfrm>
                      <a:off x="0" y="0"/>
                      <a:ext cx="5731510" cy="3748405"/>
                    </a:xfrm>
                    <a:prstGeom prst="rect">
                      <a:avLst/>
                    </a:prstGeom>
                  </pic:spPr>
                </pic:pic>
              </a:graphicData>
            </a:graphic>
          </wp:inline>
        </w:drawing>
      </w:r>
    </w:p>
    <w:p w14:paraId="2CEC1F19" w14:textId="51AA7D62" w:rsidR="00702D44" w:rsidRDefault="00702D44" w:rsidP="00677577">
      <w:pPr>
        <w:pStyle w:val="Source"/>
        <w:rPr>
          <w:b/>
          <w:bCs/>
        </w:rPr>
      </w:pPr>
      <w:r>
        <w:rPr>
          <w:b/>
          <w:bCs/>
        </w:rPr>
        <w:t xml:space="preserve">Note: </w:t>
      </w:r>
      <w:r w:rsidRPr="003B7FE9">
        <w:t>GWG: gender wage gap</w:t>
      </w:r>
      <w:r>
        <w:t>.</w:t>
      </w:r>
    </w:p>
    <w:p w14:paraId="1A6761CF" w14:textId="22B8F718" w:rsidR="00677577" w:rsidRPr="00167CB8" w:rsidRDefault="00677577" w:rsidP="00677577">
      <w:pPr>
        <w:pStyle w:val="Source"/>
      </w:pPr>
      <w:r w:rsidRPr="00167CB8">
        <w:rPr>
          <w:b/>
          <w:bCs/>
        </w:rPr>
        <w:t>Source:</w:t>
      </w:r>
      <w:r w:rsidRPr="00167CB8">
        <w:t xml:space="preserve"> ABS 6302.0 Average Weekly Earnings, Australia, Table 2 (seasonally adjusted).</w:t>
      </w:r>
    </w:p>
    <w:p w14:paraId="0B1FF049" w14:textId="53350F77" w:rsidR="00677577" w:rsidRPr="00167CB8" w:rsidRDefault="00677577" w:rsidP="00677577">
      <w:pPr>
        <w:pStyle w:val="Source"/>
      </w:pPr>
      <w:r w:rsidRPr="00167CB8">
        <w:rPr>
          <w:b/>
          <w:bCs/>
        </w:rPr>
        <w:t>Alt-text:</w:t>
      </w:r>
      <w:r w:rsidRPr="00167CB8">
        <w:t xml:space="preserve"> A combination graph showing trends in average weekly ordinary time earnings of adults employed full-time and trends in the gender wage gap (GWG). The dashed GWG line shows gender differences in wages expressed as a share of male earnings. At May 2024 the GWG was equal to 11</w:t>
      </w:r>
      <w:r>
        <w:t>.5</w:t>
      </w:r>
      <w:r w:rsidR="00702D44" w:rsidRPr="00167CB8">
        <w:t>%</w:t>
      </w:r>
      <w:r w:rsidR="00702D44">
        <w:t xml:space="preserve"> </w:t>
      </w:r>
      <w:r w:rsidR="00702D44">
        <w:rPr>
          <w:rFonts w:ascii="Symbol" w:eastAsia="Symbol" w:hAnsi="Symbol" w:cs="Symbol"/>
        </w:rPr>
        <w:sym w:font="Symbol" w:char="F02D"/>
      </w:r>
      <w:r w:rsidR="00702D44">
        <w:t xml:space="preserve"> </w:t>
      </w:r>
      <w:r>
        <w:t>a record low</w:t>
      </w:r>
      <w:r w:rsidRPr="00167CB8">
        <w:t>.</w:t>
      </w:r>
    </w:p>
    <w:p w14:paraId="6351C8D4" w14:textId="253CCBBE" w:rsidR="00677577" w:rsidRDefault="00677577" w:rsidP="00677577">
      <w:r w:rsidRPr="00B03EE1">
        <w:t xml:space="preserve">Figure </w:t>
      </w:r>
      <w:r w:rsidR="00365C93" w:rsidRPr="00B03EE1">
        <w:t>41</w:t>
      </w:r>
      <w:r w:rsidRPr="00A32FB1">
        <w:t xml:space="preserve"> shows trends in the gender wage gap over a longer period of time (1984 to 2024)</w:t>
      </w:r>
      <w:r>
        <w:t xml:space="preserve"> alongside markers showing when select important legislative principles and decisions concerning pay equity and equal remuneration were made.</w:t>
      </w:r>
    </w:p>
    <w:p w14:paraId="31DCA162" w14:textId="77777777" w:rsidR="00677577" w:rsidRDefault="00677577" w:rsidP="00677577">
      <w:r>
        <w:br w:type="page"/>
      </w:r>
    </w:p>
    <w:p w14:paraId="7827E95E" w14:textId="5CA8D1A8" w:rsidR="00677577" w:rsidRPr="00167CB8" w:rsidRDefault="00365C93" w:rsidP="007F380D">
      <w:pPr>
        <w:pStyle w:val="Caption"/>
      </w:pPr>
      <w:bookmarkStart w:id="902" w:name="_Toc194251539"/>
      <w:r>
        <w:t xml:space="preserve">Figure </w:t>
      </w:r>
      <w:r>
        <w:fldChar w:fldCharType="begin"/>
      </w:r>
      <w:r>
        <w:instrText xml:space="preserve"> SEQ Figure \* ARABIC </w:instrText>
      </w:r>
      <w:r>
        <w:fldChar w:fldCharType="separate"/>
      </w:r>
      <w:r w:rsidR="00DE5F5E">
        <w:rPr>
          <w:noProof/>
        </w:rPr>
        <w:t>41</w:t>
      </w:r>
      <w:r>
        <w:fldChar w:fldCharType="end"/>
      </w:r>
      <w:r>
        <w:t xml:space="preserve">: </w:t>
      </w:r>
      <w:r w:rsidR="00677577" w:rsidRPr="00167CB8">
        <w:t xml:space="preserve">Trends in the gender wage gap </w:t>
      </w:r>
      <w:r w:rsidR="00677577">
        <w:t>in the full-time labour market, 198</w:t>
      </w:r>
      <w:r w:rsidR="00416DD5">
        <w:t>4</w:t>
      </w:r>
      <w:r w:rsidR="00677577">
        <w:t xml:space="preserve"> to</w:t>
      </w:r>
      <w:r w:rsidR="00677577" w:rsidRPr="00167CB8">
        <w:t xml:space="preserve"> 2024</w:t>
      </w:r>
      <w:bookmarkEnd w:id="902"/>
    </w:p>
    <w:p w14:paraId="2E30A0E7" w14:textId="1B701079" w:rsidR="00677577" w:rsidRDefault="00677577" w:rsidP="00677577">
      <w:pPr>
        <w:pStyle w:val="Source"/>
        <w:rPr>
          <w:b/>
          <w:bCs/>
        </w:rPr>
      </w:pPr>
      <w:r w:rsidRPr="00301722">
        <w:rPr>
          <w:noProof/>
        </w:rPr>
        <w:drawing>
          <wp:inline distT="0" distB="0" distL="0" distR="0" wp14:anchorId="1F62B973" wp14:editId="21DE159A">
            <wp:extent cx="5731510" cy="3742690"/>
            <wp:effectExtent l="0" t="0" r="2540" b="0"/>
            <wp:docPr id="1088131426" name="Picture 1" descr="A line chart showing trends in the gender wage gap in the full-time labour market.&#10;&#10;See alt-text following 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131426" name="Picture 1" descr="A line chart showing trends in the gender wage gap in the full-time labour market.&#10;&#10;See alt-text following notes."/>
                    <pic:cNvPicPr/>
                  </pic:nvPicPr>
                  <pic:blipFill>
                    <a:blip r:embed="rId37"/>
                    <a:stretch>
                      <a:fillRect/>
                    </a:stretch>
                  </pic:blipFill>
                  <pic:spPr>
                    <a:xfrm>
                      <a:off x="0" y="0"/>
                      <a:ext cx="5731510" cy="3742690"/>
                    </a:xfrm>
                    <a:prstGeom prst="rect">
                      <a:avLst/>
                    </a:prstGeom>
                  </pic:spPr>
                </pic:pic>
              </a:graphicData>
            </a:graphic>
          </wp:inline>
        </w:drawing>
      </w:r>
    </w:p>
    <w:p w14:paraId="195CDF93" w14:textId="77777777" w:rsidR="0011475D" w:rsidRDefault="00677577" w:rsidP="00677577">
      <w:pPr>
        <w:pStyle w:val="Source"/>
        <w:rPr>
          <w:b/>
          <w:bCs/>
        </w:rPr>
      </w:pPr>
      <w:r w:rsidRPr="00167CB8">
        <w:rPr>
          <w:b/>
          <w:bCs/>
        </w:rPr>
        <w:t>Notes:</w:t>
      </w:r>
    </w:p>
    <w:p w14:paraId="7BA7FC78" w14:textId="13304577" w:rsidR="00702D44" w:rsidRDefault="00702D44" w:rsidP="00677577">
      <w:pPr>
        <w:pStyle w:val="Source"/>
      </w:pPr>
      <w:r w:rsidRPr="007B334A">
        <w:t xml:space="preserve">1. ER Principle: </w:t>
      </w:r>
      <w:r w:rsidR="00A32FB1" w:rsidRPr="00D67FD5">
        <w:t>equal remuneration principle</w:t>
      </w:r>
      <w:r w:rsidRPr="007B334A">
        <w:t xml:space="preserve">; FW Act: </w:t>
      </w:r>
      <w:r w:rsidRPr="00D67FD5">
        <w:rPr>
          <w:i/>
        </w:rPr>
        <w:t>Fair Work Act 2009</w:t>
      </w:r>
      <w:r w:rsidRPr="007B334A">
        <w:t xml:space="preserve"> (Cth); IR Act: </w:t>
      </w:r>
      <w:r w:rsidR="00A32FB1" w:rsidRPr="00D67FD5">
        <w:rPr>
          <w:i/>
        </w:rPr>
        <w:t xml:space="preserve">Industrial Relations Act </w:t>
      </w:r>
      <w:r w:rsidR="007B334A" w:rsidRPr="00D67FD5">
        <w:rPr>
          <w:i/>
        </w:rPr>
        <w:t>1988</w:t>
      </w:r>
      <w:r w:rsidR="00A32FB1" w:rsidRPr="00D67FD5">
        <w:t xml:space="preserve"> (Cth)</w:t>
      </w:r>
      <w:r w:rsidRPr="007B334A">
        <w:t xml:space="preserve">; SACS case: </w:t>
      </w:r>
      <w:r w:rsidR="007B334A" w:rsidRPr="007B334A">
        <w:t>Social and Community Services test case</w:t>
      </w:r>
      <w:r w:rsidRPr="007B334A">
        <w:t>; SJBP Act: Secure Jobs, Better Pay Act.</w:t>
      </w:r>
    </w:p>
    <w:p w14:paraId="0F7CD4E1" w14:textId="1951B728" w:rsidR="00677577" w:rsidRPr="00167CB8" w:rsidRDefault="00702D44" w:rsidP="00677577">
      <w:pPr>
        <w:pStyle w:val="Source"/>
      </w:pPr>
      <w:r>
        <w:t>2</w:t>
      </w:r>
      <w:r w:rsidR="00677577" w:rsidRPr="00167CB8">
        <w:t>. ABS data source: ABS 6302.0 Average Weekly Earnings, Australia, Table 2 (seasonally adjusted). Since May 2012 estimates are reported bi-annually. Prior to this they were reported on a quarterly basis.</w:t>
      </w:r>
    </w:p>
    <w:p w14:paraId="42FF7090" w14:textId="2F9C66F4" w:rsidR="00677577" w:rsidRDefault="00702D44" w:rsidP="00677577">
      <w:pPr>
        <w:pStyle w:val="Source"/>
      </w:pPr>
      <w:r>
        <w:t>3</w:t>
      </w:r>
      <w:r w:rsidR="00677577" w:rsidRPr="396ABCA7">
        <w:t xml:space="preserve">. The solid red line shows outcomes post passage of the Secure </w:t>
      </w:r>
      <w:r>
        <w:t>J</w:t>
      </w:r>
      <w:r w:rsidR="00677577" w:rsidRPr="396ABCA7">
        <w:t xml:space="preserve">obs, Better Pay Act. The others show select important legislative principles and decisions in </w:t>
      </w:r>
      <w:r w:rsidR="00677577" w:rsidRPr="007B334A">
        <w:t>relation to equal pay. For further details see Smith and Whitehouse.</w:t>
      </w:r>
      <w:r w:rsidR="00677577" w:rsidRPr="007B334A">
        <w:rPr>
          <w:rStyle w:val="FootnoteReference"/>
          <w:rFonts w:ascii="Calibri" w:hAnsi="Calibri" w:cs="Calibri"/>
          <w:sz w:val="20"/>
        </w:rPr>
        <w:footnoteReference w:id="1331"/>
      </w:r>
    </w:p>
    <w:p w14:paraId="31587837" w14:textId="69D60C19" w:rsidR="0011475D" w:rsidRDefault="00677577" w:rsidP="00677577">
      <w:pPr>
        <w:pStyle w:val="Source"/>
      </w:pPr>
      <w:r w:rsidRPr="396ABCA7">
        <w:rPr>
          <w:b/>
          <w:bCs/>
        </w:rPr>
        <w:t>Alt-text:</w:t>
      </w:r>
      <w:r w:rsidRPr="396ABCA7">
        <w:t xml:space="preserve"> A line chart showing the downward trend in the </w:t>
      </w:r>
      <w:r w:rsidR="00702D44">
        <w:t xml:space="preserve">gender wage gap </w:t>
      </w:r>
      <w:r w:rsidRPr="396ABCA7">
        <w:t xml:space="preserve">between 1984 and 2024 which has continued </w:t>
      </w:r>
      <w:r>
        <w:t>a downward trend</w:t>
      </w:r>
      <w:r w:rsidRPr="396ABCA7">
        <w:t xml:space="preserve"> since 2022.</w:t>
      </w:r>
    </w:p>
    <w:p w14:paraId="537AEC17" w14:textId="5C93E8D7" w:rsidR="00677577" w:rsidRDefault="00677577" w:rsidP="00677577">
      <w:r>
        <w:br w:type="page"/>
      </w:r>
    </w:p>
    <w:p w14:paraId="2E81B2A8" w14:textId="65CE974E" w:rsidR="0011475D" w:rsidRDefault="00677577" w:rsidP="00677577">
      <w:r w:rsidRPr="00BE4541">
        <w:t xml:space="preserve">Table </w:t>
      </w:r>
      <w:r w:rsidR="00C729E0" w:rsidRPr="00BE4541">
        <w:t>4</w:t>
      </w:r>
      <w:r w:rsidR="00C729E0">
        <w:t>7</w:t>
      </w:r>
      <w:r w:rsidR="00C729E0" w:rsidRPr="007B334A">
        <w:t xml:space="preserve"> </w:t>
      </w:r>
      <w:r w:rsidRPr="007B334A">
        <w:t>summarises the changes in male AWOTE, female AWOTE and the resultant gender</w:t>
      </w:r>
      <w:r>
        <w:t xml:space="preserve"> wage gap since late 2022</w:t>
      </w:r>
      <w:r w:rsidRPr="00167CB8">
        <w:t xml:space="preserve">. The net effect </w:t>
      </w:r>
      <w:r>
        <w:t>is that AWOTE of female</w:t>
      </w:r>
      <w:r w:rsidR="00702D44">
        <w:t>s</w:t>
      </w:r>
      <w:r>
        <w:t xml:space="preserve"> has increased at a faster rate than AWOTE of males and so the raw </w:t>
      </w:r>
      <w:r w:rsidRPr="00167CB8">
        <w:t>GWG has narrowed</w:t>
      </w:r>
      <w:r>
        <w:t>.</w:t>
      </w:r>
    </w:p>
    <w:p w14:paraId="3A4C603E" w14:textId="014F40C4" w:rsidR="00677577" w:rsidRPr="00167CB8" w:rsidRDefault="00365C93" w:rsidP="007F380D">
      <w:pPr>
        <w:pStyle w:val="Caption"/>
      </w:pPr>
      <w:bookmarkStart w:id="903" w:name="_Ref184404883"/>
      <w:bookmarkStart w:id="904" w:name="_Ref186906097"/>
      <w:bookmarkStart w:id="905" w:name="_Toc186991820"/>
      <w:bookmarkStart w:id="906" w:name="_Toc189310871"/>
      <w:bookmarkStart w:id="907" w:name="_Toc194251471"/>
      <w:r>
        <w:t xml:space="preserve">Table </w:t>
      </w:r>
      <w:r>
        <w:fldChar w:fldCharType="begin"/>
      </w:r>
      <w:r>
        <w:instrText xml:space="preserve"> SEQ Table \* ARABIC </w:instrText>
      </w:r>
      <w:r>
        <w:fldChar w:fldCharType="separate"/>
      </w:r>
      <w:r w:rsidR="00DE5F5E">
        <w:rPr>
          <w:noProof/>
        </w:rPr>
        <w:t>47</w:t>
      </w:r>
      <w:r>
        <w:fldChar w:fldCharType="end"/>
      </w:r>
      <w:r>
        <w:t xml:space="preserve">: </w:t>
      </w:r>
      <w:bookmarkEnd w:id="903"/>
      <w:bookmarkEnd w:id="904"/>
      <w:r w:rsidR="00677577" w:rsidRPr="00167CB8">
        <w:t xml:space="preserve">Changes in </w:t>
      </w:r>
      <w:r w:rsidR="00702D44" w:rsidRPr="00702D44">
        <w:t xml:space="preserve">average weekly ordinary time earnings </w:t>
      </w:r>
      <w:r w:rsidR="00677577" w:rsidRPr="00167CB8">
        <w:t xml:space="preserve"> and </w:t>
      </w:r>
      <w:r w:rsidR="00702D44">
        <w:t>gender wage gap</w:t>
      </w:r>
      <w:r w:rsidR="00702D44" w:rsidRPr="00167CB8">
        <w:t xml:space="preserve"> </w:t>
      </w:r>
      <w:r w:rsidR="00677577" w:rsidRPr="00167CB8">
        <w:t>since 2022</w:t>
      </w:r>
      <w:bookmarkEnd w:id="905"/>
      <w:bookmarkEnd w:id="906"/>
      <w:bookmarkEnd w:id="907"/>
    </w:p>
    <w:tbl>
      <w:tblPr>
        <w:tblW w:w="920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572"/>
        <w:gridCol w:w="1879"/>
        <w:gridCol w:w="1879"/>
        <w:gridCol w:w="1879"/>
      </w:tblGrid>
      <w:tr w:rsidR="00677577" w:rsidRPr="00167CB8" w14:paraId="693D5F81" w14:textId="77777777">
        <w:trPr>
          <w:trHeight w:val="317"/>
        </w:trPr>
        <w:tc>
          <w:tcPr>
            <w:tcW w:w="3572" w:type="dxa"/>
            <w:tcBorders>
              <w:top w:val="single" w:sz="4" w:space="0" w:color="auto"/>
              <w:left w:val="single" w:sz="4" w:space="0" w:color="auto"/>
              <w:bottom w:val="single" w:sz="4" w:space="0" w:color="auto"/>
              <w:right w:val="nil"/>
            </w:tcBorders>
            <w:noWrap/>
            <w:vAlign w:val="bottom"/>
          </w:tcPr>
          <w:p w14:paraId="1F15033E" w14:textId="77777777" w:rsidR="00677577" w:rsidRPr="00167CB8" w:rsidRDefault="00677577" w:rsidP="001F2AE8">
            <w:pPr>
              <w:spacing w:line="240" w:lineRule="auto"/>
              <w:rPr>
                <w:b/>
                <w:bCs/>
              </w:rPr>
            </w:pPr>
          </w:p>
        </w:tc>
        <w:tc>
          <w:tcPr>
            <w:tcW w:w="1879" w:type="dxa"/>
            <w:tcBorders>
              <w:top w:val="single" w:sz="4" w:space="0" w:color="auto"/>
              <w:left w:val="nil"/>
              <w:bottom w:val="single" w:sz="4" w:space="0" w:color="auto"/>
              <w:right w:val="nil"/>
            </w:tcBorders>
            <w:noWrap/>
            <w:vAlign w:val="bottom"/>
            <w:hideMark/>
          </w:tcPr>
          <w:p w14:paraId="042A1767" w14:textId="77777777" w:rsidR="00677577" w:rsidRPr="00167CB8" w:rsidRDefault="00677577" w:rsidP="001F2AE8">
            <w:pPr>
              <w:spacing w:line="240" w:lineRule="auto"/>
              <w:rPr>
                <w:b/>
                <w:bCs/>
              </w:rPr>
            </w:pPr>
            <w:r w:rsidRPr="00167CB8">
              <w:rPr>
                <w:b/>
                <w:bCs/>
              </w:rPr>
              <w:t>Earnings; males; full-time; adult; ordinary time earnings</w:t>
            </w:r>
          </w:p>
        </w:tc>
        <w:tc>
          <w:tcPr>
            <w:tcW w:w="1879" w:type="dxa"/>
            <w:tcBorders>
              <w:top w:val="single" w:sz="4" w:space="0" w:color="auto"/>
              <w:left w:val="nil"/>
              <w:bottom w:val="single" w:sz="4" w:space="0" w:color="auto"/>
              <w:right w:val="nil"/>
            </w:tcBorders>
            <w:noWrap/>
            <w:vAlign w:val="bottom"/>
            <w:hideMark/>
          </w:tcPr>
          <w:p w14:paraId="5DD06E88" w14:textId="77777777" w:rsidR="00677577" w:rsidRPr="00167CB8" w:rsidRDefault="00677577" w:rsidP="001F2AE8">
            <w:pPr>
              <w:spacing w:line="240" w:lineRule="auto"/>
              <w:rPr>
                <w:b/>
                <w:bCs/>
              </w:rPr>
            </w:pPr>
            <w:r w:rsidRPr="00167CB8">
              <w:rPr>
                <w:b/>
                <w:bCs/>
              </w:rPr>
              <w:t>Earnings; females; full-time; adult; ordinary time earnings</w:t>
            </w:r>
          </w:p>
        </w:tc>
        <w:tc>
          <w:tcPr>
            <w:tcW w:w="1879" w:type="dxa"/>
            <w:tcBorders>
              <w:top w:val="single" w:sz="4" w:space="0" w:color="auto"/>
              <w:left w:val="nil"/>
              <w:bottom w:val="single" w:sz="4" w:space="0" w:color="auto"/>
              <w:right w:val="single" w:sz="4" w:space="0" w:color="auto"/>
            </w:tcBorders>
            <w:noWrap/>
            <w:vAlign w:val="bottom"/>
            <w:hideMark/>
          </w:tcPr>
          <w:p w14:paraId="2DA89DA0" w14:textId="77777777" w:rsidR="0011475D" w:rsidRDefault="00677577" w:rsidP="001F2AE8">
            <w:pPr>
              <w:spacing w:line="240" w:lineRule="auto"/>
              <w:rPr>
                <w:b/>
                <w:bCs/>
              </w:rPr>
            </w:pPr>
            <w:r w:rsidRPr="00167CB8">
              <w:rPr>
                <w:b/>
                <w:bCs/>
              </w:rPr>
              <w:t>GWG %</w:t>
            </w:r>
          </w:p>
          <w:p w14:paraId="03F1AB18" w14:textId="40AFA70E" w:rsidR="00677577" w:rsidRPr="00167CB8" w:rsidRDefault="00677577" w:rsidP="001F2AE8">
            <w:pPr>
              <w:spacing w:line="240" w:lineRule="auto"/>
              <w:rPr>
                <w:b/>
                <w:bCs/>
              </w:rPr>
            </w:pPr>
            <w:r w:rsidRPr="00167CB8">
              <w:rPr>
                <w:b/>
                <w:bCs/>
              </w:rPr>
              <w:t>[(M-F/M)*100)]</w:t>
            </w:r>
          </w:p>
        </w:tc>
      </w:tr>
      <w:tr w:rsidR="00677577" w:rsidRPr="00167CB8" w14:paraId="43E28EC8" w14:textId="77777777">
        <w:trPr>
          <w:trHeight w:val="317"/>
        </w:trPr>
        <w:tc>
          <w:tcPr>
            <w:tcW w:w="3572" w:type="dxa"/>
            <w:tcBorders>
              <w:top w:val="single" w:sz="4" w:space="0" w:color="auto"/>
              <w:left w:val="single" w:sz="4" w:space="0" w:color="auto"/>
              <w:bottom w:val="nil"/>
              <w:right w:val="nil"/>
            </w:tcBorders>
            <w:noWrap/>
            <w:vAlign w:val="bottom"/>
            <w:hideMark/>
          </w:tcPr>
          <w:p w14:paraId="7285C302" w14:textId="77777777" w:rsidR="00677577" w:rsidRPr="00167CB8" w:rsidRDefault="00677577" w:rsidP="001F2AE8">
            <w:pPr>
              <w:spacing w:line="240" w:lineRule="auto"/>
            </w:pPr>
            <w:r w:rsidRPr="00167CB8">
              <w:t xml:space="preserve">Nov 22 to </w:t>
            </w:r>
            <w:r>
              <w:t>Nov</w:t>
            </w:r>
            <w:r w:rsidRPr="00167CB8">
              <w:t xml:space="preserve"> 2024</w:t>
            </w:r>
          </w:p>
        </w:tc>
        <w:tc>
          <w:tcPr>
            <w:tcW w:w="1879" w:type="dxa"/>
            <w:tcBorders>
              <w:top w:val="single" w:sz="4" w:space="0" w:color="auto"/>
              <w:left w:val="nil"/>
              <w:bottom w:val="nil"/>
              <w:right w:val="nil"/>
            </w:tcBorders>
            <w:noWrap/>
            <w:vAlign w:val="bottom"/>
            <w:hideMark/>
          </w:tcPr>
          <w:p w14:paraId="10971A31" w14:textId="77777777" w:rsidR="00677577" w:rsidRPr="00167CB8" w:rsidRDefault="00677577" w:rsidP="001F2AE8">
            <w:pPr>
              <w:spacing w:line="240" w:lineRule="auto"/>
              <w:jc w:val="right"/>
            </w:pPr>
            <w:r>
              <w:rPr>
                <w:rFonts w:ascii="Calibri" w:hAnsi="Calibri" w:cs="Calibri"/>
                <w:color w:val="000000"/>
              </w:rPr>
              <w:t>8.7%</w:t>
            </w:r>
          </w:p>
        </w:tc>
        <w:tc>
          <w:tcPr>
            <w:tcW w:w="1879" w:type="dxa"/>
            <w:tcBorders>
              <w:top w:val="single" w:sz="4" w:space="0" w:color="auto"/>
              <w:left w:val="nil"/>
              <w:bottom w:val="nil"/>
              <w:right w:val="nil"/>
            </w:tcBorders>
            <w:noWrap/>
            <w:vAlign w:val="bottom"/>
            <w:hideMark/>
          </w:tcPr>
          <w:p w14:paraId="0FD48406" w14:textId="77777777" w:rsidR="00677577" w:rsidRPr="00167CB8" w:rsidRDefault="00677577" w:rsidP="001F2AE8">
            <w:pPr>
              <w:spacing w:line="240" w:lineRule="auto"/>
              <w:jc w:val="right"/>
            </w:pPr>
            <w:r>
              <w:rPr>
                <w:rFonts w:ascii="Calibri" w:hAnsi="Calibri" w:cs="Calibri"/>
                <w:color w:val="000000"/>
              </w:rPr>
              <w:t>10.4%</w:t>
            </w:r>
          </w:p>
        </w:tc>
        <w:tc>
          <w:tcPr>
            <w:tcW w:w="1879" w:type="dxa"/>
            <w:tcBorders>
              <w:top w:val="single" w:sz="4" w:space="0" w:color="auto"/>
              <w:left w:val="nil"/>
              <w:bottom w:val="nil"/>
              <w:right w:val="single" w:sz="4" w:space="0" w:color="auto"/>
            </w:tcBorders>
            <w:noWrap/>
            <w:vAlign w:val="bottom"/>
            <w:hideMark/>
          </w:tcPr>
          <w:p w14:paraId="66D992D3" w14:textId="77777777" w:rsidR="00677577" w:rsidRPr="00167CB8" w:rsidRDefault="00677577" w:rsidP="001F2AE8">
            <w:pPr>
              <w:spacing w:line="240" w:lineRule="auto"/>
              <w:jc w:val="right"/>
            </w:pPr>
            <w:r>
              <w:rPr>
                <w:rFonts w:ascii="Calibri" w:hAnsi="Calibri" w:cs="Calibri"/>
                <w:color w:val="000000"/>
              </w:rPr>
              <w:t>-1.4%</w:t>
            </w:r>
          </w:p>
        </w:tc>
      </w:tr>
      <w:tr w:rsidR="00677577" w:rsidRPr="00167CB8" w14:paraId="1F0A2850" w14:textId="77777777">
        <w:trPr>
          <w:trHeight w:val="317"/>
        </w:trPr>
        <w:tc>
          <w:tcPr>
            <w:tcW w:w="3572" w:type="dxa"/>
            <w:tcBorders>
              <w:top w:val="nil"/>
              <w:left w:val="single" w:sz="4" w:space="0" w:color="auto"/>
              <w:bottom w:val="nil"/>
              <w:right w:val="nil"/>
            </w:tcBorders>
            <w:noWrap/>
            <w:vAlign w:val="bottom"/>
            <w:hideMark/>
          </w:tcPr>
          <w:p w14:paraId="658C583C" w14:textId="77777777" w:rsidR="00677577" w:rsidRPr="00167CB8" w:rsidRDefault="00677577" w:rsidP="001F2AE8">
            <w:pPr>
              <w:spacing w:line="240" w:lineRule="auto"/>
            </w:pPr>
            <w:r>
              <w:t>Y</w:t>
            </w:r>
            <w:r w:rsidRPr="00167CB8">
              <w:t xml:space="preserve">ear to </w:t>
            </w:r>
            <w:r>
              <w:t>Nov</w:t>
            </w:r>
            <w:r w:rsidRPr="00167CB8">
              <w:t xml:space="preserve"> 2023</w:t>
            </w:r>
          </w:p>
        </w:tc>
        <w:tc>
          <w:tcPr>
            <w:tcW w:w="1879" w:type="dxa"/>
            <w:tcBorders>
              <w:top w:val="nil"/>
              <w:left w:val="nil"/>
              <w:bottom w:val="nil"/>
              <w:right w:val="nil"/>
            </w:tcBorders>
            <w:noWrap/>
            <w:vAlign w:val="bottom"/>
            <w:hideMark/>
          </w:tcPr>
          <w:p w14:paraId="5421DDDF" w14:textId="77777777" w:rsidR="00677577" w:rsidRPr="00167CB8" w:rsidRDefault="00677577" w:rsidP="001F2AE8">
            <w:pPr>
              <w:spacing w:line="240" w:lineRule="auto"/>
              <w:jc w:val="right"/>
            </w:pPr>
            <w:r>
              <w:rPr>
                <w:rFonts w:ascii="Calibri" w:hAnsi="Calibri" w:cs="Calibri"/>
                <w:color w:val="000000"/>
              </w:rPr>
              <w:t>4.0%</w:t>
            </w:r>
          </w:p>
        </w:tc>
        <w:tc>
          <w:tcPr>
            <w:tcW w:w="1879" w:type="dxa"/>
            <w:tcBorders>
              <w:top w:val="nil"/>
              <w:left w:val="nil"/>
              <w:bottom w:val="nil"/>
              <w:right w:val="nil"/>
            </w:tcBorders>
            <w:noWrap/>
            <w:vAlign w:val="bottom"/>
            <w:hideMark/>
          </w:tcPr>
          <w:p w14:paraId="32499951" w14:textId="77777777" w:rsidR="00677577" w:rsidRPr="00167CB8" w:rsidRDefault="00677577" w:rsidP="001F2AE8">
            <w:pPr>
              <w:spacing w:line="240" w:lineRule="auto"/>
              <w:jc w:val="right"/>
            </w:pPr>
            <w:r>
              <w:rPr>
                <w:rFonts w:ascii="Calibri" w:hAnsi="Calibri" w:cs="Calibri"/>
                <w:color w:val="000000"/>
              </w:rPr>
              <w:t>5.5%</w:t>
            </w:r>
          </w:p>
        </w:tc>
        <w:tc>
          <w:tcPr>
            <w:tcW w:w="1879" w:type="dxa"/>
            <w:tcBorders>
              <w:top w:val="nil"/>
              <w:left w:val="nil"/>
              <w:bottom w:val="nil"/>
              <w:right w:val="single" w:sz="4" w:space="0" w:color="auto"/>
            </w:tcBorders>
            <w:noWrap/>
            <w:vAlign w:val="bottom"/>
            <w:hideMark/>
          </w:tcPr>
          <w:p w14:paraId="4C8B8214" w14:textId="77777777" w:rsidR="00677577" w:rsidRPr="00167CB8" w:rsidRDefault="00677577" w:rsidP="001F2AE8">
            <w:pPr>
              <w:spacing w:line="240" w:lineRule="auto"/>
              <w:jc w:val="right"/>
            </w:pPr>
            <w:r>
              <w:rPr>
                <w:rFonts w:ascii="Calibri" w:hAnsi="Calibri" w:cs="Calibri"/>
                <w:color w:val="000000"/>
              </w:rPr>
              <w:t>-1.3%</w:t>
            </w:r>
          </w:p>
        </w:tc>
      </w:tr>
      <w:tr w:rsidR="00677577" w:rsidRPr="00167CB8" w14:paraId="601D6FAC" w14:textId="77777777">
        <w:trPr>
          <w:trHeight w:val="317"/>
        </w:trPr>
        <w:tc>
          <w:tcPr>
            <w:tcW w:w="3572" w:type="dxa"/>
            <w:tcBorders>
              <w:top w:val="nil"/>
              <w:left w:val="single" w:sz="4" w:space="0" w:color="auto"/>
              <w:bottom w:val="single" w:sz="4" w:space="0" w:color="auto"/>
              <w:right w:val="nil"/>
            </w:tcBorders>
            <w:noWrap/>
            <w:vAlign w:val="bottom"/>
            <w:hideMark/>
          </w:tcPr>
          <w:p w14:paraId="63B93FE1" w14:textId="77777777" w:rsidR="00677577" w:rsidRPr="00167CB8" w:rsidRDefault="00677577" w:rsidP="001F2AE8">
            <w:pPr>
              <w:spacing w:line="240" w:lineRule="auto"/>
            </w:pPr>
            <w:r w:rsidRPr="00167CB8">
              <w:t xml:space="preserve">Year to </w:t>
            </w:r>
            <w:r>
              <w:t>Nov</w:t>
            </w:r>
            <w:r w:rsidRPr="00167CB8">
              <w:t xml:space="preserve"> 2024</w:t>
            </w:r>
          </w:p>
        </w:tc>
        <w:tc>
          <w:tcPr>
            <w:tcW w:w="1879" w:type="dxa"/>
            <w:tcBorders>
              <w:top w:val="nil"/>
              <w:left w:val="nil"/>
              <w:bottom w:val="single" w:sz="4" w:space="0" w:color="auto"/>
              <w:right w:val="nil"/>
            </w:tcBorders>
            <w:noWrap/>
            <w:vAlign w:val="bottom"/>
            <w:hideMark/>
          </w:tcPr>
          <w:p w14:paraId="54D48B21" w14:textId="77777777" w:rsidR="00677577" w:rsidRPr="00167CB8" w:rsidRDefault="00677577" w:rsidP="001F2AE8">
            <w:pPr>
              <w:spacing w:line="240" w:lineRule="auto"/>
              <w:jc w:val="right"/>
            </w:pPr>
            <w:r>
              <w:rPr>
                <w:rFonts w:ascii="Calibri" w:hAnsi="Calibri" w:cs="Calibri"/>
                <w:color w:val="000000"/>
              </w:rPr>
              <w:t>4.5%</w:t>
            </w:r>
          </w:p>
        </w:tc>
        <w:tc>
          <w:tcPr>
            <w:tcW w:w="1879" w:type="dxa"/>
            <w:tcBorders>
              <w:top w:val="nil"/>
              <w:left w:val="nil"/>
              <w:bottom w:val="single" w:sz="4" w:space="0" w:color="auto"/>
              <w:right w:val="nil"/>
            </w:tcBorders>
            <w:noWrap/>
            <w:vAlign w:val="bottom"/>
            <w:hideMark/>
          </w:tcPr>
          <w:p w14:paraId="78EA5C82" w14:textId="77777777" w:rsidR="00677577" w:rsidRPr="00167CB8" w:rsidRDefault="00677577" w:rsidP="001F2AE8">
            <w:pPr>
              <w:spacing w:line="240" w:lineRule="auto"/>
              <w:jc w:val="right"/>
            </w:pPr>
            <w:r>
              <w:rPr>
                <w:rFonts w:ascii="Calibri" w:hAnsi="Calibri" w:cs="Calibri"/>
                <w:color w:val="000000"/>
              </w:rPr>
              <w:t>4.7%</w:t>
            </w:r>
          </w:p>
        </w:tc>
        <w:tc>
          <w:tcPr>
            <w:tcW w:w="1879" w:type="dxa"/>
            <w:tcBorders>
              <w:top w:val="nil"/>
              <w:left w:val="nil"/>
              <w:bottom w:val="single" w:sz="4" w:space="0" w:color="auto"/>
              <w:right w:val="single" w:sz="4" w:space="0" w:color="auto"/>
            </w:tcBorders>
            <w:noWrap/>
            <w:vAlign w:val="bottom"/>
            <w:hideMark/>
          </w:tcPr>
          <w:p w14:paraId="51EBDA2A" w14:textId="77777777" w:rsidR="00677577" w:rsidRPr="00167CB8" w:rsidRDefault="00677577" w:rsidP="001F2AE8">
            <w:pPr>
              <w:spacing w:line="240" w:lineRule="auto"/>
              <w:jc w:val="right"/>
            </w:pPr>
            <w:r>
              <w:rPr>
                <w:rFonts w:ascii="Calibri" w:hAnsi="Calibri" w:cs="Calibri"/>
                <w:color w:val="000000"/>
              </w:rPr>
              <w:t>-0.1%</w:t>
            </w:r>
          </w:p>
        </w:tc>
      </w:tr>
    </w:tbl>
    <w:p w14:paraId="515F2645" w14:textId="107BD0C1" w:rsidR="00702D44" w:rsidRDefault="00702D44" w:rsidP="00677577">
      <w:pPr>
        <w:pStyle w:val="Source"/>
        <w:rPr>
          <w:b/>
          <w:bCs/>
        </w:rPr>
      </w:pPr>
      <w:r>
        <w:rPr>
          <w:b/>
          <w:bCs/>
        </w:rPr>
        <w:t xml:space="preserve">Note: </w:t>
      </w:r>
      <w:r w:rsidRPr="008D5A67">
        <w:t>GWG: gender wage gap; F: female; M: Male.</w:t>
      </w:r>
    </w:p>
    <w:p w14:paraId="64520155" w14:textId="705393EF" w:rsidR="00677577" w:rsidRPr="00167CB8" w:rsidRDefault="00677577" w:rsidP="00677577">
      <w:pPr>
        <w:pStyle w:val="Source"/>
      </w:pPr>
      <w:r w:rsidRPr="00167CB8">
        <w:rPr>
          <w:b/>
          <w:bCs/>
        </w:rPr>
        <w:t>Source:</w:t>
      </w:r>
      <w:r w:rsidRPr="00167CB8">
        <w:t xml:space="preserve"> ABS 6302.0 Average Weekly Earnings, Australia, Table 2 (seasonally adjusted).</w:t>
      </w:r>
    </w:p>
    <w:p w14:paraId="2C076A24" w14:textId="77777777" w:rsidR="00677577" w:rsidRPr="00167CB8" w:rsidRDefault="00677577" w:rsidP="00677577">
      <w:r w:rsidRPr="00167CB8">
        <w:t xml:space="preserve">It is important to note that the AWOTE measure (and associated GWG) may be affected by compositional shifts in the labour market. For example, if tertiary educated women were to join the labour market at a faster rate than similarly educated men and if qualifications correlated with wages then the ‘raw’ (or unadjusted) wages of women could be expected to grow faster than the corresponding growth in male wages. For this reason, economists often talk about the ‘raw’ gender wage gap and the ‘adjusted’ gender wage gap. The adjusted gender wage gap accounts for compositional shifts in the workforce. The estimates based on ABS </w:t>
      </w:r>
      <w:r w:rsidRPr="006F409D">
        <w:t>Average Weekly Earnings</w:t>
      </w:r>
      <w:r>
        <w:rPr>
          <w:i/>
          <w:iCs/>
        </w:rPr>
        <w:t xml:space="preserve"> </w:t>
      </w:r>
      <w:r w:rsidRPr="00167CB8">
        <w:t>data show raw measures.</w:t>
      </w:r>
    </w:p>
    <w:p w14:paraId="337FAC76" w14:textId="77777777" w:rsidR="00677577" w:rsidRDefault="00677577" w:rsidP="00677577">
      <w:r w:rsidRPr="00167CB8">
        <w:t xml:space="preserve">Ideally the wage measure would be the AWOTE of all employees and not just full-timers, particularly given the large share of women who work part-time. The ABS </w:t>
      </w:r>
      <w:r w:rsidRPr="006F409D">
        <w:t>Average Weekly Earnings</w:t>
      </w:r>
      <w:r w:rsidRPr="00F13213">
        <w:rPr>
          <w:i/>
          <w:iCs/>
        </w:rPr>
        <w:t xml:space="preserve"> </w:t>
      </w:r>
      <w:r w:rsidRPr="00167CB8">
        <w:t>series does not publish an hourly wage. The G</w:t>
      </w:r>
      <w:r>
        <w:t xml:space="preserve">WG </w:t>
      </w:r>
      <w:r w:rsidRPr="00167CB8">
        <w:t>in the full-time labour market is, therefore, monitored as this group is more homogeneous in terms of hours worked.</w:t>
      </w:r>
    </w:p>
    <w:p w14:paraId="44080C59" w14:textId="03F3935C" w:rsidR="00677577" w:rsidRPr="00167CB8" w:rsidRDefault="00677577" w:rsidP="00677577">
      <w:r w:rsidRPr="006F409D">
        <w:t>Figure 4</w:t>
      </w:r>
      <w:r w:rsidR="00365C93" w:rsidRPr="006F409D">
        <w:t>2</w:t>
      </w:r>
      <w:r w:rsidRPr="007B334A">
        <w:t xml:space="preserve"> shows trends in the gap in the full-time labour market using total earnings (which</w:t>
      </w:r>
      <w:r>
        <w:t xml:space="preserve"> includes</w:t>
      </w:r>
      <w:r w:rsidRPr="00167CB8">
        <w:t xml:space="preserve"> overtime payments) and trends in the gap among all persons. At May 2024 the gender pay gap was 11.5% when measure</w:t>
      </w:r>
      <w:r w:rsidR="00702D44">
        <w:t>d</w:t>
      </w:r>
      <w:r w:rsidRPr="00167CB8">
        <w:t xml:space="preserve"> using AWOTE; 14.2% when measuring differences in the average total weekly earnings of men and women employed full-time; and 27.7% when measuring gender differences in total earnings of employed men and women (i.e. not accounting for differences in characteristics such as hours worked).</w:t>
      </w:r>
    </w:p>
    <w:p w14:paraId="03CE983D" w14:textId="717A0F96" w:rsidR="00677577" w:rsidRPr="00167CB8" w:rsidRDefault="00365C93" w:rsidP="007F380D">
      <w:pPr>
        <w:pStyle w:val="Caption"/>
      </w:pPr>
      <w:bookmarkStart w:id="908" w:name="_Toc186991794"/>
      <w:bookmarkStart w:id="909" w:name="_Toc189310827"/>
      <w:bookmarkStart w:id="910" w:name="_Toc194251540"/>
      <w:bookmarkStart w:id="911" w:name="_Ref184404911"/>
      <w:bookmarkStart w:id="912" w:name="_Ref184490306"/>
      <w:r>
        <w:t xml:space="preserve">Figure </w:t>
      </w:r>
      <w:r>
        <w:fldChar w:fldCharType="begin"/>
      </w:r>
      <w:r>
        <w:instrText xml:space="preserve"> SEQ Figure \* ARABIC </w:instrText>
      </w:r>
      <w:r>
        <w:fldChar w:fldCharType="separate"/>
      </w:r>
      <w:r w:rsidR="00DE5F5E">
        <w:rPr>
          <w:noProof/>
        </w:rPr>
        <w:t>42</w:t>
      </w:r>
      <w:r>
        <w:fldChar w:fldCharType="end"/>
      </w:r>
      <w:r>
        <w:t xml:space="preserve">: </w:t>
      </w:r>
      <w:r w:rsidR="00677577" w:rsidRPr="00167CB8">
        <w:t xml:space="preserve">Trends in the </w:t>
      </w:r>
      <w:r w:rsidR="00702D44">
        <w:t>gender wage gap</w:t>
      </w:r>
      <w:r w:rsidR="00702D44" w:rsidRPr="00167CB8">
        <w:t xml:space="preserve"> </w:t>
      </w:r>
      <w:r w:rsidR="00677577" w:rsidRPr="00167CB8">
        <w:t>based on total earnings</w:t>
      </w:r>
      <w:bookmarkEnd w:id="908"/>
      <w:bookmarkEnd w:id="909"/>
      <w:r w:rsidR="007C6FA0">
        <w:t>, 2012 to 2024</w:t>
      </w:r>
      <w:bookmarkEnd w:id="910"/>
    </w:p>
    <w:p w14:paraId="27B310D6" w14:textId="3534BDB6" w:rsidR="00677577" w:rsidRPr="00167CB8" w:rsidRDefault="00677577" w:rsidP="00677577">
      <w:r w:rsidRPr="00836B31">
        <w:rPr>
          <w:noProof/>
        </w:rPr>
        <w:drawing>
          <wp:inline distT="0" distB="0" distL="0" distR="0" wp14:anchorId="7779C166" wp14:editId="7ACF5885">
            <wp:extent cx="5731510" cy="3748405"/>
            <wp:effectExtent l="0" t="0" r="2540" b="4445"/>
            <wp:docPr id="1421572312" name="Picture 1" descr="A line graph showing trends in the gender wage gap based on total earnings.&#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572312" name="Picture 1" descr="A line graph showing trends in the gender wage gap based on total earnings.&#10;&#10;See alt-text following the source."/>
                    <pic:cNvPicPr/>
                  </pic:nvPicPr>
                  <pic:blipFill>
                    <a:blip r:embed="rId58"/>
                    <a:stretch>
                      <a:fillRect/>
                    </a:stretch>
                  </pic:blipFill>
                  <pic:spPr>
                    <a:xfrm>
                      <a:off x="0" y="0"/>
                      <a:ext cx="5731510" cy="3748405"/>
                    </a:xfrm>
                    <a:prstGeom prst="rect">
                      <a:avLst/>
                    </a:prstGeom>
                  </pic:spPr>
                </pic:pic>
              </a:graphicData>
            </a:graphic>
          </wp:inline>
        </w:drawing>
      </w:r>
    </w:p>
    <w:p w14:paraId="1B99AFD2" w14:textId="77777777" w:rsidR="00677577" w:rsidRPr="00167CB8" w:rsidRDefault="00677577" w:rsidP="00677577">
      <w:pPr>
        <w:pStyle w:val="Source"/>
      </w:pPr>
      <w:r w:rsidRPr="00167CB8">
        <w:rPr>
          <w:b/>
          <w:bCs/>
        </w:rPr>
        <w:t>Source:</w:t>
      </w:r>
      <w:r w:rsidRPr="00167CB8">
        <w:t xml:space="preserve"> ABS 6302.0 Average Weekly Earnings, Australia, Table 2 (seasonally adjusted).</w:t>
      </w:r>
    </w:p>
    <w:p w14:paraId="71FAC91A" w14:textId="77777777" w:rsidR="00677577" w:rsidRPr="00167CB8" w:rsidRDefault="00677577" w:rsidP="00677577">
      <w:pPr>
        <w:pStyle w:val="Source"/>
      </w:pPr>
      <w:r w:rsidRPr="00167CB8">
        <w:rPr>
          <w:b/>
          <w:bCs/>
        </w:rPr>
        <w:t>Alt-text:</w:t>
      </w:r>
      <w:r w:rsidRPr="00167CB8">
        <w:t xml:space="preserve"> A line graph showing trends in the gender wage gap based on full-time average ordinary weekly earnings, total earnings of full-time workers and total earnings of all workers (which includes part-timers).</w:t>
      </w:r>
    </w:p>
    <w:p w14:paraId="3D01E507" w14:textId="77777777" w:rsidR="00677577" w:rsidRPr="00167CB8" w:rsidRDefault="00677577" w:rsidP="00677577">
      <w:r w:rsidRPr="00167CB8">
        <w:br w:type="page"/>
      </w:r>
    </w:p>
    <w:p w14:paraId="7F53CB6F" w14:textId="698EA896" w:rsidR="0011475D" w:rsidRDefault="00677577" w:rsidP="00677577">
      <w:r w:rsidRPr="007B334A">
        <w:t xml:space="preserve">In </w:t>
      </w:r>
      <w:r w:rsidRPr="009B3338">
        <w:t>Figure 4</w:t>
      </w:r>
      <w:r w:rsidR="00365C93" w:rsidRPr="009B3338">
        <w:t>3</w:t>
      </w:r>
      <w:r w:rsidRPr="007B334A">
        <w:t xml:space="preserve"> the focus is on average weekly total (rather than ordinary) earnings of adult men</w:t>
      </w:r>
      <w:r w:rsidRPr="00167CB8">
        <w:t xml:space="preserve"> and women, disaggregated by industry. Actual earnings at May 2024 are reported for men, with the markers showing the GWG (conventional measure) within each sector. At May 2024 the overall GWG (all industries) measured using average weekly total earnings was 14.3%. The GWG was highest within the professional, scientific and technical services industry division (22.8%), followed by the administrative and support services industry (22.5%) and then the health care and social assistance sector (22.1%). It was lowest in retail trade (8.5%).</w:t>
      </w:r>
    </w:p>
    <w:p w14:paraId="27CB5169" w14:textId="31321B0E" w:rsidR="00677577" w:rsidRPr="00167CB8" w:rsidRDefault="00365C93" w:rsidP="007F380D">
      <w:pPr>
        <w:pStyle w:val="Caption"/>
      </w:pPr>
      <w:bookmarkStart w:id="913" w:name="_Toc186991795"/>
      <w:bookmarkStart w:id="914" w:name="_Toc189310828"/>
      <w:bookmarkStart w:id="915" w:name="_Toc194251541"/>
      <w:bookmarkEnd w:id="911"/>
      <w:bookmarkEnd w:id="912"/>
      <w:r>
        <w:t xml:space="preserve">Figure </w:t>
      </w:r>
      <w:r>
        <w:fldChar w:fldCharType="begin"/>
      </w:r>
      <w:r>
        <w:instrText xml:space="preserve"> SEQ Figure \* ARABIC </w:instrText>
      </w:r>
      <w:r>
        <w:fldChar w:fldCharType="separate"/>
      </w:r>
      <w:r w:rsidR="00DE5F5E">
        <w:rPr>
          <w:noProof/>
        </w:rPr>
        <w:t>43</w:t>
      </w:r>
      <w:r>
        <w:fldChar w:fldCharType="end"/>
      </w:r>
      <w:r>
        <w:t xml:space="preserve">: </w:t>
      </w:r>
      <w:r w:rsidR="00677577" w:rsidRPr="00167CB8">
        <w:t xml:space="preserve">Average weekly total earnings of adult men employed full-time industry and the associated </w:t>
      </w:r>
      <w:r w:rsidR="00702D44">
        <w:t>gender wage gap</w:t>
      </w:r>
      <w:r w:rsidR="00677577" w:rsidRPr="00167CB8">
        <w:t>, May 2024</w:t>
      </w:r>
      <w:bookmarkEnd w:id="913"/>
      <w:bookmarkEnd w:id="914"/>
      <w:bookmarkEnd w:id="915"/>
    </w:p>
    <w:p w14:paraId="3DFF01A3" w14:textId="435EBB18" w:rsidR="00677577" w:rsidRPr="00167CB8" w:rsidRDefault="00677577" w:rsidP="00677577">
      <w:r w:rsidRPr="00167CB8">
        <w:rPr>
          <w:noProof/>
        </w:rPr>
        <w:drawing>
          <wp:inline distT="0" distB="0" distL="0" distR="0" wp14:anchorId="5762CE11" wp14:editId="146446F8">
            <wp:extent cx="5731510" cy="3750945"/>
            <wp:effectExtent l="0" t="0" r="2540" b="1905"/>
            <wp:docPr id="1863893748" name="Picture 46" descr="A combination graph showing average weekly total earnings of adult men employed full-time and the associated gender wage gap.&#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893748" name="Picture 46" descr="A combination graph showing average weekly total earnings of adult men employed full-time and the associated gender wage gap.&#10;&#10;See alt-text following the sourc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31510" cy="3750945"/>
                    </a:xfrm>
                    <a:prstGeom prst="rect">
                      <a:avLst/>
                    </a:prstGeom>
                    <a:noFill/>
                    <a:ln>
                      <a:noFill/>
                    </a:ln>
                  </pic:spPr>
                </pic:pic>
              </a:graphicData>
            </a:graphic>
          </wp:inline>
        </w:drawing>
      </w:r>
    </w:p>
    <w:p w14:paraId="7AEE918B" w14:textId="77777777" w:rsidR="00677577" w:rsidRPr="00167CB8" w:rsidRDefault="00677577" w:rsidP="00677577">
      <w:pPr>
        <w:pStyle w:val="Source"/>
      </w:pPr>
      <w:r w:rsidRPr="00167CB8">
        <w:rPr>
          <w:b/>
          <w:bCs/>
        </w:rPr>
        <w:t>Source:</w:t>
      </w:r>
      <w:r w:rsidRPr="00167CB8">
        <w:t xml:space="preserve"> ABS 6302.0 Average Weekly Earnings, Australia, Tables 10B and 10E 2 (original series).</w:t>
      </w:r>
    </w:p>
    <w:p w14:paraId="2D527EB4" w14:textId="6DD5B90C" w:rsidR="00677577" w:rsidRPr="00167CB8" w:rsidRDefault="00677577" w:rsidP="00677577">
      <w:pPr>
        <w:pStyle w:val="Source"/>
      </w:pPr>
      <w:r w:rsidRPr="00167CB8">
        <w:rPr>
          <w:b/>
          <w:bCs/>
        </w:rPr>
        <w:t>Alt-text:</w:t>
      </w:r>
      <w:r w:rsidRPr="00167CB8">
        <w:t xml:space="preserve"> A combination graph showing, by industry, the average weekly total earnings of adult men employed full-time at May 2024. The markers show the </w:t>
      </w:r>
      <w:r w:rsidR="00702D44">
        <w:t>gender wage gap</w:t>
      </w:r>
      <w:r w:rsidR="00702D44" w:rsidRPr="00167CB8">
        <w:t xml:space="preserve"> </w:t>
      </w:r>
      <w:r w:rsidRPr="00167CB8">
        <w:t xml:space="preserve">within each industry. Nationally, across all industries, at May 2024 the average </w:t>
      </w:r>
      <w:r w:rsidR="00702D44">
        <w:t xml:space="preserve">man </w:t>
      </w:r>
      <w:r w:rsidRPr="00167CB8">
        <w:t>employed full-time earned $2,113 per week. The average wom</w:t>
      </w:r>
      <w:r w:rsidR="00702D44">
        <w:t>a</w:t>
      </w:r>
      <w:r w:rsidRPr="00167CB8">
        <w:t>n employed full-time earned $1,811 per week. The</w:t>
      </w:r>
      <w:r w:rsidRPr="00167CB8" w:rsidDel="00702D44">
        <w:t xml:space="preserve"> </w:t>
      </w:r>
      <w:r w:rsidR="00702D44">
        <w:t xml:space="preserve">gender </w:t>
      </w:r>
      <w:r w:rsidR="00A92A70">
        <w:t>wage</w:t>
      </w:r>
      <w:r w:rsidR="00702D44">
        <w:t xml:space="preserve"> gap </w:t>
      </w:r>
      <w:r w:rsidRPr="00167CB8">
        <w:t>was, as a result, equal to 14.3%.</w:t>
      </w:r>
    </w:p>
    <w:p w14:paraId="50D386F2" w14:textId="77777777" w:rsidR="00677577" w:rsidRPr="00167CB8" w:rsidRDefault="00677577" w:rsidP="00677577">
      <w:r w:rsidRPr="00167CB8">
        <w:br w:type="page"/>
      </w:r>
    </w:p>
    <w:p w14:paraId="5DECDDA9" w14:textId="17AD1F64" w:rsidR="00677577" w:rsidRPr="00167CB8" w:rsidRDefault="00677577" w:rsidP="00677577">
      <w:pPr>
        <w:pStyle w:val="Heading4"/>
      </w:pPr>
      <w:bookmarkStart w:id="916" w:name="_Toc186991768"/>
      <w:bookmarkStart w:id="917" w:name="_Toc189393672"/>
      <w:r w:rsidRPr="00167CB8">
        <w:t>3.3 Employee earnings and hours</w:t>
      </w:r>
      <w:bookmarkEnd w:id="916"/>
      <w:bookmarkEnd w:id="917"/>
    </w:p>
    <w:p w14:paraId="1D6903C6" w14:textId="3BDC1D93" w:rsidR="0011475D" w:rsidRDefault="00677577" w:rsidP="00677577">
      <w:r w:rsidRPr="00167CB8">
        <w:t xml:space="preserve">The ABS </w:t>
      </w:r>
      <w:r w:rsidR="00702D44">
        <w:t>Employee Earnings and Hours (</w:t>
      </w:r>
      <w:r w:rsidRPr="00167CB8">
        <w:t>EEH</w:t>
      </w:r>
      <w:r w:rsidR="00702D44">
        <w:t>)</w:t>
      </w:r>
      <w:r w:rsidRPr="00167CB8">
        <w:t xml:space="preserve"> series permits an analysis of average weekly and hourly wages by method of pay setting. At the time of writing the most recent available data </w:t>
      </w:r>
      <w:r w:rsidR="00702D44">
        <w:t xml:space="preserve">is </w:t>
      </w:r>
      <w:r w:rsidRPr="007B334A">
        <w:t xml:space="preserve">for May 2023. </w:t>
      </w:r>
      <w:r w:rsidRPr="00B42F9C">
        <w:t xml:space="preserve">Table </w:t>
      </w:r>
      <w:r w:rsidR="004D32E1" w:rsidRPr="00B42F9C">
        <w:t>4</w:t>
      </w:r>
      <w:r w:rsidR="004D32E1">
        <w:t>8</w:t>
      </w:r>
      <w:r w:rsidR="004D32E1" w:rsidRPr="007B334A">
        <w:t xml:space="preserve"> </w:t>
      </w:r>
      <w:r w:rsidRPr="007B334A">
        <w:t>shows the number of employees by pay setting method.</w:t>
      </w:r>
    </w:p>
    <w:p w14:paraId="24E9E048" w14:textId="78FAAB9B" w:rsidR="00677577" w:rsidRPr="00167CB8" w:rsidRDefault="00365C93" w:rsidP="00365C93">
      <w:pPr>
        <w:pStyle w:val="Caption"/>
      </w:pPr>
      <w:bookmarkStart w:id="918" w:name="_Ref184489452"/>
      <w:bookmarkStart w:id="919" w:name="_Toc186991821"/>
      <w:bookmarkStart w:id="920" w:name="_Toc189310872"/>
      <w:bookmarkStart w:id="921" w:name="_Toc194251472"/>
      <w:r>
        <w:t xml:space="preserve">Table </w:t>
      </w:r>
      <w:r>
        <w:fldChar w:fldCharType="begin"/>
      </w:r>
      <w:r>
        <w:instrText xml:space="preserve"> SEQ Table \* ARABIC </w:instrText>
      </w:r>
      <w:r>
        <w:fldChar w:fldCharType="separate"/>
      </w:r>
      <w:r w:rsidR="00DE5F5E">
        <w:rPr>
          <w:noProof/>
        </w:rPr>
        <w:t>48</w:t>
      </w:r>
      <w:r>
        <w:fldChar w:fldCharType="end"/>
      </w:r>
      <w:r>
        <w:t xml:space="preserve">: </w:t>
      </w:r>
      <w:bookmarkEnd w:id="918"/>
      <w:r w:rsidR="00677577" w:rsidRPr="00167CB8">
        <w:t>Number of employees by employment status and method of pay setting, May 2023</w:t>
      </w:r>
      <w:bookmarkEnd w:id="919"/>
      <w:bookmarkEnd w:id="920"/>
      <w:bookmarkEnd w:id="921"/>
    </w:p>
    <w:tbl>
      <w:tblPr>
        <w:tblW w:w="8804" w:type="dxa"/>
        <w:tblLook w:val="04A0" w:firstRow="1" w:lastRow="0" w:firstColumn="1" w:lastColumn="0" w:noHBand="0" w:noVBand="1"/>
      </w:tblPr>
      <w:tblGrid>
        <w:gridCol w:w="2752"/>
        <w:gridCol w:w="1316"/>
        <w:gridCol w:w="1583"/>
        <w:gridCol w:w="1835"/>
        <w:gridCol w:w="1318"/>
      </w:tblGrid>
      <w:tr w:rsidR="00677577" w:rsidRPr="00167CB8" w14:paraId="3FB54A7C" w14:textId="77777777">
        <w:trPr>
          <w:trHeight w:val="622"/>
        </w:trPr>
        <w:tc>
          <w:tcPr>
            <w:tcW w:w="2752" w:type="dxa"/>
            <w:tcBorders>
              <w:top w:val="single" w:sz="4" w:space="0" w:color="auto"/>
              <w:left w:val="single" w:sz="4" w:space="0" w:color="auto"/>
              <w:bottom w:val="single" w:sz="4" w:space="0" w:color="auto"/>
              <w:right w:val="nil"/>
            </w:tcBorders>
            <w:vAlign w:val="bottom"/>
            <w:hideMark/>
          </w:tcPr>
          <w:p w14:paraId="3B4DDED5" w14:textId="77777777" w:rsidR="00677577" w:rsidRPr="00364020" w:rsidRDefault="00677577">
            <w:pPr>
              <w:rPr>
                <w:sz w:val="20"/>
                <w:szCs w:val="20"/>
              </w:rPr>
            </w:pPr>
          </w:p>
        </w:tc>
        <w:tc>
          <w:tcPr>
            <w:tcW w:w="1316" w:type="dxa"/>
            <w:tcBorders>
              <w:top w:val="single" w:sz="4" w:space="0" w:color="auto"/>
              <w:left w:val="nil"/>
              <w:bottom w:val="single" w:sz="4" w:space="0" w:color="auto"/>
              <w:right w:val="nil"/>
            </w:tcBorders>
            <w:vAlign w:val="bottom"/>
            <w:hideMark/>
          </w:tcPr>
          <w:p w14:paraId="356A5F75" w14:textId="77777777" w:rsidR="00677577" w:rsidRPr="00364020" w:rsidRDefault="00677577" w:rsidP="00B42F9C">
            <w:pPr>
              <w:jc w:val="right"/>
              <w:rPr>
                <w:b/>
                <w:bCs/>
                <w:sz w:val="20"/>
                <w:szCs w:val="20"/>
              </w:rPr>
            </w:pPr>
            <w:r w:rsidRPr="00364020">
              <w:rPr>
                <w:b/>
                <w:bCs/>
                <w:sz w:val="20"/>
                <w:szCs w:val="20"/>
              </w:rPr>
              <w:t>Award</w:t>
            </w:r>
          </w:p>
        </w:tc>
        <w:tc>
          <w:tcPr>
            <w:tcW w:w="1583" w:type="dxa"/>
            <w:tcBorders>
              <w:top w:val="single" w:sz="4" w:space="0" w:color="auto"/>
              <w:left w:val="nil"/>
              <w:bottom w:val="single" w:sz="4" w:space="0" w:color="auto"/>
              <w:right w:val="nil"/>
            </w:tcBorders>
            <w:vAlign w:val="bottom"/>
            <w:hideMark/>
          </w:tcPr>
          <w:p w14:paraId="4CDCC952" w14:textId="77777777" w:rsidR="00677577" w:rsidRPr="00364020" w:rsidRDefault="00677577" w:rsidP="00B42F9C">
            <w:pPr>
              <w:jc w:val="right"/>
              <w:rPr>
                <w:b/>
                <w:bCs/>
                <w:sz w:val="20"/>
                <w:szCs w:val="20"/>
              </w:rPr>
            </w:pPr>
            <w:r w:rsidRPr="00364020">
              <w:rPr>
                <w:b/>
                <w:bCs/>
                <w:sz w:val="20"/>
                <w:szCs w:val="20"/>
              </w:rPr>
              <w:t>Collective agreement</w:t>
            </w:r>
          </w:p>
        </w:tc>
        <w:tc>
          <w:tcPr>
            <w:tcW w:w="1835" w:type="dxa"/>
            <w:tcBorders>
              <w:top w:val="single" w:sz="4" w:space="0" w:color="auto"/>
              <w:left w:val="nil"/>
              <w:bottom w:val="single" w:sz="4" w:space="0" w:color="auto"/>
              <w:right w:val="nil"/>
            </w:tcBorders>
            <w:vAlign w:val="bottom"/>
            <w:hideMark/>
          </w:tcPr>
          <w:p w14:paraId="4D242302" w14:textId="77777777" w:rsidR="00677577" w:rsidRPr="00364020" w:rsidRDefault="00677577" w:rsidP="00B42F9C">
            <w:pPr>
              <w:jc w:val="right"/>
              <w:rPr>
                <w:b/>
                <w:bCs/>
                <w:sz w:val="20"/>
                <w:szCs w:val="20"/>
              </w:rPr>
            </w:pPr>
            <w:r w:rsidRPr="00364020">
              <w:rPr>
                <w:b/>
                <w:bCs/>
                <w:sz w:val="20"/>
                <w:szCs w:val="20"/>
              </w:rPr>
              <w:t>Individual arrangement</w:t>
            </w:r>
          </w:p>
        </w:tc>
        <w:tc>
          <w:tcPr>
            <w:tcW w:w="1318" w:type="dxa"/>
            <w:tcBorders>
              <w:top w:val="single" w:sz="4" w:space="0" w:color="auto"/>
              <w:left w:val="nil"/>
              <w:bottom w:val="single" w:sz="4" w:space="0" w:color="auto"/>
              <w:right w:val="single" w:sz="4" w:space="0" w:color="auto"/>
            </w:tcBorders>
            <w:vAlign w:val="bottom"/>
            <w:hideMark/>
          </w:tcPr>
          <w:p w14:paraId="7E5FE3DB" w14:textId="77777777" w:rsidR="00677577" w:rsidRPr="00364020" w:rsidRDefault="00677577" w:rsidP="00B42F9C">
            <w:pPr>
              <w:jc w:val="right"/>
              <w:rPr>
                <w:b/>
                <w:bCs/>
                <w:sz w:val="20"/>
                <w:szCs w:val="20"/>
              </w:rPr>
            </w:pPr>
            <w:r w:rsidRPr="00364020">
              <w:rPr>
                <w:b/>
                <w:bCs/>
                <w:sz w:val="20"/>
                <w:szCs w:val="20"/>
              </w:rPr>
              <w:t>Total</w:t>
            </w:r>
          </w:p>
        </w:tc>
      </w:tr>
      <w:tr w:rsidR="00677577" w:rsidRPr="00167CB8" w14:paraId="7F9B371D" w14:textId="77777777">
        <w:trPr>
          <w:trHeight w:val="262"/>
        </w:trPr>
        <w:tc>
          <w:tcPr>
            <w:tcW w:w="4068" w:type="dxa"/>
            <w:gridSpan w:val="2"/>
            <w:tcBorders>
              <w:top w:val="single" w:sz="4" w:space="0" w:color="auto"/>
              <w:left w:val="single" w:sz="4" w:space="0" w:color="auto"/>
              <w:bottom w:val="nil"/>
              <w:right w:val="nil"/>
            </w:tcBorders>
            <w:noWrap/>
            <w:vAlign w:val="bottom"/>
            <w:hideMark/>
          </w:tcPr>
          <w:p w14:paraId="28F74FB0" w14:textId="64E3ABCA" w:rsidR="00677577" w:rsidRPr="00364020" w:rsidRDefault="00677577">
            <w:pPr>
              <w:rPr>
                <w:sz w:val="20"/>
                <w:szCs w:val="20"/>
              </w:rPr>
            </w:pPr>
            <w:r w:rsidRPr="00364020">
              <w:rPr>
                <w:sz w:val="20"/>
                <w:szCs w:val="20"/>
              </w:rPr>
              <w:t>NUMBER OF EMPLOYEES (</w:t>
            </w:r>
            <w:r w:rsidR="00702D44">
              <w:rPr>
                <w:sz w:val="20"/>
                <w:szCs w:val="20"/>
              </w:rPr>
              <w:t>‘</w:t>
            </w:r>
            <w:r w:rsidRPr="00364020">
              <w:rPr>
                <w:sz w:val="20"/>
                <w:szCs w:val="20"/>
              </w:rPr>
              <w:t>000)</w:t>
            </w:r>
          </w:p>
        </w:tc>
        <w:tc>
          <w:tcPr>
            <w:tcW w:w="1583" w:type="dxa"/>
            <w:tcBorders>
              <w:top w:val="single" w:sz="4" w:space="0" w:color="auto"/>
              <w:left w:val="nil"/>
              <w:bottom w:val="nil"/>
              <w:right w:val="nil"/>
            </w:tcBorders>
            <w:noWrap/>
            <w:vAlign w:val="bottom"/>
            <w:hideMark/>
          </w:tcPr>
          <w:p w14:paraId="32B8E835" w14:textId="77777777" w:rsidR="00677577" w:rsidRPr="00364020" w:rsidRDefault="00677577">
            <w:pPr>
              <w:rPr>
                <w:sz w:val="20"/>
                <w:szCs w:val="20"/>
              </w:rPr>
            </w:pPr>
          </w:p>
        </w:tc>
        <w:tc>
          <w:tcPr>
            <w:tcW w:w="1835" w:type="dxa"/>
            <w:tcBorders>
              <w:top w:val="single" w:sz="4" w:space="0" w:color="auto"/>
              <w:left w:val="nil"/>
              <w:bottom w:val="nil"/>
              <w:right w:val="nil"/>
            </w:tcBorders>
            <w:noWrap/>
            <w:vAlign w:val="bottom"/>
            <w:hideMark/>
          </w:tcPr>
          <w:p w14:paraId="7AB107DA" w14:textId="77777777" w:rsidR="00677577" w:rsidRPr="00364020" w:rsidRDefault="00677577">
            <w:pPr>
              <w:rPr>
                <w:sz w:val="20"/>
                <w:szCs w:val="20"/>
              </w:rPr>
            </w:pPr>
          </w:p>
        </w:tc>
        <w:tc>
          <w:tcPr>
            <w:tcW w:w="1318" w:type="dxa"/>
            <w:tcBorders>
              <w:top w:val="single" w:sz="4" w:space="0" w:color="auto"/>
              <w:left w:val="nil"/>
              <w:bottom w:val="nil"/>
              <w:right w:val="single" w:sz="4" w:space="0" w:color="auto"/>
            </w:tcBorders>
            <w:noWrap/>
            <w:vAlign w:val="bottom"/>
            <w:hideMark/>
          </w:tcPr>
          <w:p w14:paraId="748724C9" w14:textId="77777777" w:rsidR="00677577" w:rsidRPr="00364020" w:rsidRDefault="00677577">
            <w:pPr>
              <w:rPr>
                <w:sz w:val="20"/>
                <w:szCs w:val="20"/>
              </w:rPr>
            </w:pPr>
          </w:p>
        </w:tc>
      </w:tr>
      <w:tr w:rsidR="00677577" w:rsidRPr="00167CB8" w14:paraId="7B89C463" w14:textId="77777777">
        <w:trPr>
          <w:trHeight w:val="262"/>
        </w:trPr>
        <w:tc>
          <w:tcPr>
            <w:tcW w:w="2752" w:type="dxa"/>
            <w:tcBorders>
              <w:top w:val="nil"/>
              <w:left w:val="single" w:sz="4" w:space="0" w:color="auto"/>
              <w:bottom w:val="nil"/>
              <w:right w:val="nil"/>
            </w:tcBorders>
            <w:noWrap/>
            <w:vAlign w:val="bottom"/>
            <w:hideMark/>
          </w:tcPr>
          <w:p w14:paraId="009E5CBC" w14:textId="77777777" w:rsidR="00677577" w:rsidRPr="00364020" w:rsidRDefault="00677577">
            <w:pPr>
              <w:rPr>
                <w:sz w:val="20"/>
                <w:szCs w:val="20"/>
              </w:rPr>
            </w:pPr>
            <w:r w:rsidRPr="00364020">
              <w:rPr>
                <w:sz w:val="20"/>
                <w:szCs w:val="20"/>
              </w:rPr>
              <w:t>Males</w:t>
            </w:r>
          </w:p>
        </w:tc>
        <w:tc>
          <w:tcPr>
            <w:tcW w:w="1316" w:type="dxa"/>
            <w:noWrap/>
            <w:vAlign w:val="bottom"/>
            <w:hideMark/>
          </w:tcPr>
          <w:p w14:paraId="56583BE3" w14:textId="77777777" w:rsidR="00677577" w:rsidRPr="00364020" w:rsidRDefault="00677577">
            <w:pPr>
              <w:rPr>
                <w:sz w:val="20"/>
                <w:szCs w:val="20"/>
              </w:rPr>
            </w:pPr>
          </w:p>
        </w:tc>
        <w:tc>
          <w:tcPr>
            <w:tcW w:w="1583" w:type="dxa"/>
            <w:noWrap/>
            <w:vAlign w:val="bottom"/>
            <w:hideMark/>
          </w:tcPr>
          <w:p w14:paraId="11FE5806" w14:textId="77777777" w:rsidR="00677577" w:rsidRPr="00364020" w:rsidRDefault="00677577">
            <w:pPr>
              <w:rPr>
                <w:sz w:val="20"/>
                <w:szCs w:val="20"/>
              </w:rPr>
            </w:pPr>
          </w:p>
        </w:tc>
        <w:tc>
          <w:tcPr>
            <w:tcW w:w="1835" w:type="dxa"/>
            <w:noWrap/>
            <w:vAlign w:val="bottom"/>
            <w:hideMark/>
          </w:tcPr>
          <w:p w14:paraId="658393FA" w14:textId="77777777" w:rsidR="00677577" w:rsidRPr="00364020" w:rsidRDefault="00677577">
            <w:pPr>
              <w:rPr>
                <w:sz w:val="20"/>
                <w:szCs w:val="20"/>
              </w:rPr>
            </w:pPr>
          </w:p>
        </w:tc>
        <w:tc>
          <w:tcPr>
            <w:tcW w:w="1318" w:type="dxa"/>
            <w:tcBorders>
              <w:top w:val="nil"/>
              <w:left w:val="nil"/>
              <w:bottom w:val="nil"/>
              <w:right w:val="single" w:sz="4" w:space="0" w:color="auto"/>
            </w:tcBorders>
            <w:noWrap/>
            <w:vAlign w:val="bottom"/>
            <w:hideMark/>
          </w:tcPr>
          <w:p w14:paraId="03D0C7B3" w14:textId="77777777" w:rsidR="00677577" w:rsidRPr="00364020" w:rsidRDefault="00677577">
            <w:pPr>
              <w:rPr>
                <w:sz w:val="20"/>
                <w:szCs w:val="20"/>
              </w:rPr>
            </w:pPr>
          </w:p>
        </w:tc>
      </w:tr>
      <w:tr w:rsidR="00677577" w:rsidRPr="00167CB8" w14:paraId="41441A63" w14:textId="77777777">
        <w:trPr>
          <w:trHeight w:val="262"/>
        </w:trPr>
        <w:tc>
          <w:tcPr>
            <w:tcW w:w="2752" w:type="dxa"/>
            <w:tcBorders>
              <w:top w:val="nil"/>
              <w:left w:val="single" w:sz="4" w:space="0" w:color="auto"/>
              <w:bottom w:val="nil"/>
              <w:right w:val="nil"/>
            </w:tcBorders>
            <w:noWrap/>
            <w:vAlign w:val="bottom"/>
            <w:hideMark/>
          </w:tcPr>
          <w:p w14:paraId="6F400A2A" w14:textId="77777777" w:rsidR="00677577" w:rsidRPr="00364020" w:rsidRDefault="00677577">
            <w:pPr>
              <w:rPr>
                <w:sz w:val="20"/>
                <w:szCs w:val="20"/>
              </w:rPr>
            </w:pPr>
            <w:r w:rsidRPr="00364020">
              <w:rPr>
                <w:sz w:val="20"/>
                <w:szCs w:val="20"/>
              </w:rPr>
              <w:t>Full-time employees</w:t>
            </w:r>
          </w:p>
        </w:tc>
        <w:tc>
          <w:tcPr>
            <w:tcW w:w="1316" w:type="dxa"/>
            <w:noWrap/>
            <w:vAlign w:val="bottom"/>
            <w:hideMark/>
          </w:tcPr>
          <w:p w14:paraId="06D2E55F" w14:textId="77777777" w:rsidR="00677577" w:rsidRPr="00364020" w:rsidRDefault="00677577" w:rsidP="00D36C73">
            <w:pPr>
              <w:jc w:val="right"/>
              <w:rPr>
                <w:sz w:val="20"/>
                <w:szCs w:val="20"/>
              </w:rPr>
            </w:pPr>
            <w:r w:rsidRPr="00364020">
              <w:rPr>
                <w:sz w:val="20"/>
                <w:szCs w:val="20"/>
              </w:rPr>
              <w:t>537.3</w:t>
            </w:r>
          </w:p>
        </w:tc>
        <w:tc>
          <w:tcPr>
            <w:tcW w:w="1583" w:type="dxa"/>
            <w:noWrap/>
            <w:vAlign w:val="bottom"/>
            <w:hideMark/>
          </w:tcPr>
          <w:p w14:paraId="63B62794" w14:textId="77777777" w:rsidR="00677577" w:rsidRPr="00364020" w:rsidRDefault="00677577" w:rsidP="00D36C73">
            <w:pPr>
              <w:jc w:val="right"/>
              <w:rPr>
                <w:sz w:val="20"/>
                <w:szCs w:val="20"/>
              </w:rPr>
            </w:pPr>
            <w:r w:rsidRPr="00364020">
              <w:rPr>
                <w:sz w:val="20"/>
                <w:szCs w:val="20"/>
              </w:rPr>
              <w:t>1,314.5</w:t>
            </w:r>
          </w:p>
        </w:tc>
        <w:tc>
          <w:tcPr>
            <w:tcW w:w="1835" w:type="dxa"/>
            <w:noWrap/>
            <w:vAlign w:val="bottom"/>
            <w:hideMark/>
          </w:tcPr>
          <w:p w14:paraId="5E195033" w14:textId="77777777" w:rsidR="00677577" w:rsidRPr="00364020" w:rsidRDefault="00677577" w:rsidP="00D36C73">
            <w:pPr>
              <w:jc w:val="right"/>
              <w:rPr>
                <w:sz w:val="20"/>
                <w:szCs w:val="20"/>
              </w:rPr>
            </w:pPr>
            <w:r w:rsidRPr="00364020">
              <w:rPr>
                <w:sz w:val="20"/>
                <w:szCs w:val="20"/>
              </w:rPr>
              <w:t>2,365.5</w:t>
            </w:r>
          </w:p>
        </w:tc>
        <w:tc>
          <w:tcPr>
            <w:tcW w:w="1318" w:type="dxa"/>
            <w:tcBorders>
              <w:top w:val="nil"/>
              <w:left w:val="nil"/>
              <w:bottom w:val="nil"/>
              <w:right w:val="single" w:sz="4" w:space="0" w:color="auto"/>
            </w:tcBorders>
            <w:noWrap/>
            <w:vAlign w:val="bottom"/>
            <w:hideMark/>
          </w:tcPr>
          <w:p w14:paraId="0C26A2E6" w14:textId="77777777" w:rsidR="00677577" w:rsidRPr="00364020" w:rsidRDefault="00677577" w:rsidP="00D36C73">
            <w:pPr>
              <w:jc w:val="right"/>
              <w:rPr>
                <w:sz w:val="20"/>
                <w:szCs w:val="20"/>
              </w:rPr>
            </w:pPr>
            <w:r w:rsidRPr="00364020">
              <w:rPr>
                <w:sz w:val="20"/>
                <w:szCs w:val="20"/>
              </w:rPr>
              <w:t>4,217.3</w:t>
            </w:r>
          </w:p>
        </w:tc>
      </w:tr>
      <w:tr w:rsidR="00677577" w:rsidRPr="00167CB8" w14:paraId="47B1DC37" w14:textId="77777777">
        <w:trPr>
          <w:trHeight w:val="262"/>
        </w:trPr>
        <w:tc>
          <w:tcPr>
            <w:tcW w:w="2752" w:type="dxa"/>
            <w:tcBorders>
              <w:top w:val="nil"/>
              <w:left w:val="single" w:sz="4" w:space="0" w:color="auto"/>
              <w:bottom w:val="nil"/>
              <w:right w:val="nil"/>
            </w:tcBorders>
            <w:noWrap/>
            <w:vAlign w:val="bottom"/>
            <w:hideMark/>
          </w:tcPr>
          <w:p w14:paraId="6CB510B8" w14:textId="77777777" w:rsidR="00677577" w:rsidRPr="00364020" w:rsidRDefault="00677577">
            <w:pPr>
              <w:rPr>
                <w:sz w:val="20"/>
                <w:szCs w:val="20"/>
              </w:rPr>
            </w:pPr>
            <w:r w:rsidRPr="00364020">
              <w:rPr>
                <w:sz w:val="20"/>
                <w:szCs w:val="20"/>
              </w:rPr>
              <w:t>Part-time employees</w:t>
            </w:r>
          </w:p>
        </w:tc>
        <w:tc>
          <w:tcPr>
            <w:tcW w:w="1316" w:type="dxa"/>
            <w:noWrap/>
            <w:vAlign w:val="bottom"/>
            <w:hideMark/>
          </w:tcPr>
          <w:p w14:paraId="794F4AFE" w14:textId="77777777" w:rsidR="00677577" w:rsidRPr="00364020" w:rsidRDefault="00677577" w:rsidP="00D36C73">
            <w:pPr>
              <w:jc w:val="right"/>
              <w:rPr>
                <w:sz w:val="20"/>
                <w:szCs w:val="20"/>
              </w:rPr>
            </w:pPr>
            <w:r w:rsidRPr="00364020">
              <w:rPr>
                <w:sz w:val="20"/>
                <w:szCs w:val="20"/>
              </w:rPr>
              <w:t>638.3</w:t>
            </w:r>
          </w:p>
        </w:tc>
        <w:tc>
          <w:tcPr>
            <w:tcW w:w="1583" w:type="dxa"/>
            <w:noWrap/>
            <w:vAlign w:val="bottom"/>
            <w:hideMark/>
          </w:tcPr>
          <w:p w14:paraId="71FCDEB1" w14:textId="77777777" w:rsidR="00677577" w:rsidRPr="00364020" w:rsidRDefault="00677577" w:rsidP="00D36C73">
            <w:pPr>
              <w:jc w:val="right"/>
              <w:rPr>
                <w:sz w:val="20"/>
                <w:szCs w:val="20"/>
              </w:rPr>
            </w:pPr>
            <w:r w:rsidRPr="00364020">
              <w:rPr>
                <w:sz w:val="20"/>
                <w:szCs w:val="20"/>
              </w:rPr>
              <w:t>521.9</w:t>
            </w:r>
          </w:p>
        </w:tc>
        <w:tc>
          <w:tcPr>
            <w:tcW w:w="1835" w:type="dxa"/>
            <w:noWrap/>
            <w:vAlign w:val="bottom"/>
            <w:hideMark/>
          </w:tcPr>
          <w:p w14:paraId="0CF82636" w14:textId="77777777" w:rsidR="00677577" w:rsidRPr="00364020" w:rsidRDefault="00677577" w:rsidP="00D36C73">
            <w:pPr>
              <w:jc w:val="right"/>
              <w:rPr>
                <w:sz w:val="20"/>
                <w:szCs w:val="20"/>
              </w:rPr>
            </w:pPr>
            <w:r w:rsidRPr="00364020">
              <w:rPr>
                <w:sz w:val="20"/>
                <w:szCs w:val="20"/>
              </w:rPr>
              <w:t>372.7</w:t>
            </w:r>
          </w:p>
        </w:tc>
        <w:tc>
          <w:tcPr>
            <w:tcW w:w="1318" w:type="dxa"/>
            <w:tcBorders>
              <w:top w:val="nil"/>
              <w:left w:val="nil"/>
              <w:bottom w:val="nil"/>
              <w:right w:val="single" w:sz="4" w:space="0" w:color="auto"/>
            </w:tcBorders>
            <w:noWrap/>
            <w:vAlign w:val="bottom"/>
            <w:hideMark/>
          </w:tcPr>
          <w:p w14:paraId="26DEAD7A" w14:textId="77777777" w:rsidR="00677577" w:rsidRPr="00364020" w:rsidRDefault="00677577" w:rsidP="00D36C73">
            <w:pPr>
              <w:jc w:val="right"/>
              <w:rPr>
                <w:sz w:val="20"/>
                <w:szCs w:val="20"/>
              </w:rPr>
            </w:pPr>
            <w:r w:rsidRPr="00364020">
              <w:rPr>
                <w:sz w:val="20"/>
                <w:szCs w:val="20"/>
              </w:rPr>
              <w:t>1,532.9</w:t>
            </w:r>
          </w:p>
        </w:tc>
      </w:tr>
      <w:tr w:rsidR="00677577" w:rsidRPr="00167CB8" w14:paraId="6018DF75" w14:textId="77777777">
        <w:trPr>
          <w:trHeight w:val="262"/>
        </w:trPr>
        <w:tc>
          <w:tcPr>
            <w:tcW w:w="2752" w:type="dxa"/>
            <w:tcBorders>
              <w:top w:val="nil"/>
              <w:left w:val="single" w:sz="4" w:space="0" w:color="auto"/>
              <w:bottom w:val="nil"/>
              <w:right w:val="nil"/>
            </w:tcBorders>
            <w:noWrap/>
            <w:vAlign w:val="bottom"/>
            <w:hideMark/>
          </w:tcPr>
          <w:p w14:paraId="0D59FAFB" w14:textId="77777777" w:rsidR="00677577" w:rsidRPr="00364020" w:rsidRDefault="00677577">
            <w:pPr>
              <w:rPr>
                <w:b/>
                <w:bCs/>
                <w:sz w:val="20"/>
                <w:szCs w:val="20"/>
              </w:rPr>
            </w:pPr>
            <w:r w:rsidRPr="00364020">
              <w:rPr>
                <w:b/>
                <w:bCs/>
                <w:sz w:val="20"/>
                <w:szCs w:val="20"/>
              </w:rPr>
              <w:t>All employees</w:t>
            </w:r>
          </w:p>
        </w:tc>
        <w:tc>
          <w:tcPr>
            <w:tcW w:w="1316" w:type="dxa"/>
            <w:noWrap/>
            <w:vAlign w:val="bottom"/>
            <w:hideMark/>
          </w:tcPr>
          <w:p w14:paraId="4FFE3039" w14:textId="77777777" w:rsidR="00677577" w:rsidRPr="00364020" w:rsidRDefault="00677577" w:rsidP="00D36C73">
            <w:pPr>
              <w:jc w:val="right"/>
              <w:rPr>
                <w:b/>
                <w:bCs/>
                <w:sz w:val="20"/>
                <w:szCs w:val="20"/>
              </w:rPr>
            </w:pPr>
            <w:r w:rsidRPr="00364020">
              <w:rPr>
                <w:b/>
                <w:bCs/>
                <w:sz w:val="20"/>
                <w:szCs w:val="20"/>
              </w:rPr>
              <w:t>1,175.6</w:t>
            </w:r>
          </w:p>
        </w:tc>
        <w:tc>
          <w:tcPr>
            <w:tcW w:w="1583" w:type="dxa"/>
            <w:noWrap/>
            <w:vAlign w:val="bottom"/>
            <w:hideMark/>
          </w:tcPr>
          <w:p w14:paraId="658CC7A8" w14:textId="77777777" w:rsidR="00677577" w:rsidRPr="00364020" w:rsidRDefault="00677577" w:rsidP="00D36C73">
            <w:pPr>
              <w:jc w:val="right"/>
              <w:rPr>
                <w:b/>
                <w:bCs/>
                <w:sz w:val="20"/>
                <w:szCs w:val="20"/>
              </w:rPr>
            </w:pPr>
            <w:r w:rsidRPr="00364020">
              <w:rPr>
                <w:b/>
                <w:bCs/>
                <w:sz w:val="20"/>
                <w:szCs w:val="20"/>
              </w:rPr>
              <w:t>1,836.4</w:t>
            </w:r>
          </w:p>
        </w:tc>
        <w:tc>
          <w:tcPr>
            <w:tcW w:w="1835" w:type="dxa"/>
            <w:noWrap/>
            <w:vAlign w:val="bottom"/>
            <w:hideMark/>
          </w:tcPr>
          <w:p w14:paraId="64D466C6" w14:textId="77777777" w:rsidR="00677577" w:rsidRPr="00364020" w:rsidRDefault="00677577" w:rsidP="00D36C73">
            <w:pPr>
              <w:jc w:val="right"/>
              <w:rPr>
                <w:b/>
                <w:bCs/>
                <w:sz w:val="20"/>
                <w:szCs w:val="20"/>
              </w:rPr>
            </w:pPr>
            <w:r w:rsidRPr="00364020">
              <w:rPr>
                <w:b/>
                <w:bCs/>
                <w:sz w:val="20"/>
                <w:szCs w:val="20"/>
              </w:rPr>
              <w:t>2,738.2</w:t>
            </w:r>
          </w:p>
        </w:tc>
        <w:tc>
          <w:tcPr>
            <w:tcW w:w="1318" w:type="dxa"/>
            <w:tcBorders>
              <w:top w:val="nil"/>
              <w:left w:val="nil"/>
              <w:bottom w:val="nil"/>
              <w:right w:val="single" w:sz="4" w:space="0" w:color="auto"/>
            </w:tcBorders>
            <w:noWrap/>
            <w:vAlign w:val="bottom"/>
            <w:hideMark/>
          </w:tcPr>
          <w:p w14:paraId="4377A59A" w14:textId="77777777" w:rsidR="00677577" w:rsidRPr="00364020" w:rsidRDefault="00677577" w:rsidP="00D36C73">
            <w:pPr>
              <w:jc w:val="right"/>
              <w:rPr>
                <w:sz w:val="20"/>
                <w:szCs w:val="20"/>
              </w:rPr>
            </w:pPr>
            <w:r w:rsidRPr="00364020">
              <w:rPr>
                <w:sz w:val="20"/>
                <w:szCs w:val="20"/>
              </w:rPr>
              <w:t>5,750.2</w:t>
            </w:r>
          </w:p>
        </w:tc>
      </w:tr>
      <w:tr w:rsidR="00677577" w:rsidRPr="00167CB8" w14:paraId="016BDB45" w14:textId="77777777">
        <w:trPr>
          <w:trHeight w:val="262"/>
        </w:trPr>
        <w:tc>
          <w:tcPr>
            <w:tcW w:w="2752" w:type="dxa"/>
            <w:tcBorders>
              <w:top w:val="nil"/>
              <w:left w:val="single" w:sz="4" w:space="0" w:color="auto"/>
              <w:bottom w:val="nil"/>
              <w:right w:val="nil"/>
            </w:tcBorders>
            <w:noWrap/>
            <w:vAlign w:val="bottom"/>
            <w:hideMark/>
          </w:tcPr>
          <w:p w14:paraId="35417587" w14:textId="77777777" w:rsidR="00677577" w:rsidRPr="00364020" w:rsidRDefault="00677577">
            <w:pPr>
              <w:rPr>
                <w:sz w:val="20"/>
                <w:szCs w:val="20"/>
              </w:rPr>
            </w:pPr>
            <w:r w:rsidRPr="00364020">
              <w:rPr>
                <w:sz w:val="20"/>
                <w:szCs w:val="20"/>
              </w:rPr>
              <w:t>Females</w:t>
            </w:r>
          </w:p>
        </w:tc>
        <w:tc>
          <w:tcPr>
            <w:tcW w:w="1316" w:type="dxa"/>
            <w:noWrap/>
            <w:vAlign w:val="bottom"/>
            <w:hideMark/>
          </w:tcPr>
          <w:p w14:paraId="2B4696B5" w14:textId="77777777" w:rsidR="00677577" w:rsidRPr="00364020" w:rsidRDefault="00677577" w:rsidP="00D36C73">
            <w:pPr>
              <w:jc w:val="right"/>
              <w:rPr>
                <w:sz w:val="20"/>
                <w:szCs w:val="20"/>
              </w:rPr>
            </w:pPr>
          </w:p>
        </w:tc>
        <w:tc>
          <w:tcPr>
            <w:tcW w:w="1583" w:type="dxa"/>
            <w:noWrap/>
            <w:vAlign w:val="bottom"/>
            <w:hideMark/>
          </w:tcPr>
          <w:p w14:paraId="4E106F5A" w14:textId="77777777" w:rsidR="00677577" w:rsidRPr="00364020" w:rsidRDefault="00677577" w:rsidP="00D36C73">
            <w:pPr>
              <w:jc w:val="right"/>
              <w:rPr>
                <w:sz w:val="20"/>
                <w:szCs w:val="20"/>
              </w:rPr>
            </w:pPr>
          </w:p>
        </w:tc>
        <w:tc>
          <w:tcPr>
            <w:tcW w:w="1835" w:type="dxa"/>
            <w:noWrap/>
            <w:vAlign w:val="bottom"/>
            <w:hideMark/>
          </w:tcPr>
          <w:p w14:paraId="678CA21D" w14:textId="77777777" w:rsidR="00677577" w:rsidRPr="00364020" w:rsidRDefault="00677577" w:rsidP="00D36C73">
            <w:pPr>
              <w:jc w:val="right"/>
              <w:rPr>
                <w:sz w:val="20"/>
                <w:szCs w:val="20"/>
              </w:rPr>
            </w:pPr>
          </w:p>
        </w:tc>
        <w:tc>
          <w:tcPr>
            <w:tcW w:w="1318" w:type="dxa"/>
            <w:tcBorders>
              <w:top w:val="nil"/>
              <w:left w:val="nil"/>
              <w:bottom w:val="nil"/>
              <w:right w:val="single" w:sz="4" w:space="0" w:color="auto"/>
            </w:tcBorders>
            <w:noWrap/>
            <w:vAlign w:val="bottom"/>
            <w:hideMark/>
          </w:tcPr>
          <w:p w14:paraId="19342B3F" w14:textId="77777777" w:rsidR="00677577" w:rsidRPr="00364020" w:rsidRDefault="00677577" w:rsidP="00D36C73">
            <w:pPr>
              <w:jc w:val="right"/>
              <w:rPr>
                <w:sz w:val="20"/>
                <w:szCs w:val="20"/>
              </w:rPr>
            </w:pPr>
          </w:p>
        </w:tc>
      </w:tr>
      <w:tr w:rsidR="00677577" w:rsidRPr="00167CB8" w14:paraId="37ECD390" w14:textId="77777777">
        <w:trPr>
          <w:trHeight w:val="262"/>
        </w:trPr>
        <w:tc>
          <w:tcPr>
            <w:tcW w:w="2752" w:type="dxa"/>
            <w:tcBorders>
              <w:top w:val="nil"/>
              <w:left w:val="single" w:sz="4" w:space="0" w:color="auto"/>
              <w:bottom w:val="nil"/>
              <w:right w:val="nil"/>
            </w:tcBorders>
            <w:noWrap/>
            <w:vAlign w:val="bottom"/>
            <w:hideMark/>
          </w:tcPr>
          <w:p w14:paraId="21C78F34" w14:textId="77777777" w:rsidR="00677577" w:rsidRPr="00364020" w:rsidRDefault="00677577">
            <w:pPr>
              <w:rPr>
                <w:sz w:val="20"/>
                <w:szCs w:val="20"/>
              </w:rPr>
            </w:pPr>
            <w:r w:rsidRPr="00364020">
              <w:rPr>
                <w:sz w:val="20"/>
                <w:szCs w:val="20"/>
              </w:rPr>
              <w:t>Full-time employees</w:t>
            </w:r>
          </w:p>
        </w:tc>
        <w:tc>
          <w:tcPr>
            <w:tcW w:w="1316" w:type="dxa"/>
            <w:noWrap/>
            <w:vAlign w:val="bottom"/>
            <w:hideMark/>
          </w:tcPr>
          <w:p w14:paraId="7FCD8D03" w14:textId="77777777" w:rsidR="00677577" w:rsidRPr="00364020" w:rsidRDefault="00677577" w:rsidP="00D36C73">
            <w:pPr>
              <w:jc w:val="right"/>
              <w:rPr>
                <w:sz w:val="20"/>
                <w:szCs w:val="20"/>
              </w:rPr>
            </w:pPr>
            <w:r w:rsidRPr="00364020">
              <w:rPr>
                <w:sz w:val="20"/>
                <w:szCs w:val="20"/>
              </w:rPr>
              <w:t>434.4</w:t>
            </w:r>
          </w:p>
        </w:tc>
        <w:tc>
          <w:tcPr>
            <w:tcW w:w="1583" w:type="dxa"/>
            <w:noWrap/>
            <w:vAlign w:val="bottom"/>
            <w:hideMark/>
          </w:tcPr>
          <w:p w14:paraId="0BA7B09B" w14:textId="77777777" w:rsidR="00677577" w:rsidRPr="00364020" w:rsidRDefault="00677577" w:rsidP="00D36C73">
            <w:pPr>
              <w:jc w:val="right"/>
              <w:rPr>
                <w:sz w:val="20"/>
                <w:szCs w:val="20"/>
              </w:rPr>
            </w:pPr>
            <w:r w:rsidRPr="00364020">
              <w:rPr>
                <w:sz w:val="20"/>
                <w:szCs w:val="20"/>
              </w:rPr>
              <w:t>1,068.3</w:t>
            </w:r>
          </w:p>
        </w:tc>
        <w:tc>
          <w:tcPr>
            <w:tcW w:w="1835" w:type="dxa"/>
            <w:noWrap/>
            <w:vAlign w:val="bottom"/>
            <w:hideMark/>
          </w:tcPr>
          <w:p w14:paraId="3B2ED398" w14:textId="77777777" w:rsidR="00677577" w:rsidRPr="00364020" w:rsidRDefault="00677577" w:rsidP="00D36C73">
            <w:pPr>
              <w:jc w:val="right"/>
              <w:rPr>
                <w:sz w:val="20"/>
                <w:szCs w:val="20"/>
              </w:rPr>
            </w:pPr>
            <w:r w:rsidRPr="00364020">
              <w:rPr>
                <w:sz w:val="20"/>
                <w:szCs w:val="20"/>
              </w:rPr>
              <w:t>1,296.8</w:t>
            </w:r>
          </w:p>
        </w:tc>
        <w:tc>
          <w:tcPr>
            <w:tcW w:w="1318" w:type="dxa"/>
            <w:tcBorders>
              <w:top w:val="nil"/>
              <w:left w:val="nil"/>
              <w:bottom w:val="nil"/>
              <w:right w:val="single" w:sz="4" w:space="0" w:color="auto"/>
            </w:tcBorders>
            <w:noWrap/>
            <w:vAlign w:val="bottom"/>
            <w:hideMark/>
          </w:tcPr>
          <w:p w14:paraId="0E784B48" w14:textId="77777777" w:rsidR="00677577" w:rsidRPr="00364020" w:rsidRDefault="00677577" w:rsidP="00D36C73">
            <w:pPr>
              <w:jc w:val="right"/>
              <w:rPr>
                <w:sz w:val="20"/>
                <w:szCs w:val="20"/>
              </w:rPr>
            </w:pPr>
            <w:r w:rsidRPr="00364020">
              <w:rPr>
                <w:sz w:val="20"/>
                <w:szCs w:val="20"/>
              </w:rPr>
              <w:t>2,799.5</w:t>
            </w:r>
          </w:p>
        </w:tc>
      </w:tr>
      <w:tr w:rsidR="00677577" w:rsidRPr="00167CB8" w14:paraId="322CC355" w14:textId="77777777">
        <w:trPr>
          <w:trHeight w:val="262"/>
        </w:trPr>
        <w:tc>
          <w:tcPr>
            <w:tcW w:w="2752" w:type="dxa"/>
            <w:tcBorders>
              <w:top w:val="nil"/>
              <w:left w:val="single" w:sz="4" w:space="0" w:color="auto"/>
              <w:bottom w:val="nil"/>
              <w:right w:val="nil"/>
            </w:tcBorders>
            <w:noWrap/>
            <w:vAlign w:val="bottom"/>
            <w:hideMark/>
          </w:tcPr>
          <w:p w14:paraId="137CFCF4" w14:textId="77777777" w:rsidR="00677577" w:rsidRPr="00364020" w:rsidRDefault="00677577">
            <w:pPr>
              <w:rPr>
                <w:sz w:val="20"/>
                <w:szCs w:val="20"/>
              </w:rPr>
            </w:pPr>
            <w:r w:rsidRPr="00364020">
              <w:rPr>
                <w:sz w:val="20"/>
                <w:szCs w:val="20"/>
              </w:rPr>
              <w:t>Part-time employees</w:t>
            </w:r>
          </w:p>
        </w:tc>
        <w:tc>
          <w:tcPr>
            <w:tcW w:w="1316" w:type="dxa"/>
            <w:noWrap/>
            <w:vAlign w:val="bottom"/>
            <w:hideMark/>
          </w:tcPr>
          <w:p w14:paraId="3D00D49D" w14:textId="77777777" w:rsidR="00677577" w:rsidRPr="00364020" w:rsidRDefault="00677577" w:rsidP="00D36C73">
            <w:pPr>
              <w:jc w:val="right"/>
              <w:rPr>
                <w:sz w:val="20"/>
                <w:szCs w:val="20"/>
              </w:rPr>
            </w:pPr>
            <w:r w:rsidRPr="00364020">
              <w:rPr>
                <w:sz w:val="20"/>
                <w:szCs w:val="20"/>
              </w:rPr>
              <w:t>1,309.7</w:t>
            </w:r>
          </w:p>
        </w:tc>
        <w:tc>
          <w:tcPr>
            <w:tcW w:w="1583" w:type="dxa"/>
            <w:noWrap/>
            <w:vAlign w:val="bottom"/>
            <w:hideMark/>
          </w:tcPr>
          <w:p w14:paraId="63E958CF" w14:textId="77777777" w:rsidR="00677577" w:rsidRPr="00364020" w:rsidRDefault="00677577" w:rsidP="00D36C73">
            <w:pPr>
              <w:jc w:val="right"/>
              <w:rPr>
                <w:sz w:val="20"/>
                <w:szCs w:val="20"/>
              </w:rPr>
            </w:pPr>
            <w:r w:rsidRPr="00364020">
              <w:rPr>
                <w:sz w:val="20"/>
                <w:szCs w:val="20"/>
              </w:rPr>
              <w:t>1,381.2</w:t>
            </w:r>
          </w:p>
        </w:tc>
        <w:tc>
          <w:tcPr>
            <w:tcW w:w="1835" w:type="dxa"/>
            <w:noWrap/>
            <w:vAlign w:val="bottom"/>
            <w:hideMark/>
          </w:tcPr>
          <w:p w14:paraId="0A00EBDF" w14:textId="77777777" w:rsidR="00677577" w:rsidRPr="00364020" w:rsidRDefault="00677577" w:rsidP="00D36C73">
            <w:pPr>
              <w:jc w:val="right"/>
              <w:rPr>
                <w:sz w:val="20"/>
                <w:szCs w:val="20"/>
              </w:rPr>
            </w:pPr>
            <w:r w:rsidRPr="00364020">
              <w:rPr>
                <w:sz w:val="20"/>
                <w:szCs w:val="20"/>
              </w:rPr>
              <w:t>836.1</w:t>
            </w:r>
          </w:p>
        </w:tc>
        <w:tc>
          <w:tcPr>
            <w:tcW w:w="1318" w:type="dxa"/>
            <w:tcBorders>
              <w:top w:val="nil"/>
              <w:left w:val="nil"/>
              <w:bottom w:val="nil"/>
              <w:right w:val="single" w:sz="4" w:space="0" w:color="auto"/>
            </w:tcBorders>
            <w:noWrap/>
            <w:vAlign w:val="bottom"/>
            <w:hideMark/>
          </w:tcPr>
          <w:p w14:paraId="6065885A" w14:textId="77777777" w:rsidR="00677577" w:rsidRPr="00364020" w:rsidRDefault="00677577" w:rsidP="00D36C73">
            <w:pPr>
              <w:jc w:val="right"/>
              <w:rPr>
                <w:sz w:val="20"/>
                <w:szCs w:val="20"/>
              </w:rPr>
            </w:pPr>
            <w:r w:rsidRPr="00364020">
              <w:rPr>
                <w:sz w:val="20"/>
                <w:szCs w:val="20"/>
              </w:rPr>
              <w:t>3,527.0</w:t>
            </w:r>
          </w:p>
        </w:tc>
      </w:tr>
      <w:tr w:rsidR="00677577" w:rsidRPr="00167CB8" w14:paraId="5EAA4DB6" w14:textId="77777777">
        <w:trPr>
          <w:trHeight w:val="262"/>
        </w:trPr>
        <w:tc>
          <w:tcPr>
            <w:tcW w:w="2752" w:type="dxa"/>
            <w:tcBorders>
              <w:top w:val="nil"/>
              <w:left w:val="single" w:sz="4" w:space="0" w:color="auto"/>
              <w:bottom w:val="nil"/>
              <w:right w:val="nil"/>
            </w:tcBorders>
            <w:noWrap/>
            <w:vAlign w:val="bottom"/>
            <w:hideMark/>
          </w:tcPr>
          <w:p w14:paraId="7A4E5729" w14:textId="77777777" w:rsidR="00677577" w:rsidRPr="00364020" w:rsidRDefault="00677577">
            <w:pPr>
              <w:rPr>
                <w:b/>
                <w:bCs/>
                <w:sz w:val="20"/>
                <w:szCs w:val="20"/>
              </w:rPr>
            </w:pPr>
            <w:r w:rsidRPr="00364020">
              <w:rPr>
                <w:b/>
                <w:bCs/>
                <w:sz w:val="20"/>
                <w:szCs w:val="20"/>
              </w:rPr>
              <w:t>All employees</w:t>
            </w:r>
          </w:p>
        </w:tc>
        <w:tc>
          <w:tcPr>
            <w:tcW w:w="1316" w:type="dxa"/>
            <w:noWrap/>
            <w:vAlign w:val="bottom"/>
            <w:hideMark/>
          </w:tcPr>
          <w:p w14:paraId="2A72C472" w14:textId="77777777" w:rsidR="00677577" w:rsidRPr="00364020" w:rsidRDefault="00677577" w:rsidP="00D36C73">
            <w:pPr>
              <w:jc w:val="right"/>
              <w:rPr>
                <w:b/>
                <w:bCs/>
                <w:sz w:val="20"/>
                <w:szCs w:val="20"/>
              </w:rPr>
            </w:pPr>
            <w:r w:rsidRPr="00364020">
              <w:rPr>
                <w:b/>
                <w:bCs/>
                <w:sz w:val="20"/>
                <w:szCs w:val="20"/>
              </w:rPr>
              <w:t>1,744.2</w:t>
            </w:r>
          </w:p>
        </w:tc>
        <w:tc>
          <w:tcPr>
            <w:tcW w:w="1583" w:type="dxa"/>
            <w:noWrap/>
            <w:vAlign w:val="bottom"/>
            <w:hideMark/>
          </w:tcPr>
          <w:p w14:paraId="0FE70955" w14:textId="77777777" w:rsidR="00677577" w:rsidRPr="00364020" w:rsidRDefault="00677577" w:rsidP="00D36C73">
            <w:pPr>
              <w:jc w:val="right"/>
              <w:rPr>
                <w:b/>
                <w:bCs/>
                <w:sz w:val="20"/>
                <w:szCs w:val="20"/>
              </w:rPr>
            </w:pPr>
            <w:r w:rsidRPr="00364020">
              <w:rPr>
                <w:b/>
                <w:bCs/>
                <w:sz w:val="20"/>
                <w:szCs w:val="20"/>
              </w:rPr>
              <w:t>2,449.5</w:t>
            </w:r>
          </w:p>
        </w:tc>
        <w:tc>
          <w:tcPr>
            <w:tcW w:w="1835" w:type="dxa"/>
            <w:noWrap/>
            <w:vAlign w:val="bottom"/>
            <w:hideMark/>
          </w:tcPr>
          <w:p w14:paraId="2D5DB309" w14:textId="77777777" w:rsidR="00677577" w:rsidRPr="00364020" w:rsidRDefault="00677577" w:rsidP="00D36C73">
            <w:pPr>
              <w:jc w:val="right"/>
              <w:rPr>
                <w:b/>
                <w:bCs/>
                <w:sz w:val="20"/>
                <w:szCs w:val="20"/>
              </w:rPr>
            </w:pPr>
            <w:r w:rsidRPr="00364020">
              <w:rPr>
                <w:b/>
                <w:bCs/>
                <w:sz w:val="20"/>
                <w:szCs w:val="20"/>
              </w:rPr>
              <w:t>2,132.9</w:t>
            </w:r>
          </w:p>
        </w:tc>
        <w:tc>
          <w:tcPr>
            <w:tcW w:w="1318" w:type="dxa"/>
            <w:tcBorders>
              <w:top w:val="nil"/>
              <w:left w:val="nil"/>
              <w:bottom w:val="nil"/>
              <w:right w:val="single" w:sz="4" w:space="0" w:color="auto"/>
            </w:tcBorders>
            <w:noWrap/>
            <w:vAlign w:val="bottom"/>
            <w:hideMark/>
          </w:tcPr>
          <w:p w14:paraId="7EAA19BC" w14:textId="77777777" w:rsidR="00677577" w:rsidRPr="00364020" w:rsidRDefault="00677577" w:rsidP="00D36C73">
            <w:pPr>
              <w:jc w:val="right"/>
              <w:rPr>
                <w:sz w:val="20"/>
                <w:szCs w:val="20"/>
              </w:rPr>
            </w:pPr>
            <w:r w:rsidRPr="00364020">
              <w:rPr>
                <w:sz w:val="20"/>
                <w:szCs w:val="20"/>
              </w:rPr>
              <w:t>6,326.6</w:t>
            </w:r>
          </w:p>
        </w:tc>
      </w:tr>
      <w:tr w:rsidR="00677577" w:rsidRPr="00167CB8" w14:paraId="2474B6A1" w14:textId="77777777">
        <w:trPr>
          <w:trHeight w:val="262"/>
        </w:trPr>
        <w:tc>
          <w:tcPr>
            <w:tcW w:w="2752" w:type="dxa"/>
            <w:tcBorders>
              <w:top w:val="nil"/>
              <w:left w:val="single" w:sz="4" w:space="0" w:color="auto"/>
              <w:bottom w:val="nil"/>
              <w:right w:val="nil"/>
            </w:tcBorders>
            <w:noWrap/>
            <w:vAlign w:val="bottom"/>
            <w:hideMark/>
          </w:tcPr>
          <w:p w14:paraId="4674283E" w14:textId="77777777" w:rsidR="00677577" w:rsidRPr="00364020" w:rsidRDefault="00677577">
            <w:pPr>
              <w:rPr>
                <w:sz w:val="20"/>
                <w:szCs w:val="20"/>
              </w:rPr>
            </w:pPr>
            <w:r w:rsidRPr="00364020">
              <w:rPr>
                <w:sz w:val="20"/>
                <w:szCs w:val="20"/>
              </w:rPr>
              <w:t>Persons</w:t>
            </w:r>
          </w:p>
        </w:tc>
        <w:tc>
          <w:tcPr>
            <w:tcW w:w="1316" w:type="dxa"/>
            <w:noWrap/>
            <w:vAlign w:val="bottom"/>
            <w:hideMark/>
          </w:tcPr>
          <w:p w14:paraId="7138A64A" w14:textId="77777777" w:rsidR="00677577" w:rsidRPr="00364020" w:rsidRDefault="00677577" w:rsidP="00D36C73">
            <w:pPr>
              <w:jc w:val="right"/>
              <w:rPr>
                <w:sz w:val="20"/>
                <w:szCs w:val="20"/>
              </w:rPr>
            </w:pPr>
          </w:p>
        </w:tc>
        <w:tc>
          <w:tcPr>
            <w:tcW w:w="1583" w:type="dxa"/>
            <w:noWrap/>
            <w:vAlign w:val="bottom"/>
            <w:hideMark/>
          </w:tcPr>
          <w:p w14:paraId="255067EF" w14:textId="77777777" w:rsidR="00677577" w:rsidRPr="00364020" w:rsidRDefault="00677577" w:rsidP="00D36C73">
            <w:pPr>
              <w:jc w:val="right"/>
              <w:rPr>
                <w:sz w:val="20"/>
                <w:szCs w:val="20"/>
              </w:rPr>
            </w:pPr>
          </w:p>
        </w:tc>
        <w:tc>
          <w:tcPr>
            <w:tcW w:w="1835" w:type="dxa"/>
            <w:noWrap/>
            <w:vAlign w:val="bottom"/>
            <w:hideMark/>
          </w:tcPr>
          <w:p w14:paraId="18B009D4" w14:textId="77777777" w:rsidR="00677577" w:rsidRPr="00364020" w:rsidRDefault="00677577" w:rsidP="00D36C73">
            <w:pPr>
              <w:jc w:val="right"/>
              <w:rPr>
                <w:sz w:val="20"/>
                <w:szCs w:val="20"/>
              </w:rPr>
            </w:pPr>
          </w:p>
        </w:tc>
        <w:tc>
          <w:tcPr>
            <w:tcW w:w="1318" w:type="dxa"/>
            <w:tcBorders>
              <w:top w:val="nil"/>
              <w:left w:val="nil"/>
              <w:bottom w:val="nil"/>
              <w:right w:val="single" w:sz="4" w:space="0" w:color="auto"/>
            </w:tcBorders>
            <w:noWrap/>
            <w:vAlign w:val="bottom"/>
            <w:hideMark/>
          </w:tcPr>
          <w:p w14:paraId="3475C0DD" w14:textId="77777777" w:rsidR="00677577" w:rsidRPr="00364020" w:rsidRDefault="00677577" w:rsidP="00D36C73">
            <w:pPr>
              <w:jc w:val="right"/>
              <w:rPr>
                <w:sz w:val="20"/>
                <w:szCs w:val="20"/>
              </w:rPr>
            </w:pPr>
          </w:p>
        </w:tc>
      </w:tr>
      <w:tr w:rsidR="00677577" w:rsidRPr="00167CB8" w14:paraId="1BD40049" w14:textId="77777777">
        <w:trPr>
          <w:trHeight w:val="262"/>
        </w:trPr>
        <w:tc>
          <w:tcPr>
            <w:tcW w:w="2752" w:type="dxa"/>
            <w:tcBorders>
              <w:top w:val="nil"/>
              <w:left w:val="single" w:sz="4" w:space="0" w:color="auto"/>
              <w:bottom w:val="nil"/>
              <w:right w:val="nil"/>
            </w:tcBorders>
            <w:noWrap/>
            <w:vAlign w:val="bottom"/>
            <w:hideMark/>
          </w:tcPr>
          <w:p w14:paraId="2C8EF7E3" w14:textId="77777777" w:rsidR="00677577" w:rsidRPr="00364020" w:rsidRDefault="00677577">
            <w:pPr>
              <w:rPr>
                <w:sz w:val="20"/>
                <w:szCs w:val="20"/>
              </w:rPr>
            </w:pPr>
            <w:r w:rsidRPr="00364020">
              <w:rPr>
                <w:sz w:val="20"/>
                <w:szCs w:val="20"/>
              </w:rPr>
              <w:t>Full-time employees</w:t>
            </w:r>
          </w:p>
        </w:tc>
        <w:tc>
          <w:tcPr>
            <w:tcW w:w="1316" w:type="dxa"/>
            <w:noWrap/>
            <w:vAlign w:val="bottom"/>
            <w:hideMark/>
          </w:tcPr>
          <w:p w14:paraId="03C87831" w14:textId="77777777" w:rsidR="00677577" w:rsidRPr="00364020" w:rsidRDefault="00677577" w:rsidP="00D36C73">
            <w:pPr>
              <w:jc w:val="right"/>
              <w:rPr>
                <w:sz w:val="20"/>
                <w:szCs w:val="20"/>
              </w:rPr>
            </w:pPr>
            <w:r w:rsidRPr="00364020">
              <w:rPr>
                <w:sz w:val="20"/>
                <w:szCs w:val="20"/>
              </w:rPr>
              <w:t>971.7</w:t>
            </w:r>
          </w:p>
        </w:tc>
        <w:tc>
          <w:tcPr>
            <w:tcW w:w="1583" w:type="dxa"/>
            <w:noWrap/>
            <w:vAlign w:val="bottom"/>
            <w:hideMark/>
          </w:tcPr>
          <w:p w14:paraId="3CB7902C" w14:textId="77777777" w:rsidR="00677577" w:rsidRPr="00364020" w:rsidRDefault="00677577" w:rsidP="00D36C73">
            <w:pPr>
              <w:jc w:val="right"/>
              <w:rPr>
                <w:sz w:val="20"/>
                <w:szCs w:val="20"/>
              </w:rPr>
            </w:pPr>
            <w:r w:rsidRPr="00364020">
              <w:rPr>
                <w:sz w:val="20"/>
                <w:szCs w:val="20"/>
              </w:rPr>
              <w:t>2,382.8</w:t>
            </w:r>
          </w:p>
        </w:tc>
        <w:tc>
          <w:tcPr>
            <w:tcW w:w="1835" w:type="dxa"/>
            <w:noWrap/>
            <w:vAlign w:val="bottom"/>
            <w:hideMark/>
          </w:tcPr>
          <w:p w14:paraId="6922AD71" w14:textId="77777777" w:rsidR="00677577" w:rsidRPr="00364020" w:rsidRDefault="00677577" w:rsidP="00D36C73">
            <w:pPr>
              <w:jc w:val="right"/>
              <w:rPr>
                <w:sz w:val="20"/>
                <w:szCs w:val="20"/>
              </w:rPr>
            </w:pPr>
            <w:r w:rsidRPr="00364020">
              <w:rPr>
                <w:sz w:val="20"/>
                <w:szCs w:val="20"/>
              </w:rPr>
              <w:t>3,662.3</w:t>
            </w:r>
          </w:p>
        </w:tc>
        <w:tc>
          <w:tcPr>
            <w:tcW w:w="1318" w:type="dxa"/>
            <w:tcBorders>
              <w:top w:val="nil"/>
              <w:left w:val="nil"/>
              <w:bottom w:val="nil"/>
              <w:right w:val="single" w:sz="4" w:space="0" w:color="auto"/>
            </w:tcBorders>
            <w:noWrap/>
            <w:vAlign w:val="bottom"/>
            <w:hideMark/>
          </w:tcPr>
          <w:p w14:paraId="7264B080" w14:textId="77777777" w:rsidR="00677577" w:rsidRPr="00364020" w:rsidRDefault="00677577" w:rsidP="00D36C73">
            <w:pPr>
              <w:jc w:val="right"/>
              <w:rPr>
                <w:sz w:val="20"/>
                <w:szCs w:val="20"/>
              </w:rPr>
            </w:pPr>
            <w:r w:rsidRPr="00364020">
              <w:rPr>
                <w:sz w:val="20"/>
                <w:szCs w:val="20"/>
              </w:rPr>
              <w:t>7,016.8</w:t>
            </w:r>
          </w:p>
        </w:tc>
      </w:tr>
      <w:tr w:rsidR="00677577" w:rsidRPr="00167CB8" w14:paraId="357DCC06" w14:textId="77777777">
        <w:trPr>
          <w:trHeight w:val="262"/>
        </w:trPr>
        <w:tc>
          <w:tcPr>
            <w:tcW w:w="2752" w:type="dxa"/>
            <w:tcBorders>
              <w:top w:val="nil"/>
              <w:left w:val="single" w:sz="4" w:space="0" w:color="auto"/>
              <w:bottom w:val="nil"/>
              <w:right w:val="nil"/>
            </w:tcBorders>
            <w:noWrap/>
            <w:vAlign w:val="bottom"/>
            <w:hideMark/>
          </w:tcPr>
          <w:p w14:paraId="2F1BA5A5" w14:textId="77777777" w:rsidR="00677577" w:rsidRPr="00364020" w:rsidRDefault="00677577">
            <w:pPr>
              <w:rPr>
                <w:sz w:val="20"/>
                <w:szCs w:val="20"/>
              </w:rPr>
            </w:pPr>
            <w:r w:rsidRPr="00364020">
              <w:rPr>
                <w:sz w:val="20"/>
                <w:szCs w:val="20"/>
              </w:rPr>
              <w:t>Part-time employees</w:t>
            </w:r>
          </w:p>
        </w:tc>
        <w:tc>
          <w:tcPr>
            <w:tcW w:w="1316" w:type="dxa"/>
            <w:noWrap/>
            <w:vAlign w:val="bottom"/>
            <w:hideMark/>
          </w:tcPr>
          <w:p w14:paraId="52AE7C76" w14:textId="77777777" w:rsidR="00677577" w:rsidRPr="00364020" w:rsidRDefault="00677577" w:rsidP="00D36C73">
            <w:pPr>
              <w:jc w:val="right"/>
              <w:rPr>
                <w:sz w:val="20"/>
                <w:szCs w:val="20"/>
              </w:rPr>
            </w:pPr>
            <w:r w:rsidRPr="00364020">
              <w:rPr>
                <w:sz w:val="20"/>
                <w:szCs w:val="20"/>
              </w:rPr>
              <w:t>1,948.0</w:t>
            </w:r>
          </w:p>
        </w:tc>
        <w:tc>
          <w:tcPr>
            <w:tcW w:w="1583" w:type="dxa"/>
            <w:noWrap/>
            <w:vAlign w:val="bottom"/>
            <w:hideMark/>
          </w:tcPr>
          <w:p w14:paraId="0AE9ACB0" w14:textId="77777777" w:rsidR="00677577" w:rsidRPr="00364020" w:rsidRDefault="00677577" w:rsidP="00D36C73">
            <w:pPr>
              <w:jc w:val="right"/>
              <w:rPr>
                <w:sz w:val="20"/>
                <w:szCs w:val="20"/>
              </w:rPr>
            </w:pPr>
            <w:r w:rsidRPr="00364020">
              <w:rPr>
                <w:sz w:val="20"/>
                <w:szCs w:val="20"/>
              </w:rPr>
              <w:t>1,903.1</w:t>
            </w:r>
          </w:p>
        </w:tc>
        <w:tc>
          <w:tcPr>
            <w:tcW w:w="1835" w:type="dxa"/>
            <w:noWrap/>
            <w:vAlign w:val="bottom"/>
            <w:hideMark/>
          </w:tcPr>
          <w:p w14:paraId="41928C0B" w14:textId="77777777" w:rsidR="00677577" w:rsidRPr="00364020" w:rsidRDefault="00677577" w:rsidP="00D36C73">
            <w:pPr>
              <w:jc w:val="right"/>
              <w:rPr>
                <w:sz w:val="20"/>
                <w:szCs w:val="20"/>
              </w:rPr>
            </w:pPr>
            <w:r w:rsidRPr="00364020">
              <w:rPr>
                <w:sz w:val="20"/>
                <w:szCs w:val="20"/>
              </w:rPr>
              <w:t>1,208.8</w:t>
            </w:r>
          </w:p>
        </w:tc>
        <w:tc>
          <w:tcPr>
            <w:tcW w:w="1318" w:type="dxa"/>
            <w:tcBorders>
              <w:top w:val="nil"/>
              <w:left w:val="nil"/>
              <w:bottom w:val="nil"/>
              <w:right w:val="single" w:sz="4" w:space="0" w:color="auto"/>
            </w:tcBorders>
            <w:noWrap/>
            <w:vAlign w:val="bottom"/>
            <w:hideMark/>
          </w:tcPr>
          <w:p w14:paraId="2E134D00" w14:textId="77777777" w:rsidR="00677577" w:rsidRPr="00364020" w:rsidRDefault="00677577" w:rsidP="00D36C73">
            <w:pPr>
              <w:jc w:val="right"/>
              <w:rPr>
                <w:sz w:val="20"/>
                <w:szCs w:val="20"/>
              </w:rPr>
            </w:pPr>
            <w:r w:rsidRPr="00364020">
              <w:rPr>
                <w:sz w:val="20"/>
                <w:szCs w:val="20"/>
              </w:rPr>
              <w:t>5,059.9</w:t>
            </w:r>
          </w:p>
        </w:tc>
      </w:tr>
      <w:tr w:rsidR="00677577" w:rsidRPr="00167CB8" w14:paraId="3DBE0143" w14:textId="77777777">
        <w:trPr>
          <w:trHeight w:val="262"/>
        </w:trPr>
        <w:tc>
          <w:tcPr>
            <w:tcW w:w="2752" w:type="dxa"/>
            <w:tcBorders>
              <w:top w:val="nil"/>
              <w:left w:val="single" w:sz="4" w:space="0" w:color="auto"/>
              <w:bottom w:val="single" w:sz="4" w:space="0" w:color="auto"/>
              <w:right w:val="nil"/>
            </w:tcBorders>
            <w:noWrap/>
            <w:vAlign w:val="bottom"/>
            <w:hideMark/>
          </w:tcPr>
          <w:p w14:paraId="3608BF8C" w14:textId="77777777" w:rsidR="00677577" w:rsidRPr="00364020" w:rsidRDefault="00677577">
            <w:pPr>
              <w:rPr>
                <w:b/>
                <w:bCs/>
                <w:sz w:val="20"/>
                <w:szCs w:val="20"/>
              </w:rPr>
            </w:pPr>
            <w:r w:rsidRPr="00364020">
              <w:rPr>
                <w:b/>
                <w:bCs/>
                <w:sz w:val="20"/>
                <w:szCs w:val="20"/>
              </w:rPr>
              <w:t>All employees</w:t>
            </w:r>
          </w:p>
        </w:tc>
        <w:tc>
          <w:tcPr>
            <w:tcW w:w="1316" w:type="dxa"/>
            <w:tcBorders>
              <w:top w:val="nil"/>
              <w:left w:val="nil"/>
              <w:bottom w:val="single" w:sz="4" w:space="0" w:color="auto"/>
              <w:right w:val="nil"/>
            </w:tcBorders>
            <w:noWrap/>
            <w:vAlign w:val="bottom"/>
            <w:hideMark/>
          </w:tcPr>
          <w:p w14:paraId="08A92EA3" w14:textId="77777777" w:rsidR="00677577" w:rsidRPr="00364020" w:rsidRDefault="00677577" w:rsidP="00D36C73">
            <w:pPr>
              <w:jc w:val="right"/>
              <w:rPr>
                <w:b/>
                <w:bCs/>
                <w:sz w:val="20"/>
                <w:szCs w:val="20"/>
              </w:rPr>
            </w:pPr>
            <w:r w:rsidRPr="00364020">
              <w:rPr>
                <w:b/>
                <w:bCs/>
                <w:sz w:val="20"/>
                <w:szCs w:val="20"/>
              </w:rPr>
              <w:t>2,919.8</w:t>
            </w:r>
          </w:p>
        </w:tc>
        <w:tc>
          <w:tcPr>
            <w:tcW w:w="1583" w:type="dxa"/>
            <w:tcBorders>
              <w:top w:val="nil"/>
              <w:left w:val="nil"/>
              <w:bottom w:val="single" w:sz="4" w:space="0" w:color="auto"/>
              <w:right w:val="nil"/>
            </w:tcBorders>
            <w:noWrap/>
            <w:vAlign w:val="bottom"/>
            <w:hideMark/>
          </w:tcPr>
          <w:p w14:paraId="5D6ECF59" w14:textId="77777777" w:rsidR="00677577" w:rsidRPr="00364020" w:rsidRDefault="00677577" w:rsidP="00D36C73">
            <w:pPr>
              <w:jc w:val="right"/>
              <w:rPr>
                <w:b/>
                <w:bCs/>
                <w:sz w:val="20"/>
                <w:szCs w:val="20"/>
              </w:rPr>
            </w:pPr>
            <w:r w:rsidRPr="00364020">
              <w:rPr>
                <w:b/>
                <w:bCs/>
                <w:sz w:val="20"/>
                <w:szCs w:val="20"/>
              </w:rPr>
              <w:t>4,285.9</w:t>
            </w:r>
          </w:p>
        </w:tc>
        <w:tc>
          <w:tcPr>
            <w:tcW w:w="1835" w:type="dxa"/>
            <w:tcBorders>
              <w:top w:val="nil"/>
              <w:left w:val="nil"/>
              <w:bottom w:val="single" w:sz="4" w:space="0" w:color="auto"/>
              <w:right w:val="nil"/>
            </w:tcBorders>
            <w:noWrap/>
            <w:vAlign w:val="bottom"/>
            <w:hideMark/>
          </w:tcPr>
          <w:p w14:paraId="7F1562A5" w14:textId="77777777" w:rsidR="00677577" w:rsidRPr="00364020" w:rsidRDefault="00677577" w:rsidP="00D36C73">
            <w:pPr>
              <w:jc w:val="right"/>
              <w:rPr>
                <w:b/>
                <w:bCs/>
                <w:sz w:val="20"/>
                <w:szCs w:val="20"/>
              </w:rPr>
            </w:pPr>
            <w:r w:rsidRPr="00364020">
              <w:rPr>
                <w:b/>
                <w:bCs/>
                <w:sz w:val="20"/>
                <w:szCs w:val="20"/>
              </w:rPr>
              <w:t>4,871.2</w:t>
            </w:r>
          </w:p>
        </w:tc>
        <w:tc>
          <w:tcPr>
            <w:tcW w:w="1318" w:type="dxa"/>
            <w:tcBorders>
              <w:top w:val="nil"/>
              <w:left w:val="nil"/>
              <w:bottom w:val="single" w:sz="4" w:space="0" w:color="auto"/>
              <w:right w:val="single" w:sz="4" w:space="0" w:color="auto"/>
            </w:tcBorders>
            <w:noWrap/>
            <w:vAlign w:val="bottom"/>
            <w:hideMark/>
          </w:tcPr>
          <w:p w14:paraId="7276418F" w14:textId="77777777" w:rsidR="00677577" w:rsidRPr="00364020" w:rsidRDefault="00677577" w:rsidP="00D36C73">
            <w:pPr>
              <w:jc w:val="right"/>
              <w:rPr>
                <w:sz w:val="20"/>
                <w:szCs w:val="20"/>
              </w:rPr>
            </w:pPr>
            <w:r w:rsidRPr="00364020">
              <w:rPr>
                <w:sz w:val="20"/>
                <w:szCs w:val="20"/>
              </w:rPr>
              <w:t>12,076.9</w:t>
            </w:r>
          </w:p>
        </w:tc>
      </w:tr>
    </w:tbl>
    <w:p w14:paraId="23477749" w14:textId="77777777" w:rsidR="0011475D" w:rsidRDefault="00677577" w:rsidP="00677577">
      <w:pPr>
        <w:pStyle w:val="Source"/>
      </w:pPr>
      <w:r w:rsidRPr="00167CB8">
        <w:rPr>
          <w:b/>
          <w:bCs/>
        </w:rPr>
        <w:t>Source:</w:t>
      </w:r>
      <w:r w:rsidRPr="00167CB8">
        <w:t xml:space="preserve"> ABS 6306.0 Employee Earnings and Hours, May 2023. Table 1.</w:t>
      </w:r>
    </w:p>
    <w:p w14:paraId="19A340E3" w14:textId="179C2DBA" w:rsidR="0011475D" w:rsidRDefault="00677577" w:rsidP="00677577">
      <w:r w:rsidRPr="00167CB8">
        <w:t xml:space="preserve">The above </w:t>
      </w:r>
      <w:r w:rsidRPr="007B334A">
        <w:t xml:space="preserve">information is re-presented in </w:t>
      </w:r>
      <w:r w:rsidRPr="00D36C73">
        <w:t xml:space="preserve">Table </w:t>
      </w:r>
      <w:r w:rsidR="00186A09" w:rsidRPr="00D36C73">
        <w:t>4</w:t>
      </w:r>
      <w:r w:rsidR="00186A09">
        <w:t>9</w:t>
      </w:r>
      <w:r w:rsidR="00186A09" w:rsidRPr="007B334A">
        <w:t xml:space="preserve"> </w:t>
      </w:r>
      <w:r w:rsidRPr="007B334A">
        <w:t>in percentages</w:t>
      </w:r>
      <w:r w:rsidRPr="00167CB8">
        <w:t>. It shows the size of each group as a share of total employees. For example, of all employees at May 2023, 24.2% were award-dependent workers. The majority of these award-dependent workers are part-time. Women are over-represented in the award stream</w:t>
      </w:r>
      <w:r w:rsidR="00702D44">
        <w:t>,</w:t>
      </w:r>
      <w:r w:rsidRPr="00167CB8">
        <w:t xml:space="preserve"> while men are more likely to have their pay set via an individual arrangement.</w:t>
      </w:r>
    </w:p>
    <w:p w14:paraId="37B55E09" w14:textId="5C072856" w:rsidR="00677577" w:rsidRDefault="00677577" w:rsidP="00677577">
      <w:pPr>
        <w:rPr>
          <w:rFonts w:cs="Calibri"/>
          <w:b/>
          <w:bCs/>
          <w:lang w:val="en-US"/>
        </w:rPr>
      </w:pPr>
      <w:bookmarkStart w:id="922" w:name="_Ref184489501"/>
      <w:bookmarkStart w:id="923" w:name="_Ref186906381"/>
      <w:bookmarkStart w:id="924" w:name="_Toc186991822"/>
      <w:bookmarkStart w:id="925" w:name="_Toc189310873"/>
      <w:r>
        <w:br w:type="page"/>
      </w:r>
    </w:p>
    <w:p w14:paraId="43E543D4" w14:textId="4AB53B81" w:rsidR="00677577" w:rsidRPr="00167CB8" w:rsidRDefault="00365C93" w:rsidP="00365C93">
      <w:pPr>
        <w:pStyle w:val="Caption"/>
      </w:pPr>
      <w:bookmarkStart w:id="926" w:name="_Toc194251473"/>
      <w:r>
        <w:t xml:space="preserve">Table </w:t>
      </w:r>
      <w:r>
        <w:fldChar w:fldCharType="begin"/>
      </w:r>
      <w:r>
        <w:instrText xml:space="preserve"> SEQ Table \* ARABIC </w:instrText>
      </w:r>
      <w:r>
        <w:fldChar w:fldCharType="separate"/>
      </w:r>
      <w:r w:rsidR="00DE5F5E">
        <w:rPr>
          <w:noProof/>
        </w:rPr>
        <w:t>49</w:t>
      </w:r>
      <w:r>
        <w:fldChar w:fldCharType="end"/>
      </w:r>
      <w:r>
        <w:t xml:space="preserve">: </w:t>
      </w:r>
      <w:bookmarkEnd w:id="922"/>
      <w:bookmarkEnd w:id="923"/>
      <w:r w:rsidR="00677577" w:rsidRPr="00167CB8">
        <w:t>Distribution of employees over different methods of pay setting</w:t>
      </w:r>
      <w:bookmarkEnd w:id="924"/>
      <w:bookmarkEnd w:id="925"/>
      <w:bookmarkEnd w:id="926"/>
    </w:p>
    <w:tbl>
      <w:tblPr>
        <w:tblW w:w="8928" w:type="dxa"/>
        <w:tblLook w:val="04A0" w:firstRow="1" w:lastRow="0" w:firstColumn="1" w:lastColumn="0" w:noHBand="0" w:noVBand="1"/>
      </w:tblPr>
      <w:tblGrid>
        <w:gridCol w:w="2846"/>
        <w:gridCol w:w="1129"/>
        <w:gridCol w:w="1723"/>
        <w:gridCol w:w="1997"/>
        <w:gridCol w:w="1233"/>
      </w:tblGrid>
      <w:tr w:rsidR="00677577" w:rsidRPr="00167CB8" w14:paraId="36292FFC" w14:textId="77777777">
        <w:trPr>
          <w:trHeight w:val="534"/>
        </w:trPr>
        <w:tc>
          <w:tcPr>
            <w:tcW w:w="2846" w:type="dxa"/>
            <w:tcBorders>
              <w:top w:val="single" w:sz="4" w:space="0" w:color="auto"/>
              <w:left w:val="single" w:sz="4" w:space="0" w:color="auto"/>
              <w:bottom w:val="single" w:sz="4" w:space="0" w:color="auto"/>
              <w:right w:val="nil"/>
            </w:tcBorders>
            <w:vAlign w:val="bottom"/>
            <w:hideMark/>
          </w:tcPr>
          <w:p w14:paraId="4D67FD92" w14:textId="77777777" w:rsidR="00677577" w:rsidRPr="00167CB8" w:rsidRDefault="00677577"/>
        </w:tc>
        <w:tc>
          <w:tcPr>
            <w:tcW w:w="1129" w:type="dxa"/>
            <w:tcBorders>
              <w:top w:val="single" w:sz="4" w:space="0" w:color="auto"/>
              <w:left w:val="nil"/>
              <w:bottom w:val="single" w:sz="4" w:space="0" w:color="auto"/>
              <w:right w:val="nil"/>
            </w:tcBorders>
            <w:vAlign w:val="bottom"/>
            <w:hideMark/>
          </w:tcPr>
          <w:p w14:paraId="2977B6E9" w14:textId="77777777" w:rsidR="00677577" w:rsidRPr="00167CB8" w:rsidRDefault="00677577" w:rsidP="00D36C73">
            <w:pPr>
              <w:jc w:val="right"/>
              <w:rPr>
                <w:b/>
                <w:bCs/>
              </w:rPr>
            </w:pPr>
            <w:r w:rsidRPr="00167CB8">
              <w:rPr>
                <w:b/>
                <w:bCs/>
              </w:rPr>
              <w:t>Award</w:t>
            </w:r>
          </w:p>
        </w:tc>
        <w:tc>
          <w:tcPr>
            <w:tcW w:w="1723" w:type="dxa"/>
            <w:tcBorders>
              <w:top w:val="single" w:sz="4" w:space="0" w:color="auto"/>
              <w:left w:val="nil"/>
              <w:bottom w:val="single" w:sz="4" w:space="0" w:color="auto"/>
              <w:right w:val="nil"/>
            </w:tcBorders>
            <w:vAlign w:val="bottom"/>
            <w:hideMark/>
          </w:tcPr>
          <w:p w14:paraId="70B0DF8F" w14:textId="77777777" w:rsidR="00677577" w:rsidRPr="00167CB8" w:rsidRDefault="00677577" w:rsidP="00D36C73">
            <w:pPr>
              <w:jc w:val="right"/>
              <w:rPr>
                <w:b/>
                <w:bCs/>
              </w:rPr>
            </w:pPr>
            <w:r w:rsidRPr="00167CB8">
              <w:rPr>
                <w:b/>
                <w:bCs/>
              </w:rPr>
              <w:t>Collective agreement</w:t>
            </w:r>
          </w:p>
        </w:tc>
        <w:tc>
          <w:tcPr>
            <w:tcW w:w="1997" w:type="dxa"/>
            <w:tcBorders>
              <w:top w:val="single" w:sz="4" w:space="0" w:color="auto"/>
              <w:left w:val="nil"/>
              <w:bottom w:val="single" w:sz="4" w:space="0" w:color="auto"/>
              <w:right w:val="nil"/>
            </w:tcBorders>
            <w:vAlign w:val="bottom"/>
            <w:hideMark/>
          </w:tcPr>
          <w:p w14:paraId="4C7D65C3" w14:textId="77777777" w:rsidR="00677577" w:rsidRPr="00167CB8" w:rsidRDefault="00677577" w:rsidP="00D36C73">
            <w:pPr>
              <w:jc w:val="right"/>
              <w:rPr>
                <w:b/>
                <w:bCs/>
              </w:rPr>
            </w:pPr>
            <w:r w:rsidRPr="00167CB8">
              <w:rPr>
                <w:b/>
                <w:bCs/>
              </w:rPr>
              <w:t>Individual arrangement</w:t>
            </w:r>
          </w:p>
        </w:tc>
        <w:tc>
          <w:tcPr>
            <w:tcW w:w="1233" w:type="dxa"/>
            <w:tcBorders>
              <w:top w:val="single" w:sz="4" w:space="0" w:color="auto"/>
              <w:left w:val="nil"/>
              <w:bottom w:val="single" w:sz="4" w:space="0" w:color="auto"/>
              <w:right w:val="single" w:sz="4" w:space="0" w:color="auto"/>
            </w:tcBorders>
            <w:vAlign w:val="bottom"/>
            <w:hideMark/>
          </w:tcPr>
          <w:p w14:paraId="01B5CA94" w14:textId="77777777" w:rsidR="00677577" w:rsidRPr="00167CB8" w:rsidRDefault="00677577" w:rsidP="00D36C73">
            <w:pPr>
              <w:jc w:val="right"/>
              <w:rPr>
                <w:b/>
                <w:bCs/>
              </w:rPr>
            </w:pPr>
            <w:r w:rsidRPr="00167CB8">
              <w:rPr>
                <w:b/>
                <w:bCs/>
              </w:rPr>
              <w:t>Total</w:t>
            </w:r>
          </w:p>
        </w:tc>
      </w:tr>
      <w:tr w:rsidR="00677577" w:rsidRPr="00167CB8" w14:paraId="5FCAED11" w14:textId="77777777">
        <w:trPr>
          <w:trHeight w:val="454"/>
        </w:trPr>
        <w:tc>
          <w:tcPr>
            <w:tcW w:w="5698" w:type="dxa"/>
            <w:gridSpan w:val="3"/>
            <w:tcBorders>
              <w:top w:val="single" w:sz="4" w:space="0" w:color="auto"/>
              <w:left w:val="single" w:sz="4" w:space="0" w:color="auto"/>
              <w:bottom w:val="nil"/>
              <w:right w:val="nil"/>
            </w:tcBorders>
            <w:noWrap/>
            <w:vAlign w:val="bottom"/>
            <w:hideMark/>
          </w:tcPr>
          <w:p w14:paraId="6522B46F" w14:textId="0908485A" w:rsidR="00677577" w:rsidRPr="00167CB8" w:rsidRDefault="00677577">
            <w:pPr>
              <w:spacing w:after="0" w:line="240" w:lineRule="auto"/>
            </w:pPr>
            <w:r w:rsidRPr="00167CB8">
              <w:t>NUMBER OF EMPLOYEES (</w:t>
            </w:r>
            <w:r w:rsidR="00702D44">
              <w:t>‘</w:t>
            </w:r>
            <w:r w:rsidRPr="00167CB8">
              <w:t>000)</w:t>
            </w:r>
          </w:p>
        </w:tc>
        <w:tc>
          <w:tcPr>
            <w:tcW w:w="1997" w:type="dxa"/>
            <w:tcBorders>
              <w:top w:val="single" w:sz="4" w:space="0" w:color="auto"/>
              <w:left w:val="nil"/>
              <w:bottom w:val="nil"/>
              <w:right w:val="nil"/>
            </w:tcBorders>
            <w:noWrap/>
            <w:vAlign w:val="bottom"/>
            <w:hideMark/>
          </w:tcPr>
          <w:p w14:paraId="7F70E7A7" w14:textId="77777777" w:rsidR="00677577" w:rsidRPr="00167CB8" w:rsidRDefault="00677577">
            <w:pPr>
              <w:spacing w:after="0" w:line="240" w:lineRule="auto"/>
            </w:pPr>
          </w:p>
        </w:tc>
        <w:tc>
          <w:tcPr>
            <w:tcW w:w="1233" w:type="dxa"/>
            <w:tcBorders>
              <w:top w:val="single" w:sz="4" w:space="0" w:color="auto"/>
              <w:left w:val="nil"/>
              <w:bottom w:val="nil"/>
              <w:right w:val="single" w:sz="4" w:space="0" w:color="auto"/>
            </w:tcBorders>
            <w:noWrap/>
            <w:vAlign w:val="bottom"/>
            <w:hideMark/>
          </w:tcPr>
          <w:p w14:paraId="2973F000" w14:textId="77777777" w:rsidR="00677577" w:rsidRPr="00167CB8" w:rsidRDefault="00677577">
            <w:pPr>
              <w:spacing w:after="0" w:line="240" w:lineRule="auto"/>
            </w:pPr>
          </w:p>
        </w:tc>
      </w:tr>
      <w:tr w:rsidR="00677577" w:rsidRPr="00167CB8" w14:paraId="503872EE" w14:textId="77777777">
        <w:trPr>
          <w:trHeight w:val="454"/>
        </w:trPr>
        <w:tc>
          <w:tcPr>
            <w:tcW w:w="2846" w:type="dxa"/>
            <w:tcBorders>
              <w:top w:val="nil"/>
              <w:left w:val="single" w:sz="4" w:space="0" w:color="auto"/>
              <w:bottom w:val="nil"/>
              <w:right w:val="nil"/>
            </w:tcBorders>
            <w:noWrap/>
            <w:vAlign w:val="bottom"/>
            <w:hideMark/>
          </w:tcPr>
          <w:p w14:paraId="06F58071" w14:textId="77777777" w:rsidR="00677577" w:rsidRPr="00167CB8" w:rsidRDefault="00677577">
            <w:pPr>
              <w:spacing w:after="0" w:line="240" w:lineRule="auto"/>
            </w:pPr>
            <w:r w:rsidRPr="00167CB8">
              <w:t>Males</w:t>
            </w:r>
          </w:p>
        </w:tc>
        <w:tc>
          <w:tcPr>
            <w:tcW w:w="1129" w:type="dxa"/>
            <w:noWrap/>
            <w:vAlign w:val="bottom"/>
            <w:hideMark/>
          </w:tcPr>
          <w:p w14:paraId="134D2BAC" w14:textId="77777777" w:rsidR="00677577" w:rsidRPr="00167CB8" w:rsidRDefault="00677577">
            <w:pPr>
              <w:spacing w:after="0" w:line="240" w:lineRule="auto"/>
            </w:pPr>
          </w:p>
        </w:tc>
        <w:tc>
          <w:tcPr>
            <w:tcW w:w="1723" w:type="dxa"/>
            <w:noWrap/>
            <w:vAlign w:val="bottom"/>
            <w:hideMark/>
          </w:tcPr>
          <w:p w14:paraId="129116F1" w14:textId="77777777" w:rsidR="00677577" w:rsidRPr="00167CB8" w:rsidRDefault="00677577">
            <w:pPr>
              <w:spacing w:after="0" w:line="240" w:lineRule="auto"/>
            </w:pPr>
          </w:p>
        </w:tc>
        <w:tc>
          <w:tcPr>
            <w:tcW w:w="1997" w:type="dxa"/>
            <w:noWrap/>
            <w:vAlign w:val="bottom"/>
            <w:hideMark/>
          </w:tcPr>
          <w:p w14:paraId="6329CA87" w14:textId="77777777" w:rsidR="00677577" w:rsidRPr="00167CB8" w:rsidRDefault="00677577">
            <w:pPr>
              <w:spacing w:after="0" w:line="240" w:lineRule="auto"/>
            </w:pPr>
          </w:p>
        </w:tc>
        <w:tc>
          <w:tcPr>
            <w:tcW w:w="1233" w:type="dxa"/>
            <w:tcBorders>
              <w:top w:val="nil"/>
              <w:left w:val="nil"/>
              <w:bottom w:val="nil"/>
              <w:right w:val="single" w:sz="4" w:space="0" w:color="auto"/>
            </w:tcBorders>
            <w:noWrap/>
            <w:vAlign w:val="bottom"/>
            <w:hideMark/>
          </w:tcPr>
          <w:p w14:paraId="554B98F9" w14:textId="77777777" w:rsidR="00677577" w:rsidRPr="00167CB8" w:rsidRDefault="00677577">
            <w:pPr>
              <w:spacing w:after="0" w:line="240" w:lineRule="auto"/>
            </w:pPr>
          </w:p>
        </w:tc>
      </w:tr>
      <w:tr w:rsidR="00677577" w:rsidRPr="00167CB8" w14:paraId="2EAD03F5" w14:textId="77777777">
        <w:trPr>
          <w:trHeight w:val="454"/>
        </w:trPr>
        <w:tc>
          <w:tcPr>
            <w:tcW w:w="2846" w:type="dxa"/>
            <w:tcBorders>
              <w:top w:val="nil"/>
              <w:left w:val="single" w:sz="4" w:space="0" w:color="auto"/>
              <w:bottom w:val="nil"/>
              <w:right w:val="nil"/>
            </w:tcBorders>
            <w:noWrap/>
            <w:vAlign w:val="bottom"/>
            <w:hideMark/>
          </w:tcPr>
          <w:p w14:paraId="209DF293" w14:textId="77777777" w:rsidR="00677577" w:rsidRPr="00167CB8" w:rsidRDefault="00677577">
            <w:pPr>
              <w:spacing w:after="0" w:line="240" w:lineRule="auto"/>
            </w:pPr>
            <w:r w:rsidRPr="00167CB8">
              <w:t>Full-time employees</w:t>
            </w:r>
          </w:p>
        </w:tc>
        <w:tc>
          <w:tcPr>
            <w:tcW w:w="1129" w:type="dxa"/>
            <w:noWrap/>
            <w:vAlign w:val="bottom"/>
            <w:hideMark/>
          </w:tcPr>
          <w:p w14:paraId="666FAA45" w14:textId="77777777" w:rsidR="00677577" w:rsidRPr="00167CB8" w:rsidRDefault="00677577" w:rsidP="00D36C73">
            <w:pPr>
              <w:spacing w:after="0" w:line="240" w:lineRule="auto"/>
              <w:jc w:val="right"/>
            </w:pPr>
            <w:r w:rsidRPr="00167CB8">
              <w:t>4.4%</w:t>
            </w:r>
          </w:p>
        </w:tc>
        <w:tc>
          <w:tcPr>
            <w:tcW w:w="1723" w:type="dxa"/>
            <w:noWrap/>
            <w:vAlign w:val="bottom"/>
            <w:hideMark/>
          </w:tcPr>
          <w:p w14:paraId="64E41419" w14:textId="77777777" w:rsidR="00677577" w:rsidRPr="00167CB8" w:rsidRDefault="00677577" w:rsidP="00D36C73">
            <w:pPr>
              <w:spacing w:after="0" w:line="240" w:lineRule="auto"/>
              <w:jc w:val="right"/>
            </w:pPr>
            <w:r w:rsidRPr="00167CB8">
              <w:t>10.9%</w:t>
            </w:r>
          </w:p>
        </w:tc>
        <w:tc>
          <w:tcPr>
            <w:tcW w:w="1997" w:type="dxa"/>
            <w:noWrap/>
            <w:vAlign w:val="bottom"/>
            <w:hideMark/>
          </w:tcPr>
          <w:p w14:paraId="1CE3E6AA" w14:textId="77777777" w:rsidR="00677577" w:rsidRPr="00167CB8" w:rsidRDefault="00677577" w:rsidP="00D36C73">
            <w:pPr>
              <w:spacing w:after="0" w:line="240" w:lineRule="auto"/>
              <w:jc w:val="right"/>
            </w:pPr>
            <w:r w:rsidRPr="00167CB8">
              <w:t>19.6%</w:t>
            </w:r>
          </w:p>
        </w:tc>
        <w:tc>
          <w:tcPr>
            <w:tcW w:w="1233" w:type="dxa"/>
            <w:tcBorders>
              <w:top w:val="nil"/>
              <w:left w:val="nil"/>
              <w:bottom w:val="nil"/>
              <w:right w:val="single" w:sz="4" w:space="0" w:color="auto"/>
            </w:tcBorders>
            <w:noWrap/>
            <w:vAlign w:val="bottom"/>
            <w:hideMark/>
          </w:tcPr>
          <w:p w14:paraId="6E14CA97" w14:textId="77777777" w:rsidR="00677577" w:rsidRPr="00167CB8" w:rsidRDefault="00677577" w:rsidP="00D36C73">
            <w:pPr>
              <w:spacing w:after="0" w:line="240" w:lineRule="auto"/>
              <w:jc w:val="right"/>
            </w:pPr>
            <w:r w:rsidRPr="00167CB8">
              <w:t>34.9%</w:t>
            </w:r>
          </w:p>
        </w:tc>
      </w:tr>
      <w:tr w:rsidR="00677577" w:rsidRPr="00167CB8" w14:paraId="53A5335C" w14:textId="77777777">
        <w:trPr>
          <w:trHeight w:val="454"/>
        </w:trPr>
        <w:tc>
          <w:tcPr>
            <w:tcW w:w="2846" w:type="dxa"/>
            <w:tcBorders>
              <w:top w:val="nil"/>
              <w:left w:val="single" w:sz="4" w:space="0" w:color="auto"/>
              <w:bottom w:val="nil"/>
              <w:right w:val="nil"/>
            </w:tcBorders>
            <w:noWrap/>
            <w:vAlign w:val="bottom"/>
            <w:hideMark/>
          </w:tcPr>
          <w:p w14:paraId="3E7DA6A5" w14:textId="77777777" w:rsidR="00677577" w:rsidRPr="00167CB8" w:rsidRDefault="00677577">
            <w:pPr>
              <w:spacing w:after="0" w:line="240" w:lineRule="auto"/>
            </w:pPr>
            <w:r w:rsidRPr="00167CB8">
              <w:t>Part-time employees</w:t>
            </w:r>
          </w:p>
        </w:tc>
        <w:tc>
          <w:tcPr>
            <w:tcW w:w="1129" w:type="dxa"/>
            <w:noWrap/>
            <w:vAlign w:val="bottom"/>
            <w:hideMark/>
          </w:tcPr>
          <w:p w14:paraId="756EDD35" w14:textId="77777777" w:rsidR="00677577" w:rsidRPr="00167CB8" w:rsidRDefault="00677577" w:rsidP="00D36C73">
            <w:pPr>
              <w:spacing w:after="0" w:line="240" w:lineRule="auto"/>
              <w:jc w:val="right"/>
            </w:pPr>
            <w:r w:rsidRPr="00167CB8">
              <w:t>5.3%</w:t>
            </w:r>
          </w:p>
        </w:tc>
        <w:tc>
          <w:tcPr>
            <w:tcW w:w="1723" w:type="dxa"/>
            <w:noWrap/>
            <w:vAlign w:val="bottom"/>
            <w:hideMark/>
          </w:tcPr>
          <w:p w14:paraId="39292F38" w14:textId="77777777" w:rsidR="00677577" w:rsidRPr="00167CB8" w:rsidRDefault="00677577" w:rsidP="00D36C73">
            <w:pPr>
              <w:spacing w:after="0" w:line="240" w:lineRule="auto"/>
              <w:jc w:val="right"/>
            </w:pPr>
            <w:r w:rsidRPr="00167CB8">
              <w:t>4.3%</w:t>
            </w:r>
          </w:p>
        </w:tc>
        <w:tc>
          <w:tcPr>
            <w:tcW w:w="1997" w:type="dxa"/>
            <w:noWrap/>
            <w:vAlign w:val="bottom"/>
            <w:hideMark/>
          </w:tcPr>
          <w:p w14:paraId="7C053FA5" w14:textId="77777777" w:rsidR="00677577" w:rsidRPr="00167CB8" w:rsidRDefault="00677577" w:rsidP="00D36C73">
            <w:pPr>
              <w:spacing w:after="0" w:line="240" w:lineRule="auto"/>
              <w:jc w:val="right"/>
            </w:pPr>
            <w:r w:rsidRPr="00167CB8">
              <w:t>3.1%</w:t>
            </w:r>
          </w:p>
        </w:tc>
        <w:tc>
          <w:tcPr>
            <w:tcW w:w="1233" w:type="dxa"/>
            <w:tcBorders>
              <w:top w:val="nil"/>
              <w:left w:val="nil"/>
              <w:bottom w:val="nil"/>
              <w:right w:val="single" w:sz="4" w:space="0" w:color="auto"/>
            </w:tcBorders>
            <w:noWrap/>
            <w:vAlign w:val="bottom"/>
            <w:hideMark/>
          </w:tcPr>
          <w:p w14:paraId="7067A801" w14:textId="77777777" w:rsidR="00677577" w:rsidRPr="00167CB8" w:rsidRDefault="00677577" w:rsidP="00D36C73">
            <w:pPr>
              <w:spacing w:after="0" w:line="240" w:lineRule="auto"/>
              <w:jc w:val="right"/>
            </w:pPr>
            <w:r w:rsidRPr="00167CB8">
              <w:t>12.7%</w:t>
            </w:r>
          </w:p>
        </w:tc>
      </w:tr>
      <w:tr w:rsidR="00677577" w:rsidRPr="00167CB8" w14:paraId="57B5B132" w14:textId="77777777">
        <w:trPr>
          <w:trHeight w:val="454"/>
        </w:trPr>
        <w:tc>
          <w:tcPr>
            <w:tcW w:w="2846" w:type="dxa"/>
            <w:tcBorders>
              <w:top w:val="nil"/>
              <w:left w:val="single" w:sz="4" w:space="0" w:color="auto"/>
              <w:bottom w:val="nil"/>
              <w:right w:val="nil"/>
            </w:tcBorders>
            <w:noWrap/>
            <w:vAlign w:val="bottom"/>
            <w:hideMark/>
          </w:tcPr>
          <w:p w14:paraId="03B03A26" w14:textId="77777777" w:rsidR="00677577" w:rsidRPr="00167CB8" w:rsidRDefault="00677577">
            <w:pPr>
              <w:spacing w:after="0" w:line="240" w:lineRule="auto"/>
              <w:rPr>
                <w:b/>
                <w:bCs/>
              </w:rPr>
            </w:pPr>
            <w:r w:rsidRPr="00167CB8">
              <w:rPr>
                <w:b/>
                <w:bCs/>
              </w:rPr>
              <w:t>All employees</w:t>
            </w:r>
          </w:p>
        </w:tc>
        <w:tc>
          <w:tcPr>
            <w:tcW w:w="1129" w:type="dxa"/>
            <w:noWrap/>
            <w:vAlign w:val="bottom"/>
            <w:hideMark/>
          </w:tcPr>
          <w:p w14:paraId="1AB38299" w14:textId="77777777" w:rsidR="00677577" w:rsidRPr="00167CB8" w:rsidRDefault="00677577" w:rsidP="00D36C73">
            <w:pPr>
              <w:spacing w:after="0" w:line="240" w:lineRule="auto"/>
              <w:jc w:val="right"/>
            </w:pPr>
            <w:r w:rsidRPr="00167CB8">
              <w:t>9.7%</w:t>
            </w:r>
          </w:p>
        </w:tc>
        <w:tc>
          <w:tcPr>
            <w:tcW w:w="1723" w:type="dxa"/>
            <w:noWrap/>
            <w:vAlign w:val="bottom"/>
            <w:hideMark/>
          </w:tcPr>
          <w:p w14:paraId="73A5E34C" w14:textId="77777777" w:rsidR="00677577" w:rsidRPr="00167CB8" w:rsidRDefault="00677577" w:rsidP="00D36C73">
            <w:pPr>
              <w:spacing w:after="0" w:line="240" w:lineRule="auto"/>
              <w:jc w:val="right"/>
            </w:pPr>
            <w:r w:rsidRPr="00167CB8">
              <w:t>15.2%</w:t>
            </w:r>
          </w:p>
        </w:tc>
        <w:tc>
          <w:tcPr>
            <w:tcW w:w="1997" w:type="dxa"/>
            <w:noWrap/>
            <w:vAlign w:val="bottom"/>
            <w:hideMark/>
          </w:tcPr>
          <w:p w14:paraId="3E0DD1E5" w14:textId="77777777" w:rsidR="00677577" w:rsidRPr="00167CB8" w:rsidRDefault="00677577" w:rsidP="00D36C73">
            <w:pPr>
              <w:spacing w:after="0" w:line="240" w:lineRule="auto"/>
              <w:jc w:val="right"/>
            </w:pPr>
            <w:r w:rsidRPr="00167CB8">
              <w:t>22.7%</w:t>
            </w:r>
          </w:p>
        </w:tc>
        <w:tc>
          <w:tcPr>
            <w:tcW w:w="1233" w:type="dxa"/>
            <w:tcBorders>
              <w:top w:val="nil"/>
              <w:left w:val="nil"/>
              <w:bottom w:val="nil"/>
              <w:right w:val="single" w:sz="4" w:space="0" w:color="auto"/>
            </w:tcBorders>
            <w:noWrap/>
            <w:vAlign w:val="bottom"/>
            <w:hideMark/>
          </w:tcPr>
          <w:p w14:paraId="333A1EA0" w14:textId="77777777" w:rsidR="00677577" w:rsidRPr="00167CB8" w:rsidRDefault="00677577" w:rsidP="00D36C73">
            <w:pPr>
              <w:spacing w:after="0" w:line="240" w:lineRule="auto"/>
              <w:jc w:val="right"/>
            </w:pPr>
            <w:r w:rsidRPr="00167CB8">
              <w:t>47.6%</w:t>
            </w:r>
          </w:p>
        </w:tc>
      </w:tr>
      <w:tr w:rsidR="00677577" w:rsidRPr="00167CB8" w14:paraId="14820F4C" w14:textId="77777777">
        <w:trPr>
          <w:trHeight w:val="454"/>
        </w:trPr>
        <w:tc>
          <w:tcPr>
            <w:tcW w:w="2846" w:type="dxa"/>
            <w:tcBorders>
              <w:top w:val="nil"/>
              <w:left w:val="single" w:sz="4" w:space="0" w:color="auto"/>
              <w:bottom w:val="nil"/>
              <w:right w:val="nil"/>
            </w:tcBorders>
            <w:noWrap/>
            <w:vAlign w:val="bottom"/>
            <w:hideMark/>
          </w:tcPr>
          <w:p w14:paraId="705BB988" w14:textId="77777777" w:rsidR="00677577" w:rsidRPr="00167CB8" w:rsidRDefault="00677577">
            <w:pPr>
              <w:spacing w:after="0" w:line="240" w:lineRule="auto"/>
            </w:pPr>
            <w:r w:rsidRPr="00167CB8">
              <w:t>Females</w:t>
            </w:r>
          </w:p>
        </w:tc>
        <w:tc>
          <w:tcPr>
            <w:tcW w:w="1129" w:type="dxa"/>
            <w:noWrap/>
            <w:vAlign w:val="bottom"/>
            <w:hideMark/>
          </w:tcPr>
          <w:p w14:paraId="09E9859A" w14:textId="77777777" w:rsidR="00677577" w:rsidRPr="00167CB8" w:rsidRDefault="00677577" w:rsidP="00D36C73">
            <w:pPr>
              <w:spacing w:after="0" w:line="240" w:lineRule="auto"/>
              <w:jc w:val="right"/>
            </w:pPr>
          </w:p>
        </w:tc>
        <w:tc>
          <w:tcPr>
            <w:tcW w:w="1723" w:type="dxa"/>
            <w:noWrap/>
            <w:vAlign w:val="bottom"/>
            <w:hideMark/>
          </w:tcPr>
          <w:p w14:paraId="5EB72DB3" w14:textId="77777777" w:rsidR="00677577" w:rsidRPr="00167CB8" w:rsidRDefault="00677577" w:rsidP="00D36C73">
            <w:pPr>
              <w:spacing w:after="0" w:line="240" w:lineRule="auto"/>
              <w:jc w:val="right"/>
            </w:pPr>
          </w:p>
        </w:tc>
        <w:tc>
          <w:tcPr>
            <w:tcW w:w="1997" w:type="dxa"/>
            <w:noWrap/>
            <w:vAlign w:val="bottom"/>
            <w:hideMark/>
          </w:tcPr>
          <w:p w14:paraId="3461142E" w14:textId="77777777" w:rsidR="00677577" w:rsidRPr="00167CB8" w:rsidRDefault="00677577" w:rsidP="00D36C73">
            <w:pPr>
              <w:spacing w:after="0" w:line="240" w:lineRule="auto"/>
              <w:jc w:val="right"/>
            </w:pPr>
          </w:p>
        </w:tc>
        <w:tc>
          <w:tcPr>
            <w:tcW w:w="1233" w:type="dxa"/>
            <w:tcBorders>
              <w:top w:val="nil"/>
              <w:left w:val="nil"/>
              <w:bottom w:val="nil"/>
              <w:right w:val="single" w:sz="4" w:space="0" w:color="auto"/>
            </w:tcBorders>
            <w:noWrap/>
            <w:vAlign w:val="bottom"/>
            <w:hideMark/>
          </w:tcPr>
          <w:p w14:paraId="0B4FEE9F" w14:textId="77777777" w:rsidR="00677577" w:rsidRPr="00167CB8" w:rsidRDefault="00677577" w:rsidP="00D36C73">
            <w:pPr>
              <w:spacing w:after="0" w:line="240" w:lineRule="auto"/>
              <w:jc w:val="right"/>
            </w:pPr>
          </w:p>
        </w:tc>
      </w:tr>
      <w:tr w:rsidR="00677577" w:rsidRPr="00167CB8" w14:paraId="5580386D" w14:textId="77777777">
        <w:trPr>
          <w:trHeight w:val="454"/>
        </w:trPr>
        <w:tc>
          <w:tcPr>
            <w:tcW w:w="2846" w:type="dxa"/>
            <w:tcBorders>
              <w:top w:val="nil"/>
              <w:left w:val="single" w:sz="4" w:space="0" w:color="auto"/>
              <w:bottom w:val="nil"/>
              <w:right w:val="nil"/>
            </w:tcBorders>
            <w:noWrap/>
            <w:vAlign w:val="bottom"/>
            <w:hideMark/>
          </w:tcPr>
          <w:p w14:paraId="5C919FAA" w14:textId="77777777" w:rsidR="00677577" w:rsidRPr="00167CB8" w:rsidRDefault="00677577">
            <w:pPr>
              <w:spacing w:after="0" w:line="240" w:lineRule="auto"/>
            </w:pPr>
            <w:r w:rsidRPr="00167CB8">
              <w:t>Full-time employees</w:t>
            </w:r>
          </w:p>
        </w:tc>
        <w:tc>
          <w:tcPr>
            <w:tcW w:w="1129" w:type="dxa"/>
            <w:noWrap/>
            <w:vAlign w:val="bottom"/>
            <w:hideMark/>
          </w:tcPr>
          <w:p w14:paraId="59A71A6B" w14:textId="77777777" w:rsidR="00677577" w:rsidRPr="00167CB8" w:rsidRDefault="00677577" w:rsidP="00D36C73">
            <w:pPr>
              <w:spacing w:after="0" w:line="240" w:lineRule="auto"/>
              <w:jc w:val="right"/>
            </w:pPr>
            <w:r w:rsidRPr="00167CB8">
              <w:t>3.6%</w:t>
            </w:r>
          </w:p>
        </w:tc>
        <w:tc>
          <w:tcPr>
            <w:tcW w:w="1723" w:type="dxa"/>
            <w:noWrap/>
            <w:vAlign w:val="bottom"/>
            <w:hideMark/>
          </w:tcPr>
          <w:p w14:paraId="7AAD56A8" w14:textId="77777777" w:rsidR="00677577" w:rsidRPr="00167CB8" w:rsidRDefault="00677577" w:rsidP="00D36C73">
            <w:pPr>
              <w:spacing w:after="0" w:line="240" w:lineRule="auto"/>
              <w:jc w:val="right"/>
            </w:pPr>
            <w:r w:rsidRPr="00167CB8">
              <w:t>8.8%</w:t>
            </w:r>
          </w:p>
        </w:tc>
        <w:tc>
          <w:tcPr>
            <w:tcW w:w="1997" w:type="dxa"/>
            <w:noWrap/>
            <w:vAlign w:val="bottom"/>
            <w:hideMark/>
          </w:tcPr>
          <w:p w14:paraId="66E2586D" w14:textId="77777777" w:rsidR="00677577" w:rsidRPr="00167CB8" w:rsidRDefault="00677577" w:rsidP="00D36C73">
            <w:pPr>
              <w:spacing w:after="0" w:line="240" w:lineRule="auto"/>
              <w:jc w:val="right"/>
            </w:pPr>
            <w:r w:rsidRPr="00167CB8">
              <w:t>10.7%</w:t>
            </w:r>
          </w:p>
        </w:tc>
        <w:tc>
          <w:tcPr>
            <w:tcW w:w="1233" w:type="dxa"/>
            <w:tcBorders>
              <w:top w:val="nil"/>
              <w:left w:val="nil"/>
              <w:bottom w:val="nil"/>
              <w:right w:val="single" w:sz="4" w:space="0" w:color="auto"/>
            </w:tcBorders>
            <w:noWrap/>
            <w:vAlign w:val="bottom"/>
            <w:hideMark/>
          </w:tcPr>
          <w:p w14:paraId="14672EEF" w14:textId="77777777" w:rsidR="00677577" w:rsidRPr="00167CB8" w:rsidRDefault="00677577" w:rsidP="00D36C73">
            <w:pPr>
              <w:spacing w:after="0" w:line="240" w:lineRule="auto"/>
              <w:jc w:val="right"/>
            </w:pPr>
            <w:r w:rsidRPr="00167CB8">
              <w:t>23.2%</w:t>
            </w:r>
          </w:p>
        </w:tc>
      </w:tr>
      <w:tr w:rsidR="00677577" w:rsidRPr="00167CB8" w14:paraId="55B185E7" w14:textId="77777777">
        <w:trPr>
          <w:trHeight w:val="454"/>
        </w:trPr>
        <w:tc>
          <w:tcPr>
            <w:tcW w:w="2846" w:type="dxa"/>
            <w:tcBorders>
              <w:top w:val="nil"/>
              <w:left w:val="single" w:sz="4" w:space="0" w:color="auto"/>
              <w:bottom w:val="nil"/>
              <w:right w:val="nil"/>
            </w:tcBorders>
            <w:noWrap/>
            <w:vAlign w:val="bottom"/>
            <w:hideMark/>
          </w:tcPr>
          <w:p w14:paraId="330190E1" w14:textId="77777777" w:rsidR="00677577" w:rsidRPr="00167CB8" w:rsidRDefault="00677577">
            <w:pPr>
              <w:spacing w:after="0" w:line="240" w:lineRule="auto"/>
            </w:pPr>
            <w:r w:rsidRPr="00167CB8">
              <w:t>Part-time employees</w:t>
            </w:r>
          </w:p>
        </w:tc>
        <w:tc>
          <w:tcPr>
            <w:tcW w:w="1129" w:type="dxa"/>
            <w:noWrap/>
            <w:vAlign w:val="bottom"/>
            <w:hideMark/>
          </w:tcPr>
          <w:p w14:paraId="5E1FD510" w14:textId="77777777" w:rsidR="00677577" w:rsidRPr="00167CB8" w:rsidRDefault="00677577" w:rsidP="00D36C73">
            <w:pPr>
              <w:spacing w:after="0" w:line="240" w:lineRule="auto"/>
              <w:jc w:val="right"/>
            </w:pPr>
            <w:r w:rsidRPr="00167CB8">
              <w:t>10.8%</w:t>
            </w:r>
          </w:p>
        </w:tc>
        <w:tc>
          <w:tcPr>
            <w:tcW w:w="1723" w:type="dxa"/>
            <w:noWrap/>
            <w:vAlign w:val="bottom"/>
            <w:hideMark/>
          </w:tcPr>
          <w:p w14:paraId="063DB20A" w14:textId="77777777" w:rsidR="00677577" w:rsidRPr="00167CB8" w:rsidRDefault="00677577" w:rsidP="00D36C73">
            <w:pPr>
              <w:spacing w:after="0" w:line="240" w:lineRule="auto"/>
              <w:jc w:val="right"/>
            </w:pPr>
            <w:r w:rsidRPr="00167CB8">
              <w:t>11.4%</w:t>
            </w:r>
          </w:p>
        </w:tc>
        <w:tc>
          <w:tcPr>
            <w:tcW w:w="1997" w:type="dxa"/>
            <w:noWrap/>
            <w:vAlign w:val="bottom"/>
            <w:hideMark/>
          </w:tcPr>
          <w:p w14:paraId="07E3DA57" w14:textId="77777777" w:rsidR="00677577" w:rsidRPr="00167CB8" w:rsidRDefault="00677577" w:rsidP="00D36C73">
            <w:pPr>
              <w:spacing w:after="0" w:line="240" w:lineRule="auto"/>
              <w:jc w:val="right"/>
            </w:pPr>
            <w:r w:rsidRPr="00167CB8">
              <w:t>6.9%</w:t>
            </w:r>
          </w:p>
        </w:tc>
        <w:tc>
          <w:tcPr>
            <w:tcW w:w="1233" w:type="dxa"/>
            <w:tcBorders>
              <w:top w:val="nil"/>
              <w:left w:val="nil"/>
              <w:bottom w:val="nil"/>
              <w:right w:val="single" w:sz="4" w:space="0" w:color="auto"/>
            </w:tcBorders>
            <w:noWrap/>
            <w:vAlign w:val="bottom"/>
            <w:hideMark/>
          </w:tcPr>
          <w:p w14:paraId="4B3BF1A1" w14:textId="77777777" w:rsidR="00677577" w:rsidRPr="00167CB8" w:rsidRDefault="00677577" w:rsidP="00D36C73">
            <w:pPr>
              <w:spacing w:after="0" w:line="240" w:lineRule="auto"/>
              <w:jc w:val="right"/>
            </w:pPr>
            <w:r w:rsidRPr="00167CB8">
              <w:t>29.2%</w:t>
            </w:r>
          </w:p>
        </w:tc>
      </w:tr>
      <w:tr w:rsidR="00677577" w:rsidRPr="00167CB8" w14:paraId="64373C96" w14:textId="77777777">
        <w:trPr>
          <w:trHeight w:val="454"/>
        </w:trPr>
        <w:tc>
          <w:tcPr>
            <w:tcW w:w="2846" w:type="dxa"/>
            <w:tcBorders>
              <w:top w:val="nil"/>
              <w:left w:val="single" w:sz="4" w:space="0" w:color="auto"/>
              <w:bottom w:val="nil"/>
              <w:right w:val="nil"/>
            </w:tcBorders>
            <w:noWrap/>
            <w:vAlign w:val="bottom"/>
            <w:hideMark/>
          </w:tcPr>
          <w:p w14:paraId="166AD5A6" w14:textId="77777777" w:rsidR="00677577" w:rsidRPr="00167CB8" w:rsidRDefault="00677577">
            <w:pPr>
              <w:spacing w:after="0" w:line="240" w:lineRule="auto"/>
              <w:rPr>
                <w:b/>
                <w:bCs/>
              </w:rPr>
            </w:pPr>
            <w:r w:rsidRPr="00167CB8">
              <w:rPr>
                <w:b/>
                <w:bCs/>
              </w:rPr>
              <w:t>All employees</w:t>
            </w:r>
          </w:p>
        </w:tc>
        <w:tc>
          <w:tcPr>
            <w:tcW w:w="1129" w:type="dxa"/>
            <w:noWrap/>
            <w:vAlign w:val="bottom"/>
            <w:hideMark/>
          </w:tcPr>
          <w:p w14:paraId="1B92F5E8" w14:textId="77777777" w:rsidR="00677577" w:rsidRPr="00167CB8" w:rsidRDefault="00677577" w:rsidP="00D36C73">
            <w:pPr>
              <w:spacing w:after="0" w:line="240" w:lineRule="auto"/>
              <w:jc w:val="right"/>
            </w:pPr>
            <w:r w:rsidRPr="00167CB8">
              <w:t>14.4%</w:t>
            </w:r>
          </w:p>
        </w:tc>
        <w:tc>
          <w:tcPr>
            <w:tcW w:w="1723" w:type="dxa"/>
            <w:noWrap/>
            <w:vAlign w:val="bottom"/>
            <w:hideMark/>
          </w:tcPr>
          <w:p w14:paraId="6FF08C63" w14:textId="77777777" w:rsidR="00677577" w:rsidRPr="00167CB8" w:rsidRDefault="00677577" w:rsidP="00D36C73">
            <w:pPr>
              <w:spacing w:after="0" w:line="240" w:lineRule="auto"/>
              <w:jc w:val="right"/>
            </w:pPr>
            <w:r w:rsidRPr="00167CB8">
              <w:t>20.3%</w:t>
            </w:r>
          </w:p>
        </w:tc>
        <w:tc>
          <w:tcPr>
            <w:tcW w:w="1997" w:type="dxa"/>
            <w:noWrap/>
            <w:vAlign w:val="bottom"/>
            <w:hideMark/>
          </w:tcPr>
          <w:p w14:paraId="7A469A43" w14:textId="77777777" w:rsidR="00677577" w:rsidRPr="00167CB8" w:rsidRDefault="00677577" w:rsidP="00D36C73">
            <w:pPr>
              <w:spacing w:after="0" w:line="240" w:lineRule="auto"/>
              <w:jc w:val="right"/>
            </w:pPr>
            <w:r w:rsidRPr="00167CB8">
              <w:t>17.7%</w:t>
            </w:r>
          </w:p>
        </w:tc>
        <w:tc>
          <w:tcPr>
            <w:tcW w:w="1233" w:type="dxa"/>
            <w:tcBorders>
              <w:top w:val="nil"/>
              <w:left w:val="nil"/>
              <w:bottom w:val="nil"/>
              <w:right w:val="single" w:sz="4" w:space="0" w:color="auto"/>
            </w:tcBorders>
            <w:noWrap/>
            <w:vAlign w:val="bottom"/>
            <w:hideMark/>
          </w:tcPr>
          <w:p w14:paraId="0198F68D" w14:textId="77777777" w:rsidR="00677577" w:rsidRPr="00167CB8" w:rsidRDefault="00677577" w:rsidP="00D36C73">
            <w:pPr>
              <w:spacing w:after="0" w:line="240" w:lineRule="auto"/>
              <w:jc w:val="right"/>
            </w:pPr>
            <w:r w:rsidRPr="00167CB8">
              <w:t>52.4%</w:t>
            </w:r>
          </w:p>
        </w:tc>
      </w:tr>
      <w:tr w:rsidR="00677577" w:rsidRPr="00167CB8" w14:paraId="2481A177" w14:textId="77777777">
        <w:trPr>
          <w:trHeight w:val="454"/>
        </w:trPr>
        <w:tc>
          <w:tcPr>
            <w:tcW w:w="2846" w:type="dxa"/>
            <w:tcBorders>
              <w:top w:val="nil"/>
              <w:left w:val="single" w:sz="4" w:space="0" w:color="auto"/>
              <w:bottom w:val="nil"/>
              <w:right w:val="nil"/>
            </w:tcBorders>
            <w:noWrap/>
            <w:vAlign w:val="bottom"/>
            <w:hideMark/>
          </w:tcPr>
          <w:p w14:paraId="361C3DA1" w14:textId="77777777" w:rsidR="00677577" w:rsidRPr="00167CB8" w:rsidRDefault="00677577">
            <w:pPr>
              <w:spacing w:after="0" w:line="240" w:lineRule="auto"/>
            </w:pPr>
            <w:r w:rsidRPr="00167CB8">
              <w:t>Persons</w:t>
            </w:r>
          </w:p>
        </w:tc>
        <w:tc>
          <w:tcPr>
            <w:tcW w:w="1129" w:type="dxa"/>
            <w:noWrap/>
            <w:vAlign w:val="bottom"/>
            <w:hideMark/>
          </w:tcPr>
          <w:p w14:paraId="74752772" w14:textId="77777777" w:rsidR="00677577" w:rsidRPr="00167CB8" w:rsidRDefault="00677577" w:rsidP="00D36C73">
            <w:pPr>
              <w:spacing w:after="0" w:line="240" w:lineRule="auto"/>
              <w:jc w:val="right"/>
            </w:pPr>
          </w:p>
        </w:tc>
        <w:tc>
          <w:tcPr>
            <w:tcW w:w="1723" w:type="dxa"/>
            <w:noWrap/>
            <w:vAlign w:val="bottom"/>
            <w:hideMark/>
          </w:tcPr>
          <w:p w14:paraId="4D773813" w14:textId="77777777" w:rsidR="00677577" w:rsidRPr="00167CB8" w:rsidRDefault="00677577" w:rsidP="00D36C73">
            <w:pPr>
              <w:spacing w:after="0" w:line="240" w:lineRule="auto"/>
              <w:jc w:val="right"/>
            </w:pPr>
          </w:p>
        </w:tc>
        <w:tc>
          <w:tcPr>
            <w:tcW w:w="1997" w:type="dxa"/>
            <w:noWrap/>
            <w:vAlign w:val="bottom"/>
            <w:hideMark/>
          </w:tcPr>
          <w:p w14:paraId="71AF0DE3" w14:textId="77777777" w:rsidR="00677577" w:rsidRPr="00167CB8" w:rsidRDefault="00677577" w:rsidP="00D36C73">
            <w:pPr>
              <w:spacing w:after="0" w:line="240" w:lineRule="auto"/>
              <w:jc w:val="right"/>
            </w:pPr>
          </w:p>
        </w:tc>
        <w:tc>
          <w:tcPr>
            <w:tcW w:w="1233" w:type="dxa"/>
            <w:tcBorders>
              <w:top w:val="nil"/>
              <w:left w:val="nil"/>
              <w:bottom w:val="nil"/>
              <w:right w:val="single" w:sz="4" w:space="0" w:color="auto"/>
            </w:tcBorders>
            <w:noWrap/>
            <w:vAlign w:val="bottom"/>
            <w:hideMark/>
          </w:tcPr>
          <w:p w14:paraId="63B4A743" w14:textId="77777777" w:rsidR="00677577" w:rsidRPr="00167CB8" w:rsidRDefault="00677577" w:rsidP="00D36C73">
            <w:pPr>
              <w:spacing w:after="0" w:line="240" w:lineRule="auto"/>
              <w:jc w:val="right"/>
            </w:pPr>
          </w:p>
        </w:tc>
      </w:tr>
      <w:tr w:rsidR="00677577" w:rsidRPr="00167CB8" w14:paraId="5B7C896D" w14:textId="77777777">
        <w:trPr>
          <w:trHeight w:val="454"/>
        </w:trPr>
        <w:tc>
          <w:tcPr>
            <w:tcW w:w="2846" w:type="dxa"/>
            <w:tcBorders>
              <w:top w:val="nil"/>
              <w:left w:val="single" w:sz="4" w:space="0" w:color="auto"/>
              <w:bottom w:val="nil"/>
              <w:right w:val="nil"/>
            </w:tcBorders>
            <w:noWrap/>
            <w:vAlign w:val="bottom"/>
            <w:hideMark/>
          </w:tcPr>
          <w:p w14:paraId="1C1C09D4" w14:textId="77777777" w:rsidR="00677577" w:rsidRPr="00167CB8" w:rsidRDefault="00677577">
            <w:pPr>
              <w:spacing w:after="0" w:line="240" w:lineRule="auto"/>
            </w:pPr>
            <w:r w:rsidRPr="00167CB8">
              <w:t>Full-time employees</w:t>
            </w:r>
          </w:p>
        </w:tc>
        <w:tc>
          <w:tcPr>
            <w:tcW w:w="1129" w:type="dxa"/>
            <w:noWrap/>
            <w:vAlign w:val="bottom"/>
            <w:hideMark/>
          </w:tcPr>
          <w:p w14:paraId="7AB1DB4F" w14:textId="77777777" w:rsidR="00677577" w:rsidRPr="00167CB8" w:rsidRDefault="00677577" w:rsidP="00D36C73">
            <w:pPr>
              <w:spacing w:after="0" w:line="240" w:lineRule="auto"/>
              <w:jc w:val="right"/>
            </w:pPr>
            <w:r w:rsidRPr="00167CB8">
              <w:t>8.0%</w:t>
            </w:r>
          </w:p>
        </w:tc>
        <w:tc>
          <w:tcPr>
            <w:tcW w:w="1723" w:type="dxa"/>
            <w:noWrap/>
            <w:vAlign w:val="bottom"/>
            <w:hideMark/>
          </w:tcPr>
          <w:p w14:paraId="143768FA" w14:textId="77777777" w:rsidR="00677577" w:rsidRPr="00167CB8" w:rsidRDefault="00677577" w:rsidP="00D36C73">
            <w:pPr>
              <w:spacing w:after="0" w:line="240" w:lineRule="auto"/>
              <w:jc w:val="right"/>
            </w:pPr>
            <w:r w:rsidRPr="00167CB8">
              <w:t>19.7%</w:t>
            </w:r>
          </w:p>
        </w:tc>
        <w:tc>
          <w:tcPr>
            <w:tcW w:w="1997" w:type="dxa"/>
            <w:noWrap/>
            <w:vAlign w:val="bottom"/>
            <w:hideMark/>
          </w:tcPr>
          <w:p w14:paraId="2CC2FB4A" w14:textId="77777777" w:rsidR="00677577" w:rsidRPr="00167CB8" w:rsidRDefault="00677577" w:rsidP="00D36C73">
            <w:pPr>
              <w:spacing w:after="0" w:line="240" w:lineRule="auto"/>
              <w:jc w:val="right"/>
            </w:pPr>
            <w:r w:rsidRPr="00167CB8">
              <w:t>30.3%</w:t>
            </w:r>
          </w:p>
        </w:tc>
        <w:tc>
          <w:tcPr>
            <w:tcW w:w="1233" w:type="dxa"/>
            <w:tcBorders>
              <w:top w:val="nil"/>
              <w:left w:val="nil"/>
              <w:bottom w:val="nil"/>
              <w:right w:val="single" w:sz="4" w:space="0" w:color="auto"/>
            </w:tcBorders>
            <w:noWrap/>
            <w:vAlign w:val="bottom"/>
            <w:hideMark/>
          </w:tcPr>
          <w:p w14:paraId="4F2F0FC3" w14:textId="77777777" w:rsidR="00677577" w:rsidRPr="00167CB8" w:rsidRDefault="00677577" w:rsidP="00D36C73">
            <w:pPr>
              <w:spacing w:after="0" w:line="240" w:lineRule="auto"/>
              <w:jc w:val="right"/>
            </w:pPr>
            <w:r w:rsidRPr="00167CB8">
              <w:t>58.1%</w:t>
            </w:r>
          </w:p>
        </w:tc>
      </w:tr>
      <w:tr w:rsidR="00677577" w:rsidRPr="00167CB8" w14:paraId="6D0CFDF5" w14:textId="77777777">
        <w:trPr>
          <w:trHeight w:val="454"/>
        </w:trPr>
        <w:tc>
          <w:tcPr>
            <w:tcW w:w="2846" w:type="dxa"/>
            <w:tcBorders>
              <w:top w:val="nil"/>
              <w:left w:val="single" w:sz="4" w:space="0" w:color="auto"/>
              <w:bottom w:val="nil"/>
              <w:right w:val="nil"/>
            </w:tcBorders>
            <w:noWrap/>
            <w:vAlign w:val="bottom"/>
            <w:hideMark/>
          </w:tcPr>
          <w:p w14:paraId="53B0EF6A" w14:textId="77777777" w:rsidR="00677577" w:rsidRPr="00167CB8" w:rsidRDefault="00677577">
            <w:pPr>
              <w:spacing w:after="0" w:line="240" w:lineRule="auto"/>
            </w:pPr>
            <w:r w:rsidRPr="00167CB8">
              <w:t>Part-time employees</w:t>
            </w:r>
          </w:p>
        </w:tc>
        <w:tc>
          <w:tcPr>
            <w:tcW w:w="1129" w:type="dxa"/>
            <w:noWrap/>
            <w:vAlign w:val="bottom"/>
            <w:hideMark/>
          </w:tcPr>
          <w:p w14:paraId="45DDA706" w14:textId="77777777" w:rsidR="00677577" w:rsidRPr="00167CB8" w:rsidRDefault="00677577" w:rsidP="00D36C73">
            <w:pPr>
              <w:spacing w:after="0" w:line="240" w:lineRule="auto"/>
              <w:jc w:val="right"/>
            </w:pPr>
            <w:r w:rsidRPr="00167CB8">
              <w:t>16.1%</w:t>
            </w:r>
          </w:p>
        </w:tc>
        <w:tc>
          <w:tcPr>
            <w:tcW w:w="1723" w:type="dxa"/>
            <w:noWrap/>
            <w:vAlign w:val="bottom"/>
            <w:hideMark/>
          </w:tcPr>
          <w:p w14:paraId="635D7223" w14:textId="77777777" w:rsidR="00677577" w:rsidRPr="00167CB8" w:rsidRDefault="00677577" w:rsidP="00D36C73">
            <w:pPr>
              <w:spacing w:after="0" w:line="240" w:lineRule="auto"/>
              <w:jc w:val="right"/>
            </w:pPr>
            <w:r w:rsidRPr="00167CB8">
              <w:t>15.8%</w:t>
            </w:r>
          </w:p>
        </w:tc>
        <w:tc>
          <w:tcPr>
            <w:tcW w:w="1997" w:type="dxa"/>
            <w:noWrap/>
            <w:vAlign w:val="bottom"/>
            <w:hideMark/>
          </w:tcPr>
          <w:p w14:paraId="12F08435" w14:textId="77777777" w:rsidR="00677577" w:rsidRPr="00167CB8" w:rsidRDefault="00677577" w:rsidP="00D36C73">
            <w:pPr>
              <w:spacing w:after="0" w:line="240" w:lineRule="auto"/>
              <w:jc w:val="right"/>
            </w:pPr>
            <w:r w:rsidRPr="00167CB8">
              <w:t>10.0%</w:t>
            </w:r>
          </w:p>
        </w:tc>
        <w:tc>
          <w:tcPr>
            <w:tcW w:w="1233" w:type="dxa"/>
            <w:tcBorders>
              <w:top w:val="nil"/>
              <w:left w:val="nil"/>
              <w:bottom w:val="nil"/>
              <w:right w:val="single" w:sz="4" w:space="0" w:color="auto"/>
            </w:tcBorders>
            <w:noWrap/>
            <w:vAlign w:val="bottom"/>
            <w:hideMark/>
          </w:tcPr>
          <w:p w14:paraId="300C906A" w14:textId="77777777" w:rsidR="00677577" w:rsidRPr="00167CB8" w:rsidRDefault="00677577" w:rsidP="00D36C73">
            <w:pPr>
              <w:spacing w:after="0" w:line="240" w:lineRule="auto"/>
              <w:jc w:val="right"/>
            </w:pPr>
            <w:r w:rsidRPr="00167CB8">
              <w:t>41.9%</w:t>
            </w:r>
          </w:p>
        </w:tc>
      </w:tr>
      <w:tr w:rsidR="00677577" w:rsidRPr="00167CB8" w14:paraId="00101E06" w14:textId="77777777">
        <w:trPr>
          <w:trHeight w:val="454"/>
        </w:trPr>
        <w:tc>
          <w:tcPr>
            <w:tcW w:w="2846" w:type="dxa"/>
            <w:tcBorders>
              <w:top w:val="nil"/>
              <w:left w:val="single" w:sz="4" w:space="0" w:color="auto"/>
              <w:bottom w:val="single" w:sz="4" w:space="0" w:color="auto"/>
              <w:right w:val="nil"/>
            </w:tcBorders>
            <w:noWrap/>
            <w:vAlign w:val="bottom"/>
            <w:hideMark/>
          </w:tcPr>
          <w:p w14:paraId="26779CD6" w14:textId="77777777" w:rsidR="00677577" w:rsidRPr="00167CB8" w:rsidRDefault="00677577">
            <w:pPr>
              <w:spacing w:after="0" w:line="240" w:lineRule="auto"/>
              <w:rPr>
                <w:b/>
                <w:bCs/>
              </w:rPr>
            </w:pPr>
            <w:r w:rsidRPr="00167CB8">
              <w:rPr>
                <w:b/>
                <w:bCs/>
              </w:rPr>
              <w:t>All employees</w:t>
            </w:r>
          </w:p>
        </w:tc>
        <w:tc>
          <w:tcPr>
            <w:tcW w:w="1129" w:type="dxa"/>
            <w:tcBorders>
              <w:top w:val="nil"/>
              <w:left w:val="nil"/>
              <w:bottom w:val="single" w:sz="4" w:space="0" w:color="auto"/>
              <w:right w:val="nil"/>
            </w:tcBorders>
            <w:noWrap/>
            <w:vAlign w:val="bottom"/>
            <w:hideMark/>
          </w:tcPr>
          <w:p w14:paraId="55C888E5" w14:textId="77777777" w:rsidR="00677577" w:rsidRPr="00167CB8" w:rsidRDefault="00677577" w:rsidP="00D36C73">
            <w:pPr>
              <w:spacing w:after="0" w:line="240" w:lineRule="auto"/>
              <w:jc w:val="right"/>
            </w:pPr>
            <w:r w:rsidRPr="00167CB8">
              <w:t>24.2%</w:t>
            </w:r>
          </w:p>
        </w:tc>
        <w:tc>
          <w:tcPr>
            <w:tcW w:w="1723" w:type="dxa"/>
            <w:tcBorders>
              <w:top w:val="nil"/>
              <w:left w:val="nil"/>
              <w:bottom w:val="single" w:sz="4" w:space="0" w:color="auto"/>
              <w:right w:val="nil"/>
            </w:tcBorders>
            <w:noWrap/>
            <w:vAlign w:val="bottom"/>
            <w:hideMark/>
          </w:tcPr>
          <w:p w14:paraId="09389A27" w14:textId="77777777" w:rsidR="00677577" w:rsidRPr="00167CB8" w:rsidRDefault="00677577" w:rsidP="00D36C73">
            <w:pPr>
              <w:spacing w:after="0" w:line="240" w:lineRule="auto"/>
              <w:jc w:val="right"/>
            </w:pPr>
            <w:r w:rsidRPr="00167CB8">
              <w:t>35.5%</w:t>
            </w:r>
          </w:p>
        </w:tc>
        <w:tc>
          <w:tcPr>
            <w:tcW w:w="1997" w:type="dxa"/>
            <w:tcBorders>
              <w:top w:val="nil"/>
              <w:left w:val="nil"/>
              <w:bottom w:val="single" w:sz="4" w:space="0" w:color="auto"/>
              <w:right w:val="nil"/>
            </w:tcBorders>
            <w:noWrap/>
            <w:vAlign w:val="bottom"/>
            <w:hideMark/>
          </w:tcPr>
          <w:p w14:paraId="5B7E7F4A" w14:textId="77777777" w:rsidR="00677577" w:rsidRPr="00167CB8" w:rsidRDefault="00677577" w:rsidP="00D36C73">
            <w:pPr>
              <w:spacing w:after="0" w:line="240" w:lineRule="auto"/>
              <w:jc w:val="right"/>
            </w:pPr>
            <w:r w:rsidRPr="00167CB8">
              <w:t>40.3%</w:t>
            </w:r>
          </w:p>
        </w:tc>
        <w:tc>
          <w:tcPr>
            <w:tcW w:w="1233" w:type="dxa"/>
            <w:tcBorders>
              <w:top w:val="nil"/>
              <w:left w:val="nil"/>
              <w:bottom w:val="single" w:sz="4" w:space="0" w:color="auto"/>
              <w:right w:val="single" w:sz="4" w:space="0" w:color="auto"/>
            </w:tcBorders>
            <w:noWrap/>
            <w:vAlign w:val="bottom"/>
            <w:hideMark/>
          </w:tcPr>
          <w:p w14:paraId="1EE631C5" w14:textId="77777777" w:rsidR="00677577" w:rsidRPr="00167CB8" w:rsidRDefault="00677577" w:rsidP="00D36C73">
            <w:pPr>
              <w:spacing w:after="0" w:line="240" w:lineRule="auto"/>
              <w:jc w:val="right"/>
            </w:pPr>
            <w:r w:rsidRPr="00167CB8">
              <w:t>100.0%</w:t>
            </w:r>
          </w:p>
        </w:tc>
      </w:tr>
    </w:tbl>
    <w:p w14:paraId="554A217C" w14:textId="77777777" w:rsidR="0011475D" w:rsidRDefault="00677577" w:rsidP="00677577">
      <w:pPr>
        <w:pStyle w:val="Source"/>
      </w:pPr>
      <w:r w:rsidRPr="00167CB8">
        <w:rPr>
          <w:b/>
          <w:bCs/>
        </w:rPr>
        <w:t>Source:</w:t>
      </w:r>
      <w:r w:rsidRPr="00167CB8">
        <w:t xml:space="preserve"> ABS 6306.0 Employee Earnings and Hours, May 2023. Table 1.</w:t>
      </w:r>
    </w:p>
    <w:p w14:paraId="39D0C12B" w14:textId="388D322D" w:rsidR="00677577" w:rsidRPr="007B334A" w:rsidRDefault="00677577" w:rsidP="00677577">
      <w:bookmarkStart w:id="927" w:name="_Ref184489640"/>
      <w:bookmarkStart w:id="928" w:name="_Toc186991823"/>
      <w:bookmarkStart w:id="929" w:name="_Toc189310874"/>
      <w:r w:rsidRPr="00D36C73">
        <w:t xml:space="preserve">Table </w:t>
      </w:r>
      <w:r w:rsidR="006F17CA">
        <w:t>50</w:t>
      </w:r>
      <w:r w:rsidR="006F17CA" w:rsidRPr="007B334A">
        <w:t xml:space="preserve"> </w:t>
      </w:r>
      <w:r w:rsidRPr="007B334A">
        <w:t xml:space="preserve">shows the average hourly (total cash) earnings of men and women by method of pay setting. The final row shows the </w:t>
      </w:r>
      <w:r w:rsidRPr="007B334A" w:rsidDel="00702D44">
        <w:t>gender pay gap</w:t>
      </w:r>
      <w:r w:rsidRPr="007B334A">
        <w:t xml:space="preserve"> (expressed as a share of male earnings). Among award-dependent employees women, on average, are paid more than men. The </w:t>
      </w:r>
      <w:r w:rsidRPr="007B334A" w:rsidDel="00702D44">
        <w:t xml:space="preserve">gender pay gap </w:t>
      </w:r>
      <w:r w:rsidRPr="007B334A">
        <w:t>among award workers shows that, at the mean, the average hourly earnings of award-dependent men would need to increase by 3.8% to equal the earnings of award-dependent women.</w:t>
      </w:r>
    </w:p>
    <w:p w14:paraId="188F6DDC" w14:textId="4C40A058" w:rsidR="00677577" w:rsidRPr="00167CB8" w:rsidRDefault="00677577" w:rsidP="00677577">
      <w:r w:rsidRPr="007B334A">
        <w:t xml:space="preserve">Women, however, are paid less than men among those covered by a collective agreement and those covered by an individual agreement. Collective agreements, on average, have a higher hourly wage than individual agreements (see </w:t>
      </w:r>
      <w:r w:rsidRPr="00197EC2">
        <w:t xml:space="preserve">Table </w:t>
      </w:r>
      <w:r w:rsidR="006F17CA">
        <w:t>50</w:t>
      </w:r>
      <w:r w:rsidRPr="007B334A">
        <w:t>)</w:t>
      </w:r>
      <w:r w:rsidR="00702D44" w:rsidRPr="007B334A">
        <w:t>.</w:t>
      </w:r>
    </w:p>
    <w:p w14:paraId="51763F3A" w14:textId="77777777" w:rsidR="00677577" w:rsidRDefault="00677577" w:rsidP="00677577">
      <w:pPr>
        <w:rPr>
          <w:rFonts w:cs="Calibri"/>
          <w:b/>
          <w:bCs/>
          <w:lang w:val="en-US"/>
        </w:rPr>
      </w:pPr>
      <w:r>
        <w:br w:type="page"/>
      </w:r>
    </w:p>
    <w:p w14:paraId="406477A6" w14:textId="0FE485F6" w:rsidR="00677577" w:rsidRPr="00167CB8" w:rsidRDefault="00365C93" w:rsidP="007F380D">
      <w:pPr>
        <w:pStyle w:val="Caption"/>
      </w:pPr>
      <w:bookmarkStart w:id="930" w:name="_Toc194251474"/>
      <w:r>
        <w:t xml:space="preserve">Table </w:t>
      </w:r>
      <w:r>
        <w:fldChar w:fldCharType="begin"/>
      </w:r>
      <w:r>
        <w:instrText xml:space="preserve"> SEQ Table \* ARABIC </w:instrText>
      </w:r>
      <w:r>
        <w:fldChar w:fldCharType="separate"/>
      </w:r>
      <w:r w:rsidR="00DE5F5E">
        <w:rPr>
          <w:noProof/>
        </w:rPr>
        <w:t>50</w:t>
      </w:r>
      <w:r>
        <w:fldChar w:fldCharType="end"/>
      </w:r>
      <w:r>
        <w:t xml:space="preserve">: </w:t>
      </w:r>
      <w:bookmarkEnd w:id="927"/>
      <w:r w:rsidR="00677577" w:rsidRPr="00167CB8">
        <w:t>Average hourly total cash earnings of non-managerial employees employed full-time and paid at the adult rate, by method of pay setting, May 2023</w:t>
      </w:r>
      <w:bookmarkEnd w:id="928"/>
      <w:bookmarkEnd w:id="929"/>
      <w:bookmarkEnd w:id="930"/>
    </w:p>
    <w:tbl>
      <w:tblPr>
        <w:tblW w:w="890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23"/>
        <w:gridCol w:w="1879"/>
        <w:gridCol w:w="1813"/>
        <w:gridCol w:w="1990"/>
      </w:tblGrid>
      <w:tr w:rsidR="00677577" w:rsidRPr="00167CB8" w14:paraId="5C58CB8C" w14:textId="77777777">
        <w:trPr>
          <w:trHeight w:val="671"/>
        </w:trPr>
        <w:tc>
          <w:tcPr>
            <w:tcW w:w="3223" w:type="dxa"/>
            <w:tcBorders>
              <w:top w:val="single" w:sz="4" w:space="0" w:color="auto"/>
              <w:left w:val="single" w:sz="4" w:space="0" w:color="auto"/>
              <w:bottom w:val="single" w:sz="4" w:space="0" w:color="auto"/>
              <w:right w:val="nil"/>
            </w:tcBorders>
            <w:noWrap/>
            <w:vAlign w:val="bottom"/>
            <w:hideMark/>
          </w:tcPr>
          <w:p w14:paraId="694F0480" w14:textId="77777777" w:rsidR="00677577" w:rsidRPr="00167CB8" w:rsidRDefault="00677577"/>
        </w:tc>
        <w:tc>
          <w:tcPr>
            <w:tcW w:w="1879" w:type="dxa"/>
            <w:tcBorders>
              <w:top w:val="single" w:sz="4" w:space="0" w:color="auto"/>
              <w:left w:val="nil"/>
              <w:bottom w:val="single" w:sz="4" w:space="0" w:color="auto"/>
              <w:right w:val="nil"/>
            </w:tcBorders>
            <w:vAlign w:val="bottom"/>
            <w:hideMark/>
          </w:tcPr>
          <w:p w14:paraId="176CA39B" w14:textId="77777777" w:rsidR="00677577" w:rsidRPr="00167CB8" w:rsidRDefault="00677577" w:rsidP="00F377C4">
            <w:pPr>
              <w:jc w:val="right"/>
              <w:rPr>
                <w:b/>
                <w:bCs/>
              </w:rPr>
            </w:pPr>
            <w:r w:rsidRPr="00167CB8">
              <w:rPr>
                <w:b/>
                <w:bCs/>
              </w:rPr>
              <w:t>Award only</w:t>
            </w:r>
          </w:p>
        </w:tc>
        <w:tc>
          <w:tcPr>
            <w:tcW w:w="1813" w:type="dxa"/>
            <w:tcBorders>
              <w:top w:val="single" w:sz="4" w:space="0" w:color="auto"/>
              <w:left w:val="nil"/>
              <w:bottom w:val="single" w:sz="4" w:space="0" w:color="auto"/>
              <w:right w:val="nil"/>
            </w:tcBorders>
            <w:vAlign w:val="bottom"/>
            <w:hideMark/>
          </w:tcPr>
          <w:p w14:paraId="3DCD2383" w14:textId="77777777" w:rsidR="00677577" w:rsidRPr="00167CB8" w:rsidRDefault="00677577" w:rsidP="00F377C4">
            <w:pPr>
              <w:jc w:val="right"/>
              <w:rPr>
                <w:b/>
                <w:bCs/>
              </w:rPr>
            </w:pPr>
            <w:r w:rsidRPr="00167CB8">
              <w:rPr>
                <w:b/>
                <w:bCs/>
              </w:rPr>
              <w:t>Collective agreement</w:t>
            </w:r>
          </w:p>
        </w:tc>
        <w:tc>
          <w:tcPr>
            <w:tcW w:w="1990" w:type="dxa"/>
            <w:tcBorders>
              <w:top w:val="single" w:sz="4" w:space="0" w:color="auto"/>
              <w:left w:val="nil"/>
              <w:bottom w:val="single" w:sz="4" w:space="0" w:color="auto"/>
              <w:right w:val="single" w:sz="4" w:space="0" w:color="auto"/>
            </w:tcBorders>
            <w:vAlign w:val="bottom"/>
            <w:hideMark/>
          </w:tcPr>
          <w:p w14:paraId="01D826E5" w14:textId="77777777" w:rsidR="00677577" w:rsidRPr="00167CB8" w:rsidRDefault="00677577" w:rsidP="00F377C4">
            <w:pPr>
              <w:jc w:val="right"/>
              <w:rPr>
                <w:b/>
                <w:bCs/>
              </w:rPr>
            </w:pPr>
            <w:r w:rsidRPr="00167CB8">
              <w:rPr>
                <w:b/>
                <w:bCs/>
              </w:rPr>
              <w:t>Individual arrangement</w:t>
            </w:r>
          </w:p>
        </w:tc>
      </w:tr>
      <w:tr w:rsidR="00677577" w:rsidRPr="00167CB8" w14:paraId="4817EB87" w14:textId="77777777">
        <w:trPr>
          <w:trHeight w:val="397"/>
        </w:trPr>
        <w:tc>
          <w:tcPr>
            <w:tcW w:w="3223" w:type="dxa"/>
            <w:tcBorders>
              <w:top w:val="single" w:sz="4" w:space="0" w:color="auto"/>
              <w:left w:val="single" w:sz="4" w:space="0" w:color="auto"/>
              <w:bottom w:val="nil"/>
              <w:right w:val="nil"/>
            </w:tcBorders>
            <w:noWrap/>
            <w:vAlign w:val="bottom"/>
            <w:hideMark/>
          </w:tcPr>
          <w:p w14:paraId="5585A815" w14:textId="77777777" w:rsidR="00677577" w:rsidRPr="003358E0" w:rsidRDefault="00677577">
            <w:pPr>
              <w:spacing w:after="0" w:line="240" w:lineRule="auto"/>
              <w:rPr>
                <w:sz w:val="20"/>
                <w:szCs w:val="20"/>
              </w:rPr>
            </w:pPr>
            <w:r w:rsidRPr="003358E0">
              <w:rPr>
                <w:sz w:val="20"/>
                <w:szCs w:val="20"/>
              </w:rPr>
              <w:t>Males</w:t>
            </w:r>
          </w:p>
        </w:tc>
        <w:tc>
          <w:tcPr>
            <w:tcW w:w="1879" w:type="dxa"/>
            <w:tcBorders>
              <w:top w:val="single" w:sz="4" w:space="0" w:color="auto"/>
              <w:left w:val="nil"/>
              <w:bottom w:val="nil"/>
              <w:right w:val="nil"/>
            </w:tcBorders>
            <w:noWrap/>
            <w:vAlign w:val="bottom"/>
            <w:hideMark/>
          </w:tcPr>
          <w:p w14:paraId="038DFF88" w14:textId="77777777" w:rsidR="00677577" w:rsidRPr="003358E0" w:rsidRDefault="00677577" w:rsidP="00F377C4">
            <w:pPr>
              <w:spacing w:after="0" w:line="240" w:lineRule="auto"/>
              <w:jc w:val="right"/>
              <w:rPr>
                <w:sz w:val="20"/>
                <w:szCs w:val="20"/>
              </w:rPr>
            </w:pPr>
            <w:r w:rsidRPr="003358E0">
              <w:rPr>
                <w:sz w:val="20"/>
                <w:szCs w:val="20"/>
              </w:rPr>
              <w:t>$37.00</w:t>
            </w:r>
          </w:p>
        </w:tc>
        <w:tc>
          <w:tcPr>
            <w:tcW w:w="1813" w:type="dxa"/>
            <w:tcBorders>
              <w:top w:val="single" w:sz="4" w:space="0" w:color="auto"/>
              <w:left w:val="nil"/>
              <w:bottom w:val="nil"/>
              <w:right w:val="nil"/>
            </w:tcBorders>
            <w:noWrap/>
            <w:vAlign w:val="bottom"/>
            <w:hideMark/>
          </w:tcPr>
          <w:p w14:paraId="7990A5F9" w14:textId="77777777" w:rsidR="00677577" w:rsidRPr="003358E0" w:rsidRDefault="00677577" w:rsidP="00F377C4">
            <w:pPr>
              <w:spacing w:after="0" w:line="240" w:lineRule="auto"/>
              <w:jc w:val="right"/>
              <w:rPr>
                <w:sz w:val="20"/>
                <w:szCs w:val="20"/>
              </w:rPr>
            </w:pPr>
            <w:r w:rsidRPr="003358E0">
              <w:rPr>
                <w:sz w:val="20"/>
                <w:szCs w:val="20"/>
              </w:rPr>
              <w:t>$53.50</w:t>
            </w:r>
          </w:p>
        </w:tc>
        <w:tc>
          <w:tcPr>
            <w:tcW w:w="1990" w:type="dxa"/>
            <w:tcBorders>
              <w:top w:val="single" w:sz="4" w:space="0" w:color="auto"/>
              <w:left w:val="nil"/>
              <w:bottom w:val="nil"/>
              <w:right w:val="single" w:sz="4" w:space="0" w:color="auto"/>
            </w:tcBorders>
            <w:noWrap/>
            <w:vAlign w:val="bottom"/>
            <w:hideMark/>
          </w:tcPr>
          <w:p w14:paraId="3D3C29AF" w14:textId="77777777" w:rsidR="00677577" w:rsidRPr="003358E0" w:rsidRDefault="00677577" w:rsidP="00F377C4">
            <w:pPr>
              <w:spacing w:after="0" w:line="240" w:lineRule="auto"/>
              <w:jc w:val="right"/>
              <w:rPr>
                <w:sz w:val="20"/>
                <w:szCs w:val="20"/>
              </w:rPr>
            </w:pPr>
            <w:r w:rsidRPr="003358E0">
              <w:rPr>
                <w:sz w:val="20"/>
                <w:szCs w:val="20"/>
              </w:rPr>
              <w:t>$51.40</w:t>
            </w:r>
          </w:p>
        </w:tc>
      </w:tr>
      <w:tr w:rsidR="00677577" w:rsidRPr="00167CB8" w14:paraId="5351D34E" w14:textId="77777777">
        <w:trPr>
          <w:trHeight w:val="397"/>
        </w:trPr>
        <w:tc>
          <w:tcPr>
            <w:tcW w:w="3223" w:type="dxa"/>
            <w:tcBorders>
              <w:top w:val="nil"/>
              <w:left w:val="single" w:sz="4" w:space="0" w:color="auto"/>
              <w:bottom w:val="nil"/>
              <w:right w:val="nil"/>
            </w:tcBorders>
            <w:noWrap/>
            <w:vAlign w:val="bottom"/>
            <w:hideMark/>
          </w:tcPr>
          <w:p w14:paraId="58B3626C" w14:textId="77777777" w:rsidR="00677577" w:rsidRPr="003358E0" w:rsidRDefault="00677577">
            <w:pPr>
              <w:spacing w:after="0" w:line="240" w:lineRule="auto"/>
              <w:rPr>
                <w:sz w:val="20"/>
                <w:szCs w:val="20"/>
              </w:rPr>
            </w:pPr>
            <w:r w:rsidRPr="003358E0">
              <w:rPr>
                <w:sz w:val="20"/>
                <w:szCs w:val="20"/>
              </w:rPr>
              <w:t>Females</w:t>
            </w:r>
          </w:p>
        </w:tc>
        <w:tc>
          <w:tcPr>
            <w:tcW w:w="1879" w:type="dxa"/>
            <w:tcBorders>
              <w:top w:val="nil"/>
              <w:left w:val="nil"/>
              <w:bottom w:val="nil"/>
              <w:right w:val="nil"/>
            </w:tcBorders>
            <w:noWrap/>
            <w:vAlign w:val="bottom"/>
            <w:hideMark/>
          </w:tcPr>
          <w:p w14:paraId="74D3B4E7" w14:textId="77777777" w:rsidR="00677577" w:rsidRPr="003358E0" w:rsidRDefault="00677577" w:rsidP="00F377C4">
            <w:pPr>
              <w:spacing w:after="0" w:line="240" w:lineRule="auto"/>
              <w:jc w:val="right"/>
              <w:rPr>
                <w:sz w:val="20"/>
                <w:szCs w:val="20"/>
              </w:rPr>
            </w:pPr>
            <w:r w:rsidRPr="003358E0">
              <w:rPr>
                <w:sz w:val="20"/>
                <w:szCs w:val="20"/>
              </w:rPr>
              <w:t>$38.40</w:t>
            </w:r>
          </w:p>
        </w:tc>
        <w:tc>
          <w:tcPr>
            <w:tcW w:w="1813" w:type="dxa"/>
            <w:tcBorders>
              <w:top w:val="nil"/>
              <w:left w:val="nil"/>
              <w:bottom w:val="nil"/>
              <w:right w:val="nil"/>
            </w:tcBorders>
            <w:noWrap/>
            <w:vAlign w:val="bottom"/>
            <w:hideMark/>
          </w:tcPr>
          <w:p w14:paraId="78D002CB" w14:textId="77777777" w:rsidR="00677577" w:rsidRPr="003358E0" w:rsidRDefault="00677577" w:rsidP="00F377C4">
            <w:pPr>
              <w:spacing w:after="0" w:line="240" w:lineRule="auto"/>
              <w:jc w:val="right"/>
              <w:rPr>
                <w:sz w:val="20"/>
                <w:szCs w:val="20"/>
              </w:rPr>
            </w:pPr>
            <w:r w:rsidRPr="003358E0">
              <w:rPr>
                <w:sz w:val="20"/>
                <w:szCs w:val="20"/>
              </w:rPr>
              <w:t>$49.90</w:t>
            </w:r>
          </w:p>
        </w:tc>
        <w:tc>
          <w:tcPr>
            <w:tcW w:w="1990" w:type="dxa"/>
            <w:tcBorders>
              <w:top w:val="nil"/>
              <w:left w:val="nil"/>
              <w:bottom w:val="nil"/>
              <w:right w:val="single" w:sz="4" w:space="0" w:color="auto"/>
            </w:tcBorders>
            <w:noWrap/>
            <w:vAlign w:val="bottom"/>
            <w:hideMark/>
          </w:tcPr>
          <w:p w14:paraId="5F080FC5" w14:textId="77777777" w:rsidR="00677577" w:rsidRPr="003358E0" w:rsidRDefault="00677577" w:rsidP="00F377C4">
            <w:pPr>
              <w:spacing w:after="0" w:line="240" w:lineRule="auto"/>
              <w:jc w:val="right"/>
              <w:rPr>
                <w:sz w:val="20"/>
                <w:szCs w:val="20"/>
              </w:rPr>
            </w:pPr>
            <w:r w:rsidRPr="003358E0">
              <w:rPr>
                <w:sz w:val="20"/>
                <w:szCs w:val="20"/>
              </w:rPr>
              <w:t>$45.80</w:t>
            </w:r>
          </w:p>
        </w:tc>
      </w:tr>
      <w:tr w:rsidR="00677577" w:rsidRPr="00167CB8" w14:paraId="661B4229" w14:textId="77777777">
        <w:trPr>
          <w:trHeight w:val="397"/>
        </w:trPr>
        <w:tc>
          <w:tcPr>
            <w:tcW w:w="3223" w:type="dxa"/>
            <w:tcBorders>
              <w:top w:val="nil"/>
              <w:left w:val="single" w:sz="4" w:space="0" w:color="auto"/>
              <w:bottom w:val="single" w:sz="4" w:space="0" w:color="auto"/>
              <w:right w:val="nil"/>
            </w:tcBorders>
            <w:noWrap/>
            <w:vAlign w:val="bottom"/>
            <w:hideMark/>
          </w:tcPr>
          <w:p w14:paraId="05242FE8" w14:textId="77777777" w:rsidR="00677577" w:rsidRPr="003358E0" w:rsidRDefault="00677577">
            <w:pPr>
              <w:spacing w:after="0" w:line="240" w:lineRule="auto"/>
              <w:rPr>
                <w:sz w:val="20"/>
                <w:szCs w:val="20"/>
              </w:rPr>
            </w:pPr>
            <w:r w:rsidRPr="003358E0">
              <w:rPr>
                <w:sz w:val="20"/>
                <w:szCs w:val="20"/>
              </w:rPr>
              <w:t>Persons</w:t>
            </w:r>
          </w:p>
        </w:tc>
        <w:tc>
          <w:tcPr>
            <w:tcW w:w="1879" w:type="dxa"/>
            <w:tcBorders>
              <w:top w:val="nil"/>
              <w:left w:val="nil"/>
              <w:bottom w:val="single" w:sz="4" w:space="0" w:color="auto"/>
              <w:right w:val="nil"/>
            </w:tcBorders>
            <w:noWrap/>
            <w:vAlign w:val="bottom"/>
            <w:hideMark/>
          </w:tcPr>
          <w:p w14:paraId="584E7F38" w14:textId="77777777" w:rsidR="00677577" w:rsidRPr="003358E0" w:rsidRDefault="00677577" w:rsidP="00F377C4">
            <w:pPr>
              <w:spacing w:after="0" w:line="240" w:lineRule="auto"/>
              <w:jc w:val="right"/>
              <w:rPr>
                <w:sz w:val="20"/>
                <w:szCs w:val="20"/>
              </w:rPr>
            </w:pPr>
            <w:r w:rsidRPr="003358E0">
              <w:rPr>
                <w:sz w:val="20"/>
                <w:szCs w:val="20"/>
              </w:rPr>
              <w:t>$37.70</w:t>
            </w:r>
          </w:p>
        </w:tc>
        <w:tc>
          <w:tcPr>
            <w:tcW w:w="1813" w:type="dxa"/>
            <w:tcBorders>
              <w:top w:val="nil"/>
              <w:left w:val="nil"/>
              <w:bottom w:val="single" w:sz="4" w:space="0" w:color="auto"/>
              <w:right w:val="nil"/>
            </w:tcBorders>
            <w:noWrap/>
            <w:vAlign w:val="bottom"/>
            <w:hideMark/>
          </w:tcPr>
          <w:p w14:paraId="56735A10" w14:textId="77777777" w:rsidR="00677577" w:rsidRPr="003358E0" w:rsidRDefault="00677577" w:rsidP="00F377C4">
            <w:pPr>
              <w:spacing w:after="0" w:line="240" w:lineRule="auto"/>
              <w:jc w:val="right"/>
              <w:rPr>
                <w:sz w:val="20"/>
                <w:szCs w:val="20"/>
              </w:rPr>
            </w:pPr>
            <w:r w:rsidRPr="003358E0">
              <w:rPr>
                <w:sz w:val="20"/>
                <w:szCs w:val="20"/>
              </w:rPr>
              <w:t>$51.90</w:t>
            </w:r>
          </w:p>
        </w:tc>
        <w:tc>
          <w:tcPr>
            <w:tcW w:w="1990" w:type="dxa"/>
            <w:tcBorders>
              <w:top w:val="nil"/>
              <w:left w:val="nil"/>
              <w:bottom w:val="single" w:sz="4" w:space="0" w:color="auto"/>
              <w:right w:val="single" w:sz="4" w:space="0" w:color="auto"/>
            </w:tcBorders>
            <w:noWrap/>
            <w:vAlign w:val="bottom"/>
            <w:hideMark/>
          </w:tcPr>
          <w:p w14:paraId="22530609" w14:textId="77777777" w:rsidR="00677577" w:rsidRPr="003358E0" w:rsidRDefault="00677577" w:rsidP="00F377C4">
            <w:pPr>
              <w:spacing w:after="0" w:line="240" w:lineRule="auto"/>
              <w:jc w:val="right"/>
              <w:rPr>
                <w:sz w:val="20"/>
                <w:szCs w:val="20"/>
              </w:rPr>
            </w:pPr>
            <w:r w:rsidRPr="003358E0">
              <w:rPr>
                <w:sz w:val="20"/>
                <w:szCs w:val="20"/>
              </w:rPr>
              <w:t>$49.40</w:t>
            </w:r>
          </w:p>
        </w:tc>
      </w:tr>
      <w:tr w:rsidR="00677577" w:rsidRPr="00167CB8" w14:paraId="50137B91" w14:textId="77777777">
        <w:trPr>
          <w:trHeight w:val="397"/>
        </w:trPr>
        <w:tc>
          <w:tcPr>
            <w:tcW w:w="3223" w:type="dxa"/>
            <w:tcBorders>
              <w:top w:val="single" w:sz="4" w:space="0" w:color="auto"/>
              <w:left w:val="single" w:sz="4" w:space="0" w:color="auto"/>
              <w:bottom w:val="single" w:sz="4" w:space="0" w:color="auto"/>
              <w:right w:val="nil"/>
            </w:tcBorders>
            <w:noWrap/>
            <w:vAlign w:val="bottom"/>
            <w:hideMark/>
          </w:tcPr>
          <w:p w14:paraId="3EC61641" w14:textId="77777777" w:rsidR="00677577" w:rsidRPr="003358E0" w:rsidRDefault="00677577">
            <w:pPr>
              <w:spacing w:after="0" w:line="240" w:lineRule="auto"/>
              <w:rPr>
                <w:sz w:val="20"/>
                <w:szCs w:val="20"/>
              </w:rPr>
            </w:pPr>
            <w:r w:rsidRPr="003358E0">
              <w:rPr>
                <w:sz w:val="20"/>
                <w:szCs w:val="20"/>
              </w:rPr>
              <w:t>Gender pay gap (%)</w:t>
            </w:r>
          </w:p>
        </w:tc>
        <w:tc>
          <w:tcPr>
            <w:tcW w:w="1879" w:type="dxa"/>
            <w:tcBorders>
              <w:top w:val="single" w:sz="4" w:space="0" w:color="auto"/>
              <w:left w:val="nil"/>
              <w:bottom w:val="single" w:sz="4" w:space="0" w:color="auto"/>
              <w:right w:val="nil"/>
            </w:tcBorders>
            <w:noWrap/>
            <w:vAlign w:val="bottom"/>
            <w:hideMark/>
          </w:tcPr>
          <w:p w14:paraId="5050A303" w14:textId="77777777" w:rsidR="00677577" w:rsidRPr="003358E0" w:rsidRDefault="00677577" w:rsidP="00F377C4">
            <w:pPr>
              <w:spacing w:after="0" w:line="240" w:lineRule="auto"/>
              <w:jc w:val="right"/>
              <w:rPr>
                <w:sz w:val="20"/>
                <w:szCs w:val="20"/>
              </w:rPr>
            </w:pPr>
            <w:r w:rsidRPr="003358E0">
              <w:rPr>
                <w:sz w:val="20"/>
                <w:szCs w:val="20"/>
              </w:rPr>
              <w:t>-3.8%</w:t>
            </w:r>
          </w:p>
        </w:tc>
        <w:tc>
          <w:tcPr>
            <w:tcW w:w="1813" w:type="dxa"/>
            <w:tcBorders>
              <w:top w:val="single" w:sz="4" w:space="0" w:color="auto"/>
              <w:left w:val="nil"/>
              <w:bottom w:val="single" w:sz="4" w:space="0" w:color="auto"/>
              <w:right w:val="nil"/>
            </w:tcBorders>
            <w:noWrap/>
            <w:vAlign w:val="bottom"/>
            <w:hideMark/>
          </w:tcPr>
          <w:p w14:paraId="408A9D68" w14:textId="77777777" w:rsidR="00677577" w:rsidRPr="003358E0" w:rsidRDefault="00677577" w:rsidP="00F377C4">
            <w:pPr>
              <w:spacing w:after="0" w:line="240" w:lineRule="auto"/>
              <w:jc w:val="right"/>
              <w:rPr>
                <w:sz w:val="20"/>
                <w:szCs w:val="20"/>
              </w:rPr>
            </w:pPr>
            <w:r w:rsidRPr="003358E0">
              <w:rPr>
                <w:sz w:val="20"/>
                <w:szCs w:val="20"/>
              </w:rPr>
              <w:t>6.7%</w:t>
            </w:r>
          </w:p>
        </w:tc>
        <w:tc>
          <w:tcPr>
            <w:tcW w:w="1990" w:type="dxa"/>
            <w:tcBorders>
              <w:top w:val="single" w:sz="4" w:space="0" w:color="auto"/>
              <w:left w:val="nil"/>
              <w:bottom w:val="single" w:sz="4" w:space="0" w:color="auto"/>
              <w:right w:val="single" w:sz="4" w:space="0" w:color="auto"/>
            </w:tcBorders>
            <w:noWrap/>
            <w:vAlign w:val="bottom"/>
            <w:hideMark/>
          </w:tcPr>
          <w:p w14:paraId="20C5672A" w14:textId="77777777" w:rsidR="00677577" w:rsidRPr="003358E0" w:rsidRDefault="00677577" w:rsidP="00F377C4">
            <w:pPr>
              <w:spacing w:after="0" w:line="240" w:lineRule="auto"/>
              <w:jc w:val="right"/>
              <w:rPr>
                <w:sz w:val="20"/>
                <w:szCs w:val="20"/>
              </w:rPr>
            </w:pPr>
            <w:r w:rsidRPr="003358E0">
              <w:rPr>
                <w:sz w:val="20"/>
                <w:szCs w:val="20"/>
              </w:rPr>
              <w:t>10.9%</w:t>
            </w:r>
          </w:p>
        </w:tc>
      </w:tr>
    </w:tbl>
    <w:p w14:paraId="16784431" w14:textId="77777777" w:rsidR="00677577" w:rsidRPr="00167CB8" w:rsidRDefault="00677577" w:rsidP="00677577">
      <w:pPr>
        <w:pStyle w:val="Source"/>
      </w:pPr>
      <w:r w:rsidRPr="00167CB8">
        <w:rPr>
          <w:b/>
          <w:bCs/>
        </w:rPr>
        <w:t>Source:</w:t>
      </w:r>
      <w:r w:rsidRPr="00167CB8">
        <w:t xml:space="preserve"> ABS 6306.0 Employee Earnings and Hours, May 2023. Table 7. Sample: non-managerial employees employed full-time and paid at the adult rate.</w:t>
      </w:r>
    </w:p>
    <w:p w14:paraId="180FBC88" w14:textId="1D491FAA" w:rsidR="00677577" w:rsidRPr="00167CB8" w:rsidRDefault="00677577" w:rsidP="00677577">
      <w:r w:rsidRPr="00F377C4">
        <w:t xml:space="preserve">Table </w:t>
      </w:r>
      <w:r w:rsidR="006F17CA" w:rsidRPr="00F377C4">
        <w:t>5</w:t>
      </w:r>
      <w:r w:rsidR="006F17CA">
        <w:t>1</w:t>
      </w:r>
      <w:r w:rsidR="006F17CA" w:rsidRPr="007B334A">
        <w:t xml:space="preserve"> </w:t>
      </w:r>
      <w:r w:rsidRPr="007B334A">
        <w:t>shows the average hourly (total cash) earnings of non-managerial employees</w:t>
      </w:r>
      <w:r w:rsidRPr="00167CB8">
        <w:t xml:space="preserve"> employed full-time and paid the adult rate, disaggregated by sector and by employer size. In the public sector the average hourly rate for award only workers is $54.3; in the private sector it is $33.4. These differences do not account for compositional factors – for example, many professional workers are award-covered workers in the public sector. The table also shows the hourly rate by employer size. Large employers, on average, have higher hourly wages.</w:t>
      </w:r>
    </w:p>
    <w:p w14:paraId="2EC07F01" w14:textId="45D98617" w:rsidR="00677577" w:rsidRPr="00167CB8" w:rsidRDefault="00365C93" w:rsidP="007F380D">
      <w:pPr>
        <w:pStyle w:val="Caption"/>
      </w:pPr>
      <w:bookmarkStart w:id="931" w:name="_Ref184490931"/>
      <w:bookmarkStart w:id="932" w:name="_Toc186991824"/>
      <w:bookmarkStart w:id="933" w:name="_Toc189310875"/>
      <w:bookmarkStart w:id="934" w:name="_Toc194251475"/>
      <w:r>
        <w:t xml:space="preserve">Table </w:t>
      </w:r>
      <w:r>
        <w:fldChar w:fldCharType="begin"/>
      </w:r>
      <w:r>
        <w:instrText xml:space="preserve"> SEQ Table \* ARABIC </w:instrText>
      </w:r>
      <w:r>
        <w:fldChar w:fldCharType="separate"/>
      </w:r>
      <w:r w:rsidR="00DE5F5E">
        <w:rPr>
          <w:noProof/>
        </w:rPr>
        <w:t>51</w:t>
      </w:r>
      <w:r>
        <w:fldChar w:fldCharType="end"/>
      </w:r>
      <w:r>
        <w:t xml:space="preserve">: </w:t>
      </w:r>
      <w:bookmarkEnd w:id="931"/>
      <w:r w:rsidR="00677577" w:rsidRPr="00167CB8">
        <w:t>Average hourly (total cash) earnings by sector, employer size and method of pay setting, May 2023</w:t>
      </w:r>
      <w:bookmarkEnd w:id="932"/>
      <w:bookmarkEnd w:id="933"/>
      <w:bookmarkEnd w:id="934"/>
    </w:p>
    <w:tbl>
      <w:tblPr>
        <w:tblW w:w="909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53"/>
        <w:gridCol w:w="2673"/>
        <w:gridCol w:w="1507"/>
        <w:gridCol w:w="1657"/>
      </w:tblGrid>
      <w:tr w:rsidR="00677577" w:rsidRPr="00167CB8" w14:paraId="58D26E5C" w14:textId="77777777">
        <w:trPr>
          <w:trHeight w:val="633"/>
        </w:trPr>
        <w:tc>
          <w:tcPr>
            <w:tcW w:w="3253" w:type="dxa"/>
            <w:tcBorders>
              <w:top w:val="single" w:sz="4" w:space="0" w:color="auto"/>
              <w:left w:val="single" w:sz="4" w:space="0" w:color="auto"/>
              <w:bottom w:val="single" w:sz="4" w:space="0" w:color="auto"/>
              <w:right w:val="nil"/>
            </w:tcBorders>
            <w:noWrap/>
            <w:vAlign w:val="bottom"/>
            <w:hideMark/>
          </w:tcPr>
          <w:p w14:paraId="29D51BC9" w14:textId="77777777" w:rsidR="00677577" w:rsidRPr="00167CB8" w:rsidRDefault="00677577">
            <w:pPr>
              <w:rPr>
                <w:b/>
                <w:bCs/>
              </w:rPr>
            </w:pPr>
          </w:p>
        </w:tc>
        <w:tc>
          <w:tcPr>
            <w:tcW w:w="2673" w:type="dxa"/>
            <w:tcBorders>
              <w:top w:val="single" w:sz="4" w:space="0" w:color="auto"/>
              <w:left w:val="nil"/>
              <w:bottom w:val="single" w:sz="4" w:space="0" w:color="auto"/>
              <w:right w:val="nil"/>
            </w:tcBorders>
            <w:vAlign w:val="bottom"/>
            <w:hideMark/>
          </w:tcPr>
          <w:p w14:paraId="6F97C05D" w14:textId="77777777" w:rsidR="00677577" w:rsidRPr="00167CB8" w:rsidRDefault="00677577" w:rsidP="005C58E0">
            <w:pPr>
              <w:jc w:val="right"/>
              <w:rPr>
                <w:b/>
                <w:bCs/>
              </w:rPr>
            </w:pPr>
            <w:r w:rsidRPr="00167CB8">
              <w:rPr>
                <w:b/>
                <w:bCs/>
              </w:rPr>
              <w:t>Award only</w:t>
            </w:r>
          </w:p>
        </w:tc>
        <w:tc>
          <w:tcPr>
            <w:tcW w:w="1507" w:type="dxa"/>
            <w:tcBorders>
              <w:top w:val="single" w:sz="4" w:space="0" w:color="auto"/>
              <w:left w:val="nil"/>
              <w:bottom w:val="single" w:sz="4" w:space="0" w:color="auto"/>
              <w:right w:val="nil"/>
            </w:tcBorders>
            <w:vAlign w:val="bottom"/>
            <w:hideMark/>
          </w:tcPr>
          <w:p w14:paraId="2BBBA187" w14:textId="77777777" w:rsidR="00677577" w:rsidRPr="00167CB8" w:rsidRDefault="00677577" w:rsidP="005C58E0">
            <w:pPr>
              <w:jc w:val="right"/>
              <w:rPr>
                <w:b/>
                <w:bCs/>
              </w:rPr>
            </w:pPr>
            <w:r w:rsidRPr="00167CB8">
              <w:rPr>
                <w:b/>
                <w:bCs/>
              </w:rPr>
              <w:t>Collective agreement</w:t>
            </w:r>
          </w:p>
        </w:tc>
        <w:tc>
          <w:tcPr>
            <w:tcW w:w="1657" w:type="dxa"/>
            <w:tcBorders>
              <w:top w:val="single" w:sz="4" w:space="0" w:color="auto"/>
              <w:left w:val="nil"/>
              <w:bottom w:val="single" w:sz="4" w:space="0" w:color="auto"/>
              <w:right w:val="single" w:sz="4" w:space="0" w:color="auto"/>
            </w:tcBorders>
            <w:vAlign w:val="bottom"/>
            <w:hideMark/>
          </w:tcPr>
          <w:p w14:paraId="583087B1" w14:textId="77777777" w:rsidR="00677577" w:rsidRPr="00167CB8" w:rsidRDefault="00677577" w:rsidP="005C58E0">
            <w:pPr>
              <w:jc w:val="right"/>
              <w:rPr>
                <w:b/>
                <w:bCs/>
              </w:rPr>
            </w:pPr>
            <w:r w:rsidRPr="00167CB8">
              <w:rPr>
                <w:b/>
                <w:bCs/>
              </w:rPr>
              <w:t>Individual arrangement</w:t>
            </w:r>
          </w:p>
        </w:tc>
      </w:tr>
      <w:tr w:rsidR="00677577" w:rsidRPr="00167CB8" w14:paraId="3E7CD250" w14:textId="77777777">
        <w:trPr>
          <w:trHeight w:val="340"/>
        </w:trPr>
        <w:tc>
          <w:tcPr>
            <w:tcW w:w="3253" w:type="dxa"/>
            <w:tcBorders>
              <w:top w:val="single" w:sz="4" w:space="0" w:color="auto"/>
              <w:left w:val="single" w:sz="4" w:space="0" w:color="auto"/>
              <w:bottom w:val="nil"/>
              <w:right w:val="nil"/>
            </w:tcBorders>
            <w:noWrap/>
            <w:vAlign w:val="bottom"/>
            <w:hideMark/>
          </w:tcPr>
          <w:p w14:paraId="1BE0B031" w14:textId="77777777" w:rsidR="00677577" w:rsidRPr="00364020" w:rsidRDefault="00677577">
            <w:pPr>
              <w:spacing w:after="0" w:line="240" w:lineRule="auto"/>
              <w:rPr>
                <w:b/>
                <w:bCs/>
                <w:sz w:val="20"/>
                <w:szCs w:val="20"/>
              </w:rPr>
            </w:pPr>
            <w:r w:rsidRPr="00364020">
              <w:rPr>
                <w:b/>
                <w:bCs/>
                <w:sz w:val="20"/>
                <w:szCs w:val="20"/>
              </w:rPr>
              <w:t>Sector</w:t>
            </w:r>
          </w:p>
        </w:tc>
        <w:tc>
          <w:tcPr>
            <w:tcW w:w="2673" w:type="dxa"/>
            <w:tcBorders>
              <w:top w:val="single" w:sz="4" w:space="0" w:color="auto"/>
              <w:left w:val="nil"/>
              <w:bottom w:val="nil"/>
              <w:right w:val="nil"/>
            </w:tcBorders>
            <w:vAlign w:val="bottom"/>
            <w:hideMark/>
          </w:tcPr>
          <w:p w14:paraId="15D40971" w14:textId="77777777" w:rsidR="00677577" w:rsidRPr="00364020" w:rsidRDefault="00677577" w:rsidP="005C58E0">
            <w:pPr>
              <w:spacing w:after="0" w:line="240" w:lineRule="auto"/>
              <w:jc w:val="right"/>
              <w:rPr>
                <w:b/>
                <w:bCs/>
                <w:sz w:val="20"/>
                <w:szCs w:val="20"/>
              </w:rPr>
            </w:pPr>
          </w:p>
        </w:tc>
        <w:tc>
          <w:tcPr>
            <w:tcW w:w="1507" w:type="dxa"/>
            <w:tcBorders>
              <w:top w:val="single" w:sz="4" w:space="0" w:color="auto"/>
              <w:left w:val="nil"/>
              <w:bottom w:val="nil"/>
              <w:right w:val="nil"/>
            </w:tcBorders>
            <w:vAlign w:val="bottom"/>
            <w:hideMark/>
          </w:tcPr>
          <w:p w14:paraId="027AEC07" w14:textId="77777777" w:rsidR="00677577" w:rsidRPr="00364020" w:rsidRDefault="00677577" w:rsidP="005C58E0">
            <w:pPr>
              <w:spacing w:after="0" w:line="240" w:lineRule="auto"/>
              <w:jc w:val="right"/>
              <w:rPr>
                <w:sz w:val="20"/>
                <w:szCs w:val="20"/>
              </w:rPr>
            </w:pPr>
          </w:p>
        </w:tc>
        <w:tc>
          <w:tcPr>
            <w:tcW w:w="1657" w:type="dxa"/>
            <w:tcBorders>
              <w:top w:val="single" w:sz="4" w:space="0" w:color="auto"/>
              <w:left w:val="nil"/>
              <w:bottom w:val="nil"/>
              <w:right w:val="single" w:sz="4" w:space="0" w:color="auto"/>
            </w:tcBorders>
            <w:vAlign w:val="bottom"/>
            <w:hideMark/>
          </w:tcPr>
          <w:p w14:paraId="40BD6FF5" w14:textId="77777777" w:rsidR="00677577" w:rsidRPr="00364020" w:rsidRDefault="00677577" w:rsidP="005C58E0">
            <w:pPr>
              <w:spacing w:after="0" w:line="240" w:lineRule="auto"/>
              <w:jc w:val="right"/>
              <w:rPr>
                <w:sz w:val="20"/>
                <w:szCs w:val="20"/>
              </w:rPr>
            </w:pPr>
          </w:p>
        </w:tc>
      </w:tr>
      <w:tr w:rsidR="00677577" w:rsidRPr="00167CB8" w14:paraId="6886A225" w14:textId="77777777">
        <w:trPr>
          <w:trHeight w:val="340"/>
        </w:trPr>
        <w:tc>
          <w:tcPr>
            <w:tcW w:w="3253" w:type="dxa"/>
            <w:tcBorders>
              <w:top w:val="nil"/>
              <w:left w:val="single" w:sz="4" w:space="0" w:color="auto"/>
              <w:bottom w:val="nil"/>
              <w:right w:val="nil"/>
            </w:tcBorders>
            <w:noWrap/>
            <w:vAlign w:val="bottom"/>
            <w:hideMark/>
          </w:tcPr>
          <w:p w14:paraId="559D1C68" w14:textId="239E3FB4" w:rsidR="00677577" w:rsidRPr="00364020" w:rsidRDefault="00677577">
            <w:pPr>
              <w:spacing w:after="0" w:line="240" w:lineRule="auto"/>
              <w:rPr>
                <w:sz w:val="20"/>
                <w:szCs w:val="20"/>
              </w:rPr>
            </w:pPr>
            <w:r w:rsidRPr="00364020">
              <w:rPr>
                <w:sz w:val="20"/>
                <w:szCs w:val="20"/>
              </w:rPr>
              <w:t>Private sector</w:t>
            </w:r>
          </w:p>
        </w:tc>
        <w:tc>
          <w:tcPr>
            <w:tcW w:w="2673" w:type="dxa"/>
            <w:tcBorders>
              <w:top w:val="nil"/>
              <w:left w:val="nil"/>
              <w:bottom w:val="nil"/>
              <w:right w:val="nil"/>
            </w:tcBorders>
            <w:noWrap/>
            <w:vAlign w:val="bottom"/>
            <w:hideMark/>
          </w:tcPr>
          <w:p w14:paraId="0757975A" w14:textId="77777777" w:rsidR="00677577" w:rsidRPr="00364020" w:rsidRDefault="00677577" w:rsidP="005C58E0">
            <w:pPr>
              <w:spacing w:after="0" w:line="240" w:lineRule="auto"/>
              <w:jc w:val="right"/>
              <w:rPr>
                <w:sz w:val="20"/>
                <w:szCs w:val="20"/>
              </w:rPr>
            </w:pPr>
            <w:r w:rsidRPr="00364020">
              <w:rPr>
                <w:sz w:val="20"/>
                <w:szCs w:val="20"/>
              </w:rPr>
              <w:t>$33.4</w:t>
            </w:r>
          </w:p>
        </w:tc>
        <w:tc>
          <w:tcPr>
            <w:tcW w:w="1507" w:type="dxa"/>
            <w:tcBorders>
              <w:top w:val="nil"/>
              <w:left w:val="nil"/>
              <w:bottom w:val="nil"/>
              <w:right w:val="nil"/>
            </w:tcBorders>
            <w:noWrap/>
            <w:vAlign w:val="bottom"/>
            <w:hideMark/>
          </w:tcPr>
          <w:p w14:paraId="46561BCE" w14:textId="77777777" w:rsidR="00677577" w:rsidRPr="00364020" w:rsidRDefault="00677577" w:rsidP="005C58E0">
            <w:pPr>
              <w:spacing w:after="0" w:line="240" w:lineRule="auto"/>
              <w:jc w:val="right"/>
              <w:rPr>
                <w:sz w:val="20"/>
                <w:szCs w:val="20"/>
              </w:rPr>
            </w:pPr>
            <w:r w:rsidRPr="00364020">
              <w:rPr>
                <w:sz w:val="20"/>
                <w:szCs w:val="20"/>
              </w:rPr>
              <w:t>$49.1</w:t>
            </w:r>
          </w:p>
        </w:tc>
        <w:tc>
          <w:tcPr>
            <w:tcW w:w="1657" w:type="dxa"/>
            <w:tcBorders>
              <w:top w:val="nil"/>
              <w:left w:val="nil"/>
              <w:bottom w:val="nil"/>
              <w:right w:val="single" w:sz="4" w:space="0" w:color="auto"/>
            </w:tcBorders>
            <w:noWrap/>
            <w:vAlign w:val="bottom"/>
            <w:hideMark/>
          </w:tcPr>
          <w:p w14:paraId="70758BF1" w14:textId="77777777" w:rsidR="00677577" w:rsidRPr="00364020" w:rsidRDefault="00677577" w:rsidP="005C58E0">
            <w:pPr>
              <w:spacing w:after="0" w:line="240" w:lineRule="auto"/>
              <w:jc w:val="right"/>
              <w:rPr>
                <w:sz w:val="20"/>
                <w:szCs w:val="20"/>
              </w:rPr>
            </w:pPr>
            <w:r w:rsidRPr="00364020">
              <w:rPr>
                <w:sz w:val="20"/>
                <w:szCs w:val="20"/>
              </w:rPr>
              <w:t>$49.1</w:t>
            </w:r>
          </w:p>
        </w:tc>
      </w:tr>
      <w:tr w:rsidR="00677577" w:rsidRPr="00167CB8" w14:paraId="6CAA7850" w14:textId="77777777">
        <w:trPr>
          <w:trHeight w:val="340"/>
        </w:trPr>
        <w:tc>
          <w:tcPr>
            <w:tcW w:w="3253" w:type="dxa"/>
            <w:tcBorders>
              <w:top w:val="nil"/>
              <w:left w:val="single" w:sz="4" w:space="0" w:color="auto"/>
              <w:bottom w:val="nil"/>
              <w:right w:val="nil"/>
            </w:tcBorders>
            <w:noWrap/>
            <w:vAlign w:val="bottom"/>
            <w:hideMark/>
          </w:tcPr>
          <w:p w14:paraId="1007608D" w14:textId="55DEDEAA" w:rsidR="00677577" w:rsidRPr="00364020" w:rsidRDefault="00677577">
            <w:pPr>
              <w:spacing w:after="0" w:line="240" w:lineRule="auto"/>
              <w:rPr>
                <w:sz w:val="20"/>
                <w:szCs w:val="20"/>
              </w:rPr>
            </w:pPr>
            <w:r w:rsidRPr="00364020">
              <w:rPr>
                <w:sz w:val="20"/>
                <w:szCs w:val="20"/>
              </w:rPr>
              <w:t>Public sector</w:t>
            </w:r>
          </w:p>
        </w:tc>
        <w:tc>
          <w:tcPr>
            <w:tcW w:w="2673" w:type="dxa"/>
            <w:tcBorders>
              <w:top w:val="nil"/>
              <w:left w:val="nil"/>
              <w:bottom w:val="nil"/>
              <w:right w:val="nil"/>
            </w:tcBorders>
            <w:noWrap/>
            <w:vAlign w:val="bottom"/>
            <w:hideMark/>
          </w:tcPr>
          <w:p w14:paraId="060FC569" w14:textId="77777777" w:rsidR="00677577" w:rsidRPr="00364020" w:rsidRDefault="00677577" w:rsidP="005C58E0">
            <w:pPr>
              <w:spacing w:after="0" w:line="240" w:lineRule="auto"/>
              <w:jc w:val="right"/>
              <w:rPr>
                <w:sz w:val="20"/>
                <w:szCs w:val="20"/>
              </w:rPr>
            </w:pPr>
            <w:r w:rsidRPr="00364020">
              <w:rPr>
                <w:sz w:val="20"/>
                <w:szCs w:val="20"/>
              </w:rPr>
              <w:t>$54.3</w:t>
            </w:r>
          </w:p>
        </w:tc>
        <w:tc>
          <w:tcPr>
            <w:tcW w:w="1507" w:type="dxa"/>
            <w:tcBorders>
              <w:top w:val="nil"/>
              <w:left w:val="nil"/>
              <w:bottom w:val="nil"/>
              <w:right w:val="nil"/>
            </w:tcBorders>
            <w:noWrap/>
            <w:vAlign w:val="bottom"/>
            <w:hideMark/>
          </w:tcPr>
          <w:p w14:paraId="26150BDD" w14:textId="77777777" w:rsidR="00677577" w:rsidRPr="00364020" w:rsidRDefault="00677577" w:rsidP="005C58E0">
            <w:pPr>
              <w:spacing w:after="0" w:line="240" w:lineRule="auto"/>
              <w:jc w:val="right"/>
              <w:rPr>
                <w:sz w:val="20"/>
                <w:szCs w:val="20"/>
              </w:rPr>
            </w:pPr>
            <w:r w:rsidRPr="00364020">
              <w:rPr>
                <w:sz w:val="20"/>
                <w:szCs w:val="20"/>
              </w:rPr>
              <w:t>$55.0</w:t>
            </w:r>
          </w:p>
        </w:tc>
        <w:tc>
          <w:tcPr>
            <w:tcW w:w="1657" w:type="dxa"/>
            <w:tcBorders>
              <w:top w:val="nil"/>
              <w:left w:val="nil"/>
              <w:bottom w:val="nil"/>
              <w:right w:val="single" w:sz="4" w:space="0" w:color="auto"/>
            </w:tcBorders>
            <w:noWrap/>
            <w:vAlign w:val="bottom"/>
            <w:hideMark/>
          </w:tcPr>
          <w:p w14:paraId="1074D20A" w14:textId="77777777" w:rsidR="00677577" w:rsidRPr="00364020" w:rsidRDefault="00677577" w:rsidP="005C58E0">
            <w:pPr>
              <w:spacing w:after="0" w:line="240" w:lineRule="auto"/>
              <w:jc w:val="right"/>
              <w:rPr>
                <w:sz w:val="20"/>
                <w:szCs w:val="20"/>
              </w:rPr>
            </w:pPr>
            <w:r w:rsidRPr="00364020">
              <w:rPr>
                <w:sz w:val="20"/>
                <w:szCs w:val="20"/>
              </w:rPr>
              <w:t>$68.6</w:t>
            </w:r>
          </w:p>
        </w:tc>
      </w:tr>
      <w:tr w:rsidR="00677577" w:rsidRPr="00167CB8" w14:paraId="3D223E52" w14:textId="77777777">
        <w:trPr>
          <w:trHeight w:val="340"/>
        </w:trPr>
        <w:tc>
          <w:tcPr>
            <w:tcW w:w="3253" w:type="dxa"/>
            <w:tcBorders>
              <w:top w:val="nil"/>
              <w:left w:val="single" w:sz="4" w:space="0" w:color="auto"/>
              <w:bottom w:val="nil"/>
              <w:right w:val="nil"/>
            </w:tcBorders>
            <w:noWrap/>
            <w:vAlign w:val="bottom"/>
            <w:hideMark/>
          </w:tcPr>
          <w:p w14:paraId="62D6751E" w14:textId="32EFB445" w:rsidR="00677577" w:rsidRPr="00364020" w:rsidRDefault="00677577">
            <w:pPr>
              <w:spacing w:after="0" w:line="240" w:lineRule="auto"/>
              <w:rPr>
                <w:sz w:val="20"/>
                <w:szCs w:val="20"/>
              </w:rPr>
            </w:pPr>
            <w:r w:rsidRPr="00364020">
              <w:rPr>
                <w:sz w:val="20"/>
                <w:szCs w:val="20"/>
              </w:rPr>
              <w:t>All sectors</w:t>
            </w:r>
          </w:p>
        </w:tc>
        <w:tc>
          <w:tcPr>
            <w:tcW w:w="2673" w:type="dxa"/>
            <w:tcBorders>
              <w:top w:val="nil"/>
              <w:left w:val="nil"/>
              <w:bottom w:val="nil"/>
              <w:right w:val="nil"/>
            </w:tcBorders>
            <w:noWrap/>
            <w:vAlign w:val="bottom"/>
            <w:hideMark/>
          </w:tcPr>
          <w:p w14:paraId="5857FB01" w14:textId="77777777" w:rsidR="00677577" w:rsidRPr="00364020" w:rsidRDefault="00677577" w:rsidP="005C58E0">
            <w:pPr>
              <w:spacing w:after="0" w:line="240" w:lineRule="auto"/>
              <w:jc w:val="right"/>
              <w:rPr>
                <w:sz w:val="20"/>
                <w:szCs w:val="20"/>
              </w:rPr>
            </w:pPr>
            <w:r w:rsidRPr="00364020">
              <w:rPr>
                <w:sz w:val="20"/>
                <w:szCs w:val="20"/>
              </w:rPr>
              <w:t>$37.7</w:t>
            </w:r>
          </w:p>
        </w:tc>
        <w:tc>
          <w:tcPr>
            <w:tcW w:w="1507" w:type="dxa"/>
            <w:tcBorders>
              <w:top w:val="nil"/>
              <w:left w:val="nil"/>
              <w:bottom w:val="nil"/>
              <w:right w:val="nil"/>
            </w:tcBorders>
            <w:noWrap/>
            <w:vAlign w:val="bottom"/>
            <w:hideMark/>
          </w:tcPr>
          <w:p w14:paraId="42453FE9" w14:textId="77777777" w:rsidR="00677577" w:rsidRPr="00364020" w:rsidRDefault="00677577" w:rsidP="005C58E0">
            <w:pPr>
              <w:spacing w:after="0" w:line="240" w:lineRule="auto"/>
              <w:jc w:val="right"/>
              <w:rPr>
                <w:sz w:val="20"/>
                <w:szCs w:val="20"/>
              </w:rPr>
            </w:pPr>
            <w:r w:rsidRPr="00364020">
              <w:rPr>
                <w:sz w:val="20"/>
                <w:szCs w:val="20"/>
              </w:rPr>
              <w:t>$51.9</w:t>
            </w:r>
          </w:p>
        </w:tc>
        <w:tc>
          <w:tcPr>
            <w:tcW w:w="1657" w:type="dxa"/>
            <w:tcBorders>
              <w:top w:val="nil"/>
              <w:left w:val="nil"/>
              <w:bottom w:val="nil"/>
              <w:right w:val="single" w:sz="4" w:space="0" w:color="auto"/>
            </w:tcBorders>
            <w:noWrap/>
            <w:vAlign w:val="bottom"/>
            <w:hideMark/>
          </w:tcPr>
          <w:p w14:paraId="75B1B2B8" w14:textId="77777777" w:rsidR="00677577" w:rsidRPr="00364020" w:rsidRDefault="00677577" w:rsidP="005C58E0">
            <w:pPr>
              <w:spacing w:after="0" w:line="240" w:lineRule="auto"/>
              <w:jc w:val="right"/>
              <w:rPr>
                <w:sz w:val="20"/>
                <w:szCs w:val="20"/>
              </w:rPr>
            </w:pPr>
            <w:r w:rsidRPr="00364020">
              <w:rPr>
                <w:sz w:val="20"/>
                <w:szCs w:val="20"/>
              </w:rPr>
              <w:t>$49.4</w:t>
            </w:r>
          </w:p>
        </w:tc>
      </w:tr>
      <w:tr w:rsidR="00677577" w:rsidRPr="00167CB8" w14:paraId="73D5BA85" w14:textId="77777777">
        <w:trPr>
          <w:trHeight w:val="340"/>
        </w:trPr>
        <w:tc>
          <w:tcPr>
            <w:tcW w:w="3253" w:type="dxa"/>
            <w:tcBorders>
              <w:top w:val="nil"/>
              <w:left w:val="single" w:sz="4" w:space="0" w:color="auto"/>
              <w:bottom w:val="nil"/>
              <w:right w:val="nil"/>
            </w:tcBorders>
            <w:noWrap/>
            <w:vAlign w:val="bottom"/>
            <w:hideMark/>
          </w:tcPr>
          <w:p w14:paraId="65BDA4D5" w14:textId="77777777" w:rsidR="00677577" w:rsidRPr="00364020" w:rsidRDefault="00677577">
            <w:pPr>
              <w:spacing w:after="0" w:line="240" w:lineRule="auto"/>
              <w:rPr>
                <w:b/>
                <w:bCs/>
                <w:sz w:val="20"/>
                <w:szCs w:val="20"/>
              </w:rPr>
            </w:pPr>
            <w:r w:rsidRPr="00364020">
              <w:rPr>
                <w:b/>
                <w:bCs/>
                <w:sz w:val="20"/>
                <w:szCs w:val="20"/>
              </w:rPr>
              <w:t>Employer size</w:t>
            </w:r>
          </w:p>
        </w:tc>
        <w:tc>
          <w:tcPr>
            <w:tcW w:w="2673" w:type="dxa"/>
            <w:tcBorders>
              <w:top w:val="nil"/>
              <w:left w:val="nil"/>
              <w:bottom w:val="nil"/>
              <w:right w:val="nil"/>
            </w:tcBorders>
            <w:noWrap/>
            <w:vAlign w:val="bottom"/>
            <w:hideMark/>
          </w:tcPr>
          <w:p w14:paraId="37695F70" w14:textId="77777777" w:rsidR="00677577" w:rsidRPr="00364020" w:rsidRDefault="00677577" w:rsidP="005C58E0">
            <w:pPr>
              <w:spacing w:after="0" w:line="240" w:lineRule="auto"/>
              <w:jc w:val="right"/>
              <w:rPr>
                <w:b/>
                <w:bCs/>
                <w:sz w:val="20"/>
                <w:szCs w:val="20"/>
              </w:rPr>
            </w:pPr>
          </w:p>
        </w:tc>
        <w:tc>
          <w:tcPr>
            <w:tcW w:w="1507" w:type="dxa"/>
            <w:tcBorders>
              <w:top w:val="nil"/>
              <w:left w:val="nil"/>
              <w:bottom w:val="nil"/>
              <w:right w:val="nil"/>
            </w:tcBorders>
            <w:noWrap/>
            <w:vAlign w:val="bottom"/>
            <w:hideMark/>
          </w:tcPr>
          <w:p w14:paraId="607F2048" w14:textId="77777777" w:rsidR="00677577" w:rsidRPr="00364020" w:rsidRDefault="00677577" w:rsidP="005C58E0">
            <w:pPr>
              <w:spacing w:after="0" w:line="240" w:lineRule="auto"/>
              <w:jc w:val="right"/>
              <w:rPr>
                <w:sz w:val="20"/>
                <w:szCs w:val="20"/>
              </w:rPr>
            </w:pPr>
          </w:p>
        </w:tc>
        <w:tc>
          <w:tcPr>
            <w:tcW w:w="1657" w:type="dxa"/>
            <w:tcBorders>
              <w:top w:val="nil"/>
              <w:left w:val="nil"/>
              <w:bottom w:val="nil"/>
              <w:right w:val="single" w:sz="4" w:space="0" w:color="auto"/>
            </w:tcBorders>
            <w:noWrap/>
            <w:vAlign w:val="bottom"/>
            <w:hideMark/>
          </w:tcPr>
          <w:p w14:paraId="080646C5" w14:textId="77777777" w:rsidR="00677577" w:rsidRPr="00364020" w:rsidRDefault="00677577" w:rsidP="005C58E0">
            <w:pPr>
              <w:spacing w:after="0" w:line="240" w:lineRule="auto"/>
              <w:jc w:val="right"/>
              <w:rPr>
                <w:sz w:val="20"/>
                <w:szCs w:val="20"/>
              </w:rPr>
            </w:pPr>
          </w:p>
        </w:tc>
      </w:tr>
      <w:tr w:rsidR="00677577" w:rsidRPr="00167CB8" w14:paraId="63C24244" w14:textId="77777777">
        <w:trPr>
          <w:trHeight w:val="340"/>
        </w:trPr>
        <w:tc>
          <w:tcPr>
            <w:tcW w:w="3253" w:type="dxa"/>
            <w:tcBorders>
              <w:top w:val="nil"/>
              <w:left w:val="single" w:sz="4" w:space="0" w:color="auto"/>
              <w:bottom w:val="nil"/>
              <w:right w:val="nil"/>
            </w:tcBorders>
            <w:noWrap/>
            <w:vAlign w:val="bottom"/>
            <w:hideMark/>
          </w:tcPr>
          <w:p w14:paraId="6961810B" w14:textId="1EF9125C" w:rsidR="00677577" w:rsidRPr="00364020" w:rsidRDefault="00677577">
            <w:pPr>
              <w:spacing w:after="0" w:line="240" w:lineRule="auto"/>
              <w:rPr>
                <w:sz w:val="20"/>
                <w:szCs w:val="20"/>
              </w:rPr>
            </w:pPr>
            <w:r w:rsidRPr="00364020">
              <w:rPr>
                <w:sz w:val="20"/>
                <w:szCs w:val="20"/>
              </w:rPr>
              <w:t>Under 20 employees</w:t>
            </w:r>
          </w:p>
        </w:tc>
        <w:tc>
          <w:tcPr>
            <w:tcW w:w="2673" w:type="dxa"/>
            <w:tcBorders>
              <w:top w:val="nil"/>
              <w:left w:val="nil"/>
              <w:bottom w:val="nil"/>
              <w:right w:val="nil"/>
            </w:tcBorders>
            <w:noWrap/>
            <w:vAlign w:val="bottom"/>
            <w:hideMark/>
          </w:tcPr>
          <w:p w14:paraId="5CA05F3B" w14:textId="77777777" w:rsidR="00677577" w:rsidRPr="00364020" w:rsidRDefault="00677577" w:rsidP="005C58E0">
            <w:pPr>
              <w:spacing w:after="0" w:line="240" w:lineRule="auto"/>
              <w:jc w:val="right"/>
              <w:rPr>
                <w:sz w:val="20"/>
                <w:szCs w:val="20"/>
              </w:rPr>
            </w:pPr>
            <w:r w:rsidRPr="00364020">
              <w:rPr>
                <w:sz w:val="20"/>
                <w:szCs w:val="20"/>
              </w:rPr>
              <w:t>$31.4</w:t>
            </w:r>
          </w:p>
        </w:tc>
        <w:tc>
          <w:tcPr>
            <w:tcW w:w="1507" w:type="dxa"/>
            <w:tcBorders>
              <w:top w:val="nil"/>
              <w:left w:val="nil"/>
              <w:bottom w:val="nil"/>
              <w:right w:val="nil"/>
            </w:tcBorders>
            <w:noWrap/>
            <w:vAlign w:val="bottom"/>
            <w:hideMark/>
          </w:tcPr>
          <w:p w14:paraId="0F724B47" w14:textId="77777777" w:rsidR="00677577" w:rsidRPr="00364020" w:rsidRDefault="00677577" w:rsidP="005C58E0">
            <w:pPr>
              <w:spacing w:after="0" w:line="240" w:lineRule="auto"/>
              <w:jc w:val="right"/>
              <w:rPr>
                <w:sz w:val="20"/>
                <w:szCs w:val="20"/>
              </w:rPr>
            </w:pPr>
            <w:r w:rsidRPr="00364020">
              <w:rPr>
                <w:sz w:val="20"/>
                <w:szCs w:val="20"/>
              </w:rPr>
              <w:t>$54.0</w:t>
            </w:r>
          </w:p>
        </w:tc>
        <w:tc>
          <w:tcPr>
            <w:tcW w:w="1657" w:type="dxa"/>
            <w:tcBorders>
              <w:top w:val="nil"/>
              <w:left w:val="nil"/>
              <w:bottom w:val="nil"/>
              <w:right w:val="single" w:sz="4" w:space="0" w:color="auto"/>
            </w:tcBorders>
            <w:noWrap/>
            <w:vAlign w:val="bottom"/>
            <w:hideMark/>
          </w:tcPr>
          <w:p w14:paraId="2EBEAB66" w14:textId="77777777" w:rsidR="00677577" w:rsidRPr="00364020" w:rsidRDefault="00677577" w:rsidP="005C58E0">
            <w:pPr>
              <w:spacing w:after="0" w:line="240" w:lineRule="auto"/>
              <w:jc w:val="right"/>
              <w:rPr>
                <w:sz w:val="20"/>
                <w:szCs w:val="20"/>
              </w:rPr>
            </w:pPr>
            <w:r w:rsidRPr="00364020">
              <w:rPr>
                <w:sz w:val="20"/>
                <w:szCs w:val="20"/>
              </w:rPr>
              <w:t>$41.2</w:t>
            </w:r>
          </w:p>
        </w:tc>
      </w:tr>
      <w:tr w:rsidR="00677577" w:rsidRPr="00167CB8" w14:paraId="393C708B" w14:textId="77777777">
        <w:trPr>
          <w:trHeight w:val="340"/>
        </w:trPr>
        <w:tc>
          <w:tcPr>
            <w:tcW w:w="3253" w:type="dxa"/>
            <w:tcBorders>
              <w:top w:val="nil"/>
              <w:left w:val="single" w:sz="4" w:space="0" w:color="auto"/>
              <w:bottom w:val="nil"/>
              <w:right w:val="nil"/>
            </w:tcBorders>
            <w:noWrap/>
            <w:vAlign w:val="bottom"/>
            <w:hideMark/>
          </w:tcPr>
          <w:p w14:paraId="2E751F38" w14:textId="1C1AD8BF" w:rsidR="00677577" w:rsidRPr="00364020" w:rsidRDefault="00677577">
            <w:pPr>
              <w:spacing w:after="0" w:line="240" w:lineRule="auto"/>
              <w:rPr>
                <w:sz w:val="20"/>
                <w:szCs w:val="20"/>
              </w:rPr>
            </w:pPr>
            <w:r w:rsidRPr="00364020">
              <w:rPr>
                <w:sz w:val="20"/>
                <w:szCs w:val="20"/>
              </w:rPr>
              <w:t>20</w:t>
            </w:r>
            <w:r w:rsidRPr="00364020">
              <w:rPr>
                <w:rFonts w:ascii="Symbol" w:eastAsia="Symbol" w:hAnsi="Symbol" w:cs="Symbol"/>
                <w:sz w:val="20"/>
                <w:szCs w:val="20"/>
              </w:rPr>
              <w:sym w:font="Symbol" w:char="F02D"/>
            </w:r>
            <w:r w:rsidRPr="00364020">
              <w:rPr>
                <w:sz w:val="20"/>
                <w:szCs w:val="20"/>
              </w:rPr>
              <w:t>49 employees</w:t>
            </w:r>
          </w:p>
        </w:tc>
        <w:tc>
          <w:tcPr>
            <w:tcW w:w="2673" w:type="dxa"/>
            <w:tcBorders>
              <w:top w:val="nil"/>
              <w:left w:val="nil"/>
              <w:bottom w:val="nil"/>
              <w:right w:val="nil"/>
            </w:tcBorders>
            <w:noWrap/>
            <w:vAlign w:val="bottom"/>
            <w:hideMark/>
          </w:tcPr>
          <w:p w14:paraId="5E3B6C20" w14:textId="77777777" w:rsidR="00677577" w:rsidRPr="00364020" w:rsidRDefault="00677577" w:rsidP="005C58E0">
            <w:pPr>
              <w:spacing w:after="0" w:line="240" w:lineRule="auto"/>
              <w:jc w:val="right"/>
              <w:rPr>
                <w:sz w:val="20"/>
                <w:szCs w:val="20"/>
              </w:rPr>
            </w:pPr>
            <w:r w:rsidRPr="00364020">
              <w:rPr>
                <w:sz w:val="20"/>
                <w:szCs w:val="20"/>
              </w:rPr>
              <w:t>$33.5</w:t>
            </w:r>
          </w:p>
        </w:tc>
        <w:tc>
          <w:tcPr>
            <w:tcW w:w="1507" w:type="dxa"/>
            <w:tcBorders>
              <w:top w:val="nil"/>
              <w:left w:val="nil"/>
              <w:bottom w:val="nil"/>
              <w:right w:val="nil"/>
            </w:tcBorders>
            <w:noWrap/>
            <w:vAlign w:val="bottom"/>
            <w:hideMark/>
          </w:tcPr>
          <w:p w14:paraId="28AFFE17" w14:textId="77777777" w:rsidR="00677577" w:rsidRPr="00364020" w:rsidRDefault="00677577" w:rsidP="005C58E0">
            <w:pPr>
              <w:spacing w:after="0" w:line="240" w:lineRule="auto"/>
              <w:jc w:val="right"/>
              <w:rPr>
                <w:sz w:val="20"/>
                <w:szCs w:val="20"/>
              </w:rPr>
            </w:pPr>
            <w:r w:rsidRPr="00364020">
              <w:rPr>
                <w:sz w:val="20"/>
                <w:szCs w:val="20"/>
              </w:rPr>
              <w:t>$47.9</w:t>
            </w:r>
          </w:p>
        </w:tc>
        <w:tc>
          <w:tcPr>
            <w:tcW w:w="1657" w:type="dxa"/>
            <w:tcBorders>
              <w:top w:val="nil"/>
              <w:left w:val="nil"/>
              <w:bottom w:val="nil"/>
              <w:right w:val="single" w:sz="4" w:space="0" w:color="auto"/>
            </w:tcBorders>
            <w:noWrap/>
            <w:vAlign w:val="bottom"/>
            <w:hideMark/>
          </w:tcPr>
          <w:p w14:paraId="02B37281" w14:textId="77777777" w:rsidR="00677577" w:rsidRPr="00364020" w:rsidRDefault="00677577" w:rsidP="005C58E0">
            <w:pPr>
              <w:spacing w:after="0" w:line="240" w:lineRule="auto"/>
              <w:jc w:val="right"/>
              <w:rPr>
                <w:sz w:val="20"/>
                <w:szCs w:val="20"/>
              </w:rPr>
            </w:pPr>
            <w:r w:rsidRPr="00364020">
              <w:rPr>
                <w:sz w:val="20"/>
                <w:szCs w:val="20"/>
              </w:rPr>
              <w:t>$44.1</w:t>
            </w:r>
          </w:p>
        </w:tc>
      </w:tr>
      <w:tr w:rsidR="00677577" w:rsidRPr="00167CB8" w14:paraId="37599C0B" w14:textId="77777777">
        <w:trPr>
          <w:trHeight w:val="340"/>
        </w:trPr>
        <w:tc>
          <w:tcPr>
            <w:tcW w:w="3253" w:type="dxa"/>
            <w:tcBorders>
              <w:top w:val="nil"/>
              <w:left w:val="single" w:sz="4" w:space="0" w:color="auto"/>
              <w:bottom w:val="nil"/>
              <w:right w:val="nil"/>
            </w:tcBorders>
            <w:noWrap/>
            <w:vAlign w:val="bottom"/>
            <w:hideMark/>
          </w:tcPr>
          <w:p w14:paraId="5EB64862" w14:textId="237B3469" w:rsidR="00677577" w:rsidRPr="00364020" w:rsidRDefault="00677577">
            <w:pPr>
              <w:spacing w:after="0" w:line="240" w:lineRule="auto"/>
              <w:rPr>
                <w:sz w:val="20"/>
                <w:szCs w:val="20"/>
              </w:rPr>
            </w:pPr>
            <w:r w:rsidRPr="00364020">
              <w:rPr>
                <w:sz w:val="20"/>
                <w:szCs w:val="20"/>
              </w:rPr>
              <w:t>50</w:t>
            </w:r>
            <w:r w:rsidRPr="00364020">
              <w:rPr>
                <w:rFonts w:ascii="Symbol" w:eastAsia="Symbol" w:hAnsi="Symbol" w:cs="Symbol"/>
                <w:sz w:val="20"/>
                <w:szCs w:val="20"/>
              </w:rPr>
              <w:sym w:font="Symbol" w:char="F02D"/>
            </w:r>
            <w:r w:rsidRPr="00364020">
              <w:rPr>
                <w:sz w:val="20"/>
                <w:szCs w:val="20"/>
              </w:rPr>
              <w:t>99 employees</w:t>
            </w:r>
          </w:p>
        </w:tc>
        <w:tc>
          <w:tcPr>
            <w:tcW w:w="2673" w:type="dxa"/>
            <w:tcBorders>
              <w:top w:val="nil"/>
              <w:left w:val="nil"/>
              <w:bottom w:val="nil"/>
              <w:right w:val="nil"/>
            </w:tcBorders>
            <w:noWrap/>
            <w:vAlign w:val="bottom"/>
            <w:hideMark/>
          </w:tcPr>
          <w:p w14:paraId="1203B7D0" w14:textId="77777777" w:rsidR="00677577" w:rsidRPr="00364020" w:rsidRDefault="00677577" w:rsidP="005C58E0">
            <w:pPr>
              <w:spacing w:after="0" w:line="240" w:lineRule="auto"/>
              <w:jc w:val="right"/>
              <w:rPr>
                <w:sz w:val="20"/>
                <w:szCs w:val="20"/>
              </w:rPr>
            </w:pPr>
            <w:r w:rsidRPr="00364020">
              <w:rPr>
                <w:sz w:val="20"/>
                <w:szCs w:val="20"/>
              </w:rPr>
              <w:t>$33.1</w:t>
            </w:r>
          </w:p>
        </w:tc>
        <w:tc>
          <w:tcPr>
            <w:tcW w:w="1507" w:type="dxa"/>
            <w:tcBorders>
              <w:top w:val="nil"/>
              <w:left w:val="nil"/>
              <w:bottom w:val="nil"/>
              <w:right w:val="nil"/>
            </w:tcBorders>
            <w:noWrap/>
            <w:vAlign w:val="bottom"/>
            <w:hideMark/>
          </w:tcPr>
          <w:p w14:paraId="33AF62BB" w14:textId="77777777" w:rsidR="00677577" w:rsidRPr="00364020" w:rsidRDefault="00677577" w:rsidP="005C58E0">
            <w:pPr>
              <w:spacing w:after="0" w:line="240" w:lineRule="auto"/>
              <w:jc w:val="right"/>
              <w:rPr>
                <w:sz w:val="20"/>
                <w:szCs w:val="20"/>
              </w:rPr>
            </w:pPr>
            <w:r w:rsidRPr="00364020">
              <w:rPr>
                <w:sz w:val="20"/>
                <w:szCs w:val="20"/>
              </w:rPr>
              <w:t>$43.3</w:t>
            </w:r>
          </w:p>
        </w:tc>
        <w:tc>
          <w:tcPr>
            <w:tcW w:w="1657" w:type="dxa"/>
            <w:tcBorders>
              <w:top w:val="nil"/>
              <w:left w:val="nil"/>
              <w:bottom w:val="nil"/>
              <w:right w:val="single" w:sz="4" w:space="0" w:color="auto"/>
            </w:tcBorders>
            <w:noWrap/>
            <w:vAlign w:val="bottom"/>
            <w:hideMark/>
          </w:tcPr>
          <w:p w14:paraId="6A6B744D" w14:textId="77777777" w:rsidR="00677577" w:rsidRPr="00364020" w:rsidRDefault="00677577" w:rsidP="005C58E0">
            <w:pPr>
              <w:spacing w:after="0" w:line="240" w:lineRule="auto"/>
              <w:jc w:val="right"/>
              <w:rPr>
                <w:sz w:val="20"/>
                <w:szCs w:val="20"/>
              </w:rPr>
            </w:pPr>
            <w:r w:rsidRPr="00364020">
              <w:rPr>
                <w:sz w:val="20"/>
                <w:szCs w:val="20"/>
              </w:rPr>
              <w:t>$49.0</w:t>
            </w:r>
          </w:p>
        </w:tc>
      </w:tr>
      <w:tr w:rsidR="00677577" w:rsidRPr="00167CB8" w14:paraId="5636014E" w14:textId="77777777">
        <w:trPr>
          <w:trHeight w:val="340"/>
        </w:trPr>
        <w:tc>
          <w:tcPr>
            <w:tcW w:w="3253" w:type="dxa"/>
            <w:tcBorders>
              <w:top w:val="nil"/>
              <w:left w:val="single" w:sz="4" w:space="0" w:color="auto"/>
              <w:bottom w:val="nil"/>
              <w:right w:val="nil"/>
            </w:tcBorders>
            <w:noWrap/>
            <w:vAlign w:val="bottom"/>
            <w:hideMark/>
          </w:tcPr>
          <w:p w14:paraId="03C42552" w14:textId="131608F4" w:rsidR="00677577" w:rsidRPr="00364020" w:rsidRDefault="00677577">
            <w:pPr>
              <w:spacing w:after="0" w:line="240" w:lineRule="auto"/>
              <w:rPr>
                <w:sz w:val="20"/>
                <w:szCs w:val="20"/>
              </w:rPr>
            </w:pPr>
            <w:r w:rsidRPr="00364020">
              <w:rPr>
                <w:sz w:val="20"/>
                <w:szCs w:val="20"/>
              </w:rPr>
              <w:t>100</w:t>
            </w:r>
            <w:r w:rsidRPr="00364020">
              <w:rPr>
                <w:rFonts w:ascii="Symbol" w:eastAsia="Symbol" w:hAnsi="Symbol" w:cs="Symbol"/>
                <w:sz w:val="20"/>
                <w:szCs w:val="20"/>
              </w:rPr>
              <w:sym w:font="Symbol" w:char="F02D"/>
            </w:r>
            <w:r w:rsidRPr="00364020">
              <w:rPr>
                <w:sz w:val="20"/>
                <w:szCs w:val="20"/>
              </w:rPr>
              <w:t>999 employees</w:t>
            </w:r>
          </w:p>
        </w:tc>
        <w:tc>
          <w:tcPr>
            <w:tcW w:w="2673" w:type="dxa"/>
            <w:tcBorders>
              <w:top w:val="nil"/>
              <w:left w:val="nil"/>
              <w:bottom w:val="nil"/>
              <w:right w:val="nil"/>
            </w:tcBorders>
            <w:noWrap/>
            <w:vAlign w:val="bottom"/>
            <w:hideMark/>
          </w:tcPr>
          <w:p w14:paraId="16D86DAB" w14:textId="77777777" w:rsidR="00677577" w:rsidRPr="00364020" w:rsidRDefault="00677577" w:rsidP="005C58E0">
            <w:pPr>
              <w:spacing w:after="0" w:line="240" w:lineRule="auto"/>
              <w:jc w:val="right"/>
              <w:rPr>
                <w:sz w:val="20"/>
                <w:szCs w:val="20"/>
              </w:rPr>
            </w:pPr>
            <w:r w:rsidRPr="00364020">
              <w:rPr>
                <w:sz w:val="20"/>
                <w:szCs w:val="20"/>
              </w:rPr>
              <w:t>$36.7</w:t>
            </w:r>
          </w:p>
        </w:tc>
        <w:tc>
          <w:tcPr>
            <w:tcW w:w="1507" w:type="dxa"/>
            <w:tcBorders>
              <w:top w:val="nil"/>
              <w:left w:val="nil"/>
              <w:bottom w:val="nil"/>
              <w:right w:val="nil"/>
            </w:tcBorders>
            <w:noWrap/>
            <w:vAlign w:val="bottom"/>
            <w:hideMark/>
          </w:tcPr>
          <w:p w14:paraId="07F3F96A" w14:textId="77777777" w:rsidR="00677577" w:rsidRPr="00364020" w:rsidRDefault="00677577" w:rsidP="005C58E0">
            <w:pPr>
              <w:spacing w:after="0" w:line="240" w:lineRule="auto"/>
              <w:jc w:val="right"/>
              <w:rPr>
                <w:sz w:val="20"/>
                <w:szCs w:val="20"/>
              </w:rPr>
            </w:pPr>
            <w:r w:rsidRPr="00364020">
              <w:rPr>
                <w:sz w:val="20"/>
                <w:szCs w:val="20"/>
              </w:rPr>
              <w:t>$49.7</w:t>
            </w:r>
          </w:p>
        </w:tc>
        <w:tc>
          <w:tcPr>
            <w:tcW w:w="1657" w:type="dxa"/>
            <w:tcBorders>
              <w:top w:val="nil"/>
              <w:left w:val="nil"/>
              <w:bottom w:val="nil"/>
              <w:right w:val="single" w:sz="4" w:space="0" w:color="auto"/>
            </w:tcBorders>
            <w:noWrap/>
            <w:vAlign w:val="bottom"/>
            <w:hideMark/>
          </w:tcPr>
          <w:p w14:paraId="35B40524" w14:textId="77777777" w:rsidR="00677577" w:rsidRPr="00364020" w:rsidRDefault="00677577" w:rsidP="005C58E0">
            <w:pPr>
              <w:spacing w:after="0" w:line="240" w:lineRule="auto"/>
              <w:jc w:val="right"/>
              <w:rPr>
                <w:sz w:val="20"/>
                <w:szCs w:val="20"/>
              </w:rPr>
            </w:pPr>
            <w:r w:rsidRPr="00364020">
              <w:rPr>
                <w:sz w:val="20"/>
                <w:szCs w:val="20"/>
              </w:rPr>
              <w:t>$55.2</w:t>
            </w:r>
          </w:p>
        </w:tc>
      </w:tr>
      <w:tr w:rsidR="00677577" w:rsidRPr="00167CB8" w14:paraId="147B2297" w14:textId="77777777">
        <w:trPr>
          <w:trHeight w:val="340"/>
        </w:trPr>
        <w:tc>
          <w:tcPr>
            <w:tcW w:w="3253" w:type="dxa"/>
            <w:tcBorders>
              <w:top w:val="nil"/>
              <w:left w:val="single" w:sz="4" w:space="0" w:color="auto"/>
              <w:bottom w:val="nil"/>
              <w:right w:val="nil"/>
            </w:tcBorders>
            <w:noWrap/>
            <w:vAlign w:val="bottom"/>
            <w:hideMark/>
          </w:tcPr>
          <w:p w14:paraId="70DCF542" w14:textId="3C70DBA3" w:rsidR="00677577" w:rsidRPr="00364020" w:rsidRDefault="00677577">
            <w:pPr>
              <w:spacing w:after="0" w:line="240" w:lineRule="auto"/>
              <w:rPr>
                <w:sz w:val="20"/>
                <w:szCs w:val="20"/>
              </w:rPr>
            </w:pPr>
            <w:r w:rsidRPr="00364020">
              <w:rPr>
                <w:sz w:val="20"/>
                <w:szCs w:val="20"/>
              </w:rPr>
              <w:t>1,000 and over employees</w:t>
            </w:r>
          </w:p>
        </w:tc>
        <w:tc>
          <w:tcPr>
            <w:tcW w:w="2673" w:type="dxa"/>
            <w:tcBorders>
              <w:top w:val="nil"/>
              <w:left w:val="nil"/>
              <w:bottom w:val="nil"/>
              <w:right w:val="nil"/>
            </w:tcBorders>
            <w:noWrap/>
            <w:vAlign w:val="bottom"/>
            <w:hideMark/>
          </w:tcPr>
          <w:p w14:paraId="67B9E2B4" w14:textId="77777777" w:rsidR="00677577" w:rsidRPr="00364020" w:rsidRDefault="00677577" w:rsidP="005C58E0">
            <w:pPr>
              <w:spacing w:after="0" w:line="240" w:lineRule="auto"/>
              <w:jc w:val="right"/>
              <w:rPr>
                <w:sz w:val="20"/>
                <w:szCs w:val="20"/>
              </w:rPr>
            </w:pPr>
            <w:r w:rsidRPr="00364020">
              <w:rPr>
                <w:sz w:val="20"/>
                <w:szCs w:val="20"/>
              </w:rPr>
              <w:t>$48.8</w:t>
            </w:r>
          </w:p>
        </w:tc>
        <w:tc>
          <w:tcPr>
            <w:tcW w:w="1507" w:type="dxa"/>
            <w:tcBorders>
              <w:top w:val="nil"/>
              <w:left w:val="nil"/>
              <w:bottom w:val="nil"/>
              <w:right w:val="nil"/>
            </w:tcBorders>
            <w:noWrap/>
            <w:vAlign w:val="bottom"/>
            <w:hideMark/>
          </w:tcPr>
          <w:p w14:paraId="613B0BCC" w14:textId="77777777" w:rsidR="00677577" w:rsidRPr="00364020" w:rsidRDefault="00677577" w:rsidP="005C58E0">
            <w:pPr>
              <w:spacing w:after="0" w:line="240" w:lineRule="auto"/>
              <w:jc w:val="right"/>
              <w:rPr>
                <w:sz w:val="20"/>
                <w:szCs w:val="20"/>
              </w:rPr>
            </w:pPr>
            <w:r w:rsidRPr="00364020">
              <w:rPr>
                <w:sz w:val="20"/>
                <w:szCs w:val="20"/>
              </w:rPr>
              <w:t>$54.0</w:t>
            </w:r>
          </w:p>
        </w:tc>
        <w:tc>
          <w:tcPr>
            <w:tcW w:w="1657" w:type="dxa"/>
            <w:tcBorders>
              <w:top w:val="nil"/>
              <w:left w:val="nil"/>
              <w:bottom w:val="nil"/>
              <w:right w:val="single" w:sz="4" w:space="0" w:color="auto"/>
            </w:tcBorders>
            <w:noWrap/>
            <w:vAlign w:val="bottom"/>
            <w:hideMark/>
          </w:tcPr>
          <w:p w14:paraId="31408D57" w14:textId="77777777" w:rsidR="00677577" w:rsidRPr="00364020" w:rsidRDefault="00677577" w:rsidP="005C58E0">
            <w:pPr>
              <w:spacing w:after="0" w:line="240" w:lineRule="auto"/>
              <w:jc w:val="right"/>
              <w:rPr>
                <w:sz w:val="20"/>
                <w:szCs w:val="20"/>
              </w:rPr>
            </w:pPr>
            <w:r w:rsidRPr="00364020">
              <w:rPr>
                <w:sz w:val="20"/>
                <w:szCs w:val="20"/>
              </w:rPr>
              <w:t>$62.6</w:t>
            </w:r>
          </w:p>
        </w:tc>
      </w:tr>
      <w:tr w:rsidR="00677577" w:rsidRPr="00167CB8" w14:paraId="347670DF" w14:textId="77777777">
        <w:trPr>
          <w:trHeight w:val="340"/>
        </w:trPr>
        <w:tc>
          <w:tcPr>
            <w:tcW w:w="3253" w:type="dxa"/>
            <w:tcBorders>
              <w:top w:val="nil"/>
              <w:left w:val="single" w:sz="4" w:space="0" w:color="auto"/>
              <w:bottom w:val="single" w:sz="4" w:space="0" w:color="auto"/>
              <w:right w:val="nil"/>
            </w:tcBorders>
            <w:noWrap/>
            <w:vAlign w:val="bottom"/>
            <w:hideMark/>
          </w:tcPr>
          <w:p w14:paraId="52EAC87B" w14:textId="602E2E57" w:rsidR="00677577" w:rsidRPr="00364020" w:rsidRDefault="00677577">
            <w:pPr>
              <w:spacing w:after="0" w:line="240" w:lineRule="auto"/>
              <w:rPr>
                <w:sz w:val="20"/>
                <w:szCs w:val="20"/>
              </w:rPr>
            </w:pPr>
            <w:r w:rsidRPr="00364020">
              <w:rPr>
                <w:sz w:val="20"/>
                <w:szCs w:val="20"/>
              </w:rPr>
              <w:t>Total</w:t>
            </w:r>
          </w:p>
        </w:tc>
        <w:tc>
          <w:tcPr>
            <w:tcW w:w="2673" w:type="dxa"/>
            <w:tcBorders>
              <w:top w:val="nil"/>
              <w:left w:val="nil"/>
              <w:bottom w:val="single" w:sz="4" w:space="0" w:color="auto"/>
              <w:right w:val="nil"/>
            </w:tcBorders>
            <w:noWrap/>
            <w:vAlign w:val="bottom"/>
            <w:hideMark/>
          </w:tcPr>
          <w:p w14:paraId="1419F76B" w14:textId="77777777" w:rsidR="00677577" w:rsidRPr="00364020" w:rsidRDefault="00677577" w:rsidP="005C58E0">
            <w:pPr>
              <w:spacing w:after="0" w:line="240" w:lineRule="auto"/>
              <w:jc w:val="right"/>
              <w:rPr>
                <w:sz w:val="20"/>
                <w:szCs w:val="20"/>
              </w:rPr>
            </w:pPr>
            <w:r w:rsidRPr="00364020">
              <w:rPr>
                <w:sz w:val="20"/>
                <w:szCs w:val="20"/>
              </w:rPr>
              <w:t>$37.7</w:t>
            </w:r>
          </w:p>
        </w:tc>
        <w:tc>
          <w:tcPr>
            <w:tcW w:w="1507" w:type="dxa"/>
            <w:tcBorders>
              <w:top w:val="nil"/>
              <w:left w:val="nil"/>
              <w:bottom w:val="single" w:sz="4" w:space="0" w:color="auto"/>
              <w:right w:val="nil"/>
            </w:tcBorders>
            <w:noWrap/>
            <w:vAlign w:val="bottom"/>
            <w:hideMark/>
          </w:tcPr>
          <w:p w14:paraId="43358A74" w14:textId="77777777" w:rsidR="00677577" w:rsidRPr="00364020" w:rsidRDefault="00677577" w:rsidP="005C58E0">
            <w:pPr>
              <w:spacing w:after="0" w:line="240" w:lineRule="auto"/>
              <w:jc w:val="right"/>
              <w:rPr>
                <w:sz w:val="20"/>
                <w:szCs w:val="20"/>
              </w:rPr>
            </w:pPr>
            <w:r w:rsidRPr="00364020">
              <w:rPr>
                <w:sz w:val="20"/>
                <w:szCs w:val="20"/>
              </w:rPr>
              <w:t>$51.9</w:t>
            </w:r>
          </w:p>
        </w:tc>
        <w:tc>
          <w:tcPr>
            <w:tcW w:w="1657" w:type="dxa"/>
            <w:tcBorders>
              <w:top w:val="nil"/>
              <w:left w:val="nil"/>
              <w:bottom w:val="single" w:sz="4" w:space="0" w:color="auto"/>
              <w:right w:val="single" w:sz="4" w:space="0" w:color="auto"/>
            </w:tcBorders>
            <w:noWrap/>
            <w:vAlign w:val="bottom"/>
            <w:hideMark/>
          </w:tcPr>
          <w:p w14:paraId="780D6206" w14:textId="77777777" w:rsidR="00677577" w:rsidRPr="00364020" w:rsidRDefault="00677577" w:rsidP="005C58E0">
            <w:pPr>
              <w:spacing w:after="0" w:line="240" w:lineRule="auto"/>
              <w:jc w:val="right"/>
              <w:rPr>
                <w:sz w:val="20"/>
                <w:szCs w:val="20"/>
              </w:rPr>
            </w:pPr>
            <w:r w:rsidRPr="00364020">
              <w:rPr>
                <w:sz w:val="20"/>
                <w:szCs w:val="20"/>
              </w:rPr>
              <w:t>$49.4</w:t>
            </w:r>
          </w:p>
        </w:tc>
      </w:tr>
    </w:tbl>
    <w:p w14:paraId="3ED4FC0B" w14:textId="77777777" w:rsidR="00677577" w:rsidRPr="00167CB8" w:rsidRDefault="00677577" w:rsidP="00677577">
      <w:pPr>
        <w:pStyle w:val="Source"/>
      </w:pPr>
      <w:r w:rsidRPr="00167CB8">
        <w:rPr>
          <w:b/>
          <w:bCs/>
        </w:rPr>
        <w:t>Source:</w:t>
      </w:r>
      <w:r w:rsidRPr="00167CB8">
        <w:t xml:space="preserve"> ABS 6306 Employee Earnings and Hours, May 2023. Data cube No. 7 (6306ODO007). Sample: non-managerial employees employed full-time and paid at the adult rate.</w:t>
      </w:r>
    </w:p>
    <w:p w14:paraId="0BD61475" w14:textId="33CB591C" w:rsidR="00677577" w:rsidRPr="00167CB8" w:rsidRDefault="00677577" w:rsidP="00677577">
      <w:pPr>
        <w:pStyle w:val="Source"/>
      </w:pPr>
      <w:r w:rsidRPr="00167CB8">
        <w:br w:type="page"/>
      </w:r>
    </w:p>
    <w:p w14:paraId="2EDB738B" w14:textId="77777777" w:rsidR="00677577" w:rsidRPr="00167CB8" w:rsidRDefault="00677577" w:rsidP="00677577">
      <w:pPr>
        <w:pStyle w:val="Heading4"/>
      </w:pPr>
      <w:bookmarkStart w:id="935" w:name="_Toc186991769"/>
      <w:bookmarkStart w:id="936" w:name="_Toc189393673"/>
      <w:r w:rsidRPr="00167CB8">
        <w:t xml:space="preserve">3.4 </w:t>
      </w:r>
      <w:r w:rsidRPr="007B334A">
        <w:t>OECD</w:t>
      </w:r>
      <w:r w:rsidRPr="00167CB8">
        <w:t xml:space="preserve"> data</w:t>
      </w:r>
      <w:bookmarkEnd w:id="935"/>
      <w:bookmarkEnd w:id="936"/>
    </w:p>
    <w:p w14:paraId="678D5D9A" w14:textId="70855EA3" w:rsidR="0011475D" w:rsidRDefault="00677577" w:rsidP="00677577">
      <w:r w:rsidRPr="00167CB8">
        <w:t xml:space="preserve">In this section </w:t>
      </w:r>
      <w:r w:rsidR="007B334A" w:rsidRPr="007B334A">
        <w:t xml:space="preserve">Organisation for Economic Co-operation and Development </w:t>
      </w:r>
      <w:r w:rsidR="007B334A">
        <w:t>(</w:t>
      </w:r>
      <w:r w:rsidRPr="00167CB8">
        <w:t>OECD</w:t>
      </w:r>
      <w:r w:rsidR="007B334A">
        <w:t>)</w:t>
      </w:r>
      <w:r w:rsidRPr="00167CB8">
        <w:t xml:space="preserve"> data </w:t>
      </w:r>
      <w:r w:rsidR="007B334A">
        <w:t xml:space="preserve">is </w:t>
      </w:r>
      <w:r w:rsidRPr="00167CB8">
        <w:t>used to examine and compare annual wage growth in Australia with growth in other OECD countries. Comparisons are made over the period 2011 to 2023. Over this period the average growth in annual wages of OECD member countries was 8%. In Australia it was markedly lower at 2%</w:t>
      </w:r>
      <w:r w:rsidR="00365C93">
        <w:t xml:space="preserve"> (see Figure 44)</w:t>
      </w:r>
      <w:r w:rsidRPr="00167CB8">
        <w:t>.</w:t>
      </w:r>
    </w:p>
    <w:p w14:paraId="0F44AE1A" w14:textId="30848071" w:rsidR="00677577" w:rsidRPr="00167CB8" w:rsidRDefault="00365C93" w:rsidP="007F380D">
      <w:pPr>
        <w:pStyle w:val="Caption"/>
      </w:pPr>
      <w:bookmarkStart w:id="937" w:name="_Toc186991796"/>
      <w:bookmarkStart w:id="938" w:name="_Toc189310829"/>
      <w:bookmarkStart w:id="939" w:name="_Toc194251542"/>
      <w:r>
        <w:t xml:space="preserve">Figure </w:t>
      </w:r>
      <w:r>
        <w:fldChar w:fldCharType="begin"/>
      </w:r>
      <w:r>
        <w:instrText xml:space="preserve"> SEQ Figure \* ARABIC </w:instrText>
      </w:r>
      <w:r>
        <w:fldChar w:fldCharType="separate"/>
      </w:r>
      <w:r w:rsidR="00DE5F5E">
        <w:rPr>
          <w:noProof/>
        </w:rPr>
        <w:t>44</w:t>
      </w:r>
      <w:r>
        <w:fldChar w:fldCharType="end"/>
      </w:r>
      <w:r>
        <w:t xml:space="preserve">: </w:t>
      </w:r>
      <w:r w:rsidR="00677577" w:rsidRPr="00167CB8">
        <w:t>Growth in average annual wages of member OECD countries, 2011 to 2023</w:t>
      </w:r>
      <w:bookmarkEnd w:id="937"/>
      <w:bookmarkEnd w:id="938"/>
      <w:bookmarkEnd w:id="939"/>
    </w:p>
    <w:p w14:paraId="58D7D1D8" w14:textId="243C689A" w:rsidR="00677577" w:rsidRPr="00167CB8" w:rsidRDefault="00677577" w:rsidP="00677577">
      <w:pPr>
        <w:rPr>
          <w:lang w:val="en-US"/>
        </w:rPr>
      </w:pPr>
      <w:r w:rsidRPr="00167CB8">
        <w:rPr>
          <w:noProof/>
        </w:rPr>
        <w:drawing>
          <wp:inline distT="0" distB="0" distL="0" distR="0" wp14:anchorId="7DD7248E" wp14:editId="43711782">
            <wp:extent cx="5731510" cy="3750945"/>
            <wp:effectExtent l="0" t="0" r="2540" b="1905"/>
            <wp:docPr id="1127447121" name="Picture 45" descr="A bar chart showing growth in average annual wages of member OECD countries.&#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447121" name="Picture 45" descr="A bar chart showing growth in average annual wages of member OECD countries.&#10;&#10;See alt-text following the sourc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31510" cy="3750945"/>
                    </a:xfrm>
                    <a:prstGeom prst="rect">
                      <a:avLst/>
                    </a:prstGeom>
                    <a:noFill/>
                    <a:ln>
                      <a:noFill/>
                    </a:ln>
                  </pic:spPr>
                </pic:pic>
              </a:graphicData>
            </a:graphic>
          </wp:inline>
        </w:drawing>
      </w:r>
    </w:p>
    <w:p w14:paraId="5FF8160C" w14:textId="77777777" w:rsidR="0011475D" w:rsidRDefault="00677577" w:rsidP="00677577">
      <w:pPr>
        <w:pStyle w:val="Source"/>
        <w:rPr>
          <w:b/>
          <w:bCs/>
          <w:lang w:val="en-US"/>
        </w:rPr>
      </w:pPr>
      <w:r w:rsidRPr="00167CB8">
        <w:rPr>
          <w:b/>
          <w:bCs/>
          <w:lang w:val="en-US"/>
        </w:rPr>
        <w:t>Notes:</w:t>
      </w:r>
    </w:p>
    <w:p w14:paraId="6A7B2AFC" w14:textId="06003642" w:rsidR="007B334A" w:rsidRDefault="00677577" w:rsidP="00677577">
      <w:pPr>
        <w:pStyle w:val="Source"/>
        <w:rPr>
          <w:lang w:val="en-US"/>
        </w:rPr>
      </w:pPr>
      <w:r w:rsidRPr="00167CB8">
        <w:rPr>
          <w:lang w:val="en-US"/>
        </w:rPr>
        <w:t xml:space="preserve">1. </w:t>
      </w:r>
      <w:r w:rsidR="007B334A">
        <w:rPr>
          <w:lang w:val="en-US"/>
        </w:rPr>
        <w:t xml:space="preserve">OECD: </w:t>
      </w:r>
      <w:r w:rsidR="007B334A" w:rsidRPr="007B334A">
        <w:rPr>
          <w:lang w:val="en-US"/>
        </w:rPr>
        <w:t>Organisation for Economic Co-operation and Development</w:t>
      </w:r>
      <w:r w:rsidR="007B334A">
        <w:rPr>
          <w:lang w:val="en-US"/>
        </w:rPr>
        <w:t>.</w:t>
      </w:r>
    </w:p>
    <w:p w14:paraId="07B60E57" w14:textId="2F76A97D" w:rsidR="0011475D" w:rsidRDefault="007B334A" w:rsidP="00677577">
      <w:pPr>
        <w:pStyle w:val="Source"/>
        <w:rPr>
          <w:lang w:val="en-US"/>
        </w:rPr>
      </w:pPr>
      <w:r>
        <w:rPr>
          <w:lang w:val="en-US"/>
        </w:rPr>
        <w:t xml:space="preserve">2. </w:t>
      </w:r>
      <w:r w:rsidR="00677577" w:rsidRPr="00167CB8">
        <w:rPr>
          <w:lang w:val="en-US"/>
        </w:rPr>
        <w:t>Average annual wages per full-time equivalent employee.</w:t>
      </w:r>
    </w:p>
    <w:p w14:paraId="3031421C" w14:textId="309949DC" w:rsidR="0011475D" w:rsidRDefault="007B334A" w:rsidP="00677577">
      <w:pPr>
        <w:pStyle w:val="Source"/>
        <w:rPr>
          <w:lang w:val="en-US"/>
        </w:rPr>
      </w:pPr>
      <w:r>
        <w:rPr>
          <w:lang w:val="en-US"/>
        </w:rPr>
        <w:t>3</w:t>
      </w:r>
      <w:r w:rsidR="00677577" w:rsidRPr="00167CB8">
        <w:rPr>
          <w:lang w:val="en-US"/>
        </w:rPr>
        <w:t>. Wage growth comparisons made using estimates which are adjusted for inflation and purchasing power parity.</w:t>
      </w:r>
    </w:p>
    <w:p w14:paraId="67F50F36" w14:textId="2829647D" w:rsidR="0011475D" w:rsidRDefault="007B334A" w:rsidP="00677577">
      <w:pPr>
        <w:pStyle w:val="Source"/>
        <w:rPr>
          <w:lang w:val="en-US"/>
        </w:rPr>
      </w:pPr>
      <w:r>
        <w:rPr>
          <w:lang w:val="en-US"/>
        </w:rPr>
        <w:t>4</w:t>
      </w:r>
      <w:r w:rsidR="00677577" w:rsidRPr="00167CB8">
        <w:rPr>
          <w:lang w:val="en-US"/>
        </w:rPr>
        <w:t>. The OECD derives average annual wages by dividing the national accounts based total wage bill by the number of employees in the total economy and then weights by the ratio of average usual weekly hours per full-time employee to that of all employees to obtain the full-time equivalent measure.</w:t>
      </w:r>
    </w:p>
    <w:p w14:paraId="4D9384CA" w14:textId="77777777" w:rsidR="0011475D" w:rsidRDefault="00677577" w:rsidP="00677577">
      <w:pPr>
        <w:pStyle w:val="Source"/>
        <w:rPr>
          <w:lang w:val="en-US"/>
        </w:rPr>
      </w:pPr>
      <w:r w:rsidRPr="00167CB8">
        <w:rPr>
          <w:b/>
          <w:bCs/>
          <w:lang w:val="en-US"/>
        </w:rPr>
        <w:t>Source:</w:t>
      </w:r>
      <w:r w:rsidRPr="00167CB8">
        <w:rPr>
          <w:lang w:val="en-US"/>
        </w:rPr>
        <w:t xml:space="preserve"> OECD Data Explorer, Average Annual Wages.</w:t>
      </w:r>
    </w:p>
    <w:p w14:paraId="3126DAC6" w14:textId="77777777" w:rsidR="0011475D" w:rsidRDefault="00677577" w:rsidP="00677577">
      <w:pPr>
        <w:pStyle w:val="Source"/>
        <w:rPr>
          <w:lang w:val="en-US"/>
        </w:rPr>
      </w:pPr>
      <w:r w:rsidRPr="00167CB8">
        <w:rPr>
          <w:b/>
          <w:bCs/>
          <w:lang w:val="en-US"/>
        </w:rPr>
        <w:t>Alt text:</w:t>
      </w:r>
      <w:r w:rsidRPr="00167CB8">
        <w:rPr>
          <w:lang w:val="en-US"/>
        </w:rPr>
        <w:t xml:space="preserve"> A bar chart showing growth in average annual wages of OECD countries between 2011 and 2023 (indexed to 2011). The average OECD growth rate was 8%. Annual average wage growth in Australia over this period was below the OECD average at 2%.</w:t>
      </w:r>
    </w:p>
    <w:p w14:paraId="31898362" w14:textId="77777777" w:rsidR="0011475D" w:rsidRDefault="00677577" w:rsidP="00677577">
      <w:r w:rsidRPr="00167CB8">
        <w:t>Australia’s relatively slower wage growth may relate, in part, to the fact that wages in Australia are higher than average – which means growth is coming off a higher base.</w:t>
      </w:r>
    </w:p>
    <w:p w14:paraId="3109AD66" w14:textId="72F83BB3" w:rsidR="0011475D" w:rsidRDefault="00677577" w:rsidP="00677577">
      <w:r w:rsidRPr="007B334A">
        <w:t xml:space="preserve">In </w:t>
      </w:r>
      <w:r w:rsidRPr="0066438B">
        <w:t>Figure 4</w:t>
      </w:r>
      <w:r w:rsidR="00365C93" w:rsidRPr="0066438B">
        <w:t>5</w:t>
      </w:r>
      <w:r w:rsidRPr="007B334A">
        <w:t xml:space="preserve"> wage data for 2023 from OECD member countries are used to rank the average</w:t>
      </w:r>
      <w:r w:rsidRPr="00167CB8">
        <w:t xml:space="preserve"> annual wages of member countries. Comparisons are made using estimates which are adjusted for inflation and purchasing power. Estimates are benchmarked to the United States. The comparison shows that average annual wages in Australia are above the OECD average but below several countries which had higher wage </w:t>
      </w:r>
      <w:r w:rsidRPr="007B334A">
        <w:t xml:space="preserve">growth (at </w:t>
      </w:r>
      <w:r w:rsidRPr="0066438B">
        <w:t>Figure 4</w:t>
      </w:r>
      <w:r w:rsidR="00365C93" w:rsidRPr="0066438B">
        <w:t>4</w:t>
      </w:r>
      <w:r w:rsidRPr="007B334A">
        <w:t>) –</w:t>
      </w:r>
      <w:r w:rsidRPr="00167CB8">
        <w:t xml:space="preserve"> for example, Belgium, Norway and Austria.</w:t>
      </w:r>
    </w:p>
    <w:p w14:paraId="56FC71EF" w14:textId="38E0EFAB" w:rsidR="0011475D" w:rsidRDefault="00365C93" w:rsidP="007F380D">
      <w:pPr>
        <w:pStyle w:val="Caption"/>
      </w:pPr>
      <w:bookmarkStart w:id="940" w:name="_Toc186991797"/>
      <w:bookmarkStart w:id="941" w:name="_Toc189310830"/>
      <w:bookmarkStart w:id="942" w:name="_Toc194251543"/>
      <w:r>
        <w:t xml:space="preserve">Figure </w:t>
      </w:r>
      <w:r>
        <w:fldChar w:fldCharType="begin"/>
      </w:r>
      <w:r>
        <w:instrText xml:space="preserve"> SEQ Figure \* ARABIC </w:instrText>
      </w:r>
      <w:r>
        <w:fldChar w:fldCharType="separate"/>
      </w:r>
      <w:r w:rsidR="00DE5F5E">
        <w:rPr>
          <w:noProof/>
        </w:rPr>
        <w:t>45</w:t>
      </w:r>
      <w:r>
        <w:fldChar w:fldCharType="end"/>
      </w:r>
      <w:r>
        <w:t xml:space="preserve">: </w:t>
      </w:r>
      <w:r w:rsidR="00677577" w:rsidRPr="00167CB8">
        <w:t>Average annual wage by OECD member country, benchmarked to average annual wages in the United States, 2023</w:t>
      </w:r>
      <w:bookmarkEnd w:id="940"/>
      <w:bookmarkEnd w:id="941"/>
      <w:bookmarkEnd w:id="942"/>
    </w:p>
    <w:p w14:paraId="39970C8A" w14:textId="5B4DE94F" w:rsidR="00677577" w:rsidRPr="00167CB8" w:rsidRDefault="00677577" w:rsidP="00677577">
      <w:pPr>
        <w:rPr>
          <w:lang w:val="en-US"/>
        </w:rPr>
      </w:pPr>
      <w:r w:rsidRPr="00167CB8">
        <w:rPr>
          <w:noProof/>
        </w:rPr>
        <w:drawing>
          <wp:inline distT="0" distB="0" distL="0" distR="0" wp14:anchorId="0C9406F7" wp14:editId="2374B24C">
            <wp:extent cx="5731510" cy="3750945"/>
            <wp:effectExtent l="0" t="0" r="2540" b="1905"/>
            <wp:docPr id="399992988" name="Picture 44" descr="A bar chart showing average annual wage by OECD member country, benchmarked to average annual wages in the United States.&#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992988" name="Picture 44" descr="A bar chart showing average annual wage by OECD member country, benchmarked to average annual wages in the United States.&#10;&#10;See alt-text following the sourc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31510" cy="3750945"/>
                    </a:xfrm>
                    <a:prstGeom prst="rect">
                      <a:avLst/>
                    </a:prstGeom>
                    <a:noFill/>
                    <a:ln>
                      <a:noFill/>
                    </a:ln>
                  </pic:spPr>
                </pic:pic>
              </a:graphicData>
            </a:graphic>
          </wp:inline>
        </w:drawing>
      </w:r>
    </w:p>
    <w:p w14:paraId="334F5CCA" w14:textId="77777777" w:rsidR="0011475D" w:rsidRPr="0066438B" w:rsidRDefault="00677577" w:rsidP="00677577">
      <w:pPr>
        <w:pStyle w:val="Source"/>
        <w:rPr>
          <w:b/>
        </w:rPr>
      </w:pPr>
      <w:r w:rsidRPr="0066438B">
        <w:rPr>
          <w:b/>
        </w:rPr>
        <w:t>Notes:</w:t>
      </w:r>
    </w:p>
    <w:p w14:paraId="73CEBDF2" w14:textId="311DDBB5" w:rsidR="007B334A" w:rsidRDefault="00677577" w:rsidP="00677577">
      <w:pPr>
        <w:pStyle w:val="Source"/>
      </w:pPr>
      <w:r w:rsidRPr="00167CB8">
        <w:t xml:space="preserve">1. </w:t>
      </w:r>
      <w:r w:rsidR="007B334A">
        <w:t xml:space="preserve">OECD: </w:t>
      </w:r>
      <w:r w:rsidR="007B334A" w:rsidRPr="007B334A">
        <w:t>Organisation for Economic Co-operation and Development</w:t>
      </w:r>
      <w:r w:rsidR="007B334A">
        <w:t>.</w:t>
      </w:r>
    </w:p>
    <w:p w14:paraId="611F8336" w14:textId="2F5563A9" w:rsidR="0011475D" w:rsidRDefault="007B334A" w:rsidP="00677577">
      <w:pPr>
        <w:pStyle w:val="Source"/>
      </w:pPr>
      <w:r>
        <w:t xml:space="preserve">2. </w:t>
      </w:r>
      <w:r w:rsidR="00677577" w:rsidRPr="00167CB8">
        <w:t>Average annual wages per full-time equivalent employee</w:t>
      </w:r>
      <w:r w:rsidR="0016448B">
        <w:t>.</w:t>
      </w:r>
    </w:p>
    <w:p w14:paraId="5061FD43" w14:textId="4C37564D" w:rsidR="0011475D" w:rsidRDefault="007B334A" w:rsidP="00677577">
      <w:pPr>
        <w:pStyle w:val="Source"/>
      </w:pPr>
      <w:r>
        <w:t>3</w:t>
      </w:r>
      <w:r w:rsidR="00677577" w:rsidRPr="00167CB8">
        <w:t>. Wage comparisons made using estimates which are adjusted for inflation and purchasing power parity.</w:t>
      </w:r>
    </w:p>
    <w:p w14:paraId="494D7257" w14:textId="1D49C5B2" w:rsidR="00677577" w:rsidRPr="00167CB8" w:rsidRDefault="007B334A" w:rsidP="00677577">
      <w:pPr>
        <w:pStyle w:val="Source"/>
      </w:pPr>
      <w:r>
        <w:t>4</w:t>
      </w:r>
      <w:r w:rsidR="00677577" w:rsidRPr="00167CB8">
        <w:t>. The OECD derives average annual wages by dividing the national accounts based total wage bill by the number of employees in the total economy and then weights by the ratio of average usual weekly hours per full-time employee to that of all employees to obtain the full-time equivalent measure.</w:t>
      </w:r>
    </w:p>
    <w:p w14:paraId="0F6B3598" w14:textId="77777777" w:rsidR="0011475D" w:rsidRDefault="00677577" w:rsidP="00677577">
      <w:pPr>
        <w:pStyle w:val="Source"/>
      </w:pPr>
      <w:r w:rsidRPr="00167CB8">
        <w:rPr>
          <w:b/>
          <w:bCs/>
        </w:rPr>
        <w:t>Source:</w:t>
      </w:r>
      <w:r w:rsidRPr="00167CB8">
        <w:t xml:space="preserve"> OECD Data Explorer, Average Annual Wages, 2023.</w:t>
      </w:r>
    </w:p>
    <w:p w14:paraId="084923C5" w14:textId="1B9E0B4D" w:rsidR="0011475D" w:rsidRDefault="00677577" w:rsidP="00677577">
      <w:pPr>
        <w:pStyle w:val="Source"/>
      </w:pPr>
      <w:r w:rsidRPr="00167CB8">
        <w:rPr>
          <w:b/>
          <w:bCs/>
        </w:rPr>
        <w:t>Alt text:</w:t>
      </w:r>
      <w:r w:rsidRPr="00167CB8">
        <w:t xml:space="preserve"> A bar chart showing the relative average annual wages of OECD member countries. Wages are benchmarked to the United States. In 2023 average annual wages were above those of the </w:t>
      </w:r>
      <w:r w:rsidR="0016448B">
        <w:t xml:space="preserve">United States </w:t>
      </w:r>
      <w:r w:rsidRPr="00167CB8">
        <w:t xml:space="preserve">in Luxembourg, Iceland and Switzerland and below in countries such as Norway, Denmark, Australia and Canada. In Australia the average annual wage in 2023 was 84% of that in the </w:t>
      </w:r>
      <w:r w:rsidR="0016448B">
        <w:t>United States</w:t>
      </w:r>
      <w:r w:rsidRPr="00167CB8">
        <w:t xml:space="preserve">. The OECD average was 73% that of the </w:t>
      </w:r>
      <w:r w:rsidR="0016448B">
        <w:t>United States</w:t>
      </w:r>
      <w:r w:rsidRPr="00167CB8">
        <w:t>. Average annual wages in Australia are high relative to the OECD average.</w:t>
      </w:r>
    </w:p>
    <w:p w14:paraId="7A584697" w14:textId="3826AFE4" w:rsidR="00677577" w:rsidRPr="00167CB8" w:rsidRDefault="00677577" w:rsidP="00677577">
      <w:pPr>
        <w:pStyle w:val="Heading4"/>
      </w:pPr>
      <w:bookmarkStart w:id="943" w:name="_Toc186991770"/>
      <w:bookmarkStart w:id="944" w:name="_Toc189393674"/>
      <w:r w:rsidRPr="00167CB8">
        <w:t xml:space="preserve">3.5 </w:t>
      </w:r>
      <w:r w:rsidR="0016448B" w:rsidRPr="0016448B">
        <w:t xml:space="preserve">Household, Income and Labour Dynamics in Australia </w:t>
      </w:r>
      <w:r w:rsidR="0016448B">
        <w:t>(</w:t>
      </w:r>
      <w:r w:rsidRPr="00167CB8" w:rsidDel="0016448B">
        <w:t>HILDA</w:t>
      </w:r>
      <w:r w:rsidR="0016448B">
        <w:t>)</w:t>
      </w:r>
      <w:r w:rsidRPr="00167CB8" w:rsidDel="0016448B">
        <w:t xml:space="preserve"> </w:t>
      </w:r>
      <w:r w:rsidRPr="00167CB8">
        <w:t>data</w:t>
      </w:r>
      <w:bookmarkEnd w:id="943"/>
      <w:bookmarkEnd w:id="944"/>
    </w:p>
    <w:p w14:paraId="5B582515" w14:textId="04114CB9" w:rsidR="0011475D" w:rsidRDefault="00677577" w:rsidP="00677577">
      <w:r w:rsidRPr="00167CB8">
        <w:t>In this section the descriptive analysis draws on the HILDA survey. Unless otherwise stated the analysis in this section is restricted to employees aged 21 to 64.</w:t>
      </w:r>
    </w:p>
    <w:p w14:paraId="34C13155" w14:textId="59162329" w:rsidR="00677577" w:rsidRPr="00167CB8" w:rsidRDefault="00677577" w:rsidP="00677577">
      <w:r w:rsidRPr="00167CB8">
        <w:t>HILDA, as previously noted, is a longitudinal survey of household members aged 15 and over and is, after weighting, nationally representative of individuals. It contains rich information on individual characteristics, including their qualifications, work history, wages and socio</w:t>
      </w:r>
      <w:r w:rsidR="0016448B">
        <w:t>-</w:t>
      </w:r>
      <w:r w:rsidRPr="00167CB8">
        <w:t>economic characteristics. The HILDA survey commenced in 2001 and at the time of writing there are 23 waves of data (covering the period 2001 to 2023). A particular advantage of HILDA is that, since wave 8 (2008), the survey has collected information on method of pay setting.</w:t>
      </w:r>
    </w:p>
    <w:p w14:paraId="728E6B6F" w14:textId="77777777" w:rsidR="00677577" w:rsidRPr="00167CB8" w:rsidRDefault="00677577" w:rsidP="00677577">
      <w:pPr>
        <w:pStyle w:val="Heading5"/>
      </w:pPr>
      <w:r w:rsidRPr="00167CB8">
        <w:t>3.5.1 Method of pay setting</w:t>
      </w:r>
    </w:p>
    <w:p w14:paraId="3568879D" w14:textId="3E503B12" w:rsidR="0011475D" w:rsidRDefault="00677577" w:rsidP="00677577">
      <w:r w:rsidRPr="008C08C3">
        <w:t>Figure 4</w:t>
      </w:r>
      <w:r w:rsidR="00365C93" w:rsidRPr="008C08C3">
        <w:t>6</w:t>
      </w:r>
      <w:r w:rsidRPr="007B334A">
        <w:t xml:space="preserve"> sh</w:t>
      </w:r>
      <w:r w:rsidRPr="00167CB8">
        <w:t>ows trends in the various pay setting methods between 2008 and 2023</w:t>
      </w:r>
      <w:r>
        <w:t>. The data</w:t>
      </w:r>
      <w:r w:rsidRPr="00167CB8">
        <w:t>, disaggregated by gender</w:t>
      </w:r>
      <w:r>
        <w:t xml:space="preserve">, is </w:t>
      </w:r>
      <w:r w:rsidRPr="007B334A">
        <w:t xml:space="preserve">presented in </w:t>
      </w:r>
      <w:r w:rsidRPr="005B6BFB">
        <w:t xml:space="preserve">Table </w:t>
      </w:r>
      <w:r w:rsidR="00EE66EE" w:rsidRPr="005B6BFB">
        <w:t>5</w:t>
      </w:r>
      <w:r w:rsidR="00EE66EE">
        <w:t>2</w:t>
      </w:r>
      <w:r w:rsidRPr="007B334A">
        <w:t>.</w:t>
      </w:r>
    </w:p>
    <w:p w14:paraId="43DC4B28" w14:textId="26F70845" w:rsidR="00677577" w:rsidRPr="00167CB8" w:rsidRDefault="00677577" w:rsidP="00677577">
      <w:r w:rsidRPr="00167CB8">
        <w:t>As shown, the share of employees paid by the award (only) has been steadily declining, while the share of employees covered by a collective agreement has been steadily increasing. The majority of male employees are paid according to an individual arrangement (39% in 2022</w:t>
      </w:r>
      <w:r w:rsidRPr="00167CB8">
        <w:rPr>
          <w:rFonts w:ascii="Symbol" w:eastAsia="Symbol" w:hAnsi="Symbol" w:cs="Symbol"/>
        </w:rPr>
        <w:t>-</w:t>
      </w:r>
      <w:r w:rsidRPr="00167CB8">
        <w:t>23), with only 25% paid by the award. In comparison, among women, around one-third are paid by a collective agreement, one-third by an individual arrangement, and one-third by the award</w:t>
      </w:r>
      <w:r>
        <w:t xml:space="preserve"> </w:t>
      </w:r>
      <w:r w:rsidRPr="007B334A">
        <w:t>(</w:t>
      </w:r>
      <w:r w:rsidRPr="005B6BFB">
        <w:t xml:space="preserve">Table </w:t>
      </w:r>
      <w:r w:rsidR="00EE66EE" w:rsidRPr="005B6BFB">
        <w:t>5</w:t>
      </w:r>
      <w:r w:rsidR="00EE66EE">
        <w:t>2</w:t>
      </w:r>
      <w:r w:rsidRPr="007B334A">
        <w:t>).</w:t>
      </w:r>
    </w:p>
    <w:p w14:paraId="2EFB1DB9" w14:textId="4F04AE3A" w:rsidR="0011475D" w:rsidRDefault="00677577" w:rsidP="00677577">
      <w:r w:rsidRPr="005B6BFB">
        <w:t xml:space="preserve">Table </w:t>
      </w:r>
      <w:r w:rsidR="00EE66EE" w:rsidRPr="005B6BFB">
        <w:t>5</w:t>
      </w:r>
      <w:r w:rsidR="00EE66EE">
        <w:t>3</w:t>
      </w:r>
      <w:r w:rsidR="00EE66EE" w:rsidRPr="007B334A">
        <w:t xml:space="preserve"> </w:t>
      </w:r>
      <w:r w:rsidRPr="007B334A">
        <w:t>describes trends in methods of pay setting disaggregated by employment status (full-</w:t>
      </w:r>
      <w:r w:rsidRPr="00167CB8">
        <w:t>time and part-time). Part-timers, as shown, are much more likely to be award reliant.</w:t>
      </w:r>
    </w:p>
    <w:p w14:paraId="1FEAA1FE" w14:textId="5CD85E8F" w:rsidR="00677577" w:rsidRPr="005B6BFB" w:rsidRDefault="00365C93" w:rsidP="005B6BFB">
      <w:pPr>
        <w:pStyle w:val="Caption"/>
      </w:pPr>
      <w:bookmarkStart w:id="945" w:name="_Toc186991798"/>
      <w:bookmarkStart w:id="946" w:name="_Toc189310831"/>
      <w:bookmarkStart w:id="947" w:name="_Toc194251544"/>
      <w:r>
        <w:t xml:space="preserve">Figure </w:t>
      </w:r>
      <w:r>
        <w:fldChar w:fldCharType="begin"/>
      </w:r>
      <w:r>
        <w:instrText xml:space="preserve"> SEQ Figure \* ARABIC </w:instrText>
      </w:r>
      <w:r>
        <w:fldChar w:fldCharType="separate"/>
      </w:r>
      <w:r w:rsidR="00DE5F5E">
        <w:rPr>
          <w:noProof/>
        </w:rPr>
        <w:t>46</w:t>
      </w:r>
      <w:r>
        <w:fldChar w:fldCharType="end"/>
      </w:r>
      <w:r>
        <w:t xml:space="preserve">: </w:t>
      </w:r>
      <w:r w:rsidR="00677577" w:rsidRPr="005B6BFB">
        <w:t>Trends in method of pay setting</w:t>
      </w:r>
      <w:bookmarkEnd w:id="945"/>
      <w:r w:rsidR="00677577" w:rsidRPr="005B6BFB">
        <w:t>, 2008</w:t>
      </w:r>
      <w:r w:rsidR="00677577" w:rsidRPr="005B6BFB">
        <w:rPr>
          <w:rFonts w:ascii="Symbol" w:eastAsia="Symbol" w:hAnsi="Symbol" w:cs="Symbol"/>
        </w:rPr>
        <w:t>-</w:t>
      </w:r>
      <w:r w:rsidR="00677577" w:rsidRPr="005B6BFB">
        <w:t>09 to 2022</w:t>
      </w:r>
      <w:r w:rsidR="00677577" w:rsidRPr="005B6BFB">
        <w:rPr>
          <w:rFonts w:ascii="Symbol" w:eastAsia="Symbol" w:hAnsi="Symbol" w:cs="Symbol"/>
        </w:rPr>
        <w:t>-</w:t>
      </w:r>
      <w:r w:rsidR="00677577" w:rsidRPr="005B6BFB">
        <w:t>23</w:t>
      </w:r>
      <w:bookmarkEnd w:id="946"/>
      <w:bookmarkEnd w:id="947"/>
    </w:p>
    <w:p w14:paraId="07554C5E" w14:textId="3C85B077" w:rsidR="00677577" w:rsidRPr="00167CB8" w:rsidRDefault="00677577" w:rsidP="00677577">
      <w:r w:rsidRPr="00167CB8">
        <w:rPr>
          <w:noProof/>
        </w:rPr>
        <w:drawing>
          <wp:inline distT="0" distB="0" distL="0" distR="0" wp14:anchorId="7E76A51F" wp14:editId="72AC1CDD">
            <wp:extent cx="5724525" cy="3743325"/>
            <wp:effectExtent l="0" t="0" r="9525" b="9525"/>
            <wp:docPr id="813590354" name="Picture 43" descr="A line graph showing trends in method of pay setting.&#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590354" name="Picture 43" descr="A line graph showing trends in method of pay setting.&#10;&#10;See alt-text following the sourc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24525" cy="3743325"/>
                    </a:xfrm>
                    <a:prstGeom prst="rect">
                      <a:avLst/>
                    </a:prstGeom>
                    <a:noFill/>
                    <a:ln>
                      <a:noFill/>
                    </a:ln>
                  </pic:spPr>
                </pic:pic>
              </a:graphicData>
            </a:graphic>
          </wp:inline>
        </w:drawing>
      </w:r>
    </w:p>
    <w:p w14:paraId="6F39676D" w14:textId="77777777" w:rsidR="00882155" w:rsidRDefault="00557837" w:rsidP="00677577">
      <w:pPr>
        <w:pStyle w:val="Source"/>
      </w:pPr>
      <w:r>
        <w:rPr>
          <w:b/>
          <w:bCs/>
        </w:rPr>
        <w:t xml:space="preserve">Note: </w:t>
      </w:r>
      <w:r>
        <w:t xml:space="preserve">EA denotes enterprise agreement and IA denotes Individual Arrangement. Combination indicates </w:t>
      </w:r>
      <w:r w:rsidR="00882155">
        <w:t>method of payment comes from a combination of approaches.</w:t>
      </w:r>
    </w:p>
    <w:p w14:paraId="6E5F6360" w14:textId="60491863" w:rsidR="00677577" w:rsidRPr="00167CB8" w:rsidRDefault="00591232" w:rsidP="00677577">
      <w:pPr>
        <w:pStyle w:val="Source"/>
      </w:pPr>
      <w:r w:rsidRPr="00167CB8">
        <w:rPr>
          <w:b/>
          <w:bCs/>
        </w:rPr>
        <w:t>Source:</w:t>
      </w:r>
      <w:r w:rsidRPr="00167CB8">
        <w:t xml:space="preserve"> Household, Income and Labour Dynamics in Australia (HILDA) Survey, waves 8 to 23.</w:t>
      </w:r>
    </w:p>
    <w:p w14:paraId="72E20EC7" w14:textId="34DA3BDF" w:rsidR="00677577" w:rsidRPr="00167CB8" w:rsidRDefault="00677577" w:rsidP="00A80DBC">
      <w:pPr>
        <w:pStyle w:val="Source"/>
        <w:rPr>
          <w:i/>
          <w:iCs/>
        </w:rPr>
      </w:pPr>
      <w:r w:rsidRPr="00167CB8">
        <w:rPr>
          <w:b/>
          <w:bCs/>
        </w:rPr>
        <w:t>Alt-text:</w:t>
      </w:r>
      <w:r w:rsidRPr="00167CB8">
        <w:t xml:space="preserve"> A line graph showing trends in the share of employees paid according to a particular method of payment. The share </w:t>
      </w:r>
      <w:r w:rsidR="0016448B">
        <w:t xml:space="preserve">of employees </w:t>
      </w:r>
      <w:r w:rsidRPr="00167CB8">
        <w:t>who are award reliant has been trending down</w:t>
      </w:r>
      <w:r w:rsidR="00882155">
        <w:t>.</w:t>
      </w:r>
      <w:r w:rsidRPr="00167CB8">
        <w:br w:type="page"/>
      </w:r>
    </w:p>
    <w:p w14:paraId="655DD1A4" w14:textId="77777777" w:rsidR="00677577" w:rsidRPr="000A1DC7" w:rsidRDefault="00677577" w:rsidP="00677577">
      <w:pPr>
        <w:rPr>
          <w:i/>
          <w:iCs/>
        </w:rPr>
        <w:sectPr w:rsidR="00677577" w:rsidRPr="000A1DC7" w:rsidSect="00677577">
          <w:pgSz w:w="11906" w:h="16838"/>
          <w:pgMar w:top="1440" w:right="1440" w:bottom="1440" w:left="1440" w:header="708" w:footer="708" w:gutter="0"/>
          <w:cols w:space="720"/>
          <w:docGrid w:linePitch="299"/>
        </w:sectPr>
      </w:pPr>
    </w:p>
    <w:p w14:paraId="5B406967" w14:textId="0D2F41EA" w:rsidR="00677577" w:rsidRPr="00167CB8" w:rsidRDefault="00365C93" w:rsidP="007F380D">
      <w:pPr>
        <w:pStyle w:val="Caption"/>
      </w:pPr>
      <w:bookmarkStart w:id="948" w:name="_Ref186907459"/>
      <w:bookmarkStart w:id="949" w:name="_Toc186991825"/>
      <w:bookmarkStart w:id="950" w:name="_Toc189310876"/>
      <w:bookmarkStart w:id="951" w:name="_Toc194251476"/>
      <w:r>
        <w:t xml:space="preserve">Table </w:t>
      </w:r>
      <w:r>
        <w:fldChar w:fldCharType="begin"/>
      </w:r>
      <w:r>
        <w:instrText xml:space="preserve"> SEQ Table \* ARABIC </w:instrText>
      </w:r>
      <w:r>
        <w:fldChar w:fldCharType="separate"/>
      </w:r>
      <w:r w:rsidR="00DE5F5E">
        <w:rPr>
          <w:noProof/>
        </w:rPr>
        <w:t>52</w:t>
      </w:r>
      <w:r>
        <w:fldChar w:fldCharType="end"/>
      </w:r>
      <w:r>
        <w:t xml:space="preserve">: </w:t>
      </w:r>
      <w:bookmarkEnd w:id="948"/>
      <w:r w:rsidR="00677577" w:rsidRPr="00167CB8">
        <w:t>Trends in methods of pay setting of employees, disaggregate by gender, 2008</w:t>
      </w:r>
      <w:r w:rsidR="0016448B">
        <w:rPr>
          <w:rFonts w:ascii="Symbol" w:eastAsia="Symbol" w:hAnsi="Symbol" w:cs="Symbol"/>
        </w:rPr>
        <w:t>-</w:t>
      </w:r>
      <w:r w:rsidR="0016448B">
        <w:t>0</w:t>
      </w:r>
      <w:r w:rsidR="00677577" w:rsidRPr="00167CB8">
        <w:t>9 to 2022</w:t>
      </w:r>
      <w:r w:rsidR="0016448B">
        <w:rPr>
          <w:rFonts w:ascii="Symbol" w:eastAsia="Symbol" w:hAnsi="Symbol" w:cs="Symbol"/>
        </w:rPr>
        <w:t>-</w:t>
      </w:r>
      <w:r w:rsidR="00677577" w:rsidRPr="00167CB8">
        <w:t>23</w:t>
      </w:r>
      <w:bookmarkEnd w:id="949"/>
      <w:bookmarkEnd w:id="950"/>
      <w:bookmarkEnd w:id="951"/>
    </w:p>
    <w:tbl>
      <w:tblPr>
        <w:tblW w:w="1394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90"/>
        <w:gridCol w:w="941"/>
        <w:gridCol w:w="941"/>
        <w:gridCol w:w="1559"/>
        <w:gridCol w:w="845"/>
        <w:gridCol w:w="853"/>
        <w:gridCol w:w="854"/>
        <w:gridCol w:w="1701"/>
        <w:gridCol w:w="878"/>
        <w:gridCol w:w="907"/>
        <w:gridCol w:w="908"/>
        <w:gridCol w:w="1559"/>
        <w:gridCol w:w="912"/>
      </w:tblGrid>
      <w:tr w:rsidR="00677577" w:rsidRPr="00167CB8" w14:paraId="29D0C00A" w14:textId="77777777" w:rsidTr="00AC7528">
        <w:trPr>
          <w:trHeight w:val="20"/>
        </w:trPr>
        <w:tc>
          <w:tcPr>
            <w:tcW w:w="1090" w:type="dxa"/>
            <w:tcBorders>
              <w:top w:val="single" w:sz="4" w:space="0" w:color="auto"/>
              <w:left w:val="single" w:sz="4" w:space="0" w:color="auto"/>
              <w:bottom w:val="nil"/>
              <w:right w:val="single" w:sz="4" w:space="0" w:color="auto"/>
            </w:tcBorders>
            <w:noWrap/>
            <w:vAlign w:val="bottom"/>
            <w:hideMark/>
          </w:tcPr>
          <w:p w14:paraId="511872AD" w14:textId="77777777" w:rsidR="00677577" w:rsidRPr="00663CBD" w:rsidRDefault="00677577">
            <w:pPr>
              <w:spacing w:after="0" w:line="240" w:lineRule="auto"/>
              <w:rPr>
                <w:b/>
                <w:bCs/>
                <w:sz w:val="20"/>
                <w:szCs w:val="20"/>
              </w:rPr>
            </w:pPr>
          </w:p>
        </w:tc>
        <w:tc>
          <w:tcPr>
            <w:tcW w:w="4286" w:type="dxa"/>
            <w:gridSpan w:val="4"/>
            <w:tcBorders>
              <w:top w:val="single" w:sz="4" w:space="0" w:color="auto"/>
              <w:left w:val="single" w:sz="4" w:space="0" w:color="auto"/>
              <w:bottom w:val="nil"/>
              <w:right w:val="single" w:sz="4" w:space="0" w:color="auto"/>
            </w:tcBorders>
            <w:noWrap/>
            <w:vAlign w:val="bottom"/>
            <w:hideMark/>
          </w:tcPr>
          <w:p w14:paraId="3CC76EDA" w14:textId="63E462C1" w:rsidR="00677577" w:rsidRPr="00663CBD" w:rsidRDefault="00AC7528" w:rsidP="00A80DBC">
            <w:pPr>
              <w:spacing w:after="0" w:line="240" w:lineRule="auto"/>
              <w:jc w:val="right"/>
              <w:rPr>
                <w:b/>
                <w:bCs/>
                <w:sz w:val="20"/>
                <w:szCs w:val="20"/>
              </w:rPr>
            </w:pPr>
            <w:r w:rsidRPr="00663CBD">
              <w:rPr>
                <w:b/>
                <w:bCs/>
                <w:sz w:val="20"/>
                <w:szCs w:val="20"/>
              </w:rPr>
              <w:t>Persons</w:t>
            </w:r>
          </w:p>
        </w:tc>
        <w:tc>
          <w:tcPr>
            <w:tcW w:w="4286" w:type="dxa"/>
            <w:gridSpan w:val="4"/>
            <w:tcBorders>
              <w:top w:val="single" w:sz="4" w:space="0" w:color="auto"/>
              <w:left w:val="single" w:sz="4" w:space="0" w:color="auto"/>
              <w:bottom w:val="nil"/>
              <w:right w:val="single" w:sz="4" w:space="0" w:color="auto"/>
            </w:tcBorders>
            <w:noWrap/>
            <w:vAlign w:val="bottom"/>
            <w:hideMark/>
          </w:tcPr>
          <w:p w14:paraId="49056DB7" w14:textId="5EBA4DAB" w:rsidR="00677577" w:rsidRPr="00663CBD" w:rsidRDefault="00AC7528" w:rsidP="00A80DBC">
            <w:pPr>
              <w:spacing w:after="0" w:line="240" w:lineRule="auto"/>
              <w:jc w:val="right"/>
              <w:rPr>
                <w:b/>
                <w:bCs/>
                <w:sz w:val="20"/>
                <w:szCs w:val="20"/>
              </w:rPr>
            </w:pPr>
            <w:r w:rsidRPr="00663CBD">
              <w:rPr>
                <w:b/>
                <w:bCs/>
                <w:sz w:val="20"/>
                <w:szCs w:val="20"/>
              </w:rPr>
              <w:t>Men</w:t>
            </w:r>
          </w:p>
        </w:tc>
        <w:tc>
          <w:tcPr>
            <w:tcW w:w="4286" w:type="dxa"/>
            <w:gridSpan w:val="4"/>
            <w:tcBorders>
              <w:top w:val="single" w:sz="4" w:space="0" w:color="auto"/>
              <w:left w:val="single" w:sz="4" w:space="0" w:color="auto"/>
              <w:bottom w:val="nil"/>
              <w:right w:val="single" w:sz="4" w:space="0" w:color="auto"/>
            </w:tcBorders>
            <w:noWrap/>
            <w:vAlign w:val="bottom"/>
            <w:hideMark/>
          </w:tcPr>
          <w:p w14:paraId="78247606" w14:textId="2E96B060" w:rsidR="00677577" w:rsidRPr="00663CBD" w:rsidRDefault="00AC7528" w:rsidP="00A80DBC">
            <w:pPr>
              <w:spacing w:after="0" w:line="240" w:lineRule="auto"/>
              <w:jc w:val="right"/>
              <w:rPr>
                <w:b/>
                <w:bCs/>
                <w:sz w:val="20"/>
                <w:szCs w:val="20"/>
              </w:rPr>
            </w:pPr>
            <w:r w:rsidRPr="00663CBD">
              <w:rPr>
                <w:b/>
                <w:bCs/>
                <w:sz w:val="20"/>
                <w:szCs w:val="20"/>
              </w:rPr>
              <w:t>Women</w:t>
            </w:r>
          </w:p>
        </w:tc>
      </w:tr>
      <w:tr w:rsidR="005A0DE5" w:rsidRPr="00167CB8" w14:paraId="287311D7" w14:textId="77777777" w:rsidTr="002B1A16">
        <w:trPr>
          <w:trHeight w:val="20"/>
        </w:trPr>
        <w:tc>
          <w:tcPr>
            <w:tcW w:w="1090" w:type="dxa"/>
            <w:tcBorders>
              <w:top w:val="nil"/>
              <w:left w:val="single" w:sz="4" w:space="0" w:color="auto"/>
              <w:bottom w:val="single" w:sz="4" w:space="0" w:color="auto"/>
              <w:right w:val="single" w:sz="4" w:space="0" w:color="auto"/>
            </w:tcBorders>
            <w:noWrap/>
            <w:vAlign w:val="bottom"/>
            <w:hideMark/>
          </w:tcPr>
          <w:p w14:paraId="4863FCD9" w14:textId="77777777" w:rsidR="00677577" w:rsidRPr="00663CBD" w:rsidRDefault="00677577">
            <w:pPr>
              <w:spacing w:after="0" w:line="240" w:lineRule="auto"/>
              <w:rPr>
                <w:b/>
                <w:bCs/>
                <w:sz w:val="20"/>
                <w:szCs w:val="20"/>
              </w:rPr>
            </w:pPr>
          </w:p>
        </w:tc>
        <w:tc>
          <w:tcPr>
            <w:tcW w:w="941" w:type="dxa"/>
            <w:tcBorders>
              <w:top w:val="nil"/>
              <w:left w:val="single" w:sz="4" w:space="0" w:color="auto"/>
              <w:bottom w:val="single" w:sz="4" w:space="0" w:color="auto"/>
              <w:right w:val="nil"/>
            </w:tcBorders>
            <w:noWrap/>
            <w:vAlign w:val="bottom"/>
            <w:hideMark/>
          </w:tcPr>
          <w:p w14:paraId="3EE7FA08" w14:textId="6F07ED44" w:rsidR="00677577" w:rsidRPr="00663CBD" w:rsidRDefault="00677577" w:rsidP="00A80DBC">
            <w:pPr>
              <w:spacing w:after="0" w:line="240" w:lineRule="auto"/>
              <w:jc w:val="right"/>
              <w:rPr>
                <w:b/>
                <w:bCs/>
                <w:sz w:val="20"/>
                <w:szCs w:val="20"/>
              </w:rPr>
            </w:pPr>
            <w:r w:rsidRPr="00663CBD">
              <w:rPr>
                <w:b/>
                <w:bCs/>
                <w:sz w:val="20"/>
                <w:szCs w:val="20"/>
              </w:rPr>
              <w:t>CA</w:t>
            </w:r>
          </w:p>
        </w:tc>
        <w:tc>
          <w:tcPr>
            <w:tcW w:w="941" w:type="dxa"/>
            <w:tcBorders>
              <w:top w:val="nil"/>
              <w:left w:val="nil"/>
              <w:bottom w:val="single" w:sz="4" w:space="0" w:color="auto"/>
              <w:right w:val="nil"/>
            </w:tcBorders>
            <w:noWrap/>
            <w:vAlign w:val="bottom"/>
            <w:hideMark/>
          </w:tcPr>
          <w:p w14:paraId="646FDFA4" w14:textId="77777777" w:rsidR="00677577" w:rsidRPr="00663CBD" w:rsidRDefault="00677577" w:rsidP="00A80DBC">
            <w:pPr>
              <w:spacing w:after="0" w:line="240" w:lineRule="auto"/>
              <w:jc w:val="right"/>
              <w:rPr>
                <w:b/>
                <w:bCs/>
                <w:sz w:val="20"/>
                <w:szCs w:val="20"/>
              </w:rPr>
            </w:pPr>
            <w:r w:rsidRPr="00663CBD">
              <w:rPr>
                <w:b/>
                <w:bCs/>
                <w:sz w:val="20"/>
                <w:szCs w:val="20"/>
              </w:rPr>
              <w:t>IA</w:t>
            </w:r>
          </w:p>
        </w:tc>
        <w:tc>
          <w:tcPr>
            <w:tcW w:w="1559" w:type="dxa"/>
            <w:tcBorders>
              <w:top w:val="nil"/>
              <w:left w:val="nil"/>
              <w:bottom w:val="single" w:sz="4" w:space="0" w:color="auto"/>
              <w:right w:val="nil"/>
            </w:tcBorders>
            <w:noWrap/>
            <w:vAlign w:val="bottom"/>
            <w:hideMark/>
          </w:tcPr>
          <w:p w14:paraId="32E39582" w14:textId="77777777" w:rsidR="00677577" w:rsidRPr="00663CBD" w:rsidRDefault="00677577" w:rsidP="00A80DBC">
            <w:pPr>
              <w:spacing w:after="0" w:line="240" w:lineRule="auto"/>
              <w:jc w:val="right"/>
              <w:rPr>
                <w:b/>
                <w:bCs/>
                <w:sz w:val="20"/>
                <w:szCs w:val="20"/>
              </w:rPr>
            </w:pPr>
            <w:r w:rsidRPr="00663CBD">
              <w:rPr>
                <w:b/>
                <w:bCs/>
                <w:sz w:val="20"/>
                <w:szCs w:val="20"/>
              </w:rPr>
              <w:t>Combination</w:t>
            </w:r>
          </w:p>
        </w:tc>
        <w:tc>
          <w:tcPr>
            <w:tcW w:w="845" w:type="dxa"/>
            <w:tcBorders>
              <w:top w:val="nil"/>
              <w:left w:val="nil"/>
              <w:bottom w:val="single" w:sz="4" w:space="0" w:color="auto"/>
              <w:right w:val="single" w:sz="4" w:space="0" w:color="auto"/>
            </w:tcBorders>
            <w:noWrap/>
            <w:vAlign w:val="bottom"/>
            <w:hideMark/>
          </w:tcPr>
          <w:p w14:paraId="5FEB6A86" w14:textId="77777777" w:rsidR="00677577" w:rsidRPr="00663CBD" w:rsidRDefault="00677577" w:rsidP="00A80DBC">
            <w:pPr>
              <w:spacing w:after="0" w:line="240" w:lineRule="auto"/>
              <w:jc w:val="right"/>
              <w:rPr>
                <w:b/>
                <w:bCs/>
                <w:sz w:val="20"/>
                <w:szCs w:val="20"/>
              </w:rPr>
            </w:pPr>
            <w:r w:rsidRPr="00663CBD">
              <w:rPr>
                <w:b/>
                <w:bCs/>
                <w:sz w:val="20"/>
                <w:szCs w:val="20"/>
              </w:rPr>
              <w:t>Award</w:t>
            </w:r>
          </w:p>
        </w:tc>
        <w:tc>
          <w:tcPr>
            <w:tcW w:w="853" w:type="dxa"/>
            <w:tcBorders>
              <w:top w:val="nil"/>
              <w:left w:val="single" w:sz="4" w:space="0" w:color="auto"/>
              <w:bottom w:val="single" w:sz="4" w:space="0" w:color="auto"/>
              <w:right w:val="nil"/>
            </w:tcBorders>
            <w:noWrap/>
            <w:vAlign w:val="bottom"/>
            <w:hideMark/>
          </w:tcPr>
          <w:p w14:paraId="65628FC3" w14:textId="5ADA5C77" w:rsidR="00677577" w:rsidRPr="00663CBD" w:rsidRDefault="002B1A16" w:rsidP="00A80DBC">
            <w:pPr>
              <w:spacing w:after="0" w:line="240" w:lineRule="auto"/>
              <w:jc w:val="right"/>
              <w:rPr>
                <w:b/>
                <w:bCs/>
                <w:sz w:val="20"/>
                <w:szCs w:val="20"/>
              </w:rPr>
            </w:pPr>
            <w:r>
              <w:rPr>
                <w:b/>
                <w:bCs/>
                <w:sz w:val="20"/>
                <w:szCs w:val="20"/>
              </w:rPr>
              <w:t>C</w:t>
            </w:r>
            <w:r w:rsidRPr="00663CBD">
              <w:rPr>
                <w:b/>
                <w:bCs/>
                <w:sz w:val="20"/>
                <w:szCs w:val="20"/>
              </w:rPr>
              <w:t>A</w:t>
            </w:r>
          </w:p>
        </w:tc>
        <w:tc>
          <w:tcPr>
            <w:tcW w:w="854" w:type="dxa"/>
            <w:tcBorders>
              <w:top w:val="nil"/>
              <w:left w:val="nil"/>
              <w:bottom w:val="single" w:sz="4" w:space="0" w:color="auto"/>
              <w:right w:val="nil"/>
            </w:tcBorders>
            <w:noWrap/>
            <w:vAlign w:val="bottom"/>
            <w:hideMark/>
          </w:tcPr>
          <w:p w14:paraId="11321A10" w14:textId="77777777" w:rsidR="00677577" w:rsidRPr="00663CBD" w:rsidRDefault="00677577" w:rsidP="00A80DBC">
            <w:pPr>
              <w:spacing w:after="0" w:line="240" w:lineRule="auto"/>
              <w:jc w:val="right"/>
              <w:rPr>
                <w:b/>
                <w:bCs/>
                <w:sz w:val="20"/>
                <w:szCs w:val="20"/>
              </w:rPr>
            </w:pPr>
            <w:r w:rsidRPr="00663CBD">
              <w:rPr>
                <w:b/>
                <w:bCs/>
                <w:sz w:val="20"/>
                <w:szCs w:val="20"/>
              </w:rPr>
              <w:t>IA</w:t>
            </w:r>
          </w:p>
        </w:tc>
        <w:tc>
          <w:tcPr>
            <w:tcW w:w="1701" w:type="dxa"/>
            <w:tcBorders>
              <w:top w:val="nil"/>
              <w:left w:val="nil"/>
              <w:bottom w:val="single" w:sz="4" w:space="0" w:color="auto"/>
              <w:right w:val="nil"/>
            </w:tcBorders>
            <w:noWrap/>
            <w:vAlign w:val="bottom"/>
            <w:hideMark/>
          </w:tcPr>
          <w:p w14:paraId="4A1E92B5" w14:textId="77777777" w:rsidR="00677577" w:rsidRPr="00663CBD" w:rsidRDefault="00677577" w:rsidP="00A80DBC">
            <w:pPr>
              <w:spacing w:after="0" w:line="240" w:lineRule="auto"/>
              <w:jc w:val="right"/>
              <w:rPr>
                <w:b/>
                <w:bCs/>
                <w:sz w:val="20"/>
                <w:szCs w:val="20"/>
              </w:rPr>
            </w:pPr>
            <w:r w:rsidRPr="00663CBD">
              <w:rPr>
                <w:b/>
                <w:bCs/>
                <w:sz w:val="20"/>
                <w:szCs w:val="20"/>
              </w:rPr>
              <w:t>Combination</w:t>
            </w:r>
          </w:p>
        </w:tc>
        <w:tc>
          <w:tcPr>
            <w:tcW w:w="878" w:type="dxa"/>
            <w:tcBorders>
              <w:top w:val="nil"/>
              <w:left w:val="nil"/>
              <w:bottom w:val="single" w:sz="4" w:space="0" w:color="auto"/>
              <w:right w:val="single" w:sz="4" w:space="0" w:color="auto"/>
            </w:tcBorders>
            <w:noWrap/>
            <w:vAlign w:val="bottom"/>
            <w:hideMark/>
          </w:tcPr>
          <w:p w14:paraId="11EEFAC1" w14:textId="77777777" w:rsidR="00677577" w:rsidRPr="00663CBD" w:rsidRDefault="00677577" w:rsidP="00A80DBC">
            <w:pPr>
              <w:spacing w:after="0" w:line="240" w:lineRule="auto"/>
              <w:jc w:val="right"/>
              <w:rPr>
                <w:b/>
                <w:bCs/>
                <w:sz w:val="20"/>
                <w:szCs w:val="20"/>
              </w:rPr>
            </w:pPr>
            <w:r w:rsidRPr="00663CBD">
              <w:rPr>
                <w:b/>
                <w:bCs/>
                <w:sz w:val="20"/>
                <w:szCs w:val="20"/>
              </w:rPr>
              <w:t>Award</w:t>
            </w:r>
          </w:p>
        </w:tc>
        <w:tc>
          <w:tcPr>
            <w:tcW w:w="907" w:type="dxa"/>
            <w:tcBorders>
              <w:top w:val="nil"/>
              <w:left w:val="single" w:sz="4" w:space="0" w:color="auto"/>
              <w:bottom w:val="single" w:sz="4" w:space="0" w:color="auto"/>
              <w:right w:val="nil"/>
            </w:tcBorders>
            <w:noWrap/>
            <w:vAlign w:val="bottom"/>
            <w:hideMark/>
          </w:tcPr>
          <w:p w14:paraId="18167F27" w14:textId="36FCC021" w:rsidR="00677577" w:rsidRPr="00663CBD" w:rsidRDefault="002B1A16" w:rsidP="00A80DBC">
            <w:pPr>
              <w:spacing w:after="0" w:line="240" w:lineRule="auto"/>
              <w:jc w:val="right"/>
              <w:rPr>
                <w:b/>
                <w:bCs/>
                <w:sz w:val="20"/>
                <w:szCs w:val="20"/>
              </w:rPr>
            </w:pPr>
            <w:r>
              <w:rPr>
                <w:b/>
                <w:bCs/>
                <w:sz w:val="20"/>
                <w:szCs w:val="20"/>
              </w:rPr>
              <w:t>C</w:t>
            </w:r>
            <w:r w:rsidRPr="00663CBD">
              <w:rPr>
                <w:b/>
                <w:bCs/>
                <w:sz w:val="20"/>
                <w:szCs w:val="20"/>
              </w:rPr>
              <w:t>A</w:t>
            </w:r>
          </w:p>
        </w:tc>
        <w:tc>
          <w:tcPr>
            <w:tcW w:w="908" w:type="dxa"/>
            <w:tcBorders>
              <w:top w:val="nil"/>
              <w:left w:val="nil"/>
              <w:bottom w:val="single" w:sz="4" w:space="0" w:color="auto"/>
              <w:right w:val="nil"/>
            </w:tcBorders>
            <w:noWrap/>
            <w:vAlign w:val="bottom"/>
            <w:hideMark/>
          </w:tcPr>
          <w:p w14:paraId="3218C81F" w14:textId="77777777" w:rsidR="00677577" w:rsidRPr="00663CBD" w:rsidRDefault="00677577" w:rsidP="00A80DBC">
            <w:pPr>
              <w:spacing w:after="0" w:line="240" w:lineRule="auto"/>
              <w:jc w:val="right"/>
              <w:rPr>
                <w:b/>
                <w:bCs/>
                <w:sz w:val="20"/>
                <w:szCs w:val="20"/>
              </w:rPr>
            </w:pPr>
            <w:r w:rsidRPr="00663CBD">
              <w:rPr>
                <w:b/>
                <w:bCs/>
                <w:sz w:val="20"/>
                <w:szCs w:val="20"/>
              </w:rPr>
              <w:t>IA</w:t>
            </w:r>
          </w:p>
        </w:tc>
        <w:tc>
          <w:tcPr>
            <w:tcW w:w="1559" w:type="dxa"/>
            <w:tcBorders>
              <w:top w:val="nil"/>
              <w:left w:val="nil"/>
              <w:bottom w:val="single" w:sz="4" w:space="0" w:color="auto"/>
              <w:right w:val="nil"/>
            </w:tcBorders>
            <w:noWrap/>
            <w:vAlign w:val="bottom"/>
            <w:hideMark/>
          </w:tcPr>
          <w:p w14:paraId="7BC215A4" w14:textId="77777777" w:rsidR="00677577" w:rsidRPr="00663CBD" w:rsidRDefault="00677577" w:rsidP="00A80DBC">
            <w:pPr>
              <w:spacing w:after="0" w:line="240" w:lineRule="auto"/>
              <w:jc w:val="right"/>
              <w:rPr>
                <w:b/>
                <w:bCs/>
                <w:sz w:val="20"/>
                <w:szCs w:val="20"/>
              </w:rPr>
            </w:pPr>
            <w:r w:rsidRPr="00663CBD">
              <w:rPr>
                <w:b/>
                <w:bCs/>
                <w:sz w:val="20"/>
                <w:szCs w:val="20"/>
              </w:rPr>
              <w:t>Combination</w:t>
            </w:r>
          </w:p>
        </w:tc>
        <w:tc>
          <w:tcPr>
            <w:tcW w:w="912" w:type="dxa"/>
            <w:tcBorders>
              <w:top w:val="nil"/>
              <w:left w:val="nil"/>
              <w:bottom w:val="single" w:sz="4" w:space="0" w:color="auto"/>
              <w:right w:val="single" w:sz="4" w:space="0" w:color="auto"/>
            </w:tcBorders>
            <w:noWrap/>
            <w:vAlign w:val="bottom"/>
            <w:hideMark/>
          </w:tcPr>
          <w:p w14:paraId="5FC52040" w14:textId="77777777" w:rsidR="00677577" w:rsidRPr="00663CBD" w:rsidRDefault="00677577" w:rsidP="00A80DBC">
            <w:pPr>
              <w:spacing w:after="0" w:line="240" w:lineRule="auto"/>
              <w:jc w:val="right"/>
              <w:rPr>
                <w:b/>
                <w:bCs/>
                <w:sz w:val="20"/>
                <w:szCs w:val="20"/>
              </w:rPr>
            </w:pPr>
            <w:r w:rsidRPr="00663CBD">
              <w:rPr>
                <w:b/>
                <w:bCs/>
                <w:sz w:val="20"/>
                <w:szCs w:val="20"/>
              </w:rPr>
              <w:t>Award</w:t>
            </w:r>
          </w:p>
        </w:tc>
      </w:tr>
      <w:tr w:rsidR="00677577" w:rsidRPr="00167CB8" w14:paraId="1910485D" w14:textId="77777777" w:rsidTr="00AC7528">
        <w:trPr>
          <w:trHeight w:val="20"/>
        </w:trPr>
        <w:tc>
          <w:tcPr>
            <w:tcW w:w="1090" w:type="dxa"/>
            <w:tcBorders>
              <w:top w:val="single" w:sz="4" w:space="0" w:color="auto"/>
              <w:left w:val="single" w:sz="4" w:space="0" w:color="auto"/>
              <w:bottom w:val="nil"/>
              <w:right w:val="single" w:sz="4" w:space="0" w:color="auto"/>
            </w:tcBorders>
            <w:noWrap/>
            <w:vAlign w:val="bottom"/>
          </w:tcPr>
          <w:p w14:paraId="61802FBB" w14:textId="77777777" w:rsidR="00677577" w:rsidRPr="00663CBD" w:rsidRDefault="00677577">
            <w:pPr>
              <w:spacing w:after="0" w:line="240" w:lineRule="auto"/>
              <w:rPr>
                <w:sz w:val="20"/>
                <w:szCs w:val="20"/>
              </w:rPr>
            </w:pPr>
          </w:p>
        </w:tc>
        <w:tc>
          <w:tcPr>
            <w:tcW w:w="4286" w:type="dxa"/>
            <w:gridSpan w:val="4"/>
            <w:tcBorders>
              <w:top w:val="single" w:sz="4" w:space="0" w:color="auto"/>
              <w:left w:val="single" w:sz="4" w:space="0" w:color="auto"/>
              <w:bottom w:val="nil"/>
              <w:right w:val="single" w:sz="4" w:space="0" w:color="auto"/>
            </w:tcBorders>
            <w:noWrap/>
            <w:vAlign w:val="bottom"/>
            <w:hideMark/>
          </w:tcPr>
          <w:p w14:paraId="0DB415D8" w14:textId="77777777" w:rsidR="00677577" w:rsidRPr="00663CBD" w:rsidRDefault="00677577" w:rsidP="00A80DBC">
            <w:pPr>
              <w:spacing w:after="0" w:line="240" w:lineRule="auto"/>
              <w:jc w:val="right"/>
              <w:rPr>
                <w:sz w:val="20"/>
                <w:szCs w:val="20"/>
              </w:rPr>
            </w:pPr>
            <w:r w:rsidRPr="00663CBD">
              <w:rPr>
                <w:sz w:val="20"/>
                <w:szCs w:val="20"/>
              </w:rPr>
              <w:t>%</w:t>
            </w:r>
          </w:p>
        </w:tc>
        <w:tc>
          <w:tcPr>
            <w:tcW w:w="4286" w:type="dxa"/>
            <w:gridSpan w:val="4"/>
            <w:tcBorders>
              <w:top w:val="single" w:sz="4" w:space="0" w:color="auto"/>
              <w:left w:val="single" w:sz="4" w:space="0" w:color="auto"/>
              <w:bottom w:val="nil"/>
              <w:right w:val="single" w:sz="4" w:space="0" w:color="auto"/>
            </w:tcBorders>
            <w:noWrap/>
            <w:vAlign w:val="bottom"/>
            <w:hideMark/>
          </w:tcPr>
          <w:p w14:paraId="50B6AB14" w14:textId="77777777" w:rsidR="00677577" w:rsidRPr="00663CBD" w:rsidRDefault="00677577" w:rsidP="00A80DBC">
            <w:pPr>
              <w:spacing w:after="0" w:line="240" w:lineRule="auto"/>
              <w:jc w:val="right"/>
              <w:rPr>
                <w:sz w:val="20"/>
                <w:szCs w:val="20"/>
              </w:rPr>
            </w:pPr>
            <w:r w:rsidRPr="00663CBD">
              <w:rPr>
                <w:sz w:val="20"/>
                <w:szCs w:val="20"/>
              </w:rPr>
              <w:t>%</w:t>
            </w:r>
          </w:p>
        </w:tc>
        <w:tc>
          <w:tcPr>
            <w:tcW w:w="4286" w:type="dxa"/>
            <w:gridSpan w:val="4"/>
            <w:tcBorders>
              <w:top w:val="single" w:sz="4" w:space="0" w:color="auto"/>
              <w:left w:val="single" w:sz="4" w:space="0" w:color="auto"/>
              <w:bottom w:val="nil"/>
              <w:right w:val="single" w:sz="4" w:space="0" w:color="auto"/>
            </w:tcBorders>
            <w:noWrap/>
            <w:vAlign w:val="bottom"/>
            <w:hideMark/>
          </w:tcPr>
          <w:p w14:paraId="0ACDED2B" w14:textId="77777777" w:rsidR="00677577" w:rsidRPr="00663CBD" w:rsidRDefault="00677577" w:rsidP="00A80DBC">
            <w:pPr>
              <w:spacing w:after="0" w:line="240" w:lineRule="auto"/>
              <w:jc w:val="right"/>
              <w:rPr>
                <w:sz w:val="20"/>
                <w:szCs w:val="20"/>
              </w:rPr>
            </w:pPr>
            <w:r w:rsidRPr="00663CBD">
              <w:rPr>
                <w:sz w:val="20"/>
                <w:szCs w:val="20"/>
              </w:rPr>
              <w:t>%</w:t>
            </w:r>
          </w:p>
        </w:tc>
      </w:tr>
      <w:tr w:rsidR="005A0DE5" w:rsidRPr="00167CB8" w14:paraId="3FF6A149" w14:textId="77777777" w:rsidTr="002B1A16">
        <w:trPr>
          <w:trHeight w:val="20"/>
        </w:trPr>
        <w:tc>
          <w:tcPr>
            <w:tcW w:w="1090" w:type="dxa"/>
            <w:tcBorders>
              <w:top w:val="single" w:sz="4" w:space="0" w:color="auto"/>
              <w:left w:val="single" w:sz="4" w:space="0" w:color="auto"/>
              <w:bottom w:val="nil"/>
              <w:right w:val="single" w:sz="4" w:space="0" w:color="auto"/>
            </w:tcBorders>
            <w:noWrap/>
            <w:vAlign w:val="bottom"/>
            <w:hideMark/>
          </w:tcPr>
          <w:p w14:paraId="20B4E50A" w14:textId="2701A0B3" w:rsidR="00677577" w:rsidRPr="00663CBD" w:rsidRDefault="00677577">
            <w:pPr>
              <w:spacing w:after="0" w:line="240" w:lineRule="auto"/>
              <w:rPr>
                <w:sz w:val="20"/>
                <w:szCs w:val="20"/>
              </w:rPr>
            </w:pPr>
            <w:r w:rsidRPr="00663CBD">
              <w:rPr>
                <w:sz w:val="20"/>
                <w:szCs w:val="20"/>
              </w:rPr>
              <w:t>2008</w:t>
            </w:r>
            <w:r w:rsidRPr="00663CBD">
              <w:rPr>
                <w:rFonts w:ascii="Symbol" w:eastAsia="Symbol" w:hAnsi="Symbol" w:cs="Symbol"/>
                <w:sz w:val="20"/>
                <w:szCs w:val="20"/>
              </w:rPr>
              <w:sym w:font="Symbol" w:char="F02D"/>
            </w:r>
            <w:r w:rsidR="0016448B">
              <w:rPr>
                <w:rFonts w:ascii="Symbol" w:eastAsia="Symbol" w:hAnsi="Symbol" w:cs="Symbol"/>
                <w:sz w:val="20"/>
                <w:szCs w:val="20"/>
              </w:rPr>
              <w:t>0</w:t>
            </w:r>
            <w:r w:rsidRPr="00663CBD">
              <w:rPr>
                <w:sz w:val="20"/>
                <w:szCs w:val="20"/>
              </w:rPr>
              <w:t>9</w:t>
            </w:r>
          </w:p>
        </w:tc>
        <w:tc>
          <w:tcPr>
            <w:tcW w:w="941" w:type="dxa"/>
            <w:tcBorders>
              <w:top w:val="single" w:sz="4" w:space="0" w:color="auto"/>
              <w:left w:val="single" w:sz="4" w:space="0" w:color="auto"/>
              <w:bottom w:val="nil"/>
              <w:right w:val="nil"/>
            </w:tcBorders>
            <w:noWrap/>
            <w:vAlign w:val="bottom"/>
            <w:hideMark/>
          </w:tcPr>
          <w:p w14:paraId="56C36E86" w14:textId="77777777" w:rsidR="00677577" w:rsidRPr="00663CBD" w:rsidRDefault="00677577" w:rsidP="00A80DBC">
            <w:pPr>
              <w:spacing w:after="0" w:line="240" w:lineRule="auto"/>
              <w:jc w:val="right"/>
              <w:rPr>
                <w:sz w:val="20"/>
                <w:szCs w:val="20"/>
              </w:rPr>
            </w:pPr>
            <w:r w:rsidRPr="00663CBD">
              <w:rPr>
                <w:sz w:val="20"/>
                <w:szCs w:val="20"/>
              </w:rPr>
              <w:t>26.8</w:t>
            </w:r>
          </w:p>
        </w:tc>
        <w:tc>
          <w:tcPr>
            <w:tcW w:w="941" w:type="dxa"/>
            <w:tcBorders>
              <w:top w:val="single" w:sz="4" w:space="0" w:color="auto"/>
              <w:left w:val="nil"/>
              <w:bottom w:val="nil"/>
              <w:right w:val="nil"/>
            </w:tcBorders>
            <w:noWrap/>
            <w:vAlign w:val="bottom"/>
            <w:hideMark/>
          </w:tcPr>
          <w:p w14:paraId="2273E5DF" w14:textId="77777777" w:rsidR="00677577" w:rsidRPr="00663CBD" w:rsidRDefault="00677577" w:rsidP="00A80DBC">
            <w:pPr>
              <w:spacing w:after="0" w:line="240" w:lineRule="auto"/>
              <w:jc w:val="right"/>
              <w:rPr>
                <w:sz w:val="20"/>
                <w:szCs w:val="20"/>
              </w:rPr>
            </w:pPr>
            <w:r w:rsidRPr="00663CBD">
              <w:rPr>
                <w:sz w:val="20"/>
                <w:szCs w:val="20"/>
              </w:rPr>
              <w:t>34.3</w:t>
            </w:r>
          </w:p>
        </w:tc>
        <w:tc>
          <w:tcPr>
            <w:tcW w:w="1559" w:type="dxa"/>
            <w:tcBorders>
              <w:top w:val="single" w:sz="4" w:space="0" w:color="auto"/>
              <w:left w:val="nil"/>
              <w:bottom w:val="nil"/>
              <w:right w:val="nil"/>
            </w:tcBorders>
            <w:noWrap/>
            <w:vAlign w:val="bottom"/>
            <w:hideMark/>
          </w:tcPr>
          <w:p w14:paraId="534651A9" w14:textId="77777777" w:rsidR="00677577" w:rsidRPr="00663CBD" w:rsidRDefault="00677577" w:rsidP="00A80DBC">
            <w:pPr>
              <w:spacing w:after="0" w:line="240" w:lineRule="auto"/>
              <w:jc w:val="right"/>
              <w:rPr>
                <w:sz w:val="20"/>
                <w:szCs w:val="20"/>
              </w:rPr>
            </w:pPr>
            <w:r w:rsidRPr="00663CBD">
              <w:rPr>
                <w:sz w:val="20"/>
                <w:szCs w:val="20"/>
              </w:rPr>
              <w:t>5.4</w:t>
            </w:r>
          </w:p>
        </w:tc>
        <w:tc>
          <w:tcPr>
            <w:tcW w:w="845" w:type="dxa"/>
            <w:tcBorders>
              <w:top w:val="single" w:sz="4" w:space="0" w:color="auto"/>
              <w:left w:val="nil"/>
              <w:bottom w:val="nil"/>
              <w:right w:val="single" w:sz="4" w:space="0" w:color="auto"/>
            </w:tcBorders>
            <w:noWrap/>
            <w:vAlign w:val="bottom"/>
            <w:hideMark/>
          </w:tcPr>
          <w:p w14:paraId="4BB79C55" w14:textId="77777777" w:rsidR="00677577" w:rsidRPr="00663CBD" w:rsidRDefault="00677577" w:rsidP="00A80DBC">
            <w:pPr>
              <w:spacing w:after="0" w:line="240" w:lineRule="auto"/>
              <w:jc w:val="right"/>
              <w:rPr>
                <w:sz w:val="20"/>
                <w:szCs w:val="20"/>
              </w:rPr>
            </w:pPr>
            <w:r w:rsidRPr="00663CBD">
              <w:rPr>
                <w:sz w:val="20"/>
                <w:szCs w:val="20"/>
              </w:rPr>
              <w:t>33.5</w:t>
            </w:r>
          </w:p>
        </w:tc>
        <w:tc>
          <w:tcPr>
            <w:tcW w:w="853" w:type="dxa"/>
            <w:tcBorders>
              <w:top w:val="single" w:sz="4" w:space="0" w:color="auto"/>
              <w:left w:val="single" w:sz="4" w:space="0" w:color="auto"/>
              <w:bottom w:val="nil"/>
              <w:right w:val="nil"/>
            </w:tcBorders>
            <w:noWrap/>
            <w:vAlign w:val="bottom"/>
            <w:hideMark/>
          </w:tcPr>
          <w:p w14:paraId="5DF53DD9" w14:textId="77777777" w:rsidR="00677577" w:rsidRPr="00663CBD" w:rsidRDefault="00677577" w:rsidP="00A80DBC">
            <w:pPr>
              <w:spacing w:after="0" w:line="240" w:lineRule="auto"/>
              <w:jc w:val="right"/>
              <w:rPr>
                <w:sz w:val="20"/>
                <w:szCs w:val="20"/>
              </w:rPr>
            </w:pPr>
            <w:r w:rsidRPr="00663CBD">
              <w:rPr>
                <w:sz w:val="20"/>
                <w:szCs w:val="20"/>
              </w:rPr>
              <w:t>27.9</w:t>
            </w:r>
          </w:p>
        </w:tc>
        <w:tc>
          <w:tcPr>
            <w:tcW w:w="854" w:type="dxa"/>
            <w:tcBorders>
              <w:top w:val="single" w:sz="4" w:space="0" w:color="auto"/>
              <w:left w:val="nil"/>
              <w:bottom w:val="nil"/>
              <w:right w:val="nil"/>
            </w:tcBorders>
            <w:noWrap/>
            <w:vAlign w:val="bottom"/>
            <w:hideMark/>
          </w:tcPr>
          <w:p w14:paraId="245286EC" w14:textId="77777777" w:rsidR="00677577" w:rsidRPr="00663CBD" w:rsidRDefault="00677577" w:rsidP="00A80DBC">
            <w:pPr>
              <w:spacing w:after="0" w:line="240" w:lineRule="auto"/>
              <w:jc w:val="right"/>
              <w:rPr>
                <w:sz w:val="20"/>
                <w:szCs w:val="20"/>
              </w:rPr>
            </w:pPr>
            <w:r w:rsidRPr="00663CBD">
              <w:rPr>
                <w:sz w:val="20"/>
                <w:szCs w:val="20"/>
              </w:rPr>
              <w:t>39.7</w:t>
            </w:r>
          </w:p>
        </w:tc>
        <w:tc>
          <w:tcPr>
            <w:tcW w:w="1701" w:type="dxa"/>
            <w:tcBorders>
              <w:top w:val="single" w:sz="4" w:space="0" w:color="auto"/>
              <w:left w:val="nil"/>
              <w:bottom w:val="nil"/>
              <w:right w:val="nil"/>
            </w:tcBorders>
            <w:noWrap/>
            <w:vAlign w:val="bottom"/>
            <w:hideMark/>
          </w:tcPr>
          <w:p w14:paraId="0D0EE474" w14:textId="77777777" w:rsidR="00677577" w:rsidRPr="00663CBD" w:rsidRDefault="00677577" w:rsidP="00A80DBC">
            <w:pPr>
              <w:spacing w:after="0" w:line="240" w:lineRule="auto"/>
              <w:jc w:val="right"/>
              <w:rPr>
                <w:sz w:val="20"/>
                <w:szCs w:val="20"/>
              </w:rPr>
            </w:pPr>
            <w:r w:rsidRPr="00663CBD">
              <w:rPr>
                <w:sz w:val="20"/>
                <w:szCs w:val="20"/>
              </w:rPr>
              <w:t>6.1</w:t>
            </w:r>
          </w:p>
        </w:tc>
        <w:tc>
          <w:tcPr>
            <w:tcW w:w="878" w:type="dxa"/>
            <w:tcBorders>
              <w:top w:val="single" w:sz="4" w:space="0" w:color="auto"/>
              <w:left w:val="nil"/>
              <w:bottom w:val="nil"/>
              <w:right w:val="single" w:sz="4" w:space="0" w:color="auto"/>
            </w:tcBorders>
            <w:noWrap/>
            <w:vAlign w:val="bottom"/>
            <w:hideMark/>
          </w:tcPr>
          <w:p w14:paraId="0F5EEC04" w14:textId="77777777" w:rsidR="00677577" w:rsidRPr="00663CBD" w:rsidRDefault="00677577" w:rsidP="00A80DBC">
            <w:pPr>
              <w:spacing w:after="0" w:line="240" w:lineRule="auto"/>
              <w:jc w:val="right"/>
              <w:rPr>
                <w:sz w:val="20"/>
                <w:szCs w:val="20"/>
              </w:rPr>
            </w:pPr>
            <w:r w:rsidRPr="00663CBD">
              <w:rPr>
                <w:sz w:val="20"/>
                <w:szCs w:val="20"/>
              </w:rPr>
              <w:t>26.2</w:t>
            </w:r>
          </w:p>
        </w:tc>
        <w:tc>
          <w:tcPr>
            <w:tcW w:w="907" w:type="dxa"/>
            <w:tcBorders>
              <w:top w:val="single" w:sz="4" w:space="0" w:color="auto"/>
              <w:left w:val="single" w:sz="4" w:space="0" w:color="auto"/>
              <w:bottom w:val="nil"/>
              <w:right w:val="nil"/>
            </w:tcBorders>
            <w:noWrap/>
            <w:vAlign w:val="bottom"/>
            <w:hideMark/>
          </w:tcPr>
          <w:p w14:paraId="47911FEF" w14:textId="77777777" w:rsidR="00677577" w:rsidRPr="00663CBD" w:rsidRDefault="00677577" w:rsidP="00A80DBC">
            <w:pPr>
              <w:spacing w:after="0" w:line="240" w:lineRule="auto"/>
              <w:jc w:val="right"/>
              <w:rPr>
                <w:sz w:val="20"/>
                <w:szCs w:val="20"/>
              </w:rPr>
            </w:pPr>
            <w:r w:rsidRPr="00663CBD">
              <w:rPr>
                <w:sz w:val="20"/>
                <w:szCs w:val="20"/>
              </w:rPr>
              <w:t>26.0</w:t>
            </w:r>
          </w:p>
        </w:tc>
        <w:tc>
          <w:tcPr>
            <w:tcW w:w="908" w:type="dxa"/>
            <w:tcBorders>
              <w:top w:val="single" w:sz="4" w:space="0" w:color="auto"/>
              <w:left w:val="nil"/>
              <w:bottom w:val="nil"/>
              <w:right w:val="nil"/>
            </w:tcBorders>
            <w:noWrap/>
            <w:vAlign w:val="bottom"/>
            <w:hideMark/>
          </w:tcPr>
          <w:p w14:paraId="2582DC6F" w14:textId="77777777" w:rsidR="00677577" w:rsidRPr="00663CBD" w:rsidRDefault="00677577" w:rsidP="00A80DBC">
            <w:pPr>
              <w:spacing w:after="0" w:line="240" w:lineRule="auto"/>
              <w:jc w:val="right"/>
              <w:rPr>
                <w:sz w:val="20"/>
                <w:szCs w:val="20"/>
              </w:rPr>
            </w:pPr>
            <w:r w:rsidRPr="00663CBD">
              <w:rPr>
                <w:sz w:val="20"/>
                <w:szCs w:val="20"/>
              </w:rPr>
              <w:t>30.2</w:t>
            </w:r>
          </w:p>
        </w:tc>
        <w:tc>
          <w:tcPr>
            <w:tcW w:w="1559" w:type="dxa"/>
            <w:tcBorders>
              <w:top w:val="single" w:sz="4" w:space="0" w:color="auto"/>
              <w:left w:val="nil"/>
              <w:bottom w:val="nil"/>
              <w:right w:val="nil"/>
            </w:tcBorders>
            <w:noWrap/>
            <w:vAlign w:val="bottom"/>
            <w:hideMark/>
          </w:tcPr>
          <w:p w14:paraId="284F422D" w14:textId="77777777" w:rsidR="00677577" w:rsidRPr="00663CBD" w:rsidRDefault="00677577" w:rsidP="00A80DBC">
            <w:pPr>
              <w:spacing w:after="0" w:line="240" w:lineRule="auto"/>
              <w:jc w:val="right"/>
              <w:rPr>
                <w:sz w:val="20"/>
                <w:szCs w:val="20"/>
              </w:rPr>
            </w:pPr>
            <w:r w:rsidRPr="00663CBD">
              <w:rPr>
                <w:sz w:val="20"/>
                <w:szCs w:val="20"/>
              </w:rPr>
              <w:t>4.9</w:t>
            </w:r>
          </w:p>
        </w:tc>
        <w:tc>
          <w:tcPr>
            <w:tcW w:w="912" w:type="dxa"/>
            <w:tcBorders>
              <w:top w:val="single" w:sz="4" w:space="0" w:color="auto"/>
              <w:left w:val="nil"/>
              <w:bottom w:val="nil"/>
              <w:right w:val="single" w:sz="4" w:space="0" w:color="auto"/>
            </w:tcBorders>
            <w:noWrap/>
            <w:vAlign w:val="bottom"/>
            <w:hideMark/>
          </w:tcPr>
          <w:p w14:paraId="03AA8680" w14:textId="77777777" w:rsidR="00677577" w:rsidRPr="00663CBD" w:rsidRDefault="00677577" w:rsidP="00A80DBC">
            <w:pPr>
              <w:spacing w:after="0" w:line="240" w:lineRule="auto"/>
              <w:jc w:val="right"/>
              <w:rPr>
                <w:sz w:val="20"/>
                <w:szCs w:val="20"/>
              </w:rPr>
            </w:pPr>
            <w:r w:rsidRPr="00663CBD">
              <w:rPr>
                <w:sz w:val="20"/>
                <w:szCs w:val="20"/>
              </w:rPr>
              <w:t>39.0</w:t>
            </w:r>
          </w:p>
        </w:tc>
      </w:tr>
      <w:tr w:rsidR="005A0DE5" w:rsidRPr="00167CB8" w14:paraId="10B6BDBA" w14:textId="77777777" w:rsidTr="002B1A16">
        <w:trPr>
          <w:trHeight w:val="20"/>
        </w:trPr>
        <w:tc>
          <w:tcPr>
            <w:tcW w:w="1090" w:type="dxa"/>
            <w:tcBorders>
              <w:top w:val="nil"/>
              <w:left w:val="single" w:sz="4" w:space="0" w:color="auto"/>
              <w:bottom w:val="nil"/>
              <w:right w:val="single" w:sz="4" w:space="0" w:color="auto"/>
            </w:tcBorders>
            <w:noWrap/>
            <w:vAlign w:val="bottom"/>
            <w:hideMark/>
          </w:tcPr>
          <w:p w14:paraId="73963D9D" w14:textId="77777777" w:rsidR="00677577" w:rsidRPr="00663CBD" w:rsidRDefault="00677577">
            <w:pPr>
              <w:spacing w:after="0" w:line="240" w:lineRule="auto"/>
              <w:rPr>
                <w:sz w:val="20"/>
                <w:szCs w:val="20"/>
              </w:rPr>
            </w:pPr>
            <w:r w:rsidRPr="00663CBD">
              <w:rPr>
                <w:sz w:val="20"/>
                <w:szCs w:val="20"/>
              </w:rPr>
              <w:t>2009</w:t>
            </w:r>
            <w:r w:rsidRPr="00663CBD">
              <w:rPr>
                <w:rFonts w:ascii="Symbol" w:eastAsia="Symbol" w:hAnsi="Symbol" w:cs="Symbol"/>
                <w:sz w:val="20"/>
                <w:szCs w:val="20"/>
              </w:rPr>
              <w:sym w:font="Symbol" w:char="F02D"/>
            </w:r>
            <w:r w:rsidRPr="00663CBD">
              <w:rPr>
                <w:sz w:val="20"/>
                <w:szCs w:val="20"/>
              </w:rPr>
              <w:t>10</w:t>
            </w:r>
          </w:p>
        </w:tc>
        <w:tc>
          <w:tcPr>
            <w:tcW w:w="941" w:type="dxa"/>
            <w:tcBorders>
              <w:top w:val="nil"/>
              <w:left w:val="single" w:sz="4" w:space="0" w:color="auto"/>
              <w:bottom w:val="nil"/>
              <w:right w:val="nil"/>
            </w:tcBorders>
            <w:noWrap/>
            <w:vAlign w:val="bottom"/>
            <w:hideMark/>
          </w:tcPr>
          <w:p w14:paraId="65C6B6E7" w14:textId="77777777" w:rsidR="00677577" w:rsidRPr="00663CBD" w:rsidRDefault="00677577" w:rsidP="00A80DBC">
            <w:pPr>
              <w:spacing w:after="0" w:line="240" w:lineRule="auto"/>
              <w:jc w:val="right"/>
              <w:rPr>
                <w:sz w:val="20"/>
                <w:szCs w:val="20"/>
              </w:rPr>
            </w:pPr>
            <w:r w:rsidRPr="00663CBD">
              <w:rPr>
                <w:sz w:val="20"/>
                <w:szCs w:val="20"/>
              </w:rPr>
              <w:t>27.8</w:t>
            </w:r>
          </w:p>
        </w:tc>
        <w:tc>
          <w:tcPr>
            <w:tcW w:w="941" w:type="dxa"/>
            <w:tcBorders>
              <w:top w:val="nil"/>
              <w:left w:val="nil"/>
              <w:bottom w:val="nil"/>
              <w:right w:val="nil"/>
            </w:tcBorders>
            <w:noWrap/>
            <w:vAlign w:val="bottom"/>
            <w:hideMark/>
          </w:tcPr>
          <w:p w14:paraId="1363BA53" w14:textId="77777777" w:rsidR="00677577" w:rsidRPr="00663CBD" w:rsidRDefault="00677577" w:rsidP="00A80DBC">
            <w:pPr>
              <w:spacing w:after="0" w:line="240" w:lineRule="auto"/>
              <w:jc w:val="right"/>
              <w:rPr>
                <w:sz w:val="20"/>
                <w:szCs w:val="20"/>
              </w:rPr>
            </w:pPr>
            <w:r w:rsidRPr="00663CBD">
              <w:rPr>
                <w:sz w:val="20"/>
                <w:szCs w:val="20"/>
              </w:rPr>
              <w:t>34.8</w:t>
            </w:r>
          </w:p>
        </w:tc>
        <w:tc>
          <w:tcPr>
            <w:tcW w:w="1559" w:type="dxa"/>
            <w:tcBorders>
              <w:top w:val="nil"/>
              <w:left w:val="nil"/>
              <w:bottom w:val="nil"/>
              <w:right w:val="nil"/>
            </w:tcBorders>
            <w:noWrap/>
            <w:vAlign w:val="bottom"/>
            <w:hideMark/>
          </w:tcPr>
          <w:p w14:paraId="73EFC609" w14:textId="77777777" w:rsidR="00677577" w:rsidRPr="00663CBD" w:rsidRDefault="00677577" w:rsidP="00A80DBC">
            <w:pPr>
              <w:spacing w:after="0" w:line="240" w:lineRule="auto"/>
              <w:jc w:val="right"/>
              <w:rPr>
                <w:sz w:val="20"/>
                <w:szCs w:val="20"/>
              </w:rPr>
            </w:pPr>
            <w:r w:rsidRPr="00663CBD">
              <w:rPr>
                <w:sz w:val="20"/>
                <w:szCs w:val="20"/>
              </w:rPr>
              <w:t>4.3</w:t>
            </w:r>
          </w:p>
        </w:tc>
        <w:tc>
          <w:tcPr>
            <w:tcW w:w="845" w:type="dxa"/>
            <w:tcBorders>
              <w:top w:val="nil"/>
              <w:left w:val="nil"/>
              <w:bottom w:val="nil"/>
              <w:right w:val="single" w:sz="4" w:space="0" w:color="auto"/>
            </w:tcBorders>
            <w:noWrap/>
            <w:vAlign w:val="bottom"/>
            <w:hideMark/>
          </w:tcPr>
          <w:p w14:paraId="508D36D6" w14:textId="77777777" w:rsidR="00677577" w:rsidRPr="00663CBD" w:rsidRDefault="00677577" w:rsidP="00A80DBC">
            <w:pPr>
              <w:spacing w:after="0" w:line="240" w:lineRule="auto"/>
              <w:jc w:val="right"/>
              <w:rPr>
                <w:sz w:val="20"/>
                <w:szCs w:val="20"/>
              </w:rPr>
            </w:pPr>
            <w:r w:rsidRPr="00663CBD">
              <w:rPr>
                <w:sz w:val="20"/>
                <w:szCs w:val="20"/>
              </w:rPr>
              <w:t>33.1</w:t>
            </w:r>
          </w:p>
        </w:tc>
        <w:tc>
          <w:tcPr>
            <w:tcW w:w="853" w:type="dxa"/>
            <w:tcBorders>
              <w:top w:val="nil"/>
              <w:left w:val="single" w:sz="4" w:space="0" w:color="auto"/>
              <w:bottom w:val="nil"/>
              <w:right w:val="nil"/>
            </w:tcBorders>
            <w:noWrap/>
            <w:vAlign w:val="bottom"/>
            <w:hideMark/>
          </w:tcPr>
          <w:p w14:paraId="547D9B6A" w14:textId="77777777" w:rsidR="00677577" w:rsidRPr="00663CBD" w:rsidRDefault="00677577" w:rsidP="00A80DBC">
            <w:pPr>
              <w:spacing w:after="0" w:line="240" w:lineRule="auto"/>
              <w:jc w:val="right"/>
              <w:rPr>
                <w:sz w:val="20"/>
                <w:szCs w:val="20"/>
              </w:rPr>
            </w:pPr>
            <w:r w:rsidRPr="00663CBD">
              <w:rPr>
                <w:sz w:val="20"/>
                <w:szCs w:val="20"/>
              </w:rPr>
              <w:t>30.0</w:t>
            </w:r>
          </w:p>
        </w:tc>
        <w:tc>
          <w:tcPr>
            <w:tcW w:w="854" w:type="dxa"/>
            <w:tcBorders>
              <w:top w:val="nil"/>
              <w:left w:val="nil"/>
              <w:bottom w:val="nil"/>
              <w:right w:val="nil"/>
            </w:tcBorders>
            <w:noWrap/>
            <w:vAlign w:val="bottom"/>
            <w:hideMark/>
          </w:tcPr>
          <w:p w14:paraId="71C00C05" w14:textId="77777777" w:rsidR="00677577" w:rsidRPr="00663CBD" w:rsidRDefault="00677577" w:rsidP="00A80DBC">
            <w:pPr>
              <w:spacing w:after="0" w:line="240" w:lineRule="auto"/>
              <w:jc w:val="right"/>
              <w:rPr>
                <w:sz w:val="20"/>
                <w:szCs w:val="20"/>
              </w:rPr>
            </w:pPr>
            <w:r w:rsidRPr="00663CBD">
              <w:rPr>
                <w:sz w:val="20"/>
                <w:szCs w:val="20"/>
              </w:rPr>
              <w:t>38.7</w:t>
            </w:r>
          </w:p>
        </w:tc>
        <w:tc>
          <w:tcPr>
            <w:tcW w:w="1701" w:type="dxa"/>
            <w:tcBorders>
              <w:top w:val="nil"/>
              <w:left w:val="nil"/>
              <w:bottom w:val="nil"/>
              <w:right w:val="nil"/>
            </w:tcBorders>
            <w:noWrap/>
            <w:vAlign w:val="bottom"/>
            <w:hideMark/>
          </w:tcPr>
          <w:p w14:paraId="6F9A05D6" w14:textId="77777777" w:rsidR="00677577" w:rsidRPr="00663CBD" w:rsidRDefault="00677577" w:rsidP="00A80DBC">
            <w:pPr>
              <w:spacing w:after="0" w:line="240" w:lineRule="auto"/>
              <w:jc w:val="right"/>
              <w:rPr>
                <w:sz w:val="20"/>
                <w:szCs w:val="20"/>
              </w:rPr>
            </w:pPr>
            <w:r w:rsidRPr="00663CBD">
              <w:rPr>
                <w:sz w:val="20"/>
                <w:szCs w:val="20"/>
              </w:rPr>
              <w:t>5.0</w:t>
            </w:r>
          </w:p>
        </w:tc>
        <w:tc>
          <w:tcPr>
            <w:tcW w:w="878" w:type="dxa"/>
            <w:tcBorders>
              <w:top w:val="nil"/>
              <w:left w:val="nil"/>
              <w:bottom w:val="nil"/>
              <w:right w:val="single" w:sz="4" w:space="0" w:color="auto"/>
            </w:tcBorders>
            <w:noWrap/>
            <w:vAlign w:val="bottom"/>
            <w:hideMark/>
          </w:tcPr>
          <w:p w14:paraId="02DEE3D9" w14:textId="77777777" w:rsidR="00677577" w:rsidRPr="00663CBD" w:rsidRDefault="00677577" w:rsidP="00A80DBC">
            <w:pPr>
              <w:spacing w:after="0" w:line="240" w:lineRule="auto"/>
              <w:jc w:val="right"/>
              <w:rPr>
                <w:sz w:val="20"/>
                <w:szCs w:val="20"/>
              </w:rPr>
            </w:pPr>
            <w:r w:rsidRPr="00663CBD">
              <w:rPr>
                <w:sz w:val="20"/>
                <w:szCs w:val="20"/>
              </w:rPr>
              <w:t>26.3</w:t>
            </w:r>
          </w:p>
        </w:tc>
        <w:tc>
          <w:tcPr>
            <w:tcW w:w="907" w:type="dxa"/>
            <w:tcBorders>
              <w:top w:val="nil"/>
              <w:left w:val="single" w:sz="4" w:space="0" w:color="auto"/>
              <w:bottom w:val="nil"/>
              <w:right w:val="nil"/>
            </w:tcBorders>
            <w:noWrap/>
            <w:vAlign w:val="bottom"/>
            <w:hideMark/>
          </w:tcPr>
          <w:p w14:paraId="3BD7AE1C" w14:textId="77777777" w:rsidR="00677577" w:rsidRPr="00663CBD" w:rsidRDefault="00677577" w:rsidP="00A80DBC">
            <w:pPr>
              <w:spacing w:after="0" w:line="240" w:lineRule="auto"/>
              <w:jc w:val="right"/>
              <w:rPr>
                <w:sz w:val="20"/>
                <w:szCs w:val="20"/>
              </w:rPr>
            </w:pPr>
            <w:r w:rsidRPr="00663CBD">
              <w:rPr>
                <w:sz w:val="20"/>
                <w:szCs w:val="20"/>
              </w:rPr>
              <w:t>26.2</w:t>
            </w:r>
          </w:p>
        </w:tc>
        <w:tc>
          <w:tcPr>
            <w:tcW w:w="908" w:type="dxa"/>
            <w:tcBorders>
              <w:top w:val="nil"/>
              <w:left w:val="nil"/>
              <w:bottom w:val="nil"/>
              <w:right w:val="nil"/>
            </w:tcBorders>
            <w:noWrap/>
            <w:vAlign w:val="bottom"/>
            <w:hideMark/>
          </w:tcPr>
          <w:p w14:paraId="5C3F3D71" w14:textId="77777777" w:rsidR="00677577" w:rsidRPr="00663CBD" w:rsidRDefault="00677577" w:rsidP="00A80DBC">
            <w:pPr>
              <w:spacing w:after="0" w:line="240" w:lineRule="auto"/>
              <w:jc w:val="right"/>
              <w:rPr>
                <w:sz w:val="20"/>
                <w:szCs w:val="20"/>
              </w:rPr>
            </w:pPr>
            <w:r w:rsidRPr="00663CBD">
              <w:rPr>
                <w:sz w:val="20"/>
                <w:szCs w:val="20"/>
              </w:rPr>
              <w:t>32.0</w:t>
            </w:r>
          </w:p>
        </w:tc>
        <w:tc>
          <w:tcPr>
            <w:tcW w:w="1559" w:type="dxa"/>
            <w:tcBorders>
              <w:top w:val="nil"/>
              <w:left w:val="nil"/>
              <w:bottom w:val="nil"/>
              <w:right w:val="nil"/>
            </w:tcBorders>
            <w:noWrap/>
            <w:vAlign w:val="bottom"/>
            <w:hideMark/>
          </w:tcPr>
          <w:p w14:paraId="0124FDA8" w14:textId="77777777" w:rsidR="00677577" w:rsidRPr="00663CBD" w:rsidRDefault="00677577" w:rsidP="00A80DBC">
            <w:pPr>
              <w:spacing w:after="0" w:line="240" w:lineRule="auto"/>
              <w:jc w:val="right"/>
              <w:rPr>
                <w:sz w:val="20"/>
                <w:szCs w:val="20"/>
              </w:rPr>
            </w:pPr>
            <w:r w:rsidRPr="00663CBD">
              <w:rPr>
                <w:sz w:val="20"/>
                <w:szCs w:val="20"/>
              </w:rPr>
              <w:t>3.7</w:t>
            </w:r>
          </w:p>
        </w:tc>
        <w:tc>
          <w:tcPr>
            <w:tcW w:w="912" w:type="dxa"/>
            <w:tcBorders>
              <w:top w:val="nil"/>
              <w:left w:val="nil"/>
              <w:bottom w:val="nil"/>
              <w:right w:val="single" w:sz="4" w:space="0" w:color="auto"/>
            </w:tcBorders>
            <w:noWrap/>
            <w:vAlign w:val="bottom"/>
            <w:hideMark/>
          </w:tcPr>
          <w:p w14:paraId="0323D533" w14:textId="77777777" w:rsidR="00677577" w:rsidRPr="00663CBD" w:rsidRDefault="00677577" w:rsidP="00A80DBC">
            <w:pPr>
              <w:spacing w:after="0" w:line="240" w:lineRule="auto"/>
              <w:jc w:val="right"/>
              <w:rPr>
                <w:sz w:val="20"/>
                <w:szCs w:val="20"/>
              </w:rPr>
            </w:pPr>
            <w:r w:rsidRPr="00663CBD">
              <w:rPr>
                <w:sz w:val="20"/>
                <w:szCs w:val="20"/>
              </w:rPr>
              <w:t>38.2</w:t>
            </w:r>
          </w:p>
        </w:tc>
      </w:tr>
      <w:tr w:rsidR="005A0DE5" w:rsidRPr="00167CB8" w14:paraId="350268A4" w14:textId="77777777" w:rsidTr="002B1A16">
        <w:trPr>
          <w:trHeight w:val="20"/>
        </w:trPr>
        <w:tc>
          <w:tcPr>
            <w:tcW w:w="1090" w:type="dxa"/>
            <w:tcBorders>
              <w:top w:val="nil"/>
              <w:left w:val="single" w:sz="4" w:space="0" w:color="auto"/>
              <w:bottom w:val="nil"/>
              <w:right w:val="single" w:sz="4" w:space="0" w:color="auto"/>
            </w:tcBorders>
            <w:noWrap/>
            <w:vAlign w:val="bottom"/>
            <w:hideMark/>
          </w:tcPr>
          <w:p w14:paraId="4D995063" w14:textId="77777777" w:rsidR="00677577" w:rsidRPr="00663CBD" w:rsidRDefault="00677577">
            <w:pPr>
              <w:spacing w:after="0" w:line="240" w:lineRule="auto"/>
              <w:rPr>
                <w:sz w:val="20"/>
                <w:szCs w:val="20"/>
              </w:rPr>
            </w:pPr>
            <w:r w:rsidRPr="00663CBD">
              <w:rPr>
                <w:sz w:val="20"/>
                <w:szCs w:val="20"/>
              </w:rPr>
              <w:t>2010</w:t>
            </w:r>
            <w:r w:rsidRPr="00663CBD">
              <w:rPr>
                <w:rFonts w:ascii="Symbol" w:eastAsia="Symbol" w:hAnsi="Symbol" w:cs="Symbol"/>
                <w:sz w:val="20"/>
                <w:szCs w:val="20"/>
              </w:rPr>
              <w:sym w:font="Symbol" w:char="F02D"/>
            </w:r>
            <w:r w:rsidRPr="00663CBD">
              <w:rPr>
                <w:sz w:val="20"/>
                <w:szCs w:val="20"/>
              </w:rPr>
              <w:t>11</w:t>
            </w:r>
          </w:p>
        </w:tc>
        <w:tc>
          <w:tcPr>
            <w:tcW w:w="941" w:type="dxa"/>
            <w:tcBorders>
              <w:top w:val="nil"/>
              <w:left w:val="single" w:sz="4" w:space="0" w:color="auto"/>
              <w:bottom w:val="nil"/>
              <w:right w:val="nil"/>
            </w:tcBorders>
            <w:noWrap/>
            <w:vAlign w:val="bottom"/>
            <w:hideMark/>
          </w:tcPr>
          <w:p w14:paraId="0DADBFEB" w14:textId="77777777" w:rsidR="00677577" w:rsidRPr="00663CBD" w:rsidRDefault="00677577" w:rsidP="00A80DBC">
            <w:pPr>
              <w:spacing w:after="0" w:line="240" w:lineRule="auto"/>
              <w:jc w:val="right"/>
              <w:rPr>
                <w:sz w:val="20"/>
                <w:szCs w:val="20"/>
              </w:rPr>
            </w:pPr>
            <w:r w:rsidRPr="00663CBD">
              <w:rPr>
                <w:sz w:val="20"/>
                <w:szCs w:val="20"/>
              </w:rPr>
              <w:t>27.6</w:t>
            </w:r>
          </w:p>
        </w:tc>
        <w:tc>
          <w:tcPr>
            <w:tcW w:w="941" w:type="dxa"/>
            <w:tcBorders>
              <w:top w:val="nil"/>
              <w:left w:val="nil"/>
              <w:bottom w:val="nil"/>
              <w:right w:val="nil"/>
            </w:tcBorders>
            <w:noWrap/>
            <w:vAlign w:val="bottom"/>
            <w:hideMark/>
          </w:tcPr>
          <w:p w14:paraId="5DA8635A" w14:textId="77777777" w:rsidR="00677577" w:rsidRPr="00663CBD" w:rsidRDefault="00677577" w:rsidP="00A80DBC">
            <w:pPr>
              <w:spacing w:after="0" w:line="240" w:lineRule="auto"/>
              <w:jc w:val="right"/>
              <w:rPr>
                <w:sz w:val="20"/>
                <w:szCs w:val="20"/>
              </w:rPr>
            </w:pPr>
            <w:r w:rsidRPr="00663CBD">
              <w:rPr>
                <w:sz w:val="20"/>
                <w:szCs w:val="20"/>
              </w:rPr>
              <w:t>34.8</w:t>
            </w:r>
          </w:p>
        </w:tc>
        <w:tc>
          <w:tcPr>
            <w:tcW w:w="1559" w:type="dxa"/>
            <w:tcBorders>
              <w:top w:val="nil"/>
              <w:left w:val="nil"/>
              <w:bottom w:val="nil"/>
              <w:right w:val="nil"/>
            </w:tcBorders>
            <w:noWrap/>
            <w:vAlign w:val="bottom"/>
            <w:hideMark/>
          </w:tcPr>
          <w:p w14:paraId="1FF84A64" w14:textId="77777777" w:rsidR="00677577" w:rsidRPr="00663CBD" w:rsidRDefault="00677577" w:rsidP="00A80DBC">
            <w:pPr>
              <w:spacing w:after="0" w:line="240" w:lineRule="auto"/>
              <w:jc w:val="right"/>
              <w:rPr>
                <w:sz w:val="20"/>
                <w:szCs w:val="20"/>
              </w:rPr>
            </w:pPr>
            <w:r w:rsidRPr="00663CBD">
              <w:rPr>
                <w:sz w:val="20"/>
                <w:szCs w:val="20"/>
              </w:rPr>
              <w:t>3.4</w:t>
            </w:r>
          </w:p>
        </w:tc>
        <w:tc>
          <w:tcPr>
            <w:tcW w:w="845" w:type="dxa"/>
            <w:tcBorders>
              <w:top w:val="nil"/>
              <w:left w:val="nil"/>
              <w:bottom w:val="nil"/>
              <w:right w:val="single" w:sz="4" w:space="0" w:color="auto"/>
            </w:tcBorders>
            <w:noWrap/>
            <w:vAlign w:val="bottom"/>
            <w:hideMark/>
          </w:tcPr>
          <w:p w14:paraId="134A97E0" w14:textId="77777777" w:rsidR="00677577" w:rsidRPr="00663CBD" w:rsidRDefault="00677577" w:rsidP="00A80DBC">
            <w:pPr>
              <w:spacing w:after="0" w:line="240" w:lineRule="auto"/>
              <w:jc w:val="right"/>
              <w:rPr>
                <w:sz w:val="20"/>
                <w:szCs w:val="20"/>
              </w:rPr>
            </w:pPr>
            <w:r w:rsidRPr="00663CBD">
              <w:rPr>
                <w:sz w:val="20"/>
                <w:szCs w:val="20"/>
              </w:rPr>
              <w:t>34.3</w:t>
            </w:r>
          </w:p>
        </w:tc>
        <w:tc>
          <w:tcPr>
            <w:tcW w:w="853" w:type="dxa"/>
            <w:tcBorders>
              <w:top w:val="nil"/>
              <w:left w:val="single" w:sz="4" w:space="0" w:color="auto"/>
              <w:bottom w:val="nil"/>
              <w:right w:val="nil"/>
            </w:tcBorders>
            <w:noWrap/>
            <w:vAlign w:val="bottom"/>
            <w:hideMark/>
          </w:tcPr>
          <w:p w14:paraId="2FB13309" w14:textId="77777777" w:rsidR="00677577" w:rsidRPr="00663CBD" w:rsidRDefault="00677577" w:rsidP="00A80DBC">
            <w:pPr>
              <w:spacing w:after="0" w:line="240" w:lineRule="auto"/>
              <w:jc w:val="right"/>
              <w:rPr>
                <w:sz w:val="20"/>
                <w:szCs w:val="20"/>
              </w:rPr>
            </w:pPr>
            <w:r w:rsidRPr="00663CBD">
              <w:rPr>
                <w:sz w:val="20"/>
                <w:szCs w:val="20"/>
              </w:rPr>
              <w:t>30.4</w:t>
            </w:r>
          </w:p>
        </w:tc>
        <w:tc>
          <w:tcPr>
            <w:tcW w:w="854" w:type="dxa"/>
            <w:tcBorders>
              <w:top w:val="nil"/>
              <w:left w:val="nil"/>
              <w:bottom w:val="nil"/>
              <w:right w:val="nil"/>
            </w:tcBorders>
            <w:noWrap/>
            <w:vAlign w:val="bottom"/>
            <w:hideMark/>
          </w:tcPr>
          <w:p w14:paraId="3BFF9EC3" w14:textId="77777777" w:rsidR="00677577" w:rsidRPr="00663CBD" w:rsidRDefault="00677577" w:rsidP="00A80DBC">
            <w:pPr>
              <w:spacing w:after="0" w:line="240" w:lineRule="auto"/>
              <w:jc w:val="right"/>
              <w:rPr>
                <w:sz w:val="20"/>
                <w:szCs w:val="20"/>
              </w:rPr>
            </w:pPr>
            <w:r w:rsidRPr="00663CBD">
              <w:rPr>
                <w:sz w:val="20"/>
                <w:szCs w:val="20"/>
              </w:rPr>
              <w:t>40.5</w:t>
            </w:r>
          </w:p>
        </w:tc>
        <w:tc>
          <w:tcPr>
            <w:tcW w:w="1701" w:type="dxa"/>
            <w:tcBorders>
              <w:top w:val="nil"/>
              <w:left w:val="nil"/>
              <w:bottom w:val="nil"/>
              <w:right w:val="nil"/>
            </w:tcBorders>
            <w:noWrap/>
            <w:vAlign w:val="bottom"/>
            <w:hideMark/>
          </w:tcPr>
          <w:p w14:paraId="587A650C" w14:textId="77777777" w:rsidR="00677577" w:rsidRPr="00663CBD" w:rsidRDefault="00677577" w:rsidP="00A80DBC">
            <w:pPr>
              <w:spacing w:after="0" w:line="240" w:lineRule="auto"/>
              <w:jc w:val="right"/>
              <w:rPr>
                <w:sz w:val="20"/>
                <w:szCs w:val="20"/>
              </w:rPr>
            </w:pPr>
            <w:r w:rsidRPr="00663CBD">
              <w:rPr>
                <w:sz w:val="20"/>
                <w:szCs w:val="20"/>
              </w:rPr>
              <w:t>3.7</w:t>
            </w:r>
          </w:p>
        </w:tc>
        <w:tc>
          <w:tcPr>
            <w:tcW w:w="878" w:type="dxa"/>
            <w:tcBorders>
              <w:top w:val="nil"/>
              <w:left w:val="nil"/>
              <w:bottom w:val="nil"/>
              <w:right w:val="single" w:sz="4" w:space="0" w:color="auto"/>
            </w:tcBorders>
            <w:noWrap/>
            <w:vAlign w:val="bottom"/>
            <w:hideMark/>
          </w:tcPr>
          <w:p w14:paraId="6A835EC4" w14:textId="77777777" w:rsidR="00677577" w:rsidRPr="00663CBD" w:rsidRDefault="00677577" w:rsidP="00A80DBC">
            <w:pPr>
              <w:spacing w:after="0" w:line="240" w:lineRule="auto"/>
              <w:jc w:val="right"/>
              <w:rPr>
                <w:sz w:val="20"/>
                <w:szCs w:val="20"/>
              </w:rPr>
            </w:pPr>
            <w:r w:rsidRPr="00663CBD">
              <w:rPr>
                <w:sz w:val="20"/>
                <w:szCs w:val="20"/>
              </w:rPr>
              <w:t>25.4</w:t>
            </w:r>
          </w:p>
        </w:tc>
        <w:tc>
          <w:tcPr>
            <w:tcW w:w="907" w:type="dxa"/>
            <w:tcBorders>
              <w:top w:val="nil"/>
              <w:left w:val="single" w:sz="4" w:space="0" w:color="auto"/>
              <w:bottom w:val="nil"/>
              <w:right w:val="nil"/>
            </w:tcBorders>
            <w:noWrap/>
            <w:vAlign w:val="bottom"/>
            <w:hideMark/>
          </w:tcPr>
          <w:p w14:paraId="4CD76423" w14:textId="77777777" w:rsidR="00677577" w:rsidRPr="00663CBD" w:rsidRDefault="00677577" w:rsidP="00A80DBC">
            <w:pPr>
              <w:spacing w:after="0" w:line="240" w:lineRule="auto"/>
              <w:jc w:val="right"/>
              <w:rPr>
                <w:sz w:val="20"/>
                <w:szCs w:val="20"/>
              </w:rPr>
            </w:pPr>
            <w:r w:rsidRPr="00663CBD">
              <w:rPr>
                <w:sz w:val="20"/>
                <w:szCs w:val="20"/>
              </w:rPr>
              <w:t>25.5</w:t>
            </w:r>
          </w:p>
        </w:tc>
        <w:tc>
          <w:tcPr>
            <w:tcW w:w="908" w:type="dxa"/>
            <w:tcBorders>
              <w:top w:val="nil"/>
              <w:left w:val="nil"/>
              <w:bottom w:val="nil"/>
              <w:right w:val="nil"/>
            </w:tcBorders>
            <w:noWrap/>
            <w:vAlign w:val="bottom"/>
            <w:hideMark/>
          </w:tcPr>
          <w:p w14:paraId="7E2971DF" w14:textId="77777777" w:rsidR="00677577" w:rsidRPr="00663CBD" w:rsidRDefault="00677577" w:rsidP="00A80DBC">
            <w:pPr>
              <w:spacing w:after="0" w:line="240" w:lineRule="auto"/>
              <w:jc w:val="right"/>
              <w:rPr>
                <w:sz w:val="20"/>
                <w:szCs w:val="20"/>
              </w:rPr>
            </w:pPr>
            <w:r w:rsidRPr="00663CBD">
              <w:rPr>
                <w:sz w:val="20"/>
                <w:szCs w:val="20"/>
              </w:rPr>
              <w:t>30.3</w:t>
            </w:r>
          </w:p>
        </w:tc>
        <w:tc>
          <w:tcPr>
            <w:tcW w:w="1559" w:type="dxa"/>
            <w:tcBorders>
              <w:top w:val="nil"/>
              <w:left w:val="nil"/>
              <w:bottom w:val="nil"/>
              <w:right w:val="nil"/>
            </w:tcBorders>
            <w:noWrap/>
            <w:vAlign w:val="bottom"/>
            <w:hideMark/>
          </w:tcPr>
          <w:p w14:paraId="17026C14" w14:textId="77777777" w:rsidR="00677577" w:rsidRPr="00663CBD" w:rsidRDefault="00677577" w:rsidP="00A80DBC">
            <w:pPr>
              <w:spacing w:after="0" w:line="240" w:lineRule="auto"/>
              <w:jc w:val="right"/>
              <w:rPr>
                <w:sz w:val="20"/>
                <w:szCs w:val="20"/>
              </w:rPr>
            </w:pPr>
            <w:r w:rsidRPr="00663CBD">
              <w:rPr>
                <w:sz w:val="20"/>
                <w:szCs w:val="20"/>
              </w:rPr>
              <w:t>3.1</w:t>
            </w:r>
          </w:p>
        </w:tc>
        <w:tc>
          <w:tcPr>
            <w:tcW w:w="912" w:type="dxa"/>
            <w:tcBorders>
              <w:top w:val="nil"/>
              <w:left w:val="nil"/>
              <w:bottom w:val="nil"/>
              <w:right w:val="single" w:sz="4" w:space="0" w:color="auto"/>
            </w:tcBorders>
            <w:noWrap/>
            <w:vAlign w:val="bottom"/>
            <w:hideMark/>
          </w:tcPr>
          <w:p w14:paraId="52F8FCAD" w14:textId="77777777" w:rsidR="00677577" w:rsidRPr="00663CBD" w:rsidRDefault="00677577" w:rsidP="00A80DBC">
            <w:pPr>
              <w:spacing w:after="0" w:line="240" w:lineRule="auto"/>
              <w:jc w:val="right"/>
              <w:rPr>
                <w:sz w:val="20"/>
                <w:szCs w:val="20"/>
              </w:rPr>
            </w:pPr>
            <w:r w:rsidRPr="00663CBD">
              <w:rPr>
                <w:sz w:val="20"/>
                <w:szCs w:val="20"/>
              </w:rPr>
              <w:t>41.2</w:t>
            </w:r>
          </w:p>
        </w:tc>
      </w:tr>
      <w:tr w:rsidR="005A0DE5" w:rsidRPr="00167CB8" w14:paraId="560E66D0" w14:textId="77777777" w:rsidTr="002B1A16">
        <w:trPr>
          <w:trHeight w:val="20"/>
        </w:trPr>
        <w:tc>
          <w:tcPr>
            <w:tcW w:w="1090" w:type="dxa"/>
            <w:tcBorders>
              <w:top w:val="nil"/>
              <w:left w:val="single" w:sz="4" w:space="0" w:color="auto"/>
              <w:bottom w:val="nil"/>
              <w:right w:val="single" w:sz="4" w:space="0" w:color="auto"/>
            </w:tcBorders>
            <w:noWrap/>
            <w:vAlign w:val="bottom"/>
            <w:hideMark/>
          </w:tcPr>
          <w:p w14:paraId="387535B8" w14:textId="77777777" w:rsidR="00677577" w:rsidRPr="00663CBD" w:rsidRDefault="00677577">
            <w:pPr>
              <w:spacing w:after="0" w:line="240" w:lineRule="auto"/>
              <w:rPr>
                <w:sz w:val="20"/>
                <w:szCs w:val="20"/>
              </w:rPr>
            </w:pPr>
            <w:r w:rsidRPr="00663CBD">
              <w:rPr>
                <w:sz w:val="20"/>
                <w:szCs w:val="20"/>
              </w:rPr>
              <w:t>2011</w:t>
            </w:r>
            <w:r w:rsidRPr="00663CBD">
              <w:rPr>
                <w:rFonts w:ascii="Symbol" w:eastAsia="Symbol" w:hAnsi="Symbol" w:cs="Symbol"/>
                <w:sz w:val="20"/>
                <w:szCs w:val="20"/>
              </w:rPr>
              <w:sym w:font="Symbol" w:char="F02D"/>
            </w:r>
            <w:r w:rsidRPr="00663CBD">
              <w:rPr>
                <w:sz w:val="20"/>
                <w:szCs w:val="20"/>
              </w:rPr>
              <w:t>12</w:t>
            </w:r>
          </w:p>
        </w:tc>
        <w:tc>
          <w:tcPr>
            <w:tcW w:w="941" w:type="dxa"/>
            <w:tcBorders>
              <w:top w:val="nil"/>
              <w:left w:val="single" w:sz="4" w:space="0" w:color="auto"/>
              <w:bottom w:val="nil"/>
              <w:right w:val="nil"/>
            </w:tcBorders>
            <w:noWrap/>
            <w:vAlign w:val="bottom"/>
            <w:hideMark/>
          </w:tcPr>
          <w:p w14:paraId="039A9B08" w14:textId="77777777" w:rsidR="00677577" w:rsidRPr="00663CBD" w:rsidRDefault="00677577" w:rsidP="00A80DBC">
            <w:pPr>
              <w:spacing w:after="0" w:line="240" w:lineRule="auto"/>
              <w:jc w:val="right"/>
              <w:rPr>
                <w:sz w:val="20"/>
                <w:szCs w:val="20"/>
              </w:rPr>
            </w:pPr>
            <w:r w:rsidRPr="00663CBD">
              <w:rPr>
                <w:sz w:val="20"/>
                <w:szCs w:val="20"/>
              </w:rPr>
              <w:t>32.2</w:t>
            </w:r>
          </w:p>
        </w:tc>
        <w:tc>
          <w:tcPr>
            <w:tcW w:w="941" w:type="dxa"/>
            <w:tcBorders>
              <w:top w:val="nil"/>
              <w:left w:val="nil"/>
              <w:bottom w:val="nil"/>
              <w:right w:val="nil"/>
            </w:tcBorders>
            <w:noWrap/>
            <w:vAlign w:val="bottom"/>
            <w:hideMark/>
          </w:tcPr>
          <w:p w14:paraId="5D3A2472" w14:textId="77777777" w:rsidR="00677577" w:rsidRPr="00663CBD" w:rsidRDefault="00677577" w:rsidP="00A80DBC">
            <w:pPr>
              <w:spacing w:after="0" w:line="240" w:lineRule="auto"/>
              <w:jc w:val="right"/>
              <w:rPr>
                <w:sz w:val="20"/>
                <w:szCs w:val="20"/>
              </w:rPr>
            </w:pPr>
            <w:r w:rsidRPr="00663CBD">
              <w:rPr>
                <w:sz w:val="20"/>
                <w:szCs w:val="20"/>
              </w:rPr>
              <w:t>32.3</w:t>
            </w:r>
          </w:p>
        </w:tc>
        <w:tc>
          <w:tcPr>
            <w:tcW w:w="1559" w:type="dxa"/>
            <w:tcBorders>
              <w:top w:val="nil"/>
              <w:left w:val="nil"/>
              <w:bottom w:val="nil"/>
              <w:right w:val="nil"/>
            </w:tcBorders>
            <w:noWrap/>
            <w:vAlign w:val="bottom"/>
            <w:hideMark/>
          </w:tcPr>
          <w:p w14:paraId="1A951F81" w14:textId="77777777" w:rsidR="00677577" w:rsidRPr="00663CBD" w:rsidRDefault="00677577" w:rsidP="00A80DBC">
            <w:pPr>
              <w:spacing w:after="0" w:line="240" w:lineRule="auto"/>
              <w:jc w:val="right"/>
              <w:rPr>
                <w:sz w:val="20"/>
                <w:szCs w:val="20"/>
              </w:rPr>
            </w:pPr>
            <w:r w:rsidRPr="00663CBD">
              <w:rPr>
                <w:sz w:val="20"/>
                <w:szCs w:val="20"/>
              </w:rPr>
              <w:t>5.9</w:t>
            </w:r>
          </w:p>
        </w:tc>
        <w:tc>
          <w:tcPr>
            <w:tcW w:w="845" w:type="dxa"/>
            <w:tcBorders>
              <w:top w:val="nil"/>
              <w:left w:val="nil"/>
              <w:bottom w:val="nil"/>
              <w:right w:val="single" w:sz="4" w:space="0" w:color="auto"/>
            </w:tcBorders>
            <w:noWrap/>
            <w:vAlign w:val="bottom"/>
            <w:hideMark/>
          </w:tcPr>
          <w:p w14:paraId="65E65587" w14:textId="77777777" w:rsidR="00677577" w:rsidRPr="00663CBD" w:rsidRDefault="00677577" w:rsidP="00A80DBC">
            <w:pPr>
              <w:spacing w:after="0" w:line="240" w:lineRule="auto"/>
              <w:jc w:val="right"/>
              <w:rPr>
                <w:sz w:val="20"/>
                <w:szCs w:val="20"/>
              </w:rPr>
            </w:pPr>
            <w:r w:rsidRPr="00663CBD">
              <w:rPr>
                <w:sz w:val="20"/>
                <w:szCs w:val="20"/>
              </w:rPr>
              <w:t>29.7</w:t>
            </w:r>
          </w:p>
        </w:tc>
        <w:tc>
          <w:tcPr>
            <w:tcW w:w="853" w:type="dxa"/>
            <w:tcBorders>
              <w:top w:val="nil"/>
              <w:left w:val="single" w:sz="4" w:space="0" w:color="auto"/>
              <w:bottom w:val="nil"/>
              <w:right w:val="nil"/>
            </w:tcBorders>
            <w:noWrap/>
            <w:vAlign w:val="bottom"/>
            <w:hideMark/>
          </w:tcPr>
          <w:p w14:paraId="506C08B0" w14:textId="77777777" w:rsidR="00677577" w:rsidRPr="00663CBD" w:rsidRDefault="00677577" w:rsidP="00A80DBC">
            <w:pPr>
              <w:spacing w:after="0" w:line="240" w:lineRule="auto"/>
              <w:jc w:val="right"/>
              <w:rPr>
                <w:sz w:val="20"/>
                <w:szCs w:val="20"/>
              </w:rPr>
            </w:pPr>
            <w:r w:rsidRPr="00663CBD">
              <w:rPr>
                <w:sz w:val="20"/>
                <w:szCs w:val="20"/>
              </w:rPr>
              <w:t>34.6</w:t>
            </w:r>
          </w:p>
        </w:tc>
        <w:tc>
          <w:tcPr>
            <w:tcW w:w="854" w:type="dxa"/>
            <w:tcBorders>
              <w:top w:val="nil"/>
              <w:left w:val="nil"/>
              <w:bottom w:val="nil"/>
              <w:right w:val="nil"/>
            </w:tcBorders>
            <w:noWrap/>
            <w:vAlign w:val="bottom"/>
            <w:hideMark/>
          </w:tcPr>
          <w:p w14:paraId="5B963050" w14:textId="77777777" w:rsidR="00677577" w:rsidRPr="00663CBD" w:rsidRDefault="00677577" w:rsidP="00A80DBC">
            <w:pPr>
              <w:spacing w:after="0" w:line="240" w:lineRule="auto"/>
              <w:jc w:val="right"/>
              <w:rPr>
                <w:sz w:val="20"/>
                <w:szCs w:val="20"/>
              </w:rPr>
            </w:pPr>
            <w:r w:rsidRPr="00663CBD">
              <w:rPr>
                <w:sz w:val="20"/>
                <w:szCs w:val="20"/>
              </w:rPr>
              <w:t>39.4</w:t>
            </w:r>
          </w:p>
        </w:tc>
        <w:tc>
          <w:tcPr>
            <w:tcW w:w="1701" w:type="dxa"/>
            <w:tcBorders>
              <w:top w:val="nil"/>
              <w:left w:val="nil"/>
              <w:bottom w:val="nil"/>
              <w:right w:val="nil"/>
            </w:tcBorders>
            <w:noWrap/>
            <w:vAlign w:val="bottom"/>
            <w:hideMark/>
          </w:tcPr>
          <w:p w14:paraId="2BC847E1" w14:textId="77777777" w:rsidR="00677577" w:rsidRPr="00663CBD" w:rsidRDefault="00677577" w:rsidP="00A80DBC">
            <w:pPr>
              <w:spacing w:after="0" w:line="240" w:lineRule="auto"/>
              <w:jc w:val="right"/>
              <w:rPr>
                <w:sz w:val="20"/>
                <w:szCs w:val="20"/>
              </w:rPr>
            </w:pPr>
            <w:r w:rsidRPr="00663CBD">
              <w:rPr>
                <w:sz w:val="20"/>
                <w:szCs w:val="20"/>
              </w:rPr>
              <w:t>4.9</w:t>
            </w:r>
          </w:p>
        </w:tc>
        <w:tc>
          <w:tcPr>
            <w:tcW w:w="878" w:type="dxa"/>
            <w:tcBorders>
              <w:top w:val="nil"/>
              <w:left w:val="nil"/>
              <w:bottom w:val="nil"/>
              <w:right w:val="single" w:sz="4" w:space="0" w:color="auto"/>
            </w:tcBorders>
            <w:noWrap/>
            <w:vAlign w:val="bottom"/>
            <w:hideMark/>
          </w:tcPr>
          <w:p w14:paraId="3D7A3BE9" w14:textId="77777777" w:rsidR="00677577" w:rsidRPr="00663CBD" w:rsidRDefault="00677577" w:rsidP="00A80DBC">
            <w:pPr>
              <w:spacing w:after="0" w:line="240" w:lineRule="auto"/>
              <w:jc w:val="right"/>
              <w:rPr>
                <w:sz w:val="20"/>
                <w:szCs w:val="20"/>
              </w:rPr>
            </w:pPr>
            <w:r w:rsidRPr="00663CBD">
              <w:rPr>
                <w:sz w:val="20"/>
                <w:szCs w:val="20"/>
              </w:rPr>
              <w:t>21.1</w:t>
            </w:r>
          </w:p>
        </w:tc>
        <w:tc>
          <w:tcPr>
            <w:tcW w:w="907" w:type="dxa"/>
            <w:tcBorders>
              <w:top w:val="nil"/>
              <w:left w:val="single" w:sz="4" w:space="0" w:color="auto"/>
              <w:bottom w:val="nil"/>
              <w:right w:val="nil"/>
            </w:tcBorders>
            <w:noWrap/>
            <w:vAlign w:val="bottom"/>
            <w:hideMark/>
          </w:tcPr>
          <w:p w14:paraId="155923D4" w14:textId="77777777" w:rsidR="00677577" w:rsidRPr="00663CBD" w:rsidRDefault="00677577" w:rsidP="00A80DBC">
            <w:pPr>
              <w:spacing w:after="0" w:line="240" w:lineRule="auto"/>
              <w:jc w:val="right"/>
              <w:rPr>
                <w:sz w:val="20"/>
                <w:szCs w:val="20"/>
              </w:rPr>
            </w:pPr>
            <w:r w:rsidRPr="00663CBD">
              <w:rPr>
                <w:sz w:val="20"/>
                <w:szCs w:val="20"/>
              </w:rPr>
              <w:t>30.1</w:t>
            </w:r>
          </w:p>
        </w:tc>
        <w:tc>
          <w:tcPr>
            <w:tcW w:w="908" w:type="dxa"/>
            <w:tcBorders>
              <w:top w:val="nil"/>
              <w:left w:val="nil"/>
              <w:bottom w:val="nil"/>
              <w:right w:val="nil"/>
            </w:tcBorders>
            <w:noWrap/>
            <w:vAlign w:val="bottom"/>
            <w:hideMark/>
          </w:tcPr>
          <w:p w14:paraId="17C028C0" w14:textId="77777777" w:rsidR="00677577" w:rsidRPr="00663CBD" w:rsidRDefault="00677577" w:rsidP="00A80DBC">
            <w:pPr>
              <w:spacing w:after="0" w:line="240" w:lineRule="auto"/>
              <w:jc w:val="right"/>
              <w:rPr>
                <w:sz w:val="20"/>
                <w:szCs w:val="20"/>
              </w:rPr>
            </w:pPr>
            <w:r w:rsidRPr="00663CBD">
              <w:rPr>
                <w:sz w:val="20"/>
                <w:szCs w:val="20"/>
              </w:rPr>
              <w:t>26.1</w:t>
            </w:r>
          </w:p>
        </w:tc>
        <w:tc>
          <w:tcPr>
            <w:tcW w:w="1559" w:type="dxa"/>
            <w:tcBorders>
              <w:top w:val="nil"/>
              <w:left w:val="nil"/>
              <w:bottom w:val="nil"/>
              <w:right w:val="nil"/>
            </w:tcBorders>
            <w:noWrap/>
            <w:vAlign w:val="bottom"/>
            <w:hideMark/>
          </w:tcPr>
          <w:p w14:paraId="41E81216" w14:textId="77777777" w:rsidR="00677577" w:rsidRPr="00663CBD" w:rsidRDefault="00677577" w:rsidP="00A80DBC">
            <w:pPr>
              <w:spacing w:after="0" w:line="240" w:lineRule="auto"/>
              <w:jc w:val="right"/>
              <w:rPr>
                <w:sz w:val="20"/>
                <w:szCs w:val="20"/>
              </w:rPr>
            </w:pPr>
            <w:r w:rsidRPr="00663CBD">
              <w:rPr>
                <w:sz w:val="20"/>
                <w:szCs w:val="20"/>
              </w:rPr>
              <w:t>6.7</w:t>
            </w:r>
          </w:p>
        </w:tc>
        <w:tc>
          <w:tcPr>
            <w:tcW w:w="912" w:type="dxa"/>
            <w:tcBorders>
              <w:top w:val="nil"/>
              <w:left w:val="nil"/>
              <w:bottom w:val="nil"/>
              <w:right w:val="single" w:sz="4" w:space="0" w:color="auto"/>
            </w:tcBorders>
            <w:noWrap/>
            <w:vAlign w:val="bottom"/>
            <w:hideMark/>
          </w:tcPr>
          <w:p w14:paraId="7F0AA2A4" w14:textId="77777777" w:rsidR="00677577" w:rsidRPr="00663CBD" w:rsidRDefault="00677577" w:rsidP="00A80DBC">
            <w:pPr>
              <w:spacing w:after="0" w:line="240" w:lineRule="auto"/>
              <w:jc w:val="right"/>
              <w:rPr>
                <w:sz w:val="20"/>
                <w:szCs w:val="20"/>
              </w:rPr>
            </w:pPr>
            <w:r w:rsidRPr="00663CBD">
              <w:rPr>
                <w:sz w:val="20"/>
                <w:szCs w:val="20"/>
              </w:rPr>
              <w:t>37.1</w:t>
            </w:r>
          </w:p>
        </w:tc>
      </w:tr>
      <w:tr w:rsidR="005A0DE5" w:rsidRPr="00167CB8" w14:paraId="53E7F790" w14:textId="77777777" w:rsidTr="002B1A16">
        <w:trPr>
          <w:trHeight w:val="20"/>
        </w:trPr>
        <w:tc>
          <w:tcPr>
            <w:tcW w:w="1090" w:type="dxa"/>
            <w:tcBorders>
              <w:top w:val="nil"/>
              <w:left w:val="single" w:sz="4" w:space="0" w:color="auto"/>
              <w:bottom w:val="nil"/>
              <w:right w:val="single" w:sz="4" w:space="0" w:color="auto"/>
            </w:tcBorders>
            <w:noWrap/>
            <w:vAlign w:val="bottom"/>
            <w:hideMark/>
          </w:tcPr>
          <w:p w14:paraId="018B0F82" w14:textId="77777777" w:rsidR="00677577" w:rsidRPr="00663CBD" w:rsidRDefault="00677577">
            <w:pPr>
              <w:spacing w:after="0" w:line="240" w:lineRule="auto"/>
              <w:rPr>
                <w:sz w:val="20"/>
                <w:szCs w:val="20"/>
              </w:rPr>
            </w:pPr>
            <w:r w:rsidRPr="00663CBD">
              <w:rPr>
                <w:sz w:val="20"/>
                <w:szCs w:val="20"/>
              </w:rPr>
              <w:t>2012</w:t>
            </w:r>
            <w:r w:rsidRPr="00663CBD">
              <w:rPr>
                <w:rFonts w:ascii="Symbol" w:eastAsia="Symbol" w:hAnsi="Symbol" w:cs="Symbol"/>
                <w:sz w:val="20"/>
                <w:szCs w:val="20"/>
              </w:rPr>
              <w:sym w:font="Symbol" w:char="F02D"/>
            </w:r>
            <w:r w:rsidRPr="00663CBD">
              <w:rPr>
                <w:sz w:val="20"/>
                <w:szCs w:val="20"/>
              </w:rPr>
              <w:t>13</w:t>
            </w:r>
          </w:p>
        </w:tc>
        <w:tc>
          <w:tcPr>
            <w:tcW w:w="941" w:type="dxa"/>
            <w:tcBorders>
              <w:top w:val="nil"/>
              <w:left w:val="single" w:sz="4" w:space="0" w:color="auto"/>
              <w:bottom w:val="nil"/>
              <w:right w:val="nil"/>
            </w:tcBorders>
            <w:noWrap/>
            <w:vAlign w:val="bottom"/>
            <w:hideMark/>
          </w:tcPr>
          <w:p w14:paraId="4EDEAED0" w14:textId="77777777" w:rsidR="00677577" w:rsidRPr="00663CBD" w:rsidRDefault="00677577" w:rsidP="00A80DBC">
            <w:pPr>
              <w:spacing w:after="0" w:line="240" w:lineRule="auto"/>
              <w:jc w:val="right"/>
              <w:rPr>
                <w:sz w:val="20"/>
                <w:szCs w:val="20"/>
              </w:rPr>
            </w:pPr>
            <w:r w:rsidRPr="00663CBD">
              <w:rPr>
                <w:sz w:val="20"/>
                <w:szCs w:val="20"/>
              </w:rPr>
              <w:t>34.4</w:t>
            </w:r>
          </w:p>
        </w:tc>
        <w:tc>
          <w:tcPr>
            <w:tcW w:w="941" w:type="dxa"/>
            <w:tcBorders>
              <w:top w:val="nil"/>
              <w:left w:val="nil"/>
              <w:bottom w:val="nil"/>
              <w:right w:val="nil"/>
            </w:tcBorders>
            <w:noWrap/>
            <w:vAlign w:val="bottom"/>
            <w:hideMark/>
          </w:tcPr>
          <w:p w14:paraId="4FE5516E" w14:textId="77777777" w:rsidR="00677577" w:rsidRPr="00663CBD" w:rsidRDefault="00677577" w:rsidP="00A80DBC">
            <w:pPr>
              <w:spacing w:after="0" w:line="240" w:lineRule="auto"/>
              <w:jc w:val="right"/>
              <w:rPr>
                <w:sz w:val="20"/>
                <w:szCs w:val="20"/>
              </w:rPr>
            </w:pPr>
            <w:r w:rsidRPr="00663CBD">
              <w:rPr>
                <w:sz w:val="20"/>
                <w:szCs w:val="20"/>
              </w:rPr>
              <w:t>30.7</w:t>
            </w:r>
          </w:p>
        </w:tc>
        <w:tc>
          <w:tcPr>
            <w:tcW w:w="1559" w:type="dxa"/>
            <w:tcBorders>
              <w:top w:val="nil"/>
              <w:left w:val="nil"/>
              <w:bottom w:val="nil"/>
              <w:right w:val="nil"/>
            </w:tcBorders>
            <w:noWrap/>
            <w:vAlign w:val="bottom"/>
            <w:hideMark/>
          </w:tcPr>
          <w:p w14:paraId="2B71D589" w14:textId="77777777" w:rsidR="00677577" w:rsidRPr="00663CBD" w:rsidRDefault="00677577" w:rsidP="00A80DBC">
            <w:pPr>
              <w:spacing w:after="0" w:line="240" w:lineRule="auto"/>
              <w:jc w:val="right"/>
              <w:rPr>
                <w:sz w:val="20"/>
                <w:szCs w:val="20"/>
              </w:rPr>
            </w:pPr>
            <w:r w:rsidRPr="00663CBD">
              <w:rPr>
                <w:sz w:val="20"/>
                <w:szCs w:val="20"/>
              </w:rPr>
              <w:t>5.4</w:t>
            </w:r>
          </w:p>
        </w:tc>
        <w:tc>
          <w:tcPr>
            <w:tcW w:w="845" w:type="dxa"/>
            <w:tcBorders>
              <w:top w:val="nil"/>
              <w:left w:val="nil"/>
              <w:bottom w:val="nil"/>
              <w:right w:val="single" w:sz="4" w:space="0" w:color="auto"/>
            </w:tcBorders>
            <w:noWrap/>
            <w:vAlign w:val="bottom"/>
            <w:hideMark/>
          </w:tcPr>
          <w:p w14:paraId="4919A3D0" w14:textId="77777777" w:rsidR="00677577" w:rsidRPr="00663CBD" w:rsidRDefault="00677577" w:rsidP="00A80DBC">
            <w:pPr>
              <w:spacing w:after="0" w:line="240" w:lineRule="auto"/>
              <w:jc w:val="right"/>
              <w:rPr>
                <w:sz w:val="20"/>
                <w:szCs w:val="20"/>
              </w:rPr>
            </w:pPr>
            <w:r w:rsidRPr="00663CBD">
              <w:rPr>
                <w:sz w:val="20"/>
                <w:szCs w:val="20"/>
              </w:rPr>
              <w:t>29.6</w:t>
            </w:r>
          </w:p>
        </w:tc>
        <w:tc>
          <w:tcPr>
            <w:tcW w:w="853" w:type="dxa"/>
            <w:tcBorders>
              <w:top w:val="nil"/>
              <w:left w:val="single" w:sz="4" w:space="0" w:color="auto"/>
              <w:bottom w:val="nil"/>
              <w:right w:val="nil"/>
            </w:tcBorders>
            <w:noWrap/>
            <w:vAlign w:val="bottom"/>
            <w:hideMark/>
          </w:tcPr>
          <w:p w14:paraId="77AE417E" w14:textId="77777777" w:rsidR="00677577" w:rsidRPr="00663CBD" w:rsidRDefault="00677577" w:rsidP="00A80DBC">
            <w:pPr>
              <w:spacing w:after="0" w:line="240" w:lineRule="auto"/>
              <w:jc w:val="right"/>
              <w:rPr>
                <w:sz w:val="20"/>
                <w:szCs w:val="20"/>
              </w:rPr>
            </w:pPr>
            <w:r w:rsidRPr="00663CBD">
              <w:rPr>
                <w:sz w:val="20"/>
                <w:szCs w:val="20"/>
              </w:rPr>
              <w:t>35.9</w:t>
            </w:r>
          </w:p>
        </w:tc>
        <w:tc>
          <w:tcPr>
            <w:tcW w:w="854" w:type="dxa"/>
            <w:tcBorders>
              <w:top w:val="nil"/>
              <w:left w:val="nil"/>
              <w:bottom w:val="nil"/>
              <w:right w:val="nil"/>
            </w:tcBorders>
            <w:noWrap/>
            <w:vAlign w:val="bottom"/>
            <w:hideMark/>
          </w:tcPr>
          <w:p w14:paraId="7313844B" w14:textId="77777777" w:rsidR="00677577" w:rsidRPr="00663CBD" w:rsidRDefault="00677577" w:rsidP="00A80DBC">
            <w:pPr>
              <w:spacing w:after="0" w:line="240" w:lineRule="auto"/>
              <w:jc w:val="right"/>
              <w:rPr>
                <w:sz w:val="20"/>
                <w:szCs w:val="20"/>
              </w:rPr>
            </w:pPr>
            <w:r w:rsidRPr="00663CBD">
              <w:rPr>
                <w:sz w:val="20"/>
                <w:szCs w:val="20"/>
              </w:rPr>
              <w:t>40.0</w:t>
            </w:r>
          </w:p>
        </w:tc>
        <w:tc>
          <w:tcPr>
            <w:tcW w:w="1701" w:type="dxa"/>
            <w:tcBorders>
              <w:top w:val="nil"/>
              <w:left w:val="nil"/>
              <w:bottom w:val="nil"/>
              <w:right w:val="nil"/>
            </w:tcBorders>
            <w:noWrap/>
            <w:vAlign w:val="bottom"/>
            <w:hideMark/>
          </w:tcPr>
          <w:p w14:paraId="4EC72576" w14:textId="77777777" w:rsidR="00677577" w:rsidRPr="00663CBD" w:rsidRDefault="00677577" w:rsidP="00A80DBC">
            <w:pPr>
              <w:spacing w:after="0" w:line="240" w:lineRule="auto"/>
              <w:jc w:val="right"/>
              <w:rPr>
                <w:sz w:val="20"/>
                <w:szCs w:val="20"/>
              </w:rPr>
            </w:pPr>
            <w:r w:rsidRPr="00663CBD">
              <w:rPr>
                <w:sz w:val="20"/>
                <w:szCs w:val="20"/>
              </w:rPr>
              <w:t>4.3</w:t>
            </w:r>
          </w:p>
        </w:tc>
        <w:tc>
          <w:tcPr>
            <w:tcW w:w="878" w:type="dxa"/>
            <w:tcBorders>
              <w:top w:val="nil"/>
              <w:left w:val="nil"/>
              <w:bottom w:val="nil"/>
              <w:right w:val="single" w:sz="4" w:space="0" w:color="auto"/>
            </w:tcBorders>
            <w:noWrap/>
            <w:vAlign w:val="bottom"/>
            <w:hideMark/>
          </w:tcPr>
          <w:p w14:paraId="48F4EF37" w14:textId="77777777" w:rsidR="00677577" w:rsidRPr="00663CBD" w:rsidRDefault="00677577" w:rsidP="00A80DBC">
            <w:pPr>
              <w:spacing w:after="0" w:line="240" w:lineRule="auto"/>
              <w:jc w:val="right"/>
              <w:rPr>
                <w:sz w:val="20"/>
                <w:szCs w:val="20"/>
              </w:rPr>
            </w:pPr>
            <w:r w:rsidRPr="00663CBD">
              <w:rPr>
                <w:sz w:val="20"/>
                <w:szCs w:val="20"/>
              </w:rPr>
              <w:t>19.8</w:t>
            </w:r>
          </w:p>
        </w:tc>
        <w:tc>
          <w:tcPr>
            <w:tcW w:w="907" w:type="dxa"/>
            <w:tcBorders>
              <w:top w:val="nil"/>
              <w:left w:val="single" w:sz="4" w:space="0" w:color="auto"/>
              <w:bottom w:val="nil"/>
              <w:right w:val="nil"/>
            </w:tcBorders>
            <w:noWrap/>
            <w:vAlign w:val="bottom"/>
            <w:hideMark/>
          </w:tcPr>
          <w:p w14:paraId="7789F887" w14:textId="77777777" w:rsidR="00677577" w:rsidRPr="00663CBD" w:rsidRDefault="00677577" w:rsidP="00A80DBC">
            <w:pPr>
              <w:spacing w:after="0" w:line="240" w:lineRule="auto"/>
              <w:jc w:val="right"/>
              <w:rPr>
                <w:sz w:val="20"/>
                <w:szCs w:val="20"/>
              </w:rPr>
            </w:pPr>
            <w:r w:rsidRPr="00663CBD">
              <w:rPr>
                <w:sz w:val="20"/>
                <w:szCs w:val="20"/>
              </w:rPr>
              <w:t>33.1</w:t>
            </w:r>
          </w:p>
        </w:tc>
        <w:tc>
          <w:tcPr>
            <w:tcW w:w="908" w:type="dxa"/>
            <w:tcBorders>
              <w:top w:val="nil"/>
              <w:left w:val="nil"/>
              <w:bottom w:val="nil"/>
              <w:right w:val="nil"/>
            </w:tcBorders>
            <w:noWrap/>
            <w:vAlign w:val="bottom"/>
            <w:hideMark/>
          </w:tcPr>
          <w:p w14:paraId="0310544C" w14:textId="77777777" w:rsidR="00677577" w:rsidRPr="00663CBD" w:rsidRDefault="00677577" w:rsidP="00A80DBC">
            <w:pPr>
              <w:spacing w:after="0" w:line="240" w:lineRule="auto"/>
              <w:jc w:val="right"/>
              <w:rPr>
                <w:sz w:val="20"/>
                <w:szCs w:val="20"/>
              </w:rPr>
            </w:pPr>
            <w:r w:rsidRPr="00663CBD">
              <w:rPr>
                <w:sz w:val="20"/>
                <w:szCs w:val="20"/>
              </w:rPr>
              <w:t>23.2</w:t>
            </w:r>
          </w:p>
        </w:tc>
        <w:tc>
          <w:tcPr>
            <w:tcW w:w="1559" w:type="dxa"/>
            <w:tcBorders>
              <w:top w:val="nil"/>
              <w:left w:val="nil"/>
              <w:bottom w:val="nil"/>
              <w:right w:val="nil"/>
            </w:tcBorders>
            <w:noWrap/>
            <w:vAlign w:val="bottom"/>
            <w:hideMark/>
          </w:tcPr>
          <w:p w14:paraId="247EA7D3" w14:textId="77777777" w:rsidR="00677577" w:rsidRPr="00663CBD" w:rsidRDefault="00677577" w:rsidP="00A80DBC">
            <w:pPr>
              <w:spacing w:after="0" w:line="240" w:lineRule="auto"/>
              <w:jc w:val="right"/>
              <w:rPr>
                <w:sz w:val="20"/>
                <w:szCs w:val="20"/>
              </w:rPr>
            </w:pPr>
            <w:r w:rsidRPr="00663CBD">
              <w:rPr>
                <w:sz w:val="20"/>
                <w:szCs w:val="20"/>
              </w:rPr>
              <w:t>6.2</w:t>
            </w:r>
          </w:p>
        </w:tc>
        <w:tc>
          <w:tcPr>
            <w:tcW w:w="912" w:type="dxa"/>
            <w:tcBorders>
              <w:top w:val="nil"/>
              <w:left w:val="nil"/>
              <w:bottom w:val="nil"/>
              <w:right w:val="single" w:sz="4" w:space="0" w:color="auto"/>
            </w:tcBorders>
            <w:noWrap/>
            <w:vAlign w:val="bottom"/>
            <w:hideMark/>
          </w:tcPr>
          <w:p w14:paraId="29F916AF" w14:textId="77777777" w:rsidR="00677577" w:rsidRPr="00663CBD" w:rsidRDefault="00677577" w:rsidP="00A80DBC">
            <w:pPr>
              <w:spacing w:after="0" w:line="240" w:lineRule="auto"/>
              <w:jc w:val="right"/>
              <w:rPr>
                <w:sz w:val="20"/>
                <w:szCs w:val="20"/>
              </w:rPr>
            </w:pPr>
            <w:r w:rsidRPr="00663CBD">
              <w:rPr>
                <w:sz w:val="20"/>
                <w:szCs w:val="20"/>
              </w:rPr>
              <w:t>37.5</w:t>
            </w:r>
          </w:p>
        </w:tc>
      </w:tr>
      <w:tr w:rsidR="005A0DE5" w:rsidRPr="00167CB8" w14:paraId="19BF316E" w14:textId="77777777" w:rsidTr="002B1A16">
        <w:trPr>
          <w:trHeight w:val="20"/>
        </w:trPr>
        <w:tc>
          <w:tcPr>
            <w:tcW w:w="1090" w:type="dxa"/>
            <w:tcBorders>
              <w:top w:val="nil"/>
              <w:left w:val="single" w:sz="4" w:space="0" w:color="auto"/>
              <w:bottom w:val="nil"/>
              <w:right w:val="single" w:sz="4" w:space="0" w:color="auto"/>
            </w:tcBorders>
            <w:noWrap/>
            <w:vAlign w:val="bottom"/>
            <w:hideMark/>
          </w:tcPr>
          <w:p w14:paraId="05112DCD" w14:textId="77777777" w:rsidR="00677577" w:rsidRPr="00663CBD" w:rsidRDefault="00677577">
            <w:pPr>
              <w:spacing w:after="0" w:line="240" w:lineRule="auto"/>
              <w:rPr>
                <w:sz w:val="20"/>
                <w:szCs w:val="20"/>
              </w:rPr>
            </w:pPr>
            <w:r w:rsidRPr="00663CBD">
              <w:rPr>
                <w:sz w:val="20"/>
                <w:szCs w:val="20"/>
              </w:rPr>
              <w:t>2013</w:t>
            </w:r>
            <w:r w:rsidRPr="00663CBD">
              <w:rPr>
                <w:rFonts w:ascii="Symbol" w:eastAsia="Symbol" w:hAnsi="Symbol" w:cs="Symbol"/>
                <w:sz w:val="20"/>
                <w:szCs w:val="20"/>
              </w:rPr>
              <w:sym w:font="Symbol" w:char="F02D"/>
            </w:r>
            <w:r w:rsidRPr="00663CBD">
              <w:rPr>
                <w:sz w:val="20"/>
                <w:szCs w:val="20"/>
              </w:rPr>
              <w:t>14</w:t>
            </w:r>
          </w:p>
        </w:tc>
        <w:tc>
          <w:tcPr>
            <w:tcW w:w="941" w:type="dxa"/>
            <w:tcBorders>
              <w:top w:val="nil"/>
              <w:left w:val="single" w:sz="4" w:space="0" w:color="auto"/>
              <w:bottom w:val="nil"/>
              <w:right w:val="nil"/>
            </w:tcBorders>
            <w:noWrap/>
            <w:vAlign w:val="bottom"/>
            <w:hideMark/>
          </w:tcPr>
          <w:p w14:paraId="7F16C6D1" w14:textId="77777777" w:rsidR="00677577" w:rsidRPr="00663CBD" w:rsidRDefault="00677577" w:rsidP="00A80DBC">
            <w:pPr>
              <w:spacing w:after="0" w:line="240" w:lineRule="auto"/>
              <w:jc w:val="right"/>
              <w:rPr>
                <w:sz w:val="20"/>
                <w:szCs w:val="20"/>
              </w:rPr>
            </w:pPr>
            <w:r w:rsidRPr="00663CBD">
              <w:rPr>
                <w:sz w:val="20"/>
                <w:szCs w:val="20"/>
              </w:rPr>
              <w:t>30.8</w:t>
            </w:r>
          </w:p>
        </w:tc>
        <w:tc>
          <w:tcPr>
            <w:tcW w:w="941" w:type="dxa"/>
            <w:tcBorders>
              <w:top w:val="nil"/>
              <w:left w:val="nil"/>
              <w:bottom w:val="nil"/>
              <w:right w:val="nil"/>
            </w:tcBorders>
            <w:noWrap/>
            <w:vAlign w:val="bottom"/>
            <w:hideMark/>
          </w:tcPr>
          <w:p w14:paraId="27D64CB8" w14:textId="77777777" w:rsidR="00677577" w:rsidRPr="00663CBD" w:rsidRDefault="00677577" w:rsidP="00A80DBC">
            <w:pPr>
              <w:spacing w:after="0" w:line="240" w:lineRule="auto"/>
              <w:jc w:val="right"/>
              <w:rPr>
                <w:sz w:val="20"/>
                <w:szCs w:val="20"/>
              </w:rPr>
            </w:pPr>
            <w:r w:rsidRPr="00663CBD">
              <w:rPr>
                <w:sz w:val="20"/>
                <w:szCs w:val="20"/>
              </w:rPr>
              <w:t>37.7</w:t>
            </w:r>
          </w:p>
        </w:tc>
        <w:tc>
          <w:tcPr>
            <w:tcW w:w="1559" w:type="dxa"/>
            <w:tcBorders>
              <w:top w:val="nil"/>
              <w:left w:val="nil"/>
              <w:bottom w:val="nil"/>
              <w:right w:val="nil"/>
            </w:tcBorders>
            <w:noWrap/>
            <w:vAlign w:val="bottom"/>
            <w:hideMark/>
          </w:tcPr>
          <w:p w14:paraId="6349EE02" w14:textId="77777777" w:rsidR="00677577" w:rsidRPr="00663CBD" w:rsidRDefault="00677577" w:rsidP="00A80DBC">
            <w:pPr>
              <w:spacing w:after="0" w:line="240" w:lineRule="auto"/>
              <w:jc w:val="right"/>
              <w:rPr>
                <w:sz w:val="20"/>
                <w:szCs w:val="20"/>
              </w:rPr>
            </w:pPr>
            <w:r w:rsidRPr="00663CBD">
              <w:rPr>
                <w:sz w:val="20"/>
                <w:szCs w:val="20"/>
              </w:rPr>
              <w:t>4.4</w:t>
            </w:r>
          </w:p>
        </w:tc>
        <w:tc>
          <w:tcPr>
            <w:tcW w:w="845" w:type="dxa"/>
            <w:tcBorders>
              <w:top w:val="nil"/>
              <w:left w:val="nil"/>
              <w:bottom w:val="nil"/>
              <w:right w:val="single" w:sz="4" w:space="0" w:color="auto"/>
            </w:tcBorders>
            <w:noWrap/>
            <w:vAlign w:val="bottom"/>
            <w:hideMark/>
          </w:tcPr>
          <w:p w14:paraId="263CA14A" w14:textId="77777777" w:rsidR="00677577" w:rsidRPr="00663CBD" w:rsidRDefault="00677577" w:rsidP="00A80DBC">
            <w:pPr>
              <w:spacing w:after="0" w:line="240" w:lineRule="auto"/>
              <w:jc w:val="right"/>
              <w:rPr>
                <w:sz w:val="20"/>
                <w:szCs w:val="20"/>
              </w:rPr>
            </w:pPr>
            <w:r w:rsidRPr="00663CBD">
              <w:rPr>
                <w:sz w:val="20"/>
                <w:szCs w:val="20"/>
              </w:rPr>
              <w:t>27.2</w:t>
            </w:r>
          </w:p>
        </w:tc>
        <w:tc>
          <w:tcPr>
            <w:tcW w:w="853" w:type="dxa"/>
            <w:tcBorders>
              <w:top w:val="nil"/>
              <w:left w:val="single" w:sz="4" w:space="0" w:color="auto"/>
              <w:bottom w:val="nil"/>
              <w:right w:val="nil"/>
            </w:tcBorders>
            <w:noWrap/>
            <w:vAlign w:val="bottom"/>
            <w:hideMark/>
          </w:tcPr>
          <w:p w14:paraId="7F045032" w14:textId="77777777" w:rsidR="00677577" w:rsidRPr="00663CBD" w:rsidRDefault="00677577" w:rsidP="00A80DBC">
            <w:pPr>
              <w:spacing w:after="0" w:line="240" w:lineRule="auto"/>
              <w:jc w:val="right"/>
              <w:rPr>
                <w:sz w:val="20"/>
                <w:szCs w:val="20"/>
              </w:rPr>
            </w:pPr>
            <w:r w:rsidRPr="00663CBD">
              <w:rPr>
                <w:sz w:val="20"/>
                <w:szCs w:val="20"/>
              </w:rPr>
              <w:t>30.5</w:t>
            </w:r>
          </w:p>
        </w:tc>
        <w:tc>
          <w:tcPr>
            <w:tcW w:w="854" w:type="dxa"/>
            <w:tcBorders>
              <w:top w:val="nil"/>
              <w:left w:val="nil"/>
              <w:bottom w:val="nil"/>
              <w:right w:val="nil"/>
            </w:tcBorders>
            <w:noWrap/>
            <w:vAlign w:val="bottom"/>
            <w:hideMark/>
          </w:tcPr>
          <w:p w14:paraId="638596D5" w14:textId="77777777" w:rsidR="00677577" w:rsidRPr="00663CBD" w:rsidRDefault="00677577" w:rsidP="00A80DBC">
            <w:pPr>
              <w:spacing w:after="0" w:line="240" w:lineRule="auto"/>
              <w:jc w:val="right"/>
              <w:rPr>
                <w:sz w:val="20"/>
                <w:szCs w:val="20"/>
              </w:rPr>
            </w:pPr>
            <w:r w:rsidRPr="00663CBD">
              <w:rPr>
                <w:sz w:val="20"/>
                <w:szCs w:val="20"/>
              </w:rPr>
              <w:t>46.3</w:t>
            </w:r>
          </w:p>
        </w:tc>
        <w:tc>
          <w:tcPr>
            <w:tcW w:w="1701" w:type="dxa"/>
            <w:tcBorders>
              <w:top w:val="nil"/>
              <w:left w:val="nil"/>
              <w:bottom w:val="nil"/>
              <w:right w:val="nil"/>
            </w:tcBorders>
            <w:noWrap/>
            <w:vAlign w:val="bottom"/>
            <w:hideMark/>
          </w:tcPr>
          <w:p w14:paraId="16F84F36" w14:textId="77777777" w:rsidR="00677577" w:rsidRPr="00663CBD" w:rsidRDefault="00677577" w:rsidP="00A80DBC">
            <w:pPr>
              <w:spacing w:after="0" w:line="240" w:lineRule="auto"/>
              <w:jc w:val="right"/>
              <w:rPr>
                <w:sz w:val="20"/>
                <w:szCs w:val="20"/>
              </w:rPr>
            </w:pPr>
            <w:r w:rsidRPr="00663CBD">
              <w:rPr>
                <w:sz w:val="20"/>
                <w:szCs w:val="20"/>
              </w:rPr>
              <w:t>4.6</w:t>
            </w:r>
          </w:p>
        </w:tc>
        <w:tc>
          <w:tcPr>
            <w:tcW w:w="878" w:type="dxa"/>
            <w:tcBorders>
              <w:top w:val="nil"/>
              <w:left w:val="nil"/>
              <w:bottom w:val="nil"/>
              <w:right w:val="single" w:sz="4" w:space="0" w:color="auto"/>
            </w:tcBorders>
            <w:noWrap/>
            <w:vAlign w:val="bottom"/>
            <w:hideMark/>
          </w:tcPr>
          <w:p w14:paraId="4F037853" w14:textId="77777777" w:rsidR="00677577" w:rsidRPr="00663CBD" w:rsidRDefault="00677577" w:rsidP="00A80DBC">
            <w:pPr>
              <w:spacing w:after="0" w:line="240" w:lineRule="auto"/>
              <w:jc w:val="right"/>
              <w:rPr>
                <w:sz w:val="20"/>
                <w:szCs w:val="20"/>
              </w:rPr>
            </w:pPr>
            <w:r w:rsidRPr="00663CBD">
              <w:rPr>
                <w:sz w:val="20"/>
                <w:szCs w:val="20"/>
              </w:rPr>
              <w:t>18.6</w:t>
            </w:r>
          </w:p>
        </w:tc>
        <w:tc>
          <w:tcPr>
            <w:tcW w:w="907" w:type="dxa"/>
            <w:tcBorders>
              <w:top w:val="nil"/>
              <w:left w:val="single" w:sz="4" w:space="0" w:color="auto"/>
              <w:bottom w:val="nil"/>
              <w:right w:val="nil"/>
            </w:tcBorders>
            <w:noWrap/>
            <w:vAlign w:val="bottom"/>
            <w:hideMark/>
          </w:tcPr>
          <w:p w14:paraId="532BDA59" w14:textId="77777777" w:rsidR="00677577" w:rsidRPr="00663CBD" w:rsidRDefault="00677577" w:rsidP="00A80DBC">
            <w:pPr>
              <w:spacing w:after="0" w:line="240" w:lineRule="auto"/>
              <w:jc w:val="right"/>
              <w:rPr>
                <w:sz w:val="20"/>
                <w:szCs w:val="20"/>
              </w:rPr>
            </w:pPr>
            <w:r w:rsidRPr="00663CBD">
              <w:rPr>
                <w:sz w:val="20"/>
                <w:szCs w:val="20"/>
              </w:rPr>
              <w:t>31.0</w:t>
            </w:r>
          </w:p>
        </w:tc>
        <w:tc>
          <w:tcPr>
            <w:tcW w:w="908" w:type="dxa"/>
            <w:tcBorders>
              <w:top w:val="nil"/>
              <w:left w:val="nil"/>
              <w:bottom w:val="nil"/>
              <w:right w:val="nil"/>
            </w:tcBorders>
            <w:noWrap/>
            <w:vAlign w:val="bottom"/>
            <w:hideMark/>
          </w:tcPr>
          <w:p w14:paraId="54646C23" w14:textId="77777777" w:rsidR="00677577" w:rsidRPr="00663CBD" w:rsidRDefault="00677577" w:rsidP="00A80DBC">
            <w:pPr>
              <w:spacing w:after="0" w:line="240" w:lineRule="auto"/>
              <w:jc w:val="right"/>
              <w:rPr>
                <w:sz w:val="20"/>
                <w:szCs w:val="20"/>
              </w:rPr>
            </w:pPr>
            <w:r w:rsidRPr="00663CBD">
              <w:rPr>
                <w:sz w:val="20"/>
                <w:szCs w:val="20"/>
              </w:rPr>
              <w:t>31.5</w:t>
            </w:r>
          </w:p>
        </w:tc>
        <w:tc>
          <w:tcPr>
            <w:tcW w:w="1559" w:type="dxa"/>
            <w:tcBorders>
              <w:top w:val="nil"/>
              <w:left w:val="nil"/>
              <w:bottom w:val="nil"/>
              <w:right w:val="nil"/>
            </w:tcBorders>
            <w:noWrap/>
            <w:vAlign w:val="bottom"/>
            <w:hideMark/>
          </w:tcPr>
          <w:p w14:paraId="2B955275" w14:textId="77777777" w:rsidR="00677577" w:rsidRPr="00663CBD" w:rsidRDefault="00677577" w:rsidP="00A80DBC">
            <w:pPr>
              <w:spacing w:after="0" w:line="240" w:lineRule="auto"/>
              <w:jc w:val="right"/>
              <w:rPr>
                <w:sz w:val="20"/>
                <w:szCs w:val="20"/>
              </w:rPr>
            </w:pPr>
            <w:r w:rsidRPr="00663CBD">
              <w:rPr>
                <w:sz w:val="20"/>
                <w:szCs w:val="20"/>
              </w:rPr>
              <w:t>4.2</w:t>
            </w:r>
          </w:p>
        </w:tc>
        <w:tc>
          <w:tcPr>
            <w:tcW w:w="912" w:type="dxa"/>
            <w:tcBorders>
              <w:top w:val="nil"/>
              <w:left w:val="nil"/>
              <w:bottom w:val="nil"/>
              <w:right w:val="single" w:sz="4" w:space="0" w:color="auto"/>
            </w:tcBorders>
            <w:noWrap/>
            <w:vAlign w:val="bottom"/>
            <w:hideMark/>
          </w:tcPr>
          <w:p w14:paraId="1A8920E2" w14:textId="77777777" w:rsidR="00677577" w:rsidRPr="00663CBD" w:rsidRDefault="00677577" w:rsidP="00A80DBC">
            <w:pPr>
              <w:spacing w:after="0" w:line="240" w:lineRule="auto"/>
              <w:jc w:val="right"/>
              <w:rPr>
                <w:sz w:val="20"/>
                <w:szCs w:val="20"/>
              </w:rPr>
            </w:pPr>
            <w:r w:rsidRPr="00663CBD">
              <w:rPr>
                <w:sz w:val="20"/>
                <w:szCs w:val="20"/>
              </w:rPr>
              <w:t>33.4</w:t>
            </w:r>
          </w:p>
        </w:tc>
      </w:tr>
      <w:tr w:rsidR="005A0DE5" w:rsidRPr="00167CB8" w14:paraId="450E5278" w14:textId="77777777" w:rsidTr="002B1A16">
        <w:trPr>
          <w:trHeight w:val="20"/>
        </w:trPr>
        <w:tc>
          <w:tcPr>
            <w:tcW w:w="1090" w:type="dxa"/>
            <w:tcBorders>
              <w:top w:val="nil"/>
              <w:left w:val="single" w:sz="4" w:space="0" w:color="auto"/>
              <w:bottom w:val="nil"/>
              <w:right w:val="single" w:sz="4" w:space="0" w:color="auto"/>
            </w:tcBorders>
            <w:noWrap/>
            <w:vAlign w:val="bottom"/>
            <w:hideMark/>
          </w:tcPr>
          <w:p w14:paraId="56D80CB2" w14:textId="77777777" w:rsidR="00677577" w:rsidRPr="00663CBD" w:rsidRDefault="00677577">
            <w:pPr>
              <w:spacing w:after="0" w:line="240" w:lineRule="auto"/>
              <w:rPr>
                <w:sz w:val="20"/>
                <w:szCs w:val="20"/>
              </w:rPr>
            </w:pPr>
            <w:r w:rsidRPr="00663CBD">
              <w:rPr>
                <w:sz w:val="20"/>
                <w:szCs w:val="20"/>
              </w:rPr>
              <w:t>2014</w:t>
            </w:r>
            <w:r w:rsidRPr="00663CBD">
              <w:rPr>
                <w:rFonts w:ascii="Symbol" w:eastAsia="Symbol" w:hAnsi="Symbol" w:cs="Symbol"/>
                <w:sz w:val="20"/>
                <w:szCs w:val="20"/>
              </w:rPr>
              <w:sym w:font="Symbol" w:char="F02D"/>
            </w:r>
            <w:r w:rsidRPr="00663CBD">
              <w:rPr>
                <w:sz w:val="20"/>
                <w:szCs w:val="20"/>
              </w:rPr>
              <w:t>15</w:t>
            </w:r>
          </w:p>
        </w:tc>
        <w:tc>
          <w:tcPr>
            <w:tcW w:w="941" w:type="dxa"/>
            <w:tcBorders>
              <w:top w:val="nil"/>
              <w:left w:val="single" w:sz="4" w:space="0" w:color="auto"/>
              <w:bottom w:val="nil"/>
              <w:right w:val="nil"/>
            </w:tcBorders>
            <w:noWrap/>
            <w:vAlign w:val="bottom"/>
            <w:hideMark/>
          </w:tcPr>
          <w:p w14:paraId="396BEA4C" w14:textId="77777777" w:rsidR="00677577" w:rsidRPr="00663CBD" w:rsidRDefault="00677577" w:rsidP="00A80DBC">
            <w:pPr>
              <w:spacing w:after="0" w:line="240" w:lineRule="auto"/>
              <w:jc w:val="right"/>
              <w:rPr>
                <w:sz w:val="20"/>
                <w:szCs w:val="20"/>
              </w:rPr>
            </w:pPr>
            <w:r w:rsidRPr="00663CBD">
              <w:rPr>
                <w:sz w:val="20"/>
                <w:szCs w:val="20"/>
              </w:rPr>
              <w:t>29.1</w:t>
            </w:r>
          </w:p>
        </w:tc>
        <w:tc>
          <w:tcPr>
            <w:tcW w:w="941" w:type="dxa"/>
            <w:tcBorders>
              <w:top w:val="nil"/>
              <w:left w:val="nil"/>
              <w:bottom w:val="nil"/>
              <w:right w:val="nil"/>
            </w:tcBorders>
            <w:noWrap/>
            <w:vAlign w:val="bottom"/>
            <w:hideMark/>
          </w:tcPr>
          <w:p w14:paraId="7C083315" w14:textId="77777777" w:rsidR="00677577" w:rsidRPr="00663CBD" w:rsidRDefault="00677577" w:rsidP="00A80DBC">
            <w:pPr>
              <w:spacing w:after="0" w:line="240" w:lineRule="auto"/>
              <w:jc w:val="right"/>
              <w:rPr>
                <w:sz w:val="20"/>
                <w:szCs w:val="20"/>
              </w:rPr>
            </w:pPr>
            <w:r w:rsidRPr="00663CBD">
              <w:rPr>
                <w:sz w:val="20"/>
                <w:szCs w:val="20"/>
              </w:rPr>
              <w:t>40.8</w:t>
            </w:r>
          </w:p>
        </w:tc>
        <w:tc>
          <w:tcPr>
            <w:tcW w:w="1559" w:type="dxa"/>
            <w:tcBorders>
              <w:top w:val="nil"/>
              <w:left w:val="nil"/>
              <w:bottom w:val="nil"/>
              <w:right w:val="nil"/>
            </w:tcBorders>
            <w:noWrap/>
            <w:vAlign w:val="bottom"/>
            <w:hideMark/>
          </w:tcPr>
          <w:p w14:paraId="619CA5C9" w14:textId="77777777" w:rsidR="00677577" w:rsidRPr="00663CBD" w:rsidRDefault="00677577" w:rsidP="00A80DBC">
            <w:pPr>
              <w:spacing w:after="0" w:line="240" w:lineRule="auto"/>
              <w:jc w:val="right"/>
              <w:rPr>
                <w:sz w:val="20"/>
                <w:szCs w:val="20"/>
              </w:rPr>
            </w:pPr>
            <w:r w:rsidRPr="00663CBD">
              <w:rPr>
                <w:sz w:val="20"/>
                <w:szCs w:val="20"/>
              </w:rPr>
              <w:t>4.9</w:t>
            </w:r>
          </w:p>
        </w:tc>
        <w:tc>
          <w:tcPr>
            <w:tcW w:w="845" w:type="dxa"/>
            <w:tcBorders>
              <w:top w:val="nil"/>
              <w:left w:val="nil"/>
              <w:bottom w:val="nil"/>
              <w:right w:val="single" w:sz="4" w:space="0" w:color="auto"/>
            </w:tcBorders>
            <w:noWrap/>
            <w:vAlign w:val="bottom"/>
            <w:hideMark/>
          </w:tcPr>
          <w:p w14:paraId="51910548" w14:textId="77777777" w:rsidR="00677577" w:rsidRPr="00663CBD" w:rsidRDefault="00677577" w:rsidP="00A80DBC">
            <w:pPr>
              <w:spacing w:after="0" w:line="240" w:lineRule="auto"/>
              <w:jc w:val="right"/>
              <w:rPr>
                <w:sz w:val="20"/>
                <w:szCs w:val="20"/>
              </w:rPr>
            </w:pPr>
            <w:r w:rsidRPr="00663CBD">
              <w:rPr>
                <w:sz w:val="20"/>
                <w:szCs w:val="20"/>
              </w:rPr>
              <w:t>25.3</w:t>
            </w:r>
          </w:p>
        </w:tc>
        <w:tc>
          <w:tcPr>
            <w:tcW w:w="853" w:type="dxa"/>
            <w:tcBorders>
              <w:top w:val="nil"/>
              <w:left w:val="single" w:sz="4" w:space="0" w:color="auto"/>
              <w:bottom w:val="nil"/>
              <w:right w:val="nil"/>
            </w:tcBorders>
            <w:noWrap/>
            <w:vAlign w:val="bottom"/>
            <w:hideMark/>
          </w:tcPr>
          <w:p w14:paraId="43847F43" w14:textId="77777777" w:rsidR="00677577" w:rsidRPr="00663CBD" w:rsidRDefault="00677577" w:rsidP="00A80DBC">
            <w:pPr>
              <w:spacing w:after="0" w:line="240" w:lineRule="auto"/>
              <w:jc w:val="right"/>
              <w:rPr>
                <w:sz w:val="20"/>
                <w:szCs w:val="20"/>
              </w:rPr>
            </w:pPr>
            <w:r w:rsidRPr="00663CBD">
              <w:rPr>
                <w:sz w:val="20"/>
                <w:szCs w:val="20"/>
              </w:rPr>
              <w:t>28.0</w:t>
            </w:r>
          </w:p>
        </w:tc>
        <w:tc>
          <w:tcPr>
            <w:tcW w:w="854" w:type="dxa"/>
            <w:tcBorders>
              <w:top w:val="nil"/>
              <w:left w:val="nil"/>
              <w:bottom w:val="nil"/>
              <w:right w:val="nil"/>
            </w:tcBorders>
            <w:noWrap/>
            <w:vAlign w:val="bottom"/>
            <w:hideMark/>
          </w:tcPr>
          <w:p w14:paraId="4D12FA97" w14:textId="77777777" w:rsidR="00677577" w:rsidRPr="00663CBD" w:rsidRDefault="00677577" w:rsidP="00A80DBC">
            <w:pPr>
              <w:spacing w:after="0" w:line="240" w:lineRule="auto"/>
              <w:jc w:val="right"/>
              <w:rPr>
                <w:sz w:val="20"/>
                <w:szCs w:val="20"/>
              </w:rPr>
            </w:pPr>
            <w:r w:rsidRPr="00663CBD">
              <w:rPr>
                <w:sz w:val="20"/>
                <w:szCs w:val="20"/>
              </w:rPr>
              <w:t>44.7</w:t>
            </w:r>
          </w:p>
        </w:tc>
        <w:tc>
          <w:tcPr>
            <w:tcW w:w="1701" w:type="dxa"/>
            <w:tcBorders>
              <w:top w:val="nil"/>
              <w:left w:val="nil"/>
              <w:bottom w:val="nil"/>
              <w:right w:val="nil"/>
            </w:tcBorders>
            <w:noWrap/>
            <w:vAlign w:val="bottom"/>
            <w:hideMark/>
          </w:tcPr>
          <w:p w14:paraId="6C24571B" w14:textId="77777777" w:rsidR="00677577" w:rsidRPr="00663CBD" w:rsidRDefault="00677577" w:rsidP="00A80DBC">
            <w:pPr>
              <w:spacing w:after="0" w:line="240" w:lineRule="auto"/>
              <w:jc w:val="right"/>
              <w:rPr>
                <w:sz w:val="20"/>
                <w:szCs w:val="20"/>
              </w:rPr>
            </w:pPr>
            <w:r w:rsidRPr="00663CBD">
              <w:rPr>
                <w:sz w:val="20"/>
                <w:szCs w:val="20"/>
              </w:rPr>
              <w:t>4.4</w:t>
            </w:r>
          </w:p>
        </w:tc>
        <w:tc>
          <w:tcPr>
            <w:tcW w:w="878" w:type="dxa"/>
            <w:tcBorders>
              <w:top w:val="nil"/>
              <w:left w:val="nil"/>
              <w:bottom w:val="nil"/>
              <w:right w:val="single" w:sz="4" w:space="0" w:color="auto"/>
            </w:tcBorders>
            <w:noWrap/>
            <w:vAlign w:val="bottom"/>
            <w:hideMark/>
          </w:tcPr>
          <w:p w14:paraId="492EA85C" w14:textId="77777777" w:rsidR="00677577" w:rsidRPr="00663CBD" w:rsidRDefault="00677577" w:rsidP="00A80DBC">
            <w:pPr>
              <w:spacing w:after="0" w:line="240" w:lineRule="auto"/>
              <w:jc w:val="right"/>
              <w:rPr>
                <w:sz w:val="20"/>
                <w:szCs w:val="20"/>
              </w:rPr>
            </w:pPr>
            <w:r w:rsidRPr="00663CBD">
              <w:rPr>
                <w:sz w:val="20"/>
                <w:szCs w:val="20"/>
              </w:rPr>
              <w:t>23.0</w:t>
            </w:r>
          </w:p>
        </w:tc>
        <w:tc>
          <w:tcPr>
            <w:tcW w:w="907" w:type="dxa"/>
            <w:tcBorders>
              <w:top w:val="nil"/>
              <w:left w:val="single" w:sz="4" w:space="0" w:color="auto"/>
              <w:bottom w:val="nil"/>
              <w:right w:val="nil"/>
            </w:tcBorders>
            <w:noWrap/>
            <w:vAlign w:val="bottom"/>
            <w:hideMark/>
          </w:tcPr>
          <w:p w14:paraId="1DFDAD83" w14:textId="77777777" w:rsidR="00677577" w:rsidRPr="00663CBD" w:rsidRDefault="00677577" w:rsidP="00A80DBC">
            <w:pPr>
              <w:spacing w:after="0" w:line="240" w:lineRule="auto"/>
              <w:jc w:val="right"/>
              <w:rPr>
                <w:sz w:val="20"/>
                <w:szCs w:val="20"/>
              </w:rPr>
            </w:pPr>
            <w:r w:rsidRPr="00663CBD">
              <w:rPr>
                <w:sz w:val="20"/>
                <w:szCs w:val="20"/>
              </w:rPr>
              <w:t>29.9</w:t>
            </w:r>
          </w:p>
        </w:tc>
        <w:tc>
          <w:tcPr>
            <w:tcW w:w="908" w:type="dxa"/>
            <w:tcBorders>
              <w:top w:val="nil"/>
              <w:left w:val="nil"/>
              <w:bottom w:val="nil"/>
              <w:right w:val="nil"/>
            </w:tcBorders>
            <w:noWrap/>
            <w:vAlign w:val="bottom"/>
            <w:hideMark/>
          </w:tcPr>
          <w:p w14:paraId="27F63722" w14:textId="77777777" w:rsidR="00677577" w:rsidRPr="00663CBD" w:rsidRDefault="00677577" w:rsidP="00A80DBC">
            <w:pPr>
              <w:spacing w:after="0" w:line="240" w:lineRule="auto"/>
              <w:jc w:val="right"/>
              <w:rPr>
                <w:sz w:val="20"/>
                <w:szCs w:val="20"/>
              </w:rPr>
            </w:pPr>
            <w:r w:rsidRPr="00663CBD">
              <w:rPr>
                <w:sz w:val="20"/>
                <w:szCs w:val="20"/>
              </w:rPr>
              <w:t>37.9</w:t>
            </w:r>
          </w:p>
        </w:tc>
        <w:tc>
          <w:tcPr>
            <w:tcW w:w="1559" w:type="dxa"/>
            <w:tcBorders>
              <w:top w:val="nil"/>
              <w:left w:val="nil"/>
              <w:bottom w:val="nil"/>
              <w:right w:val="nil"/>
            </w:tcBorders>
            <w:noWrap/>
            <w:vAlign w:val="bottom"/>
            <w:hideMark/>
          </w:tcPr>
          <w:p w14:paraId="2BADE433" w14:textId="77777777" w:rsidR="00677577" w:rsidRPr="00663CBD" w:rsidRDefault="00677577" w:rsidP="00A80DBC">
            <w:pPr>
              <w:spacing w:after="0" w:line="240" w:lineRule="auto"/>
              <w:jc w:val="right"/>
              <w:rPr>
                <w:sz w:val="20"/>
                <w:szCs w:val="20"/>
              </w:rPr>
            </w:pPr>
            <w:r w:rsidRPr="00663CBD">
              <w:rPr>
                <w:sz w:val="20"/>
                <w:szCs w:val="20"/>
              </w:rPr>
              <w:t>5.3</w:t>
            </w:r>
          </w:p>
        </w:tc>
        <w:tc>
          <w:tcPr>
            <w:tcW w:w="912" w:type="dxa"/>
            <w:tcBorders>
              <w:top w:val="nil"/>
              <w:left w:val="nil"/>
              <w:bottom w:val="nil"/>
              <w:right w:val="single" w:sz="4" w:space="0" w:color="auto"/>
            </w:tcBorders>
            <w:noWrap/>
            <w:vAlign w:val="bottom"/>
            <w:hideMark/>
          </w:tcPr>
          <w:p w14:paraId="491851FE" w14:textId="77777777" w:rsidR="00677577" w:rsidRPr="00663CBD" w:rsidRDefault="00677577" w:rsidP="00A80DBC">
            <w:pPr>
              <w:spacing w:after="0" w:line="240" w:lineRule="auto"/>
              <w:jc w:val="right"/>
              <w:rPr>
                <w:sz w:val="20"/>
                <w:szCs w:val="20"/>
              </w:rPr>
            </w:pPr>
            <w:r w:rsidRPr="00663CBD">
              <w:rPr>
                <w:sz w:val="20"/>
                <w:szCs w:val="20"/>
              </w:rPr>
              <w:t>27.0</w:t>
            </w:r>
          </w:p>
        </w:tc>
      </w:tr>
      <w:tr w:rsidR="005A0DE5" w:rsidRPr="00167CB8" w14:paraId="6B3154ED" w14:textId="77777777" w:rsidTr="002B1A16">
        <w:trPr>
          <w:trHeight w:val="20"/>
        </w:trPr>
        <w:tc>
          <w:tcPr>
            <w:tcW w:w="1090" w:type="dxa"/>
            <w:tcBorders>
              <w:top w:val="nil"/>
              <w:left w:val="single" w:sz="4" w:space="0" w:color="auto"/>
              <w:bottom w:val="nil"/>
              <w:right w:val="single" w:sz="4" w:space="0" w:color="auto"/>
            </w:tcBorders>
            <w:noWrap/>
            <w:vAlign w:val="bottom"/>
            <w:hideMark/>
          </w:tcPr>
          <w:p w14:paraId="517E8D39" w14:textId="77777777" w:rsidR="00677577" w:rsidRPr="00663CBD" w:rsidRDefault="00677577">
            <w:pPr>
              <w:spacing w:after="0" w:line="240" w:lineRule="auto"/>
              <w:rPr>
                <w:sz w:val="20"/>
                <w:szCs w:val="20"/>
              </w:rPr>
            </w:pPr>
            <w:r w:rsidRPr="00663CBD">
              <w:rPr>
                <w:sz w:val="20"/>
                <w:szCs w:val="20"/>
              </w:rPr>
              <w:t>2015</w:t>
            </w:r>
            <w:r w:rsidRPr="00663CBD">
              <w:rPr>
                <w:rFonts w:ascii="Symbol" w:eastAsia="Symbol" w:hAnsi="Symbol" w:cs="Symbol"/>
                <w:sz w:val="20"/>
                <w:szCs w:val="20"/>
              </w:rPr>
              <w:sym w:font="Symbol" w:char="F02D"/>
            </w:r>
            <w:r w:rsidRPr="00663CBD">
              <w:rPr>
                <w:sz w:val="20"/>
                <w:szCs w:val="20"/>
              </w:rPr>
              <w:t>16</w:t>
            </w:r>
          </w:p>
        </w:tc>
        <w:tc>
          <w:tcPr>
            <w:tcW w:w="941" w:type="dxa"/>
            <w:tcBorders>
              <w:top w:val="nil"/>
              <w:left w:val="single" w:sz="4" w:space="0" w:color="auto"/>
              <w:bottom w:val="nil"/>
              <w:right w:val="nil"/>
            </w:tcBorders>
            <w:noWrap/>
            <w:vAlign w:val="bottom"/>
            <w:hideMark/>
          </w:tcPr>
          <w:p w14:paraId="7EFCB66B" w14:textId="77777777" w:rsidR="00677577" w:rsidRPr="00663CBD" w:rsidRDefault="00677577" w:rsidP="00A80DBC">
            <w:pPr>
              <w:spacing w:after="0" w:line="240" w:lineRule="auto"/>
              <w:jc w:val="right"/>
              <w:rPr>
                <w:sz w:val="20"/>
                <w:szCs w:val="20"/>
              </w:rPr>
            </w:pPr>
            <w:r w:rsidRPr="00663CBD">
              <w:rPr>
                <w:sz w:val="20"/>
                <w:szCs w:val="20"/>
              </w:rPr>
              <w:t>33.1</w:t>
            </w:r>
          </w:p>
        </w:tc>
        <w:tc>
          <w:tcPr>
            <w:tcW w:w="941" w:type="dxa"/>
            <w:tcBorders>
              <w:top w:val="nil"/>
              <w:left w:val="nil"/>
              <w:bottom w:val="nil"/>
              <w:right w:val="nil"/>
            </w:tcBorders>
            <w:noWrap/>
            <w:vAlign w:val="bottom"/>
            <w:hideMark/>
          </w:tcPr>
          <w:p w14:paraId="3FEF2A98" w14:textId="77777777" w:rsidR="00677577" w:rsidRPr="00663CBD" w:rsidRDefault="00677577" w:rsidP="00A80DBC">
            <w:pPr>
              <w:spacing w:after="0" w:line="240" w:lineRule="auto"/>
              <w:jc w:val="right"/>
              <w:rPr>
                <w:sz w:val="20"/>
                <w:szCs w:val="20"/>
              </w:rPr>
            </w:pPr>
            <w:r w:rsidRPr="00663CBD">
              <w:rPr>
                <w:sz w:val="20"/>
                <w:szCs w:val="20"/>
              </w:rPr>
              <w:t>35.5</w:t>
            </w:r>
          </w:p>
        </w:tc>
        <w:tc>
          <w:tcPr>
            <w:tcW w:w="1559" w:type="dxa"/>
            <w:tcBorders>
              <w:top w:val="nil"/>
              <w:left w:val="nil"/>
              <w:bottom w:val="nil"/>
              <w:right w:val="nil"/>
            </w:tcBorders>
            <w:noWrap/>
            <w:vAlign w:val="bottom"/>
            <w:hideMark/>
          </w:tcPr>
          <w:p w14:paraId="5541EFA5" w14:textId="77777777" w:rsidR="00677577" w:rsidRPr="00663CBD" w:rsidRDefault="00677577" w:rsidP="00A80DBC">
            <w:pPr>
              <w:spacing w:after="0" w:line="240" w:lineRule="auto"/>
              <w:jc w:val="right"/>
              <w:rPr>
                <w:sz w:val="20"/>
                <w:szCs w:val="20"/>
              </w:rPr>
            </w:pPr>
            <w:r w:rsidRPr="00663CBD">
              <w:rPr>
                <w:sz w:val="20"/>
                <w:szCs w:val="20"/>
              </w:rPr>
              <w:t>4.2</w:t>
            </w:r>
          </w:p>
        </w:tc>
        <w:tc>
          <w:tcPr>
            <w:tcW w:w="845" w:type="dxa"/>
            <w:tcBorders>
              <w:top w:val="nil"/>
              <w:left w:val="nil"/>
              <w:bottom w:val="nil"/>
              <w:right w:val="single" w:sz="4" w:space="0" w:color="auto"/>
            </w:tcBorders>
            <w:noWrap/>
            <w:vAlign w:val="bottom"/>
            <w:hideMark/>
          </w:tcPr>
          <w:p w14:paraId="5D937265" w14:textId="77777777" w:rsidR="00677577" w:rsidRPr="00663CBD" w:rsidRDefault="00677577" w:rsidP="00A80DBC">
            <w:pPr>
              <w:spacing w:after="0" w:line="240" w:lineRule="auto"/>
              <w:jc w:val="right"/>
              <w:rPr>
                <w:sz w:val="20"/>
                <w:szCs w:val="20"/>
              </w:rPr>
            </w:pPr>
            <w:r w:rsidRPr="00663CBD">
              <w:rPr>
                <w:sz w:val="20"/>
                <w:szCs w:val="20"/>
              </w:rPr>
              <w:t>27.2</w:t>
            </w:r>
          </w:p>
        </w:tc>
        <w:tc>
          <w:tcPr>
            <w:tcW w:w="853" w:type="dxa"/>
            <w:tcBorders>
              <w:top w:val="nil"/>
              <w:left w:val="single" w:sz="4" w:space="0" w:color="auto"/>
              <w:bottom w:val="nil"/>
              <w:right w:val="nil"/>
            </w:tcBorders>
            <w:noWrap/>
            <w:vAlign w:val="bottom"/>
            <w:hideMark/>
          </w:tcPr>
          <w:p w14:paraId="7C986447" w14:textId="77777777" w:rsidR="00677577" w:rsidRPr="00663CBD" w:rsidRDefault="00677577" w:rsidP="00A80DBC">
            <w:pPr>
              <w:spacing w:after="0" w:line="240" w:lineRule="auto"/>
              <w:jc w:val="right"/>
              <w:rPr>
                <w:sz w:val="20"/>
                <w:szCs w:val="20"/>
              </w:rPr>
            </w:pPr>
            <w:r w:rsidRPr="00663CBD">
              <w:rPr>
                <w:sz w:val="20"/>
                <w:szCs w:val="20"/>
              </w:rPr>
              <w:t>34.8</w:t>
            </w:r>
          </w:p>
        </w:tc>
        <w:tc>
          <w:tcPr>
            <w:tcW w:w="854" w:type="dxa"/>
            <w:tcBorders>
              <w:top w:val="nil"/>
              <w:left w:val="nil"/>
              <w:bottom w:val="nil"/>
              <w:right w:val="nil"/>
            </w:tcBorders>
            <w:noWrap/>
            <w:vAlign w:val="bottom"/>
            <w:hideMark/>
          </w:tcPr>
          <w:p w14:paraId="7D4C04F4" w14:textId="77777777" w:rsidR="00677577" w:rsidRPr="00663CBD" w:rsidRDefault="00677577" w:rsidP="00A80DBC">
            <w:pPr>
              <w:spacing w:after="0" w:line="240" w:lineRule="auto"/>
              <w:jc w:val="right"/>
              <w:rPr>
                <w:sz w:val="20"/>
                <w:szCs w:val="20"/>
              </w:rPr>
            </w:pPr>
            <w:r w:rsidRPr="00663CBD">
              <w:rPr>
                <w:sz w:val="20"/>
                <w:szCs w:val="20"/>
              </w:rPr>
              <w:t>37.2</w:t>
            </w:r>
          </w:p>
        </w:tc>
        <w:tc>
          <w:tcPr>
            <w:tcW w:w="1701" w:type="dxa"/>
            <w:tcBorders>
              <w:top w:val="nil"/>
              <w:left w:val="nil"/>
              <w:bottom w:val="nil"/>
              <w:right w:val="nil"/>
            </w:tcBorders>
            <w:noWrap/>
            <w:vAlign w:val="bottom"/>
            <w:hideMark/>
          </w:tcPr>
          <w:p w14:paraId="68670CEF" w14:textId="77777777" w:rsidR="00677577" w:rsidRPr="00663CBD" w:rsidRDefault="00677577" w:rsidP="00A80DBC">
            <w:pPr>
              <w:spacing w:after="0" w:line="240" w:lineRule="auto"/>
              <w:jc w:val="right"/>
              <w:rPr>
                <w:sz w:val="20"/>
                <w:szCs w:val="20"/>
              </w:rPr>
            </w:pPr>
            <w:r w:rsidRPr="00663CBD">
              <w:rPr>
                <w:sz w:val="20"/>
                <w:szCs w:val="20"/>
              </w:rPr>
              <w:t>2.4</w:t>
            </w:r>
          </w:p>
        </w:tc>
        <w:tc>
          <w:tcPr>
            <w:tcW w:w="878" w:type="dxa"/>
            <w:tcBorders>
              <w:top w:val="nil"/>
              <w:left w:val="nil"/>
              <w:bottom w:val="nil"/>
              <w:right w:val="single" w:sz="4" w:space="0" w:color="auto"/>
            </w:tcBorders>
            <w:noWrap/>
            <w:vAlign w:val="bottom"/>
            <w:hideMark/>
          </w:tcPr>
          <w:p w14:paraId="5468163F" w14:textId="77777777" w:rsidR="00677577" w:rsidRPr="00663CBD" w:rsidRDefault="00677577" w:rsidP="00A80DBC">
            <w:pPr>
              <w:spacing w:after="0" w:line="240" w:lineRule="auto"/>
              <w:jc w:val="right"/>
              <w:rPr>
                <w:sz w:val="20"/>
                <w:szCs w:val="20"/>
              </w:rPr>
            </w:pPr>
            <w:r w:rsidRPr="00663CBD">
              <w:rPr>
                <w:sz w:val="20"/>
                <w:szCs w:val="20"/>
              </w:rPr>
              <w:t>25.7</w:t>
            </w:r>
          </w:p>
        </w:tc>
        <w:tc>
          <w:tcPr>
            <w:tcW w:w="907" w:type="dxa"/>
            <w:tcBorders>
              <w:top w:val="nil"/>
              <w:left w:val="single" w:sz="4" w:space="0" w:color="auto"/>
              <w:bottom w:val="nil"/>
              <w:right w:val="nil"/>
            </w:tcBorders>
            <w:noWrap/>
            <w:vAlign w:val="bottom"/>
            <w:hideMark/>
          </w:tcPr>
          <w:p w14:paraId="382A5E88" w14:textId="77777777" w:rsidR="00677577" w:rsidRPr="00663CBD" w:rsidRDefault="00677577" w:rsidP="00A80DBC">
            <w:pPr>
              <w:spacing w:after="0" w:line="240" w:lineRule="auto"/>
              <w:jc w:val="right"/>
              <w:rPr>
                <w:sz w:val="20"/>
                <w:szCs w:val="20"/>
              </w:rPr>
            </w:pPr>
            <w:r w:rsidRPr="00663CBD">
              <w:rPr>
                <w:sz w:val="20"/>
                <w:szCs w:val="20"/>
              </w:rPr>
              <w:t>31.8</w:t>
            </w:r>
          </w:p>
        </w:tc>
        <w:tc>
          <w:tcPr>
            <w:tcW w:w="908" w:type="dxa"/>
            <w:tcBorders>
              <w:top w:val="nil"/>
              <w:left w:val="nil"/>
              <w:bottom w:val="nil"/>
              <w:right w:val="nil"/>
            </w:tcBorders>
            <w:noWrap/>
            <w:vAlign w:val="bottom"/>
            <w:hideMark/>
          </w:tcPr>
          <w:p w14:paraId="4C79539C" w14:textId="77777777" w:rsidR="00677577" w:rsidRPr="00663CBD" w:rsidRDefault="00677577" w:rsidP="00A80DBC">
            <w:pPr>
              <w:spacing w:after="0" w:line="240" w:lineRule="auto"/>
              <w:jc w:val="right"/>
              <w:rPr>
                <w:sz w:val="20"/>
                <w:szCs w:val="20"/>
              </w:rPr>
            </w:pPr>
            <w:r w:rsidRPr="00663CBD">
              <w:rPr>
                <w:sz w:val="20"/>
                <w:szCs w:val="20"/>
              </w:rPr>
              <w:t>34.3</w:t>
            </w:r>
          </w:p>
        </w:tc>
        <w:tc>
          <w:tcPr>
            <w:tcW w:w="1559" w:type="dxa"/>
            <w:tcBorders>
              <w:top w:val="nil"/>
              <w:left w:val="nil"/>
              <w:bottom w:val="nil"/>
              <w:right w:val="nil"/>
            </w:tcBorders>
            <w:noWrap/>
            <w:vAlign w:val="bottom"/>
            <w:hideMark/>
          </w:tcPr>
          <w:p w14:paraId="65895718" w14:textId="77777777" w:rsidR="00677577" w:rsidRPr="00663CBD" w:rsidRDefault="00677577" w:rsidP="00A80DBC">
            <w:pPr>
              <w:spacing w:after="0" w:line="240" w:lineRule="auto"/>
              <w:jc w:val="right"/>
              <w:rPr>
                <w:sz w:val="20"/>
                <w:szCs w:val="20"/>
              </w:rPr>
            </w:pPr>
            <w:r w:rsidRPr="00663CBD">
              <w:rPr>
                <w:sz w:val="20"/>
                <w:szCs w:val="20"/>
              </w:rPr>
              <w:t>5.6</w:t>
            </w:r>
          </w:p>
        </w:tc>
        <w:tc>
          <w:tcPr>
            <w:tcW w:w="912" w:type="dxa"/>
            <w:tcBorders>
              <w:top w:val="nil"/>
              <w:left w:val="nil"/>
              <w:bottom w:val="nil"/>
              <w:right w:val="single" w:sz="4" w:space="0" w:color="auto"/>
            </w:tcBorders>
            <w:noWrap/>
            <w:vAlign w:val="bottom"/>
            <w:hideMark/>
          </w:tcPr>
          <w:p w14:paraId="60DF223C" w14:textId="77777777" w:rsidR="00677577" w:rsidRPr="00663CBD" w:rsidRDefault="00677577" w:rsidP="00A80DBC">
            <w:pPr>
              <w:spacing w:after="0" w:line="240" w:lineRule="auto"/>
              <w:jc w:val="right"/>
              <w:rPr>
                <w:sz w:val="20"/>
                <w:szCs w:val="20"/>
              </w:rPr>
            </w:pPr>
            <w:r w:rsidRPr="00663CBD">
              <w:rPr>
                <w:sz w:val="20"/>
                <w:szCs w:val="20"/>
              </w:rPr>
              <w:t>28.4</w:t>
            </w:r>
          </w:p>
        </w:tc>
      </w:tr>
      <w:tr w:rsidR="005A0DE5" w:rsidRPr="00167CB8" w14:paraId="79C9CAAF" w14:textId="77777777" w:rsidTr="002B1A16">
        <w:trPr>
          <w:trHeight w:val="20"/>
        </w:trPr>
        <w:tc>
          <w:tcPr>
            <w:tcW w:w="1090" w:type="dxa"/>
            <w:tcBorders>
              <w:top w:val="nil"/>
              <w:left w:val="single" w:sz="4" w:space="0" w:color="auto"/>
              <w:bottom w:val="nil"/>
              <w:right w:val="single" w:sz="4" w:space="0" w:color="auto"/>
            </w:tcBorders>
            <w:noWrap/>
            <w:vAlign w:val="bottom"/>
            <w:hideMark/>
          </w:tcPr>
          <w:p w14:paraId="5E93EEF9" w14:textId="77777777" w:rsidR="00677577" w:rsidRPr="00663CBD" w:rsidRDefault="00677577">
            <w:pPr>
              <w:spacing w:after="0" w:line="240" w:lineRule="auto"/>
              <w:rPr>
                <w:sz w:val="20"/>
                <w:szCs w:val="20"/>
              </w:rPr>
            </w:pPr>
            <w:r w:rsidRPr="00663CBD">
              <w:rPr>
                <w:sz w:val="20"/>
                <w:szCs w:val="20"/>
              </w:rPr>
              <w:t>2016</w:t>
            </w:r>
            <w:r w:rsidRPr="00663CBD">
              <w:rPr>
                <w:rFonts w:ascii="Symbol" w:eastAsia="Symbol" w:hAnsi="Symbol" w:cs="Symbol"/>
                <w:sz w:val="20"/>
                <w:szCs w:val="20"/>
              </w:rPr>
              <w:sym w:font="Symbol" w:char="F02D"/>
            </w:r>
            <w:r w:rsidRPr="00663CBD">
              <w:rPr>
                <w:sz w:val="20"/>
                <w:szCs w:val="20"/>
              </w:rPr>
              <w:t>17</w:t>
            </w:r>
          </w:p>
        </w:tc>
        <w:tc>
          <w:tcPr>
            <w:tcW w:w="941" w:type="dxa"/>
            <w:tcBorders>
              <w:top w:val="nil"/>
              <w:left w:val="single" w:sz="4" w:space="0" w:color="auto"/>
              <w:bottom w:val="nil"/>
              <w:right w:val="nil"/>
            </w:tcBorders>
            <w:noWrap/>
            <w:vAlign w:val="bottom"/>
            <w:hideMark/>
          </w:tcPr>
          <w:p w14:paraId="6C43AF6E" w14:textId="77777777" w:rsidR="00677577" w:rsidRPr="00663CBD" w:rsidRDefault="00677577" w:rsidP="00A80DBC">
            <w:pPr>
              <w:spacing w:after="0" w:line="240" w:lineRule="auto"/>
              <w:jc w:val="right"/>
              <w:rPr>
                <w:sz w:val="20"/>
                <w:szCs w:val="20"/>
              </w:rPr>
            </w:pPr>
            <w:r w:rsidRPr="00663CBD">
              <w:rPr>
                <w:sz w:val="20"/>
                <w:szCs w:val="20"/>
              </w:rPr>
              <w:t>35.8</w:t>
            </w:r>
          </w:p>
        </w:tc>
        <w:tc>
          <w:tcPr>
            <w:tcW w:w="941" w:type="dxa"/>
            <w:tcBorders>
              <w:top w:val="nil"/>
              <w:left w:val="nil"/>
              <w:bottom w:val="nil"/>
              <w:right w:val="nil"/>
            </w:tcBorders>
            <w:noWrap/>
            <w:vAlign w:val="bottom"/>
            <w:hideMark/>
          </w:tcPr>
          <w:p w14:paraId="7BADFB27" w14:textId="77777777" w:rsidR="00677577" w:rsidRPr="00663CBD" w:rsidRDefault="00677577" w:rsidP="00A80DBC">
            <w:pPr>
              <w:spacing w:after="0" w:line="240" w:lineRule="auto"/>
              <w:jc w:val="right"/>
              <w:rPr>
                <w:sz w:val="20"/>
                <w:szCs w:val="20"/>
              </w:rPr>
            </w:pPr>
            <w:r w:rsidRPr="00663CBD">
              <w:rPr>
                <w:sz w:val="20"/>
                <w:szCs w:val="20"/>
              </w:rPr>
              <w:t>35.3</w:t>
            </w:r>
          </w:p>
        </w:tc>
        <w:tc>
          <w:tcPr>
            <w:tcW w:w="1559" w:type="dxa"/>
            <w:tcBorders>
              <w:top w:val="nil"/>
              <w:left w:val="nil"/>
              <w:bottom w:val="nil"/>
              <w:right w:val="nil"/>
            </w:tcBorders>
            <w:noWrap/>
            <w:vAlign w:val="bottom"/>
            <w:hideMark/>
          </w:tcPr>
          <w:p w14:paraId="5C891275" w14:textId="77777777" w:rsidR="00677577" w:rsidRPr="00663CBD" w:rsidRDefault="00677577" w:rsidP="00A80DBC">
            <w:pPr>
              <w:spacing w:after="0" w:line="240" w:lineRule="auto"/>
              <w:jc w:val="right"/>
              <w:rPr>
                <w:sz w:val="20"/>
                <w:szCs w:val="20"/>
              </w:rPr>
            </w:pPr>
            <w:r w:rsidRPr="00663CBD">
              <w:rPr>
                <w:sz w:val="20"/>
                <w:szCs w:val="20"/>
              </w:rPr>
              <w:t>3.1</w:t>
            </w:r>
          </w:p>
        </w:tc>
        <w:tc>
          <w:tcPr>
            <w:tcW w:w="845" w:type="dxa"/>
            <w:tcBorders>
              <w:top w:val="nil"/>
              <w:left w:val="nil"/>
              <w:bottom w:val="nil"/>
              <w:right w:val="single" w:sz="4" w:space="0" w:color="auto"/>
            </w:tcBorders>
            <w:noWrap/>
            <w:vAlign w:val="bottom"/>
            <w:hideMark/>
          </w:tcPr>
          <w:p w14:paraId="1196061F" w14:textId="77777777" w:rsidR="00677577" w:rsidRPr="00663CBD" w:rsidRDefault="00677577" w:rsidP="00A80DBC">
            <w:pPr>
              <w:spacing w:after="0" w:line="240" w:lineRule="auto"/>
              <w:jc w:val="right"/>
              <w:rPr>
                <w:sz w:val="20"/>
                <w:szCs w:val="20"/>
              </w:rPr>
            </w:pPr>
            <w:r w:rsidRPr="00663CBD">
              <w:rPr>
                <w:sz w:val="20"/>
                <w:szCs w:val="20"/>
              </w:rPr>
              <w:t>25.8</w:t>
            </w:r>
          </w:p>
        </w:tc>
        <w:tc>
          <w:tcPr>
            <w:tcW w:w="853" w:type="dxa"/>
            <w:tcBorders>
              <w:top w:val="nil"/>
              <w:left w:val="single" w:sz="4" w:space="0" w:color="auto"/>
              <w:bottom w:val="nil"/>
              <w:right w:val="nil"/>
            </w:tcBorders>
            <w:noWrap/>
            <w:vAlign w:val="bottom"/>
            <w:hideMark/>
          </w:tcPr>
          <w:p w14:paraId="43759127" w14:textId="77777777" w:rsidR="00677577" w:rsidRPr="00663CBD" w:rsidRDefault="00677577" w:rsidP="00A80DBC">
            <w:pPr>
              <w:spacing w:after="0" w:line="240" w:lineRule="auto"/>
              <w:jc w:val="right"/>
              <w:rPr>
                <w:sz w:val="20"/>
                <w:szCs w:val="20"/>
              </w:rPr>
            </w:pPr>
            <w:r w:rsidRPr="00663CBD">
              <w:rPr>
                <w:sz w:val="20"/>
                <w:szCs w:val="20"/>
              </w:rPr>
              <w:t>40.4</w:t>
            </w:r>
          </w:p>
        </w:tc>
        <w:tc>
          <w:tcPr>
            <w:tcW w:w="854" w:type="dxa"/>
            <w:tcBorders>
              <w:top w:val="nil"/>
              <w:left w:val="nil"/>
              <w:bottom w:val="nil"/>
              <w:right w:val="nil"/>
            </w:tcBorders>
            <w:noWrap/>
            <w:vAlign w:val="bottom"/>
            <w:hideMark/>
          </w:tcPr>
          <w:p w14:paraId="104E605C" w14:textId="77777777" w:rsidR="00677577" w:rsidRPr="00663CBD" w:rsidRDefault="00677577" w:rsidP="00A80DBC">
            <w:pPr>
              <w:spacing w:after="0" w:line="240" w:lineRule="auto"/>
              <w:jc w:val="right"/>
              <w:rPr>
                <w:sz w:val="20"/>
                <w:szCs w:val="20"/>
              </w:rPr>
            </w:pPr>
            <w:r w:rsidRPr="00663CBD">
              <w:rPr>
                <w:sz w:val="20"/>
                <w:szCs w:val="20"/>
              </w:rPr>
              <w:t>35.7</w:t>
            </w:r>
          </w:p>
        </w:tc>
        <w:tc>
          <w:tcPr>
            <w:tcW w:w="1701" w:type="dxa"/>
            <w:tcBorders>
              <w:top w:val="nil"/>
              <w:left w:val="nil"/>
              <w:bottom w:val="nil"/>
              <w:right w:val="nil"/>
            </w:tcBorders>
            <w:noWrap/>
            <w:vAlign w:val="bottom"/>
            <w:hideMark/>
          </w:tcPr>
          <w:p w14:paraId="29D35F12" w14:textId="77777777" w:rsidR="00677577" w:rsidRPr="00663CBD" w:rsidRDefault="00677577" w:rsidP="00A80DBC">
            <w:pPr>
              <w:spacing w:after="0" w:line="240" w:lineRule="auto"/>
              <w:jc w:val="right"/>
              <w:rPr>
                <w:sz w:val="20"/>
                <w:szCs w:val="20"/>
              </w:rPr>
            </w:pPr>
            <w:r w:rsidRPr="00663CBD">
              <w:rPr>
                <w:sz w:val="20"/>
                <w:szCs w:val="20"/>
              </w:rPr>
              <w:t>2.2</w:t>
            </w:r>
          </w:p>
        </w:tc>
        <w:tc>
          <w:tcPr>
            <w:tcW w:w="878" w:type="dxa"/>
            <w:tcBorders>
              <w:top w:val="nil"/>
              <w:left w:val="nil"/>
              <w:bottom w:val="nil"/>
              <w:right w:val="single" w:sz="4" w:space="0" w:color="auto"/>
            </w:tcBorders>
            <w:noWrap/>
            <w:vAlign w:val="bottom"/>
            <w:hideMark/>
          </w:tcPr>
          <w:p w14:paraId="2CF3117A" w14:textId="77777777" w:rsidR="00677577" w:rsidRPr="00663CBD" w:rsidRDefault="00677577" w:rsidP="00A80DBC">
            <w:pPr>
              <w:spacing w:after="0" w:line="240" w:lineRule="auto"/>
              <w:jc w:val="right"/>
              <w:rPr>
                <w:sz w:val="20"/>
                <w:szCs w:val="20"/>
              </w:rPr>
            </w:pPr>
            <w:r w:rsidRPr="00663CBD">
              <w:rPr>
                <w:sz w:val="20"/>
                <w:szCs w:val="20"/>
              </w:rPr>
              <w:t>21.7</w:t>
            </w:r>
          </w:p>
        </w:tc>
        <w:tc>
          <w:tcPr>
            <w:tcW w:w="907" w:type="dxa"/>
            <w:tcBorders>
              <w:top w:val="nil"/>
              <w:left w:val="single" w:sz="4" w:space="0" w:color="auto"/>
              <w:bottom w:val="nil"/>
              <w:right w:val="nil"/>
            </w:tcBorders>
            <w:noWrap/>
            <w:vAlign w:val="bottom"/>
            <w:hideMark/>
          </w:tcPr>
          <w:p w14:paraId="03F24A4B" w14:textId="77777777" w:rsidR="00677577" w:rsidRPr="00663CBD" w:rsidRDefault="00677577" w:rsidP="00A80DBC">
            <w:pPr>
              <w:spacing w:after="0" w:line="240" w:lineRule="auto"/>
              <w:jc w:val="right"/>
              <w:rPr>
                <w:sz w:val="20"/>
                <w:szCs w:val="20"/>
              </w:rPr>
            </w:pPr>
            <w:r w:rsidRPr="00663CBD">
              <w:rPr>
                <w:sz w:val="20"/>
                <w:szCs w:val="20"/>
              </w:rPr>
              <w:t>32.4</w:t>
            </w:r>
          </w:p>
        </w:tc>
        <w:tc>
          <w:tcPr>
            <w:tcW w:w="908" w:type="dxa"/>
            <w:tcBorders>
              <w:top w:val="nil"/>
              <w:left w:val="nil"/>
              <w:bottom w:val="nil"/>
              <w:right w:val="nil"/>
            </w:tcBorders>
            <w:noWrap/>
            <w:vAlign w:val="bottom"/>
            <w:hideMark/>
          </w:tcPr>
          <w:p w14:paraId="0118D1FA" w14:textId="77777777" w:rsidR="00677577" w:rsidRPr="00663CBD" w:rsidRDefault="00677577" w:rsidP="00A80DBC">
            <w:pPr>
              <w:spacing w:after="0" w:line="240" w:lineRule="auto"/>
              <w:jc w:val="right"/>
              <w:rPr>
                <w:sz w:val="20"/>
                <w:szCs w:val="20"/>
              </w:rPr>
            </w:pPr>
            <w:r w:rsidRPr="00663CBD">
              <w:rPr>
                <w:sz w:val="20"/>
                <w:szCs w:val="20"/>
              </w:rPr>
              <w:t>35.0</w:t>
            </w:r>
          </w:p>
        </w:tc>
        <w:tc>
          <w:tcPr>
            <w:tcW w:w="1559" w:type="dxa"/>
            <w:tcBorders>
              <w:top w:val="nil"/>
              <w:left w:val="nil"/>
              <w:bottom w:val="nil"/>
              <w:right w:val="nil"/>
            </w:tcBorders>
            <w:noWrap/>
            <w:vAlign w:val="bottom"/>
            <w:hideMark/>
          </w:tcPr>
          <w:p w14:paraId="303C162C" w14:textId="77777777" w:rsidR="00677577" w:rsidRPr="00663CBD" w:rsidRDefault="00677577" w:rsidP="00A80DBC">
            <w:pPr>
              <w:spacing w:after="0" w:line="240" w:lineRule="auto"/>
              <w:jc w:val="right"/>
              <w:rPr>
                <w:sz w:val="20"/>
                <w:szCs w:val="20"/>
              </w:rPr>
            </w:pPr>
            <w:r w:rsidRPr="00663CBD">
              <w:rPr>
                <w:sz w:val="20"/>
                <w:szCs w:val="20"/>
              </w:rPr>
              <w:t>3.7</w:t>
            </w:r>
          </w:p>
        </w:tc>
        <w:tc>
          <w:tcPr>
            <w:tcW w:w="912" w:type="dxa"/>
            <w:tcBorders>
              <w:top w:val="nil"/>
              <w:left w:val="nil"/>
              <w:bottom w:val="nil"/>
              <w:right w:val="single" w:sz="4" w:space="0" w:color="auto"/>
            </w:tcBorders>
            <w:noWrap/>
            <w:vAlign w:val="bottom"/>
            <w:hideMark/>
          </w:tcPr>
          <w:p w14:paraId="0C2B723A" w14:textId="77777777" w:rsidR="00677577" w:rsidRPr="00663CBD" w:rsidRDefault="00677577" w:rsidP="00A80DBC">
            <w:pPr>
              <w:spacing w:after="0" w:line="240" w:lineRule="auto"/>
              <w:jc w:val="right"/>
              <w:rPr>
                <w:sz w:val="20"/>
                <w:szCs w:val="20"/>
              </w:rPr>
            </w:pPr>
            <w:r w:rsidRPr="00663CBD">
              <w:rPr>
                <w:sz w:val="20"/>
                <w:szCs w:val="20"/>
              </w:rPr>
              <w:t>28.9</w:t>
            </w:r>
          </w:p>
        </w:tc>
      </w:tr>
      <w:tr w:rsidR="005A0DE5" w:rsidRPr="00167CB8" w14:paraId="79DA42DE" w14:textId="77777777" w:rsidTr="002B1A16">
        <w:trPr>
          <w:trHeight w:val="20"/>
        </w:trPr>
        <w:tc>
          <w:tcPr>
            <w:tcW w:w="1090" w:type="dxa"/>
            <w:tcBorders>
              <w:top w:val="nil"/>
              <w:left w:val="single" w:sz="4" w:space="0" w:color="auto"/>
              <w:bottom w:val="nil"/>
              <w:right w:val="single" w:sz="4" w:space="0" w:color="auto"/>
            </w:tcBorders>
            <w:noWrap/>
            <w:vAlign w:val="bottom"/>
            <w:hideMark/>
          </w:tcPr>
          <w:p w14:paraId="4D719931" w14:textId="77777777" w:rsidR="00677577" w:rsidRPr="00663CBD" w:rsidRDefault="00677577">
            <w:pPr>
              <w:spacing w:after="0" w:line="240" w:lineRule="auto"/>
              <w:rPr>
                <w:sz w:val="20"/>
                <w:szCs w:val="20"/>
              </w:rPr>
            </w:pPr>
            <w:r w:rsidRPr="00663CBD">
              <w:rPr>
                <w:sz w:val="20"/>
                <w:szCs w:val="20"/>
              </w:rPr>
              <w:t>2017</w:t>
            </w:r>
            <w:r w:rsidRPr="00663CBD">
              <w:rPr>
                <w:rFonts w:ascii="Symbol" w:eastAsia="Symbol" w:hAnsi="Symbol" w:cs="Symbol"/>
                <w:sz w:val="20"/>
                <w:szCs w:val="20"/>
              </w:rPr>
              <w:sym w:font="Symbol" w:char="F02D"/>
            </w:r>
            <w:r w:rsidRPr="00663CBD">
              <w:rPr>
                <w:sz w:val="20"/>
                <w:szCs w:val="20"/>
              </w:rPr>
              <w:t>18</w:t>
            </w:r>
          </w:p>
        </w:tc>
        <w:tc>
          <w:tcPr>
            <w:tcW w:w="941" w:type="dxa"/>
            <w:tcBorders>
              <w:top w:val="nil"/>
              <w:left w:val="single" w:sz="4" w:space="0" w:color="auto"/>
              <w:bottom w:val="nil"/>
              <w:right w:val="nil"/>
            </w:tcBorders>
            <w:noWrap/>
            <w:vAlign w:val="bottom"/>
            <w:hideMark/>
          </w:tcPr>
          <w:p w14:paraId="1A0EC78B" w14:textId="77777777" w:rsidR="00677577" w:rsidRPr="00663CBD" w:rsidRDefault="00677577" w:rsidP="00A80DBC">
            <w:pPr>
              <w:spacing w:after="0" w:line="240" w:lineRule="auto"/>
              <w:jc w:val="right"/>
              <w:rPr>
                <w:sz w:val="20"/>
                <w:szCs w:val="20"/>
              </w:rPr>
            </w:pPr>
            <w:r w:rsidRPr="00663CBD">
              <w:rPr>
                <w:sz w:val="20"/>
                <w:szCs w:val="20"/>
              </w:rPr>
              <w:t>31.7</w:t>
            </w:r>
          </w:p>
        </w:tc>
        <w:tc>
          <w:tcPr>
            <w:tcW w:w="941" w:type="dxa"/>
            <w:tcBorders>
              <w:top w:val="nil"/>
              <w:left w:val="nil"/>
              <w:bottom w:val="nil"/>
              <w:right w:val="nil"/>
            </w:tcBorders>
            <w:noWrap/>
            <w:vAlign w:val="bottom"/>
            <w:hideMark/>
          </w:tcPr>
          <w:p w14:paraId="4409D1B3" w14:textId="77777777" w:rsidR="00677577" w:rsidRPr="00663CBD" w:rsidRDefault="00677577" w:rsidP="00A80DBC">
            <w:pPr>
              <w:spacing w:after="0" w:line="240" w:lineRule="auto"/>
              <w:jc w:val="right"/>
              <w:rPr>
                <w:sz w:val="20"/>
                <w:szCs w:val="20"/>
              </w:rPr>
            </w:pPr>
            <w:r w:rsidRPr="00663CBD">
              <w:rPr>
                <w:sz w:val="20"/>
                <w:szCs w:val="20"/>
              </w:rPr>
              <w:t>37.2</w:t>
            </w:r>
          </w:p>
        </w:tc>
        <w:tc>
          <w:tcPr>
            <w:tcW w:w="1559" w:type="dxa"/>
            <w:tcBorders>
              <w:top w:val="nil"/>
              <w:left w:val="nil"/>
              <w:bottom w:val="nil"/>
              <w:right w:val="nil"/>
            </w:tcBorders>
            <w:noWrap/>
            <w:vAlign w:val="bottom"/>
            <w:hideMark/>
          </w:tcPr>
          <w:p w14:paraId="47BE8E54" w14:textId="77777777" w:rsidR="00677577" w:rsidRPr="00663CBD" w:rsidRDefault="00677577" w:rsidP="00A80DBC">
            <w:pPr>
              <w:spacing w:after="0" w:line="240" w:lineRule="auto"/>
              <w:jc w:val="right"/>
              <w:rPr>
                <w:sz w:val="20"/>
                <w:szCs w:val="20"/>
              </w:rPr>
            </w:pPr>
            <w:r w:rsidRPr="00663CBD">
              <w:rPr>
                <w:sz w:val="20"/>
                <w:szCs w:val="20"/>
              </w:rPr>
              <w:t>6.0</w:t>
            </w:r>
          </w:p>
        </w:tc>
        <w:tc>
          <w:tcPr>
            <w:tcW w:w="845" w:type="dxa"/>
            <w:tcBorders>
              <w:top w:val="nil"/>
              <w:left w:val="nil"/>
              <w:bottom w:val="nil"/>
              <w:right w:val="single" w:sz="4" w:space="0" w:color="auto"/>
            </w:tcBorders>
            <w:noWrap/>
            <w:vAlign w:val="bottom"/>
            <w:hideMark/>
          </w:tcPr>
          <w:p w14:paraId="7466FF3C" w14:textId="77777777" w:rsidR="00677577" w:rsidRPr="00663CBD" w:rsidRDefault="00677577" w:rsidP="00A80DBC">
            <w:pPr>
              <w:spacing w:after="0" w:line="240" w:lineRule="auto"/>
              <w:jc w:val="right"/>
              <w:rPr>
                <w:sz w:val="20"/>
                <w:szCs w:val="20"/>
              </w:rPr>
            </w:pPr>
            <w:r w:rsidRPr="00663CBD">
              <w:rPr>
                <w:sz w:val="20"/>
                <w:szCs w:val="20"/>
              </w:rPr>
              <w:t>25.1</w:t>
            </w:r>
          </w:p>
        </w:tc>
        <w:tc>
          <w:tcPr>
            <w:tcW w:w="853" w:type="dxa"/>
            <w:tcBorders>
              <w:top w:val="nil"/>
              <w:left w:val="single" w:sz="4" w:space="0" w:color="auto"/>
              <w:bottom w:val="nil"/>
              <w:right w:val="nil"/>
            </w:tcBorders>
            <w:noWrap/>
            <w:vAlign w:val="bottom"/>
            <w:hideMark/>
          </w:tcPr>
          <w:p w14:paraId="2E5A8F05" w14:textId="77777777" w:rsidR="00677577" w:rsidRPr="00663CBD" w:rsidRDefault="00677577" w:rsidP="00A80DBC">
            <w:pPr>
              <w:spacing w:after="0" w:line="240" w:lineRule="auto"/>
              <w:jc w:val="right"/>
              <w:rPr>
                <w:sz w:val="20"/>
                <w:szCs w:val="20"/>
              </w:rPr>
            </w:pPr>
            <w:r w:rsidRPr="00663CBD">
              <w:rPr>
                <w:sz w:val="20"/>
                <w:szCs w:val="20"/>
              </w:rPr>
              <w:t>33.0</w:t>
            </w:r>
          </w:p>
        </w:tc>
        <w:tc>
          <w:tcPr>
            <w:tcW w:w="854" w:type="dxa"/>
            <w:tcBorders>
              <w:top w:val="nil"/>
              <w:left w:val="nil"/>
              <w:bottom w:val="nil"/>
              <w:right w:val="nil"/>
            </w:tcBorders>
            <w:noWrap/>
            <w:vAlign w:val="bottom"/>
            <w:hideMark/>
          </w:tcPr>
          <w:p w14:paraId="632D6DC8" w14:textId="77777777" w:rsidR="00677577" w:rsidRPr="00663CBD" w:rsidRDefault="00677577" w:rsidP="00A80DBC">
            <w:pPr>
              <w:spacing w:after="0" w:line="240" w:lineRule="auto"/>
              <w:jc w:val="right"/>
              <w:rPr>
                <w:sz w:val="20"/>
                <w:szCs w:val="20"/>
              </w:rPr>
            </w:pPr>
            <w:r w:rsidRPr="00663CBD">
              <w:rPr>
                <w:sz w:val="20"/>
                <w:szCs w:val="20"/>
              </w:rPr>
              <w:t>38.9</w:t>
            </w:r>
          </w:p>
        </w:tc>
        <w:tc>
          <w:tcPr>
            <w:tcW w:w="1701" w:type="dxa"/>
            <w:tcBorders>
              <w:top w:val="nil"/>
              <w:left w:val="nil"/>
              <w:bottom w:val="nil"/>
              <w:right w:val="nil"/>
            </w:tcBorders>
            <w:noWrap/>
            <w:vAlign w:val="bottom"/>
            <w:hideMark/>
          </w:tcPr>
          <w:p w14:paraId="60D98FFC" w14:textId="77777777" w:rsidR="00677577" w:rsidRPr="00663CBD" w:rsidRDefault="00677577" w:rsidP="00A80DBC">
            <w:pPr>
              <w:spacing w:after="0" w:line="240" w:lineRule="auto"/>
              <w:jc w:val="right"/>
              <w:rPr>
                <w:sz w:val="20"/>
                <w:szCs w:val="20"/>
              </w:rPr>
            </w:pPr>
            <w:r w:rsidRPr="00663CBD">
              <w:rPr>
                <w:sz w:val="20"/>
                <w:szCs w:val="20"/>
              </w:rPr>
              <w:t>8.4</w:t>
            </w:r>
          </w:p>
        </w:tc>
        <w:tc>
          <w:tcPr>
            <w:tcW w:w="878" w:type="dxa"/>
            <w:tcBorders>
              <w:top w:val="nil"/>
              <w:left w:val="nil"/>
              <w:bottom w:val="nil"/>
              <w:right w:val="single" w:sz="4" w:space="0" w:color="auto"/>
            </w:tcBorders>
            <w:noWrap/>
            <w:vAlign w:val="bottom"/>
            <w:hideMark/>
          </w:tcPr>
          <w:p w14:paraId="157599D4" w14:textId="77777777" w:rsidR="00677577" w:rsidRPr="00663CBD" w:rsidRDefault="00677577" w:rsidP="00A80DBC">
            <w:pPr>
              <w:spacing w:after="0" w:line="240" w:lineRule="auto"/>
              <w:jc w:val="right"/>
              <w:rPr>
                <w:sz w:val="20"/>
                <w:szCs w:val="20"/>
              </w:rPr>
            </w:pPr>
            <w:r w:rsidRPr="00663CBD">
              <w:rPr>
                <w:sz w:val="20"/>
                <w:szCs w:val="20"/>
              </w:rPr>
              <w:t>20.6</w:t>
            </w:r>
          </w:p>
        </w:tc>
        <w:tc>
          <w:tcPr>
            <w:tcW w:w="907" w:type="dxa"/>
            <w:tcBorders>
              <w:top w:val="nil"/>
              <w:left w:val="single" w:sz="4" w:space="0" w:color="auto"/>
              <w:bottom w:val="nil"/>
              <w:right w:val="nil"/>
            </w:tcBorders>
            <w:noWrap/>
            <w:vAlign w:val="bottom"/>
            <w:hideMark/>
          </w:tcPr>
          <w:p w14:paraId="5B9B2757" w14:textId="77777777" w:rsidR="00677577" w:rsidRPr="00663CBD" w:rsidRDefault="00677577" w:rsidP="00A80DBC">
            <w:pPr>
              <w:spacing w:after="0" w:line="240" w:lineRule="auto"/>
              <w:jc w:val="right"/>
              <w:rPr>
                <w:sz w:val="20"/>
                <w:szCs w:val="20"/>
              </w:rPr>
            </w:pPr>
            <w:r w:rsidRPr="00663CBD">
              <w:rPr>
                <w:sz w:val="20"/>
                <w:szCs w:val="20"/>
              </w:rPr>
              <w:t>30.6</w:t>
            </w:r>
          </w:p>
        </w:tc>
        <w:tc>
          <w:tcPr>
            <w:tcW w:w="908" w:type="dxa"/>
            <w:tcBorders>
              <w:top w:val="nil"/>
              <w:left w:val="nil"/>
              <w:bottom w:val="nil"/>
              <w:right w:val="nil"/>
            </w:tcBorders>
            <w:noWrap/>
            <w:vAlign w:val="bottom"/>
            <w:hideMark/>
          </w:tcPr>
          <w:p w14:paraId="6A411FD3" w14:textId="77777777" w:rsidR="00677577" w:rsidRPr="00663CBD" w:rsidRDefault="00677577" w:rsidP="00A80DBC">
            <w:pPr>
              <w:spacing w:after="0" w:line="240" w:lineRule="auto"/>
              <w:jc w:val="right"/>
              <w:rPr>
                <w:sz w:val="20"/>
                <w:szCs w:val="20"/>
              </w:rPr>
            </w:pPr>
            <w:r w:rsidRPr="00663CBD">
              <w:rPr>
                <w:sz w:val="20"/>
                <w:szCs w:val="20"/>
              </w:rPr>
              <w:t>36.5</w:t>
            </w:r>
          </w:p>
        </w:tc>
        <w:tc>
          <w:tcPr>
            <w:tcW w:w="1559" w:type="dxa"/>
            <w:tcBorders>
              <w:top w:val="nil"/>
              <w:left w:val="nil"/>
              <w:bottom w:val="nil"/>
              <w:right w:val="nil"/>
            </w:tcBorders>
            <w:noWrap/>
            <w:vAlign w:val="bottom"/>
            <w:hideMark/>
          </w:tcPr>
          <w:p w14:paraId="5F6EDF15" w14:textId="77777777" w:rsidR="00677577" w:rsidRPr="00663CBD" w:rsidRDefault="00677577" w:rsidP="00A80DBC">
            <w:pPr>
              <w:spacing w:after="0" w:line="240" w:lineRule="auto"/>
              <w:jc w:val="right"/>
              <w:rPr>
                <w:sz w:val="20"/>
                <w:szCs w:val="20"/>
              </w:rPr>
            </w:pPr>
            <w:r w:rsidRPr="00663CBD">
              <w:rPr>
                <w:sz w:val="20"/>
                <w:szCs w:val="20"/>
              </w:rPr>
              <w:t>4.0</w:t>
            </w:r>
          </w:p>
        </w:tc>
        <w:tc>
          <w:tcPr>
            <w:tcW w:w="912" w:type="dxa"/>
            <w:tcBorders>
              <w:top w:val="nil"/>
              <w:left w:val="nil"/>
              <w:bottom w:val="nil"/>
              <w:right w:val="single" w:sz="4" w:space="0" w:color="auto"/>
            </w:tcBorders>
            <w:noWrap/>
            <w:vAlign w:val="bottom"/>
            <w:hideMark/>
          </w:tcPr>
          <w:p w14:paraId="3B710504" w14:textId="77777777" w:rsidR="00677577" w:rsidRPr="00663CBD" w:rsidRDefault="00677577" w:rsidP="00A80DBC">
            <w:pPr>
              <w:spacing w:after="0" w:line="240" w:lineRule="auto"/>
              <w:jc w:val="right"/>
              <w:rPr>
                <w:sz w:val="20"/>
                <w:szCs w:val="20"/>
              </w:rPr>
            </w:pPr>
            <w:r w:rsidRPr="00663CBD">
              <w:rPr>
                <w:sz w:val="20"/>
                <w:szCs w:val="20"/>
              </w:rPr>
              <w:t>29.0</w:t>
            </w:r>
          </w:p>
        </w:tc>
      </w:tr>
      <w:tr w:rsidR="005A0DE5" w:rsidRPr="00167CB8" w14:paraId="324AFEE7" w14:textId="77777777" w:rsidTr="002B1A16">
        <w:trPr>
          <w:trHeight w:val="20"/>
        </w:trPr>
        <w:tc>
          <w:tcPr>
            <w:tcW w:w="1090" w:type="dxa"/>
            <w:tcBorders>
              <w:top w:val="nil"/>
              <w:left w:val="single" w:sz="4" w:space="0" w:color="auto"/>
              <w:bottom w:val="nil"/>
              <w:right w:val="single" w:sz="4" w:space="0" w:color="auto"/>
            </w:tcBorders>
            <w:noWrap/>
            <w:vAlign w:val="bottom"/>
            <w:hideMark/>
          </w:tcPr>
          <w:p w14:paraId="45442560" w14:textId="77777777" w:rsidR="00677577" w:rsidRPr="00663CBD" w:rsidRDefault="00677577">
            <w:pPr>
              <w:spacing w:after="0" w:line="240" w:lineRule="auto"/>
              <w:rPr>
                <w:sz w:val="20"/>
                <w:szCs w:val="20"/>
              </w:rPr>
            </w:pPr>
            <w:r w:rsidRPr="00663CBD">
              <w:rPr>
                <w:sz w:val="20"/>
                <w:szCs w:val="20"/>
              </w:rPr>
              <w:t>2018</w:t>
            </w:r>
            <w:r w:rsidRPr="00663CBD">
              <w:rPr>
                <w:rFonts w:ascii="Symbol" w:eastAsia="Symbol" w:hAnsi="Symbol" w:cs="Symbol"/>
                <w:sz w:val="20"/>
                <w:szCs w:val="20"/>
              </w:rPr>
              <w:sym w:font="Symbol" w:char="F02D"/>
            </w:r>
            <w:r w:rsidRPr="00663CBD">
              <w:rPr>
                <w:sz w:val="20"/>
                <w:szCs w:val="20"/>
              </w:rPr>
              <w:t>19</w:t>
            </w:r>
          </w:p>
        </w:tc>
        <w:tc>
          <w:tcPr>
            <w:tcW w:w="941" w:type="dxa"/>
            <w:tcBorders>
              <w:top w:val="nil"/>
              <w:left w:val="single" w:sz="4" w:space="0" w:color="auto"/>
              <w:bottom w:val="nil"/>
              <w:right w:val="nil"/>
            </w:tcBorders>
            <w:noWrap/>
            <w:vAlign w:val="bottom"/>
            <w:hideMark/>
          </w:tcPr>
          <w:p w14:paraId="625AAEE9" w14:textId="77777777" w:rsidR="00677577" w:rsidRPr="00663CBD" w:rsidRDefault="00677577" w:rsidP="00A80DBC">
            <w:pPr>
              <w:spacing w:after="0" w:line="240" w:lineRule="auto"/>
              <w:jc w:val="right"/>
              <w:rPr>
                <w:sz w:val="20"/>
                <w:szCs w:val="20"/>
              </w:rPr>
            </w:pPr>
            <w:r w:rsidRPr="00663CBD">
              <w:rPr>
                <w:sz w:val="20"/>
                <w:szCs w:val="20"/>
              </w:rPr>
              <w:t>30.3</w:t>
            </w:r>
          </w:p>
        </w:tc>
        <w:tc>
          <w:tcPr>
            <w:tcW w:w="941" w:type="dxa"/>
            <w:tcBorders>
              <w:top w:val="nil"/>
              <w:left w:val="nil"/>
              <w:bottom w:val="nil"/>
              <w:right w:val="nil"/>
            </w:tcBorders>
            <w:noWrap/>
            <w:vAlign w:val="bottom"/>
            <w:hideMark/>
          </w:tcPr>
          <w:p w14:paraId="4BF51515" w14:textId="77777777" w:rsidR="00677577" w:rsidRPr="00663CBD" w:rsidRDefault="00677577" w:rsidP="00A80DBC">
            <w:pPr>
              <w:spacing w:after="0" w:line="240" w:lineRule="auto"/>
              <w:jc w:val="right"/>
              <w:rPr>
                <w:sz w:val="20"/>
                <w:szCs w:val="20"/>
              </w:rPr>
            </w:pPr>
            <w:r w:rsidRPr="00663CBD">
              <w:rPr>
                <w:sz w:val="20"/>
                <w:szCs w:val="20"/>
              </w:rPr>
              <w:t>35.7</w:t>
            </w:r>
          </w:p>
        </w:tc>
        <w:tc>
          <w:tcPr>
            <w:tcW w:w="1559" w:type="dxa"/>
            <w:tcBorders>
              <w:top w:val="nil"/>
              <w:left w:val="nil"/>
              <w:bottom w:val="nil"/>
              <w:right w:val="nil"/>
            </w:tcBorders>
            <w:noWrap/>
            <w:vAlign w:val="bottom"/>
            <w:hideMark/>
          </w:tcPr>
          <w:p w14:paraId="1436AAD0" w14:textId="77777777" w:rsidR="00677577" w:rsidRPr="00663CBD" w:rsidRDefault="00677577" w:rsidP="00A80DBC">
            <w:pPr>
              <w:spacing w:after="0" w:line="240" w:lineRule="auto"/>
              <w:jc w:val="right"/>
              <w:rPr>
                <w:sz w:val="20"/>
                <w:szCs w:val="20"/>
              </w:rPr>
            </w:pPr>
            <w:r w:rsidRPr="00663CBD">
              <w:rPr>
                <w:sz w:val="20"/>
                <w:szCs w:val="20"/>
              </w:rPr>
              <w:t>6.3</w:t>
            </w:r>
          </w:p>
        </w:tc>
        <w:tc>
          <w:tcPr>
            <w:tcW w:w="845" w:type="dxa"/>
            <w:tcBorders>
              <w:top w:val="nil"/>
              <w:left w:val="nil"/>
              <w:bottom w:val="nil"/>
              <w:right w:val="single" w:sz="4" w:space="0" w:color="auto"/>
            </w:tcBorders>
            <w:noWrap/>
            <w:vAlign w:val="bottom"/>
            <w:hideMark/>
          </w:tcPr>
          <w:p w14:paraId="10439B6C" w14:textId="77777777" w:rsidR="00677577" w:rsidRPr="00663CBD" w:rsidRDefault="00677577" w:rsidP="00A80DBC">
            <w:pPr>
              <w:spacing w:after="0" w:line="240" w:lineRule="auto"/>
              <w:jc w:val="right"/>
              <w:rPr>
                <w:sz w:val="20"/>
                <w:szCs w:val="20"/>
              </w:rPr>
            </w:pPr>
            <w:r w:rsidRPr="00663CBD">
              <w:rPr>
                <w:sz w:val="20"/>
                <w:szCs w:val="20"/>
              </w:rPr>
              <w:t>27.8</w:t>
            </w:r>
          </w:p>
        </w:tc>
        <w:tc>
          <w:tcPr>
            <w:tcW w:w="853" w:type="dxa"/>
            <w:tcBorders>
              <w:top w:val="nil"/>
              <w:left w:val="single" w:sz="4" w:space="0" w:color="auto"/>
              <w:bottom w:val="nil"/>
              <w:right w:val="nil"/>
            </w:tcBorders>
            <w:noWrap/>
            <w:vAlign w:val="bottom"/>
            <w:hideMark/>
          </w:tcPr>
          <w:p w14:paraId="0CAE3802" w14:textId="77777777" w:rsidR="00677577" w:rsidRPr="00663CBD" w:rsidRDefault="00677577" w:rsidP="00A80DBC">
            <w:pPr>
              <w:spacing w:after="0" w:line="240" w:lineRule="auto"/>
              <w:jc w:val="right"/>
              <w:rPr>
                <w:sz w:val="20"/>
                <w:szCs w:val="20"/>
              </w:rPr>
            </w:pPr>
            <w:r w:rsidRPr="00663CBD">
              <w:rPr>
                <w:sz w:val="20"/>
                <w:szCs w:val="20"/>
              </w:rPr>
              <w:t>30.0</w:t>
            </w:r>
          </w:p>
        </w:tc>
        <w:tc>
          <w:tcPr>
            <w:tcW w:w="854" w:type="dxa"/>
            <w:tcBorders>
              <w:top w:val="nil"/>
              <w:left w:val="nil"/>
              <w:bottom w:val="nil"/>
              <w:right w:val="nil"/>
            </w:tcBorders>
            <w:noWrap/>
            <w:vAlign w:val="bottom"/>
            <w:hideMark/>
          </w:tcPr>
          <w:p w14:paraId="12A759EE" w14:textId="77777777" w:rsidR="00677577" w:rsidRPr="00663CBD" w:rsidRDefault="00677577" w:rsidP="00A80DBC">
            <w:pPr>
              <w:spacing w:after="0" w:line="240" w:lineRule="auto"/>
              <w:jc w:val="right"/>
              <w:rPr>
                <w:sz w:val="20"/>
                <w:szCs w:val="20"/>
              </w:rPr>
            </w:pPr>
            <w:r w:rsidRPr="00663CBD">
              <w:rPr>
                <w:sz w:val="20"/>
                <w:szCs w:val="20"/>
              </w:rPr>
              <w:t>37.1</w:t>
            </w:r>
          </w:p>
        </w:tc>
        <w:tc>
          <w:tcPr>
            <w:tcW w:w="1701" w:type="dxa"/>
            <w:tcBorders>
              <w:top w:val="nil"/>
              <w:left w:val="nil"/>
              <w:bottom w:val="nil"/>
              <w:right w:val="nil"/>
            </w:tcBorders>
            <w:noWrap/>
            <w:vAlign w:val="bottom"/>
            <w:hideMark/>
          </w:tcPr>
          <w:p w14:paraId="3931B197" w14:textId="77777777" w:rsidR="00677577" w:rsidRPr="00663CBD" w:rsidRDefault="00677577" w:rsidP="00A80DBC">
            <w:pPr>
              <w:spacing w:after="0" w:line="240" w:lineRule="auto"/>
              <w:jc w:val="right"/>
              <w:rPr>
                <w:sz w:val="20"/>
                <w:szCs w:val="20"/>
              </w:rPr>
            </w:pPr>
            <w:r w:rsidRPr="00663CBD">
              <w:rPr>
                <w:sz w:val="20"/>
                <w:szCs w:val="20"/>
              </w:rPr>
              <w:t>8.7</w:t>
            </w:r>
          </w:p>
        </w:tc>
        <w:tc>
          <w:tcPr>
            <w:tcW w:w="878" w:type="dxa"/>
            <w:tcBorders>
              <w:top w:val="nil"/>
              <w:left w:val="nil"/>
              <w:bottom w:val="nil"/>
              <w:right w:val="single" w:sz="4" w:space="0" w:color="auto"/>
            </w:tcBorders>
            <w:noWrap/>
            <w:vAlign w:val="bottom"/>
            <w:hideMark/>
          </w:tcPr>
          <w:p w14:paraId="4276B530" w14:textId="77777777" w:rsidR="00677577" w:rsidRPr="00663CBD" w:rsidRDefault="00677577" w:rsidP="00A80DBC">
            <w:pPr>
              <w:spacing w:after="0" w:line="240" w:lineRule="auto"/>
              <w:jc w:val="right"/>
              <w:rPr>
                <w:sz w:val="20"/>
                <w:szCs w:val="20"/>
              </w:rPr>
            </w:pPr>
            <w:r w:rsidRPr="00663CBD">
              <w:rPr>
                <w:sz w:val="20"/>
                <w:szCs w:val="20"/>
              </w:rPr>
              <w:t>24.2</w:t>
            </w:r>
          </w:p>
        </w:tc>
        <w:tc>
          <w:tcPr>
            <w:tcW w:w="907" w:type="dxa"/>
            <w:tcBorders>
              <w:top w:val="nil"/>
              <w:left w:val="single" w:sz="4" w:space="0" w:color="auto"/>
              <w:bottom w:val="nil"/>
              <w:right w:val="nil"/>
            </w:tcBorders>
            <w:noWrap/>
            <w:vAlign w:val="bottom"/>
            <w:hideMark/>
          </w:tcPr>
          <w:p w14:paraId="5F11C947" w14:textId="77777777" w:rsidR="00677577" w:rsidRPr="00663CBD" w:rsidRDefault="00677577" w:rsidP="00A80DBC">
            <w:pPr>
              <w:spacing w:after="0" w:line="240" w:lineRule="auto"/>
              <w:jc w:val="right"/>
              <w:rPr>
                <w:sz w:val="20"/>
                <w:szCs w:val="20"/>
              </w:rPr>
            </w:pPr>
            <w:r w:rsidRPr="00663CBD">
              <w:rPr>
                <w:sz w:val="20"/>
                <w:szCs w:val="20"/>
              </w:rPr>
              <w:t>30.4</w:t>
            </w:r>
          </w:p>
        </w:tc>
        <w:tc>
          <w:tcPr>
            <w:tcW w:w="908" w:type="dxa"/>
            <w:tcBorders>
              <w:top w:val="nil"/>
              <w:left w:val="nil"/>
              <w:bottom w:val="nil"/>
              <w:right w:val="nil"/>
            </w:tcBorders>
            <w:noWrap/>
            <w:vAlign w:val="bottom"/>
            <w:hideMark/>
          </w:tcPr>
          <w:p w14:paraId="486396A3" w14:textId="77777777" w:rsidR="00677577" w:rsidRPr="00663CBD" w:rsidRDefault="00677577" w:rsidP="00A80DBC">
            <w:pPr>
              <w:spacing w:after="0" w:line="240" w:lineRule="auto"/>
              <w:jc w:val="right"/>
              <w:rPr>
                <w:sz w:val="20"/>
                <w:szCs w:val="20"/>
              </w:rPr>
            </w:pPr>
            <w:r w:rsidRPr="00663CBD">
              <w:rPr>
                <w:sz w:val="20"/>
                <w:szCs w:val="20"/>
              </w:rPr>
              <w:t>34.5</w:t>
            </w:r>
          </w:p>
        </w:tc>
        <w:tc>
          <w:tcPr>
            <w:tcW w:w="1559" w:type="dxa"/>
            <w:tcBorders>
              <w:top w:val="nil"/>
              <w:left w:val="nil"/>
              <w:bottom w:val="nil"/>
              <w:right w:val="nil"/>
            </w:tcBorders>
            <w:noWrap/>
            <w:vAlign w:val="bottom"/>
            <w:hideMark/>
          </w:tcPr>
          <w:p w14:paraId="2F96CFFF" w14:textId="77777777" w:rsidR="00677577" w:rsidRPr="00663CBD" w:rsidRDefault="00677577" w:rsidP="00A80DBC">
            <w:pPr>
              <w:spacing w:after="0" w:line="240" w:lineRule="auto"/>
              <w:jc w:val="right"/>
              <w:rPr>
                <w:sz w:val="20"/>
                <w:szCs w:val="20"/>
              </w:rPr>
            </w:pPr>
            <w:r w:rsidRPr="00663CBD">
              <w:rPr>
                <w:sz w:val="20"/>
                <w:szCs w:val="20"/>
              </w:rPr>
              <w:t>4.2</w:t>
            </w:r>
          </w:p>
        </w:tc>
        <w:tc>
          <w:tcPr>
            <w:tcW w:w="912" w:type="dxa"/>
            <w:tcBorders>
              <w:top w:val="nil"/>
              <w:left w:val="nil"/>
              <w:bottom w:val="nil"/>
              <w:right w:val="single" w:sz="4" w:space="0" w:color="auto"/>
            </w:tcBorders>
            <w:noWrap/>
            <w:vAlign w:val="bottom"/>
            <w:hideMark/>
          </w:tcPr>
          <w:p w14:paraId="47B628E0" w14:textId="77777777" w:rsidR="00677577" w:rsidRPr="00663CBD" w:rsidRDefault="00677577" w:rsidP="00A80DBC">
            <w:pPr>
              <w:spacing w:after="0" w:line="240" w:lineRule="auto"/>
              <w:jc w:val="right"/>
              <w:rPr>
                <w:sz w:val="20"/>
                <w:szCs w:val="20"/>
              </w:rPr>
            </w:pPr>
            <w:r w:rsidRPr="00663CBD">
              <w:rPr>
                <w:sz w:val="20"/>
                <w:szCs w:val="20"/>
              </w:rPr>
              <w:t>30.9</w:t>
            </w:r>
          </w:p>
        </w:tc>
      </w:tr>
      <w:tr w:rsidR="005A0DE5" w:rsidRPr="00167CB8" w14:paraId="1F7B241D" w14:textId="77777777" w:rsidTr="002B1A16">
        <w:trPr>
          <w:trHeight w:val="20"/>
        </w:trPr>
        <w:tc>
          <w:tcPr>
            <w:tcW w:w="1090" w:type="dxa"/>
            <w:tcBorders>
              <w:top w:val="nil"/>
              <w:left w:val="single" w:sz="4" w:space="0" w:color="auto"/>
              <w:bottom w:val="nil"/>
              <w:right w:val="single" w:sz="4" w:space="0" w:color="auto"/>
            </w:tcBorders>
            <w:noWrap/>
            <w:vAlign w:val="bottom"/>
            <w:hideMark/>
          </w:tcPr>
          <w:p w14:paraId="0221C27B" w14:textId="77777777" w:rsidR="00677577" w:rsidRPr="00663CBD" w:rsidRDefault="00677577">
            <w:pPr>
              <w:spacing w:after="0" w:line="240" w:lineRule="auto"/>
              <w:rPr>
                <w:sz w:val="20"/>
                <w:szCs w:val="20"/>
              </w:rPr>
            </w:pPr>
            <w:r w:rsidRPr="00663CBD">
              <w:rPr>
                <w:sz w:val="20"/>
                <w:szCs w:val="20"/>
              </w:rPr>
              <w:t>2019</w:t>
            </w:r>
            <w:r w:rsidRPr="00663CBD">
              <w:rPr>
                <w:rFonts w:ascii="Symbol" w:eastAsia="Symbol" w:hAnsi="Symbol" w:cs="Symbol"/>
                <w:sz w:val="20"/>
                <w:szCs w:val="20"/>
              </w:rPr>
              <w:sym w:font="Symbol" w:char="F02D"/>
            </w:r>
            <w:r w:rsidRPr="00663CBD">
              <w:rPr>
                <w:sz w:val="20"/>
                <w:szCs w:val="20"/>
              </w:rPr>
              <w:t>20</w:t>
            </w:r>
          </w:p>
        </w:tc>
        <w:tc>
          <w:tcPr>
            <w:tcW w:w="941" w:type="dxa"/>
            <w:tcBorders>
              <w:top w:val="nil"/>
              <w:left w:val="single" w:sz="4" w:space="0" w:color="auto"/>
              <w:bottom w:val="nil"/>
              <w:right w:val="nil"/>
            </w:tcBorders>
            <w:noWrap/>
            <w:vAlign w:val="bottom"/>
            <w:hideMark/>
          </w:tcPr>
          <w:p w14:paraId="642EA500" w14:textId="77777777" w:rsidR="00677577" w:rsidRPr="00663CBD" w:rsidRDefault="00677577" w:rsidP="00A80DBC">
            <w:pPr>
              <w:spacing w:after="0" w:line="240" w:lineRule="auto"/>
              <w:jc w:val="right"/>
              <w:rPr>
                <w:sz w:val="20"/>
                <w:szCs w:val="20"/>
              </w:rPr>
            </w:pPr>
            <w:r w:rsidRPr="00663CBD">
              <w:rPr>
                <w:sz w:val="20"/>
                <w:szCs w:val="20"/>
              </w:rPr>
              <w:t>36.2</w:t>
            </w:r>
          </w:p>
        </w:tc>
        <w:tc>
          <w:tcPr>
            <w:tcW w:w="941" w:type="dxa"/>
            <w:tcBorders>
              <w:top w:val="nil"/>
              <w:left w:val="nil"/>
              <w:bottom w:val="nil"/>
              <w:right w:val="nil"/>
            </w:tcBorders>
            <w:noWrap/>
            <w:vAlign w:val="bottom"/>
            <w:hideMark/>
          </w:tcPr>
          <w:p w14:paraId="6C7CD34E" w14:textId="77777777" w:rsidR="00677577" w:rsidRPr="00663CBD" w:rsidRDefault="00677577" w:rsidP="00A80DBC">
            <w:pPr>
              <w:spacing w:after="0" w:line="240" w:lineRule="auto"/>
              <w:jc w:val="right"/>
              <w:rPr>
                <w:sz w:val="20"/>
                <w:szCs w:val="20"/>
              </w:rPr>
            </w:pPr>
            <w:r w:rsidRPr="00663CBD">
              <w:rPr>
                <w:sz w:val="20"/>
                <w:szCs w:val="20"/>
              </w:rPr>
              <w:t>31.5</w:t>
            </w:r>
          </w:p>
        </w:tc>
        <w:tc>
          <w:tcPr>
            <w:tcW w:w="1559" w:type="dxa"/>
            <w:tcBorders>
              <w:top w:val="nil"/>
              <w:left w:val="nil"/>
              <w:bottom w:val="nil"/>
              <w:right w:val="nil"/>
            </w:tcBorders>
            <w:noWrap/>
            <w:vAlign w:val="bottom"/>
            <w:hideMark/>
          </w:tcPr>
          <w:p w14:paraId="0BC3542C" w14:textId="77777777" w:rsidR="00677577" w:rsidRPr="00663CBD" w:rsidRDefault="00677577" w:rsidP="00A80DBC">
            <w:pPr>
              <w:spacing w:after="0" w:line="240" w:lineRule="auto"/>
              <w:jc w:val="right"/>
              <w:rPr>
                <w:sz w:val="20"/>
                <w:szCs w:val="20"/>
              </w:rPr>
            </w:pPr>
            <w:r w:rsidRPr="00663CBD">
              <w:rPr>
                <w:sz w:val="20"/>
                <w:szCs w:val="20"/>
              </w:rPr>
              <w:t>4.4</w:t>
            </w:r>
          </w:p>
        </w:tc>
        <w:tc>
          <w:tcPr>
            <w:tcW w:w="845" w:type="dxa"/>
            <w:tcBorders>
              <w:top w:val="nil"/>
              <w:left w:val="nil"/>
              <w:bottom w:val="nil"/>
              <w:right w:val="single" w:sz="4" w:space="0" w:color="auto"/>
            </w:tcBorders>
            <w:noWrap/>
            <w:vAlign w:val="bottom"/>
            <w:hideMark/>
          </w:tcPr>
          <w:p w14:paraId="5F80C0C6" w14:textId="77777777" w:rsidR="00677577" w:rsidRPr="00663CBD" w:rsidRDefault="00677577" w:rsidP="00A80DBC">
            <w:pPr>
              <w:spacing w:after="0" w:line="240" w:lineRule="auto"/>
              <w:jc w:val="right"/>
              <w:rPr>
                <w:sz w:val="20"/>
                <w:szCs w:val="20"/>
              </w:rPr>
            </w:pPr>
            <w:r w:rsidRPr="00663CBD">
              <w:rPr>
                <w:sz w:val="20"/>
                <w:szCs w:val="20"/>
              </w:rPr>
              <w:t>27.9</w:t>
            </w:r>
          </w:p>
        </w:tc>
        <w:tc>
          <w:tcPr>
            <w:tcW w:w="853" w:type="dxa"/>
            <w:tcBorders>
              <w:top w:val="nil"/>
              <w:left w:val="single" w:sz="4" w:space="0" w:color="auto"/>
              <w:bottom w:val="nil"/>
              <w:right w:val="nil"/>
            </w:tcBorders>
            <w:noWrap/>
            <w:vAlign w:val="bottom"/>
            <w:hideMark/>
          </w:tcPr>
          <w:p w14:paraId="69704CE2" w14:textId="77777777" w:rsidR="00677577" w:rsidRPr="00663CBD" w:rsidRDefault="00677577" w:rsidP="00A80DBC">
            <w:pPr>
              <w:spacing w:after="0" w:line="240" w:lineRule="auto"/>
              <w:jc w:val="right"/>
              <w:rPr>
                <w:sz w:val="20"/>
                <w:szCs w:val="20"/>
              </w:rPr>
            </w:pPr>
            <w:r w:rsidRPr="00663CBD">
              <w:rPr>
                <w:sz w:val="20"/>
                <w:szCs w:val="20"/>
              </w:rPr>
              <w:t>38.2</w:t>
            </w:r>
          </w:p>
        </w:tc>
        <w:tc>
          <w:tcPr>
            <w:tcW w:w="854" w:type="dxa"/>
            <w:tcBorders>
              <w:top w:val="nil"/>
              <w:left w:val="nil"/>
              <w:bottom w:val="nil"/>
              <w:right w:val="nil"/>
            </w:tcBorders>
            <w:noWrap/>
            <w:vAlign w:val="bottom"/>
            <w:hideMark/>
          </w:tcPr>
          <w:p w14:paraId="14427BF5" w14:textId="77777777" w:rsidR="00677577" w:rsidRPr="00663CBD" w:rsidRDefault="00677577" w:rsidP="00A80DBC">
            <w:pPr>
              <w:spacing w:after="0" w:line="240" w:lineRule="auto"/>
              <w:jc w:val="right"/>
              <w:rPr>
                <w:sz w:val="20"/>
                <w:szCs w:val="20"/>
              </w:rPr>
            </w:pPr>
            <w:r w:rsidRPr="00663CBD">
              <w:rPr>
                <w:sz w:val="20"/>
                <w:szCs w:val="20"/>
              </w:rPr>
              <w:t>33.2</w:t>
            </w:r>
          </w:p>
        </w:tc>
        <w:tc>
          <w:tcPr>
            <w:tcW w:w="1701" w:type="dxa"/>
            <w:tcBorders>
              <w:top w:val="nil"/>
              <w:left w:val="nil"/>
              <w:bottom w:val="nil"/>
              <w:right w:val="nil"/>
            </w:tcBorders>
            <w:noWrap/>
            <w:vAlign w:val="bottom"/>
            <w:hideMark/>
          </w:tcPr>
          <w:p w14:paraId="559A1129" w14:textId="77777777" w:rsidR="00677577" w:rsidRPr="00663CBD" w:rsidRDefault="00677577" w:rsidP="00A80DBC">
            <w:pPr>
              <w:spacing w:after="0" w:line="240" w:lineRule="auto"/>
              <w:jc w:val="right"/>
              <w:rPr>
                <w:sz w:val="20"/>
                <w:szCs w:val="20"/>
              </w:rPr>
            </w:pPr>
            <w:r w:rsidRPr="00663CBD">
              <w:rPr>
                <w:sz w:val="20"/>
                <w:szCs w:val="20"/>
              </w:rPr>
              <w:t>4.6</w:t>
            </w:r>
          </w:p>
        </w:tc>
        <w:tc>
          <w:tcPr>
            <w:tcW w:w="878" w:type="dxa"/>
            <w:tcBorders>
              <w:top w:val="nil"/>
              <w:left w:val="nil"/>
              <w:bottom w:val="nil"/>
              <w:right w:val="single" w:sz="4" w:space="0" w:color="auto"/>
            </w:tcBorders>
            <w:noWrap/>
            <w:vAlign w:val="bottom"/>
            <w:hideMark/>
          </w:tcPr>
          <w:p w14:paraId="129143B7" w14:textId="77777777" w:rsidR="00677577" w:rsidRPr="00663CBD" w:rsidRDefault="00677577" w:rsidP="00A80DBC">
            <w:pPr>
              <w:spacing w:after="0" w:line="240" w:lineRule="auto"/>
              <w:jc w:val="right"/>
              <w:rPr>
                <w:sz w:val="20"/>
                <w:szCs w:val="20"/>
              </w:rPr>
            </w:pPr>
            <w:r w:rsidRPr="00663CBD">
              <w:rPr>
                <w:sz w:val="20"/>
                <w:szCs w:val="20"/>
              </w:rPr>
              <w:t>24.1</w:t>
            </w:r>
          </w:p>
        </w:tc>
        <w:tc>
          <w:tcPr>
            <w:tcW w:w="907" w:type="dxa"/>
            <w:tcBorders>
              <w:top w:val="nil"/>
              <w:left w:val="single" w:sz="4" w:space="0" w:color="auto"/>
              <w:bottom w:val="nil"/>
              <w:right w:val="nil"/>
            </w:tcBorders>
            <w:noWrap/>
            <w:vAlign w:val="bottom"/>
            <w:hideMark/>
          </w:tcPr>
          <w:p w14:paraId="69DF7395" w14:textId="77777777" w:rsidR="00677577" w:rsidRPr="00663CBD" w:rsidRDefault="00677577" w:rsidP="00A80DBC">
            <w:pPr>
              <w:spacing w:after="0" w:line="240" w:lineRule="auto"/>
              <w:jc w:val="right"/>
              <w:rPr>
                <w:sz w:val="20"/>
                <w:szCs w:val="20"/>
              </w:rPr>
            </w:pPr>
            <w:r w:rsidRPr="00663CBD">
              <w:rPr>
                <w:sz w:val="20"/>
                <w:szCs w:val="20"/>
              </w:rPr>
              <w:t>34.7</w:t>
            </w:r>
          </w:p>
        </w:tc>
        <w:tc>
          <w:tcPr>
            <w:tcW w:w="908" w:type="dxa"/>
            <w:tcBorders>
              <w:top w:val="nil"/>
              <w:left w:val="nil"/>
              <w:bottom w:val="nil"/>
              <w:right w:val="nil"/>
            </w:tcBorders>
            <w:noWrap/>
            <w:vAlign w:val="bottom"/>
            <w:hideMark/>
          </w:tcPr>
          <w:p w14:paraId="3C620C7F" w14:textId="77777777" w:rsidR="00677577" w:rsidRPr="00663CBD" w:rsidRDefault="00677577" w:rsidP="00A80DBC">
            <w:pPr>
              <w:spacing w:after="0" w:line="240" w:lineRule="auto"/>
              <w:jc w:val="right"/>
              <w:rPr>
                <w:sz w:val="20"/>
                <w:szCs w:val="20"/>
              </w:rPr>
            </w:pPr>
            <w:r w:rsidRPr="00663CBD">
              <w:rPr>
                <w:sz w:val="20"/>
                <w:szCs w:val="20"/>
              </w:rPr>
              <w:t>30.1</w:t>
            </w:r>
          </w:p>
        </w:tc>
        <w:tc>
          <w:tcPr>
            <w:tcW w:w="1559" w:type="dxa"/>
            <w:tcBorders>
              <w:top w:val="nil"/>
              <w:left w:val="nil"/>
              <w:bottom w:val="nil"/>
              <w:right w:val="nil"/>
            </w:tcBorders>
            <w:noWrap/>
            <w:vAlign w:val="bottom"/>
            <w:hideMark/>
          </w:tcPr>
          <w:p w14:paraId="18863729" w14:textId="77777777" w:rsidR="00677577" w:rsidRPr="00663CBD" w:rsidRDefault="00677577" w:rsidP="00A80DBC">
            <w:pPr>
              <w:spacing w:after="0" w:line="240" w:lineRule="auto"/>
              <w:jc w:val="right"/>
              <w:rPr>
                <w:sz w:val="20"/>
                <w:szCs w:val="20"/>
              </w:rPr>
            </w:pPr>
            <w:r w:rsidRPr="00663CBD">
              <w:rPr>
                <w:sz w:val="20"/>
                <w:szCs w:val="20"/>
              </w:rPr>
              <w:t>4.3</w:t>
            </w:r>
          </w:p>
        </w:tc>
        <w:tc>
          <w:tcPr>
            <w:tcW w:w="912" w:type="dxa"/>
            <w:tcBorders>
              <w:top w:val="nil"/>
              <w:left w:val="nil"/>
              <w:bottom w:val="nil"/>
              <w:right w:val="single" w:sz="4" w:space="0" w:color="auto"/>
            </w:tcBorders>
            <w:noWrap/>
            <w:vAlign w:val="bottom"/>
            <w:hideMark/>
          </w:tcPr>
          <w:p w14:paraId="6FFEDD42" w14:textId="77777777" w:rsidR="00677577" w:rsidRPr="00663CBD" w:rsidRDefault="00677577" w:rsidP="00A80DBC">
            <w:pPr>
              <w:spacing w:after="0" w:line="240" w:lineRule="auto"/>
              <w:jc w:val="right"/>
              <w:rPr>
                <w:sz w:val="20"/>
                <w:szCs w:val="20"/>
              </w:rPr>
            </w:pPr>
            <w:r w:rsidRPr="00663CBD">
              <w:rPr>
                <w:sz w:val="20"/>
                <w:szCs w:val="20"/>
              </w:rPr>
              <w:t>30.9</w:t>
            </w:r>
          </w:p>
        </w:tc>
      </w:tr>
      <w:tr w:rsidR="005A0DE5" w:rsidRPr="00167CB8" w14:paraId="71B75EBF" w14:textId="77777777" w:rsidTr="002B1A16">
        <w:trPr>
          <w:trHeight w:val="20"/>
        </w:trPr>
        <w:tc>
          <w:tcPr>
            <w:tcW w:w="1090" w:type="dxa"/>
            <w:tcBorders>
              <w:top w:val="nil"/>
              <w:left w:val="single" w:sz="4" w:space="0" w:color="auto"/>
              <w:bottom w:val="nil"/>
              <w:right w:val="single" w:sz="4" w:space="0" w:color="auto"/>
            </w:tcBorders>
            <w:noWrap/>
            <w:vAlign w:val="bottom"/>
            <w:hideMark/>
          </w:tcPr>
          <w:p w14:paraId="52253F2E" w14:textId="77777777" w:rsidR="00677577" w:rsidRPr="00663CBD" w:rsidRDefault="00677577">
            <w:pPr>
              <w:spacing w:after="0" w:line="240" w:lineRule="auto"/>
              <w:rPr>
                <w:sz w:val="20"/>
                <w:szCs w:val="20"/>
              </w:rPr>
            </w:pPr>
            <w:r w:rsidRPr="00663CBD">
              <w:rPr>
                <w:sz w:val="20"/>
                <w:szCs w:val="20"/>
              </w:rPr>
              <w:t>2020</w:t>
            </w:r>
            <w:r w:rsidRPr="00663CBD">
              <w:rPr>
                <w:rFonts w:ascii="Symbol" w:eastAsia="Symbol" w:hAnsi="Symbol" w:cs="Symbol"/>
                <w:sz w:val="20"/>
                <w:szCs w:val="20"/>
              </w:rPr>
              <w:sym w:font="Symbol" w:char="F02D"/>
            </w:r>
            <w:r w:rsidRPr="00663CBD">
              <w:rPr>
                <w:sz w:val="20"/>
                <w:szCs w:val="20"/>
              </w:rPr>
              <w:t>21</w:t>
            </w:r>
          </w:p>
        </w:tc>
        <w:tc>
          <w:tcPr>
            <w:tcW w:w="941" w:type="dxa"/>
            <w:tcBorders>
              <w:top w:val="nil"/>
              <w:left w:val="single" w:sz="4" w:space="0" w:color="auto"/>
              <w:bottom w:val="nil"/>
              <w:right w:val="nil"/>
            </w:tcBorders>
            <w:noWrap/>
            <w:vAlign w:val="bottom"/>
            <w:hideMark/>
          </w:tcPr>
          <w:p w14:paraId="79F5AEF5" w14:textId="77777777" w:rsidR="00677577" w:rsidRPr="00663CBD" w:rsidRDefault="00677577" w:rsidP="00A80DBC">
            <w:pPr>
              <w:spacing w:after="0" w:line="240" w:lineRule="auto"/>
              <w:jc w:val="right"/>
              <w:rPr>
                <w:sz w:val="20"/>
                <w:szCs w:val="20"/>
              </w:rPr>
            </w:pPr>
            <w:r w:rsidRPr="00663CBD">
              <w:rPr>
                <w:sz w:val="20"/>
                <w:szCs w:val="20"/>
              </w:rPr>
              <w:t>36.1</w:t>
            </w:r>
          </w:p>
        </w:tc>
        <w:tc>
          <w:tcPr>
            <w:tcW w:w="941" w:type="dxa"/>
            <w:tcBorders>
              <w:top w:val="nil"/>
              <w:left w:val="nil"/>
              <w:bottom w:val="nil"/>
              <w:right w:val="nil"/>
            </w:tcBorders>
            <w:noWrap/>
            <w:vAlign w:val="bottom"/>
            <w:hideMark/>
          </w:tcPr>
          <w:p w14:paraId="6145F8BE" w14:textId="77777777" w:rsidR="00677577" w:rsidRPr="00663CBD" w:rsidRDefault="00677577" w:rsidP="00A80DBC">
            <w:pPr>
              <w:spacing w:after="0" w:line="240" w:lineRule="auto"/>
              <w:jc w:val="right"/>
              <w:rPr>
                <w:sz w:val="20"/>
                <w:szCs w:val="20"/>
              </w:rPr>
            </w:pPr>
            <w:r w:rsidRPr="00663CBD">
              <w:rPr>
                <w:sz w:val="20"/>
                <w:szCs w:val="20"/>
              </w:rPr>
              <w:t>34.9</w:t>
            </w:r>
          </w:p>
        </w:tc>
        <w:tc>
          <w:tcPr>
            <w:tcW w:w="1559" w:type="dxa"/>
            <w:tcBorders>
              <w:top w:val="nil"/>
              <w:left w:val="nil"/>
              <w:bottom w:val="nil"/>
              <w:right w:val="nil"/>
            </w:tcBorders>
            <w:noWrap/>
            <w:vAlign w:val="bottom"/>
            <w:hideMark/>
          </w:tcPr>
          <w:p w14:paraId="54648815" w14:textId="77777777" w:rsidR="00677577" w:rsidRPr="00663CBD" w:rsidRDefault="00677577" w:rsidP="00A80DBC">
            <w:pPr>
              <w:spacing w:after="0" w:line="240" w:lineRule="auto"/>
              <w:jc w:val="right"/>
              <w:rPr>
                <w:sz w:val="20"/>
                <w:szCs w:val="20"/>
              </w:rPr>
            </w:pPr>
            <w:r w:rsidRPr="00663CBD">
              <w:rPr>
                <w:sz w:val="20"/>
                <w:szCs w:val="20"/>
              </w:rPr>
              <w:t>4.1</w:t>
            </w:r>
          </w:p>
        </w:tc>
        <w:tc>
          <w:tcPr>
            <w:tcW w:w="845" w:type="dxa"/>
            <w:tcBorders>
              <w:top w:val="nil"/>
              <w:left w:val="nil"/>
              <w:bottom w:val="nil"/>
              <w:right w:val="single" w:sz="4" w:space="0" w:color="auto"/>
            </w:tcBorders>
            <w:noWrap/>
            <w:vAlign w:val="bottom"/>
            <w:hideMark/>
          </w:tcPr>
          <w:p w14:paraId="2FC57F85" w14:textId="77777777" w:rsidR="00677577" w:rsidRPr="00663CBD" w:rsidRDefault="00677577" w:rsidP="00A80DBC">
            <w:pPr>
              <w:spacing w:after="0" w:line="240" w:lineRule="auto"/>
              <w:jc w:val="right"/>
              <w:rPr>
                <w:sz w:val="20"/>
                <w:szCs w:val="20"/>
              </w:rPr>
            </w:pPr>
            <w:r w:rsidRPr="00663CBD">
              <w:rPr>
                <w:sz w:val="20"/>
                <w:szCs w:val="20"/>
              </w:rPr>
              <w:t>24.9</w:t>
            </w:r>
          </w:p>
        </w:tc>
        <w:tc>
          <w:tcPr>
            <w:tcW w:w="853" w:type="dxa"/>
            <w:tcBorders>
              <w:top w:val="nil"/>
              <w:left w:val="single" w:sz="4" w:space="0" w:color="auto"/>
              <w:bottom w:val="nil"/>
              <w:right w:val="nil"/>
            </w:tcBorders>
            <w:noWrap/>
            <w:vAlign w:val="bottom"/>
            <w:hideMark/>
          </w:tcPr>
          <w:p w14:paraId="46B9EEC0" w14:textId="77777777" w:rsidR="00677577" w:rsidRPr="00663CBD" w:rsidRDefault="00677577" w:rsidP="00A80DBC">
            <w:pPr>
              <w:spacing w:after="0" w:line="240" w:lineRule="auto"/>
              <w:jc w:val="right"/>
              <w:rPr>
                <w:sz w:val="20"/>
                <w:szCs w:val="20"/>
              </w:rPr>
            </w:pPr>
            <w:r w:rsidRPr="00663CBD">
              <w:rPr>
                <w:sz w:val="20"/>
                <w:szCs w:val="20"/>
              </w:rPr>
              <w:t>39.5</w:t>
            </w:r>
          </w:p>
        </w:tc>
        <w:tc>
          <w:tcPr>
            <w:tcW w:w="854" w:type="dxa"/>
            <w:tcBorders>
              <w:top w:val="nil"/>
              <w:left w:val="nil"/>
              <w:bottom w:val="nil"/>
              <w:right w:val="nil"/>
            </w:tcBorders>
            <w:noWrap/>
            <w:vAlign w:val="bottom"/>
            <w:hideMark/>
          </w:tcPr>
          <w:p w14:paraId="660928FE" w14:textId="77777777" w:rsidR="00677577" w:rsidRPr="00663CBD" w:rsidRDefault="00677577" w:rsidP="00A80DBC">
            <w:pPr>
              <w:spacing w:after="0" w:line="240" w:lineRule="auto"/>
              <w:jc w:val="right"/>
              <w:rPr>
                <w:sz w:val="20"/>
                <w:szCs w:val="20"/>
              </w:rPr>
            </w:pPr>
            <w:r w:rsidRPr="00663CBD">
              <w:rPr>
                <w:sz w:val="20"/>
                <w:szCs w:val="20"/>
              </w:rPr>
              <w:t>37.3</w:t>
            </w:r>
          </w:p>
        </w:tc>
        <w:tc>
          <w:tcPr>
            <w:tcW w:w="1701" w:type="dxa"/>
            <w:tcBorders>
              <w:top w:val="nil"/>
              <w:left w:val="nil"/>
              <w:bottom w:val="nil"/>
              <w:right w:val="nil"/>
            </w:tcBorders>
            <w:noWrap/>
            <w:vAlign w:val="bottom"/>
            <w:hideMark/>
          </w:tcPr>
          <w:p w14:paraId="08769209" w14:textId="77777777" w:rsidR="00677577" w:rsidRPr="00663CBD" w:rsidRDefault="00677577" w:rsidP="00A80DBC">
            <w:pPr>
              <w:spacing w:after="0" w:line="240" w:lineRule="auto"/>
              <w:jc w:val="right"/>
              <w:rPr>
                <w:sz w:val="20"/>
                <w:szCs w:val="20"/>
              </w:rPr>
            </w:pPr>
            <w:r w:rsidRPr="00663CBD">
              <w:rPr>
                <w:sz w:val="20"/>
                <w:szCs w:val="20"/>
              </w:rPr>
              <w:t>4.2</w:t>
            </w:r>
          </w:p>
        </w:tc>
        <w:tc>
          <w:tcPr>
            <w:tcW w:w="878" w:type="dxa"/>
            <w:tcBorders>
              <w:top w:val="nil"/>
              <w:left w:val="nil"/>
              <w:bottom w:val="nil"/>
              <w:right w:val="single" w:sz="4" w:space="0" w:color="auto"/>
            </w:tcBorders>
            <w:noWrap/>
            <w:vAlign w:val="bottom"/>
            <w:hideMark/>
          </w:tcPr>
          <w:p w14:paraId="47CD1D1D" w14:textId="77777777" w:rsidR="00677577" w:rsidRPr="00663CBD" w:rsidRDefault="00677577" w:rsidP="00A80DBC">
            <w:pPr>
              <w:spacing w:after="0" w:line="240" w:lineRule="auto"/>
              <w:jc w:val="right"/>
              <w:rPr>
                <w:sz w:val="20"/>
                <w:szCs w:val="20"/>
              </w:rPr>
            </w:pPr>
            <w:r w:rsidRPr="00663CBD">
              <w:rPr>
                <w:sz w:val="20"/>
                <w:szCs w:val="20"/>
              </w:rPr>
              <w:t>19.0</w:t>
            </w:r>
          </w:p>
        </w:tc>
        <w:tc>
          <w:tcPr>
            <w:tcW w:w="907" w:type="dxa"/>
            <w:tcBorders>
              <w:top w:val="nil"/>
              <w:left w:val="single" w:sz="4" w:space="0" w:color="auto"/>
              <w:bottom w:val="nil"/>
              <w:right w:val="nil"/>
            </w:tcBorders>
            <w:noWrap/>
            <w:vAlign w:val="bottom"/>
            <w:hideMark/>
          </w:tcPr>
          <w:p w14:paraId="22E2C411" w14:textId="77777777" w:rsidR="00677577" w:rsidRPr="00663CBD" w:rsidRDefault="00677577" w:rsidP="00A80DBC">
            <w:pPr>
              <w:spacing w:after="0" w:line="240" w:lineRule="auto"/>
              <w:jc w:val="right"/>
              <w:rPr>
                <w:sz w:val="20"/>
                <w:szCs w:val="20"/>
              </w:rPr>
            </w:pPr>
            <w:r w:rsidRPr="00663CBD">
              <w:rPr>
                <w:sz w:val="20"/>
                <w:szCs w:val="20"/>
              </w:rPr>
              <w:t>33.3</w:t>
            </w:r>
          </w:p>
        </w:tc>
        <w:tc>
          <w:tcPr>
            <w:tcW w:w="908" w:type="dxa"/>
            <w:tcBorders>
              <w:top w:val="nil"/>
              <w:left w:val="nil"/>
              <w:bottom w:val="nil"/>
              <w:right w:val="nil"/>
            </w:tcBorders>
            <w:noWrap/>
            <w:vAlign w:val="bottom"/>
            <w:hideMark/>
          </w:tcPr>
          <w:p w14:paraId="7088948B" w14:textId="77777777" w:rsidR="00677577" w:rsidRPr="00663CBD" w:rsidRDefault="00677577" w:rsidP="00A80DBC">
            <w:pPr>
              <w:spacing w:after="0" w:line="240" w:lineRule="auto"/>
              <w:jc w:val="right"/>
              <w:rPr>
                <w:sz w:val="20"/>
                <w:szCs w:val="20"/>
              </w:rPr>
            </w:pPr>
            <w:r w:rsidRPr="00663CBD">
              <w:rPr>
                <w:sz w:val="20"/>
                <w:szCs w:val="20"/>
              </w:rPr>
              <w:t>33.0</w:t>
            </w:r>
          </w:p>
        </w:tc>
        <w:tc>
          <w:tcPr>
            <w:tcW w:w="1559" w:type="dxa"/>
            <w:tcBorders>
              <w:top w:val="nil"/>
              <w:left w:val="nil"/>
              <w:bottom w:val="nil"/>
              <w:right w:val="nil"/>
            </w:tcBorders>
            <w:noWrap/>
            <w:vAlign w:val="bottom"/>
            <w:hideMark/>
          </w:tcPr>
          <w:p w14:paraId="42B78691" w14:textId="77777777" w:rsidR="00677577" w:rsidRPr="00663CBD" w:rsidRDefault="00677577" w:rsidP="00A80DBC">
            <w:pPr>
              <w:spacing w:after="0" w:line="240" w:lineRule="auto"/>
              <w:jc w:val="right"/>
              <w:rPr>
                <w:sz w:val="20"/>
                <w:szCs w:val="20"/>
              </w:rPr>
            </w:pPr>
            <w:r w:rsidRPr="00663CBD">
              <w:rPr>
                <w:sz w:val="20"/>
                <w:szCs w:val="20"/>
              </w:rPr>
              <w:t>4.0</w:t>
            </w:r>
          </w:p>
        </w:tc>
        <w:tc>
          <w:tcPr>
            <w:tcW w:w="912" w:type="dxa"/>
            <w:tcBorders>
              <w:top w:val="nil"/>
              <w:left w:val="nil"/>
              <w:bottom w:val="nil"/>
              <w:right w:val="single" w:sz="4" w:space="0" w:color="auto"/>
            </w:tcBorders>
            <w:noWrap/>
            <w:vAlign w:val="bottom"/>
            <w:hideMark/>
          </w:tcPr>
          <w:p w14:paraId="15B23C13" w14:textId="77777777" w:rsidR="00677577" w:rsidRPr="00663CBD" w:rsidRDefault="00677577" w:rsidP="00A80DBC">
            <w:pPr>
              <w:spacing w:after="0" w:line="240" w:lineRule="auto"/>
              <w:jc w:val="right"/>
              <w:rPr>
                <w:sz w:val="20"/>
                <w:szCs w:val="20"/>
              </w:rPr>
            </w:pPr>
            <w:r w:rsidRPr="00663CBD">
              <w:rPr>
                <w:sz w:val="20"/>
                <w:szCs w:val="20"/>
              </w:rPr>
              <w:t>29.7</w:t>
            </w:r>
          </w:p>
        </w:tc>
      </w:tr>
      <w:tr w:rsidR="005A0DE5" w:rsidRPr="00167CB8" w14:paraId="0A954CE5" w14:textId="77777777" w:rsidTr="002B1A16">
        <w:trPr>
          <w:trHeight w:val="20"/>
        </w:trPr>
        <w:tc>
          <w:tcPr>
            <w:tcW w:w="1090" w:type="dxa"/>
            <w:tcBorders>
              <w:top w:val="nil"/>
              <w:left w:val="single" w:sz="4" w:space="0" w:color="auto"/>
              <w:bottom w:val="nil"/>
              <w:right w:val="single" w:sz="4" w:space="0" w:color="auto"/>
            </w:tcBorders>
            <w:noWrap/>
            <w:vAlign w:val="bottom"/>
            <w:hideMark/>
          </w:tcPr>
          <w:p w14:paraId="22BAA7EB" w14:textId="77777777" w:rsidR="00677577" w:rsidRPr="00663CBD" w:rsidRDefault="00677577">
            <w:pPr>
              <w:spacing w:after="0" w:line="240" w:lineRule="auto"/>
              <w:rPr>
                <w:sz w:val="20"/>
                <w:szCs w:val="20"/>
              </w:rPr>
            </w:pPr>
            <w:r w:rsidRPr="00663CBD">
              <w:rPr>
                <w:sz w:val="20"/>
                <w:szCs w:val="20"/>
              </w:rPr>
              <w:t>2021</w:t>
            </w:r>
            <w:r w:rsidRPr="00663CBD">
              <w:rPr>
                <w:rFonts w:ascii="Symbol" w:eastAsia="Symbol" w:hAnsi="Symbol" w:cs="Symbol"/>
                <w:sz w:val="20"/>
                <w:szCs w:val="20"/>
              </w:rPr>
              <w:sym w:font="Symbol" w:char="F02D"/>
            </w:r>
            <w:r w:rsidRPr="00663CBD">
              <w:rPr>
                <w:sz w:val="20"/>
                <w:szCs w:val="20"/>
              </w:rPr>
              <w:t>22</w:t>
            </w:r>
          </w:p>
        </w:tc>
        <w:tc>
          <w:tcPr>
            <w:tcW w:w="941" w:type="dxa"/>
            <w:tcBorders>
              <w:top w:val="nil"/>
              <w:left w:val="single" w:sz="4" w:space="0" w:color="auto"/>
              <w:bottom w:val="nil"/>
              <w:right w:val="nil"/>
            </w:tcBorders>
            <w:noWrap/>
            <w:vAlign w:val="bottom"/>
            <w:hideMark/>
          </w:tcPr>
          <w:p w14:paraId="6DC8B6D0" w14:textId="77777777" w:rsidR="00677577" w:rsidRPr="00663CBD" w:rsidRDefault="00677577" w:rsidP="00A80DBC">
            <w:pPr>
              <w:spacing w:after="0" w:line="240" w:lineRule="auto"/>
              <w:jc w:val="right"/>
              <w:rPr>
                <w:sz w:val="20"/>
                <w:szCs w:val="20"/>
              </w:rPr>
            </w:pPr>
            <w:r w:rsidRPr="00663CBD">
              <w:rPr>
                <w:sz w:val="20"/>
                <w:szCs w:val="20"/>
              </w:rPr>
              <w:t>31.5</w:t>
            </w:r>
          </w:p>
        </w:tc>
        <w:tc>
          <w:tcPr>
            <w:tcW w:w="941" w:type="dxa"/>
            <w:tcBorders>
              <w:top w:val="nil"/>
              <w:left w:val="nil"/>
              <w:bottom w:val="nil"/>
              <w:right w:val="nil"/>
            </w:tcBorders>
            <w:noWrap/>
            <w:vAlign w:val="bottom"/>
            <w:hideMark/>
          </w:tcPr>
          <w:p w14:paraId="481A3E9A" w14:textId="77777777" w:rsidR="00677577" w:rsidRPr="00663CBD" w:rsidRDefault="00677577" w:rsidP="00A80DBC">
            <w:pPr>
              <w:spacing w:after="0" w:line="240" w:lineRule="auto"/>
              <w:jc w:val="right"/>
              <w:rPr>
                <w:sz w:val="20"/>
                <w:szCs w:val="20"/>
              </w:rPr>
            </w:pPr>
            <w:r w:rsidRPr="00663CBD">
              <w:rPr>
                <w:sz w:val="20"/>
                <w:szCs w:val="20"/>
              </w:rPr>
              <w:t>40.0</w:t>
            </w:r>
          </w:p>
        </w:tc>
        <w:tc>
          <w:tcPr>
            <w:tcW w:w="1559" w:type="dxa"/>
            <w:tcBorders>
              <w:top w:val="nil"/>
              <w:left w:val="nil"/>
              <w:bottom w:val="nil"/>
              <w:right w:val="nil"/>
            </w:tcBorders>
            <w:noWrap/>
            <w:vAlign w:val="bottom"/>
            <w:hideMark/>
          </w:tcPr>
          <w:p w14:paraId="31E0694C" w14:textId="77777777" w:rsidR="00677577" w:rsidRPr="00663CBD" w:rsidRDefault="00677577" w:rsidP="00A80DBC">
            <w:pPr>
              <w:spacing w:after="0" w:line="240" w:lineRule="auto"/>
              <w:jc w:val="right"/>
              <w:rPr>
                <w:sz w:val="20"/>
                <w:szCs w:val="20"/>
              </w:rPr>
            </w:pPr>
            <w:r w:rsidRPr="00663CBD">
              <w:rPr>
                <w:sz w:val="20"/>
                <w:szCs w:val="20"/>
              </w:rPr>
              <w:t>2.8</w:t>
            </w:r>
          </w:p>
        </w:tc>
        <w:tc>
          <w:tcPr>
            <w:tcW w:w="845" w:type="dxa"/>
            <w:tcBorders>
              <w:top w:val="nil"/>
              <w:left w:val="nil"/>
              <w:bottom w:val="nil"/>
              <w:right w:val="single" w:sz="4" w:space="0" w:color="auto"/>
            </w:tcBorders>
            <w:noWrap/>
            <w:vAlign w:val="bottom"/>
            <w:hideMark/>
          </w:tcPr>
          <w:p w14:paraId="093449CD" w14:textId="77777777" w:rsidR="00677577" w:rsidRPr="00663CBD" w:rsidRDefault="00677577" w:rsidP="00A80DBC">
            <w:pPr>
              <w:spacing w:after="0" w:line="240" w:lineRule="auto"/>
              <w:jc w:val="right"/>
              <w:rPr>
                <w:sz w:val="20"/>
                <w:szCs w:val="20"/>
              </w:rPr>
            </w:pPr>
            <w:r w:rsidRPr="00663CBD">
              <w:rPr>
                <w:sz w:val="20"/>
                <w:szCs w:val="20"/>
              </w:rPr>
              <w:t>25.7</w:t>
            </w:r>
          </w:p>
        </w:tc>
        <w:tc>
          <w:tcPr>
            <w:tcW w:w="853" w:type="dxa"/>
            <w:tcBorders>
              <w:top w:val="nil"/>
              <w:left w:val="single" w:sz="4" w:space="0" w:color="auto"/>
              <w:bottom w:val="nil"/>
              <w:right w:val="nil"/>
            </w:tcBorders>
            <w:noWrap/>
            <w:vAlign w:val="bottom"/>
            <w:hideMark/>
          </w:tcPr>
          <w:p w14:paraId="35FFF200" w14:textId="77777777" w:rsidR="00677577" w:rsidRPr="00663CBD" w:rsidRDefault="00677577" w:rsidP="00A80DBC">
            <w:pPr>
              <w:spacing w:after="0" w:line="240" w:lineRule="auto"/>
              <w:jc w:val="right"/>
              <w:rPr>
                <w:sz w:val="20"/>
                <w:szCs w:val="20"/>
              </w:rPr>
            </w:pPr>
            <w:r w:rsidRPr="00663CBD">
              <w:rPr>
                <w:sz w:val="20"/>
                <w:szCs w:val="20"/>
              </w:rPr>
              <w:t>34.2</w:t>
            </w:r>
          </w:p>
        </w:tc>
        <w:tc>
          <w:tcPr>
            <w:tcW w:w="854" w:type="dxa"/>
            <w:tcBorders>
              <w:top w:val="nil"/>
              <w:left w:val="nil"/>
              <w:bottom w:val="nil"/>
              <w:right w:val="nil"/>
            </w:tcBorders>
            <w:noWrap/>
            <w:vAlign w:val="bottom"/>
            <w:hideMark/>
          </w:tcPr>
          <w:p w14:paraId="36F3AA24" w14:textId="77777777" w:rsidR="00677577" w:rsidRPr="00663CBD" w:rsidRDefault="00677577" w:rsidP="00A80DBC">
            <w:pPr>
              <w:spacing w:after="0" w:line="240" w:lineRule="auto"/>
              <w:jc w:val="right"/>
              <w:rPr>
                <w:sz w:val="20"/>
                <w:szCs w:val="20"/>
              </w:rPr>
            </w:pPr>
            <w:r w:rsidRPr="00663CBD">
              <w:rPr>
                <w:sz w:val="20"/>
                <w:szCs w:val="20"/>
              </w:rPr>
              <w:t>42.2</w:t>
            </w:r>
          </w:p>
        </w:tc>
        <w:tc>
          <w:tcPr>
            <w:tcW w:w="1701" w:type="dxa"/>
            <w:tcBorders>
              <w:top w:val="nil"/>
              <w:left w:val="nil"/>
              <w:bottom w:val="nil"/>
              <w:right w:val="nil"/>
            </w:tcBorders>
            <w:noWrap/>
            <w:vAlign w:val="bottom"/>
            <w:hideMark/>
          </w:tcPr>
          <w:p w14:paraId="3CD2ED23" w14:textId="77777777" w:rsidR="00677577" w:rsidRPr="00663CBD" w:rsidRDefault="00677577" w:rsidP="00A80DBC">
            <w:pPr>
              <w:spacing w:after="0" w:line="240" w:lineRule="auto"/>
              <w:jc w:val="right"/>
              <w:rPr>
                <w:sz w:val="20"/>
                <w:szCs w:val="20"/>
              </w:rPr>
            </w:pPr>
            <w:r w:rsidRPr="00663CBD">
              <w:rPr>
                <w:sz w:val="20"/>
                <w:szCs w:val="20"/>
              </w:rPr>
              <w:t>3.5</w:t>
            </w:r>
          </w:p>
        </w:tc>
        <w:tc>
          <w:tcPr>
            <w:tcW w:w="878" w:type="dxa"/>
            <w:tcBorders>
              <w:top w:val="nil"/>
              <w:left w:val="nil"/>
              <w:bottom w:val="nil"/>
              <w:right w:val="single" w:sz="4" w:space="0" w:color="auto"/>
            </w:tcBorders>
            <w:noWrap/>
            <w:vAlign w:val="bottom"/>
            <w:hideMark/>
          </w:tcPr>
          <w:p w14:paraId="02E02B30" w14:textId="77777777" w:rsidR="00677577" w:rsidRPr="00663CBD" w:rsidRDefault="00677577" w:rsidP="00A80DBC">
            <w:pPr>
              <w:spacing w:after="0" w:line="240" w:lineRule="auto"/>
              <w:jc w:val="right"/>
              <w:rPr>
                <w:sz w:val="20"/>
                <w:szCs w:val="20"/>
              </w:rPr>
            </w:pPr>
            <w:r w:rsidRPr="00663CBD">
              <w:rPr>
                <w:sz w:val="20"/>
                <w:szCs w:val="20"/>
              </w:rPr>
              <w:t>20.1</w:t>
            </w:r>
          </w:p>
        </w:tc>
        <w:tc>
          <w:tcPr>
            <w:tcW w:w="907" w:type="dxa"/>
            <w:tcBorders>
              <w:top w:val="nil"/>
              <w:left w:val="single" w:sz="4" w:space="0" w:color="auto"/>
              <w:bottom w:val="nil"/>
              <w:right w:val="nil"/>
            </w:tcBorders>
            <w:noWrap/>
            <w:vAlign w:val="bottom"/>
            <w:hideMark/>
          </w:tcPr>
          <w:p w14:paraId="6CE59140" w14:textId="77777777" w:rsidR="00677577" w:rsidRPr="00663CBD" w:rsidRDefault="00677577" w:rsidP="00A80DBC">
            <w:pPr>
              <w:spacing w:after="0" w:line="240" w:lineRule="auto"/>
              <w:jc w:val="right"/>
              <w:rPr>
                <w:sz w:val="20"/>
                <w:szCs w:val="20"/>
              </w:rPr>
            </w:pPr>
            <w:r w:rsidRPr="00663CBD">
              <w:rPr>
                <w:sz w:val="20"/>
                <w:szCs w:val="20"/>
              </w:rPr>
              <w:t>29.4</w:t>
            </w:r>
          </w:p>
        </w:tc>
        <w:tc>
          <w:tcPr>
            <w:tcW w:w="908" w:type="dxa"/>
            <w:tcBorders>
              <w:top w:val="nil"/>
              <w:left w:val="nil"/>
              <w:bottom w:val="nil"/>
              <w:right w:val="nil"/>
            </w:tcBorders>
            <w:noWrap/>
            <w:vAlign w:val="bottom"/>
            <w:hideMark/>
          </w:tcPr>
          <w:p w14:paraId="3E0222AA" w14:textId="77777777" w:rsidR="00677577" w:rsidRPr="00663CBD" w:rsidRDefault="00677577" w:rsidP="00A80DBC">
            <w:pPr>
              <w:spacing w:after="0" w:line="240" w:lineRule="auto"/>
              <w:jc w:val="right"/>
              <w:rPr>
                <w:sz w:val="20"/>
                <w:szCs w:val="20"/>
              </w:rPr>
            </w:pPr>
            <w:r w:rsidRPr="00663CBD">
              <w:rPr>
                <w:sz w:val="20"/>
                <w:szCs w:val="20"/>
              </w:rPr>
              <w:t>38.2</w:t>
            </w:r>
          </w:p>
        </w:tc>
        <w:tc>
          <w:tcPr>
            <w:tcW w:w="1559" w:type="dxa"/>
            <w:tcBorders>
              <w:top w:val="nil"/>
              <w:left w:val="nil"/>
              <w:bottom w:val="nil"/>
              <w:right w:val="nil"/>
            </w:tcBorders>
            <w:noWrap/>
            <w:vAlign w:val="bottom"/>
            <w:hideMark/>
          </w:tcPr>
          <w:p w14:paraId="72F89937" w14:textId="77777777" w:rsidR="00677577" w:rsidRPr="00663CBD" w:rsidRDefault="00677577" w:rsidP="00A80DBC">
            <w:pPr>
              <w:spacing w:after="0" w:line="240" w:lineRule="auto"/>
              <w:jc w:val="right"/>
              <w:rPr>
                <w:sz w:val="20"/>
                <w:szCs w:val="20"/>
              </w:rPr>
            </w:pPr>
            <w:r w:rsidRPr="00663CBD">
              <w:rPr>
                <w:sz w:val="20"/>
                <w:szCs w:val="20"/>
              </w:rPr>
              <w:t>2.2</w:t>
            </w:r>
          </w:p>
        </w:tc>
        <w:tc>
          <w:tcPr>
            <w:tcW w:w="912" w:type="dxa"/>
            <w:tcBorders>
              <w:top w:val="nil"/>
              <w:left w:val="nil"/>
              <w:bottom w:val="nil"/>
              <w:right w:val="single" w:sz="4" w:space="0" w:color="auto"/>
            </w:tcBorders>
            <w:noWrap/>
            <w:vAlign w:val="bottom"/>
            <w:hideMark/>
          </w:tcPr>
          <w:p w14:paraId="461ABB6E" w14:textId="77777777" w:rsidR="00677577" w:rsidRPr="00663CBD" w:rsidRDefault="00677577" w:rsidP="00A80DBC">
            <w:pPr>
              <w:spacing w:after="0" w:line="240" w:lineRule="auto"/>
              <w:jc w:val="right"/>
              <w:rPr>
                <w:sz w:val="20"/>
                <w:szCs w:val="20"/>
              </w:rPr>
            </w:pPr>
            <w:r w:rsidRPr="00663CBD">
              <w:rPr>
                <w:sz w:val="20"/>
                <w:szCs w:val="20"/>
              </w:rPr>
              <w:t>30.3</w:t>
            </w:r>
          </w:p>
        </w:tc>
      </w:tr>
      <w:tr w:rsidR="005A0DE5" w:rsidRPr="00167CB8" w14:paraId="4CF412A7" w14:textId="77777777" w:rsidTr="002B1A16">
        <w:trPr>
          <w:trHeight w:val="20"/>
        </w:trPr>
        <w:tc>
          <w:tcPr>
            <w:tcW w:w="1090" w:type="dxa"/>
            <w:tcBorders>
              <w:top w:val="nil"/>
              <w:left w:val="single" w:sz="4" w:space="0" w:color="auto"/>
              <w:bottom w:val="single" w:sz="4" w:space="0" w:color="auto"/>
              <w:right w:val="single" w:sz="4" w:space="0" w:color="auto"/>
            </w:tcBorders>
            <w:noWrap/>
            <w:vAlign w:val="bottom"/>
            <w:hideMark/>
          </w:tcPr>
          <w:p w14:paraId="1CB3B02E" w14:textId="77777777" w:rsidR="00677577" w:rsidRPr="00663CBD" w:rsidRDefault="00677577">
            <w:pPr>
              <w:spacing w:after="0" w:line="240" w:lineRule="auto"/>
              <w:rPr>
                <w:sz w:val="20"/>
                <w:szCs w:val="20"/>
              </w:rPr>
            </w:pPr>
            <w:r w:rsidRPr="00663CBD">
              <w:rPr>
                <w:sz w:val="20"/>
                <w:szCs w:val="20"/>
              </w:rPr>
              <w:t>2022</w:t>
            </w:r>
            <w:r w:rsidRPr="00663CBD">
              <w:rPr>
                <w:rFonts w:ascii="Symbol" w:eastAsia="Symbol" w:hAnsi="Symbol" w:cs="Symbol"/>
                <w:sz w:val="20"/>
                <w:szCs w:val="20"/>
              </w:rPr>
              <w:sym w:font="Symbol" w:char="F02D"/>
            </w:r>
            <w:r w:rsidRPr="00663CBD">
              <w:rPr>
                <w:sz w:val="20"/>
                <w:szCs w:val="20"/>
              </w:rPr>
              <w:t>23</w:t>
            </w:r>
          </w:p>
        </w:tc>
        <w:tc>
          <w:tcPr>
            <w:tcW w:w="941" w:type="dxa"/>
            <w:tcBorders>
              <w:top w:val="nil"/>
              <w:left w:val="single" w:sz="4" w:space="0" w:color="auto"/>
              <w:bottom w:val="single" w:sz="4" w:space="0" w:color="auto"/>
              <w:right w:val="nil"/>
            </w:tcBorders>
            <w:noWrap/>
            <w:vAlign w:val="bottom"/>
            <w:hideMark/>
          </w:tcPr>
          <w:p w14:paraId="347A9706" w14:textId="77777777" w:rsidR="00677577" w:rsidRPr="00663CBD" w:rsidRDefault="00677577" w:rsidP="00A80DBC">
            <w:pPr>
              <w:spacing w:after="0" w:line="240" w:lineRule="auto"/>
              <w:jc w:val="right"/>
              <w:rPr>
                <w:sz w:val="20"/>
                <w:szCs w:val="20"/>
              </w:rPr>
            </w:pPr>
            <w:r w:rsidRPr="00663CBD">
              <w:rPr>
                <w:sz w:val="20"/>
                <w:szCs w:val="20"/>
              </w:rPr>
              <w:t>36.0</w:t>
            </w:r>
          </w:p>
        </w:tc>
        <w:tc>
          <w:tcPr>
            <w:tcW w:w="941" w:type="dxa"/>
            <w:tcBorders>
              <w:top w:val="nil"/>
              <w:left w:val="nil"/>
              <w:bottom w:val="single" w:sz="4" w:space="0" w:color="auto"/>
              <w:right w:val="nil"/>
            </w:tcBorders>
            <w:noWrap/>
            <w:vAlign w:val="bottom"/>
            <w:hideMark/>
          </w:tcPr>
          <w:p w14:paraId="5E009180" w14:textId="77777777" w:rsidR="00677577" w:rsidRPr="00663CBD" w:rsidRDefault="00677577" w:rsidP="00A80DBC">
            <w:pPr>
              <w:spacing w:after="0" w:line="240" w:lineRule="auto"/>
              <w:jc w:val="right"/>
              <w:rPr>
                <w:sz w:val="20"/>
                <w:szCs w:val="20"/>
              </w:rPr>
            </w:pPr>
            <w:r w:rsidRPr="00663CBD">
              <w:rPr>
                <w:sz w:val="20"/>
                <w:szCs w:val="20"/>
              </w:rPr>
              <w:t>35.2</w:t>
            </w:r>
          </w:p>
        </w:tc>
        <w:tc>
          <w:tcPr>
            <w:tcW w:w="1559" w:type="dxa"/>
            <w:tcBorders>
              <w:top w:val="nil"/>
              <w:left w:val="nil"/>
              <w:bottom w:val="single" w:sz="4" w:space="0" w:color="auto"/>
              <w:right w:val="nil"/>
            </w:tcBorders>
            <w:noWrap/>
            <w:vAlign w:val="bottom"/>
            <w:hideMark/>
          </w:tcPr>
          <w:p w14:paraId="56DAD0E9" w14:textId="77777777" w:rsidR="00677577" w:rsidRPr="00663CBD" w:rsidRDefault="00677577" w:rsidP="00A80DBC">
            <w:pPr>
              <w:spacing w:after="0" w:line="240" w:lineRule="auto"/>
              <w:jc w:val="right"/>
              <w:rPr>
                <w:sz w:val="20"/>
                <w:szCs w:val="20"/>
              </w:rPr>
            </w:pPr>
            <w:r w:rsidRPr="00663CBD">
              <w:rPr>
                <w:sz w:val="20"/>
                <w:szCs w:val="20"/>
              </w:rPr>
              <w:t>3.4</w:t>
            </w:r>
          </w:p>
        </w:tc>
        <w:tc>
          <w:tcPr>
            <w:tcW w:w="845" w:type="dxa"/>
            <w:tcBorders>
              <w:top w:val="nil"/>
              <w:left w:val="nil"/>
              <w:bottom w:val="single" w:sz="4" w:space="0" w:color="auto"/>
              <w:right w:val="single" w:sz="4" w:space="0" w:color="auto"/>
            </w:tcBorders>
            <w:noWrap/>
            <w:vAlign w:val="bottom"/>
            <w:hideMark/>
          </w:tcPr>
          <w:p w14:paraId="238D6CB0" w14:textId="77777777" w:rsidR="00677577" w:rsidRPr="00663CBD" w:rsidRDefault="00677577" w:rsidP="00A80DBC">
            <w:pPr>
              <w:spacing w:after="0" w:line="240" w:lineRule="auto"/>
              <w:jc w:val="right"/>
              <w:rPr>
                <w:sz w:val="20"/>
                <w:szCs w:val="20"/>
              </w:rPr>
            </w:pPr>
            <w:r w:rsidRPr="00663CBD">
              <w:rPr>
                <w:sz w:val="20"/>
                <w:szCs w:val="20"/>
              </w:rPr>
              <w:t>25.3</w:t>
            </w:r>
          </w:p>
        </w:tc>
        <w:tc>
          <w:tcPr>
            <w:tcW w:w="853" w:type="dxa"/>
            <w:tcBorders>
              <w:top w:val="nil"/>
              <w:left w:val="single" w:sz="4" w:space="0" w:color="auto"/>
              <w:bottom w:val="single" w:sz="4" w:space="0" w:color="auto"/>
              <w:right w:val="nil"/>
            </w:tcBorders>
            <w:noWrap/>
            <w:vAlign w:val="bottom"/>
            <w:hideMark/>
          </w:tcPr>
          <w:p w14:paraId="038F60F3" w14:textId="77777777" w:rsidR="00677577" w:rsidRPr="00663CBD" w:rsidRDefault="00677577" w:rsidP="00A80DBC">
            <w:pPr>
              <w:spacing w:after="0" w:line="240" w:lineRule="auto"/>
              <w:jc w:val="right"/>
              <w:rPr>
                <w:sz w:val="20"/>
                <w:szCs w:val="20"/>
              </w:rPr>
            </w:pPr>
            <w:r w:rsidRPr="00663CBD">
              <w:rPr>
                <w:sz w:val="20"/>
                <w:szCs w:val="20"/>
              </w:rPr>
              <w:t>36.8</w:t>
            </w:r>
          </w:p>
        </w:tc>
        <w:tc>
          <w:tcPr>
            <w:tcW w:w="854" w:type="dxa"/>
            <w:tcBorders>
              <w:top w:val="nil"/>
              <w:left w:val="nil"/>
              <w:bottom w:val="single" w:sz="4" w:space="0" w:color="auto"/>
              <w:right w:val="nil"/>
            </w:tcBorders>
            <w:noWrap/>
            <w:vAlign w:val="bottom"/>
            <w:hideMark/>
          </w:tcPr>
          <w:p w14:paraId="2E8708EB" w14:textId="77777777" w:rsidR="00677577" w:rsidRPr="00663CBD" w:rsidRDefault="00677577" w:rsidP="00A80DBC">
            <w:pPr>
              <w:spacing w:after="0" w:line="240" w:lineRule="auto"/>
              <w:jc w:val="right"/>
              <w:rPr>
                <w:sz w:val="20"/>
                <w:szCs w:val="20"/>
              </w:rPr>
            </w:pPr>
            <w:r w:rsidRPr="00663CBD">
              <w:rPr>
                <w:sz w:val="20"/>
                <w:szCs w:val="20"/>
              </w:rPr>
              <w:t>38.8</w:t>
            </w:r>
          </w:p>
        </w:tc>
        <w:tc>
          <w:tcPr>
            <w:tcW w:w="1701" w:type="dxa"/>
            <w:tcBorders>
              <w:top w:val="nil"/>
              <w:left w:val="nil"/>
              <w:bottom w:val="single" w:sz="4" w:space="0" w:color="auto"/>
              <w:right w:val="nil"/>
            </w:tcBorders>
            <w:noWrap/>
            <w:vAlign w:val="bottom"/>
            <w:hideMark/>
          </w:tcPr>
          <w:p w14:paraId="0D6DF385" w14:textId="77777777" w:rsidR="00677577" w:rsidRPr="00663CBD" w:rsidRDefault="00677577" w:rsidP="00A80DBC">
            <w:pPr>
              <w:spacing w:after="0" w:line="240" w:lineRule="auto"/>
              <w:jc w:val="right"/>
              <w:rPr>
                <w:sz w:val="20"/>
                <w:szCs w:val="20"/>
              </w:rPr>
            </w:pPr>
            <w:r w:rsidRPr="00663CBD">
              <w:rPr>
                <w:sz w:val="20"/>
                <w:szCs w:val="20"/>
              </w:rPr>
              <w:t>4.9</w:t>
            </w:r>
          </w:p>
        </w:tc>
        <w:tc>
          <w:tcPr>
            <w:tcW w:w="878" w:type="dxa"/>
            <w:tcBorders>
              <w:top w:val="nil"/>
              <w:left w:val="nil"/>
              <w:bottom w:val="single" w:sz="4" w:space="0" w:color="auto"/>
              <w:right w:val="single" w:sz="4" w:space="0" w:color="auto"/>
            </w:tcBorders>
            <w:noWrap/>
            <w:vAlign w:val="bottom"/>
            <w:hideMark/>
          </w:tcPr>
          <w:p w14:paraId="4E23E81E" w14:textId="77777777" w:rsidR="00677577" w:rsidRPr="00663CBD" w:rsidRDefault="00677577" w:rsidP="00A80DBC">
            <w:pPr>
              <w:spacing w:after="0" w:line="240" w:lineRule="auto"/>
              <w:jc w:val="right"/>
              <w:rPr>
                <w:sz w:val="20"/>
                <w:szCs w:val="20"/>
              </w:rPr>
            </w:pPr>
            <w:r w:rsidRPr="00663CBD">
              <w:rPr>
                <w:sz w:val="20"/>
                <w:szCs w:val="20"/>
              </w:rPr>
              <w:t>19.5</w:t>
            </w:r>
          </w:p>
        </w:tc>
        <w:tc>
          <w:tcPr>
            <w:tcW w:w="907" w:type="dxa"/>
            <w:tcBorders>
              <w:top w:val="nil"/>
              <w:left w:val="single" w:sz="4" w:space="0" w:color="auto"/>
              <w:bottom w:val="single" w:sz="4" w:space="0" w:color="auto"/>
              <w:right w:val="nil"/>
            </w:tcBorders>
            <w:noWrap/>
            <w:vAlign w:val="bottom"/>
            <w:hideMark/>
          </w:tcPr>
          <w:p w14:paraId="528CA695" w14:textId="77777777" w:rsidR="00677577" w:rsidRPr="00663CBD" w:rsidRDefault="00677577" w:rsidP="00A80DBC">
            <w:pPr>
              <w:spacing w:after="0" w:line="240" w:lineRule="auto"/>
              <w:jc w:val="right"/>
              <w:rPr>
                <w:sz w:val="20"/>
                <w:szCs w:val="20"/>
              </w:rPr>
            </w:pPr>
            <w:r w:rsidRPr="00663CBD">
              <w:rPr>
                <w:sz w:val="20"/>
                <w:szCs w:val="20"/>
              </w:rPr>
              <w:t>35.4</w:t>
            </w:r>
          </w:p>
        </w:tc>
        <w:tc>
          <w:tcPr>
            <w:tcW w:w="908" w:type="dxa"/>
            <w:tcBorders>
              <w:top w:val="nil"/>
              <w:left w:val="nil"/>
              <w:bottom w:val="single" w:sz="4" w:space="0" w:color="auto"/>
              <w:right w:val="nil"/>
            </w:tcBorders>
            <w:noWrap/>
            <w:vAlign w:val="bottom"/>
            <w:hideMark/>
          </w:tcPr>
          <w:p w14:paraId="78DF7A3E" w14:textId="77777777" w:rsidR="00677577" w:rsidRPr="00663CBD" w:rsidRDefault="00677577" w:rsidP="00A80DBC">
            <w:pPr>
              <w:spacing w:after="0" w:line="240" w:lineRule="auto"/>
              <w:jc w:val="right"/>
              <w:rPr>
                <w:sz w:val="20"/>
                <w:szCs w:val="20"/>
              </w:rPr>
            </w:pPr>
            <w:r w:rsidRPr="00663CBD">
              <w:rPr>
                <w:sz w:val="20"/>
                <w:szCs w:val="20"/>
              </w:rPr>
              <w:t>32.6</w:t>
            </w:r>
          </w:p>
        </w:tc>
        <w:tc>
          <w:tcPr>
            <w:tcW w:w="1559" w:type="dxa"/>
            <w:tcBorders>
              <w:top w:val="nil"/>
              <w:left w:val="nil"/>
              <w:bottom w:val="single" w:sz="4" w:space="0" w:color="auto"/>
              <w:right w:val="nil"/>
            </w:tcBorders>
            <w:noWrap/>
            <w:vAlign w:val="bottom"/>
            <w:hideMark/>
          </w:tcPr>
          <w:p w14:paraId="30618DBE" w14:textId="77777777" w:rsidR="00677577" w:rsidRPr="00663CBD" w:rsidRDefault="00677577" w:rsidP="00A80DBC">
            <w:pPr>
              <w:spacing w:after="0" w:line="240" w:lineRule="auto"/>
              <w:jc w:val="right"/>
              <w:rPr>
                <w:sz w:val="20"/>
                <w:szCs w:val="20"/>
              </w:rPr>
            </w:pPr>
            <w:r w:rsidRPr="00663CBD">
              <w:rPr>
                <w:sz w:val="20"/>
                <w:szCs w:val="20"/>
              </w:rPr>
              <w:t>2.4</w:t>
            </w:r>
          </w:p>
        </w:tc>
        <w:tc>
          <w:tcPr>
            <w:tcW w:w="912" w:type="dxa"/>
            <w:tcBorders>
              <w:top w:val="nil"/>
              <w:left w:val="nil"/>
              <w:bottom w:val="single" w:sz="4" w:space="0" w:color="auto"/>
              <w:right w:val="single" w:sz="4" w:space="0" w:color="auto"/>
            </w:tcBorders>
            <w:noWrap/>
            <w:vAlign w:val="bottom"/>
            <w:hideMark/>
          </w:tcPr>
          <w:p w14:paraId="2987772F" w14:textId="77777777" w:rsidR="00677577" w:rsidRPr="00663CBD" w:rsidRDefault="00677577" w:rsidP="00A80DBC">
            <w:pPr>
              <w:spacing w:after="0" w:line="240" w:lineRule="auto"/>
              <w:jc w:val="right"/>
              <w:rPr>
                <w:sz w:val="20"/>
                <w:szCs w:val="20"/>
              </w:rPr>
            </w:pPr>
            <w:r w:rsidRPr="00663CBD">
              <w:rPr>
                <w:sz w:val="20"/>
                <w:szCs w:val="20"/>
              </w:rPr>
              <w:t>29.6</w:t>
            </w:r>
          </w:p>
        </w:tc>
      </w:tr>
    </w:tbl>
    <w:p w14:paraId="2DF29884" w14:textId="2355CFC6" w:rsidR="0016448B" w:rsidRDefault="00677577" w:rsidP="00677577">
      <w:pPr>
        <w:pStyle w:val="Source"/>
        <w:rPr>
          <w:b/>
          <w:bCs/>
        </w:rPr>
      </w:pPr>
      <w:r w:rsidRPr="00167CB8">
        <w:rPr>
          <w:b/>
          <w:bCs/>
        </w:rPr>
        <w:t>Notes:</w:t>
      </w:r>
    </w:p>
    <w:p w14:paraId="71BAB24F" w14:textId="6D1144D0" w:rsidR="0016448B" w:rsidRPr="00167CB8" w:rsidRDefault="0016448B" w:rsidP="0016448B">
      <w:pPr>
        <w:pStyle w:val="Source"/>
      </w:pPr>
      <w:r>
        <w:t>1</w:t>
      </w:r>
      <w:r w:rsidRPr="00167CB8">
        <w:t>. CA</w:t>
      </w:r>
      <w:r>
        <w:t>:</w:t>
      </w:r>
      <w:r w:rsidRPr="00167CB8" w:rsidDel="0016448B">
        <w:t xml:space="preserve"> </w:t>
      </w:r>
      <w:r w:rsidRPr="00167CB8">
        <w:t>collective (enterprise) agreement; IA</w:t>
      </w:r>
      <w:r>
        <w:t>:</w:t>
      </w:r>
      <w:r w:rsidRPr="00167CB8">
        <w:t xml:space="preserve"> individual arrangement; Combination</w:t>
      </w:r>
      <w:r>
        <w:t>:</w:t>
      </w:r>
      <w:r w:rsidRPr="00167CB8">
        <w:t xml:space="preserve"> combination of CA and IA; Award</w:t>
      </w:r>
      <w:r>
        <w:t>:</w:t>
      </w:r>
      <w:r w:rsidRPr="00167CB8">
        <w:t xml:space="preserve"> award only</w:t>
      </w:r>
      <w:r w:rsidRPr="00167CB8" w:rsidDel="0016448B">
        <w:t>.</w:t>
      </w:r>
    </w:p>
    <w:p w14:paraId="146B2C25" w14:textId="6405C40F" w:rsidR="0016448B" w:rsidRDefault="0016448B" w:rsidP="00677577">
      <w:pPr>
        <w:pStyle w:val="Source"/>
      </w:pPr>
      <w:r>
        <w:t>2</w:t>
      </w:r>
      <w:r w:rsidR="00677577" w:rsidRPr="00167CB8">
        <w:t xml:space="preserve">. Sample consists of respondents aged 21 to 64 who are employees, have an observable wage and work more than </w:t>
      </w:r>
      <w:r>
        <w:t>five</w:t>
      </w:r>
      <w:r w:rsidR="00677577" w:rsidRPr="00167CB8">
        <w:t xml:space="preserve"> hours per week in their main job and fewer than 60 hours per week in their main job. It excludes those who do not know how their pay is set or who refused to answer. It also excludes a small share of respondents whose pay is set by some other means</w:t>
      </w:r>
      <w:r>
        <w:t>.</w:t>
      </w:r>
    </w:p>
    <w:p w14:paraId="62666602" w14:textId="1C9A593B" w:rsidR="0016448B" w:rsidRDefault="0016448B" w:rsidP="00677577">
      <w:pPr>
        <w:pStyle w:val="Source"/>
      </w:pPr>
      <w:r>
        <w:t>3</w:t>
      </w:r>
      <w:r w:rsidR="00677577" w:rsidRPr="00167CB8">
        <w:t xml:space="preserve">. Data are pooled for each of </w:t>
      </w:r>
      <w:r>
        <w:t>two</w:t>
      </w:r>
      <w:r w:rsidR="00677577" w:rsidRPr="00167CB8">
        <w:t xml:space="preserve"> waves to increase the sample size</w:t>
      </w:r>
      <w:r>
        <w:t>.</w:t>
      </w:r>
    </w:p>
    <w:p w14:paraId="15D2B891" w14:textId="49DBAEB9" w:rsidR="0016448B" w:rsidRDefault="0016448B" w:rsidP="00677577">
      <w:pPr>
        <w:pStyle w:val="Source"/>
      </w:pPr>
      <w:r>
        <w:t>4</w:t>
      </w:r>
      <w:r w:rsidRPr="00167CB8">
        <w:t>. Estimates weighted to reflect population totals.</w:t>
      </w:r>
    </w:p>
    <w:p w14:paraId="1FF826F5" w14:textId="77777777" w:rsidR="00677577" w:rsidRDefault="00677577" w:rsidP="00677577">
      <w:pPr>
        <w:pStyle w:val="Source"/>
      </w:pPr>
      <w:r w:rsidRPr="00167CB8">
        <w:rPr>
          <w:b/>
          <w:bCs/>
        </w:rPr>
        <w:t>Source:</w:t>
      </w:r>
      <w:r w:rsidRPr="00167CB8">
        <w:t xml:space="preserve"> Household, Income and Labour Dynamics in Australia (HILDA) Survey, waves 8 to 23.</w:t>
      </w:r>
    </w:p>
    <w:p w14:paraId="5AC68337" w14:textId="551EE220" w:rsidR="0016448B" w:rsidRDefault="0016448B">
      <w:pPr>
        <w:spacing w:after="160"/>
        <w:rPr>
          <w:sz w:val="18"/>
        </w:rPr>
      </w:pPr>
      <w:r>
        <w:br w:type="page"/>
      </w:r>
    </w:p>
    <w:p w14:paraId="0DFB3749" w14:textId="0577F60D" w:rsidR="00677577" w:rsidRPr="00167CB8" w:rsidRDefault="00844718" w:rsidP="00844718">
      <w:pPr>
        <w:pStyle w:val="Caption"/>
      </w:pPr>
      <w:bookmarkStart w:id="952" w:name="_Toc194251477"/>
      <w:r>
        <w:t xml:space="preserve">Table </w:t>
      </w:r>
      <w:r>
        <w:rPr>
          <w:sz w:val="18"/>
        </w:rPr>
        <w:fldChar w:fldCharType="begin"/>
      </w:r>
      <w:r>
        <w:instrText xml:space="preserve"> SEQ Table \* ARABIC </w:instrText>
      </w:r>
      <w:r>
        <w:rPr>
          <w:sz w:val="18"/>
        </w:rPr>
        <w:fldChar w:fldCharType="separate"/>
      </w:r>
      <w:r w:rsidR="00DE5F5E">
        <w:rPr>
          <w:noProof/>
        </w:rPr>
        <w:t>53</w:t>
      </w:r>
      <w:r>
        <w:rPr>
          <w:sz w:val="18"/>
        </w:rPr>
        <w:fldChar w:fldCharType="end"/>
      </w:r>
      <w:r>
        <w:t xml:space="preserve">: </w:t>
      </w:r>
      <w:bookmarkStart w:id="953" w:name="_Toc186991826"/>
      <w:bookmarkStart w:id="954" w:name="_Toc189310877"/>
      <w:r w:rsidR="00677577" w:rsidRPr="00167CB8">
        <w:t>Trends in methods of pay setting of employees, disaggregate by hours employed in main job, 2008</w:t>
      </w:r>
      <w:r w:rsidR="00677577" w:rsidRPr="00167CB8">
        <w:rPr>
          <w:rFonts w:ascii="Symbol" w:eastAsia="Symbol" w:hAnsi="Symbol" w:cs="Symbol"/>
        </w:rPr>
        <w:t>-</w:t>
      </w:r>
      <w:r w:rsidR="00677577" w:rsidRPr="00167CB8">
        <w:t>09 to 2022</w:t>
      </w:r>
      <w:r w:rsidR="00677577" w:rsidRPr="00167CB8">
        <w:rPr>
          <w:rFonts w:ascii="Symbol" w:eastAsia="Symbol" w:hAnsi="Symbol" w:cs="Symbol"/>
        </w:rPr>
        <w:t>-</w:t>
      </w:r>
      <w:r w:rsidR="00677577" w:rsidRPr="00167CB8">
        <w:t>23</w:t>
      </w:r>
      <w:bookmarkEnd w:id="952"/>
      <w:bookmarkEnd w:id="953"/>
      <w:bookmarkEnd w:id="954"/>
    </w:p>
    <w:tbl>
      <w:tblPr>
        <w:tblW w:w="1410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79"/>
        <w:gridCol w:w="1589"/>
        <w:gridCol w:w="1402"/>
        <w:gridCol w:w="1969"/>
        <w:gridCol w:w="1404"/>
        <w:gridCol w:w="1589"/>
        <w:gridCol w:w="1404"/>
        <w:gridCol w:w="1967"/>
        <w:gridCol w:w="1404"/>
      </w:tblGrid>
      <w:tr w:rsidR="00677577" w:rsidRPr="00236247" w14:paraId="3DB28730" w14:textId="77777777" w:rsidTr="00740A5C">
        <w:trPr>
          <w:trHeight w:val="20"/>
        </w:trPr>
        <w:tc>
          <w:tcPr>
            <w:tcW w:w="1379" w:type="dxa"/>
            <w:tcBorders>
              <w:top w:val="single" w:sz="4" w:space="0" w:color="auto"/>
              <w:left w:val="single" w:sz="4" w:space="0" w:color="auto"/>
              <w:bottom w:val="nil"/>
              <w:right w:val="single" w:sz="4" w:space="0" w:color="auto"/>
            </w:tcBorders>
            <w:noWrap/>
            <w:vAlign w:val="bottom"/>
            <w:hideMark/>
          </w:tcPr>
          <w:p w14:paraId="79849A6C" w14:textId="77777777" w:rsidR="00677577" w:rsidRPr="00236247" w:rsidRDefault="00677577">
            <w:pPr>
              <w:rPr>
                <w:b/>
                <w:bCs/>
                <w:sz w:val="20"/>
                <w:szCs w:val="20"/>
              </w:rPr>
            </w:pPr>
          </w:p>
        </w:tc>
        <w:tc>
          <w:tcPr>
            <w:tcW w:w="4960" w:type="dxa"/>
            <w:gridSpan w:val="3"/>
            <w:tcBorders>
              <w:top w:val="single" w:sz="4" w:space="0" w:color="auto"/>
              <w:left w:val="single" w:sz="4" w:space="0" w:color="auto"/>
              <w:bottom w:val="nil"/>
              <w:right w:val="nil"/>
            </w:tcBorders>
            <w:noWrap/>
            <w:vAlign w:val="bottom"/>
            <w:hideMark/>
          </w:tcPr>
          <w:p w14:paraId="6F251632" w14:textId="77777777" w:rsidR="00677577" w:rsidRPr="00236247" w:rsidRDefault="00677577">
            <w:pPr>
              <w:rPr>
                <w:b/>
                <w:bCs/>
                <w:sz w:val="20"/>
                <w:szCs w:val="20"/>
              </w:rPr>
            </w:pPr>
            <w:r w:rsidRPr="00236247">
              <w:rPr>
                <w:b/>
                <w:bCs/>
                <w:sz w:val="20"/>
                <w:szCs w:val="20"/>
              </w:rPr>
              <w:t>Employed full-time</w:t>
            </w:r>
          </w:p>
        </w:tc>
        <w:tc>
          <w:tcPr>
            <w:tcW w:w="1403" w:type="dxa"/>
            <w:tcBorders>
              <w:top w:val="single" w:sz="4" w:space="0" w:color="auto"/>
              <w:left w:val="nil"/>
              <w:bottom w:val="nil"/>
              <w:right w:val="single" w:sz="4" w:space="0" w:color="auto"/>
            </w:tcBorders>
            <w:noWrap/>
            <w:vAlign w:val="bottom"/>
            <w:hideMark/>
          </w:tcPr>
          <w:p w14:paraId="7CD16AD4" w14:textId="77777777" w:rsidR="00677577" w:rsidRPr="00236247" w:rsidRDefault="00677577">
            <w:pPr>
              <w:rPr>
                <w:b/>
                <w:bCs/>
                <w:sz w:val="20"/>
                <w:szCs w:val="20"/>
              </w:rPr>
            </w:pPr>
          </w:p>
        </w:tc>
        <w:tc>
          <w:tcPr>
            <w:tcW w:w="2993" w:type="dxa"/>
            <w:gridSpan w:val="2"/>
            <w:tcBorders>
              <w:top w:val="single" w:sz="4" w:space="0" w:color="auto"/>
              <w:left w:val="single" w:sz="4" w:space="0" w:color="auto"/>
              <w:bottom w:val="nil"/>
              <w:right w:val="nil"/>
            </w:tcBorders>
            <w:noWrap/>
            <w:vAlign w:val="bottom"/>
            <w:hideMark/>
          </w:tcPr>
          <w:p w14:paraId="08FC5229" w14:textId="77777777" w:rsidR="00677577" w:rsidRPr="00236247" w:rsidRDefault="00677577">
            <w:pPr>
              <w:rPr>
                <w:b/>
                <w:bCs/>
                <w:sz w:val="20"/>
                <w:szCs w:val="20"/>
              </w:rPr>
            </w:pPr>
            <w:r w:rsidRPr="00236247">
              <w:rPr>
                <w:b/>
                <w:bCs/>
                <w:sz w:val="20"/>
                <w:szCs w:val="20"/>
              </w:rPr>
              <w:t>Employed part-time</w:t>
            </w:r>
          </w:p>
        </w:tc>
        <w:tc>
          <w:tcPr>
            <w:tcW w:w="1967" w:type="dxa"/>
            <w:tcBorders>
              <w:top w:val="single" w:sz="4" w:space="0" w:color="auto"/>
              <w:left w:val="nil"/>
              <w:bottom w:val="nil"/>
              <w:right w:val="nil"/>
            </w:tcBorders>
            <w:noWrap/>
            <w:vAlign w:val="bottom"/>
            <w:hideMark/>
          </w:tcPr>
          <w:p w14:paraId="52E8AE35" w14:textId="77777777" w:rsidR="00677577" w:rsidRPr="00236247" w:rsidRDefault="00677577">
            <w:pPr>
              <w:rPr>
                <w:b/>
                <w:bCs/>
                <w:sz w:val="20"/>
                <w:szCs w:val="20"/>
              </w:rPr>
            </w:pPr>
          </w:p>
        </w:tc>
        <w:tc>
          <w:tcPr>
            <w:tcW w:w="1403" w:type="dxa"/>
            <w:tcBorders>
              <w:top w:val="single" w:sz="4" w:space="0" w:color="auto"/>
              <w:left w:val="nil"/>
              <w:bottom w:val="nil"/>
              <w:right w:val="single" w:sz="4" w:space="0" w:color="auto"/>
            </w:tcBorders>
            <w:noWrap/>
            <w:vAlign w:val="bottom"/>
            <w:hideMark/>
          </w:tcPr>
          <w:p w14:paraId="437013C0" w14:textId="77777777" w:rsidR="00677577" w:rsidRPr="00236247" w:rsidRDefault="00677577">
            <w:pPr>
              <w:rPr>
                <w:b/>
                <w:bCs/>
                <w:sz w:val="20"/>
                <w:szCs w:val="20"/>
              </w:rPr>
            </w:pPr>
          </w:p>
        </w:tc>
      </w:tr>
      <w:tr w:rsidR="00677577" w:rsidRPr="00236247" w14:paraId="34E09BD2" w14:textId="77777777" w:rsidTr="00740A5C">
        <w:trPr>
          <w:trHeight w:val="20"/>
        </w:trPr>
        <w:tc>
          <w:tcPr>
            <w:tcW w:w="1379" w:type="dxa"/>
            <w:tcBorders>
              <w:top w:val="nil"/>
              <w:left w:val="single" w:sz="4" w:space="0" w:color="auto"/>
              <w:bottom w:val="single" w:sz="4" w:space="0" w:color="auto"/>
              <w:right w:val="single" w:sz="4" w:space="0" w:color="auto"/>
            </w:tcBorders>
            <w:noWrap/>
            <w:vAlign w:val="bottom"/>
            <w:hideMark/>
          </w:tcPr>
          <w:p w14:paraId="04F91F7F" w14:textId="77777777" w:rsidR="00677577" w:rsidRPr="00236247" w:rsidRDefault="00677577">
            <w:pPr>
              <w:rPr>
                <w:b/>
                <w:bCs/>
                <w:sz w:val="20"/>
                <w:szCs w:val="20"/>
              </w:rPr>
            </w:pPr>
          </w:p>
        </w:tc>
        <w:tc>
          <w:tcPr>
            <w:tcW w:w="1589" w:type="dxa"/>
            <w:tcBorders>
              <w:top w:val="nil"/>
              <w:left w:val="single" w:sz="4" w:space="0" w:color="auto"/>
              <w:bottom w:val="single" w:sz="4" w:space="0" w:color="auto"/>
              <w:right w:val="nil"/>
            </w:tcBorders>
            <w:noWrap/>
            <w:vAlign w:val="bottom"/>
            <w:hideMark/>
          </w:tcPr>
          <w:p w14:paraId="643A038E" w14:textId="77777777" w:rsidR="00677577" w:rsidRPr="00236247" w:rsidRDefault="00677577" w:rsidP="005D02A7">
            <w:pPr>
              <w:jc w:val="right"/>
              <w:rPr>
                <w:b/>
                <w:bCs/>
                <w:sz w:val="20"/>
                <w:szCs w:val="20"/>
              </w:rPr>
            </w:pPr>
            <w:r w:rsidRPr="00236247">
              <w:rPr>
                <w:b/>
                <w:bCs/>
                <w:sz w:val="20"/>
                <w:szCs w:val="20"/>
              </w:rPr>
              <w:t>CA</w:t>
            </w:r>
          </w:p>
        </w:tc>
        <w:tc>
          <w:tcPr>
            <w:tcW w:w="1402" w:type="dxa"/>
            <w:tcBorders>
              <w:top w:val="nil"/>
              <w:left w:val="nil"/>
              <w:bottom w:val="single" w:sz="4" w:space="0" w:color="auto"/>
              <w:right w:val="nil"/>
            </w:tcBorders>
            <w:noWrap/>
            <w:vAlign w:val="bottom"/>
            <w:hideMark/>
          </w:tcPr>
          <w:p w14:paraId="20A7562C" w14:textId="77777777" w:rsidR="00677577" w:rsidRPr="00236247" w:rsidRDefault="00677577" w:rsidP="005D02A7">
            <w:pPr>
              <w:jc w:val="right"/>
              <w:rPr>
                <w:b/>
                <w:bCs/>
                <w:sz w:val="20"/>
                <w:szCs w:val="20"/>
              </w:rPr>
            </w:pPr>
            <w:r w:rsidRPr="00236247">
              <w:rPr>
                <w:b/>
                <w:bCs/>
                <w:sz w:val="20"/>
                <w:szCs w:val="20"/>
              </w:rPr>
              <w:t>IA</w:t>
            </w:r>
          </w:p>
        </w:tc>
        <w:tc>
          <w:tcPr>
            <w:tcW w:w="1968" w:type="dxa"/>
            <w:tcBorders>
              <w:top w:val="nil"/>
              <w:left w:val="nil"/>
              <w:bottom w:val="single" w:sz="4" w:space="0" w:color="auto"/>
              <w:right w:val="nil"/>
            </w:tcBorders>
            <w:noWrap/>
            <w:vAlign w:val="bottom"/>
            <w:hideMark/>
          </w:tcPr>
          <w:p w14:paraId="4EA1ABED" w14:textId="77777777" w:rsidR="00677577" w:rsidRPr="00236247" w:rsidRDefault="00677577" w:rsidP="005D02A7">
            <w:pPr>
              <w:jc w:val="right"/>
              <w:rPr>
                <w:b/>
                <w:bCs/>
                <w:sz w:val="20"/>
                <w:szCs w:val="20"/>
              </w:rPr>
            </w:pPr>
            <w:r w:rsidRPr="00236247">
              <w:rPr>
                <w:b/>
                <w:bCs/>
                <w:sz w:val="20"/>
                <w:szCs w:val="20"/>
              </w:rPr>
              <w:t>Combination</w:t>
            </w:r>
          </w:p>
        </w:tc>
        <w:tc>
          <w:tcPr>
            <w:tcW w:w="1403" w:type="dxa"/>
            <w:tcBorders>
              <w:top w:val="nil"/>
              <w:left w:val="nil"/>
              <w:bottom w:val="single" w:sz="4" w:space="0" w:color="auto"/>
              <w:right w:val="single" w:sz="4" w:space="0" w:color="auto"/>
            </w:tcBorders>
            <w:noWrap/>
            <w:vAlign w:val="bottom"/>
            <w:hideMark/>
          </w:tcPr>
          <w:p w14:paraId="2B4D8A0D" w14:textId="77777777" w:rsidR="00677577" w:rsidRPr="00236247" w:rsidRDefault="00677577" w:rsidP="005D02A7">
            <w:pPr>
              <w:jc w:val="right"/>
              <w:rPr>
                <w:b/>
                <w:bCs/>
                <w:sz w:val="20"/>
                <w:szCs w:val="20"/>
              </w:rPr>
            </w:pPr>
            <w:r w:rsidRPr="00236247">
              <w:rPr>
                <w:b/>
                <w:bCs/>
                <w:sz w:val="20"/>
                <w:szCs w:val="20"/>
              </w:rPr>
              <w:t>Award</w:t>
            </w:r>
          </w:p>
        </w:tc>
        <w:tc>
          <w:tcPr>
            <w:tcW w:w="1589" w:type="dxa"/>
            <w:tcBorders>
              <w:top w:val="nil"/>
              <w:left w:val="single" w:sz="4" w:space="0" w:color="auto"/>
              <w:bottom w:val="single" w:sz="4" w:space="0" w:color="auto"/>
              <w:right w:val="nil"/>
            </w:tcBorders>
            <w:noWrap/>
            <w:vAlign w:val="bottom"/>
            <w:hideMark/>
          </w:tcPr>
          <w:p w14:paraId="58B5DE3A" w14:textId="71F4F525" w:rsidR="00677577" w:rsidRPr="00236247" w:rsidRDefault="002B1A16" w:rsidP="005D02A7">
            <w:pPr>
              <w:jc w:val="right"/>
              <w:rPr>
                <w:b/>
                <w:bCs/>
                <w:sz w:val="20"/>
                <w:szCs w:val="20"/>
              </w:rPr>
            </w:pPr>
            <w:r>
              <w:rPr>
                <w:b/>
                <w:bCs/>
                <w:sz w:val="20"/>
                <w:szCs w:val="20"/>
              </w:rPr>
              <w:t>C</w:t>
            </w:r>
            <w:r w:rsidRPr="00236247">
              <w:rPr>
                <w:b/>
                <w:bCs/>
                <w:sz w:val="20"/>
                <w:szCs w:val="20"/>
              </w:rPr>
              <w:t>A</w:t>
            </w:r>
          </w:p>
        </w:tc>
        <w:tc>
          <w:tcPr>
            <w:tcW w:w="1403" w:type="dxa"/>
            <w:tcBorders>
              <w:top w:val="nil"/>
              <w:left w:val="nil"/>
              <w:bottom w:val="single" w:sz="4" w:space="0" w:color="auto"/>
              <w:right w:val="nil"/>
            </w:tcBorders>
            <w:noWrap/>
            <w:vAlign w:val="bottom"/>
            <w:hideMark/>
          </w:tcPr>
          <w:p w14:paraId="541B382D" w14:textId="77777777" w:rsidR="00677577" w:rsidRPr="00236247" w:rsidRDefault="00677577" w:rsidP="005D02A7">
            <w:pPr>
              <w:jc w:val="right"/>
              <w:rPr>
                <w:b/>
                <w:bCs/>
                <w:sz w:val="20"/>
                <w:szCs w:val="20"/>
              </w:rPr>
            </w:pPr>
            <w:r w:rsidRPr="00236247">
              <w:rPr>
                <w:b/>
                <w:bCs/>
                <w:sz w:val="20"/>
                <w:szCs w:val="20"/>
              </w:rPr>
              <w:t>IA</w:t>
            </w:r>
          </w:p>
        </w:tc>
        <w:tc>
          <w:tcPr>
            <w:tcW w:w="1967" w:type="dxa"/>
            <w:tcBorders>
              <w:top w:val="nil"/>
              <w:left w:val="nil"/>
              <w:bottom w:val="single" w:sz="4" w:space="0" w:color="auto"/>
              <w:right w:val="nil"/>
            </w:tcBorders>
            <w:noWrap/>
            <w:vAlign w:val="bottom"/>
            <w:hideMark/>
          </w:tcPr>
          <w:p w14:paraId="3346FFC6" w14:textId="77777777" w:rsidR="00677577" w:rsidRPr="00236247" w:rsidRDefault="00677577" w:rsidP="005D02A7">
            <w:pPr>
              <w:jc w:val="right"/>
              <w:rPr>
                <w:b/>
                <w:bCs/>
                <w:sz w:val="20"/>
                <w:szCs w:val="20"/>
              </w:rPr>
            </w:pPr>
            <w:r w:rsidRPr="00236247">
              <w:rPr>
                <w:b/>
                <w:bCs/>
                <w:sz w:val="20"/>
                <w:szCs w:val="20"/>
              </w:rPr>
              <w:t>Combination</w:t>
            </w:r>
          </w:p>
        </w:tc>
        <w:tc>
          <w:tcPr>
            <w:tcW w:w="1403" w:type="dxa"/>
            <w:tcBorders>
              <w:top w:val="nil"/>
              <w:left w:val="nil"/>
              <w:bottom w:val="single" w:sz="4" w:space="0" w:color="auto"/>
              <w:right w:val="single" w:sz="4" w:space="0" w:color="auto"/>
            </w:tcBorders>
            <w:noWrap/>
            <w:vAlign w:val="bottom"/>
            <w:hideMark/>
          </w:tcPr>
          <w:p w14:paraId="45CF1836" w14:textId="77777777" w:rsidR="00677577" w:rsidRPr="00236247" w:rsidRDefault="00677577" w:rsidP="005D02A7">
            <w:pPr>
              <w:jc w:val="right"/>
              <w:rPr>
                <w:b/>
                <w:bCs/>
                <w:sz w:val="20"/>
                <w:szCs w:val="20"/>
              </w:rPr>
            </w:pPr>
            <w:r w:rsidRPr="00236247">
              <w:rPr>
                <w:b/>
                <w:bCs/>
                <w:sz w:val="20"/>
                <w:szCs w:val="20"/>
              </w:rPr>
              <w:t>Award</w:t>
            </w:r>
          </w:p>
        </w:tc>
      </w:tr>
      <w:tr w:rsidR="00677577" w:rsidRPr="00236247" w14:paraId="5AB39D0F" w14:textId="77777777" w:rsidTr="00740A5C">
        <w:trPr>
          <w:trHeight w:val="20"/>
        </w:trPr>
        <w:tc>
          <w:tcPr>
            <w:tcW w:w="1379" w:type="dxa"/>
            <w:tcBorders>
              <w:top w:val="single" w:sz="4" w:space="0" w:color="auto"/>
              <w:left w:val="single" w:sz="4" w:space="0" w:color="auto"/>
              <w:bottom w:val="nil"/>
              <w:right w:val="single" w:sz="4" w:space="0" w:color="auto"/>
            </w:tcBorders>
            <w:noWrap/>
            <w:vAlign w:val="bottom"/>
          </w:tcPr>
          <w:p w14:paraId="27C696B7" w14:textId="77777777" w:rsidR="00677577" w:rsidRPr="005D02A7" w:rsidRDefault="00677577">
            <w:pPr>
              <w:rPr>
                <w:sz w:val="20"/>
                <w:szCs w:val="20"/>
              </w:rPr>
            </w:pPr>
          </w:p>
        </w:tc>
        <w:tc>
          <w:tcPr>
            <w:tcW w:w="6364" w:type="dxa"/>
            <w:gridSpan w:val="4"/>
            <w:tcBorders>
              <w:top w:val="single" w:sz="4" w:space="0" w:color="auto"/>
              <w:left w:val="single" w:sz="4" w:space="0" w:color="auto"/>
              <w:bottom w:val="nil"/>
              <w:right w:val="single" w:sz="4" w:space="0" w:color="auto"/>
            </w:tcBorders>
            <w:noWrap/>
            <w:vAlign w:val="bottom"/>
            <w:hideMark/>
          </w:tcPr>
          <w:p w14:paraId="0890B2A4" w14:textId="77777777" w:rsidR="00677577" w:rsidRPr="005D02A7" w:rsidRDefault="00677577" w:rsidP="005D02A7">
            <w:pPr>
              <w:jc w:val="right"/>
              <w:rPr>
                <w:sz w:val="20"/>
                <w:szCs w:val="20"/>
              </w:rPr>
            </w:pPr>
            <w:r w:rsidRPr="005D02A7">
              <w:rPr>
                <w:sz w:val="20"/>
                <w:szCs w:val="20"/>
              </w:rPr>
              <w:t>%</w:t>
            </w:r>
          </w:p>
        </w:tc>
        <w:tc>
          <w:tcPr>
            <w:tcW w:w="6364" w:type="dxa"/>
            <w:gridSpan w:val="4"/>
            <w:tcBorders>
              <w:top w:val="single" w:sz="4" w:space="0" w:color="auto"/>
              <w:left w:val="single" w:sz="4" w:space="0" w:color="auto"/>
              <w:bottom w:val="nil"/>
              <w:right w:val="single" w:sz="4" w:space="0" w:color="auto"/>
            </w:tcBorders>
            <w:noWrap/>
            <w:vAlign w:val="bottom"/>
            <w:hideMark/>
          </w:tcPr>
          <w:p w14:paraId="3221EDFC" w14:textId="77777777" w:rsidR="00677577" w:rsidRPr="005D02A7" w:rsidRDefault="00677577" w:rsidP="005D02A7">
            <w:pPr>
              <w:jc w:val="right"/>
              <w:rPr>
                <w:sz w:val="20"/>
                <w:szCs w:val="20"/>
              </w:rPr>
            </w:pPr>
            <w:r w:rsidRPr="005D02A7">
              <w:rPr>
                <w:sz w:val="20"/>
                <w:szCs w:val="20"/>
              </w:rPr>
              <w:t>%</w:t>
            </w:r>
          </w:p>
        </w:tc>
      </w:tr>
      <w:tr w:rsidR="00677577" w:rsidRPr="00236247" w14:paraId="6D117D63" w14:textId="77777777" w:rsidTr="00740A5C">
        <w:trPr>
          <w:trHeight w:val="20"/>
        </w:trPr>
        <w:tc>
          <w:tcPr>
            <w:tcW w:w="1379" w:type="dxa"/>
            <w:tcBorders>
              <w:top w:val="single" w:sz="4" w:space="0" w:color="auto"/>
              <w:left w:val="single" w:sz="4" w:space="0" w:color="auto"/>
              <w:bottom w:val="nil"/>
              <w:right w:val="single" w:sz="4" w:space="0" w:color="auto"/>
            </w:tcBorders>
            <w:noWrap/>
            <w:vAlign w:val="bottom"/>
            <w:hideMark/>
          </w:tcPr>
          <w:p w14:paraId="379D315A" w14:textId="77777777" w:rsidR="00677577" w:rsidRPr="005D02A7" w:rsidRDefault="00677577">
            <w:pPr>
              <w:spacing w:after="0" w:line="240" w:lineRule="auto"/>
              <w:rPr>
                <w:sz w:val="20"/>
                <w:szCs w:val="20"/>
              </w:rPr>
            </w:pPr>
            <w:r w:rsidRPr="005D02A7">
              <w:rPr>
                <w:sz w:val="20"/>
                <w:szCs w:val="20"/>
              </w:rPr>
              <w:t>2008</w:t>
            </w:r>
            <w:r w:rsidRPr="005D02A7">
              <w:rPr>
                <w:rFonts w:ascii="Symbol" w:eastAsia="Symbol" w:hAnsi="Symbol" w:cs="Symbol"/>
                <w:sz w:val="20"/>
                <w:szCs w:val="20"/>
              </w:rPr>
              <w:sym w:font="Symbol" w:char="F02D"/>
            </w:r>
            <w:r w:rsidRPr="005D02A7">
              <w:rPr>
                <w:sz w:val="20"/>
                <w:szCs w:val="20"/>
              </w:rPr>
              <w:t>09</w:t>
            </w:r>
          </w:p>
        </w:tc>
        <w:tc>
          <w:tcPr>
            <w:tcW w:w="1589" w:type="dxa"/>
            <w:tcBorders>
              <w:top w:val="single" w:sz="4" w:space="0" w:color="auto"/>
              <w:left w:val="single" w:sz="4" w:space="0" w:color="auto"/>
              <w:bottom w:val="nil"/>
              <w:right w:val="nil"/>
            </w:tcBorders>
            <w:noWrap/>
            <w:vAlign w:val="bottom"/>
            <w:hideMark/>
          </w:tcPr>
          <w:p w14:paraId="247B0890" w14:textId="77777777" w:rsidR="00677577" w:rsidRPr="005D02A7" w:rsidRDefault="00677577" w:rsidP="005D02A7">
            <w:pPr>
              <w:spacing w:after="0" w:line="240" w:lineRule="auto"/>
              <w:jc w:val="right"/>
              <w:rPr>
                <w:sz w:val="20"/>
                <w:szCs w:val="20"/>
              </w:rPr>
            </w:pPr>
            <w:r w:rsidRPr="005D02A7">
              <w:rPr>
                <w:sz w:val="20"/>
                <w:szCs w:val="20"/>
              </w:rPr>
              <w:t>32.1</w:t>
            </w:r>
          </w:p>
        </w:tc>
        <w:tc>
          <w:tcPr>
            <w:tcW w:w="1402" w:type="dxa"/>
            <w:tcBorders>
              <w:top w:val="single" w:sz="4" w:space="0" w:color="auto"/>
              <w:left w:val="nil"/>
              <w:bottom w:val="nil"/>
              <w:right w:val="nil"/>
            </w:tcBorders>
            <w:noWrap/>
            <w:vAlign w:val="bottom"/>
            <w:hideMark/>
          </w:tcPr>
          <w:p w14:paraId="1F043F00" w14:textId="77777777" w:rsidR="00677577" w:rsidRPr="005D02A7" w:rsidRDefault="00677577" w:rsidP="005D02A7">
            <w:pPr>
              <w:spacing w:after="0" w:line="240" w:lineRule="auto"/>
              <w:jc w:val="right"/>
              <w:rPr>
                <w:sz w:val="20"/>
                <w:szCs w:val="20"/>
              </w:rPr>
            </w:pPr>
            <w:r w:rsidRPr="005D02A7">
              <w:rPr>
                <w:sz w:val="20"/>
                <w:szCs w:val="20"/>
              </w:rPr>
              <w:t>39.2</w:t>
            </w:r>
          </w:p>
        </w:tc>
        <w:tc>
          <w:tcPr>
            <w:tcW w:w="1968" w:type="dxa"/>
            <w:tcBorders>
              <w:top w:val="single" w:sz="4" w:space="0" w:color="auto"/>
              <w:left w:val="nil"/>
              <w:bottom w:val="nil"/>
              <w:right w:val="nil"/>
            </w:tcBorders>
            <w:noWrap/>
            <w:vAlign w:val="bottom"/>
            <w:hideMark/>
          </w:tcPr>
          <w:p w14:paraId="00F1AFCE" w14:textId="77777777" w:rsidR="00677577" w:rsidRPr="005D02A7" w:rsidRDefault="00677577" w:rsidP="005D02A7">
            <w:pPr>
              <w:spacing w:after="0" w:line="240" w:lineRule="auto"/>
              <w:jc w:val="right"/>
              <w:rPr>
                <w:sz w:val="20"/>
                <w:szCs w:val="20"/>
              </w:rPr>
            </w:pPr>
            <w:r w:rsidRPr="005D02A7">
              <w:rPr>
                <w:sz w:val="20"/>
                <w:szCs w:val="20"/>
              </w:rPr>
              <w:t>5.1</w:t>
            </w:r>
          </w:p>
        </w:tc>
        <w:tc>
          <w:tcPr>
            <w:tcW w:w="1403" w:type="dxa"/>
            <w:tcBorders>
              <w:top w:val="single" w:sz="4" w:space="0" w:color="auto"/>
              <w:left w:val="nil"/>
              <w:bottom w:val="nil"/>
              <w:right w:val="single" w:sz="4" w:space="0" w:color="auto"/>
            </w:tcBorders>
            <w:noWrap/>
            <w:vAlign w:val="bottom"/>
            <w:hideMark/>
          </w:tcPr>
          <w:p w14:paraId="52F22C47" w14:textId="77777777" w:rsidR="00677577" w:rsidRPr="005D02A7" w:rsidRDefault="00677577" w:rsidP="005D02A7">
            <w:pPr>
              <w:spacing w:after="0" w:line="240" w:lineRule="auto"/>
              <w:jc w:val="right"/>
              <w:rPr>
                <w:sz w:val="20"/>
                <w:szCs w:val="20"/>
              </w:rPr>
            </w:pPr>
            <w:r w:rsidRPr="005D02A7">
              <w:rPr>
                <w:sz w:val="20"/>
                <w:szCs w:val="20"/>
              </w:rPr>
              <w:t>23.6</w:t>
            </w:r>
          </w:p>
        </w:tc>
        <w:tc>
          <w:tcPr>
            <w:tcW w:w="1589" w:type="dxa"/>
            <w:tcBorders>
              <w:top w:val="single" w:sz="4" w:space="0" w:color="auto"/>
              <w:left w:val="single" w:sz="4" w:space="0" w:color="auto"/>
              <w:bottom w:val="nil"/>
              <w:right w:val="nil"/>
            </w:tcBorders>
            <w:noWrap/>
            <w:vAlign w:val="bottom"/>
            <w:hideMark/>
          </w:tcPr>
          <w:p w14:paraId="2F9993B6" w14:textId="77777777" w:rsidR="00677577" w:rsidRPr="005D02A7" w:rsidRDefault="00677577" w:rsidP="005D02A7">
            <w:pPr>
              <w:spacing w:after="0" w:line="240" w:lineRule="auto"/>
              <w:jc w:val="right"/>
              <w:rPr>
                <w:sz w:val="20"/>
                <w:szCs w:val="20"/>
              </w:rPr>
            </w:pPr>
            <w:r w:rsidRPr="005D02A7">
              <w:rPr>
                <w:sz w:val="20"/>
                <w:szCs w:val="20"/>
              </w:rPr>
              <w:t>21.7</w:t>
            </w:r>
          </w:p>
        </w:tc>
        <w:tc>
          <w:tcPr>
            <w:tcW w:w="1403" w:type="dxa"/>
            <w:tcBorders>
              <w:top w:val="single" w:sz="4" w:space="0" w:color="auto"/>
              <w:left w:val="nil"/>
              <w:bottom w:val="nil"/>
              <w:right w:val="nil"/>
            </w:tcBorders>
            <w:noWrap/>
            <w:vAlign w:val="bottom"/>
            <w:hideMark/>
          </w:tcPr>
          <w:p w14:paraId="31C46BFC" w14:textId="77777777" w:rsidR="00677577" w:rsidRPr="005D02A7" w:rsidRDefault="00677577" w:rsidP="005D02A7">
            <w:pPr>
              <w:spacing w:after="0" w:line="240" w:lineRule="auto"/>
              <w:jc w:val="right"/>
              <w:rPr>
                <w:sz w:val="20"/>
                <w:szCs w:val="20"/>
              </w:rPr>
            </w:pPr>
            <w:r w:rsidRPr="005D02A7">
              <w:rPr>
                <w:sz w:val="20"/>
                <w:szCs w:val="20"/>
              </w:rPr>
              <w:t>29.4</w:t>
            </w:r>
          </w:p>
        </w:tc>
        <w:tc>
          <w:tcPr>
            <w:tcW w:w="1967" w:type="dxa"/>
            <w:tcBorders>
              <w:top w:val="single" w:sz="4" w:space="0" w:color="auto"/>
              <w:left w:val="nil"/>
              <w:bottom w:val="nil"/>
              <w:right w:val="nil"/>
            </w:tcBorders>
            <w:noWrap/>
            <w:vAlign w:val="bottom"/>
            <w:hideMark/>
          </w:tcPr>
          <w:p w14:paraId="576F653B" w14:textId="77777777" w:rsidR="00677577" w:rsidRPr="005D02A7" w:rsidRDefault="00677577" w:rsidP="005D02A7">
            <w:pPr>
              <w:spacing w:after="0" w:line="240" w:lineRule="auto"/>
              <w:jc w:val="right"/>
              <w:rPr>
                <w:sz w:val="20"/>
                <w:szCs w:val="20"/>
              </w:rPr>
            </w:pPr>
            <w:r w:rsidRPr="005D02A7">
              <w:rPr>
                <w:sz w:val="20"/>
                <w:szCs w:val="20"/>
              </w:rPr>
              <w:t>5.7</w:t>
            </w:r>
          </w:p>
        </w:tc>
        <w:tc>
          <w:tcPr>
            <w:tcW w:w="1403" w:type="dxa"/>
            <w:tcBorders>
              <w:top w:val="single" w:sz="4" w:space="0" w:color="auto"/>
              <w:left w:val="nil"/>
              <w:bottom w:val="nil"/>
              <w:right w:val="single" w:sz="4" w:space="0" w:color="auto"/>
            </w:tcBorders>
            <w:noWrap/>
            <w:vAlign w:val="bottom"/>
            <w:hideMark/>
          </w:tcPr>
          <w:p w14:paraId="678B7B99" w14:textId="77777777" w:rsidR="00677577" w:rsidRPr="005D02A7" w:rsidRDefault="00677577" w:rsidP="005D02A7">
            <w:pPr>
              <w:spacing w:after="0" w:line="240" w:lineRule="auto"/>
              <w:jc w:val="right"/>
              <w:rPr>
                <w:sz w:val="20"/>
                <w:szCs w:val="20"/>
              </w:rPr>
            </w:pPr>
            <w:r w:rsidRPr="005D02A7">
              <w:rPr>
                <w:sz w:val="20"/>
                <w:szCs w:val="20"/>
              </w:rPr>
              <w:t>43.2</w:t>
            </w:r>
          </w:p>
        </w:tc>
      </w:tr>
      <w:tr w:rsidR="00677577" w:rsidRPr="00236247" w14:paraId="4EBFDF69" w14:textId="77777777" w:rsidTr="00740A5C">
        <w:trPr>
          <w:trHeight w:val="20"/>
        </w:trPr>
        <w:tc>
          <w:tcPr>
            <w:tcW w:w="1379" w:type="dxa"/>
            <w:tcBorders>
              <w:top w:val="nil"/>
              <w:left w:val="single" w:sz="4" w:space="0" w:color="auto"/>
              <w:bottom w:val="nil"/>
              <w:right w:val="single" w:sz="4" w:space="0" w:color="auto"/>
            </w:tcBorders>
            <w:noWrap/>
            <w:vAlign w:val="bottom"/>
            <w:hideMark/>
          </w:tcPr>
          <w:p w14:paraId="530432E1" w14:textId="77777777" w:rsidR="00677577" w:rsidRPr="005D02A7" w:rsidRDefault="00677577">
            <w:pPr>
              <w:spacing w:after="0" w:line="240" w:lineRule="auto"/>
              <w:rPr>
                <w:sz w:val="20"/>
                <w:szCs w:val="20"/>
              </w:rPr>
            </w:pPr>
            <w:r w:rsidRPr="005D02A7">
              <w:rPr>
                <w:sz w:val="20"/>
                <w:szCs w:val="20"/>
              </w:rPr>
              <w:t>2009</w:t>
            </w:r>
            <w:r w:rsidRPr="005D02A7">
              <w:rPr>
                <w:rFonts w:ascii="Symbol" w:eastAsia="Symbol" w:hAnsi="Symbol" w:cs="Symbol"/>
                <w:sz w:val="20"/>
                <w:szCs w:val="20"/>
              </w:rPr>
              <w:sym w:font="Symbol" w:char="F02D"/>
            </w:r>
            <w:r w:rsidRPr="005D02A7">
              <w:rPr>
                <w:sz w:val="20"/>
                <w:szCs w:val="20"/>
              </w:rPr>
              <w:t>10</w:t>
            </w:r>
          </w:p>
        </w:tc>
        <w:tc>
          <w:tcPr>
            <w:tcW w:w="1589" w:type="dxa"/>
            <w:tcBorders>
              <w:top w:val="nil"/>
              <w:left w:val="single" w:sz="4" w:space="0" w:color="auto"/>
              <w:bottom w:val="nil"/>
              <w:right w:val="nil"/>
            </w:tcBorders>
            <w:noWrap/>
            <w:vAlign w:val="bottom"/>
            <w:hideMark/>
          </w:tcPr>
          <w:p w14:paraId="6320BB93" w14:textId="77777777" w:rsidR="00677577" w:rsidRPr="005D02A7" w:rsidRDefault="00677577" w:rsidP="005D02A7">
            <w:pPr>
              <w:spacing w:after="0" w:line="240" w:lineRule="auto"/>
              <w:jc w:val="right"/>
              <w:rPr>
                <w:sz w:val="20"/>
                <w:szCs w:val="20"/>
              </w:rPr>
            </w:pPr>
            <w:r w:rsidRPr="005D02A7">
              <w:rPr>
                <w:sz w:val="20"/>
                <w:szCs w:val="20"/>
              </w:rPr>
              <w:t>34.9</w:t>
            </w:r>
          </w:p>
        </w:tc>
        <w:tc>
          <w:tcPr>
            <w:tcW w:w="1402" w:type="dxa"/>
            <w:tcBorders>
              <w:top w:val="nil"/>
              <w:left w:val="nil"/>
              <w:bottom w:val="nil"/>
              <w:right w:val="nil"/>
            </w:tcBorders>
            <w:noWrap/>
            <w:vAlign w:val="bottom"/>
            <w:hideMark/>
          </w:tcPr>
          <w:p w14:paraId="79C8EE6F" w14:textId="77777777" w:rsidR="00677577" w:rsidRPr="005D02A7" w:rsidRDefault="00677577" w:rsidP="005D02A7">
            <w:pPr>
              <w:spacing w:after="0" w:line="240" w:lineRule="auto"/>
              <w:jc w:val="right"/>
              <w:rPr>
                <w:sz w:val="20"/>
                <w:szCs w:val="20"/>
              </w:rPr>
            </w:pPr>
            <w:r w:rsidRPr="005D02A7">
              <w:rPr>
                <w:sz w:val="20"/>
                <w:szCs w:val="20"/>
              </w:rPr>
              <w:t>36.7</w:t>
            </w:r>
          </w:p>
        </w:tc>
        <w:tc>
          <w:tcPr>
            <w:tcW w:w="1968" w:type="dxa"/>
            <w:tcBorders>
              <w:top w:val="nil"/>
              <w:left w:val="nil"/>
              <w:bottom w:val="nil"/>
              <w:right w:val="nil"/>
            </w:tcBorders>
            <w:noWrap/>
            <w:vAlign w:val="bottom"/>
            <w:hideMark/>
          </w:tcPr>
          <w:p w14:paraId="2C701814" w14:textId="77777777" w:rsidR="00677577" w:rsidRPr="005D02A7" w:rsidRDefault="00677577" w:rsidP="005D02A7">
            <w:pPr>
              <w:spacing w:after="0" w:line="240" w:lineRule="auto"/>
              <w:jc w:val="right"/>
              <w:rPr>
                <w:sz w:val="20"/>
                <w:szCs w:val="20"/>
              </w:rPr>
            </w:pPr>
            <w:r w:rsidRPr="005D02A7">
              <w:rPr>
                <w:sz w:val="20"/>
                <w:szCs w:val="20"/>
              </w:rPr>
              <w:t>5.1</w:t>
            </w:r>
          </w:p>
        </w:tc>
        <w:tc>
          <w:tcPr>
            <w:tcW w:w="1403" w:type="dxa"/>
            <w:tcBorders>
              <w:top w:val="nil"/>
              <w:left w:val="nil"/>
              <w:bottom w:val="nil"/>
              <w:right w:val="single" w:sz="4" w:space="0" w:color="auto"/>
            </w:tcBorders>
            <w:noWrap/>
            <w:vAlign w:val="bottom"/>
            <w:hideMark/>
          </w:tcPr>
          <w:p w14:paraId="63588590" w14:textId="77777777" w:rsidR="00677577" w:rsidRPr="005D02A7" w:rsidRDefault="00677577" w:rsidP="005D02A7">
            <w:pPr>
              <w:spacing w:after="0" w:line="240" w:lineRule="auto"/>
              <w:jc w:val="right"/>
              <w:rPr>
                <w:sz w:val="20"/>
                <w:szCs w:val="20"/>
              </w:rPr>
            </w:pPr>
            <w:r w:rsidRPr="005D02A7">
              <w:rPr>
                <w:sz w:val="20"/>
                <w:szCs w:val="20"/>
              </w:rPr>
              <w:t>23.4</w:t>
            </w:r>
          </w:p>
        </w:tc>
        <w:tc>
          <w:tcPr>
            <w:tcW w:w="1589" w:type="dxa"/>
            <w:tcBorders>
              <w:top w:val="nil"/>
              <w:left w:val="single" w:sz="4" w:space="0" w:color="auto"/>
              <w:bottom w:val="nil"/>
              <w:right w:val="nil"/>
            </w:tcBorders>
            <w:noWrap/>
            <w:vAlign w:val="bottom"/>
            <w:hideMark/>
          </w:tcPr>
          <w:p w14:paraId="5608DE65" w14:textId="77777777" w:rsidR="00677577" w:rsidRPr="005D02A7" w:rsidRDefault="00677577" w:rsidP="005D02A7">
            <w:pPr>
              <w:spacing w:after="0" w:line="240" w:lineRule="auto"/>
              <w:jc w:val="right"/>
              <w:rPr>
                <w:sz w:val="20"/>
                <w:szCs w:val="20"/>
              </w:rPr>
            </w:pPr>
            <w:r w:rsidRPr="005D02A7">
              <w:rPr>
                <w:sz w:val="20"/>
                <w:szCs w:val="20"/>
              </w:rPr>
              <w:t>21.5</w:t>
            </w:r>
          </w:p>
        </w:tc>
        <w:tc>
          <w:tcPr>
            <w:tcW w:w="1403" w:type="dxa"/>
            <w:tcBorders>
              <w:top w:val="nil"/>
              <w:left w:val="nil"/>
              <w:bottom w:val="nil"/>
              <w:right w:val="nil"/>
            </w:tcBorders>
            <w:noWrap/>
            <w:vAlign w:val="bottom"/>
            <w:hideMark/>
          </w:tcPr>
          <w:p w14:paraId="2D48B6EA" w14:textId="77777777" w:rsidR="00677577" w:rsidRPr="005D02A7" w:rsidRDefault="00677577" w:rsidP="005D02A7">
            <w:pPr>
              <w:spacing w:after="0" w:line="240" w:lineRule="auto"/>
              <w:jc w:val="right"/>
              <w:rPr>
                <w:sz w:val="20"/>
                <w:szCs w:val="20"/>
              </w:rPr>
            </w:pPr>
            <w:r w:rsidRPr="005D02A7">
              <w:rPr>
                <w:sz w:val="20"/>
                <w:szCs w:val="20"/>
              </w:rPr>
              <w:t>33.2</w:t>
            </w:r>
          </w:p>
        </w:tc>
        <w:tc>
          <w:tcPr>
            <w:tcW w:w="1967" w:type="dxa"/>
            <w:tcBorders>
              <w:top w:val="nil"/>
              <w:left w:val="nil"/>
              <w:bottom w:val="nil"/>
              <w:right w:val="nil"/>
            </w:tcBorders>
            <w:noWrap/>
            <w:vAlign w:val="bottom"/>
            <w:hideMark/>
          </w:tcPr>
          <w:p w14:paraId="599DE9E6" w14:textId="77777777" w:rsidR="00677577" w:rsidRPr="005D02A7" w:rsidRDefault="00677577" w:rsidP="005D02A7">
            <w:pPr>
              <w:spacing w:after="0" w:line="240" w:lineRule="auto"/>
              <w:jc w:val="right"/>
              <w:rPr>
                <w:sz w:val="20"/>
                <w:szCs w:val="20"/>
              </w:rPr>
            </w:pPr>
            <w:r w:rsidRPr="005D02A7">
              <w:rPr>
                <w:sz w:val="20"/>
                <w:szCs w:val="20"/>
              </w:rPr>
              <w:t>3.5</w:t>
            </w:r>
          </w:p>
        </w:tc>
        <w:tc>
          <w:tcPr>
            <w:tcW w:w="1403" w:type="dxa"/>
            <w:tcBorders>
              <w:top w:val="nil"/>
              <w:left w:val="nil"/>
              <w:bottom w:val="nil"/>
              <w:right w:val="single" w:sz="4" w:space="0" w:color="auto"/>
            </w:tcBorders>
            <w:noWrap/>
            <w:vAlign w:val="bottom"/>
            <w:hideMark/>
          </w:tcPr>
          <w:p w14:paraId="1A2313EB" w14:textId="77777777" w:rsidR="00677577" w:rsidRPr="005D02A7" w:rsidRDefault="00677577" w:rsidP="005D02A7">
            <w:pPr>
              <w:spacing w:after="0" w:line="240" w:lineRule="auto"/>
              <w:jc w:val="right"/>
              <w:rPr>
                <w:sz w:val="20"/>
                <w:szCs w:val="20"/>
              </w:rPr>
            </w:pPr>
            <w:r w:rsidRPr="005D02A7">
              <w:rPr>
                <w:sz w:val="20"/>
                <w:szCs w:val="20"/>
              </w:rPr>
              <w:t>41.8</w:t>
            </w:r>
          </w:p>
        </w:tc>
      </w:tr>
      <w:tr w:rsidR="00677577" w:rsidRPr="00236247" w14:paraId="2CA745F4" w14:textId="77777777" w:rsidTr="00740A5C">
        <w:trPr>
          <w:trHeight w:val="20"/>
        </w:trPr>
        <w:tc>
          <w:tcPr>
            <w:tcW w:w="1379" w:type="dxa"/>
            <w:tcBorders>
              <w:top w:val="nil"/>
              <w:left w:val="single" w:sz="4" w:space="0" w:color="auto"/>
              <w:bottom w:val="nil"/>
              <w:right w:val="single" w:sz="4" w:space="0" w:color="auto"/>
            </w:tcBorders>
            <w:noWrap/>
            <w:vAlign w:val="bottom"/>
            <w:hideMark/>
          </w:tcPr>
          <w:p w14:paraId="31EA8C19" w14:textId="77777777" w:rsidR="00677577" w:rsidRPr="005D02A7" w:rsidRDefault="00677577">
            <w:pPr>
              <w:spacing w:after="0" w:line="240" w:lineRule="auto"/>
              <w:rPr>
                <w:sz w:val="20"/>
                <w:szCs w:val="20"/>
              </w:rPr>
            </w:pPr>
            <w:r w:rsidRPr="005D02A7">
              <w:rPr>
                <w:sz w:val="20"/>
                <w:szCs w:val="20"/>
              </w:rPr>
              <w:t>2010</w:t>
            </w:r>
            <w:r w:rsidRPr="005D02A7">
              <w:rPr>
                <w:rFonts w:ascii="Symbol" w:eastAsia="Symbol" w:hAnsi="Symbol" w:cs="Symbol"/>
                <w:sz w:val="20"/>
                <w:szCs w:val="20"/>
              </w:rPr>
              <w:sym w:font="Symbol" w:char="F02D"/>
            </w:r>
            <w:r w:rsidRPr="005D02A7">
              <w:rPr>
                <w:sz w:val="20"/>
                <w:szCs w:val="20"/>
              </w:rPr>
              <w:t>11</w:t>
            </w:r>
          </w:p>
        </w:tc>
        <w:tc>
          <w:tcPr>
            <w:tcW w:w="1589" w:type="dxa"/>
            <w:tcBorders>
              <w:top w:val="nil"/>
              <w:left w:val="single" w:sz="4" w:space="0" w:color="auto"/>
              <w:bottom w:val="nil"/>
              <w:right w:val="nil"/>
            </w:tcBorders>
            <w:noWrap/>
            <w:vAlign w:val="bottom"/>
            <w:hideMark/>
          </w:tcPr>
          <w:p w14:paraId="0E0D6377" w14:textId="77777777" w:rsidR="00677577" w:rsidRPr="005D02A7" w:rsidRDefault="00677577" w:rsidP="005D02A7">
            <w:pPr>
              <w:spacing w:after="0" w:line="240" w:lineRule="auto"/>
              <w:jc w:val="right"/>
              <w:rPr>
                <w:sz w:val="20"/>
                <w:szCs w:val="20"/>
              </w:rPr>
            </w:pPr>
            <w:r w:rsidRPr="005D02A7">
              <w:rPr>
                <w:sz w:val="20"/>
                <w:szCs w:val="20"/>
              </w:rPr>
              <w:t>33.1</w:t>
            </w:r>
          </w:p>
        </w:tc>
        <w:tc>
          <w:tcPr>
            <w:tcW w:w="1402" w:type="dxa"/>
            <w:tcBorders>
              <w:top w:val="nil"/>
              <w:left w:val="nil"/>
              <w:bottom w:val="nil"/>
              <w:right w:val="nil"/>
            </w:tcBorders>
            <w:noWrap/>
            <w:vAlign w:val="bottom"/>
            <w:hideMark/>
          </w:tcPr>
          <w:p w14:paraId="32AD918A" w14:textId="77777777" w:rsidR="00677577" w:rsidRPr="005D02A7" w:rsidRDefault="00677577" w:rsidP="005D02A7">
            <w:pPr>
              <w:spacing w:after="0" w:line="240" w:lineRule="auto"/>
              <w:jc w:val="right"/>
              <w:rPr>
                <w:sz w:val="20"/>
                <w:szCs w:val="20"/>
              </w:rPr>
            </w:pPr>
            <w:r w:rsidRPr="005D02A7">
              <w:rPr>
                <w:sz w:val="20"/>
                <w:szCs w:val="20"/>
              </w:rPr>
              <w:t>36.4</w:t>
            </w:r>
          </w:p>
        </w:tc>
        <w:tc>
          <w:tcPr>
            <w:tcW w:w="1968" w:type="dxa"/>
            <w:tcBorders>
              <w:top w:val="nil"/>
              <w:left w:val="nil"/>
              <w:bottom w:val="nil"/>
              <w:right w:val="nil"/>
            </w:tcBorders>
            <w:noWrap/>
            <w:vAlign w:val="bottom"/>
            <w:hideMark/>
          </w:tcPr>
          <w:p w14:paraId="47B535A5" w14:textId="77777777" w:rsidR="00677577" w:rsidRPr="005D02A7" w:rsidRDefault="00677577" w:rsidP="005D02A7">
            <w:pPr>
              <w:spacing w:after="0" w:line="240" w:lineRule="auto"/>
              <w:jc w:val="right"/>
              <w:rPr>
                <w:sz w:val="20"/>
                <w:szCs w:val="20"/>
              </w:rPr>
            </w:pPr>
            <w:r w:rsidRPr="005D02A7">
              <w:rPr>
                <w:sz w:val="20"/>
                <w:szCs w:val="20"/>
              </w:rPr>
              <w:t>4.5</w:t>
            </w:r>
          </w:p>
        </w:tc>
        <w:tc>
          <w:tcPr>
            <w:tcW w:w="1403" w:type="dxa"/>
            <w:tcBorders>
              <w:top w:val="nil"/>
              <w:left w:val="nil"/>
              <w:bottom w:val="nil"/>
              <w:right w:val="single" w:sz="4" w:space="0" w:color="auto"/>
            </w:tcBorders>
            <w:noWrap/>
            <w:vAlign w:val="bottom"/>
            <w:hideMark/>
          </w:tcPr>
          <w:p w14:paraId="0DD7E4F8" w14:textId="77777777" w:rsidR="00677577" w:rsidRPr="005D02A7" w:rsidRDefault="00677577" w:rsidP="005D02A7">
            <w:pPr>
              <w:spacing w:after="0" w:line="240" w:lineRule="auto"/>
              <w:jc w:val="right"/>
              <w:rPr>
                <w:sz w:val="20"/>
                <w:szCs w:val="20"/>
              </w:rPr>
            </w:pPr>
            <w:r w:rsidRPr="005D02A7">
              <w:rPr>
                <w:sz w:val="20"/>
                <w:szCs w:val="20"/>
              </w:rPr>
              <w:t>26.0</w:t>
            </w:r>
          </w:p>
        </w:tc>
        <w:tc>
          <w:tcPr>
            <w:tcW w:w="1589" w:type="dxa"/>
            <w:tcBorders>
              <w:top w:val="nil"/>
              <w:left w:val="single" w:sz="4" w:space="0" w:color="auto"/>
              <w:bottom w:val="nil"/>
              <w:right w:val="nil"/>
            </w:tcBorders>
            <w:noWrap/>
            <w:vAlign w:val="bottom"/>
            <w:hideMark/>
          </w:tcPr>
          <w:p w14:paraId="2E77B265" w14:textId="77777777" w:rsidR="00677577" w:rsidRPr="005D02A7" w:rsidRDefault="00677577" w:rsidP="005D02A7">
            <w:pPr>
              <w:spacing w:after="0" w:line="240" w:lineRule="auto"/>
              <w:jc w:val="right"/>
              <w:rPr>
                <w:sz w:val="20"/>
                <w:szCs w:val="20"/>
              </w:rPr>
            </w:pPr>
            <w:r w:rsidRPr="005D02A7">
              <w:rPr>
                <w:sz w:val="20"/>
                <w:szCs w:val="20"/>
              </w:rPr>
              <w:t>23.1</w:t>
            </w:r>
          </w:p>
        </w:tc>
        <w:tc>
          <w:tcPr>
            <w:tcW w:w="1403" w:type="dxa"/>
            <w:tcBorders>
              <w:top w:val="nil"/>
              <w:left w:val="nil"/>
              <w:bottom w:val="nil"/>
              <w:right w:val="nil"/>
            </w:tcBorders>
            <w:noWrap/>
            <w:vAlign w:val="bottom"/>
            <w:hideMark/>
          </w:tcPr>
          <w:p w14:paraId="41039E4A" w14:textId="77777777" w:rsidR="00677577" w:rsidRPr="005D02A7" w:rsidRDefault="00677577" w:rsidP="005D02A7">
            <w:pPr>
              <w:spacing w:after="0" w:line="240" w:lineRule="auto"/>
              <w:jc w:val="right"/>
              <w:rPr>
                <w:sz w:val="20"/>
                <w:szCs w:val="20"/>
              </w:rPr>
            </w:pPr>
            <w:r w:rsidRPr="005D02A7">
              <w:rPr>
                <w:sz w:val="20"/>
                <w:szCs w:val="20"/>
              </w:rPr>
              <w:t>33.4</w:t>
            </w:r>
          </w:p>
        </w:tc>
        <w:tc>
          <w:tcPr>
            <w:tcW w:w="1967" w:type="dxa"/>
            <w:tcBorders>
              <w:top w:val="nil"/>
              <w:left w:val="nil"/>
              <w:bottom w:val="nil"/>
              <w:right w:val="nil"/>
            </w:tcBorders>
            <w:noWrap/>
            <w:vAlign w:val="bottom"/>
            <w:hideMark/>
          </w:tcPr>
          <w:p w14:paraId="42DC4F4E" w14:textId="77777777" w:rsidR="00677577" w:rsidRPr="005D02A7" w:rsidRDefault="00677577" w:rsidP="005D02A7">
            <w:pPr>
              <w:spacing w:after="0" w:line="240" w:lineRule="auto"/>
              <w:jc w:val="right"/>
              <w:rPr>
                <w:sz w:val="20"/>
                <w:szCs w:val="20"/>
              </w:rPr>
            </w:pPr>
            <w:r w:rsidRPr="005D02A7">
              <w:rPr>
                <w:sz w:val="20"/>
                <w:szCs w:val="20"/>
              </w:rPr>
              <w:t>2.4</w:t>
            </w:r>
          </w:p>
        </w:tc>
        <w:tc>
          <w:tcPr>
            <w:tcW w:w="1403" w:type="dxa"/>
            <w:tcBorders>
              <w:top w:val="nil"/>
              <w:left w:val="nil"/>
              <w:bottom w:val="nil"/>
              <w:right w:val="single" w:sz="4" w:space="0" w:color="auto"/>
            </w:tcBorders>
            <w:noWrap/>
            <w:vAlign w:val="bottom"/>
            <w:hideMark/>
          </w:tcPr>
          <w:p w14:paraId="18DB35AF" w14:textId="77777777" w:rsidR="00677577" w:rsidRPr="005D02A7" w:rsidRDefault="00677577" w:rsidP="005D02A7">
            <w:pPr>
              <w:spacing w:after="0" w:line="240" w:lineRule="auto"/>
              <w:jc w:val="right"/>
              <w:rPr>
                <w:sz w:val="20"/>
                <w:szCs w:val="20"/>
              </w:rPr>
            </w:pPr>
            <w:r w:rsidRPr="005D02A7">
              <w:rPr>
                <w:sz w:val="20"/>
                <w:szCs w:val="20"/>
              </w:rPr>
              <w:t>41.1</w:t>
            </w:r>
          </w:p>
        </w:tc>
      </w:tr>
      <w:tr w:rsidR="00677577" w:rsidRPr="00236247" w14:paraId="6A6BF3F0" w14:textId="77777777" w:rsidTr="00740A5C">
        <w:trPr>
          <w:trHeight w:val="20"/>
        </w:trPr>
        <w:tc>
          <w:tcPr>
            <w:tcW w:w="1379" w:type="dxa"/>
            <w:tcBorders>
              <w:top w:val="nil"/>
              <w:left w:val="single" w:sz="4" w:space="0" w:color="auto"/>
              <w:bottom w:val="nil"/>
              <w:right w:val="single" w:sz="4" w:space="0" w:color="auto"/>
            </w:tcBorders>
            <w:noWrap/>
            <w:vAlign w:val="bottom"/>
            <w:hideMark/>
          </w:tcPr>
          <w:p w14:paraId="28337124" w14:textId="77777777" w:rsidR="00677577" w:rsidRPr="005D02A7" w:rsidRDefault="00677577">
            <w:pPr>
              <w:spacing w:after="0" w:line="240" w:lineRule="auto"/>
              <w:rPr>
                <w:sz w:val="20"/>
                <w:szCs w:val="20"/>
              </w:rPr>
            </w:pPr>
            <w:r w:rsidRPr="005D02A7">
              <w:rPr>
                <w:sz w:val="20"/>
                <w:szCs w:val="20"/>
              </w:rPr>
              <w:t>2011</w:t>
            </w:r>
            <w:r w:rsidRPr="005D02A7">
              <w:rPr>
                <w:rFonts w:ascii="Symbol" w:eastAsia="Symbol" w:hAnsi="Symbol" w:cs="Symbol"/>
                <w:sz w:val="20"/>
                <w:szCs w:val="20"/>
              </w:rPr>
              <w:sym w:font="Symbol" w:char="F02D"/>
            </w:r>
            <w:r w:rsidRPr="005D02A7">
              <w:rPr>
                <w:sz w:val="20"/>
                <w:szCs w:val="20"/>
              </w:rPr>
              <w:t>12</w:t>
            </w:r>
          </w:p>
        </w:tc>
        <w:tc>
          <w:tcPr>
            <w:tcW w:w="1589" w:type="dxa"/>
            <w:tcBorders>
              <w:top w:val="nil"/>
              <w:left w:val="single" w:sz="4" w:space="0" w:color="auto"/>
              <w:bottom w:val="nil"/>
              <w:right w:val="nil"/>
            </w:tcBorders>
            <w:noWrap/>
            <w:vAlign w:val="bottom"/>
            <w:hideMark/>
          </w:tcPr>
          <w:p w14:paraId="58884134" w14:textId="77777777" w:rsidR="00677577" w:rsidRPr="005D02A7" w:rsidRDefault="00677577" w:rsidP="005D02A7">
            <w:pPr>
              <w:spacing w:after="0" w:line="240" w:lineRule="auto"/>
              <w:jc w:val="right"/>
              <w:rPr>
                <w:sz w:val="20"/>
                <w:szCs w:val="20"/>
              </w:rPr>
            </w:pPr>
            <w:r w:rsidRPr="005D02A7">
              <w:rPr>
                <w:sz w:val="20"/>
                <w:szCs w:val="20"/>
              </w:rPr>
              <w:t>32.3</w:t>
            </w:r>
          </w:p>
        </w:tc>
        <w:tc>
          <w:tcPr>
            <w:tcW w:w="1402" w:type="dxa"/>
            <w:tcBorders>
              <w:top w:val="nil"/>
              <w:left w:val="nil"/>
              <w:bottom w:val="nil"/>
              <w:right w:val="nil"/>
            </w:tcBorders>
            <w:noWrap/>
            <w:vAlign w:val="bottom"/>
            <w:hideMark/>
          </w:tcPr>
          <w:p w14:paraId="7E3A3A88" w14:textId="77777777" w:rsidR="00677577" w:rsidRPr="005D02A7" w:rsidRDefault="00677577" w:rsidP="005D02A7">
            <w:pPr>
              <w:spacing w:after="0" w:line="240" w:lineRule="auto"/>
              <w:jc w:val="right"/>
              <w:rPr>
                <w:sz w:val="20"/>
                <w:szCs w:val="20"/>
              </w:rPr>
            </w:pPr>
            <w:r w:rsidRPr="005D02A7">
              <w:rPr>
                <w:sz w:val="20"/>
                <w:szCs w:val="20"/>
              </w:rPr>
              <w:t>38.7</w:t>
            </w:r>
          </w:p>
        </w:tc>
        <w:tc>
          <w:tcPr>
            <w:tcW w:w="1968" w:type="dxa"/>
            <w:tcBorders>
              <w:top w:val="nil"/>
              <w:left w:val="nil"/>
              <w:bottom w:val="nil"/>
              <w:right w:val="nil"/>
            </w:tcBorders>
            <w:noWrap/>
            <w:vAlign w:val="bottom"/>
            <w:hideMark/>
          </w:tcPr>
          <w:p w14:paraId="1AE48106" w14:textId="77777777" w:rsidR="00677577" w:rsidRPr="005D02A7" w:rsidRDefault="00677577" w:rsidP="005D02A7">
            <w:pPr>
              <w:spacing w:after="0" w:line="240" w:lineRule="auto"/>
              <w:jc w:val="right"/>
              <w:rPr>
                <w:sz w:val="20"/>
                <w:szCs w:val="20"/>
              </w:rPr>
            </w:pPr>
            <w:r w:rsidRPr="005D02A7">
              <w:rPr>
                <w:sz w:val="20"/>
                <w:szCs w:val="20"/>
              </w:rPr>
              <w:t>6.0</w:t>
            </w:r>
          </w:p>
        </w:tc>
        <w:tc>
          <w:tcPr>
            <w:tcW w:w="1403" w:type="dxa"/>
            <w:tcBorders>
              <w:top w:val="nil"/>
              <w:left w:val="nil"/>
              <w:bottom w:val="nil"/>
              <w:right w:val="single" w:sz="4" w:space="0" w:color="auto"/>
            </w:tcBorders>
            <w:noWrap/>
            <w:vAlign w:val="bottom"/>
            <w:hideMark/>
          </w:tcPr>
          <w:p w14:paraId="4B368258" w14:textId="77777777" w:rsidR="00677577" w:rsidRPr="005D02A7" w:rsidRDefault="00677577" w:rsidP="005D02A7">
            <w:pPr>
              <w:spacing w:after="0" w:line="240" w:lineRule="auto"/>
              <w:jc w:val="right"/>
              <w:rPr>
                <w:sz w:val="20"/>
                <w:szCs w:val="20"/>
              </w:rPr>
            </w:pPr>
            <w:r w:rsidRPr="005D02A7">
              <w:rPr>
                <w:sz w:val="20"/>
                <w:szCs w:val="20"/>
              </w:rPr>
              <w:t>23.1</w:t>
            </w:r>
          </w:p>
        </w:tc>
        <w:tc>
          <w:tcPr>
            <w:tcW w:w="1589" w:type="dxa"/>
            <w:tcBorders>
              <w:top w:val="nil"/>
              <w:left w:val="single" w:sz="4" w:space="0" w:color="auto"/>
              <w:bottom w:val="nil"/>
              <w:right w:val="nil"/>
            </w:tcBorders>
            <w:noWrap/>
            <w:vAlign w:val="bottom"/>
            <w:hideMark/>
          </w:tcPr>
          <w:p w14:paraId="05334888" w14:textId="77777777" w:rsidR="00677577" w:rsidRPr="005D02A7" w:rsidRDefault="00677577" w:rsidP="005D02A7">
            <w:pPr>
              <w:spacing w:after="0" w:line="240" w:lineRule="auto"/>
              <w:jc w:val="right"/>
              <w:rPr>
                <w:sz w:val="20"/>
                <w:szCs w:val="20"/>
              </w:rPr>
            </w:pPr>
            <w:r w:rsidRPr="005D02A7">
              <w:rPr>
                <w:sz w:val="20"/>
                <w:szCs w:val="20"/>
              </w:rPr>
              <w:t>32.2</w:t>
            </w:r>
          </w:p>
        </w:tc>
        <w:tc>
          <w:tcPr>
            <w:tcW w:w="1403" w:type="dxa"/>
            <w:tcBorders>
              <w:top w:val="nil"/>
              <w:left w:val="nil"/>
              <w:bottom w:val="nil"/>
              <w:right w:val="nil"/>
            </w:tcBorders>
            <w:noWrap/>
            <w:vAlign w:val="bottom"/>
            <w:hideMark/>
          </w:tcPr>
          <w:p w14:paraId="1B7245BA" w14:textId="77777777" w:rsidR="00677577" w:rsidRPr="005D02A7" w:rsidRDefault="00677577" w:rsidP="005D02A7">
            <w:pPr>
              <w:spacing w:after="0" w:line="240" w:lineRule="auto"/>
              <w:jc w:val="right"/>
              <w:rPr>
                <w:sz w:val="20"/>
                <w:szCs w:val="20"/>
              </w:rPr>
            </w:pPr>
            <w:r w:rsidRPr="005D02A7">
              <w:rPr>
                <w:sz w:val="20"/>
                <w:szCs w:val="20"/>
              </w:rPr>
              <w:t>27.1</w:t>
            </w:r>
          </w:p>
        </w:tc>
        <w:tc>
          <w:tcPr>
            <w:tcW w:w="1967" w:type="dxa"/>
            <w:tcBorders>
              <w:top w:val="nil"/>
              <w:left w:val="nil"/>
              <w:bottom w:val="nil"/>
              <w:right w:val="nil"/>
            </w:tcBorders>
            <w:noWrap/>
            <w:vAlign w:val="bottom"/>
            <w:hideMark/>
          </w:tcPr>
          <w:p w14:paraId="09E9AC84" w14:textId="77777777" w:rsidR="00677577" w:rsidRPr="005D02A7" w:rsidRDefault="00677577" w:rsidP="005D02A7">
            <w:pPr>
              <w:spacing w:after="0" w:line="240" w:lineRule="auto"/>
              <w:jc w:val="right"/>
              <w:rPr>
                <w:sz w:val="20"/>
                <w:szCs w:val="20"/>
              </w:rPr>
            </w:pPr>
            <w:r w:rsidRPr="005D02A7">
              <w:rPr>
                <w:sz w:val="20"/>
                <w:szCs w:val="20"/>
              </w:rPr>
              <w:t>5.8</w:t>
            </w:r>
          </w:p>
        </w:tc>
        <w:tc>
          <w:tcPr>
            <w:tcW w:w="1403" w:type="dxa"/>
            <w:tcBorders>
              <w:top w:val="nil"/>
              <w:left w:val="nil"/>
              <w:bottom w:val="nil"/>
              <w:right w:val="single" w:sz="4" w:space="0" w:color="auto"/>
            </w:tcBorders>
            <w:noWrap/>
            <w:vAlign w:val="bottom"/>
            <w:hideMark/>
          </w:tcPr>
          <w:p w14:paraId="648C036A" w14:textId="77777777" w:rsidR="00677577" w:rsidRPr="005D02A7" w:rsidRDefault="00677577" w:rsidP="005D02A7">
            <w:pPr>
              <w:spacing w:after="0" w:line="240" w:lineRule="auto"/>
              <w:jc w:val="right"/>
              <w:rPr>
                <w:sz w:val="20"/>
                <w:szCs w:val="20"/>
              </w:rPr>
            </w:pPr>
            <w:r w:rsidRPr="005D02A7">
              <w:rPr>
                <w:sz w:val="20"/>
                <w:szCs w:val="20"/>
              </w:rPr>
              <w:t>34.9</w:t>
            </w:r>
          </w:p>
        </w:tc>
      </w:tr>
      <w:tr w:rsidR="00677577" w:rsidRPr="00236247" w14:paraId="1492B317" w14:textId="77777777" w:rsidTr="00740A5C">
        <w:trPr>
          <w:trHeight w:val="20"/>
        </w:trPr>
        <w:tc>
          <w:tcPr>
            <w:tcW w:w="1379" w:type="dxa"/>
            <w:tcBorders>
              <w:top w:val="nil"/>
              <w:left w:val="single" w:sz="4" w:space="0" w:color="auto"/>
              <w:bottom w:val="nil"/>
              <w:right w:val="single" w:sz="4" w:space="0" w:color="auto"/>
            </w:tcBorders>
            <w:noWrap/>
            <w:vAlign w:val="bottom"/>
            <w:hideMark/>
          </w:tcPr>
          <w:p w14:paraId="4A7A36BF" w14:textId="77777777" w:rsidR="00677577" w:rsidRPr="005D02A7" w:rsidRDefault="00677577">
            <w:pPr>
              <w:spacing w:after="0" w:line="240" w:lineRule="auto"/>
              <w:rPr>
                <w:sz w:val="20"/>
                <w:szCs w:val="20"/>
              </w:rPr>
            </w:pPr>
            <w:r w:rsidRPr="005D02A7">
              <w:rPr>
                <w:sz w:val="20"/>
                <w:szCs w:val="20"/>
              </w:rPr>
              <w:t>2012</w:t>
            </w:r>
            <w:r w:rsidRPr="005D02A7">
              <w:rPr>
                <w:rFonts w:ascii="Symbol" w:eastAsia="Symbol" w:hAnsi="Symbol" w:cs="Symbol"/>
                <w:sz w:val="20"/>
                <w:szCs w:val="20"/>
              </w:rPr>
              <w:sym w:font="Symbol" w:char="F02D"/>
            </w:r>
            <w:r w:rsidRPr="005D02A7">
              <w:rPr>
                <w:sz w:val="20"/>
                <w:szCs w:val="20"/>
              </w:rPr>
              <w:t>13</w:t>
            </w:r>
          </w:p>
        </w:tc>
        <w:tc>
          <w:tcPr>
            <w:tcW w:w="1589" w:type="dxa"/>
            <w:tcBorders>
              <w:top w:val="nil"/>
              <w:left w:val="single" w:sz="4" w:space="0" w:color="auto"/>
              <w:bottom w:val="nil"/>
              <w:right w:val="nil"/>
            </w:tcBorders>
            <w:noWrap/>
            <w:vAlign w:val="bottom"/>
            <w:hideMark/>
          </w:tcPr>
          <w:p w14:paraId="4D932131" w14:textId="77777777" w:rsidR="00677577" w:rsidRPr="005D02A7" w:rsidRDefault="00677577" w:rsidP="005D02A7">
            <w:pPr>
              <w:spacing w:after="0" w:line="240" w:lineRule="auto"/>
              <w:jc w:val="right"/>
              <w:rPr>
                <w:sz w:val="20"/>
                <w:szCs w:val="20"/>
              </w:rPr>
            </w:pPr>
            <w:r w:rsidRPr="005D02A7">
              <w:rPr>
                <w:sz w:val="20"/>
                <w:szCs w:val="20"/>
              </w:rPr>
              <w:t>33.8</w:t>
            </w:r>
          </w:p>
        </w:tc>
        <w:tc>
          <w:tcPr>
            <w:tcW w:w="1402" w:type="dxa"/>
            <w:tcBorders>
              <w:top w:val="nil"/>
              <w:left w:val="nil"/>
              <w:bottom w:val="nil"/>
              <w:right w:val="nil"/>
            </w:tcBorders>
            <w:noWrap/>
            <w:vAlign w:val="bottom"/>
            <w:hideMark/>
          </w:tcPr>
          <w:p w14:paraId="206D2C8B" w14:textId="77777777" w:rsidR="00677577" w:rsidRPr="005D02A7" w:rsidRDefault="00677577" w:rsidP="005D02A7">
            <w:pPr>
              <w:spacing w:after="0" w:line="240" w:lineRule="auto"/>
              <w:jc w:val="right"/>
              <w:rPr>
                <w:sz w:val="20"/>
                <w:szCs w:val="20"/>
              </w:rPr>
            </w:pPr>
            <w:r w:rsidRPr="005D02A7">
              <w:rPr>
                <w:sz w:val="20"/>
                <w:szCs w:val="20"/>
              </w:rPr>
              <w:t>35.8</w:t>
            </w:r>
          </w:p>
        </w:tc>
        <w:tc>
          <w:tcPr>
            <w:tcW w:w="1968" w:type="dxa"/>
            <w:tcBorders>
              <w:top w:val="nil"/>
              <w:left w:val="nil"/>
              <w:bottom w:val="nil"/>
              <w:right w:val="nil"/>
            </w:tcBorders>
            <w:noWrap/>
            <w:vAlign w:val="bottom"/>
            <w:hideMark/>
          </w:tcPr>
          <w:p w14:paraId="17529EE0" w14:textId="77777777" w:rsidR="00677577" w:rsidRPr="005D02A7" w:rsidRDefault="00677577" w:rsidP="005D02A7">
            <w:pPr>
              <w:spacing w:after="0" w:line="240" w:lineRule="auto"/>
              <w:jc w:val="right"/>
              <w:rPr>
                <w:sz w:val="20"/>
                <w:szCs w:val="20"/>
              </w:rPr>
            </w:pPr>
            <w:r w:rsidRPr="005D02A7">
              <w:rPr>
                <w:sz w:val="20"/>
                <w:szCs w:val="20"/>
              </w:rPr>
              <w:t>5.3</w:t>
            </w:r>
          </w:p>
        </w:tc>
        <w:tc>
          <w:tcPr>
            <w:tcW w:w="1403" w:type="dxa"/>
            <w:tcBorders>
              <w:top w:val="nil"/>
              <w:left w:val="nil"/>
              <w:bottom w:val="nil"/>
              <w:right w:val="single" w:sz="4" w:space="0" w:color="auto"/>
            </w:tcBorders>
            <w:noWrap/>
            <w:vAlign w:val="bottom"/>
            <w:hideMark/>
          </w:tcPr>
          <w:p w14:paraId="57A5AAB3" w14:textId="77777777" w:rsidR="00677577" w:rsidRPr="005D02A7" w:rsidRDefault="00677577" w:rsidP="005D02A7">
            <w:pPr>
              <w:spacing w:after="0" w:line="240" w:lineRule="auto"/>
              <w:jc w:val="right"/>
              <w:rPr>
                <w:sz w:val="20"/>
                <w:szCs w:val="20"/>
              </w:rPr>
            </w:pPr>
            <w:r w:rsidRPr="005D02A7">
              <w:rPr>
                <w:sz w:val="20"/>
                <w:szCs w:val="20"/>
              </w:rPr>
              <w:t>25.1</w:t>
            </w:r>
          </w:p>
        </w:tc>
        <w:tc>
          <w:tcPr>
            <w:tcW w:w="1589" w:type="dxa"/>
            <w:tcBorders>
              <w:top w:val="nil"/>
              <w:left w:val="single" w:sz="4" w:space="0" w:color="auto"/>
              <w:bottom w:val="nil"/>
              <w:right w:val="nil"/>
            </w:tcBorders>
            <w:noWrap/>
            <w:vAlign w:val="bottom"/>
            <w:hideMark/>
          </w:tcPr>
          <w:p w14:paraId="09927F21" w14:textId="77777777" w:rsidR="00677577" w:rsidRPr="005D02A7" w:rsidRDefault="00677577" w:rsidP="005D02A7">
            <w:pPr>
              <w:spacing w:after="0" w:line="240" w:lineRule="auto"/>
              <w:jc w:val="right"/>
              <w:rPr>
                <w:sz w:val="20"/>
                <w:szCs w:val="20"/>
              </w:rPr>
            </w:pPr>
            <w:r w:rsidRPr="005D02A7">
              <w:rPr>
                <w:sz w:val="20"/>
                <w:szCs w:val="20"/>
              </w:rPr>
              <w:t>34.8</w:t>
            </w:r>
          </w:p>
        </w:tc>
        <w:tc>
          <w:tcPr>
            <w:tcW w:w="1403" w:type="dxa"/>
            <w:tcBorders>
              <w:top w:val="nil"/>
              <w:left w:val="nil"/>
              <w:bottom w:val="nil"/>
              <w:right w:val="nil"/>
            </w:tcBorders>
            <w:noWrap/>
            <w:vAlign w:val="bottom"/>
            <w:hideMark/>
          </w:tcPr>
          <w:p w14:paraId="5423D041" w14:textId="77777777" w:rsidR="00677577" w:rsidRPr="005D02A7" w:rsidRDefault="00677577" w:rsidP="005D02A7">
            <w:pPr>
              <w:spacing w:after="0" w:line="240" w:lineRule="auto"/>
              <w:jc w:val="right"/>
              <w:rPr>
                <w:sz w:val="20"/>
                <w:szCs w:val="20"/>
              </w:rPr>
            </w:pPr>
            <w:r w:rsidRPr="005D02A7">
              <w:rPr>
                <w:sz w:val="20"/>
                <w:szCs w:val="20"/>
              </w:rPr>
              <w:t>26.8</w:t>
            </w:r>
          </w:p>
        </w:tc>
        <w:tc>
          <w:tcPr>
            <w:tcW w:w="1967" w:type="dxa"/>
            <w:tcBorders>
              <w:top w:val="nil"/>
              <w:left w:val="nil"/>
              <w:bottom w:val="nil"/>
              <w:right w:val="nil"/>
            </w:tcBorders>
            <w:noWrap/>
            <w:vAlign w:val="bottom"/>
            <w:hideMark/>
          </w:tcPr>
          <w:p w14:paraId="7CF94173" w14:textId="77777777" w:rsidR="00677577" w:rsidRPr="005D02A7" w:rsidRDefault="00677577" w:rsidP="005D02A7">
            <w:pPr>
              <w:spacing w:after="0" w:line="240" w:lineRule="auto"/>
              <w:jc w:val="right"/>
              <w:rPr>
                <w:sz w:val="20"/>
                <w:szCs w:val="20"/>
              </w:rPr>
            </w:pPr>
            <w:r w:rsidRPr="005D02A7">
              <w:rPr>
                <w:sz w:val="20"/>
                <w:szCs w:val="20"/>
              </w:rPr>
              <w:t>5.4</w:t>
            </w:r>
          </w:p>
        </w:tc>
        <w:tc>
          <w:tcPr>
            <w:tcW w:w="1403" w:type="dxa"/>
            <w:tcBorders>
              <w:top w:val="nil"/>
              <w:left w:val="nil"/>
              <w:bottom w:val="nil"/>
              <w:right w:val="single" w:sz="4" w:space="0" w:color="auto"/>
            </w:tcBorders>
            <w:noWrap/>
            <w:vAlign w:val="bottom"/>
            <w:hideMark/>
          </w:tcPr>
          <w:p w14:paraId="0150D1F1" w14:textId="77777777" w:rsidR="00677577" w:rsidRPr="005D02A7" w:rsidRDefault="00677577" w:rsidP="005D02A7">
            <w:pPr>
              <w:spacing w:after="0" w:line="240" w:lineRule="auto"/>
              <w:jc w:val="right"/>
              <w:rPr>
                <w:sz w:val="20"/>
                <w:szCs w:val="20"/>
              </w:rPr>
            </w:pPr>
            <w:r w:rsidRPr="005D02A7">
              <w:rPr>
                <w:sz w:val="20"/>
                <w:szCs w:val="20"/>
              </w:rPr>
              <w:t>33.0</w:t>
            </w:r>
          </w:p>
        </w:tc>
      </w:tr>
      <w:tr w:rsidR="00677577" w:rsidRPr="00236247" w14:paraId="5AB50CA5" w14:textId="77777777" w:rsidTr="00740A5C">
        <w:trPr>
          <w:trHeight w:val="20"/>
        </w:trPr>
        <w:tc>
          <w:tcPr>
            <w:tcW w:w="1379" w:type="dxa"/>
            <w:tcBorders>
              <w:top w:val="nil"/>
              <w:left w:val="single" w:sz="4" w:space="0" w:color="auto"/>
              <w:bottom w:val="nil"/>
              <w:right w:val="single" w:sz="4" w:space="0" w:color="auto"/>
            </w:tcBorders>
            <w:noWrap/>
            <w:vAlign w:val="bottom"/>
            <w:hideMark/>
          </w:tcPr>
          <w:p w14:paraId="5AED3719" w14:textId="77777777" w:rsidR="00677577" w:rsidRPr="005D02A7" w:rsidRDefault="00677577">
            <w:pPr>
              <w:spacing w:after="0" w:line="240" w:lineRule="auto"/>
              <w:rPr>
                <w:sz w:val="20"/>
                <w:szCs w:val="20"/>
              </w:rPr>
            </w:pPr>
            <w:r w:rsidRPr="005D02A7">
              <w:rPr>
                <w:sz w:val="20"/>
                <w:szCs w:val="20"/>
              </w:rPr>
              <w:t>2013</w:t>
            </w:r>
            <w:r w:rsidRPr="005D02A7">
              <w:rPr>
                <w:rFonts w:ascii="Symbol" w:eastAsia="Symbol" w:hAnsi="Symbol" w:cs="Symbol"/>
                <w:sz w:val="20"/>
                <w:szCs w:val="20"/>
              </w:rPr>
              <w:sym w:font="Symbol" w:char="F02D"/>
            </w:r>
            <w:r w:rsidRPr="005D02A7">
              <w:rPr>
                <w:sz w:val="20"/>
                <w:szCs w:val="20"/>
              </w:rPr>
              <w:t>14</w:t>
            </w:r>
          </w:p>
        </w:tc>
        <w:tc>
          <w:tcPr>
            <w:tcW w:w="1589" w:type="dxa"/>
            <w:tcBorders>
              <w:top w:val="nil"/>
              <w:left w:val="single" w:sz="4" w:space="0" w:color="auto"/>
              <w:bottom w:val="nil"/>
              <w:right w:val="nil"/>
            </w:tcBorders>
            <w:noWrap/>
            <w:vAlign w:val="bottom"/>
            <w:hideMark/>
          </w:tcPr>
          <w:p w14:paraId="596792D5" w14:textId="77777777" w:rsidR="00677577" w:rsidRPr="005D02A7" w:rsidRDefault="00677577" w:rsidP="005D02A7">
            <w:pPr>
              <w:spacing w:after="0" w:line="240" w:lineRule="auto"/>
              <w:jc w:val="right"/>
              <w:rPr>
                <w:sz w:val="20"/>
                <w:szCs w:val="20"/>
              </w:rPr>
            </w:pPr>
            <w:r w:rsidRPr="005D02A7">
              <w:rPr>
                <w:sz w:val="20"/>
                <w:szCs w:val="20"/>
              </w:rPr>
              <w:t>31.5</w:t>
            </w:r>
          </w:p>
        </w:tc>
        <w:tc>
          <w:tcPr>
            <w:tcW w:w="1402" w:type="dxa"/>
            <w:tcBorders>
              <w:top w:val="nil"/>
              <w:left w:val="nil"/>
              <w:bottom w:val="nil"/>
              <w:right w:val="nil"/>
            </w:tcBorders>
            <w:noWrap/>
            <w:vAlign w:val="bottom"/>
            <w:hideMark/>
          </w:tcPr>
          <w:p w14:paraId="7578E851" w14:textId="77777777" w:rsidR="00677577" w:rsidRPr="005D02A7" w:rsidRDefault="00677577" w:rsidP="005D02A7">
            <w:pPr>
              <w:spacing w:after="0" w:line="240" w:lineRule="auto"/>
              <w:jc w:val="right"/>
              <w:rPr>
                <w:sz w:val="20"/>
                <w:szCs w:val="20"/>
              </w:rPr>
            </w:pPr>
            <w:r w:rsidRPr="005D02A7">
              <w:rPr>
                <w:sz w:val="20"/>
                <w:szCs w:val="20"/>
              </w:rPr>
              <w:t>40.9</w:t>
            </w:r>
          </w:p>
        </w:tc>
        <w:tc>
          <w:tcPr>
            <w:tcW w:w="1968" w:type="dxa"/>
            <w:tcBorders>
              <w:top w:val="nil"/>
              <w:left w:val="nil"/>
              <w:bottom w:val="nil"/>
              <w:right w:val="nil"/>
            </w:tcBorders>
            <w:noWrap/>
            <w:vAlign w:val="bottom"/>
            <w:hideMark/>
          </w:tcPr>
          <w:p w14:paraId="3A755DB1" w14:textId="77777777" w:rsidR="00677577" w:rsidRPr="005D02A7" w:rsidRDefault="00677577" w:rsidP="005D02A7">
            <w:pPr>
              <w:spacing w:after="0" w:line="240" w:lineRule="auto"/>
              <w:jc w:val="right"/>
              <w:rPr>
                <w:sz w:val="20"/>
                <w:szCs w:val="20"/>
              </w:rPr>
            </w:pPr>
            <w:r w:rsidRPr="005D02A7">
              <w:rPr>
                <w:sz w:val="20"/>
                <w:szCs w:val="20"/>
              </w:rPr>
              <w:t>4.5</w:t>
            </w:r>
          </w:p>
        </w:tc>
        <w:tc>
          <w:tcPr>
            <w:tcW w:w="1403" w:type="dxa"/>
            <w:tcBorders>
              <w:top w:val="nil"/>
              <w:left w:val="nil"/>
              <w:bottom w:val="nil"/>
              <w:right w:val="single" w:sz="4" w:space="0" w:color="auto"/>
            </w:tcBorders>
            <w:noWrap/>
            <w:vAlign w:val="bottom"/>
            <w:hideMark/>
          </w:tcPr>
          <w:p w14:paraId="4398294A" w14:textId="77777777" w:rsidR="00677577" w:rsidRPr="005D02A7" w:rsidRDefault="00677577" w:rsidP="005D02A7">
            <w:pPr>
              <w:spacing w:after="0" w:line="240" w:lineRule="auto"/>
              <w:jc w:val="right"/>
              <w:rPr>
                <w:sz w:val="20"/>
                <w:szCs w:val="20"/>
              </w:rPr>
            </w:pPr>
            <w:r w:rsidRPr="005D02A7">
              <w:rPr>
                <w:sz w:val="20"/>
                <w:szCs w:val="20"/>
              </w:rPr>
              <w:t>23.2</w:t>
            </w:r>
          </w:p>
        </w:tc>
        <w:tc>
          <w:tcPr>
            <w:tcW w:w="1589" w:type="dxa"/>
            <w:tcBorders>
              <w:top w:val="nil"/>
              <w:left w:val="single" w:sz="4" w:space="0" w:color="auto"/>
              <w:bottom w:val="nil"/>
              <w:right w:val="nil"/>
            </w:tcBorders>
            <w:noWrap/>
            <w:vAlign w:val="bottom"/>
            <w:hideMark/>
          </w:tcPr>
          <w:p w14:paraId="3F74DB7E" w14:textId="77777777" w:rsidR="00677577" w:rsidRPr="005D02A7" w:rsidRDefault="00677577" w:rsidP="005D02A7">
            <w:pPr>
              <w:spacing w:after="0" w:line="240" w:lineRule="auto"/>
              <w:jc w:val="right"/>
              <w:rPr>
                <w:sz w:val="20"/>
                <w:szCs w:val="20"/>
              </w:rPr>
            </w:pPr>
            <w:r w:rsidRPr="005D02A7">
              <w:rPr>
                <w:sz w:val="20"/>
                <w:szCs w:val="20"/>
              </w:rPr>
              <w:t>30.2</w:t>
            </w:r>
          </w:p>
        </w:tc>
        <w:tc>
          <w:tcPr>
            <w:tcW w:w="1403" w:type="dxa"/>
            <w:tcBorders>
              <w:top w:val="nil"/>
              <w:left w:val="nil"/>
              <w:bottom w:val="nil"/>
              <w:right w:val="nil"/>
            </w:tcBorders>
            <w:noWrap/>
            <w:vAlign w:val="bottom"/>
            <w:hideMark/>
          </w:tcPr>
          <w:p w14:paraId="011541ED" w14:textId="77777777" w:rsidR="00677577" w:rsidRPr="005D02A7" w:rsidRDefault="00677577" w:rsidP="005D02A7">
            <w:pPr>
              <w:spacing w:after="0" w:line="240" w:lineRule="auto"/>
              <w:jc w:val="right"/>
              <w:rPr>
                <w:sz w:val="20"/>
                <w:szCs w:val="20"/>
              </w:rPr>
            </w:pPr>
            <w:r w:rsidRPr="005D02A7">
              <w:rPr>
                <w:sz w:val="20"/>
                <w:szCs w:val="20"/>
              </w:rPr>
              <w:t>35.3</w:t>
            </w:r>
          </w:p>
        </w:tc>
        <w:tc>
          <w:tcPr>
            <w:tcW w:w="1967" w:type="dxa"/>
            <w:tcBorders>
              <w:top w:val="nil"/>
              <w:left w:val="nil"/>
              <w:bottom w:val="nil"/>
              <w:right w:val="nil"/>
            </w:tcBorders>
            <w:noWrap/>
            <w:vAlign w:val="bottom"/>
            <w:hideMark/>
          </w:tcPr>
          <w:p w14:paraId="278EC9B6" w14:textId="77777777" w:rsidR="00677577" w:rsidRPr="005D02A7" w:rsidRDefault="00677577" w:rsidP="005D02A7">
            <w:pPr>
              <w:spacing w:after="0" w:line="240" w:lineRule="auto"/>
              <w:jc w:val="right"/>
              <w:rPr>
                <w:sz w:val="20"/>
                <w:szCs w:val="20"/>
              </w:rPr>
            </w:pPr>
            <w:r w:rsidRPr="005D02A7">
              <w:rPr>
                <w:sz w:val="20"/>
                <w:szCs w:val="20"/>
              </w:rPr>
              <w:t>4.3</w:t>
            </w:r>
          </w:p>
        </w:tc>
        <w:tc>
          <w:tcPr>
            <w:tcW w:w="1403" w:type="dxa"/>
            <w:tcBorders>
              <w:top w:val="nil"/>
              <w:left w:val="nil"/>
              <w:bottom w:val="nil"/>
              <w:right w:val="single" w:sz="4" w:space="0" w:color="auto"/>
            </w:tcBorders>
            <w:noWrap/>
            <w:vAlign w:val="bottom"/>
            <w:hideMark/>
          </w:tcPr>
          <w:p w14:paraId="2BDD0FD4" w14:textId="77777777" w:rsidR="00677577" w:rsidRPr="005D02A7" w:rsidRDefault="00677577" w:rsidP="005D02A7">
            <w:pPr>
              <w:spacing w:after="0" w:line="240" w:lineRule="auto"/>
              <w:jc w:val="right"/>
              <w:rPr>
                <w:sz w:val="20"/>
                <w:szCs w:val="20"/>
              </w:rPr>
            </w:pPr>
            <w:r w:rsidRPr="005D02A7">
              <w:rPr>
                <w:sz w:val="20"/>
                <w:szCs w:val="20"/>
              </w:rPr>
              <w:t>30.2</w:t>
            </w:r>
          </w:p>
        </w:tc>
      </w:tr>
      <w:tr w:rsidR="00677577" w:rsidRPr="00236247" w14:paraId="7FA047A1" w14:textId="77777777" w:rsidTr="00740A5C">
        <w:trPr>
          <w:trHeight w:val="20"/>
        </w:trPr>
        <w:tc>
          <w:tcPr>
            <w:tcW w:w="1379" w:type="dxa"/>
            <w:tcBorders>
              <w:top w:val="nil"/>
              <w:left w:val="single" w:sz="4" w:space="0" w:color="auto"/>
              <w:bottom w:val="nil"/>
              <w:right w:val="single" w:sz="4" w:space="0" w:color="auto"/>
            </w:tcBorders>
            <w:noWrap/>
            <w:vAlign w:val="bottom"/>
            <w:hideMark/>
          </w:tcPr>
          <w:p w14:paraId="6EB30937" w14:textId="77777777" w:rsidR="00677577" w:rsidRPr="005D02A7" w:rsidRDefault="00677577">
            <w:pPr>
              <w:spacing w:after="0" w:line="240" w:lineRule="auto"/>
              <w:rPr>
                <w:sz w:val="20"/>
                <w:szCs w:val="20"/>
              </w:rPr>
            </w:pPr>
            <w:r w:rsidRPr="005D02A7">
              <w:rPr>
                <w:sz w:val="20"/>
                <w:szCs w:val="20"/>
              </w:rPr>
              <w:t>2014</w:t>
            </w:r>
            <w:r w:rsidRPr="005D02A7">
              <w:rPr>
                <w:rFonts w:ascii="Symbol" w:eastAsia="Symbol" w:hAnsi="Symbol" w:cs="Symbol"/>
                <w:sz w:val="20"/>
                <w:szCs w:val="20"/>
              </w:rPr>
              <w:sym w:font="Symbol" w:char="F02D"/>
            </w:r>
            <w:r w:rsidRPr="005D02A7">
              <w:rPr>
                <w:sz w:val="20"/>
                <w:szCs w:val="20"/>
              </w:rPr>
              <w:t>15</w:t>
            </w:r>
          </w:p>
        </w:tc>
        <w:tc>
          <w:tcPr>
            <w:tcW w:w="1589" w:type="dxa"/>
            <w:tcBorders>
              <w:top w:val="nil"/>
              <w:left w:val="single" w:sz="4" w:space="0" w:color="auto"/>
              <w:bottom w:val="nil"/>
              <w:right w:val="nil"/>
            </w:tcBorders>
            <w:noWrap/>
            <w:vAlign w:val="bottom"/>
            <w:hideMark/>
          </w:tcPr>
          <w:p w14:paraId="65758175" w14:textId="77777777" w:rsidR="00677577" w:rsidRPr="005D02A7" w:rsidRDefault="00677577" w:rsidP="005D02A7">
            <w:pPr>
              <w:spacing w:after="0" w:line="240" w:lineRule="auto"/>
              <w:jc w:val="right"/>
              <w:rPr>
                <w:sz w:val="20"/>
                <w:szCs w:val="20"/>
              </w:rPr>
            </w:pPr>
            <w:r w:rsidRPr="005D02A7">
              <w:rPr>
                <w:sz w:val="20"/>
                <w:szCs w:val="20"/>
              </w:rPr>
              <w:t>30.9</w:t>
            </w:r>
          </w:p>
        </w:tc>
        <w:tc>
          <w:tcPr>
            <w:tcW w:w="1402" w:type="dxa"/>
            <w:tcBorders>
              <w:top w:val="nil"/>
              <w:left w:val="nil"/>
              <w:bottom w:val="nil"/>
              <w:right w:val="nil"/>
            </w:tcBorders>
            <w:noWrap/>
            <w:vAlign w:val="bottom"/>
            <w:hideMark/>
          </w:tcPr>
          <w:p w14:paraId="67F456B8" w14:textId="77777777" w:rsidR="00677577" w:rsidRPr="005D02A7" w:rsidRDefault="00677577" w:rsidP="005D02A7">
            <w:pPr>
              <w:spacing w:after="0" w:line="240" w:lineRule="auto"/>
              <w:jc w:val="right"/>
              <w:rPr>
                <w:sz w:val="20"/>
                <w:szCs w:val="20"/>
              </w:rPr>
            </w:pPr>
            <w:r w:rsidRPr="005D02A7">
              <w:rPr>
                <w:sz w:val="20"/>
                <w:szCs w:val="20"/>
              </w:rPr>
              <w:t>45.8</w:t>
            </w:r>
          </w:p>
        </w:tc>
        <w:tc>
          <w:tcPr>
            <w:tcW w:w="1968" w:type="dxa"/>
            <w:tcBorders>
              <w:top w:val="nil"/>
              <w:left w:val="nil"/>
              <w:bottom w:val="nil"/>
              <w:right w:val="nil"/>
            </w:tcBorders>
            <w:noWrap/>
            <w:vAlign w:val="bottom"/>
            <w:hideMark/>
          </w:tcPr>
          <w:p w14:paraId="23AFBC4B" w14:textId="77777777" w:rsidR="00677577" w:rsidRPr="005D02A7" w:rsidRDefault="00677577" w:rsidP="005D02A7">
            <w:pPr>
              <w:spacing w:after="0" w:line="240" w:lineRule="auto"/>
              <w:jc w:val="right"/>
              <w:rPr>
                <w:sz w:val="20"/>
                <w:szCs w:val="20"/>
              </w:rPr>
            </w:pPr>
            <w:r w:rsidRPr="005D02A7">
              <w:rPr>
                <w:sz w:val="20"/>
                <w:szCs w:val="20"/>
              </w:rPr>
              <w:t>4.8</w:t>
            </w:r>
          </w:p>
        </w:tc>
        <w:tc>
          <w:tcPr>
            <w:tcW w:w="1403" w:type="dxa"/>
            <w:tcBorders>
              <w:top w:val="nil"/>
              <w:left w:val="nil"/>
              <w:bottom w:val="nil"/>
              <w:right w:val="single" w:sz="4" w:space="0" w:color="auto"/>
            </w:tcBorders>
            <w:noWrap/>
            <w:vAlign w:val="bottom"/>
            <w:hideMark/>
          </w:tcPr>
          <w:p w14:paraId="27D74EDB" w14:textId="77777777" w:rsidR="00677577" w:rsidRPr="005D02A7" w:rsidRDefault="00677577" w:rsidP="005D02A7">
            <w:pPr>
              <w:spacing w:after="0" w:line="240" w:lineRule="auto"/>
              <w:jc w:val="right"/>
              <w:rPr>
                <w:sz w:val="20"/>
                <w:szCs w:val="20"/>
              </w:rPr>
            </w:pPr>
            <w:r w:rsidRPr="005D02A7">
              <w:rPr>
                <w:sz w:val="20"/>
                <w:szCs w:val="20"/>
              </w:rPr>
              <w:t>18.4</w:t>
            </w:r>
          </w:p>
        </w:tc>
        <w:tc>
          <w:tcPr>
            <w:tcW w:w="1589" w:type="dxa"/>
            <w:tcBorders>
              <w:top w:val="nil"/>
              <w:left w:val="single" w:sz="4" w:space="0" w:color="auto"/>
              <w:bottom w:val="nil"/>
              <w:right w:val="nil"/>
            </w:tcBorders>
            <w:noWrap/>
            <w:vAlign w:val="bottom"/>
            <w:hideMark/>
          </w:tcPr>
          <w:p w14:paraId="09F8F796" w14:textId="77777777" w:rsidR="00677577" w:rsidRPr="005D02A7" w:rsidRDefault="00677577" w:rsidP="005D02A7">
            <w:pPr>
              <w:spacing w:after="0" w:line="240" w:lineRule="auto"/>
              <w:jc w:val="right"/>
              <w:rPr>
                <w:sz w:val="20"/>
                <w:szCs w:val="20"/>
              </w:rPr>
            </w:pPr>
            <w:r w:rsidRPr="005D02A7">
              <w:rPr>
                <w:sz w:val="20"/>
                <w:szCs w:val="20"/>
              </w:rPr>
              <w:t>27.7</w:t>
            </w:r>
          </w:p>
        </w:tc>
        <w:tc>
          <w:tcPr>
            <w:tcW w:w="1403" w:type="dxa"/>
            <w:tcBorders>
              <w:top w:val="nil"/>
              <w:left w:val="nil"/>
              <w:bottom w:val="nil"/>
              <w:right w:val="nil"/>
            </w:tcBorders>
            <w:noWrap/>
            <w:vAlign w:val="bottom"/>
            <w:hideMark/>
          </w:tcPr>
          <w:p w14:paraId="2F3EE8AB" w14:textId="77777777" w:rsidR="00677577" w:rsidRPr="005D02A7" w:rsidRDefault="00677577" w:rsidP="005D02A7">
            <w:pPr>
              <w:spacing w:after="0" w:line="240" w:lineRule="auto"/>
              <w:jc w:val="right"/>
              <w:rPr>
                <w:sz w:val="20"/>
                <w:szCs w:val="20"/>
              </w:rPr>
            </w:pPr>
            <w:r w:rsidRPr="005D02A7">
              <w:rPr>
                <w:sz w:val="20"/>
                <w:szCs w:val="20"/>
              </w:rPr>
              <w:t>37.0</w:t>
            </w:r>
          </w:p>
        </w:tc>
        <w:tc>
          <w:tcPr>
            <w:tcW w:w="1967" w:type="dxa"/>
            <w:tcBorders>
              <w:top w:val="nil"/>
              <w:left w:val="nil"/>
              <w:bottom w:val="nil"/>
              <w:right w:val="nil"/>
            </w:tcBorders>
            <w:noWrap/>
            <w:vAlign w:val="bottom"/>
            <w:hideMark/>
          </w:tcPr>
          <w:p w14:paraId="1B70C449" w14:textId="77777777" w:rsidR="00677577" w:rsidRPr="005D02A7" w:rsidRDefault="00677577" w:rsidP="005D02A7">
            <w:pPr>
              <w:spacing w:after="0" w:line="240" w:lineRule="auto"/>
              <w:jc w:val="right"/>
              <w:rPr>
                <w:sz w:val="20"/>
                <w:szCs w:val="20"/>
              </w:rPr>
            </w:pPr>
            <w:r w:rsidRPr="005D02A7">
              <w:rPr>
                <w:sz w:val="20"/>
                <w:szCs w:val="20"/>
              </w:rPr>
              <w:t>4.9</w:t>
            </w:r>
          </w:p>
        </w:tc>
        <w:tc>
          <w:tcPr>
            <w:tcW w:w="1403" w:type="dxa"/>
            <w:tcBorders>
              <w:top w:val="nil"/>
              <w:left w:val="nil"/>
              <w:bottom w:val="nil"/>
              <w:right w:val="single" w:sz="4" w:space="0" w:color="auto"/>
            </w:tcBorders>
            <w:noWrap/>
            <w:vAlign w:val="bottom"/>
            <w:hideMark/>
          </w:tcPr>
          <w:p w14:paraId="5026E807" w14:textId="77777777" w:rsidR="00677577" w:rsidRPr="005D02A7" w:rsidRDefault="00677577" w:rsidP="005D02A7">
            <w:pPr>
              <w:spacing w:after="0" w:line="240" w:lineRule="auto"/>
              <w:jc w:val="right"/>
              <w:rPr>
                <w:sz w:val="20"/>
                <w:szCs w:val="20"/>
              </w:rPr>
            </w:pPr>
            <w:r w:rsidRPr="005D02A7">
              <w:rPr>
                <w:sz w:val="20"/>
                <w:szCs w:val="20"/>
              </w:rPr>
              <w:t>30.3</w:t>
            </w:r>
          </w:p>
        </w:tc>
      </w:tr>
      <w:tr w:rsidR="00677577" w:rsidRPr="00236247" w14:paraId="02ABE85D" w14:textId="77777777" w:rsidTr="00740A5C">
        <w:trPr>
          <w:trHeight w:val="20"/>
        </w:trPr>
        <w:tc>
          <w:tcPr>
            <w:tcW w:w="1379" w:type="dxa"/>
            <w:tcBorders>
              <w:top w:val="nil"/>
              <w:left w:val="single" w:sz="4" w:space="0" w:color="auto"/>
              <w:bottom w:val="nil"/>
              <w:right w:val="single" w:sz="4" w:space="0" w:color="auto"/>
            </w:tcBorders>
            <w:noWrap/>
            <w:vAlign w:val="bottom"/>
            <w:hideMark/>
          </w:tcPr>
          <w:p w14:paraId="42E8EBB1" w14:textId="77777777" w:rsidR="00677577" w:rsidRPr="005D02A7" w:rsidRDefault="00677577">
            <w:pPr>
              <w:spacing w:after="0" w:line="240" w:lineRule="auto"/>
              <w:rPr>
                <w:sz w:val="20"/>
                <w:szCs w:val="20"/>
              </w:rPr>
            </w:pPr>
            <w:r w:rsidRPr="005D02A7">
              <w:rPr>
                <w:sz w:val="20"/>
                <w:szCs w:val="20"/>
              </w:rPr>
              <w:t>2015</w:t>
            </w:r>
            <w:r w:rsidRPr="005D02A7">
              <w:rPr>
                <w:rFonts w:ascii="Symbol" w:eastAsia="Symbol" w:hAnsi="Symbol" w:cs="Symbol"/>
                <w:sz w:val="20"/>
                <w:szCs w:val="20"/>
              </w:rPr>
              <w:sym w:font="Symbol" w:char="F02D"/>
            </w:r>
            <w:r w:rsidRPr="005D02A7">
              <w:rPr>
                <w:sz w:val="20"/>
                <w:szCs w:val="20"/>
              </w:rPr>
              <w:t>16</w:t>
            </w:r>
          </w:p>
        </w:tc>
        <w:tc>
          <w:tcPr>
            <w:tcW w:w="1589" w:type="dxa"/>
            <w:tcBorders>
              <w:top w:val="nil"/>
              <w:left w:val="single" w:sz="4" w:space="0" w:color="auto"/>
              <w:bottom w:val="nil"/>
              <w:right w:val="nil"/>
            </w:tcBorders>
            <w:noWrap/>
            <w:vAlign w:val="bottom"/>
            <w:hideMark/>
          </w:tcPr>
          <w:p w14:paraId="7CA6B70B" w14:textId="77777777" w:rsidR="00677577" w:rsidRPr="005D02A7" w:rsidRDefault="00677577" w:rsidP="005D02A7">
            <w:pPr>
              <w:spacing w:after="0" w:line="240" w:lineRule="auto"/>
              <w:jc w:val="right"/>
              <w:rPr>
                <w:sz w:val="20"/>
                <w:szCs w:val="20"/>
              </w:rPr>
            </w:pPr>
            <w:r w:rsidRPr="005D02A7">
              <w:rPr>
                <w:sz w:val="20"/>
                <w:szCs w:val="20"/>
              </w:rPr>
              <w:t>35.8</w:t>
            </w:r>
          </w:p>
        </w:tc>
        <w:tc>
          <w:tcPr>
            <w:tcW w:w="1402" w:type="dxa"/>
            <w:tcBorders>
              <w:top w:val="nil"/>
              <w:left w:val="nil"/>
              <w:bottom w:val="nil"/>
              <w:right w:val="nil"/>
            </w:tcBorders>
            <w:noWrap/>
            <w:vAlign w:val="bottom"/>
            <w:hideMark/>
          </w:tcPr>
          <w:p w14:paraId="22C927B8" w14:textId="77777777" w:rsidR="00677577" w:rsidRPr="005D02A7" w:rsidRDefault="00677577" w:rsidP="005D02A7">
            <w:pPr>
              <w:spacing w:after="0" w:line="240" w:lineRule="auto"/>
              <w:jc w:val="right"/>
              <w:rPr>
                <w:sz w:val="20"/>
                <w:szCs w:val="20"/>
              </w:rPr>
            </w:pPr>
            <w:r w:rsidRPr="005D02A7">
              <w:rPr>
                <w:sz w:val="20"/>
                <w:szCs w:val="20"/>
              </w:rPr>
              <w:t>40.1</w:t>
            </w:r>
          </w:p>
        </w:tc>
        <w:tc>
          <w:tcPr>
            <w:tcW w:w="1968" w:type="dxa"/>
            <w:tcBorders>
              <w:top w:val="nil"/>
              <w:left w:val="nil"/>
              <w:bottom w:val="nil"/>
              <w:right w:val="nil"/>
            </w:tcBorders>
            <w:noWrap/>
            <w:vAlign w:val="bottom"/>
            <w:hideMark/>
          </w:tcPr>
          <w:p w14:paraId="1A05881A" w14:textId="77777777" w:rsidR="00677577" w:rsidRPr="005D02A7" w:rsidRDefault="00677577" w:rsidP="005D02A7">
            <w:pPr>
              <w:spacing w:after="0" w:line="240" w:lineRule="auto"/>
              <w:jc w:val="right"/>
              <w:rPr>
                <w:sz w:val="20"/>
                <w:szCs w:val="20"/>
              </w:rPr>
            </w:pPr>
            <w:r w:rsidRPr="005D02A7">
              <w:rPr>
                <w:sz w:val="20"/>
                <w:szCs w:val="20"/>
              </w:rPr>
              <w:t>5.4</w:t>
            </w:r>
          </w:p>
        </w:tc>
        <w:tc>
          <w:tcPr>
            <w:tcW w:w="1403" w:type="dxa"/>
            <w:tcBorders>
              <w:top w:val="nil"/>
              <w:left w:val="nil"/>
              <w:bottom w:val="nil"/>
              <w:right w:val="single" w:sz="4" w:space="0" w:color="auto"/>
            </w:tcBorders>
            <w:noWrap/>
            <w:vAlign w:val="bottom"/>
            <w:hideMark/>
          </w:tcPr>
          <w:p w14:paraId="61430125" w14:textId="77777777" w:rsidR="00677577" w:rsidRPr="005D02A7" w:rsidRDefault="00677577" w:rsidP="005D02A7">
            <w:pPr>
              <w:spacing w:after="0" w:line="240" w:lineRule="auto"/>
              <w:jc w:val="right"/>
              <w:rPr>
                <w:sz w:val="20"/>
                <w:szCs w:val="20"/>
              </w:rPr>
            </w:pPr>
            <w:r w:rsidRPr="005D02A7">
              <w:rPr>
                <w:sz w:val="20"/>
                <w:szCs w:val="20"/>
              </w:rPr>
              <w:t>18.7</w:t>
            </w:r>
          </w:p>
        </w:tc>
        <w:tc>
          <w:tcPr>
            <w:tcW w:w="1589" w:type="dxa"/>
            <w:tcBorders>
              <w:top w:val="nil"/>
              <w:left w:val="single" w:sz="4" w:space="0" w:color="auto"/>
              <w:bottom w:val="nil"/>
              <w:right w:val="nil"/>
            </w:tcBorders>
            <w:noWrap/>
            <w:vAlign w:val="bottom"/>
            <w:hideMark/>
          </w:tcPr>
          <w:p w14:paraId="628FCF04" w14:textId="77777777" w:rsidR="00677577" w:rsidRPr="005D02A7" w:rsidRDefault="00677577" w:rsidP="005D02A7">
            <w:pPr>
              <w:spacing w:after="0" w:line="240" w:lineRule="auto"/>
              <w:jc w:val="right"/>
              <w:rPr>
                <w:sz w:val="20"/>
                <w:szCs w:val="20"/>
              </w:rPr>
            </w:pPr>
            <w:r w:rsidRPr="005D02A7">
              <w:rPr>
                <w:sz w:val="20"/>
                <w:szCs w:val="20"/>
              </w:rPr>
              <w:t>31.2</w:t>
            </w:r>
          </w:p>
        </w:tc>
        <w:tc>
          <w:tcPr>
            <w:tcW w:w="1403" w:type="dxa"/>
            <w:tcBorders>
              <w:top w:val="nil"/>
              <w:left w:val="nil"/>
              <w:bottom w:val="nil"/>
              <w:right w:val="nil"/>
            </w:tcBorders>
            <w:noWrap/>
            <w:vAlign w:val="bottom"/>
            <w:hideMark/>
          </w:tcPr>
          <w:p w14:paraId="4205BFD8" w14:textId="77777777" w:rsidR="00677577" w:rsidRPr="005D02A7" w:rsidRDefault="00677577" w:rsidP="005D02A7">
            <w:pPr>
              <w:spacing w:after="0" w:line="240" w:lineRule="auto"/>
              <w:jc w:val="right"/>
              <w:rPr>
                <w:sz w:val="20"/>
                <w:szCs w:val="20"/>
              </w:rPr>
            </w:pPr>
            <w:r w:rsidRPr="005D02A7">
              <w:rPr>
                <w:sz w:val="20"/>
                <w:szCs w:val="20"/>
              </w:rPr>
              <w:t>32.3</w:t>
            </w:r>
          </w:p>
        </w:tc>
        <w:tc>
          <w:tcPr>
            <w:tcW w:w="1967" w:type="dxa"/>
            <w:tcBorders>
              <w:top w:val="nil"/>
              <w:left w:val="nil"/>
              <w:bottom w:val="nil"/>
              <w:right w:val="nil"/>
            </w:tcBorders>
            <w:noWrap/>
            <w:vAlign w:val="bottom"/>
            <w:hideMark/>
          </w:tcPr>
          <w:p w14:paraId="719D90D1" w14:textId="77777777" w:rsidR="00677577" w:rsidRPr="005D02A7" w:rsidRDefault="00677577" w:rsidP="005D02A7">
            <w:pPr>
              <w:spacing w:after="0" w:line="240" w:lineRule="auto"/>
              <w:jc w:val="right"/>
              <w:rPr>
                <w:sz w:val="20"/>
                <w:szCs w:val="20"/>
              </w:rPr>
            </w:pPr>
            <w:r w:rsidRPr="005D02A7">
              <w:rPr>
                <w:sz w:val="20"/>
                <w:szCs w:val="20"/>
              </w:rPr>
              <w:t>3.4</w:t>
            </w:r>
          </w:p>
        </w:tc>
        <w:tc>
          <w:tcPr>
            <w:tcW w:w="1403" w:type="dxa"/>
            <w:tcBorders>
              <w:top w:val="nil"/>
              <w:left w:val="nil"/>
              <w:bottom w:val="nil"/>
              <w:right w:val="single" w:sz="4" w:space="0" w:color="auto"/>
            </w:tcBorders>
            <w:noWrap/>
            <w:vAlign w:val="bottom"/>
            <w:hideMark/>
          </w:tcPr>
          <w:p w14:paraId="44C9897A" w14:textId="77777777" w:rsidR="00677577" w:rsidRPr="005D02A7" w:rsidRDefault="00677577" w:rsidP="005D02A7">
            <w:pPr>
              <w:spacing w:after="0" w:line="240" w:lineRule="auto"/>
              <w:jc w:val="right"/>
              <w:rPr>
                <w:sz w:val="20"/>
                <w:szCs w:val="20"/>
              </w:rPr>
            </w:pPr>
            <w:r w:rsidRPr="005D02A7">
              <w:rPr>
                <w:sz w:val="20"/>
                <w:szCs w:val="20"/>
              </w:rPr>
              <w:t>33.1</w:t>
            </w:r>
          </w:p>
        </w:tc>
      </w:tr>
      <w:tr w:rsidR="00677577" w:rsidRPr="00236247" w14:paraId="6D08F1D4" w14:textId="77777777" w:rsidTr="00740A5C">
        <w:trPr>
          <w:trHeight w:val="20"/>
        </w:trPr>
        <w:tc>
          <w:tcPr>
            <w:tcW w:w="1379" w:type="dxa"/>
            <w:tcBorders>
              <w:top w:val="nil"/>
              <w:left w:val="single" w:sz="4" w:space="0" w:color="auto"/>
              <w:bottom w:val="nil"/>
              <w:right w:val="single" w:sz="4" w:space="0" w:color="auto"/>
            </w:tcBorders>
            <w:noWrap/>
            <w:vAlign w:val="bottom"/>
            <w:hideMark/>
          </w:tcPr>
          <w:p w14:paraId="17FDDF80" w14:textId="77777777" w:rsidR="00677577" w:rsidRPr="005D02A7" w:rsidRDefault="00677577">
            <w:pPr>
              <w:spacing w:after="0" w:line="240" w:lineRule="auto"/>
              <w:rPr>
                <w:sz w:val="20"/>
                <w:szCs w:val="20"/>
              </w:rPr>
            </w:pPr>
            <w:r w:rsidRPr="005D02A7">
              <w:rPr>
                <w:sz w:val="20"/>
                <w:szCs w:val="20"/>
              </w:rPr>
              <w:t>2016</w:t>
            </w:r>
            <w:r w:rsidRPr="005D02A7">
              <w:rPr>
                <w:rFonts w:ascii="Symbol" w:eastAsia="Symbol" w:hAnsi="Symbol" w:cs="Symbol"/>
                <w:sz w:val="20"/>
                <w:szCs w:val="20"/>
              </w:rPr>
              <w:sym w:font="Symbol" w:char="F02D"/>
            </w:r>
            <w:r w:rsidRPr="005D02A7">
              <w:rPr>
                <w:sz w:val="20"/>
                <w:szCs w:val="20"/>
              </w:rPr>
              <w:t>17</w:t>
            </w:r>
          </w:p>
        </w:tc>
        <w:tc>
          <w:tcPr>
            <w:tcW w:w="1589" w:type="dxa"/>
            <w:tcBorders>
              <w:top w:val="nil"/>
              <w:left w:val="single" w:sz="4" w:space="0" w:color="auto"/>
              <w:bottom w:val="nil"/>
              <w:right w:val="nil"/>
            </w:tcBorders>
            <w:noWrap/>
            <w:vAlign w:val="bottom"/>
            <w:hideMark/>
          </w:tcPr>
          <w:p w14:paraId="0173EF53" w14:textId="77777777" w:rsidR="00677577" w:rsidRPr="005D02A7" w:rsidRDefault="00677577" w:rsidP="005D02A7">
            <w:pPr>
              <w:spacing w:after="0" w:line="240" w:lineRule="auto"/>
              <w:jc w:val="right"/>
              <w:rPr>
                <w:sz w:val="20"/>
                <w:szCs w:val="20"/>
              </w:rPr>
            </w:pPr>
            <w:r w:rsidRPr="005D02A7">
              <w:rPr>
                <w:sz w:val="20"/>
                <w:szCs w:val="20"/>
              </w:rPr>
              <w:t>36.8</w:t>
            </w:r>
          </w:p>
        </w:tc>
        <w:tc>
          <w:tcPr>
            <w:tcW w:w="1402" w:type="dxa"/>
            <w:tcBorders>
              <w:top w:val="nil"/>
              <w:left w:val="nil"/>
              <w:bottom w:val="nil"/>
              <w:right w:val="nil"/>
            </w:tcBorders>
            <w:noWrap/>
            <w:vAlign w:val="bottom"/>
            <w:hideMark/>
          </w:tcPr>
          <w:p w14:paraId="57B0E1A6" w14:textId="77777777" w:rsidR="00677577" w:rsidRPr="005D02A7" w:rsidRDefault="00677577" w:rsidP="005D02A7">
            <w:pPr>
              <w:spacing w:after="0" w:line="240" w:lineRule="auto"/>
              <w:jc w:val="right"/>
              <w:rPr>
                <w:sz w:val="20"/>
                <w:szCs w:val="20"/>
              </w:rPr>
            </w:pPr>
            <w:r w:rsidRPr="005D02A7">
              <w:rPr>
                <w:sz w:val="20"/>
                <w:szCs w:val="20"/>
              </w:rPr>
              <w:t>39.2</w:t>
            </w:r>
          </w:p>
        </w:tc>
        <w:tc>
          <w:tcPr>
            <w:tcW w:w="1968" w:type="dxa"/>
            <w:tcBorders>
              <w:top w:val="nil"/>
              <w:left w:val="nil"/>
              <w:bottom w:val="nil"/>
              <w:right w:val="nil"/>
            </w:tcBorders>
            <w:noWrap/>
            <w:vAlign w:val="bottom"/>
            <w:hideMark/>
          </w:tcPr>
          <w:p w14:paraId="37CD7460" w14:textId="77777777" w:rsidR="00677577" w:rsidRPr="005D02A7" w:rsidRDefault="00677577" w:rsidP="005D02A7">
            <w:pPr>
              <w:spacing w:after="0" w:line="240" w:lineRule="auto"/>
              <w:jc w:val="right"/>
              <w:rPr>
                <w:sz w:val="20"/>
                <w:szCs w:val="20"/>
              </w:rPr>
            </w:pPr>
            <w:r w:rsidRPr="005D02A7">
              <w:rPr>
                <w:sz w:val="20"/>
                <w:szCs w:val="20"/>
              </w:rPr>
              <w:t>4.9</w:t>
            </w:r>
          </w:p>
        </w:tc>
        <w:tc>
          <w:tcPr>
            <w:tcW w:w="1403" w:type="dxa"/>
            <w:tcBorders>
              <w:top w:val="nil"/>
              <w:left w:val="nil"/>
              <w:bottom w:val="nil"/>
              <w:right w:val="single" w:sz="4" w:space="0" w:color="auto"/>
            </w:tcBorders>
            <w:noWrap/>
            <w:vAlign w:val="bottom"/>
            <w:hideMark/>
          </w:tcPr>
          <w:p w14:paraId="5FF6485C" w14:textId="77777777" w:rsidR="00677577" w:rsidRPr="005D02A7" w:rsidRDefault="00677577" w:rsidP="005D02A7">
            <w:pPr>
              <w:spacing w:after="0" w:line="240" w:lineRule="auto"/>
              <w:jc w:val="right"/>
              <w:rPr>
                <w:sz w:val="20"/>
                <w:szCs w:val="20"/>
              </w:rPr>
            </w:pPr>
            <w:r w:rsidRPr="005D02A7">
              <w:rPr>
                <w:sz w:val="20"/>
                <w:szCs w:val="20"/>
              </w:rPr>
              <w:t>19.1</w:t>
            </w:r>
          </w:p>
        </w:tc>
        <w:tc>
          <w:tcPr>
            <w:tcW w:w="1589" w:type="dxa"/>
            <w:tcBorders>
              <w:top w:val="nil"/>
              <w:left w:val="single" w:sz="4" w:space="0" w:color="auto"/>
              <w:bottom w:val="nil"/>
              <w:right w:val="nil"/>
            </w:tcBorders>
            <w:noWrap/>
            <w:vAlign w:val="bottom"/>
            <w:hideMark/>
          </w:tcPr>
          <w:p w14:paraId="0642E830" w14:textId="77777777" w:rsidR="00677577" w:rsidRPr="005D02A7" w:rsidRDefault="00677577" w:rsidP="005D02A7">
            <w:pPr>
              <w:spacing w:after="0" w:line="240" w:lineRule="auto"/>
              <w:jc w:val="right"/>
              <w:rPr>
                <w:sz w:val="20"/>
                <w:szCs w:val="20"/>
              </w:rPr>
            </w:pPr>
            <w:r w:rsidRPr="005D02A7">
              <w:rPr>
                <w:sz w:val="20"/>
                <w:szCs w:val="20"/>
              </w:rPr>
              <w:t>35.1</w:t>
            </w:r>
          </w:p>
        </w:tc>
        <w:tc>
          <w:tcPr>
            <w:tcW w:w="1403" w:type="dxa"/>
            <w:tcBorders>
              <w:top w:val="nil"/>
              <w:left w:val="nil"/>
              <w:bottom w:val="nil"/>
              <w:right w:val="nil"/>
            </w:tcBorders>
            <w:noWrap/>
            <w:vAlign w:val="bottom"/>
            <w:hideMark/>
          </w:tcPr>
          <w:p w14:paraId="4FD22917" w14:textId="77777777" w:rsidR="00677577" w:rsidRPr="005D02A7" w:rsidRDefault="00677577" w:rsidP="005D02A7">
            <w:pPr>
              <w:spacing w:after="0" w:line="240" w:lineRule="auto"/>
              <w:jc w:val="right"/>
              <w:rPr>
                <w:sz w:val="20"/>
                <w:szCs w:val="20"/>
              </w:rPr>
            </w:pPr>
            <w:r w:rsidRPr="005D02A7">
              <w:rPr>
                <w:sz w:val="20"/>
                <w:szCs w:val="20"/>
              </w:rPr>
              <w:t>32.8</w:t>
            </w:r>
          </w:p>
        </w:tc>
        <w:tc>
          <w:tcPr>
            <w:tcW w:w="1967" w:type="dxa"/>
            <w:tcBorders>
              <w:top w:val="nil"/>
              <w:left w:val="nil"/>
              <w:bottom w:val="nil"/>
              <w:right w:val="nil"/>
            </w:tcBorders>
            <w:noWrap/>
            <w:vAlign w:val="bottom"/>
            <w:hideMark/>
          </w:tcPr>
          <w:p w14:paraId="4C7F4546" w14:textId="77777777" w:rsidR="00677577" w:rsidRPr="005D02A7" w:rsidRDefault="00677577" w:rsidP="005D02A7">
            <w:pPr>
              <w:spacing w:after="0" w:line="240" w:lineRule="auto"/>
              <w:jc w:val="right"/>
              <w:rPr>
                <w:sz w:val="20"/>
                <w:szCs w:val="20"/>
              </w:rPr>
            </w:pPr>
            <w:r w:rsidRPr="005D02A7">
              <w:rPr>
                <w:sz w:val="20"/>
                <w:szCs w:val="20"/>
              </w:rPr>
              <w:t>1.9</w:t>
            </w:r>
          </w:p>
        </w:tc>
        <w:tc>
          <w:tcPr>
            <w:tcW w:w="1403" w:type="dxa"/>
            <w:tcBorders>
              <w:top w:val="nil"/>
              <w:left w:val="nil"/>
              <w:bottom w:val="nil"/>
              <w:right w:val="single" w:sz="4" w:space="0" w:color="auto"/>
            </w:tcBorders>
            <w:noWrap/>
            <w:vAlign w:val="bottom"/>
            <w:hideMark/>
          </w:tcPr>
          <w:p w14:paraId="49917A2D" w14:textId="77777777" w:rsidR="00677577" w:rsidRPr="005D02A7" w:rsidRDefault="00677577" w:rsidP="005D02A7">
            <w:pPr>
              <w:spacing w:after="0" w:line="240" w:lineRule="auto"/>
              <w:jc w:val="right"/>
              <w:rPr>
                <w:sz w:val="20"/>
                <w:szCs w:val="20"/>
              </w:rPr>
            </w:pPr>
            <w:r w:rsidRPr="005D02A7">
              <w:rPr>
                <w:sz w:val="20"/>
                <w:szCs w:val="20"/>
              </w:rPr>
              <w:t>30.2</w:t>
            </w:r>
          </w:p>
        </w:tc>
      </w:tr>
      <w:tr w:rsidR="00677577" w:rsidRPr="00236247" w14:paraId="068C5F28" w14:textId="77777777" w:rsidTr="00740A5C">
        <w:trPr>
          <w:trHeight w:val="20"/>
        </w:trPr>
        <w:tc>
          <w:tcPr>
            <w:tcW w:w="1379" w:type="dxa"/>
            <w:tcBorders>
              <w:top w:val="nil"/>
              <w:left w:val="single" w:sz="4" w:space="0" w:color="auto"/>
              <w:bottom w:val="nil"/>
              <w:right w:val="single" w:sz="4" w:space="0" w:color="auto"/>
            </w:tcBorders>
            <w:noWrap/>
            <w:vAlign w:val="bottom"/>
            <w:hideMark/>
          </w:tcPr>
          <w:p w14:paraId="0B3237EC" w14:textId="77777777" w:rsidR="00677577" w:rsidRPr="005D02A7" w:rsidRDefault="00677577">
            <w:pPr>
              <w:spacing w:after="0" w:line="240" w:lineRule="auto"/>
              <w:rPr>
                <w:sz w:val="20"/>
                <w:szCs w:val="20"/>
              </w:rPr>
            </w:pPr>
            <w:r w:rsidRPr="005D02A7">
              <w:rPr>
                <w:sz w:val="20"/>
                <w:szCs w:val="20"/>
              </w:rPr>
              <w:t>2017</w:t>
            </w:r>
            <w:r w:rsidRPr="005D02A7">
              <w:rPr>
                <w:rFonts w:ascii="Symbol" w:eastAsia="Symbol" w:hAnsi="Symbol" w:cs="Symbol"/>
                <w:sz w:val="20"/>
                <w:szCs w:val="20"/>
              </w:rPr>
              <w:sym w:font="Symbol" w:char="F02D"/>
            </w:r>
            <w:r w:rsidRPr="005D02A7">
              <w:rPr>
                <w:sz w:val="20"/>
                <w:szCs w:val="20"/>
              </w:rPr>
              <w:t>18</w:t>
            </w:r>
          </w:p>
        </w:tc>
        <w:tc>
          <w:tcPr>
            <w:tcW w:w="1589" w:type="dxa"/>
            <w:tcBorders>
              <w:top w:val="nil"/>
              <w:left w:val="single" w:sz="4" w:space="0" w:color="auto"/>
              <w:bottom w:val="nil"/>
              <w:right w:val="nil"/>
            </w:tcBorders>
            <w:noWrap/>
            <w:vAlign w:val="bottom"/>
            <w:hideMark/>
          </w:tcPr>
          <w:p w14:paraId="20980D69" w14:textId="77777777" w:rsidR="00677577" w:rsidRPr="005D02A7" w:rsidRDefault="00677577" w:rsidP="005D02A7">
            <w:pPr>
              <w:spacing w:after="0" w:line="240" w:lineRule="auto"/>
              <w:jc w:val="right"/>
              <w:rPr>
                <w:sz w:val="20"/>
                <w:szCs w:val="20"/>
              </w:rPr>
            </w:pPr>
            <w:r w:rsidRPr="005D02A7">
              <w:rPr>
                <w:sz w:val="20"/>
                <w:szCs w:val="20"/>
              </w:rPr>
              <w:t>33.8</w:t>
            </w:r>
          </w:p>
        </w:tc>
        <w:tc>
          <w:tcPr>
            <w:tcW w:w="1402" w:type="dxa"/>
            <w:tcBorders>
              <w:top w:val="nil"/>
              <w:left w:val="nil"/>
              <w:bottom w:val="nil"/>
              <w:right w:val="nil"/>
            </w:tcBorders>
            <w:noWrap/>
            <w:vAlign w:val="bottom"/>
            <w:hideMark/>
          </w:tcPr>
          <w:p w14:paraId="04474339" w14:textId="77777777" w:rsidR="00677577" w:rsidRPr="005D02A7" w:rsidRDefault="00677577" w:rsidP="005D02A7">
            <w:pPr>
              <w:spacing w:after="0" w:line="240" w:lineRule="auto"/>
              <w:jc w:val="right"/>
              <w:rPr>
                <w:sz w:val="20"/>
                <w:szCs w:val="20"/>
              </w:rPr>
            </w:pPr>
            <w:r w:rsidRPr="005D02A7">
              <w:rPr>
                <w:sz w:val="20"/>
                <w:szCs w:val="20"/>
              </w:rPr>
              <w:t>40.0</w:t>
            </w:r>
          </w:p>
        </w:tc>
        <w:tc>
          <w:tcPr>
            <w:tcW w:w="1968" w:type="dxa"/>
            <w:tcBorders>
              <w:top w:val="nil"/>
              <w:left w:val="nil"/>
              <w:bottom w:val="nil"/>
              <w:right w:val="nil"/>
            </w:tcBorders>
            <w:noWrap/>
            <w:vAlign w:val="bottom"/>
            <w:hideMark/>
          </w:tcPr>
          <w:p w14:paraId="3CEA9F86" w14:textId="77777777" w:rsidR="00677577" w:rsidRPr="005D02A7" w:rsidRDefault="00677577" w:rsidP="005D02A7">
            <w:pPr>
              <w:spacing w:after="0" w:line="240" w:lineRule="auto"/>
              <w:jc w:val="right"/>
              <w:rPr>
                <w:sz w:val="20"/>
                <w:szCs w:val="20"/>
              </w:rPr>
            </w:pPr>
            <w:r w:rsidRPr="005D02A7">
              <w:rPr>
                <w:sz w:val="20"/>
                <w:szCs w:val="20"/>
              </w:rPr>
              <w:t>5.5</w:t>
            </w:r>
          </w:p>
        </w:tc>
        <w:tc>
          <w:tcPr>
            <w:tcW w:w="1403" w:type="dxa"/>
            <w:tcBorders>
              <w:top w:val="nil"/>
              <w:left w:val="nil"/>
              <w:bottom w:val="nil"/>
              <w:right w:val="single" w:sz="4" w:space="0" w:color="auto"/>
            </w:tcBorders>
            <w:noWrap/>
            <w:vAlign w:val="bottom"/>
            <w:hideMark/>
          </w:tcPr>
          <w:p w14:paraId="0FF6ABE7" w14:textId="77777777" w:rsidR="00677577" w:rsidRPr="005D02A7" w:rsidRDefault="00677577" w:rsidP="005D02A7">
            <w:pPr>
              <w:spacing w:after="0" w:line="240" w:lineRule="auto"/>
              <w:jc w:val="right"/>
              <w:rPr>
                <w:sz w:val="20"/>
                <w:szCs w:val="20"/>
              </w:rPr>
            </w:pPr>
            <w:r w:rsidRPr="005D02A7">
              <w:rPr>
                <w:sz w:val="20"/>
                <w:szCs w:val="20"/>
              </w:rPr>
              <w:t>20.8</w:t>
            </w:r>
          </w:p>
        </w:tc>
        <w:tc>
          <w:tcPr>
            <w:tcW w:w="1589" w:type="dxa"/>
            <w:tcBorders>
              <w:top w:val="nil"/>
              <w:left w:val="single" w:sz="4" w:space="0" w:color="auto"/>
              <w:bottom w:val="nil"/>
              <w:right w:val="nil"/>
            </w:tcBorders>
            <w:noWrap/>
            <w:vAlign w:val="bottom"/>
            <w:hideMark/>
          </w:tcPr>
          <w:p w14:paraId="052D76B1" w14:textId="77777777" w:rsidR="00677577" w:rsidRPr="005D02A7" w:rsidRDefault="00677577" w:rsidP="005D02A7">
            <w:pPr>
              <w:spacing w:after="0" w:line="240" w:lineRule="auto"/>
              <w:jc w:val="right"/>
              <w:rPr>
                <w:sz w:val="20"/>
                <w:szCs w:val="20"/>
              </w:rPr>
            </w:pPr>
            <w:r w:rsidRPr="005D02A7">
              <w:rPr>
                <w:sz w:val="20"/>
                <w:szCs w:val="20"/>
              </w:rPr>
              <w:t>30.4</w:t>
            </w:r>
          </w:p>
        </w:tc>
        <w:tc>
          <w:tcPr>
            <w:tcW w:w="1403" w:type="dxa"/>
            <w:tcBorders>
              <w:top w:val="nil"/>
              <w:left w:val="nil"/>
              <w:bottom w:val="nil"/>
              <w:right w:val="nil"/>
            </w:tcBorders>
            <w:noWrap/>
            <w:vAlign w:val="bottom"/>
            <w:hideMark/>
          </w:tcPr>
          <w:p w14:paraId="3C2F1980" w14:textId="77777777" w:rsidR="00677577" w:rsidRPr="005D02A7" w:rsidRDefault="00677577" w:rsidP="005D02A7">
            <w:pPr>
              <w:spacing w:after="0" w:line="240" w:lineRule="auto"/>
              <w:jc w:val="right"/>
              <w:rPr>
                <w:sz w:val="20"/>
                <w:szCs w:val="20"/>
              </w:rPr>
            </w:pPr>
            <w:r w:rsidRPr="005D02A7">
              <w:rPr>
                <w:sz w:val="20"/>
                <w:szCs w:val="20"/>
              </w:rPr>
              <w:t>35.4</w:t>
            </w:r>
          </w:p>
        </w:tc>
        <w:tc>
          <w:tcPr>
            <w:tcW w:w="1967" w:type="dxa"/>
            <w:tcBorders>
              <w:top w:val="nil"/>
              <w:left w:val="nil"/>
              <w:bottom w:val="nil"/>
              <w:right w:val="nil"/>
            </w:tcBorders>
            <w:noWrap/>
            <w:vAlign w:val="bottom"/>
            <w:hideMark/>
          </w:tcPr>
          <w:p w14:paraId="75F21BFD" w14:textId="77777777" w:rsidR="00677577" w:rsidRPr="005D02A7" w:rsidRDefault="00677577" w:rsidP="005D02A7">
            <w:pPr>
              <w:spacing w:after="0" w:line="240" w:lineRule="auto"/>
              <w:jc w:val="right"/>
              <w:rPr>
                <w:sz w:val="20"/>
                <w:szCs w:val="20"/>
              </w:rPr>
            </w:pPr>
            <w:r w:rsidRPr="005D02A7">
              <w:rPr>
                <w:sz w:val="20"/>
                <w:szCs w:val="20"/>
              </w:rPr>
              <w:t>6.3</w:t>
            </w:r>
          </w:p>
        </w:tc>
        <w:tc>
          <w:tcPr>
            <w:tcW w:w="1403" w:type="dxa"/>
            <w:tcBorders>
              <w:top w:val="nil"/>
              <w:left w:val="nil"/>
              <w:bottom w:val="nil"/>
              <w:right w:val="single" w:sz="4" w:space="0" w:color="auto"/>
            </w:tcBorders>
            <w:noWrap/>
            <w:vAlign w:val="bottom"/>
            <w:hideMark/>
          </w:tcPr>
          <w:p w14:paraId="6428A69A" w14:textId="77777777" w:rsidR="00677577" w:rsidRPr="005D02A7" w:rsidRDefault="00677577" w:rsidP="005D02A7">
            <w:pPr>
              <w:spacing w:after="0" w:line="240" w:lineRule="auto"/>
              <w:jc w:val="right"/>
              <w:rPr>
                <w:sz w:val="20"/>
                <w:szCs w:val="20"/>
              </w:rPr>
            </w:pPr>
            <w:r w:rsidRPr="005D02A7">
              <w:rPr>
                <w:sz w:val="20"/>
                <w:szCs w:val="20"/>
              </w:rPr>
              <w:t>27.8</w:t>
            </w:r>
          </w:p>
        </w:tc>
      </w:tr>
      <w:tr w:rsidR="00677577" w:rsidRPr="00236247" w14:paraId="1DEBB62E" w14:textId="77777777" w:rsidTr="00740A5C">
        <w:trPr>
          <w:trHeight w:val="20"/>
        </w:trPr>
        <w:tc>
          <w:tcPr>
            <w:tcW w:w="1379" w:type="dxa"/>
            <w:tcBorders>
              <w:top w:val="nil"/>
              <w:left w:val="single" w:sz="4" w:space="0" w:color="auto"/>
              <w:bottom w:val="nil"/>
              <w:right w:val="single" w:sz="4" w:space="0" w:color="auto"/>
            </w:tcBorders>
            <w:noWrap/>
            <w:vAlign w:val="bottom"/>
            <w:hideMark/>
          </w:tcPr>
          <w:p w14:paraId="522B22A6" w14:textId="77777777" w:rsidR="00677577" w:rsidRPr="005D02A7" w:rsidRDefault="00677577">
            <w:pPr>
              <w:spacing w:after="0" w:line="240" w:lineRule="auto"/>
              <w:rPr>
                <w:sz w:val="20"/>
                <w:szCs w:val="20"/>
              </w:rPr>
            </w:pPr>
            <w:r w:rsidRPr="005D02A7">
              <w:rPr>
                <w:sz w:val="20"/>
                <w:szCs w:val="20"/>
              </w:rPr>
              <w:t>2018</w:t>
            </w:r>
            <w:r w:rsidRPr="005D02A7">
              <w:rPr>
                <w:rFonts w:ascii="Symbol" w:eastAsia="Symbol" w:hAnsi="Symbol" w:cs="Symbol"/>
                <w:sz w:val="20"/>
                <w:szCs w:val="20"/>
              </w:rPr>
              <w:sym w:font="Symbol" w:char="F02D"/>
            </w:r>
            <w:r w:rsidRPr="005D02A7">
              <w:rPr>
                <w:sz w:val="20"/>
                <w:szCs w:val="20"/>
              </w:rPr>
              <w:t>19</w:t>
            </w:r>
          </w:p>
        </w:tc>
        <w:tc>
          <w:tcPr>
            <w:tcW w:w="1589" w:type="dxa"/>
            <w:tcBorders>
              <w:top w:val="nil"/>
              <w:left w:val="single" w:sz="4" w:space="0" w:color="auto"/>
              <w:bottom w:val="nil"/>
              <w:right w:val="nil"/>
            </w:tcBorders>
            <w:noWrap/>
            <w:vAlign w:val="bottom"/>
            <w:hideMark/>
          </w:tcPr>
          <w:p w14:paraId="5BDD1F15" w14:textId="77777777" w:rsidR="00677577" w:rsidRPr="005D02A7" w:rsidRDefault="00677577" w:rsidP="005D02A7">
            <w:pPr>
              <w:spacing w:after="0" w:line="240" w:lineRule="auto"/>
              <w:jc w:val="right"/>
              <w:rPr>
                <w:sz w:val="20"/>
                <w:szCs w:val="20"/>
              </w:rPr>
            </w:pPr>
            <w:r w:rsidRPr="005D02A7">
              <w:rPr>
                <w:sz w:val="20"/>
                <w:szCs w:val="20"/>
              </w:rPr>
              <w:t>33.2</w:t>
            </w:r>
          </w:p>
        </w:tc>
        <w:tc>
          <w:tcPr>
            <w:tcW w:w="1402" w:type="dxa"/>
            <w:tcBorders>
              <w:top w:val="nil"/>
              <w:left w:val="nil"/>
              <w:bottom w:val="nil"/>
              <w:right w:val="nil"/>
            </w:tcBorders>
            <w:noWrap/>
            <w:vAlign w:val="bottom"/>
            <w:hideMark/>
          </w:tcPr>
          <w:p w14:paraId="4CFE4E3B" w14:textId="77777777" w:rsidR="00677577" w:rsidRPr="005D02A7" w:rsidRDefault="00677577" w:rsidP="005D02A7">
            <w:pPr>
              <w:spacing w:after="0" w:line="240" w:lineRule="auto"/>
              <w:jc w:val="right"/>
              <w:rPr>
                <w:sz w:val="20"/>
                <w:szCs w:val="20"/>
              </w:rPr>
            </w:pPr>
            <w:r w:rsidRPr="005D02A7">
              <w:rPr>
                <w:sz w:val="20"/>
                <w:szCs w:val="20"/>
              </w:rPr>
              <w:t>37.4</w:t>
            </w:r>
          </w:p>
        </w:tc>
        <w:tc>
          <w:tcPr>
            <w:tcW w:w="1968" w:type="dxa"/>
            <w:tcBorders>
              <w:top w:val="nil"/>
              <w:left w:val="nil"/>
              <w:bottom w:val="nil"/>
              <w:right w:val="nil"/>
            </w:tcBorders>
            <w:noWrap/>
            <w:vAlign w:val="bottom"/>
            <w:hideMark/>
          </w:tcPr>
          <w:p w14:paraId="530C12F6" w14:textId="77777777" w:rsidR="00677577" w:rsidRPr="005D02A7" w:rsidRDefault="00677577" w:rsidP="005D02A7">
            <w:pPr>
              <w:spacing w:after="0" w:line="240" w:lineRule="auto"/>
              <w:jc w:val="right"/>
              <w:rPr>
                <w:sz w:val="20"/>
                <w:szCs w:val="20"/>
              </w:rPr>
            </w:pPr>
            <w:r w:rsidRPr="005D02A7">
              <w:rPr>
                <w:sz w:val="20"/>
                <w:szCs w:val="20"/>
              </w:rPr>
              <w:t>5.6</w:t>
            </w:r>
          </w:p>
        </w:tc>
        <w:tc>
          <w:tcPr>
            <w:tcW w:w="1403" w:type="dxa"/>
            <w:tcBorders>
              <w:top w:val="nil"/>
              <w:left w:val="nil"/>
              <w:bottom w:val="nil"/>
              <w:right w:val="single" w:sz="4" w:space="0" w:color="auto"/>
            </w:tcBorders>
            <w:noWrap/>
            <w:vAlign w:val="bottom"/>
            <w:hideMark/>
          </w:tcPr>
          <w:p w14:paraId="114045EE" w14:textId="77777777" w:rsidR="00677577" w:rsidRPr="005D02A7" w:rsidRDefault="00677577" w:rsidP="005D02A7">
            <w:pPr>
              <w:spacing w:after="0" w:line="240" w:lineRule="auto"/>
              <w:jc w:val="right"/>
              <w:rPr>
                <w:sz w:val="20"/>
                <w:szCs w:val="20"/>
              </w:rPr>
            </w:pPr>
            <w:r w:rsidRPr="005D02A7">
              <w:rPr>
                <w:sz w:val="20"/>
                <w:szCs w:val="20"/>
              </w:rPr>
              <w:t>23.8</w:t>
            </w:r>
          </w:p>
        </w:tc>
        <w:tc>
          <w:tcPr>
            <w:tcW w:w="1589" w:type="dxa"/>
            <w:tcBorders>
              <w:top w:val="nil"/>
              <w:left w:val="single" w:sz="4" w:space="0" w:color="auto"/>
              <w:bottom w:val="nil"/>
              <w:right w:val="nil"/>
            </w:tcBorders>
            <w:noWrap/>
            <w:vAlign w:val="bottom"/>
            <w:hideMark/>
          </w:tcPr>
          <w:p w14:paraId="69C777C7" w14:textId="77777777" w:rsidR="00677577" w:rsidRPr="005D02A7" w:rsidRDefault="00677577" w:rsidP="005D02A7">
            <w:pPr>
              <w:spacing w:after="0" w:line="240" w:lineRule="auto"/>
              <w:jc w:val="right"/>
              <w:rPr>
                <w:sz w:val="20"/>
                <w:szCs w:val="20"/>
              </w:rPr>
            </w:pPr>
            <w:r w:rsidRPr="005D02A7">
              <w:rPr>
                <w:sz w:val="20"/>
                <w:szCs w:val="20"/>
              </w:rPr>
              <w:t>28.4</w:t>
            </w:r>
          </w:p>
        </w:tc>
        <w:tc>
          <w:tcPr>
            <w:tcW w:w="1403" w:type="dxa"/>
            <w:tcBorders>
              <w:top w:val="nil"/>
              <w:left w:val="nil"/>
              <w:bottom w:val="nil"/>
              <w:right w:val="nil"/>
            </w:tcBorders>
            <w:noWrap/>
            <w:vAlign w:val="bottom"/>
            <w:hideMark/>
          </w:tcPr>
          <w:p w14:paraId="244AEF9A" w14:textId="77777777" w:rsidR="00677577" w:rsidRPr="005D02A7" w:rsidRDefault="00677577" w:rsidP="005D02A7">
            <w:pPr>
              <w:spacing w:after="0" w:line="240" w:lineRule="auto"/>
              <w:jc w:val="right"/>
              <w:rPr>
                <w:sz w:val="20"/>
                <w:szCs w:val="20"/>
              </w:rPr>
            </w:pPr>
            <w:r w:rsidRPr="005D02A7">
              <w:rPr>
                <w:sz w:val="20"/>
                <w:szCs w:val="20"/>
              </w:rPr>
              <w:t>34.6</w:t>
            </w:r>
          </w:p>
        </w:tc>
        <w:tc>
          <w:tcPr>
            <w:tcW w:w="1967" w:type="dxa"/>
            <w:tcBorders>
              <w:top w:val="nil"/>
              <w:left w:val="nil"/>
              <w:bottom w:val="nil"/>
              <w:right w:val="nil"/>
            </w:tcBorders>
            <w:noWrap/>
            <w:vAlign w:val="bottom"/>
            <w:hideMark/>
          </w:tcPr>
          <w:p w14:paraId="69D6A668" w14:textId="77777777" w:rsidR="00677577" w:rsidRPr="005D02A7" w:rsidRDefault="00677577" w:rsidP="005D02A7">
            <w:pPr>
              <w:spacing w:after="0" w:line="240" w:lineRule="auto"/>
              <w:jc w:val="right"/>
              <w:rPr>
                <w:sz w:val="20"/>
                <w:szCs w:val="20"/>
              </w:rPr>
            </w:pPr>
            <w:r w:rsidRPr="005D02A7">
              <w:rPr>
                <w:sz w:val="20"/>
                <w:szCs w:val="20"/>
              </w:rPr>
              <w:t>6.7</w:t>
            </w:r>
          </w:p>
        </w:tc>
        <w:tc>
          <w:tcPr>
            <w:tcW w:w="1403" w:type="dxa"/>
            <w:tcBorders>
              <w:top w:val="nil"/>
              <w:left w:val="nil"/>
              <w:bottom w:val="nil"/>
              <w:right w:val="single" w:sz="4" w:space="0" w:color="auto"/>
            </w:tcBorders>
            <w:noWrap/>
            <w:vAlign w:val="bottom"/>
            <w:hideMark/>
          </w:tcPr>
          <w:p w14:paraId="6ABADE36" w14:textId="77777777" w:rsidR="00677577" w:rsidRPr="005D02A7" w:rsidRDefault="00677577" w:rsidP="005D02A7">
            <w:pPr>
              <w:spacing w:after="0" w:line="240" w:lineRule="auto"/>
              <w:jc w:val="right"/>
              <w:rPr>
                <w:sz w:val="20"/>
                <w:szCs w:val="20"/>
              </w:rPr>
            </w:pPr>
            <w:r w:rsidRPr="005D02A7">
              <w:rPr>
                <w:sz w:val="20"/>
                <w:szCs w:val="20"/>
              </w:rPr>
              <w:t>30.3</w:t>
            </w:r>
          </w:p>
        </w:tc>
      </w:tr>
      <w:tr w:rsidR="00677577" w:rsidRPr="00236247" w14:paraId="66CCB244" w14:textId="77777777" w:rsidTr="00740A5C">
        <w:trPr>
          <w:trHeight w:val="20"/>
        </w:trPr>
        <w:tc>
          <w:tcPr>
            <w:tcW w:w="1379" w:type="dxa"/>
            <w:tcBorders>
              <w:top w:val="nil"/>
              <w:left w:val="single" w:sz="4" w:space="0" w:color="auto"/>
              <w:bottom w:val="nil"/>
              <w:right w:val="single" w:sz="4" w:space="0" w:color="auto"/>
            </w:tcBorders>
            <w:noWrap/>
            <w:vAlign w:val="bottom"/>
            <w:hideMark/>
          </w:tcPr>
          <w:p w14:paraId="76B8C026" w14:textId="77777777" w:rsidR="00677577" w:rsidRPr="005D02A7" w:rsidRDefault="00677577">
            <w:pPr>
              <w:spacing w:after="0" w:line="240" w:lineRule="auto"/>
              <w:rPr>
                <w:sz w:val="20"/>
                <w:szCs w:val="20"/>
              </w:rPr>
            </w:pPr>
            <w:r w:rsidRPr="005D02A7">
              <w:rPr>
                <w:sz w:val="20"/>
                <w:szCs w:val="20"/>
              </w:rPr>
              <w:t>2019</w:t>
            </w:r>
            <w:r w:rsidRPr="005D02A7">
              <w:rPr>
                <w:rFonts w:ascii="Symbol" w:eastAsia="Symbol" w:hAnsi="Symbol" w:cs="Symbol"/>
                <w:sz w:val="20"/>
                <w:szCs w:val="20"/>
              </w:rPr>
              <w:sym w:font="Symbol" w:char="F02D"/>
            </w:r>
            <w:r w:rsidRPr="005D02A7">
              <w:rPr>
                <w:sz w:val="20"/>
                <w:szCs w:val="20"/>
              </w:rPr>
              <w:t>20</w:t>
            </w:r>
          </w:p>
        </w:tc>
        <w:tc>
          <w:tcPr>
            <w:tcW w:w="1589" w:type="dxa"/>
            <w:tcBorders>
              <w:top w:val="nil"/>
              <w:left w:val="single" w:sz="4" w:space="0" w:color="auto"/>
              <w:bottom w:val="nil"/>
              <w:right w:val="nil"/>
            </w:tcBorders>
            <w:noWrap/>
            <w:vAlign w:val="bottom"/>
            <w:hideMark/>
          </w:tcPr>
          <w:p w14:paraId="28B06FE9" w14:textId="77777777" w:rsidR="00677577" w:rsidRPr="005D02A7" w:rsidRDefault="00677577" w:rsidP="005D02A7">
            <w:pPr>
              <w:spacing w:after="0" w:line="240" w:lineRule="auto"/>
              <w:jc w:val="right"/>
              <w:rPr>
                <w:sz w:val="20"/>
                <w:szCs w:val="20"/>
              </w:rPr>
            </w:pPr>
            <w:r w:rsidRPr="005D02A7">
              <w:rPr>
                <w:sz w:val="20"/>
                <w:szCs w:val="20"/>
              </w:rPr>
              <w:t>40.8</w:t>
            </w:r>
          </w:p>
        </w:tc>
        <w:tc>
          <w:tcPr>
            <w:tcW w:w="1402" w:type="dxa"/>
            <w:tcBorders>
              <w:top w:val="nil"/>
              <w:left w:val="nil"/>
              <w:bottom w:val="nil"/>
              <w:right w:val="nil"/>
            </w:tcBorders>
            <w:noWrap/>
            <w:vAlign w:val="bottom"/>
            <w:hideMark/>
          </w:tcPr>
          <w:p w14:paraId="13C20C19" w14:textId="77777777" w:rsidR="00677577" w:rsidRPr="005D02A7" w:rsidRDefault="00677577" w:rsidP="005D02A7">
            <w:pPr>
              <w:spacing w:after="0" w:line="240" w:lineRule="auto"/>
              <w:jc w:val="right"/>
              <w:rPr>
                <w:sz w:val="20"/>
                <w:szCs w:val="20"/>
              </w:rPr>
            </w:pPr>
            <w:r w:rsidRPr="005D02A7">
              <w:rPr>
                <w:sz w:val="20"/>
                <w:szCs w:val="20"/>
              </w:rPr>
              <w:t>34.0</w:t>
            </w:r>
          </w:p>
        </w:tc>
        <w:tc>
          <w:tcPr>
            <w:tcW w:w="1968" w:type="dxa"/>
            <w:tcBorders>
              <w:top w:val="nil"/>
              <w:left w:val="nil"/>
              <w:bottom w:val="nil"/>
              <w:right w:val="nil"/>
            </w:tcBorders>
            <w:noWrap/>
            <w:vAlign w:val="bottom"/>
            <w:hideMark/>
          </w:tcPr>
          <w:p w14:paraId="1656D561" w14:textId="77777777" w:rsidR="00677577" w:rsidRPr="005D02A7" w:rsidRDefault="00677577" w:rsidP="005D02A7">
            <w:pPr>
              <w:spacing w:after="0" w:line="240" w:lineRule="auto"/>
              <w:jc w:val="right"/>
              <w:rPr>
                <w:sz w:val="20"/>
                <w:szCs w:val="20"/>
              </w:rPr>
            </w:pPr>
            <w:r w:rsidRPr="005D02A7">
              <w:rPr>
                <w:sz w:val="20"/>
                <w:szCs w:val="20"/>
              </w:rPr>
              <w:t>4.3</w:t>
            </w:r>
          </w:p>
        </w:tc>
        <w:tc>
          <w:tcPr>
            <w:tcW w:w="1403" w:type="dxa"/>
            <w:tcBorders>
              <w:top w:val="nil"/>
              <w:left w:val="nil"/>
              <w:bottom w:val="nil"/>
              <w:right w:val="single" w:sz="4" w:space="0" w:color="auto"/>
            </w:tcBorders>
            <w:noWrap/>
            <w:vAlign w:val="bottom"/>
            <w:hideMark/>
          </w:tcPr>
          <w:p w14:paraId="1C44A9DB" w14:textId="77777777" w:rsidR="00677577" w:rsidRPr="005D02A7" w:rsidRDefault="00677577" w:rsidP="005D02A7">
            <w:pPr>
              <w:spacing w:after="0" w:line="240" w:lineRule="auto"/>
              <w:jc w:val="right"/>
              <w:rPr>
                <w:sz w:val="20"/>
                <w:szCs w:val="20"/>
              </w:rPr>
            </w:pPr>
            <w:r w:rsidRPr="005D02A7">
              <w:rPr>
                <w:sz w:val="20"/>
                <w:szCs w:val="20"/>
              </w:rPr>
              <w:t>20.9</w:t>
            </w:r>
          </w:p>
        </w:tc>
        <w:tc>
          <w:tcPr>
            <w:tcW w:w="1589" w:type="dxa"/>
            <w:tcBorders>
              <w:top w:val="nil"/>
              <w:left w:val="single" w:sz="4" w:space="0" w:color="auto"/>
              <w:bottom w:val="nil"/>
              <w:right w:val="nil"/>
            </w:tcBorders>
            <w:noWrap/>
            <w:vAlign w:val="bottom"/>
            <w:hideMark/>
          </w:tcPr>
          <w:p w14:paraId="1134F234" w14:textId="77777777" w:rsidR="00677577" w:rsidRPr="005D02A7" w:rsidRDefault="00677577" w:rsidP="005D02A7">
            <w:pPr>
              <w:spacing w:after="0" w:line="240" w:lineRule="auto"/>
              <w:jc w:val="right"/>
              <w:rPr>
                <w:sz w:val="20"/>
                <w:szCs w:val="20"/>
              </w:rPr>
            </w:pPr>
            <w:r w:rsidRPr="005D02A7">
              <w:rPr>
                <w:sz w:val="20"/>
                <w:szCs w:val="20"/>
              </w:rPr>
              <w:t>33.2</w:t>
            </w:r>
          </w:p>
        </w:tc>
        <w:tc>
          <w:tcPr>
            <w:tcW w:w="1403" w:type="dxa"/>
            <w:tcBorders>
              <w:top w:val="nil"/>
              <w:left w:val="nil"/>
              <w:bottom w:val="nil"/>
              <w:right w:val="nil"/>
            </w:tcBorders>
            <w:noWrap/>
            <w:vAlign w:val="bottom"/>
            <w:hideMark/>
          </w:tcPr>
          <w:p w14:paraId="373C7ED9" w14:textId="77777777" w:rsidR="00677577" w:rsidRPr="005D02A7" w:rsidRDefault="00677577" w:rsidP="005D02A7">
            <w:pPr>
              <w:spacing w:after="0" w:line="240" w:lineRule="auto"/>
              <w:jc w:val="right"/>
              <w:rPr>
                <w:sz w:val="20"/>
                <w:szCs w:val="20"/>
              </w:rPr>
            </w:pPr>
            <w:r w:rsidRPr="005D02A7">
              <w:rPr>
                <w:sz w:val="20"/>
                <w:szCs w:val="20"/>
              </w:rPr>
              <w:t>29.8</w:t>
            </w:r>
          </w:p>
        </w:tc>
        <w:tc>
          <w:tcPr>
            <w:tcW w:w="1967" w:type="dxa"/>
            <w:tcBorders>
              <w:top w:val="nil"/>
              <w:left w:val="nil"/>
              <w:bottom w:val="nil"/>
              <w:right w:val="nil"/>
            </w:tcBorders>
            <w:noWrap/>
            <w:vAlign w:val="bottom"/>
            <w:hideMark/>
          </w:tcPr>
          <w:p w14:paraId="26DB0906" w14:textId="77777777" w:rsidR="00677577" w:rsidRPr="005D02A7" w:rsidRDefault="00677577" w:rsidP="005D02A7">
            <w:pPr>
              <w:spacing w:after="0" w:line="240" w:lineRule="auto"/>
              <w:jc w:val="right"/>
              <w:rPr>
                <w:sz w:val="20"/>
                <w:szCs w:val="20"/>
              </w:rPr>
            </w:pPr>
            <w:r w:rsidRPr="005D02A7">
              <w:rPr>
                <w:sz w:val="20"/>
                <w:szCs w:val="20"/>
              </w:rPr>
              <w:t>4.5</w:t>
            </w:r>
          </w:p>
        </w:tc>
        <w:tc>
          <w:tcPr>
            <w:tcW w:w="1403" w:type="dxa"/>
            <w:tcBorders>
              <w:top w:val="nil"/>
              <w:left w:val="nil"/>
              <w:bottom w:val="nil"/>
              <w:right w:val="single" w:sz="4" w:space="0" w:color="auto"/>
            </w:tcBorders>
            <w:noWrap/>
            <w:vAlign w:val="bottom"/>
            <w:hideMark/>
          </w:tcPr>
          <w:p w14:paraId="3BF5FBE1" w14:textId="77777777" w:rsidR="00677577" w:rsidRPr="005D02A7" w:rsidRDefault="00677577" w:rsidP="005D02A7">
            <w:pPr>
              <w:spacing w:after="0" w:line="240" w:lineRule="auto"/>
              <w:jc w:val="right"/>
              <w:rPr>
                <w:sz w:val="20"/>
                <w:szCs w:val="20"/>
              </w:rPr>
            </w:pPr>
            <w:r w:rsidRPr="005D02A7">
              <w:rPr>
                <w:sz w:val="20"/>
                <w:szCs w:val="20"/>
              </w:rPr>
              <w:t>32.5</w:t>
            </w:r>
          </w:p>
        </w:tc>
      </w:tr>
      <w:tr w:rsidR="00677577" w:rsidRPr="00236247" w14:paraId="32D90B15" w14:textId="77777777" w:rsidTr="00740A5C">
        <w:trPr>
          <w:trHeight w:val="20"/>
        </w:trPr>
        <w:tc>
          <w:tcPr>
            <w:tcW w:w="1379" w:type="dxa"/>
            <w:tcBorders>
              <w:top w:val="nil"/>
              <w:left w:val="single" w:sz="4" w:space="0" w:color="auto"/>
              <w:bottom w:val="nil"/>
              <w:right w:val="single" w:sz="4" w:space="0" w:color="auto"/>
            </w:tcBorders>
            <w:noWrap/>
            <w:vAlign w:val="bottom"/>
            <w:hideMark/>
          </w:tcPr>
          <w:p w14:paraId="55DFB823" w14:textId="77777777" w:rsidR="00677577" w:rsidRPr="005D02A7" w:rsidRDefault="00677577">
            <w:pPr>
              <w:spacing w:after="0" w:line="240" w:lineRule="auto"/>
              <w:rPr>
                <w:sz w:val="20"/>
                <w:szCs w:val="20"/>
              </w:rPr>
            </w:pPr>
            <w:r w:rsidRPr="005D02A7">
              <w:rPr>
                <w:sz w:val="20"/>
                <w:szCs w:val="20"/>
              </w:rPr>
              <w:t>2020</w:t>
            </w:r>
            <w:r w:rsidRPr="005D02A7">
              <w:rPr>
                <w:rFonts w:ascii="Symbol" w:eastAsia="Symbol" w:hAnsi="Symbol" w:cs="Symbol"/>
                <w:sz w:val="20"/>
                <w:szCs w:val="20"/>
              </w:rPr>
              <w:sym w:font="Symbol" w:char="F02D"/>
            </w:r>
            <w:r w:rsidRPr="005D02A7">
              <w:rPr>
                <w:sz w:val="20"/>
                <w:szCs w:val="20"/>
              </w:rPr>
              <w:t>21</w:t>
            </w:r>
          </w:p>
        </w:tc>
        <w:tc>
          <w:tcPr>
            <w:tcW w:w="1589" w:type="dxa"/>
            <w:tcBorders>
              <w:top w:val="nil"/>
              <w:left w:val="single" w:sz="4" w:space="0" w:color="auto"/>
              <w:bottom w:val="nil"/>
              <w:right w:val="nil"/>
            </w:tcBorders>
            <w:noWrap/>
            <w:vAlign w:val="bottom"/>
            <w:hideMark/>
          </w:tcPr>
          <w:p w14:paraId="02A803F7" w14:textId="77777777" w:rsidR="00677577" w:rsidRPr="005D02A7" w:rsidRDefault="00677577" w:rsidP="005D02A7">
            <w:pPr>
              <w:spacing w:after="0" w:line="240" w:lineRule="auto"/>
              <w:jc w:val="right"/>
              <w:rPr>
                <w:sz w:val="20"/>
                <w:szCs w:val="20"/>
              </w:rPr>
            </w:pPr>
            <w:r w:rsidRPr="005D02A7">
              <w:rPr>
                <w:sz w:val="20"/>
                <w:szCs w:val="20"/>
              </w:rPr>
              <w:t>40.7</w:t>
            </w:r>
          </w:p>
        </w:tc>
        <w:tc>
          <w:tcPr>
            <w:tcW w:w="1402" w:type="dxa"/>
            <w:tcBorders>
              <w:top w:val="nil"/>
              <w:left w:val="nil"/>
              <w:bottom w:val="nil"/>
              <w:right w:val="nil"/>
            </w:tcBorders>
            <w:noWrap/>
            <w:vAlign w:val="bottom"/>
            <w:hideMark/>
          </w:tcPr>
          <w:p w14:paraId="02ACC7C4" w14:textId="77777777" w:rsidR="00677577" w:rsidRPr="005D02A7" w:rsidRDefault="00677577" w:rsidP="005D02A7">
            <w:pPr>
              <w:spacing w:after="0" w:line="240" w:lineRule="auto"/>
              <w:jc w:val="right"/>
              <w:rPr>
                <w:sz w:val="20"/>
                <w:szCs w:val="20"/>
              </w:rPr>
            </w:pPr>
            <w:r w:rsidRPr="005D02A7">
              <w:rPr>
                <w:sz w:val="20"/>
                <w:szCs w:val="20"/>
              </w:rPr>
              <w:t>40.8</w:t>
            </w:r>
          </w:p>
        </w:tc>
        <w:tc>
          <w:tcPr>
            <w:tcW w:w="1968" w:type="dxa"/>
            <w:tcBorders>
              <w:top w:val="nil"/>
              <w:left w:val="nil"/>
              <w:bottom w:val="nil"/>
              <w:right w:val="nil"/>
            </w:tcBorders>
            <w:noWrap/>
            <w:vAlign w:val="bottom"/>
            <w:hideMark/>
          </w:tcPr>
          <w:p w14:paraId="3978640D" w14:textId="77777777" w:rsidR="00677577" w:rsidRPr="005D02A7" w:rsidRDefault="00677577" w:rsidP="005D02A7">
            <w:pPr>
              <w:spacing w:after="0" w:line="240" w:lineRule="auto"/>
              <w:jc w:val="right"/>
              <w:rPr>
                <w:sz w:val="20"/>
                <w:szCs w:val="20"/>
              </w:rPr>
            </w:pPr>
            <w:r w:rsidRPr="005D02A7">
              <w:rPr>
                <w:sz w:val="20"/>
                <w:szCs w:val="20"/>
              </w:rPr>
              <w:t>2.1</w:t>
            </w:r>
          </w:p>
        </w:tc>
        <w:tc>
          <w:tcPr>
            <w:tcW w:w="1403" w:type="dxa"/>
            <w:tcBorders>
              <w:top w:val="nil"/>
              <w:left w:val="nil"/>
              <w:bottom w:val="nil"/>
              <w:right w:val="single" w:sz="4" w:space="0" w:color="auto"/>
            </w:tcBorders>
            <w:noWrap/>
            <w:vAlign w:val="bottom"/>
            <w:hideMark/>
          </w:tcPr>
          <w:p w14:paraId="5AA319E3" w14:textId="77777777" w:rsidR="00677577" w:rsidRPr="005D02A7" w:rsidRDefault="00677577" w:rsidP="005D02A7">
            <w:pPr>
              <w:spacing w:after="0" w:line="240" w:lineRule="auto"/>
              <w:jc w:val="right"/>
              <w:rPr>
                <w:sz w:val="20"/>
                <w:szCs w:val="20"/>
              </w:rPr>
            </w:pPr>
            <w:r w:rsidRPr="005D02A7">
              <w:rPr>
                <w:sz w:val="20"/>
                <w:szCs w:val="20"/>
              </w:rPr>
              <w:t>16.3</w:t>
            </w:r>
          </w:p>
        </w:tc>
        <w:tc>
          <w:tcPr>
            <w:tcW w:w="1589" w:type="dxa"/>
            <w:tcBorders>
              <w:top w:val="nil"/>
              <w:left w:val="single" w:sz="4" w:space="0" w:color="auto"/>
              <w:bottom w:val="nil"/>
              <w:right w:val="nil"/>
            </w:tcBorders>
            <w:noWrap/>
            <w:vAlign w:val="bottom"/>
            <w:hideMark/>
          </w:tcPr>
          <w:p w14:paraId="3E25037D" w14:textId="77777777" w:rsidR="00677577" w:rsidRPr="005D02A7" w:rsidRDefault="00677577" w:rsidP="005D02A7">
            <w:pPr>
              <w:spacing w:after="0" w:line="240" w:lineRule="auto"/>
              <w:jc w:val="right"/>
              <w:rPr>
                <w:sz w:val="20"/>
                <w:szCs w:val="20"/>
              </w:rPr>
            </w:pPr>
            <w:r w:rsidRPr="005D02A7">
              <w:rPr>
                <w:sz w:val="20"/>
                <w:szCs w:val="20"/>
              </w:rPr>
              <w:t>32.5</w:t>
            </w:r>
          </w:p>
        </w:tc>
        <w:tc>
          <w:tcPr>
            <w:tcW w:w="1403" w:type="dxa"/>
            <w:tcBorders>
              <w:top w:val="nil"/>
              <w:left w:val="nil"/>
              <w:bottom w:val="nil"/>
              <w:right w:val="nil"/>
            </w:tcBorders>
            <w:noWrap/>
            <w:vAlign w:val="bottom"/>
            <w:hideMark/>
          </w:tcPr>
          <w:p w14:paraId="2D03AD13" w14:textId="77777777" w:rsidR="00677577" w:rsidRPr="005D02A7" w:rsidRDefault="00677577" w:rsidP="005D02A7">
            <w:pPr>
              <w:spacing w:after="0" w:line="240" w:lineRule="auto"/>
              <w:jc w:val="right"/>
              <w:rPr>
                <w:sz w:val="20"/>
                <w:szCs w:val="20"/>
              </w:rPr>
            </w:pPr>
            <w:r w:rsidRPr="005D02A7">
              <w:rPr>
                <w:sz w:val="20"/>
                <w:szCs w:val="20"/>
              </w:rPr>
              <w:t>30.5</w:t>
            </w:r>
          </w:p>
        </w:tc>
        <w:tc>
          <w:tcPr>
            <w:tcW w:w="1967" w:type="dxa"/>
            <w:tcBorders>
              <w:top w:val="nil"/>
              <w:left w:val="nil"/>
              <w:bottom w:val="nil"/>
              <w:right w:val="nil"/>
            </w:tcBorders>
            <w:noWrap/>
            <w:vAlign w:val="bottom"/>
            <w:hideMark/>
          </w:tcPr>
          <w:p w14:paraId="01138381" w14:textId="77777777" w:rsidR="00677577" w:rsidRPr="005D02A7" w:rsidRDefault="00677577" w:rsidP="005D02A7">
            <w:pPr>
              <w:spacing w:after="0" w:line="240" w:lineRule="auto"/>
              <w:jc w:val="right"/>
              <w:rPr>
                <w:sz w:val="20"/>
                <w:szCs w:val="20"/>
              </w:rPr>
            </w:pPr>
            <w:r w:rsidRPr="005D02A7">
              <w:rPr>
                <w:sz w:val="20"/>
                <w:szCs w:val="20"/>
              </w:rPr>
              <w:t>5.6</w:t>
            </w:r>
          </w:p>
        </w:tc>
        <w:tc>
          <w:tcPr>
            <w:tcW w:w="1403" w:type="dxa"/>
            <w:tcBorders>
              <w:top w:val="nil"/>
              <w:left w:val="nil"/>
              <w:bottom w:val="nil"/>
              <w:right w:val="single" w:sz="4" w:space="0" w:color="auto"/>
            </w:tcBorders>
            <w:noWrap/>
            <w:vAlign w:val="bottom"/>
            <w:hideMark/>
          </w:tcPr>
          <w:p w14:paraId="64A897EB" w14:textId="77777777" w:rsidR="00677577" w:rsidRPr="005D02A7" w:rsidRDefault="00677577" w:rsidP="005D02A7">
            <w:pPr>
              <w:spacing w:after="0" w:line="240" w:lineRule="auto"/>
              <w:jc w:val="right"/>
              <w:rPr>
                <w:sz w:val="20"/>
                <w:szCs w:val="20"/>
              </w:rPr>
            </w:pPr>
            <w:r w:rsidRPr="005D02A7">
              <w:rPr>
                <w:sz w:val="20"/>
                <w:szCs w:val="20"/>
              </w:rPr>
              <w:t>31.4</w:t>
            </w:r>
          </w:p>
        </w:tc>
      </w:tr>
      <w:tr w:rsidR="00677577" w:rsidRPr="00236247" w14:paraId="73C2EC8C" w14:textId="77777777" w:rsidTr="00740A5C">
        <w:trPr>
          <w:trHeight w:val="20"/>
        </w:trPr>
        <w:tc>
          <w:tcPr>
            <w:tcW w:w="1379" w:type="dxa"/>
            <w:tcBorders>
              <w:top w:val="nil"/>
              <w:left w:val="single" w:sz="4" w:space="0" w:color="auto"/>
              <w:bottom w:val="nil"/>
              <w:right w:val="single" w:sz="4" w:space="0" w:color="auto"/>
            </w:tcBorders>
            <w:noWrap/>
            <w:vAlign w:val="bottom"/>
            <w:hideMark/>
          </w:tcPr>
          <w:p w14:paraId="4B8AFB78" w14:textId="77777777" w:rsidR="00677577" w:rsidRPr="005D02A7" w:rsidRDefault="00677577">
            <w:pPr>
              <w:spacing w:after="0" w:line="240" w:lineRule="auto"/>
              <w:rPr>
                <w:sz w:val="20"/>
                <w:szCs w:val="20"/>
              </w:rPr>
            </w:pPr>
            <w:r w:rsidRPr="005D02A7">
              <w:rPr>
                <w:sz w:val="20"/>
                <w:szCs w:val="20"/>
              </w:rPr>
              <w:t>2021</w:t>
            </w:r>
            <w:r w:rsidRPr="005D02A7">
              <w:rPr>
                <w:rFonts w:ascii="Symbol" w:eastAsia="Symbol" w:hAnsi="Symbol" w:cs="Symbol"/>
                <w:sz w:val="20"/>
                <w:szCs w:val="20"/>
              </w:rPr>
              <w:sym w:font="Symbol" w:char="F02D"/>
            </w:r>
            <w:r w:rsidRPr="005D02A7">
              <w:rPr>
                <w:sz w:val="20"/>
                <w:szCs w:val="20"/>
              </w:rPr>
              <w:t>22</w:t>
            </w:r>
          </w:p>
        </w:tc>
        <w:tc>
          <w:tcPr>
            <w:tcW w:w="1589" w:type="dxa"/>
            <w:tcBorders>
              <w:top w:val="nil"/>
              <w:left w:val="single" w:sz="4" w:space="0" w:color="auto"/>
              <w:bottom w:val="nil"/>
              <w:right w:val="nil"/>
            </w:tcBorders>
            <w:noWrap/>
            <w:vAlign w:val="bottom"/>
            <w:hideMark/>
          </w:tcPr>
          <w:p w14:paraId="2DDE1871" w14:textId="77777777" w:rsidR="00677577" w:rsidRPr="005D02A7" w:rsidRDefault="00677577" w:rsidP="005D02A7">
            <w:pPr>
              <w:spacing w:after="0" w:line="240" w:lineRule="auto"/>
              <w:jc w:val="right"/>
              <w:rPr>
                <w:sz w:val="20"/>
                <w:szCs w:val="20"/>
              </w:rPr>
            </w:pPr>
            <w:r w:rsidRPr="005D02A7">
              <w:rPr>
                <w:sz w:val="20"/>
                <w:szCs w:val="20"/>
              </w:rPr>
              <w:t>36.2</w:t>
            </w:r>
          </w:p>
        </w:tc>
        <w:tc>
          <w:tcPr>
            <w:tcW w:w="1402" w:type="dxa"/>
            <w:tcBorders>
              <w:top w:val="nil"/>
              <w:left w:val="nil"/>
              <w:bottom w:val="nil"/>
              <w:right w:val="nil"/>
            </w:tcBorders>
            <w:noWrap/>
            <w:vAlign w:val="bottom"/>
            <w:hideMark/>
          </w:tcPr>
          <w:p w14:paraId="3C5C6577" w14:textId="77777777" w:rsidR="00677577" w:rsidRPr="005D02A7" w:rsidRDefault="00677577" w:rsidP="005D02A7">
            <w:pPr>
              <w:spacing w:after="0" w:line="240" w:lineRule="auto"/>
              <w:jc w:val="right"/>
              <w:rPr>
                <w:sz w:val="20"/>
                <w:szCs w:val="20"/>
              </w:rPr>
            </w:pPr>
            <w:r w:rsidRPr="005D02A7">
              <w:rPr>
                <w:sz w:val="20"/>
                <w:szCs w:val="20"/>
              </w:rPr>
              <w:t>47.1</w:t>
            </w:r>
          </w:p>
        </w:tc>
        <w:tc>
          <w:tcPr>
            <w:tcW w:w="1968" w:type="dxa"/>
            <w:tcBorders>
              <w:top w:val="nil"/>
              <w:left w:val="nil"/>
              <w:bottom w:val="nil"/>
              <w:right w:val="nil"/>
            </w:tcBorders>
            <w:noWrap/>
            <w:vAlign w:val="bottom"/>
            <w:hideMark/>
          </w:tcPr>
          <w:p w14:paraId="3FAD6BD5" w14:textId="77777777" w:rsidR="00677577" w:rsidRPr="005D02A7" w:rsidRDefault="00677577" w:rsidP="005D02A7">
            <w:pPr>
              <w:spacing w:after="0" w:line="240" w:lineRule="auto"/>
              <w:jc w:val="right"/>
              <w:rPr>
                <w:sz w:val="20"/>
                <w:szCs w:val="20"/>
              </w:rPr>
            </w:pPr>
            <w:r w:rsidRPr="005D02A7">
              <w:rPr>
                <w:sz w:val="20"/>
                <w:szCs w:val="20"/>
              </w:rPr>
              <w:t>1.8</w:t>
            </w:r>
          </w:p>
        </w:tc>
        <w:tc>
          <w:tcPr>
            <w:tcW w:w="1403" w:type="dxa"/>
            <w:tcBorders>
              <w:top w:val="nil"/>
              <w:left w:val="nil"/>
              <w:bottom w:val="nil"/>
              <w:right w:val="single" w:sz="4" w:space="0" w:color="auto"/>
            </w:tcBorders>
            <w:noWrap/>
            <w:vAlign w:val="bottom"/>
            <w:hideMark/>
          </w:tcPr>
          <w:p w14:paraId="7B0EAFE7" w14:textId="77777777" w:rsidR="00677577" w:rsidRPr="005D02A7" w:rsidRDefault="00677577" w:rsidP="005D02A7">
            <w:pPr>
              <w:spacing w:after="0" w:line="240" w:lineRule="auto"/>
              <w:jc w:val="right"/>
              <w:rPr>
                <w:sz w:val="20"/>
                <w:szCs w:val="20"/>
              </w:rPr>
            </w:pPr>
            <w:r w:rsidRPr="005D02A7">
              <w:rPr>
                <w:sz w:val="20"/>
                <w:szCs w:val="20"/>
              </w:rPr>
              <w:t>14.9</w:t>
            </w:r>
          </w:p>
        </w:tc>
        <w:tc>
          <w:tcPr>
            <w:tcW w:w="1589" w:type="dxa"/>
            <w:tcBorders>
              <w:top w:val="nil"/>
              <w:left w:val="single" w:sz="4" w:space="0" w:color="auto"/>
              <w:bottom w:val="nil"/>
              <w:right w:val="nil"/>
            </w:tcBorders>
            <w:noWrap/>
            <w:vAlign w:val="bottom"/>
            <w:hideMark/>
          </w:tcPr>
          <w:p w14:paraId="7D7F35D6" w14:textId="77777777" w:rsidR="00677577" w:rsidRPr="005D02A7" w:rsidRDefault="00677577" w:rsidP="005D02A7">
            <w:pPr>
              <w:spacing w:after="0" w:line="240" w:lineRule="auto"/>
              <w:jc w:val="right"/>
              <w:rPr>
                <w:sz w:val="20"/>
                <w:szCs w:val="20"/>
              </w:rPr>
            </w:pPr>
            <w:r w:rsidRPr="005D02A7">
              <w:rPr>
                <w:sz w:val="20"/>
                <w:szCs w:val="20"/>
              </w:rPr>
              <w:t>28.0</w:t>
            </w:r>
          </w:p>
        </w:tc>
        <w:tc>
          <w:tcPr>
            <w:tcW w:w="1403" w:type="dxa"/>
            <w:tcBorders>
              <w:top w:val="nil"/>
              <w:left w:val="nil"/>
              <w:bottom w:val="nil"/>
              <w:right w:val="nil"/>
            </w:tcBorders>
            <w:noWrap/>
            <w:vAlign w:val="bottom"/>
            <w:hideMark/>
          </w:tcPr>
          <w:p w14:paraId="14415BF0" w14:textId="77777777" w:rsidR="00677577" w:rsidRPr="005D02A7" w:rsidRDefault="00677577" w:rsidP="005D02A7">
            <w:pPr>
              <w:spacing w:after="0" w:line="240" w:lineRule="auto"/>
              <w:jc w:val="right"/>
              <w:rPr>
                <w:sz w:val="20"/>
                <w:szCs w:val="20"/>
              </w:rPr>
            </w:pPr>
            <w:r w:rsidRPr="005D02A7">
              <w:rPr>
                <w:sz w:val="20"/>
                <w:szCs w:val="20"/>
              </w:rPr>
              <w:t>34.4</w:t>
            </w:r>
          </w:p>
        </w:tc>
        <w:tc>
          <w:tcPr>
            <w:tcW w:w="1967" w:type="dxa"/>
            <w:tcBorders>
              <w:top w:val="nil"/>
              <w:left w:val="nil"/>
              <w:bottom w:val="nil"/>
              <w:right w:val="nil"/>
            </w:tcBorders>
            <w:noWrap/>
            <w:vAlign w:val="bottom"/>
            <w:hideMark/>
          </w:tcPr>
          <w:p w14:paraId="2A70D025" w14:textId="77777777" w:rsidR="00677577" w:rsidRPr="005D02A7" w:rsidRDefault="00677577" w:rsidP="005D02A7">
            <w:pPr>
              <w:spacing w:after="0" w:line="240" w:lineRule="auto"/>
              <w:jc w:val="right"/>
              <w:rPr>
                <w:sz w:val="20"/>
                <w:szCs w:val="20"/>
              </w:rPr>
            </w:pPr>
            <w:r w:rsidRPr="005D02A7">
              <w:rPr>
                <w:sz w:val="20"/>
                <w:szCs w:val="20"/>
              </w:rPr>
              <w:t>3.5</w:t>
            </w:r>
          </w:p>
        </w:tc>
        <w:tc>
          <w:tcPr>
            <w:tcW w:w="1403" w:type="dxa"/>
            <w:tcBorders>
              <w:top w:val="nil"/>
              <w:left w:val="nil"/>
              <w:bottom w:val="nil"/>
              <w:right w:val="single" w:sz="4" w:space="0" w:color="auto"/>
            </w:tcBorders>
            <w:noWrap/>
            <w:vAlign w:val="bottom"/>
            <w:hideMark/>
          </w:tcPr>
          <w:p w14:paraId="44EDD9A2" w14:textId="77777777" w:rsidR="00677577" w:rsidRPr="005D02A7" w:rsidRDefault="00677577" w:rsidP="005D02A7">
            <w:pPr>
              <w:spacing w:after="0" w:line="240" w:lineRule="auto"/>
              <w:jc w:val="right"/>
              <w:rPr>
                <w:sz w:val="20"/>
                <w:szCs w:val="20"/>
              </w:rPr>
            </w:pPr>
            <w:r w:rsidRPr="005D02A7">
              <w:rPr>
                <w:sz w:val="20"/>
                <w:szCs w:val="20"/>
              </w:rPr>
              <w:t>34.1</w:t>
            </w:r>
          </w:p>
        </w:tc>
      </w:tr>
      <w:tr w:rsidR="00677577" w:rsidRPr="00236247" w14:paraId="207388A2" w14:textId="77777777" w:rsidTr="00740A5C">
        <w:trPr>
          <w:trHeight w:val="20"/>
        </w:trPr>
        <w:tc>
          <w:tcPr>
            <w:tcW w:w="1379" w:type="dxa"/>
            <w:tcBorders>
              <w:top w:val="nil"/>
              <w:left w:val="single" w:sz="4" w:space="0" w:color="auto"/>
              <w:bottom w:val="single" w:sz="4" w:space="0" w:color="auto"/>
              <w:right w:val="single" w:sz="4" w:space="0" w:color="auto"/>
            </w:tcBorders>
            <w:noWrap/>
            <w:vAlign w:val="bottom"/>
            <w:hideMark/>
          </w:tcPr>
          <w:p w14:paraId="17F9A8C1" w14:textId="77777777" w:rsidR="00677577" w:rsidRPr="005D02A7" w:rsidRDefault="00677577">
            <w:pPr>
              <w:spacing w:after="0" w:line="240" w:lineRule="auto"/>
              <w:rPr>
                <w:sz w:val="20"/>
                <w:szCs w:val="20"/>
              </w:rPr>
            </w:pPr>
            <w:r w:rsidRPr="005D02A7">
              <w:rPr>
                <w:sz w:val="20"/>
                <w:szCs w:val="20"/>
              </w:rPr>
              <w:t>2022</w:t>
            </w:r>
            <w:r w:rsidRPr="005D02A7">
              <w:rPr>
                <w:rFonts w:ascii="Symbol" w:eastAsia="Symbol" w:hAnsi="Symbol" w:cs="Symbol"/>
                <w:sz w:val="20"/>
                <w:szCs w:val="20"/>
              </w:rPr>
              <w:sym w:font="Symbol" w:char="F02D"/>
            </w:r>
            <w:r w:rsidRPr="005D02A7">
              <w:rPr>
                <w:sz w:val="20"/>
                <w:szCs w:val="20"/>
              </w:rPr>
              <w:t>23</w:t>
            </w:r>
          </w:p>
        </w:tc>
        <w:tc>
          <w:tcPr>
            <w:tcW w:w="1589" w:type="dxa"/>
            <w:tcBorders>
              <w:top w:val="nil"/>
              <w:left w:val="single" w:sz="4" w:space="0" w:color="auto"/>
              <w:bottom w:val="single" w:sz="4" w:space="0" w:color="auto"/>
              <w:right w:val="nil"/>
            </w:tcBorders>
            <w:noWrap/>
            <w:vAlign w:val="bottom"/>
            <w:hideMark/>
          </w:tcPr>
          <w:p w14:paraId="5FCBAB2F" w14:textId="77777777" w:rsidR="00677577" w:rsidRPr="005D02A7" w:rsidRDefault="00677577" w:rsidP="005D02A7">
            <w:pPr>
              <w:spacing w:after="0" w:line="240" w:lineRule="auto"/>
              <w:jc w:val="right"/>
              <w:rPr>
                <w:sz w:val="20"/>
                <w:szCs w:val="20"/>
              </w:rPr>
            </w:pPr>
            <w:r w:rsidRPr="005D02A7">
              <w:rPr>
                <w:sz w:val="20"/>
                <w:szCs w:val="20"/>
              </w:rPr>
              <w:t>40.1</w:t>
            </w:r>
          </w:p>
        </w:tc>
        <w:tc>
          <w:tcPr>
            <w:tcW w:w="1402" w:type="dxa"/>
            <w:tcBorders>
              <w:top w:val="nil"/>
              <w:left w:val="nil"/>
              <w:bottom w:val="single" w:sz="4" w:space="0" w:color="auto"/>
              <w:right w:val="nil"/>
            </w:tcBorders>
            <w:noWrap/>
            <w:vAlign w:val="bottom"/>
            <w:hideMark/>
          </w:tcPr>
          <w:p w14:paraId="23731752" w14:textId="77777777" w:rsidR="00677577" w:rsidRPr="005D02A7" w:rsidRDefault="00677577" w:rsidP="005D02A7">
            <w:pPr>
              <w:spacing w:after="0" w:line="240" w:lineRule="auto"/>
              <w:jc w:val="right"/>
              <w:rPr>
                <w:sz w:val="20"/>
                <w:szCs w:val="20"/>
              </w:rPr>
            </w:pPr>
            <w:r w:rsidRPr="005D02A7">
              <w:rPr>
                <w:sz w:val="20"/>
                <w:szCs w:val="20"/>
              </w:rPr>
              <w:t>40.6</w:t>
            </w:r>
          </w:p>
        </w:tc>
        <w:tc>
          <w:tcPr>
            <w:tcW w:w="1968" w:type="dxa"/>
            <w:tcBorders>
              <w:top w:val="nil"/>
              <w:left w:val="nil"/>
              <w:bottom w:val="single" w:sz="4" w:space="0" w:color="auto"/>
              <w:right w:val="nil"/>
            </w:tcBorders>
            <w:noWrap/>
            <w:vAlign w:val="bottom"/>
            <w:hideMark/>
          </w:tcPr>
          <w:p w14:paraId="11527830" w14:textId="77777777" w:rsidR="00677577" w:rsidRPr="005D02A7" w:rsidRDefault="00677577" w:rsidP="005D02A7">
            <w:pPr>
              <w:spacing w:after="0" w:line="240" w:lineRule="auto"/>
              <w:jc w:val="right"/>
              <w:rPr>
                <w:sz w:val="20"/>
                <w:szCs w:val="20"/>
              </w:rPr>
            </w:pPr>
            <w:r w:rsidRPr="005D02A7">
              <w:rPr>
                <w:sz w:val="20"/>
                <w:szCs w:val="20"/>
              </w:rPr>
              <w:t>4.3</w:t>
            </w:r>
          </w:p>
        </w:tc>
        <w:tc>
          <w:tcPr>
            <w:tcW w:w="1403" w:type="dxa"/>
            <w:tcBorders>
              <w:top w:val="nil"/>
              <w:left w:val="nil"/>
              <w:bottom w:val="single" w:sz="4" w:space="0" w:color="auto"/>
              <w:right w:val="single" w:sz="4" w:space="0" w:color="auto"/>
            </w:tcBorders>
            <w:noWrap/>
            <w:vAlign w:val="bottom"/>
            <w:hideMark/>
          </w:tcPr>
          <w:p w14:paraId="23D98349" w14:textId="77777777" w:rsidR="00677577" w:rsidRPr="005D02A7" w:rsidRDefault="00677577" w:rsidP="005D02A7">
            <w:pPr>
              <w:spacing w:after="0" w:line="240" w:lineRule="auto"/>
              <w:jc w:val="right"/>
              <w:rPr>
                <w:sz w:val="20"/>
                <w:szCs w:val="20"/>
              </w:rPr>
            </w:pPr>
            <w:r w:rsidRPr="005D02A7">
              <w:rPr>
                <w:sz w:val="20"/>
                <w:szCs w:val="20"/>
              </w:rPr>
              <w:t>15.0</w:t>
            </w:r>
          </w:p>
        </w:tc>
        <w:tc>
          <w:tcPr>
            <w:tcW w:w="1589" w:type="dxa"/>
            <w:tcBorders>
              <w:top w:val="nil"/>
              <w:left w:val="single" w:sz="4" w:space="0" w:color="auto"/>
              <w:bottom w:val="single" w:sz="4" w:space="0" w:color="auto"/>
              <w:right w:val="nil"/>
            </w:tcBorders>
            <w:noWrap/>
            <w:vAlign w:val="bottom"/>
            <w:hideMark/>
          </w:tcPr>
          <w:p w14:paraId="6A8E43AF" w14:textId="77777777" w:rsidR="00677577" w:rsidRPr="005D02A7" w:rsidRDefault="00677577" w:rsidP="005D02A7">
            <w:pPr>
              <w:spacing w:after="0" w:line="240" w:lineRule="auto"/>
              <w:jc w:val="right"/>
              <w:rPr>
                <w:sz w:val="20"/>
                <w:szCs w:val="20"/>
              </w:rPr>
            </w:pPr>
            <w:r w:rsidRPr="005D02A7">
              <w:rPr>
                <w:sz w:val="20"/>
                <w:szCs w:val="20"/>
              </w:rPr>
              <w:t>32.8</w:t>
            </w:r>
          </w:p>
        </w:tc>
        <w:tc>
          <w:tcPr>
            <w:tcW w:w="1403" w:type="dxa"/>
            <w:tcBorders>
              <w:top w:val="nil"/>
              <w:left w:val="nil"/>
              <w:bottom w:val="single" w:sz="4" w:space="0" w:color="auto"/>
              <w:right w:val="nil"/>
            </w:tcBorders>
            <w:noWrap/>
            <w:vAlign w:val="bottom"/>
            <w:hideMark/>
          </w:tcPr>
          <w:p w14:paraId="6EC78B4E" w14:textId="77777777" w:rsidR="00677577" w:rsidRPr="005D02A7" w:rsidRDefault="00677577" w:rsidP="005D02A7">
            <w:pPr>
              <w:spacing w:after="0" w:line="240" w:lineRule="auto"/>
              <w:jc w:val="right"/>
              <w:rPr>
                <w:sz w:val="20"/>
                <w:szCs w:val="20"/>
              </w:rPr>
            </w:pPr>
            <w:r w:rsidRPr="005D02A7">
              <w:rPr>
                <w:sz w:val="20"/>
                <w:szCs w:val="20"/>
              </w:rPr>
              <w:t>31.1</w:t>
            </w:r>
          </w:p>
        </w:tc>
        <w:tc>
          <w:tcPr>
            <w:tcW w:w="1967" w:type="dxa"/>
            <w:tcBorders>
              <w:top w:val="nil"/>
              <w:left w:val="nil"/>
              <w:bottom w:val="single" w:sz="4" w:space="0" w:color="auto"/>
              <w:right w:val="nil"/>
            </w:tcBorders>
            <w:noWrap/>
            <w:vAlign w:val="bottom"/>
            <w:hideMark/>
          </w:tcPr>
          <w:p w14:paraId="78381D67" w14:textId="77777777" w:rsidR="00677577" w:rsidRPr="005D02A7" w:rsidRDefault="00677577" w:rsidP="005D02A7">
            <w:pPr>
              <w:spacing w:after="0" w:line="240" w:lineRule="auto"/>
              <w:jc w:val="right"/>
              <w:rPr>
                <w:sz w:val="20"/>
                <w:szCs w:val="20"/>
              </w:rPr>
            </w:pPr>
            <w:r w:rsidRPr="005D02A7">
              <w:rPr>
                <w:sz w:val="20"/>
                <w:szCs w:val="20"/>
              </w:rPr>
              <w:t>2.8</w:t>
            </w:r>
          </w:p>
        </w:tc>
        <w:tc>
          <w:tcPr>
            <w:tcW w:w="1403" w:type="dxa"/>
            <w:tcBorders>
              <w:top w:val="nil"/>
              <w:left w:val="nil"/>
              <w:bottom w:val="single" w:sz="4" w:space="0" w:color="auto"/>
              <w:right w:val="single" w:sz="4" w:space="0" w:color="auto"/>
            </w:tcBorders>
            <w:noWrap/>
            <w:vAlign w:val="bottom"/>
            <w:hideMark/>
          </w:tcPr>
          <w:p w14:paraId="1BCCF22E" w14:textId="77777777" w:rsidR="00677577" w:rsidRPr="005D02A7" w:rsidRDefault="00677577" w:rsidP="005D02A7">
            <w:pPr>
              <w:spacing w:after="0" w:line="240" w:lineRule="auto"/>
              <w:jc w:val="right"/>
              <w:rPr>
                <w:sz w:val="20"/>
                <w:szCs w:val="20"/>
              </w:rPr>
            </w:pPr>
            <w:r w:rsidRPr="005D02A7">
              <w:rPr>
                <w:sz w:val="20"/>
                <w:szCs w:val="20"/>
              </w:rPr>
              <w:t>33.3</w:t>
            </w:r>
          </w:p>
        </w:tc>
      </w:tr>
    </w:tbl>
    <w:p w14:paraId="6C9016E9" w14:textId="77777777" w:rsidR="0016448B" w:rsidRDefault="00677577" w:rsidP="00677577">
      <w:pPr>
        <w:pStyle w:val="Source"/>
        <w:rPr>
          <w:b/>
          <w:bCs/>
        </w:rPr>
      </w:pPr>
      <w:r w:rsidRPr="00167CB8">
        <w:rPr>
          <w:b/>
          <w:bCs/>
        </w:rPr>
        <w:t xml:space="preserve">Notes: </w:t>
      </w:r>
    </w:p>
    <w:p w14:paraId="01AA9AA3" w14:textId="495FB2FD" w:rsidR="0016448B" w:rsidRDefault="0016448B" w:rsidP="0016448B">
      <w:pPr>
        <w:pStyle w:val="Source"/>
      </w:pPr>
      <w:r>
        <w:t>1</w:t>
      </w:r>
      <w:r w:rsidRPr="00167CB8">
        <w:t>. CA</w:t>
      </w:r>
      <w:r>
        <w:t>:</w:t>
      </w:r>
      <w:r w:rsidRPr="00167CB8">
        <w:t xml:space="preserve"> collective (enterprise) agreement; IA</w:t>
      </w:r>
      <w:r>
        <w:t>:</w:t>
      </w:r>
      <w:r w:rsidRPr="00167CB8">
        <w:t xml:space="preserve"> individual arrangement; Combination</w:t>
      </w:r>
      <w:r>
        <w:t>:</w:t>
      </w:r>
      <w:r w:rsidRPr="00167CB8">
        <w:t xml:space="preserve"> combination of CA and IA; Award</w:t>
      </w:r>
      <w:r>
        <w:t>:</w:t>
      </w:r>
      <w:r w:rsidRPr="00167CB8">
        <w:t xml:space="preserve"> award only</w:t>
      </w:r>
      <w:r>
        <w:t>.</w:t>
      </w:r>
    </w:p>
    <w:p w14:paraId="0243FEAF" w14:textId="12D457BE" w:rsidR="0016448B" w:rsidRDefault="0016448B" w:rsidP="00677577">
      <w:pPr>
        <w:pStyle w:val="Source"/>
      </w:pPr>
      <w:r>
        <w:t>2</w:t>
      </w:r>
      <w:r w:rsidR="00677577" w:rsidRPr="00167CB8">
        <w:t xml:space="preserve">. Sample consists of respondents aged 21 to 64 who are employees, have an observable wage and work more than </w:t>
      </w:r>
      <w:r>
        <w:t>five</w:t>
      </w:r>
      <w:r w:rsidR="00677577" w:rsidRPr="00167CB8">
        <w:t xml:space="preserve"> hours per week in their main job and fewer than 60 hours per week in their main job. It excludes those who do not know how their pay is set or who refused to answer. It also excludes a small share of respondents whose pay is set by some other means</w:t>
      </w:r>
      <w:r>
        <w:t>.</w:t>
      </w:r>
    </w:p>
    <w:p w14:paraId="68235A89" w14:textId="2ED9E737" w:rsidR="0016448B" w:rsidRDefault="0016448B" w:rsidP="00677577">
      <w:pPr>
        <w:pStyle w:val="Source"/>
      </w:pPr>
      <w:r>
        <w:t>3</w:t>
      </w:r>
      <w:r w:rsidR="00677577" w:rsidRPr="00167CB8">
        <w:t xml:space="preserve">. Data are pooled for each of </w:t>
      </w:r>
      <w:r>
        <w:t>two</w:t>
      </w:r>
      <w:r w:rsidR="00677577" w:rsidRPr="00167CB8">
        <w:t xml:space="preserve"> waves to increase the sample size</w:t>
      </w:r>
      <w:r>
        <w:t>.</w:t>
      </w:r>
    </w:p>
    <w:p w14:paraId="7C2B1132" w14:textId="2594F29C" w:rsidR="0016448B" w:rsidRDefault="00677577" w:rsidP="00677577">
      <w:pPr>
        <w:pStyle w:val="Source"/>
      </w:pPr>
      <w:r w:rsidRPr="00167CB8">
        <w:t>4. Estimates weighted to reflect population totals</w:t>
      </w:r>
      <w:r w:rsidR="0016448B">
        <w:t>.</w:t>
      </w:r>
    </w:p>
    <w:p w14:paraId="0B4D71FE" w14:textId="4FB10279" w:rsidR="00677577" w:rsidRPr="00167CB8" w:rsidRDefault="00677577" w:rsidP="00677577">
      <w:pPr>
        <w:pStyle w:val="Source"/>
      </w:pPr>
      <w:r w:rsidRPr="00172D51">
        <w:rPr>
          <w:b/>
          <w:bCs/>
        </w:rPr>
        <w:t>S</w:t>
      </w:r>
      <w:r w:rsidRPr="00167CB8">
        <w:rPr>
          <w:b/>
          <w:bCs/>
        </w:rPr>
        <w:t>ource:</w:t>
      </w:r>
      <w:r w:rsidRPr="00167CB8">
        <w:t xml:space="preserve"> Household, Income and Labour Dynamics in Australia (HILDA) survey, waves 8</w:t>
      </w:r>
      <w:r w:rsidRPr="00167CB8">
        <w:rPr>
          <w:rFonts w:ascii="Symbol" w:eastAsia="Symbol" w:hAnsi="Symbol" w:cs="Symbol"/>
        </w:rPr>
        <w:sym w:font="Symbol" w:char="F02D"/>
      </w:r>
      <w:r w:rsidRPr="00167CB8">
        <w:t>23.</w:t>
      </w:r>
    </w:p>
    <w:p w14:paraId="5F5737F9" w14:textId="72B01B25" w:rsidR="00677577" w:rsidRPr="00167CB8" w:rsidRDefault="00677577" w:rsidP="00677577">
      <w:pPr>
        <w:sectPr w:rsidR="00677577" w:rsidRPr="00167CB8" w:rsidSect="00677577">
          <w:pgSz w:w="16838" w:h="11906" w:orient="landscape"/>
          <w:pgMar w:top="1440" w:right="1440" w:bottom="1440" w:left="1440" w:header="708" w:footer="708" w:gutter="0"/>
          <w:cols w:space="720"/>
        </w:sectPr>
      </w:pPr>
    </w:p>
    <w:p w14:paraId="2FDD2525" w14:textId="0FFEFC54" w:rsidR="0011475D" w:rsidRDefault="00677577" w:rsidP="00677577">
      <w:r w:rsidRPr="005D02A7">
        <w:t>Figure 4</w:t>
      </w:r>
      <w:r w:rsidR="00844718" w:rsidRPr="005D02A7">
        <w:t>7</w:t>
      </w:r>
      <w:r w:rsidRPr="007B334A">
        <w:t xml:space="preserve"> shows</w:t>
      </w:r>
      <w:r w:rsidRPr="00167CB8">
        <w:t xml:space="preserve"> trends in the hourly wages by gender and method of pay setting. Those paid exactly the award rate, on average, receive lower hourly earnings than those on a collective or individual agreement.</w:t>
      </w:r>
    </w:p>
    <w:p w14:paraId="3AE13566" w14:textId="6B223592" w:rsidR="00677577" w:rsidRPr="00167CB8" w:rsidRDefault="00844718" w:rsidP="007F380D">
      <w:pPr>
        <w:pStyle w:val="Caption"/>
      </w:pPr>
      <w:bookmarkStart w:id="955" w:name="_Toc186991799"/>
      <w:bookmarkStart w:id="956" w:name="_Toc189310832"/>
      <w:bookmarkStart w:id="957" w:name="_Toc194251545"/>
      <w:r>
        <w:t xml:space="preserve">Figure </w:t>
      </w:r>
      <w:r>
        <w:fldChar w:fldCharType="begin"/>
      </w:r>
      <w:r>
        <w:instrText xml:space="preserve"> SEQ Figure \* ARABIC </w:instrText>
      </w:r>
      <w:r>
        <w:fldChar w:fldCharType="separate"/>
      </w:r>
      <w:r w:rsidR="00DE5F5E">
        <w:rPr>
          <w:noProof/>
        </w:rPr>
        <w:t>47</w:t>
      </w:r>
      <w:r>
        <w:fldChar w:fldCharType="end"/>
      </w:r>
      <w:r>
        <w:t xml:space="preserve">: </w:t>
      </w:r>
      <w:r w:rsidR="00677577" w:rsidRPr="00167CB8">
        <w:t xml:space="preserve">Trends in the natural logarithm of hourly wages by method of pay setting, </w:t>
      </w:r>
      <w:r w:rsidR="00677577" w:rsidRPr="00753E96" w:rsidDel="007B334A">
        <w:t>Australia,</w:t>
      </w:r>
      <w:r w:rsidR="00677577" w:rsidRPr="00167CB8" w:rsidDel="007B334A">
        <w:t xml:space="preserve"> </w:t>
      </w:r>
      <w:r w:rsidR="00677577" w:rsidRPr="00167CB8">
        <w:t>2008 to 2022</w:t>
      </w:r>
      <w:bookmarkEnd w:id="955"/>
      <w:bookmarkEnd w:id="956"/>
      <w:bookmarkEnd w:id="957"/>
    </w:p>
    <w:p w14:paraId="6CCA4C37" w14:textId="6FCF9ADF" w:rsidR="00677577" w:rsidRPr="00167CB8" w:rsidRDefault="00677577" w:rsidP="00677577">
      <w:r w:rsidRPr="00167CB8">
        <w:rPr>
          <w:noProof/>
        </w:rPr>
        <w:drawing>
          <wp:inline distT="0" distB="0" distL="0" distR="0" wp14:anchorId="0E9372AC" wp14:editId="33908491">
            <wp:extent cx="5686425" cy="3714750"/>
            <wp:effectExtent l="0" t="0" r="9525" b="0"/>
            <wp:docPr id="575308351" name="Picture 42" descr="A line chart showing trends in the natural logarithm of hourly wages by method of pay setting.&#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308351" name="Picture 42" descr="A line chart showing trends in the natural logarithm of hourly wages by method of pay setting.&#10;&#10;See alt-text following the sourc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686425" cy="3714750"/>
                    </a:xfrm>
                    <a:prstGeom prst="rect">
                      <a:avLst/>
                    </a:prstGeom>
                    <a:noFill/>
                    <a:ln>
                      <a:noFill/>
                    </a:ln>
                  </pic:spPr>
                </pic:pic>
              </a:graphicData>
            </a:graphic>
          </wp:inline>
        </w:drawing>
      </w:r>
    </w:p>
    <w:p w14:paraId="27DAC2BB" w14:textId="77777777" w:rsidR="00677577" w:rsidRPr="00167CB8" w:rsidRDefault="00677577" w:rsidP="00677577">
      <w:pPr>
        <w:pStyle w:val="Source"/>
        <w:rPr>
          <w:b/>
          <w:bCs/>
        </w:rPr>
      </w:pPr>
      <w:r w:rsidRPr="00167CB8">
        <w:rPr>
          <w:b/>
          <w:bCs/>
        </w:rPr>
        <w:t>Notes:</w:t>
      </w:r>
    </w:p>
    <w:p w14:paraId="5782D2B8" w14:textId="1F596DD8" w:rsidR="0016448B" w:rsidRDefault="0016448B" w:rsidP="00677577">
      <w:pPr>
        <w:pStyle w:val="Source"/>
      </w:pPr>
      <w:r>
        <w:t xml:space="preserve">1. CA: collective </w:t>
      </w:r>
      <w:r w:rsidRPr="0016448B">
        <w:t>agreement; IA: individual agreement.</w:t>
      </w:r>
    </w:p>
    <w:p w14:paraId="1CF439A5" w14:textId="07974595" w:rsidR="0011475D" w:rsidRDefault="0016448B" w:rsidP="00677577">
      <w:pPr>
        <w:pStyle w:val="Source"/>
      </w:pPr>
      <w:r>
        <w:t>2</w:t>
      </w:r>
      <w:r w:rsidR="00677577" w:rsidRPr="00167CB8">
        <w:t xml:space="preserve">. Sample consists of respondents aged 21 to 64 who are employees, have an observable wage and work between </w:t>
      </w:r>
      <w:r>
        <w:t>five</w:t>
      </w:r>
      <w:r w:rsidR="00677577" w:rsidRPr="00167CB8">
        <w:t xml:space="preserve"> and 60 hours per week in their main job and have observable data on method of pay setting.</w:t>
      </w:r>
    </w:p>
    <w:p w14:paraId="13BDD6BE" w14:textId="42AF769F" w:rsidR="00677577" w:rsidRPr="00167CB8" w:rsidRDefault="0016448B" w:rsidP="00677577">
      <w:pPr>
        <w:pStyle w:val="Source"/>
      </w:pPr>
      <w:r>
        <w:t>3</w:t>
      </w:r>
      <w:r w:rsidR="00677577" w:rsidRPr="00167CB8">
        <w:t>. Estimates are weighted to reflect population totals.</w:t>
      </w:r>
    </w:p>
    <w:p w14:paraId="74E3FAD5" w14:textId="317B8DE6" w:rsidR="00677577" w:rsidRPr="00167CB8" w:rsidRDefault="0016448B" w:rsidP="00677577">
      <w:pPr>
        <w:pStyle w:val="Source"/>
      </w:pPr>
      <w:r>
        <w:t>4</w:t>
      </w:r>
      <w:r w:rsidR="00677577" w:rsidRPr="00167CB8">
        <w:t>. The outcome variable is the natural logarithm of hourly earnings in the main job in 2022 prices.</w:t>
      </w:r>
    </w:p>
    <w:p w14:paraId="691AA5FA" w14:textId="77777777" w:rsidR="00677577" w:rsidRPr="00167CB8" w:rsidRDefault="00677577" w:rsidP="00677577">
      <w:pPr>
        <w:pStyle w:val="Source"/>
      </w:pPr>
      <w:r w:rsidRPr="00167CB8">
        <w:rPr>
          <w:b/>
          <w:bCs/>
        </w:rPr>
        <w:t>Source:</w:t>
      </w:r>
      <w:r w:rsidRPr="00167CB8">
        <w:t xml:space="preserve"> HILDA, waves 8</w:t>
      </w:r>
      <w:r w:rsidRPr="00167CB8">
        <w:rPr>
          <w:rFonts w:ascii="Symbol" w:eastAsia="Symbol" w:hAnsi="Symbol" w:cs="Symbol"/>
        </w:rPr>
        <w:sym w:font="Symbol" w:char="F02D"/>
      </w:r>
      <w:r w:rsidRPr="00167CB8">
        <w:t>22.</w:t>
      </w:r>
    </w:p>
    <w:p w14:paraId="3E5E578A" w14:textId="77777777" w:rsidR="00677577" w:rsidRPr="00167CB8" w:rsidRDefault="00677577" w:rsidP="00677577">
      <w:pPr>
        <w:pStyle w:val="Source"/>
      </w:pPr>
      <w:r w:rsidRPr="00167CB8">
        <w:rPr>
          <w:b/>
          <w:bCs/>
        </w:rPr>
        <w:t>Alt-text:</w:t>
      </w:r>
      <w:r w:rsidRPr="00167CB8">
        <w:t xml:space="preserve"> A line chart showing trends in the natural logarithm of hourly wages (in 2022 prices). Wage growth between 2008 and 2022 is slowest among men who are paid exactly according to the award and highest among women who are paid according to a collective agreement.</w:t>
      </w:r>
    </w:p>
    <w:p w14:paraId="44511C4E" w14:textId="77777777" w:rsidR="00677577" w:rsidRPr="00753E96" w:rsidRDefault="00677577" w:rsidP="00677577">
      <w:r w:rsidRPr="00167CB8">
        <w:br w:type="page"/>
      </w:r>
    </w:p>
    <w:p w14:paraId="191A9921" w14:textId="4BBCCA17" w:rsidR="0011475D" w:rsidRDefault="00677577" w:rsidP="00677577">
      <w:r w:rsidRPr="00753E96">
        <w:t xml:space="preserve">Table </w:t>
      </w:r>
      <w:r w:rsidR="009713D5" w:rsidRPr="00753E96">
        <w:t>5</w:t>
      </w:r>
      <w:r w:rsidR="009713D5">
        <w:t>4</w:t>
      </w:r>
      <w:r w:rsidR="009713D5" w:rsidRPr="007B334A">
        <w:t xml:space="preserve"> </w:t>
      </w:r>
      <w:r w:rsidRPr="007B334A">
        <w:t>provides further insight into the nature of pay setting in Australia. In columns 1 and 2 the</w:t>
      </w:r>
      <w:r w:rsidRPr="00167CB8">
        <w:t xml:space="preserve"> sample is constrained to employees who work full-time in their main job. Columns 3 and 4 present summary statistics for those employed part-time. The sample excludes full-time students.</w:t>
      </w:r>
    </w:p>
    <w:p w14:paraId="1018EAAE" w14:textId="77777777" w:rsidR="0011475D" w:rsidRDefault="00677577" w:rsidP="00677577">
      <w:r w:rsidRPr="00167CB8">
        <w:t>Estimates in column 1 show that, in the period 2012</w:t>
      </w:r>
      <w:r w:rsidRPr="00167CB8">
        <w:rPr>
          <w:rFonts w:ascii="Symbol" w:eastAsia="Symbol" w:hAnsi="Symbol" w:cs="Symbol"/>
        </w:rPr>
        <w:sym w:font="Symbol" w:char="F02D"/>
      </w:r>
      <w:r w:rsidRPr="00167CB8">
        <w:t>22, 37.7% of male employees working full-time had their pay set by a collective agreement. The corresponding share among women was lower at 32.7%.</w:t>
      </w:r>
    </w:p>
    <w:p w14:paraId="68C8906A" w14:textId="2C7142B5" w:rsidR="00677577" w:rsidRPr="00167CB8" w:rsidRDefault="00677577" w:rsidP="00677577">
      <w:r w:rsidRPr="00167CB8">
        <w:t>Columns 3 and 4 show that persons working part-time are more likely than those working full-time to be paid according to the award. Part-timers are also more likely to be casual (38.5% of men and 36.1% of women).</w:t>
      </w:r>
      <w:r w:rsidRPr="00167CB8">
        <w:rPr>
          <w:vertAlign w:val="superscript"/>
        </w:rPr>
        <w:footnoteReference w:id="1332"/>
      </w:r>
    </w:p>
    <w:p w14:paraId="71592B37" w14:textId="77777777" w:rsidR="00677577" w:rsidRPr="00167CB8" w:rsidRDefault="00677577" w:rsidP="00677577">
      <w:pPr>
        <w:rPr>
          <w:i/>
          <w:iCs/>
        </w:rPr>
      </w:pPr>
      <w:r w:rsidRPr="00167CB8">
        <w:br w:type="page"/>
      </w:r>
    </w:p>
    <w:p w14:paraId="04DBCEBA" w14:textId="1EB49B6F" w:rsidR="00677577" w:rsidRPr="00167CB8" w:rsidRDefault="00844718" w:rsidP="007F380D">
      <w:pPr>
        <w:pStyle w:val="Caption"/>
      </w:pPr>
      <w:bookmarkStart w:id="958" w:name="_Toc186991827"/>
      <w:bookmarkStart w:id="959" w:name="_Toc189310878"/>
      <w:bookmarkStart w:id="960" w:name="_Toc194251478"/>
      <w:r>
        <w:t xml:space="preserve">Table </w:t>
      </w:r>
      <w:r>
        <w:fldChar w:fldCharType="begin"/>
      </w:r>
      <w:r>
        <w:instrText xml:space="preserve"> SEQ Table \* ARABIC </w:instrText>
      </w:r>
      <w:r>
        <w:fldChar w:fldCharType="separate"/>
      </w:r>
      <w:r w:rsidR="00DE5F5E">
        <w:rPr>
          <w:noProof/>
        </w:rPr>
        <w:t>54</w:t>
      </w:r>
      <w:r>
        <w:fldChar w:fldCharType="end"/>
      </w:r>
      <w:r>
        <w:t xml:space="preserve">: </w:t>
      </w:r>
      <w:r w:rsidR="00677577" w:rsidRPr="00167CB8">
        <w:t>Descriptive statistics concerning employees in Australia, 2012</w:t>
      </w:r>
      <w:r w:rsidR="001442AE">
        <w:t xml:space="preserve"> to </w:t>
      </w:r>
      <w:r w:rsidR="00677577" w:rsidRPr="00167CB8">
        <w:t>2022 (pooled)</w:t>
      </w:r>
      <w:bookmarkEnd w:id="958"/>
      <w:bookmarkEnd w:id="959"/>
      <w:bookmarkEnd w:id="960"/>
    </w:p>
    <w:tbl>
      <w:tblPr>
        <w:tblW w:w="924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673"/>
        <w:gridCol w:w="1134"/>
        <w:gridCol w:w="1147"/>
        <w:gridCol w:w="6"/>
        <w:gridCol w:w="1141"/>
        <w:gridCol w:w="1147"/>
      </w:tblGrid>
      <w:tr w:rsidR="00677577" w:rsidRPr="00167CB8" w14:paraId="3A8DCD00" w14:textId="77777777">
        <w:trPr>
          <w:trHeight w:val="397"/>
        </w:trPr>
        <w:tc>
          <w:tcPr>
            <w:tcW w:w="4673" w:type="dxa"/>
            <w:tcBorders>
              <w:top w:val="single" w:sz="4" w:space="0" w:color="auto"/>
              <w:left w:val="single" w:sz="4" w:space="0" w:color="auto"/>
              <w:bottom w:val="nil"/>
              <w:right w:val="nil"/>
            </w:tcBorders>
            <w:noWrap/>
            <w:vAlign w:val="bottom"/>
          </w:tcPr>
          <w:p w14:paraId="7F965EDA" w14:textId="77777777" w:rsidR="00677577" w:rsidRPr="00DD02AC" w:rsidRDefault="00677577">
            <w:pPr>
              <w:spacing w:after="0" w:line="240" w:lineRule="auto"/>
              <w:rPr>
                <w:b/>
                <w:bCs/>
                <w:sz w:val="20"/>
                <w:szCs w:val="20"/>
              </w:rPr>
            </w:pPr>
          </w:p>
        </w:tc>
        <w:tc>
          <w:tcPr>
            <w:tcW w:w="2287" w:type="dxa"/>
            <w:gridSpan w:val="3"/>
            <w:tcBorders>
              <w:top w:val="single" w:sz="4" w:space="0" w:color="auto"/>
              <w:left w:val="nil"/>
              <w:bottom w:val="nil"/>
              <w:right w:val="nil"/>
            </w:tcBorders>
            <w:noWrap/>
            <w:vAlign w:val="center"/>
            <w:hideMark/>
          </w:tcPr>
          <w:p w14:paraId="46C1D49F" w14:textId="77777777" w:rsidR="00677577" w:rsidRPr="00DD02AC" w:rsidRDefault="00677577" w:rsidP="00753E96">
            <w:pPr>
              <w:spacing w:after="0" w:line="240" w:lineRule="auto"/>
              <w:jc w:val="right"/>
              <w:rPr>
                <w:b/>
                <w:bCs/>
                <w:sz w:val="20"/>
                <w:szCs w:val="20"/>
              </w:rPr>
            </w:pPr>
            <w:r w:rsidRPr="00DD02AC">
              <w:rPr>
                <w:b/>
                <w:bCs/>
                <w:sz w:val="20"/>
                <w:szCs w:val="20"/>
              </w:rPr>
              <w:t>Employed full-time main job (&gt;=35 hours per week)</w:t>
            </w:r>
          </w:p>
        </w:tc>
        <w:tc>
          <w:tcPr>
            <w:tcW w:w="2288" w:type="dxa"/>
            <w:gridSpan w:val="2"/>
            <w:tcBorders>
              <w:top w:val="single" w:sz="4" w:space="0" w:color="auto"/>
              <w:left w:val="nil"/>
              <w:bottom w:val="nil"/>
              <w:right w:val="single" w:sz="4" w:space="0" w:color="auto"/>
            </w:tcBorders>
            <w:vAlign w:val="center"/>
            <w:hideMark/>
          </w:tcPr>
          <w:p w14:paraId="1506A251" w14:textId="77777777" w:rsidR="00677577" w:rsidRPr="00DD02AC" w:rsidRDefault="00677577" w:rsidP="00753E96">
            <w:pPr>
              <w:spacing w:after="0" w:line="240" w:lineRule="auto"/>
              <w:jc w:val="right"/>
              <w:rPr>
                <w:b/>
                <w:bCs/>
                <w:sz w:val="20"/>
                <w:szCs w:val="20"/>
              </w:rPr>
            </w:pPr>
            <w:r w:rsidRPr="00DD02AC">
              <w:rPr>
                <w:b/>
                <w:bCs/>
                <w:sz w:val="20"/>
                <w:szCs w:val="20"/>
              </w:rPr>
              <w:t>Employed part-time main job (fewer than 35 hours per week)</w:t>
            </w:r>
          </w:p>
        </w:tc>
      </w:tr>
      <w:tr w:rsidR="00677577" w:rsidRPr="00167CB8" w14:paraId="3913E29E" w14:textId="77777777">
        <w:trPr>
          <w:trHeight w:val="397"/>
        </w:trPr>
        <w:tc>
          <w:tcPr>
            <w:tcW w:w="4673" w:type="dxa"/>
            <w:tcBorders>
              <w:top w:val="nil"/>
              <w:left w:val="single" w:sz="4" w:space="0" w:color="auto"/>
              <w:bottom w:val="single" w:sz="4" w:space="0" w:color="auto"/>
              <w:right w:val="nil"/>
            </w:tcBorders>
            <w:noWrap/>
            <w:vAlign w:val="bottom"/>
            <w:hideMark/>
          </w:tcPr>
          <w:p w14:paraId="6CFE4F17" w14:textId="77777777" w:rsidR="00677577" w:rsidRPr="00DD02AC" w:rsidRDefault="00677577">
            <w:pPr>
              <w:spacing w:after="0" w:line="240" w:lineRule="auto"/>
              <w:rPr>
                <w:b/>
                <w:bCs/>
                <w:sz w:val="20"/>
                <w:szCs w:val="20"/>
              </w:rPr>
            </w:pPr>
          </w:p>
        </w:tc>
        <w:tc>
          <w:tcPr>
            <w:tcW w:w="1134" w:type="dxa"/>
            <w:tcBorders>
              <w:top w:val="nil"/>
              <w:left w:val="nil"/>
              <w:bottom w:val="single" w:sz="4" w:space="0" w:color="auto"/>
              <w:right w:val="nil"/>
            </w:tcBorders>
            <w:noWrap/>
            <w:vAlign w:val="center"/>
            <w:hideMark/>
          </w:tcPr>
          <w:p w14:paraId="732D1A3E" w14:textId="77777777" w:rsidR="00677577" w:rsidRPr="00DD02AC" w:rsidRDefault="00677577" w:rsidP="00753E96">
            <w:pPr>
              <w:spacing w:after="0" w:line="240" w:lineRule="auto"/>
              <w:jc w:val="right"/>
              <w:rPr>
                <w:b/>
                <w:bCs/>
                <w:sz w:val="20"/>
                <w:szCs w:val="20"/>
              </w:rPr>
            </w:pPr>
            <w:r w:rsidRPr="00DD02AC">
              <w:rPr>
                <w:b/>
                <w:bCs/>
                <w:sz w:val="20"/>
                <w:szCs w:val="20"/>
              </w:rPr>
              <w:t>Men</w:t>
            </w:r>
          </w:p>
        </w:tc>
        <w:tc>
          <w:tcPr>
            <w:tcW w:w="1147" w:type="dxa"/>
            <w:tcBorders>
              <w:top w:val="nil"/>
              <w:left w:val="nil"/>
              <w:bottom w:val="single" w:sz="4" w:space="0" w:color="auto"/>
              <w:right w:val="nil"/>
            </w:tcBorders>
            <w:noWrap/>
            <w:vAlign w:val="center"/>
            <w:hideMark/>
          </w:tcPr>
          <w:p w14:paraId="2454A427" w14:textId="77777777" w:rsidR="00677577" w:rsidRPr="00DD02AC" w:rsidRDefault="00677577" w:rsidP="00753E96">
            <w:pPr>
              <w:spacing w:after="0" w:line="240" w:lineRule="auto"/>
              <w:jc w:val="right"/>
              <w:rPr>
                <w:b/>
                <w:bCs/>
                <w:sz w:val="20"/>
                <w:szCs w:val="20"/>
              </w:rPr>
            </w:pPr>
            <w:r w:rsidRPr="00DD02AC">
              <w:rPr>
                <w:b/>
                <w:bCs/>
                <w:sz w:val="20"/>
                <w:szCs w:val="20"/>
              </w:rPr>
              <w:t>Women</w:t>
            </w:r>
          </w:p>
        </w:tc>
        <w:tc>
          <w:tcPr>
            <w:tcW w:w="1147" w:type="dxa"/>
            <w:gridSpan w:val="2"/>
            <w:tcBorders>
              <w:top w:val="nil"/>
              <w:left w:val="nil"/>
              <w:bottom w:val="single" w:sz="4" w:space="0" w:color="auto"/>
              <w:right w:val="nil"/>
            </w:tcBorders>
            <w:vAlign w:val="center"/>
            <w:hideMark/>
          </w:tcPr>
          <w:p w14:paraId="5E2A27BC" w14:textId="77777777" w:rsidR="00677577" w:rsidRPr="00DD02AC" w:rsidRDefault="00677577" w:rsidP="00753E96">
            <w:pPr>
              <w:spacing w:after="0" w:line="240" w:lineRule="auto"/>
              <w:jc w:val="right"/>
              <w:rPr>
                <w:b/>
                <w:bCs/>
                <w:sz w:val="20"/>
                <w:szCs w:val="20"/>
              </w:rPr>
            </w:pPr>
            <w:r w:rsidRPr="00DD02AC">
              <w:rPr>
                <w:b/>
                <w:bCs/>
                <w:sz w:val="20"/>
                <w:szCs w:val="20"/>
              </w:rPr>
              <w:t>Men</w:t>
            </w:r>
          </w:p>
        </w:tc>
        <w:tc>
          <w:tcPr>
            <w:tcW w:w="1147" w:type="dxa"/>
            <w:tcBorders>
              <w:top w:val="nil"/>
              <w:left w:val="nil"/>
              <w:bottom w:val="single" w:sz="4" w:space="0" w:color="auto"/>
              <w:right w:val="single" w:sz="4" w:space="0" w:color="auto"/>
            </w:tcBorders>
            <w:vAlign w:val="center"/>
            <w:hideMark/>
          </w:tcPr>
          <w:p w14:paraId="124340A6" w14:textId="77777777" w:rsidR="00677577" w:rsidRPr="00DD02AC" w:rsidRDefault="00677577" w:rsidP="00753E96">
            <w:pPr>
              <w:spacing w:after="0" w:line="240" w:lineRule="auto"/>
              <w:jc w:val="right"/>
              <w:rPr>
                <w:b/>
                <w:bCs/>
                <w:sz w:val="20"/>
                <w:szCs w:val="20"/>
              </w:rPr>
            </w:pPr>
            <w:r w:rsidRPr="00DD02AC">
              <w:rPr>
                <w:b/>
                <w:bCs/>
                <w:sz w:val="20"/>
                <w:szCs w:val="20"/>
              </w:rPr>
              <w:t>Women</w:t>
            </w:r>
          </w:p>
        </w:tc>
      </w:tr>
      <w:tr w:rsidR="00677577" w:rsidRPr="00167CB8" w14:paraId="50598916" w14:textId="77777777">
        <w:trPr>
          <w:trHeight w:val="340"/>
        </w:trPr>
        <w:tc>
          <w:tcPr>
            <w:tcW w:w="4673" w:type="dxa"/>
            <w:tcBorders>
              <w:top w:val="single" w:sz="4" w:space="0" w:color="auto"/>
              <w:left w:val="single" w:sz="4" w:space="0" w:color="auto"/>
              <w:bottom w:val="nil"/>
              <w:right w:val="nil"/>
            </w:tcBorders>
            <w:noWrap/>
            <w:vAlign w:val="center"/>
          </w:tcPr>
          <w:p w14:paraId="4AE997B9" w14:textId="77777777" w:rsidR="00677577" w:rsidRPr="00DD02AC" w:rsidRDefault="00677577">
            <w:pPr>
              <w:spacing w:after="0" w:line="240" w:lineRule="auto"/>
              <w:rPr>
                <w:sz w:val="20"/>
                <w:szCs w:val="20"/>
              </w:rPr>
            </w:pPr>
          </w:p>
        </w:tc>
        <w:tc>
          <w:tcPr>
            <w:tcW w:w="1134" w:type="dxa"/>
            <w:tcBorders>
              <w:top w:val="single" w:sz="4" w:space="0" w:color="auto"/>
              <w:left w:val="nil"/>
              <w:bottom w:val="nil"/>
              <w:right w:val="nil"/>
            </w:tcBorders>
            <w:noWrap/>
            <w:vAlign w:val="center"/>
            <w:hideMark/>
          </w:tcPr>
          <w:p w14:paraId="7E6E6341" w14:textId="77777777" w:rsidR="00677577" w:rsidRPr="00DD02AC" w:rsidRDefault="00677577" w:rsidP="00753E96">
            <w:pPr>
              <w:spacing w:after="0" w:line="240" w:lineRule="auto"/>
              <w:jc w:val="right"/>
              <w:rPr>
                <w:sz w:val="20"/>
                <w:szCs w:val="20"/>
              </w:rPr>
            </w:pPr>
            <w:r w:rsidRPr="00DD02AC">
              <w:rPr>
                <w:sz w:val="20"/>
                <w:szCs w:val="20"/>
              </w:rPr>
              <w:t>(1)</w:t>
            </w:r>
          </w:p>
        </w:tc>
        <w:tc>
          <w:tcPr>
            <w:tcW w:w="1147" w:type="dxa"/>
            <w:tcBorders>
              <w:top w:val="single" w:sz="4" w:space="0" w:color="auto"/>
              <w:left w:val="nil"/>
              <w:bottom w:val="nil"/>
              <w:right w:val="nil"/>
            </w:tcBorders>
            <w:noWrap/>
            <w:vAlign w:val="center"/>
            <w:hideMark/>
          </w:tcPr>
          <w:p w14:paraId="6BE2A6A7" w14:textId="77777777" w:rsidR="00677577" w:rsidRPr="00DD02AC" w:rsidRDefault="00677577" w:rsidP="00753E96">
            <w:pPr>
              <w:spacing w:after="0" w:line="240" w:lineRule="auto"/>
              <w:jc w:val="right"/>
              <w:rPr>
                <w:sz w:val="20"/>
                <w:szCs w:val="20"/>
              </w:rPr>
            </w:pPr>
            <w:r w:rsidRPr="00DD02AC">
              <w:rPr>
                <w:sz w:val="20"/>
                <w:szCs w:val="20"/>
              </w:rPr>
              <w:t>(2)</w:t>
            </w:r>
          </w:p>
        </w:tc>
        <w:tc>
          <w:tcPr>
            <w:tcW w:w="1147" w:type="dxa"/>
            <w:gridSpan w:val="2"/>
            <w:tcBorders>
              <w:top w:val="single" w:sz="4" w:space="0" w:color="auto"/>
              <w:left w:val="nil"/>
              <w:bottom w:val="nil"/>
              <w:right w:val="nil"/>
            </w:tcBorders>
            <w:vAlign w:val="center"/>
            <w:hideMark/>
          </w:tcPr>
          <w:p w14:paraId="71204030" w14:textId="77777777" w:rsidR="00677577" w:rsidRPr="00DD02AC" w:rsidRDefault="00677577" w:rsidP="00753E96">
            <w:pPr>
              <w:spacing w:after="0" w:line="240" w:lineRule="auto"/>
              <w:jc w:val="right"/>
              <w:rPr>
                <w:sz w:val="20"/>
                <w:szCs w:val="20"/>
              </w:rPr>
            </w:pPr>
            <w:r w:rsidRPr="00DD02AC">
              <w:rPr>
                <w:sz w:val="20"/>
                <w:szCs w:val="20"/>
              </w:rPr>
              <w:t>(3)</w:t>
            </w:r>
          </w:p>
        </w:tc>
        <w:tc>
          <w:tcPr>
            <w:tcW w:w="1147" w:type="dxa"/>
            <w:tcBorders>
              <w:top w:val="single" w:sz="4" w:space="0" w:color="auto"/>
              <w:left w:val="nil"/>
              <w:bottom w:val="nil"/>
              <w:right w:val="single" w:sz="4" w:space="0" w:color="auto"/>
            </w:tcBorders>
            <w:vAlign w:val="center"/>
            <w:hideMark/>
          </w:tcPr>
          <w:p w14:paraId="7D4B6473" w14:textId="77777777" w:rsidR="00677577" w:rsidRPr="00DD02AC" w:rsidRDefault="00677577" w:rsidP="00753E96">
            <w:pPr>
              <w:spacing w:after="0" w:line="240" w:lineRule="auto"/>
              <w:jc w:val="right"/>
              <w:rPr>
                <w:sz w:val="20"/>
                <w:szCs w:val="20"/>
              </w:rPr>
            </w:pPr>
            <w:r w:rsidRPr="00DD02AC">
              <w:rPr>
                <w:sz w:val="20"/>
                <w:szCs w:val="20"/>
              </w:rPr>
              <w:t>(4)</w:t>
            </w:r>
          </w:p>
        </w:tc>
      </w:tr>
      <w:tr w:rsidR="00677577" w:rsidRPr="00167CB8" w14:paraId="27E63C75" w14:textId="77777777">
        <w:trPr>
          <w:trHeight w:val="340"/>
        </w:trPr>
        <w:tc>
          <w:tcPr>
            <w:tcW w:w="4673" w:type="dxa"/>
            <w:tcBorders>
              <w:top w:val="nil"/>
              <w:left w:val="single" w:sz="4" w:space="0" w:color="auto"/>
              <w:bottom w:val="nil"/>
              <w:right w:val="nil"/>
            </w:tcBorders>
            <w:noWrap/>
            <w:vAlign w:val="center"/>
            <w:hideMark/>
          </w:tcPr>
          <w:p w14:paraId="15ECEDD5" w14:textId="77777777" w:rsidR="00677577" w:rsidRPr="00DD02AC" w:rsidRDefault="00677577">
            <w:pPr>
              <w:spacing w:after="0" w:line="240" w:lineRule="auto"/>
              <w:rPr>
                <w:sz w:val="20"/>
                <w:szCs w:val="20"/>
              </w:rPr>
            </w:pPr>
            <w:r w:rsidRPr="00DD02AC">
              <w:rPr>
                <w:sz w:val="20"/>
                <w:szCs w:val="20"/>
              </w:rPr>
              <w:t>Weekly wage main job (in 2022 prices)</w:t>
            </w:r>
          </w:p>
        </w:tc>
        <w:tc>
          <w:tcPr>
            <w:tcW w:w="1134" w:type="dxa"/>
            <w:tcBorders>
              <w:top w:val="nil"/>
              <w:left w:val="nil"/>
              <w:bottom w:val="nil"/>
              <w:right w:val="nil"/>
            </w:tcBorders>
            <w:noWrap/>
            <w:vAlign w:val="center"/>
            <w:hideMark/>
          </w:tcPr>
          <w:p w14:paraId="3D6CB9E1" w14:textId="77777777" w:rsidR="00677577" w:rsidRPr="00DD02AC" w:rsidRDefault="00677577" w:rsidP="00753E96">
            <w:pPr>
              <w:spacing w:after="0" w:line="240" w:lineRule="auto"/>
              <w:jc w:val="right"/>
              <w:rPr>
                <w:sz w:val="20"/>
                <w:szCs w:val="20"/>
              </w:rPr>
            </w:pPr>
            <w:r w:rsidRPr="00DD02AC">
              <w:rPr>
                <w:sz w:val="20"/>
                <w:szCs w:val="20"/>
              </w:rPr>
              <w:t>$1,766.7</w:t>
            </w:r>
          </w:p>
        </w:tc>
        <w:tc>
          <w:tcPr>
            <w:tcW w:w="1147" w:type="dxa"/>
            <w:tcBorders>
              <w:top w:val="nil"/>
              <w:left w:val="nil"/>
              <w:bottom w:val="nil"/>
              <w:right w:val="nil"/>
            </w:tcBorders>
            <w:noWrap/>
            <w:vAlign w:val="center"/>
            <w:hideMark/>
          </w:tcPr>
          <w:p w14:paraId="0F23BABE" w14:textId="77777777" w:rsidR="00677577" w:rsidRPr="00DD02AC" w:rsidRDefault="00677577" w:rsidP="00753E96">
            <w:pPr>
              <w:spacing w:after="0" w:line="240" w:lineRule="auto"/>
              <w:jc w:val="right"/>
              <w:rPr>
                <w:sz w:val="20"/>
                <w:szCs w:val="20"/>
              </w:rPr>
            </w:pPr>
            <w:r w:rsidRPr="00DD02AC">
              <w:rPr>
                <w:sz w:val="20"/>
                <w:szCs w:val="20"/>
              </w:rPr>
              <w:t>$1,476.6</w:t>
            </w:r>
          </w:p>
        </w:tc>
        <w:tc>
          <w:tcPr>
            <w:tcW w:w="1147" w:type="dxa"/>
            <w:gridSpan w:val="2"/>
            <w:tcBorders>
              <w:top w:val="nil"/>
              <w:left w:val="nil"/>
              <w:bottom w:val="nil"/>
              <w:right w:val="nil"/>
            </w:tcBorders>
            <w:vAlign w:val="center"/>
            <w:hideMark/>
          </w:tcPr>
          <w:p w14:paraId="68BFC1DE" w14:textId="77777777" w:rsidR="00677577" w:rsidRPr="00DD02AC" w:rsidRDefault="00677577" w:rsidP="00753E96">
            <w:pPr>
              <w:spacing w:after="0" w:line="240" w:lineRule="auto"/>
              <w:jc w:val="right"/>
              <w:rPr>
                <w:sz w:val="20"/>
                <w:szCs w:val="20"/>
              </w:rPr>
            </w:pPr>
            <w:r w:rsidRPr="00DD02AC">
              <w:rPr>
                <w:sz w:val="20"/>
                <w:szCs w:val="20"/>
              </w:rPr>
              <w:t>$977.6</w:t>
            </w:r>
          </w:p>
        </w:tc>
        <w:tc>
          <w:tcPr>
            <w:tcW w:w="1147" w:type="dxa"/>
            <w:tcBorders>
              <w:top w:val="nil"/>
              <w:left w:val="nil"/>
              <w:bottom w:val="nil"/>
              <w:right w:val="single" w:sz="4" w:space="0" w:color="auto"/>
            </w:tcBorders>
            <w:vAlign w:val="center"/>
            <w:hideMark/>
          </w:tcPr>
          <w:p w14:paraId="1F7D605B" w14:textId="77777777" w:rsidR="00677577" w:rsidRPr="00DD02AC" w:rsidRDefault="00677577" w:rsidP="00753E96">
            <w:pPr>
              <w:spacing w:after="0" w:line="240" w:lineRule="auto"/>
              <w:jc w:val="right"/>
              <w:rPr>
                <w:sz w:val="20"/>
                <w:szCs w:val="20"/>
              </w:rPr>
            </w:pPr>
            <w:r w:rsidRPr="00DD02AC">
              <w:rPr>
                <w:sz w:val="20"/>
                <w:szCs w:val="20"/>
              </w:rPr>
              <w:t>$844.1</w:t>
            </w:r>
          </w:p>
        </w:tc>
      </w:tr>
      <w:tr w:rsidR="00677577" w:rsidRPr="00167CB8" w14:paraId="1A31F7D4" w14:textId="77777777">
        <w:trPr>
          <w:trHeight w:val="340"/>
        </w:trPr>
        <w:tc>
          <w:tcPr>
            <w:tcW w:w="4673" w:type="dxa"/>
            <w:tcBorders>
              <w:top w:val="nil"/>
              <w:left w:val="single" w:sz="4" w:space="0" w:color="auto"/>
              <w:bottom w:val="nil"/>
              <w:right w:val="nil"/>
            </w:tcBorders>
            <w:noWrap/>
            <w:vAlign w:val="center"/>
            <w:hideMark/>
          </w:tcPr>
          <w:p w14:paraId="46AA0D39" w14:textId="77777777" w:rsidR="00677577" w:rsidRPr="00DD02AC" w:rsidRDefault="00677577">
            <w:pPr>
              <w:spacing w:after="0" w:line="240" w:lineRule="auto"/>
              <w:rPr>
                <w:sz w:val="20"/>
                <w:szCs w:val="20"/>
              </w:rPr>
            </w:pPr>
          </w:p>
        </w:tc>
        <w:tc>
          <w:tcPr>
            <w:tcW w:w="1134" w:type="dxa"/>
            <w:tcBorders>
              <w:top w:val="nil"/>
              <w:left w:val="nil"/>
              <w:bottom w:val="nil"/>
              <w:right w:val="nil"/>
            </w:tcBorders>
            <w:noWrap/>
            <w:vAlign w:val="center"/>
            <w:hideMark/>
          </w:tcPr>
          <w:p w14:paraId="04CA30CE" w14:textId="77777777" w:rsidR="00677577" w:rsidRPr="00DD02AC" w:rsidRDefault="00677577" w:rsidP="00753E96">
            <w:pPr>
              <w:spacing w:after="0" w:line="240" w:lineRule="auto"/>
              <w:jc w:val="right"/>
              <w:rPr>
                <w:sz w:val="20"/>
                <w:szCs w:val="20"/>
              </w:rPr>
            </w:pPr>
            <w:r w:rsidRPr="00DD02AC">
              <w:rPr>
                <w:sz w:val="20"/>
                <w:szCs w:val="20"/>
              </w:rPr>
              <w:t>($1,091.8)</w:t>
            </w:r>
          </w:p>
        </w:tc>
        <w:tc>
          <w:tcPr>
            <w:tcW w:w="1147" w:type="dxa"/>
            <w:tcBorders>
              <w:top w:val="nil"/>
              <w:left w:val="nil"/>
              <w:bottom w:val="nil"/>
              <w:right w:val="nil"/>
            </w:tcBorders>
            <w:noWrap/>
            <w:vAlign w:val="center"/>
            <w:hideMark/>
          </w:tcPr>
          <w:p w14:paraId="5BBF144B" w14:textId="77777777" w:rsidR="00677577" w:rsidRPr="00DD02AC" w:rsidRDefault="00677577" w:rsidP="00753E96">
            <w:pPr>
              <w:spacing w:after="0" w:line="240" w:lineRule="auto"/>
              <w:jc w:val="right"/>
              <w:rPr>
                <w:sz w:val="20"/>
                <w:szCs w:val="20"/>
              </w:rPr>
            </w:pPr>
            <w:r w:rsidRPr="00DD02AC">
              <w:rPr>
                <w:sz w:val="20"/>
                <w:szCs w:val="20"/>
              </w:rPr>
              <w:t>($750.7)</w:t>
            </w:r>
          </w:p>
        </w:tc>
        <w:tc>
          <w:tcPr>
            <w:tcW w:w="1147" w:type="dxa"/>
            <w:gridSpan w:val="2"/>
            <w:tcBorders>
              <w:top w:val="nil"/>
              <w:left w:val="nil"/>
              <w:bottom w:val="nil"/>
              <w:right w:val="nil"/>
            </w:tcBorders>
            <w:vAlign w:val="center"/>
            <w:hideMark/>
          </w:tcPr>
          <w:p w14:paraId="4C7A69B2" w14:textId="77777777" w:rsidR="00677577" w:rsidRPr="00DD02AC" w:rsidRDefault="00677577" w:rsidP="00753E96">
            <w:pPr>
              <w:spacing w:after="0" w:line="240" w:lineRule="auto"/>
              <w:jc w:val="right"/>
              <w:rPr>
                <w:sz w:val="20"/>
                <w:szCs w:val="20"/>
              </w:rPr>
            </w:pPr>
            <w:r w:rsidRPr="00DD02AC">
              <w:rPr>
                <w:sz w:val="20"/>
                <w:szCs w:val="20"/>
              </w:rPr>
              <w:t>($805.9)</w:t>
            </w:r>
          </w:p>
        </w:tc>
        <w:tc>
          <w:tcPr>
            <w:tcW w:w="1147" w:type="dxa"/>
            <w:tcBorders>
              <w:top w:val="nil"/>
              <w:left w:val="nil"/>
              <w:bottom w:val="nil"/>
              <w:right w:val="single" w:sz="4" w:space="0" w:color="auto"/>
            </w:tcBorders>
            <w:vAlign w:val="center"/>
            <w:hideMark/>
          </w:tcPr>
          <w:p w14:paraId="0F35B373" w14:textId="77777777" w:rsidR="00677577" w:rsidRPr="00DD02AC" w:rsidRDefault="00677577" w:rsidP="00753E96">
            <w:pPr>
              <w:spacing w:after="0" w:line="240" w:lineRule="auto"/>
              <w:jc w:val="right"/>
              <w:rPr>
                <w:sz w:val="20"/>
                <w:szCs w:val="20"/>
              </w:rPr>
            </w:pPr>
            <w:r w:rsidRPr="00DD02AC">
              <w:rPr>
                <w:sz w:val="20"/>
                <w:szCs w:val="20"/>
              </w:rPr>
              <w:t>($589.7)</w:t>
            </w:r>
          </w:p>
        </w:tc>
      </w:tr>
      <w:tr w:rsidR="00677577" w:rsidRPr="00167CB8" w14:paraId="2741A7D7" w14:textId="77777777">
        <w:trPr>
          <w:trHeight w:val="340"/>
        </w:trPr>
        <w:tc>
          <w:tcPr>
            <w:tcW w:w="4673" w:type="dxa"/>
            <w:vMerge w:val="restart"/>
            <w:tcBorders>
              <w:top w:val="nil"/>
              <w:left w:val="single" w:sz="4" w:space="0" w:color="auto"/>
              <w:bottom w:val="nil"/>
              <w:right w:val="nil"/>
            </w:tcBorders>
            <w:noWrap/>
            <w:vAlign w:val="center"/>
            <w:hideMark/>
          </w:tcPr>
          <w:p w14:paraId="09FD4A93" w14:textId="77777777" w:rsidR="00677577" w:rsidRPr="00DD02AC" w:rsidRDefault="00677577">
            <w:pPr>
              <w:spacing w:after="0" w:line="240" w:lineRule="auto"/>
              <w:rPr>
                <w:sz w:val="20"/>
                <w:szCs w:val="20"/>
              </w:rPr>
            </w:pPr>
            <w:r w:rsidRPr="00DD02AC">
              <w:rPr>
                <w:sz w:val="20"/>
                <w:szCs w:val="20"/>
              </w:rPr>
              <w:t>Natural logarithm of weekly wage in main job (in 2022 prices)</w:t>
            </w:r>
          </w:p>
        </w:tc>
        <w:tc>
          <w:tcPr>
            <w:tcW w:w="1134" w:type="dxa"/>
            <w:tcBorders>
              <w:top w:val="nil"/>
              <w:left w:val="nil"/>
              <w:bottom w:val="nil"/>
              <w:right w:val="nil"/>
            </w:tcBorders>
            <w:noWrap/>
            <w:vAlign w:val="center"/>
            <w:hideMark/>
          </w:tcPr>
          <w:p w14:paraId="5522929D" w14:textId="77777777" w:rsidR="00677577" w:rsidRPr="00DD02AC" w:rsidRDefault="00677577" w:rsidP="00753E96">
            <w:pPr>
              <w:spacing w:after="0" w:line="240" w:lineRule="auto"/>
              <w:jc w:val="right"/>
              <w:rPr>
                <w:sz w:val="20"/>
                <w:szCs w:val="20"/>
              </w:rPr>
            </w:pPr>
            <w:r w:rsidRPr="00DD02AC">
              <w:rPr>
                <w:sz w:val="20"/>
                <w:szCs w:val="20"/>
              </w:rPr>
              <w:t>7.4</w:t>
            </w:r>
          </w:p>
        </w:tc>
        <w:tc>
          <w:tcPr>
            <w:tcW w:w="1147" w:type="dxa"/>
            <w:tcBorders>
              <w:top w:val="nil"/>
              <w:left w:val="nil"/>
              <w:bottom w:val="nil"/>
              <w:right w:val="nil"/>
            </w:tcBorders>
            <w:noWrap/>
            <w:vAlign w:val="center"/>
            <w:hideMark/>
          </w:tcPr>
          <w:p w14:paraId="2A5F6721" w14:textId="77777777" w:rsidR="00677577" w:rsidRPr="00DD02AC" w:rsidRDefault="00677577" w:rsidP="00753E96">
            <w:pPr>
              <w:spacing w:after="0" w:line="240" w:lineRule="auto"/>
              <w:jc w:val="right"/>
              <w:rPr>
                <w:sz w:val="20"/>
                <w:szCs w:val="20"/>
              </w:rPr>
            </w:pPr>
            <w:r w:rsidRPr="00DD02AC">
              <w:rPr>
                <w:sz w:val="20"/>
                <w:szCs w:val="20"/>
              </w:rPr>
              <w:t>7.2</w:t>
            </w:r>
          </w:p>
        </w:tc>
        <w:tc>
          <w:tcPr>
            <w:tcW w:w="1147" w:type="dxa"/>
            <w:gridSpan w:val="2"/>
            <w:tcBorders>
              <w:top w:val="nil"/>
              <w:left w:val="nil"/>
              <w:bottom w:val="nil"/>
              <w:right w:val="nil"/>
            </w:tcBorders>
            <w:vAlign w:val="center"/>
            <w:hideMark/>
          </w:tcPr>
          <w:p w14:paraId="29042B84" w14:textId="77777777" w:rsidR="00677577" w:rsidRPr="00DD02AC" w:rsidRDefault="00677577" w:rsidP="00753E96">
            <w:pPr>
              <w:spacing w:after="0" w:line="240" w:lineRule="auto"/>
              <w:jc w:val="right"/>
              <w:rPr>
                <w:sz w:val="20"/>
                <w:szCs w:val="20"/>
              </w:rPr>
            </w:pPr>
            <w:r w:rsidRPr="00DD02AC">
              <w:rPr>
                <w:sz w:val="20"/>
                <w:szCs w:val="20"/>
              </w:rPr>
              <w:t>6.7</w:t>
            </w:r>
          </w:p>
        </w:tc>
        <w:tc>
          <w:tcPr>
            <w:tcW w:w="1147" w:type="dxa"/>
            <w:tcBorders>
              <w:top w:val="nil"/>
              <w:left w:val="nil"/>
              <w:bottom w:val="nil"/>
              <w:right w:val="single" w:sz="4" w:space="0" w:color="auto"/>
            </w:tcBorders>
            <w:vAlign w:val="center"/>
            <w:hideMark/>
          </w:tcPr>
          <w:p w14:paraId="20062838" w14:textId="77777777" w:rsidR="00677577" w:rsidRPr="00DD02AC" w:rsidRDefault="00677577" w:rsidP="00753E96">
            <w:pPr>
              <w:spacing w:after="0" w:line="240" w:lineRule="auto"/>
              <w:jc w:val="right"/>
              <w:rPr>
                <w:sz w:val="20"/>
                <w:szCs w:val="20"/>
              </w:rPr>
            </w:pPr>
            <w:r w:rsidRPr="00DD02AC">
              <w:rPr>
                <w:sz w:val="20"/>
                <w:szCs w:val="20"/>
              </w:rPr>
              <w:t>6.6</w:t>
            </w:r>
          </w:p>
        </w:tc>
      </w:tr>
      <w:tr w:rsidR="00677577" w:rsidRPr="00167CB8" w14:paraId="24DC945B" w14:textId="77777777">
        <w:trPr>
          <w:trHeight w:val="340"/>
        </w:trPr>
        <w:tc>
          <w:tcPr>
            <w:tcW w:w="0" w:type="auto"/>
            <w:vMerge/>
            <w:tcBorders>
              <w:top w:val="nil"/>
              <w:left w:val="single" w:sz="4" w:space="0" w:color="auto"/>
              <w:bottom w:val="nil"/>
              <w:right w:val="nil"/>
            </w:tcBorders>
            <w:vAlign w:val="center"/>
            <w:hideMark/>
          </w:tcPr>
          <w:p w14:paraId="1CD09F20" w14:textId="77777777" w:rsidR="00677577" w:rsidRPr="00DD02AC" w:rsidRDefault="00677577">
            <w:pPr>
              <w:spacing w:after="0" w:line="240" w:lineRule="auto"/>
              <w:rPr>
                <w:sz w:val="20"/>
                <w:szCs w:val="20"/>
              </w:rPr>
            </w:pPr>
          </w:p>
        </w:tc>
        <w:tc>
          <w:tcPr>
            <w:tcW w:w="1134" w:type="dxa"/>
            <w:tcBorders>
              <w:top w:val="nil"/>
              <w:left w:val="nil"/>
              <w:bottom w:val="nil"/>
              <w:right w:val="nil"/>
            </w:tcBorders>
            <w:noWrap/>
            <w:vAlign w:val="center"/>
            <w:hideMark/>
          </w:tcPr>
          <w:p w14:paraId="0A755510" w14:textId="77777777" w:rsidR="00677577" w:rsidRPr="00DD02AC" w:rsidRDefault="00677577" w:rsidP="00753E96">
            <w:pPr>
              <w:spacing w:after="0" w:line="240" w:lineRule="auto"/>
              <w:jc w:val="right"/>
              <w:rPr>
                <w:sz w:val="20"/>
                <w:szCs w:val="20"/>
              </w:rPr>
            </w:pPr>
            <w:r w:rsidRPr="00DD02AC">
              <w:rPr>
                <w:sz w:val="20"/>
                <w:szCs w:val="20"/>
              </w:rPr>
              <w:t>(0.4)</w:t>
            </w:r>
          </w:p>
        </w:tc>
        <w:tc>
          <w:tcPr>
            <w:tcW w:w="1147" w:type="dxa"/>
            <w:tcBorders>
              <w:top w:val="nil"/>
              <w:left w:val="nil"/>
              <w:bottom w:val="nil"/>
              <w:right w:val="nil"/>
            </w:tcBorders>
            <w:noWrap/>
            <w:vAlign w:val="center"/>
            <w:hideMark/>
          </w:tcPr>
          <w:p w14:paraId="524CF066" w14:textId="77777777" w:rsidR="00677577" w:rsidRPr="00DD02AC" w:rsidRDefault="00677577" w:rsidP="00753E96">
            <w:pPr>
              <w:spacing w:after="0" w:line="240" w:lineRule="auto"/>
              <w:jc w:val="right"/>
              <w:rPr>
                <w:sz w:val="20"/>
                <w:szCs w:val="20"/>
              </w:rPr>
            </w:pPr>
            <w:r w:rsidRPr="00DD02AC">
              <w:rPr>
                <w:sz w:val="20"/>
                <w:szCs w:val="20"/>
              </w:rPr>
              <w:t>(0.5)</w:t>
            </w:r>
          </w:p>
        </w:tc>
        <w:tc>
          <w:tcPr>
            <w:tcW w:w="1147" w:type="dxa"/>
            <w:gridSpan w:val="2"/>
            <w:tcBorders>
              <w:top w:val="nil"/>
              <w:left w:val="nil"/>
              <w:bottom w:val="nil"/>
              <w:right w:val="nil"/>
            </w:tcBorders>
            <w:vAlign w:val="center"/>
            <w:hideMark/>
          </w:tcPr>
          <w:p w14:paraId="6CAF4BA0" w14:textId="77777777" w:rsidR="00677577" w:rsidRPr="00DD02AC" w:rsidRDefault="00677577" w:rsidP="00753E96">
            <w:pPr>
              <w:spacing w:after="0" w:line="240" w:lineRule="auto"/>
              <w:jc w:val="right"/>
              <w:rPr>
                <w:sz w:val="20"/>
                <w:szCs w:val="20"/>
              </w:rPr>
            </w:pPr>
            <w:r w:rsidRPr="00DD02AC">
              <w:rPr>
                <w:sz w:val="20"/>
                <w:szCs w:val="20"/>
              </w:rPr>
              <w:t>(0.6)</w:t>
            </w:r>
          </w:p>
        </w:tc>
        <w:tc>
          <w:tcPr>
            <w:tcW w:w="1147" w:type="dxa"/>
            <w:tcBorders>
              <w:top w:val="nil"/>
              <w:left w:val="nil"/>
              <w:bottom w:val="nil"/>
              <w:right w:val="single" w:sz="4" w:space="0" w:color="auto"/>
            </w:tcBorders>
            <w:vAlign w:val="center"/>
            <w:hideMark/>
          </w:tcPr>
          <w:p w14:paraId="1BF51969" w14:textId="77777777" w:rsidR="00677577" w:rsidRPr="00DD02AC" w:rsidRDefault="00677577" w:rsidP="00753E96">
            <w:pPr>
              <w:spacing w:after="0" w:line="240" w:lineRule="auto"/>
              <w:jc w:val="right"/>
              <w:rPr>
                <w:sz w:val="20"/>
                <w:szCs w:val="20"/>
              </w:rPr>
            </w:pPr>
            <w:r w:rsidRPr="00DD02AC">
              <w:rPr>
                <w:sz w:val="20"/>
                <w:szCs w:val="20"/>
              </w:rPr>
              <w:t>(0.6)</w:t>
            </w:r>
          </w:p>
        </w:tc>
      </w:tr>
      <w:tr w:rsidR="00677577" w:rsidRPr="00167CB8" w14:paraId="02BDCC37" w14:textId="77777777">
        <w:trPr>
          <w:trHeight w:val="340"/>
        </w:trPr>
        <w:tc>
          <w:tcPr>
            <w:tcW w:w="4673" w:type="dxa"/>
            <w:tcBorders>
              <w:top w:val="nil"/>
              <w:left w:val="single" w:sz="4" w:space="0" w:color="auto"/>
              <w:bottom w:val="nil"/>
              <w:right w:val="nil"/>
            </w:tcBorders>
            <w:noWrap/>
            <w:vAlign w:val="center"/>
            <w:hideMark/>
          </w:tcPr>
          <w:p w14:paraId="3D343E47" w14:textId="77777777" w:rsidR="00677577" w:rsidRPr="00DD02AC" w:rsidRDefault="00677577">
            <w:pPr>
              <w:spacing w:after="0" w:line="240" w:lineRule="auto"/>
              <w:rPr>
                <w:sz w:val="20"/>
                <w:szCs w:val="20"/>
              </w:rPr>
            </w:pPr>
            <w:r w:rsidRPr="00DD02AC">
              <w:rPr>
                <w:sz w:val="20"/>
                <w:szCs w:val="20"/>
              </w:rPr>
              <w:t>Paid by an award</w:t>
            </w:r>
          </w:p>
        </w:tc>
        <w:tc>
          <w:tcPr>
            <w:tcW w:w="1134" w:type="dxa"/>
            <w:tcBorders>
              <w:top w:val="nil"/>
              <w:left w:val="nil"/>
              <w:bottom w:val="nil"/>
              <w:right w:val="nil"/>
            </w:tcBorders>
            <w:noWrap/>
            <w:vAlign w:val="center"/>
            <w:hideMark/>
          </w:tcPr>
          <w:p w14:paraId="1845EDC1" w14:textId="77777777" w:rsidR="00677577" w:rsidRPr="00DD02AC" w:rsidRDefault="00677577" w:rsidP="00753E96">
            <w:pPr>
              <w:spacing w:after="0" w:line="240" w:lineRule="auto"/>
              <w:jc w:val="right"/>
              <w:rPr>
                <w:sz w:val="20"/>
                <w:szCs w:val="20"/>
              </w:rPr>
            </w:pPr>
            <w:r w:rsidRPr="00DD02AC">
              <w:rPr>
                <w:sz w:val="20"/>
                <w:szCs w:val="20"/>
              </w:rPr>
              <w:t>16.0%</w:t>
            </w:r>
          </w:p>
        </w:tc>
        <w:tc>
          <w:tcPr>
            <w:tcW w:w="1147" w:type="dxa"/>
            <w:tcBorders>
              <w:top w:val="nil"/>
              <w:left w:val="nil"/>
              <w:bottom w:val="nil"/>
              <w:right w:val="nil"/>
            </w:tcBorders>
            <w:noWrap/>
            <w:vAlign w:val="center"/>
            <w:hideMark/>
          </w:tcPr>
          <w:p w14:paraId="4DBED549" w14:textId="77777777" w:rsidR="00677577" w:rsidRPr="00DD02AC" w:rsidRDefault="00677577" w:rsidP="00753E96">
            <w:pPr>
              <w:spacing w:after="0" w:line="240" w:lineRule="auto"/>
              <w:jc w:val="right"/>
              <w:rPr>
                <w:sz w:val="20"/>
                <w:szCs w:val="20"/>
              </w:rPr>
            </w:pPr>
            <w:r w:rsidRPr="00DD02AC">
              <w:rPr>
                <w:sz w:val="20"/>
                <w:szCs w:val="20"/>
              </w:rPr>
              <w:t>22.5%</w:t>
            </w:r>
          </w:p>
        </w:tc>
        <w:tc>
          <w:tcPr>
            <w:tcW w:w="1147" w:type="dxa"/>
            <w:gridSpan w:val="2"/>
            <w:tcBorders>
              <w:top w:val="nil"/>
              <w:left w:val="nil"/>
              <w:bottom w:val="nil"/>
              <w:right w:val="nil"/>
            </w:tcBorders>
            <w:vAlign w:val="center"/>
            <w:hideMark/>
          </w:tcPr>
          <w:p w14:paraId="2D0938FF" w14:textId="77777777" w:rsidR="00677577" w:rsidRPr="00DD02AC" w:rsidRDefault="00677577" w:rsidP="00753E96">
            <w:pPr>
              <w:spacing w:after="0" w:line="240" w:lineRule="auto"/>
              <w:jc w:val="right"/>
              <w:rPr>
                <w:sz w:val="20"/>
                <w:szCs w:val="20"/>
              </w:rPr>
            </w:pPr>
            <w:r w:rsidRPr="00DD02AC">
              <w:rPr>
                <w:sz w:val="20"/>
                <w:szCs w:val="20"/>
              </w:rPr>
              <w:t>25.4%</w:t>
            </w:r>
          </w:p>
        </w:tc>
        <w:tc>
          <w:tcPr>
            <w:tcW w:w="1147" w:type="dxa"/>
            <w:tcBorders>
              <w:top w:val="nil"/>
              <w:left w:val="nil"/>
              <w:bottom w:val="nil"/>
              <w:right w:val="single" w:sz="4" w:space="0" w:color="auto"/>
            </w:tcBorders>
            <w:vAlign w:val="center"/>
            <w:hideMark/>
          </w:tcPr>
          <w:p w14:paraId="55DC628E" w14:textId="77777777" w:rsidR="00677577" w:rsidRPr="00DD02AC" w:rsidRDefault="00677577" w:rsidP="00753E96">
            <w:pPr>
              <w:spacing w:after="0" w:line="240" w:lineRule="auto"/>
              <w:jc w:val="right"/>
              <w:rPr>
                <w:sz w:val="20"/>
                <w:szCs w:val="20"/>
              </w:rPr>
            </w:pPr>
            <w:r w:rsidRPr="00DD02AC">
              <w:rPr>
                <w:sz w:val="20"/>
                <w:szCs w:val="20"/>
              </w:rPr>
              <w:t>33.5%</w:t>
            </w:r>
          </w:p>
        </w:tc>
      </w:tr>
      <w:tr w:rsidR="00677577" w:rsidRPr="00167CB8" w14:paraId="7AF036BC" w14:textId="77777777">
        <w:trPr>
          <w:trHeight w:val="340"/>
        </w:trPr>
        <w:tc>
          <w:tcPr>
            <w:tcW w:w="4673" w:type="dxa"/>
            <w:tcBorders>
              <w:top w:val="nil"/>
              <w:left w:val="single" w:sz="4" w:space="0" w:color="auto"/>
              <w:bottom w:val="nil"/>
              <w:right w:val="nil"/>
            </w:tcBorders>
            <w:noWrap/>
            <w:vAlign w:val="center"/>
            <w:hideMark/>
          </w:tcPr>
          <w:p w14:paraId="464FF94D" w14:textId="77777777" w:rsidR="00677577" w:rsidRPr="00DD02AC" w:rsidRDefault="00677577">
            <w:pPr>
              <w:spacing w:after="0" w:line="240" w:lineRule="auto"/>
              <w:rPr>
                <w:sz w:val="20"/>
                <w:szCs w:val="20"/>
              </w:rPr>
            </w:pPr>
            <w:r w:rsidRPr="00DD02AC">
              <w:rPr>
                <w:sz w:val="20"/>
                <w:szCs w:val="20"/>
              </w:rPr>
              <w:t>Covered by a collective agreement</w:t>
            </w:r>
          </w:p>
        </w:tc>
        <w:tc>
          <w:tcPr>
            <w:tcW w:w="1134" w:type="dxa"/>
            <w:tcBorders>
              <w:top w:val="nil"/>
              <w:left w:val="nil"/>
              <w:bottom w:val="nil"/>
              <w:right w:val="nil"/>
            </w:tcBorders>
            <w:noWrap/>
            <w:vAlign w:val="center"/>
            <w:hideMark/>
          </w:tcPr>
          <w:p w14:paraId="051BD5F8" w14:textId="77777777" w:rsidR="00677577" w:rsidRPr="00DD02AC" w:rsidRDefault="00677577" w:rsidP="00753E96">
            <w:pPr>
              <w:spacing w:after="0" w:line="240" w:lineRule="auto"/>
              <w:jc w:val="right"/>
              <w:rPr>
                <w:sz w:val="20"/>
                <w:szCs w:val="20"/>
              </w:rPr>
            </w:pPr>
            <w:r w:rsidRPr="00DD02AC">
              <w:rPr>
                <w:sz w:val="20"/>
                <w:szCs w:val="20"/>
              </w:rPr>
              <w:t>37.7%</w:t>
            </w:r>
          </w:p>
        </w:tc>
        <w:tc>
          <w:tcPr>
            <w:tcW w:w="1147" w:type="dxa"/>
            <w:tcBorders>
              <w:top w:val="nil"/>
              <w:left w:val="nil"/>
              <w:bottom w:val="nil"/>
              <w:right w:val="nil"/>
            </w:tcBorders>
            <w:noWrap/>
            <w:vAlign w:val="center"/>
            <w:hideMark/>
          </w:tcPr>
          <w:p w14:paraId="17EC5128" w14:textId="77777777" w:rsidR="00677577" w:rsidRPr="00DD02AC" w:rsidRDefault="00677577" w:rsidP="00753E96">
            <w:pPr>
              <w:spacing w:after="0" w:line="240" w:lineRule="auto"/>
              <w:jc w:val="right"/>
              <w:rPr>
                <w:sz w:val="20"/>
                <w:szCs w:val="20"/>
              </w:rPr>
            </w:pPr>
            <w:r w:rsidRPr="00DD02AC">
              <w:rPr>
                <w:sz w:val="20"/>
                <w:szCs w:val="20"/>
              </w:rPr>
              <w:t>32.7%</w:t>
            </w:r>
          </w:p>
        </w:tc>
        <w:tc>
          <w:tcPr>
            <w:tcW w:w="1147" w:type="dxa"/>
            <w:gridSpan w:val="2"/>
            <w:tcBorders>
              <w:top w:val="nil"/>
              <w:left w:val="nil"/>
              <w:bottom w:val="nil"/>
              <w:right w:val="nil"/>
            </w:tcBorders>
            <w:vAlign w:val="center"/>
            <w:hideMark/>
          </w:tcPr>
          <w:p w14:paraId="5FF218A3" w14:textId="77777777" w:rsidR="00677577" w:rsidRPr="00DD02AC" w:rsidRDefault="00677577" w:rsidP="00753E96">
            <w:pPr>
              <w:spacing w:after="0" w:line="240" w:lineRule="auto"/>
              <w:jc w:val="right"/>
              <w:rPr>
                <w:sz w:val="20"/>
                <w:szCs w:val="20"/>
              </w:rPr>
            </w:pPr>
            <w:r w:rsidRPr="00DD02AC">
              <w:rPr>
                <w:sz w:val="20"/>
                <w:szCs w:val="20"/>
              </w:rPr>
              <w:t>31.0%</w:t>
            </w:r>
          </w:p>
        </w:tc>
        <w:tc>
          <w:tcPr>
            <w:tcW w:w="1147" w:type="dxa"/>
            <w:tcBorders>
              <w:top w:val="nil"/>
              <w:left w:val="nil"/>
              <w:bottom w:val="nil"/>
              <w:right w:val="single" w:sz="4" w:space="0" w:color="auto"/>
            </w:tcBorders>
            <w:vAlign w:val="center"/>
            <w:hideMark/>
          </w:tcPr>
          <w:p w14:paraId="65A80C64" w14:textId="77777777" w:rsidR="00677577" w:rsidRPr="00DD02AC" w:rsidRDefault="00677577" w:rsidP="00753E96">
            <w:pPr>
              <w:spacing w:after="0" w:line="240" w:lineRule="auto"/>
              <w:jc w:val="right"/>
              <w:rPr>
                <w:sz w:val="20"/>
                <w:szCs w:val="20"/>
              </w:rPr>
            </w:pPr>
            <w:r w:rsidRPr="00DD02AC">
              <w:rPr>
                <w:sz w:val="20"/>
                <w:szCs w:val="20"/>
              </w:rPr>
              <w:t>32.0%</w:t>
            </w:r>
          </w:p>
        </w:tc>
      </w:tr>
      <w:tr w:rsidR="00677577" w:rsidRPr="00167CB8" w14:paraId="0840CF71" w14:textId="77777777">
        <w:trPr>
          <w:trHeight w:val="340"/>
        </w:trPr>
        <w:tc>
          <w:tcPr>
            <w:tcW w:w="4673" w:type="dxa"/>
            <w:tcBorders>
              <w:top w:val="nil"/>
              <w:left w:val="single" w:sz="4" w:space="0" w:color="auto"/>
              <w:bottom w:val="nil"/>
              <w:right w:val="nil"/>
            </w:tcBorders>
            <w:noWrap/>
            <w:vAlign w:val="center"/>
            <w:hideMark/>
          </w:tcPr>
          <w:p w14:paraId="6C70C567" w14:textId="77777777" w:rsidR="00677577" w:rsidRPr="00DD02AC" w:rsidRDefault="00677577">
            <w:pPr>
              <w:spacing w:after="0" w:line="240" w:lineRule="auto"/>
              <w:rPr>
                <w:sz w:val="20"/>
                <w:szCs w:val="20"/>
              </w:rPr>
            </w:pPr>
            <w:r w:rsidRPr="00DD02AC">
              <w:rPr>
                <w:sz w:val="20"/>
                <w:szCs w:val="20"/>
              </w:rPr>
              <w:t>Covered by an individual agreement</w:t>
            </w:r>
          </w:p>
        </w:tc>
        <w:tc>
          <w:tcPr>
            <w:tcW w:w="1134" w:type="dxa"/>
            <w:tcBorders>
              <w:top w:val="nil"/>
              <w:left w:val="nil"/>
              <w:bottom w:val="nil"/>
              <w:right w:val="nil"/>
            </w:tcBorders>
            <w:noWrap/>
            <w:vAlign w:val="center"/>
            <w:hideMark/>
          </w:tcPr>
          <w:p w14:paraId="3D51EB0B" w14:textId="77777777" w:rsidR="00677577" w:rsidRPr="00DD02AC" w:rsidRDefault="00677577" w:rsidP="00753E96">
            <w:pPr>
              <w:spacing w:after="0" w:line="240" w:lineRule="auto"/>
              <w:jc w:val="right"/>
              <w:rPr>
                <w:sz w:val="20"/>
                <w:szCs w:val="20"/>
              </w:rPr>
            </w:pPr>
            <w:r w:rsidRPr="00DD02AC">
              <w:rPr>
                <w:sz w:val="20"/>
                <w:szCs w:val="20"/>
              </w:rPr>
              <w:t>42.1%</w:t>
            </w:r>
          </w:p>
        </w:tc>
        <w:tc>
          <w:tcPr>
            <w:tcW w:w="1147" w:type="dxa"/>
            <w:tcBorders>
              <w:top w:val="nil"/>
              <w:left w:val="nil"/>
              <w:bottom w:val="nil"/>
              <w:right w:val="nil"/>
            </w:tcBorders>
            <w:noWrap/>
            <w:vAlign w:val="center"/>
            <w:hideMark/>
          </w:tcPr>
          <w:p w14:paraId="0AB2CAC2" w14:textId="77777777" w:rsidR="00677577" w:rsidRPr="00DD02AC" w:rsidRDefault="00677577" w:rsidP="00753E96">
            <w:pPr>
              <w:spacing w:after="0" w:line="240" w:lineRule="auto"/>
              <w:jc w:val="right"/>
              <w:rPr>
                <w:sz w:val="20"/>
                <w:szCs w:val="20"/>
              </w:rPr>
            </w:pPr>
            <w:r w:rsidRPr="00DD02AC">
              <w:rPr>
                <w:sz w:val="20"/>
                <w:szCs w:val="20"/>
              </w:rPr>
              <w:t>39.8%</w:t>
            </w:r>
          </w:p>
        </w:tc>
        <w:tc>
          <w:tcPr>
            <w:tcW w:w="1147" w:type="dxa"/>
            <w:gridSpan w:val="2"/>
            <w:tcBorders>
              <w:top w:val="nil"/>
              <w:left w:val="nil"/>
              <w:bottom w:val="nil"/>
              <w:right w:val="nil"/>
            </w:tcBorders>
            <w:vAlign w:val="center"/>
            <w:hideMark/>
          </w:tcPr>
          <w:p w14:paraId="08192C14" w14:textId="77777777" w:rsidR="00677577" w:rsidRPr="00DD02AC" w:rsidRDefault="00677577" w:rsidP="00753E96">
            <w:pPr>
              <w:spacing w:after="0" w:line="240" w:lineRule="auto"/>
              <w:jc w:val="right"/>
              <w:rPr>
                <w:sz w:val="20"/>
                <w:szCs w:val="20"/>
              </w:rPr>
            </w:pPr>
            <w:r w:rsidRPr="00DD02AC">
              <w:rPr>
                <w:sz w:val="20"/>
                <w:szCs w:val="20"/>
              </w:rPr>
              <w:t>36.9%</w:t>
            </w:r>
          </w:p>
        </w:tc>
        <w:tc>
          <w:tcPr>
            <w:tcW w:w="1147" w:type="dxa"/>
            <w:tcBorders>
              <w:top w:val="nil"/>
              <w:left w:val="nil"/>
              <w:bottom w:val="nil"/>
              <w:right w:val="single" w:sz="4" w:space="0" w:color="auto"/>
            </w:tcBorders>
            <w:vAlign w:val="center"/>
            <w:hideMark/>
          </w:tcPr>
          <w:p w14:paraId="48BCA633" w14:textId="77777777" w:rsidR="00677577" w:rsidRPr="00DD02AC" w:rsidRDefault="00677577" w:rsidP="00753E96">
            <w:pPr>
              <w:spacing w:after="0" w:line="240" w:lineRule="auto"/>
              <w:jc w:val="right"/>
              <w:rPr>
                <w:sz w:val="20"/>
                <w:szCs w:val="20"/>
              </w:rPr>
            </w:pPr>
            <w:r w:rsidRPr="00DD02AC">
              <w:rPr>
                <w:sz w:val="20"/>
                <w:szCs w:val="20"/>
              </w:rPr>
              <w:t>30.1%</w:t>
            </w:r>
          </w:p>
        </w:tc>
      </w:tr>
      <w:tr w:rsidR="00677577" w:rsidRPr="00167CB8" w14:paraId="6B5C23C1" w14:textId="77777777">
        <w:trPr>
          <w:trHeight w:val="340"/>
        </w:trPr>
        <w:tc>
          <w:tcPr>
            <w:tcW w:w="4673" w:type="dxa"/>
            <w:tcBorders>
              <w:top w:val="nil"/>
              <w:left w:val="single" w:sz="4" w:space="0" w:color="auto"/>
              <w:bottom w:val="nil"/>
              <w:right w:val="nil"/>
            </w:tcBorders>
            <w:noWrap/>
            <w:vAlign w:val="center"/>
            <w:hideMark/>
          </w:tcPr>
          <w:p w14:paraId="3962DE85" w14:textId="77777777" w:rsidR="00677577" w:rsidRPr="00DD02AC" w:rsidRDefault="00677577">
            <w:pPr>
              <w:spacing w:after="0" w:line="240" w:lineRule="auto"/>
              <w:rPr>
                <w:sz w:val="20"/>
                <w:szCs w:val="20"/>
              </w:rPr>
            </w:pPr>
            <w:r w:rsidRPr="00DD02AC">
              <w:rPr>
                <w:sz w:val="20"/>
                <w:szCs w:val="20"/>
              </w:rPr>
              <w:t>Paid by some other arrangement</w:t>
            </w:r>
          </w:p>
        </w:tc>
        <w:tc>
          <w:tcPr>
            <w:tcW w:w="1134" w:type="dxa"/>
            <w:tcBorders>
              <w:top w:val="nil"/>
              <w:left w:val="nil"/>
              <w:bottom w:val="nil"/>
              <w:right w:val="nil"/>
            </w:tcBorders>
            <w:noWrap/>
            <w:vAlign w:val="center"/>
            <w:hideMark/>
          </w:tcPr>
          <w:p w14:paraId="20FF5E33" w14:textId="77777777" w:rsidR="00677577" w:rsidRPr="00DD02AC" w:rsidRDefault="00677577" w:rsidP="00753E96">
            <w:pPr>
              <w:spacing w:after="0" w:line="240" w:lineRule="auto"/>
              <w:jc w:val="right"/>
              <w:rPr>
                <w:sz w:val="20"/>
                <w:szCs w:val="20"/>
              </w:rPr>
            </w:pPr>
            <w:r w:rsidRPr="00DD02AC">
              <w:rPr>
                <w:sz w:val="20"/>
                <w:szCs w:val="20"/>
              </w:rPr>
              <w:t>4.2%</w:t>
            </w:r>
          </w:p>
        </w:tc>
        <w:tc>
          <w:tcPr>
            <w:tcW w:w="1147" w:type="dxa"/>
            <w:tcBorders>
              <w:top w:val="nil"/>
              <w:left w:val="nil"/>
              <w:bottom w:val="nil"/>
              <w:right w:val="nil"/>
            </w:tcBorders>
            <w:noWrap/>
            <w:vAlign w:val="center"/>
            <w:hideMark/>
          </w:tcPr>
          <w:p w14:paraId="7FCD81BF" w14:textId="77777777" w:rsidR="00677577" w:rsidRPr="00DD02AC" w:rsidRDefault="00677577" w:rsidP="00753E96">
            <w:pPr>
              <w:spacing w:after="0" w:line="240" w:lineRule="auto"/>
              <w:jc w:val="right"/>
              <w:rPr>
                <w:sz w:val="20"/>
                <w:szCs w:val="20"/>
              </w:rPr>
            </w:pPr>
            <w:r w:rsidRPr="00DD02AC">
              <w:rPr>
                <w:sz w:val="20"/>
                <w:szCs w:val="20"/>
              </w:rPr>
              <w:t>5.0%</w:t>
            </w:r>
          </w:p>
        </w:tc>
        <w:tc>
          <w:tcPr>
            <w:tcW w:w="1147" w:type="dxa"/>
            <w:gridSpan w:val="2"/>
            <w:tcBorders>
              <w:top w:val="nil"/>
              <w:left w:val="nil"/>
              <w:bottom w:val="nil"/>
              <w:right w:val="nil"/>
            </w:tcBorders>
            <w:vAlign w:val="center"/>
            <w:hideMark/>
          </w:tcPr>
          <w:p w14:paraId="09F77793" w14:textId="77777777" w:rsidR="00677577" w:rsidRPr="00DD02AC" w:rsidRDefault="00677577" w:rsidP="00753E96">
            <w:pPr>
              <w:spacing w:after="0" w:line="240" w:lineRule="auto"/>
              <w:jc w:val="right"/>
              <w:rPr>
                <w:sz w:val="20"/>
                <w:szCs w:val="20"/>
              </w:rPr>
            </w:pPr>
            <w:r w:rsidRPr="00DD02AC">
              <w:rPr>
                <w:sz w:val="20"/>
                <w:szCs w:val="20"/>
              </w:rPr>
              <w:t>6.8%</w:t>
            </w:r>
          </w:p>
        </w:tc>
        <w:tc>
          <w:tcPr>
            <w:tcW w:w="1147" w:type="dxa"/>
            <w:tcBorders>
              <w:top w:val="nil"/>
              <w:left w:val="nil"/>
              <w:bottom w:val="nil"/>
              <w:right w:val="single" w:sz="4" w:space="0" w:color="auto"/>
            </w:tcBorders>
            <w:vAlign w:val="center"/>
            <w:hideMark/>
          </w:tcPr>
          <w:p w14:paraId="75B2E730" w14:textId="77777777" w:rsidR="00677577" w:rsidRPr="00DD02AC" w:rsidRDefault="00677577" w:rsidP="00753E96">
            <w:pPr>
              <w:spacing w:after="0" w:line="240" w:lineRule="auto"/>
              <w:jc w:val="right"/>
              <w:rPr>
                <w:sz w:val="20"/>
                <w:szCs w:val="20"/>
              </w:rPr>
            </w:pPr>
            <w:r w:rsidRPr="00DD02AC">
              <w:rPr>
                <w:sz w:val="20"/>
                <w:szCs w:val="20"/>
              </w:rPr>
              <w:t>4.5%</w:t>
            </w:r>
          </w:p>
        </w:tc>
      </w:tr>
      <w:tr w:rsidR="00677577" w:rsidRPr="00167CB8" w14:paraId="546BC01E" w14:textId="77777777">
        <w:trPr>
          <w:trHeight w:val="340"/>
        </w:trPr>
        <w:tc>
          <w:tcPr>
            <w:tcW w:w="4673" w:type="dxa"/>
            <w:tcBorders>
              <w:top w:val="nil"/>
              <w:left w:val="single" w:sz="4" w:space="0" w:color="auto"/>
              <w:bottom w:val="nil"/>
              <w:right w:val="nil"/>
            </w:tcBorders>
            <w:noWrap/>
            <w:vAlign w:val="center"/>
            <w:hideMark/>
          </w:tcPr>
          <w:p w14:paraId="48D4A51D" w14:textId="77777777" w:rsidR="00677577" w:rsidRPr="00DD02AC" w:rsidRDefault="00677577">
            <w:pPr>
              <w:spacing w:after="0" w:line="240" w:lineRule="auto"/>
              <w:rPr>
                <w:sz w:val="20"/>
                <w:szCs w:val="20"/>
              </w:rPr>
            </w:pPr>
            <w:r w:rsidRPr="00DD02AC">
              <w:rPr>
                <w:sz w:val="20"/>
                <w:szCs w:val="20"/>
              </w:rPr>
              <w:t>Permanent employee</w:t>
            </w:r>
          </w:p>
        </w:tc>
        <w:tc>
          <w:tcPr>
            <w:tcW w:w="1134" w:type="dxa"/>
            <w:tcBorders>
              <w:top w:val="nil"/>
              <w:left w:val="nil"/>
              <w:bottom w:val="nil"/>
              <w:right w:val="nil"/>
            </w:tcBorders>
            <w:noWrap/>
            <w:vAlign w:val="center"/>
            <w:hideMark/>
          </w:tcPr>
          <w:p w14:paraId="20CF2912" w14:textId="77777777" w:rsidR="00677577" w:rsidRPr="00DD02AC" w:rsidRDefault="00677577" w:rsidP="00753E96">
            <w:pPr>
              <w:spacing w:after="0" w:line="240" w:lineRule="auto"/>
              <w:jc w:val="right"/>
              <w:rPr>
                <w:sz w:val="20"/>
                <w:szCs w:val="20"/>
              </w:rPr>
            </w:pPr>
            <w:r w:rsidRPr="00DD02AC">
              <w:rPr>
                <w:sz w:val="20"/>
                <w:szCs w:val="20"/>
              </w:rPr>
              <w:t>79.1%</w:t>
            </w:r>
          </w:p>
        </w:tc>
        <w:tc>
          <w:tcPr>
            <w:tcW w:w="1147" w:type="dxa"/>
            <w:tcBorders>
              <w:top w:val="nil"/>
              <w:left w:val="nil"/>
              <w:bottom w:val="nil"/>
              <w:right w:val="nil"/>
            </w:tcBorders>
            <w:noWrap/>
            <w:vAlign w:val="center"/>
            <w:hideMark/>
          </w:tcPr>
          <w:p w14:paraId="466761B8" w14:textId="77777777" w:rsidR="00677577" w:rsidRPr="00DD02AC" w:rsidRDefault="00677577" w:rsidP="00753E96">
            <w:pPr>
              <w:spacing w:after="0" w:line="240" w:lineRule="auto"/>
              <w:jc w:val="right"/>
              <w:rPr>
                <w:sz w:val="20"/>
                <w:szCs w:val="20"/>
              </w:rPr>
            </w:pPr>
            <w:r w:rsidRPr="00DD02AC">
              <w:rPr>
                <w:sz w:val="20"/>
                <w:szCs w:val="20"/>
              </w:rPr>
              <w:t>77.5%</w:t>
            </w:r>
          </w:p>
        </w:tc>
        <w:tc>
          <w:tcPr>
            <w:tcW w:w="1147" w:type="dxa"/>
            <w:gridSpan w:val="2"/>
            <w:tcBorders>
              <w:top w:val="nil"/>
              <w:left w:val="nil"/>
              <w:bottom w:val="nil"/>
              <w:right w:val="nil"/>
            </w:tcBorders>
            <w:vAlign w:val="center"/>
            <w:hideMark/>
          </w:tcPr>
          <w:p w14:paraId="071CA2F1" w14:textId="77777777" w:rsidR="00677577" w:rsidRPr="00DD02AC" w:rsidRDefault="00677577" w:rsidP="00753E96">
            <w:pPr>
              <w:spacing w:after="0" w:line="240" w:lineRule="auto"/>
              <w:jc w:val="right"/>
              <w:rPr>
                <w:sz w:val="20"/>
                <w:szCs w:val="20"/>
              </w:rPr>
            </w:pPr>
            <w:r w:rsidRPr="00DD02AC">
              <w:rPr>
                <w:sz w:val="20"/>
                <w:szCs w:val="20"/>
              </w:rPr>
              <w:t>50.4%</w:t>
            </w:r>
          </w:p>
        </w:tc>
        <w:tc>
          <w:tcPr>
            <w:tcW w:w="1147" w:type="dxa"/>
            <w:tcBorders>
              <w:top w:val="nil"/>
              <w:left w:val="nil"/>
              <w:bottom w:val="nil"/>
              <w:right w:val="single" w:sz="4" w:space="0" w:color="auto"/>
            </w:tcBorders>
            <w:vAlign w:val="center"/>
            <w:hideMark/>
          </w:tcPr>
          <w:p w14:paraId="70A3BBE2" w14:textId="77777777" w:rsidR="00677577" w:rsidRPr="00DD02AC" w:rsidRDefault="00677577" w:rsidP="00753E96">
            <w:pPr>
              <w:spacing w:after="0" w:line="240" w:lineRule="auto"/>
              <w:jc w:val="right"/>
              <w:rPr>
                <w:sz w:val="20"/>
                <w:szCs w:val="20"/>
              </w:rPr>
            </w:pPr>
            <w:r w:rsidRPr="00DD02AC">
              <w:rPr>
                <w:sz w:val="20"/>
                <w:szCs w:val="20"/>
              </w:rPr>
              <w:t>52.9%</w:t>
            </w:r>
          </w:p>
        </w:tc>
      </w:tr>
      <w:tr w:rsidR="00677577" w:rsidRPr="00167CB8" w14:paraId="7CD19C95" w14:textId="77777777">
        <w:trPr>
          <w:trHeight w:val="340"/>
        </w:trPr>
        <w:tc>
          <w:tcPr>
            <w:tcW w:w="4673" w:type="dxa"/>
            <w:tcBorders>
              <w:top w:val="nil"/>
              <w:left w:val="single" w:sz="4" w:space="0" w:color="auto"/>
              <w:bottom w:val="nil"/>
              <w:right w:val="nil"/>
            </w:tcBorders>
            <w:noWrap/>
            <w:vAlign w:val="center"/>
            <w:hideMark/>
          </w:tcPr>
          <w:p w14:paraId="44B611D8" w14:textId="3F9F6848" w:rsidR="00677577" w:rsidRPr="00DD02AC" w:rsidRDefault="00677577">
            <w:pPr>
              <w:spacing w:after="0" w:line="240" w:lineRule="auto"/>
              <w:rPr>
                <w:sz w:val="20"/>
                <w:szCs w:val="20"/>
              </w:rPr>
            </w:pPr>
            <w:r w:rsidRPr="00DD02AC">
              <w:rPr>
                <w:sz w:val="20"/>
                <w:szCs w:val="20"/>
              </w:rPr>
              <w:t>Fixed</w:t>
            </w:r>
            <w:r w:rsidR="00C16E22">
              <w:rPr>
                <w:sz w:val="20"/>
                <w:szCs w:val="20"/>
              </w:rPr>
              <w:t xml:space="preserve"> </w:t>
            </w:r>
            <w:r w:rsidRPr="00DD02AC">
              <w:rPr>
                <w:sz w:val="20"/>
                <w:szCs w:val="20"/>
              </w:rPr>
              <w:t>term employee</w:t>
            </w:r>
          </w:p>
        </w:tc>
        <w:tc>
          <w:tcPr>
            <w:tcW w:w="1134" w:type="dxa"/>
            <w:tcBorders>
              <w:top w:val="nil"/>
              <w:left w:val="nil"/>
              <w:bottom w:val="nil"/>
              <w:right w:val="nil"/>
            </w:tcBorders>
            <w:noWrap/>
            <w:vAlign w:val="center"/>
            <w:hideMark/>
          </w:tcPr>
          <w:p w14:paraId="17D7683C" w14:textId="77777777" w:rsidR="00677577" w:rsidRPr="00DD02AC" w:rsidRDefault="00677577" w:rsidP="00753E96">
            <w:pPr>
              <w:spacing w:after="0" w:line="240" w:lineRule="auto"/>
              <w:jc w:val="right"/>
              <w:rPr>
                <w:sz w:val="20"/>
                <w:szCs w:val="20"/>
              </w:rPr>
            </w:pPr>
            <w:r w:rsidRPr="00DD02AC">
              <w:rPr>
                <w:sz w:val="20"/>
                <w:szCs w:val="20"/>
              </w:rPr>
              <w:t>9.5%</w:t>
            </w:r>
          </w:p>
        </w:tc>
        <w:tc>
          <w:tcPr>
            <w:tcW w:w="1147" w:type="dxa"/>
            <w:tcBorders>
              <w:top w:val="nil"/>
              <w:left w:val="nil"/>
              <w:bottom w:val="nil"/>
              <w:right w:val="nil"/>
            </w:tcBorders>
            <w:noWrap/>
            <w:vAlign w:val="center"/>
            <w:hideMark/>
          </w:tcPr>
          <w:p w14:paraId="3DC67454" w14:textId="77777777" w:rsidR="00677577" w:rsidRPr="00DD02AC" w:rsidRDefault="00677577" w:rsidP="00753E96">
            <w:pPr>
              <w:spacing w:after="0" w:line="240" w:lineRule="auto"/>
              <w:jc w:val="right"/>
              <w:rPr>
                <w:sz w:val="20"/>
                <w:szCs w:val="20"/>
              </w:rPr>
            </w:pPr>
            <w:r w:rsidRPr="00DD02AC">
              <w:rPr>
                <w:sz w:val="20"/>
                <w:szCs w:val="20"/>
              </w:rPr>
              <w:t>14.8%</w:t>
            </w:r>
          </w:p>
        </w:tc>
        <w:tc>
          <w:tcPr>
            <w:tcW w:w="1147" w:type="dxa"/>
            <w:gridSpan w:val="2"/>
            <w:tcBorders>
              <w:top w:val="nil"/>
              <w:left w:val="nil"/>
              <w:bottom w:val="nil"/>
              <w:right w:val="nil"/>
            </w:tcBorders>
            <w:vAlign w:val="center"/>
            <w:hideMark/>
          </w:tcPr>
          <w:p w14:paraId="01698CA4" w14:textId="77777777" w:rsidR="00677577" w:rsidRPr="00DD02AC" w:rsidRDefault="00677577" w:rsidP="00753E96">
            <w:pPr>
              <w:spacing w:after="0" w:line="240" w:lineRule="auto"/>
              <w:jc w:val="right"/>
              <w:rPr>
                <w:sz w:val="20"/>
                <w:szCs w:val="20"/>
              </w:rPr>
            </w:pPr>
            <w:r w:rsidRPr="00DD02AC">
              <w:rPr>
                <w:sz w:val="20"/>
                <w:szCs w:val="20"/>
              </w:rPr>
              <w:t>11.1%</w:t>
            </w:r>
          </w:p>
        </w:tc>
        <w:tc>
          <w:tcPr>
            <w:tcW w:w="1147" w:type="dxa"/>
            <w:tcBorders>
              <w:top w:val="nil"/>
              <w:left w:val="nil"/>
              <w:bottom w:val="nil"/>
              <w:right w:val="single" w:sz="4" w:space="0" w:color="auto"/>
            </w:tcBorders>
            <w:vAlign w:val="center"/>
            <w:hideMark/>
          </w:tcPr>
          <w:p w14:paraId="4945260D" w14:textId="77777777" w:rsidR="00677577" w:rsidRPr="00DD02AC" w:rsidRDefault="00677577" w:rsidP="00753E96">
            <w:pPr>
              <w:spacing w:after="0" w:line="240" w:lineRule="auto"/>
              <w:jc w:val="right"/>
              <w:rPr>
                <w:sz w:val="20"/>
                <w:szCs w:val="20"/>
              </w:rPr>
            </w:pPr>
            <w:r w:rsidRPr="00DD02AC">
              <w:rPr>
                <w:sz w:val="20"/>
                <w:szCs w:val="20"/>
              </w:rPr>
              <w:t>11.1%</w:t>
            </w:r>
          </w:p>
        </w:tc>
      </w:tr>
      <w:tr w:rsidR="00677577" w:rsidRPr="00167CB8" w14:paraId="0442EFDA" w14:textId="77777777">
        <w:trPr>
          <w:trHeight w:val="340"/>
        </w:trPr>
        <w:tc>
          <w:tcPr>
            <w:tcW w:w="4673" w:type="dxa"/>
            <w:tcBorders>
              <w:top w:val="nil"/>
              <w:left w:val="single" w:sz="4" w:space="0" w:color="auto"/>
              <w:bottom w:val="nil"/>
              <w:right w:val="nil"/>
            </w:tcBorders>
            <w:noWrap/>
            <w:vAlign w:val="center"/>
            <w:hideMark/>
          </w:tcPr>
          <w:p w14:paraId="1070FFF6" w14:textId="77777777" w:rsidR="00677577" w:rsidRPr="00DD02AC" w:rsidRDefault="00677577">
            <w:pPr>
              <w:spacing w:after="0" w:line="240" w:lineRule="auto"/>
              <w:rPr>
                <w:sz w:val="20"/>
                <w:szCs w:val="20"/>
              </w:rPr>
            </w:pPr>
            <w:r w:rsidRPr="00DD02AC">
              <w:rPr>
                <w:sz w:val="20"/>
                <w:szCs w:val="20"/>
              </w:rPr>
              <w:t>Casual employee</w:t>
            </w:r>
          </w:p>
        </w:tc>
        <w:tc>
          <w:tcPr>
            <w:tcW w:w="1134" w:type="dxa"/>
            <w:tcBorders>
              <w:top w:val="nil"/>
              <w:left w:val="nil"/>
              <w:bottom w:val="nil"/>
              <w:right w:val="nil"/>
            </w:tcBorders>
            <w:noWrap/>
            <w:vAlign w:val="center"/>
            <w:hideMark/>
          </w:tcPr>
          <w:p w14:paraId="5A182F59" w14:textId="77777777" w:rsidR="00677577" w:rsidRPr="00DD02AC" w:rsidRDefault="00677577" w:rsidP="00753E96">
            <w:pPr>
              <w:spacing w:after="0" w:line="240" w:lineRule="auto"/>
              <w:jc w:val="right"/>
              <w:rPr>
                <w:sz w:val="20"/>
                <w:szCs w:val="20"/>
              </w:rPr>
            </w:pPr>
            <w:r w:rsidRPr="00DD02AC">
              <w:rPr>
                <w:sz w:val="20"/>
                <w:szCs w:val="20"/>
              </w:rPr>
              <w:t>11.4%</w:t>
            </w:r>
          </w:p>
        </w:tc>
        <w:tc>
          <w:tcPr>
            <w:tcW w:w="1147" w:type="dxa"/>
            <w:tcBorders>
              <w:top w:val="nil"/>
              <w:left w:val="nil"/>
              <w:bottom w:val="nil"/>
              <w:right w:val="nil"/>
            </w:tcBorders>
            <w:noWrap/>
            <w:vAlign w:val="center"/>
            <w:hideMark/>
          </w:tcPr>
          <w:p w14:paraId="6CDD3EE6" w14:textId="77777777" w:rsidR="00677577" w:rsidRPr="00DD02AC" w:rsidRDefault="00677577" w:rsidP="00753E96">
            <w:pPr>
              <w:spacing w:after="0" w:line="240" w:lineRule="auto"/>
              <w:jc w:val="right"/>
              <w:rPr>
                <w:sz w:val="20"/>
                <w:szCs w:val="20"/>
              </w:rPr>
            </w:pPr>
            <w:r w:rsidRPr="00DD02AC">
              <w:rPr>
                <w:sz w:val="20"/>
                <w:szCs w:val="20"/>
              </w:rPr>
              <w:t>7.7%</w:t>
            </w:r>
          </w:p>
        </w:tc>
        <w:tc>
          <w:tcPr>
            <w:tcW w:w="1147" w:type="dxa"/>
            <w:gridSpan w:val="2"/>
            <w:tcBorders>
              <w:top w:val="nil"/>
              <w:left w:val="nil"/>
              <w:bottom w:val="nil"/>
              <w:right w:val="nil"/>
            </w:tcBorders>
            <w:vAlign w:val="center"/>
            <w:hideMark/>
          </w:tcPr>
          <w:p w14:paraId="7EC2E806" w14:textId="77777777" w:rsidR="00677577" w:rsidRPr="00DD02AC" w:rsidRDefault="00677577" w:rsidP="00753E96">
            <w:pPr>
              <w:spacing w:after="0" w:line="240" w:lineRule="auto"/>
              <w:jc w:val="right"/>
              <w:rPr>
                <w:sz w:val="20"/>
                <w:szCs w:val="20"/>
              </w:rPr>
            </w:pPr>
            <w:r w:rsidRPr="00DD02AC">
              <w:rPr>
                <w:sz w:val="20"/>
                <w:szCs w:val="20"/>
              </w:rPr>
              <w:t>38.5%</w:t>
            </w:r>
          </w:p>
        </w:tc>
        <w:tc>
          <w:tcPr>
            <w:tcW w:w="1147" w:type="dxa"/>
            <w:tcBorders>
              <w:top w:val="nil"/>
              <w:left w:val="nil"/>
              <w:bottom w:val="nil"/>
              <w:right w:val="single" w:sz="4" w:space="0" w:color="auto"/>
            </w:tcBorders>
            <w:vAlign w:val="center"/>
            <w:hideMark/>
          </w:tcPr>
          <w:p w14:paraId="164C32BB" w14:textId="77777777" w:rsidR="00677577" w:rsidRPr="00DD02AC" w:rsidRDefault="00677577" w:rsidP="00753E96">
            <w:pPr>
              <w:spacing w:after="0" w:line="240" w:lineRule="auto"/>
              <w:jc w:val="right"/>
              <w:rPr>
                <w:sz w:val="20"/>
                <w:szCs w:val="20"/>
              </w:rPr>
            </w:pPr>
            <w:r w:rsidRPr="00DD02AC">
              <w:rPr>
                <w:sz w:val="20"/>
                <w:szCs w:val="20"/>
              </w:rPr>
              <w:t>36.1%</w:t>
            </w:r>
          </w:p>
        </w:tc>
      </w:tr>
      <w:tr w:rsidR="00677577" w:rsidRPr="00167CB8" w14:paraId="10222725" w14:textId="77777777">
        <w:trPr>
          <w:trHeight w:val="340"/>
        </w:trPr>
        <w:tc>
          <w:tcPr>
            <w:tcW w:w="4673" w:type="dxa"/>
            <w:tcBorders>
              <w:top w:val="nil"/>
              <w:left w:val="single" w:sz="4" w:space="0" w:color="auto"/>
              <w:bottom w:val="nil"/>
              <w:right w:val="nil"/>
            </w:tcBorders>
            <w:noWrap/>
            <w:vAlign w:val="center"/>
            <w:hideMark/>
          </w:tcPr>
          <w:p w14:paraId="16F82F5A" w14:textId="77777777" w:rsidR="00677577" w:rsidRPr="00DD02AC" w:rsidRDefault="00677577">
            <w:pPr>
              <w:spacing w:after="0" w:line="240" w:lineRule="auto"/>
              <w:rPr>
                <w:sz w:val="20"/>
                <w:szCs w:val="20"/>
              </w:rPr>
            </w:pPr>
            <w:r w:rsidRPr="00DD02AC">
              <w:rPr>
                <w:sz w:val="20"/>
                <w:szCs w:val="20"/>
              </w:rPr>
              <w:t>Highest qualification a diploma/certificate</w:t>
            </w:r>
          </w:p>
        </w:tc>
        <w:tc>
          <w:tcPr>
            <w:tcW w:w="1134" w:type="dxa"/>
            <w:tcBorders>
              <w:top w:val="nil"/>
              <w:left w:val="nil"/>
              <w:bottom w:val="nil"/>
              <w:right w:val="nil"/>
            </w:tcBorders>
            <w:noWrap/>
            <w:vAlign w:val="center"/>
            <w:hideMark/>
          </w:tcPr>
          <w:p w14:paraId="4A3D492A" w14:textId="77777777" w:rsidR="00677577" w:rsidRPr="00DD02AC" w:rsidRDefault="00677577" w:rsidP="00753E96">
            <w:pPr>
              <w:spacing w:after="0" w:line="240" w:lineRule="auto"/>
              <w:jc w:val="right"/>
              <w:rPr>
                <w:sz w:val="20"/>
                <w:szCs w:val="20"/>
              </w:rPr>
            </w:pPr>
            <w:r w:rsidRPr="00DD02AC">
              <w:rPr>
                <w:sz w:val="20"/>
                <w:szCs w:val="20"/>
              </w:rPr>
              <w:t>35.7%</w:t>
            </w:r>
          </w:p>
        </w:tc>
        <w:tc>
          <w:tcPr>
            <w:tcW w:w="1147" w:type="dxa"/>
            <w:tcBorders>
              <w:top w:val="nil"/>
              <w:left w:val="nil"/>
              <w:bottom w:val="nil"/>
              <w:right w:val="nil"/>
            </w:tcBorders>
            <w:noWrap/>
            <w:vAlign w:val="center"/>
            <w:hideMark/>
          </w:tcPr>
          <w:p w14:paraId="2C2CB650" w14:textId="77777777" w:rsidR="00677577" w:rsidRPr="00DD02AC" w:rsidRDefault="00677577" w:rsidP="00753E96">
            <w:pPr>
              <w:spacing w:after="0" w:line="240" w:lineRule="auto"/>
              <w:jc w:val="right"/>
              <w:rPr>
                <w:sz w:val="20"/>
                <w:szCs w:val="20"/>
              </w:rPr>
            </w:pPr>
            <w:r w:rsidRPr="00DD02AC">
              <w:rPr>
                <w:sz w:val="20"/>
                <w:szCs w:val="20"/>
              </w:rPr>
              <w:t>28.9%</w:t>
            </w:r>
          </w:p>
        </w:tc>
        <w:tc>
          <w:tcPr>
            <w:tcW w:w="1147" w:type="dxa"/>
            <w:gridSpan w:val="2"/>
            <w:tcBorders>
              <w:top w:val="nil"/>
              <w:left w:val="nil"/>
              <w:bottom w:val="nil"/>
              <w:right w:val="nil"/>
            </w:tcBorders>
            <w:vAlign w:val="center"/>
            <w:hideMark/>
          </w:tcPr>
          <w:p w14:paraId="4A5ADDAC" w14:textId="77777777" w:rsidR="00677577" w:rsidRPr="00DD02AC" w:rsidRDefault="00677577" w:rsidP="00753E96">
            <w:pPr>
              <w:spacing w:after="0" w:line="240" w:lineRule="auto"/>
              <w:jc w:val="right"/>
              <w:rPr>
                <w:sz w:val="20"/>
                <w:szCs w:val="20"/>
              </w:rPr>
            </w:pPr>
            <w:r w:rsidRPr="00DD02AC">
              <w:rPr>
                <w:sz w:val="20"/>
                <w:szCs w:val="20"/>
              </w:rPr>
              <w:t>22.6%</w:t>
            </w:r>
          </w:p>
        </w:tc>
        <w:tc>
          <w:tcPr>
            <w:tcW w:w="1147" w:type="dxa"/>
            <w:tcBorders>
              <w:top w:val="nil"/>
              <w:left w:val="nil"/>
              <w:bottom w:val="nil"/>
              <w:right w:val="single" w:sz="4" w:space="0" w:color="auto"/>
            </w:tcBorders>
            <w:vAlign w:val="center"/>
            <w:hideMark/>
          </w:tcPr>
          <w:p w14:paraId="1AF6FBAF" w14:textId="77777777" w:rsidR="00677577" w:rsidRPr="00DD02AC" w:rsidRDefault="00677577" w:rsidP="00753E96">
            <w:pPr>
              <w:spacing w:after="0" w:line="240" w:lineRule="auto"/>
              <w:jc w:val="right"/>
              <w:rPr>
                <w:sz w:val="20"/>
                <w:szCs w:val="20"/>
              </w:rPr>
            </w:pPr>
            <w:r w:rsidRPr="00DD02AC">
              <w:rPr>
                <w:sz w:val="20"/>
                <w:szCs w:val="20"/>
              </w:rPr>
              <w:t>30.6%</w:t>
            </w:r>
          </w:p>
        </w:tc>
      </w:tr>
      <w:tr w:rsidR="00677577" w:rsidRPr="00167CB8" w14:paraId="0CB54C40" w14:textId="77777777">
        <w:trPr>
          <w:trHeight w:val="340"/>
        </w:trPr>
        <w:tc>
          <w:tcPr>
            <w:tcW w:w="4673" w:type="dxa"/>
            <w:tcBorders>
              <w:top w:val="nil"/>
              <w:left w:val="single" w:sz="4" w:space="0" w:color="auto"/>
              <w:bottom w:val="nil"/>
              <w:right w:val="nil"/>
            </w:tcBorders>
            <w:noWrap/>
            <w:vAlign w:val="center"/>
            <w:hideMark/>
          </w:tcPr>
          <w:p w14:paraId="09445D42" w14:textId="77777777" w:rsidR="00677577" w:rsidRPr="00DD02AC" w:rsidRDefault="00677577">
            <w:pPr>
              <w:spacing w:after="0" w:line="240" w:lineRule="auto"/>
              <w:rPr>
                <w:sz w:val="20"/>
                <w:szCs w:val="20"/>
              </w:rPr>
            </w:pPr>
            <w:r w:rsidRPr="00DD02AC">
              <w:rPr>
                <w:sz w:val="20"/>
                <w:szCs w:val="20"/>
              </w:rPr>
              <w:t>Highest qualification an undergraduate degree</w:t>
            </w:r>
          </w:p>
        </w:tc>
        <w:tc>
          <w:tcPr>
            <w:tcW w:w="1134" w:type="dxa"/>
            <w:tcBorders>
              <w:top w:val="nil"/>
              <w:left w:val="nil"/>
              <w:bottom w:val="nil"/>
              <w:right w:val="nil"/>
            </w:tcBorders>
            <w:noWrap/>
            <w:vAlign w:val="center"/>
            <w:hideMark/>
          </w:tcPr>
          <w:p w14:paraId="1EBA63E7" w14:textId="77777777" w:rsidR="00677577" w:rsidRPr="00DD02AC" w:rsidRDefault="00677577" w:rsidP="00753E96">
            <w:pPr>
              <w:spacing w:after="0" w:line="240" w:lineRule="auto"/>
              <w:jc w:val="right"/>
              <w:rPr>
                <w:sz w:val="20"/>
                <w:szCs w:val="20"/>
              </w:rPr>
            </w:pPr>
            <w:r w:rsidRPr="00DD02AC">
              <w:rPr>
                <w:sz w:val="20"/>
                <w:szCs w:val="20"/>
              </w:rPr>
              <w:t>20.1%</w:t>
            </w:r>
          </w:p>
        </w:tc>
        <w:tc>
          <w:tcPr>
            <w:tcW w:w="1147" w:type="dxa"/>
            <w:tcBorders>
              <w:top w:val="nil"/>
              <w:left w:val="nil"/>
              <w:bottom w:val="nil"/>
              <w:right w:val="nil"/>
            </w:tcBorders>
            <w:noWrap/>
            <w:vAlign w:val="center"/>
            <w:hideMark/>
          </w:tcPr>
          <w:p w14:paraId="6F974DDC" w14:textId="77777777" w:rsidR="00677577" w:rsidRPr="00DD02AC" w:rsidRDefault="00677577" w:rsidP="00753E96">
            <w:pPr>
              <w:spacing w:after="0" w:line="240" w:lineRule="auto"/>
              <w:jc w:val="right"/>
              <w:rPr>
                <w:sz w:val="20"/>
                <w:szCs w:val="20"/>
              </w:rPr>
            </w:pPr>
            <w:r w:rsidRPr="00DD02AC">
              <w:rPr>
                <w:sz w:val="20"/>
                <w:szCs w:val="20"/>
              </w:rPr>
              <w:t>22.9%</w:t>
            </w:r>
          </w:p>
        </w:tc>
        <w:tc>
          <w:tcPr>
            <w:tcW w:w="1147" w:type="dxa"/>
            <w:gridSpan w:val="2"/>
            <w:tcBorders>
              <w:top w:val="nil"/>
              <w:left w:val="nil"/>
              <w:bottom w:val="nil"/>
              <w:right w:val="nil"/>
            </w:tcBorders>
            <w:vAlign w:val="center"/>
            <w:hideMark/>
          </w:tcPr>
          <w:p w14:paraId="1A92F2ED" w14:textId="77777777" w:rsidR="00677577" w:rsidRPr="00DD02AC" w:rsidRDefault="00677577" w:rsidP="00753E96">
            <w:pPr>
              <w:spacing w:after="0" w:line="240" w:lineRule="auto"/>
              <w:jc w:val="right"/>
              <w:rPr>
                <w:sz w:val="20"/>
                <w:szCs w:val="20"/>
              </w:rPr>
            </w:pPr>
            <w:r w:rsidRPr="00DD02AC">
              <w:rPr>
                <w:sz w:val="20"/>
                <w:szCs w:val="20"/>
              </w:rPr>
              <w:t>25.6%</w:t>
            </w:r>
          </w:p>
        </w:tc>
        <w:tc>
          <w:tcPr>
            <w:tcW w:w="1147" w:type="dxa"/>
            <w:tcBorders>
              <w:top w:val="nil"/>
              <w:left w:val="nil"/>
              <w:bottom w:val="nil"/>
              <w:right w:val="single" w:sz="4" w:space="0" w:color="auto"/>
            </w:tcBorders>
            <w:vAlign w:val="center"/>
            <w:hideMark/>
          </w:tcPr>
          <w:p w14:paraId="127E2745" w14:textId="77777777" w:rsidR="00677577" w:rsidRPr="00DD02AC" w:rsidRDefault="00677577" w:rsidP="00753E96">
            <w:pPr>
              <w:spacing w:after="0" w:line="240" w:lineRule="auto"/>
              <w:jc w:val="right"/>
              <w:rPr>
                <w:sz w:val="20"/>
                <w:szCs w:val="20"/>
              </w:rPr>
            </w:pPr>
            <w:r w:rsidRPr="00DD02AC">
              <w:rPr>
                <w:sz w:val="20"/>
                <w:szCs w:val="20"/>
              </w:rPr>
              <w:t>27.2%</w:t>
            </w:r>
          </w:p>
        </w:tc>
      </w:tr>
      <w:tr w:rsidR="00677577" w:rsidRPr="00167CB8" w14:paraId="67CCA19E" w14:textId="77777777">
        <w:trPr>
          <w:trHeight w:val="340"/>
        </w:trPr>
        <w:tc>
          <w:tcPr>
            <w:tcW w:w="4673" w:type="dxa"/>
            <w:tcBorders>
              <w:top w:val="nil"/>
              <w:left w:val="single" w:sz="4" w:space="0" w:color="auto"/>
              <w:bottom w:val="nil"/>
              <w:right w:val="nil"/>
            </w:tcBorders>
            <w:noWrap/>
            <w:vAlign w:val="center"/>
            <w:hideMark/>
          </w:tcPr>
          <w:p w14:paraId="223ADFFC" w14:textId="77777777" w:rsidR="00677577" w:rsidRPr="00DD02AC" w:rsidRDefault="00677577">
            <w:pPr>
              <w:spacing w:after="0" w:line="240" w:lineRule="auto"/>
              <w:rPr>
                <w:sz w:val="20"/>
                <w:szCs w:val="20"/>
              </w:rPr>
            </w:pPr>
            <w:r w:rsidRPr="00DD02AC">
              <w:rPr>
                <w:sz w:val="20"/>
                <w:szCs w:val="20"/>
              </w:rPr>
              <w:t>Highest qualification a postgraduate degree</w:t>
            </w:r>
          </w:p>
        </w:tc>
        <w:tc>
          <w:tcPr>
            <w:tcW w:w="1134" w:type="dxa"/>
            <w:tcBorders>
              <w:top w:val="nil"/>
              <w:left w:val="nil"/>
              <w:bottom w:val="nil"/>
              <w:right w:val="nil"/>
            </w:tcBorders>
            <w:noWrap/>
            <w:vAlign w:val="center"/>
            <w:hideMark/>
          </w:tcPr>
          <w:p w14:paraId="47AF8AE2" w14:textId="77777777" w:rsidR="00677577" w:rsidRPr="00DD02AC" w:rsidRDefault="00677577" w:rsidP="00753E96">
            <w:pPr>
              <w:spacing w:after="0" w:line="240" w:lineRule="auto"/>
              <w:jc w:val="right"/>
              <w:rPr>
                <w:sz w:val="20"/>
                <w:szCs w:val="20"/>
              </w:rPr>
            </w:pPr>
            <w:r w:rsidRPr="00DD02AC">
              <w:rPr>
                <w:sz w:val="20"/>
                <w:szCs w:val="20"/>
              </w:rPr>
              <w:t>21.3%</w:t>
            </w:r>
          </w:p>
        </w:tc>
        <w:tc>
          <w:tcPr>
            <w:tcW w:w="1147" w:type="dxa"/>
            <w:tcBorders>
              <w:top w:val="nil"/>
              <w:left w:val="nil"/>
              <w:bottom w:val="nil"/>
              <w:right w:val="nil"/>
            </w:tcBorders>
            <w:noWrap/>
            <w:vAlign w:val="center"/>
            <w:hideMark/>
          </w:tcPr>
          <w:p w14:paraId="346FCCC1" w14:textId="77777777" w:rsidR="00677577" w:rsidRPr="00DD02AC" w:rsidRDefault="00677577" w:rsidP="00753E96">
            <w:pPr>
              <w:spacing w:after="0" w:line="240" w:lineRule="auto"/>
              <w:jc w:val="right"/>
              <w:rPr>
                <w:sz w:val="20"/>
                <w:szCs w:val="20"/>
              </w:rPr>
            </w:pPr>
            <w:r w:rsidRPr="00DD02AC">
              <w:rPr>
                <w:sz w:val="20"/>
                <w:szCs w:val="20"/>
              </w:rPr>
              <w:t>25.4%</w:t>
            </w:r>
          </w:p>
        </w:tc>
        <w:tc>
          <w:tcPr>
            <w:tcW w:w="1147" w:type="dxa"/>
            <w:gridSpan w:val="2"/>
            <w:tcBorders>
              <w:top w:val="nil"/>
              <w:left w:val="nil"/>
              <w:bottom w:val="nil"/>
              <w:right w:val="nil"/>
            </w:tcBorders>
            <w:vAlign w:val="center"/>
            <w:hideMark/>
          </w:tcPr>
          <w:p w14:paraId="400EDAFC" w14:textId="77777777" w:rsidR="00677577" w:rsidRPr="00DD02AC" w:rsidRDefault="00677577" w:rsidP="00753E96">
            <w:pPr>
              <w:spacing w:after="0" w:line="240" w:lineRule="auto"/>
              <w:jc w:val="right"/>
              <w:rPr>
                <w:sz w:val="20"/>
                <w:szCs w:val="20"/>
              </w:rPr>
            </w:pPr>
            <w:r w:rsidRPr="00DD02AC">
              <w:rPr>
                <w:sz w:val="20"/>
                <w:szCs w:val="20"/>
              </w:rPr>
              <w:t>29.8%</w:t>
            </w:r>
          </w:p>
        </w:tc>
        <w:tc>
          <w:tcPr>
            <w:tcW w:w="1147" w:type="dxa"/>
            <w:tcBorders>
              <w:top w:val="nil"/>
              <w:left w:val="nil"/>
              <w:bottom w:val="nil"/>
              <w:right w:val="single" w:sz="4" w:space="0" w:color="auto"/>
            </w:tcBorders>
            <w:vAlign w:val="center"/>
            <w:hideMark/>
          </w:tcPr>
          <w:p w14:paraId="14F3CB58" w14:textId="77777777" w:rsidR="00677577" w:rsidRPr="00DD02AC" w:rsidRDefault="00677577" w:rsidP="00753E96">
            <w:pPr>
              <w:spacing w:after="0" w:line="240" w:lineRule="auto"/>
              <w:jc w:val="right"/>
              <w:rPr>
                <w:sz w:val="20"/>
                <w:szCs w:val="20"/>
              </w:rPr>
            </w:pPr>
            <w:r w:rsidRPr="00DD02AC">
              <w:rPr>
                <w:sz w:val="20"/>
                <w:szCs w:val="20"/>
              </w:rPr>
              <w:t>21.8%</w:t>
            </w:r>
          </w:p>
        </w:tc>
      </w:tr>
      <w:tr w:rsidR="00677577" w:rsidRPr="00167CB8" w14:paraId="062143AF" w14:textId="77777777">
        <w:trPr>
          <w:trHeight w:val="340"/>
        </w:trPr>
        <w:tc>
          <w:tcPr>
            <w:tcW w:w="4673" w:type="dxa"/>
            <w:tcBorders>
              <w:top w:val="nil"/>
              <w:left w:val="single" w:sz="4" w:space="0" w:color="auto"/>
              <w:bottom w:val="nil"/>
              <w:right w:val="nil"/>
            </w:tcBorders>
            <w:noWrap/>
            <w:vAlign w:val="center"/>
            <w:hideMark/>
          </w:tcPr>
          <w:p w14:paraId="30612282" w14:textId="77777777" w:rsidR="00677577" w:rsidRPr="00DD02AC" w:rsidRDefault="00677577">
            <w:pPr>
              <w:spacing w:after="0" w:line="240" w:lineRule="auto"/>
              <w:rPr>
                <w:sz w:val="20"/>
                <w:szCs w:val="20"/>
              </w:rPr>
            </w:pPr>
            <w:r w:rsidRPr="00DD02AC">
              <w:rPr>
                <w:sz w:val="20"/>
                <w:szCs w:val="20"/>
              </w:rPr>
              <w:t>Age</w:t>
            </w:r>
          </w:p>
        </w:tc>
        <w:tc>
          <w:tcPr>
            <w:tcW w:w="1134" w:type="dxa"/>
            <w:tcBorders>
              <w:top w:val="nil"/>
              <w:left w:val="nil"/>
              <w:bottom w:val="nil"/>
              <w:right w:val="nil"/>
            </w:tcBorders>
            <w:noWrap/>
            <w:vAlign w:val="center"/>
            <w:hideMark/>
          </w:tcPr>
          <w:p w14:paraId="1975B596" w14:textId="77777777" w:rsidR="00677577" w:rsidRPr="00DD02AC" w:rsidRDefault="00677577" w:rsidP="00753E96">
            <w:pPr>
              <w:spacing w:after="0" w:line="240" w:lineRule="auto"/>
              <w:jc w:val="right"/>
              <w:rPr>
                <w:sz w:val="20"/>
                <w:szCs w:val="20"/>
              </w:rPr>
            </w:pPr>
            <w:r w:rsidRPr="00DD02AC">
              <w:rPr>
                <w:sz w:val="20"/>
                <w:szCs w:val="20"/>
              </w:rPr>
              <w:t>39.9</w:t>
            </w:r>
          </w:p>
        </w:tc>
        <w:tc>
          <w:tcPr>
            <w:tcW w:w="1147" w:type="dxa"/>
            <w:tcBorders>
              <w:top w:val="nil"/>
              <w:left w:val="nil"/>
              <w:bottom w:val="nil"/>
              <w:right w:val="nil"/>
            </w:tcBorders>
            <w:noWrap/>
            <w:vAlign w:val="center"/>
            <w:hideMark/>
          </w:tcPr>
          <w:p w14:paraId="53C40598" w14:textId="77777777" w:rsidR="00677577" w:rsidRPr="00DD02AC" w:rsidRDefault="00677577" w:rsidP="00753E96">
            <w:pPr>
              <w:spacing w:after="0" w:line="240" w:lineRule="auto"/>
              <w:jc w:val="right"/>
              <w:rPr>
                <w:sz w:val="20"/>
                <w:szCs w:val="20"/>
              </w:rPr>
            </w:pPr>
            <w:r w:rsidRPr="00DD02AC">
              <w:rPr>
                <w:sz w:val="20"/>
                <w:szCs w:val="20"/>
              </w:rPr>
              <w:t>37.5</w:t>
            </w:r>
          </w:p>
        </w:tc>
        <w:tc>
          <w:tcPr>
            <w:tcW w:w="1147" w:type="dxa"/>
            <w:gridSpan w:val="2"/>
            <w:tcBorders>
              <w:top w:val="nil"/>
              <w:left w:val="nil"/>
              <w:bottom w:val="nil"/>
              <w:right w:val="nil"/>
            </w:tcBorders>
            <w:vAlign w:val="center"/>
            <w:hideMark/>
          </w:tcPr>
          <w:p w14:paraId="22178AB6" w14:textId="77777777" w:rsidR="00677577" w:rsidRPr="00DD02AC" w:rsidRDefault="00677577" w:rsidP="00753E96">
            <w:pPr>
              <w:spacing w:after="0" w:line="240" w:lineRule="auto"/>
              <w:jc w:val="right"/>
              <w:rPr>
                <w:sz w:val="20"/>
                <w:szCs w:val="20"/>
              </w:rPr>
            </w:pPr>
            <w:r w:rsidRPr="00DD02AC">
              <w:rPr>
                <w:sz w:val="20"/>
                <w:szCs w:val="20"/>
              </w:rPr>
              <w:t>38.4</w:t>
            </w:r>
          </w:p>
        </w:tc>
        <w:tc>
          <w:tcPr>
            <w:tcW w:w="1147" w:type="dxa"/>
            <w:tcBorders>
              <w:top w:val="nil"/>
              <w:left w:val="nil"/>
              <w:bottom w:val="nil"/>
              <w:right w:val="single" w:sz="4" w:space="0" w:color="auto"/>
            </w:tcBorders>
            <w:vAlign w:val="center"/>
            <w:hideMark/>
          </w:tcPr>
          <w:p w14:paraId="7C313092" w14:textId="77777777" w:rsidR="00677577" w:rsidRPr="00DD02AC" w:rsidRDefault="00677577" w:rsidP="00753E96">
            <w:pPr>
              <w:spacing w:after="0" w:line="240" w:lineRule="auto"/>
              <w:jc w:val="right"/>
              <w:rPr>
                <w:sz w:val="20"/>
                <w:szCs w:val="20"/>
              </w:rPr>
            </w:pPr>
            <w:r w:rsidRPr="00DD02AC">
              <w:rPr>
                <w:sz w:val="20"/>
                <w:szCs w:val="20"/>
              </w:rPr>
              <w:t>40.8</w:t>
            </w:r>
          </w:p>
        </w:tc>
      </w:tr>
      <w:tr w:rsidR="00677577" w:rsidRPr="00167CB8" w14:paraId="7F6D013A" w14:textId="77777777">
        <w:trPr>
          <w:trHeight w:val="340"/>
        </w:trPr>
        <w:tc>
          <w:tcPr>
            <w:tcW w:w="4673" w:type="dxa"/>
            <w:tcBorders>
              <w:top w:val="nil"/>
              <w:left w:val="single" w:sz="4" w:space="0" w:color="auto"/>
              <w:bottom w:val="nil"/>
              <w:right w:val="nil"/>
            </w:tcBorders>
            <w:noWrap/>
            <w:vAlign w:val="center"/>
            <w:hideMark/>
          </w:tcPr>
          <w:p w14:paraId="452E40C1" w14:textId="77777777" w:rsidR="00677577" w:rsidRPr="00DD02AC" w:rsidRDefault="00677577">
            <w:pPr>
              <w:spacing w:after="0" w:line="240" w:lineRule="auto"/>
              <w:rPr>
                <w:sz w:val="20"/>
                <w:szCs w:val="20"/>
              </w:rPr>
            </w:pPr>
          </w:p>
        </w:tc>
        <w:tc>
          <w:tcPr>
            <w:tcW w:w="1134" w:type="dxa"/>
            <w:tcBorders>
              <w:top w:val="nil"/>
              <w:left w:val="nil"/>
              <w:bottom w:val="nil"/>
              <w:right w:val="nil"/>
            </w:tcBorders>
            <w:noWrap/>
            <w:vAlign w:val="center"/>
            <w:hideMark/>
          </w:tcPr>
          <w:p w14:paraId="1A76FE16" w14:textId="77777777" w:rsidR="00677577" w:rsidRPr="00DD02AC" w:rsidRDefault="00677577" w:rsidP="00753E96">
            <w:pPr>
              <w:spacing w:after="0" w:line="240" w:lineRule="auto"/>
              <w:jc w:val="right"/>
              <w:rPr>
                <w:sz w:val="20"/>
                <w:szCs w:val="20"/>
              </w:rPr>
            </w:pPr>
            <w:r w:rsidRPr="00DD02AC">
              <w:rPr>
                <w:sz w:val="20"/>
                <w:szCs w:val="20"/>
              </w:rPr>
              <w:t>(11.7)</w:t>
            </w:r>
          </w:p>
        </w:tc>
        <w:tc>
          <w:tcPr>
            <w:tcW w:w="1147" w:type="dxa"/>
            <w:tcBorders>
              <w:top w:val="nil"/>
              <w:left w:val="nil"/>
              <w:bottom w:val="nil"/>
              <w:right w:val="nil"/>
            </w:tcBorders>
            <w:noWrap/>
            <w:vAlign w:val="center"/>
            <w:hideMark/>
          </w:tcPr>
          <w:p w14:paraId="61FE60E4" w14:textId="77777777" w:rsidR="00677577" w:rsidRPr="00DD02AC" w:rsidRDefault="00677577" w:rsidP="00753E96">
            <w:pPr>
              <w:spacing w:after="0" w:line="240" w:lineRule="auto"/>
              <w:jc w:val="right"/>
              <w:rPr>
                <w:sz w:val="20"/>
                <w:szCs w:val="20"/>
              </w:rPr>
            </w:pPr>
            <w:r w:rsidRPr="00DD02AC">
              <w:rPr>
                <w:sz w:val="20"/>
                <w:szCs w:val="20"/>
              </w:rPr>
              <w:t>(11.8)</w:t>
            </w:r>
          </w:p>
        </w:tc>
        <w:tc>
          <w:tcPr>
            <w:tcW w:w="1147" w:type="dxa"/>
            <w:gridSpan w:val="2"/>
            <w:tcBorders>
              <w:top w:val="nil"/>
              <w:left w:val="nil"/>
              <w:bottom w:val="nil"/>
              <w:right w:val="nil"/>
            </w:tcBorders>
            <w:vAlign w:val="center"/>
            <w:hideMark/>
          </w:tcPr>
          <w:p w14:paraId="76D7EEEE" w14:textId="77777777" w:rsidR="00677577" w:rsidRPr="00DD02AC" w:rsidRDefault="00677577" w:rsidP="00753E96">
            <w:pPr>
              <w:spacing w:after="0" w:line="240" w:lineRule="auto"/>
              <w:jc w:val="right"/>
              <w:rPr>
                <w:sz w:val="20"/>
                <w:szCs w:val="20"/>
              </w:rPr>
            </w:pPr>
            <w:r w:rsidRPr="00DD02AC">
              <w:rPr>
                <w:sz w:val="20"/>
                <w:szCs w:val="20"/>
              </w:rPr>
              <w:t>(12.2)</w:t>
            </w:r>
          </w:p>
        </w:tc>
        <w:tc>
          <w:tcPr>
            <w:tcW w:w="1147" w:type="dxa"/>
            <w:tcBorders>
              <w:top w:val="nil"/>
              <w:left w:val="nil"/>
              <w:bottom w:val="nil"/>
              <w:right w:val="single" w:sz="4" w:space="0" w:color="auto"/>
            </w:tcBorders>
            <w:vAlign w:val="center"/>
            <w:hideMark/>
          </w:tcPr>
          <w:p w14:paraId="54F61413" w14:textId="77777777" w:rsidR="00677577" w:rsidRPr="00DD02AC" w:rsidRDefault="00677577" w:rsidP="00753E96">
            <w:pPr>
              <w:spacing w:after="0" w:line="240" w:lineRule="auto"/>
              <w:jc w:val="right"/>
              <w:rPr>
                <w:sz w:val="20"/>
                <w:szCs w:val="20"/>
              </w:rPr>
            </w:pPr>
            <w:r w:rsidRPr="00DD02AC">
              <w:rPr>
                <w:sz w:val="20"/>
                <w:szCs w:val="20"/>
              </w:rPr>
              <w:t>(12.1)</w:t>
            </w:r>
          </w:p>
        </w:tc>
      </w:tr>
      <w:tr w:rsidR="00677577" w:rsidRPr="00167CB8" w14:paraId="77CF18F1" w14:textId="77777777">
        <w:trPr>
          <w:trHeight w:val="340"/>
        </w:trPr>
        <w:tc>
          <w:tcPr>
            <w:tcW w:w="4673" w:type="dxa"/>
            <w:tcBorders>
              <w:top w:val="nil"/>
              <w:left w:val="single" w:sz="4" w:space="0" w:color="auto"/>
              <w:bottom w:val="nil"/>
              <w:right w:val="nil"/>
            </w:tcBorders>
            <w:noWrap/>
            <w:vAlign w:val="center"/>
            <w:hideMark/>
          </w:tcPr>
          <w:p w14:paraId="13D51698" w14:textId="77777777" w:rsidR="00677577" w:rsidRPr="00DD02AC" w:rsidRDefault="00677577">
            <w:pPr>
              <w:spacing w:after="0" w:line="240" w:lineRule="auto"/>
              <w:rPr>
                <w:sz w:val="20"/>
                <w:szCs w:val="20"/>
              </w:rPr>
            </w:pPr>
            <w:r w:rsidRPr="00DD02AC">
              <w:rPr>
                <w:sz w:val="20"/>
                <w:szCs w:val="20"/>
              </w:rPr>
              <w:t>Married or living in a de facto relationship</w:t>
            </w:r>
          </w:p>
        </w:tc>
        <w:tc>
          <w:tcPr>
            <w:tcW w:w="1134" w:type="dxa"/>
            <w:tcBorders>
              <w:top w:val="nil"/>
              <w:left w:val="nil"/>
              <w:bottom w:val="nil"/>
              <w:right w:val="nil"/>
            </w:tcBorders>
            <w:noWrap/>
            <w:vAlign w:val="center"/>
            <w:hideMark/>
          </w:tcPr>
          <w:p w14:paraId="70D076E5" w14:textId="77777777" w:rsidR="00677577" w:rsidRPr="00DD02AC" w:rsidRDefault="00677577" w:rsidP="00753E96">
            <w:pPr>
              <w:spacing w:after="0" w:line="240" w:lineRule="auto"/>
              <w:jc w:val="right"/>
              <w:rPr>
                <w:sz w:val="20"/>
                <w:szCs w:val="20"/>
              </w:rPr>
            </w:pPr>
            <w:r w:rsidRPr="00DD02AC">
              <w:rPr>
                <w:sz w:val="20"/>
                <w:szCs w:val="20"/>
              </w:rPr>
              <w:t>67.3%</w:t>
            </w:r>
          </w:p>
        </w:tc>
        <w:tc>
          <w:tcPr>
            <w:tcW w:w="1147" w:type="dxa"/>
            <w:tcBorders>
              <w:top w:val="nil"/>
              <w:left w:val="nil"/>
              <w:bottom w:val="nil"/>
              <w:right w:val="nil"/>
            </w:tcBorders>
            <w:noWrap/>
            <w:vAlign w:val="center"/>
            <w:hideMark/>
          </w:tcPr>
          <w:p w14:paraId="086E1972" w14:textId="77777777" w:rsidR="00677577" w:rsidRPr="00DD02AC" w:rsidRDefault="00677577" w:rsidP="00753E96">
            <w:pPr>
              <w:spacing w:after="0" w:line="240" w:lineRule="auto"/>
              <w:jc w:val="right"/>
              <w:rPr>
                <w:sz w:val="20"/>
                <w:szCs w:val="20"/>
              </w:rPr>
            </w:pPr>
            <w:r w:rsidRPr="00DD02AC">
              <w:rPr>
                <w:sz w:val="20"/>
                <w:szCs w:val="20"/>
              </w:rPr>
              <w:t>59.0%</w:t>
            </w:r>
          </w:p>
        </w:tc>
        <w:tc>
          <w:tcPr>
            <w:tcW w:w="1147" w:type="dxa"/>
            <w:gridSpan w:val="2"/>
            <w:tcBorders>
              <w:top w:val="nil"/>
              <w:left w:val="nil"/>
              <w:bottom w:val="nil"/>
              <w:right w:val="nil"/>
            </w:tcBorders>
            <w:vAlign w:val="center"/>
            <w:hideMark/>
          </w:tcPr>
          <w:p w14:paraId="02D2CD69" w14:textId="77777777" w:rsidR="00677577" w:rsidRPr="00DD02AC" w:rsidRDefault="00677577" w:rsidP="00753E96">
            <w:pPr>
              <w:spacing w:after="0" w:line="240" w:lineRule="auto"/>
              <w:jc w:val="right"/>
              <w:rPr>
                <w:sz w:val="20"/>
                <w:szCs w:val="20"/>
              </w:rPr>
            </w:pPr>
            <w:r w:rsidRPr="00DD02AC">
              <w:rPr>
                <w:sz w:val="20"/>
                <w:szCs w:val="20"/>
              </w:rPr>
              <w:t>65.3%</w:t>
            </w:r>
          </w:p>
        </w:tc>
        <w:tc>
          <w:tcPr>
            <w:tcW w:w="1147" w:type="dxa"/>
            <w:tcBorders>
              <w:top w:val="nil"/>
              <w:left w:val="nil"/>
              <w:bottom w:val="nil"/>
              <w:right w:val="single" w:sz="4" w:space="0" w:color="auto"/>
            </w:tcBorders>
            <w:vAlign w:val="center"/>
            <w:hideMark/>
          </w:tcPr>
          <w:p w14:paraId="6C1EE1F3" w14:textId="77777777" w:rsidR="00677577" w:rsidRPr="00DD02AC" w:rsidRDefault="00677577" w:rsidP="00753E96">
            <w:pPr>
              <w:spacing w:after="0" w:line="240" w:lineRule="auto"/>
              <w:jc w:val="right"/>
              <w:rPr>
                <w:sz w:val="20"/>
                <w:szCs w:val="20"/>
              </w:rPr>
            </w:pPr>
            <w:r w:rsidRPr="00DD02AC">
              <w:rPr>
                <w:sz w:val="20"/>
                <w:szCs w:val="20"/>
              </w:rPr>
              <w:t>67.1%</w:t>
            </w:r>
          </w:p>
        </w:tc>
      </w:tr>
      <w:tr w:rsidR="00677577" w:rsidRPr="00167CB8" w14:paraId="499248F0" w14:textId="77777777">
        <w:trPr>
          <w:trHeight w:val="340"/>
        </w:trPr>
        <w:tc>
          <w:tcPr>
            <w:tcW w:w="4673" w:type="dxa"/>
            <w:tcBorders>
              <w:top w:val="nil"/>
              <w:left w:val="single" w:sz="4" w:space="0" w:color="auto"/>
              <w:bottom w:val="nil"/>
              <w:right w:val="nil"/>
            </w:tcBorders>
            <w:noWrap/>
            <w:vAlign w:val="center"/>
            <w:hideMark/>
          </w:tcPr>
          <w:p w14:paraId="5EFCDB72" w14:textId="77777777" w:rsidR="00677577" w:rsidRPr="00DD02AC" w:rsidRDefault="00677577">
            <w:pPr>
              <w:spacing w:after="0" w:line="240" w:lineRule="auto"/>
              <w:rPr>
                <w:sz w:val="20"/>
                <w:szCs w:val="20"/>
              </w:rPr>
            </w:pPr>
            <w:r w:rsidRPr="00DD02AC">
              <w:rPr>
                <w:sz w:val="20"/>
                <w:szCs w:val="20"/>
              </w:rPr>
              <w:t>Has a dependent child</w:t>
            </w:r>
          </w:p>
        </w:tc>
        <w:tc>
          <w:tcPr>
            <w:tcW w:w="1134" w:type="dxa"/>
            <w:tcBorders>
              <w:top w:val="nil"/>
              <w:left w:val="nil"/>
              <w:bottom w:val="nil"/>
              <w:right w:val="nil"/>
            </w:tcBorders>
            <w:noWrap/>
            <w:vAlign w:val="center"/>
            <w:hideMark/>
          </w:tcPr>
          <w:p w14:paraId="257B9509" w14:textId="77777777" w:rsidR="00677577" w:rsidRPr="00DD02AC" w:rsidRDefault="00677577" w:rsidP="00753E96">
            <w:pPr>
              <w:spacing w:after="0" w:line="240" w:lineRule="auto"/>
              <w:jc w:val="right"/>
              <w:rPr>
                <w:sz w:val="20"/>
                <w:szCs w:val="20"/>
              </w:rPr>
            </w:pPr>
            <w:r w:rsidRPr="00DD02AC">
              <w:rPr>
                <w:sz w:val="20"/>
                <w:szCs w:val="20"/>
              </w:rPr>
              <w:t>35.0%</w:t>
            </w:r>
          </w:p>
        </w:tc>
        <w:tc>
          <w:tcPr>
            <w:tcW w:w="1147" w:type="dxa"/>
            <w:tcBorders>
              <w:top w:val="nil"/>
              <w:left w:val="nil"/>
              <w:bottom w:val="nil"/>
              <w:right w:val="nil"/>
            </w:tcBorders>
            <w:noWrap/>
            <w:vAlign w:val="center"/>
            <w:hideMark/>
          </w:tcPr>
          <w:p w14:paraId="11112DF9" w14:textId="77777777" w:rsidR="00677577" w:rsidRPr="00DD02AC" w:rsidRDefault="00677577" w:rsidP="00753E96">
            <w:pPr>
              <w:spacing w:after="0" w:line="240" w:lineRule="auto"/>
              <w:jc w:val="right"/>
              <w:rPr>
                <w:sz w:val="20"/>
                <w:szCs w:val="20"/>
              </w:rPr>
            </w:pPr>
            <w:r w:rsidRPr="00DD02AC">
              <w:rPr>
                <w:sz w:val="20"/>
                <w:szCs w:val="20"/>
              </w:rPr>
              <w:t>22.3%</w:t>
            </w:r>
          </w:p>
        </w:tc>
        <w:tc>
          <w:tcPr>
            <w:tcW w:w="1147" w:type="dxa"/>
            <w:gridSpan w:val="2"/>
            <w:tcBorders>
              <w:top w:val="nil"/>
              <w:left w:val="nil"/>
              <w:bottom w:val="nil"/>
              <w:right w:val="nil"/>
            </w:tcBorders>
            <w:vAlign w:val="center"/>
            <w:hideMark/>
          </w:tcPr>
          <w:p w14:paraId="5B1D69AB" w14:textId="77777777" w:rsidR="00677577" w:rsidRPr="00DD02AC" w:rsidRDefault="00677577" w:rsidP="00753E96">
            <w:pPr>
              <w:spacing w:after="0" w:line="240" w:lineRule="auto"/>
              <w:jc w:val="right"/>
              <w:rPr>
                <w:sz w:val="20"/>
                <w:szCs w:val="20"/>
              </w:rPr>
            </w:pPr>
            <w:r w:rsidRPr="00DD02AC">
              <w:rPr>
                <w:sz w:val="20"/>
                <w:szCs w:val="20"/>
              </w:rPr>
              <w:t>33.9%</w:t>
            </w:r>
          </w:p>
        </w:tc>
        <w:tc>
          <w:tcPr>
            <w:tcW w:w="1147" w:type="dxa"/>
            <w:tcBorders>
              <w:top w:val="nil"/>
              <w:left w:val="nil"/>
              <w:bottom w:val="nil"/>
              <w:right w:val="single" w:sz="4" w:space="0" w:color="auto"/>
            </w:tcBorders>
            <w:vAlign w:val="center"/>
            <w:hideMark/>
          </w:tcPr>
          <w:p w14:paraId="126BB884" w14:textId="77777777" w:rsidR="00677577" w:rsidRPr="00DD02AC" w:rsidRDefault="00677577" w:rsidP="00753E96">
            <w:pPr>
              <w:spacing w:after="0" w:line="240" w:lineRule="auto"/>
              <w:jc w:val="right"/>
              <w:rPr>
                <w:sz w:val="20"/>
                <w:szCs w:val="20"/>
              </w:rPr>
            </w:pPr>
            <w:r w:rsidRPr="00DD02AC">
              <w:rPr>
                <w:sz w:val="20"/>
                <w:szCs w:val="20"/>
              </w:rPr>
              <w:t>36.0%</w:t>
            </w:r>
          </w:p>
        </w:tc>
      </w:tr>
      <w:tr w:rsidR="00677577" w:rsidRPr="00167CB8" w14:paraId="6FB3785C" w14:textId="77777777">
        <w:trPr>
          <w:trHeight w:val="340"/>
        </w:trPr>
        <w:tc>
          <w:tcPr>
            <w:tcW w:w="4673" w:type="dxa"/>
            <w:tcBorders>
              <w:top w:val="nil"/>
              <w:left w:val="single" w:sz="4" w:space="0" w:color="auto"/>
              <w:bottom w:val="nil"/>
              <w:right w:val="nil"/>
            </w:tcBorders>
            <w:noWrap/>
            <w:vAlign w:val="center"/>
            <w:hideMark/>
          </w:tcPr>
          <w:p w14:paraId="0C0506BE" w14:textId="77777777" w:rsidR="00677577" w:rsidRPr="00DD02AC" w:rsidRDefault="00677577">
            <w:pPr>
              <w:spacing w:after="0" w:line="240" w:lineRule="auto"/>
              <w:rPr>
                <w:sz w:val="20"/>
                <w:szCs w:val="20"/>
              </w:rPr>
            </w:pPr>
            <w:r w:rsidRPr="00DD02AC">
              <w:rPr>
                <w:sz w:val="20"/>
                <w:szCs w:val="20"/>
              </w:rPr>
              <w:t>Born in a main English-speaking country</w:t>
            </w:r>
          </w:p>
        </w:tc>
        <w:tc>
          <w:tcPr>
            <w:tcW w:w="1134" w:type="dxa"/>
            <w:tcBorders>
              <w:top w:val="nil"/>
              <w:left w:val="nil"/>
              <w:bottom w:val="nil"/>
              <w:right w:val="nil"/>
            </w:tcBorders>
            <w:noWrap/>
            <w:vAlign w:val="center"/>
            <w:hideMark/>
          </w:tcPr>
          <w:p w14:paraId="37E05B8D" w14:textId="77777777" w:rsidR="00677577" w:rsidRPr="00DD02AC" w:rsidRDefault="00677577" w:rsidP="00753E96">
            <w:pPr>
              <w:spacing w:after="0" w:line="240" w:lineRule="auto"/>
              <w:jc w:val="right"/>
              <w:rPr>
                <w:sz w:val="20"/>
                <w:szCs w:val="20"/>
              </w:rPr>
            </w:pPr>
            <w:r w:rsidRPr="00DD02AC">
              <w:rPr>
                <w:sz w:val="20"/>
                <w:szCs w:val="20"/>
              </w:rPr>
              <w:t>8.5%</w:t>
            </w:r>
          </w:p>
        </w:tc>
        <w:tc>
          <w:tcPr>
            <w:tcW w:w="1147" w:type="dxa"/>
            <w:tcBorders>
              <w:top w:val="nil"/>
              <w:left w:val="nil"/>
              <w:bottom w:val="nil"/>
              <w:right w:val="nil"/>
            </w:tcBorders>
            <w:noWrap/>
            <w:vAlign w:val="center"/>
            <w:hideMark/>
          </w:tcPr>
          <w:p w14:paraId="3524F05D" w14:textId="77777777" w:rsidR="00677577" w:rsidRPr="00DD02AC" w:rsidRDefault="00677577" w:rsidP="00753E96">
            <w:pPr>
              <w:spacing w:after="0" w:line="240" w:lineRule="auto"/>
              <w:jc w:val="right"/>
              <w:rPr>
                <w:sz w:val="20"/>
                <w:szCs w:val="20"/>
              </w:rPr>
            </w:pPr>
            <w:r w:rsidRPr="00DD02AC">
              <w:rPr>
                <w:sz w:val="20"/>
                <w:szCs w:val="20"/>
              </w:rPr>
              <w:t>16.1%</w:t>
            </w:r>
          </w:p>
        </w:tc>
        <w:tc>
          <w:tcPr>
            <w:tcW w:w="1147" w:type="dxa"/>
            <w:gridSpan w:val="2"/>
            <w:tcBorders>
              <w:top w:val="nil"/>
              <w:left w:val="nil"/>
              <w:bottom w:val="nil"/>
              <w:right w:val="nil"/>
            </w:tcBorders>
            <w:vAlign w:val="center"/>
            <w:hideMark/>
          </w:tcPr>
          <w:p w14:paraId="6525E5D7" w14:textId="77777777" w:rsidR="00677577" w:rsidRPr="00DD02AC" w:rsidRDefault="00677577" w:rsidP="00753E96">
            <w:pPr>
              <w:spacing w:after="0" w:line="240" w:lineRule="auto"/>
              <w:jc w:val="right"/>
              <w:rPr>
                <w:sz w:val="20"/>
                <w:szCs w:val="20"/>
              </w:rPr>
            </w:pPr>
            <w:r w:rsidRPr="00DD02AC">
              <w:rPr>
                <w:sz w:val="20"/>
                <w:szCs w:val="20"/>
              </w:rPr>
              <w:t>5.6%</w:t>
            </w:r>
          </w:p>
        </w:tc>
        <w:tc>
          <w:tcPr>
            <w:tcW w:w="1147" w:type="dxa"/>
            <w:tcBorders>
              <w:top w:val="nil"/>
              <w:left w:val="nil"/>
              <w:bottom w:val="nil"/>
              <w:right w:val="single" w:sz="4" w:space="0" w:color="auto"/>
            </w:tcBorders>
            <w:vAlign w:val="center"/>
            <w:hideMark/>
          </w:tcPr>
          <w:p w14:paraId="79EF62F0" w14:textId="77777777" w:rsidR="00677577" w:rsidRPr="00DD02AC" w:rsidRDefault="00677577" w:rsidP="00753E96">
            <w:pPr>
              <w:spacing w:after="0" w:line="240" w:lineRule="auto"/>
              <w:jc w:val="right"/>
              <w:rPr>
                <w:sz w:val="20"/>
                <w:szCs w:val="20"/>
              </w:rPr>
            </w:pPr>
            <w:r w:rsidRPr="00DD02AC">
              <w:rPr>
                <w:sz w:val="20"/>
                <w:szCs w:val="20"/>
              </w:rPr>
              <w:t>8.5%</w:t>
            </w:r>
          </w:p>
        </w:tc>
      </w:tr>
      <w:tr w:rsidR="00677577" w:rsidRPr="00167CB8" w14:paraId="6D68C191" w14:textId="77777777">
        <w:trPr>
          <w:trHeight w:val="340"/>
        </w:trPr>
        <w:tc>
          <w:tcPr>
            <w:tcW w:w="4673" w:type="dxa"/>
            <w:tcBorders>
              <w:top w:val="nil"/>
              <w:left w:val="single" w:sz="4" w:space="0" w:color="auto"/>
              <w:bottom w:val="nil"/>
              <w:right w:val="nil"/>
            </w:tcBorders>
            <w:noWrap/>
            <w:vAlign w:val="center"/>
            <w:hideMark/>
          </w:tcPr>
          <w:p w14:paraId="531D6645" w14:textId="77777777" w:rsidR="00677577" w:rsidRPr="00DD02AC" w:rsidRDefault="00677577">
            <w:pPr>
              <w:spacing w:after="0" w:line="240" w:lineRule="auto"/>
              <w:rPr>
                <w:sz w:val="20"/>
                <w:szCs w:val="20"/>
              </w:rPr>
            </w:pPr>
            <w:r w:rsidRPr="00DD02AC">
              <w:rPr>
                <w:sz w:val="20"/>
                <w:szCs w:val="20"/>
              </w:rPr>
              <w:t>Born in a non-English-speaking country</w:t>
            </w:r>
          </w:p>
        </w:tc>
        <w:tc>
          <w:tcPr>
            <w:tcW w:w="1134" w:type="dxa"/>
            <w:tcBorders>
              <w:top w:val="nil"/>
              <w:left w:val="nil"/>
              <w:bottom w:val="nil"/>
              <w:right w:val="nil"/>
            </w:tcBorders>
            <w:noWrap/>
            <w:vAlign w:val="center"/>
            <w:hideMark/>
          </w:tcPr>
          <w:p w14:paraId="29E940DB" w14:textId="77777777" w:rsidR="00677577" w:rsidRPr="00DD02AC" w:rsidRDefault="00677577" w:rsidP="00753E96">
            <w:pPr>
              <w:spacing w:after="0" w:line="240" w:lineRule="auto"/>
              <w:jc w:val="right"/>
              <w:rPr>
                <w:sz w:val="20"/>
                <w:szCs w:val="20"/>
              </w:rPr>
            </w:pPr>
            <w:r w:rsidRPr="00DD02AC">
              <w:rPr>
                <w:sz w:val="20"/>
                <w:szCs w:val="20"/>
              </w:rPr>
              <w:t>20.5%</w:t>
            </w:r>
          </w:p>
        </w:tc>
        <w:tc>
          <w:tcPr>
            <w:tcW w:w="1147" w:type="dxa"/>
            <w:tcBorders>
              <w:top w:val="nil"/>
              <w:left w:val="nil"/>
              <w:bottom w:val="nil"/>
              <w:right w:val="nil"/>
            </w:tcBorders>
            <w:noWrap/>
            <w:vAlign w:val="center"/>
            <w:hideMark/>
          </w:tcPr>
          <w:p w14:paraId="7469D896" w14:textId="77777777" w:rsidR="00677577" w:rsidRPr="00DD02AC" w:rsidRDefault="00677577" w:rsidP="00753E96">
            <w:pPr>
              <w:spacing w:after="0" w:line="240" w:lineRule="auto"/>
              <w:jc w:val="right"/>
              <w:rPr>
                <w:sz w:val="20"/>
                <w:szCs w:val="20"/>
              </w:rPr>
            </w:pPr>
            <w:r w:rsidRPr="00DD02AC">
              <w:rPr>
                <w:sz w:val="20"/>
                <w:szCs w:val="20"/>
              </w:rPr>
              <w:t>20.7%</w:t>
            </w:r>
          </w:p>
        </w:tc>
        <w:tc>
          <w:tcPr>
            <w:tcW w:w="1147" w:type="dxa"/>
            <w:gridSpan w:val="2"/>
            <w:tcBorders>
              <w:top w:val="nil"/>
              <w:left w:val="nil"/>
              <w:bottom w:val="nil"/>
              <w:right w:val="nil"/>
            </w:tcBorders>
            <w:vAlign w:val="center"/>
            <w:hideMark/>
          </w:tcPr>
          <w:p w14:paraId="1BA6FA31" w14:textId="77777777" w:rsidR="00677577" w:rsidRPr="00DD02AC" w:rsidRDefault="00677577" w:rsidP="00753E96">
            <w:pPr>
              <w:spacing w:after="0" w:line="240" w:lineRule="auto"/>
              <w:jc w:val="right"/>
              <w:rPr>
                <w:sz w:val="20"/>
                <w:szCs w:val="20"/>
              </w:rPr>
            </w:pPr>
            <w:r w:rsidRPr="00DD02AC">
              <w:rPr>
                <w:sz w:val="20"/>
                <w:szCs w:val="20"/>
              </w:rPr>
              <w:t>33.2%</w:t>
            </w:r>
          </w:p>
        </w:tc>
        <w:tc>
          <w:tcPr>
            <w:tcW w:w="1147" w:type="dxa"/>
            <w:tcBorders>
              <w:top w:val="nil"/>
              <w:left w:val="nil"/>
              <w:bottom w:val="nil"/>
              <w:right w:val="single" w:sz="4" w:space="0" w:color="auto"/>
            </w:tcBorders>
            <w:vAlign w:val="center"/>
            <w:hideMark/>
          </w:tcPr>
          <w:p w14:paraId="6FD8DB7A" w14:textId="77777777" w:rsidR="00677577" w:rsidRPr="00DD02AC" w:rsidRDefault="00677577" w:rsidP="00753E96">
            <w:pPr>
              <w:spacing w:after="0" w:line="240" w:lineRule="auto"/>
              <w:jc w:val="right"/>
              <w:rPr>
                <w:sz w:val="20"/>
                <w:szCs w:val="20"/>
              </w:rPr>
            </w:pPr>
            <w:r w:rsidRPr="00DD02AC">
              <w:rPr>
                <w:sz w:val="20"/>
                <w:szCs w:val="20"/>
              </w:rPr>
              <w:t>18.3%</w:t>
            </w:r>
          </w:p>
        </w:tc>
      </w:tr>
      <w:tr w:rsidR="00677577" w:rsidRPr="00167CB8" w14:paraId="03786443" w14:textId="77777777">
        <w:trPr>
          <w:trHeight w:val="340"/>
        </w:trPr>
        <w:tc>
          <w:tcPr>
            <w:tcW w:w="4673" w:type="dxa"/>
            <w:tcBorders>
              <w:top w:val="nil"/>
              <w:left w:val="single" w:sz="4" w:space="0" w:color="auto"/>
              <w:bottom w:val="nil"/>
              <w:right w:val="nil"/>
            </w:tcBorders>
            <w:noWrap/>
            <w:vAlign w:val="center"/>
            <w:hideMark/>
          </w:tcPr>
          <w:p w14:paraId="66D6C764" w14:textId="77777777" w:rsidR="00677577" w:rsidRPr="00DD02AC" w:rsidRDefault="00677577">
            <w:pPr>
              <w:spacing w:after="0" w:line="240" w:lineRule="auto"/>
              <w:rPr>
                <w:sz w:val="20"/>
                <w:szCs w:val="20"/>
              </w:rPr>
            </w:pPr>
            <w:r w:rsidRPr="00DD02AC">
              <w:rPr>
                <w:sz w:val="20"/>
                <w:szCs w:val="20"/>
              </w:rPr>
              <w:t>Employed in the private sector</w:t>
            </w:r>
          </w:p>
        </w:tc>
        <w:tc>
          <w:tcPr>
            <w:tcW w:w="1134" w:type="dxa"/>
            <w:tcBorders>
              <w:top w:val="nil"/>
              <w:left w:val="nil"/>
              <w:bottom w:val="nil"/>
              <w:right w:val="nil"/>
            </w:tcBorders>
            <w:noWrap/>
            <w:vAlign w:val="center"/>
            <w:hideMark/>
          </w:tcPr>
          <w:p w14:paraId="58AC40F0" w14:textId="77777777" w:rsidR="00677577" w:rsidRPr="00DD02AC" w:rsidRDefault="00677577" w:rsidP="00753E96">
            <w:pPr>
              <w:spacing w:after="0" w:line="240" w:lineRule="auto"/>
              <w:jc w:val="right"/>
              <w:rPr>
                <w:sz w:val="20"/>
                <w:szCs w:val="20"/>
              </w:rPr>
            </w:pPr>
            <w:r w:rsidRPr="00DD02AC">
              <w:rPr>
                <w:sz w:val="20"/>
                <w:szCs w:val="20"/>
              </w:rPr>
              <w:t>71.8%</w:t>
            </w:r>
          </w:p>
        </w:tc>
        <w:tc>
          <w:tcPr>
            <w:tcW w:w="1147" w:type="dxa"/>
            <w:tcBorders>
              <w:top w:val="nil"/>
              <w:left w:val="nil"/>
              <w:bottom w:val="nil"/>
              <w:right w:val="nil"/>
            </w:tcBorders>
            <w:noWrap/>
            <w:vAlign w:val="center"/>
            <w:hideMark/>
          </w:tcPr>
          <w:p w14:paraId="63440975" w14:textId="77777777" w:rsidR="00677577" w:rsidRPr="00DD02AC" w:rsidRDefault="00677577" w:rsidP="00753E96">
            <w:pPr>
              <w:spacing w:after="0" w:line="240" w:lineRule="auto"/>
              <w:jc w:val="right"/>
              <w:rPr>
                <w:sz w:val="20"/>
                <w:szCs w:val="20"/>
              </w:rPr>
            </w:pPr>
            <w:r w:rsidRPr="00DD02AC">
              <w:rPr>
                <w:sz w:val="20"/>
                <w:szCs w:val="20"/>
              </w:rPr>
              <w:t>67.9%</w:t>
            </w:r>
          </w:p>
        </w:tc>
        <w:tc>
          <w:tcPr>
            <w:tcW w:w="1147" w:type="dxa"/>
            <w:gridSpan w:val="2"/>
            <w:tcBorders>
              <w:top w:val="nil"/>
              <w:left w:val="nil"/>
              <w:bottom w:val="nil"/>
              <w:right w:val="nil"/>
            </w:tcBorders>
            <w:vAlign w:val="center"/>
            <w:hideMark/>
          </w:tcPr>
          <w:p w14:paraId="442BB847" w14:textId="77777777" w:rsidR="00677577" w:rsidRPr="00DD02AC" w:rsidRDefault="00677577" w:rsidP="00753E96">
            <w:pPr>
              <w:spacing w:after="0" w:line="240" w:lineRule="auto"/>
              <w:jc w:val="right"/>
              <w:rPr>
                <w:sz w:val="20"/>
                <w:szCs w:val="20"/>
              </w:rPr>
            </w:pPr>
            <w:r w:rsidRPr="00DD02AC">
              <w:rPr>
                <w:sz w:val="20"/>
                <w:szCs w:val="20"/>
              </w:rPr>
              <w:t>76.6%</w:t>
            </w:r>
          </w:p>
        </w:tc>
        <w:tc>
          <w:tcPr>
            <w:tcW w:w="1147" w:type="dxa"/>
            <w:tcBorders>
              <w:top w:val="nil"/>
              <w:left w:val="nil"/>
              <w:bottom w:val="nil"/>
              <w:right w:val="single" w:sz="4" w:space="0" w:color="auto"/>
            </w:tcBorders>
            <w:vAlign w:val="center"/>
            <w:hideMark/>
          </w:tcPr>
          <w:p w14:paraId="5C494F69" w14:textId="77777777" w:rsidR="00677577" w:rsidRPr="00DD02AC" w:rsidRDefault="00677577" w:rsidP="00753E96">
            <w:pPr>
              <w:spacing w:after="0" w:line="240" w:lineRule="auto"/>
              <w:jc w:val="right"/>
              <w:rPr>
                <w:sz w:val="20"/>
                <w:szCs w:val="20"/>
              </w:rPr>
            </w:pPr>
            <w:r w:rsidRPr="00DD02AC">
              <w:rPr>
                <w:sz w:val="20"/>
                <w:szCs w:val="20"/>
              </w:rPr>
              <w:t>69.5%</w:t>
            </w:r>
          </w:p>
        </w:tc>
      </w:tr>
      <w:tr w:rsidR="00677577" w:rsidRPr="00167CB8" w14:paraId="7A4C2113" w14:textId="77777777">
        <w:trPr>
          <w:trHeight w:val="340"/>
        </w:trPr>
        <w:tc>
          <w:tcPr>
            <w:tcW w:w="4673" w:type="dxa"/>
            <w:tcBorders>
              <w:top w:val="nil"/>
              <w:left w:val="single" w:sz="4" w:space="0" w:color="auto"/>
              <w:bottom w:val="nil"/>
              <w:right w:val="nil"/>
            </w:tcBorders>
            <w:noWrap/>
            <w:vAlign w:val="center"/>
            <w:hideMark/>
          </w:tcPr>
          <w:p w14:paraId="3CAB0E25" w14:textId="77777777" w:rsidR="00677577" w:rsidRPr="00DD02AC" w:rsidRDefault="00677577">
            <w:pPr>
              <w:spacing w:after="0" w:line="240" w:lineRule="auto"/>
              <w:rPr>
                <w:sz w:val="20"/>
                <w:szCs w:val="20"/>
              </w:rPr>
            </w:pPr>
            <w:r w:rsidRPr="00DD02AC">
              <w:rPr>
                <w:sz w:val="20"/>
                <w:szCs w:val="20"/>
              </w:rPr>
              <w:t>Member of a trade union or employee association</w:t>
            </w:r>
          </w:p>
        </w:tc>
        <w:tc>
          <w:tcPr>
            <w:tcW w:w="1134" w:type="dxa"/>
            <w:tcBorders>
              <w:top w:val="nil"/>
              <w:left w:val="nil"/>
              <w:bottom w:val="nil"/>
              <w:right w:val="nil"/>
            </w:tcBorders>
            <w:noWrap/>
            <w:vAlign w:val="center"/>
            <w:hideMark/>
          </w:tcPr>
          <w:p w14:paraId="094A76F0" w14:textId="77777777" w:rsidR="00677577" w:rsidRPr="00DD02AC" w:rsidRDefault="00677577" w:rsidP="00753E96">
            <w:pPr>
              <w:spacing w:after="0" w:line="240" w:lineRule="auto"/>
              <w:jc w:val="right"/>
              <w:rPr>
                <w:sz w:val="20"/>
                <w:szCs w:val="20"/>
              </w:rPr>
            </w:pPr>
            <w:r w:rsidRPr="00DD02AC">
              <w:rPr>
                <w:sz w:val="20"/>
                <w:szCs w:val="20"/>
              </w:rPr>
              <w:t>28.2%</w:t>
            </w:r>
          </w:p>
        </w:tc>
        <w:tc>
          <w:tcPr>
            <w:tcW w:w="1147" w:type="dxa"/>
            <w:tcBorders>
              <w:top w:val="nil"/>
              <w:left w:val="nil"/>
              <w:bottom w:val="nil"/>
              <w:right w:val="nil"/>
            </w:tcBorders>
            <w:noWrap/>
            <w:vAlign w:val="center"/>
            <w:hideMark/>
          </w:tcPr>
          <w:p w14:paraId="08C19255" w14:textId="77777777" w:rsidR="00677577" w:rsidRPr="00DD02AC" w:rsidRDefault="00677577" w:rsidP="00753E96">
            <w:pPr>
              <w:spacing w:after="0" w:line="240" w:lineRule="auto"/>
              <w:jc w:val="right"/>
              <w:rPr>
                <w:sz w:val="20"/>
                <w:szCs w:val="20"/>
              </w:rPr>
            </w:pPr>
            <w:r w:rsidRPr="00DD02AC">
              <w:rPr>
                <w:sz w:val="20"/>
                <w:szCs w:val="20"/>
              </w:rPr>
              <w:t>31.2%</w:t>
            </w:r>
          </w:p>
        </w:tc>
        <w:tc>
          <w:tcPr>
            <w:tcW w:w="1147" w:type="dxa"/>
            <w:gridSpan w:val="2"/>
            <w:tcBorders>
              <w:top w:val="nil"/>
              <w:left w:val="nil"/>
              <w:bottom w:val="nil"/>
              <w:right w:val="nil"/>
            </w:tcBorders>
            <w:vAlign w:val="center"/>
            <w:hideMark/>
          </w:tcPr>
          <w:p w14:paraId="051782C0" w14:textId="77777777" w:rsidR="00677577" w:rsidRPr="00DD02AC" w:rsidRDefault="00677577" w:rsidP="00753E96">
            <w:pPr>
              <w:spacing w:after="0" w:line="240" w:lineRule="auto"/>
              <w:jc w:val="right"/>
              <w:rPr>
                <w:sz w:val="20"/>
                <w:szCs w:val="20"/>
              </w:rPr>
            </w:pPr>
            <w:r w:rsidRPr="00DD02AC">
              <w:rPr>
                <w:sz w:val="20"/>
                <w:szCs w:val="20"/>
              </w:rPr>
              <w:t>30.5%</w:t>
            </w:r>
          </w:p>
        </w:tc>
        <w:tc>
          <w:tcPr>
            <w:tcW w:w="1147" w:type="dxa"/>
            <w:tcBorders>
              <w:top w:val="nil"/>
              <w:left w:val="nil"/>
              <w:bottom w:val="nil"/>
              <w:right w:val="single" w:sz="4" w:space="0" w:color="auto"/>
            </w:tcBorders>
            <w:vAlign w:val="center"/>
            <w:hideMark/>
          </w:tcPr>
          <w:p w14:paraId="71FFB83E" w14:textId="77777777" w:rsidR="00677577" w:rsidRPr="00DD02AC" w:rsidRDefault="00677577" w:rsidP="00753E96">
            <w:pPr>
              <w:spacing w:after="0" w:line="240" w:lineRule="auto"/>
              <w:jc w:val="right"/>
              <w:rPr>
                <w:sz w:val="20"/>
                <w:szCs w:val="20"/>
              </w:rPr>
            </w:pPr>
            <w:r w:rsidRPr="00DD02AC">
              <w:rPr>
                <w:sz w:val="20"/>
                <w:szCs w:val="20"/>
              </w:rPr>
              <w:t>27.5%</w:t>
            </w:r>
          </w:p>
        </w:tc>
      </w:tr>
      <w:tr w:rsidR="00677577" w:rsidRPr="00167CB8" w14:paraId="775A2349" w14:textId="77777777">
        <w:trPr>
          <w:trHeight w:val="340"/>
        </w:trPr>
        <w:tc>
          <w:tcPr>
            <w:tcW w:w="4673" w:type="dxa"/>
            <w:tcBorders>
              <w:top w:val="nil"/>
              <w:left w:val="single" w:sz="4" w:space="0" w:color="auto"/>
              <w:bottom w:val="single" w:sz="4" w:space="0" w:color="auto"/>
              <w:right w:val="nil"/>
            </w:tcBorders>
            <w:noWrap/>
            <w:vAlign w:val="center"/>
            <w:hideMark/>
          </w:tcPr>
          <w:p w14:paraId="559DCE29" w14:textId="77777777" w:rsidR="00677577" w:rsidRPr="00DD02AC" w:rsidRDefault="00677577">
            <w:pPr>
              <w:spacing w:after="0" w:line="240" w:lineRule="auto"/>
              <w:rPr>
                <w:sz w:val="20"/>
                <w:szCs w:val="20"/>
              </w:rPr>
            </w:pPr>
            <w:r w:rsidRPr="00DD02AC">
              <w:rPr>
                <w:sz w:val="20"/>
                <w:szCs w:val="20"/>
              </w:rPr>
              <w:t>Observations</w:t>
            </w:r>
          </w:p>
        </w:tc>
        <w:tc>
          <w:tcPr>
            <w:tcW w:w="1134" w:type="dxa"/>
            <w:tcBorders>
              <w:top w:val="nil"/>
              <w:left w:val="nil"/>
              <w:bottom w:val="single" w:sz="4" w:space="0" w:color="auto"/>
              <w:right w:val="nil"/>
            </w:tcBorders>
            <w:noWrap/>
            <w:vAlign w:val="center"/>
            <w:hideMark/>
          </w:tcPr>
          <w:p w14:paraId="21FAE944" w14:textId="77777777" w:rsidR="00677577" w:rsidRPr="00DD02AC" w:rsidRDefault="00677577" w:rsidP="00753E96">
            <w:pPr>
              <w:spacing w:after="0" w:line="240" w:lineRule="auto"/>
              <w:jc w:val="right"/>
              <w:rPr>
                <w:sz w:val="20"/>
                <w:szCs w:val="20"/>
              </w:rPr>
            </w:pPr>
            <w:r w:rsidRPr="00DD02AC">
              <w:rPr>
                <w:sz w:val="20"/>
                <w:szCs w:val="20"/>
              </w:rPr>
              <w:t>1,566</w:t>
            </w:r>
          </w:p>
        </w:tc>
        <w:tc>
          <w:tcPr>
            <w:tcW w:w="1147" w:type="dxa"/>
            <w:tcBorders>
              <w:top w:val="nil"/>
              <w:left w:val="nil"/>
              <w:bottom w:val="single" w:sz="4" w:space="0" w:color="auto"/>
              <w:right w:val="nil"/>
            </w:tcBorders>
            <w:noWrap/>
            <w:vAlign w:val="center"/>
            <w:hideMark/>
          </w:tcPr>
          <w:p w14:paraId="31D39E89" w14:textId="77777777" w:rsidR="00677577" w:rsidRPr="00DD02AC" w:rsidRDefault="00677577" w:rsidP="00753E96">
            <w:pPr>
              <w:spacing w:after="0" w:line="240" w:lineRule="auto"/>
              <w:jc w:val="right"/>
              <w:rPr>
                <w:sz w:val="20"/>
                <w:szCs w:val="20"/>
              </w:rPr>
            </w:pPr>
            <w:r w:rsidRPr="00DD02AC">
              <w:rPr>
                <w:sz w:val="20"/>
                <w:szCs w:val="20"/>
              </w:rPr>
              <w:t>980</w:t>
            </w:r>
          </w:p>
        </w:tc>
        <w:tc>
          <w:tcPr>
            <w:tcW w:w="1147" w:type="dxa"/>
            <w:gridSpan w:val="2"/>
            <w:tcBorders>
              <w:top w:val="nil"/>
              <w:left w:val="nil"/>
              <w:bottom w:val="single" w:sz="4" w:space="0" w:color="auto"/>
              <w:right w:val="nil"/>
            </w:tcBorders>
            <w:vAlign w:val="center"/>
            <w:hideMark/>
          </w:tcPr>
          <w:p w14:paraId="1E75B687" w14:textId="77777777" w:rsidR="00677577" w:rsidRPr="00DD02AC" w:rsidRDefault="00677577" w:rsidP="00753E96">
            <w:pPr>
              <w:spacing w:after="0" w:line="240" w:lineRule="auto"/>
              <w:jc w:val="right"/>
              <w:rPr>
                <w:sz w:val="20"/>
                <w:szCs w:val="20"/>
              </w:rPr>
            </w:pPr>
            <w:r w:rsidRPr="00DD02AC">
              <w:rPr>
                <w:sz w:val="20"/>
                <w:szCs w:val="20"/>
              </w:rPr>
              <w:t>833</w:t>
            </w:r>
          </w:p>
        </w:tc>
        <w:tc>
          <w:tcPr>
            <w:tcW w:w="1147" w:type="dxa"/>
            <w:tcBorders>
              <w:top w:val="nil"/>
              <w:left w:val="nil"/>
              <w:bottom w:val="single" w:sz="4" w:space="0" w:color="auto"/>
              <w:right w:val="single" w:sz="4" w:space="0" w:color="auto"/>
            </w:tcBorders>
            <w:vAlign w:val="center"/>
            <w:hideMark/>
          </w:tcPr>
          <w:p w14:paraId="24E81AD5" w14:textId="77777777" w:rsidR="00677577" w:rsidRPr="00DD02AC" w:rsidRDefault="00677577" w:rsidP="00753E96">
            <w:pPr>
              <w:spacing w:after="0" w:line="240" w:lineRule="auto"/>
              <w:jc w:val="right"/>
              <w:rPr>
                <w:sz w:val="20"/>
                <w:szCs w:val="20"/>
              </w:rPr>
            </w:pPr>
            <w:r w:rsidRPr="00DD02AC">
              <w:rPr>
                <w:sz w:val="20"/>
                <w:szCs w:val="20"/>
              </w:rPr>
              <w:t>2,372</w:t>
            </w:r>
          </w:p>
        </w:tc>
      </w:tr>
    </w:tbl>
    <w:p w14:paraId="5808936A" w14:textId="77777777" w:rsidR="00677577" w:rsidRPr="00167CB8" w:rsidRDefault="00677577" w:rsidP="00677577">
      <w:pPr>
        <w:pStyle w:val="Source"/>
        <w:rPr>
          <w:b/>
          <w:bCs/>
        </w:rPr>
      </w:pPr>
      <w:r w:rsidRPr="00167CB8">
        <w:rPr>
          <w:b/>
          <w:bCs/>
        </w:rPr>
        <w:t>Notes:</w:t>
      </w:r>
    </w:p>
    <w:p w14:paraId="58EFCE3A" w14:textId="4931F646" w:rsidR="0011475D" w:rsidRDefault="00677577" w:rsidP="00677577">
      <w:pPr>
        <w:pStyle w:val="Source"/>
      </w:pPr>
      <w:r w:rsidRPr="00167CB8">
        <w:t xml:space="preserve">1. Sample consists of respondents aged 21 to 64 who are employees, have an observable wage, work between </w:t>
      </w:r>
      <w:r w:rsidR="0016448B">
        <w:t>five</w:t>
      </w:r>
      <w:r w:rsidRPr="00167CB8">
        <w:t xml:space="preserve"> and 60 hours per week in their main job, and have observable data on method of pay setting.</w:t>
      </w:r>
    </w:p>
    <w:p w14:paraId="5BF0B9C2" w14:textId="26EFCF48" w:rsidR="00677577" w:rsidRPr="00167CB8" w:rsidRDefault="00677577" w:rsidP="00677577">
      <w:pPr>
        <w:pStyle w:val="Source"/>
      </w:pPr>
      <w:r w:rsidRPr="00167CB8">
        <w:t>2. Estimates are weighted to reflect population totals.</w:t>
      </w:r>
    </w:p>
    <w:p w14:paraId="3D132344" w14:textId="77777777" w:rsidR="00677577" w:rsidRPr="00167CB8" w:rsidRDefault="00677577" w:rsidP="00677577">
      <w:pPr>
        <w:pStyle w:val="Source"/>
      </w:pPr>
      <w:r w:rsidRPr="00167CB8">
        <w:t>3. Standard deviation in parentheses for continuous variables only.</w:t>
      </w:r>
    </w:p>
    <w:p w14:paraId="223CAEBD" w14:textId="77777777" w:rsidR="00677577" w:rsidRPr="00167CB8" w:rsidRDefault="00677577" w:rsidP="00677577">
      <w:pPr>
        <w:pStyle w:val="Source"/>
      </w:pPr>
      <w:r w:rsidRPr="00167CB8">
        <w:rPr>
          <w:b/>
          <w:bCs/>
        </w:rPr>
        <w:t>Source:</w:t>
      </w:r>
      <w:r w:rsidRPr="00167CB8">
        <w:t xml:space="preserve"> HILDA, waves 12</w:t>
      </w:r>
      <w:r w:rsidRPr="00167CB8">
        <w:rPr>
          <w:rFonts w:ascii="Symbol" w:eastAsia="Symbol" w:hAnsi="Symbol" w:cs="Symbol"/>
        </w:rPr>
        <w:sym w:font="Symbol" w:char="F02D"/>
      </w:r>
      <w:r w:rsidRPr="00167CB8">
        <w:t>22.</w:t>
      </w:r>
    </w:p>
    <w:p w14:paraId="36AD681D" w14:textId="035E76D1" w:rsidR="00677577" w:rsidRPr="00167CB8" w:rsidRDefault="0016448B" w:rsidP="00753E96">
      <w:pPr>
        <w:spacing w:after="160"/>
      </w:pPr>
      <w:r>
        <w:br w:type="page"/>
      </w:r>
    </w:p>
    <w:p w14:paraId="7B8116B5" w14:textId="1895A804" w:rsidR="0011475D" w:rsidRDefault="00677577" w:rsidP="00677577">
      <w:r w:rsidRPr="00753E96">
        <w:t xml:space="preserve">Table </w:t>
      </w:r>
      <w:r w:rsidR="00447EE3" w:rsidRPr="00753E96">
        <w:t>5</w:t>
      </w:r>
      <w:r w:rsidR="00447EE3">
        <w:t>5</w:t>
      </w:r>
      <w:r w:rsidR="00447EE3" w:rsidRPr="007B334A">
        <w:t xml:space="preserve"> </w:t>
      </w:r>
      <w:r w:rsidRPr="007B334A">
        <w:t>shows the</w:t>
      </w:r>
      <w:r w:rsidRPr="00167CB8">
        <w:t xml:space="preserve"> industry coverage or usage of the various methods of pay setting. Columns 1 and 2 for collective agreements show that in both periods studied (2012 and 2022), of those covered by a </w:t>
      </w:r>
      <w:r w:rsidR="0016448B">
        <w:t>collective agreement</w:t>
      </w:r>
      <w:r w:rsidRPr="00167CB8">
        <w:t>, the largest group was health care and social assistance employees. The second largest group in both periods was in the education and training industry. Individual arrangements featured strongly among professional, scientific and technical service workers.</w:t>
      </w:r>
    </w:p>
    <w:p w14:paraId="04FA1490" w14:textId="6D539ED9" w:rsidR="00677577" w:rsidRPr="00167CB8" w:rsidRDefault="00844718" w:rsidP="007F380D">
      <w:pPr>
        <w:pStyle w:val="Caption"/>
      </w:pPr>
      <w:bookmarkStart w:id="961" w:name="_Toc186991828"/>
      <w:bookmarkStart w:id="962" w:name="_Toc189310879"/>
      <w:bookmarkStart w:id="963" w:name="_Toc194251479"/>
      <w:r>
        <w:t xml:space="preserve">Table </w:t>
      </w:r>
      <w:r>
        <w:fldChar w:fldCharType="begin"/>
      </w:r>
      <w:r>
        <w:instrText xml:space="preserve"> SEQ Table \* ARABIC </w:instrText>
      </w:r>
      <w:r>
        <w:fldChar w:fldCharType="separate"/>
      </w:r>
      <w:r w:rsidR="00DE5F5E">
        <w:rPr>
          <w:noProof/>
        </w:rPr>
        <w:t>55</w:t>
      </w:r>
      <w:r>
        <w:fldChar w:fldCharType="end"/>
      </w:r>
      <w:r>
        <w:t xml:space="preserve">: </w:t>
      </w:r>
      <w:r w:rsidR="00677577" w:rsidRPr="00167CB8">
        <w:t>Distribution of pay setting methods across industries, 2012 and 2022</w:t>
      </w:r>
      <w:bookmarkEnd w:id="961"/>
      <w:bookmarkEnd w:id="962"/>
      <w:bookmarkEnd w:id="963"/>
    </w:p>
    <w:tbl>
      <w:tblPr>
        <w:tblW w:w="928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391"/>
        <w:gridCol w:w="1032"/>
        <w:gridCol w:w="927"/>
        <w:gridCol w:w="865"/>
        <w:gridCol w:w="865"/>
        <w:gridCol w:w="1104"/>
        <w:gridCol w:w="1104"/>
      </w:tblGrid>
      <w:tr w:rsidR="00677577" w:rsidRPr="00167CB8" w14:paraId="3C6AE238" w14:textId="77777777">
        <w:trPr>
          <w:trHeight w:val="343"/>
        </w:trPr>
        <w:tc>
          <w:tcPr>
            <w:tcW w:w="3397" w:type="dxa"/>
            <w:tcBorders>
              <w:top w:val="single" w:sz="4" w:space="0" w:color="auto"/>
              <w:left w:val="single" w:sz="4" w:space="0" w:color="auto"/>
              <w:bottom w:val="nil"/>
              <w:right w:val="nil"/>
            </w:tcBorders>
            <w:noWrap/>
            <w:vAlign w:val="bottom"/>
            <w:hideMark/>
          </w:tcPr>
          <w:p w14:paraId="08F39D2D" w14:textId="77777777" w:rsidR="00677577" w:rsidRPr="003A7C61" w:rsidRDefault="00677577">
            <w:pPr>
              <w:spacing w:after="0" w:line="240" w:lineRule="auto"/>
              <w:rPr>
                <w:b/>
                <w:bCs/>
                <w:sz w:val="20"/>
                <w:szCs w:val="20"/>
              </w:rPr>
            </w:pPr>
          </w:p>
        </w:tc>
        <w:tc>
          <w:tcPr>
            <w:tcW w:w="1961" w:type="dxa"/>
            <w:gridSpan w:val="2"/>
            <w:tcBorders>
              <w:top w:val="single" w:sz="4" w:space="0" w:color="auto"/>
              <w:left w:val="nil"/>
              <w:bottom w:val="nil"/>
              <w:right w:val="nil"/>
            </w:tcBorders>
            <w:noWrap/>
            <w:vAlign w:val="bottom"/>
            <w:hideMark/>
          </w:tcPr>
          <w:p w14:paraId="04E1780E" w14:textId="77777777" w:rsidR="00677577" w:rsidRPr="003A7C61" w:rsidRDefault="00677577" w:rsidP="00C63BBE">
            <w:pPr>
              <w:spacing w:after="0" w:line="240" w:lineRule="auto"/>
              <w:jc w:val="right"/>
              <w:rPr>
                <w:b/>
                <w:bCs/>
                <w:sz w:val="20"/>
                <w:szCs w:val="20"/>
              </w:rPr>
            </w:pPr>
            <w:r w:rsidRPr="003A7C61">
              <w:rPr>
                <w:b/>
                <w:bCs/>
                <w:sz w:val="20"/>
                <w:szCs w:val="20"/>
              </w:rPr>
              <w:t>CA</w:t>
            </w:r>
          </w:p>
        </w:tc>
        <w:tc>
          <w:tcPr>
            <w:tcW w:w="1720" w:type="dxa"/>
            <w:gridSpan w:val="2"/>
            <w:tcBorders>
              <w:top w:val="single" w:sz="4" w:space="0" w:color="auto"/>
              <w:left w:val="nil"/>
              <w:bottom w:val="nil"/>
              <w:right w:val="nil"/>
            </w:tcBorders>
            <w:noWrap/>
            <w:vAlign w:val="bottom"/>
            <w:hideMark/>
          </w:tcPr>
          <w:p w14:paraId="58C7671C" w14:textId="77777777" w:rsidR="00677577" w:rsidRPr="003A7C61" w:rsidRDefault="00677577" w:rsidP="00C63BBE">
            <w:pPr>
              <w:spacing w:after="0" w:line="240" w:lineRule="auto"/>
              <w:jc w:val="right"/>
              <w:rPr>
                <w:b/>
                <w:bCs/>
                <w:sz w:val="20"/>
                <w:szCs w:val="20"/>
              </w:rPr>
            </w:pPr>
            <w:r w:rsidRPr="003A7C61">
              <w:rPr>
                <w:b/>
                <w:bCs/>
                <w:sz w:val="20"/>
                <w:szCs w:val="20"/>
              </w:rPr>
              <w:t>IA</w:t>
            </w:r>
          </w:p>
        </w:tc>
        <w:tc>
          <w:tcPr>
            <w:tcW w:w="2210" w:type="dxa"/>
            <w:gridSpan w:val="2"/>
            <w:tcBorders>
              <w:top w:val="single" w:sz="4" w:space="0" w:color="auto"/>
              <w:left w:val="nil"/>
              <w:bottom w:val="nil"/>
              <w:right w:val="single" w:sz="4" w:space="0" w:color="auto"/>
            </w:tcBorders>
            <w:noWrap/>
            <w:vAlign w:val="bottom"/>
            <w:hideMark/>
          </w:tcPr>
          <w:p w14:paraId="74CB7596" w14:textId="77777777" w:rsidR="00677577" w:rsidRPr="003A7C61" w:rsidRDefault="00677577" w:rsidP="00C63BBE">
            <w:pPr>
              <w:spacing w:after="0" w:line="240" w:lineRule="auto"/>
              <w:jc w:val="right"/>
              <w:rPr>
                <w:b/>
                <w:bCs/>
                <w:sz w:val="20"/>
                <w:szCs w:val="20"/>
              </w:rPr>
            </w:pPr>
            <w:r w:rsidRPr="003A7C61">
              <w:rPr>
                <w:b/>
                <w:bCs/>
                <w:sz w:val="20"/>
                <w:szCs w:val="20"/>
              </w:rPr>
              <w:t>Award</w:t>
            </w:r>
          </w:p>
        </w:tc>
      </w:tr>
      <w:tr w:rsidR="00677577" w:rsidRPr="00167CB8" w14:paraId="47A6DF53" w14:textId="77777777">
        <w:trPr>
          <w:trHeight w:val="343"/>
        </w:trPr>
        <w:tc>
          <w:tcPr>
            <w:tcW w:w="3397" w:type="dxa"/>
            <w:tcBorders>
              <w:top w:val="nil"/>
              <w:left w:val="single" w:sz="4" w:space="0" w:color="auto"/>
              <w:bottom w:val="single" w:sz="4" w:space="0" w:color="auto"/>
              <w:right w:val="nil"/>
            </w:tcBorders>
            <w:noWrap/>
            <w:vAlign w:val="bottom"/>
            <w:hideMark/>
          </w:tcPr>
          <w:p w14:paraId="6B755961" w14:textId="77777777" w:rsidR="00677577" w:rsidRPr="003A7C61" w:rsidRDefault="00677577">
            <w:pPr>
              <w:spacing w:after="0" w:line="240" w:lineRule="auto"/>
              <w:rPr>
                <w:b/>
                <w:bCs/>
                <w:sz w:val="20"/>
                <w:szCs w:val="20"/>
              </w:rPr>
            </w:pPr>
            <w:r w:rsidRPr="003A7C61">
              <w:rPr>
                <w:b/>
                <w:bCs/>
                <w:sz w:val="20"/>
                <w:szCs w:val="20"/>
              </w:rPr>
              <w:t>Industry of main job</w:t>
            </w:r>
          </w:p>
        </w:tc>
        <w:tc>
          <w:tcPr>
            <w:tcW w:w="1033" w:type="dxa"/>
            <w:tcBorders>
              <w:top w:val="nil"/>
              <w:left w:val="nil"/>
              <w:bottom w:val="single" w:sz="4" w:space="0" w:color="auto"/>
              <w:right w:val="nil"/>
            </w:tcBorders>
            <w:noWrap/>
            <w:vAlign w:val="bottom"/>
            <w:hideMark/>
          </w:tcPr>
          <w:p w14:paraId="0FF2D2AE" w14:textId="77777777" w:rsidR="00677577" w:rsidRPr="003A7C61" w:rsidRDefault="00677577" w:rsidP="00C63BBE">
            <w:pPr>
              <w:spacing w:after="0" w:line="240" w:lineRule="auto"/>
              <w:jc w:val="right"/>
              <w:rPr>
                <w:b/>
                <w:bCs/>
                <w:sz w:val="20"/>
                <w:szCs w:val="20"/>
              </w:rPr>
            </w:pPr>
            <w:r w:rsidRPr="003A7C61">
              <w:rPr>
                <w:b/>
                <w:bCs/>
                <w:sz w:val="20"/>
                <w:szCs w:val="20"/>
              </w:rPr>
              <w:t>2012</w:t>
            </w:r>
          </w:p>
        </w:tc>
        <w:tc>
          <w:tcPr>
            <w:tcW w:w="928" w:type="dxa"/>
            <w:tcBorders>
              <w:top w:val="nil"/>
              <w:left w:val="nil"/>
              <w:bottom w:val="single" w:sz="4" w:space="0" w:color="auto"/>
              <w:right w:val="nil"/>
            </w:tcBorders>
            <w:noWrap/>
            <w:vAlign w:val="bottom"/>
            <w:hideMark/>
          </w:tcPr>
          <w:p w14:paraId="71891B2D" w14:textId="77777777" w:rsidR="00677577" w:rsidRPr="003A7C61" w:rsidRDefault="00677577" w:rsidP="00C63BBE">
            <w:pPr>
              <w:spacing w:after="0" w:line="240" w:lineRule="auto"/>
              <w:jc w:val="right"/>
              <w:rPr>
                <w:b/>
                <w:bCs/>
                <w:sz w:val="20"/>
                <w:szCs w:val="20"/>
              </w:rPr>
            </w:pPr>
            <w:r w:rsidRPr="003A7C61">
              <w:rPr>
                <w:b/>
                <w:bCs/>
                <w:sz w:val="20"/>
                <w:szCs w:val="20"/>
              </w:rPr>
              <w:t>2022</w:t>
            </w:r>
          </w:p>
        </w:tc>
        <w:tc>
          <w:tcPr>
            <w:tcW w:w="860" w:type="dxa"/>
            <w:tcBorders>
              <w:top w:val="nil"/>
              <w:left w:val="nil"/>
              <w:bottom w:val="single" w:sz="4" w:space="0" w:color="auto"/>
              <w:right w:val="nil"/>
            </w:tcBorders>
            <w:noWrap/>
            <w:vAlign w:val="bottom"/>
            <w:hideMark/>
          </w:tcPr>
          <w:p w14:paraId="33E46F81" w14:textId="77777777" w:rsidR="00677577" w:rsidRPr="003A7C61" w:rsidRDefault="00677577" w:rsidP="00C63BBE">
            <w:pPr>
              <w:spacing w:after="0" w:line="240" w:lineRule="auto"/>
              <w:jc w:val="right"/>
              <w:rPr>
                <w:b/>
                <w:bCs/>
                <w:sz w:val="20"/>
                <w:szCs w:val="20"/>
              </w:rPr>
            </w:pPr>
            <w:r w:rsidRPr="003A7C61">
              <w:rPr>
                <w:b/>
                <w:bCs/>
                <w:sz w:val="20"/>
                <w:szCs w:val="20"/>
              </w:rPr>
              <w:t>2012</w:t>
            </w:r>
          </w:p>
        </w:tc>
        <w:tc>
          <w:tcPr>
            <w:tcW w:w="860" w:type="dxa"/>
            <w:tcBorders>
              <w:top w:val="nil"/>
              <w:left w:val="nil"/>
              <w:bottom w:val="single" w:sz="4" w:space="0" w:color="auto"/>
              <w:right w:val="nil"/>
            </w:tcBorders>
            <w:noWrap/>
            <w:vAlign w:val="bottom"/>
            <w:hideMark/>
          </w:tcPr>
          <w:p w14:paraId="5D967FE7" w14:textId="77777777" w:rsidR="00677577" w:rsidRPr="003A7C61" w:rsidRDefault="00677577" w:rsidP="00C63BBE">
            <w:pPr>
              <w:spacing w:after="0" w:line="240" w:lineRule="auto"/>
              <w:jc w:val="right"/>
              <w:rPr>
                <w:b/>
                <w:bCs/>
                <w:sz w:val="20"/>
                <w:szCs w:val="20"/>
              </w:rPr>
            </w:pPr>
            <w:r w:rsidRPr="003A7C61">
              <w:rPr>
                <w:b/>
                <w:bCs/>
                <w:sz w:val="20"/>
                <w:szCs w:val="20"/>
              </w:rPr>
              <w:t>2022</w:t>
            </w:r>
          </w:p>
        </w:tc>
        <w:tc>
          <w:tcPr>
            <w:tcW w:w="1105" w:type="dxa"/>
            <w:tcBorders>
              <w:top w:val="nil"/>
              <w:left w:val="nil"/>
              <w:bottom w:val="single" w:sz="4" w:space="0" w:color="auto"/>
              <w:right w:val="nil"/>
            </w:tcBorders>
            <w:noWrap/>
            <w:vAlign w:val="bottom"/>
            <w:hideMark/>
          </w:tcPr>
          <w:p w14:paraId="71B5AB2A" w14:textId="77777777" w:rsidR="00677577" w:rsidRPr="003A7C61" w:rsidRDefault="00677577" w:rsidP="00C63BBE">
            <w:pPr>
              <w:spacing w:after="0" w:line="240" w:lineRule="auto"/>
              <w:jc w:val="right"/>
              <w:rPr>
                <w:b/>
                <w:bCs/>
                <w:sz w:val="20"/>
                <w:szCs w:val="20"/>
              </w:rPr>
            </w:pPr>
            <w:r w:rsidRPr="003A7C61">
              <w:rPr>
                <w:b/>
                <w:bCs/>
                <w:sz w:val="20"/>
                <w:szCs w:val="20"/>
              </w:rPr>
              <w:t>2012</w:t>
            </w:r>
          </w:p>
        </w:tc>
        <w:tc>
          <w:tcPr>
            <w:tcW w:w="1105" w:type="dxa"/>
            <w:tcBorders>
              <w:top w:val="nil"/>
              <w:left w:val="nil"/>
              <w:bottom w:val="single" w:sz="4" w:space="0" w:color="auto"/>
              <w:right w:val="single" w:sz="4" w:space="0" w:color="auto"/>
            </w:tcBorders>
            <w:noWrap/>
            <w:vAlign w:val="bottom"/>
            <w:hideMark/>
          </w:tcPr>
          <w:p w14:paraId="617459D3" w14:textId="77777777" w:rsidR="00677577" w:rsidRPr="003A7C61" w:rsidRDefault="00677577" w:rsidP="00C63BBE">
            <w:pPr>
              <w:spacing w:after="0" w:line="240" w:lineRule="auto"/>
              <w:jc w:val="right"/>
              <w:rPr>
                <w:b/>
                <w:bCs/>
                <w:sz w:val="20"/>
                <w:szCs w:val="20"/>
              </w:rPr>
            </w:pPr>
            <w:r w:rsidRPr="003A7C61">
              <w:rPr>
                <w:b/>
                <w:bCs/>
                <w:sz w:val="20"/>
                <w:szCs w:val="20"/>
              </w:rPr>
              <w:t>2022</w:t>
            </w:r>
          </w:p>
        </w:tc>
      </w:tr>
      <w:tr w:rsidR="00677577" w:rsidRPr="00167CB8" w14:paraId="147FF48D" w14:textId="77777777">
        <w:trPr>
          <w:trHeight w:val="343"/>
        </w:trPr>
        <w:tc>
          <w:tcPr>
            <w:tcW w:w="3397" w:type="dxa"/>
            <w:tcBorders>
              <w:top w:val="single" w:sz="4" w:space="0" w:color="auto"/>
              <w:left w:val="single" w:sz="4" w:space="0" w:color="auto"/>
              <w:bottom w:val="nil"/>
              <w:right w:val="nil"/>
            </w:tcBorders>
            <w:noWrap/>
            <w:vAlign w:val="bottom"/>
            <w:hideMark/>
          </w:tcPr>
          <w:p w14:paraId="67D24DAA" w14:textId="77777777" w:rsidR="00677577" w:rsidRPr="003A7C61" w:rsidRDefault="00677577">
            <w:pPr>
              <w:spacing w:after="0" w:line="240" w:lineRule="auto"/>
              <w:rPr>
                <w:sz w:val="20"/>
                <w:szCs w:val="20"/>
              </w:rPr>
            </w:pPr>
            <w:r w:rsidRPr="003A7C61">
              <w:rPr>
                <w:sz w:val="20"/>
                <w:szCs w:val="20"/>
              </w:rPr>
              <w:t>Agriculture, forestry and fishing</w:t>
            </w:r>
          </w:p>
        </w:tc>
        <w:tc>
          <w:tcPr>
            <w:tcW w:w="1033" w:type="dxa"/>
            <w:tcBorders>
              <w:top w:val="single" w:sz="4" w:space="0" w:color="auto"/>
              <w:left w:val="nil"/>
              <w:bottom w:val="nil"/>
              <w:right w:val="nil"/>
            </w:tcBorders>
            <w:noWrap/>
            <w:vAlign w:val="bottom"/>
            <w:hideMark/>
          </w:tcPr>
          <w:p w14:paraId="09FA5CC9" w14:textId="77777777" w:rsidR="00677577" w:rsidRPr="003A7C61" w:rsidRDefault="00677577" w:rsidP="00C63BBE">
            <w:pPr>
              <w:spacing w:after="0" w:line="240" w:lineRule="auto"/>
              <w:jc w:val="right"/>
              <w:rPr>
                <w:sz w:val="20"/>
                <w:szCs w:val="20"/>
              </w:rPr>
            </w:pPr>
            <w:r w:rsidRPr="003A7C61">
              <w:rPr>
                <w:sz w:val="20"/>
                <w:szCs w:val="20"/>
              </w:rPr>
              <w:t>0.2%</w:t>
            </w:r>
          </w:p>
        </w:tc>
        <w:tc>
          <w:tcPr>
            <w:tcW w:w="928" w:type="dxa"/>
            <w:tcBorders>
              <w:top w:val="single" w:sz="4" w:space="0" w:color="auto"/>
              <w:left w:val="nil"/>
              <w:bottom w:val="nil"/>
              <w:right w:val="nil"/>
            </w:tcBorders>
            <w:noWrap/>
            <w:vAlign w:val="bottom"/>
            <w:hideMark/>
          </w:tcPr>
          <w:p w14:paraId="64C63F51" w14:textId="77777777" w:rsidR="00677577" w:rsidRPr="003A7C61" w:rsidRDefault="00677577" w:rsidP="00C63BBE">
            <w:pPr>
              <w:spacing w:after="0" w:line="240" w:lineRule="auto"/>
              <w:jc w:val="right"/>
              <w:rPr>
                <w:sz w:val="20"/>
                <w:szCs w:val="20"/>
              </w:rPr>
            </w:pPr>
            <w:r w:rsidRPr="003A7C61">
              <w:rPr>
                <w:sz w:val="20"/>
                <w:szCs w:val="20"/>
              </w:rPr>
              <w:t>0.3%</w:t>
            </w:r>
          </w:p>
        </w:tc>
        <w:tc>
          <w:tcPr>
            <w:tcW w:w="860" w:type="dxa"/>
            <w:tcBorders>
              <w:top w:val="single" w:sz="4" w:space="0" w:color="auto"/>
              <w:left w:val="nil"/>
              <w:bottom w:val="nil"/>
              <w:right w:val="nil"/>
            </w:tcBorders>
            <w:noWrap/>
            <w:vAlign w:val="bottom"/>
            <w:hideMark/>
          </w:tcPr>
          <w:p w14:paraId="2477FE63" w14:textId="77777777" w:rsidR="00677577" w:rsidRPr="003A7C61" w:rsidRDefault="00677577" w:rsidP="00C63BBE">
            <w:pPr>
              <w:spacing w:after="0" w:line="240" w:lineRule="auto"/>
              <w:jc w:val="right"/>
              <w:rPr>
                <w:sz w:val="20"/>
                <w:szCs w:val="20"/>
              </w:rPr>
            </w:pPr>
            <w:r w:rsidRPr="003A7C61">
              <w:rPr>
                <w:sz w:val="20"/>
                <w:szCs w:val="20"/>
              </w:rPr>
              <w:t>1.3%</w:t>
            </w:r>
          </w:p>
        </w:tc>
        <w:tc>
          <w:tcPr>
            <w:tcW w:w="860" w:type="dxa"/>
            <w:tcBorders>
              <w:top w:val="single" w:sz="4" w:space="0" w:color="auto"/>
              <w:left w:val="nil"/>
              <w:bottom w:val="nil"/>
              <w:right w:val="nil"/>
            </w:tcBorders>
            <w:noWrap/>
            <w:vAlign w:val="bottom"/>
            <w:hideMark/>
          </w:tcPr>
          <w:p w14:paraId="2A66EE63" w14:textId="77777777" w:rsidR="00677577" w:rsidRPr="003A7C61" w:rsidRDefault="00677577" w:rsidP="00C63BBE">
            <w:pPr>
              <w:spacing w:after="0" w:line="240" w:lineRule="auto"/>
              <w:jc w:val="right"/>
              <w:rPr>
                <w:sz w:val="20"/>
                <w:szCs w:val="20"/>
              </w:rPr>
            </w:pPr>
            <w:r w:rsidRPr="003A7C61">
              <w:rPr>
                <w:sz w:val="20"/>
                <w:szCs w:val="20"/>
              </w:rPr>
              <w:t>1.6%</w:t>
            </w:r>
          </w:p>
        </w:tc>
        <w:tc>
          <w:tcPr>
            <w:tcW w:w="1105" w:type="dxa"/>
            <w:tcBorders>
              <w:top w:val="single" w:sz="4" w:space="0" w:color="auto"/>
              <w:left w:val="nil"/>
              <w:bottom w:val="nil"/>
              <w:right w:val="nil"/>
            </w:tcBorders>
            <w:noWrap/>
            <w:vAlign w:val="bottom"/>
            <w:hideMark/>
          </w:tcPr>
          <w:p w14:paraId="49D41E50" w14:textId="77777777" w:rsidR="00677577" w:rsidRPr="003A7C61" w:rsidRDefault="00677577" w:rsidP="00C63BBE">
            <w:pPr>
              <w:spacing w:after="0" w:line="240" w:lineRule="auto"/>
              <w:jc w:val="right"/>
              <w:rPr>
                <w:sz w:val="20"/>
                <w:szCs w:val="20"/>
              </w:rPr>
            </w:pPr>
            <w:r w:rsidRPr="003A7C61">
              <w:rPr>
                <w:sz w:val="20"/>
                <w:szCs w:val="20"/>
              </w:rPr>
              <w:t>2.2%</w:t>
            </w:r>
          </w:p>
        </w:tc>
        <w:tc>
          <w:tcPr>
            <w:tcW w:w="1105" w:type="dxa"/>
            <w:tcBorders>
              <w:top w:val="single" w:sz="4" w:space="0" w:color="auto"/>
              <w:left w:val="nil"/>
              <w:bottom w:val="nil"/>
              <w:right w:val="single" w:sz="4" w:space="0" w:color="auto"/>
            </w:tcBorders>
            <w:noWrap/>
            <w:vAlign w:val="bottom"/>
            <w:hideMark/>
          </w:tcPr>
          <w:p w14:paraId="699BAE70" w14:textId="77777777" w:rsidR="00677577" w:rsidRPr="003A7C61" w:rsidRDefault="00677577" w:rsidP="00C63BBE">
            <w:pPr>
              <w:spacing w:after="0" w:line="240" w:lineRule="auto"/>
              <w:jc w:val="right"/>
              <w:rPr>
                <w:sz w:val="20"/>
                <w:szCs w:val="20"/>
              </w:rPr>
            </w:pPr>
            <w:r w:rsidRPr="003A7C61">
              <w:rPr>
                <w:sz w:val="20"/>
                <w:szCs w:val="20"/>
              </w:rPr>
              <w:t>1.7%</w:t>
            </w:r>
          </w:p>
        </w:tc>
      </w:tr>
      <w:tr w:rsidR="00677577" w:rsidRPr="00167CB8" w14:paraId="68CD71A8" w14:textId="77777777">
        <w:trPr>
          <w:trHeight w:val="343"/>
        </w:trPr>
        <w:tc>
          <w:tcPr>
            <w:tcW w:w="3397" w:type="dxa"/>
            <w:tcBorders>
              <w:top w:val="nil"/>
              <w:left w:val="single" w:sz="4" w:space="0" w:color="auto"/>
              <w:bottom w:val="nil"/>
              <w:right w:val="nil"/>
            </w:tcBorders>
            <w:noWrap/>
            <w:vAlign w:val="bottom"/>
            <w:hideMark/>
          </w:tcPr>
          <w:p w14:paraId="0BD5945A" w14:textId="77777777" w:rsidR="00677577" w:rsidRPr="003A7C61" w:rsidRDefault="00677577">
            <w:pPr>
              <w:spacing w:after="0" w:line="240" w:lineRule="auto"/>
              <w:rPr>
                <w:sz w:val="20"/>
                <w:szCs w:val="20"/>
              </w:rPr>
            </w:pPr>
            <w:r w:rsidRPr="003A7C61">
              <w:rPr>
                <w:sz w:val="20"/>
                <w:szCs w:val="20"/>
              </w:rPr>
              <w:t>Mining</w:t>
            </w:r>
          </w:p>
        </w:tc>
        <w:tc>
          <w:tcPr>
            <w:tcW w:w="1033" w:type="dxa"/>
            <w:tcBorders>
              <w:top w:val="nil"/>
              <w:left w:val="nil"/>
              <w:bottom w:val="nil"/>
              <w:right w:val="nil"/>
            </w:tcBorders>
            <w:noWrap/>
            <w:vAlign w:val="bottom"/>
            <w:hideMark/>
          </w:tcPr>
          <w:p w14:paraId="1BA8ECFB" w14:textId="77777777" w:rsidR="00677577" w:rsidRPr="003A7C61" w:rsidRDefault="00677577" w:rsidP="00C63BBE">
            <w:pPr>
              <w:spacing w:after="0" w:line="240" w:lineRule="auto"/>
              <w:jc w:val="right"/>
              <w:rPr>
                <w:sz w:val="20"/>
                <w:szCs w:val="20"/>
              </w:rPr>
            </w:pPr>
            <w:r w:rsidRPr="003A7C61">
              <w:rPr>
                <w:sz w:val="20"/>
                <w:szCs w:val="20"/>
              </w:rPr>
              <w:t>3.3%</w:t>
            </w:r>
          </w:p>
        </w:tc>
        <w:tc>
          <w:tcPr>
            <w:tcW w:w="928" w:type="dxa"/>
            <w:tcBorders>
              <w:top w:val="nil"/>
              <w:left w:val="nil"/>
              <w:bottom w:val="nil"/>
              <w:right w:val="nil"/>
            </w:tcBorders>
            <w:noWrap/>
            <w:vAlign w:val="bottom"/>
            <w:hideMark/>
          </w:tcPr>
          <w:p w14:paraId="3A981A12" w14:textId="77777777" w:rsidR="00677577" w:rsidRPr="003A7C61" w:rsidRDefault="00677577" w:rsidP="00C63BBE">
            <w:pPr>
              <w:spacing w:after="0" w:line="240" w:lineRule="auto"/>
              <w:jc w:val="right"/>
              <w:rPr>
                <w:sz w:val="20"/>
                <w:szCs w:val="20"/>
              </w:rPr>
            </w:pPr>
            <w:r w:rsidRPr="003A7C61">
              <w:rPr>
                <w:sz w:val="20"/>
                <w:szCs w:val="20"/>
              </w:rPr>
              <w:t>1.7%</w:t>
            </w:r>
          </w:p>
        </w:tc>
        <w:tc>
          <w:tcPr>
            <w:tcW w:w="860" w:type="dxa"/>
            <w:tcBorders>
              <w:top w:val="nil"/>
              <w:left w:val="nil"/>
              <w:bottom w:val="nil"/>
              <w:right w:val="nil"/>
            </w:tcBorders>
            <w:noWrap/>
            <w:vAlign w:val="bottom"/>
            <w:hideMark/>
          </w:tcPr>
          <w:p w14:paraId="782D09EA" w14:textId="77777777" w:rsidR="00677577" w:rsidRPr="003A7C61" w:rsidRDefault="00677577" w:rsidP="00C63BBE">
            <w:pPr>
              <w:spacing w:after="0" w:line="240" w:lineRule="auto"/>
              <w:jc w:val="right"/>
              <w:rPr>
                <w:sz w:val="20"/>
                <w:szCs w:val="20"/>
              </w:rPr>
            </w:pPr>
            <w:r w:rsidRPr="003A7C61">
              <w:rPr>
                <w:sz w:val="20"/>
                <w:szCs w:val="20"/>
              </w:rPr>
              <w:t>3.1%</w:t>
            </w:r>
          </w:p>
        </w:tc>
        <w:tc>
          <w:tcPr>
            <w:tcW w:w="860" w:type="dxa"/>
            <w:tcBorders>
              <w:top w:val="nil"/>
              <w:left w:val="nil"/>
              <w:bottom w:val="nil"/>
              <w:right w:val="nil"/>
            </w:tcBorders>
            <w:noWrap/>
            <w:vAlign w:val="bottom"/>
            <w:hideMark/>
          </w:tcPr>
          <w:p w14:paraId="72E24CFE" w14:textId="77777777" w:rsidR="00677577" w:rsidRPr="003A7C61" w:rsidRDefault="00677577" w:rsidP="00C63BBE">
            <w:pPr>
              <w:spacing w:after="0" w:line="240" w:lineRule="auto"/>
              <w:jc w:val="right"/>
              <w:rPr>
                <w:sz w:val="20"/>
                <w:szCs w:val="20"/>
              </w:rPr>
            </w:pPr>
            <w:r w:rsidRPr="003A7C61">
              <w:rPr>
                <w:sz w:val="20"/>
                <w:szCs w:val="20"/>
              </w:rPr>
              <w:t>4.5%</w:t>
            </w:r>
          </w:p>
        </w:tc>
        <w:tc>
          <w:tcPr>
            <w:tcW w:w="1105" w:type="dxa"/>
            <w:tcBorders>
              <w:top w:val="nil"/>
              <w:left w:val="nil"/>
              <w:bottom w:val="nil"/>
              <w:right w:val="nil"/>
            </w:tcBorders>
            <w:noWrap/>
            <w:vAlign w:val="bottom"/>
            <w:hideMark/>
          </w:tcPr>
          <w:p w14:paraId="6EB09732" w14:textId="77777777" w:rsidR="00677577" w:rsidRPr="003A7C61" w:rsidRDefault="00677577" w:rsidP="00C63BBE">
            <w:pPr>
              <w:spacing w:after="0" w:line="240" w:lineRule="auto"/>
              <w:jc w:val="right"/>
              <w:rPr>
                <w:sz w:val="20"/>
                <w:szCs w:val="20"/>
              </w:rPr>
            </w:pPr>
            <w:r w:rsidRPr="003A7C61">
              <w:rPr>
                <w:sz w:val="20"/>
                <w:szCs w:val="20"/>
              </w:rPr>
              <w:t>0.4%</w:t>
            </w:r>
          </w:p>
        </w:tc>
        <w:tc>
          <w:tcPr>
            <w:tcW w:w="1105" w:type="dxa"/>
            <w:tcBorders>
              <w:top w:val="nil"/>
              <w:left w:val="nil"/>
              <w:bottom w:val="nil"/>
              <w:right w:val="single" w:sz="4" w:space="0" w:color="auto"/>
            </w:tcBorders>
            <w:noWrap/>
            <w:vAlign w:val="bottom"/>
            <w:hideMark/>
          </w:tcPr>
          <w:p w14:paraId="07A53ACD" w14:textId="77777777" w:rsidR="00677577" w:rsidRPr="003A7C61" w:rsidRDefault="00677577" w:rsidP="00C63BBE">
            <w:pPr>
              <w:spacing w:after="0" w:line="240" w:lineRule="auto"/>
              <w:jc w:val="right"/>
              <w:rPr>
                <w:sz w:val="20"/>
                <w:szCs w:val="20"/>
              </w:rPr>
            </w:pPr>
            <w:r w:rsidRPr="003A7C61">
              <w:rPr>
                <w:sz w:val="20"/>
                <w:szCs w:val="20"/>
              </w:rPr>
              <w:t>0.4%</w:t>
            </w:r>
          </w:p>
        </w:tc>
      </w:tr>
      <w:tr w:rsidR="00677577" w:rsidRPr="00167CB8" w14:paraId="12F4C7D7" w14:textId="77777777">
        <w:trPr>
          <w:trHeight w:val="343"/>
        </w:trPr>
        <w:tc>
          <w:tcPr>
            <w:tcW w:w="3397" w:type="dxa"/>
            <w:tcBorders>
              <w:top w:val="nil"/>
              <w:left w:val="single" w:sz="4" w:space="0" w:color="auto"/>
              <w:bottom w:val="nil"/>
              <w:right w:val="nil"/>
            </w:tcBorders>
            <w:noWrap/>
            <w:vAlign w:val="bottom"/>
            <w:hideMark/>
          </w:tcPr>
          <w:p w14:paraId="2C8E3A29" w14:textId="77777777" w:rsidR="00677577" w:rsidRPr="003A7C61" w:rsidRDefault="00677577">
            <w:pPr>
              <w:spacing w:after="0" w:line="240" w:lineRule="auto"/>
              <w:rPr>
                <w:sz w:val="20"/>
                <w:szCs w:val="20"/>
              </w:rPr>
            </w:pPr>
            <w:r w:rsidRPr="003A7C61">
              <w:rPr>
                <w:sz w:val="20"/>
                <w:szCs w:val="20"/>
              </w:rPr>
              <w:t>Manufacturing</w:t>
            </w:r>
          </w:p>
        </w:tc>
        <w:tc>
          <w:tcPr>
            <w:tcW w:w="1033" w:type="dxa"/>
            <w:tcBorders>
              <w:top w:val="nil"/>
              <w:left w:val="nil"/>
              <w:bottom w:val="nil"/>
              <w:right w:val="nil"/>
            </w:tcBorders>
            <w:noWrap/>
            <w:vAlign w:val="bottom"/>
            <w:hideMark/>
          </w:tcPr>
          <w:p w14:paraId="675A0199" w14:textId="77777777" w:rsidR="00677577" w:rsidRPr="003A7C61" w:rsidRDefault="00677577" w:rsidP="00C63BBE">
            <w:pPr>
              <w:spacing w:after="0" w:line="240" w:lineRule="auto"/>
              <w:jc w:val="right"/>
              <w:rPr>
                <w:sz w:val="20"/>
                <w:szCs w:val="20"/>
              </w:rPr>
            </w:pPr>
            <w:r w:rsidRPr="003A7C61">
              <w:rPr>
                <w:sz w:val="20"/>
                <w:szCs w:val="20"/>
              </w:rPr>
              <w:t>6.7%</w:t>
            </w:r>
          </w:p>
        </w:tc>
        <w:tc>
          <w:tcPr>
            <w:tcW w:w="928" w:type="dxa"/>
            <w:tcBorders>
              <w:top w:val="nil"/>
              <w:left w:val="nil"/>
              <w:bottom w:val="nil"/>
              <w:right w:val="nil"/>
            </w:tcBorders>
            <w:noWrap/>
            <w:vAlign w:val="bottom"/>
            <w:hideMark/>
          </w:tcPr>
          <w:p w14:paraId="02FC2819" w14:textId="77777777" w:rsidR="00677577" w:rsidRPr="003A7C61" w:rsidRDefault="00677577" w:rsidP="00C63BBE">
            <w:pPr>
              <w:spacing w:after="0" w:line="240" w:lineRule="auto"/>
              <w:jc w:val="right"/>
              <w:rPr>
                <w:sz w:val="20"/>
                <w:szCs w:val="20"/>
              </w:rPr>
            </w:pPr>
            <w:r w:rsidRPr="003A7C61">
              <w:rPr>
                <w:sz w:val="20"/>
                <w:szCs w:val="20"/>
              </w:rPr>
              <w:t>4.3%</w:t>
            </w:r>
          </w:p>
        </w:tc>
        <w:tc>
          <w:tcPr>
            <w:tcW w:w="860" w:type="dxa"/>
            <w:tcBorders>
              <w:top w:val="nil"/>
              <w:left w:val="nil"/>
              <w:bottom w:val="nil"/>
              <w:right w:val="nil"/>
            </w:tcBorders>
            <w:noWrap/>
            <w:vAlign w:val="bottom"/>
            <w:hideMark/>
          </w:tcPr>
          <w:p w14:paraId="1E9AEE92" w14:textId="77777777" w:rsidR="00677577" w:rsidRPr="003A7C61" w:rsidRDefault="00677577" w:rsidP="00C63BBE">
            <w:pPr>
              <w:spacing w:after="0" w:line="240" w:lineRule="auto"/>
              <w:jc w:val="right"/>
              <w:rPr>
                <w:sz w:val="20"/>
                <w:szCs w:val="20"/>
              </w:rPr>
            </w:pPr>
            <w:r w:rsidRPr="003A7C61">
              <w:rPr>
                <w:sz w:val="20"/>
                <w:szCs w:val="20"/>
              </w:rPr>
              <w:t>10.8%</w:t>
            </w:r>
          </w:p>
        </w:tc>
        <w:tc>
          <w:tcPr>
            <w:tcW w:w="860" w:type="dxa"/>
            <w:tcBorders>
              <w:top w:val="nil"/>
              <w:left w:val="nil"/>
              <w:bottom w:val="nil"/>
              <w:right w:val="nil"/>
            </w:tcBorders>
            <w:noWrap/>
            <w:vAlign w:val="bottom"/>
            <w:hideMark/>
          </w:tcPr>
          <w:p w14:paraId="38BF2651" w14:textId="77777777" w:rsidR="00677577" w:rsidRPr="003A7C61" w:rsidRDefault="00677577" w:rsidP="00C63BBE">
            <w:pPr>
              <w:spacing w:after="0" w:line="240" w:lineRule="auto"/>
              <w:jc w:val="right"/>
              <w:rPr>
                <w:sz w:val="20"/>
                <w:szCs w:val="20"/>
              </w:rPr>
            </w:pPr>
            <w:r w:rsidRPr="003A7C61">
              <w:rPr>
                <w:sz w:val="20"/>
                <w:szCs w:val="20"/>
              </w:rPr>
              <w:t>11.9%</w:t>
            </w:r>
          </w:p>
        </w:tc>
        <w:tc>
          <w:tcPr>
            <w:tcW w:w="1105" w:type="dxa"/>
            <w:tcBorders>
              <w:top w:val="nil"/>
              <w:left w:val="nil"/>
              <w:bottom w:val="nil"/>
              <w:right w:val="nil"/>
            </w:tcBorders>
            <w:noWrap/>
            <w:vAlign w:val="bottom"/>
            <w:hideMark/>
          </w:tcPr>
          <w:p w14:paraId="182DC2A7" w14:textId="77777777" w:rsidR="00677577" w:rsidRPr="003A7C61" w:rsidRDefault="00677577" w:rsidP="00C63BBE">
            <w:pPr>
              <w:spacing w:after="0" w:line="240" w:lineRule="auto"/>
              <w:jc w:val="right"/>
              <w:rPr>
                <w:sz w:val="20"/>
                <w:szCs w:val="20"/>
              </w:rPr>
            </w:pPr>
            <w:r w:rsidRPr="003A7C61">
              <w:rPr>
                <w:sz w:val="20"/>
                <w:szCs w:val="20"/>
              </w:rPr>
              <w:t>6.4%</w:t>
            </w:r>
          </w:p>
        </w:tc>
        <w:tc>
          <w:tcPr>
            <w:tcW w:w="1105" w:type="dxa"/>
            <w:tcBorders>
              <w:top w:val="nil"/>
              <w:left w:val="nil"/>
              <w:bottom w:val="nil"/>
              <w:right w:val="single" w:sz="4" w:space="0" w:color="auto"/>
            </w:tcBorders>
            <w:noWrap/>
            <w:vAlign w:val="bottom"/>
            <w:hideMark/>
          </w:tcPr>
          <w:p w14:paraId="2E913040" w14:textId="77777777" w:rsidR="00677577" w:rsidRPr="003A7C61" w:rsidRDefault="00677577" w:rsidP="00C63BBE">
            <w:pPr>
              <w:spacing w:after="0" w:line="240" w:lineRule="auto"/>
              <w:jc w:val="right"/>
              <w:rPr>
                <w:sz w:val="20"/>
                <w:szCs w:val="20"/>
              </w:rPr>
            </w:pPr>
            <w:r w:rsidRPr="003A7C61">
              <w:rPr>
                <w:sz w:val="20"/>
                <w:szCs w:val="20"/>
              </w:rPr>
              <w:t>6.7%</w:t>
            </w:r>
          </w:p>
        </w:tc>
      </w:tr>
      <w:tr w:rsidR="00677577" w:rsidRPr="00167CB8" w14:paraId="6FAC3A05" w14:textId="77777777">
        <w:trPr>
          <w:trHeight w:val="343"/>
        </w:trPr>
        <w:tc>
          <w:tcPr>
            <w:tcW w:w="3397" w:type="dxa"/>
            <w:tcBorders>
              <w:top w:val="nil"/>
              <w:left w:val="single" w:sz="4" w:space="0" w:color="auto"/>
              <w:bottom w:val="nil"/>
              <w:right w:val="nil"/>
            </w:tcBorders>
            <w:noWrap/>
            <w:vAlign w:val="bottom"/>
            <w:hideMark/>
          </w:tcPr>
          <w:p w14:paraId="53A34C9C" w14:textId="77777777" w:rsidR="00677577" w:rsidRPr="003A7C61" w:rsidRDefault="00677577">
            <w:pPr>
              <w:spacing w:after="0" w:line="240" w:lineRule="auto"/>
              <w:rPr>
                <w:sz w:val="20"/>
                <w:szCs w:val="20"/>
              </w:rPr>
            </w:pPr>
            <w:r w:rsidRPr="003A7C61">
              <w:rPr>
                <w:sz w:val="20"/>
                <w:szCs w:val="20"/>
              </w:rPr>
              <w:t>Electricity, gas, water and waste services</w:t>
            </w:r>
          </w:p>
        </w:tc>
        <w:tc>
          <w:tcPr>
            <w:tcW w:w="1033" w:type="dxa"/>
            <w:tcBorders>
              <w:top w:val="nil"/>
              <w:left w:val="nil"/>
              <w:bottom w:val="nil"/>
              <w:right w:val="nil"/>
            </w:tcBorders>
            <w:noWrap/>
            <w:vAlign w:val="bottom"/>
            <w:hideMark/>
          </w:tcPr>
          <w:p w14:paraId="3ABEDDC8" w14:textId="77777777" w:rsidR="00677577" w:rsidRPr="003A7C61" w:rsidRDefault="00677577" w:rsidP="00C63BBE">
            <w:pPr>
              <w:spacing w:after="0" w:line="240" w:lineRule="auto"/>
              <w:jc w:val="right"/>
              <w:rPr>
                <w:sz w:val="20"/>
                <w:szCs w:val="20"/>
              </w:rPr>
            </w:pPr>
            <w:r w:rsidRPr="003A7C61">
              <w:rPr>
                <w:sz w:val="20"/>
                <w:szCs w:val="20"/>
              </w:rPr>
              <w:t>1.6%</w:t>
            </w:r>
          </w:p>
        </w:tc>
        <w:tc>
          <w:tcPr>
            <w:tcW w:w="928" w:type="dxa"/>
            <w:tcBorders>
              <w:top w:val="nil"/>
              <w:left w:val="nil"/>
              <w:bottom w:val="nil"/>
              <w:right w:val="nil"/>
            </w:tcBorders>
            <w:noWrap/>
            <w:vAlign w:val="bottom"/>
            <w:hideMark/>
          </w:tcPr>
          <w:p w14:paraId="474F04B8" w14:textId="77777777" w:rsidR="00677577" w:rsidRPr="003A7C61" w:rsidRDefault="00677577" w:rsidP="00C63BBE">
            <w:pPr>
              <w:spacing w:after="0" w:line="240" w:lineRule="auto"/>
              <w:jc w:val="right"/>
              <w:rPr>
                <w:sz w:val="20"/>
                <w:szCs w:val="20"/>
              </w:rPr>
            </w:pPr>
            <w:r w:rsidRPr="003A7C61">
              <w:rPr>
                <w:sz w:val="20"/>
                <w:szCs w:val="20"/>
              </w:rPr>
              <w:t>1.7%</w:t>
            </w:r>
          </w:p>
        </w:tc>
        <w:tc>
          <w:tcPr>
            <w:tcW w:w="860" w:type="dxa"/>
            <w:tcBorders>
              <w:top w:val="nil"/>
              <w:left w:val="nil"/>
              <w:bottom w:val="nil"/>
              <w:right w:val="nil"/>
            </w:tcBorders>
            <w:noWrap/>
            <w:vAlign w:val="bottom"/>
            <w:hideMark/>
          </w:tcPr>
          <w:p w14:paraId="3D74D020" w14:textId="77777777" w:rsidR="00677577" w:rsidRPr="003A7C61" w:rsidRDefault="00677577" w:rsidP="00C63BBE">
            <w:pPr>
              <w:spacing w:after="0" w:line="240" w:lineRule="auto"/>
              <w:jc w:val="right"/>
              <w:rPr>
                <w:sz w:val="20"/>
                <w:szCs w:val="20"/>
              </w:rPr>
            </w:pPr>
            <w:r w:rsidRPr="003A7C61">
              <w:rPr>
                <w:sz w:val="20"/>
                <w:szCs w:val="20"/>
              </w:rPr>
              <w:t>1.1%</w:t>
            </w:r>
          </w:p>
        </w:tc>
        <w:tc>
          <w:tcPr>
            <w:tcW w:w="860" w:type="dxa"/>
            <w:tcBorders>
              <w:top w:val="nil"/>
              <w:left w:val="nil"/>
              <w:bottom w:val="nil"/>
              <w:right w:val="nil"/>
            </w:tcBorders>
            <w:noWrap/>
            <w:vAlign w:val="bottom"/>
            <w:hideMark/>
          </w:tcPr>
          <w:p w14:paraId="456127D4" w14:textId="77777777" w:rsidR="00677577" w:rsidRPr="003A7C61" w:rsidRDefault="00677577" w:rsidP="00C63BBE">
            <w:pPr>
              <w:spacing w:after="0" w:line="240" w:lineRule="auto"/>
              <w:jc w:val="right"/>
              <w:rPr>
                <w:sz w:val="20"/>
                <w:szCs w:val="20"/>
              </w:rPr>
            </w:pPr>
            <w:r w:rsidRPr="003A7C61">
              <w:rPr>
                <w:sz w:val="20"/>
                <w:szCs w:val="20"/>
              </w:rPr>
              <w:t>0.9%</w:t>
            </w:r>
          </w:p>
        </w:tc>
        <w:tc>
          <w:tcPr>
            <w:tcW w:w="1105" w:type="dxa"/>
            <w:tcBorders>
              <w:top w:val="nil"/>
              <w:left w:val="nil"/>
              <w:bottom w:val="nil"/>
              <w:right w:val="nil"/>
            </w:tcBorders>
            <w:noWrap/>
            <w:vAlign w:val="bottom"/>
            <w:hideMark/>
          </w:tcPr>
          <w:p w14:paraId="3B41BF71" w14:textId="77777777" w:rsidR="00677577" w:rsidRPr="003A7C61" w:rsidRDefault="00677577" w:rsidP="00C63BBE">
            <w:pPr>
              <w:spacing w:after="0" w:line="240" w:lineRule="auto"/>
              <w:jc w:val="right"/>
              <w:rPr>
                <w:sz w:val="20"/>
                <w:szCs w:val="20"/>
              </w:rPr>
            </w:pPr>
            <w:r w:rsidRPr="003A7C61">
              <w:rPr>
                <w:sz w:val="20"/>
                <w:szCs w:val="20"/>
              </w:rPr>
              <w:t>0.4%</w:t>
            </w:r>
          </w:p>
        </w:tc>
        <w:tc>
          <w:tcPr>
            <w:tcW w:w="1105" w:type="dxa"/>
            <w:tcBorders>
              <w:top w:val="nil"/>
              <w:left w:val="nil"/>
              <w:bottom w:val="nil"/>
              <w:right w:val="single" w:sz="4" w:space="0" w:color="auto"/>
            </w:tcBorders>
            <w:noWrap/>
            <w:vAlign w:val="bottom"/>
            <w:hideMark/>
          </w:tcPr>
          <w:p w14:paraId="645A1A34" w14:textId="77777777" w:rsidR="00677577" w:rsidRPr="003A7C61" w:rsidRDefault="00677577" w:rsidP="00C63BBE">
            <w:pPr>
              <w:spacing w:after="0" w:line="240" w:lineRule="auto"/>
              <w:jc w:val="right"/>
              <w:rPr>
                <w:sz w:val="20"/>
                <w:szCs w:val="20"/>
              </w:rPr>
            </w:pPr>
            <w:r w:rsidRPr="003A7C61">
              <w:rPr>
                <w:sz w:val="20"/>
                <w:szCs w:val="20"/>
              </w:rPr>
              <w:t>0.4%</w:t>
            </w:r>
          </w:p>
        </w:tc>
      </w:tr>
      <w:tr w:rsidR="00677577" w:rsidRPr="00167CB8" w14:paraId="367562F6" w14:textId="77777777">
        <w:trPr>
          <w:trHeight w:val="343"/>
        </w:trPr>
        <w:tc>
          <w:tcPr>
            <w:tcW w:w="3397" w:type="dxa"/>
            <w:tcBorders>
              <w:top w:val="nil"/>
              <w:left w:val="single" w:sz="4" w:space="0" w:color="auto"/>
              <w:bottom w:val="nil"/>
              <w:right w:val="nil"/>
            </w:tcBorders>
            <w:noWrap/>
            <w:vAlign w:val="bottom"/>
            <w:hideMark/>
          </w:tcPr>
          <w:p w14:paraId="3D3AB8B2" w14:textId="77777777" w:rsidR="00677577" w:rsidRPr="003A7C61" w:rsidRDefault="00677577">
            <w:pPr>
              <w:spacing w:after="0" w:line="240" w:lineRule="auto"/>
              <w:rPr>
                <w:sz w:val="20"/>
                <w:szCs w:val="20"/>
              </w:rPr>
            </w:pPr>
            <w:r w:rsidRPr="003A7C61">
              <w:rPr>
                <w:sz w:val="20"/>
                <w:szCs w:val="20"/>
              </w:rPr>
              <w:t>Construction</w:t>
            </w:r>
          </w:p>
        </w:tc>
        <w:tc>
          <w:tcPr>
            <w:tcW w:w="1033" w:type="dxa"/>
            <w:tcBorders>
              <w:top w:val="nil"/>
              <w:left w:val="nil"/>
              <w:bottom w:val="nil"/>
              <w:right w:val="nil"/>
            </w:tcBorders>
            <w:noWrap/>
            <w:vAlign w:val="bottom"/>
            <w:hideMark/>
          </w:tcPr>
          <w:p w14:paraId="10CC4747" w14:textId="77777777" w:rsidR="00677577" w:rsidRPr="003A7C61" w:rsidRDefault="00677577" w:rsidP="00C63BBE">
            <w:pPr>
              <w:spacing w:after="0" w:line="240" w:lineRule="auto"/>
              <w:jc w:val="right"/>
              <w:rPr>
                <w:sz w:val="20"/>
                <w:szCs w:val="20"/>
              </w:rPr>
            </w:pPr>
            <w:r w:rsidRPr="003A7C61">
              <w:rPr>
                <w:sz w:val="20"/>
                <w:szCs w:val="20"/>
              </w:rPr>
              <w:t>4.8%</w:t>
            </w:r>
          </w:p>
        </w:tc>
        <w:tc>
          <w:tcPr>
            <w:tcW w:w="928" w:type="dxa"/>
            <w:tcBorders>
              <w:top w:val="nil"/>
              <w:left w:val="nil"/>
              <w:bottom w:val="nil"/>
              <w:right w:val="nil"/>
            </w:tcBorders>
            <w:noWrap/>
            <w:vAlign w:val="bottom"/>
            <w:hideMark/>
          </w:tcPr>
          <w:p w14:paraId="07D734A1" w14:textId="77777777" w:rsidR="00677577" w:rsidRPr="003A7C61" w:rsidRDefault="00677577" w:rsidP="00C63BBE">
            <w:pPr>
              <w:spacing w:after="0" w:line="240" w:lineRule="auto"/>
              <w:jc w:val="right"/>
              <w:rPr>
                <w:sz w:val="20"/>
                <w:szCs w:val="20"/>
              </w:rPr>
            </w:pPr>
            <w:r w:rsidRPr="003A7C61">
              <w:rPr>
                <w:sz w:val="20"/>
                <w:szCs w:val="20"/>
              </w:rPr>
              <w:t>3.7%</w:t>
            </w:r>
          </w:p>
        </w:tc>
        <w:tc>
          <w:tcPr>
            <w:tcW w:w="860" w:type="dxa"/>
            <w:tcBorders>
              <w:top w:val="nil"/>
              <w:left w:val="nil"/>
              <w:bottom w:val="nil"/>
              <w:right w:val="nil"/>
            </w:tcBorders>
            <w:noWrap/>
            <w:vAlign w:val="bottom"/>
            <w:hideMark/>
          </w:tcPr>
          <w:p w14:paraId="660AC30D" w14:textId="77777777" w:rsidR="00677577" w:rsidRPr="003A7C61" w:rsidRDefault="00677577" w:rsidP="00C63BBE">
            <w:pPr>
              <w:spacing w:after="0" w:line="240" w:lineRule="auto"/>
              <w:jc w:val="right"/>
              <w:rPr>
                <w:sz w:val="20"/>
                <w:szCs w:val="20"/>
              </w:rPr>
            </w:pPr>
            <w:r w:rsidRPr="003A7C61">
              <w:rPr>
                <w:sz w:val="20"/>
                <w:szCs w:val="20"/>
              </w:rPr>
              <w:t>8.6%</w:t>
            </w:r>
          </w:p>
        </w:tc>
        <w:tc>
          <w:tcPr>
            <w:tcW w:w="860" w:type="dxa"/>
            <w:tcBorders>
              <w:top w:val="nil"/>
              <w:left w:val="nil"/>
              <w:bottom w:val="nil"/>
              <w:right w:val="nil"/>
            </w:tcBorders>
            <w:noWrap/>
            <w:vAlign w:val="bottom"/>
            <w:hideMark/>
          </w:tcPr>
          <w:p w14:paraId="45E9BD43" w14:textId="77777777" w:rsidR="00677577" w:rsidRPr="003A7C61" w:rsidRDefault="00677577" w:rsidP="00C63BBE">
            <w:pPr>
              <w:spacing w:after="0" w:line="240" w:lineRule="auto"/>
              <w:jc w:val="right"/>
              <w:rPr>
                <w:sz w:val="20"/>
                <w:szCs w:val="20"/>
              </w:rPr>
            </w:pPr>
            <w:r w:rsidRPr="003A7C61">
              <w:rPr>
                <w:sz w:val="20"/>
                <w:szCs w:val="20"/>
              </w:rPr>
              <w:t>11.0%</w:t>
            </w:r>
          </w:p>
        </w:tc>
        <w:tc>
          <w:tcPr>
            <w:tcW w:w="1105" w:type="dxa"/>
            <w:tcBorders>
              <w:top w:val="nil"/>
              <w:left w:val="nil"/>
              <w:bottom w:val="nil"/>
              <w:right w:val="nil"/>
            </w:tcBorders>
            <w:noWrap/>
            <w:vAlign w:val="bottom"/>
            <w:hideMark/>
          </w:tcPr>
          <w:p w14:paraId="330E90A0" w14:textId="77777777" w:rsidR="00677577" w:rsidRPr="003A7C61" w:rsidRDefault="00677577" w:rsidP="00C63BBE">
            <w:pPr>
              <w:spacing w:after="0" w:line="240" w:lineRule="auto"/>
              <w:jc w:val="right"/>
              <w:rPr>
                <w:sz w:val="20"/>
                <w:szCs w:val="20"/>
              </w:rPr>
            </w:pPr>
            <w:r w:rsidRPr="003A7C61">
              <w:rPr>
                <w:sz w:val="20"/>
                <w:szCs w:val="20"/>
              </w:rPr>
              <w:t>4.5%</w:t>
            </w:r>
          </w:p>
        </w:tc>
        <w:tc>
          <w:tcPr>
            <w:tcW w:w="1105" w:type="dxa"/>
            <w:tcBorders>
              <w:top w:val="nil"/>
              <w:left w:val="nil"/>
              <w:bottom w:val="nil"/>
              <w:right w:val="single" w:sz="4" w:space="0" w:color="auto"/>
            </w:tcBorders>
            <w:noWrap/>
            <w:vAlign w:val="bottom"/>
            <w:hideMark/>
          </w:tcPr>
          <w:p w14:paraId="50CF296F" w14:textId="77777777" w:rsidR="00677577" w:rsidRPr="003A7C61" w:rsidRDefault="00677577" w:rsidP="00C63BBE">
            <w:pPr>
              <w:spacing w:after="0" w:line="240" w:lineRule="auto"/>
              <w:jc w:val="right"/>
              <w:rPr>
                <w:sz w:val="20"/>
                <w:szCs w:val="20"/>
              </w:rPr>
            </w:pPr>
            <w:r w:rsidRPr="003A7C61">
              <w:rPr>
                <w:sz w:val="20"/>
                <w:szCs w:val="20"/>
              </w:rPr>
              <w:t>5.6%</w:t>
            </w:r>
          </w:p>
        </w:tc>
      </w:tr>
      <w:tr w:rsidR="00677577" w:rsidRPr="00167CB8" w14:paraId="6179EAEE" w14:textId="77777777">
        <w:trPr>
          <w:trHeight w:val="343"/>
        </w:trPr>
        <w:tc>
          <w:tcPr>
            <w:tcW w:w="3397" w:type="dxa"/>
            <w:tcBorders>
              <w:top w:val="nil"/>
              <w:left w:val="single" w:sz="4" w:space="0" w:color="auto"/>
              <w:bottom w:val="nil"/>
              <w:right w:val="nil"/>
            </w:tcBorders>
            <w:noWrap/>
            <w:vAlign w:val="bottom"/>
            <w:hideMark/>
          </w:tcPr>
          <w:p w14:paraId="506256D3" w14:textId="77777777" w:rsidR="00677577" w:rsidRPr="003A7C61" w:rsidRDefault="00677577">
            <w:pPr>
              <w:spacing w:after="0" w:line="240" w:lineRule="auto"/>
              <w:rPr>
                <w:sz w:val="20"/>
                <w:szCs w:val="20"/>
              </w:rPr>
            </w:pPr>
            <w:r w:rsidRPr="003A7C61">
              <w:rPr>
                <w:sz w:val="20"/>
                <w:szCs w:val="20"/>
              </w:rPr>
              <w:t>Wholesale trade</w:t>
            </w:r>
          </w:p>
        </w:tc>
        <w:tc>
          <w:tcPr>
            <w:tcW w:w="1033" w:type="dxa"/>
            <w:tcBorders>
              <w:top w:val="nil"/>
              <w:left w:val="nil"/>
              <w:bottom w:val="nil"/>
              <w:right w:val="nil"/>
            </w:tcBorders>
            <w:noWrap/>
            <w:vAlign w:val="bottom"/>
            <w:hideMark/>
          </w:tcPr>
          <w:p w14:paraId="67A9C639" w14:textId="77777777" w:rsidR="00677577" w:rsidRPr="003A7C61" w:rsidRDefault="00677577" w:rsidP="00C63BBE">
            <w:pPr>
              <w:spacing w:after="0" w:line="240" w:lineRule="auto"/>
              <w:jc w:val="right"/>
              <w:rPr>
                <w:sz w:val="20"/>
                <w:szCs w:val="20"/>
              </w:rPr>
            </w:pPr>
            <w:r w:rsidRPr="003A7C61">
              <w:rPr>
                <w:sz w:val="20"/>
                <w:szCs w:val="20"/>
              </w:rPr>
              <w:t>1.7%</w:t>
            </w:r>
          </w:p>
        </w:tc>
        <w:tc>
          <w:tcPr>
            <w:tcW w:w="928" w:type="dxa"/>
            <w:tcBorders>
              <w:top w:val="nil"/>
              <w:left w:val="nil"/>
              <w:bottom w:val="nil"/>
              <w:right w:val="nil"/>
            </w:tcBorders>
            <w:noWrap/>
            <w:vAlign w:val="bottom"/>
            <w:hideMark/>
          </w:tcPr>
          <w:p w14:paraId="77267649" w14:textId="77777777" w:rsidR="00677577" w:rsidRPr="003A7C61" w:rsidRDefault="00677577" w:rsidP="00C63BBE">
            <w:pPr>
              <w:spacing w:after="0" w:line="240" w:lineRule="auto"/>
              <w:jc w:val="right"/>
              <w:rPr>
                <w:sz w:val="20"/>
                <w:szCs w:val="20"/>
              </w:rPr>
            </w:pPr>
            <w:r w:rsidRPr="003A7C61">
              <w:rPr>
                <w:sz w:val="20"/>
                <w:szCs w:val="20"/>
              </w:rPr>
              <w:t>1.1%</w:t>
            </w:r>
          </w:p>
        </w:tc>
        <w:tc>
          <w:tcPr>
            <w:tcW w:w="860" w:type="dxa"/>
            <w:tcBorders>
              <w:top w:val="nil"/>
              <w:left w:val="nil"/>
              <w:bottom w:val="nil"/>
              <w:right w:val="nil"/>
            </w:tcBorders>
            <w:noWrap/>
            <w:vAlign w:val="bottom"/>
            <w:hideMark/>
          </w:tcPr>
          <w:p w14:paraId="1994B8D8" w14:textId="77777777" w:rsidR="00677577" w:rsidRPr="003A7C61" w:rsidRDefault="00677577" w:rsidP="00C63BBE">
            <w:pPr>
              <w:spacing w:after="0" w:line="240" w:lineRule="auto"/>
              <w:jc w:val="right"/>
              <w:rPr>
                <w:sz w:val="20"/>
                <w:szCs w:val="20"/>
              </w:rPr>
            </w:pPr>
            <w:r w:rsidRPr="003A7C61">
              <w:rPr>
                <w:sz w:val="20"/>
                <w:szCs w:val="20"/>
              </w:rPr>
              <w:t>5.9%</w:t>
            </w:r>
          </w:p>
        </w:tc>
        <w:tc>
          <w:tcPr>
            <w:tcW w:w="860" w:type="dxa"/>
            <w:tcBorders>
              <w:top w:val="nil"/>
              <w:left w:val="nil"/>
              <w:bottom w:val="nil"/>
              <w:right w:val="nil"/>
            </w:tcBorders>
            <w:noWrap/>
            <w:vAlign w:val="bottom"/>
            <w:hideMark/>
          </w:tcPr>
          <w:p w14:paraId="798406B7" w14:textId="77777777" w:rsidR="00677577" w:rsidRPr="003A7C61" w:rsidRDefault="00677577" w:rsidP="00C63BBE">
            <w:pPr>
              <w:spacing w:after="0" w:line="240" w:lineRule="auto"/>
              <w:jc w:val="right"/>
              <w:rPr>
                <w:sz w:val="20"/>
                <w:szCs w:val="20"/>
              </w:rPr>
            </w:pPr>
            <w:r w:rsidRPr="003A7C61">
              <w:rPr>
                <w:sz w:val="20"/>
                <w:szCs w:val="20"/>
              </w:rPr>
              <w:t>4.2%</w:t>
            </w:r>
          </w:p>
        </w:tc>
        <w:tc>
          <w:tcPr>
            <w:tcW w:w="1105" w:type="dxa"/>
            <w:tcBorders>
              <w:top w:val="nil"/>
              <w:left w:val="nil"/>
              <w:bottom w:val="nil"/>
              <w:right w:val="nil"/>
            </w:tcBorders>
            <w:noWrap/>
            <w:vAlign w:val="bottom"/>
            <w:hideMark/>
          </w:tcPr>
          <w:p w14:paraId="590288EC" w14:textId="77777777" w:rsidR="00677577" w:rsidRPr="003A7C61" w:rsidRDefault="00677577" w:rsidP="00C63BBE">
            <w:pPr>
              <w:spacing w:after="0" w:line="240" w:lineRule="auto"/>
              <w:jc w:val="right"/>
              <w:rPr>
                <w:sz w:val="20"/>
                <w:szCs w:val="20"/>
              </w:rPr>
            </w:pPr>
            <w:r w:rsidRPr="003A7C61">
              <w:rPr>
                <w:sz w:val="20"/>
                <w:szCs w:val="20"/>
              </w:rPr>
              <w:t>2.3%</w:t>
            </w:r>
          </w:p>
        </w:tc>
        <w:tc>
          <w:tcPr>
            <w:tcW w:w="1105" w:type="dxa"/>
            <w:tcBorders>
              <w:top w:val="nil"/>
              <w:left w:val="nil"/>
              <w:bottom w:val="nil"/>
              <w:right w:val="single" w:sz="4" w:space="0" w:color="auto"/>
            </w:tcBorders>
            <w:noWrap/>
            <w:vAlign w:val="bottom"/>
            <w:hideMark/>
          </w:tcPr>
          <w:p w14:paraId="514BBC0C" w14:textId="77777777" w:rsidR="00677577" w:rsidRPr="003A7C61" w:rsidRDefault="00677577" w:rsidP="00C63BBE">
            <w:pPr>
              <w:spacing w:after="0" w:line="240" w:lineRule="auto"/>
              <w:jc w:val="right"/>
              <w:rPr>
                <w:sz w:val="20"/>
                <w:szCs w:val="20"/>
              </w:rPr>
            </w:pPr>
            <w:r w:rsidRPr="003A7C61">
              <w:rPr>
                <w:sz w:val="20"/>
                <w:szCs w:val="20"/>
              </w:rPr>
              <w:t>1.5%</w:t>
            </w:r>
          </w:p>
        </w:tc>
      </w:tr>
      <w:tr w:rsidR="00677577" w:rsidRPr="00167CB8" w14:paraId="459F0C1C" w14:textId="77777777">
        <w:trPr>
          <w:trHeight w:val="343"/>
        </w:trPr>
        <w:tc>
          <w:tcPr>
            <w:tcW w:w="3397" w:type="dxa"/>
            <w:tcBorders>
              <w:top w:val="nil"/>
              <w:left w:val="single" w:sz="4" w:space="0" w:color="auto"/>
              <w:bottom w:val="nil"/>
              <w:right w:val="nil"/>
            </w:tcBorders>
            <w:noWrap/>
            <w:vAlign w:val="bottom"/>
            <w:hideMark/>
          </w:tcPr>
          <w:p w14:paraId="1D368CBF" w14:textId="77777777" w:rsidR="00677577" w:rsidRPr="003A7C61" w:rsidRDefault="00677577">
            <w:pPr>
              <w:spacing w:after="0" w:line="240" w:lineRule="auto"/>
              <w:rPr>
                <w:sz w:val="20"/>
                <w:szCs w:val="20"/>
              </w:rPr>
            </w:pPr>
            <w:r w:rsidRPr="003A7C61">
              <w:rPr>
                <w:sz w:val="20"/>
                <w:szCs w:val="20"/>
              </w:rPr>
              <w:t>Retail trade</w:t>
            </w:r>
          </w:p>
        </w:tc>
        <w:tc>
          <w:tcPr>
            <w:tcW w:w="1033" w:type="dxa"/>
            <w:tcBorders>
              <w:top w:val="nil"/>
              <w:left w:val="nil"/>
              <w:bottom w:val="nil"/>
              <w:right w:val="nil"/>
            </w:tcBorders>
            <w:noWrap/>
            <w:vAlign w:val="bottom"/>
            <w:hideMark/>
          </w:tcPr>
          <w:p w14:paraId="50C23E86" w14:textId="77777777" w:rsidR="00677577" w:rsidRPr="003A7C61" w:rsidRDefault="00677577" w:rsidP="00C63BBE">
            <w:pPr>
              <w:spacing w:after="0" w:line="240" w:lineRule="auto"/>
              <w:jc w:val="right"/>
              <w:rPr>
                <w:sz w:val="20"/>
                <w:szCs w:val="20"/>
              </w:rPr>
            </w:pPr>
            <w:r w:rsidRPr="003A7C61">
              <w:rPr>
                <w:sz w:val="20"/>
                <w:szCs w:val="20"/>
              </w:rPr>
              <w:t>7.7%</w:t>
            </w:r>
          </w:p>
        </w:tc>
        <w:tc>
          <w:tcPr>
            <w:tcW w:w="928" w:type="dxa"/>
            <w:tcBorders>
              <w:top w:val="nil"/>
              <w:left w:val="nil"/>
              <w:bottom w:val="nil"/>
              <w:right w:val="nil"/>
            </w:tcBorders>
            <w:noWrap/>
            <w:vAlign w:val="bottom"/>
            <w:hideMark/>
          </w:tcPr>
          <w:p w14:paraId="46E56AEE" w14:textId="77777777" w:rsidR="00677577" w:rsidRPr="003A7C61" w:rsidRDefault="00677577" w:rsidP="00C63BBE">
            <w:pPr>
              <w:spacing w:after="0" w:line="240" w:lineRule="auto"/>
              <w:jc w:val="right"/>
              <w:rPr>
                <w:sz w:val="20"/>
                <w:szCs w:val="20"/>
              </w:rPr>
            </w:pPr>
            <w:r w:rsidRPr="003A7C61">
              <w:rPr>
                <w:sz w:val="20"/>
                <w:szCs w:val="20"/>
              </w:rPr>
              <w:t>7.5%</w:t>
            </w:r>
          </w:p>
        </w:tc>
        <w:tc>
          <w:tcPr>
            <w:tcW w:w="860" w:type="dxa"/>
            <w:tcBorders>
              <w:top w:val="nil"/>
              <w:left w:val="nil"/>
              <w:bottom w:val="nil"/>
              <w:right w:val="nil"/>
            </w:tcBorders>
            <w:noWrap/>
            <w:vAlign w:val="bottom"/>
            <w:hideMark/>
          </w:tcPr>
          <w:p w14:paraId="6A43F48A" w14:textId="77777777" w:rsidR="00677577" w:rsidRPr="003A7C61" w:rsidRDefault="00677577" w:rsidP="00C63BBE">
            <w:pPr>
              <w:spacing w:after="0" w:line="240" w:lineRule="auto"/>
              <w:jc w:val="right"/>
              <w:rPr>
                <w:sz w:val="20"/>
                <w:szCs w:val="20"/>
              </w:rPr>
            </w:pPr>
            <w:r w:rsidRPr="003A7C61">
              <w:rPr>
                <w:sz w:val="20"/>
                <w:szCs w:val="20"/>
              </w:rPr>
              <w:t>8.9%</w:t>
            </w:r>
          </w:p>
        </w:tc>
        <w:tc>
          <w:tcPr>
            <w:tcW w:w="860" w:type="dxa"/>
            <w:tcBorders>
              <w:top w:val="nil"/>
              <w:left w:val="nil"/>
              <w:bottom w:val="nil"/>
              <w:right w:val="nil"/>
            </w:tcBorders>
            <w:noWrap/>
            <w:vAlign w:val="bottom"/>
            <w:hideMark/>
          </w:tcPr>
          <w:p w14:paraId="4C09484B" w14:textId="77777777" w:rsidR="00677577" w:rsidRPr="003A7C61" w:rsidRDefault="00677577" w:rsidP="00C63BBE">
            <w:pPr>
              <w:spacing w:after="0" w:line="240" w:lineRule="auto"/>
              <w:jc w:val="right"/>
              <w:rPr>
                <w:sz w:val="20"/>
                <w:szCs w:val="20"/>
              </w:rPr>
            </w:pPr>
            <w:r w:rsidRPr="003A7C61">
              <w:rPr>
                <w:sz w:val="20"/>
                <w:szCs w:val="20"/>
              </w:rPr>
              <w:t>6.6%</w:t>
            </w:r>
          </w:p>
        </w:tc>
        <w:tc>
          <w:tcPr>
            <w:tcW w:w="1105" w:type="dxa"/>
            <w:tcBorders>
              <w:top w:val="nil"/>
              <w:left w:val="nil"/>
              <w:bottom w:val="nil"/>
              <w:right w:val="nil"/>
            </w:tcBorders>
            <w:noWrap/>
            <w:vAlign w:val="bottom"/>
            <w:hideMark/>
          </w:tcPr>
          <w:p w14:paraId="1B27503F" w14:textId="77777777" w:rsidR="00677577" w:rsidRPr="003A7C61" w:rsidRDefault="00677577" w:rsidP="00C63BBE">
            <w:pPr>
              <w:spacing w:after="0" w:line="240" w:lineRule="auto"/>
              <w:jc w:val="right"/>
              <w:rPr>
                <w:sz w:val="20"/>
                <w:szCs w:val="20"/>
              </w:rPr>
            </w:pPr>
            <w:r w:rsidRPr="003A7C61">
              <w:rPr>
                <w:sz w:val="20"/>
                <w:szCs w:val="20"/>
              </w:rPr>
              <w:t>16.3%</w:t>
            </w:r>
          </w:p>
        </w:tc>
        <w:tc>
          <w:tcPr>
            <w:tcW w:w="1105" w:type="dxa"/>
            <w:tcBorders>
              <w:top w:val="nil"/>
              <w:left w:val="nil"/>
              <w:bottom w:val="nil"/>
              <w:right w:val="single" w:sz="4" w:space="0" w:color="auto"/>
            </w:tcBorders>
            <w:noWrap/>
            <w:vAlign w:val="bottom"/>
            <w:hideMark/>
          </w:tcPr>
          <w:p w14:paraId="4E3E430C" w14:textId="77777777" w:rsidR="00677577" w:rsidRPr="003A7C61" w:rsidRDefault="00677577" w:rsidP="00C63BBE">
            <w:pPr>
              <w:spacing w:after="0" w:line="240" w:lineRule="auto"/>
              <w:jc w:val="right"/>
              <w:rPr>
                <w:sz w:val="20"/>
                <w:szCs w:val="20"/>
              </w:rPr>
            </w:pPr>
            <w:r w:rsidRPr="003A7C61">
              <w:rPr>
                <w:sz w:val="20"/>
                <w:szCs w:val="20"/>
              </w:rPr>
              <w:t>15.8%</w:t>
            </w:r>
          </w:p>
        </w:tc>
      </w:tr>
      <w:tr w:rsidR="00677577" w:rsidRPr="00167CB8" w14:paraId="058B1019" w14:textId="77777777">
        <w:trPr>
          <w:trHeight w:val="343"/>
        </w:trPr>
        <w:tc>
          <w:tcPr>
            <w:tcW w:w="3397" w:type="dxa"/>
            <w:tcBorders>
              <w:top w:val="nil"/>
              <w:left w:val="single" w:sz="4" w:space="0" w:color="auto"/>
              <w:bottom w:val="nil"/>
              <w:right w:val="nil"/>
            </w:tcBorders>
            <w:noWrap/>
            <w:vAlign w:val="bottom"/>
            <w:hideMark/>
          </w:tcPr>
          <w:p w14:paraId="01A06578" w14:textId="77777777" w:rsidR="00677577" w:rsidRPr="003A7C61" w:rsidRDefault="00677577">
            <w:pPr>
              <w:spacing w:after="0" w:line="240" w:lineRule="auto"/>
              <w:rPr>
                <w:sz w:val="20"/>
                <w:szCs w:val="20"/>
              </w:rPr>
            </w:pPr>
            <w:r w:rsidRPr="003A7C61">
              <w:rPr>
                <w:sz w:val="20"/>
                <w:szCs w:val="20"/>
              </w:rPr>
              <w:t>Accommodation and food services</w:t>
            </w:r>
          </w:p>
        </w:tc>
        <w:tc>
          <w:tcPr>
            <w:tcW w:w="1033" w:type="dxa"/>
            <w:tcBorders>
              <w:top w:val="nil"/>
              <w:left w:val="nil"/>
              <w:bottom w:val="nil"/>
              <w:right w:val="nil"/>
            </w:tcBorders>
            <w:noWrap/>
            <w:vAlign w:val="bottom"/>
            <w:hideMark/>
          </w:tcPr>
          <w:p w14:paraId="0161512A" w14:textId="77777777" w:rsidR="00677577" w:rsidRPr="003A7C61" w:rsidRDefault="00677577" w:rsidP="00C63BBE">
            <w:pPr>
              <w:spacing w:after="0" w:line="240" w:lineRule="auto"/>
              <w:jc w:val="right"/>
              <w:rPr>
                <w:sz w:val="20"/>
                <w:szCs w:val="20"/>
              </w:rPr>
            </w:pPr>
            <w:r w:rsidRPr="003A7C61">
              <w:rPr>
                <w:sz w:val="20"/>
                <w:szCs w:val="20"/>
              </w:rPr>
              <w:t>3.7%</w:t>
            </w:r>
          </w:p>
        </w:tc>
        <w:tc>
          <w:tcPr>
            <w:tcW w:w="928" w:type="dxa"/>
            <w:tcBorders>
              <w:top w:val="nil"/>
              <w:left w:val="nil"/>
              <w:bottom w:val="nil"/>
              <w:right w:val="nil"/>
            </w:tcBorders>
            <w:noWrap/>
            <w:vAlign w:val="bottom"/>
            <w:hideMark/>
          </w:tcPr>
          <w:p w14:paraId="0D735DF4" w14:textId="77777777" w:rsidR="00677577" w:rsidRPr="003A7C61" w:rsidRDefault="00677577" w:rsidP="00C63BBE">
            <w:pPr>
              <w:spacing w:after="0" w:line="240" w:lineRule="auto"/>
              <w:jc w:val="right"/>
              <w:rPr>
                <w:sz w:val="20"/>
                <w:szCs w:val="20"/>
              </w:rPr>
            </w:pPr>
            <w:r w:rsidRPr="003A7C61">
              <w:rPr>
                <w:sz w:val="20"/>
                <w:szCs w:val="20"/>
              </w:rPr>
              <w:t>3.0%</w:t>
            </w:r>
          </w:p>
        </w:tc>
        <w:tc>
          <w:tcPr>
            <w:tcW w:w="860" w:type="dxa"/>
            <w:tcBorders>
              <w:top w:val="nil"/>
              <w:left w:val="nil"/>
              <w:bottom w:val="nil"/>
              <w:right w:val="nil"/>
            </w:tcBorders>
            <w:noWrap/>
            <w:vAlign w:val="bottom"/>
            <w:hideMark/>
          </w:tcPr>
          <w:p w14:paraId="1DE80044" w14:textId="77777777" w:rsidR="00677577" w:rsidRPr="003A7C61" w:rsidRDefault="00677577" w:rsidP="00C63BBE">
            <w:pPr>
              <w:spacing w:after="0" w:line="240" w:lineRule="auto"/>
              <w:jc w:val="right"/>
              <w:rPr>
                <w:sz w:val="20"/>
                <w:szCs w:val="20"/>
              </w:rPr>
            </w:pPr>
            <w:r w:rsidRPr="003A7C61">
              <w:rPr>
                <w:sz w:val="20"/>
                <w:szCs w:val="20"/>
              </w:rPr>
              <w:t>5.6%</w:t>
            </w:r>
          </w:p>
        </w:tc>
        <w:tc>
          <w:tcPr>
            <w:tcW w:w="860" w:type="dxa"/>
            <w:tcBorders>
              <w:top w:val="nil"/>
              <w:left w:val="nil"/>
              <w:bottom w:val="nil"/>
              <w:right w:val="nil"/>
            </w:tcBorders>
            <w:noWrap/>
            <w:vAlign w:val="bottom"/>
            <w:hideMark/>
          </w:tcPr>
          <w:p w14:paraId="685EF8BF" w14:textId="77777777" w:rsidR="00677577" w:rsidRPr="003A7C61" w:rsidRDefault="00677577" w:rsidP="00C63BBE">
            <w:pPr>
              <w:spacing w:after="0" w:line="240" w:lineRule="auto"/>
              <w:jc w:val="right"/>
              <w:rPr>
                <w:sz w:val="20"/>
                <w:szCs w:val="20"/>
              </w:rPr>
            </w:pPr>
            <w:r w:rsidRPr="003A7C61">
              <w:rPr>
                <w:sz w:val="20"/>
                <w:szCs w:val="20"/>
              </w:rPr>
              <w:t>4.7%</w:t>
            </w:r>
          </w:p>
        </w:tc>
        <w:tc>
          <w:tcPr>
            <w:tcW w:w="1105" w:type="dxa"/>
            <w:tcBorders>
              <w:top w:val="nil"/>
              <w:left w:val="nil"/>
              <w:bottom w:val="nil"/>
              <w:right w:val="nil"/>
            </w:tcBorders>
            <w:noWrap/>
            <w:vAlign w:val="bottom"/>
            <w:hideMark/>
          </w:tcPr>
          <w:p w14:paraId="1E7996E3" w14:textId="77777777" w:rsidR="00677577" w:rsidRPr="003A7C61" w:rsidRDefault="00677577" w:rsidP="00C63BBE">
            <w:pPr>
              <w:spacing w:after="0" w:line="240" w:lineRule="auto"/>
              <w:jc w:val="right"/>
              <w:rPr>
                <w:sz w:val="20"/>
                <w:szCs w:val="20"/>
              </w:rPr>
            </w:pPr>
            <w:r w:rsidRPr="003A7C61">
              <w:rPr>
                <w:sz w:val="20"/>
                <w:szCs w:val="20"/>
              </w:rPr>
              <w:t>12.0%</w:t>
            </w:r>
          </w:p>
        </w:tc>
        <w:tc>
          <w:tcPr>
            <w:tcW w:w="1105" w:type="dxa"/>
            <w:tcBorders>
              <w:top w:val="nil"/>
              <w:left w:val="nil"/>
              <w:bottom w:val="nil"/>
              <w:right w:val="single" w:sz="4" w:space="0" w:color="auto"/>
            </w:tcBorders>
            <w:noWrap/>
            <w:vAlign w:val="bottom"/>
            <w:hideMark/>
          </w:tcPr>
          <w:p w14:paraId="399E3604" w14:textId="77777777" w:rsidR="00677577" w:rsidRPr="003A7C61" w:rsidRDefault="00677577" w:rsidP="00C63BBE">
            <w:pPr>
              <w:spacing w:after="0" w:line="240" w:lineRule="auto"/>
              <w:jc w:val="right"/>
              <w:rPr>
                <w:sz w:val="20"/>
                <w:szCs w:val="20"/>
              </w:rPr>
            </w:pPr>
            <w:r w:rsidRPr="003A7C61">
              <w:rPr>
                <w:sz w:val="20"/>
                <w:szCs w:val="20"/>
              </w:rPr>
              <w:t>15.6%</w:t>
            </w:r>
          </w:p>
        </w:tc>
      </w:tr>
      <w:tr w:rsidR="00677577" w:rsidRPr="00167CB8" w14:paraId="535C8FD3" w14:textId="77777777">
        <w:trPr>
          <w:trHeight w:val="343"/>
        </w:trPr>
        <w:tc>
          <w:tcPr>
            <w:tcW w:w="3397" w:type="dxa"/>
            <w:tcBorders>
              <w:top w:val="nil"/>
              <w:left w:val="single" w:sz="4" w:space="0" w:color="auto"/>
              <w:bottom w:val="nil"/>
              <w:right w:val="nil"/>
            </w:tcBorders>
            <w:noWrap/>
            <w:vAlign w:val="bottom"/>
            <w:hideMark/>
          </w:tcPr>
          <w:p w14:paraId="42F53DFD" w14:textId="77777777" w:rsidR="00677577" w:rsidRPr="003A7C61" w:rsidRDefault="00677577">
            <w:pPr>
              <w:spacing w:after="0" w:line="240" w:lineRule="auto"/>
              <w:rPr>
                <w:sz w:val="20"/>
                <w:szCs w:val="20"/>
              </w:rPr>
            </w:pPr>
            <w:r w:rsidRPr="003A7C61">
              <w:rPr>
                <w:sz w:val="20"/>
                <w:szCs w:val="20"/>
              </w:rPr>
              <w:t>Transport, postal and warehousing</w:t>
            </w:r>
          </w:p>
        </w:tc>
        <w:tc>
          <w:tcPr>
            <w:tcW w:w="1033" w:type="dxa"/>
            <w:tcBorders>
              <w:top w:val="nil"/>
              <w:left w:val="nil"/>
              <w:bottom w:val="nil"/>
              <w:right w:val="nil"/>
            </w:tcBorders>
            <w:noWrap/>
            <w:vAlign w:val="bottom"/>
            <w:hideMark/>
          </w:tcPr>
          <w:p w14:paraId="5557E182" w14:textId="77777777" w:rsidR="00677577" w:rsidRPr="003A7C61" w:rsidRDefault="00677577" w:rsidP="00C63BBE">
            <w:pPr>
              <w:spacing w:after="0" w:line="240" w:lineRule="auto"/>
              <w:jc w:val="right"/>
              <w:rPr>
                <w:sz w:val="20"/>
                <w:szCs w:val="20"/>
              </w:rPr>
            </w:pPr>
            <w:r w:rsidRPr="003A7C61">
              <w:rPr>
                <w:sz w:val="20"/>
                <w:szCs w:val="20"/>
              </w:rPr>
              <w:t>6.3%</w:t>
            </w:r>
          </w:p>
        </w:tc>
        <w:tc>
          <w:tcPr>
            <w:tcW w:w="928" w:type="dxa"/>
            <w:tcBorders>
              <w:top w:val="nil"/>
              <w:left w:val="nil"/>
              <w:bottom w:val="nil"/>
              <w:right w:val="nil"/>
            </w:tcBorders>
            <w:noWrap/>
            <w:vAlign w:val="bottom"/>
            <w:hideMark/>
          </w:tcPr>
          <w:p w14:paraId="277326D3" w14:textId="77777777" w:rsidR="00677577" w:rsidRPr="003A7C61" w:rsidRDefault="00677577" w:rsidP="00C63BBE">
            <w:pPr>
              <w:spacing w:after="0" w:line="240" w:lineRule="auto"/>
              <w:jc w:val="right"/>
              <w:rPr>
                <w:sz w:val="20"/>
                <w:szCs w:val="20"/>
              </w:rPr>
            </w:pPr>
            <w:r w:rsidRPr="003A7C61">
              <w:rPr>
                <w:sz w:val="20"/>
                <w:szCs w:val="20"/>
              </w:rPr>
              <w:t>5.8%</w:t>
            </w:r>
          </w:p>
        </w:tc>
        <w:tc>
          <w:tcPr>
            <w:tcW w:w="860" w:type="dxa"/>
            <w:tcBorders>
              <w:top w:val="nil"/>
              <w:left w:val="nil"/>
              <w:bottom w:val="nil"/>
              <w:right w:val="nil"/>
            </w:tcBorders>
            <w:noWrap/>
            <w:vAlign w:val="bottom"/>
            <w:hideMark/>
          </w:tcPr>
          <w:p w14:paraId="07A52407" w14:textId="77777777" w:rsidR="00677577" w:rsidRPr="003A7C61" w:rsidRDefault="00677577" w:rsidP="00C63BBE">
            <w:pPr>
              <w:spacing w:after="0" w:line="240" w:lineRule="auto"/>
              <w:jc w:val="right"/>
              <w:rPr>
                <w:sz w:val="20"/>
                <w:szCs w:val="20"/>
              </w:rPr>
            </w:pPr>
            <w:r w:rsidRPr="003A7C61">
              <w:rPr>
                <w:sz w:val="20"/>
                <w:szCs w:val="20"/>
              </w:rPr>
              <w:t>3.9%</w:t>
            </w:r>
          </w:p>
        </w:tc>
        <w:tc>
          <w:tcPr>
            <w:tcW w:w="860" w:type="dxa"/>
            <w:tcBorders>
              <w:top w:val="nil"/>
              <w:left w:val="nil"/>
              <w:bottom w:val="nil"/>
              <w:right w:val="nil"/>
            </w:tcBorders>
            <w:noWrap/>
            <w:vAlign w:val="bottom"/>
            <w:hideMark/>
          </w:tcPr>
          <w:p w14:paraId="6563DCEF" w14:textId="77777777" w:rsidR="00677577" w:rsidRPr="003A7C61" w:rsidRDefault="00677577" w:rsidP="00C63BBE">
            <w:pPr>
              <w:spacing w:after="0" w:line="240" w:lineRule="auto"/>
              <w:jc w:val="right"/>
              <w:rPr>
                <w:sz w:val="20"/>
                <w:szCs w:val="20"/>
              </w:rPr>
            </w:pPr>
            <w:r w:rsidRPr="003A7C61">
              <w:rPr>
                <w:sz w:val="20"/>
                <w:szCs w:val="20"/>
              </w:rPr>
              <w:t>3.4%</w:t>
            </w:r>
          </w:p>
        </w:tc>
        <w:tc>
          <w:tcPr>
            <w:tcW w:w="1105" w:type="dxa"/>
            <w:tcBorders>
              <w:top w:val="nil"/>
              <w:left w:val="nil"/>
              <w:bottom w:val="nil"/>
              <w:right w:val="nil"/>
            </w:tcBorders>
            <w:noWrap/>
            <w:vAlign w:val="bottom"/>
            <w:hideMark/>
          </w:tcPr>
          <w:p w14:paraId="431FA619" w14:textId="77777777" w:rsidR="00677577" w:rsidRPr="003A7C61" w:rsidRDefault="00677577" w:rsidP="00C63BBE">
            <w:pPr>
              <w:spacing w:after="0" w:line="240" w:lineRule="auto"/>
              <w:jc w:val="right"/>
              <w:rPr>
                <w:sz w:val="20"/>
                <w:szCs w:val="20"/>
              </w:rPr>
            </w:pPr>
            <w:r w:rsidRPr="003A7C61">
              <w:rPr>
                <w:sz w:val="20"/>
                <w:szCs w:val="20"/>
              </w:rPr>
              <w:t>4.6%</w:t>
            </w:r>
          </w:p>
        </w:tc>
        <w:tc>
          <w:tcPr>
            <w:tcW w:w="1105" w:type="dxa"/>
            <w:tcBorders>
              <w:top w:val="nil"/>
              <w:left w:val="nil"/>
              <w:bottom w:val="nil"/>
              <w:right w:val="single" w:sz="4" w:space="0" w:color="auto"/>
            </w:tcBorders>
            <w:noWrap/>
            <w:vAlign w:val="bottom"/>
            <w:hideMark/>
          </w:tcPr>
          <w:p w14:paraId="3033EECA" w14:textId="77777777" w:rsidR="00677577" w:rsidRPr="003A7C61" w:rsidRDefault="00677577" w:rsidP="00C63BBE">
            <w:pPr>
              <w:spacing w:after="0" w:line="240" w:lineRule="auto"/>
              <w:jc w:val="right"/>
              <w:rPr>
                <w:sz w:val="20"/>
                <w:szCs w:val="20"/>
              </w:rPr>
            </w:pPr>
            <w:r w:rsidRPr="003A7C61">
              <w:rPr>
                <w:sz w:val="20"/>
                <w:szCs w:val="20"/>
              </w:rPr>
              <w:t>4.4%</w:t>
            </w:r>
          </w:p>
        </w:tc>
      </w:tr>
      <w:tr w:rsidR="00677577" w:rsidRPr="00167CB8" w14:paraId="66DD13D4" w14:textId="77777777">
        <w:trPr>
          <w:trHeight w:val="343"/>
        </w:trPr>
        <w:tc>
          <w:tcPr>
            <w:tcW w:w="3397" w:type="dxa"/>
            <w:tcBorders>
              <w:top w:val="nil"/>
              <w:left w:val="single" w:sz="4" w:space="0" w:color="auto"/>
              <w:bottom w:val="nil"/>
              <w:right w:val="nil"/>
            </w:tcBorders>
            <w:noWrap/>
            <w:vAlign w:val="bottom"/>
            <w:hideMark/>
          </w:tcPr>
          <w:p w14:paraId="210686B1" w14:textId="77777777" w:rsidR="00677577" w:rsidRPr="003A7C61" w:rsidRDefault="00677577">
            <w:pPr>
              <w:spacing w:after="0" w:line="240" w:lineRule="auto"/>
              <w:rPr>
                <w:sz w:val="20"/>
                <w:szCs w:val="20"/>
              </w:rPr>
            </w:pPr>
            <w:r w:rsidRPr="003A7C61">
              <w:rPr>
                <w:sz w:val="20"/>
                <w:szCs w:val="20"/>
              </w:rPr>
              <w:t>Information media and telecommunications</w:t>
            </w:r>
          </w:p>
        </w:tc>
        <w:tc>
          <w:tcPr>
            <w:tcW w:w="1033" w:type="dxa"/>
            <w:tcBorders>
              <w:top w:val="nil"/>
              <w:left w:val="nil"/>
              <w:bottom w:val="nil"/>
              <w:right w:val="nil"/>
            </w:tcBorders>
            <w:noWrap/>
            <w:vAlign w:val="bottom"/>
            <w:hideMark/>
          </w:tcPr>
          <w:p w14:paraId="126A0381" w14:textId="77777777" w:rsidR="00677577" w:rsidRPr="003A7C61" w:rsidRDefault="00677577" w:rsidP="00C63BBE">
            <w:pPr>
              <w:spacing w:after="0" w:line="240" w:lineRule="auto"/>
              <w:jc w:val="right"/>
              <w:rPr>
                <w:sz w:val="20"/>
                <w:szCs w:val="20"/>
              </w:rPr>
            </w:pPr>
            <w:r w:rsidRPr="003A7C61">
              <w:rPr>
                <w:sz w:val="20"/>
                <w:szCs w:val="20"/>
              </w:rPr>
              <w:t>1.8%</w:t>
            </w:r>
          </w:p>
        </w:tc>
        <w:tc>
          <w:tcPr>
            <w:tcW w:w="928" w:type="dxa"/>
            <w:tcBorders>
              <w:top w:val="nil"/>
              <w:left w:val="nil"/>
              <w:bottom w:val="nil"/>
              <w:right w:val="nil"/>
            </w:tcBorders>
            <w:noWrap/>
            <w:vAlign w:val="bottom"/>
            <w:hideMark/>
          </w:tcPr>
          <w:p w14:paraId="08151F1E" w14:textId="77777777" w:rsidR="00677577" w:rsidRPr="003A7C61" w:rsidRDefault="00677577" w:rsidP="00C63BBE">
            <w:pPr>
              <w:spacing w:after="0" w:line="240" w:lineRule="auto"/>
              <w:jc w:val="right"/>
              <w:rPr>
                <w:sz w:val="20"/>
                <w:szCs w:val="20"/>
              </w:rPr>
            </w:pPr>
            <w:r w:rsidRPr="003A7C61">
              <w:rPr>
                <w:sz w:val="20"/>
                <w:szCs w:val="20"/>
              </w:rPr>
              <w:t>1.7%</w:t>
            </w:r>
          </w:p>
        </w:tc>
        <w:tc>
          <w:tcPr>
            <w:tcW w:w="860" w:type="dxa"/>
            <w:tcBorders>
              <w:top w:val="nil"/>
              <w:left w:val="nil"/>
              <w:bottom w:val="nil"/>
              <w:right w:val="nil"/>
            </w:tcBorders>
            <w:noWrap/>
            <w:vAlign w:val="bottom"/>
            <w:hideMark/>
          </w:tcPr>
          <w:p w14:paraId="2D577EAB" w14:textId="77777777" w:rsidR="00677577" w:rsidRPr="003A7C61" w:rsidRDefault="00677577" w:rsidP="00C63BBE">
            <w:pPr>
              <w:spacing w:after="0" w:line="240" w:lineRule="auto"/>
              <w:jc w:val="right"/>
              <w:rPr>
                <w:sz w:val="20"/>
                <w:szCs w:val="20"/>
              </w:rPr>
            </w:pPr>
            <w:r w:rsidRPr="003A7C61">
              <w:rPr>
                <w:sz w:val="20"/>
                <w:szCs w:val="20"/>
              </w:rPr>
              <w:t>3.4%</w:t>
            </w:r>
          </w:p>
        </w:tc>
        <w:tc>
          <w:tcPr>
            <w:tcW w:w="860" w:type="dxa"/>
            <w:tcBorders>
              <w:top w:val="nil"/>
              <w:left w:val="nil"/>
              <w:bottom w:val="nil"/>
              <w:right w:val="nil"/>
            </w:tcBorders>
            <w:noWrap/>
            <w:vAlign w:val="bottom"/>
            <w:hideMark/>
          </w:tcPr>
          <w:p w14:paraId="10A32583" w14:textId="77777777" w:rsidR="00677577" w:rsidRPr="003A7C61" w:rsidRDefault="00677577" w:rsidP="00C63BBE">
            <w:pPr>
              <w:spacing w:after="0" w:line="240" w:lineRule="auto"/>
              <w:jc w:val="right"/>
              <w:rPr>
                <w:sz w:val="20"/>
                <w:szCs w:val="20"/>
              </w:rPr>
            </w:pPr>
            <w:r w:rsidRPr="003A7C61">
              <w:rPr>
                <w:sz w:val="20"/>
                <w:szCs w:val="20"/>
              </w:rPr>
              <w:t>1.3%</w:t>
            </w:r>
          </w:p>
        </w:tc>
        <w:tc>
          <w:tcPr>
            <w:tcW w:w="1105" w:type="dxa"/>
            <w:tcBorders>
              <w:top w:val="nil"/>
              <w:left w:val="nil"/>
              <w:bottom w:val="nil"/>
              <w:right w:val="nil"/>
            </w:tcBorders>
            <w:noWrap/>
            <w:vAlign w:val="bottom"/>
            <w:hideMark/>
          </w:tcPr>
          <w:p w14:paraId="5DE2DFB1" w14:textId="77777777" w:rsidR="00677577" w:rsidRPr="003A7C61" w:rsidRDefault="00677577" w:rsidP="00C63BBE">
            <w:pPr>
              <w:spacing w:after="0" w:line="240" w:lineRule="auto"/>
              <w:jc w:val="right"/>
              <w:rPr>
                <w:sz w:val="20"/>
                <w:szCs w:val="20"/>
              </w:rPr>
            </w:pPr>
            <w:r w:rsidRPr="003A7C61">
              <w:rPr>
                <w:sz w:val="20"/>
                <w:szCs w:val="20"/>
              </w:rPr>
              <w:t>0.7%</w:t>
            </w:r>
          </w:p>
        </w:tc>
        <w:tc>
          <w:tcPr>
            <w:tcW w:w="1105" w:type="dxa"/>
            <w:tcBorders>
              <w:top w:val="nil"/>
              <w:left w:val="nil"/>
              <w:bottom w:val="nil"/>
              <w:right w:val="single" w:sz="4" w:space="0" w:color="auto"/>
            </w:tcBorders>
            <w:noWrap/>
            <w:vAlign w:val="bottom"/>
            <w:hideMark/>
          </w:tcPr>
          <w:p w14:paraId="63AC5F9E" w14:textId="77777777" w:rsidR="00677577" w:rsidRPr="003A7C61" w:rsidRDefault="00677577" w:rsidP="00C63BBE">
            <w:pPr>
              <w:spacing w:after="0" w:line="240" w:lineRule="auto"/>
              <w:jc w:val="right"/>
              <w:rPr>
                <w:sz w:val="20"/>
                <w:szCs w:val="20"/>
              </w:rPr>
            </w:pPr>
            <w:r w:rsidRPr="003A7C61">
              <w:rPr>
                <w:sz w:val="20"/>
                <w:szCs w:val="20"/>
              </w:rPr>
              <w:t>0.4%</w:t>
            </w:r>
          </w:p>
        </w:tc>
      </w:tr>
      <w:tr w:rsidR="00677577" w:rsidRPr="00167CB8" w14:paraId="31EC4D01" w14:textId="77777777">
        <w:trPr>
          <w:trHeight w:val="343"/>
        </w:trPr>
        <w:tc>
          <w:tcPr>
            <w:tcW w:w="3397" w:type="dxa"/>
            <w:tcBorders>
              <w:top w:val="nil"/>
              <w:left w:val="single" w:sz="4" w:space="0" w:color="auto"/>
              <w:bottom w:val="nil"/>
              <w:right w:val="nil"/>
            </w:tcBorders>
            <w:noWrap/>
            <w:vAlign w:val="bottom"/>
            <w:hideMark/>
          </w:tcPr>
          <w:p w14:paraId="4A4E8747" w14:textId="77777777" w:rsidR="00677577" w:rsidRPr="003A7C61" w:rsidRDefault="00677577">
            <w:pPr>
              <w:spacing w:after="0" w:line="240" w:lineRule="auto"/>
              <w:rPr>
                <w:sz w:val="20"/>
                <w:szCs w:val="20"/>
              </w:rPr>
            </w:pPr>
            <w:r w:rsidRPr="003A7C61">
              <w:rPr>
                <w:sz w:val="20"/>
                <w:szCs w:val="20"/>
              </w:rPr>
              <w:t>Financial and insurance services</w:t>
            </w:r>
          </w:p>
        </w:tc>
        <w:tc>
          <w:tcPr>
            <w:tcW w:w="1033" w:type="dxa"/>
            <w:tcBorders>
              <w:top w:val="nil"/>
              <w:left w:val="nil"/>
              <w:bottom w:val="nil"/>
              <w:right w:val="nil"/>
            </w:tcBorders>
            <w:noWrap/>
            <w:vAlign w:val="bottom"/>
            <w:hideMark/>
          </w:tcPr>
          <w:p w14:paraId="41A891C6" w14:textId="77777777" w:rsidR="00677577" w:rsidRPr="003A7C61" w:rsidRDefault="00677577" w:rsidP="00C63BBE">
            <w:pPr>
              <w:spacing w:after="0" w:line="240" w:lineRule="auto"/>
              <w:jc w:val="right"/>
              <w:rPr>
                <w:sz w:val="20"/>
                <w:szCs w:val="20"/>
              </w:rPr>
            </w:pPr>
            <w:r w:rsidRPr="003A7C61">
              <w:rPr>
                <w:sz w:val="20"/>
                <w:szCs w:val="20"/>
              </w:rPr>
              <w:t>3.8%</w:t>
            </w:r>
          </w:p>
        </w:tc>
        <w:tc>
          <w:tcPr>
            <w:tcW w:w="928" w:type="dxa"/>
            <w:tcBorders>
              <w:top w:val="nil"/>
              <w:left w:val="nil"/>
              <w:bottom w:val="nil"/>
              <w:right w:val="nil"/>
            </w:tcBorders>
            <w:noWrap/>
            <w:vAlign w:val="bottom"/>
            <w:hideMark/>
          </w:tcPr>
          <w:p w14:paraId="7AED30BE" w14:textId="77777777" w:rsidR="00677577" w:rsidRPr="003A7C61" w:rsidRDefault="00677577" w:rsidP="00C63BBE">
            <w:pPr>
              <w:spacing w:after="0" w:line="240" w:lineRule="auto"/>
              <w:jc w:val="right"/>
              <w:rPr>
                <w:sz w:val="20"/>
                <w:szCs w:val="20"/>
              </w:rPr>
            </w:pPr>
            <w:r w:rsidRPr="003A7C61">
              <w:rPr>
                <w:sz w:val="20"/>
                <w:szCs w:val="20"/>
              </w:rPr>
              <w:t>5.4%</w:t>
            </w:r>
          </w:p>
        </w:tc>
        <w:tc>
          <w:tcPr>
            <w:tcW w:w="860" w:type="dxa"/>
            <w:tcBorders>
              <w:top w:val="nil"/>
              <w:left w:val="nil"/>
              <w:bottom w:val="nil"/>
              <w:right w:val="nil"/>
            </w:tcBorders>
            <w:noWrap/>
            <w:vAlign w:val="bottom"/>
            <w:hideMark/>
          </w:tcPr>
          <w:p w14:paraId="7873E4BA" w14:textId="77777777" w:rsidR="00677577" w:rsidRPr="003A7C61" w:rsidRDefault="00677577" w:rsidP="00C63BBE">
            <w:pPr>
              <w:spacing w:after="0" w:line="240" w:lineRule="auto"/>
              <w:jc w:val="right"/>
              <w:rPr>
                <w:sz w:val="20"/>
                <w:szCs w:val="20"/>
              </w:rPr>
            </w:pPr>
            <w:r w:rsidRPr="003A7C61">
              <w:rPr>
                <w:sz w:val="20"/>
                <w:szCs w:val="20"/>
              </w:rPr>
              <w:t>6.5%</w:t>
            </w:r>
          </w:p>
        </w:tc>
        <w:tc>
          <w:tcPr>
            <w:tcW w:w="860" w:type="dxa"/>
            <w:tcBorders>
              <w:top w:val="nil"/>
              <w:left w:val="nil"/>
              <w:bottom w:val="nil"/>
              <w:right w:val="nil"/>
            </w:tcBorders>
            <w:noWrap/>
            <w:vAlign w:val="bottom"/>
            <w:hideMark/>
          </w:tcPr>
          <w:p w14:paraId="111AAF94" w14:textId="77777777" w:rsidR="00677577" w:rsidRPr="003A7C61" w:rsidRDefault="00677577" w:rsidP="00C63BBE">
            <w:pPr>
              <w:spacing w:after="0" w:line="240" w:lineRule="auto"/>
              <w:jc w:val="right"/>
              <w:rPr>
                <w:sz w:val="20"/>
                <w:szCs w:val="20"/>
              </w:rPr>
            </w:pPr>
            <w:r w:rsidRPr="003A7C61">
              <w:rPr>
                <w:sz w:val="20"/>
                <w:szCs w:val="20"/>
              </w:rPr>
              <w:t>5.9%</w:t>
            </w:r>
          </w:p>
        </w:tc>
        <w:tc>
          <w:tcPr>
            <w:tcW w:w="1105" w:type="dxa"/>
            <w:tcBorders>
              <w:top w:val="nil"/>
              <w:left w:val="nil"/>
              <w:bottom w:val="nil"/>
              <w:right w:val="nil"/>
            </w:tcBorders>
            <w:noWrap/>
            <w:vAlign w:val="bottom"/>
            <w:hideMark/>
          </w:tcPr>
          <w:p w14:paraId="47CE8BEB" w14:textId="77777777" w:rsidR="00677577" w:rsidRPr="003A7C61" w:rsidRDefault="00677577" w:rsidP="00C63BBE">
            <w:pPr>
              <w:spacing w:after="0" w:line="240" w:lineRule="auto"/>
              <w:jc w:val="right"/>
              <w:rPr>
                <w:sz w:val="20"/>
                <w:szCs w:val="20"/>
              </w:rPr>
            </w:pPr>
            <w:r w:rsidRPr="003A7C61">
              <w:rPr>
                <w:sz w:val="20"/>
                <w:szCs w:val="20"/>
              </w:rPr>
              <w:t>0.8%</w:t>
            </w:r>
          </w:p>
        </w:tc>
        <w:tc>
          <w:tcPr>
            <w:tcW w:w="1105" w:type="dxa"/>
            <w:tcBorders>
              <w:top w:val="nil"/>
              <w:left w:val="nil"/>
              <w:bottom w:val="nil"/>
              <w:right w:val="single" w:sz="4" w:space="0" w:color="auto"/>
            </w:tcBorders>
            <w:noWrap/>
            <w:vAlign w:val="bottom"/>
            <w:hideMark/>
          </w:tcPr>
          <w:p w14:paraId="59DA9754" w14:textId="77777777" w:rsidR="00677577" w:rsidRPr="003A7C61" w:rsidRDefault="00677577" w:rsidP="00C63BBE">
            <w:pPr>
              <w:spacing w:after="0" w:line="240" w:lineRule="auto"/>
              <w:jc w:val="right"/>
              <w:rPr>
                <w:sz w:val="20"/>
                <w:szCs w:val="20"/>
              </w:rPr>
            </w:pPr>
            <w:r w:rsidRPr="003A7C61">
              <w:rPr>
                <w:sz w:val="20"/>
                <w:szCs w:val="20"/>
              </w:rPr>
              <w:t>0.8%</w:t>
            </w:r>
          </w:p>
        </w:tc>
      </w:tr>
      <w:tr w:rsidR="00677577" w:rsidRPr="00167CB8" w14:paraId="101B5EF3" w14:textId="77777777">
        <w:trPr>
          <w:trHeight w:val="343"/>
        </w:trPr>
        <w:tc>
          <w:tcPr>
            <w:tcW w:w="3397" w:type="dxa"/>
            <w:tcBorders>
              <w:top w:val="nil"/>
              <w:left w:val="single" w:sz="4" w:space="0" w:color="auto"/>
              <w:bottom w:val="nil"/>
              <w:right w:val="nil"/>
            </w:tcBorders>
            <w:noWrap/>
            <w:vAlign w:val="bottom"/>
            <w:hideMark/>
          </w:tcPr>
          <w:p w14:paraId="5152F0E2" w14:textId="77777777" w:rsidR="00677577" w:rsidRPr="003A7C61" w:rsidRDefault="00677577">
            <w:pPr>
              <w:spacing w:after="0" w:line="240" w:lineRule="auto"/>
              <w:rPr>
                <w:sz w:val="20"/>
                <w:szCs w:val="20"/>
              </w:rPr>
            </w:pPr>
            <w:r w:rsidRPr="003A7C61">
              <w:rPr>
                <w:sz w:val="20"/>
                <w:szCs w:val="20"/>
              </w:rPr>
              <w:t>Rental, hiring and real estate services</w:t>
            </w:r>
          </w:p>
        </w:tc>
        <w:tc>
          <w:tcPr>
            <w:tcW w:w="1033" w:type="dxa"/>
            <w:tcBorders>
              <w:top w:val="nil"/>
              <w:left w:val="nil"/>
              <w:bottom w:val="nil"/>
              <w:right w:val="nil"/>
            </w:tcBorders>
            <w:noWrap/>
            <w:vAlign w:val="bottom"/>
            <w:hideMark/>
          </w:tcPr>
          <w:p w14:paraId="75EFFFEA" w14:textId="77777777" w:rsidR="00677577" w:rsidRPr="003A7C61" w:rsidRDefault="00677577" w:rsidP="00C63BBE">
            <w:pPr>
              <w:spacing w:after="0" w:line="240" w:lineRule="auto"/>
              <w:jc w:val="right"/>
              <w:rPr>
                <w:sz w:val="20"/>
                <w:szCs w:val="20"/>
              </w:rPr>
            </w:pPr>
            <w:r w:rsidRPr="003A7C61">
              <w:rPr>
                <w:sz w:val="20"/>
                <w:szCs w:val="20"/>
              </w:rPr>
              <w:t>0.4%</w:t>
            </w:r>
          </w:p>
        </w:tc>
        <w:tc>
          <w:tcPr>
            <w:tcW w:w="928" w:type="dxa"/>
            <w:tcBorders>
              <w:top w:val="nil"/>
              <w:left w:val="nil"/>
              <w:bottom w:val="nil"/>
              <w:right w:val="nil"/>
            </w:tcBorders>
            <w:noWrap/>
            <w:vAlign w:val="bottom"/>
            <w:hideMark/>
          </w:tcPr>
          <w:p w14:paraId="1339B0D7" w14:textId="77777777" w:rsidR="00677577" w:rsidRPr="003A7C61" w:rsidRDefault="00677577" w:rsidP="00C63BBE">
            <w:pPr>
              <w:spacing w:after="0" w:line="240" w:lineRule="auto"/>
              <w:jc w:val="right"/>
              <w:rPr>
                <w:sz w:val="20"/>
                <w:szCs w:val="20"/>
              </w:rPr>
            </w:pPr>
            <w:r w:rsidRPr="003A7C61">
              <w:rPr>
                <w:sz w:val="20"/>
                <w:szCs w:val="20"/>
              </w:rPr>
              <w:t>0.3%</w:t>
            </w:r>
          </w:p>
        </w:tc>
        <w:tc>
          <w:tcPr>
            <w:tcW w:w="860" w:type="dxa"/>
            <w:tcBorders>
              <w:top w:val="nil"/>
              <w:left w:val="nil"/>
              <w:bottom w:val="nil"/>
              <w:right w:val="nil"/>
            </w:tcBorders>
            <w:noWrap/>
            <w:vAlign w:val="bottom"/>
            <w:hideMark/>
          </w:tcPr>
          <w:p w14:paraId="2741F343" w14:textId="77777777" w:rsidR="00677577" w:rsidRPr="003A7C61" w:rsidRDefault="00677577" w:rsidP="00C63BBE">
            <w:pPr>
              <w:spacing w:after="0" w:line="240" w:lineRule="auto"/>
              <w:jc w:val="right"/>
              <w:rPr>
                <w:sz w:val="20"/>
                <w:szCs w:val="20"/>
              </w:rPr>
            </w:pPr>
            <w:r w:rsidRPr="003A7C61">
              <w:rPr>
                <w:sz w:val="20"/>
                <w:szCs w:val="20"/>
              </w:rPr>
              <w:t>1.5%</w:t>
            </w:r>
          </w:p>
        </w:tc>
        <w:tc>
          <w:tcPr>
            <w:tcW w:w="860" w:type="dxa"/>
            <w:tcBorders>
              <w:top w:val="nil"/>
              <w:left w:val="nil"/>
              <w:bottom w:val="nil"/>
              <w:right w:val="nil"/>
            </w:tcBorders>
            <w:noWrap/>
            <w:vAlign w:val="bottom"/>
            <w:hideMark/>
          </w:tcPr>
          <w:p w14:paraId="281E0BF0" w14:textId="77777777" w:rsidR="00677577" w:rsidRPr="003A7C61" w:rsidRDefault="00677577" w:rsidP="00C63BBE">
            <w:pPr>
              <w:spacing w:after="0" w:line="240" w:lineRule="auto"/>
              <w:jc w:val="right"/>
              <w:rPr>
                <w:sz w:val="20"/>
                <w:szCs w:val="20"/>
              </w:rPr>
            </w:pPr>
            <w:r w:rsidRPr="003A7C61">
              <w:rPr>
                <w:sz w:val="20"/>
                <w:szCs w:val="20"/>
              </w:rPr>
              <w:t>1.8%</w:t>
            </w:r>
          </w:p>
        </w:tc>
        <w:tc>
          <w:tcPr>
            <w:tcW w:w="1105" w:type="dxa"/>
            <w:tcBorders>
              <w:top w:val="nil"/>
              <w:left w:val="nil"/>
              <w:bottom w:val="nil"/>
              <w:right w:val="nil"/>
            </w:tcBorders>
            <w:noWrap/>
            <w:vAlign w:val="bottom"/>
            <w:hideMark/>
          </w:tcPr>
          <w:p w14:paraId="23BCAB50" w14:textId="77777777" w:rsidR="00677577" w:rsidRPr="003A7C61" w:rsidRDefault="00677577" w:rsidP="00C63BBE">
            <w:pPr>
              <w:spacing w:after="0" w:line="240" w:lineRule="auto"/>
              <w:jc w:val="right"/>
              <w:rPr>
                <w:sz w:val="20"/>
                <w:szCs w:val="20"/>
              </w:rPr>
            </w:pPr>
            <w:r w:rsidRPr="003A7C61">
              <w:rPr>
                <w:sz w:val="20"/>
                <w:szCs w:val="20"/>
              </w:rPr>
              <w:t>1.0%</w:t>
            </w:r>
          </w:p>
        </w:tc>
        <w:tc>
          <w:tcPr>
            <w:tcW w:w="1105" w:type="dxa"/>
            <w:tcBorders>
              <w:top w:val="nil"/>
              <w:left w:val="nil"/>
              <w:bottom w:val="nil"/>
              <w:right w:val="single" w:sz="4" w:space="0" w:color="auto"/>
            </w:tcBorders>
            <w:noWrap/>
            <w:vAlign w:val="bottom"/>
            <w:hideMark/>
          </w:tcPr>
          <w:p w14:paraId="1804ED96" w14:textId="77777777" w:rsidR="00677577" w:rsidRPr="003A7C61" w:rsidRDefault="00677577" w:rsidP="00C63BBE">
            <w:pPr>
              <w:spacing w:after="0" w:line="240" w:lineRule="auto"/>
              <w:jc w:val="right"/>
              <w:rPr>
                <w:sz w:val="20"/>
                <w:szCs w:val="20"/>
              </w:rPr>
            </w:pPr>
            <w:r w:rsidRPr="003A7C61">
              <w:rPr>
                <w:sz w:val="20"/>
                <w:szCs w:val="20"/>
              </w:rPr>
              <w:t>0.5%</w:t>
            </w:r>
          </w:p>
        </w:tc>
      </w:tr>
      <w:tr w:rsidR="00677577" w:rsidRPr="00167CB8" w14:paraId="3B6AFCB4" w14:textId="77777777">
        <w:trPr>
          <w:trHeight w:val="343"/>
        </w:trPr>
        <w:tc>
          <w:tcPr>
            <w:tcW w:w="3397" w:type="dxa"/>
            <w:tcBorders>
              <w:top w:val="nil"/>
              <w:left w:val="single" w:sz="4" w:space="0" w:color="auto"/>
              <w:bottom w:val="nil"/>
              <w:right w:val="nil"/>
            </w:tcBorders>
            <w:noWrap/>
            <w:vAlign w:val="bottom"/>
            <w:hideMark/>
          </w:tcPr>
          <w:p w14:paraId="05164063" w14:textId="77777777" w:rsidR="00677577" w:rsidRPr="003A7C61" w:rsidRDefault="00677577">
            <w:pPr>
              <w:spacing w:after="0" w:line="240" w:lineRule="auto"/>
              <w:rPr>
                <w:sz w:val="20"/>
                <w:szCs w:val="20"/>
              </w:rPr>
            </w:pPr>
            <w:r w:rsidRPr="003A7C61">
              <w:rPr>
                <w:sz w:val="20"/>
                <w:szCs w:val="20"/>
              </w:rPr>
              <w:t>Professional, scientific and technical services</w:t>
            </w:r>
          </w:p>
        </w:tc>
        <w:tc>
          <w:tcPr>
            <w:tcW w:w="1033" w:type="dxa"/>
            <w:tcBorders>
              <w:top w:val="nil"/>
              <w:left w:val="nil"/>
              <w:bottom w:val="nil"/>
              <w:right w:val="nil"/>
            </w:tcBorders>
            <w:noWrap/>
            <w:vAlign w:val="bottom"/>
            <w:hideMark/>
          </w:tcPr>
          <w:p w14:paraId="41B0BA9B" w14:textId="77777777" w:rsidR="00677577" w:rsidRPr="003A7C61" w:rsidRDefault="00677577" w:rsidP="00C63BBE">
            <w:pPr>
              <w:spacing w:after="0" w:line="240" w:lineRule="auto"/>
              <w:jc w:val="right"/>
              <w:rPr>
                <w:sz w:val="20"/>
                <w:szCs w:val="20"/>
              </w:rPr>
            </w:pPr>
            <w:r w:rsidRPr="003A7C61">
              <w:rPr>
                <w:sz w:val="20"/>
                <w:szCs w:val="20"/>
              </w:rPr>
              <w:t>3.4%</w:t>
            </w:r>
          </w:p>
        </w:tc>
        <w:tc>
          <w:tcPr>
            <w:tcW w:w="928" w:type="dxa"/>
            <w:tcBorders>
              <w:top w:val="nil"/>
              <w:left w:val="nil"/>
              <w:bottom w:val="nil"/>
              <w:right w:val="nil"/>
            </w:tcBorders>
            <w:noWrap/>
            <w:vAlign w:val="bottom"/>
            <w:hideMark/>
          </w:tcPr>
          <w:p w14:paraId="33F39F55" w14:textId="77777777" w:rsidR="00677577" w:rsidRPr="003A7C61" w:rsidRDefault="00677577" w:rsidP="00C63BBE">
            <w:pPr>
              <w:spacing w:after="0" w:line="240" w:lineRule="auto"/>
              <w:jc w:val="right"/>
              <w:rPr>
                <w:sz w:val="20"/>
                <w:szCs w:val="20"/>
              </w:rPr>
            </w:pPr>
            <w:r w:rsidRPr="003A7C61">
              <w:rPr>
                <w:sz w:val="20"/>
                <w:szCs w:val="20"/>
              </w:rPr>
              <w:t>2.9%</w:t>
            </w:r>
          </w:p>
        </w:tc>
        <w:tc>
          <w:tcPr>
            <w:tcW w:w="860" w:type="dxa"/>
            <w:tcBorders>
              <w:top w:val="nil"/>
              <w:left w:val="nil"/>
              <w:bottom w:val="nil"/>
              <w:right w:val="nil"/>
            </w:tcBorders>
            <w:noWrap/>
            <w:vAlign w:val="bottom"/>
            <w:hideMark/>
          </w:tcPr>
          <w:p w14:paraId="24343D3F" w14:textId="77777777" w:rsidR="00677577" w:rsidRPr="003A7C61" w:rsidRDefault="00677577" w:rsidP="00C63BBE">
            <w:pPr>
              <w:spacing w:after="0" w:line="240" w:lineRule="auto"/>
              <w:jc w:val="right"/>
              <w:rPr>
                <w:sz w:val="20"/>
                <w:szCs w:val="20"/>
              </w:rPr>
            </w:pPr>
            <w:r w:rsidRPr="003A7C61">
              <w:rPr>
                <w:sz w:val="20"/>
                <w:szCs w:val="20"/>
              </w:rPr>
              <w:t>15.6%</w:t>
            </w:r>
          </w:p>
        </w:tc>
        <w:tc>
          <w:tcPr>
            <w:tcW w:w="860" w:type="dxa"/>
            <w:tcBorders>
              <w:top w:val="nil"/>
              <w:left w:val="nil"/>
              <w:bottom w:val="nil"/>
              <w:right w:val="nil"/>
            </w:tcBorders>
            <w:noWrap/>
            <w:vAlign w:val="bottom"/>
            <w:hideMark/>
          </w:tcPr>
          <w:p w14:paraId="031E6AAA" w14:textId="77777777" w:rsidR="00677577" w:rsidRPr="003A7C61" w:rsidRDefault="00677577" w:rsidP="00C63BBE">
            <w:pPr>
              <w:spacing w:after="0" w:line="240" w:lineRule="auto"/>
              <w:jc w:val="right"/>
              <w:rPr>
                <w:sz w:val="20"/>
                <w:szCs w:val="20"/>
              </w:rPr>
            </w:pPr>
            <w:r w:rsidRPr="003A7C61">
              <w:rPr>
                <w:sz w:val="20"/>
                <w:szCs w:val="20"/>
              </w:rPr>
              <w:t>14.9%</w:t>
            </w:r>
          </w:p>
        </w:tc>
        <w:tc>
          <w:tcPr>
            <w:tcW w:w="1105" w:type="dxa"/>
            <w:tcBorders>
              <w:top w:val="nil"/>
              <w:left w:val="nil"/>
              <w:bottom w:val="nil"/>
              <w:right w:val="nil"/>
            </w:tcBorders>
            <w:noWrap/>
            <w:vAlign w:val="bottom"/>
            <w:hideMark/>
          </w:tcPr>
          <w:p w14:paraId="40EEA7E4" w14:textId="77777777" w:rsidR="00677577" w:rsidRPr="003A7C61" w:rsidRDefault="00677577" w:rsidP="00C63BBE">
            <w:pPr>
              <w:spacing w:after="0" w:line="240" w:lineRule="auto"/>
              <w:jc w:val="right"/>
              <w:rPr>
                <w:sz w:val="20"/>
                <w:szCs w:val="20"/>
              </w:rPr>
            </w:pPr>
            <w:r w:rsidRPr="003A7C61">
              <w:rPr>
                <w:sz w:val="20"/>
                <w:szCs w:val="20"/>
              </w:rPr>
              <w:t>2.5%</w:t>
            </w:r>
          </w:p>
        </w:tc>
        <w:tc>
          <w:tcPr>
            <w:tcW w:w="1105" w:type="dxa"/>
            <w:tcBorders>
              <w:top w:val="nil"/>
              <w:left w:val="nil"/>
              <w:bottom w:val="nil"/>
              <w:right w:val="single" w:sz="4" w:space="0" w:color="auto"/>
            </w:tcBorders>
            <w:noWrap/>
            <w:vAlign w:val="bottom"/>
            <w:hideMark/>
          </w:tcPr>
          <w:p w14:paraId="1EABAF26" w14:textId="77777777" w:rsidR="00677577" w:rsidRPr="003A7C61" w:rsidRDefault="00677577" w:rsidP="00C63BBE">
            <w:pPr>
              <w:spacing w:after="0" w:line="240" w:lineRule="auto"/>
              <w:jc w:val="right"/>
              <w:rPr>
                <w:sz w:val="20"/>
                <w:szCs w:val="20"/>
              </w:rPr>
            </w:pPr>
            <w:r w:rsidRPr="003A7C61">
              <w:rPr>
                <w:sz w:val="20"/>
                <w:szCs w:val="20"/>
              </w:rPr>
              <w:t>2.4%</w:t>
            </w:r>
          </w:p>
        </w:tc>
      </w:tr>
      <w:tr w:rsidR="00677577" w:rsidRPr="00167CB8" w14:paraId="343E9FC7" w14:textId="77777777">
        <w:trPr>
          <w:trHeight w:val="343"/>
        </w:trPr>
        <w:tc>
          <w:tcPr>
            <w:tcW w:w="3397" w:type="dxa"/>
            <w:tcBorders>
              <w:top w:val="nil"/>
              <w:left w:val="single" w:sz="4" w:space="0" w:color="auto"/>
              <w:bottom w:val="nil"/>
              <w:right w:val="nil"/>
            </w:tcBorders>
            <w:noWrap/>
            <w:vAlign w:val="bottom"/>
            <w:hideMark/>
          </w:tcPr>
          <w:p w14:paraId="126D4C33" w14:textId="77777777" w:rsidR="00677577" w:rsidRPr="003A7C61" w:rsidRDefault="00677577">
            <w:pPr>
              <w:spacing w:after="0" w:line="240" w:lineRule="auto"/>
              <w:rPr>
                <w:sz w:val="20"/>
                <w:szCs w:val="20"/>
              </w:rPr>
            </w:pPr>
            <w:r w:rsidRPr="003A7C61">
              <w:rPr>
                <w:sz w:val="20"/>
                <w:szCs w:val="20"/>
              </w:rPr>
              <w:t>Administrative and support services</w:t>
            </w:r>
          </w:p>
        </w:tc>
        <w:tc>
          <w:tcPr>
            <w:tcW w:w="1033" w:type="dxa"/>
            <w:tcBorders>
              <w:top w:val="nil"/>
              <w:left w:val="nil"/>
              <w:bottom w:val="nil"/>
              <w:right w:val="nil"/>
            </w:tcBorders>
            <w:noWrap/>
            <w:vAlign w:val="bottom"/>
            <w:hideMark/>
          </w:tcPr>
          <w:p w14:paraId="06110CF5" w14:textId="77777777" w:rsidR="00677577" w:rsidRPr="003A7C61" w:rsidRDefault="00677577" w:rsidP="00C63BBE">
            <w:pPr>
              <w:spacing w:after="0" w:line="240" w:lineRule="auto"/>
              <w:jc w:val="right"/>
              <w:rPr>
                <w:sz w:val="20"/>
                <w:szCs w:val="20"/>
              </w:rPr>
            </w:pPr>
            <w:r w:rsidRPr="003A7C61">
              <w:rPr>
                <w:sz w:val="20"/>
                <w:szCs w:val="20"/>
              </w:rPr>
              <w:t>2.5%</w:t>
            </w:r>
          </w:p>
        </w:tc>
        <w:tc>
          <w:tcPr>
            <w:tcW w:w="928" w:type="dxa"/>
            <w:tcBorders>
              <w:top w:val="nil"/>
              <w:left w:val="nil"/>
              <w:bottom w:val="nil"/>
              <w:right w:val="nil"/>
            </w:tcBorders>
            <w:noWrap/>
            <w:vAlign w:val="bottom"/>
            <w:hideMark/>
          </w:tcPr>
          <w:p w14:paraId="572AD0F8" w14:textId="77777777" w:rsidR="00677577" w:rsidRPr="003A7C61" w:rsidRDefault="00677577" w:rsidP="00C63BBE">
            <w:pPr>
              <w:spacing w:after="0" w:line="240" w:lineRule="auto"/>
              <w:jc w:val="right"/>
              <w:rPr>
                <w:sz w:val="20"/>
                <w:szCs w:val="20"/>
              </w:rPr>
            </w:pPr>
            <w:r w:rsidRPr="003A7C61">
              <w:rPr>
                <w:sz w:val="20"/>
                <w:szCs w:val="20"/>
              </w:rPr>
              <w:t>1.2%</w:t>
            </w:r>
          </w:p>
        </w:tc>
        <w:tc>
          <w:tcPr>
            <w:tcW w:w="860" w:type="dxa"/>
            <w:tcBorders>
              <w:top w:val="nil"/>
              <w:left w:val="nil"/>
              <w:bottom w:val="nil"/>
              <w:right w:val="nil"/>
            </w:tcBorders>
            <w:noWrap/>
            <w:vAlign w:val="bottom"/>
            <w:hideMark/>
          </w:tcPr>
          <w:p w14:paraId="209F9C41" w14:textId="77777777" w:rsidR="00677577" w:rsidRPr="003A7C61" w:rsidRDefault="00677577" w:rsidP="00C63BBE">
            <w:pPr>
              <w:spacing w:after="0" w:line="240" w:lineRule="auto"/>
              <w:jc w:val="right"/>
              <w:rPr>
                <w:sz w:val="20"/>
                <w:szCs w:val="20"/>
              </w:rPr>
            </w:pPr>
            <w:r w:rsidRPr="003A7C61">
              <w:rPr>
                <w:sz w:val="20"/>
                <w:szCs w:val="20"/>
              </w:rPr>
              <w:t>3.2%</w:t>
            </w:r>
          </w:p>
        </w:tc>
        <w:tc>
          <w:tcPr>
            <w:tcW w:w="860" w:type="dxa"/>
            <w:tcBorders>
              <w:top w:val="nil"/>
              <w:left w:val="nil"/>
              <w:bottom w:val="nil"/>
              <w:right w:val="nil"/>
            </w:tcBorders>
            <w:noWrap/>
            <w:vAlign w:val="bottom"/>
            <w:hideMark/>
          </w:tcPr>
          <w:p w14:paraId="263A1B25" w14:textId="77777777" w:rsidR="00677577" w:rsidRPr="003A7C61" w:rsidRDefault="00677577" w:rsidP="00C63BBE">
            <w:pPr>
              <w:spacing w:after="0" w:line="240" w:lineRule="auto"/>
              <w:jc w:val="right"/>
              <w:rPr>
                <w:sz w:val="20"/>
                <w:szCs w:val="20"/>
              </w:rPr>
            </w:pPr>
            <w:r w:rsidRPr="003A7C61">
              <w:rPr>
                <w:sz w:val="20"/>
                <w:szCs w:val="20"/>
              </w:rPr>
              <w:t>2.1%</w:t>
            </w:r>
          </w:p>
        </w:tc>
        <w:tc>
          <w:tcPr>
            <w:tcW w:w="1105" w:type="dxa"/>
            <w:tcBorders>
              <w:top w:val="nil"/>
              <w:left w:val="nil"/>
              <w:bottom w:val="nil"/>
              <w:right w:val="nil"/>
            </w:tcBorders>
            <w:noWrap/>
            <w:vAlign w:val="bottom"/>
            <w:hideMark/>
          </w:tcPr>
          <w:p w14:paraId="1E301064" w14:textId="77777777" w:rsidR="00677577" w:rsidRPr="003A7C61" w:rsidRDefault="00677577" w:rsidP="00C63BBE">
            <w:pPr>
              <w:spacing w:after="0" w:line="240" w:lineRule="auto"/>
              <w:jc w:val="right"/>
              <w:rPr>
                <w:sz w:val="20"/>
                <w:szCs w:val="20"/>
              </w:rPr>
            </w:pPr>
            <w:r w:rsidRPr="003A7C61">
              <w:rPr>
                <w:sz w:val="20"/>
                <w:szCs w:val="20"/>
              </w:rPr>
              <w:t>2.9%</w:t>
            </w:r>
          </w:p>
        </w:tc>
        <w:tc>
          <w:tcPr>
            <w:tcW w:w="1105" w:type="dxa"/>
            <w:tcBorders>
              <w:top w:val="nil"/>
              <w:left w:val="nil"/>
              <w:bottom w:val="nil"/>
              <w:right w:val="single" w:sz="4" w:space="0" w:color="auto"/>
            </w:tcBorders>
            <w:noWrap/>
            <w:vAlign w:val="bottom"/>
            <w:hideMark/>
          </w:tcPr>
          <w:p w14:paraId="34F19DC7" w14:textId="77777777" w:rsidR="00677577" w:rsidRPr="003A7C61" w:rsidRDefault="00677577" w:rsidP="00C63BBE">
            <w:pPr>
              <w:spacing w:after="0" w:line="240" w:lineRule="auto"/>
              <w:jc w:val="right"/>
              <w:rPr>
                <w:sz w:val="20"/>
                <w:szCs w:val="20"/>
              </w:rPr>
            </w:pPr>
            <w:r w:rsidRPr="003A7C61">
              <w:rPr>
                <w:sz w:val="20"/>
                <w:szCs w:val="20"/>
              </w:rPr>
              <w:t>2.1%</w:t>
            </w:r>
          </w:p>
        </w:tc>
      </w:tr>
      <w:tr w:rsidR="00677577" w:rsidRPr="00167CB8" w14:paraId="29B58A6D" w14:textId="77777777">
        <w:trPr>
          <w:trHeight w:val="343"/>
        </w:trPr>
        <w:tc>
          <w:tcPr>
            <w:tcW w:w="3397" w:type="dxa"/>
            <w:tcBorders>
              <w:top w:val="nil"/>
              <w:left w:val="single" w:sz="4" w:space="0" w:color="auto"/>
              <w:bottom w:val="nil"/>
              <w:right w:val="nil"/>
            </w:tcBorders>
            <w:noWrap/>
            <w:vAlign w:val="bottom"/>
            <w:hideMark/>
          </w:tcPr>
          <w:p w14:paraId="61846FE1" w14:textId="77777777" w:rsidR="00677577" w:rsidRPr="003A7C61" w:rsidRDefault="00677577">
            <w:pPr>
              <w:spacing w:after="0" w:line="240" w:lineRule="auto"/>
              <w:rPr>
                <w:sz w:val="20"/>
                <w:szCs w:val="20"/>
              </w:rPr>
            </w:pPr>
            <w:r w:rsidRPr="003A7C61">
              <w:rPr>
                <w:sz w:val="20"/>
                <w:szCs w:val="20"/>
              </w:rPr>
              <w:t>Public administration and safety</w:t>
            </w:r>
          </w:p>
        </w:tc>
        <w:tc>
          <w:tcPr>
            <w:tcW w:w="1033" w:type="dxa"/>
            <w:tcBorders>
              <w:top w:val="nil"/>
              <w:left w:val="nil"/>
              <w:bottom w:val="nil"/>
              <w:right w:val="nil"/>
            </w:tcBorders>
            <w:noWrap/>
            <w:vAlign w:val="bottom"/>
            <w:hideMark/>
          </w:tcPr>
          <w:p w14:paraId="30C4FBBB" w14:textId="77777777" w:rsidR="00677577" w:rsidRPr="003A7C61" w:rsidRDefault="00677577" w:rsidP="00C63BBE">
            <w:pPr>
              <w:spacing w:after="0" w:line="240" w:lineRule="auto"/>
              <w:jc w:val="right"/>
              <w:rPr>
                <w:sz w:val="20"/>
                <w:szCs w:val="20"/>
              </w:rPr>
            </w:pPr>
            <w:r w:rsidRPr="003A7C61">
              <w:rPr>
                <w:sz w:val="20"/>
                <w:szCs w:val="20"/>
              </w:rPr>
              <w:t>14.0%</w:t>
            </w:r>
          </w:p>
        </w:tc>
        <w:tc>
          <w:tcPr>
            <w:tcW w:w="928" w:type="dxa"/>
            <w:tcBorders>
              <w:top w:val="nil"/>
              <w:left w:val="nil"/>
              <w:bottom w:val="nil"/>
              <w:right w:val="nil"/>
            </w:tcBorders>
            <w:noWrap/>
            <w:vAlign w:val="bottom"/>
            <w:hideMark/>
          </w:tcPr>
          <w:p w14:paraId="0FFA0B7B" w14:textId="77777777" w:rsidR="00677577" w:rsidRPr="003A7C61" w:rsidRDefault="00677577" w:rsidP="00C63BBE">
            <w:pPr>
              <w:spacing w:after="0" w:line="240" w:lineRule="auto"/>
              <w:jc w:val="right"/>
              <w:rPr>
                <w:sz w:val="20"/>
                <w:szCs w:val="20"/>
              </w:rPr>
            </w:pPr>
            <w:r w:rsidRPr="003A7C61">
              <w:rPr>
                <w:sz w:val="20"/>
                <w:szCs w:val="20"/>
              </w:rPr>
              <w:t>14.3%</w:t>
            </w:r>
          </w:p>
        </w:tc>
        <w:tc>
          <w:tcPr>
            <w:tcW w:w="860" w:type="dxa"/>
            <w:tcBorders>
              <w:top w:val="nil"/>
              <w:left w:val="nil"/>
              <w:bottom w:val="nil"/>
              <w:right w:val="nil"/>
            </w:tcBorders>
            <w:noWrap/>
            <w:vAlign w:val="bottom"/>
            <w:hideMark/>
          </w:tcPr>
          <w:p w14:paraId="0697194C" w14:textId="77777777" w:rsidR="00677577" w:rsidRPr="003A7C61" w:rsidRDefault="00677577" w:rsidP="00C63BBE">
            <w:pPr>
              <w:spacing w:after="0" w:line="240" w:lineRule="auto"/>
              <w:jc w:val="right"/>
              <w:rPr>
                <w:sz w:val="20"/>
                <w:szCs w:val="20"/>
              </w:rPr>
            </w:pPr>
            <w:r w:rsidRPr="003A7C61">
              <w:rPr>
                <w:sz w:val="20"/>
                <w:szCs w:val="20"/>
              </w:rPr>
              <w:t>2.0%</w:t>
            </w:r>
          </w:p>
        </w:tc>
        <w:tc>
          <w:tcPr>
            <w:tcW w:w="860" w:type="dxa"/>
            <w:tcBorders>
              <w:top w:val="nil"/>
              <w:left w:val="nil"/>
              <w:bottom w:val="nil"/>
              <w:right w:val="nil"/>
            </w:tcBorders>
            <w:noWrap/>
            <w:vAlign w:val="bottom"/>
            <w:hideMark/>
          </w:tcPr>
          <w:p w14:paraId="6DB22125" w14:textId="77777777" w:rsidR="00677577" w:rsidRPr="003A7C61" w:rsidRDefault="00677577" w:rsidP="00C63BBE">
            <w:pPr>
              <w:spacing w:after="0" w:line="240" w:lineRule="auto"/>
              <w:jc w:val="right"/>
              <w:rPr>
                <w:sz w:val="20"/>
                <w:szCs w:val="20"/>
              </w:rPr>
            </w:pPr>
            <w:r w:rsidRPr="003A7C61">
              <w:rPr>
                <w:sz w:val="20"/>
                <w:szCs w:val="20"/>
              </w:rPr>
              <w:t>1.9%</w:t>
            </w:r>
          </w:p>
        </w:tc>
        <w:tc>
          <w:tcPr>
            <w:tcW w:w="1105" w:type="dxa"/>
            <w:tcBorders>
              <w:top w:val="nil"/>
              <w:left w:val="nil"/>
              <w:bottom w:val="nil"/>
              <w:right w:val="nil"/>
            </w:tcBorders>
            <w:noWrap/>
            <w:vAlign w:val="bottom"/>
            <w:hideMark/>
          </w:tcPr>
          <w:p w14:paraId="65AE6C8B" w14:textId="77777777" w:rsidR="00677577" w:rsidRPr="003A7C61" w:rsidRDefault="00677577" w:rsidP="00C63BBE">
            <w:pPr>
              <w:spacing w:after="0" w:line="240" w:lineRule="auto"/>
              <w:jc w:val="right"/>
              <w:rPr>
                <w:sz w:val="20"/>
                <w:szCs w:val="20"/>
              </w:rPr>
            </w:pPr>
            <w:r w:rsidRPr="003A7C61">
              <w:rPr>
                <w:sz w:val="20"/>
                <w:szCs w:val="20"/>
              </w:rPr>
              <w:t>5.9%</w:t>
            </w:r>
          </w:p>
        </w:tc>
        <w:tc>
          <w:tcPr>
            <w:tcW w:w="1105" w:type="dxa"/>
            <w:tcBorders>
              <w:top w:val="nil"/>
              <w:left w:val="nil"/>
              <w:bottom w:val="nil"/>
              <w:right w:val="single" w:sz="4" w:space="0" w:color="auto"/>
            </w:tcBorders>
            <w:noWrap/>
            <w:vAlign w:val="bottom"/>
            <w:hideMark/>
          </w:tcPr>
          <w:p w14:paraId="6F87041C" w14:textId="77777777" w:rsidR="00677577" w:rsidRPr="003A7C61" w:rsidRDefault="00677577" w:rsidP="00C63BBE">
            <w:pPr>
              <w:spacing w:after="0" w:line="240" w:lineRule="auto"/>
              <w:jc w:val="right"/>
              <w:rPr>
                <w:sz w:val="20"/>
                <w:szCs w:val="20"/>
              </w:rPr>
            </w:pPr>
            <w:r w:rsidRPr="003A7C61">
              <w:rPr>
                <w:sz w:val="20"/>
                <w:szCs w:val="20"/>
              </w:rPr>
              <w:t>4.5%</w:t>
            </w:r>
          </w:p>
        </w:tc>
      </w:tr>
      <w:tr w:rsidR="00677577" w:rsidRPr="00167CB8" w14:paraId="7BCDEE0E" w14:textId="77777777">
        <w:trPr>
          <w:trHeight w:val="343"/>
        </w:trPr>
        <w:tc>
          <w:tcPr>
            <w:tcW w:w="3397" w:type="dxa"/>
            <w:tcBorders>
              <w:top w:val="nil"/>
              <w:left w:val="single" w:sz="4" w:space="0" w:color="auto"/>
              <w:bottom w:val="nil"/>
              <w:right w:val="nil"/>
            </w:tcBorders>
            <w:noWrap/>
            <w:vAlign w:val="bottom"/>
            <w:hideMark/>
          </w:tcPr>
          <w:p w14:paraId="348C52F0" w14:textId="77777777" w:rsidR="00677577" w:rsidRPr="003A7C61" w:rsidRDefault="00677577">
            <w:pPr>
              <w:spacing w:after="0" w:line="240" w:lineRule="auto"/>
              <w:rPr>
                <w:sz w:val="20"/>
                <w:szCs w:val="20"/>
              </w:rPr>
            </w:pPr>
            <w:r w:rsidRPr="003A7C61">
              <w:rPr>
                <w:sz w:val="20"/>
                <w:szCs w:val="20"/>
              </w:rPr>
              <w:t>Education and training</w:t>
            </w:r>
          </w:p>
        </w:tc>
        <w:tc>
          <w:tcPr>
            <w:tcW w:w="1033" w:type="dxa"/>
            <w:tcBorders>
              <w:top w:val="nil"/>
              <w:left w:val="nil"/>
              <w:bottom w:val="nil"/>
              <w:right w:val="nil"/>
            </w:tcBorders>
            <w:noWrap/>
            <w:vAlign w:val="bottom"/>
            <w:hideMark/>
          </w:tcPr>
          <w:p w14:paraId="065684C7" w14:textId="77777777" w:rsidR="00677577" w:rsidRPr="003A7C61" w:rsidRDefault="00677577" w:rsidP="00C63BBE">
            <w:pPr>
              <w:spacing w:after="0" w:line="240" w:lineRule="auto"/>
              <w:jc w:val="right"/>
              <w:rPr>
                <w:sz w:val="20"/>
                <w:szCs w:val="20"/>
              </w:rPr>
            </w:pPr>
            <w:r w:rsidRPr="003A7C61">
              <w:rPr>
                <w:sz w:val="20"/>
                <w:szCs w:val="20"/>
              </w:rPr>
              <w:t>16.2%</w:t>
            </w:r>
          </w:p>
        </w:tc>
        <w:tc>
          <w:tcPr>
            <w:tcW w:w="928" w:type="dxa"/>
            <w:tcBorders>
              <w:top w:val="nil"/>
              <w:left w:val="nil"/>
              <w:bottom w:val="nil"/>
              <w:right w:val="nil"/>
            </w:tcBorders>
            <w:noWrap/>
            <w:vAlign w:val="bottom"/>
            <w:hideMark/>
          </w:tcPr>
          <w:p w14:paraId="403073A0" w14:textId="77777777" w:rsidR="00677577" w:rsidRPr="003A7C61" w:rsidRDefault="00677577" w:rsidP="00C63BBE">
            <w:pPr>
              <w:spacing w:after="0" w:line="240" w:lineRule="auto"/>
              <w:jc w:val="right"/>
              <w:rPr>
                <w:sz w:val="20"/>
                <w:szCs w:val="20"/>
              </w:rPr>
            </w:pPr>
            <w:r w:rsidRPr="003A7C61">
              <w:rPr>
                <w:sz w:val="20"/>
                <w:szCs w:val="20"/>
              </w:rPr>
              <w:t>19.6%</w:t>
            </w:r>
          </w:p>
        </w:tc>
        <w:tc>
          <w:tcPr>
            <w:tcW w:w="860" w:type="dxa"/>
            <w:tcBorders>
              <w:top w:val="nil"/>
              <w:left w:val="nil"/>
              <w:bottom w:val="nil"/>
              <w:right w:val="nil"/>
            </w:tcBorders>
            <w:noWrap/>
            <w:vAlign w:val="bottom"/>
            <w:hideMark/>
          </w:tcPr>
          <w:p w14:paraId="1DD096D8" w14:textId="77777777" w:rsidR="00677577" w:rsidRPr="003A7C61" w:rsidRDefault="00677577" w:rsidP="00C63BBE">
            <w:pPr>
              <w:spacing w:after="0" w:line="240" w:lineRule="auto"/>
              <w:jc w:val="right"/>
              <w:rPr>
                <w:sz w:val="20"/>
                <w:szCs w:val="20"/>
              </w:rPr>
            </w:pPr>
            <w:r w:rsidRPr="003A7C61">
              <w:rPr>
                <w:sz w:val="20"/>
                <w:szCs w:val="20"/>
              </w:rPr>
              <w:t>4.8%</w:t>
            </w:r>
          </w:p>
        </w:tc>
        <w:tc>
          <w:tcPr>
            <w:tcW w:w="860" w:type="dxa"/>
            <w:tcBorders>
              <w:top w:val="nil"/>
              <w:left w:val="nil"/>
              <w:bottom w:val="nil"/>
              <w:right w:val="nil"/>
            </w:tcBorders>
            <w:noWrap/>
            <w:vAlign w:val="bottom"/>
            <w:hideMark/>
          </w:tcPr>
          <w:p w14:paraId="6637AE83" w14:textId="77777777" w:rsidR="00677577" w:rsidRPr="003A7C61" w:rsidRDefault="00677577" w:rsidP="00C63BBE">
            <w:pPr>
              <w:spacing w:after="0" w:line="240" w:lineRule="auto"/>
              <w:jc w:val="right"/>
              <w:rPr>
                <w:sz w:val="20"/>
                <w:szCs w:val="20"/>
              </w:rPr>
            </w:pPr>
            <w:r w:rsidRPr="003A7C61">
              <w:rPr>
                <w:sz w:val="20"/>
                <w:szCs w:val="20"/>
              </w:rPr>
              <w:t>5.1%</w:t>
            </w:r>
          </w:p>
        </w:tc>
        <w:tc>
          <w:tcPr>
            <w:tcW w:w="1105" w:type="dxa"/>
            <w:tcBorders>
              <w:top w:val="nil"/>
              <w:left w:val="nil"/>
              <w:bottom w:val="nil"/>
              <w:right w:val="nil"/>
            </w:tcBorders>
            <w:noWrap/>
            <w:vAlign w:val="bottom"/>
            <w:hideMark/>
          </w:tcPr>
          <w:p w14:paraId="012ED3D3" w14:textId="77777777" w:rsidR="00677577" w:rsidRPr="003A7C61" w:rsidRDefault="00677577" w:rsidP="00C63BBE">
            <w:pPr>
              <w:spacing w:after="0" w:line="240" w:lineRule="auto"/>
              <w:jc w:val="right"/>
              <w:rPr>
                <w:sz w:val="20"/>
                <w:szCs w:val="20"/>
              </w:rPr>
            </w:pPr>
            <w:r w:rsidRPr="003A7C61">
              <w:rPr>
                <w:sz w:val="20"/>
                <w:szCs w:val="20"/>
              </w:rPr>
              <w:t>11.6%</w:t>
            </w:r>
          </w:p>
        </w:tc>
        <w:tc>
          <w:tcPr>
            <w:tcW w:w="1105" w:type="dxa"/>
            <w:tcBorders>
              <w:top w:val="nil"/>
              <w:left w:val="nil"/>
              <w:bottom w:val="nil"/>
              <w:right w:val="single" w:sz="4" w:space="0" w:color="auto"/>
            </w:tcBorders>
            <w:noWrap/>
            <w:vAlign w:val="bottom"/>
            <w:hideMark/>
          </w:tcPr>
          <w:p w14:paraId="7C80FF45" w14:textId="77777777" w:rsidR="00677577" w:rsidRPr="003A7C61" w:rsidRDefault="00677577" w:rsidP="00C63BBE">
            <w:pPr>
              <w:spacing w:after="0" w:line="240" w:lineRule="auto"/>
              <w:jc w:val="right"/>
              <w:rPr>
                <w:sz w:val="20"/>
                <w:szCs w:val="20"/>
              </w:rPr>
            </w:pPr>
            <w:r w:rsidRPr="003A7C61">
              <w:rPr>
                <w:sz w:val="20"/>
                <w:szCs w:val="20"/>
              </w:rPr>
              <w:t>9.8%</w:t>
            </w:r>
          </w:p>
        </w:tc>
      </w:tr>
      <w:tr w:rsidR="00677577" w:rsidRPr="00167CB8" w14:paraId="1565274A" w14:textId="77777777">
        <w:trPr>
          <w:trHeight w:val="343"/>
        </w:trPr>
        <w:tc>
          <w:tcPr>
            <w:tcW w:w="3397" w:type="dxa"/>
            <w:tcBorders>
              <w:top w:val="nil"/>
              <w:left w:val="single" w:sz="4" w:space="0" w:color="auto"/>
              <w:bottom w:val="nil"/>
              <w:right w:val="nil"/>
            </w:tcBorders>
            <w:noWrap/>
            <w:vAlign w:val="bottom"/>
            <w:hideMark/>
          </w:tcPr>
          <w:p w14:paraId="26327B5C" w14:textId="77777777" w:rsidR="00677577" w:rsidRPr="003A7C61" w:rsidRDefault="00677577">
            <w:pPr>
              <w:spacing w:after="0" w:line="240" w:lineRule="auto"/>
              <w:rPr>
                <w:sz w:val="20"/>
                <w:szCs w:val="20"/>
              </w:rPr>
            </w:pPr>
            <w:r w:rsidRPr="003A7C61">
              <w:rPr>
                <w:sz w:val="20"/>
                <w:szCs w:val="20"/>
              </w:rPr>
              <w:t>Health care and social assistance</w:t>
            </w:r>
          </w:p>
        </w:tc>
        <w:tc>
          <w:tcPr>
            <w:tcW w:w="1033" w:type="dxa"/>
            <w:tcBorders>
              <w:top w:val="nil"/>
              <w:left w:val="nil"/>
              <w:bottom w:val="nil"/>
              <w:right w:val="nil"/>
            </w:tcBorders>
            <w:noWrap/>
            <w:vAlign w:val="bottom"/>
            <w:hideMark/>
          </w:tcPr>
          <w:p w14:paraId="79B33E07" w14:textId="77777777" w:rsidR="00677577" w:rsidRPr="003A7C61" w:rsidRDefault="00677577" w:rsidP="00C63BBE">
            <w:pPr>
              <w:spacing w:after="0" w:line="240" w:lineRule="auto"/>
              <w:jc w:val="right"/>
              <w:rPr>
                <w:sz w:val="20"/>
                <w:szCs w:val="20"/>
              </w:rPr>
            </w:pPr>
            <w:r w:rsidRPr="003A7C61">
              <w:rPr>
                <w:sz w:val="20"/>
                <w:szCs w:val="20"/>
              </w:rPr>
              <w:t>18.5%</w:t>
            </w:r>
          </w:p>
        </w:tc>
        <w:tc>
          <w:tcPr>
            <w:tcW w:w="928" w:type="dxa"/>
            <w:tcBorders>
              <w:top w:val="nil"/>
              <w:left w:val="nil"/>
              <w:bottom w:val="nil"/>
              <w:right w:val="nil"/>
            </w:tcBorders>
            <w:noWrap/>
            <w:vAlign w:val="bottom"/>
            <w:hideMark/>
          </w:tcPr>
          <w:p w14:paraId="6C5F88ED" w14:textId="77777777" w:rsidR="00677577" w:rsidRPr="003A7C61" w:rsidRDefault="00677577" w:rsidP="00C63BBE">
            <w:pPr>
              <w:spacing w:after="0" w:line="240" w:lineRule="auto"/>
              <w:jc w:val="right"/>
              <w:rPr>
                <w:sz w:val="20"/>
                <w:szCs w:val="20"/>
              </w:rPr>
            </w:pPr>
            <w:r w:rsidRPr="003A7C61">
              <w:rPr>
                <w:sz w:val="20"/>
                <w:szCs w:val="20"/>
              </w:rPr>
              <w:t>22.0%</w:t>
            </w:r>
          </w:p>
        </w:tc>
        <w:tc>
          <w:tcPr>
            <w:tcW w:w="860" w:type="dxa"/>
            <w:tcBorders>
              <w:top w:val="nil"/>
              <w:left w:val="nil"/>
              <w:bottom w:val="nil"/>
              <w:right w:val="nil"/>
            </w:tcBorders>
            <w:noWrap/>
            <w:vAlign w:val="bottom"/>
            <w:hideMark/>
          </w:tcPr>
          <w:p w14:paraId="2814EC01" w14:textId="77777777" w:rsidR="00677577" w:rsidRPr="003A7C61" w:rsidRDefault="00677577" w:rsidP="00C63BBE">
            <w:pPr>
              <w:spacing w:after="0" w:line="240" w:lineRule="auto"/>
              <w:jc w:val="right"/>
              <w:rPr>
                <w:sz w:val="20"/>
                <w:szCs w:val="20"/>
              </w:rPr>
            </w:pPr>
            <w:r w:rsidRPr="003A7C61">
              <w:rPr>
                <w:sz w:val="20"/>
                <w:szCs w:val="20"/>
              </w:rPr>
              <w:t>8.1%</w:t>
            </w:r>
          </w:p>
        </w:tc>
        <w:tc>
          <w:tcPr>
            <w:tcW w:w="860" w:type="dxa"/>
            <w:tcBorders>
              <w:top w:val="nil"/>
              <w:left w:val="nil"/>
              <w:bottom w:val="nil"/>
              <w:right w:val="nil"/>
            </w:tcBorders>
            <w:noWrap/>
            <w:vAlign w:val="bottom"/>
            <w:hideMark/>
          </w:tcPr>
          <w:p w14:paraId="45AE983D" w14:textId="77777777" w:rsidR="00677577" w:rsidRPr="003A7C61" w:rsidRDefault="00677577" w:rsidP="00C63BBE">
            <w:pPr>
              <w:spacing w:after="0" w:line="240" w:lineRule="auto"/>
              <w:jc w:val="right"/>
              <w:rPr>
                <w:sz w:val="20"/>
                <w:szCs w:val="20"/>
              </w:rPr>
            </w:pPr>
            <w:r w:rsidRPr="003A7C61">
              <w:rPr>
                <w:sz w:val="20"/>
                <w:szCs w:val="20"/>
              </w:rPr>
              <w:t>12.1%</w:t>
            </w:r>
          </w:p>
        </w:tc>
        <w:tc>
          <w:tcPr>
            <w:tcW w:w="1105" w:type="dxa"/>
            <w:tcBorders>
              <w:top w:val="nil"/>
              <w:left w:val="nil"/>
              <w:bottom w:val="nil"/>
              <w:right w:val="nil"/>
            </w:tcBorders>
            <w:noWrap/>
            <w:vAlign w:val="bottom"/>
            <w:hideMark/>
          </w:tcPr>
          <w:p w14:paraId="561326A3" w14:textId="77777777" w:rsidR="00677577" w:rsidRPr="003A7C61" w:rsidRDefault="00677577" w:rsidP="00C63BBE">
            <w:pPr>
              <w:spacing w:after="0" w:line="240" w:lineRule="auto"/>
              <w:jc w:val="right"/>
              <w:rPr>
                <w:sz w:val="20"/>
                <w:szCs w:val="20"/>
              </w:rPr>
            </w:pPr>
            <w:r w:rsidRPr="003A7C61">
              <w:rPr>
                <w:sz w:val="20"/>
                <w:szCs w:val="20"/>
              </w:rPr>
              <w:t>20.4%</w:t>
            </w:r>
          </w:p>
        </w:tc>
        <w:tc>
          <w:tcPr>
            <w:tcW w:w="1105" w:type="dxa"/>
            <w:tcBorders>
              <w:top w:val="nil"/>
              <w:left w:val="nil"/>
              <w:bottom w:val="nil"/>
              <w:right w:val="single" w:sz="4" w:space="0" w:color="auto"/>
            </w:tcBorders>
            <w:noWrap/>
            <w:vAlign w:val="bottom"/>
            <w:hideMark/>
          </w:tcPr>
          <w:p w14:paraId="37BE2A2F" w14:textId="77777777" w:rsidR="00677577" w:rsidRPr="003A7C61" w:rsidRDefault="00677577" w:rsidP="00C63BBE">
            <w:pPr>
              <w:spacing w:after="0" w:line="240" w:lineRule="auto"/>
              <w:jc w:val="right"/>
              <w:rPr>
                <w:sz w:val="20"/>
                <w:szCs w:val="20"/>
              </w:rPr>
            </w:pPr>
            <w:r w:rsidRPr="003A7C61">
              <w:rPr>
                <w:sz w:val="20"/>
                <w:szCs w:val="20"/>
              </w:rPr>
              <w:t>22.7%</w:t>
            </w:r>
          </w:p>
        </w:tc>
      </w:tr>
      <w:tr w:rsidR="00677577" w:rsidRPr="00167CB8" w14:paraId="12A82A95" w14:textId="77777777">
        <w:trPr>
          <w:trHeight w:val="343"/>
        </w:trPr>
        <w:tc>
          <w:tcPr>
            <w:tcW w:w="3397" w:type="dxa"/>
            <w:tcBorders>
              <w:top w:val="nil"/>
              <w:left w:val="single" w:sz="4" w:space="0" w:color="auto"/>
              <w:bottom w:val="nil"/>
              <w:right w:val="nil"/>
            </w:tcBorders>
            <w:noWrap/>
            <w:vAlign w:val="bottom"/>
            <w:hideMark/>
          </w:tcPr>
          <w:p w14:paraId="64A11008" w14:textId="77777777" w:rsidR="00677577" w:rsidRPr="003A7C61" w:rsidRDefault="00677577">
            <w:pPr>
              <w:spacing w:after="0" w:line="240" w:lineRule="auto"/>
              <w:rPr>
                <w:sz w:val="20"/>
                <w:szCs w:val="20"/>
              </w:rPr>
            </w:pPr>
            <w:r w:rsidRPr="003A7C61">
              <w:rPr>
                <w:sz w:val="20"/>
                <w:szCs w:val="20"/>
              </w:rPr>
              <w:t>Arts and recreation services</w:t>
            </w:r>
          </w:p>
        </w:tc>
        <w:tc>
          <w:tcPr>
            <w:tcW w:w="1033" w:type="dxa"/>
            <w:tcBorders>
              <w:top w:val="nil"/>
              <w:left w:val="nil"/>
              <w:bottom w:val="nil"/>
              <w:right w:val="nil"/>
            </w:tcBorders>
            <w:noWrap/>
            <w:vAlign w:val="bottom"/>
            <w:hideMark/>
          </w:tcPr>
          <w:p w14:paraId="11F0EE0F" w14:textId="77777777" w:rsidR="00677577" w:rsidRPr="003A7C61" w:rsidRDefault="00677577" w:rsidP="00C63BBE">
            <w:pPr>
              <w:spacing w:after="0" w:line="240" w:lineRule="auto"/>
              <w:jc w:val="right"/>
              <w:rPr>
                <w:sz w:val="20"/>
                <w:szCs w:val="20"/>
              </w:rPr>
            </w:pPr>
            <w:r w:rsidRPr="003A7C61">
              <w:rPr>
                <w:sz w:val="20"/>
                <w:szCs w:val="20"/>
              </w:rPr>
              <w:t>1.6%</w:t>
            </w:r>
          </w:p>
        </w:tc>
        <w:tc>
          <w:tcPr>
            <w:tcW w:w="928" w:type="dxa"/>
            <w:tcBorders>
              <w:top w:val="nil"/>
              <w:left w:val="nil"/>
              <w:bottom w:val="nil"/>
              <w:right w:val="nil"/>
            </w:tcBorders>
            <w:noWrap/>
            <w:vAlign w:val="bottom"/>
            <w:hideMark/>
          </w:tcPr>
          <w:p w14:paraId="62E95F2F" w14:textId="77777777" w:rsidR="00677577" w:rsidRPr="003A7C61" w:rsidRDefault="00677577" w:rsidP="00C63BBE">
            <w:pPr>
              <w:spacing w:after="0" w:line="240" w:lineRule="auto"/>
              <w:jc w:val="right"/>
              <w:rPr>
                <w:sz w:val="20"/>
                <w:szCs w:val="20"/>
              </w:rPr>
            </w:pPr>
            <w:r w:rsidRPr="003A7C61">
              <w:rPr>
                <w:sz w:val="20"/>
                <w:szCs w:val="20"/>
              </w:rPr>
              <w:t>1.6%</w:t>
            </w:r>
          </w:p>
        </w:tc>
        <w:tc>
          <w:tcPr>
            <w:tcW w:w="860" w:type="dxa"/>
            <w:tcBorders>
              <w:top w:val="nil"/>
              <w:left w:val="nil"/>
              <w:bottom w:val="nil"/>
              <w:right w:val="nil"/>
            </w:tcBorders>
            <w:noWrap/>
            <w:vAlign w:val="bottom"/>
            <w:hideMark/>
          </w:tcPr>
          <w:p w14:paraId="2DF56E95" w14:textId="77777777" w:rsidR="00677577" w:rsidRPr="003A7C61" w:rsidRDefault="00677577" w:rsidP="00C63BBE">
            <w:pPr>
              <w:spacing w:after="0" w:line="240" w:lineRule="auto"/>
              <w:jc w:val="right"/>
              <w:rPr>
                <w:sz w:val="20"/>
                <w:szCs w:val="20"/>
              </w:rPr>
            </w:pPr>
            <w:r w:rsidRPr="003A7C61">
              <w:rPr>
                <w:sz w:val="20"/>
                <w:szCs w:val="20"/>
              </w:rPr>
              <w:t>1.6%</w:t>
            </w:r>
          </w:p>
        </w:tc>
        <w:tc>
          <w:tcPr>
            <w:tcW w:w="860" w:type="dxa"/>
            <w:tcBorders>
              <w:top w:val="nil"/>
              <w:left w:val="nil"/>
              <w:bottom w:val="nil"/>
              <w:right w:val="nil"/>
            </w:tcBorders>
            <w:noWrap/>
            <w:vAlign w:val="bottom"/>
            <w:hideMark/>
          </w:tcPr>
          <w:p w14:paraId="3BA0222C" w14:textId="77777777" w:rsidR="00677577" w:rsidRPr="003A7C61" w:rsidRDefault="00677577" w:rsidP="00C63BBE">
            <w:pPr>
              <w:spacing w:after="0" w:line="240" w:lineRule="auto"/>
              <w:jc w:val="right"/>
              <w:rPr>
                <w:sz w:val="20"/>
                <w:szCs w:val="20"/>
              </w:rPr>
            </w:pPr>
            <w:r w:rsidRPr="003A7C61">
              <w:rPr>
                <w:sz w:val="20"/>
                <w:szCs w:val="20"/>
              </w:rPr>
              <w:t>2.1%</w:t>
            </w:r>
          </w:p>
        </w:tc>
        <w:tc>
          <w:tcPr>
            <w:tcW w:w="1105" w:type="dxa"/>
            <w:tcBorders>
              <w:top w:val="nil"/>
              <w:left w:val="nil"/>
              <w:bottom w:val="nil"/>
              <w:right w:val="nil"/>
            </w:tcBorders>
            <w:noWrap/>
            <w:vAlign w:val="bottom"/>
            <w:hideMark/>
          </w:tcPr>
          <w:p w14:paraId="094BB5E0" w14:textId="77777777" w:rsidR="00677577" w:rsidRPr="003A7C61" w:rsidRDefault="00677577" w:rsidP="00C63BBE">
            <w:pPr>
              <w:spacing w:after="0" w:line="240" w:lineRule="auto"/>
              <w:jc w:val="right"/>
              <w:rPr>
                <w:sz w:val="20"/>
                <w:szCs w:val="20"/>
              </w:rPr>
            </w:pPr>
            <w:r w:rsidRPr="003A7C61">
              <w:rPr>
                <w:sz w:val="20"/>
                <w:szCs w:val="20"/>
              </w:rPr>
              <w:t>1.4%</w:t>
            </w:r>
          </w:p>
        </w:tc>
        <w:tc>
          <w:tcPr>
            <w:tcW w:w="1105" w:type="dxa"/>
            <w:tcBorders>
              <w:top w:val="nil"/>
              <w:left w:val="nil"/>
              <w:bottom w:val="nil"/>
              <w:right w:val="single" w:sz="4" w:space="0" w:color="auto"/>
            </w:tcBorders>
            <w:noWrap/>
            <w:vAlign w:val="bottom"/>
            <w:hideMark/>
          </w:tcPr>
          <w:p w14:paraId="388CF538" w14:textId="77777777" w:rsidR="00677577" w:rsidRPr="003A7C61" w:rsidRDefault="00677577" w:rsidP="00C63BBE">
            <w:pPr>
              <w:spacing w:after="0" w:line="240" w:lineRule="auto"/>
              <w:jc w:val="right"/>
              <w:rPr>
                <w:sz w:val="20"/>
                <w:szCs w:val="20"/>
              </w:rPr>
            </w:pPr>
            <w:r w:rsidRPr="003A7C61">
              <w:rPr>
                <w:sz w:val="20"/>
                <w:szCs w:val="20"/>
              </w:rPr>
              <w:t>1.8%</w:t>
            </w:r>
          </w:p>
        </w:tc>
      </w:tr>
      <w:tr w:rsidR="00677577" w:rsidRPr="00167CB8" w14:paraId="1BB64E95" w14:textId="77777777">
        <w:trPr>
          <w:trHeight w:val="343"/>
        </w:trPr>
        <w:tc>
          <w:tcPr>
            <w:tcW w:w="3397" w:type="dxa"/>
            <w:tcBorders>
              <w:top w:val="nil"/>
              <w:left w:val="single" w:sz="4" w:space="0" w:color="auto"/>
              <w:bottom w:val="nil"/>
              <w:right w:val="nil"/>
            </w:tcBorders>
            <w:noWrap/>
            <w:vAlign w:val="bottom"/>
            <w:hideMark/>
          </w:tcPr>
          <w:p w14:paraId="5876434F" w14:textId="77777777" w:rsidR="00677577" w:rsidRPr="003A7C61" w:rsidRDefault="00677577">
            <w:pPr>
              <w:spacing w:after="0" w:line="240" w:lineRule="auto"/>
              <w:rPr>
                <w:sz w:val="20"/>
                <w:szCs w:val="20"/>
              </w:rPr>
            </w:pPr>
            <w:r w:rsidRPr="003A7C61">
              <w:rPr>
                <w:sz w:val="20"/>
                <w:szCs w:val="20"/>
              </w:rPr>
              <w:t>Other services</w:t>
            </w:r>
          </w:p>
        </w:tc>
        <w:tc>
          <w:tcPr>
            <w:tcW w:w="1033" w:type="dxa"/>
            <w:tcBorders>
              <w:top w:val="nil"/>
              <w:left w:val="nil"/>
              <w:bottom w:val="nil"/>
              <w:right w:val="nil"/>
            </w:tcBorders>
            <w:noWrap/>
            <w:vAlign w:val="bottom"/>
            <w:hideMark/>
          </w:tcPr>
          <w:p w14:paraId="4C011BD8" w14:textId="77777777" w:rsidR="00677577" w:rsidRPr="003A7C61" w:rsidRDefault="00677577" w:rsidP="00C63BBE">
            <w:pPr>
              <w:spacing w:after="0" w:line="240" w:lineRule="auto"/>
              <w:jc w:val="right"/>
              <w:rPr>
                <w:sz w:val="20"/>
                <w:szCs w:val="20"/>
              </w:rPr>
            </w:pPr>
            <w:r w:rsidRPr="003A7C61">
              <w:rPr>
                <w:sz w:val="20"/>
                <w:szCs w:val="20"/>
              </w:rPr>
              <w:t>2.0%</w:t>
            </w:r>
          </w:p>
        </w:tc>
        <w:tc>
          <w:tcPr>
            <w:tcW w:w="928" w:type="dxa"/>
            <w:tcBorders>
              <w:top w:val="nil"/>
              <w:left w:val="nil"/>
              <w:bottom w:val="nil"/>
              <w:right w:val="nil"/>
            </w:tcBorders>
            <w:noWrap/>
            <w:vAlign w:val="bottom"/>
            <w:hideMark/>
          </w:tcPr>
          <w:p w14:paraId="619607C1" w14:textId="77777777" w:rsidR="00677577" w:rsidRPr="003A7C61" w:rsidRDefault="00677577" w:rsidP="00C63BBE">
            <w:pPr>
              <w:spacing w:after="0" w:line="240" w:lineRule="auto"/>
              <w:jc w:val="right"/>
              <w:rPr>
                <w:sz w:val="20"/>
                <w:szCs w:val="20"/>
              </w:rPr>
            </w:pPr>
            <w:r w:rsidRPr="003A7C61">
              <w:rPr>
                <w:sz w:val="20"/>
                <w:szCs w:val="20"/>
              </w:rPr>
              <w:t>2.0%</w:t>
            </w:r>
          </w:p>
        </w:tc>
        <w:tc>
          <w:tcPr>
            <w:tcW w:w="860" w:type="dxa"/>
            <w:tcBorders>
              <w:top w:val="nil"/>
              <w:left w:val="nil"/>
              <w:bottom w:val="nil"/>
              <w:right w:val="nil"/>
            </w:tcBorders>
            <w:noWrap/>
            <w:vAlign w:val="bottom"/>
            <w:hideMark/>
          </w:tcPr>
          <w:p w14:paraId="53B47298" w14:textId="77777777" w:rsidR="00677577" w:rsidRPr="003A7C61" w:rsidRDefault="00677577" w:rsidP="00C63BBE">
            <w:pPr>
              <w:spacing w:after="0" w:line="240" w:lineRule="auto"/>
              <w:jc w:val="right"/>
              <w:rPr>
                <w:sz w:val="20"/>
                <w:szCs w:val="20"/>
              </w:rPr>
            </w:pPr>
            <w:r w:rsidRPr="003A7C61">
              <w:rPr>
                <w:sz w:val="20"/>
                <w:szCs w:val="20"/>
              </w:rPr>
              <w:t>4.1%</w:t>
            </w:r>
          </w:p>
        </w:tc>
        <w:tc>
          <w:tcPr>
            <w:tcW w:w="860" w:type="dxa"/>
            <w:tcBorders>
              <w:top w:val="nil"/>
              <w:left w:val="nil"/>
              <w:bottom w:val="nil"/>
              <w:right w:val="nil"/>
            </w:tcBorders>
            <w:noWrap/>
            <w:vAlign w:val="bottom"/>
            <w:hideMark/>
          </w:tcPr>
          <w:p w14:paraId="4C9D183F" w14:textId="77777777" w:rsidR="00677577" w:rsidRPr="003A7C61" w:rsidRDefault="00677577" w:rsidP="00C63BBE">
            <w:pPr>
              <w:spacing w:after="0" w:line="240" w:lineRule="auto"/>
              <w:jc w:val="right"/>
              <w:rPr>
                <w:sz w:val="20"/>
                <w:szCs w:val="20"/>
              </w:rPr>
            </w:pPr>
            <w:r w:rsidRPr="003A7C61">
              <w:rPr>
                <w:sz w:val="20"/>
                <w:szCs w:val="20"/>
              </w:rPr>
              <w:t>4.0%</w:t>
            </w:r>
          </w:p>
        </w:tc>
        <w:tc>
          <w:tcPr>
            <w:tcW w:w="1105" w:type="dxa"/>
            <w:tcBorders>
              <w:top w:val="nil"/>
              <w:left w:val="nil"/>
              <w:bottom w:val="nil"/>
              <w:right w:val="nil"/>
            </w:tcBorders>
            <w:noWrap/>
            <w:vAlign w:val="bottom"/>
            <w:hideMark/>
          </w:tcPr>
          <w:p w14:paraId="41B7F95C" w14:textId="77777777" w:rsidR="00677577" w:rsidRPr="003A7C61" w:rsidRDefault="00677577" w:rsidP="00C63BBE">
            <w:pPr>
              <w:spacing w:after="0" w:line="240" w:lineRule="auto"/>
              <w:jc w:val="right"/>
              <w:rPr>
                <w:sz w:val="20"/>
                <w:szCs w:val="20"/>
              </w:rPr>
            </w:pPr>
            <w:r w:rsidRPr="003A7C61">
              <w:rPr>
                <w:sz w:val="20"/>
                <w:szCs w:val="20"/>
              </w:rPr>
              <w:t>3.7%</w:t>
            </w:r>
          </w:p>
        </w:tc>
        <w:tc>
          <w:tcPr>
            <w:tcW w:w="1105" w:type="dxa"/>
            <w:tcBorders>
              <w:top w:val="nil"/>
              <w:left w:val="nil"/>
              <w:bottom w:val="nil"/>
              <w:right w:val="single" w:sz="4" w:space="0" w:color="auto"/>
            </w:tcBorders>
            <w:noWrap/>
            <w:vAlign w:val="bottom"/>
            <w:hideMark/>
          </w:tcPr>
          <w:p w14:paraId="49E61B68" w14:textId="77777777" w:rsidR="00677577" w:rsidRPr="003A7C61" w:rsidRDefault="00677577" w:rsidP="00C63BBE">
            <w:pPr>
              <w:spacing w:after="0" w:line="240" w:lineRule="auto"/>
              <w:jc w:val="right"/>
              <w:rPr>
                <w:sz w:val="20"/>
                <w:szCs w:val="20"/>
              </w:rPr>
            </w:pPr>
            <w:r w:rsidRPr="003A7C61">
              <w:rPr>
                <w:sz w:val="20"/>
                <w:szCs w:val="20"/>
              </w:rPr>
              <w:t>3.0%</w:t>
            </w:r>
          </w:p>
        </w:tc>
      </w:tr>
      <w:tr w:rsidR="00677577" w:rsidRPr="00167CB8" w14:paraId="6C10815B" w14:textId="77777777">
        <w:trPr>
          <w:trHeight w:val="343"/>
        </w:trPr>
        <w:tc>
          <w:tcPr>
            <w:tcW w:w="3397" w:type="dxa"/>
            <w:tcBorders>
              <w:top w:val="nil"/>
              <w:left w:val="single" w:sz="4" w:space="0" w:color="auto"/>
              <w:bottom w:val="single" w:sz="4" w:space="0" w:color="auto"/>
              <w:right w:val="nil"/>
            </w:tcBorders>
            <w:noWrap/>
            <w:vAlign w:val="bottom"/>
            <w:hideMark/>
          </w:tcPr>
          <w:p w14:paraId="3BF16FE3" w14:textId="77777777" w:rsidR="00677577" w:rsidRPr="003A7C61" w:rsidRDefault="00677577">
            <w:pPr>
              <w:spacing w:after="0" w:line="240" w:lineRule="auto"/>
              <w:rPr>
                <w:sz w:val="20"/>
                <w:szCs w:val="20"/>
              </w:rPr>
            </w:pPr>
            <w:r w:rsidRPr="003A7C61">
              <w:rPr>
                <w:sz w:val="20"/>
                <w:szCs w:val="20"/>
              </w:rPr>
              <w:t>Column total</w:t>
            </w:r>
          </w:p>
        </w:tc>
        <w:tc>
          <w:tcPr>
            <w:tcW w:w="1033" w:type="dxa"/>
            <w:tcBorders>
              <w:top w:val="nil"/>
              <w:left w:val="nil"/>
              <w:bottom w:val="single" w:sz="4" w:space="0" w:color="auto"/>
              <w:right w:val="nil"/>
            </w:tcBorders>
            <w:noWrap/>
            <w:vAlign w:val="bottom"/>
            <w:hideMark/>
          </w:tcPr>
          <w:p w14:paraId="385E356D" w14:textId="77777777" w:rsidR="00677577" w:rsidRPr="003A7C61" w:rsidRDefault="00677577" w:rsidP="00C63BBE">
            <w:pPr>
              <w:spacing w:after="0" w:line="240" w:lineRule="auto"/>
              <w:jc w:val="right"/>
              <w:rPr>
                <w:sz w:val="20"/>
                <w:szCs w:val="20"/>
              </w:rPr>
            </w:pPr>
            <w:r w:rsidRPr="003A7C61">
              <w:rPr>
                <w:sz w:val="20"/>
                <w:szCs w:val="20"/>
              </w:rPr>
              <w:t>100.0%</w:t>
            </w:r>
          </w:p>
        </w:tc>
        <w:tc>
          <w:tcPr>
            <w:tcW w:w="928" w:type="dxa"/>
            <w:tcBorders>
              <w:top w:val="nil"/>
              <w:left w:val="nil"/>
              <w:bottom w:val="single" w:sz="4" w:space="0" w:color="auto"/>
              <w:right w:val="nil"/>
            </w:tcBorders>
            <w:noWrap/>
            <w:vAlign w:val="bottom"/>
            <w:hideMark/>
          </w:tcPr>
          <w:p w14:paraId="113467E6" w14:textId="77777777" w:rsidR="00677577" w:rsidRPr="003A7C61" w:rsidRDefault="00677577" w:rsidP="00C63BBE">
            <w:pPr>
              <w:spacing w:after="0" w:line="240" w:lineRule="auto"/>
              <w:jc w:val="right"/>
              <w:rPr>
                <w:sz w:val="20"/>
                <w:szCs w:val="20"/>
              </w:rPr>
            </w:pPr>
            <w:r w:rsidRPr="003A7C61">
              <w:rPr>
                <w:sz w:val="20"/>
                <w:szCs w:val="20"/>
              </w:rPr>
              <w:t>100.0%</w:t>
            </w:r>
          </w:p>
        </w:tc>
        <w:tc>
          <w:tcPr>
            <w:tcW w:w="860" w:type="dxa"/>
            <w:tcBorders>
              <w:top w:val="nil"/>
              <w:left w:val="nil"/>
              <w:bottom w:val="single" w:sz="4" w:space="0" w:color="auto"/>
              <w:right w:val="nil"/>
            </w:tcBorders>
            <w:noWrap/>
            <w:vAlign w:val="bottom"/>
            <w:hideMark/>
          </w:tcPr>
          <w:p w14:paraId="2282991B" w14:textId="77777777" w:rsidR="00677577" w:rsidRPr="003A7C61" w:rsidRDefault="00677577" w:rsidP="00C63BBE">
            <w:pPr>
              <w:spacing w:after="0" w:line="240" w:lineRule="auto"/>
              <w:jc w:val="right"/>
              <w:rPr>
                <w:sz w:val="20"/>
                <w:szCs w:val="20"/>
              </w:rPr>
            </w:pPr>
            <w:r w:rsidRPr="003A7C61">
              <w:rPr>
                <w:sz w:val="20"/>
                <w:szCs w:val="20"/>
              </w:rPr>
              <w:t>100.0%</w:t>
            </w:r>
          </w:p>
        </w:tc>
        <w:tc>
          <w:tcPr>
            <w:tcW w:w="860" w:type="dxa"/>
            <w:tcBorders>
              <w:top w:val="nil"/>
              <w:left w:val="nil"/>
              <w:bottom w:val="single" w:sz="4" w:space="0" w:color="auto"/>
              <w:right w:val="nil"/>
            </w:tcBorders>
            <w:noWrap/>
            <w:vAlign w:val="bottom"/>
            <w:hideMark/>
          </w:tcPr>
          <w:p w14:paraId="07385D48" w14:textId="77777777" w:rsidR="00677577" w:rsidRPr="003A7C61" w:rsidRDefault="00677577" w:rsidP="00C63BBE">
            <w:pPr>
              <w:spacing w:after="0" w:line="240" w:lineRule="auto"/>
              <w:jc w:val="right"/>
              <w:rPr>
                <w:sz w:val="20"/>
                <w:szCs w:val="20"/>
              </w:rPr>
            </w:pPr>
            <w:r w:rsidRPr="003A7C61">
              <w:rPr>
                <w:sz w:val="20"/>
                <w:szCs w:val="20"/>
              </w:rPr>
              <w:t>100.0%</w:t>
            </w:r>
          </w:p>
        </w:tc>
        <w:tc>
          <w:tcPr>
            <w:tcW w:w="1105" w:type="dxa"/>
            <w:tcBorders>
              <w:top w:val="nil"/>
              <w:left w:val="nil"/>
              <w:bottom w:val="single" w:sz="4" w:space="0" w:color="auto"/>
              <w:right w:val="nil"/>
            </w:tcBorders>
            <w:noWrap/>
            <w:vAlign w:val="bottom"/>
            <w:hideMark/>
          </w:tcPr>
          <w:p w14:paraId="185F36AD" w14:textId="77777777" w:rsidR="00677577" w:rsidRPr="003A7C61" w:rsidRDefault="00677577" w:rsidP="00C63BBE">
            <w:pPr>
              <w:spacing w:after="0" w:line="240" w:lineRule="auto"/>
              <w:jc w:val="right"/>
              <w:rPr>
                <w:sz w:val="20"/>
                <w:szCs w:val="20"/>
              </w:rPr>
            </w:pPr>
            <w:r w:rsidRPr="003A7C61">
              <w:rPr>
                <w:sz w:val="20"/>
                <w:szCs w:val="20"/>
              </w:rPr>
              <w:t>100.0%</w:t>
            </w:r>
          </w:p>
        </w:tc>
        <w:tc>
          <w:tcPr>
            <w:tcW w:w="1105" w:type="dxa"/>
            <w:tcBorders>
              <w:top w:val="nil"/>
              <w:left w:val="nil"/>
              <w:bottom w:val="single" w:sz="4" w:space="0" w:color="auto"/>
              <w:right w:val="single" w:sz="4" w:space="0" w:color="auto"/>
            </w:tcBorders>
            <w:noWrap/>
            <w:vAlign w:val="bottom"/>
            <w:hideMark/>
          </w:tcPr>
          <w:p w14:paraId="17C14213" w14:textId="77777777" w:rsidR="00677577" w:rsidRPr="003A7C61" w:rsidRDefault="00677577" w:rsidP="00C63BBE">
            <w:pPr>
              <w:spacing w:after="0" w:line="240" w:lineRule="auto"/>
              <w:jc w:val="right"/>
              <w:rPr>
                <w:sz w:val="20"/>
                <w:szCs w:val="20"/>
              </w:rPr>
            </w:pPr>
            <w:r w:rsidRPr="003A7C61">
              <w:rPr>
                <w:sz w:val="20"/>
                <w:szCs w:val="20"/>
              </w:rPr>
              <w:t>100.0%</w:t>
            </w:r>
          </w:p>
        </w:tc>
      </w:tr>
      <w:tr w:rsidR="00677577" w:rsidRPr="00167CB8" w14:paraId="674EBB20" w14:textId="77777777">
        <w:trPr>
          <w:trHeight w:val="343"/>
        </w:trPr>
        <w:tc>
          <w:tcPr>
            <w:tcW w:w="3397" w:type="dxa"/>
            <w:tcBorders>
              <w:top w:val="single" w:sz="4" w:space="0" w:color="auto"/>
              <w:left w:val="single" w:sz="4" w:space="0" w:color="auto"/>
              <w:bottom w:val="single" w:sz="4" w:space="0" w:color="auto"/>
              <w:right w:val="nil"/>
            </w:tcBorders>
            <w:noWrap/>
            <w:vAlign w:val="bottom"/>
            <w:hideMark/>
          </w:tcPr>
          <w:p w14:paraId="503F7193" w14:textId="77777777" w:rsidR="00677577" w:rsidRPr="003A7C61" w:rsidRDefault="00677577">
            <w:pPr>
              <w:spacing w:after="0" w:line="240" w:lineRule="auto"/>
              <w:rPr>
                <w:sz w:val="20"/>
                <w:szCs w:val="20"/>
              </w:rPr>
            </w:pPr>
            <w:r w:rsidRPr="003A7C61">
              <w:rPr>
                <w:sz w:val="20"/>
                <w:szCs w:val="20"/>
              </w:rPr>
              <w:t>Share of total employees covered by method of pay setting, by year</w:t>
            </w:r>
          </w:p>
        </w:tc>
        <w:tc>
          <w:tcPr>
            <w:tcW w:w="1033" w:type="dxa"/>
            <w:tcBorders>
              <w:top w:val="single" w:sz="4" w:space="0" w:color="auto"/>
              <w:left w:val="nil"/>
              <w:bottom w:val="single" w:sz="4" w:space="0" w:color="auto"/>
              <w:right w:val="nil"/>
            </w:tcBorders>
            <w:noWrap/>
            <w:vAlign w:val="bottom"/>
            <w:hideMark/>
          </w:tcPr>
          <w:p w14:paraId="2CF4F570" w14:textId="77777777" w:rsidR="00677577" w:rsidRPr="003A7C61" w:rsidRDefault="00677577" w:rsidP="00C63BBE">
            <w:pPr>
              <w:spacing w:after="0" w:line="240" w:lineRule="auto"/>
              <w:jc w:val="right"/>
              <w:rPr>
                <w:sz w:val="20"/>
                <w:szCs w:val="20"/>
              </w:rPr>
            </w:pPr>
            <w:r w:rsidRPr="003A7C61">
              <w:rPr>
                <w:sz w:val="20"/>
                <w:szCs w:val="20"/>
              </w:rPr>
              <w:t>32.0%</w:t>
            </w:r>
          </w:p>
        </w:tc>
        <w:tc>
          <w:tcPr>
            <w:tcW w:w="928" w:type="dxa"/>
            <w:tcBorders>
              <w:top w:val="single" w:sz="4" w:space="0" w:color="auto"/>
              <w:left w:val="nil"/>
              <w:bottom w:val="single" w:sz="4" w:space="0" w:color="auto"/>
              <w:right w:val="nil"/>
            </w:tcBorders>
            <w:noWrap/>
            <w:vAlign w:val="bottom"/>
            <w:hideMark/>
          </w:tcPr>
          <w:p w14:paraId="4C7885C8" w14:textId="77777777" w:rsidR="00677577" w:rsidRPr="003A7C61" w:rsidRDefault="00677577" w:rsidP="00C63BBE">
            <w:pPr>
              <w:spacing w:after="0" w:line="240" w:lineRule="auto"/>
              <w:jc w:val="right"/>
              <w:rPr>
                <w:sz w:val="20"/>
                <w:szCs w:val="20"/>
              </w:rPr>
            </w:pPr>
            <w:r w:rsidRPr="003A7C61">
              <w:rPr>
                <w:sz w:val="20"/>
                <w:szCs w:val="20"/>
              </w:rPr>
              <w:t>31.6%</w:t>
            </w:r>
          </w:p>
        </w:tc>
        <w:tc>
          <w:tcPr>
            <w:tcW w:w="860" w:type="dxa"/>
            <w:tcBorders>
              <w:top w:val="single" w:sz="4" w:space="0" w:color="auto"/>
              <w:left w:val="nil"/>
              <w:bottom w:val="single" w:sz="4" w:space="0" w:color="auto"/>
              <w:right w:val="nil"/>
            </w:tcBorders>
            <w:noWrap/>
            <w:vAlign w:val="bottom"/>
            <w:hideMark/>
          </w:tcPr>
          <w:p w14:paraId="46B1170F" w14:textId="77777777" w:rsidR="00677577" w:rsidRPr="003A7C61" w:rsidRDefault="00677577" w:rsidP="00C63BBE">
            <w:pPr>
              <w:spacing w:after="0" w:line="240" w:lineRule="auto"/>
              <w:jc w:val="right"/>
              <w:rPr>
                <w:sz w:val="20"/>
                <w:szCs w:val="20"/>
              </w:rPr>
            </w:pPr>
            <w:r w:rsidRPr="003A7C61">
              <w:rPr>
                <w:sz w:val="20"/>
                <w:szCs w:val="20"/>
              </w:rPr>
              <w:t>37.2%</w:t>
            </w:r>
          </w:p>
        </w:tc>
        <w:tc>
          <w:tcPr>
            <w:tcW w:w="860" w:type="dxa"/>
            <w:tcBorders>
              <w:top w:val="single" w:sz="4" w:space="0" w:color="auto"/>
              <w:left w:val="nil"/>
              <w:bottom w:val="single" w:sz="4" w:space="0" w:color="auto"/>
              <w:right w:val="nil"/>
            </w:tcBorders>
            <w:noWrap/>
            <w:vAlign w:val="bottom"/>
            <w:hideMark/>
          </w:tcPr>
          <w:p w14:paraId="12CE6648" w14:textId="77777777" w:rsidR="00677577" w:rsidRPr="003A7C61" w:rsidRDefault="00677577" w:rsidP="00C63BBE">
            <w:pPr>
              <w:spacing w:after="0" w:line="240" w:lineRule="auto"/>
              <w:jc w:val="right"/>
              <w:rPr>
                <w:sz w:val="20"/>
                <w:szCs w:val="20"/>
              </w:rPr>
            </w:pPr>
            <w:r w:rsidRPr="003A7C61">
              <w:rPr>
                <w:sz w:val="20"/>
                <w:szCs w:val="20"/>
              </w:rPr>
              <w:t>38.7%</w:t>
            </w:r>
          </w:p>
        </w:tc>
        <w:tc>
          <w:tcPr>
            <w:tcW w:w="1105" w:type="dxa"/>
            <w:tcBorders>
              <w:top w:val="single" w:sz="4" w:space="0" w:color="auto"/>
              <w:left w:val="nil"/>
              <w:bottom w:val="single" w:sz="4" w:space="0" w:color="auto"/>
              <w:right w:val="nil"/>
            </w:tcBorders>
            <w:noWrap/>
            <w:vAlign w:val="bottom"/>
            <w:hideMark/>
          </w:tcPr>
          <w:p w14:paraId="133684BE" w14:textId="77777777" w:rsidR="00677577" w:rsidRPr="003A7C61" w:rsidRDefault="00677577" w:rsidP="00C63BBE">
            <w:pPr>
              <w:spacing w:after="0" w:line="240" w:lineRule="auto"/>
              <w:jc w:val="right"/>
              <w:rPr>
                <w:sz w:val="20"/>
                <w:szCs w:val="20"/>
              </w:rPr>
            </w:pPr>
            <w:r w:rsidRPr="003A7C61">
              <w:rPr>
                <w:sz w:val="20"/>
                <w:szCs w:val="20"/>
              </w:rPr>
              <w:t>26.2%</w:t>
            </w:r>
          </w:p>
        </w:tc>
        <w:tc>
          <w:tcPr>
            <w:tcW w:w="1105" w:type="dxa"/>
            <w:tcBorders>
              <w:top w:val="single" w:sz="4" w:space="0" w:color="auto"/>
              <w:left w:val="nil"/>
              <w:bottom w:val="single" w:sz="4" w:space="0" w:color="auto"/>
              <w:right w:val="single" w:sz="4" w:space="0" w:color="auto"/>
            </w:tcBorders>
            <w:noWrap/>
            <w:vAlign w:val="bottom"/>
            <w:hideMark/>
          </w:tcPr>
          <w:p w14:paraId="2D8F236C" w14:textId="77777777" w:rsidR="00677577" w:rsidRPr="003A7C61" w:rsidRDefault="00677577" w:rsidP="00C63BBE">
            <w:pPr>
              <w:spacing w:after="0" w:line="240" w:lineRule="auto"/>
              <w:jc w:val="right"/>
              <w:rPr>
                <w:sz w:val="20"/>
                <w:szCs w:val="20"/>
              </w:rPr>
            </w:pPr>
            <w:r w:rsidRPr="003A7C61">
              <w:rPr>
                <w:sz w:val="20"/>
                <w:szCs w:val="20"/>
              </w:rPr>
              <w:t>24.8%</w:t>
            </w:r>
          </w:p>
        </w:tc>
      </w:tr>
    </w:tbl>
    <w:p w14:paraId="1E5E6183" w14:textId="77777777" w:rsidR="0011475D" w:rsidRDefault="00677577" w:rsidP="00677577">
      <w:pPr>
        <w:pStyle w:val="Source"/>
        <w:rPr>
          <w:b/>
          <w:bCs/>
        </w:rPr>
      </w:pPr>
      <w:r w:rsidRPr="00167CB8">
        <w:rPr>
          <w:b/>
          <w:bCs/>
        </w:rPr>
        <w:t>Notes:</w:t>
      </w:r>
    </w:p>
    <w:p w14:paraId="636A5F69" w14:textId="696BF2CD" w:rsidR="0016448B" w:rsidRDefault="0016448B" w:rsidP="00677577">
      <w:pPr>
        <w:pStyle w:val="Source"/>
      </w:pPr>
      <w:r>
        <w:t>1. CA: collective agreement; IA individual agreement.</w:t>
      </w:r>
    </w:p>
    <w:p w14:paraId="557D1602" w14:textId="1CEDCB58" w:rsidR="00677577" w:rsidRPr="00167CB8" w:rsidRDefault="0016448B" w:rsidP="00677577">
      <w:pPr>
        <w:pStyle w:val="Source"/>
      </w:pPr>
      <w:r>
        <w:t>2</w:t>
      </w:r>
      <w:r w:rsidR="00677577" w:rsidRPr="00167CB8">
        <w:t>. Sample consists of all employees.</w:t>
      </w:r>
    </w:p>
    <w:p w14:paraId="2A5C62BC" w14:textId="16E65E1B" w:rsidR="0011475D" w:rsidRDefault="0016448B" w:rsidP="00677577">
      <w:pPr>
        <w:pStyle w:val="Source"/>
      </w:pPr>
      <w:r>
        <w:t>3</w:t>
      </w:r>
      <w:r w:rsidR="00677577" w:rsidRPr="00167CB8">
        <w:t>. Information concerning those paid by a combination of pay methods is not included. In 2012 and 2022 the shares of employees in the combined group were, respectively, 4.6% and 5.0%.</w:t>
      </w:r>
    </w:p>
    <w:p w14:paraId="1FE94821" w14:textId="77777777" w:rsidR="0011475D" w:rsidRDefault="00677577" w:rsidP="00677577">
      <w:pPr>
        <w:pStyle w:val="Source"/>
      </w:pPr>
      <w:r w:rsidRPr="00167CB8">
        <w:rPr>
          <w:b/>
          <w:bCs/>
        </w:rPr>
        <w:t>Source:</w:t>
      </w:r>
      <w:r w:rsidRPr="00167CB8">
        <w:t xml:space="preserve"> HILDA waves 12 and 22.</w:t>
      </w:r>
    </w:p>
    <w:p w14:paraId="7118AFE7" w14:textId="7AB601C6" w:rsidR="00677577" w:rsidRPr="00167CB8" w:rsidRDefault="00677577" w:rsidP="00677577">
      <w:r w:rsidRPr="00167CB8">
        <w:t xml:space="preserve">Employees paid exactly by the award are typically found in the health care and social assistance sector, retail trade sector and accommodation and food services sector. Indeed, estimates by the FWC suggest that award-reliant employees are found in </w:t>
      </w:r>
      <w:r w:rsidR="0016448B">
        <w:t xml:space="preserve">four </w:t>
      </w:r>
      <w:r w:rsidRPr="00167CB8">
        <w:t>main sectors: accommodation and food services, health care and social assistance, retail trade, and administrative and support services. The</w:t>
      </w:r>
      <w:r w:rsidRPr="00167CB8" w:rsidDel="0016448B">
        <w:t xml:space="preserve"> </w:t>
      </w:r>
      <w:r w:rsidR="0016448B">
        <w:t xml:space="preserve">four </w:t>
      </w:r>
      <w:r w:rsidRPr="00167CB8">
        <w:t>sectors are said to account for over 65% of all modern award-reliant employees. The FWC also notes that over 63% of all modern award-reliant employees are covered by just 10 of the 121 modern awards that are currently in operation. In other words, award-reliant employees are typically concentrated in just a few sectors and typically covered by just a few set</w:t>
      </w:r>
      <w:r w:rsidR="0016448B">
        <w:t>s</w:t>
      </w:r>
      <w:r w:rsidRPr="00167CB8">
        <w:t xml:space="preserve"> of awards.</w:t>
      </w:r>
      <w:r w:rsidRPr="00167CB8">
        <w:rPr>
          <w:vertAlign w:val="superscript"/>
        </w:rPr>
        <w:footnoteReference w:id="1333"/>
      </w:r>
    </w:p>
    <w:p w14:paraId="6A1D44BB" w14:textId="753BB8C8" w:rsidR="0011475D" w:rsidRDefault="00677577" w:rsidP="00677577">
      <w:r w:rsidRPr="00C63BBE">
        <w:t xml:space="preserve">Table </w:t>
      </w:r>
      <w:r w:rsidR="0026614B" w:rsidRPr="00C63BBE">
        <w:t>5</w:t>
      </w:r>
      <w:r w:rsidR="0026614B">
        <w:t>6</w:t>
      </w:r>
      <w:r w:rsidR="0026614B" w:rsidRPr="00EF4CAA">
        <w:t xml:space="preserve"> </w:t>
      </w:r>
      <w:r w:rsidRPr="00EF4CAA">
        <w:t>draws on HILDA data from waves 12 to 22 and regression analysis to examine the</w:t>
      </w:r>
      <w:r w:rsidRPr="00167CB8">
        <w:t xml:space="preserve"> association between method of pay setting and wages while controlling for a range of other factors known to affect wages. The sample is restricted to persons employed full-time in their main job and the dependent variable is the natural logarithm of weekly wages in the main job in 2022 prices. A prime reason for focusing only on employees working full-time in their main job is that it helps minimise some of the confounding effects that may be associated with underemployment.</w:t>
      </w:r>
      <w:r w:rsidRPr="00167CB8">
        <w:rPr>
          <w:vertAlign w:val="superscript"/>
        </w:rPr>
        <w:footnoteReference w:id="1334"/>
      </w:r>
    </w:p>
    <w:p w14:paraId="331ADB4B" w14:textId="77777777" w:rsidR="0011475D" w:rsidRDefault="00677577" w:rsidP="00677577">
      <w:r w:rsidRPr="00167CB8">
        <w:t>In addition to controlling for method of pay setting, the wage regression controls for other characteristics known to affect wages (e.g. qualifications, trade union membership, geographic location, migrant status). The reference group consists of employees who hold a permanent appointment and who are paid exactly by the award. The coefficients on the ‘collective agreement’ variable in columns 1 and 2 show that, relative to those paid exactly according to the award, those covered by a collective agreement earn 13.9% more. The wage premium (or penalty) is given by a transformation of the coefficient as follows: [exp(coef)-1]*100. Those covered by an individual agreement or arrangement earn around 15% more than those paid exactly according to the award.</w:t>
      </w:r>
    </w:p>
    <w:p w14:paraId="5ABB1CCE" w14:textId="0F2CC1BA" w:rsidR="0011475D" w:rsidRDefault="00677577" w:rsidP="00677577">
      <w:r w:rsidRPr="00167CB8">
        <w:t>The estimates in column 1 also show that men on a fixed</w:t>
      </w:r>
      <w:r w:rsidR="00E27776">
        <w:t xml:space="preserve"> </w:t>
      </w:r>
      <w:r w:rsidRPr="00167CB8">
        <w:t xml:space="preserve">term contract earn around 14% more per week than </w:t>
      </w:r>
      <w:r w:rsidR="00FC2C83">
        <w:t>those on</w:t>
      </w:r>
      <w:r w:rsidR="00FC2C83" w:rsidRPr="00167CB8">
        <w:t xml:space="preserve"> </w:t>
      </w:r>
      <w:r w:rsidRPr="00167CB8">
        <w:t>permanent contracts and there is no significant difference in the earnings of men engaged on a permanent contract and those working on a casual arrangement.</w:t>
      </w:r>
      <w:r w:rsidRPr="00167CB8">
        <w:rPr>
          <w:vertAlign w:val="superscript"/>
        </w:rPr>
        <w:footnoteReference w:id="1335"/>
      </w:r>
      <w:r w:rsidRPr="00167CB8">
        <w:t xml:space="preserve"> Column 2 estimates for women employed full-time shows that those on a casual contract earn around 21% less (exp[-0.24)-1*100) than their counterparts on a permanent contract.</w:t>
      </w:r>
    </w:p>
    <w:p w14:paraId="40939CFB" w14:textId="6E9C50D4" w:rsidR="0011475D" w:rsidRDefault="00677577" w:rsidP="00677577">
      <w:r w:rsidRPr="00EF4CAA">
        <w:t xml:space="preserve">Columns 3 and 4 of </w:t>
      </w:r>
      <w:r w:rsidRPr="00C63BBE">
        <w:t xml:space="preserve">Table </w:t>
      </w:r>
      <w:r w:rsidR="0026614B" w:rsidRPr="00C63BBE">
        <w:t>5</w:t>
      </w:r>
      <w:r w:rsidR="0026614B">
        <w:t>6</w:t>
      </w:r>
      <w:r w:rsidR="0026614B" w:rsidRPr="00EF4CAA">
        <w:t xml:space="preserve"> </w:t>
      </w:r>
      <w:r w:rsidRPr="00EF4CAA">
        <w:t>present the results using a panel estimator (fixed effects estimator).</w:t>
      </w:r>
      <w:r w:rsidRPr="00167CB8">
        <w:t xml:space="preserve"> The advantage of this approach is that it controls for time invariant unobservable characteristics that may correlate with wages (e.g. ability and preferences regarding full-time work). The downside of this approach is that identification of the wage effect follows a transition from one characteristic to another. The lack of any statistical relationship between contract type and wages in columns 3 and 4 may reflect the fact that, within the sample of full-timers, those covered by a collective agreement tend to remain covered by a collective agreement from one year to the next (around 82% of men and 74% of women have no change in collective agreement status from one year to the next).</w:t>
      </w:r>
    </w:p>
    <w:p w14:paraId="420B870D" w14:textId="10F12DE3" w:rsidR="00677577" w:rsidRPr="00167CB8" w:rsidRDefault="00844718" w:rsidP="00844718">
      <w:pPr>
        <w:pStyle w:val="Caption"/>
      </w:pPr>
      <w:bookmarkStart w:id="964" w:name="_Toc194251480"/>
      <w:r>
        <w:t xml:space="preserve">Table </w:t>
      </w:r>
      <w:r>
        <w:fldChar w:fldCharType="begin"/>
      </w:r>
      <w:r>
        <w:instrText xml:space="preserve"> SEQ Table \* ARABIC </w:instrText>
      </w:r>
      <w:r>
        <w:fldChar w:fldCharType="separate"/>
      </w:r>
      <w:r w:rsidR="00DE5F5E">
        <w:rPr>
          <w:noProof/>
        </w:rPr>
        <w:t>56</w:t>
      </w:r>
      <w:r>
        <w:fldChar w:fldCharType="end"/>
      </w:r>
      <w:r>
        <w:t xml:space="preserve">: </w:t>
      </w:r>
      <w:bookmarkStart w:id="965" w:name="_Toc186991829"/>
      <w:bookmarkStart w:id="966" w:name="_Toc189310880"/>
      <w:r w:rsidR="00677577" w:rsidRPr="00167CB8">
        <w:t xml:space="preserve">Correlates of real weekly wages, estimates from </w:t>
      </w:r>
      <w:r>
        <w:t xml:space="preserve">ordinary least squares </w:t>
      </w:r>
      <w:r w:rsidR="00677577" w:rsidRPr="00167CB8">
        <w:t xml:space="preserve">and </w:t>
      </w:r>
      <w:r w:rsidR="007A33AD">
        <w:t>f</w:t>
      </w:r>
      <w:r w:rsidR="007A33AD" w:rsidRPr="00167CB8">
        <w:t xml:space="preserve">ixed </w:t>
      </w:r>
      <w:r w:rsidR="007A33AD">
        <w:t>e</w:t>
      </w:r>
      <w:r w:rsidR="007A33AD" w:rsidRPr="00167CB8">
        <w:t xml:space="preserve">ffects </w:t>
      </w:r>
      <w:r w:rsidR="00677577" w:rsidRPr="00167CB8">
        <w:t>regression</w:t>
      </w:r>
      <w:bookmarkEnd w:id="964"/>
      <w:bookmarkEnd w:id="965"/>
      <w:bookmarkEnd w:id="966"/>
    </w:p>
    <w:tbl>
      <w:tblPr>
        <w:tblW w:w="8880" w:type="dxa"/>
        <w:tblLayout w:type="fixed"/>
        <w:tblLook w:val="04A0" w:firstRow="1" w:lastRow="0" w:firstColumn="1" w:lastColumn="0" w:noHBand="0" w:noVBand="1"/>
      </w:tblPr>
      <w:tblGrid>
        <w:gridCol w:w="2834"/>
        <w:gridCol w:w="1511"/>
        <w:gridCol w:w="1512"/>
        <w:gridCol w:w="1511"/>
        <w:gridCol w:w="1512"/>
      </w:tblGrid>
      <w:tr w:rsidR="00677577" w:rsidRPr="00167CB8" w14:paraId="072ED410" w14:textId="77777777">
        <w:trPr>
          <w:trHeight w:val="283"/>
        </w:trPr>
        <w:tc>
          <w:tcPr>
            <w:tcW w:w="2835" w:type="dxa"/>
            <w:tcBorders>
              <w:top w:val="single" w:sz="4" w:space="0" w:color="auto"/>
              <w:left w:val="single" w:sz="4" w:space="0" w:color="auto"/>
              <w:bottom w:val="nil"/>
              <w:right w:val="nil"/>
            </w:tcBorders>
            <w:noWrap/>
            <w:vAlign w:val="bottom"/>
            <w:hideMark/>
          </w:tcPr>
          <w:p w14:paraId="4F48D64A" w14:textId="77777777" w:rsidR="00677577" w:rsidRPr="003A7C61" w:rsidRDefault="00677577">
            <w:pPr>
              <w:spacing w:after="0" w:line="240" w:lineRule="auto"/>
              <w:rPr>
                <w:b/>
                <w:bCs/>
                <w:sz w:val="20"/>
                <w:szCs w:val="20"/>
              </w:rPr>
            </w:pPr>
          </w:p>
        </w:tc>
        <w:tc>
          <w:tcPr>
            <w:tcW w:w="1512" w:type="dxa"/>
            <w:tcBorders>
              <w:top w:val="single" w:sz="4" w:space="0" w:color="auto"/>
              <w:left w:val="nil"/>
              <w:bottom w:val="nil"/>
              <w:right w:val="nil"/>
            </w:tcBorders>
            <w:noWrap/>
            <w:vAlign w:val="bottom"/>
            <w:hideMark/>
          </w:tcPr>
          <w:p w14:paraId="3851A32F" w14:textId="77777777" w:rsidR="00677577" w:rsidRPr="003A7C61" w:rsidRDefault="00677577" w:rsidP="008B0428">
            <w:pPr>
              <w:spacing w:after="0" w:line="240" w:lineRule="auto"/>
              <w:jc w:val="right"/>
              <w:rPr>
                <w:b/>
                <w:bCs/>
                <w:sz w:val="20"/>
                <w:szCs w:val="20"/>
              </w:rPr>
            </w:pPr>
            <w:r w:rsidRPr="003A7C61">
              <w:rPr>
                <w:b/>
                <w:bCs/>
                <w:sz w:val="20"/>
                <w:szCs w:val="20"/>
              </w:rPr>
              <w:t>OLS</w:t>
            </w:r>
          </w:p>
        </w:tc>
        <w:tc>
          <w:tcPr>
            <w:tcW w:w="1513" w:type="dxa"/>
            <w:tcBorders>
              <w:top w:val="single" w:sz="4" w:space="0" w:color="auto"/>
              <w:left w:val="nil"/>
              <w:bottom w:val="nil"/>
              <w:right w:val="nil"/>
            </w:tcBorders>
            <w:noWrap/>
            <w:vAlign w:val="bottom"/>
            <w:hideMark/>
          </w:tcPr>
          <w:p w14:paraId="2EEE14CC" w14:textId="77777777" w:rsidR="00677577" w:rsidRPr="003A7C61" w:rsidRDefault="00677577" w:rsidP="008B0428">
            <w:pPr>
              <w:spacing w:after="0" w:line="240" w:lineRule="auto"/>
              <w:jc w:val="right"/>
              <w:rPr>
                <w:b/>
                <w:bCs/>
                <w:sz w:val="20"/>
                <w:szCs w:val="20"/>
              </w:rPr>
            </w:pPr>
            <w:r w:rsidRPr="003A7C61">
              <w:rPr>
                <w:b/>
                <w:bCs/>
                <w:sz w:val="20"/>
                <w:szCs w:val="20"/>
              </w:rPr>
              <w:t>OLS</w:t>
            </w:r>
          </w:p>
        </w:tc>
        <w:tc>
          <w:tcPr>
            <w:tcW w:w="1512" w:type="dxa"/>
            <w:tcBorders>
              <w:top w:val="single" w:sz="4" w:space="0" w:color="auto"/>
              <w:left w:val="nil"/>
              <w:bottom w:val="nil"/>
              <w:right w:val="nil"/>
            </w:tcBorders>
            <w:noWrap/>
            <w:vAlign w:val="bottom"/>
            <w:hideMark/>
          </w:tcPr>
          <w:p w14:paraId="7EA09DF6" w14:textId="77777777" w:rsidR="00677577" w:rsidRPr="003A7C61" w:rsidRDefault="00677577" w:rsidP="008B0428">
            <w:pPr>
              <w:spacing w:after="0" w:line="240" w:lineRule="auto"/>
              <w:jc w:val="right"/>
              <w:rPr>
                <w:b/>
                <w:bCs/>
                <w:sz w:val="20"/>
                <w:szCs w:val="20"/>
              </w:rPr>
            </w:pPr>
            <w:r w:rsidRPr="003A7C61">
              <w:rPr>
                <w:b/>
                <w:bCs/>
                <w:sz w:val="20"/>
                <w:szCs w:val="20"/>
              </w:rPr>
              <w:t>FE</w:t>
            </w:r>
          </w:p>
        </w:tc>
        <w:tc>
          <w:tcPr>
            <w:tcW w:w="1513" w:type="dxa"/>
            <w:tcBorders>
              <w:top w:val="single" w:sz="4" w:space="0" w:color="auto"/>
              <w:left w:val="nil"/>
              <w:bottom w:val="nil"/>
              <w:right w:val="single" w:sz="4" w:space="0" w:color="auto"/>
            </w:tcBorders>
            <w:noWrap/>
            <w:vAlign w:val="bottom"/>
            <w:hideMark/>
          </w:tcPr>
          <w:p w14:paraId="72D8EDFC" w14:textId="77777777" w:rsidR="00677577" w:rsidRPr="003A7C61" w:rsidRDefault="00677577" w:rsidP="008B0428">
            <w:pPr>
              <w:spacing w:after="0" w:line="240" w:lineRule="auto"/>
              <w:jc w:val="right"/>
              <w:rPr>
                <w:b/>
                <w:bCs/>
                <w:sz w:val="20"/>
                <w:szCs w:val="20"/>
              </w:rPr>
            </w:pPr>
            <w:r w:rsidRPr="003A7C61">
              <w:rPr>
                <w:b/>
                <w:bCs/>
                <w:sz w:val="20"/>
                <w:szCs w:val="20"/>
              </w:rPr>
              <w:t>FE</w:t>
            </w:r>
          </w:p>
        </w:tc>
      </w:tr>
      <w:tr w:rsidR="00677577" w:rsidRPr="00167CB8" w14:paraId="2581C7FD" w14:textId="77777777">
        <w:trPr>
          <w:trHeight w:val="283"/>
        </w:trPr>
        <w:tc>
          <w:tcPr>
            <w:tcW w:w="2835" w:type="dxa"/>
            <w:tcBorders>
              <w:top w:val="nil"/>
              <w:left w:val="single" w:sz="4" w:space="0" w:color="auto"/>
              <w:bottom w:val="nil"/>
              <w:right w:val="nil"/>
            </w:tcBorders>
            <w:noWrap/>
            <w:vAlign w:val="bottom"/>
            <w:hideMark/>
          </w:tcPr>
          <w:p w14:paraId="2A8A1280" w14:textId="77777777" w:rsidR="00677577" w:rsidRPr="003A7C61" w:rsidRDefault="00677577">
            <w:pPr>
              <w:spacing w:after="0" w:line="240" w:lineRule="auto"/>
              <w:rPr>
                <w:b/>
                <w:bCs/>
                <w:sz w:val="20"/>
                <w:szCs w:val="20"/>
              </w:rPr>
            </w:pPr>
            <w:r w:rsidRPr="003A7C61">
              <w:rPr>
                <w:b/>
                <w:bCs/>
                <w:sz w:val="20"/>
                <w:szCs w:val="20"/>
              </w:rPr>
              <w:t xml:space="preserve"> </w:t>
            </w:r>
          </w:p>
        </w:tc>
        <w:tc>
          <w:tcPr>
            <w:tcW w:w="1512" w:type="dxa"/>
            <w:hideMark/>
          </w:tcPr>
          <w:p w14:paraId="0DF4842E" w14:textId="77777777" w:rsidR="00677577" w:rsidRPr="003A7C61" w:rsidRDefault="00677577" w:rsidP="008B0428">
            <w:pPr>
              <w:spacing w:after="0" w:line="240" w:lineRule="auto"/>
              <w:jc w:val="right"/>
              <w:rPr>
                <w:b/>
                <w:bCs/>
                <w:sz w:val="20"/>
                <w:szCs w:val="20"/>
              </w:rPr>
            </w:pPr>
            <w:r w:rsidRPr="003A7C61">
              <w:rPr>
                <w:b/>
                <w:bCs/>
                <w:sz w:val="20"/>
                <w:szCs w:val="20"/>
              </w:rPr>
              <w:t>Men</w:t>
            </w:r>
          </w:p>
        </w:tc>
        <w:tc>
          <w:tcPr>
            <w:tcW w:w="1513" w:type="dxa"/>
            <w:hideMark/>
          </w:tcPr>
          <w:p w14:paraId="787F9DB7" w14:textId="77777777" w:rsidR="00677577" w:rsidRPr="003A7C61" w:rsidRDefault="00677577" w:rsidP="008B0428">
            <w:pPr>
              <w:spacing w:after="0" w:line="240" w:lineRule="auto"/>
              <w:jc w:val="right"/>
              <w:rPr>
                <w:b/>
                <w:bCs/>
                <w:sz w:val="20"/>
                <w:szCs w:val="20"/>
              </w:rPr>
            </w:pPr>
            <w:r w:rsidRPr="003A7C61">
              <w:rPr>
                <w:b/>
                <w:bCs/>
                <w:sz w:val="20"/>
                <w:szCs w:val="20"/>
              </w:rPr>
              <w:t>Women</w:t>
            </w:r>
          </w:p>
        </w:tc>
        <w:tc>
          <w:tcPr>
            <w:tcW w:w="1512" w:type="dxa"/>
            <w:hideMark/>
          </w:tcPr>
          <w:p w14:paraId="52D280D9" w14:textId="77777777" w:rsidR="00677577" w:rsidRPr="003A7C61" w:rsidRDefault="00677577" w:rsidP="008B0428">
            <w:pPr>
              <w:spacing w:after="0" w:line="240" w:lineRule="auto"/>
              <w:jc w:val="right"/>
              <w:rPr>
                <w:b/>
                <w:bCs/>
                <w:sz w:val="20"/>
                <w:szCs w:val="20"/>
              </w:rPr>
            </w:pPr>
            <w:r w:rsidRPr="003A7C61">
              <w:rPr>
                <w:b/>
                <w:bCs/>
                <w:sz w:val="20"/>
                <w:szCs w:val="20"/>
              </w:rPr>
              <w:t>Men</w:t>
            </w:r>
          </w:p>
        </w:tc>
        <w:tc>
          <w:tcPr>
            <w:tcW w:w="1513" w:type="dxa"/>
            <w:tcBorders>
              <w:top w:val="nil"/>
              <w:left w:val="nil"/>
              <w:bottom w:val="nil"/>
              <w:right w:val="single" w:sz="4" w:space="0" w:color="auto"/>
            </w:tcBorders>
            <w:hideMark/>
          </w:tcPr>
          <w:p w14:paraId="70A5D8F9" w14:textId="77777777" w:rsidR="00677577" w:rsidRPr="003A7C61" w:rsidRDefault="00677577" w:rsidP="008B0428">
            <w:pPr>
              <w:spacing w:after="0" w:line="240" w:lineRule="auto"/>
              <w:jc w:val="right"/>
              <w:rPr>
                <w:b/>
                <w:bCs/>
                <w:sz w:val="20"/>
                <w:szCs w:val="20"/>
              </w:rPr>
            </w:pPr>
            <w:r w:rsidRPr="003A7C61">
              <w:rPr>
                <w:b/>
                <w:bCs/>
                <w:sz w:val="20"/>
                <w:szCs w:val="20"/>
              </w:rPr>
              <w:t>Women</w:t>
            </w:r>
          </w:p>
        </w:tc>
      </w:tr>
      <w:tr w:rsidR="00677577" w:rsidRPr="00167CB8" w14:paraId="78005593" w14:textId="77777777">
        <w:trPr>
          <w:trHeight w:val="283"/>
        </w:trPr>
        <w:tc>
          <w:tcPr>
            <w:tcW w:w="2835" w:type="dxa"/>
            <w:tcBorders>
              <w:top w:val="nil"/>
              <w:left w:val="single" w:sz="4" w:space="0" w:color="auto"/>
              <w:bottom w:val="single" w:sz="4" w:space="0" w:color="auto"/>
              <w:right w:val="nil"/>
            </w:tcBorders>
            <w:noWrap/>
            <w:vAlign w:val="bottom"/>
          </w:tcPr>
          <w:p w14:paraId="7EE1EE60" w14:textId="77777777" w:rsidR="00677577" w:rsidRPr="003A7C61" w:rsidRDefault="00677577">
            <w:pPr>
              <w:spacing w:after="0" w:line="240" w:lineRule="auto"/>
              <w:rPr>
                <w:b/>
                <w:bCs/>
                <w:sz w:val="20"/>
                <w:szCs w:val="20"/>
              </w:rPr>
            </w:pPr>
          </w:p>
        </w:tc>
        <w:tc>
          <w:tcPr>
            <w:tcW w:w="1512" w:type="dxa"/>
            <w:tcBorders>
              <w:top w:val="nil"/>
              <w:left w:val="nil"/>
              <w:bottom w:val="single" w:sz="4" w:space="0" w:color="auto"/>
              <w:right w:val="nil"/>
            </w:tcBorders>
            <w:noWrap/>
            <w:vAlign w:val="bottom"/>
            <w:hideMark/>
          </w:tcPr>
          <w:p w14:paraId="3C82E54B" w14:textId="77777777" w:rsidR="00677577" w:rsidRPr="003A7C61" w:rsidRDefault="00677577" w:rsidP="008B0428">
            <w:pPr>
              <w:spacing w:after="0" w:line="240" w:lineRule="auto"/>
              <w:jc w:val="right"/>
              <w:rPr>
                <w:b/>
                <w:bCs/>
                <w:sz w:val="20"/>
                <w:szCs w:val="20"/>
              </w:rPr>
            </w:pPr>
            <w:r w:rsidRPr="003A7C61">
              <w:rPr>
                <w:b/>
                <w:bCs/>
                <w:sz w:val="20"/>
                <w:szCs w:val="20"/>
              </w:rPr>
              <w:t>(1)</w:t>
            </w:r>
          </w:p>
        </w:tc>
        <w:tc>
          <w:tcPr>
            <w:tcW w:w="1513" w:type="dxa"/>
            <w:tcBorders>
              <w:top w:val="nil"/>
              <w:left w:val="nil"/>
              <w:bottom w:val="single" w:sz="4" w:space="0" w:color="auto"/>
              <w:right w:val="nil"/>
            </w:tcBorders>
            <w:noWrap/>
            <w:vAlign w:val="bottom"/>
            <w:hideMark/>
          </w:tcPr>
          <w:p w14:paraId="04A33103" w14:textId="77777777" w:rsidR="00677577" w:rsidRPr="003A7C61" w:rsidRDefault="00677577" w:rsidP="008B0428">
            <w:pPr>
              <w:spacing w:after="0" w:line="240" w:lineRule="auto"/>
              <w:jc w:val="right"/>
              <w:rPr>
                <w:b/>
                <w:bCs/>
                <w:sz w:val="20"/>
                <w:szCs w:val="20"/>
              </w:rPr>
            </w:pPr>
            <w:r w:rsidRPr="003A7C61">
              <w:rPr>
                <w:b/>
                <w:bCs/>
                <w:sz w:val="20"/>
                <w:szCs w:val="20"/>
              </w:rPr>
              <w:t>(2)</w:t>
            </w:r>
          </w:p>
        </w:tc>
        <w:tc>
          <w:tcPr>
            <w:tcW w:w="1512" w:type="dxa"/>
            <w:tcBorders>
              <w:top w:val="nil"/>
              <w:left w:val="nil"/>
              <w:bottom w:val="single" w:sz="4" w:space="0" w:color="auto"/>
              <w:right w:val="nil"/>
            </w:tcBorders>
            <w:noWrap/>
            <w:vAlign w:val="bottom"/>
            <w:hideMark/>
          </w:tcPr>
          <w:p w14:paraId="039BED80" w14:textId="77777777" w:rsidR="00677577" w:rsidRPr="003A7C61" w:rsidRDefault="00677577" w:rsidP="008B0428">
            <w:pPr>
              <w:spacing w:after="0" w:line="240" w:lineRule="auto"/>
              <w:jc w:val="right"/>
              <w:rPr>
                <w:b/>
                <w:bCs/>
                <w:sz w:val="20"/>
                <w:szCs w:val="20"/>
              </w:rPr>
            </w:pPr>
            <w:r w:rsidRPr="003A7C61">
              <w:rPr>
                <w:b/>
                <w:bCs/>
                <w:sz w:val="20"/>
                <w:szCs w:val="20"/>
              </w:rPr>
              <w:t>(3)</w:t>
            </w:r>
          </w:p>
        </w:tc>
        <w:tc>
          <w:tcPr>
            <w:tcW w:w="1513" w:type="dxa"/>
            <w:tcBorders>
              <w:top w:val="nil"/>
              <w:left w:val="nil"/>
              <w:bottom w:val="single" w:sz="4" w:space="0" w:color="auto"/>
              <w:right w:val="single" w:sz="4" w:space="0" w:color="auto"/>
            </w:tcBorders>
            <w:noWrap/>
            <w:vAlign w:val="bottom"/>
            <w:hideMark/>
          </w:tcPr>
          <w:p w14:paraId="0FF2FDD4" w14:textId="77777777" w:rsidR="00677577" w:rsidRPr="003A7C61" w:rsidRDefault="00677577" w:rsidP="008B0428">
            <w:pPr>
              <w:spacing w:after="0" w:line="240" w:lineRule="auto"/>
              <w:jc w:val="right"/>
              <w:rPr>
                <w:b/>
                <w:bCs/>
                <w:sz w:val="20"/>
                <w:szCs w:val="20"/>
              </w:rPr>
            </w:pPr>
            <w:r w:rsidRPr="003A7C61">
              <w:rPr>
                <w:b/>
                <w:bCs/>
                <w:sz w:val="20"/>
                <w:szCs w:val="20"/>
              </w:rPr>
              <w:t>(4)</w:t>
            </w:r>
          </w:p>
        </w:tc>
      </w:tr>
      <w:tr w:rsidR="00677577" w:rsidRPr="00167CB8" w14:paraId="56466C5C" w14:textId="77777777">
        <w:trPr>
          <w:trHeight w:val="283"/>
        </w:trPr>
        <w:tc>
          <w:tcPr>
            <w:tcW w:w="2835" w:type="dxa"/>
            <w:tcBorders>
              <w:top w:val="single" w:sz="4" w:space="0" w:color="auto"/>
              <w:left w:val="single" w:sz="4" w:space="0" w:color="auto"/>
              <w:bottom w:val="nil"/>
              <w:right w:val="nil"/>
            </w:tcBorders>
            <w:noWrap/>
            <w:vAlign w:val="bottom"/>
            <w:hideMark/>
          </w:tcPr>
          <w:p w14:paraId="3FDFE502" w14:textId="77777777" w:rsidR="00677577" w:rsidRPr="003A7C61" w:rsidRDefault="00677577">
            <w:pPr>
              <w:spacing w:after="0" w:line="240" w:lineRule="auto"/>
              <w:rPr>
                <w:sz w:val="20"/>
                <w:szCs w:val="20"/>
              </w:rPr>
            </w:pPr>
            <w:r w:rsidRPr="003A7C61">
              <w:rPr>
                <w:sz w:val="20"/>
                <w:szCs w:val="20"/>
              </w:rPr>
              <w:t>Collective agreement</w:t>
            </w:r>
          </w:p>
        </w:tc>
        <w:tc>
          <w:tcPr>
            <w:tcW w:w="1512" w:type="dxa"/>
            <w:tcBorders>
              <w:top w:val="single" w:sz="4" w:space="0" w:color="auto"/>
              <w:left w:val="nil"/>
              <w:bottom w:val="nil"/>
              <w:right w:val="nil"/>
            </w:tcBorders>
            <w:noWrap/>
            <w:vAlign w:val="bottom"/>
            <w:hideMark/>
          </w:tcPr>
          <w:p w14:paraId="0B615A44" w14:textId="77777777" w:rsidR="00677577" w:rsidRPr="003A7C61" w:rsidRDefault="00677577" w:rsidP="008B0428">
            <w:pPr>
              <w:spacing w:after="0" w:line="240" w:lineRule="auto"/>
              <w:jc w:val="right"/>
              <w:rPr>
                <w:sz w:val="20"/>
                <w:szCs w:val="20"/>
              </w:rPr>
            </w:pPr>
            <w:r w:rsidRPr="003A7C61">
              <w:rPr>
                <w:sz w:val="20"/>
                <w:szCs w:val="20"/>
              </w:rPr>
              <w:t>0.132***</w:t>
            </w:r>
          </w:p>
        </w:tc>
        <w:tc>
          <w:tcPr>
            <w:tcW w:w="1513" w:type="dxa"/>
            <w:tcBorders>
              <w:top w:val="single" w:sz="4" w:space="0" w:color="auto"/>
              <w:left w:val="nil"/>
              <w:bottom w:val="nil"/>
              <w:right w:val="nil"/>
            </w:tcBorders>
            <w:noWrap/>
            <w:vAlign w:val="bottom"/>
            <w:hideMark/>
          </w:tcPr>
          <w:p w14:paraId="30D0A2B1" w14:textId="77777777" w:rsidR="00677577" w:rsidRPr="003A7C61" w:rsidRDefault="00677577" w:rsidP="008B0428">
            <w:pPr>
              <w:spacing w:after="0" w:line="240" w:lineRule="auto"/>
              <w:jc w:val="right"/>
              <w:rPr>
                <w:sz w:val="20"/>
                <w:szCs w:val="20"/>
              </w:rPr>
            </w:pPr>
            <w:r w:rsidRPr="003A7C61">
              <w:rPr>
                <w:sz w:val="20"/>
                <w:szCs w:val="20"/>
              </w:rPr>
              <w:t>0.133***</w:t>
            </w:r>
          </w:p>
        </w:tc>
        <w:tc>
          <w:tcPr>
            <w:tcW w:w="1512" w:type="dxa"/>
            <w:tcBorders>
              <w:top w:val="single" w:sz="4" w:space="0" w:color="auto"/>
              <w:left w:val="nil"/>
              <w:bottom w:val="nil"/>
              <w:right w:val="nil"/>
            </w:tcBorders>
            <w:noWrap/>
            <w:vAlign w:val="bottom"/>
            <w:hideMark/>
          </w:tcPr>
          <w:p w14:paraId="4EFE3EC9" w14:textId="77777777" w:rsidR="00677577" w:rsidRPr="003A7C61" w:rsidRDefault="00677577" w:rsidP="008B0428">
            <w:pPr>
              <w:spacing w:after="0" w:line="240" w:lineRule="auto"/>
              <w:jc w:val="right"/>
              <w:rPr>
                <w:sz w:val="20"/>
                <w:szCs w:val="20"/>
              </w:rPr>
            </w:pPr>
            <w:r w:rsidRPr="003A7C61">
              <w:rPr>
                <w:sz w:val="20"/>
                <w:szCs w:val="20"/>
              </w:rPr>
              <w:t>0.042</w:t>
            </w:r>
          </w:p>
        </w:tc>
        <w:tc>
          <w:tcPr>
            <w:tcW w:w="1513" w:type="dxa"/>
            <w:tcBorders>
              <w:top w:val="single" w:sz="4" w:space="0" w:color="auto"/>
              <w:left w:val="nil"/>
              <w:bottom w:val="nil"/>
              <w:right w:val="single" w:sz="4" w:space="0" w:color="auto"/>
            </w:tcBorders>
            <w:noWrap/>
            <w:vAlign w:val="bottom"/>
            <w:hideMark/>
          </w:tcPr>
          <w:p w14:paraId="0ABB80BC" w14:textId="77777777" w:rsidR="00677577" w:rsidRPr="003A7C61" w:rsidRDefault="00677577" w:rsidP="008B0428">
            <w:pPr>
              <w:spacing w:after="0" w:line="240" w:lineRule="auto"/>
              <w:jc w:val="right"/>
              <w:rPr>
                <w:sz w:val="20"/>
                <w:szCs w:val="20"/>
              </w:rPr>
            </w:pPr>
            <w:r w:rsidRPr="003A7C61">
              <w:rPr>
                <w:sz w:val="20"/>
                <w:szCs w:val="20"/>
              </w:rPr>
              <w:t>0.010</w:t>
            </w:r>
          </w:p>
        </w:tc>
      </w:tr>
      <w:tr w:rsidR="00677577" w:rsidRPr="00167CB8" w14:paraId="15FF5C88" w14:textId="77777777">
        <w:trPr>
          <w:trHeight w:val="283"/>
        </w:trPr>
        <w:tc>
          <w:tcPr>
            <w:tcW w:w="2835" w:type="dxa"/>
            <w:tcBorders>
              <w:top w:val="nil"/>
              <w:left w:val="single" w:sz="4" w:space="0" w:color="auto"/>
              <w:bottom w:val="nil"/>
              <w:right w:val="nil"/>
            </w:tcBorders>
            <w:noWrap/>
            <w:vAlign w:val="bottom"/>
            <w:hideMark/>
          </w:tcPr>
          <w:p w14:paraId="66B7EADF" w14:textId="77777777" w:rsidR="00677577" w:rsidRPr="003A7C61" w:rsidRDefault="00677577">
            <w:pPr>
              <w:spacing w:after="0" w:line="240" w:lineRule="auto"/>
              <w:rPr>
                <w:sz w:val="20"/>
                <w:szCs w:val="20"/>
              </w:rPr>
            </w:pPr>
          </w:p>
        </w:tc>
        <w:tc>
          <w:tcPr>
            <w:tcW w:w="1512" w:type="dxa"/>
            <w:noWrap/>
            <w:vAlign w:val="bottom"/>
            <w:hideMark/>
          </w:tcPr>
          <w:p w14:paraId="38BA6AF8" w14:textId="77777777" w:rsidR="00677577" w:rsidRPr="003A7C61" w:rsidRDefault="00677577" w:rsidP="008B0428">
            <w:pPr>
              <w:spacing w:after="0" w:line="240" w:lineRule="auto"/>
              <w:jc w:val="right"/>
              <w:rPr>
                <w:sz w:val="20"/>
                <w:szCs w:val="20"/>
              </w:rPr>
            </w:pPr>
            <w:r w:rsidRPr="003A7C61">
              <w:rPr>
                <w:sz w:val="20"/>
                <w:szCs w:val="20"/>
              </w:rPr>
              <w:t>(0.042)</w:t>
            </w:r>
          </w:p>
        </w:tc>
        <w:tc>
          <w:tcPr>
            <w:tcW w:w="1513" w:type="dxa"/>
            <w:noWrap/>
            <w:vAlign w:val="bottom"/>
            <w:hideMark/>
          </w:tcPr>
          <w:p w14:paraId="62A66C88" w14:textId="77777777" w:rsidR="00677577" w:rsidRPr="003A7C61" w:rsidRDefault="00677577" w:rsidP="008B0428">
            <w:pPr>
              <w:spacing w:after="0" w:line="240" w:lineRule="auto"/>
              <w:jc w:val="right"/>
              <w:rPr>
                <w:sz w:val="20"/>
                <w:szCs w:val="20"/>
              </w:rPr>
            </w:pPr>
            <w:r w:rsidRPr="003A7C61">
              <w:rPr>
                <w:sz w:val="20"/>
                <w:szCs w:val="20"/>
              </w:rPr>
              <w:t>(0.048)</w:t>
            </w:r>
          </w:p>
        </w:tc>
        <w:tc>
          <w:tcPr>
            <w:tcW w:w="1512" w:type="dxa"/>
            <w:noWrap/>
            <w:vAlign w:val="bottom"/>
            <w:hideMark/>
          </w:tcPr>
          <w:p w14:paraId="259E7F57" w14:textId="77777777" w:rsidR="00677577" w:rsidRPr="003A7C61" w:rsidRDefault="00677577" w:rsidP="008B0428">
            <w:pPr>
              <w:spacing w:after="0" w:line="240" w:lineRule="auto"/>
              <w:jc w:val="right"/>
              <w:rPr>
                <w:sz w:val="20"/>
                <w:szCs w:val="20"/>
              </w:rPr>
            </w:pPr>
            <w:r w:rsidRPr="003A7C61">
              <w:rPr>
                <w:sz w:val="20"/>
                <w:szCs w:val="20"/>
              </w:rPr>
              <w:t>(0.032)</w:t>
            </w:r>
          </w:p>
        </w:tc>
        <w:tc>
          <w:tcPr>
            <w:tcW w:w="1513" w:type="dxa"/>
            <w:tcBorders>
              <w:top w:val="nil"/>
              <w:left w:val="nil"/>
              <w:bottom w:val="nil"/>
              <w:right w:val="single" w:sz="4" w:space="0" w:color="auto"/>
            </w:tcBorders>
            <w:noWrap/>
            <w:vAlign w:val="bottom"/>
            <w:hideMark/>
          </w:tcPr>
          <w:p w14:paraId="4C87EF97" w14:textId="77777777" w:rsidR="00677577" w:rsidRPr="003A7C61" w:rsidRDefault="00677577" w:rsidP="008B0428">
            <w:pPr>
              <w:spacing w:after="0" w:line="240" w:lineRule="auto"/>
              <w:jc w:val="right"/>
              <w:rPr>
                <w:sz w:val="20"/>
                <w:szCs w:val="20"/>
              </w:rPr>
            </w:pPr>
            <w:r w:rsidRPr="003A7C61">
              <w:rPr>
                <w:sz w:val="20"/>
                <w:szCs w:val="20"/>
              </w:rPr>
              <w:t>(0.038)</w:t>
            </w:r>
          </w:p>
        </w:tc>
      </w:tr>
      <w:tr w:rsidR="00677577" w:rsidRPr="00167CB8" w14:paraId="107E267C" w14:textId="77777777">
        <w:trPr>
          <w:trHeight w:val="283"/>
        </w:trPr>
        <w:tc>
          <w:tcPr>
            <w:tcW w:w="2835" w:type="dxa"/>
            <w:tcBorders>
              <w:top w:val="nil"/>
              <w:left w:val="single" w:sz="4" w:space="0" w:color="auto"/>
              <w:bottom w:val="nil"/>
              <w:right w:val="nil"/>
            </w:tcBorders>
            <w:noWrap/>
            <w:vAlign w:val="bottom"/>
            <w:hideMark/>
          </w:tcPr>
          <w:p w14:paraId="008D9DBC" w14:textId="77777777" w:rsidR="00677577" w:rsidRPr="003A7C61" w:rsidRDefault="00677577">
            <w:pPr>
              <w:spacing w:after="0" w:line="240" w:lineRule="auto"/>
              <w:rPr>
                <w:sz w:val="20"/>
                <w:szCs w:val="20"/>
              </w:rPr>
            </w:pPr>
            <w:r w:rsidRPr="003A7C61">
              <w:rPr>
                <w:sz w:val="20"/>
                <w:szCs w:val="20"/>
              </w:rPr>
              <w:t>Individual agreement</w:t>
            </w:r>
          </w:p>
        </w:tc>
        <w:tc>
          <w:tcPr>
            <w:tcW w:w="1512" w:type="dxa"/>
            <w:noWrap/>
            <w:vAlign w:val="bottom"/>
            <w:hideMark/>
          </w:tcPr>
          <w:p w14:paraId="53E8DDFB" w14:textId="77777777" w:rsidR="00677577" w:rsidRPr="003A7C61" w:rsidRDefault="00677577" w:rsidP="008B0428">
            <w:pPr>
              <w:spacing w:after="0" w:line="240" w:lineRule="auto"/>
              <w:jc w:val="right"/>
              <w:rPr>
                <w:sz w:val="20"/>
                <w:szCs w:val="20"/>
              </w:rPr>
            </w:pPr>
            <w:r w:rsidRPr="003A7C61">
              <w:rPr>
                <w:sz w:val="20"/>
                <w:szCs w:val="20"/>
              </w:rPr>
              <w:t>0.146***</w:t>
            </w:r>
          </w:p>
        </w:tc>
        <w:tc>
          <w:tcPr>
            <w:tcW w:w="1513" w:type="dxa"/>
            <w:noWrap/>
            <w:vAlign w:val="bottom"/>
            <w:hideMark/>
          </w:tcPr>
          <w:p w14:paraId="2798D83A" w14:textId="77777777" w:rsidR="00677577" w:rsidRPr="003A7C61" w:rsidRDefault="00677577" w:rsidP="008B0428">
            <w:pPr>
              <w:spacing w:after="0" w:line="240" w:lineRule="auto"/>
              <w:jc w:val="right"/>
              <w:rPr>
                <w:sz w:val="20"/>
                <w:szCs w:val="20"/>
              </w:rPr>
            </w:pPr>
            <w:r w:rsidRPr="003A7C61">
              <w:rPr>
                <w:sz w:val="20"/>
                <w:szCs w:val="20"/>
              </w:rPr>
              <w:t>0.149***</w:t>
            </w:r>
          </w:p>
        </w:tc>
        <w:tc>
          <w:tcPr>
            <w:tcW w:w="1512" w:type="dxa"/>
            <w:noWrap/>
            <w:vAlign w:val="bottom"/>
            <w:hideMark/>
          </w:tcPr>
          <w:p w14:paraId="2DABF98B" w14:textId="77777777" w:rsidR="00677577" w:rsidRPr="003A7C61" w:rsidRDefault="00677577" w:rsidP="008B0428">
            <w:pPr>
              <w:spacing w:after="0" w:line="240" w:lineRule="auto"/>
              <w:jc w:val="right"/>
              <w:rPr>
                <w:sz w:val="20"/>
                <w:szCs w:val="20"/>
              </w:rPr>
            </w:pPr>
            <w:r w:rsidRPr="003A7C61">
              <w:rPr>
                <w:sz w:val="20"/>
                <w:szCs w:val="20"/>
              </w:rPr>
              <w:t>0.051</w:t>
            </w:r>
          </w:p>
        </w:tc>
        <w:tc>
          <w:tcPr>
            <w:tcW w:w="1513" w:type="dxa"/>
            <w:tcBorders>
              <w:top w:val="nil"/>
              <w:left w:val="nil"/>
              <w:bottom w:val="nil"/>
              <w:right w:val="single" w:sz="4" w:space="0" w:color="auto"/>
            </w:tcBorders>
            <w:noWrap/>
            <w:vAlign w:val="bottom"/>
            <w:hideMark/>
          </w:tcPr>
          <w:p w14:paraId="3991267C" w14:textId="77777777" w:rsidR="00677577" w:rsidRPr="003A7C61" w:rsidRDefault="00677577" w:rsidP="008B0428">
            <w:pPr>
              <w:spacing w:after="0" w:line="240" w:lineRule="auto"/>
              <w:jc w:val="right"/>
              <w:rPr>
                <w:sz w:val="20"/>
                <w:szCs w:val="20"/>
              </w:rPr>
            </w:pPr>
            <w:r w:rsidRPr="003A7C61">
              <w:rPr>
                <w:sz w:val="20"/>
                <w:szCs w:val="20"/>
              </w:rPr>
              <w:t>0.017</w:t>
            </w:r>
          </w:p>
        </w:tc>
      </w:tr>
      <w:tr w:rsidR="00677577" w:rsidRPr="00167CB8" w14:paraId="1E51FC4F" w14:textId="77777777">
        <w:trPr>
          <w:trHeight w:val="283"/>
        </w:trPr>
        <w:tc>
          <w:tcPr>
            <w:tcW w:w="2835" w:type="dxa"/>
            <w:tcBorders>
              <w:top w:val="nil"/>
              <w:left w:val="single" w:sz="4" w:space="0" w:color="auto"/>
              <w:bottom w:val="nil"/>
              <w:right w:val="nil"/>
            </w:tcBorders>
            <w:noWrap/>
            <w:vAlign w:val="bottom"/>
            <w:hideMark/>
          </w:tcPr>
          <w:p w14:paraId="529728CE" w14:textId="77777777" w:rsidR="00677577" w:rsidRPr="003A7C61" w:rsidRDefault="00677577">
            <w:pPr>
              <w:spacing w:after="0" w:line="240" w:lineRule="auto"/>
              <w:rPr>
                <w:sz w:val="20"/>
                <w:szCs w:val="20"/>
              </w:rPr>
            </w:pPr>
          </w:p>
        </w:tc>
        <w:tc>
          <w:tcPr>
            <w:tcW w:w="1512" w:type="dxa"/>
            <w:noWrap/>
            <w:vAlign w:val="bottom"/>
            <w:hideMark/>
          </w:tcPr>
          <w:p w14:paraId="0C0544CD" w14:textId="77777777" w:rsidR="00677577" w:rsidRPr="003A7C61" w:rsidRDefault="00677577" w:rsidP="008B0428">
            <w:pPr>
              <w:spacing w:after="0" w:line="240" w:lineRule="auto"/>
              <w:jc w:val="right"/>
              <w:rPr>
                <w:sz w:val="20"/>
                <w:szCs w:val="20"/>
              </w:rPr>
            </w:pPr>
            <w:r w:rsidRPr="003A7C61">
              <w:rPr>
                <w:sz w:val="20"/>
                <w:szCs w:val="20"/>
              </w:rPr>
              <w:t>(0.042)</w:t>
            </w:r>
          </w:p>
        </w:tc>
        <w:tc>
          <w:tcPr>
            <w:tcW w:w="1513" w:type="dxa"/>
            <w:noWrap/>
            <w:vAlign w:val="bottom"/>
            <w:hideMark/>
          </w:tcPr>
          <w:p w14:paraId="412D1768" w14:textId="77777777" w:rsidR="00677577" w:rsidRPr="003A7C61" w:rsidRDefault="00677577" w:rsidP="008B0428">
            <w:pPr>
              <w:spacing w:after="0" w:line="240" w:lineRule="auto"/>
              <w:jc w:val="right"/>
              <w:rPr>
                <w:sz w:val="20"/>
                <w:szCs w:val="20"/>
              </w:rPr>
            </w:pPr>
            <w:r w:rsidRPr="003A7C61">
              <w:rPr>
                <w:sz w:val="20"/>
                <w:szCs w:val="20"/>
              </w:rPr>
              <w:t>(0.048)</w:t>
            </w:r>
          </w:p>
        </w:tc>
        <w:tc>
          <w:tcPr>
            <w:tcW w:w="1512" w:type="dxa"/>
            <w:noWrap/>
            <w:vAlign w:val="bottom"/>
            <w:hideMark/>
          </w:tcPr>
          <w:p w14:paraId="79E7CDB0" w14:textId="77777777" w:rsidR="00677577" w:rsidRPr="003A7C61" w:rsidRDefault="00677577" w:rsidP="008B0428">
            <w:pPr>
              <w:spacing w:after="0" w:line="240" w:lineRule="auto"/>
              <w:jc w:val="right"/>
              <w:rPr>
                <w:sz w:val="20"/>
                <w:szCs w:val="20"/>
              </w:rPr>
            </w:pPr>
            <w:r w:rsidRPr="003A7C61">
              <w:rPr>
                <w:sz w:val="20"/>
                <w:szCs w:val="20"/>
              </w:rPr>
              <w:t>(0.037)</w:t>
            </w:r>
          </w:p>
        </w:tc>
        <w:tc>
          <w:tcPr>
            <w:tcW w:w="1513" w:type="dxa"/>
            <w:tcBorders>
              <w:top w:val="nil"/>
              <w:left w:val="nil"/>
              <w:bottom w:val="nil"/>
              <w:right w:val="single" w:sz="4" w:space="0" w:color="auto"/>
            </w:tcBorders>
            <w:noWrap/>
            <w:vAlign w:val="bottom"/>
            <w:hideMark/>
          </w:tcPr>
          <w:p w14:paraId="4CCAE221" w14:textId="77777777" w:rsidR="00677577" w:rsidRPr="003A7C61" w:rsidRDefault="00677577" w:rsidP="008B0428">
            <w:pPr>
              <w:spacing w:after="0" w:line="240" w:lineRule="auto"/>
              <w:jc w:val="right"/>
              <w:rPr>
                <w:sz w:val="20"/>
                <w:szCs w:val="20"/>
              </w:rPr>
            </w:pPr>
            <w:r w:rsidRPr="003A7C61">
              <w:rPr>
                <w:sz w:val="20"/>
                <w:szCs w:val="20"/>
              </w:rPr>
              <w:t>(0.036)</w:t>
            </w:r>
          </w:p>
        </w:tc>
      </w:tr>
      <w:tr w:rsidR="00677577" w:rsidRPr="00167CB8" w14:paraId="4003E849" w14:textId="77777777">
        <w:trPr>
          <w:trHeight w:val="283"/>
        </w:trPr>
        <w:tc>
          <w:tcPr>
            <w:tcW w:w="2835" w:type="dxa"/>
            <w:tcBorders>
              <w:top w:val="nil"/>
              <w:left w:val="single" w:sz="4" w:space="0" w:color="auto"/>
              <w:bottom w:val="nil"/>
              <w:right w:val="nil"/>
            </w:tcBorders>
            <w:noWrap/>
            <w:vAlign w:val="bottom"/>
            <w:hideMark/>
          </w:tcPr>
          <w:p w14:paraId="4A4920E4" w14:textId="77777777" w:rsidR="00677577" w:rsidRPr="003A7C61" w:rsidRDefault="00677577">
            <w:pPr>
              <w:spacing w:after="0" w:line="240" w:lineRule="auto"/>
              <w:rPr>
                <w:sz w:val="20"/>
                <w:szCs w:val="20"/>
              </w:rPr>
            </w:pPr>
            <w:r w:rsidRPr="003A7C61">
              <w:rPr>
                <w:sz w:val="20"/>
                <w:szCs w:val="20"/>
              </w:rPr>
              <w:t>Other pay-setting arrangement</w:t>
            </w:r>
          </w:p>
        </w:tc>
        <w:tc>
          <w:tcPr>
            <w:tcW w:w="1512" w:type="dxa"/>
            <w:noWrap/>
            <w:vAlign w:val="bottom"/>
            <w:hideMark/>
          </w:tcPr>
          <w:p w14:paraId="727F9B86" w14:textId="77777777" w:rsidR="00677577" w:rsidRPr="003A7C61" w:rsidRDefault="00677577" w:rsidP="008B0428">
            <w:pPr>
              <w:spacing w:after="0" w:line="240" w:lineRule="auto"/>
              <w:jc w:val="right"/>
              <w:rPr>
                <w:sz w:val="20"/>
                <w:szCs w:val="20"/>
              </w:rPr>
            </w:pPr>
            <w:r w:rsidRPr="003A7C61">
              <w:rPr>
                <w:sz w:val="20"/>
                <w:szCs w:val="20"/>
              </w:rPr>
              <w:t>0.054</w:t>
            </w:r>
          </w:p>
        </w:tc>
        <w:tc>
          <w:tcPr>
            <w:tcW w:w="1513" w:type="dxa"/>
            <w:noWrap/>
            <w:vAlign w:val="bottom"/>
            <w:hideMark/>
          </w:tcPr>
          <w:p w14:paraId="247E5593" w14:textId="77777777" w:rsidR="00677577" w:rsidRPr="003A7C61" w:rsidRDefault="00677577" w:rsidP="008B0428">
            <w:pPr>
              <w:spacing w:after="0" w:line="240" w:lineRule="auto"/>
              <w:jc w:val="right"/>
              <w:rPr>
                <w:sz w:val="20"/>
                <w:szCs w:val="20"/>
              </w:rPr>
            </w:pPr>
            <w:r w:rsidRPr="003A7C61">
              <w:rPr>
                <w:sz w:val="20"/>
                <w:szCs w:val="20"/>
              </w:rPr>
              <w:t>0.066</w:t>
            </w:r>
          </w:p>
        </w:tc>
        <w:tc>
          <w:tcPr>
            <w:tcW w:w="1512" w:type="dxa"/>
            <w:noWrap/>
            <w:vAlign w:val="bottom"/>
            <w:hideMark/>
          </w:tcPr>
          <w:p w14:paraId="1DA59F7A" w14:textId="77777777" w:rsidR="00677577" w:rsidRPr="003A7C61" w:rsidRDefault="00677577" w:rsidP="008B0428">
            <w:pPr>
              <w:spacing w:after="0" w:line="240" w:lineRule="auto"/>
              <w:jc w:val="right"/>
              <w:rPr>
                <w:sz w:val="20"/>
                <w:szCs w:val="20"/>
              </w:rPr>
            </w:pPr>
            <w:r w:rsidRPr="003A7C61">
              <w:rPr>
                <w:sz w:val="20"/>
                <w:szCs w:val="20"/>
              </w:rPr>
              <w:t>0.075</w:t>
            </w:r>
          </w:p>
        </w:tc>
        <w:tc>
          <w:tcPr>
            <w:tcW w:w="1513" w:type="dxa"/>
            <w:tcBorders>
              <w:top w:val="nil"/>
              <w:left w:val="nil"/>
              <w:bottom w:val="nil"/>
              <w:right w:val="single" w:sz="4" w:space="0" w:color="auto"/>
            </w:tcBorders>
            <w:noWrap/>
            <w:vAlign w:val="bottom"/>
            <w:hideMark/>
          </w:tcPr>
          <w:p w14:paraId="75E3D233" w14:textId="77777777" w:rsidR="00677577" w:rsidRPr="003A7C61" w:rsidRDefault="00677577" w:rsidP="008B0428">
            <w:pPr>
              <w:spacing w:after="0" w:line="240" w:lineRule="auto"/>
              <w:jc w:val="right"/>
              <w:rPr>
                <w:sz w:val="20"/>
                <w:szCs w:val="20"/>
              </w:rPr>
            </w:pPr>
            <w:r w:rsidRPr="003A7C61">
              <w:rPr>
                <w:sz w:val="20"/>
                <w:szCs w:val="20"/>
              </w:rPr>
              <w:t>0.075</w:t>
            </w:r>
          </w:p>
        </w:tc>
      </w:tr>
      <w:tr w:rsidR="00677577" w:rsidRPr="00167CB8" w14:paraId="18C1FE35" w14:textId="77777777">
        <w:trPr>
          <w:trHeight w:val="283"/>
        </w:trPr>
        <w:tc>
          <w:tcPr>
            <w:tcW w:w="2835" w:type="dxa"/>
            <w:tcBorders>
              <w:top w:val="nil"/>
              <w:left w:val="single" w:sz="4" w:space="0" w:color="auto"/>
              <w:bottom w:val="nil"/>
              <w:right w:val="nil"/>
            </w:tcBorders>
            <w:noWrap/>
            <w:vAlign w:val="bottom"/>
            <w:hideMark/>
          </w:tcPr>
          <w:p w14:paraId="70F318CD" w14:textId="77777777" w:rsidR="00677577" w:rsidRPr="003A7C61" w:rsidRDefault="00677577">
            <w:pPr>
              <w:spacing w:after="0" w:line="240" w:lineRule="auto"/>
              <w:rPr>
                <w:sz w:val="20"/>
                <w:szCs w:val="20"/>
              </w:rPr>
            </w:pPr>
          </w:p>
        </w:tc>
        <w:tc>
          <w:tcPr>
            <w:tcW w:w="1512" w:type="dxa"/>
            <w:noWrap/>
            <w:vAlign w:val="bottom"/>
            <w:hideMark/>
          </w:tcPr>
          <w:p w14:paraId="390B59F9" w14:textId="77777777" w:rsidR="00677577" w:rsidRPr="003A7C61" w:rsidRDefault="00677577" w:rsidP="008B0428">
            <w:pPr>
              <w:spacing w:after="0" w:line="240" w:lineRule="auto"/>
              <w:jc w:val="right"/>
              <w:rPr>
                <w:sz w:val="20"/>
                <w:szCs w:val="20"/>
              </w:rPr>
            </w:pPr>
            <w:r w:rsidRPr="003A7C61">
              <w:rPr>
                <w:sz w:val="20"/>
                <w:szCs w:val="20"/>
              </w:rPr>
              <w:t>(0.065)</w:t>
            </w:r>
          </w:p>
        </w:tc>
        <w:tc>
          <w:tcPr>
            <w:tcW w:w="1513" w:type="dxa"/>
            <w:noWrap/>
            <w:vAlign w:val="bottom"/>
            <w:hideMark/>
          </w:tcPr>
          <w:p w14:paraId="038775B6" w14:textId="77777777" w:rsidR="00677577" w:rsidRPr="003A7C61" w:rsidRDefault="00677577" w:rsidP="008B0428">
            <w:pPr>
              <w:spacing w:after="0" w:line="240" w:lineRule="auto"/>
              <w:jc w:val="right"/>
              <w:rPr>
                <w:sz w:val="20"/>
                <w:szCs w:val="20"/>
              </w:rPr>
            </w:pPr>
            <w:r w:rsidRPr="003A7C61">
              <w:rPr>
                <w:sz w:val="20"/>
                <w:szCs w:val="20"/>
              </w:rPr>
              <w:t>(0.079)</w:t>
            </w:r>
          </w:p>
        </w:tc>
        <w:tc>
          <w:tcPr>
            <w:tcW w:w="1512" w:type="dxa"/>
            <w:noWrap/>
            <w:vAlign w:val="bottom"/>
            <w:hideMark/>
          </w:tcPr>
          <w:p w14:paraId="7EBB68D5" w14:textId="77777777" w:rsidR="00677577" w:rsidRPr="003A7C61" w:rsidRDefault="00677577" w:rsidP="008B0428">
            <w:pPr>
              <w:spacing w:after="0" w:line="240" w:lineRule="auto"/>
              <w:jc w:val="right"/>
              <w:rPr>
                <w:sz w:val="20"/>
                <w:szCs w:val="20"/>
              </w:rPr>
            </w:pPr>
            <w:r w:rsidRPr="003A7C61">
              <w:rPr>
                <w:sz w:val="20"/>
                <w:szCs w:val="20"/>
              </w:rPr>
              <w:t>(0.046)</w:t>
            </w:r>
          </w:p>
        </w:tc>
        <w:tc>
          <w:tcPr>
            <w:tcW w:w="1513" w:type="dxa"/>
            <w:tcBorders>
              <w:top w:val="nil"/>
              <w:left w:val="nil"/>
              <w:bottom w:val="nil"/>
              <w:right w:val="single" w:sz="4" w:space="0" w:color="auto"/>
            </w:tcBorders>
            <w:noWrap/>
            <w:vAlign w:val="bottom"/>
            <w:hideMark/>
          </w:tcPr>
          <w:p w14:paraId="76B1A98A" w14:textId="77777777" w:rsidR="00677577" w:rsidRPr="003A7C61" w:rsidRDefault="00677577" w:rsidP="008B0428">
            <w:pPr>
              <w:spacing w:after="0" w:line="240" w:lineRule="auto"/>
              <w:jc w:val="right"/>
              <w:rPr>
                <w:sz w:val="20"/>
                <w:szCs w:val="20"/>
              </w:rPr>
            </w:pPr>
            <w:r w:rsidRPr="003A7C61">
              <w:rPr>
                <w:sz w:val="20"/>
                <w:szCs w:val="20"/>
              </w:rPr>
              <w:t>(0.065)</w:t>
            </w:r>
          </w:p>
        </w:tc>
      </w:tr>
      <w:tr w:rsidR="00677577" w:rsidRPr="00167CB8" w14:paraId="0DB562FF" w14:textId="77777777">
        <w:trPr>
          <w:trHeight w:val="283"/>
        </w:trPr>
        <w:tc>
          <w:tcPr>
            <w:tcW w:w="2835" w:type="dxa"/>
            <w:tcBorders>
              <w:top w:val="nil"/>
              <w:left w:val="single" w:sz="4" w:space="0" w:color="auto"/>
              <w:bottom w:val="nil"/>
              <w:right w:val="nil"/>
            </w:tcBorders>
            <w:noWrap/>
            <w:vAlign w:val="bottom"/>
            <w:hideMark/>
          </w:tcPr>
          <w:p w14:paraId="65420075" w14:textId="74E4D4DC" w:rsidR="00677577" w:rsidRPr="003A7C61" w:rsidRDefault="00677577">
            <w:pPr>
              <w:spacing w:after="0" w:line="240" w:lineRule="auto"/>
              <w:rPr>
                <w:sz w:val="20"/>
                <w:szCs w:val="20"/>
              </w:rPr>
            </w:pPr>
            <w:r w:rsidRPr="003A7C61">
              <w:rPr>
                <w:sz w:val="20"/>
                <w:szCs w:val="20"/>
              </w:rPr>
              <w:t>Fixed</w:t>
            </w:r>
            <w:r w:rsidR="00E27776">
              <w:rPr>
                <w:sz w:val="20"/>
                <w:szCs w:val="20"/>
              </w:rPr>
              <w:t xml:space="preserve"> </w:t>
            </w:r>
            <w:r w:rsidRPr="003A7C61">
              <w:rPr>
                <w:sz w:val="20"/>
                <w:szCs w:val="20"/>
              </w:rPr>
              <w:t>term contract</w:t>
            </w:r>
          </w:p>
        </w:tc>
        <w:tc>
          <w:tcPr>
            <w:tcW w:w="1512" w:type="dxa"/>
            <w:noWrap/>
            <w:vAlign w:val="bottom"/>
            <w:hideMark/>
          </w:tcPr>
          <w:p w14:paraId="3018741A" w14:textId="77777777" w:rsidR="00677577" w:rsidRPr="003A7C61" w:rsidRDefault="00677577" w:rsidP="008B0428">
            <w:pPr>
              <w:spacing w:after="0" w:line="240" w:lineRule="auto"/>
              <w:jc w:val="right"/>
              <w:rPr>
                <w:sz w:val="20"/>
                <w:szCs w:val="20"/>
              </w:rPr>
            </w:pPr>
            <w:r w:rsidRPr="003A7C61">
              <w:rPr>
                <w:sz w:val="20"/>
                <w:szCs w:val="20"/>
              </w:rPr>
              <w:t>0.132**</w:t>
            </w:r>
          </w:p>
        </w:tc>
        <w:tc>
          <w:tcPr>
            <w:tcW w:w="1513" w:type="dxa"/>
            <w:noWrap/>
            <w:vAlign w:val="bottom"/>
            <w:hideMark/>
          </w:tcPr>
          <w:p w14:paraId="352ADCFE" w14:textId="77777777" w:rsidR="00677577" w:rsidRPr="003A7C61" w:rsidRDefault="00677577" w:rsidP="008B0428">
            <w:pPr>
              <w:spacing w:after="0" w:line="240" w:lineRule="auto"/>
              <w:jc w:val="right"/>
              <w:rPr>
                <w:sz w:val="20"/>
                <w:szCs w:val="20"/>
              </w:rPr>
            </w:pPr>
            <w:r w:rsidRPr="003A7C61">
              <w:rPr>
                <w:sz w:val="20"/>
                <w:szCs w:val="20"/>
              </w:rPr>
              <w:t>0.054</w:t>
            </w:r>
          </w:p>
        </w:tc>
        <w:tc>
          <w:tcPr>
            <w:tcW w:w="1512" w:type="dxa"/>
            <w:noWrap/>
            <w:vAlign w:val="bottom"/>
            <w:hideMark/>
          </w:tcPr>
          <w:p w14:paraId="486CC40E" w14:textId="77777777" w:rsidR="00677577" w:rsidRPr="003A7C61" w:rsidRDefault="00677577" w:rsidP="008B0428">
            <w:pPr>
              <w:spacing w:after="0" w:line="240" w:lineRule="auto"/>
              <w:jc w:val="right"/>
              <w:rPr>
                <w:sz w:val="20"/>
                <w:szCs w:val="20"/>
              </w:rPr>
            </w:pPr>
            <w:r w:rsidRPr="003A7C61">
              <w:rPr>
                <w:sz w:val="20"/>
                <w:szCs w:val="20"/>
              </w:rPr>
              <w:t>-0.013</w:t>
            </w:r>
          </w:p>
        </w:tc>
        <w:tc>
          <w:tcPr>
            <w:tcW w:w="1513" w:type="dxa"/>
            <w:tcBorders>
              <w:top w:val="nil"/>
              <w:left w:val="nil"/>
              <w:bottom w:val="nil"/>
              <w:right w:val="single" w:sz="4" w:space="0" w:color="auto"/>
            </w:tcBorders>
            <w:noWrap/>
            <w:vAlign w:val="bottom"/>
            <w:hideMark/>
          </w:tcPr>
          <w:p w14:paraId="0FAA2761" w14:textId="77777777" w:rsidR="00677577" w:rsidRPr="003A7C61" w:rsidRDefault="00677577" w:rsidP="008B0428">
            <w:pPr>
              <w:spacing w:after="0" w:line="240" w:lineRule="auto"/>
              <w:jc w:val="right"/>
              <w:rPr>
                <w:sz w:val="20"/>
                <w:szCs w:val="20"/>
              </w:rPr>
            </w:pPr>
            <w:r w:rsidRPr="003A7C61">
              <w:rPr>
                <w:sz w:val="20"/>
                <w:szCs w:val="20"/>
              </w:rPr>
              <w:t>-0.048</w:t>
            </w:r>
          </w:p>
        </w:tc>
      </w:tr>
      <w:tr w:rsidR="00677577" w:rsidRPr="00167CB8" w14:paraId="11378BD3" w14:textId="77777777">
        <w:trPr>
          <w:trHeight w:val="283"/>
        </w:trPr>
        <w:tc>
          <w:tcPr>
            <w:tcW w:w="2835" w:type="dxa"/>
            <w:tcBorders>
              <w:top w:val="nil"/>
              <w:left w:val="single" w:sz="4" w:space="0" w:color="auto"/>
              <w:bottom w:val="nil"/>
              <w:right w:val="nil"/>
            </w:tcBorders>
            <w:noWrap/>
            <w:vAlign w:val="bottom"/>
            <w:hideMark/>
          </w:tcPr>
          <w:p w14:paraId="02A3914E" w14:textId="77777777" w:rsidR="00677577" w:rsidRPr="003A7C61" w:rsidRDefault="00677577">
            <w:pPr>
              <w:spacing w:after="0" w:line="240" w:lineRule="auto"/>
              <w:rPr>
                <w:sz w:val="20"/>
                <w:szCs w:val="20"/>
              </w:rPr>
            </w:pPr>
          </w:p>
        </w:tc>
        <w:tc>
          <w:tcPr>
            <w:tcW w:w="1512" w:type="dxa"/>
            <w:noWrap/>
            <w:vAlign w:val="bottom"/>
            <w:hideMark/>
          </w:tcPr>
          <w:p w14:paraId="580A0772" w14:textId="77777777" w:rsidR="00677577" w:rsidRPr="003A7C61" w:rsidRDefault="00677577" w:rsidP="008B0428">
            <w:pPr>
              <w:spacing w:after="0" w:line="240" w:lineRule="auto"/>
              <w:jc w:val="right"/>
              <w:rPr>
                <w:sz w:val="20"/>
                <w:szCs w:val="20"/>
              </w:rPr>
            </w:pPr>
            <w:r w:rsidRPr="003A7C61">
              <w:rPr>
                <w:sz w:val="20"/>
                <w:szCs w:val="20"/>
              </w:rPr>
              <w:t>(0.054)</w:t>
            </w:r>
          </w:p>
        </w:tc>
        <w:tc>
          <w:tcPr>
            <w:tcW w:w="1513" w:type="dxa"/>
            <w:noWrap/>
            <w:vAlign w:val="bottom"/>
            <w:hideMark/>
          </w:tcPr>
          <w:p w14:paraId="13CC7D68" w14:textId="77777777" w:rsidR="00677577" w:rsidRPr="003A7C61" w:rsidRDefault="00677577" w:rsidP="008B0428">
            <w:pPr>
              <w:spacing w:after="0" w:line="240" w:lineRule="auto"/>
              <w:jc w:val="right"/>
              <w:rPr>
                <w:sz w:val="20"/>
                <w:szCs w:val="20"/>
              </w:rPr>
            </w:pPr>
            <w:r w:rsidRPr="003A7C61">
              <w:rPr>
                <w:sz w:val="20"/>
                <w:szCs w:val="20"/>
              </w:rPr>
              <w:t>(0.046)</w:t>
            </w:r>
          </w:p>
        </w:tc>
        <w:tc>
          <w:tcPr>
            <w:tcW w:w="1512" w:type="dxa"/>
            <w:noWrap/>
            <w:vAlign w:val="bottom"/>
            <w:hideMark/>
          </w:tcPr>
          <w:p w14:paraId="26F3B2DC" w14:textId="77777777" w:rsidR="00677577" w:rsidRPr="003A7C61" w:rsidRDefault="00677577" w:rsidP="008B0428">
            <w:pPr>
              <w:spacing w:after="0" w:line="240" w:lineRule="auto"/>
              <w:jc w:val="right"/>
              <w:rPr>
                <w:sz w:val="20"/>
                <w:szCs w:val="20"/>
              </w:rPr>
            </w:pPr>
            <w:r w:rsidRPr="003A7C61">
              <w:rPr>
                <w:sz w:val="20"/>
                <w:szCs w:val="20"/>
              </w:rPr>
              <w:t>(0.034)</w:t>
            </w:r>
          </w:p>
        </w:tc>
        <w:tc>
          <w:tcPr>
            <w:tcW w:w="1513" w:type="dxa"/>
            <w:tcBorders>
              <w:top w:val="nil"/>
              <w:left w:val="nil"/>
              <w:bottom w:val="nil"/>
              <w:right w:val="single" w:sz="4" w:space="0" w:color="auto"/>
            </w:tcBorders>
            <w:noWrap/>
            <w:vAlign w:val="bottom"/>
            <w:hideMark/>
          </w:tcPr>
          <w:p w14:paraId="6E215E9C" w14:textId="77777777" w:rsidR="00677577" w:rsidRPr="003A7C61" w:rsidRDefault="00677577" w:rsidP="008B0428">
            <w:pPr>
              <w:spacing w:after="0" w:line="240" w:lineRule="auto"/>
              <w:jc w:val="right"/>
              <w:rPr>
                <w:sz w:val="20"/>
                <w:szCs w:val="20"/>
              </w:rPr>
            </w:pPr>
            <w:r w:rsidRPr="003A7C61">
              <w:rPr>
                <w:sz w:val="20"/>
                <w:szCs w:val="20"/>
              </w:rPr>
              <w:t>(0.037)</w:t>
            </w:r>
          </w:p>
        </w:tc>
      </w:tr>
      <w:tr w:rsidR="00677577" w:rsidRPr="00167CB8" w14:paraId="0DF50F9A" w14:textId="77777777">
        <w:trPr>
          <w:trHeight w:val="283"/>
        </w:trPr>
        <w:tc>
          <w:tcPr>
            <w:tcW w:w="2835" w:type="dxa"/>
            <w:tcBorders>
              <w:top w:val="nil"/>
              <w:left w:val="single" w:sz="4" w:space="0" w:color="auto"/>
              <w:bottom w:val="nil"/>
              <w:right w:val="nil"/>
            </w:tcBorders>
            <w:noWrap/>
            <w:vAlign w:val="bottom"/>
            <w:hideMark/>
          </w:tcPr>
          <w:p w14:paraId="1AFBC897" w14:textId="77777777" w:rsidR="00677577" w:rsidRPr="003A7C61" w:rsidRDefault="00677577">
            <w:pPr>
              <w:spacing w:after="0" w:line="240" w:lineRule="auto"/>
              <w:rPr>
                <w:sz w:val="20"/>
                <w:szCs w:val="20"/>
              </w:rPr>
            </w:pPr>
            <w:r w:rsidRPr="003A7C61">
              <w:rPr>
                <w:sz w:val="20"/>
                <w:szCs w:val="20"/>
              </w:rPr>
              <w:t>Casual contract</w:t>
            </w:r>
          </w:p>
        </w:tc>
        <w:tc>
          <w:tcPr>
            <w:tcW w:w="1512" w:type="dxa"/>
            <w:noWrap/>
            <w:vAlign w:val="bottom"/>
            <w:hideMark/>
          </w:tcPr>
          <w:p w14:paraId="484AFF67" w14:textId="77777777" w:rsidR="00677577" w:rsidRPr="003A7C61" w:rsidRDefault="00677577" w:rsidP="008B0428">
            <w:pPr>
              <w:spacing w:after="0" w:line="240" w:lineRule="auto"/>
              <w:jc w:val="right"/>
              <w:rPr>
                <w:sz w:val="20"/>
                <w:szCs w:val="20"/>
              </w:rPr>
            </w:pPr>
            <w:r w:rsidRPr="003A7C61">
              <w:rPr>
                <w:sz w:val="20"/>
                <w:szCs w:val="20"/>
              </w:rPr>
              <w:t>-0.064</w:t>
            </w:r>
          </w:p>
        </w:tc>
        <w:tc>
          <w:tcPr>
            <w:tcW w:w="1513" w:type="dxa"/>
            <w:noWrap/>
            <w:vAlign w:val="bottom"/>
            <w:hideMark/>
          </w:tcPr>
          <w:p w14:paraId="0034F541" w14:textId="77777777" w:rsidR="00677577" w:rsidRPr="003A7C61" w:rsidRDefault="00677577" w:rsidP="008B0428">
            <w:pPr>
              <w:spacing w:after="0" w:line="240" w:lineRule="auto"/>
              <w:jc w:val="right"/>
              <w:rPr>
                <w:sz w:val="20"/>
                <w:szCs w:val="20"/>
              </w:rPr>
            </w:pPr>
            <w:r w:rsidRPr="003A7C61">
              <w:rPr>
                <w:sz w:val="20"/>
                <w:szCs w:val="20"/>
              </w:rPr>
              <w:t>-0.240*</w:t>
            </w:r>
          </w:p>
        </w:tc>
        <w:tc>
          <w:tcPr>
            <w:tcW w:w="1512" w:type="dxa"/>
            <w:noWrap/>
            <w:vAlign w:val="bottom"/>
            <w:hideMark/>
          </w:tcPr>
          <w:p w14:paraId="0AB16222" w14:textId="77777777" w:rsidR="00677577" w:rsidRPr="003A7C61" w:rsidRDefault="00677577" w:rsidP="008B0428">
            <w:pPr>
              <w:spacing w:after="0" w:line="240" w:lineRule="auto"/>
              <w:jc w:val="right"/>
              <w:rPr>
                <w:sz w:val="20"/>
                <w:szCs w:val="20"/>
              </w:rPr>
            </w:pPr>
            <w:r w:rsidRPr="003A7C61">
              <w:rPr>
                <w:sz w:val="20"/>
                <w:szCs w:val="20"/>
              </w:rPr>
              <w:t>0.099*</w:t>
            </w:r>
          </w:p>
        </w:tc>
        <w:tc>
          <w:tcPr>
            <w:tcW w:w="1513" w:type="dxa"/>
            <w:tcBorders>
              <w:top w:val="nil"/>
              <w:left w:val="nil"/>
              <w:bottom w:val="nil"/>
              <w:right w:val="single" w:sz="4" w:space="0" w:color="auto"/>
            </w:tcBorders>
            <w:noWrap/>
            <w:vAlign w:val="bottom"/>
            <w:hideMark/>
          </w:tcPr>
          <w:p w14:paraId="520E6993" w14:textId="77777777" w:rsidR="00677577" w:rsidRPr="003A7C61" w:rsidRDefault="00677577" w:rsidP="008B0428">
            <w:pPr>
              <w:spacing w:after="0" w:line="240" w:lineRule="auto"/>
              <w:jc w:val="right"/>
              <w:rPr>
                <w:sz w:val="20"/>
                <w:szCs w:val="20"/>
              </w:rPr>
            </w:pPr>
            <w:r w:rsidRPr="003A7C61">
              <w:rPr>
                <w:sz w:val="20"/>
                <w:szCs w:val="20"/>
              </w:rPr>
              <w:t>-0.178***</w:t>
            </w:r>
          </w:p>
        </w:tc>
      </w:tr>
      <w:tr w:rsidR="00677577" w:rsidRPr="00167CB8" w14:paraId="12A1E680" w14:textId="77777777">
        <w:trPr>
          <w:trHeight w:val="283"/>
        </w:trPr>
        <w:tc>
          <w:tcPr>
            <w:tcW w:w="2835" w:type="dxa"/>
            <w:tcBorders>
              <w:top w:val="nil"/>
              <w:left w:val="single" w:sz="4" w:space="0" w:color="auto"/>
              <w:bottom w:val="nil"/>
              <w:right w:val="nil"/>
            </w:tcBorders>
            <w:noWrap/>
            <w:vAlign w:val="bottom"/>
            <w:hideMark/>
          </w:tcPr>
          <w:p w14:paraId="0D643E05" w14:textId="77777777" w:rsidR="00677577" w:rsidRPr="003A7C61" w:rsidRDefault="00677577">
            <w:pPr>
              <w:spacing w:after="0" w:line="240" w:lineRule="auto"/>
              <w:rPr>
                <w:sz w:val="20"/>
                <w:szCs w:val="20"/>
              </w:rPr>
            </w:pPr>
          </w:p>
        </w:tc>
        <w:tc>
          <w:tcPr>
            <w:tcW w:w="1512" w:type="dxa"/>
            <w:noWrap/>
            <w:vAlign w:val="bottom"/>
            <w:hideMark/>
          </w:tcPr>
          <w:p w14:paraId="59AC0CB3" w14:textId="77777777" w:rsidR="00677577" w:rsidRPr="003A7C61" w:rsidRDefault="00677577" w:rsidP="008B0428">
            <w:pPr>
              <w:spacing w:after="0" w:line="240" w:lineRule="auto"/>
              <w:jc w:val="right"/>
              <w:rPr>
                <w:sz w:val="20"/>
                <w:szCs w:val="20"/>
              </w:rPr>
            </w:pPr>
            <w:r w:rsidRPr="003A7C61">
              <w:rPr>
                <w:sz w:val="20"/>
                <w:szCs w:val="20"/>
              </w:rPr>
              <w:t>(0.050)</w:t>
            </w:r>
          </w:p>
        </w:tc>
        <w:tc>
          <w:tcPr>
            <w:tcW w:w="1513" w:type="dxa"/>
            <w:noWrap/>
            <w:vAlign w:val="bottom"/>
            <w:hideMark/>
          </w:tcPr>
          <w:p w14:paraId="3870026C" w14:textId="77777777" w:rsidR="00677577" w:rsidRPr="003A7C61" w:rsidRDefault="00677577" w:rsidP="008B0428">
            <w:pPr>
              <w:spacing w:after="0" w:line="240" w:lineRule="auto"/>
              <w:jc w:val="right"/>
              <w:rPr>
                <w:sz w:val="20"/>
                <w:szCs w:val="20"/>
              </w:rPr>
            </w:pPr>
            <w:r w:rsidRPr="003A7C61">
              <w:rPr>
                <w:sz w:val="20"/>
                <w:szCs w:val="20"/>
              </w:rPr>
              <w:t>(0.124)</w:t>
            </w:r>
          </w:p>
        </w:tc>
        <w:tc>
          <w:tcPr>
            <w:tcW w:w="1512" w:type="dxa"/>
            <w:noWrap/>
            <w:vAlign w:val="bottom"/>
            <w:hideMark/>
          </w:tcPr>
          <w:p w14:paraId="3C19C971" w14:textId="77777777" w:rsidR="00677577" w:rsidRPr="003A7C61" w:rsidRDefault="00677577" w:rsidP="008B0428">
            <w:pPr>
              <w:spacing w:after="0" w:line="240" w:lineRule="auto"/>
              <w:jc w:val="right"/>
              <w:rPr>
                <w:sz w:val="20"/>
                <w:szCs w:val="20"/>
              </w:rPr>
            </w:pPr>
            <w:r w:rsidRPr="003A7C61">
              <w:rPr>
                <w:sz w:val="20"/>
                <w:szCs w:val="20"/>
              </w:rPr>
              <w:t>(0.060)</w:t>
            </w:r>
          </w:p>
        </w:tc>
        <w:tc>
          <w:tcPr>
            <w:tcW w:w="1513" w:type="dxa"/>
            <w:tcBorders>
              <w:top w:val="nil"/>
              <w:left w:val="nil"/>
              <w:bottom w:val="nil"/>
              <w:right w:val="single" w:sz="4" w:space="0" w:color="auto"/>
            </w:tcBorders>
            <w:noWrap/>
            <w:vAlign w:val="bottom"/>
            <w:hideMark/>
          </w:tcPr>
          <w:p w14:paraId="4451D695" w14:textId="77777777" w:rsidR="00677577" w:rsidRPr="003A7C61" w:rsidRDefault="00677577" w:rsidP="008B0428">
            <w:pPr>
              <w:spacing w:after="0" w:line="240" w:lineRule="auto"/>
              <w:jc w:val="right"/>
              <w:rPr>
                <w:sz w:val="20"/>
                <w:szCs w:val="20"/>
              </w:rPr>
            </w:pPr>
            <w:r w:rsidRPr="003A7C61">
              <w:rPr>
                <w:sz w:val="20"/>
                <w:szCs w:val="20"/>
              </w:rPr>
              <w:t>(0.067)</w:t>
            </w:r>
          </w:p>
        </w:tc>
      </w:tr>
      <w:tr w:rsidR="00677577" w:rsidRPr="00167CB8" w14:paraId="1A903215" w14:textId="77777777">
        <w:trPr>
          <w:trHeight w:val="283"/>
        </w:trPr>
        <w:tc>
          <w:tcPr>
            <w:tcW w:w="2835" w:type="dxa"/>
            <w:tcBorders>
              <w:top w:val="single" w:sz="4" w:space="0" w:color="auto"/>
              <w:left w:val="single" w:sz="4" w:space="0" w:color="auto"/>
              <w:bottom w:val="single" w:sz="4" w:space="0" w:color="auto"/>
              <w:right w:val="nil"/>
            </w:tcBorders>
            <w:noWrap/>
            <w:vAlign w:val="bottom"/>
            <w:hideMark/>
          </w:tcPr>
          <w:p w14:paraId="68148434" w14:textId="77777777" w:rsidR="00677577" w:rsidRPr="003A7C61" w:rsidRDefault="00677577">
            <w:pPr>
              <w:spacing w:after="0" w:line="240" w:lineRule="auto"/>
              <w:rPr>
                <w:sz w:val="20"/>
                <w:szCs w:val="20"/>
              </w:rPr>
            </w:pPr>
            <w:r w:rsidRPr="003A7C61">
              <w:rPr>
                <w:sz w:val="20"/>
                <w:szCs w:val="20"/>
              </w:rPr>
              <w:t>Observations</w:t>
            </w:r>
          </w:p>
        </w:tc>
        <w:tc>
          <w:tcPr>
            <w:tcW w:w="1512" w:type="dxa"/>
            <w:tcBorders>
              <w:top w:val="single" w:sz="4" w:space="0" w:color="auto"/>
              <w:left w:val="nil"/>
              <w:bottom w:val="single" w:sz="4" w:space="0" w:color="auto"/>
              <w:right w:val="nil"/>
            </w:tcBorders>
            <w:noWrap/>
            <w:vAlign w:val="bottom"/>
            <w:hideMark/>
          </w:tcPr>
          <w:p w14:paraId="7620B892" w14:textId="77777777" w:rsidR="00677577" w:rsidRPr="003A7C61" w:rsidRDefault="00677577" w:rsidP="008B0428">
            <w:pPr>
              <w:spacing w:after="0" w:line="240" w:lineRule="auto"/>
              <w:jc w:val="right"/>
              <w:rPr>
                <w:sz w:val="20"/>
                <w:szCs w:val="20"/>
              </w:rPr>
            </w:pPr>
            <w:r w:rsidRPr="003A7C61">
              <w:rPr>
                <w:sz w:val="20"/>
                <w:szCs w:val="20"/>
              </w:rPr>
              <w:t>1,566</w:t>
            </w:r>
          </w:p>
        </w:tc>
        <w:tc>
          <w:tcPr>
            <w:tcW w:w="1513" w:type="dxa"/>
            <w:tcBorders>
              <w:top w:val="single" w:sz="4" w:space="0" w:color="auto"/>
              <w:left w:val="nil"/>
              <w:bottom w:val="single" w:sz="4" w:space="0" w:color="auto"/>
              <w:right w:val="nil"/>
            </w:tcBorders>
            <w:noWrap/>
            <w:vAlign w:val="bottom"/>
            <w:hideMark/>
          </w:tcPr>
          <w:p w14:paraId="6055B8A4" w14:textId="77777777" w:rsidR="00677577" w:rsidRPr="003A7C61" w:rsidRDefault="00677577" w:rsidP="008B0428">
            <w:pPr>
              <w:spacing w:after="0" w:line="240" w:lineRule="auto"/>
              <w:jc w:val="right"/>
              <w:rPr>
                <w:sz w:val="20"/>
                <w:szCs w:val="20"/>
              </w:rPr>
            </w:pPr>
            <w:r w:rsidRPr="003A7C61">
              <w:rPr>
                <w:sz w:val="20"/>
                <w:szCs w:val="20"/>
              </w:rPr>
              <w:t>980</w:t>
            </w:r>
          </w:p>
        </w:tc>
        <w:tc>
          <w:tcPr>
            <w:tcW w:w="1512" w:type="dxa"/>
            <w:tcBorders>
              <w:top w:val="single" w:sz="4" w:space="0" w:color="auto"/>
              <w:left w:val="nil"/>
              <w:bottom w:val="single" w:sz="4" w:space="0" w:color="auto"/>
              <w:right w:val="nil"/>
            </w:tcBorders>
            <w:noWrap/>
            <w:vAlign w:val="bottom"/>
            <w:hideMark/>
          </w:tcPr>
          <w:p w14:paraId="5399524E" w14:textId="77777777" w:rsidR="00677577" w:rsidRPr="003A7C61" w:rsidRDefault="00677577" w:rsidP="008B0428">
            <w:pPr>
              <w:spacing w:after="0" w:line="240" w:lineRule="auto"/>
              <w:jc w:val="right"/>
              <w:rPr>
                <w:sz w:val="20"/>
                <w:szCs w:val="20"/>
              </w:rPr>
            </w:pPr>
            <w:r w:rsidRPr="003A7C61">
              <w:rPr>
                <w:sz w:val="20"/>
                <w:szCs w:val="20"/>
              </w:rPr>
              <w:t>1,566</w:t>
            </w:r>
          </w:p>
        </w:tc>
        <w:tc>
          <w:tcPr>
            <w:tcW w:w="1513" w:type="dxa"/>
            <w:tcBorders>
              <w:top w:val="single" w:sz="4" w:space="0" w:color="auto"/>
              <w:left w:val="nil"/>
              <w:bottom w:val="single" w:sz="4" w:space="0" w:color="auto"/>
              <w:right w:val="single" w:sz="4" w:space="0" w:color="auto"/>
            </w:tcBorders>
            <w:noWrap/>
            <w:vAlign w:val="bottom"/>
            <w:hideMark/>
          </w:tcPr>
          <w:p w14:paraId="3BF7554D" w14:textId="77777777" w:rsidR="00677577" w:rsidRPr="003A7C61" w:rsidRDefault="00677577" w:rsidP="008B0428">
            <w:pPr>
              <w:spacing w:after="0" w:line="240" w:lineRule="auto"/>
              <w:jc w:val="right"/>
              <w:rPr>
                <w:sz w:val="20"/>
                <w:szCs w:val="20"/>
              </w:rPr>
            </w:pPr>
            <w:r w:rsidRPr="003A7C61">
              <w:rPr>
                <w:sz w:val="20"/>
                <w:szCs w:val="20"/>
              </w:rPr>
              <w:t>980</w:t>
            </w:r>
          </w:p>
        </w:tc>
      </w:tr>
      <w:tr w:rsidR="00677577" w:rsidRPr="00167CB8" w14:paraId="499F19F2" w14:textId="77777777">
        <w:trPr>
          <w:trHeight w:val="283"/>
        </w:trPr>
        <w:tc>
          <w:tcPr>
            <w:tcW w:w="2835" w:type="dxa"/>
            <w:tcBorders>
              <w:top w:val="single" w:sz="4" w:space="0" w:color="auto"/>
              <w:left w:val="single" w:sz="4" w:space="0" w:color="auto"/>
              <w:bottom w:val="single" w:sz="4" w:space="0" w:color="auto"/>
              <w:right w:val="nil"/>
            </w:tcBorders>
            <w:noWrap/>
            <w:vAlign w:val="bottom"/>
            <w:hideMark/>
          </w:tcPr>
          <w:p w14:paraId="28DE1191" w14:textId="77777777" w:rsidR="00677577" w:rsidRPr="003A7C61" w:rsidRDefault="00677577">
            <w:pPr>
              <w:spacing w:after="0" w:line="240" w:lineRule="auto"/>
              <w:rPr>
                <w:sz w:val="20"/>
                <w:szCs w:val="20"/>
              </w:rPr>
            </w:pPr>
            <w:r w:rsidRPr="003A7C61">
              <w:rPr>
                <w:sz w:val="20"/>
                <w:szCs w:val="20"/>
              </w:rPr>
              <w:t xml:space="preserve">Unique individuals </w:t>
            </w:r>
          </w:p>
        </w:tc>
        <w:tc>
          <w:tcPr>
            <w:tcW w:w="1512" w:type="dxa"/>
            <w:tcBorders>
              <w:top w:val="single" w:sz="4" w:space="0" w:color="auto"/>
              <w:left w:val="nil"/>
              <w:bottom w:val="single" w:sz="4" w:space="0" w:color="auto"/>
              <w:right w:val="nil"/>
            </w:tcBorders>
            <w:noWrap/>
            <w:vAlign w:val="bottom"/>
          </w:tcPr>
          <w:p w14:paraId="6A54BB85" w14:textId="77777777" w:rsidR="00677577" w:rsidRPr="003A7C61" w:rsidRDefault="00677577" w:rsidP="008B0428">
            <w:pPr>
              <w:spacing w:after="0" w:line="240" w:lineRule="auto"/>
              <w:jc w:val="right"/>
              <w:rPr>
                <w:sz w:val="20"/>
                <w:szCs w:val="20"/>
              </w:rPr>
            </w:pPr>
          </w:p>
        </w:tc>
        <w:tc>
          <w:tcPr>
            <w:tcW w:w="1513" w:type="dxa"/>
            <w:tcBorders>
              <w:top w:val="single" w:sz="4" w:space="0" w:color="auto"/>
              <w:left w:val="nil"/>
              <w:bottom w:val="single" w:sz="4" w:space="0" w:color="auto"/>
              <w:right w:val="nil"/>
            </w:tcBorders>
            <w:noWrap/>
            <w:vAlign w:val="bottom"/>
          </w:tcPr>
          <w:p w14:paraId="4FAAC0F8" w14:textId="77777777" w:rsidR="00677577" w:rsidRPr="003A7C61" w:rsidRDefault="00677577" w:rsidP="008B0428">
            <w:pPr>
              <w:spacing w:after="0" w:line="240" w:lineRule="auto"/>
              <w:jc w:val="right"/>
              <w:rPr>
                <w:sz w:val="20"/>
                <w:szCs w:val="20"/>
              </w:rPr>
            </w:pPr>
          </w:p>
        </w:tc>
        <w:tc>
          <w:tcPr>
            <w:tcW w:w="1512" w:type="dxa"/>
            <w:tcBorders>
              <w:top w:val="single" w:sz="4" w:space="0" w:color="auto"/>
              <w:left w:val="nil"/>
              <w:bottom w:val="single" w:sz="4" w:space="0" w:color="auto"/>
              <w:right w:val="nil"/>
            </w:tcBorders>
            <w:noWrap/>
            <w:vAlign w:val="bottom"/>
            <w:hideMark/>
          </w:tcPr>
          <w:p w14:paraId="64B9DA42" w14:textId="77777777" w:rsidR="00677577" w:rsidRPr="003A7C61" w:rsidRDefault="00677577" w:rsidP="008B0428">
            <w:pPr>
              <w:spacing w:after="0" w:line="240" w:lineRule="auto"/>
              <w:jc w:val="right"/>
              <w:rPr>
                <w:sz w:val="20"/>
                <w:szCs w:val="20"/>
              </w:rPr>
            </w:pPr>
            <w:r w:rsidRPr="003A7C61">
              <w:rPr>
                <w:sz w:val="20"/>
                <w:szCs w:val="20"/>
              </w:rPr>
              <w:t>769</w:t>
            </w:r>
          </w:p>
        </w:tc>
        <w:tc>
          <w:tcPr>
            <w:tcW w:w="1513" w:type="dxa"/>
            <w:tcBorders>
              <w:top w:val="single" w:sz="4" w:space="0" w:color="auto"/>
              <w:left w:val="nil"/>
              <w:bottom w:val="single" w:sz="4" w:space="0" w:color="auto"/>
              <w:right w:val="single" w:sz="4" w:space="0" w:color="auto"/>
            </w:tcBorders>
            <w:noWrap/>
            <w:vAlign w:val="bottom"/>
            <w:hideMark/>
          </w:tcPr>
          <w:p w14:paraId="48F712F5" w14:textId="77777777" w:rsidR="00677577" w:rsidRPr="003A7C61" w:rsidRDefault="00677577" w:rsidP="008B0428">
            <w:pPr>
              <w:spacing w:after="0" w:line="240" w:lineRule="auto"/>
              <w:jc w:val="right"/>
              <w:rPr>
                <w:sz w:val="20"/>
                <w:szCs w:val="20"/>
              </w:rPr>
            </w:pPr>
            <w:r w:rsidRPr="003A7C61">
              <w:rPr>
                <w:sz w:val="20"/>
                <w:szCs w:val="20"/>
              </w:rPr>
              <w:t>589</w:t>
            </w:r>
          </w:p>
        </w:tc>
      </w:tr>
    </w:tbl>
    <w:p w14:paraId="09558EEE" w14:textId="77777777" w:rsidR="0011475D" w:rsidRDefault="00677577" w:rsidP="00677577">
      <w:pPr>
        <w:pStyle w:val="Source"/>
        <w:rPr>
          <w:b/>
          <w:bCs/>
        </w:rPr>
      </w:pPr>
      <w:r w:rsidRPr="00167CB8">
        <w:rPr>
          <w:b/>
          <w:bCs/>
        </w:rPr>
        <w:t>Notes:</w:t>
      </w:r>
    </w:p>
    <w:p w14:paraId="2DB7FE79" w14:textId="40B771C6" w:rsidR="009F0D73" w:rsidRDefault="009F0D73" w:rsidP="00677577">
      <w:pPr>
        <w:pStyle w:val="Source"/>
      </w:pPr>
      <w:r>
        <w:t>1. OLS: ordinary least squares</w:t>
      </w:r>
      <w:r w:rsidR="00CB0208">
        <w:t>; FE: fixed effects</w:t>
      </w:r>
      <w:r>
        <w:t>.</w:t>
      </w:r>
    </w:p>
    <w:p w14:paraId="1776A82D" w14:textId="7794EBB9" w:rsidR="0011475D" w:rsidRDefault="009F0D73" w:rsidP="00677577">
      <w:pPr>
        <w:pStyle w:val="Source"/>
      </w:pPr>
      <w:r>
        <w:t>2</w:t>
      </w:r>
      <w:r w:rsidR="00677577" w:rsidRPr="00167CB8">
        <w:t xml:space="preserve">. Sample consists of respondents aged 21 to 64 who are employees, have an observable wage and work more than </w:t>
      </w:r>
      <w:r>
        <w:t>five</w:t>
      </w:r>
      <w:r w:rsidR="00677577" w:rsidRPr="00167CB8">
        <w:t xml:space="preserve"> hours per week in their main job and fewer than 60 hours per week in their main job, and have observable data on method of pay setting.</w:t>
      </w:r>
    </w:p>
    <w:p w14:paraId="2BB5BF76" w14:textId="4300899C" w:rsidR="00677577" w:rsidRPr="00167CB8" w:rsidRDefault="009F0D73" w:rsidP="00677577">
      <w:pPr>
        <w:pStyle w:val="Source"/>
      </w:pPr>
      <w:r>
        <w:t>3</w:t>
      </w:r>
      <w:r w:rsidR="00677577" w:rsidRPr="00167CB8">
        <w:t>. Dependent variable is the natural logarithm of main job weekly wages in 2022 prices.</w:t>
      </w:r>
    </w:p>
    <w:p w14:paraId="3342992B" w14:textId="4A8547E5" w:rsidR="0011475D" w:rsidRDefault="009F0D73" w:rsidP="00677577">
      <w:pPr>
        <w:pStyle w:val="Source"/>
      </w:pPr>
      <w:r>
        <w:t>4</w:t>
      </w:r>
      <w:r w:rsidR="00677577" w:rsidRPr="00167CB8">
        <w:t>. Columns 1 and 2 are based on OLS</w:t>
      </w:r>
      <w:r>
        <w:t>,</w:t>
      </w:r>
      <w:r w:rsidR="00677577" w:rsidRPr="00167CB8">
        <w:t xml:space="preserve"> while columns 3 and 4 present estimates using a fixed effects panel estimator.</w:t>
      </w:r>
    </w:p>
    <w:p w14:paraId="7DA9B5FC" w14:textId="2E423B03" w:rsidR="00677577" w:rsidRPr="00167CB8" w:rsidRDefault="009F0D73" w:rsidP="00677577">
      <w:pPr>
        <w:pStyle w:val="Source"/>
      </w:pPr>
      <w:r>
        <w:t>5</w:t>
      </w:r>
      <w:r w:rsidR="00677577" w:rsidRPr="00167CB8">
        <w:t>. OLS estimates weighted to reflect population values.</w:t>
      </w:r>
    </w:p>
    <w:p w14:paraId="72B775C3" w14:textId="1B770925" w:rsidR="00677577" w:rsidRPr="00167CB8" w:rsidRDefault="009F0D73" w:rsidP="00677577">
      <w:pPr>
        <w:pStyle w:val="Source"/>
      </w:pPr>
      <w:r>
        <w:t>6</w:t>
      </w:r>
      <w:r w:rsidR="00677577" w:rsidRPr="00167CB8">
        <w:t xml:space="preserve">. Other controls in the regression include </w:t>
      </w:r>
      <w:r>
        <w:t>two</w:t>
      </w:r>
      <w:r w:rsidR="00677577" w:rsidRPr="00167CB8">
        <w:t xml:space="preserve"> dummies for type of employment (fixed</w:t>
      </w:r>
      <w:r w:rsidR="00C16E22">
        <w:t xml:space="preserve"> </w:t>
      </w:r>
      <w:r w:rsidR="00677577" w:rsidRPr="00167CB8">
        <w:t xml:space="preserve">term or casual; the reference group is permanent), </w:t>
      </w:r>
      <w:r>
        <w:t>three</w:t>
      </w:r>
      <w:r w:rsidR="00677577" w:rsidRPr="00167CB8">
        <w:t xml:space="preserve"> dummies for highest education attained (the reference group is those with no post-school qualifications), age and its square, marital status, dependent children, country of birth (</w:t>
      </w:r>
      <w:r>
        <w:t>two</w:t>
      </w:r>
      <w:r w:rsidR="00677577" w:rsidRPr="00167CB8">
        <w:t xml:space="preserve"> dummies), sector of employment, trade union membership, controls for geographic area of residence (urban, other urban and state fixed effects), the unemployment rate and year fixed effects.</w:t>
      </w:r>
    </w:p>
    <w:p w14:paraId="032DA55E" w14:textId="414C747C" w:rsidR="00677577" w:rsidRPr="00167CB8" w:rsidRDefault="009F0D73" w:rsidP="00677577">
      <w:pPr>
        <w:pStyle w:val="Source"/>
      </w:pPr>
      <w:r>
        <w:t>7</w:t>
      </w:r>
      <w:r w:rsidR="00677577" w:rsidRPr="00167CB8">
        <w:t>. Robust standard errors in parentheses, significance given by: *** p&lt;0.01, ** p&lt;0.05, * p&lt;0.1.</w:t>
      </w:r>
    </w:p>
    <w:p w14:paraId="5EE0E7C8" w14:textId="77777777" w:rsidR="0011475D" w:rsidRDefault="00677577" w:rsidP="00677577">
      <w:pPr>
        <w:pStyle w:val="Source"/>
      </w:pPr>
      <w:r w:rsidRPr="00167CB8">
        <w:rPr>
          <w:b/>
          <w:bCs/>
        </w:rPr>
        <w:t xml:space="preserve">Source: </w:t>
      </w:r>
      <w:r w:rsidRPr="00167CB8">
        <w:t>HILDA, waves 12</w:t>
      </w:r>
      <w:r w:rsidRPr="00167CB8">
        <w:rPr>
          <w:rFonts w:ascii="Symbol" w:eastAsia="Symbol" w:hAnsi="Symbol" w:cs="Symbol"/>
        </w:rPr>
        <w:sym w:font="Symbol" w:char="F02D"/>
      </w:r>
      <w:r w:rsidRPr="00167CB8">
        <w:t>22.</w:t>
      </w:r>
    </w:p>
    <w:p w14:paraId="38637490" w14:textId="33CD74AD" w:rsidR="00677577" w:rsidRPr="00167CB8" w:rsidRDefault="00677577" w:rsidP="00677577">
      <w:pPr>
        <w:pStyle w:val="Source"/>
        <w:rPr>
          <w:i/>
          <w:iCs/>
        </w:rPr>
      </w:pPr>
      <w:r w:rsidRPr="00167CB8">
        <w:rPr>
          <w:i/>
          <w:iCs/>
        </w:rPr>
        <w:br w:type="page"/>
      </w:r>
    </w:p>
    <w:p w14:paraId="5A7B7EBC" w14:textId="6A4BECF2" w:rsidR="00677577" w:rsidRPr="00167CB8" w:rsidRDefault="00677577" w:rsidP="00677577">
      <w:pPr>
        <w:pStyle w:val="Heading5"/>
      </w:pPr>
      <w:r w:rsidRPr="00167CB8">
        <w:t>3.5.2 Gender wage gap</w:t>
      </w:r>
      <w:r>
        <w:t xml:space="preserve"> </w:t>
      </w:r>
      <w:r w:rsidR="009F0D73">
        <w:rPr>
          <w:rFonts w:ascii="Symbol" w:eastAsia="Symbol" w:hAnsi="Symbol" w:cs="Symbol"/>
        </w:rPr>
        <w:sym w:font="Symbol" w:char="F02D"/>
      </w:r>
      <w:r>
        <w:t xml:space="preserve"> </w:t>
      </w:r>
      <w:r w:rsidR="009F0D73" w:rsidRPr="009F0D73">
        <w:t>Household, Income and Labour Dynamics in Australia</w:t>
      </w:r>
    </w:p>
    <w:p w14:paraId="3700428D" w14:textId="77777777" w:rsidR="0011475D" w:rsidRDefault="00677577" w:rsidP="00677577">
      <w:r w:rsidRPr="00B35588">
        <w:t>Earlier</w:t>
      </w:r>
      <w:r>
        <w:t xml:space="preserve"> it was noted that</w:t>
      </w:r>
      <w:r w:rsidRPr="00167CB8">
        <w:t xml:space="preserve"> a large share of</w:t>
      </w:r>
      <w:r>
        <w:t xml:space="preserve"> employed</w:t>
      </w:r>
      <w:r w:rsidRPr="00167CB8">
        <w:t xml:space="preserve"> women (43%) work part-time.</w:t>
      </w:r>
      <w:r>
        <w:t xml:space="preserve"> The raw </w:t>
      </w:r>
      <w:r w:rsidRPr="00B35588">
        <w:t>GWG</w:t>
      </w:r>
      <w:r>
        <w:t>, however, is typically measured</w:t>
      </w:r>
      <w:r w:rsidRPr="00B35588">
        <w:t xml:space="preserve"> using AWOTE </w:t>
      </w:r>
      <w:r>
        <w:t xml:space="preserve">and because the ABS series used to generate this gap does not publish hourly data the focus is restricted to </w:t>
      </w:r>
      <w:r w:rsidRPr="00B35588">
        <w:t xml:space="preserve">outcomes in the full-time labour </w:t>
      </w:r>
      <w:r>
        <w:t>market.</w:t>
      </w:r>
    </w:p>
    <w:p w14:paraId="4AD315A0" w14:textId="71274AC4" w:rsidR="00677577" w:rsidRPr="00167CB8" w:rsidRDefault="00677577" w:rsidP="00677577">
      <w:r w:rsidRPr="00EF4CAA">
        <w:t xml:space="preserve">To extend this analysis, </w:t>
      </w:r>
      <w:r w:rsidRPr="008B0428">
        <w:t>Figure 4</w:t>
      </w:r>
      <w:r w:rsidR="00844718" w:rsidRPr="008B0428">
        <w:t>8</w:t>
      </w:r>
      <w:r w:rsidRPr="00EF4CAA">
        <w:t xml:space="preserve"> compares the GWG using AWOTE (full-timers) with measures of</w:t>
      </w:r>
      <w:r w:rsidRPr="00167CB8">
        <w:t xml:space="preserve"> the GWG using HILDA data. </w:t>
      </w:r>
      <w:r>
        <w:t>The GWG generated using the HILDA data is based on hourly earnings and a sample that includes part-timers as well as full-timers.</w:t>
      </w:r>
    </w:p>
    <w:p w14:paraId="1EF1781D" w14:textId="4FFFE136" w:rsidR="00677577" w:rsidRPr="00167CB8" w:rsidRDefault="00844718" w:rsidP="007F380D">
      <w:pPr>
        <w:pStyle w:val="Caption"/>
      </w:pPr>
      <w:bookmarkStart w:id="967" w:name="_Toc186991800"/>
      <w:bookmarkStart w:id="968" w:name="_Toc189310833"/>
      <w:bookmarkStart w:id="969" w:name="_Toc194251546"/>
      <w:bookmarkStart w:id="970" w:name="_Ref184405540"/>
      <w:r>
        <w:t xml:space="preserve">Figure </w:t>
      </w:r>
      <w:r>
        <w:fldChar w:fldCharType="begin"/>
      </w:r>
      <w:r>
        <w:instrText xml:space="preserve"> SEQ Figure \* ARABIC </w:instrText>
      </w:r>
      <w:r>
        <w:fldChar w:fldCharType="separate"/>
      </w:r>
      <w:r w:rsidR="00DE5F5E">
        <w:rPr>
          <w:noProof/>
        </w:rPr>
        <w:t>48</w:t>
      </w:r>
      <w:r>
        <w:fldChar w:fldCharType="end"/>
      </w:r>
      <w:r>
        <w:t xml:space="preserve">: </w:t>
      </w:r>
      <w:r w:rsidR="00677577" w:rsidRPr="00167CB8">
        <w:t>Trends in the gender wage gap among full-timers and all employees</w:t>
      </w:r>
      <w:bookmarkEnd w:id="967"/>
      <w:bookmarkEnd w:id="968"/>
      <w:bookmarkEnd w:id="969"/>
    </w:p>
    <w:p w14:paraId="3099B3F9" w14:textId="0A754E75" w:rsidR="00677577" w:rsidRPr="00167CB8" w:rsidRDefault="00677577" w:rsidP="00677577">
      <w:r w:rsidRPr="00167CB8">
        <w:rPr>
          <w:noProof/>
        </w:rPr>
        <w:drawing>
          <wp:inline distT="0" distB="0" distL="0" distR="0" wp14:anchorId="08275085" wp14:editId="05D78527">
            <wp:extent cx="5731510" cy="3750945"/>
            <wp:effectExtent l="0" t="0" r="2540" b="1905"/>
            <wp:docPr id="1589538594" name="Picture 41" descr="A line chart showing trends in the gender wage gap among full-timers and all employees.&#10;&#10;See alt-text following 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538594" name="Picture 41" descr="A line chart showing trends in the gender wage gap among full-timers and all employees.&#10;&#10;See alt-text following notes."/>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31510" cy="3750945"/>
                    </a:xfrm>
                    <a:prstGeom prst="rect">
                      <a:avLst/>
                    </a:prstGeom>
                    <a:noFill/>
                    <a:ln>
                      <a:noFill/>
                    </a:ln>
                  </pic:spPr>
                </pic:pic>
              </a:graphicData>
            </a:graphic>
          </wp:inline>
        </w:drawing>
      </w:r>
    </w:p>
    <w:p w14:paraId="139A1D38" w14:textId="77777777" w:rsidR="00677577" w:rsidRPr="00167CB8" w:rsidRDefault="00677577" w:rsidP="00677577">
      <w:pPr>
        <w:pStyle w:val="Source"/>
        <w:rPr>
          <w:b/>
          <w:bCs/>
        </w:rPr>
      </w:pPr>
      <w:r w:rsidRPr="00167CB8">
        <w:rPr>
          <w:b/>
          <w:bCs/>
        </w:rPr>
        <w:t>Notes:</w:t>
      </w:r>
    </w:p>
    <w:p w14:paraId="70BBEC0C" w14:textId="28F7720F" w:rsidR="009F0D73" w:rsidRDefault="009F0D73" w:rsidP="00677577">
      <w:pPr>
        <w:pStyle w:val="Source"/>
      </w:pPr>
      <w:r>
        <w:t xml:space="preserve">1. ABS: Australian Bureau of Statistics; GWG: gender wage gap; HILDA: </w:t>
      </w:r>
      <w:r w:rsidRPr="00167CB8">
        <w:t>Household, Income and Labour Dynamics in Australia</w:t>
      </w:r>
      <w:r>
        <w:t>.</w:t>
      </w:r>
    </w:p>
    <w:p w14:paraId="1E49C77D" w14:textId="389F516B" w:rsidR="0011475D" w:rsidRDefault="009F0D73" w:rsidP="00677577">
      <w:pPr>
        <w:pStyle w:val="Source"/>
      </w:pPr>
      <w:r>
        <w:t>2</w:t>
      </w:r>
      <w:r w:rsidR="00677577" w:rsidRPr="00167CB8">
        <w:t>. Sample consists of employees aged 21 to 64</w:t>
      </w:r>
      <w:r>
        <w:t>.</w:t>
      </w:r>
    </w:p>
    <w:p w14:paraId="624782D9" w14:textId="12A77D09" w:rsidR="00677577" w:rsidRPr="00167CB8" w:rsidRDefault="009F0D73" w:rsidP="00677577">
      <w:pPr>
        <w:pStyle w:val="Source"/>
      </w:pPr>
      <w:r>
        <w:t>3</w:t>
      </w:r>
      <w:r w:rsidR="00677577" w:rsidRPr="00167CB8">
        <w:t>. Estimates from the HILDA survey (for waves 8</w:t>
      </w:r>
      <w:r w:rsidR="00677577" w:rsidRPr="00167CB8">
        <w:rPr>
          <w:rFonts w:ascii="Symbol" w:eastAsia="Symbol" w:hAnsi="Symbol" w:cs="Symbol"/>
        </w:rPr>
        <w:sym w:font="Symbol" w:char="F02D"/>
      </w:r>
      <w:r w:rsidR="00677577" w:rsidRPr="00167CB8">
        <w:t>23) are weighted to reflect population totals and are based, separately, on hourly earnings (main job) among full-timers (persons who work 35 or more hours per week) and all employees.</w:t>
      </w:r>
    </w:p>
    <w:p w14:paraId="6C739BBE" w14:textId="55A57A2D" w:rsidR="00677577" w:rsidRPr="00167CB8" w:rsidRDefault="00677577" w:rsidP="00677577">
      <w:pPr>
        <w:pStyle w:val="Source"/>
      </w:pPr>
      <w:r w:rsidRPr="00167CB8">
        <w:t xml:space="preserve">3. The GWG using data from the </w:t>
      </w:r>
      <w:r w:rsidR="009F0D73">
        <w:t xml:space="preserve">ABS </w:t>
      </w:r>
      <w:r w:rsidRPr="00167CB8">
        <w:t>average weekly ordinary time earnings (AWOTE) series for full-timers (only) is shown for comparison. This series is based on the November estimates of each year (the exception is 2024, which uses the May estimates).</w:t>
      </w:r>
    </w:p>
    <w:bookmarkEnd w:id="970"/>
    <w:p w14:paraId="5B5B2D64" w14:textId="75781E45" w:rsidR="0011475D" w:rsidRDefault="00677577" w:rsidP="00677577">
      <w:pPr>
        <w:pStyle w:val="Source"/>
      </w:pPr>
      <w:r w:rsidRPr="00167CB8">
        <w:rPr>
          <w:b/>
          <w:bCs/>
        </w:rPr>
        <w:t>Alt-text:</w:t>
      </w:r>
      <w:r w:rsidRPr="00167CB8">
        <w:t xml:space="preserve"> A line chart comparing the gender wage gap measured using </w:t>
      </w:r>
      <w:r w:rsidR="009F0D73">
        <w:t xml:space="preserve">Australian Bureau of Statistics </w:t>
      </w:r>
      <w:r w:rsidRPr="00167CB8">
        <w:t xml:space="preserve">data and </w:t>
      </w:r>
      <w:r w:rsidR="009F0D73" w:rsidRPr="009F0D73">
        <w:t xml:space="preserve">Household, Income and Labour Dynamics in Australia </w:t>
      </w:r>
      <w:r w:rsidR="009F0D73">
        <w:t>(</w:t>
      </w:r>
      <w:r w:rsidRPr="00167CB8">
        <w:t>HILDA</w:t>
      </w:r>
      <w:r w:rsidR="009F0D73">
        <w:t>)</w:t>
      </w:r>
      <w:r w:rsidRPr="00167CB8">
        <w:t xml:space="preserve"> data. When part-timers are included the overall </w:t>
      </w:r>
      <w:r w:rsidR="009F0D73">
        <w:t xml:space="preserve">gender wage gap </w:t>
      </w:r>
      <w:r w:rsidRPr="00167CB8">
        <w:t>is lower.</w:t>
      </w:r>
    </w:p>
    <w:p w14:paraId="356143AC" w14:textId="6623161A" w:rsidR="0011475D" w:rsidRDefault="00677577" w:rsidP="00677577">
      <w:r w:rsidRPr="00EF4CAA">
        <w:t xml:space="preserve">The HILDA estimates reported in </w:t>
      </w:r>
      <w:r w:rsidRPr="00D561E9">
        <w:t>Figure 4</w:t>
      </w:r>
      <w:r w:rsidR="00844718" w:rsidRPr="00D561E9">
        <w:t>8</w:t>
      </w:r>
      <w:r w:rsidRPr="00EF4CAA">
        <w:t xml:space="preserve"> are more volatile than the AWOTE estimates, reflecting</w:t>
      </w:r>
      <w:r w:rsidRPr="00167CB8">
        <w:t xml:space="preserve"> the smaller sample size. </w:t>
      </w:r>
      <w:r>
        <w:t xml:space="preserve">However, as shown, the trend across both series is similar. </w:t>
      </w:r>
      <w:r w:rsidRPr="00167CB8">
        <w:t>When part-timers are included the GWG tends to be less, consistent with a lower overall GWG in the part-time labour market.</w:t>
      </w:r>
    </w:p>
    <w:p w14:paraId="30B54F25" w14:textId="53E939F5" w:rsidR="00677577" w:rsidRPr="00167CB8" w:rsidRDefault="00677577" w:rsidP="00677577">
      <w:r w:rsidRPr="00167CB8">
        <w:t>The GWG measured by comparing the average hourly wage of men and women is commonly also referred to as the ‘raw’ GWG. It is ‘raw’ in the sense that it does not control for compositional effects.</w:t>
      </w:r>
    </w:p>
    <w:p w14:paraId="36AA0F24" w14:textId="6CBDA814" w:rsidR="00677577" w:rsidRPr="00167CB8" w:rsidRDefault="00677577" w:rsidP="00677577">
      <w:r w:rsidRPr="00D561E9">
        <w:t xml:space="preserve">Table </w:t>
      </w:r>
      <w:r w:rsidR="007A33AD" w:rsidRPr="00D561E9">
        <w:t>5</w:t>
      </w:r>
      <w:r w:rsidR="007A33AD">
        <w:t>7</w:t>
      </w:r>
      <w:r w:rsidR="007A33AD" w:rsidRPr="00EF4CAA">
        <w:t xml:space="preserve"> </w:t>
      </w:r>
      <w:r w:rsidRPr="00EF4CAA">
        <w:t>reports the results following the estimation of a wage equation. The dependent variable is</w:t>
      </w:r>
      <w:r w:rsidRPr="00167CB8">
        <w:t xml:space="preserve"> the natural logarithm of hourly earnings in the main job. The GWG is given by the coefficient on a female dummy variable. In the </w:t>
      </w:r>
      <w:r w:rsidR="009F0D73" w:rsidRPr="009F0D73">
        <w:t xml:space="preserve">ordinary least squares </w:t>
      </w:r>
      <w:r w:rsidR="009F0D73">
        <w:t>(</w:t>
      </w:r>
      <w:r w:rsidRPr="00167CB8">
        <w:t>OLS</w:t>
      </w:r>
      <w:r w:rsidR="009F0D73">
        <w:t>)</w:t>
      </w:r>
      <w:r w:rsidRPr="00167CB8">
        <w:t xml:space="preserve"> estimates the coefficient is equal to negative 0.114. This translates to a GWG of 10.8% (computed as: [exp(coef)-1]*100). The highly statistically significant positive coefficient on the variable ‘female*2023’ (which is the female dummy interacted with a dummy for 2023) shows that in 2023 the GWG converged. The resultant 2023 GWG is the sum of the first </w:t>
      </w:r>
      <w:r w:rsidR="009F0D73">
        <w:t>two</w:t>
      </w:r>
      <w:r w:rsidRPr="00167CB8">
        <w:t xml:space="preserve"> coefficients (i.e. -0.114 + 0.047 = -0.067). After exponentiating (exp) this coefficient the resultant gender wage gap in 2023 is equal to -6.5%. In other words, OLS estimates show that, after controlling for factors known to correlate with wages such as education, experience, birthplace, marital status, children, part-time and casual status, union membership and method of pay setting, women, on average, earn 6.5% less than men.</w:t>
      </w:r>
    </w:p>
    <w:p w14:paraId="65F2DCA3" w14:textId="77777777" w:rsidR="0011475D" w:rsidRDefault="00677577" w:rsidP="00677577">
      <w:r w:rsidRPr="00167CB8">
        <w:t>The column 3 results are estimated using a fixed effects regressor. The advantage of this approach is that it controls for time-invariant characteristics. If factors such as personality, ability and characteristics that correlate with preferences to be in the labour market or not are assumed to be time-invariant then the fixed effects estimates have the advantage of also controlling for selection effects. The coefficient estimates differ from OLS, as they are identified by changes in the observed characteristics. For example, the 0.025 coefficient on the union membership variable shows that becoming a union member is associated with a 2.5% increase in hourly wages. Similarly, the negative coefficient on award shows that employees who become award reliant receive hourly wages which are, on average, 3.5% lower than counterparts who are paid according to an individual agreement. The coefficient on ‘female’ is not estimated, as this is a stable characteristic, as is birthplace. The ‘Female*2023’ coefficient shows that in 2023 there was a GWG and based on the fixed effects estimates it was equal to 2.4%.</w:t>
      </w:r>
    </w:p>
    <w:p w14:paraId="4D784EBE" w14:textId="6F6DE4E3" w:rsidR="00677577" w:rsidRDefault="00677577" w:rsidP="00677577">
      <w:pPr>
        <w:rPr>
          <w:rFonts w:cs="Calibri"/>
          <w:b/>
          <w:bCs/>
          <w:lang w:val="en-US"/>
        </w:rPr>
      </w:pPr>
      <w:bookmarkStart w:id="971" w:name="_Toc186991830"/>
      <w:bookmarkStart w:id="972" w:name="_Toc189310881"/>
      <w:r>
        <w:br w:type="page"/>
      </w:r>
    </w:p>
    <w:p w14:paraId="1B71BC45" w14:textId="18894BDF" w:rsidR="00677577" w:rsidRPr="00167CB8" w:rsidRDefault="00844718" w:rsidP="007F380D">
      <w:pPr>
        <w:pStyle w:val="Caption"/>
      </w:pPr>
      <w:bookmarkStart w:id="973" w:name="_Toc194251481"/>
      <w:r>
        <w:t xml:space="preserve">Table </w:t>
      </w:r>
      <w:r>
        <w:fldChar w:fldCharType="begin"/>
      </w:r>
      <w:r>
        <w:instrText xml:space="preserve"> SEQ Table \* ARABIC </w:instrText>
      </w:r>
      <w:r>
        <w:fldChar w:fldCharType="separate"/>
      </w:r>
      <w:r w:rsidR="00DE5F5E">
        <w:rPr>
          <w:noProof/>
        </w:rPr>
        <w:t>57</w:t>
      </w:r>
      <w:r>
        <w:fldChar w:fldCharType="end"/>
      </w:r>
      <w:r>
        <w:t xml:space="preserve">: </w:t>
      </w:r>
      <w:r w:rsidR="00677577" w:rsidRPr="00167CB8">
        <w:t>The gender wage gap using regression analysis</w:t>
      </w:r>
      <w:bookmarkEnd w:id="971"/>
      <w:bookmarkEnd w:id="972"/>
      <w:r w:rsidR="004005D7">
        <w:t>, 2008 to 2023</w:t>
      </w:r>
      <w:bookmarkEnd w:id="973"/>
    </w:p>
    <w:tbl>
      <w:tblPr>
        <w:tblW w:w="901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394"/>
        <w:gridCol w:w="1540"/>
        <w:gridCol w:w="1540"/>
        <w:gridCol w:w="1541"/>
      </w:tblGrid>
      <w:tr w:rsidR="00677577" w:rsidRPr="00167CB8" w14:paraId="6043465E" w14:textId="77777777">
        <w:trPr>
          <w:trHeight w:val="300"/>
        </w:trPr>
        <w:tc>
          <w:tcPr>
            <w:tcW w:w="4395" w:type="dxa"/>
            <w:tcBorders>
              <w:top w:val="single" w:sz="4" w:space="0" w:color="auto"/>
              <w:left w:val="single" w:sz="4" w:space="0" w:color="auto"/>
              <w:bottom w:val="nil"/>
              <w:right w:val="nil"/>
            </w:tcBorders>
            <w:noWrap/>
            <w:vAlign w:val="bottom"/>
            <w:hideMark/>
          </w:tcPr>
          <w:p w14:paraId="75507675" w14:textId="77777777" w:rsidR="00677577" w:rsidRPr="003A7C61" w:rsidRDefault="00677577">
            <w:pPr>
              <w:spacing w:after="0" w:line="240" w:lineRule="auto"/>
              <w:rPr>
                <w:sz w:val="20"/>
                <w:szCs w:val="20"/>
              </w:rPr>
            </w:pPr>
          </w:p>
        </w:tc>
        <w:tc>
          <w:tcPr>
            <w:tcW w:w="1540" w:type="dxa"/>
            <w:tcBorders>
              <w:top w:val="single" w:sz="4" w:space="0" w:color="auto"/>
              <w:left w:val="nil"/>
              <w:bottom w:val="nil"/>
              <w:right w:val="nil"/>
            </w:tcBorders>
            <w:noWrap/>
            <w:vAlign w:val="bottom"/>
            <w:hideMark/>
          </w:tcPr>
          <w:p w14:paraId="2ADD6D14" w14:textId="77777777" w:rsidR="00677577" w:rsidRPr="003A7C61" w:rsidRDefault="00677577">
            <w:pPr>
              <w:spacing w:after="0" w:line="240" w:lineRule="auto"/>
              <w:rPr>
                <w:sz w:val="20"/>
                <w:szCs w:val="20"/>
              </w:rPr>
            </w:pPr>
            <w:r w:rsidRPr="003A7C61">
              <w:rPr>
                <w:sz w:val="20"/>
                <w:szCs w:val="20"/>
              </w:rPr>
              <w:t>(1)</w:t>
            </w:r>
          </w:p>
        </w:tc>
        <w:tc>
          <w:tcPr>
            <w:tcW w:w="1540" w:type="dxa"/>
            <w:tcBorders>
              <w:top w:val="single" w:sz="4" w:space="0" w:color="auto"/>
              <w:left w:val="nil"/>
              <w:bottom w:val="nil"/>
              <w:right w:val="nil"/>
            </w:tcBorders>
            <w:noWrap/>
            <w:vAlign w:val="bottom"/>
            <w:hideMark/>
          </w:tcPr>
          <w:p w14:paraId="0BAE5470" w14:textId="77777777" w:rsidR="00677577" w:rsidRPr="003A7C61" w:rsidRDefault="00677577">
            <w:pPr>
              <w:spacing w:after="0" w:line="240" w:lineRule="auto"/>
              <w:rPr>
                <w:sz w:val="20"/>
                <w:szCs w:val="20"/>
              </w:rPr>
            </w:pPr>
            <w:r w:rsidRPr="003A7C61">
              <w:rPr>
                <w:sz w:val="20"/>
                <w:szCs w:val="20"/>
              </w:rPr>
              <w:t>(2)</w:t>
            </w:r>
          </w:p>
        </w:tc>
        <w:tc>
          <w:tcPr>
            <w:tcW w:w="1541" w:type="dxa"/>
            <w:tcBorders>
              <w:top w:val="single" w:sz="4" w:space="0" w:color="auto"/>
              <w:left w:val="nil"/>
              <w:bottom w:val="nil"/>
              <w:right w:val="single" w:sz="4" w:space="0" w:color="auto"/>
            </w:tcBorders>
            <w:hideMark/>
          </w:tcPr>
          <w:p w14:paraId="39E9FAB2" w14:textId="77777777" w:rsidR="00677577" w:rsidRPr="003A7C61" w:rsidRDefault="00677577">
            <w:pPr>
              <w:spacing w:after="0" w:line="240" w:lineRule="auto"/>
              <w:rPr>
                <w:sz w:val="20"/>
                <w:szCs w:val="20"/>
              </w:rPr>
            </w:pPr>
            <w:r w:rsidRPr="003A7C61">
              <w:rPr>
                <w:sz w:val="20"/>
                <w:szCs w:val="20"/>
              </w:rPr>
              <w:t>(3)</w:t>
            </w:r>
          </w:p>
        </w:tc>
      </w:tr>
      <w:tr w:rsidR="00677577" w:rsidRPr="00167CB8" w14:paraId="68BC20D0" w14:textId="77777777">
        <w:trPr>
          <w:trHeight w:val="300"/>
        </w:trPr>
        <w:tc>
          <w:tcPr>
            <w:tcW w:w="4395" w:type="dxa"/>
            <w:tcBorders>
              <w:top w:val="nil"/>
              <w:left w:val="single" w:sz="4" w:space="0" w:color="auto"/>
              <w:bottom w:val="single" w:sz="4" w:space="0" w:color="auto"/>
              <w:right w:val="nil"/>
            </w:tcBorders>
            <w:noWrap/>
            <w:vAlign w:val="bottom"/>
            <w:hideMark/>
          </w:tcPr>
          <w:p w14:paraId="0FEF7DD6" w14:textId="77777777" w:rsidR="00677577" w:rsidRPr="003A7C61" w:rsidRDefault="00677577">
            <w:pPr>
              <w:spacing w:after="0" w:line="240" w:lineRule="auto"/>
              <w:rPr>
                <w:b/>
                <w:bCs/>
                <w:sz w:val="20"/>
                <w:szCs w:val="20"/>
              </w:rPr>
            </w:pPr>
            <w:r w:rsidRPr="003A7C61">
              <w:rPr>
                <w:b/>
                <w:bCs/>
                <w:sz w:val="20"/>
                <w:szCs w:val="20"/>
              </w:rPr>
              <w:t xml:space="preserve"> </w:t>
            </w:r>
          </w:p>
        </w:tc>
        <w:tc>
          <w:tcPr>
            <w:tcW w:w="1540" w:type="dxa"/>
            <w:tcBorders>
              <w:top w:val="nil"/>
              <w:left w:val="nil"/>
              <w:bottom w:val="single" w:sz="4" w:space="0" w:color="auto"/>
              <w:right w:val="nil"/>
            </w:tcBorders>
            <w:noWrap/>
            <w:vAlign w:val="bottom"/>
            <w:hideMark/>
          </w:tcPr>
          <w:p w14:paraId="71BB2D9E" w14:textId="77777777" w:rsidR="00677577" w:rsidRPr="003A7C61" w:rsidRDefault="00677577">
            <w:pPr>
              <w:spacing w:after="0" w:line="240" w:lineRule="auto"/>
              <w:rPr>
                <w:b/>
                <w:bCs/>
                <w:sz w:val="20"/>
                <w:szCs w:val="20"/>
              </w:rPr>
            </w:pPr>
            <w:r w:rsidRPr="003A7C61">
              <w:rPr>
                <w:b/>
                <w:bCs/>
                <w:sz w:val="20"/>
                <w:szCs w:val="20"/>
              </w:rPr>
              <w:t>OLS</w:t>
            </w:r>
          </w:p>
        </w:tc>
        <w:tc>
          <w:tcPr>
            <w:tcW w:w="1540" w:type="dxa"/>
            <w:tcBorders>
              <w:top w:val="nil"/>
              <w:left w:val="nil"/>
              <w:bottom w:val="single" w:sz="4" w:space="0" w:color="auto"/>
              <w:right w:val="nil"/>
            </w:tcBorders>
            <w:noWrap/>
            <w:vAlign w:val="bottom"/>
            <w:hideMark/>
          </w:tcPr>
          <w:p w14:paraId="34D1ED0D" w14:textId="3A8EAA0C" w:rsidR="00677577" w:rsidRPr="003A7C61" w:rsidRDefault="00677577">
            <w:pPr>
              <w:spacing w:after="0" w:line="240" w:lineRule="auto"/>
              <w:rPr>
                <w:b/>
                <w:bCs/>
                <w:sz w:val="20"/>
                <w:szCs w:val="20"/>
              </w:rPr>
            </w:pPr>
            <w:r w:rsidRPr="003A7C61">
              <w:rPr>
                <w:b/>
                <w:bCs/>
                <w:sz w:val="20"/>
                <w:szCs w:val="20"/>
              </w:rPr>
              <w:t xml:space="preserve">Random </w:t>
            </w:r>
            <w:r w:rsidR="009F0D73">
              <w:rPr>
                <w:b/>
                <w:bCs/>
                <w:sz w:val="20"/>
                <w:szCs w:val="20"/>
              </w:rPr>
              <w:t>e</w:t>
            </w:r>
            <w:r w:rsidRPr="003A7C61">
              <w:rPr>
                <w:b/>
                <w:bCs/>
                <w:sz w:val="20"/>
                <w:szCs w:val="20"/>
              </w:rPr>
              <w:t>ffects</w:t>
            </w:r>
          </w:p>
        </w:tc>
        <w:tc>
          <w:tcPr>
            <w:tcW w:w="1541" w:type="dxa"/>
            <w:tcBorders>
              <w:top w:val="nil"/>
              <w:left w:val="nil"/>
              <w:bottom w:val="single" w:sz="4" w:space="0" w:color="auto"/>
              <w:right w:val="single" w:sz="4" w:space="0" w:color="auto"/>
            </w:tcBorders>
            <w:hideMark/>
          </w:tcPr>
          <w:p w14:paraId="747FDFDD" w14:textId="11C88B62" w:rsidR="00677577" w:rsidRPr="003A7C61" w:rsidRDefault="00677577">
            <w:pPr>
              <w:spacing w:after="0" w:line="240" w:lineRule="auto"/>
              <w:rPr>
                <w:b/>
                <w:bCs/>
                <w:sz w:val="20"/>
                <w:szCs w:val="20"/>
              </w:rPr>
            </w:pPr>
            <w:r w:rsidRPr="003A7C61">
              <w:rPr>
                <w:b/>
                <w:bCs/>
                <w:sz w:val="20"/>
                <w:szCs w:val="20"/>
              </w:rPr>
              <w:t xml:space="preserve">Fixed </w:t>
            </w:r>
            <w:r w:rsidR="009F0D73">
              <w:rPr>
                <w:b/>
                <w:bCs/>
                <w:sz w:val="20"/>
                <w:szCs w:val="20"/>
              </w:rPr>
              <w:t>e</w:t>
            </w:r>
            <w:r w:rsidRPr="003A7C61">
              <w:rPr>
                <w:b/>
                <w:bCs/>
                <w:sz w:val="20"/>
                <w:szCs w:val="20"/>
              </w:rPr>
              <w:t>ffects</w:t>
            </w:r>
          </w:p>
        </w:tc>
      </w:tr>
      <w:tr w:rsidR="00677577" w:rsidRPr="00167CB8" w14:paraId="7DBE2D4F" w14:textId="77777777">
        <w:trPr>
          <w:trHeight w:val="300"/>
        </w:trPr>
        <w:tc>
          <w:tcPr>
            <w:tcW w:w="4395" w:type="dxa"/>
            <w:tcBorders>
              <w:top w:val="single" w:sz="4" w:space="0" w:color="auto"/>
              <w:left w:val="single" w:sz="4" w:space="0" w:color="auto"/>
              <w:bottom w:val="nil"/>
              <w:right w:val="nil"/>
            </w:tcBorders>
            <w:noWrap/>
            <w:vAlign w:val="bottom"/>
            <w:hideMark/>
          </w:tcPr>
          <w:p w14:paraId="1443AB66" w14:textId="77777777" w:rsidR="00677577" w:rsidRPr="003A7C61" w:rsidRDefault="00677577">
            <w:pPr>
              <w:spacing w:after="0" w:line="240" w:lineRule="auto"/>
              <w:rPr>
                <w:sz w:val="20"/>
                <w:szCs w:val="20"/>
              </w:rPr>
            </w:pPr>
            <w:r w:rsidRPr="003A7C61">
              <w:rPr>
                <w:sz w:val="20"/>
                <w:szCs w:val="20"/>
              </w:rPr>
              <w:t>Female (GWG)</w:t>
            </w:r>
          </w:p>
        </w:tc>
        <w:tc>
          <w:tcPr>
            <w:tcW w:w="1540" w:type="dxa"/>
            <w:tcBorders>
              <w:top w:val="single" w:sz="4" w:space="0" w:color="auto"/>
              <w:left w:val="nil"/>
              <w:bottom w:val="nil"/>
              <w:right w:val="nil"/>
            </w:tcBorders>
            <w:noWrap/>
            <w:vAlign w:val="bottom"/>
            <w:hideMark/>
          </w:tcPr>
          <w:p w14:paraId="031327BF" w14:textId="77777777" w:rsidR="00677577" w:rsidRPr="003A7C61" w:rsidRDefault="00677577" w:rsidP="002132C4">
            <w:pPr>
              <w:spacing w:after="0" w:line="240" w:lineRule="auto"/>
              <w:jc w:val="right"/>
              <w:rPr>
                <w:sz w:val="20"/>
                <w:szCs w:val="20"/>
              </w:rPr>
            </w:pPr>
            <w:r w:rsidRPr="003A7C61">
              <w:rPr>
                <w:sz w:val="20"/>
                <w:szCs w:val="20"/>
              </w:rPr>
              <w:t>-0.114***</w:t>
            </w:r>
          </w:p>
        </w:tc>
        <w:tc>
          <w:tcPr>
            <w:tcW w:w="1540" w:type="dxa"/>
            <w:tcBorders>
              <w:top w:val="single" w:sz="4" w:space="0" w:color="auto"/>
              <w:left w:val="nil"/>
              <w:bottom w:val="nil"/>
              <w:right w:val="nil"/>
            </w:tcBorders>
            <w:noWrap/>
            <w:vAlign w:val="bottom"/>
            <w:hideMark/>
          </w:tcPr>
          <w:p w14:paraId="10E88D00" w14:textId="77777777" w:rsidR="00677577" w:rsidRPr="003A7C61" w:rsidRDefault="00677577" w:rsidP="002132C4">
            <w:pPr>
              <w:spacing w:after="0" w:line="240" w:lineRule="auto"/>
              <w:jc w:val="right"/>
              <w:rPr>
                <w:sz w:val="20"/>
                <w:szCs w:val="20"/>
              </w:rPr>
            </w:pPr>
            <w:r w:rsidRPr="003A7C61">
              <w:rPr>
                <w:sz w:val="20"/>
                <w:szCs w:val="20"/>
              </w:rPr>
              <w:t>-0.136***</w:t>
            </w:r>
          </w:p>
        </w:tc>
        <w:tc>
          <w:tcPr>
            <w:tcW w:w="1541" w:type="dxa"/>
            <w:tcBorders>
              <w:top w:val="single" w:sz="4" w:space="0" w:color="auto"/>
              <w:left w:val="nil"/>
              <w:bottom w:val="nil"/>
              <w:right w:val="single" w:sz="4" w:space="0" w:color="auto"/>
            </w:tcBorders>
            <w:hideMark/>
          </w:tcPr>
          <w:p w14:paraId="4475FED6" w14:textId="7A1BC9DD" w:rsidR="00677577" w:rsidRPr="003A7C61" w:rsidRDefault="009F0D73" w:rsidP="002132C4">
            <w:pPr>
              <w:spacing w:after="0" w:line="240" w:lineRule="auto"/>
              <w:jc w:val="right"/>
              <w:rPr>
                <w:sz w:val="20"/>
                <w:szCs w:val="20"/>
              </w:rPr>
            </w:pPr>
            <w:r>
              <w:rPr>
                <w:rFonts w:ascii="Symbol" w:eastAsia="Symbol" w:hAnsi="Symbol" w:cs="Symbol"/>
                <w:sz w:val="20"/>
                <w:szCs w:val="20"/>
              </w:rPr>
              <w:t>-</w:t>
            </w:r>
          </w:p>
        </w:tc>
      </w:tr>
      <w:tr w:rsidR="00677577" w:rsidRPr="00167CB8" w14:paraId="5FA6B28E" w14:textId="77777777">
        <w:trPr>
          <w:trHeight w:val="300"/>
        </w:trPr>
        <w:tc>
          <w:tcPr>
            <w:tcW w:w="4395" w:type="dxa"/>
            <w:tcBorders>
              <w:top w:val="nil"/>
              <w:left w:val="single" w:sz="4" w:space="0" w:color="auto"/>
              <w:bottom w:val="nil"/>
              <w:right w:val="nil"/>
            </w:tcBorders>
            <w:noWrap/>
            <w:vAlign w:val="bottom"/>
            <w:hideMark/>
          </w:tcPr>
          <w:p w14:paraId="03DD1A2D" w14:textId="77777777" w:rsidR="00677577" w:rsidRPr="003A7C61" w:rsidRDefault="00677577">
            <w:pPr>
              <w:spacing w:after="0" w:line="240" w:lineRule="auto"/>
              <w:rPr>
                <w:sz w:val="20"/>
                <w:szCs w:val="20"/>
              </w:rPr>
            </w:pPr>
          </w:p>
        </w:tc>
        <w:tc>
          <w:tcPr>
            <w:tcW w:w="1540" w:type="dxa"/>
            <w:tcBorders>
              <w:top w:val="nil"/>
              <w:left w:val="nil"/>
              <w:bottom w:val="nil"/>
              <w:right w:val="nil"/>
            </w:tcBorders>
            <w:noWrap/>
            <w:vAlign w:val="bottom"/>
            <w:hideMark/>
          </w:tcPr>
          <w:p w14:paraId="5441E82B" w14:textId="77777777" w:rsidR="00677577" w:rsidRPr="003A7C61" w:rsidRDefault="00677577" w:rsidP="008747B2">
            <w:pPr>
              <w:spacing w:after="0" w:line="240" w:lineRule="auto"/>
              <w:jc w:val="right"/>
              <w:rPr>
                <w:sz w:val="20"/>
                <w:szCs w:val="20"/>
              </w:rPr>
            </w:pPr>
            <w:r w:rsidRPr="003A7C61">
              <w:rPr>
                <w:sz w:val="20"/>
                <w:szCs w:val="20"/>
              </w:rPr>
              <w:t>(0.008)</w:t>
            </w:r>
          </w:p>
        </w:tc>
        <w:tc>
          <w:tcPr>
            <w:tcW w:w="1540" w:type="dxa"/>
            <w:tcBorders>
              <w:top w:val="nil"/>
              <w:left w:val="nil"/>
              <w:bottom w:val="nil"/>
              <w:right w:val="nil"/>
            </w:tcBorders>
            <w:noWrap/>
            <w:vAlign w:val="bottom"/>
            <w:hideMark/>
          </w:tcPr>
          <w:p w14:paraId="7F749FD2" w14:textId="77777777" w:rsidR="00677577" w:rsidRPr="003A7C61" w:rsidRDefault="00677577" w:rsidP="008747B2">
            <w:pPr>
              <w:spacing w:after="0" w:line="240" w:lineRule="auto"/>
              <w:jc w:val="right"/>
              <w:rPr>
                <w:sz w:val="20"/>
                <w:szCs w:val="20"/>
              </w:rPr>
            </w:pPr>
            <w:r w:rsidRPr="003A7C61">
              <w:rPr>
                <w:sz w:val="20"/>
                <w:szCs w:val="20"/>
              </w:rPr>
              <w:t>(0.006)</w:t>
            </w:r>
          </w:p>
        </w:tc>
        <w:tc>
          <w:tcPr>
            <w:tcW w:w="1541" w:type="dxa"/>
            <w:tcBorders>
              <w:top w:val="nil"/>
              <w:left w:val="nil"/>
              <w:bottom w:val="nil"/>
              <w:right w:val="single" w:sz="4" w:space="0" w:color="auto"/>
            </w:tcBorders>
          </w:tcPr>
          <w:p w14:paraId="38243233" w14:textId="77777777" w:rsidR="00677577" w:rsidRPr="003A7C61" w:rsidRDefault="00677577" w:rsidP="008747B2">
            <w:pPr>
              <w:spacing w:after="0" w:line="240" w:lineRule="auto"/>
              <w:jc w:val="right"/>
              <w:rPr>
                <w:sz w:val="20"/>
                <w:szCs w:val="20"/>
              </w:rPr>
            </w:pPr>
          </w:p>
        </w:tc>
      </w:tr>
      <w:tr w:rsidR="00677577" w:rsidRPr="00167CB8" w14:paraId="1282674F" w14:textId="77777777">
        <w:trPr>
          <w:trHeight w:val="300"/>
        </w:trPr>
        <w:tc>
          <w:tcPr>
            <w:tcW w:w="4395" w:type="dxa"/>
            <w:tcBorders>
              <w:top w:val="nil"/>
              <w:left w:val="single" w:sz="4" w:space="0" w:color="auto"/>
              <w:bottom w:val="nil"/>
              <w:right w:val="nil"/>
            </w:tcBorders>
            <w:noWrap/>
            <w:vAlign w:val="bottom"/>
            <w:hideMark/>
          </w:tcPr>
          <w:p w14:paraId="191CDE3C" w14:textId="77777777" w:rsidR="00677577" w:rsidRPr="003A7C61" w:rsidRDefault="00677577">
            <w:pPr>
              <w:spacing w:after="0" w:line="240" w:lineRule="auto"/>
              <w:rPr>
                <w:sz w:val="20"/>
                <w:szCs w:val="20"/>
              </w:rPr>
            </w:pPr>
            <w:r w:rsidRPr="003A7C61">
              <w:rPr>
                <w:sz w:val="20"/>
                <w:szCs w:val="20"/>
              </w:rPr>
              <w:t xml:space="preserve">Female*2023 </w:t>
            </w:r>
          </w:p>
        </w:tc>
        <w:tc>
          <w:tcPr>
            <w:tcW w:w="1540" w:type="dxa"/>
            <w:tcBorders>
              <w:top w:val="nil"/>
              <w:left w:val="nil"/>
              <w:bottom w:val="nil"/>
              <w:right w:val="nil"/>
            </w:tcBorders>
            <w:noWrap/>
            <w:vAlign w:val="bottom"/>
            <w:hideMark/>
          </w:tcPr>
          <w:p w14:paraId="038665D0" w14:textId="77777777" w:rsidR="00677577" w:rsidRPr="003A7C61" w:rsidRDefault="00677577" w:rsidP="008747B2">
            <w:pPr>
              <w:spacing w:after="0" w:line="240" w:lineRule="auto"/>
              <w:jc w:val="right"/>
              <w:rPr>
                <w:sz w:val="20"/>
                <w:szCs w:val="20"/>
              </w:rPr>
            </w:pPr>
            <w:r w:rsidRPr="003A7C61">
              <w:rPr>
                <w:sz w:val="20"/>
                <w:szCs w:val="20"/>
              </w:rPr>
              <w:t>0.047***</w:t>
            </w:r>
          </w:p>
        </w:tc>
        <w:tc>
          <w:tcPr>
            <w:tcW w:w="1540" w:type="dxa"/>
            <w:tcBorders>
              <w:top w:val="nil"/>
              <w:left w:val="nil"/>
              <w:bottom w:val="nil"/>
              <w:right w:val="nil"/>
            </w:tcBorders>
            <w:noWrap/>
            <w:vAlign w:val="bottom"/>
            <w:hideMark/>
          </w:tcPr>
          <w:p w14:paraId="55FC9103" w14:textId="77777777" w:rsidR="00677577" w:rsidRPr="003A7C61" w:rsidRDefault="00677577" w:rsidP="008747B2">
            <w:pPr>
              <w:spacing w:after="0" w:line="240" w:lineRule="auto"/>
              <w:jc w:val="right"/>
              <w:rPr>
                <w:sz w:val="20"/>
                <w:szCs w:val="20"/>
              </w:rPr>
            </w:pPr>
            <w:r w:rsidRPr="003A7C61">
              <w:rPr>
                <w:sz w:val="20"/>
                <w:szCs w:val="20"/>
              </w:rPr>
              <w:t>0.018***</w:t>
            </w:r>
          </w:p>
        </w:tc>
        <w:tc>
          <w:tcPr>
            <w:tcW w:w="1541" w:type="dxa"/>
            <w:tcBorders>
              <w:top w:val="nil"/>
              <w:left w:val="nil"/>
              <w:bottom w:val="nil"/>
              <w:right w:val="single" w:sz="4" w:space="0" w:color="auto"/>
            </w:tcBorders>
            <w:hideMark/>
          </w:tcPr>
          <w:p w14:paraId="5553FF9F" w14:textId="77777777" w:rsidR="00677577" w:rsidRPr="003A7C61" w:rsidRDefault="00677577" w:rsidP="008747B2">
            <w:pPr>
              <w:spacing w:after="0" w:line="240" w:lineRule="auto"/>
              <w:jc w:val="right"/>
              <w:rPr>
                <w:sz w:val="20"/>
                <w:szCs w:val="20"/>
              </w:rPr>
            </w:pPr>
            <w:r w:rsidRPr="003A7C61">
              <w:rPr>
                <w:sz w:val="20"/>
                <w:szCs w:val="20"/>
              </w:rPr>
              <w:t>-0.024***</w:t>
            </w:r>
          </w:p>
        </w:tc>
      </w:tr>
      <w:tr w:rsidR="00677577" w:rsidRPr="00167CB8" w14:paraId="46E6DC3A" w14:textId="77777777">
        <w:trPr>
          <w:trHeight w:val="300"/>
        </w:trPr>
        <w:tc>
          <w:tcPr>
            <w:tcW w:w="4395" w:type="dxa"/>
            <w:tcBorders>
              <w:top w:val="nil"/>
              <w:left w:val="single" w:sz="4" w:space="0" w:color="auto"/>
              <w:bottom w:val="nil"/>
              <w:right w:val="nil"/>
            </w:tcBorders>
            <w:noWrap/>
            <w:vAlign w:val="bottom"/>
            <w:hideMark/>
          </w:tcPr>
          <w:p w14:paraId="2FC1EE6F" w14:textId="77777777" w:rsidR="00677577" w:rsidRPr="003A7C61" w:rsidRDefault="00677577">
            <w:pPr>
              <w:spacing w:after="0" w:line="240" w:lineRule="auto"/>
              <w:rPr>
                <w:sz w:val="20"/>
                <w:szCs w:val="20"/>
              </w:rPr>
            </w:pPr>
          </w:p>
        </w:tc>
        <w:tc>
          <w:tcPr>
            <w:tcW w:w="1540" w:type="dxa"/>
            <w:tcBorders>
              <w:top w:val="nil"/>
              <w:left w:val="nil"/>
              <w:bottom w:val="nil"/>
              <w:right w:val="nil"/>
            </w:tcBorders>
            <w:noWrap/>
            <w:vAlign w:val="bottom"/>
            <w:hideMark/>
          </w:tcPr>
          <w:p w14:paraId="3DE4DCA9" w14:textId="77777777" w:rsidR="00677577" w:rsidRPr="003A7C61" w:rsidRDefault="00677577" w:rsidP="008747B2">
            <w:pPr>
              <w:spacing w:after="0" w:line="240" w:lineRule="auto"/>
              <w:jc w:val="right"/>
              <w:rPr>
                <w:sz w:val="20"/>
                <w:szCs w:val="20"/>
              </w:rPr>
            </w:pPr>
            <w:r w:rsidRPr="003A7C61">
              <w:rPr>
                <w:sz w:val="20"/>
                <w:szCs w:val="20"/>
              </w:rPr>
              <w:t>(0.009)</w:t>
            </w:r>
          </w:p>
        </w:tc>
        <w:tc>
          <w:tcPr>
            <w:tcW w:w="1540" w:type="dxa"/>
            <w:tcBorders>
              <w:top w:val="nil"/>
              <w:left w:val="nil"/>
              <w:bottom w:val="nil"/>
              <w:right w:val="nil"/>
            </w:tcBorders>
            <w:noWrap/>
            <w:vAlign w:val="bottom"/>
            <w:hideMark/>
          </w:tcPr>
          <w:p w14:paraId="0FF20C0D" w14:textId="77777777" w:rsidR="00677577" w:rsidRPr="003A7C61" w:rsidRDefault="00677577" w:rsidP="008747B2">
            <w:pPr>
              <w:spacing w:after="0" w:line="240" w:lineRule="auto"/>
              <w:jc w:val="right"/>
              <w:rPr>
                <w:sz w:val="20"/>
                <w:szCs w:val="20"/>
              </w:rPr>
            </w:pPr>
            <w:r w:rsidRPr="003A7C61">
              <w:rPr>
                <w:sz w:val="20"/>
                <w:szCs w:val="20"/>
              </w:rPr>
              <w:t>(0.005)</w:t>
            </w:r>
          </w:p>
        </w:tc>
        <w:tc>
          <w:tcPr>
            <w:tcW w:w="1541" w:type="dxa"/>
            <w:tcBorders>
              <w:top w:val="nil"/>
              <w:left w:val="nil"/>
              <w:bottom w:val="nil"/>
              <w:right w:val="single" w:sz="4" w:space="0" w:color="auto"/>
            </w:tcBorders>
            <w:hideMark/>
          </w:tcPr>
          <w:p w14:paraId="53C4FB3B" w14:textId="77777777" w:rsidR="00677577" w:rsidRPr="003A7C61" w:rsidRDefault="00677577" w:rsidP="008747B2">
            <w:pPr>
              <w:spacing w:after="0" w:line="240" w:lineRule="auto"/>
              <w:jc w:val="right"/>
              <w:rPr>
                <w:sz w:val="20"/>
                <w:szCs w:val="20"/>
              </w:rPr>
            </w:pPr>
            <w:r w:rsidRPr="003A7C61">
              <w:rPr>
                <w:sz w:val="20"/>
                <w:szCs w:val="20"/>
              </w:rPr>
              <w:t>(0.006)</w:t>
            </w:r>
          </w:p>
        </w:tc>
      </w:tr>
      <w:tr w:rsidR="00677577" w:rsidRPr="00167CB8" w14:paraId="7DCEE0DC" w14:textId="77777777">
        <w:trPr>
          <w:trHeight w:val="300"/>
        </w:trPr>
        <w:tc>
          <w:tcPr>
            <w:tcW w:w="4395" w:type="dxa"/>
            <w:tcBorders>
              <w:top w:val="nil"/>
              <w:left w:val="single" w:sz="4" w:space="0" w:color="auto"/>
              <w:bottom w:val="nil"/>
              <w:right w:val="nil"/>
            </w:tcBorders>
            <w:noWrap/>
            <w:vAlign w:val="bottom"/>
            <w:hideMark/>
          </w:tcPr>
          <w:p w14:paraId="219B7616" w14:textId="77777777" w:rsidR="00677577" w:rsidRPr="003A7C61" w:rsidRDefault="00677577">
            <w:pPr>
              <w:spacing w:after="0" w:line="240" w:lineRule="auto"/>
              <w:rPr>
                <w:sz w:val="20"/>
                <w:szCs w:val="20"/>
              </w:rPr>
            </w:pPr>
            <w:r w:rsidRPr="003A7C61">
              <w:rPr>
                <w:sz w:val="20"/>
                <w:szCs w:val="20"/>
              </w:rPr>
              <w:t>Highest qualification – diploma or certificate</w:t>
            </w:r>
          </w:p>
        </w:tc>
        <w:tc>
          <w:tcPr>
            <w:tcW w:w="1540" w:type="dxa"/>
            <w:tcBorders>
              <w:top w:val="nil"/>
              <w:left w:val="nil"/>
              <w:bottom w:val="nil"/>
              <w:right w:val="nil"/>
            </w:tcBorders>
            <w:noWrap/>
            <w:vAlign w:val="bottom"/>
            <w:hideMark/>
          </w:tcPr>
          <w:p w14:paraId="640DFBBD" w14:textId="77777777" w:rsidR="00677577" w:rsidRPr="003A7C61" w:rsidRDefault="00677577" w:rsidP="008747B2">
            <w:pPr>
              <w:spacing w:after="0" w:line="240" w:lineRule="auto"/>
              <w:jc w:val="right"/>
              <w:rPr>
                <w:sz w:val="20"/>
                <w:szCs w:val="20"/>
              </w:rPr>
            </w:pPr>
            <w:r w:rsidRPr="003A7C61">
              <w:rPr>
                <w:sz w:val="20"/>
                <w:szCs w:val="20"/>
              </w:rPr>
              <w:t>0.067***</w:t>
            </w:r>
          </w:p>
        </w:tc>
        <w:tc>
          <w:tcPr>
            <w:tcW w:w="1540" w:type="dxa"/>
            <w:tcBorders>
              <w:top w:val="nil"/>
              <w:left w:val="nil"/>
              <w:bottom w:val="nil"/>
              <w:right w:val="nil"/>
            </w:tcBorders>
            <w:noWrap/>
            <w:vAlign w:val="bottom"/>
            <w:hideMark/>
          </w:tcPr>
          <w:p w14:paraId="077F6206" w14:textId="77777777" w:rsidR="00677577" w:rsidRPr="003A7C61" w:rsidRDefault="00677577" w:rsidP="008747B2">
            <w:pPr>
              <w:spacing w:after="0" w:line="240" w:lineRule="auto"/>
              <w:jc w:val="right"/>
              <w:rPr>
                <w:sz w:val="20"/>
                <w:szCs w:val="20"/>
              </w:rPr>
            </w:pPr>
            <w:r w:rsidRPr="003A7C61">
              <w:rPr>
                <w:sz w:val="20"/>
                <w:szCs w:val="20"/>
              </w:rPr>
              <w:t>0.057***</w:t>
            </w:r>
          </w:p>
        </w:tc>
        <w:tc>
          <w:tcPr>
            <w:tcW w:w="1541" w:type="dxa"/>
            <w:tcBorders>
              <w:top w:val="nil"/>
              <w:left w:val="nil"/>
              <w:bottom w:val="nil"/>
              <w:right w:val="single" w:sz="4" w:space="0" w:color="auto"/>
            </w:tcBorders>
            <w:hideMark/>
          </w:tcPr>
          <w:p w14:paraId="3CE023EC" w14:textId="77777777" w:rsidR="00677577" w:rsidRPr="003A7C61" w:rsidRDefault="00677577" w:rsidP="008747B2">
            <w:pPr>
              <w:spacing w:after="0" w:line="240" w:lineRule="auto"/>
              <w:jc w:val="right"/>
              <w:rPr>
                <w:sz w:val="20"/>
                <w:szCs w:val="20"/>
              </w:rPr>
            </w:pPr>
            <w:r w:rsidRPr="003A7C61">
              <w:rPr>
                <w:sz w:val="20"/>
                <w:szCs w:val="20"/>
              </w:rPr>
              <w:t>0.037***</w:t>
            </w:r>
          </w:p>
        </w:tc>
      </w:tr>
      <w:tr w:rsidR="00677577" w:rsidRPr="00167CB8" w14:paraId="0A45032A" w14:textId="77777777">
        <w:trPr>
          <w:trHeight w:val="300"/>
        </w:trPr>
        <w:tc>
          <w:tcPr>
            <w:tcW w:w="4395" w:type="dxa"/>
            <w:tcBorders>
              <w:top w:val="nil"/>
              <w:left w:val="single" w:sz="4" w:space="0" w:color="auto"/>
              <w:bottom w:val="nil"/>
              <w:right w:val="nil"/>
            </w:tcBorders>
            <w:noWrap/>
            <w:vAlign w:val="bottom"/>
            <w:hideMark/>
          </w:tcPr>
          <w:p w14:paraId="049546BF" w14:textId="77777777" w:rsidR="00677577" w:rsidRPr="003A7C61" w:rsidRDefault="00677577">
            <w:pPr>
              <w:spacing w:after="0" w:line="240" w:lineRule="auto"/>
              <w:rPr>
                <w:sz w:val="20"/>
                <w:szCs w:val="20"/>
              </w:rPr>
            </w:pPr>
          </w:p>
        </w:tc>
        <w:tc>
          <w:tcPr>
            <w:tcW w:w="1540" w:type="dxa"/>
            <w:tcBorders>
              <w:top w:val="nil"/>
              <w:left w:val="nil"/>
              <w:bottom w:val="nil"/>
              <w:right w:val="nil"/>
            </w:tcBorders>
            <w:noWrap/>
            <w:vAlign w:val="bottom"/>
            <w:hideMark/>
          </w:tcPr>
          <w:p w14:paraId="6DC7B35F" w14:textId="77777777" w:rsidR="00677577" w:rsidRPr="003A7C61" w:rsidRDefault="00677577" w:rsidP="008747B2">
            <w:pPr>
              <w:spacing w:after="0" w:line="240" w:lineRule="auto"/>
              <w:jc w:val="right"/>
              <w:rPr>
                <w:sz w:val="20"/>
                <w:szCs w:val="20"/>
              </w:rPr>
            </w:pPr>
            <w:r w:rsidRPr="003A7C61">
              <w:rPr>
                <w:sz w:val="20"/>
                <w:szCs w:val="20"/>
              </w:rPr>
              <w:t>(0.009)</w:t>
            </w:r>
          </w:p>
        </w:tc>
        <w:tc>
          <w:tcPr>
            <w:tcW w:w="1540" w:type="dxa"/>
            <w:tcBorders>
              <w:top w:val="nil"/>
              <w:left w:val="nil"/>
              <w:bottom w:val="nil"/>
              <w:right w:val="nil"/>
            </w:tcBorders>
            <w:noWrap/>
            <w:vAlign w:val="bottom"/>
            <w:hideMark/>
          </w:tcPr>
          <w:p w14:paraId="2139473D" w14:textId="77777777" w:rsidR="00677577" w:rsidRPr="003A7C61" w:rsidRDefault="00677577" w:rsidP="008747B2">
            <w:pPr>
              <w:spacing w:after="0" w:line="240" w:lineRule="auto"/>
              <w:jc w:val="right"/>
              <w:rPr>
                <w:sz w:val="20"/>
                <w:szCs w:val="20"/>
              </w:rPr>
            </w:pPr>
            <w:r w:rsidRPr="003A7C61">
              <w:rPr>
                <w:sz w:val="20"/>
                <w:szCs w:val="20"/>
              </w:rPr>
              <w:t>(0.006)</w:t>
            </w:r>
          </w:p>
        </w:tc>
        <w:tc>
          <w:tcPr>
            <w:tcW w:w="1541" w:type="dxa"/>
            <w:tcBorders>
              <w:top w:val="nil"/>
              <w:left w:val="nil"/>
              <w:bottom w:val="nil"/>
              <w:right w:val="single" w:sz="4" w:space="0" w:color="auto"/>
            </w:tcBorders>
            <w:hideMark/>
          </w:tcPr>
          <w:p w14:paraId="2D6EAF3A" w14:textId="77777777" w:rsidR="00677577" w:rsidRPr="003A7C61" w:rsidRDefault="00677577" w:rsidP="008747B2">
            <w:pPr>
              <w:spacing w:after="0" w:line="240" w:lineRule="auto"/>
              <w:jc w:val="right"/>
              <w:rPr>
                <w:sz w:val="20"/>
                <w:szCs w:val="20"/>
              </w:rPr>
            </w:pPr>
            <w:r w:rsidRPr="003A7C61">
              <w:rPr>
                <w:sz w:val="20"/>
                <w:szCs w:val="20"/>
              </w:rPr>
              <w:t>(0.009)</w:t>
            </w:r>
          </w:p>
        </w:tc>
      </w:tr>
      <w:tr w:rsidR="00677577" w:rsidRPr="00167CB8" w14:paraId="28128B1D" w14:textId="77777777">
        <w:trPr>
          <w:trHeight w:val="300"/>
        </w:trPr>
        <w:tc>
          <w:tcPr>
            <w:tcW w:w="4395" w:type="dxa"/>
            <w:tcBorders>
              <w:top w:val="nil"/>
              <w:left w:val="single" w:sz="4" w:space="0" w:color="auto"/>
              <w:bottom w:val="nil"/>
              <w:right w:val="nil"/>
            </w:tcBorders>
            <w:noWrap/>
            <w:vAlign w:val="bottom"/>
            <w:hideMark/>
          </w:tcPr>
          <w:p w14:paraId="1497137D" w14:textId="77777777" w:rsidR="00677577" w:rsidRPr="003A7C61" w:rsidRDefault="00677577">
            <w:pPr>
              <w:spacing w:after="0" w:line="240" w:lineRule="auto"/>
              <w:rPr>
                <w:sz w:val="20"/>
                <w:szCs w:val="20"/>
              </w:rPr>
            </w:pPr>
            <w:r w:rsidRPr="003A7C61">
              <w:rPr>
                <w:sz w:val="20"/>
                <w:szCs w:val="20"/>
              </w:rPr>
              <w:t>Highest qualification – bachelor degree or higher</w:t>
            </w:r>
          </w:p>
        </w:tc>
        <w:tc>
          <w:tcPr>
            <w:tcW w:w="1540" w:type="dxa"/>
            <w:tcBorders>
              <w:top w:val="nil"/>
              <w:left w:val="nil"/>
              <w:bottom w:val="nil"/>
              <w:right w:val="nil"/>
            </w:tcBorders>
            <w:noWrap/>
            <w:vAlign w:val="bottom"/>
            <w:hideMark/>
          </w:tcPr>
          <w:p w14:paraId="02D362DA" w14:textId="77777777" w:rsidR="00677577" w:rsidRPr="003A7C61" w:rsidRDefault="00677577" w:rsidP="008747B2">
            <w:pPr>
              <w:spacing w:after="0" w:line="240" w:lineRule="auto"/>
              <w:jc w:val="right"/>
              <w:rPr>
                <w:sz w:val="20"/>
                <w:szCs w:val="20"/>
              </w:rPr>
            </w:pPr>
            <w:r w:rsidRPr="003A7C61">
              <w:rPr>
                <w:sz w:val="20"/>
                <w:szCs w:val="20"/>
              </w:rPr>
              <w:t>0.318***</w:t>
            </w:r>
          </w:p>
        </w:tc>
        <w:tc>
          <w:tcPr>
            <w:tcW w:w="1540" w:type="dxa"/>
            <w:tcBorders>
              <w:top w:val="nil"/>
              <w:left w:val="nil"/>
              <w:bottom w:val="nil"/>
              <w:right w:val="nil"/>
            </w:tcBorders>
            <w:noWrap/>
            <w:vAlign w:val="bottom"/>
            <w:hideMark/>
          </w:tcPr>
          <w:p w14:paraId="028400C4" w14:textId="77777777" w:rsidR="00677577" w:rsidRPr="003A7C61" w:rsidRDefault="00677577" w:rsidP="008747B2">
            <w:pPr>
              <w:spacing w:after="0" w:line="240" w:lineRule="auto"/>
              <w:jc w:val="right"/>
              <w:rPr>
                <w:sz w:val="20"/>
                <w:szCs w:val="20"/>
              </w:rPr>
            </w:pPr>
            <w:r w:rsidRPr="003A7C61">
              <w:rPr>
                <w:sz w:val="20"/>
                <w:szCs w:val="20"/>
              </w:rPr>
              <w:t>0.278***</w:t>
            </w:r>
          </w:p>
        </w:tc>
        <w:tc>
          <w:tcPr>
            <w:tcW w:w="1541" w:type="dxa"/>
            <w:tcBorders>
              <w:top w:val="nil"/>
              <w:left w:val="nil"/>
              <w:bottom w:val="nil"/>
              <w:right w:val="single" w:sz="4" w:space="0" w:color="auto"/>
            </w:tcBorders>
            <w:hideMark/>
          </w:tcPr>
          <w:p w14:paraId="1D1E2232" w14:textId="77777777" w:rsidR="00677577" w:rsidRPr="003A7C61" w:rsidRDefault="00677577" w:rsidP="008747B2">
            <w:pPr>
              <w:spacing w:after="0" w:line="240" w:lineRule="auto"/>
              <w:jc w:val="right"/>
              <w:rPr>
                <w:sz w:val="20"/>
                <w:szCs w:val="20"/>
              </w:rPr>
            </w:pPr>
            <w:r w:rsidRPr="003A7C61">
              <w:rPr>
                <w:sz w:val="20"/>
                <w:szCs w:val="20"/>
              </w:rPr>
              <w:t>0.130***</w:t>
            </w:r>
          </w:p>
        </w:tc>
      </w:tr>
      <w:tr w:rsidR="00677577" w:rsidRPr="00167CB8" w14:paraId="41FB4AED" w14:textId="77777777">
        <w:trPr>
          <w:trHeight w:val="300"/>
        </w:trPr>
        <w:tc>
          <w:tcPr>
            <w:tcW w:w="4395" w:type="dxa"/>
            <w:tcBorders>
              <w:top w:val="nil"/>
              <w:left w:val="single" w:sz="4" w:space="0" w:color="auto"/>
              <w:bottom w:val="nil"/>
              <w:right w:val="nil"/>
            </w:tcBorders>
            <w:noWrap/>
            <w:vAlign w:val="bottom"/>
            <w:hideMark/>
          </w:tcPr>
          <w:p w14:paraId="6A6F9726" w14:textId="77777777" w:rsidR="00677577" w:rsidRPr="003A7C61" w:rsidRDefault="00677577">
            <w:pPr>
              <w:spacing w:after="0" w:line="240" w:lineRule="auto"/>
              <w:rPr>
                <w:sz w:val="20"/>
                <w:szCs w:val="20"/>
              </w:rPr>
            </w:pPr>
          </w:p>
        </w:tc>
        <w:tc>
          <w:tcPr>
            <w:tcW w:w="1540" w:type="dxa"/>
            <w:tcBorders>
              <w:top w:val="nil"/>
              <w:left w:val="nil"/>
              <w:bottom w:val="nil"/>
              <w:right w:val="nil"/>
            </w:tcBorders>
            <w:noWrap/>
            <w:vAlign w:val="bottom"/>
            <w:hideMark/>
          </w:tcPr>
          <w:p w14:paraId="56066ECF" w14:textId="77777777" w:rsidR="00677577" w:rsidRPr="003A7C61" w:rsidRDefault="00677577" w:rsidP="008747B2">
            <w:pPr>
              <w:spacing w:after="0" w:line="240" w:lineRule="auto"/>
              <w:jc w:val="right"/>
              <w:rPr>
                <w:sz w:val="20"/>
                <w:szCs w:val="20"/>
              </w:rPr>
            </w:pPr>
            <w:r w:rsidRPr="003A7C61">
              <w:rPr>
                <w:sz w:val="20"/>
                <w:szCs w:val="20"/>
              </w:rPr>
              <w:t>(0.010)</w:t>
            </w:r>
          </w:p>
        </w:tc>
        <w:tc>
          <w:tcPr>
            <w:tcW w:w="1540" w:type="dxa"/>
            <w:tcBorders>
              <w:top w:val="nil"/>
              <w:left w:val="nil"/>
              <w:bottom w:val="nil"/>
              <w:right w:val="nil"/>
            </w:tcBorders>
            <w:noWrap/>
            <w:vAlign w:val="bottom"/>
            <w:hideMark/>
          </w:tcPr>
          <w:p w14:paraId="4FD5EB84" w14:textId="77777777" w:rsidR="00677577" w:rsidRPr="003A7C61" w:rsidRDefault="00677577" w:rsidP="008747B2">
            <w:pPr>
              <w:spacing w:after="0" w:line="240" w:lineRule="auto"/>
              <w:jc w:val="right"/>
              <w:rPr>
                <w:sz w:val="20"/>
                <w:szCs w:val="20"/>
              </w:rPr>
            </w:pPr>
            <w:r w:rsidRPr="003A7C61">
              <w:rPr>
                <w:sz w:val="20"/>
                <w:szCs w:val="20"/>
              </w:rPr>
              <w:t>(0.007)</w:t>
            </w:r>
          </w:p>
        </w:tc>
        <w:tc>
          <w:tcPr>
            <w:tcW w:w="1541" w:type="dxa"/>
            <w:tcBorders>
              <w:top w:val="nil"/>
              <w:left w:val="nil"/>
              <w:bottom w:val="nil"/>
              <w:right w:val="single" w:sz="4" w:space="0" w:color="auto"/>
            </w:tcBorders>
            <w:hideMark/>
          </w:tcPr>
          <w:p w14:paraId="5CB90B81" w14:textId="77777777" w:rsidR="00677577" w:rsidRPr="003A7C61" w:rsidRDefault="00677577" w:rsidP="008747B2">
            <w:pPr>
              <w:spacing w:after="0" w:line="240" w:lineRule="auto"/>
              <w:jc w:val="right"/>
              <w:rPr>
                <w:sz w:val="20"/>
                <w:szCs w:val="20"/>
              </w:rPr>
            </w:pPr>
            <w:r w:rsidRPr="003A7C61">
              <w:rPr>
                <w:sz w:val="20"/>
                <w:szCs w:val="20"/>
              </w:rPr>
              <w:t>(0.012)</w:t>
            </w:r>
          </w:p>
        </w:tc>
      </w:tr>
      <w:tr w:rsidR="00677577" w:rsidRPr="00167CB8" w14:paraId="7897623B" w14:textId="77777777">
        <w:trPr>
          <w:trHeight w:val="300"/>
        </w:trPr>
        <w:tc>
          <w:tcPr>
            <w:tcW w:w="4395" w:type="dxa"/>
            <w:tcBorders>
              <w:top w:val="nil"/>
              <w:left w:val="single" w:sz="4" w:space="0" w:color="auto"/>
              <w:bottom w:val="nil"/>
              <w:right w:val="nil"/>
            </w:tcBorders>
            <w:noWrap/>
            <w:vAlign w:val="bottom"/>
            <w:hideMark/>
          </w:tcPr>
          <w:p w14:paraId="607631A0" w14:textId="77777777" w:rsidR="00677577" w:rsidRPr="003A7C61" w:rsidRDefault="00677577">
            <w:pPr>
              <w:spacing w:after="0" w:line="240" w:lineRule="auto"/>
              <w:rPr>
                <w:sz w:val="20"/>
                <w:szCs w:val="20"/>
              </w:rPr>
            </w:pPr>
            <w:r w:rsidRPr="003A7C61">
              <w:rPr>
                <w:sz w:val="20"/>
                <w:szCs w:val="20"/>
              </w:rPr>
              <w:t>Actual experience</w:t>
            </w:r>
          </w:p>
        </w:tc>
        <w:tc>
          <w:tcPr>
            <w:tcW w:w="1540" w:type="dxa"/>
            <w:tcBorders>
              <w:top w:val="nil"/>
              <w:left w:val="nil"/>
              <w:bottom w:val="nil"/>
              <w:right w:val="nil"/>
            </w:tcBorders>
            <w:noWrap/>
            <w:vAlign w:val="bottom"/>
            <w:hideMark/>
          </w:tcPr>
          <w:p w14:paraId="315AA490" w14:textId="77777777" w:rsidR="00677577" w:rsidRPr="003A7C61" w:rsidRDefault="00677577" w:rsidP="008747B2">
            <w:pPr>
              <w:spacing w:after="0" w:line="240" w:lineRule="auto"/>
              <w:jc w:val="right"/>
              <w:rPr>
                <w:sz w:val="20"/>
                <w:szCs w:val="20"/>
              </w:rPr>
            </w:pPr>
            <w:r w:rsidRPr="003A7C61">
              <w:rPr>
                <w:sz w:val="20"/>
                <w:szCs w:val="20"/>
              </w:rPr>
              <w:t>0.020***</w:t>
            </w:r>
          </w:p>
        </w:tc>
        <w:tc>
          <w:tcPr>
            <w:tcW w:w="1540" w:type="dxa"/>
            <w:tcBorders>
              <w:top w:val="nil"/>
              <w:left w:val="nil"/>
              <w:bottom w:val="nil"/>
              <w:right w:val="nil"/>
            </w:tcBorders>
            <w:noWrap/>
            <w:vAlign w:val="bottom"/>
            <w:hideMark/>
          </w:tcPr>
          <w:p w14:paraId="7D67EF31" w14:textId="77777777" w:rsidR="00677577" w:rsidRPr="003A7C61" w:rsidRDefault="00677577" w:rsidP="008747B2">
            <w:pPr>
              <w:spacing w:after="0" w:line="240" w:lineRule="auto"/>
              <w:jc w:val="right"/>
              <w:rPr>
                <w:sz w:val="20"/>
                <w:szCs w:val="20"/>
              </w:rPr>
            </w:pPr>
            <w:r w:rsidRPr="003A7C61">
              <w:rPr>
                <w:sz w:val="20"/>
                <w:szCs w:val="20"/>
              </w:rPr>
              <w:t>0.029***</w:t>
            </w:r>
          </w:p>
        </w:tc>
        <w:tc>
          <w:tcPr>
            <w:tcW w:w="1541" w:type="dxa"/>
            <w:tcBorders>
              <w:top w:val="nil"/>
              <w:left w:val="nil"/>
              <w:bottom w:val="nil"/>
              <w:right w:val="single" w:sz="4" w:space="0" w:color="auto"/>
            </w:tcBorders>
            <w:hideMark/>
          </w:tcPr>
          <w:p w14:paraId="17502490" w14:textId="77777777" w:rsidR="00677577" w:rsidRPr="003A7C61" w:rsidRDefault="00677577" w:rsidP="008747B2">
            <w:pPr>
              <w:spacing w:after="0" w:line="240" w:lineRule="auto"/>
              <w:jc w:val="right"/>
              <w:rPr>
                <w:sz w:val="20"/>
                <w:szCs w:val="20"/>
              </w:rPr>
            </w:pPr>
            <w:r w:rsidRPr="003A7C61">
              <w:rPr>
                <w:sz w:val="20"/>
                <w:szCs w:val="20"/>
              </w:rPr>
              <w:t>0.041***</w:t>
            </w:r>
          </w:p>
        </w:tc>
      </w:tr>
      <w:tr w:rsidR="00677577" w:rsidRPr="00167CB8" w14:paraId="288AC0F8" w14:textId="77777777">
        <w:trPr>
          <w:trHeight w:val="300"/>
        </w:trPr>
        <w:tc>
          <w:tcPr>
            <w:tcW w:w="4395" w:type="dxa"/>
            <w:tcBorders>
              <w:top w:val="nil"/>
              <w:left w:val="single" w:sz="4" w:space="0" w:color="auto"/>
              <w:bottom w:val="nil"/>
              <w:right w:val="nil"/>
            </w:tcBorders>
            <w:noWrap/>
            <w:vAlign w:val="bottom"/>
            <w:hideMark/>
          </w:tcPr>
          <w:p w14:paraId="62A05AEE" w14:textId="77777777" w:rsidR="00677577" w:rsidRPr="003A7C61" w:rsidRDefault="00677577">
            <w:pPr>
              <w:spacing w:after="0" w:line="240" w:lineRule="auto"/>
              <w:rPr>
                <w:sz w:val="20"/>
                <w:szCs w:val="20"/>
              </w:rPr>
            </w:pPr>
          </w:p>
        </w:tc>
        <w:tc>
          <w:tcPr>
            <w:tcW w:w="1540" w:type="dxa"/>
            <w:tcBorders>
              <w:top w:val="nil"/>
              <w:left w:val="nil"/>
              <w:bottom w:val="nil"/>
              <w:right w:val="nil"/>
            </w:tcBorders>
            <w:noWrap/>
            <w:vAlign w:val="bottom"/>
            <w:hideMark/>
          </w:tcPr>
          <w:p w14:paraId="3CCD5313" w14:textId="77777777" w:rsidR="00677577" w:rsidRPr="003A7C61" w:rsidRDefault="00677577" w:rsidP="008747B2">
            <w:pPr>
              <w:spacing w:after="0" w:line="240" w:lineRule="auto"/>
              <w:jc w:val="right"/>
              <w:rPr>
                <w:sz w:val="20"/>
                <w:szCs w:val="20"/>
              </w:rPr>
            </w:pPr>
            <w:r w:rsidRPr="003A7C61">
              <w:rPr>
                <w:sz w:val="20"/>
                <w:szCs w:val="20"/>
              </w:rPr>
              <w:t>(0.001)</w:t>
            </w:r>
          </w:p>
        </w:tc>
        <w:tc>
          <w:tcPr>
            <w:tcW w:w="1540" w:type="dxa"/>
            <w:tcBorders>
              <w:top w:val="nil"/>
              <w:left w:val="nil"/>
              <w:bottom w:val="nil"/>
              <w:right w:val="nil"/>
            </w:tcBorders>
            <w:noWrap/>
            <w:vAlign w:val="bottom"/>
            <w:hideMark/>
          </w:tcPr>
          <w:p w14:paraId="2BF8C7FC" w14:textId="77777777" w:rsidR="00677577" w:rsidRPr="003A7C61" w:rsidRDefault="00677577" w:rsidP="008747B2">
            <w:pPr>
              <w:spacing w:after="0" w:line="240" w:lineRule="auto"/>
              <w:jc w:val="right"/>
              <w:rPr>
                <w:sz w:val="20"/>
                <w:szCs w:val="20"/>
              </w:rPr>
            </w:pPr>
            <w:r w:rsidRPr="003A7C61">
              <w:rPr>
                <w:sz w:val="20"/>
                <w:szCs w:val="20"/>
              </w:rPr>
              <w:t>(0.001)</w:t>
            </w:r>
          </w:p>
        </w:tc>
        <w:tc>
          <w:tcPr>
            <w:tcW w:w="1541" w:type="dxa"/>
            <w:tcBorders>
              <w:top w:val="nil"/>
              <w:left w:val="nil"/>
              <w:bottom w:val="nil"/>
              <w:right w:val="single" w:sz="4" w:space="0" w:color="auto"/>
            </w:tcBorders>
            <w:hideMark/>
          </w:tcPr>
          <w:p w14:paraId="021CDE5A" w14:textId="77777777" w:rsidR="00677577" w:rsidRPr="003A7C61" w:rsidRDefault="00677577" w:rsidP="008747B2">
            <w:pPr>
              <w:spacing w:after="0" w:line="240" w:lineRule="auto"/>
              <w:jc w:val="right"/>
              <w:rPr>
                <w:sz w:val="20"/>
                <w:szCs w:val="20"/>
              </w:rPr>
            </w:pPr>
            <w:r w:rsidRPr="003A7C61">
              <w:rPr>
                <w:sz w:val="20"/>
                <w:szCs w:val="20"/>
              </w:rPr>
              <w:t>(0.001)</w:t>
            </w:r>
          </w:p>
        </w:tc>
      </w:tr>
      <w:tr w:rsidR="00677577" w:rsidRPr="00167CB8" w14:paraId="72D32D5A" w14:textId="77777777">
        <w:trPr>
          <w:trHeight w:val="300"/>
        </w:trPr>
        <w:tc>
          <w:tcPr>
            <w:tcW w:w="4395" w:type="dxa"/>
            <w:tcBorders>
              <w:top w:val="nil"/>
              <w:left w:val="single" w:sz="4" w:space="0" w:color="auto"/>
              <w:bottom w:val="nil"/>
              <w:right w:val="nil"/>
            </w:tcBorders>
            <w:noWrap/>
            <w:vAlign w:val="bottom"/>
            <w:hideMark/>
          </w:tcPr>
          <w:p w14:paraId="6E19AC41" w14:textId="77777777" w:rsidR="00677577" w:rsidRPr="003A7C61" w:rsidRDefault="00677577">
            <w:pPr>
              <w:spacing w:after="0" w:line="240" w:lineRule="auto"/>
              <w:rPr>
                <w:sz w:val="20"/>
                <w:szCs w:val="20"/>
              </w:rPr>
            </w:pPr>
            <w:r w:rsidRPr="003A7C61">
              <w:rPr>
                <w:sz w:val="20"/>
                <w:szCs w:val="20"/>
              </w:rPr>
              <w:t>Actual experience squared</w:t>
            </w:r>
          </w:p>
        </w:tc>
        <w:tc>
          <w:tcPr>
            <w:tcW w:w="1540" w:type="dxa"/>
            <w:tcBorders>
              <w:top w:val="nil"/>
              <w:left w:val="nil"/>
              <w:bottom w:val="nil"/>
              <w:right w:val="nil"/>
            </w:tcBorders>
            <w:noWrap/>
            <w:vAlign w:val="bottom"/>
            <w:hideMark/>
          </w:tcPr>
          <w:p w14:paraId="69F2395D" w14:textId="77777777" w:rsidR="00677577" w:rsidRPr="003A7C61" w:rsidRDefault="00677577" w:rsidP="008747B2">
            <w:pPr>
              <w:spacing w:after="0" w:line="240" w:lineRule="auto"/>
              <w:jc w:val="right"/>
              <w:rPr>
                <w:sz w:val="20"/>
                <w:szCs w:val="20"/>
              </w:rPr>
            </w:pPr>
            <w:r w:rsidRPr="003A7C61">
              <w:rPr>
                <w:sz w:val="20"/>
                <w:szCs w:val="20"/>
              </w:rPr>
              <w:t>-0.0003***</w:t>
            </w:r>
          </w:p>
        </w:tc>
        <w:tc>
          <w:tcPr>
            <w:tcW w:w="1540" w:type="dxa"/>
            <w:tcBorders>
              <w:top w:val="nil"/>
              <w:left w:val="nil"/>
              <w:bottom w:val="nil"/>
              <w:right w:val="nil"/>
            </w:tcBorders>
            <w:noWrap/>
            <w:vAlign w:val="bottom"/>
            <w:hideMark/>
          </w:tcPr>
          <w:p w14:paraId="0C8F9974" w14:textId="77777777" w:rsidR="00677577" w:rsidRPr="003A7C61" w:rsidRDefault="00677577" w:rsidP="008747B2">
            <w:pPr>
              <w:spacing w:after="0" w:line="240" w:lineRule="auto"/>
              <w:jc w:val="right"/>
              <w:rPr>
                <w:sz w:val="20"/>
                <w:szCs w:val="20"/>
              </w:rPr>
            </w:pPr>
            <w:r w:rsidRPr="003A7C61">
              <w:rPr>
                <w:sz w:val="20"/>
                <w:szCs w:val="20"/>
              </w:rPr>
              <w:t>-0.0004***</w:t>
            </w:r>
          </w:p>
        </w:tc>
        <w:tc>
          <w:tcPr>
            <w:tcW w:w="1541" w:type="dxa"/>
            <w:tcBorders>
              <w:top w:val="nil"/>
              <w:left w:val="nil"/>
              <w:bottom w:val="nil"/>
              <w:right w:val="single" w:sz="4" w:space="0" w:color="auto"/>
            </w:tcBorders>
            <w:hideMark/>
          </w:tcPr>
          <w:p w14:paraId="7BFEA37F" w14:textId="77777777" w:rsidR="00677577" w:rsidRPr="003A7C61" w:rsidRDefault="00677577" w:rsidP="008747B2">
            <w:pPr>
              <w:spacing w:after="0" w:line="240" w:lineRule="auto"/>
              <w:jc w:val="right"/>
              <w:rPr>
                <w:sz w:val="20"/>
                <w:szCs w:val="20"/>
              </w:rPr>
            </w:pPr>
            <w:r w:rsidRPr="003A7C61">
              <w:rPr>
                <w:sz w:val="20"/>
                <w:szCs w:val="20"/>
              </w:rPr>
              <w:t>-0.001***</w:t>
            </w:r>
          </w:p>
        </w:tc>
      </w:tr>
      <w:tr w:rsidR="00677577" w:rsidRPr="00167CB8" w14:paraId="1BA1EA93" w14:textId="77777777">
        <w:trPr>
          <w:trHeight w:val="300"/>
        </w:trPr>
        <w:tc>
          <w:tcPr>
            <w:tcW w:w="4395" w:type="dxa"/>
            <w:tcBorders>
              <w:top w:val="nil"/>
              <w:left w:val="single" w:sz="4" w:space="0" w:color="auto"/>
              <w:bottom w:val="nil"/>
              <w:right w:val="nil"/>
            </w:tcBorders>
            <w:noWrap/>
            <w:vAlign w:val="bottom"/>
            <w:hideMark/>
          </w:tcPr>
          <w:p w14:paraId="2A7FDD64" w14:textId="77777777" w:rsidR="00677577" w:rsidRPr="003A7C61" w:rsidRDefault="00677577">
            <w:pPr>
              <w:spacing w:after="0" w:line="240" w:lineRule="auto"/>
              <w:rPr>
                <w:sz w:val="20"/>
                <w:szCs w:val="20"/>
              </w:rPr>
            </w:pPr>
          </w:p>
        </w:tc>
        <w:tc>
          <w:tcPr>
            <w:tcW w:w="1540" w:type="dxa"/>
            <w:tcBorders>
              <w:top w:val="nil"/>
              <w:left w:val="nil"/>
              <w:bottom w:val="nil"/>
              <w:right w:val="nil"/>
            </w:tcBorders>
            <w:noWrap/>
            <w:vAlign w:val="bottom"/>
            <w:hideMark/>
          </w:tcPr>
          <w:p w14:paraId="065D1D5F" w14:textId="77777777" w:rsidR="00677577" w:rsidRPr="003A7C61" w:rsidRDefault="00677577" w:rsidP="008747B2">
            <w:pPr>
              <w:spacing w:after="0" w:line="240" w:lineRule="auto"/>
              <w:jc w:val="right"/>
              <w:rPr>
                <w:sz w:val="20"/>
                <w:szCs w:val="20"/>
              </w:rPr>
            </w:pPr>
            <w:r w:rsidRPr="003A7C61">
              <w:rPr>
                <w:sz w:val="20"/>
                <w:szCs w:val="20"/>
              </w:rPr>
              <w:t>(0.000)</w:t>
            </w:r>
          </w:p>
        </w:tc>
        <w:tc>
          <w:tcPr>
            <w:tcW w:w="1540" w:type="dxa"/>
            <w:tcBorders>
              <w:top w:val="nil"/>
              <w:left w:val="nil"/>
              <w:bottom w:val="nil"/>
              <w:right w:val="nil"/>
            </w:tcBorders>
            <w:noWrap/>
            <w:vAlign w:val="bottom"/>
            <w:hideMark/>
          </w:tcPr>
          <w:p w14:paraId="3D3C8966" w14:textId="77777777" w:rsidR="00677577" w:rsidRPr="003A7C61" w:rsidRDefault="00677577" w:rsidP="008747B2">
            <w:pPr>
              <w:spacing w:after="0" w:line="240" w:lineRule="auto"/>
              <w:jc w:val="right"/>
              <w:rPr>
                <w:sz w:val="20"/>
                <w:szCs w:val="20"/>
              </w:rPr>
            </w:pPr>
            <w:r w:rsidRPr="003A7C61">
              <w:rPr>
                <w:sz w:val="20"/>
                <w:szCs w:val="20"/>
              </w:rPr>
              <w:t>(0.000)</w:t>
            </w:r>
          </w:p>
        </w:tc>
        <w:tc>
          <w:tcPr>
            <w:tcW w:w="1541" w:type="dxa"/>
            <w:tcBorders>
              <w:top w:val="nil"/>
              <w:left w:val="nil"/>
              <w:bottom w:val="nil"/>
              <w:right w:val="single" w:sz="4" w:space="0" w:color="auto"/>
            </w:tcBorders>
            <w:hideMark/>
          </w:tcPr>
          <w:p w14:paraId="566FD742" w14:textId="77777777" w:rsidR="00677577" w:rsidRPr="003A7C61" w:rsidRDefault="00677577" w:rsidP="008747B2">
            <w:pPr>
              <w:spacing w:after="0" w:line="240" w:lineRule="auto"/>
              <w:jc w:val="right"/>
              <w:rPr>
                <w:sz w:val="20"/>
                <w:szCs w:val="20"/>
              </w:rPr>
            </w:pPr>
            <w:r w:rsidRPr="003A7C61">
              <w:rPr>
                <w:sz w:val="20"/>
                <w:szCs w:val="20"/>
              </w:rPr>
              <w:t>(0.000)</w:t>
            </w:r>
          </w:p>
        </w:tc>
      </w:tr>
      <w:tr w:rsidR="00677577" w:rsidRPr="00167CB8" w14:paraId="4327FB31" w14:textId="77777777">
        <w:trPr>
          <w:trHeight w:val="300"/>
        </w:trPr>
        <w:tc>
          <w:tcPr>
            <w:tcW w:w="4395" w:type="dxa"/>
            <w:tcBorders>
              <w:top w:val="nil"/>
              <w:left w:val="single" w:sz="4" w:space="0" w:color="auto"/>
              <w:bottom w:val="nil"/>
              <w:right w:val="nil"/>
            </w:tcBorders>
            <w:noWrap/>
            <w:vAlign w:val="bottom"/>
            <w:hideMark/>
          </w:tcPr>
          <w:p w14:paraId="2DB0DCF3" w14:textId="77777777" w:rsidR="00677577" w:rsidRPr="003A7C61" w:rsidRDefault="00677577">
            <w:pPr>
              <w:spacing w:after="0" w:line="240" w:lineRule="auto"/>
              <w:rPr>
                <w:sz w:val="20"/>
                <w:szCs w:val="20"/>
              </w:rPr>
            </w:pPr>
            <w:r w:rsidRPr="003A7C61">
              <w:rPr>
                <w:sz w:val="20"/>
                <w:szCs w:val="20"/>
              </w:rPr>
              <w:t>Migrant, born in a main English-speaking country</w:t>
            </w:r>
          </w:p>
        </w:tc>
        <w:tc>
          <w:tcPr>
            <w:tcW w:w="1540" w:type="dxa"/>
            <w:tcBorders>
              <w:top w:val="nil"/>
              <w:left w:val="nil"/>
              <w:bottom w:val="nil"/>
              <w:right w:val="nil"/>
            </w:tcBorders>
            <w:noWrap/>
            <w:vAlign w:val="bottom"/>
            <w:hideMark/>
          </w:tcPr>
          <w:p w14:paraId="75191E0E" w14:textId="77777777" w:rsidR="00677577" w:rsidRPr="003A7C61" w:rsidRDefault="00677577" w:rsidP="008747B2">
            <w:pPr>
              <w:spacing w:after="0" w:line="240" w:lineRule="auto"/>
              <w:jc w:val="right"/>
              <w:rPr>
                <w:sz w:val="20"/>
                <w:szCs w:val="20"/>
              </w:rPr>
            </w:pPr>
            <w:r w:rsidRPr="003A7C61">
              <w:rPr>
                <w:sz w:val="20"/>
                <w:szCs w:val="20"/>
              </w:rPr>
              <w:t>0.052***</w:t>
            </w:r>
          </w:p>
        </w:tc>
        <w:tc>
          <w:tcPr>
            <w:tcW w:w="1540" w:type="dxa"/>
            <w:tcBorders>
              <w:top w:val="nil"/>
              <w:left w:val="nil"/>
              <w:bottom w:val="nil"/>
              <w:right w:val="nil"/>
            </w:tcBorders>
            <w:noWrap/>
            <w:vAlign w:val="bottom"/>
            <w:hideMark/>
          </w:tcPr>
          <w:p w14:paraId="5FA2FFBC" w14:textId="77777777" w:rsidR="00677577" w:rsidRPr="003A7C61" w:rsidRDefault="00677577" w:rsidP="008747B2">
            <w:pPr>
              <w:spacing w:after="0" w:line="240" w:lineRule="auto"/>
              <w:jc w:val="right"/>
              <w:rPr>
                <w:sz w:val="20"/>
                <w:szCs w:val="20"/>
              </w:rPr>
            </w:pPr>
            <w:r w:rsidRPr="003A7C61">
              <w:rPr>
                <w:sz w:val="20"/>
                <w:szCs w:val="20"/>
              </w:rPr>
              <w:t>0.026**</w:t>
            </w:r>
          </w:p>
        </w:tc>
        <w:tc>
          <w:tcPr>
            <w:tcW w:w="1541" w:type="dxa"/>
            <w:tcBorders>
              <w:top w:val="nil"/>
              <w:left w:val="nil"/>
              <w:bottom w:val="nil"/>
              <w:right w:val="single" w:sz="4" w:space="0" w:color="auto"/>
            </w:tcBorders>
            <w:hideMark/>
          </w:tcPr>
          <w:p w14:paraId="0B39CADB" w14:textId="171C2B22" w:rsidR="00677577" w:rsidRPr="003A7C61" w:rsidRDefault="009F0D73" w:rsidP="008747B2">
            <w:pPr>
              <w:spacing w:after="0" w:line="240" w:lineRule="auto"/>
              <w:jc w:val="right"/>
              <w:rPr>
                <w:sz w:val="20"/>
                <w:szCs w:val="20"/>
              </w:rPr>
            </w:pPr>
            <w:r>
              <w:rPr>
                <w:rFonts w:ascii="Symbol" w:eastAsia="Symbol" w:hAnsi="Symbol" w:cs="Symbol"/>
                <w:sz w:val="20"/>
                <w:szCs w:val="20"/>
              </w:rPr>
              <w:t>-</w:t>
            </w:r>
          </w:p>
        </w:tc>
      </w:tr>
      <w:tr w:rsidR="00677577" w:rsidRPr="00167CB8" w14:paraId="181975D3" w14:textId="77777777">
        <w:trPr>
          <w:trHeight w:val="300"/>
        </w:trPr>
        <w:tc>
          <w:tcPr>
            <w:tcW w:w="4395" w:type="dxa"/>
            <w:tcBorders>
              <w:top w:val="nil"/>
              <w:left w:val="single" w:sz="4" w:space="0" w:color="auto"/>
              <w:bottom w:val="nil"/>
              <w:right w:val="nil"/>
            </w:tcBorders>
            <w:noWrap/>
            <w:vAlign w:val="bottom"/>
            <w:hideMark/>
          </w:tcPr>
          <w:p w14:paraId="6FDC5326" w14:textId="77777777" w:rsidR="00677577" w:rsidRPr="003A7C61" w:rsidRDefault="00677577">
            <w:pPr>
              <w:spacing w:after="0" w:line="240" w:lineRule="auto"/>
              <w:rPr>
                <w:sz w:val="20"/>
                <w:szCs w:val="20"/>
              </w:rPr>
            </w:pPr>
          </w:p>
        </w:tc>
        <w:tc>
          <w:tcPr>
            <w:tcW w:w="1540" w:type="dxa"/>
            <w:tcBorders>
              <w:top w:val="nil"/>
              <w:left w:val="nil"/>
              <w:bottom w:val="nil"/>
              <w:right w:val="nil"/>
            </w:tcBorders>
            <w:noWrap/>
            <w:vAlign w:val="bottom"/>
            <w:hideMark/>
          </w:tcPr>
          <w:p w14:paraId="726EDC87" w14:textId="77777777" w:rsidR="00677577" w:rsidRPr="003A7C61" w:rsidRDefault="00677577" w:rsidP="008747B2">
            <w:pPr>
              <w:spacing w:after="0" w:line="240" w:lineRule="auto"/>
              <w:jc w:val="right"/>
              <w:rPr>
                <w:sz w:val="20"/>
                <w:szCs w:val="20"/>
              </w:rPr>
            </w:pPr>
            <w:r w:rsidRPr="003A7C61">
              <w:rPr>
                <w:sz w:val="20"/>
                <w:szCs w:val="20"/>
              </w:rPr>
              <w:t>(0.013)</w:t>
            </w:r>
          </w:p>
        </w:tc>
        <w:tc>
          <w:tcPr>
            <w:tcW w:w="1540" w:type="dxa"/>
            <w:tcBorders>
              <w:top w:val="nil"/>
              <w:left w:val="nil"/>
              <w:bottom w:val="nil"/>
              <w:right w:val="nil"/>
            </w:tcBorders>
            <w:noWrap/>
            <w:vAlign w:val="bottom"/>
            <w:hideMark/>
          </w:tcPr>
          <w:p w14:paraId="220F0D79" w14:textId="77777777" w:rsidR="00677577" w:rsidRPr="003A7C61" w:rsidRDefault="00677577" w:rsidP="008747B2">
            <w:pPr>
              <w:spacing w:after="0" w:line="240" w:lineRule="auto"/>
              <w:jc w:val="right"/>
              <w:rPr>
                <w:sz w:val="20"/>
                <w:szCs w:val="20"/>
              </w:rPr>
            </w:pPr>
            <w:r w:rsidRPr="003A7C61">
              <w:rPr>
                <w:sz w:val="20"/>
                <w:szCs w:val="20"/>
              </w:rPr>
              <w:t>(0.010)</w:t>
            </w:r>
          </w:p>
        </w:tc>
        <w:tc>
          <w:tcPr>
            <w:tcW w:w="1541" w:type="dxa"/>
            <w:tcBorders>
              <w:top w:val="nil"/>
              <w:left w:val="nil"/>
              <w:bottom w:val="nil"/>
              <w:right w:val="single" w:sz="4" w:space="0" w:color="auto"/>
            </w:tcBorders>
          </w:tcPr>
          <w:p w14:paraId="36849A1F" w14:textId="77777777" w:rsidR="00677577" w:rsidRPr="003A7C61" w:rsidRDefault="00677577" w:rsidP="008747B2">
            <w:pPr>
              <w:spacing w:after="0" w:line="240" w:lineRule="auto"/>
              <w:jc w:val="right"/>
              <w:rPr>
                <w:sz w:val="20"/>
                <w:szCs w:val="20"/>
              </w:rPr>
            </w:pPr>
          </w:p>
        </w:tc>
      </w:tr>
      <w:tr w:rsidR="00677577" w:rsidRPr="00167CB8" w14:paraId="26CF3955" w14:textId="77777777">
        <w:trPr>
          <w:trHeight w:val="300"/>
        </w:trPr>
        <w:tc>
          <w:tcPr>
            <w:tcW w:w="4395" w:type="dxa"/>
            <w:tcBorders>
              <w:top w:val="nil"/>
              <w:left w:val="single" w:sz="4" w:space="0" w:color="auto"/>
              <w:bottom w:val="nil"/>
              <w:right w:val="nil"/>
            </w:tcBorders>
            <w:noWrap/>
            <w:vAlign w:val="bottom"/>
            <w:hideMark/>
          </w:tcPr>
          <w:p w14:paraId="23C9DBF9" w14:textId="77777777" w:rsidR="00677577" w:rsidRPr="003A7C61" w:rsidRDefault="00677577">
            <w:pPr>
              <w:spacing w:after="0" w:line="240" w:lineRule="auto"/>
              <w:rPr>
                <w:sz w:val="20"/>
                <w:szCs w:val="20"/>
              </w:rPr>
            </w:pPr>
            <w:r w:rsidRPr="003A7C61">
              <w:rPr>
                <w:sz w:val="20"/>
                <w:szCs w:val="20"/>
              </w:rPr>
              <w:t>Migrant, born in a non-English-speaking country</w:t>
            </w:r>
          </w:p>
        </w:tc>
        <w:tc>
          <w:tcPr>
            <w:tcW w:w="1540" w:type="dxa"/>
            <w:tcBorders>
              <w:top w:val="nil"/>
              <w:left w:val="nil"/>
              <w:bottom w:val="nil"/>
              <w:right w:val="nil"/>
            </w:tcBorders>
            <w:noWrap/>
            <w:vAlign w:val="bottom"/>
            <w:hideMark/>
          </w:tcPr>
          <w:p w14:paraId="12089B67" w14:textId="77777777" w:rsidR="00677577" w:rsidRPr="003A7C61" w:rsidRDefault="00677577" w:rsidP="008747B2">
            <w:pPr>
              <w:spacing w:after="0" w:line="240" w:lineRule="auto"/>
              <w:jc w:val="right"/>
              <w:rPr>
                <w:sz w:val="20"/>
                <w:szCs w:val="20"/>
              </w:rPr>
            </w:pPr>
            <w:r w:rsidRPr="003A7C61">
              <w:rPr>
                <w:sz w:val="20"/>
                <w:szCs w:val="20"/>
              </w:rPr>
              <w:t>-0.044***</w:t>
            </w:r>
          </w:p>
        </w:tc>
        <w:tc>
          <w:tcPr>
            <w:tcW w:w="1540" w:type="dxa"/>
            <w:tcBorders>
              <w:top w:val="nil"/>
              <w:left w:val="nil"/>
              <w:bottom w:val="nil"/>
              <w:right w:val="nil"/>
            </w:tcBorders>
            <w:noWrap/>
            <w:vAlign w:val="bottom"/>
            <w:hideMark/>
          </w:tcPr>
          <w:p w14:paraId="6F3E7DE1" w14:textId="77777777" w:rsidR="00677577" w:rsidRPr="003A7C61" w:rsidRDefault="00677577" w:rsidP="008747B2">
            <w:pPr>
              <w:spacing w:after="0" w:line="240" w:lineRule="auto"/>
              <w:jc w:val="right"/>
              <w:rPr>
                <w:sz w:val="20"/>
                <w:szCs w:val="20"/>
              </w:rPr>
            </w:pPr>
            <w:r w:rsidRPr="003A7C61">
              <w:rPr>
                <w:sz w:val="20"/>
                <w:szCs w:val="20"/>
              </w:rPr>
              <w:t>-0.050***</w:t>
            </w:r>
          </w:p>
        </w:tc>
        <w:tc>
          <w:tcPr>
            <w:tcW w:w="1541" w:type="dxa"/>
            <w:tcBorders>
              <w:top w:val="nil"/>
              <w:left w:val="nil"/>
              <w:bottom w:val="nil"/>
              <w:right w:val="single" w:sz="4" w:space="0" w:color="auto"/>
            </w:tcBorders>
            <w:hideMark/>
          </w:tcPr>
          <w:p w14:paraId="4B701B2C" w14:textId="2EAF76F8" w:rsidR="00677577" w:rsidRPr="003A7C61" w:rsidRDefault="009F0D73" w:rsidP="008747B2">
            <w:pPr>
              <w:spacing w:after="0" w:line="240" w:lineRule="auto"/>
              <w:jc w:val="right"/>
              <w:rPr>
                <w:sz w:val="20"/>
                <w:szCs w:val="20"/>
              </w:rPr>
            </w:pPr>
            <w:r>
              <w:rPr>
                <w:rFonts w:ascii="Symbol" w:eastAsia="Symbol" w:hAnsi="Symbol" w:cs="Symbol"/>
                <w:sz w:val="20"/>
                <w:szCs w:val="20"/>
              </w:rPr>
              <w:t>-</w:t>
            </w:r>
          </w:p>
        </w:tc>
      </w:tr>
      <w:tr w:rsidR="00677577" w:rsidRPr="00167CB8" w14:paraId="47943397" w14:textId="77777777">
        <w:trPr>
          <w:trHeight w:val="300"/>
        </w:trPr>
        <w:tc>
          <w:tcPr>
            <w:tcW w:w="4395" w:type="dxa"/>
            <w:tcBorders>
              <w:top w:val="nil"/>
              <w:left w:val="single" w:sz="4" w:space="0" w:color="auto"/>
              <w:bottom w:val="nil"/>
              <w:right w:val="nil"/>
            </w:tcBorders>
            <w:noWrap/>
            <w:vAlign w:val="bottom"/>
            <w:hideMark/>
          </w:tcPr>
          <w:p w14:paraId="76D73D41" w14:textId="77777777" w:rsidR="00677577" w:rsidRPr="003A7C61" w:rsidRDefault="00677577">
            <w:pPr>
              <w:spacing w:after="0" w:line="240" w:lineRule="auto"/>
              <w:rPr>
                <w:sz w:val="20"/>
                <w:szCs w:val="20"/>
              </w:rPr>
            </w:pPr>
          </w:p>
        </w:tc>
        <w:tc>
          <w:tcPr>
            <w:tcW w:w="1540" w:type="dxa"/>
            <w:tcBorders>
              <w:top w:val="nil"/>
              <w:left w:val="nil"/>
              <w:bottom w:val="nil"/>
              <w:right w:val="nil"/>
            </w:tcBorders>
            <w:noWrap/>
            <w:vAlign w:val="bottom"/>
            <w:hideMark/>
          </w:tcPr>
          <w:p w14:paraId="3A55DC7A" w14:textId="77777777" w:rsidR="00677577" w:rsidRPr="003A7C61" w:rsidRDefault="00677577" w:rsidP="008747B2">
            <w:pPr>
              <w:spacing w:after="0" w:line="240" w:lineRule="auto"/>
              <w:jc w:val="right"/>
              <w:rPr>
                <w:sz w:val="20"/>
                <w:szCs w:val="20"/>
              </w:rPr>
            </w:pPr>
            <w:r w:rsidRPr="003A7C61">
              <w:rPr>
                <w:sz w:val="20"/>
                <w:szCs w:val="20"/>
              </w:rPr>
              <w:t>(0.012)</w:t>
            </w:r>
          </w:p>
        </w:tc>
        <w:tc>
          <w:tcPr>
            <w:tcW w:w="1540" w:type="dxa"/>
            <w:tcBorders>
              <w:top w:val="nil"/>
              <w:left w:val="nil"/>
              <w:bottom w:val="nil"/>
              <w:right w:val="nil"/>
            </w:tcBorders>
            <w:noWrap/>
            <w:vAlign w:val="bottom"/>
            <w:hideMark/>
          </w:tcPr>
          <w:p w14:paraId="0AF80386" w14:textId="77777777" w:rsidR="00677577" w:rsidRPr="003A7C61" w:rsidRDefault="00677577" w:rsidP="008747B2">
            <w:pPr>
              <w:spacing w:after="0" w:line="240" w:lineRule="auto"/>
              <w:jc w:val="right"/>
              <w:rPr>
                <w:sz w:val="20"/>
                <w:szCs w:val="20"/>
              </w:rPr>
            </w:pPr>
            <w:r w:rsidRPr="003A7C61">
              <w:rPr>
                <w:sz w:val="20"/>
                <w:szCs w:val="20"/>
              </w:rPr>
              <w:t>(0.009)</w:t>
            </w:r>
          </w:p>
        </w:tc>
        <w:tc>
          <w:tcPr>
            <w:tcW w:w="1541" w:type="dxa"/>
            <w:tcBorders>
              <w:top w:val="nil"/>
              <w:left w:val="nil"/>
              <w:bottom w:val="nil"/>
              <w:right w:val="single" w:sz="4" w:space="0" w:color="auto"/>
            </w:tcBorders>
          </w:tcPr>
          <w:p w14:paraId="67ABDEEE" w14:textId="77777777" w:rsidR="00677577" w:rsidRPr="003A7C61" w:rsidRDefault="00677577" w:rsidP="008747B2">
            <w:pPr>
              <w:spacing w:after="0" w:line="240" w:lineRule="auto"/>
              <w:jc w:val="right"/>
              <w:rPr>
                <w:sz w:val="20"/>
                <w:szCs w:val="20"/>
              </w:rPr>
            </w:pPr>
          </w:p>
        </w:tc>
      </w:tr>
      <w:tr w:rsidR="00677577" w:rsidRPr="00167CB8" w14:paraId="4F7612B0" w14:textId="77777777">
        <w:trPr>
          <w:trHeight w:val="300"/>
        </w:trPr>
        <w:tc>
          <w:tcPr>
            <w:tcW w:w="4395" w:type="dxa"/>
            <w:tcBorders>
              <w:top w:val="nil"/>
              <w:left w:val="single" w:sz="4" w:space="0" w:color="auto"/>
              <w:bottom w:val="nil"/>
              <w:right w:val="nil"/>
            </w:tcBorders>
            <w:noWrap/>
            <w:vAlign w:val="bottom"/>
            <w:hideMark/>
          </w:tcPr>
          <w:p w14:paraId="1B8C0D9C" w14:textId="77777777" w:rsidR="00677577" w:rsidRPr="003A7C61" w:rsidRDefault="00677577">
            <w:pPr>
              <w:spacing w:after="0" w:line="240" w:lineRule="auto"/>
              <w:rPr>
                <w:sz w:val="20"/>
                <w:szCs w:val="20"/>
              </w:rPr>
            </w:pPr>
            <w:r w:rsidRPr="003A7C61">
              <w:rPr>
                <w:sz w:val="20"/>
                <w:szCs w:val="20"/>
              </w:rPr>
              <w:t>Married or living as de facto</w:t>
            </w:r>
          </w:p>
        </w:tc>
        <w:tc>
          <w:tcPr>
            <w:tcW w:w="1540" w:type="dxa"/>
            <w:tcBorders>
              <w:top w:val="nil"/>
              <w:left w:val="nil"/>
              <w:bottom w:val="nil"/>
              <w:right w:val="nil"/>
            </w:tcBorders>
            <w:noWrap/>
            <w:vAlign w:val="bottom"/>
            <w:hideMark/>
          </w:tcPr>
          <w:p w14:paraId="66F2E6C5" w14:textId="77777777" w:rsidR="00677577" w:rsidRPr="003A7C61" w:rsidRDefault="00677577" w:rsidP="009F07E3">
            <w:pPr>
              <w:spacing w:after="0" w:line="240" w:lineRule="auto"/>
              <w:jc w:val="right"/>
              <w:rPr>
                <w:sz w:val="20"/>
                <w:szCs w:val="20"/>
              </w:rPr>
            </w:pPr>
            <w:r w:rsidRPr="003A7C61">
              <w:rPr>
                <w:sz w:val="20"/>
                <w:szCs w:val="20"/>
              </w:rPr>
              <w:t>0.058***</w:t>
            </w:r>
          </w:p>
        </w:tc>
        <w:tc>
          <w:tcPr>
            <w:tcW w:w="1540" w:type="dxa"/>
            <w:tcBorders>
              <w:top w:val="nil"/>
              <w:left w:val="nil"/>
              <w:bottom w:val="nil"/>
              <w:right w:val="nil"/>
            </w:tcBorders>
            <w:noWrap/>
            <w:vAlign w:val="bottom"/>
            <w:hideMark/>
          </w:tcPr>
          <w:p w14:paraId="0F8C1040" w14:textId="77777777" w:rsidR="00677577" w:rsidRPr="003A7C61" w:rsidRDefault="00677577" w:rsidP="009F07E3">
            <w:pPr>
              <w:spacing w:after="0" w:line="240" w:lineRule="auto"/>
              <w:jc w:val="right"/>
              <w:rPr>
                <w:sz w:val="20"/>
                <w:szCs w:val="20"/>
              </w:rPr>
            </w:pPr>
            <w:r w:rsidRPr="003A7C61">
              <w:rPr>
                <w:sz w:val="20"/>
                <w:szCs w:val="20"/>
              </w:rPr>
              <w:t>0.043***</w:t>
            </w:r>
          </w:p>
        </w:tc>
        <w:tc>
          <w:tcPr>
            <w:tcW w:w="1541" w:type="dxa"/>
            <w:tcBorders>
              <w:top w:val="nil"/>
              <w:left w:val="nil"/>
              <w:bottom w:val="nil"/>
              <w:right w:val="single" w:sz="4" w:space="0" w:color="auto"/>
            </w:tcBorders>
            <w:hideMark/>
          </w:tcPr>
          <w:p w14:paraId="0B582452" w14:textId="77777777" w:rsidR="00677577" w:rsidRPr="003A7C61" w:rsidRDefault="00677577" w:rsidP="009F07E3">
            <w:pPr>
              <w:spacing w:after="0" w:line="240" w:lineRule="auto"/>
              <w:jc w:val="right"/>
              <w:rPr>
                <w:sz w:val="20"/>
                <w:szCs w:val="20"/>
              </w:rPr>
            </w:pPr>
            <w:r w:rsidRPr="003A7C61">
              <w:rPr>
                <w:sz w:val="20"/>
                <w:szCs w:val="20"/>
              </w:rPr>
              <w:t>0.036***</w:t>
            </w:r>
          </w:p>
        </w:tc>
      </w:tr>
      <w:tr w:rsidR="00677577" w:rsidRPr="00167CB8" w14:paraId="0226D82F" w14:textId="77777777">
        <w:trPr>
          <w:trHeight w:val="300"/>
        </w:trPr>
        <w:tc>
          <w:tcPr>
            <w:tcW w:w="4395" w:type="dxa"/>
            <w:tcBorders>
              <w:top w:val="nil"/>
              <w:left w:val="single" w:sz="4" w:space="0" w:color="auto"/>
              <w:bottom w:val="nil"/>
              <w:right w:val="nil"/>
            </w:tcBorders>
            <w:noWrap/>
            <w:vAlign w:val="bottom"/>
            <w:hideMark/>
          </w:tcPr>
          <w:p w14:paraId="7FB7CCEA" w14:textId="77777777" w:rsidR="00677577" w:rsidRPr="003A7C61" w:rsidRDefault="00677577">
            <w:pPr>
              <w:spacing w:after="0" w:line="240" w:lineRule="auto"/>
              <w:rPr>
                <w:sz w:val="20"/>
                <w:szCs w:val="20"/>
              </w:rPr>
            </w:pPr>
          </w:p>
        </w:tc>
        <w:tc>
          <w:tcPr>
            <w:tcW w:w="1540" w:type="dxa"/>
            <w:tcBorders>
              <w:top w:val="nil"/>
              <w:left w:val="nil"/>
              <w:bottom w:val="nil"/>
              <w:right w:val="nil"/>
            </w:tcBorders>
            <w:noWrap/>
            <w:vAlign w:val="bottom"/>
            <w:hideMark/>
          </w:tcPr>
          <w:p w14:paraId="493D2B30" w14:textId="77777777" w:rsidR="00677577" w:rsidRPr="003A7C61" w:rsidRDefault="00677577" w:rsidP="009F07E3">
            <w:pPr>
              <w:spacing w:after="0" w:line="240" w:lineRule="auto"/>
              <w:jc w:val="right"/>
              <w:rPr>
                <w:sz w:val="20"/>
                <w:szCs w:val="20"/>
              </w:rPr>
            </w:pPr>
            <w:r w:rsidRPr="003A7C61">
              <w:rPr>
                <w:sz w:val="20"/>
                <w:szCs w:val="20"/>
              </w:rPr>
              <w:t>(0.008)</w:t>
            </w:r>
          </w:p>
        </w:tc>
        <w:tc>
          <w:tcPr>
            <w:tcW w:w="1540" w:type="dxa"/>
            <w:tcBorders>
              <w:top w:val="nil"/>
              <w:left w:val="nil"/>
              <w:bottom w:val="nil"/>
              <w:right w:val="nil"/>
            </w:tcBorders>
            <w:noWrap/>
            <w:vAlign w:val="bottom"/>
            <w:hideMark/>
          </w:tcPr>
          <w:p w14:paraId="4AAEA5C8" w14:textId="77777777" w:rsidR="00677577" w:rsidRPr="003A7C61" w:rsidRDefault="00677577" w:rsidP="009F07E3">
            <w:pPr>
              <w:spacing w:after="0" w:line="240" w:lineRule="auto"/>
              <w:jc w:val="right"/>
              <w:rPr>
                <w:sz w:val="20"/>
                <w:szCs w:val="20"/>
              </w:rPr>
            </w:pPr>
            <w:r w:rsidRPr="003A7C61">
              <w:rPr>
                <w:sz w:val="20"/>
                <w:szCs w:val="20"/>
              </w:rPr>
              <w:t>(0.004)</w:t>
            </w:r>
          </w:p>
        </w:tc>
        <w:tc>
          <w:tcPr>
            <w:tcW w:w="1541" w:type="dxa"/>
            <w:tcBorders>
              <w:top w:val="nil"/>
              <w:left w:val="nil"/>
              <w:bottom w:val="nil"/>
              <w:right w:val="single" w:sz="4" w:space="0" w:color="auto"/>
            </w:tcBorders>
            <w:hideMark/>
          </w:tcPr>
          <w:p w14:paraId="291ABF3A" w14:textId="77777777" w:rsidR="00677577" w:rsidRPr="003A7C61" w:rsidRDefault="00677577" w:rsidP="009F07E3">
            <w:pPr>
              <w:spacing w:after="0" w:line="240" w:lineRule="auto"/>
              <w:jc w:val="right"/>
              <w:rPr>
                <w:sz w:val="20"/>
                <w:szCs w:val="20"/>
              </w:rPr>
            </w:pPr>
            <w:r w:rsidRPr="003A7C61">
              <w:rPr>
                <w:sz w:val="20"/>
                <w:szCs w:val="20"/>
              </w:rPr>
              <w:t>(0.005)</w:t>
            </w:r>
          </w:p>
        </w:tc>
      </w:tr>
      <w:tr w:rsidR="00677577" w:rsidRPr="00167CB8" w14:paraId="0A148348" w14:textId="77777777">
        <w:trPr>
          <w:trHeight w:val="300"/>
        </w:trPr>
        <w:tc>
          <w:tcPr>
            <w:tcW w:w="4395" w:type="dxa"/>
            <w:tcBorders>
              <w:top w:val="nil"/>
              <w:left w:val="single" w:sz="4" w:space="0" w:color="auto"/>
              <w:bottom w:val="nil"/>
              <w:right w:val="nil"/>
            </w:tcBorders>
            <w:noWrap/>
            <w:vAlign w:val="bottom"/>
            <w:hideMark/>
          </w:tcPr>
          <w:p w14:paraId="27403AD3" w14:textId="77777777" w:rsidR="00677577" w:rsidRPr="003A7C61" w:rsidRDefault="00677577">
            <w:pPr>
              <w:spacing w:after="0" w:line="240" w:lineRule="auto"/>
              <w:rPr>
                <w:sz w:val="20"/>
                <w:szCs w:val="20"/>
              </w:rPr>
            </w:pPr>
            <w:r w:rsidRPr="003A7C61">
              <w:rPr>
                <w:sz w:val="20"/>
                <w:szCs w:val="20"/>
              </w:rPr>
              <w:t>Has dependent child</w:t>
            </w:r>
          </w:p>
        </w:tc>
        <w:tc>
          <w:tcPr>
            <w:tcW w:w="1540" w:type="dxa"/>
            <w:tcBorders>
              <w:top w:val="nil"/>
              <w:left w:val="nil"/>
              <w:bottom w:val="nil"/>
              <w:right w:val="nil"/>
            </w:tcBorders>
            <w:noWrap/>
            <w:vAlign w:val="bottom"/>
            <w:hideMark/>
          </w:tcPr>
          <w:p w14:paraId="661D6986" w14:textId="77777777" w:rsidR="00677577" w:rsidRPr="003A7C61" w:rsidRDefault="00677577" w:rsidP="009F07E3">
            <w:pPr>
              <w:spacing w:after="0" w:line="240" w:lineRule="auto"/>
              <w:jc w:val="right"/>
              <w:rPr>
                <w:sz w:val="20"/>
                <w:szCs w:val="20"/>
              </w:rPr>
            </w:pPr>
            <w:r w:rsidRPr="003A7C61">
              <w:rPr>
                <w:sz w:val="20"/>
                <w:szCs w:val="20"/>
              </w:rPr>
              <w:t>0.061***</w:t>
            </w:r>
          </w:p>
        </w:tc>
        <w:tc>
          <w:tcPr>
            <w:tcW w:w="1540" w:type="dxa"/>
            <w:tcBorders>
              <w:top w:val="nil"/>
              <w:left w:val="nil"/>
              <w:bottom w:val="nil"/>
              <w:right w:val="nil"/>
            </w:tcBorders>
            <w:noWrap/>
            <w:vAlign w:val="bottom"/>
            <w:hideMark/>
          </w:tcPr>
          <w:p w14:paraId="1166255B" w14:textId="77777777" w:rsidR="00677577" w:rsidRPr="003A7C61" w:rsidRDefault="00677577" w:rsidP="009F07E3">
            <w:pPr>
              <w:spacing w:after="0" w:line="240" w:lineRule="auto"/>
              <w:jc w:val="right"/>
              <w:rPr>
                <w:sz w:val="20"/>
                <w:szCs w:val="20"/>
              </w:rPr>
            </w:pPr>
            <w:r w:rsidRPr="003A7C61">
              <w:rPr>
                <w:sz w:val="20"/>
                <w:szCs w:val="20"/>
              </w:rPr>
              <w:t>0.020***</w:t>
            </w:r>
          </w:p>
        </w:tc>
        <w:tc>
          <w:tcPr>
            <w:tcW w:w="1541" w:type="dxa"/>
            <w:tcBorders>
              <w:top w:val="nil"/>
              <w:left w:val="nil"/>
              <w:bottom w:val="nil"/>
              <w:right w:val="single" w:sz="4" w:space="0" w:color="auto"/>
            </w:tcBorders>
            <w:hideMark/>
          </w:tcPr>
          <w:p w14:paraId="16B3C836" w14:textId="77777777" w:rsidR="00677577" w:rsidRPr="003A7C61" w:rsidRDefault="00677577" w:rsidP="009F07E3">
            <w:pPr>
              <w:spacing w:after="0" w:line="240" w:lineRule="auto"/>
              <w:jc w:val="right"/>
              <w:rPr>
                <w:sz w:val="20"/>
                <w:szCs w:val="20"/>
              </w:rPr>
            </w:pPr>
            <w:r w:rsidRPr="003A7C61">
              <w:rPr>
                <w:sz w:val="20"/>
                <w:szCs w:val="20"/>
              </w:rPr>
              <w:t>0.004</w:t>
            </w:r>
          </w:p>
        </w:tc>
      </w:tr>
      <w:tr w:rsidR="00677577" w:rsidRPr="00167CB8" w14:paraId="1F689604" w14:textId="77777777">
        <w:trPr>
          <w:trHeight w:val="300"/>
        </w:trPr>
        <w:tc>
          <w:tcPr>
            <w:tcW w:w="4395" w:type="dxa"/>
            <w:tcBorders>
              <w:top w:val="nil"/>
              <w:left w:val="single" w:sz="4" w:space="0" w:color="auto"/>
              <w:bottom w:val="nil"/>
              <w:right w:val="nil"/>
            </w:tcBorders>
            <w:noWrap/>
            <w:vAlign w:val="bottom"/>
            <w:hideMark/>
          </w:tcPr>
          <w:p w14:paraId="4FFD1575" w14:textId="77777777" w:rsidR="00677577" w:rsidRPr="003A7C61" w:rsidRDefault="00677577">
            <w:pPr>
              <w:spacing w:after="0" w:line="240" w:lineRule="auto"/>
              <w:rPr>
                <w:sz w:val="20"/>
                <w:szCs w:val="20"/>
              </w:rPr>
            </w:pPr>
          </w:p>
        </w:tc>
        <w:tc>
          <w:tcPr>
            <w:tcW w:w="1540" w:type="dxa"/>
            <w:tcBorders>
              <w:top w:val="nil"/>
              <w:left w:val="nil"/>
              <w:bottom w:val="nil"/>
              <w:right w:val="nil"/>
            </w:tcBorders>
            <w:noWrap/>
            <w:vAlign w:val="bottom"/>
            <w:hideMark/>
          </w:tcPr>
          <w:p w14:paraId="3B2CFB1A" w14:textId="77777777" w:rsidR="00677577" w:rsidRPr="003A7C61" w:rsidRDefault="00677577" w:rsidP="009F07E3">
            <w:pPr>
              <w:spacing w:after="0" w:line="240" w:lineRule="auto"/>
              <w:jc w:val="right"/>
              <w:rPr>
                <w:sz w:val="20"/>
                <w:szCs w:val="20"/>
              </w:rPr>
            </w:pPr>
            <w:r w:rsidRPr="003A7C61">
              <w:rPr>
                <w:sz w:val="20"/>
                <w:szCs w:val="20"/>
              </w:rPr>
              <w:t>(0.007)</w:t>
            </w:r>
          </w:p>
        </w:tc>
        <w:tc>
          <w:tcPr>
            <w:tcW w:w="1540" w:type="dxa"/>
            <w:tcBorders>
              <w:top w:val="nil"/>
              <w:left w:val="nil"/>
              <w:bottom w:val="nil"/>
              <w:right w:val="nil"/>
            </w:tcBorders>
            <w:noWrap/>
            <w:vAlign w:val="bottom"/>
            <w:hideMark/>
          </w:tcPr>
          <w:p w14:paraId="47A9E6DE" w14:textId="77777777" w:rsidR="00677577" w:rsidRPr="003A7C61" w:rsidRDefault="00677577" w:rsidP="009F07E3">
            <w:pPr>
              <w:spacing w:after="0" w:line="240" w:lineRule="auto"/>
              <w:jc w:val="right"/>
              <w:rPr>
                <w:sz w:val="20"/>
                <w:szCs w:val="20"/>
              </w:rPr>
            </w:pPr>
            <w:r w:rsidRPr="003A7C61">
              <w:rPr>
                <w:sz w:val="20"/>
                <w:szCs w:val="20"/>
              </w:rPr>
              <w:t>(0.004)</w:t>
            </w:r>
          </w:p>
        </w:tc>
        <w:tc>
          <w:tcPr>
            <w:tcW w:w="1541" w:type="dxa"/>
            <w:tcBorders>
              <w:top w:val="nil"/>
              <w:left w:val="nil"/>
              <w:bottom w:val="nil"/>
              <w:right w:val="single" w:sz="4" w:space="0" w:color="auto"/>
            </w:tcBorders>
            <w:hideMark/>
          </w:tcPr>
          <w:p w14:paraId="5C0AA4FE" w14:textId="77777777" w:rsidR="00677577" w:rsidRPr="003A7C61" w:rsidRDefault="00677577" w:rsidP="009F07E3">
            <w:pPr>
              <w:spacing w:after="0" w:line="240" w:lineRule="auto"/>
              <w:jc w:val="right"/>
              <w:rPr>
                <w:sz w:val="20"/>
                <w:szCs w:val="20"/>
              </w:rPr>
            </w:pPr>
            <w:r w:rsidRPr="003A7C61">
              <w:rPr>
                <w:sz w:val="20"/>
                <w:szCs w:val="20"/>
              </w:rPr>
              <w:t>(0.004)</w:t>
            </w:r>
          </w:p>
        </w:tc>
      </w:tr>
      <w:tr w:rsidR="00677577" w:rsidRPr="00167CB8" w14:paraId="79D96127" w14:textId="77777777">
        <w:trPr>
          <w:trHeight w:val="300"/>
        </w:trPr>
        <w:tc>
          <w:tcPr>
            <w:tcW w:w="4395" w:type="dxa"/>
            <w:tcBorders>
              <w:top w:val="nil"/>
              <w:left w:val="single" w:sz="4" w:space="0" w:color="auto"/>
              <w:bottom w:val="nil"/>
              <w:right w:val="nil"/>
            </w:tcBorders>
            <w:noWrap/>
            <w:vAlign w:val="bottom"/>
            <w:hideMark/>
          </w:tcPr>
          <w:p w14:paraId="0A4FE6F5" w14:textId="77777777" w:rsidR="00677577" w:rsidRPr="003A7C61" w:rsidRDefault="00677577">
            <w:pPr>
              <w:spacing w:after="0" w:line="240" w:lineRule="auto"/>
              <w:rPr>
                <w:sz w:val="20"/>
                <w:szCs w:val="20"/>
              </w:rPr>
            </w:pPr>
            <w:r w:rsidRPr="003A7C61">
              <w:rPr>
                <w:sz w:val="20"/>
                <w:szCs w:val="20"/>
              </w:rPr>
              <w:t>Employed in the public sector (main job)</w:t>
            </w:r>
          </w:p>
        </w:tc>
        <w:tc>
          <w:tcPr>
            <w:tcW w:w="1540" w:type="dxa"/>
            <w:tcBorders>
              <w:top w:val="nil"/>
              <w:left w:val="nil"/>
              <w:bottom w:val="nil"/>
              <w:right w:val="nil"/>
            </w:tcBorders>
            <w:noWrap/>
            <w:vAlign w:val="bottom"/>
            <w:hideMark/>
          </w:tcPr>
          <w:p w14:paraId="365BEDC4" w14:textId="77777777" w:rsidR="00677577" w:rsidRPr="003A7C61" w:rsidRDefault="00677577" w:rsidP="009F07E3">
            <w:pPr>
              <w:spacing w:after="0" w:line="240" w:lineRule="auto"/>
              <w:jc w:val="right"/>
              <w:rPr>
                <w:sz w:val="20"/>
                <w:szCs w:val="20"/>
              </w:rPr>
            </w:pPr>
            <w:r w:rsidRPr="003A7C61">
              <w:rPr>
                <w:sz w:val="20"/>
                <w:szCs w:val="20"/>
              </w:rPr>
              <w:t>0.105***</w:t>
            </w:r>
          </w:p>
        </w:tc>
        <w:tc>
          <w:tcPr>
            <w:tcW w:w="1540" w:type="dxa"/>
            <w:tcBorders>
              <w:top w:val="nil"/>
              <w:left w:val="nil"/>
              <w:bottom w:val="nil"/>
              <w:right w:val="nil"/>
            </w:tcBorders>
            <w:noWrap/>
            <w:vAlign w:val="bottom"/>
            <w:hideMark/>
          </w:tcPr>
          <w:p w14:paraId="7FBD4AD8" w14:textId="77777777" w:rsidR="00677577" w:rsidRPr="003A7C61" w:rsidRDefault="00677577" w:rsidP="009F07E3">
            <w:pPr>
              <w:spacing w:after="0" w:line="240" w:lineRule="auto"/>
              <w:jc w:val="right"/>
              <w:rPr>
                <w:sz w:val="20"/>
                <w:szCs w:val="20"/>
              </w:rPr>
            </w:pPr>
            <w:r w:rsidRPr="003A7C61">
              <w:rPr>
                <w:sz w:val="20"/>
                <w:szCs w:val="20"/>
              </w:rPr>
              <w:t>0.068***</w:t>
            </w:r>
          </w:p>
        </w:tc>
        <w:tc>
          <w:tcPr>
            <w:tcW w:w="1541" w:type="dxa"/>
            <w:tcBorders>
              <w:top w:val="nil"/>
              <w:left w:val="nil"/>
              <w:bottom w:val="nil"/>
              <w:right w:val="single" w:sz="4" w:space="0" w:color="auto"/>
            </w:tcBorders>
            <w:hideMark/>
          </w:tcPr>
          <w:p w14:paraId="1BED4E16" w14:textId="77777777" w:rsidR="00677577" w:rsidRPr="003A7C61" w:rsidRDefault="00677577" w:rsidP="009F07E3">
            <w:pPr>
              <w:spacing w:after="0" w:line="240" w:lineRule="auto"/>
              <w:jc w:val="right"/>
              <w:rPr>
                <w:sz w:val="20"/>
                <w:szCs w:val="20"/>
              </w:rPr>
            </w:pPr>
            <w:r w:rsidRPr="003A7C61">
              <w:rPr>
                <w:sz w:val="20"/>
                <w:szCs w:val="20"/>
              </w:rPr>
              <w:t>0.052***</w:t>
            </w:r>
          </w:p>
        </w:tc>
      </w:tr>
      <w:tr w:rsidR="00677577" w:rsidRPr="00167CB8" w14:paraId="7ACD9AE8" w14:textId="77777777">
        <w:trPr>
          <w:trHeight w:val="300"/>
        </w:trPr>
        <w:tc>
          <w:tcPr>
            <w:tcW w:w="4395" w:type="dxa"/>
            <w:tcBorders>
              <w:top w:val="nil"/>
              <w:left w:val="single" w:sz="4" w:space="0" w:color="auto"/>
              <w:bottom w:val="nil"/>
              <w:right w:val="nil"/>
            </w:tcBorders>
            <w:noWrap/>
            <w:vAlign w:val="bottom"/>
            <w:hideMark/>
          </w:tcPr>
          <w:p w14:paraId="23711A18" w14:textId="77777777" w:rsidR="00677577" w:rsidRPr="003A7C61" w:rsidRDefault="00677577">
            <w:pPr>
              <w:spacing w:after="0" w:line="240" w:lineRule="auto"/>
              <w:rPr>
                <w:sz w:val="20"/>
                <w:szCs w:val="20"/>
              </w:rPr>
            </w:pPr>
          </w:p>
        </w:tc>
        <w:tc>
          <w:tcPr>
            <w:tcW w:w="1540" w:type="dxa"/>
            <w:tcBorders>
              <w:top w:val="nil"/>
              <w:left w:val="nil"/>
              <w:bottom w:val="nil"/>
              <w:right w:val="nil"/>
            </w:tcBorders>
            <w:noWrap/>
            <w:vAlign w:val="bottom"/>
            <w:hideMark/>
          </w:tcPr>
          <w:p w14:paraId="4502C730" w14:textId="77777777" w:rsidR="00677577" w:rsidRPr="003A7C61" w:rsidRDefault="00677577" w:rsidP="009F07E3">
            <w:pPr>
              <w:spacing w:after="0" w:line="240" w:lineRule="auto"/>
              <w:jc w:val="right"/>
              <w:rPr>
                <w:sz w:val="20"/>
                <w:szCs w:val="20"/>
              </w:rPr>
            </w:pPr>
            <w:r w:rsidRPr="003A7C61">
              <w:rPr>
                <w:sz w:val="20"/>
                <w:szCs w:val="20"/>
              </w:rPr>
              <w:t>(0.009)</w:t>
            </w:r>
          </w:p>
        </w:tc>
        <w:tc>
          <w:tcPr>
            <w:tcW w:w="1540" w:type="dxa"/>
            <w:tcBorders>
              <w:top w:val="nil"/>
              <w:left w:val="nil"/>
              <w:bottom w:val="nil"/>
              <w:right w:val="nil"/>
            </w:tcBorders>
            <w:noWrap/>
            <w:vAlign w:val="bottom"/>
            <w:hideMark/>
          </w:tcPr>
          <w:p w14:paraId="16A04652" w14:textId="77777777" w:rsidR="00677577" w:rsidRPr="003A7C61" w:rsidRDefault="00677577" w:rsidP="009F07E3">
            <w:pPr>
              <w:spacing w:after="0" w:line="240" w:lineRule="auto"/>
              <w:jc w:val="right"/>
              <w:rPr>
                <w:sz w:val="20"/>
                <w:szCs w:val="20"/>
              </w:rPr>
            </w:pPr>
            <w:r w:rsidRPr="003A7C61">
              <w:rPr>
                <w:sz w:val="20"/>
                <w:szCs w:val="20"/>
              </w:rPr>
              <w:t>(0.005)</w:t>
            </w:r>
          </w:p>
        </w:tc>
        <w:tc>
          <w:tcPr>
            <w:tcW w:w="1541" w:type="dxa"/>
            <w:tcBorders>
              <w:top w:val="nil"/>
              <w:left w:val="nil"/>
              <w:bottom w:val="nil"/>
              <w:right w:val="single" w:sz="4" w:space="0" w:color="auto"/>
            </w:tcBorders>
            <w:hideMark/>
          </w:tcPr>
          <w:p w14:paraId="1DB66F03" w14:textId="77777777" w:rsidR="00677577" w:rsidRPr="003A7C61" w:rsidRDefault="00677577" w:rsidP="009F07E3">
            <w:pPr>
              <w:spacing w:after="0" w:line="240" w:lineRule="auto"/>
              <w:jc w:val="right"/>
              <w:rPr>
                <w:sz w:val="20"/>
                <w:szCs w:val="20"/>
              </w:rPr>
            </w:pPr>
            <w:r w:rsidRPr="003A7C61">
              <w:rPr>
                <w:sz w:val="20"/>
                <w:szCs w:val="20"/>
              </w:rPr>
              <w:t>(0.006)</w:t>
            </w:r>
          </w:p>
        </w:tc>
      </w:tr>
      <w:tr w:rsidR="00677577" w:rsidRPr="00167CB8" w14:paraId="417899E3" w14:textId="77777777">
        <w:trPr>
          <w:trHeight w:val="300"/>
        </w:trPr>
        <w:tc>
          <w:tcPr>
            <w:tcW w:w="4395" w:type="dxa"/>
            <w:tcBorders>
              <w:top w:val="nil"/>
              <w:left w:val="single" w:sz="4" w:space="0" w:color="auto"/>
              <w:bottom w:val="nil"/>
              <w:right w:val="nil"/>
            </w:tcBorders>
            <w:noWrap/>
            <w:vAlign w:val="bottom"/>
            <w:hideMark/>
          </w:tcPr>
          <w:p w14:paraId="3CBCA7CC" w14:textId="77777777" w:rsidR="00677577" w:rsidRPr="003A7C61" w:rsidRDefault="00677577">
            <w:pPr>
              <w:spacing w:after="0" w:line="240" w:lineRule="auto"/>
              <w:rPr>
                <w:sz w:val="20"/>
                <w:szCs w:val="20"/>
              </w:rPr>
            </w:pPr>
            <w:r w:rsidRPr="003A7C61">
              <w:rPr>
                <w:sz w:val="20"/>
                <w:szCs w:val="20"/>
              </w:rPr>
              <w:t>Works part-time in main job</w:t>
            </w:r>
          </w:p>
        </w:tc>
        <w:tc>
          <w:tcPr>
            <w:tcW w:w="1540" w:type="dxa"/>
            <w:tcBorders>
              <w:top w:val="nil"/>
              <w:left w:val="nil"/>
              <w:bottom w:val="nil"/>
              <w:right w:val="nil"/>
            </w:tcBorders>
            <w:noWrap/>
            <w:vAlign w:val="bottom"/>
            <w:hideMark/>
          </w:tcPr>
          <w:p w14:paraId="2C7E1E25" w14:textId="77777777" w:rsidR="00677577" w:rsidRPr="003A7C61" w:rsidRDefault="00677577" w:rsidP="009F07E3">
            <w:pPr>
              <w:spacing w:after="0" w:line="240" w:lineRule="auto"/>
              <w:jc w:val="right"/>
              <w:rPr>
                <w:sz w:val="20"/>
                <w:szCs w:val="20"/>
              </w:rPr>
            </w:pPr>
            <w:r w:rsidRPr="003A7C61">
              <w:rPr>
                <w:sz w:val="20"/>
                <w:szCs w:val="20"/>
              </w:rPr>
              <w:t>-0.033***</w:t>
            </w:r>
          </w:p>
        </w:tc>
        <w:tc>
          <w:tcPr>
            <w:tcW w:w="1540" w:type="dxa"/>
            <w:tcBorders>
              <w:top w:val="nil"/>
              <w:left w:val="nil"/>
              <w:bottom w:val="nil"/>
              <w:right w:val="nil"/>
            </w:tcBorders>
            <w:noWrap/>
            <w:vAlign w:val="bottom"/>
            <w:hideMark/>
          </w:tcPr>
          <w:p w14:paraId="7D572D88" w14:textId="77777777" w:rsidR="00677577" w:rsidRPr="003A7C61" w:rsidRDefault="00677577" w:rsidP="009F07E3">
            <w:pPr>
              <w:spacing w:after="0" w:line="240" w:lineRule="auto"/>
              <w:jc w:val="right"/>
              <w:rPr>
                <w:sz w:val="20"/>
                <w:szCs w:val="20"/>
              </w:rPr>
            </w:pPr>
            <w:r w:rsidRPr="003A7C61">
              <w:rPr>
                <w:sz w:val="20"/>
                <w:szCs w:val="20"/>
              </w:rPr>
              <w:t>0.087***</w:t>
            </w:r>
          </w:p>
        </w:tc>
        <w:tc>
          <w:tcPr>
            <w:tcW w:w="1541" w:type="dxa"/>
            <w:tcBorders>
              <w:top w:val="nil"/>
              <w:left w:val="nil"/>
              <w:bottom w:val="nil"/>
              <w:right w:val="single" w:sz="4" w:space="0" w:color="auto"/>
            </w:tcBorders>
            <w:hideMark/>
          </w:tcPr>
          <w:p w14:paraId="147AAE2C" w14:textId="77777777" w:rsidR="00677577" w:rsidRPr="003A7C61" w:rsidRDefault="00677577" w:rsidP="009F07E3">
            <w:pPr>
              <w:spacing w:after="0" w:line="240" w:lineRule="auto"/>
              <w:jc w:val="right"/>
              <w:rPr>
                <w:sz w:val="20"/>
                <w:szCs w:val="20"/>
              </w:rPr>
            </w:pPr>
            <w:r w:rsidRPr="003A7C61">
              <w:rPr>
                <w:sz w:val="20"/>
                <w:szCs w:val="20"/>
              </w:rPr>
              <w:t>0.108***</w:t>
            </w:r>
          </w:p>
        </w:tc>
      </w:tr>
      <w:tr w:rsidR="00677577" w:rsidRPr="00167CB8" w14:paraId="1F6BAAC0" w14:textId="77777777">
        <w:trPr>
          <w:trHeight w:val="300"/>
        </w:trPr>
        <w:tc>
          <w:tcPr>
            <w:tcW w:w="4395" w:type="dxa"/>
            <w:tcBorders>
              <w:top w:val="nil"/>
              <w:left w:val="single" w:sz="4" w:space="0" w:color="auto"/>
              <w:bottom w:val="nil"/>
              <w:right w:val="nil"/>
            </w:tcBorders>
            <w:noWrap/>
            <w:vAlign w:val="bottom"/>
            <w:hideMark/>
          </w:tcPr>
          <w:p w14:paraId="4AB47361" w14:textId="77777777" w:rsidR="00677577" w:rsidRPr="003A7C61" w:rsidRDefault="00677577">
            <w:pPr>
              <w:spacing w:after="0" w:line="240" w:lineRule="auto"/>
              <w:rPr>
                <w:sz w:val="20"/>
                <w:szCs w:val="20"/>
              </w:rPr>
            </w:pPr>
          </w:p>
        </w:tc>
        <w:tc>
          <w:tcPr>
            <w:tcW w:w="1540" w:type="dxa"/>
            <w:tcBorders>
              <w:top w:val="nil"/>
              <w:left w:val="nil"/>
              <w:bottom w:val="nil"/>
              <w:right w:val="nil"/>
            </w:tcBorders>
            <w:noWrap/>
            <w:vAlign w:val="bottom"/>
            <w:hideMark/>
          </w:tcPr>
          <w:p w14:paraId="07BB28E2" w14:textId="77777777" w:rsidR="00677577" w:rsidRPr="003A7C61" w:rsidRDefault="00677577" w:rsidP="009F07E3">
            <w:pPr>
              <w:spacing w:after="0" w:line="240" w:lineRule="auto"/>
              <w:jc w:val="right"/>
              <w:rPr>
                <w:sz w:val="20"/>
                <w:szCs w:val="20"/>
              </w:rPr>
            </w:pPr>
            <w:r w:rsidRPr="003A7C61">
              <w:rPr>
                <w:sz w:val="20"/>
                <w:szCs w:val="20"/>
              </w:rPr>
              <w:t>(0.010)</w:t>
            </w:r>
          </w:p>
        </w:tc>
        <w:tc>
          <w:tcPr>
            <w:tcW w:w="1540" w:type="dxa"/>
            <w:tcBorders>
              <w:top w:val="nil"/>
              <w:left w:val="nil"/>
              <w:bottom w:val="nil"/>
              <w:right w:val="nil"/>
            </w:tcBorders>
            <w:noWrap/>
            <w:vAlign w:val="bottom"/>
            <w:hideMark/>
          </w:tcPr>
          <w:p w14:paraId="321C1502" w14:textId="77777777" w:rsidR="00677577" w:rsidRPr="003A7C61" w:rsidRDefault="00677577" w:rsidP="009F07E3">
            <w:pPr>
              <w:spacing w:after="0" w:line="240" w:lineRule="auto"/>
              <w:jc w:val="right"/>
              <w:rPr>
                <w:sz w:val="20"/>
                <w:szCs w:val="20"/>
              </w:rPr>
            </w:pPr>
            <w:r w:rsidRPr="003A7C61">
              <w:rPr>
                <w:sz w:val="20"/>
                <w:szCs w:val="20"/>
              </w:rPr>
              <w:t>(0.004)</w:t>
            </w:r>
          </w:p>
        </w:tc>
        <w:tc>
          <w:tcPr>
            <w:tcW w:w="1541" w:type="dxa"/>
            <w:tcBorders>
              <w:top w:val="nil"/>
              <w:left w:val="nil"/>
              <w:bottom w:val="nil"/>
              <w:right w:val="single" w:sz="4" w:space="0" w:color="auto"/>
            </w:tcBorders>
            <w:hideMark/>
          </w:tcPr>
          <w:p w14:paraId="7A5EBC53" w14:textId="77777777" w:rsidR="00677577" w:rsidRPr="003A7C61" w:rsidRDefault="00677577" w:rsidP="009F07E3">
            <w:pPr>
              <w:spacing w:after="0" w:line="240" w:lineRule="auto"/>
              <w:jc w:val="right"/>
              <w:rPr>
                <w:sz w:val="20"/>
                <w:szCs w:val="20"/>
              </w:rPr>
            </w:pPr>
            <w:r w:rsidRPr="003A7C61">
              <w:rPr>
                <w:sz w:val="20"/>
                <w:szCs w:val="20"/>
              </w:rPr>
              <w:t>(0.005)</w:t>
            </w:r>
          </w:p>
        </w:tc>
      </w:tr>
      <w:tr w:rsidR="00677577" w:rsidRPr="00167CB8" w14:paraId="3F1FFA63" w14:textId="77777777">
        <w:trPr>
          <w:trHeight w:val="300"/>
        </w:trPr>
        <w:tc>
          <w:tcPr>
            <w:tcW w:w="4395" w:type="dxa"/>
            <w:tcBorders>
              <w:top w:val="nil"/>
              <w:left w:val="single" w:sz="4" w:space="0" w:color="auto"/>
              <w:bottom w:val="nil"/>
              <w:right w:val="nil"/>
            </w:tcBorders>
            <w:noWrap/>
            <w:vAlign w:val="bottom"/>
            <w:hideMark/>
          </w:tcPr>
          <w:p w14:paraId="00823F20" w14:textId="77777777" w:rsidR="00677577" w:rsidRPr="003A7C61" w:rsidRDefault="00677577">
            <w:pPr>
              <w:spacing w:after="0" w:line="240" w:lineRule="auto"/>
              <w:rPr>
                <w:sz w:val="20"/>
                <w:szCs w:val="20"/>
              </w:rPr>
            </w:pPr>
            <w:r w:rsidRPr="003A7C61">
              <w:rPr>
                <w:sz w:val="20"/>
                <w:szCs w:val="20"/>
              </w:rPr>
              <w:t>Employed under a casual contract, main job</w:t>
            </w:r>
          </w:p>
        </w:tc>
        <w:tc>
          <w:tcPr>
            <w:tcW w:w="1540" w:type="dxa"/>
            <w:tcBorders>
              <w:top w:val="nil"/>
              <w:left w:val="nil"/>
              <w:bottom w:val="nil"/>
              <w:right w:val="nil"/>
            </w:tcBorders>
            <w:noWrap/>
            <w:vAlign w:val="bottom"/>
            <w:hideMark/>
          </w:tcPr>
          <w:p w14:paraId="1FBC6B05" w14:textId="77777777" w:rsidR="00677577" w:rsidRPr="003A7C61" w:rsidRDefault="00677577" w:rsidP="009F07E3">
            <w:pPr>
              <w:spacing w:after="0" w:line="240" w:lineRule="auto"/>
              <w:jc w:val="right"/>
              <w:rPr>
                <w:sz w:val="20"/>
                <w:szCs w:val="20"/>
              </w:rPr>
            </w:pPr>
            <w:r w:rsidRPr="003A7C61">
              <w:rPr>
                <w:sz w:val="20"/>
                <w:szCs w:val="20"/>
              </w:rPr>
              <w:t>-0.101***</w:t>
            </w:r>
          </w:p>
        </w:tc>
        <w:tc>
          <w:tcPr>
            <w:tcW w:w="1540" w:type="dxa"/>
            <w:tcBorders>
              <w:top w:val="nil"/>
              <w:left w:val="nil"/>
              <w:bottom w:val="nil"/>
              <w:right w:val="nil"/>
            </w:tcBorders>
            <w:noWrap/>
            <w:vAlign w:val="bottom"/>
            <w:hideMark/>
          </w:tcPr>
          <w:p w14:paraId="1A6261BB" w14:textId="77777777" w:rsidR="00677577" w:rsidRPr="003A7C61" w:rsidRDefault="00677577" w:rsidP="009F07E3">
            <w:pPr>
              <w:spacing w:after="0" w:line="240" w:lineRule="auto"/>
              <w:jc w:val="right"/>
              <w:rPr>
                <w:sz w:val="20"/>
                <w:szCs w:val="20"/>
              </w:rPr>
            </w:pPr>
            <w:r w:rsidRPr="003A7C61">
              <w:rPr>
                <w:sz w:val="20"/>
                <w:szCs w:val="20"/>
              </w:rPr>
              <w:t>-0.021***</w:t>
            </w:r>
          </w:p>
        </w:tc>
        <w:tc>
          <w:tcPr>
            <w:tcW w:w="1541" w:type="dxa"/>
            <w:tcBorders>
              <w:top w:val="nil"/>
              <w:left w:val="nil"/>
              <w:bottom w:val="nil"/>
              <w:right w:val="single" w:sz="4" w:space="0" w:color="auto"/>
            </w:tcBorders>
            <w:hideMark/>
          </w:tcPr>
          <w:p w14:paraId="4B4C09C7" w14:textId="77777777" w:rsidR="00677577" w:rsidRPr="003A7C61" w:rsidRDefault="00677577" w:rsidP="009F07E3">
            <w:pPr>
              <w:spacing w:after="0" w:line="240" w:lineRule="auto"/>
              <w:jc w:val="right"/>
              <w:rPr>
                <w:sz w:val="20"/>
                <w:szCs w:val="20"/>
              </w:rPr>
            </w:pPr>
            <w:r w:rsidRPr="003A7C61">
              <w:rPr>
                <w:sz w:val="20"/>
                <w:szCs w:val="20"/>
              </w:rPr>
              <w:t>-0.000</w:t>
            </w:r>
          </w:p>
        </w:tc>
      </w:tr>
      <w:tr w:rsidR="00677577" w:rsidRPr="00167CB8" w14:paraId="3AC4DC30" w14:textId="77777777">
        <w:trPr>
          <w:trHeight w:val="300"/>
        </w:trPr>
        <w:tc>
          <w:tcPr>
            <w:tcW w:w="4395" w:type="dxa"/>
            <w:tcBorders>
              <w:top w:val="nil"/>
              <w:left w:val="single" w:sz="4" w:space="0" w:color="auto"/>
              <w:bottom w:val="nil"/>
              <w:right w:val="nil"/>
            </w:tcBorders>
            <w:noWrap/>
            <w:vAlign w:val="bottom"/>
            <w:hideMark/>
          </w:tcPr>
          <w:p w14:paraId="48D57717" w14:textId="77777777" w:rsidR="00677577" w:rsidRPr="003A7C61" w:rsidRDefault="00677577">
            <w:pPr>
              <w:spacing w:after="0" w:line="240" w:lineRule="auto"/>
              <w:rPr>
                <w:sz w:val="20"/>
                <w:szCs w:val="20"/>
              </w:rPr>
            </w:pPr>
          </w:p>
        </w:tc>
        <w:tc>
          <w:tcPr>
            <w:tcW w:w="1540" w:type="dxa"/>
            <w:tcBorders>
              <w:top w:val="nil"/>
              <w:left w:val="nil"/>
              <w:bottom w:val="nil"/>
              <w:right w:val="nil"/>
            </w:tcBorders>
            <w:noWrap/>
            <w:vAlign w:val="bottom"/>
            <w:hideMark/>
          </w:tcPr>
          <w:p w14:paraId="40468000" w14:textId="77777777" w:rsidR="00677577" w:rsidRPr="003A7C61" w:rsidRDefault="00677577" w:rsidP="009F07E3">
            <w:pPr>
              <w:spacing w:after="0" w:line="240" w:lineRule="auto"/>
              <w:jc w:val="right"/>
              <w:rPr>
                <w:sz w:val="20"/>
                <w:szCs w:val="20"/>
              </w:rPr>
            </w:pPr>
            <w:r w:rsidRPr="003A7C61">
              <w:rPr>
                <w:sz w:val="20"/>
                <w:szCs w:val="20"/>
              </w:rPr>
              <w:t>(0.012)</w:t>
            </w:r>
          </w:p>
        </w:tc>
        <w:tc>
          <w:tcPr>
            <w:tcW w:w="1540" w:type="dxa"/>
            <w:tcBorders>
              <w:top w:val="nil"/>
              <w:left w:val="nil"/>
              <w:bottom w:val="nil"/>
              <w:right w:val="nil"/>
            </w:tcBorders>
            <w:noWrap/>
            <w:vAlign w:val="bottom"/>
            <w:hideMark/>
          </w:tcPr>
          <w:p w14:paraId="6BA96740" w14:textId="77777777" w:rsidR="00677577" w:rsidRPr="003A7C61" w:rsidRDefault="00677577" w:rsidP="009F07E3">
            <w:pPr>
              <w:spacing w:after="0" w:line="240" w:lineRule="auto"/>
              <w:jc w:val="right"/>
              <w:rPr>
                <w:sz w:val="20"/>
                <w:szCs w:val="20"/>
              </w:rPr>
            </w:pPr>
            <w:r w:rsidRPr="003A7C61">
              <w:rPr>
                <w:sz w:val="20"/>
                <w:szCs w:val="20"/>
              </w:rPr>
              <w:t>(0.006)</w:t>
            </w:r>
          </w:p>
        </w:tc>
        <w:tc>
          <w:tcPr>
            <w:tcW w:w="1541" w:type="dxa"/>
            <w:tcBorders>
              <w:top w:val="nil"/>
              <w:left w:val="nil"/>
              <w:bottom w:val="nil"/>
              <w:right w:val="single" w:sz="4" w:space="0" w:color="auto"/>
            </w:tcBorders>
            <w:hideMark/>
          </w:tcPr>
          <w:p w14:paraId="5CEAE7A0" w14:textId="77777777" w:rsidR="00677577" w:rsidRPr="003A7C61" w:rsidRDefault="00677577" w:rsidP="009F07E3">
            <w:pPr>
              <w:spacing w:after="0" w:line="240" w:lineRule="auto"/>
              <w:jc w:val="right"/>
              <w:rPr>
                <w:sz w:val="20"/>
                <w:szCs w:val="20"/>
              </w:rPr>
            </w:pPr>
            <w:r w:rsidRPr="003A7C61">
              <w:rPr>
                <w:sz w:val="20"/>
                <w:szCs w:val="20"/>
              </w:rPr>
              <w:t>(0.007)</w:t>
            </w:r>
          </w:p>
        </w:tc>
      </w:tr>
      <w:tr w:rsidR="00677577" w:rsidRPr="00167CB8" w14:paraId="106A1130" w14:textId="77777777">
        <w:trPr>
          <w:trHeight w:val="300"/>
        </w:trPr>
        <w:tc>
          <w:tcPr>
            <w:tcW w:w="4395" w:type="dxa"/>
            <w:tcBorders>
              <w:top w:val="nil"/>
              <w:left w:val="single" w:sz="4" w:space="0" w:color="auto"/>
              <w:bottom w:val="nil"/>
              <w:right w:val="nil"/>
            </w:tcBorders>
            <w:noWrap/>
            <w:vAlign w:val="bottom"/>
            <w:hideMark/>
          </w:tcPr>
          <w:p w14:paraId="2D3FE8F7" w14:textId="77777777" w:rsidR="00677577" w:rsidRPr="003A7C61" w:rsidRDefault="00677577">
            <w:pPr>
              <w:spacing w:after="0" w:line="240" w:lineRule="auto"/>
              <w:rPr>
                <w:sz w:val="20"/>
                <w:szCs w:val="20"/>
              </w:rPr>
            </w:pPr>
            <w:r w:rsidRPr="003A7C61">
              <w:rPr>
                <w:sz w:val="20"/>
                <w:szCs w:val="20"/>
              </w:rPr>
              <w:t>Part-time* casual interaction</w:t>
            </w:r>
          </w:p>
        </w:tc>
        <w:tc>
          <w:tcPr>
            <w:tcW w:w="1540" w:type="dxa"/>
            <w:tcBorders>
              <w:top w:val="nil"/>
              <w:left w:val="nil"/>
              <w:bottom w:val="nil"/>
              <w:right w:val="nil"/>
            </w:tcBorders>
            <w:noWrap/>
            <w:vAlign w:val="bottom"/>
            <w:hideMark/>
          </w:tcPr>
          <w:p w14:paraId="07D9292B" w14:textId="77777777" w:rsidR="00677577" w:rsidRPr="003A7C61" w:rsidRDefault="00677577" w:rsidP="009F07E3">
            <w:pPr>
              <w:spacing w:after="0" w:line="240" w:lineRule="auto"/>
              <w:jc w:val="right"/>
              <w:rPr>
                <w:sz w:val="20"/>
                <w:szCs w:val="20"/>
              </w:rPr>
            </w:pPr>
            <w:r w:rsidRPr="003A7C61">
              <w:rPr>
                <w:sz w:val="20"/>
                <w:szCs w:val="20"/>
              </w:rPr>
              <w:t>0.075***</w:t>
            </w:r>
          </w:p>
        </w:tc>
        <w:tc>
          <w:tcPr>
            <w:tcW w:w="1540" w:type="dxa"/>
            <w:tcBorders>
              <w:top w:val="nil"/>
              <w:left w:val="nil"/>
              <w:bottom w:val="nil"/>
              <w:right w:val="nil"/>
            </w:tcBorders>
            <w:noWrap/>
            <w:vAlign w:val="bottom"/>
            <w:hideMark/>
          </w:tcPr>
          <w:p w14:paraId="310D1D81" w14:textId="77777777" w:rsidR="00677577" w:rsidRPr="003A7C61" w:rsidRDefault="00677577" w:rsidP="009F07E3">
            <w:pPr>
              <w:spacing w:after="0" w:line="240" w:lineRule="auto"/>
              <w:jc w:val="right"/>
              <w:rPr>
                <w:sz w:val="20"/>
                <w:szCs w:val="20"/>
              </w:rPr>
            </w:pPr>
            <w:r w:rsidRPr="003A7C61">
              <w:rPr>
                <w:sz w:val="20"/>
                <w:szCs w:val="20"/>
              </w:rPr>
              <w:t>0.018**</w:t>
            </w:r>
          </w:p>
        </w:tc>
        <w:tc>
          <w:tcPr>
            <w:tcW w:w="1541" w:type="dxa"/>
            <w:tcBorders>
              <w:top w:val="nil"/>
              <w:left w:val="nil"/>
              <w:bottom w:val="nil"/>
              <w:right w:val="single" w:sz="4" w:space="0" w:color="auto"/>
            </w:tcBorders>
            <w:hideMark/>
          </w:tcPr>
          <w:p w14:paraId="5F31B142" w14:textId="77777777" w:rsidR="00677577" w:rsidRPr="003A7C61" w:rsidRDefault="00677577" w:rsidP="009F07E3">
            <w:pPr>
              <w:spacing w:after="0" w:line="240" w:lineRule="auto"/>
              <w:jc w:val="right"/>
              <w:rPr>
                <w:sz w:val="20"/>
                <w:szCs w:val="20"/>
              </w:rPr>
            </w:pPr>
            <w:r w:rsidRPr="003A7C61">
              <w:rPr>
                <w:sz w:val="20"/>
                <w:szCs w:val="20"/>
              </w:rPr>
              <w:t>0.010</w:t>
            </w:r>
          </w:p>
        </w:tc>
      </w:tr>
      <w:tr w:rsidR="00677577" w:rsidRPr="00167CB8" w14:paraId="647BAB8A" w14:textId="77777777">
        <w:trPr>
          <w:trHeight w:val="300"/>
        </w:trPr>
        <w:tc>
          <w:tcPr>
            <w:tcW w:w="4395" w:type="dxa"/>
            <w:tcBorders>
              <w:top w:val="nil"/>
              <w:left w:val="single" w:sz="4" w:space="0" w:color="auto"/>
              <w:bottom w:val="nil"/>
              <w:right w:val="nil"/>
            </w:tcBorders>
            <w:noWrap/>
            <w:vAlign w:val="bottom"/>
            <w:hideMark/>
          </w:tcPr>
          <w:p w14:paraId="50221A9B" w14:textId="77777777" w:rsidR="00677577" w:rsidRPr="003A7C61" w:rsidRDefault="00677577">
            <w:pPr>
              <w:spacing w:after="0" w:line="240" w:lineRule="auto"/>
              <w:rPr>
                <w:sz w:val="20"/>
                <w:szCs w:val="20"/>
              </w:rPr>
            </w:pPr>
          </w:p>
        </w:tc>
        <w:tc>
          <w:tcPr>
            <w:tcW w:w="1540" w:type="dxa"/>
            <w:tcBorders>
              <w:top w:val="nil"/>
              <w:left w:val="nil"/>
              <w:bottom w:val="nil"/>
              <w:right w:val="nil"/>
            </w:tcBorders>
            <w:noWrap/>
            <w:vAlign w:val="bottom"/>
            <w:hideMark/>
          </w:tcPr>
          <w:p w14:paraId="476380AD" w14:textId="77777777" w:rsidR="00677577" w:rsidRPr="003A7C61" w:rsidRDefault="00677577" w:rsidP="009F07E3">
            <w:pPr>
              <w:spacing w:after="0" w:line="240" w:lineRule="auto"/>
              <w:jc w:val="right"/>
              <w:rPr>
                <w:sz w:val="20"/>
                <w:szCs w:val="20"/>
              </w:rPr>
            </w:pPr>
            <w:r w:rsidRPr="003A7C61">
              <w:rPr>
                <w:sz w:val="20"/>
                <w:szCs w:val="20"/>
              </w:rPr>
              <w:t>(0.015)</w:t>
            </w:r>
          </w:p>
        </w:tc>
        <w:tc>
          <w:tcPr>
            <w:tcW w:w="1540" w:type="dxa"/>
            <w:tcBorders>
              <w:top w:val="nil"/>
              <w:left w:val="nil"/>
              <w:bottom w:val="nil"/>
              <w:right w:val="nil"/>
            </w:tcBorders>
            <w:noWrap/>
            <w:vAlign w:val="bottom"/>
            <w:hideMark/>
          </w:tcPr>
          <w:p w14:paraId="4F4C5AEB" w14:textId="77777777" w:rsidR="00677577" w:rsidRPr="003A7C61" w:rsidRDefault="00677577" w:rsidP="009F07E3">
            <w:pPr>
              <w:spacing w:after="0" w:line="240" w:lineRule="auto"/>
              <w:jc w:val="right"/>
              <w:rPr>
                <w:sz w:val="20"/>
                <w:szCs w:val="20"/>
              </w:rPr>
            </w:pPr>
            <w:r w:rsidRPr="003A7C61">
              <w:rPr>
                <w:sz w:val="20"/>
                <w:szCs w:val="20"/>
              </w:rPr>
              <w:t>(0.008)</w:t>
            </w:r>
          </w:p>
        </w:tc>
        <w:tc>
          <w:tcPr>
            <w:tcW w:w="1541" w:type="dxa"/>
            <w:tcBorders>
              <w:top w:val="nil"/>
              <w:left w:val="nil"/>
              <w:bottom w:val="nil"/>
              <w:right w:val="single" w:sz="4" w:space="0" w:color="auto"/>
            </w:tcBorders>
            <w:hideMark/>
          </w:tcPr>
          <w:p w14:paraId="3F48BCB1" w14:textId="77777777" w:rsidR="00677577" w:rsidRPr="003A7C61" w:rsidRDefault="00677577" w:rsidP="009F07E3">
            <w:pPr>
              <w:spacing w:after="0" w:line="240" w:lineRule="auto"/>
              <w:jc w:val="right"/>
              <w:rPr>
                <w:sz w:val="20"/>
                <w:szCs w:val="20"/>
              </w:rPr>
            </w:pPr>
            <w:r w:rsidRPr="003A7C61">
              <w:rPr>
                <w:sz w:val="20"/>
                <w:szCs w:val="20"/>
              </w:rPr>
              <w:t>(0.009)</w:t>
            </w:r>
          </w:p>
        </w:tc>
      </w:tr>
      <w:tr w:rsidR="00677577" w:rsidRPr="00167CB8" w14:paraId="05D114FA" w14:textId="77777777">
        <w:trPr>
          <w:trHeight w:val="300"/>
        </w:trPr>
        <w:tc>
          <w:tcPr>
            <w:tcW w:w="4395" w:type="dxa"/>
            <w:tcBorders>
              <w:top w:val="nil"/>
              <w:left w:val="single" w:sz="4" w:space="0" w:color="auto"/>
              <w:bottom w:val="nil"/>
              <w:right w:val="nil"/>
            </w:tcBorders>
            <w:noWrap/>
            <w:vAlign w:val="bottom"/>
            <w:hideMark/>
          </w:tcPr>
          <w:p w14:paraId="7770B3C8" w14:textId="6D3394FB" w:rsidR="00677577" w:rsidRPr="003A7C61" w:rsidRDefault="00677577">
            <w:pPr>
              <w:spacing w:after="0" w:line="240" w:lineRule="auto"/>
              <w:rPr>
                <w:sz w:val="20"/>
                <w:szCs w:val="20"/>
              </w:rPr>
            </w:pPr>
            <w:r w:rsidRPr="003A7C61">
              <w:rPr>
                <w:sz w:val="20"/>
                <w:szCs w:val="20"/>
              </w:rPr>
              <w:t>Employed under a fixed</w:t>
            </w:r>
            <w:r w:rsidR="00E27776">
              <w:rPr>
                <w:sz w:val="20"/>
                <w:szCs w:val="20"/>
              </w:rPr>
              <w:t xml:space="preserve"> </w:t>
            </w:r>
            <w:r w:rsidRPr="003A7C61">
              <w:rPr>
                <w:sz w:val="20"/>
                <w:szCs w:val="20"/>
              </w:rPr>
              <w:t>term contract</w:t>
            </w:r>
          </w:p>
        </w:tc>
        <w:tc>
          <w:tcPr>
            <w:tcW w:w="1540" w:type="dxa"/>
            <w:tcBorders>
              <w:top w:val="nil"/>
              <w:left w:val="nil"/>
              <w:bottom w:val="nil"/>
              <w:right w:val="nil"/>
            </w:tcBorders>
            <w:noWrap/>
            <w:vAlign w:val="bottom"/>
            <w:hideMark/>
          </w:tcPr>
          <w:p w14:paraId="39ADFA04" w14:textId="77777777" w:rsidR="00677577" w:rsidRPr="003A7C61" w:rsidRDefault="00677577" w:rsidP="009F07E3">
            <w:pPr>
              <w:spacing w:after="0" w:line="240" w:lineRule="auto"/>
              <w:jc w:val="right"/>
              <w:rPr>
                <w:sz w:val="20"/>
                <w:szCs w:val="20"/>
              </w:rPr>
            </w:pPr>
            <w:r w:rsidRPr="003A7C61">
              <w:rPr>
                <w:sz w:val="20"/>
                <w:szCs w:val="20"/>
              </w:rPr>
              <w:t>0.019**</w:t>
            </w:r>
          </w:p>
        </w:tc>
        <w:tc>
          <w:tcPr>
            <w:tcW w:w="1540" w:type="dxa"/>
            <w:tcBorders>
              <w:top w:val="nil"/>
              <w:left w:val="nil"/>
              <w:bottom w:val="nil"/>
              <w:right w:val="nil"/>
            </w:tcBorders>
            <w:noWrap/>
            <w:vAlign w:val="bottom"/>
            <w:hideMark/>
          </w:tcPr>
          <w:p w14:paraId="625D36C1" w14:textId="77777777" w:rsidR="00677577" w:rsidRPr="003A7C61" w:rsidRDefault="00677577" w:rsidP="009F07E3">
            <w:pPr>
              <w:spacing w:after="0" w:line="240" w:lineRule="auto"/>
              <w:jc w:val="right"/>
              <w:rPr>
                <w:sz w:val="20"/>
                <w:szCs w:val="20"/>
              </w:rPr>
            </w:pPr>
            <w:r w:rsidRPr="003A7C61">
              <w:rPr>
                <w:sz w:val="20"/>
                <w:szCs w:val="20"/>
              </w:rPr>
              <w:t>0.001</w:t>
            </w:r>
          </w:p>
        </w:tc>
        <w:tc>
          <w:tcPr>
            <w:tcW w:w="1541" w:type="dxa"/>
            <w:tcBorders>
              <w:top w:val="nil"/>
              <w:left w:val="nil"/>
              <w:bottom w:val="nil"/>
              <w:right w:val="single" w:sz="4" w:space="0" w:color="auto"/>
            </w:tcBorders>
            <w:hideMark/>
          </w:tcPr>
          <w:p w14:paraId="2D0A7902" w14:textId="77777777" w:rsidR="00677577" w:rsidRPr="003A7C61" w:rsidRDefault="00677577" w:rsidP="009F07E3">
            <w:pPr>
              <w:spacing w:after="0" w:line="240" w:lineRule="auto"/>
              <w:jc w:val="right"/>
              <w:rPr>
                <w:sz w:val="20"/>
                <w:szCs w:val="20"/>
              </w:rPr>
            </w:pPr>
            <w:r w:rsidRPr="003A7C61">
              <w:rPr>
                <w:sz w:val="20"/>
                <w:szCs w:val="20"/>
              </w:rPr>
              <w:t>0.004</w:t>
            </w:r>
          </w:p>
        </w:tc>
      </w:tr>
      <w:tr w:rsidR="00677577" w:rsidRPr="00167CB8" w14:paraId="7A97F679" w14:textId="77777777">
        <w:trPr>
          <w:trHeight w:val="300"/>
        </w:trPr>
        <w:tc>
          <w:tcPr>
            <w:tcW w:w="4395" w:type="dxa"/>
            <w:tcBorders>
              <w:top w:val="nil"/>
              <w:left w:val="single" w:sz="4" w:space="0" w:color="auto"/>
              <w:bottom w:val="nil"/>
              <w:right w:val="nil"/>
            </w:tcBorders>
            <w:noWrap/>
            <w:vAlign w:val="bottom"/>
            <w:hideMark/>
          </w:tcPr>
          <w:p w14:paraId="411E66BB" w14:textId="77777777" w:rsidR="00677577" w:rsidRPr="003A7C61" w:rsidRDefault="00677577">
            <w:pPr>
              <w:spacing w:after="0" w:line="240" w:lineRule="auto"/>
              <w:rPr>
                <w:sz w:val="20"/>
                <w:szCs w:val="20"/>
              </w:rPr>
            </w:pPr>
          </w:p>
        </w:tc>
        <w:tc>
          <w:tcPr>
            <w:tcW w:w="1540" w:type="dxa"/>
            <w:tcBorders>
              <w:top w:val="nil"/>
              <w:left w:val="nil"/>
              <w:bottom w:val="nil"/>
              <w:right w:val="nil"/>
            </w:tcBorders>
            <w:noWrap/>
            <w:vAlign w:val="bottom"/>
            <w:hideMark/>
          </w:tcPr>
          <w:p w14:paraId="4657D858" w14:textId="77777777" w:rsidR="00677577" w:rsidRPr="003A7C61" w:rsidRDefault="00677577" w:rsidP="009F07E3">
            <w:pPr>
              <w:spacing w:after="0" w:line="240" w:lineRule="auto"/>
              <w:jc w:val="right"/>
              <w:rPr>
                <w:sz w:val="20"/>
                <w:szCs w:val="20"/>
              </w:rPr>
            </w:pPr>
            <w:r w:rsidRPr="003A7C61">
              <w:rPr>
                <w:sz w:val="20"/>
                <w:szCs w:val="20"/>
              </w:rPr>
              <w:t>(0.009)</w:t>
            </w:r>
          </w:p>
        </w:tc>
        <w:tc>
          <w:tcPr>
            <w:tcW w:w="1540" w:type="dxa"/>
            <w:tcBorders>
              <w:top w:val="nil"/>
              <w:left w:val="nil"/>
              <w:bottom w:val="nil"/>
              <w:right w:val="nil"/>
            </w:tcBorders>
            <w:noWrap/>
            <w:vAlign w:val="bottom"/>
            <w:hideMark/>
          </w:tcPr>
          <w:p w14:paraId="33137B97" w14:textId="77777777" w:rsidR="00677577" w:rsidRPr="003A7C61" w:rsidRDefault="00677577" w:rsidP="009F07E3">
            <w:pPr>
              <w:spacing w:after="0" w:line="240" w:lineRule="auto"/>
              <w:jc w:val="right"/>
              <w:rPr>
                <w:sz w:val="20"/>
                <w:szCs w:val="20"/>
              </w:rPr>
            </w:pPr>
            <w:r w:rsidRPr="003A7C61">
              <w:rPr>
                <w:sz w:val="20"/>
                <w:szCs w:val="20"/>
              </w:rPr>
              <w:t>(0.004)</w:t>
            </w:r>
          </w:p>
        </w:tc>
        <w:tc>
          <w:tcPr>
            <w:tcW w:w="1541" w:type="dxa"/>
            <w:tcBorders>
              <w:top w:val="nil"/>
              <w:left w:val="nil"/>
              <w:bottom w:val="nil"/>
              <w:right w:val="single" w:sz="4" w:space="0" w:color="auto"/>
            </w:tcBorders>
            <w:hideMark/>
          </w:tcPr>
          <w:p w14:paraId="0D791E9C" w14:textId="77777777" w:rsidR="00677577" w:rsidRPr="003A7C61" w:rsidRDefault="00677577" w:rsidP="009F07E3">
            <w:pPr>
              <w:spacing w:after="0" w:line="240" w:lineRule="auto"/>
              <w:jc w:val="right"/>
              <w:rPr>
                <w:sz w:val="20"/>
                <w:szCs w:val="20"/>
              </w:rPr>
            </w:pPr>
            <w:r w:rsidRPr="003A7C61">
              <w:rPr>
                <w:sz w:val="20"/>
                <w:szCs w:val="20"/>
              </w:rPr>
              <w:t>(0.004)</w:t>
            </w:r>
          </w:p>
        </w:tc>
      </w:tr>
      <w:tr w:rsidR="00677577" w:rsidRPr="00167CB8" w14:paraId="4B4FF3F9" w14:textId="77777777">
        <w:trPr>
          <w:trHeight w:val="300"/>
        </w:trPr>
        <w:tc>
          <w:tcPr>
            <w:tcW w:w="4395" w:type="dxa"/>
            <w:tcBorders>
              <w:top w:val="nil"/>
              <w:left w:val="single" w:sz="4" w:space="0" w:color="auto"/>
              <w:bottom w:val="nil"/>
              <w:right w:val="nil"/>
            </w:tcBorders>
            <w:noWrap/>
            <w:vAlign w:val="bottom"/>
            <w:hideMark/>
          </w:tcPr>
          <w:p w14:paraId="32D77BD1" w14:textId="77777777" w:rsidR="00677577" w:rsidRPr="003A7C61" w:rsidRDefault="00677577">
            <w:pPr>
              <w:spacing w:after="0" w:line="240" w:lineRule="auto"/>
              <w:rPr>
                <w:sz w:val="20"/>
                <w:szCs w:val="20"/>
              </w:rPr>
            </w:pPr>
            <w:r w:rsidRPr="003A7C61">
              <w:rPr>
                <w:sz w:val="20"/>
                <w:szCs w:val="20"/>
              </w:rPr>
              <w:t>Union member</w:t>
            </w:r>
          </w:p>
        </w:tc>
        <w:tc>
          <w:tcPr>
            <w:tcW w:w="1540" w:type="dxa"/>
            <w:tcBorders>
              <w:top w:val="nil"/>
              <w:left w:val="nil"/>
              <w:bottom w:val="nil"/>
              <w:right w:val="nil"/>
            </w:tcBorders>
            <w:noWrap/>
            <w:vAlign w:val="bottom"/>
            <w:hideMark/>
          </w:tcPr>
          <w:p w14:paraId="0FB5BE25" w14:textId="77777777" w:rsidR="00677577" w:rsidRPr="003A7C61" w:rsidRDefault="00677577" w:rsidP="009F07E3">
            <w:pPr>
              <w:spacing w:after="0" w:line="240" w:lineRule="auto"/>
              <w:jc w:val="right"/>
              <w:rPr>
                <w:sz w:val="20"/>
                <w:szCs w:val="20"/>
              </w:rPr>
            </w:pPr>
            <w:r w:rsidRPr="003A7C61">
              <w:rPr>
                <w:sz w:val="20"/>
                <w:szCs w:val="20"/>
              </w:rPr>
              <w:t>0.053***</w:t>
            </w:r>
          </w:p>
        </w:tc>
        <w:tc>
          <w:tcPr>
            <w:tcW w:w="1540" w:type="dxa"/>
            <w:tcBorders>
              <w:top w:val="nil"/>
              <w:left w:val="nil"/>
              <w:bottom w:val="nil"/>
              <w:right w:val="nil"/>
            </w:tcBorders>
            <w:noWrap/>
            <w:vAlign w:val="bottom"/>
            <w:hideMark/>
          </w:tcPr>
          <w:p w14:paraId="4A4C5447" w14:textId="77777777" w:rsidR="00677577" w:rsidRPr="003A7C61" w:rsidRDefault="00677577" w:rsidP="009F07E3">
            <w:pPr>
              <w:spacing w:after="0" w:line="240" w:lineRule="auto"/>
              <w:jc w:val="right"/>
              <w:rPr>
                <w:sz w:val="20"/>
                <w:szCs w:val="20"/>
              </w:rPr>
            </w:pPr>
            <w:r w:rsidRPr="003A7C61">
              <w:rPr>
                <w:sz w:val="20"/>
                <w:szCs w:val="20"/>
              </w:rPr>
              <w:t>0.031***</w:t>
            </w:r>
          </w:p>
        </w:tc>
        <w:tc>
          <w:tcPr>
            <w:tcW w:w="1541" w:type="dxa"/>
            <w:tcBorders>
              <w:top w:val="nil"/>
              <w:left w:val="nil"/>
              <w:bottom w:val="nil"/>
              <w:right w:val="single" w:sz="4" w:space="0" w:color="auto"/>
            </w:tcBorders>
            <w:hideMark/>
          </w:tcPr>
          <w:p w14:paraId="6D4A0287" w14:textId="77777777" w:rsidR="00677577" w:rsidRPr="003A7C61" w:rsidRDefault="00677577" w:rsidP="009F07E3">
            <w:pPr>
              <w:spacing w:after="0" w:line="240" w:lineRule="auto"/>
              <w:jc w:val="right"/>
              <w:rPr>
                <w:sz w:val="20"/>
                <w:szCs w:val="20"/>
              </w:rPr>
            </w:pPr>
            <w:r w:rsidRPr="003A7C61">
              <w:rPr>
                <w:sz w:val="20"/>
                <w:szCs w:val="20"/>
              </w:rPr>
              <w:t>0.025***</w:t>
            </w:r>
          </w:p>
        </w:tc>
      </w:tr>
      <w:tr w:rsidR="00677577" w:rsidRPr="00167CB8" w14:paraId="3CC581A9" w14:textId="77777777">
        <w:trPr>
          <w:trHeight w:val="300"/>
        </w:trPr>
        <w:tc>
          <w:tcPr>
            <w:tcW w:w="4395" w:type="dxa"/>
            <w:tcBorders>
              <w:top w:val="nil"/>
              <w:left w:val="single" w:sz="4" w:space="0" w:color="auto"/>
              <w:bottom w:val="nil"/>
              <w:right w:val="nil"/>
            </w:tcBorders>
            <w:noWrap/>
            <w:vAlign w:val="bottom"/>
            <w:hideMark/>
          </w:tcPr>
          <w:p w14:paraId="554F65E8" w14:textId="77777777" w:rsidR="00677577" w:rsidRPr="003A7C61" w:rsidRDefault="00677577">
            <w:pPr>
              <w:spacing w:after="0" w:line="240" w:lineRule="auto"/>
              <w:rPr>
                <w:sz w:val="20"/>
                <w:szCs w:val="20"/>
              </w:rPr>
            </w:pPr>
          </w:p>
        </w:tc>
        <w:tc>
          <w:tcPr>
            <w:tcW w:w="1540" w:type="dxa"/>
            <w:tcBorders>
              <w:top w:val="nil"/>
              <w:left w:val="nil"/>
              <w:bottom w:val="nil"/>
              <w:right w:val="nil"/>
            </w:tcBorders>
            <w:noWrap/>
            <w:vAlign w:val="bottom"/>
            <w:hideMark/>
          </w:tcPr>
          <w:p w14:paraId="620555F0" w14:textId="77777777" w:rsidR="00677577" w:rsidRPr="003A7C61" w:rsidRDefault="00677577" w:rsidP="009F07E3">
            <w:pPr>
              <w:spacing w:after="0" w:line="240" w:lineRule="auto"/>
              <w:jc w:val="right"/>
              <w:rPr>
                <w:sz w:val="20"/>
                <w:szCs w:val="20"/>
              </w:rPr>
            </w:pPr>
            <w:r w:rsidRPr="003A7C61">
              <w:rPr>
                <w:sz w:val="20"/>
                <w:szCs w:val="20"/>
              </w:rPr>
              <w:t>(0.008)</w:t>
            </w:r>
          </w:p>
        </w:tc>
        <w:tc>
          <w:tcPr>
            <w:tcW w:w="1540" w:type="dxa"/>
            <w:tcBorders>
              <w:top w:val="nil"/>
              <w:left w:val="nil"/>
              <w:bottom w:val="nil"/>
              <w:right w:val="nil"/>
            </w:tcBorders>
            <w:noWrap/>
            <w:vAlign w:val="bottom"/>
            <w:hideMark/>
          </w:tcPr>
          <w:p w14:paraId="01BEBE2B" w14:textId="77777777" w:rsidR="00677577" w:rsidRPr="003A7C61" w:rsidRDefault="00677577" w:rsidP="009F07E3">
            <w:pPr>
              <w:spacing w:after="0" w:line="240" w:lineRule="auto"/>
              <w:jc w:val="right"/>
              <w:rPr>
                <w:sz w:val="20"/>
                <w:szCs w:val="20"/>
              </w:rPr>
            </w:pPr>
            <w:r w:rsidRPr="003A7C61">
              <w:rPr>
                <w:sz w:val="20"/>
                <w:szCs w:val="20"/>
              </w:rPr>
              <w:t>(0.004)</w:t>
            </w:r>
          </w:p>
        </w:tc>
        <w:tc>
          <w:tcPr>
            <w:tcW w:w="1541" w:type="dxa"/>
            <w:tcBorders>
              <w:top w:val="nil"/>
              <w:left w:val="nil"/>
              <w:bottom w:val="nil"/>
              <w:right w:val="single" w:sz="4" w:space="0" w:color="auto"/>
            </w:tcBorders>
            <w:hideMark/>
          </w:tcPr>
          <w:p w14:paraId="0D923344" w14:textId="77777777" w:rsidR="00677577" w:rsidRPr="003A7C61" w:rsidRDefault="00677577" w:rsidP="009F07E3">
            <w:pPr>
              <w:spacing w:after="0" w:line="240" w:lineRule="auto"/>
              <w:jc w:val="right"/>
              <w:rPr>
                <w:sz w:val="20"/>
                <w:szCs w:val="20"/>
              </w:rPr>
            </w:pPr>
            <w:r w:rsidRPr="003A7C61">
              <w:rPr>
                <w:sz w:val="20"/>
                <w:szCs w:val="20"/>
              </w:rPr>
              <w:t>(0.005)</w:t>
            </w:r>
          </w:p>
        </w:tc>
      </w:tr>
      <w:tr w:rsidR="00677577" w:rsidRPr="00167CB8" w14:paraId="6EDDCD44" w14:textId="77777777">
        <w:trPr>
          <w:trHeight w:val="300"/>
        </w:trPr>
        <w:tc>
          <w:tcPr>
            <w:tcW w:w="4395" w:type="dxa"/>
            <w:tcBorders>
              <w:top w:val="nil"/>
              <w:left w:val="single" w:sz="4" w:space="0" w:color="auto"/>
              <w:bottom w:val="nil"/>
              <w:right w:val="nil"/>
            </w:tcBorders>
            <w:noWrap/>
            <w:vAlign w:val="bottom"/>
            <w:hideMark/>
          </w:tcPr>
          <w:p w14:paraId="000C0598" w14:textId="77777777" w:rsidR="00677577" w:rsidRPr="003A7C61" w:rsidRDefault="00677577">
            <w:pPr>
              <w:spacing w:after="0" w:line="240" w:lineRule="auto"/>
              <w:rPr>
                <w:sz w:val="20"/>
                <w:szCs w:val="20"/>
              </w:rPr>
            </w:pPr>
            <w:r w:rsidRPr="003A7C61">
              <w:rPr>
                <w:sz w:val="20"/>
                <w:szCs w:val="20"/>
              </w:rPr>
              <w:t>Award reliant</w:t>
            </w:r>
          </w:p>
        </w:tc>
        <w:tc>
          <w:tcPr>
            <w:tcW w:w="1540" w:type="dxa"/>
            <w:tcBorders>
              <w:top w:val="nil"/>
              <w:left w:val="nil"/>
              <w:bottom w:val="nil"/>
              <w:right w:val="nil"/>
            </w:tcBorders>
            <w:noWrap/>
            <w:vAlign w:val="bottom"/>
            <w:hideMark/>
          </w:tcPr>
          <w:p w14:paraId="683F397C" w14:textId="77777777" w:rsidR="00677577" w:rsidRPr="003A7C61" w:rsidRDefault="00677577" w:rsidP="009F07E3">
            <w:pPr>
              <w:spacing w:after="0" w:line="240" w:lineRule="auto"/>
              <w:jc w:val="right"/>
              <w:rPr>
                <w:sz w:val="20"/>
                <w:szCs w:val="20"/>
              </w:rPr>
            </w:pPr>
            <w:r w:rsidRPr="003A7C61">
              <w:rPr>
                <w:sz w:val="20"/>
                <w:szCs w:val="20"/>
              </w:rPr>
              <w:t>-0.175***</w:t>
            </w:r>
          </w:p>
        </w:tc>
        <w:tc>
          <w:tcPr>
            <w:tcW w:w="1540" w:type="dxa"/>
            <w:tcBorders>
              <w:top w:val="nil"/>
              <w:left w:val="nil"/>
              <w:bottom w:val="nil"/>
              <w:right w:val="nil"/>
            </w:tcBorders>
            <w:noWrap/>
            <w:vAlign w:val="bottom"/>
            <w:hideMark/>
          </w:tcPr>
          <w:p w14:paraId="5C8D3CC3" w14:textId="77777777" w:rsidR="00677577" w:rsidRPr="003A7C61" w:rsidRDefault="00677577" w:rsidP="009F07E3">
            <w:pPr>
              <w:spacing w:after="0" w:line="240" w:lineRule="auto"/>
              <w:jc w:val="right"/>
              <w:rPr>
                <w:sz w:val="20"/>
                <w:szCs w:val="20"/>
              </w:rPr>
            </w:pPr>
            <w:r w:rsidRPr="003A7C61">
              <w:rPr>
                <w:sz w:val="20"/>
                <w:szCs w:val="20"/>
              </w:rPr>
              <w:t>-0.061***</w:t>
            </w:r>
          </w:p>
        </w:tc>
        <w:tc>
          <w:tcPr>
            <w:tcW w:w="1541" w:type="dxa"/>
            <w:tcBorders>
              <w:top w:val="nil"/>
              <w:left w:val="nil"/>
              <w:bottom w:val="nil"/>
              <w:right w:val="single" w:sz="4" w:space="0" w:color="auto"/>
            </w:tcBorders>
            <w:hideMark/>
          </w:tcPr>
          <w:p w14:paraId="3160EFD7" w14:textId="77777777" w:rsidR="00677577" w:rsidRPr="003A7C61" w:rsidRDefault="00677577" w:rsidP="009F07E3">
            <w:pPr>
              <w:spacing w:after="0" w:line="240" w:lineRule="auto"/>
              <w:jc w:val="right"/>
              <w:rPr>
                <w:sz w:val="20"/>
                <w:szCs w:val="20"/>
              </w:rPr>
            </w:pPr>
            <w:r w:rsidRPr="003A7C61">
              <w:rPr>
                <w:sz w:val="20"/>
                <w:szCs w:val="20"/>
              </w:rPr>
              <w:t>-0.035***</w:t>
            </w:r>
          </w:p>
        </w:tc>
      </w:tr>
      <w:tr w:rsidR="00677577" w:rsidRPr="00167CB8" w14:paraId="2BC4AB04" w14:textId="77777777">
        <w:trPr>
          <w:trHeight w:val="300"/>
        </w:trPr>
        <w:tc>
          <w:tcPr>
            <w:tcW w:w="4395" w:type="dxa"/>
            <w:tcBorders>
              <w:top w:val="nil"/>
              <w:left w:val="single" w:sz="4" w:space="0" w:color="auto"/>
              <w:bottom w:val="nil"/>
              <w:right w:val="nil"/>
            </w:tcBorders>
            <w:noWrap/>
            <w:vAlign w:val="bottom"/>
            <w:hideMark/>
          </w:tcPr>
          <w:p w14:paraId="4E189274" w14:textId="77777777" w:rsidR="00677577" w:rsidRPr="003A7C61" w:rsidRDefault="00677577">
            <w:pPr>
              <w:spacing w:after="0" w:line="240" w:lineRule="auto"/>
              <w:rPr>
                <w:sz w:val="20"/>
                <w:szCs w:val="20"/>
              </w:rPr>
            </w:pPr>
          </w:p>
        </w:tc>
        <w:tc>
          <w:tcPr>
            <w:tcW w:w="1540" w:type="dxa"/>
            <w:tcBorders>
              <w:top w:val="nil"/>
              <w:left w:val="nil"/>
              <w:bottom w:val="nil"/>
              <w:right w:val="nil"/>
            </w:tcBorders>
            <w:noWrap/>
            <w:vAlign w:val="bottom"/>
            <w:hideMark/>
          </w:tcPr>
          <w:p w14:paraId="1FB74396" w14:textId="77777777" w:rsidR="00677577" w:rsidRPr="003A7C61" w:rsidRDefault="00677577" w:rsidP="009F07E3">
            <w:pPr>
              <w:spacing w:after="0" w:line="240" w:lineRule="auto"/>
              <w:jc w:val="right"/>
              <w:rPr>
                <w:sz w:val="20"/>
                <w:szCs w:val="20"/>
              </w:rPr>
            </w:pPr>
            <w:r w:rsidRPr="003A7C61">
              <w:rPr>
                <w:sz w:val="20"/>
                <w:szCs w:val="20"/>
              </w:rPr>
              <w:t>(0.008)</w:t>
            </w:r>
          </w:p>
        </w:tc>
        <w:tc>
          <w:tcPr>
            <w:tcW w:w="1540" w:type="dxa"/>
            <w:tcBorders>
              <w:top w:val="nil"/>
              <w:left w:val="nil"/>
              <w:bottom w:val="nil"/>
              <w:right w:val="nil"/>
            </w:tcBorders>
            <w:noWrap/>
            <w:vAlign w:val="bottom"/>
            <w:hideMark/>
          </w:tcPr>
          <w:p w14:paraId="54A883FE" w14:textId="77777777" w:rsidR="00677577" w:rsidRPr="003A7C61" w:rsidRDefault="00677577" w:rsidP="009F07E3">
            <w:pPr>
              <w:spacing w:after="0" w:line="240" w:lineRule="auto"/>
              <w:jc w:val="right"/>
              <w:rPr>
                <w:sz w:val="20"/>
                <w:szCs w:val="20"/>
              </w:rPr>
            </w:pPr>
            <w:r w:rsidRPr="003A7C61">
              <w:rPr>
                <w:sz w:val="20"/>
                <w:szCs w:val="20"/>
              </w:rPr>
              <w:t>(0.004)</w:t>
            </w:r>
          </w:p>
        </w:tc>
        <w:tc>
          <w:tcPr>
            <w:tcW w:w="1541" w:type="dxa"/>
            <w:tcBorders>
              <w:top w:val="nil"/>
              <w:left w:val="nil"/>
              <w:bottom w:val="nil"/>
              <w:right w:val="single" w:sz="4" w:space="0" w:color="auto"/>
            </w:tcBorders>
            <w:hideMark/>
          </w:tcPr>
          <w:p w14:paraId="5FDC9172" w14:textId="77777777" w:rsidR="00677577" w:rsidRPr="003A7C61" w:rsidRDefault="00677577" w:rsidP="009F07E3">
            <w:pPr>
              <w:spacing w:after="0" w:line="240" w:lineRule="auto"/>
              <w:jc w:val="right"/>
              <w:rPr>
                <w:sz w:val="20"/>
                <w:szCs w:val="20"/>
              </w:rPr>
            </w:pPr>
            <w:r w:rsidRPr="003A7C61">
              <w:rPr>
                <w:sz w:val="20"/>
                <w:szCs w:val="20"/>
              </w:rPr>
              <w:t>(0.004)</w:t>
            </w:r>
          </w:p>
        </w:tc>
      </w:tr>
      <w:tr w:rsidR="00677577" w:rsidRPr="00167CB8" w14:paraId="30FFD5C0" w14:textId="77777777">
        <w:trPr>
          <w:trHeight w:val="300"/>
        </w:trPr>
        <w:tc>
          <w:tcPr>
            <w:tcW w:w="4395" w:type="dxa"/>
            <w:tcBorders>
              <w:top w:val="nil"/>
              <w:left w:val="single" w:sz="4" w:space="0" w:color="auto"/>
              <w:bottom w:val="nil"/>
              <w:right w:val="nil"/>
            </w:tcBorders>
            <w:noWrap/>
            <w:vAlign w:val="bottom"/>
            <w:hideMark/>
          </w:tcPr>
          <w:p w14:paraId="32E181CF" w14:textId="77777777" w:rsidR="00677577" w:rsidRPr="003A7C61" w:rsidRDefault="00677577">
            <w:pPr>
              <w:spacing w:after="0" w:line="240" w:lineRule="auto"/>
              <w:rPr>
                <w:sz w:val="20"/>
                <w:szCs w:val="20"/>
              </w:rPr>
            </w:pPr>
            <w:r w:rsidRPr="003A7C61">
              <w:rPr>
                <w:sz w:val="20"/>
                <w:szCs w:val="20"/>
              </w:rPr>
              <w:t>Paid according to a collective agreement</w:t>
            </w:r>
          </w:p>
        </w:tc>
        <w:tc>
          <w:tcPr>
            <w:tcW w:w="1540" w:type="dxa"/>
            <w:tcBorders>
              <w:top w:val="nil"/>
              <w:left w:val="nil"/>
              <w:bottom w:val="nil"/>
              <w:right w:val="nil"/>
            </w:tcBorders>
            <w:noWrap/>
            <w:vAlign w:val="bottom"/>
            <w:hideMark/>
          </w:tcPr>
          <w:p w14:paraId="103DB55F" w14:textId="77777777" w:rsidR="00677577" w:rsidRPr="003A7C61" w:rsidRDefault="00677577" w:rsidP="009F07E3">
            <w:pPr>
              <w:spacing w:after="0" w:line="240" w:lineRule="auto"/>
              <w:jc w:val="right"/>
              <w:rPr>
                <w:sz w:val="20"/>
                <w:szCs w:val="20"/>
              </w:rPr>
            </w:pPr>
            <w:r w:rsidRPr="003A7C61">
              <w:rPr>
                <w:sz w:val="20"/>
                <w:szCs w:val="20"/>
              </w:rPr>
              <w:t>-0.061***</w:t>
            </w:r>
          </w:p>
        </w:tc>
        <w:tc>
          <w:tcPr>
            <w:tcW w:w="1540" w:type="dxa"/>
            <w:tcBorders>
              <w:top w:val="nil"/>
              <w:left w:val="nil"/>
              <w:bottom w:val="nil"/>
              <w:right w:val="nil"/>
            </w:tcBorders>
            <w:noWrap/>
            <w:vAlign w:val="bottom"/>
            <w:hideMark/>
          </w:tcPr>
          <w:p w14:paraId="2A63C8D1" w14:textId="77777777" w:rsidR="00677577" w:rsidRPr="003A7C61" w:rsidRDefault="00677577" w:rsidP="009F07E3">
            <w:pPr>
              <w:spacing w:after="0" w:line="240" w:lineRule="auto"/>
              <w:jc w:val="right"/>
              <w:rPr>
                <w:sz w:val="20"/>
                <w:szCs w:val="20"/>
              </w:rPr>
            </w:pPr>
            <w:r w:rsidRPr="003A7C61">
              <w:rPr>
                <w:sz w:val="20"/>
                <w:szCs w:val="20"/>
              </w:rPr>
              <w:t>-0.012***</w:t>
            </w:r>
          </w:p>
        </w:tc>
        <w:tc>
          <w:tcPr>
            <w:tcW w:w="1541" w:type="dxa"/>
            <w:tcBorders>
              <w:top w:val="nil"/>
              <w:left w:val="nil"/>
              <w:bottom w:val="nil"/>
              <w:right w:val="single" w:sz="4" w:space="0" w:color="auto"/>
            </w:tcBorders>
            <w:hideMark/>
          </w:tcPr>
          <w:p w14:paraId="511BC275" w14:textId="77777777" w:rsidR="00677577" w:rsidRPr="003A7C61" w:rsidRDefault="00677577" w:rsidP="009F07E3">
            <w:pPr>
              <w:spacing w:after="0" w:line="240" w:lineRule="auto"/>
              <w:jc w:val="right"/>
              <w:rPr>
                <w:sz w:val="20"/>
                <w:szCs w:val="20"/>
              </w:rPr>
            </w:pPr>
            <w:r w:rsidRPr="003A7C61">
              <w:rPr>
                <w:sz w:val="20"/>
                <w:szCs w:val="20"/>
              </w:rPr>
              <w:t>-0.006*</w:t>
            </w:r>
          </w:p>
        </w:tc>
      </w:tr>
      <w:tr w:rsidR="00677577" w:rsidRPr="00167CB8" w14:paraId="58B492B5" w14:textId="77777777">
        <w:trPr>
          <w:trHeight w:val="300"/>
        </w:trPr>
        <w:tc>
          <w:tcPr>
            <w:tcW w:w="4395" w:type="dxa"/>
            <w:tcBorders>
              <w:top w:val="nil"/>
              <w:left w:val="single" w:sz="4" w:space="0" w:color="auto"/>
              <w:bottom w:val="nil"/>
              <w:right w:val="nil"/>
            </w:tcBorders>
            <w:noWrap/>
            <w:vAlign w:val="bottom"/>
            <w:hideMark/>
          </w:tcPr>
          <w:p w14:paraId="61B7F905" w14:textId="77777777" w:rsidR="00677577" w:rsidRPr="003A7C61" w:rsidRDefault="00677577">
            <w:pPr>
              <w:spacing w:after="0" w:line="240" w:lineRule="auto"/>
              <w:rPr>
                <w:sz w:val="20"/>
                <w:szCs w:val="20"/>
              </w:rPr>
            </w:pPr>
          </w:p>
        </w:tc>
        <w:tc>
          <w:tcPr>
            <w:tcW w:w="1540" w:type="dxa"/>
            <w:tcBorders>
              <w:top w:val="nil"/>
              <w:left w:val="nil"/>
              <w:bottom w:val="nil"/>
              <w:right w:val="nil"/>
            </w:tcBorders>
            <w:noWrap/>
            <w:vAlign w:val="bottom"/>
            <w:hideMark/>
          </w:tcPr>
          <w:p w14:paraId="69D91F96" w14:textId="77777777" w:rsidR="00677577" w:rsidRPr="003A7C61" w:rsidRDefault="00677577" w:rsidP="009F07E3">
            <w:pPr>
              <w:spacing w:after="0" w:line="240" w:lineRule="auto"/>
              <w:jc w:val="right"/>
              <w:rPr>
                <w:sz w:val="20"/>
                <w:szCs w:val="20"/>
              </w:rPr>
            </w:pPr>
            <w:r w:rsidRPr="003A7C61">
              <w:rPr>
                <w:sz w:val="20"/>
                <w:szCs w:val="20"/>
              </w:rPr>
              <w:t>(0.007)</w:t>
            </w:r>
          </w:p>
        </w:tc>
        <w:tc>
          <w:tcPr>
            <w:tcW w:w="1540" w:type="dxa"/>
            <w:tcBorders>
              <w:top w:val="nil"/>
              <w:left w:val="nil"/>
              <w:bottom w:val="nil"/>
              <w:right w:val="nil"/>
            </w:tcBorders>
            <w:noWrap/>
            <w:vAlign w:val="bottom"/>
            <w:hideMark/>
          </w:tcPr>
          <w:p w14:paraId="499DB77A" w14:textId="77777777" w:rsidR="00677577" w:rsidRPr="003A7C61" w:rsidRDefault="00677577" w:rsidP="009F07E3">
            <w:pPr>
              <w:spacing w:after="0" w:line="240" w:lineRule="auto"/>
              <w:jc w:val="right"/>
              <w:rPr>
                <w:sz w:val="20"/>
                <w:szCs w:val="20"/>
              </w:rPr>
            </w:pPr>
            <w:r w:rsidRPr="003A7C61">
              <w:rPr>
                <w:sz w:val="20"/>
                <w:szCs w:val="20"/>
              </w:rPr>
              <w:t>(0.004)</w:t>
            </w:r>
          </w:p>
        </w:tc>
        <w:tc>
          <w:tcPr>
            <w:tcW w:w="1541" w:type="dxa"/>
            <w:tcBorders>
              <w:top w:val="nil"/>
              <w:left w:val="nil"/>
              <w:bottom w:val="nil"/>
              <w:right w:val="single" w:sz="4" w:space="0" w:color="auto"/>
            </w:tcBorders>
            <w:hideMark/>
          </w:tcPr>
          <w:p w14:paraId="42949212" w14:textId="77777777" w:rsidR="00677577" w:rsidRPr="003A7C61" w:rsidRDefault="00677577" w:rsidP="009F07E3">
            <w:pPr>
              <w:spacing w:after="0" w:line="240" w:lineRule="auto"/>
              <w:jc w:val="right"/>
              <w:rPr>
                <w:sz w:val="20"/>
                <w:szCs w:val="20"/>
              </w:rPr>
            </w:pPr>
            <w:r w:rsidRPr="003A7C61">
              <w:rPr>
                <w:sz w:val="20"/>
                <w:szCs w:val="20"/>
              </w:rPr>
              <w:t>(0.004)</w:t>
            </w:r>
          </w:p>
        </w:tc>
      </w:tr>
      <w:tr w:rsidR="00677577" w:rsidRPr="00167CB8" w14:paraId="16559A65" w14:textId="77777777">
        <w:trPr>
          <w:trHeight w:val="300"/>
        </w:trPr>
        <w:tc>
          <w:tcPr>
            <w:tcW w:w="4395" w:type="dxa"/>
            <w:tcBorders>
              <w:top w:val="nil"/>
              <w:left w:val="single" w:sz="4" w:space="0" w:color="auto"/>
              <w:bottom w:val="nil"/>
              <w:right w:val="nil"/>
            </w:tcBorders>
            <w:noWrap/>
            <w:vAlign w:val="bottom"/>
            <w:hideMark/>
          </w:tcPr>
          <w:p w14:paraId="226CFF40" w14:textId="77777777" w:rsidR="00677577" w:rsidRPr="003A7C61" w:rsidRDefault="00677577">
            <w:pPr>
              <w:spacing w:after="0" w:line="240" w:lineRule="auto"/>
              <w:rPr>
                <w:sz w:val="20"/>
                <w:szCs w:val="20"/>
              </w:rPr>
            </w:pPr>
            <w:r w:rsidRPr="003A7C61">
              <w:rPr>
                <w:sz w:val="20"/>
                <w:szCs w:val="20"/>
              </w:rPr>
              <w:t>Constant</w:t>
            </w:r>
          </w:p>
        </w:tc>
        <w:tc>
          <w:tcPr>
            <w:tcW w:w="1540" w:type="dxa"/>
            <w:tcBorders>
              <w:top w:val="nil"/>
              <w:left w:val="nil"/>
              <w:bottom w:val="nil"/>
              <w:right w:val="nil"/>
            </w:tcBorders>
            <w:noWrap/>
            <w:vAlign w:val="bottom"/>
            <w:hideMark/>
          </w:tcPr>
          <w:p w14:paraId="4A88F764" w14:textId="77777777" w:rsidR="00677577" w:rsidRPr="003A7C61" w:rsidRDefault="00677577" w:rsidP="009F07E3">
            <w:pPr>
              <w:spacing w:after="0" w:line="240" w:lineRule="auto"/>
              <w:jc w:val="right"/>
              <w:rPr>
                <w:sz w:val="20"/>
                <w:szCs w:val="20"/>
              </w:rPr>
            </w:pPr>
            <w:r w:rsidRPr="003A7C61">
              <w:rPr>
                <w:sz w:val="20"/>
                <w:szCs w:val="20"/>
              </w:rPr>
              <w:t>3.328***</w:t>
            </w:r>
          </w:p>
        </w:tc>
        <w:tc>
          <w:tcPr>
            <w:tcW w:w="1540" w:type="dxa"/>
            <w:tcBorders>
              <w:top w:val="nil"/>
              <w:left w:val="nil"/>
              <w:bottom w:val="nil"/>
              <w:right w:val="nil"/>
            </w:tcBorders>
            <w:noWrap/>
            <w:vAlign w:val="bottom"/>
            <w:hideMark/>
          </w:tcPr>
          <w:p w14:paraId="03879990" w14:textId="77777777" w:rsidR="00677577" w:rsidRPr="003A7C61" w:rsidRDefault="00677577" w:rsidP="009F07E3">
            <w:pPr>
              <w:spacing w:after="0" w:line="240" w:lineRule="auto"/>
              <w:jc w:val="right"/>
              <w:rPr>
                <w:sz w:val="20"/>
                <w:szCs w:val="20"/>
              </w:rPr>
            </w:pPr>
            <w:r w:rsidRPr="003A7C61">
              <w:rPr>
                <w:sz w:val="20"/>
                <w:szCs w:val="20"/>
              </w:rPr>
              <w:t>3.188***</w:t>
            </w:r>
          </w:p>
        </w:tc>
        <w:tc>
          <w:tcPr>
            <w:tcW w:w="1541" w:type="dxa"/>
            <w:tcBorders>
              <w:top w:val="nil"/>
              <w:left w:val="nil"/>
              <w:bottom w:val="nil"/>
              <w:right w:val="single" w:sz="4" w:space="0" w:color="auto"/>
            </w:tcBorders>
            <w:hideMark/>
          </w:tcPr>
          <w:p w14:paraId="041AE1D0" w14:textId="77777777" w:rsidR="00677577" w:rsidRPr="003A7C61" w:rsidRDefault="00677577" w:rsidP="009F07E3">
            <w:pPr>
              <w:spacing w:after="0" w:line="240" w:lineRule="auto"/>
              <w:jc w:val="right"/>
              <w:rPr>
                <w:sz w:val="20"/>
                <w:szCs w:val="20"/>
              </w:rPr>
            </w:pPr>
            <w:r w:rsidRPr="003A7C61">
              <w:rPr>
                <w:sz w:val="20"/>
                <w:szCs w:val="20"/>
              </w:rPr>
              <w:t>3.008***</w:t>
            </w:r>
          </w:p>
        </w:tc>
      </w:tr>
      <w:tr w:rsidR="00677577" w:rsidRPr="00167CB8" w14:paraId="377D6C5D" w14:textId="77777777">
        <w:trPr>
          <w:trHeight w:val="300"/>
        </w:trPr>
        <w:tc>
          <w:tcPr>
            <w:tcW w:w="4395" w:type="dxa"/>
            <w:tcBorders>
              <w:top w:val="nil"/>
              <w:left w:val="single" w:sz="4" w:space="0" w:color="auto"/>
              <w:bottom w:val="single" w:sz="4" w:space="0" w:color="auto"/>
              <w:right w:val="nil"/>
            </w:tcBorders>
            <w:noWrap/>
            <w:vAlign w:val="bottom"/>
            <w:hideMark/>
          </w:tcPr>
          <w:p w14:paraId="6D10C026" w14:textId="77777777" w:rsidR="00677577" w:rsidRPr="003A7C61" w:rsidRDefault="00677577">
            <w:pPr>
              <w:spacing w:after="0" w:line="240" w:lineRule="auto"/>
              <w:rPr>
                <w:sz w:val="20"/>
                <w:szCs w:val="20"/>
              </w:rPr>
            </w:pPr>
          </w:p>
        </w:tc>
        <w:tc>
          <w:tcPr>
            <w:tcW w:w="1540" w:type="dxa"/>
            <w:tcBorders>
              <w:top w:val="nil"/>
              <w:left w:val="nil"/>
              <w:bottom w:val="single" w:sz="4" w:space="0" w:color="auto"/>
              <w:right w:val="nil"/>
            </w:tcBorders>
            <w:noWrap/>
            <w:vAlign w:val="bottom"/>
            <w:hideMark/>
          </w:tcPr>
          <w:p w14:paraId="36A85922" w14:textId="77777777" w:rsidR="00677577" w:rsidRPr="003A7C61" w:rsidRDefault="00677577" w:rsidP="009F07E3">
            <w:pPr>
              <w:spacing w:after="0" w:line="240" w:lineRule="auto"/>
              <w:jc w:val="right"/>
              <w:rPr>
                <w:sz w:val="20"/>
                <w:szCs w:val="20"/>
              </w:rPr>
            </w:pPr>
            <w:r w:rsidRPr="003A7C61">
              <w:rPr>
                <w:sz w:val="20"/>
                <w:szCs w:val="20"/>
              </w:rPr>
              <w:t>(0.012)</w:t>
            </w:r>
          </w:p>
        </w:tc>
        <w:tc>
          <w:tcPr>
            <w:tcW w:w="1540" w:type="dxa"/>
            <w:tcBorders>
              <w:top w:val="nil"/>
              <w:left w:val="nil"/>
              <w:bottom w:val="single" w:sz="4" w:space="0" w:color="auto"/>
              <w:right w:val="nil"/>
            </w:tcBorders>
            <w:noWrap/>
            <w:vAlign w:val="bottom"/>
            <w:hideMark/>
          </w:tcPr>
          <w:p w14:paraId="73703368" w14:textId="77777777" w:rsidR="00677577" w:rsidRPr="003A7C61" w:rsidRDefault="00677577" w:rsidP="009F07E3">
            <w:pPr>
              <w:spacing w:after="0" w:line="240" w:lineRule="auto"/>
              <w:jc w:val="right"/>
              <w:rPr>
                <w:sz w:val="20"/>
                <w:szCs w:val="20"/>
              </w:rPr>
            </w:pPr>
            <w:r w:rsidRPr="003A7C61">
              <w:rPr>
                <w:sz w:val="20"/>
                <w:szCs w:val="20"/>
              </w:rPr>
              <w:t>(0.008)</w:t>
            </w:r>
          </w:p>
        </w:tc>
        <w:tc>
          <w:tcPr>
            <w:tcW w:w="1541" w:type="dxa"/>
            <w:tcBorders>
              <w:top w:val="nil"/>
              <w:left w:val="nil"/>
              <w:bottom w:val="single" w:sz="4" w:space="0" w:color="auto"/>
              <w:right w:val="single" w:sz="4" w:space="0" w:color="auto"/>
            </w:tcBorders>
            <w:hideMark/>
          </w:tcPr>
          <w:p w14:paraId="3271169E" w14:textId="77777777" w:rsidR="00677577" w:rsidRPr="003A7C61" w:rsidRDefault="00677577" w:rsidP="009F07E3">
            <w:pPr>
              <w:spacing w:after="0" w:line="240" w:lineRule="auto"/>
              <w:jc w:val="right"/>
              <w:rPr>
                <w:sz w:val="20"/>
                <w:szCs w:val="20"/>
              </w:rPr>
            </w:pPr>
            <w:r w:rsidRPr="003A7C61">
              <w:rPr>
                <w:sz w:val="20"/>
                <w:szCs w:val="20"/>
              </w:rPr>
              <w:t>(0.011)</w:t>
            </w:r>
          </w:p>
        </w:tc>
      </w:tr>
      <w:tr w:rsidR="00677577" w:rsidRPr="00167CB8" w14:paraId="1240558B" w14:textId="77777777">
        <w:trPr>
          <w:trHeight w:val="300"/>
        </w:trPr>
        <w:tc>
          <w:tcPr>
            <w:tcW w:w="4395" w:type="dxa"/>
            <w:tcBorders>
              <w:top w:val="single" w:sz="4" w:space="0" w:color="auto"/>
              <w:left w:val="single" w:sz="4" w:space="0" w:color="auto"/>
              <w:bottom w:val="nil"/>
              <w:right w:val="nil"/>
            </w:tcBorders>
            <w:noWrap/>
            <w:vAlign w:val="bottom"/>
            <w:hideMark/>
          </w:tcPr>
          <w:p w14:paraId="61B2F1C4" w14:textId="77777777" w:rsidR="00677577" w:rsidRPr="003A7C61" w:rsidRDefault="00677577">
            <w:pPr>
              <w:spacing w:after="0" w:line="240" w:lineRule="auto"/>
              <w:rPr>
                <w:sz w:val="20"/>
                <w:szCs w:val="20"/>
              </w:rPr>
            </w:pPr>
            <w:r w:rsidRPr="003A7C61">
              <w:rPr>
                <w:sz w:val="20"/>
                <w:szCs w:val="20"/>
              </w:rPr>
              <w:t>Observations</w:t>
            </w:r>
          </w:p>
        </w:tc>
        <w:tc>
          <w:tcPr>
            <w:tcW w:w="1540" w:type="dxa"/>
            <w:tcBorders>
              <w:top w:val="single" w:sz="4" w:space="0" w:color="auto"/>
              <w:left w:val="nil"/>
              <w:bottom w:val="nil"/>
              <w:right w:val="nil"/>
            </w:tcBorders>
            <w:noWrap/>
            <w:vAlign w:val="bottom"/>
            <w:hideMark/>
          </w:tcPr>
          <w:p w14:paraId="28F1DF12" w14:textId="77777777" w:rsidR="00677577" w:rsidRPr="003A7C61" w:rsidRDefault="00677577" w:rsidP="009F07E3">
            <w:pPr>
              <w:spacing w:after="0" w:line="240" w:lineRule="auto"/>
              <w:jc w:val="right"/>
              <w:rPr>
                <w:sz w:val="20"/>
                <w:szCs w:val="20"/>
              </w:rPr>
            </w:pPr>
            <w:r w:rsidRPr="003A7C61">
              <w:rPr>
                <w:sz w:val="20"/>
                <w:szCs w:val="20"/>
              </w:rPr>
              <w:t>113,199</w:t>
            </w:r>
          </w:p>
        </w:tc>
        <w:tc>
          <w:tcPr>
            <w:tcW w:w="1540" w:type="dxa"/>
            <w:tcBorders>
              <w:top w:val="single" w:sz="4" w:space="0" w:color="auto"/>
              <w:left w:val="nil"/>
              <w:bottom w:val="nil"/>
              <w:right w:val="nil"/>
            </w:tcBorders>
            <w:noWrap/>
            <w:vAlign w:val="bottom"/>
            <w:hideMark/>
          </w:tcPr>
          <w:p w14:paraId="62077A79" w14:textId="77777777" w:rsidR="00677577" w:rsidRPr="003A7C61" w:rsidRDefault="00677577" w:rsidP="009F07E3">
            <w:pPr>
              <w:spacing w:after="0" w:line="240" w:lineRule="auto"/>
              <w:jc w:val="right"/>
              <w:rPr>
                <w:sz w:val="20"/>
                <w:szCs w:val="20"/>
              </w:rPr>
            </w:pPr>
            <w:r w:rsidRPr="003A7C61">
              <w:rPr>
                <w:sz w:val="20"/>
                <w:szCs w:val="20"/>
              </w:rPr>
              <w:t>113,199</w:t>
            </w:r>
          </w:p>
        </w:tc>
        <w:tc>
          <w:tcPr>
            <w:tcW w:w="1541" w:type="dxa"/>
            <w:tcBorders>
              <w:top w:val="single" w:sz="4" w:space="0" w:color="auto"/>
              <w:left w:val="nil"/>
              <w:bottom w:val="nil"/>
              <w:right w:val="single" w:sz="4" w:space="0" w:color="auto"/>
            </w:tcBorders>
            <w:hideMark/>
          </w:tcPr>
          <w:p w14:paraId="53F251FE" w14:textId="77777777" w:rsidR="00677577" w:rsidRPr="003A7C61" w:rsidRDefault="00677577" w:rsidP="009F07E3">
            <w:pPr>
              <w:spacing w:after="0" w:line="240" w:lineRule="auto"/>
              <w:jc w:val="right"/>
              <w:rPr>
                <w:sz w:val="20"/>
                <w:szCs w:val="20"/>
              </w:rPr>
            </w:pPr>
            <w:r w:rsidRPr="003A7C61">
              <w:rPr>
                <w:sz w:val="20"/>
                <w:szCs w:val="20"/>
              </w:rPr>
              <w:t>113,199</w:t>
            </w:r>
          </w:p>
        </w:tc>
      </w:tr>
      <w:tr w:rsidR="00677577" w:rsidRPr="00167CB8" w14:paraId="253869D2" w14:textId="77777777">
        <w:trPr>
          <w:trHeight w:val="300"/>
        </w:trPr>
        <w:tc>
          <w:tcPr>
            <w:tcW w:w="4395" w:type="dxa"/>
            <w:tcBorders>
              <w:top w:val="nil"/>
              <w:left w:val="single" w:sz="4" w:space="0" w:color="auto"/>
              <w:bottom w:val="nil"/>
              <w:right w:val="nil"/>
            </w:tcBorders>
            <w:noWrap/>
            <w:vAlign w:val="bottom"/>
            <w:hideMark/>
          </w:tcPr>
          <w:p w14:paraId="491E67EC" w14:textId="77777777" w:rsidR="00677577" w:rsidRPr="003A7C61" w:rsidRDefault="00677577">
            <w:pPr>
              <w:spacing w:after="0" w:line="240" w:lineRule="auto"/>
              <w:rPr>
                <w:sz w:val="20"/>
                <w:szCs w:val="20"/>
              </w:rPr>
            </w:pPr>
            <w:r w:rsidRPr="003A7C61">
              <w:rPr>
                <w:sz w:val="20"/>
                <w:szCs w:val="20"/>
              </w:rPr>
              <w:t>R-squared (%)</w:t>
            </w:r>
          </w:p>
        </w:tc>
        <w:tc>
          <w:tcPr>
            <w:tcW w:w="1540" w:type="dxa"/>
            <w:tcBorders>
              <w:top w:val="nil"/>
              <w:left w:val="nil"/>
              <w:bottom w:val="nil"/>
              <w:right w:val="nil"/>
            </w:tcBorders>
            <w:noWrap/>
            <w:vAlign w:val="bottom"/>
            <w:hideMark/>
          </w:tcPr>
          <w:p w14:paraId="2E85ABF1" w14:textId="77777777" w:rsidR="00677577" w:rsidRPr="003A7C61" w:rsidRDefault="00677577" w:rsidP="009F07E3">
            <w:pPr>
              <w:spacing w:after="0" w:line="240" w:lineRule="auto"/>
              <w:jc w:val="right"/>
              <w:rPr>
                <w:sz w:val="20"/>
                <w:szCs w:val="20"/>
              </w:rPr>
            </w:pPr>
            <w:r w:rsidRPr="003A7C61">
              <w:rPr>
                <w:sz w:val="20"/>
                <w:szCs w:val="20"/>
              </w:rPr>
              <w:t>25.0%</w:t>
            </w:r>
          </w:p>
        </w:tc>
        <w:tc>
          <w:tcPr>
            <w:tcW w:w="1540" w:type="dxa"/>
            <w:tcBorders>
              <w:top w:val="nil"/>
              <w:left w:val="nil"/>
              <w:bottom w:val="nil"/>
              <w:right w:val="nil"/>
            </w:tcBorders>
            <w:noWrap/>
            <w:vAlign w:val="bottom"/>
            <w:hideMark/>
          </w:tcPr>
          <w:p w14:paraId="592202E8" w14:textId="77777777" w:rsidR="00677577" w:rsidRPr="003A7C61" w:rsidRDefault="00677577" w:rsidP="009F07E3">
            <w:pPr>
              <w:spacing w:after="0" w:line="240" w:lineRule="auto"/>
              <w:jc w:val="right"/>
              <w:rPr>
                <w:sz w:val="20"/>
                <w:szCs w:val="20"/>
              </w:rPr>
            </w:pPr>
            <w:r w:rsidRPr="003A7C61">
              <w:rPr>
                <w:sz w:val="20"/>
                <w:szCs w:val="20"/>
              </w:rPr>
              <w:t>21.2%</w:t>
            </w:r>
          </w:p>
        </w:tc>
        <w:tc>
          <w:tcPr>
            <w:tcW w:w="1541" w:type="dxa"/>
            <w:tcBorders>
              <w:top w:val="nil"/>
              <w:left w:val="nil"/>
              <w:bottom w:val="nil"/>
              <w:right w:val="single" w:sz="4" w:space="0" w:color="auto"/>
            </w:tcBorders>
            <w:hideMark/>
          </w:tcPr>
          <w:p w14:paraId="08D66DA1" w14:textId="77777777" w:rsidR="00677577" w:rsidRPr="003A7C61" w:rsidRDefault="00677577" w:rsidP="009F07E3">
            <w:pPr>
              <w:spacing w:after="0" w:line="240" w:lineRule="auto"/>
              <w:jc w:val="right"/>
              <w:rPr>
                <w:sz w:val="20"/>
                <w:szCs w:val="20"/>
              </w:rPr>
            </w:pPr>
            <w:r w:rsidRPr="003A7C61">
              <w:rPr>
                <w:sz w:val="20"/>
                <w:szCs w:val="20"/>
              </w:rPr>
              <w:t>10.5%</w:t>
            </w:r>
          </w:p>
        </w:tc>
      </w:tr>
      <w:tr w:rsidR="00677577" w:rsidRPr="00167CB8" w14:paraId="2AE126D9" w14:textId="77777777">
        <w:trPr>
          <w:trHeight w:val="300"/>
        </w:trPr>
        <w:tc>
          <w:tcPr>
            <w:tcW w:w="4395" w:type="dxa"/>
            <w:tcBorders>
              <w:top w:val="nil"/>
              <w:left w:val="single" w:sz="4" w:space="0" w:color="auto"/>
              <w:bottom w:val="single" w:sz="4" w:space="0" w:color="auto"/>
              <w:right w:val="nil"/>
            </w:tcBorders>
            <w:noWrap/>
            <w:vAlign w:val="bottom"/>
            <w:hideMark/>
          </w:tcPr>
          <w:p w14:paraId="004056D7" w14:textId="77777777" w:rsidR="00677577" w:rsidRPr="003A7C61" w:rsidRDefault="00677577">
            <w:pPr>
              <w:spacing w:after="0" w:line="240" w:lineRule="auto"/>
              <w:rPr>
                <w:sz w:val="20"/>
                <w:szCs w:val="20"/>
              </w:rPr>
            </w:pPr>
            <w:r w:rsidRPr="003A7C61">
              <w:rPr>
                <w:sz w:val="20"/>
                <w:szCs w:val="20"/>
              </w:rPr>
              <w:t>Number of unique individuals</w:t>
            </w:r>
          </w:p>
        </w:tc>
        <w:tc>
          <w:tcPr>
            <w:tcW w:w="1540" w:type="dxa"/>
            <w:tcBorders>
              <w:top w:val="nil"/>
              <w:left w:val="nil"/>
              <w:bottom w:val="single" w:sz="4" w:space="0" w:color="auto"/>
              <w:right w:val="nil"/>
            </w:tcBorders>
            <w:noWrap/>
            <w:vAlign w:val="bottom"/>
            <w:hideMark/>
          </w:tcPr>
          <w:p w14:paraId="3F501666" w14:textId="77777777" w:rsidR="00677577" w:rsidRPr="003A7C61" w:rsidRDefault="00677577" w:rsidP="009F07E3">
            <w:pPr>
              <w:spacing w:after="0" w:line="240" w:lineRule="auto"/>
              <w:jc w:val="right"/>
              <w:rPr>
                <w:sz w:val="20"/>
                <w:szCs w:val="20"/>
              </w:rPr>
            </w:pPr>
            <w:r w:rsidRPr="003A7C61">
              <w:rPr>
                <w:sz w:val="20"/>
                <w:szCs w:val="20"/>
              </w:rPr>
              <w:t xml:space="preserve"> </w:t>
            </w:r>
          </w:p>
        </w:tc>
        <w:tc>
          <w:tcPr>
            <w:tcW w:w="1540" w:type="dxa"/>
            <w:tcBorders>
              <w:top w:val="nil"/>
              <w:left w:val="nil"/>
              <w:bottom w:val="single" w:sz="4" w:space="0" w:color="auto"/>
              <w:right w:val="nil"/>
            </w:tcBorders>
            <w:noWrap/>
            <w:vAlign w:val="bottom"/>
            <w:hideMark/>
          </w:tcPr>
          <w:p w14:paraId="7E782BE8" w14:textId="77777777" w:rsidR="00677577" w:rsidRPr="003A7C61" w:rsidRDefault="00677577" w:rsidP="009F07E3">
            <w:pPr>
              <w:spacing w:after="0" w:line="240" w:lineRule="auto"/>
              <w:jc w:val="right"/>
              <w:rPr>
                <w:sz w:val="20"/>
                <w:szCs w:val="20"/>
              </w:rPr>
            </w:pPr>
            <w:r w:rsidRPr="003A7C61">
              <w:rPr>
                <w:sz w:val="20"/>
                <w:szCs w:val="20"/>
              </w:rPr>
              <w:t>17,494</w:t>
            </w:r>
          </w:p>
        </w:tc>
        <w:tc>
          <w:tcPr>
            <w:tcW w:w="1541" w:type="dxa"/>
            <w:tcBorders>
              <w:top w:val="nil"/>
              <w:left w:val="nil"/>
              <w:bottom w:val="single" w:sz="4" w:space="0" w:color="auto"/>
              <w:right w:val="single" w:sz="4" w:space="0" w:color="auto"/>
            </w:tcBorders>
            <w:hideMark/>
          </w:tcPr>
          <w:p w14:paraId="63395E3D" w14:textId="77777777" w:rsidR="00677577" w:rsidRPr="003A7C61" w:rsidRDefault="00677577" w:rsidP="009F07E3">
            <w:pPr>
              <w:spacing w:after="0" w:line="240" w:lineRule="auto"/>
              <w:jc w:val="right"/>
              <w:rPr>
                <w:sz w:val="20"/>
                <w:szCs w:val="20"/>
              </w:rPr>
            </w:pPr>
            <w:r w:rsidRPr="003A7C61">
              <w:rPr>
                <w:sz w:val="20"/>
                <w:szCs w:val="20"/>
              </w:rPr>
              <w:t>17,494</w:t>
            </w:r>
          </w:p>
        </w:tc>
      </w:tr>
    </w:tbl>
    <w:p w14:paraId="1A9C20C3" w14:textId="77777777" w:rsidR="00677577" w:rsidRPr="00E07D74" w:rsidRDefault="00677577" w:rsidP="00677577">
      <w:pPr>
        <w:pStyle w:val="Source"/>
        <w:rPr>
          <w:b/>
          <w:bCs/>
        </w:rPr>
      </w:pPr>
      <w:r w:rsidRPr="00E07D74">
        <w:rPr>
          <w:b/>
          <w:bCs/>
        </w:rPr>
        <w:t>Notes:</w:t>
      </w:r>
    </w:p>
    <w:p w14:paraId="27C76EFC" w14:textId="180D9083" w:rsidR="009F0D73" w:rsidRDefault="00677577" w:rsidP="00677577">
      <w:pPr>
        <w:pStyle w:val="Source"/>
      </w:pPr>
      <w:r w:rsidRPr="00167CB8">
        <w:t xml:space="preserve">1. </w:t>
      </w:r>
      <w:r w:rsidR="004005D7">
        <w:t>GWG: gender wage gap; OLS: ordinary least squares.</w:t>
      </w:r>
    </w:p>
    <w:p w14:paraId="72A188B7" w14:textId="1B779800" w:rsidR="00677577" w:rsidRPr="00167CB8" w:rsidRDefault="009F0D73" w:rsidP="00677577">
      <w:pPr>
        <w:pStyle w:val="Source"/>
      </w:pPr>
      <w:r>
        <w:t xml:space="preserve">2. </w:t>
      </w:r>
      <w:r w:rsidR="00677577" w:rsidRPr="00167CB8">
        <w:t>Dependent variable is the natural logarithm of hourly earnings in main job in 2023 prices.</w:t>
      </w:r>
    </w:p>
    <w:p w14:paraId="3A06D74E" w14:textId="326860BB" w:rsidR="00677577" w:rsidRPr="00167CB8" w:rsidRDefault="004005D7" w:rsidP="00677577">
      <w:pPr>
        <w:pStyle w:val="Source"/>
      </w:pPr>
      <w:r>
        <w:t>3</w:t>
      </w:r>
      <w:r w:rsidR="00677577" w:rsidRPr="00167CB8">
        <w:t>. Sample: employees aged 21 to 64.</w:t>
      </w:r>
    </w:p>
    <w:p w14:paraId="62F095EF" w14:textId="77777777" w:rsidR="0011475D" w:rsidRDefault="00677577" w:rsidP="00677577">
      <w:pPr>
        <w:pStyle w:val="Source"/>
      </w:pPr>
      <w:r w:rsidRPr="00167CB8">
        <w:t>4. Column 1 shows OLS estimates for pooled sample. Column 2 shows panel estimates using a random effects regressor. Column 3 shows estimates generated using a fixed effects estimator.</w:t>
      </w:r>
    </w:p>
    <w:p w14:paraId="2EFE5306" w14:textId="77777777" w:rsidR="0011475D" w:rsidRDefault="00677577" w:rsidP="00677577">
      <w:pPr>
        <w:pStyle w:val="Source"/>
      </w:pPr>
      <w:r w:rsidRPr="00167CB8">
        <w:t>5. The reference group is men who completed no post-school qualifications, are not partnered, have no dependent children, are Australian born, work in the private sector, are employed full-time, hold a permanent position, are not union members and are paid according to an individual agreement.</w:t>
      </w:r>
    </w:p>
    <w:p w14:paraId="03706CE5" w14:textId="5B45B5F0" w:rsidR="00677577" w:rsidRPr="00167CB8" w:rsidRDefault="00677577" w:rsidP="00677577">
      <w:pPr>
        <w:pStyle w:val="Heading4"/>
      </w:pPr>
      <w:r w:rsidRPr="00167CB8">
        <w:t>3.</w:t>
      </w:r>
      <w:r>
        <w:t>6</w:t>
      </w:r>
      <w:r w:rsidRPr="00167CB8">
        <w:t xml:space="preserve"> </w:t>
      </w:r>
      <w:r w:rsidR="004005D7">
        <w:t>Workplace Gender Equality Agency</w:t>
      </w:r>
    </w:p>
    <w:p w14:paraId="0CE4BAA0" w14:textId="68D55C5A" w:rsidR="0011475D" w:rsidRDefault="00677577" w:rsidP="00677577">
      <w:r>
        <w:t>The Workplace Gender Equality Agency (WGEA) report</w:t>
      </w:r>
      <w:r w:rsidR="004005D7">
        <w:t>s</w:t>
      </w:r>
      <w:r>
        <w:t xml:space="preserve"> annually on gender equality indicators for private sector employers with 100 or more employees. In 2021</w:t>
      </w:r>
      <w:r w:rsidR="004005D7">
        <w:rPr>
          <w:rFonts w:ascii="Symbol" w:eastAsia="Symbol" w:hAnsi="Symbol" w:cs="Symbol"/>
        </w:rPr>
        <w:sym w:font="Symbol" w:char="F02D"/>
      </w:r>
      <w:r>
        <w:t xml:space="preserve">22 the mean </w:t>
      </w:r>
      <w:r w:rsidDel="004005D7">
        <w:t xml:space="preserve">gender pay gap </w:t>
      </w:r>
      <w:r>
        <w:t>based on total remuneration was equal to 22.8% and by 2023</w:t>
      </w:r>
      <w:r w:rsidR="004005D7">
        <w:rPr>
          <w:rFonts w:ascii="Symbol" w:eastAsia="Symbol" w:hAnsi="Symbol" w:cs="Symbol"/>
        </w:rPr>
        <w:sym w:font="Symbol" w:char="F02D"/>
      </w:r>
      <w:r>
        <w:t>24 this had fallen to 21.8%. When assessed on the basis of base salary, in 2021</w:t>
      </w:r>
      <w:r w:rsidR="004005D7">
        <w:rPr>
          <w:rFonts w:ascii="Symbol" w:eastAsia="Symbol" w:hAnsi="Symbol" w:cs="Symbol"/>
        </w:rPr>
        <w:sym w:font="Symbol" w:char="F02D"/>
      </w:r>
      <w:r>
        <w:t xml:space="preserve">22 the </w:t>
      </w:r>
      <w:r w:rsidDel="004005D7">
        <w:t xml:space="preserve">gender pay gap </w:t>
      </w:r>
      <w:r>
        <w:t>was equal to 18.1% and by 2023</w:t>
      </w:r>
      <w:r w:rsidR="004005D7">
        <w:rPr>
          <w:rFonts w:ascii="Symbol" w:eastAsia="Symbol" w:hAnsi="Symbol" w:cs="Symbol"/>
        </w:rPr>
        <w:sym w:font="Symbol" w:char="F02D"/>
      </w:r>
      <w:r>
        <w:t xml:space="preserve">24 </w:t>
      </w:r>
      <w:r w:rsidR="004005D7">
        <w:t xml:space="preserve">it </w:t>
      </w:r>
      <w:r>
        <w:t>had fallen to 16.7%</w:t>
      </w:r>
      <w:r w:rsidR="00844718">
        <w:t xml:space="preserve"> (see Figure 49)</w:t>
      </w:r>
      <w:r>
        <w:t>.</w:t>
      </w:r>
    </w:p>
    <w:p w14:paraId="4FEFC561" w14:textId="45993B14" w:rsidR="00677577" w:rsidRPr="00167CB8" w:rsidRDefault="00844718" w:rsidP="007F380D">
      <w:pPr>
        <w:pStyle w:val="Caption"/>
      </w:pPr>
      <w:bookmarkStart w:id="974" w:name="_Toc194251547"/>
      <w:r>
        <w:t xml:space="preserve">Figure </w:t>
      </w:r>
      <w:r>
        <w:fldChar w:fldCharType="begin"/>
      </w:r>
      <w:r>
        <w:instrText xml:space="preserve"> SEQ Figure \* ARABIC </w:instrText>
      </w:r>
      <w:r>
        <w:fldChar w:fldCharType="separate"/>
      </w:r>
      <w:r w:rsidR="00DE5F5E">
        <w:rPr>
          <w:noProof/>
        </w:rPr>
        <w:t>49</w:t>
      </w:r>
      <w:r>
        <w:fldChar w:fldCharType="end"/>
      </w:r>
      <w:r>
        <w:t xml:space="preserve">: </w:t>
      </w:r>
      <w:r w:rsidR="00677577" w:rsidRPr="00167CB8">
        <w:t xml:space="preserve">Trends in the gender </w:t>
      </w:r>
      <w:r w:rsidR="00677577" w:rsidDel="004005D7">
        <w:t xml:space="preserve">pay </w:t>
      </w:r>
      <w:r w:rsidR="00677577">
        <w:t>gap among large (100 or more employees) private sector employees</w:t>
      </w:r>
      <w:r w:rsidR="004005D7">
        <w:t>, 2013</w:t>
      </w:r>
      <w:r w:rsidR="004005D7">
        <w:rPr>
          <w:rFonts w:ascii="Symbol" w:eastAsia="Symbol" w:hAnsi="Symbol" w:cs="Symbol"/>
        </w:rPr>
        <w:t>-</w:t>
      </w:r>
      <w:r w:rsidR="004005D7">
        <w:t>14 to 2023</w:t>
      </w:r>
      <w:r w:rsidR="004005D7">
        <w:rPr>
          <w:rFonts w:ascii="Symbol" w:eastAsia="Symbol" w:hAnsi="Symbol" w:cs="Symbol"/>
        </w:rPr>
        <w:t>-</w:t>
      </w:r>
      <w:r w:rsidR="004005D7">
        <w:t>24</w:t>
      </w:r>
      <w:bookmarkEnd w:id="974"/>
    </w:p>
    <w:p w14:paraId="3C73F341" w14:textId="514F9247" w:rsidR="00677577" w:rsidRDefault="00677577" w:rsidP="00677577">
      <w:r w:rsidRPr="00FF3341">
        <w:rPr>
          <w:noProof/>
        </w:rPr>
        <w:drawing>
          <wp:inline distT="0" distB="0" distL="0" distR="0" wp14:anchorId="69107EFB" wp14:editId="3348BE8A">
            <wp:extent cx="5731510" cy="3742690"/>
            <wp:effectExtent l="0" t="0" r="2540" b="0"/>
            <wp:docPr id="485058817" name="Picture 1" descr="A combination chart showing trends in the gender pay gap among large private sector employees.&#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058817" name="Picture 1" descr="A combination chart showing trends in the gender pay gap among large private sector employees.&#10;&#10;See alt-text following the source."/>
                    <pic:cNvPicPr/>
                  </pic:nvPicPr>
                  <pic:blipFill>
                    <a:blip r:embed="rId65"/>
                    <a:stretch>
                      <a:fillRect/>
                    </a:stretch>
                  </pic:blipFill>
                  <pic:spPr>
                    <a:xfrm>
                      <a:off x="0" y="0"/>
                      <a:ext cx="5731510" cy="3742690"/>
                    </a:xfrm>
                    <a:prstGeom prst="rect">
                      <a:avLst/>
                    </a:prstGeom>
                  </pic:spPr>
                </pic:pic>
              </a:graphicData>
            </a:graphic>
          </wp:inline>
        </w:drawing>
      </w:r>
    </w:p>
    <w:p w14:paraId="602D25FF" w14:textId="77777777" w:rsidR="0038093A" w:rsidRDefault="00677577" w:rsidP="007E195A">
      <w:pPr>
        <w:pStyle w:val="Source"/>
      </w:pPr>
      <w:r w:rsidRPr="00B452EB">
        <w:rPr>
          <w:b/>
        </w:rPr>
        <w:t>Source:</w:t>
      </w:r>
      <w:r>
        <w:t xml:space="preserve"> </w:t>
      </w:r>
      <w:r w:rsidR="00EF4CAA">
        <w:t>Workplace Gender Equality Agency, National Data Explorer.</w:t>
      </w:r>
      <w:r w:rsidR="00EF4CAA">
        <w:rPr>
          <w:rStyle w:val="FootnoteReference"/>
        </w:rPr>
        <w:footnoteReference w:id="1336"/>
      </w:r>
    </w:p>
    <w:p w14:paraId="4747D65C" w14:textId="58D31E1E" w:rsidR="00677577" w:rsidRPr="00167CB8" w:rsidRDefault="0038093A" w:rsidP="007E195A">
      <w:pPr>
        <w:pStyle w:val="Source"/>
        <w:rPr>
          <w:rFonts w:eastAsiaTheme="majorEastAsia" w:cstheme="majorBidi"/>
          <w:b/>
          <w:color w:val="009B9F" w:themeColor="background2"/>
          <w:sz w:val="44"/>
          <w:szCs w:val="26"/>
        </w:rPr>
      </w:pPr>
      <w:r w:rsidRPr="002407F8">
        <w:rPr>
          <w:b/>
        </w:rPr>
        <w:t xml:space="preserve">Alt-text: </w:t>
      </w:r>
      <w:r w:rsidR="00395ED6">
        <w:rPr>
          <w:bCs/>
        </w:rPr>
        <w:t xml:space="preserve">A combination chart showing </w:t>
      </w:r>
      <w:r w:rsidR="002D6C95">
        <w:rPr>
          <w:bCs/>
        </w:rPr>
        <w:t xml:space="preserve">trends in the gender pay </w:t>
      </w:r>
      <w:r w:rsidR="00FA1C2F">
        <w:rPr>
          <w:bCs/>
        </w:rPr>
        <w:t xml:space="preserve">gap among large (100 or more employees) private sector employers from 2013-14 to 2023-24. </w:t>
      </w:r>
      <w:r w:rsidR="00677577" w:rsidRPr="00167CB8">
        <w:br w:type="page"/>
      </w:r>
    </w:p>
    <w:p w14:paraId="29F767C8" w14:textId="77777777" w:rsidR="00677577" w:rsidRPr="00B45F7C" w:rsidRDefault="00677577" w:rsidP="00677577">
      <w:pPr>
        <w:pStyle w:val="Heading2"/>
      </w:pPr>
      <w:bookmarkStart w:id="975" w:name="_Toc192258081"/>
      <w:bookmarkStart w:id="976" w:name="_Toc194311452"/>
      <w:r w:rsidRPr="00B45F7C">
        <w:t>Appendix 2 – Federal Workplace Agreements Database</w:t>
      </w:r>
      <w:bookmarkEnd w:id="747"/>
      <w:bookmarkEnd w:id="748"/>
      <w:bookmarkEnd w:id="749"/>
      <w:bookmarkEnd w:id="975"/>
      <w:bookmarkEnd w:id="976"/>
    </w:p>
    <w:p w14:paraId="48E07B43" w14:textId="5878AD5B" w:rsidR="0011475D" w:rsidRDefault="00677577" w:rsidP="00677577">
      <w:pPr>
        <w:rPr>
          <w:rFonts w:ascii="Aptos" w:eastAsia="Aptos" w:hAnsi="Aptos" w:cs="Times New Roman"/>
        </w:rPr>
      </w:pPr>
      <w:r w:rsidRPr="00B45F7C">
        <w:rPr>
          <w:rFonts w:ascii="Aptos" w:eastAsia="Aptos" w:hAnsi="Aptos" w:cs="Times New Roman"/>
        </w:rPr>
        <w:t xml:space="preserve">The federal Workplace Agreements Database (WAD) tracks information on enterprise agreements made under the </w:t>
      </w:r>
      <w:r w:rsidRPr="003E1FF2">
        <w:rPr>
          <w:rFonts w:ascii="Aptos" w:eastAsia="Aptos" w:hAnsi="Aptos" w:cs="Times New Roman"/>
        </w:rPr>
        <w:t>Fair Work Act</w:t>
      </w:r>
      <w:r w:rsidRPr="00B45F7C">
        <w:rPr>
          <w:rFonts w:ascii="Aptos" w:eastAsia="Aptos" w:hAnsi="Aptos" w:cs="Times New Roman"/>
        </w:rPr>
        <w:t>. The WAD contains detailed information on average annualised wage increases (AAWI) in enterprise agreements, agreement duration and how wage increases are distributed over the term of the agreement. Information may be disaggregated by industry, sector and agreement type (e.g. single</w:t>
      </w:r>
      <w:r w:rsidR="004005D7">
        <w:rPr>
          <w:rFonts w:ascii="Aptos" w:eastAsia="Aptos" w:hAnsi="Aptos" w:cs="Times New Roman"/>
        </w:rPr>
        <w:t>-</w:t>
      </w:r>
      <w:r w:rsidRPr="00B45F7C">
        <w:rPr>
          <w:rFonts w:ascii="Aptos" w:eastAsia="Aptos" w:hAnsi="Aptos" w:cs="Times New Roman"/>
        </w:rPr>
        <w:t>enterprise agreement, multi-employer agreement). At the time of writing the most recent period covered was the September quarter of 2024 (released 12 December 2024).</w:t>
      </w:r>
    </w:p>
    <w:p w14:paraId="1209A957" w14:textId="56481C72" w:rsidR="0011475D" w:rsidRDefault="00677577" w:rsidP="00677577">
      <w:pPr>
        <w:rPr>
          <w:rFonts w:ascii="Aptos" w:eastAsia="Aptos" w:hAnsi="Aptos" w:cs="Times New Roman"/>
        </w:rPr>
      </w:pPr>
      <w:r w:rsidRPr="00D074AC">
        <w:rPr>
          <w:rFonts w:ascii="Aptos" w:eastAsia="Aptos" w:hAnsi="Aptos" w:cs="Times New Roman"/>
        </w:rPr>
        <w:t xml:space="preserve">Table </w:t>
      </w:r>
      <w:r w:rsidR="00E81910" w:rsidRPr="00D074AC">
        <w:rPr>
          <w:rFonts w:ascii="Aptos" w:eastAsia="Aptos" w:hAnsi="Aptos" w:cs="Times New Roman"/>
        </w:rPr>
        <w:t>5</w:t>
      </w:r>
      <w:r w:rsidR="00E81910">
        <w:rPr>
          <w:rFonts w:ascii="Aptos" w:eastAsia="Aptos" w:hAnsi="Aptos" w:cs="Times New Roman"/>
        </w:rPr>
        <w:t>8</w:t>
      </w:r>
      <w:r w:rsidR="00E81910" w:rsidRPr="00F56A5F">
        <w:rPr>
          <w:rFonts w:ascii="Aptos" w:eastAsia="Aptos" w:hAnsi="Aptos" w:cs="Times New Roman"/>
        </w:rPr>
        <w:t xml:space="preserve"> </w:t>
      </w:r>
      <w:r w:rsidRPr="00F56A5F">
        <w:rPr>
          <w:rFonts w:ascii="Aptos" w:eastAsia="Aptos" w:hAnsi="Aptos" w:cs="Times New Roman"/>
        </w:rPr>
        <w:t>shows trends in number of new approved agreements (column 2) and new approved non-</w:t>
      </w:r>
      <w:r w:rsidRPr="00B45F7C">
        <w:rPr>
          <w:rFonts w:ascii="Aptos" w:eastAsia="Aptos" w:hAnsi="Aptos" w:cs="Times New Roman"/>
        </w:rPr>
        <w:t>union agreements (column 1). The difference between the columns is the number of new approved union agreements. As a proportion of all agreements, the share of non-union agreements being approved is around one-quarter. Non-union new approved agreements cover around 6% of employees, although the share varies across the years. In 2022 the share was 3.7%.</w:t>
      </w:r>
    </w:p>
    <w:p w14:paraId="5926BB8C" w14:textId="05B4A96B" w:rsidR="00677577" w:rsidRPr="00B45F7C" w:rsidRDefault="00844718" w:rsidP="00D074AC">
      <w:pPr>
        <w:pStyle w:val="Caption"/>
      </w:pPr>
      <w:bookmarkStart w:id="977" w:name="_Ref184404935"/>
      <w:bookmarkStart w:id="978" w:name="_Ref186906815"/>
      <w:bookmarkStart w:id="979" w:name="_Toc186906077"/>
      <w:bookmarkStart w:id="980" w:name="_Toc187514213"/>
      <w:bookmarkStart w:id="981" w:name="_Toc189310882"/>
      <w:bookmarkStart w:id="982" w:name="_Toc194251482"/>
      <w:r>
        <w:t xml:space="preserve">Table </w:t>
      </w:r>
      <w:r>
        <w:fldChar w:fldCharType="begin"/>
      </w:r>
      <w:r>
        <w:instrText xml:space="preserve"> SEQ Table \* ARABIC </w:instrText>
      </w:r>
      <w:r>
        <w:fldChar w:fldCharType="separate"/>
      </w:r>
      <w:r w:rsidR="00DE5F5E">
        <w:rPr>
          <w:noProof/>
        </w:rPr>
        <w:t>58</w:t>
      </w:r>
      <w:r>
        <w:fldChar w:fldCharType="end"/>
      </w:r>
      <w:r>
        <w:t xml:space="preserve">: </w:t>
      </w:r>
      <w:bookmarkEnd w:id="977"/>
      <w:bookmarkEnd w:id="978"/>
      <w:r w:rsidR="00677577" w:rsidRPr="00B45F7C">
        <w:t>Number and coverage of new non-union agreements, 2012 to 2024</w:t>
      </w:r>
      <w:bookmarkEnd w:id="979"/>
      <w:bookmarkEnd w:id="980"/>
      <w:bookmarkEnd w:id="981"/>
      <w:bookmarkEnd w:id="982"/>
    </w:p>
    <w:tbl>
      <w:tblPr>
        <w:tblW w:w="5000" w:type="pct"/>
        <w:tblLayout w:type="fixed"/>
        <w:tblLook w:val="04A0" w:firstRow="1" w:lastRow="0" w:firstColumn="1" w:lastColumn="0" w:noHBand="0" w:noVBand="1"/>
      </w:tblPr>
      <w:tblGrid>
        <w:gridCol w:w="1304"/>
        <w:gridCol w:w="1329"/>
        <w:gridCol w:w="1329"/>
        <w:gridCol w:w="1329"/>
        <w:gridCol w:w="1329"/>
        <w:gridCol w:w="1329"/>
        <w:gridCol w:w="1329"/>
      </w:tblGrid>
      <w:tr w:rsidR="00677577" w:rsidRPr="00B45F7C" w14:paraId="59F9D9D9" w14:textId="77777777">
        <w:trPr>
          <w:cantSplit/>
          <w:trHeight w:val="1505"/>
        </w:trPr>
        <w:tc>
          <w:tcPr>
            <w:tcW w:w="703" w:type="pct"/>
            <w:tcBorders>
              <w:top w:val="single" w:sz="8" w:space="0" w:color="auto"/>
              <w:left w:val="single" w:sz="8" w:space="0" w:color="auto"/>
              <w:bottom w:val="single" w:sz="8" w:space="0" w:color="auto"/>
              <w:right w:val="nil"/>
            </w:tcBorders>
            <w:shd w:val="clear" w:color="000000" w:fill="FFFFFF"/>
            <w:hideMark/>
          </w:tcPr>
          <w:p w14:paraId="3DF5DC80" w14:textId="77777777" w:rsidR="00677577" w:rsidRPr="00B45F7C" w:rsidRDefault="00677577">
            <w:pPr>
              <w:keepNext/>
              <w:spacing w:after="0" w:line="240" w:lineRule="auto"/>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 </w:t>
            </w:r>
          </w:p>
        </w:tc>
        <w:tc>
          <w:tcPr>
            <w:tcW w:w="716" w:type="pct"/>
            <w:tcBorders>
              <w:top w:val="single" w:sz="8" w:space="0" w:color="auto"/>
              <w:left w:val="nil"/>
              <w:bottom w:val="single" w:sz="8" w:space="0" w:color="auto"/>
              <w:right w:val="nil"/>
            </w:tcBorders>
            <w:shd w:val="clear" w:color="000000" w:fill="FFFFFF"/>
            <w:hideMark/>
          </w:tcPr>
          <w:p w14:paraId="1C18F0E5" w14:textId="77777777" w:rsidR="00677577" w:rsidRPr="00B45F7C" w:rsidRDefault="00677577" w:rsidP="00D074AC">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No of approved non-union agreements (annual)</w:t>
            </w:r>
          </w:p>
        </w:tc>
        <w:tc>
          <w:tcPr>
            <w:tcW w:w="716" w:type="pct"/>
            <w:tcBorders>
              <w:top w:val="single" w:sz="8" w:space="0" w:color="auto"/>
              <w:left w:val="nil"/>
              <w:bottom w:val="single" w:sz="8" w:space="0" w:color="auto"/>
              <w:right w:val="nil"/>
            </w:tcBorders>
            <w:shd w:val="clear" w:color="000000" w:fill="FFFFFF"/>
            <w:hideMark/>
          </w:tcPr>
          <w:p w14:paraId="03DE453B" w14:textId="77777777" w:rsidR="00677577" w:rsidRPr="00B45F7C" w:rsidRDefault="00677577" w:rsidP="00D074AC">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No of all approved agreements (annual)</w:t>
            </w:r>
          </w:p>
        </w:tc>
        <w:tc>
          <w:tcPr>
            <w:tcW w:w="716" w:type="pct"/>
            <w:tcBorders>
              <w:top w:val="single" w:sz="8" w:space="0" w:color="auto"/>
              <w:left w:val="nil"/>
              <w:bottom w:val="single" w:sz="8" w:space="0" w:color="auto"/>
              <w:right w:val="nil"/>
            </w:tcBorders>
            <w:shd w:val="clear" w:color="000000" w:fill="FFFFFF"/>
            <w:hideMark/>
          </w:tcPr>
          <w:p w14:paraId="01129937" w14:textId="77777777" w:rsidR="00677577" w:rsidRPr="00B45F7C" w:rsidRDefault="00677577" w:rsidP="00D074AC">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 of non-union vs all approved agreements</w:t>
            </w:r>
          </w:p>
        </w:tc>
        <w:tc>
          <w:tcPr>
            <w:tcW w:w="716" w:type="pct"/>
            <w:tcBorders>
              <w:top w:val="single" w:sz="8" w:space="0" w:color="auto"/>
              <w:left w:val="nil"/>
              <w:bottom w:val="single" w:sz="8" w:space="0" w:color="auto"/>
              <w:right w:val="nil"/>
            </w:tcBorders>
            <w:shd w:val="clear" w:color="000000" w:fill="FFFFFF"/>
            <w:hideMark/>
          </w:tcPr>
          <w:p w14:paraId="418C8FF9" w14:textId="77777777" w:rsidR="00677577" w:rsidRPr="00B45F7C" w:rsidRDefault="00677577" w:rsidP="00D074AC">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No of employees covered by approved non-union agreements</w:t>
            </w:r>
          </w:p>
        </w:tc>
        <w:tc>
          <w:tcPr>
            <w:tcW w:w="716" w:type="pct"/>
            <w:tcBorders>
              <w:top w:val="single" w:sz="8" w:space="0" w:color="auto"/>
              <w:left w:val="nil"/>
              <w:bottom w:val="single" w:sz="8" w:space="0" w:color="auto"/>
              <w:right w:val="nil"/>
            </w:tcBorders>
            <w:shd w:val="clear" w:color="000000" w:fill="FFFFFF"/>
            <w:hideMark/>
          </w:tcPr>
          <w:p w14:paraId="487C17C1" w14:textId="77777777" w:rsidR="00677577" w:rsidRPr="00B45F7C" w:rsidRDefault="00677577" w:rsidP="00D074AC">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No of employees covered by all approved agreements</w:t>
            </w:r>
          </w:p>
        </w:tc>
        <w:tc>
          <w:tcPr>
            <w:tcW w:w="716" w:type="pct"/>
            <w:tcBorders>
              <w:top w:val="single" w:sz="8" w:space="0" w:color="auto"/>
              <w:left w:val="nil"/>
              <w:bottom w:val="single" w:sz="8" w:space="0" w:color="auto"/>
              <w:right w:val="single" w:sz="8" w:space="0" w:color="auto"/>
            </w:tcBorders>
            <w:shd w:val="clear" w:color="000000" w:fill="FFFFFF"/>
            <w:hideMark/>
          </w:tcPr>
          <w:p w14:paraId="5BA81350" w14:textId="77777777" w:rsidR="00677577" w:rsidRPr="00B45F7C" w:rsidRDefault="00677577" w:rsidP="00D074AC">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 of employees covered by approved non-union agreements</w:t>
            </w:r>
          </w:p>
        </w:tc>
      </w:tr>
      <w:tr w:rsidR="00677577" w:rsidRPr="00B45F7C" w14:paraId="39FFED5E" w14:textId="77777777">
        <w:trPr>
          <w:cantSplit/>
          <w:trHeight w:val="300"/>
        </w:trPr>
        <w:tc>
          <w:tcPr>
            <w:tcW w:w="703" w:type="pct"/>
            <w:tcBorders>
              <w:top w:val="nil"/>
              <w:left w:val="single" w:sz="8" w:space="0" w:color="auto"/>
              <w:bottom w:val="nil"/>
              <w:right w:val="nil"/>
            </w:tcBorders>
            <w:shd w:val="clear" w:color="C0E6F5" w:fill="FFFFFF"/>
            <w:noWrap/>
          </w:tcPr>
          <w:p w14:paraId="61274859" w14:textId="77777777" w:rsidR="00677577" w:rsidRPr="00B45F7C" w:rsidRDefault="00677577">
            <w:pPr>
              <w:keepNext/>
              <w:spacing w:after="0" w:line="240" w:lineRule="auto"/>
              <w:rPr>
                <w:rFonts w:ascii="Aptos" w:eastAsia="Times New Roman" w:hAnsi="Aptos" w:cs="Calibri"/>
                <w:color w:val="000000"/>
                <w:sz w:val="20"/>
                <w:szCs w:val="20"/>
                <w:lang w:eastAsia="en-AU"/>
              </w:rPr>
            </w:pPr>
          </w:p>
        </w:tc>
        <w:tc>
          <w:tcPr>
            <w:tcW w:w="716" w:type="pct"/>
            <w:tcBorders>
              <w:top w:val="nil"/>
              <w:left w:val="nil"/>
              <w:bottom w:val="nil"/>
              <w:right w:val="nil"/>
            </w:tcBorders>
            <w:shd w:val="clear" w:color="000000" w:fill="FFFFFF"/>
            <w:noWrap/>
            <w:vAlign w:val="bottom"/>
          </w:tcPr>
          <w:p w14:paraId="3B0F7B77" w14:textId="77777777" w:rsidR="00677577" w:rsidRPr="00B45F7C" w:rsidRDefault="00677577" w:rsidP="00D074AC">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(1)</w:t>
            </w:r>
          </w:p>
        </w:tc>
        <w:tc>
          <w:tcPr>
            <w:tcW w:w="716" w:type="pct"/>
            <w:tcBorders>
              <w:top w:val="nil"/>
              <w:left w:val="nil"/>
              <w:bottom w:val="nil"/>
              <w:right w:val="nil"/>
            </w:tcBorders>
            <w:shd w:val="clear" w:color="000000" w:fill="FFFFFF"/>
            <w:noWrap/>
            <w:vAlign w:val="bottom"/>
          </w:tcPr>
          <w:p w14:paraId="5C0044BE" w14:textId="77777777" w:rsidR="00677577" w:rsidRPr="00B45F7C" w:rsidRDefault="00677577" w:rsidP="00D074AC">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(2)</w:t>
            </w:r>
          </w:p>
        </w:tc>
        <w:tc>
          <w:tcPr>
            <w:tcW w:w="716" w:type="pct"/>
            <w:tcBorders>
              <w:top w:val="nil"/>
              <w:left w:val="nil"/>
              <w:bottom w:val="nil"/>
              <w:right w:val="nil"/>
            </w:tcBorders>
            <w:shd w:val="clear" w:color="000000" w:fill="FFFFFF"/>
            <w:noWrap/>
            <w:vAlign w:val="bottom"/>
          </w:tcPr>
          <w:p w14:paraId="115A15ED" w14:textId="77777777" w:rsidR="00677577" w:rsidRPr="00B45F7C" w:rsidRDefault="00677577" w:rsidP="00D074AC">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(3)</w:t>
            </w:r>
          </w:p>
        </w:tc>
        <w:tc>
          <w:tcPr>
            <w:tcW w:w="716" w:type="pct"/>
            <w:tcBorders>
              <w:top w:val="nil"/>
              <w:left w:val="nil"/>
              <w:bottom w:val="nil"/>
              <w:right w:val="nil"/>
            </w:tcBorders>
            <w:shd w:val="clear" w:color="000000" w:fill="FFFFFF"/>
            <w:noWrap/>
            <w:vAlign w:val="bottom"/>
          </w:tcPr>
          <w:p w14:paraId="4807E3F6" w14:textId="77777777" w:rsidR="00677577" w:rsidRPr="00B45F7C" w:rsidRDefault="00677577" w:rsidP="00D074AC">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(4)</w:t>
            </w:r>
          </w:p>
        </w:tc>
        <w:tc>
          <w:tcPr>
            <w:tcW w:w="716" w:type="pct"/>
            <w:tcBorders>
              <w:top w:val="nil"/>
              <w:left w:val="nil"/>
              <w:bottom w:val="nil"/>
              <w:right w:val="nil"/>
            </w:tcBorders>
            <w:shd w:val="clear" w:color="000000" w:fill="FFFFFF"/>
            <w:noWrap/>
            <w:vAlign w:val="bottom"/>
          </w:tcPr>
          <w:p w14:paraId="71C13D6A" w14:textId="77777777" w:rsidR="00677577" w:rsidRPr="00B45F7C" w:rsidRDefault="00677577" w:rsidP="00D074AC">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(5)</w:t>
            </w:r>
          </w:p>
        </w:tc>
        <w:tc>
          <w:tcPr>
            <w:tcW w:w="716" w:type="pct"/>
            <w:tcBorders>
              <w:top w:val="nil"/>
              <w:left w:val="nil"/>
              <w:bottom w:val="nil"/>
              <w:right w:val="single" w:sz="8" w:space="0" w:color="auto"/>
            </w:tcBorders>
            <w:shd w:val="clear" w:color="000000" w:fill="FFFFFF"/>
            <w:noWrap/>
            <w:vAlign w:val="bottom"/>
          </w:tcPr>
          <w:p w14:paraId="1D5DFEAD" w14:textId="77777777" w:rsidR="00677577" w:rsidRPr="00B45F7C" w:rsidRDefault="00677577" w:rsidP="00D074AC">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(6)</w:t>
            </w:r>
          </w:p>
        </w:tc>
      </w:tr>
      <w:tr w:rsidR="00677577" w:rsidRPr="00B45F7C" w14:paraId="6448079E" w14:textId="77777777">
        <w:trPr>
          <w:cantSplit/>
          <w:trHeight w:val="300"/>
        </w:trPr>
        <w:tc>
          <w:tcPr>
            <w:tcW w:w="703" w:type="pct"/>
            <w:tcBorders>
              <w:top w:val="nil"/>
              <w:left w:val="single" w:sz="8" w:space="0" w:color="auto"/>
              <w:bottom w:val="nil"/>
              <w:right w:val="nil"/>
            </w:tcBorders>
            <w:shd w:val="clear" w:color="C0E6F5" w:fill="FFFFFF"/>
            <w:noWrap/>
            <w:hideMark/>
          </w:tcPr>
          <w:p w14:paraId="2A4203AB" w14:textId="77777777" w:rsidR="00677577" w:rsidRPr="00B45F7C" w:rsidRDefault="00677577">
            <w:pPr>
              <w:keepNext/>
              <w:spacing w:after="0" w:line="240" w:lineRule="auto"/>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2012</w:t>
            </w:r>
          </w:p>
        </w:tc>
        <w:tc>
          <w:tcPr>
            <w:tcW w:w="716" w:type="pct"/>
            <w:tcBorders>
              <w:top w:val="nil"/>
              <w:left w:val="nil"/>
              <w:bottom w:val="nil"/>
              <w:right w:val="nil"/>
            </w:tcBorders>
            <w:shd w:val="clear" w:color="000000" w:fill="FFFFFF"/>
            <w:noWrap/>
            <w:vAlign w:val="bottom"/>
            <w:hideMark/>
          </w:tcPr>
          <w:p w14:paraId="41938CC4"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1,854</w:t>
            </w:r>
          </w:p>
        </w:tc>
        <w:tc>
          <w:tcPr>
            <w:tcW w:w="716" w:type="pct"/>
            <w:tcBorders>
              <w:top w:val="nil"/>
              <w:left w:val="nil"/>
              <w:bottom w:val="nil"/>
              <w:right w:val="nil"/>
            </w:tcBorders>
            <w:shd w:val="clear" w:color="000000" w:fill="FFFFFF"/>
            <w:noWrap/>
            <w:vAlign w:val="bottom"/>
            <w:hideMark/>
          </w:tcPr>
          <w:p w14:paraId="548C0648"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8,229</w:t>
            </w:r>
          </w:p>
        </w:tc>
        <w:tc>
          <w:tcPr>
            <w:tcW w:w="716" w:type="pct"/>
            <w:tcBorders>
              <w:top w:val="nil"/>
              <w:left w:val="nil"/>
              <w:bottom w:val="nil"/>
              <w:right w:val="nil"/>
            </w:tcBorders>
            <w:shd w:val="clear" w:color="000000" w:fill="FFFFFF"/>
            <w:noWrap/>
            <w:vAlign w:val="bottom"/>
            <w:hideMark/>
          </w:tcPr>
          <w:p w14:paraId="1AD9D226"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22.5%</w:t>
            </w:r>
          </w:p>
        </w:tc>
        <w:tc>
          <w:tcPr>
            <w:tcW w:w="716" w:type="pct"/>
            <w:tcBorders>
              <w:top w:val="nil"/>
              <w:left w:val="nil"/>
              <w:bottom w:val="nil"/>
              <w:right w:val="nil"/>
            </w:tcBorders>
            <w:shd w:val="clear" w:color="000000" w:fill="FFFFFF"/>
            <w:noWrap/>
            <w:vAlign w:val="bottom"/>
            <w:hideMark/>
          </w:tcPr>
          <w:p w14:paraId="315FB50D"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57,858</w:t>
            </w:r>
          </w:p>
        </w:tc>
        <w:tc>
          <w:tcPr>
            <w:tcW w:w="716" w:type="pct"/>
            <w:tcBorders>
              <w:top w:val="nil"/>
              <w:left w:val="nil"/>
              <w:bottom w:val="nil"/>
              <w:right w:val="nil"/>
            </w:tcBorders>
            <w:shd w:val="clear" w:color="000000" w:fill="FFFFFF"/>
            <w:noWrap/>
            <w:vAlign w:val="bottom"/>
            <w:hideMark/>
          </w:tcPr>
          <w:p w14:paraId="3FB184DF"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1,026,007</w:t>
            </w:r>
          </w:p>
        </w:tc>
        <w:tc>
          <w:tcPr>
            <w:tcW w:w="716" w:type="pct"/>
            <w:tcBorders>
              <w:top w:val="nil"/>
              <w:left w:val="nil"/>
              <w:bottom w:val="nil"/>
              <w:right w:val="single" w:sz="8" w:space="0" w:color="auto"/>
            </w:tcBorders>
            <w:shd w:val="clear" w:color="000000" w:fill="FFFFFF"/>
            <w:noWrap/>
            <w:vAlign w:val="bottom"/>
            <w:hideMark/>
          </w:tcPr>
          <w:p w14:paraId="18432DFD"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5.6%</w:t>
            </w:r>
          </w:p>
        </w:tc>
      </w:tr>
      <w:tr w:rsidR="00677577" w:rsidRPr="00B45F7C" w14:paraId="4011B630" w14:textId="77777777">
        <w:trPr>
          <w:cantSplit/>
          <w:trHeight w:val="300"/>
        </w:trPr>
        <w:tc>
          <w:tcPr>
            <w:tcW w:w="703" w:type="pct"/>
            <w:tcBorders>
              <w:top w:val="nil"/>
              <w:left w:val="single" w:sz="8" w:space="0" w:color="auto"/>
              <w:bottom w:val="nil"/>
              <w:right w:val="nil"/>
            </w:tcBorders>
            <w:shd w:val="clear" w:color="C0E6F5" w:fill="FFFFFF"/>
            <w:noWrap/>
            <w:hideMark/>
          </w:tcPr>
          <w:p w14:paraId="3A5927E4" w14:textId="77777777" w:rsidR="00677577" w:rsidRPr="00B45F7C" w:rsidRDefault="00677577">
            <w:pPr>
              <w:keepNext/>
              <w:spacing w:after="0" w:line="240" w:lineRule="auto"/>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2013</w:t>
            </w:r>
          </w:p>
        </w:tc>
        <w:tc>
          <w:tcPr>
            <w:tcW w:w="716" w:type="pct"/>
            <w:tcBorders>
              <w:top w:val="nil"/>
              <w:left w:val="nil"/>
              <w:bottom w:val="nil"/>
              <w:right w:val="nil"/>
            </w:tcBorders>
            <w:shd w:val="clear" w:color="000000" w:fill="FFFFFF"/>
            <w:noWrap/>
            <w:vAlign w:val="bottom"/>
            <w:hideMark/>
          </w:tcPr>
          <w:p w14:paraId="095C3A76"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1,874</w:t>
            </w:r>
          </w:p>
        </w:tc>
        <w:tc>
          <w:tcPr>
            <w:tcW w:w="716" w:type="pct"/>
            <w:tcBorders>
              <w:top w:val="nil"/>
              <w:left w:val="nil"/>
              <w:bottom w:val="nil"/>
              <w:right w:val="nil"/>
            </w:tcBorders>
            <w:shd w:val="clear" w:color="000000" w:fill="FFFFFF"/>
            <w:noWrap/>
            <w:vAlign w:val="bottom"/>
            <w:hideMark/>
          </w:tcPr>
          <w:p w14:paraId="323B722C"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6,697</w:t>
            </w:r>
          </w:p>
        </w:tc>
        <w:tc>
          <w:tcPr>
            <w:tcW w:w="716" w:type="pct"/>
            <w:tcBorders>
              <w:top w:val="nil"/>
              <w:left w:val="nil"/>
              <w:bottom w:val="nil"/>
              <w:right w:val="nil"/>
            </w:tcBorders>
            <w:shd w:val="clear" w:color="000000" w:fill="FFFFFF"/>
            <w:noWrap/>
            <w:vAlign w:val="bottom"/>
            <w:hideMark/>
          </w:tcPr>
          <w:p w14:paraId="2D97C964"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28.0%</w:t>
            </w:r>
          </w:p>
        </w:tc>
        <w:tc>
          <w:tcPr>
            <w:tcW w:w="716" w:type="pct"/>
            <w:tcBorders>
              <w:top w:val="nil"/>
              <w:left w:val="nil"/>
              <w:bottom w:val="nil"/>
              <w:right w:val="nil"/>
            </w:tcBorders>
            <w:shd w:val="clear" w:color="000000" w:fill="FFFFFF"/>
            <w:noWrap/>
            <w:vAlign w:val="bottom"/>
            <w:hideMark/>
          </w:tcPr>
          <w:p w14:paraId="3315DF24"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61,819</w:t>
            </w:r>
          </w:p>
        </w:tc>
        <w:tc>
          <w:tcPr>
            <w:tcW w:w="716" w:type="pct"/>
            <w:tcBorders>
              <w:top w:val="nil"/>
              <w:left w:val="nil"/>
              <w:bottom w:val="nil"/>
              <w:right w:val="nil"/>
            </w:tcBorders>
            <w:shd w:val="clear" w:color="000000" w:fill="FFFFFF"/>
            <w:noWrap/>
            <w:vAlign w:val="bottom"/>
            <w:hideMark/>
          </w:tcPr>
          <w:p w14:paraId="691E2B70"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914,029</w:t>
            </w:r>
          </w:p>
        </w:tc>
        <w:tc>
          <w:tcPr>
            <w:tcW w:w="716" w:type="pct"/>
            <w:tcBorders>
              <w:top w:val="nil"/>
              <w:left w:val="nil"/>
              <w:bottom w:val="nil"/>
              <w:right w:val="single" w:sz="8" w:space="0" w:color="auto"/>
            </w:tcBorders>
            <w:shd w:val="clear" w:color="000000" w:fill="FFFFFF"/>
            <w:noWrap/>
            <w:vAlign w:val="bottom"/>
            <w:hideMark/>
          </w:tcPr>
          <w:p w14:paraId="45754CD7"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6.8%</w:t>
            </w:r>
          </w:p>
        </w:tc>
      </w:tr>
      <w:tr w:rsidR="00677577" w:rsidRPr="00B45F7C" w14:paraId="55E21D67" w14:textId="77777777">
        <w:trPr>
          <w:cantSplit/>
          <w:trHeight w:val="300"/>
        </w:trPr>
        <w:tc>
          <w:tcPr>
            <w:tcW w:w="703" w:type="pct"/>
            <w:tcBorders>
              <w:top w:val="nil"/>
              <w:left w:val="single" w:sz="8" w:space="0" w:color="auto"/>
              <w:bottom w:val="nil"/>
              <w:right w:val="nil"/>
            </w:tcBorders>
            <w:shd w:val="clear" w:color="C0E6F5" w:fill="FFFFFF"/>
            <w:noWrap/>
            <w:hideMark/>
          </w:tcPr>
          <w:p w14:paraId="0287205D" w14:textId="77777777" w:rsidR="00677577" w:rsidRPr="00B45F7C" w:rsidRDefault="00677577">
            <w:pPr>
              <w:keepNext/>
              <w:spacing w:after="0" w:line="240" w:lineRule="auto"/>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2014</w:t>
            </w:r>
          </w:p>
        </w:tc>
        <w:tc>
          <w:tcPr>
            <w:tcW w:w="716" w:type="pct"/>
            <w:tcBorders>
              <w:top w:val="nil"/>
              <w:left w:val="nil"/>
              <w:bottom w:val="nil"/>
              <w:right w:val="nil"/>
            </w:tcBorders>
            <w:shd w:val="clear" w:color="000000" w:fill="FFFFFF"/>
            <w:noWrap/>
            <w:vAlign w:val="bottom"/>
            <w:hideMark/>
          </w:tcPr>
          <w:p w14:paraId="14F149DC"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1,763</w:t>
            </w:r>
          </w:p>
        </w:tc>
        <w:tc>
          <w:tcPr>
            <w:tcW w:w="716" w:type="pct"/>
            <w:tcBorders>
              <w:top w:val="nil"/>
              <w:left w:val="nil"/>
              <w:bottom w:val="nil"/>
              <w:right w:val="nil"/>
            </w:tcBorders>
            <w:shd w:val="clear" w:color="000000" w:fill="FFFFFF"/>
            <w:noWrap/>
            <w:vAlign w:val="bottom"/>
            <w:hideMark/>
          </w:tcPr>
          <w:p w14:paraId="07AB27A3"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5,671</w:t>
            </w:r>
          </w:p>
        </w:tc>
        <w:tc>
          <w:tcPr>
            <w:tcW w:w="716" w:type="pct"/>
            <w:tcBorders>
              <w:top w:val="nil"/>
              <w:left w:val="nil"/>
              <w:bottom w:val="nil"/>
              <w:right w:val="nil"/>
            </w:tcBorders>
            <w:shd w:val="clear" w:color="000000" w:fill="FFFFFF"/>
            <w:noWrap/>
            <w:vAlign w:val="bottom"/>
            <w:hideMark/>
          </w:tcPr>
          <w:p w14:paraId="4C1C50DC"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31.1%</w:t>
            </w:r>
          </w:p>
        </w:tc>
        <w:tc>
          <w:tcPr>
            <w:tcW w:w="716" w:type="pct"/>
            <w:tcBorders>
              <w:top w:val="nil"/>
              <w:left w:val="nil"/>
              <w:bottom w:val="nil"/>
              <w:right w:val="nil"/>
            </w:tcBorders>
            <w:shd w:val="clear" w:color="000000" w:fill="FFFFFF"/>
            <w:noWrap/>
            <w:vAlign w:val="bottom"/>
            <w:hideMark/>
          </w:tcPr>
          <w:p w14:paraId="7556EE0C"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69,356</w:t>
            </w:r>
          </w:p>
        </w:tc>
        <w:tc>
          <w:tcPr>
            <w:tcW w:w="716" w:type="pct"/>
            <w:tcBorders>
              <w:top w:val="nil"/>
              <w:left w:val="nil"/>
              <w:bottom w:val="nil"/>
              <w:right w:val="nil"/>
            </w:tcBorders>
            <w:shd w:val="clear" w:color="000000" w:fill="FFFFFF"/>
            <w:noWrap/>
            <w:vAlign w:val="bottom"/>
            <w:hideMark/>
          </w:tcPr>
          <w:p w14:paraId="22F7324E"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803,224</w:t>
            </w:r>
          </w:p>
        </w:tc>
        <w:tc>
          <w:tcPr>
            <w:tcW w:w="716" w:type="pct"/>
            <w:tcBorders>
              <w:top w:val="nil"/>
              <w:left w:val="nil"/>
              <w:bottom w:val="nil"/>
              <w:right w:val="single" w:sz="8" w:space="0" w:color="auto"/>
            </w:tcBorders>
            <w:shd w:val="clear" w:color="000000" w:fill="FFFFFF"/>
            <w:noWrap/>
            <w:vAlign w:val="bottom"/>
            <w:hideMark/>
          </w:tcPr>
          <w:p w14:paraId="00519C34"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8.6%</w:t>
            </w:r>
          </w:p>
        </w:tc>
      </w:tr>
      <w:tr w:rsidR="00677577" w:rsidRPr="00B45F7C" w14:paraId="3A7D8C2C" w14:textId="77777777">
        <w:trPr>
          <w:cantSplit/>
          <w:trHeight w:val="300"/>
        </w:trPr>
        <w:tc>
          <w:tcPr>
            <w:tcW w:w="703" w:type="pct"/>
            <w:tcBorders>
              <w:top w:val="nil"/>
              <w:left w:val="single" w:sz="8" w:space="0" w:color="auto"/>
              <w:bottom w:val="nil"/>
              <w:right w:val="nil"/>
            </w:tcBorders>
            <w:shd w:val="clear" w:color="C0E6F5" w:fill="FFFFFF"/>
            <w:noWrap/>
            <w:hideMark/>
          </w:tcPr>
          <w:p w14:paraId="5E8EE032" w14:textId="77777777" w:rsidR="00677577" w:rsidRPr="00B45F7C" w:rsidRDefault="00677577">
            <w:pPr>
              <w:keepNext/>
              <w:spacing w:after="0" w:line="240" w:lineRule="auto"/>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2015</w:t>
            </w:r>
          </w:p>
        </w:tc>
        <w:tc>
          <w:tcPr>
            <w:tcW w:w="716" w:type="pct"/>
            <w:tcBorders>
              <w:top w:val="nil"/>
              <w:left w:val="nil"/>
              <w:bottom w:val="nil"/>
              <w:right w:val="nil"/>
            </w:tcBorders>
            <w:shd w:val="clear" w:color="000000" w:fill="FFFFFF"/>
            <w:noWrap/>
            <w:vAlign w:val="bottom"/>
            <w:hideMark/>
          </w:tcPr>
          <w:p w14:paraId="2A3BB5FB"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1,622</w:t>
            </w:r>
          </w:p>
        </w:tc>
        <w:tc>
          <w:tcPr>
            <w:tcW w:w="716" w:type="pct"/>
            <w:tcBorders>
              <w:top w:val="nil"/>
              <w:left w:val="nil"/>
              <w:bottom w:val="nil"/>
              <w:right w:val="nil"/>
            </w:tcBorders>
            <w:shd w:val="clear" w:color="000000" w:fill="FFFFFF"/>
            <w:noWrap/>
            <w:vAlign w:val="bottom"/>
            <w:hideMark/>
          </w:tcPr>
          <w:p w14:paraId="4FC13387"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4,998</w:t>
            </w:r>
          </w:p>
        </w:tc>
        <w:tc>
          <w:tcPr>
            <w:tcW w:w="716" w:type="pct"/>
            <w:tcBorders>
              <w:top w:val="nil"/>
              <w:left w:val="nil"/>
              <w:bottom w:val="nil"/>
              <w:right w:val="nil"/>
            </w:tcBorders>
            <w:shd w:val="clear" w:color="000000" w:fill="FFFFFF"/>
            <w:noWrap/>
            <w:vAlign w:val="bottom"/>
            <w:hideMark/>
          </w:tcPr>
          <w:p w14:paraId="41E2979C"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32.5%</w:t>
            </w:r>
          </w:p>
        </w:tc>
        <w:tc>
          <w:tcPr>
            <w:tcW w:w="716" w:type="pct"/>
            <w:tcBorders>
              <w:top w:val="nil"/>
              <w:left w:val="nil"/>
              <w:bottom w:val="nil"/>
              <w:right w:val="nil"/>
            </w:tcBorders>
            <w:shd w:val="clear" w:color="000000" w:fill="FFFFFF"/>
            <w:noWrap/>
            <w:vAlign w:val="bottom"/>
            <w:hideMark/>
          </w:tcPr>
          <w:p w14:paraId="2CDF2625"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64,671</w:t>
            </w:r>
          </w:p>
        </w:tc>
        <w:tc>
          <w:tcPr>
            <w:tcW w:w="716" w:type="pct"/>
            <w:tcBorders>
              <w:top w:val="nil"/>
              <w:left w:val="nil"/>
              <w:bottom w:val="nil"/>
              <w:right w:val="nil"/>
            </w:tcBorders>
            <w:shd w:val="clear" w:color="000000" w:fill="FFFFFF"/>
            <w:noWrap/>
            <w:vAlign w:val="bottom"/>
            <w:hideMark/>
          </w:tcPr>
          <w:p w14:paraId="07C7378E"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643,785</w:t>
            </w:r>
          </w:p>
        </w:tc>
        <w:tc>
          <w:tcPr>
            <w:tcW w:w="716" w:type="pct"/>
            <w:tcBorders>
              <w:top w:val="nil"/>
              <w:left w:val="nil"/>
              <w:bottom w:val="nil"/>
              <w:right w:val="single" w:sz="8" w:space="0" w:color="auto"/>
            </w:tcBorders>
            <w:shd w:val="clear" w:color="000000" w:fill="FFFFFF"/>
            <w:noWrap/>
            <w:vAlign w:val="bottom"/>
            <w:hideMark/>
          </w:tcPr>
          <w:p w14:paraId="00AAFB76"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10.0%</w:t>
            </w:r>
          </w:p>
        </w:tc>
      </w:tr>
      <w:tr w:rsidR="00677577" w:rsidRPr="00B45F7C" w14:paraId="20009742" w14:textId="77777777">
        <w:trPr>
          <w:cantSplit/>
          <w:trHeight w:val="300"/>
        </w:trPr>
        <w:tc>
          <w:tcPr>
            <w:tcW w:w="703" w:type="pct"/>
            <w:tcBorders>
              <w:top w:val="nil"/>
              <w:left w:val="single" w:sz="8" w:space="0" w:color="auto"/>
              <w:bottom w:val="nil"/>
              <w:right w:val="nil"/>
            </w:tcBorders>
            <w:shd w:val="clear" w:color="C0E6F5" w:fill="FFFFFF"/>
            <w:noWrap/>
            <w:hideMark/>
          </w:tcPr>
          <w:p w14:paraId="7D775790" w14:textId="77777777" w:rsidR="00677577" w:rsidRPr="00B45F7C" w:rsidRDefault="00677577">
            <w:pPr>
              <w:keepNext/>
              <w:spacing w:after="0" w:line="240" w:lineRule="auto"/>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2016</w:t>
            </w:r>
          </w:p>
        </w:tc>
        <w:tc>
          <w:tcPr>
            <w:tcW w:w="716" w:type="pct"/>
            <w:tcBorders>
              <w:top w:val="nil"/>
              <w:left w:val="nil"/>
              <w:bottom w:val="nil"/>
              <w:right w:val="nil"/>
            </w:tcBorders>
            <w:shd w:val="clear" w:color="000000" w:fill="FFFFFF"/>
            <w:noWrap/>
            <w:vAlign w:val="bottom"/>
            <w:hideMark/>
          </w:tcPr>
          <w:p w14:paraId="666723F9"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1,389</w:t>
            </w:r>
          </w:p>
        </w:tc>
        <w:tc>
          <w:tcPr>
            <w:tcW w:w="716" w:type="pct"/>
            <w:tcBorders>
              <w:top w:val="nil"/>
              <w:left w:val="nil"/>
              <w:bottom w:val="nil"/>
              <w:right w:val="nil"/>
            </w:tcBorders>
            <w:shd w:val="clear" w:color="000000" w:fill="FFFFFF"/>
            <w:noWrap/>
            <w:vAlign w:val="bottom"/>
            <w:hideMark/>
          </w:tcPr>
          <w:p w14:paraId="1DDC009E"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5,196</w:t>
            </w:r>
          </w:p>
        </w:tc>
        <w:tc>
          <w:tcPr>
            <w:tcW w:w="716" w:type="pct"/>
            <w:tcBorders>
              <w:top w:val="nil"/>
              <w:left w:val="nil"/>
              <w:bottom w:val="nil"/>
              <w:right w:val="nil"/>
            </w:tcBorders>
            <w:shd w:val="clear" w:color="000000" w:fill="FFFFFF"/>
            <w:noWrap/>
            <w:vAlign w:val="bottom"/>
            <w:hideMark/>
          </w:tcPr>
          <w:p w14:paraId="1C107C3A"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26.7%</w:t>
            </w:r>
          </w:p>
        </w:tc>
        <w:tc>
          <w:tcPr>
            <w:tcW w:w="716" w:type="pct"/>
            <w:tcBorders>
              <w:top w:val="nil"/>
              <w:left w:val="nil"/>
              <w:bottom w:val="nil"/>
              <w:right w:val="nil"/>
            </w:tcBorders>
            <w:shd w:val="clear" w:color="000000" w:fill="FFFFFF"/>
            <w:noWrap/>
            <w:vAlign w:val="bottom"/>
            <w:hideMark/>
          </w:tcPr>
          <w:p w14:paraId="3F7A73D8"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43,658</w:t>
            </w:r>
          </w:p>
        </w:tc>
        <w:tc>
          <w:tcPr>
            <w:tcW w:w="716" w:type="pct"/>
            <w:tcBorders>
              <w:top w:val="nil"/>
              <w:left w:val="nil"/>
              <w:bottom w:val="nil"/>
              <w:right w:val="nil"/>
            </w:tcBorders>
            <w:shd w:val="clear" w:color="000000" w:fill="FFFFFF"/>
            <w:noWrap/>
            <w:vAlign w:val="bottom"/>
            <w:hideMark/>
          </w:tcPr>
          <w:p w14:paraId="57BAF6D7"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663,126</w:t>
            </w:r>
          </w:p>
        </w:tc>
        <w:tc>
          <w:tcPr>
            <w:tcW w:w="716" w:type="pct"/>
            <w:tcBorders>
              <w:top w:val="nil"/>
              <w:left w:val="nil"/>
              <w:bottom w:val="nil"/>
              <w:right w:val="single" w:sz="8" w:space="0" w:color="auto"/>
            </w:tcBorders>
            <w:shd w:val="clear" w:color="000000" w:fill="FFFFFF"/>
            <w:noWrap/>
            <w:vAlign w:val="bottom"/>
            <w:hideMark/>
          </w:tcPr>
          <w:p w14:paraId="3A9C79FC"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6.6%</w:t>
            </w:r>
          </w:p>
        </w:tc>
      </w:tr>
      <w:tr w:rsidR="00677577" w:rsidRPr="00B45F7C" w14:paraId="0934FF63" w14:textId="77777777">
        <w:trPr>
          <w:cantSplit/>
          <w:trHeight w:val="300"/>
        </w:trPr>
        <w:tc>
          <w:tcPr>
            <w:tcW w:w="703" w:type="pct"/>
            <w:tcBorders>
              <w:top w:val="nil"/>
              <w:left w:val="single" w:sz="8" w:space="0" w:color="auto"/>
              <w:bottom w:val="nil"/>
              <w:right w:val="nil"/>
            </w:tcBorders>
            <w:shd w:val="clear" w:color="C0E6F5" w:fill="FFFFFF"/>
            <w:noWrap/>
            <w:hideMark/>
          </w:tcPr>
          <w:p w14:paraId="51B7893B" w14:textId="77777777" w:rsidR="00677577" w:rsidRPr="00B45F7C" w:rsidRDefault="00677577">
            <w:pPr>
              <w:keepNext/>
              <w:spacing w:after="0" w:line="240" w:lineRule="auto"/>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2017</w:t>
            </w:r>
          </w:p>
        </w:tc>
        <w:tc>
          <w:tcPr>
            <w:tcW w:w="716" w:type="pct"/>
            <w:tcBorders>
              <w:top w:val="nil"/>
              <w:left w:val="nil"/>
              <w:bottom w:val="nil"/>
              <w:right w:val="nil"/>
            </w:tcBorders>
            <w:shd w:val="clear" w:color="000000" w:fill="FFFFFF"/>
            <w:noWrap/>
            <w:vAlign w:val="bottom"/>
            <w:hideMark/>
          </w:tcPr>
          <w:p w14:paraId="09187680"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975</w:t>
            </w:r>
          </w:p>
        </w:tc>
        <w:tc>
          <w:tcPr>
            <w:tcW w:w="716" w:type="pct"/>
            <w:tcBorders>
              <w:top w:val="nil"/>
              <w:left w:val="nil"/>
              <w:bottom w:val="nil"/>
              <w:right w:val="nil"/>
            </w:tcBorders>
            <w:shd w:val="clear" w:color="000000" w:fill="FFFFFF"/>
            <w:noWrap/>
            <w:vAlign w:val="bottom"/>
            <w:hideMark/>
          </w:tcPr>
          <w:p w14:paraId="0A86CCB8"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3,542</w:t>
            </w:r>
          </w:p>
        </w:tc>
        <w:tc>
          <w:tcPr>
            <w:tcW w:w="716" w:type="pct"/>
            <w:tcBorders>
              <w:top w:val="nil"/>
              <w:left w:val="nil"/>
              <w:bottom w:val="nil"/>
              <w:right w:val="nil"/>
            </w:tcBorders>
            <w:shd w:val="clear" w:color="000000" w:fill="FFFFFF"/>
            <w:noWrap/>
            <w:vAlign w:val="bottom"/>
            <w:hideMark/>
          </w:tcPr>
          <w:p w14:paraId="70685581"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27.5%</w:t>
            </w:r>
          </w:p>
        </w:tc>
        <w:tc>
          <w:tcPr>
            <w:tcW w:w="716" w:type="pct"/>
            <w:tcBorders>
              <w:top w:val="nil"/>
              <w:left w:val="nil"/>
              <w:bottom w:val="nil"/>
              <w:right w:val="nil"/>
            </w:tcBorders>
            <w:shd w:val="clear" w:color="000000" w:fill="FFFFFF"/>
            <w:noWrap/>
            <w:vAlign w:val="bottom"/>
            <w:hideMark/>
          </w:tcPr>
          <w:p w14:paraId="6DA52B93"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32,413</w:t>
            </w:r>
          </w:p>
        </w:tc>
        <w:tc>
          <w:tcPr>
            <w:tcW w:w="716" w:type="pct"/>
            <w:tcBorders>
              <w:top w:val="nil"/>
              <w:left w:val="nil"/>
              <w:bottom w:val="nil"/>
              <w:right w:val="nil"/>
            </w:tcBorders>
            <w:shd w:val="clear" w:color="000000" w:fill="FFFFFF"/>
            <w:noWrap/>
            <w:vAlign w:val="bottom"/>
            <w:hideMark/>
          </w:tcPr>
          <w:p w14:paraId="74858E06"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652,206</w:t>
            </w:r>
          </w:p>
        </w:tc>
        <w:tc>
          <w:tcPr>
            <w:tcW w:w="716" w:type="pct"/>
            <w:tcBorders>
              <w:top w:val="nil"/>
              <w:left w:val="nil"/>
              <w:bottom w:val="nil"/>
              <w:right w:val="single" w:sz="8" w:space="0" w:color="auto"/>
            </w:tcBorders>
            <w:shd w:val="clear" w:color="000000" w:fill="FFFFFF"/>
            <w:noWrap/>
            <w:vAlign w:val="bottom"/>
            <w:hideMark/>
          </w:tcPr>
          <w:p w14:paraId="42A68479"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5.0%</w:t>
            </w:r>
          </w:p>
        </w:tc>
      </w:tr>
      <w:tr w:rsidR="00677577" w:rsidRPr="00B45F7C" w14:paraId="401069AB" w14:textId="77777777">
        <w:trPr>
          <w:cantSplit/>
          <w:trHeight w:val="300"/>
        </w:trPr>
        <w:tc>
          <w:tcPr>
            <w:tcW w:w="703" w:type="pct"/>
            <w:tcBorders>
              <w:top w:val="nil"/>
              <w:left w:val="single" w:sz="8" w:space="0" w:color="auto"/>
              <w:bottom w:val="nil"/>
              <w:right w:val="nil"/>
            </w:tcBorders>
            <w:shd w:val="clear" w:color="C0E6F5" w:fill="FFFFFF"/>
            <w:noWrap/>
            <w:hideMark/>
          </w:tcPr>
          <w:p w14:paraId="51361BE1" w14:textId="77777777" w:rsidR="00677577" w:rsidRPr="00B45F7C" w:rsidRDefault="00677577">
            <w:pPr>
              <w:keepNext/>
              <w:spacing w:after="0" w:line="240" w:lineRule="auto"/>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2018</w:t>
            </w:r>
          </w:p>
        </w:tc>
        <w:tc>
          <w:tcPr>
            <w:tcW w:w="716" w:type="pct"/>
            <w:tcBorders>
              <w:top w:val="nil"/>
              <w:left w:val="nil"/>
              <w:bottom w:val="nil"/>
              <w:right w:val="nil"/>
            </w:tcBorders>
            <w:shd w:val="clear" w:color="000000" w:fill="FFFFFF"/>
            <w:noWrap/>
            <w:vAlign w:val="bottom"/>
            <w:hideMark/>
          </w:tcPr>
          <w:p w14:paraId="23D8794E"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865</w:t>
            </w:r>
          </w:p>
        </w:tc>
        <w:tc>
          <w:tcPr>
            <w:tcW w:w="716" w:type="pct"/>
            <w:tcBorders>
              <w:top w:val="nil"/>
              <w:left w:val="nil"/>
              <w:bottom w:val="nil"/>
              <w:right w:val="nil"/>
            </w:tcBorders>
            <w:shd w:val="clear" w:color="000000" w:fill="FFFFFF"/>
            <w:noWrap/>
            <w:vAlign w:val="bottom"/>
            <w:hideMark/>
          </w:tcPr>
          <w:p w14:paraId="42B274C3"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3,864</w:t>
            </w:r>
          </w:p>
        </w:tc>
        <w:tc>
          <w:tcPr>
            <w:tcW w:w="716" w:type="pct"/>
            <w:tcBorders>
              <w:top w:val="nil"/>
              <w:left w:val="nil"/>
              <w:bottom w:val="nil"/>
              <w:right w:val="nil"/>
            </w:tcBorders>
            <w:shd w:val="clear" w:color="000000" w:fill="FFFFFF"/>
            <w:noWrap/>
            <w:vAlign w:val="bottom"/>
            <w:hideMark/>
          </w:tcPr>
          <w:p w14:paraId="533624FF"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22.4%</w:t>
            </w:r>
          </w:p>
        </w:tc>
        <w:tc>
          <w:tcPr>
            <w:tcW w:w="716" w:type="pct"/>
            <w:tcBorders>
              <w:top w:val="nil"/>
              <w:left w:val="nil"/>
              <w:bottom w:val="nil"/>
              <w:right w:val="nil"/>
            </w:tcBorders>
            <w:shd w:val="clear" w:color="000000" w:fill="FFFFFF"/>
            <w:noWrap/>
            <w:vAlign w:val="bottom"/>
            <w:hideMark/>
          </w:tcPr>
          <w:p w14:paraId="5F362167"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25,547</w:t>
            </w:r>
          </w:p>
        </w:tc>
        <w:tc>
          <w:tcPr>
            <w:tcW w:w="716" w:type="pct"/>
            <w:tcBorders>
              <w:top w:val="nil"/>
              <w:left w:val="nil"/>
              <w:bottom w:val="nil"/>
              <w:right w:val="nil"/>
            </w:tcBorders>
            <w:shd w:val="clear" w:color="000000" w:fill="FFFFFF"/>
            <w:noWrap/>
            <w:vAlign w:val="bottom"/>
            <w:hideMark/>
          </w:tcPr>
          <w:p w14:paraId="3AAC534C"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669,010</w:t>
            </w:r>
          </w:p>
        </w:tc>
        <w:tc>
          <w:tcPr>
            <w:tcW w:w="716" w:type="pct"/>
            <w:tcBorders>
              <w:top w:val="nil"/>
              <w:left w:val="nil"/>
              <w:bottom w:val="nil"/>
              <w:right w:val="single" w:sz="8" w:space="0" w:color="auto"/>
            </w:tcBorders>
            <w:shd w:val="clear" w:color="000000" w:fill="FFFFFF"/>
            <w:noWrap/>
            <w:vAlign w:val="bottom"/>
            <w:hideMark/>
          </w:tcPr>
          <w:p w14:paraId="00044D26"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3.8%</w:t>
            </w:r>
          </w:p>
        </w:tc>
      </w:tr>
      <w:tr w:rsidR="00677577" w:rsidRPr="00B45F7C" w14:paraId="79FF451E" w14:textId="77777777">
        <w:trPr>
          <w:cantSplit/>
          <w:trHeight w:val="300"/>
        </w:trPr>
        <w:tc>
          <w:tcPr>
            <w:tcW w:w="703" w:type="pct"/>
            <w:tcBorders>
              <w:top w:val="nil"/>
              <w:left w:val="single" w:sz="8" w:space="0" w:color="auto"/>
              <w:bottom w:val="nil"/>
              <w:right w:val="nil"/>
            </w:tcBorders>
            <w:shd w:val="clear" w:color="C0E6F5" w:fill="FFFFFF"/>
            <w:noWrap/>
            <w:hideMark/>
          </w:tcPr>
          <w:p w14:paraId="50B2AE2C" w14:textId="77777777" w:rsidR="00677577" w:rsidRPr="00B45F7C" w:rsidRDefault="00677577">
            <w:pPr>
              <w:keepNext/>
              <w:spacing w:after="0" w:line="240" w:lineRule="auto"/>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2019</w:t>
            </w:r>
          </w:p>
        </w:tc>
        <w:tc>
          <w:tcPr>
            <w:tcW w:w="716" w:type="pct"/>
            <w:tcBorders>
              <w:top w:val="nil"/>
              <w:left w:val="nil"/>
              <w:bottom w:val="nil"/>
              <w:right w:val="nil"/>
            </w:tcBorders>
            <w:shd w:val="clear" w:color="000000" w:fill="FFFFFF"/>
            <w:noWrap/>
            <w:vAlign w:val="bottom"/>
            <w:hideMark/>
          </w:tcPr>
          <w:p w14:paraId="71D0A8A5"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1,439</w:t>
            </w:r>
          </w:p>
        </w:tc>
        <w:tc>
          <w:tcPr>
            <w:tcW w:w="716" w:type="pct"/>
            <w:tcBorders>
              <w:top w:val="nil"/>
              <w:left w:val="nil"/>
              <w:bottom w:val="nil"/>
              <w:right w:val="nil"/>
            </w:tcBorders>
            <w:shd w:val="clear" w:color="000000" w:fill="FFFFFF"/>
            <w:noWrap/>
            <w:vAlign w:val="bottom"/>
            <w:hideMark/>
          </w:tcPr>
          <w:p w14:paraId="6CE2B9E6"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5,283</w:t>
            </w:r>
          </w:p>
        </w:tc>
        <w:tc>
          <w:tcPr>
            <w:tcW w:w="716" w:type="pct"/>
            <w:tcBorders>
              <w:top w:val="nil"/>
              <w:left w:val="nil"/>
              <w:bottom w:val="nil"/>
              <w:right w:val="nil"/>
            </w:tcBorders>
            <w:shd w:val="clear" w:color="000000" w:fill="FFFFFF"/>
            <w:noWrap/>
            <w:vAlign w:val="bottom"/>
            <w:hideMark/>
          </w:tcPr>
          <w:p w14:paraId="5102A56A"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27.2%</w:t>
            </w:r>
          </w:p>
        </w:tc>
        <w:tc>
          <w:tcPr>
            <w:tcW w:w="716" w:type="pct"/>
            <w:tcBorders>
              <w:top w:val="nil"/>
              <w:left w:val="nil"/>
              <w:bottom w:val="nil"/>
              <w:right w:val="nil"/>
            </w:tcBorders>
            <w:shd w:val="clear" w:color="000000" w:fill="FFFFFF"/>
            <w:noWrap/>
            <w:vAlign w:val="bottom"/>
            <w:hideMark/>
          </w:tcPr>
          <w:p w14:paraId="6D90ACE5"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48,641</w:t>
            </w:r>
          </w:p>
        </w:tc>
        <w:tc>
          <w:tcPr>
            <w:tcW w:w="716" w:type="pct"/>
            <w:tcBorders>
              <w:top w:val="nil"/>
              <w:left w:val="nil"/>
              <w:bottom w:val="nil"/>
              <w:right w:val="nil"/>
            </w:tcBorders>
            <w:shd w:val="clear" w:color="000000" w:fill="FFFFFF"/>
            <w:noWrap/>
            <w:vAlign w:val="bottom"/>
            <w:hideMark/>
          </w:tcPr>
          <w:p w14:paraId="6245C1C7"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933,338</w:t>
            </w:r>
          </w:p>
        </w:tc>
        <w:tc>
          <w:tcPr>
            <w:tcW w:w="716" w:type="pct"/>
            <w:tcBorders>
              <w:top w:val="nil"/>
              <w:left w:val="nil"/>
              <w:bottom w:val="nil"/>
              <w:right w:val="single" w:sz="8" w:space="0" w:color="auto"/>
            </w:tcBorders>
            <w:shd w:val="clear" w:color="000000" w:fill="FFFFFF"/>
            <w:noWrap/>
            <w:vAlign w:val="bottom"/>
            <w:hideMark/>
          </w:tcPr>
          <w:p w14:paraId="2927E169"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5.2%</w:t>
            </w:r>
          </w:p>
        </w:tc>
      </w:tr>
      <w:tr w:rsidR="00677577" w:rsidRPr="00B45F7C" w14:paraId="53314477" w14:textId="77777777">
        <w:trPr>
          <w:cantSplit/>
          <w:trHeight w:val="300"/>
        </w:trPr>
        <w:tc>
          <w:tcPr>
            <w:tcW w:w="703" w:type="pct"/>
            <w:tcBorders>
              <w:top w:val="nil"/>
              <w:left w:val="single" w:sz="8" w:space="0" w:color="auto"/>
              <w:bottom w:val="nil"/>
              <w:right w:val="nil"/>
            </w:tcBorders>
            <w:shd w:val="clear" w:color="C0E6F5" w:fill="FFFFFF"/>
            <w:noWrap/>
            <w:hideMark/>
          </w:tcPr>
          <w:p w14:paraId="510B9725" w14:textId="77777777" w:rsidR="00677577" w:rsidRPr="00B45F7C" w:rsidRDefault="00677577">
            <w:pPr>
              <w:keepNext/>
              <w:spacing w:after="0" w:line="240" w:lineRule="auto"/>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2020</w:t>
            </w:r>
          </w:p>
        </w:tc>
        <w:tc>
          <w:tcPr>
            <w:tcW w:w="716" w:type="pct"/>
            <w:tcBorders>
              <w:top w:val="nil"/>
              <w:left w:val="nil"/>
              <w:bottom w:val="nil"/>
              <w:right w:val="nil"/>
            </w:tcBorders>
            <w:shd w:val="clear" w:color="000000" w:fill="FFFFFF"/>
            <w:noWrap/>
            <w:vAlign w:val="bottom"/>
            <w:hideMark/>
          </w:tcPr>
          <w:p w14:paraId="44B23B09"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734</w:t>
            </w:r>
          </w:p>
        </w:tc>
        <w:tc>
          <w:tcPr>
            <w:tcW w:w="716" w:type="pct"/>
            <w:tcBorders>
              <w:top w:val="nil"/>
              <w:left w:val="nil"/>
              <w:bottom w:val="nil"/>
              <w:right w:val="nil"/>
            </w:tcBorders>
            <w:shd w:val="clear" w:color="000000" w:fill="FFFFFF"/>
            <w:noWrap/>
            <w:vAlign w:val="bottom"/>
            <w:hideMark/>
          </w:tcPr>
          <w:p w14:paraId="048FA4E3"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3,281</w:t>
            </w:r>
          </w:p>
        </w:tc>
        <w:tc>
          <w:tcPr>
            <w:tcW w:w="716" w:type="pct"/>
            <w:tcBorders>
              <w:top w:val="nil"/>
              <w:left w:val="nil"/>
              <w:bottom w:val="nil"/>
              <w:right w:val="nil"/>
            </w:tcBorders>
            <w:shd w:val="clear" w:color="000000" w:fill="FFFFFF"/>
            <w:noWrap/>
            <w:vAlign w:val="bottom"/>
            <w:hideMark/>
          </w:tcPr>
          <w:p w14:paraId="15B53910"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22.4%</w:t>
            </w:r>
          </w:p>
        </w:tc>
        <w:tc>
          <w:tcPr>
            <w:tcW w:w="716" w:type="pct"/>
            <w:tcBorders>
              <w:top w:val="nil"/>
              <w:left w:val="nil"/>
              <w:bottom w:val="nil"/>
              <w:right w:val="nil"/>
            </w:tcBorders>
            <w:shd w:val="clear" w:color="000000" w:fill="FFFFFF"/>
            <w:noWrap/>
            <w:vAlign w:val="bottom"/>
            <w:hideMark/>
          </w:tcPr>
          <w:p w14:paraId="645ACED0"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23,159</w:t>
            </w:r>
          </w:p>
        </w:tc>
        <w:tc>
          <w:tcPr>
            <w:tcW w:w="716" w:type="pct"/>
            <w:tcBorders>
              <w:top w:val="nil"/>
              <w:left w:val="nil"/>
              <w:bottom w:val="nil"/>
              <w:right w:val="nil"/>
            </w:tcBorders>
            <w:shd w:val="clear" w:color="000000" w:fill="FFFFFF"/>
            <w:noWrap/>
            <w:vAlign w:val="bottom"/>
            <w:hideMark/>
          </w:tcPr>
          <w:p w14:paraId="0ABCDDA7"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521,559</w:t>
            </w:r>
          </w:p>
        </w:tc>
        <w:tc>
          <w:tcPr>
            <w:tcW w:w="716" w:type="pct"/>
            <w:tcBorders>
              <w:top w:val="nil"/>
              <w:left w:val="nil"/>
              <w:bottom w:val="nil"/>
              <w:right w:val="single" w:sz="8" w:space="0" w:color="auto"/>
            </w:tcBorders>
            <w:shd w:val="clear" w:color="000000" w:fill="FFFFFF"/>
            <w:noWrap/>
            <w:vAlign w:val="bottom"/>
            <w:hideMark/>
          </w:tcPr>
          <w:p w14:paraId="0A900C37"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4.4%</w:t>
            </w:r>
          </w:p>
        </w:tc>
      </w:tr>
      <w:tr w:rsidR="00677577" w:rsidRPr="00B45F7C" w14:paraId="068886C6" w14:textId="77777777">
        <w:trPr>
          <w:cantSplit/>
          <w:trHeight w:val="300"/>
        </w:trPr>
        <w:tc>
          <w:tcPr>
            <w:tcW w:w="703" w:type="pct"/>
            <w:tcBorders>
              <w:top w:val="nil"/>
              <w:left w:val="single" w:sz="8" w:space="0" w:color="auto"/>
              <w:bottom w:val="nil"/>
              <w:right w:val="nil"/>
            </w:tcBorders>
            <w:shd w:val="clear" w:color="C0E6F5" w:fill="FFFFFF"/>
            <w:noWrap/>
            <w:hideMark/>
          </w:tcPr>
          <w:p w14:paraId="241C62B2" w14:textId="77777777" w:rsidR="00677577" w:rsidRPr="00B45F7C" w:rsidRDefault="00677577">
            <w:pPr>
              <w:keepNext/>
              <w:spacing w:after="0" w:line="240" w:lineRule="auto"/>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2021</w:t>
            </w:r>
          </w:p>
        </w:tc>
        <w:tc>
          <w:tcPr>
            <w:tcW w:w="716" w:type="pct"/>
            <w:tcBorders>
              <w:top w:val="nil"/>
              <w:left w:val="nil"/>
              <w:bottom w:val="nil"/>
              <w:right w:val="nil"/>
            </w:tcBorders>
            <w:shd w:val="clear" w:color="000000" w:fill="FFFFFF"/>
            <w:noWrap/>
            <w:vAlign w:val="bottom"/>
            <w:hideMark/>
          </w:tcPr>
          <w:p w14:paraId="70031BDB"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793</w:t>
            </w:r>
          </w:p>
        </w:tc>
        <w:tc>
          <w:tcPr>
            <w:tcW w:w="716" w:type="pct"/>
            <w:tcBorders>
              <w:top w:val="nil"/>
              <w:left w:val="nil"/>
              <w:bottom w:val="nil"/>
              <w:right w:val="nil"/>
            </w:tcBorders>
            <w:shd w:val="clear" w:color="000000" w:fill="FFFFFF"/>
            <w:noWrap/>
            <w:vAlign w:val="bottom"/>
            <w:hideMark/>
          </w:tcPr>
          <w:p w14:paraId="42508E8E"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4,363</w:t>
            </w:r>
          </w:p>
        </w:tc>
        <w:tc>
          <w:tcPr>
            <w:tcW w:w="716" w:type="pct"/>
            <w:tcBorders>
              <w:top w:val="nil"/>
              <w:left w:val="nil"/>
              <w:bottom w:val="nil"/>
              <w:right w:val="nil"/>
            </w:tcBorders>
            <w:shd w:val="clear" w:color="000000" w:fill="FFFFFF"/>
            <w:noWrap/>
            <w:vAlign w:val="bottom"/>
            <w:hideMark/>
          </w:tcPr>
          <w:p w14:paraId="2779A9F1"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18.2%</w:t>
            </w:r>
          </w:p>
        </w:tc>
        <w:tc>
          <w:tcPr>
            <w:tcW w:w="716" w:type="pct"/>
            <w:tcBorders>
              <w:top w:val="nil"/>
              <w:left w:val="nil"/>
              <w:bottom w:val="nil"/>
              <w:right w:val="nil"/>
            </w:tcBorders>
            <w:shd w:val="clear" w:color="000000" w:fill="FFFFFF"/>
            <w:noWrap/>
            <w:vAlign w:val="bottom"/>
            <w:hideMark/>
          </w:tcPr>
          <w:p w14:paraId="0179398D"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29,944</w:t>
            </w:r>
          </w:p>
        </w:tc>
        <w:tc>
          <w:tcPr>
            <w:tcW w:w="716" w:type="pct"/>
            <w:tcBorders>
              <w:top w:val="nil"/>
              <w:left w:val="nil"/>
              <w:bottom w:val="nil"/>
              <w:right w:val="nil"/>
            </w:tcBorders>
            <w:shd w:val="clear" w:color="000000" w:fill="FFFFFF"/>
            <w:noWrap/>
            <w:vAlign w:val="bottom"/>
            <w:hideMark/>
          </w:tcPr>
          <w:p w14:paraId="22A19623"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546,472</w:t>
            </w:r>
          </w:p>
        </w:tc>
        <w:tc>
          <w:tcPr>
            <w:tcW w:w="716" w:type="pct"/>
            <w:tcBorders>
              <w:top w:val="nil"/>
              <w:left w:val="nil"/>
              <w:bottom w:val="nil"/>
              <w:right w:val="single" w:sz="8" w:space="0" w:color="auto"/>
            </w:tcBorders>
            <w:shd w:val="clear" w:color="000000" w:fill="FFFFFF"/>
            <w:noWrap/>
            <w:vAlign w:val="bottom"/>
            <w:hideMark/>
          </w:tcPr>
          <w:p w14:paraId="2C09943C"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5.5%</w:t>
            </w:r>
          </w:p>
        </w:tc>
      </w:tr>
      <w:tr w:rsidR="00677577" w:rsidRPr="00B45F7C" w14:paraId="491450B2" w14:textId="77777777">
        <w:trPr>
          <w:cantSplit/>
          <w:trHeight w:val="300"/>
        </w:trPr>
        <w:tc>
          <w:tcPr>
            <w:tcW w:w="703" w:type="pct"/>
            <w:tcBorders>
              <w:top w:val="nil"/>
              <w:left w:val="single" w:sz="8" w:space="0" w:color="auto"/>
              <w:bottom w:val="nil"/>
              <w:right w:val="nil"/>
            </w:tcBorders>
            <w:shd w:val="clear" w:color="C0E6F5" w:fill="FFFFFF"/>
            <w:noWrap/>
            <w:hideMark/>
          </w:tcPr>
          <w:p w14:paraId="3EA701E8" w14:textId="77777777" w:rsidR="00677577" w:rsidRPr="00B45F7C" w:rsidRDefault="00677577">
            <w:pPr>
              <w:keepNext/>
              <w:spacing w:after="0" w:line="240" w:lineRule="auto"/>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2022</w:t>
            </w:r>
          </w:p>
        </w:tc>
        <w:tc>
          <w:tcPr>
            <w:tcW w:w="716" w:type="pct"/>
            <w:tcBorders>
              <w:top w:val="nil"/>
              <w:left w:val="nil"/>
              <w:bottom w:val="nil"/>
              <w:right w:val="nil"/>
            </w:tcBorders>
            <w:shd w:val="clear" w:color="000000" w:fill="FFFFFF"/>
            <w:noWrap/>
            <w:vAlign w:val="bottom"/>
            <w:hideMark/>
          </w:tcPr>
          <w:p w14:paraId="2800E44E"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797</w:t>
            </w:r>
          </w:p>
        </w:tc>
        <w:tc>
          <w:tcPr>
            <w:tcW w:w="716" w:type="pct"/>
            <w:tcBorders>
              <w:top w:val="nil"/>
              <w:left w:val="nil"/>
              <w:bottom w:val="nil"/>
              <w:right w:val="nil"/>
            </w:tcBorders>
            <w:shd w:val="clear" w:color="000000" w:fill="FFFFFF"/>
            <w:noWrap/>
            <w:vAlign w:val="bottom"/>
            <w:hideMark/>
          </w:tcPr>
          <w:p w14:paraId="45435D5A"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4,166</w:t>
            </w:r>
          </w:p>
        </w:tc>
        <w:tc>
          <w:tcPr>
            <w:tcW w:w="716" w:type="pct"/>
            <w:tcBorders>
              <w:top w:val="nil"/>
              <w:left w:val="nil"/>
              <w:bottom w:val="nil"/>
              <w:right w:val="nil"/>
            </w:tcBorders>
            <w:shd w:val="clear" w:color="000000" w:fill="FFFFFF"/>
            <w:noWrap/>
            <w:vAlign w:val="bottom"/>
            <w:hideMark/>
          </w:tcPr>
          <w:p w14:paraId="44611771"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19.1%</w:t>
            </w:r>
          </w:p>
        </w:tc>
        <w:tc>
          <w:tcPr>
            <w:tcW w:w="716" w:type="pct"/>
            <w:tcBorders>
              <w:top w:val="nil"/>
              <w:left w:val="nil"/>
              <w:bottom w:val="nil"/>
              <w:right w:val="nil"/>
            </w:tcBorders>
            <w:shd w:val="clear" w:color="000000" w:fill="FFFFFF"/>
            <w:noWrap/>
            <w:vAlign w:val="bottom"/>
            <w:hideMark/>
          </w:tcPr>
          <w:p w14:paraId="5BCD2A68"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30,913</w:t>
            </w:r>
          </w:p>
        </w:tc>
        <w:tc>
          <w:tcPr>
            <w:tcW w:w="716" w:type="pct"/>
            <w:tcBorders>
              <w:top w:val="nil"/>
              <w:left w:val="nil"/>
              <w:bottom w:val="nil"/>
              <w:right w:val="nil"/>
            </w:tcBorders>
            <w:shd w:val="clear" w:color="000000" w:fill="FFFFFF"/>
            <w:noWrap/>
            <w:vAlign w:val="bottom"/>
            <w:hideMark/>
          </w:tcPr>
          <w:p w14:paraId="68E0C83F"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837,696</w:t>
            </w:r>
          </w:p>
        </w:tc>
        <w:tc>
          <w:tcPr>
            <w:tcW w:w="716" w:type="pct"/>
            <w:tcBorders>
              <w:top w:val="nil"/>
              <w:left w:val="nil"/>
              <w:bottom w:val="nil"/>
              <w:right w:val="single" w:sz="8" w:space="0" w:color="auto"/>
            </w:tcBorders>
            <w:shd w:val="clear" w:color="000000" w:fill="FFFFFF"/>
            <w:noWrap/>
            <w:vAlign w:val="bottom"/>
            <w:hideMark/>
          </w:tcPr>
          <w:p w14:paraId="126F0B61"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3.7%</w:t>
            </w:r>
          </w:p>
        </w:tc>
      </w:tr>
      <w:tr w:rsidR="00677577" w:rsidRPr="00B45F7C" w14:paraId="0AAD621D" w14:textId="77777777">
        <w:trPr>
          <w:cantSplit/>
          <w:trHeight w:val="300"/>
        </w:trPr>
        <w:tc>
          <w:tcPr>
            <w:tcW w:w="703" w:type="pct"/>
            <w:tcBorders>
              <w:top w:val="nil"/>
              <w:left w:val="single" w:sz="8" w:space="0" w:color="auto"/>
              <w:bottom w:val="nil"/>
              <w:right w:val="nil"/>
            </w:tcBorders>
            <w:shd w:val="clear" w:color="C0E6F5" w:fill="FFFFFF"/>
            <w:noWrap/>
            <w:hideMark/>
          </w:tcPr>
          <w:p w14:paraId="2B6888F1" w14:textId="77777777" w:rsidR="00677577" w:rsidRPr="00B45F7C" w:rsidRDefault="00677577">
            <w:pPr>
              <w:keepNext/>
              <w:spacing w:after="0" w:line="240" w:lineRule="auto"/>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2023</w:t>
            </w:r>
          </w:p>
        </w:tc>
        <w:tc>
          <w:tcPr>
            <w:tcW w:w="716" w:type="pct"/>
            <w:tcBorders>
              <w:top w:val="nil"/>
              <w:left w:val="nil"/>
              <w:bottom w:val="nil"/>
              <w:right w:val="nil"/>
            </w:tcBorders>
            <w:shd w:val="clear" w:color="000000" w:fill="FFFFFF"/>
            <w:noWrap/>
            <w:vAlign w:val="bottom"/>
            <w:hideMark/>
          </w:tcPr>
          <w:p w14:paraId="645A5BF1"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919</w:t>
            </w:r>
          </w:p>
        </w:tc>
        <w:tc>
          <w:tcPr>
            <w:tcW w:w="716" w:type="pct"/>
            <w:tcBorders>
              <w:top w:val="nil"/>
              <w:left w:val="nil"/>
              <w:bottom w:val="nil"/>
              <w:right w:val="nil"/>
            </w:tcBorders>
            <w:shd w:val="clear" w:color="000000" w:fill="FFFFFF"/>
            <w:noWrap/>
            <w:vAlign w:val="bottom"/>
            <w:hideMark/>
          </w:tcPr>
          <w:p w14:paraId="798616F2"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4,111</w:t>
            </w:r>
          </w:p>
        </w:tc>
        <w:tc>
          <w:tcPr>
            <w:tcW w:w="716" w:type="pct"/>
            <w:tcBorders>
              <w:top w:val="nil"/>
              <w:left w:val="nil"/>
              <w:bottom w:val="nil"/>
              <w:right w:val="nil"/>
            </w:tcBorders>
            <w:shd w:val="clear" w:color="000000" w:fill="FFFFFF"/>
            <w:noWrap/>
            <w:vAlign w:val="bottom"/>
            <w:hideMark/>
          </w:tcPr>
          <w:p w14:paraId="282B3F6C"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22.4%</w:t>
            </w:r>
          </w:p>
        </w:tc>
        <w:tc>
          <w:tcPr>
            <w:tcW w:w="716" w:type="pct"/>
            <w:tcBorders>
              <w:top w:val="nil"/>
              <w:left w:val="nil"/>
              <w:bottom w:val="nil"/>
              <w:right w:val="nil"/>
            </w:tcBorders>
            <w:shd w:val="clear" w:color="000000" w:fill="FFFFFF"/>
            <w:noWrap/>
            <w:vAlign w:val="bottom"/>
            <w:hideMark/>
          </w:tcPr>
          <w:p w14:paraId="1E2CCF4E"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50,629</w:t>
            </w:r>
          </w:p>
        </w:tc>
        <w:tc>
          <w:tcPr>
            <w:tcW w:w="716" w:type="pct"/>
            <w:tcBorders>
              <w:top w:val="nil"/>
              <w:left w:val="nil"/>
              <w:bottom w:val="nil"/>
              <w:right w:val="nil"/>
            </w:tcBorders>
            <w:shd w:val="clear" w:color="000000" w:fill="FFFFFF"/>
            <w:noWrap/>
            <w:vAlign w:val="bottom"/>
            <w:hideMark/>
          </w:tcPr>
          <w:p w14:paraId="3819983C"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843,182</w:t>
            </w:r>
          </w:p>
        </w:tc>
        <w:tc>
          <w:tcPr>
            <w:tcW w:w="716" w:type="pct"/>
            <w:tcBorders>
              <w:top w:val="nil"/>
              <w:left w:val="nil"/>
              <w:bottom w:val="nil"/>
              <w:right w:val="single" w:sz="8" w:space="0" w:color="auto"/>
            </w:tcBorders>
            <w:shd w:val="clear" w:color="000000" w:fill="FFFFFF"/>
            <w:noWrap/>
            <w:vAlign w:val="bottom"/>
            <w:hideMark/>
          </w:tcPr>
          <w:p w14:paraId="48F218C7"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6.0%</w:t>
            </w:r>
          </w:p>
        </w:tc>
      </w:tr>
      <w:tr w:rsidR="00677577" w:rsidRPr="00B45F7C" w14:paraId="543A08A2" w14:textId="77777777">
        <w:trPr>
          <w:cantSplit/>
          <w:trHeight w:val="315"/>
        </w:trPr>
        <w:tc>
          <w:tcPr>
            <w:tcW w:w="703" w:type="pct"/>
            <w:tcBorders>
              <w:top w:val="nil"/>
              <w:left w:val="single" w:sz="8" w:space="0" w:color="auto"/>
              <w:bottom w:val="nil"/>
              <w:right w:val="nil"/>
            </w:tcBorders>
            <w:shd w:val="clear" w:color="C0E6F5" w:fill="FFFFFF"/>
            <w:noWrap/>
            <w:hideMark/>
          </w:tcPr>
          <w:p w14:paraId="3899A184" w14:textId="77777777" w:rsidR="00677577" w:rsidRPr="00B45F7C" w:rsidRDefault="00677577">
            <w:pPr>
              <w:keepNext/>
              <w:spacing w:after="0" w:line="240" w:lineRule="auto"/>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2024 (to Q3)</w:t>
            </w:r>
          </w:p>
        </w:tc>
        <w:tc>
          <w:tcPr>
            <w:tcW w:w="716" w:type="pct"/>
            <w:tcBorders>
              <w:top w:val="nil"/>
              <w:left w:val="nil"/>
              <w:bottom w:val="nil"/>
              <w:right w:val="nil"/>
            </w:tcBorders>
            <w:shd w:val="clear" w:color="000000" w:fill="FFFFFF"/>
            <w:noWrap/>
            <w:vAlign w:val="bottom"/>
            <w:hideMark/>
          </w:tcPr>
          <w:p w14:paraId="78D61A85"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610</w:t>
            </w:r>
          </w:p>
        </w:tc>
        <w:tc>
          <w:tcPr>
            <w:tcW w:w="716" w:type="pct"/>
            <w:tcBorders>
              <w:top w:val="nil"/>
              <w:left w:val="nil"/>
              <w:bottom w:val="nil"/>
              <w:right w:val="nil"/>
            </w:tcBorders>
            <w:shd w:val="clear" w:color="000000" w:fill="FFFFFF"/>
            <w:noWrap/>
            <w:vAlign w:val="bottom"/>
            <w:hideMark/>
          </w:tcPr>
          <w:p w14:paraId="48C44ACA"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3,158</w:t>
            </w:r>
          </w:p>
        </w:tc>
        <w:tc>
          <w:tcPr>
            <w:tcW w:w="716" w:type="pct"/>
            <w:tcBorders>
              <w:top w:val="nil"/>
              <w:left w:val="nil"/>
              <w:bottom w:val="nil"/>
              <w:right w:val="nil"/>
            </w:tcBorders>
            <w:shd w:val="clear" w:color="000000" w:fill="FFFFFF"/>
            <w:noWrap/>
            <w:vAlign w:val="bottom"/>
            <w:hideMark/>
          </w:tcPr>
          <w:p w14:paraId="2D760592"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19.3%</w:t>
            </w:r>
          </w:p>
        </w:tc>
        <w:tc>
          <w:tcPr>
            <w:tcW w:w="716" w:type="pct"/>
            <w:tcBorders>
              <w:top w:val="nil"/>
              <w:left w:val="nil"/>
              <w:bottom w:val="nil"/>
              <w:right w:val="nil"/>
            </w:tcBorders>
            <w:shd w:val="clear" w:color="000000" w:fill="FFFFFF"/>
            <w:noWrap/>
            <w:vAlign w:val="bottom"/>
            <w:hideMark/>
          </w:tcPr>
          <w:p w14:paraId="23C071E1"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25,701</w:t>
            </w:r>
          </w:p>
        </w:tc>
        <w:tc>
          <w:tcPr>
            <w:tcW w:w="716" w:type="pct"/>
            <w:tcBorders>
              <w:top w:val="nil"/>
              <w:left w:val="nil"/>
              <w:bottom w:val="nil"/>
              <w:right w:val="nil"/>
            </w:tcBorders>
            <w:shd w:val="clear" w:color="000000" w:fill="FFFFFF"/>
            <w:noWrap/>
            <w:vAlign w:val="bottom"/>
            <w:hideMark/>
          </w:tcPr>
          <w:p w14:paraId="28DD954A"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981,437</w:t>
            </w:r>
          </w:p>
        </w:tc>
        <w:tc>
          <w:tcPr>
            <w:tcW w:w="716" w:type="pct"/>
            <w:tcBorders>
              <w:top w:val="nil"/>
              <w:left w:val="nil"/>
              <w:bottom w:val="nil"/>
              <w:right w:val="single" w:sz="8" w:space="0" w:color="auto"/>
            </w:tcBorders>
            <w:shd w:val="clear" w:color="000000" w:fill="FFFFFF"/>
            <w:noWrap/>
            <w:vAlign w:val="bottom"/>
            <w:hideMark/>
          </w:tcPr>
          <w:p w14:paraId="57B4F579"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2.6%</w:t>
            </w:r>
          </w:p>
        </w:tc>
      </w:tr>
      <w:tr w:rsidR="00677577" w:rsidRPr="00B45F7C" w14:paraId="5DDF374C" w14:textId="77777777">
        <w:trPr>
          <w:cantSplit/>
          <w:trHeight w:val="300"/>
        </w:trPr>
        <w:tc>
          <w:tcPr>
            <w:tcW w:w="703" w:type="pct"/>
            <w:tcBorders>
              <w:top w:val="single" w:sz="8" w:space="0" w:color="auto"/>
              <w:left w:val="single" w:sz="8" w:space="0" w:color="auto"/>
              <w:bottom w:val="nil"/>
              <w:right w:val="nil"/>
            </w:tcBorders>
            <w:shd w:val="clear" w:color="000000" w:fill="FFFFFF"/>
            <w:noWrap/>
            <w:hideMark/>
          </w:tcPr>
          <w:p w14:paraId="516A1B59" w14:textId="77777777" w:rsidR="00677577" w:rsidRPr="00B45F7C" w:rsidRDefault="00677577">
            <w:pPr>
              <w:keepNext/>
              <w:spacing w:after="0" w:line="240" w:lineRule="auto"/>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Total 2012</w:t>
            </w:r>
            <w:r w:rsidRPr="00B45F7C">
              <w:rPr>
                <w:rFonts w:ascii="Symbol" w:eastAsia="Symbol" w:hAnsi="Symbol" w:cs="Symbol"/>
                <w:color w:val="000000"/>
                <w:sz w:val="20"/>
                <w:szCs w:val="20"/>
                <w:lang w:eastAsia="en-AU"/>
              </w:rPr>
              <w:sym w:font="Symbol" w:char="F02D"/>
            </w:r>
            <w:r w:rsidRPr="00B45F7C">
              <w:rPr>
                <w:rFonts w:ascii="Aptos" w:eastAsia="Times New Roman" w:hAnsi="Aptos" w:cs="Calibri"/>
                <w:color w:val="000000"/>
                <w:sz w:val="20"/>
                <w:szCs w:val="20"/>
                <w:lang w:eastAsia="en-AU"/>
              </w:rPr>
              <w:t>2023</w:t>
            </w:r>
          </w:p>
        </w:tc>
        <w:tc>
          <w:tcPr>
            <w:tcW w:w="716" w:type="pct"/>
            <w:tcBorders>
              <w:top w:val="single" w:sz="8" w:space="0" w:color="auto"/>
              <w:left w:val="nil"/>
              <w:bottom w:val="nil"/>
              <w:right w:val="nil"/>
            </w:tcBorders>
            <w:shd w:val="clear" w:color="000000" w:fill="FFFFFF"/>
            <w:noWrap/>
            <w:vAlign w:val="bottom"/>
            <w:hideMark/>
          </w:tcPr>
          <w:p w14:paraId="6EA7FFC5"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15,450</w:t>
            </w:r>
          </w:p>
        </w:tc>
        <w:tc>
          <w:tcPr>
            <w:tcW w:w="716" w:type="pct"/>
            <w:tcBorders>
              <w:top w:val="single" w:sz="8" w:space="0" w:color="auto"/>
              <w:left w:val="nil"/>
              <w:bottom w:val="nil"/>
              <w:right w:val="nil"/>
            </w:tcBorders>
            <w:shd w:val="clear" w:color="000000" w:fill="FFFFFF"/>
            <w:noWrap/>
            <w:vAlign w:val="bottom"/>
            <w:hideMark/>
          </w:tcPr>
          <w:p w14:paraId="3E0C0B9F"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61,626</w:t>
            </w:r>
          </w:p>
        </w:tc>
        <w:tc>
          <w:tcPr>
            <w:tcW w:w="716" w:type="pct"/>
            <w:tcBorders>
              <w:top w:val="single" w:sz="8" w:space="0" w:color="auto"/>
              <w:left w:val="nil"/>
              <w:bottom w:val="nil"/>
              <w:right w:val="nil"/>
            </w:tcBorders>
            <w:shd w:val="clear" w:color="000000" w:fill="FFFFFF"/>
            <w:noWrap/>
            <w:vAlign w:val="bottom"/>
            <w:hideMark/>
          </w:tcPr>
          <w:p w14:paraId="6F26B1B1"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25.1%</w:t>
            </w:r>
          </w:p>
        </w:tc>
        <w:tc>
          <w:tcPr>
            <w:tcW w:w="716" w:type="pct"/>
            <w:tcBorders>
              <w:top w:val="single" w:sz="8" w:space="0" w:color="auto"/>
              <w:left w:val="nil"/>
              <w:bottom w:val="nil"/>
              <w:right w:val="nil"/>
            </w:tcBorders>
            <w:shd w:val="clear" w:color="000000" w:fill="FFFFFF"/>
            <w:noWrap/>
            <w:vAlign w:val="bottom"/>
            <w:hideMark/>
          </w:tcPr>
          <w:p w14:paraId="3A7BD8D3"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555,763</w:t>
            </w:r>
          </w:p>
        </w:tc>
        <w:tc>
          <w:tcPr>
            <w:tcW w:w="716" w:type="pct"/>
            <w:tcBorders>
              <w:top w:val="single" w:sz="8" w:space="0" w:color="auto"/>
              <w:left w:val="nil"/>
              <w:bottom w:val="nil"/>
              <w:right w:val="nil"/>
            </w:tcBorders>
            <w:shd w:val="clear" w:color="000000" w:fill="FFFFFF"/>
            <w:noWrap/>
            <w:vAlign w:val="bottom"/>
            <w:hideMark/>
          </w:tcPr>
          <w:p w14:paraId="3C39E481"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9,694,035</w:t>
            </w:r>
          </w:p>
        </w:tc>
        <w:tc>
          <w:tcPr>
            <w:tcW w:w="716" w:type="pct"/>
            <w:tcBorders>
              <w:top w:val="single" w:sz="8" w:space="0" w:color="auto"/>
              <w:left w:val="nil"/>
              <w:bottom w:val="nil"/>
              <w:right w:val="single" w:sz="8" w:space="0" w:color="auto"/>
            </w:tcBorders>
            <w:shd w:val="clear" w:color="000000" w:fill="FFFFFF"/>
            <w:noWrap/>
            <w:vAlign w:val="bottom"/>
            <w:hideMark/>
          </w:tcPr>
          <w:p w14:paraId="13FFF824"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5.7%</w:t>
            </w:r>
          </w:p>
        </w:tc>
      </w:tr>
      <w:tr w:rsidR="00677577" w:rsidRPr="00B45F7C" w14:paraId="6C66E788" w14:textId="77777777">
        <w:trPr>
          <w:cantSplit/>
          <w:trHeight w:val="315"/>
        </w:trPr>
        <w:tc>
          <w:tcPr>
            <w:tcW w:w="703" w:type="pct"/>
            <w:tcBorders>
              <w:top w:val="nil"/>
              <w:left w:val="single" w:sz="8" w:space="0" w:color="auto"/>
              <w:bottom w:val="single" w:sz="8" w:space="0" w:color="auto"/>
              <w:right w:val="nil"/>
            </w:tcBorders>
            <w:shd w:val="clear" w:color="000000" w:fill="FFFFFF"/>
            <w:noWrap/>
            <w:hideMark/>
          </w:tcPr>
          <w:p w14:paraId="57593D9E" w14:textId="77777777" w:rsidR="00677577" w:rsidRPr="00B45F7C" w:rsidRDefault="00677577">
            <w:pPr>
              <w:keepNext/>
              <w:spacing w:after="0" w:line="240" w:lineRule="auto"/>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Average 2012</w:t>
            </w:r>
            <w:r w:rsidRPr="00B45F7C">
              <w:rPr>
                <w:rFonts w:ascii="Symbol" w:eastAsia="Symbol" w:hAnsi="Symbol" w:cs="Symbol"/>
                <w:color w:val="000000"/>
                <w:sz w:val="20"/>
                <w:szCs w:val="20"/>
                <w:lang w:eastAsia="en-AU"/>
              </w:rPr>
              <w:sym w:font="Symbol" w:char="F02D"/>
            </w:r>
            <w:r w:rsidRPr="00B45F7C">
              <w:rPr>
                <w:rFonts w:ascii="Aptos" w:eastAsia="Times New Roman" w:hAnsi="Aptos" w:cs="Calibri"/>
                <w:color w:val="000000"/>
                <w:sz w:val="20"/>
                <w:szCs w:val="20"/>
                <w:lang w:eastAsia="en-AU"/>
              </w:rPr>
              <w:t>2023</w:t>
            </w:r>
          </w:p>
        </w:tc>
        <w:tc>
          <w:tcPr>
            <w:tcW w:w="716" w:type="pct"/>
            <w:tcBorders>
              <w:top w:val="nil"/>
              <w:left w:val="nil"/>
              <w:bottom w:val="single" w:sz="8" w:space="0" w:color="auto"/>
              <w:right w:val="nil"/>
            </w:tcBorders>
            <w:shd w:val="clear" w:color="000000" w:fill="FFFFFF"/>
            <w:noWrap/>
            <w:vAlign w:val="bottom"/>
            <w:hideMark/>
          </w:tcPr>
          <w:p w14:paraId="159DBC87"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1,252</w:t>
            </w:r>
          </w:p>
        </w:tc>
        <w:tc>
          <w:tcPr>
            <w:tcW w:w="716" w:type="pct"/>
            <w:tcBorders>
              <w:top w:val="nil"/>
              <w:left w:val="nil"/>
              <w:bottom w:val="single" w:sz="8" w:space="0" w:color="auto"/>
              <w:right w:val="nil"/>
            </w:tcBorders>
            <w:shd w:val="clear" w:color="000000" w:fill="FFFFFF"/>
            <w:noWrap/>
            <w:vAlign w:val="bottom"/>
            <w:hideMark/>
          </w:tcPr>
          <w:p w14:paraId="5F56509F"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4,950</w:t>
            </w:r>
          </w:p>
        </w:tc>
        <w:tc>
          <w:tcPr>
            <w:tcW w:w="716" w:type="pct"/>
            <w:tcBorders>
              <w:top w:val="nil"/>
              <w:left w:val="nil"/>
              <w:bottom w:val="single" w:sz="8" w:space="0" w:color="auto"/>
              <w:right w:val="nil"/>
            </w:tcBorders>
            <w:shd w:val="clear" w:color="000000" w:fill="FFFFFF"/>
            <w:noWrap/>
            <w:vAlign w:val="bottom"/>
            <w:hideMark/>
          </w:tcPr>
          <w:p w14:paraId="0D5FCBD7"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25.3%</w:t>
            </w:r>
          </w:p>
        </w:tc>
        <w:tc>
          <w:tcPr>
            <w:tcW w:w="716" w:type="pct"/>
            <w:tcBorders>
              <w:top w:val="nil"/>
              <w:left w:val="nil"/>
              <w:bottom w:val="single" w:sz="8" w:space="0" w:color="auto"/>
              <w:right w:val="nil"/>
            </w:tcBorders>
            <w:shd w:val="clear" w:color="000000" w:fill="FFFFFF"/>
            <w:noWrap/>
            <w:vAlign w:val="bottom"/>
            <w:hideMark/>
          </w:tcPr>
          <w:p w14:paraId="2F1BB60C"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44,884</w:t>
            </w:r>
          </w:p>
        </w:tc>
        <w:tc>
          <w:tcPr>
            <w:tcW w:w="716" w:type="pct"/>
            <w:tcBorders>
              <w:top w:val="nil"/>
              <w:left w:val="nil"/>
              <w:bottom w:val="single" w:sz="8" w:space="0" w:color="auto"/>
              <w:right w:val="nil"/>
            </w:tcBorders>
            <w:shd w:val="clear" w:color="000000" w:fill="FFFFFF"/>
            <w:noWrap/>
            <w:vAlign w:val="bottom"/>
            <w:hideMark/>
          </w:tcPr>
          <w:p w14:paraId="5523B403"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754,470</w:t>
            </w:r>
          </w:p>
        </w:tc>
        <w:tc>
          <w:tcPr>
            <w:tcW w:w="716" w:type="pct"/>
            <w:tcBorders>
              <w:top w:val="nil"/>
              <w:left w:val="nil"/>
              <w:bottom w:val="single" w:sz="8" w:space="0" w:color="auto"/>
              <w:right w:val="single" w:sz="8" w:space="0" w:color="auto"/>
            </w:tcBorders>
            <w:shd w:val="clear" w:color="000000" w:fill="FFFFFF"/>
            <w:noWrap/>
            <w:vAlign w:val="bottom"/>
            <w:hideMark/>
          </w:tcPr>
          <w:p w14:paraId="55BDC622" w14:textId="77777777" w:rsidR="00677577" w:rsidRPr="00B45F7C" w:rsidRDefault="00677577" w:rsidP="004005D7">
            <w:pPr>
              <w:keepNext/>
              <w:spacing w:after="0" w:line="240" w:lineRule="auto"/>
              <w:jc w:val="right"/>
              <w:rPr>
                <w:rFonts w:ascii="Aptos" w:eastAsia="Times New Roman" w:hAnsi="Aptos" w:cs="Calibri"/>
                <w:color w:val="000000"/>
                <w:sz w:val="20"/>
                <w:szCs w:val="20"/>
                <w:lang w:eastAsia="en-AU"/>
              </w:rPr>
            </w:pPr>
            <w:r w:rsidRPr="00B45F7C">
              <w:rPr>
                <w:rFonts w:ascii="Aptos" w:eastAsia="Times New Roman" w:hAnsi="Aptos" w:cs="Calibri"/>
                <w:color w:val="000000"/>
                <w:sz w:val="20"/>
                <w:szCs w:val="20"/>
                <w:lang w:eastAsia="en-AU"/>
              </w:rPr>
              <w:t>5.9%</w:t>
            </w:r>
          </w:p>
        </w:tc>
      </w:tr>
    </w:tbl>
    <w:p w14:paraId="618AB543" w14:textId="40E252E7" w:rsidR="0011475D" w:rsidRDefault="00677577" w:rsidP="00677577">
      <w:pPr>
        <w:spacing w:before="120"/>
        <w:rPr>
          <w:rFonts w:ascii="Aptos" w:eastAsia="Aptos" w:hAnsi="Aptos" w:cs="Times New Roman"/>
          <w:sz w:val="18"/>
        </w:rPr>
      </w:pPr>
      <w:r w:rsidRPr="00B45F7C">
        <w:rPr>
          <w:rFonts w:ascii="Aptos" w:eastAsia="Aptos" w:hAnsi="Aptos" w:cs="Times New Roman"/>
          <w:b/>
          <w:bCs/>
          <w:sz w:val="18"/>
        </w:rPr>
        <w:t>Note:</w:t>
      </w:r>
      <w:r w:rsidRPr="00B45F7C">
        <w:rPr>
          <w:rFonts w:ascii="Aptos" w:eastAsia="Aptos" w:hAnsi="Aptos" w:cs="Times New Roman"/>
          <w:sz w:val="18"/>
        </w:rPr>
        <w:t xml:space="preserve"> Only three</w:t>
      </w:r>
      <w:r w:rsidR="004005D7">
        <w:rPr>
          <w:rFonts w:ascii="Aptos" w:eastAsia="Aptos" w:hAnsi="Aptos" w:cs="Times New Roman"/>
          <w:sz w:val="18"/>
        </w:rPr>
        <w:t xml:space="preserve"> </w:t>
      </w:r>
      <w:r w:rsidRPr="00B45F7C">
        <w:rPr>
          <w:rFonts w:ascii="Aptos" w:eastAsia="Aptos" w:hAnsi="Aptos" w:cs="Times New Roman"/>
          <w:sz w:val="18"/>
        </w:rPr>
        <w:t xml:space="preserve">quarters of data </w:t>
      </w:r>
      <w:r w:rsidRPr="00B45F7C" w:rsidDel="004005D7">
        <w:rPr>
          <w:rFonts w:ascii="Aptos" w:eastAsia="Aptos" w:hAnsi="Aptos" w:cs="Times New Roman"/>
          <w:sz w:val="18"/>
        </w:rPr>
        <w:t xml:space="preserve">are </w:t>
      </w:r>
      <w:r w:rsidRPr="00B45F7C">
        <w:rPr>
          <w:rFonts w:ascii="Aptos" w:eastAsia="Aptos" w:hAnsi="Aptos" w:cs="Times New Roman"/>
          <w:sz w:val="18"/>
        </w:rPr>
        <w:t>available for 2024.</w:t>
      </w:r>
    </w:p>
    <w:p w14:paraId="56A249A1" w14:textId="70078A48" w:rsidR="00677577" w:rsidRPr="00B45F7C" w:rsidRDefault="00677577" w:rsidP="00677577">
      <w:pPr>
        <w:spacing w:before="120"/>
        <w:rPr>
          <w:rFonts w:ascii="Aptos" w:eastAsia="Aptos" w:hAnsi="Aptos" w:cs="Times New Roman"/>
          <w:sz w:val="18"/>
        </w:rPr>
      </w:pPr>
      <w:r w:rsidRPr="00B45F7C">
        <w:rPr>
          <w:rFonts w:ascii="Aptos" w:eastAsia="Aptos" w:hAnsi="Aptos" w:cs="Times New Roman"/>
          <w:b/>
          <w:bCs/>
          <w:sz w:val="18"/>
        </w:rPr>
        <w:t>Source:</w:t>
      </w:r>
      <w:r w:rsidRPr="00B45F7C">
        <w:rPr>
          <w:rFonts w:ascii="Aptos" w:eastAsia="Aptos" w:hAnsi="Aptos" w:cs="Times New Roman"/>
          <w:sz w:val="18"/>
        </w:rPr>
        <w:t xml:space="preserve"> </w:t>
      </w:r>
      <w:r w:rsidR="004005D7">
        <w:rPr>
          <w:rFonts w:ascii="Aptos" w:eastAsia="Aptos" w:hAnsi="Aptos" w:cs="Times New Roman"/>
          <w:sz w:val="18"/>
        </w:rPr>
        <w:t>Department of Employment and Workplace Relations</w:t>
      </w:r>
      <w:r w:rsidR="00205A5C">
        <w:rPr>
          <w:rFonts w:ascii="Aptos" w:eastAsia="Aptos" w:hAnsi="Aptos" w:cs="Times New Roman"/>
          <w:sz w:val="18"/>
        </w:rPr>
        <w:t>,</w:t>
      </w:r>
      <w:r w:rsidR="004005D7">
        <w:rPr>
          <w:rFonts w:ascii="Aptos" w:eastAsia="Aptos" w:hAnsi="Aptos" w:cs="Times New Roman"/>
          <w:sz w:val="18"/>
        </w:rPr>
        <w:t xml:space="preserve"> </w:t>
      </w:r>
      <w:r w:rsidRPr="00B45F7C">
        <w:rPr>
          <w:rFonts w:ascii="Aptos" w:eastAsia="Aptos" w:hAnsi="Aptos" w:cs="Times New Roman"/>
          <w:sz w:val="18"/>
        </w:rPr>
        <w:t>Workplace Agreements Database.</w:t>
      </w:r>
    </w:p>
    <w:p w14:paraId="62D3AFB7" w14:textId="42E1CF8D" w:rsidR="0011475D" w:rsidRDefault="00677577" w:rsidP="00677577">
      <w:pPr>
        <w:rPr>
          <w:rFonts w:ascii="Aptos" w:eastAsia="Aptos" w:hAnsi="Aptos" w:cs="Times New Roman"/>
        </w:rPr>
      </w:pPr>
      <w:r w:rsidRPr="00096765">
        <w:rPr>
          <w:rFonts w:ascii="Aptos" w:eastAsia="Aptos" w:hAnsi="Aptos" w:cs="Times New Roman"/>
        </w:rPr>
        <w:t xml:space="preserve">Table </w:t>
      </w:r>
      <w:r w:rsidR="00007B20" w:rsidRPr="00096765">
        <w:rPr>
          <w:rFonts w:ascii="Aptos" w:eastAsia="Aptos" w:hAnsi="Aptos" w:cs="Times New Roman"/>
        </w:rPr>
        <w:t>5</w:t>
      </w:r>
      <w:r w:rsidR="00007B20">
        <w:rPr>
          <w:rFonts w:ascii="Aptos" w:eastAsia="Aptos" w:hAnsi="Aptos" w:cs="Times New Roman"/>
        </w:rPr>
        <w:t>9</w:t>
      </w:r>
      <w:r w:rsidR="00007B20" w:rsidRPr="00B45F7C" w:rsidDel="00F56A5F">
        <w:rPr>
          <w:rFonts w:ascii="Aptos" w:eastAsia="Aptos" w:hAnsi="Aptos" w:cs="Times New Roman"/>
        </w:rPr>
        <w:t xml:space="preserve"> </w:t>
      </w:r>
      <w:r w:rsidRPr="00B45F7C">
        <w:rPr>
          <w:rFonts w:ascii="Aptos" w:eastAsia="Aptos" w:hAnsi="Aptos" w:cs="Times New Roman"/>
        </w:rPr>
        <w:t>shows the coverage of ‘current’ (includes non-expired agreements). Around one-third of all current agreements are non-union. The latter cover around 7% of employees currently covered by a collective agreement.</w:t>
      </w:r>
    </w:p>
    <w:p w14:paraId="44B77FDD" w14:textId="15F1D742" w:rsidR="00677577" w:rsidRPr="00B45F7C" w:rsidRDefault="00844718" w:rsidP="00096765">
      <w:pPr>
        <w:pStyle w:val="Caption"/>
      </w:pPr>
      <w:bookmarkStart w:id="983" w:name="_Ref184404954"/>
      <w:bookmarkStart w:id="984" w:name="_Toc186906078"/>
      <w:bookmarkStart w:id="985" w:name="_Toc187514214"/>
      <w:bookmarkStart w:id="986" w:name="_Toc189310883"/>
      <w:bookmarkStart w:id="987" w:name="_Toc194251483"/>
      <w:r>
        <w:t xml:space="preserve">Table </w:t>
      </w:r>
      <w:r>
        <w:fldChar w:fldCharType="begin"/>
      </w:r>
      <w:r>
        <w:instrText xml:space="preserve"> SEQ Table \* ARABIC </w:instrText>
      </w:r>
      <w:r>
        <w:fldChar w:fldCharType="separate"/>
      </w:r>
      <w:r w:rsidR="00DE5F5E">
        <w:rPr>
          <w:noProof/>
        </w:rPr>
        <w:t>59</w:t>
      </w:r>
      <w:r>
        <w:fldChar w:fldCharType="end"/>
      </w:r>
      <w:r>
        <w:t xml:space="preserve">: </w:t>
      </w:r>
      <w:bookmarkEnd w:id="983"/>
      <w:r w:rsidR="00677577" w:rsidRPr="00B45F7C">
        <w:t>Number and coverage of current non-union collective agreements, December of each year</w:t>
      </w:r>
      <w:bookmarkEnd w:id="984"/>
      <w:bookmarkEnd w:id="985"/>
      <w:bookmarkEnd w:id="986"/>
      <w:bookmarkEnd w:id="987"/>
    </w:p>
    <w:tbl>
      <w:tblPr>
        <w:tblW w:w="9006" w:type="dxa"/>
        <w:tblLayout w:type="fixed"/>
        <w:tblCellMar>
          <w:left w:w="57" w:type="dxa"/>
          <w:right w:w="57" w:type="dxa"/>
        </w:tblCellMar>
        <w:tblLook w:val="04A0" w:firstRow="1" w:lastRow="0" w:firstColumn="1" w:lastColumn="0" w:noHBand="0" w:noVBand="1"/>
      </w:tblPr>
      <w:tblGrid>
        <w:gridCol w:w="1124"/>
        <w:gridCol w:w="1196"/>
        <w:gridCol w:w="1337"/>
        <w:gridCol w:w="1337"/>
        <w:gridCol w:w="1337"/>
        <w:gridCol w:w="1337"/>
        <w:gridCol w:w="1338"/>
      </w:tblGrid>
      <w:tr w:rsidR="00677577" w:rsidRPr="00236247" w14:paraId="7E27A2B0" w14:textId="77777777" w:rsidTr="00AF25C5">
        <w:trPr>
          <w:trHeight w:val="1560"/>
        </w:trPr>
        <w:tc>
          <w:tcPr>
            <w:tcW w:w="1124" w:type="dxa"/>
            <w:tcBorders>
              <w:top w:val="single" w:sz="8" w:space="0" w:color="auto"/>
              <w:left w:val="single" w:sz="8" w:space="0" w:color="auto"/>
              <w:bottom w:val="single" w:sz="8" w:space="0" w:color="auto"/>
              <w:right w:val="nil"/>
            </w:tcBorders>
            <w:shd w:val="clear" w:color="000000" w:fill="FFFFFF"/>
            <w:hideMark/>
          </w:tcPr>
          <w:p w14:paraId="4EB11B33" w14:textId="77777777" w:rsidR="00677577" w:rsidRPr="00096765" w:rsidRDefault="00677577" w:rsidP="00096765">
            <w:pPr>
              <w:spacing w:after="60" w:line="240" w:lineRule="auto"/>
              <w:rPr>
                <w:rFonts w:ascii="Aptos" w:eastAsia="Aptos" w:hAnsi="Aptos" w:cs="Times New Roman"/>
                <w:sz w:val="20"/>
                <w:szCs w:val="20"/>
                <w:lang w:eastAsia="en-AU"/>
              </w:rPr>
            </w:pPr>
            <w:r w:rsidRPr="00096765">
              <w:rPr>
                <w:rFonts w:ascii="Aptos" w:eastAsia="Aptos" w:hAnsi="Aptos" w:cs="Times New Roman"/>
                <w:sz w:val="20"/>
                <w:szCs w:val="20"/>
                <w:lang w:eastAsia="en-AU"/>
              </w:rPr>
              <w:t> </w:t>
            </w:r>
          </w:p>
        </w:tc>
        <w:tc>
          <w:tcPr>
            <w:tcW w:w="1196" w:type="dxa"/>
            <w:tcBorders>
              <w:top w:val="single" w:sz="8" w:space="0" w:color="auto"/>
              <w:left w:val="nil"/>
              <w:bottom w:val="single" w:sz="8" w:space="0" w:color="auto"/>
              <w:right w:val="nil"/>
            </w:tcBorders>
            <w:shd w:val="clear" w:color="000000" w:fill="FFFFFF"/>
            <w:hideMark/>
          </w:tcPr>
          <w:p w14:paraId="7B6D4C2A"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 xml:space="preserve">No of current non-union agreements </w:t>
            </w:r>
          </w:p>
        </w:tc>
        <w:tc>
          <w:tcPr>
            <w:tcW w:w="1337" w:type="dxa"/>
            <w:tcBorders>
              <w:top w:val="single" w:sz="8" w:space="0" w:color="auto"/>
              <w:left w:val="nil"/>
              <w:bottom w:val="single" w:sz="8" w:space="0" w:color="auto"/>
              <w:right w:val="nil"/>
            </w:tcBorders>
            <w:shd w:val="clear" w:color="000000" w:fill="FFFFFF"/>
            <w:hideMark/>
          </w:tcPr>
          <w:p w14:paraId="2B0FE2E4"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No of all current agreements</w:t>
            </w:r>
          </w:p>
        </w:tc>
        <w:tc>
          <w:tcPr>
            <w:tcW w:w="1337" w:type="dxa"/>
            <w:tcBorders>
              <w:top w:val="single" w:sz="8" w:space="0" w:color="auto"/>
              <w:left w:val="nil"/>
              <w:bottom w:val="single" w:sz="8" w:space="0" w:color="auto"/>
              <w:right w:val="nil"/>
            </w:tcBorders>
            <w:shd w:val="clear" w:color="000000" w:fill="FFFFFF"/>
            <w:hideMark/>
          </w:tcPr>
          <w:p w14:paraId="1B801395"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 of non-union vs all current agreements</w:t>
            </w:r>
          </w:p>
        </w:tc>
        <w:tc>
          <w:tcPr>
            <w:tcW w:w="1337" w:type="dxa"/>
            <w:tcBorders>
              <w:top w:val="single" w:sz="8" w:space="0" w:color="auto"/>
              <w:left w:val="nil"/>
              <w:bottom w:val="single" w:sz="8" w:space="0" w:color="auto"/>
              <w:right w:val="nil"/>
            </w:tcBorders>
            <w:shd w:val="clear" w:color="000000" w:fill="FFFFFF"/>
            <w:hideMark/>
          </w:tcPr>
          <w:p w14:paraId="1B7BEAF0" w14:textId="6AE7A1FA"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No of employees covered by non-union agreements (</w:t>
            </w:r>
            <w:r w:rsidR="004005D7" w:rsidRPr="00096765">
              <w:rPr>
                <w:rFonts w:ascii="Aptos" w:eastAsia="Aptos" w:hAnsi="Aptos" w:cs="Times New Roman"/>
                <w:sz w:val="20"/>
                <w:szCs w:val="20"/>
                <w:lang w:eastAsia="en-AU"/>
              </w:rPr>
              <w:t>‘</w:t>
            </w:r>
            <w:r w:rsidRPr="00096765">
              <w:rPr>
                <w:rFonts w:ascii="Aptos" w:eastAsia="Aptos" w:hAnsi="Aptos" w:cs="Times New Roman"/>
                <w:sz w:val="20"/>
                <w:szCs w:val="20"/>
                <w:lang w:eastAsia="en-AU"/>
              </w:rPr>
              <w:t>000)</w:t>
            </w:r>
          </w:p>
        </w:tc>
        <w:tc>
          <w:tcPr>
            <w:tcW w:w="1337" w:type="dxa"/>
            <w:tcBorders>
              <w:top w:val="single" w:sz="8" w:space="0" w:color="auto"/>
              <w:left w:val="nil"/>
              <w:bottom w:val="single" w:sz="8" w:space="0" w:color="auto"/>
              <w:right w:val="nil"/>
            </w:tcBorders>
            <w:shd w:val="clear" w:color="000000" w:fill="FFFFFF"/>
            <w:hideMark/>
          </w:tcPr>
          <w:p w14:paraId="7BF0A850" w14:textId="533DE689"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No of all employees covered by current agreements (</w:t>
            </w:r>
            <w:r w:rsidR="004005D7" w:rsidRPr="00096765">
              <w:rPr>
                <w:rFonts w:ascii="Aptos" w:eastAsia="Aptos" w:hAnsi="Aptos" w:cs="Times New Roman"/>
                <w:sz w:val="20"/>
                <w:szCs w:val="20"/>
                <w:lang w:eastAsia="en-AU"/>
              </w:rPr>
              <w:t>‘</w:t>
            </w:r>
            <w:r w:rsidRPr="00096765">
              <w:rPr>
                <w:rFonts w:ascii="Aptos" w:eastAsia="Aptos" w:hAnsi="Aptos" w:cs="Times New Roman"/>
                <w:sz w:val="20"/>
                <w:szCs w:val="20"/>
                <w:lang w:eastAsia="en-AU"/>
              </w:rPr>
              <w:t>000)</w:t>
            </w:r>
          </w:p>
        </w:tc>
        <w:tc>
          <w:tcPr>
            <w:tcW w:w="1338" w:type="dxa"/>
            <w:tcBorders>
              <w:top w:val="single" w:sz="8" w:space="0" w:color="auto"/>
              <w:left w:val="nil"/>
              <w:bottom w:val="single" w:sz="8" w:space="0" w:color="auto"/>
              <w:right w:val="single" w:sz="8" w:space="0" w:color="auto"/>
            </w:tcBorders>
            <w:shd w:val="clear" w:color="000000" w:fill="FFFFFF"/>
            <w:hideMark/>
          </w:tcPr>
          <w:p w14:paraId="5A760EEE"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 of employees covered by non-union agreements</w:t>
            </w:r>
          </w:p>
        </w:tc>
      </w:tr>
      <w:tr w:rsidR="00677577" w:rsidRPr="00236247" w14:paraId="448B397F" w14:textId="77777777" w:rsidTr="00AF25C5">
        <w:trPr>
          <w:trHeight w:val="300"/>
        </w:trPr>
        <w:tc>
          <w:tcPr>
            <w:tcW w:w="1124" w:type="dxa"/>
            <w:tcBorders>
              <w:top w:val="nil"/>
              <w:left w:val="single" w:sz="8" w:space="0" w:color="auto"/>
              <w:bottom w:val="nil"/>
              <w:right w:val="nil"/>
            </w:tcBorders>
            <w:shd w:val="clear" w:color="C0E6F5" w:fill="FFFFFF"/>
            <w:noWrap/>
            <w:hideMark/>
          </w:tcPr>
          <w:p w14:paraId="51993F29" w14:textId="77777777" w:rsidR="00677577" w:rsidRPr="00096765" w:rsidRDefault="00677577" w:rsidP="00096765">
            <w:pPr>
              <w:spacing w:after="60" w:line="240" w:lineRule="auto"/>
              <w:rPr>
                <w:rFonts w:ascii="Aptos" w:eastAsia="Aptos" w:hAnsi="Aptos" w:cs="Times New Roman"/>
                <w:sz w:val="20"/>
                <w:szCs w:val="20"/>
                <w:lang w:eastAsia="en-AU"/>
              </w:rPr>
            </w:pPr>
            <w:r w:rsidRPr="00096765">
              <w:rPr>
                <w:rFonts w:ascii="Aptos" w:eastAsia="Aptos" w:hAnsi="Aptos" w:cs="Times New Roman"/>
                <w:sz w:val="20"/>
                <w:szCs w:val="20"/>
                <w:lang w:eastAsia="en-AU"/>
              </w:rPr>
              <w:t>2012</w:t>
            </w:r>
          </w:p>
        </w:tc>
        <w:tc>
          <w:tcPr>
            <w:tcW w:w="1196" w:type="dxa"/>
            <w:tcBorders>
              <w:top w:val="nil"/>
              <w:left w:val="nil"/>
              <w:bottom w:val="nil"/>
              <w:right w:val="nil"/>
            </w:tcBorders>
            <w:shd w:val="clear" w:color="000000" w:fill="FFFFFF"/>
            <w:noWrap/>
            <w:vAlign w:val="bottom"/>
            <w:hideMark/>
          </w:tcPr>
          <w:p w14:paraId="7F18E03B"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6,126</w:t>
            </w:r>
          </w:p>
        </w:tc>
        <w:tc>
          <w:tcPr>
            <w:tcW w:w="1337" w:type="dxa"/>
            <w:tcBorders>
              <w:top w:val="nil"/>
              <w:left w:val="nil"/>
              <w:bottom w:val="nil"/>
              <w:right w:val="nil"/>
            </w:tcBorders>
            <w:shd w:val="clear" w:color="000000" w:fill="FFFFFF"/>
            <w:noWrap/>
            <w:vAlign w:val="bottom"/>
            <w:hideMark/>
          </w:tcPr>
          <w:p w14:paraId="785F3D8D"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23,605</w:t>
            </w:r>
          </w:p>
        </w:tc>
        <w:tc>
          <w:tcPr>
            <w:tcW w:w="1337" w:type="dxa"/>
            <w:tcBorders>
              <w:top w:val="nil"/>
              <w:left w:val="nil"/>
              <w:bottom w:val="nil"/>
              <w:right w:val="nil"/>
            </w:tcBorders>
            <w:shd w:val="clear" w:color="000000" w:fill="FFFFFF"/>
            <w:noWrap/>
            <w:vAlign w:val="bottom"/>
            <w:hideMark/>
          </w:tcPr>
          <w:p w14:paraId="78C94FD1"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26.0%</w:t>
            </w:r>
          </w:p>
        </w:tc>
        <w:tc>
          <w:tcPr>
            <w:tcW w:w="1337" w:type="dxa"/>
            <w:tcBorders>
              <w:top w:val="nil"/>
              <w:left w:val="nil"/>
              <w:bottom w:val="nil"/>
              <w:right w:val="nil"/>
            </w:tcBorders>
            <w:shd w:val="clear" w:color="000000" w:fill="FFFFFF"/>
            <w:noWrap/>
            <w:vAlign w:val="bottom"/>
            <w:hideMark/>
          </w:tcPr>
          <w:p w14:paraId="5E080008"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181</w:t>
            </w:r>
          </w:p>
        </w:tc>
        <w:tc>
          <w:tcPr>
            <w:tcW w:w="1337" w:type="dxa"/>
            <w:tcBorders>
              <w:top w:val="nil"/>
              <w:left w:val="nil"/>
              <w:bottom w:val="nil"/>
              <w:right w:val="nil"/>
            </w:tcBorders>
            <w:shd w:val="clear" w:color="000000" w:fill="FFFFFF"/>
            <w:noWrap/>
            <w:vAlign w:val="bottom"/>
            <w:hideMark/>
          </w:tcPr>
          <w:p w14:paraId="73F61D87"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2,532</w:t>
            </w:r>
          </w:p>
        </w:tc>
        <w:tc>
          <w:tcPr>
            <w:tcW w:w="1338" w:type="dxa"/>
            <w:tcBorders>
              <w:top w:val="nil"/>
              <w:left w:val="nil"/>
              <w:bottom w:val="nil"/>
              <w:right w:val="single" w:sz="8" w:space="0" w:color="auto"/>
            </w:tcBorders>
            <w:shd w:val="clear" w:color="000000" w:fill="FFFFFF"/>
            <w:noWrap/>
            <w:vAlign w:val="bottom"/>
            <w:hideMark/>
          </w:tcPr>
          <w:p w14:paraId="43D7B017"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7.2%</w:t>
            </w:r>
          </w:p>
        </w:tc>
      </w:tr>
      <w:tr w:rsidR="00677577" w:rsidRPr="00236247" w14:paraId="044A46E2" w14:textId="77777777" w:rsidTr="00AF25C5">
        <w:trPr>
          <w:trHeight w:val="300"/>
        </w:trPr>
        <w:tc>
          <w:tcPr>
            <w:tcW w:w="1124" w:type="dxa"/>
            <w:tcBorders>
              <w:top w:val="nil"/>
              <w:left w:val="single" w:sz="8" w:space="0" w:color="auto"/>
              <w:bottom w:val="nil"/>
              <w:right w:val="nil"/>
            </w:tcBorders>
            <w:shd w:val="clear" w:color="C0E6F5" w:fill="FFFFFF"/>
            <w:noWrap/>
            <w:hideMark/>
          </w:tcPr>
          <w:p w14:paraId="2C29A07E" w14:textId="77777777" w:rsidR="00677577" w:rsidRPr="00096765" w:rsidRDefault="00677577" w:rsidP="00096765">
            <w:pPr>
              <w:spacing w:after="60" w:line="240" w:lineRule="auto"/>
              <w:rPr>
                <w:rFonts w:ascii="Aptos" w:eastAsia="Aptos" w:hAnsi="Aptos" w:cs="Times New Roman"/>
                <w:sz w:val="20"/>
                <w:szCs w:val="20"/>
                <w:lang w:eastAsia="en-AU"/>
              </w:rPr>
            </w:pPr>
            <w:r w:rsidRPr="00096765">
              <w:rPr>
                <w:rFonts w:ascii="Aptos" w:eastAsia="Aptos" w:hAnsi="Aptos" w:cs="Times New Roman"/>
                <w:sz w:val="20"/>
                <w:szCs w:val="20"/>
                <w:lang w:eastAsia="en-AU"/>
              </w:rPr>
              <w:t>2013</w:t>
            </w:r>
          </w:p>
        </w:tc>
        <w:tc>
          <w:tcPr>
            <w:tcW w:w="1196" w:type="dxa"/>
            <w:tcBorders>
              <w:top w:val="nil"/>
              <w:left w:val="nil"/>
              <w:bottom w:val="nil"/>
              <w:right w:val="nil"/>
            </w:tcBorders>
            <w:shd w:val="clear" w:color="000000" w:fill="FFFFFF"/>
            <w:noWrap/>
            <w:vAlign w:val="bottom"/>
            <w:hideMark/>
          </w:tcPr>
          <w:p w14:paraId="53FED611"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6,594</w:t>
            </w:r>
          </w:p>
        </w:tc>
        <w:tc>
          <w:tcPr>
            <w:tcW w:w="1337" w:type="dxa"/>
            <w:tcBorders>
              <w:top w:val="nil"/>
              <w:left w:val="nil"/>
              <w:bottom w:val="nil"/>
              <w:right w:val="nil"/>
            </w:tcBorders>
            <w:shd w:val="clear" w:color="000000" w:fill="FFFFFF"/>
            <w:noWrap/>
            <w:vAlign w:val="bottom"/>
            <w:hideMark/>
          </w:tcPr>
          <w:p w14:paraId="72673146"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23,292</w:t>
            </w:r>
          </w:p>
        </w:tc>
        <w:tc>
          <w:tcPr>
            <w:tcW w:w="1337" w:type="dxa"/>
            <w:tcBorders>
              <w:top w:val="nil"/>
              <w:left w:val="nil"/>
              <w:bottom w:val="nil"/>
              <w:right w:val="nil"/>
            </w:tcBorders>
            <w:shd w:val="clear" w:color="000000" w:fill="FFFFFF"/>
            <w:noWrap/>
            <w:vAlign w:val="bottom"/>
            <w:hideMark/>
          </w:tcPr>
          <w:p w14:paraId="7BDA483B"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28.3%</w:t>
            </w:r>
          </w:p>
        </w:tc>
        <w:tc>
          <w:tcPr>
            <w:tcW w:w="1337" w:type="dxa"/>
            <w:tcBorders>
              <w:top w:val="nil"/>
              <w:left w:val="nil"/>
              <w:bottom w:val="nil"/>
              <w:right w:val="nil"/>
            </w:tcBorders>
            <w:shd w:val="clear" w:color="000000" w:fill="FFFFFF"/>
            <w:noWrap/>
            <w:vAlign w:val="bottom"/>
            <w:hideMark/>
          </w:tcPr>
          <w:p w14:paraId="0011FEBE"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201</w:t>
            </w:r>
          </w:p>
        </w:tc>
        <w:tc>
          <w:tcPr>
            <w:tcW w:w="1337" w:type="dxa"/>
            <w:tcBorders>
              <w:top w:val="nil"/>
              <w:left w:val="nil"/>
              <w:bottom w:val="nil"/>
              <w:right w:val="nil"/>
            </w:tcBorders>
            <w:shd w:val="clear" w:color="000000" w:fill="FFFFFF"/>
            <w:noWrap/>
            <w:vAlign w:val="bottom"/>
            <w:hideMark/>
          </w:tcPr>
          <w:p w14:paraId="4D666383"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2,620</w:t>
            </w:r>
          </w:p>
        </w:tc>
        <w:tc>
          <w:tcPr>
            <w:tcW w:w="1338" w:type="dxa"/>
            <w:tcBorders>
              <w:top w:val="nil"/>
              <w:left w:val="nil"/>
              <w:bottom w:val="nil"/>
              <w:right w:val="single" w:sz="8" w:space="0" w:color="auto"/>
            </w:tcBorders>
            <w:shd w:val="clear" w:color="000000" w:fill="FFFFFF"/>
            <w:noWrap/>
            <w:vAlign w:val="bottom"/>
            <w:hideMark/>
          </w:tcPr>
          <w:p w14:paraId="6C048409"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7.7%</w:t>
            </w:r>
          </w:p>
        </w:tc>
      </w:tr>
      <w:tr w:rsidR="00677577" w:rsidRPr="00236247" w14:paraId="535B03FA" w14:textId="77777777" w:rsidTr="00AF25C5">
        <w:trPr>
          <w:trHeight w:val="300"/>
        </w:trPr>
        <w:tc>
          <w:tcPr>
            <w:tcW w:w="1124" w:type="dxa"/>
            <w:tcBorders>
              <w:top w:val="nil"/>
              <w:left w:val="single" w:sz="8" w:space="0" w:color="auto"/>
              <w:bottom w:val="nil"/>
              <w:right w:val="nil"/>
            </w:tcBorders>
            <w:shd w:val="clear" w:color="C0E6F5" w:fill="FFFFFF"/>
            <w:noWrap/>
            <w:hideMark/>
          </w:tcPr>
          <w:p w14:paraId="308DF816" w14:textId="77777777" w:rsidR="00677577" w:rsidRPr="00096765" w:rsidRDefault="00677577" w:rsidP="00096765">
            <w:pPr>
              <w:spacing w:after="60" w:line="240" w:lineRule="auto"/>
              <w:rPr>
                <w:rFonts w:ascii="Aptos" w:eastAsia="Aptos" w:hAnsi="Aptos" w:cs="Times New Roman"/>
                <w:sz w:val="20"/>
                <w:szCs w:val="20"/>
                <w:lang w:eastAsia="en-AU"/>
              </w:rPr>
            </w:pPr>
            <w:r w:rsidRPr="00096765">
              <w:rPr>
                <w:rFonts w:ascii="Aptos" w:eastAsia="Aptos" w:hAnsi="Aptos" w:cs="Times New Roman"/>
                <w:sz w:val="20"/>
                <w:szCs w:val="20"/>
                <w:lang w:eastAsia="en-AU"/>
              </w:rPr>
              <w:t>2014</w:t>
            </w:r>
          </w:p>
        </w:tc>
        <w:tc>
          <w:tcPr>
            <w:tcW w:w="1196" w:type="dxa"/>
            <w:tcBorders>
              <w:top w:val="nil"/>
              <w:left w:val="nil"/>
              <w:bottom w:val="nil"/>
              <w:right w:val="nil"/>
            </w:tcBorders>
            <w:shd w:val="clear" w:color="000000" w:fill="FFFFFF"/>
            <w:noWrap/>
            <w:vAlign w:val="bottom"/>
            <w:hideMark/>
          </w:tcPr>
          <w:p w14:paraId="51732F5F"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5,705</w:t>
            </w:r>
          </w:p>
        </w:tc>
        <w:tc>
          <w:tcPr>
            <w:tcW w:w="1337" w:type="dxa"/>
            <w:tcBorders>
              <w:top w:val="nil"/>
              <w:left w:val="nil"/>
              <w:bottom w:val="nil"/>
              <w:right w:val="nil"/>
            </w:tcBorders>
            <w:shd w:val="clear" w:color="000000" w:fill="FFFFFF"/>
            <w:noWrap/>
            <w:vAlign w:val="bottom"/>
            <w:hideMark/>
          </w:tcPr>
          <w:p w14:paraId="4AED1F03"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19,031</w:t>
            </w:r>
          </w:p>
        </w:tc>
        <w:tc>
          <w:tcPr>
            <w:tcW w:w="1337" w:type="dxa"/>
            <w:tcBorders>
              <w:top w:val="nil"/>
              <w:left w:val="nil"/>
              <w:bottom w:val="nil"/>
              <w:right w:val="nil"/>
            </w:tcBorders>
            <w:shd w:val="clear" w:color="000000" w:fill="FFFFFF"/>
            <w:noWrap/>
            <w:vAlign w:val="bottom"/>
            <w:hideMark/>
          </w:tcPr>
          <w:p w14:paraId="05CB8538"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30.0%</w:t>
            </w:r>
          </w:p>
        </w:tc>
        <w:tc>
          <w:tcPr>
            <w:tcW w:w="1337" w:type="dxa"/>
            <w:tcBorders>
              <w:top w:val="nil"/>
              <w:left w:val="nil"/>
              <w:bottom w:val="nil"/>
              <w:right w:val="nil"/>
            </w:tcBorders>
            <w:shd w:val="clear" w:color="000000" w:fill="FFFFFF"/>
            <w:noWrap/>
            <w:vAlign w:val="bottom"/>
            <w:hideMark/>
          </w:tcPr>
          <w:p w14:paraId="6BC261A0"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197</w:t>
            </w:r>
          </w:p>
        </w:tc>
        <w:tc>
          <w:tcPr>
            <w:tcW w:w="1337" w:type="dxa"/>
            <w:tcBorders>
              <w:top w:val="nil"/>
              <w:left w:val="nil"/>
              <w:bottom w:val="nil"/>
              <w:right w:val="nil"/>
            </w:tcBorders>
            <w:shd w:val="clear" w:color="000000" w:fill="FFFFFF"/>
            <w:noWrap/>
            <w:vAlign w:val="bottom"/>
            <w:hideMark/>
          </w:tcPr>
          <w:p w14:paraId="1B281E61"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2,411</w:t>
            </w:r>
          </w:p>
        </w:tc>
        <w:tc>
          <w:tcPr>
            <w:tcW w:w="1338" w:type="dxa"/>
            <w:tcBorders>
              <w:top w:val="nil"/>
              <w:left w:val="nil"/>
              <w:bottom w:val="nil"/>
              <w:right w:val="single" w:sz="8" w:space="0" w:color="auto"/>
            </w:tcBorders>
            <w:shd w:val="clear" w:color="000000" w:fill="FFFFFF"/>
            <w:noWrap/>
            <w:vAlign w:val="bottom"/>
            <w:hideMark/>
          </w:tcPr>
          <w:p w14:paraId="6D222E67"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8.2%</w:t>
            </w:r>
          </w:p>
        </w:tc>
      </w:tr>
      <w:tr w:rsidR="00677577" w:rsidRPr="00236247" w14:paraId="7298A3C8" w14:textId="77777777" w:rsidTr="00AF25C5">
        <w:trPr>
          <w:trHeight w:val="300"/>
        </w:trPr>
        <w:tc>
          <w:tcPr>
            <w:tcW w:w="1124" w:type="dxa"/>
            <w:tcBorders>
              <w:top w:val="nil"/>
              <w:left w:val="single" w:sz="8" w:space="0" w:color="auto"/>
              <w:bottom w:val="nil"/>
              <w:right w:val="nil"/>
            </w:tcBorders>
            <w:shd w:val="clear" w:color="C0E6F5" w:fill="FFFFFF"/>
            <w:noWrap/>
            <w:hideMark/>
          </w:tcPr>
          <w:p w14:paraId="65B470A6" w14:textId="77777777" w:rsidR="00677577" w:rsidRPr="00096765" w:rsidRDefault="00677577" w:rsidP="00096765">
            <w:pPr>
              <w:spacing w:after="60" w:line="240" w:lineRule="auto"/>
              <w:rPr>
                <w:rFonts w:ascii="Aptos" w:eastAsia="Aptos" w:hAnsi="Aptos" w:cs="Times New Roman"/>
                <w:sz w:val="20"/>
                <w:szCs w:val="20"/>
                <w:lang w:eastAsia="en-AU"/>
              </w:rPr>
            </w:pPr>
            <w:r w:rsidRPr="00096765">
              <w:rPr>
                <w:rFonts w:ascii="Aptos" w:eastAsia="Aptos" w:hAnsi="Aptos" w:cs="Times New Roman"/>
                <w:sz w:val="20"/>
                <w:szCs w:val="20"/>
                <w:lang w:eastAsia="en-AU"/>
              </w:rPr>
              <w:t>2015</w:t>
            </w:r>
          </w:p>
        </w:tc>
        <w:tc>
          <w:tcPr>
            <w:tcW w:w="1196" w:type="dxa"/>
            <w:tcBorders>
              <w:top w:val="nil"/>
              <w:left w:val="nil"/>
              <w:bottom w:val="nil"/>
              <w:right w:val="nil"/>
            </w:tcBorders>
            <w:shd w:val="clear" w:color="000000" w:fill="FFFFFF"/>
            <w:noWrap/>
            <w:vAlign w:val="bottom"/>
            <w:hideMark/>
          </w:tcPr>
          <w:p w14:paraId="5652808C"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5,554</w:t>
            </w:r>
          </w:p>
        </w:tc>
        <w:tc>
          <w:tcPr>
            <w:tcW w:w="1337" w:type="dxa"/>
            <w:tcBorders>
              <w:top w:val="nil"/>
              <w:left w:val="nil"/>
              <w:bottom w:val="nil"/>
              <w:right w:val="nil"/>
            </w:tcBorders>
            <w:shd w:val="clear" w:color="000000" w:fill="FFFFFF"/>
            <w:noWrap/>
            <w:vAlign w:val="bottom"/>
            <w:hideMark/>
          </w:tcPr>
          <w:p w14:paraId="361A5872"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14,666</w:t>
            </w:r>
          </w:p>
        </w:tc>
        <w:tc>
          <w:tcPr>
            <w:tcW w:w="1337" w:type="dxa"/>
            <w:tcBorders>
              <w:top w:val="nil"/>
              <w:left w:val="nil"/>
              <w:bottom w:val="nil"/>
              <w:right w:val="nil"/>
            </w:tcBorders>
            <w:shd w:val="clear" w:color="000000" w:fill="FFFFFF"/>
            <w:noWrap/>
            <w:vAlign w:val="bottom"/>
            <w:hideMark/>
          </w:tcPr>
          <w:p w14:paraId="2BBFE23C"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37.9%</w:t>
            </w:r>
          </w:p>
        </w:tc>
        <w:tc>
          <w:tcPr>
            <w:tcW w:w="1337" w:type="dxa"/>
            <w:tcBorders>
              <w:top w:val="nil"/>
              <w:left w:val="nil"/>
              <w:bottom w:val="nil"/>
              <w:right w:val="nil"/>
            </w:tcBorders>
            <w:shd w:val="clear" w:color="000000" w:fill="FFFFFF"/>
            <w:noWrap/>
            <w:vAlign w:val="bottom"/>
            <w:hideMark/>
          </w:tcPr>
          <w:p w14:paraId="7B56E2F2"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206</w:t>
            </w:r>
          </w:p>
        </w:tc>
        <w:tc>
          <w:tcPr>
            <w:tcW w:w="1337" w:type="dxa"/>
            <w:tcBorders>
              <w:top w:val="nil"/>
              <w:left w:val="nil"/>
              <w:bottom w:val="nil"/>
              <w:right w:val="nil"/>
            </w:tcBorders>
            <w:shd w:val="clear" w:color="000000" w:fill="FFFFFF"/>
            <w:noWrap/>
            <w:vAlign w:val="bottom"/>
            <w:hideMark/>
          </w:tcPr>
          <w:p w14:paraId="4F4D653C"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2,244</w:t>
            </w:r>
          </w:p>
        </w:tc>
        <w:tc>
          <w:tcPr>
            <w:tcW w:w="1338" w:type="dxa"/>
            <w:tcBorders>
              <w:top w:val="nil"/>
              <w:left w:val="nil"/>
              <w:bottom w:val="nil"/>
              <w:right w:val="single" w:sz="8" w:space="0" w:color="auto"/>
            </w:tcBorders>
            <w:shd w:val="clear" w:color="000000" w:fill="FFFFFF"/>
            <w:noWrap/>
            <w:vAlign w:val="bottom"/>
            <w:hideMark/>
          </w:tcPr>
          <w:p w14:paraId="67318A6F"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9.2%</w:t>
            </w:r>
          </w:p>
        </w:tc>
      </w:tr>
      <w:tr w:rsidR="00677577" w:rsidRPr="00236247" w14:paraId="76629FB3" w14:textId="77777777" w:rsidTr="00AF25C5">
        <w:trPr>
          <w:trHeight w:val="300"/>
        </w:trPr>
        <w:tc>
          <w:tcPr>
            <w:tcW w:w="1124" w:type="dxa"/>
            <w:tcBorders>
              <w:top w:val="nil"/>
              <w:left w:val="single" w:sz="8" w:space="0" w:color="auto"/>
              <w:bottom w:val="nil"/>
              <w:right w:val="nil"/>
            </w:tcBorders>
            <w:shd w:val="clear" w:color="C0E6F5" w:fill="FFFFFF"/>
            <w:noWrap/>
            <w:hideMark/>
          </w:tcPr>
          <w:p w14:paraId="64D0193A" w14:textId="77777777" w:rsidR="00677577" w:rsidRPr="00096765" w:rsidRDefault="00677577" w:rsidP="00096765">
            <w:pPr>
              <w:spacing w:after="60" w:line="240" w:lineRule="auto"/>
              <w:rPr>
                <w:rFonts w:ascii="Aptos" w:eastAsia="Aptos" w:hAnsi="Aptos" w:cs="Times New Roman"/>
                <w:sz w:val="20"/>
                <w:szCs w:val="20"/>
                <w:lang w:eastAsia="en-AU"/>
              </w:rPr>
            </w:pPr>
            <w:r w:rsidRPr="00096765">
              <w:rPr>
                <w:rFonts w:ascii="Aptos" w:eastAsia="Aptos" w:hAnsi="Aptos" w:cs="Times New Roman"/>
                <w:sz w:val="20"/>
                <w:szCs w:val="20"/>
                <w:lang w:eastAsia="en-AU"/>
              </w:rPr>
              <w:t>2016</w:t>
            </w:r>
          </w:p>
        </w:tc>
        <w:tc>
          <w:tcPr>
            <w:tcW w:w="1196" w:type="dxa"/>
            <w:tcBorders>
              <w:top w:val="nil"/>
              <w:left w:val="nil"/>
              <w:bottom w:val="nil"/>
              <w:right w:val="nil"/>
            </w:tcBorders>
            <w:shd w:val="clear" w:color="000000" w:fill="FFFFFF"/>
            <w:noWrap/>
            <w:vAlign w:val="bottom"/>
            <w:hideMark/>
          </w:tcPr>
          <w:p w14:paraId="1E64C3BA"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5,272</w:t>
            </w:r>
          </w:p>
        </w:tc>
        <w:tc>
          <w:tcPr>
            <w:tcW w:w="1337" w:type="dxa"/>
            <w:tcBorders>
              <w:top w:val="nil"/>
              <w:left w:val="nil"/>
              <w:bottom w:val="nil"/>
              <w:right w:val="nil"/>
            </w:tcBorders>
            <w:shd w:val="clear" w:color="000000" w:fill="FFFFFF"/>
            <w:noWrap/>
            <w:vAlign w:val="bottom"/>
            <w:hideMark/>
          </w:tcPr>
          <w:p w14:paraId="1AB58180"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14,752</w:t>
            </w:r>
          </w:p>
        </w:tc>
        <w:tc>
          <w:tcPr>
            <w:tcW w:w="1337" w:type="dxa"/>
            <w:tcBorders>
              <w:top w:val="nil"/>
              <w:left w:val="nil"/>
              <w:bottom w:val="nil"/>
              <w:right w:val="nil"/>
            </w:tcBorders>
            <w:shd w:val="clear" w:color="000000" w:fill="FFFFFF"/>
            <w:noWrap/>
            <w:vAlign w:val="bottom"/>
            <w:hideMark/>
          </w:tcPr>
          <w:p w14:paraId="4035D78D"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37.9%</w:t>
            </w:r>
          </w:p>
        </w:tc>
        <w:tc>
          <w:tcPr>
            <w:tcW w:w="1337" w:type="dxa"/>
            <w:tcBorders>
              <w:top w:val="nil"/>
              <w:left w:val="nil"/>
              <w:bottom w:val="nil"/>
              <w:right w:val="nil"/>
            </w:tcBorders>
            <w:shd w:val="clear" w:color="000000" w:fill="FFFFFF"/>
            <w:noWrap/>
            <w:vAlign w:val="bottom"/>
            <w:hideMark/>
          </w:tcPr>
          <w:p w14:paraId="6C9B2412"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194</w:t>
            </w:r>
          </w:p>
        </w:tc>
        <w:tc>
          <w:tcPr>
            <w:tcW w:w="1337" w:type="dxa"/>
            <w:tcBorders>
              <w:top w:val="nil"/>
              <w:left w:val="nil"/>
              <w:bottom w:val="nil"/>
              <w:right w:val="nil"/>
            </w:tcBorders>
            <w:shd w:val="clear" w:color="000000" w:fill="FFFFFF"/>
            <w:noWrap/>
            <w:vAlign w:val="bottom"/>
            <w:hideMark/>
          </w:tcPr>
          <w:p w14:paraId="16C3BD4E"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2,070</w:t>
            </w:r>
          </w:p>
        </w:tc>
        <w:tc>
          <w:tcPr>
            <w:tcW w:w="1338" w:type="dxa"/>
            <w:tcBorders>
              <w:top w:val="nil"/>
              <w:left w:val="nil"/>
              <w:bottom w:val="nil"/>
              <w:right w:val="single" w:sz="8" w:space="0" w:color="auto"/>
            </w:tcBorders>
            <w:shd w:val="clear" w:color="000000" w:fill="FFFFFF"/>
            <w:noWrap/>
            <w:vAlign w:val="bottom"/>
            <w:hideMark/>
          </w:tcPr>
          <w:p w14:paraId="6E420910"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9.4%</w:t>
            </w:r>
          </w:p>
        </w:tc>
      </w:tr>
      <w:tr w:rsidR="00677577" w:rsidRPr="00236247" w14:paraId="325D36D3" w14:textId="77777777" w:rsidTr="00AF25C5">
        <w:trPr>
          <w:trHeight w:val="300"/>
        </w:trPr>
        <w:tc>
          <w:tcPr>
            <w:tcW w:w="1124" w:type="dxa"/>
            <w:tcBorders>
              <w:top w:val="nil"/>
              <w:left w:val="single" w:sz="8" w:space="0" w:color="auto"/>
              <w:bottom w:val="nil"/>
              <w:right w:val="nil"/>
            </w:tcBorders>
            <w:shd w:val="clear" w:color="C0E6F5" w:fill="FFFFFF"/>
            <w:noWrap/>
            <w:hideMark/>
          </w:tcPr>
          <w:p w14:paraId="40957DA7" w14:textId="77777777" w:rsidR="00677577" w:rsidRPr="00096765" w:rsidRDefault="00677577" w:rsidP="00096765">
            <w:pPr>
              <w:spacing w:after="60" w:line="240" w:lineRule="auto"/>
              <w:rPr>
                <w:rFonts w:ascii="Aptos" w:eastAsia="Aptos" w:hAnsi="Aptos" w:cs="Times New Roman"/>
                <w:sz w:val="20"/>
                <w:szCs w:val="20"/>
                <w:lang w:eastAsia="en-AU"/>
              </w:rPr>
            </w:pPr>
            <w:r w:rsidRPr="00096765">
              <w:rPr>
                <w:rFonts w:ascii="Aptos" w:eastAsia="Aptos" w:hAnsi="Aptos" w:cs="Times New Roman"/>
                <w:sz w:val="20"/>
                <w:szCs w:val="20"/>
                <w:lang w:eastAsia="en-AU"/>
              </w:rPr>
              <w:t>2017</w:t>
            </w:r>
          </w:p>
        </w:tc>
        <w:tc>
          <w:tcPr>
            <w:tcW w:w="1196" w:type="dxa"/>
            <w:tcBorders>
              <w:top w:val="nil"/>
              <w:left w:val="nil"/>
              <w:bottom w:val="nil"/>
              <w:right w:val="nil"/>
            </w:tcBorders>
            <w:shd w:val="clear" w:color="000000" w:fill="FFFFFF"/>
            <w:noWrap/>
            <w:vAlign w:val="bottom"/>
            <w:hideMark/>
          </w:tcPr>
          <w:p w14:paraId="42025199"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4,637</w:t>
            </w:r>
          </w:p>
        </w:tc>
        <w:tc>
          <w:tcPr>
            <w:tcW w:w="1337" w:type="dxa"/>
            <w:tcBorders>
              <w:top w:val="nil"/>
              <w:left w:val="nil"/>
              <w:bottom w:val="nil"/>
              <w:right w:val="nil"/>
            </w:tcBorders>
            <w:shd w:val="clear" w:color="000000" w:fill="FFFFFF"/>
            <w:noWrap/>
            <w:vAlign w:val="bottom"/>
            <w:hideMark/>
          </w:tcPr>
          <w:p w14:paraId="6E0143EE"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13,072</w:t>
            </w:r>
          </w:p>
        </w:tc>
        <w:tc>
          <w:tcPr>
            <w:tcW w:w="1337" w:type="dxa"/>
            <w:tcBorders>
              <w:top w:val="nil"/>
              <w:left w:val="nil"/>
              <w:bottom w:val="nil"/>
              <w:right w:val="nil"/>
            </w:tcBorders>
            <w:shd w:val="clear" w:color="000000" w:fill="FFFFFF"/>
            <w:noWrap/>
            <w:vAlign w:val="bottom"/>
            <w:hideMark/>
          </w:tcPr>
          <w:p w14:paraId="4197EA23"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35.5%</w:t>
            </w:r>
          </w:p>
        </w:tc>
        <w:tc>
          <w:tcPr>
            <w:tcW w:w="1337" w:type="dxa"/>
            <w:tcBorders>
              <w:top w:val="nil"/>
              <w:left w:val="nil"/>
              <w:bottom w:val="nil"/>
              <w:right w:val="nil"/>
            </w:tcBorders>
            <w:shd w:val="clear" w:color="000000" w:fill="FFFFFF"/>
            <w:noWrap/>
            <w:vAlign w:val="bottom"/>
            <w:hideMark/>
          </w:tcPr>
          <w:p w14:paraId="7BFE111C"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169</w:t>
            </w:r>
          </w:p>
        </w:tc>
        <w:tc>
          <w:tcPr>
            <w:tcW w:w="1337" w:type="dxa"/>
            <w:tcBorders>
              <w:top w:val="nil"/>
              <w:left w:val="nil"/>
              <w:bottom w:val="nil"/>
              <w:right w:val="nil"/>
            </w:tcBorders>
            <w:shd w:val="clear" w:color="000000" w:fill="FFFFFF"/>
            <w:noWrap/>
            <w:vAlign w:val="bottom"/>
            <w:hideMark/>
          </w:tcPr>
          <w:p w14:paraId="5CE35B8D"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1,822</w:t>
            </w:r>
          </w:p>
        </w:tc>
        <w:tc>
          <w:tcPr>
            <w:tcW w:w="1338" w:type="dxa"/>
            <w:tcBorders>
              <w:top w:val="nil"/>
              <w:left w:val="nil"/>
              <w:bottom w:val="nil"/>
              <w:right w:val="single" w:sz="8" w:space="0" w:color="auto"/>
            </w:tcBorders>
            <w:shd w:val="clear" w:color="000000" w:fill="FFFFFF"/>
            <w:noWrap/>
            <w:vAlign w:val="bottom"/>
            <w:hideMark/>
          </w:tcPr>
          <w:p w14:paraId="193C1E25"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9.3%</w:t>
            </w:r>
          </w:p>
        </w:tc>
      </w:tr>
      <w:tr w:rsidR="00677577" w:rsidRPr="00236247" w14:paraId="3EA54632" w14:textId="77777777" w:rsidTr="00AF25C5">
        <w:trPr>
          <w:trHeight w:val="300"/>
        </w:trPr>
        <w:tc>
          <w:tcPr>
            <w:tcW w:w="1124" w:type="dxa"/>
            <w:tcBorders>
              <w:top w:val="nil"/>
              <w:left w:val="single" w:sz="8" w:space="0" w:color="auto"/>
              <w:bottom w:val="nil"/>
              <w:right w:val="nil"/>
            </w:tcBorders>
            <w:shd w:val="clear" w:color="C0E6F5" w:fill="FFFFFF"/>
            <w:noWrap/>
            <w:hideMark/>
          </w:tcPr>
          <w:p w14:paraId="3D0D1E22" w14:textId="77777777" w:rsidR="00677577" w:rsidRPr="00096765" w:rsidRDefault="00677577" w:rsidP="00096765">
            <w:pPr>
              <w:spacing w:after="60" w:line="240" w:lineRule="auto"/>
              <w:rPr>
                <w:rFonts w:ascii="Aptos" w:eastAsia="Aptos" w:hAnsi="Aptos" w:cs="Times New Roman"/>
                <w:sz w:val="20"/>
                <w:szCs w:val="20"/>
                <w:lang w:eastAsia="en-AU"/>
              </w:rPr>
            </w:pPr>
            <w:r w:rsidRPr="00096765">
              <w:rPr>
                <w:rFonts w:ascii="Aptos" w:eastAsia="Aptos" w:hAnsi="Aptos" w:cs="Times New Roman"/>
                <w:sz w:val="20"/>
                <w:szCs w:val="20"/>
                <w:lang w:eastAsia="en-AU"/>
              </w:rPr>
              <w:t>2018</w:t>
            </w:r>
          </w:p>
        </w:tc>
        <w:tc>
          <w:tcPr>
            <w:tcW w:w="1196" w:type="dxa"/>
            <w:tcBorders>
              <w:top w:val="nil"/>
              <w:left w:val="nil"/>
              <w:bottom w:val="nil"/>
              <w:right w:val="nil"/>
            </w:tcBorders>
            <w:shd w:val="clear" w:color="000000" w:fill="FFFFFF"/>
            <w:noWrap/>
            <w:vAlign w:val="bottom"/>
            <w:hideMark/>
          </w:tcPr>
          <w:p w14:paraId="3B49E441"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3,824</w:t>
            </w:r>
          </w:p>
        </w:tc>
        <w:tc>
          <w:tcPr>
            <w:tcW w:w="1337" w:type="dxa"/>
            <w:tcBorders>
              <w:top w:val="nil"/>
              <w:left w:val="nil"/>
              <w:bottom w:val="nil"/>
              <w:right w:val="nil"/>
            </w:tcBorders>
            <w:shd w:val="clear" w:color="000000" w:fill="FFFFFF"/>
            <w:noWrap/>
            <w:vAlign w:val="bottom"/>
            <w:hideMark/>
          </w:tcPr>
          <w:p w14:paraId="1CC66CA7"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10,994</w:t>
            </w:r>
          </w:p>
        </w:tc>
        <w:tc>
          <w:tcPr>
            <w:tcW w:w="1337" w:type="dxa"/>
            <w:tcBorders>
              <w:top w:val="nil"/>
              <w:left w:val="nil"/>
              <w:bottom w:val="nil"/>
              <w:right w:val="nil"/>
            </w:tcBorders>
            <w:shd w:val="clear" w:color="000000" w:fill="FFFFFF"/>
            <w:noWrap/>
            <w:vAlign w:val="bottom"/>
            <w:hideMark/>
          </w:tcPr>
          <w:p w14:paraId="034310BF"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34.8%</w:t>
            </w:r>
          </w:p>
        </w:tc>
        <w:tc>
          <w:tcPr>
            <w:tcW w:w="1337" w:type="dxa"/>
            <w:tcBorders>
              <w:top w:val="nil"/>
              <w:left w:val="nil"/>
              <w:bottom w:val="nil"/>
              <w:right w:val="nil"/>
            </w:tcBorders>
            <w:shd w:val="clear" w:color="000000" w:fill="FFFFFF"/>
            <w:noWrap/>
            <w:vAlign w:val="bottom"/>
            <w:hideMark/>
          </w:tcPr>
          <w:p w14:paraId="3EE62D34"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121</w:t>
            </w:r>
          </w:p>
        </w:tc>
        <w:tc>
          <w:tcPr>
            <w:tcW w:w="1337" w:type="dxa"/>
            <w:tcBorders>
              <w:top w:val="nil"/>
              <w:left w:val="nil"/>
              <w:bottom w:val="nil"/>
              <w:right w:val="nil"/>
            </w:tcBorders>
            <w:shd w:val="clear" w:color="000000" w:fill="FFFFFF"/>
            <w:noWrap/>
            <w:vAlign w:val="bottom"/>
            <w:hideMark/>
          </w:tcPr>
          <w:p w14:paraId="1F60F81D"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1,893</w:t>
            </w:r>
          </w:p>
        </w:tc>
        <w:tc>
          <w:tcPr>
            <w:tcW w:w="1338" w:type="dxa"/>
            <w:tcBorders>
              <w:top w:val="nil"/>
              <w:left w:val="nil"/>
              <w:bottom w:val="nil"/>
              <w:right w:val="single" w:sz="8" w:space="0" w:color="auto"/>
            </w:tcBorders>
            <w:shd w:val="clear" w:color="000000" w:fill="FFFFFF"/>
            <w:noWrap/>
            <w:vAlign w:val="bottom"/>
            <w:hideMark/>
          </w:tcPr>
          <w:p w14:paraId="661B414E"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6.4%</w:t>
            </w:r>
          </w:p>
        </w:tc>
      </w:tr>
      <w:tr w:rsidR="00677577" w:rsidRPr="00236247" w14:paraId="24D70007" w14:textId="77777777" w:rsidTr="00AF25C5">
        <w:trPr>
          <w:trHeight w:val="300"/>
        </w:trPr>
        <w:tc>
          <w:tcPr>
            <w:tcW w:w="1124" w:type="dxa"/>
            <w:tcBorders>
              <w:top w:val="nil"/>
              <w:left w:val="single" w:sz="8" w:space="0" w:color="auto"/>
              <w:bottom w:val="nil"/>
              <w:right w:val="nil"/>
            </w:tcBorders>
            <w:shd w:val="clear" w:color="C0E6F5" w:fill="FFFFFF"/>
            <w:noWrap/>
            <w:hideMark/>
          </w:tcPr>
          <w:p w14:paraId="6582C57A" w14:textId="77777777" w:rsidR="00677577" w:rsidRPr="00096765" w:rsidRDefault="00677577" w:rsidP="00096765">
            <w:pPr>
              <w:spacing w:after="60" w:line="240" w:lineRule="auto"/>
              <w:rPr>
                <w:rFonts w:ascii="Aptos" w:eastAsia="Aptos" w:hAnsi="Aptos" w:cs="Times New Roman"/>
                <w:sz w:val="20"/>
                <w:szCs w:val="20"/>
                <w:lang w:eastAsia="en-AU"/>
              </w:rPr>
            </w:pPr>
            <w:r w:rsidRPr="00096765">
              <w:rPr>
                <w:rFonts w:ascii="Aptos" w:eastAsia="Aptos" w:hAnsi="Aptos" w:cs="Times New Roman"/>
                <w:sz w:val="20"/>
                <w:szCs w:val="20"/>
                <w:lang w:eastAsia="en-AU"/>
              </w:rPr>
              <w:t>2019</w:t>
            </w:r>
          </w:p>
        </w:tc>
        <w:tc>
          <w:tcPr>
            <w:tcW w:w="1196" w:type="dxa"/>
            <w:tcBorders>
              <w:top w:val="nil"/>
              <w:left w:val="nil"/>
              <w:bottom w:val="nil"/>
              <w:right w:val="nil"/>
            </w:tcBorders>
            <w:shd w:val="clear" w:color="000000" w:fill="FFFFFF"/>
            <w:noWrap/>
            <w:vAlign w:val="bottom"/>
            <w:hideMark/>
          </w:tcPr>
          <w:p w14:paraId="64DEC6F0"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3,795</w:t>
            </w:r>
          </w:p>
        </w:tc>
        <w:tc>
          <w:tcPr>
            <w:tcW w:w="1337" w:type="dxa"/>
            <w:tcBorders>
              <w:top w:val="nil"/>
              <w:left w:val="nil"/>
              <w:bottom w:val="nil"/>
              <w:right w:val="nil"/>
            </w:tcBorders>
            <w:shd w:val="clear" w:color="000000" w:fill="FFFFFF"/>
            <w:noWrap/>
            <w:vAlign w:val="bottom"/>
            <w:hideMark/>
          </w:tcPr>
          <w:p w14:paraId="5182DB6C"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10,831</w:t>
            </w:r>
          </w:p>
        </w:tc>
        <w:tc>
          <w:tcPr>
            <w:tcW w:w="1337" w:type="dxa"/>
            <w:tcBorders>
              <w:top w:val="nil"/>
              <w:left w:val="nil"/>
              <w:bottom w:val="nil"/>
              <w:right w:val="nil"/>
            </w:tcBorders>
            <w:shd w:val="clear" w:color="000000" w:fill="FFFFFF"/>
            <w:noWrap/>
            <w:vAlign w:val="bottom"/>
            <w:hideMark/>
          </w:tcPr>
          <w:p w14:paraId="2428B034"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35.0%</w:t>
            </w:r>
          </w:p>
        </w:tc>
        <w:tc>
          <w:tcPr>
            <w:tcW w:w="1337" w:type="dxa"/>
            <w:tcBorders>
              <w:top w:val="nil"/>
              <w:left w:val="nil"/>
              <w:bottom w:val="nil"/>
              <w:right w:val="nil"/>
            </w:tcBorders>
            <w:shd w:val="clear" w:color="000000" w:fill="FFFFFF"/>
            <w:noWrap/>
            <w:vAlign w:val="bottom"/>
            <w:hideMark/>
          </w:tcPr>
          <w:p w14:paraId="47FC78EE"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120</w:t>
            </w:r>
          </w:p>
        </w:tc>
        <w:tc>
          <w:tcPr>
            <w:tcW w:w="1337" w:type="dxa"/>
            <w:tcBorders>
              <w:top w:val="nil"/>
              <w:left w:val="nil"/>
              <w:bottom w:val="nil"/>
              <w:right w:val="nil"/>
            </w:tcBorders>
            <w:shd w:val="clear" w:color="000000" w:fill="FFFFFF"/>
            <w:noWrap/>
            <w:vAlign w:val="bottom"/>
            <w:hideMark/>
          </w:tcPr>
          <w:p w14:paraId="3BB82B96"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2,255</w:t>
            </w:r>
          </w:p>
        </w:tc>
        <w:tc>
          <w:tcPr>
            <w:tcW w:w="1338" w:type="dxa"/>
            <w:tcBorders>
              <w:top w:val="nil"/>
              <w:left w:val="nil"/>
              <w:bottom w:val="nil"/>
              <w:right w:val="single" w:sz="8" w:space="0" w:color="auto"/>
            </w:tcBorders>
            <w:shd w:val="clear" w:color="000000" w:fill="FFFFFF"/>
            <w:noWrap/>
            <w:vAlign w:val="bottom"/>
            <w:hideMark/>
          </w:tcPr>
          <w:p w14:paraId="236CED44"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5.3%</w:t>
            </w:r>
          </w:p>
        </w:tc>
      </w:tr>
      <w:tr w:rsidR="00677577" w:rsidRPr="00236247" w14:paraId="33A6EAAC" w14:textId="77777777" w:rsidTr="00AF25C5">
        <w:trPr>
          <w:trHeight w:val="300"/>
        </w:trPr>
        <w:tc>
          <w:tcPr>
            <w:tcW w:w="1124" w:type="dxa"/>
            <w:tcBorders>
              <w:top w:val="nil"/>
              <w:left w:val="single" w:sz="8" w:space="0" w:color="auto"/>
              <w:bottom w:val="nil"/>
              <w:right w:val="nil"/>
            </w:tcBorders>
            <w:shd w:val="clear" w:color="C0E6F5" w:fill="FFFFFF"/>
            <w:noWrap/>
            <w:hideMark/>
          </w:tcPr>
          <w:p w14:paraId="6728DA77" w14:textId="77777777" w:rsidR="00677577" w:rsidRPr="00096765" w:rsidRDefault="00677577" w:rsidP="00096765">
            <w:pPr>
              <w:spacing w:after="60" w:line="240" w:lineRule="auto"/>
              <w:rPr>
                <w:rFonts w:ascii="Aptos" w:eastAsia="Aptos" w:hAnsi="Aptos" w:cs="Times New Roman"/>
                <w:sz w:val="20"/>
                <w:szCs w:val="20"/>
                <w:lang w:eastAsia="en-AU"/>
              </w:rPr>
            </w:pPr>
            <w:r w:rsidRPr="00096765">
              <w:rPr>
                <w:rFonts w:ascii="Aptos" w:eastAsia="Aptos" w:hAnsi="Aptos" w:cs="Times New Roman"/>
                <w:sz w:val="20"/>
                <w:szCs w:val="20"/>
                <w:lang w:eastAsia="en-AU"/>
              </w:rPr>
              <w:t>2020</w:t>
            </w:r>
          </w:p>
        </w:tc>
        <w:tc>
          <w:tcPr>
            <w:tcW w:w="1196" w:type="dxa"/>
            <w:tcBorders>
              <w:top w:val="nil"/>
              <w:left w:val="nil"/>
              <w:bottom w:val="nil"/>
              <w:right w:val="nil"/>
            </w:tcBorders>
            <w:shd w:val="clear" w:color="000000" w:fill="FFFFFF"/>
            <w:noWrap/>
            <w:vAlign w:val="bottom"/>
            <w:hideMark/>
          </w:tcPr>
          <w:p w14:paraId="255203D7"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3,335</w:t>
            </w:r>
          </w:p>
        </w:tc>
        <w:tc>
          <w:tcPr>
            <w:tcW w:w="1337" w:type="dxa"/>
            <w:tcBorders>
              <w:top w:val="nil"/>
              <w:left w:val="nil"/>
              <w:bottom w:val="nil"/>
              <w:right w:val="nil"/>
            </w:tcBorders>
            <w:shd w:val="clear" w:color="000000" w:fill="FFFFFF"/>
            <w:noWrap/>
            <w:vAlign w:val="bottom"/>
            <w:hideMark/>
          </w:tcPr>
          <w:p w14:paraId="566A0534"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10,084</w:t>
            </w:r>
          </w:p>
        </w:tc>
        <w:tc>
          <w:tcPr>
            <w:tcW w:w="1337" w:type="dxa"/>
            <w:tcBorders>
              <w:top w:val="nil"/>
              <w:left w:val="nil"/>
              <w:bottom w:val="nil"/>
              <w:right w:val="nil"/>
            </w:tcBorders>
            <w:shd w:val="clear" w:color="000000" w:fill="FFFFFF"/>
            <w:noWrap/>
            <w:vAlign w:val="bottom"/>
            <w:hideMark/>
          </w:tcPr>
          <w:p w14:paraId="3C567B46"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33.1%</w:t>
            </w:r>
          </w:p>
        </w:tc>
        <w:tc>
          <w:tcPr>
            <w:tcW w:w="1337" w:type="dxa"/>
            <w:tcBorders>
              <w:top w:val="nil"/>
              <w:left w:val="nil"/>
              <w:bottom w:val="nil"/>
              <w:right w:val="nil"/>
            </w:tcBorders>
            <w:shd w:val="clear" w:color="000000" w:fill="FFFFFF"/>
            <w:noWrap/>
            <w:vAlign w:val="bottom"/>
            <w:hideMark/>
          </w:tcPr>
          <w:p w14:paraId="5CC40F09"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110</w:t>
            </w:r>
          </w:p>
        </w:tc>
        <w:tc>
          <w:tcPr>
            <w:tcW w:w="1337" w:type="dxa"/>
            <w:tcBorders>
              <w:top w:val="nil"/>
              <w:left w:val="nil"/>
              <w:bottom w:val="nil"/>
              <w:right w:val="nil"/>
            </w:tcBorders>
            <w:shd w:val="clear" w:color="000000" w:fill="FFFFFF"/>
            <w:noWrap/>
            <w:vAlign w:val="bottom"/>
            <w:hideMark/>
          </w:tcPr>
          <w:p w14:paraId="6881A79B"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1,910</w:t>
            </w:r>
          </w:p>
        </w:tc>
        <w:tc>
          <w:tcPr>
            <w:tcW w:w="1338" w:type="dxa"/>
            <w:tcBorders>
              <w:top w:val="nil"/>
              <w:left w:val="nil"/>
              <w:bottom w:val="nil"/>
              <w:right w:val="single" w:sz="8" w:space="0" w:color="auto"/>
            </w:tcBorders>
            <w:shd w:val="clear" w:color="000000" w:fill="FFFFFF"/>
            <w:noWrap/>
            <w:vAlign w:val="bottom"/>
            <w:hideMark/>
          </w:tcPr>
          <w:p w14:paraId="5107CF42"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5.8%</w:t>
            </w:r>
          </w:p>
        </w:tc>
      </w:tr>
      <w:tr w:rsidR="00677577" w:rsidRPr="00236247" w14:paraId="70B2AE89" w14:textId="77777777" w:rsidTr="00AF25C5">
        <w:trPr>
          <w:trHeight w:val="300"/>
        </w:trPr>
        <w:tc>
          <w:tcPr>
            <w:tcW w:w="1124" w:type="dxa"/>
            <w:tcBorders>
              <w:top w:val="nil"/>
              <w:left w:val="single" w:sz="8" w:space="0" w:color="auto"/>
              <w:bottom w:val="nil"/>
              <w:right w:val="nil"/>
            </w:tcBorders>
            <w:shd w:val="clear" w:color="C0E6F5" w:fill="FFFFFF"/>
            <w:noWrap/>
            <w:hideMark/>
          </w:tcPr>
          <w:p w14:paraId="25859E34" w14:textId="77777777" w:rsidR="00677577" w:rsidRPr="00096765" w:rsidRDefault="00677577" w:rsidP="00096765">
            <w:pPr>
              <w:spacing w:after="60" w:line="240" w:lineRule="auto"/>
              <w:rPr>
                <w:rFonts w:ascii="Aptos" w:eastAsia="Aptos" w:hAnsi="Aptos" w:cs="Times New Roman"/>
                <w:sz w:val="20"/>
                <w:szCs w:val="20"/>
                <w:lang w:eastAsia="en-AU"/>
              </w:rPr>
            </w:pPr>
            <w:r w:rsidRPr="00096765">
              <w:rPr>
                <w:rFonts w:ascii="Aptos" w:eastAsia="Aptos" w:hAnsi="Aptos" w:cs="Times New Roman"/>
                <w:sz w:val="20"/>
                <w:szCs w:val="20"/>
                <w:lang w:eastAsia="en-AU"/>
              </w:rPr>
              <w:t>2021</w:t>
            </w:r>
          </w:p>
        </w:tc>
        <w:tc>
          <w:tcPr>
            <w:tcW w:w="1196" w:type="dxa"/>
            <w:tcBorders>
              <w:top w:val="nil"/>
              <w:left w:val="nil"/>
              <w:bottom w:val="nil"/>
              <w:right w:val="nil"/>
            </w:tcBorders>
            <w:shd w:val="clear" w:color="000000" w:fill="FFFFFF"/>
            <w:noWrap/>
            <w:vAlign w:val="bottom"/>
            <w:hideMark/>
          </w:tcPr>
          <w:p w14:paraId="121302F1"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3,091</w:t>
            </w:r>
          </w:p>
        </w:tc>
        <w:tc>
          <w:tcPr>
            <w:tcW w:w="1337" w:type="dxa"/>
            <w:tcBorders>
              <w:top w:val="nil"/>
              <w:left w:val="nil"/>
              <w:bottom w:val="nil"/>
              <w:right w:val="nil"/>
            </w:tcBorders>
            <w:shd w:val="clear" w:color="000000" w:fill="FFFFFF"/>
            <w:noWrap/>
            <w:vAlign w:val="bottom"/>
            <w:hideMark/>
          </w:tcPr>
          <w:p w14:paraId="7E64870D"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10,741</w:t>
            </w:r>
          </w:p>
        </w:tc>
        <w:tc>
          <w:tcPr>
            <w:tcW w:w="1337" w:type="dxa"/>
            <w:tcBorders>
              <w:top w:val="nil"/>
              <w:left w:val="nil"/>
              <w:bottom w:val="nil"/>
              <w:right w:val="nil"/>
            </w:tcBorders>
            <w:shd w:val="clear" w:color="000000" w:fill="FFFFFF"/>
            <w:noWrap/>
            <w:vAlign w:val="bottom"/>
            <w:hideMark/>
          </w:tcPr>
          <w:p w14:paraId="719E0411"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28.8%</w:t>
            </w:r>
          </w:p>
        </w:tc>
        <w:tc>
          <w:tcPr>
            <w:tcW w:w="1337" w:type="dxa"/>
            <w:tcBorders>
              <w:top w:val="nil"/>
              <w:left w:val="nil"/>
              <w:bottom w:val="nil"/>
              <w:right w:val="nil"/>
            </w:tcBorders>
            <w:shd w:val="clear" w:color="000000" w:fill="FFFFFF"/>
            <w:noWrap/>
            <w:vAlign w:val="bottom"/>
            <w:hideMark/>
          </w:tcPr>
          <w:p w14:paraId="560EF43D"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107</w:t>
            </w:r>
          </w:p>
        </w:tc>
        <w:tc>
          <w:tcPr>
            <w:tcW w:w="1337" w:type="dxa"/>
            <w:tcBorders>
              <w:top w:val="nil"/>
              <w:left w:val="nil"/>
              <w:bottom w:val="nil"/>
              <w:right w:val="nil"/>
            </w:tcBorders>
            <w:shd w:val="clear" w:color="000000" w:fill="FFFFFF"/>
            <w:noWrap/>
            <w:vAlign w:val="bottom"/>
            <w:hideMark/>
          </w:tcPr>
          <w:p w14:paraId="16BCAFF0"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1,662</w:t>
            </w:r>
          </w:p>
        </w:tc>
        <w:tc>
          <w:tcPr>
            <w:tcW w:w="1338" w:type="dxa"/>
            <w:tcBorders>
              <w:top w:val="nil"/>
              <w:left w:val="nil"/>
              <w:bottom w:val="nil"/>
              <w:right w:val="single" w:sz="8" w:space="0" w:color="auto"/>
            </w:tcBorders>
            <w:shd w:val="clear" w:color="000000" w:fill="FFFFFF"/>
            <w:noWrap/>
            <w:vAlign w:val="bottom"/>
            <w:hideMark/>
          </w:tcPr>
          <w:p w14:paraId="5FB6539E"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6.4%</w:t>
            </w:r>
          </w:p>
        </w:tc>
      </w:tr>
      <w:tr w:rsidR="00677577" w:rsidRPr="00236247" w14:paraId="5F42C83B" w14:textId="77777777" w:rsidTr="00AF25C5">
        <w:trPr>
          <w:trHeight w:val="300"/>
        </w:trPr>
        <w:tc>
          <w:tcPr>
            <w:tcW w:w="1124" w:type="dxa"/>
            <w:tcBorders>
              <w:top w:val="nil"/>
              <w:left w:val="single" w:sz="8" w:space="0" w:color="auto"/>
              <w:bottom w:val="nil"/>
              <w:right w:val="nil"/>
            </w:tcBorders>
            <w:shd w:val="clear" w:color="C0E6F5" w:fill="FFFFFF"/>
            <w:noWrap/>
            <w:hideMark/>
          </w:tcPr>
          <w:p w14:paraId="11DEAB51" w14:textId="77777777" w:rsidR="00677577" w:rsidRPr="00096765" w:rsidRDefault="00677577" w:rsidP="00096765">
            <w:pPr>
              <w:spacing w:after="60" w:line="240" w:lineRule="auto"/>
              <w:rPr>
                <w:rFonts w:ascii="Aptos" w:eastAsia="Aptos" w:hAnsi="Aptos" w:cs="Times New Roman"/>
                <w:sz w:val="20"/>
                <w:szCs w:val="20"/>
                <w:lang w:eastAsia="en-AU"/>
              </w:rPr>
            </w:pPr>
            <w:r w:rsidRPr="00096765">
              <w:rPr>
                <w:rFonts w:ascii="Aptos" w:eastAsia="Aptos" w:hAnsi="Aptos" w:cs="Times New Roman"/>
                <w:sz w:val="20"/>
                <w:szCs w:val="20"/>
                <w:lang w:eastAsia="en-AU"/>
              </w:rPr>
              <w:t>2022</w:t>
            </w:r>
          </w:p>
        </w:tc>
        <w:tc>
          <w:tcPr>
            <w:tcW w:w="1196" w:type="dxa"/>
            <w:tcBorders>
              <w:top w:val="nil"/>
              <w:left w:val="nil"/>
              <w:bottom w:val="nil"/>
              <w:right w:val="nil"/>
            </w:tcBorders>
            <w:shd w:val="clear" w:color="000000" w:fill="FFFFFF"/>
            <w:noWrap/>
            <w:vAlign w:val="bottom"/>
            <w:hideMark/>
          </w:tcPr>
          <w:p w14:paraId="265F0B7C"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2,953</w:t>
            </w:r>
          </w:p>
        </w:tc>
        <w:tc>
          <w:tcPr>
            <w:tcW w:w="1337" w:type="dxa"/>
            <w:tcBorders>
              <w:top w:val="nil"/>
              <w:left w:val="nil"/>
              <w:bottom w:val="nil"/>
              <w:right w:val="nil"/>
            </w:tcBorders>
            <w:shd w:val="clear" w:color="000000" w:fill="FFFFFF"/>
            <w:noWrap/>
            <w:vAlign w:val="bottom"/>
            <w:hideMark/>
          </w:tcPr>
          <w:p w14:paraId="27484B59"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11,318</w:t>
            </w:r>
          </w:p>
        </w:tc>
        <w:tc>
          <w:tcPr>
            <w:tcW w:w="1337" w:type="dxa"/>
            <w:tcBorders>
              <w:top w:val="nil"/>
              <w:left w:val="nil"/>
              <w:bottom w:val="nil"/>
              <w:right w:val="nil"/>
            </w:tcBorders>
            <w:shd w:val="clear" w:color="000000" w:fill="FFFFFF"/>
            <w:noWrap/>
            <w:vAlign w:val="bottom"/>
            <w:hideMark/>
          </w:tcPr>
          <w:p w14:paraId="1B7F4AC2"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26.1%</w:t>
            </w:r>
          </w:p>
        </w:tc>
        <w:tc>
          <w:tcPr>
            <w:tcW w:w="1337" w:type="dxa"/>
            <w:tcBorders>
              <w:top w:val="nil"/>
              <w:left w:val="nil"/>
              <w:bottom w:val="nil"/>
              <w:right w:val="nil"/>
            </w:tcBorders>
            <w:shd w:val="clear" w:color="000000" w:fill="FFFFFF"/>
            <w:noWrap/>
            <w:vAlign w:val="bottom"/>
            <w:hideMark/>
          </w:tcPr>
          <w:p w14:paraId="7D63BB81"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105</w:t>
            </w:r>
          </w:p>
        </w:tc>
        <w:tc>
          <w:tcPr>
            <w:tcW w:w="1337" w:type="dxa"/>
            <w:tcBorders>
              <w:top w:val="nil"/>
              <w:left w:val="nil"/>
              <w:bottom w:val="nil"/>
              <w:right w:val="nil"/>
            </w:tcBorders>
            <w:shd w:val="clear" w:color="000000" w:fill="FFFFFF"/>
            <w:noWrap/>
            <w:vAlign w:val="bottom"/>
            <w:hideMark/>
          </w:tcPr>
          <w:p w14:paraId="761D4B8E"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1,800</w:t>
            </w:r>
          </w:p>
        </w:tc>
        <w:tc>
          <w:tcPr>
            <w:tcW w:w="1338" w:type="dxa"/>
            <w:tcBorders>
              <w:top w:val="nil"/>
              <w:left w:val="nil"/>
              <w:bottom w:val="nil"/>
              <w:right w:val="single" w:sz="8" w:space="0" w:color="auto"/>
            </w:tcBorders>
            <w:shd w:val="clear" w:color="000000" w:fill="FFFFFF"/>
            <w:noWrap/>
            <w:vAlign w:val="bottom"/>
            <w:hideMark/>
          </w:tcPr>
          <w:p w14:paraId="5CE884FD"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5.8%</w:t>
            </w:r>
          </w:p>
        </w:tc>
      </w:tr>
      <w:tr w:rsidR="00677577" w:rsidRPr="00236247" w14:paraId="339FCFB3" w14:textId="77777777" w:rsidTr="00AF25C5">
        <w:trPr>
          <w:trHeight w:val="300"/>
        </w:trPr>
        <w:tc>
          <w:tcPr>
            <w:tcW w:w="1124" w:type="dxa"/>
            <w:tcBorders>
              <w:top w:val="nil"/>
              <w:left w:val="single" w:sz="8" w:space="0" w:color="auto"/>
              <w:bottom w:val="nil"/>
              <w:right w:val="nil"/>
            </w:tcBorders>
            <w:shd w:val="clear" w:color="C0E6F5" w:fill="FFFFFF"/>
            <w:noWrap/>
            <w:hideMark/>
          </w:tcPr>
          <w:p w14:paraId="200875F9" w14:textId="77777777" w:rsidR="00677577" w:rsidRPr="00096765" w:rsidRDefault="00677577" w:rsidP="00096765">
            <w:pPr>
              <w:spacing w:after="60" w:line="240" w:lineRule="auto"/>
              <w:rPr>
                <w:rFonts w:ascii="Aptos" w:eastAsia="Aptos" w:hAnsi="Aptos" w:cs="Times New Roman"/>
                <w:sz w:val="20"/>
                <w:szCs w:val="20"/>
                <w:lang w:eastAsia="en-AU"/>
              </w:rPr>
            </w:pPr>
            <w:r w:rsidRPr="00096765">
              <w:rPr>
                <w:rFonts w:ascii="Aptos" w:eastAsia="Aptos" w:hAnsi="Aptos" w:cs="Times New Roman"/>
                <w:sz w:val="20"/>
                <w:szCs w:val="20"/>
                <w:lang w:eastAsia="en-AU"/>
              </w:rPr>
              <w:t>2023</w:t>
            </w:r>
          </w:p>
        </w:tc>
        <w:tc>
          <w:tcPr>
            <w:tcW w:w="1196" w:type="dxa"/>
            <w:tcBorders>
              <w:top w:val="nil"/>
              <w:left w:val="nil"/>
              <w:bottom w:val="nil"/>
              <w:right w:val="nil"/>
            </w:tcBorders>
            <w:shd w:val="clear" w:color="000000" w:fill="FFFFFF"/>
            <w:noWrap/>
            <w:vAlign w:val="bottom"/>
            <w:hideMark/>
          </w:tcPr>
          <w:p w14:paraId="7FA29291"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2,775</w:t>
            </w:r>
          </w:p>
        </w:tc>
        <w:tc>
          <w:tcPr>
            <w:tcW w:w="1337" w:type="dxa"/>
            <w:tcBorders>
              <w:top w:val="nil"/>
              <w:left w:val="nil"/>
              <w:bottom w:val="nil"/>
              <w:right w:val="nil"/>
            </w:tcBorders>
            <w:shd w:val="clear" w:color="000000" w:fill="FFFFFF"/>
            <w:noWrap/>
            <w:vAlign w:val="bottom"/>
            <w:hideMark/>
          </w:tcPr>
          <w:p w14:paraId="1ADDBEF6"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10,266</w:t>
            </w:r>
          </w:p>
        </w:tc>
        <w:tc>
          <w:tcPr>
            <w:tcW w:w="1337" w:type="dxa"/>
            <w:tcBorders>
              <w:top w:val="nil"/>
              <w:left w:val="nil"/>
              <w:bottom w:val="nil"/>
              <w:right w:val="nil"/>
            </w:tcBorders>
            <w:shd w:val="clear" w:color="000000" w:fill="FFFFFF"/>
            <w:noWrap/>
            <w:vAlign w:val="bottom"/>
            <w:hideMark/>
          </w:tcPr>
          <w:p w14:paraId="47F3A7A0"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27.0%</w:t>
            </w:r>
          </w:p>
        </w:tc>
        <w:tc>
          <w:tcPr>
            <w:tcW w:w="1337" w:type="dxa"/>
            <w:tcBorders>
              <w:top w:val="nil"/>
              <w:left w:val="nil"/>
              <w:bottom w:val="nil"/>
              <w:right w:val="nil"/>
            </w:tcBorders>
            <w:shd w:val="clear" w:color="000000" w:fill="FFFFFF"/>
            <w:noWrap/>
            <w:vAlign w:val="bottom"/>
            <w:hideMark/>
          </w:tcPr>
          <w:p w14:paraId="6972912B"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105</w:t>
            </w:r>
          </w:p>
        </w:tc>
        <w:tc>
          <w:tcPr>
            <w:tcW w:w="1337" w:type="dxa"/>
            <w:tcBorders>
              <w:top w:val="nil"/>
              <w:left w:val="nil"/>
              <w:bottom w:val="nil"/>
              <w:right w:val="nil"/>
            </w:tcBorders>
            <w:shd w:val="clear" w:color="000000" w:fill="FFFFFF"/>
            <w:noWrap/>
            <w:vAlign w:val="bottom"/>
            <w:hideMark/>
          </w:tcPr>
          <w:p w14:paraId="6B381BF9"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2,034</w:t>
            </w:r>
          </w:p>
        </w:tc>
        <w:tc>
          <w:tcPr>
            <w:tcW w:w="1338" w:type="dxa"/>
            <w:tcBorders>
              <w:top w:val="nil"/>
              <w:left w:val="nil"/>
              <w:bottom w:val="nil"/>
              <w:right w:val="single" w:sz="8" w:space="0" w:color="auto"/>
            </w:tcBorders>
            <w:shd w:val="clear" w:color="000000" w:fill="FFFFFF"/>
            <w:noWrap/>
            <w:vAlign w:val="bottom"/>
            <w:hideMark/>
          </w:tcPr>
          <w:p w14:paraId="62961B3D"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5.9%</w:t>
            </w:r>
          </w:p>
        </w:tc>
      </w:tr>
      <w:tr w:rsidR="00677577" w:rsidRPr="00236247" w14:paraId="6C930225" w14:textId="77777777" w:rsidTr="00AF25C5">
        <w:trPr>
          <w:trHeight w:val="315"/>
        </w:trPr>
        <w:tc>
          <w:tcPr>
            <w:tcW w:w="1124" w:type="dxa"/>
            <w:tcBorders>
              <w:top w:val="nil"/>
              <w:left w:val="single" w:sz="8" w:space="0" w:color="auto"/>
              <w:bottom w:val="nil"/>
              <w:right w:val="nil"/>
            </w:tcBorders>
            <w:shd w:val="clear" w:color="C0E6F5" w:fill="FFFFFF"/>
            <w:noWrap/>
            <w:hideMark/>
          </w:tcPr>
          <w:p w14:paraId="14EFC605" w14:textId="77777777" w:rsidR="00677577" w:rsidRPr="00096765" w:rsidRDefault="00677577" w:rsidP="00096765">
            <w:pPr>
              <w:spacing w:after="60" w:line="240" w:lineRule="auto"/>
              <w:rPr>
                <w:rFonts w:ascii="Aptos" w:eastAsia="Aptos" w:hAnsi="Aptos" w:cs="Times New Roman"/>
                <w:sz w:val="20"/>
                <w:szCs w:val="20"/>
                <w:lang w:eastAsia="en-AU"/>
              </w:rPr>
            </w:pPr>
            <w:r w:rsidRPr="00096765">
              <w:rPr>
                <w:rFonts w:ascii="Aptos" w:eastAsia="Aptos" w:hAnsi="Aptos" w:cs="Times New Roman"/>
                <w:sz w:val="20"/>
                <w:szCs w:val="20"/>
                <w:lang w:eastAsia="en-AU"/>
              </w:rPr>
              <w:t>2024(to Q3)</w:t>
            </w:r>
          </w:p>
        </w:tc>
        <w:tc>
          <w:tcPr>
            <w:tcW w:w="1196" w:type="dxa"/>
            <w:tcBorders>
              <w:top w:val="nil"/>
              <w:left w:val="nil"/>
              <w:bottom w:val="nil"/>
              <w:right w:val="nil"/>
            </w:tcBorders>
            <w:shd w:val="clear" w:color="000000" w:fill="FFFFFF"/>
            <w:noWrap/>
            <w:vAlign w:val="bottom"/>
            <w:hideMark/>
          </w:tcPr>
          <w:p w14:paraId="4D8C65F0"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2,813</w:t>
            </w:r>
          </w:p>
        </w:tc>
        <w:tc>
          <w:tcPr>
            <w:tcW w:w="1337" w:type="dxa"/>
            <w:tcBorders>
              <w:top w:val="nil"/>
              <w:left w:val="nil"/>
              <w:bottom w:val="nil"/>
              <w:right w:val="nil"/>
            </w:tcBorders>
            <w:shd w:val="clear" w:color="000000" w:fill="FFFFFF"/>
            <w:noWrap/>
            <w:vAlign w:val="bottom"/>
            <w:hideMark/>
          </w:tcPr>
          <w:p w14:paraId="1E2F83E7"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10,113</w:t>
            </w:r>
          </w:p>
        </w:tc>
        <w:tc>
          <w:tcPr>
            <w:tcW w:w="1337" w:type="dxa"/>
            <w:tcBorders>
              <w:top w:val="nil"/>
              <w:left w:val="nil"/>
              <w:bottom w:val="nil"/>
              <w:right w:val="nil"/>
            </w:tcBorders>
            <w:shd w:val="clear" w:color="000000" w:fill="FFFFFF"/>
            <w:noWrap/>
            <w:vAlign w:val="bottom"/>
            <w:hideMark/>
          </w:tcPr>
          <w:p w14:paraId="1FE3F4FC"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27.8%</w:t>
            </w:r>
          </w:p>
        </w:tc>
        <w:tc>
          <w:tcPr>
            <w:tcW w:w="1337" w:type="dxa"/>
            <w:tcBorders>
              <w:top w:val="nil"/>
              <w:left w:val="nil"/>
              <w:bottom w:val="nil"/>
              <w:right w:val="nil"/>
            </w:tcBorders>
            <w:shd w:val="clear" w:color="000000" w:fill="FFFFFF"/>
            <w:noWrap/>
            <w:vAlign w:val="bottom"/>
            <w:hideMark/>
          </w:tcPr>
          <w:p w14:paraId="073A26A4"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124</w:t>
            </w:r>
          </w:p>
        </w:tc>
        <w:tc>
          <w:tcPr>
            <w:tcW w:w="1337" w:type="dxa"/>
            <w:tcBorders>
              <w:top w:val="nil"/>
              <w:left w:val="nil"/>
              <w:bottom w:val="nil"/>
              <w:right w:val="nil"/>
            </w:tcBorders>
            <w:shd w:val="clear" w:color="000000" w:fill="FFFFFF"/>
            <w:noWrap/>
            <w:vAlign w:val="bottom"/>
            <w:hideMark/>
          </w:tcPr>
          <w:p w14:paraId="5CE912CE"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2,206</w:t>
            </w:r>
          </w:p>
        </w:tc>
        <w:tc>
          <w:tcPr>
            <w:tcW w:w="1338" w:type="dxa"/>
            <w:tcBorders>
              <w:top w:val="nil"/>
              <w:left w:val="nil"/>
              <w:bottom w:val="nil"/>
              <w:right w:val="single" w:sz="8" w:space="0" w:color="auto"/>
            </w:tcBorders>
            <w:shd w:val="clear" w:color="000000" w:fill="FFFFFF"/>
            <w:noWrap/>
            <w:vAlign w:val="bottom"/>
            <w:hideMark/>
          </w:tcPr>
          <w:p w14:paraId="74834FA2"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5.6%</w:t>
            </w:r>
          </w:p>
        </w:tc>
      </w:tr>
      <w:tr w:rsidR="00677577" w:rsidRPr="00236247" w14:paraId="74EAE535" w14:textId="77777777" w:rsidTr="00AF25C5">
        <w:trPr>
          <w:trHeight w:val="300"/>
        </w:trPr>
        <w:tc>
          <w:tcPr>
            <w:tcW w:w="1124" w:type="dxa"/>
            <w:tcBorders>
              <w:top w:val="single" w:sz="8" w:space="0" w:color="auto"/>
              <w:left w:val="single" w:sz="8" w:space="0" w:color="auto"/>
              <w:bottom w:val="nil"/>
              <w:right w:val="nil"/>
            </w:tcBorders>
            <w:shd w:val="clear" w:color="000000" w:fill="FFFFFF"/>
            <w:noWrap/>
            <w:hideMark/>
          </w:tcPr>
          <w:p w14:paraId="5EC62EDD" w14:textId="77777777" w:rsidR="00677577" w:rsidRPr="00096765" w:rsidRDefault="00677577" w:rsidP="00096765">
            <w:pPr>
              <w:spacing w:after="60" w:line="240" w:lineRule="auto"/>
              <w:rPr>
                <w:rFonts w:ascii="Aptos" w:eastAsia="Aptos" w:hAnsi="Aptos" w:cs="Times New Roman"/>
                <w:sz w:val="20"/>
                <w:szCs w:val="20"/>
                <w:lang w:eastAsia="en-AU"/>
              </w:rPr>
            </w:pPr>
            <w:r w:rsidRPr="00096765">
              <w:rPr>
                <w:rFonts w:ascii="Aptos" w:eastAsia="Aptos" w:hAnsi="Aptos" w:cs="Times New Roman"/>
                <w:sz w:val="20"/>
                <w:szCs w:val="20"/>
                <w:lang w:eastAsia="en-AU"/>
              </w:rPr>
              <w:t>Total 2012</w:t>
            </w:r>
            <w:r w:rsidRPr="00096765">
              <w:rPr>
                <w:rFonts w:ascii="Symbol" w:eastAsia="Symbol" w:hAnsi="Symbol" w:cs="Symbol"/>
                <w:sz w:val="20"/>
                <w:szCs w:val="20"/>
                <w:lang w:eastAsia="en-AU"/>
              </w:rPr>
              <w:sym w:font="Symbol" w:char="F02D"/>
            </w:r>
            <w:r w:rsidRPr="00096765">
              <w:rPr>
                <w:rFonts w:ascii="Aptos" w:eastAsia="Aptos" w:hAnsi="Aptos" w:cs="Times New Roman"/>
                <w:sz w:val="20"/>
                <w:szCs w:val="20"/>
                <w:lang w:eastAsia="en-AU"/>
              </w:rPr>
              <w:t>2023</w:t>
            </w:r>
          </w:p>
        </w:tc>
        <w:tc>
          <w:tcPr>
            <w:tcW w:w="1196" w:type="dxa"/>
            <w:tcBorders>
              <w:top w:val="single" w:sz="8" w:space="0" w:color="auto"/>
              <w:left w:val="nil"/>
              <w:bottom w:val="nil"/>
              <w:right w:val="nil"/>
            </w:tcBorders>
            <w:shd w:val="clear" w:color="000000" w:fill="FFFFFF"/>
            <w:noWrap/>
            <w:vAlign w:val="bottom"/>
            <w:hideMark/>
          </w:tcPr>
          <w:p w14:paraId="7400C400"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53,661</w:t>
            </w:r>
          </w:p>
        </w:tc>
        <w:tc>
          <w:tcPr>
            <w:tcW w:w="1337" w:type="dxa"/>
            <w:tcBorders>
              <w:top w:val="single" w:sz="8" w:space="0" w:color="auto"/>
              <w:left w:val="nil"/>
              <w:bottom w:val="nil"/>
              <w:right w:val="nil"/>
            </w:tcBorders>
            <w:shd w:val="clear" w:color="000000" w:fill="FFFFFF"/>
            <w:noWrap/>
            <w:vAlign w:val="bottom"/>
            <w:hideMark/>
          </w:tcPr>
          <w:p w14:paraId="5C6C2D88"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172,652</w:t>
            </w:r>
          </w:p>
        </w:tc>
        <w:tc>
          <w:tcPr>
            <w:tcW w:w="1337" w:type="dxa"/>
            <w:tcBorders>
              <w:top w:val="single" w:sz="8" w:space="0" w:color="auto"/>
              <w:left w:val="nil"/>
              <w:bottom w:val="nil"/>
              <w:right w:val="nil"/>
            </w:tcBorders>
            <w:shd w:val="clear" w:color="000000" w:fill="FFFFFF"/>
            <w:noWrap/>
            <w:vAlign w:val="bottom"/>
            <w:hideMark/>
          </w:tcPr>
          <w:p w14:paraId="3D1BAC39"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31.0%</w:t>
            </w:r>
          </w:p>
        </w:tc>
        <w:tc>
          <w:tcPr>
            <w:tcW w:w="1337" w:type="dxa"/>
            <w:tcBorders>
              <w:top w:val="single" w:sz="8" w:space="0" w:color="auto"/>
              <w:left w:val="nil"/>
              <w:bottom w:val="nil"/>
              <w:right w:val="nil"/>
            </w:tcBorders>
            <w:shd w:val="clear" w:color="000000" w:fill="FFFFFF"/>
            <w:noWrap/>
            <w:vAlign w:val="bottom"/>
            <w:hideMark/>
          </w:tcPr>
          <w:p w14:paraId="69AADD2C"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1,830</w:t>
            </w:r>
          </w:p>
        </w:tc>
        <w:tc>
          <w:tcPr>
            <w:tcW w:w="1337" w:type="dxa"/>
            <w:tcBorders>
              <w:top w:val="single" w:sz="8" w:space="0" w:color="auto"/>
              <w:left w:val="nil"/>
              <w:bottom w:val="nil"/>
              <w:right w:val="nil"/>
            </w:tcBorders>
            <w:shd w:val="clear" w:color="000000" w:fill="FFFFFF"/>
            <w:noWrap/>
            <w:vAlign w:val="bottom"/>
            <w:hideMark/>
          </w:tcPr>
          <w:p w14:paraId="5AF3D259"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25,255</w:t>
            </w:r>
          </w:p>
        </w:tc>
        <w:tc>
          <w:tcPr>
            <w:tcW w:w="1338" w:type="dxa"/>
            <w:tcBorders>
              <w:top w:val="single" w:sz="8" w:space="0" w:color="auto"/>
              <w:left w:val="nil"/>
              <w:bottom w:val="nil"/>
              <w:right w:val="single" w:sz="8" w:space="0" w:color="auto"/>
            </w:tcBorders>
            <w:shd w:val="clear" w:color="000000" w:fill="FFFFFF"/>
            <w:noWrap/>
            <w:vAlign w:val="bottom"/>
            <w:hideMark/>
          </w:tcPr>
          <w:p w14:paraId="56D999B7"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7.2%</w:t>
            </w:r>
          </w:p>
        </w:tc>
      </w:tr>
      <w:tr w:rsidR="00677577" w:rsidRPr="00236247" w14:paraId="1AC42387" w14:textId="77777777" w:rsidTr="00AF25C5">
        <w:trPr>
          <w:trHeight w:val="315"/>
        </w:trPr>
        <w:tc>
          <w:tcPr>
            <w:tcW w:w="1124" w:type="dxa"/>
            <w:tcBorders>
              <w:top w:val="nil"/>
              <w:left w:val="single" w:sz="8" w:space="0" w:color="auto"/>
              <w:bottom w:val="single" w:sz="8" w:space="0" w:color="auto"/>
              <w:right w:val="nil"/>
            </w:tcBorders>
            <w:shd w:val="clear" w:color="000000" w:fill="FFFFFF"/>
            <w:noWrap/>
            <w:hideMark/>
          </w:tcPr>
          <w:p w14:paraId="72681963" w14:textId="77777777" w:rsidR="00677577" w:rsidRPr="00096765" w:rsidRDefault="00677577" w:rsidP="00096765">
            <w:pPr>
              <w:spacing w:after="60" w:line="240" w:lineRule="auto"/>
              <w:rPr>
                <w:rFonts w:ascii="Aptos" w:eastAsia="Aptos" w:hAnsi="Aptos" w:cs="Times New Roman"/>
                <w:sz w:val="20"/>
                <w:szCs w:val="20"/>
                <w:lang w:eastAsia="en-AU"/>
              </w:rPr>
            </w:pPr>
            <w:r w:rsidRPr="00096765">
              <w:rPr>
                <w:rFonts w:ascii="Aptos" w:eastAsia="Aptos" w:hAnsi="Aptos" w:cs="Times New Roman"/>
                <w:sz w:val="20"/>
                <w:szCs w:val="20"/>
                <w:lang w:eastAsia="en-AU"/>
              </w:rPr>
              <w:t>Average 2012</w:t>
            </w:r>
            <w:r w:rsidRPr="00096765">
              <w:rPr>
                <w:rFonts w:ascii="Symbol" w:eastAsia="Symbol" w:hAnsi="Symbol" w:cs="Symbol"/>
                <w:sz w:val="20"/>
                <w:szCs w:val="20"/>
                <w:lang w:eastAsia="en-AU"/>
              </w:rPr>
              <w:sym w:font="Symbol" w:char="F02D"/>
            </w:r>
            <w:r w:rsidRPr="00096765">
              <w:rPr>
                <w:rFonts w:ascii="Aptos" w:eastAsia="Aptos" w:hAnsi="Aptos" w:cs="Times New Roman"/>
                <w:sz w:val="20"/>
                <w:szCs w:val="20"/>
                <w:lang w:eastAsia="en-AU"/>
              </w:rPr>
              <w:t>2023</w:t>
            </w:r>
          </w:p>
        </w:tc>
        <w:tc>
          <w:tcPr>
            <w:tcW w:w="1196" w:type="dxa"/>
            <w:tcBorders>
              <w:top w:val="nil"/>
              <w:left w:val="nil"/>
              <w:bottom w:val="single" w:sz="8" w:space="0" w:color="auto"/>
              <w:right w:val="nil"/>
            </w:tcBorders>
            <w:shd w:val="clear" w:color="000000" w:fill="FFFFFF"/>
            <w:noWrap/>
            <w:vAlign w:val="bottom"/>
            <w:hideMark/>
          </w:tcPr>
          <w:p w14:paraId="1EA2E3FA"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4,472</w:t>
            </w:r>
          </w:p>
        </w:tc>
        <w:tc>
          <w:tcPr>
            <w:tcW w:w="1337" w:type="dxa"/>
            <w:tcBorders>
              <w:top w:val="nil"/>
              <w:left w:val="nil"/>
              <w:bottom w:val="single" w:sz="8" w:space="0" w:color="auto"/>
              <w:right w:val="nil"/>
            </w:tcBorders>
            <w:shd w:val="clear" w:color="000000" w:fill="FFFFFF"/>
            <w:noWrap/>
            <w:vAlign w:val="bottom"/>
            <w:hideMark/>
          </w:tcPr>
          <w:p w14:paraId="6A10AEC8"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14,388</w:t>
            </w:r>
          </w:p>
        </w:tc>
        <w:tc>
          <w:tcPr>
            <w:tcW w:w="1337" w:type="dxa"/>
            <w:tcBorders>
              <w:top w:val="nil"/>
              <w:left w:val="nil"/>
              <w:bottom w:val="single" w:sz="8" w:space="0" w:color="auto"/>
              <w:right w:val="nil"/>
            </w:tcBorders>
            <w:shd w:val="clear" w:color="000000" w:fill="FFFFFF"/>
            <w:noWrap/>
            <w:vAlign w:val="bottom"/>
            <w:hideMark/>
          </w:tcPr>
          <w:p w14:paraId="1D0E1B01"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31.1%</w:t>
            </w:r>
          </w:p>
        </w:tc>
        <w:tc>
          <w:tcPr>
            <w:tcW w:w="1337" w:type="dxa"/>
            <w:tcBorders>
              <w:top w:val="nil"/>
              <w:left w:val="nil"/>
              <w:bottom w:val="single" w:sz="8" w:space="0" w:color="auto"/>
              <w:right w:val="nil"/>
            </w:tcBorders>
            <w:shd w:val="clear" w:color="000000" w:fill="FFFFFF"/>
            <w:noWrap/>
            <w:vAlign w:val="bottom"/>
            <w:hideMark/>
          </w:tcPr>
          <w:p w14:paraId="412EC1DE"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153</w:t>
            </w:r>
          </w:p>
        </w:tc>
        <w:tc>
          <w:tcPr>
            <w:tcW w:w="1337" w:type="dxa"/>
            <w:tcBorders>
              <w:top w:val="nil"/>
              <w:left w:val="nil"/>
              <w:bottom w:val="single" w:sz="8" w:space="0" w:color="auto"/>
              <w:right w:val="nil"/>
            </w:tcBorders>
            <w:shd w:val="clear" w:color="000000" w:fill="FFFFFF"/>
            <w:noWrap/>
            <w:vAlign w:val="bottom"/>
            <w:hideMark/>
          </w:tcPr>
          <w:p w14:paraId="39D02695"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2,105</w:t>
            </w:r>
          </w:p>
        </w:tc>
        <w:tc>
          <w:tcPr>
            <w:tcW w:w="1338" w:type="dxa"/>
            <w:tcBorders>
              <w:top w:val="nil"/>
              <w:left w:val="nil"/>
              <w:bottom w:val="single" w:sz="8" w:space="0" w:color="auto"/>
              <w:right w:val="single" w:sz="8" w:space="0" w:color="auto"/>
            </w:tcBorders>
            <w:shd w:val="clear" w:color="000000" w:fill="FFFFFF"/>
            <w:noWrap/>
            <w:vAlign w:val="bottom"/>
            <w:hideMark/>
          </w:tcPr>
          <w:p w14:paraId="0165002B" w14:textId="77777777" w:rsidR="00677577" w:rsidRPr="00096765" w:rsidRDefault="00677577" w:rsidP="00096765">
            <w:pPr>
              <w:spacing w:after="60" w:line="240" w:lineRule="auto"/>
              <w:jc w:val="right"/>
              <w:rPr>
                <w:rFonts w:ascii="Aptos" w:eastAsia="Aptos" w:hAnsi="Aptos" w:cs="Times New Roman"/>
                <w:sz w:val="20"/>
                <w:szCs w:val="20"/>
                <w:lang w:eastAsia="en-AU"/>
              </w:rPr>
            </w:pPr>
            <w:r w:rsidRPr="00096765">
              <w:rPr>
                <w:rFonts w:ascii="Aptos" w:eastAsia="Aptos" w:hAnsi="Aptos" w:cs="Times New Roman"/>
                <w:sz w:val="20"/>
                <w:szCs w:val="20"/>
                <w:lang w:eastAsia="en-AU"/>
              </w:rPr>
              <w:t>7.2%</w:t>
            </w:r>
          </w:p>
        </w:tc>
      </w:tr>
    </w:tbl>
    <w:p w14:paraId="7193A478" w14:textId="55D940E5" w:rsidR="00677577" w:rsidRPr="00B45F7C" w:rsidRDefault="00677577" w:rsidP="00677577">
      <w:pPr>
        <w:spacing w:before="120"/>
        <w:rPr>
          <w:rFonts w:ascii="Aptos" w:eastAsia="Aptos" w:hAnsi="Aptos" w:cs="Times New Roman"/>
          <w:sz w:val="18"/>
        </w:rPr>
      </w:pPr>
      <w:r w:rsidRPr="00B45F7C">
        <w:rPr>
          <w:rFonts w:ascii="Aptos" w:eastAsia="Aptos" w:hAnsi="Aptos" w:cs="Times New Roman"/>
          <w:b/>
          <w:bCs/>
          <w:sz w:val="18"/>
        </w:rPr>
        <w:t>Note:</w:t>
      </w:r>
      <w:r w:rsidRPr="00B45F7C">
        <w:rPr>
          <w:rFonts w:ascii="Aptos" w:eastAsia="Aptos" w:hAnsi="Aptos" w:cs="Times New Roman"/>
          <w:sz w:val="18"/>
        </w:rPr>
        <w:t xml:space="preserve"> Only </w:t>
      </w:r>
      <w:r w:rsidR="004005D7">
        <w:rPr>
          <w:rFonts w:ascii="Aptos" w:eastAsia="Aptos" w:hAnsi="Aptos" w:cs="Times New Roman"/>
          <w:sz w:val="18"/>
        </w:rPr>
        <w:t xml:space="preserve">three </w:t>
      </w:r>
      <w:r w:rsidRPr="00B45F7C">
        <w:rPr>
          <w:rFonts w:ascii="Aptos" w:eastAsia="Aptos" w:hAnsi="Aptos" w:cs="Times New Roman"/>
          <w:sz w:val="18"/>
        </w:rPr>
        <w:t xml:space="preserve">quarters of data </w:t>
      </w:r>
      <w:r w:rsidR="004005D7">
        <w:rPr>
          <w:rFonts w:ascii="Aptos" w:eastAsia="Aptos" w:hAnsi="Aptos" w:cs="Times New Roman"/>
          <w:sz w:val="18"/>
        </w:rPr>
        <w:t xml:space="preserve">are </w:t>
      </w:r>
      <w:r w:rsidRPr="00B45F7C">
        <w:rPr>
          <w:rFonts w:ascii="Aptos" w:eastAsia="Aptos" w:hAnsi="Aptos" w:cs="Times New Roman"/>
          <w:sz w:val="18"/>
        </w:rPr>
        <w:t>available for 2024.</w:t>
      </w:r>
    </w:p>
    <w:p w14:paraId="48197E4D" w14:textId="0109DFDF" w:rsidR="00677577" w:rsidRPr="00B45F7C" w:rsidRDefault="00677577" w:rsidP="00677577">
      <w:pPr>
        <w:spacing w:before="120"/>
        <w:rPr>
          <w:rFonts w:ascii="Aptos" w:eastAsia="Aptos" w:hAnsi="Aptos" w:cs="Times New Roman"/>
          <w:sz w:val="18"/>
        </w:rPr>
      </w:pPr>
      <w:r w:rsidRPr="00B45F7C">
        <w:rPr>
          <w:rFonts w:ascii="Aptos" w:eastAsia="Aptos" w:hAnsi="Aptos" w:cs="Times New Roman"/>
          <w:b/>
          <w:bCs/>
          <w:sz w:val="18"/>
        </w:rPr>
        <w:t xml:space="preserve">Source: </w:t>
      </w:r>
      <w:r w:rsidR="00205A5C" w:rsidRPr="00B45F7C">
        <w:rPr>
          <w:rFonts w:ascii="Aptos" w:eastAsia="Aptos" w:hAnsi="Aptos" w:cs="Times New Roman"/>
          <w:sz w:val="18"/>
        </w:rPr>
        <w:t>D</w:t>
      </w:r>
      <w:r w:rsidR="00205A5C">
        <w:rPr>
          <w:rFonts w:ascii="Aptos" w:eastAsia="Aptos" w:hAnsi="Aptos" w:cs="Times New Roman"/>
          <w:sz w:val="18"/>
        </w:rPr>
        <w:t>epartment of Employment and Workplace Relations,</w:t>
      </w:r>
      <w:r w:rsidRPr="00B45F7C">
        <w:rPr>
          <w:rFonts w:ascii="Aptos" w:eastAsia="Aptos" w:hAnsi="Aptos" w:cs="Times New Roman"/>
          <w:sz w:val="18"/>
        </w:rPr>
        <w:t xml:space="preserve"> Workplace Agreements Database.</w:t>
      </w:r>
    </w:p>
    <w:p w14:paraId="4226FB5D" w14:textId="14FBE810" w:rsidR="0011475D" w:rsidRDefault="00677577" w:rsidP="00096765">
      <w:pPr>
        <w:spacing w:before="120"/>
        <w:rPr>
          <w:rFonts w:ascii="Aptos" w:eastAsia="Aptos" w:hAnsi="Aptos" w:cs="Calibri"/>
        </w:rPr>
      </w:pPr>
      <w:r w:rsidRPr="00096765">
        <w:rPr>
          <w:rFonts w:ascii="Aptos" w:eastAsia="Aptos" w:hAnsi="Aptos" w:cs="Calibri"/>
        </w:rPr>
        <w:t xml:space="preserve">Figure </w:t>
      </w:r>
      <w:r w:rsidR="00844718" w:rsidRPr="00096765">
        <w:rPr>
          <w:rFonts w:ascii="Aptos" w:eastAsia="Aptos" w:hAnsi="Aptos" w:cs="Calibri"/>
        </w:rPr>
        <w:t>50</w:t>
      </w:r>
      <w:r w:rsidRPr="00F56A5F">
        <w:rPr>
          <w:rFonts w:ascii="Aptos" w:eastAsia="Aptos" w:hAnsi="Aptos" w:cs="Calibri"/>
        </w:rPr>
        <w:t xml:space="preserve"> shows that, although the number of enterprise agreements being approved has declined</w:t>
      </w:r>
      <w:r w:rsidRPr="00B45F7C">
        <w:rPr>
          <w:rFonts w:ascii="Aptos" w:eastAsia="Aptos" w:hAnsi="Aptos" w:cs="Calibri"/>
        </w:rPr>
        <w:t xml:space="preserve"> since 2010, the number of workers covered by new enterprise agreements has not fallen at the same rate. Indeed, while the number of enterprise agreements approved in the years to September 2023 and 2024 appears relatively static, the number of employees covered by those enterprise agreements has increased. In the year to September 2024 the total number of employees covered by new agreements was equal to over 1.25 million. This pattern (of rising employee coverage notwithstanding slow growth in agreement coverage) stems from a growth in new union agreements and the fact that they cover a greater proportion of employees.</w:t>
      </w:r>
    </w:p>
    <w:p w14:paraId="4130782F" w14:textId="6C09042C" w:rsidR="00677577" w:rsidRPr="00B45F7C" w:rsidRDefault="00844718" w:rsidP="00096765">
      <w:pPr>
        <w:pStyle w:val="Caption"/>
      </w:pPr>
      <w:bookmarkStart w:id="988" w:name="_Toc186906042"/>
      <w:bookmarkStart w:id="989" w:name="_Toc187514220"/>
      <w:bookmarkStart w:id="990" w:name="_Toc189310834"/>
      <w:bookmarkStart w:id="991" w:name="_Toc194251548"/>
      <w:r>
        <w:t xml:space="preserve">Figure </w:t>
      </w:r>
      <w:r>
        <w:fldChar w:fldCharType="begin"/>
      </w:r>
      <w:r>
        <w:instrText xml:space="preserve"> SEQ Figure \* ARABIC </w:instrText>
      </w:r>
      <w:r>
        <w:fldChar w:fldCharType="separate"/>
      </w:r>
      <w:r w:rsidR="00DE5F5E">
        <w:rPr>
          <w:noProof/>
        </w:rPr>
        <w:t>50</w:t>
      </w:r>
      <w:r>
        <w:fldChar w:fldCharType="end"/>
      </w:r>
      <w:r>
        <w:t xml:space="preserve">: </w:t>
      </w:r>
      <w:r w:rsidR="00677577" w:rsidRPr="00B45F7C">
        <w:t>Number of new agreements approved and employees covered, year to September quarter</w:t>
      </w:r>
      <w:bookmarkEnd w:id="988"/>
      <w:bookmarkEnd w:id="989"/>
      <w:bookmarkEnd w:id="990"/>
      <w:r w:rsidR="004005D7">
        <w:t>, 2010 to 2024</w:t>
      </w:r>
      <w:bookmarkEnd w:id="991"/>
    </w:p>
    <w:p w14:paraId="7B7F7FAF" w14:textId="74AB9B56" w:rsidR="00677577" w:rsidRPr="00B45F7C" w:rsidRDefault="00677577" w:rsidP="00677577">
      <w:pPr>
        <w:rPr>
          <w:rFonts w:ascii="Aptos" w:eastAsia="Aptos" w:hAnsi="Aptos" w:cs="Times New Roman"/>
          <w:lang w:val="en-US"/>
        </w:rPr>
      </w:pPr>
      <w:r w:rsidRPr="00B45F7C">
        <w:rPr>
          <w:rFonts w:ascii="Aptos" w:eastAsia="Aptos" w:hAnsi="Aptos" w:cs="Times New Roman"/>
          <w:noProof/>
        </w:rPr>
        <w:drawing>
          <wp:inline distT="0" distB="0" distL="0" distR="0" wp14:anchorId="276A7C54" wp14:editId="4882EA0F">
            <wp:extent cx="5800000" cy="3485714"/>
            <wp:effectExtent l="0" t="0" r="0" b="635"/>
            <wp:docPr id="634112255" name="Picture 1" descr="A combination chart showing number of new agreements approved and employees covered.&#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112255" name="Picture 1" descr="A combination chart showing number of new agreements approved and employees covered.&#10;&#10;See alt-text following the source."/>
                    <pic:cNvPicPr/>
                  </pic:nvPicPr>
                  <pic:blipFill>
                    <a:blip r:embed="rId66"/>
                    <a:stretch>
                      <a:fillRect/>
                    </a:stretch>
                  </pic:blipFill>
                  <pic:spPr>
                    <a:xfrm>
                      <a:off x="0" y="0"/>
                      <a:ext cx="5800000" cy="3485714"/>
                    </a:xfrm>
                    <a:prstGeom prst="rect">
                      <a:avLst/>
                    </a:prstGeom>
                  </pic:spPr>
                </pic:pic>
              </a:graphicData>
            </a:graphic>
          </wp:inline>
        </w:drawing>
      </w:r>
    </w:p>
    <w:p w14:paraId="0911C347" w14:textId="35CCD363" w:rsidR="001A44BF" w:rsidRPr="00167CB8" w:rsidRDefault="001A44BF" w:rsidP="001A44BF">
      <w:pPr>
        <w:pStyle w:val="Source"/>
      </w:pPr>
      <w:r w:rsidRPr="001A44BF">
        <w:rPr>
          <w:b/>
          <w:bCs/>
        </w:rPr>
        <w:t xml:space="preserve">Note: </w:t>
      </w:r>
      <w:r>
        <w:t>The red vertical line shows when the Secure Job, Better Pay amendments commenced.</w:t>
      </w:r>
    </w:p>
    <w:p w14:paraId="6552555B" w14:textId="63CE1063" w:rsidR="00677577" w:rsidRPr="00B45F7C" w:rsidRDefault="00677577" w:rsidP="00677577">
      <w:pPr>
        <w:spacing w:before="120"/>
        <w:rPr>
          <w:rFonts w:ascii="Aptos" w:eastAsia="Aptos" w:hAnsi="Aptos" w:cs="Times New Roman"/>
          <w:sz w:val="18"/>
        </w:rPr>
      </w:pPr>
      <w:r w:rsidRPr="00B45F7C">
        <w:rPr>
          <w:rFonts w:ascii="Aptos" w:eastAsia="Aptos" w:hAnsi="Aptos" w:cs="Times New Roman"/>
          <w:b/>
          <w:bCs/>
          <w:sz w:val="18"/>
        </w:rPr>
        <w:t xml:space="preserve">Source: </w:t>
      </w:r>
      <w:r w:rsidR="004005D7">
        <w:rPr>
          <w:rFonts w:ascii="Aptos" w:eastAsia="Aptos" w:hAnsi="Aptos" w:cs="Times New Roman"/>
          <w:sz w:val="18"/>
        </w:rPr>
        <w:t>Department of Employment and Workplace Relations</w:t>
      </w:r>
      <w:r w:rsidR="00205A5C">
        <w:rPr>
          <w:rFonts w:ascii="Aptos" w:eastAsia="Aptos" w:hAnsi="Aptos" w:cs="Times New Roman"/>
          <w:sz w:val="18"/>
        </w:rPr>
        <w:t>,</w:t>
      </w:r>
      <w:r w:rsidR="004005D7">
        <w:rPr>
          <w:rFonts w:ascii="Aptos" w:eastAsia="Aptos" w:hAnsi="Aptos" w:cs="Times New Roman"/>
          <w:sz w:val="18"/>
        </w:rPr>
        <w:t xml:space="preserve"> </w:t>
      </w:r>
      <w:r w:rsidRPr="00B45F7C">
        <w:rPr>
          <w:rFonts w:ascii="Aptos" w:eastAsia="Aptos" w:hAnsi="Aptos" w:cs="Times New Roman"/>
          <w:sz w:val="18"/>
        </w:rPr>
        <w:t>Workplace Agreements Database.</w:t>
      </w:r>
    </w:p>
    <w:p w14:paraId="3DE608D1" w14:textId="3CE42F46" w:rsidR="0011475D" w:rsidRDefault="00677577" w:rsidP="00677577">
      <w:pPr>
        <w:spacing w:before="120"/>
        <w:rPr>
          <w:rFonts w:ascii="Aptos" w:eastAsia="Aptos" w:hAnsi="Aptos" w:cs="Times New Roman"/>
          <w:sz w:val="18"/>
        </w:rPr>
      </w:pPr>
      <w:r w:rsidRPr="00B45F7C">
        <w:rPr>
          <w:rFonts w:ascii="Aptos" w:eastAsia="Aptos" w:hAnsi="Aptos" w:cs="Times New Roman"/>
          <w:b/>
          <w:sz w:val="18"/>
        </w:rPr>
        <w:t>Alt-text:</w:t>
      </w:r>
      <w:r w:rsidRPr="00B45F7C">
        <w:rPr>
          <w:rFonts w:ascii="Aptos" w:eastAsia="Aptos" w:hAnsi="Aptos" w:cs="Times New Roman"/>
          <w:sz w:val="18"/>
        </w:rPr>
        <w:t xml:space="preserve"> A combination chart. The bars show the number of new approved agreements between 2009 and </w:t>
      </w:r>
      <w:r w:rsidR="004005D7">
        <w:rPr>
          <w:rFonts w:ascii="Aptos" w:eastAsia="Aptos" w:hAnsi="Aptos" w:cs="Times New Roman"/>
          <w:sz w:val="18"/>
        </w:rPr>
        <w:t xml:space="preserve">the </w:t>
      </w:r>
      <w:r w:rsidRPr="00B45F7C">
        <w:rPr>
          <w:rFonts w:ascii="Aptos" w:eastAsia="Aptos" w:hAnsi="Aptos" w:cs="Times New Roman"/>
          <w:sz w:val="18"/>
        </w:rPr>
        <w:t xml:space="preserve">September quarter (Q3) of 2024 and the line shows </w:t>
      </w:r>
      <w:r w:rsidR="004005D7">
        <w:rPr>
          <w:rFonts w:ascii="Aptos" w:eastAsia="Aptos" w:hAnsi="Aptos" w:cs="Times New Roman"/>
          <w:sz w:val="18"/>
        </w:rPr>
        <w:t xml:space="preserve">the </w:t>
      </w:r>
      <w:r w:rsidRPr="00B45F7C">
        <w:rPr>
          <w:rFonts w:ascii="Aptos" w:eastAsia="Aptos" w:hAnsi="Aptos" w:cs="Times New Roman"/>
          <w:sz w:val="18"/>
        </w:rPr>
        <w:t>number of employees covered by these new agreements. For calendar year 2023 a total of 4,111 new agreements were approved across all sectors (</w:t>
      </w:r>
      <w:r w:rsidR="004005D7">
        <w:rPr>
          <w:rFonts w:ascii="Aptos" w:eastAsia="Aptos" w:hAnsi="Aptos" w:cs="Times New Roman"/>
          <w:sz w:val="18"/>
        </w:rPr>
        <w:t xml:space="preserve">left-hand </w:t>
      </w:r>
      <w:r w:rsidRPr="00B45F7C">
        <w:rPr>
          <w:rFonts w:ascii="Aptos" w:eastAsia="Aptos" w:hAnsi="Aptos" w:cs="Times New Roman"/>
          <w:sz w:val="18"/>
        </w:rPr>
        <w:t>axis) covering 843,182 employees. In the year to September 2024 a total of 3,158 new agreements had been approved covering 981,000 employees.</w:t>
      </w:r>
    </w:p>
    <w:p w14:paraId="2EC67F6A" w14:textId="51A2CEF9" w:rsidR="00677577" w:rsidRPr="00B45F7C" w:rsidRDefault="00677577" w:rsidP="00677577">
      <w:pPr>
        <w:rPr>
          <w:rFonts w:ascii="Aptos" w:eastAsia="Aptos" w:hAnsi="Aptos" w:cs="Times New Roman"/>
        </w:rPr>
      </w:pPr>
      <w:r w:rsidRPr="00B45F7C">
        <w:rPr>
          <w:rFonts w:ascii="Aptos" w:eastAsia="Aptos" w:hAnsi="Aptos" w:cs="Times New Roman"/>
        </w:rPr>
        <w:t xml:space="preserve"> </w:t>
      </w:r>
      <w:r w:rsidRPr="00B45F7C">
        <w:rPr>
          <w:rFonts w:ascii="Aptos" w:eastAsia="Aptos" w:hAnsi="Aptos" w:cs="Times New Roman"/>
        </w:rPr>
        <w:br w:type="page"/>
      </w:r>
      <w:r w:rsidRPr="00D44B8C">
        <w:rPr>
          <w:rFonts w:ascii="Aptos" w:eastAsia="Aptos" w:hAnsi="Aptos" w:cs="Times New Roman"/>
        </w:rPr>
        <w:t xml:space="preserve">Figure </w:t>
      </w:r>
      <w:r w:rsidR="00844718" w:rsidRPr="00D44B8C">
        <w:rPr>
          <w:rFonts w:ascii="Aptos" w:eastAsia="Aptos" w:hAnsi="Aptos" w:cs="Times New Roman"/>
        </w:rPr>
        <w:t>51</w:t>
      </w:r>
      <w:r w:rsidRPr="00F56A5F">
        <w:rPr>
          <w:rFonts w:ascii="Aptos" w:eastAsia="Aptos" w:hAnsi="Aptos" w:cs="Times New Roman"/>
        </w:rPr>
        <w:t xml:space="preserve"> shows the number of new agreements approved in the quarter and number of employees</w:t>
      </w:r>
      <w:r w:rsidRPr="00B45F7C">
        <w:rPr>
          <w:rFonts w:ascii="Aptos" w:eastAsia="Aptos" w:hAnsi="Aptos" w:cs="Times New Roman"/>
        </w:rPr>
        <w:t xml:space="preserve"> covered.</w:t>
      </w:r>
    </w:p>
    <w:p w14:paraId="1012D4A3" w14:textId="27E0D3C4" w:rsidR="00677577" w:rsidRPr="00B45F7C" w:rsidRDefault="00844718" w:rsidP="00D44B8C">
      <w:pPr>
        <w:pStyle w:val="Caption"/>
      </w:pPr>
      <w:bookmarkStart w:id="992" w:name="_Toc186906043"/>
      <w:bookmarkStart w:id="993" w:name="_Toc187514221"/>
      <w:bookmarkStart w:id="994" w:name="_Toc189310835"/>
      <w:bookmarkStart w:id="995" w:name="_Toc194251549"/>
      <w:r>
        <w:t xml:space="preserve">Figure </w:t>
      </w:r>
      <w:r>
        <w:fldChar w:fldCharType="begin"/>
      </w:r>
      <w:r>
        <w:instrText xml:space="preserve"> SEQ Figure \* ARABIC </w:instrText>
      </w:r>
      <w:r>
        <w:fldChar w:fldCharType="separate"/>
      </w:r>
      <w:r w:rsidR="00DE5F5E">
        <w:rPr>
          <w:noProof/>
        </w:rPr>
        <w:t>51</w:t>
      </w:r>
      <w:r>
        <w:fldChar w:fldCharType="end"/>
      </w:r>
      <w:r>
        <w:t xml:space="preserve">: </w:t>
      </w:r>
      <w:r w:rsidR="00677577" w:rsidRPr="00B45F7C">
        <w:t>Number of new agreements approved by the quarter and number of employees</w:t>
      </w:r>
      <w:bookmarkEnd w:id="992"/>
      <w:bookmarkEnd w:id="993"/>
      <w:r w:rsidR="00677577" w:rsidRPr="00B45F7C">
        <w:t>, June 2021 to September 2024</w:t>
      </w:r>
      <w:bookmarkEnd w:id="994"/>
      <w:bookmarkEnd w:id="995"/>
    </w:p>
    <w:p w14:paraId="3D741D7F" w14:textId="76732182" w:rsidR="00677577" w:rsidRPr="00B45F7C" w:rsidRDefault="00677577" w:rsidP="00677577">
      <w:pPr>
        <w:rPr>
          <w:rFonts w:ascii="Aptos" w:eastAsia="Aptos" w:hAnsi="Aptos" w:cs="Times New Roman"/>
          <w:lang w:val="en-US"/>
        </w:rPr>
      </w:pPr>
      <w:r w:rsidRPr="00B45F7C">
        <w:rPr>
          <w:rFonts w:ascii="Aptos" w:eastAsia="Aptos" w:hAnsi="Aptos" w:cs="Times New Roman"/>
          <w:noProof/>
          <w:lang w:val="en-US"/>
        </w:rPr>
        <w:drawing>
          <wp:inline distT="0" distB="0" distL="0" distR="0" wp14:anchorId="49B013D0" wp14:editId="52F949D2">
            <wp:extent cx="5715000" cy="3238500"/>
            <wp:effectExtent l="0" t="0" r="0" b="0"/>
            <wp:docPr id="151680749" name="Picture 2" descr="A combination chart showing number of new agreements approved by the quarter and number of employees.&#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80749" name="Picture 2" descr="A combination chart showing number of new agreements approved by the quarter and number of employees.&#10;&#10;See alt-text following the sourc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15000" cy="3238500"/>
                    </a:xfrm>
                    <a:prstGeom prst="rect">
                      <a:avLst/>
                    </a:prstGeom>
                    <a:noFill/>
                  </pic:spPr>
                </pic:pic>
              </a:graphicData>
            </a:graphic>
          </wp:inline>
        </w:drawing>
      </w:r>
    </w:p>
    <w:p w14:paraId="18613AAB" w14:textId="6130F977" w:rsidR="001A44BF" w:rsidRPr="00167CB8" w:rsidRDefault="001A44BF" w:rsidP="001A44BF">
      <w:pPr>
        <w:pStyle w:val="Source"/>
      </w:pPr>
      <w:r>
        <w:rPr>
          <w:rFonts w:ascii="Aptos" w:eastAsia="Aptos" w:hAnsi="Aptos" w:cs="Times New Roman"/>
          <w:b/>
          <w:bCs/>
        </w:rPr>
        <w:t xml:space="preserve">Note: </w:t>
      </w:r>
      <w:r>
        <w:t>The red vertical line shows when the Secure Job, Better Pay amendments commenced.</w:t>
      </w:r>
    </w:p>
    <w:p w14:paraId="4FC35358" w14:textId="65147DB9" w:rsidR="00677577" w:rsidRPr="00B45F7C" w:rsidRDefault="00677577" w:rsidP="00677577">
      <w:pPr>
        <w:spacing w:before="120"/>
        <w:rPr>
          <w:rFonts w:ascii="Aptos" w:eastAsia="Aptos" w:hAnsi="Aptos" w:cs="Times New Roman"/>
          <w:sz w:val="18"/>
        </w:rPr>
      </w:pPr>
      <w:r w:rsidRPr="00B45F7C">
        <w:rPr>
          <w:rFonts w:ascii="Aptos" w:eastAsia="Aptos" w:hAnsi="Aptos" w:cs="Times New Roman"/>
          <w:b/>
          <w:bCs/>
          <w:sz w:val="18"/>
        </w:rPr>
        <w:t>Source:</w:t>
      </w:r>
      <w:r w:rsidRPr="00B45F7C">
        <w:rPr>
          <w:rFonts w:ascii="Aptos" w:eastAsia="Aptos" w:hAnsi="Aptos" w:cs="Times New Roman"/>
          <w:sz w:val="18"/>
        </w:rPr>
        <w:t xml:space="preserve"> </w:t>
      </w:r>
      <w:r w:rsidR="004005D7">
        <w:rPr>
          <w:rFonts w:ascii="Aptos" w:eastAsia="Aptos" w:hAnsi="Aptos" w:cs="Times New Roman"/>
          <w:sz w:val="18"/>
        </w:rPr>
        <w:t>Department of Employment and Workplace Relations</w:t>
      </w:r>
      <w:r w:rsidR="00C62AD2">
        <w:rPr>
          <w:rFonts w:ascii="Aptos" w:eastAsia="Aptos" w:hAnsi="Aptos" w:cs="Times New Roman"/>
          <w:sz w:val="18"/>
        </w:rPr>
        <w:t>,</w:t>
      </w:r>
      <w:r w:rsidR="004005D7">
        <w:rPr>
          <w:rFonts w:ascii="Aptos" w:eastAsia="Aptos" w:hAnsi="Aptos" w:cs="Times New Roman"/>
          <w:sz w:val="18"/>
        </w:rPr>
        <w:t xml:space="preserve"> </w:t>
      </w:r>
      <w:r w:rsidRPr="00B45F7C">
        <w:rPr>
          <w:rFonts w:ascii="Aptos" w:eastAsia="Aptos" w:hAnsi="Aptos" w:cs="Times New Roman"/>
          <w:sz w:val="18"/>
        </w:rPr>
        <w:t>Workplace Agreements Database.</w:t>
      </w:r>
    </w:p>
    <w:p w14:paraId="6AE31CFD" w14:textId="68401F2A" w:rsidR="0011475D" w:rsidRDefault="00677577" w:rsidP="00677577">
      <w:pPr>
        <w:spacing w:before="120"/>
        <w:rPr>
          <w:rFonts w:ascii="Aptos" w:eastAsia="Aptos" w:hAnsi="Aptos" w:cs="Times New Roman"/>
          <w:sz w:val="18"/>
        </w:rPr>
      </w:pPr>
      <w:r w:rsidRPr="00B45F7C">
        <w:rPr>
          <w:rFonts w:ascii="Aptos" w:eastAsia="Aptos" w:hAnsi="Aptos" w:cs="Times New Roman"/>
          <w:b/>
          <w:sz w:val="18"/>
        </w:rPr>
        <w:t>Alt-text:</w:t>
      </w:r>
      <w:r w:rsidRPr="00B45F7C">
        <w:rPr>
          <w:rFonts w:ascii="Aptos" w:eastAsia="Aptos" w:hAnsi="Aptos" w:cs="Times New Roman"/>
          <w:sz w:val="18"/>
        </w:rPr>
        <w:t xml:space="preserve"> A combination chart. The bars show the number of new approved agreements approved in each quarter covering the period June quarter (Q2) 2021 to September quarter (Q3) of 2024 (</w:t>
      </w:r>
      <w:r w:rsidR="004005D7">
        <w:rPr>
          <w:rFonts w:ascii="Aptos" w:eastAsia="Aptos" w:hAnsi="Aptos" w:cs="Times New Roman"/>
          <w:sz w:val="18"/>
        </w:rPr>
        <w:t>left-hand side</w:t>
      </w:r>
      <w:r w:rsidRPr="00B45F7C">
        <w:rPr>
          <w:rFonts w:ascii="Aptos" w:eastAsia="Aptos" w:hAnsi="Aptos" w:cs="Times New Roman"/>
          <w:sz w:val="18"/>
        </w:rPr>
        <w:t>). The line shows the number of employees covered by these new approved agreements in each quarter (</w:t>
      </w:r>
      <w:r w:rsidR="004005D7">
        <w:rPr>
          <w:rFonts w:ascii="Aptos" w:eastAsia="Aptos" w:hAnsi="Aptos" w:cs="Times New Roman"/>
          <w:sz w:val="18"/>
        </w:rPr>
        <w:t>right-hand side</w:t>
      </w:r>
      <w:r w:rsidRPr="00B45F7C">
        <w:rPr>
          <w:rFonts w:ascii="Aptos" w:eastAsia="Aptos" w:hAnsi="Aptos" w:cs="Times New Roman"/>
          <w:sz w:val="18"/>
        </w:rPr>
        <w:t>). A total of 341,00</w:t>
      </w:r>
      <w:r w:rsidR="004005D7">
        <w:rPr>
          <w:rFonts w:ascii="Aptos" w:eastAsia="Aptos" w:hAnsi="Aptos" w:cs="Times New Roman"/>
          <w:sz w:val="18"/>
        </w:rPr>
        <w:t>0</w:t>
      </w:r>
      <w:r w:rsidRPr="00B45F7C">
        <w:rPr>
          <w:rFonts w:ascii="Aptos" w:eastAsia="Aptos" w:hAnsi="Aptos" w:cs="Times New Roman"/>
          <w:sz w:val="18"/>
        </w:rPr>
        <w:t xml:space="preserve"> employees were covered by agreements approved in the September 2024 quarter.</w:t>
      </w:r>
    </w:p>
    <w:p w14:paraId="1138B6C8" w14:textId="6EBF8E47" w:rsidR="00677577" w:rsidRPr="00B45F7C" w:rsidRDefault="00844718" w:rsidP="00B17BDC">
      <w:pPr>
        <w:pStyle w:val="Caption"/>
      </w:pPr>
      <w:bookmarkStart w:id="996" w:name="_Toc187514222"/>
      <w:bookmarkStart w:id="997" w:name="_Toc189310836"/>
      <w:bookmarkStart w:id="998" w:name="_Toc194251550"/>
      <w:r>
        <w:t xml:space="preserve">Figure </w:t>
      </w:r>
      <w:r>
        <w:fldChar w:fldCharType="begin"/>
      </w:r>
      <w:r>
        <w:instrText xml:space="preserve"> SEQ Figure \* ARABIC </w:instrText>
      </w:r>
      <w:r>
        <w:fldChar w:fldCharType="separate"/>
      </w:r>
      <w:r w:rsidR="00DE5F5E">
        <w:rPr>
          <w:noProof/>
        </w:rPr>
        <w:t>52</w:t>
      </w:r>
      <w:r>
        <w:fldChar w:fldCharType="end"/>
      </w:r>
      <w:r>
        <w:t xml:space="preserve">: </w:t>
      </w:r>
      <w:r w:rsidR="00677577" w:rsidRPr="00B45F7C">
        <w:t>Trends in approval of new agreements and their coverage (by single and multi-employer), year to September quarter</w:t>
      </w:r>
      <w:bookmarkEnd w:id="996"/>
      <w:bookmarkEnd w:id="997"/>
      <w:r w:rsidR="0021216A">
        <w:t>, 2010 to 2024</w:t>
      </w:r>
      <w:bookmarkEnd w:id="998"/>
    </w:p>
    <w:p w14:paraId="47C8D1D9" w14:textId="39D96E64" w:rsidR="00677577" w:rsidRPr="00B45F7C" w:rsidRDefault="00677577" w:rsidP="00677577">
      <w:pPr>
        <w:rPr>
          <w:rFonts w:ascii="Aptos" w:eastAsia="Aptos" w:hAnsi="Aptos" w:cs="Times New Roman"/>
          <w:lang w:val="en-US"/>
        </w:rPr>
      </w:pPr>
      <w:r w:rsidRPr="00B45F7C">
        <w:rPr>
          <w:rFonts w:ascii="Aptos" w:eastAsia="Aptos" w:hAnsi="Aptos" w:cs="Times New Roman"/>
          <w:noProof/>
          <w:lang w:val="en-US"/>
        </w:rPr>
        <w:drawing>
          <wp:inline distT="0" distB="0" distL="0" distR="0" wp14:anchorId="0B88014A" wp14:editId="59C90D6D">
            <wp:extent cx="5756744" cy="3544146"/>
            <wp:effectExtent l="0" t="0" r="0" b="0"/>
            <wp:docPr id="737490983" name="Picture 3" descr="A combination chart of trends in approval of new agreements and their coverage.&#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490983" name="Picture 3" descr="A combination chart of trends in approval of new agreements and their coverage.&#10;&#10;See alt-text following the sourc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70124" cy="3552383"/>
                    </a:xfrm>
                    <a:prstGeom prst="rect">
                      <a:avLst/>
                    </a:prstGeom>
                    <a:noFill/>
                  </pic:spPr>
                </pic:pic>
              </a:graphicData>
            </a:graphic>
          </wp:inline>
        </w:drawing>
      </w:r>
    </w:p>
    <w:p w14:paraId="7E275EB3" w14:textId="77777777" w:rsidR="00677577" w:rsidRPr="00B45F7C" w:rsidRDefault="00677577" w:rsidP="00677577">
      <w:pPr>
        <w:jc w:val="center"/>
        <w:rPr>
          <w:rFonts w:ascii="Aptos" w:eastAsia="Aptos" w:hAnsi="Aptos" w:cs="Times New Roman"/>
        </w:rPr>
      </w:pPr>
    </w:p>
    <w:p w14:paraId="4768F64F" w14:textId="19E3D7DD" w:rsidR="00677577" w:rsidRPr="00B45F7C" w:rsidRDefault="00677577" w:rsidP="00677577">
      <w:pPr>
        <w:spacing w:before="120"/>
        <w:rPr>
          <w:rFonts w:ascii="Aptos" w:eastAsia="Aptos" w:hAnsi="Aptos" w:cs="Times New Roman"/>
          <w:sz w:val="18"/>
        </w:rPr>
      </w:pPr>
      <w:r w:rsidRPr="00B45F7C">
        <w:rPr>
          <w:rFonts w:ascii="Aptos" w:eastAsia="Aptos" w:hAnsi="Aptos" w:cs="Times New Roman"/>
          <w:b/>
          <w:bCs/>
          <w:sz w:val="18"/>
        </w:rPr>
        <w:t>Source:</w:t>
      </w:r>
      <w:r w:rsidRPr="00B45F7C">
        <w:rPr>
          <w:rFonts w:ascii="Aptos" w:eastAsia="Aptos" w:hAnsi="Aptos" w:cs="Times New Roman"/>
          <w:sz w:val="18"/>
        </w:rPr>
        <w:t xml:space="preserve"> </w:t>
      </w:r>
      <w:r w:rsidR="0021216A">
        <w:rPr>
          <w:rFonts w:ascii="Aptos" w:eastAsia="Aptos" w:hAnsi="Aptos" w:cs="Times New Roman"/>
          <w:sz w:val="18"/>
        </w:rPr>
        <w:t>Department of Employment and Workplace Relations</w:t>
      </w:r>
      <w:r w:rsidR="00C62AD2">
        <w:rPr>
          <w:rFonts w:ascii="Aptos" w:eastAsia="Aptos" w:hAnsi="Aptos" w:cs="Times New Roman"/>
          <w:sz w:val="18"/>
        </w:rPr>
        <w:t>,</w:t>
      </w:r>
      <w:r w:rsidR="0021216A">
        <w:rPr>
          <w:rFonts w:ascii="Aptos" w:eastAsia="Aptos" w:hAnsi="Aptos" w:cs="Times New Roman"/>
          <w:sz w:val="18"/>
        </w:rPr>
        <w:t xml:space="preserve"> </w:t>
      </w:r>
      <w:r w:rsidRPr="00B45F7C">
        <w:rPr>
          <w:rFonts w:ascii="Aptos" w:eastAsia="Aptos" w:hAnsi="Aptos" w:cs="Times New Roman"/>
          <w:sz w:val="18"/>
        </w:rPr>
        <w:t>Workplace Agreement Database.</w:t>
      </w:r>
    </w:p>
    <w:p w14:paraId="20BE0327" w14:textId="2CEEA56B" w:rsidR="00677577" w:rsidRPr="00B45F7C" w:rsidRDefault="00677577" w:rsidP="00677577">
      <w:pPr>
        <w:spacing w:before="120"/>
        <w:rPr>
          <w:rFonts w:ascii="Aptos" w:eastAsia="Aptos" w:hAnsi="Aptos" w:cs="Times New Roman"/>
          <w:sz w:val="18"/>
        </w:rPr>
      </w:pPr>
      <w:r w:rsidRPr="00B45F7C">
        <w:rPr>
          <w:rFonts w:ascii="Aptos" w:eastAsia="Aptos" w:hAnsi="Aptos" w:cs="Times New Roman"/>
          <w:b/>
          <w:bCs/>
          <w:sz w:val="18"/>
        </w:rPr>
        <w:t xml:space="preserve">Alt text: </w:t>
      </w:r>
      <w:r w:rsidRPr="00B45F7C">
        <w:rPr>
          <w:rFonts w:ascii="Aptos" w:eastAsia="Aptos" w:hAnsi="Aptos" w:cs="Times New Roman"/>
          <w:sz w:val="18"/>
        </w:rPr>
        <w:t>A combination chart showing the number of new agreements approved in the year to the September quarters from 2010 to 2024, and the coverage of those agreements by whether they were single or multi-employer agreements. The left hand side axis (columns) shows the number of new agreements approved. The right hand side axis (lines) shows the number of employees covered by the single and multi-employer agreements approved. In the year to the September 2024 quarter 4,417 agreements were approved, with 1,210,202 employees covered by single</w:t>
      </w:r>
      <w:r w:rsidR="0021216A">
        <w:rPr>
          <w:rFonts w:ascii="Aptos" w:eastAsia="Aptos" w:hAnsi="Aptos" w:cs="Times New Roman"/>
          <w:sz w:val="18"/>
        </w:rPr>
        <w:t>-</w:t>
      </w:r>
      <w:r w:rsidRPr="00B45F7C">
        <w:rPr>
          <w:rFonts w:ascii="Aptos" w:eastAsia="Aptos" w:hAnsi="Aptos" w:cs="Times New Roman"/>
          <w:sz w:val="18"/>
        </w:rPr>
        <w:t>enterprise agreements and 48,120 covered by multi-employer agreements.</w:t>
      </w:r>
    </w:p>
    <w:p w14:paraId="348BA977" w14:textId="77777777" w:rsidR="00677577" w:rsidRPr="00B45F7C" w:rsidRDefault="00677577" w:rsidP="00677577">
      <w:pPr>
        <w:rPr>
          <w:rFonts w:ascii="Aptos" w:eastAsia="Aptos" w:hAnsi="Aptos" w:cs="Times New Roman"/>
          <w:b/>
          <w:iCs/>
          <w:color w:val="404246"/>
          <w:szCs w:val="18"/>
        </w:rPr>
      </w:pPr>
      <w:r w:rsidRPr="00B45F7C">
        <w:rPr>
          <w:rFonts w:ascii="Aptos" w:eastAsia="Aptos" w:hAnsi="Aptos" w:cs="Times New Roman"/>
        </w:rPr>
        <w:br w:type="page"/>
      </w:r>
    </w:p>
    <w:p w14:paraId="6CF0F9D8" w14:textId="7F5C6BF9" w:rsidR="00677577" w:rsidRPr="00B45F7C" w:rsidRDefault="00844718" w:rsidP="00535965">
      <w:pPr>
        <w:pStyle w:val="Caption"/>
      </w:pPr>
      <w:bookmarkStart w:id="999" w:name="_Toc189310884"/>
      <w:bookmarkStart w:id="1000" w:name="_Toc194251484"/>
      <w:r>
        <w:t xml:space="preserve">Table </w:t>
      </w:r>
      <w:r>
        <w:fldChar w:fldCharType="begin"/>
      </w:r>
      <w:r>
        <w:instrText xml:space="preserve"> SEQ Table \* ARABIC </w:instrText>
      </w:r>
      <w:r>
        <w:fldChar w:fldCharType="separate"/>
      </w:r>
      <w:r w:rsidR="00DE5F5E">
        <w:rPr>
          <w:noProof/>
        </w:rPr>
        <w:t>60</w:t>
      </w:r>
      <w:r>
        <w:fldChar w:fldCharType="end"/>
      </w:r>
      <w:r>
        <w:t xml:space="preserve">: </w:t>
      </w:r>
      <w:r w:rsidR="00677577" w:rsidRPr="00B45F7C">
        <w:t>New approved agreements by calendar year, 2009 to 2024</w:t>
      </w:r>
      <w:bookmarkEnd w:id="999"/>
      <w:bookmarkEnd w:id="1000"/>
    </w:p>
    <w:tbl>
      <w:tblPr>
        <w:tblW w:w="9026" w:type="dxa"/>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4A0" w:firstRow="1" w:lastRow="0" w:firstColumn="1" w:lastColumn="0" w:noHBand="0" w:noVBand="1"/>
      </w:tblPr>
      <w:tblGrid>
        <w:gridCol w:w="1418"/>
        <w:gridCol w:w="1282"/>
        <w:gridCol w:w="1235"/>
        <w:gridCol w:w="1314"/>
        <w:gridCol w:w="1314"/>
        <w:gridCol w:w="1235"/>
        <w:gridCol w:w="1228"/>
      </w:tblGrid>
      <w:tr w:rsidR="00677577" w:rsidRPr="00236247" w14:paraId="3B955C1E" w14:textId="77777777">
        <w:trPr>
          <w:trHeight w:val="622"/>
        </w:trPr>
        <w:tc>
          <w:tcPr>
            <w:tcW w:w="1418" w:type="dxa"/>
            <w:vMerge w:val="restart"/>
            <w:tcBorders>
              <w:right w:val="single" w:sz="4" w:space="0" w:color="auto"/>
            </w:tcBorders>
            <w:vAlign w:val="center"/>
            <w:hideMark/>
          </w:tcPr>
          <w:p w14:paraId="73ADB579" w14:textId="77777777" w:rsidR="00677577" w:rsidRPr="00FD423E" w:rsidRDefault="00677577">
            <w:pPr>
              <w:spacing w:after="0" w:line="240" w:lineRule="auto"/>
              <w:rPr>
                <w:rFonts w:ascii="Aptos" w:eastAsia="Times New Roman" w:hAnsi="Aptos" w:cs="Times New Roman"/>
                <w:b/>
                <w:sz w:val="20"/>
                <w:szCs w:val="20"/>
                <w:lang w:eastAsia="en-AU"/>
              </w:rPr>
            </w:pPr>
          </w:p>
        </w:tc>
        <w:tc>
          <w:tcPr>
            <w:tcW w:w="2517" w:type="dxa"/>
            <w:gridSpan w:val="2"/>
            <w:tcBorders>
              <w:top w:val="single" w:sz="4" w:space="0" w:color="auto"/>
              <w:left w:val="single" w:sz="4" w:space="0" w:color="auto"/>
              <w:bottom w:val="single" w:sz="4" w:space="0" w:color="auto"/>
              <w:right w:val="single" w:sz="4" w:space="0" w:color="auto"/>
            </w:tcBorders>
            <w:vAlign w:val="center"/>
            <w:hideMark/>
          </w:tcPr>
          <w:p w14:paraId="6A17D346" w14:textId="77777777" w:rsidR="00677577" w:rsidRPr="00FD423E" w:rsidRDefault="00677577">
            <w:pPr>
              <w:spacing w:after="0" w:line="240" w:lineRule="auto"/>
              <w:jc w:val="center"/>
              <w:rPr>
                <w:rFonts w:ascii="Aptos" w:eastAsia="Times New Roman" w:hAnsi="Aptos" w:cs="Times New Roman"/>
                <w:b/>
                <w:color w:val="000000"/>
                <w:sz w:val="20"/>
                <w:szCs w:val="20"/>
                <w:lang w:eastAsia="en-AU"/>
              </w:rPr>
            </w:pPr>
            <w:r w:rsidRPr="00FD423E">
              <w:rPr>
                <w:rFonts w:ascii="Aptos" w:eastAsia="Times New Roman" w:hAnsi="Aptos" w:cs="Times New Roman"/>
                <w:b/>
                <w:color w:val="000000"/>
                <w:sz w:val="20"/>
                <w:szCs w:val="20"/>
                <w:lang w:eastAsia="en-AU"/>
              </w:rPr>
              <w:t>New approved single enterprise agreements</w:t>
            </w:r>
          </w:p>
        </w:tc>
        <w:tc>
          <w:tcPr>
            <w:tcW w:w="5091" w:type="dxa"/>
            <w:gridSpan w:val="4"/>
            <w:tcBorders>
              <w:top w:val="single" w:sz="4" w:space="0" w:color="auto"/>
              <w:left w:val="single" w:sz="4" w:space="0" w:color="auto"/>
              <w:bottom w:val="single" w:sz="4" w:space="0" w:color="auto"/>
            </w:tcBorders>
            <w:vAlign w:val="center"/>
            <w:hideMark/>
          </w:tcPr>
          <w:p w14:paraId="2F11090F" w14:textId="77777777" w:rsidR="00677577" w:rsidRPr="00FD423E" w:rsidRDefault="00677577">
            <w:pPr>
              <w:spacing w:after="0" w:line="240" w:lineRule="auto"/>
              <w:jc w:val="center"/>
              <w:rPr>
                <w:rFonts w:ascii="Aptos" w:eastAsia="Times New Roman" w:hAnsi="Aptos" w:cs="Times New Roman"/>
                <w:b/>
                <w:color w:val="000000"/>
                <w:sz w:val="20"/>
                <w:szCs w:val="20"/>
                <w:lang w:eastAsia="en-AU"/>
              </w:rPr>
            </w:pPr>
            <w:r w:rsidRPr="00FD423E">
              <w:rPr>
                <w:rFonts w:ascii="Aptos" w:eastAsia="Times New Roman" w:hAnsi="Aptos" w:cs="Times New Roman"/>
                <w:b/>
                <w:color w:val="000000"/>
                <w:sz w:val="20"/>
                <w:szCs w:val="20"/>
                <w:lang w:eastAsia="en-AU"/>
              </w:rPr>
              <w:t>New approved multi-employer agreements</w:t>
            </w:r>
          </w:p>
        </w:tc>
      </w:tr>
      <w:tr w:rsidR="00677577" w:rsidRPr="00236247" w14:paraId="2E5F95E1" w14:textId="77777777">
        <w:trPr>
          <w:trHeight w:val="600"/>
        </w:trPr>
        <w:tc>
          <w:tcPr>
            <w:tcW w:w="1418" w:type="dxa"/>
            <w:vMerge/>
            <w:tcBorders>
              <w:bottom w:val="single" w:sz="4" w:space="0" w:color="auto"/>
              <w:right w:val="single" w:sz="4" w:space="0" w:color="auto"/>
            </w:tcBorders>
            <w:vAlign w:val="center"/>
            <w:hideMark/>
          </w:tcPr>
          <w:p w14:paraId="6BFBB24E" w14:textId="77777777" w:rsidR="00677577" w:rsidRPr="00FD423E" w:rsidRDefault="00677577">
            <w:pPr>
              <w:spacing w:after="0" w:line="240" w:lineRule="auto"/>
              <w:rPr>
                <w:rFonts w:ascii="Aptos" w:eastAsia="Times New Roman" w:hAnsi="Aptos" w:cs="Times New Roman"/>
                <w:b/>
                <w:sz w:val="20"/>
                <w:szCs w:val="20"/>
                <w:lang w:eastAsia="en-AU"/>
              </w:rPr>
            </w:pPr>
          </w:p>
        </w:tc>
        <w:tc>
          <w:tcPr>
            <w:tcW w:w="1282" w:type="dxa"/>
            <w:tcBorders>
              <w:top w:val="single" w:sz="4" w:space="0" w:color="auto"/>
              <w:left w:val="single" w:sz="4" w:space="0" w:color="auto"/>
              <w:bottom w:val="single" w:sz="4" w:space="0" w:color="auto"/>
              <w:right w:val="single" w:sz="4" w:space="0" w:color="auto"/>
            </w:tcBorders>
            <w:vAlign w:val="center"/>
            <w:hideMark/>
          </w:tcPr>
          <w:p w14:paraId="31F43826" w14:textId="77777777" w:rsidR="00677577" w:rsidRPr="00FD423E" w:rsidRDefault="00677577" w:rsidP="00FD423E">
            <w:pPr>
              <w:spacing w:after="0" w:line="240" w:lineRule="auto"/>
              <w:jc w:val="right"/>
              <w:rPr>
                <w:rFonts w:ascii="Aptos" w:eastAsia="Times New Roman" w:hAnsi="Aptos" w:cs="Times New Roman"/>
                <w:b/>
                <w:color w:val="000000"/>
                <w:sz w:val="20"/>
                <w:szCs w:val="20"/>
                <w:lang w:eastAsia="en-AU"/>
              </w:rPr>
            </w:pPr>
            <w:r w:rsidRPr="00FD423E">
              <w:rPr>
                <w:rFonts w:ascii="Aptos" w:eastAsia="Times New Roman" w:hAnsi="Aptos" w:cs="Times New Roman"/>
                <w:b/>
                <w:color w:val="000000"/>
                <w:sz w:val="20"/>
                <w:szCs w:val="20"/>
                <w:lang w:eastAsia="en-AU"/>
              </w:rPr>
              <w:t>No of agreements</w:t>
            </w:r>
          </w:p>
        </w:tc>
        <w:tc>
          <w:tcPr>
            <w:tcW w:w="1235" w:type="dxa"/>
            <w:tcBorders>
              <w:top w:val="single" w:sz="4" w:space="0" w:color="auto"/>
              <w:left w:val="single" w:sz="4" w:space="0" w:color="auto"/>
              <w:bottom w:val="single" w:sz="4" w:space="0" w:color="auto"/>
              <w:right w:val="single" w:sz="4" w:space="0" w:color="auto"/>
            </w:tcBorders>
            <w:vAlign w:val="center"/>
            <w:hideMark/>
          </w:tcPr>
          <w:p w14:paraId="011ACD2B" w14:textId="77777777" w:rsidR="00677577" w:rsidRPr="00FD423E" w:rsidRDefault="00677577" w:rsidP="00FD423E">
            <w:pPr>
              <w:spacing w:after="0" w:line="240" w:lineRule="auto"/>
              <w:jc w:val="right"/>
              <w:rPr>
                <w:rFonts w:ascii="Aptos" w:eastAsia="Times New Roman" w:hAnsi="Aptos" w:cs="Times New Roman"/>
                <w:b/>
                <w:color w:val="000000"/>
                <w:sz w:val="20"/>
                <w:szCs w:val="20"/>
                <w:lang w:eastAsia="en-AU"/>
              </w:rPr>
            </w:pPr>
            <w:r w:rsidRPr="00FD423E">
              <w:rPr>
                <w:rFonts w:ascii="Aptos" w:eastAsia="Times New Roman" w:hAnsi="Aptos" w:cs="Times New Roman"/>
                <w:b/>
                <w:color w:val="000000"/>
                <w:sz w:val="20"/>
                <w:szCs w:val="20"/>
                <w:lang w:eastAsia="en-AU"/>
              </w:rPr>
              <w:t>Employees covered</w:t>
            </w:r>
          </w:p>
        </w:tc>
        <w:tc>
          <w:tcPr>
            <w:tcW w:w="1314" w:type="dxa"/>
            <w:tcBorders>
              <w:top w:val="single" w:sz="4" w:space="0" w:color="auto"/>
              <w:left w:val="single" w:sz="4" w:space="0" w:color="auto"/>
              <w:bottom w:val="single" w:sz="4" w:space="0" w:color="auto"/>
              <w:right w:val="single" w:sz="4" w:space="0" w:color="auto"/>
            </w:tcBorders>
            <w:vAlign w:val="center"/>
            <w:hideMark/>
          </w:tcPr>
          <w:p w14:paraId="7C3DA968" w14:textId="77777777" w:rsidR="00677577" w:rsidRPr="00FD423E" w:rsidRDefault="00677577" w:rsidP="00FD423E">
            <w:pPr>
              <w:spacing w:after="0" w:line="240" w:lineRule="auto"/>
              <w:jc w:val="right"/>
              <w:rPr>
                <w:rFonts w:ascii="Aptos" w:eastAsia="Times New Roman" w:hAnsi="Aptos" w:cs="Times New Roman"/>
                <w:b/>
                <w:color w:val="000000"/>
                <w:sz w:val="20"/>
                <w:szCs w:val="20"/>
                <w:lang w:eastAsia="en-AU"/>
              </w:rPr>
            </w:pPr>
            <w:r w:rsidRPr="00FD423E">
              <w:rPr>
                <w:rFonts w:ascii="Aptos" w:eastAsia="Times New Roman" w:hAnsi="Aptos" w:cs="Times New Roman"/>
                <w:b/>
                <w:color w:val="000000"/>
                <w:sz w:val="20"/>
                <w:szCs w:val="20"/>
                <w:lang w:eastAsia="en-AU"/>
              </w:rPr>
              <w:t>No of agreements</w:t>
            </w:r>
          </w:p>
        </w:tc>
        <w:tc>
          <w:tcPr>
            <w:tcW w:w="1314" w:type="dxa"/>
            <w:tcBorders>
              <w:top w:val="single" w:sz="4" w:space="0" w:color="auto"/>
              <w:left w:val="single" w:sz="4" w:space="0" w:color="auto"/>
              <w:bottom w:val="single" w:sz="4" w:space="0" w:color="auto"/>
              <w:right w:val="single" w:sz="4" w:space="0" w:color="auto"/>
            </w:tcBorders>
            <w:vAlign w:val="center"/>
            <w:hideMark/>
          </w:tcPr>
          <w:p w14:paraId="6499033A" w14:textId="77777777" w:rsidR="00677577" w:rsidRPr="00FD423E" w:rsidRDefault="00677577" w:rsidP="00FD423E">
            <w:pPr>
              <w:spacing w:after="0" w:line="240" w:lineRule="auto"/>
              <w:jc w:val="right"/>
              <w:rPr>
                <w:rFonts w:ascii="Aptos" w:eastAsia="Times New Roman" w:hAnsi="Aptos" w:cs="Times New Roman"/>
                <w:b/>
                <w:color w:val="000000"/>
                <w:sz w:val="20"/>
                <w:szCs w:val="20"/>
                <w:lang w:eastAsia="en-AU"/>
              </w:rPr>
            </w:pPr>
            <w:r w:rsidRPr="00FD423E">
              <w:rPr>
                <w:rFonts w:ascii="Aptos" w:eastAsia="Times New Roman" w:hAnsi="Aptos" w:cs="Times New Roman"/>
                <w:b/>
                <w:color w:val="000000"/>
                <w:sz w:val="20"/>
                <w:szCs w:val="20"/>
                <w:lang w:eastAsia="en-AU"/>
              </w:rPr>
              <w:t>% of agreements</w:t>
            </w:r>
          </w:p>
        </w:tc>
        <w:tc>
          <w:tcPr>
            <w:tcW w:w="1235" w:type="dxa"/>
            <w:tcBorders>
              <w:top w:val="single" w:sz="4" w:space="0" w:color="auto"/>
              <w:left w:val="single" w:sz="4" w:space="0" w:color="auto"/>
              <w:bottom w:val="single" w:sz="4" w:space="0" w:color="auto"/>
              <w:right w:val="single" w:sz="4" w:space="0" w:color="auto"/>
            </w:tcBorders>
            <w:vAlign w:val="center"/>
            <w:hideMark/>
          </w:tcPr>
          <w:p w14:paraId="5D1DA49B" w14:textId="77777777" w:rsidR="00677577" w:rsidRPr="00FD423E" w:rsidRDefault="00677577" w:rsidP="00FD423E">
            <w:pPr>
              <w:spacing w:after="0" w:line="240" w:lineRule="auto"/>
              <w:jc w:val="right"/>
              <w:rPr>
                <w:rFonts w:ascii="Aptos" w:eastAsia="Times New Roman" w:hAnsi="Aptos" w:cs="Times New Roman"/>
                <w:b/>
                <w:color w:val="000000"/>
                <w:sz w:val="20"/>
                <w:szCs w:val="20"/>
                <w:lang w:eastAsia="en-AU"/>
              </w:rPr>
            </w:pPr>
            <w:r w:rsidRPr="00FD423E">
              <w:rPr>
                <w:rFonts w:ascii="Aptos" w:eastAsia="Times New Roman" w:hAnsi="Aptos" w:cs="Times New Roman"/>
                <w:b/>
                <w:color w:val="000000"/>
                <w:sz w:val="20"/>
                <w:szCs w:val="20"/>
                <w:lang w:eastAsia="en-AU"/>
              </w:rPr>
              <w:t>Employees covered</w:t>
            </w:r>
          </w:p>
        </w:tc>
        <w:tc>
          <w:tcPr>
            <w:tcW w:w="1228" w:type="dxa"/>
            <w:tcBorders>
              <w:top w:val="single" w:sz="4" w:space="0" w:color="auto"/>
              <w:left w:val="single" w:sz="4" w:space="0" w:color="auto"/>
              <w:bottom w:val="single" w:sz="4" w:space="0" w:color="auto"/>
            </w:tcBorders>
            <w:vAlign w:val="center"/>
            <w:hideMark/>
          </w:tcPr>
          <w:p w14:paraId="5540B4A9" w14:textId="77777777" w:rsidR="00677577" w:rsidRPr="00FD423E" w:rsidRDefault="00677577" w:rsidP="00FD423E">
            <w:pPr>
              <w:spacing w:after="0" w:line="240" w:lineRule="auto"/>
              <w:jc w:val="right"/>
              <w:rPr>
                <w:rFonts w:ascii="Aptos" w:eastAsia="Times New Roman" w:hAnsi="Aptos" w:cs="Times New Roman"/>
                <w:b/>
                <w:color w:val="000000"/>
                <w:sz w:val="20"/>
                <w:szCs w:val="20"/>
                <w:lang w:eastAsia="en-AU"/>
              </w:rPr>
            </w:pPr>
            <w:r w:rsidRPr="00FD423E">
              <w:rPr>
                <w:rFonts w:ascii="Aptos" w:eastAsia="Times New Roman" w:hAnsi="Aptos" w:cs="Times New Roman"/>
                <w:b/>
                <w:color w:val="000000"/>
                <w:sz w:val="20"/>
                <w:szCs w:val="20"/>
                <w:lang w:eastAsia="en-AU"/>
              </w:rPr>
              <w:t>% of employees</w:t>
            </w:r>
          </w:p>
        </w:tc>
      </w:tr>
      <w:tr w:rsidR="00677577" w:rsidRPr="00236247" w14:paraId="630E4291" w14:textId="77777777">
        <w:trPr>
          <w:trHeight w:val="300"/>
        </w:trPr>
        <w:tc>
          <w:tcPr>
            <w:tcW w:w="1418" w:type="dxa"/>
            <w:tcBorders>
              <w:top w:val="single" w:sz="4" w:space="0" w:color="auto"/>
              <w:bottom w:val="single" w:sz="4" w:space="0" w:color="auto"/>
              <w:right w:val="single" w:sz="4" w:space="0" w:color="auto"/>
            </w:tcBorders>
            <w:vAlign w:val="center"/>
            <w:hideMark/>
          </w:tcPr>
          <w:p w14:paraId="2405B474" w14:textId="77777777" w:rsidR="00677577" w:rsidRPr="00FD423E" w:rsidRDefault="00677577">
            <w:pPr>
              <w:spacing w:after="0" w:line="240" w:lineRule="auto"/>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2009 (Q3</w:t>
            </w:r>
            <w:r w:rsidRPr="00FD423E">
              <w:rPr>
                <w:rFonts w:ascii="Symbol" w:eastAsia="Symbol" w:hAnsi="Symbol" w:cs="Symbol"/>
                <w:color w:val="000000"/>
                <w:sz w:val="20"/>
                <w:szCs w:val="20"/>
                <w:lang w:eastAsia="en-AU"/>
              </w:rPr>
              <w:sym w:font="Symbol" w:char="F02D"/>
            </w:r>
            <w:r w:rsidRPr="00FD423E">
              <w:rPr>
                <w:rFonts w:ascii="Aptos" w:eastAsia="Times New Roman" w:hAnsi="Aptos" w:cs="Times New Roman"/>
                <w:color w:val="000000"/>
                <w:sz w:val="20"/>
                <w:szCs w:val="20"/>
                <w:lang w:eastAsia="en-AU"/>
              </w:rPr>
              <w:t>Q4)</w:t>
            </w:r>
          </w:p>
        </w:tc>
        <w:tc>
          <w:tcPr>
            <w:tcW w:w="1282" w:type="dxa"/>
            <w:tcBorders>
              <w:top w:val="single" w:sz="4" w:space="0" w:color="auto"/>
              <w:left w:val="single" w:sz="4" w:space="0" w:color="auto"/>
            </w:tcBorders>
            <w:vAlign w:val="center"/>
            <w:hideMark/>
          </w:tcPr>
          <w:p w14:paraId="09E88635"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1,343</w:t>
            </w:r>
          </w:p>
        </w:tc>
        <w:tc>
          <w:tcPr>
            <w:tcW w:w="1235" w:type="dxa"/>
            <w:tcBorders>
              <w:top w:val="single" w:sz="4" w:space="0" w:color="auto"/>
              <w:right w:val="single" w:sz="4" w:space="0" w:color="auto"/>
            </w:tcBorders>
            <w:vAlign w:val="center"/>
            <w:hideMark/>
          </w:tcPr>
          <w:p w14:paraId="38715E58"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211,728</w:t>
            </w:r>
          </w:p>
        </w:tc>
        <w:tc>
          <w:tcPr>
            <w:tcW w:w="1314" w:type="dxa"/>
            <w:tcBorders>
              <w:top w:val="single" w:sz="4" w:space="0" w:color="auto"/>
              <w:left w:val="single" w:sz="4" w:space="0" w:color="auto"/>
            </w:tcBorders>
            <w:vAlign w:val="center"/>
            <w:hideMark/>
          </w:tcPr>
          <w:p w14:paraId="703D2D8F"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3</w:t>
            </w:r>
          </w:p>
        </w:tc>
        <w:tc>
          <w:tcPr>
            <w:tcW w:w="1314" w:type="dxa"/>
            <w:tcBorders>
              <w:top w:val="single" w:sz="4" w:space="0" w:color="auto"/>
            </w:tcBorders>
            <w:vAlign w:val="center"/>
            <w:hideMark/>
          </w:tcPr>
          <w:p w14:paraId="7609ADBF"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0.2%</w:t>
            </w:r>
          </w:p>
        </w:tc>
        <w:tc>
          <w:tcPr>
            <w:tcW w:w="1235" w:type="dxa"/>
            <w:tcBorders>
              <w:top w:val="single" w:sz="4" w:space="0" w:color="auto"/>
            </w:tcBorders>
            <w:vAlign w:val="center"/>
            <w:hideMark/>
          </w:tcPr>
          <w:p w14:paraId="6C5B80AE"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6,810</w:t>
            </w:r>
          </w:p>
        </w:tc>
        <w:tc>
          <w:tcPr>
            <w:tcW w:w="1228" w:type="dxa"/>
            <w:tcBorders>
              <w:top w:val="single" w:sz="4" w:space="0" w:color="auto"/>
            </w:tcBorders>
            <w:vAlign w:val="center"/>
            <w:hideMark/>
          </w:tcPr>
          <w:p w14:paraId="0D647CA3"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3.1%</w:t>
            </w:r>
          </w:p>
        </w:tc>
      </w:tr>
      <w:tr w:rsidR="00677577" w:rsidRPr="00236247" w14:paraId="722954B4" w14:textId="77777777">
        <w:trPr>
          <w:trHeight w:val="300"/>
        </w:trPr>
        <w:tc>
          <w:tcPr>
            <w:tcW w:w="1418" w:type="dxa"/>
            <w:tcBorders>
              <w:top w:val="single" w:sz="4" w:space="0" w:color="auto"/>
              <w:bottom w:val="single" w:sz="4" w:space="0" w:color="auto"/>
              <w:right w:val="single" w:sz="4" w:space="0" w:color="auto"/>
            </w:tcBorders>
            <w:vAlign w:val="center"/>
            <w:hideMark/>
          </w:tcPr>
          <w:p w14:paraId="351CAE36" w14:textId="77777777" w:rsidR="00677577" w:rsidRPr="00FD423E" w:rsidRDefault="00677577">
            <w:pPr>
              <w:spacing w:after="0" w:line="240" w:lineRule="auto"/>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2010</w:t>
            </w:r>
          </w:p>
        </w:tc>
        <w:tc>
          <w:tcPr>
            <w:tcW w:w="1282" w:type="dxa"/>
            <w:tcBorders>
              <w:left w:val="single" w:sz="4" w:space="0" w:color="auto"/>
            </w:tcBorders>
            <w:vAlign w:val="center"/>
            <w:hideMark/>
          </w:tcPr>
          <w:p w14:paraId="285418EC"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7,946</w:t>
            </w:r>
          </w:p>
        </w:tc>
        <w:tc>
          <w:tcPr>
            <w:tcW w:w="1235" w:type="dxa"/>
            <w:tcBorders>
              <w:right w:val="single" w:sz="4" w:space="0" w:color="auto"/>
            </w:tcBorders>
            <w:vAlign w:val="center"/>
            <w:hideMark/>
          </w:tcPr>
          <w:p w14:paraId="3D4CDE44"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1,106,781</w:t>
            </w:r>
          </w:p>
        </w:tc>
        <w:tc>
          <w:tcPr>
            <w:tcW w:w="1314" w:type="dxa"/>
            <w:tcBorders>
              <w:left w:val="single" w:sz="4" w:space="0" w:color="auto"/>
            </w:tcBorders>
            <w:vAlign w:val="center"/>
            <w:hideMark/>
          </w:tcPr>
          <w:p w14:paraId="48F7A9F3"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53</w:t>
            </w:r>
          </w:p>
        </w:tc>
        <w:tc>
          <w:tcPr>
            <w:tcW w:w="1314" w:type="dxa"/>
            <w:vAlign w:val="center"/>
            <w:hideMark/>
          </w:tcPr>
          <w:p w14:paraId="603FA18C"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0.7%</w:t>
            </w:r>
          </w:p>
        </w:tc>
        <w:tc>
          <w:tcPr>
            <w:tcW w:w="1235" w:type="dxa"/>
            <w:vAlign w:val="center"/>
            <w:hideMark/>
          </w:tcPr>
          <w:p w14:paraId="042562A3"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49,561</w:t>
            </w:r>
          </w:p>
        </w:tc>
        <w:tc>
          <w:tcPr>
            <w:tcW w:w="1228" w:type="dxa"/>
            <w:vAlign w:val="center"/>
            <w:hideMark/>
          </w:tcPr>
          <w:p w14:paraId="2945B479"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4.3%</w:t>
            </w:r>
          </w:p>
        </w:tc>
      </w:tr>
      <w:tr w:rsidR="00677577" w:rsidRPr="00236247" w14:paraId="210B2BD9" w14:textId="77777777">
        <w:trPr>
          <w:trHeight w:val="300"/>
        </w:trPr>
        <w:tc>
          <w:tcPr>
            <w:tcW w:w="1418" w:type="dxa"/>
            <w:tcBorders>
              <w:top w:val="single" w:sz="4" w:space="0" w:color="auto"/>
              <w:bottom w:val="single" w:sz="4" w:space="0" w:color="auto"/>
              <w:right w:val="single" w:sz="4" w:space="0" w:color="auto"/>
            </w:tcBorders>
            <w:vAlign w:val="center"/>
            <w:hideMark/>
          </w:tcPr>
          <w:p w14:paraId="36A379EC" w14:textId="77777777" w:rsidR="00677577" w:rsidRPr="00FD423E" w:rsidRDefault="00677577">
            <w:pPr>
              <w:spacing w:after="0" w:line="240" w:lineRule="auto"/>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2011</w:t>
            </w:r>
          </w:p>
        </w:tc>
        <w:tc>
          <w:tcPr>
            <w:tcW w:w="1282" w:type="dxa"/>
            <w:tcBorders>
              <w:left w:val="single" w:sz="4" w:space="0" w:color="auto"/>
            </w:tcBorders>
            <w:vAlign w:val="center"/>
            <w:hideMark/>
          </w:tcPr>
          <w:p w14:paraId="38892861"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6,839</w:t>
            </w:r>
          </w:p>
        </w:tc>
        <w:tc>
          <w:tcPr>
            <w:tcW w:w="1235" w:type="dxa"/>
            <w:tcBorders>
              <w:right w:val="single" w:sz="4" w:space="0" w:color="auto"/>
            </w:tcBorders>
            <w:vAlign w:val="center"/>
            <w:hideMark/>
          </w:tcPr>
          <w:p w14:paraId="00DEDC52"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845,004</w:t>
            </w:r>
          </w:p>
        </w:tc>
        <w:tc>
          <w:tcPr>
            <w:tcW w:w="1314" w:type="dxa"/>
            <w:tcBorders>
              <w:left w:val="single" w:sz="4" w:space="0" w:color="auto"/>
            </w:tcBorders>
            <w:vAlign w:val="center"/>
            <w:hideMark/>
          </w:tcPr>
          <w:p w14:paraId="00B6E96B"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26</w:t>
            </w:r>
          </w:p>
        </w:tc>
        <w:tc>
          <w:tcPr>
            <w:tcW w:w="1314" w:type="dxa"/>
            <w:vAlign w:val="center"/>
            <w:hideMark/>
          </w:tcPr>
          <w:p w14:paraId="0425671F"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0.4%</w:t>
            </w:r>
          </w:p>
        </w:tc>
        <w:tc>
          <w:tcPr>
            <w:tcW w:w="1235" w:type="dxa"/>
            <w:vAlign w:val="center"/>
            <w:hideMark/>
          </w:tcPr>
          <w:p w14:paraId="29F1C68C"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57,663</w:t>
            </w:r>
          </w:p>
        </w:tc>
        <w:tc>
          <w:tcPr>
            <w:tcW w:w="1228" w:type="dxa"/>
            <w:vAlign w:val="center"/>
            <w:hideMark/>
          </w:tcPr>
          <w:p w14:paraId="3B5AAF7D"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6.4%</w:t>
            </w:r>
          </w:p>
        </w:tc>
      </w:tr>
      <w:tr w:rsidR="00677577" w:rsidRPr="00236247" w14:paraId="6142E536" w14:textId="77777777">
        <w:trPr>
          <w:trHeight w:val="300"/>
        </w:trPr>
        <w:tc>
          <w:tcPr>
            <w:tcW w:w="1418" w:type="dxa"/>
            <w:tcBorders>
              <w:top w:val="single" w:sz="4" w:space="0" w:color="auto"/>
              <w:bottom w:val="single" w:sz="4" w:space="0" w:color="auto"/>
              <w:right w:val="single" w:sz="4" w:space="0" w:color="auto"/>
            </w:tcBorders>
            <w:vAlign w:val="center"/>
            <w:hideMark/>
          </w:tcPr>
          <w:p w14:paraId="449DEAB7" w14:textId="77777777" w:rsidR="00677577" w:rsidRPr="00FD423E" w:rsidRDefault="00677577">
            <w:pPr>
              <w:spacing w:after="0" w:line="240" w:lineRule="auto"/>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2012</w:t>
            </w:r>
          </w:p>
        </w:tc>
        <w:tc>
          <w:tcPr>
            <w:tcW w:w="1282" w:type="dxa"/>
            <w:tcBorders>
              <w:left w:val="single" w:sz="4" w:space="0" w:color="auto"/>
            </w:tcBorders>
            <w:vAlign w:val="center"/>
            <w:hideMark/>
          </w:tcPr>
          <w:p w14:paraId="794241DF"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8,193</w:t>
            </w:r>
          </w:p>
        </w:tc>
        <w:tc>
          <w:tcPr>
            <w:tcW w:w="1235" w:type="dxa"/>
            <w:tcBorders>
              <w:right w:val="single" w:sz="4" w:space="0" w:color="auto"/>
            </w:tcBorders>
            <w:vAlign w:val="center"/>
            <w:hideMark/>
          </w:tcPr>
          <w:p w14:paraId="7DE60E94"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957,955</w:t>
            </w:r>
          </w:p>
        </w:tc>
        <w:tc>
          <w:tcPr>
            <w:tcW w:w="1314" w:type="dxa"/>
            <w:tcBorders>
              <w:left w:val="single" w:sz="4" w:space="0" w:color="auto"/>
            </w:tcBorders>
            <w:vAlign w:val="center"/>
            <w:hideMark/>
          </w:tcPr>
          <w:p w14:paraId="7DCA4CA8"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36</w:t>
            </w:r>
          </w:p>
        </w:tc>
        <w:tc>
          <w:tcPr>
            <w:tcW w:w="1314" w:type="dxa"/>
            <w:vAlign w:val="center"/>
            <w:hideMark/>
          </w:tcPr>
          <w:p w14:paraId="54EBC3D6"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0.4%</w:t>
            </w:r>
          </w:p>
        </w:tc>
        <w:tc>
          <w:tcPr>
            <w:tcW w:w="1235" w:type="dxa"/>
            <w:vAlign w:val="center"/>
            <w:hideMark/>
          </w:tcPr>
          <w:p w14:paraId="73C4DDDA"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68,052</w:t>
            </w:r>
          </w:p>
        </w:tc>
        <w:tc>
          <w:tcPr>
            <w:tcW w:w="1228" w:type="dxa"/>
            <w:vAlign w:val="center"/>
            <w:hideMark/>
          </w:tcPr>
          <w:p w14:paraId="627FF0B9"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6.6%</w:t>
            </w:r>
          </w:p>
        </w:tc>
      </w:tr>
      <w:tr w:rsidR="00677577" w:rsidRPr="00236247" w14:paraId="163EE2C9" w14:textId="77777777">
        <w:trPr>
          <w:trHeight w:val="300"/>
        </w:trPr>
        <w:tc>
          <w:tcPr>
            <w:tcW w:w="1418" w:type="dxa"/>
            <w:tcBorders>
              <w:top w:val="single" w:sz="4" w:space="0" w:color="auto"/>
              <w:bottom w:val="single" w:sz="4" w:space="0" w:color="auto"/>
              <w:right w:val="single" w:sz="4" w:space="0" w:color="auto"/>
            </w:tcBorders>
            <w:vAlign w:val="center"/>
            <w:hideMark/>
          </w:tcPr>
          <w:p w14:paraId="5E603A0F" w14:textId="77777777" w:rsidR="00677577" w:rsidRPr="00FD423E" w:rsidRDefault="00677577">
            <w:pPr>
              <w:spacing w:after="0" w:line="240" w:lineRule="auto"/>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2013</w:t>
            </w:r>
          </w:p>
        </w:tc>
        <w:tc>
          <w:tcPr>
            <w:tcW w:w="1282" w:type="dxa"/>
            <w:tcBorders>
              <w:left w:val="single" w:sz="4" w:space="0" w:color="auto"/>
            </w:tcBorders>
            <w:vAlign w:val="center"/>
            <w:hideMark/>
          </w:tcPr>
          <w:p w14:paraId="2CA02B71"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6,673</w:t>
            </w:r>
          </w:p>
        </w:tc>
        <w:tc>
          <w:tcPr>
            <w:tcW w:w="1235" w:type="dxa"/>
            <w:tcBorders>
              <w:right w:val="single" w:sz="4" w:space="0" w:color="auto"/>
            </w:tcBorders>
            <w:vAlign w:val="center"/>
            <w:hideMark/>
          </w:tcPr>
          <w:p w14:paraId="17AF474C"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879,288</w:t>
            </w:r>
          </w:p>
        </w:tc>
        <w:tc>
          <w:tcPr>
            <w:tcW w:w="1314" w:type="dxa"/>
            <w:tcBorders>
              <w:left w:val="single" w:sz="4" w:space="0" w:color="auto"/>
            </w:tcBorders>
            <w:vAlign w:val="center"/>
            <w:hideMark/>
          </w:tcPr>
          <w:p w14:paraId="3A4EFFC2"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24</w:t>
            </w:r>
          </w:p>
        </w:tc>
        <w:tc>
          <w:tcPr>
            <w:tcW w:w="1314" w:type="dxa"/>
            <w:vAlign w:val="center"/>
            <w:hideMark/>
          </w:tcPr>
          <w:p w14:paraId="03B68474"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0.4%</w:t>
            </w:r>
          </w:p>
        </w:tc>
        <w:tc>
          <w:tcPr>
            <w:tcW w:w="1235" w:type="dxa"/>
            <w:vAlign w:val="center"/>
            <w:hideMark/>
          </w:tcPr>
          <w:p w14:paraId="0C041ADA"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34,741</w:t>
            </w:r>
          </w:p>
        </w:tc>
        <w:tc>
          <w:tcPr>
            <w:tcW w:w="1228" w:type="dxa"/>
            <w:vAlign w:val="center"/>
            <w:hideMark/>
          </w:tcPr>
          <w:p w14:paraId="1486E654"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3.8%</w:t>
            </w:r>
          </w:p>
        </w:tc>
      </w:tr>
      <w:tr w:rsidR="00677577" w:rsidRPr="00236247" w14:paraId="7F5E2E0D" w14:textId="77777777">
        <w:trPr>
          <w:trHeight w:val="300"/>
        </w:trPr>
        <w:tc>
          <w:tcPr>
            <w:tcW w:w="1418" w:type="dxa"/>
            <w:tcBorders>
              <w:top w:val="single" w:sz="4" w:space="0" w:color="auto"/>
              <w:bottom w:val="single" w:sz="4" w:space="0" w:color="auto"/>
              <w:right w:val="single" w:sz="4" w:space="0" w:color="auto"/>
            </w:tcBorders>
            <w:vAlign w:val="center"/>
            <w:hideMark/>
          </w:tcPr>
          <w:p w14:paraId="058EEA54" w14:textId="77777777" w:rsidR="00677577" w:rsidRPr="00FD423E" w:rsidRDefault="00677577">
            <w:pPr>
              <w:spacing w:after="0" w:line="240" w:lineRule="auto"/>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2014</w:t>
            </w:r>
          </w:p>
        </w:tc>
        <w:tc>
          <w:tcPr>
            <w:tcW w:w="1282" w:type="dxa"/>
            <w:tcBorders>
              <w:left w:val="single" w:sz="4" w:space="0" w:color="auto"/>
            </w:tcBorders>
            <w:vAlign w:val="center"/>
            <w:hideMark/>
          </w:tcPr>
          <w:p w14:paraId="56C0398F"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5,656</w:t>
            </w:r>
          </w:p>
        </w:tc>
        <w:tc>
          <w:tcPr>
            <w:tcW w:w="1235" w:type="dxa"/>
            <w:tcBorders>
              <w:right w:val="single" w:sz="4" w:space="0" w:color="auto"/>
            </w:tcBorders>
            <w:vAlign w:val="center"/>
            <w:hideMark/>
          </w:tcPr>
          <w:p w14:paraId="276D00C3"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792,606</w:t>
            </w:r>
          </w:p>
        </w:tc>
        <w:tc>
          <w:tcPr>
            <w:tcW w:w="1314" w:type="dxa"/>
            <w:tcBorders>
              <w:left w:val="single" w:sz="4" w:space="0" w:color="auto"/>
            </w:tcBorders>
            <w:vAlign w:val="center"/>
            <w:hideMark/>
          </w:tcPr>
          <w:p w14:paraId="1BC2FC34"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15</w:t>
            </w:r>
          </w:p>
        </w:tc>
        <w:tc>
          <w:tcPr>
            <w:tcW w:w="1314" w:type="dxa"/>
            <w:vAlign w:val="center"/>
            <w:hideMark/>
          </w:tcPr>
          <w:p w14:paraId="225215AF"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0.3%</w:t>
            </w:r>
          </w:p>
        </w:tc>
        <w:tc>
          <w:tcPr>
            <w:tcW w:w="1235" w:type="dxa"/>
            <w:vAlign w:val="center"/>
            <w:hideMark/>
          </w:tcPr>
          <w:p w14:paraId="4216964B"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10,618</w:t>
            </w:r>
          </w:p>
        </w:tc>
        <w:tc>
          <w:tcPr>
            <w:tcW w:w="1228" w:type="dxa"/>
            <w:vAlign w:val="center"/>
            <w:hideMark/>
          </w:tcPr>
          <w:p w14:paraId="77908C2A"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1.3%</w:t>
            </w:r>
          </w:p>
        </w:tc>
      </w:tr>
      <w:tr w:rsidR="00677577" w:rsidRPr="00236247" w14:paraId="42E14A73" w14:textId="77777777">
        <w:trPr>
          <w:trHeight w:val="300"/>
        </w:trPr>
        <w:tc>
          <w:tcPr>
            <w:tcW w:w="1418" w:type="dxa"/>
            <w:tcBorders>
              <w:top w:val="single" w:sz="4" w:space="0" w:color="auto"/>
              <w:bottom w:val="single" w:sz="4" w:space="0" w:color="auto"/>
              <w:right w:val="single" w:sz="4" w:space="0" w:color="auto"/>
            </w:tcBorders>
            <w:vAlign w:val="center"/>
            <w:hideMark/>
          </w:tcPr>
          <w:p w14:paraId="5B19A03B" w14:textId="77777777" w:rsidR="00677577" w:rsidRPr="00FD423E" w:rsidRDefault="00677577">
            <w:pPr>
              <w:spacing w:after="0" w:line="240" w:lineRule="auto"/>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2015</w:t>
            </w:r>
          </w:p>
        </w:tc>
        <w:tc>
          <w:tcPr>
            <w:tcW w:w="1282" w:type="dxa"/>
            <w:tcBorders>
              <w:left w:val="single" w:sz="4" w:space="0" w:color="auto"/>
            </w:tcBorders>
            <w:vAlign w:val="center"/>
            <w:hideMark/>
          </w:tcPr>
          <w:p w14:paraId="0124ECDA"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4,967</w:t>
            </w:r>
          </w:p>
        </w:tc>
        <w:tc>
          <w:tcPr>
            <w:tcW w:w="1235" w:type="dxa"/>
            <w:tcBorders>
              <w:right w:val="single" w:sz="4" w:space="0" w:color="auto"/>
            </w:tcBorders>
            <w:vAlign w:val="center"/>
            <w:hideMark/>
          </w:tcPr>
          <w:p w14:paraId="009F0C84"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601,742</w:t>
            </w:r>
          </w:p>
        </w:tc>
        <w:tc>
          <w:tcPr>
            <w:tcW w:w="1314" w:type="dxa"/>
            <w:tcBorders>
              <w:left w:val="single" w:sz="4" w:space="0" w:color="auto"/>
            </w:tcBorders>
            <w:vAlign w:val="center"/>
            <w:hideMark/>
          </w:tcPr>
          <w:p w14:paraId="70AFC299"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31</w:t>
            </w:r>
          </w:p>
        </w:tc>
        <w:tc>
          <w:tcPr>
            <w:tcW w:w="1314" w:type="dxa"/>
            <w:vAlign w:val="center"/>
            <w:hideMark/>
          </w:tcPr>
          <w:p w14:paraId="21C95816"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0.6%</w:t>
            </w:r>
          </w:p>
        </w:tc>
        <w:tc>
          <w:tcPr>
            <w:tcW w:w="1235" w:type="dxa"/>
            <w:vAlign w:val="center"/>
            <w:hideMark/>
          </w:tcPr>
          <w:p w14:paraId="44450FE5"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42,043</w:t>
            </w:r>
          </w:p>
        </w:tc>
        <w:tc>
          <w:tcPr>
            <w:tcW w:w="1228" w:type="dxa"/>
            <w:vAlign w:val="center"/>
            <w:hideMark/>
          </w:tcPr>
          <w:p w14:paraId="287F9E1B"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6.5%</w:t>
            </w:r>
          </w:p>
        </w:tc>
      </w:tr>
      <w:tr w:rsidR="00677577" w:rsidRPr="00236247" w14:paraId="76770B0E" w14:textId="77777777">
        <w:trPr>
          <w:trHeight w:val="300"/>
        </w:trPr>
        <w:tc>
          <w:tcPr>
            <w:tcW w:w="1418" w:type="dxa"/>
            <w:tcBorders>
              <w:top w:val="single" w:sz="4" w:space="0" w:color="auto"/>
              <w:bottom w:val="single" w:sz="4" w:space="0" w:color="auto"/>
              <w:right w:val="single" w:sz="4" w:space="0" w:color="auto"/>
            </w:tcBorders>
            <w:vAlign w:val="center"/>
            <w:hideMark/>
          </w:tcPr>
          <w:p w14:paraId="57F1F30B" w14:textId="77777777" w:rsidR="00677577" w:rsidRPr="00FD423E" w:rsidRDefault="00677577">
            <w:pPr>
              <w:spacing w:after="0" w:line="240" w:lineRule="auto"/>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2016</w:t>
            </w:r>
          </w:p>
        </w:tc>
        <w:tc>
          <w:tcPr>
            <w:tcW w:w="1282" w:type="dxa"/>
            <w:tcBorders>
              <w:left w:val="single" w:sz="4" w:space="0" w:color="auto"/>
            </w:tcBorders>
            <w:vAlign w:val="center"/>
            <w:hideMark/>
          </w:tcPr>
          <w:p w14:paraId="7805E1F5"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5,174</w:t>
            </w:r>
          </w:p>
        </w:tc>
        <w:tc>
          <w:tcPr>
            <w:tcW w:w="1235" w:type="dxa"/>
            <w:tcBorders>
              <w:right w:val="single" w:sz="4" w:space="0" w:color="auto"/>
            </w:tcBorders>
            <w:vAlign w:val="center"/>
            <w:hideMark/>
          </w:tcPr>
          <w:p w14:paraId="14BA629A"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649,591</w:t>
            </w:r>
          </w:p>
        </w:tc>
        <w:tc>
          <w:tcPr>
            <w:tcW w:w="1314" w:type="dxa"/>
            <w:tcBorders>
              <w:left w:val="single" w:sz="4" w:space="0" w:color="auto"/>
            </w:tcBorders>
            <w:vAlign w:val="center"/>
            <w:hideMark/>
          </w:tcPr>
          <w:p w14:paraId="4D656551"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22</w:t>
            </w:r>
          </w:p>
        </w:tc>
        <w:tc>
          <w:tcPr>
            <w:tcW w:w="1314" w:type="dxa"/>
            <w:vAlign w:val="center"/>
            <w:hideMark/>
          </w:tcPr>
          <w:p w14:paraId="45ECB72E"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0.4%</w:t>
            </w:r>
          </w:p>
        </w:tc>
        <w:tc>
          <w:tcPr>
            <w:tcW w:w="1235" w:type="dxa"/>
            <w:vAlign w:val="center"/>
            <w:hideMark/>
          </w:tcPr>
          <w:p w14:paraId="253C48FD"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13,535</w:t>
            </w:r>
          </w:p>
        </w:tc>
        <w:tc>
          <w:tcPr>
            <w:tcW w:w="1228" w:type="dxa"/>
            <w:vAlign w:val="center"/>
            <w:hideMark/>
          </w:tcPr>
          <w:p w14:paraId="14C8CD42"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2.0%</w:t>
            </w:r>
          </w:p>
        </w:tc>
      </w:tr>
      <w:tr w:rsidR="00677577" w:rsidRPr="00236247" w14:paraId="452ADC3E" w14:textId="77777777">
        <w:trPr>
          <w:trHeight w:val="300"/>
        </w:trPr>
        <w:tc>
          <w:tcPr>
            <w:tcW w:w="1418" w:type="dxa"/>
            <w:tcBorders>
              <w:top w:val="single" w:sz="4" w:space="0" w:color="auto"/>
              <w:bottom w:val="single" w:sz="4" w:space="0" w:color="auto"/>
              <w:right w:val="single" w:sz="4" w:space="0" w:color="auto"/>
            </w:tcBorders>
            <w:vAlign w:val="center"/>
            <w:hideMark/>
          </w:tcPr>
          <w:p w14:paraId="4FF00D20" w14:textId="77777777" w:rsidR="00677577" w:rsidRPr="00FD423E" w:rsidRDefault="00677577">
            <w:pPr>
              <w:spacing w:after="0" w:line="240" w:lineRule="auto"/>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2017</w:t>
            </w:r>
          </w:p>
        </w:tc>
        <w:tc>
          <w:tcPr>
            <w:tcW w:w="1282" w:type="dxa"/>
            <w:tcBorders>
              <w:left w:val="single" w:sz="4" w:space="0" w:color="auto"/>
            </w:tcBorders>
            <w:vAlign w:val="center"/>
            <w:hideMark/>
          </w:tcPr>
          <w:p w14:paraId="473453F9"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3,522</w:t>
            </w:r>
          </w:p>
        </w:tc>
        <w:tc>
          <w:tcPr>
            <w:tcW w:w="1235" w:type="dxa"/>
            <w:tcBorders>
              <w:right w:val="single" w:sz="4" w:space="0" w:color="auto"/>
            </w:tcBorders>
            <w:vAlign w:val="center"/>
            <w:hideMark/>
          </w:tcPr>
          <w:p w14:paraId="3D865F02"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622,032</w:t>
            </w:r>
          </w:p>
        </w:tc>
        <w:tc>
          <w:tcPr>
            <w:tcW w:w="1314" w:type="dxa"/>
            <w:tcBorders>
              <w:left w:val="single" w:sz="4" w:space="0" w:color="auto"/>
            </w:tcBorders>
            <w:vAlign w:val="center"/>
            <w:hideMark/>
          </w:tcPr>
          <w:p w14:paraId="66F7AA9D"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20</w:t>
            </w:r>
          </w:p>
        </w:tc>
        <w:tc>
          <w:tcPr>
            <w:tcW w:w="1314" w:type="dxa"/>
            <w:vAlign w:val="center"/>
            <w:hideMark/>
          </w:tcPr>
          <w:p w14:paraId="46592F89"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0.6%</w:t>
            </w:r>
          </w:p>
        </w:tc>
        <w:tc>
          <w:tcPr>
            <w:tcW w:w="1235" w:type="dxa"/>
            <w:vAlign w:val="center"/>
            <w:hideMark/>
          </w:tcPr>
          <w:p w14:paraId="66818730"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29,904</w:t>
            </w:r>
          </w:p>
        </w:tc>
        <w:tc>
          <w:tcPr>
            <w:tcW w:w="1228" w:type="dxa"/>
            <w:vAlign w:val="center"/>
            <w:hideMark/>
          </w:tcPr>
          <w:p w14:paraId="122C3646"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4.6%</w:t>
            </w:r>
          </w:p>
        </w:tc>
      </w:tr>
      <w:tr w:rsidR="00677577" w:rsidRPr="00236247" w14:paraId="03CA6C59" w14:textId="77777777">
        <w:trPr>
          <w:trHeight w:val="300"/>
        </w:trPr>
        <w:tc>
          <w:tcPr>
            <w:tcW w:w="1418" w:type="dxa"/>
            <w:tcBorders>
              <w:top w:val="single" w:sz="4" w:space="0" w:color="auto"/>
              <w:bottom w:val="single" w:sz="4" w:space="0" w:color="auto"/>
              <w:right w:val="single" w:sz="4" w:space="0" w:color="auto"/>
            </w:tcBorders>
            <w:vAlign w:val="center"/>
            <w:hideMark/>
          </w:tcPr>
          <w:p w14:paraId="185014F0" w14:textId="77777777" w:rsidR="00677577" w:rsidRPr="00FD423E" w:rsidRDefault="00677577">
            <w:pPr>
              <w:spacing w:after="0" w:line="240" w:lineRule="auto"/>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2018</w:t>
            </w:r>
          </w:p>
        </w:tc>
        <w:tc>
          <w:tcPr>
            <w:tcW w:w="1282" w:type="dxa"/>
            <w:tcBorders>
              <w:left w:val="single" w:sz="4" w:space="0" w:color="auto"/>
            </w:tcBorders>
            <w:vAlign w:val="center"/>
            <w:hideMark/>
          </w:tcPr>
          <w:p w14:paraId="533FE991"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3,843</w:t>
            </w:r>
          </w:p>
        </w:tc>
        <w:tc>
          <w:tcPr>
            <w:tcW w:w="1235" w:type="dxa"/>
            <w:tcBorders>
              <w:right w:val="single" w:sz="4" w:space="0" w:color="auto"/>
            </w:tcBorders>
            <w:vAlign w:val="center"/>
            <w:hideMark/>
          </w:tcPr>
          <w:p w14:paraId="55F04A39"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645,899</w:t>
            </w:r>
          </w:p>
        </w:tc>
        <w:tc>
          <w:tcPr>
            <w:tcW w:w="1314" w:type="dxa"/>
            <w:tcBorders>
              <w:left w:val="single" w:sz="4" w:space="0" w:color="auto"/>
            </w:tcBorders>
            <w:vAlign w:val="center"/>
            <w:hideMark/>
          </w:tcPr>
          <w:p w14:paraId="7E5C51C8"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21</w:t>
            </w:r>
          </w:p>
        </w:tc>
        <w:tc>
          <w:tcPr>
            <w:tcW w:w="1314" w:type="dxa"/>
            <w:vAlign w:val="center"/>
            <w:hideMark/>
          </w:tcPr>
          <w:p w14:paraId="36BA6722"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0.5%</w:t>
            </w:r>
          </w:p>
        </w:tc>
        <w:tc>
          <w:tcPr>
            <w:tcW w:w="1235" w:type="dxa"/>
            <w:vAlign w:val="center"/>
            <w:hideMark/>
          </w:tcPr>
          <w:p w14:paraId="28135866"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23,111</w:t>
            </w:r>
          </w:p>
        </w:tc>
        <w:tc>
          <w:tcPr>
            <w:tcW w:w="1228" w:type="dxa"/>
            <w:vAlign w:val="center"/>
            <w:hideMark/>
          </w:tcPr>
          <w:p w14:paraId="0932FAC1"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3.5%</w:t>
            </w:r>
          </w:p>
        </w:tc>
      </w:tr>
      <w:tr w:rsidR="00677577" w:rsidRPr="00236247" w14:paraId="40BE3ED7" w14:textId="77777777">
        <w:trPr>
          <w:trHeight w:val="300"/>
        </w:trPr>
        <w:tc>
          <w:tcPr>
            <w:tcW w:w="1418" w:type="dxa"/>
            <w:tcBorders>
              <w:top w:val="single" w:sz="4" w:space="0" w:color="auto"/>
              <w:bottom w:val="single" w:sz="4" w:space="0" w:color="auto"/>
              <w:right w:val="single" w:sz="4" w:space="0" w:color="auto"/>
            </w:tcBorders>
            <w:vAlign w:val="center"/>
            <w:hideMark/>
          </w:tcPr>
          <w:p w14:paraId="07AB4895" w14:textId="77777777" w:rsidR="00677577" w:rsidRPr="00FD423E" w:rsidRDefault="00677577">
            <w:pPr>
              <w:spacing w:after="0" w:line="240" w:lineRule="auto"/>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2019</w:t>
            </w:r>
          </w:p>
        </w:tc>
        <w:tc>
          <w:tcPr>
            <w:tcW w:w="1282" w:type="dxa"/>
            <w:tcBorders>
              <w:left w:val="single" w:sz="4" w:space="0" w:color="auto"/>
            </w:tcBorders>
            <w:vAlign w:val="center"/>
            <w:hideMark/>
          </w:tcPr>
          <w:p w14:paraId="510C4316"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5,259</w:t>
            </w:r>
          </w:p>
        </w:tc>
        <w:tc>
          <w:tcPr>
            <w:tcW w:w="1235" w:type="dxa"/>
            <w:tcBorders>
              <w:right w:val="single" w:sz="4" w:space="0" w:color="auto"/>
            </w:tcBorders>
            <w:vAlign w:val="center"/>
            <w:hideMark/>
          </w:tcPr>
          <w:p w14:paraId="5E767D5B"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897,784</w:t>
            </w:r>
          </w:p>
        </w:tc>
        <w:tc>
          <w:tcPr>
            <w:tcW w:w="1314" w:type="dxa"/>
            <w:tcBorders>
              <w:left w:val="single" w:sz="4" w:space="0" w:color="auto"/>
            </w:tcBorders>
            <w:vAlign w:val="center"/>
            <w:hideMark/>
          </w:tcPr>
          <w:p w14:paraId="02B3E826"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24</w:t>
            </w:r>
          </w:p>
        </w:tc>
        <w:tc>
          <w:tcPr>
            <w:tcW w:w="1314" w:type="dxa"/>
            <w:vAlign w:val="center"/>
            <w:hideMark/>
          </w:tcPr>
          <w:p w14:paraId="4ADDB659"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0.5%</w:t>
            </w:r>
          </w:p>
        </w:tc>
        <w:tc>
          <w:tcPr>
            <w:tcW w:w="1235" w:type="dxa"/>
            <w:vAlign w:val="center"/>
            <w:hideMark/>
          </w:tcPr>
          <w:p w14:paraId="36A9452F"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35,554</w:t>
            </w:r>
          </w:p>
        </w:tc>
        <w:tc>
          <w:tcPr>
            <w:tcW w:w="1228" w:type="dxa"/>
            <w:vAlign w:val="center"/>
            <w:hideMark/>
          </w:tcPr>
          <w:p w14:paraId="16CFE62E"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3.8%</w:t>
            </w:r>
          </w:p>
        </w:tc>
      </w:tr>
      <w:tr w:rsidR="00677577" w:rsidRPr="00236247" w14:paraId="7BEC9C18" w14:textId="77777777">
        <w:trPr>
          <w:trHeight w:val="300"/>
        </w:trPr>
        <w:tc>
          <w:tcPr>
            <w:tcW w:w="1418" w:type="dxa"/>
            <w:tcBorders>
              <w:top w:val="single" w:sz="4" w:space="0" w:color="auto"/>
              <w:bottom w:val="single" w:sz="4" w:space="0" w:color="auto"/>
              <w:right w:val="single" w:sz="4" w:space="0" w:color="auto"/>
            </w:tcBorders>
            <w:vAlign w:val="center"/>
            <w:hideMark/>
          </w:tcPr>
          <w:p w14:paraId="5D7D868F" w14:textId="77777777" w:rsidR="00677577" w:rsidRPr="00FD423E" w:rsidRDefault="00677577">
            <w:pPr>
              <w:spacing w:after="0" w:line="240" w:lineRule="auto"/>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2020</w:t>
            </w:r>
          </w:p>
        </w:tc>
        <w:tc>
          <w:tcPr>
            <w:tcW w:w="1282" w:type="dxa"/>
            <w:tcBorders>
              <w:left w:val="single" w:sz="4" w:space="0" w:color="auto"/>
            </w:tcBorders>
            <w:vAlign w:val="center"/>
            <w:hideMark/>
          </w:tcPr>
          <w:p w14:paraId="33A00E97"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3,267</w:t>
            </w:r>
          </w:p>
        </w:tc>
        <w:tc>
          <w:tcPr>
            <w:tcW w:w="1235" w:type="dxa"/>
            <w:tcBorders>
              <w:right w:val="single" w:sz="4" w:space="0" w:color="auto"/>
            </w:tcBorders>
            <w:vAlign w:val="center"/>
            <w:hideMark/>
          </w:tcPr>
          <w:p w14:paraId="1E5C8D40"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508,209</w:t>
            </w:r>
          </w:p>
        </w:tc>
        <w:tc>
          <w:tcPr>
            <w:tcW w:w="1314" w:type="dxa"/>
            <w:tcBorders>
              <w:left w:val="single" w:sz="4" w:space="0" w:color="auto"/>
            </w:tcBorders>
            <w:vAlign w:val="center"/>
            <w:hideMark/>
          </w:tcPr>
          <w:p w14:paraId="5FA39449"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14</w:t>
            </w:r>
          </w:p>
        </w:tc>
        <w:tc>
          <w:tcPr>
            <w:tcW w:w="1314" w:type="dxa"/>
            <w:vAlign w:val="center"/>
            <w:hideMark/>
          </w:tcPr>
          <w:p w14:paraId="217C8BAA"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0.4%</w:t>
            </w:r>
          </w:p>
        </w:tc>
        <w:tc>
          <w:tcPr>
            <w:tcW w:w="1235" w:type="dxa"/>
            <w:vAlign w:val="center"/>
            <w:hideMark/>
          </w:tcPr>
          <w:p w14:paraId="4206B5C0"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13,350</w:t>
            </w:r>
          </w:p>
        </w:tc>
        <w:tc>
          <w:tcPr>
            <w:tcW w:w="1228" w:type="dxa"/>
            <w:vAlign w:val="center"/>
            <w:hideMark/>
          </w:tcPr>
          <w:p w14:paraId="16775B0C"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2.6%</w:t>
            </w:r>
          </w:p>
        </w:tc>
      </w:tr>
      <w:tr w:rsidR="00677577" w:rsidRPr="00236247" w14:paraId="5C0ACB61" w14:textId="77777777">
        <w:trPr>
          <w:trHeight w:val="300"/>
        </w:trPr>
        <w:tc>
          <w:tcPr>
            <w:tcW w:w="1418" w:type="dxa"/>
            <w:tcBorders>
              <w:top w:val="single" w:sz="4" w:space="0" w:color="auto"/>
              <w:bottom w:val="single" w:sz="4" w:space="0" w:color="auto"/>
              <w:right w:val="single" w:sz="4" w:space="0" w:color="auto"/>
            </w:tcBorders>
            <w:vAlign w:val="center"/>
            <w:hideMark/>
          </w:tcPr>
          <w:p w14:paraId="3F2D4286" w14:textId="77777777" w:rsidR="00677577" w:rsidRPr="00FD423E" w:rsidRDefault="00677577">
            <w:pPr>
              <w:spacing w:after="0" w:line="240" w:lineRule="auto"/>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2021</w:t>
            </w:r>
          </w:p>
        </w:tc>
        <w:tc>
          <w:tcPr>
            <w:tcW w:w="1282" w:type="dxa"/>
            <w:tcBorders>
              <w:left w:val="single" w:sz="4" w:space="0" w:color="auto"/>
            </w:tcBorders>
            <w:vAlign w:val="center"/>
            <w:hideMark/>
          </w:tcPr>
          <w:p w14:paraId="465DE79F"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4,351</w:t>
            </w:r>
          </w:p>
        </w:tc>
        <w:tc>
          <w:tcPr>
            <w:tcW w:w="1235" w:type="dxa"/>
            <w:tcBorders>
              <w:right w:val="single" w:sz="4" w:space="0" w:color="auto"/>
            </w:tcBorders>
            <w:vAlign w:val="center"/>
            <w:hideMark/>
          </w:tcPr>
          <w:p w14:paraId="1B8B898B"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542,113</w:t>
            </w:r>
          </w:p>
        </w:tc>
        <w:tc>
          <w:tcPr>
            <w:tcW w:w="1314" w:type="dxa"/>
            <w:tcBorders>
              <w:left w:val="single" w:sz="4" w:space="0" w:color="auto"/>
            </w:tcBorders>
            <w:vAlign w:val="center"/>
            <w:hideMark/>
          </w:tcPr>
          <w:p w14:paraId="5328579C"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12</w:t>
            </w:r>
          </w:p>
        </w:tc>
        <w:tc>
          <w:tcPr>
            <w:tcW w:w="1314" w:type="dxa"/>
            <w:vAlign w:val="center"/>
            <w:hideMark/>
          </w:tcPr>
          <w:p w14:paraId="4DB5EBC4"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0.3%</w:t>
            </w:r>
          </w:p>
        </w:tc>
        <w:tc>
          <w:tcPr>
            <w:tcW w:w="1235" w:type="dxa"/>
            <w:vAlign w:val="center"/>
            <w:hideMark/>
          </w:tcPr>
          <w:p w14:paraId="57228DDA"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4,360</w:t>
            </w:r>
          </w:p>
        </w:tc>
        <w:tc>
          <w:tcPr>
            <w:tcW w:w="1228" w:type="dxa"/>
            <w:vAlign w:val="center"/>
            <w:hideMark/>
          </w:tcPr>
          <w:p w14:paraId="63A8C141"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0.8%</w:t>
            </w:r>
          </w:p>
        </w:tc>
      </w:tr>
      <w:tr w:rsidR="00677577" w:rsidRPr="00236247" w14:paraId="4066CF83" w14:textId="77777777">
        <w:trPr>
          <w:trHeight w:val="300"/>
        </w:trPr>
        <w:tc>
          <w:tcPr>
            <w:tcW w:w="1418" w:type="dxa"/>
            <w:tcBorders>
              <w:top w:val="single" w:sz="4" w:space="0" w:color="auto"/>
              <w:bottom w:val="single" w:sz="4" w:space="0" w:color="auto"/>
              <w:right w:val="single" w:sz="4" w:space="0" w:color="auto"/>
            </w:tcBorders>
            <w:vAlign w:val="center"/>
            <w:hideMark/>
          </w:tcPr>
          <w:p w14:paraId="2529303E" w14:textId="77777777" w:rsidR="00677577" w:rsidRPr="00FD423E" w:rsidRDefault="00677577">
            <w:pPr>
              <w:spacing w:after="0" w:line="240" w:lineRule="auto"/>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2022</w:t>
            </w:r>
          </w:p>
        </w:tc>
        <w:tc>
          <w:tcPr>
            <w:tcW w:w="1282" w:type="dxa"/>
            <w:tcBorders>
              <w:left w:val="single" w:sz="4" w:space="0" w:color="auto"/>
            </w:tcBorders>
            <w:vAlign w:val="center"/>
            <w:hideMark/>
          </w:tcPr>
          <w:p w14:paraId="382C727F"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4,136</w:t>
            </w:r>
          </w:p>
        </w:tc>
        <w:tc>
          <w:tcPr>
            <w:tcW w:w="1235" w:type="dxa"/>
            <w:tcBorders>
              <w:right w:val="single" w:sz="4" w:space="0" w:color="auto"/>
            </w:tcBorders>
            <w:vAlign w:val="center"/>
            <w:hideMark/>
          </w:tcPr>
          <w:p w14:paraId="1C313FEA"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803,998</w:t>
            </w:r>
          </w:p>
        </w:tc>
        <w:tc>
          <w:tcPr>
            <w:tcW w:w="1314" w:type="dxa"/>
            <w:tcBorders>
              <w:left w:val="single" w:sz="4" w:space="0" w:color="auto"/>
            </w:tcBorders>
            <w:vAlign w:val="center"/>
            <w:hideMark/>
          </w:tcPr>
          <w:p w14:paraId="286DBC51"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30</w:t>
            </w:r>
          </w:p>
        </w:tc>
        <w:tc>
          <w:tcPr>
            <w:tcW w:w="1314" w:type="dxa"/>
            <w:vAlign w:val="center"/>
            <w:hideMark/>
          </w:tcPr>
          <w:p w14:paraId="14DE2DC5"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0.7%</w:t>
            </w:r>
          </w:p>
        </w:tc>
        <w:tc>
          <w:tcPr>
            <w:tcW w:w="1235" w:type="dxa"/>
            <w:vAlign w:val="center"/>
            <w:hideMark/>
          </w:tcPr>
          <w:p w14:paraId="2A8E96D7"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33,649</w:t>
            </w:r>
          </w:p>
        </w:tc>
        <w:tc>
          <w:tcPr>
            <w:tcW w:w="1228" w:type="dxa"/>
            <w:vAlign w:val="center"/>
            <w:hideMark/>
          </w:tcPr>
          <w:p w14:paraId="3B3D7964"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4.0%</w:t>
            </w:r>
          </w:p>
        </w:tc>
      </w:tr>
      <w:tr w:rsidR="00677577" w:rsidRPr="00236247" w14:paraId="061BE2BF" w14:textId="77777777">
        <w:trPr>
          <w:trHeight w:val="300"/>
        </w:trPr>
        <w:tc>
          <w:tcPr>
            <w:tcW w:w="1418" w:type="dxa"/>
            <w:tcBorders>
              <w:top w:val="single" w:sz="4" w:space="0" w:color="auto"/>
              <w:bottom w:val="single" w:sz="4" w:space="0" w:color="auto"/>
              <w:right w:val="single" w:sz="4" w:space="0" w:color="auto"/>
            </w:tcBorders>
            <w:vAlign w:val="center"/>
            <w:hideMark/>
          </w:tcPr>
          <w:p w14:paraId="4333BACB" w14:textId="77777777" w:rsidR="00677577" w:rsidRPr="00FD423E" w:rsidRDefault="00677577">
            <w:pPr>
              <w:spacing w:after="0" w:line="240" w:lineRule="auto"/>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2023</w:t>
            </w:r>
          </w:p>
        </w:tc>
        <w:tc>
          <w:tcPr>
            <w:tcW w:w="1282" w:type="dxa"/>
            <w:tcBorders>
              <w:left w:val="single" w:sz="4" w:space="0" w:color="auto"/>
            </w:tcBorders>
            <w:vAlign w:val="center"/>
            <w:hideMark/>
          </w:tcPr>
          <w:p w14:paraId="3291CE4C"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4,101</w:t>
            </w:r>
          </w:p>
        </w:tc>
        <w:tc>
          <w:tcPr>
            <w:tcW w:w="1235" w:type="dxa"/>
            <w:tcBorders>
              <w:right w:val="single" w:sz="4" w:space="0" w:color="auto"/>
            </w:tcBorders>
            <w:vAlign w:val="center"/>
            <w:hideMark/>
          </w:tcPr>
          <w:p w14:paraId="1EA3F734"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805,607</w:t>
            </w:r>
          </w:p>
        </w:tc>
        <w:tc>
          <w:tcPr>
            <w:tcW w:w="1314" w:type="dxa"/>
            <w:tcBorders>
              <w:left w:val="single" w:sz="4" w:space="0" w:color="auto"/>
            </w:tcBorders>
            <w:vAlign w:val="center"/>
            <w:hideMark/>
          </w:tcPr>
          <w:p w14:paraId="134F4535"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10</w:t>
            </w:r>
          </w:p>
        </w:tc>
        <w:tc>
          <w:tcPr>
            <w:tcW w:w="1314" w:type="dxa"/>
            <w:vAlign w:val="center"/>
            <w:hideMark/>
          </w:tcPr>
          <w:p w14:paraId="631EC863"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0.2%</w:t>
            </w:r>
          </w:p>
        </w:tc>
        <w:tc>
          <w:tcPr>
            <w:tcW w:w="1235" w:type="dxa"/>
            <w:vAlign w:val="center"/>
            <w:hideMark/>
          </w:tcPr>
          <w:p w14:paraId="2EFA5868"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37,575</w:t>
            </w:r>
          </w:p>
        </w:tc>
        <w:tc>
          <w:tcPr>
            <w:tcW w:w="1228" w:type="dxa"/>
            <w:vAlign w:val="center"/>
            <w:hideMark/>
          </w:tcPr>
          <w:p w14:paraId="551E4A79"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4.5%</w:t>
            </w:r>
          </w:p>
        </w:tc>
      </w:tr>
      <w:tr w:rsidR="00677577" w:rsidRPr="00236247" w14:paraId="2F9383C4" w14:textId="77777777">
        <w:trPr>
          <w:trHeight w:val="300"/>
        </w:trPr>
        <w:tc>
          <w:tcPr>
            <w:tcW w:w="1418" w:type="dxa"/>
            <w:tcBorders>
              <w:top w:val="single" w:sz="4" w:space="0" w:color="auto"/>
              <w:bottom w:val="single" w:sz="4" w:space="0" w:color="auto"/>
              <w:right w:val="single" w:sz="4" w:space="0" w:color="auto"/>
            </w:tcBorders>
            <w:vAlign w:val="center"/>
            <w:hideMark/>
          </w:tcPr>
          <w:p w14:paraId="76D6643E" w14:textId="77777777" w:rsidR="00677577" w:rsidRPr="00FD423E" w:rsidRDefault="00677577">
            <w:pPr>
              <w:spacing w:after="0" w:line="240" w:lineRule="auto"/>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2024 (to Q3)</w:t>
            </w:r>
          </w:p>
        </w:tc>
        <w:tc>
          <w:tcPr>
            <w:tcW w:w="1282" w:type="dxa"/>
            <w:tcBorders>
              <w:left w:val="single" w:sz="4" w:space="0" w:color="auto"/>
              <w:bottom w:val="single" w:sz="4" w:space="0" w:color="auto"/>
            </w:tcBorders>
            <w:vAlign w:val="center"/>
            <w:hideMark/>
          </w:tcPr>
          <w:p w14:paraId="19D09AD5"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3,138</w:t>
            </w:r>
          </w:p>
        </w:tc>
        <w:tc>
          <w:tcPr>
            <w:tcW w:w="1235" w:type="dxa"/>
            <w:tcBorders>
              <w:bottom w:val="single" w:sz="4" w:space="0" w:color="auto"/>
              <w:right w:val="single" w:sz="4" w:space="0" w:color="auto"/>
            </w:tcBorders>
            <w:vAlign w:val="center"/>
            <w:hideMark/>
          </w:tcPr>
          <w:p w14:paraId="72D09E0A"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933,363</w:t>
            </w:r>
          </w:p>
        </w:tc>
        <w:tc>
          <w:tcPr>
            <w:tcW w:w="1314" w:type="dxa"/>
            <w:tcBorders>
              <w:left w:val="single" w:sz="4" w:space="0" w:color="auto"/>
              <w:bottom w:val="single" w:sz="4" w:space="0" w:color="auto"/>
            </w:tcBorders>
            <w:vAlign w:val="center"/>
            <w:hideMark/>
          </w:tcPr>
          <w:p w14:paraId="484BDC78"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20</w:t>
            </w:r>
          </w:p>
        </w:tc>
        <w:tc>
          <w:tcPr>
            <w:tcW w:w="1314" w:type="dxa"/>
            <w:tcBorders>
              <w:bottom w:val="single" w:sz="4" w:space="0" w:color="auto"/>
            </w:tcBorders>
            <w:vAlign w:val="center"/>
            <w:hideMark/>
          </w:tcPr>
          <w:p w14:paraId="2155C4BB"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0.6%</w:t>
            </w:r>
          </w:p>
        </w:tc>
        <w:tc>
          <w:tcPr>
            <w:tcW w:w="1235" w:type="dxa"/>
            <w:tcBorders>
              <w:bottom w:val="single" w:sz="4" w:space="0" w:color="auto"/>
            </w:tcBorders>
            <w:vAlign w:val="center"/>
            <w:hideMark/>
          </w:tcPr>
          <w:p w14:paraId="72690B4E"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48,074</w:t>
            </w:r>
          </w:p>
        </w:tc>
        <w:tc>
          <w:tcPr>
            <w:tcW w:w="1228" w:type="dxa"/>
            <w:tcBorders>
              <w:bottom w:val="single" w:sz="4" w:space="0" w:color="auto"/>
            </w:tcBorders>
            <w:vAlign w:val="center"/>
            <w:hideMark/>
          </w:tcPr>
          <w:p w14:paraId="42E39337" w14:textId="77777777" w:rsidR="00677577" w:rsidRPr="00FD423E" w:rsidRDefault="00677577" w:rsidP="0021216A">
            <w:pPr>
              <w:spacing w:after="0" w:line="240" w:lineRule="auto"/>
              <w:jc w:val="right"/>
              <w:rPr>
                <w:rFonts w:ascii="Aptos" w:eastAsia="Times New Roman" w:hAnsi="Aptos" w:cs="Times New Roman"/>
                <w:color w:val="000000"/>
                <w:sz w:val="20"/>
                <w:szCs w:val="20"/>
                <w:lang w:eastAsia="en-AU"/>
              </w:rPr>
            </w:pPr>
            <w:r w:rsidRPr="00FD423E">
              <w:rPr>
                <w:rFonts w:ascii="Aptos" w:eastAsia="Times New Roman" w:hAnsi="Aptos" w:cs="Times New Roman"/>
                <w:color w:val="000000"/>
                <w:sz w:val="20"/>
                <w:szCs w:val="20"/>
                <w:lang w:eastAsia="en-AU"/>
              </w:rPr>
              <w:t>4.9%</w:t>
            </w:r>
          </w:p>
        </w:tc>
      </w:tr>
      <w:tr w:rsidR="00E84D9E" w:rsidRPr="00236247" w14:paraId="0DA0A898" w14:textId="77777777" w:rsidTr="000C213D">
        <w:trPr>
          <w:trHeight w:val="780"/>
        </w:trPr>
        <w:tc>
          <w:tcPr>
            <w:tcW w:w="1418" w:type="dxa"/>
            <w:tcBorders>
              <w:top w:val="single" w:sz="4" w:space="0" w:color="auto"/>
              <w:bottom w:val="single" w:sz="4" w:space="0" w:color="auto"/>
              <w:right w:val="single" w:sz="4" w:space="0" w:color="auto"/>
            </w:tcBorders>
            <w:vAlign w:val="center"/>
            <w:hideMark/>
          </w:tcPr>
          <w:p w14:paraId="4932C76D" w14:textId="77777777" w:rsidR="00677577" w:rsidRPr="00FD423E" w:rsidRDefault="00677577">
            <w:pPr>
              <w:spacing w:after="0" w:line="240" w:lineRule="auto"/>
              <w:rPr>
                <w:rFonts w:ascii="Aptos" w:eastAsia="Times New Roman" w:hAnsi="Aptos" w:cs="Times New Roman"/>
                <w:b/>
                <w:color w:val="000000"/>
                <w:sz w:val="20"/>
                <w:szCs w:val="20"/>
                <w:lang w:eastAsia="en-AU"/>
              </w:rPr>
            </w:pPr>
            <w:r w:rsidRPr="00FD423E">
              <w:rPr>
                <w:rFonts w:ascii="Aptos" w:eastAsia="Times New Roman" w:hAnsi="Aptos" w:cs="Times New Roman"/>
                <w:b/>
                <w:color w:val="000000"/>
                <w:sz w:val="20"/>
                <w:szCs w:val="20"/>
                <w:lang w:eastAsia="en-AU"/>
              </w:rPr>
              <w:t>Total</w:t>
            </w:r>
          </w:p>
          <w:p w14:paraId="3C19768A" w14:textId="77777777" w:rsidR="00677577" w:rsidRPr="000C213D" w:rsidRDefault="00677577">
            <w:pPr>
              <w:spacing w:after="0" w:line="240" w:lineRule="auto"/>
              <w:rPr>
                <w:rFonts w:ascii="Aptos" w:eastAsia="Times New Roman" w:hAnsi="Aptos" w:cs="Times New Roman"/>
                <w:b/>
                <w:color w:val="000000"/>
                <w:sz w:val="20"/>
                <w:szCs w:val="20"/>
                <w:lang w:eastAsia="en-AU"/>
              </w:rPr>
            </w:pPr>
            <w:r w:rsidRPr="00FD423E">
              <w:rPr>
                <w:rFonts w:ascii="Aptos" w:eastAsia="Times New Roman" w:hAnsi="Aptos" w:cs="Times New Roman"/>
                <w:b/>
                <w:color w:val="000000"/>
                <w:sz w:val="20"/>
                <w:szCs w:val="20"/>
                <w:lang w:eastAsia="en-AU"/>
              </w:rPr>
              <w:t>2013</w:t>
            </w:r>
            <w:r w:rsidRPr="000C213D">
              <w:rPr>
                <w:rFonts w:ascii="Symbol" w:eastAsia="Symbol" w:hAnsi="Symbol" w:cs="Symbol"/>
                <w:b/>
                <w:color w:val="000000"/>
                <w:sz w:val="20"/>
                <w:szCs w:val="20"/>
                <w:lang w:eastAsia="en-AU"/>
              </w:rPr>
              <w:sym w:font="Symbol" w:char="F02D"/>
            </w:r>
            <w:r w:rsidRPr="000C213D">
              <w:rPr>
                <w:rFonts w:ascii="Aptos" w:eastAsia="Times New Roman" w:hAnsi="Aptos" w:cs="Times New Roman"/>
                <w:b/>
                <w:color w:val="000000"/>
                <w:sz w:val="20"/>
                <w:szCs w:val="20"/>
                <w:lang w:eastAsia="en-AU"/>
              </w:rPr>
              <w:t>2022</w:t>
            </w:r>
          </w:p>
        </w:tc>
        <w:tc>
          <w:tcPr>
            <w:tcW w:w="1282" w:type="dxa"/>
            <w:tcBorders>
              <w:top w:val="single" w:sz="4" w:space="0" w:color="auto"/>
              <w:left w:val="single" w:sz="4" w:space="0" w:color="auto"/>
              <w:bottom w:val="single" w:sz="4" w:space="0" w:color="auto"/>
            </w:tcBorders>
            <w:noWrap/>
            <w:vAlign w:val="center"/>
            <w:hideMark/>
          </w:tcPr>
          <w:p w14:paraId="37E57316" w14:textId="77777777" w:rsidR="00677577" w:rsidRPr="000C213D" w:rsidRDefault="00677577" w:rsidP="0021216A">
            <w:pPr>
              <w:spacing w:after="0" w:line="240" w:lineRule="auto"/>
              <w:jc w:val="right"/>
              <w:rPr>
                <w:rFonts w:ascii="Aptos" w:eastAsia="Times New Roman" w:hAnsi="Aptos" w:cs="Times New Roman"/>
                <w:color w:val="000000"/>
                <w:sz w:val="20"/>
                <w:szCs w:val="20"/>
                <w:lang w:eastAsia="en-AU"/>
              </w:rPr>
            </w:pPr>
            <w:r w:rsidRPr="000C213D">
              <w:rPr>
                <w:rFonts w:ascii="Aptos" w:eastAsia="Times New Roman" w:hAnsi="Aptos" w:cs="Times New Roman"/>
                <w:color w:val="000000"/>
                <w:sz w:val="20"/>
                <w:szCs w:val="20"/>
                <w:lang w:eastAsia="en-AU"/>
              </w:rPr>
              <w:t>46,848</w:t>
            </w:r>
          </w:p>
        </w:tc>
        <w:tc>
          <w:tcPr>
            <w:tcW w:w="1235" w:type="dxa"/>
            <w:tcBorders>
              <w:top w:val="single" w:sz="4" w:space="0" w:color="auto"/>
              <w:bottom w:val="single" w:sz="4" w:space="0" w:color="auto"/>
              <w:right w:val="single" w:sz="4" w:space="0" w:color="auto"/>
            </w:tcBorders>
            <w:noWrap/>
            <w:vAlign w:val="center"/>
            <w:hideMark/>
          </w:tcPr>
          <w:p w14:paraId="787CDC7E" w14:textId="77777777" w:rsidR="00677577" w:rsidRPr="000C213D" w:rsidRDefault="00677577" w:rsidP="0021216A">
            <w:pPr>
              <w:spacing w:after="0" w:line="240" w:lineRule="auto"/>
              <w:jc w:val="right"/>
              <w:rPr>
                <w:rFonts w:ascii="Aptos" w:eastAsia="Times New Roman" w:hAnsi="Aptos" w:cs="Times New Roman"/>
                <w:color w:val="000000"/>
                <w:sz w:val="20"/>
                <w:szCs w:val="20"/>
                <w:lang w:eastAsia="en-AU"/>
              </w:rPr>
            </w:pPr>
            <w:r w:rsidRPr="000C213D">
              <w:rPr>
                <w:rFonts w:ascii="Aptos" w:eastAsia="Times New Roman" w:hAnsi="Aptos" w:cs="Times New Roman"/>
                <w:color w:val="000000"/>
                <w:sz w:val="20"/>
                <w:szCs w:val="20"/>
                <w:lang w:eastAsia="en-AU"/>
              </w:rPr>
              <w:t>6,943,262</w:t>
            </w:r>
          </w:p>
        </w:tc>
        <w:tc>
          <w:tcPr>
            <w:tcW w:w="1314" w:type="dxa"/>
            <w:tcBorders>
              <w:top w:val="single" w:sz="4" w:space="0" w:color="auto"/>
              <w:left w:val="single" w:sz="4" w:space="0" w:color="auto"/>
              <w:bottom w:val="single" w:sz="4" w:space="0" w:color="auto"/>
            </w:tcBorders>
            <w:noWrap/>
            <w:vAlign w:val="center"/>
            <w:hideMark/>
          </w:tcPr>
          <w:p w14:paraId="6923D53E" w14:textId="77777777" w:rsidR="00677577" w:rsidRPr="000C213D" w:rsidRDefault="00677577" w:rsidP="0021216A">
            <w:pPr>
              <w:spacing w:after="0" w:line="240" w:lineRule="auto"/>
              <w:jc w:val="right"/>
              <w:rPr>
                <w:rFonts w:ascii="Aptos" w:eastAsia="Times New Roman" w:hAnsi="Aptos" w:cs="Times New Roman"/>
                <w:color w:val="000000"/>
                <w:sz w:val="20"/>
                <w:szCs w:val="20"/>
                <w:lang w:eastAsia="en-AU"/>
              </w:rPr>
            </w:pPr>
            <w:r w:rsidRPr="000C213D">
              <w:rPr>
                <w:rFonts w:ascii="Aptos" w:eastAsia="Times New Roman" w:hAnsi="Aptos" w:cs="Times New Roman"/>
                <w:color w:val="000000"/>
                <w:sz w:val="20"/>
                <w:szCs w:val="20"/>
                <w:lang w:eastAsia="en-AU"/>
              </w:rPr>
              <w:t>213</w:t>
            </w:r>
          </w:p>
        </w:tc>
        <w:tc>
          <w:tcPr>
            <w:tcW w:w="1314" w:type="dxa"/>
            <w:tcBorders>
              <w:top w:val="single" w:sz="4" w:space="0" w:color="auto"/>
              <w:bottom w:val="single" w:sz="4" w:space="0" w:color="auto"/>
            </w:tcBorders>
            <w:vAlign w:val="center"/>
            <w:hideMark/>
          </w:tcPr>
          <w:p w14:paraId="1EB894F3" w14:textId="77777777" w:rsidR="00677577" w:rsidRPr="000C213D" w:rsidRDefault="00677577" w:rsidP="0021216A">
            <w:pPr>
              <w:spacing w:after="0" w:line="240" w:lineRule="auto"/>
              <w:jc w:val="right"/>
              <w:rPr>
                <w:rFonts w:ascii="Aptos" w:eastAsia="Times New Roman" w:hAnsi="Aptos" w:cs="Times New Roman"/>
                <w:color w:val="000000"/>
                <w:sz w:val="20"/>
                <w:szCs w:val="20"/>
                <w:lang w:eastAsia="en-AU"/>
              </w:rPr>
            </w:pPr>
            <w:r w:rsidRPr="000C213D">
              <w:rPr>
                <w:rFonts w:ascii="Aptos" w:eastAsia="Times New Roman" w:hAnsi="Aptos" w:cs="Times New Roman"/>
                <w:color w:val="000000"/>
                <w:sz w:val="20"/>
                <w:szCs w:val="20"/>
                <w:lang w:eastAsia="en-AU"/>
              </w:rPr>
              <w:t>0.5%</w:t>
            </w:r>
          </w:p>
        </w:tc>
        <w:tc>
          <w:tcPr>
            <w:tcW w:w="1235" w:type="dxa"/>
            <w:tcBorders>
              <w:top w:val="single" w:sz="4" w:space="0" w:color="auto"/>
              <w:bottom w:val="single" w:sz="4" w:space="0" w:color="auto"/>
            </w:tcBorders>
            <w:noWrap/>
            <w:vAlign w:val="center"/>
            <w:hideMark/>
          </w:tcPr>
          <w:p w14:paraId="2A36F78F" w14:textId="77777777" w:rsidR="00677577" w:rsidRPr="000C213D" w:rsidRDefault="00677577" w:rsidP="0021216A">
            <w:pPr>
              <w:spacing w:after="0" w:line="240" w:lineRule="auto"/>
              <w:jc w:val="right"/>
              <w:rPr>
                <w:rFonts w:ascii="Aptos" w:eastAsia="Times New Roman" w:hAnsi="Aptos" w:cs="Times New Roman"/>
                <w:color w:val="000000"/>
                <w:sz w:val="20"/>
                <w:szCs w:val="20"/>
                <w:lang w:eastAsia="en-AU"/>
              </w:rPr>
            </w:pPr>
            <w:r w:rsidRPr="000C213D">
              <w:rPr>
                <w:rFonts w:ascii="Aptos" w:eastAsia="Times New Roman" w:hAnsi="Aptos" w:cs="Times New Roman"/>
                <w:color w:val="000000"/>
                <w:sz w:val="20"/>
                <w:szCs w:val="20"/>
                <w:lang w:eastAsia="en-AU"/>
              </w:rPr>
              <w:t>240,865</w:t>
            </w:r>
          </w:p>
        </w:tc>
        <w:tc>
          <w:tcPr>
            <w:tcW w:w="1228" w:type="dxa"/>
            <w:tcBorders>
              <w:top w:val="single" w:sz="4" w:space="0" w:color="auto"/>
              <w:bottom w:val="single" w:sz="4" w:space="0" w:color="auto"/>
            </w:tcBorders>
            <w:vAlign w:val="center"/>
            <w:hideMark/>
          </w:tcPr>
          <w:p w14:paraId="19C3F527" w14:textId="77777777" w:rsidR="00677577" w:rsidRPr="000C213D" w:rsidRDefault="00677577" w:rsidP="0021216A">
            <w:pPr>
              <w:spacing w:after="0" w:line="240" w:lineRule="auto"/>
              <w:jc w:val="right"/>
              <w:rPr>
                <w:rFonts w:ascii="Aptos" w:eastAsia="Times New Roman" w:hAnsi="Aptos" w:cs="Times New Roman"/>
                <w:color w:val="000000"/>
                <w:sz w:val="20"/>
                <w:szCs w:val="20"/>
                <w:lang w:eastAsia="en-AU"/>
              </w:rPr>
            </w:pPr>
            <w:r w:rsidRPr="000C213D">
              <w:rPr>
                <w:rFonts w:ascii="Aptos" w:eastAsia="Times New Roman" w:hAnsi="Aptos" w:cs="Times New Roman"/>
                <w:color w:val="000000"/>
                <w:sz w:val="20"/>
                <w:szCs w:val="20"/>
                <w:lang w:eastAsia="en-AU"/>
              </w:rPr>
              <w:t>3.4%</w:t>
            </w:r>
          </w:p>
        </w:tc>
      </w:tr>
    </w:tbl>
    <w:p w14:paraId="6770975F" w14:textId="53103286" w:rsidR="00677577" w:rsidRPr="00B45F7C" w:rsidRDefault="00677577" w:rsidP="00677577">
      <w:pPr>
        <w:spacing w:before="120"/>
        <w:rPr>
          <w:rFonts w:ascii="Aptos" w:eastAsia="Aptos" w:hAnsi="Aptos" w:cs="Times New Roman"/>
          <w:sz w:val="18"/>
        </w:rPr>
      </w:pPr>
      <w:r w:rsidRPr="00B45F7C">
        <w:rPr>
          <w:rFonts w:ascii="Aptos" w:eastAsia="Aptos" w:hAnsi="Aptos" w:cs="Times New Roman"/>
          <w:b/>
          <w:bCs/>
          <w:sz w:val="18"/>
        </w:rPr>
        <w:t>Source:</w:t>
      </w:r>
      <w:r w:rsidRPr="00B45F7C">
        <w:rPr>
          <w:rFonts w:ascii="Aptos" w:eastAsia="Aptos" w:hAnsi="Aptos" w:cs="Times New Roman"/>
          <w:sz w:val="18"/>
        </w:rPr>
        <w:t xml:space="preserve"> </w:t>
      </w:r>
      <w:r w:rsidR="0021216A">
        <w:rPr>
          <w:rFonts w:ascii="Aptos" w:eastAsia="Aptos" w:hAnsi="Aptos" w:cs="Times New Roman"/>
          <w:sz w:val="18"/>
        </w:rPr>
        <w:t xml:space="preserve">Department of </w:t>
      </w:r>
      <w:r w:rsidR="00C62AD2">
        <w:rPr>
          <w:rFonts w:ascii="Aptos" w:eastAsia="Aptos" w:hAnsi="Aptos" w:cs="Times New Roman"/>
          <w:sz w:val="18"/>
        </w:rPr>
        <w:t xml:space="preserve">Employment and </w:t>
      </w:r>
      <w:r w:rsidR="0021216A">
        <w:rPr>
          <w:rFonts w:ascii="Aptos" w:eastAsia="Aptos" w:hAnsi="Aptos" w:cs="Times New Roman"/>
          <w:sz w:val="18"/>
        </w:rPr>
        <w:t>Workplace Relations</w:t>
      </w:r>
      <w:r w:rsidR="00C62AD2">
        <w:rPr>
          <w:rFonts w:ascii="Aptos" w:eastAsia="Aptos" w:hAnsi="Aptos" w:cs="Times New Roman"/>
          <w:sz w:val="18"/>
        </w:rPr>
        <w:t>,</w:t>
      </w:r>
      <w:r w:rsidR="0021216A">
        <w:rPr>
          <w:rFonts w:ascii="Aptos" w:eastAsia="Aptos" w:hAnsi="Aptos" w:cs="Times New Roman"/>
          <w:sz w:val="18"/>
        </w:rPr>
        <w:t xml:space="preserve"> </w:t>
      </w:r>
      <w:r w:rsidRPr="00B45F7C">
        <w:rPr>
          <w:rFonts w:ascii="Aptos" w:eastAsia="Aptos" w:hAnsi="Aptos" w:cs="Times New Roman"/>
          <w:sz w:val="18"/>
        </w:rPr>
        <w:t>Workplace Agreements Database.</w:t>
      </w:r>
    </w:p>
    <w:p w14:paraId="7E60BE74" w14:textId="77777777" w:rsidR="00677577" w:rsidRPr="00B45F7C" w:rsidRDefault="00677577" w:rsidP="00677577">
      <w:pPr>
        <w:rPr>
          <w:rFonts w:ascii="Aptos" w:eastAsia="Aptos" w:hAnsi="Aptos" w:cs="Times New Roman"/>
          <w:b/>
          <w:iCs/>
          <w:color w:val="404246"/>
          <w:szCs w:val="18"/>
        </w:rPr>
      </w:pPr>
      <w:r w:rsidRPr="00B45F7C">
        <w:rPr>
          <w:rFonts w:ascii="Aptos" w:eastAsia="Aptos" w:hAnsi="Aptos" w:cs="Times New Roman"/>
        </w:rPr>
        <w:br w:type="page"/>
      </w:r>
    </w:p>
    <w:p w14:paraId="6077510A" w14:textId="5EC8BFB6" w:rsidR="00677577" w:rsidRPr="0021216A" w:rsidRDefault="00844718" w:rsidP="000C213D">
      <w:pPr>
        <w:pStyle w:val="Caption"/>
      </w:pPr>
      <w:bookmarkStart w:id="1001" w:name="_Toc189310885"/>
      <w:bookmarkStart w:id="1002" w:name="_Toc194251485"/>
      <w:r>
        <w:t xml:space="preserve">Table </w:t>
      </w:r>
      <w:r>
        <w:fldChar w:fldCharType="begin"/>
      </w:r>
      <w:r>
        <w:instrText xml:space="preserve"> SEQ Table \* ARABIC </w:instrText>
      </w:r>
      <w:r>
        <w:fldChar w:fldCharType="separate"/>
      </w:r>
      <w:r w:rsidR="00DE5F5E">
        <w:rPr>
          <w:noProof/>
        </w:rPr>
        <w:t>61</w:t>
      </w:r>
      <w:r>
        <w:fldChar w:fldCharType="end"/>
      </w:r>
      <w:r>
        <w:t xml:space="preserve">: </w:t>
      </w:r>
      <w:r w:rsidR="00677577" w:rsidRPr="0021216A">
        <w:t>Current single and multi-employer agreements as at September, 2009</w:t>
      </w:r>
      <w:r w:rsidR="0021216A">
        <w:t xml:space="preserve"> to </w:t>
      </w:r>
      <w:r w:rsidR="00677577" w:rsidRPr="0021216A">
        <w:t>2024</w:t>
      </w:r>
      <w:bookmarkEnd w:id="1001"/>
      <w:bookmarkEnd w:id="1002"/>
    </w:p>
    <w:tbl>
      <w:tblPr>
        <w:tblStyle w:val="TableGridCKEdit1"/>
        <w:tblW w:w="0" w:type="auto"/>
        <w:tblLook w:val="04A0" w:firstRow="1" w:lastRow="0" w:firstColumn="1" w:lastColumn="0" w:noHBand="0" w:noVBand="1"/>
      </w:tblPr>
      <w:tblGrid>
        <w:gridCol w:w="1803"/>
        <w:gridCol w:w="1803"/>
        <w:gridCol w:w="1803"/>
        <w:gridCol w:w="1803"/>
        <w:gridCol w:w="1804"/>
      </w:tblGrid>
      <w:tr w:rsidR="00677577" w:rsidRPr="00236247" w14:paraId="566642C8" w14:textId="77777777" w:rsidTr="00884FA4">
        <w:trPr>
          <w:trHeight w:val="340"/>
        </w:trPr>
        <w:tc>
          <w:tcPr>
            <w:tcW w:w="1803" w:type="dxa"/>
            <w:vMerge w:val="restart"/>
          </w:tcPr>
          <w:p w14:paraId="5C6CD1DC" w14:textId="77777777" w:rsidR="00677577" w:rsidRPr="008A1028" w:rsidRDefault="00677577" w:rsidP="0094762A">
            <w:pPr>
              <w:rPr>
                <w:rFonts w:ascii="Aptos" w:eastAsia="Aptos" w:hAnsi="Aptos" w:cs="Times New Roman"/>
                <w:b/>
                <w:sz w:val="20"/>
                <w:szCs w:val="20"/>
              </w:rPr>
            </w:pPr>
          </w:p>
        </w:tc>
        <w:tc>
          <w:tcPr>
            <w:tcW w:w="3606" w:type="dxa"/>
            <w:gridSpan w:val="2"/>
          </w:tcPr>
          <w:p w14:paraId="55BBCDF8" w14:textId="4983BB7C" w:rsidR="00677577" w:rsidRPr="008A1028" w:rsidRDefault="00677577" w:rsidP="008A1028">
            <w:pPr>
              <w:jc w:val="center"/>
              <w:rPr>
                <w:rFonts w:ascii="Aptos" w:eastAsia="Aptos" w:hAnsi="Aptos" w:cs="Times New Roman"/>
                <w:b/>
                <w:sz w:val="20"/>
                <w:szCs w:val="20"/>
              </w:rPr>
            </w:pPr>
            <w:r w:rsidRPr="008A1028">
              <w:rPr>
                <w:rFonts w:ascii="Aptos" w:eastAsia="Aptos" w:hAnsi="Aptos" w:cs="Times New Roman"/>
                <w:b/>
                <w:sz w:val="20"/>
                <w:szCs w:val="20"/>
              </w:rPr>
              <w:t>Current single enterprise agreements</w:t>
            </w:r>
          </w:p>
        </w:tc>
        <w:tc>
          <w:tcPr>
            <w:tcW w:w="3607" w:type="dxa"/>
            <w:gridSpan w:val="2"/>
          </w:tcPr>
          <w:p w14:paraId="20D99643" w14:textId="77777777" w:rsidR="00677577" w:rsidRPr="008A1028" w:rsidRDefault="00677577" w:rsidP="008A1028">
            <w:pPr>
              <w:jc w:val="center"/>
              <w:rPr>
                <w:rFonts w:ascii="Aptos" w:eastAsia="Aptos" w:hAnsi="Aptos" w:cs="Times New Roman"/>
                <w:b/>
                <w:sz w:val="20"/>
                <w:szCs w:val="20"/>
              </w:rPr>
            </w:pPr>
            <w:r w:rsidRPr="008A1028">
              <w:rPr>
                <w:rFonts w:ascii="Aptos" w:eastAsia="Aptos" w:hAnsi="Aptos" w:cs="Times New Roman"/>
                <w:b/>
                <w:sz w:val="20"/>
                <w:szCs w:val="20"/>
              </w:rPr>
              <w:t>Current multi-employer agreements</w:t>
            </w:r>
          </w:p>
        </w:tc>
      </w:tr>
      <w:tr w:rsidR="00677577" w:rsidRPr="00236247" w14:paraId="70CDE7E9" w14:textId="77777777">
        <w:trPr>
          <w:trHeight w:val="340"/>
        </w:trPr>
        <w:tc>
          <w:tcPr>
            <w:tcW w:w="1803" w:type="dxa"/>
            <w:vMerge/>
          </w:tcPr>
          <w:p w14:paraId="2C1CE692" w14:textId="77777777" w:rsidR="00677577" w:rsidRPr="008A1028" w:rsidRDefault="00677577" w:rsidP="00A43C1F">
            <w:pPr>
              <w:rPr>
                <w:rFonts w:ascii="Aptos" w:eastAsia="Aptos" w:hAnsi="Aptos" w:cs="Times New Roman"/>
                <w:b/>
                <w:sz w:val="20"/>
                <w:szCs w:val="20"/>
              </w:rPr>
            </w:pPr>
          </w:p>
        </w:tc>
        <w:tc>
          <w:tcPr>
            <w:tcW w:w="1803" w:type="dxa"/>
          </w:tcPr>
          <w:p w14:paraId="6BC648CD" w14:textId="77777777" w:rsidR="00677577" w:rsidRPr="008A1028" w:rsidRDefault="00677577" w:rsidP="008A1028">
            <w:pPr>
              <w:jc w:val="right"/>
              <w:rPr>
                <w:rFonts w:ascii="Aptos" w:eastAsia="Aptos" w:hAnsi="Aptos" w:cs="Times New Roman"/>
                <w:b/>
                <w:sz w:val="20"/>
                <w:szCs w:val="20"/>
              </w:rPr>
            </w:pPr>
            <w:r w:rsidRPr="008A1028">
              <w:rPr>
                <w:rFonts w:ascii="Aptos" w:eastAsia="Aptos" w:hAnsi="Aptos" w:cs="Times New Roman"/>
                <w:b/>
                <w:sz w:val="20"/>
                <w:szCs w:val="20"/>
              </w:rPr>
              <w:t>Number of agreements</w:t>
            </w:r>
          </w:p>
        </w:tc>
        <w:tc>
          <w:tcPr>
            <w:tcW w:w="1803" w:type="dxa"/>
          </w:tcPr>
          <w:p w14:paraId="30E3D18A" w14:textId="77777777" w:rsidR="00677577" w:rsidRPr="008A1028" w:rsidRDefault="00677577" w:rsidP="008A1028">
            <w:pPr>
              <w:jc w:val="right"/>
              <w:rPr>
                <w:rFonts w:ascii="Aptos" w:eastAsia="Aptos" w:hAnsi="Aptos" w:cs="Times New Roman"/>
                <w:b/>
                <w:sz w:val="20"/>
                <w:szCs w:val="20"/>
              </w:rPr>
            </w:pPr>
            <w:r w:rsidRPr="008A1028">
              <w:rPr>
                <w:rFonts w:ascii="Aptos" w:eastAsia="Aptos" w:hAnsi="Aptos" w:cs="Times New Roman"/>
                <w:b/>
                <w:sz w:val="20"/>
                <w:szCs w:val="20"/>
              </w:rPr>
              <w:t>Employees covered</w:t>
            </w:r>
          </w:p>
        </w:tc>
        <w:tc>
          <w:tcPr>
            <w:tcW w:w="1803" w:type="dxa"/>
          </w:tcPr>
          <w:p w14:paraId="2EEA78B8" w14:textId="77777777" w:rsidR="00677577" w:rsidRPr="008A1028" w:rsidRDefault="00677577" w:rsidP="008A1028">
            <w:pPr>
              <w:jc w:val="right"/>
              <w:rPr>
                <w:rFonts w:ascii="Aptos" w:eastAsia="Aptos" w:hAnsi="Aptos" w:cs="Times New Roman"/>
                <w:b/>
                <w:sz w:val="20"/>
                <w:szCs w:val="20"/>
              </w:rPr>
            </w:pPr>
            <w:r w:rsidRPr="008A1028">
              <w:rPr>
                <w:rFonts w:ascii="Aptos" w:eastAsia="Aptos" w:hAnsi="Aptos" w:cs="Times New Roman"/>
                <w:b/>
                <w:sz w:val="20"/>
                <w:szCs w:val="20"/>
              </w:rPr>
              <w:t>Number of agreements</w:t>
            </w:r>
          </w:p>
        </w:tc>
        <w:tc>
          <w:tcPr>
            <w:tcW w:w="1804" w:type="dxa"/>
          </w:tcPr>
          <w:p w14:paraId="7425FFA9" w14:textId="77777777" w:rsidR="00677577" w:rsidRPr="008A1028" w:rsidRDefault="00677577" w:rsidP="008A1028">
            <w:pPr>
              <w:jc w:val="right"/>
              <w:rPr>
                <w:rFonts w:ascii="Aptos" w:eastAsia="Aptos" w:hAnsi="Aptos" w:cs="Times New Roman"/>
                <w:b/>
                <w:sz w:val="20"/>
                <w:szCs w:val="20"/>
              </w:rPr>
            </w:pPr>
            <w:r w:rsidRPr="008A1028">
              <w:rPr>
                <w:rFonts w:ascii="Aptos" w:eastAsia="Aptos" w:hAnsi="Aptos" w:cs="Times New Roman"/>
                <w:b/>
                <w:sz w:val="20"/>
                <w:szCs w:val="20"/>
              </w:rPr>
              <w:t>Employees covered</w:t>
            </w:r>
          </w:p>
        </w:tc>
      </w:tr>
      <w:tr w:rsidR="00677577" w:rsidRPr="00236247" w14:paraId="285FE190" w14:textId="77777777">
        <w:trPr>
          <w:trHeight w:val="340"/>
        </w:trPr>
        <w:tc>
          <w:tcPr>
            <w:tcW w:w="1803" w:type="dxa"/>
            <w:vAlign w:val="center"/>
          </w:tcPr>
          <w:p w14:paraId="2646B6AE" w14:textId="77777777" w:rsidR="00677577" w:rsidRPr="008A1028" w:rsidRDefault="00677577" w:rsidP="008A1028">
            <w:pPr>
              <w:rPr>
                <w:rFonts w:ascii="Aptos" w:eastAsia="Aptos" w:hAnsi="Aptos" w:cs="Times New Roman"/>
                <w:sz w:val="20"/>
                <w:szCs w:val="20"/>
              </w:rPr>
            </w:pPr>
            <w:r w:rsidRPr="008A1028">
              <w:rPr>
                <w:rFonts w:ascii="Aptos" w:eastAsia="Aptos" w:hAnsi="Aptos" w:cs="Times New Roman"/>
                <w:sz w:val="20"/>
                <w:szCs w:val="20"/>
              </w:rPr>
              <w:t>Sep-09</w:t>
            </w:r>
          </w:p>
        </w:tc>
        <w:tc>
          <w:tcPr>
            <w:tcW w:w="1803" w:type="dxa"/>
            <w:tcBorders>
              <w:top w:val="nil"/>
              <w:left w:val="nil"/>
              <w:bottom w:val="nil"/>
              <w:right w:val="nil"/>
            </w:tcBorders>
            <w:vAlign w:val="center"/>
          </w:tcPr>
          <w:p w14:paraId="01DAED62"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165</w:t>
            </w:r>
          </w:p>
        </w:tc>
        <w:tc>
          <w:tcPr>
            <w:tcW w:w="1803" w:type="dxa"/>
            <w:tcBorders>
              <w:top w:val="nil"/>
              <w:left w:val="nil"/>
              <w:bottom w:val="nil"/>
              <w:right w:val="nil"/>
            </w:tcBorders>
            <w:vAlign w:val="center"/>
          </w:tcPr>
          <w:p w14:paraId="46D1769C"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16,755</w:t>
            </w:r>
          </w:p>
        </w:tc>
        <w:tc>
          <w:tcPr>
            <w:tcW w:w="1803" w:type="dxa"/>
            <w:tcBorders>
              <w:top w:val="nil"/>
              <w:left w:val="nil"/>
              <w:bottom w:val="nil"/>
              <w:right w:val="nil"/>
            </w:tcBorders>
            <w:vAlign w:val="center"/>
          </w:tcPr>
          <w:p w14:paraId="6CC00661"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1</w:t>
            </w:r>
          </w:p>
        </w:tc>
        <w:tc>
          <w:tcPr>
            <w:tcW w:w="1804" w:type="dxa"/>
            <w:tcBorders>
              <w:top w:val="nil"/>
              <w:left w:val="nil"/>
              <w:bottom w:val="nil"/>
              <w:right w:val="single" w:sz="4" w:space="0" w:color="auto"/>
            </w:tcBorders>
            <w:vAlign w:val="center"/>
          </w:tcPr>
          <w:p w14:paraId="1DC1A190"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5,836</w:t>
            </w:r>
          </w:p>
        </w:tc>
      </w:tr>
      <w:tr w:rsidR="00677577" w:rsidRPr="00236247" w14:paraId="177F4E73" w14:textId="77777777">
        <w:trPr>
          <w:trHeight w:val="340"/>
        </w:trPr>
        <w:tc>
          <w:tcPr>
            <w:tcW w:w="1803" w:type="dxa"/>
            <w:vAlign w:val="center"/>
          </w:tcPr>
          <w:p w14:paraId="015D1966" w14:textId="77777777" w:rsidR="00677577" w:rsidRPr="008A1028" w:rsidRDefault="00677577" w:rsidP="008A1028">
            <w:pPr>
              <w:rPr>
                <w:rFonts w:ascii="Aptos" w:eastAsia="Aptos" w:hAnsi="Aptos" w:cs="Times New Roman"/>
                <w:sz w:val="20"/>
                <w:szCs w:val="20"/>
              </w:rPr>
            </w:pPr>
            <w:r w:rsidRPr="008A1028">
              <w:rPr>
                <w:rFonts w:ascii="Aptos" w:eastAsia="Aptos" w:hAnsi="Aptos" w:cs="Times New Roman"/>
                <w:sz w:val="20"/>
                <w:szCs w:val="20"/>
              </w:rPr>
              <w:t>Sep-10</w:t>
            </w:r>
          </w:p>
        </w:tc>
        <w:tc>
          <w:tcPr>
            <w:tcW w:w="1803" w:type="dxa"/>
            <w:tcBorders>
              <w:top w:val="nil"/>
              <w:left w:val="nil"/>
              <w:bottom w:val="nil"/>
              <w:right w:val="nil"/>
            </w:tcBorders>
            <w:vAlign w:val="center"/>
          </w:tcPr>
          <w:p w14:paraId="6BA4077D"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7,118</w:t>
            </w:r>
          </w:p>
        </w:tc>
        <w:tc>
          <w:tcPr>
            <w:tcW w:w="1803" w:type="dxa"/>
            <w:tcBorders>
              <w:top w:val="nil"/>
              <w:left w:val="nil"/>
              <w:bottom w:val="nil"/>
              <w:right w:val="nil"/>
            </w:tcBorders>
            <w:vAlign w:val="center"/>
          </w:tcPr>
          <w:p w14:paraId="0EC0316A"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969,002</w:t>
            </w:r>
          </w:p>
        </w:tc>
        <w:tc>
          <w:tcPr>
            <w:tcW w:w="1803" w:type="dxa"/>
            <w:tcBorders>
              <w:top w:val="nil"/>
              <w:left w:val="nil"/>
              <w:bottom w:val="nil"/>
              <w:right w:val="nil"/>
            </w:tcBorders>
            <w:vAlign w:val="center"/>
          </w:tcPr>
          <w:p w14:paraId="7E3456D7"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40</w:t>
            </w:r>
          </w:p>
        </w:tc>
        <w:tc>
          <w:tcPr>
            <w:tcW w:w="1804" w:type="dxa"/>
            <w:tcBorders>
              <w:top w:val="nil"/>
              <w:left w:val="nil"/>
              <w:bottom w:val="nil"/>
              <w:right w:val="single" w:sz="4" w:space="0" w:color="auto"/>
            </w:tcBorders>
            <w:vAlign w:val="center"/>
          </w:tcPr>
          <w:p w14:paraId="38F4842C"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35,818</w:t>
            </w:r>
          </w:p>
        </w:tc>
      </w:tr>
      <w:tr w:rsidR="00677577" w:rsidRPr="00236247" w14:paraId="035439AA" w14:textId="77777777">
        <w:trPr>
          <w:trHeight w:val="340"/>
        </w:trPr>
        <w:tc>
          <w:tcPr>
            <w:tcW w:w="1803" w:type="dxa"/>
            <w:vAlign w:val="center"/>
          </w:tcPr>
          <w:p w14:paraId="09F149AD" w14:textId="77777777" w:rsidR="00677577" w:rsidRPr="008A1028" w:rsidRDefault="00677577" w:rsidP="008A1028">
            <w:pPr>
              <w:rPr>
                <w:rFonts w:ascii="Aptos" w:eastAsia="Aptos" w:hAnsi="Aptos" w:cs="Times New Roman"/>
                <w:sz w:val="20"/>
                <w:szCs w:val="20"/>
              </w:rPr>
            </w:pPr>
            <w:r w:rsidRPr="008A1028">
              <w:rPr>
                <w:rFonts w:ascii="Aptos" w:eastAsia="Aptos" w:hAnsi="Aptos" w:cs="Times New Roman"/>
                <w:sz w:val="20"/>
                <w:szCs w:val="20"/>
              </w:rPr>
              <w:t>Sep-11</w:t>
            </w:r>
          </w:p>
        </w:tc>
        <w:tc>
          <w:tcPr>
            <w:tcW w:w="1803" w:type="dxa"/>
            <w:tcBorders>
              <w:top w:val="nil"/>
              <w:left w:val="nil"/>
              <w:bottom w:val="nil"/>
              <w:right w:val="nil"/>
            </w:tcBorders>
            <w:vAlign w:val="center"/>
          </w:tcPr>
          <w:p w14:paraId="08A438A9"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11,755</w:t>
            </w:r>
          </w:p>
        </w:tc>
        <w:tc>
          <w:tcPr>
            <w:tcW w:w="1803" w:type="dxa"/>
            <w:tcBorders>
              <w:top w:val="nil"/>
              <w:left w:val="nil"/>
              <w:bottom w:val="nil"/>
              <w:right w:val="nil"/>
            </w:tcBorders>
            <w:vAlign w:val="center"/>
          </w:tcPr>
          <w:p w14:paraId="1F1E5176"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1,689,953</w:t>
            </w:r>
          </w:p>
        </w:tc>
        <w:tc>
          <w:tcPr>
            <w:tcW w:w="1803" w:type="dxa"/>
            <w:tcBorders>
              <w:top w:val="nil"/>
              <w:left w:val="nil"/>
              <w:bottom w:val="nil"/>
              <w:right w:val="nil"/>
            </w:tcBorders>
            <w:vAlign w:val="center"/>
          </w:tcPr>
          <w:p w14:paraId="6927D9D5"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58</w:t>
            </w:r>
          </w:p>
        </w:tc>
        <w:tc>
          <w:tcPr>
            <w:tcW w:w="1804" w:type="dxa"/>
            <w:tcBorders>
              <w:top w:val="nil"/>
              <w:left w:val="nil"/>
              <w:bottom w:val="nil"/>
              <w:right w:val="single" w:sz="4" w:space="0" w:color="auto"/>
            </w:tcBorders>
            <w:vAlign w:val="center"/>
          </w:tcPr>
          <w:p w14:paraId="38DCA289"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49,713</w:t>
            </w:r>
          </w:p>
        </w:tc>
      </w:tr>
      <w:tr w:rsidR="00677577" w:rsidRPr="00236247" w14:paraId="1A36AE9B" w14:textId="77777777">
        <w:trPr>
          <w:trHeight w:val="340"/>
        </w:trPr>
        <w:tc>
          <w:tcPr>
            <w:tcW w:w="1803" w:type="dxa"/>
            <w:vAlign w:val="center"/>
          </w:tcPr>
          <w:p w14:paraId="5134E4B5" w14:textId="77777777" w:rsidR="00677577" w:rsidRPr="008A1028" w:rsidRDefault="00677577" w:rsidP="008A1028">
            <w:pPr>
              <w:rPr>
                <w:rFonts w:ascii="Aptos" w:eastAsia="Aptos" w:hAnsi="Aptos" w:cs="Times New Roman"/>
                <w:sz w:val="20"/>
                <w:szCs w:val="20"/>
              </w:rPr>
            </w:pPr>
            <w:r w:rsidRPr="008A1028">
              <w:rPr>
                <w:rFonts w:ascii="Aptos" w:eastAsia="Aptos" w:hAnsi="Aptos" w:cs="Times New Roman"/>
                <w:sz w:val="20"/>
                <w:szCs w:val="20"/>
              </w:rPr>
              <w:t>Sep-12</w:t>
            </w:r>
          </w:p>
        </w:tc>
        <w:tc>
          <w:tcPr>
            <w:tcW w:w="1803" w:type="dxa"/>
            <w:tcBorders>
              <w:top w:val="nil"/>
              <w:left w:val="nil"/>
              <w:bottom w:val="nil"/>
              <w:right w:val="nil"/>
            </w:tcBorders>
            <w:vAlign w:val="center"/>
          </w:tcPr>
          <w:p w14:paraId="7536C533"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17,338</w:t>
            </w:r>
          </w:p>
        </w:tc>
        <w:tc>
          <w:tcPr>
            <w:tcW w:w="1803" w:type="dxa"/>
            <w:tcBorders>
              <w:top w:val="nil"/>
              <w:left w:val="nil"/>
              <w:bottom w:val="nil"/>
              <w:right w:val="nil"/>
            </w:tcBorders>
            <w:vAlign w:val="center"/>
          </w:tcPr>
          <w:p w14:paraId="51383761"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1,976,718</w:t>
            </w:r>
          </w:p>
        </w:tc>
        <w:tc>
          <w:tcPr>
            <w:tcW w:w="1803" w:type="dxa"/>
            <w:tcBorders>
              <w:top w:val="nil"/>
              <w:left w:val="nil"/>
              <w:bottom w:val="nil"/>
              <w:right w:val="nil"/>
            </w:tcBorders>
            <w:vAlign w:val="center"/>
          </w:tcPr>
          <w:p w14:paraId="74B155D5"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82</w:t>
            </w:r>
          </w:p>
        </w:tc>
        <w:tc>
          <w:tcPr>
            <w:tcW w:w="1804" w:type="dxa"/>
            <w:tcBorders>
              <w:top w:val="nil"/>
              <w:left w:val="nil"/>
              <w:bottom w:val="nil"/>
              <w:right w:val="single" w:sz="4" w:space="0" w:color="auto"/>
            </w:tcBorders>
            <w:vAlign w:val="center"/>
          </w:tcPr>
          <w:p w14:paraId="5236C52A"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107,282</w:t>
            </w:r>
          </w:p>
        </w:tc>
      </w:tr>
      <w:tr w:rsidR="00677577" w:rsidRPr="00236247" w14:paraId="2201113E" w14:textId="77777777">
        <w:trPr>
          <w:trHeight w:val="340"/>
        </w:trPr>
        <w:tc>
          <w:tcPr>
            <w:tcW w:w="1803" w:type="dxa"/>
            <w:vAlign w:val="center"/>
          </w:tcPr>
          <w:p w14:paraId="3ED53BB0" w14:textId="77777777" w:rsidR="00677577" w:rsidRPr="008A1028" w:rsidRDefault="00677577" w:rsidP="008A1028">
            <w:pPr>
              <w:rPr>
                <w:rFonts w:ascii="Aptos" w:eastAsia="Aptos" w:hAnsi="Aptos" w:cs="Times New Roman"/>
                <w:sz w:val="20"/>
                <w:szCs w:val="20"/>
              </w:rPr>
            </w:pPr>
            <w:r w:rsidRPr="008A1028">
              <w:rPr>
                <w:rFonts w:ascii="Aptos" w:eastAsia="Aptos" w:hAnsi="Aptos" w:cs="Times New Roman"/>
                <w:sz w:val="20"/>
                <w:szCs w:val="20"/>
              </w:rPr>
              <w:t>Sep-13</w:t>
            </w:r>
          </w:p>
        </w:tc>
        <w:tc>
          <w:tcPr>
            <w:tcW w:w="1803" w:type="dxa"/>
            <w:tcBorders>
              <w:top w:val="nil"/>
              <w:left w:val="nil"/>
              <w:bottom w:val="nil"/>
              <w:right w:val="nil"/>
            </w:tcBorders>
            <w:vAlign w:val="center"/>
          </w:tcPr>
          <w:p w14:paraId="155F9E70"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19,704</w:t>
            </w:r>
          </w:p>
        </w:tc>
        <w:tc>
          <w:tcPr>
            <w:tcW w:w="1803" w:type="dxa"/>
            <w:tcBorders>
              <w:top w:val="nil"/>
              <w:left w:val="nil"/>
              <w:bottom w:val="nil"/>
              <w:right w:val="nil"/>
            </w:tcBorders>
            <w:vAlign w:val="center"/>
          </w:tcPr>
          <w:p w14:paraId="104DFDD1"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2,269,648</w:t>
            </w:r>
          </w:p>
        </w:tc>
        <w:tc>
          <w:tcPr>
            <w:tcW w:w="1803" w:type="dxa"/>
            <w:tcBorders>
              <w:top w:val="nil"/>
              <w:left w:val="nil"/>
              <w:bottom w:val="nil"/>
              <w:right w:val="nil"/>
            </w:tcBorders>
            <w:vAlign w:val="center"/>
          </w:tcPr>
          <w:p w14:paraId="1B0EE736"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79</w:t>
            </w:r>
          </w:p>
        </w:tc>
        <w:tc>
          <w:tcPr>
            <w:tcW w:w="1804" w:type="dxa"/>
            <w:tcBorders>
              <w:top w:val="nil"/>
              <w:left w:val="nil"/>
              <w:bottom w:val="nil"/>
              <w:right w:val="single" w:sz="4" w:space="0" w:color="auto"/>
            </w:tcBorders>
            <w:vAlign w:val="center"/>
          </w:tcPr>
          <w:p w14:paraId="25C8C382"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100,825</w:t>
            </w:r>
          </w:p>
        </w:tc>
      </w:tr>
      <w:tr w:rsidR="00677577" w:rsidRPr="00236247" w14:paraId="43914E7B" w14:textId="77777777">
        <w:trPr>
          <w:trHeight w:val="340"/>
        </w:trPr>
        <w:tc>
          <w:tcPr>
            <w:tcW w:w="1803" w:type="dxa"/>
            <w:vAlign w:val="center"/>
          </w:tcPr>
          <w:p w14:paraId="1DFF4826" w14:textId="77777777" w:rsidR="00677577" w:rsidRPr="008A1028" w:rsidRDefault="00677577" w:rsidP="008A1028">
            <w:pPr>
              <w:rPr>
                <w:rFonts w:ascii="Aptos" w:eastAsia="Aptos" w:hAnsi="Aptos" w:cs="Times New Roman"/>
                <w:sz w:val="20"/>
                <w:szCs w:val="20"/>
              </w:rPr>
            </w:pPr>
            <w:r w:rsidRPr="008A1028">
              <w:rPr>
                <w:rFonts w:ascii="Aptos" w:eastAsia="Aptos" w:hAnsi="Aptos" w:cs="Times New Roman"/>
                <w:sz w:val="20"/>
                <w:szCs w:val="20"/>
              </w:rPr>
              <w:t>Sep-14</w:t>
            </w:r>
          </w:p>
        </w:tc>
        <w:tc>
          <w:tcPr>
            <w:tcW w:w="1803" w:type="dxa"/>
            <w:tcBorders>
              <w:top w:val="nil"/>
              <w:left w:val="nil"/>
              <w:bottom w:val="nil"/>
              <w:right w:val="nil"/>
            </w:tcBorders>
            <w:vAlign w:val="center"/>
          </w:tcPr>
          <w:p w14:paraId="657F9E5D"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18,884</w:t>
            </w:r>
          </w:p>
        </w:tc>
        <w:tc>
          <w:tcPr>
            <w:tcW w:w="1803" w:type="dxa"/>
            <w:tcBorders>
              <w:top w:val="nil"/>
              <w:left w:val="nil"/>
              <w:bottom w:val="nil"/>
              <w:right w:val="nil"/>
            </w:tcBorders>
            <w:vAlign w:val="center"/>
          </w:tcPr>
          <w:p w14:paraId="6BEB3757"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2,197,104</w:t>
            </w:r>
          </w:p>
        </w:tc>
        <w:tc>
          <w:tcPr>
            <w:tcW w:w="1803" w:type="dxa"/>
            <w:tcBorders>
              <w:top w:val="nil"/>
              <w:left w:val="nil"/>
              <w:bottom w:val="nil"/>
              <w:right w:val="nil"/>
            </w:tcBorders>
            <w:vAlign w:val="center"/>
          </w:tcPr>
          <w:p w14:paraId="39B6F17A"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61</w:t>
            </w:r>
          </w:p>
        </w:tc>
        <w:tc>
          <w:tcPr>
            <w:tcW w:w="1804" w:type="dxa"/>
            <w:tcBorders>
              <w:top w:val="nil"/>
              <w:left w:val="nil"/>
              <w:bottom w:val="nil"/>
              <w:right w:val="single" w:sz="4" w:space="0" w:color="auto"/>
            </w:tcBorders>
            <w:vAlign w:val="center"/>
          </w:tcPr>
          <w:p w14:paraId="3A5AAC50"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112,274</w:t>
            </w:r>
          </w:p>
        </w:tc>
      </w:tr>
      <w:tr w:rsidR="00677577" w:rsidRPr="00236247" w14:paraId="209A87B2" w14:textId="77777777">
        <w:trPr>
          <w:trHeight w:val="340"/>
        </w:trPr>
        <w:tc>
          <w:tcPr>
            <w:tcW w:w="1803" w:type="dxa"/>
            <w:vAlign w:val="center"/>
          </w:tcPr>
          <w:p w14:paraId="387CA139" w14:textId="77777777" w:rsidR="00677577" w:rsidRPr="008A1028" w:rsidRDefault="00677577" w:rsidP="008A1028">
            <w:pPr>
              <w:rPr>
                <w:rFonts w:ascii="Aptos" w:eastAsia="Aptos" w:hAnsi="Aptos" w:cs="Times New Roman"/>
                <w:sz w:val="20"/>
                <w:szCs w:val="20"/>
              </w:rPr>
            </w:pPr>
            <w:r w:rsidRPr="008A1028">
              <w:rPr>
                <w:rFonts w:ascii="Aptos" w:eastAsia="Aptos" w:hAnsi="Aptos" w:cs="Times New Roman"/>
                <w:sz w:val="20"/>
                <w:szCs w:val="20"/>
              </w:rPr>
              <w:t>Sep-15</w:t>
            </w:r>
          </w:p>
        </w:tc>
        <w:tc>
          <w:tcPr>
            <w:tcW w:w="1803" w:type="dxa"/>
            <w:tcBorders>
              <w:top w:val="nil"/>
              <w:left w:val="nil"/>
              <w:bottom w:val="nil"/>
              <w:right w:val="nil"/>
            </w:tcBorders>
            <w:vAlign w:val="center"/>
          </w:tcPr>
          <w:p w14:paraId="2041C7B3"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15,075</w:t>
            </w:r>
          </w:p>
        </w:tc>
        <w:tc>
          <w:tcPr>
            <w:tcW w:w="1803" w:type="dxa"/>
            <w:tcBorders>
              <w:top w:val="nil"/>
              <w:left w:val="nil"/>
              <w:bottom w:val="nil"/>
              <w:right w:val="nil"/>
            </w:tcBorders>
            <w:vAlign w:val="center"/>
          </w:tcPr>
          <w:p w14:paraId="1696D627"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2,064,481</w:t>
            </w:r>
          </w:p>
        </w:tc>
        <w:tc>
          <w:tcPr>
            <w:tcW w:w="1803" w:type="dxa"/>
            <w:tcBorders>
              <w:top w:val="nil"/>
              <w:left w:val="nil"/>
              <w:bottom w:val="nil"/>
              <w:right w:val="nil"/>
            </w:tcBorders>
            <w:vAlign w:val="center"/>
          </w:tcPr>
          <w:p w14:paraId="33A24B85"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65</w:t>
            </w:r>
          </w:p>
        </w:tc>
        <w:tc>
          <w:tcPr>
            <w:tcW w:w="1804" w:type="dxa"/>
            <w:tcBorders>
              <w:top w:val="nil"/>
              <w:left w:val="nil"/>
              <w:bottom w:val="nil"/>
              <w:right w:val="single" w:sz="4" w:space="0" w:color="auto"/>
            </w:tcBorders>
            <w:vAlign w:val="center"/>
          </w:tcPr>
          <w:p w14:paraId="7437ED61"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108,174</w:t>
            </w:r>
          </w:p>
        </w:tc>
      </w:tr>
      <w:tr w:rsidR="00677577" w:rsidRPr="00236247" w14:paraId="5C7A43F3" w14:textId="77777777">
        <w:trPr>
          <w:trHeight w:val="340"/>
        </w:trPr>
        <w:tc>
          <w:tcPr>
            <w:tcW w:w="1803" w:type="dxa"/>
            <w:vAlign w:val="center"/>
          </w:tcPr>
          <w:p w14:paraId="6354690A" w14:textId="77777777" w:rsidR="00677577" w:rsidRPr="008A1028" w:rsidRDefault="00677577" w:rsidP="008A1028">
            <w:pPr>
              <w:rPr>
                <w:rFonts w:ascii="Aptos" w:eastAsia="Aptos" w:hAnsi="Aptos" w:cs="Times New Roman"/>
                <w:sz w:val="20"/>
                <w:szCs w:val="20"/>
              </w:rPr>
            </w:pPr>
            <w:r w:rsidRPr="008A1028">
              <w:rPr>
                <w:rFonts w:ascii="Aptos" w:eastAsia="Aptos" w:hAnsi="Aptos" w:cs="Times New Roman"/>
                <w:sz w:val="20"/>
                <w:szCs w:val="20"/>
              </w:rPr>
              <w:t>Sep-16</w:t>
            </w:r>
          </w:p>
        </w:tc>
        <w:tc>
          <w:tcPr>
            <w:tcW w:w="1803" w:type="dxa"/>
            <w:tcBorders>
              <w:top w:val="nil"/>
              <w:left w:val="nil"/>
              <w:bottom w:val="nil"/>
              <w:right w:val="nil"/>
            </w:tcBorders>
            <w:vAlign w:val="center"/>
          </w:tcPr>
          <w:p w14:paraId="384E995F"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14,162</w:t>
            </w:r>
          </w:p>
        </w:tc>
        <w:tc>
          <w:tcPr>
            <w:tcW w:w="1803" w:type="dxa"/>
            <w:tcBorders>
              <w:top w:val="nil"/>
              <w:left w:val="nil"/>
              <w:bottom w:val="nil"/>
              <w:right w:val="nil"/>
            </w:tcBorders>
            <w:vAlign w:val="center"/>
          </w:tcPr>
          <w:p w14:paraId="3A5EAB34"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1,913,136</w:t>
            </w:r>
          </w:p>
        </w:tc>
        <w:tc>
          <w:tcPr>
            <w:tcW w:w="1803" w:type="dxa"/>
            <w:tcBorders>
              <w:top w:val="nil"/>
              <w:left w:val="nil"/>
              <w:bottom w:val="nil"/>
              <w:right w:val="nil"/>
            </w:tcBorders>
            <w:vAlign w:val="center"/>
          </w:tcPr>
          <w:p w14:paraId="5CDAADA0"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65</w:t>
            </w:r>
          </w:p>
        </w:tc>
        <w:tc>
          <w:tcPr>
            <w:tcW w:w="1804" w:type="dxa"/>
            <w:tcBorders>
              <w:top w:val="nil"/>
              <w:left w:val="nil"/>
              <w:bottom w:val="nil"/>
              <w:right w:val="single" w:sz="4" w:space="0" w:color="auto"/>
            </w:tcBorders>
            <w:vAlign w:val="center"/>
          </w:tcPr>
          <w:p w14:paraId="4C43B4C2"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76,316</w:t>
            </w:r>
          </w:p>
        </w:tc>
      </w:tr>
      <w:tr w:rsidR="00677577" w:rsidRPr="00236247" w14:paraId="06BBD6AD" w14:textId="77777777">
        <w:trPr>
          <w:trHeight w:val="340"/>
        </w:trPr>
        <w:tc>
          <w:tcPr>
            <w:tcW w:w="1803" w:type="dxa"/>
            <w:vAlign w:val="center"/>
          </w:tcPr>
          <w:p w14:paraId="598DBA6F" w14:textId="77777777" w:rsidR="00677577" w:rsidRPr="008A1028" w:rsidRDefault="00677577" w:rsidP="008A1028">
            <w:pPr>
              <w:rPr>
                <w:rFonts w:ascii="Aptos" w:eastAsia="Aptos" w:hAnsi="Aptos" w:cs="Times New Roman"/>
                <w:sz w:val="20"/>
                <w:szCs w:val="20"/>
              </w:rPr>
            </w:pPr>
            <w:r w:rsidRPr="008A1028">
              <w:rPr>
                <w:rFonts w:ascii="Aptos" w:eastAsia="Aptos" w:hAnsi="Aptos" w:cs="Times New Roman"/>
                <w:sz w:val="20"/>
                <w:szCs w:val="20"/>
              </w:rPr>
              <w:t>Sep-17</w:t>
            </w:r>
          </w:p>
        </w:tc>
        <w:tc>
          <w:tcPr>
            <w:tcW w:w="1803" w:type="dxa"/>
            <w:tcBorders>
              <w:top w:val="nil"/>
              <w:left w:val="nil"/>
              <w:bottom w:val="nil"/>
              <w:right w:val="nil"/>
            </w:tcBorders>
            <w:vAlign w:val="center"/>
          </w:tcPr>
          <w:p w14:paraId="2D362983"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12,855</w:t>
            </w:r>
          </w:p>
        </w:tc>
        <w:tc>
          <w:tcPr>
            <w:tcW w:w="1803" w:type="dxa"/>
            <w:tcBorders>
              <w:top w:val="nil"/>
              <w:left w:val="nil"/>
              <w:bottom w:val="nil"/>
              <w:right w:val="nil"/>
            </w:tcBorders>
            <w:vAlign w:val="center"/>
          </w:tcPr>
          <w:p w14:paraId="11E363BB"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1,710,392</w:t>
            </w:r>
          </w:p>
        </w:tc>
        <w:tc>
          <w:tcPr>
            <w:tcW w:w="1803" w:type="dxa"/>
            <w:tcBorders>
              <w:top w:val="nil"/>
              <w:left w:val="nil"/>
              <w:bottom w:val="nil"/>
              <w:right w:val="nil"/>
            </w:tcBorders>
            <w:vAlign w:val="center"/>
          </w:tcPr>
          <w:p w14:paraId="5B75A7F1"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57</w:t>
            </w:r>
          </w:p>
        </w:tc>
        <w:tc>
          <w:tcPr>
            <w:tcW w:w="1804" w:type="dxa"/>
            <w:tcBorders>
              <w:top w:val="nil"/>
              <w:left w:val="nil"/>
              <w:bottom w:val="nil"/>
              <w:right w:val="single" w:sz="4" w:space="0" w:color="auto"/>
            </w:tcBorders>
            <w:vAlign w:val="center"/>
          </w:tcPr>
          <w:p w14:paraId="4BB8AC6E"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50,442</w:t>
            </w:r>
          </w:p>
        </w:tc>
      </w:tr>
      <w:tr w:rsidR="00677577" w:rsidRPr="00236247" w14:paraId="10FF7FB7" w14:textId="77777777">
        <w:trPr>
          <w:trHeight w:val="340"/>
        </w:trPr>
        <w:tc>
          <w:tcPr>
            <w:tcW w:w="1803" w:type="dxa"/>
            <w:vAlign w:val="center"/>
          </w:tcPr>
          <w:p w14:paraId="6F274EBC" w14:textId="77777777" w:rsidR="00677577" w:rsidRPr="008A1028" w:rsidRDefault="00677577" w:rsidP="008A1028">
            <w:pPr>
              <w:rPr>
                <w:rFonts w:ascii="Aptos" w:eastAsia="Aptos" w:hAnsi="Aptos" w:cs="Times New Roman"/>
                <w:sz w:val="20"/>
                <w:szCs w:val="20"/>
              </w:rPr>
            </w:pPr>
            <w:r w:rsidRPr="008A1028">
              <w:rPr>
                <w:rFonts w:ascii="Aptos" w:eastAsia="Aptos" w:hAnsi="Aptos" w:cs="Times New Roman"/>
                <w:sz w:val="20"/>
                <w:szCs w:val="20"/>
              </w:rPr>
              <w:t>Sep-18</w:t>
            </w:r>
          </w:p>
        </w:tc>
        <w:tc>
          <w:tcPr>
            <w:tcW w:w="1803" w:type="dxa"/>
            <w:tcBorders>
              <w:top w:val="nil"/>
              <w:left w:val="nil"/>
              <w:bottom w:val="nil"/>
              <w:right w:val="nil"/>
            </w:tcBorders>
            <w:vAlign w:val="center"/>
          </w:tcPr>
          <w:p w14:paraId="520482B9"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10,944</w:t>
            </w:r>
          </w:p>
        </w:tc>
        <w:tc>
          <w:tcPr>
            <w:tcW w:w="1803" w:type="dxa"/>
            <w:tcBorders>
              <w:top w:val="nil"/>
              <w:left w:val="nil"/>
              <w:bottom w:val="nil"/>
              <w:right w:val="nil"/>
            </w:tcBorders>
            <w:vAlign w:val="center"/>
          </w:tcPr>
          <w:p w14:paraId="1217D9F0"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1,849,443</w:t>
            </w:r>
          </w:p>
        </w:tc>
        <w:tc>
          <w:tcPr>
            <w:tcW w:w="1803" w:type="dxa"/>
            <w:tcBorders>
              <w:top w:val="nil"/>
              <w:left w:val="nil"/>
              <w:bottom w:val="nil"/>
              <w:right w:val="nil"/>
            </w:tcBorders>
            <w:vAlign w:val="center"/>
          </w:tcPr>
          <w:p w14:paraId="381080CA"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57</w:t>
            </w:r>
          </w:p>
        </w:tc>
        <w:tc>
          <w:tcPr>
            <w:tcW w:w="1804" w:type="dxa"/>
            <w:tcBorders>
              <w:top w:val="nil"/>
              <w:left w:val="nil"/>
              <w:bottom w:val="nil"/>
              <w:right w:val="single" w:sz="4" w:space="0" w:color="auto"/>
            </w:tcBorders>
            <w:vAlign w:val="center"/>
          </w:tcPr>
          <w:p w14:paraId="6C298C7D"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49,248</w:t>
            </w:r>
          </w:p>
        </w:tc>
      </w:tr>
      <w:tr w:rsidR="00677577" w:rsidRPr="00236247" w14:paraId="01ADF54F" w14:textId="77777777">
        <w:trPr>
          <w:trHeight w:val="340"/>
        </w:trPr>
        <w:tc>
          <w:tcPr>
            <w:tcW w:w="1803" w:type="dxa"/>
            <w:vAlign w:val="center"/>
          </w:tcPr>
          <w:p w14:paraId="34D33CF7" w14:textId="77777777" w:rsidR="00677577" w:rsidRPr="008A1028" w:rsidRDefault="00677577" w:rsidP="008A1028">
            <w:pPr>
              <w:rPr>
                <w:rFonts w:ascii="Aptos" w:eastAsia="Aptos" w:hAnsi="Aptos" w:cs="Times New Roman"/>
                <w:sz w:val="20"/>
                <w:szCs w:val="20"/>
              </w:rPr>
            </w:pPr>
            <w:r w:rsidRPr="008A1028">
              <w:rPr>
                <w:rFonts w:ascii="Aptos" w:eastAsia="Aptos" w:hAnsi="Aptos" w:cs="Times New Roman"/>
                <w:sz w:val="20"/>
                <w:szCs w:val="20"/>
              </w:rPr>
              <w:t>Sep-19</w:t>
            </w:r>
          </w:p>
        </w:tc>
        <w:tc>
          <w:tcPr>
            <w:tcW w:w="1803" w:type="dxa"/>
            <w:tcBorders>
              <w:top w:val="nil"/>
              <w:left w:val="nil"/>
              <w:bottom w:val="nil"/>
              <w:right w:val="nil"/>
            </w:tcBorders>
            <w:vAlign w:val="center"/>
          </w:tcPr>
          <w:p w14:paraId="26D68D06"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10,815</w:t>
            </w:r>
          </w:p>
        </w:tc>
        <w:tc>
          <w:tcPr>
            <w:tcW w:w="1803" w:type="dxa"/>
            <w:tcBorders>
              <w:top w:val="nil"/>
              <w:left w:val="nil"/>
              <w:bottom w:val="nil"/>
              <w:right w:val="nil"/>
            </w:tcBorders>
            <w:vAlign w:val="center"/>
          </w:tcPr>
          <w:p w14:paraId="0FECE8FD"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2,082,241</w:t>
            </w:r>
          </w:p>
        </w:tc>
        <w:tc>
          <w:tcPr>
            <w:tcW w:w="1803" w:type="dxa"/>
            <w:tcBorders>
              <w:top w:val="nil"/>
              <w:left w:val="nil"/>
              <w:bottom w:val="nil"/>
              <w:right w:val="nil"/>
            </w:tcBorders>
            <w:vAlign w:val="center"/>
          </w:tcPr>
          <w:p w14:paraId="0EB2E22B"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69</w:t>
            </w:r>
          </w:p>
        </w:tc>
        <w:tc>
          <w:tcPr>
            <w:tcW w:w="1804" w:type="dxa"/>
            <w:tcBorders>
              <w:top w:val="nil"/>
              <w:left w:val="nil"/>
              <w:bottom w:val="nil"/>
              <w:right w:val="single" w:sz="4" w:space="0" w:color="auto"/>
            </w:tcBorders>
            <w:vAlign w:val="center"/>
          </w:tcPr>
          <w:p w14:paraId="7F9B3E32"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89,639</w:t>
            </w:r>
          </w:p>
        </w:tc>
      </w:tr>
      <w:tr w:rsidR="00677577" w:rsidRPr="00236247" w14:paraId="0598EDB2" w14:textId="77777777">
        <w:trPr>
          <w:trHeight w:val="340"/>
        </w:trPr>
        <w:tc>
          <w:tcPr>
            <w:tcW w:w="1803" w:type="dxa"/>
            <w:vAlign w:val="center"/>
          </w:tcPr>
          <w:p w14:paraId="09A895F8" w14:textId="77777777" w:rsidR="00677577" w:rsidRPr="008A1028" w:rsidRDefault="00677577" w:rsidP="008A1028">
            <w:pPr>
              <w:rPr>
                <w:rFonts w:ascii="Aptos" w:eastAsia="Aptos" w:hAnsi="Aptos" w:cs="Times New Roman"/>
                <w:sz w:val="20"/>
                <w:szCs w:val="20"/>
              </w:rPr>
            </w:pPr>
            <w:r w:rsidRPr="008A1028">
              <w:rPr>
                <w:rFonts w:ascii="Aptos" w:eastAsia="Aptos" w:hAnsi="Aptos" w:cs="Times New Roman"/>
                <w:sz w:val="20"/>
                <w:szCs w:val="20"/>
              </w:rPr>
              <w:t>Sep-20</w:t>
            </w:r>
          </w:p>
        </w:tc>
        <w:tc>
          <w:tcPr>
            <w:tcW w:w="1803" w:type="dxa"/>
            <w:tcBorders>
              <w:top w:val="nil"/>
              <w:left w:val="nil"/>
              <w:bottom w:val="nil"/>
              <w:right w:val="nil"/>
            </w:tcBorders>
            <w:vAlign w:val="center"/>
          </w:tcPr>
          <w:p w14:paraId="238DFC67"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9,771</w:t>
            </w:r>
          </w:p>
        </w:tc>
        <w:tc>
          <w:tcPr>
            <w:tcW w:w="1803" w:type="dxa"/>
            <w:tcBorders>
              <w:top w:val="nil"/>
              <w:left w:val="nil"/>
              <w:bottom w:val="nil"/>
              <w:right w:val="nil"/>
            </w:tcBorders>
            <w:vAlign w:val="center"/>
          </w:tcPr>
          <w:p w14:paraId="1918B375"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1,811,580</w:t>
            </w:r>
          </w:p>
        </w:tc>
        <w:tc>
          <w:tcPr>
            <w:tcW w:w="1803" w:type="dxa"/>
            <w:tcBorders>
              <w:top w:val="nil"/>
              <w:left w:val="nil"/>
              <w:bottom w:val="nil"/>
              <w:right w:val="nil"/>
            </w:tcBorders>
            <w:vAlign w:val="center"/>
          </w:tcPr>
          <w:p w14:paraId="63A95500"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56</w:t>
            </w:r>
          </w:p>
        </w:tc>
        <w:tc>
          <w:tcPr>
            <w:tcW w:w="1804" w:type="dxa"/>
            <w:tcBorders>
              <w:top w:val="nil"/>
              <w:left w:val="nil"/>
              <w:bottom w:val="nil"/>
              <w:right w:val="single" w:sz="4" w:space="0" w:color="auto"/>
            </w:tcBorders>
            <w:vAlign w:val="center"/>
          </w:tcPr>
          <w:p w14:paraId="722EB9C0"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83,524</w:t>
            </w:r>
          </w:p>
        </w:tc>
      </w:tr>
      <w:tr w:rsidR="00677577" w:rsidRPr="00236247" w14:paraId="3A27DE70" w14:textId="77777777">
        <w:trPr>
          <w:trHeight w:val="340"/>
        </w:trPr>
        <w:tc>
          <w:tcPr>
            <w:tcW w:w="1803" w:type="dxa"/>
            <w:vAlign w:val="center"/>
          </w:tcPr>
          <w:p w14:paraId="56E36B5A" w14:textId="77777777" w:rsidR="00677577" w:rsidRPr="008A1028" w:rsidRDefault="00677577" w:rsidP="008A1028">
            <w:pPr>
              <w:rPr>
                <w:rFonts w:ascii="Aptos" w:eastAsia="Aptos" w:hAnsi="Aptos" w:cs="Times New Roman"/>
                <w:sz w:val="20"/>
                <w:szCs w:val="20"/>
              </w:rPr>
            </w:pPr>
            <w:r w:rsidRPr="008A1028">
              <w:rPr>
                <w:rFonts w:ascii="Aptos" w:eastAsia="Aptos" w:hAnsi="Aptos" w:cs="Times New Roman"/>
                <w:sz w:val="20"/>
                <w:szCs w:val="20"/>
              </w:rPr>
              <w:t>Sep-21</w:t>
            </w:r>
          </w:p>
        </w:tc>
        <w:tc>
          <w:tcPr>
            <w:tcW w:w="1803" w:type="dxa"/>
            <w:tcBorders>
              <w:top w:val="nil"/>
              <w:left w:val="nil"/>
              <w:bottom w:val="nil"/>
              <w:right w:val="nil"/>
            </w:tcBorders>
            <w:vAlign w:val="center"/>
          </w:tcPr>
          <w:p w14:paraId="6D9A438B"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10,080</w:t>
            </w:r>
          </w:p>
        </w:tc>
        <w:tc>
          <w:tcPr>
            <w:tcW w:w="1803" w:type="dxa"/>
            <w:tcBorders>
              <w:top w:val="nil"/>
              <w:left w:val="nil"/>
              <w:bottom w:val="nil"/>
              <w:right w:val="nil"/>
            </w:tcBorders>
            <w:vAlign w:val="center"/>
          </w:tcPr>
          <w:p w14:paraId="521E2242"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1,620,224</w:t>
            </w:r>
          </w:p>
        </w:tc>
        <w:tc>
          <w:tcPr>
            <w:tcW w:w="1803" w:type="dxa"/>
            <w:tcBorders>
              <w:top w:val="nil"/>
              <w:left w:val="nil"/>
              <w:bottom w:val="nil"/>
              <w:right w:val="nil"/>
            </w:tcBorders>
            <w:vAlign w:val="center"/>
          </w:tcPr>
          <w:p w14:paraId="69151411"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41</w:t>
            </w:r>
          </w:p>
        </w:tc>
        <w:tc>
          <w:tcPr>
            <w:tcW w:w="1804" w:type="dxa"/>
            <w:tcBorders>
              <w:top w:val="nil"/>
              <w:left w:val="nil"/>
              <w:bottom w:val="nil"/>
              <w:right w:val="single" w:sz="4" w:space="0" w:color="auto"/>
            </w:tcBorders>
            <w:vAlign w:val="center"/>
          </w:tcPr>
          <w:p w14:paraId="68AFC510"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27,696</w:t>
            </w:r>
          </w:p>
        </w:tc>
      </w:tr>
      <w:tr w:rsidR="00677577" w:rsidRPr="00236247" w14:paraId="24EB3520" w14:textId="77777777">
        <w:trPr>
          <w:trHeight w:val="340"/>
        </w:trPr>
        <w:tc>
          <w:tcPr>
            <w:tcW w:w="1803" w:type="dxa"/>
            <w:vAlign w:val="center"/>
          </w:tcPr>
          <w:p w14:paraId="268D508C" w14:textId="77777777" w:rsidR="00677577" w:rsidRPr="008A1028" w:rsidRDefault="00677577" w:rsidP="008A1028">
            <w:pPr>
              <w:rPr>
                <w:rFonts w:ascii="Aptos" w:eastAsia="Aptos" w:hAnsi="Aptos" w:cs="Times New Roman"/>
                <w:sz w:val="20"/>
                <w:szCs w:val="20"/>
              </w:rPr>
            </w:pPr>
            <w:r w:rsidRPr="008A1028">
              <w:rPr>
                <w:rFonts w:ascii="Aptos" w:eastAsia="Aptos" w:hAnsi="Aptos" w:cs="Times New Roman"/>
                <w:sz w:val="20"/>
                <w:szCs w:val="20"/>
              </w:rPr>
              <w:t>Sep-22</w:t>
            </w:r>
          </w:p>
        </w:tc>
        <w:tc>
          <w:tcPr>
            <w:tcW w:w="1803" w:type="dxa"/>
            <w:tcBorders>
              <w:top w:val="nil"/>
              <w:left w:val="nil"/>
              <w:bottom w:val="nil"/>
              <w:right w:val="nil"/>
            </w:tcBorders>
            <w:vAlign w:val="center"/>
          </w:tcPr>
          <w:p w14:paraId="1657C6E1"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10,919</w:t>
            </w:r>
          </w:p>
        </w:tc>
        <w:tc>
          <w:tcPr>
            <w:tcW w:w="1803" w:type="dxa"/>
            <w:tcBorders>
              <w:top w:val="nil"/>
              <w:left w:val="nil"/>
              <w:bottom w:val="nil"/>
              <w:right w:val="nil"/>
            </w:tcBorders>
            <w:vAlign w:val="center"/>
          </w:tcPr>
          <w:p w14:paraId="40756C2C"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1,673,274</w:t>
            </w:r>
          </w:p>
        </w:tc>
        <w:tc>
          <w:tcPr>
            <w:tcW w:w="1803" w:type="dxa"/>
            <w:tcBorders>
              <w:top w:val="nil"/>
              <w:left w:val="nil"/>
              <w:bottom w:val="nil"/>
              <w:right w:val="nil"/>
            </w:tcBorders>
            <w:vAlign w:val="center"/>
          </w:tcPr>
          <w:p w14:paraId="73C3A3EE"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50</w:t>
            </w:r>
          </w:p>
        </w:tc>
        <w:tc>
          <w:tcPr>
            <w:tcW w:w="1804" w:type="dxa"/>
            <w:tcBorders>
              <w:top w:val="nil"/>
              <w:left w:val="nil"/>
              <w:bottom w:val="nil"/>
              <w:right w:val="single" w:sz="4" w:space="0" w:color="auto"/>
            </w:tcBorders>
            <w:vAlign w:val="center"/>
          </w:tcPr>
          <w:p w14:paraId="3374DA65" w14:textId="77777777" w:rsidR="00677577" w:rsidRPr="008A1028" w:rsidRDefault="00677577" w:rsidP="008A1028">
            <w:pPr>
              <w:jc w:val="right"/>
              <w:rPr>
                <w:rFonts w:ascii="Aptos" w:eastAsia="Aptos" w:hAnsi="Aptos" w:cs="Times New Roman"/>
                <w:sz w:val="20"/>
                <w:szCs w:val="20"/>
              </w:rPr>
            </w:pPr>
            <w:r w:rsidRPr="008A1028">
              <w:rPr>
                <w:rFonts w:ascii="Aptos" w:eastAsia="Aptos" w:hAnsi="Aptos" w:cs="Times New Roman"/>
                <w:color w:val="000000"/>
                <w:sz w:val="20"/>
                <w:szCs w:val="20"/>
              </w:rPr>
              <w:t>50,780</w:t>
            </w:r>
          </w:p>
        </w:tc>
      </w:tr>
      <w:tr w:rsidR="00677577" w:rsidRPr="00236247" w14:paraId="3BAF7153" w14:textId="77777777">
        <w:trPr>
          <w:trHeight w:val="340"/>
        </w:trPr>
        <w:tc>
          <w:tcPr>
            <w:tcW w:w="1803" w:type="dxa"/>
            <w:vAlign w:val="center"/>
          </w:tcPr>
          <w:p w14:paraId="6E61DDB2" w14:textId="77777777" w:rsidR="00677577" w:rsidRPr="008A1028" w:rsidRDefault="00677577" w:rsidP="00BA35FD">
            <w:pPr>
              <w:rPr>
                <w:rFonts w:ascii="Aptos" w:eastAsia="Aptos" w:hAnsi="Aptos" w:cs="Times New Roman"/>
                <w:sz w:val="20"/>
                <w:szCs w:val="20"/>
              </w:rPr>
            </w:pPr>
            <w:r w:rsidRPr="008A1028">
              <w:rPr>
                <w:rFonts w:ascii="Aptos" w:eastAsia="Aptos" w:hAnsi="Aptos" w:cs="Times New Roman"/>
                <w:sz w:val="20"/>
                <w:szCs w:val="20"/>
              </w:rPr>
              <w:t>Sep-23</w:t>
            </w:r>
          </w:p>
        </w:tc>
        <w:tc>
          <w:tcPr>
            <w:tcW w:w="1803" w:type="dxa"/>
            <w:tcBorders>
              <w:top w:val="nil"/>
              <w:left w:val="nil"/>
              <w:bottom w:val="nil"/>
              <w:right w:val="nil"/>
            </w:tcBorders>
            <w:vAlign w:val="center"/>
          </w:tcPr>
          <w:p w14:paraId="3B82E409" w14:textId="77777777" w:rsidR="00677577" w:rsidRPr="008A1028" w:rsidRDefault="00677577" w:rsidP="00BA35FD">
            <w:pPr>
              <w:jc w:val="right"/>
              <w:rPr>
                <w:rFonts w:ascii="Aptos" w:eastAsia="Aptos" w:hAnsi="Aptos" w:cs="Times New Roman"/>
                <w:sz w:val="20"/>
                <w:szCs w:val="20"/>
              </w:rPr>
            </w:pPr>
            <w:r w:rsidRPr="008A1028">
              <w:rPr>
                <w:rFonts w:ascii="Aptos" w:eastAsia="Aptos" w:hAnsi="Aptos" w:cs="Times New Roman"/>
                <w:color w:val="000000"/>
                <w:sz w:val="20"/>
                <w:szCs w:val="20"/>
              </w:rPr>
              <w:t>9,758</w:t>
            </w:r>
          </w:p>
        </w:tc>
        <w:tc>
          <w:tcPr>
            <w:tcW w:w="1803" w:type="dxa"/>
            <w:tcBorders>
              <w:top w:val="nil"/>
              <w:left w:val="nil"/>
              <w:bottom w:val="nil"/>
              <w:right w:val="nil"/>
            </w:tcBorders>
            <w:vAlign w:val="center"/>
          </w:tcPr>
          <w:p w14:paraId="2772F62D" w14:textId="77777777" w:rsidR="00677577" w:rsidRPr="008A1028" w:rsidRDefault="00677577" w:rsidP="00BA35FD">
            <w:pPr>
              <w:jc w:val="right"/>
              <w:rPr>
                <w:rFonts w:ascii="Aptos" w:eastAsia="Aptos" w:hAnsi="Aptos" w:cs="Times New Roman"/>
                <w:sz w:val="20"/>
                <w:szCs w:val="20"/>
              </w:rPr>
            </w:pPr>
            <w:r w:rsidRPr="008A1028">
              <w:rPr>
                <w:rFonts w:ascii="Aptos" w:eastAsia="Aptos" w:hAnsi="Aptos" w:cs="Times New Roman"/>
                <w:color w:val="000000"/>
                <w:sz w:val="20"/>
                <w:szCs w:val="20"/>
              </w:rPr>
              <w:t>1,729,536</w:t>
            </w:r>
          </w:p>
        </w:tc>
        <w:tc>
          <w:tcPr>
            <w:tcW w:w="1803" w:type="dxa"/>
            <w:tcBorders>
              <w:top w:val="nil"/>
              <w:left w:val="nil"/>
              <w:bottom w:val="nil"/>
              <w:right w:val="nil"/>
            </w:tcBorders>
            <w:vAlign w:val="center"/>
          </w:tcPr>
          <w:p w14:paraId="005AEC13" w14:textId="77777777" w:rsidR="00677577" w:rsidRPr="008A1028" w:rsidRDefault="00677577" w:rsidP="00BA35FD">
            <w:pPr>
              <w:jc w:val="right"/>
              <w:rPr>
                <w:rFonts w:ascii="Aptos" w:eastAsia="Aptos" w:hAnsi="Aptos" w:cs="Times New Roman"/>
                <w:sz w:val="20"/>
                <w:szCs w:val="20"/>
              </w:rPr>
            </w:pPr>
            <w:r w:rsidRPr="008A1028">
              <w:rPr>
                <w:rFonts w:ascii="Aptos" w:eastAsia="Aptos" w:hAnsi="Aptos" w:cs="Times New Roman"/>
                <w:color w:val="000000"/>
                <w:sz w:val="20"/>
                <w:szCs w:val="20"/>
              </w:rPr>
              <w:t>46</w:t>
            </w:r>
          </w:p>
        </w:tc>
        <w:tc>
          <w:tcPr>
            <w:tcW w:w="1804" w:type="dxa"/>
            <w:tcBorders>
              <w:top w:val="nil"/>
              <w:left w:val="nil"/>
              <w:bottom w:val="nil"/>
              <w:right w:val="single" w:sz="4" w:space="0" w:color="auto"/>
            </w:tcBorders>
            <w:vAlign w:val="center"/>
          </w:tcPr>
          <w:p w14:paraId="3B1F5292" w14:textId="77777777" w:rsidR="00677577" w:rsidRPr="008A1028" w:rsidRDefault="00677577" w:rsidP="00BA35FD">
            <w:pPr>
              <w:jc w:val="right"/>
              <w:rPr>
                <w:rFonts w:ascii="Aptos" w:eastAsia="Aptos" w:hAnsi="Aptos" w:cs="Times New Roman"/>
                <w:sz w:val="20"/>
                <w:szCs w:val="20"/>
              </w:rPr>
            </w:pPr>
            <w:r w:rsidRPr="008A1028">
              <w:rPr>
                <w:rFonts w:ascii="Aptos" w:eastAsia="Aptos" w:hAnsi="Aptos" w:cs="Times New Roman"/>
                <w:color w:val="000000"/>
                <w:sz w:val="20"/>
                <w:szCs w:val="20"/>
              </w:rPr>
              <w:t>76,005</w:t>
            </w:r>
          </w:p>
        </w:tc>
      </w:tr>
      <w:tr w:rsidR="00677577" w:rsidRPr="00236247" w14:paraId="415D17F1" w14:textId="77777777">
        <w:trPr>
          <w:trHeight w:val="340"/>
        </w:trPr>
        <w:tc>
          <w:tcPr>
            <w:tcW w:w="1803" w:type="dxa"/>
            <w:tcBorders>
              <w:bottom w:val="single" w:sz="4" w:space="0" w:color="auto"/>
            </w:tcBorders>
            <w:vAlign w:val="center"/>
          </w:tcPr>
          <w:p w14:paraId="549B4D8D" w14:textId="77777777" w:rsidR="00677577" w:rsidRPr="00BA35FD" w:rsidRDefault="00677577" w:rsidP="00BA35FD">
            <w:pPr>
              <w:rPr>
                <w:rFonts w:ascii="Aptos" w:eastAsia="Aptos" w:hAnsi="Aptos" w:cs="Times New Roman"/>
                <w:sz w:val="20"/>
                <w:szCs w:val="20"/>
              </w:rPr>
            </w:pPr>
            <w:r w:rsidRPr="00BA35FD">
              <w:rPr>
                <w:rFonts w:ascii="Aptos" w:eastAsia="Aptos" w:hAnsi="Aptos" w:cs="Times New Roman"/>
                <w:sz w:val="20"/>
                <w:szCs w:val="20"/>
              </w:rPr>
              <w:t>Sep-24</w:t>
            </w:r>
          </w:p>
        </w:tc>
        <w:tc>
          <w:tcPr>
            <w:tcW w:w="1803" w:type="dxa"/>
            <w:tcBorders>
              <w:top w:val="nil"/>
              <w:left w:val="nil"/>
              <w:bottom w:val="single" w:sz="4" w:space="0" w:color="auto"/>
              <w:right w:val="nil"/>
            </w:tcBorders>
            <w:vAlign w:val="center"/>
          </w:tcPr>
          <w:p w14:paraId="64FAF03D" w14:textId="77777777" w:rsidR="00677577" w:rsidRPr="00BA35FD" w:rsidRDefault="00677577" w:rsidP="00BA35FD">
            <w:pPr>
              <w:jc w:val="right"/>
              <w:rPr>
                <w:rFonts w:ascii="Aptos" w:eastAsia="Aptos" w:hAnsi="Aptos" w:cs="Times New Roman"/>
                <w:sz w:val="20"/>
                <w:szCs w:val="20"/>
              </w:rPr>
            </w:pPr>
            <w:r w:rsidRPr="00BA35FD">
              <w:rPr>
                <w:rFonts w:ascii="Aptos" w:eastAsia="Aptos" w:hAnsi="Aptos" w:cs="Times New Roman"/>
                <w:color w:val="000000"/>
                <w:sz w:val="20"/>
                <w:szCs w:val="20"/>
              </w:rPr>
              <w:t>10,023</w:t>
            </w:r>
          </w:p>
        </w:tc>
        <w:tc>
          <w:tcPr>
            <w:tcW w:w="1803" w:type="dxa"/>
            <w:tcBorders>
              <w:top w:val="nil"/>
              <w:left w:val="nil"/>
              <w:bottom w:val="single" w:sz="4" w:space="0" w:color="auto"/>
              <w:right w:val="nil"/>
            </w:tcBorders>
            <w:vAlign w:val="center"/>
          </w:tcPr>
          <w:p w14:paraId="09DF4215" w14:textId="77777777" w:rsidR="00677577" w:rsidRPr="00BA35FD" w:rsidRDefault="00677577" w:rsidP="00BA35FD">
            <w:pPr>
              <w:jc w:val="right"/>
              <w:rPr>
                <w:rFonts w:ascii="Aptos" w:eastAsia="Aptos" w:hAnsi="Aptos" w:cs="Times New Roman"/>
                <w:sz w:val="20"/>
                <w:szCs w:val="20"/>
              </w:rPr>
            </w:pPr>
            <w:r w:rsidRPr="00BA35FD">
              <w:rPr>
                <w:rFonts w:ascii="Aptos" w:eastAsia="Aptos" w:hAnsi="Aptos" w:cs="Times New Roman"/>
                <w:color w:val="000000"/>
                <w:sz w:val="20"/>
                <w:szCs w:val="20"/>
              </w:rPr>
              <w:t>2,087,896</w:t>
            </w:r>
          </w:p>
        </w:tc>
        <w:tc>
          <w:tcPr>
            <w:tcW w:w="1803" w:type="dxa"/>
            <w:tcBorders>
              <w:top w:val="nil"/>
              <w:left w:val="nil"/>
              <w:bottom w:val="single" w:sz="4" w:space="0" w:color="auto"/>
              <w:right w:val="nil"/>
            </w:tcBorders>
            <w:vAlign w:val="center"/>
          </w:tcPr>
          <w:p w14:paraId="54F6E503" w14:textId="77777777" w:rsidR="00677577" w:rsidRPr="00BA35FD" w:rsidRDefault="00677577" w:rsidP="00BA35FD">
            <w:pPr>
              <w:jc w:val="right"/>
              <w:rPr>
                <w:rFonts w:ascii="Aptos" w:eastAsia="Aptos" w:hAnsi="Aptos" w:cs="Times New Roman"/>
                <w:sz w:val="20"/>
                <w:szCs w:val="20"/>
              </w:rPr>
            </w:pPr>
            <w:r w:rsidRPr="00BA35FD">
              <w:rPr>
                <w:rFonts w:ascii="Aptos" w:eastAsia="Aptos" w:hAnsi="Aptos" w:cs="Times New Roman"/>
                <w:color w:val="000000"/>
                <w:sz w:val="20"/>
                <w:szCs w:val="20"/>
              </w:rPr>
              <w:t>56</w:t>
            </w:r>
          </w:p>
        </w:tc>
        <w:tc>
          <w:tcPr>
            <w:tcW w:w="1804" w:type="dxa"/>
            <w:tcBorders>
              <w:top w:val="nil"/>
              <w:left w:val="nil"/>
              <w:bottom w:val="single" w:sz="4" w:space="0" w:color="auto"/>
              <w:right w:val="single" w:sz="4" w:space="0" w:color="auto"/>
            </w:tcBorders>
            <w:vAlign w:val="center"/>
          </w:tcPr>
          <w:p w14:paraId="1EBC8593" w14:textId="77777777" w:rsidR="00677577" w:rsidRPr="00BA35FD" w:rsidRDefault="00677577" w:rsidP="00BA35FD">
            <w:pPr>
              <w:jc w:val="right"/>
              <w:rPr>
                <w:rFonts w:ascii="Aptos" w:eastAsia="Aptos" w:hAnsi="Aptos" w:cs="Times New Roman"/>
                <w:sz w:val="20"/>
                <w:szCs w:val="20"/>
              </w:rPr>
            </w:pPr>
            <w:r w:rsidRPr="00BA35FD">
              <w:rPr>
                <w:rFonts w:ascii="Aptos" w:eastAsia="Aptos" w:hAnsi="Aptos" w:cs="Times New Roman"/>
                <w:color w:val="000000"/>
                <w:sz w:val="20"/>
                <w:szCs w:val="20"/>
              </w:rPr>
              <w:t>114,725</w:t>
            </w:r>
          </w:p>
        </w:tc>
      </w:tr>
    </w:tbl>
    <w:p w14:paraId="2B6C5397" w14:textId="200401B1" w:rsidR="00677577" w:rsidRPr="00B45F7C" w:rsidRDefault="00677577" w:rsidP="00677577">
      <w:pPr>
        <w:spacing w:before="120"/>
        <w:rPr>
          <w:rFonts w:ascii="Aptos" w:eastAsia="Aptos" w:hAnsi="Aptos" w:cs="Times New Roman"/>
          <w:sz w:val="18"/>
        </w:rPr>
      </w:pPr>
      <w:r w:rsidRPr="00B45F7C">
        <w:rPr>
          <w:rFonts w:ascii="Aptos" w:eastAsia="Aptos" w:hAnsi="Aptos" w:cs="Times New Roman"/>
          <w:b/>
          <w:bCs/>
          <w:sz w:val="18"/>
        </w:rPr>
        <w:t>Source:</w:t>
      </w:r>
      <w:r w:rsidRPr="00B45F7C">
        <w:rPr>
          <w:rFonts w:ascii="Aptos" w:eastAsia="Aptos" w:hAnsi="Aptos" w:cs="Times New Roman"/>
          <w:sz w:val="18"/>
        </w:rPr>
        <w:t xml:space="preserve"> </w:t>
      </w:r>
      <w:r w:rsidR="0021216A">
        <w:rPr>
          <w:rFonts w:ascii="Aptos" w:eastAsia="Aptos" w:hAnsi="Aptos" w:cs="Times New Roman"/>
          <w:sz w:val="18"/>
        </w:rPr>
        <w:t>Department of Employment and Workplace Relations</w:t>
      </w:r>
      <w:r w:rsidR="00C62AD2">
        <w:rPr>
          <w:rFonts w:ascii="Aptos" w:eastAsia="Aptos" w:hAnsi="Aptos" w:cs="Times New Roman"/>
          <w:sz w:val="18"/>
        </w:rPr>
        <w:t>,</w:t>
      </w:r>
      <w:r w:rsidR="0021216A">
        <w:rPr>
          <w:rFonts w:ascii="Aptos" w:eastAsia="Aptos" w:hAnsi="Aptos" w:cs="Times New Roman"/>
          <w:sz w:val="18"/>
        </w:rPr>
        <w:t xml:space="preserve"> </w:t>
      </w:r>
      <w:r w:rsidRPr="00B45F7C">
        <w:rPr>
          <w:rFonts w:ascii="Aptos" w:eastAsia="Aptos" w:hAnsi="Aptos" w:cs="Times New Roman"/>
          <w:sz w:val="18"/>
        </w:rPr>
        <w:t>Workplace Agreements Database.</w:t>
      </w:r>
    </w:p>
    <w:p w14:paraId="37B7AFA4" w14:textId="77777777" w:rsidR="00677577" w:rsidRPr="00B45F7C" w:rsidRDefault="00677577" w:rsidP="00677577">
      <w:pPr>
        <w:rPr>
          <w:rFonts w:ascii="Aptos" w:eastAsia="Aptos" w:hAnsi="Aptos" w:cs="Calibri"/>
          <w:i/>
          <w:color w:val="404246"/>
          <w:sz w:val="20"/>
          <w:szCs w:val="20"/>
        </w:rPr>
      </w:pPr>
      <w:bookmarkStart w:id="1003" w:name="_Toc187514223"/>
      <w:r w:rsidRPr="00B45F7C">
        <w:rPr>
          <w:rFonts w:ascii="Aptos" w:eastAsia="Aptos" w:hAnsi="Aptos" w:cs="Times New Roman"/>
        </w:rPr>
        <w:br w:type="page"/>
      </w:r>
    </w:p>
    <w:p w14:paraId="1CD9FAE0" w14:textId="3A2E8E2F" w:rsidR="00677577" w:rsidRPr="00B45F7C" w:rsidRDefault="00844718" w:rsidP="001C6026">
      <w:pPr>
        <w:pStyle w:val="Caption"/>
      </w:pPr>
      <w:bookmarkStart w:id="1004" w:name="_Toc189310837"/>
      <w:bookmarkStart w:id="1005" w:name="_Toc194251551"/>
      <w:r>
        <w:t xml:space="preserve">Figure </w:t>
      </w:r>
      <w:r>
        <w:fldChar w:fldCharType="begin"/>
      </w:r>
      <w:r>
        <w:instrText xml:space="preserve"> SEQ Figure \* ARABIC </w:instrText>
      </w:r>
      <w:r>
        <w:fldChar w:fldCharType="separate"/>
      </w:r>
      <w:r w:rsidR="00DE5F5E">
        <w:rPr>
          <w:noProof/>
        </w:rPr>
        <w:t>53</w:t>
      </w:r>
      <w:r>
        <w:fldChar w:fldCharType="end"/>
      </w:r>
      <w:r>
        <w:t xml:space="preserve">: </w:t>
      </w:r>
      <w:r w:rsidR="00677577" w:rsidRPr="00B45F7C">
        <w:t>Trends in approval of union and non-union agreements</w:t>
      </w:r>
      <w:bookmarkEnd w:id="1003"/>
      <w:r w:rsidR="00677577" w:rsidRPr="00B45F7C">
        <w:t>, year to September quarter</w:t>
      </w:r>
      <w:bookmarkEnd w:id="1004"/>
      <w:r w:rsidR="0021216A">
        <w:t>, 2010 to 2024</w:t>
      </w:r>
      <w:bookmarkEnd w:id="1005"/>
    </w:p>
    <w:p w14:paraId="717A241C" w14:textId="656CB709" w:rsidR="00677577" w:rsidRPr="00B45F7C" w:rsidRDefault="00677577" w:rsidP="00677577">
      <w:pPr>
        <w:keepNext/>
        <w:spacing w:after="120" w:line="276" w:lineRule="auto"/>
        <w:ind w:left="57" w:right="17"/>
        <w:rPr>
          <w:rFonts w:ascii="Aptos" w:eastAsia="Aptos" w:hAnsi="Aptos" w:cs="Calibri"/>
          <w:b/>
          <w:bCs/>
          <w:lang w:val="en-US"/>
        </w:rPr>
      </w:pPr>
      <w:r w:rsidRPr="00B45F7C">
        <w:rPr>
          <w:rFonts w:ascii="Aptos" w:eastAsia="Aptos" w:hAnsi="Aptos" w:cs="Calibri"/>
          <w:b/>
          <w:bCs/>
          <w:noProof/>
          <w:lang w:val="en-US"/>
        </w:rPr>
        <w:drawing>
          <wp:inline distT="0" distB="0" distL="0" distR="0" wp14:anchorId="2FA2C434" wp14:editId="6B5B7F3B">
            <wp:extent cx="5904230" cy="4753610"/>
            <wp:effectExtent l="0" t="0" r="1270" b="8890"/>
            <wp:docPr id="1044939160" name="Picture 1" descr="A combination chart of trends in approval of union and non-union agreements.&#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939160" name="Picture 1" descr="A combination chart of trends in approval of union and non-union agreements.&#10;&#10;See alt-text following the source."/>
                    <pic:cNvPicPr/>
                  </pic:nvPicPr>
                  <pic:blipFill>
                    <a:blip r:embed="rId69"/>
                    <a:stretch>
                      <a:fillRect/>
                    </a:stretch>
                  </pic:blipFill>
                  <pic:spPr>
                    <a:xfrm>
                      <a:off x="0" y="0"/>
                      <a:ext cx="5904230" cy="4753610"/>
                    </a:xfrm>
                    <a:prstGeom prst="rect">
                      <a:avLst/>
                    </a:prstGeom>
                  </pic:spPr>
                </pic:pic>
              </a:graphicData>
            </a:graphic>
          </wp:inline>
        </w:drawing>
      </w:r>
    </w:p>
    <w:p w14:paraId="75C843F9" w14:textId="7CAFF146" w:rsidR="00677577" w:rsidRPr="00B45F7C" w:rsidRDefault="00677577" w:rsidP="00677577">
      <w:pPr>
        <w:spacing w:before="120"/>
        <w:rPr>
          <w:rFonts w:ascii="Aptos" w:eastAsia="Aptos" w:hAnsi="Aptos" w:cs="Times New Roman"/>
          <w:sz w:val="18"/>
        </w:rPr>
      </w:pPr>
      <w:r w:rsidRPr="00B45F7C">
        <w:rPr>
          <w:rFonts w:ascii="Aptos" w:eastAsia="Aptos" w:hAnsi="Aptos" w:cs="Times New Roman"/>
          <w:b/>
          <w:sz w:val="18"/>
        </w:rPr>
        <w:t>Source:</w:t>
      </w:r>
      <w:r w:rsidRPr="00B45F7C">
        <w:rPr>
          <w:rFonts w:ascii="Aptos" w:eastAsia="Aptos" w:hAnsi="Aptos" w:cs="Times New Roman"/>
          <w:sz w:val="18"/>
        </w:rPr>
        <w:t xml:space="preserve"> </w:t>
      </w:r>
      <w:r w:rsidR="0021216A">
        <w:rPr>
          <w:rFonts w:ascii="Aptos" w:eastAsia="Aptos" w:hAnsi="Aptos" w:cs="Times New Roman"/>
          <w:sz w:val="18"/>
        </w:rPr>
        <w:t>Department of Employment and Workplace Relations</w:t>
      </w:r>
      <w:r w:rsidR="00C62AD2">
        <w:rPr>
          <w:rFonts w:ascii="Aptos" w:eastAsia="Aptos" w:hAnsi="Aptos" w:cs="Times New Roman"/>
          <w:sz w:val="18"/>
        </w:rPr>
        <w:t>,</w:t>
      </w:r>
      <w:r w:rsidR="0021216A">
        <w:rPr>
          <w:rFonts w:ascii="Aptos" w:eastAsia="Aptos" w:hAnsi="Aptos" w:cs="Times New Roman"/>
          <w:sz w:val="18"/>
        </w:rPr>
        <w:t xml:space="preserve"> </w:t>
      </w:r>
      <w:r w:rsidRPr="00B45F7C">
        <w:rPr>
          <w:rFonts w:ascii="Aptos" w:eastAsia="Aptos" w:hAnsi="Aptos" w:cs="Times New Roman"/>
          <w:sz w:val="18"/>
        </w:rPr>
        <w:t>Workplace Agreement Database.</w:t>
      </w:r>
    </w:p>
    <w:p w14:paraId="1EE4A6C3" w14:textId="77777777" w:rsidR="00677577" w:rsidRPr="00B45F7C" w:rsidRDefault="00677577" w:rsidP="00677577">
      <w:pPr>
        <w:spacing w:before="120"/>
        <w:rPr>
          <w:rFonts w:ascii="Aptos" w:eastAsia="Aptos" w:hAnsi="Aptos" w:cs="Times New Roman"/>
          <w:sz w:val="18"/>
        </w:rPr>
      </w:pPr>
      <w:r w:rsidRPr="00B45F7C">
        <w:rPr>
          <w:rFonts w:ascii="Aptos" w:eastAsia="Aptos" w:hAnsi="Aptos" w:cs="Times New Roman"/>
          <w:b/>
          <w:bCs/>
          <w:sz w:val="18"/>
        </w:rPr>
        <w:t>Alt text:</w:t>
      </w:r>
      <w:r w:rsidRPr="00B45F7C">
        <w:rPr>
          <w:rFonts w:ascii="Aptos" w:eastAsia="Aptos" w:hAnsi="Aptos" w:cs="Times New Roman"/>
          <w:sz w:val="18"/>
        </w:rPr>
        <w:t xml:space="preserve"> A combination chart showing the number and coverage of new agreements approved in the year to the September quarters from 2010 to 2024, by union status. The left hand side axis (columns) shows the number of union and non-union agreements approved. The right hand side axis (lines) shows the number of employees covered by the union and non-union agreements approved. In the year to the September 2024 quarter 3,549 union agreements were approved, covering 1,218,842 employees. In that same period 868 non-union agreements were approved, covering 39,480 employees.</w:t>
      </w:r>
    </w:p>
    <w:p w14:paraId="44DE51B1" w14:textId="77777777" w:rsidR="00677577" w:rsidRPr="00B45F7C" w:rsidRDefault="00677577" w:rsidP="00677577">
      <w:pPr>
        <w:rPr>
          <w:rFonts w:ascii="Aptos" w:eastAsia="Aptos" w:hAnsi="Aptos" w:cs="Times New Roman"/>
          <w:b/>
          <w:iCs/>
          <w:color w:val="404246"/>
          <w:szCs w:val="18"/>
        </w:rPr>
      </w:pPr>
      <w:r w:rsidRPr="00B45F7C">
        <w:rPr>
          <w:rFonts w:ascii="Aptos" w:eastAsia="Aptos" w:hAnsi="Aptos" w:cs="Times New Roman"/>
        </w:rPr>
        <w:br w:type="page"/>
      </w:r>
    </w:p>
    <w:p w14:paraId="1FF0DEC0" w14:textId="24162E61" w:rsidR="00677577" w:rsidRPr="00B45F7C" w:rsidRDefault="00844718" w:rsidP="00D56F6A">
      <w:pPr>
        <w:pStyle w:val="Caption"/>
      </w:pPr>
      <w:bookmarkStart w:id="1006" w:name="_Toc189310838"/>
      <w:bookmarkStart w:id="1007" w:name="_Toc194251552"/>
      <w:r>
        <w:t xml:space="preserve">Figure </w:t>
      </w:r>
      <w:r>
        <w:fldChar w:fldCharType="begin"/>
      </w:r>
      <w:r>
        <w:instrText xml:space="preserve"> SEQ Figure \* ARABIC </w:instrText>
      </w:r>
      <w:r>
        <w:fldChar w:fldCharType="separate"/>
      </w:r>
      <w:r w:rsidR="00DE5F5E">
        <w:rPr>
          <w:noProof/>
        </w:rPr>
        <w:t>54</w:t>
      </w:r>
      <w:r>
        <w:fldChar w:fldCharType="end"/>
      </w:r>
      <w:r>
        <w:t xml:space="preserve">: </w:t>
      </w:r>
      <w:r w:rsidR="00677577" w:rsidRPr="00B45F7C">
        <w:t>Trends in enterprise agreement approvals by industry, September 2009 to September 2024</w:t>
      </w:r>
      <w:bookmarkEnd w:id="1006"/>
      <w:bookmarkEnd w:id="1007"/>
    </w:p>
    <w:p w14:paraId="769E315B" w14:textId="16B6C3C4" w:rsidR="00677577" w:rsidRPr="00B45F7C" w:rsidRDefault="00677577" w:rsidP="00677577">
      <w:pPr>
        <w:rPr>
          <w:rFonts w:ascii="Aptos" w:eastAsia="Aptos" w:hAnsi="Aptos" w:cs="Times New Roman"/>
          <w:lang w:val="en-US"/>
        </w:rPr>
      </w:pPr>
      <w:r w:rsidRPr="00B45F7C">
        <w:rPr>
          <w:rFonts w:ascii="Aptos" w:eastAsia="Aptos" w:hAnsi="Aptos" w:cs="Times New Roman"/>
          <w:noProof/>
        </w:rPr>
        <w:drawing>
          <wp:inline distT="0" distB="0" distL="0" distR="0" wp14:anchorId="4B47803B" wp14:editId="52F5580C">
            <wp:extent cx="5904230" cy="4312285"/>
            <wp:effectExtent l="0" t="0" r="1270" b="0"/>
            <wp:docPr id="1031933030" name="Picture 1" descr="A line graph showing trends in enterprise agreement approvals by industry.&#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933030" name="Picture 1" descr="A line graph showing trends in enterprise agreement approvals by industry.&#10;&#10;See alt-text following the source."/>
                    <pic:cNvPicPr/>
                  </pic:nvPicPr>
                  <pic:blipFill>
                    <a:blip r:embed="rId70"/>
                    <a:stretch>
                      <a:fillRect/>
                    </a:stretch>
                  </pic:blipFill>
                  <pic:spPr>
                    <a:xfrm>
                      <a:off x="0" y="0"/>
                      <a:ext cx="5904230" cy="4312285"/>
                    </a:xfrm>
                    <a:prstGeom prst="rect">
                      <a:avLst/>
                    </a:prstGeom>
                  </pic:spPr>
                </pic:pic>
              </a:graphicData>
            </a:graphic>
          </wp:inline>
        </w:drawing>
      </w:r>
    </w:p>
    <w:p w14:paraId="2DD86672" w14:textId="783E01D4" w:rsidR="00677577" w:rsidRPr="00B45F7C" w:rsidRDefault="00677577" w:rsidP="00677577">
      <w:pPr>
        <w:spacing w:before="120"/>
        <w:rPr>
          <w:rFonts w:ascii="Aptos" w:eastAsia="Aptos" w:hAnsi="Aptos" w:cs="Times New Roman"/>
          <w:sz w:val="18"/>
        </w:rPr>
      </w:pPr>
      <w:r w:rsidRPr="00B45F7C">
        <w:rPr>
          <w:rFonts w:ascii="Aptos" w:eastAsia="Aptos" w:hAnsi="Aptos" w:cs="Times New Roman"/>
          <w:b/>
          <w:sz w:val="18"/>
        </w:rPr>
        <w:t xml:space="preserve">Source: </w:t>
      </w:r>
      <w:r w:rsidR="0021216A">
        <w:rPr>
          <w:rFonts w:ascii="Aptos" w:eastAsia="Aptos" w:hAnsi="Aptos" w:cs="Times New Roman"/>
          <w:sz w:val="18"/>
        </w:rPr>
        <w:t>Department of Employment and Workplace Relations</w:t>
      </w:r>
      <w:r w:rsidR="00C62AD2">
        <w:rPr>
          <w:rFonts w:ascii="Aptos" w:eastAsia="Aptos" w:hAnsi="Aptos" w:cs="Times New Roman"/>
          <w:sz w:val="18"/>
        </w:rPr>
        <w:t>,</w:t>
      </w:r>
      <w:r w:rsidR="0021216A">
        <w:rPr>
          <w:rFonts w:ascii="Aptos" w:eastAsia="Aptos" w:hAnsi="Aptos" w:cs="Times New Roman"/>
          <w:sz w:val="18"/>
        </w:rPr>
        <w:t xml:space="preserve"> </w:t>
      </w:r>
      <w:r w:rsidRPr="00B45F7C">
        <w:rPr>
          <w:rFonts w:ascii="Aptos" w:eastAsia="Aptos" w:hAnsi="Aptos" w:cs="Times New Roman"/>
          <w:sz w:val="18"/>
        </w:rPr>
        <w:t>Workplace Agreement Database.</w:t>
      </w:r>
    </w:p>
    <w:p w14:paraId="61DEFCF4" w14:textId="77777777" w:rsidR="00677577" w:rsidRPr="00B45F7C" w:rsidRDefault="00677577" w:rsidP="00677577">
      <w:pPr>
        <w:spacing w:before="120"/>
        <w:rPr>
          <w:rFonts w:ascii="Aptos" w:eastAsia="Aptos" w:hAnsi="Aptos" w:cs="Times New Roman"/>
          <w:sz w:val="18"/>
        </w:rPr>
      </w:pPr>
      <w:r w:rsidRPr="00B45F7C">
        <w:rPr>
          <w:rFonts w:ascii="Aptos" w:eastAsia="Aptos" w:hAnsi="Aptos" w:cs="Times New Roman"/>
          <w:b/>
          <w:sz w:val="18"/>
        </w:rPr>
        <w:t>Alt text:</w:t>
      </w:r>
      <w:r w:rsidRPr="00B45F7C">
        <w:rPr>
          <w:rFonts w:ascii="Aptos" w:eastAsia="Aptos" w:hAnsi="Aptos" w:cs="Times New Roman"/>
          <w:sz w:val="18"/>
        </w:rPr>
        <w:t xml:space="preserve"> A line graph showing the number of new agreements approved in each quarter from the September 2009 quarter to the September 2024 quarter. The solid lines represent the number of new agreements approved in each quarter in the construction, manufacturing, and health care and social assistance industries, while the dotted lines reflect the respective linear trends for each industry. In the September 2024 quarter a total of 937 enterprise agreements were approved, of which 397 were in the construction sector, 159 were in the manufacturing sector and 76 were in the health care and social assistance sector.</w:t>
      </w:r>
    </w:p>
    <w:p w14:paraId="429AF8CD" w14:textId="77777777" w:rsidR="00677577" w:rsidRPr="00B45F7C" w:rsidRDefault="00677577" w:rsidP="00677577">
      <w:pPr>
        <w:rPr>
          <w:rFonts w:ascii="Aptos" w:eastAsia="Aptos" w:hAnsi="Aptos" w:cs="Times New Roman"/>
          <w:b/>
          <w:iCs/>
          <w:color w:val="404246"/>
          <w:szCs w:val="18"/>
        </w:rPr>
      </w:pPr>
      <w:r w:rsidRPr="00B45F7C">
        <w:rPr>
          <w:rFonts w:ascii="Aptos" w:eastAsia="Aptos" w:hAnsi="Aptos" w:cs="Times New Roman"/>
        </w:rPr>
        <w:br w:type="page"/>
      </w:r>
    </w:p>
    <w:p w14:paraId="4E47BA59" w14:textId="0D72F057" w:rsidR="00677577" w:rsidRPr="00B45F7C" w:rsidRDefault="00844718" w:rsidP="00D56F6A">
      <w:pPr>
        <w:pStyle w:val="Caption"/>
      </w:pPr>
      <w:bookmarkStart w:id="1008" w:name="_Toc189310839"/>
      <w:bookmarkStart w:id="1009" w:name="_Toc194251553"/>
      <w:r>
        <w:t xml:space="preserve">Figure </w:t>
      </w:r>
      <w:r>
        <w:fldChar w:fldCharType="begin"/>
      </w:r>
      <w:r>
        <w:instrText xml:space="preserve"> SEQ Figure \* ARABIC </w:instrText>
      </w:r>
      <w:r>
        <w:fldChar w:fldCharType="separate"/>
      </w:r>
      <w:r w:rsidR="00DE5F5E">
        <w:rPr>
          <w:noProof/>
        </w:rPr>
        <w:t>55</w:t>
      </w:r>
      <w:r>
        <w:fldChar w:fldCharType="end"/>
      </w:r>
      <w:r>
        <w:t xml:space="preserve">: </w:t>
      </w:r>
      <w:r w:rsidR="00677577" w:rsidRPr="00B45F7C">
        <w:t>Trends in enterprise agreement approvals by cohort size, September 2009 to September 2024</w:t>
      </w:r>
      <w:bookmarkEnd w:id="1008"/>
      <w:bookmarkEnd w:id="1009"/>
    </w:p>
    <w:p w14:paraId="30C4B50F" w14:textId="7C80F477" w:rsidR="00677577" w:rsidRPr="00B45F7C" w:rsidRDefault="00677577" w:rsidP="00677577">
      <w:pPr>
        <w:rPr>
          <w:rFonts w:ascii="Aptos" w:eastAsia="Aptos" w:hAnsi="Aptos" w:cs="Times New Roman"/>
          <w:lang w:val="en-US"/>
        </w:rPr>
      </w:pPr>
      <w:r w:rsidRPr="00B45F7C">
        <w:rPr>
          <w:rFonts w:ascii="Aptos" w:eastAsia="Aptos" w:hAnsi="Aptos" w:cs="Times New Roman"/>
          <w:noProof/>
        </w:rPr>
        <w:drawing>
          <wp:inline distT="0" distB="0" distL="0" distR="0" wp14:anchorId="110FC304" wp14:editId="03ABD28E">
            <wp:extent cx="5904230" cy="3971290"/>
            <wp:effectExtent l="0" t="0" r="1270" b="0"/>
            <wp:docPr id="63995597" name="Picture 1" descr="A line chart showing trends in enterprise agreement approvals by cohort size.&#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95597" name="Picture 1" descr="A line chart showing trends in enterprise agreement approvals by cohort size.&#10;&#10;See alt-text following the source."/>
                    <pic:cNvPicPr/>
                  </pic:nvPicPr>
                  <pic:blipFill>
                    <a:blip r:embed="rId71"/>
                    <a:stretch>
                      <a:fillRect/>
                    </a:stretch>
                  </pic:blipFill>
                  <pic:spPr>
                    <a:xfrm>
                      <a:off x="0" y="0"/>
                      <a:ext cx="5904230" cy="3971290"/>
                    </a:xfrm>
                    <a:prstGeom prst="rect">
                      <a:avLst/>
                    </a:prstGeom>
                  </pic:spPr>
                </pic:pic>
              </a:graphicData>
            </a:graphic>
          </wp:inline>
        </w:drawing>
      </w:r>
    </w:p>
    <w:p w14:paraId="0562DA4B" w14:textId="505D6B2E" w:rsidR="00677577" w:rsidRPr="00B45F7C" w:rsidRDefault="00677577" w:rsidP="00677577">
      <w:pPr>
        <w:spacing w:before="120"/>
        <w:rPr>
          <w:rFonts w:ascii="Aptos" w:eastAsia="Aptos" w:hAnsi="Aptos" w:cs="Times New Roman"/>
          <w:sz w:val="18"/>
        </w:rPr>
      </w:pPr>
      <w:r w:rsidRPr="00B45F7C">
        <w:rPr>
          <w:rFonts w:ascii="Aptos" w:eastAsia="Aptos" w:hAnsi="Aptos" w:cs="Times New Roman"/>
          <w:b/>
          <w:sz w:val="18"/>
        </w:rPr>
        <w:t>Source:</w:t>
      </w:r>
      <w:r w:rsidRPr="00B45F7C">
        <w:rPr>
          <w:rFonts w:ascii="Aptos" w:eastAsia="Aptos" w:hAnsi="Aptos" w:cs="Times New Roman"/>
          <w:sz w:val="18"/>
        </w:rPr>
        <w:t xml:space="preserve"> </w:t>
      </w:r>
      <w:r w:rsidR="0021216A">
        <w:rPr>
          <w:rFonts w:ascii="Aptos" w:eastAsia="Aptos" w:hAnsi="Aptos" w:cs="Times New Roman"/>
          <w:sz w:val="18"/>
        </w:rPr>
        <w:t>Department of Employment and Workplace Relations</w:t>
      </w:r>
      <w:r w:rsidR="00C62AD2">
        <w:rPr>
          <w:rFonts w:ascii="Aptos" w:eastAsia="Aptos" w:hAnsi="Aptos" w:cs="Times New Roman"/>
          <w:sz w:val="18"/>
        </w:rPr>
        <w:t>,</w:t>
      </w:r>
      <w:r w:rsidR="0021216A">
        <w:rPr>
          <w:rFonts w:ascii="Aptos" w:eastAsia="Aptos" w:hAnsi="Aptos" w:cs="Times New Roman"/>
          <w:sz w:val="18"/>
        </w:rPr>
        <w:t xml:space="preserve"> </w:t>
      </w:r>
      <w:r w:rsidRPr="00B45F7C">
        <w:rPr>
          <w:rFonts w:ascii="Aptos" w:eastAsia="Aptos" w:hAnsi="Aptos" w:cs="Times New Roman"/>
          <w:sz w:val="18"/>
        </w:rPr>
        <w:t>Workplace Agreements Database.</w:t>
      </w:r>
    </w:p>
    <w:p w14:paraId="3C5D1A8E" w14:textId="77777777" w:rsidR="00677577" w:rsidRPr="00B45F7C" w:rsidRDefault="00677577" w:rsidP="00677577">
      <w:pPr>
        <w:spacing w:before="120"/>
        <w:rPr>
          <w:rFonts w:ascii="Aptos" w:eastAsia="Aptos" w:hAnsi="Aptos" w:cs="Times New Roman"/>
          <w:sz w:val="18"/>
        </w:rPr>
      </w:pPr>
      <w:r w:rsidRPr="00B45F7C">
        <w:rPr>
          <w:rFonts w:ascii="Aptos" w:eastAsia="Aptos" w:hAnsi="Aptos" w:cs="Times New Roman"/>
          <w:b/>
          <w:sz w:val="18"/>
        </w:rPr>
        <w:t>Alt text:</w:t>
      </w:r>
      <w:r w:rsidRPr="00B45F7C">
        <w:rPr>
          <w:rFonts w:ascii="Aptos" w:eastAsia="Aptos" w:hAnsi="Aptos" w:cs="Times New Roman"/>
          <w:sz w:val="18"/>
        </w:rPr>
        <w:t xml:space="preserve"> A line chart showing the number of enterprise agreements approved in each quarter from September 2009 to September 2024, by the size of the employee cohort covered by the agreement. In the September quarter 2024 there were 456 enterprise agreements approved that covered 24 or fewer employees, 161 that covered 25 to 49 employees and 320 that covered more than 50 employees.</w:t>
      </w:r>
    </w:p>
    <w:p w14:paraId="0EA34F0C" w14:textId="6C317400" w:rsidR="00677577" w:rsidRPr="00B45F7C" w:rsidRDefault="00677577" w:rsidP="00324372">
      <w:pPr>
        <w:pStyle w:val="Caption"/>
      </w:pPr>
      <w:r w:rsidRPr="00B45F7C">
        <w:rPr>
          <w:rFonts w:ascii="Aptos" w:eastAsia="Aptos" w:hAnsi="Aptos" w:cs="Times New Roman"/>
        </w:rPr>
        <w:t xml:space="preserve"> </w:t>
      </w:r>
      <w:r w:rsidRPr="00B45F7C">
        <w:rPr>
          <w:rFonts w:ascii="Aptos" w:eastAsia="Aptos" w:hAnsi="Aptos" w:cs="Times New Roman"/>
        </w:rPr>
        <w:br w:type="page"/>
      </w:r>
      <w:bookmarkStart w:id="1010" w:name="_Toc186906044"/>
      <w:bookmarkStart w:id="1011" w:name="_Toc187514224"/>
      <w:bookmarkStart w:id="1012" w:name="_Toc189310840"/>
      <w:bookmarkStart w:id="1013" w:name="_Toc194251554"/>
      <w:r w:rsidR="00844718">
        <w:t xml:space="preserve">Figure </w:t>
      </w:r>
      <w:r w:rsidR="00844718">
        <w:fldChar w:fldCharType="begin"/>
      </w:r>
      <w:r w:rsidR="00844718">
        <w:instrText xml:space="preserve"> SEQ Figure \* ARABIC </w:instrText>
      </w:r>
      <w:r w:rsidR="00844718">
        <w:fldChar w:fldCharType="separate"/>
      </w:r>
      <w:r w:rsidR="00DE5F5E">
        <w:rPr>
          <w:noProof/>
        </w:rPr>
        <w:t>56</w:t>
      </w:r>
      <w:r w:rsidR="00844718">
        <w:fldChar w:fldCharType="end"/>
      </w:r>
      <w:r w:rsidR="00844718">
        <w:t xml:space="preserve">: </w:t>
      </w:r>
      <w:r w:rsidRPr="00B45F7C">
        <w:t>Number of current enterprise agreements and employees covered, September quarters 2009 to 2024</w:t>
      </w:r>
      <w:bookmarkEnd w:id="1010"/>
      <w:bookmarkEnd w:id="1011"/>
      <w:bookmarkEnd w:id="1012"/>
      <w:bookmarkEnd w:id="1013"/>
    </w:p>
    <w:p w14:paraId="2A1C4B1D" w14:textId="7A2F7742" w:rsidR="00677577" w:rsidRPr="00B45F7C" w:rsidRDefault="00677577" w:rsidP="00677577">
      <w:pPr>
        <w:rPr>
          <w:rFonts w:ascii="Aptos" w:eastAsia="Aptos" w:hAnsi="Aptos" w:cs="Times New Roman"/>
          <w:lang w:val="en-US"/>
        </w:rPr>
      </w:pPr>
      <w:r w:rsidRPr="00B45F7C">
        <w:rPr>
          <w:rFonts w:ascii="Aptos" w:eastAsia="Aptos" w:hAnsi="Aptos" w:cs="Times New Roman"/>
          <w:noProof/>
          <w:lang w:val="en-US"/>
        </w:rPr>
        <w:drawing>
          <wp:inline distT="0" distB="0" distL="0" distR="0" wp14:anchorId="6E7EA94D" wp14:editId="7C2EBC82">
            <wp:extent cx="5633186" cy="3586038"/>
            <wp:effectExtent l="0" t="0" r="5715" b="0"/>
            <wp:docPr id="1466025328" name="Picture 3" descr="A combination chart of the number of current enterprise agreements and employees covered.&#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025328" name="Picture 3" descr="A combination chart of the number of current enterprise agreements and employees covered.&#10;&#10;See alt-text following the source."/>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644673" cy="3593350"/>
                    </a:xfrm>
                    <a:prstGeom prst="rect">
                      <a:avLst/>
                    </a:prstGeom>
                    <a:noFill/>
                  </pic:spPr>
                </pic:pic>
              </a:graphicData>
            </a:graphic>
          </wp:inline>
        </w:drawing>
      </w:r>
    </w:p>
    <w:p w14:paraId="1A7A6384" w14:textId="0E8589CB" w:rsidR="00677577" w:rsidRPr="00B45F7C" w:rsidRDefault="00677577" w:rsidP="00677577">
      <w:pPr>
        <w:spacing w:before="120"/>
        <w:rPr>
          <w:rFonts w:ascii="Aptos" w:eastAsia="Aptos" w:hAnsi="Aptos" w:cs="Times New Roman"/>
          <w:sz w:val="18"/>
        </w:rPr>
      </w:pPr>
      <w:r w:rsidRPr="00B45F7C">
        <w:rPr>
          <w:rFonts w:ascii="Aptos" w:eastAsia="Aptos" w:hAnsi="Aptos" w:cs="Times New Roman"/>
          <w:b/>
          <w:bCs/>
          <w:sz w:val="18"/>
        </w:rPr>
        <w:t>Source:</w:t>
      </w:r>
      <w:r w:rsidRPr="00B45F7C">
        <w:rPr>
          <w:rFonts w:ascii="Aptos" w:eastAsia="Aptos" w:hAnsi="Aptos" w:cs="Times New Roman"/>
          <w:sz w:val="18"/>
        </w:rPr>
        <w:t xml:space="preserve"> </w:t>
      </w:r>
      <w:r w:rsidR="0021216A">
        <w:rPr>
          <w:rFonts w:ascii="Aptos" w:eastAsia="Aptos" w:hAnsi="Aptos" w:cs="Times New Roman"/>
          <w:sz w:val="18"/>
        </w:rPr>
        <w:t>Department of Employment and Workplace Relations</w:t>
      </w:r>
      <w:r w:rsidR="00C62AD2">
        <w:rPr>
          <w:rFonts w:ascii="Aptos" w:eastAsia="Aptos" w:hAnsi="Aptos" w:cs="Times New Roman"/>
          <w:sz w:val="18"/>
        </w:rPr>
        <w:t>,</w:t>
      </w:r>
      <w:r w:rsidR="0021216A">
        <w:rPr>
          <w:rFonts w:ascii="Aptos" w:eastAsia="Aptos" w:hAnsi="Aptos" w:cs="Times New Roman"/>
          <w:sz w:val="18"/>
        </w:rPr>
        <w:t xml:space="preserve"> </w:t>
      </w:r>
      <w:r w:rsidRPr="00B45F7C">
        <w:rPr>
          <w:rFonts w:ascii="Aptos" w:eastAsia="Aptos" w:hAnsi="Aptos" w:cs="Times New Roman"/>
          <w:sz w:val="18"/>
        </w:rPr>
        <w:t>Workplace Agreements Database.</w:t>
      </w:r>
    </w:p>
    <w:p w14:paraId="17E624FA" w14:textId="77777777" w:rsidR="0011475D" w:rsidRDefault="00677577" w:rsidP="00677577">
      <w:pPr>
        <w:spacing w:before="120"/>
        <w:rPr>
          <w:rFonts w:ascii="Aptos" w:eastAsia="Aptos" w:hAnsi="Aptos" w:cs="Times New Roman"/>
          <w:sz w:val="18"/>
        </w:rPr>
      </w:pPr>
      <w:r w:rsidRPr="00B45F7C">
        <w:rPr>
          <w:rFonts w:ascii="Aptos" w:eastAsia="Aptos" w:hAnsi="Aptos" w:cs="Times New Roman"/>
          <w:b/>
          <w:sz w:val="18"/>
        </w:rPr>
        <w:t>Alt-text:</w:t>
      </w:r>
      <w:r w:rsidRPr="00B45F7C">
        <w:rPr>
          <w:rFonts w:ascii="Aptos" w:eastAsia="Aptos" w:hAnsi="Aptos" w:cs="Times New Roman"/>
          <w:sz w:val="18"/>
        </w:rPr>
        <w:t xml:space="preserve"> A combination chart. The bars shows the number of current agreements in the September quarters between 2009 and 2024 and the line shows number of employees covered by these agreements. Although the number of current agreements was lower in 2023 than in 2022 the number of employees covered by the agreements had increased. The data show that in the 2024 September quarter there are just over 10,000 agreements covering 2,206,000 workers.</w:t>
      </w:r>
    </w:p>
    <w:p w14:paraId="4B68EB7A" w14:textId="5FFA1435" w:rsidR="00677577" w:rsidRPr="00B45F7C" w:rsidRDefault="00677577" w:rsidP="00677577">
      <w:pPr>
        <w:rPr>
          <w:rFonts w:ascii="Aptos" w:eastAsia="Aptos" w:hAnsi="Aptos" w:cs="Times New Roman"/>
        </w:rPr>
      </w:pPr>
      <w:r w:rsidRPr="00B45F7C">
        <w:rPr>
          <w:rFonts w:ascii="Aptos" w:eastAsia="Aptos" w:hAnsi="Aptos" w:cs="Times New Roman"/>
        </w:rPr>
        <w:br w:type="page"/>
      </w:r>
    </w:p>
    <w:p w14:paraId="131E7CF7" w14:textId="5A07C6B2" w:rsidR="00677577" w:rsidRPr="00B45F7C" w:rsidRDefault="00677577" w:rsidP="00677577">
      <w:pPr>
        <w:rPr>
          <w:rFonts w:ascii="Aptos" w:eastAsia="Aptos" w:hAnsi="Aptos" w:cs="Times New Roman"/>
        </w:rPr>
      </w:pPr>
      <w:r w:rsidRPr="00D56F6A">
        <w:rPr>
          <w:rFonts w:ascii="Aptos" w:eastAsia="Aptos" w:hAnsi="Aptos" w:cs="Times New Roman"/>
        </w:rPr>
        <w:t xml:space="preserve">Figure </w:t>
      </w:r>
      <w:r w:rsidR="00844718" w:rsidRPr="00D56F6A">
        <w:rPr>
          <w:rFonts w:ascii="Aptos" w:eastAsia="Aptos" w:hAnsi="Aptos" w:cs="Times New Roman"/>
        </w:rPr>
        <w:t>57</w:t>
      </w:r>
      <w:r w:rsidRPr="00FD4F1B">
        <w:rPr>
          <w:rFonts w:ascii="Aptos" w:eastAsia="Aptos" w:hAnsi="Aptos" w:cs="Times New Roman"/>
        </w:rPr>
        <w:t xml:space="preserve"> shows trends in the AAWI</w:t>
      </w:r>
      <w:r w:rsidRPr="00B45F7C">
        <w:rPr>
          <w:rFonts w:ascii="Aptos" w:eastAsia="Aptos" w:hAnsi="Aptos" w:cs="Times New Roman"/>
        </w:rPr>
        <w:t xml:space="preserve"> of union and non-union approved enterprise agreements. Since December 2022 the AAWI in union agreements has exceeded the AAWI in non-union agreements. The differences may reflect, in part, differences between the </w:t>
      </w:r>
      <w:r w:rsidR="0021216A">
        <w:rPr>
          <w:rFonts w:ascii="Aptos" w:eastAsia="Aptos" w:hAnsi="Aptos" w:cs="Times New Roman"/>
        </w:rPr>
        <w:t>two</w:t>
      </w:r>
      <w:r w:rsidRPr="00B45F7C">
        <w:rPr>
          <w:rFonts w:ascii="Aptos" w:eastAsia="Aptos" w:hAnsi="Aptos" w:cs="Times New Roman"/>
        </w:rPr>
        <w:t xml:space="preserve"> groups in the timing and approval of new agreements.</w:t>
      </w:r>
      <w:r>
        <w:rPr>
          <w:rFonts w:ascii="Aptos" w:eastAsia="Aptos" w:hAnsi="Aptos" w:cs="Times New Roman"/>
        </w:rPr>
        <w:t xml:space="preserve"> </w:t>
      </w:r>
      <w:r w:rsidRPr="00FD4F1B">
        <w:rPr>
          <w:rFonts w:ascii="Aptos" w:eastAsia="Aptos" w:hAnsi="Aptos" w:cs="Times New Roman"/>
        </w:rPr>
        <w:t xml:space="preserve">Similarly, </w:t>
      </w:r>
      <w:r w:rsidRPr="00D56F6A">
        <w:rPr>
          <w:rFonts w:ascii="Aptos" w:eastAsia="Aptos" w:hAnsi="Aptos" w:cs="Times New Roman"/>
        </w:rPr>
        <w:t xml:space="preserve">Table </w:t>
      </w:r>
      <w:r w:rsidR="00D3501E" w:rsidRPr="00D56F6A">
        <w:rPr>
          <w:rFonts w:ascii="Aptos" w:eastAsia="Aptos" w:hAnsi="Aptos" w:cs="Times New Roman"/>
        </w:rPr>
        <w:t>6</w:t>
      </w:r>
      <w:r w:rsidR="00D3501E">
        <w:rPr>
          <w:rFonts w:ascii="Aptos" w:eastAsia="Aptos" w:hAnsi="Aptos" w:cs="Times New Roman"/>
        </w:rPr>
        <w:t>2</w:t>
      </w:r>
      <w:r w:rsidR="00D3501E" w:rsidRPr="00FD4F1B">
        <w:rPr>
          <w:rFonts w:ascii="Aptos" w:eastAsia="Aptos" w:hAnsi="Aptos" w:cs="Times New Roman"/>
        </w:rPr>
        <w:t xml:space="preserve"> </w:t>
      </w:r>
      <w:r w:rsidRPr="00FD4F1B">
        <w:rPr>
          <w:rFonts w:ascii="Aptos" w:eastAsia="Aptos" w:hAnsi="Aptos" w:cs="Times New Roman"/>
        </w:rPr>
        <w:t>shows</w:t>
      </w:r>
      <w:r>
        <w:rPr>
          <w:rFonts w:ascii="Aptos" w:eastAsia="Aptos" w:hAnsi="Aptos" w:cs="Times New Roman"/>
        </w:rPr>
        <w:t xml:space="preserve"> historical data since 1993.</w:t>
      </w:r>
    </w:p>
    <w:p w14:paraId="13ACDAD0" w14:textId="60B01EC8" w:rsidR="00677577" w:rsidRPr="00B45F7C" w:rsidRDefault="00844718" w:rsidP="00D56F6A">
      <w:pPr>
        <w:pStyle w:val="Caption"/>
      </w:pPr>
      <w:bookmarkStart w:id="1014" w:name="_Toc186906045"/>
      <w:bookmarkStart w:id="1015" w:name="_Toc187514225"/>
      <w:bookmarkStart w:id="1016" w:name="_Toc189310841"/>
      <w:bookmarkStart w:id="1017" w:name="_Toc194251555"/>
      <w:r>
        <w:t xml:space="preserve">Figure </w:t>
      </w:r>
      <w:r>
        <w:fldChar w:fldCharType="begin"/>
      </w:r>
      <w:r>
        <w:instrText xml:space="preserve"> SEQ Figure \* ARABIC </w:instrText>
      </w:r>
      <w:r>
        <w:fldChar w:fldCharType="separate"/>
      </w:r>
      <w:r w:rsidR="00DE5F5E">
        <w:rPr>
          <w:noProof/>
        </w:rPr>
        <w:t>57</w:t>
      </w:r>
      <w:r>
        <w:fldChar w:fldCharType="end"/>
      </w:r>
      <w:r>
        <w:t xml:space="preserve">: </w:t>
      </w:r>
      <w:r w:rsidR="00677577" w:rsidRPr="00B45F7C">
        <w:t>Average annualised wage growth in union and non-union agreements</w:t>
      </w:r>
      <w:bookmarkEnd w:id="1014"/>
      <w:bookmarkEnd w:id="1015"/>
      <w:r w:rsidR="00677577" w:rsidRPr="00B45F7C">
        <w:t>, September 2021 to September 2024</w:t>
      </w:r>
      <w:bookmarkEnd w:id="1016"/>
      <w:bookmarkEnd w:id="1017"/>
    </w:p>
    <w:p w14:paraId="69531130" w14:textId="09FF0CE6" w:rsidR="00677577" w:rsidRPr="00B45F7C" w:rsidRDefault="00677577" w:rsidP="00677577">
      <w:pPr>
        <w:rPr>
          <w:rFonts w:ascii="Aptos" w:eastAsia="Aptos" w:hAnsi="Aptos" w:cs="Times New Roman"/>
          <w:lang w:val="en-US"/>
        </w:rPr>
      </w:pPr>
      <w:r w:rsidRPr="00B45F7C">
        <w:rPr>
          <w:rFonts w:ascii="Aptos" w:eastAsia="Aptos" w:hAnsi="Aptos" w:cs="Times New Roman"/>
          <w:noProof/>
        </w:rPr>
        <w:drawing>
          <wp:inline distT="0" distB="0" distL="0" distR="0" wp14:anchorId="71AEAEBB" wp14:editId="4E40B42F">
            <wp:extent cx="5657143" cy="3457143"/>
            <wp:effectExtent l="0" t="0" r="1270" b="0"/>
            <wp:docPr id="760442156" name="Picture 1" descr="A bar chart showing average annualised wage growth in union and non-union agreements.&#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442156" name="Picture 1" descr="A bar chart showing average annualised wage growth in union and non-union agreements.&#10;&#10;See alt-text following the source."/>
                    <pic:cNvPicPr/>
                  </pic:nvPicPr>
                  <pic:blipFill>
                    <a:blip r:embed="rId73"/>
                    <a:stretch>
                      <a:fillRect/>
                    </a:stretch>
                  </pic:blipFill>
                  <pic:spPr>
                    <a:xfrm>
                      <a:off x="0" y="0"/>
                      <a:ext cx="5657143" cy="3457143"/>
                    </a:xfrm>
                    <a:prstGeom prst="rect">
                      <a:avLst/>
                    </a:prstGeom>
                  </pic:spPr>
                </pic:pic>
              </a:graphicData>
            </a:graphic>
          </wp:inline>
        </w:drawing>
      </w:r>
    </w:p>
    <w:p w14:paraId="32C73E0C" w14:textId="5EA83760" w:rsidR="00677577" w:rsidRPr="00B45F7C" w:rsidRDefault="00677577" w:rsidP="00677577">
      <w:pPr>
        <w:spacing w:before="120"/>
        <w:rPr>
          <w:rFonts w:ascii="Aptos" w:eastAsia="Aptos" w:hAnsi="Aptos" w:cs="Times New Roman"/>
          <w:sz w:val="18"/>
        </w:rPr>
      </w:pPr>
      <w:r w:rsidRPr="00B45F7C">
        <w:rPr>
          <w:rFonts w:ascii="Aptos" w:eastAsia="Aptos" w:hAnsi="Aptos" w:cs="Times New Roman"/>
          <w:b/>
          <w:bCs/>
          <w:sz w:val="18"/>
        </w:rPr>
        <w:t>Source:</w:t>
      </w:r>
      <w:r w:rsidRPr="00B45F7C">
        <w:rPr>
          <w:rFonts w:ascii="Aptos" w:eastAsia="Aptos" w:hAnsi="Aptos" w:cs="Times New Roman"/>
          <w:sz w:val="18"/>
        </w:rPr>
        <w:t xml:space="preserve"> Trends in Federal Enterprise Bargaining, September quarter 2024, Chart 6.</w:t>
      </w:r>
    </w:p>
    <w:p w14:paraId="20A42382" w14:textId="77777777" w:rsidR="00677577" w:rsidRPr="00B45F7C" w:rsidRDefault="00677577" w:rsidP="00677577">
      <w:pPr>
        <w:spacing w:before="120"/>
        <w:rPr>
          <w:rFonts w:ascii="Aptos" w:eastAsia="Aptos" w:hAnsi="Aptos" w:cs="Times New Roman"/>
          <w:sz w:val="18"/>
        </w:rPr>
      </w:pPr>
      <w:r w:rsidRPr="00B45F7C">
        <w:rPr>
          <w:rFonts w:ascii="Aptos" w:eastAsia="Aptos" w:hAnsi="Aptos" w:cs="Times New Roman"/>
          <w:b/>
          <w:sz w:val="18"/>
        </w:rPr>
        <w:t>Alt-text:</w:t>
      </w:r>
      <w:r w:rsidRPr="00B45F7C">
        <w:rPr>
          <w:rFonts w:ascii="Aptos" w:eastAsia="Aptos" w:hAnsi="Aptos" w:cs="Times New Roman"/>
          <w:sz w:val="18"/>
        </w:rPr>
        <w:t xml:space="preserve"> A bar chart showing the average annualised wage increases (AAWI) in union and non-union agreements </w:t>
      </w:r>
      <w:r>
        <w:rPr>
          <w:rFonts w:ascii="Aptos" w:eastAsia="Aptos" w:hAnsi="Aptos" w:cs="Times New Roman"/>
          <w:sz w:val="18"/>
        </w:rPr>
        <w:t>approved in</w:t>
      </w:r>
      <w:r w:rsidRPr="00B45F7C">
        <w:rPr>
          <w:rFonts w:ascii="Aptos" w:eastAsia="Aptos" w:hAnsi="Aptos" w:cs="Times New Roman"/>
          <w:sz w:val="18"/>
        </w:rPr>
        <w:t xml:space="preserve"> various quarters since September 2021. In the September 2024 quarter the AAWI in agreements that cover union(s) was 3.7% and, in the same quarter, the AAWI in agreements with no union(s) covered was 3.1%.</w:t>
      </w:r>
    </w:p>
    <w:p w14:paraId="53F30133" w14:textId="77777777" w:rsidR="00677577" w:rsidRDefault="00677577" w:rsidP="00677577">
      <w:pPr>
        <w:rPr>
          <w:rFonts w:cs="Calibri"/>
          <w:b/>
          <w:bCs/>
          <w:lang w:val="en-US"/>
        </w:rPr>
      </w:pPr>
      <w:bookmarkStart w:id="1018" w:name="_Ref184405154"/>
      <w:r>
        <w:rPr>
          <w:rFonts w:cs="Calibri"/>
          <w:b/>
          <w:bCs/>
          <w:lang w:val="en-US"/>
        </w:rPr>
        <w:br w:type="page"/>
      </w:r>
    </w:p>
    <w:p w14:paraId="2C81EC9A" w14:textId="534F8DEE" w:rsidR="00677577" w:rsidRDefault="00844718" w:rsidP="006E6D1A">
      <w:pPr>
        <w:pStyle w:val="Caption"/>
      </w:pPr>
      <w:bookmarkStart w:id="1019" w:name="_Toc194251486"/>
      <w:r>
        <w:t xml:space="preserve">Table </w:t>
      </w:r>
      <w:r>
        <w:fldChar w:fldCharType="begin"/>
      </w:r>
      <w:r>
        <w:instrText xml:space="preserve"> SEQ Table \* ARABIC </w:instrText>
      </w:r>
      <w:r>
        <w:fldChar w:fldCharType="separate"/>
      </w:r>
      <w:r w:rsidR="00DE5F5E">
        <w:rPr>
          <w:noProof/>
        </w:rPr>
        <w:t>62</w:t>
      </w:r>
      <w:r>
        <w:fldChar w:fldCharType="end"/>
      </w:r>
      <w:r>
        <w:t xml:space="preserve">: </w:t>
      </w:r>
      <w:r w:rsidR="00677577">
        <w:t xml:space="preserve">Average </w:t>
      </w:r>
      <w:r w:rsidR="00F56A5F">
        <w:t>a</w:t>
      </w:r>
      <w:r w:rsidR="00677577">
        <w:t>nnual</w:t>
      </w:r>
      <w:r w:rsidR="00FD4F1B">
        <w:t>ised</w:t>
      </w:r>
      <w:r w:rsidR="00677577">
        <w:t xml:space="preserve"> </w:t>
      </w:r>
      <w:r w:rsidR="00F56A5F">
        <w:t>w</w:t>
      </w:r>
      <w:r w:rsidR="00677577">
        <w:t xml:space="preserve">age </w:t>
      </w:r>
      <w:r w:rsidR="00F56A5F">
        <w:t>i</w:t>
      </w:r>
      <w:r w:rsidR="00677577">
        <w:t xml:space="preserve">ncrease (%) in </w:t>
      </w:r>
      <w:r w:rsidR="0021216A">
        <w:t>f</w:t>
      </w:r>
      <w:r w:rsidR="00677577">
        <w:t xml:space="preserve">ederal </w:t>
      </w:r>
      <w:r w:rsidR="0021216A">
        <w:t>e</w:t>
      </w:r>
      <w:r w:rsidR="00677577">
        <w:t xml:space="preserve">nterprise </w:t>
      </w:r>
      <w:r w:rsidR="0021216A">
        <w:t>a</w:t>
      </w:r>
      <w:r w:rsidR="00677577">
        <w:t>greements,</w:t>
      </w:r>
      <w:r w:rsidR="00677577" w:rsidDel="00D3501E">
        <w:t xml:space="preserve"> </w:t>
      </w:r>
      <w:r w:rsidR="00D3501E">
        <w:t xml:space="preserve">1993 </w:t>
      </w:r>
      <w:r w:rsidR="00677577">
        <w:t>to 2024</w:t>
      </w:r>
      <w:bookmarkEnd w:id="1019"/>
    </w:p>
    <w:tbl>
      <w:tblPr>
        <w:tblW w:w="9187" w:type="dxa"/>
        <w:tblLook w:val="04A0" w:firstRow="1" w:lastRow="0" w:firstColumn="1" w:lastColumn="0" w:noHBand="0" w:noVBand="1"/>
      </w:tblPr>
      <w:tblGrid>
        <w:gridCol w:w="1312"/>
        <w:gridCol w:w="1312"/>
        <w:gridCol w:w="1312"/>
        <w:gridCol w:w="1313"/>
        <w:gridCol w:w="1312"/>
        <w:gridCol w:w="1312"/>
        <w:gridCol w:w="1314"/>
      </w:tblGrid>
      <w:tr w:rsidR="00677577" w:rsidRPr="00236247" w14:paraId="7B3877F2" w14:textId="77777777" w:rsidTr="00E04C86">
        <w:trPr>
          <w:trHeight w:val="302"/>
        </w:trPr>
        <w:tc>
          <w:tcPr>
            <w:tcW w:w="1312" w:type="dxa"/>
            <w:tcBorders>
              <w:top w:val="single" w:sz="4" w:space="0" w:color="auto"/>
              <w:left w:val="nil"/>
              <w:bottom w:val="nil"/>
              <w:right w:val="nil"/>
            </w:tcBorders>
            <w:noWrap/>
            <w:vAlign w:val="bottom"/>
            <w:hideMark/>
          </w:tcPr>
          <w:p w14:paraId="0F5E9914" w14:textId="77777777" w:rsidR="00677577" w:rsidRPr="00F55963" w:rsidRDefault="00677577">
            <w:pPr>
              <w:spacing w:after="0" w:line="240" w:lineRule="auto"/>
              <w:rPr>
                <w:rFonts w:ascii="Aptos Narrow" w:eastAsia="Times New Roman" w:hAnsi="Aptos Narrow" w:cs="Times New Roman"/>
                <w:color w:val="000000"/>
                <w:sz w:val="20"/>
                <w:szCs w:val="20"/>
                <w:lang w:eastAsia="en-AU"/>
              </w:rPr>
            </w:pPr>
            <w:r w:rsidRPr="00F55963">
              <w:rPr>
                <w:rFonts w:ascii="Aptos Narrow" w:eastAsia="Times New Roman" w:hAnsi="Aptos Narrow" w:cs="Times New Roman"/>
                <w:color w:val="000000"/>
                <w:sz w:val="20"/>
                <w:szCs w:val="20"/>
                <w:lang w:eastAsia="en-AU"/>
              </w:rPr>
              <w:t> </w:t>
            </w:r>
          </w:p>
        </w:tc>
        <w:tc>
          <w:tcPr>
            <w:tcW w:w="3937" w:type="dxa"/>
            <w:gridSpan w:val="3"/>
            <w:tcBorders>
              <w:top w:val="single" w:sz="4" w:space="0" w:color="auto"/>
              <w:left w:val="nil"/>
              <w:bottom w:val="nil"/>
              <w:right w:val="nil"/>
            </w:tcBorders>
            <w:noWrap/>
            <w:vAlign w:val="bottom"/>
            <w:hideMark/>
          </w:tcPr>
          <w:p w14:paraId="3B235288" w14:textId="77777777" w:rsidR="00677577" w:rsidRPr="005D113F" w:rsidRDefault="00677577">
            <w:pPr>
              <w:spacing w:after="0" w:line="240" w:lineRule="auto"/>
              <w:rPr>
                <w:rFonts w:ascii="Aptos Narrow" w:eastAsia="Times New Roman" w:hAnsi="Aptos Narrow" w:cs="Times New Roman"/>
                <w:b/>
                <w:color w:val="000000"/>
                <w:sz w:val="20"/>
                <w:szCs w:val="20"/>
                <w:lang w:eastAsia="en-AU"/>
              </w:rPr>
            </w:pPr>
            <w:r w:rsidRPr="005D113F">
              <w:rPr>
                <w:rFonts w:ascii="Aptos Narrow" w:eastAsia="Times New Roman" w:hAnsi="Aptos Narrow" w:cs="Times New Roman"/>
                <w:b/>
                <w:color w:val="000000"/>
                <w:sz w:val="20"/>
                <w:szCs w:val="20"/>
                <w:lang w:eastAsia="en-AU"/>
              </w:rPr>
              <w:t>Approved</w:t>
            </w:r>
          </w:p>
          <w:p w14:paraId="55220312" w14:textId="77777777" w:rsidR="00677577" w:rsidRPr="005D113F" w:rsidRDefault="00677577">
            <w:pPr>
              <w:spacing w:after="0" w:line="240" w:lineRule="auto"/>
              <w:rPr>
                <w:rFonts w:ascii="Aptos Narrow" w:eastAsia="Times New Roman" w:hAnsi="Aptos Narrow" w:cs="Times New Roman"/>
                <w:color w:val="000000"/>
                <w:sz w:val="20"/>
                <w:szCs w:val="20"/>
                <w:lang w:eastAsia="en-AU"/>
              </w:rPr>
            </w:pPr>
            <w:r w:rsidRPr="005D113F">
              <w:rPr>
                <w:rFonts w:ascii="Aptos Narrow" w:eastAsia="Times New Roman" w:hAnsi="Aptos Narrow" w:cs="Times New Roman"/>
                <w:color w:val="000000"/>
                <w:sz w:val="20"/>
                <w:szCs w:val="20"/>
                <w:lang w:eastAsia="en-AU"/>
              </w:rPr>
              <w:t> </w:t>
            </w:r>
          </w:p>
        </w:tc>
        <w:tc>
          <w:tcPr>
            <w:tcW w:w="3937" w:type="dxa"/>
            <w:gridSpan w:val="3"/>
            <w:tcBorders>
              <w:top w:val="single" w:sz="4" w:space="0" w:color="auto"/>
              <w:left w:val="nil"/>
              <w:bottom w:val="nil"/>
              <w:right w:val="nil"/>
            </w:tcBorders>
            <w:noWrap/>
            <w:vAlign w:val="bottom"/>
            <w:hideMark/>
          </w:tcPr>
          <w:p w14:paraId="14DCB750" w14:textId="77777777" w:rsidR="00677577" w:rsidRPr="005D113F" w:rsidRDefault="00677577">
            <w:pPr>
              <w:spacing w:after="0" w:line="240" w:lineRule="auto"/>
              <w:rPr>
                <w:rFonts w:ascii="Aptos Narrow" w:eastAsia="Times New Roman" w:hAnsi="Aptos Narrow" w:cs="Times New Roman"/>
                <w:b/>
                <w:color w:val="000000"/>
                <w:sz w:val="20"/>
                <w:szCs w:val="20"/>
                <w:lang w:eastAsia="en-AU"/>
              </w:rPr>
            </w:pPr>
            <w:r w:rsidRPr="005D113F">
              <w:rPr>
                <w:rFonts w:ascii="Aptos Narrow" w:eastAsia="Times New Roman" w:hAnsi="Aptos Narrow" w:cs="Times New Roman"/>
                <w:b/>
                <w:color w:val="000000"/>
                <w:sz w:val="20"/>
                <w:szCs w:val="20"/>
                <w:lang w:eastAsia="en-AU"/>
              </w:rPr>
              <w:t>Current</w:t>
            </w:r>
          </w:p>
          <w:p w14:paraId="72712F82" w14:textId="77777777" w:rsidR="00677577" w:rsidRPr="00F55963" w:rsidRDefault="00677577">
            <w:pPr>
              <w:spacing w:after="0" w:line="240" w:lineRule="auto"/>
              <w:rPr>
                <w:rFonts w:ascii="Aptos Narrow" w:eastAsia="Times New Roman" w:hAnsi="Aptos Narrow" w:cs="Times New Roman"/>
                <w:color w:val="000000"/>
                <w:sz w:val="20"/>
                <w:szCs w:val="20"/>
                <w:lang w:eastAsia="en-AU"/>
              </w:rPr>
            </w:pPr>
            <w:r w:rsidRPr="00F55963">
              <w:rPr>
                <w:rFonts w:ascii="Aptos Narrow" w:eastAsia="Times New Roman" w:hAnsi="Aptos Narrow" w:cs="Times New Roman"/>
                <w:color w:val="000000"/>
                <w:sz w:val="20"/>
                <w:szCs w:val="20"/>
                <w:lang w:eastAsia="en-AU"/>
              </w:rPr>
              <w:t> </w:t>
            </w:r>
          </w:p>
        </w:tc>
      </w:tr>
      <w:tr w:rsidR="00677577" w:rsidRPr="00236247" w14:paraId="344E4955" w14:textId="77777777" w:rsidTr="00E04C86">
        <w:trPr>
          <w:trHeight w:val="302"/>
        </w:trPr>
        <w:tc>
          <w:tcPr>
            <w:tcW w:w="1312" w:type="dxa"/>
            <w:tcBorders>
              <w:top w:val="nil"/>
              <w:left w:val="nil"/>
              <w:bottom w:val="single" w:sz="4" w:space="0" w:color="auto"/>
              <w:right w:val="nil"/>
            </w:tcBorders>
            <w:noWrap/>
            <w:vAlign w:val="bottom"/>
            <w:hideMark/>
          </w:tcPr>
          <w:p w14:paraId="405E8A81" w14:textId="77777777" w:rsidR="00677577" w:rsidRPr="00F55963" w:rsidRDefault="00677577">
            <w:pPr>
              <w:spacing w:after="0" w:line="240" w:lineRule="auto"/>
              <w:rPr>
                <w:rFonts w:ascii="Aptos Narrow" w:eastAsia="Times New Roman" w:hAnsi="Aptos Narrow" w:cs="Times New Roman"/>
                <w:color w:val="000000"/>
                <w:sz w:val="20"/>
                <w:szCs w:val="20"/>
                <w:lang w:eastAsia="en-AU"/>
              </w:rPr>
            </w:pPr>
            <w:r w:rsidRPr="00F55963">
              <w:rPr>
                <w:rFonts w:ascii="Aptos Narrow" w:eastAsia="Times New Roman" w:hAnsi="Aptos Narrow" w:cs="Times New Roman"/>
                <w:color w:val="000000"/>
                <w:sz w:val="20"/>
                <w:szCs w:val="20"/>
                <w:lang w:eastAsia="en-AU"/>
              </w:rPr>
              <w:t> </w:t>
            </w:r>
          </w:p>
        </w:tc>
        <w:tc>
          <w:tcPr>
            <w:tcW w:w="1312" w:type="dxa"/>
            <w:tcBorders>
              <w:top w:val="nil"/>
              <w:left w:val="nil"/>
              <w:bottom w:val="single" w:sz="4" w:space="0" w:color="auto"/>
              <w:right w:val="nil"/>
            </w:tcBorders>
            <w:noWrap/>
            <w:vAlign w:val="bottom"/>
            <w:hideMark/>
          </w:tcPr>
          <w:p w14:paraId="05F45FFE" w14:textId="77777777" w:rsidR="00677577" w:rsidRPr="00F55963" w:rsidRDefault="00677577" w:rsidP="00C32691">
            <w:pPr>
              <w:spacing w:after="0" w:line="240" w:lineRule="auto"/>
              <w:jc w:val="right"/>
              <w:rPr>
                <w:rFonts w:ascii="Aptos Narrow" w:eastAsia="Times New Roman" w:hAnsi="Aptos Narrow" w:cs="Times New Roman"/>
                <w:color w:val="000000"/>
                <w:sz w:val="20"/>
                <w:szCs w:val="20"/>
                <w:lang w:eastAsia="en-AU"/>
              </w:rPr>
            </w:pPr>
            <w:r w:rsidRPr="00F55963">
              <w:rPr>
                <w:rFonts w:ascii="Aptos Narrow" w:eastAsia="Times New Roman" w:hAnsi="Aptos Narrow" w:cs="Times New Roman"/>
                <w:color w:val="000000"/>
                <w:sz w:val="20"/>
                <w:szCs w:val="20"/>
                <w:lang w:eastAsia="en-AU"/>
              </w:rPr>
              <w:t>Non-union</w:t>
            </w:r>
          </w:p>
        </w:tc>
        <w:tc>
          <w:tcPr>
            <w:tcW w:w="1312" w:type="dxa"/>
            <w:tcBorders>
              <w:top w:val="nil"/>
              <w:left w:val="nil"/>
              <w:bottom w:val="single" w:sz="4" w:space="0" w:color="auto"/>
              <w:right w:val="nil"/>
            </w:tcBorders>
            <w:noWrap/>
            <w:vAlign w:val="bottom"/>
            <w:hideMark/>
          </w:tcPr>
          <w:p w14:paraId="0B1340AF" w14:textId="77777777" w:rsidR="00677577" w:rsidRPr="00F55963" w:rsidRDefault="00677577" w:rsidP="00C32691">
            <w:pPr>
              <w:spacing w:after="0" w:line="240" w:lineRule="auto"/>
              <w:jc w:val="right"/>
              <w:rPr>
                <w:rFonts w:ascii="Aptos Narrow" w:eastAsia="Times New Roman" w:hAnsi="Aptos Narrow" w:cs="Times New Roman"/>
                <w:color w:val="000000"/>
                <w:sz w:val="20"/>
                <w:szCs w:val="20"/>
                <w:lang w:eastAsia="en-AU"/>
              </w:rPr>
            </w:pPr>
            <w:r w:rsidRPr="00F55963">
              <w:rPr>
                <w:rFonts w:ascii="Aptos Narrow" w:eastAsia="Times New Roman" w:hAnsi="Aptos Narrow" w:cs="Times New Roman"/>
                <w:color w:val="000000"/>
                <w:sz w:val="20"/>
                <w:szCs w:val="20"/>
                <w:lang w:eastAsia="en-AU"/>
              </w:rPr>
              <w:t>Union</w:t>
            </w:r>
          </w:p>
        </w:tc>
        <w:tc>
          <w:tcPr>
            <w:tcW w:w="1312" w:type="dxa"/>
            <w:tcBorders>
              <w:top w:val="nil"/>
              <w:left w:val="nil"/>
              <w:bottom w:val="single" w:sz="4" w:space="0" w:color="auto"/>
              <w:right w:val="nil"/>
            </w:tcBorders>
          </w:tcPr>
          <w:p w14:paraId="7CA52FE5" w14:textId="77777777" w:rsidR="00677577" w:rsidRPr="00F55963" w:rsidRDefault="00677577" w:rsidP="00C32691">
            <w:pPr>
              <w:spacing w:after="0" w:line="240" w:lineRule="auto"/>
              <w:jc w:val="right"/>
              <w:rPr>
                <w:rFonts w:ascii="Aptos Narrow" w:eastAsia="Times New Roman" w:hAnsi="Aptos Narrow" w:cs="Times New Roman"/>
                <w:color w:val="000000"/>
                <w:sz w:val="20"/>
                <w:szCs w:val="20"/>
                <w:lang w:eastAsia="en-AU"/>
              </w:rPr>
            </w:pPr>
            <w:r w:rsidRPr="00F55963">
              <w:rPr>
                <w:rFonts w:ascii="Aptos Narrow" w:eastAsia="Times New Roman" w:hAnsi="Aptos Narrow" w:cs="Times New Roman"/>
                <w:color w:val="000000"/>
                <w:sz w:val="20"/>
                <w:szCs w:val="20"/>
                <w:lang w:eastAsia="en-AU"/>
              </w:rPr>
              <w:t>All</w:t>
            </w:r>
          </w:p>
        </w:tc>
        <w:tc>
          <w:tcPr>
            <w:tcW w:w="1312" w:type="dxa"/>
            <w:tcBorders>
              <w:top w:val="nil"/>
              <w:left w:val="nil"/>
              <w:bottom w:val="single" w:sz="4" w:space="0" w:color="auto"/>
              <w:right w:val="nil"/>
            </w:tcBorders>
            <w:noWrap/>
            <w:vAlign w:val="bottom"/>
            <w:hideMark/>
          </w:tcPr>
          <w:p w14:paraId="682B587A" w14:textId="77777777" w:rsidR="00677577" w:rsidRPr="00F55963" w:rsidRDefault="00677577" w:rsidP="00C32691">
            <w:pPr>
              <w:spacing w:after="0" w:line="240" w:lineRule="auto"/>
              <w:jc w:val="right"/>
              <w:rPr>
                <w:rFonts w:ascii="Aptos Narrow" w:eastAsia="Times New Roman" w:hAnsi="Aptos Narrow" w:cs="Times New Roman"/>
                <w:color w:val="000000"/>
                <w:sz w:val="20"/>
                <w:szCs w:val="20"/>
                <w:lang w:eastAsia="en-AU"/>
              </w:rPr>
            </w:pPr>
            <w:r w:rsidRPr="00F55963">
              <w:rPr>
                <w:rFonts w:ascii="Aptos Narrow" w:eastAsia="Times New Roman" w:hAnsi="Aptos Narrow" w:cs="Times New Roman"/>
                <w:color w:val="000000"/>
                <w:sz w:val="20"/>
                <w:szCs w:val="20"/>
                <w:lang w:eastAsia="en-AU"/>
              </w:rPr>
              <w:t>Non-union</w:t>
            </w:r>
          </w:p>
        </w:tc>
        <w:tc>
          <w:tcPr>
            <w:tcW w:w="1312" w:type="dxa"/>
            <w:tcBorders>
              <w:top w:val="nil"/>
              <w:left w:val="nil"/>
              <w:bottom w:val="single" w:sz="4" w:space="0" w:color="auto"/>
              <w:right w:val="nil"/>
            </w:tcBorders>
            <w:noWrap/>
            <w:vAlign w:val="bottom"/>
            <w:hideMark/>
          </w:tcPr>
          <w:p w14:paraId="61EE3CED" w14:textId="77777777" w:rsidR="00677577" w:rsidRPr="00F55963" w:rsidRDefault="00677577" w:rsidP="00C32691">
            <w:pPr>
              <w:spacing w:after="0" w:line="240" w:lineRule="auto"/>
              <w:jc w:val="right"/>
              <w:rPr>
                <w:rFonts w:ascii="Aptos Narrow" w:eastAsia="Times New Roman" w:hAnsi="Aptos Narrow" w:cs="Times New Roman"/>
                <w:color w:val="000000"/>
                <w:sz w:val="20"/>
                <w:szCs w:val="20"/>
                <w:lang w:eastAsia="en-AU"/>
              </w:rPr>
            </w:pPr>
            <w:r w:rsidRPr="00F55963">
              <w:rPr>
                <w:rFonts w:ascii="Aptos Narrow" w:eastAsia="Times New Roman" w:hAnsi="Aptos Narrow" w:cs="Times New Roman"/>
                <w:color w:val="000000"/>
                <w:sz w:val="20"/>
                <w:szCs w:val="20"/>
                <w:lang w:eastAsia="en-AU"/>
              </w:rPr>
              <w:t>Union</w:t>
            </w:r>
          </w:p>
        </w:tc>
        <w:tc>
          <w:tcPr>
            <w:tcW w:w="1312" w:type="dxa"/>
            <w:tcBorders>
              <w:top w:val="nil"/>
              <w:left w:val="nil"/>
              <w:bottom w:val="single" w:sz="4" w:space="0" w:color="auto"/>
              <w:right w:val="nil"/>
            </w:tcBorders>
          </w:tcPr>
          <w:p w14:paraId="0BA42C90" w14:textId="77777777" w:rsidR="00677577" w:rsidRPr="00F55963" w:rsidRDefault="00677577" w:rsidP="00C32691">
            <w:pPr>
              <w:spacing w:after="0" w:line="240" w:lineRule="auto"/>
              <w:jc w:val="right"/>
              <w:rPr>
                <w:rFonts w:ascii="Aptos Narrow" w:eastAsia="Times New Roman" w:hAnsi="Aptos Narrow" w:cs="Times New Roman"/>
                <w:color w:val="000000"/>
                <w:sz w:val="20"/>
                <w:szCs w:val="20"/>
                <w:lang w:eastAsia="en-AU"/>
              </w:rPr>
            </w:pPr>
            <w:r w:rsidRPr="00F55963">
              <w:rPr>
                <w:rFonts w:ascii="Aptos Narrow" w:eastAsia="Times New Roman" w:hAnsi="Aptos Narrow" w:cs="Times New Roman"/>
                <w:color w:val="000000"/>
                <w:sz w:val="20"/>
                <w:szCs w:val="20"/>
                <w:lang w:eastAsia="en-AU"/>
              </w:rPr>
              <w:t>All</w:t>
            </w:r>
          </w:p>
        </w:tc>
      </w:tr>
      <w:tr w:rsidR="00677577" w:rsidRPr="00236247" w14:paraId="4C378D8D" w14:textId="77777777" w:rsidTr="00E04C86">
        <w:trPr>
          <w:trHeight w:val="302"/>
        </w:trPr>
        <w:tc>
          <w:tcPr>
            <w:tcW w:w="1312" w:type="dxa"/>
            <w:tcBorders>
              <w:top w:val="nil"/>
              <w:left w:val="nil"/>
              <w:bottom w:val="nil"/>
              <w:right w:val="nil"/>
            </w:tcBorders>
            <w:shd w:val="clear" w:color="000000" w:fill="FFFFFF"/>
            <w:noWrap/>
            <w:vAlign w:val="bottom"/>
          </w:tcPr>
          <w:p w14:paraId="3A60247C" w14:textId="77777777" w:rsidR="00677577" w:rsidRPr="00C32691" w:rsidRDefault="00677577">
            <w:pPr>
              <w:spacing w:after="0" w:line="240" w:lineRule="auto"/>
              <w:rPr>
                <w:rFonts w:ascii="Aptos Narrow" w:eastAsia="Times New Roman" w:hAnsi="Aptos Narrow" w:cs="Times New Roman"/>
                <w:b/>
                <w:color w:val="000000"/>
                <w:sz w:val="20"/>
                <w:szCs w:val="20"/>
                <w:lang w:eastAsia="en-AU"/>
              </w:rPr>
            </w:pPr>
          </w:p>
        </w:tc>
        <w:tc>
          <w:tcPr>
            <w:tcW w:w="7875" w:type="dxa"/>
            <w:gridSpan w:val="6"/>
            <w:tcBorders>
              <w:top w:val="nil"/>
              <w:left w:val="nil"/>
              <w:bottom w:val="nil"/>
              <w:right w:val="nil"/>
            </w:tcBorders>
            <w:shd w:val="clear" w:color="000000" w:fill="FFFFFF"/>
            <w:noWrap/>
            <w:vAlign w:val="bottom"/>
          </w:tcPr>
          <w:p w14:paraId="15648463" w14:textId="77777777" w:rsidR="00677577" w:rsidRPr="00C32691" w:rsidRDefault="00677577" w:rsidP="00E04C86">
            <w:pPr>
              <w:pStyle w:val="ListParagraph"/>
              <w:numPr>
                <w:ilvl w:val="0"/>
                <w:numId w:val="41"/>
              </w:numPr>
              <w:spacing w:after="0" w:line="240" w:lineRule="auto"/>
              <w:jc w:val="center"/>
              <w:rPr>
                <w:rFonts w:ascii="Calibri" w:eastAsia="Times New Roman" w:hAnsi="Calibri" w:cs="Calibri"/>
                <w:color w:val="000000"/>
                <w:sz w:val="20"/>
                <w:szCs w:val="20"/>
                <w:lang w:eastAsia="en-AU"/>
              </w:rPr>
            </w:pPr>
            <w:r w:rsidRPr="00C32691">
              <w:rPr>
                <w:rFonts w:ascii="Calibri" w:eastAsia="Times New Roman" w:hAnsi="Calibri" w:cs="Calibri"/>
                <w:color w:val="000000"/>
                <w:sz w:val="20"/>
                <w:szCs w:val="20"/>
                <w:lang w:eastAsia="en-AU"/>
              </w:rPr>
              <w:t>% -</w:t>
            </w:r>
          </w:p>
        </w:tc>
      </w:tr>
      <w:tr w:rsidR="00677577" w:rsidRPr="00236247" w14:paraId="7015FF05" w14:textId="77777777" w:rsidTr="00E04C86">
        <w:trPr>
          <w:trHeight w:val="302"/>
        </w:trPr>
        <w:tc>
          <w:tcPr>
            <w:tcW w:w="1312" w:type="dxa"/>
            <w:tcBorders>
              <w:top w:val="nil"/>
              <w:left w:val="nil"/>
              <w:bottom w:val="nil"/>
              <w:right w:val="nil"/>
            </w:tcBorders>
            <w:shd w:val="clear" w:color="000000" w:fill="FFFFFF"/>
            <w:noWrap/>
            <w:vAlign w:val="bottom"/>
            <w:hideMark/>
          </w:tcPr>
          <w:p w14:paraId="0A3E2DEC" w14:textId="77777777" w:rsidR="00677577" w:rsidRPr="00C32691" w:rsidRDefault="00677577">
            <w:pPr>
              <w:spacing w:after="0" w:line="240" w:lineRule="auto"/>
              <w:rPr>
                <w:rFonts w:ascii="Aptos Narrow" w:eastAsia="Times New Roman" w:hAnsi="Aptos Narrow" w:cs="Times New Roman"/>
                <w:b/>
                <w:color w:val="000000"/>
                <w:sz w:val="20"/>
                <w:szCs w:val="20"/>
                <w:lang w:eastAsia="en-AU"/>
              </w:rPr>
            </w:pPr>
            <w:r w:rsidRPr="00C32691">
              <w:rPr>
                <w:rFonts w:ascii="Aptos Narrow" w:eastAsia="Times New Roman" w:hAnsi="Aptos Narrow" w:cs="Times New Roman"/>
                <w:b/>
                <w:color w:val="000000"/>
                <w:sz w:val="20"/>
                <w:szCs w:val="20"/>
                <w:lang w:eastAsia="en-AU"/>
              </w:rPr>
              <w:t>1993</w:t>
            </w:r>
          </w:p>
        </w:tc>
        <w:tc>
          <w:tcPr>
            <w:tcW w:w="1312" w:type="dxa"/>
            <w:tcBorders>
              <w:top w:val="nil"/>
              <w:left w:val="nil"/>
              <w:bottom w:val="nil"/>
              <w:right w:val="nil"/>
            </w:tcBorders>
            <w:shd w:val="clear" w:color="000000" w:fill="FFFFFF"/>
            <w:noWrap/>
            <w:vAlign w:val="bottom"/>
            <w:hideMark/>
          </w:tcPr>
          <w:p w14:paraId="0E746618" w14:textId="77777777" w:rsidR="00677577" w:rsidRPr="00C32691" w:rsidRDefault="00677577" w:rsidP="00C32691">
            <w:pPr>
              <w:spacing w:after="0" w:line="240" w:lineRule="auto"/>
              <w:jc w:val="right"/>
              <w:rPr>
                <w:rFonts w:ascii="Aptos Narrow" w:eastAsia="Times New Roman" w:hAnsi="Aptos Narrow" w:cs="Times New Roman"/>
                <w:color w:val="000000"/>
                <w:sz w:val="20"/>
                <w:szCs w:val="20"/>
                <w:lang w:eastAsia="en-AU"/>
              </w:rPr>
            </w:pPr>
            <w:r w:rsidRPr="00C32691">
              <w:rPr>
                <w:rFonts w:ascii="Aptos Narrow" w:eastAsia="Times New Roman" w:hAnsi="Aptos Narrow" w:cs="Times New Roman"/>
                <w:color w:val="000000"/>
                <w:sz w:val="20"/>
                <w:szCs w:val="20"/>
                <w:lang w:eastAsia="en-AU"/>
              </w:rPr>
              <w:t>2.9</w:t>
            </w:r>
          </w:p>
        </w:tc>
        <w:tc>
          <w:tcPr>
            <w:tcW w:w="1312" w:type="dxa"/>
            <w:tcBorders>
              <w:top w:val="nil"/>
              <w:left w:val="nil"/>
              <w:bottom w:val="nil"/>
              <w:right w:val="nil"/>
            </w:tcBorders>
            <w:shd w:val="clear" w:color="000000" w:fill="FFFFFF"/>
            <w:noWrap/>
            <w:vAlign w:val="bottom"/>
            <w:hideMark/>
          </w:tcPr>
          <w:p w14:paraId="227D5267" w14:textId="77777777" w:rsidR="00677577" w:rsidRPr="00C32691" w:rsidRDefault="00677577" w:rsidP="00C32691">
            <w:pPr>
              <w:spacing w:after="0" w:line="240" w:lineRule="auto"/>
              <w:jc w:val="right"/>
              <w:rPr>
                <w:rFonts w:ascii="Aptos Narrow" w:eastAsia="Times New Roman" w:hAnsi="Aptos Narrow" w:cs="Times New Roman"/>
                <w:color w:val="000000"/>
                <w:sz w:val="20"/>
                <w:szCs w:val="20"/>
                <w:lang w:eastAsia="en-AU"/>
              </w:rPr>
            </w:pPr>
            <w:r w:rsidRPr="00C32691">
              <w:rPr>
                <w:rFonts w:ascii="Aptos Narrow" w:eastAsia="Times New Roman" w:hAnsi="Aptos Narrow" w:cs="Times New Roman"/>
                <w:color w:val="000000"/>
                <w:sz w:val="20"/>
                <w:szCs w:val="20"/>
                <w:lang w:eastAsia="en-AU"/>
              </w:rPr>
              <w:t>3.9</w:t>
            </w:r>
          </w:p>
        </w:tc>
        <w:tc>
          <w:tcPr>
            <w:tcW w:w="1312" w:type="dxa"/>
            <w:tcBorders>
              <w:top w:val="nil"/>
              <w:left w:val="nil"/>
              <w:bottom w:val="nil"/>
              <w:right w:val="nil"/>
            </w:tcBorders>
            <w:vAlign w:val="bottom"/>
          </w:tcPr>
          <w:p w14:paraId="3CCF0F49" w14:textId="77777777" w:rsidR="00677577" w:rsidRPr="00C32691" w:rsidRDefault="00677577" w:rsidP="00C32691">
            <w:pPr>
              <w:spacing w:after="0" w:line="240" w:lineRule="auto"/>
              <w:jc w:val="right"/>
              <w:rPr>
                <w:rFonts w:ascii="Aptos Narrow" w:eastAsia="Times New Roman" w:hAnsi="Aptos Narrow" w:cs="Times New Roman"/>
                <w:color w:val="000000"/>
                <w:sz w:val="20"/>
                <w:szCs w:val="20"/>
                <w:lang w:eastAsia="en-AU"/>
              </w:rPr>
            </w:pPr>
            <w:r w:rsidRPr="00C32691">
              <w:rPr>
                <w:rFonts w:ascii="Aptos Narrow" w:eastAsia="Times New Roman" w:hAnsi="Aptos Narrow" w:cs="Times New Roman"/>
                <w:color w:val="000000"/>
                <w:sz w:val="20"/>
                <w:szCs w:val="20"/>
                <w:lang w:eastAsia="en-AU"/>
              </w:rPr>
              <w:t>3.9</w:t>
            </w:r>
          </w:p>
        </w:tc>
        <w:tc>
          <w:tcPr>
            <w:tcW w:w="1312" w:type="dxa"/>
            <w:tcBorders>
              <w:top w:val="nil"/>
              <w:left w:val="nil"/>
              <w:bottom w:val="nil"/>
              <w:right w:val="nil"/>
            </w:tcBorders>
            <w:noWrap/>
            <w:vAlign w:val="bottom"/>
            <w:hideMark/>
          </w:tcPr>
          <w:p w14:paraId="6E8A4380" w14:textId="77777777" w:rsidR="00677577" w:rsidRPr="00C32691" w:rsidRDefault="00677577" w:rsidP="00C32691">
            <w:pPr>
              <w:spacing w:after="0" w:line="240" w:lineRule="auto"/>
              <w:jc w:val="right"/>
              <w:rPr>
                <w:rFonts w:ascii="Aptos Narrow" w:eastAsia="Times New Roman" w:hAnsi="Aptos Narrow" w:cs="Times New Roman"/>
                <w:color w:val="000000"/>
                <w:sz w:val="20"/>
                <w:szCs w:val="20"/>
                <w:lang w:eastAsia="en-AU"/>
              </w:rPr>
            </w:pPr>
            <w:r w:rsidRPr="00C32691">
              <w:rPr>
                <w:rFonts w:ascii="Aptos Narrow" w:eastAsia="Times New Roman" w:hAnsi="Aptos Narrow" w:cs="Times New Roman"/>
                <w:color w:val="000000"/>
                <w:sz w:val="20"/>
                <w:szCs w:val="20"/>
                <w:lang w:eastAsia="en-AU"/>
              </w:rPr>
              <w:t>1.7</w:t>
            </w:r>
          </w:p>
        </w:tc>
        <w:tc>
          <w:tcPr>
            <w:tcW w:w="1312" w:type="dxa"/>
            <w:tcBorders>
              <w:top w:val="nil"/>
              <w:left w:val="nil"/>
              <w:bottom w:val="nil"/>
              <w:right w:val="nil"/>
            </w:tcBorders>
            <w:noWrap/>
            <w:vAlign w:val="bottom"/>
            <w:hideMark/>
          </w:tcPr>
          <w:p w14:paraId="494C797D" w14:textId="77777777" w:rsidR="00677577" w:rsidRPr="00C32691" w:rsidRDefault="00677577" w:rsidP="00C32691">
            <w:pPr>
              <w:spacing w:after="0" w:line="240" w:lineRule="auto"/>
              <w:jc w:val="right"/>
              <w:rPr>
                <w:rFonts w:ascii="Aptos Narrow" w:eastAsia="Times New Roman" w:hAnsi="Aptos Narrow" w:cs="Times New Roman"/>
                <w:color w:val="000000"/>
                <w:sz w:val="20"/>
                <w:szCs w:val="20"/>
                <w:lang w:eastAsia="en-AU"/>
              </w:rPr>
            </w:pPr>
            <w:r w:rsidRPr="00C32691">
              <w:rPr>
                <w:rFonts w:ascii="Aptos Narrow" w:eastAsia="Times New Roman" w:hAnsi="Aptos Narrow" w:cs="Times New Roman"/>
                <w:color w:val="000000"/>
                <w:sz w:val="20"/>
                <w:szCs w:val="20"/>
                <w:lang w:eastAsia="en-AU"/>
              </w:rPr>
              <w:t>3.7</w:t>
            </w:r>
          </w:p>
        </w:tc>
        <w:tc>
          <w:tcPr>
            <w:tcW w:w="1312" w:type="dxa"/>
            <w:tcBorders>
              <w:top w:val="nil"/>
              <w:left w:val="nil"/>
              <w:bottom w:val="nil"/>
              <w:right w:val="nil"/>
            </w:tcBorders>
            <w:vAlign w:val="center"/>
          </w:tcPr>
          <w:p w14:paraId="15DD9125" w14:textId="77777777" w:rsidR="00677577" w:rsidRPr="00C32691" w:rsidRDefault="00677577" w:rsidP="00C32691">
            <w:pPr>
              <w:spacing w:after="0" w:line="240" w:lineRule="auto"/>
              <w:jc w:val="right"/>
              <w:rPr>
                <w:rFonts w:ascii="Aptos Narrow" w:eastAsia="Times New Roman" w:hAnsi="Aptos Narrow" w:cs="Times New Roman"/>
                <w:color w:val="000000"/>
                <w:sz w:val="20"/>
                <w:szCs w:val="20"/>
                <w:lang w:eastAsia="en-AU"/>
              </w:rPr>
            </w:pPr>
            <w:r w:rsidRPr="00C32691">
              <w:rPr>
                <w:rFonts w:ascii="Calibri" w:eastAsia="Times New Roman" w:hAnsi="Calibri" w:cs="Calibri"/>
                <w:color w:val="000000"/>
                <w:sz w:val="20"/>
                <w:szCs w:val="20"/>
                <w:lang w:eastAsia="en-AU"/>
              </w:rPr>
              <w:t>3.6</w:t>
            </w:r>
          </w:p>
        </w:tc>
      </w:tr>
      <w:tr w:rsidR="00677577" w:rsidRPr="00236247" w14:paraId="00BFE59B" w14:textId="77777777" w:rsidTr="00E04C86">
        <w:trPr>
          <w:trHeight w:val="302"/>
        </w:trPr>
        <w:tc>
          <w:tcPr>
            <w:tcW w:w="1312" w:type="dxa"/>
            <w:tcBorders>
              <w:top w:val="nil"/>
              <w:left w:val="nil"/>
              <w:bottom w:val="nil"/>
              <w:right w:val="nil"/>
            </w:tcBorders>
            <w:shd w:val="clear" w:color="000000" w:fill="FFFFFF"/>
            <w:noWrap/>
            <w:vAlign w:val="bottom"/>
            <w:hideMark/>
          </w:tcPr>
          <w:p w14:paraId="16E56711" w14:textId="77777777" w:rsidR="00677577" w:rsidRPr="00C32691" w:rsidRDefault="00677577">
            <w:pPr>
              <w:spacing w:after="0" w:line="240" w:lineRule="auto"/>
              <w:rPr>
                <w:rFonts w:ascii="Aptos Narrow" w:eastAsia="Times New Roman" w:hAnsi="Aptos Narrow" w:cs="Times New Roman"/>
                <w:b/>
                <w:color w:val="000000"/>
                <w:sz w:val="20"/>
                <w:szCs w:val="20"/>
                <w:lang w:eastAsia="en-AU"/>
              </w:rPr>
            </w:pPr>
            <w:r w:rsidRPr="00C32691">
              <w:rPr>
                <w:rFonts w:ascii="Aptos Narrow" w:eastAsia="Times New Roman" w:hAnsi="Aptos Narrow" w:cs="Times New Roman"/>
                <w:b/>
                <w:color w:val="000000"/>
                <w:sz w:val="20"/>
                <w:szCs w:val="20"/>
                <w:lang w:eastAsia="en-AU"/>
              </w:rPr>
              <w:t>1994</w:t>
            </w:r>
          </w:p>
        </w:tc>
        <w:tc>
          <w:tcPr>
            <w:tcW w:w="1312" w:type="dxa"/>
            <w:tcBorders>
              <w:top w:val="nil"/>
              <w:left w:val="nil"/>
              <w:bottom w:val="nil"/>
              <w:right w:val="nil"/>
            </w:tcBorders>
            <w:shd w:val="clear" w:color="000000" w:fill="FFFFFF"/>
            <w:noWrap/>
            <w:vAlign w:val="bottom"/>
            <w:hideMark/>
          </w:tcPr>
          <w:p w14:paraId="79AFC194" w14:textId="77777777" w:rsidR="00677577" w:rsidRPr="00C32691" w:rsidRDefault="00677577" w:rsidP="00C32691">
            <w:pPr>
              <w:spacing w:after="0" w:line="240" w:lineRule="auto"/>
              <w:jc w:val="right"/>
              <w:rPr>
                <w:rFonts w:ascii="Aptos Narrow" w:eastAsia="Times New Roman" w:hAnsi="Aptos Narrow" w:cs="Times New Roman"/>
                <w:color w:val="000000"/>
                <w:sz w:val="20"/>
                <w:szCs w:val="20"/>
                <w:lang w:eastAsia="en-AU"/>
              </w:rPr>
            </w:pPr>
            <w:r w:rsidRPr="00C32691">
              <w:rPr>
                <w:rFonts w:ascii="Aptos Narrow" w:eastAsia="Times New Roman" w:hAnsi="Aptos Narrow" w:cs="Times New Roman"/>
                <w:color w:val="000000"/>
                <w:sz w:val="20"/>
                <w:szCs w:val="20"/>
                <w:lang w:eastAsia="en-AU"/>
              </w:rPr>
              <w:t>2.5</w:t>
            </w:r>
          </w:p>
        </w:tc>
        <w:tc>
          <w:tcPr>
            <w:tcW w:w="1312" w:type="dxa"/>
            <w:tcBorders>
              <w:top w:val="nil"/>
              <w:left w:val="nil"/>
              <w:bottom w:val="nil"/>
              <w:right w:val="nil"/>
            </w:tcBorders>
            <w:shd w:val="clear" w:color="000000" w:fill="FFFFFF"/>
            <w:noWrap/>
            <w:vAlign w:val="bottom"/>
            <w:hideMark/>
          </w:tcPr>
          <w:p w14:paraId="66A232C4" w14:textId="77777777" w:rsidR="00677577" w:rsidRPr="00C32691" w:rsidRDefault="00677577" w:rsidP="00C32691">
            <w:pPr>
              <w:spacing w:after="0" w:line="240" w:lineRule="auto"/>
              <w:jc w:val="right"/>
              <w:rPr>
                <w:rFonts w:ascii="Aptos Narrow" w:eastAsia="Times New Roman" w:hAnsi="Aptos Narrow" w:cs="Times New Roman"/>
                <w:color w:val="000000"/>
                <w:sz w:val="20"/>
                <w:szCs w:val="20"/>
                <w:lang w:eastAsia="en-AU"/>
              </w:rPr>
            </w:pPr>
            <w:r w:rsidRPr="00C32691">
              <w:rPr>
                <w:rFonts w:ascii="Aptos Narrow" w:eastAsia="Times New Roman" w:hAnsi="Aptos Narrow" w:cs="Times New Roman"/>
                <w:color w:val="000000"/>
                <w:sz w:val="20"/>
                <w:szCs w:val="20"/>
                <w:lang w:eastAsia="en-AU"/>
              </w:rPr>
              <w:t>3.6</w:t>
            </w:r>
          </w:p>
        </w:tc>
        <w:tc>
          <w:tcPr>
            <w:tcW w:w="1312" w:type="dxa"/>
            <w:tcBorders>
              <w:top w:val="nil"/>
              <w:left w:val="nil"/>
              <w:bottom w:val="nil"/>
              <w:right w:val="nil"/>
            </w:tcBorders>
            <w:vAlign w:val="bottom"/>
          </w:tcPr>
          <w:p w14:paraId="77826789" w14:textId="77777777" w:rsidR="00677577" w:rsidRPr="00C32691" w:rsidRDefault="00677577" w:rsidP="00C32691">
            <w:pPr>
              <w:spacing w:after="0" w:line="240" w:lineRule="auto"/>
              <w:jc w:val="right"/>
              <w:rPr>
                <w:rFonts w:ascii="Aptos Narrow" w:eastAsia="Times New Roman" w:hAnsi="Aptos Narrow" w:cs="Times New Roman"/>
                <w:color w:val="000000"/>
                <w:sz w:val="20"/>
                <w:szCs w:val="20"/>
                <w:lang w:eastAsia="en-AU"/>
              </w:rPr>
            </w:pPr>
            <w:r w:rsidRPr="00C32691">
              <w:rPr>
                <w:rFonts w:ascii="Aptos Narrow" w:eastAsia="Times New Roman" w:hAnsi="Aptos Narrow" w:cs="Times New Roman"/>
                <w:color w:val="000000"/>
                <w:sz w:val="20"/>
                <w:szCs w:val="20"/>
                <w:lang w:eastAsia="en-AU"/>
              </w:rPr>
              <w:t>3.5</w:t>
            </w:r>
          </w:p>
        </w:tc>
        <w:tc>
          <w:tcPr>
            <w:tcW w:w="1312" w:type="dxa"/>
            <w:tcBorders>
              <w:top w:val="nil"/>
              <w:left w:val="nil"/>
              <w:bottom w:val="nil"/>
              <w:right w:val="nil"/>
            </w:tcBorders>
            <w:noWrap/>
            <w:vAlign w:val="bottom"/>
            <w:hideMark/>
          </w:tcPr>
          <w:p w14:paraId="60CAE6E8" w14:textId="77777777" w:rsidR="00677577" w:rsidRPr="00C32691" w:rsidRDefault="00677577" w:rsidP="00C32691">
            <w:pPr>
              <w:spacing w:after="0" w:line="240" w:lineRule="auto"/>
              <w:jc w:val="right"/>
              <w:rPr>
                <w:rFonts w:ascii="Aptos Narrow" w:eastAsia="Times New Roman" w:hAnsi="Aptos Narrow" w:cs="Times New Roman"/>
                <w:color w:val="000000"/>
                <w:sz w:val="20"/>
                <w:szCs w:val="20"/>
                <w:lang w:eastAsia="en-AU"/>
              </w:rPr>
            </w:pPr>
            <w:r w:rsidRPr="00C32691">
              <w:rPr>
                <w:rFonts w:ascii="Aptos Narrow" w:eastAsia="Times New Roman" w:hAnsi="Aptos Narrow" w:cs="Times New Roman"/>
                <w:color w:val="000000"/>
                <w:sz w:val="20"/>
                <w:szCs w:val="20"/>
                <w:lang w:eastAsia="en-AU"/>
              </w:rPr>
              <w:t>2.6</w:t>
            </w:r>
          </w:p>
        </w:tc>
        <w:tc>
          <w:tcPr>
            <w:tcW w:w="1312" w:type="dxa"/>
            <w:tcBorders>
              <w:top w:val="nil"/>
              <w:left w:val="nil"/>
              <w:bottom w:val="nil"/>
              <w:right w:val="nil"/>
            </w:tcBorders>
            <w:noWrap/>
            <w:vAlign w:val="bottom"/>
            <w:hideMark/>
          </w:tcPr>
          <w:p w14:paraId="63094119" w14:textId="77777777" w:rsidR="00677577" w:rsidRPr="00C32691" w:rsidRDefault="00677577" w:rsidP="00C32691">
            <w:pPr>
              <w:spacing w:after="0" w:line="240" w:lineRule="auto"/>
              <w:jc w:val="right"/>
              <w:rPr>
                <w:rFonts w:ascii="Aptos Narrow" w:eastAsia="Times New Roman" w:hAnsi="Aptos Narrow" w:cs="Times New Roman"/>
                <w:color w:val="000000"/>
                <w:sz w:val="20"/>
                <w:szCs w:val="20"/>
                <w:lang w:eastAsia="en-AU"/>
              </w:rPr>
            </w:pPr>
            <w:r w:rsidRPr="00C32691">
              <w:rPr>
                <w:rFonts w:ascii="Aptos Narrow" w:eastAsia="Times New Roman" w:hAnsi="Aptos Narrow" w:cs="Times New Roman"/>
                <w:color w:val="000000"/>
                <w:sz w:val="20"/>
                <w:szCs w:val="20"/>
                <w:lang w:eastAsia="en-AU"/>
              </w:rPr>
              <w:t>3.5</w:t>
            </w:r>
          </w:p>
        </w:tc>
        <w:tc>
          <w:tcPr>
            <w:tcW w:w="1312" w:type="dxa"/>
            <w:tcBorders>
              <w:top w:val="nil"/>
              <w:left w:val="nil"/>
              <w:bottom w:val="nil"/>
              <w:right w:val="nil"/>
            </w:tcBorders>
            <w:vAlign w:val="center"/>
          </w:tcPr>
          <w:p w14:paraId="75134EB8" w14:textId="77777777" w:rsidR="00677577" w:rsidRPr="00C32691" w:rsidRDefault="00677577" w:rsidP="00C32691">
            <w:pPr>
              <w:spacing w:after="0" w:line="240" w:lineRule="auto"/>
              <w:jc w:val="right"/>
              <w:rPr>
                <w:rFonts w:ascii="Aptos Narrow" w:eastAsia="Times New Roman" w:hAnsi="Aptos Narrow" w:cs="Times New Roman"/>
                <w:color w:val="000000"/>
                <w:sz w:val="20"/>
                <w:szCs w:val="20"/>
                <w:lang w:eastAsia="en-AU"/>
              </w:rPr>
            </w:pPr>
            <w:r w:rsidRPr="00C32691">
              <w:rPr>
                <w:rFonts w:ascii="Calibri" w:eastAsia="Times New Roman" w:hAnsi="Calibri" w:cs="Calibri"/>
                <w:color w:val="000000"/>
                <w:sz w:val="20"/>
                <w:szCs w:val="20"/>
                <w:lang w:eastAsia="en-AU"/>
              </w:rPr>
              <w:t>3.4</w:t>
            </w:r>
          </w:p>
        </w:tc>
      </w:tr>
      <w:tr w:rsidR="00677577" w:rsidRPr="00236247" w14:paraId="7C06D3E0" w14:textId="77777777" w:rsidTr="00E04C86">
        <w:trPr>
          <w:trHeight w:val="302"/>
        </w:trPr>
        <w:tc>
          <w:tcPr>
            <w:tcW w:w="1312" w:type="dxa"/>
            <w:tcBorders>
              <w:top w:val="nil"/>
              <w:left w:val="nil"/>
              <w:bottom w:val="nil"/>
              <w:right w:val="nil"/>
            </w:tcBorders>
            <w:shd w:val="clear" w:color="000000" w:fill="FFFFFF"/>
            <w:noWrap/>
            <w:vAlign w:val="bottom"/>
            <w:hideMark/>
          </w:tcPr>
          <w:p w14:paraId="5CD8090E" w14:textId="77777777" w:rsidR="00677577" w:rsidRPr="00C32691" w:rsidRDefault="00677577">
            <w:pPr>
              <w:spacing w:after="0" w:line="240" w:lineRule="auto"/>
              <w:rPr>
                <w:rFonts w:ascii="Aptos Narrow" w:eastAsia="Times New Roman" w:hAnsi="Aptos Narrow" w:cs="Times New Roman"/>
                <w:b/>
                <w:color w:val="000000"/>
                <w:sz w:val="20"/>
                <w:szCs w:val="20"/>
                <w:lang w:eastAsia="en-AU"/>
              </w:rPr>
            </w:pPr>
            <w:r w:rsidRPr="00C32691">
              <w:rPr>
                <w:rFonts w:ascii="Aptos Narrow" w:eastAsia="Times New Roman" w:hAnsi="Aptos Narrow" w:cs="Times New Roman"/>
                <w:b/>
                <w:color w:val="000000"/>
                <w:sz w:val="20"/>
                <w:szCs w:val="20"/>
                <w:lang w:eastAsia="en-AU"/>
              </w:rPr>
              <w:t>1995</w:t>
            </w:r>
          </w:p>
        </w:tc>
        <w:tc>
          <w:tcPr>
            <w:tcW w:w="1312" w:type="dxa"/>
            <w:tcBorders>
              <w:top w:val="nil"/>
              <w:left w:val="nil"/>
              <w:bottom w:val="nil"/>
              <w:right w:val="nil"/>
            </w:tcBorders>
            <w:shd w:val="clear" w:color="000000" w:fill="FFFFFF"/>
            <w:noWrap/>
            <w:vAlign w:val="bottom"/>
            <w:hideMark/>
          </w:tcPr>
          <w:p w14:paraId="66E03C32" w14:textId="77777777" w:rsidR="00677577" w:rsidRPr="00C32691" w:rsidRDefault="00677577" w:rsidP="00C32691">
            <w:pPr>
              <w:spacing w:after="0" w:line="240" w:lineRule="auto"/>
              <w:jc w:val="right"/>
              <w:rPr>
                <w:rFonts w:ascii="Aptos Narrow" w:eastAsia="Times New Roman" w:hAnsi="Aptos Narrow" w:cs="Times New Roman"/>
                <w:color w:val="000000"/>
                <w:sz w:val="20"/>
                <w:szCs w:val="20"/>
                <w:lang w:eastAsia="en-AU"/>
              </w:rPr>
            </w:pPr>
            <w:r w:rsidRPr="00C32691">
              <w:rPr>
                <w:rFonts w:ascii="Aptos Narrow" w:eastAsia="Times New Roman" w:hAnsi="Aptos Narrow" w:cs="Times New Roman"/>
                <w:color w:val="000000"/>
                <w:sz w:val="20"/>
                <w:szCs w:val="20"/>
                <w:lang w:eastAsia="en-AU"/>
              </w:rPr>
              <w:t>3.8</w:t>
            </w:r>
          </w:p>
        </w:tc>
        <w:tc>
          <w:tcPr>
            <w:tcW w:w="1312" w:type="dxa"/>
            <w:tcBorders>
              <w:top w:val="nil"/>
              <w:left w:val="nil"/>
              <w:bottom w:val="nil"/>
              <w:right w:val="nil"/>
            </w:tcBorders>
            <w:shd w:val="clear" w:color="000000" w:fill="FFFFFF"/>
            <w:noWrap/>
            <w:vAlign w:val="bottom"/>
            <w:hideMark/>
          </w:tcPr>
          <w:p w14:paraId="437234DD" w14:textId="77777777" w:rsidR="00677577" w:rsidRPr="00C32691" w:rsidRDefault="00677577" w:rsidP="00C32691">
            <w:pPr>
              <w:spacing w:after="0" w:line="240" w:lineRule="auto"/>
              <w:jc w:val="right"/>
              <w:rPr>
                <w:rFonts w:ascii="Aptos Narrow" w:eastAsia="Times New Roman" w:hAnsi="Aptos Narrow" w:cs="Times New Roman"/>
                <w:color w:val="000000"/>
                <w:sz w:val="20"/>
                <w:szCs w:val="20"/>
                <w:lang w:eastAsia="en-AU"/>
              </w:rPr>
            </w:pPr>
            <w:r w:rsidRPr="00C32691">
              <w:rPr>
                <w:rFonts w:ascii="Aptos Narrow" w:eastAsia="Times New Roman" w:hAnsi="Aptos Narrow" w:cs="Times New Roman"/>
                <w:color w:val="000000"/>
                <w:sz w:val="20"/>
                <w:szCs w:val="20"/>
                <w:lang w:eastAsia="en-AU"/>
              </w:rPr>
              <w:t>4.4</w:t>
            </w:r>
          </w:p>
        </w:tc>
        <w:tc>
          <w:tcPr>
            <w:tcW w:w="1312" w:type="dxa"/>
            <w:tcBorders>
              <w:top w:val="nil"/>
              <w:left w:val="nil"/>
              <w:bottom w:val="nil"/>
              <w:right w:val="nil"/>
            </w:tcBorders>
            <w:vAlign w:val="bottom"/>
          </w:tcPr>
          <w:p w14:paraId="0F62CEF1" w14:textId="77777777" w:rsidR="00677577" w:rsidRPr="00C32691" w:rsidRDefault="00677577" w:rsidP="00C32691">
            <w:pPr>
              <w:spacing w:after="0" w:line="240" w:lineRule="auto"/>
              <w:jc w:val="right"/>
              <w:rPr>
                <w:rFonts w:ascii="Aptos Narrow" w:eastAsia="Times New Roman" w:hAnsi="Aptos Narrow" w:cs="Times New Roman"/>
                <w:color w:val="000000"/>
                <w:sz w:val="20"/>
                <w:szCs w:val="20"/>
                <w:lang w:eastAsia="en-AU"/>
              </w:rPr>
            </w:pPr>
            <w:r w:rsidRPr="00C32691">
              <w:rPr>
                <w:rFonts w:ascii="Aptos Narrow" w:eastAsia="Times New Roman" w:hAnsi="Aptos Narrow" w:cs="Times New Roman"/>
                <w:color w:val="000000"/>
                <w:sz w:val="20"/>
                <w:szCs w:val="20"/>
                <w:lang w:eastAsia="en-AU"/>
              </w:rPr>
              <w:t>4.4</w:t>
            </w:r>
          </w:p>
        </w:tc>
        <w:tc>
          <w:tcPr>
            <w:tcW w:w="1312" w:type="dxa"/>
            <w:tcBorders>
              <w:top w:val="nil"/>
              <w:left w:val="nil"/>
              <w:bottom w:val="nil"/>
              <w:right w:val="nil"/>
            </w:tcBorders>
            <w:noWrap/>
            <w:vAlign w:val="bottom"/>
            <w:hideMark/>
          </w:tcPr>
          <w:p w14:paraId="5CA9A00F" w14:textId="77777777" w:rsidR="00677577" w:rsidRPr="00C32691" w:rsidRDefault="00677577" w:rsidP="00C32691">
            <w:pPr>
              <w:spacing w:after="0" w:line="240" w:lineRule="auto"/>
              <w:jc w:val="right"/>
              <w:rPr>
                <w:rFonts w:ascii="Aptos Narrow" w:eastAsia="Times New Roman" w:hAnsi="Aptos Narrow" w:cs="Times New Roman"/>
                <w:color w:val="000000"/>
                <w:sz w:val="20"/>
                <w:szCs w:val="20"/>
                <w:lang w:eastAsia="en-AU"/>
              </w:rPr>
            </w:pPr>
            <w:r w:rsidRPr="00C32691">
              <w:rPr>
                <w:rFonts w:ascii="Aptos Narrow" w:eastAsia="Times New Roman" w:hAnsi="Aptos Narrow" w:cs="Times New Roman"/>
                <w:color w:val="000000"/>
                <w:sz w:val="20"/>
                <w:szCs w:val="20"/>
                <w:lang w:eastAsia="en-AU"/>
              </w:rPr>
              <w:t>3.7</w:t>
            </w:r>
          </w:p>
        </w:tc>
        <w:tc>
          <w:tcPr>
            <w:tcW w:w="1312" w:type="dxa"/>
            <w:tcBorders>
              <w:top w:val="nil"/>
              <w:left w:val="nil"/>
              <w:bottom w:val="nil"/>
              <w:right w:val="nil"/>
            </w:tcBorders>
            <w:noWrap/>
            <w:vAlign w:val="bottom"/>
            <w:hideMark/>
          </w:tcPr>
          <w:p w14:paraId="726E353D" w14:textId="77777777" w:rsidR="00677577" w:rsidRPr="00C32691" w:rsidRDefault="00677577" w:rsidP="00C32691">
            <w:pPr>
              <w:spacing w:after="0" w:line="240" w:lineRule="auto"/>
              <w:jc w:val="right"/>
              <w:rPr>
                <w:rFonts w:ascii="Aptos Narrow" w:eastAsia="Times New Roman" w:hAnsi="Aptos Narrow" w:cs="Times New Roman"/>
                <w:color w:val="000000"/>
                <w:sz w:val="20"/>
                <w:szCs w:val="20"/>
                <w:lang w:eastAsia="en-AU"/>
              </w:rPr>
            </w:pPr>
            <w:r w:rsidRPr="00C32691">
              <w:rPr>
                <w:rFonts w:ascii="Aptos Narrow" w:eastAsia="Times New Roman" w:hAnsi="Aptos Narrow" w:cs="Times New Roman"/>
                <w:color w:val="000000"/>
                <w:sz w:val="20"/>
                <w:szCs w:val="20"/>
                <w:lang w:eastAsia="en-AU"/>
              </w:rPr>
              <w:t>4.1</w:t>
            </w:r>
          </w:p>
        </w:tc>
        <w:tc>
          <w:tcPr>
            <w:tcW w:w="1312" w:type="dxa"/>
            <w:tcBorders>
              <w:top w:val="nil"/>
              <w:left w:val="nil"/>
              <w:bottom w:val="nil"/>
              <w:right w:val="nil"/>
            </w:tcBorders>
            <w:vAlign w:val="center"/>
          </w:tcPr>
          <w:p w14:paraId="08FD648B" w14:textId="77777777" w:rsidR="00677577" w:rsidRPr="00C32691" w:rsidRDefault="00677577" w:rsidP="00C32691">
            <w:pPr>
              <w:spacing w:after="0" w:line="240" w:lineRule="auto"/>
              <w:jc w:val="right"/>
              <w:rPr>
                <w:rFonts w:ascii="Aptos Narrow" w:eastAsia="Times New Roman" w:hAnsi="Aptos Narrow" w:cs="Times New Roman"/>
                <w:color w:val="000000"/>
                <w:sz w:val="20"/>
                <w:szCs w:val="20"/>
                <w:lang w:eastAsia="en-AU"/>
              </w:rPr>
            </w:pPr>
            <w:r w:rsidRPr="00C32691">
              <w:rPr>
                <w:rFonts w:ascii="Calibri" w:eastAsia="Times New Roman" w:hAnsi="Calibri" w:cs="Calibri"/>
                <w:color w:val="000000"/>
                <w:sz w:val="20"/>
                <w:szCs w:val="20"/>
                <w:lang w:eastAsia="en-AU"/>
              </w:rPr>
              <w:t>4.1</w:t>
            </w:r>
          </w:p>
        </w:tc>
      </w:tr>
      <w:tr w:rsidR="00677577" w:rsidRPr="00236247" w14:paraId="0781A20A" w14:textId="77777777" w:rsidTr="00E04C86">
        <w:trPr>
          <w:trHeight w:val="302"/>
        </w:trPr>
        <w:tc>
          <w:tcPr>
            <w:tcW w:w="1312" w:type="dxa"/>
            <w:tcBorders>
              <w:top w:val="nil"/>
              <w:left w:val="nil"/>
              <w:bottom w:val="nil"/>
              <w:right w:val="nil"/>
            </w:tcBorders>
            <w:shd w:val="clear" w:color="000000" w:fill="FFFFFF"/>
            <w:noWrap/>
            <w:vAlign w:val="bottom"/>
            <w:hideMark/>
          </w:tcPr>
          <w:p w14:paraId="2CFB3F19" w14:textId="77777777" w:rsidR="00677577" w:rsidRPr="00D44BD6" w:rsidRDefault="00677577">
            <w:pPr>
              <w:spacing w:after="0" w:line="240" w:lineRule="auto"/>
              <w:rPr>
                <w:rFonts w:ascii="Aptos Narrow" w:eastAsia="Times New Roman" w:hAnsi="Aptos Narrow" w:cs="Times New Roman"/>
                <w:b/>
                <w:color w:val="000000"/>
                <w:sz w:val="20"/>
                <w:szCs w:val="20"/>
                <w:lang w:eastAsia="en-AU"/>
              </w:rPr>
            </w:pPr>
            <w:r w:rsidRPr="00D44BD6">
              <w:rPr>
                <w:rFonts w:ascii="Aptos Narrow" w:eastAsia="Times New Roman" w:hAnsi="Aptos Narrow" w:cs="Times New Roman"/>
                <w:b/>
                <w:color w:val="000000"/>
                <w:sz w:val="20"/>
                <w:szCs w:val="20"/>
                <w:lang w:eastAsia="en-AU"/>
              </w:rPr>
              <w:t>1996</w:t>
            </w:r>
          </w:p>
        </w:tc>
        <w:tc>
          <w:tcPr>
            <w:tcW w:w="1312" w:type="dxa"/>
            <w:tcBorders>
              <w:top w:val="nil"/>
              <w:left w:val="nil"/>
              <w:bottom w:val="nil"/>
              <w:right w:val="nil"/>
            </w:tcBorders>
            <w:shd w:val="clear" w:color="000000" w:fill="FFFFFF"/>
            <w:noWrap/>
            <w:vAlign w:val="bottom"/>
            <w:hideMark/>
          </w:tcPr>
          <w:p w14:paraId="3DB06C56"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5.1</w:t>
            </w:r>
          </w:p>
        </w:tc>
        <w:tc>
          <w:tcPr>
            <w:tcW w:w="1312" w:type="dxa"/>
            <w:tcBorders>
              <w:top w:val="nil"/>
              <w:left w:val="nil"/>
              <w:bottom w:val="nil"/>
              <w:right w:val="nil"/>
            </w:tcBorders>
            <w:shd w:val="clear" w:color="000000" w:fill="FFFFFF"/>
            <w:noWrap/>
            <w:vAlign w:val="bottom"/>
            <w:hideMark/>
          </w:tcPr>
          <w:p w14:paraId="3438F94F"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4.8</w:t>
            </w:r>
          </w:p>
        </w:tc>
        <w:tc>
          <w:tcPr>
            <w:tcW w:w="1312" w:type="dxa"/>
            <w:tcBorders>
              <w:top w:val="nil"/>
              <w:left w:val="nil"/>
              <w:bottom w:val="nil"/>
              <w:right w:val="nil"/>
            </w:tcBorders>
            <w:vAlign w:val="bottom"/>
          </w:tcPr>
          <w:p w14:paraId="08C10BEB"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4.8</w:t>
            </w:r>
          </w:p>
        </w:tc>
        <w:tc>
          <w:tcPr>
            <w:tcW w:w="1312" w:type="dxa"/>
            <w:tcBorders>
              <w:top w:val="nil"/>
              <w:left w:val="nil"/>
              <w:bottom w:val="nil"/>
              <w:right w:val="nil"/>
            </w:tcBorders>
            <w:noWrap/>
            <w:vAlign w:val="bottom"/>
            <w:hideMark/>
          </w:tcPr>
          <w:p w14:paraId="70F2DD08"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4.1</w:t>
            </w:r>
          </w:p>
        </w:tc>
        <w:tc>
          <w:tcPr>
            <w:tcW w:w="1312" w:type="dxa"/>
            <w:tcBorders>
              <w:top w:val="nil"/>
              <w:left w:val="nil"/>
              <w:bottom w:val="nil"/>
              <w:right w:val="nil"/>
            </w:tcBorders>
            <w:noWrap/>
            <w:vAlign w:val="bottom"/>
            <w:hideMark/>
          </w:tcPr>
          <w:p w14:paraId="3016719F"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4.6</w:t>
            </w:r>
          </w:p>
        </w:tc>
        <w:tc>
          <w:tcPr>
            <w:tcW w:w="1312" w:type="dxa"/>
            <w:tcBorders>
              <w:top w:val="nil"/>
              <w:left w:val="nil"/>
              <w:bottom w:val="nil"/>
              <w:right w:val="nil"/>
            </w:tcBorders>
            <w:vAlign w:val="center"/>
          </w:tcPr>
          <w:p w14:paraId="6811A206"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Calibri" w:eastAsia="Times New Roman" w:hAnsi="Calibri" w:cs="Calibri"/>
                <w:color w:val="000000"/>
                <w:sz w:val="20"/>
                <w:szCs w:val="20"/>
                <w:lang w:eastAsia="en-AU"/>
              </w:rPr>
              <w:t>4.6</w:t>
            </w:r>
          </w:p>
        </w:tc>
      </w:tr>
      <w:tr w:rsidR="00677577" w:rsidRPr="00236247" w14:paraId="5611E5EF" w14:textId="77777777" w:rsidTr="00E04C86">
        <w:trPr>
          <w:trHeight w:val="302"/>
        </w:trPr>
        <w:tc>
          <w:tcPr>
            <w:tcW w:w="1312" w:type="dxa"/>
            <w:tcBorders>
              <w:top w:val="nil"/>
              <w:left w:val="nil"/>
              <w:bottom w:val="nil"/>
              <w:right w:val="nil"/>
            </w:tcBorders>
            <w:shd w:val="clear" w:color="000000" w:fill="FFFFFF"/>
            <w:noWrap/>
            <w:vAlign w:val="bottom"/>
            <w:hideMark/>
          </w:tcPr>
          <w:p w14:paraId="133215A7" w14:textId="77777777" w:rsidR="00677577" w:rsidRPr="00D44BD6" w:rsidRDefault="00677577">
            <w:pPr>
              <w:spacing w:after="0" w:line="240" w:lineRule="auto"/>
              <w:rPr>
                <w:rFonts w:ascii="Aptos Narrow" w:eastAsia="Times New Roman" w:hAnsi="Aptos Narrow" w:cs="Times New Roman"/>
                <w:b/>
                <w:color w:val="000000"/>
                <w:sz w:val="20"/>
                <w:szCs w:val="20"/>
                <w:lang w:eastAsia="en-AU"/>
              </w:rPr>
            </w:pPr>
            <w:r w:rsidRPr="00D44BD6">
              <w:rPr>
                <w:rFonts w:ascii="Aptos Narrow" w:eastAsia="Times New Roman" w:hAnsi="Aptos Narrow" w:cs="Times New Roman"/>
                <w:b/>
                <w:color w:val="000000"/>
                <w:sz w:val="20"/>
                <w:szCs w:val="20"/>
                <w:lang w:eastAsia="en-AU"/>
              </w:rPr>
              <w:t>1997</w:t>
            </w:r>
          </w:p>
        </w:tc>
        <w:tc>
          <w:tcPr>
            <w:tcW w:w="1312" w:type="dxa"/>
            <w:tcBorders>
              <w:top w:val="nil"/>
              <w:left w:val="nil"/>
              <w:bottom w:val="nil"/>
              <w:right w:val="nil"/>
            </w:tcBorders>
            <w:shd w:val="clear" w:color="000000" w:fill="FFFFFF"/>
            <w:noWrap/>
            <w:vAlign w:val="bottom"/>
            <w:hideMark/>
          </w:tcPr>
          <w:p w14:paraId="03756E1B"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3.6</w:t>
            </w:r>
          </w:p>
        </w:tc>
        <w:tc>
          <w:tcPr>
            <w:tcW w:w="1312" w:type="dxa"/>
            <w:tcBorders>
              <w:top w:val="nil"/>
              <w:left w:val="nil"/>
              <w:bottom w:val="nil"/>
              <w:right w:val="nil"/>
            </w:tcBorders>
            <w:shd w:val="clear" w:color="000000" w:fill="FFFFFF"/>
            <w:noWrap/>
            <w:vAlign w:val="bottom"/>
            <w:hideMark/>
          </w:tcPr>
          <w:p w14:paraId="4B0DAB65"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4.4</w:t>
            </w:r>
          </w:p>
        </w:tc>
        <w:tc>
          <w:tcPr>
            <w:tcW w:w="1312" w:type="dxa"/>
            <w:tcBorders>
              <w:top w:val="nil"/>
              <w:left w:val="nil"/>
              <w:bottom w:val="nil"/>
              <w:right w:val="nil"/>
            </w:tcBorders>
            <w:vAlign w:val="bottom"/>
          </w:tcPr>
          <w:p w14:paraId="66751443"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4.4</w:t>
            </w:r>
          </w:p>
        </w:tc>
        <w:tc>
          <w:tcPr>
            <w:tcW w:w="1312" w:type="dxa"/>
            <w:tcBorders>
              <w:top w:val="nil"/>
              <w:left w:val="nil"/>
              <w:bottom w:val="nil"/>
              <w:right w:val="nil"/>
            </w:tcBorders>
            <w:noWrap/>
            <w:vAlign w:val="bottom"/>
            <w:hideMark/>
          </w:tcPr>
          <w:p w14:paraId="34972EA0"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4.2</w:t>
            </w:r>
          </w:p>
        </w:tc>
        <w:tc>
          <w:tcPr>
            <w:tcW w:w="1312" w:type="dxa"/>
            <w:tcBorders>
              <w:top w:val="nil"/>
              <w:left w:val="nil"/>
              <w:bottom w:val="nil"/>
              <w:right w:val="nil"/>
            </w:tcBorders>
            <w:noWrap/>
            <w:vAlign w:val="bottom"/>
            <w:hideMark/>
          </w:tcPr>
          <w:p w14:paraId="26E47343"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4.4</w:t>
            </w:r>
          </w:p>
        </w:tc>
        <w:tc>
          <w:tcPr>
            <w:tcW w:w="1312" w:type="dxa"/>
            <w:tcBorders>
              <w:top w:val="nil"/>
              <w:left w:val="nil"/>
              <w:bottom w:val="nil"/>
              <w:right w:val="nil"/>
            </w:tcBorders>
            <w:vAlign w:val="center"/>
          </w:tcPr>
          <w:p w14:paraId="2526A197"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Calibri" w:eastAsia="Times New Roman" w:hAnsi="Calibri" w:cs="Calibri"/>
                <w:color w:val="000000"/>
                <w:sz w:val="20"/>
                <w:szCs w:val="20"/>
                <w:lang w:eastAsia="en-AU"/>
              </w:rPr>
              <w:t>4.4</w:t>
            </w:r>
          </w:p>
        </w:tc>
      </w:tr>
      <w:tr w:rsidR="00677577" w:rsidRPr="00236247" w14:paraId="298CAF47" w14:textId="77777777" w:rsidTr="00E04C86">
        <w:trPr>
          <w:trHeight w:val="302"/>
        </w:trPr>
        <w:tc>
          <w:tcPr>
            <w:tcW w:w="1312" w:type="dxa"/>
            <w:tcBorders>
              <w:top w:val="nil"/>
              <w:left w:val="nil"/>
              <w:bottom w:val="nil"/>
              <w:right w:val="nil"/>
            </w:tcBorders>
            <w:shd w:val="clear" w:color="000000" w:fill="FFFFFF"/>
            <w:noWrap/>
            <w:vAlign w:val="bottom"/>
            <w:hideMark/>
          </w:tcPr>
          <w:p w14:paraId="07AEF7FD" w14:textId="77777777" w:rsidR="00677577" w:rsidRPr="00D44BD6" w:rsidRDefault="00677577">
            <w:pPr>
              <w:spacing w:after="0" w:line="240" w:lineRule="auto"/>
              <w:rPr>
                <w:rFonts w:ascii="Aptos Narrow" w:eastAsia="Times New Roman" w:hAnsi="Aptos Narrow" w:cs="Times New Roman"/>
                <w:b/>
                <w:color w:val="000000"/>
                <w:sz w:val="20"/>
                <w:szCs w:val="20"/>
                <w:lang w:eastAsia="en-AU"/>
              </w:rPr>
            </w:pPr>
            <w:r w:rsidRPr="00D44BD6">
              <w:rPr>
                <w:rFonts w:ascii="Aptos Narrow" w:eastAsia="Times New Roman" w:hAnsi="Aptos Narrow" w:cs="Times New Roman"/>
                <w:b/>
                <w:color w:val="000000"/>
                <w:sz w:val="20"/>
                <w:szCs w:val="20"/>
                <w:lang w:eastAsia="en-AU"/>
              </w:rPr>
              <w:t>1998</w:t>
            </w:r>
          </w:p>
        </w:tc>
        <w:tc>
          <w:tcPr>
            <w:tcW w:w="1312" w:type="dxa"/>
            <w:tcBorders>
              <w:top w:val="nil"/>
              <w:left w:val="nil"/>
              <w:bottom w:val="nil"/>
              <w:right w:val="nil"/>
            </w:tcBorders>
            <w:shd w:val="clear" w:color="000000" w:fill="FFFFFF"/>
            <w:noWrap/>
            <w:vAlign w:val="bottom"/>
            <w:hideMark/>
          </w:tcPr>
          <w:p w14:paraId="5E6C698B"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3.0</w:t>
            </w:r>
          </w:p>
        </w:tc>
        <w:tc>
          <w:tcPr>
            <w:tcW w:w="1312" w:type="dxa"/>
            <w:tcBorders>
              <w:top w:val="nil"/>
              <w:left w:val="nil"/>
              <w:bottom w:val="nil"/>
              <w:right w:val="nil"/>
            </w:tcBorders>
            <w:shd w:val="clear" w:color="000000" w:fill="FFFFFF"/>
            <w:noWrap/>
            <w:vAlign w:val="bottom"/>
            <w:hideMark/>
          </w:tcPr>
          <w:p w14:paraId="0019E206"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3.9</w:t>
            </w:r>
          </w:p>
        </w:tc>
        <w:tc>
          <w:tcPr>
            <w:tcW w:w="1312" w:type="dxa"/>
            <w:tcBorders>
              <w:top w:val="nil"/>
              <w:left w:val="nil"/>
              <w:bottom w:val="nil"/>
              <w:right w:val="nil"/>
            </w:tcBorders>
            <w:vAlign w:val="bottom"/>
          </w:tcPr>
          <w:p w14:paraId="7C00C290"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3.9</w:t>
            </w:r>
          </w:p>
        </w:tc>
        <w:tc>
          <w:tcPr>
            <w:tcW w:w="1312" w:type="dxa"/>
            <w:tcBorders>
              <w:top w:val="nil"/>
              <w:left w:val="nil"/>
              <w:bottom w:val="nil"/>
              <w:right w:val="nil"/>
            </w:tcBorders>
            <w:noWrap/>
            <w:vAlign w:val="bottom"/>
            <w:hideMark/>
          </w:tcPr>
          <w:p w14:paraId="44350BF8"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3.1</w:t>
            </w:r>
          </w:p>
        </w:tc>
        <w:tc>
          <w:tcPr>
            <w:tcW w:w="1312" w:type="dxa"/>
            <w:tcBorders>
              <w:top w:val="nil"/>
              <w:left w:val="nil"/>
              <w:bottom w:val="nil"/>
              <w:right w:val="nil"/>
            </w:tcBorders>
            <w:noWrap/>
            <w:vAlign w:val="bottom"/>
            <w:hideMark/>
          </w:tcPr>
          <w:p w14:paraId="421901BC"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4.0</w:t>
            </w:r>
          </w:p>
        </w:tc>
        <w:tc>
          <w:tcPr>
            <w:tcW w:w="1312" w:type="dxa"/>
            <w:tcBorders>
              <w:top w:val="nil"/>
              <w:left w:val="nil"/>
              <w:bottom w:val="nil"/>
              <w:right w:val="nil"/>
            </w:tcBorders>
            <w:vAlign w:val="center"/>
          </w:tcPr>
          <w:p w14:paraId="54645E90"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Calibri" w:eastAsia="Times New Roman" w:hAnsi="Calibri" w:cs="Calibri"/>
                <w:color w:val="000000"/>
                <w:sz w:val="20"/>
                <w:szCs w:val="20"/>
                <w:lang w:eastAsia="en-AU"/>
              </w:rPr>
              <w:t>3.9</w:t>
            </w:r>
          </w:p>
        </w:tc>
      </w:tr>
      <w:tr w:rsidR="00677577" w:rsidRPr="00236247" w14:paraId="67A27A80" w14:textId="77777777" w:rsidTr="00E04C86">
        <w:trPr>
          <w:trHeight w:val="302"/>
        </w:trPr>
        <w:tc>
          <w:tcPr>
            <w:tcW w:w="1312" w:type="dxa"/>
            <w:tcBorders>
              <w:top w:val="nil"/>
              <w:left w:val="nil"/>
              <w:bottom w:val="nil"/>
              <w:right w:val="nil"/>
            </w:tcBorders>
            <w:shd w:val="clear" w:color="000000" w:fill="FFFFFF"/>
            <w:noWrap/>
            <w:vAlign w:val="bottom"/>
            <w:hideMark/>
          </w:tcPr>
          <w:p w14:paraId="152CFF07" w14:textId="77777777" w:rsidR="00677577" w:rsidRPr="00D44BD6" w:rsidRDefault="00677577">
            <w:pPr>
              <w:spacing w:after="0" w:line="240" w:lineRule="auto"/>
              <w:rPr>
                <w:rFonts w:ascii="Aptos Narrow" w:eastAsia="Times New Roman" w:hAnsi="Aptos Narrow" w:cs="Times New Roman"/>
                <w:b/>
                <w:color w:val="000000"/>
                <w:sz w:val="20"/>
                <w:szCs w:val="20"/>
                <w:lang w:eastAsia="en-AU"/>
              </w:rPr>
            </w:pPr>
            <w:r w:rsidRPr="00D44BD6">
              <w:rPr>
                <w:rFonts w:ascii="Aptos Narrow" w:eastAsia="Times New Roman" w:hAnsi="Aptos Narrow" w:cs="Times New Roman"/>
                <w:b/>
                <w:color w:val="000000"/>
                <w:sz w:val="20"/>
                <w:szCs w:val="20"/>
                <w:lang w:eastAsia="en-AU"/>
              </w:rPr>
              <w:t>1999</w:t>
            </w:r>
          </w:p>
        </w:tc>
        <w:tc>
          <w:tcPr>
            <w:tcW w:w="1312" w:type="dxa"/>
            <w:tcBorders>
              <w:top w:val="nil"/>
              <w:left w:val="nil"/>
              <w:bottom w:val="nil"/>
              <w:right w:val="nil"/>
            </w:tcBorders>
            <w:shd w:val="clear" w:color="000000" w:fill="FFFFFF"/>
            <w:noWrap/>
            <w:vAlign w:val="bottom"/>
            <w:hideMark/>
          </w:tcPr>
          <w:p w14:paraId="7A4066E9"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3.2</w:t>
            </w:r>
          </w:p>
        </w:tc>
        <w:tc>
          <w:tcPr>
            <w:tcW w:w="1312" w:type="dxa"/>
            <w:tcBorders>
              <w:top w:val="nil"/>
              <w:left w:val="nil"/>
              <w:bottom w:val="nil"/>
              <w:right w:val="nil"/>
            </w:tcBorders>
            <w:shd w:val="clear" w:color="000000" w:fill="FFFFFF"/>
            <w:noWrap/>
            <w:vAlign w:val="bottom"/>
            <w:hideMark/>
          </w:tcPr>
          <w:p w14:paraId="13B901C4"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3.5</w:t>
            </w:r>
          </w:p>
        </w:tc>
        <w:tc>
          <w:tcPr>
            <w:tcW w:w="1312" w:type="dxa"/>
            <w:tcBorders>
              <w:top w:val="nil"/>
              <w:left w:val="nil"/>
              <w:bottom w:val="nil"/>
              <w:right w:val="nil"/>
            </w:tcBorders>
            <w:vAlign w:val="bottom"/>
          </w:tcPr>
          <w:p w14:paraId="3B857F44"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3.5</w:t>
            </w:r>
          </w:p>
        </w:tc>
        <w:tc>
          <w:tcPr>
            <w:tcW w:w="1312" w:type="dxa"/>
            <w:tcBorders>
              <w:top w:val="nil"/>
              <w:left w:val="nil"/>
              <w:bottom w:val="nil"/>
              <w:right w:val="nil"/>
            </w:tcBorders>
            <w:noWrap/>
            <w:vAlign w:val="bottom"/>
            <w:hideMark/>
          </w:tcPr>
          <w:p w14:paraId="0B701CFD"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3.0</w:t>
            </w:r>
          </w:p>
        </w:tc>
        <w:tc>
          <w:tcPr>
            <w:tcW w:w="1312" w:type="dxa"/>
            <w:tcBorders>
              <w:top w:val="nil"/>
              <w:left w:val="nil"/>
              <w:bottom w:val="nil"/>
              <w:right w:val="nil"/>
            </w:tcBorders>
            <w:noWrap/>
            <w:vAlign w:val="bottom"/>
            <w:hideMark/>
          </w:tcPr>
          <w:p w14:paraId="6714BBBF"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3.7</w:t>
            </w:r>
          </w:p>
        </w:tc>
        <w:tc>
          <w:tcPr>
            <w:tcW w:w="1312" w:type="dxa"/>
            <w:tcBorders>
              <w:top w:val="nil"/>
              <w:left w:val="nil"/>
              <w:bottom w:val="nil"/>
              <w:right w:val="nil"/>
            </w:tcBorders>
            <w:vAlign w:val="center"/>
          </w:tcPr>
          <w:p w14:paraId="2173842D"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Calibri" w:eastAsia="Times New Roman" w:hAnsi="Calibri" w:cs="Calibri"/>
                <w:color w:val="000000"/>
                <w:sz w:val="20"/>
                <w:szCs w:val="20"/>
                <w:lang w:eastAsia="en-AU"/>
              </w:rPr>
              <w:t>3.6</w:t>
            </w:r>
          </w:p>
        </w:tc>
      </w:tr>
      <w:tr w:rsidR="00677577" w:rsidRPr="00236247" w14:paraId="58999653" w14:textId="77777777" w:rsidTr="00E04C86">
        <w:trPr>
          <w:trHeight w:val="302"/>
        </w:trPr>
        <w:tc>
          <w:tcPr>
            <w:tcW w:w="1312" w:type="dxa"/>
            <w:tcBorders>
              <w:top w:val="nil"/>
              <w:left w:val="nil"/>
              <w:bottom w:val="nil"/>
              <w:right w:val="nil"/>
            </w:tcBorders>
            <w:shd w:val="clear" w:color="000000" w:fill="FFFFFF"/>
            <w:noWrap/>
            <w:vAlign w:val="bottom"/>
            <w:hideMark/>
          </w:tcPr>
          <w:p w14:paraId="5F427DA1" w14:textId="77777777" w:rsidR="00677577" w:rsidRPr="00D44BD6" w:rsidRDefault="00677577">
            <w:pPr>
              <w:spacing w:after="0" w:line="240" w:lineRule="auto"/>
              <w:rPr>
                <w:rFonts w:ascii="Aptos Narrow" w:eastAsia="Times New Roman" w:hAnsi="Aptos Narrow" w:cs="Times New Roman"/>
                <w:b/>
                <w:color w:val="000000"/>
                <w:sz w:val="20"/>
                <w:szCs w:val="20"/>
                <w:lang w:eastAsia="en-AU"/>
              </w:rPr>
            </w:pPr>
            <w:r w:rsidRPr="00D44BD6">
              <w:rPr>
                <w:rFonts w:ascii="Aptos Narrow" w:eastAsia="Times New Roman" w:hAnsi="Aptos Narrow" w:cs="Times New Roman"/>
                <w:b/>
                <w:color w:val="000000"/>
                <w:sz w:val="20"/>
                <w:szCs w:val="20"/>
                <w:lang w:eastAsia="en-AU"/>
              </w:rPr>
              <w:t>2000</w:t>
            </w:r>
          </w:p>
        </w:tc>
        <w:tc>
          <w:tcPr>
            <w:tcW w:w="1312" w:type="dxa"/>
            <w:tcBorders>
              <w:top w:val="nil"/>
              <w:left w:val="nil"/>
              <w:bottom w:val="nil"/>
              <w:right w:val="nil"/>
            </w:tcBorders>
            <w:shd w:val="clear" w:color="000000" w:fill="FFFFFF"/>
            <w:noWrap/>
            <w:vAlign w:val="bottom"/>
            <w:hideMark/>
          </w:tcPr>
          <w:p w14:paraId="14DA705E"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3.5</w:t>
            </w:r>
          </w:p>
        </w:tc>
        <w:tc>
          <w:tcPr>
            <w:tcW w:w="1312" w:type="dxa"/>
            <w:tcBorders>
              <w:top w:val="nil"/>
              <w:left w:val="nil"/>
              <w:bottom w:val="nil"/>
              <w:right w:val="nil"/>
            </w:tcBorders>
            <w:shd w:val="clear" w:color="000000" w:fill="FFFFFF"/>
            <w:noWrap/>
            <w:vAlign w:val="bottom"/>
            <w:hideMark/>
          </w:tcPr>
          <w:p w14:paraId="1B1588B0"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3.9</w:t>
            </w:r>
          </w:p>
        </w:tc>
        <w:tc>
          <w:tcPr>
            <w:tcW w:w="1312" w:type="dxa"/>
            <w:tcBorders>
              <w:top w:val="nil"/>
              <w:left w:val="nil"/>
              <w:bottom w:val="nil"/>
              <w:right w:val="nil"/>
            </w:tcBorders>
            <w:vAlign w:val="bottom"/>
          </w:tcPr>
          <w:p w14:paraId="242986CE"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3.9</w:t>
            </w:r>
          </w:p>
        </w:tc>
        <w:tc>
          <w:tcPr>
            <w:tcW w:w="1312" w:type="dxa"/>
            <w:tcBorders>
              <w:top w:val="nil"/>
              <w:left w:val="nil"/>
              <w:bottom w:val="nil"/>
              <w:right w:val="nil"/>
            </w:tcBorders>
            <w:noWrap/>
            <w:vAlign w:val="bottom"/>
            <w:hideMark/>
          </w:tcPr>
          <w:p w14:paraId="68254F85"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3.3</w:t>
            </w:r>
          </w:p>
        </w:tc>
        <w:tc>
          <w:tcPr>
            <w:tcW w:w="1312" w:type="dxa"/>
            <w:tcBorders>
              <w:top w:val="nil"/>
              <w:left w:val="nil"/>
              <w:bottom w:val="nil"/>
              <w:right w:val="nil"/>
            </w:tcBorders>
            <w:noWrap/>
            <w:vAlign w:val="bottom"/>
            <w:hideMark/>
          </w:tcPr>
          <w:p w14:paraId="7A68947A"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3.7</w:t>
            </w:r>
          </w:p>
        </w:tc>
        <w:tc>
          <w:tcPr>
            <w:tcW w:w="1312" w:type="dxa"/>
            <w:tcBorders>
              <w:top w:val="nil"/>
              <w:left w:val="nil"/>
              <w:bottom w:val="nil"/>
              <w:right w:val="nil"/>
            </w:tcBorders>
            <w:vAlign w:val="center"/>
          </w:tcPr>
          <w:p w14:paraId="1915137E"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Calibri" w:eastAsia="Times New Roman" w:hAnsi="Calibri" w:cs="Calibri"/>
                <w:color w:val="000000"/>
                <w:sz w:val="20"/>
                <w:szCs w:val="20"/>
                <w:lang w:eastAsia="en-AU"/>
              </w:rPr>
              <w:t>3.7</w:t>
            </w:r>
          </w:p>
        </w:tc>
      </w:tr>
      <w:tr w:rsidR="00677577" w:rsidRPr="00236247" w14:paraId="37F04A52" w14:textId="77777777" w:rsidTr="00E04C86">
        <w:trPr>
          <w:trHeight w:val="302"/>
        </w:trPr>
        <w:tc>
          <w:tcPr>
            <w:tcW w:w="1312" w:type="dxa"/>
            <w:tcBorders>
              <w:top w:val="nil"/>
              <w:left w:val="nil"/>
              <w:bottom w:val="nil"/>
              <w:right w:val="nil"/>
            </w:tcBorders>
            <w:shd w:val="clear" w:color="000000" w:fill="FFFFFF"/>
            <w:noWrap/>
            <w:vAlign w:val="bottom"/>
            <w:hideMark/>
          </w:tcPr>
          <w:p w14:paraId="1728C7EB" w14:textId="77777777" w:rsidR="00677577" w:rsidRPr="00D44BD6" w:rsidRDefault="00677577">
            <w:pPr>
              <w:spacing w:after="0" w:line="240" w:lineRule="auto"/>
              <w:rPr>
                <w:rFonts w:ascii="Aptos Narrow" w:eastAsia="Times New Roman" w:hAnsi="Aptos Narrow" w:cs="Times New Roman"/>
                <w:b/>
                <w:color w:val="000000"/>
                <w:sz w:val="20"/>
                <w:szCs w:val="20"/>
                <w:lang w:eastAsia="en-AU"/>
              </w:rPr>
            </w:pPr>
            <w:r w:rsidRPr="00D44BD6">
              <w:rPr>
                <w:rFonts w:ascii="Aptos Narrow" w:eastAsia="Times New Roman" w:hAnsi="Aptos Narrow" w:cs="Times New Roman"/>
                <w:b/>
                <w:color w:val="000000"/>
                <w:sz w:val="20"/>
                <w:szCs w:val="20"/>
                <w:lang w:eastAsia="en-AU"/>
              </w:rPr>
              <w:t>2001</w:t>
            </w:r>
          </w:p>
        </w:tc>
        <w:tc>
          <w:tcPr>
            <w:tcW w:w="1312" w:type="dxa"/>
            <w:tcBorders>
              <w:top w:val="nil"/>
              <w:left w:val="nil"/>
              <w:bottom w:val="nil"/>
              <w:right w:val="nil"/>
            </w:tcBorders>
            <w:shd w:val="clear" w:color="000000" w:fill="FFFFFF"/>
            <w:noWrap/>
            <w:vAlign w:val="bottom"/>
            <w:hideMark/>
          </w:tcPr>
          <w:p w14:paraId="128A4D14"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3.8</w:t>
            </w:r>
          </w:p>
        </w:tc>
        <w:tc>
          <w:tcPr>
            <w:tcW w:w="1312" w:type="dxa"/>
            <w:tcBorders>
              <w:top w:val="nil"/>
              <w:left w:val="nil"/>
              <w:bottom w:val="nil"/>
              <w:right w:val="nil"/>
            </w:tcBorders>
            <w:shd w:val="clear" w:color="000000" w:fill="FFFFFF"/>
            <w:noWrap/>
            <w:vAlign w:val="bottom"/>
            <w:hideMark/>
          </w:tcPr>
          <w:p w14:paraId="5EBBAF69"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3.9</w:t>
            </w:r>
          </w:p>
        </w:tc>
        <w:tc>
          <w:tcPr>
            <w:tcW w:w="1312" w:type="dxa"/>
            <w:tcBorders>
              <w:top w:val="nil"/>
              <w:left w:val="nil"/>
              <w:bottom w:val="nil"/>
              <w:right w:val="nil"/>
            </w:tcBorders>
            <w:vAlign w:val="bottom"/>
          </w:tcPr>
          <w:p w14:paraId="6145435B"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3.9</w:t>
            </w:r>
          </w:p>
        </w:tc>
        <w:tc>
          <w:tcPr>
            <w:tcW w:w="1312" w:type="dxa"/>
            <w:tcBorders>
              <w:top w:val="nil"/>
              <w:left w:val="nil"/>
              <w:bottom w:val="nil"/>
              <w:right w:val="nil"/>
            </w:tcBorders>
            <w:noWrap/>
            <w:vAlign w:val="bottom"/>
            <w:hideMark/>
          </w:tcPr>
          <w:p w14:paraId="3935EFB2"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3.6</w:t>
            </w:r>
          </w:p>
        </w:tc>
        <w:tc>
          <w:tcPr>
            <w:tcW w:w="1312" w:type="dxa"/>
            <w:tcBorders>
              <w:top w:val="nil"/>
              <w:left w:val="nil"/>
              <w:bottom w:val="nil"/>
              <w:right w:val="nil"/>
            </w:tcBorders>
            <w:noWrap/>
            <w:vAlign w:val="bottom"/>
            <w:hideMark/>
          </w:tcPr>
          <w:p w14:paraId="6539603F"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3.7</w:t>
            </w:r>
          </w:p>
        </w:tc>
        <w:tc>
          <w:tcPr>
            <w:tcW w:w="1312" w:type="dxa"/>
            <w:tcBorders>
              <w:top w:val="nil"/>
              <w:left w:val="nil"/>
              <w:bottom w:val="nil"/>
              <w:right w:val="nil"/>
            </w:tcBorders>
            <w:vAlign w:val="center"/>
          </w:tcPr>
          <w:p w14:paraId="652E2FE5"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Calibri" w:eastAsia="Times New Roman" w:hAnsi="Calibri" w:cs="Calibri"/>
                <w:color w:val="000000"/>
                <w:sz w:val="20"/>
                <w:szCs w:val="20"/>
                <w:lang w:eastAsia="en-AU"/>
              </w:rPr>
              <w:t>3.7</w:t>
            </w:r>
          </w:p>
        </w:tc>
      </w:tr>
      <w:tr w:rsidR="00677577" w:rsidRPr="00236247" w14:paraId="74C3BE4C" w14:textId="77777777" w:rsidTr="00E04C86">
        <w:trPr>
          <w:trHeight w:val="302"/>
        </w:trPr>
        <w:tc>
          <w:tcPr>
            <w:tcW w:w="1312" w:type="dxa"/>
            <w:tcBorders>
              <w:top w:val="nil"/>
              <w:left w:val="nil"/>
              <w:bottom w:val="nil"/>
              <w:right w:val="nil"/>
            </w:tcBorders>
            <w:shd w:val="clear" w:color="000000" w:fill="FFFFFF"/>
            <w:noWrap/>
            <w:vAlign w:val="bottom"/>
            <w:hideMark/>
          </w:tcPr>
          <w:p w14:paraId="185FF55F" w14:textId="77777777" w:rsidR="00677577" w:rsidRPr="00D44BD6" w:rsidRDefault="00677577">
            <w:pPr>
              <w:spacing w:after="0" w:line="240" w:lineRule="auto"/>
              <w:rPr>
                <w:rFonts w:ascii="Aptos Narrow" w:eastAsia="Times New Roman" w:hAnsi="Aptos Narrow" w:cs="Times New Roman"/>
                <w:b/>
                <w:color w:val="000000"/>
                <w:sz w:val="20"/>
                <w:szCs w:val="20"/>
                <w:lang w:eastAsia="en-AU"/>
              </w:rPr>
            </w:pPr>
            <w:r w:rsidRPr="00D44BD6">
              <w:rPr>
                <w:rFonts w:ascii="Aptos Narrow" w:eastAsia="Times New Roman" w:hAnsi="Aptos Narrow" w:cs="Times New Roman"/>
                <w:b/>
                <w:color w:val="000000"/>
                <w:sz w:val="20"/>
                <w:szCs w:val="20"/>
                <w:lang w:eastAsia="en-AU"/>
              </w:rPr>
              <w:t>2002</w:t>
            </w:r>
          </w:p>
        </w:tc>
        <w:tc>
          <w:tcPr>
            <w:tcW w:w="1312" w:type="dxa"/>
            <w:tcBorders>
              <w:top w:val="nil"/>
              <w:left w:val="nil"/>
              <w:bottom w:val="nil"/>
              <w:right w:val="nil"/>
            </w:tcBorders>
            <w:shd w:val="clear" w:color="000000" w:fill="FFFFFF"/>
            <w:noWrap/>
            <w:vAlign w:val="bottom"/>
            <w:hideMark/>
          </w:tcPr>
          <w:p w14:paraId="3454FF3A"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3.5</w:t>
            </w:r>
          </w:p>
        </w:tc>
        <w:tc>
          <w:tcPr>
            <w:tcW w:w="1312" w:type="dxa"/>
            <w:tcBorders>
              <w:top w:val="nil"/>
              <w:left w:val="nil"/>
              <w:bottom w:val="nil"/>
              <w:right w:val="nil"/>
            </w:tcBorders>
            <w:shd w:val="clear" w:color="000000" w:fill="FFFFFF"/>
            <w:noWrap/>
            <w:vAlign w:val="bottom"/>
            <w:hideMark/>
          </w:tcPr>
          <w:p w14:paraId="3BD01303"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3.8</w:t>
            </w:r>
          </w:p>
        </w:tc>
        <w:tc>
          <w:tcPr>
            <w:tcW w:w="1312" w:type="dxa"/>
            <w:tcBorders>
              <w:top w:val="nil"/>
              <w:left w:val="nil"/>
              <w:bottom w:val="nil"/>
              <w:right w:val="nil"/>
            </w:tcBorders>
            <w:vAlign w:val="bottom"/>
          </w:tcPr>
          <w:p w14:paraId="387623BF"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3.8</w:t>
            </w:r>
          </w:p>
        </w:tc>
        <w:tc>
          <w:tcPr>
            <w:tcW w:w="1312" w:type="dxa"/>
            <w:tcBorders>
              <w:top w:val="nil"/>
              <w:left w:val="nil"/>
              <w:bottom w:val="nil"/>
              <w:right w:val="nil"/>
            </w:tcBorders>
            <w:noWrap/>
            <w:vAlign w:val="bottom"/>
            <w:hideMark/>
          </w:tcPr>
          <w:p w14:paraId="27461F12"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3.6</w:t>
            </w:r>
          </w:p>
        </w:tc>
        <w:tc>
          <w:tcPr>
            <w:tcW w:w="1312" w:type="dxa"/>
            <w:tcBorders>
              <w:top w:val="nil"/>
              <w:left w:val="nil"/>
              <w:bottom w:val="nil"/>
              <w:right w:val="nil"/>
            </w:tcBorders>
            <w:noWrap/>
            <w:vAlign w:val="bottom"/>
            <w:hideMark/>
          </w:tcPr>
          <w:p w14:paraId="4822B05C"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3.8</w:t>
            </w:r>
          </w:p>
        </w:tc>
        <w:tc>
          <w:tcPr>
            <w:tcW w:w="1312" w:type="dxa"/>
            <w:tcBorders>
              <w:top w:val="nil"/>
              <w:left w:val="nil"/>
              <w:bottom w:val="nil"/>
              <w:right w:val="nil"/>
            </w:tcBorders>
            <w:vAlign w:val="center"/>
          </w:tcPr>
          <w:p w14:paraId="75D48373"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Calibri" w:eastAsia="Times New Roman" w:hAnsi="Calibri" w:cs="Calibri"/>
                <w:color w:val="000000"/>
                <w:sz w:val="20"/>
                <w:szCs w:val="20"/>
                <w:lang w:eastAsia="en-AU"/>
              </w:rPr>
              <w:t>3.8</w:t>
            </w:r>
          </w:p>
        </w:tc>
      </w:tr>
      <w:tr w:rsidR="00677577" w:rsidRPr="00236247" w14:paraId="3A408172" w14:textId="77777777" w:rsidTr="00E04C86">
        <w:trPr>
          <w:trHeight w:val="302"/>
        </w:trPr>
        <w:tc>
          <w:tcPr>
            <w:tcW w:w="1312" w:type="dxa"/>
            <w:tcBorders>
              <w:top w:val="nil"/>
              <w:left w:val="nil"/>
              <w:bottom w:val="nil"/>
              <w:right w:val="nil"/>
            </w:tcBorders>
            <w:shd w:val="clear" w:color="000000" w:fill="FFFFFF"/>
            <w:noWrap/>
            <w:vAlign w:val="bottom"/>
            <w:hideMark/>
          </w:tcPr>
          <w:p w14:paraId="14685CA1" w14:textId="77777777" w:rsidR="00677577" w:rsidRPr="00D44BD6" w:rsidRDefault="00677577">
            <w:pPr>
              <w:spacing w:after="0" w:line="240" w:lineRule="auto"/>
              <w:rPr>
                <w:rFonts w:ascii="Aptos Narrow" w:eastAsia="Times New Roman" w:hAnsi="Aptos Narrow" w:cs="Times New Roman"/>
                <w:b/>
                <w:color w:val="000000"/>
                <w:sz w:val="20"/>
                <w:szCs w:val="20"/>
                <w:lang w:eastAsia="en-AU"/>
              </w:rPr>
            </w:pPr>
            <w:r w:rsidRPr="00D44BD6">
              <w:rPr>
                <w:rFonts w:ascii="Aptos Narrow" w:eastAsia="Times New Roman" w:hAnsi="Aptos Narrow" w:cs="Times New Roman"/>
                <w:b/>
                <w:color w:val="000000"/>
                <w:sz w:val="20"/>
                <w:szCs w:val="20"/>
                <w:lang w:eastAsia="en-AU"/>
              </w:rPr>
              <w:t>2003</w:t>
            </w:r>
          </w:p>
        </w:tc>
        <w:tc>
          <w:tcPr>
            <w:tcW w:w="1312" w:type="dxa"/>
            <w:tcBorders>
              <w:top w:val="nil"/>
              <w:left w:val="nil"/>
              <w:bottom w:val="nil"/>
              <w:right w:val="nil"/>
            </w:tcBorders>
            <w:shd w:val="clear" w:color="000000" w:fill="FFFFFF"/>
            <w:noWrap/>
            <w:vAlign w:val="bottom"/>
            <w:hideMark/>
          </w:tcPr>
          <w:p w14:paraId="02B63913"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3.4</w:t>
            </w:r>
          </w:p>
        </w:tc>
        <w:tc>
          <w:tcPr>
            <w:tcW w:w="1312" w:type="dxa"/>
            <w:tcBorders>
              <w:top w:val="nil"/>
              <w:left w:val="nil"/>
              <w:bottom w:val="nil"/>
              <w:right w:val="nil"/>
            </w:tcBorders>
            <w:shd w:val="clear" w:color="000000" w:fill="FFFFFF"/>
            <w:noWrap/>
            <w:vAlign w:val="bottom"/>
            <w:hideMark/>
          </w:tcPr>
          <w:p w14:paraId="23B8444D"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4.1</w:t>
            </w:r>
          </w:p>
        </w:tc>
        <w:tc>
          <w:tcPr>
            <w:tcW w:w="1312" w:type="dxa"/>
            <w:tcBorders>
              <w:top w:val="nil"/>
              <w:left w:val="nil"/>
              <w:bottom w:val="nil"/>
              <w:right w:val="nil"/>
            </w:tcBorders>
            <w:vAlign w:val="bottom"/>
          </w:tcPr>
          <w:p w14:paraId="6F2112DE"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4.1</w:t>
            </w:r>
          </w:p>
        </w:tc>
        <w:tc>
          <w:tcPr>
            <w:tcW w:w="1312" w:type="dxa"/>
            <w:tcBorders>
              <w:top w:val="nil"/>
              <w:left w:val="nil"/>
              <w:bottom w:val="nil"/>
              <w:right w:val="nil"/>
            </w:tcBorders>
            <w:noWrap/>
            <w:vAlign w:val="bottom"/>
            <w:hideMark/>
          </w:tcPr>
          <w:p w14:paraId="62DDB7C5"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3.5</w:t>
            </w:r>
          </w:p>
        </w:tc>
        <w:tc>
          <w:tcPr>
            <w:tcW w:w="1312" w:type="dxa"/>
            <w:tcBorders>
              <w:top w:val="nil"/>
              <w:left w:val="nil"/>
              <w:bottom w:val="nil"/>
              <w:right w:val="nil"/>
            </w:tcBorders>
            <w:noWrap/>
            <w:vAlign w:val="bottom"/>
            <w:hideMark/>
          </w:tcPr>
          <w:p w14:paraId="6EDFFAC6"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3.9</w:t>
            </w:r>
          </w:p>
        </w:tc>
        <w:tc>
          <w:tcPr>
            <w:tcW w:w="1312" w:type="dxa"/>
            <w:tcBorders>
              <w:top w:val="nil"/>
              <w:left w:val="nil"/>
              <w:bottom w:val="nil"/>
              <w:right w:val="nil"/>
            </w:tcBorders>
            <w:vAlign w:val="center"/>
          </w:tcPr>
          <w:p w14:paraId="21A46196"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Calibri" w:eastAsia="Times New Roman" w:hAnsi="Calibri" w:cs="Calibri"/>
                <w:color w:val="000000"/>
                <w:sz w:val="20"/>
                <w:szCs w:val="20"/>
                <w:lang w:eastAsia="en-AU"/>
              </w:rPr>
              <w:t>3.9</w:t>
            </w:r>
          </w:p>
        </w:tc>
      </w:tr>
      <w:tr w:rsidR="00677577" w:rsidRPr="00236247" w14:paraId="12AF2DE2" w14:textId="77777777" w:rsidTr="00E04C86">
        <w:trPr>
          <w:trHeight w:val="302"/>
        </w:trPr>
        <w:tc>
          <w:tcPr>
            <w:tcW w:w="1312" w:type="dxa"/>
            <w:tcBorders>
              <w:top w:val="nil"/>
              <w:left w:val="nil"/>
              <w:bottom w:val="nil"/>
              <w:right w:val="nil"/>
            </w:tcBorders>
            <w:shd w:val="clear" w:color="000000" w:fill="FFFFFF"/>
            <w:noWrap/>
            <w:vAlign w:val="bottom"/>
            <w:hideMark/>
          </w:tcPr>
          <w:p w14:paraId="57B2D6F7" w14:textId="77777777" w:rsidR="00677577" w:rsidRPr="00D44BD6" w:rsidRDefault="00677577">
            <w:pPr>
              <w:spacing w:after="0" w:line="240" w:lineRule="auto"/>
              <w:rPr>
                <w:rFonts w:ascii="Aptos Narrow" w:eastAsia="Times New Roman" w:hAnsi="Aptos Narrow" w:cs="Times New Roman"/>
                <w:b/>
                <w:color w:val="000000"/>
                <w:sz w:val="20"/>
                <w:szCs w:val="20"/>
                <w:lang w:eastAsia="en-AU"/>
              </w:rPr>
            </w:pPr>
            <w:r w:rsidRPr="00D44BD6">
              <w:rPr>
                <w:rFonts w:ascii="Aptos Narrow" w:eastAsia="Times New Roman" w:hAnsi="Aptos Narrow" w:cs="Times New Roman"/>
                <w:b/>
                <w:color w:val="000000"/>
                <w:sz w:val="20"/>
                <w:szCs w:val="20"/>
                <w:lang w:eastAsia="en-AU"/>
              </w:rPr>
              <w:t>2004</w:t>
            </w:r>
          </w:p>
        </w:tc>
        <w:tc>
          <w:tcPr>
            <w:tcW w:w="1312" w:type="dxa"/>
            <w:tcBorders>
              <w:top w:val="nil"/>
              <w:left w:val="nil"/>
              <w:bottom w:val="nil"/>
              <w:right w:val="nil"/>
            </w:tcBorders>
            <w:shd w:val="clear" w:color="000000" w:fill="FFFFFF"/>
            <w:noWrap/>
            <w:vAlign w:val="bottom"/>
            <w:hideMark/>
          </w:tcPr>
          <w:p w14:paraId="02EDB8CC"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3.5</w:t>
            </w:r>
          </w:p>
        </w:tc>
        <w:tc>
          <w:tcPr>
            <w:tcW w:w="1312" w:type="dxa"/>
            <w:tcBorders>
              <w:top w:val="nil"/>
              <w:left w:val="nil"/>
              <w:bottom w:val="nil"/>
              <w:right w:val="nil"/>
            </w:tcBorders>
            <w:shd w:val="clear" w:color="000000" w:fill="FFFFFF"/>
            <w:noWrap/>
            <w:vAlign w:val="bottom"/>
            <w:hideMark/>
          </w:tcPr>
          <w:p w14:paraId="74D70F45"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4.1</w:t>
            </w:r>
          </w:p>
        </w:tc>
        <w:tc>
          <w:tcPr>
            <w:tcW w:w="1312" w:type="dxa"/>
            <w:tcBorders>
              <w:top w:val="nil"/>
              <w:left w:val="nil"/>
              <w:bottom w:val="nil"/>
              <w:right w:val="nil"/>
            </w:tcBorders>
            <w:vAlign w:val="bottom"/>
          </w:tcPr>
          <w:p w14:paraId="7971CDDD"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4.1</w:t>
            </w:r>
          </w:p>
        </w:tc>
        <w:tc>
          <w:tcPr>
            <w:tcW w:w="1312" w:type="dxa"/>
            <w:tcBorders>
              <w:top w:val="nil"/>
              <w:left w:val="nil"/>
              <w:bottom w:val="nil"/>
              <w:right w:val="nil"/>
            </w:tcBorders>
            <w:noWrap/>
            <w:vAlign w:val="bottom"/>
            <w:hideMark/>
          </w:tcPr>
          <w:p w14:paraId="1DF39B89"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3.4</w:t>
            </w:r>
          </w:p>
        </w:tc>
        <w:tc>
          <w:tcPr>
            <w:tcW w:w="1312" w:type="dxa"/>
            <w:tcBorders>
              <w:top w:val="nil"/>
              <w:left w:val="nil"/>
              <w:bottom w:val="nil"/>
              <w:right w:val="nil"/>
            </w:tcBorders>
            <w:noWrap/>
            <w:vAlign w:val="bottom"/>
            <w:hideMark/>
          </w:tcPr>
          <w:p w14:paraId="25A2A12D"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4.0</w:t>
            </w:r>
          </w:p>
        </w:tc>
        <w:tc>
          <w:tcPr>
            <w:tcW w:w="1312" w:type="dxa"/>
            <w:tcBorders>
              <w:top w:val="nil"/>
              <w:left w:val="nil"/>
              <w:bottom w:val="nil"/>
              <w:right w:val="nil"/>
            </w:tcBorders>
            <w:vAlign w:val="center"/>
          </w:tcPr>
          <w:p w14:paraId="6B0DFCFC"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Calibri" w:eastAsia="Times New Roman" w:hAnsi="Calibri" w:cs="Calibri"/>
                <w:color w:val="000000"/>
                <w:sz w:val="20"/>
                <w:szCs w:val="20"/>
                <w:lang w:eastAsia="en-AU"/>
              </w:rPr>
              <w:t>4.0</w:t>
            </w:r>
          </w:p>
        </w:tc>
      </w:tr>
      <w:tr w:rsidR="00677577" w:rsidRPr="00236247" w14:paraId="00393208" w14:textId="77777777" w:rsidTr="00E04C86">
        <w:trPr>
          <w:trHeight w:val="302"/>
        </w:trPr>
        <w:tc>
          <w:tcPr>
            <w:tcW w:w="1312" w:type="dxa"/>
            <w:tcBorders>
              <w:top w:val="nil"/>
              <w:left w:val="nil"/>
              <w:bottom w:val="nil"/>
              <w:right w:val="nil"/>
            </w:tcBorders>
            <w:shd w:val="clear" w:color="000000" w:fill="FFFFFF"/>
            <w:noWrap/>
            <w:vAlign w:val="bottom"/>
            <w:hideMark/>
          </w:tcPr>
          <w:p w14:paraId="658004F3" w14:textId="77777777" w:rsidR="00677577" w:rsidRPr="00D44BD6" w:rsidRDefault="00677577">
            <w:pPr>
              <w:spacing w:after="0" w:line="240" w:lineRule="auto"/>
              <w:rPr>
                <w:rFonts w:ascii="Aptos Narrow" w:eastAsia="Times New Roman" w:hAnsi="Aptos Narrow" w:cs="Times New Roman"/>
                <w:b/>
                <w:color w:val="000000"/>
                <w:sz w:val="20"/>
                <w:szCs w:val="20"/>
                <w:lang w:eastAsia="en-AU"/>
              </w:rPr>
            </w:pPr>
            <w:r w:rsidRPr="00D44BD6">
              <w:rPr>
                <w:rFonts w:ascii="Aptos Narrow" w:eastAsia="Times New Roman" w:hAnsi="Aptos Narrow" w:cs="Times New Roman"/>
                <w:b/>
                <w:color w:val="000000"/>
                <w:sz w:val="20"/>
                <w:szCs w:val="20"/>
                <w:lang w:eastAsia="en-AU"/>
              </w:rPr>
              <w:t>2005</w:t>
            </w:r>
          </w:p>
        </w:tc>
        <w:tc>
          <w:tcPr>
            <w:tcW w:w="1312" w:type="dxa"/>
            <w:tcBorders>
              <w:top w:val="nil"/>
              <w:left w:val="nil"/>
              <w:bottom w:val="nil"/>
              <w:right w:val="nil"/>
            </w:tcBorders>
            <w:shd w:val="clear" w:color="000000" w:fill="FFFFFF"/>
            <w:noWrap/>
            <w:vAlign w:val="bottom"/>
            <w:hideMark/>
          </w:tcPr>
          <w:p w14:paraId="7B4AD3E9"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3.6</w:t>
            </w:r>
          </w:p>
        </w:tc>
        <w:tc>
          <w:tcPr>
            <w:tcW w:w="1312" w:type="dxa"/>
            <w:tcBorders>
              <w:top w:val="nil"/>
              <w:left w:val="nil"/>
              <w:bottom w:val="nil"/>
              <w:right w:val="nil"/>
            </w:tcBorders>
            <w:shd w:val="clear" w:color="000000" w:fill="FFFFFF"/>
            <w:noWrap/>
            <w:vAlign w:val="bottom"/>
            <w:hideMark/>
          </w:tcPr>
          <w:p w14:paraId="00B09898"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4.3</w:t>
            </w:r>
          </w:p>
        </w:tc>
        <w:tc>
          <w:tcPr>
            <w:tcW w:w="1312" w:type="dxa"/>
            <w:tcBorders>
              <w:top w:val="nil"/>
              <w:left w:val="nil"/>
              <w:bottom w:val="nil"/>
              <w:right w:val="nil"/>
            </w:tcBorders>
            <w:vAlign w:val="bottom"/>
          </w:tcPr>
          <w:p w14:paraId="11DAB7F1"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4.2</w:t>
            </w:r>
          </w:p>
        </w:tc>
        <w:tc>
          <w:tcPr>
            <w:tcW w:w="1312" w:type="dxa"/>
            <w:tcBorders>
              <w:top w:val="nil"/>
              <w:left w:val="nil"/>
              <w:bottom w:val="nil"/>
              <w:right w:val="nil"/>
            </w:tcBorders>
            <w:noWrap/>
            <w:vAlign w:val="bottom"/>
            <w:hideMark/>
          </w:tcPr>
          <w:p w14:paraId="0ECF5F4A"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3.5</w:t>
            </w:r>
          </w:p>
        </w:tc>
        <w:tc>
          <w:tcPr>
            <w:tcW w:w="1312" w:type="dxa"/>
            <w:tcBorders>
              <w:top w:val="nil"/>
              <w:left w:val="nil"/>
              <w:bottom w:val="nil"/>
              <w:right w:val="nil"/>
            </w:tcBorders>
            <w:noWrap/>
            <w:vAlign w:val="bottom"/>
            <w:hideMark/>
          </w:tcPr>
          <w:p w14:paraId="4487447B"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4.1</w:t>
            </w:r>
          </w:p>
        </w:tc>
        <w:tc>
          <w:tcPr>
            <w:tcW w:w="1312" w:type="dxa"/>
            <w:tcBorders>
              <w:top w:val="nil"/>
              <w:left w:val="nil"/>
              <w:bottom w:val="nil"/>
              <w:right w:val="nil"/>
            </w:tcBorders>
            <w:vAlign w:val="center"/>
          </w:tcPr>
          <w:p w14:paraId="145AF36C"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Calibri" w:eastAsia="Times New Roman" w:hAnsi="Calibri" w:cs="Calibri"/>
                <w:color w:val="000000"/>
                <w:sz w:val="20"/>
                <w:szCs w:val="20"/>
                <w:lang w:eastAsia="en-AU"/>
              </w:rPr>
              <w:t>4.1</w:t>
            </w:r>
          </w:p>
        </w:tc>
      </w:tr>
      <w:tr w:rsidR="00677577" w:rsidRPr="00236247" w14:paraId="346F617B" w14:textId="77777777" w:rsidTr="00E04C86">
        <w:trPr>
          <w:trHeight w:val="302"/>
        </w:trPr>
        <w:tc>
          <w:tcPr>
            <w:tcW w:w="1312" w:type="dxa"/>
            <w:tcBorders>
              <w:top w:val="nil"/>
              <w:left w:val="nil"/>
              <w:bottom w:val="nil"/>
              <w:right w:val="nil"/>
            </w:tcBorders>
            <w:shd w:val="clear" w:color="000000" w:fill="FFFFFF"/>
            <w:noWrap/>
            <w:vAlign w:val="bottom"/>
            <w:hideMark/>
          </w:tcPr>
          <w:p w14:paraId="2D410E6F" w14:textId="77777777" w:rsidR="00677577" w:rsidRPr="00D44BD6" w:rsidRDefault="00677577">
            <w:pPr>
              <w:spacing w:after="0" w:line="240" w:lineRule="auto"/>
              <w:rPr>
                <w:rFonts w:ascii="Aptos Narrow" w:eastAsia="Times New Roman" w:hAnsi="Aptos Narrow" w:cs="Times New Roman"/>
                <w:b/>
                <w:color w:val="000000"/>
                <w:sz w:val="20"/>
                <w:szCs w:val="20"/>
                <w:lang w:eastAsia="en-AU"/>
              </w:rPr>
            </w:pPr>
            <w:r w:rsidRPr="00D44BD6">
              <w:rPr>
                <w:rFonts w:ascii="Aptos Narrow" w:eastAsia="Times New Roman" w:hAnsi="Aptos Narrow" w:cs="Times New Roman"/>
                <w:b/>
                <w:color w:val="000000"/>
                <w:sz w:val="20"/>
                <w:szCs w:val="20"/>
                <w:lang w:eastAsia="en-AU"/>
              </w:rPr>
              <w:t>2006</w:t>
            </w:r>
          </w:p>
        </w:tc>
        <w:tc>
          <w:tcPr>
            <w:tcW w:w="1312" w:type="dxa"/>
            <w:tcBorders>
              <w:top w:val="nil"/>
              <w:left w:val="nil"/>
              <w:bottom w:val="nil"/>
              <w:right w:val="nil"/>
            </w:tcBorders>
            <w:shd w:val="clear" w:color="000000" w:fill="FFFFFF"/>
            <w:noWrap/>
            <w:vAlign w:val="bottom"/>
            <w:hideMark/>
          </w:tcPr>
          <w:p w14:paraId="33D394A3"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3.7</w:t>
            </w:r>
          </w:p>
        </w:tc>
        <w:tc>
          <w:tcPr>
            <w:tcW w:w="1312" w:type="dxa"/>
            <w:tcBorders>
              <w:top w:val="nil"/>
              <w:left w:val="nil"/>
              <w:bottom w:val="nil"/>
              <w:right w:val="nil"/>
            </w:tcBorders>
            <w:shd w:val="clear" w:color="000000" w:fill="FFFFFF"/>
            <w:noWrap/>
            <w:vAlign w:val="bottom"/>
            <w:hideMark/>
          </w:tcPr>
          <w:p w14:paraId="56FA110C"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3.9</w:t>
            </w:r>
          </w:p>
        </w:tc>
        <w:tc>
          <w:tcPr>
            <w:tcW w:w="1312" w:type="dxa"/>
            <w:tcBorders>
              <w:top w:val="nil"/>
              <w:left w:val="nil"/>
              <w:bottom w:val="nil"/>
              <w:right w:val="nil"/>
            </w:tcBorders>
            <w:vAlign w:val="bottom"/>
          </w:tcPr>
          <w:p w14:paraId="526CDF69"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3.9</w:t>
            </w:r>
          </w:p>
        </w:tc>
        <w:tc>
          <w:tcPr>
            <w:tcW w:w="1312" w:type="dxa"/>
            <w:tcBorders>
              <w:top w:val="nil"/>
              <w:left w:val="nil"/>
              <w:bottom w:val="nil"/>
              <w:right w:val="nil"/>
            </w:tcBorders>
            <w:noWrap/>
            <w:vAlign w:val="bottom"/>
            <w:hideMark/>
          </w:tcPr>
          <w:p w14:paraId="35C3A81F"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3.6</w:t>
            </w:r>
          </w:p>
        </w:tc>
        <w:tc>
          <w:tcPr>
            <w:tcW w:w="1312" w:type="dxa"/>
            <w:tcBorders>
              <w:top w:val="nil"/>
              <w:left w:val="nil"/>
              <w:bottom w:val="nil"/>
              <w:right w:val="nil"/>
            </w:tcBorders>
            <w:noWrap/>
            <w:vAlign w:val="bottom"/>
            <w:hideMark/>
          </w:tcPr>
          <w:p w14:paraId="2E157319"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4.0</w:t>
            </w:r>
          </w:p>
        </w:tc>
        <w:tc>
          <w:tcPr>
            <w:tcW w:w="1312" w:type="dxa"/>
            <w:tcBorders>
              <w:top w:val="nil"/>
              <w:left w:val="nil"/>
              <w:bottom w:val="nil"/>
              <w:right w:val="nil"/>
            </w:tcBorders>
            <w:vAlign w:val="center"/>
          </w:tcPr>
          <w:p w14:paraId="07ED44A7"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Calibri" w:eastAsia="Times New Roman" w:hAnsi="Calibri" w:cs="Calibri"/>
                <w:color w:val="000000"/>
                <w:sz w:val="20"/>
                <w:szCs w:val="20"/>
                <w:lang w:eastAsia="en-AU"/>
              </w:rPr>
              <w:t>4.0</w:t>
            </w:r>
          </w:p>
        </w:tc>
      </w:tr>
      <w:tr w:rsidR="00677577" w:rsidRPr="00236247" w14:paraId="1D978DDD" w14:textId="77777777" w:rsidTr="00E04C86">
        <w:trPr>
          <w:trHeight w:val="302"/>
        </w:trPr>
        <w:tc>
          <w:tcPr>
            <w:tcW w:w="1312" w:type="dxa"/>
            <w:tcBorders>
              <w:top w:val="nil"/>
              <w:left w:val="nil"/>
              <w:bottom w:val="nil"/>
              <w:right w:val="nil"/>
            </w:tcBorders>
            <w:shd w:val="clear" w:color="000000" w:fill="FFFFFF"/>
            <w:noWrap/>
            <w:vAlign w:val="bottom"/>
            <w:hideMark/>
          </w:tcPr>
          <w:p w14:paraId="2FFB88F8" w14:textId="77777777" w:rsidR="00677577" w:rsidRPr="00D44BD6" w:rsidRDefault="00677577">
            <w:pPr>
              <w:spacing w:after="0" w:line="240" w:lineRule="auto"/>
              <w:rPr>
                <w:rFonts w:ascii="Aptos Narrow" w:eastAsia="Times New Roman" w:hAnsi="Aptos Narrow" w:cs="Times New Roman"/>
                <w:b/>
                <w:color w:val="000000"/>
                <w:sz w:val="20"/>
                <w:szCs w:val="20"/>
                <w:lang w:eastAsia="en-AU"/>
              </w:rPr>
            </w:pPr>
            <w:r w:rsidRPr="00D44BD6">
              <w:rPr>
                <w:rFonts w:ascii="Aptos Narrow" w:eastAsia="Times New Roman" w:hAnsi="Aptos Narrow" w:cs="Times New Roman"/>
                <w:b/>
                <w:color w:val="000000"/>
                <w:sz w:val="20"/>
                <w:szCs w:val="20"/>
                <w:lang w:eastAsia="en-AU"/>
              </w:rPr>
              <w:t>2007</w:t>
            </w:r>
          </w:p>
        </w:tc>
        <w:tc>
          <w:tcPr>
            <w:tcW w:w="1312" w:type="dxa"/>
            <w:tcBorders>
              <w:top w:val="nil"/>
              <w:left w:val="nil"/>
              <w:bottom w:val="nil"/>
              <w:right w:val="nil"/>
            </w:tcBorders>
            <w:shd w:val="clear" w:color="000000" w:fill="FFFFFF"/>
            <w:noWrap/>
            <w:vAlign w:val="bottom"/>
            <w:hideMark/>
          </w:tcPr>
          <w:p w14:paraId="5FC27167"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3.5</w:t>
            </w:r>
          </w:p>
        </w:tc>
        <w:tc>
          <w:tcPr>
            <w:tcW w:w="1312" w:type="dxa"/>
            <w:tcBorders>
              <w:top w:val="nil"/>
              <w:left w:val="nil"/>
              <w:bottom w:val="nil"/>
              <w:right w:val="nil"/>
            </w:tcBorders>
            <w:shd w:val="clear" w:color="000000" w:fill="FFFFFF"/>
            <w:noWrap/>
            <w:vAlign w:val="bottom"/>
            <w:hideMark/>
          </w:tcPr>
          <w:p w14:paraId="4185580E"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4.0</w:t>
            </w:r>
          </w:p>
        </w:tc>
        <w:tc>
          <w:tcPr>
            <w:tcW w:w="1312" w:type="dxa"/>
            <w:tcBorders>
              <w:top w:val="nil"/>
              <w:left w:val="nil"/>
              <w:bottom w:val="nil"/>
              <w:right w:val="nil"/>
            </w:tcBorders>
            <w:vAlign w:val="bottom"/>
          </w:tcPr>
          <w:p w14:paraId="338FF08C"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3.9</w:t>
            </w:r>
          </w:p>
        </w:tc>
        <w:tc>
          <w:tcPr>
            <w:tcW w:w="1312" w:type="dxa"/>
            <w:tcBorders>
              <w:top w:val="nil"/>
              <w:left w:val="nil"/>
              <w:bottom w:val="nil"/>
              <w:right w:val="nil"/>
            </w:tcBorders>
            <w:noWrap/>
            <w:vAlign w:val="bottom"/>
            <w:hideMark/>
          </w:tcPr>
          <w:p w14:paraId="340BEE12"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3.6</w:t>
            </w:r>
          </w:p>
        </w:tc>
        <w:tc>
          <w:tcPr>
            <w:tcW w:w="1312" w:type="dxa"/>
            <w:tcBorders>
              <w:top w:val="nil"/>
              <w:left w:val="nil"/>
              <w:bottom w:val="nil"/>
              <w:right w:val="nil"/>
            </w:tcBorders>
            <w:noWrap/>
            <w:vAlign w:val="bottom"/>
            <w:hideMark/>
          </w:tcPr>
          <w:p w14:paraId="48B8FFC1"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4.0</w:t>
            </w:r>
          </w:p>
        </w:tc>
        <w:tc>
          <w:tcPr>
            <w:tcW w:w="1312" w:type="dxa"/>
            <w:tcBorders>
              <w:top w:val="nil"/>
              <w:left w:val="nil"/>
              <w:bottom w:val="nil"/>
              <w:right w:val="nil"/>
            </w:tcBorders>
            <w:vAlign w:val="center"/>
          </w:tcPr>
          <w:p w14:paraId="7C38796F"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Calibri" w:eastAsia="Times New Roman" w:hAnsi="Calibri" w:cs="Calibri"/>
                <w:color w:val="000000"/>
                <w:sz w:val="20"/>
                <w:szCs w:val="20"/>
                <w:lang w:eastAsia="en-AU"/>
              </w:rPr>
              <w:t>3.9</w:t>
            </w:r>
          </w:p>
        </w:tc>
      </w:tr>
      <w:tr w:rsidR="00677577" w:rsidRPr="00236247" w14:paraId="487F45FE" w14:textId="77777777" w:rsidTr="00E04C86">
        <w:trPr>
          <w:trHeight w:val="302"/>
        </w:trPr>
        <w:tc>
          <w:tcPr>
            <w:tcW w:w="1312" w:type="dxa"/>
            <w:tcBorders>
              <w:top w:val="nil"/>
              <w:left w:val="nil"/>
              <w:bottom w:val="nil"/>
              <w:right w:val="nil"/>
            </w:tcBorders>
            <w:shd w:val="clear" w:color="000000" w:fill="FFFFFF"/>
            <w:noWrap/>
            <w:vAlign w:val="bottom"/>
            <w:hideMark/>
          </w:tcPr>
          <w:p w14:paraId="5A2A188C" w14:textId="77777777" w:rsidR="00677577" w:rsidRPr="00D44BD6" w:rsidRDefault="00677577">
            <w:pPr>
              <w:spacing w:after="0" w:line="240" w:lineRule="auto"/>
              <w:rPr>
                <w:rFonts w:ascii="Aptos Narrow" w:eastAsia="Times New Roman" w:hAnsi="Aptos Narrow" w:cs="Times New Roman"/>
                <w:b/>
                <w:color w:val="000000"/>
                <w:sz w:val="20"/>
                <w:szCs w:val="20"/>
                <w:lang w:eastAsia="en-AU"/>
              </w:rPr>
            </w:pPr>
            <w:r w:rsidRPr="00D44BD6">
              <w:rPr>
                <w:rFonts w:ascii="Aptos Narrow" w:eastAsia="Times New Roman" w:hAnsi="Aptos Narrow" w:cs="Times New Roman"/>
                <w:b/>
                <w:color w:val="000000"/>
                <w:sz w:val="20"/>
                <w:szCs w:val="20"/>
                <w:lang w:eastAsia="en-AU"/>
              </w:rPr>
              <w:t>2008</w:t>
            </w:r>
          </w:p>
        </w:tc>
        <w:tc>
          <w:tcPr>
            <w:tcW w:w="1312" w:type="dxa"/>
            <w:tcBorders>
              <w:top w:val="nil"/>
              <w:left w:val="nil"/>
              <w:bottom w:val="nil"/>
              <w:right w:val="nil"/>
            </w:tcBorders>
            <w:shd w:val="clear" w:color="000000" w:fill="FFFFFF"/>
            <w:noWrap/>
            <w:vAlign w:val="bottom"/>
            <w:hideMark/>
          </w:tcPr>
          <w:p w14:paraId="1BFC94B8"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4.0</w:t>
            </w:r>
          </w:p>
        </w:tc>
        <w:tc>
          <w:tcPr>
            <w:tcW w:w="1312" w:type="dxa"/>
            <w:tcBorders>
              <w:top w:val="nil"/>
              <w:left w:val="nil"/>
              <w:bottom w:val="nil"/>
              <w:right w:val="nil"/>
            </w:tcBorders>
            <w:shd w:val="clear" w:color="000000" w:fill="FFFFFF"/>
            <w:noWrap/>
            <w:vAlign w:val="bottom"/>
            <w:hideMark/>
          </w:tcPr>
          <w:p w14:paraId="43E212DD"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4.1</w:t>
            </w:r>
          </w:p>
        </w:tc>
        <w:tc>
          <w:tcPr>
            <w:tcW w:w="1312" w:type="dxa"/>
            <w:tcBorders>
              <w:top w:val="nil"/>
              <w:left w:val="nil"/>
              <w:bottom w:val="nil"/>
              <w:right w:val="nil"/>
            </w:tcBorders>
            <w:vAlign w:val="bottom"/>
          </w:tcPr>
          <w:p w14:paraId="52FA6EB8"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4.0</w:t>
            </w:r>
          </w:p>
        </w:tc>
        <w:tc>
          <w:tcPr>
            <w:tcW w:w="1312" w:type="dxa"/>
            <w:tcBorders>
              <w:top w:val="nil"/>
              <w:left w:val="nil"/>
              <w:bottom w:val="nil"/>
              <w:right w:val="nil"/>
            </w:tcBorders>
            <w:noWrap/>
            <w:vAlign w:val="bottom"/>
            <w:hideMark/>
          </w:tcPr>
          <w:p w14:paraId="6C7658CA"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3.7</w:t>
            </w:r>
          </w:p>
        </w:tc>
        <w:tc>
          <w:tcPr>
            <w:tcW w:w="1312" w:type="dxa"/>
            <w:tcBorders>
              <w:top w:val="nil"/>
              <w:left w:val="nil"/>
              <w:bottom w:val="nil"/>
              <w:right w:val="nil"/>
            </w:tcBorders>
            <w:noWrap/>
            <w:vAlign w:val="bottom"/>
            <w:hideMark/>
          </w:tcPr>
          <w:p w14:paraId="13393652"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3.9</w:t>
            </w:r>
          </w:p>
        </w:tc>
        <w:tc>
          <w:tcPr>
            <w:tcW w:w="1312" w:type="dxa"/>
            <w:tcBorders>
              <w:top w:val="nil"/>
              <w:left w:val="nil"/>
              <w:bottom w:val="nil"/>
              <w:right w:val="nil"/>
            </w:tcBorders>
            <w:vAlign w:val="center"/>
          </w:tcPr>
          <w:p w14:paraId="14E5A1DD"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Calibri" w:eastAsia="Times New Roman" w:hAnsi="Calibri" w:cs="Calibri"/>
                <w:color w:val="000000"/>
                <w:sz w:val="20"/>
                <w:szCs w:val="20"/>
                <w:lang w:eastAsia="en-AU"/>
              </w:rPr>
              <w:t>3.9</w:t>
            </w:r>
          </w:p>
        </w:tc>
      </w:tr>
      <w:tr w:rsidR="00677577" w:rsidRPr="00236247" w14:paraId="56F91E61" w14:textId="77777777" w:rsidTr="00E04C86">
        <w:trPr>
          <w:trHeight w:val="302"/>
        </w:trPr>
        <w:tc>
          <w:tcPr>
            <w:tcW w:w="1312" w:type="dxa"/>
            <w:tcBorders>
              <w:top w:val="nil"/>
              <w:left w:val="nil"/>
              <w:bottom w:val="nil"/>
              <w:right w:val="nil"/>
            </w:tcBorders>
            <w:shd w:val="clear" w:color="000000" w:fill="FFFFFF"/>
            <w:noWrap/>
            <w:vAlign w:val="bottom"/>
            <w:hideMark/>
          </w:tcPr>
          <w:p w14:paraId="55AD0FA4" w14:textId="77777777" w:rsidR="00677577" w:rsidRPr="00D44BD6" w:rsidRDefault="00677577">
            <w:pPr>
              <w:spacing w:after="0" w:line="240" w:lineRule="auto"/>
              <w:rPr>
                <w:rFonts w:ascii="Aptos Narrow" w:eastAsia="Times New Roman" w:hAnsi="Aptos Narrow" w:cs="Times New Roman"/>
                <w:b/>
                <w:color w:val="000000"/>
                <w:sz w:val="20"/>
                <w:szCs w:val="20"/>
                <w:lang w:eastAsia="en-AU"/>
              </w:rPr>
            </w:pPr>
            <w:r w:rsidRPr="00D44BD6">
              <w:rPr>
                <w:rFonts w:ascii="Aptos Narrow" w:eastAsia="Times New Roman" w:hAnsi="Aptos Narrow" w:cs="Times New Roman"/>
                <w:b/>
                <w:color w:val="000000"/>
                <w:sz w:val="20"/>
                <w:szCs w:val="20"/>
                <w:lang w:eastAsia="en-AU"/>
              </w:rPr>
              <w:t>2009</w:t>
            </w:r>
          </w:p>
        </w:tc>
        <w:tc>
          <w:tcPr>
            <w:tcW w:w="1312" w:type="dxa"/>
            <w:tcBorders>
              <w:top w:val="nil"/>
              <w:left w:val="nil"/>
              <w:bottom w:val="nil"/>
              <w:right w:val="nil"/>
            </w:tcBorders>
            <w:shd w:val="clear" w:color="000000" w:fill="FFFFFF"/>
            <w:noWrap/>
            <w:vAlign w:val="bottom"/>
            <w:hideMark/>
          </w:tcPr>
          <w:p w14:paraId="6B3DF5C5"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3.6</w:t>
            </w:r>
          </w:p>
        </w:tc>
        <w:tc>
          <w:tcPr>
            <w:tcW w:w="1312" w:type="dxa"/>
            <w:tcBorders>
              <w:top w:val="nil"/>
              <w:left w:val="nil"/>
              <w:bottom w:val="nil"/>
              <w:right w:val="nil"/>
            </w:tcBorders>
            <w:shd w:val="clear" w:color="000000" w:fill="FFFFFF"/>
            <w:noWrap/>
            <w:vAlign w:val="bottom"/>
            <w:hideMark/>
          </w:tcPr>
          <w:p w14:paraId="430A75AF"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3.9</w:t>
            </w:r>
          </w:p>
        </w:tc>
        <w:tc>
          <w:tcPr>
            <w:tcW w:w="1312" w:type="dxa"/>
            <w:tcBorders>
              <w:top w:val="nil"/>
              <w:left w:val="nil"/>
              <w:bottom w:val="nil"/>
              <w:right w:val="nil"/>
            </w:tcBorders>
            <w:vAlign w:val="bottom"/>
          </w:tcPr>
          <w:p w14:paraId="0351A2CE"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3.9</w:t>
            </w:r>
          </w:p>
        </w:tc>
        <w:tc>
          <w:tcPr>
            <w:tcW w:w="1312" w:type="dxa"/>
            <w:tcBorders>
              <w:top w:val="nil"/>
              <w:left w:val="nil"/>
              <w:bottom w:val="nil"/>
              <w:right w:val="nil"/>
            </w:tcBorders>
            <w:noWrap/>
            <w:vAlign w:val="bottom"/>
            <w:hideMark/>
          </w:tcPr>
          <w:p w14:paraId="6DDF5F59"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3.6</w:t>
            </w:r>
          </w:p>
        </w:tc>
        <w:tc>
          <w:tcPr>
            <w:tcW w:w="1312" w:type="dxa"/>
            <w:tcBorders>
              <w:top w:val="nil"/>
              <w:left w:val="nil"/>
              <w:bottom w:val="nil"/>
              <w:right w:val="nil"/>
            </w:tcBorders>
            <w:noWrap/>
            <w:vAlign w:val="bottom"/>
            <w:hideMark/>
          </w:tcPr>
          <w:p w14:paraId="2D59C11D"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4.0</w:t>
            </w:r>
          </w:p>
        </w:tc>
        <w:tc>
          <w:tcPr>
            <w:tcW w:w="1312" w:type="dxa"/>
            <w:tcBorders>
              <w:top w:val="nil"/>
              <w:left w:val="nil"/>
              <w:bottom w:val="nil"/>
              <w:right w:val="nil"/>
            </w:tcBorders>
            <w:vAlign w:val="center"/>
          </w:tcPr>
          <w:p w14:paraId="67522F9A"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Calibri" w:eastAsia="Times New Roman" w:hAnsi="Calibri" w:cs="Calibri"/>
                <w:color w:val="000000"/>
                <w:sz w:val="20"/>
                <w:szCs w:val="20"/>
                <w:lang w:eastAsia="en-AU"/>
              </w:rPr>
              <w:t>3.9</w:t>
            </w:r>
          </w:p>
        </w:tc>
      </w:tr>
      <w:tr w:rsidR="00677577" w:rsidRPr="00236247" w14:paraId="6D856D0D" w14:textId="77777777" w:rsidTr="00E04C86">
        <w:trPr>
          <w:trHeight w:val="302"/>
        </w:trPr>
        <w:tc>
          <w:tcPr>
            <w:tcW w:w="1312" w:type="dxa"/>
            <w:tcBorders>
              <w:top w:val="nil"/>
              <w:left w:val="nil"/>
              <w:bottom w:val="nil"/>
              <w:right w:val="nil"/>
            </w:tcBorders>
            <w:shd w:val="clear" w:color="000000" w:fill="FFFFFF"/>
            <w:noWrap/>
            <w:vAlign w:val="bottom"/>
            <w:hideMark/>
          </w:tcPr>
          <w:p w14:paraId="2E0F5D9C" w14:textId="77777777" w:rsidR="00677577" w:rsidRPr="00D44BD6" w:rsidRDefault="00677577">
            <w:pPr>
              <w:spacing w:after="0" w:line="240" w:lineRule="auto"/>
              <w:rPr>
                <w:rFonts w:ascii="Aptos Narrow" w:eastAsia="Times New Roman" w:hAnsi="Aptos Narrow" w:cs="Times New Roman"/>
                <w:b/>
                <w:color w:val="000000"/>
                <w:sz w:val="20"/>
                <w:szCs w:val="20"/>
                <w:lang w:eastAsia="en-AU"/>
              </w:rPr>
            </w:pPr>
            <w:r w:rsidRPr="00D44BD6">
              <w:rPr>
                <w:rFonts w:ascii="Aptos Narrow" w:eastAsia="Times New Roman" w:hAnsi="Aptos Narrow" w:cs="Times New Roman"/>
                <w:b/>
                <w:color w:val="000000"/>
                <w:sz w:val="20"/>
                <w:szCs w:val="20"/>
                <w:lang w:eastAsia="en-AU"/>
              </w:rPr>
              <w:t>2010</w:t>
            </w:r>
          </w:p>
        </w:tc>
        <w:tc>
          <w:tcPr>
            <w:tcW w:w="1312" w:type="dxa"/>
            <w:tcBorders>
              <w:top w:val="nil"/>
              <w:left w:val="nil"/>
              <w:bottom w:val="nil"/>
              <w:right w:val="nil"/>
            </w:tcBorders>
            <w:shd w:val="clear" w:color="000000" w:fill="FFFFFF"/>
            <w:noWrap/>
            <w:vAlign w:val="bottom"/>
            <w:hideMark/>
          </w:tcPr>
          <w:p w14:paraId="1E86F281"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3.5</w:t>
            </w:r>
          </w:p>
        </w:tc>
        <w:tc>
          <w:tcPr>
            <w:tcW w:w="1312" w:type="dxa"/>
            <w:tcBorders>
              <w:top w:val="nil"/>
              <w:left w:val="nil"/>
              <w:bottom w:val="nil"/>
              <w:right w:val="nil"/>
            </w:tcBorders>
            <w:shd w:val="clear" w:color="000000" w:fill="FFFFFF"/>
            <w:noWrap/>
            <w:vAlign w:val="bottom"/>
            <w:hideMark/>
          </w:tcPr>
          <w:p w14:paraId="3A12079F"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3.9</w:t>
            </w:r>
          </w:p>
        </w:tc>
        <w:tc>
          <w:tcPr>
            <w:tcW w:w="1312" w:type="dxa"/>
            <w:tcBorders>
              <w:top w:val="nil"/>
              <w:left w:val="nil"/>
              <w:bottom w:val="nil"/>
              <w:right w:val="nil"/>
            </w:tcBorders>
            <w:vAlign w:val="bottom"/>
          </w:tcPr>
          <w:p w14:paraId="60BB208C"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3.8</w:t>
            </w:r>
          </w:p>
        </w:tc>
        <w:tc>
          <w:tcPr>
            <w:tcW w:w="1312" w:type="dxa"/>
            <w:tcBorders>
              <w:top w:val="nil"/>
              <w:left w:val="nil"/>
              <w:bottom w:val="nil"/>
              <w:right w:val="nil"/>
            </w:tcBorders>
            <w:noWrap/>
            <w:vAlign w:val="bottom"/>
            <w:hideMark/>
          </w:tcPr>
          <w:p w14:paraId="05DC8722"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3.5</w:t>
            </w:r>
          </w:p>
        </w:tc>
        <w:tc>
          <w:tcPr>
            <w:tcW w:w="1312" w:type="dxa"/>
            <w:tcBorders>
              <w:top w:val="nil"/>
              <w:left w:val="nil"/>
              <w:bottom w:val="nil"/>
              <w:right w:val="nil"/>
            </w:tcBorders>
            <w:noWrap/>
            <w:vAlign w:val="bottom"/>
            <w:hideMark/>
          </w:tcPr>
          <w:p w14:paraId="7838E8E2"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3.9</w:t>
            </w:r>
          </w:p>
        </w:tc>
        <w:tc>
          <w:tcPr>
            <w:tcW w:w="1312" w:type="dxa"/>
            <w:tcBorders>
              <w:top w:val="nil"/>
              <w:left w:val="nil"/>
              <w:bottom w:val="nil"/>
              <w:right w:val="nil"/>
            </w:tcBorders>
            <w:vAlign w:val="center"/>
          </w:tcPr>
          <w:p w14:paraId="3A4B1585"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Calibri" w:eastAsia="Times New Roman" w:hAnsi="Calibri" w:cs="Calibri"/>
                <w:color w:val="000000"/>
                <w:sz w:val="20"/>
                <w:szCs w:val="20"/>
                <w:lang w:eastAsia="en-AU"/>
              </w:rPr>
              <w:t>3.9</w:t>
            </w:r>
          </w:p>
        </w:tc>
      </w:tr>
      <w:tr w:rsidR="00677577" w:rsidRPr="00236247" w14:paraId="4029D351" w14:textId="77777777" w:rsidTr="00E04C86">
        <w:trPr>
          <w:trHeight w:val="302"/>
        </w:trPr>
        <w:tc>
          <w:tcPr>
            <w:tcW w:w="1312" w:type="dxa"/>
            <w:tcBorders>
              <w:top w:val="nil"/>
              <w:left w:val="nil"/>
              <w:bottom w:val="nil"/>
              <w:right w:val="nil"/>
            </w:tcBorders>
            <w:shd w:val="clear" w:color="000000" w:fill="FFFFFF"/>
            <w:noWrap/>
            <w:vAlign w:val="bottom"/>
            <w:hideMark/>
          </w:tcPr>
          <w:p w14:paraId="32B56E7B" w14:textId="77777777" w:rsidR="00677577" w:rsidRPr="00D44BD6" w:rsidRDefault="00677577">
            <w:pPr>
              <w:spacing w:after="0" w:line="240" w:lineRule="auto"/>
              <w:rPr>
                <w:rFonts w:ascii="Aptos Narrow" w:eastAsia="Times New Roman" w:hAnsi="Aptos Narrow" w:cs="Times New Roman"/>
                <w:b/>
                <w:color w:val="000000"/>
                <w:sz w:val="20"/>
                <w:szCs w:val="20"/>
                <w:lang w:eastAsia="en-AU"/>
              </w:rPr>
            </w:pPr>
            <w:r w:rsidRPr="00D44BD6">
              <w:rPr>
                <w:rFonts w:ascii="Aptos Narrow" w:eastAsia="Times New Roman" w:hAnsi="Aptos Narrow" w:cs="Times New Roman"/>
                <w:b/>
                <w:color w:val="000000"/>
                <w:sz w:val="20"/>
                <w:szCs w:val="20"/>
                <w:lang w:eastAsia="en-AU"/>
              </w:rPr>
              <w:t>2011</w:t>
            </w:r>
          </w:p>
        </w:tc>
        <w:tc>
          <w:tcPr>
            <w:tcW w:w="1312" w:type="dxa"/>
            <w:tcBorders>
              <w:top w:val="nil"/>
              <w:left w:val="nil"/>
              <w:bottom w:val="nil"/>
              <w:right w:val="nil"/>
            </w:tcBorders>
            <w:shd w:val="clear" w:color="000000" w:fill="FFFFFF"/>
            <w:noWrap/>
            <w:vAlign w:val="bottom"/>
            <w:hideMark/>
          </w:tcPr>
          <w:p w14:paraId="755C27BE"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3.5</w:t>
            </w:r>
          </w:p>
        </w:tc>
        <w:tc>
          <w:tcPr>
            <w:tcW w:w="1312" w:type="dxa"/>
            <w:tcBorders>
              <w:top w:val="nil"/>
              <w:left w:val="nil"/>
              <w:bottom w:val="nil"/>
              <w:right w:val="nil"/>
            </w:tcBorders>
            <w:shd w:val="clear" w:color="000000" w:fill="FFFFFF"/>
            <w:noWrap/>
            <w:vAlign w:val="bottom"/>
            <w:hideMark/>
          </w:tcPr>
          <w:p w14:paraId="6B6D93AA"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3.7</w:t>
            </w:r>
          </w:p>
        </w:tc>
        <w:tc>
          <w:tcPr>
            <w:tcW w:w="1312" w:type="dxa"/>
            <w:tcBorders>
              <w:top w:val="nil"/>
              <w:left w:val="nil"/>
              <w:bottom w:val="nil"/>
              <w:right w:val="nil"/>
            </w:tcBorders>
            <w:vAlign w:val="bottom"/>
          </w:tcPr>
          <w:p w14:paraId="65C6D379"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3.7</w:t>
            </w:r>
          </w:p>
        </w:tc>
        <w:tc>
          <w:tcPr>
            <w:tcW w:w="1312" w:type="dxa"/>
            <w:tcBorders>
              <w:top w:val="nil"/>
              <w:left w:val="nil"/>
              <w:bottom w:val="nil"/>
              <w:right w:val="nil"/>
            </w:tcBorders>
            <w:noWrap/>
            <w:vAlign w:val="bottom"/>
            <w:hideMark/>
          </w:tcPr>
          <w:p w14:paraId="17ABA665"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3.4</w:t>
            </w:r>
          </w:p>
        </w:tc>
        <w:tc>
          <w:tcPr>
            <w:tcW w:w="1312" w:type="dxa"/>
            <w:tcBorders>
              <w:top w:val="nil"/>
              <w:left w:val="nil"/>
              <w:bottom w:val="nil"/>
              <w:right w:val="nil"/>
            </w:tcBorders>
            <w:noWrap/>
            <w:vAlign w:val="bottom"/>
            <w:hideMark/>
          </w:tcPr>
          <w:p w14:paraId="2F1B3793"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3.8</w:t>
            </w:r>
          </w:p>
        </w:tc>
        <w:tc>
          <w:tcPr>
            <w:tcW w:w="1312" w:type="dxa"/>
            <w:tcBorders>
              <w:top w:val="nil"/>
              <w:left w:val="nil"/>
              <w:bottom w:val="nil"/>
              <w:right w:val="nil"/>
            </w:tcBorders>
            <w:vAlign w:val="center"/>
          </w:tcPr>
          <w:p w14:paraId="422FD5CC"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Calibri" w:eastAsia="Times New Roman" w:hAnsi="Calibri" w:cs="Calibri"/>
                <w:color w:val="000000"/>
                <w:sz w:val="20"/>
                <w:szCs w:val="20"/>
                <w:lang w:eastAsia="en-AU"/>
              </w:rPr>
              <w:t>3.8</w:t>
            </w:r>
          </w:p>
        </w:tc>
      </w:tr>
      <w:tr w:rsidR="00677577" w:rsidRPr="00236247" w14:paraId="51950987" w14:textId="77777777" w:rsidTr="00E04C86">
        <w:trPr>
          <w:trHeight w:val="302"/>
        </w:trPr>
        <w:tc>
          <w:tcPr>
            <w:tcW w:w="1312" w:type="dxa"/>
            <w:tcBorders>
              <w:top w:val="nil"/>
              <w:left w:val="nil"/>
              <w:bottom w:val="nil"/>
              <w:right w:val="nil"/>
            </w:tcBorders>
            <w:shd w:val="clear" w:color="000000" w:fill="FFFFFF"/>
            <w:noWrap/>
            <w:vAlign w:val="bottom"/>
            <w:hideMark/>
          </w:tcPr>
          <w:p w14:paraId="1F9CACF5" w14:textId="77777777" w:rsidR="00677577" w:rsidRPr="00D44BD6" w:rsidRDefault="00677577">
            <w:pPr>
              <w:spacing w:after="0" w:line="240" w:lineRule="auto"/>
              <w:rPr>
                <w:rFonts w:ascii="Aptos Narrow" w:eastAsia="Times New Roman" w:hAnsi="Aptos Narrow" w:cs="Times New Roman"/>
                <w:b/>
                <w:color w:val="000000"/>
                <w:sz w:val="20"/>
                <w:szCs w:val="20"/>
                <w:lang w:eastAsia="en-AU"/>
              </w:rPr>
            </w:pPr>
            <w:r w:rsidRPr="00D44BD6">
              <w:rPr>
                <w:rFonts w:ascii="Aptos Narrow" w:eastAsia="Times New Roman" w:hAnsi="Aptos Narrow" w:cs="Times New Roman"/>
                <w:b/>
                <w:color w:val="000000"/>
                <w:sz w:val="20"/>
                <w:szCs w:val="20"/>
                <w:lang w:eastAsia="en-AU"/>
              </w:rPr>
              <w:t>2012</w:t>
            </w:r>
          </w:p>
        </w:tc>
        <w:tc>
          <w:tcPr>
            <w:tcW w:w="1312" w:type="dxa"/>
            <w:tcBorders>
              <w:top w:val="nil"/>
              <w:left w:val="nil"/>
              <w:bottom w:val="nil"/>
              <w:right w:val="nil"/>
            </w:tcBorders>
            <w:shd w:val="clear" w:color="000000" w:fill="FFFFFF"/>
            <w:noWrap/>
            <w:vAlign w:val="bottom"/>
            <w:hideMark/>
          </w:tcPr>
          <w:p w14:paraId="58A4075F"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3.4</w:t>
            </w:r>
          </w:p>
        </w:tc>
        <w:tc>
          <w:tcPr>
            <w:tcW w:w="1312" w:type="dxa"/>
            <w:tcBorders>
              <w:top w:val="nil"/>
              <w:left w:val="nil"/>
              <w:bottom w:val="nil"/>
              <w:right w:val="nil"/>
            </w:tcBorders>
            <w:shd w:val="clear" w:color="000000" w:fill="FFFFFF"/>
            <w:noWrap/>
            <w:vAlign w:val="bottom"/>
            <w:hideMark/>
          </w:tcPr>
          <w:p w14:paraId="27BBB595"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3.5</w:t>
            </w:r>
          </w:p>
        </w:tc>
        <w:tc>
          <w:tcPr>
            <w:tcW w:w="1312" w:type="dxa"/>
            <w:tcBorders>
              <w:top w:val="nil"/>
              <w:left w:val="nil"/>
              <w:bottom w:val="nil"/>
              <w:right w:val="nil"/>
            </w:tcBorders>
            <w:vAlign w:val="bottom"/>
          </w:tcPr>
          <w:p w14:paraId="6731E872"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3.5</w:t>
            </w:r>
          </w:p>
        </w:tc>
        <w:tc>
          <w:tcPr>
            <w:tcW w:w="1312" w:type="dxa"/>
            <w:tcBorders>
              <w:top w:val="nil"/>
              <w:left w:val="nil"/>
              <w:bottom w:val="nil"/>
              <w:right w:val="nil"/>
            </w:tcBorders>
            <w:noWrap/>
            <w:vAlign w:val="bottom"/>
            <w:hideMark/>
          </w:tcPr>
          <w:p w14:paraId="00AF5D05"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3.4</w:t>
            </w:r>
          </w:p>
        </w:tc>
        <w:tc>
          <w:tcPr>
            <w:tcW w:w="1312" w:type="dxa"/>
            <w:tcBorders>
              <w:top w:val="nil"/>
              <w:left w:val="nil"/>
              <w:bottom w:val="nil"/>
              <w:right w:val="nil"/>
            </w:tcBorders>
            <w:noWrap/>
            <w:vAlign w:val="bottom"/>
            <w:hideMark/>
          </w:tcPr>
          <w:p w14:paraId="6290491A"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3.6</w:t>
            </w:r>
          </w:p>
        </w:tc>
        <w:tc>
          <w:tcPr>
            <w:tcW w:w="1312" w:type="dxa"/>
            <w:tcBorders>
              <w:top w:val="nil"/>
              <w:left w:val="nil"/>
              <w:bottom w:val="nil"/>
              <w:right w:val="nil"/>
            </w:tcBorders>
            <w:vAlign w:val="center"/>
          </w:tcPr>
          <w:p w14:paraId="545164CE"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Calibri" w:eastAsia="Times New Roman" w:hAnsi="Calibri" w:cs="Calibri"/>
                <w:color w:val="000000"/>
                <w:sz w:val="20"/>
                <w:szCs w:val="20"/>
                <w:lang w:eastAsia="en-AU"/>
              </w:rPr>
              <w:t>3.6</w:t>
            </w:r>
          </w:p>
        </w:tc>
      </w:tr>
      <w:tr w:rsidR="00677577" w:rsidRPr="00236247" w14:paraId="5B6101DD" w14:textId="77777777" w:rsidTr="00E04C86">
        <w:trPr>
          <w:trHeight w:val="302"/>
        </w:trPr>
        <w:tc>
          <w:tcPr>
            <w:tcW w:w="1312" w:type="dxa"/>
            <w:tcBorders>
              <w:top w:val="nil"/>
              <w:left w:val="nil"/>
              <w:bottom w:val="nil"/>
              <w:right w:val="nil"/>
            </w:tcBorders>
            <w:shd w:val="clear" w:color="000000" w:fill="FFFFFF"/>
            <w:noWrap/>
            <w:vAlign w:val="bottom"/>
            <w:hideMark/>
          </w:tcPr>
          <w:p w14:paraId="5D9B5FF3" w14:textId="77777777" w:rsidR="00677577" w:rsidRPr="00D44BD6" w:rsidRDefault="00677577">
            <w:pPr>
              <w:spacing w:after="0" w:line="240" w:lineRule="auto"/>
              <w:rPr>
                <w:rFonts w:ascii="Aptos Narrow" w:eastAsia="Times New Roman" w:hAnsi="Aptos Narrow" w:cs="Times New Roman"/>
                <w:b/>
                <w:color w:val="000000"/>
                <w:sz w:val="20"/>
                <w:szCs w:val="20"/>
                <w:lang w:eastAsia="en-AU"/>
              </w:rPr>
            </w:pPr>
            <w:r w:rsidRPr="00D44BD6">
              <w:rPr>
                <w:rFonts w:ascii="Aptos Narrow" w:eastAsia="Times New Roman" w:hAnsi="Aptos Narrow" w:cs="Times New Roman"/>
                <w:b/>
                <w:color w:val="000000"/>
                <w:sz w:val="20"/>
                <w:szCs w:val="20"/>
                <w:lang w:eastAsia="en-AU"/>
              </w:rPr>
              <w:t>2013</w:t>
            </w:r>
          </w:p>
        </w:tc>
        <w:tc>
          <w:tcPr>
            <w:tcW w:w="1312" w:type="dxa"/>
            <w:tcBorders>
              <w:top w:val="nil"/>
              <w:left w:val="nil"/>
              <w:bottom w:val="nil"/>
              <w:right w:val="nil"/>
            </w:tcBorders>
            <w:shd w:val="clear" w:color="000000" w:fill="FFFFFF"/>
            <w:noWrap/>
            <w:vAlign w:val="bottom"/>
            <w:hideMark/>
          </w:tcPr>
          <w:p w14:paraId="2CBCDA4D"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3.2</w:t>
            </w:r>
          </w:p>
        </w:tc>
        <w:tc>
          <w:tcPr>
            <w:tcW w:w="1312" w:type="dxa"/>
            <w:tcBorders>
              <w:top w:val="nil"/>
              <w:left w:val="nil"/>
              <w:bottom w:val="nil"/>
              <w:right w:val="nil"/>
            </w:tcBorders>
            <w:shd w:val="clear" w:color="000000" w:fill="FFFFFF"/>
            <w:noWrap/>
            <w:vAlign w:val="bottom"/>
            <w:hideMark/>
          </w:tcPr>
          <w:p w14:paraId="640F7A76"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3.4</w:t>
            </w:r>
          </w:p>
        </w:tc>
        <w:tc>
          <w:tcPr>
            <w:tcW w:w="1312" w:type="dxa"/>
            <w:tcBorders>
              <w:top w:val="nil"/>
              <w:left w:val="nil"/>
              <w:bottom w:val="nil"/>
              <w:right w:val="nil"/>
            </w:tcBorders>
            <w:vAlign w:val="bottom"/>
          </w:tcPr>
          <w:p w14:paraId="40D9ED70"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3.4</w:t>
            </w:r>
          </w:p>
        </w:tc>
        <w:tc>
          <w:tcPr>
            <w:tcW w:w="1312" w:type="dxa"/>
            <w:tcBorders>
              <w:top w:val="nil"/>
              <w:left w:val="nil"/>
              <w:bottom w:val="nil"/>
              <w:right w:val="nil"/>
            </w:tcBorders>
            <w:noWrap/>
            <w:vAlign w:val="bottom"/>
            <w:hideMark/>
          </w:tcPr>
          <w:p w14:paraId="0376C319"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3.3</w:t>
            </w:r>
          </w:p>
        </w:tc>
        <w:tc>
          <w:tcPr>
            <w:tcW w:w="1312" w:type="dxa"/>
            <w:tcBorders>
              <w:top w:val="nil"/>
              <w:left w:val="nil"/>
              <w:bottom w:val="nil"/>
              <w:right w:val="nil"/>
            </w:tcBorders>
            <w:noWrap/>
            <w:vAlign w:val="bottom"/>
            <w:hideMark/>
          </w:tcPr>
          <w:p w14:paraId="7E274EA6"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3.5</w:t>
            </w:r>
          </w:p>
        </w:tc>
        <w:tc>
          <w:tcPr>
            <w:tcW w:w="1312" w:type="dxa"/>
            <w:tcBorders>
              <w:top w:val="nil"/>
              <w:left w:val="nil"/>
              <w:bottom w:val="nil"/>
              <w:right w:val="nil"/>
            </w:tcBorders>
            <w:vAlign w:val="center"/>
          </w:tcPr>
          <w:p w14:paraId="45013BD4"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Calibri" w:eastAsia="Times New Roman" w:hAnsi="Calibri" w:cs="Calibri"/>
                <w:color w:val="000000"/>
                <w:sz w:val="20"/>
                <w:szCs w:val="20"/>
                <w:lang w:eastAsia="en-AU"/>
              </w:rPr>
              <w:t>3.5</w:t>
            </w:r>
          </w:p>
        </w:tc>
      </w:tr>
      <w:tr w:rsidR="00677577" w:rsidRPr="00236247" w14:paraId="65D8BA81" w14:textId="77777777" w:rsidTr="00E04C86">
        <w:trPr>
          <w:trHeight w:val="302"/>
        </w:trPr>
        <w:tc>
          <w:tcPr>
            <w:tcW w:w="1312" w:type="dxa"/>
            <w:tcBorders>
              <w:top w:val="nil"/>
              <w:left w:val="nil"/>
              <w:bottom w:val="nil"/>
              <w:right w:val="nil"/>
            </w:tcBorders>
            <w:shd w:val="clear" w:color="000000" w:fill="FFFFFF"/>
            <w:noWrap/>
            <w:vAlign w:val="bottom"/>
            <w:hideMark/>
          </w:tcPr>
          <w:p w14:paraId="339170EC" w14:textId="77777777" w:rsidR="00677577" w:rsidRPr="00D44BD6" w:rsidRDefault="00677577">
            <w:pPr>
              <w:spacing w:after="0" w:line="240" w:lineRule="auto"/>
              <w:rPr>
                <w:rFonts w:ascii="Aptos Narrow" w:eastAsia="Times New Roman" w:hAnsi="Aptos Narrow" w:cs="Times New Roman"/>
                <w:b/>
                <w:color w:val="000000"/>
                <w:sz w:val="20"/>
                <w:szCs w:val="20"/>
                <w:lang w:eastAsia="en-AU"/>
              </w:rPr>
            </w:pPr>
            <w:r w:rsidRPr="00D44BD6">
              <w:rPr>
                <w:rFonts w:ascii="Aptos Narrow" w:eastAsia="Times New Roman" w:hAnsi="Aptos Narrow" w:cs="Times New Roman"/>
                <w:b/>
                <w:color w:val="000000"/>
                <w:sz w:val="20"/>
                <w:szCs w:val="20"/>
                <w:lang w:eastAsia="en-AU"/>
              </w:rPr>
              <w:t>2014</w:t>
            </w:r>
          </w:p>
        </w:tc>
        <w:tc>
          <w:tcPr>
            <w:tcW w:w="1312" w:type="dxa"/>
            <w:tcBorders>
              <w:top w:val="nil"/>
              <w:left w:val="nil"/>
              <w:bottom w:val="nil"/>
              <w:right w:val="nil"/>
            </w:tcBorders>
            <w:shd w:val="clear" w:color="000000" w:fill="FFFFFF"/>
            <w:noWrap/>
            <w:vAlign w:val="bottom"/>
            <w:hideMark/>
          </w:tcPr>
          <w:p w14:paraId="6DA5EE51"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2.9</w:t>
            </w:r>
          </w:p>
        </w:tc>
        <w:tc>
          <w:tcPr>
            <w:tcW w:w="1312" w:type="dxa"/>
            <w:tcBorders>
              <w:top w:val="nil"/>
              <w:left w:val="nil"/>
              <w:bottom w:val="nil"/>
              <w:right w:val="nil"/>
            </w:tcBorders>
            <w:shd w:val="clear" w:color="000000" w:fill="FFFFFF"/>
            <w:noWrap/>
            <w:vAlign w:val="bottom"/>
            <w:hideMark/>
          </w:tcPr>
          <w:p w14:paraId="11B47870"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3.5</w:t>
            </w:r>
          </w:p>
        </w:tc>
        <w:tc>
          <w:tcPr>
            <w:tcW w:w="1312" w:type="dxa"/>
            <w:tcBorders>
              <w:top w:val="nil"/>
              <w:left w:val="nil"/>
              <w:bottom w:val="nil"/>
              <w:right w:val="nil"/>
            </w:tcBorders>
            <w:vAlign w:val="bottom"/>
          </w:tcPr>
          <w:p w14:paraId="537D2073"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3.4</w:t>
            </w:r>
          </w:p>
        </w:tc>
        <w:tc>
          <w:tcPr>
            <w:tcW w:w="1312" w:type="dxa"/>
            <w:tcBorders>
              <w:top w:val="nil"/>
              <w:left w:val="nil"/>
              <w:bottom w:val="nil"/>
              <w:right w:val="nil"/>
            </w:tcBorders>
            <w:noWrap/>
            <w:vAlign w:val="bottom"/>
            <w:hideMark/>
          </w:tcPr>
          <w:p w14:paraId="0252CBB9"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3.1</w:t>
            </w:r>
          </w:p>
        </w:tc>
        <w:tc>
          <w:tcPr>
            <w:tcW w:w="1312" w:type="dxa"/>
            <w:tcBorders>
              <w:top w:val="nil"/>
              <w:left w:val="nil"/>
              <w:bottom w:val="nil"/>
              <w:right w:val="nil"/>
            </w:tcBorders>
            <w:noWrap/>
            <w:vAlign w:val="bottom"/>
            <w:hideMark/>
          </w:tcPr>
          <w:p w14:paraId="3D5E39EB"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3.5</w:t>
            </w:r>
          </w:p>
        </w:tc>
        <w:tc>
          <w:tcPr>
            <w:tcW w:w="1312" w:type="dxa"/>
            <w:tcBorders>
              <w:top w:val="nil"/>
              <w:left w:val="nil"/>
              <w:bottom w:val="nil"/>
              <w:right w:val="nil"/>
            </w:tcBorders>
            <w:vAlign w:val="center"/>
          </w:tcPr>
          <w:p w14:paraId="62E0D1AD"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Calibri" w:eastAsia="Times New Roman" w:hAnsi="Calibri" w:cs="Calibri"/>
                <w:color w:val="000000"/>
                <w:sz w:val="20"/>
                <w:szCs w:val="20"/>
                <w:lang w:eastAsia="en-AU"/>
              </w:rPr>
              <w:t>3.4</w:t>
            </w:r>
          </w:p>
        </w:tc>
      </w:tr>
      <w:tr w:rsidR="00677577" w:rsidRPr="00236247" w14:paraId="4AC6CD15" w14:textId="77777777" w:rsidTr="00E04C86">
        <w:trPr>
          <w:trHeight w:val="302"/>
        </w:trPr>
        <w:tc>
          <w:tcPr>
            <w:tcW w:w="1312" w:type="dxa"/>
            <w:tcBorders>
              <w:top w:val="nil"/>
              <w:left w:val="nil"/>
              <w:bottom w:val="nil"/>
              <w:right w:val="nil"/>
            </w:tcBorders>
            <w:shd w:val="clear" w:color="000000" w:fill="FFFFFF"/>
            <w:noWrap/>
            <w:vAlign w:val="bottom"/>
            <w:hideMark/>
          </w:tcPr>
          <w:p w14:paraId="4677CCD7" w14:textId="77777777" w:rsidR="00677577" w:rsidRPr="00D44BD6" w:rsidRDefault="00677577">
            <w:pPr>
              <w:spacing w:after="0" w:line="240" w:lineRule="auto"/>
              <w:rPr>
                <w:rFonts w:ascii="Aptos Narrow" w:eastAsia="Times New Roman" w:hAnsi="Aptos Narrow" w:cs="Times New Roman"/>
                <w:b/>
                <w:color w:val="000000"/>
                <w:sz w:val="20"/>
                <w:szCs w:val="20"/>
                <w:lang w:eastAsia="en-AU"/>
              </w:rPr>
            </w:pPr>
            <w:r w:rsidRPr="00D44BD6">
              <w:rPr>
                <w:rFonts w:ascii="Aptos Narrow" w:eastAsia="Times New Roman" w:hAnsi="Aptos Narrow" w:cs="Times New Roman"/>
                <w:b/>
                <w:color w:val="000000"/>
                <w:sz w:val="20"/>
                <w:szCs w:val="20"/>
                <w:lang w:eastAsia="en-AU"/>
              </w:rPr>
              <w:t>2015</w:t>
            </w:r>
          </w:p>
        </w:tc>
        <w:tc>
          <w:tcPr>
            <w:tcW w:w="1312" w:type="dxa"/>
            <w:tcBorders>
              <w:top w:val="nil"/>
              <w:left w:val="nil"/>
              <w:bottom w:val="nil"/>
              <w:right w:val="nil"/>
            </w:tcBorders>
            <w:shd w:val="clear" w:color="000000" w:fill="FFFFFF"/>
            <w:noWrap/>
            <w:vAlign w:val="bottom"/>
            <w:hideMark/>
          </w:tcPr>
          <w:p w14:paraId="7CFA361C"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2.8</w:t>
            </w:r>
          </w:p>
        </w:tc>
        <w:tc>
          <w:tcPr>
            <w:tcW w:w="1312" w:type="dxa"/>
            <w:tcBorders>
              <w:top w:val="nil"/>
              <w:left w:val="nil"/>
              <w:bottom w:val="nil"/>
              <w:right w:val="nil"/>
            </w:tcBorders>
            <w:shd w:val="clear" w:color="000000" w:fill="FFFFFF"/>
            <w:noWrap/>
            <w:vAlign w:val="bottom"/>
            <w:hideMark/>
          </w:tcPr>
          <w:p w14:paraId="25FAC07E"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3.0</w:t>
            </w:r>
          </w:p>
        </w:tc>
        <w:tc>
          <w:tcPr>
            <w:tcW w:w="1312" w:type="dxa"/>
            <w:tcBorders>
              <w:top w:val="nil"/>
              <w:left w:val="nil"/>
              <w:bottom w:val="nil"/>
              <w:right w:val="nil"/>
            </w:tcBorders>
            <w:vAlign w:val="bottom"/>
          </w:tcPr>
          <w:p w14:paraId="1FB7600B"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3.0</w:t>
            </w:r>
          </w:p>
        </w:tc>
        <w:tc>
          <w:tcPr>
            <w:tcW w:w="1312" w:type="dxa"/>
            <w:tcBorders>
              <w:top w:val="nil"/>
              <w:left w:val="nil"/>
              <w:bottom w:val="nil"/>
              <w:right w:val="nil"/>
            </w:tcBorders>
            <w:noWrap/>
            <w:vAlign w:val="bottom"/>
            <w:hideMark/>
          </w:tcPr>
          <w:p w14:paraId="58EC374C"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3.0</w:t>
            </w:r>
          </w:p>
        </w:tc>
        <w:tc>
          <w:tcPr>
            <w:tcW w:w="1312" w:type="dxa"/>
            <w:tcBorders>
              <w:top w:val="nil"/>
              <w:left w:val="nil"/>
              <w:bottom w:val="nil"/>
              <w:right w:val="nil"/>
            </w:tcBorders>
            <w:noWrap/>
            <w:vAlign w:val="bottom"/>
            <w:hideMark/>
          </w:tcPr>
          <w:p w14:paraId="79124C60"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3.2</w:t>
            </w:r>
          </w:p>
        </w:tc>
        <w:tc>
          <w:tcPr>
            <w:tcW w:w="1312" w:type="dxa"/>
            <w:tcBorders>
              <w:top w:val="nil"/>
              <w:left w:val="nil"/>
              <w:bottom w:val="nil"/>
              <w:right w:val="nil"/>
            </w:tcBorders>
            <w:vAlign w:val="center"/>
          </w:tcPr>
          <w:p w14:paraId="4E09030C"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Calibri" w:eastAsia="Times New Roman" w:hAnsi="Calibri" w:cs="Calibri"/>
                <w:color w:val="000000"/>
                <w:sz w:val="20"/>
                <w:szCs w:val="20"/>
                <w:lang w:eastAsia="en-AU"/>
              </w:rPr>
              <w:t>3.2</w:t>
            </w:r>
          </w:p>
        </w:tc>
      </w:tr>
      <w:tr w:rsidR="00677577" w:rsidRPr="00236247" w14:paraId="455416A3" w14:textId="77777777" w:rsidTr="00E04C86">
        <w:trPr>
          <w:trHeight w:val="302"/>
        </w:trPr>
        <w:tc>
          <w:tcPr>
            <w:tcW w:w="1312" w:type="dxa"/>
            <w:tcBorders>
              <w:top w:val="nil"/>
              <w:left w:val="nil"/>
              <w:bottom w:val="nil"/>
              <w:right w:val="nil"/>
            </w:tcBorders>
            <w:shd w:val="clear" w:color="000000" w:fill="FFFFFF"/>
            <w:noWrap/>
            <w:vAlign w:val="bottom"/>
            <w:hideMark/>
          </w:tcPr>
          <w:p w14:paraId="47B683C8" w14:textId="77777777" w:rsidR="00677577" w:rsidRPr="00D44BD6" w:rsidRDefault="00677577">
            <w:pPr>
              <w:spacing w:after="0" w:line="240" w:lineRule="auto"/>
              <w:rPr>
                <w:rFonts w:ascii="Aptos Narrow" w:eastAsia="Times New Roman" w:hAnsi="Aptos Narrow" w:cs="Times New Roman"/>
                <w:b/>
                <w:color w:val="000000"/>
                <w:sz w:val="20"/>
                <w:szCs w:val="20"/>
                <w:lang w:eastAsia="en-AU"/>
              </w:rPr>
            </w:pPr>
            <w:r w:rsidRPr="00D44BD6">
              <w:rPr>
                <w:rFonts w:ascii="Aptos Narrow" w:eastAsia="Times New Roman" w:hAnsi="Aptos Narrow" w:cs="Times New Roman"/>
                <w:b/>
                <w:color w:val="000000"/>
                <w:sz w:val="20"/>
                <w:szCs w:val="20"/>
                <w:lang w:eastAsia="en-AU"/>
              </w:rPr>
              <w:t>2016</w:t>
            </w:r>
          </w:p>
        </w:tc>
        <w:tc>
          <w:tcPr>
            <w:tcW w:w="1312" w:type="dxa"/>
            <w:tcBorders>
              <w:top w:val="nil"/>
              <w:left w:val="nil"/>
              <w:bottom w:val="nil"/>
              <w:right w:val="nil"/>
            </w:tcBorders>
            <w:shd w:val="clear" w:color="000000" w:fill="FFFFFF"/>
            <w:noWrap/>
            <w:vAlign w:val="bottom"/>
            <w:hideMark/>
          </w:tcPr>
          <w:p w14:paraId="3FEA71BD"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2.5</w:t>
            </w:r>
          </w:p>
        </w:tc>
        <w:tc>
          <w:tcPr>
            <w:tcW w:w="1312" w:type="dxa"/>
            <w:tcBorders>
              <w:top w:val="nil"/>
              <w:left w:val="nil"/>
              <w:bottom w:val="nil"/>
              <w:right w:val="nil"/>
            </w:tcBorders>
            <w:shd w:val="clear" w:color="000000" w:fill="FFFFFF"/>
            <w:noWrap/>
            <w:vAlign w:val="bottom"/>
            <w:hideMark/>
          </w:tcPr>
          <w:p w14:paraId="201A3096"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3.1</w:t>
            </w:r>
          </w:p>
        </w:tc>
        <w:tc>
          <w:tcPr>
            <w:tcW w:w="1312" w:type="dxa"/>
            <w:tcBorders>
              <w:top w:val="nil"/>
              <w:left w:val="nil"/>
              <w:bottom w:val="nil"/>
              <w:right w:val="nil"/>
            </w:tcBorders>
            <w:vAlign w:val="bottom"/>
          </w:tcPr>
          <w:p w14:paraId="27C6A490"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3.0</w:t>
            </w:r>
          </w:p>
        </w:tc>
        <w:tc>
          <w:tcPr>
            <w:tcW w:w="1312" w:type="dxa"/>
            <w:tcBorders>
              <w:top w:val="nil"/>
              <w:left w:val="nil"/>
              <w:bottom w:val="nil"/>
              <w:right w:val="nil"/>
            </w:tcBorders>
            <w:noWrap/>
            <w:vAlign w:val="bottom"/>
            <w:hideMark/>
          </w:tcPr>
          <w:p w14:paraId="0AA3F963"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2.8</w:t>
            </w:r>
          </w:p>
        </w:tc>
        <w:tc>
          <w:tcPr>
            <w:tcW w:w="1312" w:type="dxa"/>
            <w:tcBorders>
              <w:top w:val="nil"/>
              <w:left w:val="nil"/>
              <w:bottom w:val="nil"/>
              <w:right w:val="nil"/>
            </w:tcBorders>
            <w:noWrap/>
            <w:vAlign w:val="bottom"/>
            <w:hideMark/>
          </w:tcPr>
          <w:p w14:paraId="4FA312F8"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3.2</w:t>
            </w:r>
          </w:p>
        </w:tc>
        <w:tc>
          <w:tcPr>
            <w:tcW w:w="1312" w:type="dxa"/>
            <w:tcBorders>
              <w:top w:val="nil"/>
              <w:left w:val="nil"/>
              <w:bottom w:val="nil"/>
              <w:right w:val="nil"/>
            </w:tcBorders>
            <w:vAlign w:val="center"/>
          </w:tcPr>
          <w:p w14:paraId="3E1BA34A"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Calibri" w:eastAsia="Times New Roman" w:hAnsi="Calibri" w:cs="Calibri"/>
                <w:color w:val="000000"/>
                <w:sz w:val="20"/>
                <w:szCs w:val="20"/>
                <w:lang w:eastAsia="en-AU"/>
              </w:rPr>
              <w:t>3.2</w:t>
            </w:r>
          </w:p>
        </w:tc>
      </w:tr>
      <w:tr w:rsidR="00677577" w:rsidRPr="00236247" w14:paraId="0D102DDF" w14:textId="77777777" w:rsidTr="00E04C86">
        <w:trPr>
          <w:trHeight w:val="302"/>
        </w:trPr>
        <w:tc>
          <w:tcPr>
            <w:tcW w:w="1312" w:type="dxa"/>
            <w:tcBorders>
              <w:top w:val="nil"/>
              <w:left w:val="nil"/>
              <w:bottom w:val="nil"/>
              <w:right w:val="nil"/>
            </w:tcBorders>
            <w:shd w:val="clear" w:color="000000" w:fill="FFFFFF"/>
            <w:noWrap/>
            <w:vAlign w:val="bottom"/>
            <w:hideMark/>
          </w:tcPr>
          <w:p w14:paraId="45F5535D" w14:textId="77777777" w:rsidR="00677577" w:rsidRPr="00D44BD6" w:rsidRDefault="00677577">
            <w:pPr>
              <w:spacing w:after="0" w:line="240" w:lineRule="auto"/>
              <w:rPr>
                <w:rFonts w:ascii="Aptos Narrow" w:eastAsia="Times New Roman" w:hAnsi="Aptos Narrow" w:cs="Times New Roman"/>
                <w:b/>
                <w:color w:val="000000"/>
                <w:sz w:val="20"/>
                <w:szCs w:val="20"/>
                <w:lang w:eastAsia="en-AU"/>
              </w:rPr>
            </w:pPr>
            <w:r w:rsidRPr="00D44BD6">
              <w:rPr>
                <w:rFonts w:ascii="Aptos Narrow" w:eastAsia="Times New Roman" w:hAnsi="Aptos Narrow" w:cs="Times New Roman"/>
                <w:b/>
                <w:color w:val="000000"/>
                <w:sz w:val="20"/>
                <w:szCs w:val="20"/>
                <w:lang w:eastAsia="en-AU"/>
              </w:rPr>
              <w:t>2017</w:t>
            </w:r>
          </w:p>
        </w:tc>
        <w:tc>
          <w:tcPr>
            <w:tcW w:w="1312" w:type="dxa"/>
            <w:tcBorders>
              <w:top w:val="nil"/>
              <w:left w:val="nil"/>
              <w:bottom w:val="nil"/>
              <w:right w:val="nil"/>
            </w:tcBorders>
            <w:shd w:val="clear" w:color="000000" w:fill="FFFFFF"/>
            <w:noWrap/>
            <w:vAlign w:val="bottom"/>
            <w:hideMark/>
          </w:tcPr>
          <w:p w14:paraId="6F8C030E"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2.4</w:t>
            </w:r>
          </w:p>
        </w:tc>
        <w:tc>
          <w:tcPr>
            <w:tcW w:w="1312" w:type="dxa"/>
            <w:tcBorders>
              <w:top w:val="nil"/>
              <w:left w:val="nil"/>
              <w:bottom w:val="nil"/>
              <w:right w:val="nil"/>
            </w:tcBorders>
            <w:shd w:val="clear" w:color="000000" w:fill="FFFFFF"/>
            <w:noWrap/>
            <w:vAlign w:val="bottom"/>
            <w:hideMark/>
          </w:tcPr>
          <w:p w14:paraId="695E1BFB"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2.4</w:t>
            </w:r>
          </w:p>
        </w:tc>
        <w:tc>
          <w:tcPr>
            <w:tcW w:w="1312" w:type="dxa"/>
            <w:tcBorders>
              <w:top w:val="nil"/>
              <w:left w:val="nil"/>
              <w:bottom w:val="nil"/>
              <w:right w:val="nil"/>
            </w:tcBorders>
            <w:vAlign w:val="bottom"/>
          </w:tcPr>
          <w:p w14:paraId="5A645B9A"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2.4</w:t>
            </w:r>
          </w:p>
        </w:tc>
        <w:tc>
          <w:tcPr>
            <w:tcW w:w="1312" w:type="dxa"/>
            <w:tcBorders>
              <w:top w:val="nil"/>
              <w:left w:val="nil"/>
              <w:bottom w:val="nil"/>
              <w:right w:val="nil"/>
            </w:tcBorders>
            <w:noWrap/>
            <w:vAlign w:val="bottom"/>
            <w:hideMark/>
          </w:tcPr>
          <w:p w14:paraId="571B009B"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2.6</w:t>
            </w:r>
          </w:p>
        </w:tc>
        <w:tc>
          <w:tcPr>
            <w:tcW w:w="1312" w:type="dxa"/>
            <w:tcBorders>
              <w:top w:val="nil"/>
              <w:left w:val="nil"/>
              <w:bottom w:val="nil"/>
              <w:right w:val="nil"/>
            </w:tcBorders>
            <w:noWrap/>
            <w:vAlign w:val="bottom"/>
            <w:hideMark/>
          </w:tcPr>
          <w:p w14:paraId="41F31619"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2.8</w:t>
            </w:r>
          </w:p>
        </w:tc>
        <w:tc>
          <w:tcPr>
            <w:tcW w:w="1312" w:type="dxa"/>
            <w:tcBorders>
              <w:top w:val="nil"/>
              <w:left w:val="nil"/>
              <w:bottom w:val="nil"/>
              <w:right w:val="nil"/>
            </w:tcBorders>
            <w:vAlign w:val="center"/>
          </w:tcPr>
          <w:p w14:paraId="25A3841E"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Calibri" w:eastAsia="Times New Roman" w:hAnsi="Calibri" w:cs="Calibri"/>
                <w:color w:val="000000"/>
                <w:sz w:val="20"/>
                <w:szCs w:val="20"/>
                <w:lang w:eastAsia="en-AU"/>
              </w:rPr>
              <w:t>2.8</w:t>
            </w:r>
          </w:p>
        </w:tc>
      </w:tr>
      <w:tr w:rsidR="00677577" w:rsidRPr="00236247" w14:paraId="413DAA95" w14:textId="77777777" w:rsidTr="00E04C86">
        <w:trPr>
          <w:trHeight w:val="302"/>
        </w:trPr>
        <w:tc>
          <w:tcPr>
            <w:tcW w:w="1312" w:type="dxa"/>
            <w:tcBorders>
              <w:top w:val="nil"/>
              <w:left w:val="nil"/>
              <w:bottom w:val="nil"/>
              <w:right w:val="nil"/>
            </w:tcBorders>
            <w:shd w:val="clear" w:color="000000" w:fill="FFFFFF"/>
            <w:noWrap/>
            <w:vAlign w:val="bottom"/>
            <w:hideMark/>
          </w:tcPr>
          <w:p w14:paraId="40BC759D" w14:textId="77777777" w:rsidR="00677577" w:rsidRPr="00D44BD6" w:rsidRDefault="00677577">
            <w:pPr>
              <w:spacing w:after="0" w:line="240" w:lineRule="auto"/>
              <w:rPr>
                <w:rFonts w:ascii="Aptos Narrow" w:eastAsia="Times New Roman" w:hAnsi="Aptos Narrow" w:cs="Times New Roman"/>
                <w:b/>
                <w:color w:val="000000"/>
                <w:sz w:val="20"/>
                <w:szCs w:val="20"/>
                <w:lang w:eastAsia="en-AU"/>
              </w:rPr>
            </w:pPr>
            <w:r w:rsidRPr="00D44BD6">
              <w:rPr>
                <w:rFonts w:ascii="Aptos Narrow" w:eastAsia="Times New Roman" w:hAnsi="Aptos Narrow" w:cs="Times New Roman"/>
                <w:b/>
                <w:color w:val="000000"/>
                <w:sz w:val="20"/>
                <w:szCs w:val="20"/>
                <w:lang w:eastAsia="en-AU"/>
              </w:rPr>
              <w:t>2018</w:t>
            </w:r>
          </w:p>
        </w:tc>
        <w:tc>
          <w:tcPr>
            <w:tcW w:w="1312" w:type="dxa"/>
            <w:tcBorders>
              <w:top w:val="nil"/>
              <w:left w:val="nil"/>
              <w:bottom w:val="nil"/>
              <w:right w:val="nil"/>
            </w:tcBorders>
            <w:shd w:val="clear" w:color="000000" w:fill="FFFFFF"/>
            <w:noWrap/>
            <w:vAlign w:val="bottom"/>
            <w:hideMark/>
          </w:tcPr>
          <w:p w14:paraId="18F8EB51"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2.3</w:t>
            </w:r>
          </w:p>
        </w:tc>
        <w:tc>
          <w:tcPr>
            <w:tcW w:w="1312" w:type="dxa"/>
            <w:tcBorders>
              <w:top w:val="nil"/>
              <w:left w:val="nil"/>
              <w:bottom w:val="nil"/>
              <w:right w:val="nil"/>
            </w:tcBorders>
            <w:shd w:val="clear" w:color="000000" w:fill="FFFFFF"/>
            <w:noWrap/>
            <w:vAlign w:val="bottom"/>
            <w:hideMark/>
          </w:tcPr>
          <w:p w14:paraId="20684FC1"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2.8</w:t>
            </w:r>
          </w:p>
        </w:tc>
        <w:tc>
          <w:tcPr>
            <w:tcW w:w="1312" w:type="dxa"/>
            <w:tcBorders>
              <w:top w:val="nil"/>
              <w:left w:val="nil"/>
              <w:bottom w:val="nil"/>
              <w:right w:val="nil"/>
            </w:tcBorders>
            <w:vAlign w:val="bottom"/>
          </w:tcPr>
          <w:p w14:paraId="5CC863F9"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2.8</w:t>
            </w:r>
          </w:p>
        </w:tc>
        <w:tc>
          <w:tcPr>
            <w:tcW w:w="1312" w:type="dxa"/>
            <w:tcBorders>
              <w:top w:val="nil"/>
              <w:left w:val="nil"/>
              <w:bottom w:val="nil"/>
              <w:right w:val="nil"/>
            </w:tcBorders>
            <w:noWrap/>
            <w:vAlign w:val="bottom"/>
            <w:hideMark/>
          </w:tcPr>
          <w:p w14:paraId="0EB01E87"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2.4</w:t>
            </w:r>
          </w:p>
        </w:tc>
        <w:tc>
          <w:tcPr>
            <w:tcW w:w="1312" w:type="dxa"/>
            <w:tcBorders>
              <w:top w:val="nil"/>
              <w:left w:val="nil"/>
              <w:bottom w:val="nil"/>
              <w:right w:val="nil"/>
            </w:tcBorders>
            <w:noWrap/>
            <w:vAlign w:val="bottom"/>
            <w:hideMark/>
          </w:tcPr>
          <w:p w14:paraId="158FD712"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2.7</w:t>
            </w:r>
          </w:p>
        </w:tc>
        <w:tc>
          <w:tcPr>
            <w:tcW w:w="1312" w:type="dxa"/>
            <w:tcBorders>
              <w:top w:val="nil"/>
              <w:left w:val="nil"/>
              <w:bottom w:val="nil"/>
              <w:right w:val="nil"/>
            </w:tcBorders>
            <w:vAlign w:val="center"/>
          </w:tcPr>
          <w:p w14:paraId="4A3A7F97"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Calibri" w:eastAsia="Times New Roman" w:hAnsi="Calibri" w:cs="Calibri"/>
                <w:color w:val="000000"/>
                <w:sz w:val="20"/>
                <w:szCs w:val="20"/>
                <w:lang w:eastAsia="en-AU"/>
              </w:rPr>
              <w:t>2.7</w:t>
            </w:r>
          </w:p>
        </w:tc>
      </w:tr>
      <w:tr w:rsidR="00677577" w:rsidRPr="00236247" w14:paraId="7A91893E" w14:textId="77777777" w:rsidTr="00E04C86">
        <w:trPr>
          <w:trHeight w:val="302"/>
        </w:trPr>
        <w:tc>
          <w:tcPr>
            <w:tcW w:w="1312" w:type="dxa"/>
            <w:tcBorders>
              <w:top w:val="nil"/>
              <w:left w:val="nil"/>
              <w:bottom w:val="nil"/>
              <w:right w:val="nil"/>
            </w:tcBorders>
            <w:shd w:val="clear" w:color="000000" w:fill="FFFFFF"/>
            <w:noWrap/>
            <w:vAlign w:val="bottom"/>
            <w:hideMark/>
          </w:tcPr>
          <w:p w14:paraId="75C5F117" w14:textId="77777777" w:rsidR="00677577" w:rsidRPr="00D44BD6" w:rsidRDefault="00677577">
            <w:pPr>
              <w:spacing w:after="0" w:line="240" w:lineRule="auto"/>
              <w:rPr>
                <w:rFonts w:ascii="Aptos Narrow" w:eastAsia="Times New Roman" w:hAnsi="Aptos Narrow" w:cs="Times New Roman"/>
                <w:b/>
                <w:color w:val="000000"/>
                <w:sz w:val="20"/>
                <w:szCs w:val="20"/>
                <w:lang w:eastAsia="en-AU"/>
              </w:rPr>
            </w:pPr>
            <w:r w:rsidRPr="00D44BD6">
              <w:rPr>
                <w:rFonts w:ascii="Aptos Narrow" w:eastAsia="Times New Roman" w:hAnsi="Aptos Narrow" w:cs="Times New Roman"/>
                <w:b/>
                <w:color w:val="000000"/>
                <w:sz w:val="20"/>
                <w:szCs w:val="20"/>
                <w:lang w:eastAsia="en-AU"/>
              </w:rPr>
              <w:t>2019</w:t>
            </w:r>
          </w:p>
        </w:tc>
        <w:tc>
          <w:tcPr>
            <w:tcW w:w="1312" w:type="dxa"/>
            <w:tcBorders>
              <w:top w:val="nil"/>
              <w:left w:val="nil"/>
              <w:bottom w:val="nil"/>
              <w:right w:val="nil"/>
            </w:tcBorders>
            <w:shd w:val="clear" w:color="000000" w:fill="FFFFFF"/>
            <w:noWrap/>
            <w:vAlign w:val="bottom"/>
            <w:hideMark/>
          </w:tcPr>
          <w:p w14:paraId="45BEECD3"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2.5</w:t>
            </w:r>
          </w:p>
        </w:tc>
        <w:tc>
          <w:tcPr>
            <w:tcW w:w="1312" w:type="dxa"/>
            <w:tcBorders>
              <w:top w:val="nil"/>
              <w:left w:val="nil"/>
              <w:bottom w:val="nil"/>
              <w:right w:val="nil"/>
            </w:tcBorders>
            <w:shd w:val="clear" w:color="000000" w:fill="FFFFFF"/>
            <w:noWrap/>
            <w:vAlign w:val="bottom"/>
            <w:hideMark/>
          </w:tcPr>
          <w:p w14:paraId="48904307"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2.7</w:t>
            </w:r>
          </w:p>
        </w:tc>
        <w:tc>
          <w:tcPr>
            <w:tcW w:w="1312" w:type="dxa"/>
            <w:tcBorders>
              <w:top w:val="nil"/>
              <w:left w:val="nil"/>
              <w:bottom w:val="nil"/>
              <w:right w:val="nil"/>
            </w:tcBorders>
            <w:vAlign w:val="bottom"/>
          </w:tcPr>
          <w:p w14:paraId="61683E5B"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2.7</w:t>
            </w:r>
          </w:p>
        </w:tc>
        <w:tc>
          <w:tcPr>
            <w:tcW w:w="1312" w:type="dxa"/>
            <w:tcBorders>
              <w:top w:val="nil"/>
              <w:left w:val="nil"/>
              <w:bottom w:val="nil"/>
              <w:right w:val="nil"/>
            </w:tcBorders>
            <w:noWrap/>
            <w:vAlign w:val="bottom"/>
            <w:hideMark/>
          </w:tcPr>
          <w:p w14:paraId="772D0897"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2.5</w:t>
            </w:r>
          </w:p>
        </w:tc>
        <w:tc>
          <w:tcPr>
            <w:tcW w:w="1312" w:type="dxa"/>
            <w:tcBorders>
              <w:top w:val="nil"/>
              <w:left w:val="nil"/>
              <w:bottom w:val="nil"/>
              <w:right w:val="nil"/>
            </w:tcBorders>
            <w:noWrap/>
            <w:vAlign w:val="bottom"/>
            <w:hideMark/>
          </w:tcPr>
          <w:p w14:paraId="15AF7967"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2.6</w:t>
            </w:r>
          </w:p>
        </w:tc>
        <w:tc>
          <w:tcPr>
            <w:tcW w:w="1312" w:type="dxa"/>
            <w:tcBorders>
              <w:top w:val="nil"/>
              <w:left w:val="nil"/>
              <w:bottom w:val="nil"/>
              <w:right w:val="nil"/>
            </w:tcBorders>
            <w:vAlign w:val="center"/>
          </w:tcPr>
          <w:p w14:paraId="07D1114E"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Calibri" w:eastAsia="Times New Roman" w:hAnsi="Calibri" w:cs="Calibri"/>
                <w:color w:val="000000"/>
                <w:sz w:val="20"/>
                <w:szCs w:val="20"/>
                <w:lang w:eastAsia="en-AU"/>
              </w:rPr>
              <w:t>2.6</w:t>
            </w:r>
          </w:p>
        </w:tc>
      </w:tr>
      <w:tr w:rsidR="00677577" w:rsidRPr="00236247" w14:paraId="3C874DAF" w14:textId="77777777" w:rsidTr="00E04C86">
        <w:trPr>
          <w:trHeight w:val="302"/>
        </w:trPr>
        <w:tc>
          <w:tcPr>
            <w:tcW w:w="1312" w:type="dxa"/>
            <w:tcBorders>
              <w:top w:val="nil"/>
              <w:left w:val="nil"/>
              <w:bottom w:val="nil"/>
              <w:right w:val="nil"/>
            </w:tcBorders>
            <w:shd w:val="clear" w:color="000000" w:fill="FFFFFF"/>
            <w:noWrap/>
            <w:vAlign w:val="bottom"/>
            <w:hideMark/>
          </w:tcPr>
          <w:p w14:paraId="3C4AFA4C" w14:textId="77777777" w:rsidR="00677577" w:rsidRPr="00D44BD6" w:rsidRDefault="00677577">
            <w:pPr>
              <w:spacing w:after="0" w:line="240" w:lineRule="auto"/>
              <w:rPr>
                <w:rFonts w:ascii="Aptos Narrow" w:eastAsia="Times New Roman" w:hAnsi="Aptos Narrow" w:cs="Times New Roman"/>
                <w:b/>
                <w:color w:val="000000"/>
                <w:sz w:val="20"/>
                <w:szCs w:val="20"/>
                <w:lang w:eastAsia="en-AU"/>
              </w:rPr>
            </w:pPr>
            <w:r w:rsidRPr="00D44BD6">
              <w:rPr>
                <w:rFonts w:ascii="Aptos Narrow" w:eastAsia="Times New Roman" w:hAnsi="Aptos Narrow" w:cs="Times New Roman"/>
                <w:b/>
                <w:color w:val="000000"/>
                <w:sz w:val="20"/>
                <w:szCs w:val="20"/>
                <w:lang w:eastAsia="en-AU"/>
              </w:rPr>
              <w:t>2020</w:t>
            </w:r>
          </w:p>
        </w:tc>
        <w:tc>
          <w:tcPr>
            <w:tcW w:w="1312" w:type="dxa"/>
            <w:tcBorders>
              <w:top w:val="nil"/>
              <w:left w:val="nil"/>
              <w:bottom w:val="nil"/>
              <w:right w:val="nil"/>
            </w:tcBorders>
            <w:shd w:val="clear" w:color="000000" w:fill="FFFFFF"/>
            <w:noWrap/>
            <w:vAlign w:val="bottom"/>
            <w:hideMark/>
          </w:tcPr>
          <w:p w14:paraId="2371094E"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2.5</w:t>
            </w:r>
          </w:p>
        </w:tc>
        <w:tc>
          <w:tcPr>
            <w:tcW w:w="1312" w:type="dxa"/>
            <w:tcBorders>
              <w:top w:val="nil"/>
              <w:left w:val="nil"/>
              <w:bottom w:val="nil"/>
              <w:right w:val="nil"/>
            </w:tcBorders>
            <w:shd w:val="clear" w:color="000000" w:fill="FFFFFF"/>
            <w:noWrap/>
            <w:vAlign w:val="bottom"/>
            <w:hideMark/>
          </w:tcPr>
          <w:p w14:paraId="427ECB0E"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2.5</w:t>
            </w:r>
          </w:p>
        </w:tc>
        <w:tc>
          <w:tcPr>
            <w:tcW w:w="1312" w:type="dxa"/>
            <w:tcBorders>
              <w:top w:val="nil"/>
              <w:left w:val="nil"/>
              <w:bottom w:val="nil"/>
              <w:right w:val="nil"/>
            </w:tcBorders>
            <w:vAlign w:val="bottom"/>
          </w:tcPr>
          <w:p w14:paraId="1540AA23"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2.5</w:t>
            </w:r>
          </w:p>
        </w:tc>
        <w:tc>
          <w:tcPr>
            <w:tcW w:w="1312" w:type="dxa"/>
            <w:tcBorders>
              <w:top w:val="nil"/>
              <w:left w:val="nil"/>
              <w:bottom w:val="nil"/>
              <w:right w:val="nil"/>
            </w:tcBorders>
            <w:noWrap/>
            <w:vAlign w:val="bottom"/>
            <w:hideMark/>
          </w:tcPr>
          <w:p w14:paraId="6CCBB038"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2.4</w:t>
            </w:r>
          </w:p>
        </w:tc>
        <w:tc>
          <w:tcPr>
            <w:tcW w:w="1312" w:type="dxa"/>
            <w:tcBorders>
              <w:top w:val="nil"/>
              <w:left w:val="nil"/>
              <w:bottom w:val="nil"/>
              <w:right w:val="nil"/>
            </w:tcBorders>
            <w:noWrap/>
            <w:vAlign w:val="bottom"/>
            <w:hideMark/>
          </w:tcPr>
          <w:p w14:paraId="5D343453"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2.6</w:t>
            </w:r>
          </w:p>
        </w:tc>
        <w:tc>
          <w:tcPr>
            <w:tcW w:w="1312" w:type="dxa"/>
            <w:tcBorders>
              <w:top w:val="nil"/>
              <w:left w:val="nil"/>
              <w:bottom w:val="nil"/>
              <w:right w:val="nil"/>
            </w:tcBorders>
            <w:vAlign w:val="center"/>
          </w:tcPr>
          <w:p w14:paraId="36C84838"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Calibri" w:eastAsia="Times New Roman" w:hAnsi="Calibri" w:cs="Calibri"/>
                <w:color w:val="000000"/>
                <w:sz w:val="20"/>
                <w:szCs w:val="20"/>
                <w:lang w:eastAsia="en-AU"/>
              </w:rPr>
              <w:t>2.6</w:t>
            </w:r>
          </w:p>
        </w:tc>
      </w:tr>
      <w:tr w:rsidR="00677577" w:rsidRPr="00236247" w14:paraId="14882488" w14:textId="77777777" w:rsidTr="00E04C86">
        <w:trPr>
          <w:trHeight w:val="302"/>
        </w:trPr>
        <w:tc>
          <w:tcPr>
            <w:tcW w:w="1312" w:type="dxa"/>
            <w:tcBorders>
              <w:top w:val="nil"/>
              <w:left w:val="nil"/>
              <w:bottom w:val="nil"/>
              <w:right w:val="nil"/>
            </w:tcBorders>
            <w:shd w:val="clear" w:color="000000" w:fill="FFFFFF"/>
            <w:noWrap/>
            <w:vAlign w:val="bottom"/>
            <w:hideMark/>
          </w:tcPr>
          <w:p w14:paraId="2DBBF509" w14:textId="77777777" w:rsidR="00677577" w:rsidRPr="00D44BD6" w:rsidRDefault="00677577">
            <w:pPr>
              <w:spacing w:after="0" w:line="240" w:lineRule="auto"/>
              <w:rPr>
                <w:rFonts w:ascii="Aptos Narrow" w:eastAsia="Times New Roman" w:hAnsi="Aptos Narrow" w:cs="Times New Roman"/>
                <w:b/>
                <w:color w:val="000000"/>
                <w:sz w:val="20"/>
                <w:szCs w:val="20"/>
                <w:lang w:eastAsia="en-AU"/>
              </w:rPr>
            </w:pPr>
            <w:r w:rsidRPr="00D44BD6">
              <w:rPr>
                <w:rFonts w:ascii="Aptos Narrow" w:eastAsia="Times New Roman" w:hAnsi="Aptos Narrow" w:cs="Times New Roman"/>
                <w:b/>
                <w:color w:val="000000"/>
                <w:sz w:val="20"/>
                <w:szCs w:val="20"/>
                <w:lang w:eastAsia="en-AU"/>
              </w:rPr>
              <w:t>2021</w:t>
            </w:r>
          </w:p>
        </w:tc>
        <w:tc>
          <w:tcPr>
            <w:tcW w:w="1312" w:type="dxa"/>
            <w:tcBorders>
              <w:top w:val="nil"/>
              <w:left w:val="nil"/>
              <w:bottom w:val="nil"/>
              <w:right w:val="nil"/>
            </w:tcBorders>
            <w:shd w:val="clear" w:color="000000" w:fill="FFFFFF"/>
            <w:noWrap/>
            <w:vAlign w:val="bottom"/>
            <w:hideMark/>
          </w:tcPr>
          <w:p w14:paraId="1EB43888"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2.3</w:t>
            </w:r>
          </w:p>
        </w:tc>
        <w:tc>
          <w:tcPr>
            <w:tcW w:w="1312" w:type="dxa"/>
            <w:tcBorders>
              <w:top w:val="nil"/>
              <w:left w:val="nil"/>
              <w:bottom w:val="nil"/>
              <w:right w:val="nil"/>
            </w:tcBorders>
            <w:shd w:val="clear" w:color="000000" w:fill="FFFFFF"/>
            <w:noWrap/>
            <w:vAlign w:val="bottom"/>
            <w:hideMark/>
          </w:tcPr>
          <w:p w14:paraId="02E98038"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2.6</w:t>
            </w:r>
          </w:p>
        </w:tc>
        <w:tc>
          <w:tcPr>
            <w:tcW w:w="1312" w:type="dxa"/>
            <w:tcBorders>
              <w:top w:val="nil"/>
              <w:left w:val="nil"/>
              <w:bottom w:val="nil"/>
              <w:right w:val="nil"/>
            </w:tcBorders>
            <w:vAlign w:val="bottom"/>
          </w:tcPr>
          <w:p w14:paraId="52E88A68"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2.6</w:t>
            </w:r>
          </w:p>
        </w:tc>
        <w:tc>
          <w:tcPr>
            <w:tcW w:w="1312" w:type="dxa"/>
            <w:tcBorders>
              <w:top w:val="nil"/>
              <w:left w:val="nil"/>
              <w:bottom w:val="nil"/>
              <w:right w:val="nil"/>
            </w:tcBorders>
            <w:noWrap/>
            <w:vAlign w:val="bottom"/>
            <w:hideMark/>
          </w:tcPr>
          <w:p w14:paraId="3E129C1D"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2.4</w:t>
            </w:r>
          </w:p>
        </w:tc>
        <w:tc>
          <w:tcPr>
            <w:tcW w:w="1312" w:type="dxa"/>
            <w:tcBorders>
              <w:top w:val="nil"/>
              <w:left w:val="nil"/>
              <w:bottom w:val="nil"/>
              <w:right w:val="nil"/>
            </w:tcBorders>
            <w:noWrap/>
            <w:vAlign w:val="bottom"/>
            <w:hideMark/>
          </w:tcPr>
          <w:p w14:paraId="6AFBD754"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2.6</w:t>
            </w:r>
          </w:p>
        </w:tc>
        <w:tc>
          <w:tcPr>
            <w:tcW w:w="1312" w:type="dxa"/>
            <w:tcBorders>
              <w:top w:val="nil"/>
              <w:left w:val="nil"/>
              <w:bottom w:val="nil"/>
              <w:right w:val="nil"/>
            </w:tcBorders>
            <w:vAlign w:val="center"/>
          </w:tcPr>
          <w:p w14:paraId="5A80A6B4"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Calibri" w:eastAsia="Times New Roman" w:hAnsi="Calibri" w:cs="Calibri"/>
                <w:color w:val="000000"/>
                <w:sz w:val="20"/>
                <w:szCs w:val="20"/>
                <w:lang w:eastAsia="en-AU"/>
              </w:rPr>
              <w:t>2.6</w:t>
            </w:r>
          </w:p>
        </w:tc>
      </w:tr>
      <w:tr w:rsidR="00677577" w:rsidRPr="00236247" w14:paraId="162BF1A3" w14:textId="77777777" w:rsidTr="00E04C86">
        <w:trPr>
          <w:trHeight w:val="302"/>
        </w:trPr>
        <w:tc>
          <w:tcPr>
            <w:tcW w:w="1312" w:type="dxa"/>
            <w:tcBorders>
              <w:top w:val="nil"/>
              <w:left w:val="nil"/>
              <w:bottom w:val="nil"/>
              <w:right w:val="nil"/>
            </w:tcBorders>
            <w:shd w:val="clear" w:color="000000" w:fill="FFFFFF"/>
            <w:noWrap/>
            <w:vAlign w:val="bottom"/>
            <w:hideMark/>
          </w:tcPr>
          <w:p w14:paraId="45EE206A" w14:textId="77777777" w:rsidR="00677577" w:rsidRPr="00D44BD6" w:rsidRDefault="00677577">
            <w:pPr>
              <w:spacing w:after="0" w:line="240" w:lineRule="auto"/>
              <w:rPr>
                <w:rFonts w:ascii="Aptos Narrow" w:eastAsia="Times New Roman" w:hAnsi="Aptos Narrow" w:cs="Times New Roman"/>
                <w:b/>
                <w:color w:val="000000"/>
                <w:sz w:val="20"/>
                <w:szCs w:val="20"/>
                <w:lang w:eastAsia="en-AU"/>
              </w:rPr>
            </w:pPr>
            <w:r w:rsidRPr="00D44BD6">
              <w:rPr>
                <w:rFonts w:ascii="Aptos Narrow" w:eastAsia="Times New Roman" w:hAnsi="Aptos Narrow" w:cs="Times New Roman"/>
                <w:b/>
                <w:color w:val="000000"/>
                <w:sz w:val="20"/>
                <w:szCs w:val="20"/>
                <w:lang w:eastAsia="en-AU"/>
              </w:rPr>
              <w:t>2022</w:t>
            </w:r>
          </w:p>
        </w:tc>
        <w:tc>
          <w:tcPr>
            <w:tcW w:w="1312" w:type="dxa"/>
            <w:tcBorders>
              <w:top w:val="nil"/>
              <w:left w:val="nil"/>
              <w:bottom w:val="nil"/>
              <w:right w:val="nil"/>
            </w:tcBorders>
            <w:shd w:val="clear" w:color="000000" w:fill="FFFFFF"/>
            <w:noWrap/>
            <w:vAlign w:val="bottom"/>
            <w:hideMark/>
          </w:tcPr>
          <w:p w14:paraId="5B5E6663"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2.8</w:t>
            </w:r>
          </w:p>
        </w:tc>
        <w:tc>
          <w:tcPr>
            <w:tcW w:w="1312" w:type="dxa"/>
            <w:tcBorders>
              <w:top w:val="nil"/>
              <w:left w:val="nil"/>
              <w:bottom w:val="nil"/>
              <w:right w:val="nil"/>
            </w:tcBorders>
            <w:shd w:val="clear" w:color="000000" w:fill="FFFFFF"/>
            <w:noWrap/>
            <w:vAlign w:val="bottom"/>
            <w:hideMark/>
          </w:tcPr>
          <w:p w14:paraId="4F8AC2AC"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2.7</w:t>
            </w:r>
          </w:p>
        </w:tc>
        <w:tc>
          <w:tcPr>
            <w:tcW w:w="1312" w:type="dxa"/>
            <w:tcBorders>
              <w:top w:val="nil"/>
              <w:left w:val="nil"/>
              <w:bottom w:val="nil"/>
              <w:right w:val="nil"/>
            </w:tcBorders>
            <w:vAlign w:val="bottom"/>
          </w:tcPr>
          <w:p w14:paraId="195B311B"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2.7</w:t>
            </w:r>
          </w:p>
        </w:tc>
        <w:tc>
          <w:tcPr>
            <w:tcW w:w="1312" w:type="dxa"/>
            <w:tcBorders>
              <w:top w:val="nil"/>
              <w:left w:val="nil"/>
              <w:bottom w:val="nil"/>
              <w:right w:val="nil"/>
            </w:tcBorders>
            <w:noWrap/>
            <w:vAlign w:val="bottom"/>
            <w:hideMark/>
          </w:tcPr>
          <w:p w14:paraId="5A778C82"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2.5</w:t>
            </w:r>
          </w:p>
        </w:tc>
        <w:tc>
          <w:tcPr>
            <w:tcW w:w="1312" w:type="dxa"/>
            <w:tcBorders>
              <w:top w:val="nil"/>
              <w:left w:val="nil"/>
              <w:bottom w:val="nil"/>
              <w:right w:val="nil"/>
            </w:tcBorders>
            <w:noWrap/>
            <w:vAlign w:val="bottom"/>
            <w:hideMark/>
          </w:tcPr>
          <w:p w14:paraId="37563DCE"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2.6</w:t>
            </w:r>
          </w:p>
        </w:tc>
        <w:tc>
          <w:tcPr>
            <w:tcW w:w="1312" w:type="dxa"/>
            <w:tcBorders>
              <w:top w:val="nil"/>
              <w:left w:val="nil"/>
              <w:bottom w:val="nil"/>
              <w:right w:val="nil"/>
            </w:tcBorders>
            <w:vAlign w:val="center"/>
          </w:tcPr>
          <w:p w14:paraId="028DD4DE"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Calibri" w:eastAsia="Times New Roman" w:hAnsi="Calibri" w:cs="Calibri"/>
                <w:color w:val="000000"/>
                <w:sz w:val="20"/>
                <w:szCs w:val="20"/>
                <w:lang w:eastAsia="en-AU"/>
              </w:rPr>
              <w:t>2.6</w:t>
            </w:r>
          </w:p>
        </w:tc>
      </w:tr>
      <w:tr w:rsidR="00677577" w:rsidRPr="00236247" w14:paraId="4AA41845" w14:textId="77777777" w:rsidTr="00E04C86">
        <w:trPr>
          <w:trHeight w:val="302"/>
        </w:trPr>
        <w:tc>
          <w:tcPr>
            <w:tcW w:w="1312" w:type="dxa"/>
            <w:tcBorders>
              <w:top w:val="nil"/>
              <w:left w:val="nil"/>
              <w:bottom w:val="nil"/>
              <w:right w:val="nil"/>
            </w:tcBorders>
            <w:shd w:val="clear" w:color="000000" w:fill="FFFFFF"/>
            <w:noWrap/>
            <w:vAlign w:val="bottom"/>
            <w:hideMark/>
          </w:tcPr>
          <w:p w14:paraId="2EE1BB68" w14:textId="77777777" w:rsidR="00677577" w:rsidRPr="00D44BD6" w:rsidRDefault="00677577">
            <w:pPr>
              <w:spacing w:after="0" w:line="240" w:lineRule="auto"/>
              <w:rPr>
                <w:rFonts w:ascii="Aptos Narrow" w:eastAsia="Times New Roman" w:hAnsi="Aptos Narrow" w:cs="Times New Roman"/>
                <w:b/>
                <w:color w:val="000000"/>
                <w:sz w:val="20"/>
                <w:szCs w:val="20"/>
                <w:lang w:eastAsia="en-AU"/>
              </w:rPr>
            </w:pPr>
            <w:r w:rsidRPr="00D44BD6">
              <w:rPr>
                <w:rFonts w:ascii="Aptos Narrow" w:eastAsia="Times New Roman" w:hAnsi="Aptos Narrow" w:cs="Times New Roman"/>
                <w:b/>
                <w:color w:val="000000"/>
                <w:sz w:val="20"/>
                <w:szCs w:val="20"/>
                <w:lang w:eastAsia="en-AU"/>
              </w:rPr>
              <w:t>2023</w:t>
            </w:r>
          </w:p>
        </w:tc>
        <w:tc>
          <w:tcPr>
            <w:tcW w:w="1312" w:type="dxa"/>
            <w:tcBorders>
              <w:top w:val="nil"/>
              <w:left w:val="nil"/>
              <w:bottom w:val="nil"/>
              <w:right w:val="nil"/>
            </w:tcBorders>
            <w:shd w:val="clear" w:color="000000" w:fill="FFFFFF"/>
            <w:noWrap/>
            <w:vAlign w:val="bottom"/>
            <w:hideMark/>
          </w:tcPr>
          <w:p w14:paraId="24DF5050"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3.4</w:t>
            </w:r>
          </w:p>
        </w:tc>
        <w:tc>
          <w:tcPr>
            <w:tcW w:w="1312" w:type="dxa"/>
            <w:tcBorders>
              <w:top w:val="nil"/>
              <w:left w:val="nil"/>
              <w:bottom w:val="nil"/>
              <w:right w:val="nil"/>
            </w:tcBorders>
            <w:shd w:val="clear" w:color="000000" w:fill="FFFFFF"/>
            <w:noWrap/>
            <w:vAlign w:val="bottom"/>
            <w:hideMark/>
          </w:tcPr>
          <w:p w14:paraId="2618C423"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4.1</w:t>
            </w:r>
          </w:p>
        </w:tc>
        <w:tc>
          <w:tcPr>
            <w:tcW w:w="1312" w:type="dxa"/>
            <w:tcBorders>
              <w:top w:val="nil"/>
              <w:left w:val="nil"/>
              <w:bottom w:val="nil"/>
              <w:right w:val="nil"/>
            </w:tcBorders>
            <w:vAlign w:val="bottom"/>
          </w:tcPr>
          <w:p w14:paraId="1F293999"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4.1</w:t>
            </w:r>
          </w:p>
        </w:tc>
        <w:tc>
          <w:tcPr>
            <w:tcW w:w="1312" w:type="dxa"/>
            <w:tcBorders>
              <w:top w:val="nil"/>
              <w:left w:val="nil"/>
              <w:bottom w:val="nil"/>
              <w:right w:val="nil"/>
            </w:tcBorders>
            <w:noWrap/>
            <w:vAlign w:val="bottom"/>
            <w:hideMark/>
          </w:tcPr>
          <w:p w14:paraId="0B9375FB"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2.9</w:t>
            </w:r>
          </w:p>
        </w:tc>
        <w:tc>
          <w:tcPr>
            <w:tcW w:w="1312" w:type="dxa"/>
            <w:tcBorders>
              <w:top w:val="nil"/>
              <w:left w:val="nil"/>
              <w:bottom w:val="nil"/>
              <w:right w:val="nil"/>
            </w:tcBorders>
            <w:noWrap/>
            <w:vAlign w:val="bottom"/>
            <w:hideMark/>
          </w:tcPr>
          <w:p w14:paraId="3321D808"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3.1</w:t>
            </w:r>
          </w:p>
        </w:tc>
        <w:tc>
          <w:tcPr>
            <w:tcW w:w="1312" w:type="dxa"/>
            <w:tcBorders>
              <w:top w:val="nil"/>
              <w:left w:val="nil"/>
              <w:bottom w:val="nil"/>
              <w:right w:val="nil"/>
            </w:tcBorders>
            <w:vAlign w:val="center"/>
          </w:tcPr>
          <w:p w14:paraId="34696713"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Calibri" w:eastAsia="Times New Roman" w:hAnsi="Calibri" w:cs="Calibri"/>
                <w:color w:val="000000"/>
                <w:sz w:val="20"/>
                <w:szCs w:val="20"/>
                <w:lang w:eastAsia="en-AU"/>
              </w:rPr>
              <w:t>3.1</w:t>
            </w:r>
          </w:p>
        </w:tc>
      </w:tr>
      <w:tr w:rsidR="00677577" w:rsidRPr="00236247" w14:paraId="4582E215" w14:textId="77777777" w:rsidTr="00E04C86">
        <w:trPr>
          <w:trHeight w:val="302"/>
        </w:trPr>
        <w:tc>
          <w:tcPr>
            <w:tcW w:w="1312" w:type="dxa"/>
            <w:tcBorders>
              <w:top w:val="nil"/>
              <w:left w:val="nil"/>
              <w:bottom w:val="single" w:sz="4" w:space="0" w:color="auto"/>
              <w:right w:val="nil"/>
            </w:tcBorders>
            <w:shd w:val="clear" w:color="000000" w:fill="FFFFFF"/>
            <w:noWrap/>
            <w:vAlign w:val="bottom"/>
            <w:hideMark/>
          </w:tcPr>
          <w:p w14:paraId="1443FD24" w14:textId="77777777" w:rsidR="00677577" w:rsidRPr="00D44BD6" w:rsidRDefault="00677577">
            <w:pPr>
              <w:spacing w:after="0" w:line="240" w:lineRule="auto"/>
              <w:rPr>
                <w:rFonts w:ascii="Aptos Narrow" w:eastAsia="Times New Roman" w:hAnsi="Aptos Narrow" w:cs="Times New Roman"/>
                <w:b/>
                <w:color w:val="000000"/>
                <w:sz w:val="20"/>
                <w:szCs w:val="20"/>
                <w:lang w:eastAsia="en-AU"/>
              </w:rPr>
            </w:pPr>
            <w:r w:rsidRPr="00D44BD6">
              <w:rPr>
                <w:rFonts w:ascii="Aptos Narrow" w:eastAsia="Times New Roman" w:hAnsi="Aptos Narrow" w:cs="Times New Roman"/>
                <w:b/>
                <w:color w:val="000000"/>
                <w:sz w:val="20"/>
                <w:szCs w:val="20"/>
                <w:lang w:eastAsia="en-AU"/>
              </w:rPr>
              <w:t>2024 (to Q3)</w:t>
            </w:r>
          </w:p>
        </w:tc>
        <w:tc>
          <w:tcPr>
            <w:tcW w:w="1312" w:type="dxa"/>
            <w:tcBorders>
              <w:top w:val="nil"/>
              <w:left w:val="nil"/>
              <w:bottom w:val="single" w:sz="4" w:space="0" w:color="auto"/>
              <w:right w:val="nil"/>
            </w:tcBorders>
            <w:shd w:val="clear" w:color="000000" w:fill="FFFFFF"/>
            <w:noWrap/>
            <w:vAlign w:val="bottom"/>
            <w:hideMark/>
          </w:tcPr>
          <w:p w14:paraId="0F52FB0A"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3.2</w:t>
            </w:r>
          </w:p>
        </w:tc>
        <w:tc>
          <w:tcPr>
            <w:tcW w:w="1312" w:type="dxa"/>
            <w:tcBorders>
              <w:top w:val="nil"/>
              <w:left w:val="nil"/>
              <w:bottom w:val="single" w:sz="4" w:space="0" w:color="auto"/>
              <w:right w:val="nil"/>
            </w:tcBorders>
            <w:shd w:val="clear" w:color="000000" w:fill="FFFFFF"/>
            <w:noWrap/>
            <w:vAlign w:val="bottom"/>
            <w:hideMark/>
          </w:tcPr>
          <w:p w14:paraId="7D756181"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3.9</w:t>
            </w:r>
          </w:p>
        </w:tc>
        <w:tc>
          <w:tcPr>
            <w:tcW w:w="1312" w:type="dxa"/>
            <w:tcBorders>
              <w:top w:val="nil"/>
              <w:left w:val="nil"/>
              <w:bottom w:val="single" w:sz="4" w:space="0" w:color="auto"/>
              <w:right w:val="nil"/>
            </w:tcBorders>
            <w:vAlign w:val="bottom"/>
          </w:tcPr>
          <w:p w14:paraId="1B2A9EE2"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3.8</w:t>
            </w:r>
          </w:p>
        </w:tc>
        <w:tc>
          <w:tcPr>
            <w:tcW w:w="1312" w:type="dxa"/>
            <w:tcBorders>
              <w:top w:val="nil"/>
              <w:left w:val="nil"/>
              <w:bottom w:val="single" w:sz="4" w:space="0" w:color="auto"/>
              <w:right w:val="nil"/>
            </w:tcBorders>
            <w:noWrap/>
            <w:vAlign w:val="bottom"/>
            <w:hideMark/>
          </w:tcPr>
          <w:p w14:paraId="4D1DF1E2"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3.0</w:t>
            </w:r>
          </w:p>
        </w:tc>
        <w:tc>
          <w:tcPr>
            <w:tcW w:w="1312" w:type="dxa"/>
            <w:tcBorders>
              <w:top w:val="nil"/>
              <w:left w:val="nil"/>
              <w:bottom w:val="single" w:sz="4" w:space="0" w:color="auto"/>
              <w:right w:val="nil"/>
            </w:tcBorders>
            <w:noWrap/>
            <w:vAlign w:val="bottom"/>
            <w:hideMark/>
          </w:tcPr>
          <w:p w14:paraId="10D54445"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3.5</w:t>
            </w:r>
          </w:p>
        </w:tc>
        <w:tc>
          <w:tcPr>
            <w:tcW w:w="1312" w:type="dxa"/>
            <w:tcBorders>
              <w:top w:val="nil"/>
              <w:left w:val="nil"/>
              <w:bottom w:val="single" w:sz="4" w:space="0" w:color="auto"/>
              <w:right w:val="nil"/>
            </w:tcBorders>
            <w:vAlign w:val="center"/>
          </w:tcPr>
          <w:p w14:paraId="60A8C463" w14:textId="77777777" w:rsidR="00677577" w:rsidRPr="00D44BD6" w:rsidRDefault="00677577" w:rsidP="00D44BD6">
            <w:pPr>
              <w:spacing w:after="0" w:line="240" w:lineRule="auto"/>
              <w:jc w:val="right"/>
              <w:rPr>
                <w:rFonts w:ascii="Aptos Narrow" w:eastAsia="Times New Roman" w:hAnsi="Aptos Narrow" w:cs="Times New Roman"/>
                <w:color w:val="000000"/>
                <w:sz w:val="20"/>
                <w:szCs w:val="20"/>
                <w:lang w:eastAsia="en-AU"/>
              </w:rPr>
            </w:pPr>
            <w:r w:rsidRPr="00D44BD6">
              <w:rPr>
                <w:rFonts w:ascii="Aptos Narrow" w:eastAsia="Times New Roman" w:hAnsi="Aptos Narrow" w:cs="Times New Roman"/>
                <w:color w:val="000000"/>
                <w:sz w:val="20"/>
                <w:szCs w:val="20"/>
                <w:lang w:eastAsia="en-AU"/>
              </w:rPr>
              <w:t>3.5</w:t>
            </w:r>
          </w:p>
        </w:tc>
      </w:tr>
    </w:tbl>
    <w:p w14:paraId="0246BBA3" w14:textId="64CD8C22" w:rsidR="00F56A5F" w:rsidRPr="00B45F7C" w:rsidRDefault="00F56A5F" w:rsidP="00F56A5F">
      <w:pPr>
        <w:spacing w:before="120"/>
        <w:rPr>
          <w:rFonts w:ascii="Aptos" w:eastAsia="Aptos" w:hAnsi="Aptos" w:cs="Times New Roman"/>
          <w:sz w:val="18"/>
        </w:rPr>
      </w:pPr>
      <w:r w:rsidRPr="00B45F7C">
        <w:rPr>
          <w:rFonts w:ascii="Aptos" w:eastAsia="Aptos" w:hAnsi="Aptos" w:cs="Times New Roman"/>
          <w:b/>
          <w:bCs/>
          <w:sz w:val="18"/>
        </w:rPr>
        <w:t>Source:</w:t>
      </w:r>
      <w:r>
        <w:rPr>
          <w:rFonts w:ascii="Aptos" w:eastAsia="Aptos" w:hAnsi="Aptos" w:cs="Times New Roman"/>
          <w:b/>
          <w:sz w:val="18"/>
        </w:rPr>
        <w:t xml:space="preserve"> </w:t>
      </w:r>
      <w:r w:rsidR="005138FF" w:rsidRPr="005138FF">
        <w:rPr>
          <w:rFonts w:ascii="Aptos" w:eastAsia="Aptos" w:hAnsi="Aptos" w:cs="Times New Roman"/>
          <w:sz w:val="18"/>
        </w:rPr>
        <w:t>Department of Employment and Workplace Relations</w:t>
      </w:r>
      <w:r w:rsidR="009D5846">
        <w:rPr>
          <w:rFonts w:ascii="Aptos" w:eastAsia="Aptos" w:hAnsi="Aptos" w:cs="Times New Roman"/>
          <w:sz w:val="18"/>
        </w:rPr>
        <w:t>,</w:t>
      </w:r>
      <w:r w:rsidR="005138FF" w:rsidRPr="005138FF">
        <w:rPr>
          <w:rFonts w:ascii="Aptos" w:eastAsia="Aptos" w:hAnsi="Aptos" w:cs="Times New Roman"/>
          <w:sz w:val="18"/>
        </w:rPr>
        <w:t xml:space="preserve"> Workplace Agreements Database.</w:t>
      </w:r>
      <w:r w:rsidRPr="00B45F7C">
        <w:rPr>
          <w:rFonts w:ascii="Aptos" w:eastAsia="Aptos" w:hAnsi="Aptos" w:cs="Times New Roman"/>
          <w:sz w:val="18"/>
        </w:rPr>
        <w:t xml:space="preserve"> </w:t>
      </w:r>
    </w:p>
    <w:p w14:paraId="49280A7B" w14:textId="7956C939" w:rsidR="00677577" w:rsidRPr="00B45F7C" w:rsidRDefault="00677577" w:rsidP="00677577">
      <w:pPr>
        <w:rPr>
          <w:rFonts w:ascii="Aptos" w:eastAsia="Aptos" w:hAnsi="Aptos" w:cs="Times New Roman"/>
        </w:rPr>
      </w:pPr>
      <w:r w:rsidRPr="00B45F7C">
        <w:rPr>
          <w:rFonts w:ascii="Aptos" w:eastAsia="Aptos" w:hAnsi="Aptos" w:cs="Times New Roman"/>
        </w:rPr>
        <w:br w:type="page"/>
      </w:r>
    </w:p>
    <w:p w14:paraId="75D3E6CA" w14:textId="51C7A178" w:rsidR="0011475D" w:rsidRDefault="00677577" w:rsidP="00677577">
      <w:pPr>
        <w:rPr>
          <w:rFonts w:ascii="Aptos" w:eastAsia="Aptos" w:hAnsi="Aptos" w:cs="Times New Roman"/>
        </w:rPr>
      </w:pPr>
      <w:r w:rsidRPr="00D44BD6">
        <w:rPr>
          <w:rFonts w:ascii="Aptos" w:eastAsia="Aptos" w:hAnsi="Aptos" w:cs="Times New Roman"/>
        </w:rPr>
        <w:t xml:space="preserve">Table </w:t>
      </w:r>
      <w:r w:rsidR="00D3501E" w:rsidRPr="00D44BD6">
        <w:rPr>
          <w:rFonts w:ascii="Aptos" w:eastAsia="Aptos" w:hAnsi="Aptos" w:cs="Times New Roman"/>
        </w:rPr>
        <w:t>6</w:t>
      </w:r>
      <w:r w:rsidR="00D3501E">
        <w:rPr>
          <w:rFonts w:ascii="Aptos" w:eastAsia="Aptos" w:hAnsi="Aptos" w:cs="Times New Roman"/>
        </w:rPr>
        <w:t>3</w:t>
      </w:r>
      <w:r w:rsidR="00D3501E" w:rsidRPr="00FD4F1B">
        <w:rPr>
          <w:rFonts w:ascii="Aptos" w:eastAsia="Aptos" w:hAnsi="Aptos" w:cs="Times New Roman"/>
        </w:rPr>
        <w:t xml:space="preserve"> </w:t>
      </w:r>
      <w:r w:rsidRPr="00FD4F1B">
        <w:rPr>
          <w:rFonts w:ascii="Aptos" w:eastAsia="Aptos" w:hAnsi="Aptos" w:cs="Times New Roman"/>
        </w:rPr>
        <w:t>reports the number of employees in each quarter covered by a new approved agreement</w:t>
      </w:r>
      <w:r w:rsidRPr="00B45F7C">
        <w:rPr>
          <w:rFonts w:ascii="Aptos" w:eastAsia="Aptos" w:hAnsi="Aptos" w:cs="Times New Roman"/>
        </w:rPr>
        <w:t xml:space="preserve"> and a current agreement, with the information disaggregated by sector. In the September 2024 quarter, 21.1% of all public sector employees were covered by a federal (current) enterprise agreement. The corresponding share of private sector employees covered by a current federal enterprise agreement was 11.9%.</w:t>
      </w:r>
    </w:p>
    <w:p w14:paraId="12A369F7" w14:textId="491A8869" w:rsidR="00677577" w:rsidRPr="00B45F7C" w:rsidRDefault="00844718" w:rsidP="00D44BD6">
      <w:pPr>
        <w:pStyle w:val="Caption"/>
      </w:pPr>
      <w:bookmarkStart w:id="1020" w:name="_Ref184414086"/>
      <w:bookmarkStart w:id="1021" w:name="_Toc186906079"/>
      <w:bookmarkStart w:id="1022" w:name="_Toc187514217"/>
      <w:bookmarkStart w:id="1023" w:name="_Toc189310886"/>
      <w:bookmarkStart w:id="1024" w:name="_Toc194251487"/>
      <w:r>
        <w:t xml:space="preserve">Table </w:t>
      </w:r>
      <w:r>
        <w:fldChar w:fldCharType="begin"/>
      </w:r>
      <w:r>
        <w:instrText xml:space="preserve"> SEQ Table \* ARABIC </w:instrText>
      </w:r>
      <w:r>
        <w:fldChar w:fldCharType="separate"/>
      </w:r>
      <w:r w:rsidR="00DE5F5E">
        <w:rPr>
          <w:noProof/>
        </w:rPr>
        <w:t>63</w:t>
      </w:r>
      <w:r>
        <w:fldChar w:fldCharType="end"/>
      </w:r>
      <w:r>
        <w:t xml:space="preserve">: </w:t>
      </w:r>
      <w:bookmarkEnd w:id="1020"/>
      <w:r w:rsidR="00677577" w:rsidRPr="00B45F7C">
        <w:t>New approved and current federal agreements by sector and number of employees</w:t>
      </w:r>
      <w:bookmarkEnd w:id="1021"/>
      <w:bookmarkEnd w:id="1022"/>
      <w:bookmarkEnd w:id="1023"/>
      <w:r w:rsidR="0021216A">
        <w:t>, 2021 to 2024</w:t>
      </w:r>
      <w:bookmarkEnd w:id="1024"/>
    </w:p>
    <w:tbl>
      <w:tblPr>
        <w:tblW w:w="5000" w:type="pct"/>
        <w:tblLayout w:type="fixed"/>
        <w:tblLook w:val="04A0" w:firstRow="1" w:lastRow="0" w:firstColumn="1" w:lastColumn="0" w:noHBand="0" w:noVBand="1"/>
      </w:tblPr>
      <w:tblGrid>
        <w:gridCol w:w="868"/>
        <w:gridCol w:w="1051"/>
        <w:gridCol w:w="1053"/>
        <w:gridCol w:w="1050"/>
        <w:gridCol w:w="1052"/>
        <w:gridCol w:w="1050"/>
        <w:gridCol w:w="1052"/>
        <w:gridCol w:w="1050"/>
        <w:gridCol w:w="1052"/>
      </w:tblGrid>
      <w:tr w:rsidR="00677577" w:rsidRPr="00B45F7C" w14:paraId="7C71551B" w14:textId="77777777">
        <w:trPr>
          <w:trHeight w:val="650"/>
        </w:trPr>
        <w:tc>
          <w:tcPr>
            <w:tcW w:w="467" w:type="pct"/>
            <w:tcBorders>
              <w:top w:val="single" w:sz="8" w:space="0" w:color="auto"/>
              <w:left w:val="single" w:sz="8" w:space="0" w:color="auto"/>
              <w:bottom w:val="nil"/>
              <w:right w:val="nil"/>
            </w:tcBorders>
            <w:noWrap/>
            <w:vAlign w:val="bottom"/>
            <w:hideMark/>
          </w:tcPr>
          <w:p w14:paraId="2224D265" w14:textId="77777777" w:rsidR="00677577" w:rsidRPr="00236247" w:rsidRDefault="00677577">
            <w:pPr>
              <w:keepNext/>
              <w:spacing w:after="0" w:line="240" w:lineRule="auto"/>
              <w:rPr>
                <w:rFonts w:ascii="Aptos" w:eastAsia="Aptos" w:hAnsi="Aptos" w:cs="Calibri"/>
                <w:sz w:val="20"/>
                <w:szCs w:val="20"/>
              </w:rPr>
            </w:pPr>
            <w:r w:rsidRPr="00236247">
              <w:rPr>
                <w:rFonts w:ascii="Aptos" w:eastAsia="Aptos" w:hAnsi="Aptos" w:cs="Calibri"/>
                <w:sz w:val="20"/>
                <w:szCs w:val="20"/>
              </w:rPr>
              <w:t> </w:t>
            </w:r>
          </w:p>
        </w:tc>
        <w:tc>
          <w:tcPr>
            <w:tcW w:w="1133" w:type="pct"/>
            <w:gridSpan w:val="2"/>
            <w:tcBorders>
              <w:top w:val="single" w:sz="8" w:space="0" w:color="auto"/>
              <w:left w:val="nil"/>
              <w:bottom w:val="nil"/>
              <w:right w:val="nil"/>
            </w:tcBorders>
            <w:noWrap/>
            <w:vAlign w:val="center"/>
            <w:hideMark/>
          </w:tcPr>
          <w:p w14:paraId="79A81FDD" w14:textId="77777777" w:rsidR="00677577" w:rsidRPr="00236247" w:rsidRDefault="00677577">
            <w:pPr>
              <w:keepNext/>
              <w:spacing w:after="0" w:line="240" w:lineRule="auto"/>
              <w:rPr>
                <w:rFonts w:ascii="Aptos" w:eastAsia="Aptos" w:hAnsi="Aptos" w:cs="Calibri"/>
                <w:b/>
                <w:bCs/>
                <w:sz w:val="20"/>
                <w:szCs w:val="20"/>
              </w:rPr>
            </w:pPr>
            <w:r w:rsidRPr="00236247">
              <w:rPr>
                <w:rFonts w:ascii="Aptos" w:eastAsia="Aptos" w:hAnsi="Aptos" w:cs="Calibri"/>
                <w:b/>
                <w:bCs/>
                <w:sz w:val="20"/>
                <w:szCs w:val="20"/>
              </w:rPr>
              <w:t>New approved agreements</w:t>
            </w:r>
          </w:p>
        </w:tc>
        <w:tc>
          <w:tcPr>
            <w:tcW w:w="1133" w:type="pct"/>
            <w:gridSpan w:val="2"/>
            <w:tcBorders>
              <w:top w:val="single" w:sz="8" w:space="0" w:color="auto"/>
              <w:left w:val="nil"/>
              <w:bottom w:val="nil"/>
              <w:right w:val="nil"/>
            </w:tcBorders>
            <w:noWrap/>
            <w:vAlign w:val="center"/>
            <w:hideMark/>
          </w:tcPr>
          <w:p w14:paraId="41DB63CF" w14:textId="77777777" w:rsidR="00677577" w:rsidRPr="00236247" w:rsidRDefault="00677577">
            <w:pPr>
              <w:keepNext/>
              <w:spacing w:after="0" w:line="240" w:lineRule="auto"/>
              <w:rPr>
                <w:rFonts w:ascii="Aptos" w:eastAsia="Aptos" w:hAnsi="Aptos" w:cs="Calibri"/>
                <w:b/>
                <w:bCs/>
                <w:sz w:val="20"/>
                <w:szCs w:val="20"/>
              </w:rPr>
            </w:pPr>
            <w:r w:rsidRPr="00236247">
              <w:rPr>
                <w:rFonts w:ascii="Aptos" w:eastAsia="Aptos" w:hAnsi="Aptos" w:cs="Calibri"/>
                <w:b/>
                <w:bCs/>
                <w:sz w:val="20"/>
                <w:szCs w:val="20"/>
              </w:rPr>
              <w:t>Current agreements</w:t>
            </w:r>
          </w:p>
        </w:tc>
        <w:tc>
          <w:tcPr>
            <w:tcW w:w="1133" w:type="pct"/>
            <w:gridSpan w:val="2"/>
            <w:tcBorders>
              <w:top w:val="single" w:sz="8" w:space="0" w:color="auto"/>
              <w:left w:val="nil"/>
              <w:bottom w:val="nil"/>
              <w:right w:val="nil"/>
            </w:tcBorders>
            <w:noWrap/>
            <w:vAlign w:val="center"/>
            <w:hideMark/>
          </w:tcPr>
          <w:p w14:paraId="1890E63A" w14:textId="77777777" w:rsidR="00677577" w:rsidRPr="00236247" w:rsidRDefault="00677577">
            <w:pPr>
              <w:keepNext/>
              <w:spacing w:after="0" w:line="240" w:lineRule="auto"/>
              <w:rPr>
                <w:rFonts w:ascii="Aptos" w:eastAsia="Aptos" w:hAnsi="Aptos" w:cs="Calibri"/>
                <w:b/>
                <w:bCs/>
                <w:sz w:val="20"/>
                <w:szCs w:val="20"/>
              </w:rPr>
            </w:pPr>
            <w:r w:rsidRPr="00236247">
              <w:rPr>
                <w:rFonts w:ascii="Aptos" w:eastAsia="Aptos" w:hAnsi="Aptos" w:cs="Calibri"/>
                <w:b/>
                <w:bCs/>
                <w:sz w:val="20"/>
                <w:szCs w:val="20"/>
              </w:rPr>
              <w:t>Total employees (labour force)</w:t>
            </w:r>
          </w:p>
        </w:tc>
        <w:tc>
          <w:tcPr>
            <w:tcW w:w="1133" w:type="pct"/>
            <w:gridSpan w:val="2"/>
            <w:tcBorders>
              <w:top w:val="single" w:sz="8" w:space="0" w:color="auto"/>
              <w:left w:val="nil"/>
              <w:bottom w:val="nil"/>
              <w:right w:val="single" w:sz="8" w:space="0" w:color="000000"/>
            </w:tcBorders>
            <w:vAlign w:val="center"/>
            <w:hideMark/>
          </w:tcPr>
          <w:p w14:paraId="09DCF360" w14:textId="77777777" w:rsidR="00677577" w:rsidRPr="00236247" w:rsidRDefault="00677577">
            <w:pPr>
              <w:keepNext/>
              <w:spacing w:after="0" w:line="240" w:lineRule="auto"/>
              <w:rPr>
                <w:rFonts w:ascii="Aptos" w:eastAsia="Aptos" w:hAnsi="Aptos" w:cs="Calibri"/>
                <w:b/>
                <w:bCs/>
                <w:sz w:val="20"/>
                <w:szCs w:val="20"/>
              </w:rPr>
            </w:pPr>
            <w:r w:rsidRPr="00236247">
              <w:rPr>
                <w:rFonts w:ascii="Aptos" w:eastAsia="Aptos" w:hAnsi="Aptos" w:cs="Calibri"/>
                <w:b/>
                <w:bCs/>
                <w:sz w:val="20"/>
                <w:szCs w:val="20"/>
              </w:rPr>
              <w:t>% of total employees on current federal enterprise agreements</w:t>
            </w:r>
          </w:p>
        </w:tc>
      </w:tr>
      <w:tr w:rsidR="00677577" w:rsidRPr="00B45F7C" w14:paraId="2E4CEB87" w14:textId="77777777">
        <w:trPr>
          <w:trHeight w:val="1453"/>
        </w:trPr>
        <w:tc>
          <w:tcPr>
            <w:tcW w:w="467" w:type="pct"/>
            <w:tcBorders>
              <w:top w:val="nil"/>
              <w:left w:val="single" w:sz="8" w:space="0" w:color="auto"/>
              <w:bottom w:val="single" w:sz="8" w:space="0" w:color="000000"/>
              <w:right w:val="nil"/>
            </w:tcBorders>
            <w:noWrap/>
            <w:vAlign w:val="bottom"/>
            <w:hideMark/>
          </w:tcPr>
          <w:p w14:paraId="22DAE598" w14:textId="77777777" w:rsidR="00677577" w:rsidRPr="00236247" w:rsidRDefault="00677577">
            <w:pPr>
              <w:keepNext/>
              <w:spacing w:after="0" w:line="240" w:lineRule="auto"/>
              <w:rPr>
                <w:rFonts w:ascii="Aptos" w:eastAsia="Aptos" w:hAnsi="Aptos" w:cs="Calibri"/>
                <w:sz w:val="20"/>
                <w:szCs w:val="20"/>
              </w:rPr>
            </w:pPr>
            <w:r w:rsidRPr="00236247">
              <w:rPr>
                <w:rFonts w:ascii="Aptos" w:eastAsia="Aptos" w:hAnsi="Aptos" w:cs="Calibri"/>
                <w:sz w:val="20"/>
                <w:szCs w:val="20"/>
              </w:rPr>
              <w:t> </w:t>
            </w:r>
          </w:p>
        </w:tc>
        <w:tc>
          <w:tcPr>
            <w:tcW w:w="566" w:type="pct"/>
            <w:tcBorders>
              <w:top w:val="nil"/>
              <w:left w:val="nil"/>
              <w:bottom w:val="single" w:sz="8" w:space="0" w:color="000000"/>
              <w:right w:val="nil"/>
            </w:tcBorders>
            <w:vAlign w:val="center"/>
            <w:hideMark/>
          </w:tcPr>
          <w:p w14:paraId="42A6CA91" w14:textId="77777777" w:rsidR="00677577" w:rsidRPr="00236247" w:rsidRDefault="00677577" w:rsidP="00D44BD6">
            <w:pPr>
              <w:keepNext/>
              <w:spacing w:after="0" w:line="240" w:lineRule="auto"/>
              <w:jc w:val="right"/>
              <w:rPr>
                <w:rFonts w:ascii="Aptos" w:eastAsia="Aptos" w:hAnsi="Aptos" w:cs="Calibri"/>
                <w:b/>
                <w:sz w:val="20"/>
                <w:szCs w:val="20"/>
              </w:rPr>
            </w:pPr>
            <w:r w:rsidRPr="00236247">
              <w:rPr>
                <w:rFonts w:ascii="Aptos" w:eastAsia="Aptos" w:hAnsi="Aptos" w:cs="Calibri"/>
                <w:b/>
                <w:sz w:val="20"/>
                <w:szCs w:val="20"/>
                <w:lang w:val="en-US"/>
              </w:rPr>
              <w:t>Public sector employees (‘000)</w:t>
            </w:r>
          </w:p>
        </w:tc>
        <w:tc>
          <w:tcPr>
            <w:tcW w:w="567" w:type="pct"/>
            <w:tcBorders>
              <w:top w:val="nil"/>
              <w:left w:val="nil"/>
              <w:bottom w:val="single" w:sz="8" w:space="0" w:color="000000"/>
              <w:right w:val="nil"/>
            </w:tcBorders>
            <w:vAlign w:val="center"/>
            <w:hideMark/>
          </w:tcPr>
          <w:p w14:paraId="13B5E80F" w14:textId="77777777" w:rsidR="00677577" w:rsidRPr="00236247" w:rsidRDefault="00677577" w:rsidP="00D44BD6">
            <w:pPr>
              <w:keepNext/>
              <w:spacing w:after="0" w:line="240" w:lineRule="auto"/>
              <w:jc w:val="right"/>
              <w:rPr>
                <w:rFonts w:ascii="Aptos" w:eastAsia="Aptos" w:hAnsi="Aptos" w:cs="Calibri"/>
                <w:b/>
                <w:sz w:val="20"/>
                <w:szCs w:val="20"/>
              </w:rPr>
            </w:pPr>
            <w:r w:rsidRPr="00236247">
              <w:rPr>
                <w:rFonts w:ascii="Aptos" w:eastAsia="Aptos" w:hAnsi="Aptos" w:cs="Calibri"/>
                <w:b/>
                <w:sz w:val="20"/>
                <w:szCs w:val="20"/>
                <w:lang w:val="en-US"/>
              </w:rPr>
              <w:t>Private sector employees (‘000)</w:t>
            </w:r>
          </w:p>
        </w:tc>
        <w:tc>
          <w:tcPr>
            <w:tcW w:w="566" w:type="pct"/>
            <w:tcBorders>
              <w:top w:val="nil"/>
              <w:left w:val="nil"/>
              <w:bottom w:val="single" w:sz="8" w:space="0" w:color="000000"/>
              <w:right w:val="nil"/>
            </w:tcBorders>
            <w:vAlign w:val="center"/>
            <w:hideMark/>
          </w:tcPr>
          <w:p w14:paraId="44943096" w14:textId="77777777" w:rsidR="00677577" w:rsidRPr="00236247" w:rsidRDefault="00677577" w:rsidP="00D44BD6">
            <w:pPr>
              <w:keepNext/>
              <w:spacing w:after="0" w:line="240" w:lineRule="auto"/>
              <w:jc w:val="right"/>
              <w:rPr>
                <w:rFonts w:ascii="Aptos" w:eastAsia="Aptos" w:hAnsi="Aptos" w:cs="Calibri"/>
                <w:b/>
                <w:sz w:val="20"/>
                <w:szCs w:val="20"/>
              </w:rPr>
            </w:pPr>
            <w:r w:rsidRPr="00236247">
              <w:rPr>
                <w:rFonts w:ascii="Aptos" w:eastAsia="Aptos" w:hAnsi="Aptos" w:cs="Calibri"/>
                <w:b/>
                <w:sz w:val="20"/>
                <w:szCs w:val="20"/>
                <w:lang w:val="en-US"/>
              </w:rPr>
              <w:t>Public sector employees (‘000)</w:t>
            </w:r>
          </w:p>
        </w:tc>
        <w:tc>
          <w:tcPr>
            <w:tcW w:w="567" w:type="pct"/>
            <w:tcBorders>
              <w:top w:val="nil"/>
              <w:left w:val="nil"/>
              <w:bottom w:val="single" w:sz="8" w:space="0" w:color="000000"/>
              <w:right w:val="nil"/>
            </w:tcBorders>
            <w:vAlign w:val="center"/>
            <w:hideMark/>
          </w:tcPr>
          <w:p w14:paraId="0418B99F" w14:textId="77777777" w:rsidR="00677577" w:rsidRPr="00236247" w:rsidRDefault="00677577" w:rsidP="00D44BD6">
            <w:pPr>
              <w:keepNext/>
              <w:spacing w:after="0" w:line="240" w:lineRule="auto"/>
              <w:jc w:val="right"/>
              <w:rPr>
                <w:rFonts w:ascii="Aptos" w:eastAsia="Aptos" w:hAnsi="Aptos" w:cs="Calibri"/>
                <w:b/>
                <w:sz w:val="20"/>
                <w:szCs w:val="20"/>
              </w:rPr>
            </w:pPr>
            <w:r w:rsidRPr="00236247">
              <w:rPr>
                <w:rFonts w:ascii="Aptos" w:eastAsia="Aptos" w:hAnsi="Aptos" w:cs="Calibri"/>
                <w:b/>
                <w:sz w:val="20"/>
                <w:szCs w:val="20"/>
                <w:lang w:val="en-US"/>
              </w:rPr>
              <w:t>Private sector employees (‘000)</w:t>
            </w:r>
          </w:p>
        </w:tc>
        <w:tc>
          <w:tcPr>
            <w:tcW w:w="566" w:type="pct"/>
            <w:tcBorders>
              <w:top w:val="nil"/>
              <w:left w:val="nil"/>
              <w:bottom w:val="single" w:sz="8" w:space="0" w:color="000000"/>
              <w:right w:val="nil"/>
            </w:tcBorders>
            <w:vAlign w:val="center"/>
            <w:hideMark/>
          </w:tcPr>
          <w:p w14:paraId="4395B50B" w14:textId="77777777" w:rsidR="00677577" w:rsidRPr="00236247" w:rsidRDefault="00677577" w:rsidP="00D44BD6">
            <w:pPr>
              <w:keepNext/>
              <w:spacing w:after="0" w:line="240" w:lineRule="auto"/>
              <w:jc w:val="right"/>
              <w:rPr>
                <w:rFonts w:ascii="Aptos" w:eastAsia="Aptos" w:hAnsi="Aptos" w:cs="Calibri"/>
                <w:b/>
                <w:sz w:val="20"/>
                <w:szCs w:val="20"/>
              </w:rPr>
            </w:pPr>
            <w:r w:rsidRPr="00236247">
              <w:rPr>
                <w:rFonts w:ascii="Aptos" w:eastAsia="Aptos" w:hAnsi="Aptos" w:cs="Calibri"/>
                <w:b/>
                <w:sz w:val="20"/>
                <w:szCs w:val="20"/>
                <w:lang w:val="en-US"/>
              </w:rPr>
              <w:t>Public sector (‘000)</w:t>
            </w:r>
          </w:p>
        </w:tc>
        <w:tc>
          <w:tcPr>
            <w:tcW w:w="567" w:type="pct"/>
            <w:tcBorders>
              <w:top w:val="nil"/>
              <w:left w:val="nil"/>
              <w:bottom w:val="single" w:sz="8" w:space="0" w:color="000000"/>
              <w:right w:val="nil"/>
            </w:tcBorders>
            <w:vAlign w:val="center"/>
            <w:hideMark/>
          </w:tcPr>
          <w:p w14:paraId="614F4E3F" w14:textId="77777777" w:rsidR="00677577" w:rsidRPr="00236247" w:rsidRDefault="00677577" w:rsidP="00D44BD6">
            <w:pPr>
              <w:keepNext/>
              <w:spacing w:after="0" w:line="240" w:lineRule="auto"/>
              <w:jc w:val="right"/>
              <w:rPr>
                <w:rFonts w:ascii="Aptos" w:eastAsia="Aptos" w:hAnsi="Aptos" w:cs="Calibri"/>
                <w:b/>
                <w:sz w:val="20"/>
                <w:szCs w:val="20"/>
              </w:rPr>
            </w:pPr>
            <w:r w:rsidRPr="00236247">
              <w:rPr>
                <w:rFonts w:ascii="Aptos" w:eastAsia="Aptos" w:hAnsi="Aptos" w:cs="Calibri"/>
                <w:b/>
                <w:sz w:val="20"/>
                <w:szCs w:val="20"/>
                <w:lang w:val="en-US"/>
              </w:rPr>
              <w:t>Private sector (‘000)</w:t>
            </w:r>
          </w:p>
        </w:tc>
        <w:tc>
          <w:tcPr>
            <w:tcW w:w="566" w:type="pct"/>
            <w:tcBorders>
              <w:bottom w:val="single" w:sz="4" w:space="0" w:color="auto"/>
            </w:tcBorders>
            <w:vAlign w:val="center"/>
            <w:hideMark/>
          </w:tcPr>
          <w:p w14:paraId="3A79AC44" w14:textId="77777777" w:rsidR="00677577" w:rsidRPr="00236247" w:rsidRDefault="00677577" w:rsidP="00D44BD6">
            <w:pPr>
              <w:keepNext/>
              <w:spacing w:after="0" w:line="240" w:lineRule="auto"/>
              <w:jc w:val="right"/>
              <w:rPr>
                <w:rFonts w:ascii="Aptos" w:eastAsia="Aptos" w:hAnsi="Aptos" w:cs="Calibri"/>
                <w:b/>
                <w:sz w:val="20"/>
                <w:szCs w:val="20"/>
              </w:rPr>
            </w:pPr>
            <w:r w:rsidRPr="00236247">
              <w:rPr>
                <w:rFonts w:ascii="Aptos" w:eastAsia="Aptos" w:hAnsi="Aptos" w:cs="Calibri"/>
                <w:b/>
                <w:sz w:val="20"/>
                <w:szCs w:val="20"/>
              </w:rPr>
              <w:t>Public sector</w:t>
            </w:r>
          </w:p>
          <w:p w14:paraId="68D27D53" w14:textId="77777777" w:rsidR="00677577" w:rsidRPr="00236247" w:rsidRDefault="00677577" w:rsidP="00D44BD6">
            <w:pPr>
              <w:keepNext/>
              <w:spacing w:after="0" w:line="240" w:lineRule="auto"/>
              <w:jc w:val="right"/>
              <w:rPr>
                <w:rFonts w:ascii="Aptos" w:eastAsia="Aptos" w:hAnsi="Aptos" w:cs="Calibri"/>
                <w:b/>
                <w:sz w:val="20"/>
                <w:szCs w:val="20"/>
              </w:rPr>
            </w:pPr>
            <w:r w:rsidRPr="00236247">
              <w:rPr>
                <w:rFonts w:ascii="Aptos" w:eastAsia="Aptos" w:hAnsi="Aptos" w:cs="Calibri"/>
                <w:b/>
                <w:sz w:val="20"/>
                <w:szCs w:val="20"/>
              </w:rPr>
              <w:t> </w:t>
            </w:r>
          </w:p>
        </w:tc>
        <w:tc>
          <w:tcPr>
            <w:tcW w:w="567" w:type="pct"/>
            <w:tcBorders>
              <w:top w:val="nil"/>
              <w:left w:val="nil"/>
              <w:bottom w:val="single" w:sz="4" w:space="0" w:color="auto"/>
              <w:right w:val="single" w:sz="8" w:space="0" w:color="auto"/>
            </w:tcBorders>
            <w:vAlign w:val="center"/>
            <w:hideMark/>
          </w:tcPr>
          <w:p w14:paraId="6E1EC413" w14:textId="77777777" w:rsidR="00677577" w:rsidRPr="00236247" w:rsidRDefault="00677577" w:rsidP="00D44BD6">
            <w:pPr>
              <w:keepNext/>
              <w:spacing w:after="0" w:line="240" w:lineRule="auto"/>
              <w:jc w:val="right"/>
              <w:rPr>
                <w:rFonts w:ascii="Aptos" w:eastAsia="Aptos" w:hAnsi="Aptos" w:cs="Calibri"/>
                <w:b/>
                <w:sz w:val="20"/>
                <w:szCs w:val="20"/>
              </w:rPr>
            </w:pPr>
            <w:r w:rsidRPr="00236247">
              <w:rPr>
                <w:rFonts w:ascii="Aptos" w:eastAsia="Aptos" w:hAnsi="Aptos" w:cs="Calibri"/>
                <w:b/>
                <w:sz w:val="20"/>
                <w:szCs w:val="20"/>
              </w:rPr>
              <w:t>Private sector</w:t>
            </w:r>
          </w:p>
          <w:p w14:paraId="2D54EE76" w14:textId="77777777" w:rsidR="00677577" w:rsidRPr="00236247" w:rsidRDefault="00677577" w:rsidP="00D44BD6">
            <w:pPr>
              <w:keepNext/>
              <w:spacing w:after="0" w:line="240" w:lineRule="auto"/>
              <w:jc w:val="right"/>
              <w:rPr>
                <w:rFonts w:ascii="Aptos" w:eastAsia="Aptos" w:hAnsi="Aptos" w:cs="Calibri"/>
                <w:b/>
                <w:sz w:val="20"/>
                <w:szCs w:val="20"/>
              </w:rPr>
            </w:pPr>
            <w:r w:rsidRPr="00236247">
              <w:rPr>
                <w:rFonts w:ascii="Aptos" w:eastAsia="Aptos" w:hAnsi="Aptos" w:cs="Calibri"/>
                <w:b/>
                <w:sz w:val="20"/>
                <w:szCs w:val="20"/>
              </w:rPr>
              <w:t> </w:t>
            </w:r>
          </w:p>
        </w:tc>
      </w:tr>
      <w:tr w:rsidR="00677577" w:rsidRPr="00B45F7C" w14:paraId="6BAA8F84" w14:textId="77777777">
        <w:trPr>
          <w:trHeight w:val="248"/>
        </w:trPr>
        <w:tc>
          <w:tcPr>
            <w:tcW w:w="467" w:type="pct"/>
            <w:tcBorders>
              <w:top w:val="single" w:sz="4" w:space="0" w:color="auto"/>
              <w:left w:val="single" w:sz="8" w:space="0" w:color="auto"/>
              <w:bottom w:val="single" w:sz="8" w:space="0" w:color="auto"/>
              <w:right w:val="nil"/>
            </w:tcBorders>
            <w:vAlign w:val="center"/>
            <w:hideMark/>
          </w:tcPr>
          <w:p w14:paraId="57F45888" w14:textId="77777777" w:rsidR="00677577" w:rsidRPr="00236247" w:rsidRDefault="00677577">
            <w:pPr>
              <w:keepNext/>
              <w:spacing w:after="0" w:line="240" w:lineRule="auto"/>
              <w:rPr>
                <w:rFonts w:ascii="Aptos" w:eastAsia="Aptos" w:hAnsi="Aptos" w:cs="Calibri"/>
                <w:sz w:val="20"/>
                <w:szCs w:val="20"/>
              </w:rPr>
            </w:pPr>
            <w:r w:rsidRPr="00236247">
              <w:rPr>
                <w:rFonts w:ascii="Aptos" w:eastAsia="Aptos" w:hAnsi="Aptos" w:cs="Calibri"/>
                <w:sz w:val="20"/>
                <w:szCs w:val="20"/>
                <w:lang w:val="en-US"/>
              </w:rPr>
              <w:t> </w:t>
            </w:r>
          </w:p>
        </w:tc>
        <w:tc>
          <w:tcPr>
            <w:tcW w:w="566" w:type="pct"/>
            <w:tcBorders>
              <w:top w:val="single" w:sz="4" w:space="0" w:color="auto"/>
              <w:left w:val="nil"/>
              <w:bottom w:val="single" w:sz="8" w:space="0" w:color="auto"/>
              <w:right w:val="nil"/>
            </w:tcBorders>
            <w:vAlign w:val="center"/>
            <w:hideMark/>
          </w:tcPr>
          <w:p w14:paraId="53F545FA"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(1)</w:t>
            </w:r>
          </w:p>
        </w:tc>
        <w:tc>
          <w:tcPr>
            <w:tcW w:w="567" w:type="pct"/>
            <w:tcBorders>
              <w:top w:val="single" w:sz="4" w:space="0" w:color="auto"/>
              <w:left w:val="nil"/>
              <w:bottom w:val="single" w:sz="8" w:space="0" w:color="auto"/>
              <w:right w:val="nil"/>
            </w:tcBorders>
            <w:vAlign w:val="center"/>
            <w:hideMark/>
          </w:tcPr>
          <w:p w14:paraId="038A693B"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(2)</w:t>
            </w:r>
          </w:p>
        </w:tc>
        <w:tc>
          <w:tcPr>
            <w:tcW w:w="566" w:type="pct"/>
            <w:tcBorders>
              <w:top w:val="single" w:sz="4" w:space="0" w:color="auto"/>
              <w:left w:val="nil"/>
              <w:bottom w:val="single" w:sz="8" w:space="0" w:color="auto"/>
              <w:right w:val="nil"/>
            </w:tcBorders>
            <w:vAlign w:val="center"/>
            <w:hideMark/>
          </w:tcPr>
          <w:p w14:paraId="6FF3B500"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(3)</w:t>
            </w:r>
          </w:p>
        </w:tc>
        <w:tc>
          <w:tcPr>
            <w:tcW w:w="567" w:type="pct"/>
            <w:tcBorders>
              <w:top w:val="single" w:sz="4" w:space="0" w:color="auto"/>
              <w:left w:val="nil"/>
              <w:bottom w:val="single" w:sz="8" w:space="0" w:color="auto"/>
              <w:right w:val="nil"/>
            </w:tcBorders>
            <w:vAlign w:val="center"/>
            <w:hideMark/>
          </w:tcPr>
          <w:p w14:paraId="7373C685"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(4)</w:t>
            </w:r>
          </w:p>
        </w:tc>
        <w:tc>
          <w:tcPr>
            <w:tcW w:w="566" w:type="pct"/>
            <w:tcBorders>
              <w:top w:val="single" w:sz="4" w:space="0" w:color="auto"/>
              <w:left w:val="nil"/>
              <w:bottom w:val="single" w:sz="8" w:space="0" w:color="auto"/>
              <w:right w:val="nil"/>
            </w:tcBorders>
            <w:vAlign w:val="center"/>
            <w:hideMark/>
          </w:tcPr>
          <w:p w14:paraId="3B93D088"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rPr>
              <w:t>(5)</w:t>
            </w:r>
          </w:p>
        </w:tc>
        <w:tc>
          <w:tcPr>
            <w:tcW w:w="567" w:type="pct"/>
            <w:tcBorders>
              <w:top w:val="single" w:sz="4" w:space="0" w:color="auto"/>
              <w:left w:val="nil"/>
              <w:bottom w:val="single" w:sz="8" w:space="0" w:color="auto"/>
              <w:right w:val="nil"/>
            </w:tcBorders>
            <w:vAlign w:val="center"/>
            <w:hideMark/>
          </w:tcPr>
          <w:p w14:paraId="30B3C0C2"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rPr>
              <w:t>(6)</w:t>
            </w:r>
          </w:p>
        </w:tc>
        <w:tc>
          <w:tcPr>
            <w:tcW w:w="566" w:type="pct"/>
            <w:tcBorders>
              <w:top w:val="single" w:sz="4" w:space="0" w:color="auto"/>
              <w:left w:val="nil"/>
              <w:bottom w:val="single" w:sz="8" w:space="0" w:color="auto"/>
              <w:right w:val="nil"/>
            </w:tcBorders>
            <w:vAlign w:val="center"/>
            <w:hideMark/>
          </w:tcPr>
          <w:p w14:paraId="7AF693A9"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rPr>
              <w:t>(7)</w:t>
            </w:r>
          </w:p>
        </w:tc>
        <w:tc>
          <w:tcPr>
            <w:tcW w:w="567" w:type="pct"/>
            <w:tcBorders>
              <w:top w:val="single" w:sz="4" w:space="0" w:color="auto"/>
              <w:left w:val="nil"/>
              <w:bottom w:val="single" w:sz="8" w:space="0" w:color="auto"/>
              <w:right w:val="single" w:sz="8" w:space="0" w:color="auto"/>
            </w:tcBorders>
            <w:vAlign w:val="center"/>
            <w:hideMark/>
          </w:tcPr>
          <w:p w14:paraId="608BBBA5"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rPr>
              <w:t>(8)</w:t>
            </w:r>
          </w:p>
        </w:tc>
      </w:tr>
      <w:tr w:rsidR="00677577" w:rsidRPr="00B45F7C" w14:paraId="5B015740" w14:textId="77777777">
        <w:trPr>
          <w:trHeight w:val="340"/>
        </w:trPr>
        <w:tc>
          <w:tcPr>
            <w:tcW w:w="467" w:type="pct"/>
            <w:tcBorders>
              <w:top w:val="nil"/>
              <w:left w:val="single" w:sz="8" w:space="0" w:color="auto"/>
              <w:bottom w:val="nil"/>
              <w:right w:val="nil"/>
            </w:tcBorders>
            <w:vAlign w:val="center"/>
            <w:hideMark/>
          </w:tcPr>
          <w:p w14:paraId="0950AE59" w14:textId="77777777" w:rsidR="00677577" w:rsidRPr="00236247" w:rsidRDefault="00677577">
            <w:pPr>
              <w:keepNext/>
              <w:spacing w:after="0" w:line="240" w:lineRule="auto"/>
              <w:rPr>
                <w:rFonts w:ascii="Aptos" w:eastAsia="Aptos" w:hAnsi="Aptos" w:cs="Calibri"/>
                <w:sz w:val="20"/>
                <w:szCs w:val="20"/>
              </w:rPr>
            </w:pPr>
            <w:r w:rsidRPr="00236247">
              <w:rPr>
                <w:rFonts w:ascii="Aptos" w:eastAsia="Aptos" w:hAnsi="Aptos" w:cs="Calibri"/>
                <w:sz w:val="20"/>
                <w:szCs w:val="20"/>
                <w:lang w:val="en-US"/>
              </w:rPr>
              <w:t>Jun-21</w:t>
            </w:r>
          </w:p>
        </w:tc>
        <w:tc>
          <w:tcPr>
            <w:tcW w:w="566" w:type="pct"/>
            <w:vAlign w:val="center"/>
            <w:hideMark/>
          </w:tcPr>
          <w:p w14:paraId="773D3551"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27.7</w:t>
            </w:r>
          </w:p>
        </w:tc>
        <w:tc>
          <w:tcPr>
            <w:tcW w:w="567" w:type="pct"/>
            <w:tcBorders>
              <w:top w:val="single" w:sz="8" w:space="0" w:color="auto"/>
              <w:left w:val="nil"/>
              <w:bottom w:val="nil"/>
              <w:right w:val="nil"/>
            </w:tcBorders>
            <w:vAlign w:val="center"/>
            <w:hideMark/>
          </w:tcPr>
          <w:p w14:paraId="02334BFB"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72.4</w:t>
            </w:r>
          </w:p>
        </w:tc>
        <w:tc>
          <w:tcPr>
            <w:tcW w:w="566" w:type="pct"/>
            <w:vAlign w:val="center"/>
            <w:hideMark/>
          </w:tcPr>
          <w:p w14:paraId="04F690DD"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544</w:t>
            </w:r>
          </w:p>
        </w:tc>
        <w:tc>
          <w:tcPr>
            <w:tcW w:w="567" w:type="pct"/>
            <w:vAlign w:val="center"/>
            <w:hideMark/>
          </w:tcPr>
          <w:p w14:paraId="02201601"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1,246</w:t>
            </w:r>
          </w:p>
        </w:tc>
        <w:tc>
          <w:tcPr>
            <w:tcW w:w="566" w:type="pct"/>
            <w:tcBorders>
              <w:top w:val="single" w:sz="8" w:space="0" w:color="auto"/>
              <w:left w:val="nil"/>
              <w:bottom w:val="nil"/>
              <w:right w:val="nil"/>
            </w:tcBorders>
            <w:vAlign w:val="center"/>
            <w:hideMark/>
          </w:tcPr>
          <w:p w14:paraId="23F8D2D0" w14:textId="77777777" w:rsidR="00677577" w:rsidRPr="00236247" w:rsidRDefault="00677577" w:rsidP="00D44BD6">
            <w:pPr>
              <w:keepNext/>
              <w:spacing w:after="0" w:line="240" w:lineRule="auto"/>
              <w:jc w:val="right"/>
              <w:rPr>
                <w:rFonts w:ascii="Aptos" w:eastAsia="Aptos" w:hAnsi="Aptos" w:cs="Calibri"/>
                <w:sz w:val="20"/>
                <w:szCs w:val="20"/>
                <w:lang w:val="en-US"/>
              </w:rPr>
            </w:pPr>
            <w:r w:rsidRPr="00236247">
              <w:rPr>
                <w:rFonts w:ascii="Aptos" w:eastAsia="Aptos" w:hAnsi="Aptos" w:cs="Calibri"/>
                <w:sz w:val="20"/>
                <w:szCs w:val="20"/>
                <w:lang w:val="en-US"/>
              </w:rPr>
              <w:t>1846.5</w:t>
            </w:r>
          </w:p>
        </w:tc>
        <w:tc>
          <w:tcPr>
            <w:tcW w:w="567" w:type="pct"/>
            <w:tcBorders>
              <w:top w:val="single" w:sz="8" w:space="0" w:color="auto"/>
              <w:left w:val="nil"/>
              <w:bottom w:val="nil"/>
              <w:right w:val="nil"/>
            </w:tcBorders>
            <w:vAlign w:val="center"/>
            <w:hideMark/>
          </w:tcPr>
          <w:p w14:paraId="1BBC3177" w14:textId="77777777" w:rsidR="00677577" w:rsidRPr="00236247" w:rsidRDefault="00677577" w:rsidP="00D44BD6">
            <w:pPr>
              <w:keepNext/>
              <w:spacing w:after="0" w:line="240" w:lineRule="auto"/>
              <w:jc w:val="right"/>
              <w:rPr>
                <w:rFonts w:ascii="Aptos" w:eastAsia="Aptos" w:hAnsi="Aptos" w:cs="Calibri"/>
                <w:sz w:val="20"/>
                <w:szCs w:val="20"/>
                <w:lang w:val="en-US"/>
              </w:rPr>
            </w:pPr>
            <w:r w:rsidRPr="00236247">
              <w:rPr>
                <w:rFonts w:ascii="Aptos" w:eastAsia="Aptos" w:hAnsi="Aptos" w:cs="Calibri"/>
                <w:sz w:val="20"/>
                <w:szCs w:val="20"/>
                <w:lang w:val="en-US"/>
              </w:rPr>
              <w:t>11277.2</w:t>
            </w:r>
          </w:p>
        </w:tc>
        <w:tc>
          <w:tcPr>
            <w:tcW w:w="566" w:type="pct"/>
            <w:vAlign w:val="center"/>
            <w:hideMark/>
          </w:tcPr>
          <w:p w14:paraId="1DC252C9"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rPr>
              <w:t>29.5%</w:t>
            </w:r>
          </w:p>
        </w:tc>
        <w:tc>
          <w:tcPr>
            <w:tcW w:w="567" w:type="pct"/>
            <w:tcBorders>
              <w:top w:val="nil"/>
              <w:left w:val="nil"/>
              <w:bottom w:val="nil"/>
              <w:right w:val="single" w:sz="8" w:space="0" w:color="auto"/>
            </w:tcBorders>
            <w:vAlign w:val="center"/>
            <w:hideMark/>
          </w:tcPr>
          <w:p w14:paraId="42EEB778"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rPr>
              <w:t>11.0%</w:t>
            </w:r>
          </w:p>
        </w:tc>
      </w:tr>
      <w:tr w:rsidR="00677577" w:rsidRPr="00B45F7C" w14:paraId="0050204C" w14:textId="77777777">
        <w:trPr>
          <w:trHeight w:val="340"/>
        </w:trPr>
        <w:tc>
          <w:tcPr>
            <w:tcW w:w="467" w:type="pct"/>
            <w:tcBorders>
              <w:top w:val="nil"/>
              <w:left w:val="single" w:sz="8" w:space="0" w:color="auto"/>
              <w:bottom w:val="nil"/>
              <w:right w:val="nil"/>
            </w:tcBorders>
            <w:vAlign w:val="center"/>
            <w:hideMark/>
          </w:tcPr>
          <w:p w14:paraId="5D7D183A" w14:textId="77777777" w:rsidR="00677577" w:rsidRPr="00236247" w:rsidRDefault="00677577">
            <w:pPr>
              <w:keepNext/>
              <w:spacing w:after="0" w:line="240" w:lineRule="auto"/>
              <w:rPr>
                <w:rFonts w:ascii="Aptos" w:eastAsia="Aptos" w:hAnsi="Aptos" w:cs="Calibri"/>
                <w:sz w:val="20"/>
                <w:szCs w:val="20"/>
              </w:rPr>
            </w:pPr>
            <w:r w:rsidRPr="00236247">
              <w:rPr>
                <w:rFonts w:ascii="Aptos" w:eastAsia="Aptos" w:hAnsi="Aptos" w:cs="Calibri"/>
                <w:sz w:val="20"/>
                <w:szCs w:val="20"/>
                <w:lang w:val="en-US"/>
              </w:rPr>
              <w:t>Sep-21</w:t>
            </w:r>
          </w:p>
        </w:tc>
        <w:tc>
          <w:tcPr>
            <w:tcW w:w="566" w:type="pct"/>
            <w:vAlign w:val="center"/>
            <w:hideMark/>
          </w:tcPr>
          <w:p w14:paraId="23174B14"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47.5</w:t>
            </w:r>
          </w:p>
        </w:tc>
        <w:tc>
          <w:tcPr>
            <w:tcW w:w="567" w:type="pct"/>
            <w:vAlign w:val="center"/>
            <w:hideMark/>
          </w:tcPr>
          <w:p w14:paraId="4FA80838"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133</w:t>
            </w:r>
          </w:p>
        </w:tc>
        <w:tc>
          <w:tcPr>
            <w:tcW w:w="566" w:type="pct"/>
            <w:vAlign w:val="center"/>
            <w:hideMark/>
          </w:tcPr>
          <w:p w14:paraId="7C5030E5"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426</w:t>
            </w:r>
          </w:p>
        </w:tc>
        <w:tc>
          <w:tcPr>
            <w:tcW w:w="567" w:type="pct"/>
            <w:vAlign w:val="center"/>
            <w:hideMark/>
          </w:tcPr>
          <w:p w14:paraId="2B70B841"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1,229</w:t>
            </w:r>
          </w:p>
        </w:tc>
        <w:tc>
          <w:tcPr>
            <w:tcW w:w="566" w:type="pct"/>
            <w:vAlign w:val="center"/>
            <w:hideMark/>
          </w:tcPr>
          <w:p w14:paraId="1E596138" w14:textId="77777777" w:rsidR="00677577" w:rsidRPr="00236247" w:rsidRDefault="00677577" w:rsidP="00D44BD6">
            <w:pPr>
              <w:keepNext/>
              <w:spacing w:after="0" w:line="240" w:lineRule="auto"/>
              <w:jc w:val="right"/>
              <w:rPr>
                <w:rFonts w:ascii="Aptos" w:eastAsia="Aptos" w:hAnsi="Aptos" w:cs="Calibri"/>
                <w:sz w:val="20"/>
                <w:szCs w:val="20"/>
                <w:lang w:val="en-US"/>
              </w:rPr>
            </w:pPr>
            <w:r w:rsidRPr="00236247">
              <w:rPr>
                <w:rFonts w:ascii="Aptos" w:eastAsia="Aptos" w:hAnsi="Aptos" w:cs="Calibri"/>
                <w:sz w:val="20"/>
                <w:szCs w:val="20"/>
                <w:lang w:val="en-US"/>
              </w:rPr>
              <w:t>1888.1</w:t>
            </w:r>
          </w:p>
        </w:tc>
        <w:tc>
          <w:tcPr>
            <w:tcW w:w="567" w:type="pct"/>
            <w:vAlign w:val="center"/>
            <w:hideMark/>
          </w:tcPr>
          <w:p w14:paraId="65F35F62" w14:textId="77777777" w:rsidR="00677577" w:rsidRPr="00236247" w:rsidRDefault="00677577" w:rsidP="00D44BD6">
            <w:pPr>
              <w:keepNext/>
              <w:spacing w:after="0" w:line="240" w:lineRule="auto"/>
              <w:jc w:val="right"/>
              <w:rPr>
                <w:rFonts w:ascii="Aptos" w:eastAsia="Aptos" w:hAnsi="Aptos" w:cs="Calibri"/>
                <w:sz w:val="20"/>
                <w:szCs w:val="20"/>
                <w:lang w:val="en-US"/>
              </w:rPr>
            </w:pPr>
            <w:r w:rsidRPr="00236247">
              <w:rPr>
                <w:rFonts w:ascii="Aptos" w:eastAsia="Aptos" w:hAnsi="Aptos" w:cs="Calibri"/>
                <w:sz w:val="20"/>
                <w:szCs w:val="20"/>
                <w:lang w:val="en-US"/>
              </w:rPr>
              <w:t>11007.1</w:t>
            </w:r>
          </w:p>
        </w:tc>
        <w:tc>
          <w:tcPr>
            <w:tcW w:w="566" w:type="pct"/>
            <w:vAlign w:val="center"/>
            <w:hideMark/>
          </w:tcPr>
          <w:p w14:paraId="449F1BBA"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rPr>
              <w:t>22.6%</w:t>
            </w:r>
          </w:p>
        </w:tc>
        <w:tc>
          <w:tcPr>
            <w:tcW w:w="567" w:type="pct"/>
            <w:tcBorders>
              <w:top w:val="nil"/>
              <w:left w:val="nil"/>
              <w:bottom w:val="nil"/>
              <w:right w:val="single" w:sz="8" w:space="0" w:color="auto"/>
            </w:tcBorders>
            <w:vAlign w:val="center"/>
            <w:hideMark/>
          </w:tcPr>
          <w:p w14:paraId="26F78258"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rPr>
              <w:t>11.2%</w:t>
            </w:r>
          </w:p>
        </w:tc>
      </w:tr>
      <w:tr w:rsidR="00677577" w:rsidRPr="00B45F7C" w14:paraId="20837C11" w14:textId="77777777">
        <w:trPr>
          <w:trHeight w:val="340"/>
        </w:trPr>
        <w:tc>
          <w:tcPr>
            <w:tcW w:w="467" w:type="pct"/>
            <w:tcBorders>
              <w:top w:val="nil"/>
              <w:left w:val="single" w:sz="8" w:space="0" w:color="auto"/>
              <w:bottom w:val="nil"/>
              <w:right w:val="nil"/>
            </w:tcBorders>
            <w:vAlign w:val="center"/>
            <w:hideMark/>
          </w:tcPr>
          <w:p w14:paraId="1CF3AB2D" w14:textId="77777777" w:rsidR="00677577" w:rsidRPr="00236247" w:rsidRDefault="00677577">
            <w:pPr>
              <w:keepNext/>
              <w:spacing w:after="0" w:line="240" w:lineRule="auto"/>
              <w:rPr>
                <w:rFonts w:ascii="Aptos" w:eastAsia="Aptos" w:hAnsi="Aptos" w:cs="Calibri"/>
                <w:sz w:val="20"/>
                <w:szCs w:val="20"/>
              </w:rPr>
            </w:pPr>
            <w:r w:rsidRPr="00236247">
              <w:rPr>
                <w:rFonts w:ascii="Aptos" w:eastAsia="Aptos" w:hAnsi="Aptos" w:cs="Calibri"/>
                <w:sz w:val="20"/>
                <w:szCs w:val="20"/>
                <w:lang w:val="en-US"/>
              </w:rPr>
              <w:t>Dec-21</w:t>
            </w:r>
          </w:p>
        </w:tc>
        <w:tc>
          <w:tcPr>
            <w:tcW w:w="566" w:type="pct"/>
            <w:vAlign w:val="center"/>
            <w:hideMark/>
          </w:tcPr>
          <w:p w14:paraId="4AFA8D3A"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44.7</w:t>
            </w:r>
          </w:p>
        </w:tc>
        <w:tc>
          <w:tcPr>
            <w:tcW w:w="567" w:type="pct"/>
            <w:vAlign w:val="center"/>
            <w:hideMark/>
          </w:tcPr>
          <w:p w14:paraId="0908D4EC"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105.4</w:t>
            </w:r>
          </w:p>
        </w:tc>
        <w:tc>
          <w:tcPr>
            <w:tcW w:w="566" w:type="pct"/>
            <w:vAlign w:val="center"/>
            <w:hideMark/>
          </w:tcPr>
          <w:p w14:paraId="32DD15F6"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411</w:t>
            </w:r>
          </w:p>
        </w:tc>
        <w:tc>
          <w:tcPr>
            <w:tcW w:w="567" w:type="pct"/>
            <w:vAlign w:val="center"/>
            <w:hideMark/>
          </w:tcPr>
          <w:p w14:paraId="66A048FE"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1,249</w:t>
            </w:r>
          </w:p>
        </w:tc>
        <w:tc>
          <w:tcPr>
            <w:tcW w:w="566" w:type="pct"/>
            <w:vAlign w:val="center"/>
            <w:hideMark/>
          </w:tcPr>
          <w:p w14:paraId="2E1D352E" w14:textId="77777777" w:rsidR="00677577" w:rsidRPr="00236247" w:rsidRDefault="00677577" w:rsidP="00D44BD6">
            <w:pPr>
              <w:keepNext/>
              <w:spacing w:after="0" w:line="240" w:lineRule="auto"/>
              <w:jc w:val="right"/>
              <w:rPr>
                <w:rFonts w:ascii="Aptos" w:eastAsia="Aptos" w:hAnsi="Aptos" w:cs="Calibri"/>
                <w:sz w:val="20"/>
                <w:szCs w:val="20"/>
                <w:lang w:val="en-US"/>
              </w:rPr>
            </w:pPr>
            <w:r w:rsidRPr="00236247">
              <w:rPr>
                <w:rFonts w:ascii="Aptos" w:eastAsia="Aptos" w:hAnsi="Aptos" w:cs="Calibri"/>
                <w:sz w:val="20"/>
                <w:szCs w:val="20"/>
                <w:lang w:val="en-US"/>
              </w:rPr>
              <w:t>1951.9</w:t>
            </w:r>
          </w:p>
        </w:tc>
        <w:tc>
          <w:tcPr>
            <w:tcW w:w="567" w:type="pct"/>
            <w:vAlign w:val="center"/>
            <w:hideMark/>
          </w:tcPr>
          <w:p w14:paraId="318DF7AF" w14:textId="77777777" w:rsidR="00677577" w:rsidRPr="00236247" w:rsidRDefault="00677577" w:rsidP="00D44BD6">
            <w:pPr>
              <w:keepNext/>
              <w:spacing w:after="0" w:line="240" w:lineRule="auto"/>
              <w:jc w:val="right"/>
              <w:rPr>
                <w:rFonts w:ascii="Aptos" w:eastAsia="Aptos" w:hAnsi="Aptos" w:cs="Calibri"/>
                <w:sz w:val="20"/>
                <w:szCs w:val="20"/>
                <w:lang w:val="en-US"/>
              </w:rPr>
            </w:pPr>
            <w:r w:rsidRPr="00236247">
              <w:rPr>
                <w:rFonts w:ascii="Aptos" w:eastAsia="Aptos" w:hAnsi="Aptos" w:cs="Calibri"/>
                <w:sz w:val="20"/>
                <w:szCs w:val="20"/>
                <w:lang w:val="en-US"/>
              </w:rPr>
              <w:t>11252.3</w:t>
            </w:r>
          </w:p>
        </w:tc>
        <w:tc>
          <w:tcPr>
            <w:tcW w:w="566" w:type="pct"/>
            <w:vAlign w:val="center"/>
            <w:hideMark/>
          </w:tcPr>
          <w:p w14:paraId="2E63C37A"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rPr>
              <w:t>21.1%</w:t>
            </w:r>
          </w:p>
        </w:tc>
        <w:tc>
          <w:tcPr>
            <w:tcW w:w="567" w:type="pct"/>
            <w:tcBorders>
              <w:top w:val="nil"/>
              <w:left w:val="nil"/>
              <w:bottom w:val="nil"/>
              <w:right w:val="single" w:sz="8" w:space="0" w:color="auto"/>
            </w:tcBorders>
            <w:vAlign w:val="center"/>
            <w:hideMark/>
          </w:tcPr>
          <w:p w14:paraId="444EDD10"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rPr>
              <w:t>11.1%</w:t>
            </w:r>
          </w:p>
        </w:tc>
      </w:tr>
      <w:tr w:rsidR="00677577" w:rsidRPr="00B45F7C" w14:paraId="22D2203A" w14:textId="77777777">
        <w:trPr>
          <w:trHeight w:val="340"/>
        </w:trPr>
        <w:tc>
          <w:tcPr>
            <w:tcW w:w="467" w:type="pct"/>
            <w:tcBorders>
              <w:top w:val="nil"/>
              <w:left w:val="single" w:sz="8" w:space="0" w:color="auto"/>
              <w:bottom w:val="nil"/>
              <w:right w:val="nil"/>
            </w:tcBorders>
            <w:vAlign w:val="center"/>
            <w:hideMark/>
          </w:tcPr>
          <w:p w14:paraId="6F3B5610" w14:textId="77777777" w:rsidR="00677577" w:rsidRPr="00236247" w:rsidRDefault="00677577">
            <w:pPr>
              <w:keepNext/>
              <w:spacing w:after="0" w:line="240" w:lineRule="auto"/>
              <w:rPr>
                <w:rFonts w:ascii="Aptos" w:eastAsia="Aptos" w:hAnsi="Aptos" w:cs="Calibri"/>
                <w:sz w:val="20"/>
                <w:szCs w:val="20"/>
              </w:rPr>
            </w:pPr>
            <w:r w:rsidRPr="00236247">
              <w:rPr>
                <w:rFonts w:ascii="Aptos" w:eastAsia="Aptos" w:hAnsi="Aptos" w:cs="Calibri"/>
                <w:sz w:val="20"/>
                <w:szCs w:val="20"/>
                <w:lang w:val="en-US"/>
              </w:rPr>
              <w:t>Mar-22</w:t>
            </w:r>
          </w:p>
        </w:tc>
        <w:tc>
          <w:tcPr>
            <w:tcW w:w="566" w:type="pct"/>
            <w:vAlign w:val="center"/>
            <w:hideMark/>
          </w:tcPr>
          <w:p w14:paraId="5261A55D"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120.3</w:t>
            </w:r>
          </w:p>
        </w:tc>
        <w:tc>
          <w:tcPr>
            <w:tcW w:w="567" w:type="pct"/>
            <w:vAlign w:val="center"/>
            <w:hideMark/>
          </w:tcPr>
          <w:p w14:paraId="0711BCE0"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126.7</w:t>
            </w:r>
          </w:p>
        </w:tc>
        <w:tc>
          <w:tcPr>
            <w:tcW w:w="566" w:type="pct"/>
            <w:vAlign w:val="center"/>
            <w:hideMark/>
          </w:tcPr>
          <w:p w14:paraId="4E8799EB"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438</w:t>
            </w:r>
          </w:p>
        </w:tc>
        <w:tc>
          <w:tcPr>
            <w:tcW w:w="567" w:type="pct"/>
            <w:vAlign w:val="center"/>
            <w:hideMark/>
          </w:tcPr>
          <w:p w14:paraId="43289D38"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1,227</w:t>
            </w:r>
          </w:p>
        </w:tc>
        <w:tc>
          <w:tcPr>
            <w:tcW w:w="566" w:type="pct"/>
            <w:vAlign w:val="center"/>
            <w:hideMark/>
          </w:tcPr>
          <w:p w14:paraId="082446D0" w14:textId="77777777" w:rsidR="00677577" w:rsidRPr="00236247" w:rsidRDefault="00677577" w:rsidP="00D44BD6">
            <w:pPr>
              <w:keepNext/>
              <w:spacing w:after="0" w:line="240" w:lineRule="auto"/>
              <w:jc w:val="right"/>
              <w:rPr>
                <w:rFonts w:ascii="Aptos" w:eastAsia="Aptos" w:hAnsi="Aptos" w:cs="Calibri"/>
                <w:sz w:val="20"/>
                <w:szCs w:val="20"/>
                <w:lang w:val="en-US"/>
              </w:rPr>
            </w:pPr>
            <w:r w:rsidRPr="00236247">
              <w:rPr>
                <w:rFonts w:ascii="Aptos" w:eastAsia="Aptos" w:hAnsi="Aptos" w:cs="Calibri"/>
                <w:sz w:val="20"/>
                <w:szCs w:val="20"/>
                <w:lang w:val="en-US"/>
              </w:rPr>
              <w:t>1985.1</w:t>
            </w:r>
          </w:p>
        </w:tc>
        <w:tc>
          <w:tcPr>
            <w:tcW w:w="567" w:type="pct"/>
            <w:vAlign w:val="center"/>
            <w:hideMark/>
          </w:tcPr>
          <w:p w14:paraId="72BD4864" w14:textId="77777777" w:rsidR="00677577" w:rsidRPr="00236247" w:rsidRDefault="00677577" w:rsidP="00D44BD6">
            <w:pPr>
              <w:keepNext/>
              <w:spacing w:after="0" w:line="240" w:lineRule="auto"/>
              <w:jc w:val="right"/>
              <w:rPr>
                <w:rFonts w:ascii="Aptos" w:eastAsia="Aptos" w:hAnsi="Aptos" w:cs="Calibri"/>
                <w:sz w:val="20"/>
                <w:szCs w:val="20"/>
                <w:lang w:val="en-US"/>
              </w:rPr>
            </w:pPr>
            <w:r w:rsidRPr="00236247">
              <w:rPr>
                <w:rFonts w:ascii="Aptos" w:eastAsia="Aptos" w:hAnsi="Aptos" w:cs="Calibri"/>
                <w:sz w:val="20"/>
                <w:szCs w:val="20"/>
                <w:lang w:val="en-US"/>
              </w:rPr>
              <w:t>11453.3</w:t>
            </w:r>
          </w:p>
        </w:tc>
        <w:tc>
          <w:tcPr>
            <w:tcW w:w="566" w:type="pct"/>
            <w:vAlign w:val="center"/>
            <w:hideMark/>
          </w:tcPr>
          <w:p w14:paraId="628F1252"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rPr>
              <w:t>22.1%</w:t>
            </w:r>
          </w:p>
        </w:tc>
        <w:tc>
          <w:tcPr>
            <w:tcW w:w="567" w:type="pct"/>
            <w:tcBorders>
              <w:top w:val="nil"/>
              <w:left w:val="nil"/>
              <w:bottom w:val="nil"/>
              <w:right w:val="single" w:sz="8" w:space="0" w:color="auto"/>
            </w:tcBorders>
            <w:vAlign w:val="center"/>
            <w:hideMark/>
          </w:tcPr>
          <w:p w14:paraId="25BEC682"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rPr>
              <w:t>10.7%</w:t>
            </w:r>
          </w:p>
        </w:tc>
      </w:tr>
      <w:tr w:rsidR="00677577" w:rsidRPr="00B45F7C" w14:paraId="7A72041B" w14:textId="77777777">
        <w:trPr>
          <w:trHeight w:val="340"/>
        </w:trPr>
        <w:tc>
          <w:tcPr>
            <w:tcW w:w="467" w:type="pct"/>
            <w:tcBorders>
              <w:top w:val="nil"/>
              <w:left w:val="single" w:sz="8" w:space="0" w:color="auto"/>
              <w:bottom w:val="nil"/>
              <w:right w:val="nil"/>
            </w:tcBorders>
            <w:vAlign w:val="center"/>
            <w:hideMark/>
          </w:tcPr>
          <w:p w14:paraId="722B10FB" w14:textId="77777777" w:rsidR="00677577" w:rsidRPr="00236247" w:rsidRDefault="00677577">
            <w:pPr>
              <w:keepNext/>
              <w:spacing w:after="0" w:line="240" w:lineRule="auto"/>
              <w:rPr>
                <w:rFonts w:ascii="Aptos" w:eastAsia="Aptos" w:hAnsi="Aptos" w:cs="Calibri"/>
                <w:sz w:val="20"/>
                <w:szCs w:val="20"/>
              </w:rPr>
            </w:pPr>
            <w:r w:rsidRPr="00236247">
              <w:rPr>
                <w:rFonts w:ascii="Aptos" w:eastAsia="Aptos" w:hAnsi="Aptos" w:cs="Calibri"/>
                <w:sz w:val="20"/>
                <w:szCs w:val="20"/>
                <w:lang w:val="en-US"/>
              </w:rPr>
              <w:t>Jun-22</w:t>
            </w:r>
          </w:p>
        </w:tc>
        <w:tc>
          <w:tcPr>
            <w:tcW w:w="566" w:type="pct"/>
            <w:vAlign w:val="center"/>
            <w:hideMark/>
          </w:tcPr>
          <w:p w14:paraId="79376B0F"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21.7</w:t>
            </w:r>
          </w:p>
        </w:tc>
        <w:tc>
          <w:tcPr>
            <w:tcW w:w="567" w:type="pct"/>
            <w:vAlign w:val="center"/>
            <w:hideMark/>
          </w:tcPr>
          <w:p w14:paraId="5E1324A5"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133.1</w:t>
            </w:r>
          </w:p>
        </w:tc>
        <w:tc>
          <w:tcPr>
            <w:tcW w:w="566" w:type="pct"/>
            <w:vAlign w:val="center"/>
            <w:hideMark/>
          </w:tcPr>
          <w:p w14:paraId="1F71B412"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466</w:t>
            </w:r>
          </w:p>
        </w:tc>
        <w:tc>
          <w:tcPr>
            <w:tcW w:w="567" w:type="pct"/>
            <w:vAlign w:val="center"/>
            <w:hideMark/>
          </w:tcPr>
          <w:p w14:paraId="6815E01E"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1,286</w:t>
            </w:r>
          </w:p>
        </w:tc>
        <w:tc>
          <w:tcPr>
            <w:tcW w:w="566" w:type="pct"/>
            <w:vAlign w:val="center"/>
            <w:hideMark/>
          </w:tcPr>
          <w:p w14:paraId="2A43C6FA" w14:textId="77777777" w:rsidR="00677577" w:rsidRPr="00236247" w:rsidRDefault="00677577" w:rsidP="00D44BD6">
            <w:pPr>
              <w:keepNext/>
              <w:spacing w:after="0" w:line="240" w:lineRule="auto"/>
              <w:jc w:val="right"/>
              <w:rPr>
                <w:rFonts w:ascii="Aptos" w:eastAsia="Aptos" w:hAnsi="Aptos" w:cs="Calibri"/>
                <w:sz w:val="20"/>
                <w:szCs w:val="20"/>
                <w:lang w:val="en-US"/>
              </w:rPr>
            </w:pPr>
            <w:r w:rsidRPr="00236247">
              <w:rPr>
                <w:rFonts w:ascii="Aptos" w:eastAsia="Aptos" w:hAnsi="Aptos" w:cs="Calibri"/>
                <w:sz w:val="20"/>
                <w:szCs w:val="20"/>
                <w:lang w:val="en-US"/>
              </w:rPr>
              <w:t>1967.0</w:t>
            </w:r>
          </w:p>
        </w:tc>
        <w:tc>
          <w:tcPr>
            <w:tcW w:w="567" w:type="pct"/>
            <w:vAlign w:val="center"/>
            <w:hideMark/>
          </w:tcPr>
          <w:p w14:paraId="053523C4" w14:textId="77777777" w:rsidR="00677577" w:rsidRPr="00236247" w:rsidRDefault="00677577" w:rsidP="00D44BD6">
            <w:pPr>
              <w:keepNext/>
              <w:spacing w:after="0" w:line="240" w:lineRule="auto"/>
              <w:jc w:val="right"/>
              <w:rPr>
                <w:rFonts w:ascii="Aptos" w:eastAsia="Aptos" w:hAnsi="Aptos" w:cs="Calibri"/>
                <w:sz w:val="20"/>
                <w:szCs w:val="20"/>
                <w:lang w:val="en-US"/>
              </w:rPr>
            </w:pPr>
            <w:r w:rsidRPr="00236247">
              <w:rPr>
                <w:rFonts w:ascii="Aptos" w:eastAsia="Aptos" w:hAnsi="Aptos" w:cs="Calibri"/>
                <w:sz w:val="20"/>
                <w:szCs w:val="20"/>
                <w:lang w:val="en-US"/>
              </w:rPr>
              <w:t>11602.0</w:t>
            </w:r>
          </w:p>
        </w:tc>
        <w:tc>
          <w:tcPr>
            <w:tcW w:w="566" w:type="pct"/>
            <w:vAlign w:val="center"/>
            <w:hideMark/>
          </w:tcPr>
          <w:p w14:paraId="62A9B97E"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rPr>
              <w:t>23.7%</w:t>
            </w:r>
          </w:p>
        </w:tc>
        <w:tc>
          <w:tcPr>
            <w:tcW w:w="567" w:type="pct"/>
            <w:tcBorders>
              <w:top w:val="nil"/>
              <w:left w:val="nil"/>
              <w:bottom w:val="nil"/>
              <w:right w:val="single" w:sz="8" w:space="0" w:color="auto"/>
            </w:tcBorders>
            <w:vAlign w:val="center"/>
            <w:hideMark/>
          </w:tcPr>
          <w:p w14:paraId="243E05D2"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rPr>
              <w:t>11.1%</w:t>
            </w:r>
          </w:p>
        </w:tc>
      </w:tr>
      <w:tr w:rsidR="00677577" w:rsidRPr="00B45F7C" w14:paraId="143C8553" w14:textId="77777777">
        <w:trPr>
          <w:trHeight w:val="340"/>
        </w:trPr>
        <w:tc>
          <w:tcPr>
            <w:tcW w:w="467" w:type="pct"/>
            <w:tcBorders>
              <w:top w:val="nil"/>
              <w:left w:val="single" w:sz="8" w:space="0" w:color="auto"/>
              <w:bottom w:val="nil"/>
              <w:right w:val="nil"/>
            </w:tcBorders>
            <w:vAlign w:val="center"/>
            <w:hideMark/>
          </w:tcPr>
          <w:p w14:paraId="03147034" w14:textId="77777777" w:rsidR="00677577" w:rsidRPr="00236247" w:rsidRDefault="00677577">
            <w:pPr>
              <w:keepNext/>
              <w:spacing w:after="0" w:line="240" w:lineRule="auto"/>
              <w:rPr>
                <w:rFonts w:ascii="Aptos" w:eastAsia="Aptos" w:hAnsi="Aptos" w:cs="Calibri"/>
                <w:sz w:val="20"/>
                <w:szCs w:val="20"/>
              </w:rPr>
            </w:pPr>
            <w:r w:rsidRPr="00236247">
              <w:rPr>
                <w:rFonts w:ascii="Aptos" w:eastAsia="Aptos" w:hAnsi="Aptos" w:cs="Calibri"/>
                <w:sz w:val="20"/>
                <w:szCs w:val="20"/>
                <w:lang w:val="en-US"/>
              </w:rPr>
              <w:t>Sep-22</w:t>
            </w:r>
          </w:p>
        </w:tc>
        <w:tc>
          <w:tcPr>
            <w:tcW w:w="566" w:type="pct"/>
            <w:vAlign w:val="center"/>
            <w:hideMark/>
          </w:tcPr>
          <w:p w14:paraId="4221400D"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103.2</w:t>
            </w:r>
          </w:p>
        </w:tc>
        <w:tc>
          <w:tcPr>
            <w:tcW w:w="567" w:type="pct"/>
            <w:vAlign w:val="center"/>
            <w:hideMark/>
          </w:tcPr>
          <w:p w14:paraId="10A2FF4E"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110.5</w:t>
            </w:r>
          </w:p>
        </w:tc>
        <w:tc>
          <w:tcPr>
            <w:tcW w:w="566" w:type="pct"/>
            <w:vAlign w:val="center"/>
            <w:hideMark/>
          </w:tcPr>
          <w:p w14:paraId="58290FE0"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481</w:t>
            </w:r>
          </w:p>
        </w:tc>
        <w:tc>
          <w:tcPr>
            <w:tcW w:w="567" w:type="pct"/>
            <w:vAlign w:val="center"/>
            <w:hideMark/>
          </w:tcPr>
          <w:p w14:paraId="3A52FB96"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1,251</w:t>
            </w:r>
          </w:p>
        </w:tc>
        <w:tc>
          <w:tcPr>
            <w:tcW w:w="566" w:type="pct"/>
            <w:vAlign w:val="center"/>
            <w:hideMark/>
          </w:tcPr>
          <w:p w14:paraId="1C8A82F6" w14:textId="77777777" w:rsidR="00677577" w:rsidRPr="00236247" w:rsidRDefault="00677577" w:rsidP="00D44BD6">
            <w:pPr>
              <w:keepNext/>
              <w:spacing w:after="0" w:line="240" w:lineRule="auto"/>
              <w:jc w:val="right"/>
              <w:rPr>
                <w:rFonts w:ascii="Aptos" w:eastAsia="Aptos" w:hAnsi="Aptos" w:cs="Calibri"/>
                <w:sz w:val="20"/>
                <w:szCs w:val="20"/>
                <w:lang w:val="en-US"/>
              </w:rPr>
            </w:pPr>
            <w:r w:rsidRPr="00236247">
              <w:rPr>
                <w:rFonts w:ascii="Aptos" w:eastAsia="Aptos" w:hAnsi="Aptos" w:cs="Calibri"/>
                <w:sz w:val="20"/>
                <w:szCs w:val="20"/>
                <w:lang w:val="en-US"/>
              </w:rPr>
              <w:t>1918.3</w:t>
            </w:r>
          </w:p>
        </w:tc>
        <w:tc>
          <w:tcPr>
            <w:tcW w:w="567" w:type="pct"/>
            <w:vAlign w:val="center"/>
            <w:hideMark/>
          </w:tcPr>
          <w:p w14:paraId="08CEC633" w14:textId="77777777" w:rsidR="00677577" w:rsidRPr="00236247" w:rsidRDefault="00677577" w:rsidP="00D44BD6">
            <w:pPr>
              <w:keepNext/>
              <w:spacing w:after="0" w:line="240" w:lineRule="auto"/>
              <w:jc w:val="right"/>
              <w:rPr>
                <w:rFonts w:ascii="Aptos" w:eastAsia="Aptos" w:hAnsi="Aptos" w:cs="Calibri"/>
                <w:sz w:val="20"/>
                <w:szCs w:val="20"/>
                <w:lang w:val="en-US"/>
              </w:rPr>
            </w:pPr>
            <w:r w:rsidRPr="00236247">
              <w:rPr>
                <w:rFonts w:ascii="Aptos" w:eastAsia="Aptos" w:hAnsi="Aptos" w:cs="Calibri"/>
                <w:sz w:val="20"/>
                <w:szCs w:val="20"/>
                <w:lang w:val="en-US"/>
              </w:rPr>
              <w:t>11676.4</w:t>
            </w:r>
          </w:p>
        </w:tc>
        <w:tc>
          <w:tcPr>
            <w:tcW w:w="566" w:type="pct"/>
            <w:vAlign w:val="center"/>
            <w:hideMark/>
          </w:tcPr>
          <w:p w14:paraId="7F965A28"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rPr>
              <w:t>25.1%</w:t>
            </w:r>
          </w:p>
        </w:tc>
        <w:tc>
          <w:tcPr>
            <w:tcW w:w="567" w:type="pct"/>
            <w:tcBorders>
              <w:top w:val="nil"/>
              <w:left w:val="nil"/>
              <w:bottom w:val="nil"/>
              <w:right w:val="single" w:sz="8" w:space="0" w:color="auto"/>
            </w:tcBorders>
            <w:vAlign w:val="center"/>
            <w:hideMark/>
          </w:tcPr>
          <w:p w14:paraId="460DA33F"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rPr>
              <w:t>10.7%</w:t>
            </w:r>
          </w:p>
        </w:tc>
      </w:tr>
      <w:tr w:rsidR="00677577" w:rsidRPr="00B45F7C" w14:paraId="2662C577" w14:textId="77777777">
        <w:trPr>
          <w:trHeight w:val="340"/>
        </w:trPr>
        <w:tc>
          <w:tcPr>
            <w:tcW w:w="467" w:type="pct"/>
            <w:tcBorders>
              <w:top w:val="nil"/>
              <w:left w:val="single" w:sz="8" w:space="0" w:color="auto"/>
              <w:bottom w:val="nil"/>
              <w:right w:val="nil"/>
            </w:tcBorders>
            <w:vAlign w:val="center"/>
            <w:hideMark/>
          </w:tcPr>
          <w:p w14:paraId="70D38808" w14:textId="77777777" w:rsidR="00677577" w:rsidRPr="00236247" w:rsidRDefault="00677577">
            <w:pPr>
              <w:keepNext/>
              <w:spacing w:after="0" w:line="240" w:lineRule="auto"/>
              <w:rPr>
                <w:rFonts w:ascii="Aptos" w:eastAsia="Aptos" w:hAnsi="Aptos" w:cs="Calibri"/>
                <w:sz w:val="20"/>
                <w:szCs w:val="20"/>
              </w:rPr>
            </w:pPr>
            <w:r w:rsidRPr="00236247">
              <w:rPr>
                <w:rFonts w:ascii="Aptos" w:eastAsia="Aptos" w:hAnsi="Aptos" w:cs="Calibri"/>
                <w:sz w:val="20"/>
                <w:szCs w:val="20"/>
                <w:lang w:val="en-US"/>
              </w:rPr>
              <w:t>Dec-22</w:t>
            </w:r>
          </w:p>
        </w:tc>
        <w:tc>
          <w:tcPr>
            <w:tcW w:w="566" w:type="pct"/>
            <w:vAlign w:val="center"/>
            <w:hideMark/>
          </w:tcPr>
          <w:p w14:paraId="7E1694A9"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70</w:t>
            </w:r>
          </w:p>
        </w:tc>
        <w:tc>
          <w:tcPr>
            <w:tcW w:w="567" w:type="pct"/>
            <w:vAlign w:val="center"/>
            <w:hideMark/>
          </w:tcPr>
          <w:p w14:paraId="43521E0A"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152.1</w:t>
            </w:r>
          </w:p>
        </w:tc>
        <w:tc>
          <w:tcPr>
            <w:tcW w:w="566" w:type="pct"/>
            <w:vAlign w:val="center"/>
            <w:hideMark/>
          </w:tcPr>
          <w:p w14:paraId="40574F35"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507</w:t>
            </w:r>
          </w:p>
        </w:tc>
        <w:tc>
          <w:tcPr>
            <w:tcW w:w="567" w:type="pct"/>
            <w:vAlign w:val="center"/>
            <w:hideMark/>
          </w:tcPr>
          <w:p w14:paraId="70867B78"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1,292</w:t>
            </w:r>
          </w:p>
        </w:tc>
        <w:tc>
          <w:tcPr>
            <w:tcW w:w="566" w:type="pct"/>
            <w:vAlign w:val="center"/>
            <w:hideMark/>
          </w:tcPr>
          <w:p w14:paraId="723B94EA" w14:textId="77777777" w:rsidR="00677577" w:rsidRPr="00236247" w:rsidRDefault="00677577" w:rsidP="00D44BD6">
            <w:pPr>
              <w:keepNext/>
              <w:spacing w:after="0" w:line="240" w:lineRule="auto"/>
              <w:jc w:val="right"/>
              <w:rPr>
                <w:rFonts w:ascii="Aptos" w:eastAsia="Aptos" w:hAnsi="Aptos" w:cs="Calibri"/>
                <w:sz w:val="20"/>
                <w:szCs w:val="20"/>
                <w:lang w:val="en-US"/>
              </w:rPr>
            </w:pPr>
            <w:r w:rsidRPr="00236247">
              <w:rPr>
                <w:rFonts w:ascii="Aptos" w:eastAsia="Aptos" w:hAnsi="Aptos" w:cs="Calibri"/>
                <w:sz w:val="20"/>
                <w:szCs w:val="20"/>
                <w:lang w:val="en-US"/>
              </w:rPr>
              <w:t>1975.6</w:t>
            </w:r>
          </w:p>
        </w:tc>
        <w:tc>
          <w:tcPr>
            <w:tcW w:w="567" w:type="pct"/>
            <w:vAlign w:val="center"/>
            <w:hideMark/>
          </w:tcPr>
          <w:p w14:paraId="72CCCB9E" w14:textId="77777777" w:rsidR="00677577" w:rsidRPr="00236247" w:rsidRDefault="00677577" w:rsidP="00D44BD6">
            <w:pPr>
              <w:keepNext/>
              <w:spacing w:after="0" w:line="240" w:lineRule="auto"/>
              <w:jc w:val="right"/>
              <w:rPr>
                <w:rFonts w:ascii="Aptos" w:eastAsia="Aptos" w:hAnsi="Aptos" w:cs="Calibri"/>
                <w:sz w:val="20"/>
                <w:szCs w:val="20"/>
                <w:lang w:val="en-US"/>
              </w:rPr>
            </w:pPr>
            <w:r w:rsidRPr="00236247">
              <w:rPr>
                <w:rFonts w:ascii="Aptos" w:eastAsia="Aptos" w:hAnsi="Aptos" w:cs="Calibri"/>
                <w:sz w:val="20"/>
                <w:szCs w:val="20"/>
                <w:lang w:val="en-US"/>
              </w:rPr>
              <w:t>11862.9</w:t>
            </w:r>
          </w:p>
        </w:tc>
        <w:tc>
          <w:tcPr>
            <w:tcW w:w="566" w:type="pct"/>
            <w:vAlign w:val="center"/>
            <w:hideMark/>
          </w:tcPr>
          <w:p w14:paraId="35AC5AEB"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rPr>
              <w:t>25.7%</w:t>
            </w:r>
          </w:p>
        </w:tc>
        <w:tc>
          <w:tcPr>
            <w:tcW w:w="567" w:type="pct"/>
            <w:tcBorders>
              <w:top w:val="nil"/>
              <w:left w:val="nil"/>
              <w:bottom w:val="nil"/>
              <w:right w:val="single" w:sz="8" w:space="0" w:color="auto"/>
            </w:tcBorders>
            <w:vAlign w:val="center"/>
            <w:hideMark/>
          </w:tcPr>
          <w:p w14:paraId="3028C037"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rPr>
              <w:t>10.9%</w:t>
            </w:r>
          </w:p>
        </w:tc>
      </w:tr>
      <w:tr w:rsidR="00677577" w:rsidRPr="00B45F7C" w14:paraId="3336CED6" w14:textId="77777777">
        <w:trPr>
          <w:trHeight w:val="340"/>
        </w:trPr>
        <w:tc>
          <w:tcPr>
            <w:tcW w:w="467" w:type="pct"/>
            <w:tcBorders>
              <w:top w:val="nil"/>
              <w:left w:val="single" w:sz="8" w:space="0" w:color="auto"/>
              <w:bottom w:val="nil"/>
              <w:right w:val="nil"/>
            </w:tcBorders>
            <w:vAlign w:val="center"/>
            <w:hideMark/>
          </w:tcPr>
          <w:p w14:paraId="363E24A6" w14:textId="77777777" w:rsidR="00677577" w:rsidRPr="00236247" w:rsidRDefault="00677577">
            <w:pPr>
              <w:keepNext/>
              <w:spacing w:after="0" w:line="240" w:lineRule="auto"/>
              <w:rPr>
                <w:rFonts w:ascii="Aptos" w:eastAsia="Aptos" w:hAnsi="Aptos" w:cs="Calibri"/>
                <w:sz w:val="20"/>
                <w:szCs w:val="20"/>
              </w:rPr>
            </w:pPr>
            <w:r w:rsidRPr="00236247">
              <w:rPr>
                <w:rFonts w:ascii="Aptos" w:eastAsia="Aptos" w:hAnsi="Aptos" w:cs="Calibri"/>
                <w:sz w:val="20"/>
                <w:szCs w:val="20"/>
                <w:lang w:val="en-US"/>
              </w:rPr>
              <w:t>Mar-23</w:t>
            </w:r>
          </w:p>
        </w:tc>
        <w:tc>
          <w:tcPr>
            <w:tcW w:w="566" w:type="pct"/>
            <w:vAlign w:val="center"/>
            <w:hideMark/>
          </w:tcPr>
          <w:p w14:paraId="0910B38C"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33.4</w:t>
            </w:r>
          </w:p>
        </w:tc>
        <w:tc>
          <w:tcPr>
            <w:tcW w:w="567" w:type="pct"/>
            <w:vAlign w:val="center"/>
            <w:hideMark/>
          </w:tcPr>
          <w:p w14:paraId="60C4C106"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101</w:t>
            </w:r>
          </w:p>
        </w:tc>
        <w:tc>
          <w:tcPr>
            <w:tcW w:w="566" w:type="pct"/>
            <w:vAlign w:val="center"/>
            <w:hideMark/>
          </w:tcPr>
          <w:p w14:paraId="772DE1BC"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522</w:t>
            </w:r>
          </w:p>
        </w:tc>
        <w:tc>
          <w:tcPr>
            <w:tcW w:w="567" w:type="pct"/>
            <w:vAlign w:val="center"/>
            <w:hideMark/>
          </w:tcPr>
          <w:p w14:paraId="3639F257"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1,215</w:t>
            </w:r>
          </w:p>
        </w:tc>
        <w:tc>
          <w:tcPr>
            <w:tcW w:w="566" w:type="pct"/>
            <w:vAlign w:val="center"/>
            <w:hideMark/>
          </w:tcPr>
          <w:p w14:paraId="6812D5FC" w14:textId="77777777" w:rsidR="00677577" w:rsidRPr="00236247" w:rsidRDefault="00677577" w:rsidP="00D44BD6">
            <w:pPr>
              <w:keepNext/>
              <w:spacing w:after="0" w:line="240" w:lineRule="auto"/>
              <w:jc w:val="right"/>
              <w:rPr>
                <w:rFonts w:ascii="Aptos" w:eastAsia="Aptos" w:hAnsi="Aptos" w:cs="Calibri"/>
                <w:sz w:val="20"/>
                <w:szCs w:val="20"/>
                <w:lang w:val="en-US"/>
              </w:rPr>
            </w:pPr>
            <w:r w:rsidRPr="00236247">
              <w:rPr>
                <w:rFonts w:ascii="Aptos" w:eastAsia="Aptos" w:hAnsi="Aptos" w:cs="Calibri"/>
                <w:sz w:val="20"/>
                <w:szCs w:val="20"/>
                <w:lang w:val="en-US"/>
              </w:rPr>
              <w:t>1883.0</w:t>
            </w:r>
          </w:p>
        </w:tc>
        <w:tc>
          <w:tcPr>
            <w:tcW w:w="567" w:type="pct"/>
            <w:vAlign w:val="center"/>
            <w:hideMark/>
          </w:tcPr>
          <w:p w14:paraId="35A81158" w14:textId="77777777" w:rsidR="00677577" w:rsidRPr="00236247" w:rsidRDefault="00677577" w:rsidP="00D44BD6">
            <w:pPr>
              <w:keepNext/>
              <w:spacing w:after="0" w:line="240" w:lineRule="auto"/>
              <w:jc w:val="right"/>
              <w:rPr>
                <w:rFonts w:ascii="Aptos" w:eastAsia="Aptos" w:hAnsi="Aptos" w:cs="Calibri"/>
                <w:sz w:val="20"/>
                <w:szCs w:val="20"/>
                <w:lang w:val="en-US"/>
              </w:rPr>
            </w:pPr>
            <w:r w:rsidRPr="00236247">
              <w:rPr>
                <w:rFonts w:ascii="Aptos" w:eastAsia="Aptos" w:hAnsi="Aptos" w:cs="Calibri"/>
                <w:sz w:val="20"/>
                <w:szCs w:val="20"/>
                <w:lang w:val="en-US"/>
              </w:rPr>
              <w:t>12032.8</w:t>
            </w:r>
          </w:p>
        </w:tc>
        <w:tc>
          <w:tcPr>
            <w:tcW w:w="566" w:type="pct"/>
            <w:vAlign w:val="center"/>
            <w:hideMark/>
          </w:tcPr>
          <w:p w14:paraId="0BAE2CEC"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rPr>
              <w:t>27.7%</w:t>
            </w:r>
          </w:p>
        </w:tc>
        <w:tc>
          <w:tcPr>
            <w:tcW w:w="567" w:type="pct"/>
            <w:tcBorders>
              <w:top w:val="nil"/>
              <w:left w:val="nil"/>
              <w:bottom w:val="nil"/>
              <w:right w:val="single" w:sz="8" w:space="0" w:color="auto"/>
            </w:tcBorders>
            <w:vAlign w:val="center"/>
            <w:hideMark/>
          </w:tcPr>
          <w:p w14:paraId="33FE05F1"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rPr>
              <w:t>10.1%</w:t>
            </w:r>
          </w:p>
        </w:tc>
      </w:tr>
      <w:tr w:rsidR="00677577" w:rsidRPr="00B45F7C" w14:paraId="0A173A3E" w14:textId="77777777">
        <w:trPr>
          <w:trHeight w:val="340"/>
        </w:trPr>
        <w:tc>
          <w:tcPr>
            <w:tcW w:w="467" w:type="pct"/>
            <w:tcBorders>
              <w:top w:val="nil"/>
              <w:left w:val="single" w:sz="8" w:space="0" w:color="auto"/>
              <w:bottom w:val="nil"/>
              <w:right w:val="nil"/>
            </w:tcBorders>
            <w:vAlign w:val="center"/>
            <w:hideMark/>
          </w:tcPr>
          <w:p w14:paraId="58A9AAE0" w14:textId="77777777" w:rsidR="00677577" w:rsidRPr="00236247" w:rsidRDefault="00677577">
            <w:pPr>
              <w:keepNext/>
              <w:spacing w:after="0" w:line="240" w:lineRule="auto"/>
              <w:rPr>
                <w:rFonts w:ascii="Aptos" w:eastAsia="Aptos" w:hAnsi="Aptos" w:cs="Calibri"/>
                <w:sz w:val="20"/>
                <w:szCs w:val="20"/>
              </w:rPr>
            </w:pPr>
            <w:r w:rsidRPr="00236247">
              <w:rPr>
                <w:rFonts w:ascii="Aptos" w:eastAsia="Aptos" w:hAnsi="Aptos" w:cs="Calibri"/>
                <w:sz w:val="20"/>
                <w:szCs w:val="20"/>
                <w:lang w:val="en-US"/>
              </w:rPr>
              <w:t>Jun-23</w:t>
            </w:r>
          </w:p>
        </w:tc>
        <w:tc>
          <w:tcPr>
            <w:tcW w:w="566" w:type="pct"/>
            <w:vAlign w:val="center"/>
            <w:hideMark/>
          </w:tcPr>
          <w:p w14:paraId="000D49FE"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33.5</w:t>
            </w:r>
          </w:p>
        </w:tc>
        <w:tc>
          <w:tcPr>
            <w:tcW w:w="567" w:type="pct"/>
            <w:vAlign w:val="center"/>
            <w:hideMark/>
          </w:tcPr>
          <w:p w14:paraId="18DC36FE"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102.7</w:t>
            </w:r>
          </w:p>
        </w:tc>
        <w:tc>
          <w:tcPr>
            <w:tcW w:w="566" w:type="pct"/>
            <w:vAlign w:val="center"/>
            <w:hideMark/>
          </w:tcPr>
          <w:p w14:paraId="53367E13"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547</w:t>
            </w:r>
          </w:p>
        </w:tc>
        <w:tc>
          <w:tcPr>
            <w:tcW w:w="567" w:type="pct"/>
            <w:vAlign w:val="center"/>
            <w:hideMark/>
          </w:tcPr>
          <w:p w14:paraId="6C8F7131"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1,242</w:t>
            </w:r>
          </w:p>
        </w:tc>
        <w:tc>
          <w:tcPr>
            <w:tcW w:w="566" w:type="pct"/>
            <w:vAlign w:val="center"/>
            <w:hideMark/>
          </w:tcPr>
          <w:p w14:paraId="55F647B5" w14:textId="77777777" w:rsidR="00677577" w:rsidRPr="00236247" w:rsidRDefault="00677577" w:rsidP="00D44BD6">
            <w:pPr>
              <w:keepNext/>
              <w:spacing w:after="0" w:line="240" w:lineRule="auto"/>
              <w:jc w:val="right"/>
              <w:rPr>
                <w:rFonts w:ascii="Aptos" w:eastAsia="Aptos" w:hAnsi="Aptos" w:cs="Calibri"/>
                <w:sz w:val="20"/>
                <w:szCs w:val="20"/>
                <w:lang w:val="en-US"/>
              </w:rPr>
            </w:pPr>
            <w:r w:rsidRPr="00236247">
              <w:rPr>
                <w:rFonts w:ascii="Aptos" w:eastAsia="Aptos" w:hAnsi="Aptos" w:cs="Calibri"/>
                <w:sz w:val="20"/>
                <w:szCs w:val="20"/>
                <w:lang w:val="en-US"/>
              </w:rPr>
              <w:t>1969.8</w:t>
            </w:r>
          </w:p>
        </w:tc>
        <w:tc>
          <w:tcPr>
            <w:tcW w:w="567" w:type="pct"/>
            <w:vAlign w:val="center"/>
            <w:hideMark/>
          </w:tcPr>
          <w:p w14:paraId="6429BB9A" w14:textId="77777777" w:rsidR="00677577" w:rsidRPr="00236247" w:rsidRDefault="00677577" w:rsidP="00D44BD6">
            <w:pPr>
              <w:keepNext/>
              <w:spacing w:after="0" w:line="240" w:lineRule="auto"/>
              <w:jc w:val="right"/>
              <w:rPr>
                <w:rFonts w:ascii="Aptos" w:eastAsia="Aptos" w:hAnsi="Aptos" w:cs="Calibri"/>
                <w:sz w:val="20"/>
                <w:szCs w:val="20"/>
                <w:lang w:val="en-US"/>
              </w:rPr>
            </w:pPr>
            <w:r w:rsidRPr="00236247">
              <w:rPr>
                <w:rFonts w:ascii="Aptos" w:eastAsia="Aptos" w:hAnsi="Aptos" w:cs="Calibri"/>
                <w:sz w:val="20"/>
                <w:szCs w:val="20"/>
                <w:lang w:val="en-US"/>
              </w:rPr>
              <w:t>12126.1</w:t>
            </w:r>
          </w:p>
        </w:tc>
        <w:tc>
          <w:tcPr>
            <w:tcW w:w="566" w:type="pct"/>
            <w:vAlign w:val="center"/>
            <w:hideMark/>
          </w:tcPr>
          <w:p w14:paraId="300EDC69"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rPr>
              <w:t>27.8%</w:t>
            </w:r>
          </w:p>
        </w:tc>
        <w:tc>
          <w:tcPr>
            <w:tcW w:w="567" w:type="pct"/>
            <w:tcBorders>
              <w:top w:val="nil"/>
              <w:left w:val="nil"/>
              <w:bottom w:val="nil"/>
              <w:right w:val="single" w:sz="8" w:space="0" w:color="auto"/>
            </w:tcBorders>
            <w:vAlign w:val="center"/>
            <w:hideMark/>
          </w:tcPr>
          <w:p w14:paraId="452A7D57"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rPr>
              <w:t>10.2%</w:t>
            </w:r>
          </w:p>
        </w:tc>
      </w:tr>
      <w:tr w:rsidR="00677577" w:rsidRPr="00B45F7C" w14:paraId="504CFF82" w14:textId="77777777">
        <w:trPr>
          <w:trHeight w:val="340"/>
        </w:trPr>
        <w:tc>
          <w:tcPr>
            <w:tcW w:w="467" w:type="pct"/>
            <w:tcBorders>
              <w:top w:val="nil"/>
              <w:left w:val="single" w:sz="8" w:space="0" w:color="auto"/>
              <w:bottom w:val="nil"/>
              <w:right w:val="nil"/>
            </w:tcBorders>
            <w:vAlign w:val="center"/>
            <w:hideMark/>
          </w:tcPr>
          <w:p w14:paraId="38220283" w14:textId="77777777" w:rsidR="00677577" w:rsidRPr="00236247" w:rsidRDefault="00677577">
            <w:pPr>
              <w:keepNext/>
              <w:spacing w:after="0" w:line="240" w:lineRule="auto"/>
              <w:rPr>
                <w:rFonts w:ascii="Aptos" w:eastAsia="Aptos" w:hAnsi="Aptos" w:cs="Calibri"/>
                <w:sz w:val="20"/>
                <w:szCs w:val="20"/>
              </w:rPr>
            </w:pPr>
            <w:r w:rsidRPr="00236247">
              <w:rPr>
                <w:rFonts w:ascii="Aptos" w:eastAsia="Aptos" w:hAnsi="Aptos" w:cs="Calibri"/>
                <w:sz w:val="20"/>
                <w:szCs w:val="20"/>
                <w:lang w:val="en-US"/>
              </w:rPr>
              <w:t>Sep-23</w:t>
            </w:r>
          </w:p>
        </w:tc>
        <w:tc>
          <w:tcPr>
            <w:tcW w:w="566" w:type="pct"/>
            <w:vAlign w:val="center"/>
            <w:hideMark/>
          </w:tcPr>
          <w:p w14:paraId="0BC738F4"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83.8</w:t>
            </w:r>
          </w:p>
        </w:tc>
        <w:tc>
          <w:tcPr>
            <w:tcW w:w="567" w:type="pct"/>
            <w:vAlign w:val="center"/>
            <w:hideMark/>
          </w:tcPr>
          <w:p w14:paraId="74E0A88D"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211.9</w:t>
            </w:r>
          </w:p>
        </w:tc>
        <w:tc>
          <w:tcPr>
            <w:tcW w:w="566" w:type="pct"/>
            <w:vAlign w:val="center"/>
            <w:hideMark/>
          </w:tcPr>
          <w:p w14:paraId="69AF271A"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598</w:t>
            </w:r>
          </w:p>
        </w:tc>
        <w:tc>
          <w:tcPr>
            <w:tcW w:w="567" w:type="pct"/>
            <w:vAlign w:val="center"/>
            <w:hideMark/>
          </w:tcPr>
          <w:p w14:paraId="7F7BF046"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1,215</w:t>
            </w:r>
          </w:p>
        </w:tc>
        <w:tc>
          <w:tcPr>
            <w:tcW w:w="566" w:type="pct"/>
            <w:vAlign w:val="center"/>
            <w:hideMark/>
          </w:tcPr>
          <w:p w14:paraId="50BDB9D8" w14:textId="77777777" w:rsidR="00677577" w:rsidRPr="00236247" w:rsidRDefault="00677577" w:rsidP="00D44BD6">
            <w:pPr>
              <w:keepNext/>
              <w:spacing w:after="0" w:line="240" w:lineRule="auto"/>
              <w:jc w:val="right"/>
              <w:rPr>
                <w:rFonts w:ascii="Aptos" w:eastAsia="Aptos" w:hAnsi="Aptos" w:cs="Calibri"/>
                <w:sz w:val="20"/>
                <w:szCs w:val="20"/>
                <w:lang w:val="en-US"/>
              </w:rPr>
            </w:pPr>
            <w:r w:rsidRPr="00236247">
              <w:rPr>
                <w:rFonts w:ascii="Aptos" w:eastAsia="Aptos" w:hAnsi="Aptos" w:cs="Calibri"/>
                <w:sz w:val="20"/>
                <w:szCs w:val="20"/>
                <w:lang w:val="en-US"/>
              </w:rPr>
              <w:t>1937.6</w:t>
            </w:r>
          </w:p>
        </w:tc>
        <w:tc>
          <w:tcPr>
            <w:tcW w:w="567" w:type="pct"/>
            <w:vAlign w:val="center"/>
            <w:hideMark/>
          </w:tcPr>
          <w:p w14:paraId="198F7C99" w14:textId="77777777" w:rsidR="00677577" w:rsidRPr="00236247" w:rsidRDefault="00677577" w:rsidP="00D44BD6">
            <w:pPr>
              <w:keepNext/>
              <w:spacing w:after="0" w:line="240" w:lineRule="auto"/>
              <w:jc w:val="right"/>
              <w:rPr>
                <w:rFonts w:ascii="Aptos" w:eastAsia="Aptos" w:hAnsi="Aptos" w:cs="Calibri"/>
                <w:sz w:val="20"/>
                <w:szCs w:val="20"/>
                <w:lang w:val="en-US"/>
              </w:rPr>
            </w:pPr>
            <w:r w:rsidRPr="00236247">
              <w:rPr>
                <w:rFonts w:ascii="Aptos" w:eastAsia="Aptos" w:hAnsi="Aptos" w:cs="Calibri"/>
                <w:sz w:val="20"/>
                <w:szCs w:val="20"/>
                <w:lang w:val="en-US"/>
              </w:rPr>
              <w:t>12081.9</w:t>
            </w:r>
          </w:p>
        </w:tc>
        <w:tc>
          <w:tcPr>
            <w:tcW w:w="566" w:type="pct"/>
            <w:vAlign w:val="center"/>
            <w:hideMark/>
          </w:tcPr>
          <w:p w14:paraId="30ABA6FD"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rPr>
              <w:t>30.9%</w:t>
            </w:r>
          </w:p>
        </w:tc>
        <w:tc>
          <w:tcPr>
            <w:tcW w:w="567" w:type="pct"/>
            <w:tcBorders>
              <w:top w:val="nil"/>
              <w:left w:val="nil"/>
              <w:bottom w:val="nil"/>
              <w:right w:val="single" w:sz="8" w:space="0" w:color="auto"/>
            </w:tcBorders>
            <w:vAlign w:val="center"/>
            <w:hideMark/>
          </w:tcPr>
          <w:p w14:paraId="44321499"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rPr>
              <w:t>10.1%</w:t>
            </w:r>
          </w:p>
        </w:tc>
      </w:tr>
      <w:tr w:rsidR="00677577" w:rsidRPr="00B45F7C" w14:paraId="3088B46A" w14:textId="77777777">
        <w:trPr>
          <w:trHeight w:val="340"/>
        </w:trPr>
        <w:tc>
          <w:tcPr>
            <w:tcW w:w="467" w:type="pct"/>
            <w:tcBorders>
              <w:top w:val="nil"/>
              <w:left w:val="single" w:sz="8" w:space="0" w:color="auto"/>
              <w:bottom w:val="nil"/>
              <w:right w:val="nil"/>
            </w:tcBorders>
            <w:vAlign w:val="center"/>
            <w:hideMark/>
          </w:tcPr>
          <w:p w14:paraId="34F2F478" w14:textId="77777777" w:rsidR="00677577" w:rsidRPr="00236247" w:rsidRDefault="00677577">
            <w:pPr>
              <w:keepNext/>
              <w:spacing w:after="0" w:line="240" w:lineRule="auto"/>
              <w:rPr>
                <w:rFonts w:ascii="Aptos" w:eastAsia="Aptos" w:hAnsi="Aptos" w:cs="Calibri"/>
                <w:sz w:val="20"/>
                <w:szCs w:val="20"/>
              </w:rPr>
            </w:pPr>
            <w:r w:rsidRPr="00236247">
              <w:rPr>
                <w:rFonts w:ascii="Aptos" w:eastAsia="Aptos" w:hAnsi="Aptos" w:cs="Calibri"/>
                <w:sz w:val="20"/>
                <w:szCs w:val="20"/>
                <w:lang w:val="en-US"/>
              </w:rPr>
              <w:t>Dec-23</w:t>
            </w:r>
          </w:p>
        </w:tc>
        <w:tc>
          <w:tcPr>
            <w:tcW w:w="566" w:type="pct"/>
            <w:vAlign w:val="center"/>
            <w:hideMark/>
          </w:tcPr>
          <w:p w14:paraId="67997C0E"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65.6</w:t>
            </w:r>
          </w:p>
        </w:tc>
        <w:tc>
          <w:tcPr>
            <w:tcW w:w="567" w:type="pct"/>
            <w:vAlign w:val="center"/>
            <w:hideMark/>
          </w:tcPr>
          <w:p w14:paraId="06390479"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211.3</w:t>
            </w:r>
          </w:p>
        </w:tc>
        <w:tc>
          <w:tcPr>
            <w:tcW w:w="566" w:type="pct"/>
            <w:vAlign w:val="center"/>
            <w:hideMark/>
          </w:tcPr>
          <w:p w14:paraId="546D5233"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635</w:t>
            </w:r>
          </w:p>
        </w:tc>
        <w:tc>
          <w:tcPr>
            <w:tcW w:w="567" w:type="pct"/>
            <w:vAlign w:val="center"/>
            <w:hideMark/>
          </w:tcPr>
          <w:p w14:paraId="00F749DE"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1,398</w:t>
            </w:r>
          </w:p>
        </w:tc>
        <w:tc>
          <w:tcPr>
            <w:tcW w:w="566" w:type="pct"/>
            <w:vAlign w:val="center"/>
            <w:hideMark/>
          </w:tcPr>
          <w:p w14:paraId="29D98D3C" w14:textId="77777777" w:rsidR="00677577" w:rsidRPr="00236247" w:rsidRDefault="00677577" w:rsidP="00D44BD6">
            <w:pPr>
              <w:keepNext/>
              <w:spacing w:after="0" w:line="240" w:lineRule="auto"/>
              <w:jc w:val="right"/>
              <w:rPr>
                <w:rFonts w:ascii="Aptos" w:eastAsia="Aptos" w:hAnsi="Aptos" w:cs="Calibri"/>
                <w:sz w:val="20"/>
                <w:szCs w:val="20"/>
                <w:lang w:val="en-US"/>
              </w:rPr>
            </w:pPr>
            <w:r w:rsidRPr="00236247">
              <w:rPr>
                <w:rFonts w:ascii="Aptos" w:eastAsia="Aptos" w:hAnsi="Aptos" w:cs="Calibri"/>
                <w:sz w:val="20"/>
                <w:szCs w:val="20"/>
                <w:lang w:val="en-US"/>
              </w:rPr>
              <w:t>1980.2</w:t>
            </w:r>
          </w:p>
        </w:tc>
        <w:tc>
          <w:tcPr>
            <w:tcW w:w="567" w:type="pct"/>
            <w:vAlign w:val="center"/>
            <w:hideMark/>
          </w:tcPr>
          <w:p w14:paraId="1A0C0A7F" w14:textId="77777777" w:rsidR="00677577" w:rsidRPr="00236247" w:rsidRDefault="00677577" w:rsidP="00D44BD6">
            <w:pPr>
              <w:keepNext/>
              <w:spacing w:after="0" w:line="240" w:lineRule="auto"/>
              <w:jc w:val="right"/>
              <w:rPr>
                <w:rFonts w:ascii="Aptos" w:eastAsia="Aptos" w:hAnsi="Aptos" w:cs="Calibri"/>
                <w:sz w:val="20"/>
                <w:szCs w:val="20"/>
                <w:lang w:val="en-US"/>
              </w:rPr>
            </w:pPr>
            <w:r w:rsidRPr="00236247">
              <w:rPr>
                <w:rFonts w:ascii="Aptos" w:eastAsia="Aptos" w:hAnsi="Aptos" w:cs="Calibri"/>
                <w:sz w:val="20"/>
                <w:szCs w:val="20"/>
                <w:lang w:val="en-US"/>
              </w:rPr>
              <w:t>12283.6</w:t>
            </w:r>
          </w:p>
        </w:tc>
        <w:tc>
          <w:tcPr>
            <w:tcW w:w="566" w:type="pct"/>
            <w:vAlign w:val="center"/>
            <w:hideMark/>
          </w:tcPr>
          <w:p w14:paraId="5AFB64FE"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rPr>
              <w:t>32.1%</w:t>
            </w:r>
          </w:p>
        </w:tc>
        <w:tc>
          <w:tcPr>
            <w:tcW w:w="567" w:type="pct"/>
            <w:tcBorders>
              <w:top w:val="nil"/>
              <w:left w:val="nil"/>
              <w:bottom w:val="nil"/>
              <w:right w:val="single" w:sz="8" w:space="0" w:color="auto"/>
            </w:tcBorders>
            <w:vAlign w:val="center"/>
            <w:hideMark/>
          </w:tcPr>
          <w:p w14:paraId="795E44F7"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rPr>
              <w:t>11.4%</w:t>
            </w:r>
          </w:p>
        </w:tc>
      </w:tr>
      <w:tr w:rsidR="00677577" w:rsidRPr="00B45F7C" w14:paraId="67C94193" w14:textId="77777777">
        <w:trPr>
          <w:trHeight w:val="340"/>
        </w:trPr>
        <w:tc>
          <w:tcPr>
            <w:tcW w:w="467" w:type="pct"/>
            <w:tcBorders>
              <w:top w:val="nil"/>
              <w:left w:val="single" w:sz="8" w:space="0" w:color="auto"/>
              <w:bottom w:val="nil"/>
              <w:right w:val="nil"/>
            </w:tcBorders>
            <w:vAlign w:val="center"/>
            <w:hideMark/>
          </w:tcPr>
          <w:p w14:paraId="077E0394" w14:textId="77777777" w:rsidR="00677577" w:rsidRPr="00236247" w:rsidRDefault="00677577">
            <w:pPr>
              <w:keepNext/>
              <w:spacing w:after="0" w:line="240" w:lineRule="auto"/>
              <w:rPr>
                <w:rFonts w:ascii="Aptos" w:eastAsia="Aptos" w:hAnsi="Aptos" w:cs="Calibri"/>
                <w:sz w:val="20"/>
                <w:szCs w:val="20"/>
              </w:rPr>
            </w:pPr>
            <w:r w:rsidRPr="00236247">
              <w:rPr>
                <w:rFonts w:ascii="Aptos" w:eastAsia="Aptos" w:hAnsi="Aptos" w:cs="Calibri"/>
                <w:sz w:val="20"/>
                <w:szCs w:val="20"/>
                <w:lang w:val="en-US"/>
              </w:rPr>
              <w:t>Mar-24</w:t>
            </w:r>
          </w:p>
        </w:tc>
        <w:tc>
          <w:tcPr>
            <w:tcW w:w="566" w:type="pct"/>
            <w:vAlign w:val="center"/>
            <w:hideMark/>
          </w:tcPr>
          <w:p w14:paraId="085BF9AB"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201.9</w:t>
            </w:r>
          </w:p>
        </w:tc>
        <w:tc>
          <w:tcPr>
            <w:tcW w:w="567" w:type="pct"/>
            <w:vAlign w:val="center"/>
            <w:hideMark/>
          </w:tcPr>
          <w:p w14:paraId="4B85D1BD"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163.1</w:t>
            </w:r>
          </w:p>
        </w:tc>
        <w:tc>
          <w:tcPr>
            <w:tcW w:w="566" w:type="pct"/>
            <w:vAlign w:val="center"/>
            <w:hideMark/>
          </w:tcPr>
          <w:p w14:paraId="67CC1779"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692</w:t>
            </w:r>
          </w:p>
        </w:tc>
        <w:tc>
          <w:tcPr>
            <w:tcW w:w="567" w:type="pct"/>
            <w:vAlign w:val="center"/>
            <w:hideMark/>
          </w:tcPr>
          <w:p w14:paraId="1BAD78AB"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1,445</w:t>
            </w:r>
          </w:p>
        </w:tc>
        <w:tc>
          <w:tcPr>
            <w:tcW w:w="566" w:type="pct"/>
            <w:vAlign w:val="center"/>
            <w:hideMark/>
          </w:tcPr>
          <w:p w14:paraId="68FAE753" w14:textId="77777777" w:rsidR="00677577" w:rsidRPr="00236247" w:rsidRDefault="00677577" w:rsidP="00D44BD6">
            <w:pPr>
              <w:keepNext/>
              <w:spacing w:after="0" w:line="240" w:lineRule="auto"/>
              <w:jc w:val="right"/>
              <w:rPr>
                <w:rFonts w:ascii="Aptos" w:eastAsia="Aptos" w:hAnsi="Aptos" w:cs="Calibri"/>
                <w:sz w:val="20"/>
                <w:szCs w:val="20"/>
                <w:lang w:val="en-US"/>
              </w:rPr>
            </w:pPr>
            <w:r w:rsidRPr="00236247">
              <w:rPr>
                <w:rFonts w:ascii="Aptos" w:eastAsia="Aptos" w:hAnsi="Aptos" w:cs="Calibri"/>
                <w:sz w:val="20"/>
                <w:szCs w:val="20"/>
                <w:lang w:val="en-US"/>
              </w:rPr>
              <w:t>1994.0</w:t>
            </w:r>
          </w:p>
        </w:tc>
        <w:tc>
          <w:tcPr>
            <w:tcW w:w="567" w:type="pct"/>
            <w:vAlign w:val="center"/>
            <w:hideMark/>
          </w:tcPr>
          <w:p w14:paraId="7C89459F" w14:textId="77777777" w:rsidR="00677577" w:rsidRPr="00236247" w:rsidRDefault="00677577" w:rsidP="00D44BD6">
            <w:pPr>
              <w:keepNext/>
              <w:spacing w:after="0" w:line="240" w:lineRule="auto"/>
              <w:jc w:val="right"/>
              <w:rPr>
                <w:rFonts w:ascii="Aptos" w:eastAsia="Aptos" w:hAnsi="Aptos" w:cs="Calibri"/>
                <w:sz w:val="20"/>
                <w:szCs w:val="20"/>
                <w:lang w:val="en-US"/>
              </w:rPr>
            </w:pPr>
            <w:r w:rsidRPr="00236247">
              <w:rPr>
                <w:rFonts w:ascii="Aptos" w:eastAsia="Aptos" w:hAnsi="Aptos" w:cs="Calibri"/>
                <w:sz w:val="20"/>
                <w:szCs w:val="20"/>
                <w:lang w:val="en-US"/>
              </w:rPr>
              <w:t>12339.9</w:t>
            </w:r>
          </w:p>
        </w:tc>
        <w:tc>
          <w:tcPr>
            <w:tcW w:w="566" w:type="pct"/>
            <w:vAlign w:val="center"/>
            <w:hideMark/>
          </w:tcPr>
          <w:p w14:paraId="3940E93C"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rPr>
              <w:t>34.7%</w:t>
            </w:r>
          </w:p>
        </w:tc>
        <w:tc>
          <w:tcPr>
            <w:tcW w:w="567" w:type="pct"/>
            <w:tcBorders>
              <w:top w:val="nil"/>
              <w:left w:val="nil"/>
              <w:bottom w:val="nil"/>
              <w:right w:val="single" w:sz="8" w:space="0" w:color="auto"/>
            </w:tcBorders>
            <w:vAlign w:val="center"/>
            <w:hideMark/>
          </w:tcPr>
          <w:p w14:paraId="0A408209"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rPr>
              <w:t>11.7%</w:t>
            </w:r>
          </w:p>
        </w:tc>
      </w:tr>
      <w:tr w:rsidR="00677577" w:rsidRPr="00B45F7C" w14:paraId="06B62492" w14:textId="77777777">
        <w:trPr>
          <w:trHeight w:val="340"/>
        </w:trPr>
        <w:tc>
          <w:tcPr>
            <w:tcW w:w="467" w:type="pct"/>
            <w:tcBorders>
              <w:top w:val="nil"/>
              <w:left w:val="single" w:sz="8" w:space="0" w:color="auto"/>
              <w:bottom w:val="nil"/>
              <w:right w:val="nil"/>
            </w:tcBorders>
            <w:vAlign w:val="center"/>
            <w:hideMark/>
          </w:tcPr>
          <w:p w14:paraId="2EE587FC" w14:textId="77777777" w:rsidR="00677577" w:rsidRPr="00236247" w:rsidRDefault="00677577">
            <w:pPr>
              <w:keepNext/>
              <w:spacing w:after="0" w:line="240" w:lineRule="auto"/>
              <w:rPr>
                <w:rFonts w:ascii="Aptos" w:eastAsia="Aptos" w:hAnsi="Aptos" w:cs="Calibri"/>
                <w:sz w:val="20"/>
                <w:szCs w:val="20"/>
              </w:rPr>
            </w:pPr>
            <w:r w:rsidRPr="00236247">
              <w:rPr>
                <w:rFonts w:ascii="Aptos" w:eastAsia="Aptos" w:hAnsi="Aptos" w:cs="Calibri"/>
                <w:sz w:val="20"/>
                <w:szCs w:val="20"/>
                <w:lang w:val="en-US"/>
              </w:rPr>
              <w:t>Jun-24</w:t>
            </w:r>
          </w:p>
        </w:tc>
        <w:tc>
          <w:tcPr>
            <w:tcW w:w="566" w:type="pct"/>
            <w:tcBorders>
              <w:top w:val="nil"/>
              <w:left w:val="nil"/>
              <w:bottom w:val="nil"/>
              <w:right w:val="nil"/>
            </w:tcBorders>
            <w:vAlign w:val="center"/>
            <w:hideMark/>
          </w:tcPr>
          <w:p w14:paraId="369E9162"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61.8</w:t>
            </w:r>
          </w:p>
        </w:tc>
        <w:tc>
          <w:tcPr>
            <w:tcW w:w="567" w:type="pct"/>
            <w:tcBorders>
              <w:top w:val="nil"/>
              <w:left w:val="nil"/>
              <w:bottom w:val="nil"/>
              <w:right w:val="nil"/>
            </w:tcBorders>
            <w:vAlign w:val="center"/>
            <w:hideMark/>
          </w:tcPr>
          <w:p w14:paraId="7C3C3756"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213.6</w:t>
            </w:r>
          </w:p>
        </w:tc>
        <w:tc>
          <w:tcPr>
            <w:tcW w:w="566" w:type="pct"/>
            <w:tcBorders>
              <w:top w:val="nil"/>
              <w:left w:val="nil"/>
              <w:bottom w:val="nil"/>
              <w:right w:val="nil"/>
            </w:tcBorders>
            <w:vAlign w:val="center"/>
            <w:hideMark/>
          </w:tcPr>
          <w:p w14:paraId="2D23DD2C"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730</w:t>
            </w:r>
          </w:p>
        </w:tc>
        <w:tc>
          <w:tcPr>
            <w:tcW w:w="567" w:type="pct"/>
            <w:tcBorders>
              <w:top w:val="nil"/>
              <w:left w:val="nil"/>
              <w:bottom w:val="nil"/>
              <w:right w:val="nil"/>
            </w:tcBorders>
            <w:vAlign w:val="center"/>
            <w:hideMark/>
          </w:tcPr>
          <w:p w14:paraId="53E8AF6F"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lang w:val="en-US"/>
              </w:rPr>
              <w:t>1,480</w:t>
            </w:r>
          </w:p>
        </w:tc>
        <w:tc>
          <w:tcPr>
            <w:tcW w:w="566" w:type="pct"/>
            <w:tcBorders>
              <w:top w:val="nil"/>
              <w:left w:val="nil"/>
              <w:bottom w:val="nil"/>
              <w:right w:val="nil"/>
            </w:tcBorders>
            <w:vAlign w:val="center"/>
            <w:hideMark/>
          </w:tcPr>
          <w:p w14:paraId="209F15FC" w14:textId="77777777" w:rsidR="00677577" w:rsidRPr="00236247" w:rsidRDefault="00677577" w:rsidP="00D44BD6">
            <w:pPr>
              <w:keepNext/>
              <w:spacing w:after="0" w:line="240" w:lineRule="auto"/>
              <w:jc w:val="right"/>
              <w:rPr>
                <w:rFonts w:ascii="Aptos" w:eastAsia="Aptos" w:hAnsi="Aptos" w:cs="Calibri"/>
                <w:sz w:val="20"/>
                <w:szCs w:val="20"/>
                <w:lang w:val="en-US"/>
              </w:rPr>
            </w:pPr>
            <w:r w:rsidRPr="00236247">
              <w:rPr>
                <w:rFonts w:ascii="Aptos" w:eastAsia="Aptos" w:hAnsi="Aptos" w:cs="Calibri"/>
                <w:sz w:val="20"/>
                <w:szCs w:val="20"/>
                <w:lang w:val="en-US"/>
              </w:rPr>
              <w:t>2074.9</w:t>
            </w:r>
          </w:p>
        </w:tc>
        <w:tc>
          <w:tcPr>
            <w:tcW w:w="567" w:type="pct"/>
            <w:tcBorders>
              <w:top w:val="nil"/>
              <w:left w:val="nil"/>
              <w:bottom w:val="nil"/>
              <w:right w:val="nil"/>
            </w:tcBorders>
            <w:vAlign w:val="center"/>
            <w:hideMark/>
          </w:tcPr>
          <w:p w14:paraId="121B242A" w14:textId="77777777" w:rsidR="00677577" w:rsidRPr="00236247" w:rsidRDefault="00677577" w:rsidP="00D44BD6">
            <w:pPr>
              <w:keepNext/>
              <w:spacing w:after="0" w:line="240" w:lineRule="auto"/>
              <w:jc w:val="right"/>
              <w:rPr>
                <w:rFonts w:ascii="Aptos" w:eastAsia="Aptos" w:hAnsi="Aptos" w:cs="Calibri"/>
                <w:sz w:val="20"/>
                <w:szCs w:val="20"/>
                <w:lang w:val="en-US"/>
              </w:rPr>
            </w:pPr>
            <w:r w:rsidRPr="00236247">
              <w:rPr>
                <w:rFonts w:ascii="Aptos" w:eastAsia="Aptos" w:hAnsi="Aptos" w:cs="Calibri"/>
                <w:sz w:val="20"/>
                <w:szCs w:val="20"/>
                <w:lang w:val="en-US"/>
              </w:rPr>
              <w:t>12313.8</w:t>
            </w:r>
          </w:p>
        </w:tc>
        <w:tc>
          <w:tcPr>
            <w:tcW w:w="566" w:type="pct"/>
            <w:tcBorders>
              <w:top w:val="nil"/>
              <w:left w:val="nil"/>
              <w:bottom w:val="nil"/>
              <w:right w:val="nil"/>
            </w:tcBorders>
            <w:vAlign w:val="center"/>
            <w:hideMark/>
          </w:tcPr>
          <w:p w14:paraId="36471AE7"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rPr>
              <w:t>35.1%</w:t>
            </w:r>
          </w:p>
        </w:tc>
        <w:tc>
          <w:tcPr>
            <w:tcW w:w="567" w:type="pct"/>
            <w:tcBorders>
              <w:top w:val="nil"/>
              <w:left w:val="nil"/>
              <w:bottom w:val="nil"/>
              <w:right w:val="single" w:sz="8" w:space="0" w:color="auto"/>
            </w:tcBorders>
            <w:vAlign w:val="center"/>
            <w:hideMark/>
          </w:tcPr>
          <w:p w14:paraId="60DFD9DF"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rPr>
              <w:t>12.0%</w:t>
            </w:r>
          </w:p>
        </w:tc>
      </w:tr>
      <w:tr w:rsidR="00677577" w:rsidRPr="00B45F7C" w14:paraId="0CFC8B22" w14:textId="77777777">
        <w:trPr>
          <w:trHeight w:val="340"/>
        </w:trPr>
        <w:tc>
          <w:tcPr>
            <w:tcW w:w="467" w:type="pct"/>
            <w:tcBorders>
              <w:top w:val="nil"/>
              <w:left w:val="single" w:sz="8" w:space="0" w:color="auto"/>
              <w:bottom w:val="single" w:sz="8" w:space="0" w:color="auto"/>
              <w:right w:val="nil"/>
            </w:tcBorders>
            <w:vAlign w:val="center"/>
          </w:tcPr>
          <w:p w14:paraId="14A59F60" w14:textId="77777777" w:rsidR="00677577" w:rsidRPr="00236247" w:rsidRDefault="00677577">
            <w:pPr>
              <w:keepNext/>
              <w:spacing w:after="0" w:line="240" w:lineRule="auto"/>
              <w:rPr>
                <w:rFonts w:ascii="Aptos" w:eastAsia="Aptos" w:hAnsi="Aptos" w:cs="Calibri"/>
                <w:sz w:val="20"/>
                <w:szCs w:val="20"/>
                <w:lang w:val="en-US"/>
              </w:rPr>
            </w:pPr>
            <w:r w:rsidRPr="00236247">
              <w:rPr>
                <w:rFonts w:ascii="Aptos" w:eastAsia="Aptos" w:hAnsi="Aptos" w:cs="Calibri"/>
                <w:sz w:val="20"/>
                <w:szCs w:val="20"/>
                <w:lang w:val="en-US"/>
              </w:rPr>
              <w:t>Sep-24</w:t>
            </w:r>
          </w:p>
        </w:tc>
        <w:tc>
          <w:tcPr>
            <w:tcW w:w="566" w:type="pct"/>
            <w:tcBorders>
              <w:top w:val="nil"/>
              <w:left w:val="nil"/>
              <w:bottom w:val="single" w:sz="8" w:space="0" w:color="auto"/>
              <w:right w:val="nil"/>
            </w:tcBorders>
            <w:vAlign w:val="center"/>
          </w:tcPr>
          <w:p w14:paraId="30DFF167" w14:textId="77777777" w:rsidR="00677577" w:rsidRPr="00236247" w:rsidRDefault="00677577" w:rsidP="00D44BD6">
            <w:pPr>
              <w:keepNext/>
              <w:spacing w:after="0" w:line="240" w:lineRule="auto"/>
              <w:jc w:val="right"/>
              <w:rPr>
                <w:rFonts w:ascii="Aptos" w:eastAsia="Aptos" w:hAnsi="Aptos" w:cs="Calibri"/>
                <w:sz w:val="20"/>
                <w:szCs w:val="20"/>
                <w:lang w:val="en-US"/>
              </w:rPr>
            </w:pPr>
            <w:r w:rsidRPr="00236247">
              <w:rPr>
                <w:rFonts w:ascii="Aptos" w:eastAsia="Aptos" w:hAnsi="Aptos" w:cs="Calibri"/>
                <w:sz w:val="20"/>
                <w:szCs w:val="20"/>
                <w:lang w:val="en-US"/>
              </w:rPr>
              <w:t>112.8</w:t>
            </w:r>
          </w:p>
        </w:tc>
        <w:tc>
          <w:tcPr>
            <w:tcW w:w="567" w:type="pct"/>
            <w:tcBorders>
              <w:top w:val="nil"/>
              <w:left w:val="nil"/>
              <w:bottom w:val="single" w:sz="8" w:space="0" w:color="auto"/>
              <w:right w:val="nil"/>
            </w:tcBorders>
            <w:vAlign w:val="center"/>
          </w:tcPr>
          <w:p w14:paraId="1A3CD9DB" w14:textId="77777777" w:rsidR="00677577" w:rsidRPr="00236247" w:rsidRDefault="00677577" w:rsidP="00D44BD6">
            <w:pPr>
              <w:keepNext/>
              <w:spacing w:after="0" w:line="240" w:lineRule="auto"/>
              <w:jc w:val="right"/>
              <w:rPr>
                <w:rFonts w:ascii="Aptos" w:eastAsia="Aptos" w:hAnsi="Aptos" w:cs="Calibri"/>
                <w:sz w:val="20"/>
                <w:szCs w:val="20"/>
                <w:lang w:val="en-US"/>
              </w:rPr>
            </w:pPr>
            <w:r w:rsidRPr="00236247">
              <w:rPr>
                <w:rFonts w:ascii="Aptos" w:eastAsia="Aptos" w:hAnsi="Aptos" w:cs="Calibri"/>
                <w:sz w:val="20"/>
                <w:szCs w:val="20"/>
                <w:lang w:val="en-US"/>
              </w:rPr>
              <w:t>228.3</w:t>
            </w:r>
          </w:p>
        </w:tc>
        <w:tc>
          <w:tcPr>
            <w:tcW w:w="566" w:type="pct"/>
            <w:tcBorders>
              <w:top w:val="nil"/>
              <w:left w:val="nil"/>
              <w:bottom w:val="single" w:sz="8" w:space="0" w:color="auto"/>
              <w:right w:val="nil"/>
            </w:tcBorders>
            <w:vAlign w:val="center"/>
          </w:tcPr>
          <w:p w14:paraId="2B7E6D71" w14:textId="77777777" w:rsidR="00677577" w:rsidRPr="00236247" w:rsidRDefault="00677577" w:rsidP="00D44BD6">
            <w:pPr>
              <w:keepNext/>
              <w:spacing w:after="0" w:line="240" w:lineRule="auto"/>
              <w:jc w:val="right"/>
              <w:rPr>
                <w:rFonts w:ascii="Aptos" w:eastAsia="Aptos" w:hAnsi="Aptos" w:cs="Calibri"/>
                <w:sz w:val="20"/>
                <w:szCs w:val="20"/>
                <w:lang w:val="en-US"/>
              </w:rPr>
            </w:pPr>
            <w:r w:rsidRPr="00236247">
              <w:rPr>
                <w:rFonts w:ascii="Aptos" w:eastAsia="Aptos" w:hAnsi="Aptos" w:cs="Calibri"/>
                <w:sz w:val="20"/>
                <w:szCs w:val="20"/>
                <w:lang w:val="en-US"/>
              </w:rPr>
              <w:t>801</w:t>
            </w:r>
          </w:p>
        </w:tc>
        <w:tc>
          <w:tcPr>
            <w:tcW w:w="567" w:type="pct"/>
            <w:tcBorders>
              <w:top w:val="nil"/>
              <w:left w:val="nil"/>
              <w:bottom w:val="single" w:sz="8" w:space="0" w:color="auto"/>
              <w:right w:val="nil"/>
            </w:tcBorders>
            <w:vAlign w:val="center"/>
          </w:tcPr>
          <w:p w14:paraId="2C395B73" w14:textId="77777777" w:rsidR="00677577" w:rsidRPr="00236247" w:rsidRDefault="00677577" w:rsidP="00D44BD6">
            <w:pPr>
              <w:keepNext/>
              <w:spacing w:after="0" w:line="240" w:lineRule="auto"/>
              <w:jc w:val="right"/>
              <w:rPr>
                <w:rFonts w:ascii="Aptos" w:eastAsia="Aptos" w:hAnsi="Aptos" w:cs="Calibri"/>
                <w:sz w:val="20"/>
                <w:szCs w:val="20"/>
                <w:lang w:val="en-US"/>
              </w:rPr>
            </w:pPr>
            <w:r w:rsidRPr="00236247">
              <w:rPr>
                <w:rFonts w:ascii="Aptos" w:eastAsia="Aptos" w:hAnsi="Aptos" w:cs="Calibri"/>
                <w:sz w:val="20"/>
                <w:szCs w:val="20"/>
                <w:lang w:val="en-US"/>
              </w:rPr>
              <w:t>1405</w:t>
            </w:r>
          </w:p>
        </w:tc>
        <w:tc>
          <w:tcPr>
            <w:tcW w:w="566" w:type="pct"/>
            <w:tcBorders>
              <w:top w:val="nil"/>
              <w:left w:val="nil"/>
              <w:bottom w:val="single" w:sz="8" w:space="0" w:color="auto"/>
              <w:right w:val="nil"/>
            </w:tcBorders>
            <w:vAlign w:val="center"/>
          </w:tcPr>
          <w:p w14:paraId="2F7604A0" w14:textId="77777777" w:rsidR="00677577" w:rsidRPr="00236247" w:rsidRDefault="00677577" w:rsidP="00D44BD6">
            <w:pPr>
              <w:keepNext/>
              <w:spacing w:after="0" w:line="240" w:lineRule="auto"/>
              <w:jc w:val="right"/>
              <w:rPr>
                <w:rFonts w:ascii="Aptos" w:eastAsia="Aptos" w:hAnsi="Aptos" w:cs="Calibri"/>
                <w:sz w:val="20"/>
                <w:szCs w:val="20"/>
                <w:lang w:val="en-US"/>
              </w:rPr>
            </w:pPr>
            <w:r w:rsidRPr="00236247">
              <w:rPr>
                <w:rFonts w:ascii="Aptos" w:eastAsia="Aptos" w:hAnsi="Aptos" w:cs="Calibri"/>
                <w:sz w:val="20"/>
                <w:szCs w:val="20"/>
                <w:lang w:val="en-US"/>
              </w:rPr>
              <w:t>2572.0</w:t>
            </w:r>
          </w:p>
        </w:tc>
        <w:tc>
          <w:tcPr>
            <w:tcW w:w="567" w:type="pct"/>
            <w:tcBorders>
              <w:top w:val="nil"/>
              <w:left w:val="nil"/>
              <w:bottom w:val="single" w:sz="8" w:space="0" w:color="auto"/>
              <w:right w:val="nil"/>
            </w:tcBorders>
            <w:vAlign w:val="center"/>
          </w:tcPr>
          <w:p w14:paraId="5D9C2A4A" w14:textId="77777777" w:rsidR="00677577" w:rsidRPr="00236247" w:rsidRDefault="00677577" w:rsidP="00D44BD6">
            <w:pPr>
              <w:keepNext/>
              <w:spacing w:after="0" w:line="240" w:lineRule="auto"/>
              <w:jc w:val="right"/>
              <w:rPr>
                <w:rFonts w:ascii="Aptos" w:eastAsia="Aptos" w:hAnsi="Aptos" w:cs="Calibri"/>
                <w:sz w:val="20"/>
                <w:szCs w:val="20"/>
                <w:lang w:val="en-US"/>
              </w:rPr>
            </w:pPr>
            <w:r w:rsidRPr="00236247">
              <w:rPr>
                <w:rFonts w:ascii="Aptos" w:eastAsia="Aptos" w:hAnsi="Aptos" w:cs="Calibri"/>
                <w:sz w:val="20"/>
                <w:szCs w:val="20"/>
                <w:lang w:val="en-US"/>
              </w:rPr>
              <w:t>11791.1</w:t>
            </w:r>
          </w:p>
        </w:tc>
        <w:tc>
          <w:tcPr>
            <w:tcW w:w="566" w:type="pct"/>
            <w:tcBorders>
              <w:top w:val="nil"/>
              <w:left w:val="nil"/>
              <w:bottom w:val="single" w:sz="8" w:space="0" w:color="auto"/>
              <w:right w:val="nil"/>
            </w:tcBorders>
            <w:vAlign w:val="center"/>
          </w:tcPr>
          <w:p w14:paraId="4B0F539D"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rPr>
              <w:t>21.1%</w:t>
            </w:r>
          </w:p>
        </w:tc>
        <w:tc>
          <w:tcPr>
            <w:tcW w:w="567" w:type="pct"/>
            <w:tcBorders>
              <w:top w:val="nil"/>
              <w:left w:val="nil"/>
              <w:bottom w:val="single" w:sz="8" w:space="0" w:color="auto"/>
              <w:right w:val="single" w:sz="8" w:space="0" w:color="auto"/>
            </w:tcBorders>
            <w:vAlign w:val="center"/>
          </w:tcPr>
          <w:p w14:paraId="26079C1B" w14:textId="77777777" w:rsidR="00677577" w:rsidRPr="00236247" w:rsidRDefault="00677577" w:rsidP="00D44BD6">
            <w:pPr>
              <w:keepNext/>
              <w:spacing w:after="0" w:line="240" w:lineRule="auto"/>
              <w:jc w:val="right"/>
              <w:rPr>
                <w:rFonts w:ascii="Aptos" w:eastAsia="Aptos" w:hAnsi="Aptos" w:cs="Calibri"/>
                <w:sz w:val="20"/>
                <w:szCs w:val="20"/>
              </w:rPr>
            </w:pPr>
            <w:r w:rsidRPr="00236247">
              <w:rPr>
                <w:rFonts w:ascii="Aptos" w:eastAsia="Aptos" w:hAnsi="Aptos" w:cs="Calibri"/>
                <w:sz w:val="20"/>
                <w:szCs w:val="20"/>
              </w:rPr>
              <w:t>11.9%</w:t>
            </w:r>
          </w:p>
        </w:tc>
      </w:tr>
    </w:tbl>
    <w:p w14:paraId="4F724A3A" w14:textId="42D657F9" w:rsidR="00677577" w:rsidRPr="00B45F7C" w:rsidRDefault="00677577" w:rsidP="00677577">
      <w:pPr>
        <w:spacing w:before="120"/>
        <w:rPr>
          <w:rFonts w:ascii="Aptos" w:eastAsia="Aptos" w:hAnsi="Aptos" w:cs="Times New Roman"/>
          <w:b/>
          <w:bCs/>
          <w:sz w:val="18"/>
        </w:rPr>
      </w:pPr>
      <w:r w:rsidRPr="00B45F7C">
        <w:rPr>
          <w:rFonts w:ascii="Aptos" w:eastAsia="Aptos" w:hAnsi="Aptos" w:cs="Times New Roman"/>
          <w:b/>
          <w:bCs/>
          <w:sz w:val="18"/>
        </w:rPr>
        <w:t xml:space="preserve">Note: </w:t>
      </w:r>
      <w:r w:rsidRPr="00B45F7C">
        <w:rPr>
          <w:rFonts w:ascii="Aptos" w:eastAsia="Aptos" w:hAnsi="Aptos" w:cs="Times New Roman"/>
          <w:sz w:val="18"/>
        </w:rPr>
        <w:t xml:space="preserve">The quarterly labour force data are </w:t>
      </w:r>
      <w:r w:rsidR="00DA3CC8">
        <w:rPr>
          <w:rFonts w:ascii="Aptos" w:eastAsia="Aptos" w:hAnsi="Aptos" w:cs="Times New Roman"/>
          <w:sz w:val="18"/>
        </w:rPr>
        <w:t xml:space="preserve">reported </w:t>
      </w:r>
      <w:r w:rsidR="005B7C06">
        <w:rPr>
          <w:rFonts w:ascii="Aptos" w:eastAsia="Aptos" w:hAnsi="Aptos" w:cs="Times New Roman"/>
          <w:sz w:val="18"/>
        </w:rPr>
        <w:t>for the months of</w:t>
      </w:r>
      <w:r w:rsidRPr="00B45F7C">
        <w:rPr>
          <w:rFonts w:ascii="Aptos" w:eastAsia="Aptos" w:hAnsi="Aptos" w:cs="Times New Roman"/>
          <w:sz w:val="18"/>
        </w:rPr>
        <w:t xml:space="preserve"> May, August, November and February. The</w:t>
      </w:r>
      <w:r w:rsidRPr="00B45F7C" w:rsidDel="0021216A">
        <w:rPr>
          <w:rFonts w:ascii="Aptos" w:eastAsia="Aptos" w:hAnsi="Aptos" w:cs="Times New Roman"/>
          <w:sz w:val="18"/>
        </w:rPr>
        <w:t xml:space="preserve"> </w:t>
      </w:r>
      <w:r w:rsidR="0021216A">
        <w:rPr>
          <w:rFonts w:ascii="Aptos" w:eastAsia="Aptos" w:hAnsi="Aptos" w:cs="Times New Roman"/>
          <w:sz w:val="18"/>
        </w:rPr>
        <w:t>Workplace Agreements Database</w:t>
      </w:r>
      <w:r w:rsidR="0021216A" w:rsidRPr="00B45F7C">
        <w:rPr>
          <w:rFonts w:ascii="Aptos" w:eastAsia="Aptos" w:hAnsi="Aptos" w:cs="Times New Roman"/>
          <w:sz w:val="18"/>
        </w:rPr>
        <w:t xml:space="preserve"> </w:t>
      </w:r>
      <w:r w:rsidRPr="00B45F7C">
        <w:rPr>
          <w:rFonts w:ascii="Aptos" w:eastAsia="Aptos" w:hAnsi="Aptos" w:cs="Times New Roman"/>
          <w:sz w:val="18"/>
        </w:rPr>
        <w:t>data are for the quarters reported in the table.</w:t>
      </w:r>
    </w:p>
    <w:p w14:paraId="6E9679B8" w14:textId="7225F3F8" w:rsidR="00677577" w:rsidRPr="00B45F7C" w:rsidRDefault="00677577" w:rsidP="00677577">
      <w:pPr>
        <w:spacing w:before="120"/>
        <w:rPr>
          <w:rFonts w:ascii="Aptos" w:eastAsia="Aptos" w:hAnsi="Aptos" w:cs="Times New Roman"/>
          <w:sz w:val="18"/>
        </w:rPr>
      </w:pPr>
      <w:r w:rsidRPr="00B45F7C">
        <w:rPr>
          <w:rFonts w:ascii="Aptos" w:eastAsia="Aptos" w:hAnsi="Aptos" w:cs="Times New Roman"/>
          <w:b/>
          <w:bCs/>
          <w:sz w:val="18"/>
        </w:rPr>
        <w:t>Source:</w:t>
      </w:r>
      <w:r w:rsidRPr="00B45F7C">
        <w:rPr>
          <w:rFonts w:ascii="Aptos" w:eastAsia="Aptos" w:hAnsi="Aptos" w:cs="Times New Roman"/>
          <w:sz w:val="18"/>
        </w:rPr>
        <w:t xml:space="preserve"> </w:t>
      </w:r>
      <w:r w:rsidR="00C62AD2">
        <w:rPr>
          <w:rFonts w:ascii="Aptos" w:eastAsia="Aptos" w:hAnsi="Aptos" w:cs="Times New Roman"/>
          <w:sz w:val="18"/>
        </w:rPr>
        <w:t xml:space="preserve">Department of Employment and Workplace Relations, </w:t>
      </w:r>
      <w:r w:rsidRPr="00B45F7C">
        <w:rPr>
          <w:rFonts w:ascii="Aptos" w:eastAsia="Aptos" w:hAnsi="Aptos" w:cs="Times New Roman"/>
          <w:sz w:val="18"/>
        </w:rPr>
        <w:t>Workplace Agreements Database and ABS Labour Force Survey, Detailed, Table 26a.</w:t>
      </w:r>
    </w:p>
    <w:p w14:paraId="1DC88234" w14:textId="1268AB62" w:rsidR="00677577" w:rsidRPr="00B45F7C" w:rsidRDefault="00677577" w:rsidP="00677577">
      <w:pPr>
        <w:rPr>
          <w:rFonts w:ascii="Aptos" w:eastAsia="Aptos" w:hAnsi="Aptos" w:cs="Calibri"/>
        </w:rPr>
      </w:pPr>
      <w:r w:rsidRPr="00B45F7C">
        <w:rPr>
          <w:rFonts w:ascii="Aptos" w:eastAsia="Aptos" w:hAnsi="Aptos" w:cs="Calibri"/>
        </w:rPr>
        <w:br w:type="page"/>
      </w:r>
      <w:r w:rsidRPr="00D44BD6">
        <w:rPr>
          <w:rFonts w:ascii="Aptos" w:eastAsia="Aptos" w:hAnsi="Aptos" w:cs="Times New Roman"/>
        </w:rPr>
        <w:t xml:space="preserve">Table </w:t>
      </w:r>
      <w:r w:rsidR="00D47C88" w:rsidRPr="00D44BD6">
        <w:rPr>
          <w:rFonts w:ascii="Aptos" w:eastAsia="Aptos" w:hAnsi="Aptos" w:cs="Times New Roman"/>
        </w:rPr>
        <w:t>6</w:t>
      </w:r>
      <w:r w:rsidR="00D47C88">
        <w:rPr>
          <w:rFonts w:ascii="Aptos" w:eastAsia="Aptos" w:hAnsi="Aptos" w:cs="Times New Roman"/>
        </w:rPr>
        <w:t>4</w:t>
      </w:r>
      <w:r w:rsidR="00D47C88" w:rsidRPr="00FD4F1B">
        <w:rPr>
          <w:rFonts w:ascii="Aptos" w:eastAsia="Aptos" w:hAnsi="Aptos" w:cs="Times New Roman"/>
        </w:rPr>
        <w:t xml:space="preserve"> </w:t>
      </w:r>
      <w:r w:rsidRPr="00FD4F1B">
        <w:rPr>
          <w:rFonts w:ascii="Aptos" w:eastAsia="Aptos" w:hAnsi="Aptos" w:cs="Times New Roman"/>
        </w:rPr>
        <w:t>shows that agreements approved in periods since December 2022 contain larger AAWIs</w:t>
      </w:r>
      <w:r w:rsidRPr="00B45F7C">
        <w:rPr>
          <w:rFonts w:ascii="Aptos" w:eastAsia="Aptos" w:hAnsi="Aptos" w:cs="Times New Roman"/>
        </w:rPr>
        <w:t xml:space="preserve"> than agreements that were current (not expired or terminated). In the September quarter 2024 the AAWI for agreements approved was 3.6% compared to 3.5% for current agreements. Public sector agreements approved in the September quarter were the exception to the trend.</w:t>
      </w:r>
    </w:p>
    <w:p w14:paraId="3037D032" w14:textId="73445993" w:rsidR="00677577" w:rsidRPr="00B45F7C" w:rsidRDefault="00844718" w:rsidP="00D44BD6">
      <w:pPr>
        <w:pStyle w:val="Caption"/>
      </w:pPr>
      <w:bookmarkStart w:id="1025" w:name="_Ref184414234"/>
      <w:bookmarkStart w:id="1026" w:name="_Toc186906080"/>
      <w:bookmarkStart w:id="1027" w:name="_Ref187514134"/>
      <w:bookmarkStart w:id="1028" w:name="_Toc187514218"/>
      <w:bookmarkStart w:id="1029" w:name="_Toc189310887"/>
      <w:bookmarkStart w:id="1030" w:name="_Toc194251488"/>
      <w:r>
        <w:t xml:space="preserve">Table </w:t>
      </w:r>
      <w:r>
        <w:fldChar w:fldCharType="begin"/>
      </w:r>
      <w:r>
        <w:instrText xml:space="preserve"> SEQ Table \* ARABIC </w:instrText>
      </w:r>
      <w:r>
        <w:fldChar w:fldCharType="separate"/>
      </w:r>
      <w:r w:rsidR="00DE5F5E">
        <w:rPr>
          <w:noProof/>
        </w:rPr>
        <w:t>64</w:t>
      </w:r>
      <w:r>
        <w:fldChar w:fldCharType="end"/>
      </w:r>
      <w:r>
        <w:t xml:space="preserve">: </w:t>
      </w:r>
      <w:bookmarkEnd w:id="1018"/>
      <w:bookmarkEnd w:id="1025"/>
      <w:r w:rsidR="00677577" w:rsidRPr="00B45F7C">
        <w:t>Average annualised wage increases by sector</w:t>
      </w:r>
      <w:bookmarkEnd w:id="1026"/>
      <w:bookmarkEnd w:id="1027"/>
      <w:bookmarkEnd w:id="1028"/>
      <w:bookmarkEnd w:id="1029"/>
      <w:r w:rsidR="0021216A">
        <w:t>, 2022 to 2024</w:t>
      </w:r>
      <w:bookmarkEnd w:id="1030"/>
    </w:p>
    <w:tbl>
      <w:tblPr>
        <w:tblStyle w:val="TableGridCKEdit1"/>
        <w:tblW w:w="0" w:type="auto"/>
        <w:tblLook w:val="04A0" w:firstRow="1" w:lastRow="0" w:firstColumn="1" w:lastColumn="0" w:noHBand="0" w:noVBand="1"/>
      </w:tblPr>
      <w:tblGrid>
        <w:gridCol w:w="960"/>
        <w:gridCol w:w="1304"/>
        <w:gridCol w:w="1404"/>
        <w:gridCol w:w="1405"/>
        <w:gridCol w:w="1405"/>
        <w:gridCol w:w="1405"/>
        <w:gridCol w:w="1405"/>
      </w:tblGrid>
      <w:tr w:rsidR="00677577" w:rsidRPr="00B45F7C" w14:paraId="0941C848" w14:textId="77777777">
        <w:tc>
          <w:tcPr>
            <w:tcW w:w="988" w:type="dxa"/>
          </w:tcPr>
          <w:p w14:paraId="683AD6B1" w14:textId="77777777" w:rsidR="00677577" w:rsidRPr="00B45F7C" w:rsidRDefault="00677577" w:rsidP="00D44BD6">
            <w:pPr>
              <w:spacing w:after="60"/>
              <w:rPr>
                <w:rFonts w:ascii="Aptos" w:eastAsia="Aptos" w:hAnsi="Aptos" w:cs="Times New Roman"/>
                <w:b/>
                <w:bCs/>
                <w:sz w:val="20"/>
                <w:szCs w:val="20"/>
              </w:rPr>
            </w:pPr>
          </w:p>
        </w:tc>
        <w:tc>
          <w:tcPr>
            <w:tcW w:w="2648" w:type="dxa"/>
            <w:gridSpan w:val="2"/>
          </w:tcPr>
          <w:p w14:paraId="344B3DE9" w14:textId="77777777" w:rsidR="00677577" w:rsidRPr="00B45F7C" w:rsidRDefault="00677577" w:rsidP="00D44BD6">
            <w:pPr>
              <w:spacing w:after="60"/>
              <w:rPr>
                <w:rFonts w:ascii="Aptos" w:eastAsia="Aptos" w:hAnsi="Aptos" w:cs="Times New Roman"/>
                <w:b/>
                <w:bCs/>
                <w:sz w:val="20"/>
                <w:szCs w:val="20"/>
              </w:rPr>
            </w:pPr>
            <w:r w:rsidRPr="00B45F7C">
              <w:rPr>
                <w:rFonts w:ascii="Aptos" w:eastAsia="Aptos" w:hAnsi="Aptos" w:cs="Times New Roman"/>
                <w:b/>
                <w:bCs/>
                <w:sz w:val="20"/>
                <w:szCs w:val="20"/>
              </w:rPr>
              <w:t>All sectors</w:t>
            </w:r>
          </w:p>
        </w:tc>
        <w:tc>
          <w:tcPr>
            <w:tcW w:w="2826" w:type="dxa"/>
            <w:gridSpan w:val="2"/>
          </w:tcPr>
          <w:p w14:paraId="4592E5EA" w14:textId="77777777" w:rsidR="00677577" w:rsidRPr="00B45F7C" w:rsidRDefault="00677577" w:rsidP="00D44BD6">
            <w:pPr>
              <w:spacing w:after="60"/>
              <w:rPr>
                <w:rFonts w:ascii="Aptos" w:eastAsia="Aptos" w:hAnsi="Aptos" w:cs="Times New Roman"/>
                <w:b/>
                <w:bCs/>
                <w:sz w:val="20"/>
                <w:szCs w:val="20"/>
              </w:rPr>
            </w:pPr>
            <w:r w:rsidRPr="00B45F7C">
              <w:rPr>
                <w:rFonts w:ascii="Aptos" w:eastAsia="Aptos" w:hAnsi="Aptos" w:cs="Times New Roman"/>
                <w:b/>
                <w:bCs/>
                <w:sz w:val="20"/>
                <w:szCs w:val="20"/>
              </w:rPr>
              <w:t>Public sector</w:t>
            </w:r>
          </w:p>
        </w:tc>
        <w:tc>
          <w:tcPr>
            <w:tcW w:w="2826" w:type="dxa"/>
            <w:gridSpan w:val="2"/>
          </w:tcPr>
          <w:p w14:paraId="2F8B2CC8" w14:textId="77777777" w:rsidR="00677577" w:rsidRPr="00B45F7C" w:rsidRDefault="00677577" w:rsidP="00D44BD6">
            <w:pPr>
              <w:spacing w:after="60"/>
              <w:rPr>
                <w:rFonts w:ascii="Aptos" w:eastAsia="Aptos" w:hAnsi="Aptos" w:cs="Times New Roman"/>
                <w:b/>
                <w:bCs/>
                <w:sz w:val="20"/>
                <w:szCs w:val="20"/>
              </w:rPr>
            </w:pPr>
            <w:r w:rsidRPr="00B45F7C">
              <w:rPr>
                <w:rFonts w:ascii="Aptos" w:eastAsia="Aptos" w:hAnsi="Aptos" w:cs="Times New Roman"/>
                <w:b/>
                <w:bCs/>
                <w:sz w:val="20"/>
                <w:szCs w:val="20"/>
              </w:rPr>
              <w:t>Private sector</w:t>
            </w:r>
          </w:p>
        </w:tc>
      </w:tr>
      <w:tr w:rsidR="00677577" w:rsidRPr="00B45F7C" w14:paraId="3F0986C5" w14:textId="77777777">
        <w:tc>
          <w:tcPr>
            <w:tcW w:w="988" w:type="dxa"/>
          </w:tcPr>
          <w:p w14:paraId="3BAD1A8B" w14:textId="77777777" w:rsidR="00677577" w:rsidRPr="00B45F7C" w:rsidRDefault="00677577" w:rsidP="00D44BD6">
            <w:pPr>
              <w:spacing w:after="60"/>
              <w:rPr>
                <w:rFonts w:ascii="Aptos" w:eastAsia="Aptos" w:hAnsi="Aptos" w:cs="Times New Roman"/>
                <w:b/>
                <w:bCs/>
                <w:sz w:val="20"/>
                <w:szCs w:val="20"/>
              </w:rPr>
            </w:pPr>
          </w:p>
        </w:tc>
        <w:tc>
          <w:tcPr>
            <w:tcW w:w="1235" w:type="dxa"/>
          </w:tcPr>
          <w:p w14:paraId="7AE01CA9" w14:textId="77777777" w:rsidR="00677577" w:rsidRPr="00B45F7C" w:rsidRDefault="00677577" w:rsidP="00D44BD6">
            <w:pPr>
              <w:spacing w:after="60"/>
              <w:jc w:val="right"/>
              <w:rPr>
                <w:rFonts w:ascii="Aptos" w:eastAsia="Aptos" w:hAnsi="Aptos" w:cs="Times New Roman"/>
                <w:b/>
                <w:bCs/>
                <w:sz w:val="20"/>
                <w:szCs w:val="20"/>
              </w:rPr>
            </w:pPr>
            <w:r w:rsidRPr="00B45F7C">
              <w:rPr>
                <w:rFonts w:ascii="Aptos" w:eastAsia="Aptos" w:hAnsi="Aptos" w:cs="Times New Roman"/>
                <w:b/>
                <w:bCs/>
                <w:sz w:val="20"/>
                <w:szCs w:val="20"/>
              </w:rPr>
              <w:t>Approved agreements</w:t>
            </w:r>
          </w:p>
        </w:tc>
        <w:tc>
          <w:tcPr>
            <w:tcW w:w="1413" w:type="dxa"/>
          </w:tcPr>
          <w:p w14:paraId="02B87B41" w14:textId="77777777" w:rsidR="00677577" w:rsidRPr="00B45F7C" w:rsidRDefault="00677577" w:rsidP="00D44BD6">
            <w:pPr>
              <w:spacing w:after="60"/>
              <w:jc w:val="right"/>
              <w:rPr>
                <w:rFonts w:ascii="Aptos" w:eastAsia="Aptos" w:hAnsi="Aptos" w:cs="Times New Roman"/>
                <w:b/>
                <w:bCs/>
                <w:sz w:val="20"/>
                <w:szCs w:val="20"/>
              </w:rPr>
            </w:pPr>
            <w:r w:rsidRPr="00B45F7C">
              <w:rPr>
                <w:rFonts w:ascii="Aptos" w:eastAsia="Aptos" w:hAnsi="Aptos" w:cs="Times New Roman"/>
                <w:b/>
                <w:bCs/>
                <w:sz w:val="20"/>
                <w:szCs w:val="20"/>
              </w:rPr>
              <w:t>Current agreements</w:t>
            </w:r>
          </w:p>
        </w:tc>
        <w:tc>
          <w:tcPr>
            <w:tcW w:w="1413" w:type="dxa"/>
          </w:tcPr>
          <w:p w14:paraId="7A5D29D4" w14:textId="77777777" w:rsidR="00677577" w:rsidRPr="00B45F7C" w:rsidRDefault="00677577" w:rsidP="00D44BD6">
            <w:pPr>
              <w:spacing w:after="60"/>
              <w:jc w:val="right"/>
              <w:rPr>
                <w:rFonts w:ascii="Aptos" w:eastAsia="Aptos" w:hAnsi="Aptos" w:cs="Times New Roman"/>
                <w:b/>
                <w:bCs/>
                <w:sz w:val="20"/>
                <w:szCs w:val="20"/>
              </w:rPr>
            </w:pPr>
            <w:r w:rsidRPr="00B45F7C">
              <w:rPr>
                <w:rFonts w:ascii="Aptos" w:eastAsia="Aptos" w:hAnsi="Aptos" w:cs="Times New Roman"/>
                <w:b/>
                <w:bCs/>
                <w:sz w:val="20"/>
                <w:szCs w:val="20"/>
              </w:rPr>
              <w:t>Approved agreements</w:t>
            </w:r>
          </w:p>
        </w:tc>
        <w:tc>
          <w:tcPr>
            <w:tcW w:w="1413" w:type="dxa"/>
          </w:tcPr>
          <w:p w14:paraId="631A9337" w14:textId="77777777" w:rsidR="00677577" w:rsidRPr="00B45F7C" w:rsidRDefault="00677577" w:rsidP="00D44BD6">
            <w:pPr>
              <w:spacing w:after="60"/>
              <w:jc w:val="right"/>
              <w:rPr>
                <w:rFonts w:ascii="Aptos" w:eastAsia="Aptos" w:hAnsi="Aptos" w:cs="Times New Roman"/>
                <w:b/>
                <w:bCs/>
                <w:sz w:val="20"/>
                <w:szCs w:val="20"/>
              </w:rPr>
            </w:pPr>
            <w:r w:rsidRPr="00B45F7C">
              <w:rPr>
                <w:rFonts w:ascii="Aptos" w:eastAsia="Aptos" w:hAnsi="Aptos" w:cs="Times New Roman"/>
                <w:b/>
                <w:bCs/>
                <w:sz w:val="20"/>
                <w:szCs w:val="20"/>
              </w:rPr>
              <w:t>Current agreements</w:t>
            </w:r>
          </w:p>
        </w:tc>
        <w:tc>
          <w:tcPr>
            <w:tcW w:w="1413" w:type="dxa"/>
          </w:tcPr>
          <w:p w14:paraId="0D8E96CD" w14:textId="77777777" w:rsidR="00677577" w:rsidRPr="00B45F7C" w:rsidRDefault="00677577" w:rsidP="00D44BD6">
            <w:pPr>
              <w:spacing w:after="60"/>
              <w:jc w:val="right"/>
              <w:rPr>
                <w:rFonts w:ascii="Aptos" w:eastAsia="Aptos" w:hAnsi="Aptos" w:cs="Times New Roman"/>
                <w:b/>
                <w:bCs/>
                <w:sz w:val="20"/>
                <w:szCs w:val="20"/>
              </w:rPr>
            </w:pPr>
            <w:r w:rsidRPr="00B45F7C">
              <w:rPr>
                <w:rFonts w:ascii="Aptos" w:eastAsia="Aptos" w:hAnsi="Aptos" w:cs="Times New Roman"/>
                <w:b/>
                <w:bCs/>
                <w:sz w:val="20"/>
                <w:szCs w:val="20"/>
              </w:rPr>
              <w:t>Approved agreements</w:t>
            </w:r>
          </w:p>
        </w:tc>
        <w:tc>
          <w:tcPr>
            <w:tcW w:w="1413" w:type="dxa"/>
          </w:tcPr>
          <w:p w14:paraId="323BE694" w14:textId="77777777" w:rsidR="00677577" w:rsidRPr="00B45F7C" w:rsidRDefault="00677577" w:rsidP="00D44BD6">
            <w:pPr>
              <w:spacing w:after="60"/>
              <w:jc w:val="right"/>
              <w:rPr>
                <w:rFonts w:ascii="Aptos" w:eastAsia="Aptos" w:hAnsi="Aptos" w:cs="Times New Roman"/>
                <w:b/>
                <w:bCs/>
                <w:sz w:val="20"/>
                <w:szCs w:val="20"/>
              </w:rPr>
            </w:pPr>
            <w:r w:rsidRPr="00B45F7C">
              <w:rPr>
                <w:rFonts w:ascii="Aptos" w:eastAsia="Aptos" w:hAnsi="Aptos" w:cs="Times New Roman"/>
                <w:b/>
                <w:bCs/>
                <w:sz w:val="20"/>
                <w:szCs w:val="20"/>
              </w:rPr>
              <w:t>Current agreements</w:t>
            </w:r>
          </w:p>
        </w:tc>
      </w:tr>
      <w:tr w:rsidR="00677577" w:rsidRPr="00B45F7C" w14:paraId="61BC29D7" w14:textId="77777777">
        <w:tc>
          <w:tcPr>
            <w:tcW w:w="988" w:type="dxa"/>
          </w:tcPr>
          <w:p w14:paraId="6B840696" w14:textId="77777777" w:rsidR="00677577" w:rsidRPr="00B45F7C" w:rsidRDefault="00677577" w:rsidP="00D44BD6">
            <w:pPr>
              <w:spacing w:after="60"/>
              <w:rPr>
                <w:rFonts w:ascii="Aptos" w:eastAsia="Aptos" w:hAnsi="Aptos" w:cs="Times New Roman"/>
                <w:sz w:val="20"/>
                <w:szCs w:val="20"/>
              </w:rPr>
            </w:pPr>
          </w:p>
        </w:tc>
        <w:tc>
          <w:tcPr>
            <w:tcW w:w="1235" w:type="dxa"/>
          </w:tcPr>
          <w:p w14:paraId="42FD8C39"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w:t>
            </w:r>
          </w:p>
        </w:tc>
        <w:tc>
          <w:tcPr>
            <w:tcW w:w="1413" w:type="dxa"/>
          </w:tcPr>
          <w:p w14:paraId="13F9378F"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w:t>
            </w:r>
          </w:p>
        </w:tc>
        <w:tc>
          <w:tcPr>
            <w:tcW w:w="1413" w:type="dxa"/>
          </w:tcPr>
          <w:p w14:paraId="5AD51C0D"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w:t>
            </w:r>
          </w:p>
        </w:tc>
        <w:tc>
          <w:tcPr>
            <w:tcW w:w="1413" w:type="dxa"/>
          </w:tcPr>
          <w:p w14:paraId="3CA1F3EB"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w:t>
            </w:r>
          </w:p>
        </w:tc>
        <w:tc>
          <w:tcPr>
            <w:tcW w:w="1413" w:type="dxa"/>
          </w:tcPr>
          <w:p w14:paraId="2C174601"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w:t>
            </w:r>
          </w:p>
        </w:tc>
        <w:tc>
          <w:tcPr>
            <w:tcW w:w="1413" w:type="dxa"/>
          </w:tcPr>
          <w:p w14:paraId="13E560B8"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w:t>
            </w:r>
          </w:p>
        </w:tc>
      </w:tr>
      <w:tr w:rsidR="00677577" w:rsidRPr="00B45F7C" w14:paraId="4271E9A5" w14:textId="77777777">
        <w:tc>
          <w:tcPr>
            <w:tcW w:w="988" w:type="dxa"/>
          </w:tcPr>
          <w:p w14:paraId="0A9E0363" w14:textId="77777777" w:rsidR="00677577" w:rsidRPr="00B45F7C" w:rsidRDefault="00677577" w:rsidP="00DE780D">
            <w:pPr>
              <w:spacing w:after="60"/>
              <w:rPr>
                <w:rFonts w:ascii="Aptos" w:eastAsia="Aptos" w:hAnsi="Aptos" w:cs="Times New Roman"/>
                <w:sz w:val="20"/>
                <w:szCs w:val="20"/>
              </w:rPr>
            </w:pPr>
            <w:r w:rsidRPr="00B45F7C">
              <w:rPr>
                <w:rFonts w:ascii="Aptos" w:eastAsia="Aptos" w:hAnsi="Aptos" w:cs="Times New Roman"/>
                <w:sz w:val="20"/>
                <w:szCs w:val="20"/>
              </w:rPr>
              <w:t>Dec-22</w:t>
            </w:r>
          </w:p>
        </w:tc>
        <w:tc>
          <w:tcPr>
            <w:tcW w:w="1235" w:type="dxa"/>
          </w:tcPr>
          <w:p w14:paraId="6AF49E1E"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3.0</w:t>
            </w:r>
          </w:p>
        </w:tc>
        <w:tc>
          <w:tcPr>
            <w:tcW w:w="1413" w:type="dxa"/>
          </w:tcPr>
          <w:p w14:paraId="4562C4BB"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2.6</w:t>
            </w:r>
          </w:p>
        </w:tc>
        <w:tc>
          <w:tcPr>
            <w:tcW w:w="1413" w:type="dxa"/>
          </w:tcPr>
          <w:p w14:paraId="7922200F"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2.3</w:t>
            </w:r>
          </w:p>
        </w:tc>
        <w:tc>
          <w:tcPr>
            <w:tcW w:w="1413" w:type="dxa"/>
          </w:tcPr>
          <w:p w14:paraId="2D34CF65"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2.3</w:t>
            </w:r>
          </w:p>
        </w:tc>
        <w:tc>
          <w:tcPr>
            <w:tcW w:w="1413" w:type="dxa"/>
          </w:tcPr>
          <w:p w14:paraId="5E05178D"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3.5</w:t>
            </w:r>
          </w:p>
        </w:tc>
        <w:tc>
          <w:tcPr>
            <w:tcW w:w="1413" w:type="dxa"/>
          </w:tcPr>
          <w:p w14:paraId="04656F77"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2.8</w:t>
            </w:r>
          </w:p>
        </w:tc>
      </w:tr>
      <w:tr w:rsidR="00677577" w:rsidRPr="00B45F7C" w14:paraId="49729FCD" w14:textId="77777777">
        <w:tc>
          <w:tcPr>
            <w:tcW w:w="988" w:type="dxa"/>
          </w:tcPr>
          <w:p w14:paraId="271D285F" w14:textId="77777777" w:rsidR="00677577" w:rsidRPr="00B45F7C" w:rsidRDefault="00677577" w:rsidP="00DE780D">
            <w:pPr>
              <w:spacing w:after="60"/>
              <w:rPr>
                <w:rFonts w:ascii="Aptos" w:eastAsia="Aptos" w:hAnsi="Aptos" w:cs="Times New Roman"/>
                <w:sz w:val="20"/>
                <w:szCs w:val="20"/>
              </w:rPr>
            </w:pPr>
            <w:r w:rsidRPr="00B45F7C">
              <w:rPr>
                <w:rFonts w:ascii="Aptos" w:eastAsia="Aptos" w:hAnsi="Aptos" w:cs="Times New Roman"/>
                <w:sz w:val="20"/>
                <w:szCs w:val="20"/>
              </w:rPr>
              <w:t>Mar-23</w:t>
            </w:r>
          </w:p>
        </w:tc>
        <w:tc>
          <w:tcPr>
            <w:tcW w:w="1235" w:type="dxa"/>
          </w:tcPr>
          <w:p w14:paraId="24A29EA7"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3.7</w:t>
            </w:r>
          </w:p>
        </w:tc>
        <w:tc>
          <w:tcPr>
            <w:tcW w:w="1413" w:type="dxa"/>
          </w:tcPr>
          <w:p w14:paraId="0DAD33DA"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2.7</w:t>
            </w:r>
          </w:p>
        </w:tc>
        <w:tc>
          <w:tcPr>
            <w:tcW w:w="1413" w:type="dxa"/>
          </w:tcPr>
          <w:p w14:paraId="48AAFB1A"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3.2</w:t>
            </w:r>
          </w:p>
        </w:tc>
        <w:tc>
          <w:tcPr>
            <w:tcW w:w="1413" w:type="dxa"/>
          </w:tcPr>
          <w:p w14:paraId="626FE42B"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2.4</w:t>
            </w:r>
          </w:p>
        </w:tc>
        <w:tc>
          <w:tcPr>
            <w:tcW w:w="1413" w:type="dxa"/>
          </w:tcPr>
          <w:p w14:paraId="799129A6"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3.9</w:t>
            </w:r>
          </w:p>
        </w:tc>
        <w:tc>
          <w:tcPr>
            <w:tcW w:w="1413" w:type="dxa"/>
          </w:tcPr>
          <w:p w14:paraId="50F7B1F3"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2.9</w:t>
            </w:r>
          </w:p>
        </w:tc>
      </w:tr>
      <w:tr w:rsidR="00677577" w:rsidRPr="00B45F7C" w14:paraId="061748AB" w14:textId="77777777">
        <w:tc>
          <w:tcPr>
            <w:tcW w:w="988" w:type="dxa"/>
          </w:tcPr>
          <w:p w14:paraId="4D696439" w14:textId="77777777" w:rsidR="00677577" w:rsidRPr="00B45F7C" w:rsidRDefault="00677577" w:rsidP="00DE780D">
            <w:pPr>
              <w:spacing w:after="60"/>
              <w:rPr>
                <w:rFonts w:ascii="Aptos" w:eastAsia="Aptos" w:hAnsi="Aptos" w:cs="Times New Roman"/>
                <w:sz w:val="20"/>
                <w:szCs w:val="20"/>
              </w:rPr>
            </w:pPr>
            <w:r w:rsidRPr="00B45F7C">
              <w:rPr>
                <w:rFonts w:ascii="Aptos" w:eastAsia="Aptos" w:hAnsi="Aptos" w:cs="Times New Roman"/>
                <w:sz w:val="20"/>
                <w:szCs w:val="20"/>
              </w:rPr>
              <w:t>Jun-23</w:t>
            </w:r>
          </w:p>
        </w:tc>
        <w:tc>
          <w:tcPr>
            <w:tcW w:w="1235" w:type="dxa"/>
          </w:tcPr>
          <w:p w14:paraId="5F36B5FF"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3.8</w:t>
            </w:r>
          </w:p>
        </w:tc>
        <w:tc>
          <w:tcPr>
            <w:tcW w:w="1413" w:type="dxa"/>
          </w:tcPr>
          <w:p w14:paraId="50F0E8ED"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2.8</w:t>
            </w:r>
          </w:p>
        </w:tc>
        <w:tc>
          <w:tcPr>
            <w:tcW w:w="1413" w:type="dxa"/>
          </w:tcPr>
          <w:p w14:paraId="4524BE83"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3.6</w:t>
            </w:r>
          </w:p>
        </w:tc>
        <w:tc>
          <w:tcPr>
            <w:tcW w:w="1413" w:type="dxa"/>
          </w:tcPr>
          <w:p w14:paraId="2DAD8F71"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2.5</w:t>
            </w:r>
          </w:p>
        </w:tc>
        <w:tc>
          <w:tcPr>
            <w:tcW w:w="1413" w:type="dxa"/>
          </w:tcPr>
          <w:p w14:paraId="7664B272"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3.9</w:t>
            </w:r>
          </w:p>
        </w:tc>
        <w:tc>
          <w:tcPr>
            <w:tcW w:w="1413" w:type="dxa"/>
          </w:tcPr>
          <w:p w14:paraId="101EBBCC"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3.0</w:t>
            </w:r>
          </w:p>
        </w:tc>
      </w:tr>
      <w:tr w:rsidR="00677577" w:rsidRPr="00B45F7C" w14:paraId="4A67F894" w14:textId="77777777">
        <w:tc>
          <w:tcPr>
            <w:tcW w:w="988" w:type="dxa"/>
          </w:tcPr>
          <w:p w14:paraId="464B8D81" w14:textId="77777777" w:rsidR="00677577" w:rsidRPr="00B45F7C" w:rsidRDefault="00677577" w:rsidP="00DE780D">
            <w:pPr>
              <w:spacing w:after="60"/>
              <w:rPr>
                <w:rFonts w:ascii="Aptos" w:eastAsia="Aptos" w:hAnsi="Aptos" w:cs="Times New Roman"/>
                <w:sz w:val="20"/>
                <w:szCs w:val="20"/>
              </w:rPr>
            </w:pPr>
            <w:r w:rsidRPr="00B45F7C">
              <w:rPr>
                <w:rFonts w:ascii="Aptos" w:eastAsia="Aptos" w:hAnsi="Aptos" w:cs="Times New Roman"/>
                <w:sz w:val="20"/>
                <w:szCs w:val="20"/>
              </w:rPr>
              <w:t>Sep-23</w:t>
            </w:r>
          </w:p>
        </w:tc>
        <w:tc>
          <w:tcPr>
            <w:tcW w:w="1235" w:type="dxa"/>
          </w:tcPr>
          <w:p w14:paraId="5B806F58"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4.1</w:t>
            </w:r>
          </w:p>
        </w:tc>
        <w:tc>
          <w:tcPr>
            <w:tcW w:w="1413" w:type="dxa"/>
          </w:tcPr>
          <w:p w14:paraId="693C68DE"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2.9</w:t>
            </w:r>
          </w:p>
        </w:tc>
        <w:tc>
          <w:tcPr>
            <w:tcW w:w="1413" w:type="dxa"/>
          </w:tcPr>
          <w:p w14:paraId="4D900E0D"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4.4</w:t>
            </w:r>
          </w:p>
        </w:tc>
        <w:tc>
          <w:tcPr>
            <w:tcW w:w="1413" w:type="dxa"/>
          </w:tcPr>
          <w:p w14:paraId="2A77D6CD"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2.8</w:t>
            </w:r>
          </w:p>
        </w:tc>
        <w:tc>
          <w:tcPr>
            <w:tcW w:w="1413" w:type="dxa"/>
          </w:tcPr>
          <w:p w14:paraId="5278344A"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3.9</w:t>
            </w:r>
          </w:p>
        </w:tc>
        <w:tc>
          <w:tcPr>
            <w:tcW w:w="1413" w:type="dxa"/>
          </w:tcPr>
          <w:p w14:paraId="687ACF1A"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3.1</w:t>
            </w:r>
          </w:p>
        </w:tc>
      </w:tr>
      <w:tr w:rsidR="00677577" w:rsidRPr="00B45F7C" w14:paraId="7EB42359" w14:textId="77777777">
        <w:tc>
          <w:tcPr>
            <w:tcW w:w="988" w:type="dxa"/>
          </w:tcPr>
          <w:p w14:paraId="11B82155" w14:textId="77777777" w:rsidR="00677577" w:rsidRPr="00B45F7C" w:rsidRDefault="00677577" w:rsidP="00DE780D">
            <w:pPr>
              <w:spacing w:after="60"/>
              <w:rPr>
                <w:rFonts w:ascii="Aptos" w:eastAsia="Aptos" w:hAnsi="Aptos" w:cs="Times New Roman"/>
                <w:sz w:val="20"/>
                <w:szCs w:val="20"/>
              </w:rPr>
            </w:pPr>
            <w:r w:rsidRPr="00B45F7C">
              <w:rPr>
                <w:rFonts w:ascii="Aptos" w:eastAsia="Aptos" w:hAnsi="Aptos" w:cs="Times New Roman"/>
                <w:sz w:val="20"/>
                <w:szCs w:val="20"/>
              </w:rPr>
              <w:t>Dec-23</w:t>
            </w:r>
          </w:p>
        </w:tc>
        <w:tc>
          <w:tcPr>
            <w:tcW w:w="1235" w:type="dxa"/>
          </w:tcPr>
          <w:p w14:paraId="5FE36C01"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4.4</w:t>
            </w:r>
          </w:p>
        </w:tc>
        <w:tc>
          <w:tcPr>
            <w:tcW w:w="1413" w:type="dxa"/>
          </w:tcPr>
          <w:p w14:paraId="32B3500F"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3.1</w:t>
            </w:r>
          </w:p>
        </w:tc>
        <w:tc>
          <w:tcPr>
            <w:tcW w:w="1413" w:type="dxa"/>
          </w:tcPr>
          <w:p w14:paraId="2413264B"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5.2</w:t>
            </w:r>
          </w:p>
        </w:tc>
        <w:tc>
          <w:tcPr>
            <w:tcW w:w="1413" w:type="dxa"/>
          </w:tcPr>
          <w:p w14:paraId="0DB0D2BB"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3.0</w:t>
            </w:r>
          </w:p>
        </w:tc>
        <w:tc>
          <w:tcPr>
            <w:tcW w:w="1413" w:type="dxa"/>
          </w:tcPr>
          <w:p w14:paraId="53910E59"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3.9</w:t>
            </w:r>
          </w:p>
        </w:tc>
        <w:tc>
          <w:tcPr>
            <w:tcW w:w="1413" w:type="dxa"/>
          </w:tcPr>
          <w:p w14:paraId="7EE051EE"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3.2</w:t>
            </w:r>
          </w:p>
        </w:tc>
      </w:tr>
      <w:tr w:rsidR="00677577" w:rsidRPr="00B45F7C" w14:paraId="10AD8AD2" w14:textId="77777777">
        <w:tc>
          <w:tcPr>
            <w:tcW w:w="988" w:type="dxa"/>
          </w:tcPr>
          <w:p w14:paraId="5FBD1254" w14:textId="77777777" w:rsidR="00677577" w:rsidRPr="00B45F7C" w:rsidRDefault="00677577" w:rsidP="00DE780D">
            <w:pPr>
              <w:spacing w:after="60"/>
              <w:rPr>
                <w:rFonts w:ascii="Aptos" w:eastAsia="Aptos" w:hAnsi="Aptos" w:cs="Times New Roman"/>
                <w:sz w:val="20"/>
                <w:szCs w:val="20"/>
              </w:rPr>
            </w:pPr>
            <w:r w:rsidRPr="00B45F7C">
              <w:rPr>
                <w:rFonts w:ascii="Aptos" w:eastAsia="Aptos" w:hAnsi="Aptos" w:cs="Times New Roman"/>
                <w:sz w:val="20"/>
                <w:szCs w:val="20"/>
              </w:rPr>
              <w:t>Mar-24</w:t>
            </w:r>
          </w:p>
        </w:tc>
        <w:tc>
          <w:tcPr>
            <w:tcW w:w="1235" w:type="dxa"/>
          </w:tcPr>
          <w:p w14:paraId="73750A3D"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3.9</w:t>
            </w:r>
          </w:p>
        </w:tc>
        <w:tc>
          <w:tcPr>
            <w:tcW w:w="1413" w:type="dxa"/>
          </w:tcPr>
          <w:p w14:paraId="6C16AB50"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3.3</w:t>
            </w:r>
          </w:p>
        </w:tc>
        <w:tc>
          <w:tcPr>
            <w:tcW w:w="1413" w:type="dxa"/>
          </w:tcPr>
          <w:p w14:paraId="3CB6FE4B"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4.0</w:t>
            </w:r>
          </w:p>
        </w:tc>
        <w:tc>
          <w:tcPr>
            <w:tcW w:w="1413" w:type="dxa"/>
          </w:tcPr>
          <w:p w14:paraId="5346622E"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3.4</w:t>
            </w:r>
          </w:p>
        </w:tc>
        <w:tc>
          <w:tcPr>
            <w:tcW w:w="1413" w:type="dxa"/>
          </w:tcPr>
          <w:p w14:paraId="4E315DDF"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3.6</w:t>
            </w:r>
          </w:p>
        </w:tc>
        <w:tc>
          <w:tcPr>
            <w:tcW w:w="1413" w:type="dxa"/>
          </w:tcPr>
          <w:p w14:paraId="56EB01B6"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3.2</w:t>
            </w:r>
          </w:p>
        </w:tc>
      </w:tr>
      <w:tr w:rsidR="00677577" w:rsidRPr="00B45F7C" w14:paraId="14B0A8EC" w14:textId="77777777">
        <w:tc>
          <w:tcPr>
            <w:tcW w:w="988" w:type="dxa"/>
          </w:tcPr>
          <w:p w14:paraId="6CB35CC0" w14:textId="77777777" w:rsidR="00677577" w:rsidRPr="00B45F7C" w:rsidRDefault="00677577" w:rsidP="00DE780D">
            <w:pPr>
              <w:spacing w:after="60"/>
              <w:rPr>
                <w:rFonts w:ascii="Aptos" w:eastAsia="Aptos" w:hAnsi="Aptos" w:cs="Times New Roman"/>
                <w:sz w:val="20"/>
                <w:szCs w:val="20"/>
              </w:rPr>
            </w:pPr>
            <w:r w:rsidRPr="00B45F7C">
              <w:rPr>
                <w:rFonts w:ascii="Aptos" w:eastAsia="Aptos" w:hAnsi="Aptos" w:cs="Times New Roman"/>
                <w:sz w:val="20"/>
                <w:szCs w:val="20"/>
              </w:rPr>
              <w:t>Jun-24</w:t>
            </w:r>
          </w:p>
        </w:tc>
        <w:tc>
          <w:tcPr>
            <w:tcW w:w="1235" w:type="dxa"/>
          </w:tcPr>
          <w:p w14:paraId="37FA1003"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4.0</w:t>
            </w:r>
          </w:p>
        </w:tc>
        <w:tc>
          <w:tcPr>
            <w:tcW w:w="1413" w:type="dxa"/>
          </w:tcPr>
          <w:p w14:paraId="0F450A0D"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3.4</w:t>
            </w:r>
          </w:p>
        </w:tc>
        <w:tc>
          <w:tcPr>
            <w:tcW w:w="1413" w:type="dxa"/>
          </w:tcPr>
          <w:p w14:paraId="669F48B9"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3.9</w:t>
            </w:r>
          </w:p>
        </w:tc>
        <w:tc>
          <w:tcPr>
            <w:tcW w:w="1413" w:type="dxa"/>
          </w:tcPr>
          <w:p w14:paraId="07B5BD4C"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3.6</w:t>
            </w:r>
          </w:p>
        </w:tc>
        <w:tc>
          <w:tcPr>
            <w:tcW w:w="1413" w:type="dxa"/>
          </w:tcPr>
          <w:p w14:paraId="622BC926"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4.0</w:t>
            </w:r>
          </w:p>
        </w:tc>
        <w:tc>
          <w:tcPr>
            <w:tcW w:w="1413" w:type="dxa"/>
          </w:tcPr>
          <w:p w14:paraId="44D0AE04"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3.3</w:t>
            </w:r>
          </w:p>
        </w:tc>
      </w:tr>
      <w:tr w:rsidR="00677577" w:rsidRPr="00B45F7C" w14:paraId="763F079A" w14:textId="77777777">
        <w:tc>
          <w:tcPr>
            <w:tcW w:w="988" w:type="dxa"/>
          </w:tcPr>
          <w:p w14:paraId="584D1490" w14:textId="77777777" w:rsidR="00677577" w:rsidRPr="00B45F7C" w:rsidRDefault="00677577" w:rsidP="00DE780D">
            <w:pPr>
              <w:spacing w:after="60"/>
              <w:rPr>
                <w:rFonts w:ascii="Aptos" w:eastAsia="Aptos" w:hAnsi="Aptos" w:cs="Times New Roman"/>
                <w:sz w:val="20"/>
                <w:szCs w:val="20"/>
              </w:rPr>
            </w:pPr>
            <w:r w:rsidRPr="00B45F7C">
              <w:rPr>
                <w:rFonts w:ascii="Aptos" w:eastAsia="Aptos" w:hAnsi="Aptos" w:cs="Times New Roman"/>
                <w:sz w:val="20"/>
                <w:szCs w:val="20"/>
              </w:rPr>
              <w:t>Sep-24</w:t>
            </w:r>
          </w:p>
        </w:tc>
        <w:tc>
          <w:tcPr>
            <w:tcW w:w="1235" w:type="dxa"/>
          </w:tcPr>
          <w:p w14:paraId="201AC64F"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3.6</w:t>
            </w:r>
          </w:p>
        </w:tc>
        <w:tc>
          <w:tcPr>
            <w:tcW w:w="1413" w:type="dxa"/>
          </w:tcPr>
          <w:p w14:paraId="3E36910D"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3.5</w:t>
            </w:r>
          </w:p>
        </w:tc>
        <w:tc>
          <w:tcPr>
            <w:tcW w:w="1413" w:type="dxa"/>
          </w:tcPr>
          <w:p w14:paraId="4E677D15"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3.5</w:t>
            </w:r>
          </w:p>
        </w:tc>
        <w:tc>
          <w:tcPr>
            <w:tcW w:w="1413" w:type="dxa"/>
          </w:tcPr>
          <w:p w14:paraId="733674E7"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3.6</w:t>
            </w:r>
          </w:p>
        </w:tc>
        <w:tc>
          <w:tcPr>
            <w:tcW w:w="1413" w:type="dxa"/>
          </w:tcPr>
          <w:p w14:paraId="0B2FBFCD"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3.9</w:t>
            </w:r>
          </w:p>
        </w:tc>
        <w:tc>
          <w:tcPr>
            <w:tcW w:w="1413" w:type="dxa"/>
          </w:tcPr>
          <w:p w14:paraId="41DDD4F1" w14:textId="77777777" w:rsidR="00677577" w:rsidRPr="00B45F7C" w:rsidRDefault="00677577" w:rsidP="00DE780D">
            <w:pPr>
              <w:spacing w:after="60"/>
              <w:jc w:val="right"/>
              <w:rPr>
                <w:rFonts w:ascii="Aptos" w:eastAsia="Aptos" w:hAnsi="Aptos" w:cs="Times New Roman"/>
                <w:sz w:val="20"/>
                <w:szCs w:val="20"/>
              </w:rPr>
            </w:pPr>
            <w:r w:rsidRPr="00B45F7C">
              <w:rPr>
                <w:rFonts w:ascii="Aptos" w:eastAsia="Aptos" w:hAnsi="Aptos" w:cs="Times New Roman"/>
                <w:sz w:val="20"/>
                <w:szCs w:val="20"/>
              </w:rPr>
              <w:t>3.4</w:t>
            </w:r>
          </w:p>
        </w:tc>
      </w:tr>
    </w:tbl>
    <w:p w14:paraId="6B1387EB" w14:textId="77777777" w:rsidR="00677577" w:rsidRPr="00B45F7C" w:rsidRDefault="00677577" w:rsidP="00677577">
      <w:pPr>
        <w:spacing w:before="120"/>
        <w:rPr>
          <w:rFonts w:ascii="Aptos" w:eastAsia="Aptos" w:hAnsi="Aptos" w:cs="Times New Roman"/>
          <w:sz w:val="18"/>
        </w:rPr>
      </w:pPr>
      <w:r w:rsidRPr="00B45F7C">
        <w:rPr>
          <w:rFonts w:ascii="Aptos" w:eastAsia="Aptos" w:hAnsi="Aptos" w:cs="Times New Roman"/>
          <w:b/>
          <w:bCs/>
          <w:sz w:val="18"/>
        </w:rPr>
        <w:t>Source:</w:t>
      </w:r>
      <w:r w:rsidRPr="00B45F7C">
        <w:rPr>
          <w:rFonts w:ascii="Aptos" w:eastAsia="Aptos" w:hAnsi="Aptos" w:cs="Times New Roman"/>
          <w:sz w:val="18"/>
        </w:rPr>
        <w:t xml:space="preserve"> Trends in Federal Enterprise Bargaining, September quarter 2024, Tables 3 and 4.</w:t>
      </w:r>
    </w:p>
    <w:p w14:paraId="56D4358C" w14:textId="77777777" w:rsidR="00677577" w:rsidRPr="00B45F7C" w:rsidRDefault="00677577" w:rsidP="00677577">
      <w:pPr>
        <w:rPr>
          <w:rFonts w:ascii="Aptos" w:eastAsia="Aptos" w:hAnsi="Aptos" w:cs="Calibri"/>
        </w:rPr>
      </w:pPr>
      <w:r w:rsidRPr="00B45F7C">
        <w:rPr>
          <w:rFonts w:ascii="Aptos" w:eastAsia="Aptos" w:hAnsi="Aptos" w:cs="Calibri"/>
        </w:rPr>
        <w:br w:type="page"/>
      </w:r>
    </w:p>
    <w:p w14:paraId="2617323F" w14:textId="6DB3F543" w:rsidR="00677577" w:rsidRPr="00B45F7C" w:rsidRDefault="00677577" w:rsidP="00677577">
      <w:pPr>
        <w:rPr>
          <w:rFonts w:ascii="Aptos" w:eastAsia="Aptos" w:hAnsi="Aptos" w:cs="Times New Roman"/>
        </w:rPr>
      </w:pPr>
      <w:r w:rsidRPr="00F268A7">
        <w:rPr>
          <w:rFonts w:ascii="Aptos" w:eastAsia="Aptos" w:hAnsi="Aptos" w:cs="Times New Roman"/>
        </w:rPr>
        <w:t xml:space="preserve">Table </w:t>
      </w:r>
      <w:r w:rsidR="00C556F5" w:rsidRPr="00F268A7">
        <w:rPr>
          <w:rFonts w:ascii="Aptos" w:eastAsia="Aptos" w:hAnsi="Aptos" w:cs="Times New Roman"/>
        </w:rPr>
        <w:t>6</w:t>
      </w:r>
      <w:r w:rsidR="00C556F5">
        <w:rPr>
          <w:rFonts w:ascii="Aptos" w:eastAsia="Aptos" w:hAnsi="Aptos" w:cs="Times New Roman"/>
        </w:rPr>
        <w:t>5</w:t>
      </w:r>
      <w:r w:rsidR="00C556F5" w:rsidRPr="00FD4F1B">
        <w:rPr>
          <w:rFonts w:ascii="Aptos" w:eastAsia="Aptos" w:hAnsi="Aptos" w:cs="Times New Roman"/>
        </w:rPr>
        <w:t xml:space="preserve"> </w:t>
      </w:r>
      <w:r w:rsidRPr="00FD4F1B">
        <w:rPr>
          <w:rFonts w:ascii="Aptos" w:eastAsia="Aptos" w:hAnsi="Aptos" w:cs="Times New Roman"/>
        </w:rPr>
        <w:t>documents trends in the approval of single and multi-employer agreements (excluding</w:t>
      </w:r>
      <w:r w:rsidRPr="00B45F7C">
        <w:rPr>
          <w:rFonts w:ascii="Aptos" w:eastAsia="Aptos" w:hAnsi="Aptos" w:cs="Times New Roman"/>
        </w:rPr>
        <w:t xml:space="preserve"> greenfields agreements) by quarter (since September 2021). Information on the AAWI (%), the duration of the agreement and the number of employees covered is also provided. In the September 2024 quarter a total of 862 single enterprise agreements were approved with an AAWI of 3.6%. The number of employees covered was the largest recorded since December 2022, when the Secure Jobs, Better Pay reforms came into effect.</w:t>
      </w:r>
    </w:p>
    <w:p w14:paraId="5BB03302" w14:textId="77777777" w:rsidR="0011475D" w:rsidRDefault="00677577" w:rsidP="00677577">
      <w:pPr>
        <w:rPr>
          <w:rFonts w:ascii="Aptos" w:eastAsia="Aptos" w:hAnsi="Aptos" w:cs="Times New Roman"/>
        </w:rPr>
      </w:pPr>
      <w:r w:rsidRPr="00B45F7C">
        <w:rPr>
          <w:rFonts w:ascii="Aptos" w:eastAsia="Aptos" w:hAnsi="Aptos" w:cs="Times New Roman"/>
        </w:rPr>
        <w:t>In the March 2024 quarter the FWC approved 16 multi-employer agreements. The AAWI was equal to 2.5% and the number of employees covered equal to 44,300.</w:t>
      </w:r>
    </w:p>
    <w:p w14:paraId="175255C3" w14:textId="50B506BE" w:rsidR="00677577" w:rsidRPr="00B45F7C" w:rsidRDefault="00844718" w:rsidP="00F268A7">
      <w:pPr>
        <w:pStyle w:val="Caption"/>
      </w:pPr>
      <w:bookmarkStart w:id="1031" w:name="_Ref184405443"/>
      <w:bookmarkStart w:id="1032" w:name="_Toc186906081"/>
      <w:bookmarkStart w:id="1033" w:name="_Toc187514219"/>
      <w:bookmarkStart w:id="1034" w:name="_Toc189310888"/>
      <w:bookmarkStart w:id="1035" w:name="_Toc194251489"/>
      <w:r>
        <w:t xml:space="preserve">Table </w:t>
      </w:r>
      <w:r>
        <w:fldChar w:fldCharType="begin"/>
      </w:r>
      <w:r>
        <w:instrText xml:space="preserve"> SEQ Table \* ARABIC </w:instrText>
      </w:r>
      <w:r>
        <w:fldChar w:fldCharType="separate"/>
      </w:r>
      <w:r w:rsidR="00DE5F5E">
        <w:rPr>
          <w:noProof/>
        </w:rPr>
        <w:t>65</w:t>
      </w:r>
      <w:r>
        <w:fldChar w:fldCharType="end"/>
      </w:r>
      <w:r>
        <w:t xml:space="preserve">: </w:t>
      </w:r>
      <w:bookmarkEnd w:id="1031"/>
      <w:r w:rsidR="00677577" w:rsidRPr="00B45F7C">
        <w:t>Agreements approved in the quarter by agreement type (non-greenfields agreements)</w:t>
      </w:r>
      <w:bookmarkEnd w:id="1032"/>
      <w:bookmarkEnd w:id="1033"/>
      <w:bookmarkEnd w:id="1034"/>
      <w:r w:rsidR="0021216A">
        <w:t>, 2021 to 2024</w:t>
      </w:r>
      <w:bookmarkEnd w:id="1035"/>
    </w:p>
    <w:tbl>
      <w:tblPr>
        <w:tblW w:w="9029" w:type="dxa"/>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4A0" w:firstRow="1" w:lastRow="0" w:firstColumn="1" w:lastColumn="0" w:noHBand="0" w:noVBand="1"/>
      </w:tblPr>
      <w:tblGrid>
        <w:gridCol w:w="846"/>
        <w:gridCol w:w="875"/>
        <w:gridCol w:w="1029"/>
        <w:gridCol w:w="1027"/>
        <w:gridCol w:w="1029"/>
        <w:gridCol w:w="1028"/>
        <w:gridCol w:w="1028"/>
        <w:gridCol w:w="1029"/>
        <w:gridCol w:w="1138"/>
      </w:tblGrid>
      <w:tr w:rsidR="00677577" w:rsidRPr="002050CC" w14:paraId="3D969193" w14:textId="77777777">
        <w:trPr>
          <w:trHeight w:val="340"/>
        </w:trPr>
        <w:tc>
          <w:tcPr>
            <w:tcW w:w="846" w:type="dxa"/>
            <w:tcBorders>
              <w:top w:val="single" w:sz="4" w:space="0" w:color="auto"/>
              <w:bottom w:val="nil"/>
              <w:right w:val="single" w:sz="4" w:space="0" w:color="auto"/>
            </w:tcBorders>
            <w:noWrap/>
            <w:vAlign w:val="bottom"/>
          </w:tcPr>
          <w:p w14:paraId="4CB0DD5A" w14:textId="77777777" w:rsidR="00677577" w:rsidRPr="002050CC" w:rsidRDefault="00677577">
            <w:pPr>
              <w:spacing w:after="0" w:line="240" w:lineRule="auto"/>
              <w:rPr>
                <w:rFonts w:ascii="Aptos" w:eastAsia="Times New Roman" w:hAnsi="Aptos" w:cs="Times New Roman"/>
                <w:b/>
                <w:bCs/>
                <w:color w:val="000000"/>
                <w:sz w:val="20"/>
                <w:szCs w:val="20"/>
                <w:lang w:eastAsia="en-AU"/>
              </w:rPr>
            </w:pPr>
          </w:p>
        </w:tc>
        <w:tc>
          <w:tcPr>
            <w:tcW w:w="3960" w:type="dxa"/>
            <w:gridSpan w:val="4"/>
            <w:tcBorders>
              <w:top w:val="single" w:sz="4" w:space="0" w:color="auto"/>
              <w:left w:val="single" w:sz="4" w:space="0" w:color="auto"/>
              <w:bottom w:val="nil"/>
              <w:right w:val="single" w:sz="4" w:space="0" w:color="auto"/>
            </w:tcBorders>
            <w:shd w:val="clear" w:color="000000" w:fill="FFFFFF"/>
            <w:vAlign w:val="center"/>
          </w:tcPr>
          <w:p w14:paraId="3828926C" w14:textId="77777777" w:rsidR="00677577" w:rsidRPr="002050CC" w:rsidRDefault="00677577">
            <w:pPr>
              <w:spacing w:after="0" w:line="240" w:lineRule="auto"/>
              <w:rPr>
                <w:rFonts w:ascii="Aptos" w:eastAsia="Times New Roman" w:hAnsi="Aptos" w:cs="Calibri"/>
                <w:b/>
                <w:bCs/>
                <w:color w:val="000000"/>
                <w:sz w:val="20"/>
                <w:szCs w:val="20"/>
                <w:lang w:val="en-US" w:eastAsia="en-AU"/>
              </w:rPr>
            </w:pPr>
            <w:r w:rsidRPr="002050CC">
              <w:rPr>
                <w:rFonts w:ascii="Aptos" w:eastAsia="Times New Roman" w:hAnsi="Aptos" w:cs="Calibri"/>
                <w:b/>
                <w:bCs/>
                <w:color w:val="000000"/>
                <w:sz w:val="20"/>
                <w:szCs w:val="20"/>
                <w:lang w:val="en-US" w:eastAsia="en-AU"/>
              </w:rPr>
              <w:t>Single enterprise agreements</w:t>
            </w:r>
          </w:p>
        </w:tc>
        <w:tc>
          <w:tcPr>
            <w:tcW w:w="4223" w:type="dxa"/>
            <w:gridSpan w:val="4"/>
            <w:tcBorders>
              <w:top w:val="single" w:sz="4" w:space="0" w:color="auto"/>
              <w:left w:val="single" w:sz="4" w:space="0" w:color="auto"/>
              <w:bottom w:val="nil"/>
            </w:tcBorders>
            <w:shd w:val="clear" w:color="000000" w:fill="FFFFFF"/>
            <w:vAlign w:val="center"/>
          </w:tcPr>
          <w:p w14:paraId="07861314" w14:textId="77777777" w:rsidR="00677577" w:rsidRPr="002050CC" w:rsidRDefault="00677577">
            <w:pPr>
              <w:spacing w:after="0" w:line="240" w:lineRule="auto"/>
              <w:rPr>
                <w:rFonts w:ascii="Aptos" w:eastAsia="Times New Roman" w:hAnsi="Aptos" w:cs="Calibri"/>
                <w:b/>
                <w:bCs/>
                <w:color w:val="000000"/>
                <w:sz w:val="20"/>
                <w:szCs w:val="20"/>
                <w:lang w:val="en-US" w:eastAsia="en-AU"/>
              </w:rPr>
            </w:pPr>
            <w:r w:rsidRPr="002050CC">
              <w:rPr>
                <w:rFonts w:ascii="Aptos" w:eastAsia="Times New Roman" w:hAnsi="Aptos" w:cs="Calibri"/>
                <w:b/>
                <w:bCs/>
                <w:color w:val="000000"/>
                <w:sz w:val="20"/>
                <w:szCs w:val="20"/>
                <w:lang w:val="en-US" w:eastAsia="en-AU"/>
              </w:rPr>
              <w:t>Multi-employer agreements</w:t>
            </w:r>
          </w:p>
        </w:tc>
      </w:tr>
      <w:tr w:rsidR="00677577" w:rsidRPr="002050CC" w14:paraId="6B9137FC" w14:textId="77777777">
        <w:trPr>
          <w:trHeight w:val="340"/>
        </w:trPr>
        <w:tc>
          <w:tcPr>
            <w:tcW w:w="846" w:type="dxa"/>
            <w:tcBorders>
              <w:top w:val="nil"/>
              <w:bottom w:val="single" w:sz="4" w:space="0" w:color="auto"/>
              <w:right w:val="single" w:sz="4" w:space="0" w:color="auto"/>
            </w:tcBorders>
            <w:noWrap/>
            <w:vAlign w:val="bottom"/>
            <w:hideMark/>
          </w:tcPr>
          <w:p w14:paraId="545B8DCA" w14:textId="77777777" w:rsidR="00677577" w:rsidRPr="002050CC" w:rsidRDefault="00677577">
            <w:pPr>
              <w:spacing w:after="0" w:line="240" w:lineRule="auto"/>
              <w:rPr>
                <w:rFonts w:ascii="Aptos" w:eastAsia="Times New Roman" w:hAnsi="Aptos" w:cs="Times New Roman"/>
                <w:b/>
                <w:bCs/>
                <w:color w:val="000000"/>
                <w:sz w:val="20"/>
                <w:szCs w:val="20"/>
                <w:lang w:eastAsia="en-AU"/>
              </w:rPr>
            </w:pPr>
            <w:r w:rsidRPr="002050CC">
              <w:rPr>
                <w:rFonts w:ascii="Aptos" w:eastAsia="Times New Roman" w:hAnsi="Aptos" w:cs="Times New Roman"/>
                <w:b/>
                <w:bCs/>
                <w:color w:val="000000"/>
                <w:sz w:val="20"/>
                <w:szCs w:val="20"/>
                <w:lang w:eastAsia="en-AU"/>
              </w:rPr>
              <w:t> </w:t>
            </w:r>
          </w:p>
        </w:tc>
        <w:tc>
          <w:tcPr>
            <w:tcW w:w="875" w:type="dxa"/>
            <w:tcBorders>
              <w:top w:val="nil"/>
              <w:left w:val="single" w:sz="4" w:space="0" w:color="auto"/>
              <w:bottom w:val="single" w:sz="4" w:space="0" w:color="auto"/>
            </w:tcBorders>
            <w:shd w:val="clear" w:color="000000" w:fill="FFFFFF"/>
            <w:vAlign w:val="center"/>
            <w:hideMark/>
          </w:tcPr>
          <w:p w14:paraId="575B72F8" w14:textId="77777777" w:rsidR="00677577" w:rsidRPr="005A4463" w:rsidRDefault="00677577" w:rsidP="005A4463">
            <w:pPr>
              <w:spacing w:after="0" w:line="240" w:lineRule="auto"/>
              <w:jc w:val="right"/>
              <w:rPr>
                <w:rFonts w:ascii="Aptos" w:eastAsia="Times New Roman" w:hAnsi="Aptos" w:cs="Calibri"/>
                <w:b/>
                <w:color w:val="000000"/>
                <w:sz w:val="20"/>
                <w:szCs w:val="20"/>
                <w:lang w:eastAsia="en-AU"/>
              </w:rPr>
            </w:pPr>
            <w:r w:rsidRPr="005A4463">
              <w:rPr>
                <w:rFonts w:ascii="Aptos" w:eastAsia="Times New Roman" w:hAnsi="Aptos" w:cs="Calibri"/>
                <w:b/>
                <w:color w:val="000000"/>
                <w:sz w:val="20"/>
                <w:szCs w:val="20"/>
                <w:lang w:val="en-US" w:eastAsia="en-AU"/>
              </w:rPr>
              <w:t>No of agreements</w:t>
            </w:r>
          </w:p>
        </w:tc>
        <w:tc>
          <w:tcPr>
            <w:tcW w:w="1029" w:type="dxa"/>
            <w:tcBorders>
              <w:top w:val="nil"/>
              <w:bottom w:val="single" w:sz="4" w:space="0" w:color="auto"/>
            </w:tcBorders>
            <w:shd w:val="clear" w:color="000000" w:fill="FFFFFF"/>
            <w:vAlign w:val="center"/>
            <w:hideMark/>
          </w:tcPr>
          <w:p w14:paraId="6A568635" w14:textId="77777777" w:rsidR="00677577" w:rsidRPr="005A4463" w:rsidRDefault="00677577" w:rsidP="005A4463">
            <w:pPr>
              <w:spacing w:after="0" w:line="240" w:lineRule="auto"/>
              <w:jc w:val="right"/>
              <w:rPr>
                <w:rFonts w:ascii="Aptos" w:eastAsia="Times New Roman" w:hAnsi="Aptos" w:cs="Calibri"/>
                <w:b/>
                <w:color w:val="000000"/>
                <w:sz w:val="20"/>
                <w:szCs w:val="20"/>
                <w:lang w:eastAsia="en-AU"/>
              </w:rPr>
            </w:pPr>
            <w:r w:rsidRPr="005A4463">
              <w:rPr>
                <w:rFonts w:ascii="Aptos" w:eastAsia="Times New Roman" w:hAnsi="Aptos" w:cs="Calibri"/>
                <w:b/>
                <w:color w:val="000000"/>
                <w:sz w:val="20"/>
                <w:szCs w:val="20"/>
                <w:lang w:val="en-US" w:eastAsia="en-AU"/>
              </w:rPr>
              <w:t>AAWI (%)</w:t>
            </w:r>
          </w:p>
        </w:tc>
        <w:tc>
          <w:tcPr>
            <w:tcW w:w="1027" w:type="dxa"/>
            <w:tcBorders>
              <w:top w:val="nil"/>
              <w:bottom w:val="single" w:sz="4" w:space="0" w:color="auto"/>
            </w:tcBorders>
            <w:shd w:val="clear" w:color="000000" w:fill="FFFFFF"/>
            <w:vAlign w:val="center"/>
            <w:hideMark/>
          </w:tcPr>
          <w:p w14:paraId="14679199" w14:textId="77777777" w:rsidR="00677577" w:rsidRPr="005A4463" w:rsidRDefault="00677577" w:rsidP="005A4463">
            <w:pPr>
              <w:spacing w:after="0" w:line="240" w:lineRule="auto"/>
              <w:jc w:val="right"/>
              <w:rPr>
                <w:rFonts w:ascii="Aptos" w:eastAsia="Times New Roman" w:hAnsi="Aptos" w:cs="Calibri"/>
                <w:b/>
                <w:color w:val="000000"/>
                <w:sz w:val="20"/>
                <w:szCs w:val="20"/>
                <w:lang w:eastAsia="en-AU"/>
              </w:rPr>
            </w:pPr>
            <w:r w:rsidRPr="005A4463">
              <w:rPr>
                <w:rFonts w:ascii="Aptos" w:eastAsia="Times New Roman" w:hAnsi="Aptos" w:cs="Calibri"/>
                <w:b/>
                <w:color w:val="000000"/>
                <w:sz w:val="20"/>
                <w:szCs w:val="20"/>
                <w:lang w:val="en-US" w:eastAsia="en-AU"/>
              </w:rPr>
              <w:t>Duration (yrs)</w:t>
            </w:r>
          </w:p>
        </w:tc>
        <w:tc>
          <w:tcPr>
            <w:tcW w:w="1029" w:type="dxa"/>
            <w:tcBorders>
              <w:top w:val="nil"/>
              <w:bottom w:val="single" w:sz="4" w:space="0" w:color="auto"/>
              <w:right w:val="single" w:sz="4" w:space="0" w:color="auto"/>
            </w:tcBorders>
            <w:shd w:val="clear" w:color="000000" w:fill="FFFFFF"/>
            <w:vAlign w:val="center"/>
            <w:hideMark/>
          </w:tcPr>
          <w:p w14:paraId="64495519" w14:textId="77777777" w:rsidR="00677577" w:rsidRPr="005A4463" w:rsidRDefault="00677577" w:rsidP="005A4463">
            <w:pPr>
              <w:spacing w:after="0" w:line="240" w:lineRule="auto"/>
              <w:jc w:val="right"/>
              <w:rPr>
                <w:rFonts w:ascii="Aptos" w:eastAsia="Times New Roman" w:hAnsi="Aptos" w:cs="Calibri"/>
                <w:b/>
                <w:color w:val="000000"/>
                <w:sz w:val="20"/>
                <w:szCs w:val="20"/>
                <w:lang w:eastAsia="en-AU"/>
              </w:rPr>
            </w:pPr>
            <w:r w:rsidRPr="005A4463">
              <w:rPr>
                <w:rFonts w:ascii="Aptos" w:eastAsia="Times New Roman" w:hAnsi="Aptos" w:cs="Calibri"/>
                <w:b/>
                <w:color w:val="000000"/>
                <w:sz w:val="20"/>
                <w:szCs w:val="20"/>
                <w:lang w:val="en-US" w:eastAsia="en-AU"/>
              </w:rPr>
              <w:t>Employees (‘000)</w:t>
            </w:r>
          </w:p>
        </w:tc>
        <w:tc>
          <w:tcPr>
            <w:tcW w:w="1028" w:type="dxa"/>
            <w:tcBorders>
              <w:top w:val="nil"/>
              <w:left w:val="single" w:sz="4" w:space="0" w:color="auto"/>
              <w:bottom w:val="single" w:sz="4" w:space="0" w:color="auto"/>
            </w:tcBorders>
            <w:shd w:val="clear" w:color="000000" w:fill="FFFFFF"/>
            <w:vAlign w:val="center"/>
            <w:hideMark/>
          </w:tcPr>
          <w:p w14:paraId="6C529AF6" w14:textId="77777777" w:rsidR="00677577" w:rsidRPr="005A4463" w:rsidRDefault="00677577" w:rsidP="005A4463">
            <w:pPr>
              <w:spacing w:after="0" w:line="240" w:lineRule="auto"/>
              <w:jc w:val="right"/>
              <w:rPr>
                <w:rFonts w:ascii="Aptos" w:eastAsia="Times New Roman" w:hAnsi="Aptos" w:cs="Calibri"/>
                <w:b/>
                <w:color w:val="000000"/>
                <w:sz w:val="20"/>
                <w:szCs w:val="20"/>
                <w:lang w:eastAsia="en-AU"/>
              </w:rPr>
            </w:pPr>
            <w:r w:rsidRPr="005A4463">
              <w:rPr>
                <w:rFonts w:ascii="Aptos" w:eastAsia="Times New Roman" w:hAnsi="Aptos" w:cs="Calibri"/>
                <w:b/>
                <w:color w:val="000000"/>
                <w:sz w:val="20"/>
                <w:szCs w:val="20"/>
                <w:lang w:val="en-US" w:eastAsia="en-AU"/>
              </w:rPr>
              <w:t>No of agreements</w:t>
            </w:r>
          </w:p>
        </w:tc>
        <w:tc>
          <w:tcPr>
            <w:tcW w:w="1028" w:type="dxa"/>
            <w:tcBorders>
              <w:top w:val="nil"/>
              <w:bottom w:val="single" w:sz="4" w:space="0" w:color="auto"/>
            </w:tcBorders>
            <w:shd w:val="clear" w:color="000000" w:fill="FFFFFF"/>
            <w:vAlign w:val="center"/>
            <w:hideMark/>
          </w:tcPr>
          <w:p w14:paraId="380FCB60" w14:textId="77777777" w:rsidR="00677577" w:rsidRPr="005A4463" w:rsidRDefault="00677577" w:rsidP="005A4463">
            <w:pPr>
              <w:spacing w:after="0" w:line="240" w:lineRule="auto"/>
              <w:jc w:val="right"/>
              <w:rPr>
                <w:rFonts w:ascii="Aptos" w:eastAsia="Times New Roman" w:hAnsi="Aptos" w:cs="Calibri"/>
                <w:b/>
                <w:color w:val="000000"/>
                <w:sz w:val="20"/>
                <w:szCs w:val="20"/>
                <w:lang w:eastAsia="en-AU"/>
              </w:rPr>
            </w:pPr>
            <w:r w:rsidRPr="005A4463">
              <w:rPr>
                <w:rFonts w:ascii="Aptos" w:eastAsia="Times New Roman" w:hAnsi="Aptos" w:cs="Calibri"/>
                <w:b/>
                <w:color w:val="000000"/>
                <w:sz w:val="20"/>
                <w:szCs w:val="20"/>
                <w:lang w:val="en-US" w:eastAsia="en-AU"/>
              </w:rPr>
              <w:t>AAWI (%)</w:t>
            </w:r>
          </w:p>
        </w:tc>
        <w:tc>
          <w:tcPr>
            <w:tcW w:w="1029" w:type="dxa"/>
            <w:tcBorders>
              <w:top w:val="nil"/>
              <w:bottom w:val="single" w:sz="4" w:space="0" w:color="auto"/>
            </w:tcBorders>
            <w:shd w:val="clear" w:color="000000" w:fill="FFFFFF"/>
            <w:vAlign w:val="center"/>
            <w:hideMark/>
          </w:tcPr>
          <w:p w14:paraId="50F9ED07" w14:textId="77777777" w:rsidR="00677577" w:rsidRPr="005A4463" w:rsidRDefault="00677577" w:rsidP="005A4463">
            <w:pPr>
              <w:spacing w:after="0" w:line="240" w:lineRule="auto"/>
              <w:jc w:val="right"/>
              <w:rPr>
                <w:rFonts w:ascii="Aptos" w:eastAsia="Times New Roman" w:hAnsi="Aptos" w:cs="Calibri"/>
                <w:b/>
                <w:color w:val="000000"/>
                <w:sz w:val="20"/>
                <w:szCs w:val="20"/>
                <w:lang w:eastAsia="en-AU"/>
              </w:rPr>
            </w:pPr>
            <w:r w:rsidRPr="005A4463">
              <w:rPr>
                <w:rFonts w:ascii="Aptos" w:eastAsia="Times New Roman" w:hAnsi="Aptos" w:cs="Calibri"/>
                <w:b/>
                <w:color w:val="000000"/>
                <w:sz w:val="20"/>
                <w:szCs w:val="20"/>
                <w:lang w:val="en-US" w:eastAsia="en-AU"/>
              </w:rPr>
              <w:t>Duration (yrs)</w:t>
            </w:r>
          </w:p>
        </w:tc>
        <w:tc>
          <w:tcPr>
            <w:tcW w:w="1138" w:type="dxa"/>
            <w:tcBorders>
              <w:top w:val="nil"/>
              <w:bottom w:val="single" w:sz="4" w:space="0" w:color="auto"/>
            </w:tcBorders>
            <w:shd w:val="clear" w:color="000000" w:fill="FFFFFF"/>
            <w:vAlign w:val="center"/>
            <w:hideMark/>
          </w:tcPr>
          <w:p w14:paraId="1F070681" w14:textId="77777777" w:rsidR="00677577" w:rsidRPr="005A4463" w:rsidRDefault="00677577" w:rsidP="005A4463">
            <w:pPr>
              <w:spacing w:after="0" w:line="240" w:lineRule="auto"/>
              <w:jc w:val="right"/>
              <w:rPr>
                <w:rFonts w:ascii="Aptos" w:eastAsia="Times New Roman" w:hAnsi="Aptos" w:cs="Calibri"/>
                <w:b/>
                <w:color w:val="000000"/>
                <w:sz w:val="20"/>
                <w:szCs w:val="20"/>
                <w:lang w:eastAsia="en-AU"/>
              </w:rPr>
            </w:pPr>
            <w:r w:rsidRPr="005A4463">
              <w:rPr>
                <w:rFonts w:ascii="Aptos" w:eastAsia="Times New Roman" w:hAnsi="Aptos" w:cs="Calibri"/>
                <w:b/>
                <w:color w:val="000000"/>
                <w:sz w:val="20"/>
                <w:szCs w:val="20"/>
                <w:lang w:val="en-US" w:eastAsia="en-AU"/>
              </w:rPr>
              <w:t>Employees (‘000)</w:t>
            </w:r>
          </w:p>
        </w:tc>
      </w:tr>
      <w:tr w:rsidR="00677577" w:rsidRPr="002050CC" w14:paraId="24D8CFA8" w14:textId="77777777">
        <w:trPr>
          <w:trHeight w:val="340"/>
        </w:trPr>
        <w:tc>
          <w:tcPr>
            <w:tcW w:w="846" w:type="dxa"/>
            <w:tcBorders>
              <w:top w:val="single" w:sz="4" w:space="0" w:color="auto"/>
              <w:right w:val="single" w:sz="4" w:space="0" w:color="auto"/>
            </w:tcBorders>
            <w:noWrap/>
            <w:vAlign w:val="center"/>
            <w:hideMark/>
          </w:tcPr>
          <w:p w14:paraId="3D1DB66F" w14:textId="77777777" w:rsidR="00677577" w:rsidRPr="002050CC" w:rsidRDefault="00677577">
            <w:pPr>
              <w:spacing w:after="0" w:line="240" w:lineRule="auto"/>
              <w:jc w:val="center"/>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eastAsia="en-AU"/>
              </w:rPr>
              <w:t>Sep-21</w:t>
            </w:r>
          </w:p>
        </w:tc>
        <w:tc>
          <w:tcPr>
            <w:tcW w:w="875" w:type="dxa"/>
            <w:tcBorders>
              <w:top w:val="single" w:sz="4" w:space="0" w:color="auto"/>
              <w:left w:val="single" w:sz="4" w:space="0" w:color="auto"/>
            </w:tcBorders>
            <w:shd w:val="clear" w:color="000000" w:fill="FFFFFF"/>
            <w:vAlign w:val="center"/>
            <w:hideMark/>
          </w:tcPr>
          <w:p w14:paraId="37EC8BC7"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1,174</w:t>
            </w:r>
          </w:p>
        </w:tc>
        <w:tc>
          <w:tcPr>
            <w:tcW w:w="1029" w:type="dxa"/>
            <w:tcBorders>
              <w:top w:val="single" w:sz="4" w:space="0" w:color="auto"/>
            </w:tcBorders>
            <w:shd w:val="clear" w:color="000000" w:fill="FFFFFF"/>
            <w:vAlign w:val="center"/>
            <w:hideMark/>
          </w:tcPr>
          <w:p w14:paraId="08BB27C4"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2.6</w:t>
            </w:r>
          </w:p>
        </w:tc>
        <w:tc>
          <w:tcPr>
            <w:tcW w:w="1027" w:type="dxa"/>
            <w:tcBorders>
              <w:top w:val="single" w:sz="4" w:space="0" w:color="auto"/>
            </w:tcBorders>
            <w:shd w:val="clear" w:color="000000" w:fill="FFFFFF"/>
            <w:vAlign w:val="center"/>
            <w:hideMark/>
          </w:tcPr>
          <w:p w14:paraId="0EF12ED9"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2.3</w:t>
            </w:r>
          </w:p>
        </w:tc>
        <w:tc>
          <w:tcPr>
            <w:tcW w:w="1029" w:type="dxa"/>
            <w:tcBorders>
              <w:top w:val="single" w:sz="4" w:space="0" w:color="auto"/>
              <w:right w:val="single" w:sz="4" w:space="0" w:color="auto"/>
            </w:tcBorders>
            <w:shd w:val="clear" w:color="000000" w:fill="FFFFFF"/>
            <w:vAlign w:val="center"/>
            <w:hideMark/>
          </w:tcPr>
          <w:p w14:paraId="559EE77D"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178.4</w:t>
            </w:r>
          </w:p>
        </w:tc>
        <w:tc>
          <w:tcPr>
            <w:tcW w:w="1028" w:type="dxa"/>
            <w:tcBorders>
              <w:top w:val="single" w:sz="4" w:space="0" w:color="auto"/>
              <w:left w:val="single" w:sz="4" w:space="0" w:color="auto"/>
            </w:tcBorders>
            <w:shd w:val="clear" w:color="000000" w:fill="FFFFFF"/>
            <w:vAlign w:val="center"/>
            <w:hideMark/>
          </w:tcPr>
          <w:p w14:paraId="4C238A24"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1</w:t>
            </w:r>
          </w:p>
        </w:tc>
        <w:tc>
          <w:tcPr>
            <w:tcW w:w="1028" w:type="dxa"/>
            <w:tcBorders>
              <w:top w:val="single" w:sz="4" w:space="0" w:color="auto"/>
            </w:tcBorders>
            <w:shd w:val="clear" w:color="000000" w:fill="FFFFFF"/>
            <w:vAlign w:val="center"/>
            <w:hideMark/>
          </w:tcPr>
          <w:p w14:paraId="0A7757DB"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w:t>
            </w:r>
          </w:p>
        </w:tc>
        <w:tc>
          <w:tcPr>
            <w:tcW w:w="1029" w:type="dxa"/>
            <w:tcBorders>
              <w:top w:val="single" w:sz="4" w:space="0" w:color="auto"/>
            </w:tcBorders>
            <w:shd w:val="clear" w:color="000000" w:fill="FFFFFF"/>
            <w:vAlign w:val="center"/>
            <w:hideMark/>
          </w:tcPr>
          <w:p w14:paraId="1F7218B2"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4</w:t>
            </w:r>
          </w:p>
        </w:tc>
        <w:tc>
          <w:tcPr>
            <w:tcW w:w="1138" w:type="dxa"/>
            <w:tcBorders>
              <w:top w:val="single" w:sz="4" w:space="0" w:color="auto"/>
            </w:tcBorders>
            <w:shd w:val="clear" w:color="000000" w:fill="FFFFFF"/>
            <w:vAlign w:val="center"/>
            <w:hideMark/>
          </w:tcPr>
          <w:p w14:paraId="772A179D"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0</w:t>
            </w:r>
          </w:p>
        </w:tc>
      </w:tr>
      <w:tr w:rsidR="00677577" w:rsidRPr="002050CC" w14:paraId="71AD8FCE" w14:textId="77777777">
        <w:trPr>
          <w:trHeight w:val="340"/>
        </w:trPr>
        <w:tc>
          <w:tcPr>
            <w:tcW w:w="846" w:type="dxa"/>
            <w:tcBorders>
              <w:right w:val="single" w:sz="4" w:space="0" w:color="auto"/>
            </w:tcBorders>
            <w:noWrap/>
            <w:vAlign w:val="center"/>
            <w:hideMark/>
          </w:tcPr>
          <w:p w14:paraId="2CA32FFB" w14:textId="77777777" w:rsidR="00677577" w:rsidRPr="002050CC" w:rsidRDefault="00677577">
            <w:pPr>
              <w:spacing w:after="0" w:line="240" w:lineRule="auto"/>
              <w:jc w:val="center"/>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eastAsia="en-AU"/>
              </w:rPr>
              <w:t>Dec-21</w:t>
            </w:r>
          </w:p>
        </w:tc>
        <w:tc>
          <w:tcPr>
            <w:tcW w:w="875" w:type="dxa"/>
            <w:tcBorders>
              <w:left w:val="single" w:sz="4" w:space="0" w:color="auto"/>
            </w:tcBorders>
            <w:shd w:val="clear" w:color="000000" w:fill="FFFFFF"/>
            <w:vAlign w:val="center"/>
            <w:hideMark/>
          </w:tcPr>
          <w:p w14:paraId="0B7482C2"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1,050</w:t>
            </w:r>
          </w:p>
        </w:tc>
        <w:tc>
          <w:tcPr>
            <w:tcW w:w="1029" w:type="dxa"/>
            <w:shd w:val="clear" w:color="000000" w:fill="FFFFFF"/>
            <w:vAlign w:val="center"/>
            <w:hideMark/>
          </w:tcPr>
          <w:p w14:paraId="0FC90666"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2.5</w:t>
            </w:r>
          </w:p>
        </w:tc>
        <w:tc>
          <w:tcPr>
            <w:tcW w:w="1027" w:type="dxa"/>
            <w:shd w:val="clear" w:color="000000" w:fill="FFFFFF"/>
            <w:vAlign w:val="center"/>
            <w:hideMark/>
          </w:tcPr>
          <w:p w14:paraId="2E073A31"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2.3</w:t>
            </w:r>
          </w:p>
        </w:tc>
        <w:tc>
          <w:tcPr>
            <w:tcW w:w="1029" w:type="dxa"/>
            <w:tcBorders>
              <w:right w:val="single" w:sz="4" w:space="0" w:color="auto"/>
            </w:tcBorders>
            <w:shd w:val="clear" w:color="000000" w:fill="FFFFFF"/>
            <w:vAlign w:val="center"/>
            <w:hideMark/>
          </w:tcPr>
          <w:p w14:paraId="66503A0C"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144.1</w:t>
            </w:r>
          </w:p>
        </w:tc>
        <w:tc>
          <w:tcPr>
            <w:tcW w:w="1028" w:type="dxa"/>
            <w:tcBorders>
              <w:left w:val="single" w:sz="4" w:space="0" w:color="auto"/>
            </w:tcBorders>
            <w:shd w:val="clear" w:color="000000" w:fill="FFFFFF"/>
            <w:vAlign w:val="center"/>
            <w:hideMark/>
          </w:tcPr>
          <w:p w14:paraId="2ECFCCCE"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7</w:t>
            </w:r>
          </w:p>
        </w:tc>
        <w:tc>
          <w:tcPr>
            <w:tcW w:w="1028" w:type="dxa"/>
            <w:shd w:val="clear" w:color="000000" w:fill="FFFFFF"/>
            <w:vAlign w:val="center"/>
            <w:hideMark/>
          </w:tcPr>
          <w:p w14:paraId="74F0CAA2"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3.7</w:t>
            </w:r>
          </w:p>
        </w:tc>
        <w:tc>
          <w:tcPr>
            <w:tcW w:w="1029" w:type="dxa"/>
            <w:shd w:val="clear" w:color="000000" w:fill="FFFFFF"/>
            <w:vAlign w:val="center"/>
            <w:hideMark/>
          </w:tcPr>
          <w:p w14:paraId="549A93D9"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2.5</w:t>
            </w:r>
          </w:p>
        </w:tc>
        <w:tc>
          <w:tcPr>
            <w:tcW w:w="1138" w:type="dxa"/>
            <w:shd w:val="clear" w:color="000000" w:fill="FFFFFF"/>
            <w:vAlign w:val="center"/>
            <w:hideMark/>
          </w:tcPr>
          <w:p w14:paraId="4926D45B"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2</w:t>
            </w:r>
          </w:p>
        </w:tc>
      </w:tr>
      <w:tr w:rsidR="00677577" w:rsidRPr="002050CC" w14:paraId="3F403FEE" w14:textId="77777777">
        <w:trPr>
          <w:trHeight w:val="340"/>
        </w:trPr>
        <w:tc>
          <w:tcPr>
            <w:tcW w:w="846" w:type="dxa"/>
            <w:tcBorders>
              <w:right w:val="single" w:sz="4" w:space="0" w:color="auto"/>
            </w:tcBorders>
            <w:noWrap/>
            <w:vAlign w:val="center"/>
            <w:hideMark/>
          </w:tcPr>
          <w:p w14:paraId="2A72CF7E" w14:textId="77777777" w:rsidR="00677577" w:rsidRPr="002050CC" w:rsidRDefault="00677577">
            <w:pPr>
              <w:spacing w:after="0" w:line="240" w:lineRule="auto"/>
              <w:jc w:val="center"/>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eastAsia="en-AU"/>
              </w:rPr>
              <w:t>Mar-22</w:t>
            </w:r>
          </w:p>
        </w:tc>
        <w:tc>
          <w:tcPr>
            <w:tcW w:w="875" w:type="dxa"/>
            <w:tcBorders>
              <w:left w:val="single" w:sz="4" w:space="0" w:color="auto"/>
            </w:tcBorders>
            <w:shd w:val="clear" w:color="000000" w:fill="FFFFFF"/>
            <w:vAlign w:val="center"/>
            <w:hideMark/>
          </w:tcPr>
          <w:p w14:paraId="118EDFC8"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908</w:t>
            </w:r>
          </w:p>
        </w:tc>
        <w:tc>
          <w:tcPr>
            <w:tcW w:w="1029" w:type="dxa"/>
            <w:shd w:val="clear" w:color="000000" w:fill="FFFFFF"/>
            <w:vAlign w:val="center"/>
            <w:hideMark/>
          </w:tcPr>
          <w:p w14:paraId="312BA851"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2.6</w:t>
            </w:r>
          </w:p>
        </w:tc>
        <w:tc>
          <w:tcPr>
            <w:tcW w:w="1027" w:type="dxa"/>
            <w:shd w:val="clear" w:color="000000" w:fill="FFFFFF"/>
            <w:vAlign w:val="center"/>
            <w:hideMark/>
          </w:tcPr>
          <w:p w14:paraId="72E4E8CA"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2.4</w:t>
            </w:r>
          </w:p>
        </w:tc>
        <w:tc>
          <w:tcPr>
            <w:tcW w:w="1029" w:type="dxa"/>
            <w:tcBorders>
              <w:right w:val="single" w:sz="4" w:space="0" w:color="auto"/>
            </w:tcBorders>
            <w:shd w:val="clear" w:color="000000" w:fill="FFFFFF"/>
            <w:vAlign w:val="center"/>
            <w:hideMark/>
          </w:tcPr>
          <w:p w14:paraId="52C38485"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217.3</w:t>
            </w:r>
          </w:p>
        </w:tc>
        <w:tc>
          <w:tcPr>
            <w:tcW w:w="1028" w:type="dxa"/>
            <w:tcBorders>
              <w:left w:val="single" w:sz="4" w:space="0" w:color="auto"/>
            </w:tcBorders>
            <w:shd w:val="clear" w:color="000000" w:fill="FFFFFF"/>
            <w:vAlign w:val="center"/>
            <w:hideMark/>
          </w:tcPr>
          <w:p w14:paraId="31BFB4F7"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12</w:t>
            </w:r>
          </w:p>
        </w:tc>
        <w:tc>
          <w:tcPr>
            <w:tcW w:w="1028" w:type="dxa"/>
            <w:shd w:val="clear" w:color="000000" w:fill="FFFFFF"/>
            <w:vAlign w:val="center"/>
            <w:hideMark/>
          </w:tcPr>
          <w:p w14:paraId="228E289F"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2.7</w:t>
            </w:r>
          </w:p>
        </w:tc>
        <w:tc>
          <w:tcPr>
            <w:tcW w:w="1029" w:type="dxa"/>
            <w:shd w:val="clear" w:color="000000" w:fill="FFFFFF"/>
            <w:vAlign w:val="center"/>
            <w:hideMark/>
          </w:tcPr>
          <w:p w14:paraId="42B91AC7"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2.9</w:t>
            </w:r>
          </w:p>
        </w:tc>
        <w:tc>
          <w:tcPr>
            <w:tcW w:w="1138" w:type="dxa"/>
            <w:shd w:val="clear" w:color="000000" w:fill="FFFFFF"/>
            <w:vAlign w:val="center"/>
            <w:hideMark/>
          </w:tcPr>
          <w:p w14:paraId="524514EA"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26.4</w:t>
            </w:r>
          </w:p>
        </w:tc>
      </w:tr>
      <w:tr w:rsidR="00677577" w:rsidRPr="002050CC" w14:paraId="6300A58D" w14:textId="77777777">
        <w:trPr>
          <w:trHeight w:val="340"/>
        </w:trPr>
        <w:tc>
          <w:tcPr>
            <w:tcW w:w="846" w:type="dxa"/>
            <w:tcBorders>
              <w:right w:val="single" w:sz="4" w:space="0" w:color="auto"/>
            </w:tcBorders>
            <w:noWrap/>
            <w:vAlign w:val="center"/>
            <w:hideMark/>
          </w:tcPr>
          <w:p w14:paraId="1EE16F05" w14:textId="77777777" w:rsidR="00677577" w:rsidRPr="002050CC" w:rsidRDefault="00677577">
            <w:pPr>
              <w:spacing w:after="0" w:line="240" w:lineRule="auto"/>
              <w:jc w:val="center"/>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eastAsia="en-AU"/>
              </w:rPr>
              <w:t>Jun-22</w:t>
            </w:r>
          </w:p>
        </w:tc>
        <w:tc>
          <w:tcPr>
            <w:tcW w:w="875" w:type="dxa"/>
            <w:tcBorders>
              <w:left w:val="single" w:sz="4" w:space="0" w:color="auto"/>
            </w:tcBorders>
            <w:shd w:val="clear" w:color="000000" w:fill="FFFFFF"/>
            <w:vAlign w:val="center"/>
            <w:hideMark/>
          </w:tcPr>
          <w:p w14:paraId="496CD953"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832</w:t>
            </w:r>
          </w:p>
        </w:tc>
        <w:tc>
          <w:tcPr>
            <w:tcW w:w="1029" w:type="dxa"/>
            <w:shd w:val="clear" w:color="000000" w:fill="FFFFFF"/>
            <w:vAlign w:val="center"/>
            <w:hideMark/>
          </w:tcPr>
          <w:p w14:paraId="6FDA1C11"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2.8</w:t>
            </w:r>
          </w:p>
        </w:tc>
        <w:tc>
          <w:tcPr>
            <w:tcW w:w="1027" w:type="dxa"/>
            <w:shd w:val="clear" w:color="000000" w:fill="FFFFFF"/>
            <w:vAlign w:val="center"/>
            <w:hideMark/>
          </w:tcPr>
          <w:p w14:paraId="1D73ACFE"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2.7</w:t>
            </w:r>
          </w:p>
        </w:tc>
        <w:tc>
          <w:tcPr>
            <w:tcW w:w="1029" w:type="dxa"/>
            <w:tcBorders>
              <w:right w:val="single" w:sz="4" w:space="0" w:color="auto"/>
            </w:tcBorders>
            <w:shd w:val="clear" w:color="000000" w:fill="FFFFFF"/>
            <w:vAlign w:val="center"/>
            <w:hideMark/>
          </w:tcPr>
          <w:p w14:paraId="79C046A4"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150.6</w:t>
            </w:r>
          </w:p>
        </w:tc>
        <w:tc>
          <w:tcPr>
            <w:tcW w:w="1028" w:type="dxa"/>
            <w:tcBorders>
              <w:left w:val="single" w:sz="4" w:space="0" w:color="auto"/>
            </w:tcBorders>
            <w:shd w:val="clear" w:color="000000" w:fill="FFFFFF"/>
            <w:vAlign w:val="center"/>
            <w:hideMark/>
          </w:tcPr>
          <w:p w14:paraId="6062EE86"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7</w:t>
            </w:r>
          </w:p>
        </w:tc>
        <w:tc>
          <w:tcPr>
            <w:tcW w:w="1028" w:type="dxa"/>
            <w:shd w:val="clear" w:color="000000" w:fill="FFFFFF"/>
            <w:vAlign w:val="center"/>
            <w:hideMark/>
          </w:tcPr>
          <w:p w14:paraId="4E6568B7"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2.5</w:t>
            </w:r>
          </w:p>
        </w:tc>
        <w:tc>
          <w:tcPr>
            <w:tcW w:w="1029" w:type="dxa"/>
            <w:shd w:val="clear" w:color="000000" w:fill="FFFFFF"/>
            <w:vAlign w:val="center"/>
            <w:hideMark/>
          </w:tcPr>
          <w:p w14:paraId="236F0CC0"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2.7</w:t>
            </w:r>
          </w:p>
        </w:tc>
        <w:tc>
          <w:tcPr>
            <w:tcW w:w="1138" w:type="dxa"/>
            <w:shd w:val="clear" w:color="000000" w:fill="FFFFFF"/>
            <w:vAlign w:val="center"/>
            <w:hideMark/>
          </w:tcPr>
          <w:p w14:paraId="7648D42C"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0.9</w:t>
            </w:r>
          </w:p>
        </w:tc>
      </w:tr>
      <w:tr w:rsidR="00677577" w:rsidRPr="002050CC" w14:paraId="3CB7604B" w14:textId="77777777">
        <w:trPr>
          <w:trHeight w:val="340"/>
        </w:trPr>
        <w:tc>
          <w:tcPr>
            <w:tcW w:w="846" w:type="dxa"/>
            <w:tcBorders>
              <w:right w:val="single" w:sz="4" w:space="0" w:color="auto"/>
            </w:tcBorders>
            <w:noWrap/>
            <w:vAlign w:val="center"/>
            <w:hideMark/>
          </w:tcPr>
          <w:p w14:paraId="2ADBFEF2" w14:textId="77777777" w:rsidR="00677577" w:rsidRPr="002050CC" w:rsidRDefault="00677577">
            <w:pPr>
              <w:spacing w:after="0" w:line="240" w:lineRule="auto"/>
              <w:jc w:val="center"/>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eastAsia="en-AU"/>
              </w:rPr>
              <w:t>Sep-22</w:t>
            </w:r>
          </w:p>
        </w:tc>
        <w:tc>
          <w:tcPr>
            <w:tcW w:w="875" w:type="dxa"/>
            <w:tcBorders>
              <w:left w:val="single" w:sz="4" w:space="0" w:color="auto"/>
            </w:tcBorders>
            <w:shd w:val="clear" w:color="000000" w:fill="FFFFFF"/>
            <w:vAlign w:val="center"/>
            <w:hideMark/>
          </w:tcPr>
          <w:p w14:paraId="54D052E5"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1,016</w:t>
            </w:r>
          </w:p>
        </w:tc>
        <w:tc>
          <w:tcPr>
            <w:tcW w:w="1029" w:type="dxa"/>
            <w:shd w:val="clear" w:color="000000" w:fill="FFFFFF"/>
            <w:vAlign w:val="center"/>
            <w:hideMark/>
          </w:tcPr>
          <w:p w14:paraId="5708F1E2"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2.6</w:t>
            </w:r>
          </w:p>
        </w:tc>
        <w:tc>
          <w:tcPr>
            <w:tcW w:w="1027" w:type="dxa"/>
            <w:shd w:val="clear" w:color="000000" w:fill="FFFFFF"/>
            <w:vAlign w:val="center"/>
            <w:hideMark/>
          </w:tcPr>
          <w:p w14:paraId="0D344B03"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3</w:t>
            </w:r>
          </w:p>
        </w:tc>
        <w:tc>
          <w:tcPr>
            <w:tcW w:w="1029" w:type="dxa"/>
            <w:tcBorders>
              <w:right w:val="single" w:sz="4" w:space="0" w:color="auto"/>
            </w:tcBorders>
            <w:shd w:val="clear" w:color="000000" w:fill="FFFFFF"/>
            <w:vAlign w:val="center"/>
            <w:hideMark/>
          </w:tcPr>
          <w:p w14:paraId="2A2E78C0"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208.5</w:t>
            </w:r>
          </w:p>
        </w:tc>
        <w:tc>
          <w:tcPr>
            <w:tcW w:w="1028" w:type="dxa"/>
            <w:tcBorders>
              <w:left w:val="single" w:sz="4" w:space="0" w:color="auto"/>
            </w:tcBorders>
            <w:shd w:val="clear" w:color="000000" w:fill="FFFFFF"/>
            <w:vAlign w:val="center"/>
            <w:hideMark/>
          </w:tcPr>
          <w:p w14:paraId="53DB1C3D"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7</w:t>
            </w:r>
          </w:p>
        </w:tc>
        <w:tc>
          <w:tcPr>
            <w:tcW w:w="1028" w:type="dxa"/>
            <w:shd w:val="clear" w:color="000000" w:fill="FFFFFF"/>
            <w:vAlign w:val="center"/>
            <w:hideMark/>
          </w:tcPr>
          <w:p w14:paraId="17D73CBC"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3.4</w:t>
            </w:r>
          </w:p>
        </w:tc>
        <w:tc>
          <w:tcPr>
            <w:tcW w:w="1029" w:type="dxa"/>
            <w:shd w:val="clear" w:color="000000" w:fill="FFFFFF"/>
            <w:vAlign w:val="center"/>
            <w:hideMark/>
          </w:tcPr>
          <w:p w14:paraId="3741B357"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1.5</w:t>
            </w:r>
          </w:p>
        </w:tc>
        <w:tc>
          <w:tcPr>
            <w:tcW w:w="1138" w:type="dxa"/>
            <w:shd w:val="clear" w:color="000000" w:fill="FFFFFF"/>
            <w:vAlign w:val="center"/>
            <w:hideMark/>
          </w:tcPr>
          <w:p w14:paraId="6E89EF89"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3.7</w:t>
            </w:r>
          </w:p>
        </w:tc>
      </w:tr>
      <w:tr w:rsidR="00677577" w:rsidRPr="002050CC" w14:paraId="6745A83E" w14:textId="77777777">
        <w:trPr>
          <w:trHeight w:val="340"/>
        </w:trPr>
        <w:tc>
          <w:tcPr>
            <w:tcW w:w="846" w:type="dxa"/>
            <w:tcBorders>
              <w:right w:val="single" w:sz="4" w:space="0" w:color="auto"/>
            </w:tcBorders>
            <w:noWrap/>
            <w:vAlign w:val="center"/>
            <w:hideMark/>
          </w:tcPr>
          <w:p w14:paraId="61F5EB18" w14:textId="77777777" w:rsidR="00677577" w:rsidRPr="002050CC" w:rsidRDefault="00677577">
            <w:pPr>
              <w:spacing w:after="0" w:line="240" w:lineRule="auto"/>
              <w:jc w:val="center"/>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eastAsia="en-AU"/>
              </w:rPr>
              <w:t>Dec-22</w:t>
            </w:r>
          </w:p>
        </w:tc>
        <w:tc>
          <w:tcPr>
            <w:tcW w:w="875" w:type="dxa"/>
            <w:tcBorders>
              <w:left w:val="single" w:sz="4" w:space="0" w:color="auto"/>
            </w:tcBorders>
            <w:shd w:val="clear" w:color="000000" w:fill="FFFFFF"/>
            <w:vAlign w:val="center"/>
            <w:hideMark/>
          </w:tcPr>
          <w:p w14:paraId="3248ED5B"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1,061</w:t>
            </w:r>
          </w:p>
        </w:tc>
        <w:tc>
          <w:tcPr>
            <w:tcW w:w="1029" w:type="dxa"/>
            <w:shd w:val="clear" w:color="000000" w:fill="FFFFFF"/>
            <w:vAlign w:val="center"/>
            <w:hideMark/>
          </w:tcPr>
          <w:p w14:paraId="32C69CA4"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3</w:t>
            </w:r>
          </w:p>
        </w:tc>
        <w:tc>
          <w:tcPr>
            <w:tcW w:w="1027" w:type="dxa"/>
            <w:shd w:val="clear" w:color="000000" w:fill="FFFFFF"/>
            <w:vAlign w:val="center"/>
            <w:hideMark/>
          </w:tcPr>
          <w:p w14:paraId="08741E97"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2.5</w:t>
            </w:r>
          </w:p>
        </w:tc>
        <w:tc>
          <w:tcPr>
            <w:tcW w:w="1029" w:type="dxa"/>
            <w:tcBorders>
              <w:right w:val="single" w:sz="4" w:space="0" w:color="auto"/>
            </w:tcBorders>
            <w:shd w:val="clear" w:color="000000" w:fill="FFFFFF"/>
            <w:vAlign w:val="center"/>
            <w:hideMark/>
          </w:tcPr>
          <w:p w14:paraId="69C6469E"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216.5</w:t>
            </w:r>
          </w:p>
        </w:tc>
        <w:tc>
          <w:tcPr>
            <w:tcW w:w="1028" w:type="dxa"/>
            <w:tcBorders>
              <w:left w:val="single" w:sz="4" w:space="0" w:color="auto"/>
            </w:tcBorders>
            <w:shd w:val="clear" w:color="000000" w:fill="FFFFFF"/>
            <w:vAlign w:val="center"/>
            <w:hideMark/>
          </w:tcPr>
          <w:p w14:paraId="76900B57"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3</w:t>
            </w:r>
          </w:p>
        </w:tc>
        <w:tc>
          <w:tcPr>
            <w:tcW w:w="1028" w:type="dxa"/>
            <w:shd w:val="clear" w:color="000000" w:fill="FFFFFF"/>
            <w:vAlign w:val="center"/>
            <w:hideMark/>
          </w:tcPr>
          <w:p w14:paraId="0F0FF0AF"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3.4</w:t>
            </w:r>
          </w:p>
        </w:tc>
        <w:tc>
          <w:tcPr>
            <w:tcW w:w="1029" w:type="dxa"/>
            <w:shd w:val="clear" w:color="000000" w:fill="FFFFFF"/>
            <w:vAlign w:val="center"/>
            <w:hideMark/>
          </w:tcPr>
          <w:p w14:paraId="71912896"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2.5</w:t>
            </w:r>
          </w:p>
        </w:tc>
        <w:tc>
          <w:tcPr>
            <w:tcW w:w="1138" w:type="dxa"/>
            <w:shd w:val="clear" w:color="000000" w:fill="FFFFFF"/>
            <w:vAlign w:val="center"/>
            <w:hideMark/>
          </w:tcPr>
          <w:p w14:paraId="68CEF97A"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2.6</w:t>
            </w:r>
          </w:p>
        </w:tc>
      </w:tr>
      <w:tr w:rsidR="00677577" w:rsidRPr="002050CC" w14:paraId="0ACD27FB" w14:textId="77777777">
        <w:trPr>
          <w:trHeight w:val="340"/>
        </w:trPr>
        <w:tc>
          <w:tcPr>
            <w:tcW w:w="846" w:type="dxa"/>
            <w:tcBorders>
              <w:right w:val="single" w:sz="4" w:space="0" w:color="auto"/>
            </w:tcBorders>
            <w:noWrap/>
            <w:vAlign w:val="center"/>
            <w:hideMark/>
          </w:tcPr>
          <w:p w14:paraId="76543414" w14:textId="77777777" w:rsidR="00677577" w:rsidRPr="002050CC" w:rsidRDefault="00677577">
            <w:pPr>
              <w:spacing w:after="0" w:line="240" w:lineRule="auto"/>
              <w:jc w:val="center"/>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eastAsia="en-AU"/>
              </w:rPr>
              <w:t>Mar-23</w:t>
            </w:r>
          </w:p>
        </w:tc>
        <w:tc>
          <w:tcPr>
            <w:tcW w:w="875" w:type="dxa"/>
            <w:tcBorders>
              <w:left w:val="single" w:sz="4" w:space="0" w:color="auto"/>
            </w:tcBorders>
            <w:shd w:val="clear" w:color="000000" w:fill="FFFFFF"/>
            <w:vAlign w:val="center"/>
            <w:hideMark/>
          </w:tcPr>
          <w:p w14:paraId="175ED024"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781</w:t>
            </w:r>
          </w:p>
        </w:tc>
        <w:tc>
          <w:tcPr>
            <w:tcW w:w="1029" w:type="dxa"/>
            <w:shd w:val="clear" w:color="000000" w:fill="FFFFFF"/>
            <w:vAlign w:val="center"/>
            <w:hideMark/>
          </w:tcPr>
          <w:p w14:paraId="2B63A5B5"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3.7</w:t>
            </w:r>
          </w:p>
        </w:tc>
        <w:tc>
          <w:tcPr>
            <w:tcW w:w="1027" w:type="dxa"/>
            <w:shd w:val="clear" w:color="000000" w:fill="FFFFFF"/>
            <w:vAlign w:val="center"/>
            <w:hideMark/>
          </w:tcPr>
          <w:p w14:paraId="28D8E62D"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2.3</w:t>
            </w:r>
          </w:p>
        </w:tc>
        <w:tc>
          <w:tcPr>
            <w:tcW w:w="1029" w:type="dxa"/>
            <w:tcBorders>
              <w:right w:val="single" w:sz="4" w:space="0" w:color="auto"/>
            </w:tcBorders>
            <w:shd w:val="clear" w:color="000000" w:fill="FFFFFF"/>
            <w:vAlign w:val="center"/>
            <w:hideMark/>
          </w:tcPr>
          <w:p w14:paraId="24030286"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131.4</w:t>
            </w:r>
          </w:p>
        </w:tc>
        <w:tc>
          <w:tcPr>
            <w:tcW w:w="1028" w:type="dxa"/>
            <w:tcBorders>
              <w:left w:val="single" w:sz="4" w:space="0" w:color="auto"/>
            </w:tcBorders>
            <w:shd w:val="clear" w:color="000000" w:fill="FFFFFF"/>
            <w:vAlign w:val="center"/>
            <w:hideMark/>
          </w:tcPr>
          <w:p w14:paraId="22848EAC"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1</w:t>
            </w:r>
          </w:p>
        </w:tc>
        <w:tc>
          <w:tcPr>
            <w:tcW w:w="1028" w:type="dxa"/>
            <w:shd w:val="clear" w:color="000000" w:fill="FFFFFF"/>
            <w:vAlign w:val="center"/>
            <w:hideMark/>
          </w:tcPr>
          <w:p w14:paraId="5262149B"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w:t>
            </w:r>
          </w:p>
        </w:tc>
        <w:tc>
          <w:tcPr>
            <w:tcW w:w="1029" w:type="dxa"/>
            <w:shd w:val="clear" w:color="000000" w:fill="FFFFFF"/>
            <w:vAlign w:val="center"/>
            <w:hideMark/>
          </w:tcPr>
          <w:p w14:paraId="17BD5A06"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4</w:t>
            </w:r>
          </w:p>
        </w:tc>
        <w:tc>
          <w:tcPr>
            <w:tcW w:w="1138" w:type="dxa"/>
            <w:shd w:val="clear" w:color="000000" w:fill="FFFFFF"/>
            <w:vAlign w:val="center"/>
            <w:hideMark/>
          </w:tcPr>
          <w:p w14:paraId="5633583E"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0.7</w:t>
            </w:r>
          </w:p>
        </w:tc>
      </w:tr>
      <w:tr w:rsidR="00677577" w:rsidRPr="002050CC" w14:paraId="135586D4" w14:textId="77777777">
        <w:trPr>
          <w:trHeight w:val="340"/>
        </w:trPr>
        <w:tc>
          <w:tcPr>
            <w:tcW w:w="846" w:type="dxa"/>
            <w:tcBorders>
              <w:right w:val="single" w:sz="4" w:space="0" w:color="auto"/>
            </w:tcBorders>
            <w:noWrap/>
            <w:vAlign w:val="center"/>
            <w:hideMark/>
          </w:tcPr>
          <w:p w14:paraId="7B837968" w14:textId="77777777" w:rsidR="00677577" w:rsidRPr="002050CC" w:rsidRDefault="00677577">
            <w:pPr>
              <w:spacing w:after="0" w:line="240" w:lineRule="auto"/>
              <w:jc w:val="center"/>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eastAsia="en-AU"/>
              </w:rPr>
              <w:t>Jun-23</w:t>
            </w:r>
          </w:p>
        </w:tc>
        <w:tc>
          <w:tcPr>
            <w:tcW w:w="875" w:type="dxa"/>
            <w:tcBorders>
              <w:left w:val="single" w:sz="4" w:space="0" w:color="auto"/>
            </w:tcBorders>
            <w:shd w:val="clear" w:color="000000" w:fill="FFFFFF"/>
            <w:vAlign w:val="center"/>
            <w:hideMark/>
          </w:tcPr>
          <w:p w14:paraId="7DD597F1"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868</w:t>
            </w:r>
          </w:p>
        </w:tc>
        <w:tc>
          <w:tcPr>
            <w:tcW w:w="1029" w:type="dxa"/>
            <w:shd w:val="clear" w:color="000000" w:fill="FFFFFF"/>
            <w:vAlign w:val="center"/>
            <w:hideMark/>
          </w:tcPr>
          <w:p w14:paraId="063300D9"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3.8</w:t>
            </w:r>
          </w:p>
        </w:tc>
        <w:tc>
          <w:tcPr>
            <w:tcW w:w="1027" w:type="dxa"/>
            <w:shd w:val="clear" w:color="000000" w:fill="FFFFFF"/>
            <w:vAlign w:val="center"/>
            <w:hideMark/>
          </w:tcPr>
          <w:p w14:paraId="6DB447E4"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2.4</w:t>
            </w:r>
          </w:p>
        </w:tc>
        <w:tc>
          <w:tcPr>
            <w:tcW w:w="1029" w:type="dxa"/>
            <w:tcBorders>
              <w:right w:val="single" w:sz="4" w:space="0" w:color="auto"/>
            </w:tcBorders>
            <w:shd w:val="clear" w:color="000000" w:fill="FFFFFF"/>
            <w:vAlign w:val="center"/>
            <w:hideMark/>
          </w:tcPr>
          <w:p w14:paraId="3836E579"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133.3</w:t>
            </w:r>
          </w:p>
        </w:tc>
        <w:tc>
          <w:tcPr>
            <w:tcW w:w="1028" w:type="dxa"/>
            <w:tcBorders>
              <w:left w:val="single" w:sz="4" w:space="0" w:color="auto"/>
            </w:tcBorders>
            <w:shd w:val="clear" w:color="000000" w:fill="FFFFFF"/>
            <w:vAlign w:val="center"/>
            <w:hideMark/>
          </w:tcPr>
          <w:p w14:paraId="2D0E1F4F"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3</w:t>
            </w:r>
          </w:p>
        </w:tc>
        <w:tc>
          <w:tcPr>
            <w:tcW w:w="1028" w:type="dxa"/>
            <w:shd w:val="clear" w:color="000000" w:fill="FFFFFF"/>
            <w:vAlign w:val="center"/>
            <w:hideMark/>
          </w:tcPr>
          <w:p w14:paraId="11D3F710"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2</w:t>
            </w:r>
          </w:p>
        </w:tc>
        <w:tc>
          <w:tcPr>
            <w:tcW w:w="1029" w:type="dxa"/>
            <w:shd w:val="clear" w:color="000000" w:fill="FFFFFF"/>
            <w:vAlign w:val="center"/>
            <w:hideMark/>
          </w:tcPr>
          <w:p w14:paraId="0BB9E0BB"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2.9</w:t>
            </w:r>
          </w:p>
        </w:tc>
        <w:tc>
          <w:tcPr>
            <w:tcW w:w="1138" w:type="dxa"/>
            <w:shd w:val="clear" w:color="000000" w:fill="FFFFFF"/>
            <w:vAlign w:val="center"/>
            <w:hideMark/>
          </w:tcPr>
          <w:p w14:paraId="74EF1715"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0.4</w:t>
            </w:r>
          </w:p>
        </w:tc>
      </w:tr>
      <w:tr w:rsidR="00677577" w:rsidRPr="002050CC" w14:paraId="07A55810" w14:textId="77777777">
        <w:trPr>
          <w:trHeight w:val="340"/>
        </w:trPr>
        <w:tc>
          <w:tcPr>
            <w:tcW w:w="846" w:type="dxa"/>
            <w:tcBorders>
              <w:right w:val="single" w:sz="4" w:space="0" w:color="auto"/>
            </w:tcBorders>
            <w:noWrap/>
            <w:vAlign w:val="center"/>
            <w:hideMark/>
          </w:tcPr>
          <w:p w14:paraId="532232C7" w14:textId="77777777" w:rsidR="00677577" w:rsidRPr="002050CC" w:rsidRDefault="00677577">
            <w:pPr>
              <w:spacing w:after="0" w:line="240" w:lineRule="auto"/>
              <w:jc w:val="center"/>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eastAsia="en-AU"/>
              </w:rPr>
              <w:t>Sep-23</w:t>
            </w:r>
          </w:p>
        </w:tc>
        <w:tc>
          <w:tcPr>
            <w:tcW w:w="875" w:type="dxa"/>
            <w:tcBorders>
              <w:left w:val="single" w:sz="4" w:space="0" w:color="auto"/>
            </w:tcBorders>
            <w:shd w:val="clear" w:color="000000" w:fill="FFFFFF"/>
            <w:vAlign w:val="center"/>
            <w:hideMark/>
          </w:tcPr>
          <w:p w14:paraId="6202EC3C"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1,003</w:t>
            </w:r>
          </w:p>
        </w:tc>
        <w:tc>
          <w:tcPr>
            <w:tcW w:w="1029" w:type="dxa"/>
            <w:shd w:val="clear" w:color="000000" w:fill="FFFFFF"/>
            <w:vAlign w:val="center"/>
            <w:hideMark/>
          </w:tcPr>
          <w:p w14:paraId="252DA1E0"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4.3</w:t>
            </w:r>
          </w:p>
        </w:tc>
        <w:tc>
          <w:tcPr>
            <w:tcW w:w="1027" w:type="dxa"/>
            <w:shd w:val="clear" w:color="000000" w:fill="FFFFFF"/>
            <w:vAlign w:val="center"/>
            <w:hideMark/>
          </w:tcPr>
          <w:p w14:paraId="62A7CD50"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2.7</w:t>
            </w:r>
          </w:p>
        </w:tc>
        <w:tc>
          <w:tcPr>
            <w:tcW w:w="1029" w:type="dxa"/>
            <w:tcBorders>
              <w:right w:val="single" w:sz="4" w:space="0" w:color="auto"/>
            </w:tcBorders>
            <w:shd w:val="clear" w:color="000000" w:fill="FFFFFF"/>
            <w:vAlign w:val="center"/>
            <w:hideMark/>
          </w:tcPr>
          <w:p w14:paraId="5A7C6614"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257</w:t>
            </w:r>
          </w:p>
        </w:tc>
        <w:tc>
          <w:tcPr>
            <w:tcW w:w="1028" w:type="dxa"/>
            <w:tcBorders>
              <w:left w:val="single" w:sz="4" w:space="0" w:color="auto"/>
            </w:tcBorders>
            <w:shd w:val="clear" w:color="000000" w:fill="FFFFFF"/>
            <w:vAlign w:val="center"/>
            <w:hideMark/>
          </w:tcPr>
          <w:p w14:paraId="7164FC4F"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5</w:t>
            </w:r>
          </w:p>
        </w:tc>
        <w:tc>
          <w:tcPr>
            <w:tcW w:w="1028" w:type="dxa"/>
            <w:shd w:val="clear" w:color="000000" w:fill="FFFFFF"/>
            <w:vAlign w:val="center"/>
            <w:hideMark/>
          </w:tcPr>
          <w:p w14:paraId="4A3043E2"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3.4</w:t>
            </w:r>
          </w:p>
        </w:tc>
        <w:tc>
          <w:tcPr>
            <w:tcW w:w="1029" w:type="dxa"/>
            <w:shd w:val="clear" w:color="000000" w:fill="FFFFFF"/>
            <w:vAlign w:val="center"/>
            <w:hideMark/>
          </w:tcPr>
          <w:p w14:paraId="38A8FF35"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2.3</w:t>
            </w:r>
          </w:p>
        </w:tc>
        <w:tc>
          <w:tcPr>
            <w:tcW w:w="1138" w:type="dxa"/>
            <w:shd w:val="clear" w:color="000000" w:fill="FFFFFF"/>
            <w:vAlign w:val="center"/>
            <w:hideMark/>
          </w:tcPr>
          <w:p w14:paraId="46536062"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36.5</w:t>
            </w:r>
          </w:p>
        </w:tc>
      </w:tr>
      <w:tr w:rsidR="00677577" w:rsidRPr="002050CC" w14:paraId="2930D0AF" w14:textId="77777777">
        <w:trPr>
          <w:trHeight w:val="340"/>
        </w:trPr>
        <w:tc>
          <w:tcPr>
            <w:tcW w:w="846" w:type="dxa"/>
            <w:tcBorders>
              <w:right w:val="single" w:sz="4" w:space="0" w:color="auto"/>
            </w:tcBorders>
            <w:noWrap/>
            <w:vAlign w:val="center"/>
            <w:hideMark/>
          </w:tcPr>
          <w:p w14:paraId="6D3003B9" w14:textId="77777777" w:rsidR="00677577" w:rsidRPr="002050CC" w:rsidRDefault="00677577">
            <w:pPr>
              <w:spacing w:after="0" w:line="240" w:lineRule="auto"/>
              <w:jc w:val="center"/>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eastAsia="en-AU"/>
              </w:rPr>
              <w:t>Dec-23</w:t>
            </w:r>
          </w:p>
        </w:tc>
        <w:tc>
          <w:tcPr>
            <w:tcW w:w="875" w:type="dxa"/>
            <w:tcBorders>
              <w:left w:val="single" w:sz="4" w:space="0" w:color="auto"/>
            </w:tcBorders>
            <w:shd w:val="clear" w:color="000000" w:fill="FFFFFF"/>
            <w:vAlign w:val="center"/>
            <w:hideMark/>
          </w:tcPr>
          <w:p w14:paraId="660BCCF6"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1,194</w:t>
            </w:r>
          </w:p>
        </w:tc>
        <w:tc>
          <w:tcPr>
            <w:tcW w:w="1029" w:type="dxa"/>
            <w:shd w:val="clear" w:color="000000" w:fill="FFFFFF"/>
            <w:vAlign w:val="center"/>
            <w:hideMark/>
          </w:tcPr>
          <w:p w14:paraId="6DC2E3D6"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4.4</w:t>
            </w:r>
          </w:p>
        </w:tc>
        <w:tc>
          <w:tcPr>
            <w:tcW w:w="1027" w:type="dxa"/>
            <w:shd w:val="clear" w:color="000000" w:fill="FFFFFF"/>
            <w:vAlign w:val="center"/>
            <w:hideMark/>
          </w:tcPr>
          <w:p w14:paraId="68AB8D37"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2.5</w:t>
            </w:r>
          </w:p>
        </w:tc>
        <w:tc>
          <w:tcPr>
            <w:tcW w:w="1029" w:type="dxa"/>
            <w:tcBorders>
              <w:right w:val="single" w:sz="4" w:space="0" w:color="auto"/>
            </w:tcBorders>
            <w:shd w:val="clear" w:color="000000" w:fill="FFFFFF"/>
            <w:vAlign w:val="center"/>
            <w:hideMark/>
          </w:tcPr>
          <w:p w14:paraId="18555638"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275.1</w:t>
            </w:r>
          </w:p>
        </w:tc>
        <w:tc>
          <w:tcPr>
            <w:tcW w:w="1028" w:type="dxa"/>
            <w:tcBorders>
              <w:left w:val="single" w:sz="4" w:space="0" w:color="auto"/>
            </w:tcBorders>
            <w:shd w:val="clear" w:color="000000" w:fill="FFFFFF"/>
            <w:vAlign w:val="center"/>
            <w:hideMark/>
          </w:tcPr>
          <w:p w14:paraId="1CD950A7"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1</w:t>
            </w:r>
          </w:p>
        </w:tc>
        <w:tc>
          <w:tcPr>
            <w:tcW w:w="1028" w:type="dxa"/>
            <w:shd w:val="clear" w:color="000000" w:fill="FFFFFF"/>
            <w:vAlign w:val="center"/>
            <w:hideMark/>
          </w:tcPr>
          <w:p w14:paraId="57F7D3E2"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3.8</w:t>
            </w:r>
          </w:p>
        </w:tc>
        <w:tc>
          <w:tcPr>
            <w:tcW w:w="1029" w:type="dxa"/>
            <w:shd w:val="clear" w:color="000000" w:fill="FFFFFF"/>
            <w:vAlign w:val="center"/>
            <w:hideMark/>
          </w:tcPr>
          <w:p w14:paraId="59886E4D"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3</w:t>
            </w:r>
          </w:p>
        </w:tc>
        <w:tc>
          <w:tcPr>
            <w:tcW w:w="1138" w:type="dxa"/>
            <w:shd w:val="clear" w:color="000000" w:fill="FFFFFF"/>
            <w:vAlign w:val="center"/>
            <w:hideMark/>
          </w:tcPr>
          <w:p w14:paraId="61FC5AB6"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0</w:t>
            </w:r>
          </w:p>
        </w:tc>
      </w:tr>
      <w:tr w:rsidR="00677577" w:rsidRPr="002050CC" w14:paraId="4D0FEEA6" w14:textId="77777777">
        <w:trPr>
          <w:trHeight w:val="340"/>
        </w:trPr>
        <w:tc>
          <w:tcPr>
            <w:tcW w:w="846" w:type="dxa"/>
            <w:tcBorders>
              <w:right w:val="single" w:sz="4" w:space="0" w:color="auto"/>
            </w:tcBorders>
            <w:noWrap/>
            <w:vAlign w:val="center"/>
            <w:hideMark/>
          </w:tcPr>
          <w:p w14:paraId="50C297E0" w14:textId="77777777" w:rsidR="00677577" w:rsidRPr="002050CC" w:rsidRDefault="00677577">
            <w:pPr>
              <w:spacing w:after="0" w:line="240" w:lineRule="auto"/>
              <w:jc w:val="center"/>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eastAsia="en-AU"/>
              </w:rPr>
              <w:t>Mar-24</w:t>
            </w:r>
          </w:p>
        </w:tc>
        <w:tc>
          <w:tcPr>
            <w:tcW w:w="875" w:type="dxa"/>
            <w:tcBorders>
              <w:left w:val="single" w:sz="4" w:space="0" w:color="auto"/>
            </w:tcBorders>
            <w:shd w:val="clear" w:color="000000" w:fill="FFFFFF"/>
            <w:vAlign w:val="center"/>
            <w:hideMark/>
          </w:tcPr>
          <w:p w14:paraId="54493F18"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955</w:t>
            </w:r>
          </w:p>
        </w:tc>
        <w:tc>
          <w:tcPr>
            <w:tcW w:w="1029" w:type="dxa"/>
            <w:shd w:val="clear" w:color="000000" w:fill="FFFFFF"/>
            <w:vAlign w:val="center"/>
            <w:hideMark/>
          </w:tcPr>
          <w:p w14:paraId="190669F1"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3.9</w:t>
            </w:r>
          </w:p>
        </w:tc>
        <w:tc>
          <w:tcPr>
            <w:tcW w:w="1027" w:type="dxa"/>
            <w:shd w:val="clear" w:color="000000" w:fill="FFFFFF"/>
            <w:vAlign w:val="center"/>
            <w:hideMark/>
          </w:tcPr>
          <w:p w14:paraId="261AFD72"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2.7</w:t>
            </w:r>
          </w:p>
        </w:tc>
        <w:tc>
          <w:tcPr>
            <w:tcW w:w="1029" w:type="dxa"/>
            <w:tcBorders>
              <w:right w:val="single" w:sz="4" w:space="0" w:color="auto"/>
            </w:tcBorders>
            <w:shd w:val="clear" w:color="000000" w:fill="FFFFFF"/>
            <w:vAlign w:val="center"/>
            <w:hideMark/>
          </w:tcPr>
          <w:p w14:paraId="7479CF69"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319</w:t>
            </w:r>
          </w:p>
        </w:tc>
        <w:tc>
          <w:tcPr>
            <w:tcW w:w="1028" w:type="dxa"/>
            <w:tcBorders>
              <w:left w:val="single" w:sz="4" w:space="0" w:color="auto"/>
            </w:tcBorders>
            <w:shd w:val="clear" w:color="000000" w:fill="FFFFFF"/>
            <w:vAlign w:val="center"/>
            <w:hideMark/>
          </w:tcPr>
          <w:p w14:paraId="0016D68D"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16</w:t>
            </w:r>
          </w:p>
        </w:tc>
        <w:tc>
          <w:tcPr>
            <w:tcW w:w="1028" w:type="dxa"/>
            <w:shd w:val="clear" w:color="000000" w:fill="FFFFFF"/>
            <w:vAlign w:val="center"/>
            <w:hideMark/>
          </w:tcPr>
          <w:p w14:paraId="073185D1"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2.5</w:t>
            </w:r>
          </w:p>
        </w:tc>
        <w:tc>
          <w:tcPr>
            <w:tcW w:w="1029" w:type="dxa"/>
            <w:shd w:val="clear" w:color="000000" w:fill="FFFFFF"/>
            <w:vAlign w:val="center"/>
            <w:hideMark/>
          </w:tcPr>
          <w:p w14:paraId="11E744F3"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2.6</w:t>
            </w:r>
          </w:p>
        </w:tc>
        <w:tc>
          <w:tcPr>
            <w:tcW w:w="1138" w:type="dxa"/>
            <w:shd w:val="clear" w:color="000000" w:fill="FFFFFF"/>
            <w:vAlign w:val="center"/>
            <w:hideMark/>
          </w:tcPr>
          <w:p w14:paraId="704CCAE0"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44.3</w:t>
            </w:r>
          </w:p>
        </w:tc>
      </w:tr>
      <w:tr w:rsidR="00677577" w:rsidRPr="002050CC" w14:paraId="4F19F4CE" w14:textId="77777777">
        <w:trPr>
          <w:trHeight w:val="340"/>
        </w:trPr>
        <w:tc>
          <w:tcPr>
            <w:tcW w:w="846" w:type="dxa"/>
            <w:tcBorders>
              <w:right w:val="single" w:sz="4" w:space="0" w:color="auto"/>
            </w:tcBorders>
            <w:noWrap/>
            <w:vAlign w:val="center"/>
            <w:hideMark/>
          </w:tcPr>
          <w:p w14:paraId="77434712" w14:textId="77777777" w:rsidR="00677577" w:rsidRPr="002050CC" w:rsidRDefault="00677577">
            <w:pPr>
              <w:spacing w:after="0" w:line="240" w:lineRule="auto"/>
              <w:jc w:val="center"/>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eastAsia="en-AU"/>
              </w:rPr>
              <w:t>Jun-24</w:t>
            </w:r>
          </w:p>
        </w:tc>
        <w:tc>
          <w:tcPr>
            <w:tcW w:w="875" w:type="dxa"/>
            <w:tcBorders>
              <w:left w:val="single" w:sz="4" w:space="0" w:color="auto"/>
            </w:tcBorders>
            <w:shd w:val="clear" w:color="000000" w:fill="FFFFFF"/>
            <w:vAlign w:val="center"/>
            <w:hideMark/>
          </w:tcPr>
          <w:p w14:paraId="6B0A658A"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1,092</w:t>
            </w:r>
          </w:p>
        </w:tc>
        <w:tc>
          <w:tcPr>
            <w:tcW w:w="1029" w:type="dxa"/>
            <w:shd w:val="clear" w:color="000000" w:fill="FFFFFF"/>
            <w:vAlign w:val="center"/>
            <w:hideMark/>
          </w:tcPr>
          <w:p w14:paraId="08E63D79"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4</w:t>
            </w:r>
          </w:p>
        </w:tc>
        <w:tc>
          <w:tcPr>
            <w:tcW w:w="1027" w:type="dxa"/>
            <w:shd w:val="clear" w:color="000000" w:fill="FFFFFF"/>
            <w:vAlign w:val="center"/>
            <w:hideMark/>
          </w:tcPr>
          <w:p w14:paraId="03D0F273"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3</w:t>
            </w:r>
          </w:p>
        </w:tc>
        <w:tc>
          <w:tcPr>
            <w:tcW w:w="1029" w:type="dxa"/>
            <w:tcBorders>
              <w:right w:val="single" w:sz="4" w:space="0" w:color="auto"/>
            </w:tcBorders>
            <w:shd w:val="clear" w:color="000000" w:fill="FFFFFF"/>
            <w:vAlign w:val="center"/>
            <w:hideMark/>
          </w:tcPr>
          <w:p w14:paraId="01F1CEB1"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269.3</w:t>
            </w:r>
          </w:p>
        </w:tc>
        <w:tc>
          <w:tcPr>
            <w:tcW w:w="1028" w:type="dxa"/>
            <w:tcBorders>
              <w:left w:val="single" w:sz="4" w:space="0" w:color="auto"/>
            </w:tcBorders>
            <w:shd w:val="clear" w:color="000000" w:fill="FFFFFF"/>
            <w:vAlign w:val="center"/>
            <w:hideMark/>
          </w:tcPr>
          <w:p w14:paraId="34931685"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4</w:t>
            </w:r>
          </w:p>
        </w:tc>
        <w:tc>
          <w:tcPr>
            <w:tcW w:w="1028" w:type="dxa"/>
            <w:shd w:val="clear" w:color="000000" w:fill="FFFFFF"/>
            <w:vAlign w:val="center"/>
            <w:hideMark/>
          </w:tcPr>
          <w:p w14:paraId="09D3CB55"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6.6</w:t>
            </w:r>
          </w:p>
        </w:tc>
        <w:tc>
          <w:tcPr>
            <w:tcW w:w="1029" w:type="dxa"/>
            <w:shd w:val="clear" w:color="000000" w:fill="FFFFFF"/>
            <w:vAlign w:val="center"/>
            <w:hideMark/>
          </w:tcPr>
          <w:p w14:paraId="1D2C2C49"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2.2</w:t>
            </w:r>
          </w:p>
        </w:tc>
        <w:tc>
          <w:tcPr>
            <w:tcW w:w="1138" w:type="dxa"/>
            <w:shd w:val="clear" w:color="000000" w:fill="FFFFFF"/>
            <w:vAlign w:val="center"/>
            <w:hideMark/>
          </w:tcPr>
          <w:p w14:paraId="42ABAD08"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3.7</w:t>
            </w:r>
          </w:p>
        </w:tc>
      </w:tr>
      <w:tr w:rsidR="00677577" w:rsidRPr="002050CC" w14:paraId="1D0FB56A" w14:textId="77777777">
        <w:trPr>
          <w:trHeight w:val="340"/>
        </w:trPr>
        <w:tc>
          <w:tcPr>
            <w:tcW w:w="846" w:type="dxa"/>
            <w:tcBorders>
              <w:right w:val="single" w:sz="4" w:space="0" w:color="auto"/>
            </w:tcBorders>
            <w:vAlign w:val="center"/>
            <w:hideMark/>
          </w:tcPr>
          <w:p w14:paraId="31D16811" w14:textId="77777777" w:rsidR="00677577" w:rsidRPr="002050CC" w:rsidRDefault="00677577">
            <w:pPr>
              <w:spacing w:after="0" w:line="240" w:lineRule="auto"/>
              <w:jc w:val="center"/>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eastAsia="en-AU"/>
              </w:rPr>
              <w:t>Sep-24</w:t>
            </w:r>
          </w:p>
        </w:tc>
        <w:tc>
          <w:tcPr>
            <w:tcW w:w="875" w:type="dxa"/>
            <w:tcBorders>
              <w:left w:val="single" w:sz="4" w:space="0" w:color="auto"/>
              <w:bottom w:val="single" w:sz="4" w:space="0" w:color="auto"/>
            </w:tcBorders>
            <w:shd w:val="clear" w:color="000000" w:fill="FFFFFF"/>
            <w:vAlign w:val="center"/>
            <w:hideMark/>
          </w:tcPr>
          <w:p w14:paraId="499216DD"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862</w:t>
            </w:r>
          </w:p>
        </w:tc>
        <w:tc>
          <w:tcPr>
            <w:tcW w:w="1029" w:type="dxa"/>
            <w:tcBorders>
              <w:bottom w:val="single" w:sz="4" w:space="0" w:color="auto"/>
            </w:tcBorders>
            <w:shd w:val="clear" w:color="000000" w:fill="FFFFFF"/>
            <w:vAlign w:val="center"/>
            <w:hideMark/>
          </w:tcPr>
          <w:p w14:paraId="0483E917"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3.6</w:t>
            </w:r>
          </w:p>
        </w:tc>
        <w:tc>
          <w:tcPr>
            <w:tcW w:w="1027" w:type="dxa"/>
            <w:tcBorders>
              <w:bottom w:val="single" w:sz="4" w:space="0" w:color="auto"/>
            </w:tcBorders>
            <w:shd w:val="clear" w:color="000000" w:fill="FFFFFF"/>
            <w:vAlign w:val="center"/>
            <w:hideMark/>
          </w:tcPr>
          <w:p w14:paraId="5391D1CC"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3.1</w:t>
            </w:r>
          </w:p>
        </w:tc>
        <w:tc>
          <w:tcPr>
            <w:tcW w:w="1029" w:type="dxa"/>
            <w:tcBorders>
              <w:bottom w:val="single" w:sz="4" w:space="0" w:color="auto"/>
              <w:right w:val="single" w:sz="4" w:space="0" w:color="auto"/>
            </w:tcBorders>
            <w:shd w:val="clear" w:color="000000" w:fill="FFFFFF"/>
            <w:vAlign w:val="center"/>
            <w:hideMark/>
          </w:tcPr>
          <w:p w14:paraId="1C2A7307"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338.6</w:t>
            </w:r>
          </w:p>
        </w:tc>
        <w:tc>
          <w:tcPr>
            <w:tcW w:w="1028" w:type="dxa"/>
            <w:tcBorders>
              <w:left w:val="single" w:sz="4" w:space="0" w:color="auto"/>
              <w:bottom w:val="single" w:sz="4" w:space="0" w:color="auto"/>
            </w:tcBorders>
            <w:shd w:val="clear" w:color="000000" w:fill="FFFFFF"/>
            <w:vAlign w:val="center"/>
            <w:hideMark/>
          </w:tcPr>
          <w:p w14:paraId="238B86F2"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0</w:t>
            </w:r>
          </w:p>
        </w:tc>
        <w:tc>
          <w:tcPr>
            <w:tcW w:w="1028" w:type="dxa"/>
            <w:tcBorders>
              <w:bottom w:val="single" w:sz="4" w:space="0" w:color="auto"/>
            </w:tcBorders>
            <w:shd w:val="clear" w:color="000000" w:fill="FFFFFF"/>
            <w:vAlign w:val="center"/>
            <w:hideMark/>
          </w:tcPr>
          <w:p w14:paraId="3AC4BC9E"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w:t>
            </w:r>
          </w:p>
        </w:tc>
        <w:tc>
          <w:tcPr>
            <w:tcW w:w="1029" w:type="dxa"/>
            <w:tcBorders>
              <w:bottom w:val="single" w:sz="4" w:space="0" w:color="auto"/>
            </w:tcBorders>
            <w:shd w:val="clear" w:color="000000" w:fill="FFFFFF"/>
            <w:vAlign w:val="center"/>
            <w:hideMark/>
          </w:tcPr>
          <w:p w14:paraId="2884D6E9"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0</w:t>
            </w:r>
          </w:p>
        </w:tc>
        <w:tc>
          <w:tcPr>
            <w:tcW w:w="1138" w:type="dxa"/>
            <w:tcBorders>
              <w:bottom w:val="single" w:sz="4" w:space="0" w:color="auto"/>
            </w:tcBorders>
            <w:shd w:val="clear" w:color="000000" w:fill="FFFFFF"/>
            <w:vAlign w:val="center"/>
            <w:hideMark/>
          </w:tcPr>
          <w:p w14:paraId="0B357680" w14:textId="77777777" w:rsidR="00677577" w:rsidRPr="002050CC" w:rsidRDefault="00677577" w:rsidP="005A4463">
            <w:pPr>
              <w:spacing w:after="0" w:line="240" w:lineRule="auto"/>
              <w:jc w:val="right"/>
              <w:rPr>
                <w:rFonts w:ascii="Aptos" w:eastAsia="Times New Roman" w:hAnsi="Aptos" w:cs="Calibri"/>
                <w:color w:val="000000"/>
                <w:sz w:val="20"/>
                <w:szCs w:val="20"/>
                <w:lang w:eastAsia="en-AU"/>
              </w:rPr>
            </w:pPr>
            <w:r w:rsidRPr="002050CC">
              <w:rPr>
                <w:rFonts w:ascii="Aptos" w:eastAsia="Times New Roman" w:hAnsi="Aptos" w:cs="Calibri"/>
                <w:color w:val="000000"/>
                <w:sz w:val="20"/>
                <w:szCs w:val="20"/>
                <w:lang w:val="en-US" w:eastAsia="en-AU"/>
              </w:rPr>
              <w:t>0</w:t>
            </w:r>
          </w:p>
        </w:tc>
      </w:tr>
    </w:tbl>
    <w:p w14:paraId="7EAF5DB9" w14:textId="35641953" w:rsidR="00677577" w:rsidRPr="00B45F7C" w:rsidRDefault="00677577" w:rsidP="00677577">
      <w:pPr>
        <w:spacing w:before="120"/>
        <w:rPr>
          <w:rFonts w:ascii="Aptos" w:eastAsia="Aptos" w:hAnsi="Aptos" w:cs="Times New Roman"/>
          <w:sz w:val="18"/>
        </w:rPr>
      </w:pPr>
      <w:r w:rsidRPr="00B45F7C">
        <w:rPr>
          <w:rFonts w:ascii="Aptos" w:eastAsia="Aptos" w:hAnsi="Aptos" w:cs="Times New Roman"/>
          <w:b/>
          <w:bCs/>
          <w:sz w:val="18"/>
        </w:rPr>
        <w:t>Note:</w:t>
      </w:r>
      <w:r w:rsidRPr="00B45F7C">
        <w:rPr>
          <w:rFonts w:ascii="Aptos" w:eastAsia="Aptos" w:hAnsi="Aptos" w:cs="Times New Roman"/>
          <w:sz w:val="18"/>
        </w:rPr>
        <w:t xml:space="preserve"> </w:t>
      </w:r>
      <w:r w:rsidR="00FD4F1B">
        <w:rPr>
          <w:rFonts w:ascii="Aptos" w:eastAsia="Aptos" w:hAnsi="Aptos" w:cs="Times New Roman"/>
          <w:sz w:val="18"/>
        </w:rPr>
        <w:t xml:space="preserve">AAWI: average annualised wage increase; </w:t>
      </w:r>
      <w:r w:rsidRPr="00B45F7C">
        <w:rPr>
          <w:rFonts w:ascii="Aptos" w:eastAsia="Aptos" w:hAnsi="Aptos" w:cs="Times New Roman"/>
          <w:sz w:val="18"/>
        </w:rPr>
        <w:t>* not available.</w:t>
      </w:r>
    </w:p>
    <w:p w14:paraId="28AB8795" w14:textId="77777777" w:rsidR="00677577" w:rsidRPr="00B45F7C" w:rsidRDefault="00677577" w:rsidP="00677577">
      <w:pPr>
        <w:spacing w:before="120"/>
        <w:rPr>
          <w:rFonts w:ascii="Aptos" w:eastAsia="Aptos" w:hAnsi="Aptos" w:cs="Times New Roman"/>
          <w:sz w:val="18"/>
        </w:rPr>
      </w:pPr>
      <w:r w:rsidRPr="00B45F7C">
        <w:rPr>
          <w:rFonts w:ascii="Aptos" w:eastAsia="Aptos" w:hAnsi="Aptos" w:cs="Times New Roman"/>
          <w:b/>
          <w:bCs/>
          <w:sz w:val="18"/>
        </w:rPr>
        <w:t>Source:</w:t>
      </w:r>
      <w:r w:rsidRPr="00B45F7C">
        <w:rPr>
          <w:rFonts w:ascii="Aptos" w:eastAsia="Aptos" w:hAnsi="Aptos" w:cs="Times New Roman"/>
          <w:sz w:val="18"/>
        </w:rPr>
        <w:t xml:space="preserve"> Trends in Federal Enterprise Bargaining, September quarter 2024, Table 5.</w:t>
      </w:r>
    </w:p>
    <w:p w14:paraId="577D1EE4" w14:textId="77777777" w:rsidR="00677577" w:rsidRPr="00B45F7C" w:rsidRDefault="00677577" w:rsidP="0021216A">
      <w:r w:rsidRPr="00B45F7C">
        <w:rPr>
          <w:rFonts w:eastAsia="Aptos"/>
        </w:rPr>
        <w:br w:type="page"/>
      </w:r>
    </w:p>
    <w:p w14:paraId="761700C5" w14:textId="77777777" w:rsidR="00677577" w:rsidRPr="00B45F7C" w:rsidRDefault="00677577" w:rsidP="00677577">
      <w:pPr>
        <w:pStyle w:val="Heading2"/>
      </w:pPr>
      <w:bookmarkStart w:id="1036" w:name="_Toc188278058"/>
      <w:bookmarkStart w:id="1037" w:name="_Toc189260186"/>
      <w:bookmarkStart w:id="1038" w:name="_Toc189393676"/>
      <w:bookmarkStart w:id="1039" w:name="_Toc192258082"/>
      <w:bookmarkStart w:id="1040" w:name="_Toc194311453"/>
      <w:r w:rsidRPr="00B45F7C">
        <w:t>Appendix 3 – Fair Work Commission data</w:t>
      </w:r>
      <w:bookmarkEnd w:id="1036"/>
      <w:bookmarkEnd w:id="1037"/>
      <w:bookmarkEnd w:id="1038"/>
      <w:bookmarkEnd w:id="1039"/>
      <w:bookmarkEnd w:id="1040"/>
    </w:p>
    <w:p w14:paraId="6B856DA4" w14:textId="77777777" w:rsidR="00677577" w:rsidRPr="00B45F7C" w:rsidRDefault="00677577" w:rsidP="00677577">
      <w:pPr>
        <w:keepNext/>
        <w:keepLines/>
        <w:spacing w:before="320" w:after="60"/>
        <w:outlineLvl w:val="2"/>
        <w:rPr>
          <w:rFonts w:ascii="Aptos Display" w:eastAsia="Times New Roman" w:hAnsi="Aptos Display" w:cs="Times New Roman"/>
          <w:b/>
          <w:color w:val="0D2C6C"/>
          <w:sz w:val="32"/>
        </w:rPr>
      </w:pPr>
      <w:bookmarkStart w:id="1041" w:name="_Toc189393677"/>
      <w:bookmarkStart w:id="1042" w:name="_Toc192258346"/>
      <w:bookmarkStart w:id="1043" w:name="_Toc193826721"/>
      <w:bookmarkStart w:id="1044" w:name="_Toc194066984"/>
      <w:bookmarkStart w:id="1045" w:name="_Toc194311454"/>
      <w:r w:rsidRPr="00B45F7C">
        <w:rPr>
          <w:rFonts w:ascii="Aptos Display" w:eastAsia="Times New Roman" w:hAnsi="Aptos Display" w:cs="Times New Roman"/>
          <w:b/>
          <w:color w:val="0D2C6C"/>
          <w:sz w:val="32"/>
        </w:rPr>
        <w:t xml:space="preserve">1. </w:t>
      </w:r>
      <w:bookmarkStart w:id="1046" w:name="_Toc188278059"/>
      <w:r w:rsidRPr="00B45F7C">
        <w:rPr>
          <w:rFonts w:ascii="Aptos Display" w:eastAsia="Times New Roman" w:hAnsi="Aptos Display" w:cs="Times New Roman"/>
          <w:b/>
          <w:color w:val="0D2C6C"/>
          <w:sz w:val="32"/>
        </w:rPr>
        <w:t>Enterprise agreement applications</w:t>
      </w:r>
      <w:bookmarkEnd w:id="1041"/>
      <w:bookmarkEnd w:id="1042"/>
      <w:bookmarkEnd w:id="1043"/>
      <w:bookmarkEnd w:id="1044"/>
      <w:bookmarkEnd w:id="1045"/>
      <w:bookmarkEnd w:id="1046"/>
    </w:p>
    <w:p w14:paraId="78CC11F4" w14:textId="26125570" w:rsidR="00677577" w:rsidRPr="00B45F7C" w:rsidRDefault="00677577" w:rsidP="00677577">
      <w:pPr>
        <w:rPr>
          <w:rFonts w:ascii="Aptos" w:eastAsia="Aptos" w:hAnsi="Aptos" w:cs="Times New Roman"/>
        </w:rPr>
      </w:pPr>
      <w:r w:rsidRPr="00B45F7C">
        <w:rPr>
          <w:rFonts w:ascii="Aptos" w:eastAsia="Aptos" w:hAnsi="Aptos" w:cs="Times New Roman"/>
        </w:rPr>
        <w:t xml:space="preserve">Between July 2021 and </w:t>
      </w:r>
      <w:r>
        <w:rPr>
          <w:rFonts w:ascii="Aptos" w:eastAsia="Aptos" w:hAnsi="Aptos" w:cs="Times New Roman"/>
        </w:rPr>
        <w:t>December</w:t>
      </w:r>
      <w:r w:rsidRPr="00B45F7C">
        <w:rPr>
          <w:rFonts w:ascii="Aptos" w:eastAsia="Aptos" w:hAnsi="Aptos" w:cs="Times New Roman"/>
        </w:rPr>
        <w:t xml:space="preserve"> 2024, the Fair Work Commission (FWC) received </w:t>
      </w:r>
      <w:r>
        <w:rPr>
          <w:rFonts w:ascii="Aptos" w:eastAsia="Aptos" w:hAnsi="Aptos" w:cs="Times New Roman"/>
        </w:rPr>
        <w:t>15,989</w:t>
      </w:r>
      <w:r w:rsidRPr="00B45F7C">
        <w:rPr>
          <w:rFonts w:ascii="Aptos" w:eastAsia="Aptos" w:hAnsi="Aptos" w:cs="Times New Roman"/>
        </w:rPr>
        <w:t xml:space="preserve"> applications for approval of an enterprise </w:t>
      </w:r>
      <w:r w:rsidRPr="00FD4F1B">
        <w:rPr>
          <w:rFonts w:ascii="Aptos" w:eastAsia="Aptos" w:hAnsi="Aptos" w:cs="Times New Roman"/>
        </w:rPr>
        <w:t xml:space="preserve">agreement. </w:t>
      </w:r>
      <w:r w:rsidRPr="002B2CC9">
        <w:rPr>
          <w:rFonts w:ascii="Aptos" w:eastAsia="Aptos" w:hAnsi="Aptos" w:cs="Times New Roman"/>
        </w:rPr>
        <w:t xml:space="preserve">Table </w:t>
      </w:r>
      <w:r w:rsidR="003E2100" w:rsidRPr="002B2CC9">
        <w:rPr>
          <w:rFonts w:ascii="Aptos" w:eastAsia="Aptos" w:hAnsi="Aptos" w:cs="Times New Roman"/>
        </w:rPr>
        <w:t>6</w:t>
      </w:r>
      <w:r w:rsidR="003E2100">
        <w:rPr>
          <w:rFonts w:ascii="Aptos" w:eastAsia="Aptos" w:hAnsi="Aptos" w:cs="Times New Roman"/>
        </w:rPr>
        <w:t>6</w:t>
      </w:r>
      <w:r w:rsidR="003E2100" w:rsidRPr="00FD4F1B">
        <w:rPr>
          <w:rFonts w:ascii="Aptos" w:eastAsia="Aptos" w:hAnsi="Aptos" w:cs="Times New Roman"/>
        </w:rPr>
        <w:t xml:space="preserve"> </w:t>
      </w:r>
      <w:r w:rsidRPr="00FD4F1B">
        <w:rPr>
          <w:rFonts w:ascii="Aptos" w:eastAsia="Aptos" w:hAnsi="Aptos" w:cs="Times New Roman"/>
        </w:rPr>
        <w:t>demonstrates</w:t>
      </w:r>
      <w:r w:rsidRPr="00B45F7C">
        <w:rPr>
          <w:rFonts w:ascii="Aptos" w:eastAsia="Aptos" w:hAnsi="Aptos" w:cs="Times New Roman"/>
        </w:rPr>
        <w:t xml:space="preserve"> that, despite monthly variations, the overall trend of applications for this period remains stable.</w:t>
      </w:r>
    </w:p>
    <w:p w14:paraId="47D9B4B4" w14:textId="42ACCAAE" w:rsidR="00677577" w:rsidRPr="00B45F7C" w:rsidRDefault="00844718" w:rsidP="002B2CC9">
      <w:pPr>
        <w:pStyle w:val="Caption"/>
      </w:pPr>
      <w:bookmarkStart w:id="1047" w:name="_Ref187164776"/>
      <w:bookmarkStart w:id="1048" w:name="_Toc187688536"/>
      <w:bookmarkStart w:id="1049" w:name="_Toc189310889"/>
      <w:bookmarkStart w:id="1050" w:name="_Toc194251490"/>
      <w:r>
        <w:t xml:space="preserve">Table </w:t>
      </w:r>
      <w:r>
        <w:fldChar w:fldCharType="begin"/>
      </w:r>
      <w:r>
        <w:instrText xml:space="preserve"> SEQ Table \* ARABIC </w:instrText>
      </w:r>
      <w:r>
        <w:fldChar w:fldCharType="separate"/>
      </w:r>
      <w:r w:rsidR="00DE5F5E">
        <w:rPr>
          <w:noProof/>
        </w:rPr>
        <w:t>66</w:t>
      </w:r>
      <w:r>
        <w:fldChar w:fldCharType="end"/>
      </w:r>
      <w:r>
        <w:t xml:space="preserve">: </w:t>
      </w:r>
      <w:bookmarkEnd w:id="1047"/>
      <w:r w:rsidR="00677577" w:rsidRPr="00B45F7C">
        <w:t>Monthly enterprise agreement applications</w:t>
      </w:r>
      <w:bookmarkEnd w:id="1048"/>
      <w:bookmarkEnd w:id="1049"/>
      <w:r w:rsidR="0021216A">
        <w:t>, 2021 to 2024</w:t>
      </w:r>
      <w:bookmarkEnd w:id="1050"/>
    </w:p>
    <w:tbl>
      <w:tblPr>
        <w:tblStyle w:val="TableGridCKEdit1"/>
        <w:tblW w:w="8955" w:type="dxa"/>
        <w:tblLayout w:type="fixed"/>
        <w:tblLook w:val="04A0" w:firstRow="1" w:lastRow="0" w:firstColumn="1" w:lastColumn="0" w:noHBand="0" w:noVBand="1"/>
      </w:tblPr>
      <w:tblGrid>
        <w:gridCol w:w="1124"/>
        <w:gridCol w:w="1957"/>
        <w:gridCol w:w="1958"/>
        <w:gridCol w:w="1958"/>
        <w:gridCol w:w="1958"/>
      </w:tblGrid>
      <w:tr w:rsidR="00677577" w:rsidRPr="002050CC" w14:paraId="7C10C266" w14:textId="77777777" w:rsidTr="005C25F4">
        <w:trPr>
          <w:trHeight w:val="227"/>
          <w:tblHeader/>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05F628FF" w14:textId="77777777" w:rsidR="00677577" w:rsidRPr="002050CC" w:rsidRDefault="00677577" w:rsidP="002B2CC9">
            <w:pPr>
              <w:rPr>
                <w:rFonts w:ascii="Aptos" w:eastAsia="Aptos" w:hAnsi="Aptos" w:cs="Times New Roman"/>
                <w:sz w:val="20"/>
                <w:szCs w:val="20"/>
              </w:rPr>
            </w:pP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4F8F7CAD" w14:textId="77777777" w:rsidR="00677577" w:rsidRPr="002050CC" w:rsidRDefault="00677577" w:rsidP="00A36122">
            <w:pPr>
              <w:jc w:val="right"/>
              <w:rPr>
                <w:rFonts w:ascii="Aptos" w:eastAsia="Aptos" w:hAnsi="Aptos" w:cs="Times New Roman"/>
                <w:b/>
                <w:bCs/>
                <w:sz w:val="20"/>
                <w:szCs w:val="20"/>
              </w:rPr>
            </w:pPr>
            <w:r w:rsidRPr="002050CC">
              <w:rPr>
                <w:rFonts w:ascii="Aptos" w:eastAsia="Aptos" w:hAnsi="Aptos" w:cs="Times New Roman"/>
                <w:b/>
                <w:bCs/>
                <w:sz w:val="20"/>
                <w:szCs w:val="20"/>
              </w:rPr>
              <w:t>Greenfields agreement</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4EAEE1F9" w14:textId="77777777" w:rsidR="00677577" w:rsidRPr="002050CC" w:rsidRDefault="00677577" w:rsidP="00A36122">
            <w:pPr>
              <w:jc w:val="right"/>
              <w:rPr>
                <w:rFonts w:ascii="Aptos" w:eastAsia="Aptos" w:hAnsi="Aptos" w:cs="Times New Roman"/>
                <w:b/>
                <w:bCs/>
                <w:sz w:val="20"/>
                <w:szCs w:val="20"/>
              </w:rPr>
            </w:pPr>
            <w:r w:rsidRPr="002050CC">
              <w:rPr>
                <w:rFonts w:ascii="Aptos" w:eastAsia="Aptos" w:hAnsi="Aptos" w:cs="Times New Roman"/>
                <w:b/>
                <w:bCs/>
                <w:sz w:val="20"/>
                <w:szCs w:val="20"/>
              </w:rPr>
              <w:t>Multi-employer agreement</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261FE13B" w14:textId="77777777" w:rsidR="00677577" w:rsidRPr="002050CC" w:rsidRDefault="00677577" w:rsidP="00A36122">
            <w:pPr>
              <w:jc w:val="right"/>
              <w:rPr>
                <w:rFonts w:ascii="Aptos" w:eastAsia="Aptos" w:hAnsi="Aptos" w:cs="Times New Roman"/>
                <w:b/>
                <w:bCs/>
                <w:sz w:val="20"/>
                <w:szCs w:val="20"/>
              </w:rPr>
            </w:pPr>
            <w:r w:rsidRPr="002050CC">
              <w:rPr>
                <w:rFonts w:ascii="Aptos" w:eastAsia="Aptos" w:hAnsi="Aptos" w:cs="Times New Roman"/>
                <w:b/>
                <w:bCs/>
                <w:sz w:val="20"/>
                <w:szCs w:val="20"/>
              </w:rPr>
              <w:t>Single-enterprise agreement</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30104AC2" w14:textId="77777777" w:rsidR="00677577" w:rsidRPr="002050CC" w:rsidRDefault="00677577" w:rsidP="00A36122">
            <w:pPr>
              <w:jc w:val="right"/>
              <w:rPr>
                <w:rFonts w:ascii="Aptos" w:eastAsia="Aptos" w:hAnsi="Aptos" w:cs="Times New Roman"/>
                <w:b/>
                <w:bCs/>
                <w:sz w:val="20"/>
                <w:szCs w:val="20"/>
              </w:rPr>
            </w:pPr>
            <w:r w:rsidRPr="002050CC">
              <w:rPr>
                <w:rFonts w:ascii="Aptos" w:eastAsia="Aptos" w:hAnsi="Aptos" w:cs="Times New Roman"/>
                <w:b/>
                <w:bCs/>
                <w:sz w:val="20"/>
                <w:szCs w:val="20"/>
              </w:rPr>
              <w:t>Total</w:t>
            </w:r>
          </w:p>
        </w:tc>
      </w:tr>
      <w:tr w:rsidR="00677577" w:rsidRPr="002050CC" w14:paraId="41EB7CF7" w14:textId="77777777">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29FEBFAA" w14:textId="77777777" w:rsidR="00677577" w:rsidRPr="00A36122" w:rsidRDefault="00677577" w:rsidP="00A36122">
            <w:pPr>
              <w:rPr>
                <w:rFonts w:ascii="Aptos" w:eastAsia="Aptos" w:hAnsi="Aptos" w:cs="Times New Roman"/>
                <w:sz w:val="20"/>
                <w:szCs w:val="20"/>
              </w:rPr>
            </w:pPr>
            <w:r w:rsidRPr="00A36122">
              <w:rPr>
                <w:rFonts w:ascii="Aptos" w:eastAsia="Aptos" w:hAnsi="Aptos" w:cs="Times New Roman"/>
                <w:sz w:val="20"/>
                <w:szCs w:val="20"/>
              </w:rPr>
              <w:t>Jul-21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2D0B92EF" w14:textId="77777777" w:rsidR="00677577" w:rsidRPr="00A36122" w:rsidRDefault="00677577" w:rsidP="00A36122">
            <w:pPr>
              <w:jc w:val="right"/>
              <w:rPr>
                <w:rFonts w:ascii="Aptos" w:eastAsia="Aptos" w:hAnsi="Aptos" w:cs="Times New Roman"/>
                <w:sz w:val="20"/>
                <w:szCs w:val="20"/>
              </w:rPr>
            </w:pPr>
            <w:r w:rsidRPr="00A36122">
              <w:rPr>
                <w:rFonts w:ascii="Aptos" w:eastAsia="Aptos" w:hAnsi="Aptos" w:cs="Times New Roman"/>
                <w:sz w:val="20"/>
                <w:szCs w:val="20"/>
              </w:rPr>
              <w:t>33</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30109AD0" w14:textId="77777777" w:rsidR="00677577" w:rsidRPr="00A36122" w:rsidRDefault="00677577" w:rsidP="00A36122">
            <w:pPr>
              <w:jc w:val="right"/>
              <w:rPr>
                <w:rFonts w:ascii="Aptos" w:eastAsia="Aptos" w:hAnsi="Aptos" w:cs="Times New Roman"/>
                <w:sz w:val="20"/>
                <w:szCs w:val="20"/>
              </w:rPr>
            </w:pPr>
            <w:r w:rsidRPr="00A36122">
              <w:rPr>
                <w:rFonts w:ascii="Aptos" w:eastAsia="Aptos" w:hAnsi="Aptos" w:cs="Times New Roman"/>
                <w:sz w:val="20"/>
                <w:szCs w:val="20"/>
              </w:rPr>
              <w:t>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080FFC0D" w14:textId="77777777" w:rsidR="00677577" w:rsidRPr="00A36122" w:rsidRDefault="00677577" w:rsidP="00A36122">
            <w:pPr>
              <w:jc w:val="right"/>
              <w:rPr>
                <w:rFonts w:ascii="Aptos" w:eastAsia="Aptos" w:hAnsi="Aptos" w:cs="Times New Roman"/>
                <w:sz w:val="20"/>
                <w:szCs w:val="20"/>
              </w:rPr>
            </w:pPr>
            <w:r w:rsidRPr="00A36122">
              <w:rPr>
                <w:rFonts w:ascii="Aptos" w:eastAsia="Aptos" w:hAnsi="Aptos" w:cs="Times New Roman"/>
                <w:sz w:val="20"/>
                <w:szCs w:val="20"/>
              </w:rPr>
              <w:t>435</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68453412" w14:textId="77777777" w:rsidR="00677577" w:rsidRPr="00A36122" w:rsidRDefault="00677577" w:rsidP="00A36122">
            <w:pPr>
              <w:jc w:val="right"/>
              <w:rPr>
                <w:rFonts w:ascii="Aptos" w:eastAsia="Aptos" w:hAnsi="Aptos" w:cs="Times New Roman"/>
                <w:sz w:val="20"/>
                <w:szCs w:val="20"/>
              </w:rPr>
            </w:pPr>
            <w:r w:rsidRPr="00A36122">
              <w:rPr>
                <w:rFonts w:ascii="Aptos" w:eastAsia="Aptos" w:hAnsi="Aptos" w:cs="Times New Roman"/>
                <w:sz w:val="20"/>
                <w:szCs w:val="20"/>
              </w:rPr>
              <w:t>469</w:t>
            </w:r>
          </w:p>
        </w:tc>
      </w:tr>
      <w:tr w:rsidR="00677577" w:rsidRPr="002050CC" w14:paraId="0BCA06EB" w14:textId="77777777">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0225F530" w14:textId="77777777" w:rsidR="00677577" w:rsidRPr="00A36122" w:rsidRDefault="00677577" w:rsidP="00A36122">
            <w:pPr>
              <w:rPr>
                <w:rFonts w:ascii="Aptos" w:eastAsia="Aptos" w:hAnsi="Aptos" w:cs="Times New Roman"/>
                <w:sz w:val="20"/>
                <w:szCs w:val="20"/>
              </w:rPr>
            </w:pPr>
            <w:r w:rsidRPr="00A36122">
              <w:rPr>
                <w:rFonts w:ascii="Aptos" w:eastAsia="Aptos" w:hAnsi="Aptos" w:cs="Times New Roman"/>
                <w:sz w:val="20"/>
                <w:szCs w:val="20"/>
              </w:rPr>
              <w:t>Aug-21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053BE3AB" w14:textId="77777777" w:rsidR="00677577" w:rsidRPr="00A36122" w:rsidRDefault="00677577" w:rsidP="00A36122">
            <w:pPr>
              <w:jc w:val="right"/>
              <w:rPr>
                <w:rFonts w:ascii="Aptos" w:eastAsia="Aptos" w:hAnsi="Aptos" w:cs="Times New Roman"/>
                <w:sz w:val="20"/>
                <w:szCs w:val="20"/>
              </w:rPr>
            </w:pPr>
            <w:r w:rsidRPr="00A36122">
              <w:rPr>
                <w:rFonts w:ascii="Aptos" w:eastAsia="Aptos" w:hAnsi="Aptos" w:cs="Times New Roman"/>
                <w:sz w:val="20"/>
                <w:szCs w:val="20"/>
              </w:rPr>
              <w:t>21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6599D78F" w14:textId="77777777" w:rsidR="00677577" w:rsidRPr="00A36122" w:rsidRDefault="00677577" w:rsidP="00A36122">
            <w:pPr>
              <w:jc w:val="right"/>
              <w:rPr>
                <w:rFonts w:ascii="Aptos" w:eastAsia="Aptos" w:hAnsi="Aptos" w:cs="Times New Roman"/>
                <w:sz w:val="20"/>
                <w:szCs w:val="20"/>
              </w:rPr>
            </w:pPr>
            <w:r w:rsidRPr="00A36122">
              <w:rPr>
                <w:rFonts w:ascii="Aptos" w:eastAsia="Aptos" w:hAnsi="Aptos" w:cs="Times New Roman"/>
                <w:sz w:val="20"/>
                <w:szCs w:val="20"/>
              </w:rPr>
              <w:t>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59EF81DF" w14:textId="77777777" w:rsidR="00677577" w:rsidRPr="00A36122" w:rsidRDefault="00677577" w:rsidP="00A36122">
            <w:pPr>
              <w:jc w:val="right"/>
              <w:rPr>
                <w:rFonts w:ascii="Aptos" w:eastAsia="Aptos" w:hAnsi="Aptos" w:cs="Times New Roman"/>
                <w:sz w:val="20"/>
                <w:szCs w:val="20"/>
              </w:rPr>
            </w:pPr>
            <w:r w:rsidRPr="00A36122">
              <w:rPr>
                <w:rFonts w:ascii="Aptos" w:eastAsia="Aptos" w:hAnsi="Aptos" w:cs="Times New Roman"/>
                <w:sz w:val="20"/>
                <w:szCs w:val="20"/>
              </w:rPr>
              <w:t>380</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54563F5F" w14:textId="77777777" w:rsidR="00677577" w:rsidRPr="00A36122" w:rsidRDefault="00677577" w:rsidP="00A36122">
            <w:pPr>
              <w:jc w:val="right"/>
              <w:rPr>
                <w:rFonts w:ascii="Aptos" w:eastAsia="Aptos" w:hAnsi="Aptos" w:cs="Times New Roman"/>
                <w:sz w:val="20"/>
                <w:szCs w:val="20"/>
              </w:rPr>
            </w:pPr>
            <w:r w:rsidRPr="00A36122">
              <w:rPr>
                <w:rFonts w:ascii="Aptos" w:eastAsia="Aptos" w:hAnsi="Aptos" w:cs="Times New Roman"/>
                <w:sz w:val="20"/>
                <w:szCs w:val="20"/>
              </w:rPr>
              <w:t>403</w:t>
            </w:r>
          </w:p>
        </w:tc>
      </w:tr>
      <w:tr w:rsidR="00677577" w:rsidRPr="002050CC" w14:paraId="24DCA7D4" w14:textId="77777777">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60780BF5" w14:textId="77777777" w:rsidR="00677577" w:rsidRPr="00C02452" w:rsidRDefault="00677577" w:rsidP="00C02452">
            <w:pPr>
              <w:rPr>
                <w:rFonts w:ascii="Aptos" w:eastAsia="Aptos" w:hAnsi="Aptos" w:cs="Times New Roman"/>
                <w:sz w:val="20"/>
                <w:szCs w:val="20"/>
              </w:rPr>
            </w:pPr>
            <w:r w:rsidRPr="00C02452">
              <w:rPr>
                <w:rFonts w:ascii="Aptos" w:eastAsia="Aptos" w:hAnsi="Aptos" w:cs="Times New Roman"/>
                <w:sz w:val="20"/>
                <w:szCs w:val="20"/>
              </w:rPr>
              <w:t>Sep-21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786FA4BF" w14:textId="77777777" w:rsidR="00677577" w:rsidRPr="00C02452" w:rsidRDefault="00677577" w:rsidP="00C02452">
            <w:pPr>
              <w:jc w:val="right"/>
              <w:rPr>
                <w:rFonts w:ascii="Aptos" w:eastAsia="Aptos" w:hAnsi="Aptos" w:cs="Times New Roman"/>
                <w:sz w:val="20"/>
                <w:szCs w:val="20"/>
              </w:rPr>
            </w:pPr>
            <w:r w:rsidRPr="00C02452">
              <w:rPr>
                <w:rFonts w:ascii="Aptos" w:eastAsia="Aptos" w:hAnsi="Aptos" w:cs="Times New Roman"/>
                <w:sz w:val="20"/>
                <w:szCs w:val="20"/>
              </w:rPr>
              <w:t>35</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6E101F0E" w14:textId="77777777" w:rsidR="00677577" w:rsidRPr="00C02452" w:rsidRDefault="00677577" w:rsidP="00C02452">
            <w:pPr>
              <w:jc w:val="right"/>
              <w:rPr>
                <w:rFonts w:ascii="Aptos" w:eastAsia="Aptos" w:hAnsi="Aptos" w:cs="Times New Roman"/>
                <w:sz w:val="20"/>
                <w:szCs w:val="20"/>
              </w:rPr>
            </w:pPr>
            <w:r w:rsidRPr="00C02452">
              <w:rPr>
                <w:rFonts w:ascii="Aptos" w:eastAsia="Aptos" w:hAnsi="Aptos" w:cs="Times New Roman"/>
                <w:sz w:val="20"/>
                <w:szCs w:val="20"/>
              </w:rPr>
              <w:t>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7B845D09" w14:textId="77777777" w:rsidR="00677577" w:rsidRPr="00C02452" w:rsidRDefault="00677577" w:rsidP="00C02452">
            <w:pPr>
              <w:jc w:val="right"/>
              <w:rPr>
                <w:rFonts w:ascii="Aptos" w:eastAsia="Aptos" w:hAnsi="Aptos" w:cs="Times New Roman"/>
                <w:sz w:val="20"/>
                <w:szCs w:val="20"/>
              </w:rPr>
            </w:pPr>
            <w:r w:rsidRPr="00C02452">
              <w:rPr>
                <w:rFonts w:ascii="Aptos" w:eastAsia="Aptos" w:hAnsi="Aptos" w:cs="Times New Roman"/>
                <w:sz w:val="20"/>
                <w:szCs w:val="20"/>
              </w:rPr>
              <w:t>378</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1FF21357" w14:textId="77777777" w:rsidR="00677577" w:rsidRPr="00C02452" w:rsidRDefault="00677577" w:rsidP="00C02452">
            <w:pPr>
              <w:jc w:val="right"/>
              <w:rPr>
                <w:rFonts w:ascii="Aptos" w:eastAsia="Aptos" w:hAnsi="Aptos" w:cs="Times New Roman"/>
                <w:sz w:val="20"/>
                <w:szCs w:val="20"/>
              </w:rPr>
            </w:pPr>
            <w:r w:rsidRPr="00C02452">
              <w:rPr>
                <w:rFonts w:ascii="Aptos" w:eastAsia="Aptos" w:hAnsi="Aptos" w:cs="Times New Roman"/>
                <w:sz w:val="20"/>
                <w:szCs w:val="20"/>
              </w:rPr>
              <w:t>414</w:t>
            </w:r>
          </w:p>
        </w:tc>
      </w:tr>
      <w:tr w:rsidR="00677577" w:rsidRPr="002050CC" w14:paraId="0FA6A606" w14:textId="77777777">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401F44D6" w14:textId="77777777" w:rsidR="00677577" w:rsidRPr="00E1286F" w:rsidRDefault="00677577" w:rsidP="00E1286F">
            <w:pPr>
              <w:rPr>
                <w:rFonts w:ascii="Aptos" w:eastAsia="Aptos" w:hAnsi="Aptos" w:cs="Times New Roman"/>
                <w:sz w:val="20"/>
                <w:szCs w:val="20"/>
              </w:rPr>
            </w:pPr>
            <w:r w:rsidRPr="00E1286F">
              <w:rPr>
                <w:rFonts w:ascii="Aptos" w:eastAsia="Aptos" w:hAnsi="Aptos" w:cs="Times New Roman"/>
                <w:sz w:val="20"/>
                <w:szCs w:val="20"/>
              </w:rPr>
              <w:t>Oct-21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0AA090E6" w14:textId="77777777" w:rsidR="00677577" w:rsidRPr="00E1286F" w:rsidRDefault="00677577" w:rsidP="00E1286F">
            <w:pPr>
              <w:jc w:val="right"/>
              <w:rPr>
                <w:rFonts w:ascii="Aptos" w:eastAsia="Aptos" w:hAnsi="Aptos" w:cs="Times New Roman"/>
                <w:sz w:val="20"/>
                <w:szCs w:val="20"/>
              </w:rPr>
            </w:pPr>
            <w:r w:rsidRPr="00E1286F">
              <w:rPr>
                <w:rFonts w:ascii="Aptos" w:eastAsia="Aptos" w:hAnsi="Aptos" w:cs="Times New Roman"/>
                <w:sz w:val="20"/>
                <w:szCs w:val="20"/>
              </w:rPr>
              <w:t>36</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4CE38226" w14:textId="77777777" w:rsidR="00677577" w:rsidRPr="00E1286F" w:rsidRDefault="00677577" w:rsidP="00E1286F">
            <w:pPr>
              <w:jc w:val="right"/>
              <w:rPr>
                <w:rFonts w:ascii="Aptos" w:eastAsia="Aptos" w:hAnsi="Aptos" w:cs="Times New Roman"/>
                <w:sz w:val="20"/>
                <w:szCs w:val="20"/>
              </w:rPr>
            </w:pPr>
            <w:r w:rsidRPr="00E1286F">
              <w:rPr>
                <w:rFonts w:ascii="Aptos" w:eastAsia="Aptos" w:hAnsi="Aptos" w:cs="Times New Roman"/>
                <w:sz w:val="20"/>
                <w:szCs w:val="20"/>
              </w:rPr>
              <w:t>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4F04C74B" w14:textId="77777777" w:rsidR="00677577" w:rsidRPr="00E1286F" w:rsidRDefault="00677577" w:rsidP="00E1286F">
            <w:pPr>
              <w:jc w:val="right"/>
              <w:rPr>
                <w:rFonts w:ascii="Aptos" w:eastAsia="Aptos" w:hAnsi="Aptos" w:cs="Times New Roman"/>
                <w:sz w:val="20"/>
                <w:szCs w:val="20"/>
              </w:rPr>
            </w:pPr>
            <w:r w:rsidRPr="00E1286F">
              <w:rPr>
                <w:rFonts w:ascii="Aptos" w:eastAsia="Aptos" w:hAnsi="Aptos" w:cs="Times New Roman"/>
                <w:sz w:val="20"/>
                <w:szCs w:val="20"/>
              </w:rPr>
              <w:t>333</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055E59C6" w14:textId="77777777" w:rsidR="00677577" w:rsidRPr="00E1286F" w:rsidRDefault="00677577" w:rsidP="00E1286F">
            <w:pPr>
              <w:jc w:val="right"/>
              <w:rPr>
                <w:rFonts w:ascii="Aptos" w:eastAsia="Aptos" w:hAnsi="Aptos" w:cs="Times New Roman"/>
                <w:sz w:val="20"/>
                <w:szCs w:val="20"/>
              </w:rPr>
            </w:pPr>
            <w:r w:rsidRPr="00E1286F">
              <w:rPr>
                <w:rFonts w:ascii="Aptos" w:eastAsia="Aptos" w:hAnsi="Aptos" w:cs="Times New Roman"/>
                <w:sz w:val="20"/>
                <w:szCs w:val="20"/>
              </w:rPr>
              <w:t>371</w:t>
            </w:r>
          </w:p>
        </w:tc>
      </w:tr>
      <w:tr w:rsidR="00677577" w:rsidRPr="002050CC" w14:paraId="7029E89E" w14:textId="77777777">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073BE44A" w14:textId="77777777" w:rsidR="00677577" w:rsidRPr="00E1286F" w:rsidRDefault="00677577" w:rsidP="00E1286F">
            <w:pPr>
              <w:rPr>
                <w:rFonts w:ascii="Aptos" w:eastAsia="Aptos" w:hAnsi="Aptos" w:cs="Times New Roman"/>
                <w:sz w:val="20"/>
                <w:szCs w:val="20"/>
              </w:rPr>
            </w:pPr>
            <w:r w:rsidRPr="00E1286F">
              <w:rPr>
                <w:rFonts w:ascii="Aptos" w:eastAsia="Aptos" w:hAnsi="Aptos" w:cs="Times New Roman"/>
                <w:sz w:val="20"/>
                <w:szCs w:val="20"/>
              </w:rPr>
              <w:t>Nov-21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1FB18F86" w14:textId="77777777" w:rsidR="00677577" w:rsidRPr="00E1286F" w:rsidRDefault="00677577" w:rsidP="00C53492">
            <w:pPr>
              <w:jc w:val="right"/>
              <w:rPr>
                <w:rFonts w:ascii="Aptos" w:eastAsia="Aptos" w:hAnsi="Aptos" w:cs="Times New Roman"/>
                <w:sz w:val="20"/>
                <w:szCs w:val="20"/>
              </w:rPr>
            </w:pPr>
            <w:r w:rsidRPr="00E1286F">
              <w:rPr>
                <w:rFonts w:ascii="Aptos" w:eastAsia="Aptos" w:hAnsi="Aptos" w:cs="Times New Roman"/>
                <w:sz w:val="20"/>
                <w:szCs w:val="20"/>
              </w:rPr>
              <w:t>34</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79DBDAB2" w14:textId="77777777" w:rsidR="00677577" w:rsidRPr="00E1286F" w:rsidRDefault="00677577" w:rsidP="00C53492">
            <w:pPr>
              <w:jc w:val="right"/>
              <w:rPr>
                <w:rFonts w:ascii="Aptos" w:eastAsia="Aptos" w:hAnsi="Aptos" w:cs="Times New Roman"/>
                <w:sz w:val="20"/>
                <w:szCs w:val="20"/>
              </w:rPr>
            </w:pPr>
            <w:r w:rsidRPr="00E1286F">
              <w:rPr>
                <w:rFonts w:ascii="Aptos" w:eastAsia="Aptos" w:hAnsi="Aptos" w:cs="Times New Roman"/>
                <w:sz w:val="20"/>
                <w:szCs w:val="20"/>
              </w:rPr>
              <w:t>5</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0261E8C3" w14:textId="77777777" w:rsidR="00677577" w:rsidRPr="00E1286F" w:rsidRDefault="00677577" w:rsidP="00C53492">
            <w:pPr>
              <w:jc w:val="right"/>
              <w:rPr>
                <w:rFonts w:ascii="Aptos" w:eastAsia="Aptos" w:hAnsi="Aptos" w:cs="Times New Roman"/>
                <w:sz w:val="20"/>
                <w:szCs w:val="20"/>
              </w:rPr>
            </w:pPr>
            <w:r w:rsidRPr="00E1286F">
              <w:rPr>
                <w:rFonts w:ascii="Aptos" w:eastAsia="Aptos" w:hAnsi="Aptos" w:cs="Times New Roman"/>
                <w:sz w:val="20"/>
                <w:szCs w:val="20"/>
              </w:rPr>
              <w:t>394</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012B2B54" w14:textId="77777777" w:rsidR="00677577" w:rsidRPr="00E1286F" w:rsidRDefault="00677577" w:rsidP="00C53492">
            <w:pPr>
              <w:jc w:val="right"/>
              <w:rPr>
                <w:rFonts w:ascii="Aptos" w:eastAsia="Aptos" w:hAnsi="Aptos" w:cs="Times New Roman"/>
                <w:sz w:val="20"/>
                <w:szCs w:val="20"/>
              </w:rPr>
            </w:pPr>
            <w:r w:rsidRPr="00E1286F">
              <w:rPr>
                <w:rFonts w:ascii="Aptos" w:eastAsia="Aptos" w:hAnsi="Aptos" w:cs="Times New Roman"/>
                <w:sz w:val="20"/>
                <w:szCs w:val="20"/>
              </w:rPr>
              <w:t>433</w:t>
            </w:r>
          </w:p>
        </w:tc>
      </w:tr>
      <w:tr w:rsidR="00677577" w:rsidRPr="002050CC" w14:paraId="372537E8" w14:textId="77777777">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12CDE198" w14:textId="77777777" w:rsidR="00677577" w:rsidRPr="00C53492" w:rsidRDefault="00677577" w:rsidP="00174E43">
            <w:pPr>
              <w:rPr>
                <w:rFonts w:ascii="Aptos" w:eastAsia="Aptos" w:hAnsi="Aptos" w:cs="Times New Roman"/>
                <w:sz w:val="20"/>
                <w:szCs w:val="20"/>
              </w:rPr>
            </w:pPr>
            <w:r w:rsidRPr="00C53492">
              <w:rPr>
                <w:rFonts w:ascii="Aptos" w:eastAsia="Aptos" w:hAnsi="Aptos" w:cs="Times New Roman"/>
                <w:sz w:val="20"/>
                <w:szCs w:val="20"/>
              </w:rPr>
              <w:t>Dec-21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7F542FC0" w14:textId="77777777" w:rsidR="00677577" w:rsidRPr="00C53492" w:rsidRDefault="00677577" w:rsidP="00174E43">
            <w:pPr>
              <w:jc w:val="right"/>
              <w:rPr>
                <w:rFonts w:ascii="Aptos" w:eastAsia="Aptos" w:hAnsi="Aptos" w:cs="Times New Roman"/>
                <w:sz w:val="20"/>
                <w:szCs w:val="20"/>
              </w:rPr>
            </w:pPr>
            <w:r w:rsidRPr="00C53492">
              <w:rPr>
                <w:rFonts w:ascii="Aptos" w:eastAsia="Aptos" w:hAnsi="Aptos" w:cs="Times New Roman"/>
                <w:sz w:val="20"/>
                <w:szCs w:val="20"/>
              </w:rPr>
              <w:t>41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5BB8C70B" w14:textId="77777777" w:rsidR="00677577" w:rsidRPr="00C53492" w:rsidRDefault="00677577" w:rsidP="00174E43">
            <w:pPr>
              <w:jc w:val="right"/>
              <w:rPr>
                <w:rFonts w:ascii="Aptos" w:eastAsia="Aptos" w:hAnsi="Aptos" w:cs="Times New Roman"/>
                <w:sz w:val="20"/>
                <w:szCs w:val="20"/>
              </w:rPr>
            </w:pPr>
            <w:r w:rsidRPr="00C53492">
              <w:rPr>
                <w:rFonts w:ascii="Aptos" w:eastAsia="Aptos" w:hAnsi="Aptos" w:cs="Times New Roman"/>
                <w:sz w:val="20"/>
                <w:szCs w:val="20"/>
              </w:rPr>
              <w:t>14</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5AB8D938" w14:textId="77777777" w:rsidR="00677577" w:rsidRPr="00C53492" w:rsidRDefault="00677577" w:rsidP="00174E43">
            <w:pPr>
              <w:jc w:val="right"/>
              <w:rPr>
                <w:rFonts w:ascii="Aptos" w:eastAsia="Aptos" w:hAnsi="Aptos" w:cs="Times New Roman"/>
                <w:sz w:val="20"/>
                <w:szCs w:val="20"/>
              </w:rPr>
            </w:pPr>
            <w:r w:rsidRPr="00C53492">
              <w:rPr>
                <w:rFonts w:ascii="Aptos" w:eastAsia="Aptos" w:hAnsi="Aptos" w:cs="Times New Roman"/>
                <w:sz w:val="20"/>
                <w:szCs w:val="20"/>
              </w:rPr>
              <w:t>608</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00722C96" w14:textId="77777777" w:rsidR="00677577" w:rsidRPr="00C53492" w:rsidRDefault="00677577" w:rsidP="00174E43">
            <w:pPr>
              <w:jc w:val="right"/>
              <w:rPr>
                <w:rFonts w:ascii="Aptos" w:eastAsia="Aptos" w:hAnsi="Aptos" w:cs="Times New Roman"/>
                <w:sz w:val="20"/>
                <w:szCs w:val="20"/>
              </w:rPr>
            </w:pPr>
            <w:r w:rsidRPr="00C53492">
              <w:rPr>
                <w:rFonts w:ascii="Aptos" w:eastAsia="Aptos" w:hAnsi="Aptos" w:cs="Times New Roman"/>
                <w:sz w:val="20"/>
                <w:szCs w:val="20"/>
              </w:rPr>
              <w:t>663</w:t>
            </w:r>
          </w:p>
        </w:tc>
      </w:tr>
      <w:tr w:rsidR="00677577" w:rsidRPr="002050CC" w14:paraId="1199F5A7" w14:textId="77777777">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29DE88B7" w14:textId="77777777" w:rsidR="00677577" w:rsidRPr="00174E43" w:rsidRDefault="00677577" w:rsidP="008F6F40">
            <w:pPr>
              <w:rPr>
                <w:rFonts w:ascii="Aptos" w:eastAsia="Aptos" w:hAnsi="Aptos" w:cs="Times New Roman"/>
                <w:sz w:val="20"/>
                <w:szCs w:val="20"/>
              </w:rPr>
            </w:pPr>
            <w:r w:rsidRPr="00174E43">
              <w:rPr>
                <w:rFonts w:ascii="Aptos" w:eastAsia="Aptos" w:hAnsi="Aptos" w:cs="Times New Roman"/>
                <w:sz w:val="20"/>
                <w:szCs w:val="20"/>
              </w:rPr>
              <w:t>Jan-22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592F93B8" w14:textId="77777777" w:rsidR="00677577" w:rsidRPr="00174E43" w:rsidRDefault="00677577" w:rsidP="0095713A">
            <w:pPr>
              <w:jc w:val="right"/>
              <w:rPr>
                <w:rFonts w:ascii="Aptos" w:eastAsia="Aptos" w:hAnsi="Aptos" w:cs="Times New Roman"/>
                <w:sz w:val="20"/>
                <w:szCs w:val="20"/>
              </w:rPr>
            </w:pPr>
            <w:r w:rsidRPr="00174E43">
              <w:rPr>
                <w:rFonts w:ascii="Aptos" w:eastAsia="Aptos" w:hAnsi="Aptos" w:cs="Times New Roman"/>
                <w:sz w:val="20"/>
                <w:szCs w:val="20"/>
              </w:rPr>
              <w:t>16</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1142DF60" w14:textId="77777777" w:rsidR="00677577" w:rsidRPr="00174E43" w:rsidRDefault="00677577" w:rsidP="0095713A">
            <w:pPr>
              <w:jc w:val="right"/>
              <w:rPr>
                <w:rFonts w:ascii="Aptos" w:eastAsia="Aptos" w:hAnsi="Aptos" w:cs="Times New Roman"/>
                <w:sz w:val="20"/>
                <w:szCs w:val="20"/>
              </w:rPr>
            </w:pPr>
            <w:r w:rsidRPr="00174E43">
              <w:rPr>
                <w:rFonts w:ascii="Aptos" w:eastAsia="Aptos" w:hAnsi="Aptos" w:cs="Times New Roman"/>
                <w:sz w:val="20"/>
                <w:szCs w:val="20"/>
              </w:rPr>
              <w:t>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4D801E12" w14:textId="77777777" w:rsidR="00677577" w:rsidRPr="00174E43" w:rsidRDefault="00677577" w:rsidP="0095713A">
            <w:pPr>
              <w:jc w:val="right"/>
              <w:rPr>
                <w:rFonts w:ascii="Aptos" w:eastAsia="Aptos" w:hAnsi="Aptos" w:cs="Times New Roman"/>
                <w:sz w:val="20"/>
                <w:szCs w:val="20"/>
              </w:rPr>
            </w:pPr>
            <w:r w:rsidRPr="00174E43">
              <w:rPr>
                <w:rFonts w:ascii="Aptos" w:eastAsia="Aptos" w:hAnsi="Aptos" w:cs="Times New Roman"/>
                <w:sz w:val="20"/>
                <w:szCs w:val="20"/>
              </w:rPr>
              <w:t>112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470E7B38" w14:textId="77777777" w:rsidR="00677577" w:rsidRPr="00174E43" w:rsidRDefault="00677577" w:rsidP="0095713A">
            <w:pPr>
              <w:jc w:val="right"/>
              <w:rPr>
                <w:rFonts w:ascii="Aptos" w:eastAsia="Aptos" w:hAnsi="Aptos" w:cs="Times New Roman"/>
                <w:sz w:val="20"/>
                <w:szCs w:val="20"/>
              </w:rPr>
            </w:pPr>
            <w:r w:rsidRPr="00174E43">
              <w:rPr>
                <w:rFonts w:ascii="Aptos" w:eastAsia="Aptos" w:hAnsi="Aptos" w:cs="Times New Roman"/>
                <w:sz w:val="20"/>
                <w:szCs w:val="20"/>
              </w:rPr>
              <w:t>129</w:t>
            </w:r>
          </w:p>
        </w:tc>
      </w:tr>
      <w:tr w:rsidR="00677577" w:rsidRPr="002050CC" w14:paraId="7625335C" w14:textId="77777777">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5A71C722" w14:textId="77777777" w:rsidR="00677577" w:rsidRPr="0095713A" w:rsidRDefault="00677577" w:rsidP="00384BC7">
            <w:pPr>
              <w:rPr>
                <w:rFonts w:ascii="Aptos" w:eastAsia="Aptos" w:hAnsi="Aptos" w:cs="Times New Roman"/>
                <w:sz w:val="20"/>
                <w:szCs w:val="20"/>
              </w:rPr>
            </w:pPr>
            <w:r w:rsidRPr="0095713A">
              <w:rPr>
                <w:rFonts w:ascii="Aptos" w:eastAsia="Aptos" w:hAnsi="Aptos" w:cs="Times New Roman"/>
                <w:sz w:val="20"/>
                <w:szCs w:val="20"/>
              </w:rPr>
              <w:t>Feb-22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59F1376B" w14:textId="77777777" w:rsidR="00677577" w:rsidRPr="0095713A" w:rsidRDefault="00677577" w:rsidP="00DE3307">
            <w:pPr>
              <w:jc w:val="right"/>
              <w:rPr>
                <w:rFonts w:ascii="Aptos" w:eastAsia="Aptos" w:hAnsi="Aptos" w:cs="Times New Roman"/>
                <w:sz w:val="20"/>
                <w:szCs w:val="20"/>
              </w:rPr>
            </w:pPr>
            <w:r w:rsidRPr="0095713A">
              <w:rPr>
                <w:rFonts w:ascii="Aptos" w:eastAsia="Aptos" w:hAnsi="Aptos" w:cs="Times New Roman"/>
                <w:sz w:val="20"/>
                <w:szCs w:val="20"/>
              </w:rPr>
              <w:t>33</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15E7FC6F" w14:textId="77777777" w:rsidR="00677577" w:rsidRPr="0095713A" w:rsidRDefault="00677577" w:rsidP="00DE3307">
            <w:pPr>
              <w:jc w:val="right"/>
              <w:rPr>
                <w:rFonts w:ascii="Aptos" w:eastAsia="Aptos" w:hAnsi="Aptos" w:cs="Times New Roman"/>
                <w:sz w:val="20"/>
                <w:szCs w:val="20"/>
              </w:rPr>
            </w:pPr>
            <w:r w:rsidRPr="0095713A">
              <w:rPr>
                <w:rFonts w:ascii="Aptos" w:eastAsia="Aptos" w:hAnsi="Aptos" w:cs="Times New Roman"/>
                <w:sz w:val="20"/>
                <w:szCs w:val="20"/>
              </w:rPr>
              <w:t>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7FCBEBC3" w14:textId="77777777" w:rsidR="00677577" w:rsidRPr="0095713A" w:rsidRDefault="00677577" w:rsidP="00DE3307">
            <w:pPr>
              <w:jc w:val="right"/>
              <w:rPr>
                <w:rFonts w:ascii="Aptos" w:eastAsia="Aptos" w:hAnsi="Aptos" w:cs="Times New Roman"/>
                <w:sz w:val="20"/>
                <w:szCs w:val="20"/>
              </w:rPr>
            </w:pPr>
            <w:r w:rsidRPr="0095713A">
              <w:rPr>
                <w:rFonts w:ascii="Aptos" w:eastAsia="Aptos" w:hAnsi="Aptos" w:cs="Times New Roman"/>
                <w:sz w:val="20"/>
                <w:szCs w:val="20"/>
              </w:rPr>
              <w:t>209</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4D2095F2" w14:textId="77777777" w:rsidR="00677577" w:rsidRPr="0095713A" w:rsidRDefault="00677577" w:rsidP="00DE3307">
            <w:pPr>
              <w:jc w:val="right"/>
              <w:rPr>
                <w:rFonts w:ascii="Aptos" w:eastAsia="Aptos" w:hAnsi="Aptos" w:cs="Times New Roman"/>
                <w:sz w:val="20"/>
                <w:szCs w:val="20"/>
              </w:rPr>
            </w:pPr>
            <w:r w:rsidRPr="0095713A">
              <w:rPr>
                <w:rFonts w:ascii="Aptos" w:eastAsia="Aptos" w:hAnsi="Aptos" w:cs="Times New Roman"/>
                <w:sz w:val="20"/>
                <w:szCs w:val="20"/>
              </w:rPr>
              <w:t>243</w:t>
            </w:r>
          </w:p>
        </w:tc>
      </w:tr>
      <w:tr w:rsidR="00677577" w:rsidRPr="002050CC" w14:paraId="57A7905A" w14:textId="77777777">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0C305772" w14:textId="77777777" w:rsidR="00677577" w:rsidRPr="00071FF2" w:rsidRDefault="00677577" w:rsidP="00071FF2">
            <w:pPr>
              <w:rPr>
                <w:rFonts w:ascii="Aptos" w:eastAsia="Aptos" w:hAnsi="Aptos" w:cs="Times New Roman"/>
                <w:sz w:val="20"/>
                <w:szCs w:val="20"/>
              </w:rPr>
            </w:pPr>
            <w:r w:rsidRPr="00071FF2">
              <w:rPr>
                <w:rFonts w:ascii="Aptos" w:eastAsia="Aptos" w:hAnsi="Aptos" w:cs="Times New Roman"/>
                <w:sz w:val="20"/>
                <w:szCs w:val="20"/>
              </w:rPr>
              <w:t>Mar-22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3597702E" w14:textId="77777777" w:rsidR="00677577" w:rsidRPr="00071FF2" w:rsidRDefault="00677577" w:rsidP="00071FF2">
            <w:pPr>
              <w:jc w:val="right"/>
              <w:rPr>
                <w:rFonts w:ascii="Aptos" w:eastAsia="Aptos" w:hAnsi="Aptos" w:cs="Times New Roman"/>
                <w:sz w:val="20"/>
                <w:szCs w:val="20"/>
              </w:rPr>
            </w:pPr>
            <w:r w:rsidRPr="00071FF2">
              <w:rPr>
                <w:rFonts w:ascii="Aptos" w:eastAsia="Aptos" w:hAnsi="Aptos" w:cs="Times New Roman"/>
                <w:sz w:val="20"/>
                <w:szCs w:val="20"/>
              </w:rPr>
              <w:t>41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0DB75E4B" w14:textId="77777777" w:rsidR="00677577" w:rsidRPr="00071FF2" w:rsidRDefault="00677577" w:rsidP="00071FF2">
            <w:pPr>
              <w:jc w:val="right"/>
              <w:rPr>
                <w:rFonts w:ascii="Aptos" w:eastAsia="Aptos" w:hAnsi="Aptos" w:cs="Times New Roman"/>
                <w:sz w:val="20"/>
                <w:szCs w:val="20"/>
              </w:rPr>
            </w:pPr>
            <w:r w:rsidRPr="00071FF2">
              <w:rPr>
                <w:rFonts w:ascii="Aptos" w:eastAsia="Aptos" w:hAnsi="Aptos" w:cs="Times New Roman"/>
                <w:sz w:val="20"/>
                <w:szCs w:val="20"/>
              </w:rPr>
              <w:t>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4EA924F5" w14:textId="77777777" w:rsidR="00677577" w:rsidRPr="00071FF2" w:rsidRDefault="00677577" w:rsidP="00071FF2">
            <w:pPr>
              <w:jc w:val="right"/>
              <w:rPr>
                <w:rFonts w:ascii="Aptos" w:eastAsia="Aptos" w:hAnsi="Aptos" w:cs="Times New Roman"/>
                <w:sz w:val="20"/>
                <w:szCs w:val="20"/>
              </w:rPr>
            </w:pPr>
            <w:r w:rsidRPr="00071FF2">
              <w:rPr>
                <w:rFonts w:ascii="Aptos" w:eastAsia="Aptos" w:hAnsi="Aptos" w:cs="Times New Roman"/>
                <w:sz w:val="20"/>
                <w:szCs w:val="20"/>
              </w:rPr>
              <w:t>319</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49FBB04F" w14:textId="77777777" w:rsidR="00677577" w:rsidRPr="00071FF2" w:rsidRDefault="00677577" w:rsidP="00071FF2">
            <w:pPr>
              <w:jc w:val="right"/>
              <w:rPr>
                <w:rFonts w:ascii="Aptos" w:eastAsia="Aptos" w:hAnsi="Aptos" w:cs="Times New Roman"/>
                <w:sz w:val="20"/>
                <w:szCs w:val="20"/>
              </w:rPr>
            </w:pPr>
            <w:r w:rsidRPr="00071FF2">
              <w:rPr>
                <w:rFonts w:ascii="Aptos" w:eastAsia="Aptos" w:hAnsi="Aptos" w:cs="Times New Roman"/>
                <w:sz w:val="20"/>
                <w:szCs w:val="20"/>
              </w:rPr>
              <w:t>362</w:t>
            </w:r>
          </w:p>
        </w:tc>
      </w:tr>
      <w:tr w:rsidR="00677577" w:rsidRPr="002050CC" w14:paraId="73D1CB5C" w14:textId="77777777">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5259BBBD" w14:textId="77777777" w:rsidR="00677577" w:rsidRPr="00071FF2" w:rsidRDefault="00677577" w:rsidP="00071FF2">
            <w:pPr>
              <w:rPr>
                <w:rFonts w:ascii="Aptos" w:eastAsia="Aptos" w:hAnsi="Aptos" w:cs="Times New Roman"/>
                <w:sz w:val="20"/>
                <w:szCs w:val="20"/>
              </w:rPr>
            </w:pPr>
            <w:r w:rsidRPr="00071FF2">
              <w:rPr>
                <w:rFonts w:ascii="Aptos" w:eastAsia="Aptos" w:hAnsi="Aptos" w:cs="Times New Roman"/>
                <w:sz w:val="20"/>
                <w:szCs w:val="20"/>
              </w:rPr>
              <w:t>Apr-22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578422D7" w14:textId="77777777" w:rsidR="00677577" w:rsidRPr="00071FF2" w:rsidRDefault="00677577" w:rsidP="00071FF2">
            <w:pPr>
              <w:jc w:val="right"/>
              <w:rPr>
                <w:rFonts w:ascii="Aptos" w:eastAsia="Aptos" w:hAnsi="Aptos" w:cs="Times New Roman"/>
                <w:sz w:val="20"/>
                <w:szCs w:val="20"/>
              </w:rPr>
            </w:pPr>
            <w:r w:rsidRPr="00071FF2">
              <w:rPr>
                <w:rFonts w:ascii="Aptos" w:eastAsia="Aptos" w:hAnsi="Aptos" w:cs="Times New Roman"/>
                <w:sz w:val="20"/>
                <w:szCs w:val="20"/>
              </w:rPr>
              <w:t>17</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03398280" w14:textId="77777777" w:rsidR="00677577" w:rsidRPr="00071FF2" w:rsidRDefault="00677577" w:rsidP="00071FF2">
            <w:pPr>
              <w:jc w:val="right"/>
              <w:rPr>
                <w:rFonts w:ascii="Aptos" w:eastAsia="Aptos" w:hAnsi="Aptos" w:cs="Times New Roman"/>
                <w:sz w:val="20"/>
                <w:szCs w:val="20"/>
              </w:rPr>
            </w:pPr>
            <w:r w:rsidRPr="00071FF2">
              <w:rPr>
                <w:rFonts w:ascii="Aptos" w:eastAsia="Aptos" w:hAnsi="Aptos" w:cs="Times New Roman"/>
                <w:sz w:val="20"/>
                <w:szCs w:val="20"/>
              </w:rPr>
              <w:t>5</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50502DA8" w14:textId="77777777" w:rsidR="00677577" w:rsidRPr="00071FF2" w:rsidRDefault="00677577" w:rsidP="00071FF2">
            <w:pPr>
              <w:jc w:val="right"/>
              <w:rPr>
                <w:rFonts w:ascii="Aptos" w:eastAsia="Aptos" w:hAnsi="Aptos" w:cs="Times New Roman"/>
                <w:sz w:val="20"/>
                <w:szCs w:val="20"/>
              </w:rPr>
            </w:pPr>
            <w:r w:rsidRPr="00071FF2">
              <w:rPr>
                <w:rFonts w:ascii="Aptos" w:eastAsia="Aptos" w:hAnsi="Aptos" w:cs="Times New Roman"/>
                <w:sz w:val="20"/>
                <w:szCs w:val="20"/>
              </w:rPr>
              <w:t>238</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2EF478FA" w14:textId="77777777" w:rsidR="00677577" w:rsidRPr="00071FF2" w:rsidRDefault="00677577" w:rsidP="00071FF2">
            <w:pPr>
              <w:jc w:val="right"/>
              <w:rPr>
                <w:rFonts w:ascii="Aptos" w:eastAsia="Aptos" w:hAnsi="Aptos" w:cs="Times New Roman"/>
                <w:sz w:val="20"/>
                <w:szCs w:val="20"/>
              </w:rPr>
            </w:pPr>
            <w:r w:rsidRPr="00071FF2">
              <w:rPr>
                <w:rFonts w:ascii="Aptos" w:eastAsia="Aptos" w:hAnsi="Aptos" w:cs="Times New Roman"/>
                <w:sz w:val="20"/>
                <w:szCs w:val="20"/>
              </w:rPr>
              <w:t>260</w:t>
            </w:r>
          </w:p>
        </w:tc>
      </w:tr>
      <w:tr w:rsidR="00677577" w:rsidRPr="002050CC" w14:paraId="1E186BBA" w14:textId="77777777">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52737FA2" w14:textId="77777777" w:rsidR="00677577" w:rsidRPr="00071FF2" w:rsidRDefault="00677577" w:rsidP="00071FF2">
            <w:pPr>
              <w:rPr>
                <w:rFonts w:ascii="Aptos" w:eastAsia="Aptos" w:hAnsi="Aptos" w:cs="Times New Roman"/>
                <w:sz w:val="20"/>
                <w:szCs w:val="20"/>
              </w:rPr>
            </w:pPr>
            <w:r w:rsidRPr="00071FF2">
              <w:rPr>
                <w:rFonts w:ascii="Aptos" w:eastAsia="Aptos" w:hAnsi="Aptos" w:cs="Times New Roman"/>
                <w:sz w:val="20"/>
                <w:szCs w:val="20"/>
              </w:rPr>
              <w:t>May-22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33F44364" w14:textId="77777777" w:rsidR="00677577" w:rsidRPr="00071FF2" w:rsidRDefault="00677577" w:rsidP="00071FF2">
            <w:pPr>
              <w:jc w:val="right"/>
              <w:rPr>
                <w:rFonts w:ascii="Aptos" w:eastAsia="Aptos" w:hAnsi="Aptos" w:cs="Times New Roman"/>
                <w:sz w:val="20"/>
                <w:szCs w:val="20"/>
              </w:rPr>
            </w:pPr>
            <w:r w:rsidRPr="00071FF2">
              <w:rPr>
                <w:rFonts w:ascii="Aptos" w:eastAsia="Aptos" w:hAnsi="Aptos" w:cs="Times New Roman"/>
                <w:sz w:val="20"/>
                <w:szCs w:val="20"/>
              </w:rPr>
              <w:t>40</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3CCA2F7E" w14:textId="77777777" w:rsidR="00677577" w:rsidRPr="00071FF2" w:rsidRDefault="00677577" w:rsidP="00071FF2">
            <w:pPr>
              <w:jc w:val="right"/>
              <w:rPr>
                <w:rFonts w:ascii="Aptos" w:eastAsia="Aptos" w:hAnsi="Aptos" w:cs="Times New Roman"/>
                <w:sz w:val="20"/>
                <w:szCs w:val="20"/>
              </w:rPr>
            </w:pPr>
            <w:r w:rsidRPr="00071FF2">
              <w:rPr>
                <w:rFonts w:ascii="Aptos" w:eastAsia="Aptos" w:hAnsi="Aptos" w:cs="Times New Roman"/>
                <w:sz w:val="20"/>
                <w:szCs w:val="20"/>
              </w:rPr>
              <w:t>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338CB849" w14:textId="77777777" w:rsidR="00677577" w:rsidRPr="00071FF2" w:rsidRDefault="00677577" w:rsidP="00071FF2">
            <w:pPr>
              <w:jc w:val="right"/>
              <w:rPr>
                <w:rFonts w:ascii="Aptos" w:eastAsia="Aptos" w:hAnsi="Aptos" w:cs="Times New Roman"/>
                <w:sz w:val="20"/>
                <w:szCs w:val="20"/>
              </w:rPr>
            </w:pPr>
            <w:r w:rsidRPr="00071FF2">
              <w:rPr>
                <w:rFonts w:ascii="Aptos" w:eastAsia="Aptos" w:hAnsi="Aptos" w:cs="Times New Roman"/>
                <w:sz w:val="20"/>
                <w:szCs w:val="20"/>
              </w:rPr>
              <w:t>285</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3886953F" w14:textId="77777777" w:rsidR="00677577" w:rsidRPr="00071FF2" w:rsidRDefault="00677577" w:rsidP="00071FF2">
            <w:pPr>
              <w:jc w:val="right"/>
              <w:rPr>
                <w:rFonts w:ascii="Aptos" w:eastAsia="Aptos" w:hAnsi="Aptos" w:cs="Times New Roman"/>
                <w:sz w:val="20"/>
                <w:szCs w:val="20"/>
              </w:rPr>
            </w:pPr>
            <w:r w:rsidRPr="00071FF2">
              <w:rPr>
                <w:rFonts w:ascii="Aptos" w:eastAsia="Aptos" w:hAnsi="Aptos" w:cs="Times New Roman"/>
                <w:sz w:val="20"/>
                <w:szCs w:val="20"/>
              </w:rPr>
              <w:t>327</w:t>
            </w:r>
          </w:p>
        </w:tc>
      </w:tr>
      <w:tr w:rsidR="00677577" w:rsidRPr="002050CC" w14:paraId="25862191" w14:textId="77777777">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29E9903E" w14:textId="77777777" w:rsidR="00677577" w:rsidRPr="00071FF2" w:rsidRDefault="00677577" w:rsidP="00071FF2">
            <w:pPr>
              <w:rPr>
                <w:rFonts w:ascii="Aptos" w:eastAsia="Aptos" w:hAnsi="Aptos" w:cs="Times New Roman"/>
                <w:sz w:val="20"/>
                <w:szCs w:val="20"/>
              </w:rPr>
            </w:pPr>
            <w:r w:rsidRPr="00071FF2">
              <w:rPr>
                <w:rFonts w:ascii="Aptos" w:eastAsia="Aptos" w:hAnsi="Aptos" w:cs="Times New Roman"/>
                <w:sz w:val="20"/>
                <w:szCs w:val="20"/>
              </w:rPr>
              <w:t>Jun-22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004F73EB" w14:textId="77777777" w:rsidR="00677577" w:rsidRPr="00071FF2" w:rsidRDefault="00677577" w:rsidP="00071FF2">
            <w:pPr>
              <w:jc w:val="right"/>
              <w:rPr>
                <w:rFonts w:ascii="Aptos" w:eastAsia="Aptos" w:hAnsi="Aptos" w:cs="Times New Roman"/>
                <w:sz w:val="20"/>
                <w:szCs w:val="20"/>
              </w:rPr>
            </w:pPr>
            <w:r w:rsidRPr="00071FF2">
              <w:rPr>
                <w:rFonts w:ascii="Aptos" w:eastAsia="Aptos" w:hAnsi="Aptos" w:cs="Times New Roman"/>
                <w:sz w:val="20"/>
                <w:szCs w:val="20"/>
              </w:rPr>
              <w:t>46</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031EA63D" w14:textId="77777777" w:rsidR="00677577" w:rsidRPr="00071FF2" w:rsidRDefault="00677577" w:rsidP="00071FF2">
            <w:pPr>
              <w:jc w:val="right"/>
              <w:rPr>
                <w:rFonts w:ascii="Aptos" w:eastAsia="Aptos" w:hAnsi="Aptos" w:cs="Times New Roman"/>
                <w:sz w:val="20"/>
                <w:szCs w:val="20"/>
              </w:rPr>
            </w:pPr>
            <w:r w:rsidRPr="00071FF2">
              <w:rPr>
                <w:rFonts w:ascii="Aptos" w:eastAsia="Aptos" w:hAnsi="Aptos" w:cs="Times New Roman"/>
                <w:sz w:val="20"/>
                <w:szCs w:val="20"/>
              </w:rPr>
              <w:t>5</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49DC178D" w14:textId="77777777" w:rsidR="00677577" w:rsidRPr="00071FF2" w:rsidRDefault="00677577" w:rsidP="00071FF2">
            <w:pPr>
              <w:jc w:val="right"/>
              <w:rPr>
                <w:rFonts w:ascii="Aptos" w:eastAsia="Aptos" w:hAnsi="Aptos" w:cs="Times New Roman"/>
                <w:sz w:val="20"/>
                <w:szCs w:val="20"/>
              </w:rPr>
            </w:pPr>
            <w:r w:rsidRPr="00071FF2">
              <w:rPr>
                <w:rFonts w:ascii="Aptos" w:eastAsia="Aptos" w:hAnsi="Aptos" w:cs="Times New Roman"/>
                <w:sz w:val="20"/>
                <w:szCs w:val="20"/>
              </w:rPr>
              <w:t>391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1B805694" w14:textId="77777777" w:rsidR="00677577" w:rsidRPr="00071FF2" w:rsidRDefault="00677577" w:rsidP="00071FF2">
            <w:pPr>
              <w:jc w:val="right"/>
              <w:rPr>
                <w:rFonts w:ascii="Aptos" w:eastAsia="Aptos" w:hAnsi="Aptos" w:cs="Times New Roman"/>
                <w:sz w:val="20"/>
                <w:szCs w:val="20"/>
              </w:rPr>
            </w:pPr>
            <w:r w:rsidRPr="00071FF2">
              <w:rPr>
                <w:rFonts w:ascii="Aptos" w:eastAsia="Aptos" w:hAnsi="Aptos" w:cs="Times New Roman"/>
                <w:sz w:val="20"/>
                <w:szCs w:val="20"/>
              </w:rPr>
              <w:t>442</w:t>
            </w:r>
          </w:p>
        </w:tc>
      </w:tr>
      <w:tr w:rsidR="00677577" w:rsidRPr="002050CC" w14:paraId="5A07BA16" w14:textId="77777777">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25C27B30" w14:textId="77777777" w:rsidR="00677577" w:rsidRPr="00071FF2" w:rsidRDefault="00677577" w:rsidP="00071FF2">
            <w:pPr>
              <w:rPr>
                <w:rFonts w:ascii="Aptos" w:eastAsia="Aptos" w:hAnsi="Aptos" w:cs="Times New Roman"/>
                <w:sz w:val="20"/>
                <w:szCs w:val="20"/>
              </w:rPr>
            </w:pPr>
            <w:r w:rsidRPr="00071FF2">
              <w:rPr>
                <w:rFonts w:ascii="Aptos" w:eastAsia="Aptos" w:hAnsi="Aptos" w:cs="Times New Roman"/>
                <w:sz w:val="20"/>
                <w:szCs w:val="20"/>
              </w:rPr>
              <w:t>Jul-22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30FCAD2A" w14:textId="77777777" w:rsidR="00677577" w:rsidRPr="00071FF2" w:rsidRDefault="00677577" w:rsidP="00071FF2">
            <w:pPr>
              <w:jc w:val="right"/>
              <w:rPr>
                <w:rFonts w:ascii="Aptos" w:eastAsia="Aptos" w:hAnsi="Aptos" w:cs="Times New Roman"/>
                <w:sz w:val="20"/>
                <w:szCs w:val="20"/>
              </w:rPr>
            </w:pPr>
            <w:r w:rsidRPr="00071FF2">
              <w:rPr>
                <w:rFonts w:ascii="Aptos" w:eastAsia="Aptos" w:hAnsi="Aptos" w:cs="Times New Roman"/>
                <w:sz w:val="20"/>
                <w:szCs w:val="20"/>
              </w:rPr>
              <w:t>25</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688BFE18" w14:textId="77777777" w:rsidR="00677577" w:rsidRPr="00071FF2" w:rsidRDefault="00677577" w:rsidP="00071FF2">
            <w:pPr>
              <w:jc w:val="right"/>
              <w:rPr>
                <w:rFonts w:ascii="Aptos" w:eastAsia="Aptos" w:hAnsi="Aptos" w:cs="Times New Roman"/>
                <w:sz w:val="20"/>
                <w:szCs w:val="20"/>
              </w:rPr>
            </w:pPr>
            <w:r w:rsidRPr="00071FF2">
              <w:rPr>
                <w:rFonts w:ascii="Aptos" w:eastAsia="Aptos" w:hAnsi="Aptos" w:cs="Times New Roman"/>
                <w:sz w:val="20"/>
                <w:szCs w:val="20"/>
              </w:rPr>
              <w:t>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5D9FD6C1" w14:textId="77777777" w:rsidR="00677577" w:rsidRPr="00071FF2" w:rsidRDefault="00677577" w:rsidP="00071FF2">
            <w:pPr>
              <w:jc w:val="right"/>
              <w:rPr>
                <w:rFonts w:ascii="Aptos" w:eastAsia="Aptos" w:hAnsi="Aptos" w:cs="Times New Roman"/>
                <w:sz w:val="20"/>
                <w:szCs w:val="20"/>
              </w:rPr>
            </w:pPr>
            <w:r w:rsidRPr="00071FF2">
              <w:rPr>
                <w:rFonts w:ascii="Aptos" w:eastAsia="Aptos" w:hAnsi="Aptos" w:cs="Times New Roman"/>
                <w:sz w:val="20"/>
                <w:szCs w:val="20"/>
              </w:rPr>
              <w:t>311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57FE8380" w14:textId="77777777" w:rsidR="00677577" w:rsidRPr="00071FF2" w:rsidRDefault="00677577" w:rsidP="00071FF2">
            <w:pPr>
              <w:jc w:val="right"/>
              <w:rPr>
                <w:rFonts w:ascii="Aptos" w:eastAsia="Aptos" w:hAnsi="Aptos" w:cs="Times New Roman"/>
                <w:sz w:val="20"/>
                <w:szCs w:val="20"/>
              </w:rPr>
            </w:pPr>
            <w:r w:rsidRPr="00071FF2">
              <w:rPr>
                <w:rFonts w:ascii="Aptos" w:eastAsia="Aptos" w:hAnsi="Aptos" w:cs="Times New Roman"/>
                <w:sz w:val="20"/>
                <w:szCs w:val="20"/>
              </w:rPr>
              <w:t>338</w:t>
            </w:r>
          </w:p>
        </w:tc>
      </w:tr>
      <w:tr w:rsidR="00677577" w:rsidRPr="002050CC" w14:paraId="6EC3DF49" w14:textId="77777777">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757AD01B" w14:textId="77777777" w:rsidR="00677577" w:rsidRPr="00071FF2" w:rsidRDefault="00677577" w:rsidP="0064435B">
            <w:pPr>
              <w:rPr>
                <w:rFonts w:ascii="Aptos" w:eastAsia="Aptos" w:hAnsi="Aptos" w:cs="Times New Roman"/>
                <w:sz w:val="20"/>
                <w:szCs w:val="20"/>
              </w:rPr>
            </w:pPr>
            <w:r w:rsidRPr="00071FF2">
              <w:rPr>
                <w:rFonts w:ascii="Aptos" w:eastAsia="Aptos" w:hAnsi="Aptos" w:cs="Times New Roman"/>
                <w:sz w:val="20"/>
                <w:szCs w:val="20"/>
              </w:rPr>
              <w:t>Aug-22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038E8E27" w14:textId="77777777" w:rsidR="00677577" w:rsidRPr="00071FF2" w:rsidRDefault="00677577" w:rsidP="009E68C0">
            <w:pPr>
              <w:jc w:val="right"/>
              <w:rPr>
                <w:rFonts w:ascii="Aptos" w:eastAsia="Aptos" w:hAnsi="Aptos" w:cs="Times New Roman"/>
                <w:sz w:val="20"/>
                <w:szCs w:val="20"/>
              </w:rPr>
            </w:pPr>
            <w:r w:rsidRPr="00071FF2">
              <w:rPr>
                <w:rFonts w:ascii="Aptos" w:eastAsia="Aptos" w:hAnsi="Aptos" w:cs="Times New Roman"/>
                <w:sz w:val="20"/>
                <w:szCs w:val="20"/>
              </w:rPr>
              <w:t>17</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0EF028D7" w14:textId="77777777" w:rsidR="00677577" w:rsidRPr="00071FF2" w:rsidRDefault="00677577" w:rsidP="009E68C0">
            <w:pPr>
              <w:jc w:val="right"/>
              <w:rPr>
                <w:rFonts w:ascii="Aptos" w:eastAsia="Aptos" w:hAnsi="Aptos" w:cs="Times New Roman"/>
                <w:sz w:val="20"/>
                <w:szCs w:val="20"/>
              </w:rPr>
            </w:pPr>
            <w:r w:rsidRPr="00071FF2">
              <w:rPr>
                <w:rFonts w:ascii="Aptos" w:eastAsia="Aptos" w:hAnsi="Aptos" w:cs="Times New Roman"/>
                <w:sz w:val="20"/>
                <w:szCs w:val="20"/>
              </w:rPr>
              <w:t>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2E5B7C33" w14:textId="77777777" w:rsidR="00677577" w:rsidRPr="00071FF2" w:rsidRDefault="00677577" w:rsidP="009E68C0">
            <w:pPr>
              <w:jc w:val="right"/>
              <w:rPr>
                <w:rFonts w:ascii="Aptos" w:eastAsia="Aptos" w:hAnsi="Aptos" w:cs="Times New Roman"/>
                <w:sz w:val="20"/>
                <w:szCs w:val="20"/>
              </w:rPr>
            </w:pPr>
            <w:r w:rsidRPr="00071FF2">
              <w:rPr>
                <w:rFonts w:ascii="Aptos" w:eastAsia="Aptos" w:hAnsi="Aptos" w:cs="Times New Roman"/>
                <w:sz w:val="20"/>
                <w:szCs w:val="20"/>
              </w:rPr>
              <w:t>387</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06B87DEF" w14:textId="77777777" w:rsidR="00677577" w:rsidRPr="00071FF2" w:rsidRDefault="00677577" w:rsidP="009E68C0">
            <w:pPr>
              <w:jc w:val="right"/>
              <w:rPr>
                <w:rFonts w:ascii="Aptos" w:eastAsia="Aptos" w:hAnsi="Aptos" w:cs="Times New Roman"/>
                <w:sz w:val="20"/>
                <w:szCs w:val="20"/>
              </w:rPr>
            </w:pPr>
            <w:r w:rsidRPr="00071FF2">
              <w:rPr>
                <w:rFonts w:ascii="Aptos" w:eastAsia="Aptos" w:hAnsi="Aptos" w:cs="Times New Roman"/>
                <w:sz w:val="20"/>
                <w:szCs w:val="20"/>
              </w:rPr>
              <w:t>405</w:t>
            </w:r>
          </w:p>
        </w:tc>
      </w:tr>
      <w:tr w:rsidR="00677577" w:rsidRPr="002050CC" w14:paraId="62CFF958" w14:textId="77777777">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6B59ECD3" w14:textId="77777777" w:rsidR="00677577" w:rsidRPr="009E68C0" w:rsidRDefault="00677577" w:rsidP="009E68C0">
            <w:pPr>
              <w:rPr>
                <w:rFonts w:ascii="Aptos" w:eastAsia="Aptos" w:hAnsi="Aptos" w:cs="Times New Roman"/>
                <w:sz w:val="20"/>
                <w:szCs w:val="20"/>
              </w:rPr>
            </w:pPr>
            <w:r w:rsidRPr="009E68C0">
              <w:rPr>
                <w:rFonts w:ascii="Aptos" w:eastAsia="Aptos" w:hAnsi="Aptos" w:cs="Times New Roman"/>
                <w:sz w:val="20"/>
                <w:szCs w:val="20"/>
              </w:rPr>
              <w:t>Sep-22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73DF5DD9" w14:textId="77777777" w:rsidR="00677577" w:rsidRPr="009E68C0" w:rsidRDefault="00677577" w:rsidP="009E68C0">
            <w:pPr>
              <w:jc w:val="right"/>
              <w:rPr>
                <w:rFonts w:ascii="Aptos" w:eastAsia="Aptos" w:hAnsi="Aptos" w:cs="Times New Roman"/>
                <w:sz w:val="20"/>
                <w:szCs w:val="20"/>
              </w:rPr>
            </w:pPr>
            <w:r w:rsidRPr="009E68C0">
              <w:rPr>
                <w:rFonts w:ascii="Aptos" w:eastAsia="Aptos" w:hAnsi="Aptos" w:cs="Times New Roman"/>
                <w:sz w:val="20"/>
                <w:szCs w:val="20"/>
              </w:rPr>
              <w:t>25</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5B205022" w14:textId="77777777" w:rsidR="00677577" w:rsidRPr="009E68C0" w:rsidRDefault="00677577" w:rsidP="009E68C0">
            <w:pPr>
              <w:jc w:val="right"/>
              <w:rPr>
                <w:rFonts w:ascii="Aptos" w:eastAsia="Aptos" w:hAnsi="Aptos" w:cs="Times New Roman"/>
                <w:sz w:val="20"/>
                <w:szCs w:val="20"/>
              </w:rPr>
            </w:pPr>
            <w:r w:rsidRPr="009E68C0">
              <w:rPr>
                <w:rFonts w:ascii="Aptos" w:eastAsia="Aptos" w:hAnsi="Aptos" w:cs="Times New Roman"/>
                <w:sz w:val="20"/>
                <w:szCs w:val="20"/>
              </w:rPr>
              <w:t>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01AEFD66" w14:textId="77777777" w:rsidR="00677577" w:rsidRPr="009E68C0" w:rsidRDefault="00677577" w:rsidP="009E68C0">
            <w:pPr>
              <w:jc w:val="right"/>
              <w:rPr>
                <w:rFonts w:ascii="Aptos" w:eastAsia="Aptos" w:hAnsi="Aptos" w:cs="Times New Roman"/>
                <w:sz w:val="20"/>
                <w:szCs w:val="20"/>
              </w:rPr>
            </w:pPr>
            <w:r w:rsidRPr="009E68C0">
              <w:rPr>
                <w:rFonts w:ascii="Aptos" w:eastAsia="Aptos" w:hAnsi="Aptos" w:cs="Times New Roman"/>
                <w:sz w:val="20"/>
                <w:szCs w:val="20"/>
              </w:rPr>
              <w:t>369</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313BEBC0" w14:textId="77777777" w:rsidR="00677577" w:rsidRPr="009E68C0" w:rsidRDefault="00677577" w:rsidP="009E68C0">
            <w:pPr>
              <w:jc w:val="right"/>
              <w:rPr>
                <w:rFonts w:ascii="Aptos" w:eastAsia="Aptos" w:hAnsi="Aptos" w:cs="Times New Roman"/>
                <w:sz w:val="20"/>
                <w:szCs w:val="20"/>
              </w:rPr>
            </w:pPr>
            <w:r w:rsidRPr="009E68C0">
              <w:rPr>
                <w:rFonts w:ascii="Aptos" w:eastAsia="Aptos" w:hAnsi="Aptos" w:cs="Times New Roman"/>
                <w:sz w:val="20"/>
                <w:szCs w:val="20"/>
              </w:rPr>
              <w:t>395</w:t>
            </w:r>
          </w:p>
        </w:tc>
      </w:tr>
      <w:tr w:rsidR="00677577" w:rsidRPr="002050CC" w14:paraId="14664676" w14:textId="77777777">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5F9D9895" w14:textId="77777777" w:rsidR="00677577" w:rsidRPr="009E68C0" w:rsidRDefault="00677577" w:rsidP="009E68C0">
            <w:pPr>
              <w:rPr>
                <w:rFonts w:ascii="Aptos" w:eastAsia="Aptos" w:hAnsi="Aptos" w:cs="Times New Roman"/>
                <w:sz w:val="20"/>
                <w:szCs w:val="20"/>
              </w:rPr>
            </w:pPr>
            <w:r w:rsidRPr="009E68C0">
              <w:rPr>
                <w:rFonts w:ascii="Aptos" w:eastAsia="Aptos" w:hAnsi="Aptos" w:cs="Times New Roman"/>
                <w:sz w:val="20"/>
                <w:szCs w:val="20"/>
              </w:rPr>
              <w:t>Oct-22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3BF37062" w14:textId="77777777" w:rsidR="00677577" w:rsidRPr="009E68C0" w:rsidRDefault="00677577" w:rsidP="009E68C0">
            <w:pPr>
              <w:jc w:val="right"/>
              <w:rPr>
                <w:rFonts w:ascii="Aptos" w:eastAsia="Aptos" w:hAnsi="Aptos" w:cs="Times New Roman"/>
                <w:sz w:val="20"/>
                <w:szCs w:val="20"/>
              </w:rPr>
            </w:pPr>
            <w:r w:rsidRPr="009E68C0">
              <w:rPr>
                <w:rFonts w:ascii="Aptos" w:eastAsia="Aptos" w:hAnsi="Aptos" w:cs="Times New Roman"/>
                <w:sz w:val="20"/>
                <w:szCs w:val="20"/>
              </w:rPr>
              <w:t>18</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052B3ACB" w14:textId="77777777" w:rsidR="00677577" w:rsidRPr="009E68C0" w:rsidRDefault="00677577" w:rsidP="009E68C0">
            <w:pPr>
              <w:jc w:val="right"/>
              <w:rPr>
                <w:rFonts w:ascii="Aptos" w:eastAsia="Aptos" w:hAnsi="Aptos" w:cs="Times New Roman"/>
                <w:sz w:val="20"/>
                <w:szCs w:val="20"/>
              </w:rPr>
            </w:pPr>
            <w:r w:rsidRPr="009E68C0">
              <w:rPr>
                <w:rFonts w:ascii="Aptos" w:eastAsia="Aptos" w:hAnsi="Aptos" w:cs="Times New Roman"/>
                <w:sz w:val="20"/>
                <w:szCs w:val="20"/>
              </w:rPr>
              <w:t>3</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667B3365" w14:textId="77777777" w:rsidR="00677577" w:rsidRPr="009E68C0" w:rsidRDefault="00677577" w:rsidP="009E68C0">
            <w:pPr>
              <w:jc w:val="right"/>
              <w:rPr>
                <w:rFonts w:ascii="Aptos" w:eastAsia="Aptos" w:hAnsi="Aptos" w:cs="Times New Roman"/>
                <w:sz w:val="20"/>
                <w:szCs w:val="20"/>
              </w:rPr>
            </w:pPr>
            <w:r w:rsidRPr="009E68C0">
              <w:rPr>
                <w:rFonts w:ascii="Aptos" w:eastAsia="Aptos" w:hAnsi="Aptos" w:cs="Times New Roman"/>
                <w:sz w:val="20"/>
                <w:szCs w:val="20"/>
              </w:rPr>
              <w:t>333</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1F6F85A1" w14:textId="77777777" w:rsidR="00677577" w:rsidRPr="009E68C0" w:rsidRDefault="00677577" w:rsidP="009E68C0">
            <w:pPr>
              <w:jc w:val="right"/>
              <w:rPr>
                <w:rFonts w:ascii="Aptos" w:eastAsia="Aptos" w:hAnsi="Aptos" w:cs="Times New Roman"/>
                <w:sz w:val="20"/>
                <w:szCs w:val="20"/>
              </w:rPr>
            </w:pPr>
            <w:r w:rsidRPr="009E68C0">
              <w:rPr>
                <w:rFonts w:ascii="Aptos" w:eastAsia="Aptos" w:hAnsi="Aptos" w:cs="Times New Roman"/>
                <w:sz w:val="20"/>
                <w:szCs w:val="20"/>
              </w:rPr>
              <w:t>354</w:t>
            </w:r>
          </w:p>
        </w:tc>
      </w:tr>
      <w:tr w:rsidR="00677577" w:rsidRPr="002050CC" w14:paraId="1963D969" w14:textId="77777777">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32A9CF98" w14:textId="77777777" w:rsidR="00677577" w:rsidRPr="009E68C0" w:rsidRDefault="00677577" w:rsidP="009E68C0">
            <w:pPr>
              <w:rPr>
                <w:rFonts w:ascii="Aptos" w:eastAsia="Aptos" w:hAnsi="Aptos" w:cs="Times New Roman"/>
                <w:sz w:val="20"/>
                <w:szCs w:val="20"/>
              </w:rPr>
            </w:pPr>
            <w:r w:rsidRPr="009E68C0">
              <w:rPr>
                <w:rFonts w:ascii="Aptos" w:eastAsia="Aptos" w:hAnsi="Aptos" w:cs="Times New Roman"/>
                <w:sz w:val="20"/>
                <w:szCs w:val="20"/>
              </w:rPr>
              <w:t>Nov-22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378DD2EF" w14:textId="77777777" w:rsidR="00677577" w:rsidRPr="009E68C0" w:rsidRDefault="00677577" w:rsidP="009E68C0">
            <w:pPr>
              <w:jc w:val="right"/>
              <w:rPr>
                <w:rFonts w:ascii="Aptos" w:eastAsia="Aptos" w:hAnsi="Aptos" w:cs="Times New Roman"/>
                <w:sz w:val="20"/>
                <w:szCs w:val="20"/>
              </w:rPr>
            </w:pPr>
            <w:r w:rsidRPr="009E68C0">
              <w:rPr>
                <w:rFonts w:ascii="Aptos" w:eastAsia="Aptos" w:hAnsi="Aptos" w:cs="Times New Roman"/>
                <w:sz w:val="20"/>
                <w:szCs w:val="20"/>
              </w:rPr>
              <w:t>27</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56E1F70F" w14:textId="77777777" w:rsidR="00677577" w:rsidRPr="009E68C0" w:rsidRDefault="00677577" w:rsidP="009E68C0">
            <w:pPr>
              <w:jc w:val="right"/>
              <w:rPr>
                <w:rFonts w:ascii="Aptos" w:eastAsia="Aptos" w:hAnsi="Aptos" w:cs="Times New Roman"/>
                <w:sz w:val="20"/>
                <w:szCs w:val="20"/>
              </w:rPr>
            </w:pPr>
            <w:r w:rsidRPr="009E68C0">
              <w:rPr>
                <w:rFonts w:ascii="Aptos" w:eastAsia="Aptos" w:hAnsi="Aptos" w:cs="Times New Roman"/>
                <w:sz w:val="20"/>
                <w:szCs w:val="20"/>
              </w:rPr>
              <w:t>4</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35CFEB4B" w14:textId="77777777" w:rsidR="00677577" w:rsidRPr="009E68C0" w:rsidRDefault="00677577" w:rsidP="009E68C0">
            <w:pPr>
              <w:jc w:val="right"/>
              <w:rPr>
                <w:rFonts w:ascii="Aptos" w:eastAsia="Aptos" w:hAnsi="Aptos" w:cs="Times New Roman"/>
                <w:sz w:val="20"/>
                <w:szCs w:val="20"/>
              </w:rPr>
            </w:pPr>
            <w:r w:rsidRPr="009E68C0">
              <w:rPr>
                <w:rFonts w:ascii="Aptos" w:eastAsia="Aptos" w:hAnsi="Aptos" w:cs="Times New Roman"/>
                <w:sz w:val="20"/>
                <w:szCs w:val="20"/>
              </w:rPr>
              <w:t>355</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048264DB" w14:textId="77777777" w:rsidR="00677577" w:rsidRPr="009E68C0" w:rsidRDefault="00677577" w:rsidP="009E68C0">
            <w:pPr>
              <w:jc w:val="right"/>
              <w:rPr>
                <w:rFonts w:ascii="Aptos" w:eastAsia="Aptos" w:hAnsi="Aptos" w:cs="Times New Roman"/>
                <w:sz w:val="20"/>
                <w:szCs w:val="20"/>
              </w:rPr>
            </w:pPr>
            <w:r w:rsidRPr="009E68C0">
              <w:rPr>
                <w:rFonts w:ascii="Aptos" w:eastAsia="Aptos" w:hAnsi="Aptos" w:cs="Times New Roman"/>
                <w:sz w:val="20"/>
                <w:szCs w:val="20"/>
              </w:rPr>
              <w:t>386</w:t>
            </w:r>
          </w:p>
        </w:tc>
      </w:tr>
      <w:tr w:rsidR="00677577" w:rsidRPr="002050CC" w14:paraId="1BFF4AE6" w14:textId="77777777">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26985F4C" w14:textId="77777777" w:rsidR="00677577" w:rsidRPr="009E68C0" w:rsidRDefault="00677577" w:rsidP="009E68C0">
            <w:pPr>
              <w:rPr>
                <w:rFonts w:ascii="Aptos" w:eastAsia="Aptos" w:hAnsi="Aptos" w:cs="Times New Roman"/>
                <w:sz w:val="20"/>
                <w:szCs w:val="20"/>
              </w:rPr>
            </w:pPr>
            <w:r w:rsidRPr="009E68C0">
              <w:rPr>
                <w:rFonts w:ascii="Aptos" w:eastAsia="Aptos" w:hAnsi="Aptos" w:cs="Times New Roman"/>
                <w:sz w:val="20"/>
                <w:szCs w:val="20"/>
              </w:rPr>
              <w:t>Dec-22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3E8CAB65" w14:textId="77777777" w:rsidR="00677577" w:rsidRPr="009E68C0" w:rsidRDefault="00677577" w:rsidP="009E68C0">
            <w:pPr>
              <w:jc w:val="right"/>
              <w:rPr>
                <w:rFonts w:ascii="Aptos" w:eastAsia="Aptos" w:hAnsi="Aptos" w:cs="Times New Roman"/>
                <w:sz w:val="20"/>
                <w:szCs w:val="20"/>
              </w:rPr>
            </w:pPr>
            <w:r w:rsidRPr="009E68C0">
              <w:rPr>
                <w:rFonts w:ascii="Aptos" w:eastAsia="Aptos" w:hAnsi="Aptos" w:cs="Times New Roman"/>
                <w:sz w:val="20"/>
                <w:szCs w:val="20"/>
              </w:rPr>
              <w:t>24</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359811CA" w14:textId="77777777" w:rsidR="00677577" w:rsidRPr="009E68C0" w:rsidRDefault="00677577" w:rsidP="009E68C0">
            <w:pPr>
              <w:jc w:val="right"/>
              <w:rPr>
                <w:rFonts w:ascii="Aptos" w:eastAsia="Aptos" w:hAnsi="Aptos" w:cs="Times New Roman"/>
                <w:sz w:val="20"/>
                <w:szCs w:val="20"/>
              </w:rPr>
            </w:pPr>
            <w:r w:rsidRPr="009E68C0">
              <w:rPr>
                <w:rFonts w:ascii="Aptos" w:eastAsia="Aptos" w:hAnsi="Aptos" w:cs="Times New Roman"/>
                <w:sz w:val="20"/>
                <w:szCs w:val="20"/>
              </w:rPr>
              <w:t>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25EF52E4" w14:textId="77777777" w:rsidR="00677577" w:rsidRPr="009E68C0" w:rsidRDefault="00677577" w:rsidP="009E68C0">
            <w:pPr>
              <w:jc w:val="right"/>
              <w:rPr>
                <w:rFonts w:ascii="Aptos" w:eastAsia="Aptos" w:hAnsi="Aptos" w:cs="Times New Roman"/>
                <w:sz w:val="20"/>
                <w:szCs w:val="20"/>
              </w:rPr>
            </w:pPr>
            <w:r w:rsidRPr="009E68C0">
              <w:rPr>
                <w:rFonts w:ascii="Aptos" w:eastAsia="Aptos" w:hAnsi="Aptos" w:cs="Times New Roman"/>
                <w:sz w:val="20"/>
                <w:szCs w:val="20"/>
              </w:rPr>
              <w:t>499</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694BCCDE" w14:textId="77777777" w:rsidR="00677577" w:rsidRPr="009E68C0" w:rsidRDefault="00677577" w:rsidP="009E68C0">
            <w:pPr>
              <w:jc w:val="right"/>
              <w:rPr>
                <w:rFonts w:ascii="Aptos" w:eastAsia="Aptos" w:hAnsi="Aptos" w:cs="Times New Roman"/>
                <w:sz w:val="20"/>
                <w:szCs w:val="20"/>
              </w:rPr>
            </w:pPr>
            <w:r w:rsidRPr="009E68C0">
              <w:rPr>
                <w:rFonts w:ascii="Aptos" w:eastAsia="Aptos" w:hAnsi="Aptos" w:cs="Times New Roman"/>
                <w:sz w:val="20"/>
                <w:szCs w:val="20"/>
              </w:rPr>
              <w:t>525</w:t>
            </w:r>
          </w:p>
        </w:tc>
      </w:tr>
      <w:tr w:rsidR="00677577" w:rsidRPr="002050CC" w14:paraId="10F6B048" w14:textId="77777777">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2BE922C3" w14:textId="77777777" w:rsidR="00677577" w:rsidRPr="009E68C0" w:rsidRDefault="00677577" w:rsidP="009E68C0">
            <w:pPr>
              <w:rPr>
                <w:rFonts w:ascii="Aptos" w:eastAsia="Aptos" w:hAnsi="Aptos" w:cs="Times New Roman"/>
                <w:sz w:val="20"/>
                <w:szCs w:val="20"/>
              </w:rPr>
            </w:pPr>
            <w:r w:rsidRPr="009E68C0">
              <w:rPr>
                <w:rFonts w:ascii="Aptos" w:eastAsia="Aptos" w:hAnsi="Aptos" w:cs="Times New Roman"/>
                <w:sz w:val="20"/>
                <w:szCs w:val="20"/>
              </w:rPr>
              <w:t>Jan-23</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29E75813" w14:textId="77777777" w:rsidR="00677577" w:rsidRPr="009E68C0" w:rsidRDefault="00677577" w:rsidP="009E68C0">
            <w:pPr>
              <w:jc w:val="right"/>
              <w:rPr>
                <w:rFonts w:ascii="Aptos" w:eastAsia="Aptos" w:hAnsi="Aptos" w:cs="Times New Roman"/>
                <w:sz w:val="20"/>
                <w:szCs w:val="20"/>
              </w:rPr>
            </w:pPr>
            <w:r w:rsidRPr="009E68C0">
              <w:rPr>
                <w:rFonts w:ascii="Aptos" w:eastAsia="Aptos" w:hAnsi="Aptos" w:cs="Times New Roman"/>
                <w:sz w:val="20"/>
                <w:szCs w:val="20"/>
              </w:rPr>
              <w:t>11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2B2AA473" w14:textId="77777777" w:rsidR="00677577" w:rsidRPr="009E68C0" w:rsidRDefault="00677577" w:rsidP="009E68C0">
            <w:pPr>
              <w:jc w:val="right"/>
              <w:rPr>
                <w:rFonts w:ascii="Aptos" w:eastAsia="Aptos" w:hAnsi="Aptos" w:cs="Times New Roman"/>
                <w:sz w:val="20"/>
                <w:szCs w:val="20"/>
              </w:rPr>
            </w:pPr>
            <w:r w:rsidRPr="009E68C0">
              <w:rPr>
                <w:rFonts w:ascii="Aptos" w:eastAsia="Aptos" w:hAnsi="Aptos" w:cs="Times New Roman"/>
                <w:sz w:val="20"/>
                <w:szCs w:val="20"/>
              </w:rPr>
              <w:t>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1DF39790" w14:textId="77777777" w:rsidR="00677577" w:rsidRPr="009E68C0" w:rsidRDefault="00677577" w:rsidP="009E68C0">
            <w:pPr>
              <w:jc w:val="right"/>
              <w:rPr>
                <w:rFonts w:ascii="Aptos" w:eastAsia="Aptos" w:hAnsi="Aptos" w:cs="Times New Roman"/>
                <w:sz w:val="20"/>
                <w:szCs w:val="20"/>
              </w:rPr>
            </w:pPr>
            <w:r w:rsidRPr="009E68C0">
              <w:rPr>
                <w:rFonts w:ascii="Aptos" w:eastAsia="Aptos" w:hAnsi="Aptos" w:cs="Times New Roman"/>
                <w:sz w:val="20"/>
                <w:szCs w:val="20"/>
              </w:rPr>
              <w:t>129</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250A233D" w14:textId="77777777" w:rsidR="00677577" w:rsidRPr="009E68C0" w:rsidRDefault="00677577" w:rsidP="009E68C0">
            <w:pPr>
              <w:jc w:val="right"/>
              <w:rPr>
                <w:rFonts w:ascii="Aptos" w:eastAsia="Aptos" w:hAnsi="Aptos" w:cs="Times New Roman"/>
                <w:sz w:val="20"/>
                <w:szCs w:val="20"/>
              </w:rPr>
            </w:pPr>
            <w:r w:rsidRPr="009E68C0">
              <w:rPr>
                <w:rFonts w:ascii="Aptos" w:eastAsia="Aptos" w:hAnsi="Aptos" w:cs="Times New Roman"/>
                <w:sz w:val="20"/>
                <w:szCs w:val="20"/>
              </w:rPr>
              <w:t>141</w:t>
            </w:r>
          </w:p>
        </w:tc>
      </w:tr>
      <w:tr w:rsidR="00677577" w:rsidRPr="002050CC" w14:paraId="05DF6B85" w14:textId="77777777">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62D57AD1" w14:textId="77777777" w:rsidR="00677577" w:rsidRPr="009E68C0" w:rsidRDefault="00677577" w:rsidP="009E68C0">
            <w:pPr>
              <w:rPr>
                <w:rFonts w:ascii="Aptos" w:eastAsia="Aptos" w:hAnsi="Aptos" w:cs="Times New Roman"/>
                <w:sz w:val="20"/>
                <w:szCs w:val="20"/>
              </w:rPr>
            </w:pPr>
            <w:r w:rsidRPr="009E68C0">
              <w:rPr>
                <w:rFonts w:ascii="Aptos" w:eastAsia="Aptos" w:hAnsi="Aptos" w:cs="Times New Roman"/>
                <w:sz w:val="20"/>
                <w:szCs w:val="20"/>
              </w:rPr>
              <w:t>Feb-23</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32D59AC3" w14:textId="77777777" w:rsidR="00677577" w:rsidRPr="009E68C0" w:rsidRDefault="00677577" w:rsidP="009E68C0">
            <w:pPr>
              <w:jc w:val="right"/>
              <w:rPr>
                <w:rFonts w:ascii="Aptos" w:eastAsia="Aptos" w:hAnsi="Aptos" w:cs="Times New Roman"/>
                <w:sz w:val="20"/>
                <w:szCs w:val="20"/>
              </w:rPr>
            </w:pPr>
            <w:r w:rsidRPr="009E68C0">
              <w:rPr>
                <w:rFonts w:ascii="Aptos" w:eastAsia="Aptos" w:hAnsi="Aptos" w:cs="Times New Roman"/>
                <w:sz w:val="20"/>
                <w:szCs w:val="20"/>
              </w:rPr>
              <w:t>21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479F07D3" w14:textId="77777777" w:rsidR="00677577" w:rsidRPr="009E68C0" w:rsidRDefault="00677577" w:rsidP="009E68C0">
            <w:pPr>
              <w:jc w:val="right"/>
              <w:rPr>
                <w:rFonts w:ascii="Aptos" w:eastAsia="Aptos" w:hAnsi="Aptos" w:cs="Times New Roman"/>
                <w:sz w:val="20"/>
                <w:szCs w:val="20"/>
              </w:rPr>
            </w:pPr>
            <w:r w:rsidRPr="009E68C0">
              <w:rPr>
                <w:rFonts w:ascii="Aptos" w:eastAsia="Aptos" w:hAnsi="Aptos" w:cs="Times New Roman"/>
                <w:sz w:val="20"/>
                <w:szCs w:val="20"/>
              </w:rPr>
              <w:t>4</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3AFC1374" w14:textId="77777777" w:rsidR="00677577" w:rsidRPr="009E68C0" w:rsidRDefault="00677577" w:rsidP="009E68C0">
            <w:pPr>
              <w:jc w:val="right"/>
              <w:rPr>
                <w:rFonts w:ascii="Aptos" w:eastAsia="Aptos" w:hAnsi="Aptos" w:cs="Times New Roman"/>
                <w:sz w:val="20"/>
                <w:szCs w:val="20"/>
              </w:rPr>
            </w:pPr>
            <w:r w:rsidRPr="009E68C0">
              <w:rPr>
                <w:rFonts w:ascii="Aptos" w:eastAsia="Aptos" w:hAnsi="Aptos" w:cs="Times New Roman"/>
                <w:sz w:val="20"/>
                <w:szCs w:val="20"/>
              </w:rPr>
              <w:t>222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73830EE5" w14:textId="77777777" w:rsidR="00677577" w:rsidRPr="009E68C0" w:rsidRDefault="00677577" w:rsidP="009E68C0">
            <w:pPr>
              <w:jc w:val="right"/>
              <w:rPr>
                <w:rFonts w:ascii="Aptos" w:eastAsia="Aptos" w:hAnsi="Aptos" w:cs="Times New Roman"/>
                <w:sz w:val="20"/>
                <w:szCs w:val="20"/>
              </w:rPr>
            </w:pPr>
            <w:r w:rsidRPr="009E68C0">
              <w:rPr>
                <w:rFonts w:ascii="Aptos" w:eastAsia="Aptos" w:hAnsi="Aptos" w:cs="Times New Roman"/>
                <w:sz w:val="20"/>
                <w:szCs w:val="20"/>
              </w:rPr>
              <w:t>247</w:t>
            </w:r>
          </w:p>
        </w:tc>
      </w:tr>
      <w:tr w:rsidR="00677577" w:rsidRPr="002050CC" w14:paraId="7861166B" w14:textId="77777777">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672C7866" w14:textId="77777777" w:rsidR="00677577" w:rsidRPr="009E68C0" w:rsidRDefault="00677577" w:rsidP="009E68C0">
            <w:pPr>
              <w:rPr>
                <w:rFonts w:ascii="Aptos" w:eastAsia="Aptos" w:hAnsi="Aptos" w:cs="Times New Roman"/>
                <w:sz w:val="20"/>
                <w:szCs w:val="20"/>
              </w:rPr>
            </w:pPr>
            <w:r w:rsidRPr="009E68C0">
              <w:rPr>
                <w:rFonts w:ascii="Aptos" w:eastAsia="Aptos" w:hAnsi="Aptos" w:cs="Times New Roman"/>
                <w:sz w:val="20"/>
                <w:szCs w:val="20"/>
              </w:rPr>
              <w:t>Mar-23</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3013CBE7" w14:textId="77777777" w:rsidR="00677577" w:rsidRPr="009E68C0" w:rsidRDefault="00677577" w:rsidP="009E68C0">
            <w:pPr>
              <w:jc w:val="right"/>
              <w:rPr>
                <w:rFonts w:ascii="Aptos" w:eastAsia="Aptos" w:hAnsi="Aptos" w:cs="Times New Roman"/>
                <w:sz w:val="20"/>
                <w:szCs w:val="20"/>
              </w:rPr>
            </w:pPr>
            <w:r w:rsidRPr="009E68C0">
              <w:rPr>
                <w:rFonts w:ascii="Aptos" w:eastAsia="Aptos" w:hAnsi="Aptos" w:cs="Times New Roman"/>
                <w:sz w:val="20"/>
                <w:szCs w:val="20"/>
              </w:rPr>
              <w:t>34</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02823783" w14:textId="77777777" w:rsidR="00677577" w:rsidRPr="009E68C0" w:rsidRDefault="00677577" w:rsidP="009E68C0">
            <w:pPr>
              <w:jc w:val="right"/>
              <w:rPr>
                <w:rFonts w:ascii="Aptos" w:eastAsia="Aptos" w:hAnsi="Aptos" w:cs="Times New Roman"/>
                <w:sz w:val="20"/>
                <w:szCs w:val="20"/>
              </w:rPr>
            </w:pPr>
            <w:r w:rsidRPr="009E68C0">
              <w:rPr>
                <w:rFonts w:ascii="Aptos" w:eastAsia="Aptos" w:hAnsi="Aptos" w:cs="Times New Roman"/>
                <w:sz w:val="20"/>
                <w:szCs w:val="20"/>
              </w:rPr>
              <w:t>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589840DB" w14:textId="77777777" w:rsidR="00677577" w:rsidRPr="009E68C0" w:rsidRDefault="00677577" w:rsidP="009E68C0">
            <w:pPr>
              <w:jc w:val="right"/>
              <w:rPr>
                <w:rFonts w:ascii="Aptos" w:eastAsia="Aptos" w:hAnsi="Aptos" w:cs="Times New Roman"/>
                <w:sz w:val="20"/>
                <w:szCs w:val="20"/>
              </w:rPr>
            </w:pPr>
            <w:r w:rsidRPr="009E68C0">
              <w:rPr>
                <w:rFonts w:ascii="Aptos" w:eastAsia="Aptos" w:hAnsi="Aptos" w:cs="Times New Roman"/>
                <w:sz w:val="20"/>
                <w:szCs w:val="20"/>
              </w:rPr>
              <w:t>273</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63FCE81A" w14:textId="77777777" w:rsidR="00677577" w:rsidRPr="009E68C0" w:rsidRDefault="00677577" w:rsidP="009E68C0">
            <w:pPr>
              <w:jc w:val="right"/>
              <w:rPr>
                <w:rFonts w:ascii="Aptos" w:eastAsia="Aptos" w:hAnsi="Aptos" w:cs="Times New Roman"/>
                <w:sz w:val="20"/>
                <w:szCs w:val="20"/>
              </w:rPr>
            </w:pPr>
            <w:r w:rsidRPr="009E68C0">
              <w:rPr>
                <w:rFonts w:ascii="Aptos" w:eastAsia="Aptos" w:hAnsi="Aptos" w:cs="Times New Roman"/>
                <w:sz w:val="20"/>
                <w:szCs w:val="20"/>
              </w:rPr>
              <w:t>309</w:t>
            </w:r>
          </w:p>
        </w:tc>
      </w:tr>
      <w:tr w:rsidR="00677577" w:rsidRPr="002050CC" w14:paraId="5684AD93" w14:textId="77777777">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3FA5F311" w14:textId="77777777" w:rsidR="00677577" w:rsidRPr="009E68C0" w:rsidRDefault="00677577" w:rsidP="009E68C0">
            <w:pPr>
              <w:rPr>
                <w:rFonts w:ascii="Aptos" w:eastAsia="Aptos" w:hAnsi="Aptos" w:cs="Times New Roman"/>
                <w:sz w:val="20"/>
                <w:szCs w:val="20"/>
              </w:rPr>
            </w:pPr>
            <w:r w:rsidRPr="009E68C0">
              <w:rPr>
                <w:rFonts w:ascii="Aptos" w:eastAsia="Aptos" w:hAnsi="Aptos" w:cs="Times New Roman"/>
                <w:sz w:val="20"/>
                <w:szCs w:val="20"/>
              </w:rPr>
              <w:t>Apr-22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5C6AB81A" w14:textId="77777777" w:rsidR="00677577" w:rsidRPr="009E68C0" w:rsidRDefault="00677577" w:rsidP="009E68C0">
            <w:pPr>
              <w:jc w:val="right"/>
              <w:rPr>
                <w:rFonts w:ascii="Aptos" w:eastAsia="Aptos" w:hAnsi="Aptos" w:cs="Times New Roman"/>
                <w:sz w:val="20"/>
                <w:szCs w:val="20"/>
              </w:rPr>
            </w:pPr>
            <w:r w:rsidRPr="009E68C0">
              <w:rPr>
                <w:rFonts w:ascii="Aptos" w:eastAsia="Aptos" w:hAnsi="Aptos" w:cs="Times New Roman"/>
                <w:sz w:val="20"/>
                <w:szCs w:val="20"/>
              </w:rPr>
              <w:t>20</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0525B0FD" w14:textId="77777777" w:rsidR="00677577" w:rsidRPr="009E68C0" w:rsidRDefault="00677577" w:rsidP="009E68C0">
            <w:pPr>
              <w:jc w:val="right"/>
              <w:rPr>
                <w:rFonts w:ascii="Aptos" w:eastAsia="Aptos" w:hAnsi="Aptos" w:cs="Times New Roman"/>
                <w:sz w:val="20"/>
                <w:szCs w:val="20"/>
              </w:rPr>
            </w:pPr>
            <w:r w:rsidRPr="009E68C0">
              <w:rPr>
                <w:rFonts w:ascii="Aptos" w:eastAsia="Aptos" w:hAnsi="Aptos" w:cs="Times New Roman"/>
                <w:sz w:val="20"/>
                <w:szCs w:val="20"/>
              </w:rPr>
              <w:t>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120390D6" w14:textId="77777777" w:rsidR="00677577" w:rsidRPr="009E68C0" w:rsidRDefault="00677577" w:rsidP="009E68C0">
            <w:pPr>
              <w:jc w:val="right"/>
              <w:rPr>
                <w:rFonts w:ascii="Aptos" w:eastAsia="Aptos" w:hAnsi="Aptos" w:cs="Times New Roman"/>
                <w:sz w:val="20"/>
                <w:szCs w:val="20"/>
              </w:rPr>
            </w:pPr>
            <w:r w:rsidRPr="009E68C0">
              <w:rPr>
                <w:rFonts w:ascii="Aptos" w:eastAsia="Aptos" w:hAnsi="Aptos" w:cs="Times New Roman"/>
                <w:sz w:val="20"/>
                <w:szCs w:val="20"/>
              </w:rPr>
              <w:t>245</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2DD81AB0" w14:textId="77777777" w:rsidR="00677577" w:rsidRPr="009E68C0" w:rsidRDefault="00677577" w:rsidP="009E68C0">
            <w:pPr>
              <w:jc w:val="right"/>
              <w:rPr>
                <w:rFonts w:ascii="Aptos" w:eastAsia="Aptos" w:hAnsi="Aptos" w:cs="Times New Roman"/>
                <w:sz w:val="20"/>
                <w:szCs w:val="20"/>
              </w:rPr>
            </w:pPr>
            <w:r w:rsidRPr="009E68C0">
              <w:rPr>
                <w:rFonts w:ascii="Aptos" w:eastAsia="Aptos" w:hAnsi="Aptos" w:cs="Times New Roman"/>
                <w:sz w:val="20"/>
                <w:szCs w:val="20"/>
              </w:rPr>
              <w:t>266</w:t>
            </w:r>
          </w:p>
        </w:tc>
      </w:tr>
      <w:tr w:rsidR="00677577" w:rsidRPr="002050CC" w14:paraId="46AE8263" w14:textId="77777777">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3B03BFDD" w14:textId="77777777" w:rsidR="00677577" w:rsidRPr="009E68C0" w:rsidRDefault="00677577" w:rsidP="009E68C0">
            <w:pPr>
              <w:rPr>
                <w:rFonts w:ascii="Aptos" w:eastAsia="Aptos" w:hAnsi="Aptos" w:cs="Times New Roman"/>
                <w:sz w:val="20"/>
                <w:szCs w:val="20"/>
              </w:rPr>
            </w:pPr>
            <w:r w:rsidRPr="009E68C0">
              <w:rPr>
                <w:rFonts w:ascii="Aptos" w:eastAsia="Aptos" w:hAnsi="Aptos" w:cs="Times New Roman"/>
                <w:sz w:val="20"/>
                <w:szCs w:val="20"/>
              </w:rPr>
              <w:t>May-23</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19E44480" w14:textId="77777777" w:rsidR="00677577" w:rsidRPr="009E68C0" w:rsidRDefault="00677577" w:rsidP="009E68C0">
            <w:pPr>
              <w:jc w:val="right"/>
              <w:rPr>
                <w:rFonts w:ascii="Aptos" w:eastAsia="Aptos" w:hAnsi="Aptos" w:cs="Times New Roman"/>
                <w:sz w:val="20"/>
                <w:szCs w:val="20"/>
              </w:rPr>
            </w:pPr>
            <w:r w:rsidRPr="009E68C0">
              <w:rPr>
                <w:rFonts w:ascii="Aptos" w:eastAsia="Aptos" w:hAnsi="Aptos" w:cs="Times New Roman"/>
                <w:sz w:val="20"/>
                <w:szCs w:val="20"/>
              </w:rPr>
              <w:t>22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6524935A" w14:textId="77777777" w:rsidR="00677577" w:rsidRPr="009E68C0" w:rsidRDefault="00677577" w:rsidP="009E68C0">
            <w:pPr>
              <w:jc w:val="right"/>
              <w:rPr>
                <w:rFonts w:ascii="Aptos" w:eastAsia="Aptos" w:hAnsi="Aptos" w:cs="Times New Roman"/>
                <w:sz w:val="20"/>
                <w:szCs w:val="20"/>
              </w:rPr>
            </w:pPr>
            <w:r w:rsidRPr="009E68C0">
              <w:rPr>
                <w:rFonts w:ascii="Aptos" w:eastAsia="Aptos" w:hAnsi="Aptos" w:cs="Times New Roman"/>
                <w:sz w:val="20"/>
                <w:szCs w:val="20"/>
              </w:rPr>
              <w:t>7</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4735CE05" w14:textId="77777777" w:rsidR="00677577" w:rsidRPr="009E68C0" w:rsidRDefault="00677577" w:rsidP="009E68C0">
            <w:pPr>
              <w:jc w:val="right"/>
              <w:rPr>
                <w:rFonts w:ascii="Aptos" w:eastAsia="Aptos" w:hAnsi="Aptos" w:cs="Times New Roman"/>
                <w:sz w:val="20"/>
                <w:szCs w:val="20"/>
              </w:rPr>
            </w:pPr>
            <w:r w:rsidRPr="009E68C0">
              <w:rPr>
                <w:rFonts w:ascii="Aptos" w:eastAsia="Aptos" w:hAnsi="Aptos" w:cs="Times New Roman"/>
                <w:sz w:val="20"/>
                <w:szCs w:val="20"/>
              </w:rPr>
              <w:t>340</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762D65FD" w14:textId="77777777" w:rsidR="00677577" w:rsidRPr="009E68C0" w:rsidRDefault="00677577" w:rsidP="009E68C0">
            <w:pPr>
              <w:jc w:val="right"/>
              <w:rPr>
                <w:rFonts w:ascii="Aptos" w:eastAsia="Aptos" w:hAnsi="Aptos" w:cs="Times New Roman"/>
                <w:sz w:val="20"/>
                <w:szCs w:val="20"/>
              </w:rPr>
            </w:pPr>
            <w:r w:rsidRPr="009E68C0">
              <w:rPr>
                <w:rFonts w:ascii="Aptos" w:eastAsia="Aptos" w:hAnsi="Aptos" w:cs="Times New Roman"/>
                <w:sz w:val="20"/>
                <w:szCs w:val="20"/>
              </w:rPr>
              <w:t>369</w:t>
            </w:r>
          </w:p>
        </w:tc>
      </w:tr>
      <w:tr w:rsidR="00677577" w:rsidRPr="002050CC" w14:paraId="429F4E03" w14:textId="77777777">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2FCCE3F6" w14:textId="77777777" w:rsidR="00677577" w:rsidRPr="009E68C0" w:rsidRDefault="00677577" w:rsidP="009E68C0">
            <w:pPr>
              <w:rPr>
                <w:rFonts w:ascii="Aptos" w:eastAsia="Aptos" w:hAnsi="Aptos" w:cs="Times New Roman"/>
                <w:sz w:val="20"/>
                <w:szCs w:val="20"/>
              </w:rPr>
            </w:pPr>
            <w:r w:rsidRPr="009E68C0">
              <w:rPr>
                <w:rFonts w:ascii="Aptos" w:eastAsia="Aptos" w:hAnsi="Aptos" w:cs="Times New Roman"/>
                <w:sz w:val="20"/>
                <w:szCs w:val="20"/>
              </w:rPr>
              <w:t>Jun-23</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62521F98" w14:textId="77777777" w:rsidR="00677577" w:rsidRPr="009E68C0" w:rsidRDefault="00677577" w:rsidP="009E68C0">
            <w:pPr>
              <w:jc w:val="right"/>
              <w:rPr>
                <w:rFonts w:ascii="Aptos" w:eastAsia="Aptos" w:hAnsi="Aptos" w:cs="Times New Roman"/>
                <w:sz w:val="20"/>
                <w:szCs w:val="20"/>
              </w:rPr>
            </w:pPr>
            <w:r w:rsidRPr="009E68C0">
              <w:rPr>
                <w:rFonts w:ascii="Aptos" w:eastAsia="Aptos" w:hAnsi="Aptos" w:cs="Times New Roman"/>
                <w:sz w:val="20"/>
                <w:szCs w:val="20"/>
              </w:rPr>
              <w:t>37</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0392F226" w14:textId="77777777" w:rsidR="00677577" w:rsidRPr="009E68C0" w:rsidRDefault="00677577" w:rsidP="009E68C0">
            <w:pPr>
              <w:jc w:val="right"/>
              <w:rPr>
                <w:rFonts w:ascii="Aptos" w:eastAsia="Aptos" w:hAnsi="Aptos" w:cs="Times New Roman"/>
                <w:sz w:val="20"/>
                <w:szCs w:val="20"/>
              </w:rPr>
            </w:pPr>
            <w:r w:rsidRPr="009E68C0">
              <w:rPr>
                <w:rFonts w:ascii="Aptos" w:eastAsia="Aptos" w:hAnsi="Aptos" w:cs="Times New Roman"/>
                <w:sz w:val="20"/>
                <w:szCs w:val="20"/>
              </w:rPr>
              <w:t>6</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37604CCF" w14:textId="77777777" w:rsidR="00677577" w:rsidRPr="009E68C0" w:rsidRDefault="00677577" w:rsidP="009E68C0">
            <w:pPr>
              <w:jc w:val="right"/>
              <w:rPr>
                <w:rFonts w:ascii="Aptos" w:eastAsia="Aptos" w:hAnsi="Aptos" w:cs="Times New Roman"/>
                <w:sz w:val="20"/>
                <w:szCs w:val="20"/>
              </w:rPr>
            </w:pPr>
            <w:r w:rsidRPr="009E68C0">
              <w:rPr>
                <w:rFonts w:ascii="Aptos" w:eastAsia="Aptos" w:hAnsi="Aptos" w:cs="Times New Roman"/>
                <w:sz w:val="20"/>
                <w:szCs w:val="20"/>
              </w:rPr>
              <w:t>394</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046F731A" w14:textId="77777777" w:rsidR="00677577" w:rsidRPr="009E68C0" w:rsidRDefault="00677577" w:rsidP="009E68C0">
            <w:pPr>
              <w:jc w:val="right"/>
              <w:rPr>
                <w:rFonts w:ascii="Aptos" w:eastAsia="Aptos" w:hAnsi="Aptos" w:cs="Times New Roman"/>
                <w:sz w:val="20"/>
                <w:szCs w:val="20"/>
              </w:rPr>
            </w:pPr>
            <w:r w:rsidRPr="009E68C0">
              <w:rPr>
                <w:rFonts w:ascii="Aptos" w:eastAsia="Aptos" w:hAnsi="Aptos" w:cs="Times New Roman"/>
                <w:sz w:val="20"/>
                <w:szCs w:val="20"/>
              </w:rPr>
              <w:t>437</w:t>
            </w:r>
          </w:p>
        </w:tc>
      </w:tr>
      <w:tr w:rsidR="00677577" w:rsidRPr="002050CC" w14:paraId="2F2861C9" w14:textId="77777777">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7480B150" w14:textId="77777777" w:rsidR="00677577" w:rsidRPr="009E68C0" w:rsidRDefault="00677577" w:rsidP="007B75A3">
            <w:pPr>
              <w:rPr>
                <w:rFonts w:ascii="Aptos" w:eastAsia="Aptos" w:hAnsi="Aptos" w:cs="Times New Roman"/>
                <w:sz w:val="20"/>
                <w:szCs w:val="20"/>
              </w:rPr>
            </w:pPr>
            <w:r w:rsidRPr="009E68C0">
              <w:rPr>
                <w:rFonts w:ascii="Aptos" w:eastAsia="Aptos" w:hAnsi="Aptos" w:cs="Times New Roman"/>
                <w:sz w:val="20"/>
                <w:szCs w:val="20"/>
              </w:rPr>
              <w:t>Jul-23</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081F3D4E" w14:textId="77777777" w:rsidR="00677577" w:rsidRPr="009E68C0" w:rsidRDefault="00677577" w:rsidP="007B75A3">
            <w:pPr>
              <w:jc w:val="right"/>
              <w:rPr>
                <w:rFonts w:ascii="Aptos" w:eastAsia="Aptos" w:hAnsi="Aptos" w:cs="Times New Roman"/>
                <w:sz w:val="20"/>
                <w:szCs w:val="20"/>
              </w:rPr>
            </w:pPr>
            <w:r w:rsidRPr="009E68C0">
              <w:rPr>
                <w:rFonts w:ascii="Aptos" w:eastAsia="Aptos" w:hAnsi="Aptos" w:cs="Times New Roman"/>
                <w:sz w:val="20"/>
                <w:szCs w:val="20"/>
              </w:rPr>
              <w:t>20</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317F9AE6" w14:textId="77777777" w:rsidR="00677577" w:rsidRPr="009E68C0" w:rsidRDefault="00677577" w:rsidP="007B75A3">
            <w:pPr>
              <w:jc w:val="right"/>
              <w:rPr>
                <w:rFonts w:ascii="Aptos" w:eastAsia="Aptos" w:hAnsi="Aptos" w:cs="Times New Roman"/>
                <w:sz w:val="20"/>
                <w:szCs w:val="20"/>
              </w:rPr>
            </w:pPr>
            <w:r w:rsidRPr="009E68C0">
              <w:rPr>
                <w:rFonts w:ascii="Aptos" w:eastAsia="Aptos" w:hAnsi="Aptos" w:cs="Times New Roman"/>
                <w:sz w:val="20"/>
                <w:szCs w:val="20"/>
              </w:rPr>
              <w:t>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076640ED" w14:textId="77777777" w:rsidR="00677577" w:rsidRPr="009E68C0" w:rsidRDefault="00677577" w:rsidP="007B75A3">
            <w:pPr>
              <w:jc w:val="right"/>
              <w:rPr>
                <w:rFonts w:ascii="Aptos" w:eastAsia="Aptos" w:hAnsi="Aptos" w:cs="Times New Roman"/>
                <w:sz w:val="20"/>
                <w:szCs w:val="20"/>
              </w:rPr>
            </w:pPr>
            <w:r w:rsidRPr="009E68C0">
              <w:rPr>
                <w:rFonts w:ascii="Aptos" w:eastAsia="Aptos" w:hAnsi="Aptos" w:cs="Times New Roman"/>
                <w:sz w:val="20"/>
                <w:szCs w:val="20"/>
              </w:rPr>
              <w:t>299</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78D56FA1" w14:textId="77777777" w:rsidR="00677577" w:rsidRPr="009E68C0" w:rsidRDefault="00677577" w:rsidP="007B75A3">
            <w:pPr>
              <w:jc w:val="right"/>
              <w:rPr>
                <w:rFonts w:ascii="Aptos" w:eastAsia="Aptos" w:hAnsi="Aptos" w:cs="Times New Roman"/>
                <w:sz w:val="20"/>
                <w:szCs w:val="20"/>
              </w:rPr>
            </w:pPr>
            <w:r w:rsidRPr="009E68C0">
              <w:rPr>
                <w:rFonts w:ascii="Aptos" w:eastAsia="Aptos" w:hAnsi="Aptos" w:cs="Times New Roman"/>
                <w:sz w:val="20"/>
                <w:szCs w:val="20"/>
              </w:rPr>
              <w:t>321</w:t>
            </w:r>
          </w:p>
        </w:tc>
      </w:tr>
      <w:tr w:rsidR="00677577" w:rsidRPr="002050CC" w14:paraId="635BBF9D" w14:textId="77777777">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3B3C1DE2" w14:textId="77777777" w:rsidR="00677577" w:rsidRPr="007B75A3" w:rsidRDefault="00677577" w:rsidP="007B75A3">
            <w:pPr>
              <w:rPr>
                <w:rFonts w:ascii="Aptos" w:eastAsia="Aptos" w:hAnsi="Aptos" w:cs="Times New Roman"/>
                <w:sz w:val="20"/>
                <w:szCs w:val="20"/>
              </w:rPr>
            </w:pPr>
            <w:r w:rsidRPr="007B75A3">
              <w:rPr>
                <w:rFonts w:ascii="Aptos" w:eastAsia="Aptos" w:hAnsi="Aptos" w:cs="Times New Roman"/>
                <w:sz w:val="20"/>
                <w:szCs w:val="20"/>
              </w:rPr>
              <w:t>Aug-23</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0C5333FB" w14:textId="77777777" w:rsidR="00677577" w:rsidRPr="007B75A3" w:rsidRDefault="00677577" w:rsidP="007B75A3">
            <w:pPr>
              <w:jc w:val="right"/>
              <w:rPr>
                <w:rFonts w:ascii="Aptos" w:eastAsia="Aptos" w:hAnsi="Aptos" w:cs="Times New Roman"/>
                <w:sz w:val="20"/>
                <w:szCs w:val="20"/>
              </w:rPr>
            </w:pPr>
            <w:r w:rsidRPr="007B75A3">
              <w:rPr>
                <w:rFonts w:ascii="Aptos" w:eastAsia="Aptos" w:hAnsi="Aptos" w:cs="Times New Roman"/>
                <w:sz w:val="20"/>
                <w:szCs w:val="20"/>
              </w:rPr>
              <w:t>19</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6EFDE598" w14:textId="77777777" w:rsidR="00677577" w:rsidRPr="007B75A3" w:rsidRDefault="00677577" w:rsidP="007B75A3">
            <w:pPr>
              <w:jc w:val="right"/>
              <w:rPr>
                <w:rFonts w:ascii="Aptos" w:eastAsia="Aptos" w:hAnsi="Aptos" w:cs="Times New Roman"/>
                <w:sz w:val="20"/>
                <w:szCs w:val="20"/>
              </w:rPr>
            </w:pPr>
            <w:r w:rsidRPr="007B75A3">
              <w:rPr>
                <w:rFonts w:ascii="Aptos" w:eastAsia="Aptos" w:hAnsi="Aptos" w:cs="Times New Roman"/>
                <w:sz w:val="20"/>
                <w:szCs w:val="20"/>
              </w:rPr>
              <w:t>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1D5DE804" w14:textId="77777777" w:rsidR="00677577" w:rsidRPr="007B75A3" w:rsidRDefault="00677577" w:rsidP="007B75A3">
            <w:pPr>
              <w:jc w:val="right"/>
              <w:rPr>
                <w:rFonts w:ascii="Aptos" w:eastAsia="Aptos" w:hAnsi="Aptos" w:cs="Times New Roman"/>
                <w:sz w:val="20"/>
                <w:szCs w:val="20"/>
              </w:rPr>
            </w:pPr>
            <w:r w:rsidRPr="007B75A3">
              <w:rPr>
                <w:rFonts w:ascii="Aptos" w:eastAsia="Aptos" w:hAnsi="Aptos" w:cs="Times New Roman"/>
                <w:sz w:val="20"/>
                <w:szCs w:val="20"/>
              </w:rPr>
              <w:t>385</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369A953B" w14:textId="77777777" w:rsidR="00677577" w:rsidRPr="007B75A3" w:rsidRDefault="00677577" w:rsidP="007B75A3">
            <w:pPr>
              <w:jc w:val="right"/>
              <w:rPr>
                <w:rFonts w:ascii="Aptos" w:eastAsia="Aptos" w:hAnsi="Aptos" w:cs="Times New Roman"/>
                <w:sz w:val="20"/>
                <w:szCs w:val="20"/>
              </w:rPr>
            </w:pPr>
            <w:r w:rsidRPr="007B75A3">
              <w:rPr>
                <w:rFonts w:ascii="Aptos" w:eastAsia="Aptos" w:hAnsi="Aptos" w:cs="Times New Roman"/>
                <w:sz w:val="20"/>
                <w:szCs w:val="20"/>
              </w:rPr>
              <w:t>405</w:t>
            </w:r>
          </w:p>
        </w:tc>
      </w:tr>
      <w:tr w:rsidR="00677577" w:rsidRPr="002050CC" w14:paraId="49D28A9F" w14:textId="77777777">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51D2D94E" w14:textId="77777777" w:rsidR="00677577" w:rsidRPr="00C00A7B" w:rsidRDefault="00677577" w:rsidP="00C00A7B">
            <w:pPr>
              <w:rPr>
                <w:rFonts w:ascii="Aptos" w:eastAsia="Aptos" w:hAnsi="Aptos" w:cs="Times New Roman"/>
                <w:sz w:val="20"/>
                <w:szCs w:val="20"/>
              </w:rPr>
            </w:pPr>
            <w:r w:rsidRPr="00C00A7B">
              <w:rPr>
                <w:rFonts w:ascii="Aptos" w:eastAsia="Aptos" w:hAnsi="Aptos" w:cs="Times New Roman"/>
                <w:sz w:val="20"/>
                <w:szCs w:val="20"/>
              </w:rPr>
              <w:t>Sep-23</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20E75510"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19</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65B7047A"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3933A8F8"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385</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0DE5F41C"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406</w:t>
            </w:r>
          </w:p>
        </w:tc>
      </w:tr>
      <w:tr w:rsidR="00677577" w:rsidRPr="002050CC" w14:paraId="7C851B76" w14:textId="77777777">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2D1CD54C" w14:textId="77777777" w:rsidR="00677577" w:rsidRPr="00C00A7B" w:rsidRDefault="00677577" w:rsidP="00C00A7B">
            <w:pPr>
              <w:rPr>
                <w:rFonts w:ascii="Aptos" w:eastAsia="Aptos" w:hAnsi="Aptos" w:cs="Times New Roman"/>
                <w:sz w:val="20"/>
                <w:szCs w:val="20"/>
              </w:rPr>
            </w:pPr>
            <w:r w:rsidRPr="00C00A7B">
              <w:rPr>
                <w:rFonts w:ascii="Aptos" w:eastAsia="Aptos" w:hAnsi="Aptos" w:cs="Times New Roman"/>
                <w:sz w:val="20"/>
                <w:szCs w:val="20"/>
              </w:rPr>
              <w:t>Oct-23</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462F8ECA"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20</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2985AE7B"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5</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08836906"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385</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3460B178"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410</w:t>
            </w:r>
          </w:p>
        </w:tc>
      </w:tr>
      <w:tr w:rsidR="00677577" w:rsidRPr="002050CC" w14:paraId="288F9E17" w14:textId="77777777">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197B7A07" w14:textId="77777777" w:rsidR="00677577" w:rsidRPr="00C00A7B" w:rsidRDefault="00677577" w:rsidP="00C00A7B">
            <w:pPr>
              <w:rPr>
                <w:rFonts w:ascii="Aptos" w:eastAsia="Aptos" w:hAnsi="Aptos" w:cs="Times New Roman"/>
                <w:sz w:val="20"/>
                <w:szCs w:val="20"/>
              </w:rPr>
            </w:pPr>
            <w:r w:rsidRPr="00C00A7B">
              <w:rPr>
                <w:rFonts w:ascii="Aptos" w:eastAsia="Aptos" w:hAnsi="Aptos" w:cs="Times New Roman"/>
                <w:sz w:val="20"/>
                <w:szCs w:val="20"/>
              </w:rPr>
              <w:t>Nov-23</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31051145"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26</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2A745CC8"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0</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4D1840E4"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485</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367E5BAC"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511</w:t>
            </w:r>
          </w:p>
        </w:tc>
      </w:tr>
      <w:tr w:rsidR="00677577" w:rsidRPr="002050CC" w14:paraId="05C8F3D4" w14:textId="77777777">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28B0B292" w14:textId="77777777" w:rsidR="00677577" w:rsidRPr="00C00A7B" w:rsidRDefault="00677577" w:rsidP="00C00A7B">
            <w:pPr>
              <w:rPr>
                <w:rFonts w:ascii="Aptos" w:eastAsia="Aptos" w:hAnsi="Aptos" w:cs="Times New Roman"/>
                <w:sz w:val="20"/>
                <w:szCs w:val="20"/>
              </w:rPr>
            </w:pPr>
            <w:r w:rsidRPr="00C00A7B">
              <w:rPr>
                <w:rFonts w:ascii="Aptos" w:eastAsia="Aptos" w:hAnsi="Aptos" w:cs="Times New Roman"/>
                <w:sz w:val="20"/>
                <w:szCs w:val="20"/>
              </w:rPr>
              <w:t>Dec-23</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1DBF5931"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30</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50CD7196"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5</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748B5796"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587</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20AC1C5E"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622</w:t>
            </w:r>
          </w:p>
        </w:tc>
      </w:tr>
      <w:tr w:rsidR="00677577" w:rsidRPr="002050CC" w14:paraId="1633012B" w14:textId="77777777">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093ECFE8" w14:textId="77777777" w:rsidR="00677577" w:rsidRPr="00C00A7B" w:rsidRDefault="00677577" w:rsidP="00C00A7B">
            <w:pPr>
              <w:rPr>
                <w:rFonts w:ascii="Aptos" w:eastAsia="Aptos" w:hAnsi="Aptos" w:cs="Times New Roman"/>
                <w:sz w:val="20"/>
                <w:szCs w:val="20"/>
              </w:rPr>
            </w:pPr>
            <w:r w:rsidRPr="00C00A7B">
              <w:rPr>
                <w:rFonts w:ascii="Aptos" w:eastAsia="Aptos" w:hAnsi="Aptos" w:cs="Times New Roman"/>
                <w:sz w:val="20"/>
                <w:szCs w:val="20"/>
              </w:rPr>
              <w:t>Jan-24</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49BA9A1F"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10</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16B782DD"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0</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19240578"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154</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15F29461"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164</w:t>
            </w:r>
          </w:p>
        </w:tc>
      </w:tr>
      <w:tr w:rsidR="00677577" w:rsidRPr="002050CC" w14:paraId="5CF24B0B" w14:textId="77777777">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3DC07D60" w14:textId="77777777" w:rsidR="00677577" w:rsidRPr="00C00A7B" w:rsidRDefault="00677577" w:rsidP="00C00A7B">
            <w:pPr>
              <w:rPr>
                <w:rFonts w:ascii="Aptos" w:eastAsia="Aptos" w:hAnsi="Aptos" w:cs="Times New Roman"/>
                <w:sz w:val="20"/>
                <w:szCs w:val="20"/>
              </w:rPr>
            </w:pPr>
            <w:r w:rsidRPr="00C00A7B">
              <w:rPr>
                <w:rFonts w:ascii="Aptos" w:eastAsia="Aptos" w:hAnsi="Aptos" w:cs="Times New Roman"/>
                <w:sz w:val="20"/>
                <w:szCs w:val="20"/>
              </w:rPr>
              <w:t>Feb-24</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1C96B2E7"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19</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5C5A1864"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8</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07669151"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268</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04E193DD"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295</w:t>
            </w:r>
          </w:p>
        </w:tc>
      </w:tr>
      <w:tr w:rsidR="00677577" w:rsidRPr="002050CC" w14:paraId="3EB208D9" w14:textId="77777777">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5635C2F5" w14:textId="77777777" w:rsidR="00677577" w:rsidRPr="00C00A7B" w:rsidRDefault="00677577" w:rsidP="00C00A7B">
            <w:pPr>
              <w:rPr>
                <w:rFonts w:ascii="Aptos" w:eastAsia="Aptos" w:hAnsi="Aptos" w:cs="Times New Roman"/>
                <w:sz w:val="20"/>
                <w:szCs w:val="20"/>
              </w:rPr>
            </w:pPr>
            <w:r w:rsidRPr="00C00A7B">
              <w:rPr>
                <w:rFonts w:ascii="Aptos" w:eastAsia="Aptos" w:hAnsi="Aptos" w:cs="Times New Roman"/>
                <w:sz w:val="20"/>
                <w:szCs w:val="20"/>
              </w:rPr>
              <w:t>Mar-24</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6785024D"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26</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74B620E1"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0A1860F0"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426</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644B7AC7"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454</w:t>
            </w:r>
          </w:p>
        </w:tc>
      </w:tr>
      <w:tr w:rsidR="00677577" w:rsidRPr="002050CC" w14:paraId="49F1CFA7" w14:textId="77777777">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4F0A3D87" w14:textId="77777777" w:rsidR="00677577" w:rsidRPr="00C00A7B" w:rsidRDefault="00677577" w:rsidP="00C00A7B">
            <w:pPr>
              <w:rPr>
                <w:rFonts w:ascii="Aptos" w:eastAsia="Aptos" w:hAnsi="Aptos" w:cs="Times New Roman"/>
                <w:sz w:val="20"/>
                <w:szCs w:val="20"/>
              </w:rPr>
            </w:pPr>
            <w:r w:rsidRPr="00C00A7B">
              <w:rPr>
                <w:rFonts w:ascii="Aptos" w:eastAsia="Aptos" w:hAnsi="Aptos" w:cs="Times New Roman"/>
                <w:sz w:val="20"/>
                <w:szCs w:val="20"/>
              </w:rPr>
              <w:t>Apr-24</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56E755EF"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26</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03D88F44"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25FCC439"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332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6D00921A"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360</w:t>
            </w:r>
          </w:p>
        </w:tc>
      </w:tr>
      <w:tr w:rsidR="00677577" w:rsidRPr="002050CC" w14:paraId="74CBCD80" w14:textId="77777777">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5CB81C32" w14:textId="77777777" w:rsidR="00677577" w:rsidRPr="00C00A7B" w:rsidRDefault="00677577" w:rsidP="00C00A7B">
            <w:pPr>
              <w:rPr>
                <w:rFonts w:ascii="Aptos" w:eastAsia="Aptos" w:hAnsi="Aptos" w:cs="Times New Roman"/>
                <w:sz w:val="20"/>
                <w:szCs w:val="20"/>
              </w:rPr>
            </w:pPr>
            <w:r w:rsidRPr="00C00A7B">
              <w:rPr>
                <w:rFonts w:ascii="Aptos" w:eastAsia="Aptos" w:hAnsi="Aptos" w:cs="Times New Roman"/>
                <w:sz w:val="20"/>
                <w:szCs w:val="20"/>
              </w:rPr>
              <w:t>May-24</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1E1EA4E6"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51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18A8D344"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2</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1FBD84AA"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375</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449720A2"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428</w:t>
            </w:r>
          </w:p>
        </w:tc>
      </w:tr>
      <w:tr w:rsidR="00677577" w:rsidRPr="002050CC" w14:paraId="05BADB51" w14:textId="77777777">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4997A1DC" w14:textId="77777777" w:rsidR="00677577" w:rsidRPr="00C00A7B" w:rsidRDefault="00677577" w:rsidP="00C00A7B">
            <w:pPr>
              <w:rPr>
                <w:rFonts w:ascii="Aptos" w:eastAsia="Aptos" w:hAnsi="Aptos" w:cs="Times New Roman"/>
                <w:sz w:val="20"/>
                <w:szCs w:val="20"/>
              </w:rPr>
            </w:pPr>
            <w:r w:rsidRPr="00C00A7B">
              <w:rPr>
                <w:rFonts w:ascii="Aptos" w:eastAsia="Aptos" w:hAnsi="Aptos" w:cs="Times New Roman"/>
                <w:sz w:val="20"/>
                <w:szCs w:val="20"/>
              </w:rPr>
              <w:t>Jun-24</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59294039"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30</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1E91B99A"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1</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578A1C31"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383</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68685612"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414</w:t>
            </w:r>
          </w:p>
        </w:tc>
      </w:tr>
      <w:tr w:rsidR="00677577" w:rsidRPr="002050CC" w14:paraId="09C8F8B9" w14:textId="77777777">
        <w:trPr>
          <w:trHeight w:val="227"/>
        </w:trPr>
        <w:tc>
          <w:tcPr>
            <w:tcW w:w="1124" w:type="dxa"/>
            <w:tcBorders>
              <w:top w:val="single" w:sz="4" w:space="0" w:color="auto"/>
              <w:left w:val="single" w:sz="4" w:space="0" w:color="auto"/>
              <w:bottom w:val="single" w:sz="4" w:space="0" w:color="auto"/>
              <w:right w:val="single" w:sz="4" w:space="0" w:color="auto"/>
            </w:tcBorders>
            <w:noWrap/>
            <w:vAlign w:val="center"/>
          </w:tcPr>
          <w:p w14:paraId="6C7C5FAE" w14:textId="77777777" w:rsidR="00677577" w:rsidRPr="00C00A7B" w:rsidRDefault="00677577" w:rsidP="00C00A7B">
            <w:pPr>
              <w:rPr>
                <w:rFonts w:ascii="Aptos" w:eastAsia="Aptos" w:hAnsi="Aptos" w:cs="Times New Roman"/>
                <w:sz w:val="20"/>
                <w:szCs w:val="20"/>
              </w:rPr>
            </w:pPr>
            <w:r w:rsidRPr="00C00A7B">
              <w:rPr>
                <w:rFonts w:ascii="Aptos" w:eastAsia="Aptos" w:hAnsi="Aptos" w:cs="Times New Roman"/>
                <w:sz w:val="20"/>
                <w:szCs w:val="20"/>
              </w:rPr>
              <w:t>Jul-24</w:t>
            </w:r>
          </w:p>
        </w:tc>
        <w:tc>
          <w:tcPr>
            <w:tcW w:w="1956" w:type="dxa"/>
            <w:tcBorders>
              <w:top w:val="single" w:sz="4" w:space="0" w:color="auto"/>
              <w:left w:val="single" w:sz="4" w:space="0" w:color="auto"/>
              <w:bottom w:val="single" w:sz="4" w:space="0" w:color="auto"/>
              <w:right w:val="single" w:sz="4" w:space="0" w:color="auto"/>
            </w:tcBorders>
            <w:noWrap/>
            <w:vAlign w:val="center"/>
          </w:tcPr>
          <w:p w14:paraId="7A6F8B52"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39</w:t>
            </w:r>
          </w:p>
        </w:tc>
        <w:tc>
          <w:tcPr>
            <w:tcW w:w="1956" w:type="dxa"/>
            <w:tcBorders>
              <w:top w:val="single" w:sz="4" w:space="0" w:color="auto"/>
              <w:left w:val="single" w:sz="4" w:space="0" w:color="auto"/>
              <w:bottom w:val="single" w:sz="4" w:space="0" w:color="auto"/>
              <w:right w:val="single" w:sz="4" w:space="0" w:color="auto"/>
            </w:tcBorders>
            <w:noWrap/>
            <w:vAlign w:val="center"/>
          </w:tcPr>
          <w:p w14:paraId="2440C566"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0</w:t>
            </w:r>
          </w:p>
        </w:tc>
        <w:tc>
          <w:tcPr>
            <w:tcW w:w="1956" w:type="dxa"/>
            <w:tcBorders>
              <w:top w:val="single" w:sz="4" w:space="0" w:color="auto"/>
              <w:left w:val="single" w:sz="4" w:space="0" w:color="auto"/>
              <w:bottom w:val="single" w:sz="4" w:space="0" w:color="auto"/>
              <w:right w:val="single" w:sz="4" w:space="0" w:color="auto"/>
            </w:tcBorders>
            <w:noWrap/>
            <w:vAlign w:val="center"/>
          </w:tcPr>
          <w:p w14:paraId="63E1903A"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419</w:t>
            </w:r>
          </w:p>
        </w:tc>
        <w:tc>
          <w:tcPr>
            <w:tcW w:w="1956" w:type="dxa"/>
            <w:tcBorders>
              <w:top w:val="single" w:sz="4" w:space="0" w:color="auto"/>
              <w:left w:val="single" w:sz="4" w:space="0" w:color="auto"/>
              <w:bottom w:val="single" w:sz="4" w:space="0" w:color="auto"/>
              <w:right w:val="single" w:sz="4" w:space="0" w:color="auto"/>
            </w:tcBorders>
            <w:noWrap/>
            <w:vAlign w:val="center"/>
          </w:tcPr>
          <w:p w14:paraId="5F66E76C"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458</w:t>
            </w:r>
          </w:p>
        </w:tc>
      </w:tr>
      <w:tr w:rsidR="00677577" w:rsidRPr="002050CC" w14:paraId="2AF427E2" w14:textId="77777777">
        <w:trPr>
          <w:trHeight w:val="227"/>
        </w:trPr>
        <w:tc>
          <w:tcPr>
            <w:tcW w:w="1124" w:type="dxa"/>
            <w:tcBorders>
              <w:top w:val="single" w:sz="4" w:space="0" w:color="auto"/>
              <w:left w:val="single" w:sz="4" w:space="0" w:color="auto"/>
              <w:bottom w:val="single" w:sz="4" w:space="0" w:color="auto"/>
              <w:right w:val="single" w:sz="4" w:space="0" w:color="auto"/>
            </w:tcBorders>
            <w:noWrap/>
            <w:vAlign w:val="center"/>
          </w:tcPr>
          <w:p w14:paraId="7DFA868D" w14:textId="77777777" w:rsidR="00677577" w:rsidRPr="00C00A7B" w:rsidRDefault="00677577" w:rsidP="00C00A7B">
            <w:pPr>
              <w:rPr>
                <w:rFonts w:ascii="Aptos" w:eastAsia="Aptos" w:hAnsi="Aptos" w:cs="Times New Roman"/>
                <w:sz w:val="20"/>
                <w:szCs w:val="20"/>
              </w:rPr>
            </w:pPr>
            <w:r w:rsidRPr="00C00A7B">
              <w:rPr>
                <w:rFonts w:ascii="Aptos" w:eastAsia="Aptos" w:hAnsi="Aptos" w:cs="Times New Roman"/>
                <w:sz w:val="20"/>
                <w:szCs w:val="20"/>
              </w:rPr>
              <w:t>Aug-24</w:t>
            </w:r>
          </w:p>
        </w:tc>
        <w:tc>
          <w:tcPr>
            <w:tcW w:w="1956" w:type="dxa"/>
            <w:tcBorders>
              <w:top w:val="single" w:sz="4" w:space="0" w:color="auto"/>
              <w:left w:val="single" w:sz="4" w:space="0" w:color="auto"/>
              <w:bottom w:val="single" w:sz="4" w:space="0" w:color="auto"/>
              <w:right w:val="single" w:sz="4" w:space="0" w:color="auto"/>
            </w:tcBorders>
            <w:noWrap/>
            <w:vAlign w:val="center"/>
          </w:tcPr>
          <w:p w14:paraId="0F08DC04"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24</w:t>
            </w:r>
          </w:p>
        </w:tc>
        <w:tc>
          <w:tcPr>
            <w:tcW w:w="1956" w:type="dxa"/>
            <w:tcBorders>
              <w:top w:val="single" w:sz="4" w:space="0" w:color="auto"/>
              <w:left w:val="single" w:sz="4" w:space="0" w:color="auto"/>
              <w:bottom w:val="single" w:sz="4" w:space="0" w:color="auto"/>
              <w:right w:val="single" w:sz="4" w:space="0" w:color="auto"/>
            </w:tcBorders>
            <w:noWrap/>
            <w:vAlign w:val="center"/>
          </w:tcPr>
          <w:p w14:paraId="61ED449E"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1</w:t>
            </w:r>
          </w:p>
        </w:tc>
        <w:tc>
          <w:tcPr>
            <w:tcW w:w="1956" w:type="dxa"/>
            <w:tcBorders>
              <w:top w:val="single" w:sz="4" w:space="0" w:color="auto"/>
              <w:left w:val="single" w:sz="4" w:space="0" w:color="auto"/>
              <w:bottom w:val="single" w:sz="4" w:space="0" w:color="auto"/>
              <w:right w:val="single" w:sz="4" w:space="0" w:color="auto"/>
            </w:tcBorders>
            <w:noWrap/>
            <w:vAlign w:val="center"/>
          </w:tcPr>
          <w:p w14:paraId="666E3FF5"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354</w:t>
            </w:r>
          </w:p>
        </w:tc>
        <w:tc>
          <w:tcPr>
            <w:tcW w:w="1956" w:type="dxa"/>
            <w:tcBorders>
              <w:top w:val="single" w:sz="4" w:space="0" w:color="auto"/>
              <w:left w:val="single" w:sz="4" w:space="0" w:color="auto"/>
              <w:bottom w:val="single" w:sz="4" w:space="0" w:color="auto"/>
              <w:right w:val="single" w:sz="4" w:space="0" w:color="auto"/>
            </w:tcBorders>
            <w:noWrap/>
            <w:vAlign w:val="center"/>
          </w:tcPr>
          <w:p w14:paraId="2E987CB0"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379</w:t>
            </w:r>
          </w:p>
        </w:tc>
      </w:tr>
      <w:tr w:rsidR="00677577" w:rsidRPr="002050CC" w14:paraId="4A4A1559" w14:textId="77777777">
        <w:trPr>
          <w:trHeight w:val="227"/>
        </w:trPr>
        <w:tc>
          <w:tcPr>
            <w:tcW w:w="1124" w:type="dxa"/>
            <w:tcBorders>
              <w:top w:val="single" w:sz="4" w:space="0" w:color="auto"/>
              <w:left w:val="single" w:sz="4" w:space="0" w:color="auto"/>
              <w:bottom w:val="single" w:sz="4" w:space="0" w:color="auto"/>
              <w:right w:val="single" w:sz="4" w:space="0" w:color="auto"/>
            </w:tcBorders>
            <w:noWrap/>
            <w:vAlign w:val="center"/>
          </w:tcPr>
          <w:p w14:paraId="73AAC890" w14:textId="77777777" w:rsidR="00677577" w:rsidRPr="00C00A7B" w:rsidRDefault="00677577" w:rsidP="00C00A7B">
            <w:pPr>
              <w:rPr>
                <w:rFonts w:ascii="Aptos" w:eastAsia="Aptos" w:hAnsi="Aptos" w:cs="Times New Roman"/>
                <w:sz w:val="20"/>
                <w:szCs w:val="20"/>
              </w:rPr>
            </w:pPr>
            <w:r w:rsidRPr="00C00A7B">
              <w:rPr>
                <w:rFonts w:ascii="Aptos" w:eastAsia="Aptos" w:hAnsi="Aptos" w:cs="Times New Roman"/>
                <w:sz w:val="20"/>
                <w:szCs w:val="20"/>
              </w:rPr>
              <w:t>Sep-24</w:t>
            </w:r>
          </w:p>
        </w:tc>
        <w:tc>
          <w:tcPr>
            <w:tcW w:w="1956" w:type="dxa"/>
            <w:tcBorders>
              <w:top w:val="single" w:sz="4" w:space="0" w:color="auto"/>
              <w:left w:val="single" w:sz="4" w:space="0" w:color="auto"/>
              <w:bottom w:val="single" w:sz="4" w:space="0" w:color="auto"/>
              <w:right w:val="single" w:sz="4" w:space="0" w:color="auto"/>
            </w:tcBorders>
            <w:noWrap/>
            <w:vAlign w:val="center"/>
          </w:tcPr>
          <w:p w14:paraId="79DD36BE"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22</w:t>
            </w:r>
          </w:p>
        </w:tc>
        <w:tc>
          <w:tcPr>
            <w:tcW w:w="1956" w:type="dxa"/>
            <w:tcBorders>
              <w:top w:val="single" w:sz="4" w:space="0" w:color="auto"/>
              <w:left w:val="single" w:sz="4" w:space="0" w:color="auto"/>
              <w:bottom w:val="single" w:sz="4" w:space="0" w:color="auto"/>
              <w:right w:val="single" w:sz="4" w:space="0" w:color="auto"/>
            </w:tcBorders>
            <w:noWrap/>
            <w:vAlign w:val="center"/>
          </w:tcPr>
          <w:p w14:paraId="368A0FBC"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2</w:t>
            </w:r>
          </w:p>
        </w:tc>
        <w:tc>
          <w:tcPr>
            <w:tcW w:w="1956" w:type="dxa"/>
            <w:tcBorders>
              <w:top w:val="single" w:sz="4" w:space="0" w:color="auto"/>
              <w:left w:val="single" w:sz="4" w:space="0" w:color="auto"/>
              <w:bottom w:val="single" w:sz="4" w:space="0" w:color="auto"/>
              <w:right w:val="single" w:sz="4" w:space="0" w:color="auto"/>
            </w:tcBorders>
            <w:noWrap/>
            <w:vAlign w:val="center"/>
          </w:tcPr>
          <w:p w14:paraId="698A6ABF"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309</w:t>
            </w:r>
          </w:p>
        </w:tc>
        <w:tc>
          <w:tcPr>
            <w:tcW w:w="1956" w:type="dxa"/>
            <w:tcBorders>
              <w:top w:val="single" w:sz="4" w:space="0" w:color="auto"/>
              <w:left w:val="single" w:sz="4" w:space="0" w:color="auto"/>
              <w:bottom w:val="single" w:sz="4" w:space="0" w:color="auto"/>
              <w:right w:val="single" w:sz="4" w:space="0" w:color="auto"/>
            </w:tcBorders>
            <w:noWrap/>
            <w:vAlign w:val="center"/>
          </w:tcPr>
          <w:p w14:paraId="7E2E1E37"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333</w:t>
            </w:r>
          </w:p>
        </w:tc>
      </w:tr>
      <w:tr w:rsidR="00677577" w:rsidRPr="002050CC" w14:paraId="013B652A" w14:textId="77777777">
        <w:trPr>
          <w:trHeight w:val="227"/>
        </w:trPr>
        <w:tc>
          <w:tcPr>
            <w:tcW w:w="1124" w:type="dxa"/>
            <w:tcBorders>
              <w:top w:val="single" w:sz="4" w:space="0" w:color="auto"/>
              <w:left w:val="single" w:sz="4" w:space="0" w:color="auto"/>
              <w:bottom w:val="single" w:sz="4" w:space="0" w:color="auto"/>
              <w:right w:val="single" w:sz="4" w:space="0" w:color="auto"/>
            </w:tcBorders>
            <w:noWrap/>
            <w:vAlign w:val="center"/>
          </w:tcPr>
          <w:p w14:paraId="1721CA6E" w14:textId="77777777" w:rsidR="00677577" w:rsidRPr="00C00A7B" w:rsidRDefault="00677577" w:rsidP="00C00A7B">
            <w:pPr>
              <w:rPr>
                <w:rFonts w:ascii="Aptos" w:eastAsia="Aptos" w:hAnsi="Aptos" w:cs="Times New Roman"/>
                <w:sz w:val="20"/>
                <w:szCs w:val="20"/>
              </w:rPr>
            </w:pPr>
            <w:r w:rsidRPr="00C00A7B">
              <w:rPr>
                <w:rFonts w:ascii="Aptos" w:eastAsia="Aptos" w:hAnsi="Aptos" w:cs="Times New Roman"/>
                <w:sz w:val="20"/>
                <w:szCs w:val="20"/>
              </w:rPr>
              <w:t>Oct-24</w:t>
            </w:r>
          </w:p>
        </w:tc>
        <w:tc>
          <w:tcPr>
            <w:tcW w:w="1956" w:type="dxa"/>
            <w:tcBorders>
              <w:top w:val="single" w:sz="4" w:space="0" w:color="auto"/>
              <w:left w:val="single" w:sz="4" w:space="0" w:color="auto"/>
              <w:bottom w:val="single" w:sz="4" w:space="0" w:color="auto"/>
              <w:right w:val="single" w:sz="4" w:space="0" w:color="auto"/>
            </w:tcBorders>
            <w:noWrap/>
            <w:vAlign w:val="center"/>
          </w:tcPr>
          <w:p w14:paraId="065FA24D"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33</w:t>
            </w:r>
          </w:p>
        </w:tc>
        <w:tc>
          <w:tcPr>
            <w:tcW w:w="1956" w:type="dxa"/>
            <w:tcBorders>
              <w:top w:val="single" w:sz="4" w:space="0" w:color="auto"/>
              <w:left w:val="single" w:sz="4" w:space="0" w:color="auto"/>
              <w:bottom w:val="single" w:sz="4" w:space="0" w:color="auto"/>
              <w:right w:val="single" w:sz="4" w:space="0" w:color="auto"/>
            </w:tcBorders>
            <w:noWrap/>
            <w:vAlign w:val="center"/>
          </w:tcPr>
          <w:p w14:paraId="1DE20A43"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2</w:t>
            </w:r>
          </w:p>
        </w:tc>
        <w:tc>
          <w:tcPr>
            <w:tcW w:w="1956" w:type="dxa"/>
            <w:tcBorders>
              <w:top w:val="single" w:sz="4" w:space="0" w:color="auto"/>
              <w:left w:val="single" w:sz="4" w:space="0" w:color="auto"/>
              <w:bottom w:val="single" w:sz="4" w:space="0" w:color="auto"/>
              <w:right w:val="single" w:sz="4" w:space="0" w:color="auto"/>
            </w:tcBorders>
            <w:noWrap/>
            <w:vAlign w:val="center"/>
          </w:tcPr>
          <w:p w14:paraId="03B07F37"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396</w:t>
            </w:r>
          </w:p>
        </w:tc>
        <w:tc>
          <w:tcPr>
            <w:tcW w:w="1956" w:type="dxa"/>
            <w:tcBorders>
              <w:top w:val="single" w:sz="4" w:space="0" w:color="auto"/>
              <w:left w:val="single" w:sz="4" w:space="0" w:color="auto"/>
              <w:bottom w:val="single" w:sz="4" w:space="0" w:color="auto"/>
              <w:right w:val="single" w:sz="4" w:space="0" w:color="auto"/>
            </w:tcBorders>
            <w:noWrap/>
            <w:vAlign w:val="center"/>
          </w:tcPr>
          <w:p w14:paraId="250D1069"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431</w:t>
            </w:r>
          </w:p>
        </w:tc>
      </w:tr>
      <w:tr w:rsidR="00677577" w:rsidRPr="002050CC" w14:paraId="64B01ED4" w14:textId="77777777">
        <w:trPr>
          <w:trHeight w:val="227"/>
        </w:trPr>
        <w:tc>
          <w:tcPr>
            <w:tcW w:w="1124" w:type="dxa"/>
            <w:tcBorders>
              <w:top w:val="single" w:sz="4" w:space="0" w:color="auto"/>
              <w:left w:val="single" w:sz="4" w:space="0" w:color="auto"/>
              <w:bottom w:val="single" w:sz="4" w:space="0" w:color="auto"/>
              <w:right w:val="single" w:sz="4" w:space="0" w:color="auto"/>
            </w:tcBorders>
            <w:noWrap/>
            <w:vAlign w:val="center"/>
          </w:tcPr>
          <w:p w14:paraId="5EA4A7A4" w14:textId="77777777" w:rsidR="00677577" w:rsidRPr="00C00A7B" w:rsidRDefault="00677577" w:rsidP="00C00A7B">
            <w:pPr>
              <w:rPr>
                <w:rFonts w:ascii="Aptos" w:eastAsia="Aptos" w:hAnsi="Aptos" w:cs="Times New Roman"/>
                <w:sz w:val="20"/>
                <w:szCs w:val="20"/>
              </w:rPr>
            </w:pPr>
            <w:r w:rsidRPr="00C00A7B">
              <w:rPr>
                <w:rFonts w:ascii="Aptos" w:eastAsia="Aptos" w:hAnsi="Aptos" w:cs="Times New Roman"/>
                <w:sz w:val="20"/>
                <w:szCs w:val="20"/>
              </w:rPr>
              <w:t>Nov-24</w:t>
            </w:r>
          </w:p>
        </w:tc>
        <w:tc>
          <w:tcPr>
            <w:tcW w:w="1956" w:type="dxa"/>
            <w:tcBorders>
              <w:top w:val="single" w:sz="4" w:space="0" w:color="auto"/>
              <w:left w:val="single" w:sz="4" w:space="0" w:color="auto"/>
              <w:bottom w:val="single" w:sz="4" w:space="0" w:color="auto"/>
              <w:right w:val="single" w:sz="4" w:space="0" w:color="auto"/>
            </w:tcBorders>
            <w:noWrap/>
            <w:vAlign w:val="center"/>
          </w:tcPr>
          <w:p w14:paraId="6DC01EEF"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19</w:t>
            </w:r>
          </w:p>
        </w:tc>
        <w:tc>
          <w:tcPr>
            <w:tcW w:w="1956" w:type="dxa"/>
            <w:tcBorders>
              <w:top w:val="single" w:sz="4" w:space="0" w:color="auto"/>
              <w:left w:val="single" w:sz="4" w:space="0" w:color="auto"/>
              <w:bottom w:val="single" w:sz="4" w:space="0" w:color="auto"/>
              <w:right w:val="single" w:sz="4" w:space="0" w:color="auto"/>
            </w:tcBorders>
            <w:noWrap/>
            <w:vAlign w:val="center"/>
          </w:tcPr>
          <w:p w14:paraId="7E6FB2C1"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2</w:t>
            </w:r>
          </w:p>
        </w:tc>
        <w:tc>
          <w:tcPr>
            <w:tcW w:w="1956" w:type="dxa"/>
            <w:tcBorders>
              <w:top w:val="single" w:sz="4" w:space="0" w:color="auto"/>
              <w:left w:val="single" w:sz="4" w:space="0" w:color="auto"/>
              <w:bottom w:val="single" w:sz="4" w:space="0" w:color="auto"/>
              <w:right w:val="single" w:sz="4" w:space="0" w:color="auto"/>
            </w:tcBorders>
            <w:noWrap/>
            <w:vAlign w:val="center"/>
          </w:tcPr>
          <w:p w14:paraId="1E2980BD"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358</w:t>
            </w:r>
          </w:p>
        </w:tc>
        <w:tc>
          <w:tcPr>
            <w:tcW w:w="1956" w:type="dxa"/>
            <w:tcBorders>
              <w:top w:val="single" w:sz="4" w:space="0" w:color="auto"/>
              <w:left w:val="single" w:sz="4" w:space="0" w:color="auto"/>
              <w:bottom w:val="single" w:sz="4" w:space="0" w:color="auto"/>
              <w:right w:val="single" w:sz="4" w:space="0" w:color="auto"/>
            </w:tcBorders>
            <w:noWrap/>
            <w:vAlign w:val="center"/>
          </w:tcPr>
          <w:p w14:paraId="393C986B"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379</w:t>
            </w:r>
          </w:p>
        </w:tc>
      </w:tr>
      <w:tr w:rsidR="00677577" w:rsidRPr="002050CC" w14:paraId="70BCCC83" w14:textId="77777777">
        <w:trPr>
          <w:trHeight w:val="227"/>
        </w:trPr>
        <w:tc>
          <w:tcPr>
            <w:tcW w:w="1124" w:type="dxa"/>
            <w:tcBorders>
              <w:top w:val="single" w:sz="4" w:space="0" w:color="auto"/>
              <w:left w:val="single" w:sz="4" w:space="0" w:color="auto"/>
              <w:bottom w:val="single" w:sz="4" w:space="0" w:color="auto"/>
              <w:right w:val="single" w:sz="4" w:space="0" w:color="auto"/>
            </w:tcBorders>
            <w:noWrap/>
            <w:vAlign w:val="center"/>
          </w:tcPr>
          <w:p w14:paraId="539BA2AD" w14:textId="77777777" w:rsidR="00677577" w:rsidRPr="00C00A7B" w:rsidRDefault="00677577" w:rsidP="00C00A7B">
            <w:pPr>
              <w:rPr>
                <w:rFonts w:ascii="Aptos" w:eastAsia="Aptos" w:hAnsi="Aptos" w:cs="Times New Roman"/>
                <w:sz w:val="20"/>
                <w:szCs w:val="20"/>
              </w:rPr>
            </w:pPr>
            <w:r w:rsidRPr="00C00A7B">
              <w:rPr>
                <w:rFonts w:ascii="Aptos" w:eastAsia="Aptos" w:hAnsi="Aptos" w:cs="Times New Roman"/>
                <w:sz w:val="20"/>
                <w:szCs w:val="20"/>
              </w:rPr>
              <w:t>Dec-24</w:t>
            </w:r>
          </w:p>
        </w:tc>
        <w:tc>
          <w:tcPr>
            <w:tcW w:w="1956" w:type="dxa"/>
            <w:tcBorders>
              <w:top w:val="single" w:sz="4" w:space="0" w:color="auto"/>
              <w:left w:val="single" w:sz="4" w:space="0" w:color="auto"/>
              <w:bottom w:val="single" w:sz="4" w:space="0" w:color="auto"/>
              <w:right w:val="single" w:sz="4" w:space="0" w:color="auto"/>
            </w:tcBorders>
            <w:noWrap/>
            <w:vAlign w:val="center"/>
          </w:tcPr>
          <w:p w14:paraId="14BCA3C3"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26</w:t>
            </w:r>
          </w:p>
        </w:tc>
        <w:tc>
          <w:tcPr>
            <w:tcW w:w="1956" w:type="dxa"/>
            <w:tcBorders>
              <w:top w:val="single" w:sz="4" w:space="0" w:color="auto"/>
              <w:left w:val="single" w:sz="4" w:space="0" w:color="auto"/>
              <w:bottom w:val="single" w:sz="4" w:space="0" w:color="auto"/>
              <w:right w:val="single" w:sz="4" w:space="0" w:color="auto"/>
            </w:tcBorders>
            <w:noWrap/>
            <w:vAlign w:val="center"/>
          </w:tcPr>
          <w:p w14:paraId="23E32C4F"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4</w:t>
            </w:r>
          </w:p>
        </w:tc>
        <w:tc>
          <w:tcPr>
            <w:tcW w:w="1956" w:type="dxa"/>
            <w:tcBorders>
              <w:top w:val="single" w:sz="4" w:space="0" w:color="auto"/>
              <w:left w:val="single" w:sz="4" w:space="0" w:color="auto"/>
              <w:bottom w:val="single" w:sz="4" w:space="0" w:color="auto"/>
              <w:right w:val="single" w:sz="4" w:space="0" w:color="auto"/>
            </w:tcBorders>
            <w:noWrap/>
            <w:vAlign w:val="center"/>
          </w:tcPr>
          <w:p w14:paraId="5D279C94"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501</w:t>
            </w:r>
          </w:p>
        </w:tc>
        <w:tc>
          <w:tcPr>
            <w:tcW w:w="1956" w:type="dxa"/>
            <w:tcBorders>
              <w:top w:val="single" w:sz="4" w:space="0" w:color="auto"/>
              <w:left w:val="single" w:sz="4" w:space="0" w:color="auto"/>
              <w:bottom w:val="single" w:sz="4" w:space="0" w:color="auto"/>
              <w:right w:val="single" w:sz="4" w:space="0" w:color="auto"/>
            </w:tcBorders>
            <w:noWrap/>
            <w:vAlign w:val="center"/>
          </w:tcPr>
          <w:p w14:paraId="53AEB75A"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531</w:t>
            </w:r>
          </w:p>
        </w:tc>
      </w:tr>
      <w:tr w:rsidR="00677577" w:rsidRPr="002050CC" w14:paraId="70E25BA4" w14:textId="77777777">
        <w:trPr>
          <w:trHeight w:val="227"/>
        </w:trPr>
        <w:tc>
          <w:tcPr>
            <w:tcW w:w="1124" w:type="dxa"/>
            <w:tcBorders>
              <w:top w:val="single" w:sz="4" w:space="0" w:color="auto"/>
              <w:left w:val="single" w:sz="4" w:space="0" w:color="auto"/>
              <w:bottom w:val="single" w:sz="4" w:space="0" w:color="auto"/>
              <w:right w:val="single" w:sz="4" w:space="0" w:color="auto"/>
            </w:tcBorders>
            <w:noWrap/>
            <w:vAlign w:val="center"/>
            <w:hideMark/>
          </w:tcPr>
          <w:p w14:paraId="15FEAF1C" w14:textId="77777777" w:rsidR="00677577" w:rsidRPr="00C00A7B" w:rsidRDefault="00677577" w:rsidP="00C00A7B">
            <w:pPr>
              <w:rPr>
                <w:rFonts w:ascii="Aptos" w:eastAsia="Aptos" w:hAnsi="Aptos" w:cs="Times New Roman"/>
                <w:sz w:val="20"/>
                <w:szCs w:val="20"/>
              </w:rPr>
            </w:pPr>
            <w:r w:rsidRPr="00C00A7B">
              <w:rPr>
                <w:rFonts w:ascii="Aptos" w:eastAsia="Aptos" w:hAnsi="Aptos" w:cs="Times New Roman"/>
                <w:sz w:val="20"/>
                <w:szCs w:val="20"/>
              </w:rPr>
              <w:t>Total</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66907FD7"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1,133</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50853D90"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116</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22978AB7"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14,740</w:t>
            </w:r>
          </w:p>
        </w:tc>
        <w:tc>
          <w:tcPr>
            <w:tcW w:w="1956" w:type="dxa"/>
            <w:tcBorders>
              <w:top w:val="single" w:sz="4" w:space="0" w:color="auto"/>
              <w:left w:val="single" w:sz="4" w:space="0" w:color="auto"/>
              <w:bottom w:val="single" w:sz="4" w:space="0" w:color="auto"/>
              <w:right w:val="single" w:sz="4" w:space="0" w:color="auto"/>
            </w:tcBorders>
            <w:noWrap/>
            <w:vAlign w:val="center"/>
            <w:hideMark/>
          </w:tcPr>
          <w:p w14:paraId="2AB15A4F" w14:textId="77777777" w:rsidR="00677577" w:rsidRPr="00C00A7B" w:rsidRDefault="00677577" w:rsidP="00C00A7B">
            <w:pPr>
              <w:jc w:val="right"/>
              <w:rPr>
                <w:rFonts w:ascii="Aptos" w:eastAsia="Aptos" w:hAnsi="Aptos" w:cs="Times New Roman"/>
                <w:sz w:val="20"/>
                <w:szCs w:val="20"/>
              </w:rPr>
            </w:pPr>
            <w:r w:rsidRPr="00C00A7B">
              <w:rPr>
                <w:rFonts w:ascii="Aptos" w:eastAsia="Aptos" w:hAnsi="Aptos" w:cs="Times New Roman"/>
                <w:sz w:val="20"/>
                <w:szCs w:val="20"/>
              </w:rPr>
              <w:t>15,989</w:t>
            </w:r>
          </w:p>
        </w:tc>
      </w:tr>
    </w:tbl>
    <w:p w14:paraId="2FFBBF6F" w14:textId="4B3FF33B" w:rsidR="00677577" w:rsidRPr="00B45F7C" w:rsidRDefault="00677577" w:rsidP="00C00A7B">
      <w:pPr>
        <w:spacing w:before="120"/>
        <w:rPr>
          <w:rFonts w:ascii="Aptos" w:eastAsia="Aptos" w:hAnsi="Aptos" w:cs="Calibri"/>
          <w:b/>
          <w:bCs/>
          <w:lang w:val="en-US"/>
        </w:rPr>
      </w:pPr>
      <w:r w:rsidRPr="00B45F7C">
        <w:rPr>
          <w:rFonts w:ascii="Aptos" w:eastAsia="Aptos" w:hAnsi="Aptos" w:cs="Times New Roman"/>
          <w:b/>
          <w:bCs/>
          <w:sz w:val="18"/>
        </w:rPr>
        <w:t xml:space="preserve">Source: </w:t>
      </w:r>
      <w:r w:rsidRPr="00B45F7C">
        <w:rPr>
          <w:rFonts w:ascii="Aptos" w:eastAsia="Aptos" w:hAnsi="Aptos" w:cs="Times New Roman"/>
          <w:sz w:val="18"/>
        </w:rPr>
        <w:t xml:space="preserve">Review analysis of data provided by the FWC, July 2021 – </w:t>
      </w:r>
      <w:r>
        <w:rPr>
          <w:rFonts w:ascii="Aptos" w:eastAsia="Aptos" w:hAnsi="Aptos" w:cs="Times New Roman"/>
          <w:sz w:val="18"/>
        </w:rPr>
        <w:t>December</w:t>
      </w:r>
      <w:r w:rsidRPr="00B45F7C">
        <w:rPr>
          <w:rFonts w:ascii="Aptos" w:eastAsia="Aptos" w:hAnsi="Aptos" w:cs="Times New Roman"/>
          <w:sz w:val="18"/>
        </w:rPr>
        <w:t xml:space="preserve"> 2024.</w:t>
      </w:r>
      <w:bookmarkStart w:id="1051" w:name="_Ref187164803"/>
      <w:bookmarkStart w:id="1052" w:name="_Toc187688540"/>
      <w:bookmarkStart w:id="1053" w:name="_Toc189310842"/>
    </w:p>
    <w:p w14:paraId="67EBE561" w14:textId="237B3A83" w:rsidR="00677577" w:rsidRPr="00B45F7C" w:rsidRDefault="00844718" w:rsidP="00C00A7B">
      <w:pPr>
        <w:pStyle w:val="Caption"/>
      </w:pPr>
      <w:bookmarkStart w:id="1054" w:name="_Toc194251556"/>
      <w:bookmarkEnd w:id="1051"/>
      <w:r>
        <w:t xml:space="preserve">Figure </w:t>
      </w:r>
      <w:r>
        <w:fldChar w:fldCharType="begin"/>
      </w:r>
      <w:r>
        <w:instrText xml:space="preserve"> SEQ Figure \* ARABIC </w:instrText>
      </w:r>
      <w:r>
        <w:fldChar w:fldCharType="separate"/>
      </w:r>
      <w:r w:rsidR="00DE5F5E">
        <w:rPr>
          <w:noProof/>
        </w:rPr>
        <w:t>58</w:t>
      </w:r>
      <w:r>
        <w:fldChar w:fldCharType="end"/>
      </w:r>
      <w:r>
        <w:t xml:space="preserve">: </w:t>
      </w:r>
      <w:r w:rsidR="00677577" w:rsidRPr="00B45F7C">
        <w:t>Monthly enterprise agreement approval applications</w:t>
      </w:r>
      <w:bookmarkEnd w:id="1052"/>
      <w:r w:rsidR="00677577" w:rsidRPr="00B45F7C">
        <w:t xml:space="preserve">, July 2021 to </w:t>
      </w:r>
      <w:r w:rsidR="00677577">
        <w:t>December</w:t>
      </w:r>
      <w:r w:rsidR="00677577" w:rsidRPr="00B45F7C">
        <w:t xml:space="preserve"> 2024</w:t>
      </w:r>
      <w:bookmarkEnd w:id="1053"/>
      <w:bookmarkEnd w:id="1054"/>
    </w:p>
    <w:p w14:paraId="0C7DEADB" w14:textId="1716B464" w:rsidR="00F978B4" w:rsidRDefault="00F978B4" w:rsidP="00677577">
      <w:pPr>
        <w:spacing w:before="120"/>
        <w:rPr>
          <w:rFonts w:ascii="Aptos" w:eastAsia="Aptos" w:hAnsi="Aptos" w:cs="Times New Roman"/>
          <w:b/>
          <w:bCs/>
          <w:sz w:val="18"/>
        </w:rPr>
      </w:pPr>
      <w:r>
        <w:rPr>
          <w:rFonts w:ascii="Aptos" w:eastAsia="Aptos" w:hAnsi="Aptos" w:cs="Times New Roman"/>
          <w:b/>
          <w:bCs/>
          <w:noProof/>
          <w:sz w:val="18"/>
        </w:rPr>
        <w:drawing>
          <wp:inline distT="0" distB="0" distL="0" distR="0" wp14:anchorId="5D132EA0" wp14:editId="1F116A4D">
            <wp:extent cx="5791256" cy="4056650"/>
            <wp:effectExtent l="0" t="0" r="0" b="1270"/>
            <wp:docPr id="979850527" name="Picture 4" descr="A line graph showing monthly enterprise agreement approval applications.&#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850527" name="Picture 4" descr="A line graph showing monthly enterprise agreement approval applications.&#10;&#10;See alt-text following the sourc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791256" cy="4056650"/>
                    </a:xfrm>
                    <a:prstGeom prst="rect">
                      <a:avLst/>
                    </a:prstGeom>
                  </pic:spPr>
                </pic:pic>
              </a:graphicData>
            </a:graphic>
          </wp:inline>
        </w:drawing>
      </w:r>
    </w:p>
    <w:p w14:paraId="24F31BC7" w14:textId="385ABFD4" w:rsidR="00677577" w:rsidRPr="00B45F7C" w:rsidRDefault="00677577" w:rsidP="00677577">
      <w:pPr>
        <w:spacing w:before="120"/>
        <w:rPr>
          <w:rFonts w:ascii="Aptos" w:eastAsia="Aptos" w:hAnsi="Aptos" w:cs="Times New Roman"/>
          <w:sz w:val="18"/>
        </w:rPr>
      </w:pPr>
      <w:r w:rsidRPr="00B45F7C">
        <w:rPr>
          <w:rFonts w:ascii="Aptos" w:eastAsia="Aptos" w:hAnsi="Aptos" w:cs="Times New Roman"/>
          <w:b/>
          <w:bCs/>
          <w:sz w:val="18"/>
        </w:rPr>
        <w:t xml:space="preserve">Source: </w:t>
      </w:r>
      <w:r w:rsidRPr="00B45F7C">
        <w:rPr>
          <w:rFonts w:ascii="Aptos" w:eastAsia="Aptos" w:hAnsi="Aptos" w:cs="Times New Roman"/>
          <w:sz w:val="18"/>
        </w:rPr>
        <w:t xml:space="preserve">Review analysis of data provided by the </w:t>
      </w:r>
      <w:r w:rsidR="0021216A">
        <w:rPr>
          <w:rFonts w:ascii="Aptos" w:eastAsia="Aptos" w:hAnsi="Aptos" w:cs="Times New Roman"/>
          <w:sz w:val="18"/>
        </w:rPr>
        <w:t>Fair Work Commission</w:t>
      </w:r>
      <w:r w:rsidRPr="00B45F7C">
        <w:rPr>
          <w:rFonts w:ascii="Aptos" w:eastAsia="Aptos" w:hAnsi="Aptos" w:cs="Times New Roman"/>
          <w:sz w:val="18"/>
        </w:rPr>
        <w:t xml:space="preserve">, July 2021 – </w:t>
      </w:r>
      <w:r>
        <w:rPr>
          <w:rFonts w:ascii="Aptos" w:eastAsia="Aptos" w:hAnsi="Aptos" w:cs="Times New Roman"/>
          <w:sz w:val="18"/>
        </w:rPr>
        <w:t>December</w:t>
      </w:r>
      <w:r w:rsidRPr="00B45F7C">
        <w:rPr>
          <w:rFonts w:ascii="Aptos" w:eastAsia="Aptos" w:hAnsi="Aptos" w:cs="Times New Roman"/>
          <w:sz w:val="18"/>
        </w:rPr>
        <w:t xml:space="preserve"> 2024.</w:t>
      </w:r>
    </w:p>
    <w:p w14:paraId="1D7D6841" w14:textId="77777777" w:rsidR="00677577" w:rsidRPr="00B45F7C" w:rsidRDefault="00677577" w:rsidP="00677577">
      <w:pPr>
        <w:spacing w:before="120"/>
        <w:rPr>
          <w:rFonts w:ascii="Aptos" w:eastAsia="Aptos" w:hAnsi="Aptos" w:cs="Times New Roman"/>
          <w:sz w:val="18"/>
        </w:rPr>
      </w:pPr>
      <w:r w:rsidRPr="00B45F7C">
        <w:rPr>
          <w:rFonts w:ascii="Aptos" w:eastAsia="Aptos" w:hAnsi="Aptos" w:cs="Times New Roman"/>
          <w:b/>
          <w:bCs/>
          <w:sz w:val="18"/>
        </w:rPr>
        <w:t>Alt text:</w:t>
      </w:r>
      <w:r w:rsidRPr="00B45F7C">
        <w:rPr>
          <w:rFonts w:ascii="Aptos" w:eastAsia="Aptos" w:hAnsi="Aptos" w:cs="Times New Roman"/>
          <w:sz w:val="18"/>
        </w:rPr>
        <w:t xml:space="preserve"> A line graph showing the number of enterprise agreement approval applications, by agreement, on a monthly basis, July 2021 to </w:t>
      </w:r>
      <w:r>
        <w:rPr>
          <w:rFonts w:ascii="Aptos" w:eastAsia="Aptos" w:hAnsi="Aptos" w:cs="Times New Roman"/>
          <w:sz w:val="18"/>
        </w:rPr>
        <w:t xml:space="preserve">December </w:t>
      </w:r>
      <w:r w:rsidRPr="00B45F7C">
        <w:rPr>
          <w:rFonts w:ascii="Aptos" w:eastAsia="Aptos" w:hAnsi="Aptos" w:cs="Times New Roman"/>
          <w:sz w:val="18"/>
        </w:rPr>
        <w:t>2024.</w:t>
      </w:r>
    </w:p>
    <w:p w14:paraId="6F15399C" w14:textId="77777777" w:rsidR="00677577" w:rsidRPr="00B45F7C" w:rsidRDefault="00677577" w:rsidP="00677577">
      <w:pPr>
        <w:rPr>
          <w:rFonts w:ascii="Aptos" w:eastAsia="Aptos" w:hAnsi="Aptos" w:cs="Times New Roman"/>
        </w:rPr>
      </w:pPr>
      <w:r w:rsidRPr="00B45F7C">
        <w:rPr>
          <w:rFonts w:ascii="Aptos" w:eastAsia="Aptos" w:hAnsi="Aptos" w:cs="Times New Roman"/>
        </w:rPr>
        <w:br w:type="page"/>
      </w:r>
    </w:p>
    <w:p w14:paraId="1C501820" w14:textId="77777777" w:rsidR="00677577" w:rsidRPr="00B45F7C" w:rsidRDefault="00677577" w:rsidP="00677577">
      <w:pPr>
        <w:keepNext/>
        <w:keepLines/>
        <w:spacing w:before="320" w:after="60"/>
        <w:outlineLvl w:val="2"/>
        <w:rPr>
          <w:rFonts w:ascii="Aptos Display" w:eastAsia="Times New Roman" w:hAnsi="Aptos Display" w:cs="Times New Roman"/>
          <w:b/>
          <w:color w:val="0D2C6C"/>
          <w:sz w:val="32"/>
        </w:rPr>
      </w:pPr>
      <w:bookmarkStart w:id="1055" w:name="_Toc188278060"/>
      <w:bookmarkStart w:id="1056" w:name="_Toc189393678"/>
      <w:bookmarkStart w:id="1057" w:name="_Toc192258347"/>
      <w:bookmarkStart w:id="1058" w:name="_Toc193826722"/>
      <w:bookmarkStart w:id="1059" w:name="_Toc194066985"/>
      <w:bookmarkStart w:id="1060" w:name="_Toc194311455"/>
      <w:r w:rsidRPr="00B45F7C">
        <w:rPr>
          <w:rFonts w:ascii="Aptos Display" w:eastAsia="Times New Roman" w:hAnsi="Aptos Display" w:cs="Times New Roman"/>
          <w:b/>
          <w:color w:val="0D2C6C"/>
          <w:sz w:val="32"/>
        </w:rPr>
        <w:t>2. Outcomes of enterprise agreement applications</w:t>
      </w:r>
      <w:bookmarkEnd w:id="1055"/>
      <w:bookmarkEnd w:id="1056"/>
      <w:bookmarkEnd w:id="1057"/>
      <w:bookmarkEnd w:id="1058"/>
      <w:bookmarkEnd w:id="1059"/>
      <w:bookmarkEnd w:id="1060"/>
    </w:p>
    <w:p w14:paraId="47BA403E" w14:textId="259C10C0" w:rsidR="00677577" w:rsidRPr="00B45F7C" w:rsidRDefault="00677577" w:rsidP="00677577">
      <w:pPr>
        <w:rPr>
          <w:rFonts w:ascii="Aptos" w:eastAsia="Aptos" w:hAnsi="Aptos" w:cs="Times New Roman"/>
        </w:rPr>
      </w:pPr>
      <w:r w:rsidRPr="00B45F7C">
        <w:rPr>
          <w:rFonts w:ascii="Aptos" w:eastAsia="Aptos" w:hAnsi="Aptos" w:cs="Times New Roman"/>
        </w:rPr>
        <w:t xml:space="preserve">Applications for agreement approval are largely successful, either as they are drafted or as the result of FWC amendments </w:t>
      </w:r>
      <w:r w:rsidRPr="00FD4F1B">
        <w:rPr>
          <w:rFonts w:ascii="Aptos" w:eastAsia="Aptos" w:hAnsi="Aptos" w:cs="Times New Roman"/>
        </w:rPr>
        <w:t xml:space="preserve">or employer undertakings. </w:t>
      </w:r>
      <w:r w:rsidRPr="00C00A7B">
        <w:rPr>
          <w:rFonts w:ascii="Aptos" w:eastAsia="Aptos" w:hAnsi="Aptos" w:cs="Times New Roman"/>
        </w:rPr>
        <w:t xml:space="preserve">Table </w:t>
      </w:r>
      <w:r w:rsidR="003E2100" w:rsidRPr="00C00A7B">
        <w:rPr>
          <w:rFonts w:ascii="Aptos" w:eastAsia="Aptos" w:hAnsi="Aptos" w:cs="Times New Roman"/>
        </w:rPr>
        <w:t>6</w:t>
      </w:r>
      <w:r w:rsidR="003E2100">
        <w:rPr>
          <w:rFonts w:ascii="Aptos" w:eastAsia="Aptos" w:hAnsi="Aptos" w:cs="Times New Roman"/>
        </w:rPr>
        <w:t>7</w:t>
      </w:r>
      <w:r w:rsidR="003E2100" w:rsidRPr="00FD4F1B">
        <w:rPr>
          <w:rFonts w:ascii="Aptos" w:eastAsia="Aptos" w:hAnsi="Aptos" w:cs="Times New Roman"/>
        </w:rPr>
        <w:t xml:space="preserve"> </w:t>
      </w:r>
      <w:r w:rsidRPr="00FD4F1B">
        <w:rPr>
          <w:rFonts w:ascii="Aptos" w:eastAsia="Aptos" w:hAnsi="Aptos" w:cs="Times New Roman"/>
        </w:rPr>
        <w:t>outlines the outcomes of applications for approval.</w:t>
      </w:r>
    </w:p>
    <w:p w14:paraId="4F3F6257" w14:textId="64CD85C4" w:rsidR="00677577" w:rsidRPr="00B45F7C" w:rsidRDefault="00844718" w:rsidP="00C00A7B">
      <w:pPr>
        <w:pStyle w:val="Caption"/>
      </w:pPr>
      <w:bookmarkStart w:id="1061" w:name="_Ref187335224"/>
      <w:bookmarkStart w:id="1062" w:name="_Toc187688537"/>
      <w:bookmarkStart w:id="1063" w:name="_Toc189310890"/>
      <w:bookmarkStart w:id="1064" w:name="_Toc194251491"/>
      <w:r>
        <w:t xml:space="preserve">Table </w:t>
      </w:r>
      <w:r>
        <w:fldChar w:fldCharType="begin"/>
      </w:r>
      <w:r>
        <w:instrText xml:space="preserve"> SEQ Table \* ARABIC </w:instrText>
      </w:r>
      <w:r>
        <w:fldChar w:fldCharType="separate"/>
      </w:r>
      <w:r w:rsidR="00DE5F5E">
        <w:rPr>
          <w:noProof/>
        </w:rPr>
        <w:t>67</w:t>
      </w:r>
      <w:r>
        <w:fldChar w:fldCharType="end"/>
      </w:r>
      <w:r>
        <w:t xml:space="preserve">: </w:t>
      </w:r>
      <w:bookmarkEnd w:id="1061"/>
      <w:r w:rsidR="00677577" w:rsidRPr="00B45F7C">
        <w:t>Outcomes of enterprise agreement approval</w:t>
      </w:r>
      <w:bookmarkEnd w:id="1062"/>
      <w:r w:rsidR="00677577" w:rsidRPr="00B45F7C">
        <w:t xml:space="preserve"> applications, by type of agreement</w:t>
      </w:r>
      <w:bookmarkEnd w:id="1063"/>
      <w:bookmarkEnd w:id="106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949"/>
        <w:gridCol w:w="949"/>
        <w:gridCol w:w="949"/>
        <w:gridCol w:w="949"/>
        <w:gridCol w:w="949"/>
        <w:gridCol w:w="949"/>
        <w:gridCol w:w="949"/>
        <w:gridCol w:w="949"/>
      </w:tblGrid>
      <w:tr w:rsidR="00677577" w:rsidRPr="004273EE" w14:paraId="1DF68B0D" w14:textId="77777777">
        <w:trPr>
          <w:trHeight w:val="315"/>
        </w:trPr>
        <w:tc>
          <w:tcPr>
            <w:tcW w:w="1696" w:type="dxa"/>
            <w:tcBorders>
              <w:top w:val="single" w:sz="4" w:space="0" w:color="auto"/>
              <w:left w:val="single" w:sz="4" w:space="0" w:color="auto"/>
              <w:bottom w:val="single" w:sz="4" w:space="0" w:color="auto"/>
              <w:right w:val="single" w:sz="4" w:space="0" w:color="auto"/>
            </w:tcBorders>
            <w:vAlign w:val="center"/>
            <w:hideMark/>
          </w:tcPr>
          <w:p w14:paraId="4DAC78F3" w14:textId="77777777" w:rsidR="00677577" w:rsidRPr="00C00A7B" w:rsidRDefault="00677577">
            <w:pPr>
              <w:spacing w:after="0"/>
              <w:rPr>
                <w:rFonts w:ascii="Aptos" w:eastAsia="Aptos" w:hAnsi="Aptos" w:cs="Times New Roman"/>
                <w:b/>
                <w:sz w:val="20"/>
                <w:szCs w:val="20"/>
              </w:rPr>
            </w:pPr>
            <w:r w:rsidRPr="00C00A7B">
              <w:rPr>
                <w:rFonts w:ascii="Aptos" w:eastAsia="Aptos" w:hAnsi="Aptos" w:cs="Times New Roman"/>
                <w:b/>
                <w:sz w:val="20"/>
                <w:szCs w:val="20"/>
              </w:rPr>
              <w:t> </w:t>
            </w:r>
          </w:p>
        </w:tc>
        <w:tc>
          <w:tcPr>
            <w:tcW w:w="1898" w:type="dxa"/>
            <w:gridSpan w:val="2"/>
            <w:tcBorders>
              <w:top w:val="single" w:sz="4" w:space="0" w:color="auto"/>
              <w:left w:val="single" w:sz="4" w:space="0" w:color="auto"/>
              <w:bottom w:val="single" w:sz="4" w:space="0" w:color="auto"/>
              <w:right w:val="single" w:sz="4" w:space="0" w:color="auto"/>
            </w:tcBorders>
            <w:vAlign w:val="center"/>
            <w:hideMark/>
          </w:tcPr>
          <w:p w14:paraId="6CA8D7D8" w14:textId="77777777" w:rsidR="00677577" w:rsidRPr="00C00A7B" w:rsidRDefault="00677577">
            <w:pPr>
              <w:spacing w:after="0"/>
              <w:rPr>
                <w:rFonts w:ascii="Aptos" w:eastAsia="Aptos" w:hAnsi="Aptos" w:cs="Times New Roman"/>
                <w:b/>
                <w:sz w:val="20"/>
                <w:szCs w:val="20"/>
              </w:rPr>
            </w:pPr>
            <w:r w:rsidRPr="00C00A7B">
              <w:rPr>
                <w:rFonts w:ascii="Aptos" w:eastAsia="Aptos" w:hAnsi="Aptos" w:cs="Times New Roman"/>
                <w:b/>
                <w:sz w:val="20"/>
                <w:szCs w:val="20"/>
              </w:rPr>
              <w:t>Greenfields agreement</w:t>
            </w:r>
          </w:p>
        </w:tc>
        <w:tc>
          <w:tcPr>
            <w:tcW w:w="1898" w:type="dxa"/>
            <w:gridSpan w:val="2"/>
            <w:tcBorders>
              <w:top w:val="single" w:sz="4" w:space="0" w:color="auto"/>
              <w:left w:val="single" w:sz="4" w:space="0" w:color="auto"/>
              <w:bottom w:val="single" w:sz="4" w:space="0" w:color="auto"/>
              <w:right w:val="single" w:sz="4" w:space="0" w:color="auto"/>
            </w:tcBorders>
            <w:vAlign w:val="center"/>
            <w:hideMark/>
          </w:tcPr>
          <w:p w14:paraId="246D63F2" w14:textId="77777777" w:rsidR="00677577" w:rsidRPr="00C00A7B" w:rsidRDefault="00677577">
            <w:pPr>
              <w:spacing w:after="0"/>
              <w:rPr>
                <w:rFonts w:ascii="Aptos" w:eastAsia="Aptos" w:hAnsi="Aptos" w:cs="Times New Roman"/>
                <w:b/>
                <w:sz w:val="20"/>
                <w:szCs w:val="20"/>
              </w:rPr>
            </w:pPr>
            <w:r w:rsidRPr="00C00A7B">
              <w:rPr>
                <w:rFonts w:ascii="Aptos" w:eastAsia="Aptos" w:hAnsi="Aptos" w:cs="Times New Roman"/>
                <w:b/>
                <w:sz w:val="20"/>
                <w:szCs w:val="20"/>
              </w:rPr>
              <w:t>Multi-employer agreement</w:t>
            </w:r>
          </w:p>
        </w:tc>
        <w:tc>
          <w:tcPr>
            <w:tcW w:w="1898" w:type="dxa"/>
            <w:gridSpan w:val="2"/>
            <w:tcBorders>
              <w:top w:val="single" w:sz="4" w:space="0" w:color="auto"/>
              <w:left w:val="single" w:sz="4" w:space="0" w:color="auto"/>
              <w:bottom w:val="single" w:sz="4" w:space="0" w:color="auto"/>
              <w:right w:val="single" w:sz="4" w:space="0" w:color="auto"/>
            </w:tcBorders>
            <w:vAlign w:val="center"/>
            <w:hideMark/>
          </w:tcPr>
          <w:p w14:paraId="139FF2BD" w14:textId="25F4D878" w:rsidR="00677577" w:rsidRPr="00C00A7B" w:rsidRDefault="00677577">
            <w:pPr>
              <w:spacing w:after="0"/>
              <w:rPr>
                <w:rFonts w:ascii="Aptos" w:eastAsia="Aptos" w:hAnsi="Aptos" w:cs="Times New Roman"/>
                <w:b/>
                <w:sz w:val="20"/>
                <w:szCs w:val="20"/>
              </w:rPr>
            </w:pPr>
            <w:r w:rsidRPr="00C00A7B">
              <w:rPr>
                <w:rFonts w:ascii="Aptos" w:eastAsia="Aptos" w:hAnsi="Aptos" w:cs="Times New Roman"/>
                <w:b/>
                <w:sz w:val="20"/>
                <w:szCs w:val="20"/>
              </w:rPr>
              <w:t>Single</w:t>
            </w:r>
            <w:r w:rsidR="0021216A" w:rsidRPr="00C00A7B">
              <w:rPr>
                <w:rFonts w:ascii="Aptos" w:eastAsia="Aptos" w:hAnsi="Aptos" w:cs="Times New Roman"/>
                <w:b/>
                <w:sz w:val="20"/>
                <w:szCs w:val="20"/>
              </w:rPr>
              <w:t>-</w:t>
            </w:r>
            <w:r w:rsidRPr="00C00A7B">
              <w:rPr>
                <w:rFonts w:ascii="Aptos" w:eastAsia="Aptos" w:hAnsi="Aptos" w:cs="Times New Roman"/>
                <w:b/>
                <w:sz w:val="20"/>
                <w:szCs w:val="20"/>
              </w:rPr>
              <w:t>enterprise agreement</w:t>
            </w:r>
          </w:p>
        </w:tc>
        <w:tc>
          <w:tcPr>
            <w:tcW w:w="1898" w:type="dxa"/>
            <w:gridSpan w:val="2"/>
            <w:tcBorders>
              <w:top w:val="single" w:sz="4" w:space="0" w:color="auto"/>
              <w:left w:val="single" w:sz="4" w:space="0" w:color="auto"/>
              <w:bottom w:val="single" w:sz="4" w:space="0" w:color="auto"/>
              <w:right w:val="single" w:sz="4" w:space="0" w:color="auto"/>
            </w:tcBorders>
            <w:vAlign w:val="center"/>
            <w:hideMark/>
          </w:tcPr>
          <w:p w14:paraId="7A2FFC7F" w14:textId="77777777" w:rsidR="00677577" w:rsidRPr="00C00A7B" w:rsidRDefault="00677577">
            <w:pPr>
              <w:spacing w:after="0"/>
              <w:rPr>
                <w:rFonts w:ascii="Aptos" w:eastAsia="Aptos" w:hAnsi="Aptos" w:cs="Times New Roman"/>
                <w:b/>
                <w:sz w:val="20"/>
                <w:szCs w:val="20"/>
              </w:rPr>
            </w:pPr>
            <w:r w:rsidRPr="00C00A7B">
              <w:rPr>
                <w:rFonts w:ascii="Aptos" w:eastAsia="Aptos" w:hAnsi="Aptos" w:cs="Times New Roman"/>
                <w:b/>
                <w:sz w:val="20"/>
                <w:szCs w:val="20"/>
              </w:rPr>
              <w:t>Total</w:t>
            </w:r>
          </w:p>
        </w:tc>
      </w:tr>
      <w:tr w:rsidR="00677577" w:rsidRPr="004273EE" w14:paraId="29937AB7" w14:textId="77777777">
        <w:trPr>
          <w:trHeight w:val="315"/>
        </w:trPr>
        <w:tc>
          <w:tcPr>
            <w:tcW w:w="1696" w:type="dxa"/>
            <w:tcBorders>
              <w:top w:val="single" w:sz="4" w:space="0" w:color="auto"/>
              <w:left w:val="single" w:sz="4" w:space="0" w:color="auto"/>
              <w:bottom w:val="single" w:sz="4" w:space="0" w:color="auto"/>
              <w:right w:val="single" w:sz="4" w:space="0" w:color="auto"/>
            </w:tcBorders>
            <w:vAlign w:val="center"/>
            <w:hideMark/>
          </w:tcPr>
          <w:p w14:paraId="16412F64" w14:textId="77777777" w:rsidR="00677577" w:rsidRPr="00C00A7B" w:rsidRDefault="00677577">
            <w:pPr>
              <w:spacing w:after="0"/>
              <w:rPr>
                <w:rFonts w:ascii="Aptos" w:eastAsia="Aptos" w:hAnsi="Aptos" w:cs="Times New Roman"/>
                <w:b/>
                <w:sz w:val="20"/>
                <w:szCs w:val="20"/>
              </w:rPr>
            </w:pPr>
            <w:r w:rsidRPr="00C00A7B">
              <w:rPr>
                <w:rFonts w:ascii="Aptos" w:eastAsia="Aptos" w:hAnsi="Aptos" w:cs="Times New Roman"/>
                <w:b/>
                <w:sz w:val="20"/>
                <w:szCs w:val="20"/>
              </w:rPr>
              <w:t>Result</w:t>
            </w:r>
          </w:p>
        </w:tc>
        <w:tc>
          <w:tcPr>
            <w:tcW w:w="949" w:type="dxa"/>
            <w:tcBorders>
              <w:top w:val="single" w:sz="4" w:space="0" w:color="auto"/>
              <w:left w:val="single" w:sz="4" w:space="0" w:color="auto"/>
              <w:bottom w:val="single" w:sz="4" w:space="0" w:color="auto"/>
              <w:right w:val="single" w:sz="4" w:space="0" w:color="auto"/>
            </w:tcBorders>
            <w:vAlign w:val="center"/>
            <w:hideMark/>
          </w:tcPr>
          <w:p w14:paraId="5DC3D59C" w14:textId="77777777" w:rsidR="00677577" w:rsidRPr="00C00A7B" w:rsidRDefault="00677577" w:rsidP="00C00A7B">
            <w:pPr>
              <w:spacing w:after="0"/>
              <w:jc w:val="right"/>
              <w:rPr>
                <w:rFonts w:ascii="Aptos" w:eastAsia="Aptos" w:hAnsi="Aptos" w:cs="Times New Roman"/>
                <w:b/>
                <w:sz w:val="20"/>
                <w:szCs w:val="20"/>
              </w:rPr>
            </w:pPr>
            <w:r w:rsidRPr="00C00A7B">
              <w:rPr>
                <w:rFonts w:ascii="Aptos" w:eastAsia="Aptos" w:hAnsi="Aptos" w:cs="Times New Roman"/>
                <w:b/>
                <w:sz w:val="20"/>
                <w:szCs w:val="20"/>
              </w:rPr>
              <w:t>Count</w:t>
            </w:r>
          </w:p>
        </w:tc>
        <w:tc>
          <w:tcPr>
            <w:tcW w:w="949" w:type="dxa"/>
            <w:tcBorders>
              <w:top w:val="single" w:sz="4" w:space="0" w:color="auto"/>
              <w:left w:val="single" w:sz="4" w:space="0" w:color="auto"/>
              <w:bottom w:val="single" w:sz="4" w:space="0" w:color="auto"/>
              <w:right w:val="single" w:sz="4" w:space="0" w:color="auto"/>
            </w:tcBorders>
            <w:vAlign w:val="center"/>
            <w:hideMark/>
          </w:tcPr>
          <w:p w14:paraId="3CE6AA0C" w14:textId="77777777" w:rsidR="00677577" w:rsidRPr="00C00A7B" w:rsidRDefault="00677577" w:rsidP="00C00A7B">
            <w:pPr>
              <w:spacing w:after="0"/>
              <w:jc w:val="right"/>
              <w:rPr>
                <w:rFonts w:ascii="Aptos" w:eastAsia="Aptos" w:hAnsi="Aptos" w:cs="Times New Roman"/>
                <w:b/>
                <w:sz w:val="20"/>
                <w:szCs w:val="20"/>
              </w:rPr>
            </w:pPr>
            <w:r w:rsidRPr="00C00A7B">
              <w:rPr>
                <w:rFonts w:ascii="Aptos" w:eastAsia="Aptos" w:hAnsi="Aptos" w:cs="Times New Roman"/>
                <w:b/>
                <w:sz w:val="20"/>
                <w:szCs w:val="20"/>
              </w:rPr>
              <w:t>%</w:t>
            </w:r>
          </w:p>
        </w:tc>
        <w:tc>
          <w:tcPr>
            <w:tcW w:w="949" w:type="dxa"/>
            <w:tcBorders>
              <w:top w:val="single" w:sz="4" w:space="0" w:color="auto"/>
              <w:left w:val="single" w:sz="4" w:space="0" w:color="auto"/>
              <w:bottom w:val="single" w:sz="4" w:space="0" w:color="auto"/>
              <w:right w:val="single" w:sz="4" w:space="0" w:color="auto"/>
            </w:tcBorders>
            <w:vAlign w:val="center"/>
            <w:hideMark/>
          </w:tcPr>
          <w:p w14:paraId="7816692B" w14:textId="77777777" w:rsidR="00677577" w:rsidRPr="00C00A7B" w:rsidRDefault="00677577" w:rsidP="00C00A7B">
            <w:pPr>
              <w:spacing w:after="0"/>
              <w:jc w:val="right"/>
              <w:rPr>
                <w:rFonts w:ascii="Aptos" w:eastAsia="Aptos" w:hAnsi="Aptos" w:cs="Times New Roman"/>
                <w:b/>
                <w:sz w:val="20"/>
                <w:szCs w:val="20"/>
              </w:rPr>
            </w:pPr>
            <w:r w:rsidRPr="00C00A7B">
              <w:rPr>
                <w:rFonts w:ascii="Aptos" w:eastAsia="Aptos" w:hAnsi="Aptos" w:cs="Times New Roman"/>
                <w:b/>
                <w:sz w:val="20"/>
                <w:szCs w:val="20"/>
              </w:rPr>
              <w:t>Count</w:t>
            </w:r>
          </w:p>
        </w:tc>
        <w:tc>
          <w:tcPr>
            <w:tcW w:w="949" w:type="dxa"/>
            <w:tcBorders>
              <w:top w:val="single" w:sz="4" w:space="0" w:color="auto"/>
              <w:left w:val="single" w:sz="4" w:space="0" w:color="auto"/>
              <w:bottom w:val="single" w:sz="4" w:space="0" w:color="auto"/>
              <w:right w:val="single" w:sz="4" w:space="0" w:color="auto"/>
            </w:tcBorders>
            <w:vAlign w:val="center"/>
            <w:hideMark/>
          </w:tcPr>
          <w:p w14:paraId="0ECD9C85" w14:textId="77777777" w:rsidR="00677577" w:rsidRPr="00C00A7B" w:rsidRDefault="00677577" w:rsidP="00C00A7B">
            <w:pPr>
              <w:spacing w:after="0"/>
              <w:jc w:val="right"/>
              <w:rPr>
                <w:rFonts w:ascii="Aptos" w:eastAsia="Aptos" w:hAnsi="Aptos" w:cs="Times New Roman"/>
                <w:b/>
                <w:sz w:val="20"/>
                <w:szCs w:val="20"/>
              </w:rPr>
            </w:pPr>
            <w:r w:rsidRPr="00C00A7B">
              <w:rPr>
                <w:rFonts w:ascii="Aptos" w:eastAsia="Aptos" w:hAnsi="Aptos" w:cs="Times New Roman"/>
                <w:b/>
                <w:sz w:val="20"/>
                <w:szCs w:val="20"/>
              </w:rPr>
              <w:t>%</w:t>
            </w:r>
          </w:p>
        </w:tc>
        <w:tc>
          <w:tcPr>
            <w:tcW w:w="949" w:type="dxa"/>
            <w:tcBorders>
              <w:top w:val="single" w:sz="4" w:space="0" w:color="auto"/>
              <w:left w:val="single" w:sz="4" w:space="0" w:color="auto"/>
              <w:bottom w:val="single" w:sz="4" w:space="0" w:color="auto"/>
              <w:right w:val="single" w:sz="4" w:space="0" w:color="auto"/>
            </w:tcBorders>
            <w:vAlign w:val="center"/>
            <w:hideMark/>
          </w:tcPr>
          <w:p w14:paraId="00FA6493" w14:textId="77777777" w:rsidR="00677577" w:rsidRPr="00C00A7B" w:rsidRDefault="00677577" w:rsidP="00C00A7B">
            <w:pPr>
              <w:spacing w:after="0"/>
              <w:jc w:val="right"/>
              <w:rPr>
                <w:rFonts w:ascii="Aptos" w:eastAsia="Aptos" w:hAnsi="Aptos" w:cs="Times New Roman"/>
                <w:b/>
                <w:sz w:val="20"/>
                <w:szCs w:val="20"/>
              </w:rPr>
            </w:pPr>
            <w:r w:rsidRPr="00C00A7B">
              <w:rPr>
                <w:rFonts w:ascii="Aptos" w:eastAsia="Aptos" w:hAnsi="Aptos" w:cs="Times New Roman"/>
                <w:b/>
                <w:sz w:val="20"/>
                <w:szCs w:val="20"/>
              </w:rPr>
              <w:t>Count</w:t>
            </w:r>
          </w:p>
        </w:tc>
        <w:tc>
          <w:tcPr>
            <w:tcW w:w="949" w:type="dxa"/>
            <w:tcBorders>
              <w:top w:val="single" w:sz="4" w:space="0" w:color="auto"/>
              <w:left w:val="single" w:sz="4" w:space="0" w:color="auto"/>
              <w:bottom w:val="single" w:sz="4" w:space="0" w:color="auto"/>
              <w:right w:val="single" w:sz="4" w:space="0" w:color="auto"/>
            </w:tcBorders>
            <w:vAlign w:val="center"/>
            <w:hideMark/>
          </w:tcPr>
          <w:p w14:paraId="20F10F1B" w14:textId="77777777" w:rsidR="00677577" w:rsidRPr="00C00A7B" w:rsidRDefault="00677577" w:rsidP="00C00A7B">
            <w:pPr>
              <w:spacing w:after="0"/>
              <w:jc w:val="right"/>
              <w:rPr>
                <w:rFonts w:ascii="Aptos" w:eastAsia="Aptos" w:hAnsi="Aptos" w:cs="Times New Roman"/>
                <w:b/>
                <w:sz w:val="20"/>
                <w:szCs w:val="20"/>
              </w:rPr>
            </w:pPr>
            <w:r w:rsidRPr="00C00A7B">
              <w:rPr>
                <w:rFonts w:ascii="Aptos" w:eastAsia="Aptos" w:hAnsi="Aptos" w:cs="Times New Roman"/>
                <w:b/>
                <w:sz w:val="20"/>
                <w:szCs w:val="20"/>
              </w:rPr>
              <w:t>%</w:t>
            </w:r>
          </w:p>
        </w:tc>
        <w:tc>
          <w:tcPr>
            <w:tcW w:w="949" w:type="dxa"/>
            <w:tcBorders>
              <w:top w:val="single" w:sz="4" w:space="0" w:color="auto"/>
              <w:left w:val="single" w:sz="4" w:space="0" w:color="auto"/>
              <w:bottom w:val="single" w:sz="4" w:space="0" w:color="auto"/>
              <w:right w:val="single" w:sz="4" w:space="0" w:color="auto"/>
            </w:tcBorders>
            <w:vAlign w:val="center"/>
            <w:hideMark/>
          </w:tcPr>
          <w:p w14:paraId="5ADD3F06" w14:textId="77777777" w:rsidR="00677577" w:rsidRPr="00C00A7B" w:rsidRDefault="00677577" w:rsidP="00C00A7B">
            <w:pPr>
              <w:spacing w:after="0"/>
              <w:jc w:val="right"/>
              <w:rPr>
                <w:rFonts w:ascii="Aptos" w:eastAsia="Aptos" w:hAnsi="Aptos" w:cs="Times New Roman"/>
                <w:b/>
                <w:sz w:val="20"/>
                <w:szCs w:val="20"/>
              </w:rPr>
            </w:pPr>
            <w:r w:rsidRPr="00C00A7B">
              <w:rPr>
                <w:rFonts w:ascii="Aptos" w:eastAsia="Aptos" w:hAnsi="Aptos" w:cs="Times New Roman"/>
                <w:b/>
                <w:sz w:val="20"/>
                <w:szCs w:val="20"/>
              </w:rPr>
              <w:t>Count</w:t>
            </w:r>
          </w:p>
        </w:tc>
        <w:tc>
          <w:tcPr>
            <w:tcW w:w="949" w:type="dxa"/>
            <w:tcBorders>
              <w:top w:val="single" w:sz="4" w:space="0" w:color="auto"/>
              <w:left w:val="single" w:sz="4" w:space="0" w:color="auto"/>
              <w:bottom w:val="single" w:sz="4" w:space="0" w:color="auto"/>
              <w:right w:val="single" w:sz="4" w:space="0" w:color="auto"/>
            </w:tcBorders>
            <w:vAlign w:val="center"/>
            <w:hideMark/>
          </w:tcPr>
          <w:p w14:paraId="74C7A1B4" w14:textId="77777777" w:rsidR="00677577" w:rsidRPr="00C00A7B" w:rsidRDefault="00677577" w:rsidP="00C00A7B">
            <w:pPr>
              <w:spacing w:after="0"/>
              <w:jc w:val="right"/>
              <w:rPr>
                <w:rFonts w:ascii="Aptos" w:eastAsia="Aptos" w:hAnsi="Aptos" w:cs="Times New Roman"/>
                <w:b/>
                <w:sz w:val="20"/>
                <w:szCs w:val="20"/>
              </w:rPr>
            </w:pPr>
            <w:r w:rsidRPr="00C00A7B">
              <w:rPr>
                <w:rFonts w:ascii="Aptos" w:eastAsia="Aptos" w:hAnsi="Aptos" w:cs="Times New Roman"/>
                <w:b/>
                <w:sz w:val="20"/>
                <w:szCs w:val="20"/>
              </w:rPr>
              <w:t>%</w:t>
            </w:r>
          </w:p>
        </w:tc>
      </w:tr>
      <w:tr w:rsidR="00677577" w:rsidRPr="004273EE" w14:paraId="281216D5" w14:textId="77777777">
        <w:trPr>
          <w:trHeight w:val="315"/>
        </w:trPr>
        <w:tc>
          <w:tcPr>
            <w:tcW w:w="1696" w:type="dxa"/>
            <w:tcBorders>
              <w:top w:val="single" w:sz="4" w:space="0" w:color="auto"/>
              <w:left w:val="single" w:sz="4" w:space="0" w:color="auto"/>
              <w:bottom w:val="single" w:sz="4" w:space="0" w:color="auto"/>
              <w:right w:val="single" w:sz="4" w:space="0" w:color="auto"/>
            </w:tcBorders>
            <w:vAlign w:val="center"/>
            <w:hideMark/>
          </w:tcPr>
          <w:p w14:paraId="19D78FEE" w14:textId="77777777" w:rsidR="00677577" w:rsidRPr="004273EE" w:rsidRDefault="00677577">
            <w:pPr>
              <w:spacing w:after="0"/>
              <w:rPr>
                <w:rFonts w:ascii="Aptos" w:eastAsia="Aptos" w:hAnsi="Aptos" w:cs="Times New Roman"/>
                <w:sz w:val="20"/>
                <w:szCs w:val="20"/>
              </w:rPr>
            </w:pPr>
            <w:r w:rsidRPr="004273EE">
              <w:rPr>
                <w:rFonts w:ascii="Aptos" w:eastAsia="Aptos" w:hAnsi="Aptos" w:cs="Times New Roman"/>
                <w:sz w:val="20"/>
                <w:szCs w:val="20"/>
              </w:rPr>
              <w:t>Approved</w:t>
            </w:r>
          </w:p>
        </w:tc>
        <w:tc>
          <w:tcPr>
            <w:tcW w:w="949" w:type="dxa"/>
            <w:tcBorders>
              <w:top w:val="nil"/>
              <w:left w:val="nil"/>
              <w:bottom w:val="single" w:sz="8" w:space="0" w:color="auto"/>
              <w:right w:val="single" w:sz="8" w:space="0" w:color="auto"/>
            </w:tcBorders>
            <w:shd w:val="clear" w:color="000000" w:fill="FFFFFF"/>
            <w:vAlign w:val="center"/>
            <w:hideMark/>
          </w:tcPr>
          <w:p w14:paraId="7DB961F1"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860</w:t>
            </w:r>
          </w:p>
        </w:tc>
        <w:tc>
          <w:tcPr>
            <w:tcW w:w="949" w:type="dxa"/>
            <w:tcBorders>
              <w:top w:val="nil"/>
              <w:left w:val="nil"/>
              <w:bottom w:val="single" w:sz="8" w:space="0" w:color="auto"/>
              <w:right w:val="single" w:sz="8" w:space="0" w:color="auto"/>
            </w:tcBorders>
            <w:shd w:val="clear" w:color="000000" w:fill="FFFFFF"/>
            <w:vAlign w:val="center"/>
            <w:hideMark/>
          </w:tcPr>
          <w:p w14:paraId="4BEF5B81"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75.9%</w:t>
            </w:r>
          </w:p>
        </w:tc>
        <w:tc>
          <w:tcPr>
            <w:tcW w:w="949" w:type="dxa"/>
            <w:tcBorders>
              <w:top w:val="nil"/>
              <w:left w:val="nil"/>
              <w:bottom w:val="single" w:sz="8" w:space="0" w:color="auto"/>
              <w:right w:val="single" w:sz="8" w:space="0" w:color="auto"/>
            </w:tcBorders>
            <w:shd w:val="clear" w:color="000000" w:fill="FFFFFF"/>
            <w:vAlign w:val="center"/>
            <w:hideMark/>
          </w:tcPr>
          <w:p w14:paraId="38962E91"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35</w:t>
            </w:r>
          </w:p>
        </w:tc>
        <w:tc>
          <w:tcPr>
            <w:tcW w:w="949" w:type="dxa"/>
            <w:tcBorders>
              <w:top w:val="nil"/>
              <w:left w:val="nil"/>
              <w:bottom w:val="single" w:sz="8" w:space="0" w:color="auto"/>
              <w:right w:val="single" w:sz="8" w:space="0" w:color="auto"/>
            </w:tcBorders>
            <w:shd w:val="clear" w:color="000000" w:fill="FFFFFF"/>
            <w:vAlign w:val="center"/>
            <w:hideMark/>
          </w:tcPr>
          <w:p w14:paraId="74854E2F"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30.2%</w:t>
            </w:r>
          </w:p>
        </w:tc>
        <w:tc>
          <w:tcPr>
            <w:tcW w:w="949" w:type="dxa"/>
            <w:tcBorders>
              <w:top w:val="nil"/>
              <w:left w:val="nil"/>
              <w:bottom w:val="single" w:sz="8" w:space="0" w:color="auto"/>
              <w:right w:val="single" w:sz="8" w:space="0" w:color="auto"/>
            </w:tcBorders>
            <w:shd w:val="clear" w:color="000000" w:fill="FFFFFF"/>
            <w:vAlign w:val="center"/>
            <w:hideMark/>
          </w:tcPr>
          <w:p w14:paraId="3915554A"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6960</w:t>
            </w:r>
          </w:p>
        </w:tc>
        <w:tc>
          <w:tcPr>
            <w:tcW w:w="949" w:type="dxa"/>
            <w:tcBorders>
              <w:top w:val="nil"/>
              <w:left w:val="nil"/>
              <w:bottom w:val="single" w:sz="8" w:space="0" w:color="auto"/>
              <w:right w:val="single" w:sz="8" w:space="0" w:color="auto"/>
            </w:tcBorders>
            <w:shd w:val="clear" w:color="000000" w:fill="FFFFFF"/>
            <w:vAlign w:val="center"/>
            <w:hideMark/>
          </w:tcPr>
          <w:p w14:paraId="0275C73C"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47.2%</w:t>
            </w:r>
          </w:p>
        </w:tc>
        <w:tc>
          <w:tcPr>
            <w:tcW w:w="949" w:type="dxa"/>
            <w:tcBorders>
              <w:top w:val="nil"/>
              <w:left w:val="nil"/>
              <w:bottom w:val="single" w:sz="8" w:space="0" w:color="auto"/>
              <w:right w:val="single" w:sz="8" w:space="0" w:color="auto"/>
            </w:tcBorders>
            <w:vAlign w:val="center"/>
            <w:hideMark/>
          </w:tcPr>
          <w:p w14:paraId="7B6909FB"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7,855</w:t>
            </w:r>
          </w:p>
        </w:tc>
        <w:tc>
          <w:tcPr>
            <w:tcW w:w="949" w:type="dxa"/>
            <w:tcBorders>
              <w:top w:val="nil"/>
              <w:left w:val="nil"/>
              <w:bottom w:val="single" w:sz="8" w:space="0" w:color="auto"/>
              <w:right w:val="single" w:sz="8" w:space="0" w:color="auto"/>
            </w:tcBorders>
            <w:noWrap/>
            <w:vAlign w:val="center"/>
            <w:hideMark/>
          </w:tcPr>
          <w:p w14:paraId="07B0E371"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49.1%</w:t>
            </w:r>
          </w:p>
        </w:tc>
      </w:tr>
      <w:tr w:rsidR="00677577" w:rsidRPr="004273EE" w14:paraId="203A63FD" w14:textId="77777777">
        <w:trPr>
          <w:trHeight w:val="315"/>
        </w:trPr>
        <w:tc>
          <w:tcPr>
            <w:tcW w:w="1696" w:type="dxa"/>
            <w:tcBorders>
              <w:top w:val="single" w:sz="4" w:space="0" w:color="auto"/>
              <w:left w:val="single" w:sz="4" w:space="0" w:color="auto"/>
              <w:bottom w:val="single" w:sz="4" w:space="0" w:color="auto"/>
              <w:right w:val="single" w:sz="4" w:space="0" w:color="auto"/>
            </w:tcBorders>
            <w:vAlign w:val="center"/>
            <w:hideMark/>
          </w:tcPr>
          <w:p w14:paraId="5902A65F" w14:textId="77777777" w:rsidR="00677577" w:rsidRPr="004273EE" w:rsidRDefault="00677577">
            <w:pPr>
              <w:spacing w:after="0"/>
              <w:rPr>
                <w:rFonts w:ascii="Aptos" w:eastAsia="Aptos" w:hAnsi="Aptos" w:cs="Times New Roman"/>
                <w:sz w:val="20"/>
                <w:szCs w:val="20"/>
              </w:rPr>
            </w:pPr>
            <w:r w:rsidRPr="004273EE">
              <w:rPr>
                <w:rFonts w:ascii="Aptos" w:eastAsia="Aptos" w:hAnsi="Aptos" w:cs="Times New Roman"/>
                <w:sz w:val="20"/>
                <w:szCs w:val="20"/>
              </w:rPr>
              <w:t>Approved with amendments</w:t>
            </w:r>
          </w:p>
        </w:tc>
        <w:tc>
          <w:tcPr>
            <w:tcW w:w="949" w:type="dxa"/>
            <w:tcBorders>
              <w:top w:val="nil"/>
              <w:left w:val="nil"/>
              <w:bottom w:val="single" w:sz="8" w:space="0" w:color="auto"/>
              <w:right w:val="single" w:sz="8" w:space="0" w:color="auto"/>
            </w:tcBorders>
            <w:shd w:val="clear" w:color="000000" w:fill="FFFFFF"/>
            <w:vAlign w:val="center"/>
            <w:hideMark/>
          </w:tcPr>
          <w:p w14:paraId="55B55ECE"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3</w:t>
            </w:r>
          </w:p>
        </w:tc>
        <w:tc>
          <w:tcPr>
            <w:tcW w:w="949" w:type="dxa"/>
            <w:tcBorders>
              <w:top w:val="nil"/>
              <w:left w:val="nil"/>
              <w:bottom w:val="single" w:sz="8" w:space="0" w:color="auto"/>
              <w:right w:val="single" w:sz="8" w:space="0" w:color="auto"/>
            </w:tcBorders>
            <w:shd w:val="clear" w:color="000000" w:fill="FFFFFF"/>
            <w:vAlign w:val="center"/>
            <w:hideMark/>
          </w:tcPr>
          <w:p w14:paraId="2A02EBF0"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0.3%</w:t>
            </w:r>
          </w:p>
        </w:tc>
        <w:tc>
          <w:tcPr>
            <w:tcW w:w="949" w:type="dxa"/>
            <w:tcBorders>
              <w:top w:val="nil"/>
              <w:left w:val="nil"/>
              <w:bottom w:val="single" w:sz="8" w:space="0" w:color="auto"/>
              <w:right w:val="single" w:sz="8" w:space="0" w:color="auto"/>
            </w:tcBorders>
            <w:shd w:val="clear" w:color="000000" w:fill="FFFFFF"/>
            <w:vAlign w:val="center"/>
            <w:hideMark/>
          </w:tcPr>
          <w:p w14:paraId="4D222DA1"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1</w:t>
            </w:r>
          </w:p>
        </w:tc>
        <w:tc>
          <w:tcPr>
            <w:tcW w:w="949" w:type="dxa"/>
            <w:tcBorders>
              <w:top w:val="nil"/>
              <w:left w:val="nil"/>
              <w:bottom w:val="single" w:sz="8" w:space="0" w:color="auto"/>
              <w:right w:val="single" w:sz="8" w:space="0" w:color="auto"/>
            </w:tcBorders>
            <w:shd w:val="clear" w:color="000000" w:fill="FFFFFF"/>
            <w:vAlign w:val="center"/>
            <w:hideMark/>
          </w:tcPr>
          <w:p w14:paraId="333D525B"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0.9%</w:t>
            </w:r>
          </w:p>
        </w:tc>
        <w:tc>
          <w:tcPr>
            <w:tcW w:w="949" w:type="dxa"/>
            <w:tcBorders>
              <w:top w:val="nil"/>
              <w:left w:val="nil"/>
              <w:bottom w:val="single" w:sz="8" w:space="0" w:color="auto"/>
              <w:right w:val="single" w:sz="8" w:space="0" w:color="auto"/>
            </w:tcBorders>
            <w:shd w:val="clear" w:color="000000" w:fill="FFFFFF"/>
            <w:vAlign w:val="center"/>
            <w:hideMark/>
          </w:tcPr>
          <w:p w14:paraId="528D30DE"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30</w:t>
            </w:r>
          </w:p>
        </w:tc>
        <w:tc>
          <w:tcPr>
            <w:tcW w:w="949" w:type="dxa"/>
            <w:tcBorders>
              <w:top w:val="nil"/>
              <w:left w:val="nil"/>
              <w:bottom w:val="single" w:sz="8" w:space="0" w:color="auto"/>
              <w:right w:val="single" w:sz="8" w:space="0" w:color="auto"/>
            </w:tcBorders>
            <w:shd w:val="clear" w:color="000000" w:fill="FFFFFF"/>
            <w:vAlign w:val="center"/>
            <w:hideMark/>
          </w:tcPr>
          <w:p w14:paraId="0D989D40"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0.2%</w:t>
            </w:r>
          </w:p>
        </w:tc>
        <w:tc>
          <w:tcPr>
            <w:tcW w:w="949" w:type="dxa"/>
            <w:tcBorders>
              <w:top w:val="nil"/>
              <w:left w:val="nil"/>
              <w:bottom w:val="single" w:sz="8" w:space="0" w:color="auto"/>
              <w:right w:val="single" w:sz="8" w:space="0" w:color="auto"/>
            </w:tcBorders>
            <w:vAlign w:val="center"/>
            <w:hideMark/>
          </w:tcPr>
          <w:p w14:paraId="32D5699B"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34</w:t>
            </w:r>
          </w:p>
        </w:tc>
        <w:tc>
          <w:tcPr>
            <w:tcW w:w="949" w:type="dxa"/>
            <w:tcBorders>
              <w:top w:val="nil"/>
              <w:left w:val="nil"/>
              <w:bottom w:val="single" w:sz="8" w:space="0" w:color="auto"/>
              <w:right w:val="single" w:sz="8" w:space="0" w:color="auto"/>
            </w:tcBorders>
            <w:noWrap/>
            <w:vAlign w:val="center"/>
            <w:hideMark/>
          </w:tcPr>
          <w:p w14:paraId="4041327B"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0.2%</w:t>
            </w:r>
          </w:p>
        </w:tc>
      </w:tr>
      <w:tr w:rsidR="00677577" w:rsidRPr="004273EE" w14:paraId="6F07AF87" w14:textId="77777777">
        <w:trPr>
          <w:trHeight w:val="315"/>
        </w:trPr>
        <w:tc>
          <w:tcPr>
            <w:tcW w:w="1696" w:type="dxa"/>
            <w:tcBorders>
              <w:top w:val="single" w:sz="4" w:space="0" w:color="auto"/>
              <w:left w:val="single" w:sz="4" w:space="0" w:color="auto"/>
              <w:bottom w:val="single" w:sz="4" w:space="0" w:color="auto"/>
              <w:right w:val="single" w:sz="4" w:space="0" w:color="auto"/>
            </w:tcBorders>
            <w:vAlign w:val="center"/>
            <w:hideMark/>
          </w:tcPr>
          <w:p w14:paraId="7B1AA970" w14:textId="77777777" w:rsidR="00677577" w:rsidRPr="004273EE" w:rsidRDefault="00677577">
            <w:pPr>
              <w:spacing w:after="0"/>
              <w:rPr>
                <w:rFonts w:ascii="Aptos" w:eastAsia="Aptos" w:hAnsi="Aptos" w:cs="Times New Roman"/>
                <w:sz w:val="20"/>
                <w:szCs w:val="20"/>
              </w:rPr>
            </w:pPr>
            <w:r w:rsidRPr="004273EE">
              <w:rPr>
                <w:rFonts w:ascii="Aptos" w:eastAsia="Aptos" w:hAnsi="Aptos" w:cs="Times New Roman"/>
                <w:sz w:val="20"/>
                <w:szCs w:val="20"/>
              </w:rPr>
              <w:t>Approved with undertakings</w:t>
            </w:r>
          </w:p>
        </w:tc>
        <w:tc>
          <w:tcPr>
            <w:tcW w:w="949" w:type="dxa"/>
            <w:tcBorders>
              <w:top w:val="nil"/>
              <w:left w:val="nil"/>
              <w:bottom w:val="single" w:sz="8" w:space="0" w:color="auto"/>
              <w:right w:val="single" w:sz="8" w:space="0" w:color="auto"/>
            </w:tcBorders>
            <w:shd w:val="clear" w:color="000000" w:fill="FFFFFF"/>
            <w:vAlign w:val="center"/>
            <w:hideMark/>
          </w:tcPr>
          <w:p w14:paraId="48E3274C"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213</w:t>
            </w:r>
          </w:p>
        </w:tc>
        <w:tc>
          <w:tcPr>
            <w:tcW w:w="949" w:type="dxa"/>
            <w:tcBorders>
              <w:top w:val="nil"/>
              <w:left w:val="nil"/>
              <w:bottom w:val="single" w:sz="8" w:space="0" w:color="auto"/>
              <w:right w:val="single" w:sz="8" w:space="0" w:color="auto"/>
            </w:tcBorders>
            <w:shd w:val="clear" w:color="000000" w:fill="FFFFFF"/>
            <w:vAlign w:val="center"/>
            <w:hideMark/>
          </w:tcPr>
          <w:p w14:paraId="4D6760F4"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18.8%</w:t>
            </w:r>
          </w:p>
        </w:tc>
        <w:tc>
          <w:tcPr>
            <w:tcW w:w="949" w:type="dxa"/>
            <w:tcBorders>
              <w:top w:val="nil"/>
              <w:left w:val="nil"/>
              <w:bottom w:val="single" w:sz="8" w:space="0" w:color="auto"/>
              <w:right w:val="single" w:sz="8" w:space="0" w:color="auto"/>
            </w:tcBorders>
            <w:shd w:val="clear" w:color="000000" w:fill="FFFFFF"/>
            <w:vAlign w:val="center"/>
            <w:hideMark/>
          </w:tcPr>
          <w:p w14:paraId="11FF6263"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65</w:t>
            </w:r>
          </w:p>
        </w:tc>
        <w:tc>
          <w:tcPr>
            <w:tcW w:w="949" w:type="dxa"/>
            <w:tcBorders>
              <w:top w:val="nil"/>
              <w:left w:val="nil"/>
              <w:bottom w:val="single" w:sz="8" w:space="0" w:color="auto"/>
              <w:right w:val="single" w:sz="8" w:space="0" w:color="auto"/>
            </w:tcBorders>
            <w:shd w:val="clear" w:color="000000" w:fill="FFFFFF"/>
            <w:vAlign w:val="center"/>
            <w:hideMark/>
          </w:tcPr>
          <w:p w14:paraId="0D6E191B"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56.0%</w:t>
            </w:r>
          </w:p>
        </w:tc>
        <w:tc>
          <w:tcPr>
            <w:tcW w:w="949" w:type="dxa"/>
            <w:tcBorders>
              <w:top w:val="nil"/>
              <w:left w:val="nil"/>
              <w:bottom w:val="single" w:sz="8" w:space="0" w:color="auto"/>
              <w:right w:val="single" w:sz="8" w:space="0" w:color="auto"/>
            </w:tcBorders>
            <w:shd w:val="clear" w:color="000000" w:fill="FFFFFF"/>
            <w:vAlign w:val="center"/>
            <w:hideMark/>
          </w:tcPr>
          <w:p w14:paraId="53C5C992"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7096</w:t>
            </w:r>
          </w:p>
        </w:tc>
        <w:tc>
          <w:tcPr>
            <w:tcW w:w="949" w:type="dxa"/>
            <w:tcBorders>
              <w:top w:val="nil"/>
              <w:left w:val="nil"/>
              <w:bottom w:val="single" w:sz="8" w:space="0" w:color="auto"/>
              <w:right w:val="single" w:sz="8" w:space="0" w:color="auto"/>
            </w:tcBorders>
            <w:shd w:val="clear" w:color="000000" w:fill="FFFFFF"/>
            <w:vAlign w:val="center"/>
            <w:hideMark/>
          </w:tcPr>
          <w:p w14:paraId="65D2B8AF"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48.1%</w:t>
            </w:r>
          </w:p>
        </w:tc>
        <w:tc>
          <w:tcPr>
            <w:tcW w:w="949" w:type="dxa"/>
            <w:tcBorders>
              <w:top w:val="nil"/>
              <w:left w:val="nil"/>
              <w:bottom w:val="single" w:sz="8" w:space="0" w:color="auto"/>
              <w:right w:val="single" w:sz="8" w:space="0" w:color="auto"/>
            </w:tcBorders>
            <w:vAlign w:val="center"/>
            <w:hideMark/>
          </w:tcPr>
          <w:p w14:paraId="6003F8D3"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7,374</w:t>
            </w:r>
          </w:p>
        </w:tc>
        <w:tc>
          <w:tcPr>
            <w:tcW w:w="949" w:type="dxa"/>
            <w:tcBorders>
              <w:top w:val="nil"/>
              <w:left w:val="nil"/>
              <w:bottom w:val="single" w:sz="8" w:space="0" w:color="auto"/>
              <w:right w:val="single" w:sz="8" w:space="0" w:color="auto"/>
            </w:tcBorders>
            <w:noWrap/>
            <w:vAlign w:val="center"/>
            <w:hideMark/>
          </w:tcPr>
          <w:p w14:paraId="136D9C09"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46.1%</w:t>
            </w:r>
          </w:p>
        </w:tc>
      </w:tr>
      <w:tr w:rsidR="00677577" w:rsidRPr="004273EE" w14:paraId="38448038" w14:textId="77777777">
        <w:trPr>
          <w:trHeight w:val="315"/>
        </w:trPr>
        <w:tc>
          <w:tcPr>
            <w:tcW w:w="1696" w:type="dxa"/>
            <w:tcBorders>
              <w:top w:val="single" w:sz="4" w:space="0" w:color="auto"/>
              <w:left w:val="single" w:sz="4" w:space="0" w:color="auto"/>
              <w:bottom w:val="single" w:sz="4" w:space="0" w:color="auto"/>
              <w:right w:val="single" w:sz="4" w:space="0" w:color="auto"/>
            </w:tcBorders>
            <w:vAlign w:val="center"/>
            <w:hideMark/>
          </w:tcPr>
          <w:p w14:paraId="14E5B8F8" w14:textId="77777777" w:rsidR="00677577" w:rsidRPr="004273EE" w:rsidRDefault="00677577">
            <w:pPr>
              <w:spacing w:after="0"/>
              <w:rPr>
                <w:rFonts w:ascii="Aptos" w:eastAsia="Aptos" w:hAnsi="Aptos" w:cs="Times New Roman"/>
                <w:sz w:val="20"/>
                <w:szCs w:val="20"/>
              </w:rPr>
            </w:pPr>
            <w:r w:rsidRPr="004273EE">
              <w:rPr>
                <w:rFonts w:ascii="Aptos" w:eastAsia="Aptos" w:hAnsi="Aptos" w:cs="Times New Roman"/>
                <w:sz w:val="20"/>
                <w:szCs w:val="20"/>
              </w:rPr>
              <w:t>Approved with undertakings and amendments</w:t>
            </w:r>
          </w:p>
        </w:tc>
        <w:tc>
          <w:tcPr>
            <w:tcW w:w="949" w:type="dxa"/>
            <w:tcBorders>
              <w:top w:val="nil"/>
              <w:left w:val="nil"/>
              <w:bottom w:val="single" w:sz="8" w:space="0" w:color="auto"/>
              <w:right w:val="single" w:sz="8" w:space="0" w:color="auto"/>
            </w:tcBorders>
            <w:shd w:val="clear" w:color="000000" w:fill="FFFFFF"/>
            <w:vAlign w:val="center"/>
            <w:hideMark/>
          </w:tcPr>
          <w:p w14:paraId="4BF5BD5D"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2</w:t>
            </w:r>
          </w:p>
        </w:tc>
        <w:tc>
          <w:tcPr>
            <w:tcW w:w="949" w:type="dxa"/>
            <w:tcBorders>
              <w:top w:val="nil"/>
              <w:left w:val="nil"/>
              <w:bottom w:val="single" w:sz="8" w:space="0" w:color="auto"/>
              <w:right w:val="single" w:sz="8" w:space="0" w:color="auto"/>
            </w:tcBorders>
            <w:shd w:val="clear" w:color="000000" w:fill="FFFFFF"/>
            <w:vAlign w:val="center"/>
            <w:hideMark/>
          </w:tcPr>
          <w:p w14:paraId="2D6E6643"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0.2%</w:t>
            </w:r>
          </w:p>
        </w:tc>
        <w:tc>
          <w:tcPr>
            <w:tcW w:w="949" w:type="dxa"/>
            <w:tcBorders>
              <w:top w:val="nil"/>
              <w:left w:val="nil"/>
              <w:bottom w:val="single" w:sz="8" w:space="0" w:color="auto"/>
              <w:right w:val="single" w:sz="8" w:space="0" w:color="auto"/>
            </w:tcBorders>
            <w:shd w:val="clear" w:color="000000" w:fill="FFFFFF"/>
            <w:vAlign w:val="center"/>
            <w:hideMark/>
          </w:tcPr>
          <w:p w14:paraId="7F55EB22"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0</w:t>
            </w:r>
          </w:p>
        </w:tc>
        <w:tc>
          <w:tcPr>
            <w:tcW w:w="949" w:type="dxa"/>
            <w:tcBorders>
              <w:top w:val="nil"/>
              <w:left w:val="nil"/>
              <w:bottom w:val="single" w:sz="8" w:space="0" w:color="auto"/>
              <w:right w:val="single" w:sz="8" w:space="0" w:color="auto"/>
            </w:tcBorders>
            <w:shd w:val="clear" w:color="000000" w:fill="FFFFFF"/>
            <w:vAlign w:val="center"/>
            <w:hideMark/>
          </w:tcPr>
          <w:p w14:paraId="1E2A6C8B"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0.0%</w:t>
            </w:r>
          </w:p>
        </w:tc>
        <w:tc>
          <w:tcPr>
            <w:tcW w:w="949" w:type="dxa"/>
            <w:tcBorders>
              <w:top w:val="nil"/>
              <w:left w:val="nil"/>
              <w:bottom w:val="single" w:sz="8" w:space="0" w:color="auto"/>
              <w:right w:val="single" w:sz="8" w:space="0" w:color="auto"/>
            </w:tcBorders>
            <w:shd w:val="clear" w:color="000000" w:fill="FFFFFF"/>
            <w:vAlign w:val="center"/>
            <w:hideMark/>
          </w:tcPr>
          <w:p w14:paraId="5C92C744"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44</w:t>
            </w:r>
          </w:p>
        </w:tc>
        <w:tc>
          <w:tcPr>
            <w:tcW w:w="949" w:type="dxa"/>
            <w:tcBorders>
              <w:top w:val="nil"/>
              <w:left w:val="nil"/>
              <w:bottom w:val="single" w:sz="8" w:space="0" w:color="auto"/>
              <w:right w:val="single" w:sz="8" w:space="0" w:color="auto"/>
            </w:tcBorders>
            <w:shd w:val="clear" w:color="000000" w:fill="FFFFFF"/>
            <w:vAlign w:val="center"/>
            <w:hideMark/>
          </w:tcPr>
          <w:p w14:paraId="05F37371"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0.3%</w:t>
            </w:r>
          </w:p>
        </w:tc>
        <w:tc>
          <w:tcPr>
            <w:tcW w:w="949" w:type="dxa"/>
            <w:tcBorders>
              <w:top w:val="nil"/>
              <w:left w:val="nil"/>
              <w:bottom w:val="single" w:sz="8" w:space="0" w:color="auto"/>
              <w:right w:val="single" w:sz="8" w:space="0" w:color="auto"/>
            </w:tcBorders>
            <w:vAlign w:val="center"/>
            <w:hideMark/>
          </w:tcPr>
          <w:p w14:paraId="67A07391"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46</w:t>
            </w:r>
          </w:p>
        </w:tc>
        <w:tc>
          <w:tcPr>
            <w:tcW w:w="949" w:type="dxa"/>
            <w:tcBorders>
              <w:top w:val="nil"/>
              <w:left w:val="nil"/>
              <w:bottom w:val="single" w:sz="8" w:space="0" w:color="auto"/>
              <w:right w:val="single" w:sz="8" w:space="0" w:color="auto"/>
            </w:tcBorders>
            <w:noWrap/>
            <w:vAlign w:val="center"/>
            <w:hideMark/>
          </w:tcPr>
          <w:p w14:paraId="117E6063"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0.3%</w:t>
            </w:r>
          </w:p>
        </w:tc>
      </w:tr>
      <w:tr w:rsidR="00677577" w:rsidRPr="004273EE" w14:paraId="4C9C0DE0" w14:textId="77777777">
        <w:trPr>
          <w:trHeight w:val="315"/>
        </w:trPr>
        <w:tc>
          <w:tcPr>
            <w:tcW w:w="1696" w:type="dxa"/>
            <w:tcBorders>
              <w:top w:val="single" w:sz="4" w:space="0" w:color="auto"/>
              <w:left w:val="single" w:sz="4" w:space="0" w:color="auto"/>
              <w:bottom w:val="single" w:sz="4" w:space="0" w:color="auto"/>
              <w:right w:val="single" w:sz="4" w:space="0" w:color="auto"/>
            </w:tcBorders>
            <w:vAlign w:val="center"/>
            <w:hideMark/>
          </w:tcPr>
          <w:p w14:paraId="36F7BE69" w14:textId="77777777" w:rsidR="00677577" w:rsidRPr="004273EE" w:rsidRDefault="00677577">
            <w:pPr>
              <w:spacing w:after="0"/>
              <w:rPr>
                <w:rFonts w:ascii="Aptos" w:eastAsia="Aptos" w:hAnsi="Aptos" w:cs="Times New Roman"/>
                <w:sz w:val="20"/>
                <w:szCs w:val="20"/>
              </w:rPr>
            </w:pPr>
            <w:r w:rsidRPr="004273EE">
              <w:rPr>
                <w:rFonts w:ascii="Aptos" w:eastAsia="Aptos" w:hAnsi="Aptos" w:cs="Times New Roman"/>
                <w:sz w:val="20"/>
                <w:szCs w:val="20"/>
              </w:rPr>
              <w:t>Not approved</w:t>
            </w:r>
          </w:p>
        </w:tc>
        <w:tc>
          <w:tcPr>
            <w:tcW w:w="949" w:type="dxa"/>
            <w:tcBorders>
              <w:top w:val="nil"/>
              <w:left w:val="nil"/>
              <w:bottom w:val="single" w:sz="8" w:space="0" w:color="auto"/>
              <w:right w:val="single" w:sz="8" w:space="0" w:color="auto"/>
            </w:tcBorders>
            <w:shd w:val="clear" w:color="000000" w:fill="FFFFFF"/>
            <w:vAlign w:val="center"/>
            <w:hideMark/>
          </w:tcPr>
          <w:p w14:paraId="5950825B"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4</w:t>
            </w:r>
          </w:p>
        </w:tc>
        <w:tc>
          <w:tcPr>
            <w:tcW w:w="949" w:type="dxa"/>
            <w:tcBorders>
              <w:top w:val="nil"/>
              <w:left w:val="nil"/>
              <w:bottom w:val="single" w:sz="8" w:space="0" w:color="auto"/>
              <w:right w:val="single" w:sz="8" w:space="0" w:color="auto"/>
            </w:tcBorders>
            <w:shd w:val="clear" w:color="000000" w:fill="FFFFFF"/>
            <w:vAlign w:val="center"/>
            <w:hideMark/>
          </w:tcPr>
          <w:p w14:paraId="00A5D074"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0.4%</w:t>
            </w:r>
          </w:p>
        </w:tc>
        <w:tc>
          <w:tcPr>
            <w:tcW w:w="949" w:type="dxa"/>
            <w:tcBorders>
              <w:top w:val="nil"/>
              <w:left w:val="nil"/>
              <w:bottom w:val="single" w:sz="8" w:space="0" w:color="auto"/>
              <w:right w:val="single" w:sz="8" w:space="0" w:color="auto"/>
            </w:tcBorders>
            <w:shd w:val="clear" w:color="000000" w:fill="FFFFFF"/>
            <w:vAlign w:val="center"/>
            <w:hideMark/>
          </w:tcPr>
          <w:p w14:paraId="743A9B20"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1</w:t>
            </w:r>
          </w:p>
        </w:tc>
        <w:tc>
          <w:tcPr>
            <w:tcW w:w="949" w:type="dxa"/>
            <w:tcBorders>
              <w:top w:val="nil"/>
              <w:left w:val="nil"/>
              <w:bottom w:val="single" w:sz="8" w:space="0" w:color="auto"/>
              <w:right w:val="single" w:sz="8" w:space="0" w:color="auto"/>
            </w:tcBorders>
            <w:shd w:val="clear" w:color="000000" w:fill="FFFFFF"/>
            <w:vAlign w:val="center"/>
            <w:hideMark/>
          </w:tcPr>
          <w:p w14:paraId="075E022E"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0.9%</w:t>
            </w:r>
          </w:p>
        </w:tc>
        <w:tc>
          <w:tcPr>
            <w:tcW w:w="949" w:type="dxa"/>
            <w:tcBorders>
              <w:top w:val="nil"/>
              <w:left w:val="nil"/>
              <w:bottom w:val="single" w:sz="8" w:space="0" w:color="auto"/>
              <w:right w:val="single" w:sz="8" w:space="0" w:color="auto"/>
            </w:tcBorders>
            <w:shd w:val="clear" w:color="000000" w:fill="FFFFFF"/>
            <w:vAlign w:val="center"/>
            <w:hideMark/>
          </w:tcPr>
          <w:p w14:paraId="3C865EC6"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73</w:t>
            </w:r>
          </w:p>
        </w:tc>
        <w:tc>
          <w:tcPr>
            <w:tcW w:w="949" w:type="dxa"/>
            <w:tcBorders>
              <w:top w:val="nil"/>
              <w:left w:val="nil"/>
              <w:bottom w:val="single" w:sz="8" w:space="0" w:color="auto"/>
              <w:right w:val="single" w:sz="8" w:space="0" w:color="auto"/>
            </w:tcBorders>
            <w:shd w:val="clear" w:color="000000" w:fill="FFFFFF"/>
            <w:vAlign w:val="center"/>
            <w:hideMark/>
          </w:tcPr>
          <w:p w14:paraId="09EEB763"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0.5%</w:t>
            </w:r>
          </w:p>
        </w:tc>
        <w:tc>
          <w:tcPr>
            <w:tcW w:w="949" w:type="dxa"/>
            <w:tcBorders>
              <w:top w:val="nil"/>
              <w:left w:val="nil"/>
              <w:bottom w:val="single" w:sz="8" w:space="0" w:color="auto"/>
              <w:right w:val="single" w:sz="8" w:space="0" w:color="auto"/>
            </w:tcBorders>
            <w:vAlign w:val="center"/>
            <w:hideMark/>
          </w:tcPr>
          <w:p w14:paraId="25FE0232"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78</w:t>
            </w:r>
          </w:p>
        </w:tc>
        <w:tc>
          <w:tcPr>
            <w:tcW w:w="949" w:type="dxa"/>
            <w:tcBorders>
              <w:top w:val="nil"/>
              <w:left w:val="nil"/>
              <w:bottom w:val="single" w:sz="8" w:space="0" w:color="auto"/>
              <w:right w:val="single" w:sz="8" w:space="0" w:color="auto"/>
            </w:tcBorders>
            <w:noWrap/>
            <w:vAlign w:val="center"/>
            <w:hideMark/>
          </w:tcPr>
          <w:p w14:paraId="1CA6F89B"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0.5%</w:t>
            </w:r>
          </w:p>
        </w:tc>
      </w:tr>
      <w:tr w:rsidR="00677577" w:rsidRPr="004273EE" w14:paraId="0A2101F2" w14:textId="77777777">
        <w:trPr>
          <w:trHeight w:val="315"/>
        </w:trPr>
        <w:tc>
          <w:tcPr>
            <w:tcW w:w="1696" w:type="dxa"/>
            <w:tcBorders>
              <w:top w:val="single" w:sz="4" w:space="0" w:color="auto"/>
              <w:left w:val="single" w:sz="4" w:space="0" w:color="auto"/>
              <w:bottom w:val="single" w:sz="4" w:space="0" w:color="auto"/>
              <w:right w:val="single" w:sz="4" w:space="0" w:color="auto"/>
            </w:tcBorders>
            <w:vAlign w:val="center"/>
            <w:hideMark/>
          </w:tcPr>
          <w:p w14:paraId="19CD33BA" w14:textId="77777777" w:rsidR="00677577" w:rsidRPr="004273EE" w:rsidRDefault="00677577">
            <w:pPr>
              <w:spacing w:after="0"/>
              <w:rPr>
                <w:rFonts w:ascii="Aptos" w:eastAsia="Aptos" w:hAnsi="Aptos" w:cs="Times New Roman"/>
                <w:sz w:val="20"/>
                <w:szCs w:val="20"/>
              </w:rPr>
            </w:pPr>
            <w:r w:rsidRPr="004273EE">
              <w:rPr>
                <w:rFonts w:ascii="Aptos" w:eastAsia="Aptos" w:hAnsi="Aptos" w:cs="Times New Roman"/>
                <w:sz w:val="20"/>
                <w:szCs w:val="20"/>
              </w:rPr>
              <w:t>Other (includes dismissed and withdrawn)</w:t>
            </w:r>
          </w:p>
        </w:tc>
        <w:tc>
          <w:tcPr>
            <w:tcW w:w="949" w:type="dxa"/>
            <w:tcBorders>
              <w:top w:val="nil"/>
              <w:left w:val="nil"/>
              <w:bottom w:val="single" w:sz="8" w:space="0" w:color="auto"/>
              <w:right w:val="single" w:sz="8" w:space="0" w:color="auto"/>
            </w:tcBorders>
            <w:shd w:val="clear" w:color="000000" w:fill="FFFFFF"/>
            <w:vAlign w:val="center"/>
            <w:hideMark/>
          </w:tcPr>
          <w:p w14:paraId="704628E1"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51</w:t>
            </w:r>
          </w:p>
        </w:tc>
        <w:tc>
          <w:tcPr>
            <w:tcW w:w="949" w:type="dxa"/>
            <w:tcBorders>
              <w:top w:val="nil"/>
              <w:left w:val="nil"/>
              <w:bottom w:val="single" w:sz="8" w:space="0" w:color="auto"/>
              <w:right w:val="single" w:sz="8" w:space="0" w:color="auto"/>
            </w:tcBorders>
            <w:shd w:val="clear" w:color="000000" w:fill="FFFFFF"/>
            <w:vAlign w:val="center"/>
            <w:hideMark/>
          </w:tcPr>
          <w:p w14:paraId="4E9B366D"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4.5%</w:t>
            </w:r>
          </w:p>
        </w:tc>
        <w:tc>
          <w:tcPr>
            <w:tcW w:w="949" w:type="dxa"/>
            <w:tcBorders>
              <w:top w:val="nil"/>
              <w:left w:val="nil"/>
              <w:bottom w:val="single" w:sz="8" w:space="0" w:color="auto"/>
              <w:right w:val="single" w:sz="8" w:space="0" w:color="auto"/>
            </w:tcBorders>
            <w:shd w:val="clear" w:color="000000" w:fill="FFFFFF"/>
            <w:vAlign w:val="center"/>
            <w:hideMark/>
          </w:tcPr>
          <w:p w14:paraId="3383C2A6"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14</w:t>
            </w:r>
          </w:p>
        </w:tc>
        <w:tc>
          <w:tcPr>
            <w:tcW w:w="949" w:type="dxa"/>
            <w:tcBorders>
              <w:top w:val="nil"/>
              <w:left w:val="nil"/>
              <w:bottom w:val="single" w:sz="8" w:space="0" w:color="auto"/>
              <w:right w:val="single" w:sz="8" w:space="0" w:color="auto"/>
            </w:tcBorders>
            <w:shd w:val="clear" w:color="000000" w:fill="FFFFFF"/>
            <w:vAlign w:val="center"/>
            <w:hideMark/>
          </w:tcPr>
          <w:p w14:paraId="60CF25FB"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12.1%</w:t>
            </w:r>
          </w:p>
        </w:tc>
        <w:tc>
          <w:tcPr>
            <w:tcW w:w="949" w:type="dxa"/>
            <w:tcBorders>
              <w:top w:val="nil"/>
              <w:left w:val="nil"/>
              <w:bottom w:val="single" w:sz="8" w:space="0" w:color="auto"/>
              <w:right w:val="single" w:sz="8" w:space="0" w:color="auto"/>
            </w:tcBorders>
            <w:shd w:val="clear" w:color="000000" w:fill="FFFFFF"/>
            <w:vAlign w:val="center"/>
            <w:hideMark/>
          </w:tcPr>
          <w:p w14:paraId="05F0F98F"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537</w:t>
            </w:r>
          </w:p>
        </w:tc>
        <w:tc>
          <w:tcPr>
            <w:tcW w:w="949" w:type="dxa"/>
            <w:tcBorders>
              <w:top w:val="nil"/>
              <w:left w:val="nil"/>
              <w:bottom w:val="single" w:sz="8" w:space="0" w:color="auto"/>
              <w:right w:val="single" w:sz="8" w:space="0" w:color="auto"/>
            </w:tcBorders>
            <w:shd w:val="clear" w:color="000000" w:fill="FFFFFF"/>
            <w:vAlign w:val="center"/>
            <w:hideMark/>
          </w:tcPr>
          <w:p w14:paraId="08A2A198"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3.6%</w:t>
            </w:r>
          </w:p>
        </w:tc>
        <w:tc>
          <w:tcPr>
            <w:tcW w:w="949" w:type="dxa"/>
            <w:tcBorders>
              <w:top w:val="nil"/>
              <w:left w:val="nil"/>
              <w:bottom w:val="single" w:sz="8" w:space="0" w:color="auto"/>
              <w:right w:val="single" w:sz="8" w:space="0" w:color="auto"/>
            </w:tcBorders>
            <w:vAlign w:val="center"/>
            <w:hideMark/>
          </w:tcPr>
          <w:p w14:paraId="621DF200" w14:textId="77777777" w:rsidR="00677577" w:rsidRPr="004273EE" w:rsidRDefault="00677577" w:rsidP="0021216A">
            <w:pPr>
              <w:spacing w:after="0"/>
              <w:jc w:val="right"/>
              <w:rPr>
                <w:rFonts w:ascii="Aptos" w:eastAsia="Aptos" w:hAnsi="Aptos" w:cs="Times New Roman"/>
                <w:sz w:val="20"/>
                <w:szCs w:val="20"/>
                <w:highlight w:val="yellow"/>
              </w:rPr>
            </w:pPr>
            <w:r w:rsidRPr="004273EE">
              <w:rPr>
                <w:rFonts w:ascii="Aptos" w:hAnsi="Aptos"/>
                <w:color w:val="000000"/>
                <w:sz w:val="20"/>
                <w:szCs w:val="20"/>
              </w:rPr>
              <w:t>602</w:t>
            </w:r>
          </w:p>
        </w:tc>
        <w:tc>
          <w:tcPr>
            <w:tcW w:w="949" w:type="dxa"/>
            <w:tcBorders>
              <w:top w:val="nil"/>
              <w:left w:val="nil"/>
              <w:bottom w:val="single" w:sz="8" w:space="0" w:color="auto"/>
              <w:right w:val="single" w:sz="8" w:space="0" w:color="auto"/>
            </w:tcBorders>
            <w:noWrap/>
            <w:vAlign w:val="center"/>
            <w:hideMark/>
          </w:tcPr>
          <w:p w14:paraId="31D9C32A"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3.8%</w:t>
            </w:r>
          </w:p>
        </w:tc>
      </w:tr>
      <w:tr w:rsidR="00677577" w:rsidRPr="004273EE" w14:paraId="52F38A92" w14:textId="77777777">
        <w:trPr>
          <w:trHeight w:val="315"/>
        </w:trPr>
        <w:tc>
          <w:tcPr>
            <w:tcW w:w="1696" w:type="dxa"/>
            <w:tcBorders>
              <w:top w:val="single" w:sz="4" w:space="0" w:color="auto"/>
              <w:left w:val="single" w:sz="4" w:space="0" w:color="auto"/>
              <w:bottom w:val="single" w:sz="4" w:space="0" w:color="auto"/>
              <w:right w:val="single" w:sz="4" w:space="0" w:color="auto"/>
            </w:tcBorders>
            <w:vAlign w:val="center"/>
            <w:hideMark/>
          </w:tcPr>
          <w:p w14:paraId="2F5452AB" w14:textId="77777777" w:rsidR="00677577" w:rsidRPr="004273EE" w:rsidRDefault="00677577">
            <w:pPr>
              <w:spacing w:after="0"/>
              <w:rPr>
                <w:rFonts w:ascii="Aptos" w:eastAsia="Aptos" w:hAnsi="Aptos" w:cs="Times New Roman"/>
                <w:sz w:val="20"/>
                <w:szCs w:val="20"/>
              </w:rPr>
            </w:pPr>
            <w:r w:rsidRPr="004273EE">
              <w:rPr>
                <w:rFonts w:ascii="Aptos" w:eastAsia="Aptos" w:hAnsi="Aptos" w:cs="Times New Roman"/>
                <w:sz w:val="20"/>
                <w:szCs w:val="20"/>
              </w:rPr>
              <w:t>Total</w:t>
            </w:r>
          </w:p>
        </w:tc>
        <w:tc>
          <w:tcPr>
            <w:tcW w:w="949" w:type="dxa"/>
            <w:tcBorders>
              <w:top w:val="nil"/>
              <w:left w:val="nil"/>
              <w:bottom w:val="single" w:sz="8" w:space="0" w:color="auto"/>
              <w:right w:val="single" w:sz="8" w:space="0" w:color="auto"/>
            </w:tcBorders>
            <w:shd w:val="clear" w:color="000000" w:fill="FFFFFF"/>
            <w:vAlign w:val="center"/>
            <w:hideMark/>
          </w:tcPr>
          <w:p w14:paraId="50F434F9"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1,133</w:t>
            </w:r>
          </w:p>
        </w:tc>
        <w:tc>
          <w:tcPr>
            <w:tcW w:w="949" w:type="dxa"/>
            <w:tcBorders>
              <w:top w:val="nil"/>
              <w:left w:val="nil"/>
              <w:bottom w:val="single" w:sz="8" w:space="0" w:color="auto"/>
              <w:right w:val="single" w:sz="8" w:space="0" w:color="auto"/>
            </w:tcBorders>
            <w:shd w:val="clear" w:color="000000" w:fill="FFFFFF"/>
            <w:vAlign w:val="center"/>
            <w:hideMark/>
          </w:tcPr>
          <w:p w14:paraId="43A11FE8"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100%</w:t>
            </w:r>
          </w:p>
        </w:tc>
        <w:tc>
          <w:tcPr>
            <w:tcW w:w="949" w:type="dxa"/>
            <w:tcBorders>
              <w:top w:val="nil"/>
              <w:left w:val="nil"/>
              <w:bottom w:val="single" w:sz="8" w:space="0" w:color="auto"/>
              <w:right w:val="single" w:sz="8" w:space="0" w:color="auto"/>
            </w:tcBorders>
            <w:shd w:val="clear" w:color="000000" w:fill="FFFFFF"/>
            <w:vAlign w:val="center"/>
            <w:hideMark/>
          </w:tcPr>
          <w:p w14:paraId="1751CCE4"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116</w:t>
            </w:r>
          </w:p>
        </w:tc>
        <w:tc>
          <w:tcPr>
            <w:tcW w:w="949" w:type="dxa"/>
            <w:tcBorders>
              <w:top w:val="nil"/>
              <w:left w:val="nil"/>
              <w:bottom w:val="single" w:sz="8" w:space="0" w:color="auto"/>
              <w:right w:val="single" w:sz="8" w:space="0" w:color="auto"/>
            </w:tcBorders>
            <w:shd w:val="clear" w:color="000000" w:fill="FFFFFF"/>
            <w:vAlign w:val="center"/>
            <w:hideMark/>
          </w:tcPr>
          <w:p w14:paraId="382E16DA"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100%</w:t>
            </w:r>
          </w:p>
        </w:tc>
        <w:tc>
          <w:tcPr>
            <w:tcW w:w="949" w:type="dxa"/>
            <w:tcBorders>
              <w:top w:val="nil"/>
              <w:left w:val="nil"/>
              <w:bottom w:val="single" w:sz="8" w:space="0" w:color="auto"/>
              <w:right w:val="single" w:sz="8" w:space="0" w:color="auto"/>
            </w:tcBorders>
            <w:shd w:val="clear" w:color="000000" w:fill="FFFFFF"/>
            <w:vAlign w:val="center"/>
            <w:hideMark/>
          </w:tcPr>
          <w:p w14:paraId="5B2F82BC"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14,740</w:t>
            </w:r>
          </w:p>
        </w:tc>
        <w:tc>
          <w:tcPr>
            <w:tcW w:w="949" w:type="dxa"/>
            <w:tcBorders>
              <w:top w:val="nil"/>
              <w:left w:val="nil"/>
              <w:bottom w:val="single" w:sz="8" w:space="0" w:color="auto"/>
              <w:right w:val="single" w:sz="8" w:space="0" w:color="auto"/>
            </w:tcBorders>
            <w:shd w:val="clear" w:color="000000" w:fill="FFFFFF"/>
            <w:vAlign w:val="center"/>
            <w:hideMark/>
          </w:tcPr>
          <w:p w14:paraId="48B74275"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100%</w:t>
            </w:r>
          </w:p>
        </w:tc>
        <w:tc>
          <w:tcPr>
            <w:tcW w:w="949" w:type="dxa"/>
            <w:tcBorders>
              <w:top w:val="nil"/>
              <w:left w:val="nil"/>
              <w:bottom w:val="single" w:sz="8" w:space="0" w:color="auto"/>
              <w:right w:val="single" w:sz="8" w:space="0" w:color="auto"/>
            </w:tcBorders>
            <w:vAlign w:val="center"/>
            <w:hideMark/>
          </w:tcPr>
          <w:p w14:paraId="397D6C61"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15,989</w:t>
            </w:r>
          </w:p>
        </w:tc>
        <w:tc>
          <w:tcPr>
            <w:tcW w:w="949" w:type="dxa"/>
            <w:tcBorders>
              <w:top w:val="nil"/>
              <w:left w:val="nil"/>
              <w:bottom w:val="single" w:sz="8" w:space="0" w:color="auto"/>
              <w:right w:val="single" w:sz="8" w:space="0" w:color="auto"/>
            </w:tcBorders>
            <w:noWrap/>
            <w:vAlign w:val="center"/>
            <w:hideMark/>
          </w:tcPr>
          <w:p w14:paraId="1BB391F8" w14:textId="77777777" w:rsidR="00677577" w:rsidRPr="004273EE" w:rsidRDefault="00677577" w:rsidP="0021216A">
            <w:pPr>
              <w:spacing w:after="0"/>
              <w:jc w:val="right"/>
              <w:rPr>
                <w:rFonts w:ascii="Aptos" w:eastAsia="Aptos" w:hAnsi="Aptos" w:cs="Times New Roman"/>
                <w:sz w:val="20"/>
                <w:szCs w:val="20"/>
              </w:rPr>
            </w:pPr>
            <w:r w:rsidRPr="004273EE">
              <w:rPr>
                <w:rFonts w:ascii="Aptos" w:hAnsi="Aptos"/>
                <w:color w:val="000000"/>
                <w:sz w:val="20"/>
                <w:szCs w:val="20"/>
              </w:rPr>
              <w:t>100.0%</w:t>
            </w:r>
          </w:p>
        </w:tc>
      </w:tr>
    </w:tbl>
    <w:p w14:paraId="6417D4B6" w14:textId="40A1B681" w:rsidR="00677577" w:rsidRPr="00B45F7C" w:rsidRDefault="00677577" w:rsidP="00677577">
      <w:pPr>
        <w:spacing w:before="120"/>
        <w:rPr>
          <w:rFonts w:ascii="Aptos" w:eastAsia="Aptos" w:hAnsi="Aptos" w:cs="Times New Roman"/>
          <w:sz w:val="18"/>
        </w:rPr>
      </w:pPr>
      <w:r w:rsidRPr="00B45F7C">
        <w:rPr>
          <w:rFonts w:ascii="Aptos" w:eastAsia="Aptos" w:hAnsi="Aptos" w:cs="Times New Roman"/>
          <w:b/>
          <w:bCs/>
          <w:sz w:val="18"/>
        </w:rPr>
        <w:t xml:space="preserve">Source: </w:t>
      </w:r>
      <w:r w:rsidRPr="00B45F7C">
        <w:rPr>
          <w:rFonts w:ascii="Aptos" w:eastAsia="Aptos" w:hAnsi="Aptos" w:cs="Times New Roman"/>
          <w:sz w:val="18"/>
        </w:rPr>
        <w:t xml:space="preserve">Review analysis of data provided by the </w:t>
      </w:r>
      <w:r w:rsidR="0021216A">
        <w:rPr>
          <w:rFonts w:ascii="Aptos" w:eastAsia="Aptos" w:hAnsi="Aptos" w:cs="Times New Roman"/>
          <w:sz w:val="18"/>
        </w:rPr>
        <w:t>Fair Work Commission</w:t>
      </w:r>
      <w:r w:rsidRPr="00B45F7C">
        <w:rPr>
          <w:rFonts w:ascii="Aptos" w:eastAsia="Aptos" w:hAnsi="Aptos" w:cs="Times New Roman"/>
          <w:sz w:val="18"/>
        </w:rPr>
        <w:t xml:space="preserve">, July 2021 – </w:t>
      </w:r>
      <w:r>
        <w:rPr>
          <w:rFonts w:ascii="Aptos" w:eastAsia="Aptos" w:hAnsi="Aptos" w:cs="Times New Roman"/>
          <w:sz w:val="18"/>
        </w:rPr>
        <w:t>December</w:t>
      </w:r>
      <w:r w:rsidRPr="00B45F7C">
        <w:rPr>
          <w:rFonts w:ascii="Aptos" w:eastAsia="Aptos" w:hAnsi="Aptos" w:cs="Times New Roman"/>
          <w:sz w:val="18"/>
        </w:rPr>
        <w:t xml:space="preserve"> 2024.</w:t>
      </w:r>
    </w:p>
    <w:p w14:paraId="47870074" w14:textId="77777777" w:rsidR="00677577" w:rsidRPr="00B45F7C" w:rsidRDefault="00677577" w:rsidP="00677577">
      <w:pPr>
        <w:rPr>
          <w:rFonts w:ascii="Aptos" w:eastAsia="Aptos" w:hAnsi="Aptos" w:cs="Times New Roman"/>
          <w:b/>
          <w:iCs/>
          <w:color w:val="404246"/>
          <w:szCs w:val="18"/>
        </w:rPr>
      </w:pPr>
      <w:r w:rsidRPr="00B45F7C">
        <w:rPr>
          <w:rFonts w:ascii="Aptos" w:eastAsia="Aptos" w:hAnsi="Aptos" w:cs="Times New Roman"/>
        </w:rPr>
        <w:br w:type="page"/>
      </w:r>
    </w:p>
    <w:p w14:paraId="21292DE6" w14:textId="4E2FFF30" w:rsidR="00677577" w:rsidRPr="00B45F7C" w:rsidRDefault="00844718" w:rsidP="00983357">
      <w:pPr>
        <w:pStyle w:val="Caption"/>
      </w:pPr>
      <w:bookmarkStart w:id="1065" w:name="_Toc189310891"/>
      <w:bookmarkStart w:id="1066" w:name="_Toc194251492"/>
      <w:r>
        <w:t xml:space="preserve">Table </w:t>
      </w:r>
      <w:r>
        <w:fldChar w:fldCharType="begin"/>
      </w:r>
      <w:r>
        <w:instrText xml:space="preserve"> SEQ Table \* ARABIC </w:instrText>
      </w:r>
      <w:r>
        <w:fldChar w:fldCharType="separate"/>
      </w:r>
      <w:r w:rsidR="00DE5F5E">
        <w:rPr>
          <w:noProof/>
        </w:rPr>
        <w:t>68</w:t>
      </w:r>
      <w:r>
        <w:fldChar w:fldCharType="end"/>
      </w:r>
      <w:r>
        <w:t xml:space="preserve">: </w:t>
      </w:r>
      <w:r w:rsidR="00677577" w:rsidRPr="00B45F7C">
        <w:t xml:space="preserve">Outcomes of enterprise agreement approval application, by </w:t>
      </w:r>
      <w:r w:rsidR="00677577">
        <w:t>calendar</w:t>
      </w:r>
      <w:r w:rsidR="00677577" w:rsidRPr="00B45F7C">
        <w:t xml:space="preserve"> year, 202</w:t>
      </w:r>
      <w:r w:rsidR="00677577">
        <w:t>2</w:t>
      </w:r>
      <w:r w:rsidR="00677577" w:rsidRPr="00B45F7C">
        <w:t xml:space="preserve"> to 2024</w:t>
      </w:r>
      <w:bookmarkEnd w:id="1065"/>
      <w:bookmarkEnd w:id="1066"/>
    </w:p>
    <w:tbl>
      <w:tblPr>
        <w:tblStyle w:val="TableGrid1"/>
        <w:tblW w:w="0" w:type="auto"/>
        <w:tblLayout w:type="fixed"/>
        <w:tblLook w:val="04A0" w:firstRow="1" w:lastRow="0" w:firstColumn="1" w:lastColumn="0" w:noHBand="0" w:noVBand="1"/>
      </w:tblPr>
      <w:tblGrid>
        <w:gridCol w:w="2122"/>
        <w:gridCol w:w="1149"/>
        <w:gridCol w:w="1149"/>
        <w:gridCol w:w="1149"/>
        <w:gridCol w:w="1149"/>
        <w:gridCol w:w="1149"/>
        <w:gridCol w:w="1149"/>
      </w:tblGrid>
      <w:tr w:rsidR="00677577" w:rsidRPr="00FD4F1B" w14:paraId="2339454B" w14:textId="77777777">
        <w:trPr>
          <w:cnfStyle w:val="100000000000" w:firstRow="1" w:lastRow="0" w:firstColumn="0" w:lastColumn="0" w:oddVBand="0" w:evenVBand="0" w:oddHBand="0" w:evenHBand="0" w:firstRowFirstColumn="0" w:firstRowLastColumn="0" w:lastRowFirstColumn="0" w:lastRowLastColumn="0"/>
        </w:trPr>
        <w:tc>
          <w:tcPr>
            <w:tcW w:w="2122" w:type="dxa"/>
            <w:vMerge w:val="restart"/>
          </w:tcPr>
          <w:p w14:paraId="43D281A2" w14:textId="77777777" w:rsidR="00677577" w:rsidRPr="00983357" w:rsidRDefault="00677577">
            <w:pPr>
              <w:rPr>
                <w:b/>
                <w:sz w:val="20"/>
                <w:szCs w:val="20"/>
              </w:rPr>
            </w:pPr>
            <w:r w:rsidRPr="00983357">
              <w:rPr>
                <w:b/>
                <w:sz w:val="20"/>
                <w:szCs w:val="20"/>
              </w:rPr>
              <w:t>Result</w:t>
            </w:r>
          </w:p>
        </w:tc>
        <w:tc>
          <w:tcPr>
            <w:tcW w:w="2298" w:type="dxa"/>
            <w:gridSpan w:val="2"/>
          </w:tcPr>
          <w:p w14:paraId="7DC3FCB7" w14:textId="77777777" w:rsidR="00677577" w:rsidRPr="00983357" w:rsidRDefault="00677577">
            <w:pPr>
              <w:jc w:val="center"/>
              <w:rPr>
                <w:b/>
                <w:sz w:val="20"/>
                <w:szCs w:val="20"/>
              </w:rPr>
            </w:pPr>
            <w:r w:rsidRPr="00983357">
              <w:rPr>
                <w:b/>
                <w:sz w:val="20"/>
                <w:szCs w:val="20"/>
              </w:rPr>
              <w:t>2022</w:t>
            </w:r>
          </w:p>
        </w:tc>
        <w:tc>
          <w:tcPr>
            <w:tcW w:w="2298" w:type="dxa"/>
            <w:gridSpan w:val="2"/>
          </w:tcPr>
          <w:p w14:paraId="62C2E2A7" w14:textId="77777777" w:rsidR="00677577" w:rsidRPr="00983357" w:rsidRDefault="00677577">
            <w:pPr>
              <w:jc w:val="center"/>
              <w:rPr>
                <w:b/>
                <w:sz w:val="20"/>
                <w:szCs w:val="20"/>
              </w:rPr>
            </w:pPr>
            <w:r w:rsidRPr="00983357">
              <w:rPr>
                <w:b/>
                <w:sz w:val="20"/>
                <w:szCs w:val="20"/>
              </w:rPr>
              <w:t>2023</w:t>
            </w:r>
          </w:p>
        </w:tc>
        <w:tc>
          <w:tcPr>
            <w:tcW w:w="2298" w:type="dxa"/>
            <w:gridSpan w:val="2"/>
          </w:tcPr>
          <w:p w14:paraId="697E0957" w14:textId="77777777" w:rsidR="00677577" w:rsidRPr="00983357" w:rsidRDefault="00677577">
            <w:pPr>
              <w:jc w:val="center"/>
              <w:rPr>
                <w:b/>
                <w:sz w:val="20"/>
                <w:szCs w:val="20"/>
              </w:rPr>
            </w:pPr>
            <w:r w:rsidRPr="00983357">
              <w:rPr>
                <w:b/>
                <w:sz w:val="20"/>
                <w:szCs w:val="20"/>
              </w:rPr>
              <w:t>2024</w:t>
            </w:r>
          </w:p>
        </w:tc>
      </w:tr>
      <w:tr w:rsidR="00677577" w:rsidRPr="00FD4F1B" w14:paraId="5715D3CD" w14:textId="77777777">
        <w:tc>
          <w:tcPr>
            <w:tcW w:w="2122" w:type="dxa"/>
            <w:vMerge/>
          </w:tcPr>
          <w:p w14:paraId="67241D4B" w14:textId="77777777" w:rsidR="00677577" w:rsidRPr="00983357" w:rsidRDefault="00677577">
            <w:pPr>
              <w:rPr>
                <w:b/>
                <w:sz w:val="20"/>
                <w:szCs w:val="20"/>
              </w:rPr>
            </w:pPr>
          </w:p>
        </w:tc>
        <w:tc>
          <w:tcPr>
            <w:tcW w:w="1149" w:type="dxa"/>
          </w:tcPr>
          <w:p w14:paraId="6F84B849" w14:textId="77777777" w:rsidR="00677577" w:rsidRPr="00983357" w:rsidRDefault="00677577" w:rsidP="00983357">
            <w:pPr>
              <w:jc w:val="right"/>
              <w:rPr>
                <w:b/>
                <w:sz w:val="20"/>
                <w:szCs w:val="20"/>
              </w:rPr>
            </w:pPr>
            <w:r w:rsidRPr="00983357">
              <w:rPr>
                <w:b/>
                <w:sz w:val="20"/>
                <w:szCs w:val="20"/>
              </w:rPr>
              <w:t>Count</w:t>
            </w:r>
          </w:p>
        </w:tc>
        <w:tc>
          <w:tcPr>
            <w:tcW w:w="1149" w:type="dxa"/>
          </w:tcPr>
          <w:p w14:paraId="519EB3E4" w14:textId="77777777" w:rsidR="00677577" w:rsidRPr="00983357" w:rsidRDefault="00677577" w:rsidP="00983357">
            <w:pPr>
              <w:jc w:val="right"/>
              <w:rPr>
                <w:b/>
                <w:sz w:val="20"/>
                <w:szCs w:val="20"/>
              </w:rPr>
            </w:pPr>
            <w:r w:rsidRPr="00983357">
              <w:rPr>
                <w:b/>
                <w:sz w:val="20"/>
                <w:szCs w:val="20"/>
              </w:rPr>
              <w:t>%</w:t>
            </w:r>
          </w:p>
        </w:tc>
        <w:tc>
          <w:tcPr>
            <w:tcW w:w="1149" w:type="dxa"/>
          </w:tcPr>
          <w:p w14:paraId="506816E8" w14:textId="77777777" w:rsidR="00677577" w:rsidRPr="00983357" w:rsidRDefault="00677577" w:rsidP="00983357">
            <w:pPr>
              <w:jc w:val="right"/>
              <w:rPr>
                <w:b/>
                <w:sz w:val="20"/>
                <w:szCs w:val="20"/>
              </w:rPr>
            </w:pPr>
            <w:r w:rsidRPr="00983357">
              <w:rPr>
                <w:b/>
                <w:sz w:val="20"/>
                <w:szCs w:val="20"/>
              </w:rPr>
              <w:t>Count</w:t>
            </w:r>
          </w:p>
        </w:tc>
        <w:tc>
          <w:tcPr>
            <w:tcW w:w="1149" w:type="dxa"/>
          </w:tcPr>
          <w:p w14:paraId="44439D65" w14:textId="77777777" w:rsidR="00677577" w:rsidRPr="00983357" w:rsidRDefault="00677577" w:rsidP="00983357">
            <w:pPr>
              <w:jc w:val="right"/>
              <w:rPr>
                <w:b/>
                <w:sz w:val="20"/>
                <w:szCs w:val="20"/>
              </w:rPr>
            </w:pPr>
            <w:r w:rsidRPr="00983357">
              <w:rPr>
                <w:b/>
                <w:sz w:val="20"/>
                <w:szCs w:val="20"/>
              </w:rPr>
              <w:t>%</w:t>
            </w:r>
          </w:p>
        </w:tc>
        <w:tc>
          <w:tcPr>
            <w:tcW w:w="1149" w:type="dxa"/>
          </w:tcPr>
          <w:p w14:paraId="70FA00BB" w14:textId="77777777" w:rsidR="00677577" w:rsidRPr="00983357" w:rsidRDefault="00677577" w:rsidP="00983357">
            <w:pPr>
              <w:jc w:val="right"/>
              <w:rPr>
                <w:b/>
                <w:sz w:val="20"/>
                <w:szCs w:val="20"/>
              </w:rPr>
            </w:pPr>
            <w:r w:rsidRPr="00983357">
              <w:rPr>
                <w:b/>
                <w:sz w:val="20"/>
                <w:szCs w:val="20"/>
              </w:rPr>
              <w:t>Count</w:t>
            </w:r>
          </w:p>
        </w:tc>
        <w:tc>
          <w:tcPr>
            <w:tcW w:w="1149" w:type="dxa"/>
          </w:tcPr>
          <w:p w14:paraId="41FB0C5B" w14:textId="77777777" w:rsidR="00677577" w:rsidRPr="00983357" w:rsidRDefault="00677577" w:rsidP="00983357">
            <w:pPr>
              <w:jc w:val="right"/>
              <w:rPr>
                <w:b/>
                <w:sz w:val="20"/>
                <w:szCs w:val="20"/>
              </w:rPr>
            </w:pPr>
            <w:r w:rsidRPr="00983357">
              <w:rPr>
                <w:b/>
                <w:sz w:val="20"/>
                <w:szCs w:val="20"/>
              </w:rPr>
              <w:t>%</w:t>
            </w:r>
          </w:p>
        </w:tc>
      </w:tr>
      <w:tr w:rsidR="00677577" w:rsidRPr="00FD4F1B" w14:paraId="337975BA" w14:textId="77777777">
        <w:tc>
          <w:tcPr>
            <w:tcW w:w="2122" w:type="dxa"/>
          </w:tcPr>
          <w:p w14:paraId="7B6B4A04" w14:textId="77777777" w:rsidR="00677577" w:rsidRPr="00983357" w:rsidRDefault="00677577">
            <w:pPr>
              <w:rPr>
                <w:sz w:val="20"/>
                <w:szCs w:val="20"/>
              </w:rPr>
            </w:pPr>
            <w:r w:rsidRPr="00983357">
              <w:rPr>
                <w:sz w:val="20"/>
                <w:szCs w:val="20"/>
              </w:rPr>
              <w:t>Approved without undertakings or amendments</w:t>
            </w:r>
          </w:p>
        </w:tc>
        <w:tc>
          <w:tcPr>
            <w:tcW w:w="1149" w:type="dxa"/>
            <w:vAlign w:val="center"/>
          </w:tcPr>
          <w:p w14:paraId="5E0386E5" w14:textId="77777777" w:rsidR="00677577" w:rsidRPr="00983357" w:rsidRDefault="00677577" w:rsidP="0021216A">
            <w:pPr>
              <w:jc w:val="right"/>
              <w:rPr>
                <w:sz w:val="20"/>
                <w:szCs w:val="20"/>
              </w:rPr>
            </w:pPr>
            <w:r w:rsidRPr="00983357">
              <w:rPr>
                <w:rFonts w:ascii="Aptos Narrow" w:hAnsi="Aptos Narrow"/>
                <w:color w:val="000000"/>
                <w:sz w:val="20"/>
                <w:szCs w:val="20"/>
              </w:rPr>
              <w:t>1,902</w:t>
            </w:r>
          </w:p>
        </w:tc>
        <w:tc>
          <w:tcPr>
            <w:tcW w:w="1149" w:type="dxa"/>
            <w:vAlign w:val="center"/>
          </w:tcPr>
          <w:p w14:paraId="485ADA61" w14:textId="77777777" w:rsidR="00677577" w:rsidRPr="00983357" w:rsidRDefault="00677577" w:rsidP="0021216A">
            <w:pPr>
              <w:jc w:val="right"/>
              <w:rPr>
                <w:sz w:val="20"/>
                <w:szCs w:val="20"/>
              </w:rPr>
            </w:pPr>
            <w:r w:rsidRPr="00983357">
              <w:rPr>
                <w:rFonts w:ascii="Aptos Narrow" w:hAnsi="Aptos Narrow"/>
                <w:color w:val="000000"/>
                <w:sz w:val="20"/>
                <w:szCs w:val="20"/>
              </w:rPr>
              <w:t>45.7%</w:t>
            </w:r>
          </w:p>
        </w:tc>
        <w:tc>
          <w:tcPr>
            <w:tcW w:w="1149" w:type="dxa"/>
            <w:vAlign w:val="center"/>
          </w:tcPr>
          <w:p w14:paraId="60789740" w14:textId="77777777" w:rsidR="00677577" w:rsidRPr="00983357" w:rsidRDefault="00677577" w:rsidP="0021216A">
            <w:pPr>
              <w:jc w:val="right"/>
              <w:rPr>
                <w:sz w:val="20"/>
                <w:szCs w:val="20"/>
              </w:rPr>
            </w:pPr>
            <w:r w:rsidRPr="00983357">
              <w:rPr>
                <w:rFonts w:ascii="Aptos Narrow" w:hAnsi="Aptos Narrow"/>
                <w:color w:val="000000"/>
                <w:sz w:val="20"/>
                <w:szCs w:val="20"/>
              </w:rPr>
              <w:t>2,183</w:t>
            </w:r>
          </w:p>
        </w:tc>
        <w:tc>
          <w:tcPr>
            <w:tcW w:w="1149" w:type="dxa"/>
            <w:vAlign w:val="center"/>
          </w:tcPr>
          <w:p w14:paraId="0D4F4E31" w14:textId="77777777" w:rsidR="00677577" w:rsidRPr="00983357" w:rsidRDefault="00677577" w:rsidP="0021216A">
            <w:pPr>
              <w:jc w:val="right"/>
              <w:rPr>
                <w:sz w:val="20"/>
                <w:szCs w:val="20"/>
              </w:rPr>
            </w:pPr>
            <w:r w:rsidRPr="00983357">
              <w:rPr>
                <w:rFonts w:ascii="Aptos Narrow" w:hAnsi="Aptos Narrow"/>
                <w:color w:val="000000"/>
                <w:sz w:val="20"/>
                <w:szCs w:val="20"/>
              </w:rPr>
              <w:t>49.1%</w:t>
            </w:r>
          </w:p>
        </w:tc>
        <w:tc>
          <w:tcPr>
            <w:tcW w:w="1149" w:type="dxa"/>
            <w:vAlign w:val="center"/>
          </w:tcPr>
          <w:p w14:paraId="36775C68" w14:textId="77777777" w:rsidR="00677577" w:rsidRPr="00983357" w:rsidRDefault="00677577" w:rsidP="0021216A">
            <w:pPr>
              <w:jc w:val="right"/>
              <w:rPr>
                <w:sz w:val="20"/>
                <w:szCs w:val="20"/>
              </w:rPr>
            </w:pPr>
            <w:r w:rsidRPr="00983357">
              <w:rPr>
                <w:rFonts w:ascii="Aptos Narrow" w:hAnsi="Aptos Narrow"/>
                <w:color w:val="000000"/>
                <w:sz w:val="20"/>
                <w:szCs w:val="20"/>
              </w:rPr>
              <w:t>2,372</w:t>
            </w:r>
          </w:p>
        </w:tc>
        <w:tc>
          <w:tcPr>
            <w:tcW w:w="1149" w:type="dxa"/>
            <w:vAlign w:val="center"/>
          </w:tcPr>
          <w:p w14:paraId="1C20DAE0" w14:textId="77777777" w:rsidR="00677577" w:rsidRPr="00983357" w:rsidRDefault="00677577" w:rsidP="0021216A">
            <w:pPr>
              <w:jc w:val="right"/>
              <w:rPr>
                <w:sz w:val="20"/>
                <w:szCs w:val="20"/>
              </w:rPr>
            </w:pPr>
            <w:r w:rsidRPr="00983357">
              <w:rPr>
                <w:rFonts w:ascii="Aptos Narrow" w:hAnsi="Aptos Narrow"/>
                <w:color w:val="000000"/>
                <w:sz w:val="20"/>
                <w:szCs w:val="20"/>
              </w:rPr>
              <w:t>51.3%</w:t>
            </w:r>
          </w:p>
        </w:tc>
      </w:tr>
      <w:tr w:rsidR="00677577" w:rsidRPr="00FD4F1B" w14:paraId="140EFC90" w14:textId="77777777">
        <w:tc>
          <w:tcPr>
            <w:tcW w:w="2122" w:type="dxa"/>
          </w:tcPr>
          <w:p w14:paraId="55A63CCE" w14:textId="77777777" w:rsidR="00677577" w:rsidRPr="00983357" w:rsidRDefault="00677577">
            <w:pPr>
              <w:rPr>
                <w:sz w:val="20"/>
                <w:szCs w:val="20"/>
              </w:rPr>
            </w:pPr>
            <w:r w:rsidRPr="00983357">
              <w:rPr>
                <w:sz w:val="20"/>
                <w:szCs w:val="20"/>
              </w:rPr>
              <w:t>Approved with amendments</w:t>
            </w:r>
          </w:p>
        </w:tc>
        <w:tc>
          <w:tcPr>
            <w:tcW w:w="1149" w:type="dxa"/>
            <w:vAlign w:val="center"/>
          </w:tcPr>
          <w:p w14:paraId="65779BAD" w14:textId="77777777" w:rsidR="00677577" w:rsidRPr="00983357" w:rsidRDefault="00677577" w:rsidP="0021216A">
            <w:pPr>
              <w:jc w:val="right"/>
              <w:rPr>
                <w:sz w:val="20"/>
                <w:szCs w:val="20"/>
              </w:rPr>
            </w:pPr>
            <w:r w:rsidRPr="00983357">
              <w:rPr>
                <w:rFonts w:ascii="Aptos Narrow" w:hAnsi="Aptos Narrow"/>
                <w:color w:val="000000"/>
                <w:sz w:val="20"/>
                <w:szCs w:val="20"/>
              </w:rPr>
              <w:t>0</w:t>
            </w:r>
          </w:p>
        </w:tc>
        <w:tc>
          <w:tcPr>
            <w:tcW w:w="1149" w:type="dxa"/>
            <w:vAlign w:val="center"/>
          </w:tcPr>
          <w:p w14:paraId="389C2AD1" w14:textId="77777777" w:rsidR="00677577" w:rsidRPr="00983357" w:rsidRDefault="00677577" w:rsidP="0021216A">
            <w:pPr>
              <w:jc w:val="right"/>
              <w:rPr>
                <w:sz w:val="20"/>
                <w:szCs w:val="20"/>
              </w:rPr>
            </w:pPr>
            <w:r w:rsidRPr="00983357">
              <w:rPr>
                <w:rFonts w:ascii="Aptos Narrow" w:hAnsi="Aptos Narrow"/>
                <w:color w:val="000000"/>
                <w:sz w:val="20"/>
                <w:szCs w:val="20"/>
              </w:rPr>
              <w:t>0.0%</w:t>
            </w:r>
          </w:p>
        </w:tc>
        <w:tc>
          <w:tcPr>
            <w:tcW w:w="1149" w:type="dxa"/>
            <w:vAlign w:val="center"/>
          </w:tcPr>
          <w:p w14:paraId="5A236E23" w14:textId="77777777" w:rsidR="00677577" w:rsidRPr="00983357" w:rsidRDefault="00677577" w:rsidP="0021216A">
            <w:pPr>
              <w:jc w:val="right"/>
              <w:rPr>
                <w:sz w:val="20"/>
                <w:szCs w:val="20"/>
              </w:rPr>
            </w:pPr>
            <w:r w:rsidRPr="00983357">
              <w:rPr>
                <w:rFonts w:ascii="Aptos Narrow" w:hAnsi="Aptos Narrow"/>
                <w:color w:val="000000"/>
                <w:sz w:val="20"/>
                <w:szCs w:val="20"/>
              </w:rPr>
              <w:t>13</w:t>
            </w:r>
          </w:p>
        </w:tc>
        <w:tc>
          <w:tcPr>
            <w:tcW w:w="1149" w:type="dxa"/>
            <w:vAlign w:val="center"/>
          </w:tcPr>
          <w:p w14:paraId="1C45293B" w14:textId="77777777" w:rsidR="00677577" w:rsidRPr="00983357" w:rsidRDefault="00677577" w:rsidP="0021216A">
            <w:pPr>
              <w:jc w:val="right"/>
              <w:rPr>
                <w:sz w:val="20"/>
                <w:szCs w:val="20"/>
              </w:rPr>
            </w:pPr>
            <w:r w:rsidRPr="00983357">
              <w:rPr>
                <w:rFonts w:ascii="Aptos Narrow" w:hAnsi="Aptos Narrow"/>
                <w:color w:val="000000"/>
                <w:sz w:val="20"/>
                <w:szCs w:val="20"/>
              </w:rPr>
              <w:t>0.3%</w:t>
            </w:r>
          </w:p>
        </w:tc>
        <w:tc>
          <w:tcPr>
            <w:tcW w:w="1149" w:type="dxa"/>
            <w:vAlign w:val="center"/>
          </w:tcPr>
          <w:p w14:paraId="244B8138" w14:textId="77777777" w:rsidR="00677577" w:rsidRPr="00983357" w:rsidRDefault="00677577" w:rsidP="0021216A">
            <w:pPr>
              <w:jc w:val="right"/>
              <w:rPr>
                <w:sz w:val="20"/>
                <w:szCs w:val="20"/>
              </w:rPr>
            </w:pPr>
            <w:r w:rsidRPr="00983357">
              <w:rPr>
                <w:rFonts w:ascii="Aptos Narrow" w:hAnsi="Aptos Narrow"/>
                <w:color w:val="000000"/>
                <w:sz w:val="20"/>
                <w:szCs w:val="20"/>
              </w:rPr>
              <w:t>21</w:t>
            </w:r>
          </w:p>
        </w:tc>
        <w:tc>
          <w:tcPr>
            <w:tcW w:w="1149" w:type="dxa"/>
            <w:vAlign w:val="center"/>
          </w:tcPr>
          <w:p w14:paraId="7FA91170" w14:textId="77777777" w:rsidR="00677577" w:rsidRPr="00983357" w:rsidRDefault="00677577" w:rsidP="0021216A">
            <w:pPr>
              <w:jc w:val="right"/>
              <w:rPr>
                <w:sz w:val="20"/>
                <w:szCs w:val="20"/>
              </w:rPr>
            </w:pPr>
            <w:r w:rsidRPr="00983357">
              <w:rPr>
                <w:rFonts w:ascii="Aptos Narrow" w:hAnsi="Aptos Narrow"/>
                <w:color w:val="000000"/>
                <w:sz w:val="20"/>
                <w:szCs w:val="20"/>
              </w:rPr>
              <w:t>0.5%</w:t>
            </w:r>
          </w:p>
        </w:tc>
      </w:tr>
      <w:tr w:rsidR="00677577" w:rsidRPr="00FD4F1B" w14:paraId="3B7BACD3" w14:textId="77777777">
        <w:tc>
          <w:tcPr>
            <w:tcW w:w="2122" w:type="dxa"/>
          </w:tcPr>
          <w:p w14:paraId="1DFBD1FE" w14:textId="77777777" w:rsidR="00677577" w:rsidRPr="00983357" w:rsidRDefault="00677577">
            <w:pPr>
              <w:rPr>
                <w:sz w:val="20"/>
                <w:szCs w:val="20"/>
              </w:rPr>
            </w:pPr>
            <w:r w:rsidRPr="00983357">
              <w:rPr>
                <w:sz w:val="20"/>
                <w:szCs w:val="20"/>
              </w:rPr>
              <w:t>Approved with undertakings</w:t>
            </w:r>
          </w:p>
        </w:tc>
        <w:tc>
          <w:tcPr>
            <w:tcW w:w="1149" w:type="dxa"/>
            <w:vAlign w:val="center"/>
          </w:tcPr>
          <w:p w14:paraId="60B3C128" w14:textId="77777777" w:rsidR="00677577" w:rsidRPr="00983357" w:rsidRDefault="00677577" w:rsidP="0021216A">
            <w:pPr>
              <w:jc w:val="right"/>
              <w:rPr>
                <w:sz w:val="20"/>
                <w:szCs w:val="20"/>
              </w:rPr>
            </w:pPr>
            <w:r w:rsidRPr="00983357">
              <w:rPr>
                <w:rFonts w:ascii="Aptos Narrow" w:hAnsi="Aptos Narrow"/>
                <w:color w:val="000000"/>
                <w:sz w:val="20"/>
                <w:szCs w:val="20"/>
              </w:rPr>
              <w:t>2,132</w:t>
            </w:r>
          </w:p>
        </w:tc>
        <w:tc>
          <w:tcPr>
            <w:tcW w:w="1149" w:type="dxa"/>
            <w:vAlign w:val="center"/>
          </w:tcPr>
          <w:p w14:paraId="6B060B19" w14:textId="77777777" w:rsidR="00677577" w:rsidRPr="00983357" w:rsidRDefault="00677577" w:rsidP="0021216A">
            <w:pPr>
              <w:jc w:val="right"/>
              <w:rPr>
                <w:sz w:val="20"/>
                <w:szCs w:val="20"/>
              </w:rPr>
            </w:pPr>
            <w:r w:rsidRPr="00983357">
              <w:rPr>
                <w:rFonts w:ascii="Aptos Narrow" w:hAnsi="Aptos Narrow"/>
                <w:color w:val="000000"/>
                <w:sz w:val="20"/>
                <w:szCs w:val="20"/>
              </w:rPr>
              <w:t>51.2%</w:t>
            </w:r>
          </w:p>
        </w:tc>
        <w:tc>
          <w:tcPr>
            <w:tcW w:w="1149" w:type="dxa"/>
            <w:vAlign w:val="center"/>
          </w:tcPr>
          <w:p w14:paraId="61E4A9AD" w14:textId="77777777" w:rsidR="00677577" w:rsidRPr="00983357" w:rsidRDefault="00677577" w:rsidP="0021216A">
            <w:pPr>
              <w:jc w:val="right"/>
              <w:rPr>
                <w:sz w:val="20"/>
                <w:szCs w:val="20"/>
              </w:rPr>
            </w:pPr>
            <w:r w:rsidRPr="00983357">
              <w:rPr>
                <w:rFonts w:ascii="Aptos Narrow" w:hAnsi="Aptos Narrow"/>
                <w:color w:val="000000"/>
                <w:sz w:val="20"/>
                <w:szCs w:val="20"/>
              </w:rPr>
              <w:t>2,027</w:t>
            </w:r>
          </w:p>
        </w:tc>
        <w:tc>
          <w:tcPr>
            <w:tcW w:w="1149" w:type="dxa"/>
            <w:vAlign w:val="center"/>
          </w:tcPr>
          <w:p w14:paraId="1C4E4BC2" w14:textId="77777777" w:rsidR="00677577" w:rsidRPr="00983357" w:rsidRDefault="00677577" w:rsidP="0021216A">
            <w:pPr>
              <w:jc w:val="right"/>
              <w:rPr>
                <w:sz w:val="20"/>
                <w:szCs w:val="20"/>
              </w:rPr>
            </w:pPr>
            <w:r w:rsidRPr="00983357">
              <w:rPr>
                <w:rFonts w:ascii="Aptos Narrow" w:hAnsi="Aptos Narrow"/>
                <w:color w:val="000000"/>
                <w:sz w:val="20"/>
                <w:szCs w:val="20"/>
              </w:rPr>
              <w:t>45.6%</w:t>
            </w:r>
          </w:p>
        </w:tc>
        <w:tc>
          <w:tcPr>
            <w:tcW w:w="1149" w:type="dxa"/>
            <w:vAlign w:val="center"/>
          </w:tcPr>
          <w:p w14:paraId="02BD1943" w14:textId="77777777" w:rsidR="00677577" w:rsidRPr="00983357" w:rsidRDefault="00677577" w:rsidP="0021216A">
            <w:pPr>
              <w:jc w:val="right"/>
              <w:rPr>
                <w:sz w:val="20"/>
                <w:szCs w:val="20"/>
              </w:rPr>
            </w:pPr>
            <w:r w:rsidRPr="00983357">
              <w:rPr>
                <w:rFonts w:ascii="Aptos Narrow" w:hAnsi="Aptos Narrow"/>
                <w:color w:val="000000"/>
                <w:sz w:val="20"/>
                <w:szCs w:val="20"/>
              </w:rPr>
              <w:t>1,955</w:t>
            </w:r>
          </w:p>
        </w:tc>
        <w:tc>
          <w:tcPr>
            <w:tcW w:w="1149" w:type="dxa"/>
            <w:vAlign w:val="center"/>
          </w:tcPr>
          <w:p w14:paraId="2B7ED344" w14:textId="77777777" w:rsidR="00677577" w:rsidRPr="00983357" w:rsidRDefault="00677577" w:rsidP="0021216A">
            <w:pPr>
              <w:jc w:val="right"/>
              <w:rPr>
                <w:sz w:val="20"/>
                <w:szCs w:val="20"/>
              </w:rPr>
            </w:pPr>
            <w:r w:rsidRPr="00983357">
              <w:rPr>
                <w:rFonts w:ascii="Aptos Narrow" w:hAnsi="Aptos Narrow"/>
                <w:color w:val="000000"/>
                <w:sz w:val="20"/>
                <w:szCs w:val="20"/>
              </w:rPr>
              <w:t>42.3%</w:t>
            </w:r>
          </w:p>
        </w:tc>
      </w:tr>
      <w:tr w:rsidR="00677577" w:rsidRPr="00FD4F1B" w14:paraId="47E586F9" w14:textId="77777777">
        <w:tc>
          <w:tcPr>
            <w:tcW w:w="2122" w:type="dxa"/>
          </w:tcPr>
          <w:p w14:paraId="12A1F252" w14:textId="77777777" w:rsidR="00677577" w:rsidRPr="00983357" w:rsidRDefault="00677577">
            <w:pPr>
              <w:rPr>
                <w:sz w:val="20"/>
                <w:szCs w:val="20"/>
              </w:rPr>
            </w:pPr>
            <w:r w:rsidRPr="00983357">
              <w:rPr>
                <w:sz w:val="20"/>
                <w:szCs w:val="20"/>
              </w:rPr>
              <w:t>Approved with undertakings and amendments</w:t>
            </w:r>
          </w:p>
        </w:tc>
        <w:tc>
          <w:tcPr>
            <w:tcW w:w="1149" w:type="dxa"/>
            <w:vAlign w:val="center"/>
          </w:tcPr>
          <w:p w14:paraId="69D9FB32" w14:textId="77777777" w:rsidR="00677577" w:rsidRPr="00983357" w:rsidRDefault="00677577" w:rsidP="0021216A">
            <w:pPr>
              <w:jc w:val="right"/>
              <w:rPr>
                <w:sz w:val="20"/>
                <w:szCs w:val="20"/>
              </w:rPr>
            </w:pPr>
            <w:r w:rsidRPr="00983357">
              <w:rPr>
                <w:rFonts w:ascii="Aptos Narrow" w:hAnsi="Aptos Narrow"/>
                <w:color w:val="000000"/>
                <w:sz w:val="20"/>
                <w:szCs w:val="20"/>
              </w:rPr>
              <w:t>0</w:t>
            </w:r>
          </w:p>
        </w:tc>
        <w:tc>
          <w:tcPr>
            <w:tcW w:w="1149" w:type="dxa"/>
            <w:vAlign w:val="center"/>
          </w:tcPr>
          <w:p w14:paraId="6A868AF9" w14:textId="77777777" w:rsidR="00677577" w:rsidRPr="00983357" w:rsidRDefault="00677577" w:rsidP="0021216A">
            <w:pPr>
              <w:jc w:val="right"/>
              <w:rPr>
                <w:sz w:val="20"/>
                <w:szCs w:val="20"/>
              </w:rPr>
            </w:pPr>
            <w:r w:rsidRPr="00983357">
              <w:rPr>
                <w:rFonts w:ascii="Aptos Narrow" w:hAnsi="Aptos Narrow"/>
                <w:color w:val="000000"/>
                <w:sz w:val="20"/>
                <w:szCs w:val="20"/>
              </w:rPr>
              <w:t>0.0%</w:t>
            </w:r>
          </w:p>
        </w:tc>
        <w:tc>
          <w:tcPr>
            <w:tcW w:w="1149" w:type="dxa"/>
            <w:vAlign w:val="center"/>
          </w:tcPr>
          <w:p w14:paraId="468E5C2E" w14:textId="77777777" w:rsidR="00677577" w:rsidRPr="00983357" w:rsidRDefault="00677577" w:rsidP="0021216A">
            <w:pPr>
              <w:jc w:val="right"/>
              <w:rPr>
                <w:sz w:val="20"/>
                <w:szCs w:val="20"/>
              </w:rPr>
            </w:pPr>
            <w:r w:rsidRPr="00983357">
              <w:rPr>
                <w:rFonts w:ascii="Aptos Narrow" w:hAnsi="Aptos Narrow"/>
                <w:color w:val="000000"/>
                <w:sz w:val="20"/>
                <w:szCs w:val="20"/>
              </w:rPr>
              <w:t>6</w:t>
            </w:r>
          </w:p>
        </w:tc>
        <w:tc>
          <w:tcPr>
            <w:tcW w:w="1149" w:type="dxa"/>
            <w:vAlign w:val="center"/>
          </w:tcPr>
          <w:p w14:paraId="5E7335DD" w14:textId="77777777" w:rsidR="00677577" w:rsidRPr="00983357" w:rsidRDefault="00677577" w:rsidP="0021216A">
            <w:pPr>
              <w:jc w:val="right"/>
              <w:rPr>
                <w:sz w:val="20"/>
                <w:szCs w:val="20"/>
              </w:rPr>
            </w:pPr>
            <w:r w:rsidRPr="00983357">
              <w:rPr>
                <w:rFonts w:ascii="Aptos Narrow" w:hAnsi="Aptos Narrow"/>
                <w:color w:val="000000"/>
                <w:sz w:val="20"/>
                <w:szCs w:val="20"/>
              </w:rPr>
              <w:t>0.1%</w:t>
            </w:r>
          </w:p>
        </w:tc>
        <w:tc>
          <w:tcPr>
            <w:tcW w:w="1149" w:type="dxa"/>
            <w:vAlign w:val="center"/>
          </w:tcPr>
          <w:p w14:paraId="04E6415F" w14:textId="77777777" w:rsidR="00677577" w:rsidRPr="00983357" w:rsidRDefault="00677577" w:rsidP="0021216A">
            <w:pPr>
              <w:jc w:val="right"/>
              <w:rPr>
                <w:sz w:val="20"/>
                <w:szCs w:val="20"/>
              </w:rPr>
            </w:pPr>
            <w:r w:rsidRPr="00983357">
              <w:rPr>
                <w:rFonts w:ascii="Aptos Narrow" w:hAnsi="Aptos Narrow"/>
                <w:color w:val="000000"/>
                <w:sz w:val="20"/>
                <w:szCs w:val="20"/>
              </w:rPr>
              <w:t>40</w:t>
            </w:r>
          </w:p>
        </w:tc>
        <w:tc>
          <w:tcPr>
            <w:tcW w:w="1149" w:type="dxa"/>
            <w:vAlign w:val="center"/>
          </w:tcPr>
          <w:p w14:paraId="10668413" w14:textId="77777777" w:rsidR="00677577" w:rsidRPr="00983357" w:rsidRDefault="00677577" w:rsidP="0021216A">
            <w:pPr>
              <w:jc w:val="right"/>
              <w:rPr>
                <w:sz w:val="20"/>
                <w:szCs w:val="20"/>
              </w:rPr>
            </w:pPr>
            <w:r w:rsidRPr="00983357">
              <w:rPr>
                <w:rFonts w:ascii="Aptos Narrow" w:hAnsi="Aptos Narrow"/>
                <w:color w:val="000000"/>
                <w:sz w:val="20"/>
                <w:szCs w:val="20"/>
              </w:rPr>
              <w:t>0.9%</w:t>
            </w:r>
          </w:p>
        </w:tc>
      </w:tr>
      <w:tr w:rsidR="00677577" w:rsidRPr="00FD4F1B" w14:paraId="0A5A57A4" w14:textId="77777777">
        <w:tc>
          <w:tcPr>
            <w:tcW w:w="2122" w:type="dxa"/>
          </w:tcPr>
          <w:p w14:paraId="4B77CF87" w14:textId="77777777" w:rsidR="00677577" w:rsidRPr="00983357" w:rsidRDefault="00677577">
            <w:pPr>
              <w:rPr>
                <w:sz w:val="20"/>
                <w:szCs w:val="20"/>
              </w:rPr>
            </w:pPr>
            <w:r w:rsidRPr="00983357">
              <w:rPr>
                <w:sz w:val="20"/>
                <w:szCs w:val="20"/>
              </w:rPr>
              <w:t>Not approved</w:t>
            </w:r>
          </w:p>
        </w:tc>
        <w:tc>
          <w:tcPr>
            <w:tcW w:w="1149" w:type="dxa"/>
            <w:vAlign w:val="center"/>
          </w:tcPr>
          <w:p w14:paraId="4E615C69" w14:textId="77777777" w:rsidR="00677577" w:rsidRPr="00983357" w:rsidRDefault="00677577" w:rsidP="0021216A">
            <w:pPr>
              <w:jc w:val="right"/>
              <w:rPr>
                <w:sz w:val="20"/>
                <w:szCs w:val="20"/>
              </w:rPr>
            </w:pPr>
            <w:r w:rsidRPr="00983357">
              <w:rPr>
                <w:rFonts w:ascii="Aptos Narrow" w:hAnsi="Aptos Narrow"/>
                <w:color w:val="000000"/>
                <w:sz w:val="20"/>
                <w:szCs w:val="20"/>
              </w:rPr>
              <w:t>21</w:t>
            </w:r>
          </w:p>
        </w:tc>
        <w:tc>
          <w:tcPr>
            <w:tcW w:w="1149" w:type="dxa"/>
            <w:vAlign w:val="center"/>
          </w:tcPr>
          <w:p w14:paraId="08231758" w14:textId="77777777" w:rsidR="00677577" w:rsidRPr="00983357" w:rsidRDefault="00677577" w:rsidP="0021216A">
            <w:pPr>
              <w:jc w:val="right"/>
              <w:rPr>
                <w:sz w:val="20"/>
                <w:szCs w:val="20"/>
              </w:rPr>
            </w:pPr>
            <w:r w:rsidRPr="00983357">
              <w:rPr>
                <w:rFonts w:ascii="Aptos Narrow" w:hAnsi="Aptos Narrow"/>
                <w:color w:val="000000"/>
                <w:sz w:val="20"/>
                <w:szCs w:val="20"/>
              </w:rPr>
              <w:t>0.5%</w:t>
            </w:r>
          </w:p>
        </w:tc>
        <w:tc>
          <w:tcPr>
            <w:tcW w:w="1149" w:type="dxa"/>
            <w:vAlign w:val="center"/>
          </w:tcPr>
          <w:p w14:paraId="45432D5C" w14:textId="77777777" w:rsidR="00677577" w:rsidRPr="00983357" w:rsidRDefault="00677577" w:rsidP="0021216A">
            <w:pPr>
              <w:jc w:val="right"/>
              <w:rPr>
                <w:sz w:val="20"/>
                <w:szCs w:val="20"/>
              </w:rPr>
            </w:pPr>
            <w:r w:rsidRPr="00983357">
              <w:rPr>
                <w:rFonts w:ascii="Aptos Narrow" w:hAnsi="Aptos Narrow"/>
                <w:color w:val="000000"/>
                <w:sz w:val="20"/>
                <w:szCs w:val="20"/>
              </w:rPr>
              <w:t>22</w:t>
            </w:r>
          </w:p>
        </w:tc>
        <w:tc>
          <w:tcPr>
            <w:tcW w:w="1149" w:type="dxa"/>
            <w:vAlign w:val="center"/>
          </w:tcPr>
          <w:p w14:paraId="3D300A93" w14:textId="77777777" w:rsidR="00677577" w:rsidRPr="00983357" w:rsidRDefault="00677577" w:rsidP="0021216A">
            <w:pPr>
              <w:jc w:val="right"/>
              <w:rPr>
                <w:sz w:val="20"/>
                <w:szCs w:val="20"/>
              </w:rPr>
            </w:pPr>
            <w:r w:rsidRPr="00983357">
              <w:rPr>
                <w:rFonts w:ascii="Aptos Narrow" w:hAnsi="Aptos Narrow"/>
                <w:color w:val="000000"/>
                <w:sz w:val="20"/>
                <w:szCs w:val="20"/>
              </w:rPr>
              <w:t>0.5%</w:t>
            </w:r>
          </w:p>
        </w:tc>
        <w:tc>
          <w:tcPr>
            <w:tcW w:w="1149" w:type="dxa"/>
            <w:vAlign w:val="center"/>
          </w:tcPr>
          <w:p w14:paraId="77126F4F" w14:textId="77777777" w:rsidR="00677577" w:rsidRPr="00983357" w:rsidRDefault="00677577" w:rsidP="0021216A">
            <w:pPr>
              <w:jc w:val="right"/>
              <w:rPr>
                <w:sz w:val="20"/>
                <w:szCs w:val="20"/>
              </w:rPr>
            </w:pPr>
            <w:r w:rsidRPr="00983357">
              <w:rPr>
                <w:rFonts w:ascii="Aptos Narrow" w:hAnsi="Aptos Narrow"/>
                <w:color w:val="000000"/>
                <w:sz w:val="20"/>
                <w:szCs w:val="20"/>
              </w:rPr>
              <w:t>26</w:t>
            </w:r>
          </w:p>
        </w:tc>
        <w:tc>
          <w:tcPr>
            <w:tcW w:w="1149" w:type="dxa"/>
            <w:vAlign w:val="center"/>
          </w:tcPr>
          <w:p w14:paraId="19451599" w14:textId="77777777" w:rsidR="00677577" w:rsidRPr="00983357" w:rsidRDefault="00677577" w:rsidP="0021216A">
            <w:pPr>
              <w:jc w:val="right"/>
              <w:rPr>
                <w:sz w:val="20"/>
                <w:szCs w:val="20"/>
              </w:rPr>
            </w:pPr>
            <w:r w:rsidRPr="00983357">
              <w:rPr>
                <w:rFonts w:ascii="Aptos Narrow" w:hAnsi="Aptos Narrow"/>
                <w:color w:val="000000"/>
                <w:sz w:val="20"/>
                <w:szCs w:val="20"/>
              </w:rPr>
              <w:t>0.6%</w:t>
            </w:r>
          </w:p>
        </w:tc>
      </w:tr>
      <w:tr w:rsidR="00677577" w:rsidRPr="00FD4F1B" w14:paraId="49447DA2" w14:textId="77777777">
        <w:tc>
          <w:tcPr>
            <w:tcW w:w="2122" w:type="dxa"/>
          </w:tcPr>
          <w:p w14:paraId="46E0E5E0" w14:textId="77777777" w:rsidR="00677577" w:rsidRPr="00983357" w:rsidRDefault="00677577">
            <w:pPr>
              <w:rPr>
                <w:sz w:val="20"/>
                <w:szCs w:val="20"/>
              </w:rPr>
            </w:pPr>
            <w:r w:rsidRPr="00983357">
              <w:rPr>
                <w:sz w:val="20"/>
                <w:szCs w:val="20"/>
              </w:rPr>
              <w:t>Other (includes dismissed and withdrawn)</w:t>
            </w:r>
          </w:p>
        </w:tc>
        <w:tc>
          <w:tcPr>
            <w:tcW w:w="1149" w:type="dxa"/>
            <w:vAlign w:val="center"/>
          </w:tcPr>
          <w:p w14:paraId="3CDF9E2A" w14:textId="77777777" w:rsidR="00677577" w:rsidRPr="00983357" w:rsidRDefault="00677577" w:rsidP="0021216A">
            <w:pPr>
              <w:jc w:val="right"/>
              <w:rPr>
                <w:sz w:val="20"/>
                <w:szCs w:val="20"/>
              </w:rPr>
            </w:pPr>
            <w:r w:rsidRPr="00983357">
              <w:rPr>
                <w:rFonts w:ascii="Aptos Narrow" w:hAnsi="Aptos Narrow"/>
                <w:color w:val="000000"/>
                <w:sz w:val="20"/>
                <w:szCs w:val="20"/>
              </w:rPr>
              <w:t>111</w:t>
            </w:r>
          </w:p>
        </w:tc>
        <w:tc>
          <w:tcPr>
            <w:tcW w:w="1149" w:type="dxa"/>
            <w:vAlign w:val="center"/>
          </w:tcPr>
          <w:p w14:paraId="69C3784A" w14:textId="77777777" w:rsidR="00677577" w:rsidRPr="00983357" w:rsidRDefault="00677577" w:rsidP="0021216A">
            <w:pPr>
              <w:jc w:val="right"/>
              <w:rPr>
                <w:sz w:val="20"/>
                <w:szCs w:val="20"/>
              </w:rPr>
            </w:pPr>
            <w:r w:rsidRPr="00983357">
              <w:rPr>
                <w:rFonts w:ascii="Aptos Narrow" w:hAnsi="Aptos Narrow"/>
                <w:color w:val="000000"/>
                <w:sz w:val="20"/>
                <w:szCs w:val="20"/>
              </w:rPr>
              <w:t>2.7%</w:t>
            </w:r>
          </w:p>
        </w:tc>
        <w:tc>
          <w:tcPr>
            <w:tcW w:w="1149" w:type="dxa"/>
            <w:vAlign w:val="center"/>
          </w:tcPr>
          <w:p w14:paraId="0AEA9038" w14:textId="77777777" w:rsidR="00677577" w:rsidRPr="00983357" w:rsidRDefault="00677577" w:rsidP="0021216A">
            <w:pPr>
              <w:jc w:val="right"/>
              <w:rPr>
                <w:sz w:val="20"/>
                <w:szCs w:val="20"/>
              </w:rPr>
            </w:pPr>
            <w:r w:rsidRPr="00983357">
              <w:rPr>
                <w:rFonts w:ascii="Aptos Narrow" w:hAnsi="Aptos Narrow"/>
                <w:color w:val="000000"/>
                <w:sz w:val="20"/>
                <w:szCs w:val="20"/>
              </w:rPr>
              <w:t>193</w:t>
            </w:r>
          </w:p>
        </w:tc>
        <w:tc>
          <w:tcPr>
            <w:tcW w:w="1149" w:type="dxa"/>
            <w:vAlign w:val="center"/>
          </w:tcPr>
          <w:p w14:paraId="63AB65F2" w14:textId="77777777" w:rsidR="00677577" w:rsidRPr="00983357" w:rsidRDefault="00677577" w:rsidP="0021216A">
            <w:pPr>
              <w:jc w:val="right"/>
              <w:rPr>
                <w:sz w:val="20"/>
                <w:szCs w:val="20"/>
              </w:rPr>
            </w:pPr>
            <w:r w:rsidRPr="00983357">
              <w:rPr>
                <w:rFonts w:ascii="Aptos Narrow" w:hAnsi="Aptos Narrow"/>
                <w:color w:val="000000"/>
                <w:sz w:val="20"/>
                <w:szCs w:val="20"/>
              </w:rPr>
              <w:t>4.3%</w:t>
            </w:r>
          </w:p>
        </w:tc>
        <w:tc>
          <w:tcPr>
            <w:tcW w:w="1149" w:type="dxa"/>
            <w:vAlign w:val="center"/>
          </w:tcPr>
          <w:p w14:paraId="4172D832" w14:textId="77777777" w:rsidR="00677577" w:rsidRPr="00983357" w:rsidRDefault="00677577" w:rsidP="0021216A">
            <w:pPr>
              <w:jc w:val="right"/>
              <w:rPr>
                <w:sz w:val="20"/>
                <w:szCs w:val="20"/>
              </w:rPr>
            </w:pPr>
            <w:r w:rsidRPr="00983357">
              <w:rPr>
                <w:rFonts w:ascii="Aptos Narrow" w:hAnsi="Aptos Narrow"/>
                <w:color w:val="000000"/>
                <w:sz w:val="20"/>
                <w:szCs w:val="20"/>
              </w:rPr>
              <w:t>212</w:t>
            </w:r>
          </w:p>
        </w:tc>
        <w:tc>
          <w:tcPr>
            <w:tcW w:w="1149" w:type="dxa"/>
            <w:vAlign w:val="center"/>
          </w:tcPr>
          <w:p w14:paraId="6DDCC37D" w14:textId="77777777" w:rsidR="00677577" w:rsidRPr="00983357" w:rsidRDefault="00677577" w:rsidP="0021216A">
            <w:pPr>
              <w:jc w:val="right"/>
              <w:rPr>
                <w:sz w:val="20"/>
                <w:szCs w:val="20"/>
              </w:rPr>
            </w:pPr>
            <w:r w:rsidRPr="00983357">
              <w:rPr>
                <w:rFonts w:ascii="Aptos Narrow" w:hAnsi="Aptos Narrow"/>
                <w:color w:val="000000"/>
                <w:sz w:val="20"/>
                <w:szCs w:val="20"/>
              </w:rPr>
              <w:t>4.6%</w:t>
            </w:r>
          </w:p>
        </w:tc>
      </w:tr>
      <w:tr w:rsidR="00677577" w:rsidRPr="00FD4F1B" w14:paraId="7EE8C6C4" w14:textId="77777777">
        <w:tc>
          <w:tcPr>
            <w:tcW w:w="2122" w:type="dxa"/>
          </w:tcPr>
          <w:p w14:paraId="639486FE" w14:textId="77777777" w:rsidR="00677577" w:rsidRPr="00983357" w:rsidRDefault="00677577">
            <w:pPr>
              <w:rPr>
                <w:sz w:val="20"/>
                <w:szCs w:val="20"/>
              </w:rPr>
            </w:pPr>
            <w:r w:rsidRPr="00983357">
              <w:rPr>
                <w:sz w:val="20"/>
                <w:szCs w:val="20"/>
              </w:rPr>
              <w:t>Total</w:t>
            </w:r>
          </w:p>
        </w:tc>
        <w:tc>
          <w:tcPr>
            <w:tcW w:w="1149" w:type="dxa"/>
            <w:vAlign w:val="center"/>
          </w:tcPr>
          <w:p w14:paraId="540BA1A1" w14:textId="77777777" w:rsidR="00677577" w:rsidRPr="00983357" w:rsidRDefault="00677577" w:rsidP="0021216A">
            <w:pPr>
              <w:jc w:val="right"/>
              <w:rPr>
                <w:sz w:val="20"/>
                <w:szCs w:val="20"/>
              </w:rPr>
            </w:pPr>
            <w:r w:rsidRPr="00983357">
              <w:rPr>
                <w:rFonts w:ascii="Aptos Narrow" w:hAnsi="Aptos Narrow"/>
                <w:color w:val="000000"/>
                <w:sz w:val="20"/>
                <w:szCs w:val="20"/>
              </w:rPr>
              <w:t>4,166</w:t>
            </w:r>
          </w:p>
        </w:tc>
        <w:tc>
          <w:tcPr>
            <w:tcW w:w="1149" w:type="dxa"/>
            <w:vAlign w:val="center"/>
          </w:tcPr>
          <w:p w14:paraId="5D4471C8" w14:textId="77777777" w:rsidR="00677577" w:rsidRPr="00983357" w:rsidRDefault="00677577" w:rsidP="0021216A">
            <w:pPr>
              <w:jc w:val="right"/>
              <w:rPr>
                <w:sz w:val="20"/>
                <w:szCs w:val="20"/>
              </w:rPr>
            </w:pPr>
            <w:r w:rsidRPr="00983357">
              <w:rPr>
                <w:rFonts w:ascii="Aptos Narrow" w:hAnsi="Aptos Narrow"/>
                <w:color w:val="000000"/>
                <w:sz w:val="20"/>
                <w:szCs w:val="20"/>
              </w:rPr>
              <w:t>100.0%</w:t>
            </w:r>
          </w:p>
        </w:tc>
        <w:tc>
          <w:tcPr>
            <w:tcW w:w="1149" w:type="dxa"/>
            <w:vAlign w:val="center"/>
          </w:tcPr>
          <w:p w14:paraId="25CDECC2" w14:textId="77777777" w:rsidR="00677577" w:rsidRPr="00983357" w:rsidRDefault="00677577" w:rsidP="0021216A">
            <w:pPr>
              <w:jc w:val="right"/>
              <w:rPr>
                <w:sz w:val="20"/>
                <w:szCs w:val="20"/>
              </w:rPr>
            </w:pPr>
            <w:r w:rsidRPr="00983357">
              <w:rPr>
                <w:rFonts w:ascii="Aptos Narrow" w:hAnsi="Aptos Narrow"/>
                <w:color w:val="000000"/>
                <w:sz w:val="20"/>
                <w:szCs w:val="20"/>
              </w:rPr>
              <w:t>4,444</w:t>
            </w:r>
          </w:p>
        </w:tc>
        <w:tc>
          <w:tcPr>
            <w:tcW w:w="1149" w:type="dxa"/>
            <w:vAlign w:val="center"/>
          </w:tcPr>
          <w:p w14:paraId="6800A5EA" w14:textId="77777777" w:rsidR="00677577" w:rsidRPr="00983357" w:rsidRDefault="00677577" w:rsidP="0021216A">
            <w:pPr>
              <w:jc w:val="right"/>
              <w:rPr>
                <w:sz w:val="20"/>
                <w:szCs w:val="20"/>
              </w:rPr>
            </w:pPr>
            <w:r w:rsidRPr="00983357">
              <w:rPr>
                <w:rFonts w:ascii="Aptos Narrow" w:hAnsi="Aptos Narrow"/>
                <w:color w:val="000000"/>
                <w:sz w:val="20"/>
                <w:szCs w:val="20"/>
              </w:rPr>
              <w:t>100.0%</w:t>
            </w:r>
          </w:p>
        </w:tc>
        <w:tc>
          <w:tcPr>
            <w:tcW w:w="1149" w:type="dxa"/>
            <w:vAlign w:val="center"/>
          </w:tcPr>
          <w:p w14:paraId="7BEA013C" w14:textId="77777777" w:rsidR="00677577" w:rsidRPr="00983357" w:rsidRDefault="00677577" w:rsidP="0021216A">
            <w:pPr>
              <w:jc w:val="right"/>
              <w:rPr>
                <w:sz w:val="20"/>
                <w:szCs w:val="20"/>
              </w:rPr>
            </w:pPr>
            <w:r w:rsidRPr="00983357">
              <w:rPr>
                <w:rFonts w:ascii="Aptos Narrow" w:hAnsi="Aptos Narrow"/>
                <w:color w:val="000000"/>
                <w:sz w:val="20"/>
                <w:szCs w:val="20"/>
              </w:rPr>
              <w:t>4,626</w:t>
            </w:r>
          </w:p>
        </w:tc>
        <w:tc>
          <w:tcPr>
            <w:tcW w:w="1149" w:type="dxa"/>
            <w:vAlign w:val="center"/>
          </w:tcPr>
          <w:p w14:paraId="5B3E44F8" w14:textId="77777777" w:rsidR="00677577" w:rsidRPr="00983357" w:rsidRDefault="00677577" w:rsidP="0021216A">
            <w:pPr>
              <w:jc w:val="right"/>
              <w:rPr>
                <w:sz w:val="20"/>
                <w:szCs w:val="20"/>
              </w:rPr>
            </w:pPr>
            <w:r w:rsidRPr="00983357">
              <w:rPr>
                <w:rFonts w:ascii="Aptos Narrow" w:hAnsi="Aptos Narrow"/>
                <w:color w:val="000000"/>
                <w:sz w:val="20"/>
                <w:szCs w:val="20"/>
              </w:rPr>
              <w:t>100.0%</w:t>
            </w:r>
          </w:p>
        </w:tc>
      </w:tr>
    </w:tbl>
    <w:p w14:paraId="431E43E4" w14:textId="3DD4290B" w:rsidR="00677577" w:rsidRPr="00B45F7C" w:rsidRDefault="00677577" w:rsidP="00677577">
      <w:pPr>
        <w:spacing w:before="120"/>
        <w:rPr>
          <w:rFonts w:ascii="Aptos" w:eastAsia="Aptos" w:hAnsi="Aptos" w:cs="Times New Roman"/>
          <w:sz w:val="18"/>
        </w:rPr>
      </w:pPr>
      <w:r w:rsidRPr="00B45F7C">
        <w:rPr>
          <w:rFonts w:ascii="Aptos" w:eastAsia="Aptos" w:hAnsi="Aptos" w:cs="Times New Roman"/>
          <w:b/>
          <w:bCs/>
          <w:sz w:val="18"/>
        </w:rPr>
        <w:t>Source:</w:t>
      </w:r>
      <w:r w:rsidRPr="00B45F7C">
        <w:rPr>
          <w:rFonts w:ascii="Aptos" w:eastAsia="Aptos" w:hAnsi="Aptos" w:cs="Times New Roman"/>
          <w:sz w:val="18"/>
        </w:rPr>
        <w:t xml:space="preserve"> Review analysis of data provided by the </w:t>
      </w:r>
      <w:r w:rsidR="0021216A">
        <w:rPr>
          <w:rFonts w:ascii="Aptos" w:eastAsia="Aptos" w:hAnsi="Aptos" w:cs="Times New Roman"/>
          <w:sz w:val="18"/>
        </w:rPr>
        <w:t>Fair Work Commission</w:t>
      </w:r>
      <w:r w:rsidRPr="00B45F7C">
        <w:rPr>
          <w:rFonts w:ascii="Aptos" w:eastAsia="Aptos" w:hAnsi="Aptos" w:cs="Times New Roman"/>
          <w:sz w:val="18"/>
        </w:rPr>
        <w:t>.</w:t>
      </w:r>
    </w:p>
    <w:p w14:paraId="7B6E936A" w14:textId="77777777" w:rsidR="00677577" w:rsidRPr="00B45F7C" w:rsidRDefault="00677577" w:rsidP="00677577">
      <w:pPr>
        <w:rPr>
          <w:rFonts w:ascii="Aptos" w:eastAsia="Aptos" w:hAnsi="Aptos" w:cs="Times New Roman"/>
        </w:rPr>
      </w:pPr>
      <w:r w:rsidRPr="00B45F7C">
        <w:rPr>
          <w:rFonts w:ascii="Aptos" w:eastAsia="Aptos" w:hAnsi="Aptos" w:cs="Times New Roman"/>
        </w:rPr>
        <w:br w:type="page"/>
      </w:r>
    </w:p>
    <w:p w14:paraId="5C1A3507" w14:textId="77777777" w:rsidR="00677577" w:rsidRPr="00B45F7C" w:rsidRDefault="00677577" w:rsidP="00677577">
      <w:pPr>
        <w:keepNext/>
        <w:keepLines/>
        <w:spacing w:before="320" w:after="60"/>
        <w:outlineLvl w:val="2"/>
        <w:rPr>
          <w:rFonts w:ascii="Aptos Display" w:eastAsia="Times New Roman" w:hAnsi="Aptos Display" w:cs="Times New Roman"/>
          <w:b/>
          <w:color w:val="0D2C6C"/>
          <w:sz w:val="32"/>
        </w:rPr>
      </w:pPr>
      <w:bookmarkStart w:id="1067" w:name="_Toc188278061"/>
      <w:bookmarkStart w:id="1068" w:name="_Toc189393679"/>
      <w:bookmarkStart w:id="1069" w:name="_Toc192258348"/>
      <w:bookmarkStart w:id="1070" w:name="_Toc193826723"/>
      <w:bookmarkStart w:id="1071" w:name="_Toc194066986"/>
      <w:bookmarkStart w:id="1072" w:name="_Toc194311456"/>
      <w:r w:rsidRPr="00B45F7C">
        <w:rPr>
          <w:rFonts w:ascii="Aptos Display" w:eastAsia="Times New Roman" w:hAnsi="Aptos Display" w:cs="Times New Roman"/>
          <w:b/>
          <w:color w:val="0D2C6C"/>
          <w:sz w:val="32"/>
        </w:rPr>
        <w:t>3. Timeliness of enterprise agreement approvals</w:t>
      </w:r>
      <w:bookmarkEnd w:id="1067"/>
      <w:bookmarkEnd w:id="1068"/>
      <w:bookmarkEnd w:id="1069"/>
      <w:bookmarkEnd w:id="1070"/>
      <w:bookmarkEnd w:id="1071"/>
      <w:bookmarkEnd w:id="1072"/>
    </w:p>
    <w:p w14:paraId="7471408E" w14:textId="326AE24D" w:rsidR="00677577" w:rsidRPr="00B45F7C" w:rsidRDefault="00677577" w:rsidP="00677577">
      <w:pPr>
        <w:rPr>
          <w:rFonts w:ascii="Aptos" w:eastAsia="Aptos" w:hAnsi="Aptos" w:cs="Times New Roman"/>
        </w:rPr>
      </w:pPr>
      <w:r w:rsidRPr="00B45F7C">
        <w:rPr>
          <w:rFonts w:ascii="Aptos" w:eastAsia="Aptos" w:hAnsi="Aptos" w:cs="Times New Roman"/>
        </w:rPr>
        <w:t xml:space="preserve">The time taken by the FWC to approve agreements has remained stable over the last </w:t>
      </w:r>
      <w:r w:rsidR="0021216A">
        <w:rPr>
          <w:rFonts w:ascii="Aptos" w:eastAsia="Aptos" w:hAnsi="Aptos" w:cs="Times New Roman"/>
        </w:rPr>
        <w:t>three</w:t>
      </w:r>
      <w:r w:rsidRPr="00B45F7C">
        <w:rPr>
          <w:rFonts w:ascii="Aptos" w:eastAsia="Aptos" w:hAnsi="Aptos" w:cs="Times New Roman"/>
        </w:rPr>
        <w:t xml:space="preserve"> financial years. As shown </w:t>
      </w:r>
      <w:r w:rsidRPr="00FD4F1B">
        <w:rPr>
          <w:rFonts w:ascii="Aptos" w:eastAsia="Aptos" w:hAnsi="Aptos" w:cs="Times New Roman"/>
        </w:rPr>
        <w:t xml:space="preserve">in </w:t>
      </w:r>
      <w:r w:rsidRPr="00983357">
        <w:rPr>
          <w:rFonts w:ascii="Aptos" w:eastAsia="Aptos" w:hAnsi="Aptos" w:cs="Times New Roman"/>
        </w:rPr>
        <w:t xml:space="preserve">Table </w:t>
      </w:r>
      <w:r w:rsidR="00036825" w:rsidRPr="00983357">
        <w:rPr>
          <w:rFonts w:ascii="Aptos" w:eastAsia="Aptos" w:hAnsi="Aptos" w:cs="Times New Roman"/>
        </w:rPr>
        <w:t>6</w:t>
      </w:r>
      <w:r w:rsidR="00036825">
        <w:rPr>
          <w:rFonts w:ascii="Aptos" w:eastAsia="Aptos" w:hAnsi="Aptos" w:cs="Times New Roman"/>
        </w:rPr>
        <w:t>9</w:t>
      </w:r>
      <w:r w:rsidRPr="00FD4F1B">
        <w:rPr>
          <w:rFonts w:ascii="Aptos" w:eastAsia="Aptos" w:hAnsi="Aptos" w:cs="Times New Roman"/>
        </w:rPr>
        <w:t>, the</w:t>
      </w:r>
      <w:r w:rsidRPr="00B45F7C">
        <w:rPr>
          <w:rFonts w:ascii="Aptos" w:eastAsia="Aptos" w:hAnsi="Aptos" w:cs="Times New Roman"/>
        </w:rPr>
        <w:t xml:space="preserve"> median time taken to approve an enterprise agreement is largely dependent on whether undertakings from the employer or amendments by the FWC itself are </w:t>
      </w:r>
      <w:r w:rsidRPr="00FD4F1B">
        <w:rPr>
          <w:rFonts w:ascii="Aptos" w:eastAsia="Aptos" w:hAnsi="Aptos" w:cs="Times New Roman"/>
        </w:rPr>
        <w:t xml:space="preserve">required. </w:t>
      </w:r>
      <w:r w:rsidRPr="00983357">
        <w:rPr>
          <w:rFonts w:ascii="Aptos" w:eastAsia="Aptos" w:hAnsi="Aptos" w:cs="Times New Roman"/>
        </w:rPr>
        <w:t>Figure 5</w:t>
      </w:r>
      <w:r w:rsidR="00844718" w:rsidRPr="00983357">
        <w:rPr>
          <w:rFonts w:ascii="Aptos" w:eastAsia="Aptos" w:hAnsi="Aptos" w:cs="Times New Roman"/>
        </w:rPr>
        <w:t>9</w:t>
      </w:r>
      <w:r w:rsidRPr="00FD4F1B">
        <w:rPr>
          <w:rFonts w:ascii="Aptos" w:eastAsia="Aptos" w:hAnsi="Aptos" w:cs="Times New Roman"/>
        </w:rPr>
        <w:t xml:space="preserve"> shows the</w:t>
      </w:r>
      <w:r w:rsidRPr="00B45F7C">
        <w:rPr>
          <w:rFonts w:ascii="Aptos" w:eastAsia="Aptos" w:hAnsi="Aptos" w:cs="Times New Roman"/>
        </w:rPr>
        <w:t xml:space="preserve"> spread of all approval decisions in each financial year.</w:t>
      </w:r>
    </w:p>
    <w:p w14:paraId="37C680D2" w14:textId="146F7B68" w:rsidR="00677577" w:rsidRPr="00B45F7C" w:rsidRDefault="00844718" w:rsidP="00983357">
      <w:pPr>
        <w:pStyle w:val="Caption"/>
      </w:pPr>
      <w:bookmarkStart w:id="1073" w:name="_Ref187684069"/>
      <w:bookmarkStart w:id="1074" w:name="_Ref187684062"/>
      <w:bookmarkStart w:id="1075" w:name="_Toc187688538"/>
      <w:bookmarkStart w:id="1076" w:name="_Toc189310892"/>
      <w:bookmarkStart w:id="1077" w:name="_Toc194251493"/>
      <w:r>
        <w:t xml:space="preserve">Table </w:t>
      </w:r>
      <w:r>
        <w:fldChar w:fldCharType="begin"/>
      </w:r>
      <w:r>
        <w:instrText xml:space="preserve"> SEQ Table \* ARABIC </w:instrText>
      </w:r>
      <w:r>
        <w:fldChar w:fldCharType="separate"/>
      </w:r>
      <w:r w:rsidR="00DE5F5E">
        <w:rPr>
          <w:noProof/>
        </w:rPr>
        <w:t>69</w:t>
      </w:r>
      <w:r>
        <w:fldChar w:fldCharType="end"/>
      </w:r>
      <w:r>
        <w:t xml:space="preserve">: </w:t>
      </w:r>
      <w:bookmarkEnd w:id="1073"/>
      <w:r w:rsidR="00677577" w:rsidRPr="00B45F7C">
        <w:t>Median calendar days to approval decision</w:t>
      </w:r>
      <w:bookmarkEnd w:id="1074"/>
      <w:bookmarkEnd w:id="1075"/>
      <w:r w:rsidR="00677577" w:rsidRPr="00B45F7C">
        <w:t>, 2021</w:t>
      </w:r>
      <w:r w:rsidR="00677577" w:rsidRPr="00B45F7C">
        <w:rPr>
          <w:rFonts w:ascii="Symbol" w:eastAsia="Symbol" w:hAnsi="Symbol" w:cs="Symbol"/>
        </w:rPr>
        <w:t>-</w:t>
      </w:r>
      <w:r w:rsidR="00677577" w:rsidRPr="00B45F7C">
        <w:t>22 to 2023</w:t>
      </w:r>
      <w:r w:rsidR="00677577" w:rsidRPr="00B45F7C">
        <w:rPr>
          <w:rFonts w:ascii="Symbol" w:eastAsia="Symbol" w:hAnsi="Symbol" w:cs="Symbol"/>
        </w:rPr>
        <w:t>-</w:t>
      </w:r>
      <w:r w:rsidR="00677577" w:rsidRPr="00B45F7C">
        <w:t>24</w:t>
      </w:r>
      <w:bookmarkEnd w:id="1076"/>
      <w:bookmarkEnd w:id="107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3"/>
        <w:gridCol w:w="1499"/>
        <w:gridCol w:w="1499"/>
        <w:gridCol w:w="1497"/>
      </w:tblGrid>
      <w:tr w:rsidR="00677577" w:rsidRPr="00FD4F1B" w14:paraId="21476374" w14:textId="77777777">
        <w:trPr>
          <w:trHeight w:val="397"/>
        </w:trPr>
        <w:tc>
          <w:tcPr>
            <w:tcW w:w="2580" w:type="pct"/>
            <w:tcBorders>
              <w:top w:val="single" w:sz="4" w:space="0" w:color="auto"/>
              <w:left w:val="single" w:sz="4" w:space="0" w:color="auto"/>
              <w:bottom w:val="single" w:sz="4" w:space="0" w:color="auto"/>
              <w:right w:val="single" w:sz="4" w:space="0" w:color="auto"/>
            </w:tcBorders>
            <w:noWrap/>
            <w:vAlign w:val="center"/>
            <w:hideMark/>
          </w:tcPr>
          <w:p w14:paraId="5548CE3B" w14:textId="77777777" w:rsidR="00677577" w:rsidRPr="00983357" w:rsidRDefault="00677577">
            <w:pPr>
              <w:spacing w:after="0"/>
              <w:jc w:val="right"/>
              <w:rPr>
                <w:rFonts w:ascii="Aptos" w:eastAsia="Aptos" w:hAnsi="Aptos" w:cs="Times New Roman"/>
                <w:b/>
                <w:sz w:val="20"/>
                <w:szCs w:val="20"/>
              </w:rPr>
            </w:pPr>
          </w:p>
        </w:tc>
        <w:tc>
          <w:tcPr>
            <w:tcW w:w="807" w:type="pct"/>
            <w:tcBorders>
              <w:top w:val="single" w:sz="4" w:space="0" w:color="auto"/>
              <w:left w:val="single" w:sz="4" w:space="0" w:color="auto"/>
              <w:bottom w:val="single" w:sz="4" w:space="0" w:color="auto"/>
              <w:right w:val="single" w:sz="4" w:space="0" w:color="auto"/>
            </w:tcBorders>
            <w:noWrap/>
            <w:vAlign w:val="center"/>
            <w:hideMark/>
          </w:tcPr>
          <w:p w14:paraId="651C9462" w14:textId="77777777" w:rsidR="00677577" w:rsidRPr="00983357" w:rsidRDefault="00677577">
            <w:pPr>
              <w:spacing w:after="0"/>
              <w:jc w:val="right"/>
              <w:rPr>
                <w:rFonts w:ascii="Aptos" w:eastAsia="Aptos" w:hAnsi="Aptos" w:cs="Times New Roman"/>
                <w:b/>
                <w:sz w:val="20"/>
                <w:szCs w:val="20"/>
              </w:rPr>
            </w:pPr>
            <w:r w:rsidRPr="00983357">
              <w:rPr>
                <w:rFonts w:ascii="Aptos" w:eastAsia="Aptos" w:hAnsi="Aptos" w:cs="Times New Roman"/>
                <w:b/>
                <w:sz w:val="20"/>
                <w:szCs w:val="20"/>
              </w:rPr>
              <w:t>2021</w:t>
            </w:r>
            <w:r w:rsidRPr="00983357">
              <w:rPr>
                <w:rFonts w:ascii="Symbol" w:eastAsia="Symbol" w:hAnsi="Symbol" w:cs="Symbol"/>
                <w:b/>
                <w:sz w:val="20"/>
                <w:szCs w:val="20"/>
              </w:rPr>
              <w:sym w:font="Symbol" w:char="F02D"/>
            </w:r>
            <w:r w:rsidRPr="00983357">
              <w:rPr>
                <w:rFonts w:ascii="Aptos" w:eastAsia="Aptos" w:hAnsi="Aptos" w:cs="Times New Roman"/>
                <w:b/>
                <w:sz w:val="20"/>
                <w:szCs w:val="20"/>
              </w:rPr>
              <w:t>22</w:t>
            </w:r>
          </w:p>
        </w:tc>
        <w:tc>
          <w:tcPr>
            <w:tcW w:w="807" w:type="pct"/>
            <w:tcBorders>
              <w:top w:val="single" w:sz="4" w:space="0" w:color="auto"/>
              <w:left w:val="single" w:sz="4" w:space="0" w:color="auto"/>
              <w:bottom w:val="single" w:sz="4" w:space="0" w:color="auto"/>
              <w:right w:val="single" w:sz="4" w:space="0" w:color="auto"/>
            </w:tcBorders>
            <w:noWrap/>
            <w:vAlign w:val="center"/>
            <w:hideMark/>
          </w:tcPr>
          <w:p w14:paraId="14756379" w14:textId="77777777" w:rsidR="00677577" w:rsidRPr="00983357" w:rsidRDefault="00677577">
            <w:pPr>
              <w:spacing w:after="0"/>
              <w:jc w:val="right"/>
              <w:rPr>
                <w:rFonts w:ascii="Aptos" w:eastAsia="Aptos" w:hAnsi="Aptos" w:cs="Times New Roman"/>
                <w:b/>
                <w:sz w:val="20"/>
                <w:szCs w:val="20"/>
              </w:rPr>
            </w:pPr>
            <w:r w:rsidRPr="00983357">
              <w:rPr>
                <w:rFonts w:ascii="Aptos" w:eastAsia="Aptos" w:hAnsi="Aptos" w:cs="Times New Roman"/>
                <w:b/>
                <w:sz w:val="20"/>
                <w:szCs w:val="20"/>
              </w:rPr>
              <w:t>2022</w:t>
            </w:r>
            <w:r w:rsidRPr="00983357">
              <w:rPr>
                <w:rFonts w:ascii="Symbol" w:eastAsia="Symbol" w:hAnsi="Symbol" w:cs="Symbol"/>
                <w:b/>
                <w:sz w:val="20"/>
                <w:szCs w:val="20"/>
              </w:rPr>
              <w:sym w:font="Symbol" w:char="F02D"/>
            </w:r>
            <w:r w:rsidRPr="00983357">
              <w:rPr>
                <w:rFonts w:ascii="Aptos" w:eastAsia="Aptos" w:hAnsi="Aptos" w:cs="Times New Roman"/>
                <w:b/>
                <w:sz w:val="20"/>
                <w:szCs w:val="20"/>
              </w:rPr>
              <w:t>23</w:t>
            </w:r>
          </w:p>
        </w:tc>
        <w:tc>
          <w:tcPr>
            <w:tcW w:w="806" w:type="pct"/>
            <w:tcBorders>
              <w:top w:val="single" w:sz="4" w:space="0" w:color="auto"/>
              <w:left w:val="single" w:sz="4" w:space="0" w:color="auto"/>
              <w:bottom w:val="single" w:sz="4" w:space="0" w:color="auto"/>
              <w:right w:val="single" w:sz="4" w:space="0" w:color="auto"/>
            </w:tcBorders>
            <w:noWrap/>
            <w:vAlign w:val="center"/>
            <w:hideMark/>
          </w:tcPr>
          <w:p w14:paraId="7675D3B3" w14:textId="77777777" w:rsidR="00677577" w:rsidRPr="00983357" w:rsidRDefault="00677577">
            <w:pPr>
              <w:spacing w:after="0"/>
              <w:jc w:val="right"/>
              <w:rPr>
                <w:rFonts w:ascii="Aptos" w:eastAsia="Aptos" w:hAnsi="Aptos" w:cs="Times New Roman"/>
                <w:b/>
                <w:sz w:val="20"/>
                <w:szCs w:val="20"/>
              </w:rPr>
            </w:pPr>
            <w:r w:rsidRPr="00983357">
              <w:rPr>
                <w:rFonts w:ascii="Aptos" w:eastAsia="Aptos" w:hAnsi="Aptos" w:cs="Times New Roman"/>
                <w:b/>
                <w:sz w:val="20"/>
                <w:szCs w:val="20"/>
              </w:rPr>
              <w:t>2023</w:t>
            </w:r>
            <w:r w:rsidRPr="00983357">
              <w:rPr>
                <w:rFonts w:ascii="Symbol" w:eastAsia="Symbol" w:hAnsi="Symbol" w:cs="Symbol"/>
                <w:b/>
                <w:sz w:val="20"/>
                <w:szCs w:val="20"/>
              </w:rPr>
              <w:sym w:font="Symbol" w:char="F02D"/>
            </w:r>
            <w:r w:rsidRPr="00983357">
              <w:rPr>
                <w:rFonts w:ascii="Aptos" w:eastAsia="Aptos" w:hAnsi="Aptos" w:cs="Times New Roman"/>
                <w:b/>
                <w:sz w:val="20"/>
                <w:szCs w:val="20"/>
              </w:rPr>
              <w:t>24</w:t>
            </w:r>
          </w:p>
        </w:tc>
      </w:tr>
      <w:tr w:rsidR="00677577" w:rsidRPr="00FD4F1B" w14:paraId="4696D570" w14:textId="77777777">
        <w:trPr>
          <w:trHeight w:val="397"/>
        </w:trPr>
        <w:tc>
          <w:tcPr>
            <w:tcW w:w="2580" w:type="pct"/>
            <w:tcBorders>
              <w:top w:val="single" w:sz="4" w:space="0" w:color="auto"/>
              <w:left w:val="single" w:sz="4" w:space="0" w:color="auto"/>
              <w:bottom w:val="single" w:sz="4" w:space="0" w:color="auto"/>
              <w:right w:val="single" w:sz="4" w:space="0" w:color="auto"/>
            </w:tcBorders>
            <w:noWrap/>
            <w:vAlign w:val="center"/>
            <w:hideMark/>
          </w:tcPr>
          <w:p w14:paraId="4ABF227F" w14:textId="77777777" w:rsidR="00677577" w:rsidRPr="00983357" w:rsidRDefault="00677577" w:rsidP="00983357">
            <w:pPr>
              <w:spacing w:after="0"/>
              <w:rPr>
                <w:rFonts w:ascii="Aptos" w:eastAsia="Aptos" w:hAnsi="Aptos" w:cs="Times New Roman"/>
                <w:sz w:val="20"/>
                <w:szCs w:val="20"/>
              </w:rPr>
            </w:pPr>
            <w:r w:rsidRPr="00983357">
              <w:rPr>
                <w:rFonts w:ascii="Aptos" w:eastAsia="Aptos" w:hAnsi="Aptos" w:cs="Times New Roman"/>
                <w:sz w:val="20"/>
                <w:szCs w:val="20"/>
              </w:rPr>
              <w:t>All agreement approvals</w:t>
            </w:r>
          </w:p>
        </w:tc>
        <w:tc>
          <w:tcPr>
            <w:tcW w:w="807" w:type="pct"/>
            <w:tcBorders>
              <w:top w:val="single" w:sz="4" w:space="0" w:color="auto"/>
              <w:left w:val="single" w:sz="4" w:space="0" w:color="auto"/>
              <w:bottom w:val="single" w:sz="4" w:space="0" w:color="auto"/>
              <w:right w:val="single" w:sz="4" w:space="0" w:color="auto"/>
            </w:tcBorders>
            <w:noWrap/>
            <w:vAlign w:val="center"/>
            <w:hideMark/>
          </w:tcPr>
          <w:p w14:paraId="219B354F" w14:textId="77777777" w:rsidR="00677577" w:rsidRPr="00983357" w:rsidRDefault="00677577">
            <w:pPr>
              <w:spacing w:after="0"/>
              <w:jc w:val="right"/>
              <w:rPr>
                <w:rFonts w:ascii="Aptos" w:eastAsia="Aptos" w:hAnsi="Aptos" w:cs="Times New Roman"/>
                <w:sz w:val="20"/>
                <w:szCs w:val="20"/>
              </w:rPr>
            </w:pPr>
            <w:r w:rsidRPr="00983357">
              <w:rPr>
                <w:rFonts w:ascii="Aptos" w:eastAsia="Aptos" w:hAnsi="Aptos" w:cs="Times New Roman"/>
                <w:sz w:val="20"/>
                <w:szCs w:val="20"/>
              </w:rPr>
              <w:t>15</w:t>
            </w:r>
          </w:p>
        </w:tc>
        <w:tc>
          <w:tcPr>
            <w:tcW w:w="807" w:type="pct"/>
            <w:tcBorders>
              <w:top w:val="single" w:sz="4" w:space="0" w:color="auto"/>
              <w:left w:val="single" w:sz="4" w:space="0" w:color="auto"/>
              <w:bottom w:val="single" w:sz="4" w:space="0" w:color="auto"/>
              <w:right w:val="single" w:sz="4" w:space="0" w:color="auto"/>
            </w:tcBorders>
            <w:noWrap/>
            <w:vAlign w:val="center"/>
            <w:hideMark/>
          </w:tcPr>
          <w:p w14:paraId="5A58E300" w14:textId="77777777" w:rsidR="00677577" w:rsidRPr="00983357" w:rsidRDefault="00677577">
            <w:pPr>
              <w:spacing w:after="0"/>
              <w:jc w:val="right"/>
              <w:rPr>
                <w:rFonts w:ascii="Aptos" w:eastAsia="Aptos" w:hAnsi="Aptos" w:cs="Times New Roman"/>
                <w:sz w:val="20"/>
                <w:szCs w:val="20"/>
              </w:rPr>
            </w:pPr>
            <w:r w:rsidRPr="00983357">
              <w:rPr>
                <w:rFonts w:ascii="Aptos" w:eastAsia="Aptos" w:hAnsi="Aptos" w:cs="Times New Roman"/>
                <w:sz w:val="20"/>
                <w:szCs w:val="20"/>
              </w:rPr>
              <w:t>17</w:t>
            </w:r>
          </w:p>
        </w:tc>
        <w:tc>
          <w:tcPr>
            <w:tcW w:w="806" w:type="pct"/>
            <w:tcBorders>
              <w:top w:val="single" w:sz="4" w:space="0" w:color="auto"/>
              <w:left w:val="single" w:sz="4" w:space="0" w:color="auto"/>
              <w:bottom w:val="single" w:sz="4" w:space="0" w:color="auto"/>
              <w:right w:val="single" w:sz="4" w:space="0" w:color="auto"/>
            </w:tcBorders>
            <w:noWrap/>
            <w:vAlign w:val="center"/>
            <w:hideMark/>
          </w:tcPr>
          <w:p w14:paraId="1F0965E5" w14:textId="77777777" w:rsidR="00677577" w:rsidRPr="00983357" w:rsidRDefault="00677577">
            <w:pPr>
              <w:spacing w:after="0"/>
              <w:jc w:val="right"/>
              <w:rPr>
                <w:rFonts w:ascii="Aptos" w:eastAsia="Aptos" w:hAnsi="Aptos" w:cs="Times New Roman"/>
                <w:sz w:val="20"/>
                <w:szCs w:val="20"/>
              </w:rPr>
            </w:pPr>
            <w:r w:rsidRPr="00983357">
              <w:rPr>
                <w:rFonts w:ascii="Aptos" w:eastAsia="Aptos" w:hAnsi="Aptos" w:cs="Times New Roman"/>
                <w:sz w:val="20"/>
                <w:szCs w:val="20"/>
              </w:rPr>
              <w:t>16</w:t>
            </w:r>
          </w:p>
        </w:tc>
      </w:tr>
      <w:tr w:rsidR="00677577" w:rsidRPr="00FD4F1B" w14:paraId="32E488A5" w14:textId="77777777">
        <w:trPr>
          <w:trHeight w:val="397"/>
        </w:trPr>
        <w:tc>
          <w:tcPr>
            <w:tcW w:w="2580" w:type="pct"/>
            <w:tcBorders>
              <w:top w:val="single" w:sz="4" w:space="0" w:color="auto"/>
              <w:left w:val="single" w:sz="4" w:space="0" w:color="auto"/>
              <w:bottom w:val="single" w:sz="4" w:space="0" w:color="auto"/>
              <w:right w:val="single" w:sz="4" w:space="0" w:color="auto"/>
            </w:tcBorders>
            <w:noWrap/>
            <w:vAlign w:val="center"/>
            <w:hideMark/>
          </w:tcPr>
          <w:p w14:paraId="2386FBF6" w14:textId="77777777" w:rsidR="00677577" w:rsidRPr="00983357" w:rsidRDefault="00677577" w:rsidP="00983357">
            <w:pPr>
              <w:spacing w:after="0"/>
              <w:rPr>
                <w:rFonts w:ascii="Aptos" w:eastAsia="Aptos" w:hAnsi="Aptos" w:cs="Times New Roman"/>
                <w:sz w:val="20"/>
                <w:szCs w:val="20"/>
              </w:rPr>
            </w:pPr>
            <w:r w:rsidRPr="00983357">
              <w:rPr>
                <w:rFonts w:ascii="Aptos" w:eastAsia="Aptos" w:hAnsi="Aptos" w:cs="Times New Roman"/>
                <w:sz w:val="20"/>
                <w:szCs w:val="20"/>
              </w:rPr>
              <w:t>Approved with undertakings and/or amendments</w:t>
            </w:r>
          </w:p>
        </w:tc>
        <w:tc>
          <w:tcPr>
            <w:tcW w:w="807" w:type="pct"/>
            <w:tcBorders>
              <w:top w:val="single" w:sz="4" w:space="0" w:color="auto"/>
              <w:left w:val="single" w:sz="4" w:space="0" w:color="auto"/>
              <w:bottom w:val="single" w:sz="4" w:space="0" w:color="auto"/>
              <w:right w:val="single" w:sz="4" w:space="0" w:color="auto"/>
            </w:tcBorders>
            <w:noWrap/>
            <w:vAlign w:val="center"/>
            <w:hideMark/>
          </w:tcPr>
          <w:p w14:paraId="0C7CD0C8" w14:textId="77777777" w:rsidR="00677577" w:rsidRPr="00983357" w:rsidRDefault="00677577">
            <w:pPr>
              <w:spacing w:after="0"/>
              <w:jc w:val="right"/>
              <w:rPr>
                <w:rFonts w:ascii="Aptos" w:eastAsia="Aptos" w:hAnsi="Aptos" w:cs="Times New Roman"/>
                <w:sz w:val="20"/>
                <w:szCs w:val="20"/>
              </w:rPr>
            </w:pPr>
            <w:r w:rsidRPr="00983357">
              <w:rPr>
                <w:rFonts w:ascii="Aptos" w:eastAsia="Aptos" w:hAnsi="Aptos" w:cs="Times New Roman"/>
                <w:sz w:val="20"/>
                <w:szCs w:val="20"/>
              </w:rPr>
              <w:t>22</w:t>
            </w:r>
          </w:p>
        </w:tc>
        <w:tc>
          <w:tcPr>
            <w:tcW w:w="807" w:type="pct"/>
            <w:tcBorders>
              <w:top w:val="single" w:sz="4" w:space="0" w:color="auto"/>
              <w:left w:val="single" w:sz="4" w:space="0" w:color="auto"/>
              <w:bottom w:val="single" w:sz="4" w:space="0" w:color="auto"/>
              <w:right w:val="single" w:sz="4" w:space="0" w:color="auto"/>
            </w:tcBorders>
            <w:noWrap/>
            <w:vAlign w:val="center"/>
            <w:hideMark/>
          </w:tcPr>
          <w:p w14:paraId="2B6235EA" w14:textId="77777777" w:rsidR="00677577" w:rsidRPr="00983357" w:rsidRDefault="00677577">
            <w:pPr>
              <w:spacing w:after="0"/>
              <w:jc w:val="right"/>
              <w:rPr>
                <w:rFonts w:ascii="Aptos" w:eastAsia="Aptos" w:hAnsi="Aptos" w:cs="Times New Roman"/>
                <w:sz w:val="20"/>
                <w:szCs w:val="20"/>
              </w:rPr>
            </w:pPr>
            <w:r w:rsidRPr="00983357">
              <w:rPr>
                <w:rFonts w:ascii="Aptos" w:eastAsia="Aptos" w:hAnsi="Aptos" w:cs="Times New Roman"/>
                <w:sz w:val="20"/>
                <w:szCs w:val="20"/>
              </w:rPr>
              <w:t>22</w:t>
            </w:r>
          </w:p>
        </w:tc>
        <w:tc>
          <w:tcPr>
            <w:tcW w:w="806" w:type="pct"/>
            <w:tcBorders>
              <w:top w:val="single" w:sz="4" w:space="0" w:color="auto"/>
              <w:left w:val="single" w:sz="4" w:space="0" w:color="auto"/>
              <w:bottom w:val="single" w:sz="4" w:space="0" w:color="auto"/>
              <w:right w:val="single" w:sz="4" w:space="0" w:color="auto"/>
            </w:tcBorders>
            <w:noWrap/>
            <w:vAlign w:val="center"/>
            <w:hideMark/>
          </w:tcPr>
          <w:p w14:paraId="71BB20C1" w14:textId="77777777" w:rsidR="00677577" w:rsidRPr="00983357" w:rsidRDefault="00677577">
            <w:pPr>
              <w:spacing w:after="0"/>
              <w:jc w:val="right"/>
              <w:rPr>
                <w:rFonts w:ascii="Aptos" w:eastAsia="Aptos" w:hAnsi="Aptos" w:cs="Times New Roman"/>
                <w:sz w:val="20"/>
                <w:szCs w:val="20"/>
              </w:rPr>
            </w:pPr>
            <w:r w:rsidRPr="00983357">
              <w:rPr>
                <w:rFonts w:ascii="Aptos" w:eastAsia="Aptos" w:hAnsi="Aptos" w:cs="Times New Roman"/>
                <w:sz w:val="20"/>
                <w:szCs w:val="20"/>
              </w:rPr>
              <w:t>23</w:t>
            </w:r>
          </w:p>
        </w:tc>
      </w:tr>
      <w:tr w:rsidR="00677577" w:rsidRPr="00FD4F1B" w14:paraId="73BA3850" w14:textId="77777777">
        <w:trPr>
          <w:trHeight w:val="397"/>
        </w:trPr>
        <w:tc>
          <w:tcPr>
            <w:tcW w:w="2580" w:type="pct"/>
            <w:tcBorders>
              <w:top w:val="single" w:sz="4" w:space="0" w:color="auto"/>
              <w:left w:val="single" w:sz="4" w:space="0" w:color="auto"/>
              <w:bottom w:val="single" w:sz="4" w:space="0" w:color="auto"/>
              <w:right w:val="single" w:sz="4" w:space="0" w:color="auto"/>
            </w:tcBorders>
            <w:noWrap/>
            <w:vAlign w:val="center"/>
            <w:hideMark/>
          </w:tcPr>
          <w:p w14:paraId="045AF797" w14:textId="77777777" w:rsidR="00677577" w:rsidRPr="00983357" w:rsidRDefault="00677577" w:rsidP="00983357">
            <w:pPr>
              <w:spacing w:after="0"/>
              <w:rPr>
                <w:rFonts w:ascii="Aptos" w:eastAsia="Aptos" w:hAnsi="Aptos" w:cs="Times New Roman"/>
                <w:sz w:val="20"/>
                <w:szCs w:val="20"/>
              </w:rPr>
            </w:pPr>
            <w:r w:rsidRPr="00983357">
              <w:rPr>
                <w:rFonts w:ascii="Aptos" w:eastAsia="Aptos" w:hAnsi="Aptos" w:cs="Times New Roman"/>
                <w:sz w:val="20"/>
                <w:szCs w:val="20"/>
              </w:rPr>
              <w:t>Approved without undertakings or amendments</w:t>
            </w:r>
          </w:p>
        </w:tc>
        <w:tc>
          <w:tcPr>
            <w:tcW w:w="807" w:type="pct"/>
            <w:tcBorders>
              <w:top w:val="single" w:sz="4" w:space="0" w:color="auto"/>
              <w:left w:val="single" w:sz="4" w:space="0" w:color="auto"/>
              <w:bottom w:val="single" w:sz="4" w:space="0" w:color="auto"/>
              <w:right w:val="single" w:sz="4" w:space="0" w:color="auto"/>
            </w:tcBorders>
            <w:noWrap/>
            <w:vAlign w:val="center"/>
            <w:hideMark/>
          </w:tcPr>
          <w:p w14:paraId="30D90092" w14:textId="77777777" w:rsidR="00677577" w:rsidRPr="00983357" w:rsidRDefault="00677577">
            <w:pPr>
              <w:spacing w:after="0"/>
              <w:jc w:val="right"/>
              <w:rPr>
                <w:rFonts w:ascii="Aptos" w:eastAsia="Aptos" w:hAnsi="Aptos" w:cs="Times New Roman"/>
                <w:sz w:val="20"/>
                <w:szCs w:val="20"/>
              </w:rPr>
            </w:pPr>
            <w:r w:rsidRPr="00983357">
              <w:rPr>
                <w:rFonts w:ascii="Aptos" w:eastAsia="Aptos" w:hAnsi="Aptos" w:cs="Times New Roman"/>
                <w:sz w:val="20"/>
                <w:szCs w:val="20"/>
              </w:rPr>
              <w:t>12</w:t>
            </w:r>
          </w:p>
        </w:tc>
        <w:tc>
          <w:tcPr>
            <w:tcW w:w="807" w:type="pct"/>
            <w:tcBorders>
              <w:top w:val="single" w:sz="4" w:space="0" w:color="auto"/>
              <w:left w:val="single" w:sz="4" w:space="0" w:color="auto"/>
              <w:bottom w:val="single" w:sz="4" w:space="0" w:color="auto"/>
              <w:right w:val="single" w:sz="4" w:space="0" w:color="auto"/>
            </w:tcBorders>
            <w:noWrap/>
            <w:vAlign w:val="center"/>
            <w:hideMark/>
          </w:tcPr>
          <w:p w14:paraId="0FF7BB08" w14:textId="77777777" w:rsidR="00677577" w:rsidRPr="00983357" w:rsidRDefault="00677577">
            <w:pPr>
              <w:spacing w:after="0"/>
              <w:jc w:val="right"/>
              <w:rPr>
                <w:rFonts w:ascii="Aptos" w:eastAsia="Aptos" w:hAnsi="Aptos" w:cs="Times New Roman"/>
                <w:sz w:val="20"/>
                <w:szCs w:val="20"/>
              </w:rPr>
            </w:pPr>
            <w:r w:rsidRPr="00983357">
              <w:rPr>
                <w:rFonts w:ascii="Aptos" w:eastAsia="Aptos" w:hAnsi="Aptos" w:cs="Times New Roman"/>
                <w:sz w:val="20"/>
                <w:szCs w:val="20"/>
              </w:rPr>
              <w:t>12</w:t>
            </w:r>
          </w:p>
        </w:tc>
        <w:tc>
          <w:tcPr>
            <w:tcW w:w="806" w:type="pct"/>
            <w:tcBorders>
              <w:top w:val="single" w:sz="4" w:space="0" w:color="auto"/>
              <w:left w:val="single" w:sz="4" w:space="0" w:color="auto"/>
              <w:bottom w:val="single" w:sz="4" w:space="0" w:color="auto"/>
              <w:right w:val="single" w:sz="4" w:space="0" w:color="auto"/>
            </w:tcBorders>
            <w:noWrap/>
            <w:vAlign w:val="center"/>
            <w:hideMark/>
          </w:tcPr>
          <w:p w14:paraId="2DCEDB27" w14:textId="77777777" w:rsidR="00677577" w:rsidRPr="00983357" w:rsidRDefault="00677577">
            <w:pPr>
              <w:spacing w:after="0"/>
              <w:jc w:val="right"/>
              <w:rPr>
                <w:rFonts w:ascii="Aptos" w:eastAsia="Aptos" w:hAnsi="Aptos" w:cs="Times New Roman"/>
                <w:sz w:val="20"/>
                <w:szCs w:val="20"/>
              </w:rPr>
            </w:pPr>
            <w:r w:rsidRPr="00983357">
              <w:rPr>
                <w:rFonts w:ascii="Aptos" w:eastAsia="Aptos" w:hAnsi="Aptos" w:cs="Times New Roman"/>
                <w:sz w:val="20"/>
                <w:szCs w:val="20"/>
              </w:rPr>
              <w:t>12</w:t>
            </w:r>
          </w:p>
        </w:tc>
      </w:tr>
    </w:tbl>
    <w:p w14:paraId="4A0F4A66" w14:textId="77777777" w:rsidR="00677577" w:rsidRPr="00B45F7C" w:rsidRDefault="00677577" w:rsidP="00677577">
      <w:pPr>
        <w:spacing w:before="120"/>
        <w:rPr>
          <w:rFonts w:ascii="Aptos" w:eastAsia="Aptos" w:hAnsi="Aptos" w:cs="Times New Roman"/>
          <w:sz w:val="18"/>
        </w:rPr>
      </w:pPr>
      <w:r w:rsidRPr="00B45F7C">
        <w:rPr>
          <w:rFonts w:ascii="Aptos" w:eastAsia="Aptos" w:hAnsi="Aptos" w:cs="Times New Roman"/>
          <w:b/>
          <w:bCs/>
          <w:sz w:val="18"/>
        </w:rPr>
        <w:t xml:space="preserve">Source: </w:t>
      </w:r>
      <w:r w:rsidRPr="00B45F7C">
        <w:rPr>
          <w:rFonts w:ascii="Aptos" w:eastAsia="Aptos" w:hAnsi="Aptos" w:cs="Times New Roman"/>
          <w:sz w:val="18"/>
        </w:rPr>
        <w:t>Review analysis of data provided by the FWC, July 2021 – June 2024.</w:t>
      </w:r>
    </w:p>
    <w:p w14:paraId="47A61647" w14:textId="7C6EA831" w:rsidR="00677577" w:rsidRPr="00B45F7C" w:rsidRDefault="00844718" w:rsidP="00983357">
      <w:pPr>
        <w:pStyle w:val="Caption"/>
      </w:pPr>
      <w:bookmarkStart w:id="1078" w:name="_Ref187684161"/>
      <w:bookmarkStart w:id="1079" w:name="_Toc187688541"/>
      <w:bookmarkStart w:id="1080" w:name="_Toc189310843"/>
      <w:bookmarkStart w:id="1081" w:name="_Toc194251557"/>
      <w:r>
        <w:t xml:space="preserve">Figure </w:t>
      </w:r>
      <w:r>
        <w:fldChar w:fldCharType="begin"/>
      </w:r>
      <w:r>
        <w:instrText xml:space="preserve"> SEQ Figure \* ARABIC </w:instrText>
      </w:r>
      <w:r>
        <w:fldChar w:fldCharType="separate"/>
      </w:r>
      <w:r w:rsidR="00DE5F5E">
        <w:rPr>
          <w:noProof/>
        </w:rPr>
        <w:t>59</w:t>
      </w:r>
      <w:r>
        <w:fldChar w:fldCharType="end"/>
      </w:r>
      <w:r>
        <w:t xml:space="preserve">: </w:t>
      </w:r>
      <w:r w:rsidR="00677577" w:rsidRPr="00B45F7C">
        <w:t>Approval decisions plot by financial year</w:t>
      </w:r>
      <w:bookmarkEnd w:id="1078"/>
      <w:bookmarkEnd w:id="1079"/>
      <w:r w:rsidR="00677577" w:rsidRPr="00B45F7C">
        <w:t>, 2021 to 2024</w:t>
      </w:r>
      <w:bookmarkEnd w:id="1080"/>
      <w:bookmarkEnd w:id="1081"/>
    </w:p>
    <w:p w14:paraId="49B178DC" w14:textId="189E9904" w:rsidR="00677577" w:rsidRPr="00B45F7C" w:rsidRDefault="00677577" w:rsidP="00677577">
      <w:pPr>
        <w:rPr>
          <w:rFonts w:ascii="Aptos" w:eastAsia="Aptos" w:hAnsi="Aptos" w:cs="Times New Roman"/>
          <w:lang w:val="en-US"/>
        </w:rPr>
      </w:pPr>
      <w:r w:rsidRPr="00B45F7C">
        <w:rPr>
          <w:rFonts w:ascii="Aptos" w:eastAsia="Aptos" w:hAnsi="Aptos" w:cs="Times New Roman"/>
          <w:noProof/>
        </w:rPr>
        <w:drawing>
          <wp:inline distT="0" distB="0" distL="0" distR="0" wp14:anchorId="637EBF74" wp14:editId="6D5D50DD">
            <wp:extent cx="5723809" cy="3742857"/>
            <wp:effectExtent l="0" t="0" r="0" b="0"/>
            <wp:docPr id="2034310513" name="Picture 1" descr="A box and whisker plot showing an approval decision plot by financial year.&#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310513" name="Picture 1" descr="A box and whisker plot showing an approval decision plot by financial year.&#10;&#10;See alt-text following the source."/>
                    <pic:cNvPicPr/>
                  </pic:nvPicPr>
                  <pic:blipFill>
                    <a:blip r:embed="rId75"/>
                    <a:stretch>
                      <a:fillRect/>
                    </a:stretch>
                  </pic:blipFill>
                  <pic:spPr>
                    <a:xfrm>
                      <a:off x="0" y="0"/>
                      <a:ext cx="5723809" cy="3742857"/>
                    </a:xfrm>
                    <a:prstGeom prst="rect">
                      <a:avLst/>
                    </a:prstGeom>
                  </pic:spPr>
                </pic:pic>
              </a:graphicData>
            </a:graphic>
          </wp:inline>
        </w:drawing>
      </w:r>
    </w:p>
    <w:p w14:paraId="38766C4F" w14:textId="77777777" w:rsidR="00677577" w:rsidRPr="00B45F7C" w:rsidRDefault="00677577" w:rsidP="00677577">
      <w:pPr>
        <w:spacing w:before="120"/>
        <w:rPr>
          <w:rFonts w:ascii="Aptos" w:eastAsia="Aptos" w:hAnsi="Aptos" w:cs="Times New Roman"/>
          <w:sz w:val="18"/>
        </w:rPr>
      </w:pPr>
      <w:r w:rsidRPr="00B45F7C">
        <w:rPr>
          <w:rFonts w:ascii="Aptos" w:eastAsia="Aptos" w:hAnsi="Aptos" w:cs="Times New Roman"/>
          <w:b/>
          <w:bCs/>
          <w:sz w:val="18"/>
        </w:rPr>
        <w:t xml:space="preserve">Source: </w:t>
      </w:r>
      <w:r w:rsidRPr="00B45F7C">
        <w:rPr>
          <w:rFonts w:ascii="Aptos" w:eastAsia="Aptos" w:hAnsi="Aptos" w:cs="Times New Roman"/>
          <w:sz w:val="18"/>
        </w:rPr>
        <w:t>Review analysis of data provided by the FWC, July 2021 – June 2024.</w:t>
      </w:r>
    </w:p>
    <w:p w14:paraId="73B99E42" w14:textId="5E98FD45" w:rsidR="00677577" w:rsidRPr="00B45F7C" w:rsidRDefault="00677577" w:rsidP="00324372">
      <w:pPr>
        <w:spacing w:before="120"/>
        <w:rPr>
          <w:rFonts w:ascii="Aptos Display" w:eastAsia="Times New Roman" w:hAnsi="Aptos Display" w:cs="Times New Roman"/>
          <w:b/>
          <w:color w:val="0D2C6C"/>
          <w:sz w:val="32"/>
        </w:rPr>
      </w:pPr>
      <w:r w:rsidRPr="00B45F7C">
        <w:rPr>
          <w:rFonts w:ascii="Aptos" w:eastAsia="Aptos" w:hAnsi="Aptos" w:cs="Times New Roman"/>
          <w:b/>
          <w:bCs/>
          <w:sz w:val="18"/>
        </w:rPr>
        <w:t>Alt text:</w:t>
      </w:r>
      <w:r w:rsidRPr="00B45F7C">
        <w:rPr>
          <w:rFonts w:ascii="Aptos" w:eastAsia="Aptos" w:hAnsi="Aptos" w:cs="Times New Roman"/>
          <w:sz w:val="18"/>
        </w:rPr>
        <w:t xml:space="preserve"> A box and whisker plot showing the distribution of calendar days taken for the </w:t>
      </w:r>
      <w:r w:rsidR="007C79C4">
        <w:rPr>
          <w:rFonts w:ascii="Aptos" w:eastAsia="Aptos" w:hAnsi="Aptos" w:cs="Times New Roman"/>
          <w:sz w:val="18"/>
        </w:rPr>
        <w:t>Fair Work Commission</w:t>
      </w:r>
      <w:r w:rsidR="007C79C4" w:rsidRPr="00B45F7C">
        <w:rPr>
          <w:rFonts w:ascii="Aptos" w:eastAsia="Aptos" w:hAnsi="Aptos" w:cs="Times New Roman"/>
          <w:sz w:val="18"/>
        </w:rPr>
        <w:t xml:space="preserve"> </w:t>
      </w:r>
      <w:r w:rsidRPr="00B45F7C">
        <w:rPr>
          <w:rFonts w:ascii="Aptos" w:eastAsia="Aptos" w:hAnsi="Aptos" w:cs="Times New Roman"/>
          <w:sz w:val="18"/>
        </w:rPr>
        <w:t>to approve an enterprise agreement once an application for approval is lodged. It shows a relatively consistent spread over the financial years compared, with the median days for all approvals being 15 in 2021</w:t>
      </w:r>
      <w:r w:rsidRPr="00B45F7C">
        <w:rPr>
          <w:rFonts w:ascii="Symbol" w:eastAsia="Symbol" w:hAnsi="Symbol" w:cs="Symbol"/>
          <w:sz w:val="18"/>
        </w:rPr>
        <w:sym w:font="Symbol" w:char="F02D"/>
      </w:r>
      <w:r w:rsidRPr="00B45F7C">
        <w:rPr>
          <w:rFonts w:ascii="Aptos" w:eastAsia="Aptos" w:hAnsi="Aptos" w:cs="Times New Roman"/>
          <w:sz w:val="18"/>
        </w:rPr>
        <w:t>22, 17 in 2022</w:t>
      </w:r>
      <w:r w:rsidRPr="00B45F7C">
        <w:rPr>
          <w:rFonts w:ascii="Symbol" w:eastAsia="Symbol" w:hAnsi="Symbol" w:cs="Symbol"/>
          <w:sz w:val="18"/>
        </w:rPr>
        <w:sym w:font="Symbol" w:char="F02D"/>
      </w:r>
      <w:r w:rsidRPr="00B45F7C">
        <w:rPr>
          <w:rFonts w:ascii="Aptos" w:eastAsia="Aptos" w:hAnsi="Aptos" w:cs="Times New Roman"/>
          <w:sz w:val="18"/>
        </w:rPr>
        <w:t>23, and 16 in 2023</w:t>
      </w:r>
      <w:r w:rsidRPr="00B45F7C">
        <w:rPr>
          <w:rFonts w:ascii="Symbol" w:eastAsia="Symbol" w:hAnsi="Symbol" w:cs="Symbol"/>
          <w:sz w:val="18"/>
        </w:rPr>
        <w:sym w:font="Symbol" w:char="F02D"/>
      </w:r>
      <w:r w:rsidRPr="00B45F7C">
        <w:rPr>
          <w:rFonts w:ascii="Aptos" w:eastAsia="Aptos" w:hAnsi="Aptos" w:cs="Times New Roman"/>
          <w:sz w:val="18"/>
        </w:rPr>
        <w:t>24.</w:t>
      </w:r>
      <w:r w:rsidRPr="00B45F7C">
        <w:rPr>
          <w:rFonts w:ascii="Aptos" w:eastAsia="Aptos" w:hAnsi="Aptos" w:cs="Times New Roman"/>
          <w:sz w:val="18"/>
        </w:rPr>
        <w:br w:type="page"/>
      </w:r>
      <w:bookmarkStart w:id="1082" w:name="_Toc189393680"/>
      <w:bookmarkStart w:id="1083" w:name="_Toc192258349"/>
      <w:r w:rsidRPr="00B45F7C">
        <w:rPr>
          <w:rFonts w:ascii="Aptos Display" w:eastAsia="Times New Roman" w:hAnsi="Aptos Display" w:cs="Times New Roman"/>
          <w:b/>
          <w:color w:val="0D2C6C"/>
          <w:sz w:val="32"/>
        </w:rPr>
        <w:t xml:space="preserve">4. </w:t>
      </w:r>
      <w:bookmarkStart w:id="1084" w:name="_Toc188278062"/>
      <w:r w:rsidRPr="00B45F7C">
        <w:rPr>
          <w:rFonts w:ascii="Aptos Display" w:eastAsia="Times New Roman" w:hAnsi="Aptos Display" w:cs="Times New Roman"/>
          <w:b/>
          <w:color w:val="0D2C6C"/>
          <w:sz w:val="32"/>
        </w:rPr>
        <w:t>Majority support determination applications</w:t>
      </w:r>
      <w:bookmarkEnd w:id="1082"/>
      <w:bookmarkEnd w:id="1083"/>
      <w:bookmarkEnd w:id="1084"/>
    </w:p>
    <w:p w14:paraId="6554AD62" w14:textId="77777777" w:rsidR="0011475D" w:rsidRDefault="00677577" w:rsidP="00677577">
      <w:pPr>
        <w:rPr>
          <w:rFonts w:ascii="Aptos" w:eastAsia="Aptos" w:hAnsi="Aptos" w:cs="Times New Roman"/>
        </w:rPr>
      </w:pPr>
      <w:r w:rsidRPr="00B45F7C">
        <w:rPr>
          <w:rFonts w:ascii="Aptos" w:eastAsia="Aptos" w:hAnsi="Aptos" w:cs="Times New Roman"/>
        </w:rPr>
        <w:t>The Secure Jobs, Better Pay amendments provided an additional avenue for employees to commence bargaining to replace a nominally expired agreement, enabling a bargaining representative to commence bargaining without the need for a majority support determination.</w:t>
      </w:r>
    </w:p>
    <w:p w14:paraId="20CAB698" w14:textId="7DEE1083" w:rsidR="00677577" w:rsidRPr="00B45F7C" w:rsidRDefault="00677577" w:rsidP="00677577">
      <w:pPr>
        <w:rPr>
          <w:rFonts w:ascii="Aptos" w:eastAsia="Aptos" w:hAnsi="Aptos" w:cs="Times New Roman"/>
        </w:rPr>
      </w:pPr>
      <w:r w:rsidRPr="00B45F7C">
        <w:rPr>
          <w:rFonts w:ascii="Aptos" w:eastAsia="Aptos" w:hAnsi="Aptos" w:cs="Times New Roman"/>
        </w:rPr>
        <w:t xml:space="preserve">The removal of the requirement for a majority support determination to commence bargaining in these circumstances has not resulted in a notable decrease in their use. </w:t>
      </w:r>
      <w:r w:rsidRPr="00FD4F1B">
        <w:rPr>
          <w:rFonts w:ascii="Aptos" w:eastAsia="Aptos" w:hAnsi="Aptos" w:cs="Times New Roman"/>
        </w:rPr>
        <w:t xml:space="preserve">As </w:t>
      </w:r>
      <w:r w:rsidRPr="00983357">
        <w:rPr>
          <w:rFonts w:ascii="Aptos" w:eastAsia="Aptos" w:hAnsi="Aptos" w:cs="Times New Roman"/>
        </w:rPr>
        <w:t xml:space="preserve">Figure </w:t>
      </w:r>
      <w:r w:rsidR="00844718" w:rsidRPr="00983357">
        <w:rPr>
          <w:rFonts w:ascii="Aptos" w:eastAsia="Aptos" w:hAnsi="Aptos" w:cs="Times New Roman"/>
        </w:rPr>
        <w:t>60</w:t>
      </w:r>
      <w:r w:rsidRPr="00FD4F1B">
        <w:rPr>
          <w:rFonts w:ascii="Aptos" w:eastAsia="Aptos" w:hAnsi="Aptos" w:cs="Times New Roman"/>
        </w:rPr>
        <w:t xml:space="preserve"> shows,</w:t>
      </w:r>
      <w:r w:rsidRPr="00B45F7C">
        <w:rPr>
          <w:rFonts w:ascii="Aptos" w:eastAsia="Aptos" w:hAnsi="Aptos" w:cs="Times New Roman"/>
        </w:rPr>
        <w:t xml:space="preserve"> while applications in total have decreased, so has the rate of withdrawal and dismissal.</w:t>
      </w:r>
    </w:p>
    <w:p w14:paraId="1BCBB518" w14:textId="5F26FE11" w:rsidR="00677577" w:rsidRPr="00B45F7C" w:rsidRDefault="00844718" w:rsidP="00983357">
      <w:pPr>
        <w:pStyle w:val="Caption"/>
      </w:pPr>
      <w:bookmarkStart w:id="1085" w:name="_Ref187487942"/>
      <w:bookmarkStart w:id="1086" w:name="_Toc187688542"/>
      <w:bookmarkStart w:id="1087" w:name="_Toc189310844"/>
      <w:bookmarkStart w:id="1088" w:name="_Toc194251558"/>
      <w:r>
        <w:t xml:space="preserve">Figure </w:t>
      </w:r>
      <w:r>
        <w:fldChar w:fldCharType="begin"/>
      </w:r>
      <w:r>
        <w:instrText xml:space="preserve"> SEQ Figure \* ARABIC </w:instrText>
      </w:r>
      <w:r>
        <w:fldChar w:fldCharType="separate"/>
      </w:r>
      <w:r w:rsidR="00DE5F5E">
        <w:rPr>
          <w:noProof/>
        </w:rPr>
        <w:t>60</w:t>
      </w:r>
      <w:r>
        <w:fldChar w:fldCharType="end"/>
      </w:r>
      <w:r>
        <w:t xml:space="preserve">: </w:t>
      </w:r>
      <w:r w:rsidR="00677577" w:rsidRPr="00B45F7C">
        <w:t>Outcomes of majority support determination (s 236)</w:t>
      </w:r>
      <w:bookmarkEnd w:id="1085"/>
      <w:bookmarkEnd w:id="1086"/>
      <w:r w:rsidR="00677577" w:rsidRPr="00B45F7C">
        <w:t xml:space="preserve"> applications, 2022 to 2024</w:t>
      </w:r>
      <w:bookmarkEnd w:id="1087"/>
      <w:bookmarkEnd w:id="1088"/>
    </w:p>
    <w:p w14:paraId="21779F32" w14:textId="03A7B7E4" w:rsidR="00677577" w:rsidRPr="00B45F7C" w:rsidRDefault="00257565" w:rsidP="00677577">
      <w:pPr>
        <w:spacing w:before="120"/>
        <w:rPr>
          <w:rFonts w:ascii="Aptos" w:eastAsia="Aptos" w:hAnsi="Aptos" w:cs="Times New Roman"/>
          <w:sz w:val="18"/>
        </w:rPr>
      </w:pPr>
      <w:r>
        <w:rPr>
          <w:rFonts w:ascii="Aptos" w:eastAsia="Aptos" w:hAnsi="Aptos" w:cs="Times New Roman"/>
          <w:b/>
          <w:bCs/>
          <w:noProof/>
          <w:sz w:val="18"/>
        </w:rPr>
        <w:drawing>
          <wp:inline distT="0" distB="0" distL="0" distR="0" wp14:anchorId="54465FF9" wp14:editId="32B566F5">
            <wp:extent cx="5782943" cy="3732451"/>
            <wp:effectExtent l="0" t="0" r="8890" b="1905"/>
            <wp:docPr id="1089116859" name="Picture 5" descr="A clustered column chart showing outcomes of majority support determination applications.&#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116859" name="Picture 5" descr="A clustered column chart showing outcomes of majority support determination applications.&#10;&#10;See alt-text following the source."/>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782943" cy="3732451"/>
                    </a:xfrm>
                    <a:prstGeom prst="rect">
                      <a:avLst/>
                    </a:prstGeom>
                  </pic:spPr>
                </pic:pic>
              </a:graphicData>
            </a:graphic>
          </wp:inline>
        </w:drawing>
      </w:r>
      <w:r w:rsidR="00677577" w:rsidRPr="00B45F7C">
        <w:rPr>
          <w:rFonts w:ascii="Aptos" w:eastAsia="Aptos" w:hAnsi="Aptos" w:cs="Times New Roman"/>
          <w:b/>
          <w:bCs/>
          <w:sz w:val="18"/>
        </w:rPr>
        <w:t xml:space="preserve">Source: </w:t>
      </w:r>
      <w:r w:rsidR="00677577" w:rsidRPr="00B45F7C">
        <w:rPr>
          <w:rFonts w:ascii="Aptos" w:eastAsia="Aptos" w:hAnsi="Aptos" w:cs="Times New Roman"/>
          <w:sz w:val="18"/>
        </w:rPr>
        <w:t xml:space="preserve">Review analysis of data provided by the </w:t>
      </w:r>
      <w:r w:rsidR="00FD4F1B">
        <w:rPr>
          <w:rFonts w:ascii="Aptos" w:eastAsia="Aptos" w:hAnsi="Aptos" w:cs="Times New Roman"/>
          <w:sz w:val="18"/>
        </w:rPr>
        <w:t>Fair Work Commission</w:t>
      </w:r>
      <w:r w:rsidR="00677577" w:rsidRPr="00B45F7C">
        <w:rPr>
          <w:rFonts w:ascii="Aptos" w:eastAsia="Aptos" w:hAnsi="Aptos" w:cs="Times New Roman"/>
          <w:sz w:val="18"/>
        </w:rPr>
        <w:t xml:space="preserve">, </w:t>
      </w:r>
      <w:r w:rsidR="00677577">
        <w:rPr>
          <w:rFonts w:ascii="Aptos" w:eastAsia="Aptos" w:hAnsi="Aptos" w:cs="Times New Roman"/>
          <w:sz w:val="18"/>
        </w:rPr>
        <w:t>2022</w:t>
      </w:r>
      <w:r w:rsidR="00FD4F1B">
        <w:rPr>
          <w:rFonts w:ascii="Symbol" w:eastAsia="Symbol" w:hAnsi="Symbol" w:cs="Symbol"/>
          <w:sz w:val="18"/>
        </w:rPr>
        <w:sym w:font="Symbol" w:char="F02D"/>
      </w:r>
      <w:r w:rsidR="00677577" w:rsidRPr="00B45F7C">
        <w:rPr>
          <w:rFonts w:ascii="Aptos" w:eastAsia="Aptos" w:hAnsi="Aptos" w:cs="Times New Roman"/>
          <w:sz w:val="18"/>
        </w:rPr>
        <w:t>2024.</w:t>
      </w:r>
    </w:p>
    <w:p w14:paraId="350A6849" w14:textId="0B64704D" w:rsidR="0011475D" w:rsidRDefault="00677577" w:rsidP="00677577">
      <w:pPr>
        <w:spacing w:before="120"/>
        <w:rPr>
          <w:rFonts w:ascii="Aptos" w:eastAsia="Aptos" w:hAnsi="Aptos" w:cs="Times New Roman"/>
          <w:sz w:val="18"/>
        </w:rPr>
      </w:pPr>
      <w:r w:rsidRPr="00B45F7C">
        <w:rPr>
          <w:rFonts w:ascii="Aptos" w:eastAsia="Aptos" w:hAnsi="Aptos" w:cs="Times New Roman"/>
          <w:b/>
          <w:bCs/>
          <w:sz w:val="18"/>
        </w:rPr>
        <w:t>Alt text</w:t>
      </w:r>
      <w:r w:rsidRPr="00B45F7C">
        <w:rPr>
          <w:rFonts w:ascii="Aptos" w:eastAsia="Aptos" w:hAnsi="Aptos" w:cs="Times New Roman"/>
          <w:b/>
          <w:sz w:val="18"/>
        </w:rPr>
        <w:t>:</w:t>
      </w:r>
      <w:r w:rsidRPr="004C0142">
        <w:rPr>
          <w:rFonts w:ascii="Aptos" w:eastAsia="Aptos" w:hAnsi="Aptos" w:cs="Times New Roman"/>
          <w:sz w:val="18"/>
        </w:rPr>
        <w:t xml:space="preserve"> A clustered column chart showing the outcomes from majority support determination (MSD) applications for the 2022, 2023 and 2024 calendar years. In 2024 total MSD applications received was equal to 72. This compares with 109 in 2022 and 73 in 2023. The number of MSDs issued</w:t>
      </w:r>
      <w:r>
        <w:rPr>
          <w:rFonts w:ascii="Aptos" w:eastAsia="Aptos" w:hAnsi="Aptos" w:cs="Times New Roman"/>
          <w:sz w:val="18"/>
        </w:rPr>
        <w:t xml:space="preserve"> was consistent across the years</w:t>
      </w:r>
      <w:r w:rsidRPr="004C0142">
        <w:rPr>
          <w:rFonts w:ascii="Aptos" w:eastAsia="Aptos" w:hAnsi="Aptos" w:cs="Times New Roman"/>
          <w:sz w:val="18"/>
        </w:rPr>
        <w:t>.</w:t>
      </w:r>
    </w:p>
    <w:p w14:paraId="2B5A6EDE" w14:textId="7C8C7FA9" w:rsidR="00677577" w:rsidRPr="00B45F7C" w:rsidRDefault="00677577" w:rsidP="00677577">
      <w:pPr>
        <w:rPr>
          <w:rFonts w:ascii="Aptos" w:eastAsia="Aptos" w:hAnsi="Aptos" w:cs="Times New Roman"/>
        </w:rPr>
      </w:pPr>
      <w:r w:rsidRPr="00B45F7C">
        <w:rPr>
          <w:rFonts w:ascii="Aptos" w:eastAsia="Aptos" w:hAnsi="Aptos" w:cs="Times New Roman"/>
        </w:rPr>
        <w:br w:type="page"/>
      </w:r>
    </w:p>
    <w:p w14:paraId="475C1756" w14:textId="77777777" w:rsidR="00677577" w:rsidRPr="00B45F7C" w:rsidRDefault="00677577" w:rsidP="00677577">
      <w:pPr>
        <w:keepNext/>
        <w:keepLines/>
        <w:spacing w:before="320" w:after="60"/>
        <w:outlineLvl w:val="2"/>
        <w:rPr>
          <w:rFonts w:ascii="Aptos Display" w:eastAsia="Times New Roman" w:hAnsi="Aptos Display" w:cs="Times New Roman"/>
          <w:b/>
          <w:color w:val="0D2C6C"/>
          <w:sz w:val="32"/>
        </w:rPr>
      </w:pPr>
      <w:bookmarkStart w:id="1089" w:name="_Toc189393681"/>
      <w:bookmarkStart w:id="1090" w:name="_Toc192258350"/>
      <w:bookmarkStart w:id="1091" w:name="_Toc193826724"/>
      <w:bookmarkStart w:id="1092" w:name="_Toc194066987"/>
      <w:bookmarkStart w:id="1093" w:name="_Toc194311457"/>
      <w:r w:rsidRPr="00B45F7C">
        <w:rPr>
          <w:rFonts w:ascii="Aptos Display" w:eastAsia="Times New Roman" w:hAnsi="Aptos Display" w:cs="Times New Roman"/>
          <w:b/>
          <w:color w:val="0D2C6C"/>
          <w:sz w:val="32"/>
        </w:rPr>
        <w:t xml:space="preserve">5. </w:t>
      </w:r>
      <w:bookmarkStart w:id="1094" w:name="_Toc188278063"/>
      <w:r w:rsidRPr="00B45F7C">
        <w:rPr>
          <w:rFonts w:ascii="Aptos Display" w:eastAsia="Times New Roman" w:hAnsi="Aptos Display" w:cs="Times New Roman"/>
          <w:b/>
          <w:color w:val="0D2C6C"/>
          <w:sz w:val="32"/>
        </w:rPr>
        <w:t>Industrial action</w:t>
      </w:r>
      <w:bookmarkEnd w:id="1089"/>
      <w:bookmarkEnd w:id="1090"/>
      <w:bookmarkEnd w:id="1091"/>
      <w:bookmarkEnd w:id="1092"/>
      <w:bookmarkEnd w:id="1093"/>
      <w:bookmarkEnd w:id="1094"/>
    </w:p>
    <w:p w14:paraId="32F80C2B" w14:textId="347EF0CA" w:rsidR="00677577" w:rsidRPr="00B45F7C" w:rsidRDefault="00677577" w:rsidP="00677577">
      <w:pPr>
        <w:rPr>
          <w:rFonts w:ascii="Aptos" w:eastAsia="Aptos" w:hAnsi="Aptos" w:cs="Times New Roman"/>
        </w:rPr>
      </w:pPr>
      <w:r w:rsidRPr="00B45F7C">
        <w:rPr>
          <w:rFonts w:ascii="Aptos" w:eastAsia="Aptos" w:hAnsi="Aptos" w:cs="Times New Roman"/>
        </w:rPr>
        <w:t xml:space="preserve">The incidence of applications for protected action ballot orders, and thus protected industrial </w:t>
      </w:r>
      <w:r w:rsidRPr="00FD4F1B">
        <w:rPr>
          <w:rFonts w:ascii="Aptos" w:eastAsia="Aptos" w:hAnsi="Aptos" w:cs="Times New Roman"/>
        </w:rPr>
        <w:t xml:space="preserve">action, has not significantly increased since the commencement of the provisions as shown in </w:t>
      </w:r>
      <w:r w:rsidRPr="00745D98">
        <w:rPr>
          <w:rFonts w:ascii="Aptos" w:eastAsia="Aptos" w:hAnsi="Aptos" w:cs="Times New Roman"/>
        </w:rPr>
        <w:t xml:space="preserve">Figure </w:t>
      </w:r>
      <w:r w:rsidR="00844718" w:rsidRPr="00745D98">
        <w:rPr>
          <w:rFonts w:ascii="Aptos" w:eastAsia="Aptos" w:hAnsi="Aptos" w:cs="Times New Roman"/>
        </w:rPr>
        <w:t>61</w:t>
      </w:r>
      <w:r w:rsidRPr="00FD4F1B">
        <w:rPr>
          <w:rFonts w:ascii="Aptos" w:eastAsia="Aptos" w:hAnsi="Aptos" w:cs="Times New Roman"/>
        </w:rPr>
        <w:t>.</w:t>
      </w:r>
    </w:p>
    <w:p w14:paraId="70F7A3DC" w14:textId="43E9E4A9" w:rsidR="00677577" w:rsidRPr="00B45F7C" w:rsidRDefault="00844718" w:rsidP="00745D98">
      <w:pPr>
        <w:pStyle w:val="Caption"/>
      </w:pPr>
      <w:bookmarkStart w:id="1095" w:name="_Toc187688543"/>
      <w:bookmarkStart w:id="1096" w:name="_Toc189310845"/>
      <w:bookmarkStart w:id="1097" w:name="_Toc194251559"/>
      <w:r>
        <w:t xml:space="preserve">Figure </w:t>
      </w:r>
      <w:r>
        <w:fldChar w:fldCharType="begin"/>
      </w:r>
      <w:r>
        <w:instrText xml:space="preserve"> SEQ Figure \* ARABIC </w:instrText>
      </w:r>
      <w:r>
        <w:fldChar w:fldCharType="separate"/>
      </w:r>
      <w:r w:rsidR="00DE5F5E">
        <w:rPr>
          <w:noProof/>
        </w:rPr>
        <w:t>61</w:t>
      </w:r>
      <w:r>
        <w:fldChar w:fldCharType="end"/>
      </w:r>
      <w:r>
        <w:t xml:space="preserve">: </w:t>
      </w:r>
      <w:r w:rsidR="00677577" w:rsidRPr="00B45F7C">
        <w:t>Monthly applications for a protected action ballot order (s 437)</w:t>
      </w:r>
      <w:bookmarkEnd w:id="1095"/>
      <w:r w:rsidR="00677577" w:rsidRPr="00B45F7C">
        <w:t xml:space="preserve">, </w:t>
      </w:r>
      <w:r w:rsidR="00677577">
        <w:t xml:space="preserve">July </w:t>
      </w:r>
      <w:r w:rsidR="00677577" w:rsidRPr="00B45F7C">
        <w:t xml:space="preserve">2021 to </w:t>
      </w:r>
      <w:r w:rsidR="00677577">
        <w:t xml:space="preserve">December </w:t>
      </w:r>
      <w:r w:rsidR="00677577" w:rsidRPr="00B45F7C">
        <w:t>2024</w:t>
      </w:r>
      <w:bookmarkEnd w:id="1096"/>
      <w:bookmarkEnd w:id="1097"/>
    </w:p>
    <w:p w14:paraId="70BF4BEB" w14:textId="0F9B921E" w:rsidR="00677577" w:rsidRPr="00B45F7C" w:rsidRDefault="00B91925" w:rsidP="00677577">
      <w:pPr>
        <w:spacing w:before="120"/>
        <w:rPr>
          <w:rFonts w:ascii="Aptos" w:eastAsia="Aptos" w:hAnsi="Aptos" w:cs="Times New Roman"/>
          <w:b/>
          <w:bCs/>
          <w:sz w:val="18"/>
        </w:rPr>
      </w:pPr>
      <w:r>
        <w:rPr>
          <w:rFonts w:ascii="Aptos" w:eastAsia="Aptos" w:hAnsi="Aptos" w:cs="Times New Roman"/>
          <w:b/>
          <w:bCs/>
          <w:noProof/>
          <w:sz w:val="18"/>
        </w:rPr>
        <w:drawing>
          <wp:inline distT="0" distB="0" distL="0" distR="0" wp14:anchorId="5E414E35" wp14:editId="3563DECF">
            <wp:extent cx="5904230" cy="3158490"/>
            <wp:effectExtent l="0" t="0" r="1270" b="3810"/>
            <wp:docPr id="1238895543" name="Picture 6" descr="A line graph showing monthly applications for a protected action ballot order.&#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895543" name="Picture 6" descr="A line graph showing monthly applications for a protected action ballot order.&#10;&#10;See alt-text following the source."/>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904230" cy="3158490"/>
                    </a:xfrm>
                    <a:prstGeom prst="rect">
                      <a:avLst/>
                    </a:prstGeom>
                  </pic:spPr>
                </pic:pic>
              </a:graphicData>
            </a:graphic>
          </wp:inline>
        </w:drawing>
      </w:r>
      <w:r w:rsidR="00677577" w:rsidRPr="00B45F7C">
        <w:rPr>
          <w:rFonts w:ascii="Aptos" w:eastAsia="Aptos" w:hAnsi="Aptos" w:cs="Times New Roman"/>
          <w:b/>
          <w:bCs/>
          <w:sz w:val="18"/>
        </w:rPr>
        <w:t xml:space="preserve">Source: </w:t>
      </w:r>
      <w:r w:rsidR="00677577" w:rsidRPr="00B45F7C">
        <w:rPr>
          <w:rFonts w:ascii="Aptos" w:eastAsia="Aptos" w:hAnsi="Aptos" w:cs="Times New Roman"/>
          <w:sz w:val="18"/>
        </w:rPr>
        <w:t xml:space="preserve">Review analysis of data provided by the FWC, July 2021 – </w:t>
      </w:r>
      <w:r w:rsidR="00677577">
        <w:rPr>
          <w:rFonts w:ascii="Aptos" w:eastAsia="Aptos" w:hAnsi="Aptos" w:cs="Times New Roman"/>
          <w:sz w:val="18"/>
        </w:rPr>
        <w:t xml:space="preserve">December </w:t>
      </w:r>
      <w:r w:rsidR="00677577" w:rsidRPr="00B45F7C">
        <w:rPr>
          <w:rFonts w:ascii="Aptos" w:eastAsia="Aptos" w:hAnsi="Aptos" w:cs="Times New Roman"/>
          <w:sz w:val="18"/>
        </w:rPr>
        <w:t>2024.</w:t>
      </w:r>
    </w:p>
    <w:p w14:paraId="75D066E9" w14:textId="77777777" w:rsidR="00677577" w:rsidRPr="00B45F7C" w:rsidRDefault="00677577" w:rsidP="00677577">
      <w:pPr>
        <w:spacing w:before="120"/>
        <w:rPr>
          <w:rFonts w:ascii="Aptos" w:eastAsia="Aptos" w:hAnsi="Aptos" w:cs="Times New Roman"/>
          <w:sz w:val="18"/>
        </w:rPr>
      </w:pPr>
      <w:r w:rsidRPr="00B45F7C">
        <w:rPr>
          <w:rFonts w:ascii="Aptos" w:eastAsia="Aptos" w:hAnsi="Aptos" w:cs="Times New Roman"/>
          <w:b/>
          <w:bCs/>
          <w:sz w:val="18"/>
        </w:rPr>
        <w:t>Alt text:</w:t>
      </w:r>
      <w:r w:rsidRPr="00B45F7C">
        <w:rPr>
          <w:rFonts w:ascii="Aptos" w:eastAsia="Aptos" w:hAnsi="Aptos" w:cs="Times New Roman"/>
          <w:sz w:val="18"/>
        </w:rPr>
        <w:t xml:space="preserve"> A line graph of the monthly applications for a protected action ballot order from July 2021 to </w:t>
      </w:r>
      <w:r>
        <w:rPr>
          <w:rFonts w:ascii="Aptos" w:eastAsia="Aptos" w:hAnsi="Aptos" w:cs="Times New Roman"/>
          <w:sz w:val="18"/>
        </w:rPr>
        <w:t>December</w:t>
      </w:r>
      <w:r w:rsidRPr="00B45F7C">
        <w:rPr>
          <w:rFonts w:ascii="Aptos" w:eastAsia="Aptos" w:hAnsi="Aptos" w:cs="Times New Roman"/>
          <w:sz w:val="18"/>
        </w:rPr>
        <w:t xml:space="preserve"> 2024, plus a trend line. The graph shows the number of applications has varied significantly by month in the reference period. The trend line slopes slightly upwards.</w:t>
      </w:r>
    </w:p>
    <w:p w14:paraId="5708F241" w14:textId="77777777" w:rsidR="00677577" w:rsidRPr="00B45F7C" w:rsidRDefault="00677577" w:rsidP="00677577">
      <w:pPr>
        <w:rPr>
          <w:rFonts w:ascii="Aptos" w:eastAsia="Aptos" w:hAnsi="Aptos" w:cs="Times New Roman"/>
        </w:rPr>
      </w:pPr>
      <w:r w:rsidRPr="00B45F7C">
        <w:rPr>
          <w:rFonts w:ascii="Aptos" w:eastAsia="Aptos" w:hAnsi="Aptos" w:cs="Times New Roman"/>
        </w:rPr>
        <w:br w:type="page"/>
      </w:r>
    </w:p>
    <w:p w14:paraId="0D4279F7" w14:textId="76D3F1E1" w:rsidR="00677577" w:rsidRPr="00B45F7C" w:rsidRDefault="00677577" w:rsidP="00677577">
      <w:pPr>
        <w:rPr>
          <w:rFonts w:ascii="Aptos" w:eastAsia="Aptos" w:hAnsi="Aptos" w:cs="Times New Roman"/>
        </w:rPr>
      </w:pPr>
      <w:r w:rsidRPr="0016355B">
        <w:rPr>
          <w:rFonts w:ascii="Aptos" w:eastAsia="Aptos" w:hAnsi="Aptos" w:cs="Times New Roman"/>
        </w:rPr>
        <w:t xml:space="preserve">Figure </w:t>
      </w:r>
      <w:r w:rsidR="00844718" w:rsidRPr="0016355B">
        <w:rPr>
          <w:rFonts w:ascii="Aptos" w:eastAsia="Aptos" w:hAnsi="Aptos" w:cs="Times New Roman"/>
        </w:rPr>
        <w:t>62</w:t>
      </w:r>
      <w:r w:rsidRPr="00FD4F1B">
        <w:rPr>
          <w:rFonts w:ascii="Aptos" w:eastAsia="Aptos" w:hAnsi="Aptos" w:cs="Times New Roman"/>
        </w:rPr>
        <w:t xml:space="preserve"> provides greater historical context to </w:t>
      </w:r>
      <w:r w:rsidR="00823B8E">
        <w:rPr>
          <w:rFonts w:ascii="Aptos" w:eastAsia="Aptos" w:hAnsi="Aptos" w:cs="Times New Roman"/>
        </w:rPr>
        <w:t>Figure 61,</w:t>
      </w:r>
      <w:r w:rsidRPr="00FD4F1B">
        <w:rPr>
          <w:rFonts w:ascii="Aptos" w:eastAsia="Aptos" w:hAnsi="Aptos" w:cs="Times New Roman"/>
        </w:rPr>
        <w:t xml:space="preserve"> demonstrating the relatively low</w:t>
      </w:r>
      <w:r w:rsidRPr="00B45F7C">
        <w:rPr>
          <w:rFonts w:ascii="Aptos" w:eastAsia="Aptos" w:hAnsi="Aptos" w:cs="Times New Roman"/>
        </w:rPr>
        <w:t xml:space="preserve"> incidence of industrial disputes and impact on the workforce in the last decade.</w:t>
      </w:r>
    </w:p>
    <w:p w14:paraId="4A4D9DBF" w14:textId="6E3B5E3E" w:rsidR="00677577" w:rsidRPr="00B45F7C" w:rsidRDefault="00844718" w:rsidP="0016355B">
      <w:pPr>
        <w:pStyle w:val="Caption"/>
      </w:pPr>
      <w:bookmarkStart w:id="1098" w:name="_Toc187688544"/>
      <w:bookmarkStart w:id="1099" w:name="_Toc189310846"/>
      <w:bookmarkStart w:id="1100" w:name="_Toc194251560"/>
      <w:r>
        <w:t xml:space="preserve">Figure </w:t>
      </w:r>
      <w:r>
        <w:fldChar w:fldCharType="begin"/>
      </w:r>
      <w:r>
        <w:instrText xml:space="preserve"> SEQ Figure \* ARABIC </w:instrText>
      </w:r>
      <w:r>
        <w:fldChar w:fldCharType="separate"/>
      </w:r>
      <w:r w:rsidR="00DE5F5E">
        <w:rPr>
          <w:noProof/>
        </w:rPr>
        <w:t>62</w:t>
      </w:r>
      <w:r>
        <w:fldChar w:fldCharType="end"/>
      </w:r>
      <w:r>
        <w:t xml:space="preserve">: </w:t>
      </w:r>
      <w:r w:rsidR="00677577" w:rsidRPr="00B45F7C">
        <w:t>Historical industrial disputes, quarterly</w:t>
      </w:r>
      <w:bookmarkEnd w:id="1098"/>
      <w:r w:rsidR="00677577" w:rsidRPr="00B45F7C">
        <w:t>, 1985 to 202</w:t>
      </w:r>
      <w:r w:rsidR="00677577">
        <w:t>4</w:t>
      </w:r>
      <w:bookmarkEnd w:id="1099"/>
      <w:bookmarkEnd w:id="1100"/>
    </w:p>
    <w:p w14:paraId="66690E96" w14:textId="3324FF06" w:rsidR="00677577" w:rsidRPr="00B45F7C" w:rsidRDefault="00CF4E38" w:rsidP="00677577">
      <w:pPr>
        <w:spacing w:before="120"/>
        <w:rPr>
          <w:rFonts w:ascii="Aptos" w:eastAsia="Aptos" w:hAnsi="Aptos" w:cs="Times New Roman"/>
          <w:sz w:val="18"/>
        </w:rPr>
      </w:pPr>
      <w:r>
        <w:rPr>
          <w:rFonts w:ascii="Aptos" w:eastAsia="Aptos" w:hAnsi="Aptos" w:cs="Times New Roman"/>
          <w:b/>
          <w:bCs/>
          <w:noProof/>
          <w:sz w:val="18"/>
        </w:rPr>
        <w:drawing>
          <wp:inline distT="0" distB="0" distL="0" distR="0" wp14:anchorId="2D585C0D" wp14:editId="2D011F10">
            <wp:extent cx="5849446" cy="3810037"/>
            <wp:effectExtent l="0" t="0" r="0" b="0"/>
            <wp:docPr id="1196934652" name="Picture 7" descr="A line graph showing the historical numbers of industrial disputes.&#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934652" name="Picture 7" descr="A line graph showing the historical numbers of industrial disputes.&#10;&#10;See alt-text following the source."/>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849446" cy="3810037"/>
                    </a:xfrm>
                    <a:prstGeom prst="rect">
                      <a:avLst/>
                    </a:prstGeom>
                  </pic:spPr>
                </pic:pic>
              </a:graphicData>
            </a:graphic>
          </wp:inline>
        </w:drawing>
      </w:r>
      <w:r w:rsidR="00677577" w:rsidRPr="00B45F7C">
        <w:rPr>
          <w:rFonts w:ascii="Aptos" w:eastAsia="Aptos" w:hAnsi="Aptos" w:cs="Times New Roman"/>
          <w:b/>
          <w:bCs/>
          <w:sz w:val="18"/>
        </w:rPr>
        <w:t>Source:</w:t>
      </w:r>
      <w:r w:rsidR="00677577" w:rsidRPr="00B45F7C">
        <w:rPr>
          <w:rFonts w:ascii="Aptos" w:eastAsia="Aptos" w:hAnsi="Aptos" w:cs="Times New Roman"/>
          <w:sz w:val="18"/>
        </w:rPr>
        <w:t xml:space="preserve"> ABS Industrial Disputes, Table 1: Industrial Disputes which occurred during the period, 2024.</w:t>
      </w:r>
    </w:p>
    <w:p w14:paraId="67618980" w14:textId="77777777" w:rsidR="00677577" w:rsidRPr="00B45F7C" w:rsidRDefault="00677577" w:rsidP="00677577">
      <w:pPr>
        <w:spacing w:before="120"/>
        <w:rPr>
          <w:rFonts w:ascii="Aptos" w:eastAsia="Aptos" w:hAnsi="Aptos" w:cs="Times New Roman"/>
          <w:sz w:val="18"/>
        </w:rPr>
      </w:pPr>
      <w:r w:rsidRPr="00B45F7C">
        <w:rPr>
          <w:rFonts w:ascii="Aptos" w:eastAsia="Aptos" w:hAnsi="Aptos" w:cs="Times New Roman"/>
          <w:b/>
          <w:bCs/>
          <w:sz w:val="18"/>
        </w:rPr>
        <w:t xml:space="preserve">Alt text: </w:t>
      </w:r>
      <w:r w:rsidRPr="00B45F7C">
        <w:rPr>
          <w:rFonts w:ascii="Aptos" w:eastAsia="Aptos" w:hAnsi="Aptos" w:cs="Times New Roman"/>
          <w:sz w:val="18"/>
        </w:rPr>
        <w:t>A line graph showing the number of new disputes, the employees involved in those disputes and the working days lost to those disputes on a monthly basis from the March quarter 1985 to the September quarter 2024. The number of new disputes peaked at 581 in the September quarter 1985, compared to 54 in the September quarter 2024. The number of employees involved and working days lost peaked in the December quarter 1992 with 694,300 employees and 669,200 working days, compared to 30,900 employees and 46,600 working days in the September quarter 2024.</w:t>
      </w:r>
    </w:p>
    <w:p w14:paraId="23E4DAC1" w14:textId="77777777" w:rsidR="00677577" w:rsidRPr="00B45F7C" w:rsidRDefault="00677577" w:rsidP="00677577">
      <w:pPr>
        <w:rPr>
          <w:rFonts w:ascii="Aptos" w:eastAsia="Aptos" w:hAnsi="Aptos" w:cs="Times New Roman"/>
          <w:b/>
          <w:bCs/>
        </w:rPr>
      </w:pPr>
      <w:r w:rsidRPr="00B45F7C">
        <w:rPr>
          <w:rFonts w:ascii="Aptos" w:eastAsia="Aptos" w:hAnsi="Aptos" w:cs="Times New Roman"/>
          <w:b/>
          <w:bCs/>
        </w:rPr>
        <w:br w:type="page"/>
      </w:r>
    </w:p>
    <w:p w14:paraId="67389EE2" w14:textId="77777777" w:rsidR="0011475D" w:rsidRDefault="00677577" w:rsidP="00677577">
      <w:pPr>
        <w:keepNext/>
        <w:keepLines/>
        <w:spacing w:before="320" w:after="60"/>
        <w:outlineLvl w:val="2"/>
        <w:rPr>
          <w:rFonts w:ascii="Aptos Display" w:eastAsia="Times New Roman" w:hAnsi="Aptos Display" w:cs="Times New Roman"/>
          <w:b/>
          <w:color w:val="0D2C6C"/>
          <w:sz w:val="32"/>
        </w:rPr>
      </w:pPr>
      <w:bookmarkStart w:id="1101" w:name="_Toc189393682"/>
      <w:bookmarkStart w:id="1102" w:name="_Toc192258351"/>
      <w:bookmarkStart w:id="1103" w:name="_Toc193826725"/>
      <w:bookmarkStart w:id="1104" w:name="_Toc194066988"/>
      <w:bookmarkStart w:id="1105" w:name="_Toc194311458"/>
      <w:r w:rsidRPr="00B45F7C">
        <w:rPr>
          <w:rFonts w:ascii="Aptos Display" w:eastAsia="Times New Roman" w:hAnsi="Aptos Display" w:cs="Times New Roman"/>
          <w:b/>
          <w:color w:val="0D2C6C"/>
          <w:sz w:val="32"/>
        </w:rPr>
        <w:t xml:space="preserve">6. </w:t>
      </w:r>
      <w:bookmarkStart w:id="1106" w:name="_Toc188278064"/>
      <w:r w:rsidRPr="00B45F7C">
        <w:rPr>
          <w:rFonts w:ascii="Aptos Display" w:eastAsia="Times New Roman" w:hAnsi="Aptos Display" w:cs="Times New Roman"/>
          <w:b/>
          <w:color w:val="0D2C6C"/>
          <w:sz w:val="32"/>
        </w:rPr>
        <w:t>Sexual harassment</w:t>
      </w:r>
      <w:bookmarkEnd w:id="1101"/>
      <w:bookmarkEnd w:id="1102"/>
      <w:bookmarkEnd w:id="1103"/>
      <w:bookmarkEnd w:id="1104"/>
      <w:bookmarkEnd w:id="1105"/>
      <w:bookmarkEnd w:id="1106"/>
    </w:p>
    <w:p w14:paraId="72380B9C" w14:textId="494DC441" w:rsidR="00677577" w:rsidRPr="00B45F7C" w:rsidRDefault="00677577" w:rsidP="00677577">
      <w:pPr>
        <w:rPr>
          <w:rFonts w:ascii="Aptos" w:eastAsia="Aptos" w:hAnsi="Aptos" w:cs="Times New Roman"/>
        </w:rPr>
      </w:pPr>
      <w:r w:rsidRPr="00B45F7C">
        <w:rPr>
          <w:rFonts w:ascii="Aptos" w:eastAsia="Aptos" w:hAnsi="Aptos" w:cs="Times New Roman"/>
        </w:rPr>
        <w:t xml:space="preserve">Data from the FWC indicates that, while there has been use of the sexual harassment provisions, its uptake has been limited as </w:t>
      </w:r>
      <w:r w:rsidRPr="00FD4F1B">
        <w:rPr>
          <w:rFonts w:ascii="Aptos" w:eastAsia="Aptos" w:hAnsi="Aptos" w:cs="Times New Roman"/>
        </w:rPr>
        <w:t xml:space="preserve">shown in </w:t>
      </w:r>
      <w:r w:rsidRPr="0016355B">
        <w:rPr>
          <w:rFonts w:ascii="Aptos" w:eastAsia="Aptos" w:hAnsi="Aptos" w:cs="Times New Roman"/>
        </w:rPr>
        <w:t xml:space="preserve">Table </w:t>
      </w:r>
      <w:r w:rsidR="00036825">
        <w:rPr>
          <w:rFonts w:ascii="Aptos" w:eastAsia="Aptos" w:hAnsi="Aptos" w:cs="Times New Roman"/>
        </w:rPr>
        <w:t>70</w:t>
      </w:r>
      <w:r w:rsidR="00036825" w:rsidRPr="00FD4F1B">
        <w:rPr>
          <w:rFonts w:ascii="Aptos" w:eastAsia="Aptos" w:hAnsi="Aptos" w:cs="Times New Roman"/>
        </w:rPr>
        <w:t xml:space="preserve"> </w:t>
      </w:r>
      <w:r w:rsidRPr="00FD4F1B">
        <w:rPr>
          <w:rFonts w:ascii="Aptos" w:eastAsia="Aptos" w:hAnsi="Aptos" w:cs="Times New Roman"/>
        </w:rPr>
        <w:t>shows</w:t>
      </w:r>
      <w:r w:rsidRPr="00B45F7C">
        <w:rPr>
          <w:rFonts w:ascii="Aptos" w:eastAsia="Aptos" w:hAnsi="Aptos" w:cs="Times New Roman"/>
        </w:rPr>
        <w:t xml:space="preserve"> that between 6 March 2023 and 30 June 2023,</w:t>
      </w:r>
      <w:r w:rsidRPr="00B45F7C" w:rsidDel="009338BF">
        <w:rPr>
          <w:rFonts w:ascii="Aptos" w:eastAsia="Aptos" w:hAnsi="Aptos" w:cs="Times New Roman"/>
        </w:rPr>
        <w:t xml:space="preserve"> </w:t>
      </w:r>
      <w:r w:rsidRPr="00B45F7C">
        <w:rPr>
          <w:rFonts w:ascii="Aptos" w:eastAsia="Aptos" w:hAnsi="Aptos" w:cs="Times New Roman"/>
        </w:rPr>
        <w:t>11 applications to deal with sexual harassment disputes had been lodged under s 527F.</w:t>
      </w:r>
      <w:r w:rsidRPr="00B45F7C">
        <w:rPr>
          <w:rFonts w:ascii="Aptos" w:eastAsia="Aptos" w:hAnsi="Aptos" w:cs="Times New Roman"/>
          <w:vertAlign w:val="superscript"/>
        </w:rPr>
        <w:footnoteReference w:id="1337"/>
      </w:r>
      <w:r w:rsidRPr="00B45F7C">
        <w:rPr>
          <w:rFonts w:ascii="Aptos" w:eastAsia="Aptos" w:hAnsi="Aptos" w:cs="Times New Roman"/>
        </w:rPr>
        <w:t xml:space="preserve"> In 2023</w:t>
      </w:r>
      <w:r w:rsidRPr="00B45F7C">
        <w:rPr>
          <w:rFonts w:ascii="Symbol" w:eastAsia="Symbol" w:hAnsi="Symbol" w:cs="Symbol"/>
        </w:rPr>
        <w:t>-</w:t>
      </w:r>
      <w:r w:rsidRPr="00B45F7C">
        <w:rPr>
          <w:rFonts w:ascii="Aptos" w:eastAsia="Aptos" w:hAnsi="Aptos" w:cs="Times New Roman"/>
        </w:rPr>
        <w:t>24</w:t>
      </w:r>
      <w:r w:rsidRPr="00FD4F1B">
        <w:rPr>
          <w:rFonts w:ascii="Aptos" w:eastAsia="Aptos" w:hAnsi="Aptos" w:cs="Times New Roman"/>
        </w:rPr>
        <w:t>, the FWC reported 95 applications under s 527F.</w:t>
      </w:r>
      <w:r w:rsidRPr="00FD4F1B">
        <w:rPr>
          <w:rFonts w:ascii="Aptos" w:eastAsia="Aptos" w:hAnsi="Aptos" w:cs="Times New Roman"/>
          <w:vertAlign w:val="superscript"/>
        </w:rPr>
        <w:footnoteReference w:id="1338"/>
      </w:r>
      <w:r w:rsidRPr="00FD4F1B">
        <w:rPr>
          <w:rFonts w:ascii="Aptos" w:eastAsia="Aptos" w:hAnsi="Aptos" w:cs="Times New Roman"/>
        </w:rPr>
        <w:t xml:space="preserve"> For context, prior to the Secure Jobs, Better Pay amendments, </w:t>
      </w:r>
      <w:r w:rsidRPr="0016355B">
        <w:rPr>
          <w:rFonts w:ascii="Aptos" w:eastAsia="Aptos" w:hAnsi="Aptos" w:cs="Times New Roman"/>
        </w:rPr>
        <w:t>Table </w:t>
      </w:r>
      <w:r w:rsidR="00036825">
        <w:rPr>
          <w:rFonts w:ascii="Aptos" w:eastAsia="Aptos" w:hAnsi="Aptos" w:cs="Times New Roman"/>
        </w:rPr>
        <w:t>70</w:t>
      </w:r>
      <w:r w:rsidR="00036825" w:rsidRPr="00FD4F1B">
        <w:rPr>
          <w:rFonts w:ascii="Aptos" w:eastAsia="Aptos" w:hAnsi="Aptos" w:cs="Times New Roman"/>
        </w:rPr>
        <w:t xml:space="preserve"> </w:t>
      </w:r>
      <w:r w:rsidRPr="00FD4F1B">
        <w:rPr>
          <w:rFonts w:ascii="Aptos" w:eastAsia="Aptos" w:hAnsi="Aptos" w:cs="Times New Roman"/>
        </w:rPr>
        <w:t>also notes applications</w:t>
      </w:r>
      <w:r w:rsidRPr="00B45F7C">
        <w:rPr>
          <w:rFonts w:ascii="Aptos" w:eastAsia="Aptos" w:hAnsi="Aptos" w:cs="Times New Roman"/>
        </w:rPr>
        <w:t xml:space="preserve"> under s 789FC.</w:t>
      </w:r>
    </w:p>
    <w:p w14:paraId="6B224A98" w14:textId="5B710A24" w:rsidR="00677577" w:rsidRPr="00B45F7C" w:rsidRDefault="00844718" w:rsidP="0016355B">
      <w:pPr>
        <w:pStyle w:val="Caption"/>
      </w:pPr>
      <w:bookmarkStart w:id="1107" w:name="_Ref188197223"/>
      <w:bookmarkStart w:id="1108" w:name="_Ref187688163"/>
      <w:bookmarkStart w:id="1109" w:name="_Toc187688539"/>
      <w:bookmarkStart w:id="1110" w:name="_Toc189310893"/>
      <w:bookmarkStart w:id="1111" w:name="_Toc194251494"/>
      <w:r>
        <w:t xml:space="preserve">Table </w:t>
      </w:r>
      <w:r>
        <w:fldChar w:fldCharType="begin"/>
      </w:r>
      <w:r>
        <w:instrText xml:space="preserve"> SEQ Table \* ARABIC </w:instrText>
      </w:r>
      <w:r>
        <w:fldChar w:fldCharType="separate"/>
      </w:r>
      <w:r w:rsidR="00DE5F5E">
        <w:rPr>
          <w:noProof/>
        </w:rPr>
        <w:t>70</w:t>
      </w:r>
      <w:r>
        <w:fldChar w:fldCharType="end"/>
      </w:r>
      <w:r>
        <w:t xml:space="preserve">: </w:t>
      </w:r>
      <w:bookmarkEnd w:id="1107"/>
      <w:r w:rsidR="00677577" w:rsidRPr="00B45F7C">
        <w:t>Applications to the F</w:t>
      </w:r>
      <w:r w:rsidR="00084F3A">
        <w:t xml:space="preserve">air </w:t>
      </w:r>
      <w:r w:rsidR="00677577" w:rsidRPr="00B45F7C">
        <w:t>W</w:t>
      </w:r>
      <w:r w:rsidR="00084F3A">
        <w:t xml:space="preserve">ork </w:t>
      </w:r>
      <w:r w:rsidR="00677577" w:rsidRPr="00B45F7C">
        <w:t>C</w:t>
      </w:r>
      <w:r w:rsidR="00084F3A">
        <w:t>ommission</w:t>
      </w:r>
      <w:r w:rsidR="00677577" w:rsidRPr="00B45F7C">
        <w:t xml:space="preserve"> in relation to sexual harassment</w:t>
      </w:r>
      <w:bookmarkEnd w:id="1108"/>
      <w:bookmarkEnd w:id="1109"/>
      <w:r w:rsidR="00677577" w:rsidRPr="00B45F7C">
        <w:t>, 2021 to 2024</w:t>
      </w:r>
      <w:bookmarkEnd w:id="1110"/>
      <w:bookmarkEnd w:id="1111"/>
    </w:p>
    <w:tbl>
      <w:tblPr>
        <w:tblStyle w:val="TableGridCKEdit1"/>
        <w:tblW w:w="9345" w:type="dxa"/>
        <w:tblLayout w:type="fixed"/>
        <w:tblLook w:val="04A0" w:firstRow="1" w:lastRow="0" w:firstColumn="1" w:lastColumn="0" w:noHBand="0" w:noVBand="1"/>
      </w:tblPr>
      <w:tblGrid>
        <w:gridCol w:w="1271"/>
        <w:gridCol w:w="1444"/>
        <w:gridCol w:w="1445"/>
        <w:gridCol w:w="1361"/>
        <w:gridCol w:w="1487"/>
        <w:gridCol w:w="1487"/>
        <w:gridCol w:w="850"/>
      </w:tblGrid>
      <w:tr w:rsidR="00677577" w:rsidRPr="003B4A9C" w14:paraId="0D522587" w14:textId="77777777">
        <w:trPr>
          <w:trHeight w:val="290"/>
        </w:trPr>
        <w:tc>
          <w:tcPr>
            <w:tcW w:w="1271" w:type="dxa"/>
            <w:vMerge w:val="restart"/>
            <w:tcBorders>
              <w:top w:val="single" w:sz="4" w:space="0" w:color="auto"/>
              <w:left w:val="single" w:sz="4" w:space="0" w:color="auto"/>
              <w:bottom w:val="single" w:sz="4" w:space="0" w:color="auto"/>
              <w:right w:val="single" w:sz="4" w:space="0" w:color="auto"/>
            </w:tcBorders>
            <w:noWrap/>
          </w:tcPr>
          <w:p w14:paraId="1D948ADA" w14:textId="77777777" w:rsidR="00677577" w:rsidRPr="0016355B" w:rsidRDefault="00677577">
            <w:pPr>
              <w:spacing w:line="259" w:lineRule="auto"/>
              <w:rPr>
                <w:rFonts w:ascii="Aptos" w:eastAsia="Aptos" w:hAnsi="Aptos" w:cs="Times New Roman"/>
                <w:b/>
                <w:sz w:val="20"/>
                <w:szCs w:val="20"/>
              </w:rPr>
            </w:pPr>
          </w:p>
        </w:tc>
        <w:tc>
          <w:tcPr>
            <w:tcW w:w="4250" w:type="dxa"/>
            <w:gridSpan w:val="3"/>
            <w:tcBorders>
              <w:top w:val="single" w:sz="4" w:space="0" w:color="auto"/>
              <w:left w:val="single" w:sz="4" w:space="0" w:color="auto"/>
              <w:bottom w:val="single" w:sz="4" w:space="0" w:color="auto"/>
              <w:right w:val="single" w:sz="4" w:space="0" w:color="auto"/>
            </w:tcBorders>
            <w:noWrap/>
            <w:vAlign w:val="bottom"/>
            <w:hideMark/>
          </w:tcPr>
          <w:p w14:paraId="669F9ABE" w14:textId="77777777" w:rsidR="00677577" w:rsidRPr="0016355B" w:rsidRDefault="00677577">
            <w:pPr>
              <w:spacing w:line="259" w:lineRule="auto"/>
              <w:rPr>
                <w:rFonts w:ascii="Aptos" w:eastAsia="Aptos" w:hAnsi="Aptos" w:cs="Times New Roman"/>
                <w:b/>
                <w:sz w:val="20"/>
                <w:szCs w:val="20"/>
              </w:rPr>
            </w:pPr>
            <w:r w:rsidRPr="0016355B">
              <w:rPr>
                <w:rFonts w:ascii="Aptos" w:eastAsia="Aptos" w:hAnsi="Aptos" w:cs="Times New Roman"/>
                <w:b/>
                <w:sz w:val="20"/>
                <w:szCs w:val="20"/>
              </w:rPr>
              <w:t>Applications under s 527F</w:t>
            </w:r>
          </w:p>
        </w:tc>
        <w:tc>
          <w:tcPr>
            <w:tcW w:w="2974" w:type="dxa"/>
            <w:gridSpan w:val="2"/>
            <w:tcBorders>
              <w:top w:val="single" w:sz="4" w:space="0" w:color="auto"/>
              <w:left w:val="single" w:sz="4" w:space="0" w:color="auto"/>
              <w:bottom w:val="single" w:sz="4" w:space="0" w:color="auto"/>
              <w:right w:val="single" w:sz="4" w:space="0" w:color="auto"/>
            </w:tcBorders>
            <w:noWrap/>
            <w:vAlign w:val="bottom"/>
            <w:hideMark/>
          </w:tcPr>
          <w:p w14:paraId="14006B27" w14:textId="77777777" w:rsidR="00677577" w:rsidRPr="0016355B" w:rsidRDefault="00677577">
            <w:pPr>
              <w:spacing w:line="259" w:lineRule="auto"/>
              <w:rPr>
                <w:rFonts w:ascii="Aptos" w:eastAsia="Aptos" w:hAnsi="Aptos" w:cs="Times New Roman"/>
                <w:b/>
                <w:sz w:val="20"/>
                <w:szCs w:val="20"/>
              </w:rPr>
            </w:pPr>
            <w:r w:rsidRPr="0016355B">
              <w:rPr>
                <w:rFonts w:ascii="Aptos" w:eastAsia="Aptos" w:hAnsi="Aptos" w:cs="Times New Roman"/>
                <w:b/>
                <w:sz w:val="20"/>
                <w:szCs w:val="20"/>
              </w:rPr>
              <w:t>Applications under s 789FC</w:t>
            </w:r>
          </w:p>
        </w:tc>
        <w:tc>
          <w:tcPr>
            <w:tcW w:w="850" w:type="dxa"/>
            <w:vMerge w:val="restart"/>
            <w:tcBorders>
              <w:top w:val="single" w:sz="4" w:space="0" w:color="auto"/>
              <w:left w:val="single" w:sz="4" w:space="0" w:color="auto"/>
              <w:bottom w:val="single" w:sz="4" w:space="0" w:color="auto"/>
              <w:right w:val="single" w:sz="4" w:space="0" w:color="auto"/>
            </w:tcBorders>
            <w:vAlign w:val="bottom"/>
            <w:hideMark/>
          </w:tcPr>
          <w:p w14:paraId="6F1B81DE" w14:textId="77777777" w:rsidR="00677577" w:rsidRPr="0016355B" w:rsidRDefault="00677577">
            <w:pPr>
              <w:spacing w:line="259" w:lineRule="auto"/>
              <w:rPr>
                <w:rFonts w:ascii="Aptos" w:eastAsia="Aptos" w:hAnsi="Aptos" w:cs="Times New Roman"/>
                <w:b/>
                <w:sz w:val="20"/>
                <w:szCs w:val="20"/>
              </w:rPr>
            </w:pPr>
            <w:r w:rsidRPr="0016355B">
              <w:rPr>
                <w:rFonts w:ascii="Aptos" w:eastAsia="Aptos" w:hAnsi="Aptos" w:cs="Times New Roman"/>
                <w:b/>
                <w:sz w:val="20"/>
                <w:szCs w:val="20"/>
              </w:rPr>
              <w:t>Total</w:t>
            </w:r>
          </w:p>
        </w:tc>
      </w:tr>
      <w:tr w:rsidR="00677577" w:rsidRPr="003B4A9C" w14:paraId="6FD3FA9E" w14:textId="77777777">
        <w:trPr>
          <w:trHeight w:val="290"/>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23765388" w14:textId="77777777" w:rsidR="00677577" w:rsidRPr="00A32A07" w:rsidRDefault="00677577">
            <w:pPr>
              <w:spacing w:line="259" w:lineRule="auto"/>
              <w:rPr>
                <w:rFonts w:ascii="Aptos" w:eastAsia="Aptos" w:hAnsi="Aptos" w:cs="Times New Roman"/>
                <w:b/>
                <w:sz w:val="20"/>
                <w:szCs w:val="20"/>
              </w:rPr>
            </w:pPr>
          </w:p>
        </w:tc>
        <w:tc>
          <w:tcPr>
            <w:tcW w:w="1444" w:type="dxa"/>
            <w:tcBorders>
              <w:top w:val="single" w:sz="4" w:space="0" w:color="auto"/>
              <w:left w:val="single" w:sz="4" w:space="0" w:color="auto"/>
              <w:bottom w:val="single" w:sz="4" w:space="0" w:color="auto"/>
              <w:right w:val="single" w:sz="4" w:space="0" w:color="auto"/>
            </w:tcBorders>
            <w:noWrap/>
            <w:vAlign w:val="bottom"/>
            <w:hideMark/>
          </w:tcPr>
          <w:p w14:paraId="0D6F57AF" w14:textId="77777777" w:rsidR="00677577" w:rsidRPr="00A32A07" w:rsidRDefault="00677577" w:rsidP="00A32A07">
            <w:pPr>
              <w:spacing w:line="259" w:lineRule="auto"/>
              <w:jc w:val="right"/>
              <w:rPr>
                <w:rFonts w:ascii="Aptos" w:eastAsia="Aptos" w:hAnsi="Aptos" w:cs="Times New Roman"/>
                <w:b/>
                <w:sz w:val="20"/>
                <w:szCs w:val="20"/>
              </w:rPr>
            </w:pPr>
            <w:r w:rsidRPr="00A32A07">
              <w:rPr>
                <w:rFonts w:ascii="Aptos" w:eastAsia="Aptos" w:hAnsi="Aptos" w:cs="Times New Roman"/>
                <w:b/>
                <w:sz w:val="20"/>
                <w:szCs w:val="20"/>
              </w:rPr>
              <w:t>Order to stop and deal with a sexual harassment dispute</w:t>
            </w:r>
          </w:p>
        </w:tc>
        <w:tc>
          <w:tcPr>
            <w:tcW w:w="1445" w:type="dxa"/>
            <w:tcBorders>
              <w:top w:val="single" w:sz="4" w:space="0" w:color="auto"/>
              <w:left w:val="single" w:sz="4" w:space="0" w:color="auto"/>
              <w:bottom w:val="single" w:sz="4" w:space="0" w:color="auto"/>
              <w:right w:val="single" w:sz="4" w:space="0" w:color="auto"/>
            </w:tcBorders>
            <w:noWrap/>
            <w:vAlign w:val="bottom"/>
            <w:hideMark/>
          </w:tcPr>
          <w:p w14:paraId="03838ECC" w14:textId="77777777" w:rsidR="00677577" w:rsidRPr="00A32A07" w:rsidRDefault="00677577" w:rsidP="00A32A07">
            <w:pPr>
              <w:spacing w:line="259" w:lineRule="auto"/>
              <w:jc w:val="right"/>
              <w:rPr>
                <w:rFonts w:ascii="Aptos" w:eastAsia="Aptos" w:hAnsi="Aptos" w:cs="Times New Roman"/>
                <w:b/>
                <w:sz w:val="20"/>
                <w:szCs w:val="20"/>
              </w:rPr>
            </w:pPr>
            <w:r w:rsidRPr="00A32A07">
              <w:rPr>
                <w:rFonts w:ascii="Aptos" w:eastAsia="Aptos" w:hAnsi="Aptos" w:cs="Times New Roman"/>
                <w:b/>
                <w:sz w:val="20"/>
                <w:szCs w:val="20"/>
              </w:rPr>
              <w:t>Order to stop sexual harassment</w:t>
            </w:r>
          </w:p>
        </w:tc>
        <w:tc>
          <w:tcPr>
            <w:tcW w:w="1361" w:type="dxa"/>
            <w:tcBorders>
              <w:top w:val="single" w:sz="4" w:space="0" w:color="auto"/>
              <w:left w:val="single" w:sz="4" w:space="0" w:color="auto"/>
              <w:bottom w:val="single" w:sz="4" w:space="0" w:color="auto"/>
              <w:right w:val="single" w:sz="4" w:space="0" w:color="auto"/>
            </w:tcBorders>
            <w:noWrap/>
            <w:vAlign w:val="bottom"/>
            <w:hideMark/>
          </w:tcPr>
          <w:p w14:paraId="6909E0C1" w14:textId="77777777" w:rsidR="00677577" w:rsidRPr="00A32A07" w:rsidRDefault="00677577" w:rsidP="00A32A07">
            <w:pPr>
              <w:spacing w:line="259" w:lineRule="auto"/>
              <w:jc w:val="right"/>
              <w:rPr>
                <w:rFonts w:ascii="Aptos" w:eastAsia="Aptos" w:hAnsi="Aptos" w:cs="Times New Roman"/>
                <w:b/>
                <w:sz w:val="20"/>
                <w:szCs w:val="20"/>
              </w:rPr>
            </w:pPr>
            <w:r w:rsidRPr="00A32A07">
              <w:rPr>
                <w:rFonts w:ascii="Aptos" w:eastAsia="Aptos" w:hAnsi="Aptos" w:cs="Times New Roman"/>
                <w:b/>
                <w:sz w:val="20"/>
                <w:szCs w:val="20"/>
              </w:rPr>
              <w:t>Deal with a sexual harassment dispute</w:t>
            </w:r>
          </w:p>
        </w:tc>
        <w:tc>
          <w:tcPr>
            <w:tcW w:w="1487" w:type="dxa"/>
            <w:tcBorders>
              <w:top w:val="single" w:sz="4" w:space="0" w:color="auto"/>
              <w:left w:val="single" w:sz="4" w:space="0" w:color="auto"/>
              <w:bottom w:val="single" w:sz="4" w:space="0" w:color="auto"/>
              <w:right w:val="single" w:sz="4" w:space="0" w:color="auto"/>
            </w:tcBorders>
            <w:noWrap/>
            <w:vAlign w:val="bottom"/>
            <w:hideMark/>
          </w:tcPr>
          <w:p w14:paraId="3B00323E" w14:textId="77777777" w:rsidR="00677577" w:rsidRPr="00A32A07" w:rsidRDefault="00677577" w:rsidP="00A32A07">
            <w:pPr>
              <w:spacing w:line="259" w:lineRule="auto"/>
              <w:jc w:val="right"/>
              <w:rPr>
                <w:rFonts w:ascii="Aptos" w:eastAsia="Aptos" w:hAnsi="Aptos" w:cs="Times New Roman"/>
                <w:b/>
                <w:sz w:val="20"/>
                <w:szCs w:val="20"/>
              </w:rPr>
            </w:pPr>
            <w:r w:rsidRPr="00A32A07">
              <w:rPr>
                <w:rFonts w:ascii="Aptos" w:eastAsia="Aptos" w:hAnsi="Aptos" w:cs="Times New Roman"/>
                <w:b/>
                <w:sz w:val="20"/>
                <w:szCs w:val="20"/>
              </w:rPr>
              <w:t>Order to stop bullying and sexual harassment</w:t>
            </w:r>
          </w:p>
        </w:tc>
        <w:tc>
          <w:tcPr>
            <w:tcW w:w="1487" w:type="dxa"/>
            <w:tcBorders>
              <w:top w:val="single" w:sz="4" w:space="0" w:color="auto"/>
              <w:left w:val="single" w:sz="4" w:space="0" w:color="auto"/>
              <w:bottom w:val="single" w:sz="4" w:space="0" w:color="auto"/>
              <w:right w:val="single" w:sz="4" w:space="0" w:color="auto"/>
            </w:tcBorders>
            <w:noWrap/>
            <w:vAlign w:val="bottom"/>
            <w:hideMark/>
          </w:tcPr>
          <w:p w14:paraId="11943E1B" w14:textId="77777777" w:rsidR="00677577" w:rsidRPr="00A32A07" w:rsidRDefault="00677577" w:rsidP="00A32A07">
            <w:pPr>
              <w:spacing w:line="259" w:lineRule="auto"/>
              <w:jc w:val="right"/>
              <w:rPr>
                <w:rFonts w:ascii="Aptos" w:eastAsia="Aptos" w:hAnsi="Aptos" w:cs="Times New Roman"/>
                <w:b/>
                <w:sz w:val="20"/>
                <w:szCs w:val="20"/>
              </w:rPr>
            </w:pPr>
            <w:r w:rsidRPr="00A32A07">
              <w:rPr>
                <w:rFonts w:ascii="Aptos" w:eastAsia="Aptos" w:hAnsi="Aptos" w:cs="Times New Roman"/>
                <w:b/>
                <w:sz w:val="20"/>
                <w:szCs w:val="20"/>
              </w:rPr>
              <w:t>Order to stop sexual harassment</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F1F5384" w14:textId="77777777" w:rsidR="00677577" w:rsidRPr="00A32A07" w:rsidRDefault="00677577" w:rsidP="00A32A07">
            <w:pPr>
              <w:spacing w:line="259" w:lineRule="auto"/>
              <w:jc w:val="right"/>
              <w:rPr>
                <w:rFonts w:ascii="Aptos" w:eastAsia="Aptos" w:hAnsi="Aptos" w:cs="Times New Roman"/>
                <w:b/>
                <w:sz w:val="20"/>
                <w:szCs w:val="20"/>
              </w:rPr>
            </w:pPr>
          </w:p>
        </w:tc>
      </w:tr>
      <w:tr w:rsidR="00036825" w:rsidRPr="003B4A9C" w14:paraId="1BA003F5" w14:textId="77777777" w:rsidTr="00622407">
        <w:trPr>
          <w:trHeight w:val="290"/>
        </w:trPr>
        <w:tc>
          <w:tcPr>
            <w:tcW w:w="1271" w:type="dxa"/>
            <w:tcBorders>
              <w:top w:val="single" w:sz="4" w:space="0" w:color="auto"/>
              <w:left w:val="single" w:sz="4" w:space="0" w:color="auto"/>
              <w:bottom w:val="single" w:sz="4" w:space="0" w:color="auto"/>
              <w:right w:val="single" w:sz="4" w:space="0" w:color="auto"/>
            </w:tcBorders>
            <w:noWrap/>
            <w:hideMark/>
          </w:tcPr>
          <w:p w14:paraId="32426F6B" w14:textId="77777777" w:rsidR="00036825" w:rsidRPr="00A32A07" w:rsidRDefault="00036825" w:rsidP="00036825">
            <w:pPr>
              <w:spacing w:line="259" w:lineRule="auto"/>
              <w:rPr>
                <w:rFonts w:ascii="Aptos" w:eastAsia="Aptos" w:hAnsi="Aptos" w:cs="Times New Roman"/>
                <w:sz w:val="20"/>
                <w:szCs w:val="20"/>
              </w:rPr>
            </w:pPr>
            <w:r w:rsidRPr="00A32A07">
              <w:rPr>
                <w:rFonts w:ascii="Aptos" w:eastAsia="Aptos" w:hAnsi="Aptos" w:cs="Times New Roman"/>
                <w:sz w:val="20"/>
                <w:szCs w:val="20"/>
              </w:rPr>
              <w:t>Sep-21</w:t>
            </w:r>
          </w:p>
        </w:tc>
        <w:tc>
          <w:tcPr>
            <w:tcW w:w="1444" w:type="dxa"/>
            <w:tcBorders>
              <w:top w:val="single" w:sz="4" w:space="0" w:color="auto"/>
              <w:left w:val="single" w:sz="4" w:space="0" w:color="auto"/>
              <w:bottom w:val="single" w:sz="4" w:space="0" w:color="auto"/>
              <w:right w:val="single" w:sz="4" w:space="0" w:color="auto"/>
            </w:tcBorders>
            <w:noWrap/>
            <w:hideMark/>
          </w:tcPr>
          <w:p w14:paraId="39B924A1" w14:textId="448A1EAF" w:rsidR="00036825" w:rsidRPr="00A32A07" w:rsidRDefault="00036825" w:rsidP="00622407">
            <w:pPr>
              <w:spacing w:line="259" w:lineRule="auto"/>
              <w:jc w:val="right"/>
              <w:rPr>
                <w:rFonts w:ascii="Aptos" w:eastAsia="Aptos" w:hAnsi="Aptos" w:cs="Times New Roman"/>
                <w:sz w:val="20"/>
                <w:szCs w:val="20"/>
              </w:rPr>
            </w:pPr>
            <w:r>
              <w:rPr>
                <w:rFonts w:ascii="Aptos" w:eastAsia="Aptos" w:hAnsi="Aptos" w:cs="Times New Roman"/>
                <w:sz w:val="20"/>
                <w:szCs w:val="20"/>
              </w:rPr>
              <w:t>N/A</w:t>
            </w:r>
          </w:p>
        </w:tc>
        <w:tc>
          <w:tcPr>
            <w:tcW w:w="1445" w:type="dxa"/>
            <w:tcBorders>
              <w:top w:val="single" w:sz="4" w:space="0" w:color="auto"/>
              <w:left w:val="single" w:sz="4" w:space="0" w:color="auto"/>
              <w:bottom w:val="single" w:sz="4" w:space="0" w:color="auto"/>
              <w:right w:val="single" w:sz="4" w:space="0" w:color="auto"/>
            </w:tcBorders>
            <w:noWrap/>
            <w:hideMark/>
          </w:tcPr>
          <w:p w14:paraId="0EBEF647" w14:textId="01C7E7A9" w:rsidR="00036825" w:rsidRPr="00A32A07" w:rsidRDefault="00036825" w:rsidP="00036825">
            <w:pPr>
              <w:spacing w:line="259" w:lineRule="auto"/>
              <w:jc w:val="right"/>
              <w:rPr>
                <w:rFonts w:ascii="Aptos" w:eastAsia="Aptos" w:hAnsi="Aptos" w:cs="Times New Roman"/>
                <w:sz w:val="20"/>
                <w:szCs w:val="20"/>
              </w:rPr>
            </w:pPr>
            <w:r w:rsidRPr="00002A97">
              <w:rPr>
                <w:rFonts w:ascii="Aptos" w:eastAsia="Aptos" w:hAnsi="Aptos" w:cs="Times New Roman"/>
                <w:sz w:val="20"/>
                <w:szCs w:val="20"/>
              </w:rPr>
              <w:t>N/A</w:t>
            </w:r>
          </w:p>
        </w:tc>
        <w:tc>
          <w:tcPr>
            <w:tcW w:w="1361" w:type="dxa"/>
            <w:tcBorders>
              <w:top w:val="single" w:sz="4" w:space="0" w:color="auto"/>
              <w:left w:val="single" w:sz="4" w:space="0" w:color="auto"/>
              <w:bottom w:val="single" w:sz="4" w:space="0" w:color="auto"/>
              <w:right w:val="single" w:sz="4" w:space="0" w:color="auto"/>
            </w:tcBorders>
            <w:noWrap/>
            <w:hideMark/>
          </w:tcPr>
          <w:p w14:paraId="4EFAC7B3" w14:textId="6D0EE7D4" w:rsidR="00036825" w:rsidRPr="00A32A07" w:rsidRDefault="00036825" w:rsidP="00036825">
            <w:pPr>
              <w:spacing w:line="259" w:lineRule="auto"/>
              <w:jc w:val="right"/>
              <w:rPr>
                <w:rFonts w:ascii="Aptos" w:eastAsia="Aptos" w:hAnsi="Aptos" w:cs="Times New Roman"/>
                <w:sz w:val="20"/>
                <w:szCs w:val="20"/>
              </w:rPr>
            </w:pPr>
            <w:r w:rsidRPr="00002A97">
              <w:rPr>
                <w:rFonts w:ascii="Aptos" w:eastAsia="Aptos" w:hAnsi="Aptos" w:cs="Times New Roman"/>
                <w:sz w:val="20"/>
                <w:szCs w:val="20"/>
              </w:rPr>
              <w:t>N/A</w:t>
            </w:r>
          </w:p>
        </w:tc>
        <w:tc>
          <w:tcPr>
            <w:tcW w:w="1487" w:type="dxa"/>
            <w:tcBorders>
              <w:top w:val="single" w:sz="4" w:space="0" w:color="auto"/>
              <w:left w:val="single" w:sz="4" w:space="0" w:color="auto"/>
              <w:bottom w:val="single" w:sz="4" w:space="0" w:color="auto"/>
              <w:right w:val="single" w:sz="4" w:space="0" w:color="auto"/>
            </w:tcBorders>
            <w:noWrap/>
            <w:hideMark/>
          </w:tcPr>
          <w:p w14:paraId="05CC09EE" w14:textId="6FE09B03" w:rsidR="00036825" w:rsidRPr="00A32A07" w:rsidRDefault="00036825" w:rsidP="00036825">
            <w:pPr>
              <w:spacing w:line="259" w:lineRule="auto"/>
              <w:jc w:val="right"/>
              <w:rPr>
                <w:rFonts w:ascii="Aptos" w:eastAsia="Aptos" w:hAnsi="Aptos" w:cs="Times New Roman"/>
                <w:sz w:val="20"/>
                <w:szCs w:val="20"/>
              </w:rPr>
            </w:pPr>
            <w:r w:rsidRPr="00002A97">
              <w:rPr>
                <w:rFonts w:ascii="Aptos" w:eastAsia="Aptos" w:hAnsi="Aptos" w:cs="Times New Roman"/>
                <w:sz w:val="20"/>
                <w:szCs w:val="20"/>
              </w:rPr>
              <w:t>N/A</w:t>
            </w:r>
          </w:p>
        </w:tc>
        <w:tc>
          <w:tcPr>
            <w:tcW w:w="1487" w:type="dxa"/>
            <w:tcBorders>
              <w:top w:val="single" w:sz="4" w:space="0" w:color="auto"/>
              <w:left w:val="single" w:sz="4" w:space="0" w:color="auto"/>
              <w:bottom w:val="single" w:sz="4" w:space="0" w:color="auto"/>
              <w:right w:val="single" w:sz="4" w:space="0" w:color="auto"/>
            </w:tcBorders>
            <w:noWrap/>
            <w:hideMark/>
          </w:tcPr>
          <w:p w14:paraId="7FA59226" w14:textId="16A7C1B2" w:rsidR="00036825" w:rsidRPr="00A32A07" w:rsidRDefault="00036825" w:rsidP="00036825">
            <w:pPr>
              <w:spacing w:line="259" w:lineRule="auto"/>
              <w:jc w:val="right"/>
              <w:rPr>
                <w:rFonts w:ascii="Aptos" w:eastAsia="Aptos" w:hAnsi="Aptos" w:cs="Times New Roman"/>
                <w:sz w:val="20"/>
                <w:szCs w:val="20"/>
              </w:rPr>
            </w:pPr>
            <w:r w:rsidRPr="00002A97">
              <w:rPr>
                <w:rFonts w:ascii="Aptos" w:eastAsia="Aptos" w:hAnsi="Aptos" w:cs="Times New Roman"/>
                <w:sz w:val="20"/>
                <w:szCs w:val="20"/>
              </w:rPr>
              <w:t>N/A</w:t>
            </w:r>
          </w:p>
        </w:tc>
        <w:tc>
          <w:tcPr>
            <w:tcW w:w="850" w:type="dxa"/>
            <w:tcBorders>
              <w:top w:val="single" w:sz="4" w:space="0" w:color="auto"/>
              <w:left w:val="single" w:sz="4" w:space="0" w:color="auto"/>
              <w:bottom w:val="single" w:sz="4" w:space="0" w:color="auto"/>
              <w:right w:val="single" w:sz="4" w:space="0" w:color="auto"/>
            </w:tcBorders>
            <w:vAlign w:val="center"/>
            <w:hideMark/>
          </w:tcPr>
          <w:p w14:paraId="0DE4BFD5" w14:textId="3CBE8A07" w:rsidR="00036825" w:rsidRPr="00A32A07" w:rsidRDefault="00AA2A4F" w:rsidP="00036825">
            <w:pPr>
              <w:spacing w:line="259" w:lineRule="auto"/>
              <w:jc w:val="right"/>
              <w:rPr>
                <w:rFonts w:ascii="Aptos" w:eastAsia="Aptos" w:hAnsi="Aptos" w:cs="Times New Roman"/>
                <w:sz w:val="20"/>
                <w:szCs w:val="20"/>
              </w:rPr>
            </w:pPr>
            <w:r>
              <w:rPr>
                <w:rFonts w:ascii="Aptos" w:eastAsia="Aptos" w:hAnsi="Aptos" w:cs="Times New Roman"/>
                <w:sz w:val="20"/>
                <w:szCs w:val="20"/>
              </w:rPr>
              <w:t>N/A</w:t>
            </w:r>
          </w:p>
        </w:tc>
      </w:tr>
      <w:tr w:rsidR="008F2C09" w:rsidRPr="003B4A9C" w14:paraId="0015AD48" w14:textId="77777777" w:rsidTr="00F51742">
        <w:trPr>
          <w:trHeight w:val="290"/>
        </w:trPr>
        <w:tc>
          <w:tcPr>
            <w:tcW w:w="1271" w:type="dxa"/>
            <w:tcBorders>
              <w:top w:val="single" w:sz="4" w:space="0" w:color="auto"/>
              <w:left w:val="single" w:sz="4" w:space="0" w:color="auto"/>
              <w:bottom w:val="single" w:sz="4" w:space="0" w:color="auto"/>
              <w:right w:val="single" w:sz="4" w:space="0" w:color="auto"/>
            </w:tcBorders>
            <w:noWrap/>
            <w:hideMark/>
          </w:tcPr>
          <w:p w14:paraId="64C47C9B" w14:textId="77777777" w:rsidR="008F2C09" w:rsidRPr="00A32A07" w:rsidRDefault="008F2C09" w:rsidP="008F2C09">
            <w:pPr>
              <w:spacing w:line="259" w:lineRule="auto"/>
              <w:rPr>
                <w:rFonts w:ascii="Aptos" w:eastAsia="Aptos" w:hAnsi="Aptos" w:cs="Times New Roman"/>
                <w:sz w:val="20"/>
                <w:szCs w:val="20"/>
              </w:rPr>
            </w:pPr>
            <w:r w:rsidRPr="00A32A07">
              <w:rPr>
                <w:rFonts w:ascii="Aptos" w:eastAsia="Aptos" w:hAnsi="Aptos" w:cs="Times New Roman"/>
                <w:sz w:val="20"/>
                <w:szCs w:val="20"/>
              </w:rPr>
              <w:t>Dec-21</w:t>
            </w:r>
          </w:p>
        </w:tc>
        <w:tc>
          <w:tcPr>
            <w:tcW w:w="1444" w:type="dxa"/>
            <w:tcBorders>
              <w:top w:val="single" w:sz="4" w:space="0" w:color="auto"/>
              <w:left w:val="single" w:sz="4" w:space="0" w:color="auto"/>
              <w:bottom w:val="single" w:sz="4" w:space="0" w:color="auto"/>
              <w:right w:val="single" w:sz="4" w:space="0" w:color="auto"/>
            </w:tcBorders>
            <w:noWrap/>
            <w:hideMark/>
          </w:tcPr>
          <w:p w14:paraId="60ED45C3" w14:textId="74C20981" w:rsidR="008F2C09" w:rsidRPr="00A32A07" w:rsidRDefault="008F2C09" w:rsidP="008F2C09">
            <w:pPr>
              <w:spacing w:line="259" w:lineRule="auto"/>
              <w:jc w:val="right"/>
              <w:rPr>
                <w:rFonts w:ascii="Aptos" w:eastAsia="Aptos" w:hAnsi="Aptos" w:cs="Times New Roman"/>
                <w:sz w:val="20"/>
                <w:szCs w:val="20"/>
              </w:rPr>
            </w:pPr>
            <w:r w:rsidRPr="00844515">
              <w:rPr>
                <w:rFonts w:ascii="Aptos" w:eastAsia="Aptos" w:hAnsi="Aptos" w:cs="Times New Roman"/>
                <w:sz w:val="20"/>
                <w:szCs w:val="20"/>
              </w:rPr>
              <w:t>N/A</w:t>
            </w:r>
          </w:p>
        </w:tc>
        <w:tc>
          <w:tcPr>
            <w:tcW w:w="1445" w:type="dxa"/>
            <w:tcBorders>
              <w:top w:val="single" w:sz="4" w:space="0" w:color="auto"/>
              <w:left w:val="single" w:sz="4" w:space="0" w:color="auto"/>
              <w:bottom w:val="single" w:sz="4" w:space="0" w:color="auto"/>
              <w:right w:val="single" w:sz="4" w:space="0" w:color="auto"/>
            </w:tcBorders>
            <w:noWrap/>
            <w:hideMark/>
          </w:tcPr>
          <w:p w14:paraId="099A228F" w14:textId="52F38755" w:rsidR="008F2C09" w:rsidRPr="00A32A07" w:rsidRDefault="008F2C09" w:rsidP="008F2C09">
            <w:pPr>
              <w:spacing w:line="259" w:lineRule="auto"/>
              <w:jc w:val="right"/>
              <w:rPr>
                <w:rFonts w:ascii="Aptos" w:eastAsia="Aptos" w:hAnsi="Aptos" w:cs="Times New Roman"/>
                <w:sz w:val="20"/>
                <w:szCs w:val="20"/>
              </w:rPr>
            </w:pPr>
            <w:r w:rsidRPr="00844515">
              <w:rPr>
                <w:rFonts w:ascii="Aptos" w:eastAsia="Aptos" w:hAnsi="Aptos" w:cs="Times New Roman"/>
                <w:sz w:val="20"/>
                <w:szCs w:val="20"/>
              </w:rPr>
              <w:t>N/A</w:t>
            </w:r>
          </w:p>
        </w:tc>
        <w:tc>
          <w:tcPr>
            <w:tcW w:w="1361" w:type="dxa"/>
            <w:tcBorders>
              <w:top w:val="single" w:sz="4" w:space="0" w:color="auto"/>
              <w:left w:val="single" w:sz="4" w:space="0" w:color="auto"/>
              <w:bottom w:val="single" w:sz="4" w:space="0" w:color="auto"/>
              <w:right w:val="single" w:sz="4" w:space="0" w:color="auto"/>
            </w:tcBorders>
            <w:noWrap/>
            <w:hideMark/>
          </w:tcPr>
          <w:p w14:paraId="792C7DD2" w14:textId="639BB041" w:rsidR="008F2C09" w:rsidRPr="00A32A07" w:rsidRDefault="008F2C09" w:rsidP="008F2C09">
            <w:pPr>
              <w:spacing w:line="259" w:lineRule="auto"/>
              <w:jc w:val="right"/>
              <w:rPr>
                <w:rFonts w:ascii="Aptos" w:eastAsia="Aptos" w:hAnsi="Aptos" w:cs="Times New Roman"/>
                <w:sz w:val="20"/>
                <w:szCs w:val="20"/>
              </w:rPr>
            </w:pPr>
            <w:r w:rsidRPr="00844515">
              <w:rPr>
                <w:rFonts w:ascii="Aptos" w:eastAsia="Aptos" w:hAnsi="Aptos" w:cs="Times New Roman"/>
                <w:sz w:val="20"/>
                <w:szCs w:val="20"/>
              </w:rPr>
              <w:t>N/A</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3AE3D222" w14:textId="77777777" w:rsidR="008F2C09" w:rsidRPr="00A32A07" w:rsidRDefault="008F2C09" w:rsidP="008F2C09">
            <w:pPr>
              <w:spacing w:line="259" w:lineRule="auto"/>
              <w:jc w:val="right"/>
              <w:rPr>
                <w:rFonts w:ascii="Aptos" w:eastAsia="Aptos" w:hAnsi="Aptos" w:cs="Times New Roman"/>
                <w:sz w:val="20"/>
                <w:szCs w:val="20"/>
              </w:rPr>
            </w:pPr>
            <w:r w:rsidRPr="00A32A07">
              <w:rPr>
                <w:rFonts w:ascii="Aptos" w:eastAsia="Aptos" w:hAnsi="Aptos" w:cs="Times New Roman"/>
                <w:sz w:val="20"/>
                <w:szCs w:val="20"/>
              </w:rPr>
              <w:t>9</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51012B1B" w14:textId="77777777" w:rsidR="008F2C09" w:rsidRPr="00A32A07" w:rsidRDefault="008F2C09" w:rsidP="008F2C09">
            <w:pPr>
              <w:spacing w:line="259" w:lineRule="auto"/>
              <w:jc w:val="right"/>
              <w:rPr>
                <w:rFonts w:ascii="Aptos" w:eastAsia="Aptos" w:hAnsi="Aptos" w:cs="Times New Roman"/>
                <w:sz w:val="20"/>
                <w:szCs w:val="20"/>
              </w:rPr>
            </w:pPr>
            <w:r w:rsidRPr="00A32A07">
              <w:rPr>
                <w:rFonts w:ascii="Aptos" w:eastAsia="Aptos" w:hAnsi="Aptos" w:cs="Times New Roman"/>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34DF92F6" w14:textId="77777777" w:rsidR="008F2C09" w:rsidRPr="00A32A07" w:rsidRDefault="008F2C09" w:rsidP="008F2C09">
            <w:pPr>
              <w:spacing w:line="259" w:lineRule="auto"/>
              <w:jc w:val="right"/>
              <w:rPr>
                <w:rFonts w:ascii="Aptos" w:eastAsia="Aptos" w:hAnsi="Aptos" w:cs="Times New Roman"/>
                <w:sz w:val="20"/>
                <w:szCs w:val="20"/>
              </w:rPr>
            </w:pPr>
            <w:r w:rsidRPr="00A32A07">
              <w:rPr>
                <w:rFonts w:ascii="Aptos" w:eastAsia="Aptos" w:hAnsi="Aptos" w:cs="Times New Roman"/>
                <w:sz w:val="20"/>
                <w:szCs w:val="20"/>
              </w:rPr>
              <w:t>10</w:t>
            </w:r>
          </w:p>
        </w:tc>
      </w:tr>
      <w:tr w:rsidR="008F2C09" w:rsidRPr="003B4A9C" w14:paraId="1557C982" w14:textId="77777777" w:rsidTr="00F51742">
        <w:trPr>
          <w:trHeight w:val="290"/>
        </w:trPr>
        <w:tc>
          <w:tcPr>
            <w:tcW w:w="1271" w:type="dxa"/>
            <w:tcBorders>
              <w:top w:val="single" w:sz="4" w:space="0" w:color="auto"/>
              <w:left w:val="single" w:sz="4" w:space="0" w:color="auto"/>
              <w:bottom w:val="single" w:sz="4" w:space="0" w:color="auto"/>
              <w:right w:val="single" w:sz="4" w:space="0" w:color="auto"/>
            </w:tcBorders>
            <w:noWrap/>
            <w:hideMark/>
          </w:tcPr>
          <w:p w14:paraId="5AA54253" w14:textId="77777777" w:rsidR="008F2C09" w:rsidRPr="00A32A07" w:rsidRDefault="008F2C09" w:rsidP="008F2C09">
            <w:pPr>
              <w:spacing w:line="259" w:lineRule="auto"/>
              <w:rPr>
                <w:rFonts w:ascii="Aptos" w:eastAsia="Aptos" w:hAnsi="Aptos" w:cs="Times New Roman"/>
                <w:sz w:val="20"/>
                <w:szCs w:val="20"/>
              </w:rPr>
            </w:pPr>
            <w:r w:rsidRPr="00A32A07">
              <w:rPr>
                <w:rFonts w:ascii="Aptos" w:eastAsia="Aptos" w:hAnsi="Aptos" w:cs="Times New Roman"/>
                <w:sz w:val="20"/>
                <w:szCs w:val="20"/>
              </w:rPr>
              <w:t>Mar-22</w:t>
            </w:r>
          </w:p>
        </w:tc>
        <w:tc>
          <w:tcPr>
            <w:tcW w:w="1444" w:type="dxa"/>
            <w:tcBorders>
              <w:top w:val="single" w:sz="4" w:space="0" w:color="auto"/>
              <w:left w:val="single" w:sz="4" w:space="0" w:color="auto"/>
              <w:bottom w:val="single" w:sz="4" w:space="0" w:color="auto"/>
              <w:right w:val="single" w:sz="4" w:space="0" w:color="auto"/>
            </w:tcBorders>
            <w:noWrap/>
            <w:hideMark/>
          </w:tcPr>
          <w:p w14:paraId="10EE5993" w14:textId="66C5886D" w:rsidR="008F2C09" w:rsidRPr="00A32A07" w:rsidRDefault="008F2C09" w:rsidP="008F2C09">
            <w:pPr>
              <w:spacing w:line="259" w:lineRule="auto"/>
              <w:jc w:val="right"/>
              <w:rPr>
                <w:rFonts w:ascii="Aptos" w:eastAsia="Aptos" w:hAnsi="Aptos" w:cs="Times New Roman"/>
                <w:sz w:val="20"/>
                <w:szCs w:val="20"/>
              </w:rPr>
            </w:pPr>
            <w:r w:rsidRPr="00844515">
              <w:rPr>
                <w:rFonts w:ascii="Aptos" w:eastAsia="Aptos" w:hAnsi="Aptos" w:cs="Times New Roman"/>
                <w:sz w:val="20"/>
                <w:szCs w:val="20"/>
              </w:rPr>
              <w:t>N/A</w:t>
            </w:r>
          </w:p>
        </w:tc>
        <w:tc>
          <w:tcPr>
            <w:tcW w:w="1445" w:type="dxa"/>
            <w:tcBorders>
              <w:top w:val="single" w:sz="4" w:space="0" w:color="auto"/>
              <w:left w:val="single" w:sz="4" w:space="0" w:color="auto"/>
              <w:bottom w:val="single" w:sz="4" w:space="0" w:color="auto"/>
              <w:right w:val="single" w:sz="4" w:space="0" w:color="auto"/>
            </w:tcBorders>
            <w:noWrap/>
            <w:hideMark/>
          </w:tcPr>
          <w:p w14:paraId="22EF2157" w14:textId="430F9D22" w:rsidR="008F2C09" w:rsidRPr="00A32A07" w:rsidRDefault="008F2C09" w:rsidP="008F2C09">
            <w:pPr>
              <w:spacing w:line="259" w:lineRule="auto"/>
              <w:jc w:val="right"/>
              <w:rPr>
                <w:rFonts w:ascii="Aptos" w:eastAsia="Aptos" w:hAnsi="Aptos" w:cs="Times New Roman"/>
                <w:sz w:val="20"/>
                <w:szCs w:val="20"/>
              </w:rPr>
            </w:pPr>
            <w:r w:rsidRPr="00844515">
              <w:rPr>
                <w:rFonts w:ascii="Aptos" w:eastAsia="Aptos" w:hAnsi="Aptos" w:cs="Times New Roman"/>
                <w:sz w:val="20"/>
                <w:szCs w:val="20"/>
              </w:rPr>
              <w:t>N/A</w:t>
            </w:r>
          </w:p>
        </w:tc>
        <w:tc>
          <w:tcPr>
            <w:tcW w:w="1361" w:type="dxa"/>
            <w:tcBorders>
              <w:top w:val="single" w:sz="4" w:space="0" w:color="auto"/>
              <w:left w:val="single" w:sz="4" w:space="0" w:color="auto"/>
              <w:bottom w:val="single" w:sz="4" w:space="0" w:color="auto"/>
              <w:right w:val="single" w:sz="4" w:space="0" w:color="auto"/>
            </w:tcBorders>
            <w:noWrap/>
            <w:hideMark/>
          </w:tcPr>
          <w:p w14:paraId="4ADEBE47" w14:textId="490BEB88" w:rsidR="008F2C09" w:rsidRPr="00A32A07" w:rsidRDefault="008F2C09" w:rsidP="008F2C09">
            <w:pPr>
              <w:spacing w:line="259" w:lineRule="auto"/>
              <w:jc w:val="right"/>
              <w:rPr>
                <w:rFonts w:ascii="Aptos" w:eastAsia="Aptos" w:hAnsi="Aptos" w:cs="Times New Roman"/>
                <w:sz w:val="20"/>
                <w:szCs w:val="20"/>
              </w:rPr>
            </w:pPr>
            <w:r w:rsidRPr="00844515">
              <w:rPr>
                <w:rFonts w:ascii="Aptos" w:eastAsia="Aptos" w:hAnsi="Aptos" w:cs="Times New Roman"/>
                <w:sz w:val="20"/>
                <w:szCs w:val="20"/>
              </w:rPr>
              <w:t>N/A</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5E36820F" w14:textId="77777777" w:rsidR="008F2C09" w:rsidRPr="00A32A07" w:rsidRDefault="008F2C09" w:rsidP="008F2C09">
            <w:pPr>
              <w:spacing w:line="259" w:lineRule="auto"/>
              <w:jc w:val="right"/>
              <w:rPr>
                <w:rFonts w:ascii="Aptos" w:eastAsia="Aptos" w:hAnsi="Aptos" w:cs="Times New Roman"/>
                <w:sz w:val="20"/>
                <w:szCs w:val="20"/>
              </w:rPr>
            </w:pPr>
            <w:r w:rsidRPr="00A32A07">
              <w:rPr>
                <w:rFonts w:ascii="Aptos" w:eastAsia="Aptos" w:hAnsi="Aptos" w:cs="Times New Roman"/>
                <w:sz w:val="20"/>
                <w:szCs w:val="20"/>
              </w:rPr>
              <w:t>10</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6C28523D" w14:textId="77777777" w:rsidR="008F2C09" w:rsidRPr="00A32A07" w:rsidRDefault="008F2C09" w:rsidP="008F2C09">
            <w:pPr>
              <w:spacing w:line="259" w:lineRule="auto"/>
              <w:jc w:val="right"/>
              <w:rPr>
                <w:rFonts w:ascii="Aptos" w:eastAsia="Aptos" w:hAnsi="Aptos" w:cs="Times New Roman"/>
                <w:sz w:val="20"/>
                <w:szCs w:val="20"/>
              </w:rPr>
            </w:pPr>
            <w:r w:rsidRPr="00A32A07">
              <w:rPr>
                <w:rFonts w:ascii="Aptos" w:eastAsia="Aptos" w:hAnsi="Aptos" w:cs="Times New Roman"/>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61E7D15D" w14:textId="77777777" w:rsidR="008F2C09" w:rsidRPr="00A32A07" w:rsidRDefault="008F2C09" w:rsidP="008F2C09">
            <w:pPr>
              <w:spacing w:line="259" w:lineRule="auto"/>
              <w:jc w:val="right"/>
              <w:rPr>
                <w:rFonts w:ascii="Aptos" w:eastAsia="Aptos" w:hAnsi="Aptos" w:cs="Times New Roman"/>
                <w:sz w:val="20"/>
                <w:szCs w:val="20"/>
              </w:rPr>
            </w:pPr>
            <w:r w:rsidRPr="00A32A07">
              <w:rPr>
                <w:rFonts w:ascii="Aptos" w:eastAsia="Aptos" w:hAnsi="Aptos" w:cs="Times New Roman"/>
                <w:sz w:val="20"/>
                <w:szCs w:val="20"/>
              </w:rPr>
              <w:t>12</w:t>
            </w:r>
          </w:p>
        </w:tc>
      </w:tr>
      <w:tr w:rsidR="008F2C09" w:rsidRPr="003B4A9C" w14:paraId="38D04C66" w14:textId="77777777" w:rsidTr="00F51742">
        <w:trPr>
          <w:trHeight w:val="290"/>
        </w:trPr>
        <w:tc>
          <w:tcPr>
            <w:tcW w:w="1271" w:type="dxa"/>
            <w:tcBorders>
              <w:top w:val="single" w:sz="4" w:space="0" w:color="auto"/>
              <w:left w:val="single" w:sz="4" w:space="0" w:color="auto"/>
              <w:bottom w:val="single" w:sz="4" w:space="0" w:color="auto"/>
              <w:right w:val="single" w:sz="4" w:space="0" w:color="auto"/>
            </w:tcBorders>
            <w:noWrap/>
            <w:hideMark/>
          </w:tcPr>
          <w:p w14:paraId="63DA4934" w14:textId="77777777" w:rsidR="008F2C09" w:rsidRPr="00A32A07" w:rsidRDefault="008F2C09" w:rsidP="008F2C09">
            <w:pPr>
              <w:spacing w:line="259" w:lineRule="auto"/>
              <w:rPr>
                <w:rFonts w:ascii="Aptos" w:eastAsia="Aptos" w:hAnsi="Aptos" w:cs="Times New Roman"/>
                <w:sz w:val="20"/>
                <w:szCs w:val="20"/>
              </w:rPr>
            </w:pPr>
            <w:r w:rsidRPr="00A32A07">
              <w:rPr>
                <w:rFonts w:ascii="Aptos" w:eastAsia="Aptos" w:hAnsi="Aptos" w:cs="Times New Roman"/>
                <w:sz w:val="20"/>
                <w:szCs w:val="20"/>
              </w:rPr>
              <w:t>Jun-22</w:t>
            </w:r>
          </w:p>
        </w:tc>
        <w:tc>
          <w:tcPr>
            <w:tcW w:w="1444" w:type="dxa"/>
            <w:tcBorders>
              <w:top w:val="single" w:sz="4" w:space="0" w:color="auto"/>
              <w:left w:val="single" w:sz="4" w:space="0" w:color="auto"/>
              <w:bottom w:val="single" w:sz="4" w:space="0" w:color="auto"/>
              <w:right w:val="single" w:sz="4" w:space="0" w:color="auto"/>
            </w:tcBorders>
            <w:noWrap/>
            <w:hideMark/>
          </w:tcPr>
          <w:p w14:paraId="48374CF2" w14:textId="69579380" w:rsidR="008F2C09" w:rsidRPr="00A32A07" w:rsidRDefault="008F2C09" w:rsidP="008F2C09">
            <w:pPr>
              <w:spacing w:line="259" w:lineRule="auto"/>
              <w:jc w:val="right"/>
              <w:rPr>
                <w:rFonts w:ascii="Aptos" w:eastAsia="Aptos" w:hAnsi="Aptos" w:cs="Times New Roman"/>
                <w:sz w:val="20"/>
                <w:szCs w:val="20"/>
              </w:rPr>
            </w:pPr>
            <w:r w:rsidRPr="00844515">
              <w:rPr>
                <w:rFonts w:ascii="Aptos" w:eastAsia="Aptos" w:hAnsi="Aptos" w:cs="Times New Roman"/>
                <w:sz w:val="20"/>
                <w:szCs w:val="20"/>
              </w:rPr>
              <w:t>N/A</w:t>
            </w:r>
          </w:p>
        </w:tc>
        <w:tc>
          <w:tcPr>
            <w:tcW w:w="1445" w:type="dxa"/>
            <w:tcBorders>
              <w:top w:val="single" w:sz="4" w:space="0" w:color="auto"/>
              <w:left w:val="single" w:sz="4" w:space="0" w:color="auto"/>
              <w:bottom w:val="single" w:sz="4" w:space="0" w:color="auto"/>
              <w:right w:val="single" w:sz="4" w:space="0" w:color="auto"/>
            </w:tcBorders>
            <w:noWrap/>
            <w:hideMark/>
          </w:tcPr>
          <w:p w14:paraId="0C8FBFD3" w14:textId="5FC28032" w:rsidR="008F2C09" w:rsidRPr="00A32A07" w:rsidRDefault="008F2C09" w:rsidP="008F2C09">
            <w:pPr>
              <w:spacing w:line="259" w:lineRule="auto"/>
              <w:jc w:val="right"/>
              <w:rPr>
                <w:rFonts w:ascii="Aptos" w:eastAsia="Aptos" w:hAnsi="Aptos" w:cs="Times New Roman"/>
                <w:sz w:val="20"/>
                <w:szCs w:val="20"/>
              </w:rPr>
            </w:pPr>
            <w:r w:rsidRPr="00844515">
              <w:rPr>
                <w:rFonts w:ascii="Aptos" w:eastAsia="Aptos" w:hAnsi="Aptos" w:cs="Times New Roman"/>
                <w:sz w:val="20"/>
                <w:szCs w:val="20"/>
              </w:rPr>
              <w:t>N/A</w:t>
            </w:r>
          </w:p>
        </w:tc>
        <w:tc>
          <w:tcPr>
            <w:tcW w:w="1361" w:type="dxa"/>
            <w:tcBorders>
              <w:top w:val="single" w:sz="4" w:space="0" w:color="auto"/>
              <w:left w:val="single" w:sz="4" w:space="0" w:color="auto"/>
              <w:bottom w:val="single" w:sz="4" w:space="0" w:color="auto"/>
              <w:right w:val="single" w:sz="4" w:space="0" w:color="auto"/>
            </w:tcBorders>
            <w:noWrap/>
            <w:hideMark/>
          </w:tcPr>
          <w:p w14:paraId="01BEC850" w14:textId="43BCF12E" w:rsidR="008F2C09" w:rsidRPr="00A32A07" w:rsidRDefault="008F2C09" w:rsidP="008F2C09">
            <w:pPr>
              <w:spacing w:line="259" w:lineRule="auto"/>
              <w:jc w:val="right"/>
              <w:rPr>
                <w:rFonts w:ascii="Aptos" w:eastAsia="Aptos" w:hAnsi="Aptos" w:cs="Times New Roman"/>
                <w:sz w:val="20"/>
                <w:szCs w:val="20"/>
              </w:rPr>
            </w:pPr>
            <w:r w:rsidRPr="00844515">
              <w:rPr>
                <w:rFonts w:ascii="Aptos" w:eastAsia="Aptos" w:hAnsi="Aptos" w:cs="Times New Roman"/>
                <w:sz w:val="20"/>
                <w:szCs w:val="20"/>
              </w:rPr>
              <w:t>N/A</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0F17638E" w14:textId="77777777" w:rsidR="008F2C09" w:rsidRPr="00A32A07" w:rsidRDefault="008F2C09" w:rsidP="008F2C09">
            <w:pPr>
              <w:spacing w:line="259" w:lineRule="auto"/>
              <w:jc w:val="right"/>
              <w:rPr>
                <w:rFonts w:ascii="Aptos" w:eastAsia="Aptos" w:hAnsi="Aptos" w:cs="Times New Roman"/>
                <w:sz w:val="20"/>
                <w:szCs w:val="20"/>
              </w:rPr>
            </w:pPr>
            <w:r w:rsidRPr="00A32A07">
              <w:rPr>
                <w:rFonts w:ascii="Aptos" w:eastAsia="Aptos" w:hAnsi="Aptos" w:cs="Times New Roman"/>
                <w:sz w:val="20"/>
                <w:szCs w:val="20"/>
              </w:rPr>
              <w:t>4</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0F5304CD" w14:textId="77777777" w:rsidR="008F2C09" w:rsidRPr="00A32A07" w:rsidRDefault="008F2C09" w:rsidP="008F2C09">
            <w:pPr>
              <w:spacing w:line="259" w:lineRule="auto"/>
              <w:jc w:val="right"/>
              <w:rPr>
                <w:rFonts w:ascii="Aptos" w:eastAsia="Aptos" w:hAnsi="Aptos" w:cs="Times New Roman"/>
                <w:sz w:val="20"/>
                <w:szCs w:val="20"/>
              </w:rPr>
            </w:pPr>
            <w:r w:rsidRPr="00A32A07">
              <w:rPr>
                <w:rFonts w:ascii="Aptos" w:eastAsia="Aptos" w:hAnsi="Aptos" w:cs="Times New Roman"/>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7EEBD827" w14:textId="77777777" w:rsidR="008F2C09" w:rsidRPr="00A32A07" w:rsidRDefault="008F2C09" w:rsidP="008F2C09">
            <w:pPr>
              <w:spacing w:line="259" w:lineRule="auto"/>
              <w:jc w:val="right"/>
              <w:rPr>
                <w:rFonts w:ascii="Aptos" w:eastAsia="Aptos" w:hAnsi="Aptos" w:cs="Times New Roman"/>
                <w:sz w:val="20"/>
                <w:szCs w:val="20"/>
              </w:rPr>
            </w:pPr>
            <w:r w:rsidRPr="00A32A07">
              <w:rPr>
                <w:rFonts w:ascii="Aptos" w:eastAsia="Aptos" w:hAnsi="Aptos" w:cs="Times New Roman"/>
                <w:sz w:val="20"/>
                <w:szCs w:val="20"/>
              </w:rPr>
              <w:t>6</w:t>
            </w:r>
          </w:p>
        </w:tc>
      </w:tr>
      <w:tr w:rsidR="008F2C09" w:rsidRPr="003B4A9C" w14:paraId="69C83EBB" w14:textId="77777777" w:rsidTr="00F51742">
        <w:trPr>
          <w:trHeight w:val="290"/>
        </w:trPr>
        <w:tc>
          <w:tcPr>
            <w:tcW w:w="1271" w:type="dxa"/>
            <w:tcBorders>
              <w:top w:val="single" w:sz="4" w:space="0" w:color="auto"/>
              <w:left w:val="single" w:sz="4" w:space="0" w:color="auto"/>
              <w:bottom w:val="single" w:sz="4" w:space="0" w:color="auto"/>
              <w:right w:val="single" w:sz="4" w:space="0" w:color="auto"/>
            </w:tcBorders>
            <w:noWrap/>
            <w:hideMark/>
          </w:tcPr>
          <w:p w14:paraId="2A0FC530" w14:textId="77777777" w:rsidR="008F2C09" w:rsidRPr="00A32A07" w:rsidRDefault="008F2C09" w:rsidP="008F2C09">
            <w:pPr>
              <w:spacing w:line="259" w:lineRule="auto"/>
              <w:rPr>
                <w:rFonts w:ascii="Aptos" w:eastAsia="Aptos" w:hAnsi="Aptos" w:cs="Times New Roman"/>
                <w:sz w:val="20"/>
                <w:szCs w:val="20"/>
              </w:rPr>
            </w:pPr>
            <w:r w:rsidRPr="00A32A07">
              <w:rPr>
                <w:rFonts w:ascii="Aptos" w:eastAsia="Aptos" w:hAnsi="Aptos" w:cs="Times New Roman"/>
                <w:sz w:val="20"/>
                <w:szCs w:val="20"/>
              </w:rPr>
              <w:t>Sep-22</w:t>
            </w:r>
          </w:p>
        </w:tc>
        <w:tc>
          <w:tcPr>
            <w:tcW w:w="1444" w:type="dxa"/>
            <w:tcBorders>
              <w:top w:val="single" w:sz="4" w:space="0" w:color="auto"/>
              <w:left w:val="single" w:sz="4" w:space="0" w:color="auto"/>
              <w:bottom w:val="single" w:sz="4" w:space="0" w:color="auto"/>
              <w:right w:val="single" w:sz="4" w:space="0" w:color="auto"/>
            </w:tcBorders>
            <w:noWrap/>
            <w:hideMark/>
          </w:tcPr>
          <w:p w14:paraId="3A0C9E00" w14:textId="427D4495" w:rsidR="008F2C09" w:rsidRPr="00A32A07" w:rsidRDefault="008F2C09" w:rsidP="008F2C09">
            <w:pPr>
              <w:spacing w:line="259" w:lineRule="auto"/>
              <w:jc w:val="right"/>
              <w:rPr>
                <w:rFonts w:ascii="Aptos" w:eastAsia="Aptos" w:hAnsi="Aptos" w:cs="Times New Roman"/>
                <w:sz w:val="20"/>
                <w:szCs w:val="20"/>
              </w:rPr>
            </w:pPr>
            <w:r w:rsidRPr="00844515">
              <w:rPr>
                <w:rFonts w:ascii="Aptos" w:eastAsia="Aptos" w:hAnsi="Aptos" w:cs="Times New Roman"/>
                <w:sz w:val="20"/>
                <w:szCs w:val="20"/>
              </w:rPr>
              <w:t>N/A</w:t>
            </w:r>
          </w:p>
        </w:tc>
        <w:tc>
          <w:tcPr>
            <w:tcW w:w="1445" w:type="dxa"/>
            <w:tcBorders>
              <w:top w:val="single" w:sz="4" w:space="0" w:color="auto"/>
              <w:left w:val="single" w:sz="4" w:space="0" w:color="auto"/>
              <w:bottom w:val="single" w:sz="4" w:space="0" w:color="auto"/>
              <w:right w:val="single" w:sz="4" w:space="0" w:color="auto"/>
            </w:tcBorders>
            <w:noWrap/>
            <w:hideMark/>
          </w:tcPr>
          <w:p w14:paraId="11163E7E" w14:textId="5ABCDDEC" w:rsidR="008F2C09" w:rsidRPr="00A32A07" w:rsidRDefault="008F2C09" w:rsidP="008F2C09">
            <w:pPr>
              <w:spacing w:line="259" w:lineRule="auto"/>
              <w:jc w:val="right"/>
              <w:rPr>
                <w:rFonts w:ascii="Aptos" w:eastAsia="Aptos" w:hAnsi="Aptos" w:cs="Times New Roman"/>
                <w:sz w:val="20"/>
                <w:szCs w:val="20"/>
              </w:rPr>
            </w:pPr>
            <w:r w:rsidRPr="00844515">
              <w:rPr>
                <w:rFonts w:ascii="Aptos" w:eastAsia="Aptos" w:hAnsi="Aptos" w:cs="Times New Roman"/>
                <w:sz w:val="20"/>
                <w:szCs w:val="20"/>
              </w:rPr>
              <w:t>N/A</w:t>
            </w:r>
          </w:p>
        </w:tc>
        <w:tc>
          <w:tcPr>
            <w:tcW w:w="1361" w:type="dxa"/>
            <w:tcBorders>
              <w:top w:val="single" w:sz="4" w:space="0" w:color="auto"/>
              <w:left w:val="single" w:sz="4" w:space="0" w:color="auto"/>
              <w:bottom w:val="single" w:sz="4" w:space="0" w:color="auto"/>
              <w:right w:val="single" w:sz="4" w:space="0" w:color="auto"/>
            </w:tcBorders>
            <w:noWrap/>
            <w:hideMark/>
          </w:tcPr>
          <w:p w14:paraId="1D682F1C" w14:textId="1A9A7FC0" w:rsidR="008F2C09" w:rsidRPr="00A32A07" w:rsidRDefault="008F2C09" w:rsidP="008F2C09">
            <w:pPr>
              <w:spacing w:line="259" w:lineRule="auto"/>
              <w:jc w:val="right"/>
              <w:rPr>
                <w:rFonts w:ascii="Aptos" w:eastAsia="Aptos" w:hAnsi="Aptos" w:cs="Times New Roman"/>
                <w:sz w:val="20"/>
                <w:szCs w:val="20"/>
              </w:rPr>
            </w:pPr>
            <w:r w:rsidRPr="00844515">
              <w:rPr>
                <w:rFonts w:ascii="Aptos" w:eastAsia="Aptos" w:hAnsi="Aptos" w:cs="Times New Roman"/>
                <w:sz w:val="20"/>
                <w:szCs w:val="20"/>
              </w:rPr>
              <w:t>N/A</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40E3F5A7" w14:textId="77777777" w:rsidR="008F2C09" w:rsidRPr="00A32A07" w:rsidRDefault="008F2C09" w:rsidP="008F2C09">
            <w:pPr>
              <w:spacing w:line="259" w:lineRule="auto"/>
              <w:jc w:val="right"/>
              <w:rPr>
                <w:rFonts w:ascii="Aptos" w:eastAsia="Aptos" w:hAnsi="Aptos" w:cs="Times New Roman"/>
                <w:sz w:val="20"/>
                <w:szCs w:val="20"/>
              </w:rPr>
            </w:pPr>
            <w:r w:rsidRPr="00A32A07">
              <w:rPr>
                <w:rFonts w:ascii="Aptos" w:eastAsia="Aptos" w:hAnsi="Aptos" w:cs="Times New Roman"/>
                <w:sz w:val="20"/>
                <w:szCs w:val="20"/>
              </w:rPr>
              <w:t>13</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0453CF27" w14:textId="77777777" w:rsidR="008F2C09" w:rsidRPr="00A32A07" w:rsidRDefault="008F2C09" w:rsidP="008F2C09">
            <w:pPr>
              <w:spacing w:line="259" w:lineRule="auto"/>
              <w:jc w:val="right"/>
              <w:rPr>
                <w:rFonts w:ascii="Aptos" w:eastAsia="Aptos" w:hAnsi="Aptos" w:cs="Times New Roman"/>
                <w:sz w:val="20"/>
                <w:szCs w:val="20"/>
              </w:rPr>
            </w:pPr>
            <w:r w:rsidRPr="00A32A07">
              <w:rPr>
                <w:rFonts w:ascii="Aptos" w:eastAsia="Aptos" w:hAnsi="Aptos" w:cs="Times New Roman"/>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1E3EC996" w14:textId="77777777" w:rsidR="008F2C09" w:rsidRPr="00A32A07" w:rsidRDefault="008F2C09" w:rsidP="008F2C09">
            <w:pPr>
              <w:spacing w:line="259" w:lineRule="auto"/>
              <w:jc w:val="right"/>
              <w:rPr>
                <w:rFonts w:ascii="Aptos" w:eastAsia="Aptos" w:hAnsi="Aptos" w:cs="Times New Roman"/>
                <w:sz w:val="20"/>
                <w:szCs w:val="20"/>
              </w:rPr>
            </w:pPr>
            <w:r w:rsidRPr="00A32A07">
              <w:rPr>
                <w:rFonts w:ascii="Aptos" w:eastAsia="Aptos" w:hAnsi="Aptos" w:cs="Times New Roman"/>
                <w:sz w:val="20"/>
                <w:szCs w:val="20"/>
              </w:rPr>
              <w:t>14</w:t>
            </w:r>
          </w:p>
        </w:tc>
      </w:tr>
      <w:tr w:rsidR="008F2C09" w:rsidRPr="003B4A9C" w14:paraId="112500A8" w14:textId="77777777" w:rsidTr="00F51742">
        <w:trPr>
          <w:trHeight w:val="290"/>
        </w:trPr>
        <w:tc>
          <w:tcPr>
            <w:tcW w:w="1271" w:type="dxa"/>
            <w:tcBorders>
              <w:top w:val="single" w:sz="4" w:space="0" w:color="auto"/>
              <w:left w:val="single" w:sz="4" w:space="0" w:color="auto"/>
              <w:bottom w:val="single" w:sz="4" w:space="0" w:color="auto"/>
              <w:right w:val="single" w:sz="4" w:space="0" w:color="auto"/>
            </w:tcBorders>
            <w:noWrap/>
            <w:hideMark/>
          </w:tcPr>
          <w:p w14:paraId="421B7176" w14:textId="77777777" w:rsidR="008F2C09" w:rsidRPr="00A32A07" w:rsidRDefault="008F2C09" w:rsidP="008F2C09">
            <w:pPr>
              <w:spacing w:line="259" w:lineRule="auto"/>
              <w:rPr>
                <w:rFonts w:ascii="Aptos" w:eastAsia="Aptos" w:hAnsi="Aptos" w:cs="Times New Roman"/>
                <w:sz w:val="20"/>
                <w:szCs w:val="20"/>
              </w:rPr>
            </w:pPr>
            <w:r w:rsidRPr="00A32A07">
              <w:rPr>
                <w:rFonts w:ascii="Aptos" w:eastAsia="Aptos" w:hAnsi="Aptos" w:cs="Times New Roman"/>
                <w:sz w:val="20"/>
                <w:szCs w:val="20"/>
              </w:rPr>
              <w:t>Dec-22</w:t>
            </w:r>
          </w:p>
        </w:tc>
        <w:tc>
          <w:tcPr>
            <w:tcW w:w="1444" w:type="dxa"/>
            <w:tcBorders>
              <w:top w:val="single" w:sz="4" w:space="0" w:color="auto"/>
              <w:left w:val="single" w:sz="4" w:space="0" w:color="auto"/>
              <w:bottom w:val="single" w:sz="4" w:space="0" w:color="auto"/>
              <w:right w:val="single" w:sz="4" w:space="0" w:color="auto"/>
            </w:tcBorders>
            <w:noWrap/>
            <w:hideMark/>
          </w:tcPr>
          <w:p w14:paraId="31DC9A6E" w14:textId="3423BA7F" w:rsidR="008F2C09" w:rsidRPr="00A32A07" w:rsidRDefault="008F2C09" w:rsidP="008F2C09">
            <w:pPr>
              <w:spacing w:line="259" w:lineRule="auto"/>
              <w:jc w:val="right"/>
              <w:rPr>
                <w:rFonts w:ascii="Aptos" w:eastAsia="Aptos" w:hAnsi="Aptos" w:cs="Times New Roman"/>
                <w:sz w:val="20"/>
                <w:szCs w:val="20"/>
              </w:rPr>
            </w:pPr>
            <w:r w:rsidRPr="00844515">
              <w:rPr>
                <w:rFonts w:ascii="Aptos" w:eastAsia="Aptos" w:hAnsi="Aptos" w:cs="Times New Roman"/>
                <w:sz w:val="20"/>
                <w:szCs w:val="20"/>
              </w:rPr>
              <w:t>N/A</w:t>
            </w:r>
          </w:p>
        </w:tc>
        <w:tc>
          <w:tcPr>
            <w:tcW w:w="1445" w:type="dxa"/>
            <w:tcBorders>
              <w:top w:val="single" w:sz="4" w:space="0" w:color="auto"/>
              <w:left w:val="single" w:sz="4" w:space="0" w:color="auto"/>
              <w:bottom w:val="single" w:sz="4" w:space="0" w:color="auto"/>
              <w:right w:val="single" w:sz="4" w:space="0" w:color="auto"/>
            </w:tcBorders>
            <w:noWrap/>
            <w:hideMark/>
          </w:tcPr>
          <w:p w14:paraId="771D2A46" w14:textId="59B67A7E" w:rsidR="008F2C09" w:rsidRPr="00A32A07" w:rsidRDefault="008F2C09" w:rsidP="008F2C09">
            <w:pPr>
              <w:spacing w:line="259" w:lineRule="auto"/>
              <w:jc w:val="right"/>
              <w:rPr>
                <w:rFonts w:ascii="Aptos" w:eastAsia="Aptos" w:hAnsi="Aptos" w:cs="Times New Roman"/>
                <w:sz w:val="20"/>
                <w:szCs w:val="20"/>
              </w:rPr>
            </w:pPr>
            <w:r w:rsidRPr="00844515">
              <w:rPr>
                <w:rFonts w:ascii="Aptos" w:eastAsia="Aptos" w:hAnsi="Aptos" w:cs="Times New Roman"/>
                <w:sz w:val="20"/>
                <w:szCs w:val="20"/>
              </w:rPr>
              <w:t>N/A</w:t>
            </w:r>
          </w:p>
        </w:tc>
        <w:tc>
          <w:tcPr>
            <w:tcW w:w="1361" w:type="dxa"/>
            <w:tcBorders>
              <w:top w:val="single" w:sz="4" w:space="0" w:color="auto"/>
              <w:left w:val="single" w:sz="4" w:space="0" w:color="auto"/>
              <w:bottom w:val="single" w:sz="4" w:space="0" w:color="auto"/>
              <w:right w:val="single" w:sz="4" w:space="0" w:color="auto"/>
            </w:tcBorders>
            <w:noWrap/>
            <w:hideMark/>
          </w:tcPr>
          <w:p w14:paraId="34EBC81A" w14:textId="4886243E" w:rsidR="008F2C09" w:rsidRPr="00A32A07" w:rsidRDefault="008F2C09" w:rsidP="008F2C09">
            <w:pPr>
              <w:spacing w:line="259" w:lineRule="auto"/>
              <w:jc w:val="right"/>
              <w:rPr>
                <w:rFonts w:ascii="Aptos" w:eastAsia="Aptos" w:hAnsi="Aptos" w:cs="Times New Roman"/>
                <w:sz w:val="20"/>
                <w:szCs w:val="20"/>
              </w:rPr>
            </w:pPr>
            <w:r w:rsidRPr="00844515">
              <w:rPr>
                <w:rFonts w:ascii="Aptos" w:eastAsia="Aptos" w:hAnsi="Aptos" w:cs="Times New Roman"/>
                <w:sz w:val="20"/>
                <w:szCs w:val="20"/>
              </w:rPr>
              <w:t>N/A</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54684CE9" w14:textId="77777777" w:rsidR="008F2C09" w:rsidRPr="00A32A07" w:rsidRDefault="008F2C09" w:rsidP="008F2C09">
            <w:pPr>
              <w:spacing w:line="259" w:lineRule="auto"/>
              <w:jc w:val="right"/>
              <w:rPr>
                <w:rFonts w:ascii="Aptos" w:eastAsia="Aptos" w:hAnsi="Aptos" w:cs="Times New Roman"/>
                <w:sz w:val="20"/>
                <w:szCs w:val="20"/>
              </w:rPr>
            </w:pPr>
            <w:r w:rsidRPr="00A32A07">
              <w:rPr>
                <w:rFonts w:ascii="Aptos" w:eastAsia="Aptos" w:hAnsi="Aptos" w:cs="Times New Roman"/>
                <w:sz w:val="20"/>
                <w:szCs w:val="20"/>
              </w:rPr>
              <w:t>6</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405B5AB7" w14:textId="77777777" w:rsidR="008F2C09" w:rsidRPr="00A32A07" w:rsidRDefault="008F2C09" w:rsidP="008F2C09">
            <w:pPr>
              <w:spacing w:line="259" w:lineRule="auto"/>
              <w:jc w:val="right"/>
              <w:rPr>
                <w:rFonts w:ascii="Aptos" w:eastAsia="Aptos" w:hAnsi="Aptos" w:cs="Times New Roman"/>
                <w:sz w:val="20"/>
                <w:szCs w:val="20"/>
              </w:rPr>
            </w:pPr>
            <w:r w:rsidRPr="00A32A07">
              <w:rPr>
                <w:rFonts w:ascii="Aptos" w:eastAsia="Aptos" w:hAnsi="Aptos" w:cs="Times New Roman"/>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0BB3F0AE" w14:textId="77777777" w:rsidR="008F2C09" w:rsidRPr="00A32A07" w:rsidRDefault="008F2C09" w:rsidP="008F2C09">
            <w:pPr>
              <w:spacing w:line="259" w:lineRule="auto"/>
              <w:jc w:val="right"/>
              <w:rPr>
                <w:rFonts w:ascii="Aptos" w:eastAsia="Aptos" w:hAnsi="Aptos" w:cs="Times New Roman"/>
                <w:sz w:val="20"/>
                <w:szCs w:val="20"/>
              </w:rPr>
            </w:pPr>
            <w:r w:rsidRPr="00A32A07">
              <w:rPr>
                <w:rFonts w:ascii="Aptos" w:eastAsia="Aptos" w:hAnsi="Aptos" w:cs="Times New Roman"/>
                <w:sz w:val="20"/>
                <w:szCs w:val="20"/>
              </w:rPr>
              <w:t>8</w:t>
            </w:r>
          </w:p>
        </w:tc>
      </w:tr>
      <w:tr w:rsidR="00677577" w:rsidRPr="003B4A9C" w14:paraId="21E1CC3A" w14:textId="77777777">
        <w:trPr>
          <w:trHeight w:val="290"/>
        </w:trPr>
        <w:tc>
          <w:tcPr>
            <w:tcW w:w="1271" w:type="dxa"/>
            <w:tcBorders>
              <w:top w:val="single" w:sz="4" w:space="0" w:color="auto"/>
              <w:left w:val="single" w:sz="4" w:space="0" w:color="auto"/>
              <w:bottom w:val="single" w:sz="4" w:space="0" w:color="auto"/>
              <w:right w:val="single" w:sz="4" w:space="0" w:color="auto"/>
            </w:tcBorders>
            <w:noWrap/>
            <w:hideMark/>
          </w:tcPr>
          <w:p w14:paraId="5396DE68" w14:textId="77777777" w:rsidR="00677577" w:rsidRPr="00A32A07" w:rsidRDefault="00677577">
            <w:pPr>
              <w:spacing w:line="259" w:lineRule="auto"/>
              <w:rPr>
                <w:rFonts w:ascii="Aptos" w:eastAsia="Aptos" w:hAnsi="Aptos" w:cs="Times New Roman"/>
                <w:sz w:val="20"/>
                <w:szCs w:val="20"/>
              </w:rPr>
            </w:pPr>
            <w:r w:rsidRPr="00A32A07">
              <w:rPr>
                <w:rFonts w:ascii="Aptos" w:eastAsia="Aptos" w:hAnsi="Aptos" w:cs="Times New Roman"/>
                <w:sz w:val="20"/>
                <w:szCs w:val="20"/>
              </w:rPr>
              <w:t>Mar-23</w:t>
            </w:r>
          </w:p>
        </w:tc>
        <w:tc>
          <w:tcPr>
            <w:tcW w:w="1444" w:type="dxa"/>
            <w:tcBorders>
              <w:top w:val="single" w:sz="4" w:space="0" w:color="auto"/>
              <w:left w:val="single" w:sz="4" w:space="0" w:color="auto"/>
              <w:bottom w:val="single" w:sz="4" w:space="0" w:color="auto"/>
              <w:right w:val="single" w:sz="4" w:space="0" w:color="auto"/>
            </w:tcBorders>
            <w:noWrap/>
            <w:vAlign w:val="center"/>
            <w:hideMark/>
          </w:tcPr>
          <w:p w14:paraId="5DDF3085"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1</w:t>
            </w:r>
          </w:p>
        </w:tc>
        <w:tc>
          <w:tcPr>
            <w:tcW w:w="1445" w:type="dxa"/>
            <w:tcBorders>
              <w:top w:val="single" w:sz="4" w:space="0" w:color="auto"/>
              <w:left w:val="single" w:sz="4" w:space="0" w:color="auto"/>
              <w:bottom w:val="single" w:sz="4" w:space="0" w:color="auto"/>
              <w:right w:val="single" w:sz="4" w:space="0" w:color="auto"/>
            </w:tcBorders>
            <w:noWrap/>
            <w:vAlign w:val="center"/>
            <w:hideMark/>
          </w:tcPr>
          <w:p w14:paraId="56553801"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0</w:t>
            </w:r>
          </w:p>
        </w:tc>
        <w:tc>
          <w:tcPr>
            <w:tcW w:w="1361" w:type="dxa"/>
            <w:tcBorders>
              <w:top w:val="single" w:sz="4" w:space="0" w:color="auto"/>
              <w:left w:val="single" w:sz="4" w:space="0" w:color="auto"/>
              <w:bottom w:val="single" w:sz="4" w:space="0" w:color="auto"/>
              <w:right w:val="single" w:sz="4" w:space="0" w:color="auto"/>
            </w:tcBorders>
            <w:noWrap/>
            <w:vAlign w:val="center"/>
            <w:hideMark/>
          </w:tcPr>
          <w:p w14:paraId="1E526877"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0</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5A7E587F"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8</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3C15F3FA"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5</w:t>
            </w:r>
          </w:p>
        </w:tc>
        <w:tc>
          <w:tcPr>
            <w:tcW w:w="850" w:type="dxa"/>
            <w:tcBorders>
              <w:top w:val="single" w:sz="4" w:space="0" w:color="auto"/>
              <w:left w:val="single" w:sz="4" w:space="0" w:color="auto"/>
              <w:bottom w:val="single" w:sz="4" w:space="0" w:color="auto"/>
              <w:right w:val="single" w:sz="4" w:space="0" w:color="auto"/>
            </w:tcBorders>
            <w:vAlign w:val="center"/>
            <w:hideMark/>
          </w:tcPr>
          <w:p w14:paraId="313D909E"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14</w:t>
            </w:r>
          </w:p>
        </w:tc>
      </w:tr>
      <w:tr w:rsidR="00677577" w:rsidRPr="003B4A9C" w14:paraId="15582B53" w14:textId="77777777">
        <w:trPr>
          <w:trHeight w:val="290"/>
        </w:trPr>
        <w:tc>
          <w:tcPr>
            <w:tcW w:w="1271" w:type="dxa"/>
            <w:tcBorders>
              <w:top w:val="single" w:sz="4" w:space="0" w:color="auto"/>
              <w:left w:val="single" w:sz="4" w:space="0" w:color="auto"/>
              <w:bottom w:val="single" w:sz="4" w:space="0" w:color="auto"/>
              <w:right w:val="single" w:sz="4" w:space="0" w:color="auto"/>
            </w:tcBorders>
            <w:noWrap/>
            <w:hideMark/>
          </w:tcPr>
          <w:p w14:paraId="6E6483D7" w14:textId="77777777" w:rsidR="00677577" w:rsidRPr="00A32A07" w:rsidRDefault="00677577">
            <w:pPr>
              <w:spacing w:line="259" w:lineRule="auto"/>
              <w:rPr>
                <w:rFonts w:ascii="Aptos" w:eastAsia="Aptos" w:hAnsi="Aptos" w:cs="Times New Roman"/>
                <w:sz w:val="20"/>
                <w:szCs w:val="20"/>
              </w:rPr>
            </w:pPr>
            <w:r w:rsidRPr="00A32A07">
              <w:rPr>
                <w:rFonts w:ascii="Aptos" w:eastAsia="Aptos" w:hAnsi="Aptos" w:cs="Times New Roman"/>
                <w:sz w:val="20"/>
                <w:szCs w:val="20"/>
              </w:rPr>
              <w:t>Jun-23</w:t>
            </w:r>
          </w:p>
        </w:tc>
        <w:tc>
          <w:tcPr>
            <w:tcW w:w="1444" w:type="dxa"/>
            <w:tcBorders>
              <w:top w:val="single" w:sz="4" w:space="0" w:color="auto"/>
              <w:left w:val="single" w:sz="4" w:space="0" w:color="auto"/>
              <w:bottom w:val="single" w:sz="4" w:space="0" w:color="auto"/>
              <w:right w:val="single" w:sz="4" w:space="0" w:color="auto"/>
            </w:tcBorders>
            <w:noWrap/>
            <w:vAlign w:val="center"/>
            <w:hideMark/>
          </w:tcPr>
          <w:p w14:paraId="2122C6D8"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4</w:t>
            </w:r>
          </w:p>
        </w:tc>
        <w:tc>
          <w:tcPr>
            <w:tcW w:w="1445" w:type="dxa"/>
            <w:tcBorders>
              <w:top w:val="single" w:sz="4" w:space="0" w:color="auto"/>
              <w:left w:val="single" w:sz="4" w:space="0" w:color="auto"/>
              <w:bottom w:val="single" w:sz="4" w:space="0" w:color="auto"/>
              <w:right w:val="single" w:sz="4" w:space="0" w:color="auto"/>
            </w:tcBorders>
            <w:noWrap/>
            <w:vAlign w:val="center"/>
            <w:hideMark/>
          </w:tcPr>
          <w:p w14:paraId="4E330A22"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0</w:t>
            </w:r>
          </w:p>
        </w:tc>
        <w:tc>
          <w:tcPr>
            <w:tcW w:w="1361" w:type="dxa"/>
            <w:tcBorders>
              <w:top w:val="single" w:sz="4" w:space="0" w:color="auto"/>
              <w:left w:val="single" w:sz="4" w:space="0" w:color="auto"/>
              <w:bottom w:val="single" w:sz="4" w:space="0" w:color="auto"/>
              <w:right w:val="single" w:sz="4" w:space="0" w:color="auto"/>
            </w:tcBorders>
            <w:noWrap/>
            <w:vAlign w:val="center"/>
            <w:hideMark/>
          </w:tcPr>
          <w:p w14:paraId="1718A700"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6</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27CB6D03"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0</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4221E6E7"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29A40B74"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13</w:t>
            </w:r>
          </w:p>
        </w:tc>
      </w:tr>
      <w:tr w:rsidR="00677577" w:rsidRPr="003B4A9C" w14:paraId="4EB70888" w14:textId="77777777">
        <w:trPr>
          <w:trHeight w:val="290"/>
        </w:trPr>
        <w:tc>
          <w:tcPr>
            <w:tcW w:w="1271" w:type="dxa"/>
            <w:tcBorders>
              <w:top w:val="single" w:sz="4" w:space="0" w:color="auto"/>
              <w:left w:val="single" w:sz="4" w:space="0" w:color="auto"/>
              <w:bottom w:val="single" w:sz="4" w:space="0" w:color="auto"/>
              <w:right w:val="single" w:sz="4" w:space="0" w:color="auto"/>
            </w:tcBorders>
            <w:noWrap/>
            <w:hideMark/>
          </w:tcPr>
          <w:p w14:paraId="7282BBE2" w14:textId="77777777" w:rsidR="00677577" w:rsidRPr="00A32A07" w:rsidRDefault="00677577">
            <w:pPr>
              <w:spacing w:line="259" w:lineRule="auto"/>
              <w:rPr>
                <w:rFonts w:ascii="Aptos" w:eastAsia="Aptos" w:hAnsi="Aptos" w:cs="Times New Roman"/>
                <w:sz w:val="20"/>
                <w:szCs w:val="20"/>
              </w:rPr>
            </w:pPr>
            <w:r w:rsidRPr="00A32A07">
              <w:rPr>
                <w:rFonts w:ascii="Aptos" w:eastAsia="Aptos" w:hAnsi="Aptos" w:cs="Times New Roman"/>
                <w:sz w:val="20"/>
                <w:szCs w:val="20"/>
              </w:rPr>
              <w:t>Sep-23</w:t>
            </w:r>
          </w:p>
        </w:tc>
        <w:tc>
          <w:tcPr>
            <w:tcW w:w="1444" w:type="dxa"/>
            <w:tcBorders>
              <w:top w:val="single" w:sz="4" w:space="0" w:color="auto"/>
              <w:left w:val="single" w:sz="4" w:space="0" w:color="auto"/>
              <w:bottom w:val="single" w:sz="4" w:space="0" w:color="auto"/>
              <w:right w:val="single" w:sz="4" w:space="0" w:color="auto"/>
            </w:tcBorders>
            <w:noWrap/>
            <w:vAlign w:val="center"/>
            <w:hideMark/>
          </w:tcPr>
          <w:p w14:paraId="1C6EB7CD"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6</w:t>
            </w:r>
          </w:p>
        </w:tc>
        <w:tc>
          <w:tcPr>
            <w:tcW w:w="1445" w:type="dxa"/>
            <w:tcBorders>
              <w:top w:val="single" w:sz="4" w:space="0" w:color="auto"/>
              <w:left w:val="single" w:sz="4" w:space="0" w:color="auto"/>
              <w:bottom w:val="single" w:sz="4" w:space="0" w:color="auto"/>
              <w:right w:val="single" w:sz="4" w:space="0" w:color="auto"/>
            </w:tcBorders>
            <w:noWrap/>
            <w:vAlign w:val="center"/>
            <w:hideMark/>
          </w:tcPr>
          <w:p w14:paraId="5E8E001F"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0</w:t>
            </w:r>
          </w:p>
        </w:tc>
        <w:tc>
          <w:tcPr>
            <w:tcW w:w="1361" w:type="dxa"/>
            <w:tcBorders>
              <w:top w:val="single" w:sz="4" w:space="0" w:color="auto"/>
              <w:left w:val="single" w:sz="4" w:space="0" w:color="auto"/>
              <w:bottom w:val="single" w:sz="4" w:space="0" w:color="auto"/>
              <w:right w:val="single" w:sz="4" w:space="0" w:color="auto"/>
            </w:tcBorders>
            <w:noWrap/>
            <w:vAlign w:val="center"/>
            <w:hideMark/>
          </w:tcPr>
          <w:p w14:paraId="08A79E80"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10</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217843EF"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0</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1DD2DA7A"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3D144C11"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19</w:t>
            </w:r>
          </w:p>
        </w:tc>
      </w:tr>
      <w:tr w:rsidR="00677577" w:rsidRPr="003B4A9C" w14:paraId="4FCC815A" w14:textId="77777777">
        <w:trPr>
          <w:trHeight w:val="290"/>
        </w:trPr>
        <w:tc>
          <w:tcPr>
            <w:tcW w:w="1271" w:type="dxa"/>
            <w:tcBorders>
              <w:top w:val="single" w:sz="4" w:space="0" w:color="auto"/>
              <w:left w:val="single" w:sz="4" w:space="0" w:color="auto"/>
              <w:bottom w:val="single" w:sz="4" w:space="0" w:color="auto"/>
              <w:right w:val="single" w:sz="4" w:space="0" w:color="auto"/>
            </w:tcBorders>
            <w:noWrap/>
            <w:hideMark/>
          </w:tcPr>
          <w:p w14:paraId="5ECF39DF" w14:textId="77777777" w:rsidR="00677577" w:rsidRPr="00A32A07" w:rsidRDefault="00677577">
            <w:pPr>
              <w:spacing w:line="259" w:lineRule="auto"/>
              <w:rPr>
                <w:rFonts w:ascii="Aptos" w:eastAsia="Aptos" w:hAnsi="Aptos" w:cs="Times New Roman"/>
                <w:sz w:val="20"/>
                <w:szCs w:val="20"/>
              </w:rPr>
            </w:pPr>
            <w:r w:rsidRPr="00A32A07">
              <w:rPr>
                <w:rFonts w:ascii="Aptos" w:eastAsia="Aptos" w:hAnsi="Aptos" w:cs="Times New Roman"/>
                <w:sz w:val="20"/>
                <w:szCs w:val="20"/>
              </w:rPr>
              <w:t>Dec-23</w:t>
            </w:r>
          </w:p>
        </w:tc>
        <w:tc>
          <w:tcPr>
            <w:tcW w:w="1444" w:type="dxa"/>
            <w:tcBorders>
              <w:top w:val="single" w:sz="4" w:space="0" w:color="auto"/>
              <w:left w:val="single" w:sz="4" w:space="0" w:color="auto"/>
              <w:bottom w:val="single" w:sz="4" w:space="0" w:color="auto"/>
              <w:right w:val="single" w:sz="4" w:space="0" w:color="auto"/>
            </w:tcBorders>
            <w:noWrap/>
            <w:vAlign w:val="center"/>
            <w:hideMark/>
          </w:tcPr>
          <w:p w14:paraId="4EEC1280"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8</w:t>
            </w:r>
          </w:p>
        </w:tc>
        <w:tc>
          <w:tcPr>
            <w:tcW w:w="1445" w:type="dxa"/>
            <w:tcBorders>
              <w:top w:val="single" w:sz="4" w:space="0" w:color="auto"/>
              <w:left w:val="single" w:sz="4" w:space="0" w:color="auto"/>
              <w:bottom w:val="single" w:sz="4" w:space="0" w:color="auto"/>
              <w:right w:val="single" w:sz="4" w:space="0" w:color="auto"/>
            </w:tcBorders>
            <w:noWrap/>
            <w:vAlign w:val="center"/>
            <w:hideMark/>
          </w:tcPr>
          <w:p w14:paraId="518EA751"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4</w:t>
            </w:r>
          </w:p>
        </w:tc>
        <w:tc>
          <w:tcPr>
            <w:tcW w:w="1361" w:type="dxa"/>
            <w:tcBorders>
              <w:top w:val="single" w:sz="4" w:space="0" w:color="auto"/>
              <w:left w:val="single" w:sz="4" w:space="0" w:color="auto"/>
              <w:bottom w:val="single" w:sz="4" w:space="0" w:color="auto"/>
              <w:right w:val="single" w:sz="4" w:space="0" w:color="auto"/>
            </w:tcBorders>
            <w:noWrap/>
            <w:vAlign w:val="center"/>
            <w:hideMark/>
          </w:tcPr>
          <w:p w14:paraId="68B5C110"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15</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1FBC7F92"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0</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1D76C814"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0E6580B"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31</w:t>
            </w:r>
          </w:p>
        </w:tc>
      </w:tr>
      <w:tr w:rsidR="00677577" w:rsidRPr="003B4A9C" w14:paraId="79BF3265" w14:textId="77777777">
        <w:trPr>
          <w:trHeight w:val="290"/>
        </w:trPr>
        <w:tc>
          <w:tcPr>
            <w:tcW w:w="1271" w:type="dxa"/>
            <w:tcBorders>
              <w:top w:val="single" w:sz="4" w:space="0" w:color="auto"/>
              <w:left w:val="single" w:sz="4" w:space="0" w:color="auto"/>
              <w:bottom w:val="single" w:sz="4" w:space="0" w:color="auto"/>
              <w:right w:val="single" w:sz="4" w:space="0" w:color="auto"/>
            </w:tcBorders>
            <w:noWrap/>
            <w:hideMark/>
          </w:tcPr>
          <w:p w14:paraId="738B2E23" w14:textId="77777777" w:rsidR="00677577" w:rsidRPr="00A32A07" w:rsidRDefault="00677577">
            <w:pPr>
              <w:spacing w:line="259" w:lineRule="auto"/>
              <w:rPr>
                <w:rFonts w:ascii="Aptos" w:eastAsia="Aptos" w:hAnsi="Aptos" w:cs="Times New Roman"/>
                <w:sz w:val="20"/>
                <w:szCs w:val="20"/>
              </w:rPr>
            </w:pPr>
            <w:r w:rsidRPr="00A32A07">
              <w:rPr>
                <w:rFonts w:ascii="Aptos" w:eastAsia="Aptos" w:hAnsi="Aptos" w:cs="Times New Roman"/>
                <w:sz w:val="20"/>
                <w:szCs w:val="20"/>
              </w:rPr>
              <w:t>Mar-24</w:t>
            </w:r>
          </w:p>
        </w:tc>
        <w:tc>
          <w:tcPr>
            <w:tcW w:w="1444" w:type="dxa"/>
            <w:tcBorders>
              <w:top w:val="single" w:sz="4" w:space="0" w:color="auto"/>
              <w:left w:val="single" w:sz="4" w:space="0" w:color="auto"/>
              <w:bottom w:val="single" w:sz="4" w:space="0" w:color="auto"/>
              <w:right w:val="single" w:sz="4" w:space="0" w:color="auto"/>
            </w:tcBorders>
            <w:noWrap/>
            <w:vAlign w:val="center"/>
            <w:hideMark/>
          </w:tcPr>
          <w:p w14:paraId="3D75E9C1"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4</w:t>
            </w:r>
          </w:p>
        </w:tc>
        <w:tc>
          <w:tcPr>
            <w:tcW w:w="1445" w:type="dxa"/>
            <w:tcBorders>
              <w:top w:val="single" w:sz="4" w:space="0" w:color="auto"/>
              <w:left w:val="single" w:sz="4" w:space="0" w:color="auto"/>
              <w:bottom w:val="single" w:sz="4" w:space="0" w:color="auto"/>
              <w:right w:val="single" w:sz="4" w:space="0" w:color="auto"/>
            </w:tcBorders>
            <w:noWrap/>
            <w:vAlign w:val="center"/>
            <w:hideMark/>
          </w:tcPr>
          <w:p w14:paraId="6F956076"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4</w:t>
            </w:r>
          </w:p>
        </w:tc>
        <w:tc>
          <w:tcPr>
            <w:tcW w:w="1361" w:type="dxa"/>
            <w:tcBorders>
              <w:top w:val="single" w:sz="4" w:space="0" w:color="auto"/>
              <w:left w:val="single" w:sz="4" w:space="0" w:color="auto"/>
              <w:bottom w:val="single" w:sz="4" w:space="0" w:color="auto"/>
              <w:right w:val="single" w:sz="4" w:space="0" w:color="auto"/>
            </w:tcBorders>
            <w:noWrap/>
            <w:vAlign w:val="center"/>
            <w:hideMark/>
          </w:tcPr>
          <w:p w14:paraId="50A2766B"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12</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03A5C1EA"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0</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090CD5B9"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4C6FD806"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21</w:t>
            </w:r>
          </w:p>
        </w:tc>
      </w:tr>
      <w:tr w:rsidR="00677577" w:rsidRPr="003B4A9C" w14:paraId="432BA509" w14:textId="77777777">
        <w:trPr>
          <w:trHeight w:val="290"/>
        </w:trPr>
        <w:tc>
          <w:tcPr>
            <w:tcW w:w="1271" w:type="dxa"/>
            <w:tcBorders>
              <w:top w:val="single" w:sz="4" w:space="0" w:color="auto"/>
              <w:left w:val="single" w:sz="4" w:space="0" w:color="auto"/>
              <w:bottom w:val="single" w:sz="4" w:space="0" w:color="auto"/>
              <w:right w:val="single" w:sz="4" w:space="0" w:color="auto"/>
            </w:tcBorders>
            <w:noWrap/>
            <w:hideMark/>
          </w:tcPr>
          <w:p w14:paraId="36FD5330" w14:textId="77777777" w:rsidR="00677577" w:rsidRPr="00A32A07" w:rsidRDefault="00677577">
            <w:pPr>
              <w:spacing w:line="259" w:lineRule="auto"/>
              <w:rPr>
                <w:rFonts w:ascii="Aptos" w:eastAsia="Aptos" w:hAnsi="Aptos" w:cs="Times New Roman"/>
                <w:sz w:val="20"/>
                <w:szCs w:val="20"/>
              </w:rPr>
            </w:pPr>
            <w:r w:rsidRPr="00A32A07">
              <w:rPr>
                <w:rFonts w:ascii="Aptos" w:eastAsia="Aptos" w:hAnsi="Aptos" w:cs="Times New Roman"/>
                <w:sz w:val="20"/>
                <w:szCs w:val="20"/>
              </w:rPr>
              <w:t>Jun-24</w:t>
            </w:r>
          </w:p>
        </w:tc>
        <w:tc>
          <w:tcPr>
            <w:tcW w:w="1444" w:type="dxa"/>
            <w:tcBorders>
              <w:top w:val="single" w:sz="4" w:space="0" w:color="auto"/>
              <w:left w:val="single" w:sz="4" w:space="0" w:color="auto"/>
              <w:bottom w:val="single" w:sz="4" w:space="0" w:color="auto"/>
              <w:right w:val="single" w:sz="4" w:space="0" w:color="auto"/>
            </w:tcBorders>
            <w:noWrap/>
            <w:vAlign w:val="center"/>
            <w:hideMark/>
          </w:tcPr>
          <w:p w14:paraId="2F6D3413"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11</w:t>
            </w:r>
          </w:p>
        </w:tc>
        <w:tc>
          <w:tcPr>
            <w:tcW w:w="1445" w:type="dxa"/>
            <w:tcBorders>
              <w:top w:val="single" w:sz="4" w:space="0" w:color="auto"/>
              <w:left w:val="single" w:sz="4" w:space="0" w:color="auto"/>
              <w:bottom w:val="single" w:sz="4" w:space="0" w:color="auto"/>
              <w:right w:val="single" w:sz="4" w:space="0" w:color="auto"/>
            </w:tcBorders>
            <w:noWrap/>
            <w:vAlign w:val="center"/>
            <w:hideMark/>
          </w:tcPr>
          <w:p w14:paraId="0B739C5D"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0</w:t>
            </w:r>
          </w:p>
        </w:tc>
        <w:tc>
          <w:tcPr>
            <w:tcW w:w="1361" w:type="dxa"/>
            <w:tcBorders>
              <w:top w:val="single" w:sz="4" w:space="0" w:color="auto"/>
              <w:left w:val="single" w:sz="4" w:space="0" w:color="auto"/>
              <w:bottom w:val="single" w:sz="4" w:space="0" w:color="auto"/>
              <w:right w:val="single" w:sz="4" w:space="0" w:color="auto"/>
            </w:tcBorders>
            <w:noWrap/>
            <w:vAlign w:val="center"/>
            <w:hideMark/>
          </w:tcPr>
          <w:p w14:paraId="6D425EFE"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21</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264333DB"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0</w:t>
            </w:r>
          </w:p>
        </w:tc>
        <w:tc>
          <w:tcPr>
            <w:tcW w:w="1487" w:type="dxa"/>
            <w:tcBorders>
              <w:top w:val="single" w:sz="4" w:space="0" w:color="auto"/>
              <w:left w:val="single" w:sz="4" w:space="0" w:color="auto"/>
              <w:bottom w:val="single" w:sz="4" w:space="0" w:color="auto"/>
              <w:right w:val="single" w:sz="4" w:space="0" w:color="auto"/>
            </w:tcBorders>
            <w:noWrap/>
            <w:vAlign w:val="center"/>
            <w:hideMark/>
          </w:tcPr>
          <w:p w14:paraId="7B291C84"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7337EA7D"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33</w:t>
            </w:r>
          </w:p>
        </w:tc>
      </w:tr>
      <w:tr w:rsidR="00677577" w:rsidRPr="003B4A9C" w14:paraId="27F44137" w14:textId="77777777">
        <w:trPr>
          <w:trHeight w:val="290"/>
        </w:trPr>
        <w:tc>
          <w:tcPr>
            <w:tcW w:w="1271" w:type="dxa"/>
            <w:tcBorders>
              <w:top w:val="single" w:sz="4" w:space="0" w:color="auto"/>
              <w:left w:val="single" w:sz="4" w:space="0" w:color="auto"/>
              <w:bottom w:val="single" w:sz="4" w:space="0" w:color="auto"/>
              <w:right w:val="single" w:sz="4" w:space="0" w:color="auto"/>
            </w:tcBorders>
            <w:noWrap/>
          </w:tcPr>
          <w:p w14:paraId="7C672C33" w14:textId="77777777" w:rsidR="00677577" w:rsidRPr="00A32A07" w:rsidRDefault="00677577">
            <w:pPr>
              <w:spacing w:line="259" w:lineRule="auto"/>
              <w:rPr>
                <w:rFonts w:ascii="Aptos" w:eastAsia="Aptos" w:hAnsi="Aptos" w:cs="Times New Roman"/>
                <w:sz w:val="20"/>
                <w:szCs w:val="20"/>
              </w:rPr>
            </w:pPr>
            <w:r w:rsidRPr="00A32A07">
              <w:rPr>
                <w:rFonts w:ascii="Aptos" w:eastAsia="Aptos" w:hAnsi="Aptos" w:cs="Times New Roman"/>
                <w:sz w:val="20"/>
                <w:szCs w:val="20"/>
              </w:rPr>
              <w:t>Sep-24</w:t>
            </w:r>
          </w:p>
        </w:tc>
        <w:tc>
          <w:tcPr>
            <w:tcW w:w="1444" w:type="dxa"/>
            <w:tcBorders>
              <w:top w:val="single" w:sz="4" w:space="0" w:color="auto"/>
              <w:left w:val="single" w:sz="4" w:space="0" w:color="auto"/>
              <w:bottom w:val="single" w:sz="4" w:space="0" w:color="auto"/>
              <w:right w:val="single" w:sz="4" w:space="0" w:color="auto"/>
            </w:tcBorders>
            <w:noWrap/>
            <w:vAlign w:val="center"/>
          </w:tcPr>
          <w:p w14:paraId="1D1789E1"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15</w:t>
            </w:r>
          </w:p>
        </w:tc>
        <w:tc>
          <w:tcPr>
            <w:tcW w:w="1445" w:type="dxa"/>
            <w:tcBorders>
              <w:top w:val="single" w:sz="4" w:space="0" w:color="auto"/>
              <w:left w:val="single" w:sz="4" w:space="0" w:color="auto"/>
              <w:bottom w:val="single" w:sz="4" w:space="0" w:color="auto"/>
              <w:right w:val="single" w:sz="4" w:space="0" w:color="auto"/>
            </w:tcBorders>
            <w:noWrap/>
            <w:vAlign w:val="center"/>
          </w:tcPr>
          <w:p w14:paraId="2B113F34"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3</w:t>
            </w:r>
          </w:p>
        </w:tc>
        <w:tc>
          <w:tcPr>
            <w:tcW w:w="1361" w:type="dxa"/>
            <w:tcBorders>
              <w:top w:val="single" w:sz="4" w:space="0" w:color="auto"/>
              <w:left w:val="single" w:sz="4" w:space="0" w:color="auto"/>
              <w:bottom w:val="single" w:sz="4" w:space="0" w:color="auto"/>
              <w:right w:val="single" w:sz="4" w:space="0" w:color="auto"/>
            </w:tcBorders>
            <w:noWrap/>
            <w:vAlign w:val="center"/>
          </w:tcPr>
          <w:p w14:paraId="4FB265C9"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19</w:t>
            </w:r>
          </w:p>
        </w:tc>
        <w:tc>
          <w:tcPr>
            <w:tcW w:w="1487" w:type="dxa"/>
            <w:tcBorders>
              <w:top w:val="single" w:sz="4" w:space="0" w:color="auto"/>
              <w:left w:val="single" w:sz="4" w:space="0" w:color="auto"/>
              <w:bottom w:val="single" w:sz="4" w:space="0" w:color="auto"/>
              <w:right w:val="single" w:sz="4" w:space="0" w:color="auto"/>
            </w:tcBorders>
            <w:noWrap/>
            <w:vAlign w:val="center"/>
          </w:tcPr>
          <w:p w14:paraId="09F7BD32"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0</w:t>
            </w:r>
          </w:p>
        </w:tc>
        <w:tc>
          <w:tcPr>
            <w:tcW w:w="1487" w:type="dxa"/>
            <w:tcBorders>
              <w:top w:val="single" w:sz="4" w:space="0" w:color="auto"/>
              <w:left w:val="single" w:sz="4" w:space="0" w:color="auto"/>
              <w:bottom w:val="single" w:sz="4" w:space="0" w:color="auto"/>
              <w:right w:val="single" w:sz="4" w:space="0" w:color="auto"/>
            </w:tcBorders>
            <w:noWrap/>
            <w:vAlign w:val="center"/>
          </w:tcPr>
          <w:p w14:paraId="0021CD3B"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tcPr>
          <w:p w14:paraId="2BCB0E67"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38</w:t>
            </w:r>
          </w:p>
        </w:tc>
      </w:tr>
      <w:tr w:rsidR="00677577" w:rsidRPr="003B4A9C" w14:paraId="7D4A193C" w14:textId="77777777">
        <w:trPr>
          <w:trHeight w:val="290"/>
        </w:trPr>
        <w:tc>
          <w:tcPr>
            <w:tcW w:w="1271" w:type="dxa"/>
            <w:tcBorders>
              <w:top w:val="single" w:sz="4" w:space="0" w:color="auto"/>
              <w:left w:val="single" w:sz="4" w:space="0" w:color="auto"/>
              <w:bottom w:val="single" w:sz="4" w:space="0" w:color="auto"/>
              <w:right w:val="single" w:sz="4" w:space="0" w:color="auto"/>
            </w:tcBorders>
            <w:noWrap/>
          </w:tcPr>
          <w:p w14:paraId="60769AE5" w14:textId="77777777" w:rsidR="00677577" w:rsidRPr="00A32A07" w:rsidRDefault="00677577">
            <w:pPr>
              <w:spacing w:line="259" w:lineRule="auto"/>
              <w:rPr>
                <w:rFonts w:ascii="Aptos" w:eastAsia="Aptos" w:hAnsi="Aptos" w:cs="Times New Roman"/>
                <w:sz w:val="20"/>
                <w:szCs w:val="20"/>
              </w:rPr>
            </w:pPr>
            <w:r w:rsidRPr="00A32A07">
              <w:rPr>
                <w:rFonts w:ascii="Aptos" w:eastAsia="Aptos" w:hAnsi="Aptos" w:cs="Times New Roman"/>
                <w:sz w:val="20"/>
                <w:szCs w:val="20"/>
              </w:rPr>
              <w:t>Dec-24</w:t>
            </w:r>
          </w:p>
        </w:tc>
        <w:tc>
          <w:tcPr>
            <w:tcW w:w="1444" w:type="dxa"/>
            <w:tcBorders>
              <w:top w:val="single" w:sz="4" w:space="0" w:color="auto"/>
              <w:left w:val="single" w:sz="4" w:space="0" w:color="auto"/>
              <w:bottom w:val="single" w:sz="4" w:space="0" w:color="auto"/>
              <w:right w:val="single" w:sz="4" w:space="0" w:color="auto"/>
            </w:tcBorders>
            <w:noWrap/>
            <w:vAlign w:val="center"/>
          </w:tcPr>
          <w:p w14:paraId="41211AB5"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19</w:t>
            </w:r>
          </w:p>
        </w:tc>
        <w:tc>
          <w:tcPr>
            <w:tcW w:w="1445" w:type="dxa"/>
            <w:tcBorders>
              <w:top w:val="single" w:sz="4" w:space="0" w:color="auto"/>
              <w:left w:val="single" w:sz="4" w:space="0" w:color="auto"/>
              <w:bottom w:val="single" w:sz="4" w:space="0" w:color="auto"/>
              <w:right w:val="single" w:sz="4" w:space="0" w:color="auto"/>
            </w:tcBorders>
            <w:noWrap/>
            <w:vAlign w:val="center"/>
          </w:tcPr>
          <w:p w14:paraId="2E0A7197"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3</w:t>
            </w:r>
          </w:p>
        </w:tc>
        <w:tc>
          <w:tcPr>
            <w:tcW w:w="1361" w:type="dxa"/>
            <w:tcBorders>
              <w:top w:val="single" w:sz="4" w:space="0" w:color="auto"/>
              <w:left w:val="single" w:sz="4" w:space="0" w:color="auto"/>
              <w:bottom w:val="single" w:sz="4" w:space="0" w:color="auto"/>
              <w:right w:val="single" w:sz="4" w:space="0" w:color="auto"/>
            </w:tcBorders>
            <w:noWrap/>
            <w:vAlign w:val="center"/>
          </w:tcPr>
          <w:p w14:paraId="61B46D8B"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22</w:t>
            </w:r>
          </w:p>
        </w:tc>
        <w:tc>
          <w:tcPr>
            <w:tcW w:w="1487" w:type="dxa"/>
            <w:tcBorders>
              <w:top w:val="single" w:sz="4" w:space="0" w:color="auto"/>
              <w:left w:val="single" w:sz="4" w:space="0" w:color="auto"/>
              <w:bottom w:val="single" w:sz="4" w:space="0" w:color="auto"/>
              <w:right w:val="single" w:sz="4" w:space="0" w:color="auto"/>
            </w:tcBorders>
            <w:noWrap/>
            <w:vAlign w:val="center"/>
          </w:tcPr>
          <w:p w14:paraId="61DB5678"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0</w:t>
            </w:r>
          </w:p>
        </w:tc>
        <w:tc>
          <w:tcPr>
            <w:tcW w:w="1487" w:type="dxa"/>
            <w:tcBorders>
              <w:top w:val="single" w:sz="4" w:space="0" w:color="auto"/>
              <w:left w:val="single" w:sz="4" w:space="0" w:color="auto"/>
              <w:bottom w:val="single" w:sz="4" w:space="0" w:color="auto"/>
              <w:right w:val="single" w:sz="4" w:space="0" w:color="auto"/>
            </w:tcBorders>
            <w:noWrap/>
            <w:vAlign w:val="center"/>
          </w:tcPr>
          <w:p w14:paraId="369125CB"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79639B4F" w14:textId="77777777" w:rsidR="00677577" w:rsidRPr="00A32A07" w:rsidRDefault="00677577" w:rsidP="00A32A07">
            <w:pPr>
              <w:spacing w:line="259" w:lineRule="auto"/>
              <w:jc w:val="right"/>
              <w:rPr>
                <w:rFonts w:ascii="Aptos" w:eastAsia="Aptos" w:hAnsi="Aptos" w:cs="Times New Roman"/>
                <w:sz w:val="20"/>
                <w:szCs w:val="20"/>
              </w:rPr>
            </w:pPr>
            <w:r w:rsidRPr="00A32A07">
              <w:rPr>
                <w:rFonts w:ascii="Aptos" w:eastAsia="Aptos" w:hAnsi="Aptos" w:cs="Times New Roman"/>
                <w:sz w:val="20"/>
                <w:szCs w:val="20"/>
              </w:rPr>
              <w:t>47</w:t>
            </w:r>
          </w:p>
        </w:tc>
      </w:tr>
    </w:tbl>
    <w:p w14:paraId="1EB71699" w14:textId="198C797B" w:rsidR="00677577" w:rsidRPr="00B45F7C" w:rsidRDefault="00677577" w:rsidP="00677577">
      <w:pPr>
        <w:spacing w:before="120"/>
        <w:rPr>
          <w:rFonts w:ascii="Aptos" w:eastAsia="Aptos" w:hAnsi="Aptos" w:cs="Times New Roman"/>
          <w:sz w:val="18"/>
        </w:rPr>
      </w:pPr>
      <w:r w:rsidRPr="00B45F7C">
        <w:rPr>
          <w:rFonts w:ascii="Aptos" w:eastAsia="Aptos" w:hAnsi="Aptos" w:cs="Times New Roman"/>
          <w:b/>
          <w:bCs/>
          <w:sz w:val="18"/>
        </w:rPr>
        <w:t xml:space="preserve">Source: </w:t>
      </w:r>
      <w:r w:rsidRPr="00B45F7C">
        <w:rPr>
          <w:rFonts w:ascii="Aptos" w:eastAsia="Aptos" w:hAnsi="Aptos" w:cs="Times New Roman"/>
          <w:sz w:val="18"/>
        </w:rPr>
        <w:t xml:space="preserve">Review analysis of data provided by the </w:t>
      </w:r>
      <w:r w:rsidR="007C79C4">
        <w:rPr>
          <w:rFonts w:ascii="Aptos" w:eastAsia="Aptos" w:hAnsi="Aptos" w:cs="Times New Roman"/>
          <w:sz w:val="18"/>
        </w:rPr>
        <w:t>Fair Work Commission</w:t>
      </w:r>
      <w:r w:rsidRPr="00B45F7C">
        <w:rPr>
          <w:rFonts w:ascii="Aptos" w:eastAsia="Aptos" w:hAnsi="Aptos" w:cs="Times New Roman"/>
          <w:sz w:val="18"/>
        </w:rPr>
        <w:t xml:space="preserve">, July 2021 – </w:t>
      </w:r>
      <w:r>
        <w:rPr>
          <w:rFonts w:ascii="Aptos" w:eastAsia="Aptos" w:hAnsi="Aptos" w:cs="Times New Roman"/>
          <w:sz w:val="18"/>
        </w:rPr>
        <w:t>December</w:t>
      </w:r>
      <w:r w:rsidRPr="00B45F7C">
        <w:rPr>
          <w:rFonts w:ascii="Aptos" w:eastAsia="Aptos" w:hAnsi="Aptos" w:cs="Times New Roman"/>
          <w:sz w:val="18"/>
        </w:rPr>
        <w:t xml:space="preserve"> 2024.</w:t>
      </w:r>
    </w:p>
    <w:p w14:paraId="70EAB289" w14:textId="4D109EF6" w:rsidR="00677577" w:rsidRDefault="00677577" w:rsidP="00677577">
      <w:pPr>
        <w:pStyle w:val="Heading2"/>
      </w:pPr>
      <w:bookmarkStart w:id="1112" w:name="_Toc189260187"/>
      <w:bookmarkStart w:id="1113" w:name="_Toc189393683"/>
      <w:bookmarkStart w:id="1114" w:name="_Toc192258083"/>
      <w:bookmarkStart w:id="1115" w:name="_Toc194311459"/>
      <w:r w:rsidRPr="00B45F7C">
        <w:t xml:space="preserve">Appendix 4 – </w:t>
      </w:r>
      <w:bookmarkEnd w:id="1112"/>
      <w:bookmarkEnd w:id="1113"/>
      <w:bookmarkEnd w:id="1114"/>
      <w:r w:rsidR="00F0490D" w:rsidRPr="00F0490D">
        <w:t>Productivity and the industrial relations system</w:t>
      </w:r>
      <w:bookmarkEnd w:id="1115"/>
    </w:p>
    <w:p w14:paraId="78314E1C" w14:textId="524A8429" w:rsidR="00F0490D" w:rsidRPr="005E6922" w:rsidRDefault="00F0490D" w:rsidP="005E6922">
      <w:pPr>
        <w:pStyle w:val="Heading3"/>
        <w:rPr>
          <w:rStyle w:val="Heading4Char"/>
          <w:b/>
          <w:color w:val="0D2C6C" w:themeColor="text1"/>
          <w:sz w:val="32"/>
        </w:rPr>
      </w:pPr>
      <w:bookmarkStart w:id="1116" w:name="_Toc194066990"/>
      <w:bookmarkStart w:id="1117" w:name="_Toc194311460"/>
      <w:r w:rsidRPr="005E6922">
        <w:rPr>
          <w:rStyle w:val="Heading4Char"/>
          <w:b/>
          <w:color w:val="0D2C6C" w:themeColor="text1"/>
          <w:sz w:val="32"/>
        </w:rPr>
        <w:t>1.</w:t>
      </w:r>
      <w:r w:rsidRPr="005E6922">
        <w:rPr>
          <w:rStyle w:val="Heading4Char"/>
          <w:b/>
          <w:color w:val="0D2C6C" w:themeColor="text1"/>
          <w:sz w:val="32"/>
        </w:rPr>
        <w:tab/>
        <w:t>Introduction</w:t>
      </w:r>
      <w:bookmarkEnd w:id="1116"/>
      <w:bookmarkEnd w:id="1117"/>
    </w:p>
    <w:p w14:paraId="168E926B" w14:textId="6A91B1B3" w:rsidR="00F0490D" w:rsidRPr="00F0490D" w:rsidRDefault="00F0490D" w:rsidP="00F0490D">
      <w:pPr>
        <w:rPr>
          <w:lang w:val="en-US" w:eastAsia="en-AU"/>
        </w:rPr>
      </w:pPr>
      <w:r w:rsidRPr="00F0490D">
        <w:rPr>
          <w:lang w:val="en-US" w:eastAsia="en-AU"/>
        </w:rPr>
        <w:t>Productivity is clearly an important topic. Since the mid-2000s, however, productivity growth in Australia has been slow, a pattern consistent with other advanced economies.</w:t>
      </w:r>
      <w:r w:rsidR="003205A3">
        <w:rPr>
          <w:rStyle w:val="FootnoteReference"/>
          <w:lang w:val="en-US" w:eastAsia="en-AU"/>
        </w:rPr>
        <w:footnoteReference w:id="1339"/>
      </w:r>
      <w:r w:rsidRPr="00F0490D">
        <w:rPr>
          <w:lang w:val="en-US" w:eastAsia="en-AU"/>
        </w:rPr>
        <w:t xml:space="preserve"> The slowdown has prompted renewed debate and various inquiries into its causes and consequences. Indeed, some have suggested that productivity should be a critical criterion when assessing the operation of industrial relations reforms, such as the Secure Jobs, Better Pay Act amendments.</w:t>
      </w:r>
      <w:r w:rsidR="003205A3">
        <w:rPr>
          <w:rStyle w:val="FootnoteReference"/>
          <w:lang w:val="en-US" w:eastAsia="en-AU"/>
        </w:rPr>
        <w:footnoteReference w:id="1340"/>
      </w:r>
    </w:p>
    <w:p w14:paraId="7693CB4A" w14:textId="555D39A8" w:rsidR="00F0490D" w:rsidRPr="00F0490D" w:rsidRDefault="00F0490D" w:rsidP="00F0490D">
      <w:pPr>
        <w:rPr>
          <w:lang w:val="en-US" w:eastAsia="en-AU"/>
        </w:rPr>
      </w:pPr>
      <w:r w:rsidRPr="00F0490D">
        <w:rPr>
          <w:lang w:val="en-US" w:eastAsia="en-AU"/>
        </w:rPr>
        <w:t xml:space="preserve">Although the </w:t>
      </w:r>
      <w:r>
        <w:rPr>
          <w:lang w:val="en-US" w:eastAsia="en-AU"/>
        </w:rPr>
        <w:t>T</w:t>
      </w:r>
      <w:r w:rsidRPr="00F0490D">
        <w:rPr>
          <w:lang w:val="en-US" w:eastAsia="en-AU"/>
        </w:rPr>
        <w:t xml:space="preserve">erms of </w:t>
      </w:r>
      <w:r>
        <w:rPr>
          <w:lang w:val="en-US" w:eastAsia="en-AU"/>
        </w:rPr>
        <w:t>R</w:t>
      </w:r>
      <w:r w:rsidRPr="00F0490D">
        <w:rPr>
          <w:lang w:val="en-US" w:eastAsia="en-AU"/>
        </w:rPr>
        <w:t xml:space="preserve">eference for the </w:t>
      </w:r>
      <w:r>
        <w:rPr>
          <w:lang w:val="en-US" w:eastAsia="en-AU"/>
        </w:rPr>
        <w:t>R</w:t>
      </w:r>
      <w:r w:rsidRPr="00F0490D">
        <w:rPr>
          <w:lang w:val="en-US" w:eastAsia="en-AU"/>
        </w:rPr>
        <w:t>eview did not preclude consideration of productivity, the Review Panel chose not to make productivity a central focus. This decision was based not only on the fact that productivity was not an explicit stated objective of the amendments but also on the complexities of the relationship between industrial relations and productivity, as well as the challenges associated with measuring productivity.</w:t>
      </w:r>
      <w:r w:rsidR="003205A3">
        <w:rPr>
          <w:rStyle w:val="FootnoteReference"/>
          <w:lang w:val="en-US" w:eastAsia="en-AU"/>
        </w:rPr>
        <w:footnoteReference w:id="1341"/>
      </w:r>
    </w:p>
    <w:p w14:paraId="1EEACD79" w14:textId="77777777" w:rsidR="00F0490D" w:rsidRPr="00F0490D" w:rsidRDefault="00F0490D" w:rsidP="00F0490D">
      <w:pPr>
        <w:rPr>
          <w:lang w:val="en-US" w:eastAsia="en-AU"/>
        </w:rPr>
      </w:pPr>
      <w:r w:rsidRPr="00F0490D">
        <w:rPr>
          <w:lang w:val="en-US" w:eastAsia="en-AU"/>
        </w:rPr>
        <w:t>Notwithstanding the above, the Review Panel does wish to engage in the productivity debate, particularly as it relates to industrial relations. This is because some employers and employer groups submitted that the Secure Jobs, Better Pay amendments will undermine productivity. It is also because the Panel sees a number of problems with the existing productivity debate in Australia. It is, for example, unclear how important the amendments specifically, and industrial relations in general, are to productivity. Much of the current productivity debate is preoccupied with national-level trends, with contributions shaped by the values and frames of reference of various participants. Moreover, the discussion is limited, often overlooking distributional aspects (such as wage growth) and other outcomes (such as gender equality and job security).</w:t>
      </w:r>
    </w:p>
    <w:p w14:paraId="30D94A8A" w14:textId="64CA3C7E" w:rsidR="00F0490D" w:rsidRPr="00F0490D" w:rsidRDefault="00F0490D" w:rsidP="00F0490D">
      <w:pPr>
        <w:rPr>
          <w:lang w:val="en-US" w:eastAsia="en-AU"/>
        </w:rPr>
      </w:pPr>
      <w:r w:rsidRPr="00F0490D">
        <w:rPr>
          <w:lang w:val="en-US" w:eastAsia="en-AU"/>
        </w:rPr>
        <w:t xml:space="preserve">The primary aim of </w:t>
      </w:r>
      <w:r>
        <w:rPr>
          <w:lang w:val="en-US" w:eastAsia="en-AU"/>
        </w:rPr>
        <w:t xml:space="preserve">Appendix 4 </w:t>
      </w:r>
      <w:r w:rsidRPr="00F0490D">
        <w:rPr>
          <w:lang w:val="en-US" w:eastAsia="en-AU"/>
        </w:rPr>
        <w:t>is, therefore, to identify key aspects of the Australian productivity debate and stimulate discussion. In so doing, the appendix first highlights the different and often competing perspectives on productivity, as reflected in submissions to this Review (</w:t>
      </w:r>
      <w:r>
        <w:rPr>
          <w:lang w:val="en-US" w:eastAsia="en-AU"/>
        </w:rPr>
        <w:t>s</w:t>
      </w:r>
      <w:r w:rsidRPr="00F0490D">
        <w:rPr>
          <w:lang w:val="en-US" w:eastAsia="en-AU"/>
        </w:rPr>
        <w:t>ection 2). Second, it examines the definitional and measurement challenges in productivity debates and explores empirical trends in Australian productivity at three levels: the national, specific industries and then the individual enterprise/workplace (</w:t>
      </w:r>
      <w:r>
        <w:rPr>
          <w:lang w:val="en-US" w:eastAsia="en-AU"/>
        </w:rPr>
        <w:t>s</w:t>
      </w:r>
      <w:r w:rsidRPr="00F0490D">
        <w:rPr>
          <w:lang w:val="en-US" w:eastAsia="en-AU"/>
        </w:rPr>
        <w:t>ection 3). Third, it explores how, and by how much, the bargaining system influences productivity growth, at both the ‘macro’ (national) and ‘micro’ (enterprise) levels (</w:t>
      </w:r>
      <w:r>
        <w:rPr>
          <w:lang w:val="en-US" w:eastAsia="en-AU"/>
        </w:rPr>
        <w:t>s</w:t>
      </w:r>
      <w:r w:rsidRPr="00F0490D">
        <w:rPr>
          <w:lang w:val="en-US" w:eastAsia="en-AU"/>
        </w:rPr>
        <w:t>ection 4). Finally, it underscores the importance of gender equality for productivity growth and the need to focus the distribution of productivity gains via wages</w:t>
      </w:r>
      <w:r w:rsidR="00862A2C">
        <w:rPr>
          <w:lang w:val="en-US" w:eastAsia="en-AU"/>
        </w:rPr>
        <w:t xml:space="preserve"> as well</w:t>
      </w:r>
      <w:r w:rsidR="00397529">
        <w:rPr>
          <w:lang w:val="en-US" w:eastAsia="en-AU"/>
        </w:rPr>
        <w:t xml:space="preserve">  </w:t>
      </w:r>
      <w:r w:rsidR="00862A2C">
        <w:rPr>
          <w:lang w:val="en-US" w:eastAsia="en-AU"/>
        </w:rPr>
        <w:t>as the generation of produ</w:t>
      </w:r>
      <w:r w:rsidR="00397529">
        <w:rPr>
          <w:lang w:val="en-US" w:eastAsia="en-AU"/>
        </w:rPr>
        <w:t>c</w:t>
      </w:r>
      <w:r w:rsidR="00862A2C">
        <w:rPr>
          <w:lang w:val="en-US" w:eastAsia="en-AU"/>
        </w:rPr>
        <w:t>t</w:t>
      </w:r>
      <w:r w:rsidR="00397529">
        <w:rPr>
          <w:lang w:val="en-US" w:eastAsia="en-AU"/>
        </w:rPr>
        <w:t>i</w:t>
      </w:r>
      <w:r w:rsidR="00862A2C">
        <w:rPr>
          <w:lang w:val="en-US" w:eastAsia="en-AU"/>
        </w:rPr>
        <w:t>vity</w:t>
      </w:r>
      <w:r w:rsidRPr="00F0490D">
        <w:rPr>
          <w:lang w:val="en-US" w:eastAsia="en-AU"/>
        </w:rPr>
        <w:t xml:space="preserve"> (</w:t>
      </w:r>
      <w:r>
        <w:rPr>
          <w:lang w:val="en-US" w:eastAsia="en-AU"/>
        </w:rPr>
        <w:t>s</w:t>
      </w:r>
      <w:r w:rsidRPr="00F0490D">
        <w:rPr>
          <w:lang w:val="en-US" w:eastAsia="en-AU"/>
        </w:rPr>
        <w:t>ection 5). Section 6 draws together the main points and makes some conclusions.</w:t>
      </w:r>
    </w:p>
    <w:p w14:paraId="1B0D50B9" w14:textId="77777777" w:rsidR="00F0490D" w:rsidRPr="00982482" w:rsidRDefault="00F0490D" w:rsidP="00897757">
      <w:pPr>
        <w:pStyle w:val="Heading3"/>
      </w:pPr>
      <w:bookmarkStart w:id="1118" w:name="_Toc194066991"/>
      <w:bookmarkStart w:id="1119" w:name="_Toc194311461"/>
      <w:r w:rsidRPr="00982482">
        <w:t xml:space="preserve">2. </w:t>
      </w:r>
      <w:r w:rsidRPr="00982482">
        <w:tab/>
        <w:t>Different (and often competing) perspectives on productivity</w:t>
      </w:r>
      <w:bookmarkEnd w:id="1118"/>
      <w:bookmarkEnd w:id="1119"/>
    </w:p>
    <w:p w14:paraId="68DE92B6" w14:textId="77777777" w:rsidR="00F0490D" w:rsidRPr="00F0490D" w:rsidRDefault="00F0490D" w:rsidP="00F0490D">
      <w:pPr>
        <w:rPr>
          <w:lang w:val="en-US" w:eastAsia="en-AU"/>
        </w:rPr>
      </w:pPr>
      <w:r w:rsidRPr="00F0490D">
        <w:rPr>
          <w:lang w:val="en-US" w:eastAsia="en-AU"/>
        </w:rPr>
        <w:t xml:space="preserve">There is a divergence of views about how the industrial relations system – and, more specifically, the Secure Jobs, Better Pay amendments – can contribute to productivity outcomes. This emanates from differences over how productivity should be defined and measured, the importance of industrial relations as a cause of productivity growth and prescriptions for how to change the generation or distribution of productivity growth. </w:t>
      </w:r>
    </w:p>
    <w:p w14:paraId="3DAF313A" w14:textId="19754A84" w:rsidR="00F0490D" w:rsidRPr="00F0490D" w:rsidRDefault="00F0490D" w:rsidP="00F0490D">
      <w:pPr>
        <w:rPr>
          <w:lang w:val="en-US" w:eastAsia="en-AU"/>
        </w:rPr>
      </w:pPr>
      <w:r w:rsidRPr="00F0490D">
        <w:rPr>
          <w:lang w:val="en-US" w:eastAsia="en-AU"/>
        </w:rPr>
        <w:t>In submissions to this Review, the divergence of views about the industrial relations system and its relationship with productivity was particularly stark. Employers generally viewed productivity through the lens of flexibility, competition and cost-efficiency (similar to the Productivity Commission in its recent reports).</w:t>
      </w:r>
      <w:r w:rsidR="003205A3">
        <w:rPr>
          <w:rStyle w:val="FootnoteReference"/>
          <w:lang w:val="en-US" w:eastAsia="en-AU"/>
        </w:rPr>
        <w:footnoteReference w:id="1342"/>
      </w:r>
      <w:r w:rsidRPr="00F0490D">
        <w:rPr>
          <w:lang w:val="en-US" w:eastAsia="en-AU"/>
        </w:rPr>
        <w:t xml:space="preserve"> They (employers) emphasised the importance of enterprise-specific solutions that are designed by managers (unilaterally or through consultation with employees but not unions). More specifically, they argued that the Secure Jobs, Better Pay amendments, such as multi-employer bargaining, would be harmful for productivity.</w:t>
      </w:r>
      <w:r w:rsidR="003205A3">
        <w:rPr>
          <w:rStyle w:val="FootnoteReference"/>
          <w:lang w:val="en-US" w:eastAsia="en-AU"/>
        </w:rPr>
        <w:footnoteReference w:id="1343"/>
      </w:r>
      <w:r w:rsidRPr="00F0490D">
        <w:rPr>
          <w:lang w:val="en-US" w:eastAsia="en-AU"/>
        </w:rPr>
        <w:t xml:space="preserve"> Some went further and argued ‘there is not a single element of these measures that will enhance productivity or cooperation in workplaces. They are all doing the opposite’.</w:t>
      </w:r>
      <w:r w:rsidR="003205A3">
        <w:rPr>
          <w:rStyle w:val="FootnoteReference"/>
          <w:lang w:val="en-US" w:eastAsia="en-AU"/>
        </w:rPr>
        <w:footnoteReference w:id="1344"/>
      </w:r>
    </w:p>
    <w:p w14:paraId="05004123" w14:textId="5C196A28" w:rsidR="00F0490D" w:rsidRPr="00F0490D" w:rsidRDefault="00F0490D" w:rsidP="00F0490D">
      <w:pPr>
        <w:rPr>
          <w:lang w:val="en-US" w:eastAsia="en-AU"/>
        </w:rPr>
      </w:pPr>
      <w:r w:rsidRPr="00F0490D">
        <w:rPr>
          <w:lang w:val="en-US" w:eastAsia="en-AU"/>
        </w:rPr>
        <w:t>For employers, productivity is tightly linked to reducing regulatory burdens and fostering an environment that encourages tailored workplace agreements and business-specific strategies. Rarely did employer submissions address the productivity consequences of the amendments concerning job security or gender equality. To the extent that they did comment on amendments addressing these issues, it was to assert that measures such as flexible working arrangements would ‘likely result in a significant loss in efficiency or productivity’.</w:t>
      </w:r>
      <w:r w:rsidR="003205A3">
        <w:rPr>
          <w:rStyle w:val="FootnoteReference"/>
          <w:lang w:val="en-US" w:eastAsia="en-AU"/>
        </w:rPr>
        <w:footnoteReference w:id="1345"/>
      </w:r>
      <w:r w:rsidRPr="00F0490D">
        <w:rPr>
          <w:lang w:val="en-US" w:eastAsia="en-AU"/>
        </w:rPr>
        <w:t xml:space="preserve">  </w:t>
      </w:r>
    </w:p>
    <w:p w14:paraId="75CF7EA1" w14:textId="2662AD78" w:rsidR="00F0490D" w:rsidRPr="00F0490D" w:rsidRDefault="00F0490D" w:rsidP="00F0490D">
      <w:pPr>
        <w:rPr>
          <w:lang w:val="en-US" w:eastAsia="en-AU"/>
        </w:rPr>
      </w:pPr>
      <w:r w:rsidRPr="00F0490D">
        <w:rPr>
          <w:lang w:val="en-US" w:eastAsia="en-AU"/>
        </w:rPr>
        <w:t xml:space="preserve">Unions, on the other hand, rarely made any reference to productivity. Exceptions to this were the Australian Council of Trade Unions (ACTU) and the Community and Public Sector Union (CPSU). The ACTU, in particular, primarily focused its productivity arguments on the distributional aspects of the debate (better pay). Similar to the </w:t>
      </w:r>
      <w:r>
        <w:rPr>
          <w:lang w:val="en-US" w:eastAsia="en-AU"/>
        </w:rPr>
        <w:t>Organisation for Economic Co-operation and Development (</w:t>
      </w:r>
      <w:r w:rsidRPr="00F0490D">
        <w:rPr>
          <w:lang w:val="en-US" w:eastAsia="en-AU"/>
        </w:rPr>
        <w:t>OECD</w:t>
      </w:r>
      <w:r>
        <w:rPr>
          <w:lang w:val="en-US" w:eastAsia="en-AU"/>
        </w:rPr>
        <w:t>)</w:t>
      </w:r>
      <w:r w:rsidR="003205A3">
        <w:rPr>
          <w:rStyle w:val="FootnoteReference"/>
          <w:lang w:val="en-US" w:eastAsia="en-AU"/>
        </w:rPr>
        <w:footnoteReference w:id="1346"/>
      </w:r>
      <w:r w:rsidRPr="00F0490D">
        <w:rPr>
          <w:lang w:val="en-US" w:eastAsia="en-AU"/>
        </w:rPr>
        <w:t xml:space="preserve"> in its latest jobs strategy report, the ACTU also flagged serious social and economic consequences arising from factors such as wage stagnation and job insecurity. Accordingly, they welcome the recent legislative amendments and focus on facilitating multi-employer bargaining as well as other changes, such as the strengthening of the right to request flexible work. </w:t>
      </w:r>
    </w:p>
    <w:p w14:paraId="3439D90E" w14:textId="32A5A751" w:rsidR="00F0490D" w:rsidRPr="00F0490D" w:rsidRDefault="00F0490D" w:rsidP="00F0490D">
      <w:pPr>
        <w:rPr>
          <w:lang w:val="en-US" w:eastAsia="en-AU"/>
        </w:rPr>
      </w:pPr>
      <w:r w:rsidRPr="00F0490D">
        <w:rPr>
          <w:lang w:val="en-US" w:eastAsia="en-AU"/>
        </w:rPr>
        <w:t>The divergent views between employers and unions reflect deeper philosophical differences – a point previously noted by the Productivity Commission.</w:t>
      </w:r>
      <w:r w:rsidR="003205A3">
        <w:rPr>
          <w:rStyle w:val="FootnoteReference"/>
          <w:lang w:val="en-US" w:eastAsia="en-AU"/>
        </w:rPr>
        <w:footnoteReference w:id="1347"/>
      </w:r>
      <w:r w:rsidRPr="00F0490D">
        <w:rPr>
          <w:lang w:val="en-US" w:eastAsia="en-AU"/>
        </w:rPr>
        <w:t xml:space="preserve"> Indeed, these differences are typical of the adversarial character of Australian industrial relations and politics. </w:t>
      </w:r>
    </w:p>
    <w:p w14:paraId="2A48BD96" w14:textId="3A82F704" w:rsidR="00F0490D" w:rsidRPr="00F0490D" w:rsidRDefault="00F0490D" w:rsidP="00F0490D">
      <w:pPr>
        <w:rPr>
          <w:lang w:val="en-US" w:eastAsia="en-AU"/>
        </w:rPr>
      </w:pPr>
      <w:r w:rsidRPr="00F0490D">
        <w:rPr>
          <w:lang w:val="en-US" w:eastAsia="en-AU"/>
        </w:rPr>
        <w:t>One way of identifying more clearly the philosophical differences between the parties is to focus on their respective ‘frames of reference’.</w:t>
      </w:r>
      <w:r w:rsidR="003205A3">
        <w:rPr>
          <w:rStyle w:val="FootnoteReference"/>
          <w:lang w:val="en-US" w:eastAsia="en-AU"/>
        </w:rPr>
        <w:footnoteReference w:id="1348"/>
      </w:r>
      <w:r w:rsidRPr="00F0490D">
        <w:rPr>
          <w:lang w:val="en-US" w:eastAsia="en-AU"/>
        </w:rPr>
        <w:t xml:space="preserve"> Australian employers demonstrate a preoccupation with ‘unitarist’ frames, which emphasise causes of weak productivity growth in external factors, like the legislative framework or the unhelpful contributions of unions. At the same time, they emphasise solutions to the ‘productivity problem’ in the unilateral actions of managers (i.e. ‘autocratic unitarism’) or actions resulting from managers working with their employees but never with unions (i.e. ‘consultative unitarism’).</w:t>
      </w:r>
    </w:p>
    <w:p w14:paraId="439DF29E" w14:textId="6CB2CAC7" w:rsidR="00F0490D" w:rsidRPr="00F0490D" w:rsidRDefault="00F0490D" w:rsidP="00F0490D">
      <w:pPr>
        <w:rPr>
          <w:lang w:val="en-US" w:eastAsia="en-AU"/>
        </w:rPr>
      </w:pPr>
      <w:r w:rsidRPr="00F0490D">
        <w:rPr>
          <w:lang w:val="en-US" w:eastAsia="en-AU"/>
        </w:rPr>
        <w:t>Unions, on the other hand, display attitudes towards productivity more consistent with ‘radical’ or ‘adversarial pluralist’ frames. They see the causes of ‘the problem’ in the actions of managers</w:t>
      </w:r>
      <w:r w:rsidR="0038254C">
        <w:rPr>
          <w:lang w:val="en-US" w:eastAsia="en-AU"/>
        </w:rPr>
        <w:t>, while mostly denying a role for unions</w:t>
      </w:r>
      <w:r w:rsidRPr="00F0490D">
        <w:rPr>
          <w:lang w:val="en-US" w:eastAsia="en-AU"/>
        </w:rPr>
        <w:t xml:space="preserve">. Unions also tend to focus mostly on the distribution of productivity gains while generally ignoring the generation of productivity growth. </w:t>
      </w:r>
    </w:p>
    <w:p w14:paraId="1D716A0C" w14:textId="6C708C97" w:rsidR="00F0490D" w:rsidRPr="00F0490D" w:rsidRDefault="00F0490D" w:rsidP="00F0490D">
      <w:pPr>
        <w:rPr>
          <w:lang w:val="en-US" w:eastAsia="en-AU"/>
        </w:rPr>
      </w:pPr>
      <w:r w:rsidRPr="00F0490D">
        <w:rPr>
          <w:lang w:val="en-US" w:eastAsia="en-AU"/>
        </w:rPr>
        <w:t xml:space="preserve">Consistent with these divergent philosophical positions, there was little in the way of discussion, or in evidence submitted, on the relationship between the specific industrial relations amendments and productivity. This, in part, stems from the challenges associated with defining, measuring and monitoring productivity and in isolating the causal effects of specific industrial relations reforms on productivity. </w:t>
      </w:r>
    </w:p>
    <w:p w14:paraId="079BC945" w14:textId="77777777" w:rsidR="00F0490D" w:rsidRPr="00F0490D" w:rsidRDefault="00F0490D" w:rsidP="00897757">
      <w:pPr>
        <w:pStyle w:val="Heading3"/>
        <w:rPr>
          <w:lang w:val="en-US" w:eastAsia="en-AU"/>
        </w:rPr>
      </w:pPr>
      <w:bookmarkStart w:id="1120" w:name="_Toc194066992"/>
      <w:bookmarkStart w:id="1121" w:name="_Toc194311462"/>
      <w:r w:rsidRPr="00F0490D">
        <w:rPr>
          <w:lang w:val="en-US" w:eastAsia="en-AU"/>
        </w:rPr>
        <w:t xml:space="preserve">3. </w:t>
      </w:r>
      <w:r w:rsidRPr="00F0490D">
        <w:rPr>
          <w:lang w:val="en-US" w:eastAsia="en-AU"/>
        </w:rPr>
        <w:tab/>
        <w:t>The definition, measurement and trends in productivity</w:t>
      </w:r>
      <w:bookmarkEnd w:id="1120"/>
      <w:bookmarkEnd w:id="1121"/>
      <w:r w:rsidRPr="00F0490D">
        <w:rPr>
          <w:lang w:val="en-US" w:eastAsia="en-AU"/>
        </w:rPr>
        <w:t xml:space="preserve"> </w:t>
      </w:r>
    </w:p>
    <w:p w14:paraId="7E850653" w14:textId="34CE6E4C" w:rsidR="00F0490D" w:rsidRPr="00F0490D" w:rsidRDefault="00F0490D" w:rsidP="00F0490D">
      <w:pPr>
        <w:rPr>
          <w:lang w:val="en-US" w:eastAsia="en-AU"/>
        </w:rPr>
      </w:pPr>
      <w:r w:rsidRPr="00F0490D">
        <w:rPr>
          <w:lang w:val="en-US" w:eastAsia="en-AU"/>
        </w:rPr>
        <w:t>At a basic level, ‘productivity measures how efficiently inputs (say, labour, capital or raw materials) are used to produce outputs (goods or services)’.</w:t>
      </w:r>
      <w:r w:rsidR="003205A3">
        <w:rPr>
          <w:rStyle w:val="FootnoteReference"/>
          <w:lang w:val="en-US" w:eastAsia="en-AU"/>
        </w:rPr>
        <w:footnoteReference w:id="1349"/>
      </w:r>
      <w:r w:rsidRPr="00F0490D">
        <w:rPr>
          <w:lang w:val="en-US" w:eastAsia="en-AU"/>
        </w:rPr>
        <w:t xml:space="preserve"> In the words of the Productivity Commission, productivity growth ‘is the process by which people get more from less: more and better products to meet human needs produced with fewer hours of work and fewer resources’</w:t>
      </w:r>
      <w:r>
        <w:rPr>
          <w:lang w:val="en-US" w:eastAsia="en-AU"/>
        </w:rPr>
        <w:t>.</w:t>
      </w:r>
      <w:r w:rsidR="003205A3">
        <w:rPr>
          <w:rStyle w:val="FootnoteReference"/>
          <w:lang w:val="en-US" w:eastAsia="en-AU"/>
        </w:rPr>
        <w:footnoteReference w:id="1350"/>
      </w:r>
      <w:r w:rsidRPr="00F0490D" w:rsidDel="00F0490D">
        <w:rPr>
          <w:lang w:val="en-US" w:eastAsia="en-AU"/>
        </w:rPr>
        <w:t xml:space="preserve"> </w:t>
      </w:r>
      <w:r w:rsidRPr="00F0490D">
        <w:rPr>
          <w:lang w:val="en-US" w:eastAsia="en-AU"/>
        </w:rPr>
        <w:t xml:space="preserve">Productivity measurement is therefore fundamentally about the relationship between outputs and inputs used to produce them, </w:t>
      </w:r>
      <w:r w:rsidR="00DA686D">
        <w:rPr>
          <w:lang w:val="en-US" w:eastAsia="en-AU"/>
        </w:rPr>
        <w:t>and</w:t>
      </w:r>
      <w:r w:rsidRPr="00F0490D">
        <w:rPr>
          <w:lang w:val="en-US" w:eastAsia="en-AU"/>
        </w:rPr>
        <w:t xml:space="preserve"> these outputs and inputs are mostly physical.</w:t>
      </w:r>
    </w:p>
    <w:p w14:paraId="50508913" w14:textId="6E6A33BF" w:rsidR="00F0490D" w:rsidRPr="00F0490D" w:rsidRDefault="00F0490D" w:rsidP="00F0490D">
      <w:pPr>
        <w:rPr>
          <w:lang w:val="en-US" w:eastAsia="en-AU"/>
        </w:rPr>
      </w:pPr>
      <w:r w:rsidRPr="00F0490D">
        <w:rPr>
          <w:lang w:val="en-US" w:eastAsia="en-AU"/>
        </w:rPr>
        <w:t>Beyond these simple definitional issues, the measurement of productivity is unquestionably complex. Given that productivity is defined as being about inputs and outputs, it is difficult to develop measures appropriate across different enterprises and industries, particularly where the outputs are intangible. It is important therefore to understand the detail underlying productivity measurement and to distinguish between productivity at three levels: national, industry/sectoral and enterprise/organisational. Most contributions to this Review, and to the debate over productivity and the industrial relations system more generally (in Australia and elsewhere), either conflate these levels or fail to even acknowledge them and the different analyses they require.</w:t>
      </w:r>
    </w:p>
    <w:p w14:paraId="3CA77F89" w14:textId="77777777" w:rsidR="00F0490D" w:rsidRPr="003072D2" w:rsidRDefault="00F0490D" w:rsidP="003072D2">
      <w:pPr>
        <w:pStyle w:val="Heading4"/>
      </w:pPr>
      <w:r w:rsidRPr="003072D2">
        <w:t xml:space="preserve">3.1 </w:t>
      </w:r>
      <w:r w:rsidRPr="003072D2">
        <w:tab/>
        <w:t>Productivity at the national level</w:t>
      </w:r>
    </w:p>
    <w:p w14:paraId="00D47840" w14:textId="08930F60" w:rsidR="00F0490D" w:rsidRPr="00F0490D" w:rsidRDefault="00F0490D" w:rsidP="00F0490D">
      <w:pPr>
        <w:rPr>
          <w:lang w:val="en-US" w:eastAsia="en-AU"/>
        </w:rPr>
      </w:pPr>
      <w:r w:rsidRPr="00F0490D">
        <w:rPr>
          <w:lang w:val="en-US" w:eastAsia="en-AU"/>
        </w:rPr>
        <w:t xml:space="preserve">The first challenge at the national level is how to measure productivity given the different inputs and outputs of different industries. To facilitate comparison across the economy the conventional approach is to convert the outputs into a monetary value and then aggregate. Conveniently, the latter is available in the national accounts in the form of </w:t>
      </w:r>
      <w:r>
        <w:rPr>
          <w:lang w:val="en-US" w:eastAsia="en-AU"/>
        </w:rPr>
        <w:t>g</w:t>
      </w:r>
      <w:r w:rsidRPr="00F0490D">
        <w:rPr>
          <w:lang w:val="en-US" w:eastAsia="en-AU"/>
        </w:rPr>
        <w:t xml:space="preserve">ross </w:t>
      </w:r>
      <w:r>
        <w:rPr>
          <w:lang w:val="en-US" w:eastAsia="en-AU"/>
        </w:rPr>
        <w:t>d</w:t>
      </w:r>
      <w:r w:rsidRPr="00F0490D">
        <w:rPr>
          <w:lang w:val="en-US" w:eastAsia="en-AU"/>
        </w:rPr>
        <w:t xml:space="preserve">omestic </w:t>
      </w:r>
      <w:r>
        <w:rPr>
          <w:lang w:val="en-US" w:eastAsia="en-AU"/>
        </w:rPr>
        <w:t>p</w:t>
      </w:r>
      <w:r w:rsidRPr="00F0490D">
        <w:rPr>
          <w:lang w:val="en-US" w:eastAsia="en-AU"/>
        </w:rPr>
        <w:t xml:space="preserve">roduct (GDP). </w:t>
      </w:r>
    </w:p>
    <w:p w14:paraId="7215DBAE" w14:textId="764B7841" w:rsidR="00F0490D" w:rsidRPr="00F0490D" w:rsidRDefault="00F0490D" w:rsidP="00F0490D">
      <w:pPr>
        <w:rPr>
          <w:lang w:val="en-US" w:eastAsia="en-AU"/>
        </w:rPr>
      </w:pPr>
      <w:r w:rsidRPr="00F0490D">
        <w:rPr>
          <w:lang w:val="en-US" w:eastAsia="en-AU"/>
        </w:rPr>
        <w:t xml:space="preserve">GDP is the total monetary value of all final goods and services produced domestically. It is conceptually akin to </w:t>
      </w:r>
      <w:r>
        <w:rPr>
          <w:lang w:val="en-US" w:eastAsia="en-AU"/>
        </w:rPr>
        <w:t>g</w:t>
      </w:r>
      <w:r w:rsidRPr="00F0490D">
        <w:rPr>
          <w:lang w:val="en-US" w:eastAsia="en-AU"/>
        </w:rPr>
        <w:t xml:space="preserve">ross </w:t>
      </w:r>
      <w:r>
        <w:rPr>
          <w:lang w:val="en-US" w:eastAsia="en-AU"/>
        </w:rPr>
        <w:t>v</w:t>
      </w:r>
      <w:r w:rsidRPr="00F0490D">
        <w:rPr>
          <w:lang w:val="en-US" w:eastAsia="en-AU"/>
        </w:rPr>
        <w:t xml:space="preserve">alue </w:t>
      </w:r>
      <w:r>
        <w:rPr>
          <w:lang w:val="en-US" w:eastAsia="en-AU"/>
        </w:rPr>
        <w:t>a</w:t>
      </w:r>
      <w:r w:rsidRPr="00F0490D">
        <w:rPr>
          <w:lang w:val="en-US" w:eastAsia="en-AU"/>
        </w:rPr>
        <w:t>dded (GVA) at the industry level, where GVA is industry output minus the value of inputs used in the production process. GDP is basically an aggregation of GVA across industries, with an adjustment for taxes and subsidies.</w:t>
      </w:r>
    </w:p>
    <w:p w14:paraId="4B999766" w14:textId="4A1980E1" w:rsidR="00F0490D" w:rsidRPr="00F0490D" w:rsidRDefault="00F0490D" w:rsidP="00F0490D">
      <w:pPr>
        <w:rPr>
          <w:lang w:eastAsia="en-AU"/>
        </w:rPr>
      </w:pPr>
      <w:r w:rsidRPr="224EB8E0">
        <w:rPr>
          <w:lang w:eastAsia="en-AU"/>
        </w:rPr>
        <w:t xml:space="preserve">GDP is, therefore, commonly used as the numerator in national level </w:t>
      </w:r>
      <w:r w:rsidR="00BD0A1C">
        <w:rPr>
          <w:lang w:eastAsia="en-AU"/>
        </w:rPr>
        <w:t>equation for measuring</w:t>
      </w:r>
      <w:r w:rsidRPr="224EB8E0">
        <w:rPr>
          <w:lang w:eastAsia="en-AU"/>
        </w:rPr>
        <w:t xml:space="preserve"> productivity outcomes. Using GDP as a measure of output, however, is not without its problems. One important problem is that it is affected by the prices received by enterprises in markets; this is especially a problem in industries/enterprises where market prices fluctuate (e.g. commodity markets and/or where firms/industries have market power).</w:t>
      </w:r>
      <w:r w:rsidR="003205A3" w:rsidRPr="224EB8E0">
        <w:rPr>
          <w:rStyle w:val="FootnoteReference"/>
          <w:lang w:eastAsia="en-AU"/>
        </w:rPr>
        <w:footnoteReference w:id="1351"/>
      </w:r>
      <w:r w:rsidRPr="224EB8E0">
        <w:rPr>
          <w:lang w:eastAsia="en-AU"/>
        </w:rPr>
        <w:t xml:space="preserve">   </w:t>
      </w:r>
    </w:p>
    <w:p w14:paraId="5E520CBA" w14:textId="77777777" w:rsidR="00F0490D" w:rsidRPr="00F0490D" w:rsidRDefault="00F0490D" w:rsidP="00F0490D">
      <w:pPr>
        <w:rPr>
          <w:lang w:val="en-US" w:eastAsia="en-AU"/>
        </w:rPr>
      </w:pPr>
      <w:r w:rsidRPr="00F0490D">
        <w:rPr>
          <w:lang w:val="en-US" w:eastAsia="en-AU"/>
        </w:rPr>
        <w:t>The first question is whether this reduction of outputs to dollar values actually measures productivity, which is by definition about resources used and outputs produced?</w:t>
      </w:r>
    </w:p>
    <w:p w14:paraId="0CBF3243" w14:textId="26314E4E" w:rsidR="00F0490D" w:rsidRPr="00F0490D" w:rsidRDefault="00F0490D" w:rsidP="00F0490D">
      <w:pPr>
        <w:rPr>
          <w:lang w:val="en-US" w:eastAsia="en-AU"/>
        </w:rPr>
      </w:pPr>
      <w:r w:rsidRPr="00F0490D">
        <w:rPr>
          <w:lang w:val="en-US" w:eastAsia="en-AU"/>
        </w:rPr>
        <w:t xml:space="preserve">A second, and related, problem is that it is extremely difficult, if not impossible, to put a dollar value on the ‘outputs’ in the ‘non-market’ sector – that is, sectors producing goods and services without the primary goal of generating a profit. The non-market sector is often associated with the government, public services and not-for-profit organisations (e.g. it includes sectors such as </w:t>
      </w:r>
      <w:r>
        <w:rPr>
          <w:lang w:val="en-US" w:eastAsia="en-AU"/>
        </w:rPr>
        <w:t>h</w:t>
      </w:r>
      <w:r w:rsidRPr="00F0490D">
        <w:rPr>
          <w:lang w:val="en-US" w:eastAsia="en-AU"/>
        </w:rPr>
        <w:t xml:space="preserve">ealth and social care, </w:t>
      </w:r>
      <w:r>
        <w:rPr>
          <w:lang w:val="en-US" w:eastAsia="en-AU"/>
        </w:rPr>
        <w:t>e</w:t>
      </w:r>
      <w:r w:rsidRPr="00F0490D">
        <w:rPr>
          <w:lang w:val="en-US" w:eastAsia="en-AU"/>
        </w:rPr>
        <w:t xml:space="preserve">ducation and </w:t>
      </w:r>
      <w:r>
        <w:rPr>
          <w:lang w:val="en-US" w:eastAsia="en-AU"/>
        </w:rPr>
        <w:t>t</w:t>
      </w:r>
      <w:r w:rsidRPr="00F0490D">
        <w:rPr>
          <w:lang w:val="en-US" w:eastAsia="en-AU"/>
        </w:rPr>
        <w:t>raining</w:t>
      </w:r>
      <w:r>
        <w:rPr>
          <w:lang w:val="en-US" w:eastAsia="en-AU"/>
        </w:rPr>
        <w:t>,</w:t>
      </w:r>
      <w:r w:rsidRPr="00F0490D">
        <w:rPr>
          <w:lang w:val="en-US" w:eastAsia="en-AU"/>
        </w:rPr>
        <w:t xml:space="preserve"> and </w:t>
      </w:r>
      <w:r>
        <w:rPr>
          <w:lang w:val="en-US" w:eastAsia="en-AU"/>
        </w:rPr>
        <w:t>p</w:t>
      </w:r>
      <w:r w:rsidRPr="00F0490D">
        <w:rPr>
          <w:lang w:val="en-US" w:eastAsia="en-AU"/>
        </w:rPr>
        <w:t xml:space="preserve">ublic administration and safety). In other words, GVA in the non-market sector may not be adequately measured because much of the output in these sectors are not sold at market prices.  </w:t>
      </w:r>
    </w:p>
    <w:p w14:paraId="1DF7DD07" w14:textId="339CE4B6" w:rsidR="00F0490D" w:rsidRPr="00F0490D" w:rsidRDefault="00F0490D" w:rsidP="00F0490D">
      <w:pPr>
        <w:rPr>
          <w:lang w:eastAsia="en-AU"/>
        </w:rPr>
      </w:pPr>
      <w:r w:rsidRPr="224EB8E0">
        <w:rPr>
          <w:lang w:eastAsia="en-AU"/>
        </w:rPr>
        <w:t>A work-around for the non-market sector has been to estimate the value of output using an income approach. In this way</w:t>
      </w:r>
      <w:r w:rsidR="00745821">
        <w:rPr>
          <w:lang w:eastAsia="en-AU"/>
        </w:rPr>
        <w:t>,</w:t>
      </w:r>
      <w:r w:rsidRPr="224EB8E0">
        <w:rPr>
          <w:lang w:eastAsia="en-AU"/>
        </w:rPr>
        <w:t xml:space="preserve"> GVA in the non-market sector is based on labour costs + other input costs (e.g. utilities, costs of infrastructure et cetera).</w:t>
      </w:r>
      <w:r w:rsidR="003205A3" w:rsidRPr="224EB8E0">
        <w:rPr>
          <w:rStyle w:val="FootnoteReference"/>
          <w:lang w:eastAsia="en-AU"/>
        </w:rPr>
        <w:footnoteReference w:id="1352"/>
      </w:r>
      <w:r w:rsidRPr="224EB8E0" w:rsidDel="00F0490D">
        <w:rPr>
          <w:lang w:eastAsia="en-AU"/>
        </w:rPr>
        <w:t xml:space="preserve"> </w:t>
      </w:r>
      <w:r w:rsidRPr="224EB8E0">
        <w:rPr>
          <w:lang w:eastAsia="en-AU"/>
        </w:rPr>
        <w:t xml:space="preserve">This approach may, however, yield counterintuitive results. For example, a reduction in the number of teachers per student would lead to lower measured output in education. Yet, paradoxically, an increase in the number of students per teacher would show up as an improvement in productivity. Alternatively, the measurement of productivity is at odds with socially desirable outcomes like the quality of teaching and/or the education received by students. Similar issues arise with measuring the productivity in areas such as a health system or an aged care home. </w:t>
      </w:r>
    </w:p>
    <w:p w14:paraId="48E72138" w14:textId="36F5448F" w:rsidR="00F0490D" w:rsidRPr="00F0490D" w:rsidRDefault="00F0490D" w:rsidP="00F0490D">
      <w:pPr>
        <w:rPr>
          <w:lang w:val="en-US" w:eastAsia="en-AU"/>
        </w:rPr>
      </w:pPr>
      <w:r w:rsidRPr="00F0490D">
        <w:rPr>
          <w:lang w:val="en-US" w:eastAsia="en-AU"/>
        </w:rPr>
        <w:t>Given the difficulty of measuring productivity in the non-market sector, a common approach when monitoring national trends in productivity is to simply focus on the market sector. This, however, is far from ideal. It means that the non-market sector is effectively ignored. If the latter were only a small part of the economy then this might not matter, but this is not the case for Australia. Indeed, the non-market sector is the largest and the fastest growing sector in Australia. On its own</w:t>
      </w:r>
      <w:r w:rsidR="00745821">
        <w:rPr>
          <w:lang w:val="en-US" w:eastAsia="en-AU"/>
        </w:rPr>
        <w:t>,</w:t>
      </w:r>
      <w:r w:rsidRPr="00F0490D">
        <w:rPr>
          <w:lang w:val="en-US" w:eastAsia="en-AU"/>
        </w:rPr>
        <w:t xml:space="preserve"> the </w:t>
      </w:r>
      <w:r>
        <w:rPr>
          <w:lang w:val="en-US" w:eastAsia="en-AU"/>
        </w:rPr>
        <w:t>h</w:t>
      </w:r>
      <w:r w:rsidRPr="00F0490D">
        <w:rPr>
          <w:lang w:val="en-US" w:eastAsia="en-AU"/>
        </w:rPr>
        <w:t xml:space="preserve">ealth care and social assistance sector now accounts for 15.5% of total employment (the highest share across all industries). Of all new jobs created in the 12 years to 2024, 28% were in the </w:t>
      </w:r>
      <w:r>
        <w:rPr>
          <w:lang w:val="en-US" w:eastAsia="en-AU"/>
        </w:rPr>
        <w:t>h</w:t>
      </w:r>
      <w:r w:rsidRPr="00F0490D">
        <w:rPr>
          <w:lang w:val="en-US" w:eastAsia="en-AU"/>
        </w:rPr>
        <w:t>ealth care and social assistance sector</w:t>
      </w:r>
      <w:r>
        <w:rPr>
          <w:lang w:val="en-US" w:eastAsia="en-AU"/>
        </w:rPr>
        <w:t>,</w:t>
      </w:r>
      <w:r w:rsidRPr="00F0490D">
        <w:rPr>
          <w:lang w:val="en-US" w:eastAsia="en-AU"/>
        </w:rPr>
        <w:t xml:space="preserve"> followed by 12% in education and training and 9.4% in </w:t>
      </w:r>
      <w:r>
        <w:rPr>
          <w:lang w:val="en-US" w:eastAsia="en-AU"/>
        </w:rPr>
        <w:t>p</w:t>
      </w:r>
      <w:r w:rsidRPr="00F0490D">
        <w:rPr>
          <w:lang w:val="en-US" w:eastAsia="en-AU"/>
        </w:rPr>
        <w:t xml:space="preserve">ublic administration and safety. Taken together these three non-market sectors accounted for 49% of new jobs growth between 2012 and 2024. It is also worth emphasising that women dominate employment in the non-market sector. </w:t>
      </w:r>
    </w:p>
    <w:p w14:paraId="65F24CB7" w14:textId="18BA809F" w:rsidR="00F0490D" w:rsidRPr="00F0490D" w:rsidRDefault="00F0490D" w:rsidP="00F0490D">
      <w:pPr>
        <w:rPr>
          <w:lang w:val="en-US" w:eastAsia="en-AU"/>
        </w:rPr>
      </w:pPr>
      <w:r w:rsidRPr="00F0490D">
        <w:rPr>
          <w:lang w:val="en-US" w:eastAsia="en-AU"/>
        </w:rPr>
        <w:t>Returning to the measurement issue</w:t>
      </w:r>
      <w:r>
        <w:rPr>
          <w:lang w:val="en-US" w:eastAsia="en-AU"/>
        </w:rPr>
        <w:t xml:space="preserve">, in </w:t>
      </w:r>
      <w:r w:rsidRPr="00F0490D">
        <w:rPr>
          <w:lang w:val="en-US" w:eastAsia="en-AU"/>
        </w:rPr>
        <w:t>the market sector, national productivity may be measured in three main ways: labour productivity, capital productivity and multifactor productivity (MFP). Each is defined and measured as follows:</w:t>
      </w:r>
    </w:p>
    <w:p w14:paraId="035A997D" w14:textId="77777777" w:rsidR="003205A3" w:rsidRPr="00167CB8" w:rsidRDefault="003205A3" w:rsidP="003205A3">
      <m:oMathPara>
        <m:oMath>
          <m:r>
            <w:rPr>
              <w:rFonts w:ascii="Cambria Math" w:hAnsi="Cambria Math"/>
            </w:rPr>
            <m:t xml:space="preserve">Labour productivity </m:t>
          </m:r>
          <m:r>
            <m:rPr>
              <m:sty m:val="p"/>
            </m:rPr>
            <w:rPr>
              <w:rFonts w:ascii="Cambria Math" w:hAnsi="Cambria Math"/>
            </w:rPr>
            <m:t>=</m:t>
          </m:r>
          <m:f>
            <m:fPr>
              <m:ctrlPr>
                <w:rPr>
                  <w:rFonts w:ascii="Cambria Math" w:hAnsi="Cambria Math"/>
                </w:rPr>
              </m:ctrlPr>
            </m:fPr>
            <m:num>
              <m:r>
                <m:rPr>
                  <m:sty m:val="p"/>
                </m:rPr>
                <w:rPr>
                  <w:rFonts w:ascii="Cambria Math" w:hAnsi="Cambria Math"/>
                </w:rPr>
                <m:t>Output (GDP)</m:t>
              </m:r>
            </m:num>
            <m:den>
              <m:r>
                <m:rPr>
                  <m:sty m:val="p"/>
                </m:rPr>
                <w:rPr>
                  <w:rFonts w:ascii="Cambria Math" w:hAnsi="Cambria Math"/>
                </w:rPr>
                <m:t>Labour input (hours worked or total employment)</m:t>
              </m:r>
            </m:den>
          </m:f>
        </m:oMath>
      </m:oMathPara>
    </w:p>
    <w:p w14:paraId="1A2BB859" w14:textId="29788AED" w:rsidR="003205A3" w:rsidRDefault="003205A3" w:rsidP="00F0490D">
      <w:pPr>
        <w:rPr>
          <w:lang w:val="en-US" w:eastAsia="en-AU"/>
        </w:rPr>
      </w:pPr>
      <m:oMathPara>
        <m:oMath>
          <m:r>
            <w:rPr>
              <w:rFonts w:ascii="Cambria Math" w:hAnsi="Cambria Math"/>
            </w:rPr>
            <m:t>Capital productivity</m:t>
          </m:r>
          <m:r>
            <m:rPr>
              <m:sty m:val="p"/>
            </m:rPr>
            <w:rPr>
              <w:rFonts w:ascii="Cambria Math" w:hAnsi="Cambria Math"/>
            </w:rPr>
            <m:t>=</m:t>
          </m:r>
          <m:f>
            <m:fPr>
              <m:ctrlPr>
                <w:rPr>
                  <w:rFonts w:ascii="Cambria Math" w:hAnsi="Cambria Math"/>
                </w:rPr>
              </m:ctrlPr>
            </m:fPr>
            <m:num>
              <m:r>
                <m:rPr>
                  <m:sty m:val="p"/>
                </m:rPr>
                <w:rPr>
                  <w:rFonts w:ascii="Cambria Math" w:hAnsi="Cambria Math"/>
                </w:rPr>
                <m:t>Output (GDP)</m:t>
              </m:r>
            </m:num>
            <m:den>
              <m:r>
                <m:rPr>
                  <m:sty m:val="p"/>
                </m:rPr>
                <w:rPr>
                  <w:rFonts w:ascii="Cambria Math" w:hAnsi="Cambria Math"/>
                </w:rPr>
                <m:t>Capital input (capital services or stock)</m:t>
              </m:r>
            </m:den>
          </m:f>
        </m:oMath>
      </m:oMathPara>
    </w:p>
    <w:p w14:paraId="68EA34AA" w14:textId="77777777" w:rsidR="003205A3" w:rsidRPr="00167CB8" w:rsidRDefault="003205A3" w:rsidP="003205A3">
      <m:oMathPara>
        <m:oMath>
          <m:r>
            <w:rPr>
              <w:rFonts w:ascii="Cambria Math" w:hAnsi="Cambria Math"/>
            </w:rPr>
            <m:t>Multifactor productivity (MFP)</m:t>
          </m:r>
          <m:r>
            <m:rPr>
              <m:sty m:val="p"/>
            </m:rPr>
            <w:rPr>
              <w:rFonts w:ascii="Cambria Math" w:hAnsi="Cambria Math"/>
            </w:rPr>
            <m:t>=</m:t>
          </m:r>
          <m:f>
            <m:fPr>
              <m:ctrlPr>
                <w:rPr>
                  <w:rFonts w:ascii="Cambria Math" w:hAnsi="Cambria Math"/>
                </w:rPr>
              </m:ctrlPr>
            </m:fPr>
            <m:num>
              <m:r>
                <m:rPr>
                  <m:sty m:val="p"/>
                </m:rPr>
                <w:rPr>
                  <w:rFonts w:ascii="Cambria Math" w:hAnsi="Cambria Math"/>
                </w:rPr>
                <m:t>Output (GDP)</m:t>
              </m:r>
            </m:num>
            <m:den>
              <m:r>
                <m:rPr>
                  <m:sty m:val="p"/>
                </m:rPr>
                <w:rPr>
                  <w:rFonts w:ascii="Cambria Math" w:hAnsi="Cambria Math"/>
                </w:rPr>
                <m:t>Combined input (weighted labour and capital inputs)</m:t>
              </m:r>
            </m:den>
          </m:f>
        </m:oMath>
      </m:oMathPara>
    </w:p>
    <w:p w14:paraId="787E6B9F" w14:textId="4EF84036" w:rsidR="00F0490D" w:rsidRPr="00F0490D" w:rsidRDefault="00F0490D" w:rsidP="00F0490D">
      <w:pPr>
        <w:rPr>
          <w:lang w:val="en-US" w:eastAsia="en-AU"/>
        </w:rPr>
      </w:pPr>
      <w:r w:rsidRPr="00F0490D">
        <w:rPr>
          <w:lang w:val="en-US" w:eastAsia="en-AU"/>
        </w:rPr>
        <w:t xml:space="preserve">It can be seen, therefore, that all three measures of national productivity have the same numerator: total output measured in dollars terms by GDP. It is their denominators that differ: labour productivity uses hours worked (or total employment); capital productivity uses a measure of capital services or stock, measured by dollar value; and </w:t>
      </w:r>
      <w:r>
        <w:rPr>
          <w:lang w:val="en-US" w:eastAsia="en-AU"/>
        </w:rPr>
        <w:t>multi-factor productivity (</w:t>
      </w:r>
      <w:r w:rsidRPr="00F0490D">
        <w:rPr>
          <w:lang w:val="en-US" w:eastAsia="en-AU"/>
        </w:rPr>
        <w:t>MFP</w:t>
      </w:r>
      <w:r>
        <w:rPr>
          <w:lang w:val="en-US" w:eastAsia="en-AU"/>
        </w:rPr>
        <w:t>)</w:t>
      </w:r>
      <w:r w:rsidRPr="00F0490D">
        <w:rPr>
          <w:lang w:val="en-US" w:eastAsia="en-AU"/>
        </w:rPr>
        <w:t xml:space="preserve">, which </w:t>
      </w:r>
      <w:r w:rsidR="00055560">
        <w:rPr>
          <w:lang w:val="en-US" w:eastAsia="en-AU"/>
        </w:rPr>
        <w:t xml:space="preserve">is </w:t>
      </w:r>
      <w:r w:rsidRPr="00F0490D">
        <w:rPr>
          <w:lang w:val="en-US" w:eastAsia="en-AU"/>
        </w:rPr>
        <w:t xml:space="preserve">commonly considered as a broader measure of productivity, </w:t>
      </w:r>
      <w:r w:rsidR="00055560">
        <w:rPr>
          <w:lang w:val="en-US" w:eastAsia="en-AU"/>
        </w:rPr>
        <w:t xml:space="preserve">combines the contributions of labour and capital. </w:t>
      </w:r>
    </w:p>
    <w:p w14:paraId="24F3A3FB" w14:textId="66AEA5B6" w:rsidR="00F0490D" w:rsidRPr="00F0490D" w:rsidRDefault="00F0490D" w:rsidP="00F0490D">
      <w:pPr>
        <w:rPr>
          <w:lang w:val="en-US" w:eastAsia="en-AU"/>
        </w:rPr>
      </w:pPr>
      <w:r w:rsidRPr="00F0490D">
        <w:rPr>
          <w:lang w:val="en-US" w:eastAsia="en-AU"/>
        </w:rPr>
        <w:t xml:space="preserve">Drawing on these measures, Figure </w:t>
      </w:r>
      <w:r w:rsidRPr="00BE4CFC">
        <w:rPr>
          <w:lang w:val="en-US" w:eastAsia="en-AU"/>
        </w:rPr>
        <w:t>63</w:t>
      </w:r>
      <w:r w:rsidRPr="00F0490D">
        <w:rPr>
          <w:lang w:val="en-US" w:eastAsia="en-AU"/>
        </w:rPr>
        <w:t xml:space="preserve"> presents Australian trends in productivity in the market sector between 1995 and 2024. Two measures of </w:t>
      </w:r>
      <w:r w:rsidRPr="00BE4CFC">
        <w:rPr>
          <w:b/>
          <w:lang w:val="en-US" w:eastAsia="en-AU"/>
        </w:rPr>
        <w:t>labour productivity</w:t>
      </w:r>
      <w:r w:rsidRPr="00F0490D">
        <w:rPr>
          <w:lang w:val="en-US" w:eastAsia="en-AU"/>
        </w:rPr>
        <w:t xml:space="preserve"> are shown – one that simply divides by the hours worked (as per the formula above) and another that adjusts for the quality of hours worked. The recognition here is that not all hours contribute equally to output. A skilled tradesperson may, for example, take just one hour to do what an unskilled person might do in four hours. To accommodate this</w:t>
      </w:r>
      <w:r w:rsidR="00585B56">
        <w:rPr>
          <w:lang w:val="en-US" w:eastAsia="en-AU"/>
        </w:rPr>
        <w:t>,</w:t>
      </w:r>
      <w:r w:rsidRPr="00F0490D">
        <w:rPr>
          <w:lang w:val="en-US" w:eastAsia="en-AU"/>
        </w:rPr>
        <w:t xml:space="preserve"> the Australian Bureau of Statistics (ABS) publishes a ‘quality adjusted hours worked’ series of estimates.</w:t>
      </w:r>
      <w:r w:rsidR="003205A3">
        <w:rPr>
          <w:rStyle w:val="FootnoteReference"/>
          <w:lang w:val="en-US" w:eastAsia="en-AU"/>
        </w:rPr>
        <w:footnoteReference w:id="1353"/>
      </w:r>
      <w:r w:rsidRPr="00F0490D" w:rsidDel="003205A3">
        <w:rPr>
          <w:lang w:val="en-US" w:eastAsia="en-AU"/>
        </w:rPr>
        <w:t xml:space="preserve"> </w:t>
      </w:r>
      <w:r w:rsidRPr="00F0490D">
        <w:rPr>
          <w:lang w:val="en-US" w:eastAsia="en-AU"/>
        </w:rPr>
        <w:t>Th</w:t>
      </w:r>
      <w:r w:rsidR="00585B56">
        <w:rPr>
          <w:lang w:val="en-US" w:eastAsia="en-AU"/>
        </w:rPr>
        <w:t>ese</w:t>
      </w:r>
      <w:r w:rsidRPr="00F0490D">
        <w:rPr>
          <w:lang w:val="en-US" w:eastAsia="en-AU"/>
        </w:rPr>
        <w:t xml:space="preserve"> estimate</w:t>
      </w:r>
      <w:r w:rsidR="00585B56">
        <w:rPr>
          <w:lang w:val="en-US" w:eastAsia="en-AU"/>
        </w:rPr>
        <w:t>s</w:t>
      </w:r>
      <w:r w:rsidRPr="00F0490D">
        <w:rPr>
          <w:lang w:val="en-US" w:eastAsia="en-AU"/>
        </w:rPr>
        <w:t xml:space="preserve"> set aside any improvements in productivity due to training or skill formation: if improvements in these are the only source of productivity gains, then productivity growth is set to zero. </w:t>
      </w:r>
    </w:p>
    <w:p w14:paraId="1785BC3B" w14:textId="77777777" w:rsidR="003055EC" w:rsidRDefault="00F0490D" w:rsidP="00F0490D">
      <w:pPr>
        <w:rPr>
          <w:lang w:val="en-US" w:eastAsia="en-AU"/>
        </w:rPr>
      </w:pPr>
      <w:r w:rsidRPr="003205A3">
        <w:rPr>
          <w:lang w:val="en-US" w:eastAsia="en-AU"/>
        </w:rPr>
        <w:t xml:space="preserve">The data in Figure </w:t>
      </w:r>
      <w:r w:rsidR="003205A3" w:rsidRPr="00BE4CFC">
        <w:rPr>
          <w:lang w:val="en-US" w:eastAsia="en-AU"/>
        </w:rPr>
        <w:t>63</w:t>
      </w:r>
      <w:r w:rsidRPr="003205A3">
        <w:rPr>
          <w:lang w:val="en-US" w:eastAsia="en-AU"/>
        </w:rPr>
        <w:t xml:space="preserve"> shows that in the market sector, the quality adjusted measure of labour</w:t>
      </w:r>
      <w:r w:rsidRPr="00F0490D">
        <w:rPr>
          <w:lang w:val="en-US" w:eastAsia="en-AU"/>
        </w:rPr>
        <w:t xml:space="preserve"> productivity lies below the non-adjusted measure. This indicates that the shift in hours worked has been towards higher quality hours (more skilled labour).</w:t>
      </w:r>
      <w:r w:rsidR="003205A3">
        <w:rPr>
          <w:rStyle w:val="FootnoteReference"/>
          <w:lang w:val="en-US" w:eastAsia="en-AU"/>
        </w:rPr>
        <w:footnoteReference w:id="1354"/>
      </w:r>
      <w:r w:rsidRPr="00F0490D" w:rsidDel="003205A3">
        <w:rPr>
          <w:lang w:val="en-US" w:eastAsia="en-AU"/>
        </w:rPr>
        <w:t xml:space="preserve"> </w:t>
      </w:r>
      <w:r w:rsidRPr="00F0490D">
        <w:rPr>
          <w:lang w:val="en-US" w:eastAsia="en-AU"/>
        </w:rPr>
        <w:t xml:space="preserve">The estimates also show a steady increase in labour productivity in the market sector up until 2022. Between 2022 and 2024, however, labour productivity in the market sector fell by 3.4%. </w:t>
      </w:r>
    </w:p>
    <w:p w14:paraId="31E69958" w14:textId="16B2F3B7" w:rsidR="00F0490D" w:rsidRPr="00F0490D" w:rsidRDefault="003055EC" w:rsidP="00F0490D">
      <w:pPr>
        <w:rPr>
          <w:lang w:val="en-US" w:eastAsia="en-AU"/>
        </w:rPr>
      </w:pPr>
      <w:r>
        <w:rPr>
          <w:lang w:val="en-US" w:eastAsia="en-AU"/>
        </w:rPr>
        <w:t>T</w:t>
      </w:r>
      <w:r w:rsidR="00F0490D" w:rsidRPr="00F0490D">
        <w:rPr>
          <w:lang w:val="en-US" w:eastAsia="en-AU"/>
        </w:rPr>
        <w:t xml:space="preserve">he decline in labour productivity since 2022 is </w:t>
      </w:r>
      <w:r w:rsidR="00745530">
        <w:rPr>
          <w:lang w:val="en-US" w:eastAsia="en-AU"/>
        </w:rPr>
        <w:t>considered by many to be a ‘problem’</w:t>
      </w:r>
      <w:r w:rsidR="00DA536D">
        <w:rPr>
          <w:lang w:val="en-US" w:eastAsia="en-AU"/>
        </w:rPr>
        <w:t xml:space="preserve">. But what caused this problem? Statistically, </w:t>
      </w:r>
      <w:r w:rsidR="00FB64D3">
        <w:rPr>
          <w:lang w:val="en-US" w:eastAsia="en-AU"/>
        </w:rPr>
        <w:t>it mostly resulted from</w:t>
      </w:r>
      <w:r w:rsidR="00F0490D" w:rsidRPr="00F0490D">
        <w:rPr>
          <w:lang w:val="en-US" w:eastAsia="en-AU"/>
        </w:rPr>
        <w:t xml:space="preserve"> a significant increase in hours worked </w:t>
      </w:r>
      <w:r w:rsidR="00FB64D3">
        <w:rPr>
          <w:lang w:val="en-US" w:eastAsia="en-AU"/>
        </w:rPr>
        <w:t>after</w:t>
      </w:r>
      <w:r w:rsidR="00FB64D3" w:rsidRPr="00F0490D">
        <w:rPr>
          <w:lang w:val="en-US" w:eastAsia="en-AU"/>
        </w:rPr>
        <w:t xml:space="preserve"> </w:t>
      </w:r>
      <w:r w:rsidR="00F0490D" w:rsidRPr="00F0490D">
        <w:rPr>
          <w:lang w:val="en-US" w:eastAsia="en-AU"/>
        </w:rPr>
        <w:t>2022. Between December 2022 and September 2024 (eight quarters) total hours worked in all jobs in Australia increased by 14%. This compares to a 9% increase over the eight quarters to December 2022.</w:t>
      </w:r>
      <w:r w:rsidR="003205A3">
        <w:rPr>
          <w:rStyle w:val="FootnoteReference"/>
          <w:lang w:val="en-US" w:eastAsia="en-AU"/>
        </w:rPr>
        <w:footnoteReference w:id="1355"/>
      </w:r>
      <w:r w:rsidR="00F0490D" w:rsidRPr="00F0490D">
        <w:rPr>
          <w:lang w:val="en-US" w:eastAsia="en-AU"/>
        </w:rPr>
        <w:t xml:space="preserve"> </w:t>
      </w:r>
    </w:p>
    <w:p w14:paraId="7695918B" w14:textId="5D9425B3" w:rsidR="00F0490D" w:rsidRPr="00F0490D" w:rsidRDefault="00F0490D" w:rsidP="00BE4CFC">
      <w:pPr>
        <w:pStyle w:val="Caption"/>
      </w:pPr>
      <w:bookmarkStart w:id="1122" w:name="_Toc194251561"/>
      <w:r w:rsidRPr="00F0490D">
        <w:t xml:space="preserve">Figure </w:t>
      </w:r>
      <w:r w:rsidRPr="00F0490D">
        <w:fldChar w:fldCharType="begin"/>
      </w:r>
      <w:r w:rsidRPr="00AE2AFE">
        <w:instrText xml:space="preserve"> SEQ Figure \* ARABIC </w:instrText>
      </w:r>
      <w:r w:rsidRPr="00F0490D">
        <w:fldChar w:fldCharType="separate"/>
      </w:r>
      <w:r w:rsidR="00DE5F5E">
        <w:rPr>
          <w:noProof/>
        </w:rPr>
        <w:t>63</w:t>
      </w:r>
      <w:r w:rsidRPr="00F0490D">
        <w:fldChar w:fldCharType="end"/>
      </w:r>
      <w:r w:rsidRPr="00F0490D">
        <w:t>: Productivity in the market sector, 1995 to 2024</w:t>
      </w:r>
      <w:bookmarkEnd w:id="1122"/>
    </w:p>
    <w:p w14:paraId="62FD73C3" w14:textId="49DFBE6D" w:rsidR="00F0490D" w:rsidRPr="00F0490D" w:rsidRDefault="00F0490D" w:rsidP="00F0490D">
      <w:pPr>
        <w:rPr>
          <w:lang w:val="en-US" w:eastAsia="en-AU"/>
        </w:rPr>
      </w:pPr>
      <w:r w:rsidRPr="00F0490D">
        <w:rPr>
          <w:lang w:val="en-US" w:eastAsia="en-AU"/>
        </w:rPr>
        <w:t xml:space="preserve"> </w:t>
      </w:r>
      <w:r w:rsidRPr="00C637DC">
        <w:rPr>
          <w:noProof/>
        </w:rPr>
        <w:drawing>
          <wp:inline distT="0" distB="0" distL="0" distR="0" wp14:anchorId="27992FAB" wp14:editId="1421B679">
            <wp:extent cx="5731510" cy="3748405"/>
            <wp:effectExtent l="0" t="0" r="2540" b="4445"/>
            <wp:docPr id="501327617" name="Picture 1" descr="A line chart showing productivity in the market sector.&#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327617" name="Picture 1" descr="A line chart showing productivity in the market sector.&#10;&#10;See alt-text following the source."/>
                    <pic:cNvPicPr/>
                  </pic:nvPicPr>
                  <pic:blipFill>
                    <a:blip r:embed="rId79"/>
                    <a:stretch>
                      <a:fillRect/>
                    </a:stretch>
                  </pic:blipFill>
                  <pic:spPr>
                    <a:xfrm>
                      <a:off x="0" y="0"/>
                      <a:ext cx="5731510" cy="3748405"/>
                    </a:xfrm>
                    <a:prstGeom prst="rect">
                      <a:avLst/>
                    </a:prstGeom>
                  </pic:spPr>
                </pic:pic>
              </a:graphicData>
            </a:graphic>
          </wp:inline>
        </w:drawing>
      </w:r>
    </w:p>
    <w:p w14:paraId="304ED9D4" w14:textId="14A8E5E2" w:rsidR="00F0490D" w:rsidRPr="00DC5288" w:rsidRDefault="00F0490D" w:rsidP="00DC5288">
      <w:pPr>
        <w:pStyle w:val="Source"/>
        <w:rPr>
          <w:b/>
          <w:lang w:val="en-US" w:eastAsia="en-AU"/>
        </w:rPr>
      </w:pPr>
      <w:r w:rsidRPr="00DC5288">
        <w:rPr>
          <w:b/>
          <w:bCs/>
          <w:lang w:val="en-US" w:eastAsia="en-AU"/>
        </w:rPr>
        <w:t>Note:</w:t>
      </w:r>
    </w:p>
    <w:p w14:paraId="18962C30" w14:textId="47CBEFFA" w:rsidR="00F0490D" w:rsidRDefault="00F0490D" w:rsidP="00F0490D">
      <w:pPr>
        <w:pStyle w:val="Source"/>
        <w:rPr>
          <w:lang w:val="en-US" w:eastAsia="en-AU"/>
        </w:rPr>
      </w:pPr>
      <w:r w:rsidRPr="00F0490D">
        <w:rPr>
          <w:lang w:val="en-US" w:eastAsia="en-AU"/>
        </w:rPr>
        <w:t xml:space="preserve">1. </w:t>
      </w:r>
      <w:r>
        <w:rPr>
          <w:lang w:val="en-US" w:eastAsia="en-AU"/>
        </w:rPr>
        <w:t>MFP: multifactor productivity.</w:t>
      </w:r>
    </w:p>
    <w:p w14:paraId="5C07799F" w14:textId="66288477" w:rsidR="00F0490D" w:rsidRPr="00F0490D" w:rsidRDefault="00F0490D" w:rsidP="00DC5288">
      <w:pPr>
        <w:pStyle w:val="Source"/>
        <w:rPr>
          <w:lang w:val="en-US" w:eastAsia="en-AU"/>
        </w:rPr>
      </w:pPr>
      <w:r>
        <w:rPr>
          <w:lang w:val="en-US" w:eastAsia="en-AU"/>
        </w:rPr>
        <w:t xml:space="preserve">2. </w:t>
      </w:r>
      <w:r w:rsidRPr="00F0490D">
        <w:rPr>
          <w:lang w:val="en-US" w:eastAsia="en-AU"/>
        </w:rPr>
        <w:t>Annual estimates of productivity at June of each year.</w:t>
      </w:r>
    </w:p>
    <w:p w14:paraId="25D1C046" w14:textId="2E87D323" w:rsidR="00F0490D" w:rsidRPr="00F0490D" w:rsidRDefault="00F0490D" w:rsidP="00DC5288">
      <w:pPr>
        <w:pStyle w:val="Source"/>
        <w:rPr>
          <w:lang w:val="en-US" w:eastAsia="en-AU"/>
        </w:rPr>
      </w:pPr>
      <w:r>
        <w:rPr>
          <w:lang w:val="en-US" w:eastAsia="en-AU"/>
        </w:rPr>
        <w:t>3</w:t>
      </w:r>
      <w:r w:rsidRPr="00F0490D">
        <w:rPr>
          <w:lang w:val="en-US" w:eastAsia="en-AU"/>
        </w:rPr>
        <w:t>. Data indexed to 1995.</w:t>
      </w:r>
    </w:p>
    <w:p w14:paraId="7ACA0C67" w14:textId="4588AE95" w:rsidR="00F0490D" w:rsidRPr="00F0490D" w:rsidRDefault="00F0490D" w:rsidP="00DC5288">
      <w:pPr>
        <w:pStyle w:val="Source"/>
        <w:rPr>
          <w:lang w:val="en-US" w:eastAsia="en-AU"/>
        </w:rPr>
      </w:pPr>
      <w:r>
        <w:rPr>
          <w:lang w:val="en-US" w:eastAsia="en-AU"/>
        </w:rPr>
        <w:t>4</w:t>
      </w:r>
      <w:r w:rsidRPr="00F0490D">
        <w:rPr>
          <w:lang w:val="en-US" w:eastAsia="en-AU"/>
        </w:rPr>
        <w:t xml:space="preserve">. The vertical lines delineate various productivity growth cycles as identified by the </w:t>
      </w:r>
      <w:r>
        <w:rPr>
          <w:lang w:val="en-US" w:eastAsia="en-AU"/>
        </w:rPr>
        <w:t>Australian Bureau of Statistics (ABS)</w:t>
      </w:r>
      <w:r w:rsidRPr="00F0490D">
        <w:rPr>
          <w:lang w:val="en-US" w:eastAsia="en-AU"/>
        </w:rPr>
        <w:t>. These are: 2003</w:t>
      </w:r>
      <w:r>
        <w:rPr>
          <w:rFonts w:ascii="Symbol" w:eastAsia="Symbol" w:hAnsi="Symbol" w:cs="Symbol"/>
          <w:lang w:val="en-US" w:eastAsia="en-AU"/>
        </w:rPr>
        <w:sym w:font="Symbol" w:char="F02D"/>
      </w:r>
      <w:r w:rsidRPr="00F0490D">
        <w:rPr>
          <w:lang w:val="en-US" w:eastAsia="en-AU"/>
        </w:rPr>
        <w:t>04 to 2009</w:t>
      </w:r>
      <w:r>
        <w:rPr>
          <w:rFonts w:ascii="Symbol" w:eastAsia="Symbol" w:hAnsi="Symbol" w:cs="Symbol"/>
          <w:lang w:val="en-US" w:eastAsia="en-AU"/>
        </w:rPr>
        <w:sym w:font="Symbol" w:char="F02D"/>
      </w:r>
      <w:r w:rsidRPr="00F0490D">
        <w:rPr>
          <w:lang w:val="en-US" w:eastAsia="en-AU"/>
        </w:rPr>
        <w:t>10, 2009</w:t>
      </w:r>
      <w:r>
        <w:rPr>
          <w:rFonts w:ascii="Symbol" w:eastAsia="Symbol" w:hAnsi="Symbol" w:cs="Symbol"/>
          <w:lang w:val="en-US" w:eastAsia="en-AU"/>
        </w:rPr>
        <w:sym w:font="Symbol" w:char="F02D"/>
      </w:r>
      <w:r w:rsidRPr="00F0490D">
        <w:rPr>
          <w:lang w:val="en-US" w:eastAsia="en-AU"/>
        </w:rPr>
        <w:t>10 to 2017</w:t>
      </w:r>
      <w:r>
        <w:rPr>
          <w:rFonts w:ascii="Symbol" w:eastAsia="Symbol" w:hAnsi="Symbol" w:cs="Symbol"/>
          <w:lang w:val="en-US" w:eastAsia="en-AU"/>
        </w:rPr>
        <w:sym w:font="Symbol" w:char="F02D"/>
      </w:r>
      <w:r w:rsidRPr="00F0490D">
        <w:rPr>
          <w:lang w:val="en-US" w:eastAsia="en-AU"/>
        </w:rPr>
        <w:t>18, 2017</w:t>
      </w:r>
      <w:r>
        <w:rPr>
          <w:rFonts w:ascii="Symbol" w:eastAsia="Symbol" w:hAnsi="Symbol" w:cs="Symbol"/>
          <w:lang w:val="en-US" w:eastAsia="en-AU"/>
        </w:rPr>
        <w:sym w:font="Symbol" w:char="F02D"/>
      </w:r>
      <w:r w:rsidRPr="00F0490D">
        <w:rPr>
          <w:lang w:val="en-US" w:eastAsia="en-AU"/>
        </w:rPr>
        <w:t>18 to 2021</w:t>
      </w:r>
      <w:r>
        <w:rPr>
          <w:rFonts w:ascii="Symbol" w:eastAsia="Symbol" w:hAnsi="Symbol" w:cs="Symbol"/>
          <w:lang w:val="en-US" w:eastAsia="en-AU"/>
        </w:rPr>
        <w:sym w:font="Symbol" w:char="F02D"/>
      </w:r>
      <w:r w:rsidRPr="00F0490D">
        <w:rPr>
          <w:lang w:val="en-US" w:eastAsia="en-AU"/>
        </w:rPr>
        <w:t>22.</w:t>
      </w:r>
    </w:p>
    <w:p w14:paraId="344AB67E" w14:textId="77777777" w:rsidR="00F0490D" w:rsidRDefault="00F0490D" w:rsidP="00DC5288">
      <w:pPr>
        <w:pStyle w:val="Source"/>
        <w:rPr>
          <w:lang w:val="en-US" w:eastAsia="en-AU"/>
        </w:rPr>
      </w:pPr>
      <w:r w:rsidRPr="00DC5288">
        <w:rPr>
          <w:b/>
          <w:lang w:val="en-US" w:eastAsia="en-AU"/>
        </w:rPr>
        <w:t>Source:</w:t>
      </w:r>
      <w:r w:rsidRPr="00F0490D">
        <w:rPr>
          <w:lang w:val="en-US" w:eastAsia="en-AU"/>
        </w:rPr>
        <w:t xml:space="preserve"> ABS 5204.0 Australian System of National Accounts, Table 13.  Series IDs used: A2421358T, A2421359V, A2421360C, A2421361F, A2421362J.</w:t>
      </w:r>
    </w:p>
    <w:p w14:paraId="1BDE9DF8" w14:textId="4516B67D" w:rsidR="004A78E9" w:rsidRDefault="006C3B9C" w:rsidP="004A78E9">
      <w:pPr>
        <w:pStyle w:val="Source"/>
      </w:pPr>
      <w:r w:rsidRPr="00F744EA">
        <w:rPr>
          <w:b/>
          <w:bCs/>
        </w:rPr>
        <w:t>Alt-text:</w:t>
      </w:r>
      <w:r w:rsidRPr="00F744EA">
        <w:t xml:space="preserve"> A line chart showing the trend in Labour Productivity, Labour Productivity (Quality Adjusted), </w:t>
      </w:r>
      <w:r w:rsidR="00F744EA" w:rsidRPr="00F744EA">
        <w:t xml:space="preserve">Capital Productivity, </w:t>
      </w:r>
      <w:r w:rsidR="00F744EA">
        <w:t>multifactor productivity</w:t>
      </w:r>
      <w:r w:rsidR="00F744EA" w:rsidRPr="00F744EA">
        <w:t xml:space="preserve"> (hours worked) and </w:t>
      </w:r>
      <w:r w:rsidR="00F744EA">
        <w:t xml:space="preserve">multifactor productivity </w:t>
      </w:r>
      <w:r w:rsidR="00F744EA" w:rsidRPr="00F744EA">
        <w:t>(quality adjusted hours worked)</w:t>
      </w:r>
      <w:r w:rsidRPr="00F744EA">
        <w:t xml:space="preserve"> between </w:t>
      </w:r>
      <w:r w:rsidR="00F744EA" w:rsidRPr="00F744EA">
        <w:t xml:space="preserve">1995 </w:t>
      </w:r>
      <w:r w:rsidRPr="00F744EA">
        <w:t>and</w:t>
      </w:r>
      <w:r w:rsidR="00F744EA" w:rsidRPr="00F744EA">
        <w:t xml:space="preserve"> 2024</w:t>
      </w:r>
      <w:r w:rsidR="004A78E9" w:rsidRPr="00F744EA">
        <w:t>.</w:t>
      </w:r>
    </w:p>
    <w:p w14:paraId="29F60A6B" w14:textId="6B6A10DB" w:rsidR="00F0490D" w:rsidRPr="00F0490D" w:rsidRDefault="003B56CF" w:rsidP="00F0490D">
      <w:pPr>
        <w:rPr>
          <w:lang w:val="en-US" w:eastAsia="en-AU"/>
        </w:rPr>
      </w:pPr>
      <w:r>
        <w:rPr>
          <w:lang w:val="en-US" w:eastAsia="en-AU"/>
        </w:rPr>
        <w:t xml:space="preserve">What was behind </w:t>
      </w:r>
      <w:r w:rsidR="00F0490D" w:rsidRPr="00F0490D">
        <w:rPr>
          <w:lang w:val="en-US" w:eastAsia="en-AU"/>
        </w:rPr>
        <w:t>the unprecedented increase in hours worked</w:t>
      </w:r>
      <w:r w:rsidR="00CD1107">
        <w:rPr>
          <w:lang w:val="en-US" w:eastAsia="en-AU"/>
        </w:rPr>
        <w:t xml:space="preserve"> </w:t>
      </w:r>
      <w:r w:rsidR="00DD52D6">
        <w:rPr>
          <w:lang w:val="en-US" w:eastAsia="en-AU"/>
        </w:rPr>
        <w:t>after</w:t>
      </w:r>
      <w:r w:rsidR="00C85FAA">
        <w:rPr>
          <w:lang w:val="en-US" w:eastAsia="en-AU"/>
        </w:rPr>
        <w:t xml:space="preserve"> </w:t>
      </w:r>
      <w:r w:rsidR="00CD1107">
        <w:rPr>
          <w:lang w:val="en-US" w:eastAsia="en-AU"/>
        </w:rPr>
        <w:t>2022</w:t>
      </w:r>
      <w:r w:rsidR="00540AA4">
        <w:rPr>
          <w:lang w:val="en-US" w:eastAsia="en-AU"/>
        </w:rPr>
        <w:t>?</w:t>
      </w:r>
      <w:r w:rsidR="003205A3">
        <w:rPr>
          <w:rStyle w:val="FootnoteReference"/>
          <w:lang w:val="en-US" w:eastAsia="en-AU"/>
        </w:rPr>
        <w:footnoteReference w:id="1356"/>
      </w:r>
      <w:r w:rsidR="00F0490D" w:rsidRPr="00F0490D" w:rsidDel="00F0490D">
        <w:rPr>
          <w:lang w:val="en-US" w:eastAsia="en-AU"/>
        </w:rPr>
        <w:t xml:space="preserve"> </w:t>
      </w:r>
      <w:r w:rsidR="00F0490D" w:rsidRPr="00F0490D">
        <w:rPr>
          <w:lang w:val="en-US" w:eastAsia="en-AU"/>
        </w:rPr>
        <w:t xml:space="preserve">It could be that, after COVID-19, businesses </w:t>
      </w:r>
      <w:r w:rsidR="00540AA4">
        <w:rPr>
          <w:lang w:val="en-US" w:eastAsia="en-AU"/>
        </w:rPr>
        <w:t>we</w:t>
      </w:r>
      <w:r w:rsidR="00F0490D" w:rsidRPr="00F0490D">
        <w:rPr>
          <w:lang w:val="en-US" w:eastAsia="en-AU"/>
        </w:rPr>
        <w:t>re meeting the demand for output by hiring more workers instead of investing in productivity-enhancing capital (e.g. technology or automation), which mean</w:t>
      </w:r>
      <w:r w:rsidR="0062486C">
        <w:rPr>
          <w:lang w:val="en-US" w:eastAsia="en-AU"/>
        </w:rPr>
        <w:t>t</w:t>
      </w:r>
      <w:r w:rsidR="00F0490D" w:rsidRPr="00F0490D">
        <w:rPr>
          <w:lang w:val="en-US" w:eastAsia="en-AU"/>
        </w:rPr>
        <w:t xml:space="preserve"> th</w:t>
      </w:r>
      <w:r w:rsidR="0062486C">
        <w:rPr>
          <w:lang w:val="en-US" w:eastAsia="en-AU"/>
        </w:rPr>
        <w:t>at</w:t>
      </w:r>
      <w:r w:rsidR="00F0490D" w:rsidRPr="00F0490D">
        <w:rPr>
          <w:lang w:val="en-US" w:eastAsia="en-AU"/>
        </w:rPr>
        <w:t xml:space="preserve"> productivity per worker decline</w:t>
      </w:r>
      <w:r w:rsidR="0062486C">
        <w:rPr>
          <w:lang w:val="en-US" w:eastAsia="en-AU"/>
        </w:rPr>
        <w:t>d</w:t>
      </w:r>
      <w:r w:rsidR="00F0490D" w:rsidRPr="00F0490D">
        <w:rPr>
          <w:lang w:val="en-US" w:eastAsia="en-AU"/>
        </w:rPr>
        <w:t xml:space="preserve">. A preference for labour over technology/capital may be driven, in part, by low wages. </w:t>
      </w:r>
    </w:p>
    <w:p w14:paraId="5EFA7E6A" w14:textId="747AB362" w:rsidR="00F0490D" w:rsidRPr="00F0490D" w:rsidRDefault="00F0490D" w:rsidP="00F0490D">
      <w:pPr>
        <w:rPr>
          <w:lang w:val="en-US" w:eastAsia="en-AU"/>
        </w:rPr>
      </w:pPr>
      <w:r w:rsidRPr="00F0490D">
        <w:rPr>
          <w:lang w:val="en-US" w:eastAsia="en-AU"/>
        </w:rPr>
        <w:t>The trend may also be the result of labour shortages (and low unemployment) and businesses having to hire less experienced or otherwise less productive workers. It is also consistent with a greater share of recent migrants entering the workforce and perhaps needing time to integrate and upskill, moving into low paid jobs in the meantime.</w:t>
      </w:r>
      <w:r w:rsidR="003205A3">
        <w:rPr>
          <w:rStyle w:val="FootnoteReference"/>
          <w:lang w:val="en-US" w:eastAsia="en-AU"/>
        </w:rPr>
        <w:footnoteReference w:id="1357"/>
      </w:r>
      <w:r w:rsidRPr="00F0490D">
        <w:rPr>
          <w:lang w:val="en-US" w:eastAsia="en-AU"/>
        </w:rPr>
        <w:t xml:space="preserve">  </w:t>
      </w:r>
    </w:p>
    <w:p w14:paraId="4AD096A7" w14:textId="22E7F07E" w:rsidR="00F0490D" w:rsidRPr="00F0490D" w:rsidRDefault="00F0490D" w:rsidP="00F0490D">
      <w:pPr>
        <w:rPr>
          <w:lang w:val="en-US" w:eastAsia="en-AU"/>
        </w:rPr>
      </w:pPr>
      <w:r w:rsidRPr="00F0490D">
        <w:rPr>
          <w:lang w:val="en-US" w:eastAsia="en-AU"/>
        </w:rPr>
        <w:t>A related explanation could be that firms may be hoarding labour, given the difficulties and cost of recruiting skilled workers in a tight labour market (or in the context of perceived future skill shortages). This might explain rising employment alongside falling hours of work. Non-compete agreements, designed to prevent turnover, could be contributing to this labour hoarding.</w:t>
      </w:r>
      <w:r w:rsidR="003205A3">
        <w:rPr>
          <w:rStyle w:val="FootnoteReference"/>
          <w:lang w:val="en-US" w:eastAsia="en-AU"/>
        </w:rPr>
        <w:footnoteReference w:id="1358"/>
      </w:r>
      <w:r w:rsidRPr="00F0490D">
        <w:rPr>
          <w:lang w:val="en-US" w:eastAsia="en-AU"/>
        </w:rPr>
        <w:t xml:space="preserve">  </w:t>
      </w:r>
    </w:p>
    <w:p w14:paraId="3F305EF5" w14:textId="016BCE89" w:rsidR="00F0490D" w:rsidRPr="00F0490D" w:rsidRDefault="00F0490D" w:rsidP="00F0490D">
      <w:pPr>
        <w:rPr>
          <w:lang w:val="en-US" w:eastAsia="en-AU"/>
        </w:rPr>
      </w:pPr>
      <w:r w:rsidRPr="00F0490D">
        <w:rPr>
          <w:lang w:val="en-US" w:eastAsia="en-AU"/>
        </w:rPr>
        <w:t xml:space="preserve">Another potential explanation is that workers are burning out (tiring). It might also be that cost of living pressures and associated financial stress are affecting health outcomes (e.g. mental health) with a flow on effect to performance at work. </w:t>
      </w:r>
    </w:p>
    <w:p w14:paraId="3DB7B21F" w14:textId="7620676C" w:rsidR="00F0490D" w:rsidRPr="00F0490D" w:rsidRDefault="00F0490D" w:rsidP="00F0490D">
      <w:pPr>
        <w:rPr>
          <w:lang w:val="en-US" w:eastAsia="en-AU"/>
        </w:rPr>
      </w:pPr>
      <w:r w:rsidRPr="00F0490D">
        <w:rPr>
          <w:lang w:val="en-US" w:eastAsia="en-AU"/>
        </w:rPr>
        <w:t xml:space="preserve">The second productivity measure presented in Figure </w:t>
      </w:r>
      <w:r>
        <w:rPr>
          <w:lang w:val="en-US" w:eastAsia="en-AU"/>
        </w:rPr>
        <w:t>63</w:t>
      </w:r>
      <w:r w:rsidRPr="00F0490D">
        <w:rPr>
          <w:lang w:val="en-US" w:eastAsia="en-AU"/>
        </w:rPr>
        <w:t xml:space="preserve"> concerns capital productivity. As shown, capital productivity has been declining steadily since 2004, with this becoming more pronounced after the 2007/8 Global Financial Crisis (GFC). When compared to June 2009, capital productivity in 2024 is down by 5.7%. One significant contributor to the observed decline in capital productivity is the substantial increase in capital investment in sectors such as mining, where the returns are slower to materialise. </w:t>
      </w:r>
    </w:p>
    <w:p w14:paraId="6CE4855A" w14:textId="35EDAAA9" w:rsidR="00F0490D" w:rsidRPr="00F0490D" w:rsidRDefault="00F0490D" w:rsidP="00F0490D">
      <w:pPr>
        <w:rPr>
          <w:lang w:val="en-US" w:eastAsia="en-AU"/>
        </w:rPr>
      </w:pPr>
      <w:r w:rsidRPr="00F0490D">
        <w:rPr>
          <w:lang w:val="en-US" w:eastAsia="en-AU"/>
        </w:rPr>
        <w:t xml:space="preserve">The third measure of national productivity presented in Figure </w:t>
      </w:r>
      <w:r>
        <w:rPr>
          <w:lang w:val="en-US" w:eastAsia="en-AU"/>
        </w:rPr>
        <w:t>63</w:t>
      </w:r>
      <w:r w:rsidRPr="00F0490D">
        <w:rPr>
          <w:lang w:val="en-US" w:eastAsia="en-AU"/>
        </w:rPr>
        <w:t xml:space="preserve"> is MFP. MFP is similar to a weighted average of labour productivity and capital productivity, in that it is influenced by both. For example, if capital productivity is affected by heavy investment in mining in anticipation of future returns, MFP will also reflect this impact.</w:t>
      </w:r>
    </w:p>
    <w:p w14:paraId="15DCD10C" w14:textId="4330B9A9" w:rsidR="00F0490D" w:rsidRPr="00F0490D" w:rsidRDefault="00F0490D" w:rsidP="00F0490D">
      <w:pPr>
        <w:rPr>
          <w:lang w:val="en-US" w:eastAsia="en-AU"/>
        </w:rPr>
      </w:pPr>
      <w:r w:rsidRPr="00F0490D">
        <w:rPr>
          <w:lang w:val="en-US" w:eastAsia="en-AU"/>
        </w:rPr>
        <w:t xml:space="preserve">Between 2009 and 2024 MFP increased by 8.5%, while quality-adjusted MFP increased by 4.1%. Overall, however, both these measures show that there have been long-term improvements in the </w:t>
      </w:r>
      <w:r w:rsidR="00476103">
        <w:rPr>
          <w:lang w:val="en-US" w:eastAsia="en-AU"/>
        </w:rPr>
        <w:t xml:space="preserve">combined contributions of </w:t>
      </w:r>
      <w:r w:rsidRPr="00F0490D">
        <w:rPr>
          <w:lang w:val="en-US" w:eastAsia="en-AU"/>
        </w:rPr>
        <w:t>capital and labour</w:t>
      </w:r>
      <w:r w:rsidR="004D7B11">
        <w:rPr>
          <w:lang w:val="en-US" w:eastAsia="en-AU"/>
        </w:rPr>
        <w:t xml:space="preserve"> – in other words, in the way capital and labour complement each other</w:t>
      </w:r>
      <w:r w:rsidRPr="00F0490D">
        <w:rPr>
          <w:lang w:val="en-US" w:eastAsia="en-AU"/>
        </w:rPr>
        <w:t xml:space="preserve">. The dip </w:t>
      </w:r>
      <w:r w:rsidR="001B6DC7">
        <w:rPr>
          <w:lang w:val="en-US" w:eastAsia="en-AU"/>
        </w:rPr>
        <w:t xml:space="preserve">in MFP </w:t>
      </w:r>
      <w:r w:rsidRPr="00F0490D">
        <w:rPr>
          <w:lang w:val="en-US" w:eastAsia="en-AU"/>
        </w:rPr>
        <w:t>after 2022 could be the product of a labour-intensive recovery. Other potential contributory factors might include economic pressures such as inflation, rising input costs and increased uncertainty, making it hard for businesses to plan investments.</w:t>
      </w:r>
    </w:p>
    <w:p w14:paraId="534C7CDE" w14:textId="6933A0C9" w:rsidR="00F0490D" w:rsidRPr="00F0490D" w:rsidRDefault="00F0490D" w:rsidP="00F0490D">
      <w:pPr>
        <w:rPr>
          <w:lang w:val="en-US" w:eastAsia="en-AU"/>
        </w:rPr>
      </w:pPr>
      <w:r w:rsidRPr="00F0490D">
        <w:rPr>
          <w:lang w:val="en-US" w:eastAsia="en-AU"/>
        </w:rPr>
        <w:t xml:space="preserve">Productivity measurement or monitoring, such as presented in Figure </w:t>
      </w:r>
      <w:r>
        <w:rPr>
          <w:lang w:val="en-US" w:eastAsia="en-AU"/>
        </w:rPr>
        <w:t>63</w:t>
      </w:r>
      <w:r w:rsidRPr="00F0490D">
        <w:rPr>
          <w:lang w:val="en-US" w:eastAsia="en-AU"/>
        </w:rPr>
        <w:t xml:space="preserve">, is best assessed over a longer term as year to year </w:t>
      </w:r>
      <w:r>
        <w:rPr>
          <w:rFonts w:ascii="Symbol" w:eastAsia="Symbol" w:hAnsi="Symbol" w:cs="Symbol"/>
          <w:lang w:val="en-US" w:eastAsia="en-AU"/>
        </w:rPr>
        <w:sym w:font="Symbol" w:char="F02D"/>
      </w:r>
      <w:r w:rsidRPr="00F0490D">
        <w:rPr>
          <w:lang w:val="en-US" w:eastAsia="en-AU"/>
        </w:rPr>
        <w:t xml:space="preserve"> or even quarter to quarter </w:t>
      </w:r>
      <w:r>
        <w:rPr>
          <w:rFonts w:ascii="Symbol" w:eastAsia="Symbol" w:hAnsi="Symbol" w:cs="Symbol"/>
          <w:lang w:val="en-US" w:eastAsia="en-AU"/>
        </w:rPr>
        <w:sym w:font="Symbol" w:char="F02D"/>
      </w:r>
      <w:r w:rsidRPr="00F0490D">
        <w:rPr>
          <w:lang w:val="en-US" w:eastAsia="en-AU"/>
        </w:rPr>
        <w:t xml:space="preserve"> movements in the measure may be highly erratic. Some </w:t>
      </w:r>
      <w:r w:rsidR="003E3FF9">
        <w:rPr>
          <w:lang w:val="en-US" w:eastAsia="en-AU"/>
        </w:rPr>
        <w:t xml:space="preserve">commentators prefer to </w:t>
      </w:r>
      <w:r w:rsidRPr="00F0490D">
        <w:rPr>
          <w:lang w:val="en-US" w:eastAsia="en-AU"/>
        </w:rPr>
        <w:t xml:space="preserve">monitor and compare outcomes over </w:t>
      </w:r>
      <w:r>
        <w:rPr>
          <w:lang w:val="en-US" w:eastAsia="en-AU"/>
        </w:rPr>
        <w:t>five</w:t>
      </w:r>
      <w:r w:rsidRPr="00F0490D">
        <w:rPr>
          <w:lang w:val="en-US" w:eastAsia="en-AU"/>
        </w:rPr>
        <w:t xml:space="preserve">-year window. In Australia, the </w:t>
      </w:r>
      <w:r>
        <w:rPr>
          <w:lang w:val="en-US" w:eastAsia="en-AU"/>
        </w:rPr>
        <w:t>Australian Bureau of Statistics (</w:t>
      </w:r>
      <w:r w:rsidRPr="00F0490D">
        <w:rPr>
          <w:lang w:val="en-US" w:eastAsia="en-AU"/>
        </w:rPr>
        <w:t>ABS</w:t>
      </w:r>
      <w:r>
        <w:rPr>
          <w:lang w:val="en-US" w:eastAsia="en-AU"/>
        </w:rPr>
        <w:t>)</w:t>
      </w:r>
      <w:r w:rsidRPr="00F0490D">
        <w:rPr>
          <w:lang w:val="en-US" w:eastAsia="en-AU"/>
        </w:rPr>
        <w:t xml:space="preserve"> and the Productivity Commission examine growth over ‘</w:t>
      </w:r>
      <w:r w:rsidRPr="00186EED">
        <w:rPr>
          <w:b/>
          <w:lang w:val="en-US" w:eastAsia="en-AU"/>
        </w:rPr>
        <w:t>growth cycles</w:t>
      </w:r>
      <w:r w:rsidRPr="00F0490D">
        <w:rPr>
          <w:lang w:val="en-US" w:eastAsia="en-AU"/>
        </w:rPr>
        <w:t>’. The latter refer to periods of sustained expansion and slowdown in trend productivity growth. They help separate out short</w:t>
      </w:r>
      <w:r>
        <w:rPr>
          <w:lang w:val="en-US" w:eastAsia="en-AU"/>
        </w:rPr>
        <w:t>-</w:t>
      </w:r>
      <w:r w:rsidRPr="00F0490D">
        <w:rPr>
          <w:lang w:val="en-US" w:eastAsia="en-AU"/>
        </w:rPr>
        <w:t>term fluctuations (e.g. due to business cycles or COVID) from longer</w:t>
      </w:r>
      <w:r>
        <w:rPr>
          <w:lang w:val="en-US" w:eastAsia="en-AU"/>
        </w:rPr>
        <w:t xml:space="preserve"> </w:t>
      </w:r>
      <w:r w:rsidRPr="00F0490D">
        <w:rPr>
          <w:lang w:val="en-US" w:eastAsia="en-AU"/>
        </w:rPr>
        <w:t xml:space="preserve">term structural trends. </w:t>
      </w:r>
    </w:p>
    <w:p w14:paraId="385F43BD" w14:textId="15E3EA60" w:rsidR="00F0490D" w:rsidRPr="00F0490D" w:rsidRDefault="00F0490D" w:rsidP="00F0490D">
      <w:pPr>
        <w:rPr>
          <w:lang w:val="en-US" w:eastAsia="en-AU"/>
        </w:rPr>
      </w:pPr>
      <w:r w:rsidRPr="00F0490D">
        <w:rPr>
          <w:lang w:val="en-US" w:eastAsia="en-AU"/>
        </w:rPr>
        <w:t xml:space="preserve">Vertical lines have been introduced into Figure </w:t>
      </w:r>
      <w:r>
        <w:rPr>
          <w:lang w:val="en-US" w:eastAsia="en-AU"/>
        </w:rPr>
        <w:t>63</w:t>
      </w:r>
      <w:r w:rsidRPr="00F0490D">
        <w:rPr>
          <w:lang w:val="en-US" w:eastAsia="en-AU"/>
        </w:rPr>
        <w:t xml:space="preserve"> to recognise various ‘productivity growth cycles’. Growth cycles may vary in length, with each cycle endeavouring to capture peaks in productivity. As David Peetz notes, the trouble with growth cycles is that ‘the end point is not easy to pick’, especially when </w:t>
      </w:r>
      <w:r>
        <w:rPr>
          <w:lang w:val="en-US" w:eastAsia="en-AU"/>
        </w:rPr>
        <w:t xml:space="preserve">you are </w:t>
      </w:r>
      <w:r w:rsidRPr="00F0490D">
        <w:rPr>
          <w:lang w:val="en-US" w:eastAsia="en-AU"/>
        </w:rPr>
        <w:t>in one.</w:t>
      </w:r>
      <w:r w:rsidR="003205A3">
        <w:rPr>
          <w:rStyle w:val="FootnoteReference"/>
          <w:lang w:val="en-US" w:eastAsia="en-AU"/>
        </w:rPr>
        <w:footnoteReference w:id="1359"/>
      </w:r>
    </w:p>
    <w:p w14:paraId="39B68380" w14:textId="18A8808E" w:rsidR="00F0490D" w:rsidRPr="00F0490D" w:rsidRDefault="00F0490D" w:rsidP="00F0490D">
      <w:pPr>
        <w:rPr>
          <w:lang w:val="en-US" w:eastAsia="en-AU"/>
        </w:rPr>
      </w:pPr>
      <w:r w:rsidRPr="00F0490D">
        <w:rPr>
          <w:lang w:val="en-US" w:eastAsia="en-AU"/>
        </w:rPr>
        <w:t xml:space="preserve">Returning to data on labour productivity, Table </w:t>
      </w:r>
      <w:r w:rsidR="00335425">
        <w:rPr>
          <w:lang w:val="en-US" w:eastAsia="en-AU"/>
        </w:rPr>
        <w:t>71</w:t>
      </w:r>
      <w:r w:rsidR="00335425" w:rsidRPr="00F0490D">
        <w:rPr>
          <w:lang w:val="en-US" w:eastAsia="en-AU"/>
        </w:rPr>
        <w:t xml:space="preserve"> </w:t>
      </w:r>
      <w:r w:rsidRPr="00F0490D">
        <w:rPr>
          <w:lang w:val="en-US" w:eastAsia="en-AU"/>
        </w:rPr>
        <w:t xml:space="preserve">shows annual growth in labour productivity. Three measures are presented: the first is for the market sector (which is all industries, not including </w:t>
      </w:r>
      <w:r>
        <w:rPr>
          <w:lang w:val="en-US" w:eastAsia="en-AU"/>
        </w:rPr>
        <w:t>h</w:t>
      </w:r>
      <w:r w:rsidRPr="00F0490D">
        <w:rPr>
          <w:lang w:val="en-US" w:eastAsia="en-AU"/>
        </w:rPr>
        <w:t xml:space="preserve">ealth care and social assistance, </w:t>
      </w:r>
      <w:r>
        <w:rPr>
          <w:lang w:val="en-US" w:eastAsia="en-AU"/>
        </w:rPr>
        <w:t>e</w:t>
      </w:r>
      <w:r w:rsidRPr="00F0490D">
        <w:rPr>
          <w:lang w:val="en-US" w:eastAsia="en-AU"/>
        </w:rPr>
        <w:t>ducation and training</w:t>
      </w:r>
      <w:r>
        <w:rPr>
          <w:lang w:val="en-US" w:eastAsia="en-AU"/>
        </w:rPr>
        <w:t>,</w:t>
      </w:r>
      <w:r w:rsidRPr="00F0490D">
        <w:rPr>
          <w:lang w:val="en-US" w:eastAsia="en-AU"/>
        </w:rPr>
        <w:t xml:space="preserve"> and </w:t>
      </w:r>
      <w:r>
        <w:rPr>
          <w:lang w:val="en-US" w:eastAsia="en-AU"/>
        </w:rPr>
        <w:t>p</w:t>
      </w:r>
      <w:r w:rsidRPr="00F0490D">
        <w:rPr>
          <w:lang w:val="en-US" w:eastAsia="en-AU"/>
        </w:rPr>
        <w:t>ublic administration and safety);</w:t>
      </w:r>
      <w:r w:rsidR="006677BC">
        <w:rPr>
          <w:rStyle w:val="FootnoteReference"/>
          <w:lang w:val="en-US" w:eastAsia="en-AU"/>
        </w:rPr>
        <w:footnoteReference w:id="1360"/>
      </w:r>
      <w:r w:rsidRPr="00F0490D">
        <w:rPr>
          <w:lang w:val="en-US" w:eastAsia="en-AU"/>
        </w:rPr>
        <w:t xml:space="preserve">  the second is for the market sector minus the agricultural and mining industries; and the third is for all industries (measured as GDP/total hours worked). The last is added for comparison purposes while noting the limitations of this measure given the inclusion and weighting of the non-market sector.</w:t>
      </w:r>
    </w:p>
    <w:p w14:paraId="29DF972C" w14:textId="5F159E3D" w:rsidR="00F0490D" w:rsidRPr="00F0490D" w:rsidRDefault="00F0490D" w:rsidP="00F0490D">
      <w:pPr>
        <w:rPr>
          <w:lang w:val="en-US" w:eastAsia="en-AU"/>
        </w:rPr>
      </w:pPr>
      <w:r w:rsidRPr="00F0490D">
        <w:rPr>
          <w:lang w:val="en-US" w:eastAsia="en-AU"/>
        </w:rPr>
        <w:t xml:space="preserve">Table </w:t>
      </w:r>
      <w:r w:rsidR="00335425" w:rsidRPr="00A22122">
        <w:rPr>
          <w:lang w:val="en-US" w:eastAsia="en-AU"/>
        </w:rPr>
        <w:t>7</w:t>
      </w:r>
      <w:r w:rsidR="00335425">
        <w:rPr>
          <w:lang w:val="en-US" w:eastAsia="en-AU"/>
        </w:rPr>
        <w:t>2</w:t>
      </w:r>
      <w:r w:rsidR="00335425" w:rsidRPr="00F0490D">
        <w:rPr>
          <w:lang w:val="en-US" w:eastAsia="en-AU"/>
        </w:rPr>
        <w:t xml:space="preserve"> </w:t>
      </w:r>
      <w:r w:rsidRPr="00F0490D">
        <w:rPr>
          <w:lang w:val="en-US" w:eastAsia="en-AU"/>
        </w:rPr>
        <w:t>presents similar data but with the annual data averaged over a five year period, covering 1998</w:t>
      </w:r>
      <w:r>
        <w:rPr>
          <w:rFonts w:ascii="Symbol" w:eastAsia="Symbol" w:hAnsi="Symbol" w:cs="Symbol"/>
          <w:lang w:val="en-US" w:eastAsia="en-AU"/>
        </w:rPr>
        <w:sym w:font="Symbol" w:char="F02D"/>
      </w:r>
      <w:r w:rsidRPr="00F0490D">
        <w:rPr>
          <w:lang w:val="en-US" w:eastAsia="en-AU"/>
        </w:rPr>
        <w:t>2002 through to 2018</w:t>
      </w:r>
      <w:r>
        <w:rPr>
          <w:rFonts w:ascii="Symbol" w:eastAsia="Symbol" w:hAnsi="Symbol" w:cs="Symbol"/>
          <w:lang w:val="en-US" w:eastAsia="en-AU"/>
        </w:rPr>
        <w:sym w:font="Symbol" w:char="F02D"/>
      </w:r>
      <w:r w:rsidRPr="00F0490D">
        <w:rPr>
          <w:lang w:val="en-US" w:eastAsia="en-AU"/>
        </w:rPr>
        <w:t>2022. A five</w:t>
      </w:r>
      <w:r>
        <w:rPr>
          <w:lang w:val="en-US" w:eastAsia="en-AU"/>
        </w:rPr>
        <w:t>-</w:t>
      </w:r>
      <w:r w:rsidRPr="00F0490D">
        <w:rPr>
          <w:lang w:val="en-US" w:eastAsia="en-AU"/>
        </w:rPr>
        <w:t>year window that includes COVID-19 (2020</w:t>
      </w:r>
      <w:r>
        <w:rPr>
          <w:rFonts w:ascii="Symbol" w:eastAsia="Symbol" w:hAnsi="Symbol" w:cs="Symbol"/>
          <w:lang w:val="en-US" w:eastAsia="en-AU"/>
        </w:rPr>
        <w:sym w:font="Symbol" w:char="F02D"/>
      </w:r>
      <w:r>
        <w:rPr>
          <w:lang w:val="en-US" w:eastAsia="en-AU"/>
        </w:rPr>
        <w:t>20</w:t>
      </w:r>
      <w:r w:rsidRPr="00F0490D">
        <w:rPr>
          <w:lang w:val="en-US" w:eastAsia="en-AU"/>
        </w:rPr>
        <w:t xml:space="preserve">24) is also provided for comparison.  Column 1 (in Table </w:t>
      </w:r>
      <w:r w:rsidR="00212ACB" w:rsidRPr="00A22122">
        <w:rPr>
          <w:lang w:val="en-US" w:eastAsia="en-AU"/>
        </w:rPr>
        <w:t>7</w:t>
      </w:r>
      <w:r w:rsidR="00212ACB">
        <w:rPr>
          <w:lang w:val="en-US" w:eastAsia="en-AU"/>
        </w:rPr>
        <w:t>2</w:t>
      </w:r>
      <w:r w:rsidRPr="00F0490D">
        <w:rPr>
          <w:lang w:val="en-US" w:eastAsia="en-AU"/>
        </w:rPr>
        <w:t>) shows that in the 2018</w:t>
      </w:r>
      <w:r>
        <w:rPr>
          <w:rFonts w:ascii="Symbol" w:eastAsia="Symbol" w:hAnsi="Symbol" w:cs="Symbol"/>
          <w:lang w:val="en-US" w:eastAsia="en-AU"/>
        </w:rPr>
        <w:sym w:font="Symbol" w:char="F02D"/>
      </w:r>
      <w:r>
        <w:rPr>
          <w:lang w:val="en-US" w:eastAsia="en-AU"/>
        </w:rPr>
        <w:t>20</w:t>
      </w:r>
      <w:r w:rsidRPr="00F0490D">
        <w:rPr>
          <w:lang w:val="en-US" w:eastAsia="en-AU"/>
        </w:rPr>
        <w:t>22 five</w:t>
      </w:r>
      <w:r>
        <w:rPr>
          <w:lang w:val="en-US" w:eastAsia="en-AU"/>
        </w:rPr>
        <w:t>-</w:t>
      </w:r>
      <w:r w:rsidRPr="00F0490D">
        <w:rPr>
          <w:lang w:val="en-US" w:eastAsia="en-AU"/>
        </w:rPr>
        <w:t xml:space="preserve">year period average annual </w:t>
      </w:r>
      <w:r w:rsidR="008C6148">
        <w:rPr>
          <w:lang w:val="en-US" w:eastAsia="en-AU"/>
        </w:rPr>
        <w:t xml:space="preserve">labour </w:t>
      </w:r>
      <w:r w:rsidRPr="00F0490D">
        <w:rPr>
          <w:lang w:val="en-US" w:eastAsia="en-AU"/>
        </w:rPr>
        <w:t>productivity growth in the market sector was 1.1%, rising to 1.3% when agriculture and mining were excluded. In the 2020</w:t>
      </w:r>
      <w:r>
        <w:rPr>
          <w:rFonts w:ascii="Symbol" w:eastAsia="Symbol" w:hAnsi="Symbol" w:cs="Symbol"/>
          <w:lang w:val="en-US" w:eastAsia="en-AU"/>
        </w:rPr>
        <w:sym w:font="Symbol" w:char="F02D"/>
      </w:r>
      <w:r w:rsidRPr="00F0490D">
        <w:rPr>
          <w:lang w:val="en-US" w:eastAsia="en-AU"/>
        </w:rPr>
        <w:t>2024 five</w:t>
      </w:r>
      <w:r>
        <w:rPr>
          <w:lang w:val="en-US" w:eastAsia="en-AU"/>
        </w:rPr>
        <w:t>-</w:t>
      </w:r>
      <w:r w:rsidRPr="00F0490D">
        <w:rPr>
          <w:lang w:val="en-US" w:eastAsia="en-AU"/>
        </w:rPr>
        <w:t>year window, average annual growth was 0.7% in the market sector and 1.2% when agriculture and mining were excluded.</w:t>
      </w:r>
    </w:p>
    <w:p w14:paraId="01B74C61" w14:textId="59D554D2" w:rsidR="00F0490D" w:rsidRPr="00F0490D" w:rsidRDefault="00F0490D" w:rsidP="00F0490D">
      <w:pPr>
        <w:rPr>
          <w:lang w:val="en-US" w:eastAsia="en-AU"/>
        </w:rPr>
      </w:pPr>
      <w:r w:rsidRPr="00F0490D">
        <w:rPr>
          <w:lang w:val="en-US" w:eastAsia="en-AU"/>
        </w:rPr>
        <w:t>Growth in labour productivity has clearly been slow for some time. In 2003</w:t>
      </w:r>
      <w:r>
        <w:rPr>
          <w:rFonts w:ascii="Symbol" w:eastAsia="Symbol" w:hAnsi="Symbol" w:cs="Symbol"/>
          <w:lang w:val="en-US" w:eastAsia="en-AU"/>
        </w:rPr>
        <w:sym w:font="Symbol" w:char="F02D"/>
      </w:r>
      <w:r w:rsidRPr="00F0490D">
        <w:rPr>
          <w:lang w:val="en-US" w:eastAsia="en-AU"/>
        </w:rPr>
        <w:t>2007 average annual productivity growth was equal to 1.4% in the non-</w:t>
      </w:r>
      <w:r w:rsidRPr="00E52220">
        <w:rPr>
          <w:lang w:val="en-US" w:eastAsia="en-AU"/>
        </w:rPr>
        <w:t xml:space="preserve">agriculture and mining market sector – although this slowed to just 0.8% in 2013-17. The bottom row in Table </w:t>
      </w:r>
      <w:r w:rsidR="00CC5874" w:rsidRPr="00EE71BD">
        <w:rPr>
          <w:lang w:val="en-US" w:eastAsia="en-AU"/>
        </w:rPr>
        <w:t>7</w:t>
      </w:r>
      <w:r w:rsidRPr="00E52220">
        <w:rPr>
          <w:lang w:val="en-US" w:eastAsia="en-AU"/>
        </w:rPr>
        <w:t>2 – covering just two years – shows the productivity slowdown caused by the growth in hours worked</w:t>
      </w:r>
      <w:r w:rsidRPr="00F0490D">
        <w:rPr>
          <w:lang w:val="en-US" w:eastAsia="en-AU"/>
        </w:rPr>
        <w:t>.</w:t>
      </w:r>
    </w:p>
    <w:p w14:paraId="0ED283FC" w14:textId="77777777" w:rsidR="00BA4C93" w:rsidRDefault="00BA4C93">
      <w:pPr>
        <w:spacing w:after="160"/>
        <w:rPr>
          <w:b/>
          <w:bCs/>
          <w:iCs/>
          <w:color w:val="000000"/>
          <w:szCs w:val="18"/>
          <w:lang w:val="en-US" w:eastAsia="en-AU"/>
        </w:rPr>
      </w:pPr>
      <w:r>
        <w:br w:type="page"/>
      </w:r>
    </w:p>
    <w:p w14:paraId="48EF5637" w14:textId="3B4B39F0" w:rsidR="00F0490D" w:rsidRPr="0088754F" w:rsidRDefault="00F0490D" w:rsidP="00A22122">
      <w:pPr>
        <w:pStyle w:val="Caption"/>
        <w:rPr>
          <w:rFonts w:cs="Calibri"/>
        </w:rPr>
      </w:pPr>
      <w:bookmarkStart w:id="1123" w:name="_Toc194251495"/>
      <w:r>
        <w:t xml:space="preserve">Table </w:t>
      </w:r>
      <w:r>
        <w:rPr>
          <w:bCs w:val="0"/>
          <w:iCs w:val="0"/>
        </w:rPr>
        <w:fldChar w:fldCharType="begin"/>
      </w:r>
      <w:r>
        <w:instrText xml:space="preserve"> SEQ Table \* ARABIC </w:instrText>
      </w:r>
      <w:r>
        <w:rPr>
          <w:bCs w:val="0"/>
          <w:iCs w:val="0"/>
        </w:rPr>
        <w:fldChar w:fldCharType="separate"/>
      </w:r>
      <w:r w:rsidR="00DE5F5E">
        <w:rPr>
          <w:noProof/>
        </w:rPr>
        <w:t>71</w:t>
      </w:r>
      <w:r>
        <w:rPr>
          <w:bCs w:val="0"/>
          <w:iCs w:val="0"/>
        </w:rPr>
        <w:fldChar w:fldCharType="end"/>
      </w:r>
      <w:r>
        <w:t xml:space="preserve">: </w:t>
      </w:r>
      <w:r w:rsidRPr="00F0490D">
        <w:t xml:space="preserve">Annual growth in labour productivity, Australia, </w:t>
      </w:r>
      <w:r w:rsidR="00212ACB">
        <w:t>20</w:t>
      </w:r>
      <w:r w:rsidR="00212ACB" w:rsidRPr="00F0490D">
        <w:t xml:space="preserve">12 </w:t>
      </w:r>
      <w:r w:rsidRPr="00F0490D">
        <w:t>to 2024</w:t>
      </w:r>
      <w:bookmarkEnd w:id="1123"/>
    </w:p>
    <w:tbl>
      <w:tblPr>
        <w:tblW w:w="9833" w:type="dxa"/>
        <w:tblBorders>
          <w:top w:val="single" w:sz="4" w:space="0" w:color="auto"/>
          <w:bottom w:val="single" w:sz="4" w:space="0" w:color="auto"/>
        </w:tblBorders>
        <w:tblLayout w:type="fixed"/>
        <w:tblLook w:val="04A0" w:firstRow="1" w:lastRow="0" w:firstColumn="1" w:lastColumn="0" w:noHBand="0" w:noVBand="1"/>
      </w:tblPr>
      <w:tblGrid>
        <w:gridCol w:w="2909"/>
        <w:gridCol w:w="2194"/>
        <w:gridCol w:w="2127"/>
        <w:gridCol w:w="2603"/>
      </w:tblGrid>
      <w:tr w:rsidR="00F0490D" w:rsidRPr="00F0490D" w14:paraId="7AACC137" w14:textId="77777777">
        <w:trPr>
          <w:trHeight w:val="294"/>
        </w:trPr>
        <w:tc>
          <w:tcPr>
            <w:tcW w:w="2909" w:type="dxa"/>
            <w:tcBorders>
              <w:top w:val="single" w:sz="4" w:space="0" w:color="auto"/>
              <w:bottom w:val="single" w:sz="4" w:space="0" w:color="auto"/>
            </w:tcBorders>
            <w:noWrap/>
            <w:vAlign w:val="bottom"/>
          </w:tcPr>
          <w:p w14:paraId="20CB5FCA" w14:textId="77777777" w:rsidR="00F0490D" w:rsidRPr="00A22122" w:rsidRDefault="00F0490D">
            <w:pPr>
              <w:spacing w:after="0" w:line="240" w:lineRule="auto"/>
              <w:rPr>
                <w:rFonts w:cs="Calibri"/>
                <w:b/>
                <w:sz w:val="20"/>
                <w:szCs w:val="20"/>
              </w:rPr>
            </w:pPr>
          </w:p>
        </w:tc>
        <w:tc>
          <w:tcPr>
            <w:tcW w:w="2194" w:type="dxa"/>
            <w:tcBorders>
              <w:top w:val="single" w:sz="4" w:space="0" w:color="auto"/>
              <w:bottom w:val="single" w:sz="4" w:space="0" w:color="auto"/>
            </w:tcBorders>
            <w:noWrap/>
            <w:vAlign w:val="bottom"/>
          </w:tcPr>
          <w:p w14:paraId="352679C3" w14:textId="77777777" w:rsidR="00F0490D" w:rsidRPr="00A22122" w:rsidRDefault="00F0490D" w:rsidP="00F0490D">
            <w:pPr>
              <w:spacing w:after="0" w:line="240" w:lineRule="auto"/>
              <w:jc w:val="right"/>
              <w:rPr>
                <w:rFonts w:cs="Calibri"/>
                <w:b/>
                <w:sz w:val="20"/>
                <w:szCs w:val="20"/>
              </w:rPr>
            </w:pPr>
            <w:r w:rsidRPr="00A22122">
              <w:rPr>
                <w:rFonts w:cs="Calibri"/>
                <w:b/>
                <w:color w:val="000000"/>
                <w:sz w:val="20"/>
                <w:szCs w:val="20"/>
              </w:rPr>
              <w:t>Market sector</w:t>
            </w:r>
          </w:p>
        </w:tc>
        <w:tc>
          <w:tcPr>
            <w:tcW w:w="2127" w:type="dxa"/>
            <w:tcBorders>
              <w:top w:val="single" w:sz="4" w:space="0" w:color="auto"/>
              <w:bottom w:val="single" w:sz="4" w:space="0" w:color="auto"/>
            </w:tcBorders>
            <w:noWrap/>
            <w:vAlign w:val="bottom"/>
          </w:tcPr>
          <w:p w14:paraId="2019FC38" w14:textId="77777777" w:rsidR="00F0490D" w:rsidRPr="00A22122" w:rsidRDefault="00F0490D" w:rsidP="00F0490D">
            <w:pPr>
              <w:spacing w:after="0" w:line="240" w:lineRule="auto"/>
              <w:jc w:val="right"/>
              <w:rPr>
                <w:rFonts w:cs="Calibri"/>
                <w:b/>
                <w:sz w:val="20"/>
                <w:szCs w:val="20"/>
              </w:rPr>
            </w:pPr>
            <w:r w:rsidRPr="00A22122">
              <w:rPr>
                <w:rFonts w:cs="Calibri"/>
                <w:b/>
                <w:color w:val="000000"/>
                <w:sz w:val="20"/>
                <w:szCs w:val="20"/>
              </w:rPr>
              <w:t>Market sector minus agriculture and mining</w:t>
            </w:r>
          </w:p>
        </w:tc>
        <w:tc>
          <w:tcPr>
            <w:tcW w:w="2603" w:type="dxa"/>
            <w:tcBorders>
              <w:top w:val="single" w:sz="4" w:space="0" w:color="auto"/>
              <w:bottom w:val="single" w:sz="4" w:space="0" w:color="auto"/>
            </w:tcBorders>
            <w:vAlign w:val="bottom"/>
          </w:tcPr>
          <w:p w14:paraId="1FEDA3AC" w14:textId="77777777" w:rsidR="00F0490D" w:rsidRPr="00A22122" w:rsidRDefault="00F0490D" w:rsidP="00F0490D">
            <w:pPr>
              <w:spacing w:after="0" w:line="240" w:lineRule="auto"/>
              <w:jc w:val="right"/>
              <w:rPr>
                <w:rFonts w:cs="Calibri"/>
                <w:b/>
                <w:color w:val="000000"/>
                <w:sz w:val="20"/>
                <w:szCs w:val="20"/>
              </w:rPr>
            </w:pPr>
            <w:r w:rsidRPr="00A22122">
              <w:rPr>
                <w:rFonts w:cs="Calibri"/>
                <w:b/>
                <w:color w:val="000000"/>
                <w:sz w:val="20"/>
                <w:szCs w:val="20"/>
              </w:rPr>
              <w:t>All</w:t>
            </w:r>
          </w:p>
        </w:tc>
      </w:tr>
      <w:tr w:rsidR="00F0490D" w:rsidRPr="00F0490D" w14:paraId="60653763" w14:textId="77777777">
        <w:trPr>
          <w:trHeight w:val="294"/>
        </w:trPr>
        <w:tc>
          <w:tcPr>
            <w:tcW w:w="2909" w:type="dxa"/>
            <w:tcBorders>
              <w:top w:val="single" w:sz="4" w:space="0" w:color="auto"/>
            </w:tcBorders>
            <w:noWrap/>
            <w:vAlign w:val="bottom"/>
          </w:tcPr>
          <w:p w14:paraId="507D62FA" w14:textId="77777777" w:rsidR="00F0490D" w:rsidRPr="00A22122" w:rsidRDefault="00F0490D">
            <w:pPr>
              <w:spacing w:after="0" w:line="240" w:lineRule="auto"/>
              <w:rPr>
                <w:rFonts w:cs="Calibri"/>
                <w:sz w:val="20"/>
                <w:szCs w:val="20"/>
              </w:rPr>
            </w:pPr>
          </w:p>
        </w:tc>
        <w:tc>
          <w:tcPr>
            <w:tcW w:w="2194" w:type="dxa"/>
            <w:tcBorders>
              <w:top w:val="single" w:sz="4" w:space="0" w:color="auto"/>
            </w:tcBorders>
            <w:noWrap/>
            <w:vAlign w:val="bottom"/>
          </w:tcPr>
          <w:p w14:paraId="754ADE5E" w14:textId="07D23BDB" w:rsidR="00F0490D" w:rsidRPr="00A22122" w:rsidRDefault="00F0490D" w:rsidP="00F0490D">
            <w:pPr>
              <w:spacing w:after="0" w:line="240" w:lineRule="auto"/>
              <w:jc w:val="right"/>
              <w:rPr>
                <w:rFonts w:cs="Calibri"/>
                <w:sz w:val="20"/>
                <w:szCs w:val="20"/>
              </w:rPr>
            </w:pPr>
            <w:r w:rsidRPr="00A22122">
              <w:rPr>
                <w:rFonts w:cs="Calibri"/>
                <w:color w:val="000000"/>
                <w:sz w:val="20"/>
                <w:szCs w:val="20"/>
              </w:rPr>
              <w:t>(</w:t>
            </w:r>
            <w:r>
              <w:rPr>
                <w:rFonts w:cs="Calibri"/>
                <w:color w:val="000000"/>
                <w:sz w:val="20"/>
                <w:szCs w:val="20"/>
              </w:rPr>
              <w:t>1</w:t>
            </w:r>
            <w:r w:rsidRPr="00A22122">
              <w:rPr>
                <w:rFonts w:cs="Calibri"/>
                <w:color w:val="000000"/>
                <w:sz w:val="20"/>
                <w:szCs w:val="20"/>
              </w:rPr>
              <w:t>)</w:t>
            </w:r>
          </w:p>
        </w:tc>
        <w:tc>
          <w:tcPr>
            <w:tcW w:w="2127" w:type="dxa"/>
            <w:tcBorders>
              <w:top w:val="single" w:sz="4" w:space="0" w:color="auto"/>
            </w:tcBorders>
            <w:noWrap/>
            <w:vAlign w:val="bottom"/>
          </w:tcPr>
          <w:p w14:paraId="5441BC46" w14:textId="274EF95B" w:rsidR="00F0490D" w:rsidRPr="00A22122" w:rsidRDefault="00F0490D" w:rsidP="00F0490D">
            <w:pPr>
              <w:spacing w:after="0" w:line="240" w:lineRule="auto"/>
              <w:jc w:val="right"/>
              <w:rPr>
                <w:rFonts w:cs="Calibri"/>
                <w:sz w:val="20"/>
                <w:szCs w:val="20"/>
              </w:rPr>
            </w:pPr>
            <w:r w:rsidRPr="00A22122">
              <w:rPr>
                <w:rFonts w:cs="Calibri"/>
                <w:color w:val="000000"/>
                <w:sz w:val="20"/>
                <w:szCs w:val="20"/>
              </w:rPr>
              <w:t>(</w:t>
            </w:r>
            <w:r>
              <w:rPr>
                <w:rFonts w:cs="Calibri"/>
                <w:color w:val="000000"/>
                <w:sz w:val="20"/>
                <w:szCs w:val="20"/>
              </w:rPr>
              <w:t>2</w:t>
            </w:r>
            <w:r w:rsidRPr="00A22122">
              <w:rPr>
                <w:rFonts w:cs="Calibri"/>
                <w:color w:val="000000"/>
                <w:sz w:val="20"/>
                <w:szCs w:val="20"/>
              </w:rPr>
              <w:t>)</w:t>
            </w:r>
          </w:p>
        </w:tc>
        <w:tc>
          <w:tcPr>
            <w:tcW w:w="2603" w:type="dxa"/>
            <w:tcBorders>
              <w:top w:val="single" w:sz="4" w:space="0" w:color="auto"/>
            </w:tcBorders>
            <w:vAlign w:val="bottom"/>
          </w:tcPr>
          <w:p w14:paraId="78E0BAA5" w14:textId="1BC0E5C3" w:rsidR="00F0490D" w:rsidRPr="00A22122" w:rsidRDefault="00F0490D" w:rsidP="00F0490D">
            <w:pPr>
              <w:spacing w:after="0" w:line="240" w:lineRule="auto"/>
              <w:jc w:val="right"/>
              <w:rPr>
                <w:rFonts w:cs="Calibri"/>
                <w:color w:val="000000"/>
                <w:sz w:val="20"/>
                <w:szCs w:val="20"/>
              </w:rPr>
            </w:pPr>
            <w:r w:rsidRPr="00A22122">
              <w:rPr>
                <w:rFonts w:cs="Calibri"/>
                <w:color w:val="000000"/>
                <w:sz w:val="20"/>
                <w:szCs w:val="20"/>
              </w:rPr>
              <w:t>(</w:t>
            </w:r>
            <w:r>
              <w:rPr>
                <w:rFonts w:cs="Calibri"/>
                <w:color w:val="000000"/>
                <w:sz w:val="20"/>
                <w:szCs w:val="20"/>
              </w:rPr>
              <w:t>3</w:t>
            </w:r>
            <w:r w:rsidRPr="00A22122">
              <w:rPr>
                <w:rFonts w:cs="Calibri"/>
                <w:color w:val="000000"/>
                <w:sz w:val="20"/>
                <w:szCs w:val="20"/>
              </w:rPr>
              <w:t>)</w:t>
            </w:r>
          </w:p>
        </w:tc>
      </w:tr>
      <w:tr w:rsidR="00F0490D" w:rsidRPr="00F0490D" w14:paraId="5BCFE8E9" w14:textId="77777777">
        <w:trPr>
          <w:trHeight w:val="294"/>
        </w:trPr>
        <w:tc>
          <w:tcPr>
            <w:tcW w:w="2909" w:type="dxa"/>
            <w:tcBorders>
              <w:top w:val="single" w:sz="4" w:space="0" w:color="auto"/>
            </w:tcBorders>
            <w:noWrap/>
            <w:vAlign w:val="bottom"/>
            <w:hideMark/>
          </w:tcPr>
          <w:p w14:paraId="260ABD17" w14:textId="77777777" w:rsidR="00F0490D" w:rsidRPr="00A22122" w:rsidRDefault="00F0490D">
            <w:pPr>
              <w:spacing w:after="0" w:line="240" w:lineRule="auto"/>
              <w:rPr>
                <w:rFonts w:cs="Calibri"/>
                <w:sz w:val="20"/>
                <w:szCs w:val="20"/>
              </w:rPr>
            </w:pPr>
            <w:r w:rsidRPr="00A22122">
              <w:rPr>
                <w:rFonts w:cs="Calibri"/>
                <w:sz w:val="20"/>
                <w:szCs w:val="20"/>
              </w:rPr>
              <w:t>Sep-2012</w:t>
            </w:r>
          </w:p>
        </w:tc>
        <w:tc>
          <w:tcPr>
            <w:tcW w:w="2194" w:type="dxa"/>
            <w:tcBorders>
              <w:top w:val="single" w:sz="4" w:space="0" w:color="auto"/>
            </w:tcBorders>
            <w:noWrap/>
            <w:vAlign w:val="center"/>
            <w:hideMark/>
          </w:tcPr>
          <w:p w14:paraId="0504D2F5" w14:textId="77777777" w:rsidR="00F0490D" w:rsidRPr="00A22122" w:rsidRDefault="00F0490D" w:rsidP="00F0490D">
            <w:pPr>
              <w:spacing w:after="0" w:line="240" w:lineRule="auto"/>
              <w:jc w:val="right"/>
              <w:rPr>
                <w:rFonts w:cs="Calibri"/>
                <w:sz w:val="20"/>
                <w:szCs w:val="20"/>
              </w:rPr>
            </w:pPr>
            <w:r w:rsidRPr="00A22122">
              <w:rPr>
                <w:rFonts w:cs="Calibri"/>
                <w:sz w:val="20"/>
                <w:szCs w:val="20"/>
              </w:rPr>
              <w:t>3.3%</w:t>
            </w:r>
          </w:p>
        </w:tc>
        <w:tc>
          <w:tcPr>
            <w:tcW w:w="2127" w:type="dxa"/>
            <w:tcBorders>
              <w:top w:val="single" w:sz="4" w:space="0" w:color="auto"/>
            </w:tcBorders>
            <w:noWrap/>
            <w:vAlign w:val="center"/>
            <w:hideMark/>
          </w:tcPr>
          <w:p w14:paraId="251DABF1" w14:textId="77777777" w:rsidR="00F0490D" w:rsidRPr="00A22122" w:rsidRDefault="00F0490D" w:rsidP="00F0490D">
            <w:pPr>
              <w:spacing w:after="0" w:line="240" w:lineRule="auto"/>
              <w:jc w:val="right"/>
              <w:rPr>
                <w:rFonts w:cs="Calibri"/>
                <w:sz w:val="20"/>
                <w:szCs w:val="20"/>
              </w:rPr>
            </w:pPr>
            <w:r w:rsidRPr="00A22122">
              <w:rPr>
                <w:rFonts w:cs="Calibri"/>
                <w:sz w:val="20"/>
                <w:szCs w:val="20"/>
              </w:rPr>
              <w:t>2.9%</w:t>
            </w:r>
          </w:p>
        </w:tc>
        <w:tc>
          <w:tcPr>
            <w:tcW w:w="2603" w:type="dxa"/>
            <w:tcBorders>
              <w:top w:val="single" w:sz="4" w:space="0" w:color="auto"/>
            </w:tcBorders>
            <w:vAlign w:val="center"/>
          </w:tcPr>
          <w:p w14:paraId="7E59F318" w14:textId="77777777" w:rsidR="00F0490D" w:rsidRPr="00A22122" w:rsidRDefault="00F0490D" w:rsidP="00F0490D">
            <w:pPr>
              <w:spacing w:after="0" w:line="240" w:lineRule="auto"/>
              <w:jc w:val="right"/>
              <w:rPr>
                <w:rFonts w:cs="Calibri"/>
                <w:sz w:val="20"/>
                <w:szCs w:val="20"/>
              </w:rPr>
            </w:pPr>
            <w:r w:rsidRPr="00A22122">
              <w:rPr>
                <w:rFonts w:cs="Calibri"/>
                <w:sz w:val="20"/>
                <w:szCs w:val="20"/>
              </w:rPr>
              <w:t>2.9%</w:t>
            </w:r>
          </w:p>
        </w:tc>
      </w:tr>
      <w:tr w:rsidR="00F0490D" w:rsidRPr="00F0490D" w14:paraId="1A37C6A2" w14:textId="77777777">
        <w:trPr>
          <w:trHeight w:val="294"/>
        </w:trPr>
        <w:tc>
          <w:tcPr>
            <w:tcW w:w="2909" w:type="dxa"/>
            <w:noWrap/>
            <w:vAlign w:val="bottom"/>
            <w:hideMark/>
          </w:tcPr>
          <w:p w14:paraId="522722F6" w14:textId="77777777" w:rsidR="00F0490D" w:rsidRPr="00A22122" w:rsidRDefault="00F0490D">
            <w:pPr>
              <w:spacing w:after="0" w:line="240" w:lineRule="auto"/>
              <w:rPr>
                <w:rFonts w:cs="Calibri"/>
                <w:sz w:val="20"/>
                <w:szCs w:val="20"/>
              </w:rPr>
            </w:pPr>
            <w:r w:rsidRPr="00A22122">
              <w:rPr>
                <w:rFonts w:cs="Calibri"/>
                <w:sz w:val="20"/>
                <w:szCs w:val="20"/>
              </w:rPr>
              <w:t>Sep-2013</w:t>
            </w:r>
          </w:p>
        </w:tc>
        <w:tc>
          <w:tcPr>
            <w:tcW w:w="2194" w:type="dxa"/>
            <w:noWrap/>
            <w:vAlign w:val="center"/>
            <w:hideMark/>
          </w:tcPr>
          <w:p w14:paraId="42751BEC" w14:textId="77777777" w:rsidR="00F0490D" w:rsidRPr="00A22122" w:rsidRDefault="00F0490D" w:rsidP="00F0490D">
            <w:pPr>
              <w:spacing w:after="0" w:line="240" w:lineRule="auto"/>
              <w:jc w:val="right"/>
              <w:rPr>
                <w:rFonts w:cs="Calibri"/>
                <w:sz w:val="20"/>
                <w:szCs w:val="20"/>
              </w:rPr>
            </w:pPr>
            <w:r w:rsidRPr="00A22122">
              <w:rPr>
                <w:rFonts w:cs="Calibri"/>
                <w:sz w:val="20"/>
                <w:szCs w:val="20"/>
              </w:rPr>
              <w:t>2.4%</w:t>
            </w:r>
          </w:p>
        </w:tc>
        <w:tc>
          <w:tcPr>
            <w:tcW w:w="2127" w:type="dxa"/>
            <w:noWrap/>
            <w:vAlign w:val="center"/>
            <w:hideMark/>
          </w:tcPr>
          <w:p w14:paraId="21BCFD6F" w14:textId="77777777" w:rsidR="00F0490D" w:rsidRPr="00A22122" w:rsidRDefault="00F0490D" w:rsidP="00F0490D">
            <w:pPr>
              <w:spacing w:after="0" w:line="240" w:lineRule="auto"/>
              <w:jc w:val="right"/>
              <w:rPr>
                <w:rFonts w:cs="Calibri"/>
                <w:sz w:val="20"/>
                <w:szCs w:val="20"/>
              </w:rPr>
            </w:pPr>
            <w:r w:rsidRPr="00A22122">
              <w:rPr>
                <w:rFonts w:cs="Calibri"/>
                <w:sz w:val="20"/>
                <w:szCs w:val="20"/>
              </w:rPr>
              <w:t>1.2%</w:t>
            </w:r>
          </w:p>
        </w:tc>
        <w:tc>
          <w:tcPr>
            <w:tcW w:w="2603" w:type="dxa"/>
            <w:vAlign w:val="center"/>
          </w:tcPr>
          <w:p w14:paraId="6A5356DA" w14:textId="77777777" w:rsidR="00F0490D" w:rsidRPr="00A22122" w:rsidRDefault="00F0490D" w:rsidP="00F0490D">
            <w:pPr>
              <w:spacing w:after="0" w:line="240" w:lineRule="auto"/>
              <w:jc w:val="right"/>
              <w:rPr>
                <w:rFonts w:cs="Calibri"/>
                <w:sz w:val="20"/>
                <w:szCs w:val="20"/>
              </w:rPr>
            </w:pPr>
            <w:r w:rsidRPr="00A22122">
              <w:rPr>
                <w:rFonts w:cs="Calibri"/>
                <w:sz w:val="20"/>
                <w:szCs w:val="20"/>
              </w:rPr>
              <w:t>1.5%</w:t>
            </w:r>
          </w:p>
        </w:tc>
      </w:tr>
      <w:tr w:rsidR="00F0490D" w:rsidRPr="00F0490D" w14:paraId="0280ABDA" w14:textId="77777777">
        <w:trPr>
          <w:trHeight w:val="294"/>
        </w:trPr>
        <w:tc>
          <w:tcPr>
            <w:tcW w:w="2909" w:type="dxa"/>
            <w:noWrap/>
            <w:vAlign w:val="bottom"/>
            <w:hideMark/>
          </w:tcPr>
          <w:p w14:paraId="68CBFBBB" w14:textId="77777777" w:rsidR="00F0490D" w:rsidRPr="00A22122" w:rsidRDefault="00F0490D">
            <w:pPr>
              <w:spacing w:after="0" w:line="240" w:lineRule="auto"/>
              <w:rPr>
                <w:rFonts w:cs="Calibri"/>
                <w:sz w:val="20"/>
                <w:szCs w:val="20"/>
              </w:rPr>
            </w:pPr>
            <w:r w:rsidRPr="00A22122">
              <w:rPr>
                <w:rFonts w:cs="Calibri"/>
                <w:sz w:val="20"/>
                <w:szCs w:val="20"/>
              </w:rPr>
              <w:t>Sep-2014</w:t>
            </w:r>
          </w:p>
        </w:tc>
        <w:tc>
          <w:tcPr>
            <w:tcW w:w="2194" w:type="dxa"/>
            <w:noWrap/>
            <w:vAlign w:val="center"/>
            <w:hideMark/>
          </w:tcPr>
          <w:p w14:paraId="74852EB0" w14:textId="77777777" w:rsidR="00F0490D" w:rsidRPr="00A22122" w:rsidRDefault="00F0490D" w:rsidP="00F0490D">
            <w:pPr>
              <w:spacing w:after="0" w:line="240" w:lineRule="auto"/>
              <w:jc w:val="right"/>
              <w:rPr>
                <w:rFonts w:cs="Calibri"/>
                <w:sz w:val="20"/>
                <w:szCs w:val="20"/>
              </w:rPr>
            </w:pPr>
            <w:r w:rsidRPr="00A22122">
              <w:rPr>
                <w:rFonts w:cs="Calibri"/>
                <w:sz w:val="20"/>
                <w:szCs w:val="20"/>
              </w:rPr>
              <w:t>3.0%</w:t>
            </w:r>
          </w:p>
        </w:tc>
        <w:tc>
          <w:tcPr>
            <w:tcW w:w="2127" w:type="dxa"/>
            <w:noWrap/>
            <w:vAlign w:val="center"/>
            <w:hideMark/>
          </w:tcPr>
          <w:p w14:paraId="345D1C82" w14:textId="77777777" w:rsidR="00F0490D" w:rsidRPr="00A22122" w:rsidRDefault="00F0490D" w:rsidP="00F0490D">
            <w:pPr>
              <w:spacing w:after="0" w:line="240" w:lineRule="auto"/>
              <w:jc w:val="right"/>
              <w:rPr>
                <w:rFonts w:cs="Calibri"/>
                <w:sz w:val="20"/>
                <w:szCs w:val="20"/>
              </w:rPr>
            </w:pPr>
            <w:r w:rsidRPr="00A22122">
              <w:rPr>
                <w:rFonts w:cs="Calibri"/>
                <w:sz w:val="20"/>
                <w:szCs w:val="20"/>
              </w:rPr>
              <w:t>1.3%</w:t>
            </w:r>
          </w:p>
        </w:tc>
        <w:tc>
          <w:tcPr>
            <w:tcW w:w="2603" w:type="dxa"/>
            <w:vAlign w:val="center"/>
          </w:tcPr>
          <w:p w14:paraId="731B89C1" w14:textId="77777777" w:rsidR="00F0490D" w:rsidRPr="00A22122" w:rsidRDefault="00F0490D" w:rsidP="00F0490D">
            <w:pPr>
              <w:spacing w:after="0" w:line="240" w:lineRule="auto"/>
              <w:jc w:val="right"/>
              <w:rPr>
                <w:rFonts w:cs="Calibri"/>
                <w:sz w:val="20"/>
                <w:szCs w:val="20"/>
              </w:rPr>
            </w:pPr>
            <w:r w:rsidRPr="00A22122">
              <w:rPr>
                <w:rFonts w:cs="Calibri"/>
                <w:sz w:val="20"/>
                <w:szCs w:val="20"/>
              </w:rPr>
              <w:t>2.4%</w:t>
            </w:r>
          </w:p>
        </w:tc>
      </w:tr>
      <w:tr w:rsidR="00F0490D" w:rsidRPr="00F0490D" w14:paraId="6D4F2FFE" w14:textId="77777777">
        <w:trPr>
          <w:trHeight w:val="294"/>
        </w:trPr>
        <w:tc>
          <w:tcPr>
            <w:tcW w:w="2909" w:type="dxa"/>
            <w:noWrap/>
            <w:vAlign w:val="bottom"/>
            <w:hideMark/>
          </w:tcPr>
          <w:p w14:paraId="1D4D6BB1" w14:textId="77777777" w:rsidR="00F0490D" w:rsidRPr="00A22122" w:rsidRDefault="00F0490D">
            <w:pPr>
              <w:spacing w:after="0" w:line="240" w:lineRule="auto"/>
              <w:rPr>
                <w:rFonts w:cs="Calibri"/>
                <w:sz w:val="20"/>
                <w:szCs w:val="20"/>
              </w:rPr>
            </w:pPr>
            <w:r w:rsidRPr="00A22122">
              <w:rPr>
                <w:rFonts w:cs="Calibri"/>
                <w:sz w:val="20"/>
                <w:szCs w:val="20"/>
              </w:rPr>
              <w:t>Sep-2015</w:t>
            </w:r>
          </w:p>
        </w:tc>
        <w:tc>
          <w:tcPr>
            <w:tcW w:w="2194" w:type="dxa"/>
            <w:noWrap/>
            <w:vAlign w:val="center"/>
            <w:hideMark/>
          </w:tcPr>
          <w:p w14:paraId="3E292032" w14:textId="77777777" w:rsidR="00F0490D" w:rsidRPr="00A22122" w:rsidRDefault="00F0490D" w:rsidP="00F0490D">
            <w:pPr>
              <w:spacing w:after="0" w:line="240" w:lineRule="auto"/>
              <w:jc w:val="right"/>
              <w:rPr>
                <w:rFonts w:cs="Calibri"/>
                <w:sz w:val="20"/>
                <w:szCs w:val="20"/>
              </w:rPr>
            </w:pPr>
            <w:r w:rsidRPr="00A22122">
              <w:rPr>
                <w:rFonts w:cs="Calibri"/>
                <w:sz w:val="20"/>
                <w:szCs w:val="20"/>
              </w:rPr>
              <w:t>1.6%</w:t>
            </w:r>
          </w:p>
        </w:tc>
        <w:tc>
          <w:tcPr>
            <w:tcW w:w="2127" w:type="dxa"/>
            <w:noWrap/>
            <w:vAlign w:val="center"/>
            <w:hideMark/>
          </w:tcPr>
          <w:p w14:paraId="4AC5062A" w14:textId="77777777" w:rsidR="00F0490D" w:rsidRPr="00A22122" w:rsidRDefault="00F0490D" w:rsidP="00F0490D">
            <w:pPr>
              <w:spacing w:after="0" w:line="240" w:lineRule="auto"/>
              <w:jc w:val="right"/>
              <w:rPr>
                <w:rFonts w:cs="Calibri"/>
                <w:sz w:val="20"/>
                <w:szCs w:val="20"/>
              </w:rPr>
            </w:pPr>
            <w:r w:rsidRPr="00A22122">
              <w:rPr>
                <w:rFonts w:cs="Calibri"/>
                <w:sz w:val="20"/>
                <w:szCs w:val="20"/>
              </w:rPr>
              <w:t>0.0%</w:t>
            </w:r>
          </w:p>
        </w:tc>
        <w:tc>
          <w:tcPr>
            <w:tcW w:w="2603" w:type="dxa"/>
            <w:vAlign w:val="center"/>
          </w:tcPr>
          <w:p w14:paraId="038A5799" w14:textId="77777777" w:rsidR="00F0490D" w:rsidRPr="00A22122" w:rsidRDefault="00F0490D" w:rsidP="00F0490D">
            <w:pPr>
              <w:spacing w:after="0" w:line="240" w:lineRule="auto"/>
              <w:jc w:val="right"/>
              <w:rPr>
                <w:rFonts w:cs="Calibri"/>
                <w:sz w:val="20"/>
                <w:szCs w:val="20"/>
              </w:rPr>
            </w:pPr>
            <w:r w:rsidRPr="00A22122">
              <w:rPr>
                <w:rFonts w:cs="Calibri"/>
                <w:sz w:val="20"/>
                <w:szCs w:val="20"/>
              </w:rPr>
              <w:t>0.9%</w:t>
            </w:r>
          </w:p>
        </w:tc>
      </w:tr>
      <w:tr w:rsidR="00F0490D" w:rsidRPr="00F0490D" w14:paraId="5BFFCF28" w14:textId="77777777">
        <w:trPr>
          <w:trHeight w:val="294"/>
        </w:trPr>
        <w:tc>
          <w:tcPr>
            <w:tcW w:w="2909" w:type="dxa"/>
            <w:noWrap/>
            <w:vAlign w:val="bottom"/>
            <w:hideMark/>
          </w:tcPr>
          <w:p w14:paraId="11F111F2" w14:textId="77777777" w:rsidR="00F0490D" w:rsidRPr="00A22122" w:rsidRDefault="00F0490D">
            <w:pPr>
              <w:spacing w:after="0" w:line="240" w:lineRule="auto"/>
              <w:rPr>
                <w:rFonts w:cs="Calibri"/>
                <w:sz w:val="20"/>
                <w:szCs w:val="20"/>
              </w:rPr>
            </w:pPr>
            <w:r w:rsidRPr="00A22122">
              <w:rPr>
                <w:rFonts w:cs="Calibri"/>
                <w:sz w:val="20"/>
                <w:szCs w:val="20"/>
              </w:rPr>
              <w:t>Sep-2016</w:t>
            </w:r>
          </w:p>
        </w:tc>
        <w:tc>
          <w:tcPr>
            <w:tcW w:w="2194" w:type="dxa"/>
            <w:noWrap/>
            <w:vAlign w:val="center"/>
            <w:hideMark/>
          </w:tcPr>
          <w:p w14:paraId="684A2F54" w14:textId="77777777" w:rsidR="00F0490D" w:rsidRPr="00A22122" w:rsidRDefault="00F0490D" w:rsidP="00F0490D">
            <w:pPr>
              <w:spacing w:after="0" w:line="240" w:lineRule="auto"/>
              <w:jc w:val="right"/>
              <w:rPr>
                <w:rFonts w:cs="Calibri"/>
                <w:sz w:val="20"/>
                <w:szCs w:val="20"/>
              </w:rPr>
            </w:pPr>
            <w:r w:rsidRPr="00A22122">
              <w:rPr>
                <w:rFonts w:cs="Calibri"/>
                <w:sz w:val="20"/>
                <w:szCs w:val="20"/>
              </w:rPr>
              <w:t>1.1%</w:t>
            </w:r>
          </w:p>
        </w:tc>
        <w:tc>
          <w:tcPr>
            <w:tcW w:w="2127" w:type="dxa"/>
            <w:noWrap/>
            <w:vAlign w:val="center"/>
            <w:hideMark/>
          </w:tcPr>
          <w:p w14:paraId="01068F1F" w14:textId="77777777" w:rsidR="00F0490D" w:rsidRPr="00A22122" w:rsidRDefault="00F0490D" w:rsidP="00F0490D">
            <w:pPr>
              <w:spacing w:after="0" w:line="240" w:lineRule="auto"/>
              <w:jc w:val="right"/>
              <w:rPr>
                <w:rFonts w:cs="Calibri"/>
                <w:sz w:val="20"/>
                <w:szCs w:val="20"/>
              </w:rPr>
            </w:pPr>
            <w:r w:rsidRPr="00A22122">
              <w:rPr>
                <w:rFonts w:cs="Calibri"/>
                <w:sz w:val="20"/>
                <w:szCs w:val="20"/>
              </w:rPr>
              <w:t>0.8%</w:t>
            </w:r>
          </w:p>
        </w:tc>
        <w:tc>
          <w:tcPr>
            <w:tcW w:w="2603" w:type="dxa"/>
            <w:vAlign w:val="center"/>
          </w:tcPr>
          <w:p w14:paraId="73AD576C" w14:textId="77777777" w:rsidR="00F0490D" w:rsidRPr="00A22122" w:rsidRDefault="00F0490D" w:rsidP="00F0490D">
            <w:pPr>
              <w:spacing w:after="0" w:line="240" w:lineRule="auto"/>
              <w:jc w:val="right"/>
              <w:rPr>
                <w:rFonts w:cs="Calibri"/>
                <w:sz w:val="20"/>
                <w:szCs w:val="20"/>
              </w:rPr>
            </w:pPr>
            <w:r w:rsidRPr="00A22122">
              <w:rPr>
                <w:rFonts w:cs="Calibri"/>
                <w:sz w:val="20"/>
                <w:szCs w:val="20"/>
              </w:rPr>
              <w:t>1.0%</w:t>
            </w:r>
          </w:p>
        </w:tc>
      </w:tr>
      <w:tr w:rsidR="00F0490D" w:rsidRPr="00F0490D" w14:paraId="146D7868" w14:textId="77777777">
        <w:trPr>
          <w:trHeight w:val="294"/>
        </w:trPr>
        <w:tc>
          <w:tcPr>
            <w:tcW w:w="2909" w:type="dxa"/>
            <w:noWrap/>
            <w:vAlign w:val="bottom"/>
            <w:hideMark/>
          </w:tcPr>
          <w:p w14:paraId="7FBB1FBF" w14:textId="77777777" w:rsidR="00F0490D" w:rsidRPr="00A22122" w:rsidRDefault="00F0490D">
            <w:pPr>
              <w:spacing w:after="0" w:line="240" w:lineRule="auto"/>
              <w:rPr>
                <w:rFonts w:cs="Calibri"/>
                <w:sz w:val="20"/>
                <w:szCs w:val="20"/>
              </w:rPr>
            </w:pPr>
            <w:r w:rsidRPr="00A22122">
              <w:rPr>
                <w:rFonts w:cs="Calibri"/>
                <w:sz w:val="20"/>
                <w:szCs w:val="20"/>
              </w:rPr>
              <w:t>Sep-2017</w:t>
            </w:r>
          </w:p>
        </w:tc>
        <w:tc>
          <w:tcPr>
            <w:tcW w:w="2194" w:type="dxa"/>
            <w:noWrap/>
            <w:vAlign w:val="center"/>
            <w:hideMark/>
          </w:tcPr>
          <w:p w14:paraId="48BDEA02" w14:textId="77777777" w:rsidR="00F0490D" w:rsidRPr="00A22122" w:rsidRDefault="00F0490D" w:rsidP="00F0490D">
            <w:pPr>
              <w:spacing w:after="0" w:line="240" w:lineRule="auto"/>
              <w:jc w:val="right"/>
              <w:rPr>
                <w:rFonts w:cs="Calibri"/>
                <w:sz w:val="20"/>
                <w:szCs w:val="20"/>
              </w:rPr>
            </w:pPr>
            <w:r w:rsidRPr="00A22122">
              <w:rPr>
                <w:rFonts w:cs="Calibri"/>
                <w:sz w:val="20"/>
                <w:szCs w:val="20"/>
              </w:rPr>
              <w:t>1.0%</w:t>
            </w:r>
          </w:p>
        </w:tc>
        <w:tc>
          <w:tcPr>
            <w:tcW w:w="2127" w:type="dxa"/>
            <w:noWrap/>
            <w:vAlign w:val="center"/>
            <w:hideMark/>
          </w:tcPr>
          <w:p w14:paraId="38C71FE0" w14:textId="77777777" w:rsidR="00F0490D" w:rsidRPr="00A22122" w:rsidRDefault="00F0490D" w:rsidP="00F0490D">
            <w:pPr>
              <w:spacing w:after="0" w:line="240" w:lineRule="auto"/>
              <w:jc w:val="right"/>
              <w:rPr>
                <w:rFonts w:cs="Calibri"/>
                <w:sz w:val="20"/>
                <w:szCs w:val="20"/>
              </w:rPr>
            </w:pPr>
            <w:r w:rsidRPr="00A22122">
              <w:rPr>
                <w:rFonts w:cs="Calibri"/>
                <w:sz w:val="20"/>
                <w:szCs w:val="20"/>
              </w:rPr>
              <w:t>0.6%</w:t>
            </w:r>
          </w:p>
        </w:tc>
        <w:tc>
          <w:tcPr>
            <w:tcW w:w="2603" w:type="dxa"/>
            <w:vAlign w:val="center"/>
          </w:tcPr>
          <w:p w14:paraId="4A1EA359" w14:textId="77777777" w:rsidR="00F0490D" w:rsidRPr="00A22122" w:rsidRDefault="00F0490D" w:rsidP="00F0490D">
            <w:pPr>
              <w:spacing w:after="0" w:line="240" w:lineRule="auto"/>
              <w:jc w:val="right"/>
              <w:rPr>
                <w:rFonts w:cs="Calibri"/>
                <w:sz w:val="20"/>
                <w:szCs w:val="20"/>
              </w:rPr>
            </w:pPr>
            <w:r w:rsidRPr="00A22122">
              <w:rPr>
                <w:rFonts w:cs="Calibri"/>
                <w:sz w:val="20"/>
                <w:szCs w:val="20"/>
              </w:rPr>
              <w:t>0.5%</w:t>
            </w:r>
          </w:p>
        </w:tc>
      </w:tr>
      <w:tr w:rsidR="00F0490D" w:rsidRPr="00F0490D" w14:paraId="7630E538" w14:textId="77777777">
        <w:trPr>
          <w:trHeight w:val="294"/>
        </w:trPr>
        <w:tc>
          <w:tcPr>
            <w:tcW w:w="2909" w:type="dxa"/>
            <w:noWrap/>
            <w:vAlign w:val="bottom"/>
            <w:hideMark/>
          </w:tcPr>
          <w:p w14:paraId="46B0F6E9" w14:textId="77777777" w:rsidR="00F0490D" w:rsidRPr="00A22122" w:rsidRDefault="00F0490D">
            <w:pPr>
              <w:spacing w:after="0" w:line="240" w:lineRule="auto"/>
              <w:rPr>
                <w:rFonts w:cs="Calibri"/>
                <w:sz w:val="20"/>
                <w:szCs w:val="20"/>
              </w:rPr>
            </w:pPr>
            <w:r w:rsidRPr="00A22122">
              <w:rPr>
                <w:rFonts w:cs="Calibri"/>
                <w:sz w:val="20"/>
                <w:szCs w:val="20"/>
              </w:rPr>
              <w:t>Sep-2018</w:t>
            </w:r>
          </w:p>
        </w:tc>
        <w:tc>
          <w:tcPr>
            <w:tcW w:w="2194" w:type="dxa"/>
            <w:noWrap/>
            <w:vAlign w:val="center"/>
            <w:hideMark/>
          </w:tcPr>
          <w:p w14:paraId="0DFD2D47" w14:textId="77777777" w:rsidR="00F0490D" w:rsidRPr="00A22122" w:rsidRDefault="00F0490D" w:rsidP="00F0490D">
            <w:pPr>
              <w:spacing w:after="0" w:line="240" w:lineRule="auto"/>
              <w:jc w:val="right"/>
              <w:rPr>
                <w:rFonts w:cs="Calibri"/>
                <w:sz w:val="20"/>
                <w:szCs w:val="20"/>
              </w:rPr>
            </w:pPr>
            <w:r w:rsidRPr="00A22122">
              <w:rPr>
                <w:rFonts w:cs="Calibri"/>
                <w:sz w:val="20"/>
                <w:szCs w:val="20"/>
              </w:rPr>
              <w:t>0.5%</w:t>
            </w:r>
          </w:p>
        </w:tc>
        <w:tc>
          <w:tcPr>
            <w:tcW w:w="2127" w:type="dxa"/>
            <w:noWrap/>
            <w:vAlign w:val="center"/>
            <w:hideMark/>
          </w:tcPr>
          <w:p w14:paraId="44BEAE19" w14:textId="77777777" w:rsidR="00F0490D" w:rsidRPr="00A22122" w:rsidRDefault="00F0490D" w:rsidP="00F0490D">
            <w:pPr>
              <w:spacing w:after="0" w:line="240" w:lineRule="auto"/>
              <w:jc w:val="right"/>
              <w:rPr>
                <w:rFonts w:cs="Calibri"/>
                <w:sz w:val="20"/>
                <w:szCs w:val="20"/>
              </w:rPr>
            </w:pPr>
            <w:r w:rsidRPr="00A22122">
              <w:rPr>
                <w:rFonts w:cs="Calibri"/>
                <w:sz w:val="20"/>
                <w:szCs w:val="20"/>
              </w:rPr>
              <w:t>-0.2%</w:t>
            </w:r>
          </w:p>
        </w:tc>
        <w:tc>
          <w:tcPr>
            <w:tcW w:w="2603" w:type="dxa"/>
            <w:vAlign w:val="center"/>
          </w:tcPr>
          <w:p w14:paraId="6229BC7D" w14:textId="77777777" w:rsidR="00F0490D" w:rsidRPr="00A22122" w:rsidRDefault="00F0490D" w:rsidP="00F0490D">
            <w:pPr>
              <w:spacing w:after="0" w:line="240" w:lineRule="auto"/>
              <w:jc w:val="right"/>
              <w:rPr>
                <w:rFonts w:cs="Calibri"/>
                <w:sz w:val="20"/>
                <w:szCs w:val="20"/>
              </w:rPr>
            </w:pPr>
            <w:r w:rsidRPr="00A22122">
              <w:rPr>
                <w:rFonts w:cs="Calibri"/>
                <w:sz w:val="20"/>
                <w:szCs w:val="20"/>
              </w:rPr>
              <w:t>0.4%</w:t>
            </w:r>
          </w:p>
        </w:tc>
      </w:tr>
      <w:tr w:rsidR="00F0490D" w:rsidRPr="00F0490D" w14:paraId="07FFA781" w14:textId="77777777">
        <w:trPr>
          <w:trHeight w:val="294"/>
        </w:trPr>
        <w:tc>
          <w:tcPr>
            <w:tcW w:w="2909" w:type="dxa"/>
            <w:noWrap/>
            <w:vAlign w:val="bottom"/>
            <w:hideMark/>
          </w:tcPr>
          <w:p w14:paraId="4CD67F11" w14:textId="77777777" w:rsidR="00F0490D" w:rsidRPr="00A22122" w:rsidRDefault="00F0490D">
            <w:pPr>
              <w:spacing w:after="0" w:line="240" w:lineRule="auto"/>
              <w:rPr>
                <w:rFonts w:cs="Calibri"/>
                <w:sz w:val="20"/>
                <w:szCs w:val="20"/>
              </w:rPr>
            </w:pPr>
            <w:r w:rsidRPr="00A22122">
              <w:rPr>
                <w:rFonts w:cs="Calibri"/>
                <w:sz w:val="20"/>
                <w:szCs w:val="20"/>
              </w:rPr>
              <w:t>Sep-2019</w:t>
            </w:r>
          </w:p>
        </w:tc>
        <w:tc>
          <w:tcPr>
            <w:tcW w:w="2194" w:type="dxa"/>
            <w:noWrap/>
            <w:vAlign w:val="center"/>
            <w:hideMark/>
          </w:tcPr>
          <w:p w14:paraId="5BD59467" w14:textId="77777777" w:rsidR="00F0490D" w:rsidRPr="00A22122" w:rsidRDefault="00F0490D" w:rsidP="00F0490D">
            <w:pPr>
              <w:spacing w:after="0" w:line="240" w:lineRule="auto"/>
              <w:jc w:val="right"/>
              <w:rPr>
                <w:rFonts w:cs="Calibri"/>
                <w:sz w:val="20"/>
                <w:szCs w:val="20"/>
              </w:rPr>
            </w:pPr>
            <w:r w:rsidRPr="00A22122">
              <w:rPr>
                <w:rFonts w:cs="Calibri"/>
                <w:sz w:val="20"/>
                <w:szCs w:val="20"/>
              </w:rPr>
              <w:t>0.1%</w:t>
            </w:r>
          </w:p>
        </w:tc>
        <w:tc>
          <w:tcPr>
            <w:tcW w:w="2127" w:type="dxa"/>
            <w:noWrap/>
            <w:vAlign w:val="center"/>
            <w:hideMark/>
          </w:tcPr>
          <w:p w14:paraId="2BAB1C78" w14:textId="77777777" w:rsidR="00F0490D" w:rsidRPr="00A22122" w:rsidRDefault="00F0490D" w:rsidP="00F0490D">
            <w:pPr>
              <w:spacing w:after="0" w:line="240" w:lineRule="auto"/>
              <w:jc w:val="right"/>
              <w:rPr>
                <w:rFonts w:cs="Calibri"/>
                <w:sz w:val="20"/>
                <w:szCs w:val="20"/>
              </w:rPr>
            </w:pPr>
            <w:r w:rsidRPr="00A22122">
              <w:rPr>
                <w:rFonts w:cs="Calibri"/>
                <w:sz w:val="20"/>
                <w:szCs w:val="20"/>
              </w:rPr>
              <w:t>-0.4%</w:t>
            </w:r>
          </w:p>
        </w:tc>
        <w:tc>
          <w:tcPr>
            <w:tcW w:w="2603" w:type="dxa"/>
            <w:vAlign w:val="center"/>
          </w:tcPr>
          <w:p w14:paraId="5E6FF465" w14:textId="77777777" w:rsidR="00F0490D" w:rsidRPr="00A22122" w:rsidRDefault="00F0490D" w:rsidP="00F0490D">
            <w:pPr>
              <w:spacing w:after="0" w:line="240" w:lineRule="auto"/>
              <w:jc w:val="right"/>
              <w:rPr>
                <w:rFonts w:cs="Calibri"/>
                <w:sz w:val="20"/>
                <w:szCs w:val="20"/>
              </w:rPr>
            </w:pPr>
            <w:r w:rsidRPr="00A22122">
              <w:rPr>
                <w:rFonts w:cs="Calibri"/>
                <w:sz w:val="20"/>
                <w:szCs w:val="20"/>
              </w:rPr>
              <w:t>0.0%</w:t>
            </w:r>
          </w:p>
        </w:tc>
      </w:tr>
      <w:tr w:rsidR="00F0490D" w:rsidRPr="00F0490D" w14:paraId="4D0A94FE" w14:textId="77777777">
        <w:trPr>
          <w:trHeight w:val="294"/>
        </w:trPr>
        <w:tc>
          <w:tcPr>
            <w:tcW w:w="2909" w:type="dxa"/>
            <w:noWrap/>
            <w:vAlign w:val="bottom"/>
            <w:hideMark/>
          </w:tcPr>
          <w:p w14:paraId="75C9A70C" w14:textId="77777777" w:rsidR="00F0490D" w:rsidRPr="00A22122" w:rsidRDefault="00F0490D">
            <w:pPr>
              <w:spacing w:after="0" w:line="240" w:lineRule="auto"/>
              <w:rPr>
                <w:rFonts w:cs="Calibri"/>
                <w:sz w:val="20"/>
                <w:szCs w:val="20"/>
              </w:rPr>
            </w:pPr>
            <w:r w:rsidRPr="00A22122">
              <w:rPr>
                <w:rFonts w:cs="Calibri"/>
                <w:sz w:val="20"/>
                <w:szCs w:val="20"/>
              </w:rPr>
              <w:t>Sep-2020</w:t>
            </w:r>
          </w:p>
        </w:tc>
        <w:tc>
          <w:tcPr>
            <w:tcW w:w="2194" w:type="dxa"/>
            <w:noWrap/>
            <w:vAlign w:val="center"/>
            <w:hideMark/>
          </w:tcPr>
          <w:p w14:paraId="541A777C" w14:textId="77777777" w:rsidR="00F0490D" w:rsidRPr="00A22122" w:rsidRDefault="00F0490D" w:rsidP="00F0490D">
            <w:pPr>
              <w:spacing w:after="0" w:line="240" w:lineRule="auto"/>
              <w:jc w:val="right"/>
              <w:rPr>
                <w:rFonts w:cs="Calibri"/>
                <w:sz w:val="20"/>
                <w:szCs w:val="20"/>
              </w:rPr>
            </w:pPr>
            <w:r w:rsidRPr="00A22122">
              <w:rPr>
                <w:rFonts w:cs="Calibri"/>
                <w:sz w:val="20"/>
                <w:szCs w:val="20"/>
              </w:rPr>
              <w:t>2.1%</w:t>
            </w:r>
          </w:p>
        </w:tc>
        <w:tc>
          <w:tcPr>
            <w:tcW w:w="2127" w:type="dxa"/>
            <w:noWrap/>
            <w:vAlign w:val="center"/>
            <w:hideMark/>
          </w:tcPr>
          <w:p w14:paraId="1666C144" w14:textId="77777777" w:rsidR="00F0490D" w:rsidRPr="00A22122" w:rsidRDefault="00F0490D" w:rsidP="00F0490D">
            <w:pPr>
              <w:spacing w:after="0" w:line="240" w:lineRule="auto"/>
              <w:jc w:val="right"/>
              <w:rPr>
                <w:rFonts w:cs="Calibri"/>
                <w:sz w:val="20"/>
                <w:szCs w:val="20"/>
              </w:rPr>
            </w:pPr>
            <w:r w:rsidRPr="00A22122">
              <w:rPr>
                <w:rFonts w:cs="Calibri"/>
                <w:sz w:val="20"/>
                <w:szCs w:val="20"/>
              </w:rPr>
              <w:t>1.1%</w:t>
            </w:r>
          </w:p>
        </w:tc>
        <w:tc>
          <w:tcPr>
            <w:tcW w:w="2603" w:type="dxa"/>
            <w:vAlign w:val="center"/>
          </w:tcPr>
          <w:p w14:paraId="7F1112C9" w14:textId="77777777" w:rsidR="00F0490D" w:rsidRPr="00A22122" w:rsidRDefault="00F0490D" w:rsidP="00F0490D">
            <w:pPr>
              <w:spacing w:after="0" w:line="240" w:lineRule="auto"/>
              <w:jc w:val="right"/>
              <w:rPr>
                <w:rFonts w:cs="Calibri"/>
                <w:sz w:val="20"/>
                <w:szCs w:val="20"/>
              </w:rPr>
            </w:pPr>
            <w:r w:rsidRPr="00A22122">
              <w:rPr>
                <w:rFonts w:cs="Calibri"/>
                <w:sz w:val="20"/>
                <w:szCs w:val="20"/>
              </w:rPr>
              <w:t>2.1%</w:t>
            </w:r>
          </w:p>
        </w:tc>
      </w:tr>
      <w:tr w:rsidR="00F0490D" w:rsidRPr="00F0490D" w14:paraId="2D04C168" w14:textId="77777777">
        <w:trPr>
          <w:trHeight w:val="294"/>
        </w:trPr>
        <w:tc>
          <w:tcPr>
            <w:tcW w:w="2909" w:type="dxa"/>
            <w:noWrap/>
            <w:vAlign w:val="bottom"/>
            <w:hideMark/>
          </w:tcPr>
          <w:p w14:paraId="2A02A460" w14:textId="77777777" w:rsidR="00F0490D" w:rsidRPr="00A22122" w:rsidRDefault="00F0490D">
            <w:pPr>
              <w:spacing w:after="0" w:line="240" w:lineRule="auto"/>
              <w:rPr>
                <w:rFonts w:cs="Calibri"/>
                <w:sz w:val="20"/>
                <w:szCs w:val="20"/>
              </w:rPr>
            </w:pPr>
            <w:r w:rsidRPr="00A22122">
              <w:rPr>
                <w:rFonts w:cs="Calibri"/>
                <w:sz w:val="20"/>
                <w:szCs w:val="20"/>
              </w:rPr>
              <w:t>Sep-2021</w:t>
            </w:r>
          </w:p>
        </w:tc>
        <w:tc>
          <w:tcPr>
            <w:tcW w:w="2194" w:type="dxa"/>
            <w:noWrap/>
            <w:vAlign w:val="center"/>
            <w:hideMark/>
          </w:tcPr>
          <w:p w14:paraId="4268B105" w14:textId="77777777" w:rsidR="00F0490D" w:rsidRPr="00A22122" w:rsidRDefault="00F0490D" w:rsidP="00F0490D">
            <w:pPr>
              <w:spacing w:after="0" w:line="240" w:lineRule="auto"/>
              <w:jc w:val="right"/>
              <w:rPr>
                <w:rFonts w:cs="Calibri"/>
                <w:sz w:val="20"/>
                <w:szCs w:val="20"/>
              </w:rPr>
            </w:pPr>
            <w:r w:rsidRPr="00A22122">
              <w:rPr>
                <w:rFonts w:cs="Calibri"/>
                <w:sz w:val="20"/>
                <w:szCs w:val="20"/>
              </w:rPr>
              <w:t>2.0%</w:t>
            </w:r>
          </w:p>
        </w:tc>
        <w:tc>
          <w:tcPr>
            <w:tcW w:w="2127" w:type="dxa"/>
            <w:noWrap/>
            <w:vAlign w:val="center"/>
            <w:hideMark/>
          </w:tcPr>
          <w:p w14:paraId="455BE4DB" w14:textId="77777777" w:rsidR="00F0490D" w:rsidRPr="00A22122" w:rsidRDefault="00F0490D" w:rsidP="00F0490D">
            <w:pPr>
              <w:spacing w:after="0" w:line="240" w:lineRule="auto"/>
              <w:jc w:val="right"/>
              <w:rPr>
                <w:rFonts w:cs="Calibri"/>
                <w:sz w:val="20"/>
                <w:szCs w:val="20"/>
              </w:rPr>
            </w:pPr>
            <w:r w:rsidRPr="00A22122">
              <w:rPr>
                <w:rFonts w:cs="Calibri"/>
                <w:sz w:val="20"/>
                <w:szCs w:val="20"/>
              </w:rPr>
              <w:t>2.8%</w:t>
            </w:r>
          </w:p>
        </w:tc>
        <w:tc>
          <w:tcPr>
            <w:tcW w:w="2603" w:type="dxa"/>
            <w:vAlign w:val="center"/>
          </w:tcPr>
          <w:p w14:paraId="71678FCE" w14:textId="77777777" w:rsidR="00F0490D" w:rsidRPr="00A22122" w:rsidRDefault="00F0490D" w:rsidP="00F0490D">
            <w:pPr>
              <w:spacing w:after="0" w:line="240" w:lineRule="auto"/>
              <w:jc w:val="right"/>
              <w:rPr>
                <w:rFonts w:cs="Calibri"/>
                <w:sz w:val="20"/>
                <w:szCs w:val="20"/>
              </w:rPr>
            </w:pPr>
            <w:r w:rsidRPr="00A22122">
              <w:rPr>
                <w:rFonts w:cs="Calibri"/>
                <w:sz w:val="20"/>
                <w:szCs w:val="20"/>
              </w:rPr>
              <w:t>1.7%</w:t>
            </w:r>
          </w:p>
        </w:tc>
      </w:tr>
      <w:tr w:rsidR="00F0490D" w:rsidRPr="00F0490D" w14:paraId="1FD09267" w14:textId="77777777">
        <w:trPr>
          <w:trHeight w:val="294"/>
        </w:trPr>
        <w:tc>
          <w:tcPr>
            <w:tcW w:w="2909" w:type="dxa"/>
            <w:noWrap/>
            <w:vAlign w:val="bottom"/>
            <w:hideMark/>
          </w:tcPr>
          <w:p w14:paraId="2A7C7817" w14:textId="77777777" w:rsidR="00F0490D" w:rsidRPr="00A22122" w:rsidRDefault="00F0490D">
            <w:pPr>
              <w:spacing w:after="0" w:line="240" w:lineRule="auto"/>
              <w:rPr>
                <w:rFonts w:cs="Calibri"/>
                <w:sz w:val="20"/>
                <w:szCs w:val="20"/>
              </w:rPr>
            </w:pPr>
            <w:r w:rsidRPr="00A22122">
              <w:rPr>
                <w:rFonts w:cs="Calibri"/>
                <w:sz w:val="20"/>
                <w:szCs w:val="20"/>
              </w:rPr>
              <w:t>Sep-2022</w:t>
            </w:r>
          </w:p>
        </w:tc>
        <w:tc>
          <w:tcPr>
            <w:tcW w:w="2194" w:type="dxa"/>
            <w:noWrap/>
            <w:vAlign w:val="center"/>
            <w:hideMark/>
          </w:tcPr>
          <w:p w14:paraId="0417E4DF" w14:textId="77777777" w:rsidR="00F0490D" w:rsidRPr="00A22122" w:rsidRDefault="00F0490D" w:rsidP="00F0490D">
            <w:pPr>
              <w:spacing w:after="0" w:line="240" w:lineRule="auto"/>
              <w:jc w:val="right"/>
              <w:rPr>
                <w:rFonts w:cs="Calibri"/>
                <w:sz w:val="20"/>
                <w:szCs w:val="20"/>
              </w:rPr>
            </w:pPr>
            <w:r w:rsidRPr="00A22122">
              <w:rPr>
                <w:rFonts w:cs="Calibri"/>
                <w:sz w:val="20"/>
                <w:szCs w:val="20"/>
              </w:rPr>
              <w:t>0.9%</w:t>
            </w:r>
          </w:p>
        </w:tc>
        <w:tc>
          <w:tcPr>
            <w:tcW w:w="2127" w:type="dxa"/>
            <w:noWrap/>
            <w:vAlign w:val="center"/>
            <w:hideMark/>
          </w:tcPr>
          <w:p w14:paraId="23B402AD" w14:textId="77777777" w:rsidR="00F0490D" w:rsidRPr="00A22122" w:rsidRDefault="00F0490D" w:rsidP="00F0490D">
            <w:pPr>
              <w:spacing w:after="0" w:line="240" w:lineRule="auto"/>
              <w:jc w:val="right"/>
              <w:rPr>
                <w:rFonts w:cs="Calibri"/>
                <w:sz w:val="20"/>
                <w:szCs w:val="20"/>
              </w:rPr>
            </w:pPr>
            <w:r w:rsidRPr="00A22122">
              <w:rPr>
                <w:rFonts w:cs="Calibri"/>
                <w:sz w:val="20"/>
                <w:szCs w:val="20"/>
              </w:rPr>
              <w:t>3.0%</w:t>
            </w:r>
          </w:p>
        </w:tc>
        <w:tc>
          <w:tcPr>
            <w:tcW w:w="2603" w:type="dxa"/>
            <w:vAlign w:val="center"/>
          </w:tcPr>
          <w:p w14:paraId="4BD75B26" w14:textId="77777777" w:rsidR="00F0490D" w:rsidRPr="00A22122" w:rsidRDefault="00F0490D" w:rsidP="00F0490D">
            <w:pPr>
              <w:spacing w:after="0" w:line="240" w:lineRule="auto"/>
              <w:jc w:val="right"/>
              <w:rPr>
                <w:rFonts w:cs="Calibri"/>
                <w:sz w:val="20"/>
                <w:szCs w:val="20"/>
              </w:rPr>
            </w:pPr>
            <w:r w:rsidRPr="00A22122">
              <w:rPr>
                <w:rFonts w:cs="Calibri"/>
                <w:sz w:val="20"/>
                <w:szCs w:val="20"/>
              </w:rPr>
              <w:t>0.6%</w:t>
            </w:r>
          </w:p>
        </w:tc>
      </w:tr>
      <w:tr w:rsidR="00F0490D" w:rsidRPr="00F0490D" w14:paraId="68418C0C" w14:textId="77777777">
        <w:trPr>
          <w:trHeight w:val="294"/>
        </w:trPr>
        <w:tc>
          <w:tcPr>
            <w:tcW w:w="2909" w:type="dxa"/>
            <w:noWrap/>
            <w:vAlign w:val="bottom"/>
            <w:hideMark/>
          </w:tcPr>
          <w:p w14:paraId="1F8D4BD7" w14:textId="77777777" w:rsidR="00F0490D" w:rsidRPr="00A22122" w:rsidRDefault="00F0490D">
            <w:pPr>
              <w:spacing w:after="0" w:line="240" w:lineRule="auto"/>
              <w:rPr>
                <w:rFonts w:cs="Calibri"/>
                <w:sz w:val="20"/>
                <w:szCs w:val="20"/>
              </w:rPr>
            </w:pPr>
            <w:r w:rsidRPr="00A22122">
              <w:rPr>
                <w:rFonts w:cs="Calibri"/>
                <w:sz w:val="20"/>
                <w:szCs w:val="20"/>
              </w:rPr>
              <w:t>Sep-2023</w:t>
            </w:r>
          </w:p>
        </w:tc>
        <w:tc>
          <w:tcPr>
            <w:tcW w:w="2194" w:type="dxa"/>
            <w:noWrap/>
            <w:vAlign w:val="center"/>
            <w:hideMark/>
          </w:tcPr>
          <w:p w14:paraId="0AA34975" w14:textId="77777777" w:rsidR="00F0490D" w:rsidRPr="00A22122" w:rsidRDefault="00F0490D" w:rsidP="00F0490D">
            <w:pPr>
              <w:spacing w:after="0" w:line="240" w:lineRule="auto"/>
              <w:jc w:val="right"/>
              <w:rPr>
                <w:rFonts w:cs="Calibri"/>
                <w:sz w:val="20"/>
                <w:szCs w:val="20"/>
              </w:rPr>
            </w:pPr>
            <w:r w:rsidRPr="00A22122">
              <w:rPr>
                <w:rFonts w:cs="Calibri"/>
                <w:sz w:val="20"/>
                <w:szCs w:val="20"/>
              </w:rPr>
              <w:t>-3.0%</w:t>
            </w:r>
          </w:p>
        </w:tc>
        <w:tc>
          <w:tcPr>
            <w:tcW w:w="2127" w:type="dxa"/>
            <w:noWrap/>
            <w:vAlign w:val="center"/>
            <w:hideMark/>
          </w:tcPr>
          <w:p w14:paraId="3545B285" w14:textId="77777777" w:rsidR="00F0490D" w:rsidRPr="00A22122" w:rsidRDefault="00F0490D" w:rsidP="00F0490D">
            <w:pPr>
              <w:spacing w:after="0" w:line="240" w:lineRule="auto"/>
              <w:jc w:val="right"/>
              <w:rPr>
                <w:rFonts w:cs="Calibri"/>
                <w:sz w:val="20"/>
                <w:szCs w:val="20"/>
              </w:rPr>
            </w:pPr>
            <w:r w:rsidRPr="00A22122">
              <w:rPr>
                <w:rFonts w:cs="Calibri"/>
                <w:sz w:val="20"/>
                <w:szCs w:val="20"/>
              </w:rPr>
              <w:t>-3.0%</w:t>
            </w:r>
          </w:p>
        </w:tc>
        <w:tc>
          <w:tcPr>
            <w:tcW w:w="2603" w:type="dxa"/>
            <w:vAlign w:val="center"/>
          </w:tcPr>
          <w:p w14:paraId="4DDE67D1" w14:textId="77777777" w:rsidR="00F0490D" w:rsidRPr="00A22122" w:rsidRDefault="00F0490D" w:rsidP="00F0490D">
            <w:pPr>
              <w:spacing w:after="0" w:line="240" w:lineRule="auto"/>
              <w:jc w:val="right"/>
              <w:rPr>
                <w:rFonts w:cs="Calibri"/>
                <w:sz w:val="20"/>
                <w:szCs w:val="20"/>
              </w:rPr>
            </w:pPr>
            <w:r w:rsidRPr="00A22122">
              <w:rPr>
                <w:rFonts w:cs="Calibri"/>
                <w:sz w:val="20"/>
                <w:szCs w:val="20"/>
              </w:rPr>
              <w:t>-3.7%</w:t>
            </w:r>
          </w:p>
        </w:tc>
      </w:tr>
      <w:tr w:rsidR="00F0490D" w:rsidRPr="00F0490D" w14:paraId="58E518D6" w14:textId="77777777">
        <w:trPr>
          <w:trHeight w:val="294"/>
        </w:trPr>
        <w:tc>
          <w:tcPr>
            <w:tcW w:w="2909" w:type="dxa"/>
            <w:tcBorders>
              <w:bottom w:val="single" w:sz="4" w:space="0" w:color="auto"/>
            </w:tcBorders>
            <w:noWrap/>
            <w:vAlign w:val="bottom"/>
            <w:hideMark/>
          </w:tcPr>
          <w:p w14:paraId="35A6A15F" w14:textId="77777777" w:rsidR="00F0490D" w:rsidRPr="00A22122" w:rsidRDefault="00F0490D">
            <w:pPr>
              <w:spacing w:after="0" w:line="240" w:lineRule="auto"/>
              <w:rPr>
                <w:rFonts w:cs="Calibri"/>
                <w:sz w:val="20"/>
                <w:szCs w:val="20"/>
              </w:rPr>
            </w:pPr>
            <w:r w:rsidRPr="00A22122">
              <w:rPr>
                <w:rFonts w:cs="Calibri"/>
                <w:sz w:val="20"/>
                <w:szCs w:val="20"/>
              </w:rPr>
              <w:t>Sep-2024</w:t>
            </w:r>
          </w:p>
        </w:tc>
        <w:tc>
          <w:tcPr>
            <w:tcW w:w="2194" w:type="dxa"/>
            <w:tcBorders>
              <w:bottom w:val="single" w:sz="4" w:space="0" w:color="auto"/>
            </w:tcBorders>
            <w:noWrap/>
            <w:vAlign w:val="center"/>
            <w:hideMark/>
          </w:tcPr>
          <w:p w14:paraId="54897A66" w14:textId="77777777" w:rsidR="00F0490D" w:rsidRPr="00A22122" w:rsidRDefault="00F0490D" w:rsidP="00F0490D">
            <w:pPr>
              <w:spacing w:after="0" w:line="240" w:lineRule="auto"/>
              <w:jc w:val="right"/>
              <w:rPr>
                <w:rFonts w:cs="Calibri"/>
                <w:sz w:val="20"/>
                <w:szCs w:val="20"/>
              </w:rPr>
            </w:pPr>
            <w:r w:rsidRPr="00A22122">
              <w:rPr>
                <w:rFonts w:cs="Calibri"/>
                <w:sz w:val="20"/>
                <w:szCs w:val="20"/>
              </w:rPr>
              <w:t>1.5%</w:t>
            </w:r>
          </w:p>
        </w:tc>
        <w:tc>
          <w:tcPr>
            <w:tcW w:w="2127" w:type="dxa"/>
            <w:tcBorders>
              <w:bottom w:val="single" w:sz="4" w:space="0" w:color="auto"/>
            </w:tcBorders>
            <w:noWrap/>
            <w:vAlign w:val="center"/>
            <w:hideMark/>
          </w:tcPr>
          <w:p w14:paraId="3929806F" w14:textId="77777777" w:rsidR="00F0490D" w:rsidRPr="00A22122" w:rsidRDefault="00F0490D" w:rsidP="00F0490D">
            <w:pPr>
              <w:spacing w:after="0" w:line="240" w:lineRule="auto"/>
              <w:jc w:val="right"/>
              <w:rPr>
                <w:rFonts w:cs="Calibri"/>
                <w:sz w:val="20"/>
                <w:szCs w:val="20"/>
              </w:rPr>
            </w:pPr>
            <w:r w:rsidRPr="00A22122">
              <w:rPr>
                <w:rFonts w:cs="Calibri"/>
                <w:sz w:val="20"/>
                <w:szCs w:val="20"/>
              </w:rPr>
              <w:t>1.8%</w:t>
            </w:r>
          </w:p>
        </w:tc>
        <w:tc>
          <w:tcPr>
            <w:tcW w:w="2603" w:type="dxa"/>
            <w:tcBorders>
              <w:bottom w:val="single" w:sz="4" w:space="0" w:color="auto"/>
            </w:tcBorders>
            <w:vAlign w:val="center"/>
          </w:tcPr>
          <w:p w14:paraId="0830F2F3" w14:textId="77777777" w:rsidR="00F0490D" w:rsidRPr="00A22122" w:rsidRDefault="00F0490D" w:rsidP="00F0490D">
            <w:pPr>
              <w:spacing w:after="0" w:line="240" w:lineRule="auto"/>
              <w:jc w:val="right"/>
              <w:rPr>
                <w:rFonts w:cs="Calibri"/>
                <w:sz w:val="20"/>
                <w:szCs w:val="20"/>
              </w:rPr>
            </w:pPr>
            <w:r w:rsidRPr="00A22122">
              <w:rPr>
                <w:rFonts w:cs="Calibri"/>
                <w:sz w:val="20"/>
                <w:szCs w:val="20"/>
              </w:rPr>
              <w:t>0.3%</w:t>
            </w:r>
          </w:p>
        </w:tc>
      </w:tr>
    </w:tbl>
    <w:p w14:paraId="67F6AB4C" w14:textId="28E07E4D" w:rsidR="00F0490D" w:rsidRDefault="00F0490D" w:rsidP="00F0490D">
      <w:pPr>
        <w:pStyle w:val="Source"/>
      </w:pPr>
      <w:r w:rsidRPr="00F0490D">
        <w:rPr>
          <w:b/>
          <w:bCs/>
        </w:rPr>
        <w:t>Source:</w:t>
      </w:r>
      <w:r w:rsidRPr="00F0490D">
        <w:t xml:space="preserve"> ABS National Accounts (5206), Table 1 and ABS Labour Account (6150.0.55.003), Table 1 and Labour Account Industry Summary.</w:t>
      </w:r>
    </w:p>
    <w:p w14:paraId="475A2611" w14:textId="23050EA7" w:rsidR="00F0490D" w:rsidRDefault="00F0490D">
      <w:pPr>
        <w:spacing w:after="160"/>
        <w:rPr>
          <w:sz w:val="18"/>
        </w:rPr>
      </w:pPr>
    </w:p>
    <w:p w14:paraId="2CD9483A" w14:textId="21CAB4AF" w:rsidR="00F0490D" w:rsidRPr="00F0490D" w:rsidRDefault="00F0490D" w:rsidP="00F0490D">
      <w:pPr>
        <w:pStyle w:val="Caption"/>
      </w:pPr>
      <w:bookmarkStart w:id="1124" w:name="_Toc194251496"/>
      <w:r>
        <w:t xml:space="preserve">Table </w:t>
      </w:r>
      <w:r>
        <w:rPr>
          <w:bCs w:val="0"/>
          <w:iCs w:val="0"/>
        </w:rPr>
        <w:fldChar w:fldCharType="begin"/>
      </w:r>
      <w:r>
        <w:instrText xml:space="preserve"> SEQ Table \* ARABIC </w:instrText>
      </w:r>
      <w:r>
        <w:rPr>
          <w:bCs w:val="0"/>
          <w:iCs w:val="0"/>
        </w:rPr>
        <w:fldChar w:fldCharType="separate"/>
      </w:r>
      <w:r w:rsidR="00DE5F5E">
        <w:rPr>
          <w:noProof/>
        </w:rPr>
        <w:t>72</w:t>
      </w:r>
      <w:r>
        <w:rPr>
          <w:bCs w:val="0"/>
          <w:iCs w:val="0"/>
        </w:rPr>
        <w:fldChar w:fldCharType="end"/>
      </w:r>
      <w:r>
        <w:t xml:space="preserve">: </w:t>
      </w:r>
      <w:r w:rsidRPr="00F0490D">
        <w:t>Average annual growth in labour productivity, Australia, 1998 to 2024</w:t>
      </w:r>
      <w:bookmarkEnd w:id="1124"/>
    </w:p>
    <w:tbl>
      <w:tblPr>
        <w:tblStyle w:val="TableGrid"/>
        <w:tblW w:w="883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2"/>
        <w:gridCol w:w="2243"/>
        <w:gridCol w:w="2374"/>
        <w:gridCol w:w="2011"/>
      </w:tblGrid>
      <w:tr w:rsidR="00F0490D" w14:paraId="1155232C" w14:textId="77777777">
        <w:trPr>
          <w:trHeight w:val="702"/>
        </w:trPr>
        <w:tc>
          <w:tcPr>
            <w:tcW w:w="2202" w:type="dxa"/>
            <w:tcBorders>
              <w:top w:val="single" w:sz="4" w:space="0" w:color="auto"/>
              <w:bottom w:val="single" w:sz="4" w:space="0" w:color="auto"/>
            </w:tcBorders>
            <w:vAlign w:val="bottom"/>
          </w:tcPr>
          <w:p w14:paraId="06587360" w14:textId="77777777" w:rsidR="00F0490D" w:rsidRPr="001262A6" w:rsidRDefault="00F0490D">
            <w:pPr>
              <w:spacing w:after="0"/>
              <w:rPr>
                <w:rFonts w:cs="Calibri"/>
              </w:rPr>
            </w:pPr>
          </w:p>
        </w:tc>
        <w:tc>
          <w:tcPr>
            <w:tcW w:w="2243" w:type="dxa"/>
            <w:tcBorders>
              <w:top w:val="single" w:sz="4" w:space="0" w:color="auto"/>
              <w:bottom w:val="single" w:sz="4" w:space="0" w:color="auto"/>
            </w:tcBorders>
            <w:vAlign w:val="bottom"/>
          </w:tcPr>
          <w:p w14:paraId="0A4ECD65" w14:textId="77777777" w:rsidR="00F0490D" w:rsidRPr="001262A6" w:rsidRDefault="00F0490D">
            <w:pPr>
              <w:spacing w:after="0"/>
              <w:jc w:val="center"/>
              <w:rPr>
                <w:rFonts w:cs="Calibri"/>
              </w:rPr>
            </w:pPr>
            <w:r w:rsidRPr="001262A6">
              <w:rPr>
                <w:rFonts w:cs="Calibri"/>
                <w:color w:val="000000"/>
              </w:rPr>
              <w:t xml:space="preserve">Market </w:t>
            </w:r>
            <w:r>
              <w:rPr>
                <w:rFonts w:cs="Calibri"/>
                <w:color w:val="000000"/>
              </w:rPr>
              <w:t>s</w:t>
            </w:r>
            <w:r w:rsidRPr="001262A6">
              <w:rPr>
                <w:rFonts w:cs="Calibri"/>
                <w:color w:val="000000"/>
              </w:rPr>
              <w:t>ector</w:t>
            </w:r>
          </w:p>
        </w:tc>
        <w:tc>
          <w:tcPr>
            <w:tcW w:w="2374" w:type="dxa"/>
            <w:tcBorders>
              <w:top w:val="single" w:sz="4" w:space="0" w:color="auto"/>
              <w:bottom w:val="single" w:sz="4" w:space="0" w:color="auto"/>
            </w:tcBorders>
            <w:vAlign w:val="bottom"/>
          </w:tcPr>
          <w:p w14:paraId="0C2A52EB" w14:textId="77777777" w:rsidR="00F0490D" w:rsidRPr="001262A6" w:rsidRDefault="00F0490D">
            <w:pPr>
              <w:spacing w:after="0"/>
              <w:jc w:val="center"/>
              <w:rPr>
                <w:rFonts w:cs="Calibri"/>
              </w:rPr>
            </w:pPr>
            <w:r w:rsidRPr="001262A6">
              <w:rPr>
                <w:rFonts w:cs="Calibri"/>
                <w:color w:val="000000"/>
              </w:rPr>
              <w:t xml:space="preserve">Market </w:t>
            </w:r>
            <w:r>
              <w:rPr>
                <w:rFonts w:cs="Calibri"/>
                <w:color w:val="000000"/>
              </w:rPr>
              <w:t>s</w:t>
            </w:r>
            <w:r w:rsidRPr="001262A6">
              <w:rPr>
                <w:rFonts w:cs="Calibri"/>
                <w:color w:val="000000"/>
              </w:rPr>
              <w:t>ector minus agriculture and mining</w:t>
            </w:r>
          </w:p>
        </w:tc>
        <w:tc>
          <w:tcPr>
            <w:tcW w:w="2011" w:type="dxa"/>
            <w:tcBorders>
              <w:top w:val="single" w:sz="4" w:space="0" w:color="auto"/>
              <w:bottom w:val="single" w:sz="4" w:space="0" w:color="auto"/>
            </w:tcBorders>
            <w:vAlign w:val="bottom"/>
          </w:tcPr>
          <w:p w14:paraId="4EBBAFD3" w14:textId="77777777" w:rsidR="00F0490D" w:rsidRPr="001262A6" w:rsidRDefault="00F0490D">
            <w:pPr>
              <w:spacing w:after="0"/>
              <w:jc w:val="center"/>
              <w:rPr>
                <w:rFonts w:cs="Calibri"/>
                <w:color w:val="000000"/>
              </w:rPr>
            </w:pPr>
            <w:r w:rsidRPr="001262A6">
              <w:rPr>
                <w:rFonts w:cs="Calibri"/>
                <w:color w:val="000000"/>
              </w:rPr>
              <w:t>All</w:t>
            </w:r>
          </w:p>
        </w:tc>
      </w:tr>
      <w:tr w:rsidR="00F0490D" w14:paraId="0966B718" w14:textId="77777777">
        <w:trPr>
          <w:trHeight w:val="233"/>
        </w:trPr>
        <w:tc>
          <w:tcPr>
            <w:tcW w:w="2202" w:type="dxa"/>
            <w:tcBorders>
              <w:top w:val="single" w:sz="4" w:space="0" w:color="auto"/>
            </w:tcBorders>
            <w:vAlign w:val="bottom"/>
          </w:tcPr>
          <w:p w14:paraId="0A330995" w14:textId="77777777" w:rsidR="00F0490D" w:rsidRPr="001262A6" w:rsidRDefault="00F0490D">
            <w:pPr>
              <w:spacing w:after="0"/>
              <w:rPr>
                <w:rFonts w:cs="Calibri"/>
                <w:color w:val="000000"/>
              </w:rPr>
            </w:pPr>
          </w:p>
        </w:tc>
        <w:tc>
          <w:tcPr>
            <w:tcW w:w="2243" w:type="dxa"/>
            <w:tcBorders>
              <w:top w:val="single" w:sz="4" w:space="0" w:color="auto"/>
            </w:tcBorders>
            <w:vAlign w:val="bottom"/>
          </w:tcPr>
          <w:p w14:paraId="63034E40" w14:textId="518FDC2B" w:rsidR="00F0490D" w:rsidRPr="001262A6" w:rsidRDefault="00F0490D">
            <w:pPr>
              <w:spacing w:after="0"/>
              <w:jc w:val="center"/>
              <w:rPr>
                <w:rFonts w:cs="Calibri"/>
                <w:color w:val="000000"/>
              </w:rPr>
            </w:pPr>
            <w:r>
              <w:rPr>
                <w:rFonts w:cs="Calibri"/>
                <w:color w:val="000000"/>
              </w:rPr>
              <w:t>(1)</w:t>
            </w:r>
          </w:p>
        </w:tc>
        <w:tc>
          <w:tcPr>
            <w:tcW w:w="2374" w:type="dxa"/>
            <w:tcBorders>
              <w:top w:val="single" w:sz="4" w:space="0" w:color="auto"/>
            </w:tcBorders>
            <w:vAlign w:val="bottom"/>
          </w:tcPr>
          <w:p w14:paraId="10DDE523" w14:textId="16FE51C3" w:rsidR="00F0490D" w:rsidRPr="001262A6" w:rsidRDefault="00F0490D">
            <w:pPr>
              <w:spacing w:after="0"/>
              <w:jc w:val="center"/>
              <w:rPr>
                <w:rFonts w:cs="Calibri"/>
                <w:color w:val="000000"/>
              </w:rPr>
            </w:pPr>
            <w:r>
              <w:rPr>
                <w:rFonts w:cs="Calibri"/>
                <w:color w:val="000000"/>
              </w:rPr>
              <w:t>(2)</w:t>
            </w:r>
          </w:p>
        </w:tc>
        <w:tc>
          <w:tcPr>
            <w:tcW w:w="2011" w:type="dxa"/>
            <w:tcBorders>
              <w:top w:val="single" w:sz="4" w:space="0" w:color="auto"/>
            </w:tcBorders>
            <w:vAlign w:val="bottom"/>
          </w:tcPr>
          <w:p w14:paraId="2BAC3B2B" w14:textId="35936E26" w:rsidR="00F0490D" w:rsidRDefault="00F0490D">
            <w:pPr>
              <w:spacing w:after="0"/>
              <w:jc w:val="center"/>
              <w:rPr>
                <w:rFonts w:cs="Calibri"/>
                <w:color w:val="000000"/>
              </w:rPr>
            </w:pPr>
            <w:r>
              <w:rPr>
                <w:rFonts w:cs="Calibri"/>
                <w:color w:val="000000"/>
              </w:rPr>
              <w:t>(3)</w:t>
            </w:r>
          </w:p>
        </w:tc>
      </w:tr>
      <w:tr w:rsidR="00F0490D" w14:paraId="7A9F7974" w14:textId="77777777">
        <w:trPr>
          <w:trHeight w:val="233"/>
        </w:trPr>
        <w:tc>
          <w:tcPr>
            <w:tcW w:w="2202" w:type="dxa"/>
            <w:tcBorders>
              <w:top w:val="single" w:sz="4" w:space="0" w:color="auto"/>
            </w:tcBorders>
            <w:vAlign w:val="bottom"/>
          </w:tcPr>
          <w:p w14:paraId="448AB85C" w14:textId="73F56624" w:rsidR="00F0490D" w:rsidRPr="001262A6" w:rsidRDefault="00F0490D">
            <w:pPr>
              <w:spacing w:after="0"/>
              <w:rPr>
                <w:rFonts w:cs="Calibri"/>
              </w:rPr>
            </w:pPr>
            <w:r w:rsidRPr="001262A6">
              <w:rPr>
                <w:rFonts w:cs="Calibri"/>
                <w:color w:val="000000"/>
              </w:rPr>
              <w:t>1998</w:t>
            </w:r>
            <w:r>
              <w:rPr>
                <w:rFonts w:ascii="Symbol" w:eastAsia="Symbol" w:hAnsi="Symbol" w:cs="Symbol"/>
                <w:color w:val="000000"/>
              </w:rPr>
              <w:sym w:font="Symbol" w:char="F02D"/>
            </w:r>
            <w:r w:rsidRPr="001262A6">
              <w:rPr>
                <w:rFonts w:cs="Calibri"/>
                <w:color w:val="000000"/>
              </w:rPr>
              <w:t>2002</w:t>
            </w:r>
          </w:p>
        </w:tc>
        <w:tc>
          <w:tcPr>
            <w:tcW w:w="2243" w:type="dxa"/>
            <w:tcBorders>
              <w:top w:val="single" w:sz="4" w:space="0" w:color="auto"/>
            </w:tcBorders>
            <w:vAlign w:val="bottom"/>
          </w:tcPr>
          <w:p w14:paraId="18CF7472" w14:textId="77777777" w:rsidR="00F0490D" w:rsidRPr="001262A6" w:rsidRDefault="00F0490D">
            <w:pPr>
              <w:spacing w:after="0"/>
              <w:jc w:val="center"/>
              <w:rPr>
                <w:rFonts w:cs="Calibri"/>
              </w:rPr>
            </w:pPr>
            <w:r w:rsidRPr="001262A6">
              <w:rPr>
                <w:rFonts w:cs="Calibri"/>
                <w:color w:val="000000"/>
              </w:rPr>
              <w:t>2.</w:t>
            </w:r>
            <w:r>
              <w:rPr>
                <w:rFonts w:cs="Calibri"/>
                <w:color w:val="000000"/>
              </w:rPr>
              <w:t>8</w:t>
            </w:r>
            <w:r w:rsidRPr="001262A6">
              <w:rPr>
                <w:rFonts w:cs="Calibri"/>
                <w:color w:val="000000"/>
              </w:rPr>
              <w:t>%</w:t>
            </w:r>
          </w:p>
        </w:tc>
        <w:tc>
          <w:tcPr>
            <w:tcW w:w="2374" w:type="dxa"/>
            <w:tcBorders>
              <w:top w:val="single" w:sz="4" w:space="0" w:color="auto"/>
            </w:tcBorders>
            <w:vAlign w:val="bottom"/>
          </w:tcPr>
          <w:p w14:paraId="69B2F6C7" w14:textId="77777777" w:rsidR="00F0490D" w:rsidRPr="001262A6" w:rsidRDefault="00F0490D">
            <w:pPr>
              <w:spacing w:after="0"/>
              <w:jc w:val="center"/>
              <w:rPr>
                <w:rFonts w:cs="Calibri"/>
              </w:rPr>
            </w:pPr>
            <w:r w:rsidRPr="001262A6">
              <w:rPr>
                <w:rFonts w:cs="Calibri"/>
                <w:color w:val="000000"/>
              </w:rPr>
              <w:t>2.</w:t>
            </w:r>
            <w:r>
              <w:rPr>
                <w:rFonts w:cs="Calibri"/>
                <w:color w:val="000000"/>
              </w:rPr>
              <w:t>9</w:t>
            </w:r>
            <w:r w:rsidRPr="001262A6">
              <w:rPr>
                <w:rFonts w:cs="Calibri"/>
                <w:color w:val="000000"/>
              </w:rPr>
              <w:t>%</w:t>
            </w:r>
          </w:p>
        </w:tc>
        <w:tc>
          <w:tcPr>
            <w:tcW w:w="2011" w:type="dxa"/>
            <w:tcBorders>
              <w:top w:val="single" w:sz="4" w:space="0" w:color="auto"/>
            </w:tcBorders>
            <w:vAlign w:val="bottom"/>
          </w:tcPr>
          <w:p w14:paraId="11B2276F" w14:textId="77777777" w:rsidR="00F0490D" w:rsidRPr="001262A6" w:rsidRDefault="00F0490D">
            <w:pPr>
              <w:spacing w:after="0"/>
              <w:jc w:val="center"/>
              <w:rPr>
                <w:rFonts w:cs="Calibri"/>
                <w:color w:val="000000"/>
              </w:rPr>
            </w:pPr>
            <w:r w:rsidRPr="001262A6">
              <w:rPr>
                <w:rFonts w:cs="Calibri"/>
                <w:color w:val="000000"/>
              </w:rPr>
              <w:t>2.6%</w:t>
            </w:r>
          </w:p>
        </w:tc>
      </w:tr>
      <w:tr w:rsidR="00F0490D" w14:paraId="66CD21F5" w14:textId="77777777">
        <w:trPr>
          <w:trHeight w:val="233"/>
        </w:trPr>
        <w:tc>
          <w:tcPr>
            <w:tcW w:w="2202" w:type="dxa"/>
            <w:vAlign w:val="bottom"/>
          </w:tcPr>
          <w:p w14:paraId="530356D1" w14:textId="285C7814" w:rsidR="00F0490D" w:rsidRPr="001262A6" w:rsidRDefault="00F0490D">
            <w:pPr>
              <w:spacing w:after="0"/>
              <w:rPr>
                <w:rFonts w:cs="Calibri"/>
              </w:rPr>
            </w:pPr>
            <w:r w:rsidRPr="001262A6">
              <w:rPr>
                <w:rFonts w:cs="Calibri"/>
                <w:color w:val="000000"/>
              </w:rPr>
              <w:t>2003</w:t>
            </w:r>
            <w:r>
              <w:rPr>
                <w:rFonts w:ascii="Symbol" w:eastAsia="Symbol" w:hAnsi="Symbol" w:cs="Symbol"/>
                <w:color w:val="000000"/>
              </w:rPr>
              <w:sym w:font="Symbol" w:char="F02D"/>
            </w:r>
            <w:r w:rsidRPr="001262A6">
              <w:rPr>
                <w:rFonts w:cs="Calibri"/>
                <w:color w:val="000000"/>
              </w:rPr>
              <w:t>2007</w:t>
            </w:r>
          </w:p>
        </w:tc>
        <w:tc>
          <w:tcPr>
            <w:tcW w:w="2243" w:type="dxa"/>
            <w:vAlign w:val="bottom"/>
          </w:tcPr>
          <w:p w14:paraId="42267D8C" w14:textId="77777777" w:rsidR="00F0490D" w:rsidRPr="001262A6" w:rsidRDefault="00F0490D">
            <w:pPr>
              <w:spacing w:after="0"/>
              <w:jc w:val="center"/>
              <w:rPr>
                <w:rFonts w:cs="Calibri"/>
              </w:rPr>
            </w:pPr>
            <w:r w:rsidRPr="001262A6">
              <w:rPr>
                <w:rFonts w:cs="Calibri"/>
                <w:color w:val="000000"/>
              </w:rPr>
              <w:t>1.</w:t>
            </w:r>
            <w:r>
              <w:rPr>
                <w:rFonts w:cs="Calibri"/>
                <w:color w:val="000000"/>
              </w:rPr>
              <w:t>3</w:t>
            </w:r>
            <w:r w:rsidRPr="001262A6">
              <w:rPr>
                <w:rFonts w:cs="Calibri"/>
                <w:color w:val="000000"/>
              </w:rPr>
              <w:t>%</w:t>
            </w:r>
          </w:p>
        </w:tc>
        <w:tc>
          <w:tcPr>
            <w:tcW w:w="2374" w:type="dxa"/>
            <w:vAlign w:val="bottom"/>
          </w:tcPr>
          <w:p w14:paraId="59AB33BB" w14:textId="77777777" w:rsidR="00F0490D" w:rsidRPr="001262A6" w:rsidRDefault="00F0490D">
            <w:pPr>
              <w:spacing w:after="0"/>
              <w:jc w:val="center"/>
              <w:rPr>
                <w:rFonts w:cs="Calibri"/>
              </w:rPr>
            </w:pPr>
            <w:r w:rsidRPr="001262A6">
              <w:rPr>
                <w:rFonts w:cs="Calibri"/>
                <w:color w:val="000000"/>
              </w:rPr>
              <w:t>1.4%</w:t>
            </w:r>
          </w:p>
        </w:tc>
        <w:tc>
          <w:tcPr>
            <w:tcW w:w="2011" w:type="dxa"/>
            <w:vAlign w:val="bottom"/>
          </w:tcPr>
          <w:p w14:paraId="17EC7EE7" w14:textId="77777777" w:rsidR="00F0490D" w:rsidRPr="001262A6" w:rsidRDefault="00F0490D">
            <w:pPr>
              <w:spacing w:after="0"/>
              <w:jc w:val="center"/>
              <w:rPr>
                <w:rFonts w:cs="Calibri"/>
                <w:color w:val="000000"/>
              </w:rPr>
            </w:pPr>
            <w:r w:rsidRPr="001262A6">
              <w:rPr>
                <w:rFonts w:cs="Calibri"/>
                <w:color w:val="000000"/>
              </w:rPr>
              <w:t>1.</w:t>
            </w:r>
            <w:r>
              <w:rPr>
                <w:rFonts w:cs="Calibri"/>
                <w:color w:val="000000"/>
              </w:rPr>
              <w:t>1</w:t>
            </w:r>
            <w:r w:rsidRPr="001262A6">
              <w:rPr>
                <w:rFonts w:cs="Calibri"/>
                <w:color w:val="000000"/>
              </w:rPr>
              <w:t>%</w:t>
            </w:r>
          </w:p>
        </w:tc>
      </w:tr>
      <w:tr w:rsidR="00F0490D" w14:paraId="1261A352" w14:textId="77777777">
        <w:trPr>
          <w:trHeight w:val="233"/>
        </w:trPr>
        <w:tc>
          <w:tcPr>
            <w:tcW w:w="2202" w:type="dxa"/>
            <w:vAlign w:val="bottom"/>
          </w:tcPr>
          <w:p w14:paraId="669C9D20" w14:textId="7E775A9F" w:rsidR="00F0490D" w:rsidRPr="001262A6" w:rsidRDefault="00F0490D">
            <w:pPr>
              <w:spacing w:after="0"/>
              <w:rPr>
                <w:rFonts w:cs="Calibri"/>
              </w:rPr>
            </w:pPr>
            <w:r w:rsidRPr="001262A6">
              <w:rPr>
                <w:rFonts w:cs="Calibri"/>
                <w:color w:val="000000"/>
              </w:rPr>
              <w:t>2008</w:t>
            </w:r>
            <w:r>
              <w:rPr>
                <w:rFonts w:ascii="Symbol" w:eastAsia="Symbol" w:hAnsi="Symbol" w:cs="Symbol"/>
                <w:color w:val="000000"/>
              </w:rPr>
              <w:sym w:font="Symbol" w:char="F02D"/>
            </w:r>
            <w:r w:rsidRPr="001262A6">
              <w:rPr>
                <w:rFonts w:cs="Calibri"/>
                <w:color w:val="000000"/>
              </w:rPr>
              <w:t>2012</w:t>
            </w:r>
          </w:p>
        </w:tc>
        <w:tc>
          <w:tcPr>
            <w:tcW w:w="2243" w:type="dxa"/>
            <w:vAlign w:val="bottom"/>
          </w:tcPr>
          <w:p w14:paraId="2144CEC3" w14:textId="77777777" w:rsidR="00F0490D" w:rsidRPr="001262A6" w:rsidRDefault="00F0490D">
            <w:pPr>
              <w:spacing w:after="0"/>
              <w:jc w:val="center"/>
              <w:rPr>
                <w:rFonts w:cs="Calibri"/>
              </w:rPr>
            </w:pPr>
            <w:r w:rsidRPr="001262A6">
              <w:rPr>
                <w:rFonts w:cs="Calibri"/>
                <w:color w:val="000000"/>
              </w:rPr>
              <w:t>1.8%</w:t>
            </w:r>
          </w:p>
        </w:tc>
        <w:tc>
          <w:tcPr>
            <w:tcW w:w="2374" w:type="dxa"/>
            <w:vAlign w:val="bottom"/>
          </w:tcPr>
          <w:p w14:paraId="67BCC529" w14:textId="77777777" w:rsidR="00F0490D" w:rsidRPr="001262A6" w:rsidRDefault="00F0490D">
            <w:pPr>
              <w:spacing w:after="0"/>
              <w:jc w:val="center"/>
              <w:rPr>
                <w:rFonts w:cs="Calibri"/>
              </w:rPr>
            </w:pPr>
            <w:r>
              <w:rPr>
                <w:rFonts w:cs="Calibri"/>
                <w:color w:val="000000"/>
              </w:rPr>
              <w:t>1.4</w:t>
            </w:r>
            <w:r w:rsidRPr="001262A6">
              <w:rPr>
                <w:rFonts w:cs="Calibri"/>
                <w:color w:val="000000"/>
              </w:rPr>
              <w:t>%</w:t>
            </w:r>
          </w:p>
        </w:tc>
        <w:tc>
          <w:tcPr>
            <w:tcW w:w="2011" w:type="dxa"/>
            <w:vAlign w:val="bottom"/>
          </w:tcPr>
          <w:p w14:paraId="4FE4AA2F" w14:textId="77777777" w:rsidR="00F0490D" w:rsidRDefault="00F0490D">
            <w:pPr>
              <w:spacing w:after="0"/>
              <w:jc w:val="center"/>
              <w:rPr>
                <w:rFonts w:cs="Calibri"/>
                <w:color w:val="000000"/>
              </w:rPr>
            </w:pPr>
            <w:r w:rsidRPr="001262A6">
              <w:rPr>
                <w:rFonts w:cs="Calibri"/>
                <w:color w:val="000000"/>
              </w:rPr>
              <w:t>1.</w:t>
            </w:r>
            <w:r>
              <w:rPr>
                <w:rFonts w:cs="Calibri"/>
                <w:color w:val="000000"/>
              </w:rPr>
              <w:t>2</w:t>
            </w:r>
            <w:r w:rsidRPr="001262A6">
              <w:rPr>
                <w:rFonts w:cs="Calibri"/>
                <w:color w:val="000000"/>
              </w:rPr>
              <w:t>%</w:t>
            </w:r>
          </w:p>
        </w:tc>
      </w:tr>
      <w:tr w:rsidR="00F0490D" w14:paraId="6236C820" w14:textId="77777777">
        <w:trPr>
          <w:trHeight w:val="233"/>
        </w:trPr>
        <w:tc>
          <w:tcPr>
            <w:tcW w:w="2202" w:type="dxa"/>
            <w:tcBorders>
              <w:bottom w:val="nil"/>
            </w:tcBorders>
            <w:vAlign w:val="bottom"/>
          </w:tcPr>
          <w:p w14:paraId="46C336E3" w14:textId="43DC9147" w:rsidR="00F0490D" w:rsidRPr="001262A6" w:rsidRDefault="00F0490D">
            <w:pPr>
              <w:spacing w:after="0"/>
              <w:rPr>
                <w:rFonts w:cs="Calibri"/>
              </w:rPr>
            </w:pPr>
            <w:r w:rsidRPr="001262A6">
              <w:rPr>
                <w:rFonts w:cs="Calibri"/>
                <w:color w:val="000000"/>
              </w:rPr>
              <w:t>2013</w:t>
            </w:r>
            <w:r>
              <w:rPr>
                <w:rFonts w:ascii="Symbol" w:eastAsia="Symbol" w:hAnsi="Symbol" w:cs="Symbol"/>
                <w:color w:val="000000"/>
              </w:rPr>
              <w:sym w:font="Symbol" w:char="F02D"/>
            </w:r>
            <w:r w:rsidRPr="001262A6">
              <w:rPr>
                <w:rFonts w:cs="Calibri"/>
                <w:color w:val="000000"/>
              </w:rPr>
              <w:t>2017</w:t>
            </w:r>
          </w:p>
        </w:tc>
        <w:tc>
          <w:tcPr>
            <w:tcW w:w="2243" w:type="dxa"/>
            <w:tcBorders>
              <w:bottom w:val="nil"/>
            </w:tcBorders>
            <w:vAlign w:val="bottom"/>
          </w:tcPr>
          <w:p w14:paraId="4A1D81D9" w14:textId="77777777" w:rsidR="00F0490D" w:rsidRPr="001262A6" w:rsidRDefault="00F0490D">
            <w:pPr>
              <w:spacing w:after="0"/>
              <w:jc w:val="center"/>
              <w:rPr>
                <w:rFonts w:cs="Calibri"/>
              </w:rPr>
            </w:pPr>
            <w:r>
              <w:rPr>
                <w:rFonts w:cs="Calibri"/>
                <w:color w:val="000000"/>
              </w:rPr>
              <w:t>1.8%</w:t>
            </w:r>
          </w:p>
        </w:tc>
        <w:tc>
          <w:tcPr>
            <w:tcW w:w="2374" w:type="dxa"/>
            <w:tcBorders>
              <w:bottom w:val="nil"/>
            </w:tcBorders>
            <w:vAlign w:val="bottom"/>
          </w:tcPr>
          <w:p w14:paraId="690B446F" w14:textId="77777777" w:rsidR="00F0490D" w:rsidRPr="001262A6" w:rsidRDefault="00F0490D">
            <w:pPr>
              <w:spacing w:after="0"/>
              <w:jc w:val="center"/>
              <w:rPr>
                <w:rFonts w:cs="Calibri"/>
              </w:rPr>
            </w:pPr>
            <w:r>
              <w:rPr>
                <w:rFonts w:cs="Calibri"/>
                <w:color w:val="000000"/>
              </w:rPr>
              <w:t>0.8%</w:t>
            </w:r>
          </w:p>
        </w:tc>
        <w:tc>
          <w:tcPr>
            <w:tcW w:w="2011" w:type="dxa"/>
            <w:tcBorders>
              <w:bottom w:val="nil"/>
            </w:tcBorders>
            <w:vAlign w:val="bottom"/>
          </w:tcPr>
          <w:p w14:paraId="704D5806" w14:textId="77777777" w:rsidR="00F0490D" w:rsidRDefault="00F0490D">
            <w:pPr>
              <w:spacing w:after="0"/>
              <w:jc w:val="center"/>
              <w:rPr>
                <w:rFonts w:cs="Calibri"/>
                <w:color w:val="000000"/>
              </w:rPr>
            </w:pPr>
            <w:r w:rsidRPr="001262A6">
              <w:rPr>
                <w:rFonts w:cs="Calibri"/>
                <w:color w:val="000000"/>
              </w:rPr>
              <w:t>1.</w:t>
            </w:r>
            <w:r>
              <w:rPr>
                <w:rFonts w:cs="Calibri"/>
                <w:color w:val="000000"/>
              </w:rPr>
              <w:t>3</w:t>
            </w:r>
            <w:r w:rsidRPr="001262A6">
              <w:rPr>
                <w:rFonts w:cs="Calibri"/>
                <w:color w:val="000000"/>
              </w:rPr>
              <w:t>%</w:t>
            </w:r>
          </w:p>
        </w:tc>
      </w:tr>
      <w:tr w:rsidR="00F0490D" w14:paraId="2CB1DD42" w14:textId="77777777">
        <w:trPr>
          <w:trHeight w:val="233"/>
        </w:trPr>
        <w:tc>
          <w:tcPr>
            <w:tcW w:w="2202" w:type="dxa"/>
            <w:tcBorders>
              <w:top w:val="nil"/>
              <w:bottom w:val="single" w:sz="4" w:space="0" w:color="auto"/>
            </w:tcBorders>
            <w:vAlign w:val="bottom"/>
          </w:tcPr>
          <w:p w14:paraId="6AA86DD5" w14:textId="7FBE3305" w:rsidR="00F0490D" w:rsidRPr="001262A6" w:rsidRDefault="00F0490D">
            <w:pPr>
              <w:spacing w:after="0"/>
              <w:rPr>
                <w:rFonts w:cs="Calibri"/>
              </w:rPr>
            </w:pPr>
            <w:r w:rsidRPr="001262A6">
              <w:rPr>
                <w:rFonts w:cs="Calibri"/>
                <w:color w:val="000000"/>
              </w:rPr>
              <w:t>2018</w:t>
            </w:r>
            <w:r>
              <w:rPr>
                <w:rFonts w:ascii="Symbol" w:eastAsia="Symbol" w:hAnsi="Symbol" w:cs="Symbol"/>
                <w:color w:val="000000"/>
              </w:rPr>
              <w:sym w:font="Symbol" w:char="F02D"/>
            </w:r>
            <w:r w:rsidRPr="001262A6">
              <w:rPr>
                <w:rFonts w:cs="Calibri"/>
                <w:color w:val="000000"/>
              </w:rPr>
              <w:t>2022</w:t>
            </w:r>
          </w:p>
        </w:tc>
        <w:tc>
          <w:tcPr>
            <w:tcW w:w="2243" w:type="dxa"/>
            <w:tcBorders>
              <w:top w:val="nil"/>
              <w:bottom w:val="single" w:sz="4" w:space="0" w:color="auto"/>
            </w:tcBorders>
            <w:vAlign w:val="bottom"/>
          </w:tcPr>
          <w:p w14:paraId="5A8A6808" w14:textId="77777777" w:rsidR="00F0490D" w:rsidRPr="001262A6" w:rsidRDefault="00F0490D">
            <w:pPr>
              <w:spacing w:after="0"/>
              <w:jc w:val="center"/>
              <w:rPr>
                <w:rFonts w:cs="Calibri"/>
              </w:rPr>
            </w:pPr>
            <w:r>
              <w:rPr>
                <w:rFonts w:cs="Calibri"/>
                <w:color w:val="000000"/>
              </w:rPr>
              <w:t>1.1%</w:t>
            </w:r>
          </w:p>
        </w:tc>
        <w:tc>
          <w:tcPr>
            <w:tcW w:w="2374" w:type="dxa"/>
            <w:tcBorders>
              <w:top w:val="nil"/>
              <w:bottom w:val="single" w:sz="4" w:space="0" w:color="auto"/>
            </w:tcBorders>
            <w:vAlign w:val="bottom"/>
          </w:tcPr>
          <w:p w14:paraId="0AC5EB14" w14:textId="77777777" w:rsidR="00F0490D" w:rsidRPr="001262A6" w:rsidRDefault="00F0490D">
            <w:pPr>
              <w:spacing w:after="0"/>
              <w:jc w:val="center"/>
              <w:rPr>
                <w:rFonts w:cs="Calibri"/>
              </w:rPr>
            </w:pPr>
            <w:r>
              <w:rPr>
                <w:rFonts w:cs="Calibri"/>
                <w:color w:val="000000"/>
              </w:rPr>
              <w:t>1.3%</w:t>
            </w:r>
          </w:p>
        </w:tc>
        <w:tc>
          <w:tcPr>
            <w:tcW w:w="2011" w:type="dxa"/>
            <w:tcBorders>
              <w:top w:val="nil"/>
              <w:bottom w:val="single" w:sz="4" w:space="0" w:color="auto"/>
            </w:tcBorders>
            <w:vAlign w:val="bottom"/>
          </w:tcPr>
          <w:p w14:paraId="65D80E84" w14:textId="77777777" w:rsidR="00F0490D" w:rsidRDefault="00F0490D">
            <w:pPr>
              <w:spacing w:after="0"/>
              <w:jc w:val="center"/>
              <w:rPr>
                <w:rFonts w:cs="Calibri"/>
                <w:color w:val="000000"/>
              </w:rPr>
            </w:pPr>
            <w:r>
              <w:rPr>
                <w:rFonts w:cs="Calibri"/>
                <w:color w:val="000000"/>
              </w:rPr>
              <w:t>1.0%</w:t>
            </w:r>
          </w:p>
        </w:tc>
      </w:tr>
      <w:tr w:rsidR="00F0490D" w14:paraId="1F90DD3C" w14:textId="77777777">
        <w:trPr>
          <w:trHeight w:val="233"/>
        </w:trPr>
        <w:tc>
          <w:tcPr>
            <w:tcW w:w="2202" w:type="dxa"/>
            <w:tcBorders>
              <w:top w:val="single" w:sz="4" w:space="0" w:color="auto"/>
              <w:bottom w:val="single" w:sz="4" w:space="0" w:color="auto"/>
            </w:tcBorders>
            <w:vAlign w:val="bottom"/>
          </w:tcPr>
          <w:p w14:paraId="3E81F7C1" w14:textId="3EB84C0A" w:rsidR="00F0490D" w:rsidRPr="001262A6" w:rsidRDefault="00F0490D">
            <w:pPr>
              <w:spacing w:after="0"/>
              <w:rPr>
                <w:rFonts w:cs="Calibri"/>
              </w:rPr>
            </w:pPr>
            <w:r w:rsidRPr="001262A6">
              <w:rPr>
                <w:rFonts w:cs="Calibri"/>
                <w:color w:val="000000"/>
              </w:rPr>
              <w:t>2020</w:t>
            </w:r>
            <w:r>
              <w:rPr>
                <w:rFonts w:ascii="Symbol" w:eastAsia="Symbol" w:hAnsi="Symbol" w:cs="Symbol"/>
                <w:color w:val="000000"/>
              </w:rPr>
              <w:sym w:font="Symbol" w:char="F02D"/>
            </w:r>
            <w:r w:rsidRPr="001262A6">
              <w:rPr>
                <w:rFonts w:cs="Calibri"/>
                <w:color w:val="000000"/>
              </w:rPr>
              <w:t>2024</w:t>
            </w:r>
          </w:p>
        </w:tc>
        <w:tc>
          <w:tcPr>
            <w:tcW w:w="2243" w:type="dxa"/>
            <w:tcBorders>
              <w:top w:val="single" w:sz="4" w:space="0" w:color="auto"/>
              <w:bottom w:val="single" w:sz="4" w:space="0" w:color="auto"/>
            </w:tcBorders>
            <w:vAlign w:val="bottom"/>
          </w:tcPr>
          <w:p w14:paraId="1B0A8B98" w14:textId="77777777" w:rsidR="00F0490D" w:rsidRPr="001262A6" w:rsidRDefault="00F0490D">
            <w:pPr>
              <w:spacing w:after="0"/>
              <w:jc w:val="center"/>
              <w:rPr>
                <w:rFonts w:cs="Calibri"/>
              </w:rPr>
            </w:pPr>
            <w:r w:rsidRPr="001262A6">
              <w:rPr>
                <w:rFonts w:cs="Calibri"/>
                <w:color w:val="000000"/>
              </w:rPr>
              <w:t>0.7%</w:t>
            </w:r>
          </w:p>
        </w:tc>
        <w:tc>
          <w:tcPr>
            <w:tcW w:w="2374" w:type="dxa"/>
            <w:tcBorders>
              <w:top w:val="single" w:sz="4" w:space="0" w:color="auto"/>
              <w:bottom w:val="single" w:sz="4" w:space="0" w:color="auto"/>
            </w:tcBorders>
            <w:vAlign w:val="bottom"/>
          </w:tcPr>
          <w:p w14:paraId="7E9A0FF2" w14:textId="77777777" w:rsidR="00F0490D" w:rsidRPr="001262A6" w:rsidRDefault="00F0490D">
            <w:pPr>
              <w:spacing w:after="0"/>
              <w:jc w:val="center"/>
              <w:rPr>
                <w:rFonts w:cs="Calibri"/>
              </w:rPr>
            </w:pPr>
            <w:r w:rsidRPr="001262A6">
              <w:rPr>
                <w:rFonts w:cs="Calibri"/>
                <w:color w:val="000000"/>
              </w:rPr>
              <w:t>1.2%</w:t>
            </w:r>
          </w:p>
        </w:tc>
        <w:tc>
          <w:tcPr>
            <w:tcW w:w="2011" w:type="dxa"/>
            <w:tcBorders>
              <w:top w:val="single" w:sz="4" w:space="0" w:color="auto"/>
              <w:bottom w:val="single" w:sz="4" w:space="0" w:color="auto"/>
            </w:tcBorders>
            <w:vAlign w:val="bottom"/>
          </w:tcPr>
          <w:p w14:paraId="7762ACEC" w14:textId="77777777" w:rsidR="00F0490D" w:rsidRPr="001262A6" w:rsidRDefault="00F0490D">
            <w:pPr>
              <w:spacing w:after="0"/>
              <w:jc w:val="center"/>
              <w:rPr>
                <w:rFonts w:cs="Calibri"/>
                <w:color w:val="000000"/>
              </w:rPr>
            </w:pPr>
            <w:r w:rsidRPr="001262A6">
              <w:rPr>
                <w:rFonts w:cs="Calibri"/>
                <w:color w:val="000000"/>
              </w:rPr>
              <w:t>0.2%</w:t>
            </w:r>
          </w:p>
        </w:tc>
      </w:tr>
      <w:tr w:rsidR="00F0490D" w14:paraId="7FD64F71" w14:textId="77777777">
        <w:trPr>
          <w:trHeight w:val="233"/>
        </w:trPr>
        <w:tc>
          <w:tcPr>
            <w:tcW w:w="2202" w:type="dxa"/>
            <w:tcBorders>
              <w:top w:val="single" w:sz="4" w:space="0" w:color="auto"/>
            </w:tcBorders>
            <w:vAlign w:val="bottom"/>
          </w:tcPr>
          <w:p w14:paraId="1384183F" w14:textId="3F49F3F9" w:rsidR="00F0490D" w:rsidRPr="001262A6" w:rsidRDefault="00F0490D">
            <w:pPr>
              <w:spacing w:after="0"/>
              <w:rPr>
                <w:rFonts w:cs="Calibri"/>
                <w:color w:val="000000"/>
              </w:rPr>
            </w:pPr>
            <w:r w:rsidRPr="00BC1974">
              <w:rPr>
                <w:rFonts w:cs="Calibri"/>
                <w:color w:val="000000"/>
              </w:rPr>
              <w:t>2022</w:t>
            </w:r>
            <w:r>
              <w:rPr>
                <w:rFonts w:ascii="Symbol" w:eastAsia="Symbol" w:hAnsi="Symbol" w:cs="Symbol"/>
                <w:color w:val="000000"/>
              </w:rPr>
              <w:sym w:font="Symbol" w:char="F02D"/>
            </w:r>
            <w:r w:rsidRPr="00BC1974">
              <w:rPr>
                <w:rFonts w:cs="Calibri"/>
                <w:color w:val="000000"/>
              </w:rPr>
              <w:t>2024</w:t>
            </w:r>
          </w:p>
        </w:tc>
        <w:tc>
          <w:tcPr>
            <w:tcW w:w="2243" w:type="dxa"/>
            <w:tcBorders>
              <w:top w:val="single" w:sz="4" w:space="0" w:color="auto"/>
            </w:tcBorders>
            <w:vAlign w:val="bottom"/>
          </w:tcPr>
          <w:p w14:paraId="4DA2ED5F" w14:textId="77777777" w:rsidR="00F0490D" w:rsidRPr="001262A6" w:rsidRDefault="00F0490D">
            <w:pPr>
              <w:spacing w:after="0"/>
              <w:jc w:val="center"/>
              <w:rPr>
                <w:rFonts w:cs="Calibri"/>
                <w:color w:val="000000"/>
              </w:rPr>
            </w:pPr>
            <w:r w:rsidRPr="00BC1974">
              <w:rPr>
                <w:rFonts w:cs="Calibri"/>
                <w:color w:val="000000"/>
              </w:rPr>
              <w:t>-0.8%</w:t>
            </w:r>
          </w:p>
        </w:tc>
        <w:tc>
          <w:tcPr>
            <w:tcW w:w="2374" w:type="dxa"/>
            <w:tcBorders>
              <w:top w:val="single" w:sz="4" w:space="0" w:color="auto"/>
            </w:tcBorders>
            <w:vAlign w:val="bottom"/>
          </w:tcPr>
          <w:p w14:paraId="7E793019" w14:textId="77777777" w:rsidR="00F0490D" w:rsidRPr="001262A6" w:rsidRDefault="00F0490D">
            <w:pPr>
              <w:spacing w:after="0"/>
              <w:jc w:val="center"/>
              <w:rPr>
                <w:rFonts w:cs="Calibri"/>
                <w:color w:val="000000"/>
              </w:rPr>
            </w:pPr>
            <w:r w:rsidRPr="00BC1974">
              <w:rPr>
                <w:rFonts w:cs="Calibri"/>
                <w:color w:val="000000"/>
              </w:rPr>
              <w:t>-0.6%</w:t>
            </w:r>
          </w:p>
        </w:tc>
        <w:tc>
          <w:tcPr>
            <w:tcW w:w="2011" w:type="dxa"/>
            <w:tcBorders>
              <w:top w:val="single" w:sz="4" w:space="0" w:color="auto"/>
            </w:tcBorders>
            <w:vAlign w:val="bottom"/>
          </w:tcPr>
          <w:p w14:paraId="0A372014" w14:textId="77777777" w:rsidR="00F0490D" w:rsidRPr="00BC1974" w:rsidRDefault="00F0490D">
            <w:pPr>
              <w:spacing w:after="0"/>
              <w:jc w:val="center"/>
              <w:rPr>
                <w:rFonts w:cs="Calibri"/>
                <w:color w:val="000000"/>
              </w:rPr>
            </w:pPr>
            <w:r w:rsidRPr="00BC1974">
              <w:rPr>
                <w:rFonts w:cs="Calibri"/>
                <w:color w:val="000000"/>
              </w:rPr>
              <w:t>-1.7%</w:t>
            </w:r>
          </w:p>
        </w:tc>
      </w:tr>
    </w:tbl>
    <w:p w14:paraId="6DD99703" w14:textId="47BC4DF9" w:rsidR="00F0490D" w:rsidRDefault="00F0490D" w:rsidP="00F0490D">
      <w:pPr>
        <w:pStyle w:val="Source"/>
      </w:pPr>
      <w:r w:rsidRPr="00167CB8">
        <w:rPr>
          <w:b/>
          <w:bCs/>
        </w:rPr>
        <w:t>Note:</w:t>
      </w:r>
      <w:r w:rsidDel="00F0490D">
        <w:rPr>
          <w:b/>
        </w:rPr>
        <w:t xml:space="preserve"> </w:t>
      </w:r>
      <w:r>
        <w:t>Annual estimates of productivity are computed over the four quarters to September of each year and then averaged over the five-year windows as reported.</w:t>
      </w:r>
    </w:p>
    <w:p w14:paraId="4F834021" w14:textId="77777777" w:rsidR="00F0490D" w:rsidRDefault="00F0490D" w:rsidP="00F0490D">
      <w:pPr>
        <w:pStyle w:val="Source"/>
      </w:pPr>
      <w:r w:rsidRPr="00167CB8">
        <w:rPr>
          <w:b/>
          <w:bCs/>
        </w:rPr>
        <w:t>Source:</w:t>
      </w:r>
      <w:r w:rsidRPr="00167CB8">
        <w:t xml:space="preserve"> </w:t>
      </w:r>
      <w:r>
        <w:t xml:space="preserve">ABS National Accounts (5206), Table 1 and </w:t>
      </w:r>
      <w:r w:rsidRPr="00167CB8">
        <w:t xml:space="preserve">ABS </w:t>
      </w:r>
      <w:r>
        <w:t>Labour Account (</w:t>
      </w:r>
      <w:r w:rsidRPr="0030731A">
        <w:t>6150.0.55.003</w:t>
      </w:r>
      <w:r>
        <w:t>), Table 1 and Labour Account Industry Summary.</w:t>
      </w:r>
    </w:p>
    <w:p w14:paraId="6D59F2B5" w14:textId="140FD012" w:rsidR="00F0490D" w:rsidRPr="00F0490D" w:rsidRDefault="00F0490D" w:rsidP="00A22122">
      <w:pPr>
        <w:pStyle w:val="Heading4"/>
        <w:rPr>
          <w:lang w:val="en-US" w:eastAsia="en-AU"/>
        </w:rPr>
      </w:pPr>
      <w:r w:rsidRPr="00F0490D">
        <w:rPr>
          <w:lang w:val="en-US" w:eastAsia="en-AU"/>
        </w:rPr>
        <w:t>3.2</w:t>
      </w:r>
      <w:r w:rsidRPr="00F0490D">
        <w:rPr>
          <w:lang w:val="en-US" w:eastAsia="en-AU"/>
        </w:rPr>
        <w:tab/>
      </w:r>
      <w:r w:rsidR="008C6148">
        <w:rPr>
          <w:lang w:val="en-US" w:eastAsia="en-AU"/>
        </w:rPr>
        <w:t>Labor p</w:t>
      </w:r>
      <w:r w:rsidRPr="00F0490D">
        <w:rPr>
          <w:lang w:val="en-US" w:eastAsia="en-AU"/>
        </w:rPr>
        <w:t>roductivity at the industry level</w:t>
      </w:r>
    </w:p>
    <w:p w14:paraId="2EC1016A" w14:textId="650382BD" w:rsidR="00F0490D" w:rsidRPr="00F0490D" w:rsidRDefault="00F0490D" w:rsidP="00F0490D">
      <w:pPr>
        <w:rPr>
          <w:lang w:val="en-US" w:eastAsia="en-AU"/>
        </w:rPr>
      </w:pPr>
      <w:r w:rsidRPr="00F0490D">
        <w:rPr>
          <w:lang w:val="en-US" w:eastAsia="en-AU"/>
        </w:rPr>
        <w:t xml:space="preserve">In this section the focus is on labour productivity growth at the industry level. For each industry the numerator is GVA, while the denominator is hours worked. No adjustment is made in the latter for quality hours worked, reflecting the data that are published. </w:t>
      </w:r>
    </w:p>
    <w:p w14:paraId="3D601C7F" w14:textId="28F6A166" w:rsidR="00F0490D" w:rsidRPr="00F0490D" w:rsidRDefault="00F0490D" w:rsidP="00F0490D">
      <w:pPr>
        <w:rPr>
          <w:lang w:val="en-US" w:eastAsia="en-AU"/>
        </w:rPr>
      </w:pPr>
      <w:r w:rsidRPr="00F0490D">
        <w:rPr>
          <w:lang w:val="en-US" w:eastAsia="en-AU"/>
        </w:rPr>
        <w:t xml:space="preserve">Table </w:t>
      </w:r>
      <w:r w:rsidR="00CC5874" w:rsidRPr="00EA3D84">
        <w:rPr>
          <w:lang w:val="en-US" w:eastAsia="en-AU"/>
        </w:rPr>
        <w:t>7</w:t>
      </w:r>
      <w:r w:rsidR="00CC5874">
        <w:rPr>
          <w:lang w:val="en-US" w:eastAsia="en-AU"/>
        </w:rPr>
        <w:t>3</w:t>
      </w:r>
      <w:r w:rsidR="00CC5874" w:rsidRPr="00F0490D">
        <w:rPr>
          <w:lang w:val="en-US" w:eastAsia="en-AU"/>
        </w:rPr>
        <w:t xml:space="preserve"> </w:t>
      </w:r>
      <w:r w:rsidRPr="00F0490D">
        <w:rPr>
          <w:lang w:val="en-US" w:eastAsia="en-AU"/>
        </w:rPr>
        <w:t xml:space="preserve">presents data on the average annual growth in labour productivity in the market sector over the period 1998 to 2024. The average annual growth is shown over intervals of five years, reflecting the value of assessing productivity over longer time periods. </w:t>
      </w:r>
    </w:p>
    <w:p w14:paraId="2B31F793" w14:textId="02C81E92" w:rsidR="00F0490D" w:rsidRDefault="00F0490D" w:rsidP="00F0490D">
      <w:pPr>
        <w:rPr>
          <w:lang w:val="en-US" w:eastAsia="en-AU"/>
        </w:rPr>
      </w:pPr>
      <w:r w:rsidRPr="00F0490D">
        <w:rPr>
          <w:lang w:val="en-US" w:eastAsia="en-AU"/>
        </w:rPr>
        <w:t xml:space="preserve">Figure </w:t>
      </w:r>
      <w:r w:rsidRPr="00EA3D84">
        <w:rPr>
          <w:lang w:val="en-US" w:eastAsia="en-AU"/>
        </w:rPr>
        <w:t>64</w:t>
      </w:r>
      <w:r w:rsidRPr="00F0490D">
        <w:rPr>
          <w:lang w:val="en-US" w:eastAsia="en-AU"/>
        </w:rPr>
        <w:t xml:space="preserve"> shows trends graphically, although for space reasons the analysis is confined to five market sector industries. An all-industry group that includes the non-market sector is included for comparative purposes, although the limits of this all-industry measure should be acknowledged. The choice of particular market sector to profile is based primarily on size (in terms of employment at August 2024). The sectors are retail; construction; professional, scientific and technical services; mining; and manufacturing. Mining has been included because it has a disproportionate effect on measures of Australia’s national productivity; and manufacturing has been included because of its historical importance in the Australian economy. </w:t>
      </w:r>
    </w:p>
    <w:p w14:paraId="2BFF24DB" w14:textId="7D817280" w:rsidR="00F0490D" w:rsidRPr="00F0490D" w:rsidRDefault="00F0490D" w:rsidP="00EA3D84">
      <w:pPr>
        <w:pStyle w:val="Caption"/>
      </w:pPr>
      <w:bookmarkStart w:id="1125" w:name="_Toc194251497"/>
      <w:r>
        <w:t xml:space="preserve">Table </w:t>
      </w:r>
      <w:r>
        <w:rPr>
          <w:bCs w:val="0"/>
          <w:iCs w:val="0"/>
        </w:rPr>
        <w:fldChar w:fldCharType="begin"/>
      </w:r>
      <w:r>
        <w:instrText xml:space="preserve"> SEQ Table \* ARABIC </w:instrText>
      </w:r>
      <w:r>
        <w:rPr>
          <w:bCs w:val="0"/>
          <w:iCs w:val="0"/>
        </w:rPr>
        <w:fldChar w:fldCharType="separate"/>
      </w:r>
      <w:r w:rsidR="00DE5F5E">
        <w:rPr>
          <w:noProof/>
        </w:rPr>
        <w:t>73</w:t>
      </w:r>
      <w:r>
        <w:rPr>
          <w:bCs w:val="0"/>
          <w:iCs w:val="0"/>
        </w:rPr>
        <w:fldChar w:fldCharType="end"/>
      </w:r>
      <w:r w:rsidRPr="00F0490D" w:rsidDel="00F0490D">
        <w:t xml:space="preserve">: </w:t>
      </w:r>
      <w:r w:rsidRPr="00F0490D">
        <w:t>Average annual growth in labour productivity by industry (market sector), Australia, 1998 to 2024</w:t>
      </w:r>
      <w:bookmarkEnd w:id="1125"/>
      <w:r w:rsidRPr="00F0490D">
        <w:t xml:space="preserve"> </w:t>
      </w:r>
    </w:p>
    <w:tbl>
      <w:tblPr>
        <w:tblW w:w="9298" w:type="dxa"/>
        <w:tblBorders>
          <w:top w:val="single" w:sz="4" w:space="0" w:color="auto"/>
          <w:bottom w:val="single" w:sz="4" w:space="0" w:color="auto"/>
        </w:tblBorders>
        <w:tblLayout w:type="fixed"/>
        <w:tblLook w:val="04A0" w:firstRow="1" w:lastRow="0" w:firstColumn="1" w:lastColumn="0" w:noHBand="0" w:noVBand="1"/>
      </w:tblPr>
      <w:tblGrid>
        <w:gridCol w:w="1757"/>
        <w:gridCol w:w="942"/>
        <w:gridCol w:w="69"/>
        <w:gridCol w:w="874"/>
        <w:gridCol w:w="58"/>
        <w:gridCol w:w="884"/>
        <w:gridCol w:w="49"/>
        <w:gridCol w:w="894"/>
        <w:gridCol w:w="39"/>
        <w:gridCol w:w="904"/>
        <w:gridCol w:w="29"/>
        <w:gridCol w:w="913"/>
        <w:gridCol w:w="20"/>
        <w:gridCol w:w="923"/>
        <w:gridCol w:w="10"/>
        <w:gridCol w:w="933"/>
      </w:tblGrid>
      <w:tr w:rsidR="00F0490D" w:rsidRPr="00F0490D" w14:paraId="4545AE04" w14:textId="77777777" w:rsidTr="004D0253">
        <w:trPr>
          <w:trHeight w:val="323"/>
        </w:trPr>
        <w:tc>
          <w:tcPr>
            <w:tcW w:w="1757" w:type="dxa"/>
            <w:tcBorders>
              <w:top w:val="single" w:sz="4" w:space="0" w:color="auto"/>
              <w:bottom w:val="single" w:sz="4" w:space="0" w:color="auto"/>
            </w:tcBorders>
            <w:noWrap/>
            <w:vAlign w:val="bottom"/>
          </w:tcPr>
          <w:p w14:paraId="599968F8" w14:textId="77777777" w:rsidR="00F0490D" w:rsidRPr="00F0490D" w:rsidRDefault="00F0490D">
            <w:pPr>
              <w:spacing w:after="0" w:line="240" w:lineRule="auto"/>
              <w:rPr>
                <w:rFonts w:cs="Calibri"/>
                <w:b/>
                <w:bCs/>
                <w:color w:val="000000"/>
                <w:sz w:val="20"/>
                <w:szCs w:val="20"/>
              </w:rPr>
            </w:pPr>
          </w:p>
        </w:tc>
        <w:tc>
          <w:tcPr>
            <w:tcW w:w="5675" w:type="dxa"/>
            <w:gridSpan w:val="12"/>
            <w:tcBorders>
              <w:top w:val="single" w:sz="4" w:space="0" w:color="auto"/>
              <w:bottom w:val="single" w:sz="4" w:space="0" w:color="auto"/>
              <w:right w:val="single" w:sz="4" w:space="0" w:color="auto"/>
            </w:tcBorders>
            <w:noWrap/>
            <w:vAlign w:val="bottom"/>
          </w:tcPr>
          <w:p w14:paraId="6D5CE914" w14:textId="28D7AE3D" w:rsidR="00F0490D" w:rsidRPr="00F0490D" w:rsidRDefault="00F0490D">
            <w:pPr>
              <w:spacing w:after="0" w:line="240" w:lineRule="auto"/>
              <w:jc w:val="center"/>
              <w:rPr>
                <w:rFonts w:cs="Calibri"/>
                <w:b/>
                <w:bCs/>
                <w:color w:val="000000"/>
                <w:sz w:val="20"/>
                <w:szCs w:val="20"/>
              </w:rPr>
            </w:pPr>
            <w:r>
              <w:rPr>
                <w:rFonts w:cs="Calibri"/>
                <w:b/>
                <w:bCs/>
                <w:color w:val="000000"/>
                <w:sz w:val="20"/>
                <w:szCs w:val="20"/>
              </w:rPr>
              <w:t>Five</w:t>
            </w:r>
            <w:r w:rsidRPr="00F0490D">
              <w:rPr>
                <w:rFonts w:cs="Calibri"/>
                <w:b/>
                <w:bCs/>
                <w:color w:val="000000"/>
                <w:sz w:val="20"/>
                <w:szCs w:val="20"/>
              </w:rPr>
              <w:t>-year periods</w:t>
            </w:r>
          </w:p>
        </w:tc>
        <w:tc>
          <w:tcPr>
            <w:tcW w:w="933" w:type="dxa"/>
            <w:gridSpan w:val="2"/>
            <w:tcBorders>
              <w:top w:val="single" w:sz="4" w:space="0" w:color="auto"/>
              <w:left w:val="single" w:sz="4" w:space="0" w:color="auto"/>
              <w:bottom w:val="single" w:sz="4" w:space="0" w:color="auto"/>
            </w:tcBorders>
            <w:noWrap/>
            <w:vAlign w:val="bottom"/>
          </w:tcPr>
          <w:p w14:paraId="20668F31" w14:textId="77777777" w:rsidR="00F0490D" w:rsidRPr="00F0490D" w:rsidRDefault="00F0490D">
            <w:pPr>
              <w:spacing w:after="0" w:line="240" w:lineRule="auto"/>
              <w:rPr>
                <w:rFonts w:cs="Calibri"/>
                <w:b/>
                <w:bCs/>
                <w:color w:val="000000"/>
                <w:sz w:val="20"/>
                <w:szCs w:val="20"/>
              </w:rPr>
            </w:pPr>
          </w:p>
        </w:tc>
        <w:tc>
          <w:tcPr>
            <w:tcW w:w="933" w:type="dxa"/>
            <w:tcBorders>
              <w:top w:val="single" w:sz="4" w:space="0" w:color="auto"/>
              <w:bottom w:val="single" w:sz="4" w:space="0" w:color="auto"/>
            </w:tcBorders>
            <w:noWrap/>
            <w:vAlign w:val="bottom"/>
          </w:tcPr>
          <w:p w14:paraId="19900612" w14:textId="77777777" w:rsidR="00F0490D" w:rsidRPr="00F0490D" w:rsidRDefault="00F0490D">
            <w:pPr>
              <w:spacing w:after="0" w:line="240" w:lineRule="auto"/>
              <w:rPr>
                <w:rFonts w:cs="Calibri"/>
                <w:b/>
                <w:bCs/>
                <w:color w:val="000000"/>
                <w:sz w:val="20"/>
                <w:szCs w:val="20"/>
              </w:rPr>
            </w:pPr>
          </w:p>
        </w:tc>
      </w:tr>
      <w:tr w:rsidR="0073536F" w:rsidRPr="00522CD5" w14:paraId="32A6719C" w14:textId="77777777" w:rsidTr="0073536F">
        <w:trPr>
          <w:trHeight w:val="323"/>
        </w:trPr>
        <w:tc>
          <w:tcPr>
            <w:tcW w:w="1757" w:type="dxa"/>
            <w:tcBorders>
              <w:top w:val="single" w:sz="4" w:space="0" w:color="auto"/>
              <w:bottom w:val="single" w:sz="4" w:space="0" w:color="auto"/>
            </w:tcBorders>
            <w:noWrap/>
            <w:vAlign w:val="bottom"/>
            <w:hideMark/>
          </w:tcPr>
          <w:p w14:paraId="1D31A240" w14:textId="77777777" w:rsidR="00F0490D" w:rsidRPr="00522CD5" w:rsidRDefault="00F0490D">
            <w:pPr>
              <w:spacing w:after="0" w:line="240" w:lineRule="auto"/>
              <w:rPr>
                <w:rFonts w:cs="Calibri"/>
                <w:color w:val="000000"/>
                <w:sz w:val="20"/>
                <w:szCs w:val="20"/>
              </w:rPr>
            </w:pPr>
          </w:p>
        </w:tc>
        <w:tc>
          <w:tcPr>
            <w:tcW w:w="942" w:type="dxa"/>
            <w:tcBorders>
              <w:top w:val="single" w:sz="4" w:space="0" w:color="auto"/>
              <w:bottom w:val="single" w:sz="4" w:space="0" w:color="auto"/>
            </w:tcBorders>
            <w:noWrap/>
            <w:vAlign w:val="bottom"/>
            <w:hideMark/>
          </w:tcPr>
          <w:p w14:paraId="317A0B8D" w14:textId="77777777" w:rsidR="0073536F" w:rsidRDefault="00F0490D" w:rsidP="00EA3D84">
            <w:pPr>
              <w:spacing w:after="0" w:line="240" w:lineRule="auto"/>
              <w:jc w:val="right"/>
              <w:rPr>
                <w:rFonts w:ascii="Symbol" w:eastAsia="Symbol" w:hAnsi="Symbol" w:cs="Symbol"/>
                <w:color w:val="000000"/>
                <w:sz w:val="20"/>
                <w:szCs w:val="20"/>
              </w:rPr>
            </w:pPr>
            <w:r w:rsidRPr="00522CD5">
              <w:rPr>
                <w:rFonts w:cs="Calibri"/>
                <w:color w:val="000000"/>
                <w:sz w:val="20"/>
                <w:szCs w:val="20"/>
              </w:rPr>
              <w:t>1998</w:t>
            </w:r>
            <w:r>
              <w:rPr>
                <w:rFonts w:ascii="Symbol" w:eastAsia="Symbol" w:hAnsi="Symbol" w:cs="Symbol"/>
                <w:color w:val="000000"/>
                <w:sz w:val="20"/>
                <w:szCs w:val="20"/>
              </w:rPr>
              <w:sym w:font="Symbol" w:char="F02D"/>
            </w:r>
          </w:p>
          <w:p w14:paraId="142A4014" w14:textId="68E3AF12" w:rsidR="00F0490D" w:rsidRPr="00522CD5" w:rsidRDefault="0073536F" w:rsidP="00EA3D84">
            <w:pPr>
              <w:spacing w:after="0" w:line="240" w:lineRule="auto"/>
              <w:jc w:val="right"/>
              <w:rPr>
                <w:rFonts w:cs="Calibri"/>
                <w:color w:val="000000"/>
                <w:sz w:val="20"/>
                <w:szCs w:val="20"/>
              </w:rPr>
            </w:pPr>
            <w:r>
              <w:rPr>
                <w:rFonts w:cs="Calibri"/>
                <w:color w:val="000000"/>
                <w:sz w:val="20"/>
                <w:szCs w:val="20"/>
              </w:rPr>
              <w:t>2</w:t>
            </w:r>
            <w:r w:rsidR="00F0490D" w:rsidRPr="00522CD5">
              <w:rPr>
                <w:rFonts w:cs="Calibri"/>
                <w:color w:val="000000"/>
                <w:sz w:val="20"/>
                <w:szCs w:val="20"/>
              </w:rPr>
              <w:t>002</w:t>
            </w:r>
          </w:p>
        </w:tc>
        <w:tc>
          <w:tcPr>
            <w:tcW w:w="943" w:type="dxa"/>
            <w:gridSpan w:val="2"/>
            <w:tcBorders>
              <w:top w:val="single" w:sz="4" w:space="0" w:color="auto"/>
              <w:bottom w:val="single" w:sz="4" w:space="0" w:color="auto"/>
            </w:tcBorders>
            <w:noWrap/>
            <w:vAlign w:val="bottom"/>
            <w:hideMark/>
          </w:tcPr>
          <w:p w14:paraId="78B6B563" w14:textId="77777777" w:rsidR="0073536F" w:rsidRDefault="00F0490D" w:rsidP="00EA3D84">
            <w:pPr>
              <w:spacing w:after="0" w:line="240" w:lineRule="auto"/>
              <w:jc w:val="right"/>
              <w:rPr>
                <w:rFonts w:ascii="Symbol" w:eastAsia="Symbol" w:hAnsi="Symbol" w:cs="Symbol"/>
                <w:color w:val="000000"/>
                <w:sz w:val="20"/>
                <w:szCs w:val="20"/>
              </w:rPr>
            </w:pPr>
            <w:r w:rsidRPr="00522CD5">
              <w:rPr>
                <w:rFonts w:cs="Calibri"/>
                <w:color w:val="000000"/>
                <w:sz w:val="20"/>
                <w:szCs w:val="20"/>
              </w:rPr>
              <w:t>2003</w:t>
            </w:r>
            <w:r>
              <w:rPr>
                <w:rFonts w:ascii="Symbol" w:eastAsia="Symbol" w:hAnsi="Symbol" w:cs="Symbol"/>
                <w:color w:val="000000"/>
                <w:sz w:val="20"/>
                <w:szCs w:val="20"/>
              </w:rPr>
              <w:sym w:font="Symbol" w:char="F02D"/>
            </w:r>
          </w:p>
          <w:p w14:paraId="33E8F60A" w14:textId="2F5205D6" w:rsidR="00F0490D" w:rsidRPr="00522CD5" w:rsidRDefault="00F0490D" w:rsidP="00EA3D84">
            <w:pPr>
              <w:spacing w:after="0" w:line="240" w:lineRule="auto"/>
              <w:jc w:val="right"/>
              <w:rPr>
                <w:rFonts w:cs="Calibri"/>
                <w:color w:val="000000"/>
                <w:sz w:val="20"/>
                <w:szCs w:val="20"/>
              </w:rPr>
            </w:pPr>
            <w:r w:rsidRPr="00522CD5">
              <w:rPr>
                <w:rFonts w:cs="Calibri"/>
                <w:color w:val="000000"/>
                <w:sz w:val="20"/>
                <w:szCs w:val="20"/>
              </w:rPr>
              <w:t>2007</w:t>
            </w:r>
          </w:p>
        </w:tc>
        <w:tc>
          <w:tcPr>
            <w:tcW w:w="942" w:type="dxa"/>
            <w:gridSpan w:val="2"/>
            <w:tcBorders>
              <w:top w:val="single" w:sz="4" w:space="0" w:color="auto"/>
              <w:bottom w:val="single" w:sz="4" w:space="0" w:color="auto"/>
            </w:tcBorders>
            <w:noWrap/>
            <w:vAlign w:val="bottom"/>
            <w:hideMark/>
          </w:tcPr>
          <w:p w14:paraId="28257714" w14:textId="77777777" w:rsidR="0073536F" w:rsidRDefault="00F0490D" w:rsidP="00EA3D84">
            <w:pPr>
              <w:spacing w:after="0" w:line="240" w:lineRule="auto"/>
              <w:jc w:val="right"/>
              <w:rPr>
                <w:rFonts w:ascii="Symbol" w:eastAsia="Symbol" w:hAnsi="Symbol" w:cs="Symbol"/>
                <w:color w:val="000000"/>
                <w:sz w:val="20"/>
                <w:szCs w:val="20"/>
              </w:rPr>
            </w:pPr>
            <w:r w:rsidRPr="00522CD5">
              <w:rPr>
                <w:rFonts w:cs="Calibri"/>
                <w:color w:val="000000"/>
                <w:sz w:val="20"/>
                <w:szCs w:val="20"/>
              </w:rPr>
              <w:t>2008</w:t>
            </w:r>
            <w:r>
              <w:rPr>
                <w:rFonts w:ascii="Symbol" w:eastAsia="Symbol" w:hAnsi="Symbol" w:cs="Symbol"/>
                <w:color w:val="000000"/>
                <w:sz w:val="20"/>
                <w:szCs w:val="20"/>
              </w:rPr>
              <w:sym w:font="Symbol" w:char="F02D"/>
            </w:r>
          </w:p>
          <w:p w14:paraId="0B33AF02" w14:textId="7BAC9D8F" w:rsidR="00F0490D" w:rsidRPr="00522CD5" w:rsidRDefault="00F0490D" w:rsidP="00EA3D84">
            <w:pPr>
              <w:spacing w:after="0" w:line="240" w:lineRule="auto"/>
              <w:jc w:val="right"/>
              <w:rPr>
                <w:rFonts w:cs="Calibri"/>
                <w:color w:val="000000"/>
                <w:sz w:val="20"/>
                <w:szCs w:val="20"/>
              </w:rPr>
            </w:pPr>
            <w:r w:rsidRPr="00522CD5">
              <w:rPr>
                <w:rFonts w:cs="Calibri"/>
                <w:color w:val="000000"/>
                <w:sz w:val="20"/>
                <w:szCs w:val="20"/>
              </w:rPr>
              <w:t>2012</w:t>
            </w:r>
          </w:p>
        </w:tc>
        <w:tc>
          <w:tcPr>
            <w:tcW w:w="943" w:type="dxa"/>
            <w:gridSpan w:val="2"/>
            <w:tcBorders>
              <w:top w:val="single" w:sz="4" w:space="0" w:color="auto"/>
              <w:bottom w:val="single" w:sz="4" w:space="0" w:color="auto"/>
            </w:tcBorders>
            <w:noWrap/>
            <w:vAlign w:val="bottom"/>
            <w:hideMark/>
          </w:tcPr>
          <w:p w14:paraId="3AA0EC28" w14:textId="77777777" w:rsidR="0073536F" w:rsidRDefault="00F0490D" w:rsidP="00EA3D84">
            <w:pPr>
              <w:spacing w:after="0" w:line="240" w:lineRule="auto"/>
              <w:jc w:val="right"/>
              <w:rPr>
                <w:rFonts w:ascii="Symbol" w:eastAsia="Symbol" w:hAnsi="Symbol" w:cs="Symbol"/>
                <w:color w:val="000000"/>
                <w:sz w:val="20"/>
                <w:szCs w:val="20"/>
              </w:rPr>
            </w:pPr>
            <w:r w:rsidRPr="00522CD5">
              <w:rPr>
                <w:rFonts w:cs="Calibri"/>
                <w:color w:val="000000"/>
                <w:sz w:val="20"/>
                <w:szCs w:val="20"/>
              </w:rPr>
              <w:t>2013</w:t>
            </w:r>
            <w:r>
              <w:rPr>
                <w:rFonts w:ascii="Symbol" w:eastAsia="Symbol" w:hAnsi="Symbol" w:cs="Symbol"/>
                <w:color w:val="000000"/>
                <w:sz w:val="20"/>
                <w:szCs w:val="20"/>
              </w:rPr>
              <w:sym w:font="Symbol" w:char="F02D"/>
            </w:r>
          </w:p>
          <w:p w14:paraId="58CD9D3E" w14:textId="114C63E4" w:rsidR="00F0490D" w:rsidRPr="00522CD5" w:rsidRDefault="00F0490D" w:rsidP="00EA3D84">
            <w:pPr>
              <w:spacing w:after="0" w:line="240" w:lineRule="auto"/>
              <w:jc w:val="right"/>
              <w:rPr>
                <w:rFonts w:cs="Calibri"/>
                <w:color w:val="000000"/>
                <w:sz w:val="20"/>
                <w:szCs w:val="20"/>
              </w:rPr>
            </w:pPr>
            <w:r w:rsidRPr="00522CD5">
              <w:rPr>
                <w:rFonts w:cs="Calibri"/>
                <w:color w:val="000000"/>
                <w:sz w:val="20"/>
                <w:szCs w:val="20"/>
              </w:rPr>
              <w:t>2017</w:t>
            </w:r>
          </w:p>
        </w:tc>
        <w:tc>
          <w:tcPr>
            <w:tcW w:w="943" w:type="dxa"/>
            <w:gridSpan w:val="2"/>
            <w:tcBorders>
              <w:top w:val="single" w:sz="4" w:space="0" w:color="auto"/>
              <w:bottom w:val="single" w:sz="4" w:space="0" w:color="auto"/>
            </w:tcBorders>
            <w:noWrap/>
            <w:vAlign w:val="bottom"/>
            <w:hideMark/>
          </w:tcPr>
          <w:p w14:paraId="76731E3E" w14:textId="77777777" w:rsidR="0073536F" w:rsidRDefault="00F0490D" w:rsidP="00EA3D84">
            <w:pPr>
              <w:spacing w:after="0" w:line="240" w:lineRule="auto"/>
              <w:jc w:val="right"/>
              <w:rPr>
                <w:rFonts w:ascii="Symbol" w:eastAsia="Symbol" w:hAnsi="Symbol" w:cs="Symbol"/>
                <w:color w:val="000000"/>
                <w:sz w:val="20"/>
                <w:szCs w:val="20"/>
              </w:rPr>
            </w:pPr>
            <w:r w:rsidRPr="00522CD5">
              <w:rPr>
                <w:rFonts w:cs="Calibri"/>
                <w:color w:val="000000"/>
                <w:sz w:val="20"/>
                <w:szCs w:val="20"/>
              </w:rPr>
              <w:t>2018</w:t>
            </w:r>
            <w:r>
              <w:rPr>
                <w:rFonts w:ascii="Symbol" w:eastAsia="Symbol" w:hAnsi="Symbol" w:cs="Symbol"/>
                <w:color w:val="000000"/>
                <w:sz w:val="20"/>
                <w:szCs w:val="20"/>
              </w:rPr>
              <w:sym w:font="Symbol" w:char="F02D"/>
            </w:r>
          </w:p>
          <w:p w14:paraId="6316323B" w14:textId="25FD0344" w:rsidR="00F0490D" w:rsidRPr="00522CD5" w:rsidRDefault="00F0490D" w:rsidP="00EA3D84">
            <w:pPr>
              <w:spacing w:after="0" w:line="240" w:lineRule="auto"/>
              <w:jc w:val="right"/>
              <w:rPr>
                <w:rFonts w:cs="Calibri"/>
                <w:color w:val="000000"/>
                <w:sz w:val="20"/>
                <w:szCs w:val="20"/>
              </w:rPr>
            </w:pPr>
            <w:r w:rsidRPr="00522CD5">
              <w:rPr>
                <w:rFonts w:cs="Calibri"/>
                <w:color w:val="000000"/>
                <w:sz w:val="20"/>
                <w:szCs w:val="20"/>
              </w:rPr>
              <w:t>2022</w:t>
            </w:r>
          </w:p>
        </w:tc>
        <w:tc>
          <w:tcPr>
            <w:tcW w:w="942" w:type="dxa"/>
            <w:gridSpan w:val="2"/>
            <w:tcBorders>
              <w:top w:val="single" w:sz="4" w:space="0" w:color="auto"/>
              <w:bottom w:val="single" w:sz="4" w:space="0" w:color="auto"/>
              <w:right w:val="single" w:sz="4" w:space="0" w:color="auto"/>
            </w:tcBorders>
            <w:noWrap/>
            <w:vAlign w:val="bottom"/>
            <w:hideMark/>
          </w:tcPr>
          <w:p w14:paraId="133A2416" w14:textId="77777777" w:rsidR="0073536F" w:rsidRDefault="00F0490D" w:rsidP="00EA3D84">
            <w:pPr>
              <w:spacing w:after="0" w:line="240" w:lineRule="auto"/>
              <w:jc w:val="right"/>
              <w:rPr>
                <w:rFonts w:ascii="Symbol" w:eastAsia="Symbol" w:hAnsi="Symbol" w:cs="Symbol"/>
                <w:color w:val="000000"/>
                <w:sz w:val="20"/>
                <w:szCs w:val="20"/>
              </w:rPr>
            </w:pPr>
            <w:r w:rsidRPr="00522CD5">
              <w:rPr>
                <w:rFonts w:cs="Calibri"/>
                <w:color w:val="000000"/>
                <w:sz w:val="20"/>
                <w:szCs w:val="20"/>
              </w:rPr>
              <w:t>2020</w:t>
            </w:r>
            <w:r>
              <w:rPr>
                <w:rFonts w:ascii="Symbol" w:eastAsia="Symbol" w:hAnsi="Symbol" w:cs="Symbol"/>
                <w:color w:val="000000"/>
                <w:sz w:val="20"/>
                <w:szCs w:val="20"/>
              </w:rPr>
              <w:sym w:font="Symbol" w:char="F02D"/>
            </w:r>
          </w:p>
          <w:p w14:paraId="6591F20D" w14:textId="7DCBEC6E" w:rsidR="00F0490D" w:rsidRPr="00522CD5" w:rsidRDefault="00F0490D" w:rsidP="00EA3D84">
            <w:pPr>
              <w:spacing w:after="0" w:line="240" w:lineRule="auto"/>
              <w:jc w:val="right"/>
              <w:rPr>
                <w:rFonts w:cs="Calibri"/>
                <w:color w:val="000000"/>
                <w:sz w:val="20"/>
                <w:szCs w:val="20"/>
              </w:rPr>
            </w:pPr>
            <w:r w:rsidRPr="00522CD5">
              <w:rPr>
                <w:rFonts w:cs="Calibri"/>
                <w:color w:val="000000"/>
                <w:sz w:val="20"/>
                <w:szCs w:val="20"/>
              </w:rPr>
              <w:t>2024</w:t>
            </w:r>
          </w:p>
        </w:tc>
        <w:tc>
          <w:tcPr>
            <w:tcW w:w="943" w:type="dxa"/>
            <w:gridSpan w:val="2"/>
            <w:tcBorders>
              <w:top w:val="single" w:sz="4" w:space="0" w:color="auto"/>
              <w:left w:val="single" w:sz="4" w:space="0" w:color="auto"/>
              <w:bottom w:val="single" w:sz="4" w:space="0" w:color="auto"/>
            </w:tcBorders>
            <w:noWrap/>
            <w:vAlign w:val="bottom"/>
            <w:hideMark/>
          </w:tcPr>
          <w:p w14:paraId="3CFF4035" w14:textId="77777777" w:rsidR="0073536F" w:rsidRDefault="00F0490D" w:rsidP="00EA3D84">
            <w:pPr>
              <w:spacing w:after="0" w:line="240" w:lineRule="auto"/>
              <w:jc w:val="right"/>
              <w:rPr>
                <w:rFonts w:ascii="Symbol" w:eastAsia="Symbol" w:hAnsi="Symbol" w:cs="Symbol"/>
                <w:color w:val="000000"/>
                <w:sz w:val="20"/>
                <w:szCs w:val="20"/>
              </w:rPr>
            </w:pPr>
            <w:r w:rsidRPr="00522CD5">
              <w:rPr>
                <w:rFonts w:cs="Calibri"/>
                <w:color w:val="000000"/>
                <w:sz w:val="20"/>
                <w:szCs w:val="20"/>
              </w:rPr>
              <w:t>2022</w:t>
            </w:r>
            <w:r>
              <w:rPr>
                <w:rFonts w:ascii="Symbol" w:eastAsia="Symbol" w:hAnsi="Symbol" w:cs="Symbol"/>
                <w:color w:val="000000"/>
                <w:sz w:val="20"/>
                <w:szCs w:val="20"/>
              </w:rPr>
              <w:sym w:font="Symbol" w:char="F02D"/>
            </w:r>
          </w:p>
          <w:p w14:paraId="2AFFB6CA" w14:textId="5C477924" w:rsidR="00F0490D" w:rsidRPr="00522CD5" w:rsidRDefault="00F0490D" w:rsidP="00EA3D84">
            <w:pPr>
              <w:spacing w:after="0" w:line="240" w:lineRule="auto"/>
              <w:jc w:val="right"/>
              <w:rPr>
                <w:rFonts w:cs="Calibri"/>
                <w:color w:val="000000"/>
                <w:sz w:val="20"/>
                <w:szCs w:val="20"/>
              </w:rPr>
            </w:pPr>
            <w:r w:rsidRPr="00522CD5">
              <w:rPr>
                <w:rFonts w:cs="Calibri"/>
                <w:color w:val="000000"/>
                <w:sz w:val="20"/>
                <w:szCs w:val="20"/>
              </w:rPr>
              <w:t>2024</w:t>
            </w:r>
          </w:p>
        </w:tc>
        <w:tc>
          <w:tcPr>
            <w:tcW w:w="943" w:type="dxa"/>
            <w:gridSpan w:val="2"/>
            <w:tcBorders>
              <w:top w:val="single" w:sz="4" w:space="0" w:color="auto"/>
              <w:bottom w:val="single" w:sz="4" w:space="0" w:color="auto"/>
            </w:tcBorders>
            <w:noWrap/>
            <w:vAlign w:val="bottom"/>
            <w:hideMark/>
          </w:tcPr>
          <w:p w14:paraId="45253925" w14:textId="77777777" w:rsidR="0073536F" w:rsidRDefault="00F0490D" w:rsidP="00EA3D84">
            <w:pPr>
              <w:spacing w:after="0" w:line="240" w:lineRule="auto"/>
              <w:jc w:val="right"/>
              <w:rPr>
                <w:rFonts w:ascii="Symbol" w:eastAsia="Symbol" w:hAnsi="Symbol" w:cs="Symbol"/>
                <w:color w:val="000000"/>
                <w:sz w:val="20"/>
                <w:szCs w:val="20"/>
              </w:rPr>
            </w:pPr>
            <w:r w:rsidRPr="00522CD5">
              <w:rPr>
                <w:rFonts w:cs="Calibri"/>
                <w:color w:val="000000"/>
                <w:sz w:val="20"/>
                <w:szCs w:val="20"/>
              </w:rPr>
              <w:t>2012</w:t>
            </w:r>
            <w:r>
              <w:rPr>
                <w:rFonts w:ascii="Symbol" w:eastAsia="Symbol" w:hAnsi="Symbol" w:cs="Symbol"/>
                <w:color w:val="000000"/>
                <w:sz w:val="20"/>
                <w:szCs w:val="20"/>
              </w:rPr>
              <w:sym w:font="Symbol" w:char="F02D"/>
            </w:r>
          </w:p>
          <w:p w14:paraId="2F142399" w14:textId="2450A70C" w:rsidR="00F0490D" w:rsidRPr="00522CD5" w:rsidRDefault="00F0490D" w:rsidP="00EA3D84">
            <w:pPr>
              <w:spacing w:after="0" w:line="240" w:lineRule="auto"/>
              <w:jc w:val="right"/>
              <w:rPr>
                <w:rFonts w:cs="Calibri"/>
                <w:color w:val="000000"/>
                <w:sz w:val="20"/>
                <w:szCs w:val="20"/>
              </w:rPr>
            </w:pPr>
            <w:r w:rsidRPr="00522CD5">
              <w:rPr>
                <w:rFonts w:cs="Calibri"/>
                <w:color w:val="000000"/>
                <w:sz w:val="20"/>
                <w:szCs w:val="20"/>
              </w:rPr>
              <w:t>2024</w:t>
            </w:r>
          </w:p>
        </w:tc>
      </w:tr>
      <w:tr w:rsidR="0073536F" w:rsidRPr="00522CD5" w14:paraId="30079EFA" w14:textId="77777777" w:rsidTr="001201B9">
        <w:trPr>
          <w:trHeight w:val="502"/>
        </w:trPr>
        <w:tc>
          <w:tcPr>
            <w:tcW w:w="1757" w:type="dxa"/>
            <w:tcBorders>
              <w:top w:val="single" w:sz="4" w:space="0" w:color="auto"/>
            </w:tcBorders>
            <w:vAlign w:val="bottom"/>
            <w:hideMark/>
          </w:tcPr>
          <w:p w14:paraId="36613D06" w14:textId="77777777" w:rsidR="00F0490D" w:rsidRPr="00522CD5" w:rsidRDefault="00F0490D">
            <w:pPr>
              <w:spacing w:after="0" w:line="240" w:lineRule="auto"/>
              <w:rPr>
                <w:rFonts w:cs="Calibri"/>
                <w:color w:val="000000"/>
                <w:sz w:val="20"/>
                <w:szCs w:val="20"/>
              </w:rPr>
            </w:pPr>
            <w:r w:rsidRPr="00522CD5">
              <w:rPr>
                <w:rFonts w:cs="Calibri"/>
                <w:color w:val="000000"/>
                <w:sz w:val="20"/>
                <w:szCs w:val="20"/>
              </w:rPr>
              <w:t xml:space="preserve">Agriculture, forestry and fishing  </w:t>
            </w:r>
          </w:p>
        </w:tc>
        <w:tc>
          <w:tcPr>
            <w:tcW w:w="1011" w:type="dxa"/>
            <w:gridSpan w:val="2"/>
            <w:tcBorders>
              <w:top w:val="single" w:sz="4" w:space="0" w:color="auto"/>
            </w:tcBorders>
            <w:noWrap/>
            <w:vAlign w:val="bottom"/>
            <w:hideMark/>
          </w:tcPr>
          <w:p w14:paraId="4B6ED05E"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19.6%</w:t>
            </w:r>
          </w:p>
        </w:tc>
        <w:tc>
          <w:tcPr>
            <w:tcW w:w="932" w:type="dxa"/>
            <w:gridSpan w:val="2"/>
            <w:tcBorders>
              <w:top w:val="single" w:sz="4" w:space="0" w:color="auto"/>
            </w:tcBorders>
            <w:noWrap/>
            <w:vAlign w:val="bottom"/>
            <w:hideMark/>
          </w:tcPr>
          <w:p w14:paraId="753C8109"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26.4%</w:t>
            </w:r>
          </w:p>
        </w:tc>
        <w:tc>
          <w:tcPr>
            <w:tcW w:w="933" w:type="dxa"/>
            <w:gridSpan w:val="2"/>
            <w:tcBorders>
              <w:top w:val="single" w:sz="4" w:space="0" w:color="auto"/>
            </w:tcBorders>
            <w:noWrap/>
            <w:vAlign w:val="bottom"/>
            <w:hideMark/>
          </w:tcPr>
          <w:p w14:paraId="2D2F1CC6"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25.8%</w:t>
            </w:r>
          </w:p>
        </w:tc>
        <w:tc>
          <w:tcPr>
            <w:tcW w:w="933" w:type="dxa"/>
            <w:gridSpan w:val="2"/>
            <w:tcBorders>
              <w:top w:val="single" w:sz="4" w:space="0" w:color="auto"/>
            </w:tcBorders>
            <w:noWrap/>
            <w:vAlign w:val="bottom"/>
            <w:hideMark/>
          </w:tcPr>
          <w:p w14:paraId="036F9DFE"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3.2%</w:t>
            </w:r>
          </w:p>
        </w:tc>
        <w:tc>
          <w:tcPr>
            <w:tcW w:w="933" w:type="dxa"/>
            <w:gridSpan w:val="2"/>
            <w:tcBorders>
              <w:top w:val="single" w:sz="4" w:space="0" w:color="auto"/>
            </w:tcBorders>
            <w:noWrap/>
            <w:vAlign w:val="bottom"/>
            <w:hideMark/>
          </w:tcPr>
          <w:p w14:paraId="6C0CC661"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19.1%</w:t>
            </w:r>
          </w:p>
        </w:tc>
        <w:tc>
          <w:tcPr>
            <w:tcW w:w="933" w:type="dxa"/>
            <w:gridSpan w:val="2"/>
            <w:tcBorders>
              <w:top w:val="single" w:sz="4" w:space="0" w:color="auto"/>
              <w:right w:val="single" w:sz="4" w:space="0" w:color="auto"/>
            </w:tcBorders>
            <w:noWrap/>
            <w:vAlign w:val="bottom"/>
            <w:hideMark/>
          </w:tcPr>
          <w:p w14:paraId="41235E6A"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46.3%</w:t>
            </w:r>
          </w:p>
        </w:tc>
        <w:tc>
          <w:tcPr>
            <w:tcW w:w="933" w:type="dxa"/>
            <w:gridSpan w:val="2"/>
            <w:tcBorders>
              <w:top w:val="single" w:sz="4" w:space="0" w:color="auto"/>
              <w:left w:val="single" w:sz="4" w:space="0" w:color="auto"/>
            </w:tcBorders>
            <w:noWrap/>
            <w:vAlign w:val="bottom"/>
            <w:hideMark/>
          </w:tcPr>
          <w:p w14:paraId="04E9E6FF"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7.9%</w:t>
            </w:r>
          </w:p>
        </w:tc>
        <w:tc>
          <w:tcPr>
            <w:tcW w:w="933" w:type="dxa"/>
            <w:tcBorders>
              <w:top w:val="single" w:sz="4" w:space="0" w:color="auto"/>
            </w:tcBorders>
            <w:noWrap/>
            <w:vAlign w:val="bottom"/>
            <w:hideMark/>
          </w:tcPr>
          <w:p w14:paraId="1C4F79FD"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36%</w:t>
            </w:r>
          </w:p>
        </w:tc>
      </w:tr>
      <w:tr w:rsidR="0073536F" w:rsidRPr="00522CD5" w14:paraId="23F2B3BB" w14:textId="77777777" w:rsidTr="001201B9">
        <w:trPr>
          <w:trHeight w:val="323"/>
        </w:trPr>
        <w:tc>
          <w:tcPr>
            <w:tcW w:w="1757" w:type="dxa"/>
            <w:vAlign w:val="bottom"/>
            <w:hideMark/>
          </w:tcPr>
          <w:p w14:paraId="2F6A9BE9" w14:textId="77777777" w:rsidR="00F0490D" w:rsidRPr="00522CD5" w:rsidRDefault="00F0490D">
            <w:pPr>
              <w:spacing w:after="0" w:line="240" w:lineRule="auto"/>
              <w:rPr>
                <w:rFonts w:cs="Calibri"/>
                <w:color w:val="000000"/>
                <w:sz w:val="20"/>
                <w:szCs w:val="20"/>
              </w:rPr>
            </w:pPr>
            <w:r w:rsidRPr="00522CD5">
              <w:rPr>
                <w:rFonts w:cs="Calibri"/>
                <w:color w:val="000000"/>
                <w:sz w:val="20"/>
                <w:szCs w:val="20"/>
              </w:rPr>
              <w:t xml:space="preserve">Mining  </w:t>
            </w:r>
          </w:p>
        </w:tc>
        <w:tc>
          <w:tcPr>
            <w:tcW w:w="1011" w:type="dxa"/>
            <w:gridSpan w:val="2"/>
            <w:noWrap/>
            <w:vAlign w:val="bottom"/>
            <w:hideMark/>
          </w:tcPr>
          <w:p w14:paraId="27EC113D"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36.8%</w:t>
            </w:r>
          </w:p>
        </w:tc>
        <w:tc>
          <w:tcPr>
            <w:tcW w:w="932" w:type="dxa"/>
            <w:gridSpan w:val="2"/>
            <w:noWrap/>
            <w:vAlign w:val="bottom"/>
            <w:hideMark/>
          </w:tcPr>
          <w:p w14:paraId="265E119A"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-16.5%</w:t>
            </w:r>
          </w:p>
        </w:tc>
        <w:tc>
          <w:tcPr>
            <w:tcW w:w="933" w:type="dxa"/>
            <w:gridSpan w:val="2"/>
            <w:noWrap/>
            <w:vAlign w:val="bottom"/>
            <w:hideMark/>
          </w:tcPr>
          <w:p w14:paraId="01D5FC84"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-20.5%</w:t>
            </w:r>
          </w:p>
        </w:tc>
        <w:tc>
          <w:tcPr>
            <w:tcW w:w="933" w:type="dxa"/>
            <w:gridSpan w:val="2"/>
            <w:noWrap/>
            <w:vAlign w:val="bottom"/>
            <w:hideMark/>
          </w:tcPr>
          <w:p w14:paraId="094516F1"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54.0%</w:t>
            </w:r>
          </w:p>
        </w:tc>
        <w:tc>
          <w:tcPr>
            <w:tcW w:w="933" w:type="dxa"/>
            <w:gridSpan w:val="2"/>
            <w:noWrap/>
            <w:vAlign w:val="bottom"/>
            <w:hideMark/>
          </w:tcPr>
          <w:p w14:paraId="3A8DDDDE"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-6.4%</w:t>
            </w:r>
          </w:p>
        </w:tc>
        <w:tc>
          <w:tcPr>
            <w:tcW w:w="933" w:type="dxa"/>
            <w:gridSpan w:val="2"/>
            <w:tcBorders>
              <w:right w:val="single" w:sz="4" w:space="0" w:color="auto"/>
            </w:tcBorders>
            <w:noWrap/>
            <w:vAlign w:val="bottom"/>
            <w:hideMark/>
          </w:tcPr>
          <w:p w14:paraId="6F854E99"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-19.4%</w:t>
            </w:r>
          </w:p>
        </w:tc>
        <w:tc>
          <w:tcPr>
            <w:tcW w:w="933" w:type="dxa"/>
            <w:gridSpan w:val="2"/>
            <w:tcBorders>
              <w:left w:val="single" w:sz="4" w:space="0" w:color="auto"/>
            </w:tcBorders>
            <w:noWrap/>
            <w:vAlign w:val="bottom"/>
            <w:hideMark/>
          </w:tcPr>
          <w:p w14:paraId="68254701"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-11.2%</w:t>
            </w:r>
          </w:p>
        </w:tc>
        <w:tc>
          <w:tcPr>
            <w:tcW w:w="933" w:type="dxa"/>
            <w:noWrap/>
            <w:vAlign w:val="bottom"/>
            <w:hideMark/>
          </w:tcPr>
          <w:p w14:paraId="7921E247"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23%</w:t>
            </w:r>
          </w:p>
        </w:tc>
      </w:tr>
      <w:tr w:rsidR="0073536F" w:rsidRPr="00522CD5" w14:paraId="42D2D079" w14:textId="77777777" w:rsidTr="001201B9">
        <w:trPr>
          <w:trHeight w:val="323"/>
        </w:trPr>
        <w:tc>
          <w:tcPr>
            <w:tcW w:w="1757" w:type="dxa"/>
            <w:vAlign w:val="bottom"/>
            <w:hideMark/>
          </w:tcPr>
          <w:p w14:paraId="30E5E32D" w14:textId="77777777" w:rsidR="00F0490D" w:rsidRPr="00522CD5" w:rsidRDefault="00F0490D">
            <w:pPr>
              <w:spacing w:after="0" w:line="240" w:lineRule="auto"/>
              <w:rPr>
                <w:rFonts w:cs="Calibri"/>
                <w:color w:val="000000"/>
                <w:sz w:val="20"/>
                <w:szCs w:val="20"/>
              </w:rPr>
            </w:pPr>
            <w:r w:rsidRPr="00522CD5">
              <w:rPr>
                <w:rFonts w:cs="Calibri"/>
                <w:color w:val="000000"/>
                <w:sz w:val="20"/>
                <w:szCs w:val="20"/>
              </w:rPr>
              <w:t xml:space="preserve">Manufacturing </w:t>
            </w:r>
          </w:p>
        </w:tc>
        <w:tc>
          <w:tcPr>
            <w:tcW w:w="1011" w:type="dxa"/>
            <w:gridSpan w:val="2"/>
            <w:noWrap/>
            <w:vAlign w:val="bottom"/>
            <w:hideMark/>
          </w:tcPr>
          <w:p w14:paraId="7E4911CE"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24.2%</w:t>
            </w:r>
          </w:p>
        </w:tc>
        <w:tc>
          <w:tcPr>
            <w:tcW w:w="932" w:type="dxa"/>
            <w:gridSpan w:val="2"/>
            <w:noWrap/>
            <w:vAlign w:val="bottom"/>
            <w:hideMark/>
          </w:tcPr>
          <w:p w14:paraId="543D1195"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6.3%</w:t>
            </w:r>
          </w:p>
        </w:tc>
        <w:tc>
          <w:tcPr>
            <w:tcW w:w="933" w:type="dxa"/>
            <w:gridSpan w:val="2"/>
            <w:noWrap/>
            <w:vAlign w:val="bottom"/>
            <w:hideMark/>
          </w:tcPr>
          <w:p w14:paraId="45D863CF"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3.6%</w:t>
            </w:r>
          </w:p>
        </w:tc>
        <w:tc>
          <w:tcPr>
            <w:tcW w:w="933" w:type="dxa"/>
            <w:gridSpan w:val="2"/>
            <w:noWrap/>
            <w:vAlign w:val="bottom"/>
            <w:hideMark/>
          </w:tcPr>
          <w:p w14:paraId="1979DE82"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-0.2%</w:t>
            </w:r>
          </w:p>
        </w:tc>
        <w:tc>
          <w:tcPr>
            <w:tcW w:w="933" w:type="dxa"/>
            <w:gridSpan w:val="2"/>
            <w:noWrap/>
            <w:vAlign w:val="bottom"/>
            <w:hideMark/>
          </w:tcPr>
          <w:p w14:paraId="7359E0B0"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-1.6%</w:t>
            </w:r>
          </w:p>
        </w:tc>
        <w:tc>
          <w:tcPr>
            <w:tcW w:w="933" w:type="dxa"/>
            <w:gridSpan w:val="2"/>
            <w:tcBorders>
              <w:right w:val="single" w:sz="4" w:space="0" w:color="auto"/>
            </w:tcBorders>
            <w:noWrap/>
            <w:vAlign w:val="bottom"/>
            <w:hideMark/>
          </w:tcPr>
          <w:p w14:paraId="5A0DBA5E"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-1.8%</w:t>
            </w:r>
          </w:p>
        </w:tc>
        <w:tc>
          <w:tcPr>
            <w:tcW w:w="933" w:type="dxa"/>
            <w:gridSpan w:val="2"/>
            <w:tcBorders>
              <w:left w:val="single" w:sz="4" w:space="0" w:color="auto"/>
            </w:tcBorders>
            <w:noWrap/>
            <w:vAlign w:val="bottom"/>
            <w:hideMark/>
          </w:tcPr>
          <w:p w14:paraId="5BB3A0DB"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-1.4%</w:t>
            </w:r>
          </w:p>
        </w:tc>
        <w:tc>
          <w:tcPr>
            <w:tcW w:w="933" w:type="dxa"/>
            <w:noWrap/>
            <w:vAlign w:val="bottom"/>
            <w:hideMark/>
          </w:tcPr>
          <w:p w14:paraId="152EE34D"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-2%</w:t>
            </w:r>
          </w:p>
        </w:tc>
      </w:tr>
      <w:tr w:rsidR="0073536F" w:rsidRPr="00522CD5" w14:paraId="64A47F4D" w14:textId="77777777" w:rsidTr="001201B9">
        <w:trPr>
          <w:trHeight w:val="502"/>
        </w:trPr>
        <w:tc>
          <w:tcPr>
            <w:tcW w:w="1757" w:type="dxa"/>
            <w:vAlign w:val="bottom"/>
            <w:hideMark/>
          </w:tcPr>
          <w:p w14:paraId="2C948115" w14:textId="77777777" w:rsidR="00F0490D" w:rsidRPr="00522CD5" w:rsidRDefault="00F0490D">
            <w:pPr>
              <w:spacing w:after="0" w:line="240" w:lineRule="auto"/>
              <w:rPr>
                <w:rFonts w:cs="Calibri"/>
                <w:color w:val="000000"/>
                <w:sz w:val="20"/>
                <w:szCs w:val="20"/>
              </w:rPr>
            </w:pPr>
            <w:r w:rsidRPr="00522CD5">
              <w:rPr>
                <w:rFonts w:cs="Calibri"/>
                <w:color w:val="000000"/>
                <w:sz w:val="20"/>
                <w:szCs w:val="20"/>
              </w:rPr>
              <w:t xml:space="preserve">Electricity, gas, water and waste services  </w:t>
            </w:r>
          </w:p>
        </w:tc>
        <w:tc>
          <w:tcPr>
            <w:tcW w:w="1011" w:type="dxa"/>
            <w:gridSpan w:val="2"/>
            <w:noWrap/>
            <w:vAlign w:val="bottom"/>
            <w:hideMark/>
          </w:tcPr>
          <w:p w14:paraId="5828D546"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4.7%</w:t>
            </w:r>
          </w:p>
        </w:tc>
        <w:tc>
          <w:tcPr>
            <w:tcW w:w="932" w:type="dxa"/>
            <w:gridSpan w:val="2"/>
            <w:noWrap/>
            <w:vAlign w:val="bottom"/>
            <w:hideMark/>
          </w:tcPr>
          <w:p w14:paraId="318AC5AF"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-4.4%</w:t>
            </w:r>
          </w:p>
        </w:tc>
        <w:tc>
          <w:tcPr>
            <w:tcW w:w="933" w:type="dxa"/>
            <w:gridSpan w:val="2"/>
            <w:noWrap/>
            <w:vAlign w:val="bottom"/>
            <w:hideMark/>
          </w:tcPr>
          <w:p w14:paraId="33CE8997"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-4.9%</w:t>
            </w:r>
          </w:p>
        </w:tc>
        <w:tc>
          <w:tcPr>
            <w:tcW w:w="933" w:type="dxa"/>
            <w:gridSpan w:val="2"/>
            <w:noWrap/>
            <w:vAlign w:val="bottom"/>
            <w:hideMark/>
          </w:tcPr>
          <w:p w14:paraId="1581367B"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11.4%</w:t>
            </w:r>
          </w:p>
        </w:tc>
        <w:tc>
          <w:tcPr>
            <w:tcW w:w="933" w:type="dxa"/>
            <w:gridSpan w:val="2"/>
            <w:noWrap/>
            <w:vAlign w:val="bottom"/>
            <w:hideMark/>
          </w:tcPr>
          <w:p w14:paraId="1913D13F"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-9.6%</w:t>
            </w:r>
          </w:p>
        </w:tc>
        <w:tc>
          <w:tcPr>
            <w:tcW w:w="933" w:type="dxa"/>
            <w:gridSpan w:val="2"/>
            <w:tcBorders>
              <w:right w:val="single" w:sz="4" w:space="0" w:color="auto"/>
            </w:tcBorders>
            <w:noWrap/>
            <w:vAlign w:val="bottom"/>
            <w:hideMark/>
          </w:tcPr>
          <w:p w14:paraId="284F1915"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-7.2%</w:t>
            </w:r>
          </w:p>
        </w:tc>
        <w:tc>
          <w:tcPr>
            <w:tcW w:w="933" w:type="dxa"/>
            <w:gridSpan w:val="2"/>
            <w:tcBorders>
              <w:left w:val="single" w:sz="4" w:space="0" w:color="auto"/>
            </w:tcBorders>
            <w:noWrap/>
            <w:vAlign w:val="bottom"/>
            <w:hideMark/>
          </w:tcPr>
          <w:p w14:paraId="7D820122"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-5.8%</w:t>
            </w:r>
          </w:p>
        </w:tc>
        <w:tc>
          <w:tcPr>
            <w:tcW w:w="933" w:type="dxa"/>
            <w:noWrap/>
            <w:vAlign w:val="bottom"/>
            <w:hideMark/>
          </w:tcPr>
          <w:p w14:paraId="7F7272A1"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-9%</w:t>
            </w:r>
          </w:p>
        </w:tc>
      </w:tr>
      <w:tr w:rsidR="0073536F" w:rsidRPr="00522CD5" w14:paraId="7F866DBC" w14:textId="77777777" w:rsidTr="001201B9">
        <w:trPr>
          <w:trHeight w:val="323"/>
        </w:trPr>
        <w:tc>
          <w:tcPr>
            <w:tcW w:w="1757" w:type="dxa"/>
            <w:vAlign w:val="bottom"/>
            <w:hideMark/>
          </w:tcPr>
          <w:p w14:paraId="15B48DB5" w14:textId="77777777" w:rsidR="00F0490D" w:rsidRPr="00522CD5" w:rsidRDefault="00F0490D">
            <w:pPr>
              <w:spacing w:after="0" w:line="240" w:lineRule="auto"/>
              <w:rPr>
                <w:rFonts w:cs="Calibri"/>
                <w:color w:val="000000"/>
                <w:sz w:val="20"/>
                <w:szCs w:val="20"/>
              </w:rPr>
            </w:pPr>
            <w:r w:rsidRPr="00522CD5">
              <w:rPr>
                <w:rFonts w:cs="Calibri"/>
                <w:color w:val="000000"/>
                <w:sz w:val="20"/>
                <w:szCs w:val="20"/>
              </w:rPr>
              <w:t xml:space="preserve">Construction  </w:t>
            </w:r>
          </w:p>
        </w:tc>
        <w:tc>
          <w:tcPr>
            <w:tcW w:w="1011" w:type="dxa"/>
            <w:gridSpan w:val="2"/>
            <w:noWrap/>
            <w:vAlign w:val="bottom"/>
            <w:hideMark/>
          </w:tcPr>
          <w:p w14:paraId="4AAD1F56"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4.5%</w:t>
            </w:r>
          </w:p>
        </w:tc>
        <w:tc>
          <w:tcPr>
            <w:tcW w:w="932" w:type="dxa"/>
            <w:gridSpan w:val="2"/>
            <w:noWrap/>
            <w:vAlign w:val="bottom"/>
            <w:hideMark/>
          </w:tcPr>
          <w:p w14:paraId="6E980420"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-2.2%</w:t>
            </w:r>
          </w:p>
        </w:tc>
        <w:tc>
          <w:tcPr>
            <w:tcW w:w="933" w:type="dxa"/>
            <w:gridSpan w:val="2"/>
            <w:noWrap/>
            <w:vAlign w:val="bottom"/>
            <w:hideMark/>
          </w:tcPr>
          <w:p w14:paraId="58E33051"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13.6%</w:t>
            </w:r>
          </w:p>
        </w:tc>
        <w:tc>
          <w:tcPr>
            <w:tcW w:w="933" w:type="dxa"/>
            <w:gridSpan w:val="2"/>
            <w:noWrap/>
            <w:vAlign w:val="bottom"/>
            <w:hideMark/>
          </w:tcPr>
          <w:p w14:paraId="1EC17476"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-7.8%</w:t>
            </w:r>
          </w:p>
        </w:tc>
        <w:tc>
          <w:tcPr>
            <w:tcW w:w="933" w:type="dxa"/>
            <w:gridSpan w:val="2"/>
            <w:noWrap/>
            <w:vAlign w:val="bottom"/>
            <w:hideMark/>
          </w:tcPr>
          <w:p w14:paraId="7E9D8EF5"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-5.0%</w:t>
            </w:r>
          </w:p>
        </w:tc>
        <w:tc>
          <w:tcPr>
            <w:tcW w:w="933" w:type="dxa"/>
            <w:gridSpan w:val="2"/>
            <w:tcBorders>
              <w:right w:val="single" w:sz="4" w:space="0" w:color="auto"/>
            </w:tcBorders>
            <w:noWrap/>
            <w:vAlign w:val="bottom"/>
            <w:hideMark/>
          </w:tcPr>
          <w:p w14:paraId="7D8240C4"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0.1%</w:t>
            </w:r>
          </w:p>
        </w:tc>
        <w:tc>
          <w:tcPr>
            <w:tcW w:w="933" w:type="dxa"/>
            <w:gridSpan w:val="2"/>
            <w:tcBorders>
              <w:left w:val="single" w:sz="4" w:space="0" w:color="auto"/>
            </w:tcBorders>
            <w:noWrap/>
            <w:vAlign w:val="bottom"/>
            <w:hideMark/>
          </w:tcPr>
          <w:p w14:paraId="08FB9179"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0.5%</w:t>
            </w:r>
          </w:p>
        </w:tc>
        <w:tc>
          <w:tcPr>
            <w:tcW w:w="933" w:type="dxa"/>
            <w:noWrap/>
            <w:vAlign w:val="bottom"/>
            <w:hideMark/>
          </w:tcPr>
          <w:p w14:paraId="36088295"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-5%</w:t>
            </w:r>
          </w:p>
        </w:tc>
      </w:tr>
      <w:tr w:rsidR="0073536F" w:rsidRPr="00522CD5" w14:paraId="258302D4" w14:textId="77777777" w:rsidTr="001201B9">
        <w:trPr>
          <w:trHeight w:val="323"/>
        </w:trPr>
        <w:tc>
          <w:tcPr>
            <w:tcW w:w="1757" w:type="dxa"/>
            <w:vAlign w:val="bottom"/>
            <w:hideMark/>
          </w:tcPr>
          <w:p w14:paraId="632CBCCE" w14:textId="77777777" w:rsidR="00F0490D" w:rsidRPr="00522CD5" w:rsidRDefault="00F0490D">
            <w:pPr>
              <w:spacing w:after="0" w:line="240" w:lineRule="auto"/>
              <w:rPr>
                <w:rFonts w:cs="Calibri"/>
                <w:color w:val="000000"/>
                <w:sz w:val="20"/>
                <w:szCs w:val="20"/>
              </w:rPr>
            </w:pPr>
            <w:r w:rsidRPr="00522CD5">
              <w:rPr>
                <w:rFonts w:cs="Calibri"/>
                <w:color w:val="000000"/>
                <w:sz w:val="20"/>
                <w:szCs w:val="20"/>
              </w:rPr>
              <w:t xml:space="preserve">Wholesale trade </w:t>
            </w:r>
          </w:p>
        </w:tc>
        <w:tc>
          <w:tcPr>
            <w:tcW w:w="1011" w:type="dxa"/>
            <w:gridSpan w:val="2"/>
            <w:noWrap/>
            <w:vAlign w:val="bottom"/>
            <w:hideMark/>
          </w:tcPr>
          <w:p w14:paraId="46542040"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7.6%</w:t>
            </w:r>
          </w:p>
        </w:tc>
        <w:tc>
          <w:tcPr>
            <w:tcW w:w="932" w:type="dxa"/>
            <w:gridSpan w:val="2"/>
            <w:noWrap/>
            <w:vAlign w:val="bottom"/>
            <w:hideMark/>
          </w:tcPr>
          <w:p w14:paraId="246602EE"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6.9%</w:t>
            </w:r>
          </w:p>
        </w:tc>
        <w:tc>
          <w:tcPr>
            <w:tcW w:w="933" w:type="dxa"/>
            <w:gridSpan w:val="2"/>
            <w:noWrap/>
            <w:vAlign w:val="bottom"/>
            <w:hideMark/>
          </w:tcPr>
          <w:p w14:paraId="788B2977"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6.5%</w:t>
            </w:r>
          </w:p>
        </w:tc>
        <w:tc>
          <w:tcPr>
            <w:tcW w:w="933" w:type="dxa"/>
            <w:gridSpan w:val="2"/>
            <w:noWrap/>
            <w:vAlign w:val="bottom"/>
            <w:hideMark/>
          </w:tcPr>
          <w:p w14:paraId="0DC2C59A"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12.3%</w:t>
            </w:r>
          </w:p>
        </w:tc>
        <w:tc>
          <w:tcPr>
            <w:tcW w:w="933" w:type="dxa"/>
            <w:gridSpan w:val="2"/>
            <w:noWrap/>
            <w:vAlign w:val="bottom"/>
            <w:hideMark/>
          </w:tcPr>
          <w:p w14:paraId="042352BB"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4.7%</w:t>
            </w:r>
          </w:p>
        </w:tc>
        <w:tc>
          <w:tcPr>
            <w:tcW w:w="933" w:type="dxa"/>
            <w:gridSpan w:val="2"/>
            <w:tcBorders>
              <w:right w:val="single" w:sz="4" w:space="0" w:color="auto"/>
            </w:tcBorders>
            <w:noWrap/>
            <w:vAlign w:val="bottom"/>
            <w:hideMark/>
          </w:tcPr>
          <w:p w14:paraId="5A2982BC"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7.1%</w:t>
            </w:r>
          </w:p>
        </w:tc>
        <w:tc>
          <w:tcPr>
            <w:tcW w:w="933" w:type="dxa"/>
            <w:gridSpan w:val="2"/>
            <w:tcBorders>
              <w:left w:val="single" w:sz="4" w:space="0" w:color="auto"/>
            </w:tcBorders>
            <w:noWrap/>
            <w:vAlign w:val="bottom"/>
            <w:hideMark/>
          </w:tcPr>
          <w:p w14:paraId="058945FC"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1.2%</w:t>
            </w:r>
          </w:p>
        </w:tc>
        <w:tc>
          <w:tcPr>
            <w:tcW w:w="933" w:type="dxa"/>
            <w:noWrap/>
            <w:vAlign w:val="bottom"/>
            <w:hideMark/>
          </w:tcPr>
          <w:p w14:paraId="7E4E864C"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29%</w:t>
            </w:r>
          </w:p>
        </w:tc>
      </w:tr>
      <w:tr w:rsidR="0073536F" w:rsidRPr="00522CD5" w14:paraId="53BCD76B" w14:textId="77777777" w:rsidTr="001201B9">
        <w:trPr>
          <w:trHeight w:val="323"/>
        </w:trPr>
        <w:tc>
          <w:tcPr>
            <w:tcW w:w="1757" w:type="dxa"/>
            <w:vAlign w:val="bottom"/>
            <w:hideMark/>
          </w:tcPr>
          <w:p w14:paraId="2E10442D" w14:textId="77777777" w:rsidR="00F0490D" w:rsidRPr="00522CD5" w:rsidRDefault="00F0490D">
            <w:pPr>
              <w:spacing w:after="0" w:line="240" w:lineRule="auto"/>
              <w:rPr>
                <w:rFonts w:cs="Calibri"/>
                <w:color w:val="000000"/>
                <w:sz w:val="20"/>
                <w:szCs w:val="20"/>
              </w:rPr>
            </w:pPr>
            <w:r w:rsidRPr="00522CD5">
              <w:rPr>
                <w:rFonts w:cs="Calibri"/>
                <w:color w:val="000000"/>
                <w:sz w:val="20"/>
                <w:szCs w:val="20"/>
              </w:rPr>
              <w:t xml:space="preserve">Retail trade  </w:t>
            </w:r>
          </w:p>
        </w:tc>
        <w:tc>
          <w:tcPr>
            <w:tcW w:w="1011" w:type="dxa"/>
            <w:gridSpan w:val="2"/>
            <w:noWrap/>
            <w:vAlign w:val="bottom"/>
            <w:hideMark/>
          </w:tcPr>
          <w:p w14:paraId="41143EED"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16.2%</w:t>
            </w:r>
          </w:p>
        </w:tc>
        <w:tc>
          <w:tcPr>
            <w:tcW w:w="932" w:type="dxa"/>
            <w:gridSpan w:val="2"/>
            <w:noWrap/>
            <w:vAlign w:val="bottom"/>
            <w:hideMark/>
          </w:tcPr>
          <w:p w14:paraId="40BED600"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9.8%</w:t>
            </w:r>
          </w:p>
        </w:tc>
        <w:tc>
          <w:tcPr>
            <w:tcW w:w="933" w:type="dxa"/>
            <w:gridSpan w:val="2"/>
            <w:noWrap/>
            <w:vAlign w:val="bottom"/>
            <w:hideMark/>
          </w:tcPr>
          <w:p w14:paraId="742497E9"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3.1%</w:t>
            </w:r>
          </w:p>
        </w:tc>
        <w:tc>
          <w:tcPr>
            <w:tcW w:w="933" w:type="dxa"/>
            <w:gridSpan w:val="2"/>
            <w:noWrap/>
            <w:vAlign w:val="bottom"/>
            <w:hideMark/>
          </w:tcPr>
          <w:p w14:paraId="3AE4C4A6"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7.2%</w:t>
            </w:r>
          </w:p>
        </w:tc>
        <w:tc>
          <w:tcPr>
            <w:tcW w:w="933" w:type="dxa"/>
            <w:gridSpan w:val="2"/>
            <w:noWrap/>
            <w:vAlign w:val="bottom"/>
            <w:hideMark/>
          </w:tcPr>
          <w:p w14:paraId="7558E9A5"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8.6%</w:t>
            </w:r>
          </w:p>
        </w:tc>
        <w:tc>
          <w:tcPr>
            <w:tcW w:w="933" w:type="dxa"/>
            <w:gridSpan w:val="2"/>
            <w:tcBorders>
              <w:right w:val="single" w:sz="4" w:space="0" w:color="auto"/>
            </w:tcBorders>
            <w:noWrap/>
            <w:vAlign w:val="bottom"/>
            <w:hideMark/>
          </w:tcPr>
          <w:p w14:paraId="6F085ADF"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0.5%</w:t>
            </w:r>
          </w:p>
        </w:tc>
        <w:tc>
          <w:tcPr>
            <w:tcW w:w="933" w:type="dxa"/>
            <w:gridSpan w:val="2"/>
            <w:tcBorders>
              <w:left w:val="single" w:sz="4" w:space="0" w:color="auto"/>
            </w:tcBorders>
            <w:noWrap/>
            <w:vAlign w:val="bottom"/>
            <w:hideMark/>
          </w:tcPr>
          <w:p w14:paraId="2E9307A3"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-2.6%</w:t>
            </w:r>
          </w:p>
        </w:tc>
        <w:tc>
          <w:tcPr>
            <w:tcW w:w="933" w:type="dxa"/>
            <w:noWrap/>
            <w:vAlign w:val="bottom"/>
            <w:hideMark/>
          </w:tcPr>
          <w:p w14:paraId="5998BDF9"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19%</w:t>
            </w:r>
          </w:p>
        </w:tc>
      </w:tr>
      <w:tr w:rsidR="0073536F" w:rsidRPr="00522CD5" w14:paraId="379BBE29" w14:textId="77777777" w:rsidTr="001201B9">
        <w:trPr>
          <w:trHeight w:val="502"/>
        </w:trPr>
        <w:tc>
          <w:tcPr>
            <w:tcW w:w="1757" w:type="dxa"/>
            <w:vAlign w:val="bottom"/>
            <w:hideMark/>
          </w:tcPr>
          <w:p w14:paraId="0EA0F52C" w14:textId="77777777" w:rsidR="00F0490D" w:rsidRPr="00522CD5" w:rsidRDefault="00F0490D">
            <w:pPr>
              <w:spacing w:after="0" w:line="240" w:lineRule="auto"/>
              <w:rPr>
                <w:rFonts w:cs="Calibri"/>
                <w:color w:val="000000"/>
                <w:sz w:val="20"/>
                <w:szCs w:val="20"/>
              </w:rPr>
            </w:pPr>
            <w:r w:rsidRPr="00522CD5">
              <w:rPr>
                <w:rFonts w:cs="Calibri"/>
                <w:color w:val="000000"/>
                <w:sz w:val="20"/>
                <w:szCs w:val="20"/>
              </w:rPr>
              <w:t xml:space="preserve">Accommodation and food services  </w:t>
            </w:r>
          </w:p>
        </w:tc>
        <w:tc>
          <w:tcPr>
            <w:tcW w:w="1011" w:type="dxa"/>
            <w:gridSpan w:val="2"/>
            <w:noWrap/>
            <w:vAlign w:val="bottom"/>
            <w:hideMark/>
          </w:tcPr>
          <w:p w14:paraId="4FEA4F88"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15.6%</w:t>
            </w:r>
          </w:p>
        </w:tc>
        <w:tc>
          <w:tcPr>
            <w:tcW w:w="932" w:type="dxa"/>
            <w:gridSpan w:val="2"/>
            <w:noWrap/>
            <w:vAlign w:val="bottom"/>
            <w:hideMark/>
          </w:tcPr>
          <w:p w14:paraId="6AF9F73C"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14.3%</w:t>
            </w:r>
          </w:p>
        </w:tc>
        <w:tc>
          <w:tcPr>
            <w:tcW w:w="933" w:type="dxa"/>
            <w:gridSpan w:val="2"/>
            <w:noWrap/>
            <w:vAlign w:val="bottom"/>
            <w:hideMark/>
          </w:tcPr>
          <w:p w14:paraId="128EA90B"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-3.2%</w:t>
            </w:r>
          </w:p>
        </w:tc>
        <w:tc>
          <w:tcPr>
            <w:tcW w:w="933" w:type="dxa"/>
            <w:gridSpan w:val="2"/>
            <w:noWrap/>
            <w:vAlign w:val="bottom"/>
            <w:hideMark/>
          </w:tcPr>
          <w:p w14:paraId="05F7C25F"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6.4%</w:t>
            </w:r>
          </w:p>
        </w:tc>
        <w:tc>
          <w:tcPr>
            <w:tcW w:w="933" w:type="dxa"/>
            <w:gridSpan w:val="2"/>
            <w:noWrap/>
            <w:vAlign w:val="bottom"/>
            <w:hideMark/>
          </w:tcPr>
          <w:p w14:paraId="0CE872E8"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17.0%</w:t>
            </w:r>
          </w:p>
        </w:tc>
        <w:tc>
          <w:tcPr>
            <w:tcW w:w="933" w:type="dxa"/>
            <w:gridSpan w:val="2"/>
            <w:tcBorders>
              <w:right w:val="single" w:sz="4" w:space="0" w:color="auto"/>
            </w:tcBorders>
            <w:noWrap/>
            <w:vAlign w:val="bottom"/>
            <w:hideMark/>
          </w:tcPr>
          <w:p w14:paraId="4C8CF131"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13.1%</w:t>
            </w:r>
          </w:p>
        </w:tc>
        <w:tc>
          <w:tcPr>
            <w:tcW w:w="933" w:type="dxa"/>
            <w:gridSpan w:val="2"/>
            <w:tcBorders>
              <w:left w:val="single" w:sz="4" w:space="0" w:color="auto"/>
            </w:tcBorders>
            <w:noWrap/>
            <w:vAlign w:val="bottom"/>
            <w:hideMark/>
          </w:tcPr>
          <w:p w14:paraId="560DC682"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-5.9%</w:t>
            </w:r>
          </w:p>
        </w:tc>
        <w:tc>
          <w:tcPr>
            <w:tcW w:w="933" w:type="dxa"/>
            <w:noWrap/>
            <w:vAlign w:val="bottom"/>
            <w:hideMark/>
          </w:tcPr>
          <w:p w14:paraId="69853DAB"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12%</w:t>
            </w:r>
          </w:p>
        </w:tc>
      </w:tr>
      <w:tr w:rsidR="0073536F" w:rsidRPr="00522CD5" w14:paraId="1FA8B056" w14:textId="77777777" w:rsidTr="001201B9">
        <w:trPr>
          <w:trHeight w:val="502"/>
        </w:trPr>
        <w:tc>
          <w:tcPr>
            <w:tcW w:w="1757" w:type="dxa"/>
            <w:vAlign w:val="bottom"/>
            <w:hideMark/>
          </w:tcPr>
          <w:p w14:paraId="6CDAFA17" w14:textId="77777777" w:rsidR="00F0490D" w:rsidRPr="00522CD5" w:rsidRDefault="00F0490D">
            <w:pPr>
              <w:spacing w:after="0" w:line="240" w:lineRule="auto"/>
              <w:rPr>
                <w:rFonts w:cs="Calibri"/>
                <w:color w:val="000000"/>
                <w:sz w:val="20"/>
                <w:szCs w:val="20"/>
              </w:rPr>
            </w:pPr>
            <w:r w:rsidRPr="00522CD5">
              <w:rPr>
                <w:rFonts w:cs="Calibri"/>
                <w:color w:val="000000"/>
                <w:sz w:val="20"/>
                <w:szCs w:val="20"/>
              </w:rPr>
              <w:t xml:space="preserve">Transport, postal and warehousing  </w:t>
            </w:r>
          </w:p>
        </w:tc>
        <w:tc>
          <w:tcPr>
            <w:tcW w:w="1011" w:type="dxa"/>
            <w:gridSpan w:val="2"/>
            <w:noWrap/>
            <w:vAlign w:val="bottom"/>
            <w:hideMark/>
          </w:tcPr>
          <w:p w14:paraId="27B94456"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10.5%</w:t>
            </w:r>
          </w:p>
        </w:tc>
        <w:tc>
          <w:tcPr>
            <w:tcW w:w="932" w:type="dxa"/>
            <w:gridSpan w:val="2"/>
            <w:noWrap/>
            <w:vAlign w:val="bottom"/>
            <w:hideMark/>
          </w:tcPr>
          <w:p w14:paraId="097F5403"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4.6%</w:t>
            </w:r>
          </w:p>
        </w:tc>
        <w:tc>
          <w:tcPr>
            <w:tcW w:w="933" w:type="dxa"/>
            <w:gridSpan w:val="2"/>
            <w:noWrap/>
            <w:vAlign w:val="bottom"/>
            <w:hideMark/>
          </w:tcPr>
          <w:p w14:paraId="74C6B67A"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7.8%</w:t>
            </w:r>
          </w:p>
        </w:tc>
        <w:tc>
          <w:tcPr>
            <w:tcW w:w="933" w:type="dxa"/>
            <w:gridSpan w:val="2"/>
            <w:noWrap/>
            <w:vAlign w:val="bottom"/>
            <w:hideMark/>
          </w:tcPr>
          <w:p w14:paraId="065359CA"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2.1%</w:t>
            </w:r>
          </w:p>
        </w:tc>
        <w:tc>
          <w:tcPr>
            <w:tcW w:w="933" w:type="dxa"/>
            <w:gridSpan w:val="2"/>
            <w:noWrap/>
            <w:vAlign w:val="bottom"/>
            <w:hideMark/>
          </w:tcPr>
          <w:p w14:paraId="46A84A69"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0.8%</w:t>
            </w:r>
          </w:p>
        </w:tc>
        <w:tc>
          <w:tcPr>
            <w:tcW w:w="933" w:type="dxa"/>
            <w:gridSpan w:val="2"/>
            <w:tcBorders>
              <w:right w:val="single" w:sz="4" w:space="0" w:color="auto"/>
            </w:tcBorders>
            <w:noWrap/>
            <w:vAlign w:val="bottom"/>
            <w:hideMark/>
          </w:tcPr>
          <w:p w14:paraId="413B888B"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9.8%</w:t>
            </w:r>
          </w:p>
        </w:tc>
        <w:tc>
          <w:tcPr>
            <w:tcW w:w="933" w:type="dxa"/>
            <w:gridSpan w:val="2"/>
            <w:tcBorders>
              <w:left w:val="single" w:sz="4" w:space="0" w:color="auto"/>
            </w:tcBorders>
            <w:noWrap/>
            <w:vAlign w:val="bottom"/>
            <w:hideMark/>
          </w:tcPr>
          <w:p w14:paraId="23F213A4"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5.2%</w:t>
            </w:r>
          </w:p>
        </w:tc>
        <w:tc>
          <w:tcPr>
            <w:tcW w:w="933" w:type="dxa"/>
            <w:noWrap/>
            <w:vAlign w:val="bottom"/>
            <w:hideMark/>
          </w:tcPr>
          <w:p w14:paraId="18E83793"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6%</w:t>
            </w:r>
          </w:p>
        </w:tc>
      </w:tr>
      <w:tr w:rsidR="0073536F" w:rsidRPr="00522CD5" w14:paraId="73643CF9" w14:textId="77777777" w:rsidTr="001201B9">
        <w:trPr>
          <w:trHeight w:val="502"/>
        </w:trPr>
        <w:tc>
          <w:tcPr>
            <w:tcW w:w="1757" w:type="dxa"/>
            <w:vAlign w:val="bottom"/>
            <w:hideMark/>
          </w:tcPr>
          <w:p w14:paraId="258193FB" w14:textId="77777777" w:rsidR="00F0490D" w:rsidRPr="00522CD5" w:rsidRDefault="00F0490D">
            <w:pPr>
              <w:spacing w:after="0" w:line="240" w:lineRule="auto"/>
              <w:rPr>
                <w:rFonts w:cs="Calibri"/>
                <w:color w:val="000000"/>
                <w:sz w:val="20"/>
                <w:szCs w:val="20"/>
              </w:rPr>
            </w:pPr>
            <w:r w:rsidRPr="00522CD5">
              <w:rPr>
                <w:rFonts w:cs="Calibri"/>
                <w:color w:val="000000"/>
                <w:sz w:val="20"/>
                <w:szCs w:val="20"/>
              </w:rPr>
              <w:t xml:space="preserve">Information media and telecommunications </w:t>
            </w:r>
          </w:p>
        </w:tc>
        <w:tc>
          <w:tcPr>
            <w:tcW w:w="1011" w:type="dxa"/>
            <w:gridSpan w:val="2"/>
            <w:noWrap/>
            <w:vAlign w:val="bottom"/>
            <w:hideMark/>
          </w:tcPr>
          <w:p w14:paraId="7716DB9F"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31.0%</w:t>
            </w:r>
          </w:p>
        </w:tc>
        <w:tc>
          <w:tcPr>
            <w:tcW w:w="932" w:type="dxa"/>
            <w:gridSpan w:val="2"/>
            <w:noWrap/>
            <w:vAlign w:val="bottom"/>
            <w:hideMark/>
          </w:tcPr>
          <w:p w14:paraId="42F461FD"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8.8%</w:t>
            </w:r>
          </w:p>
        </w:tc>
        <w:tc>
          <w:tcPr>
            <w:tcW w:w="933" w:type="dxa"/>
            <w:gridSpan w:val="2"/>
            <w:noWrap/>
            <w:vAlign w:val="bottom"/>
            <w:hideMark/>
          </w:tcPr>
          <w:p w14:paraId="3460113C"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3.8%</w:t>
            </w:r>
          </w:p>
        </w:tc>
        <w:tc>
          <w:tcPr>
            <w:tcW w:w="933" w:type="dxa"/>
            <w:gridSpan w:val="2"/>
            <w:noWrap/>
            <w:vAlign w:val="bottom"/>
            <w:hideMark/>
          </w:tcPr>
          <w:p w14:paraId="6481FAF8"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23.9%</w:t>
            </w:r>
          </w:p>
        </w:tc>
        <w:tc>
          <w:tcPr>
            <w:tcW w:w="933" w:type="dxa"/>
            <w:gridSpan w:val="2"/>
            <w:noWrap/>
            <w:vAlign w:val="bottom"/>
            <w:hideMark/>
          </w:tcPr>
          <w:p w14:paraId="6985E391"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20.6%</w:t>
            </w:r>
          </w:p>
        </w:tc>
        <w:tc>
          <w:tcPr>
            <w:tcW w:w="933" w:type="dxa"/>
            <w:gridSpan w:val="2"/>
            <w:tcBorders>
              <w:right w:val="single" w:sz="4" w:space="0" w:color="auto"/>
            </w:tcBorders>
            <w:noWrap/>
            <w:vAlign w:val="bottom"/>
            <w:hideMark/>
          </w:tcPr>
          <w:p w14:paraId="50782BF5"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14.5%</w:t>
            </w:r>
          </w:p>
        </w:tc>
        <w:tc>
          <w:tcPr>
            <w:tcW w:w="933" w:type="dxa"/>
            <w:gridSpan w:val="2"/>
            <w:tcBorders>
              <w:left w:val="single" w:sz="4" w:space="0" w:color="auto"/>
            </w:tcBorders>
            <w:noWrap/>
            <w:vAlign w:val="bottom"/>
            <w:hideMark/>
          </w:tcPr>
          <w:p w14:paraId="2D3B40A1"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5.2%</w:t>
            </w:r>
          </w:p>
        </w:tc>
        <w:tc>
          <w:tcPr>
            <w:tcW w:w="933" w:type="dxa"/>
            <w:noWrap/>
            <w:vAlign w:val="bottom"/>
            <w:hideMark/>
          </w:tcPr>
          <w:p w14:paraId="552B262C"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75%</w:t>
            </w:r>
          </w:p>
        </w:tc>
      </w:tr>
      <w:tr w:rsidR="0073536F" w:rsidRPr="00522CD5" w14:paraId="1E8C5EEE" w14:textId="77777777" w:rsidTr="001201B9">
        <w:trPr>
          <w:trHeight w:val="502"/>
        </w:trPr>
        <w:tc>
          <w:tcPr>
            <w:tcW w:w="1757" w:type="dxa"/>
            <w:vAlign w:val="bottom"/>
            <w:hideMark/>
          </w:tcPr>
          <w:p w14:paraId="6784183D" w14:textId="77777777" w:rsidR="00F0490D" w:rsidRPr="00522CD5" w:rsidRDefault="00F0490D">
            <w:pPr>
              <w:spacing w:after="0" w:line="240" w:lineRule="auto"/>
              <w:rPr>
                <w:rFonts w:cs="Calibri"/>
                <w:color w:val="000000"/>
                <w:sz w:val="20"/>
                <w:szCs w:val="20"/>
              </w:rPr>
            </w:pPr>
            <w:r w:rsidRPr="00522CD5">
              <w:rPr>
                <w:rFonts w:cs="Calibri"/>
                <w:color w:val="000000"/>
                <w:sz w:val="20"/>
                <w:szCs w:val="20"/>
              </w:rPr>
              <w:t xml:space="preserve">Financial and insurance services  </w:t>
            </w:r>
          </w:p>
        </w:tc>
        <w:tc>
          <w:tcPr>
            <w:tcW w:w="1011" w:type="dxa"/>
            <w:gridSpan w:val="2"/>
            <w:noWrap/>
            <w:vAlign w:val="bottom"/>
            <w:hideMark/>
          </w:tcPr>
          <w:p w14:paraId="51A2B8B2"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14.9%</w:t>
            </w:r>
          </w:p>
        </w:tc>
        <w:tc>
          <w:tcPr>
            <w:tcW w:w="932" w:type="dxa"/>
            <w:gridSpan w:val="2"/>
            <w:noWrap/>
            <w:vAlign w:val="bottom"/>
            <w:hideMark/>
          </w:tcPr>
          <w:p w14:paraId="6A946B04"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10.8%</w:t>
            </w:r>
          </w:p>
        </w:tc>
        <w:tc>
          <w:tcPr>
            <w:tcW w:w="933" w:type="dxa"/>
            <w:gridSpan w:val="2"/>
            <w:noWrap/>
            <w:vAlign w:val="bottom"/>
            <w:hideMark/>
          </w:tcPr>
          <w:p w14:paraId="5ADA56F0"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11.0%</w:t>
            </w:r>
          </w:p>
        </w:tc>
        <w:tc>
          <w:tcPr>
            <w:tcW w:w="933" w:type="dxa"/>
            <w:gridSpan w:val="2"/>
            <w:noWrap/>
            <w:vAlign w:val="bottom"/>
            <w:hideMark/>
          </w:tcPr>
          <w:p w14:paraId="054610E7"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1.6%</w:t>
            </w:r>
          </w:p>
        </w:tc>
        <w:tc>
          <w:tcPr>
            <w:tcW w:w="933" w:type="dxa"/>
            <w:gridSpan w:val="2"/>
            <w:noWrap/>
            <w:vAlign w:val="bottom"/>
            <w:hideMark/>
          </w:tcPr>
          <w:p w14:paraId="6C032DFB"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-1.2%</w:t>
            </w:r>
          </w:p>
        </w:tc>
        <w:tc>
          <w:tcPr>
            <w:tcW w:w="933" w:type="dxa"/>
            <w:gridSpan w:val="2"/>
            <w:tcBorders>
              <w:right w:val="single" w:sz="4" w:space="0" w:color="auto"/>
            </w:tcBorders>
            <w:noWrap/>
            <w:vAlign w:val="bottom"/>
            <w:hideMark/>
          </w:tcPr>
          <w:p w14:paraId="5107DBA3"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0.0%</w:t>
            </w:r>
          </w:p>
        </w:tc>
        <w:tc>
          <w:tcPr>
            <w:tcW w:w="933" w:type="dxa"/>
            <w:gridSpan w:val="2"/>
            <w:tcBorders>
              <w:left w:val="single" w:sz="4" w:space="0" w:color="auto"/>
            </w:tcBorders>
            <w:noWrap/>
            <w:vAlign w:val="bottom"/>
            <w:hideMark/>
          </w:tcPr>
          <w:p w14:paraId="3581D3F5"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-1.9%</w:t>
            </w:r>
          </w:p>
        </w:tc>
        <w:tc>
          <w:tcPr>
            <w:tcW w:w="933" w:type="dxa"/>
            <w:noWrap/>
            <w:vAlign w:val="bottom"/>
            <w:hideMark/>
          </w:tcPr>
          <w:p w14:paraId="50AD2C61"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7%</w:t>
            </w:r>
          </w:p>
        </w:tc>
      </w:tr>
      <w:tr w:rsidR="0073536F" w:rsidRPr="00522CD5" w14:paraId="0A19147D" w14:textId="77777777" w:rsidTr="001201B9">
        <w:trPr>
          <w:trHeight w:val="502"/>
        </w:trPr>
        <w:tc>
          <w:tcPr>
            <w:tcW w:w="1757" w:type="dxa"/>
            <w:vAlign w:val="bottom"/>
            <w:hideMark/>
          </w:tcPr>
          <w:p w14:paraId="0A229433" w14:textId="77777777" w:rsidR="00F0490D" w:rsidRPr="00522CD5" w:rsidRDefault="00F0490D">
            <w:pPr>
              <w:spacing w:after="0" w:line="240" w:lineRule="auto"/>
              <w:rPr>
                <w:rFonts w:cs="Calibri"/>
                <w:color w:val="000000"/>
                <w:sz w:val="20"/>
                <w:szCs w:val="20"/>
              </w:rPr>
            </w:pPr>
            <w:r w:rsidRPr="00522CD5">
              <w:rPr>
                <w:rFonts w:cs="Calibri"/>
                <w:color w:val="000000"/>
                <w:sz w:val="20"/>
                <w:szCs w:val="20"/>
              </w:rPr>
              <w:t xml:space="preserve">Rental, hiring and real estate services </w:t>
            </w:r>
          </w:p>
        </w:tc>
        <w:tc>
          <w:tcPr>
            <w:tcW w:w="1011" w:type="dxa"/>
            <w:gridSpan w:val="2"/>
            <w:noWrap/>
            <w:vAlign w:val="bottom"/>
            <w:hideMark/>
          </w:tcPr>
          <w:p w14:paraId="6B9C23CB"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-1.9%</w:t>
            </w:r>
          </w:p>
        </w:tc>
        <w:tc>
          <w:tcPr>
            <w:tcW w:w="932" w:type="dxa"/>
            <w:gridSpan w:val="2"/>
            <w:noWrap/>
            <w:vAlign w:val="bottom"/>
            <w:hideMark/>
          </w:tcPr>
          <w:p w14:paraId="60161695"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-18.7%</w:t>
            </w:r>
          </w:p>
        </w:tc>
        <w:tc>
          <w:tcPr>
            <w:tcW w:w="933" w:type="dxa"/>
            <w:gridSpan w:val="2"/>
            <w:noWrap/>
            <w:vAlign w:val="bottom"/>
            <w:hideMark/>
          </w:tcPr>
          <w:p w14:paraId="4A6D4B70"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12.1%</w:t>
            </w:r>
          </w:p>
        </w:tc>
        <w:tc>
          <w:tcPr>
            <w:tcW w:w="933" w:type="dxa"/>
            <w:gridSpan w:val="2"/>
            <w:noWrap/>
            <w:vAlign w:val="bottom"/>
            <w:hideMark/>
          </w:tcPr>
          <w:p w14:paraId="5DF3E472"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12.7%</w:t>
            </w:r>
          </w:p>
        </w:tc>
        <w:tc>
          <w:tcPr>
            <w:tcW w:w="933" w:type="dxa"/>
            <w:gridSpan w:val="2"/>
            <w:noWrap/>
            <w:vAlign w:val="bottom"/>
            <w:hideMark/>
          </w:tcPr>
          <w:p w14:paraId="708FE4AB"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10.5%</w:t>
            </w:r>
          </w:p>
        </w:tc>
        <w:tc>
          <w:tcPr>
            <w:tcW w:w="933" w:type="dxa"/>
            <w:gridSpan w:val="2"/>
            <w:tcBorders>
              <w:right w:val="single" w:sz="4" w:space="0" w:color="auto"/>
            </w:tcBorders>
            <w:noWrap/>
            <w:vAlign w:val="bottom"/>
            <w:hideMark/>
          </w:tcPr>
          <w:p w14:paraId="5B446C9B"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3.2%</w:t>
            </w:r>
          </w:p>
        </w:tc>
        <w:tc>
          <w:tcPr>
            <w:tcW w:w="933" w:type="dxa"/>
            <w:gridSpan w:val="2"/>
            <w:tcBorders>
              <w:left w:val="single" w:sz="4" w:space="0" w:color="auto"/>
            </w:tcBorders>
            <w:noWrap/>
            <w:vAlign w:val="bottom"/>
            <w:hideMark/>
          </w:tcPr>
          <w:p w14:paraId="6B075324"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0.6%</w:t>
            </w:r>
          </w:p>
        </w:tc>
        <w:tc>
          <w:tcPr>
            <w:tcW w:w="933" w:type="dxa"/>
            <w:noWrap/>
            <w:vAlign w:val="bottom"/>
            <w:hideMark/>
          </w:tcPr>
          <w:p w14:paraId="130D8E4E"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27%</w:t>
            </w:r>
          </w:p>
        </w:tc>
      </w:tr>
      <w:tr w:rsidR="0073536F" w:rsidRPr="00522CD5" w14:paraId="030E646B" w14:textId="77777777" w:rsidTr="001201B9">
        <w:trPr>
          <w:trHeight w:val="502"/>
        </w:trPr>
        <w:tc>
          <w:tcPr>
            <w:tcW w:w="1757" w:type="dxa"/>
            <w:vAlign w:val="bottom"/>
            <w:hideMark/>
          </w:tcPr>
          <w:p w14:paraId="7F33C431" w14:textId="77777777" w:rsidR="00F0490D" w:rsidRPr="00522CD5" w:rsidRDefault="00F0490D">
            <w:pPr>
              <w:spacing w:after="0" w:line="240" w:lineRule="auto"/>
              <w:rPr>
                <w:rFonts w:cs="Calibri"/>
                <w:color w:val="000000"/>
                <w:sz w:val="20"/>
                <w:szCs w:val="20"/>
              </w:rPr>
            </w:pPr>
            <w:r w:rsidRPr="00522CD5">
              <w:rPr>
                <w:rFonts w:cs="Calibri"/>
                <w:color w:val="000000"/>
                <w:sz w:val="20"/>
                <w:szCs w:val="20"/>
              </w:rPr>
              <w:t xml:space="preserve">Professional, scientific and technical services </w:t>
            </w:r>
          </w:p>
        </w:tc>
        <w:tc>
          <w:tcPr>
            <w:tcW w:w="1011" w:type="dxa"/>
            <w:gridSpan w:val="2"/>
            <w:noWrap/>
            <w:vAlign w:val="bottom"/>
            <w:hideMark/>
          </w:tcPr>
          <w:p w14:paraId="7FFA8242"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-2.5%</w:t>
            </w:r>
          </w:p>
        </w:tc>
        <w:tc>
          <w:tcPr>
            <w:tcW w:w="932" w:type="dxa"/>
            <w:gridSpan w:val="2"/>
            <w:noWrap/>
            <w:vAlign w:val="bottom"/>
            <w:hideMark/>
          </w:tcPr>
          <w:p w14:paraId="486424EC"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-2.0%</w:t>
            </w:r>
          </w:p>
        </w:tc>
        <w:tc>
          <w:tcPr>
            <w:tcW w:w="933" w:type="dxa"/>
            <w:gridSpan w:val="2"/>
            <w:noWrap/>
            <w:vAlign w:val="bottom"/>
            <w:hideMark/>
          </w:tcPr>
          <w:p w14:paraId="44E950D2"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22.5%</w:t>
            </w:r>
          </w:p>
        </w:tc>
        <w:tc>
          <w:tcPr>
            <w:tcW w:w="933" w:type="dxa"/>
            <w:gridSpan w:val="2"/>
            <w:noWrap/>
            <w:vAlign w:val="bottom"/>
            <w:hideMark/>
          </w:tcPr>
          <w:p w14:paraId="45CE4F05"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5.7%</w:t>
            </w:r>
          </w:p>
        </w:tc>
        <w:tc>
          <w:tcPr>
            <w:tcW w:w="933" w:type="dxa"/>
            <w:gridSpan w:val="2"/>
            <w:noWrap/>
            <w:vAlign w:val="bottom"/>
            <w:hideMark/>
          </w:tcPr>
          <w:p w14:paraId="16BA5EA4"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14.4%</w:t>
            </w:r>
          </w:p>
        </w:tc>
        <w:tc>
          <w:tcPr>
            <w:tcW w:w="933" w:type="dxa"/>
            <w:gridSpan w:val="2"/>
            <w:tcBorders>
              <w:right w:val="single" w:sz="4" w:space="0" w:color="auto"/>
            </w:tcBorders>
            <w:noWrap/>
            <w:vAlign w:val="bottom"/>
            <w:hideMark/>
          </w:tcPr>
          <w:p w14:paraId="06CD7BAB"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9.5%</w:t>
            </w:r>
          </w:p>
        </w:tc>
        <w:tc>
          <w:tcPr>
            <w:tcW w:w="933" w:type="dxa"/>
            <w:gridSpan w:val="2"/>
            <w:tcBorders>
              <w:left w:val="single" w:sz="4" w:space="0" w:color="auto"/>
            </w:tcBorders>
            <w:noWrap/>
            <w:vAlign w:val="bottom"/>
            <w:hideMark/>
          </w:tcPr>
          <w:p w14:paraId="140E0A8B"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-1.8%</w:t>
            </w:r>
          </w:p>
        </w:tc>
        <w:tc>
          <w:tcPr>
            <w:tcW w:w="933" w:type="dxa"/>
            <w:noWrap/>
            <w:vAlign w:val="bottom"/>
            <w:hideMark/>
          </w:tcPr>
          <w:p w14:paraId="79B72B8B"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19%</w:t>
            </w:r>
          </w:p>
        </w:tc>
      </w:tr>
      <w:tr w:rsidR="0073536F" w:rsidRPr="00522CD5" w14:paraId="6AB53712" w14:textId="77777777" w:rsidTr="001201B9">
        <w:trPr>
          <w:trHeight w:val="502"/>
        </w:trPr>
        <w:tc>
          <w:tcPr>
            <w:tcW w:w="1757" w:type="dxa"/>
            <w:vAlign w:val="bottom"/>
            <w:hideMark/>
          </w:tcPr>
          <w:p w14:paraId="5A2F0628" w14:textId="77777777" w:rsidR="00F0490D" w:rsidRPr="00522CD5" w:rsidRDefault="00F0490D">
            <w:pPr>
              <w:spacing w:after="0" w:line="240" w:lineRule="auto"/>
              <w:rPr>
                <w:rFonts w:cs="Calibri"/>
                <w:color w:val="000000"/>
                <w:sz w:val="20"/>
                <w:szCs w:val="20"/>
              </w:rPr>
            </w:pPr>
            <w:r w:rsidRPr="00522CD5">
              <w:rPr>
                <w:rFonts w:cs="Calibri"/>
                <w:color w:val="000000"/>
                <w:sz w:val="20"/>
                <w:szCs w:val="20"/>
              </w:rPr>
              <w:t xml:space="preserve">Administrative and support services </w:t>
            </w:r>
          </w:p>
        </w:tc>
        <w:tc>
          <w:tcPr>
            <w:tcW w:w="1011" w:type="dxa"/>
            <w:gridSpan w:val="2"/>
            <w:noWrap/>
            <w:vAlign w:val="bottom"/>
            <w:hideMark/>
          </w:tcPr>
          <w:p w14:paraId="590C0998"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-18.8%</w:t>
            </w:r>
          </w:p>
        </w:tc>
        <w:tc>
          <w:tcPr>
            <w:tcW w:w="932" w:type="dxa"/>
            <w:gridSpan w:val="2"/>
            <w:noWrap/>
            <w:vAlign w:val="bottom"/>
            <w:hideMark/>
          </w:tcPr>
          <w:p w14:paraId="3DD8EDA0"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-6.2%</w:t>
            </w:r>
          </w:p>
        </w:tc>
        <w:tc>
          <w:tcPr>
            <w:tcW w:w="933" w:type="dxa"/>
            <w:gridSpan w:val="2"/>
            <w:noWrap/>
            <w:vAlign w:val="bottom"/>
            <w:hideMark/>
          </w:tcPr>
          <w:p w14:paraId="4620F20F"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-8.2%</w:t>
            </w:r>
          </w:p>
        </w:tc>
        <w:tc>
          <w:tcPr>
            <w:tcW w:w="933" w:type="dxa"/>
            <w:gridSpan w:val="2"/>
            <w:noWrap/>
            <w:vAlign w:val="bottom"/>
            <w:hideMark/>
          </w:tcPr>
          <w:p w14:paraId="78F3089B"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12.0%</w:t>
            </w:r>
          </w:p>
        </w:tc>
        <w:tc>
          <w:tcPr>
            <w:tcW w:w="933" w:type="dxa"/>
            <w:gridSpan w:val="2"/>
            <w:noWrap/>
            <w:vAlign w:val="bottom"/>
            <w:hideMark/>
          </w:tcPr>
          <w:p w14:paraId="1E9E1660"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12.9%</w:t>
            </w:r>
          </w:p>
        </w:tc>
        <w:tc>
          <w:tcPr>
            <w:tcW w:w="933" w:type="dxa"/>
            <w:gridSpan w:val="2"/>
            <w:tcBorders>
              <w:right w:val="single" w:sz="4" w:space="0" w:color="auto"/>
            </w:tcBorders>
            <w:noWrap/>
            <w:vAlign w:val="bottom"/>
            <w:hideMark/>
          </w:tcPr>
          <w:p w14:paraId="31CD224A"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6.8%</w:t>
            </w:r>
          </w:p>
        </w:tc>
        <w:tc>
          <w:tcPr>
            <w:tcW w:w="933" w:type="dxa"/>
            <w:gridSpan w:val="2"/>
            <w:tcBorders>
              <w:left w:val="single" w:sz="4" w:space="0" w:color="auto"/>
            </w:tcBorders>
            <w:noWrap/>
            <w:vAlign w:val="bottom"/>
            <w:hideMark/>
          </w:tcPr>
          <w:p w14:paraId="25A93A51"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-0.3%</w:t>
            </w:r>
          </w:p>
        </w:tc>
        <w:tc>
          <w:tcPr>
            <w:tcW w:w="933" w:type="dxa"/>
            <w:noWrap/>
            <w:vAlign w:val="bottom"/>
            <w:hideMark/>
          </w:tcPr>
          <w:p w14:paraId="682EE933"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23%</w:t>
            </w:r>
          </w:p>
        </w:tc>
      </w:tr>
      <w:tr w:rsidR="0073536F" w:rsidRPr="00522CD5" w14:paraId="7757E0E5" w14:textId="77777777" w:rsidTr="001201B9">
        <w:trPr>
          <w:trHeight w:val="502"/>
        </w:trPr>
        <w:tc>
          <w:tcPr>
            <w:tcW w:w="1757" w:type="dxa"/>
            <w:vAlign w:val="bottom"/>
            <w:hideMark/>
          </w:tcPr>
          <w:p w14:paraId="450E9CCF" w14:textId="77777777" w:rsidR="00F0490D" w:rsidRPr="00522CD5" w:rsidRDefault="00F0490D">
            <w:pPr>
              <w:spacing w:after="0" w:line="240" w:lineRule="auto"/>
              <w:rPr>
                <w:rFonts w:cs="Calibri"/>
                <w:color w:val="000000"/>
                <w:sz w:val="20"/>
                <w:szCs w:val="20"/>
              </w:rPr>
            </w:pPr>
            <w:r w:rsidRPr="00522CD5">
              <w:rPr>
                <w:rFonts w:cs="Calibri"/>
                <w:color w:val="000000"/>
                <w:sz w:val="20"/>
                <w:szCs w:val="20"/>
              </w:rPr>
              <w:t xml:space="preserve">Arts and recreation services </w:t>
            </w:r>
          </w:p>
        </w:tc>
        <w:tc>
          <w:tcPr>
            <w:tcW w:w="1011" w:type="dxa"/>
            <w:gridSpan w:val="2"/>
            <w:noWrap/>
            <w:vAlign w:val="bottom"/>
            <w:hideMark/>
          </w:tcPr>
          <w:p w14:paraId="5CA280EC"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12.7%</w:t>
            </w:r>
          </w:p>
        </w:tc>
        <w:tc>
          <w:tcPr>
            <w:tcW w:w="932" w:type="dxa"/>
            <w:gridSpan w:val="2"/>
            <w:noWrap/>
            <w:vAlign w:val="bottom"/>
            <w:hideMark/>
          </w:tcPr>
          <w:p w14:paraId="6138C1C3"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23.5%</w:t>
            </w:r>
          </w:p>
        </w:tc>
        <w:tc>
          <w:tcPr>
            <w:tcW w:w="933" w:type="dxa"/>
            <w:gridSpan w:val="2"/>
            <w:noWrap/>
            <w:vAlign w:val="bottom"/>
            <w:hideMark/>
          </w:tcPr>
          <w:p w14:paraId="596E427C"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8.8%</w:t>
            </w:r>
          </w:p>
        </w:tc>
        <w:tc>
          <w:tcPr>
            <w:tcW w:w="933" w:type="dxa"/>
            <w:gridSpan w:val="2"/>
            <w:noWrap/>
            <w:vAlign w:val="bottom"/>
            <w:hideMark/>
          </w:tcPr>
          <w:p w14:paraId="75F9776B"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12.2%</w:t>
            </w:r>
          </w:p>
        </w:tc>
        <w:tc>
          <w:tcPr>
            <w:tcW w:w="933" w:type="dxa"/>
            <w:gridSpan w:val="2"/>
            <w:noWrap/>
            <w:vAlign w:val="bottom"/>
            <w:hideMark/>
          </w:tcPr>
          <w:p w14:paraId="7E67450B"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12.4%</w:t>
            </w:r>
          </w:p>
        </w:tc>
        <w:tc>
          <w:tcPr>
            <w:tcW w:w="933" w:type="dxa"/>
            <w:gridSpan w:val="2"/>
            <w:tcBorders>
              <w:right w:val="single" w:sz="4" w:space="0" w:color="auto"/>
            </w:tcBorders>
            <w:noWrap/>
            <w:vAlign w:val="bottom"/>
            <w:hideMark/>
          </w:tcPr>
          <w:p w14:paraId="5AD0BCE4"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1.1%</w:t>
            </w:r>
          </w:p>
        </w:tc>
        <w:tc>
          <w:tcPr>
            <w:tcW w:w="933" w:type="dxa"/>
            <w:gridSpan w:val="2"/>
            <w:tcBorders>
              <w:left w:val="single" w:sz="4" w:space="0" w:color="auto"/>
            </w:tcBorders>
            <w:noWrap/>
            <w:vAlign w:val="bottom"/>
            <w:hideMark/>
          </w:tcPr>
          <w:p w14:paraId="14EB6773"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-13.0%</w:t>
            </w:r>
          </w:p>
        </w:tc>
        <w:tc>
          <w:tcPr>
            <w:tcW w:w="933" w:type="dxa"/>
            <w:noWrap/>
            <w:vAlign w:val="bottom"/>
            <w:hideMark/>
          </w:tcPr>
          <w:p w14:paraId="25EC5A7B"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6%</w:t>
            </w:r>
          </w:p>
        </w:tc>
      </w:tr>
      <w:tr w:rsidR="0073536F" w:rsidRPr="00522CD5" w14:paraId="4B2E82A4" w14:textId="77777777" w:rsidTr="001201B9">
        <w:trPr>
          <w:trHeight w:val="323"/>
        </w:trPr>
        <w:tc>
          <w:tcPr>
            <w:tcW w:w="1757" w:type="dxa"/>
            <w:tcBorders>
              <w:bottom w:val="single" w:sz="4" w:space="0" w:color="auto"/>
            </w:tcBorders>
            <w:vAlign w:val="bottom"/>
            <w:hideMark/>
          </w:tcPr>
          <w:p w14:paraId="015BA496" w14:textId="77777777" w:rsidR="00F0490D" w:rsidRPr="00522CD5" w:rsidRDefault="00F0490D">
            <w:pPr>
              <w:spacing w:after="0" w:line="240" w:lineRule="auto"/>
              <w:rPr>
                <w:rFonts w:cs="Calibri"/>
                <w:color w:val="000000"/>
                <w:sz w:val="20"/>
                <w:szCs w:val="20"/>
              </w:rPr>
            </w:pPr>
            <w:r w:rsidRPr="00522CD5">
              <w:rPr>
                <w:rFonts w:cs="Calibri"/>
                <w:color w:val="000000"/>
                <w:sz w:val="20"/>
                <w:szCs w:val="20"/>
              </w:rPr>
              <w:t xml:space="preserve">Other services  </w:t>
            </w:r>
          </w:p>
        </w:tc>
        <w:tc>
          <w:tcPr>
            <w:tcW w:w="1011" w:type="dxa"/>
            <w:gridSpan w:val="2"/>
            <w:tcBorders>
              <w:bottom w:val="single" w:sz="4" w:space="0" w:color="auto"/>
            </w:tcBorders>
            <w:noWrap/>
            <w:vAlign w:val="bottom"/>
            <w:hideMark/>
          </w:tcPr>
          <w:p w14:paraId="33C5B77B"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17.0%</w:t>
            </w:r>
          </w:p>
        </w:tc>
        <w:tc>
          <w:tcPr>
            <w:tcW w:w="932" w:type="dxa"/>
            <w:gridSpan w:val="2"/>
            <w:tcBorders>
              <w:bottom w:val="single" w:sz="4" w:space="0" w:color="auto"/>
            </w:tcBorders>
            <w:noWrap/>
            <w:vAlign w:val="bottom"/>
            <w:hideMark/>
          </w:tcPr>
          <w:p w14:paraId="431CAADF"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8.0%</w:t>
            </w:r>
          </w:p>
        </w:tc>
        <w:tc>
          <w:tcPr>
            <w:tcW w:w="933" w:type="dxa"/>
            <w:gridSpan w:val="2"/>
            <w:tcBorders>
              <w:bottom w:val="single" w:sz="4" w:space="0" w:color="auto"/>
            </w:tcBorders>
            <w:noWrap/>
            <w:vAlign w:val="bottom"/>
            <w:hideMark/>
          </w:tcPr>
          <w:p w14:paraId="3DD41367"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13.1%</w:t>
            </w:r>
          </w:p>
        </w:tc>
        <w:tc>
          <w:tcPr>
            <w:tcW w:w="933" w:type="dxa"/>
            <w:gridSpan w:val="2"/>
            <w:tcBorders>
              <w:bottom w:val="single" w:sz="4" w:space="0" w:color="auto"/>
            </w:tcBorders>
            <w:noWrap/>
            <w:vAlign w:val="bottom"/>
            <w:hideMark/>
          </w:tcPr>
          <w:p w14:paraId="0BF9253F"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-1.2%</w:t>
            </w:r>
          </w:p>
        </w:tc>
        <w:tc>
          <w:tcPr>
            <w:tcW w:w="933" w:type="dxa"/>
            <w:gridSpan w:val="2"/>
            <w:tcBorders>
              <w:bottom w:val="single" w:sz="4" w:space="0" w:color="auto"/>
            </w:tcBorders>
            <w:noWrap/>
            <w:vAlign w:val="bottom"/>
            <w:hideMark/>
          </w:tcPr>
          <w:p w14:paraId="701698A8"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1.8%</w:t>
            </w:r>
          </w:p>
        </w:tc>
        <w:tc>
          <w:tcPr>
            <w:tcW w:w="933" w:type="dxa"/>
            <w:gridSpan w:val="2"/>
            <w:tcBorders>
              <w:bottom w:val="single" w:sz="4" w:space="0" w:color="auto"/>
              <w:right w:val="single" w:sz="4" w:space="0" w:color="auto"/>
            </w:tcBorders>
            <w:noWrap/>
            <w:vAlign w:val="bottom"/>
            <w:hideMark/>
          </w:tcPr>
          <w:p w14:paraId="2DEB5CC5"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3.8%</w:t>
            </w:r>
          </w:p>
        </w:tc>
        <w:tc>
          <w:tcPr>
            <w:tcW w:w="933" w:type="dxa"/>
            <w:gridSpan w:val="2"/>
            <w:tcBorders>
              <w:left w:val="single" w:sz="4" w:space="0" w:color="auto"/>
              <w:bottom w:val="single" w:sz="4" w:space="0" w:color="auto"/>
            </w:tcBorders>
            <w:noWrap/>
            <w:vAlign w:val="bottom"/>
            <w:hideMark/>
          </w:tcPr>
          <w:p w14:paraId="3952AF3C"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6.5%</w:t>
            </w:r>
          </w:p>
        </w:tc>
        <w:tc>
          <w:tcPr>
            <w:tcW w:w="933" w:type="dxa"/>
            <w:tcBorders>
              <w:bottom w:val="single" w:sz="4" w:space="0" w:color="auto"/>
            </w:tcBorders>
            <w:noWrap/>
            <w:vAlign w:val="bottom"/>
            <w:hideMark/>
          </w:tcPr>
          <w:p w14:paraId="34195715" w14:textId="77777777" w:rsidR="00F0490D" w:rsidRPr="00522CD5" w:rsidRDefault="00F0490D" w:rsidP="001201B9">
            <w:pPr>
              <w:spacing w:after="0" w:line="240" w:lineRule="auto"/>
              <w:jc w:val="right"/>
              <w:rPr>
                <w:rFonts w:cs="Calibri"/>
                <w:color w:val="000000"/>
                <w:sz w:val="20"/>
                <w:szCs w:val="20"/>
              </w:rPr>
            </w:pPr>
            <w:r w:rsidRPr="00522CD5">
              <w:rPr>
                <w:rFonts w:cs="Calibri"/>
                <w:color w:val="000000"/>
                <w:sz w:val="20"/>
                <w:szCs w:val="20"/>
              </w:rPr>
              <w:t>2%</w:t>
            </w:r>
          </w:p>
        </w:tc>
      </w:tr>
    </w:tbl>
    <w:p w14:paraId="5256A864" w14:textId="20218043" w:rsidR="00F0490D" w:rsidRDefault="00F0490D" w:rsidP="00F0490D">
      <w:pPr>
        <w:pStyle w:val="Source"/>
      </w:pPr>
      <w:r w:rsidRPr="00167CB8">
        <w:rPr>
          <w:b/>
          <w:bCs/>
        </w:rPr>
        <w:t>Source:</w:t>
      </w:r>
      <w:r w:rsidRPr="00167CB8">
        <w:t xml:space="preserve"> ABS 5204.0, Australian system of National Accounts, Table 15</w:t>
      </w:r>
      <w:r>
        <w:t xml:space="preserve">, Labour Productivity and Input, Hours worked and </w:t>
      </w:r>
      <w:r w:rsidR="00D3521D">
        <w:t>gross value added</w:t>
      </w:r>
      <w:r>
        <w:t xml:space="preserve"> (GVA) per hour worked – by industry.</w:t>
      </w:r>
    </w:p>
    <w:p w14:paraId="7140BF84" w14:textId="27C8D453" w:rsidR="00F0490D" w:rsidRPr="00F0490D" w:rsidRDefault="00F0490D" w:rsidP="009B645F">
      <w:pPr>
        <w:pStyle w:val="Caption"/>
      </w:pPr>
      <w:bookmarkStart w:id="1126" w:name="_Toc194251562"/>
      <w:r>
        <w:t xml:space="preserve">Figure </w:t>
      </w:r>
      <w:r>
        <w:fldChar w:fldCharType="begin"/>
      </w:r>
      <w:r>
        <w:instrText xml:space="preserve"> SEQ Figure \* ARABIC </w:instrText>
      </w:r>
      <w:r>
        <w:fldChar w:fldCharType="separate"/>
      </w:r>
      <w:r w:rsidR="00DE5F5E">
        <w:rPr>
          <w:noProof/>
        </w:rPr>
        <w:t>64</w:t>
      </w:r>
      <w:r>
        <w:fldChar w:fldCharType="end"/>
      </w:r>
      <w:r>
        <w:t xml:space="preserve">: </w:t>
      </w:r>
      <w:r w:rsidRPr="00F0490D">
        <w:t>Estimates of labour productivity growth for select industries, Australia, 1995 to 2024</w:t>
      </w:r>
      <w:bookmarkEnd w:id="1126"/>
    </w:p>
    <w:p w14:paraId="5C000D2F" w14:textId="5A519E54" w:rsidR="00F0490D" w:rsidRDefault="00F0490D" w:rsidP="00F0490D">
      <w:pPr>
        <w:rPr>
          <w:lang w:val="en-US" w:eastAsia="en-AU"/>
        </w:rPr>
      </w:pPr>
      <w:r w:rsidRPr="005B3FD0">
        <w:rPr>
          <w:noProof/>
        </w:rPr>
        <w:drawing>
          <wp:inline distT="0" distB="0" distL="0" distR="0" wp14:anchorId="0DE015C9" wp14:editId="6AEF37A8">
            <wp:extent cx="5731510" cy="3748405"/>
            <wp:effectExtent l="0" t="0" r="2540" b="4445"/>
            <wp:docPr id="1873251531" name="Picture 1" descr="A line chart showing estimates of labour productivity growth for select industries.&#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251531" name="Picture 1" descr="A line chart showing estimates of labour productivity growth for select industries.&#10;&#10;See alt-text following the source."/>
                    <pic:cNvPicPr/>
                  </pic:nvPicPr>
                  <pic:blipFill>
                    <a:blip r:embed="rId80"/>
                    <a:stretch>
                      <a:fillRect/>
                    </a:stretch>
                  </pic:blipFill>
                  <pic:spPr>
                    <a:xfrm>
                      <a:off x="0" y="0"/>
                      <a:ext cx="5731510" cy="3748405"/>
                    </a:xfrm>
                    <a:prstGeom prst="rect">
                      <a:avLst/>
                    </a:prstGeom>
                  </pic:spPr>
                </pic:pic>
              </a:graphicData>
            </a:graphic>
          </wp:inline>
        </w:drawing>
      </w:r>
    </w:p>
    <w:p w14:paraId="5EA862E2" w14:textId="37E7CADC" w:rsidR="00F0490D" w:rsidRPr="00F0490D" w:rsidRDefault="00F0490D" w:rsidP="009B645F">
      <w:pPr>
        <w:pStyle w:val="Source"/>
        <w:rPr>
          <w:lang w:val="en-US" w:eastAsia="en-AU"/>
        </w:rPr>
      </w:pPr>
      <w:r w:rsidRPr="002D1B1B">
        <w:rPr>
          <w:b/>
          <w:bCs/>
          <w:lang w:val="en-US" w:eastAsia="en-AU"/>
        </w:rPr>
        <w:t>Note:</w:t>
      </w:r>
      <w:r w:rsidRPr="00924C7A" w:rsidDel="00F0490D">
        <w:rPr>
          <w:lang w:val="en-US" w:eastAsia="en-AU"/>
        </w:rPr>
        <w:t xml:space="preserve"> </w:t>
      </w:r>
      <w:r w:rsidRPr="00F0490D">
        <w:rPr>
          <w:lang w:val="en-US" w:eastAsia="en-AU"/>
        </w:rPr>
        <w:t>Data indexed to 1995</w:t>
      </w:r>
      <w:r w:rsidR="006677BC">
        <w:rPr>
          <w:rFonts w:ascii="Symbol" w:eastAsia="Symbol" w:hAnsi="Symbol" w:cs="Symbol"/>
          <w:lang w:val="en-US" w:eastAsia="en-AU"/>
        </w:rPr>
        <w:sym w:font="Symbol" w:char="F02D"/>
      </w:r>
      <w:r w:rsidRPr="00F0490D">
        <w:rPr>
          <w:lang w:val="en-US" w:eastAsia="en-AU"/>
        </w:rPr>
        <w:t>96.</w:t>
      </w:r>
    </w:p>
    <w:p w14:paraId="7CE66C29" w14:textId="77777777" w:rsidR="00F0490D" w:rsidRDefault="00F0490D" w:rsidP="009B645F">
      <w:pPr>
        <w:pStyle w:val="Source"/>
        <w:rPr>
          <w:lang w:val="en-US" w:eastAsia="en-AU"/>
        </w:rPr>
      </w:pPr>
      <w:r w:rsidRPr="002D1B1B">
        <w:rPr>
          <w:b/>
          <w:bCs/>
          <w:lang w:val="en-US" w:eastAsia="en-AU"/>
        </w:rPr>
        <w:t>Source:</w:t>
      </w:r>
      <w:r w:rsidRPr="00F0490D">
        <w:rPr>
          <w:lang w:val="en-US" w:eastAsia="en-AU"/>
        </w:rPr>
        <w:t xml:space="preserve"> ABS 5204.0, Australian system of National Accounts, Table 15. </w:t>
      </w:r>
    </w:p>
    <w:p w14:paraId="160ED881" w14:textId="687E476D" w:rsidR="001C2749" w:rsidRDefault="001C2749" w:rsidP="001C2749">
      <w:pPr>
        <w:pStyle w:val="Source"/>
      </w:pPr>
      <w:r w:rsidRPr="00F744EA">
        <w:rPr>
          <w:b/>
          <w:bCs/>
        </w:rPr>
        <w:t>Alt-text:</w:t>
      </w:r>
      <w:r w:rsidRPr="00F744EA">
        <w:t xml:space="preserve"> A line chart showing the trend in </w:t>
      </w:r>
      <w:r w:rsidR="002D1B1B">
        <w:t xml:space="preserve">Mining, Manufacturing, Construction, Retail Trade, Professional, scientific, and all industries </w:t>
      </w:r>
      <w:r w:rsidRPr="00F744EA">
        <w:t>between 1995 and 2024.</w:t>
      </w:r>
    </w:p>
    <w:p w14:paraId="0D3D95D5" w14:textId="48F4AC74" w:rsidR="00F0490D" w:rsidRPr="00F0490D" w:rsidRDefault="00F0490D" w:rsidP="00F0490D">
      <w:pPr>
        <w:rPr>
          <w:lang w:val="en-US" w:eastAsia="en-AU"/>
        </w:rPr>
      </w:pPr>
      <w:r w:rsidRPr="00F0490D">
        <w:rPr>
          <w:lang w:val="en-US" w:eastAsia="en-AU"/>
        </w:rPr>
        <w:t xml:space="preserve">There are two initial observations flowing from Figure </w:t>
      </w:r>
      <w:r>
        <w:rPr>
          <w:lang w:val="en-US" w:eastAsia="en-AU"/>
        </w:rPr>
        <w:t>64</w:t>
      </w:r>
      <w:r w:rsidRPr="00F0490D">
        <w:rPr>
          <w:lang w:val="en-US" w:eastAsia="en-AU"/>
        </w:rPr>
        <w:t xml:space="preserve">. First, the </w:t>
      </w:r>
      <w:r>
        <w:rPr>
          <w:lang w:val="en-US" w:eastAsia="en-AU"/>
        </w:rPr>
        <w:t>‘</w:t>
      </w:r>
      <w:r w:rsidRPr="00F0490D">
        <w:rPr>
          <w:lang w:val="en-US" w:eastAsia="en-AU"/>
        </w:rPr>
        <w:t>All Industries</w:t>
      </w:r>
      <w:r>
        <w:rPr>
          <w:lang w:val="en-US" w:eastAsia="en-AU"/>
        </w:rPr>
        <w:t>’</w:t>
      </w:r>
      <w:r w:rsidRPr="00F0490D">
        <w:rPr>
          <w:lang w:val="en-US" w:eastAsia="en-AU"/>
        </w:rPr>
        <w:t xml:space="preserve"> line steadily increases until 2022, when it declines (for possible reasons, see above). Second, and more important for this section, trends in labour productivity growth vary enormously by industry (also demonstrated in Table </w:t>
      </w:r>
      <w:r w:rsidR="00551ACD">
        <w:rPr>
          <w:lang w:val="en-US" w:eastAsia="en-AU"/>
        </w:rPr>
        <w:t>73</w:t>
      </w:r>
      <w:r w:rsidRPr="00F0490D">
        <w:rPr>
          <w:lang w:val="en-US" w:eastAsia="en-AU"/>
        </w:rPr>
        <w:t>). National productivity debates often fail to take account of the way that industry differences influence national-level outcomes.</w:t>
      </w:r>
    </w:p>
    <w:p w14:paraId="0EA9C447" w14:textId="6D88C863" w:rsidR="00F0490D" w:rsidRPr="00F0490D" w:rsidRDefault="00F0490D" w:rsidP="00F0490D">
      <w:pPr>
        <w:rPr>
          <w:lang w:val="en-US" w:eastAsia="en-AU"/>
        </w:rPr>
      </w:pPr>
      <w:r w:rsidRPr="00F0490D">
        <w:rPr>
          <w:lang w:val="en-US" w:eastAsia="en-AU"/>
        </w:rPr>
        <w:t xml:space="preserve">Working through the separate industry stories revealed by Figure </w:t>
      </w:r>
      <w:r>
        <w:rPr>
          <w:lang w:val="en-US" w:eastAsia="en-AU"/>
        </w:rPr>
        <w:t>64</w:t>
      </w:r>
      <w:r w:rsidRPr="00F0490D">
        <w:rPr>
          <w:lang w:val="en-US" w:eastAsia="en-AU"/>
        </w:rPr>
        <w:t xml:space="preserve"> (and Table </w:t>
      </w:r>
      <w:r w:rsidR="00551ACD">
        <w:rPr>
          <w:lang w:val="en-US" w:eastAsia="en-AU"/>
        </w:rPr>
        <w:t>73</w:t>
      </w:r>
      <w:r w:rsidRPr="00F0490D">
        <w:rPr>
          <w:lang w:val="en-US" w:eastAsia="en-AU"/>
        </w:rPr>
        <w:t>), the 2008</w:t>
      </w:r>
      <w:r>
        <w:rPr>
          <w:rFonts w:ascii="Symbol" w:eastAsia="Symbol" w:hAnsi="Symbol" w:cs="Symbol"/>
          <w:lang w:val="en-US" w:eastAsia="en-AU"/>
        </w:rPr>
        <w:sym w:font="Symbol" w:char="F02D"/>
      </w:r>
      <w:r w:rsidRPr="00F0490D">
        <w:rPr>
          <w:lang w:val="en-US" w:eastAsia="en-AU"/>
        </w:rPr>
        <w:t>2012 period shows a sharp fall in labour productivity in mining. This was during the mining boom and a period of significant investment in new infrastructure (capital) during the construction phase (also known as ‘capital deepening’). During this boom, high commodity prices also made extracting lower-yield deposits profitable, but lower ore grades require more labour per unit of output, thus reducing output per hour worked (productivity).</w:t>
      </w:r>
      <w:r w:rsidR="006677BC">
        <w:rPr>
          <w:rStyle w:val="FootnoteReference"/>
          <w:lang w:val="en-US" w:eastAsia="en-AU"/>
        </w:rPr>
        <w:footnoteReference w:id="1361"/>
      </w:r>
      <w:r w:rsidRPr="00F0490D">
        <w:rPr>
          <w:lang w:val="en-US" w:eastAsia="en-AU"/>
        </w:rPr>
        <w:t xml:space="preserve"> In the 2013</w:t>
      </w:r>
      <w:r>
        <w:rPr>
          <w:rFonts w:ascii="Symbol" w:eastAsia="Symbol" w:hAnsi="Symbol" w:cs="Symbol"/>
          <w:lang w:val="en-US" w:eastAsia="en-AU"/>
        </w:rPr>
        <w:sym w:font="Symbol" w:char="F02D"/>
      </w:r>
      <w:r w:rsidRPr="00F0490D">
        <w:rPr>
          <w:lang w:val="en-US" w:eastAsia="en-AU"/>
        </w:rPr>
        <w:t>2018 period, labour productivity in mining grew (on the back of the investments in the previous period). Labour productivity in mining has been declining since 2020. The ABS notes that mining recorded its fourth consecutive annual decline in MFP in 2023</w:t>
      </w:r>
      <w:r>
        <w:rPr>
          <w:rFonts w:ascii="Symbol" w:eastAsia="Symbol" w:hAnsi="Symbol" w:cs="Symbol"/>
          <w:lang w:val="en-US" w:eastAsia="en-AU"/>
        </w:rPr>
        <w:sym w:font="Symbol" w:char="F02D"/>
      </w:r>
      <w:r w:rsidRPr="00F0490D">
        <w:rPr>
          <w:lang w:val="en-US" w:eastAsia="en-AU"/>
        </w:rPr>
        <w:t>24. It attributes the latest decline, in part, to a growth in hours worked on account of weather disruptions and unplanned maintenance.</w:t>
      </w:r>
      <w:r w:rsidR="006677BC">
        <w:rPr>
          <w:rStyle w:val="FootnoteReference"/>
          <w:lang w:val="en-US" w:eastAsia="en-AU"/>
        </w:rPr>
        <w:footnoteReference w:id="1362"/>
      </w:r>
      <w:r w:rsidRPr="00F0490D">
        <w:rPr>
          <w:lang w:val="en-US" w:eastAsia="en-AU"/>
        </w:rPr>
        <w:t xml:space="preserve"> </w:t>
      </w:r>
    </w:p>
    <w:p w14:paraId="21DB9E9A" w14:textId="77777777" w:rsidR="00F0490D" w:rsidRPr="00F0490D" w:rsidRDefault="00F0490D" w:rsidP="00F0490D">
      <w:pPr>
        <w:rPr>
          <w:lang w:val="en-US" w:eastAsia="en-AU"/>
        </w:rPr>
      </w:pPr>
      <w:r w:rsidRPr="00F0490D">
        <w:rPr>
          <w:lang w:val="en-US" w:eastAsia="en-AU"/>
        </w:rPr>
        <w:t xml:space="preserve">Second, the labour productivity trends in </w:t>
      </w:r>
      <w:r w:rsidRPr="009B645F">
        <w:rPr>
          <w:b/>
          <w:lang w:val="en-US" w:eastAsia="en-AU"/>
        </w:rPr>
        <w:t>construction</w:t>
      </w:r>
      <w:r w:rsidRPr="00F0490D">
        <w:rPr>
          <w:lang w:val="en-US" w:eastAsia="en-AU"/>
        </w:rPr>
        <w:t xml:space="preserve"> moved in the opposite direction to mining. During the period of capital deepening phase in mining, high levels of mining related construction drove productivity. The subsequent slowdown may reflect a slowdown in mining infrastructure projects. The uptick since 2022 might relate to strong public infrastructure investment.</w:t>
      </w:r>
    </w:p>
    <w:p w14:paraId="01604660" w14:textId="337C6D89" w:rsidR="00F0490D" w:rsidRPr="00F0490D" w:rsidRDefault="00F0490D" w:rsidP="00F0490D">
      <w:pPr>
        <w:rPr>
          <w:lang w:val="en-US" w:eastAsia="en-AU"/>
        </w:rPr>
      </w:pPr>
      <w:r w:rsidRPr="00F0490D">
        <w:rPr>
          <w:lang w:val="en-US" w:eastAsia="en-AU"/>
        </w:rPr>
        <w:t xml:space="preserve">Third, the </w:t>
      </w:r>
      <w:r w:rsidRPr="009B645F">
        <w:rPr>
          <w:b/>
          <w:lang w:val="en-US" w:eastAsia="en-AU"/>
        </w:rPr>
        <w:t>retail trade</w:t>
      </w:r>
      <w:r w:rsidRPr="00F0490D">
        <w:rPr>
          <w:lang w:val="en-US" w:eastAsia="en-AU"/>
        </w:rPr>
        <w:t xml:space="preserve"> industry has shown strong growth in labour productivity, with the latter peaking in 2022. For all periods shown in Table </w:t>
      </w:r>
      <w:r w:rsidR="00551ACD">
        <w:rPr>
          <w:lang w:val="en-US" w:eastAsia="en-AU"/>
        </w:rPr>
        <w:t>73</w:t>
      </w:r>
      <w:r w:rsidRPr="00F0490D">
        <w:rPr>
          <w:lang w:val="en-US" w:eastAsia="en-AU"/>
        </w:rPr>
        <w:t>, labour productivity in retail exceeds that for the all-industry average. Growth in retail sector likely reflects technological advancements (e.g. e-commerce, self-service checkouts, online shopping et</w:t>
      </w:r>
      <w:r>
        <w:rPr>
          <w:lang w:val="en-US" w:eastAsia="en-AU"/>
        </w:rPr>
        <w:t xml:space="preserve"> </w:t>
      </w:r>
      <w:r w:rsidRPr="00F0490D">
        <w:rPr>
          <w:lang w:val="en-US" w:eastAsia="en-AU"/>
        </w:rPr>
        <w:t>c</w:t>
      </w:r>
      <w:r>
        <w:rPr>
          <w:lang w:val="en-US" w:eastAsia="en-AU"/>
        </w:rPr>
        <w:t>etera</w:t>
      </w:r>
      <w:r w:rsidRPr="00F0490D">
        <w:rPr>
          <w:lang w:val="en-US" w:eastAsia="en-AU"/>
        </w:rPr>
        <w:t xml:space="preserve">). </w:t>
      </w:r>
    </w:p>
    <w:p w14:paraId="65788ED7" w14:textId="5B5922C8" w:rsidR="00F0490D" w:rsidRPr="00F0490D" w:rsidRDefault="00F0490D" w:rsidP="00F0490D">
      <w:pPr>
        <w:rPr>
          <w:lang w:val="en-US" w:eastAsia="en-AU"/>
        </w:rPr>
      </w:pPr>
      <w:r w:rsidRPr="00F0490D">
        <w:rPr>
          <w:lang w:val="en-US" w:eastAsia="en-AU"/>
        </w:rPr>
        <w:t xml:space="preserve">Fourth, labour productivity growth in </w:t>
      </w:r>
      <w:r w:rsidRPr="009B645F">
        <w:rPr>
          <w:b/>
          <w:lang w:val="en-US" w:eastAsia="en-AU"/>
        </w:rPr>
        <w:t xml:space="preserve">manufacturing </w:t>
      </w:r>
      <w:r w:rsidRPr="00F0490D">
        <w:rPr>
          <w:lang w:val="en-US" w:eastAsia="en-AU"/>
        </w:rPr>
        <w:t>was also strong over most of the period shown, although there was some stalling after around 2016. Australian manufacturers have faced substantially increased competition since the Button Plans of the late 1980s, which progressively reduced tariffs on significant industries. But resultant increases in efficiency had their limits, with the dramatic reductions in, or total disappearance of, some industry sectors.</w:t>
      </w:r>
      <w:r w:rsidR="006677BC">
        <w:rPr>
          <w:rStyle w:val="FootnoteReference"/>
          <w:lang w:val="en-US" w:eastAsia="en-AU"/>
        </w:rPr>
        <w:footnoteReference w:id="1363"/>
      </w:r>
      <w:r w:rsidRPr="00F0490D" w:rsidDel="006677BC">
        <w:rPr>
          <w:lang w:val="en-US" w:eastAsia="en-AU"/>
        </w:rPr>
        <w:t xml:space="preserve"> </w:t>
      </w:r>
      <w:r w:rsidRPr="00F0490D">
        <w:rPr>
          <w:lang w:val="en-US" w:eastAsia="en-AU"/>
        </w:rPr>
        <w:t xml:space="preserve">Ford, for example, stopped manufacturing in Australia in 2016. </w:t>
      </w:r>
    </w:p>
    <w:p w14:paraId="5D0CB043" w14:textId="341D5C3D" w:rsidR="00F0490D" w:rsidRPr="00F0490D" w:rsidRDefault="00F0490D" w:rsidP="00F0490D">
      <w:pPr>
        <w:rPr>
          <w:lang w:val="en-US" w:eastAsia="en-AU"/>
        </w:rPr>
      </w:pPr>
      <w:r w:rsidRPr="00F0490D">
        <w:rPr>
          <w:lang w:val="en-US" w:eastAsia="en-AU"/>
        </w:rPr>
        <w:t xml:space="preserve">Fifth, in the </w:t>
      </w:r>
      <w:r w:rsidRPr="009B645F">
        <w:rPr>
          <w:b/>
          <w:lang w:val="en-US" w:eastAsia="en-AU"/>
        </w:rPr>
        <w:t>professional, scientific and technical services</w:t>
      </w:r>
      <w:r w:rsidRPr="00F0490D">
        <w:rPr>
          <w:lang w:val="en-US" w:eastAsia="en-AU"/>
        </w:rPr>
        <w:t xml:space="preserve"> sector labour productivity was weak (negative) until around 2009. Between 2009 and 2023 it exhibited strong growth. This is likely on the back of technological advancements, such as cloud computing, data analytics </w:t>
      </w:r>
      <w:r>
        <w:rPr>
          <w:lang w:val="en-US" w:eastAsia="en-AU"/>
        </w:rPr>
        <w:t>and so on</w:t>
      </w:r>
      <w:r w:rsidRPr="00F0490D">
        <w:rPr>
          <w:lang w:val="en-US" w:eastAsia="en-AU"/>
        </w:rPr>
        <w:t>. The decline since 2022 is associated a growth in hours worked.</w:t>
      </w:r>
      <w:r w:rsidR="006677BC">
        <w:rPr>
          <w:rStyle w:val="FootnoteReference"/>
          <w:lang w:val="en-US" w:eastAsia="en-AU"/>
        </w:rPr>
        <w:footnoteReference w:id="1364"/>
      </w:r>
      <w:r w:rsidRPr="00F0490D">
        <w:rPr>
          <w:lang w:val="en-US" w:eastAsia="en-AU"/>
        </w:rPr>
        <w:t xml:space="preserve">  </w:t>
      </w:r>
    </w:p>
    <w:p w14:paraId="4AD2DDB2" w14:textId="77777777" w:rsidR="00F0490D" w:rsidRPr="00F0490D" w:rsidRDefault="00F0490D" w:rsidP="00F0490D">
      <w:pPr>
        <w:rPr>
          <w:lang w:val="en-US" w:eastAsia="en-AU"/>
        </w:rPr>
      </w:pPr>
      <w:r w:rsidRPr="00F0490D">
        <w:rPr>
          <w:lang w:val="en-US" w:eastAsia="en-AU"/>
        </w:rPr>
        <w:t xml:space="preserve">The main observation here is that industries vary significantly in terms of measured productivity growth. Further analysis of these different trends is necessary and evidence-based industry variations should be part of future industrial relations debates over the causes of productivity growth and prescriptions to promote its growth. </w:t>
      </w:r>
    </w:p>
    <w:p w14:paraId="2543A31B" w14:textId="77777777" w:rsidR="00F0490D" w:rsidRPr="00F0490D" w:rsidRDefault="00F0490D" w:rsidP="009B645F">
      <w:pPr>
        <w:pStyle w:val="Heading4"/>
        <w:rPr>
          <w:lang w:val="en-US" w:eastAsia="en-AU"/>
        </w:rPr>
      </w:pPr>
      <w:r w:rsidRPr="00F0490D">
        <w:rPr>
          <w:lang w:val="en-US" w:eastAsia="en-AU"/>
        </w:rPr>
        <w:t xml:space="preserve">3.3 </w:t>
      </w:r>
      <w:r w:rsidRPr="00F0490D">
        <w:rPr>
          <w:lang w:val="en-US" w:eastAsia="en-AU"/>
        </w:rPr>
        <w:tab/>
        <w:t>Productivity at the enterprise level</w:t>
      </w:r>
    </w:p>
    <w:p w14:paraId="2ED51A40" w14:textId="0EDFF36B" w:rsidR="00F0490D" w:rsidRPr="00F0490D" w:rsidRDefault="000B1031" w:rsidP="00F0490D">
      <w:pPr>
        <w:rPr>
          <w:lang w:val="en-US" w:eastAsia="en-AU"/>
        </w:rPr>
      </w:pPr>
      <w:r>
        <w:rPr>
          <w:lang w:val="en-US" w:eastAsia="en-AU"/>
        </w:rPr>
        <w:t>The en</w:t>
      </w:r>
      <w:r w:rsidR="00171D9F">
        <w:rPr>
          <w:lang w:val="en-US" w:eastAsia="en-AU"/>
        </w:rPr>
        <w:t xml:space="preserve">terprise should be the level at which productivity is most easily and accurately measured. </w:t>
      </w:r>
      <w:r w:rsidR="00F0490D" w:rsidRPr="00F0490D">
        <w:rPr>
          <w:lang w:val="en-US" w:eastAsia="en-AU"/>
        </w:rPr>
        <w:t>The definition and measurement of productivity at enterprise level</w:t>
      </w:r>
      <w:r w:rsidR="009C0334">
        <w:rPr>
          <w:lang w:val="en-US" w:eastAsia="en-AU"/>
        </w:rPr>
        <w:t>, however,</w:t>
      </w:r>
      <w:r w:rsidR="00F0490D" w:rsidRPr="00F0490D">
        <w:rPr>
          <w:lang w:val="en-US" w:eastAsia="en-AU"/>
        </w:rPr>
        <w:t xml:space="preserve"> is rarely discussed or systematically analysed. This is particularly the case in debates concerning productivity and industrial relations. Why? </w:t>
      </w:r>
    </w:p>
    <w:p w14:paraId="405CE21E" w14:textId="667B4889" w:rsidR="00F0490D" w:rsidRPr="00F0490D" w:rsidRDefault="00F0490D" w:rsidP="00F0490D">
      <w:pPr>
        <w:rPr>
          <w:lang w:val="en-US" w:eastAsia="en-AU"/>
        </w:rPr>
      </w:pPr>
      <w:r w:rsidRPr="00F0490D">
        <w:rPr>
          <w:lang w:val="en-US" w:eastAsia="en-AU"/>
        </w:rPr>
        <w:t xml:space="preserve">First, data for monitoring productivity at the industry and national levels are systematically collected and reported by </w:t>
      </w:r>
      <w:r w:rsidR="009C0334">
        <w:rPr>
          <w:lang w:val="en-US" w:eastAsia="en-AU"/>
        </w:rPr>
        <w:t>organisations</w:t>
      </w:r>
      <w:r w:rsidRPr="00F0490D">
        <w:rPr>
          <w:lang w:val="en-US" w:eastAsia="en-AU"/>
        </w:rPr>
        <w:t xml:space="preserve">, such as the ABS and the Productivity Commission, but less so at the enterprise level. These </w:t>
      </w:r>
      <w:r w:rsidR="009C0334">
        <w:rPr>
          <w:lang w:val="en-US" w:eastAsia="en-AU"/>
        </w:rPr>
        <w:t>organisations</w:t>
      </w:r>
      <w:r w:rsidR="009C0334" w:rsidRPr="00F0490D">
        <w:rPr>
          <w:lang w:val="en-US" w:eastAsia="en-AU"/>
        </w:rPr>
        <w:t xml:space="preserve"> </w:t>
      </w:r>
      <w:r w:rsidRPr="00F0490D">
        <w:rPr>
          <w:lang w:val="en-US" w:eastAsia="en-AU"/>
        </w:rPr>
        <w:t xml:space="preserve">focus on broader economic trends, regulatory settings, labour market conditions, competition, and technological change rather than the granular dynamics of individual firms. </w:t>
      </w:r>
    </w:p>
    <w:p w14:paraId="465B5CB5" w14:textId="03B6A5F8" w:rsidR="00F0490D" w:rsidRPr="00F0490D" w:rsidRDefault="00F0490D" w:rsidP="00F0490D">
      <w:pPr>
        <w:rPr>
          <w:lang w:val="en-US" w:eastAsia="en-AU"/>
        </w:rPr>
      </w:pPr>
      <w:r w:rsidRPr="00F0490D">
        <w:rPr>
          <w:lang w:val="en-US" w:eastAsia="en-AU"/>
        </w:rPr>
        <w:t>Second, measuring productivity at the enterprise can also be complex and resource intensive. In fact, it is unclear how many individual enterprises develop a systematic approach to the definition and measurement of productivity. It was found in 1990, for example, that only 68% of ‘workplaces’ had ‘procedures in place which regularly measured labour productivity at the workplace’; this had only increased to 69% in 1995.</w:t>
      </w:r>
      <w:r w:rsidR="006677BC">
        <w:rPr>
          <w:rStyle w:val="FootnoteReference"/>
          <w:lang w:val="en-US" w:eastAsia="en-AU"/>
        </w:rPr>
        <w:footnoteReference w:id="1365"/>
      </w:r>
      <w:r w:rsidRPr="00F0490D" w:rsidDel="006677BC">
        <w:rPr>
          <w:lang w:val="en-US" w:eastAsia="en-AU"/>
        </w:rPr>
        <w:t xml:space="preserve"> </w:t>
      </w:r>
      <w:r w:rsidRPr="00F0490D">
        <w:rPr>
          <w:lang w:val="en-US" w:eastAsia="en-AU"/>
        </w:rPr>
        <w:t xml:space="preserve">This data is now over 30 years old, but it does suggest that the absence of productivity data at the enterprise level may at least partly arise from local managers not even gathering the data on any systematic basis. </w:t>
      </w:r>
    </w:p>
    <w:p w14:paraId="3A00745B" w14:textId="6ADDE732" w:rsidR="00F0490D" w:rsidRPr="00F0490D" w:rsidRDefault="00F0490D" w:rsidP="00F0490D">
      <w:pPr>
        <w:rPr>
          <w:lang w:val="en-US" w:eastAsia="en-AU"/>
        </w:rPr>
      </w:pPr>
      <w:r w:rsidRPr="00F0490D">
        <w:rPr>
          <w:lang w:val="en-US" w:eastAsia="en-AU"/>
        </w:rPr>
        <w:t>Third, businesses are also often reluctant to disclose or share detailed performance metrics because managers fear that information will be used to their disadvantage by either competitor enterprises or unions. A partial compromise is that enterprise productivity is sometimes measured subjectively in surveys through questions asking managers (and sometimes workers) about their perceptions of the relative productivity performance of their enterprises. When asked in 1995, for example, to compare their current labour productivity with that of two years ago, 97% of managers responded positively.</w:t>
      </w:r>
      <w:r w:rsidR="004767FC">
        <w:rPr>
          <w:rStyle w:val="FootnoteReference"/>
          <w:lang w:val="en-US" w:eastAsia="en-AU"/>
        </w:rPr>
        <w:footnoteReference w:id="1366"/>
      </w:r>
    </w:p>
    <w:p w14:paraId="3E7C906A" w14:textId="6E1E74F2" w:rsidR="00F0490D" w:rsidRPr="00F0490D" w:rsidRDefault="00F0490D" w:rsidP="00F0490D">
      <w:pPr>
        <w:rPr>
          <w:lang w:val="en-US" w:eastAsia="en-AU"/>
        </w:rPr>
      </w:pPr>
      <w:r w:rsidRPr="00F0490D">
        <w:rPr>
          <w:lang w:val="en-US" w:eastAsia="en-AU"/>
        </w:rPr>
        <w:t xml:space="preserve">There has been, however, growing interest in enterprise-level productivity in recent years. Recent </w:t>
      </w:r>
      <w:r w:rsidRPr="004767FC">
        <w:rPr>
          <w:lang w:val="en-US" w:eastAsia="en-AU"/>
        </w:rPr>
        <w:t>examples include Green (2024),</w:t>
      </w:r>
      <w:r w:rsidR="004767FC" w:rsidRPr="009B645F">
        <w:rPr>
          <w:rStyle w:val="FootnoteReference"/>
          <w:lang w:val="en-US" w:eastAsia="en-AU"/>
        </w:rPr>
        <w:footnoteReference w:id="1367"/>
      </w:r>
      <w:r w:rsidRPr="004767FC" w:rsidDel="004767FC">
        <w:rPr>
          <w:lang w:val="en-US" w:eastAsia="en-AU"/>
        </w:rPr>
        <w:t xml:space="preserve"> </w:t>
      </w:r>
      <w:r w:rsidRPr="004767FC">
        <w:rPr>
          <w:lang w:val="en-US" w:eastAsia="en-AU"/>
        </w:rPr>
        <w:t>KPMG (2024),</w:t>
      </w:r>
      <w:r w:rsidR="004767FC" w:rsidRPr="009B645F">
        <w:rPr>
          <w:rStyle w:val="FootnoteReference"/>
          <w:lang w:val="en-US" w:eastAsia="en-AU"/>
        </w:rPr>
        <w:footnoteReference w:id="1368"/>
      </w:r>
      <w:r w:rsidRPr="004767FC">
        <w:rPr>
          <w:lang w:val="en-US" w:eastAsia="en-AU"/>
        </w:rPr>
        <w:t xml:space="preserve"> Deloitte’s 2024 report on generative AI,</w:t>
      </w:r>
      <w:r w:rsidR="004767FC" w:rsidRPr="009B645F">
        <w:rPr>
          <w:rStyle w:val="FootnoteReference"/>
          <w:lang w:val="en-US" w:eastAsia="en-AU"/>
        </w:rPr>
        <w:footnoteReference w:id="1369"/>
      </w:r>
      <w:r w:rsidRPr="004767FC">
        <w:rPr>
          <w:lang w:val="en-US" w:eastAsia="en-AU"/>
        </w:rPr>
        <w:t xml:space="preserve"> Consult Australia’s 2020 report on procurement and productivity,</w:t>
      </w:r>
      <w:r w:rsidR="004767FC" w:rsidRPr="004767FC">
        <w:rPr>
          <w:rStyle w:val="FootnoteReference"/>
          <w:lang w:val="en-US" w:eastAsia="en-AU"/>
        </w:rPr>
        <w:footnoteReference w:id="1370"/>
      </w:r>
      <w:r w:rsidRPr="004767FC">
        <w:rPr>
          <w:lang w:val="en-US" w:eastAsia="en-AU"/>
        </w:rPr>
        <w:t xml:space="preserve"> e61 Institute’s 2023</w:t>
      </w:r>
      <w:r w:rsidR="004767FC" w:rsidRPr="009B645F">
        <w:rPr>
          <w:rStyle w:val="FootnoteReference"/>
          <w:lang w:val="en-US" w:eastAsia="en-AU"/>
        </w:rPr>
        <w:footnoteReference w:id="1371"/>
      </w:r>
      <w:r w:rsidRPr="004767FC">
        <w:rPr>
          <w:lang w:val="en-US" w:eastAsia="en-AU"/>
        </w:rPr>
        <w:t xml:space="preserve"> report</w:t>
      </w:r>
      <w:r w:rsidRPr="00F0490D">
        <w:rPr>
          <w:lang w:val="en-US" w:eastAsia="en-AU"/>
        </w:rPr>
        <w:t xml:space="preserve"> on job switching (noting that non-compete clauses are a barrier to job mobility and are hampering </w:t>
      </w:r>
      <w:r w:rsidRPr="004767FC">
        <w:rPr>
          <w:lang w:val="en-US" w:eastAsia="en-AU"/>
        </w:rPr>
        <w:t>productivity), the Productivity Commission’s 2023 inquiry report on productivity and the labour</w:t>
      </w:r>
      <w:r w:rsidRPr="00F0490D">
        <w:rPr>
          <w:lang w:val="en-US" w:eastAsia="en-AU"/>
        </w:rPr>
        <w:t xml:space="preserve"> market</w:t>
      </w:r>
      <w:r w:rsidR="004767FC">
        <w:rPr>
          <w:rStyle w:val="FootnoteReference"/>
          <w:lang w:val="en-US" w:eastAsia="en-AU"/>
        </w:rPr>
        <w:footnoteReference w:id="1372"/>
      </w:r>
      <w:r w:rsidRPr="00F0490D" w:rsidDel="004767FC">
        <w:rPr>
          <w:lang w:val="en-US" w:eastAsia="en-AU"/>
        </w:rPr>
        <w:t xml:space="preserve"> </w:t>
      </w:r>
      <w:r w:rsidRPr="00F0490D">
        <w:rPr>
          <w:lang w:val="en-US" w:eastAsia="en-AU"/>
        </w:rPr>
        <w:t>and various Treasury reports.</w:t>
      </w:r>
      <w:r w:rsidR="004767FC">
        <w:rPr>
          <w:rStyle w:val="FootnoteReference"/>
          <w:lang w:val="en-US" w:eastAsia="en-AU"/>
        </w:rPr>
        <w:footnoteReference w:id="1373"/>
      </w:r>
      <w:r w:rsidRPr="00F0490D" w:rsidDel="00F0490D">
        <w:rPr>
          <w:lang w:val="en-US" w:eastAsia="en-AU"/>
        </w:rPr>
        <w:t xml:space="preserve"> </w:t>
      </w:r>
      <w:r w:rsidRPr="00F0490D">
        <w:rPr>
          <w:lang w:val="en-US" w:eastAsia="en-AU"/>
        </w:rPr>
        <w:t xml:space="preserve">With the exception of the Productivity Commission report, none of the other reports mentioned here would appear to have an explicit focus on industrial relations. </w:t>
      </w:r>
    </w:p>
    <w:p w14:paraId="2D8FAF84" w14:textId="77777777" w:rsidR="00F0490D" w:rsidRPr="00F0490D" w:rsidRDefault="00F0490D" w:rsidP="009B645F">
      <w:pPr>
        <w:pStyle w:val="Heading3"/>
        <w:rPr>
          <w:lang w:val="en-US" w:eastAsia="en-AU"/>
        </w:rPr>
      </w:pPr>
      <w:bookmarkStart w:id="1127" w:name="_Toc194066993"/>
      <w:bookmarkStart w:id="1128" w:name="_Toc194311463"/>
      <w:r w:rsidRPr="00F0490D">
        <w:rPr>
          <w:lang w:val="en-US" w:eastAsia="en-AU"/>
        </w:rPr>
        <w:t>4.</w:t>
      </w:r>
      <w:r w:rsidRPr="00F0490D">
        <w:rPr>
          <w:lang w:val="en-US" w:eastAsia="en-AU"/>
        </w:rPr>
        <w:tab/>
        <w:t>Labour productivity and the bargaining system</w:t>
      </w:r>
      <w:bookmarkEnd w:id="1127"/>
      <w:bookmarkEnd w:id="1128"/>
    </w:p>
    <w:p w14:paraId="7C4D237B" w14:textId="4FC936F0" w:rsidR="00F0490D" w:rsidRPr="00F0490D" w:rsidRDefault="00F0490D" w:rsidP="00F0490D">
      <w:pPr>
        <w:rPr>
          <w:lang w:val="en-US" w:eastAsia="en-AU"/>
        </w:rPr>
      </w:pPr>
      <w:r w:rsidRPr="00F0490D">
        <w:rPr>
          <w:lang w:val="en-US" w:eastAsia="en-AU"/>
        </w:rPr>
        <w:t>In section 3 above, trends in productivity at the national and industry level were presented and discussed, including some consideration of the ‘causes’ or drivers of the observed trends. It was a high</w:t>
      </w:r>
      <w:r>
        <w:rPr>
          <w:lang w:val="en-US" w:eastAsia="en-AU"/>
        </w:rPr>
        <w:t>-</w:t>
      </w:r>
      <w:r w:rsidRPr="00F0490D">
        <w:rPr>
          <w:lang w:val="en-US" w:eastAsia="en-AU"/>
        </w:rPr>
        <w:t xml:space="preserve">level commentary and made little mention of industrial relations factors. In this section, the focus is on how one part of the industrial relations system (namely, the bargaining system) can impact on productivity. Emphasis is first on national productivity and then on productivity at the enterprise level. </w:t>
      </w:r>
    </w:p>
    <w:p w14:paraId="36571F4B" w14:textId="77777777" w:rsidR="00F0490D" w:rsidRPr="00F0490D" w:rsidRDefault="00F0490D" w:rsidP="00A55DA2">
      <w:pPr>
        <w:pStyle w:val="Heading4"/>
        <w:rPr>
          <w:lang w:val="en-US" w:eastAsia="en-AU"/>
        </w:rPr>
      </w:pPr>
      <w:r w:rsidRPr="00F0490D">
        <w:rPr>
          <w:lang w:val="en-US" w:eastAsia="en-AU"/>
        </w:rPr>
        <w:t>4.1</w:t>
      </w:r>
      <w:r w:rsidRPr="00F0490D">
        <w:rPr>
          <w:lang w:val="en-US" w:eastAsia="en-AU"/>
        </w:rPr>
        <w:tab/>
        <w:t>Productivity and the bargaining system at the national level</w:t>
      </w:r>
    </w:p>
    <w:p w14:paraId="47585298" w14:textId="754D850D" w:rsidR="00F0490D" w:rsidRPr="00F0490D" w:rsidRDefault="00F0490D" w:rsidP="00F0490D">
      <w:pPr>
        <w:rPr>
          <w:lang w:val="en-US" w:eastAsia="en-AU"/>
        </w:rPr>
      </w:pPr>
      <w:r w:rsidRPr="00F0490D">
        <w:rPr>
          <w:lang w:val="en-US" w:eastAsia="en-AU"/>
        </w:rPr>
        <w:t>Many submissions to this review argued that the Secure Jobs, Better Pay amendments would ‘compromise productivity and Australia’s future economic prosperity.’</w:t>
      </w:r>
      <w:r w:rsidR="004767FC">
        <w:rPr>
          <w:rStyle w:val="FootnoteReference"/>
          <w:lang w:val="en-US" w:eastAsia="en-AU"/>
        </w:rPr>
        <w:footnoteReference w:id="1374"/>
      </w:r>
      <w:r w:rsidRPr="00F0490D" w:rsidDel="004767FC">
        <w:rPr>
          <w:lang w:val="en-US" w:eastAsia="en-AU"/>
        </w:rPr>
        <w:t xml:space="preserve"> </w:t>
      </w:r>
      <w:r w:rsidRPr="00F0490D">
        <w:rPr>
          <w:lang w:val="en-US" w:eastAsia="en-AU"/>
        </w:rPr>
        <w:t>Echoing the former Chair of the Productivity Commission (Michael Brennan), their view is that productivity outcomes would be better ‘from a firm-based system than an industry-based system’.</w:t>
      </w:r>
      <w:r w:rsidR="004767FC">
        <w:rPr>
          <w:rStyle w:val="FootnoteReference"/>
          <w:lang w:val="en-US" w:eastAsia="en-AU"/>
        </w:rPr>
        <w:footnoteReference w:id="1375"/>
      </w:r>
      <w:r w:rsidRPr="00F0490D">
        <w:rPr>
          <w:lang w:val="en-US" w:eastAsia="en-AU"/>
        </w:rPr>
        <w:t xml:space="preserve"> </w:t>
      </w:r>
    </w:p>
    <w:p w14:paraId="22655C99" w14:textId="726F25F2" w:rsidR="00F0490D" w:rsidRPr="00F0490D" w:rsidRDefault="00F0490D" w:rsidP="00F0490D">
      <w:pPr>
        <w:rPr>
          <w:lang w:val="en-US" w:eastAsia="en-AU"/>
        </w:rPr>
      </w:pPr>
      <w:r w:rsidRPr="00F0490D">
        <w:rPr>
          <w:lang w:val="en-US" w:eastAsia="en-AU"/>
        </w:rPr>
        <w:t xml:space="preserve">Studies of the primary drivers of national productivity, however, concluded that </w:t>
      </w:r>
      <w:r w:rsidR="00AC654C">
        <w:rPr>
          <w:lang w:val="en-US" w:eastAsia="en-AU"/>
        </w:rPr>
        <w:t xml:space="preserve">it </w:t>
      </w:r>
      <w:r w:rsidRPr="00F0490D">
        <w:rPr>
          <w:lang w:val="en-US" w:eastAsia="en-AU"/>
        </w:rPr>
        <w:t>reflects the impact of a range of non-industrial relations factors, including technology and innovation, health, education, industry concentration, economic shocks (e.g. COVID-19), capital markets, monetary and fiscal policies, trade and globalisation (and the list goes on).</w:t>
      </w:r>
      <w:r w:rsidR="004767FC">
        <w:rPr>
          <w:rStyle w:val="FootnoteReference"/>
          <w:lang w:val="en-US" w:eastAsia="en-AU"/>
        </w:rPr>
        <w:footnoteReference w:id="1376"/>
      </w:r>
      <w:r w:rsidRPr="00F0490D">
        <w:rPr>
          <w:lang w:val="en-US" w:eastAsia="en-AU"/>
        </w:rPr>
        <w:t xml:space="preserve">   </w:t>
      </w:r>
    </w:p>
    <w:p w14:paraId="259E2915" w14:textId="14E7FE85" w:rsidR="00F0490D" w:rsidRPr="00F0490D" w:rsidRDefault="00F0490D" w:rsidP="00F0490D">
      <w:pPr>
        <w:rPr>
          <w:lang w:val="en-US" w:eastAsia="en-AU"/>
        </w:rPr>
      </w:pPr>
      <w:r w:rsidRPr="00F0490D">
        <w:rPr>
          <w:lang w:val="en-US" w:eastAsia="en-AU"/>
        </w:rPr>
        <w:t xml:space="preserve">The </w:t>
      </w:r>
      <w:r w:rsidR="00390400">
        <w:rPr>
          <w:lang w:val="en-US" w:eastAsia="en-AU"/>
        </w:rPr>
        <w:t xml:space="preserve">relative </w:t>
      </w:r>
      <w:r w:rsidRPr="00F0490D">
        <w:rPr>
          <w:lang w:val="en-US" w:eastAsia="en-AU"/>
        </w:rPr>
        <w:t xml:space="preserve">importance of these non-industrial relations factors </w:t>
      </w:r>
      <w:r w:rsidR="00390400">
        <w:rPr>
          <w:lang w:val="en-US" w:eastAsia="en-AU"/>
        </w:rPr>
        <w:t>is rarely quantified</w:t>
      </w:r>
      <w:r w:rsidR="000B67D8">
        <w:rPr>
          <w:lang w:val="en-US" w:eastAsia="en-AU"/>
        </w:rPr>
        <w:t xml:space="preserve">, but this </w:t>
      </w:r>
      <w:r w:rsidRPr="00F0490D">
        <w:rPr>
          <w:lang w:val="en-US" w:eastAsia="en-AU"/>
        </w:rPr>
        <w:t>should not eliminate consideration of how the industrial relations system can have an impact on productivity at the national level. Here again</w:t>
      </w:r>
      <w:r w:rsidR="00254FB8">
        <w:rPr>
          <w:lang w:val="en-US" w:eastAsia="en-AU"/>
        </w:rPr>
        <w:t>, however,</w:t>
      </w:r>
      <w:r w:rsidRPr="00F0490D">
        <w:rPr>
          <w:lang w:val="en-US" w:eastAsia="en-AU"/>
        </w:rPr>
        <w:t xml:space="preserve"> the findings d</w:t>
      </w:r>
      <w:r w:rsidR="00AC6572">
        <w:rPr>
          <w:lang w:val="en-US" w:eastAsia="en-AU"/>
        </w:rPr>
        <w:t>o</w:t>
      </w:r>
      <w:r w:rsidRPr="00F0490D">
        <w:rPr>
          <w:lang w:val="en-US" w:eastAsia="en-AU"/>
        </w:rPr>
        <w:t xml:space="preserve"> not support the arguments about the negative impact of national industrial relations and/or bargaining systems. By way of illustration, the vertical lines in Figure </w:t>
      </w:r>
      <w:r w:rsidRPr="00A55DA2">
        <w:rPr>
          <w:lang w:val="en-US" w:eastAsia="en-AU"/>
        </w:rPr>
        <w:t>64</w:t>
      </w:r>
      <w:r w:rsidRPr="00F0490D">
        <w:rPr>
          <w:lang w:val="en-US" w:eastAsia="en-AU"/>
        </w:rPr>
        <w:t xml:space="preserve"> show that significant changes to the industrial relations system did not correspond with changes in national productivity growth. The key legal initiates were</w:t>
      </w:r>
      <w:r>
        <w:rPr>
          <w:lang w:val="en-US" w:eastAsia="en-AU"/>
        </w:rPr>
        <w:t xml:space="preserve"> as follows</w:t>
      </w:r>
      <w:r w:rsidRPr="00F0490D">
        <w:rPr>
          <w:lang w:val="en-US" w:eastAsia="en-AU"/>
        </w:rPr>
        <w:t xml:space="preserve">: </w:t>
      </w:r>
    </w:p>
    <w:p w14:paraId="3F9AD9C1" w14:textId="354F1AE6" w:rsidR="00F0490D" w:rsidRPr="00713EFB" w:rsidRDefault="00F0490D" w:rsidP="00713EFB">
      <w:pPr>
        <w:pStyle w:val="ListBullet"/>
        <w:numPr>
          <w:ilvl w:val="0"/>
          <w:numId w:val="4"/>
        </w:numPr>
      </w:pPr>
      <w:r w:rsidRPr="00713EFB">
        <w:t xml:space="preserve">The Workplace Relations Act, first passed in 1996, saw increasing productivity levels in mining, retail and manufacturing but flat productivity growth in construction and professional services.  </w:t>
      </w:r>
    </w:p>
    <w:p w14:paraId="32A093C3" w14:textId="768A6863" w:rsidR="00F0490D" w:rsidRPr="00713EFB" w:rsidRDefault="00F0490D" w:rsidP="00713EFB">
      <w:pPr>
        <w:pStyle w:val="ListBullet"/>
        <w:numPr>
          <w:ilvl w:val="0"/>
          <w:numId w:val="4"/>
        </w:numPr>
      </w:pPr>
      <w:r w:rsidRPr="00713EFB">
        <w:t xml:space="preserve">The </w:t>
      </w:r>
      <w:r w:rsidRPr="00713EFB">
        <w:rPr>
          <w:i/>
          <w:iCs/>
        </w:rPr>
        <w:t>Workplace Relations Amendment (Work Choices) Act 2005 (Cth)</w:t>
      </w:r>
      <w:r w:rsidRPr="00713EFB">
        <w:t xml:space="preserve">, which came into effect in 2006, coincided with flat labour productivity growth in construction, falling in mining; flat in professional, scientific and technical services; and rising in retail and manufacturing. </w:t>
      </w:r>
    </w:p>
    <w:p w14:paraId="555160BA" w14:textId="5D3BD8DC" w:rsidR="00F0490D" w:rsidRPr="00713EFB" w:rsidRDefault="00F0490D" w:rsidP="00713EFB">
      <w:pPr>
        <w:pStyle w:val="ListBullet"/>
        <w:numPr>
          <w:ilvl w:val="0"/>
          <w:numId w:val="4"/>
        </w:numPr>
      </w:pPr>
      <w:r w:rsidRPr="00713EFB">
        <w:t>The adoption of the Fair Work Act in 2009 was accompanied by claims that the Fair Work Act would damage productivity growth,</w:t>
      </w:r>
      <w:r w:rsidR="004767FC" w:rsidRPr="00713EFB">
        <w:footnoteReference w:id="1377"/>
      </w:r>
      <w:r w:rsidRPr="00713EFB">
        <w:t xml:space="preserve"> but these concerns did not eventuate. For example, labour productivity in retail grew by 26% between 2010 and 2022, while professional, scientific and technical services grew by 34% over the same period. Across all industries, growth in labour productivity was equal to 16%.</w:t>
      </w:r>
    </w:p>
    <w:p w14:paraId="2DF8A4F3" w14:textId="001E57CB" w:rsidR="00F0490D" w:rsidRPr="00F0490D" w:rsidRDefault="00F0490D" w:rsidP="00F0490D">
      <w:pPr>
        <w:rPr>
          <w:lang w:val="en-US" w:eastAsia="en-AU"/>
        </w:rPr>
      </w:pPr>
      <w:r w:rsidRPr="00F0490D">
        <w:rPr>
          <w:lang w:val="en-US" w:eastAsia="en-AU"/>
        </w:rPr>
        <w:t>The Australian conclusion that national labour laws and bargaining systems that did not greatly affect productivity growth broadly followed recent international research. In particular, the international debate over multi-employer collective bargaining is relevant. For example, over recent years international agencies, like the OECD (2019), suggest that nationally coordinated collective bargaining systems have had a positive impact on employment, job quality, labour market inclusiveness and productivity. Coordinated bargaining is ‘an attempt to achieve the same or related outcome in separate negotiations’,</w:t>
      </w:r>
      <w:r w:rsidR="004767FC">
        <w:rPr>
          <w:rStyle w:val="FootnoteReference"/>
          <w:lang w:val="en-US" w:eastAsia="en-AU"/>
        </w:rPr>
        <w:footnoteReference w:id="1378"/>
      </w:r>
      <w:r w:rsidRPr="00F0490D" w:rsidDel="00F0490D">
        <w:rPr>
          <w:lang w:val="en-US" w:eastAsia="en-AU"/>
        </w:rPr>
        <w:t xml:space="preserve"> </w:t>
      </w:r>
      <w:r w:rsidRPr="00F0490D">
        <w:rPr>
          <w:lang w:val="en-US" w:eastAsia="en-AU"/>
        </w:rPr>
        <w:t>typically in bargaining arrangements that occur at different levels (e.g. enterprise, sector and/or national</w:t>
      </w:r>
      <w:r>
        <w:rPr>
          <w:lang w:val="en-US" w:eastAsia="en-AU"/>
        </w:rPr>
        <w:t xml:space="preserve"> </w:t>
      </w:r>
      <w:r w:rsidRPr="00F0490D">
        <w:rPr>
          <w:lang w:val="en-US" w:eastAsia="en-AU"/>
        </w:rPr>
        <w:t>levels). Grimshaw et al. summarised a ‘comprehensive’ European study, which found that ‘multilevel bargaining is a necessary condition for delivered productivity growth’. They went on to draw two conclusions:</w:t>
      </w:r>
      <w:r w:rsidR="004767FC">
        <w:rPr>
          <w:rStyle w:val="FootnoteReference"/>
          <w:lang w:val="en-US" w:eastAsia="en-AU"/>
        </w:rPr>
        <w:footnoteReference w:id="1379"/>
      </w:r>
    </w:p>
    <w:p w14:paraId="36DCCEE7" w14:textId="46FF7309" w:rsidR="00F0490D" w:rsidRPr="00A55DA2" w:rsidRDefault="00F0490D" w:rsidP="00A55DA2">
      <w:pPr>
        <w:pStyle w:val="Quote"/>
        <w:numPr>
          <w:ilvl w:val="5"/>
          <w:numId w:val="67"/>
        </w:numPr>
      </w:pPr>
      <w:r w:rsidRPr="00A55DA2">
        <w:t>Enterprise bargaining and coordinated multilevel bargaining both generate higher productivity growth than either absent collective bargaining or uncoordinated bargaining</w:t>
      </w:r>
      <w:r w:rsidRPr="00924C7A">
        <w:t>.</w:t>
      </w:r>
    </w:p>
    <w:p w14:paraId="4FFA387A" w14:textId="2F970696" w:rsidR="00F0490D" w:rsidRPr="00A55DA2" w:rsidRDefault="00F0490D" w:rsidP="00A55DA2">
      <w:pPr>
        <w:pStyle w:val="Quote"/>
        <w:numPr>
          <w:ilvl w:val="5"/>
          <w:numId w:val="67"/>
        </w:numPr>
      </w:pPr>
      <w:r w:rsidRPr="00A55DA2">
        <w:t>Strongly coordinated multilevel systems have superior productivity effects. Three types of vertically coordinated systems are especially effective: enterprise-sector systems, sector-national systems and enterprise-sector-national systems.</w:t>
      </w:r>
    </w:p>
    <w:p w14:paraId="4D5581E0" w14:textId="771C7061" w:rsidR="00F0490D" w:rsidRPr="00F0490D" w:rsidRDefault="00F0490D" w:rsidP="00F0490D">
      <w:pPr>
        <w:rPr>
          <w:lang w:val="en-US" w:eastAsia="en-AU"/>
        </w:rPr>
      </w:pPr>
      <w:r w:rsidRPr="00F0490D">
        <w:rPr>
          <w:lang w:val="en-US" w:eastAsia="en-AU"/>
        </w:rPr>
        <w:t>The OECD conclusions reversed the earlier support by international agencies for single-employer collective bargaining. Instead, they advocated multi-employer bargaining combined with enterprise-level bargaining because, amongst other things, they see this form of coordinated bargaining as producing greater national productivity growth. They are supported by related academic studies.</w:t>
      </w:r>
      <w:r w:rsidR="004767FC">
        <w:rPr>
          <w:rStyle w:val="FootnoteReference"/>
          <w:lang w:val="en-US" w:eastAsia="en-AU"/>
        </w:rPr>
        <w:footnoteReference w:id="1380"/>
      </w:r>
      <w:r w:rsidRPr="00F0490D">
        <w:rPr>
          <w:lang w:val="en-US" w:eastAsia="en-AU"/>
        </w:rPr>
        <w:t xml:space="preserve">   </w:t>
      </w:r>
    </w:p>
    <w:p w14:paraId="64645B3E" w14:textId="77777777" w:rsidR="00F0490D" w:rsidRPr="00F0490D" w:rsidRDefault="00F0490D" w:rsidP="00F0490D">
      <w:pPr>
        <w:rPr>
          <w:lang w:val="en-US" w:eastAsia="en-AU"/>
        </w:rPr>
      </w:pPr>
      <w:r w:rsidRPr="00F0490D">
        <w:rPr>
          <w:lang w:val="en-US" w:eastAsia="en-AU"/>
        </w:rPr>
        <w:t>Where Australia fits into this internationally comparative analysis is not clear. The unambiguous implication, however, is that a national collective bargaining system based purely at the single-enterprise level is likely to be poor for national productivity.</w:t>
      </w:r>
    </w:p>
    <w:p w14:paraId="790D56CD" w14:textId="77777777" w:rsidR="00F0490D" w:rsidRPr="00F0490D" w:rsidRDefault="00F0490D" w:rsidP="00A55DA2">
      <w:pPr>
        <w:pStyle w:val="Heading4"/>
        <w:rPr>
          <w:lang w:val="en-US" w:eastAsia="en-AU"/>
        </w:rPr>
      </w:pPr>
      <w:r w:rsidRPr="00F0490D">
        <w:rPr>
          <w:lang w:val="en-US" w:eastAsia="en-AU"/>
        </w:rPr>
        <w:t>4.2</w:t>
      </w:r>
      <w:r w:rsidRPr="00F0490D">
        <w:rPr>
          <w:lang w:val="en-US" w:eastAsia="en-AU"/>
        </w:rPr>
        <w:tab/>
        <w:t>Productivity and the bargaining system at the enterprise level</w:t>
      </w:r>
    </w:p>
    <w:p w14:paraId="0FC7EB4A" w14:textId="4FE467F5" w:rsidR="00F0490D" w:rsidRPr="00F0490D" w:rsidRDefault="00F0490D" w:rsidP="00F0490D">
      <w:pPr>
        <w:rPr>
          <w:lang w:val="en-US" w:eastAsia="en-AU"/>
        </w:rPr>
      </w:pPr>
      <w:r w:rsidRPr="00F0490D">
        <w:rPr>
          <w:lang w:val="en-US" w:eastAsia="en-AU"/>
        </w:rPr>
        <w:t xml:space="preserve">Much research attention in this area has focused on the effects of the </w:t>
      </w:r>
      <w:r w:rsidRPr="00702F68">
        <w:rPr>
          <w:b/>
          <w:bCs/>
          <w:lang w:val="en-US" w:eastAsia="en-AU"/>
        </w:rPr>
        <w:t>presence</w:t>
      </w:r>
      <w:r w:rsidRPr="00F0490D">
        <w:rPr>
          <w:lang w:val="en-US" w:eastAsia="en-AU"/>
        </w:rPr>
        <w:t xml:space="preserve"> of unions and/or collective bargaining within the organisation on productivity. The conclusions vary, but the first lesson is that the presence of neither unions nor collective bargaining are antithetical to good productivity outcomes. In other words, not all unions or all instances of collective bargaining lead to good or bad productivity performance. As a classic source said, ‘unionism per se is neither a plus nor a minus to productivity’.</w:t>
      </w:r>
      <w:r w:rsidR="004767FC">
        <w:rPr>
          <w:rStyle w:val="FootnoteReference"/>
          <w:lang w:val="en-US" w:eastAsia="en-AU"/>
        </w:rPr>
        <w:footnoteReference w:id="1381"/>
      </w:r>
      <w:r w:rsidRPr="00F0490D">
        <w:rPr>
          <w:lang w:val="en-US" w:eastAsia="en-AU"/>
        </w:rPr>
        <w:t xml:space="preserve"> Similarly, collective bargaining is frequently found to be correlated with good productivity, but there are no guarantees. </w:t>
      </w:r>
    </w:p>
    <w:p w14:paraId="039A3042" w14:textId="0DFA8D04" w:rsidR="00F0490D" w:rsidRPr="00F0490D" w:rsidRDefault="00F0490D" w:rsidP="00F0490D">
      <w:pPr>
        <w:rPr>
          <w:lang w:val="en-US" w:eastAsia="en-AU"/>
        </w:rPr>
      </w:pPr>
      <w:r w:rsidRPr="00F0490D">
        <w:rPr>
          <w:lang w:val="en-US" w:eastAsia="en-AU"/>
        </w:rPr>
        <w:t>These research conclusions lead a different approach. Instead of universal definitive prescriptions for productivity growth in all circumstances, this approach focuses attention on the specific types of unions</w:t>
      </w:r>
      <w:r w:rsidR="00244D2F">
        <w:rPr>
          <w:lang w:val="en-US" w:eastAsia="en-AU"/>
        </w:rPr>
        <w:t>, managers</w:t>
      </w:r>
      <w:r w:rsidRPr="00F0490D">
        <w:rPr>
          <w:lang w:val="en-US" w:eastAsia="en-AU"/>
        </w:rPr>
        <w:t xml:space="preserve"> and/or collective bargaining that contribute to good productivity growth within enterprises. There are at least two possible options here: productivity growth can come through the </w:t>
      </w:r>
      <w:r w:rsidRPr="00A55DA2">
        <w:rPr>
          <w:b/>
          <w:lang w:val="en-US" w:eastAsia="en-AU"/>
        </w:rPr>
        <w:t>outcomes</w:t>
      </w:r>
      <w:r w:rsidRPr="00F0490D">
        <w:rPr>
          <w:lang w:val="en-US" w:eastAsia="en-AU"/>
        </w:rPr>
        <w:t xml:space="preserve"> of collective bargaining (i.e</w:t>
      </w:r>
      <w:r w:rsidRPr="00F0490D" w:rsidDel="00F0490D">
        <w:rPr>
          <w:lang w:val="en-US" w:eastAsia="en-AU"/>
        </w:rPr>
        <w:t>.</w:t>
      </w:r>
      <w:r w:rsidRPr="00F0490D">
        <w:rPr>
          <w:lang w:val="en-US" w:eastAsia="en-AU"/>
        </w:rPr>
        <w:t xml:space="preserve"> in the outcomes that are embodied in the resulting collective agreement), irrespective of whether the bargaining is within or outside the formal system of collective bargaining; or it can come through the </w:t>
      </w:r>
      <w:r w:rsidRPr="00245A3B">
        <w:rPr>
          <w:b/>
          <w:bCs/>
          <w:lang w:val="en-US" w:eastAsia="en-AU"/>
        </w:rPr>
        <w:t>process</w:t>
      </w:r>
      <w:r w:rsidRPr="00F0490D">
        <w:rPr>
          <w:lang w:val="en-US" w:eastAsia="en-AU"/>
        </w:rPr>
        <w:t xml:space="preserve"> of collective bargaining. Each of these options will be discussed in turn.</w:t>
      </w:r>
    </w:p>
    <w:p w14:paraId="4D39F432" w14:textId="019099BE" w:rsidR="00F0490D" w:rsidRPr="00F0490D" w:rsidRDefault="00F0490D" w:rsidP="00F0490D">
      <w:pPr>
        <w:rPr>
          <w:lang w:val="en-US" w:eastAsia="en-AU"/>
        </w:rPr>
      </w:pPr>
      <w:r w:rsidRPr="00F0490D">
        <w:rPr>
          <w:lang w:val="en-US" w:eastAsia="en-AU"/>
        </w:rPr>
        <w:t xml:space="preserve">First, some of the answers about the positive impact of collective bargaining on enterprise productivity arise from the periodic rounds of formal collective bargaining and the clauses of the resulting collective agreements. But what provisions </w:t>
      </w:r>
      <w:r w:rsidR="008710B5">
        <w:rPr>
          <w:lang w:val="en-US" w:eastAsia="en-AU"/>
        </w:rPr>
        <w:t xml:space="preserve">contained </w:t>
      </w:r>
      <w:r w:rsidRPr="00F0490D">
        <w:rPr>
          <w:lang w:val="en-US" w:eastAsia="en-AU"/>
        </w:rPr>
        <w:t xml:space="preserve">in the final agreements are most important for productivity? Is it the provisions about wages or working hours or shift arrangements or flexibility of labour utilisation or disputes procedures or </w:t>
      </w:r>
      <w:r>
        <w:rPr>
          <w:lang w:val="en-US" w:eastAsia="en-AU"/>
        </w:rPr>
        <w:t>something else</w:t>
      </w:r>
      <w:r w:rsidRPr="00F0490D">
        <w:rPr>
          <w:lang w:val="en-US" w:eastAsia="en-AU"/>
        </w:rPr>
        <w:t xml:space="preserve">? </w:t>
      </w:r>
    </w:p>
    <w:p w14:paraId="435A000D" w14:textId="6BBA8ADE" w:rsidR="00F0490D" w:rsidRPr="00F0490D" w:rsidRDefault="00F0490D" w:rsidP="00F0490D">
      <w:pPr>
        <w:rPr>
          <w:lang w:val="en-US" w:eastAsia="en-AU"/>
        </w:rPr>
      </w:pPr>
      <w:r w:rsidRPr="00F0490D">
        <w:rPr>
          <w:lang w:val="en-US" w:eastAsia="en-AU"/>
        </w:rPr>
        <w:t xml:space="preserve">In a valuable (and much neglected) research paper, the </w:t>
      </w:r>
      <w:r>
        <w:rPr>
          <w:lang w:val="en-US" w:eastAsia="en-AU"/>
        </w:rPr>
        <w:t xml:space="preserve">Fair Work Commission </w:t>
      </w:r>
      <w:r w:rsidRPr="00F0490D">
        <w:rPr>
          <w:lang w:val="en-US" w:eastAsia="en-AU"/>
        </w:rPr>
        <w:t xml:space="preserve">explored this question with respect to collective agreements reached within the formal enterprise bargaining system. Most directly relevant here, the research paper examined, by way of case studies, the effectiveness of 26 different clauses of enterprise agreements in promoting productivity growth. These clauses fell into three broad categories, focusing on: </w:t>
      </w:r>
    </w:p>
    <w:p w14:paraId="6EC0BD0D" w14:textId="17846389" w:rsidR="00F0490D" w:rsidRPr="000A2220" w:rsidRDefault="00F0490D" w:rsidP="000A2220">
      <w:pPr>
        <w:pStyle w:val="ListBullet"/>
        <w:numPr>
          <w:ilvl w:val="0"/>
          <w:numId w:val="4"/>
        </w:numPr>
      </w:pPr>
      <w:r w:rsidRPr="000A2220">
        <w:t xml:space="preserve">flexibility and leave </w:t>
      </w:r>
    </w:p>
    <w:p w14:paraId="73217CC1" w14:textId="77A858E6" w:rsidR="00F0490D" w:rsidRPr="000A2220" w:rsidRDefault="00F0490D" w:rsidP="000A2220">
      <w:pPr>
        <w:pStyle w:val="ListBullet"/>
        <w:numPr>
          <w:ilvl w:val="0"/>
          <w:numId w:val="4"/>
        </w:numPr>
      </w:pPr>
      <w:r w:rsidRPr="000A2220">
        <w:t xml:space="preserve">skills </w:t>
      </w:r>
    </w:p>
    <w:p w14:paraId="66BBDAA4" w14:textId="106762B9" w:rsidR="00F0490D" w:rsidRPr="000A2220" w:rsidRDefault="00F0490D" w:rsidP="000A2220">
      <w:pPr>
        <w:pStyle w:val="ListBullet"/>
        <w:numPr>
          <w:ilvl w:val="0"/>
          <w:numId w:val="4"/>
        </w:numPr>
      </w:pPr>
      <w:r w:rsidRPr="000A2220">
        <w:t xml:space="preserve">incentives and engagement. </w:t>
      </w:r>
    </w:p>
    <w:p w14:paraId="4FBFC063" w14:textId="38BB8ACD" w:rsidR="00F0490D" w:rsidRPr="00F0490D" w:rsidRDefault="00F0490D" w:rsidP="00F0490D">
      <w:pPr>
        <w:rPr>
          <w:lang w:val="en-US" w:eastAsia="en-AU"/>
        </w:rPr>
      </w:pPr>
      <w:r w:rsidRPr="00F0490D">
        <w:rPr>
          <w:lang w:val="en-US" w:eastAsia="en-AU"/>
        </w:rPr>
        <w:t>Many of these enterprise agreement clauses corresponded with major causes or determinants of productivity growth mentioned above:</w:t>
      </w:r>
      <w:r w:rsidR="004767FC">
        <w:rPr>
          <w:rStyle w:val="FootnoteReference"/>
          <w:lang w:val="en-US" w:eastAsia="en-AU"/>
        </w:rPr>
        <w:footnoteReference w:id="1382"/>
      </w:r>
      <w:r w:rsidRPr="00F0490D">
        <w:rPr>
          <w:lang w:val="en-US" w:eastAsia="en-AU"/>
        </w:rPr>
        <w:t xml:space="preserve"> </w:t>
      </w:r>
    </w:p>
    <w:p w14:paraId="0A4464A5" w14:textId="0C2C4142" w:rsidR="00F0490D" w:rsidRPr="00F0490D" w:rsidRDefault="00F0490D" w:rsidP="00BF0718">
      <w:pPr>
        <w:pStyle w:val="Quote"/>
        <w:rPr>
          <w:lang w:val="en-US" w:eastAsia="en-AU"/>
        </w:rPr>
      </w:pPr>
      <w:r w:rsidRPr="00F0490D">
        <w:rPr>
          <w:lang w:val="en-US" w:eastAsia="en-AU"/>
        </w:rPr>
        <w:t>productivity or innovation, including: change in work arrangements, competitiveness, changes in organisational or managerial processes, engagement, targets and incentives for employees, training and human resource planning.</w:t>
      </w:r>
    </w:p>
    <w:p w14:paraId="7CD5B6C6" w14:textId="6351381D" w:rsidR="00F0490D" w:rsidRPr="00F0490D" w:rsidRDefault="00F0490D" w:rsidP="00F0490D">
      <w:pPr>
        <w:rPr>
          <w:lang w:val="en-US" w:eastAsia="en-AU"/>
        </w:rPr>
      </w:pPr>
      <w:r w:rsidRPr="00F0490D">
        <w:rPr>
          <w:lang w:val="en-US" w:eastAsia="en-AU"/>
        </w:rPr>
        <w:t>In other words, these provisions often affect the efficiency of capital utilisation. The success of these clauses, however, was found to be closely affected by the organisational context:</w:t>
      </w:r>
      <w:r w:rsidR="004767FC">
        <w:rPr>
          <w:rStyle w:val="FootnoteReference"/>
          <w:lang w:val="en-US" w:eastAsia="en-AU"/>
        </w:rPr>
        <w:footnoteReference w:id="1383"/>
      </w:r>
      <w:r w:rsidRPr="00F0490D">
        <w:rPr>
          <w:lang w:val="en-US" w:eastAsia="en-AU"/>
        </w:rPr>
        <w:t xml:space="preserve"> </w:t>
      </w:r>
    </w:p>
    <w:p w14:paraId="2DD1C9E9" w14:textId="77777777" w:rsidR="00F0490D" w:rsidRPr="00F0490D" w:rsidRDefault="00F0490D" w:rsidP="00BF0718">
      <w:pPr>
        <w:pStyle w:val="Quote"/>
        <w:rPr>
          <w:lang w:val="en-US" w:eastAsia="en-AU"/>
        </w:rPr>
      </w:pPr>
      <w:r w:rsidRPr="00F0490D">
        <w:rPr>
          <w:lang w:val="en-US" w:eastAsia="en-AU"/>
        </w:rPr>
        <w:t>… in each case the operation and effect of the clauses discussed was highly dependent on organisational context and shaped by the policies or practices and particular work or operations to which they relate.</w:t>
      </w:r>
    </w:p>
    <w:p w14:paraId="643BAC69" w14:textId="77777777" w:rsidR="00F0490D" w:rsidRPr="00F0490D" w:rsidRDefault="00F0490D" w:rsidP="00F0490D">
      <w:pPr>
        <w:rPr>
          <w:lang w:val="en-US" w:eastAsia="en-AU"/>
        </w:rPr>
      </w:pPr>
      <w:r w:rsidRPr="00F0490D">
        <w:rPr>
          <w:lang w:val="en-US" w:eastAsia="en-AU"/>
        </w:rPr>
        <w:t xml:space="preserve">The importance of the organisational context – for both whether the collective agreements contain such clauses and whether the clauses effectively produce greater productivity in practice – is a recurring theme that pervades much of the literature. </w:t>
      </w:r>
    </w:p>
    <w:p w14:paraId="60521DE5" w14:textId="4FE4E010" w:rsidR="00F0490D" w:rsidRPr="00F0490D" w:rsidRDefault="00F0490D" w:rsidP="00F0490D">
      <w:pPr>
        <w:rPr>
          <w:lang w:val="en-US" w:eastAsia="en-AU"/>
        </w:rPr>
      </w:pPr>
      <w:r w:rsidRPr="00F0490D">
        <w:rPr>
          <w:lang w:val="en-US" w:eastAsia="en-AU"/>
        </w:rPr>
        <w:t>Another way of producing outcomes that promote productivity growth is outside the formal system of periodic collective bargaining. This can be seen in five extended Australian case studies of cooperation between managers and union representatives, facilitated by tribunal members.</w:t>
      </w:r>
      <w:r w:rsidR="004767FC">
        <w:rPr>
          <w:rStyle w:val="FootnoteReference"/>
          <w:lang w:val="en-US" w:eastAsia="en-AU"/>
        </w:rPr>
        <w:footnoteReference w:id="1384"/>
      </w:r>
      <w:r w:rsidRPr="00F0490D">
        <w:rPr>
          <w:lang w:val="en-US" w:eastAsia="en-AU"/>
        </w:rPr>
        <w:t xml:space="preserve"> In all five cases, greater cooperation in the workplace led to enhanced productivity growth, even though it was not necessarily the main motivation for change and it came in very different ways. Just as pertinently, in two of the five cases, enterprise bargaining was largely irrelevant to the successful cooperative relationships and productivity generation. In the other three cases, cooperation involved the bargaining rounds, but they were never the ‘main game’. </w:t>
      </w:r>
    </w:p>
    <w:p w14:paraId="4951CDA8" w14:textId="1A74A845" w:rsidR="00F0490D" w:rsidRPr="00F0490D" w:rsidRDefault="00F0490D" w:rsidP="00F0490D">
      <w:pPr>
        <w:rPr>
          <w:lang w:val="en-US" w:eastAsia="en-AU"/>
        </w:rPr>
      </w:pPr>
      <w:r w:rsidRPr="00F0490D">
        <w:rPr>
          <w:lang w:val="en-US" w:eastAsia="en-AU"/>
        </w:rPr>
        <w:t>The types of outcomes in these five cases that were consistent with productivity growth mostly focused, in substantive terms, on organisational change and, in procedural terms, on defining formal structures and roles for consultation over changes between managers, employees and union representatives. But again, it was not the outcomes of bargaining themselves that were important. Instead, it was the organisational context: the decisions of ‘leaders’ on both sides (i.e</w:t>
      </w:r>
      <w:r w:rsidRPr="00F0490D" w:rsidDel="00F0490D">
        <w:rPr>
          <w:lang w:val="en-US" w:eastAsia="en-AU"/>
        </w:rPr>
        <w:t>.</w:t>
      </w:r>
      <w:r w:rsidRPr="00F0490D">
        <w:rPr>
          <w:lang w:val="en-US" w:eastAsia="en-AU"/>
        </w:rPr>
        <w:t xml:space="preserve"> managers and unions) to overcome past adversarialism and try ‘something new’; the improving relations between managers and union representatives that led to growing trust between them; the new language and behavioural skills that all managers and employees were trained in; and the sharing of information in negotiation sessions. </w:t>
      </w:r>
    </w:p>
    <w:p w14:paraId="624B7C59" w14:textId="231BFDE6" w:rsidR="00F0490D" w:rsidRPr="00F0490D" w:rsidRDefault="00F0490D" w:rsidP="00F0490D">
      <w:pPr>
        <w:rPr>
          <w:lang w:val="en-US" w:eastAsia="en-AU"/>
        </w:rPr>
      </w:pPr>
      <w:r w:rsidRPr="00F0490D">
        <w:rPr>
          <w:lang w:val="en-US" w:eastAsia="en-AU"/>
        </w:rPr>
        <w:t xml:space="preserve">This leads to the second aspect of collective bargaining that is central to productivity growth: the process of bargaining itself. In other words, bargaining at least forces the parties (usually managers and union representatives) to talk to each other. Only by being motivated to ‘do things differently’ and initiating conversations and compromises – engaging in dialogue – can cooperative relationships be developed. Once the practice of bargaining – or ideally a pattern of cooperation – </w:t>
      </w:r>
      <w:r w:rsidR="007C150A" w:rsidRPr="00F0490D">
        <w:rPr>
          <w:lang w:val="en-US" w:eastAsia="en-AU"/>
        </w:rPr>
        <w:t>is established</w:t>
      </w:r>
      <w:r w:rsidR="007C150A">
        <w:rPr>
          <w:lang w:val="en-US" w:eastAsia="en-AU"/>
        </w:rPr>
        <w:t>,</w:t>
      </w:r>
      <w:r w:rsidR="007C150A" w:rsidRPr="00F0490D">
        <w:rPr>
          <w:lang w:val="en-US" w:eastAsia="en-AU"/>
        </w:rPr>
        <w:t xml:space="preserve"> </w:t>
      </w:r>
      <w:r w:rsidRPr="00F0490D">
        <w:rPr>
          <w:lang w:val="en-US" w:eastAsia="en-AU"/>
        </w:rPr>
        <w:t>can the parties negotiate the bargaining outcomes that are necessary for productivity growth and ensure that those outcomes are effectively applied within the enterprise.</w:t>
      </w:r>
    </w:p>
    <w:p w14:paraId="04EE45C4" w14:textId="08682C79" w:rsidR="00F0490D" w:rsidRPr="00F0490D" w:rsidRDefault="00F0490D" w:rsidP="00F0490D">
      <w:pPr>
        <w:rPr>
          <w:lang w:val="en-US" w:eastAsia="en-AU"/>
        </w:rPr>
      </w:pPr>
      <w:r w:rsidRPr="00F0490D">
        <w:rPr>
          <w:lang w:val="en-US" w:eastAsia="en-AU"/>
        </w:rPr>
        <w:t>So research</w:t>
      </w:r>
      <w:r>
        <w:rPr>
          <w:lang w:val="en-US" w:eastAsia="en-AU"/>
        </w:rPr>
        <w:t>,</w:t>
      </w:r>
      <w:r w:rsidRPr="00F0490D">
        <w:rPr>
          <w:lang w:val="en-US" w:eastAsia="en-AU"/>
        </w:rPr>
        <w:t xml:space="preserve"> both overseas and in Australia, suggests that the industrial relations mechanism by which greater productivity growth is achieved at the enterprise level is not just through the content of collective agreements – the outcomes of bargaining – but especially through the bargaining process and the relationships within the enterprise between managers, workers and unions. </w:t>
      </w:r>
    </w:p>
    <w:p w14:paraId="43F7251A" w14:textId="5D1BD92E" w:rsidR="00F0490D" w:rsidRPr="00F0490D" w:rsidRDefault="00F0490D" w:rsidP="00F0490D">
      <w:pPr>
        <w:rPr>
          <w:lang w:val="en-US" w:eastAsia="en-AU"/>
        </w:rPr>
      </w:pPr>
      <w:r w:rsidRPr="00F0490D">
        <w:rPr>
          <w:lang w:val="en-US" w:eastAsia="en-AU"/>
        </w:rPr>
        <w:t xml:space="preserve">Discussions about the potential contributions of unions and collective bargaining to productivity growth at an enterprise level are directly relevant to the intentions – if not the effectiveness – of the Secure Jobs, Better Pay amendments and this Review. In particular, they were raised by stakeholders in feedback about the amendments concerning the integration of institutions (Part 1 of the </w:t>
      </w:r>
      <w:r>
        <w:rPr>
          <w:lang w:val="en-US" w:eastAsia="en-AU"/>
        </w:rPr>
        <w:t>r</w:t>
      </w:r>
      <w:r w:rsidRPr="00F0490D">
        <w:rPr>
          <w:lang w:val="en-US" w:eastAsia="en-AU"/>
        </w:rPr>
        <w:t xml:space="preserve">eport) and those concerning bargaining and agreement making (Part 2 of the </w:t>
      </w:r>
      <w:r>
        <w:rPr>
          <w:lang w:val="en-US" w:eastAsia="en-AU"/>
        </w:rPr>
        <w:t>r</w:t>
      </w:r>
      <w:r w:rsidRPr="00F0490D">
        <w:rPr>
          <w:lang w:val="en-US" w:eastAsia="en-AU"/>
        </w:rPr>
        <w:t>eport).</w:t>
      </w:r>
    </w:p>
    <w:p w14:paraId="7B57396C" w14:textId="77777777" w:rsidR="00F0490D" w:rsidRPr="00F0490D" w:rsidRDefault="00F0490D" w:rsidP="00BF0718">
      <w:pPr>
        <w:pStyle w:val="Heading3"/>
        <w:rPr>
          <w:lang w:val="en-US" w:eastAsia="en-AU"/>
        </w:rPr>
      </w:pPr>
      <w:bookmarkStart w:id="1129" w:name="_Toc194066994"/>
      <w:bookmarkStart w:id="1130" w:name="_Toc194311464"/>
      <w:r w:rsidRPr="00F0490D">
        <w:rPr>
          <w:lang w:val="en-US" w:eastAsia="en-AU"/>
        </w:rPr>
        <w:t>5.</w:t>
      </w:r>
      <w:r w:rsidRPr="00F0490D">
        <w:rPr>
          <w:lang w:val="en-US" w:eastAsia="en-AU"/>
        </w:rPr>
        <w:tab/>
        <w:t>Gender equality and wage growth</w:t>
      </w:r>
      <w:bookmarkEnd w:id="1129"/>
      <w:bookmarkEnd w:id="1130"/>
    </w:p>
    <w:p w14:paraId="5C42E26A" w14:textId="5DDB0830" w:rsidR="00F0490D" w:rsidRPr="00F0490D" w:rsidRDefault="00F0490D" w:rsidP="00F0490D">
      <w:pPr>
        <w:rPr>
          <w:lang w:val="en-US" w:eastAsia="en-AU"/>
        </w:rPr>
      </w:pPr>
      <w:r w:rsidRPr="00F0490D">
        <w:rPr>
          <w:lang w:val="en-US" w:eastAsia="en-AU"/>
        </w:rPr>
        <w:t xml:space="preserve">A particular focus of the Secure Jobs, Better Pay amendments has been on improving job security, engendering real wage growth and achieving gender equality. These outcomes, however, are frequently absent in productivity debates and analysis, notwithstanding their critical importance to productivity at the national and enterprise level. Section 5.1 below discusses gender equality and its relationship with productivity. In section 5.2, the focus is on </w:t>
      </w:r>
      <w:r w:rsidR="001A72D9">
        <w:rPr>
          <w:lang w:val="en-US" w:eastAsia="en-AU"/>
        </w:rPr>
        <w:t xml:space="preserve">the link between </w:t>
      </w:r>
      <w:r w:rsidRPr="00F0490D">
        <w:rPr>
          <w:lang w:val="en-US" w:eastAsia="en-AU"/>
        </w:rPr>
        <w:t>wage growth</w:t>
      </w:r>
      <w:r w:rsidR="002A37D7">
        <w:rPr>
          <w:lang w:val="en-US" w:eastAsia="en-AU"/>
        </w:rPr>
        <w:t xml:space="preserve"> and productivity</w:t>
      </w:r>
      <w:r w:rsidRPr="00F0490D">
        <w:rPr>
          <w:lang w:val="en-US" w:eastAsia="en-AU"/>
        </w:rPr>
        <w:t>.</w:t>
      </w:r>
    </w:p>
    <w:p w14:paraId="0CF4D1DB" w14:textId="77777777" w:rsidR="00F0490D" w:rsidRPr="00BF0718" w:rsidRDefault="00F0490D" w:rsidP="00BF0718">
      <w:pPr>
        <w:pStyle w:val="Heading4"/>
      </w:pPr>
      <w:r w:rsidRPr="00BF0718">
        <w:t>5.1</w:t>
      </w:r>
      <w:r w:rsidRPr="00BF0718">
        <w:tab/>
        <w:t>Gender equality</w:t>
      </w:r>
    </w:p>
    <w:p w14:paraId="27236DC4" w14:textId="03E82245" w:rsidR="00F0490D" w:rsidRPr="00F0490D" w:rsidRDefault="00F0490D" w:rsidP="00F0490D">
      <w:pPr>
        <w:rPr>
          <w:lang w:val="en-US" w:eastAsia="en-AU"/>
        </w:rPr>
      </w:pPr>
      <w:r w:rsidRPr="00F0490D">
        <w:rPr>
          <w:lang w:val="en-US" w:eastAsia="en-AU"/>
        </w:rPr>
        <w:t>Gender equality is both a fundamental human right and a critical national productivity issue. Despite numerous reports from organisations such as the World Economic Forum (WEF),</w:t>
      </w:r>
      <w:r w:rsidR="004767FC">
        <w:rPr>
          <w:rStyle w:val="FootnoteReference"/>
          <w:lang w:val="en-US" w:eastAsia="en-AU"/>
        </w:rPr>
        <w:footnoteReference w:id="1385"/>
      </w:r>
      <w:r w:rsidRPr="00F0490D">
        <w:rPr>
          <w:lang w:val="en-US" w:eastAsia="en-AU"/>
        </w:rPr>
        <w:t xml:space="preserve"> the Workplace Gender Equality Agency (WGEA)</w:t>
      </w:r>
      <w:r w:rsidR="004767FC">
        <w:rPr>
          <w:rStyle w:val="FootnoteReference"/>
          <w:lang w:val="en-US" w:eastAsia="en-AU"/>
        </w:rPr>
        <w:footnoteReference w:id="1386"/>
      </w:r>
      <w:r w:rsidRPr="00F0490D">
        <w:rPr>
          <w:lang w:val="en-US" w:eastAsia="en-AU"/>
        </w:rPr>
        <w:t xml:space="preserve"> and the Women’s Economic Equality Taskforce</w:t>
      </w:r>
      <w:r w:rsidR="004767FC">
        <w:rPr>
          <w:rStyle w:val="FootnoteReference"/>
          <w:lang w:val="en-US" w:eastAsia="en-AU"/>
        </w:rPr>
        <w:footnoteReference w:id="1387"/>
      </w:r>
      <w:r w:rsidRPr="00F0490D" w:rsidDel="00F0490D">
        <w:rPr>
          <w:lang w:val="en-US" w:eastAsia="en-AU"/>
        </w:rPr>
        <w:t xml:space="preserve"> </w:t>
      </w:r>
      <w:r w:rsidRPr="00F0490D">
        <w:rPr>
          <w:lang w:val="en-US" w:eastAsia="en-AU"/>
        </w:rPr>
        <w:t xml:space="preserve">emphasising the ‘business case’ for gender equality, it remains largely absent from </w:t>
      </w:r>
      <w:r w:rsidR="00337EA6">
        <w:rPr>
          <w:lang w:val="en-US" w:eastAsia="en-AU"/>
        </w:rPr>
        <w:t xml:space="preserve">the debate about </w:t>
      </w:r>
      <w:r w:rsidRPr="00F0490D">
        <w:rPr>
          <w:lang w:val="en-US" w:eastAsia="en-AU"/>
        </w:rPr>
        <w:t xml:space="preserve">national productivity in Australia. This, in large part, is because the various statistical series used to generate national productivity estimates (such as those used above) do not disaggregate by gender and because much of the analysis is focused on (measurable) economic benefits rather than (unmeasurable) social benefits, like improved aged care or better educational outcomes. </w:t>
      </w:r>
    </w:p>
    <w:p w14:paraId="1536BC51" w14:textId="3C054BE4" w:rsidR="00F0490D" w:rsidRPr="00F0490D" w:rsidRDefault="00F0490D" w:rsidP="00F0490D">
      <w:pPr>
        <w:rPr>
          <w:lang w:val="en-US" w:eastAsia="en-AU"/>
        </w:rPr>
      </w:pPr>
      <w:r w:rsidRPr="00F0490D">
        <w:rPr>
          <w:lang w:val="en-US" w:eastAsia="en-AU"/>
        </w:rPr>
        <w:t xml:space="preserve">By way of example, the Productivity Commission’s 2023 report </w:t>
      </w:r>
      <w:r w:rsidRPr="00BF0718">
        <w:rPr>
          <w:i/>
          <w:lang w:val="en-US" w:eastAsia="en-AU"/>
        </w:rPr>
        <w:t>A More Productive Labour Market</w:t>
      </w:r>
      <w:r w:rsidRPr="00F0490D" w:rsidDel="00F0490D">
        <w:rPr>
          <w:lang w:val="en-US" w:eastAsia="en-AU"/>
        </w:rPr>
        <w:t xml:space="preserve"> </w:t>
      </w:r>
      <w:r w:rsidRPr="00F0490D">
        <w:rPr>
          <w:lang w:val="en-US" w:eastAsia="en-AU"/>
        </w:rPr>
        <w:t>makes only four references to gender and two to women. This is notwithstanding the fact that women, on average, are now more highly educated than men and a critical source of skilled labour.</w:t>
      </w:r>
      <w:r w:rsidR="004767FC">
        <w:rPr>
          <w:rStyle w:val="FootnoteReference"/>
          <w:lang w:val="en-US" w:eastAsia="en-AU"/>
        </w:rPr>
        <w:footnoteReference w:id="1388"/>
      </w:r>
      <w:r w:rsidRPr="00F0490D">
        <w:rPr>
          <w:lang w:val="en-US" w:eastAsia="en-AU"/>
        </w:rPr>
        <w:t xml:space="preserve"> Women also account for 48% of total employment, while 55% of the 3.2 million new jobs created since 2012 have gone to women.</w:t>
      </w:r>
    </w:p>
    <w:p w14:paraId="6FE3272B" w14:textId="73DB22F8" w:rsidR="00F0490D" w:rsidRPr="00F0490D" w:rsidRDefault="00F0490D" w:rsidP="00F0490D">
      <w:pPr>
        <w:rPr>
          <w:lang w:val="en-US" w:eastAsia="en-AU"/>
        </w:rPr>
      </w:pPr>
      <w:r w:rsidRPr="00F0490D">
        <w:rPr>
          <w:lang w:val="en-US" w:eastAsia="en-AU"/>
        </w:rPr>
        <w:t xml:space="preserve">Not only does the Productivity Commission’s report largely overlook gender but also, where it does address the issue, it reflects a limited understanding of the relationship between gender equality and productivity. Again, by way of example, the Productivity Commission asserts that ‘work value is largely a social goal and does not necessarily relate to the desirable outcomes of </w:t>
      </w:r>
      <w:r w:rsidRPr="00BF0718">
        <w:rPr>
          <w:b/>
          <w:lang w:val="en-US" w:eastAsia="en-AU"/>
        </w:rPr>
        <w:t>efficient labour</w:t>
      </w:r>
      <w:r w:rsidRPr="00F0490D">
        <w:rPr>
          <w:lang w:val="en-US" w:eastAsia="en-AU"/>
        </w:rPr>
        <w:t xml:space="preserve"> </w:t>
      </w:r>
      <w:r w:rsidRPr="00BF0718">
        <w:rPr>
          <w:b/>
          <w:lang w:val="en-US" w:eastAsia="en-AU"/>
        </w:rPr>
        <w:t>markets</w:t>
      </w:r>
      <w:r w:rsidRPr="00F0490D">
        <w:rPr>
          <w:lang w:val="en-US" w:eastAsia="en-AU"/>
        </w:rPr>
        <w:t>’ (emphasis added).</w:t>
      </w:r>
      <w:r w:rsidR="004767FC">
        <w:rPr>
          <w:rStyle w:val="FootnoteReference"/>
          <w:lang w:val="en-US" w:eastAsia="en-AU"/>
        </w:rPr>
        <w:footnoteReference w:id="1389"/>
      </w:r>
      <w:r w:rsidRPr="00F0490D" w:rsidDel="004767FC">
        <w:rPr>
          <w:lang w:val="en-US" w:eastAsia="en-AU"/>
        </w:rPr>
        <w:t xml:space="preserve"> </w:t>
      </w:r>
      <w:r w:rsidRPr="00F0490D">
        <w:rPr>
          <w:lang w:val="en-US" w:eastAsia="en-AU"/>
        </w:rPr>
        <w:t>Such a perspective fails to acknowledge that when work is not appropriately valued (e.g. wages do not reflect job complexity, skill level or effort) labour markets may become inefficient due to a misallocation of talent. Moreover, it ignores the social function of wages and the fact that market-driven wage systems do not always result in fair pay – as reflected in the historical undervaluation of many feminised industries, well below those workers’ average productivity. Realigning wages through work value exercises can drive productivity at both the enterprise level and the national level by enhancing employee effort, motivation and job satisfaction while reducing turnover. Recognising work value is also essential for addressing labour shortages and mitigating the adverse effects of wage stagnation and inequality on national economic performance.</w:t>
      </w:r>
    </w:p>
    <w:p w14:paraId="7862A237" w14:textId="3010C662" w:rsidR="00F0490D" w:rsidRPr="00F0490D" w:rsidRDefault="000C6B45" w:rsidP="00F0490D">
      <w:pPr>
        <w:rPr>
          <w:lang w:val="en-US" w:eastAsia="en-AU"/>
        </w:rPr>
      </w:pPr>
      <w:r>
        <w:rPr>
          <w:lang w:val="en-US" w:eastAsia="en-AU"/>
        </w:rPr>
        <w:t>A second</w:t>
      </w:r>
      <w:r w:rsidR="00F0490D" w:rsidRPr="00F0490D">
        <w:rPr>
          <w:lang w:val="en-US" w:eastAsia="en-AU"/>
        </w:rPr>
        <w:t xml:space="preserve"> issue with a profound effect on organisational or enterprise productivity is workplace sexual harassment (which is also addressed as part of the Secure Jobs, Better Pay amendments). It is easy to see how sexual harassment at work could adversely affect productivity through proxy measures such as: </w:t>
      </w:r>
    </w:p>
    <w:p w14:paraId="7AF61316" w14:textId="77777777" w:rsidR="00F0490D" w:rsidRPr="000A2220" w:rsidRDefault="00F0490D" w:rsidP="000A2220">
      <w:pPr>
        <w:pStyle w:val="ListBullet"/>
        <w:numPr>
          <w:ilvl w:val="0"/>
          <w:numId w:val="4"/>
        </w:numPr>
      </w:pPr>
      <w:r w:rsidRPr="000A2220">
        <w:t>working in less productive ways as a direct or indirect result of harassment (i.e. avoidance of certain tasks, people, places, circumstances; increased conflict)</w:t>
      </w:r>
    </w:p>
    <w:p w14:paraId="4D471D9D" w14:textId="77777777" w:rsidR="00F0490D" w:rsidRPr="000A2220" w:rsidRDefault="00F0490D" w:rsidP="000A2220">
      <w:pPr>
        <w:pStyle w:val="ListBullet"/>
        <w:numPr>
          <w:ilvl w:val="0"/>
          <w:numId w:val="4"/>
        </w:numPr>
      </w:pPr>
      <w:r w:rsidRPr="000A2220">
        <w:t>increased absences from work and higher staff turnover</w:t>
      </w:r>
    </w:p>
    <w:p w14:paraId="3C47FC28" w14:textId="77777777" w:rsidR="00F0490D" w:rsidRPr="000A2220" w:rsidRDefault="00F0490D" w:rsidP="000A2220">
      <w:pPr>
        <w:pStyle w:val="ListBullet"/>
        <w:numPr>
          <w:ilvl w:val="0"/>
          <w:numId w:val="4"/>
        </w:numPr>
      </w:pPr>
      <w:r w:rsidRPr="000A2220">
        <w:t>time taken in related processes, such as complaints, adjustments, investigations and hearings</w:t>
      </w:r>
    </w:p>
    <w:p w14:paraId="30A1687E" w14:textId="6673AE6F" w:rsidR="00F0490D" w:rsidRPr="000A2220" w:rsidRDefault="00F0490D" w:rsidP="000A2220">
      <w:pPr>
        <w:pStyle w:val="ListBullet"/>
        <w:numPr>
          <w:ilvl w:val="0"/>
          <w:numId w:val="4"/>
        </w:numPr>
      </w:pPr>
      <w:r w:rsidRPr="000A2220">
        <w:t>additional time spent in remedial (as opposed to preventative) training, policy communication, ‘culture change’ programs.</w:t>
      </w:r>
      <w:r w:rsidR="004767FC" w:rsidRPr="00217091">
        <w:rPr>
          <w:vertAlign w:val="superscript"/>
        </w:rPr>
        <w:footnoteReference w:id="1390"/>
      </w:r>
      <w:r w:rsidRPr="000A2220">
        <w:t xml:space="preserve">  </w:t>
      </w:r>
    </w:p>
    <w:p w14:paraId="3B327B12" w14:textId="3B3A704D" w:rsidR="00F0490D" w:rsidRPr="00F0490D" w:rsidRDefault="00F0490D" w:rsidP="00F0490D">
      <w:pPr>
        <w:rPr>
          <w:lang w:val="en-US" w:eastAsia="en-AU"/>
        </w:rPr>
      </w:pPr>
      <w:r w:rsidRPr="00F0490D">
        <w:rPr>
          <w:lang w:val="en-US" w:eastAsia="en-AU"/>
        </w:rPr>
        <w:t>Moreover, experiences of workplace sexual harassment are higher for some workers, some types of work and in some industries. Insecure work can have a compounding effect. Women, including young women and migrant women, are disproportionately represented in insecure work and in incidents of sexual harassment.</w:t>
      </w:r>
      <w:r w:rsidR="004767FC">
        <w:rPr>
          <w:rStyle w:val="FootnoteReference"/>
          <w:lang w:val="en-US" w:eastAsia="en-AU"/>
        </w:rPr>
        <w:footnoteReference w:id="1391"/>
      </w:r>
      <w:r w:rsidRPr="00F0490D">
        <w:rPr>
          <w:lang w:val="en-US" w:eastAsia="en-AU"/>
        </w:rPr>
        <w:t xml:space="preserve"> </w:t>
      </w:r>
    </w:p>
    <w:p w14:paraId="1AA83E74" w14:textId="0E97665C" w:rsidR="00F0490D" w:rsidRPr="00F0490D" w:rsidRDefault="00F0490D" w:rsidP="00F0490D">
      <w:pPr>
        <w:rPr>
          <w:lang w:val="en-US" w:eastAsia="en-AU"/>
        </w:rPr>
      </w:pPr>
      <w:r w:rsidRPr="00F0490D">
        <w:rPr>
          <w:lang w:val="en-US" w:eastAsia="en-AU"/>
        </w:rPr>
        <w:t>A</w:t>
      </w:r>
      <w:r w:rsidR="005E1D7B">
        <w:rPr>
          <w:lang w:val="en-US" w:eastAsia="en-AU"/>
        </w:rPr>
        <w:t xml:space="preserve"> third</w:t>
      </w:r>
      <w:r w:rsidRPr="00F0490D">
        <w:rPr>
          <w:lang w:val="en-US" w:eastAsia="en-AU"/>
        </w:rPr>
        <w:t xml:space="preserve"> gender equality issue with an important effect on organisational or enterprise productivity is parental leave.</w:t>
      </w:r>
      <w:r w:rsidR="004767FC">
        <w:rPr>
          <w:rStyle w:val="FootnoteReference"/>
          <w:lang w:val="en-US" w:eastAsia="en-AU"/>
        </w:rPr>
        <w:footnoteReference w:id="1392"/>
      </w:r>
      <w:r w:rsidRPr="00F0490D" w:rsidDel="004767FC">
        <w:rPr>
          <w:lang w:val="en-US" w:eastAsia="en-AU"/>
        </w:rPr>
        <w:t xml:space="preserve"> </w:t>
      </w:r>
      <w:r w:rsidRPr="00F0490D">
        <w:rPr>
          <w:lang w:val="en-US" w:eastAsia="en-AU"/>
        </w:rPr>
        <w:t>This is an area in which the economic, or ‘business case’, arguments are well established. The disagreement seems to be about where and by whom costs and benefits are accrued. At the level of organisations, the productivity benefits of increased uptake of parental leave would be captured in measures such as the number of workers who return to work and the associated benefits of skilled worker retention (e.g. reduced recruitment, training cost, retained knowledge).</w:t>
      </w:r>
      <w:r w:rsidR="004767FC">
        <w:rPr>
          <w:rStyle w:val="FootnoteReference"/>
          <w:lang w:val="en-US" w:eastAsia="en-AU"/>
        </w:rPr>
        <w:footnoteReference w:id="1393"/>
      </w:r>
      <w:r w:rsidRPr="00F0490D">
        <w:rPr>
          <w:lang w:val="en-US" w:eastAsia="en-AU"/>
        </w:rPr>
        <w:t xml:space="preserve"> </w:t>
      </w:r>
    </w:p>
    <w:p w14:paraId="4370A49C" w14:textId="703C30C2" w:rsidR="00F0490D" w:rsidRPr="00F0490D" w:rsidRDefault="00F0490D" w:rsidP="00F0490D">
      <w:pPr>
        <w:rPr>
          <w:lang w:val="en-US" w:eastAsia="en-AU"/>
        </w:rPr>
      </w:pPr>
      <w:r w:rsidRPr="00F0490D">
        <w:rPr>
          <w:lang w:val="en-US" w:eastAsia="en-AU"/>
        </w:rPr>
        <w:t xml:space="preserve">The key to understanding the potential productivity benefits of many of the Secure Jobs, Better Pay amendments lies in the way they </w:t>
      </w:r>
      <w:r w:rsidR="005E1D7B">
        <w:rPr>
          <w:lang w:val="en-US" w:eastAsia="en-AU"/>
        </w:rPr>
        <w:t xml:space="preserve">aim to </w:t>
      </w:r>
      <w:r w:rsidRPr="00F0490D">
        <w:rPr>
          <w:lang w:val="en-US" w:eastAsia="en-AU"/>
        </w:rPr>
        <w:t xml:space="preserve">use </w:t>
      </w:r>
      <w:r w:rsidR="005E1D7B">
        <w:rPr>
          <w:lang w:val="en-US" w:eastAsia="en-AU"/>
        </w:rPr>
        <w:t xml:space="preserve">‘macro’ mechanisms (ie. </w:t>
      </w:r>
      <w:r w:rsidRPr="00F0490D">
        <w:rPr>
          <w:lang w:val="en-US" w:eastAsia="en-AU"/>
        </w:rPr>
        <w:t>national laws</w:t>
      </w:r>
      <w:r w:rsidR="005E1D7B">
        <w:rPr>
          <w:lang w:val="en-US" w:eastAsia="en-AU"/>
        </w:rPr>
        <w:t>)</w:t>
      </w:r>
      <w:r w:rsidRPr="00F0490D">
        <w:rPr>
          <w:lang w:val="en-US" w:eastAsia="en-AU"/>
        </w:rPr>
        <w:t xml:space="preserve"> to change </w:t>
      </w:r>
      <w:r w:rsidR="005E1D7B">
        <w:rPr>
          <w:lang w:val="en-US" w:eastAsia="en-AU"/>
        </w:rPr>
        <w:t>‘micro’</w:t>
      </w:r>
      <w:r w:rsidR="00AE04E3">
        <w:rPr>
          <w:lang w:val="en-US" w:eastAsia="en-AU"/>
        </w:rPr>
        <w:t xml:space="preserve"> behaviours (ie. </w:t>
      </w:r>
      <w:r w:rsidRPr="00F0490D">
        <w:rPr>
          <w:lang w:val="en-US" w:eastAsia="en-AU"/>
        </w:rPr>
        <w:t>harmful gendered attitudes, motivations and behaviours</w:t>
      </w:r>
      <w:r w:rsidR="00AE04E3">
        <w:rPr>
          <w:lang w:val="en-US" w:eastAsia="en-AU"/>
        </w:rPr>
        <w:t>)</w:t>
      </w:r>
      <w:r w:rsidRPr="00F0490D">
        <w:rPr>
          <w:lang w:val="en-US" w:eastAsia="en-AU"/>
        </w:rPr>
        <w:t xml:space="preserve"> and thereby increase workplace productivity.</w:t>
      </w:r>
      <w:r w:rsidR="004767FC">
        <w:rPr>
          <w:rStyle w:val="FootnoteReference"/>
          <w:lang w:val="en-US" w:eastAsia="en-AU"/>
        </w:rPr>
        <w:footnoteReference w:id="1394"/>
      </w:r>
      <w:r w:rsidRPr="00F0490D">
        <w:rPr>
          <w:lang w:val="en-US" w:eastAsia="en-AU"/>
        </w:rPr>
        <w:t xml:space="preserve"> The legal innovations can be seen in the chapters of the report on paid family and domestic violence leave (Chapter 23), equal remuneration (Chapter 25), prohibiting pay secrecy (Chapter 27), prohibiting sexual harassment in connection with work (Chapter 28), anti-discrimination and special measures (Chapter 29), flexible work (Chapter 31) and unpaid parental leave (Chapter 32). Empirical confirmation of their impact on productivity is still to come.</w:t>
      </w:r>
    </w:p>
    <w:p w14:paraId="5367BE8D" w14:textId="77777777" w:rsidR="00F0490D" w:rsidRPr="00F0490D" w:rsidRDefault="00F0490D" w:rsidP="007D6161">
      <w:pPr>
        <w:pStyle w:val="Heading4"/>
        <w:rPr>
          <w:lang w:val="en-US" w:eastAsia="en-AU"/>
        </w:rPr>
      </w:pPr>
      <w:r w:rsidRPr="00F0490D">
        <w:rPr>
          <w:lang w:val="en-US" w:eastAsia="en-AU"/>
        </w:rPr>
        <w:t>5.2</w:t>
      </w:r>
      <w:r w:rsidRPr="00F0490D">
        <w:rPr>
          <w:lang w:val="en-US" w:eastAsia="en-AU"/>
        </w:rPr>
        <w:tab/>
        <w:t>Wage growth</w:t>
      </w:r>
    </w:p>
    <w:p w14:paraId="4E0604CF" w14:textId="613E9935" w:rsidR="00F0490D" w:rsidRPr="00F0490D" w:rsidRDefault="00F0490D" w:rsidP="00F0490D">
      <w:pPr>
        <w:rPr>
          <w:lang w:val="en-US" w:eastAsia="en-AU"/>
        </w:rPr>
      </w:pPr>
      <w:r w:rsidRPr="00F0490D">
        <w:rPr>
          <w:lang w:val="en-US" w:eastAsia="en-AU"/>
        </w:rPr>
        <w:t xml:space="preserve">One aspect of industrial relations that has received </w:t>
      </w:r>
      <w:r w:rsidR="00801A5B">
        <w:rPr>
          <w:lang w:val="en-US" w:eastAsia="en-AU"/>
        </w:rPr>
        <w:t>much</w:t>
      </w:r>
      <w:r w:rsidR="00801A5B" w:rsidRPr="00F0490D">
        <w:rPr>
          <w:lang w:val="en-US" w:eastAsia="en-AU"/>
        </w:rPr>
        <w:t xml:space="preserve"> </w:t>
      </w:r>
      <w:r w:rsidRPr="00F0490D">
        <w:rPr>
          <w:lang w:val="en-US" w:eastAsia="en-AU"/>
        </w:rPr>
        <w:t>attention over the years in Australia is the relationship between productivity and wages, although it has mostly been considered as a distributive issue.</w:t>
      </w:r>
    </w:p>
    <w:p w14:paraId="57F34E04" w14:textId="526B78D2" w:rsidR="00F0490D" w:rsidRPr="00F0490D" w:rsidRDefault="00F0490D" w:rsidP="00F0490D">
      <w:pPr>
        <w:rPr>
          <w:lang w:val="en-US" w:eastAsia="en-AU"/>
        </w:rPr>
      </w:pPr>
      <w:r w:rsidRPr="00F0490D">
        <w:rPr>
          <w:lang w:val="en-US" w:eastAsia="en-AU"/>
        </w:rPr>
        <w:t>Empirical studies show, for example, a (historically) strong relationship between productivity growth and real wage growth. As productivity grew</w:t>
      </w:r>
      <w:r w:rsidR="00801A5B">
        <w:rPr>
          <w:lang w:val="en-US" w:eastAsia="en-AU"/>
        </w:rPr>
        <w:t xml:space="preserve"> over the decades</w:t>
      </w:r>
      <w:r w:rsidRPr="00F0490D">
        <w:rPr>
          <w:lang w:val="en-US" w:eastAsia="en-AU"/>
        </w:rPr>
        <w:t xml:space="preserve">, Australian firms shared </w:t>
      </w:r>
      <w:r w:rsidR="00801A5B">
        <w:rPr>
          <w:lang w:val="en-US" w:eastAsia="en-AU"/>
        </w:rPr>
        <w:t xml:space="preserve">(or were forced to share) </w:t>
      </w:r>
      <w:r w:rsidRPr="00F0490D">
        <w:rPr>
          <w:lang w:val="en-US" w:eastAsia="en-AU"/>
        </w:rPr>
        <w:t>the benefits via higher wages. This relationship, however, changed after 2000.</w:t>
      </w:r>
      <w:r w:rsidR="004767FC">
        <w:rPr>
          <w:rStyle w:val="FootnoteReference"/>
          <w:lang w:val="en-US" w:eastAsia="en-AU"/>
        </w:rPr>
        <w:footnoteReference w:id="1395"/>
      </w:r>
      <w:r w:rsidRPr="00F0490D">
        <w:rPr>
          <w:lang w:val="en-US" w:eastAsia="en-AU"/>
        </w:rPr>
        <w:t xml:space="preserve"> In technical terms, there </w:t>
      </w:r>
      <w:r w:rsidR="002C701E">
        <w:rPr>
          <w:lang w:val="en-US" w:eastAsia="en-AU"/>
        </w:rPr>
        <w:t>w</w:t>
      </w:r>
      <w:r w:rsidRPr="00F0490D">
        <w:rPr>
          <w:lang w:val="en-US" w:eastAsia="en-AU"/>
        </w:rPr>
        <w:t xml:space="preserve">as a ‘decoupling’ in the relationship, with real wages growing at a slower pace than labour productivity. This is shown in Figure </w:t>
      </w:r>
      <w:r w:rsidRPr="007D6161">
        <w:rPr>
          <w:lang w:val="en-US" w:eastAsia="en-AU"/>
        </w:rPr>
        <w:t>65</w:t>
      </w:r>
      <w:r w:rsidRPr="00F0490D">
        <w:rPr>
          <w:lang w:val="en-US" w:eastAsia="en-AU"/>
        </w:rPr>
        <w:t xml:space="preserve"> (for the market sector). There was a catch-up during the GFC (2007</w:t>
      </w:r>
      <w:r w:rsidRPr="00F0490D">
        <w:rPr>
          <w:rFonts w:ascii="Symbol" w:eastAsia="Symbol" w:hAnsi="Symbol" w:cs="Symbol"/>
          <w:lang w:val="en-US" w:eastAsia="en-AU"/>
        </w:rPr>
        <w:sym w:font="Symbol" w:char="F02D"/>
      </w:r>
      <w:r w:rsidRPr="00F0490D">
        <w:rPr>
          <w:lang w:val="en-US" w:eastAsia="en-AU"/>
        </w:rPr>
        <w:t>08)</w:t>
      </w:r>
      <w:r w:rsidR="00CB7E27">
        <w:rPr>
          <w:lang w:val="en-US" w:eastAsia="en-AU"/>
        </w:rPr>
        <w:t>,</w:t>
      </w:r>
      <w:r w:rsidRPr="00F0490D">
        <w:rPr>
          <w:lang w:val="en-US" w:eastAsia="en-AU"/>
        </w:rPr>
        <w:t xml:space="preserve"> but decoupling set in again from 2011</w:t>
      </w:r>
      <w:r>
        <w:rPr>
          <w:rFonts w:ascii="Symbol" w:eastAsia="Symbol" w:hAnsi="Symbol" w:cs="Symbol"/>
          <w:lang w:val="en-US" w:eastAsia="en-AU"/>
        </w:rPr>
        <w:sym w:font="Symbol" w:char="F02D"/>
      </w:r>
      <w:r w:rsidRPr="00F0490D">
        <w:rPr>
          <w:lang w:val="en-US" w:eastAsia="en-AU"/>
        </w:rPr>
        <w:t>12</w:t>
      </w:r>
      <w:r w:rsidR="00CB7E27">
        <w:rPr>
          <w:lang w:val="en-US" w:eastAsia="en-AU"/>
        </w:rPr>
        <w:t xml:space="preserve"> onwards</w:t>
      </w:r>
      <w:r w:rsidRPr="00F0490D">
        <w:rPr>
          <w:lang w:val="en-US" w:eastAsia="en-AU"/>
        </w:rPr>
        <w:t>. The ABS refers to the gap (i.e. the difference between labour productivity growth and real compensation) as ‘net decoupling’.</w:t>
      </w:r>
      <w:r w:rsidR="004767FC">
        <w:rPr>
          <w:rStyle w:val="FootnoteReference"/>
          <w:lang w:val="en-US" w:eastAsia="en-AU"/>
        </w:rPr>
        <w:footnoteReference w:id="1396"/>
      </w:r>
      <w:r w:rsidRPr="00F0490D">
        <w:rPr>
          <w:lang w:val="en-US" w:eastAsia="en-AU"/>
        </w:rPr>
        <w:t xml:space="preserve"> Real wage decoupling is not unique to Australia. It has occurred in most OECD countries over recent years.</w:t>
      </w:r>
      <w:r w:rsidR="004767FC">
        <w:rPr>
          <w:rStyle w:val="FootnoteReference"/>
          <w:lang w:val="en-US" w:eastAsia="en-AU"/>
        </w:rPr>
        <w:footnoteReference w:id="1397"/>
      </w:r>
      <w:r w:rsidRPr="00F0490D">
        <w:rPr>
          <w:lang w:val="en-US" w:eastAsia="en-AU"/>
        </w:rPr>
        <w:t xml:space="preserve">   </w:t>
      </w:r>
    </w:p>
    <w:p w14:paraId="2C04E0F9" w14:textId="2CCD7CF1" w:rsidR="00F0490D" w:rsidRPr="00F0490D" w:rsidRDefault="00F0490D" w:rsidP="00B458B7">
      <w:pPr>
        <w:pStyle w:val="Caption"/>
      </w:pPr>
      <w:bookmarkStart w:id="1131" w:name="_Toc194251563"/>
      <w:r>
        <w:t xml:space="preserve">Figure </w:t>
      </w:r>
      <w:r>
        <w:fldChar w:fldCharType="begin"/>
      </w:r>
      <w:r>
        <w:instrText xml:space="preserve"> SEQ Figure \* ARABIC </w:instrText>
      </w:r>
      <w:r>
        <w:fldChar w:fldCharType="separate"/>
      </w:r>
      <w:r w:rsidR="00DE5F5E">
        <w:rPr>
          <w:noProof/>
        </w:rPr>
        <w:t>65</w:t>
      </w:r>
      <w:r>
        <w:fldChar w:fldCharType="end"/>
      </w:r>
      <w:r>
        <w:t xml:space="preserve">: </w:t>
      </w:r>
      <w:r w:rsidRPr="00F0490D">
        <w:t xml:space="preserve">Labour productivity and real average hourly compensation – </w:t>
      </w:r>
      <w:r>
        <w:t>m</w:t>
      </w:r>
      <w:r w:rsidRPr="00F0490D">
        <w:t xml:space="preserve">arket </w:t>
      </w:r>
      <w:r>
        <w:t>s</w:t>
      </w:r>
      <w:r w:rsidRPr="00F0490D">
        <w:t>ector</w:t>
      </w:r>
      <w:bookmarkEnd w:id="1131"/>
      <w:r w:rsidRPr="00F0490D">
        <w:t xml:space="preserve">  </w:t>
      </w:r>
    </w:p>
    <w:p w14:paraId="5DCE814D" w14:textId="7774FB70" w:rsidR="00F0490D" w:rsidRDefault="00F0490D" w:rsidP="00F0490D">
      <w:pPr>
        <w:rPr>
          <w:lang w:val="en-US" w:eastAsia="en-AU"/>
        </w:rPr>
      </w:pPr>
      <w:r w:rsidRPr="00A20DF5">
        <w:rPr>
          <w:noProof/>
        </w:rPr>
        <w:drawing>
          <wp:inline distT="0" distB="0" distL="0" distR="0" wp14:anchorId="5DDEFAE3" wp14:editId="28AD1D5A">
            <wp:extent cx="5731510" cy="3748405"/>
            <wp:effectExtent l="0" t="0" r="2540" b="4445"/>
            <wp:docPr id="862916837" name="Picture 1" descr="A line chart showing labour productivity and real average hourly compensation.&#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916837" name="Picture 1" descr="A line chart showing labour productivity and real average hourly compensation.&#10;&#10;See alt-text following the source."/>
                    <pic:cNvPicPr/>
                  </pic:nvPicPr>
                  <pic:blipFill>
                    <a:blip r:embed="rId81"/>
                    <a:stretch>
                      <a:fillRect/>
                    </a:stretch>
                  </pic:blipFill>
                  <pic:spPr>
                    <a:xfrm>
                      <a:off x="0" y="0"/>
                      <a:ext cx="5731510" cy="3748405"/>
                    </a:xfrm>
                    <a:prstGeom prst="rect">
                      <a:avLst/>
                    </a:prstGeom>
                  </pic:spPr>
                </pic:pic>
              </a:graphicData>
            </a:graphic>
          </wp:inline>
        </w:drawing>
      </w:r>
    </w:p>
    <w:p w14:paraId="52376B0D" w14:textId="3D36B3F7" w:rsidR="00F0490D" w:rsidRDefault="00F0490D" w:rsidP="00B458B7">
      <w:pPr>
        <w:pStyle w:val="Source"/>
      </w:pPr>
      <w:r w:rsidRPr="00B458B7">
        <w:rPr>
          <w:b/>
        </w:rPr>
        <w:t>Source:</w:t>
      </w:r>
      <w:r w:rsidRPr="00B458B7">
        <w:t xml:space="preserve"> Australian Bureau of Statistics (ABS) Has worker compensation reflected labour productivity growth.</w:t>
      </w:r>
      <w:r w:rsidR="004767FC">
        <w:rPr>
          <w:rStyle w:val="FootnoteReference"/>
        </w:rPr>
        <w:footnoteReference w:id="1398"/>
      </w:r>
      <w:r w:rsidRPr="00B458B7">
        <w:t xml:space="preserve">  </w:t>
      </w:r>
    </w:p>
    <w:p w14:paraId="4358473B" w14:textId="03C167C8" w:rsidR="00421D77" w:rsidRDefault="00421D77" w:rsidP="00421D77">
      <w:pPr>
        <w:pStyle w:val="Source"/>
      </w:pPr>
      <w:r w:rsidRPr="00F744EA">
        <w:rPr>
          <w:b/>
          <w:bCs/>
        </w:rPr>
        <w:t>Alt-text:</w:t>
      </w:r>
      <w:r w:rsidRPr="00F744EA">
        <w:t xml:space="preserve"> A line chart showing the trend in </w:t>
      </w:r>
      <w:r>
        <w:t xml:space="preserve">Average Hourly Compensation and </w:t>
      </w:r>
      <w:r w:rsidRPr="00F744EA">
        <w:t>Labour Productivity</w:t>
      </w:r>
      <w:r>
        <w:t xml:space="preserve"> </w:t>
      </w:r>
      <w:r w:rsidR="00F902D7">
        <w:t>by</w:t>
      </w:r>
      <w:r>
        <w:t xml:space="preserve"> financial year </w:t>
      </w:r>
      <w:r w:rsidRPr="00F744EA">
        <w:t>between 1995</w:t>
      </w:r>
      <w:r>
        <w:t>–1996</w:t>
      </w:r>
      <w:r w:rsidRPr="00F744EA">
        <w:t xml:space="preserve"> and </w:t>
      </w:r>
      <w:r>
        <w:t>2021–</w:t>
      </w:r>
      <w:r w:rsidRPr="00F744EA">
        <w:t>202</w:t>
      </w:r>
      <w:r>
        <w:t>2</w:t>
      </w:r>
      <w:r w:rsidRPr="00F744EA">
        <w:t>.</w:t>
      </w:r>
    </w:p>
    <w:p w14:paraId="6E8BC223" w14:textId="6281B733" w:rsidR="00F0490D" w:rsidRPr="00F0490D" w:rsidRDefault="00F0490D" w:rsidP="00F0490D">
      <w:pPr>
        <w:rPr>
          <w:lang w:val="en-US" w:eastAsia="en-AU"/>
        </w:rPr>
      </w:pPr>
      <w:r w:rsidRPr="00F0490D">
        <w:rPr>
          <w:lang w:val="en-US" w:eastAsia="en-AU"/>
        </w:rPr>
        <w:t>If productivity is rising but wages are not growing proportionally, the gains from economic growth must be going somewhere else. This suggests that a smaller share of GDP is going to labour, and a larger share is being captured by capital (profits, rents, and returns on investment). A different way of looking at the issue is, therefore, through the distribution of national income between profits and wages; in other words, by considering the labour share of GDP.</w:t>
      </w:r>
      <w:r w:rsidR="004767FC">
        <w:rPr>
          <w:rStyle w:val="FootnoteReference"/>
          <w:lang w:val="en-US" w:eastAsia="en-AU"/>
        </w:rPr>
        <w:footnoteReference w:id="1399"/>
      </w:r>
      <w:r w:rsidRPr="00F0490D">
        <w:rPr>
          <w:lang w:val="en-US" w:eastAsia="en-AU"/>
        </w:rPr>
        <w:t xml:space="preserve">  </w:t>
      </w:r>
    </w:p>
    <w:p w14:paraId="02A3AA89" w14:textId="41C2D636" w:rsidR="00F0490D" w:rsidRDefault="00F0490D" w:rsidP="00F0490D">
      <w:pPr>
        <w:rPr>
          <w:lang w:val="en-US" w:eastAsia="en-AU"/>
        </w:rPr>
      </w:pPr>
      <w:r w:rsidRPr="00F0490D">
        <w:rPr>
          <w:lang w:val="en-US" w:eastAsia="en-AU"/>
        </w:rPr>
        <w:t xml:space="preserve">Figure </w:t>
      </w:r>
      <w:r>
        <w:rPr>
          <w:lang w:val="en-US" w:eastAsia="en-AU"/>
        </w:rPr>
        <w:t>66</w:t>
      </w:r>
      <w:r w:rsidRPr="00F0490D">
        <w:rPr>
          <w:lang w:val="en-US" w:eastAsia="en-AU"/>
        </w:rPr>
        <w:t xml:space="preserve"> plots the labour share of GDP between 1959 (the start of the series) and 2024. It shows that the share of GDP going to labour </w:t>
      </w:r>
      <w:r w:rsidR="006E6C9D">
        <w:rPr>
          <w:lang w:val="en-US" w:eastAsia="en-AU"/>
        </w:rPr>
        <w:t>w</w:t>
      </w:r>
      <w:r w:rsidRPr="00F0490D">
        <w:rPr>
          <w:lang w:val="en-US" w:eastAsia="en-AU"/>
        </w:rPr>
        <w:t xml:space="preserve">as declining </w:t>
      </w:r>
      <w:r w:rsidR="00181370">
        <w:rPr>
          <w:lang w:val="en-US" w:eastAsia="en-AU"/>
        </w:rPr>
        <w:t>from</w:t>
      </w:r>
      <w:r w:rsidRPr="00F0490D">
        <w:rPr>
          <w:lang w:val="en-US" w:eastAsia="en-AU"/>
        </w:rPr>
        <w:t xml:space="preserve"> the mid-to-late 1980s until mid-2022, when it reached its lowest point ever. Thereafter, it has been rising, albeit only to the levels of the 2000s.</w:t>
      </w:r>
    </w:p>
    <w:p w14:paraId="0758F841" w14:textId="7B38923A" w:rsidR="00F0490D" w:rsidRDefault="00F0490D">
      <w:pPr>
        <w:spacing w:after="160"/>
        <w:rPr>
          <w:lang w:val="en-US" w:eastAsia="en-AU"/>
        </w:rPr>
      </w:pPr>
      <w:r>
        <w:rPr>
          <w:lang w:val="en-US" w:eastAsia="en-AU"/>
        </w:rPr>
        <w:br w:type="page"/>
      </w:r>
    </w:p>
    <w:p w14:paraId="5BD1F9F2" w14:textId="25014A1E" w:rsidR="00F0490D" w:rsidRPr="00F0490D" w:rsidRDefault="00F0490D" w:rsidP="00B458B7">
      <w:pPr>
        <w:pStyle w:val="Caption"/>
      </w:pPr>
      <w:bookmarkStart w:id="1132" w:name="_Toc194251564"/>
      <w:r>
        <w:t xml:space="preserve">Figure </w:t>
      </w:r>
      <w:r>
        <w:fldChar w:fldCharType="begin"/>
      </w:r>
      <w:r>
        <w:instrText xml:space="preserve"> SEQ Figure \* ARABIC </w:instrText>
      </w:r>
      <w:r>
        <w:fldChar w:fldCharType="separate"/>
      </w:r>
      <w:r w:rsidR="00DE5F5E">
        <w:rPr>
          <w:noProof/>
        </w:rPr>
        <w:t>66</w:t>
      </w:r>
      <w:r>
        <w:fldChar w:fldCharType="end"/>
      </w:r>
      <w:r>
        <w:t xml:space="preserve">: </w:t>
      </w:r>
      <w:r w:rsidRPr="00F0490D">
        <w:t>Labour share of GDP, 1959 to 2024</w:t>
      </w:r>
      <w:bookmarkEnd w:id="1132"/>
    </w:p>
    <w:p w14:paraId="216EB141" w14:textId="6BE7E855" w:rsidR="00F0490D" w:rsidRPr="00F0490D" w:rsidRDefault="00F0490D" w:rsidP="00F0490D">
      <w:pPr>
        <w:rPr>
          <w:lang w:val="en-US" w:eastAsia="en-AU"/>
        </w:rPr>
      </w:pPr>
      <w:r w:rsidRPr="00167CB8">
        <w:rPr>
          <w:noProof/>
        </w:rPr>
        <w:drawing>
          <wp:inline distT="0" distB="0" distL="0" distR="0" wp14:anchorId="15EA4B72" wp14:editId="7083C6E8">
            <wp:extent cx="5806817" cy="3800475"/>
            <wp:effectExtent l="0" t="0" r="3810" b="0"/>
            <wp:docPr id="469391279" name="Picture 13" descr="A line chart showing labour share of GDP.&#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391279" name="Picture 13" descr="A line chart showing labour share of GDP.&#10;&#10;See alt-text following the source."/>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821587" cy="3810142"/>
                    </a:xfrm>
                    <a:prstGeom prst="rect">
                      <a:avLst/>
                    </a:prstGeom>
                    <a:noFill/>
                    <a:ln>
                      <a:noFill/>
                    </a:ln>
                  </pic:spPr>
                </pic:pic>
              </a:graphicData>
            </a:graphic>
          </wp:inline>
        </w:drawing>
      </w:r>
    </w:p>
    <w:p w14:paraId="2E92CA27" w14:textId="5FE53FD4" w:rsidR="00F0490D" w:rsidRPr="00F0490D" w:rsidRDefault="00F0490D" w:rsidP="00B458B7">
      <w:pPr>
        <w:pStyle w:val="Source"/>
        <w:rPr>
          <w:lang w:val="en-US" w:eastAsia="en-AU"/>
        </w:rPr>
      </w:pPr>
      <w:r w:rsidRPr="00B458B7">
        <w:rPr>
          <w:b/>
          <w:lang w:val="en-US" w:eastAsia="en-AU"/>
        </w:rPr>
        <w:t>Note:</w:t>
      </w:r>
      <w:r w:rsidRPr="00F0490D">
        <w:rPr>
          <w:lang w:val="en-US" w:eastAsia="en-AU"/>
        </w:rPr>
        <w:t xml:space="preserve"> </w:t>
      </w:r>
      <w:r>
        <w:rPr>
          <w:lang w:val="en-US" w:eastAsia="en-AU"/>
        </w:rPr>
        <w:t>T</w:t>
      </w:r>
      <w:r w:rsidRPr="00F0490D">
        <w:rPr>
          <w:lang w:val="en-US" w:eastAsia="en-AU"/>
        </w:rPr>
        <w:t>he red line shows when the Secure Jobs, Better Pay Act came into effect.</w:t>
      </w:r>
    </w:p>
    <w:p w14:paraId="50621535" w14:textId="5E7128F3" w:rsidR="00F0490D" w:rsidRDefault="00F0490D" w:rsidP="00B458B7">
      <w:pPr>
        <w:pStyle w:val="Source"/>
        <w:rPr>
          <w:lang w:val="en-US" w:eastAsia="en-AU"/>
        </w:rPr>
      </w:pPr>
      <w:r w:rsidRPr="00B458B7">
        <w:rPr>
          <w:b/>
          <w:lang w:val="en-US" w:eastAsia="en-AU"/>
        </w:rPr>
        <w:t>Source:</w:t>
      </w:r>
      <w:r w:rsidRPr="00F0490D">
        <w:rPr>
          <w:lang w:val="en-US" w:eastAsia="en-AU"/>
        </w:rPr>
        <w:t xml:space="preserve"> ABS 6206.0, Table 7. Compensation of employees and GDP.</w:t>
      </w:r>
    </w:p>
    <w:p w14:paraId="00DFCB90" w14:textId="4F4D5E42" w:rsidR="000D3C13" w:rsidRDefault="000D3C13" w:rsidP="000D3C13">
      <w:pPr>
        <w:pStyle w:val="Source"/>
      </w:pPr>
      <w:r w:rsidRPr="00F744EA">
        <w:rPr>
          <w:b/>
          <w:bCs/>
        </w:rPr>
        <w:t>Alt-text:</w:t>
      </w:r>
      <w:r w:rsidRPr="00F744EA">
        <w:t xml:space="preserve"> A line chart showing the trend in Labour </w:t>
      </w:r>
      <w:r w:rsidR="001B7586">
        <w:t xml:space="preserve">share of </w:t>
      </w:r>
      <w:r w:rsidR="004C65F4">
        <w:t>g</w:t>
      </w:r>
      <w:r w:rsidR="001B7586">
        <w:t>r</w:t>
      </w:r>
      <w:r w:rsidR="00FC02BA">
        <w:t xml:space="preserve">oss </w:t>
      </w:r>
      <w:r w:rsidR="004C65F4">
        <w:t xml:space="preserve">domestic product </w:t>
      </w:r>
      <w:r w:rsidRPr="00F744EA">
        <w:t>between 19</w:t>
      </w:r>
      <w:r w:rsidR="004C65F4">
        <w:t>59</w:t>
      </w:r>
      <w:r w:rsidRPr="00F744EA">
        <w:t xml:space="preserve"> and 2024.</w:t>
      </w:r>
    </w:p>
    <w:p w14:paraId="37805AB2" w14:textId="31F1DB38" w:rsidR="00F0490D" w:rsidRPr="00F0490D" w:rsidRDefault="00F0490D" w:rsidP="00F0490D">
      <w:pPr>
        <w:rPr>
          <w:lang w:val="en-US" w:eastAsia="en-AU"/>
        </w:rPr>
      </w:pPr>
      <w:r w:rsidRPr="00F0490D">
        <w:rPr>
          <w:lang w:val="en-US" w:eastAsia="en-AU"/>
        </w:rPr>
        <w:t>Another way of considering the distributional aspect of productivity growth is to consider trends in real unit labour costs (RULC). RULC measure real labour costs per unit of output – and so helps assess whether wage growth is aligned with productivity growth. If RULC are falling it suggests that real wages are not keeping up with productivity growth.</w:t>
      </w:r>
      <w:r w:rsidR="004767FC">
        <w:rPr>
          <w:rStyle w:val="FootnoteReference"/>
          <w:lang w:val="en-US" w:eastAsia="en-AU"/>
        </w:rPr>
        <w:footnoteReference w:id="1400"/>
      </w:r>
      <w:r w:rsidRPr="00F0490D">
        <w:rPr>
          <w:lang w:val="en-US" w:eastAsia="en-AU"/>
        </w:rPr>
        <w:t xml:space="preserve">   </w:t>
      </w:r>
    </w:p>
    <w:p w14:paraId="40FCCA3B" w14:textId="77777777" w:rsidR="00C8510A" w:rsidRDefault="00F0490D" w:rsidP="00F0490D">
      <w:pPr>
        <w:rPr>
          <w:lang w:val="en-US" w:eastAsia="en-AU"/>
        </w:rPr>
      </w:pPr>
      <w:r w:rsidRPr="00F0490D">
        <w:rPr>
          <w:lang w:val="en-US" w:eastAsia="en-AU"/>
        </w:rPr>
        <w:t xml:space="preserve">The trend in RULC in Australia is shown in Figure </w:t>
      </w:r>
      <w:r w:rsidRPr="00EC0CFB">
        <w:rPr>
          <w:lang w:val="en-US" w:eastAsia="en-AU"/>
        </w:rPr>
        <w:t>67</w:t>
      </w:r>
      <w:r w:rsidRPr="00F0490D">
        <w:rPr>
          <w:lang w:val="en-US" w:eastAsia="en-AU"/>
        </w:rPr>
        <w:t xml:space="preserve">. It shows that between December 2000 and December 2012 (in quarterly terms and not smoothed), RULC fell by 7.3%. There was a further decline in RULC over the 2012 to 2022 period. The decline relates, in part, to the declining bargaining power of workers, influenced by changes such as declining union membership, the erosion of collective bargaining and the rise in precarious work. </w:t>
      </w:r>
    </w:p>
    <w:p w14:paraId="522432E2" w14:textId="31847156" w:rsidR="00F0490D" w:rsidRPr="00F0490D" w:rsidRDefault="00F0490D" w:rsidP="00F0490D">
      <w:pPr>
        <w:rPr>
          <w:lang w:val="en-US" w:eastAsia="en-AU"/>
        </w:rPr>
      </w:pPr>
      <w:r w:rsidRPr="00F0490D">
        <w:rPr>
          <w:lang w:val="en-US" w:eastAsia="en-AU"/>
        </w:rPr>
        <w:t>Since the passage of the Secure Jobs, Better Pay amendments RULC have been rising – increasing by 5.3% between December 2022 and September 2024 – although, as concluded in Chapter 8 above, it remains to be seen whether this trend continues.</w:t>
      </w:r>
    </w:p>
    <w:p w14:paraId="51C0E83C" w14:textId="10533ABC" w:rsidR="00F0490D" w:rsidRDefault="00F0490D">
      <w:pPr>
        <w:spacing w:after="160"/>
        <w:rPr>
          <w:lang w:val="en-US" w:eastAsia="en-AU"/>
        </w:rPr>
      </w:pPr>
      <w:r>
        <w:rPr>
          <w:lang w:val="en-US" w:eastAsia="en-AU"/>
        </w:rPr>
        <w:br w:type="page"/>
      </w:r>
    </w:p>
    <w:p w14:paraId="63FE9EE9" w14:textId="2B1FADB7" w:rsidR="00F0490D" w:rsidRPr="00F0490D" w:rsidRDefault="00F0490D" w:rsidP="00EC0CFB">
      <w:pPr>
        <w:pStyle w:val="Caption"/>
      </w:pPr>
      <w:bookmarkStart w:id="1133" w:name="_Toc194251565"/>
      <w:r>
        <w:t xml:space="preserve">Figure </w:t>
      </w:r>
      <w:r>
        <w:fldChar w:fldCharType="begin"/>
      </w:r>
      <w:r>
        <w:instrText xml:space="preserve"> SEQ Figure \* ARABIC </w:instrText>
      </w:r>
      <w:r>
        <w:fldChar w:fldCharType="separate"/>
      </w:r>
      <w:r w:rsidR="00DE5F5E">
        <w:rPr>
          <w:noProof/>
        </w:rPr>
        <w:t>67</w:t>
      </w:r>
      <w:r>
        <w:fldChar w:fldCharType="end"/>
      </w:r>
      <w:r>
        <w:t xml:space="preserve">: </w:t>
      </w:r>
      <w:r w:rsidRPr="00F0490D">
        <w:t xml:space="preserve"> Real unit labour costs, June 1994 to September 2024</w:t>
      </w:r>
      <w:bookmarkEnd w:id="1133"/>
    </w:p>
    <w:p w14:paraId="3A233E6A" w14:textId="66B5BD4C" w:rsidR="00F0490D" w:rsidRPr="00F0490D" w:rsidRDefault="00F0490D" w:rsidP="00F0490D">
      <w:pPr>
        <w:rPr>
          <w:lang w:val="en-US" w:eastAsia="en-AU"/>
        </w:rPr>
      </w:pPr>
      <w:r w:rsidRPr="00E7569A">
        <w:rPr>
          <w:noProof/>
        </w:rPr>
        <w:drawing>
          <wp:inline distT="0" distB="0" distL="0" distR="0" wp14:anchorId="1268C3CD" wp14:editId="6434590A">
            <wp:extent cx="5715000" cy="3737608"/>
            <wp:effectExtent l="0" t="0" r="0" b="0"/>
            <wp:docPr id="1982678100" name="Picture 1" descr="A line chart showing real unit labour costs.&#10;&#10;See alt-text following th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678100" name="Picture 1" descr="A line chart showing real unit labour costs.&#10;&#10;See alt-text following the source."/>
                    <pic:cNvPicPr/>
                  </pic:nvPicPr>
                  <pic:blipFill>
                    <a:blip r:embed="rId23"/>
                    <a:stretch>
                      <a:fillRect/>
                    </a:stretch>
                  </pic:blipFill>
                  <pic:spPr>
                    <a:xfrm>
                      <a:off x="0" y="0"/>
                      <a:ext cx="5731933" cy="3748682"/>
                    </a:xfrm>
                    <a:prstGeom prst="rect">
                      <a:avLst/>
                    </a:prstGeom>
                  </pic:spPr>
                </pic:pic>
              </a:graphicData>
            </a:graphic>
          </wp:inline>
        </w:drawing>
      </w:r>
    </w:p>
    <w:p w14:paraId="751E4651" w14:textId="77777777" w:rsidR="00F0490D" w:rsidRPr="00EC0CFB" w:rsidRDefault="00F0490D" w:rsidP="00EC0CFB">
      <w:pPr>
        <w:pStyle w:val="Source"/>
        <w:rPr>
          <w:b/>
          <w:lang w:val="en-US" w:eastAsia="en-AU"/>
        </w:rPr>
      </w:pPr>
      <w:r w:rsidRPr="00EC0CFB">
        <w:rPr>
          <w:b/>
          <w:lang w:val="en-US" w:eastAsia="en-AU"/>
        </w:rPr>
        <w:t xml:space="preserve">Note: </w:t>
      </w:r>
    </w:p>
    <w:p w14:paraId="257C7B27" w14:textId="4B023C8F" w:rsidR="00F0490D" w:rsidRPr="00F0490D" w:rsidRDefault="00F0490D" w:rsidP="00EC0CFB">
      <w:pPr>
        <w:pStyle w:val="Source"/>
        <w:rPr>
          <w:lang w:val="en-US" w:eastAsia="en-AU"/>
        </w:rPr>
      </w:pPr>
      <w:r>
        <w:rPr>
          <w:lang w:val="en-US" w:eastAsia="en-AU"/>
        </w:rPr>
        <w:t xml:space="preserve">1. </w:t>
      </w:r>
      <w:r w:rsidRPr="00F0490D">
        <w:rPr>
          <w:lang w:val="en-US" w:eastAsia="en-AU"/>
        </w:rPr>
        <w:t>The series has been smoothed using a four-quarter moving average.</w:t>
      </w:r>
    </w:p>
    <w:p w14:paraId="338D4609" w14:textId="6AD357F9" w:rsidR="00F0490D" w:rsidRPr="00F0490D" w:rsidRDefault="00F0490D" w:rsidP="00EC0CFB">
      <w:pPr>
        <w:pStyle w:val="Source"/>
        <w:rPr>
          <w:lang w:val="en-US" w:eastAsia="en-AU"/>
        </w:rPr>
      </w:pPr>
      <w:r>
        <w:rPr>
          <w:lang w:val="en-US" w:eastAsia="en-AU"/>
        </w:rPr>
        <w:t xml:space="preserve">2. </w:t>
      </w:r>
      <w:r w:rsidRPr="00F0490D">
        <w:rPr>
          <w:lang w:val="en-US" w:eastAsia="en-AU"/>
        </w:rPr>
        <w:t>The red line shows when the Secure Jobs, Better Pay Act came into effect.</w:t>
      </w:r>
    </w:p>
    <w:p w14:paraId="4DC489F5" w14:textId="163DCB46" w:rsidR="00F0490D" w:rsidRDefault="00F0490D" w:rsidP="00EC0CFB">
      <w:pPr>
        <w:pStyle w:val="Source"/>
        <w:rPr>
          <w:lang w:val="en-US" w:eastAsia="en-AU"/>
        </w:rPr>
      </w:pPr>
      <w:r w:rsidRPr="00EC0CFB">
        <w:rPr>
          <w:b/>
          <w:lang w:val="en-US" w:eastAsia="en-AU"/>
        </w:rPr>
        <w:t>Source:</w:t>
      </w:r>
      <w:r w:rsidRPr="00F0490D">
        <w:rPr>
          <w:lang w:val="en-US" w:eastAsia="en-AU"/>
        </w:rPr>
        <w:t xml:space="preserve"> ABS 5206, Table 42.</w:t>
      </w:r>
    </w:p>
    <w:p w14:paraId="38CE55E6" w14:textId="5BAC0BED" w:rsidR="00FA486F" w:rsidRDefault="00FA486F" w:rsidP="00FA486F">
      <w:pPr>
        <w:pStyle w:val="Source"/>
      </w:pPr>
      <w:r w:rsidRPr="00F744EA">
        <w:rPr>
          <w:b/>
          <w:bCs/>
        </w:rPr>
        <w:t>Alt-text:</w:t>
      </w:r>
      <w:r w:rsidRPr="00F744EA">
        <w:t xml:space="preserve"> A line chart showing the trend in </w:t>
      </w:r>
      <w:r w:rsidR="002816B7">
        <w:t>real un</w:t>
      </w:r>
      <w:r w:rsidR="00C41074">
        <w:t>i</w:t>
      </w:r>
      <w:r w:rsidR="002816B7">
        <w:t>t l</w:t>
      </w:r>
      <w:r w:rsidRPr="00F744EA">
        <w:t xml:space="preserve">abour </w:t>
      </w:r>
      <w:r w:rsidR="002816B7">
        <w:t>costs and</w:t>
      </w:r>
      <w:r w:rsidR="00C41074" w:rsidRPr="00C41074">
        <w:t xml:space="preserve"> </w:t>
      </w:r>
      <w:r w:rsidR="00C41074">
        <w:t>real unit l</w:t>
      </w:r>
      <w:r w:rsidR="00C41074" w:rsidRPr="00F744EA">
        <w:t xml:space="preserve">abour </w:t>
      </w:r>
      <w:r w:rsidR="00C41074">
        <w:t xml:space="preserve">costs (non-farm) </w:t>
      </w:r>
      <w:r w:rsidRPr="00F744EA">
        <w:t xml:space="preserve">between </w:t>
      </w:r>
      <w:r w:rsidR="00B679D1">
        <w:t>199</w:t>
      </w:r>
      <w:r w:rsidR="00FB5BCE">
        <w:t>4</w:t>
      </w:r>
      <w:r w:rsidR="00B679D1">
        <w:t xml:space="preserve"> </w:t>
      </w:r>
      <w:r w:rsidRPr="00F744EA">
        <w:t>and 2024.</w:t>
      </w:r>
    </w:p>
    <w:p w14:paraId="07ED48CF" w14:textId="77777777" w:rsidR="00F0490D" w:rsidRPr="00F0490D" w:rsidRDefault="00F0490D" w:rsidP="00F0490D">
      <w:pPr>
        <w:rPr>
          <w:lang w:val="en-US" w:eastAsia="en-AU"/>
        </w:rPr>
      </w:pPr>
      <w:r w:rsidRPr="00F0490D">
        <w:rPr>
          <w:lang w:val="en-US" w:eastAsia="en-AU"/>
        </w:rPr>
        <w:t xml:space="preserve">There are at least two remaining questions about the relationship between real wages and productivity growth. First, what is the mechanism by which productivity gains flow through to real wages? A simple answer to this question centres on market forces – in other words, it is through the actions of enterprises and individual employees as they adjust to the forces of supply and demand. This is undoubtedly true, but in Australia this explanation needs to be supplemented by reference to industrial relations institutions. How have the real wage increases flowing from institutions and instruments like awards and enterprise agreements been affected by productivity growth – at either the macro or micro level? In particular, has the decoupling of real wages from productivity growth resulted from changes in institutional factors?    </w:t>
      </w:r>
    </w:p>
    <w:p w14:paraId="350EE7A5" w14:textId="31D436B1" w:rsidR="00F0490D" w:rsidRPr="00F0490D" w:rsidRDefault="00F0490D" w:rsidP="00F0490D">
      <w:pPr>
        <w:rPr>
          <w:lang w:val="en-US" w:eastAsia="en-AU"/>
        </w:rPr>
      </w:pPr>
      <w:r w:rsidRPr="00F0490D">
        <w:rPr>
          <w:lang w:val="en-US" w:eastAsia="en-AU"/>
        </w:rPr>
        <w:t>Second, do these distributional issues about real wages affect the generation of productivity growth? Again, there is a simple answer, which is no, because productivity is defined in physical terms (i.e</w:t>
      </w:r>
      <w:r w:rsidRPr="00F0490D" w:rsidDel="00F0490D">
        <w:rPr>
          <w:lang w:val="en-US" w:eastAsia="en-AU"/>
        </w:rPr>
        <w:t>.</w:t>
      </w:r>
      <w:r w:rsidRPr="00F0490D">
        <w:rPr>
          <w:lang w:val="en-US" w:eastAsia="en-AU"/>
        </w:rPr>
        <w:t xml:space="preserve"> the output produced by inputs) and wages are essential</w:t>
      </w:r>
      <w:r w:rsidR="00052B27">
        <w:rPr>
          <w:lang w:val="en-US" w:eastAsia="en-AU"/>
        </w:rPr>
        <w:t>ly</w:t>
      </w:r>
      <w:r w:rsidRPr="00F0490D">
        <w:rPr>
          <w:lang w:val="en-US" w:eastAsia="en-AU"/>
        </w:rPr>
        <w:t xml:space="preserve"> the price of labour. This denial, however, is often lost on stakeholders who assert that productivity growth is directly affected by wage increases.</w:t>
      </w:r>
      <w:r w:rsidR="004767FC">
        <w:rPr>
          <w:rStyle w:val="FootnoteReference"/>
          <w:lang w:val="en-US" w:eastAsia="en-AU"/>
        </w:rPr>
        <w:footnoteReference w:id="1401"/>
      </w:r>
      <w:r w:rsidRPr="00F0490D" w:rsidDel="00F0490D">
        <w:rPr>
          <w:lang w:val="en-US" w:eastAsia="en-AU"/>
        </w:rPr>
        <w:t xml:space="preserve"> </w:t>
      </w:r>
      <w:r w:rsidRPr="00F0490D">
        <w:rPr>
          <w:lang w:val="en-US" w:eastAsia="en-AU"/>
        </w:rPr>
        <w:t xml:space="preserve">There is, however, also a more complicated answer, at least in theory. Productivity growth is considered to be heavily dependent on technological change and the decisions of enterprise managers about whether to invest in technological change are affected by the price of labour – the lower the real wage, the more likely that labour will be chosen over capital, leading to reduced productivity growth. The extent to which this theoretical proposition has been tested – especially in Australia over recent years – is questionable. But at least some commentators have argued that some of Australia’s recent decline in productivity growth is caused by the decline of real wages. </w:t>
      </w:r>
    </w:p>
    <w:p w14:paraId="17D9727F" w14:textId="77777777" w:rsidR="00F0490D" w:rsidRPr="00F0490D" w:rsidRDefault="00F0490D" w:rsidP="00EC0CFB">
      <w:pPr>
        <w:pStyle w:val="Heading3"/>
        <w:rPr>
          <w:lang w:val="en-US" w:eastAsia="en-AU"/>
        </w:rPr>
      </w:pPr>
      <w:bookmarkStart w:id="1134" w:name="_Toc194066995"/>
      <w:bookmarkStart w:id="1135" w:name="_Toc194311465"/>
      <w:r w:rsidRPr="00F0490D">
        <w:rPr>
          <w:lang w:val="en-US" w:eastAsia="en-AU"/>
        </w:rPr>
        <w:t>6.</w:t>
      </w:r>
      <w:r w:rsidRPr="00F0490D">
        <w:rPr>
          <w:lang w:val="en-US" w:eastAsia="en-AU"/>
        </w:rPr>
        <w:tab/>
        <w:t>Summary and conclusion</w:t>
      </w:r>
      <w:bookmarkEnd w:id="1134"/>
      <w:bookmarkEnd w:id="1135"/>
    </w:p>
    <w:p w14:paraId="0C0A258B" w14:textId="7A305A7C" w:rsidR="00F0490D" w:rsidRPr="00F0490D" w:rsidRDefault="00F0490D" w:rsidP="00F0490D">
      <w:pPr>
        <w:rPr>
          <w:lang w:val="en-US" w:eastAsia="en-AU"/>
        </w:rPr>
      </w:pPr>
      <w:r w:rsidRPr="00F0490D">
        <w:rPr>
          <w:lang w:val="en-US" w:eastAsia="en-AU"/>
        </w:rPr>
        <w:t xml:space="preserve">Industrial relations are potentially more important in explaining productivity growth at the ‘micro’ level of the single enterprise than at the ‘macro’ national level. This is not to say that other factors are unimportant. Certainly, the impact of factors like technology, skills formation and utilisation and especially management competencies on productivity enhancement is widely confirmed, even if the relative impact of non-industrial relations factors versus industrial relations factors is rarely quantified. The key question is how can industrial relations make a difference? In other words, what are the key industrial relations factors that promote (or impede) productivity growth and by what mechanisms do </w:t>
      </w:r>
      <w:r w:rsidR="00EB1E34">
        <w:rPr>
          <w:lang w:val="en-US" w:eastAsia="en-AU"/>
        </w:rPr>
        <w:t xml:space="preserve">they </w:t>
      </w:r>
      <w:r w:rsidRPr="00F0490D">
        <w:rPr>
          <w:lang w:val="en-US" w:eastAsia="en-AU"/>
        </w:rPr>
        <w:t>operate?</w:t>
      </w:r>
    </w:p>
    <w:p w14:paraId="7C4EE9D5" w14:textId="77777777" w:rsidR="00F0490D" w:rsidRPr="00F0490D" w:rsidRDefault="00F0490D" w:rsidP="00F0490D">
      <w:pPr>
        <w:rPr>
          <w:lang w:val="en-US" w:eastAsia="en-AU"/>
        </w:rPr>
      </w:pPr>
      <w:r w:rsidRPr="00F0490D">
        <w:rPr>
          <w:lang w:val="en-US" w:eastAsia="en-AU"/>
        </w:rPr>
        <w:t>This appendix is not designed as a comprehensive account of productivity and its relationships with industrial relations. Rather, it aims to identify some key aspects of the Australian debate and provoke discussion of them, particularly as they relate to industrial relations. The key points are:</w:t>
      </w:r>
    </w:p>
    <w:p w14:paraId="7A6D9440" w14:textId="77777777" w:rsidR="00F0490D" w:rsidRPr="00217091" w:rsidRDefault="00F0490D" w:rsidP="00217091">
      <w:pPr>
        <w:pStyle w:val="ListBullet"/>
        <w:numPr>
          <w:ilvl w:val="0"/>
          <w:numId w:val="4"/>
        </w:numPr>
      </w:pPr>
      <w:r w:rsidRPr="00217091">
        <w:t xml:space="preserve">It must not be assumed that productivity is a universal concept: in particular, interpretations of its causes and prescriptions for promoting productivity growth are deeply affected by the </w:t>
      </w:r>
      <w:r w:rsidRPr="00F40CFB">
        <w:rPr>
          <w:b/>
        </w:rPr>
        <w:t>values/frames of reference</w:t>
      </w:r>
      <w:r w:rsidRPr="00217091">
        <w:t xml:space="preserve"> of the parties.</w:t>
      </w:r>
    </w:p>
    <w:p w14:paraId="58DD4F76" w14:textId="77777777" w:rsidR="00F0490D" w:rsidRPr="00217091" w:rsidRDefault="00F0490D" w:rsidP="00217091">
      <w:pPr>
        <w:pStyle w:val="ListBullet"/>
        <w:numPr>
          <w:ilvl w:val="0"/>
          <w:numId w:val="4"/>
        </w:numPr>
      </w:pPr>
      <w:r w:rsidRPr="00217091">
        <w:t xml:space="preserve">Productivity is </w:t>
      </w:r>
      <w:r w:rsidRPr="00F40CFB">
        <w:rPr>
          <w:b/>
        </w:rPr>
        <w:t>defined</w:t>
      </w:r>
      <w:r w:rsidRPr="00217091">
        <w:t xml:space="preserve"> and </w:t>
      </w:r>
      <w:r w:rsidRPr="00F40CFB">
        <w:rPr>
          <w:b/>
        </w:rPr>
        <w:t>measured</w:t>
      </w:r>
      <w:r w:rsidRPr="00217091">
        <w:t xml:space="preserve"> differently according to the ‘level’ in question. In particular, three levels are important and should be considered separately: the nation, the industry and the enterprise.</w:t>
      </w:r>
    </w:p>
    <w:p w14:paraId="3D3E5794" w14:textId="77777777" w:rsidR="00F0490D" w:rsidRPr="00217091" w:rsidRDefault="00F0490D" w:rsidP="00217091">
      <w:pPr>
        <w:pStyle w:val="ListBullet"/>
        <w:numPr>
          <w:ilvl w:val="0"/>
          <w:numId w:val="4"/>
        </w:numPr>
      </w:pPr>
      <w:r w:rsidRPr="00217091">
        <w:t xml:space="preserve">Productivity growth is </w:t>
      </w:r>
      <w:r w:rsidRPr="00F40CFB">
        <w:rPr>
          <w:b/>
        </w:rPr>
        <w:t>generated</w:t>
      </w:r>
      <w:r w:rsidRPr="00217091">
        <w:t xml:space="preserve"> by many factors, only one of which is industrial relations:</w:t>
      </w:r>
    </w:p>
    <w:p w14:paraId="1BB2B052" w14:textId="6145FD51" w:rsidR="00F0490D" w:rsidRPr="00217091" w:rsidRDefault="00F0490D" w:rsidP="00217091">
      <w:pPr>
        <w:pStyle w:val="ListBullet2"/>
        <w:ind w:left="568" w:hanging="284"/>
      </w:pPr>
      <w:r w:rsidRPr="00217091">
        <w:t>at national level, industrial relations are widely accepted as less important than other factors, like technological innovation, market competition, infrastructure and both workforce and managerial skills</w:t>
      </w:r>
    </w:p>
    <w:p w14:paraId="7F293CC5" w14:textId="527B17F5" w:rsidR="00FA7E9D" w:rsidRPr="00217091" w:rsidRDefault="00F0490D" w:rsidP="00217091">
      <w:pPr>
        <w:pStyle w:val="ListBullet2"/>
        <w:ind w:left="568" w:hanging="284"/>
      </w:pPr>
      <w:r w:rsidRPr="00217091">
        <w:t xml:space="preserve">at enterprise level, industrial relations are more important. </w:t>
      </w:r>
    </w:p>
    <w:p w14:paraId="241D5991" w14:textId="6AA09E38" w:rsidR="00F0490D" w:rsidRPr="00217091" w:rsidRDefault="00F0490D" w:rsidP="00217091">
      <w:pPr>
        <w:pStyle w:val="ListBullet"/>
        <w:numPr>
          <w:ilvl w:val="0"/>
          <w:numId w:val="4"/>
        </w:numPr>
      </w:pPr>
      <w:r w:rsidRPr="00217091">
        <w:t xml:space="preserve">In both cases, however, it is important to explore not only the industrial relations factors that </w:t>
      </w:r>
      <w:r w:rsidR="00535147" w:rsidRPr="00535147">
        <w:rPr>
          <w:b/>
          <w:bCs/>
        </w:rPr>
        <w:t>generate</w:t>
      </w:r>
      <w:r w:rsidR="00535147" w:rsidRPr="00217091">
        <w:t xml:space="preserve"> </w:t>
      </w:r>
      <w:r w:rsidRPr="00217091">
        <w:t>productivity growth but also the mechanisms by which that growth is generated.</w:t>
      </w:r>
    </w:p>
    <w:p w14:paraId="1501D5BD" w14:textId="77777777" w:rsidR="00F0490D" w:rsidRPr="00217091" w:rsidRDefault="00F0490D" w:rsidP="00217091">
      <w:pPr>
        <w:pStyle w:val="ListBullet"/>
        <w:numPr>
          <w:ilvl w:val="0"/>
          <w:numId w:val="4"/>
        </w:numPr>
      </w:pPr>
      <w:r w:rsidRPr="00217091">
        <w:t xml:space="preserve">The </w:t>
      </w:r>
      <w:r w:rsidRPr="00F40CFB">
        <w:rPr>
          <w:b/>
        </w:rPr>
        <w:t>distribution</w:t>
      </w:r>
      <w:r w:rsidRPr="00217091">
        <w:t xml:space="preserve"> of gains generated by productivity growth – especially through wages and gender equality – is vital and it is not just determined by market forces; rather, the balance of power between the parties and the impact of institutional arrangements (like collective bargaining) are important.</w:t>
      </w:r>
    </w:p>
    <w:p w14:paraId="027160C5" w14:textId="77777777" w:rsidR="00F0490D" w:rsidRPr="00217091" w:rsidRDefault="00F0490D" w:rsidP="00217091">
      <w:pPr>
        <w:pStyle w:val="ListBullet"/>
        <w:numPr>
          <w:ilvl w:val="0"/>
          <w:numId w:val="4"/>
        </w:numPr>
      </w:pPr>
      <w:r w:rsidRPr="00217091">
        <w:t xml:space="preserve">The key message is that the workplace relations system should focus on </w:t>
      </w:r>
      <w:r w:rsidRPr="00535147">
        <w:rPr>
          <w:b/>
          <w:bCs/>
        </w:rPr>
        <w:t>both</w:t>
      </w:r>
      <w:r w:rsidRPr="00217091">
        <w:t xml:space="preserve"> the generation of productivity growth and the distribution of productivity growth, </w:t>
      </w:r>
      <w:r w:rsidRPr="00535147">
        <w:rPr>
          <w:b/>
          <w:bCs/>
        </w:rPr>
        <w:t>in combination</w:t>
      </w:r>
      <w:r w:rsidRPr="00217091">
        <w:t>. One without the other will not be effective.</w:t>
      </w:r>
    </w:p>
    <w:p w14:paraId="2C2E0E60" w14:textId="6630A975" w:rsidR="00677577" w:rsidRPr="00B45F7C" w:rsidRDefault="00677577" w:rsidP="00677577">
      <w:pPr>
        <w:tabs>
          <w:tab w:val="num" w:pos="644"/>
        </w:tabs>
        <w:ind w:left="644" w:hanging="360"/>
        <w:contextualSpacing/>
        <w:rPr>
          <w:rFonts w:ascii="Aptos" w:eastAsia="Aptos" w:hAnsi="Aptos" w:cs="Times New Roman"/>
          <w:lang w:val="en-US" w:eastAsia="en-AU"/>
        </w:rPr>
      </w:pPr>
      <w:r w:rsidRPr="00B45F7C">
        <w:rPr>
          <w:rFonts w:ascii="Aptos" w:eastAsia="Aptos" w:hAnsi="Aptos" w:cs="Times New Roman"/>
          <w:lang w:val="en-US" w:eastAsia="en-AU"/>
        </w:rPr>
        <w:br w:type="page"/>
      </w:r>
    </w:p>
    <w:p w14:paraId="7DEA436D" w14:textId="77777777" w:rsidR="00677577" w:rsidRPr="00B45F7C" w:rsidRDefault="00677577" w:rsidP="00677577">
      <w:pPr>
        <w:pStyle w:val="Heading2"/>
      </w:pPr>
      <w:bookmarkStart w:id="1136" w:name="_Toc189260188"/>
      <w:bookmarkStart w:id="1137" w:name="_Toc189393694"/>
      <w:bookmarkStart w:id="1138" w:name="_Toc192258084"/>
      <w:bookmarkStart w:id="1139" w:name="_Toc194311466"/>
      <w:r w:rsidRPr="00B45F7C">
        <w:t>Appendix 5 – Additional tables</w:t>
      </w:r>
      <w:bookmarkEnd w:id="1136"/>
      <w:bookmarkEnd w:id="1137"/>
      <w:bookmarkEnd w:id="1138"/>
      <w:bookmarkEnd w:id="1139"/>
    </w:p>
    <w:p w14:paraId="1F29A28A" w14:textId="6D292569" w:rsidR="00677577" w:rsidRPr="00B45F7C" w:rsidRDefault="0076344E" w:rsidP="00046AD2">
      <w:pPr>
        <w:pStyle w:val="Caption"/>
      </w:pPr>
      <w:bookmarkStart w:id="1140" w:name="_Toc189310894"/>
      <w:bookmarkStart w:id="1141" w:name="_Toc194251498"/>
      <w:r>
        <w:t xml:space="preserve">Table </w:t>
      </w:r>
      <w:r>
        <w:fldChar w:fldCharType="begin"/>
      </w:r>
      <w:r>
        <w:instrText xml:space="preserve"> SEQ Table \* ARABIC </w:instrText>
      </w:r>
      <w:r>
        <w:fldChar w:fldCharType="separate"/>
      </w:r>
      <w:r w:rsidR="00DE5F5E">
        <w:rPr>
          <w:noProof/>
        </w:rPr>
        <w:t>74</w:t>
      </w:r>
      <w:r>
        <w:fldChar w:fldCharType="end"/>
      </w:r>
      <w:r>
        <w:t xml:space="preserve">: </w:t>
      </w:r>
      <w:r w:rsidR="00677577" w:rsidRPr="00B45F7C">
        <w:t>Federal Court proceedings commenced by the regulator</w:t>
      </w:r>
      <w:bookmarkEnd w:id="1140"/>
      <w:bookmarkEnd w:id="1141"/>
    </w:p>
    <w:tbl>
      <w:tblPr>
        <w:tblW w:w="0" w:type="auto"/>
        <w:tblLayout w:type="fixed"/>
        <w:tblLook w:val="04A0" w:firstRow="1" w:lastRow="0" w:firstColumn="1" w:lastColumn="0" w:noHBand="0" w:noVBand="1"/>
      </w:tblPr>
      <w:tblGrid>
        <w:gridCol w:w="1980"/>
        <w:gridCol w:w="4678"/>
        <w:gridCol w:w="2630"/>
      </w:tblGrid>
      <w:tr w:rsidR="00BA4CD6" w:rsidRPr="00BA4CD6" w14:paraId="08863BFE" w14:textId="77777777" w:rsidTr="008C3D05">
        <w:trPr>
          <w:trHeight w:val="290"/>
          <w:tblHeader/>
        </w:trPr>
        <w:tc>
          <w:tcPr>
            <w:tcW w:w="1980" w:type="dxa"/>
            <w:tcBorders>
              <w:top w:val="single" w:sz="4" w:space="0" w:color="auto"/>
              <w:left w:val="single" w:sz="4" w:space="0" w:color="auto"/>
              <w:bottom w:val="single" w:sz="4" w:space="0" w:color="auto"/>
              <w:right w:val="single" w:sz="4" w:space="0" w:color="auto"/>
            </w:tcBorders>
            <w:noWrap/>
            <w:vAlign w:val="bottom"/>
            <w:hideMark/>
          </w:tcPr>
          <w:p w14:paraId="1B4D3804" w14:textId="77777777" w:rsidR="00677577" w:rsidRPr="00BA4CD6" w:rsidRDefault="00677577" w:rsidP="00BA4CD6">
            <w:pPr>
              <w:spacing w:after="0"/>
              <w:rPr>
                <w:rFonts w:eastAsia="Times New Roman" w:cs="Times New Roman"/>
                <w:color w:val="000000"/>
                <w:sz w:val="20"/>
                <w:szCs w:val="20"/>
                <w:lang w:eastAsia="en-AU"/>
              </w:rPr>
            </w:pPr>
            <w:r w:rsidRPr="00BA4CD6">
              <w:rPr>
                <w:rFonts w:eastAsia="Times New Roman" w:cs="Times New Roman"/>
                <w:color w:val="000000"/>
                <w:sz w:val="20"/>
                <w:szCs w:val="20"/>
                <w:lang w:eastAsia="en-AU"/>
              </w:rPr>
              <w:t>Completed/current</w:t>
            </w:r>
          </w:p>
        </w:tc>
        <w:tc>
          <w:tcPr>
            <w:tcW w:w="4678" w:type="dxa"/>
            <w:tcBorders>
              <w:top w:val="single" w:sz="4" w:space="0" w:color="auto"/>
              <w:left w:val="nil"/>
              <w:bottom w:val="single" w:sz="4" w:space="0" w:color="auto"/>
              <w:right w:val="single" w:sz="4" w:space="0" w:color="auto"/>
            </w:tcBorders>
            <w:noWrap/>
            <w:vAlign w:val="center"/>
            <w:hideMark/>
          </w:tcPr>
          <w:p w14:paraId="7C6AA78C" w14:textId="77777777" w:rsidR="00677577" w:rsidRPr="00BA4CD6" w:rsidRDefault="00677577" w:rsidP="00BA4CD6">
            <w:pPr>
              <w:spacing w:after="0"/>
              <w:rPr>
                <w:rFonts w:eastAsia="Times New Roman" w:cs="Times New Roman"/>
                <w:color w:val="000000"/>
                <w:sz w:val="20"/>
                <w:szCs w:val="20"/>
                <w:lang w:eastAsia="en-AU"/>
              </w:rPr>
            </w:pPr>
            <w:r w:rsidRPr="00BA4CD6">
              <w:rPr>
                <w:rFonts w:eastAsia="Times New Roman" w:cs="Times New Roman"/>
                <w:color w:val="000000"/>
                <w:sz w:val="20"/>
                <w:szCs w:val="20"/>
                <w:lang w:eastAsia="en-AU"/>
              </w:rPr>
              <w:t> </w:t>
            </w:r>
          </w:p>
        </w:tc>
        <w:tc>
          <w:tcPr>
            <w:tcW w:w="2630" w:type="dxa"/>
            <w:tcBorders>
              <w:top w:val="single" w:sz="4" w:space="0" w:color="auto"/>
              <w:left w:val="nil"/>
              <w:bottom w:val="single" w:sz="4" w:space="0" w:color="auto"/>
              <w:right w:val="single" w:sz="4" w:space="0" w:color="auto"/>
            </w:tcBorders>
            <w:noWrap/>
            <w:vAlign w:val="bottom"/>
            <w:hideMark/>
          </w:tcPr>
          <w:p w14:paraId="22AAAB9C" w14:textId="77777777" w:rsidR="00677577" w:rsidRPr="00BA4CD6" w:rsidRDefault="00677577" w:rsidP="00BA4CD6">
            <w:pPr>
              <w:spacing w:after="0"/>
              <w:rPr>
                <w:rFonts w:eastAsia="Times New Roman" w:cs="Times New Roman"/>
                <w:color w:val="000000"/>
                <w:sz w:val="20"/>
                <w:szCs w:val="20"/>
                <w:lang w:eastAsia="en-AU"/>
              </w:rPr>
            </w:pPr>
            <w:r w:rsidRPr="00BA4CD6">
              <w:rPr>
                <w:rFonts w:eastAsia="Times New Roman" w:cs="Times New Roman"/>
                <w:color w:val="000000"/>
                <w:sz w:val="20"/>
                <w:szCs w:val="20"/>
                <w:lang w:eastAsia="en-AU"/>
              </w:rPr>
              <w:t>Initiated by FWC / ROC</w:t>
            </w:r>
          </w:p>
        </w:tc>
      </w:tr>
      <w:tr w:rsidR="00BA4CD6" w:rsidRPr="00BA4CD6" w14:paraId="2A5BA044" w14:textId="77777777" w:rsidTr="00BA4CD6">
        <w:trPr>
          <w:trHeight w:val="290"/>
        </w:trPr>
        <w:tc>
          <w:tcPr>
            <w:tcW w:w="1980" w:type="dxa"/>
            <w:tcBorders>
              <w:top w:val="nil"/>
              <w:left w:val="single" w:sz="4" w:space="0" w:color="auto"/>
              <w:bottom w:val="single" w:sz="4" w:space="0" w:color="auto"/>
              <w:right w:val="single" w:sz="4" w:space="0" w:color="auto"/>
            </w:tcBorders>
            <w:noWrap/>
            <w:vAlign w:val="bottom"/>
            <w:hideMark/>
          </w:tcPr>
          <w:p w14:paraId="20B83B38" w14:textId="77777777" w:rsidR="00677577" w:rsidRPr="00BA4CD6" w:rsidRDefault="00677577" w:rsidP="00BA4CD6">
            <w:pPr>
              <w:spacing w:after="0"/>
              <w:rPr>
                <w:rFonts w:eastAsia="Times New Roman" w:cs="Times New Roman"/>
                <w:color w:val="000000"/>
                <w:sz w:val="20"/>
                <w:szCs w:val="20"/>
                <w:lang w:eastAsia="en-AU"/>
              </w:rPr>
            </w:pPr>
            <w:r w:rsidRPr="00BA4CD6">
              <w:rPr>
                <w:rFonts w:eastAsia="Times New Roman" w:cs="Times New Roman"/>
                <w:color w:val="000000"/>
                <w:sz w:val="20"/>
                <w:szCs w:val="20"/>
                <w:lang w:eastAsia="en-AU"/>
              </w:rPr>
              <w:t>Current</w:t>
            </w:r>
          </w:p>
        </w:tc>
        <w:tc>
          <w:tcPr>
            <w:tcW w:w="4678" w:type="dxa"/>
            <w:tcBorders>
              <w:top w:val="nil"/>
              <w:left w:val="nil"/>
              <w:bottom w:val="single" w:sz="4" w:space="0" w:color="auto"/>
              <w:right w:val="single" w:sz="4" w:space="0" w:color="auto"/>
            </w:tcBorders>
            <w:vAlign w:val="center"/>
            <w:hideMark/>
          </w:tcPr>
          <w:p w14:paraId="56C492CF" w14:textId="77777777" w:rsidR="00677577" w:rsidRPr="00BA4CD6" w:rsidRDefault="00677577" w:rsidP="00BA4CD6">
            <w:pPr>
              <w:spacing w:after="0"/>
              <w:rPr>
                <w:rFonts w:eastAsia="Times New Roman" w:cs="Times New Roman"/>
                <w:i/>
                <w:iCs/>
                <w:sz w:val="20"/>
                <w:szCs w:val="20"/>
                <w:lang w:eastAsia="en-AU"/>
              </w:rPr>
            </w:pPr>
            <w:r w:rsidRPr="00BA4CD6">
              <w:rPr>
                <w:rFonts w:eastAsia="Times New Roman" w:cs="Times New Roman"/>
                <w:i/>
                <w:iCs/>
                <w:sz w:val="20"/>
                <w:szCs w:val="20"/>
                <w:lang w:eastAsia="en-AU"/>
              </w:rPr>
              <w:t>General Manager of the Fair Work Commission v Diana Asmar and Others </w:t>
            </w:r>
          </w:p>
        </w:tc>
        <w:tc>
          <w:tcPr>
            <w:tcW w:w="2630" w:type="dxa"/>
            <w:tcBorders>
              <w:top w:val="nil"/>
              <w:left w:val="nil"/>
              <w:bottom w:val="single" w:sz="4" w:space="0" w:color="auto"/>
              <w:right w:val="single" w:sz="4" w:space="0" w:color="auto"/>
            </w:tcBorders>
            <w:shd w:val="clear" w:color="auto" w:fill="F2F2F2"/>
            <w:noWrap/>
            <w:vAlign w:val="bottom"/>
            <w:hideMark/>
          </w:tcPr>
          <w:p w14:paraId="4E40E345" w14:textId="77777777" w:rsidR="00677577" w:rsidRPr="00BA4CD6" w:rsidRDefault="00677577" w:rsidP="00BA4CD6">
            <w:pPr>
              <w:spacing w:after="0"/>
              <w:rPr>
                <w:rFonts w:eastAsia="Times New Roman" w:cs="Times New Roman"/>
                <w:color w:val="000000"/>
                <w:sz w:val="20"/>
                <w:szCs w:val="20"/>
                <w:lang w:eastAsia="en-AU"/>
              </w:rPr>
            </w:pPr>
            <w:r w:rsidRPr="00BA4CD6">
              <w:rPr>
                <w:rFonts w:eastAsia="Times New Roman" w:cs="Times New Roman"/>
                <w:color w:val="000000"/>
                <w:sz w:val="20"/>
                <w:szCs w:val="20"/>
                <w:lang w:eastAsia="en-AU"/>
              </w:rPr>
              <w:t>FWC</w:t>
            </w:r>
          </w:p>
        </w:tc>
      </w:tr>
      <w:tr w:rsidR="00BA4CD6" w:rsidRPr="00BA4CD6" w14:paraId="22A0EB78" w14:textId="77777777" w:rsidTr="00BA4CD6">
        <w:trPr>
          <w:trHeight w:val="580"/>
        </w:trPr>
        <w:tc>
          <w:tcPr>
            <w:tcW w:w="1980" w:type="dxa"/>
            <w:tcBorders>
              <w:top w:val="nil"/>
              <w:left w:val="single" w:sz="4" w:space="0" w:color="auto"/>
              <w:bottom w:val="single" w:sz="4" w:space="0" w:color="auto"/>
              <w:right w:val="single" w:sz="4" w:space="0" w:color="auto"/>
            </w:tcBorders>
            <w:noWrap/>
            <w:vAlign w:val="bottom"/>
            <w:hideMark/>
          </w:tcPr>
          <w:p w14:paraId="18200E26" w14:textId="77777777" w:rsidR="00677577" w:rsidRPr="00BA4CD6" w:rsidRDefault="00677577" w:rsidP="00BA4CD6">
            <w:pPr>
              <w:spacing w:after="0"/>
              <w:rPr>
                <w:rFonts w:eastAsia="Times New Roman" w:cs="Times New Roman"/>
                <w:color w:val="000000"/>
                <w:sz w:val="20"/>
                <w:szCs w:val="20"/>
                <w:lang w:eastAsia="en-AU"/>
              </w:rPr>
            </w:pPr>
            <w:r w:rsidRPr="00BA4CD6">
              <w:rPr>
                <w:rFonts w:eastAsia="Times New Roman" w:cs="Times New Roman"/>
                <w:color w:val="000000"/>
                <w:sz w:val="20"/>
                <w:szCs w:val="20"/>
                <w:lang w:eastAsia="en-AU"/>
              </w:rPr>
              <w:t>Completed</w:t>
            </w:r>
          </w:p>
        </w:tc>
        <w:tc>
          <w:tcPr>
            <w:tcW w:w="4678" w:type="dxa"/>
            <w:tcBorders>
              <w:top w:val="nil"/>
              <w:left w:val="nil"/>
              <w:bottom w:val="single" w:sz="4" w:space="0" w:color="auto"/>
              <w:right w:val="single" w:sz="4" w:space="0" w:color="auto"/>
            </w:tcBorders>
            <w:vAlign w:val="center"/>
            <w:hideMark/>
          </w:tcPr>
          <w:p w14:paraId="20CB792F" w14:textId="77777777" w:rsidR="00677577" w:rsidRPr="00BA4CD6" w:rsidRDefault="00677577" w:rsidP="00BA4CD6">
            <w:pPr>
              <w:spacing w:after="0"/>
              <w:rPr>
                <w:rFonts w:eastAsia="Times New Roman" w:cs="Times New Roman"/>
                <w:sz w:val="20"/>
                <w:szCs w:val="20"/>
                <w:lang w:eastAsia="en-AU"/>
              </w:rPr>
            </w:pPr>
            <w:r w:rsidRPr="00BA4CD6">
              <w:rPr>
                <w:rFonts w:eastAsia="Times New Roman" w:cs="Times New Roman"/>
                <w:i/>
                <w:iCs/>
                <w:sz w:val="20"/>
                <w:szCs w:val="20"/>
                <w:lang w:eastAsia="en-AU"/>
              </w:rPr>
              <w:t>General Manager of the Fair Work Commission v Construction Forestry and Maritime Employees Union &amp; Ors</w:t>
            </w:r>
            <w:r w:rsidRPr="00BA4CD6">
              <w:rPr>
                <w:rFonts w:eastAsia="Times New Roman" w:cs="Times New Roman"/>
                <w:sz w:val="20"/>
                <w:szCs w:val="20"/>
                <w:lang w:eastAsia="en-AU"/>
              </w:rPr>
              <w:t> – commenced 2 August 2024, concluded 4 September 2024</w:t>
            </w:r>
          </w:p>
        </w:tc>
        <w:tc>
          <w:tcPr>
            <w:tcW w:w="2630" w:type="dxa"/>
            <w:tcBorders>
              <w:top w:val="nil"/>
              <w:left w:val="nil"/>
              <w:bottom w:val="single" w:sz="4" w:space="0" w:color="auto"/>
              <w:right w:val="single" w:sz="4" w:space="0" w:color="auto"/>
            </w:tcBorders>
            <w:shd w:val="clear" w:color="auto" w:fill="F2F2F2"/>
            <w:noWrap/>
            <w:vAlign w:val="bottom"/>
            <w:hideMark/>
          </w:tcPr>
          <w:p w14:paraId="38F4CE73" w14:textId="77777777" w:rsidR="00677577" w:rsidRPr="00BA4CD6" w:rsidRDefault="00677577" w:rsidP="00BA4CD6">
            <w:pPr>
              <w:spacing w:after="0"/>
              <w:rPr>
                <w:rFonts w:eastAsia="Times New Roman" w:cs="Times New Roman"/>
                <w:color w:val="000000"/>
                <w:sz w:val="20"/>
                <w:szCs w:val="20"/>
                <w:lang w:eastAsia="en-AU"/>
              </w:rPr>
            </w:pPr>
            <w:r w:rsidRPr="00BA4CD6">
              <w:rPr>
                <w:rFonts w:eastAsia="Times New Roman" w:cs="Times New Roman"/>
                <w:color w:val="000000"/>
                <w:sz w:val="20"/>
                <w:szCs w:val="20"/>
                <w:lang w:eastAsia="en-AU"/>
              </w:rPr>
              <w:t>FWC</w:t>
            </w:r>
          </w:p>
        </w:tc>
      </w:tr>
      <w:tr w:rsidR="00BA4CD6" w:rsidRPr="00BA4CD6" w14:paraId="29FF8DF4" w14:textId="77777777" w:rsidTr="00BA4CD6">
        <w:trPr>
          <w:trHeight w:val="580"/>
        </w:trPr>
        <w:tc>
          <w:tcPr>
            <w:tcW w:w="1980" w:type="dxa"/>
            <w:tcBorders>
              <w:top w:val="nil"/>
              <w:left w:val="single" w:sz="4" w:space="0" w:color="auto"/>
              <w:bottom w:val="single" w:sz="4" w:space="0" w:color="auto"/>
              <w:right w:val="single" w:sz="4" w:space="0" w:color="auto"/>
            </w:tcBorders>
            <w:noWrap/>
            <w:vAlign w:val="bottom"/>
            <w:hideMark/>
          </w:tcPr>
          <w:p w14:paraId="12761E55" w14:textId="77777777" w:rsidR="00677577" w:rsidRPr="00BA4CD6" w:rsidRDefault="00677577" w:rsidP="00BA4CD6">
            <w:pPr>
              <w:spacing w:after="0"/>
              <w:rPr>
                <w:rFonts w:eastAsia="Times New Roman" w:cs="Times New Roman"/>
                <w:color w:val="000000"/>
                <w:sz w:val="20"/>
                <w:szCs w:val="20"/>
                <w:lang w:eastAsia="en-AU"/>
              </w:rPr>
            </w:pPr>
            <w:r w:rsidRPr="00BA4CD6">
              <w:rPr>
                <w:rFonts w:eastAsia="Times New Roman" w:cs="Times New Roman"/>
                <w:color w:val="000000"/>
                <w:sz w:val="20"/>
                <w:szCs w:val="20"/>
                <w:lang w:eastAsia="en-AU"/>
              </w:rPr>
              <w:t>Completed</w:t>
            </w:r>
          </w:p>
        </w:tc>
        <w:tc>
          <w:tcPr>
            <w:tcW w:w="4678" w:type="dxa"/>
            <w:tcBorders>
              <w:top w:val="nil"/>
              <w:left w:val="nil"/>
              <w:bottom w:val="single" w:sz="4" w:space="0" w:color="auto"/>
              <w:right w:val="single" w:sz="4" w:space="0" w:color="auto"/>
            </w:tcBorders>
            <w:vAlign w:val="center"/>
            <w:hideMark/>
          </w:tcPr>
          <w:p w14:paraId="58765E25" w14:textId="77777777" w:rsidR="00677577" w:rsidRPr="00BA4CD6" w:rsidRDefault="00677577" w:rsidP="00BA4CD6">
            <w:pPr>
              <w:spacing w:after="0"/>
              <w:rPr>
                <w:rFonts w:eastAsia="Times New Roman" w:cs="Times New Roman"/>
                <w:sz w:val="20"/>
                <w:szCs w:val="20"/>
                <w:lang w:eastAsia="en-AU"/>
              </w:rPr>
            </w:pPr>
            <w:r w:rsidRPr="00BA4CD6">
              <w:rPr>
                <w:rFonts w:eastAsia="Times New Roman" w:cs="Times New Roman"/>
                <w:i/>
                <w:iCs/>
                <w:sz w:val="20"/>
                <w:szCs w:val="20"/>
                <w:lang w:eastAsia="en-AU"/>
              </w:rPr>
              <w:t>General Manager of the Fair Work Commission v Stephen Smyth [QUD411/2021]</w:t>
            </w:r>
            <w:r w:rsidRPr="00BA4CD6">
              <w:rPr>
                <w:rFonts w:eastAsia="Times New Roman" w:cs="Times New Roman"/>
                <w:sz w:val="20"/>
                <w:szCs w:val="20"/>
                <w:lang w:eastAsia="en-AU"/>
              </w:rPr>
              <w:t xml:space="preserve"> – commenced 30 November 2021; judgment delivered 28 March 2024</w:t>
            </w:r>
          </w:p>
        </w:tc>
        <w:tc>
          <w:tcPr>
            <w:tcW w:w="2630" w:type="dxa"/>
            <w:tcBorders>
              <w:top w:val="nil"/>
              <w:left w:val="nil"/>
              <w:bottom w:val="single" w:sz="4" w:space="0" w:color="auto"/>
              <w:right w:val="single" w:sz="4" w:space="0" w:color="auto"/>
            </w:tcBorders>
            <w:shd w:val="clear" w:color="auto" w:fill="F2F2F2"/>
            <w:noWrap/>
            <w:vAlign w:val="bottom"/>
            <w:hideMark/>
          </w:tcPr>
          <w:p w14:paraId="5006A548" w14:textId="77777777" w:rsidR="00677577" w:rsidRPr="00BA4CD6" w:rsidRDefault="00677577" w:rsidP="00BA4CD6">
            <w:pPr>
              <w:spacing w:after="0"/>
              <w:rPr>
                <w:rFonts w:eastAsia="Times New Roman" w:cs="Times New Roman"/>
                <w:color w:val="000000"/>
                <w:sz w:val="20"/>
                <w:szCs w:val="20"/>
                <w:lang w:eastAsia="en-AU"/>
              </w:rPr>
            </w:pPr>
            <w:r w:rsidRPr="00BA4CD6">
              <w:rPr>
                <w:rFonts w:eastAsia="Times New Roman" w:cs="Times New Roman"/>
                <w:color w:val="000000"/>
                <w:sz w:val="20"/>
                <w:szCs w:val="20"/>
                <w:lang w:eastAsia="en-AU"/>
              </w:rPr>
              <w:t>ROC (commenced between 1 May 2017 &amp; 6 March 2023)</w:t>
            </w:r>
          </w:p>
        </w:tc>
      </w:tr>
      <w:tr w:rsidR="00BA4CD6" w:rsidRPr="00BA4CD6" w14:paraId="57407732" w14:textId="77777777" w:rsidTr="00BA4CD6">
        <w:trPr>
          <w:trHeight w:val="580"/>
        </w:trPr>
        <w:tc>
          <w:tcPr>
            <w:tcW w:w="1980" w:type="dxa"/>
            <w:tcBorders>
              <w:top w:val="nil"/>
              <w:left w:val="single" w:sz="4" w:space="0" w:color="auto"/>
              <w:bottom w:val="single" w:sz="4" w:space="0" w:color="auto"/>
              <w:right w:val="single" w:sz="4" w:space="0" w:color="auto"/>
            </w:tcBorders>
            <w:noWrap/>
            <w:vAlign w:val="bottom"/>
            <w:hideMark/>
          </w:tcPr>
          <w:p w14:paraId="4BF59877" w14:textId="77777777" w:rsidR="00677577" w:rsidRPr="00BA4CD6" w:rsidRDefault="00677577" w:rsidP="00BA4CD6">
            <w:pPr>
              <w:spacing w:after="0"/>
              <w:rPr>
                <w:rFonts w:eastAsia="Times New Roman" w:cs="Times New Roman"/>
                <w:color w:val="000000"/>
                <w:sz w:val="20"/>
                <w:szCs w:val="20"/>
                <w:lang w:eastAsia="en-AU"/>
              </w:rPr>
            </w:pPr>
            <w:r w:rsidRPr="00BA4CD6">
              <w:rPr>
                <w:rFonts w:eastAsia="Times New Roman" w:cs="Times New Roman"/>
                <w:color w:val="000000"/>
                <w:sz w:val="20"/>
                <w:szCs w:val="20"/>
                <w:lang w:eastAsia="en-AU"/>
              </w:rPr>
              <w:t>Completed</w:t>
            </w:r>
          </w:p>
        </w:tc>
        <w:tc>
          <w:tcPr>
            <w:tcW w:w="4678" w:type="dxa"/>
            <w:tcBorders>
              <w:top w:val="nil"/>
              <w:left w:val="nil"/>
              <w:bottom w:val="single" w:sz="4" w:space="0" w:color="auto"/>
              <w:right w:val="single" w:sz="4" w:space="0" w:color="auto"/>
            </w:tcBorders>
            <w:vAlign w:val="center"/>
            <w:hideMark/>
          </w:tcPr>
          <w:p w14:paraId="27E6EA5E" w14:textId="77777777" w:rsidR="00677577" w:rsidRPr="00BA4CD6" w:rsidRDefault="00677577" w:rsidP="00BA4CD6">
            <w:pPr>
              <w:spacing w:after="0"/>
              <w:rPr>
                <w:rFonts w:eastAsia="Times New Roman" w:cs="Times New Roman"/>
                <w:sz w:val="20"/>
                <w:szCs w:val="20"/>
                <w:lang w:eastAsia="en-AU"/>
              </w:rPr>
            </w:pPr>
            <w:r w:rsidRPr="00BA4CD6">
              <w:rPr>
                <w:rFonts w:eastAsia="Times New Roman" w:cs="Times New Roman"/>
                <w:i/>
                <w:iCs/>
                <w:sz w:val="20"/>
                <w:szCs w:val="20"/>
                <w:lang w:eastAsia="en-AU"/>
              </w:rPr>
              <w:t>General Manager of the Fair Work Commission v The Australian Workers’ Union</w:t>
            </w:r>
            <w:r w:rsidRPr="00BA4CD6">
              <w:rPr>
                <w:rFonts w:eastAsia="Times New Roman" w:cs="Times New Roman"/>
                <w:sz w:val="20"/>
                <w:szCs w:val="20"/>
                <w:lang w:eastAsia="en-AU"/>
              </w:rPr>
              <w:t> [NSD992/2022] – commenced 17 November 2022; judgment delivered 21 December 2023</w:t>
            </w:r>
          </w:p>
        </w:tc>
        <w:tc>
          <w:tcPr>
            <w:tcW w:w="2630" w:type="dxa"/>
            <w:tcBorders>
              <w:top w:val="nil"/>
              <w:left w:val="nil"/>
              <w:bottom w:val="single" w:sz="4" w:space="0" w:color="auto"/>
              <w:right w:val="single" w:sz="4" w:space="0" w:color="auto"/>
            </w:tcBorders>
            <w:shd w:val="clear" w:color="auto" w:fill="F2F2F2"/>
            <w:noWrap/>
            <w:vAlign w:val="bottom"/>
            <w:hideMark/>
          </w:tcPr>
          <w:p w14:paraId="60B9E985" w14:textId="77777777" w:rsidR="00677577" w:rsidRPr="00BA4CD6" w:rsidRDefault="00677577" w:rsidP="00BA4CD6">
            <w:pPr>
              <w:spacing w:after="0"/>
              <w:rPr>
                <w:rFonts w:eastAsia="Times New Roman" w:cs="Times New Roman"/>
                <w:color w:val="000000"/>
                <w:sz w:val="20"/>
                <w:szCs w:val="20"/>
                <w:lang w:eastAsia="en-AU"/>
              </w:rPr>
            </w:pPr>
            <w:r w:rsidRPr="00BA4CD6">
              <w:rPr>
                <w:rFonts w:eastAsia="Times New Roman" w:cs="Times New Roman"/>
                <w:color w:val="000000"/>
                <w:sz w:val="20"/>
                <w:szCs w:val="20"/>
                <w:lang w:eastAsia="en-AU"/>
              </w:rPr>
              <w:t>ROC (commenced between 1 May 2017 &amp; 6 March 2023)</w:t>
            </w:r>
          </w:p>
        </w:tc>
      </w:tr>
      <w:tr w:rsidR="00BA4CD6" w:rsidRPr="00BA4CD6" w14:paraId="39093FCD" w14:textId="77777777" w:rsidTr="00BA4CD6">
        <w:trPr>
          <w:trHeight w:val="1150"/>
        </w:trPr>
        <w:tc>
          <w:tcPr>
            <w:tcW w:w="1980" w:type="dxa"/>
            <w:tcBorders>
              <w:top w:val="nil"/>
              <w:left w:val="single" w:sz="4" w:space="0" w:color="auto"/>
              <w:bottom w:val="single" w:sz="4" w:space="0" w:color="auto"/>
              <w:right w:val="single" w:sz="4" w:space="0" w:color="auto"/>
            </w:tcBorders>
            <w:noWrap/>
            <w:vAlign w:val="bottom"/>
            <w:hideMark/>
          </w:tcPr>
          <w:p w14:paraId="5F2997DF" w14:textId="77777777" w:rsidR="00677577" w:rsidRPr="00BA4CD6" w:rsidRDefault="00677577" w:rsidP="00BA4CD6">
            <w:pPr>
              <w:spacing w:after="0"/>
              <w:rPr>
                <w:rFonts w:eastAsia="Times New Roman" w:cs="Times New Roman"/>
                <w:color w:val="000000"/>
                <w:sz w:val="20"/>
                <w:szCs w:val="20"/>
                <w:lang w:eastAsia="en-AU"/>
              </w:rPr>
            </w:pPr>
            <w:r w:rsidRPr="00BA4CD6">
              <w:rPr>
                <w:rFonts w:eastAsia="Times New Roman" w:cs="Times New Roman"/>
                <w:color w:val="000000"/>
                <w:sz w:val="20"/>
                <w:szCs w:val="20"/>
                <w:lang w:eastAsia="en-AU"/>
              </w:rPr>
              <w:t>Completed</w:t>
            </w:r>
          </w:p>
        </w:tc>
        <w:tc>
          <w:tcPr>
            <w:tcW w:w="4678" w:type="dxa"/>
            <w:tcBorders>
              <w:top w:val="nil"/>
              <w:left w:val="nil"/>
              <w:bottom w:val="single" w:sz="4" w:space="0" w:color="auto"/>
              <w:right w:val="single" w:sz="4" w:space="0" w:color="auto"/>
            </w:tcBorders>
            <w:vAlign w:val="center"/>
            <w:hideMark/>
          </w:tcPr>
          <w:p w14:paraId="59B436A1" w14:textId="77777777" w:rsidR="00677577" w:rsidRPr="00BA4CD6" w:rsidRDefault="00677577" w:rsidP="00BA4CD6">
            <w:pPr>
              <w:spacing w:after="0"/>
              <w:rPr>
                <w:rFonts w:eastAsia="Times New Roman" w:cs="Times New Roman"/>
                <w:sz w:val="20"/>
                <w:szCs w:val="20"/>
                <w:lang w:eastAsia="en-AU"/>
              </w:rPr>
            </w:pPr>
            <w:r w:rsidRPr="00BA4CD6">
              <w:rPr>
                <w:rFonts w:eastAsia="Times New Roman" w:cs="Times New Roman"/>
                <w:i/>
                <w:iCs/>
                <w:sz w:val="20"/>
                <w:szCs w:val="20"/>
                <w:lang w:eastAsia="en-AU"/>
              </w:rPr>
              <w:t>Registered Organisations Commissioner v Communications, Electrical, Electronic, Energy, Information, Postal, Plumbing and Allied Services Union of Australia</w:t>
            </w:r>
            <w:r w:rsidRPr="00BA4CD6">
              <w:rPr>
                <w:rFonts w:eastAsia="Times New Roman" w:cs="Times New Roman"/>
                <w:sz w:val="20"/>
                <w:szCs w:val="20"/>
                <w:lang w:eastAsia="en-AU"/>
              </w:rPr>
              <w:t> </w:t>
            </w:r>
            <w:r w:rsidRPr="00BA4CD6">
              <w:rPr>
                <w:rFonts w:eastAsia="Times New Roman" w:cs="Arial"/>
                <w:sz w:val="20"/>
                <w:szCs w:val="20"/>
                <w:lang w:eastAsia="en-AU"/>
              </w:rPr>
              <w:t> [NSD802/2018] – commenced 10 May 2018; judgment delivered 11 February 2020. Appeal: </w:t>
            </w:r>
            <w:r w:rsidRPr="00BA4CD6">
              <w:rPr>
                <w:rFonts w:eastAsia="Times New Roman" w:cs="Times New Roman"/>
                <w:i/>
                <w:iCs/>
                <w:sz w:val="20"/>
                <w:szCs w:val="20"/>
                <w:lang w:eastAsia="en-AU"/>
              </w:rPr>
              <w:t>Communications, Electrical, Electronic, Energy, Information, Postal, Plumbing and Allied Services Union of Australia v Registered Organisations Commissioner</w:t>
            </w:r>
            <w:r w:rsidRPr="00BA4CD6">
              <w:rPr>
                <w:rFonts w:eastAsia="Times New Roman" w:cs="Arial"/>
                <w:i/>
                <w:iCs/>
                <w:sz w:val="20"/>
                <w:szCs w:val="20"/>
                <w:lang w:eastAsia="en-AU"/>
              </w:rPr>
              <w:t> </w:t>
            </w:r>
            <w:r w:rsidRPr="00BA4CD6">
              <w:rPr>
                <w:rFonts w:eastAsia="Times New Roman" w:cs="Arial"/>
                <w:sz w:val="20"/>
                <w:szCs w:val="20"/>
                <w:lang w:eastAsia="en-AU"/>
              </w:rPr>
              <w:t>[NSD338/2020] – commenced 23 March 2020; judgment delivered 22 December 2020</w:t>
            </w:r>
          </w:p>
        </w:tc>
        <w:tc>
          <w:tcPr>
            <w:tcW w:w="2630" w:type="dxa"/>
            <w:tcBorders>
              <w:top w:val="nil"/>
              <w:left w:val="nil"/>
              <w:bottom w:val="single" w:sz="4" w:space="0" w:color="auto"/>
              <w:right w:val="single" w:sz="4" w:space="0" w:color="auto"/>
            </w:tcBorders>
            <w:shd w:val="clear" w:color="auto" w:fill="F2F2F2"/>
            <w:noWrap/>
            <w:vAlign w:val="bottom"/>
            <w:hideMark/>
          </w:tcPr>
          <w:p w14:paraId="71A0988D" w14:textId="77777777" w:rsidR="00677577" w:rsidRPr="00BA4CD6" w:rsidRDefault="00677577" w:rsidP="00BA4CD6">
            <w:pPr>
              <w:spacing w:after="0"/>
              <w:rPr>
                <w:rFonts w:eastAsia="Times New Roman" w:cs="Times New Roman"/>
                <w:color w:val="000000"/>
                <w:sz w:val="20"/>
                <w:szCs w:val="20"/>
                <w:lang w:eastAsia="en-AU"/>
              </w:rPr>
            </w:pPr>
            <w:r w:rsidRPr="00BA4CD6">
              <w:rPr>
                <w:rFonts w:eastAsia="Times New Roman" w:cs="Times New Roman"/>
                <w:color w:val="000000"/>
                <w:sz w:val="20"/>
                <w:szCs w:val="20"/>
                <w:lang w:eastAsia="en-AU"/>
              </w:rPr>
              <w:t>ROC (commenced between 1 May 2017 &amp; 6 March 2023)</w:t>
            </w:r>
          </w:p>
        </w:tc>
      </w:tr>
      <w:tr w:rsidR="00BA4CD6" w:rsidRPr="00BA4CD6" w14:paraId="387DC3B1" w14:textId="77777777" w:rsidTr="00BA4CD6">
        <w:trPr>
          <w:trHeight w:val="870"/>
        </w:trPr>
        <w:tc>
          <w:tcPr>
            <w:tcW w:w="1980" w:type="dxa"/>
            <w:tcBorders>
              <w:top w:val="nil"/>
              <w:left w:val="single" w:sz="4" w:space="0" w:color="auto"/>
              <w:bottom w:val="single" w:sz="4" w:space="0" w:color="auto"/>
              <w:right w:val="single" w:sz="4" w:space="0" w:color="auto"/>
            </w:tcBorders>
            <w:noWrap/>
            <w:vAlign w:val="bottom"/>
            <w:hideMark/>
          </w:tcPr>
          <w:p w14:paraId="32E16893" w14:textId="77777777" w:rsidR="00677577" w:rsidRPr="00BA4CD6" w:rsidRDefault="00677577" w:rsidP="00BA4CD6">
            <w:pPr>
              <w:spacing w:after="0"/>
              <w:rPr>
                <w:rFonts w:eastAsia="Times New Roman" w:cs="Times New Roman"/>
                <w:color w:val="000000"/>
                <w:sz w:val="20"/>
                <w:szCs w:val="20"/>
                <w:lang w:eastAsia="en-AU"/>
              </w:rPr>
            </w:pPr>
            <w:r w:rsidRPr="00BA4CD6">
              <w:rPr>
                <w:rFonts w:eastAsia="Times New Roman" w:cs="Times New Roman"/>
                <w:color w:val="000000"/>
                <w:sz w:val="20"/>
                <w:szCs w:val="20"/>
                <w:lang w:eastAsia="en-AU"/>
              </w:rPr>
              <w:t>Completed</w:t>
            </w:r>
          </w:p>
        </w:tc>
        <w:tc>
          <w:tcPr>
            <w:tcW w:w="4678" w:type="dxa"/>
            <w:tcBorders>
              <w:top w:val="nil"/>
              <w:left w:val="nil"/>
              <w:bottom w:val="single" w:sz="4" w:space="0" w:color="auto"/>
              <w:right w:val="single" w:sz="4" w:space="0" w:color="auto"/>
            </w:tcBorders>
            <w:vAlign w:val="center"/>
            <w:hideMark/>
          </w:tcPr>
          <w:p w14:paraId="0C75A5B9" w14:textId="77777777" w:rsidR="00677577" w:rsidRPr="00BA4CD6" w:rsidRDefault="00677577" w:rsidP="00BA4CD6">
            <w:pPr>
              <w:spacing w:after="0"/>
              <w:rPr>
                <w:rFonts w:eastAsia="Times New Roman" w:cs="Times New Roman"/>
                <w:sz w:val="20"/>
                <w:szCs w:val="20"/>
                <w:lang w:eastAsia="en-AU"/>
              </w:rPr>
            </w:pPr>
            <w:r w:rsidRPr="00BA4CD6">
              <w:rPr>
                <w:rFonts w:eastAsia="Times New Roman" w:cs="Times New Roman"/>
                <w:i/>
                <w:iCs/>
                <w:sz w:val="20"/>
                <w:szCs w:val="20"/>
                <w:lang w:eastAsia="en-AU"/>
              </w:rPr>
              <w:t>Registered Organisations Commissioner v The Australian Workers’ Union &amp; Anor</w:t>
            </w:r>
            <w:r w:rsidRPr="00BA4CD6">
              <w:rPr>
                <w:rFonts w:eastAsia="Times New Roman" w:cs="Times New Roman"/>
                <w:sz w:val="20"/>
                <w:szCs w:val="20"/>
                <w:lang w:eastAsia="en-AU"/>
              </w:rPr>
              <w:t> [VID583/2018] – commenced 16 May 2018; judgment delivered against first respondent on 12 August 2020 and second respondent 12 November 2019 </w:t>
            </w:r>
          </w:p>
        </w:tc>
        <w:tc>
          <w:tcPr>
            <w:tcW w:w="2630" w:type="dxa"/>
            <w:tcBorders>
              <w:top w:val="nil"/>
              <w:left w:val="nil"/>
              <w:bottom w:val="single" w:sz="4" w:space="0" w:color="auto"/>
              <w:right w:val="single" w:sz="4" w:space="0" w:color="auto"/>
            </w:tcBorders>
            <w:shd w:val="clear" w:color="auto" w:fill="F2F2F2"/>
            <w:noWrap/>
            <w:vAlign w:val="bottom"/>
            <w:hideMark/>
          </w:tcPr>
          <w:p w14:paraId="18636747" w14:textId="77777777" w:rsidR="00677577" w:rsidRPr="00BA4CD6" w:rsidRDefault="00677577" w:rsidP="00BA4CD6">
            <w:pPr>
              <w:spacing w:after="0"/>
              <w:rPr>
                <w:rFonts w:eastAsia="Times New Roman" w:cs="Times New Roman"/>
                <w:color w:val="000000"/>
                <w:sz w:val="20"/>
                <w:szCs w:val="20"/>
                <w:lang w:eastAsia="en-AU"/>
              </w:rPr>
            </w:pPr>
            <w:r w:rsidRPr="00BA4CD6">
              <w:rPr>
                <w:rFonts w:eastAsia="Times New Roman" w:cs="Times New Roman"/>
                <w:color w:val="000000"/>
                <w:sz w:val="20"/>
                <w:szCs w:val="20"/>
                <w:lang w:eastAsia="en-AU"/>
              </w:rPr>
              <w:t>ROC (commenced between 1 May 2017 &amp; 6 March 2023)</w:t>
            </w:r>
          </w:p>
        </w:tc>
      </w:tr>
      <w:tr w:rsidR="00BA4CD6" w:rsidRPr="00BA4CD6" w14:paraId="3939A80B" w14:textId="77777777" w:rsidTr="00BA4CD6">
        <w:trPr>
          <w:trHeight w:val="580"/>
        </w:trPr>
        <w:tc>
          <w:tcPr>
            <w:tcW w:w="1980" w:type="dxa"/>
            <w:tcBorders>
              <w:top w:val="nil"/>
              <w:left w:val="single" w:sz="4" w:space="0" w:color="auto"/>
              <w:bottom w:val="single" w:sz="4" w:space="0" w:color="auto"/>
              <w:right w:val="single" w:sz="4" w:space="0" w:color="auto"/>
            </w:tcBorders>
            <w:noWrap/>
            <w:vAlign w:val="bottom"/>
            <w:hideMark/>
          </w:tcPr>
          <w:p w14:paraId="4BC94048" w14:textId="77777777" w:rsidR="00677577" w:rsidRPr="00BA4CD6" w:rsidRDefault="00677577" w:rsidP="00BA4CD6">
            <w:pPr>
              <w:spacing w:after="0"/>
              <w:rPr>
                <w:rFonts w:eastAsia="Times New Roman" w:cs="Times New Roman"/>
                <w:color w:val="000000"/>
                <w:sz w:val="20"/>
                <w:szCs w:val="20"/>
                <w:lang w:eastAsia="en-AU"/>
              </w:rPr>
            </w:pPr>
            <w:r w:rsidRPr="00BA4CD6">
              <w:rPr>
                <w:rFonts w:eastAsia="Times New Roman" w:cs="Times New Roman"/>
                <w:color w:val="000000"/>
                <w:sz w:val="20"/>
                <w:szCs w:val="20"/>
                <w:lang w:eastAsia="en-AU"/>
              </w:rPr>
              <w:t>Completed</w:t>
            </w:r>
          </w:p>
        </w:tc>
        <w:tc>
          <w:tcPr>
            <w:tcW w:w="4678" w:type="dxa"/>
            <w:tcBorders>
              <w:top w:val="nil"/>
              <w:left w:val="nil"/>
              <w:bottom w:val="single" w:sz="4" w:space="0" w:color="auto"/>
              <w:right w:val="single" w:sz="4" w:space="0" w:color="auto"/>
            </w:tcBorders>
            <w:vAlign w:val="center"/>
            <w:hideMark/>
          </w:tcPr>
          <w:p w14:paraId="02B3E1FA" w14:textId="77777777" w:rsidR="00677577" w:rsidRPr="00BA4CD6" w:rsidRDefault="00677577" w:rsidP="00BA4CD6">
            <w:pPr>
              <w:spacing w:after="0"/>
              <w:rPr>
                <w:rFonts w:eastAsia="Times New Roman" w:cs="Times New Roman"/>
                <w:sz w:val="20"/>
                <w:szCs w:val="20"/>
                <w:lang w:eastAsia="en-AU"/>
              </w:rPr>
            </w:pPr>
            <w:r w:rsidRPr="00BA4CD6">
              <w:rPr>
                <w:rFonts w:eastAsia="Times New Roman" w:cs="Times New Roman"/>
                <w:i/>
                <w:iCs/>
                <w:sz w:val="20"/>
                <w:szCs w:val="20"/>
                <w:lang w:eastAsia="en-AU"/>
              </w:rPr>
              <w:t>Registered Organisations Commissioner v Australian Hotels Association</w:t>
            </w:r>
            <w:r w:rsidRPr="00BA4CD6">
              <w:rPr>
                <w:rFonts w:eastAsia="Times New Roman" w:cs="Times New Roman"/>
                <w:sz w:val="20"/>
                <w:szCs w:val="20"/>
                <w:lang w:eastAsia="en-AU"/>
              </w:rPr>
              <w:t> [VIC1442/2018] – commenced 13 November 2018; judgment delivered 17 September 2019 </w:t>
            </w:r>
          </w:p>
        </w:tc>
        <w:tc>
          <w:tcPr>
            <w:tcW w:w="2630" w:type="dxa"/>
            <w:tcBorders>
              <w:top w:val="nil"/>
              <w:left w:val="nil"/>
              <w:bottom w:val="single" w:sz="4" w:space="0" w:color="auto"/>
              <w:right w:val="single" w:sz="4" w:space="0" w:color="auto"/>
            </w:tcBorders>
            <w:shd w:val="clear" w:color="auto" w:fill="F2F2F2"/>
            <w:noWrap/>
            <w:vAlign w:val="bottom"/>
            <w:hideMark/>
          </w:tcPr>
          <w:p w14:paraId="49F0E2CD" w14:textId="77777777" w:rsidR="00677577" w:rsidRPr="00BA4CD6" w:rsidRDefault="00677577" w:rsidP="00BA4CD6">
            <w:pPr>
              <w:spacing w:after="0"/>
              <w:rPr>
                <w:rFonts w:eastAsia="Times New Roman" w:cs="Times New Roman"/>
                <w:color w:val="000000"/>
                <w:sz w:val="20"/>
                <w:szCs w:val="20"/>
                <w:lang w:eastAsia="en-AU"/>
              </w:rPr>
            </w:pPr>
            <w:r w:rsidRPr="00BA4CD6">
              <w:rPr>
                <w:rFonts w:eastAsia="Times New Roman" w:cs="Times New Roman"/>
                <w:color w:val="000000"/>
                <w:sz w:val="20"/>
                <w:szCs w:val="20"/>
                <w:lang w:eastAsia="en-AU"/>
              </w:rPr>
              <w:t>ROC (commenced between 1 May 2017 &amp; 6 March 2023)</w:t>
            </w:r>
          </w:p>
        </w:tc>
      </w:tr>
      <w:tr w:rsidR="00BA4CD6" w:rsidRPr="00BA4CD6" w14:paraId="3975462C" w14:textId="77777777" w:rsidTr="00BA4CD6">
        <w:trPr>
          <w:trHeight w:val="870"/>
        </w:trPr>
        <w:tc>
          <w:tcPr>
            <w:tcW w:w="1980" w:type="dxa"/>
            <w:tcBorders>
              <w:top w:val="nil"/>
              <w:left w:val="single" w:sz="4" w:space="0" w:color="auto"/>
              <w:bottom w:val="single" w:sz="4" w:space="0" w:color="auto"/>
              <w:right w:val="single" w:sz="4" w:space="0" w:color="auto"/>
            </w:tcBorders>
            <w:noWrap/>
            <w:vAlign w:val="bottom"/>
            <w:hideMark/>
          </w:tcPr>
          <w:p w14:paraId="73F0891B" w14:textId="77777777" w:rsidR="00677577" w:rsidRPr="00BA4CD6" w:rsidRDefault="00677577" w:rsidP="00BA4CD6">
            <w:pPr>
              <w:spacing w:after="0"/>
              <w:rPr>
                <w:rFonts w:eastAsia="Times New Roman" w:cs="Times New Roman"/>
                <w:color w:val="000000"/>
                <w:sz w:val="20"/>
                <w:szCs w:val="20"/>
                <w:lang w:eastAsia="en-AU"/>
              </w:rPr>
            </w:pPr>
            <w:r w:rsidRPr="00BA4CD6">
              <w:rPr>
                <w:rFonts w:eastAsia="Times New Roman" w:cs="Times New Roman"/>
                <w:color w:val="000000"/>
                <w:sz w:val="20"/>
                <w:szCs w:val="20"/>
                <w:lang w:eastAsia="en-AU"/>
              </w:rPr>
              <w:t>Completed</w:t>
            </w:r>
          </w:p>
        </w:tc>
        <w:tc>
          <w:tcPr>
            <w:tcW w:w="4678" w:type="dxa"/>
            <w:tcBorders>
              <w:top w:val="nil"/>
              <w:left w:val="nil"/>
              <w:bottom w:val="single" w:sz="4" w:space="0" w:color="auto"/>
              <w:right w:val="single" w:sz="4" w:space="0" w:color="auto"/>
            </w:tcBorders>
            <w:vAlign w:val="center"/>
            <w:hideMark/>
          </w:tcPr>
          <w:p w14:paraId="6DC8CC37" w14:textId="77777777" w:rsidR="00677577" w:rsidRPr="00BA4CD6" w:rsidRDefault="00677577" w:rsidP="00BA4CD6">
            <w:pPr>
              <w:spacing w:after="0"/>
              <w:rPr>
                <w:rFonts w:eastAsia="Times New Roman" w:cs="Times New Roman"/>
                <w:sz w:val="20"/>
                <w:szCs w:val="20"/>
                <w:lang w:eastAsia="en-AU"/>
              </w:rPr>
            </w:pPr>
            <w:r w:rsidRPr="00BA4CD6">
              <w:rPr>
                <w:rFonts w:eastAsia="Times New Roman" w:cs="Times New Roman"/>
                <w:i/>
                <w:iCs/>
                <w:sz w:val="20"/>
                <w:szCs w:val="20"/>
                <w:lang w:eastAsia="en-AU"/>
              </w:rPr>
              <w:t>Registered Organisations Commissioner v Australian Nursing and Midwifery Federation &amp; Anor</w:t>
            </w:r>
            <w:r w:rsidRPr="00BA4CD6">
              <w:rPr>
                <w:rFonts w:eastAsia="Times New Roman" w:cs="Times New Roman"/>
                <w:sz w:val="20"/>
                <w:szCs w:val="20"/>
                <w:lang w:eastAsia="en-AU"/>
              </w:rPr>
              <w:t> [WAD470/2015] – commenced 21 August 2015; judgment delivered on liability on 13 November 2018 and penalty on 14 December 2018 </w:t>
            </w:r>
          </w:p>
        </w:tc>
        <w:tc>
          <w:tcPr>
            <w:tcW w:w="2630" w:type="dxa"/>
            <w:tcBorders>
              <w:top w:val="nil"/>
              <w:left w:val="nil"/>
              <w:bottom w:val="single" w:sz="4" w:space="0" w:color="auto"/>
              <w:right w:val="single" w:sz="4" w:space="0" w:color="auto"/>
            </w:tcBorders>
            <w:shd w:val="clear" w:color="auto" w:fill="F2F2F2"/>
            <w:noWrap/>
            <w:vAlign w:val="bottom"/>
            <w:hideMark/>
          </w:tcPr>
          <w:p w14:paraId="4B4F3A1D" w14:textId="77777777" w:rsidR="00677577" w:rsidRPr="00BA4CD6" w:rsidRDefault="00677577" w:rsidP="00BA4CD6">
            <w:pPr>
              <w:spacing w:after="0"/>
              <w:rPr>
                <w:rFonts w:eastAsia="Times New Roman" w:cs="Times New Roman"/>
                <w:color w:val="000000"/>
                <w:sz w:val="20"/>
                <w:szCs w:val="20"/>
                <w:lang w:eastAsia="en-AU"/>
              </w:rPr>
            </w:pPr>
            <w:r w:rsidRPr="00BA4CD6">
              <w:rPr>
                <w:rFonts w:eastAsia="Times New Roman" w:cs="Times New Roman"/>
                <w:color w:val="000000"/>
                <w:sz w:val="20"/>
                <w:szCs w:val="20"/>
                <w:lang w:eastAsia="en-AU"/>
              </w:rPr>
              <w:t>FWC</w:t>
            </w:r>
          </w:p>
        </w:tc>
      </w:tr>
      <w:tr w:rsidR="00BA4CD6" w:rsidRPr="00BA4CD6" w14:paraId="12A7F1EF" w14:textId="77777777" w:rsidTr="00BA4CD6">
        <w:trPr>
          <w:trHeight w:val="690"/>
        </w:trPr>
        <w:tc>
          <w:tcPr>
            <w:tcW w:w="1980" w:type="dxa"/>
            <w:tcBorders>
              <w:top w:val="nil"/>
              <w:left w:val="single" w:sz="4" w:space="0" w:color="auto"/>
              <w:bottom w:val="single" w:sz="4" w:space="0" w:color="auto"/>
              <w:right w:val="single" w:sz="4" w:space="0" w:color="auto"/>
            </w:tcBorders>
            <w:noWrap/>
            <w:vAlign w:val="bottom"/>
            <w:hideMark/>
          </w:tcPr>
          <w:p w14:paraId="6311E571" w14:textId="77777777" w:rsidR="00677577" w:rsidRPr="00BA4CD6" w:rsidRDefault="00677577" w:rsidP="00BA4CD6">
            <w:pPr>
              <w:spacing w:after="0"/>
              <w:rPr>
                <w:rFonts w:eastAsia="Times New Roman" w:cs="Times New Roman"/>
                <w:color w:val="000000"/>
                <w:sz w:val="20"/>
                <w:szCs w:val="20"/>
                <w:lang w:eastAsia="en-AU"/>
              </w:rPr>
            </w:pPr>
            <w:r w:rsidRPr="00BA4CD6">
              <w:rPr>
                <w:rFonts w:eastAsia="Times New Roman" w:cs="Times New Roman"/>
                <w:color w:val="000000"/>
                <w:sz w:val="20"/>
                <w:szCs w:val="20"/>
                <w:lang w:eastAsia="en-AU"/>
              </w:rPr>
              <w:t>Completed</w:t>
            </w:r>
          </w:p>
        </w:tc>
        <w:tc>
          <w:tcPr>
            <w:tcW w:w="4678" w:type="dxa"/>
            <w:tcBorders>
              <w:top w:val="nil"/>
              <w:left w:val="nil"/>
              <w:bottom w:val="single" w:sz="4" w:space="0" w:color="auto"/>
              <w:right w:val="single" w:sz="4" w:space="0" w:color="auto"/>
            </w:tcBorders>
            <w:vAlign w:val="center"/>
            <w:hideMark/>
          </w:tcPr>
          <w:p w14:paraId="409C09A0" w14:textId="77777777" w:rsidR="00677577" w:rsidRPr="00BA4CD6" w:rsidRDefault="00677577" w:rsidP="00BA4CD6">
            <w:pPr>
              <w:spacing w:after="0"/>
              <w:rPr>
                <w:rFonts w:eastAsia="Times New Roman" w:cs="Times New Roman"/>
                <w:sz w:val="20"/>
                <w:szCs w:val="20"/>
                <w:lang w:eastAsia="en-AU"/>
              </w:rPr>
            </w:pPr>
            <w:r w:rsidRPr="00BA4CD6">
              <w:rPr>
                <w:rFonts w:eastAsia="Times New Roman" w:cs="Times New Roman"/>
                <w:i/>
                <w:iCs/>
                <w:sz w:val="20"/>
                <w:szCs w:val="20"/>
                <w:lang w:eastAsia="en-AU"/>
              </w:rPr>
              <w:t>Registered Organisations Commissioner v Transport Workers Union</w:t>
            </w:r>
            <w:r w:rsidRPr="00BA4CD6">
              <w:rPr>
                <w:rFonts w:eastAsia="Times New Roman" w:cs="Arial"/>
                <w:sz w:val="20"/>
                <w:szCs w:val="20"/>
                <w:lang w:eastAsia="en-AU"/>
              </w:rPr>
              <w:t> [NSD2041/2016] – commenced 25 November 2016; judgment delivered 2 February 2018. Appeal: </w:t>
            </w:r>
            <w:r w:rsidRPr="00BA4CD6">
              <w:rPr>
                <w:rFonts w:eastAsia="Times New Roman" w:cs="Times New Roman"/>
                <w:i/>
                <w:iCs/>
                <w:sz w:val="20"/>
                <w:szCs w:val="20"/>
                <w:lang w:eastAsia="en-AU"/>
              </w:rPr>
              <w:t>Transport Workers Union of Australia v Registered Organisations Commissioner</w:t>
            </w:r>
            <w:r w:rsidRPr="00BA4CD6">
              <w:rPr>
                <w:rFonts w:eastAsia="Times New Roman" w:cs="Times New Roman"/>
                <w:sz w:val="20"/>
                <w:szCs w:val="20"/>
                <w:lang w:eastAsia="en-AU"/>
              </w:rPr>
              <w:t> </w:t>
            </w:r>
            <w:r w:rsidRPr="00BA4CD6">
              <w:rPr>
                <w:rFonts w:eastAsia="Times New Roman" w:cs="Arial"/>
                <w:sz w:val="20"/>
                <w:szCs w:val="20"/>
                <w:lang w:eastAsia="en-AU"/>
              </w:rPr>
              <w:t>[NSD232/2018] – judgment delivered 21 November 2018</w:t>
            </w:r>
          </w:p>
        </w:tc>
        <w:tc>
          <w:tcPr>
            <w:tcW w:w="2630" w:type="dxa"/>
            <w:tcBorders>
              <w:top w:val="nil"/>
              <w:left w:val="nil"/>
              <w:bottom w:val="single" w:sz="4" w:space="0" w:color="auto"/>
              <w:right w:val="single" w:sz="4" w:space="0" w:color="auto"/>
            </w:tcBorders>
            <w:shd w:val="clear" w:color="auto" w:fill="F2F2F2"/>
            <w:noWrap/>
            <w:vAlign w:val="bottom"/>
            <w:hideMark/>
          </w:tcPr>
          <w:p w14:paraId="3D2A1658" w14:textId="77777777" w:rsidR="00677577" w:rsidRPr="00BA4CD6" w:rsidRDefault="00677577" w:rsidP="00BA4CD6">
            <w:pPr>
              <w:spacing w:after="0"/>
              <w:rPr>
                <w:rFonts w:eastAsia="Times New Roman" w:cs="Times New Roman"/>
                <w:color w:val="000000"/>
                <w:sz w:val="20"/>
                <w:szCs w:val="20"/>
                <w:lang w:eastAsia="en-AU"/>
              </w:rPr>
            </w:pPr>
            <w:r w:rsidRPr="00BA4CD6">
              <w:rPr>
                <w:rFonts w:eastAsia="Times New Roman" w:cs="Times New Roman"/>
                <w:color w:val="000000"/>
                <w:sz w:val="20"/>
                <w:szCs w:val="20"/>
                <w:lang w:eastAsia="en-AU"/>
              </w:rPr>
              <w:t>FWC</w:t>
            </w:r>
          </w:p>
        </w:tc>
      </w:tr>
      <w:tr w:rsidR="00BA4CD6" w:rsidRPr="00BA4CD6" w14:paraId="30914FF3" w14:textId="77777777" w:rsidTr="00BA4CD6">
        <w:trPr>
          <w:trHeight w:val="580"/>
        </w:trPr>
        <w:tc>
          <w:tcPr>
            <w:tcW w:w="1980" w:type="dxa"/>
            <w:tcBorders>
              <w:top w:val="nil"/>
              <w:left w:val="single" w:sz="4" w:space="0" w:color="auto"/>
              <w:bottom w:val="single" w:sz="4" w:space="0" w:color="auto"/>
              <w:right w:val="single" w:sz="4" w:space="0" w:color="auto"/>
            </w:tcBorders>
            <w:noWrap/>
            <w:vAlign w:val="bottom"/>
            <w:hideMark/>
          </w:tcPr>
          <w:p w14:paraId="4FF907A2" w14:textId="77777777" w:rsidR="00677577" w:rsidRPr="00BA4CD6" w:rsidRDefault="00677577" w:rsidP="00BA4CD6">
            <w:pPr>
              <w:spacing w:after="0"/>
              <w:rPr>
                <w:rFonts w:eastAsia="Times New Roman" w:cs="Times New Roman"/>
                <w:color w:val="000000"/>
                <w:sz w:val="20"/>
                <w:szCs w:val="20"/>
                <w:lang w:eastAsia="en-AU"/>
              </w:rPr>
            </w:pPr>
            <w:r w:rsidRPr="00BA4CD6">
              <w:rPr>
                <w:rFonts w:eastAsia="Times New Roman" w:cs="Times New Roman"/>
                <w:color w:val="000000"/>
                <w:sz w:val="20"/>
                <w:szCs w:val="20"/>
                <w:lang w:eastAsia="en-AU"/>
              </w:rPr>
              <w:t>Completed</w:t>
            </w:r>
          </w:p>
        </w:tc>
        <w:tc>
          <w:tcPr>
            <w:tcW w:w="4678" w:type="dxa"/>
            <w:tcBorders>
              <w:top w:val="nil"/>
              <w:left w:val="nil"/>
              <w:bottom w:val="single" w:sz="4" w:space="0" w:color="auto"/>
              <w:right w:val="single" w:sz="4" w:space="0" w:color="auto"/>
            </w:tcBorders>
            <w:vAlign w:val="center"/>
            <w:hideMark/>
          </w:tcPr>
          <w:p w14:paraId="1FA6B954" w14:textId="77777777" w:rsidR="00677577" w:rsidRPr="00BA4CD6" w:rsidRDefault="00677577" w:rsidP="00BA4CD6">
            <w:pPr>
              <w:spacing w:after="0"/>
              <w:rPr>
                <w:rFonts w:eastAsia="Times New Roman" w:cs="Times New Roman"/>
                <w:sz w:val="20"/>
                <w:szCs w:val="20"/>
                <w:lang w:eastAsia="en-AU"/>
              </w:rPr>
            </w:pPr>
            <w:r w:rsidRPr="00BA4CD6">
              <w:rPr>
                <w:rFonts w:eastAsia="Times New Roman" w:cs="Times New Roman"/>
                <w:i/>
                <w:iCs/>
                <w:sz w:val="20"/>
                <w:szCs w:val="20"/>
                <w:lang w:eastAsia="en-AU"/>
              </w:rPr>
              <w:t>Registered Organisations Commissioner v Michael Mijatov </w:t>
            </w:r>
            <w:r w:rsidRPr="00BA4CD6">
              <w:rPr>
                <w:rFonts w:eastAsia="Times New Roman" w:cs="Times New Roman"/>
                <w:sz w:val="20"/>
                <w:szCs w:val="20"/>
                <w:lang w:eastAsia="en-AU"/>
              </w:rPr>
              <w:t>[NSD2181/2016] – commenced 19 December 2016 and concluded on 22 June 2018 </w:t>
            </w:r>
          </w:p>
        </w:tc>
        <w:tc>
          <w:tcPr>
            <w:tcW w:w="2630" w:type="dxa"/>
            <w:tcBorders>
              <w:top w:val="nil"/>
              <w:left w:val="nil"/>
              <w:bottom w:val="single" w:sz="4" w:space="0" w:color="auto"/>
              <w:right w:val="single" w:sz="4" w:space="0" w:color="auto"/>
            </w:tcBorders>
            <w:shd w:val="clear" w:color="auto" w:fill="F2F2F2"/>
            <w:noWrap/>
            <w:vAlign w:val="bottom"/>
            <w:hideMark/>
          </w:tcPr>
          <w:p w14:paraId="5A209F6F" w14:textId="77777777" w:rsidR="00677577" w:rsidRPr="00BA4CD6" w:rsidRDefault="00677577" w:rsidP="00BA4CD6">
            <w:pPr>
              <w:spacing w:after="0"/>
              <w:rPr>
                <w:rFonts w:eastAsia="Times New Roman" w:cs="Times New Roman"/>
                <w:color w:val="000000"/>
                <w:sz w:val="20"/>
                <w:szCs w:val="20"/>
                <w:lang w:eastAsia="en-AU"/>
              </w:rPr>
            </w:pPr>
            <w:r w:rsidRPr="00BA4CD6">
              <w:rPr>
                <w:rFonts w:eastAsia="Times New Roman" w:cs="Times New Roman"/>
                <w:color w:val="000000"/>
                <w:sz w:val="20"/>
                <w:szCs w:val="20"/>
                <w:lang w:eastAsia="en-AU"/>
              </w:rPr>
              <w:t>FWC</w:t>
            </w:r>
          </w:p>
        </w:tc>
      </w:tr>
      <w:tr w:rsidR="00BA4CD6" w:rsidRPr="00BA4CD6" w14:paraId="6E4F38A4" w14:textId="77777777" w:rsidTr="00BA4CD6">
        <w:trPr>
          <w:trHeight w:val="580"/>
        </w:trPr>
        <w:tc>
          <w:tcPr>
            <w:tcW w:w="1980" w:type="dxa"/>
            <w:tcBorders>
              <w:top w:val="nil"/>
              <w:left w:val="single" w:sz="4" w:space="0" w:color="auto"/>
              <w:bottom w:val="single" w:sz="4" w:space="0" w:color="auto"/>
              <w:right w:val="single" w:sz="4" w:space="0" w:color="auto"/>
            </w:tcBorders>
            <w:noWrap/>
            <w:vAlign w:val="bottom"/>
            <w:hideMark/>
          </w:tcPr>
          <w:p w14:paraId="51B4E2F6" w14:textId="77777777" w:rsidR="00677577" w:rsidRPr="00BA4CD6" w:rsidRDefault="00677577" w:rsidP="00BA4CD6">
            <w:pPr>
              <w:spacing w:after="0"/>
              <w:rPr>
                <w:rFonts w:eastAsia="Times New Roman" w:cs="Times New Roman"/>
                <w:color w:val="000000"/>
                <w:sz w:val="20"/>
                <w:szCs w:val="20"/>
                <w:lang w:eastAsia="en-AU"/>
              </w:rPr>
            </w:pPr>
            <w:r w:rsidRPr="00BA4CD6">
              <w:rPr>
                <w:rFonts w:eastAsia="Times New Roman" w:cs="Times New Roman"/>
                <w:color w:val="000000"/>
                <w:sz w:val="20"/>
                <w:szCs w:val="20"/>
                <w:lang w:eastAsia="en-AU"/>
              </w:rPr>
              <w:t>Completed</w:t>
            </w:r>
          </w:p>
        </w:tc>
        <w:tc>
          <w:tcPr>
            <w:tcW w:w="4678" w:type="dxa"/>
            <w:tcBorders>
              <w:top w:val="nil"/>
              <w:left w:val="nil"/>
              <w:bottom w:val="single" w:sz="4" w:space="0" w:color="auto"/>
              <w:right w:val="single" w:sz="4" w:space="0" w:color="auto"/>
            </w:tcBorders>
            <w:vAlign w:val="center"/>
            <w:hideMark/>
          </w:tcPr>
          <w:p w14:paraId="2373CE5C" w14:textId="77777777" w:rsidR="00677577" w:rsidRPr="00BA4CD6" w:rsidRDefault="00677577" w:rsidP="00BA4CD6">
            <w:pPr>
              <w:spacing w:after="0"/>
              <w:rPr>
                <w:rFonts w:eastAsia="Times New Roman" w:cs="Times New Roman"/>
                <w:sz w:val="20"/>
                <w:szCs w:val="20"/>
                <w:lang w:eastAsia="en-AU"/>
              </w:rPr>
            </w:pPr>
            <w:r w:rsidRPr="00BA4CD6">
              <w:rPr>
                <w:rFonts w:eastAsia="Times New Roman" w:cs="Times New Roman"/>
                <w:i/>
                <w:iCs/>
                <w:sz w:val="20"/>
                <w:szCs w:val="20"/>
                <w:lang w:eastAsia="en-AU"/>
              </w:rPr>
              <w:t>General Manager of the Fair Work Commission v James McGiveron and Richard Burton</w:t>
            </w:r>
            <w:r w:rsidRPr="00BA4CD6">
              <w:rPr>
                <w:rFonts w:eastAsia="Times New Roman" w:cs="Times New Roman"/>
                <w:sz w:val="20"/>
                <w:szCs w:val="20"/>
                <w:lang w:eastAsia="en-AU"/>
              </w:rPr>
              <w:t> [WAD 363 of 2016] – commenced on 8 August 2016 and concluded on 21 April 2017</w:t>
            </w:r>
          </w:p>
        </w:tc>
        <w:tc>
          <w:tcPr>
            <w:tcW w:w="2630" w:type="dxa"/>
            <w:tcBorders>
              <w:top w:val="nil"/>
              <w:left w:val="nil"/>
              <w:bottom w:val="single" w:sz="4" w:space="0" w:color="auto"/>
              <w:right w:val="single" w:sz="4" w:space="0" w:color="auto"/>
            </w:tcBorders>
            <w:shd w:val="clear" w:color="auto" w:fill="F2F2F2"/>
            <w:noWrap/>
            <w:vAlign w:val="bottom"/>
            <w:hideMark/>
          </w:tcPr>
          <w:p w14:paraId="2CC074D7" w14:textId="77777777" w:rsidR="00677577" w:rsidRPr="00BA4CD6" w:rsidRDefault="00677577" w:rsidP="00BA4CD6">
            <w:pPr>
              <w:spacing w:after="0"/>
              <w:rPr>
                <w:rFonts w:eastAsia="Times New Roman" w:cs="Times New Roman"/>
                <w:color w:val="000000"/>
                <w:sz w:val="20"/>
                <w:szCs w:val="20"/>
                <w:lang w:eastAsia="en-AU"/>
              </w:rPr>
            </w:pPr>
            <w:r w:rsidRPr="00BA4CD6">
              <w:rPr>
                <w:rFonts w:eastAsia="Times New Roman" w:cs="Times New Roman"/>
                <w:color w:val="000000"/>
                <w:sz w:val="20"/>
                <w:szCs w:val="20"/>
                <w:lang w:eastAsia="en-AU"/>
              </w:rPr>
              <w:t>FWC</w:t>
            </w:r>
          </w:p>
        </w:tc>
      </w:tr>
      <w:tr w:rsidR="00BA4CD6" w:rsidRPr="00BA4CD6" w14:paraId="4021B434" w14:textId="77777777" w:rsidTr="00BA4CD6">
        <w:trPr>
          <w:trHeight w:val="580"/>
        </w:trPr>
        <w:tc>
          <w:tcPr>
            <w:tcW w:w="1980" w:type="dxa"/>
            <w:tcBorders>
              <w:top w:val="nil"/>
              <w:left w:val="single" w:sz="4" w:space="0" w:color="auto"/>
              <w:bottom w:val="single" w:sz="4" w:space="0" w:color="auto"/>
              <w:right w:val="single" w:sz="4" w:space="0" w:color="auto"/>
            </w:tcBorders>
            <w:noWrap/>
            <w:vAlign w:val="bottom"/>
            <w:hideMark/>
          </w:tcPr>
          <w:p w14:paraId="703CD1ED" w14:textId="77777777" w:rsidR="00677577" w:rsidRPr="00BA4CD6" w:rsidRDefault="00677577" w:rsidP="00BA4CD6">
            <w:pPr>
              <w:spacing w:after="0"/>
              <w:rPr>
                <w:rFonts w:eastAsia="Times New Roman" w:cs="Times New Roman"/>
                <w:color w:val="000000"/>
                <w:sz w:val="20"/>
                <w:szCs w:val="20"/>
                <w:lang w:eastAsia="en-AU"/>
              </w:rPr>
            </w:pPr>
            <w:r w:rsidRPr="00BA4CD6">
              <w:rPr>
                <w:rFonts w:eastAsia="Times New Roman" w:cs="Times New Roman"/>
                <w:color w:val="000000"/>
                <w:sz w:val="20"/>
                <w:szCs w:val="20"/>
                <w:lang w:eastAsia="en-AU"/>
              </w:rPr>
              <w:t>Completed</w:t>
            </w:r>
          </w:p>
        </w:tc>
        <w:tc>
          <w:tcPr>
            <w:tcW w:w="4678" w:type="dxa"/>
            <w:tcBorders>
              <w:top w:val="nil"/>
              <w:left w:val="nil"/>
              <w:bottom w:val="single" w:sz="4" w:space="0" w:color="auto"/>
              <w:right w:val="single" w:sz="4" w:space="0" w:color="auto"/>
            </w:tcBorders>
            <w:vAlign w:val="center"/>
            <w:hideMark/>
          </w:tcPr>
          <w:p w14:paraId="684E7618" w14:textId="77777777" w:rsidR="00677577" w:rsidRPr="00BA4CD6" w:rsidRDefault="00677577" w:rsidP="00BA4CD6">
            <w:pPr>
              <w:spacing w:after="0"/>
              <w:rPr>
                <w:rFonts w:eastAsia="Times New Roman" w:cs="Times New Roman"/>
                <w:sz w:val="20"/>
                <w:szCs w:val="20"/>
                <w:lang w:eastAsia="en-AU"/>
              </w:rPr>
            </w:pPr>
            <w:r w:rsidRPr="00BA4CD6">
              <w:rPr>
                <w:rFonts w:eastAsia="Times New Roman" w:cs="Times New Roman"/>
                <w:i/>
                <w:iCs/>
                <w:sz w:val="20"/>
                <w:szCs w:val="20"/>
                <w:lang w:eastAsia="en-AU"/>
              </w:rPr>
              <w:t>General Manager of Fair Work Australia v Musicians’ Union of Australia &amp; Anor </w:t>
            </w:r>
            <w:r w:rsidRPr="00BA4CD6">
              <w:rPr>
                <w:rFonts w:eastAsia="Times New Roman" w:cs="Times New Roman"/>
                <w:sz w:val="20"/>
                <w:szCs w:val="20"/>
                <w:lang w:eastAsia="en-AU"/>
              </w:rPr>
              <w:t>[VID620/2014] – commenced 21 October 2014 and concluded on 30 March 2016</w:t>
            </w:r>
          </w:p>
        </w:tc>
        <w:tc>
          <w:tcPr>
            <w:tcW w:w="2630" w:type="dxa"/>
            <w:tcBorders>
              <w:top w:val="nil"/>
              <w:left w:val="nil"/>
              <w:bottom w:val="single" w:sz="4" w:space="0" w:color="auto"/>
              <w:right w:val="single" w:sz="4" w:space="0" w:color="auto"/>
            </w:tcBorders>
            <w:shd w:val="clear" w:color="auto" w:fill="F2F2F2"/>
            <w:noWrap/>
            <w:vAlign w:val="bottom"/>
            <w:hideMark/>
          </w:tcPr>
          <w:p w14:paraId="25156072" w14:textId="77777777" w:rsidR="00677577" w:rsidRPr="00BA4CD6" w:rsidRDefault="00677577" w:rsidP="00BA4CD6">
            <w:pPr>
              <w:spacing w:after="0"/>
              <w:rPr>
                <w:rFonts w:eastAsia="Times New Roman" w:cs="Times New Roman"/>
                <w:color w:val="000000"/>
                <w:sz w:val="20"/>
                <w:szCs w:val="20"/>
                <w:lang w:eastAsia="en-AU"/>
              </w:rPr>
            </w:pPr>
            <w:r w:rsidRPr="00BA4CD6">
              <w:rPr>
                <w:rFonts w:eastAsia="Times New Roman" w:cs="Times New Roman"/>
                <w:color w:val="000000"/>
                <w:sz w:val="20"/>
                <w:szCs w:val="20"/>
                <w:lang w:eastAsia="en-AU"/>
              </w:rPr>
              <w:t>FWC</w:t>
            </w:r>
          </w:p>
        </w:tc>
      </w:tr>
      <w:tr w:rsidR="00BA4CD6" w:rsidRPr="00BA4CD6" w14:paraId="5E21F58E" w14:textId="77777777" w:rsidTr="00BA4CD6">
        <w:trPr>
          <w:trHeight w:val="580"/>
        </w:trPr>
        <w:tc>
          <w:tcPr>
            <w:tcW w:w="1980" w:type="dxa"/>
            <w:tcBorders>
              <w:top w:val="nil"/>
              <w:left w:val="single" w:sz="4" w:space="0" w:color="auto"/>
              <w:bottom w:val="single" w:sz="4" w:space="0" w:color="auto"/>
              <w:right w:val="single" w:sz="4" w:space="0" w:color="auto"/>
            </w:tcBorders>
            <w:noWrap/>
            <w:vAlign w:val="bottom"/>
            <w:hideMark/>
          </w:tcPr>
          <w:p w14:paraId="680B10F8" w14:textId="77777777" w:rsidR="00677577" w:rsidRPr="00BA4CD6" w:rsidRDefault="00677577" w:rsidP="00BA4CD6">
            <w:pPr>
              <w:spacing w:after="0"/>
              <w:rPr>
                <w:rFonts w:eastAsia="Times New Roman" w:cs="Times New Roman"/>
                <w:color w:val="000000"/>
                <w:sz w:val="20"/>
                <w:szCs w:val="20"/>
                <w:lang w:eastAsia="en-AU"/>
              </w:rPr>
            </w:pPr>
            <w:r w:rsidRPr="00BA4CD6">
              <w:rPr>
                <w:rFonts w:eastAsia="Times New Roman" w:cs="Times New Roman"/>
                <w:color w:val="000000"/>
                <w:sz w:val="20"/>
                <w:szCs w:val="20"/>
                <w:lang w:eastAsia="en-AU"/>
              </w:rPr>
              <w:t>Completed</w:t>
            </w:r>
          </w:p>
        </w:tc>
        <w:tc>
          <w:tcPr>
            <w:tcW w:w="4678" w:type="dxa"/>
            <w:tcBorders>
              <w:top w:val="nil"/>
              <w:left w:val="nil"/>
              <w:bottom w:val="single" w:sz="4" w:space="0" w:color="auto"/>
              <w:right w:val="single" w:sz="4" w:space="0" w:color="auto"/>
            </w:tcBorders>
            <w:vAlign w:val="center"/>
            <w:hideMark/>
          </w:tcPr>
          <w:p w14:paraId="0B96F162" w14:textId="77777777" w:rsidR="00677577" w:rsidRPr="00BA4CD6" w:rsidRDefault="00677577" w:rsidP="00BA4CD6">
            <w:pPr>
              <w:spacing w:after="0"/>
              <w:rPr>
                <w:rFonts w:eastAsia="Times New Roman" w:cs="Times New Roman"/>
                <w:sz w:val="20"/>
                <w:szCs w:val="20"/>
                <w:lang w:eastAsia="en-AU"/>
              </w:rPr>
            </w:pPr>
            <w:r w:rsidRPr="00BA4CD6">
              <w:rPr>
                <w:rFonts w:eastAsia="Times New Roman" w:cs="Times New Roman"/>
                <w:i/>
                <w:iCs/>
                <w:sz w:val="20"/>
                <w:szCs w:val="20"/>
                <w:lang w:eastAsia="en-AU"/>
              </w:rPr>
              <w:t>General Manager of Fair Work Australia v Craig Thomson External</w:t>
            </w:r>
            <w:r w:rsidRPr="00BA4CD6">
              <w:rPr>
                <w:rFonts w:eastAsia="Times New Roman" w:cs="Times New Roman"/>
                <w:sz w:val="20"/>
                <w:szCs w:val="20"/>
                <w:lang w:eastAsia="en-AU"/>
              </w:rPr>
              <w:t> [VID 798/2012] – commenced 15 October 2012 and concluded on 15 December 2015 </w:t>
            </w:r>
          </w:p>
        </w:tc>
        <w:tc>
          <w:tcPr>
            <w:tcW w:w="2630" w:type="dxa"/>
            <w:tcBorders>
              <w:top w:val="nil"/>
              <w:left w:val="nil"/>
              <w:bottom w:val="single" w:sz="4" w:space="0" w:color="auto"/>
              <w:right w:val="single" w:sz="4" w:space="0" w:color="auto"/>
            </w:tcBorders>
            <w:shd w:val="clear" w:color="auto" w:fill="F2F2F2"/>
            <w:noWrap/>
            <w:vAlign w:val="bottom"/>
            <w:hideMark/>
          </w:tcPr>
          <w:p w14:paraId="38B6F6AC" w14:textId="77777777" w:rsidR="00677577" w:rsidRPr="00BA4CD6" w:rsidRDefault="00677577" w:rsidP="00BA4CD6">
            <w:pPr>
              <w:spacing w:after="0"/>
              <w:rPr>
                <w:rFonts w:eastAsia="Times New Roman" w:cs="Times New Roman"/>
                <w:color w:val="000000"/>
                <w:sz w:val="20"/>
                <w:szCs w:val="20"/>
                <w:lang w:eastAsia="en-AU"/>
              </w:rPr>
            </w:pPr>
            <w:r w:rsidRPr="00BA4CD6">
              <w:rPr>
                <w:rFonts w:eastAsia="Times New Roman" w:cs="Times New Roman"/>
                <w:color w:val="000000"/>
                <w:sz w:val="20"/>
                <w:szCs w:val="20"/>
                <w:lang w:eastAsia="en-AU"/>
              </w:rPr>
              <w:t>FWC</w:t>
            </w:r>
          </w:p>
        </w:tc>
      </w:tr>
      <w:tr w:rsidR="00BA4CD6" w:rsidRPr="00BA4CD6" w14:paraId="5BC5E749" w14:textId="77777777" w:rsidTr="00BA4CD6">
        <w:trPr>
          <w:trHeight w:val="580"/>
        </w:trPr>
        <w:tc>
          <w:tcPr>
            <w:tcW w:w="1980" w:type="dxa"/>
            <w:tcBorders>
              <w:top w:val="nil"/>
              <w:left w:val="single" w:sz="4" w:space="0" w:color="auto"/>
              <w:bottom w:val="single" w:sz="4" w:space="0" w:color="auto"/>
              <w:right w:val="single" w:sz="4" w:space="0" w:color="auto"/>
            </w:tcBorders>
            <w:noWrap/>
            <w:vAlign w:val="bottom"/>
            <w:hideMark/>
          </w:tcPr>
          <w:p w14:paraId="57D636F4" w14:textId="77777777" w:rsidR="00677577" w:rsidRPr="00BA4CD6" w:rsidRDefault="00677577" w:rsidP="00BA4CD6">
            <w:pPr>
              <w:spacing w:after="0"/>
              <w:rPr>
                <w:rFonts w:eastAsia="Times New Roman" w:cs="Times New Roman"/>
                <w:color w:val="000000"/>
                <w:sz w:val="20"/>
                <w:szCs w:val="20"/>
                <w:lang w:eastAsia="en-AU"/>
              </w:rPr>
            </w:pPr>
            <w:r w:rsidRPr="00BA4CD6">
              <w:rPr>
                <w:rFonts w:eastAsia="Times New Roman" w:cs="Times New Roman"/>
                <w:color w:val="000000"/>
                <w:sz w:val="20"/>
                <w:szCs w:val="20"/>
                <w:lang w:eastAsia="en-AU"/>
              </w:rPr>
              <w:t>Completed</w:t>
            </w:r>
          </w:p>
        </w:tc>
        <w:tc>
          <w:tcPr>
            <w:tcW w:w="4678" w:type="dxa"/>
            <w:tcBorders>
              <w:top w:val="nil"/>
              <w:left w:val="nil"/>
              <w:bottom w:val="single" w:sz="4" w:space="0" w:color="auto"/>
              <w:right w:val="single" w:sz="4" w:space="0" w:color="auto"/>
            </w:tcBorders>
            <w:vAlign w:val="center"/>
            <w:hideMark/>
          </w:tcPr>
          <w:p w14:paraId="50071DD5" w14:textId="77777777" w:rsidR="00677577" w:rsidRPr="00BA4CD6" w:rsidRDefault="00677577" w:rsidP="00BA4CD6">
            <w:pPr>
              <w:spacing w:after="0"/>
              <w:rPr>
                <w:rFonts w:eastAsia="Times New Roman" w:cs="Times New Roman"/>
                <w:sz w:val="20"/>
                <w:szCs w:val="20"/>
                <w:lang w:eastAsia="en-AU"/>
              </w:rPr>
            </w:pPr>
            <w:r w:rsidRPr="00BA4CD6">
              <w:rPr>
                <w:rFonts w:eastAsia="Times New Roman" w:cs="Times New Roman"/>
                <w:sz w:val="20"/>
                <w:szCs w:val="20"/>
                <w:lang w:eastAsia="en-AU"/>
              </w:rPr>
              <w:t>G</w:t>
            </w:r>
            <w:r w:rsidRPr="00BA4CD6">
              <w:rPr>
                <w:rFonts w:eastAsia="Times New Roman" w:cs="Times New Roman"/>
                <w:i/>
                <w:iCs/>
                <w:sz w:val="20"/>
                <w:szCs w:val="20"/>
                <w:lang w:eastAsia="en-AU"/>
              </w:rPr>
              <w:t>eneral Manager of Fair Work Australia v Health Services Union &amp; Ors</w:t>
            </w:r>
            <w:r w:rsidRPr="00BA4CD6">
              <w:rPr>
                <w:rFonts w:eastAsia="Times New Roman" w:cs="Times New Roman"/>
                <w:sz w:val="20"/>
                <w:szCs w:val="20"/>
                <w:lang w:eastAsia="en-AU"/>
              </w:rPr>
              <w:t> [VID 380/2012] – commenced 23 May 2012 and concluded on 10 September 2014 </w:t>
            </w:r>
          </w:p>
        </w:tc>
        <w:tc>
          <w:tcPr>
            <w:tcW w:w="2630" w:type="dxa"/>
            <w:tcBorders>
              <w:top w:val="nil"/>
              <w:left w:val="nil"/>
              <w:bottom w:val="single" w:sz="4" w:space="0" w:color="auto"/>
              <w:right w:val="single" w:sz="4" w:space="0" w:color="auto"/>
            </w:tcBorders>
            <w:shd w:val="clear" w:color="auto" w:fill="F2F2F2"/>
            <w:noWrap/>
            <w:vAlign w:val="bottom"/>
            <w:hideMark/>
          </w:tcPr>
          <w:p w14:paraId="3C106380" w14:textId="77777777" w:rsidR="00677577" w:rsidRPr="00BA4CD6" w:rsidRDefault="00677577" w:rsidP="00BA4CD6">
            <w:pPr>
              <w:spacing w:after="0"/>
              <w:rPr>
                <w:rFonts w:eastAsia="Times New Roman" w:cs="Times New Roman"/>
                <w:color w:val="000000"/>
                <w:sz w:val="20"/>
                <w:szCs w:val="20"/>
                <w:lang w:eastAsia="en-AU"/>
              </w:rPr>
            </w:pPr>
            <w:r w:rsidRPr="00BA4CD6">
              <w:rPr>
                <w:rFonts w:eastAsia="Times New Roman" w:cs="Times New Roman"/>
                <w:color w:val="000000"/>
                <w:sz w:val="20"/>
                <w:szCs w:val="20"/>
                <w:lang w:eastAsia="en-AU"/>
              </w:rPr>
              <w:t>FWC</w:t>
            </w:r>
          </w:p>
        </w:tc>
      </w:tr>
      <w:tr w:rsidR="00BA4CD6" w:rsidRPr="00BA4CD6" w14:paraId="2567B848" w14:textId="77777777" w:rsidTr="00BA4CD6">
        <w:trPr>
          <w:trHeight w:val="460"/>
        </w:trPr>
        <w:tc>
          <w:tcPr>
            <w:tcW w:w="1980" w:type="dxa"/>
            <w:tcBorders>
              <w:top w:val="nil"/>
              <w:left w:val="single" w:sz="4" w:space="0" w:color="auto"/>
              <w:bottom w:val="single" w:sz="4" w:space="0" w:color="auto"/>
              <w:right w:val="single" w:sz="4" w:space="0" w:color="auto"/>
            </w:tcBorders>
            <w:noWrap/>
            <w:vAlign w:val="bottom"/>
            <w:hideMark/>
          </w:tcPr>
          <w:p w14:paraId="5246C7CA" w14:textId="77777777" w:rsidR="00677577" w:rsidRPr="00BA4CD6" w:rsidRDefault="00677577" w:rsidP="00BA4CD6">
            <w:pPr>
              <w:spacing w:after="0"/>
              <w:rPr>
                <w:rFonts w:eastAsia="Times New Roman" w:cs="Times New Roman"/>
                <w:color w:val="000000"/>
                <w:sz w:val="20"/>
                <w:szCs w:val="20"/>
                <w:lang w:eastAsia="en-AU"/>
              </w:rPr>
            </w:pPr>
            <w:r w:rsidRPr="00BA4CD6">
              <w:rPr>
                <w:rFonts w:eastAsia="Times New Roman" w:cs="Times New Roman"/>
                <w:color w:val="000000"/>
                <w:sz w:val="20"/>
                <w:szCs w:val="20"/>
                <w:lang w:eastAsia="en-AU"/>
              </w:rPr>
              <w:t>Completed</w:t>
            </w:r>
          </w:p>
        </w:tc>
        <w:tc>
          <w:tcPr>
            <w:tcW w:w="4678" w:type="dxa"/>
            <w:tcBorders>
              <w:top w:val="nil"/>
              <w:left w:val="nil"/>
              <w:bottom w:val="single" w:sz="4" w:space="0" w:color="auto"/>
              <w:right w:val="single" w:sz="4" w:space="0" w:color="auto"/>
            </w:tcBorders>
            <w:vAlign w:val="center"/>
            <w:hideMark/>
          </w:tcPr>
          <w:p w14:paraId="006B7C49" w14:textId="77777777" w:rsidR="00677577" w:rsidRPr="00BA4CD6" w:rsidRDefault="00677577" w:rsidP="00BA4CD6">
            <w:pPr>
              <w:spacing w:after="0"/>
              <w:rPr>
                <w:rFonts w:eastAsia="Times New Roman" w:cs="Arial"/>
                <w:color w:val="000000"/>
                <w:sz w:val="20"/>
                <w:szCs w:val="20"/>
                <w:lang w:eastAsia="en-AU"/>
              </w:rPr>
            </w:pPr>
            <w:r w:rsidRPr="00BA4CD6">
              <w:rPr>
                <w:rFonts w:eastAsia="Times New Roman" w:cs="Arial"/>
                <w:i/>
                <w:iCs/>
                <w:color w:val="000000"/>
                <w:sz w:val="20"/>
                <w:szCs w:val="20"/>
                <w:lang w:eastAsia="en-AU"/>
              </w:rPr>
              <w:t>General Manager of Fair Work Australia v Health Services Union</w:t>
            </w:r>
            <w:r w:rsidRPr="00BA4CD6">
              <w:rPr>
                <w:rFonts w:eastAsia="Times New Roman" w:cs="Arial"/>
                <w:color w:val="000000"/>
                <w:sz w:val="20"/>
                <w:szCs w:val="20"/>
                <w:lang w:eastAsia="en-AU"/>
              </w:rPr>
              <w:t xml:space="preserve"> [VID1128/2012] – commenced 21 December 2012 and concluded 4 December 2013 </w:t>
            </w:r>
          </w:p>
        </w:tc>
        <w:tc>
          <w:tcPr>
            <w:tcW w:w="2630" w:type="dxa"/>
            <w:tcBorders>
              <w:top w:val="nil"/>
              <w:left w:val="nil"/>
              <w:bottom w:val="single" w:sz="4" w:space="0" w:color="auto"/>
              <w:right w:val="single" w:sz="4" w:space="0" w:color="auto"/>
            </w:tcBorders>
            <w:shd w:val="clear" w:color="auto" w:fill="F2F2F2"/>
            <w:noWrap/>
            <w:vAlign w:val="bottom"/>
            <w:hideMark/>
          </w:tcPr>
          <w:p w14:paraId="368B9F36" w14:textId="77777777" w:rsidR="00677577" w:rsidRPr="00BA4CD6" w:rsidRDefault="00677577" w:rsidP="00BA4CD6">
            <w:pPr>
              <w:spacing w:after="0"/>
              <w:rPr>
                <w:rFonts w:eastAsia="Times New Roman" w:cs="Times New Roman"/>
                <w:color w:val="000000"/>
                <w:sz w:val="20"/>
                <w:szCs w:val="20"/>
                <w:lang w:eastAsia="en-AU"/>
              </w:rPr>
            </w:pPr>
            <w:r w:rsidRPr="00BA4CD6">
              <w:rPr>
                <w:rFonts w:eastAsia="Times New Roman" w:cs="Times New Roman"/>
                <w:color w:val="000000"/>
                <w:sz w:val="20"/>
                <w:szCs w:val="20"/>
                <w:lang w:eastAsia="en-AU"/>
              </w:rPr>
              <w:t>FWC</w:t>
            </w:r>
          </w:p>
        </w:tc>
      </w:tr>
    </w:tbl>
    <w:p w14:paraId="1715630C" w14:textId="77777777" w:rsidR="00677577" w:rsidRPr="00B45F7C" w:rsidRDefault="00677577" w:rsidP="00677577">
      <w:pPr>
        <w:spacing w:before="120"/>
        <w:rPr>
          <w:rFonts w:ascii="Aptos" w:eastAsia="Aptos" w:hAnsi="Aptos" w:cs="Times New Roman"/>
          <w:b/>
          <w:bCs/>
          <w:sz w:val="18"/>
        </w:rPr>
      </w:pPr>
      <w:r w:rsidRPr="00B45F7C">
        <w:rPr>
          <w:rFonts w:ascii="Aptos" w:eastAsia="Aptos" w:hAnsi="Aptos" w:cs="Times New Roman"/>
          <w:b/>
          <w:bCs/>
          <w:sz w:val="18"/>
        </w:rPr>
        <w:t xml:space="preserve">Note: </w:t>
      </w:r>
      <w:r w:rsidRPr="00B45F7C">
        <w:rPr>
          <w:rFonts w:ascii="Aptos" w:eastAsia="Aptos" w:hAnsi="Aptos" w:cs="Times New Roman"/>
          <w:sz w:val="18"/>
        </w:rPr>
        <w:t>FWC: Fair Work Commission; ROC: Registered Organisations Commission.</w:t>
      </w:r>
    </w:p>
    <w:p w14:paraId="2A858260" w14:textId="77777777" w:rsidR="00677577" w:rsidRPr="00B45F7C" w:rsidRDefault="00677577" w:rsidP="00677577">
      <w:pPr>
        <w:rPr>
          <w:rFonts w:ascii="Aptos" w:eastAsia="Aptos" w:hAnsi="Aptos" w:cs="Times New Roman"/>
        </w:rPr>
      </w:pPr>
      <w:r w:rsidRPr="00B45F7C">
        <w:rPr>
          <w:rFonts w:ascii="Aptos" w:eastAsia="Aptos" w:hAnsi="Aptos" w:cs="Times New Roman"/>
          <w:b/>
          <w:bCs/>
          <w:sz w:val="18"/>
        </w:rPr>
        <w:t xml:space="preserve">Source: </w:t>
      </w:r>
      <w:r w:rsidRPr="00B45F7C">
        <w:rPr>
          <w:rFonts w:ascii="Aptos" w:eastAsia="Aptos" w:hAnsi="Aptos" w:cs="Times New Roman"/>
          <w:sz w:val="18"/>
        </w:rPr>
        <w:t>Table prepared using data from FWC website.</w:t>
      </w:r>
      <w:r w:rsidRPr="00B45F7C">
        <w:rPr>
          <w:rFonts w:ascii="Aptos" w:eastAsia="Aptos" w:hAnsi="Aptos" w:cs="Times New Roman"/>
        </w:rPr>
        <w:br w:type="page"/>
      </w:r>
    </w:p>
    <w:p w14:paraId="5EE76D7F" w14:textId="77777777" w:rsidR="00677577" w:rsidRPr="00B45F7C" w:rsidRDefault="00677577" w:rsidP="00677577">
      <w:pPr>
        <w:pStyle w:val="Heading2"/>
      </w:pPr>
      <w:bookmarkStart w:id="1142" w:name="_Toc189260189"/>
      <w:bookmarkStart w:id="1143" w:name="_Toc189393695"/>
      <w:bookmarkStart w:id="1144" w:name="_Toc192258085"/>
      <w:bookmarkStart w:id="1145" w:name="_Toc194311467"/>
      <w:r w:rsidRPr="00B45F7C">
        <w:t>Appendix 6 – Acronyms and abbreviations</w:t>
      </w:r>
      <w:bookmarkEnd w:id="1142"/>
      <w:bookmarkEnd w:id="1143"/>
      <w:bookmarkEnd w:id="1144"/>
      <w:bookmarkEnd w:id="1145"/>
    </w:p>
    <w:tbl>
      <w:tblPr>
        <w:tblStyle w:val="Glossary1"/>
        <w:tblW w:w="0" w:type="auto"/>
        <w:tblInd w:w="0" w:type="dxa"/>
        <w:tblCellMar>
          <w:top w:w="28" w:type="dxa"/>
          <w:bottom w:w="28" w:type="dxa"/>
        </w:tblCellMar>
        <w:tblLook w:val="0420" w:firstRow="1" w:lastRow="0" w:firstColumn="0" w:lastColumn="0" w:noHBand="0" w:noVBand="1"/>
      </w:tblPr>
      <w:tblGrid>
        <w:gridCol w:w="3017"/>
        <w:gridCol w:w="6271"/>
      </w:tblGrid>
      <w:tr w:rsidR="0073614A" w:rsidRPr="0073614A" w14:paraId="368BF109" w14:textId="77777777" w:rsidTr="00954673">
        <w:trPr>
          <w:cnfStyle w:val="100000000000" w:firstRow="1" w:lastRow="0" w:firstColumn="0" w:lastColumn="0" w:oddVBand="0" w:evenVBand="0" w:oddHBand="0" w:evenHBand="0" w:firstRowFirstColumn="0" w:firstRowLastColumn="0" w:lastRowFirstColumn="0" w:lastRowLastColumn="0"/>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2C6C" w:themeFill="text1"/>
            <w:hideMark/>
          </w:tcPr>
          <w:p w14:paraId="1D580C28" w14:textId="77777777" w:rsidR="0073614A" w:rsidRPr="0073614A" w:rsidRDefault="0073614A" w:rsidP="00FB5BCE">
            <w:pPr>
              <w:spacing w:before="12" w:after="0"/>
              <w:rPr>
                <w:szCs w:val="18"/>
              </w:rPr>
            </w:pPr>
            <w:r w:rsidRPr="0073614A">
              <w:rPr>
                <w:szCs w:val="18"/>
              </w:rPr>
              <w:t>Term</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D2C6C" w:themeFill="text1"/>
            <w:hideMark/>
          </w:tcPr>
          <w:p w14:paraId="55D70FF4" w14:textId="77777777" w:rsidR="0073614A" w:rsidRPr="0073614A" w:rsidRDefault="0073614A" w:rsidP="00FB5BCE">
            <w:pPr>
              <w:spacing w:before="12" w:after="0"/>
              <w:rPr>
                <w:szCs w:val="18"/>
              </w:rPr>
            </w:pPr>
            <w:r w:rsidRPr="0073614A">
              <w:rPr>
                <w:szCs w:val="18"/>
              </w:rPr>
              <w:t>Definition</w:t>
            </w:r>
          </w:p>
        </w:tc>
      </w:tr>
      <w:tr w:rsidR="009D2C62" w:rsidRPr="0073614A" w14:paraId="4F90572D"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3CD13F" w14:textId="7113D3BC" w:rsidR="009D2C62" w:rsidRPr="0073614A" w:rsidRDefault="009D2C62" w:rsidP="00FB5BCE">
            <w:pPr>
              <w:spacing w:after="0"/>
            </w:pPr>
            <w:r w:rsidRPr="0073614A">
              <w:rPr>
                <w:bCs/>
                <w:iCs/>
                <w:szCs w:val="18"/>
              </w:rPr>
              <w:t>AAWI</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9341EDA" w14:textId="716B8172" w:rsidR="009D2C62" w:rsidRPr="0073614A" w:rsidRDefault="009D2C62" w:rsidP="00FB5BCE">
            <w:pPr>
              <w:spacing w:after="0"/>
            </w:pPr>
            <w:r w:rsidRPr="0073614A">
              <w:rPr>
                <w:bCs/>
                <w:iCs/>
                <w:szCs w:val="18"/>
              </w:rPr>
              <w:t>average annualised wage increase</w:t>
            </w:r>
          </w:p>
        </w:tc>
      </w:tr>
      <w:tr w:rsidR="009D2C62" w:rsidRPr="0073614A" w14:paraId="20414D05"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CBDA050" w14:textId="6A17D3BC" w:rsidR="009D2C62" w:rsidRPr="0073614A" w:rsidRDefault="009D2C62" w:rsidP="00FB5BCE">
            <w:pPr>
              <w:spacing w:after="0"/>
            </w:pPr>
            <w:r w:rsidRPr="0073614A">
              <w:t>ABCC</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BBE4B3" w14:textId="2F22B1DC" w:rsidR="009D2C62" w:rsidRPr="0073614A" w:rsidRDefault="009D2C62" w:rsidP="00FB5BCE">
            <w:pPr>
              <w:spacing w:after="0"/>
            </w:pPr>
            <w:r w:rsidRPr="0073614A">
              <w:t>Australian Building and Construction Commission</w:t>
            </w:r>
          </w:p>
        </w:tc>
      </w:tr>
      <w:tr w:rsidR="009D2C62" w:rsidRPr="0073614A" w14:paraId="12FABB38"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C43AA4" w14:textId="610E013D" w:rsidR="009D2C62" w:rsidRPr="0073614A" w:rsidRDefault="009D2C62" w:rsidP="00FB5BCE">
            <w:pPr>
              <w:spacing w:after="0"/>
            </w:pPr>
            <w:r w:rsidRPr="0073614A">
              <w:t>ABC Commissioner</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90A80C5" w14:textId="71526377" w:rsidR="009D2C62" w:rsidRPr="0073614A" w:rsidRDefault="009D2C62" w:rsidP="00FB5BCE">
            <w:pPr>
              <w:spacing w:after="0"/>
            </w:pPr>
            <w:r w:rsidRPr="0073614A">
              <w:t>Australian Building and Construction Commissioner</w:t>
            </w:r>
          </w:p>
        </w:tc>
      </w:tr>
      <w:tr w:rsidR="0073614A" w:rsidRPr="0073614A" w14:paraId="4CCEB156"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FB641EA" w14:textId="77777777" w:rsidR="0073614A" w:rsidRPr="0073614A" w:rsidRDefault="0073614A" w:rsidP="00FB5BCE">
            <w:pPr>
              <w:spacing w:after="0"/>
              <w:rPr>
                <w:bCs/>
                <w:iCs/>
                <w:szCs w:val="18"/>
              </w:rPr>
            </w:pPr>
            <w:r w:rsidRPr="0073614A">
              <w:t>ABS</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E0B9136" w14:textId="77777777" w:rsidR="0073614A" w:rsidRPr="0073614A" w:rsidRDefault="0073614A" w:rsidP="00FB5BCE">
            <w:pPr>
              <w:spacing w:after="0"/>
            </w:pPr>
            <w:r w:rsidRPr="0073614A">
              <w:t>Australian Bureau of Statistics</w:t>
            </w:r>
          </w:p>
        </w:tc>
      </w:tr>
      <w:tr w:rsidR="0073614A" w:rsidRPr="0073614A" w14:paraId="05D618E1"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0761FA9" w14:textId="77777777" w:rsidR="0073614A" w:rsidRPr="0073614A" w:rsidRDefault="0073614A" w:rsidP="00FB5BCE">
            <w:pPr>
              <w:spacing w:after="0"/>
            </w:pPr>
            <w:r w:rsidRPr="0073614A">
              <w:t>AEC</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EA9740E" w14:textId="77777777" w:rsidR="0073614A" w:rsidRPr="0073614A" w:rsidRDefault="0073614A" w:rsidP="00FB5BCE">
            <w:pPr>
              <w:spacing w:after="0"/>
            </w:pPr>
            <w:r w:rsidRPr="0073614A">
              <w:t>Australian Electoral Commission</w:t>
            </w:r>
          </w:p>
        </w:tc>
      </w:tr>
      <w:tr w:rsidR="0073614A" w:rsidRPr="0073614A" w14:paraId="0C5BFB81"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1851069" w14:textId="77777777" w:rsidR="0073614A" w:rsidRPr="0073614A" w:rsidRDefault="0073614A" w:rsidP="00FB5BCE">
            <w:pPr>
              <w:spacing w:after="0"/>
              <w:rPr>
                <w:bCs/>
                <w:iCs/>
                <w:szCs w:val="18"/>
              </w:rPr>
            </w:pPr>
            <w:r w:rsidRPr="0073614A">
              <w:t xml:space="preserve">ACCI </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8D3471C" w14:textId="77777777" w:rsidR="0073614A" w:rsidRPr="0073614A" w:rsidRDefault="0073614A" w:rsidP="00FB5BCE">
            <w:pPr>
              <w:spacing w:after="0"/>
            </w:pPr>
            <w:r w:rsidRPr="0073614A">
              <w:t>Australian Chamber of Commerce and Industry</w:t>
            </w:r>
          </w:p>
        </w:tc>
      </w:tr>
      <w:tr w:rsidR="0073614A" w:rsidRPr="0073614A" w14:paraId="5DADA2AD"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FCC4C3F" w14:textId="77777777" w:rsidR="0073614A" w:rsidRPr="0073614A" w:rsidRDefault="0073614A" w:rsidP="00FB5BCE">
            <w:pPr>
              <w:spacing w:after="0"/>
              <w:rPr>
                <w:iCs/>
              </w:rPr>
            </w:pPr>
            <w:r w:rsidRPr="0073614A">
              <w:t xml:space="preserve">ACT </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B95D233" w14:textId="77777777" w:rsidR="0073614A" w:rsidRPr="0073614A" w:rsidRDefault="0073614A" w:rsidP="00FB5BCE">
            <w:pPr>
              <w:spacing w:after="0"/>
              <w:rPr>
                <w:iCs/>
              </w:rPr>
            </w:pPr>
            <w:r w:rsidRPr="0073614A">
              <w:t>Australian Capital Territory</w:t>
            </w:r>
          </w:p>
        </w:tc>
      </w:tr>
      <w:tr w:rsidR="0073614A" w:rsidRPr="0073614A" w14:paraId="01A3FF73"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946B0DE" w14:textId="77777777" w:rsidR="0073614A" w:rsidRPr="0073614A" w:rsidRDefault="0073614A" w:rsidP="00FB5BCE">
            <w:pPr>
              <w:spacing w:after="0"/>
              <w:rPr>
                <w:iCs/>
              </w:rPr>
            </w:pPr>
            <w:r w:rsidRPr="0073614A">
              <w:t xml:space="preserve">ACTU </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7FC35AC" w14:textId="77777777" w:rsidR="0073614A" w:rsidRPr="0073614A" w:rsidRDefault="0073614A" w:rsidP="00FB5BCE">
            <w:pPr>
              <w:spacing w:after="0"/>
            </w:pPr>
            <w:r w:rsidRPr="0073614A">
              <w:t>Australian Council of Trade Unions</w:t>
            </w:r>
          </w:p>
        </w:tc>
      </w:tr>
      <w:tr w:rsidR="0073614A" w:rsidRPr="0073614A" w14:paraId="2FA8773C"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B8B8AD7" w14:textId="77777777" w:rsidR="0073614A" w:rsidRPr="0073614A" w:rsidRDefault="0073614A" w:rsidP="00FB5BCE">
            <w:pPr>
              <w:spacing w:after="0"/>
              <w:rPr>
                <w:bCs/>
                <w:iCs/>
                <w:szCs w:val="18"/>
              </w:rPr>
            </w:pPr>
            <w:r w:rsidRPr="0073614A">
              <w:t>AEU</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35A0618" w14:textId="77777777" w:rsidR="0073614A" w:rsidRPr="0073614A" w:rsidRDefault="0073614A" w:rsidP="00FB5BCE">
            <w:pPr>
              <w:spacing w:after="0"/>
            </w:pPr>
            <w:r w:rsidRPr="0073614A">
              <w:t>Australian Education Union</w:t>
            </w:r>
          </w:p>
        </w:tc>
      </w:tr>
      <w:tr w:rsidR="0073614A" w:rsidRPr="0073614A" w14:paraId="30DE4E9B"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CF316F1" w14:textId="77777777" w:rsidR="0073614A" w:rsidRPr="0073614A" w:rsidRDefault="0073614A" w:rsidP="00FB5BCE">
            <w:pPr>
              <w:spacing w:after="0"/>
              <w:rPr>
                <w:bCs/>
                <w:iCs/>
                <w:szCs w:val="18"/>
              </w:rPr>
            </w:pPr>
            <w:r w:rsidRPr="0073614A">
              <w:t>AHEIA</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4C41173" w14:textId="77777777" w:rsidR="0073614A" w:rsidRPr="0073614A" w:rsidRDefault="0073614A" w:rsidP="00FB5BCE">
            <w:pPr>
              <w:spacing w:after="0"/>
              <w:rPr>
                <w:bCs/>
                <w:iCs/>
                <w:szCs w:val="18"/>
              </w:rPr>
            </w:pPr>
            <w:r w:rsidRPr="0073614A">
              <w:t>Australian Higher Education Industrial Association</w:t>
            </w:r>
          </w:p>
        </w:tc>
      </w:tr>
      <w:tr w:rsidR="0073614A" w:rsidRPr="0073614A" w14:paraId="4E7C1921"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B7A6460" w14:textId="77777777" w:rsidR="0073614A" w:rsidRPr="0073614A" w:rsidRDefault="0073614A" w:rsidP="00FB5BCE">
            <w:pPr>
              <w:spacing w:after="0"/>
              <w:rPr>
                <w:bCs/>
                <w:iCs/>
                <w:szCs w:val="18"/>
              </w:rPr>
            </w:pPr>
            <w:r w:rsidRPr="0073614A">
              <w:t>AHRC</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169AF70" w14:textId="77777777" w:rsidR="0073614A" w:rsidRPr="0073614A" w:rsidRDefault="0073614A" w:rsidP="00FB5BCE">
            <w:pPr>
              <w:spacing w:after="0"/>
              <w:rPr>
                <w:bCs/>
                <w:iCs/>
                <w:szCs w:val="18"/>
              </w:rPr>
            </w:pPr>
            <w:r w:rsidRPr="0073614A">
              <w:t>Australian Human Rights Commission</w:t>
            </w:r>
          </w:p>
        </w:tc>
      </w:tr>
      <w:tr w:rsidR="0073614A" w:rsidRPr="0073614A" w14:paraId="7A6DCE99"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9DCDEBC" w14:textId="77777777" w:rsidR="0073614A" w:rsidRPr="0073614A" w:rsidRDefault="0073614A" w:rsidP="00FB5BCE">
            <w:pPr>
              <w:spacing w:after="0"/>
              <w:rPr>
                <w:iCs/>
              </w:rPr>
            </w:pPr>
            <w:r w:rsidRPr="0073614A">
              <w:t>ALAEA</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95985C5" w14:textId="77777777" w:rsidR="0073614A" w:rsidRPr="0073614A" w:rsidRDefault="0073614A" w:rsidP="00FB5BCE">
            <w:pPr>
              <w:spacing w:after="0"/>
            </w:pPr>
            <w:r w:rsidRPr="0073614A">
              <w:t>Australian Licensed Aircraft Engineers Association</w:t>
            </w:r>
          </w:p>
        </w:tc>
      </w:tr>
      <w:tr w:rsidR="0073614A" w:rsidRPr="0073614A" w14:paraId="3F8CE300"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19BC37C" w14:textId="77777777" w:rsidR="0073614A" w:rsidRPr="0073614A" w:rsidRDefault="0073614A" w:rsidP="00FB5BCE">
            <w:pPr>
              <w:spacing w:after="0"/>
            </w:pPr>
            <w:r w:rsidRPr="0073614A">
              <w:t>ALP</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FA74849" w14:textId="77777777" w:rsidR="0073614A" w:rsidRPr="0073614A" w:rsidRDefault="0073614A" w:rsidP="00FB5BCE">
            <w:pPr>
              <w:spacing w:after="0"/>
            </w:pPr>
            <w:r w:rsidRPr="0073614A">
              <w:t>Australian Labor Party</w:t>
            </w:r>
          </w:p>
        </w:tc>
      </w:tr>
      <w:tr w:rsidR="0073614A" w:rsidRPr="0073614A" w14:paraId="1EFD9DD5"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AED3F9C" w14:textId="77777777" w:rsidR="0073614A" w:rsidRPr="0073614A" w:rsidRDefault="0073614A" w:rsidP="00FB5BCE">
            <w:pPr>
              <w:spacing w:after="0"/>
              <w:rPr>
                <w:iCs/>
              </w:rPr>
            </w:pPr>
            <w:r w:rsidRPr="0073614A">
              <w:t>AMWU</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AADF786" w14:textId="77777777" w:rsidR="0073614A" w:rsidRPr="0073614A" w:rsidRDefault="0073614A" w:rsidP="00FB5BCE">
            <w:pPr>
              <w:spacing w:after="0"/>
            </w:pPr>
            <w:r w:rsidRPr="0073614A">
              <w:t>Australian Manufacturing Workers’ Union</w:t>
            </w:r>
          </w:p>
        </w:tc>
      </w:tr>
      <w:tr w:rsidR="0073614A" w:rsidRPr="0073614A" w14:paraId="0FAF9392"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29CB92B" w14:textId="77777777" w:rsidR="0073614A" w:rsidRPr="0073614A" w:rsidRDefault="0073614A" w:rsidP="00FB5BCE">
            <w:pPr>
              <w:spacing w:after="0"/>
              <w:rPr>
                <w:iCs/>
              </w:rPr>
            </w:pPr>
            <w:r w:rsidRPr="0073614A">
              <w:t>ANMF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178505B" w14:textId="77777777" w:rsidR="0073614A" w:rsidRPr="0073614A" w:rsidRDefault="0073614A" w:rsidP="00FB5BCE">
            <w:pPr>
              <w:spacing w:after="0"/>
              <w:rPr>
                <w:iCs/>
              </w:rPr>
            </w:pPr>
            <w:r w:rsidRPr="0073614A">
              <w:t>Australian Nursing and Midwifery Federation</w:t>
            </w:r>
          </w:p>
        </w:tc>
      </w:tr>
      <w:tr w:rsidR="0073614A" w:rsidRPr="0073614A" w14:paraId="18398A93"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DBD10B8" w14:textId="77777777" w:rsidR="0073614A" w:rsidRPr="0073614A" w:rsidRDefault="0073614A" w:rsidP="00FB5BCE">
            <w:pPr>
              <w:spacing w:after="0"/>
              <w:rPr>
                <w:iCs/>
              </w:rPr>
            </w:pPr>
            <w:r w:rsidRPr="0073614A">
              <w:t>APS</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9374407" w14:textId="77777777" w:rsidR="0073614A" w:rsidRPr="0073614A" w:rsidRDefault="0073614A" w:rsidP="00FB5BCE">
            <w:pPr>
              <w:spacing w:after="0"/>
              <w:rPr>
                <w:rFonts w:cs="Aptos"/>
              </w:rPr>
            </w:pPr>
            <w:r w:rsidRPr="0073614A">
              <w:t>Australian Public Service</w:t>
            </w:r>
          </w:p>
        </w:tc>
      </w:tr>
      <w:tr w:rsidR="0073614A" w:rsidRPr="0073614A" w14:paraId="6EC9B4E1"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285EE8F" w14:textId="77777777" w:rsidR="0073614A" w:rsidRPr="0073614A" w:rsidRDefault="0073614A" w:rsidP="00FB5BCE">
            <w:pPr>
              <w:spacing w:after="0"/>
              <w:rPr>
                <w:iCs/>
              </w:rPr>
            </w:pPr>
            <w:r w:rsidRPr="0073614A">
              <w:t>ARA</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71DD6E4" w14:textId="77777777" w:rsidR="0073614A" w:rsidRPr="0073614A" w:rsidRDefault="0073614A" w:rsidP="00FB5BCE">
            <w:pPr>
              <w:spacing w:after="0"/>
              <w:rPr>
                <w:rFonts w:cs="Aptos"/>
              </w:rPr>
            </w:pPr>
            <w:r w:rsidRPr="0073614A">
              <w:t>Australian Retailers Association</w:t>
            </w:r>
          </w:p>
        </w:tc>
      </w:tr>
      <w:tr w:rsidR="0073614A" w:rsidRPr="0073614A" w14:paraId="3850BB60"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B2D0397" w14:textId="77777777" w:rsidR="0073614A" w:rsidRPr="0073614A" w:rsidRDefault="0073614A" w:rsidP="00FB5BCE">
            <w:pPr>
              <w:spacing w:after="0"/>
              <w:rPr>
                <w:bCs/>
                <w:iCs/>
                <w:szCs w:val="18"/>
              </w:rPr>
            </w:pPr>
            <w:r w:rsidRPr="0073614A">
              <w:t>ARDS</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8EF8868" w14:textId="77777777" w:rsidR="0073614A" w:rsidRPr="0073614A" w:rsidRDefault="0073614A" w:rsidP="00FB5BCE">
            <w:pPr>
              <w:spacing w:after="0"/>
              <w:rPr>
                <w:iCs/>
              </w:rPr>
            </w:pPr>
            <w:r w:rsidRPr="0073614A">
              <w:t>Aboriginal Resource and Development Services</w:t>
            </w:r>
          </w:p>
        </w:tc>
      </w:tr>
      <w:tr w:rsidR="0073614A" w:rsidRPr="0073614A" w14:paraId="68E08D43"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C311131" w14:textId="77777777" w:rsidR="0073614A" w:rsidRPr="0073614A" w:rsidRDefault="0073614A" w:rsidP="00FB5BCE">
            <w:pPr>
              <w:spacing w:after="0"/>
              <w:rPr>
                <w:bCs/>
                <w:iCs/>
                <w:szCs w:val="18"/>
              </w:rPr>
            </w:pPr>
            <w:r w:rsidRPr="0073614A">
              <w:t>AREEA</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16D4AEF" w14:textId="77777777" w:rsidR="0073614A" w:rsidRPr="0073614A" w:rsidRDefault="0073614A" w:rsidP="00FB5BCE">
            <w:pPr>
              <w:spacing w:after="0"/>
            </w:pPr>
            <w:r w:rsidRPr="0073614A">
              <w:t>Australian Resources &amp; Energy Employer Association</w:t>
            </w:r>
          </w:p>
        </w:tc>
      </w:tr>
      <w:tr w:rsidR="0073614A" w:rsidRPr="0073614A" w14:paraId="52F54C8B"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9982666" w14:textId="77777777" w:rsidR="0073614A" w:rsidRPr="0073614A" w:rsidRDefault="0073614A" w:rsidP="00FB5BCE">
            <w:pPr>
              <w:spacing w:after="0"/>
              <w:rPr>
                <w:iCs/>
              </w:rPr>
            </w:pPr>
            <w:r w:rsidRPr="0073614A">
              <w:t>ASU</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D05CF7A" w14:textId="77777777" w:rsidR="0073614A" w:rsidRPr="0073614A" w:rsidRDefault="0073614A" w:rsidP="00FB5BCE">
            <w:pPr>
              <w:spacing w:after="0"/>
              <w:rPr>
                <w:iCs/>
              </w:rPr>
            </w:pPr>
            <w:r w:rsidRPr="0073614A">
              <w:t>Australian Services Union</w:t>
            </w:r>
          </w:p>
        </w:tc>
      </w:tr>
      <w:tr w:rsidR="0073614A" w:rsidRPr="0073614A" w14:paraId="4102E615"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7864671" w14:textId="77777777" w:rsidR="0073614A" w:rsidRPr="0073614A" w:rsidRDefault="0073614A" w:rsidP="00FB5BCE">
            <w:pPr>
              <w:spacing w:after="0"/>
              <w:rPr>
                <w:iCs/>
              </w:rPr>
            </w:pPr>
            <w:r w:rsidRPr="0073614A">
              <w:t>AWE</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5491DA3" w14:textId="77777777" w:rsidR="0073614A" w:rsidRPr="0073614A" w:rsidRDefault="0073614A" w:rsidP="00FB5BCE">
            <w:pPr>
              <w:spacing w:after="0"/>
              <w:rPr>
                <w:rFonts w:cs="Aptos"/>
              </w:rPr>
            </w:pPr>
            <w:r w:rsidRPr="0073614A">
              <w:t>average weekly earnings</w:t>
            </w:r>
          </w:p>
        </w:tc>
      </w:tr>
      <w:tr w:rsidR="0073614A" w:rsidRPr="0073614A" w14:paraId="3AF4577D"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74194BD" w14:textId="77777777" w:rsidR="0073614A" w:rsidRPr="0073614A" w:rsidRDefault="0073614A" w:rsidP="00FB5BCE">
            <w:pPr>
              <w:spacing w:after="0"/>
              <w:rPr>
                <w:iCs/>
              </w:rPr>
            </w:pPr>
            <w:r w:rsidRPr="0073614A">
              <w:t>AWOTE</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9F3D9B9" w14:textId="77777777" w:rsidR="0073614A" w:rsidRPr="0073614A" w:rsidRDefault="0073614A" w:rsidP="00FB5BCE">
            <w:pPr>
              <w:spacing w:after="0"/>
              <w:rPr>
                <w:rFonts w:cs="Aptos"/>
              </w:rPr>
            </w:pPr>
            <w:r w:rsidRPr="0073614A">
              <w:t>average weekly ordinary time earnings</w:t>
            </w:r>
          </w:p>
        </w:tc>
      </w:tr>
      <w:tr w:rsidR="0073614A" w:rsidRPr="0073614A" w14:paraId="673F6705"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ACD229D" w14:textId="77777777" w:rsidR="0073614A" w:rsidRPr="0073614A" w:rsidRDefault="0073614A" w:rsidP="00FB5BCE">
            <w:pPr>
              <w:spacing w:after="0"/>
              <w:rPr>
                <w:iCs/>
              </w:rPr>
            </w:pPr>
            <w:r w:rsidRPr="0073614A">
              <w:t>AWR</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AB5B076" w14:textId="77777777" w:rsidR="0073614A" w:rsidRPr="0073614A" w:rsidRDefault="0073614A" w:rsidP="00FB5BCE">
            <w:pPr>
              <w:spacing w:after="0"/>
              <w:rPr>
                <w:rFonts w:cs="Aptos"/>
              </w:rPr>
            </w:pPr>
            <w:r w:rsidRPr="0073614A">
              <w:t>Annual Wage Reviews</w:t>
            </w:r>
          </w:p>
        </w:tc>
      </w:tr>
      <w:tr w:rsidR="0073614A" w:rsidRPr="0073614A" w14:paraId="5F8D0F48"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66027F3" w14:textId="77777777" w:rsidR="0073614A" w:rsidRPr="0073614A" w:rsidRDefault="0073614A" w:rsidP="00FB5BCE">
            <w:pPr>
              <w:spacing w:after="0"/>
              <w:rPr>
                <w:iCs/>
              </w:rPr>
            </w:pPr>
            <w:r w:rsidRPr="0073614A">
              <w:t>AWU</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1E955CB" w14:textId="77777777" w:rsidR="0073614A" w:rsidRPr="0073614A" w:rsidRDefault="0073614A" w:rsidP="00FB5BCE">
            <w:pPr>
              <w:spacing w:after="0"/>
              <w:rPr>
                <w:rFonts w:cs="Aptos"/>
              </w:rPr>
            </w:pPr>
            <w:r w:rsidRPr="0073614A">
              <w:t>Australian Workers’ Union</w:t>
            </w:r>
          </w:p>
        </w:tc>
      </w:tr>
      <w:tr w:rsidR="0073614A" w:rsidRPr="0073614A" w14:paraId="4E00BD78"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1902262" w14:textId="77777777" w:rsidR="0073614A" w:rsidRPr="0073614A" w:rsidRDefault="0073614A" w:rsidP="00FB5BCE">
            <w:pPr>
              <w:spacing w:after="0"/>
              <w:rPr>
                <w:iCs/>
              </w:rPr>
            </w:pPr>
            <w:r w:rsidRPr="0073614A">
              <w:t>BCA</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183F2A6" w14:textId="77777777" w:rsidR="0073614A" w:rsidRPr="0073614A" w:rsidRDefault="0073614A" w:rsidP="00FB5BCE">
            <w:pPr>
              <w:spacing w:after="0"/>
              <w:rPr>
                <w:rFonts w:cs="Aptos"/>
              </w:rPr>
            </w:pPr>
            <w:r w:rsidRPr="0073614A">
              <w:t>Business Council of Australia</w:t>
            </w:r>
          </w:p>
        </w:tc>
      </w:tr>
      <w:tr w:rsidR="0073614A" w:rsidRPr="0073614A" w14:paraId="3DAE3CDC"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D718568" w14:textId="77777777" w:rsidR="0073614A" w:rsidRPr="0073614A" w:rsidRDefault="0073614A" w:rsidP="00FB5BCE">
            <w:pPr>
              <w:spacing w:after="0"/>
              <w:rPr>
                <w:iCs/>
              </w:rPr>
            </w:pPr>
            <w:r w:rsidRPr="0073614A">
              <w:t>BCG On-Site Award</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7178DF8" w14:textId="77777777" w:rsidR="0073614A" w:rsidRPr="0073614A" w:rsidRDefault="0073614A" w:rsidP="00FB5BCE">
            <w:pPr>
              <w:spacing w:after="0"/>
              <w:rPr>
                <w:rFonts w:cs="Aptos"/>
              </w:rPr>
            </w:pPr>
            <w:r w:rsidRPr="0073614A">
              <w:t>Building and Construction General On-site Award 2020</w:t>
            </w:r>
          </w:p>
        </w:tc>
      </w:tr>
      <w:tr w:rsidR="0073614A" w:rsidRPr="0073614A" w14:paraId="13DFD412"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0618EA0" w14:textId="77777777" w:rsidR="0073614A" w:rsidRPr="0073614A" w:rsidRDefault="0073614A" w:rsidP="00FB5BCE">
            <w:pPr>
              <w:spacing w:after="0"/>
            </w:pPr>
            <w:r w:rsidRPr="0073614A">
              <w:t>BCIIP Act</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9A96DA3" w14:textId="77777777" w:rsidR="0073614A" w:rsidRPr="0073614A" w:rsidRDefault="0073614A" w:rsidP="00FB5BCE">
            <w:pPr>
              <w:spacing w:after="0"/>
              <w:rPr>
                <w:rFonts w:cs="Aptos"/>
              </w:rPr>
            </w:pPr>
            <w:r w:rsidRPr="0073614A">
              <w:rPr>
                <w:i/>
                <w:iCs/>
              </w:rPr>
              <w:t>Building and Construction Industry (Improving Productivity) Act 2016</w:t>
            </w:r>
            <w:r w:rsidRPr="0073614A">
              <w:t xml:space="preserve"> (Cth)</w:t>
            </w:r>
          </w:p>
        </w:tc>
      </w:tr>
      <w:tr w:rsidR="0073614A" w:rsidRPr="0073614A" w14:paraId="646F6B6E"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CD75F74" w14:textId="77777777" w:rsidR="0073614A" w:rsidRPr="0073614A" w:rsidRDefault="0073614A" w:rsidP="00FB5BCE">
            <w:pPr>
              <w:spacing w:after="0"/>
              <w:rPr>
                <w:iCs/>
              </w:rPr>
            </w:pPr>
            <w:r w:rsidRPr="0073614A">
              <w:t>BCMIA</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D759F5C" w14:textId="77777777" w:rsidR="0073614A" w:rsidRPr="0073614A" w:rsidRDefault="0073614A" w:rsidP="00FB5BCE">
            <w:pPr>
              <w:spacing w:after="0"/>
              <w:rPr>
                <w:rFonts w:cs="Aptos"/>
              </w:rPr>
            </w:pPr>
            <w:r w:rsidRPr="0073614A">
              <w:rPr>
                <w:rFonts w:cs="Aptos"/>
              </w:rPr>
              <w:t>Black Coal Mining Industry Award</w:t>
            </w:r>
          </w:p>
        </w:tc>
      </w:tr>
      <w:tr w:rsidR="0073614A" w:rsidRPr="0073614A" w14:paraId="250930E7"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1794117" w14:textId="77777777" w:rsidR="0073614A" w:rsidRPr="0073614A" w:rsidRDefault="0073614A" w:rsidP="00FB5BCE">
            <w:pPr>
              <w:spacing w:after="0"/>
              <w:rPr>
                <w:iCs/>
              </w:rPr>
            </w:pPr>
            <w:r w:rsidRPr="0073614A">
              <w:t>Bendigo Community Bank Agreement</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3C2D8EF" w14:textId="77777777" w:rsidR="0073614A" w:rsidRPr="0073614A" w:rsidRDefault="0073614A" w:rsidP="00FB5BCE">
            <w:pPr>
              <w:spacing w:after="0"/>
              <w:rPr>
                <w:rFonts w:cs="Aptos"/>
                <w:i/>
                <w:iCs/>
              </w:rPr>
            </w:pPr>
            <w:r w:rsidRPr="0073614A">
              <w:rPr>
                <w:i/>
                <w:iCs/>
              </w:rPr>
              <w:t>Bendigo Community Bank Cooperative Workplace Agreement 2023</w:t>
            </w:r>
            <w:r w:rsidRPr="0073614A">
              <w:rPr>
                <w:rFonts w:ascii="Symbol" w:eastAsia="Symbol" w:hAnsi="Symbol" w:cs="Symbol"/>
                <w:i/>
              </w:rPr>
              <w:sym w:font="Symbol" w:char="F02D"/>
            </w:r>
            <w:r w:rsidRPr="0073614A">
              <w:rPr>
                <w:i/>
                <w:iCs/>
              </w:rPr>
              <w:t xml:space="preserve">2026 </w:t>
            </w:r>
          </w:p>
        </w:tc>
      </w:tr>
      <w:tr w:rsidR="0073614A" w:rsidRPr="0073614A" w14:paraId="2F313F86"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CA5CCDB" w14:textId="77777777" w:rsidR="0073614A" w:rsidRPr="0073614A" w:rsidRDefault="0073614A" w:rsidP="00FB5BCE">
            <w:pPr>
              <w:spacing w:after="0"/>
            </w:pPr>
            <w:r w:rsidRPr="0073614A">
              <w:t>Blueprint</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FB0DD94" w14:textId="77777777" w:rsidR="0073614A" w:rsidRPr="0073614A" w:rsidRDefault="0073614A" w:rsidP="00FB5BCE">
            <w:pPr>
              <w:spacing w:after="0"/>
            </w:pPr>
            <w:r w:rsidRPr="0073614A">
              <w:t>Building and Construction Industry Blueprint</w:t>
            </w:r>
          </w:p>
        </w:tc>
      </w:tr>
      <w:tr w:rsidR="0073614A" w:rsidRPr="0073614A" w14:paraId="0CE67866"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F5EB978" w14:textId="77777777" w:rsidR="0073614A" w:rsidRPr="0073614A" w:rsidRDefault="0073614A" w:rsidP="00FB5BCE">
            <w:pPr>
              <w:spacing w:after="0"/>
            </w:pPr>
            <w:r w:rsidRPr="0073614A">
              <w:t>Boland Review</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FFDF681" w14:textId="77777777" w:rsidR="0073614A" w:rsidRPr="0073614A" w:rsidRDefault="0073614A" w:rsidP="00FB5BCE">
            <w:pPr>
              <w:spacing w:after="0"/>
            </w:pPr>
            <w:r w:rsidRPr="0073614A">
              <w:t>Review of the Model WHS Laws</w:t>
            </w:r>
          </w:p>
        </w:tc>
      </w:tr>
      <w:tr w:rsidR="0073614A" w:rsidRPr="0073614A" w14:paraId="1F2DB42B"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0A5AA1D" w14:textId="77777777" w:rsidR="0073614A" w:rsidRPr="0073614A" w:rsidRDefault="0073614A" w:rsidP="00FB5BCE">
            <w:pPr>
              <w:spacing w:after="0"/>
              <w:rPr>
                <w:iCs/>
              </w:rPr>
            </w:pPr>
            <w:r w:rsidRPr="0073614A">
              <w:t xml:space="preserve">BOOT </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E7BD1D4" w14:textId="77777777" w:rsidR="0073614A" w:rsidRPr="0073614A" w:rsidRDefault="0073614A" w:rsidP="00FB5BCE">
            <w:pPr>
              <w:spacing w:after="0"/>
              <w:rPr>
                <w:rFonts w:cs="Aptos"/>
              </w:rPr>
            </w:pPr>
            <w:r w:rsidRPr="0073614A">
              <w:t xml:space="preserve">Better Off Overall Test </w:t>
            </w:r>
          </w:p>
        </w:tc>
      </w:tr>
      <w:tr w:rsidR="0073614A" w:rsidRPr="0073614A" w14:paraId="43D7B905"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765A845" w14:textId="77777777" w:rsidR="0073614A" w:rsidRPr="0073614A" w:rsidRDefault="0073614A" w:rsidP="00FB5BCE">
            <w:pPr>
              <w:spacing w:after="0"/>
            </w:pPr>
            <w:r w:rsidRPr="0073614A">
              <w:t>Building Code</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1F51FF4" w14:textId="77777777" w:rsidR="0073614A" w:rsidRPr="0073614A" w:rsidRDefault="0073614A" w:rsidP="00FB5BCE">
            <w:pPr>
              <w:spacing w:after="0"/>
            </w:pPr>
            <w:r w:rsidRPr="0073614A">
              <w:t>Code for the Tendering and Performance on Building Work 2016</w:t>
            </w:r>
          </w:p>
        </w:tc>
      </w:tr>
      <w:tr w:rsidR="0073614A" w:rsidRPr="0073614A" w14:paraId="6534F63A"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5E1C570" w14:textId="77777777" w:rsidR="0073614A" w:rsidRPr="0073614A" w:rsidRDefault="0073614A" w:rsidP="00FB5BCE">
            <w:pPr>
              <w:spacing w:after="0"/>
              <w:rPr>
                <w:iCs/>
              </w:rPr>
            </w:pPr>
            <w:r w:rsidRPr="0073614A">
              <w:t>CA</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160449D" w14:textId="77777777" w:rsidR="0073614A" w:rsidRPr="0073614A" w:rsidRDefault="0073614A" w:rsidP="00FB5BCE">
            <w:pPr>
              <w:spacing w:after="0"/>
              <w:rPr>
                <w:rFonts w:cs="Aptos"/>
              </w:rPr>
            </w:pPr>
            <w:r w:rsidRPr="0073614A">
              <w:t>collective agreement</w:t>
            </w:r>
          </w:p>
        </w:tc>
      </w:tr>
      <w:tr w:rsidR="0073614A" w:rsidRPr="0073614A" w14:paraId="39F14D42"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BD6FBF1" w14:textId="77777777" w:rsidR="0073614A" w:rsidRPr="0073614A" w:rsidRDefault="0073614A" w:rsidP="00FB5BCE">
            <w:pPr>
              <w:spacing w:after="0"/>
              <w:rPr>
                <w:iCs/>
              </w:rPr>
            </w:pPr>
            <w:r w:rsidRPr="0073614A">
              <w:t>CALD</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18C2EEF" w14:textId="77777777" w:rsidR="0073614A" w:rsidRPr="0073614A" w:rsidRDefault="0073614A" w:rsidP="00FB5BCE">
            <w:pPr>
              <w:spacing w:after="0"/>
              <w:rPr>
                <w:rFonts w:cs="Aptos"/>
              </w:rPr>
            </w:pPr>
            <w:r w:rsidRPr="0073614A">
              <w:t>culturally and linguistically diverse</w:t>
            </w:r>
          </w:p>
        </w:tc>
      </w:tr>
      <w:tr w:rsidR="0073614A" w:rsidRPr="0073614A" w14:paraId="5951CA8D"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92DACEC" w14:textId="77777777" w:rsidR="0073614A" w:rsidRPr="0073614A" w:rsidRDefault="0073614A" w:rsidP="00FB5BCE">
            <w:pPr>
              <w:spacing w:after="0"/>
              <w:rPr>
                <w:iCs/>
              </w:rPr>
            </w:pPr>
            <w:r w:rsidRPr="0073614A">
              <w:t>CCIWA</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84FD2AB" w14:textId="77777777" w:rsidR="0073614A" w:rsidRPr="0073614A" w:rsidRDefault="0073614A" w:rsidP="00FB5BCE">
            <w:pPr>
              <w:spacing w:after="0"/>
              <w:rPr>
                <w:rFonts w:cs="Aptos"/>
              </w:rPr>
            </w:pPr>
            <w:r w:rsidRPr="0073614A">
              <w:t>Chamber of Commerce and Industry of Western Australia</w:t>
            </w:r>
          </w:p>
        </w:tc>
      </w:tr>
      <w:tr w:rsidR="0073614A" w:rsidRPr="0073614A" w14:paraId="23DBD140"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1D47AA9" w14:textId="77777777" w:rsidR="0073614A" w:rsidRPr="0073614A" w:rsidRDefault="0073614A" w:rsidP="00FB5BCE">
            <w:pPr>
              <w:spacing w:after="0"/>
              <w:rPr>
                <w:iCs/>
              </w:rPr>
            </w:pPr>
            <w:r w:rsidRPr="0073614A">
              <w:t>CEPU</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F726D67" w14:textId="77777777" w:rsidR="0073614A" w:rsidRPr="0073614A" w:rsidRDefault="0073614A" w:rsidP="00FB5BCE">
            <w:pPr>
              <w:spacing w:after="0"/>
              <w:rPr>
                <w:rFonts w:cs="Aptos"/>
              </w:rPr>
            </w:pPr>
            <w:r w:rsidRPr="0073614A">
              <w:t>Communications, Electrical, Electronic, Energy, Information, Postal, Plumbing and Allied Services Union of Australia</w:t>
            </w:r>
          </w:p>
        </w:tc>
      </w:tr>
      <w:tr w:rsidR="0073614A" w:rsidRPr="0073614A" w14:paraId="79F718DC"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2F74D01" w14:textId="77777777" w:rsidR="0073614A" w:rsidRPr="0073614A" w:rsidRDefault="0073614A" w:rsidP="00FB5BCE">
            <w:pPr>
              <w:spacing w:after="0"/>
              <w:rPr>
                <w:iCs/>
              </w:rPr>
            </w:pPr>
            <w:r w:rsidRPr="0073614A">
              <w:t>CFMEU</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4520784" w14:textId="77777777" w:rsidR="0073614A" w:rsidRPr="0073614A" w:rsidRDefault="0073614A" w:rsidP="00FB5BCE">
            <w:pPr>
              <w:spacing w:after="0"/>
              <w:rPr>
                <w:rFonts w:cs="Aptos"/>
              </w:rPr>
            </w:pPr>
            <w:r w:rsidRPr="0073614A">
              <w:t>Construction, Forestry and Maritime Employees Union</w:t>
            </w:r>
          </w:p>
        </w:tc>
      </w:tr>
      <w:tr w:rsidR="0073614A" w:rsidRPr="0073614A" w14:paraId="55055DA1"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7819BD2" w14:textId="77777777" w:rsidR="0073614A" w:rsidRPr="0073614A" w:rsidRDefault="0073614A" w:rsidP="00FB5BCE">
            <w:pPr>
              <w:spacing w:after="0"/>
              <w:rPr>
                <w:iCs/>
              </w:rPr>
            </w:pPr>
            <w:r w:rsidRPr="0073614A">
              <w:t>CFW</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2439058" w14:textId="77777777" w:rsidR="0073614A" w:rsidRPr="0073614A" w:rsidRDefault="0073614A" w:rsidP="00FB5BCE">
            <w:pPr>
              <w:spacing w:after="0"/>
              <w:rPr>
                <w:rFonts w:cs="Aptos"/>
              </w:rPr>
            </w:pPr>
            <w:r w:rsidRPr="0073614A">
              <w:t>Centre for Future Work</w:t>
            </w:r>
          </w:p>
        </w:tc>
      </w:tr>
      <w:tr w:rsidR="0073614A" w:rsidRPr="0073614A" w14:paraId="0F42AEFD"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9E5C546" w14:textId="77777777" w:rsidR="0073614A" w:rsidRPr="0073614A" w:rsidRDefault="0073614A" w:rsidP="00FB5BCE">
            <w:pPr>
              <w:spacing w:after="0"/>
              <w:rPr>
                <w:iCs/>
              </w:rPr>
            </w:pPr>
            <w:r w:rsidRPr="0073614A">
              <w:t>Closing Loopholes Act</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ECDFBD4" w14:textId="76F13C05" w:rsidR="0073614A" w:rsidRPr="0073614A" w:rsidRDefault="0073614A" w:rsidP="00FB5BCE">
            <w:pPr>
              <w:spacing w:after="0"/>
              <w:rPr>
                <w:rFonts w:cs="Aptos"/>
              </w:rPr>
            </w:pPr>
            <w:r w:rsidRPr="0073614A">
              <w:rPr>
                <w:i/>
                <w:iCs/>
              </w:rPr>
              <w:t xml:space="preserve">Fair Work Legislation Amendment (Closing Loopholes) Act </w:t>
            </w:r>
            <w:r w:rsidR="00F121FB">
              <w:rPr>
                <w:i/>
                <w:iCs/>
              </w:rPr>
              <w:t>2023</w:t>
            </w:r>
            <w:r>
              <w:rPr>
                <w:i/>
              </w:rPr>
              <w:t xml:space="preserve"> </w:t>
            </w:r>
            <w:r w:rsidRPr="0073614A">
              <w:t>(Cth)</w:t>
            </w:r>
          </w:p>
        </w:tc>
      </w:tr>
      <w:tr w:rsidR="0073614A" w:rsidRPr="0073614A" w14:paraId="73FE4556"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C3FD184" w14:textId="77777777" w:rsidR="0073614A" w:rsidRPr="0073614A" w:rsidRDefault="0073614A" w:rsidP="00FB5BCE">
            <w:pPr>
              <w:spacing w:after="0"/>
              <w:rPr>
                <w:iCs/>
              </w:rPr>
            </w:pPr>
            <w:r w:rsidRPr="0073614A">
              <w:t>Closing Loopholes No. 2 Act</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75571E0" w14:textId="1F987910" w:rsidR="0073614A" w:rsidRPr="0073614A" w:rsidRDefault="0073614A" w:rsidP="00FB5BCE">
            <w:pPr>
              <w:spacing w:after="0"/>
              <w:rPr>
                <w:rFonts w:cs="Aptos"/>
              </w:rPr>
            </w:pPr>
            <w:r w:rsidRPr="0073614A">
              <w:rPr>
                <w:i/>
                <w:iCs/>
              </w:rPr>
              <w:t xml:space="preserve">Fair Work Legislation (Closing Loopholes No. 2) Act </w:t>
            </w:r>
            <w:r w:rsidR="00F121FB">
              <w:rPr>
                <w:i/>
                <w:iCs/>
              </w:rPr>
              <w:t>2024</w:t>
            </w:r>
            <w:r>
              <w:rPr>
                <w:i/>
              </w:rPr>
              <w:t xml:space="preserve"> </w:t>
            </w:r>
            <w:r w:rsidRPr="0073614A">
              <w:t>(Cth)</w:t>
            </w:r>
          </w:p>
        </w:tc>
      </w:tr>
      <w:tr w:rsidR="0073614A" w:rsidRPr="0073614A" w14:paraId="51FFB2F1"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CB6DF76" w14:textId="77777777" w:rsidR="0073614A" w:rsidRPr="0073614A" w:rsidRDefault="0073614A" w:rsidP="00FB5BCE">
            <w:pPr>
              <w:spacing w:after="0"/>
              <w:rPr>
                <w:iCs/>
              </w:rPr>
            </w:pPr>
            <w:r w:rsidRPr="0073614A">
              <w:t>CME</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EA7AF60" w14:textId="77777777" w:rsidR="0073614A" w:rsidRPr="0073614A" w:rsidRDefault="0073614A" w:rsidP="00FB5BCE">
            <w:pPr>
              <w:spacing w:after="0"/>
              <w:rPr>
                <w:rFonts w:cs="Aptos"/>
              </w:rPr>
            </w:pPr>
            <w:r w:rsidRPr="0073614A">
              <w:t>Chamber of Minerals and Energy</w:t>
            </w:r>
          </w:p>
        </w:tc>
      </w:tr>
      <w:tr w:rsidR="0073614A" w:rsidRPr="0073614A" w14:paraId="1FCFF450"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980A2D0" w14:textId="77777777" w:rsidR="0073614A" w:rsidRPr="0073614A" w:rsidRDefault="0073614A" w:rsidP="00FB5BCE">
            <w:pPr>
              <w:spacing w:after="0"/>
            </w:pPr>
            <w:r w:rsidRPr="0073614A">
              <w:t>CMEWA</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6F2E88B" w14:textId="77777777" w:rsidR="0073614A" w:rsidRPr="0073614A" w:rsidRDefault="0073614A" w:rsidP="00FB5BCE">
            <w:pPr>
              <w:spacing w:after="0"/>
            </w:pPr>
            <w:r w:rsidRPr="0073614A">
              <w:t>Chamber of Minerals and Energy of Western Australia</w:t>
            </w:r>
          </w:p>
        </w:tc>
      </w:tr>
      <w:tr w:rsidR="0073614A" w:rsidRPr="0073614A" w14:paraId="2585C5CF"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7DC7669" w14:textId="77777777" w:rsidR="0073614A" w:rsidRPr="0073614A" w:rsidRDefault="0073614A" w:rsidP="00FB5BCE">
            <w:pPr>
              <w:spacing w:after="0"/>
            </w:pPr>
            <w:r w:rsidRPr="0073614A">
              <w:t>Compliance Policy</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FB7495A" w14:textId="77777777" w:rsidR="0073614A" w:rsidRPr="0073614A" w:rsidRDefault="0073614A" w:rsidP="00FB5BCE">
            <w:pPr>
              <w:spacing w:after="0"/>
            </w:pPr>
            <w:r w:rsidRPr="0073614A">
              <w:t>Fair Work Commission Compliance and Enforcement Policy</w:t>
            </w:r>
          </w:p>
        </w:tc>
      </w:tr>
      <w:tr w:rsidR="0073614A" w:rsidRPr="0073614A" w14:paraId="46C5B279"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8024DF3" w14:textId="77777777" w:rsidR="0073614A" w:rsidRPr="0073614A" w:rsidRDefault="0073614A" w:rsidP="00FB5BCE">
            <w:pPr>
              <w:spacing w:after="0"/>
            </w:pPr>
            <w:r w:rsidRPr="0073614A">
              <w:t>COE</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B751C26" w14:textId="77777777" w:rsidR="0073614A" w:rsidRPr="0073614A" w:rsidRDefault="0073614A" w:rsidP="00FB5BCE">
            <w:pPr>
              <w:spacing w:after="0"/>
            </w:pPr>
            <w:r w:rsidRPr="0073614A">
              <w:t>Characteristics of Employment survey</w:t>
            </w:r>
          </w:p>
        </w:tc>
      </w:tr>
      <w:tr w:rsidR="0073614A" w:rsidRPr="0073614A" w14:paraId="64F01BD4"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95CAF8A" w14:textId="77777777" w:rsidR="0073614A" w:rsidRPr="0073614A" w:rsidRDefault="0073614A" w:rsidP="00FB5BCE">
            <w:pPr>
              <w:spacing w:after="0"/>
              <w:rPr>
                <w:iCs/>
              </w:rPr>
            </w:pPr>
            <w:r w:rsidRPr="0073614A">
              <w:t>COSBOA</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3C703F8" w14:textId="77777777" w:rsidR="0073614A" w:rsidRPr="0073614A" w:rsidRDefault="0073614A" w:rsidP="00FB5BCE">
            <w:pPr>
              <w:spacing w:after="0"/>
              <w:rPr>
                <w:rFonts w:cs="Aptos"/>
              </w:rPr>
            </w:pPr>
            <w:r w:rsidRPr="0073614A">
              <w:t>Council of Small Business Organisations Australia</w:t>
            </w:r>
          </w:p>
        </w:tc>
      </w:tr>
      <w:tr w:rsidR="0073614A" w:rsidRPr="0073614A" w14:paraId="72793CB3"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A6892F1" w14:textId="77777777" w:rsidR="0073614A" w:rsidRPr="0073614A" w:rsidRDefault="0073614A" w:rsidP="00FB5BCE">
            <w:pPr>
              <w:spacing w:after="0"/>
              <w:rPr>
                <w:iCs/>
              </w:rPr>
            </w:pPr>
            <w:r w:rsidRPr="0073614A">
              <w:t>CPI</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8DA1C37" w14:textId="77777777" w:rsidR="0073614A" w:rsidRPr="0073614A" w:rsidRDefault="0073614A" w:rsidP="00FB5BCE">
            <w:pPr>
              <w:spacing w:after="0"/>
              <w:rPr>
                <w:rFonts w:cs="Aptos"/>
              </w:rPr>
            </w:pPr>
            <w:r w:rsidRPr="0073614A">
              <w:t>consumer price index</w:t>
            </w:r>
          </w:p>
        </w:tc>
      </w:tr>
      <w:tr w:rsidR="0073614A" w:rsidRPr="0073614A" w14:paraId="544EBB4F"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01A8D40" w14:textId="77777777" w:rsidR="0073614A" w:rsidRPr="0073614A" w:rsidRDefault="0073614A" w:rsidP="00FB5BCE">
            <w:pPr>
              <w:spacing w:after="0"/>
            </w:pPr>
            <w:r w:rsidRPr="0073614A">
              <w:t>CPRG</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5A98B39" w14:textId="77777777" w:rsidR="0073614A" w:rsidRPr="0073614A" w:rsidRDefault="0073614A" w:rsidP="00FB5BCE">
            <w:pPr>
              <w:spacing w:after="0"/>
            </w:pPr>
            <w:r w:rsidRPr="0073614A">
              <w:t>Compliance Practitioners’ Reference Group</w:t>
            </w:r>
          </w:p>
        </w:tc>
      </w:tr>
      <w:tr w:rsidR="0073614A" w:rsidRPr="0073614A" w14:paraId="4ECCD073"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B74A8FA" w14:textId="77777777" w:rsidR="0073614A" w:rsidRPr="0073614A" w:rsidRDefault="0073614A" w:rsidP="00FB5BCE">
            <w:pPr>
              <w:spacing w:after="0"/>
              <w:rPr>
                <w:iCs/>
              </w:rPr>
            </w:pPr>
            <w:r w:rsidRPr="0073614A">
              <w:t>CPSU</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5837282" w14:textId="77777777" w:rsidR="0073614A" w:rsidRPr="0073614A" w:rsidRDefault="0073614A" w:rsidP="00FB5BCE">
            <w:pPr>
              <w:spacing w:after="0"/>
              <w:rPr>
                <w:rFonts w:cs="Aptos"/>
              </w:rPr>
            </w:pPr>
            <w:r w:rsidRPr="0073614A">
              <w:t>Community and Public Sector Union</w:t>
            </w:r>
          </w:p>
        </w:tc>
      </w:tr>
      <w:tr w:rsidR="0073614A" w:rsidRPr="0073614A" w14:paraId="07E457DE"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265A2EC" w14:textId="77777777" w:rsidR="0073614A" w:rsidRPr="0073614A" w:rsidRDefault="0073614A" w:rsidP="00FB5BCE">
            <w:pPr>
              <w:spacing w:after="0"/>
              <w:rPr>
                <w:iCs/>
              </w:rPr>
            </w:pPr>
            <w:r w:rsidRPr="0073614A">
              <w:t>Cth</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027F4BA" w14:textId="77777777" w:rsidR="0073614A" w:rsidRPr="0073614A" w:rsidRDefault="0073614A" w:rsidP="00FB5BCE">
            <w:pPr>
              <w:spacing w:after="0"/>
              <w:rPr>
                <w:rFonts w:cs="Aptos"/>
              </w:rPr>
            </w:pPr>
            <w:r w:rsidRPr="0073614A">
              <w:t>Commonwealth</w:t>
            </w:r>
          </w:p>
        </w:tc>
      </w:tr>
      <w:tr w:rsidR="0073614A" w:rsidRPr="0073614A" w14:paraId="5C18E7A5"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E0BA063" w14:textId="77777777" w:rsidR="0073614A" w:rsidRPr="0073614A" w:rsidRDefault="0073614A" w:rsidP="00FB5BCE">
            <w:pPr>
              <w:spacing w:after="0"/>
              <w:rPr>
                <w:iCs/>
              </w:rPr>
            </w:pPr>
            <w:r w:rsidRPr="0073614A">
              <w:t>DEWR</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F14CD67" w14:textId="77777777" w:rsidR="0073614A" w:rsidRPr="0073614A" w:rsidRDefault="0073614A" w:rsidP="00FB5BCE">
            <w:pPr>
              <w:spacing w:after="0"/>
              <w:rPr>
                <w:rFonts w:cs="Aptos"/>
              </w:rPr>
            </w:pPr>
            <w:r w:rsidRPr="0073614A">
              <w:t>Department of Employment and Workplace Relations</w:t>
            </w:r>
          </w:p>
        </w:tc>
      </w:tr>
      <w:tr w:rsidR="0073614A" w:rsidRPr="0073614A" w14:paraId="791FBFD9"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27B8F44" w14:textId="77777777" w:rsidR="0073614A" w:rsidRPr="0073614A" w:rsidRDefault="0073614A" w:rsidP="00FB5BCE">
            <w:pPr>
              <w:spacing w:after="0"/>
              <w:rPr>
                <w:iCs/>
              </w:rPr>
            </w:pPr>
            <w:r w:rsidRPr="0073614A">
              <w:t>ECEC Agreement</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933F3E1" w14:textId="77777777" w:rsidR="0073614A" w:rsidRPr="0073614A" w:rsidRDefault="0073614A" w:rsidP="00FB5BCE">
            <w:pPr>
              <w:spacing w:after="0"/>
              <w:rPr>
                <w:rFonts w:cs="Aptos"/>
              </w:rPr>
            </w:pPr>
            <w:r w:rsidRPr="0073614A">
              <w:t xml:space="preserve">Early Childhood Education and Care Agreement </w:t>
            </w:r>
          </w:p>
        </w:tc>
      </w:tr>
      <w:tr w:rsidR="0073614A" w:rsidRPr="0073614A" w14:paraId="469CB394"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20FE21D" w14:textId="77777777" w:rsidR="0073614A" w:rsidRPr="0073614A" w:rsidRDefault="0073614A" w:rsidP="00FB5BCE">
            <w:pPr>
              <w:spacing w:after="0"/>
              <w:rPr>
                <w:iCs/>
              </w:rPr>
            </w:pPr>
            <w:r w:rsidRPr="0073614A">
              <w:t>ECEC case</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6625D28" w14:textId="77777777" w:rsidR="0073614A" w:rsidRPr="0073614A" w:rsidRDefault="0073614A" w:rsidP="00FB5BCE">
            <w:pPr>
              <w:spacing w:after="0"/>
              <w:rPr>
                <w:rFonts w:cs="Aptos"/>
              </w:rPr>
            </w:pPr>
            <w:r w:rsidRPr="0073614A">
              <w:t>Early Childhood Education and Care case</w:t>
            </w:r>
          </w:p>
        </w:tc>
      </w:tr>
      <w:tr w:rsidR="0073614A" w:rsidRPr="0073614A" w14:paraId="2C0BBBBB"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4A20BC3" w14:textId="77777777" w:rsidR="0073614A" w:rsidRPr="0073614A" w:rsidRDefault="0073614A" w:rsidP="00FB5BCE">
            <w:pPr>
              <w:spacing w:after="0"/>
              <w:rPr>
                <w:iCs/>
              </w:rPr>
            </w:pPr>
            <w:r w:rsidRPr="0073614A">
              <w:t>EEH</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7A9E6E5" w14:textId="77777777" w:rsidR="0073614A" w:rsidRPr="0073614A" w:rsidRDefault="0073614A" w:rsidP="00FB5BCE">
            <w:pPr>
              <w:spacing w:after="0"/>
              <w:rPr>
                <w:rFonts w:cs="Aptos"/>
              </w:rPr>
            </w:pPr>
            <w:r w:rsidRPr="0073614A">
              <w:t>employee earnings and hours</w:t>
            </w:r>
          </w:p>
        </w:tc>
      </w:tr>
      <w:tr w:rsidR="0073614A" w:rsidRPr="0073614A" w14:paraId="3349600F"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92DB4EC" w14:textId="77777777" w:rsidR="0073614A" w:rsidRPr="0073614A" w:rsidRDefault="0073614A" w:rsidP="00FB5BCE">
            <w:pPr>
              <w:spacing w:after="0"/>
              <w:rPr>
                <w:iCs/>
              </w:rPr>
            </w:pPr>
            <w:r w:rsidRPr="0073614A">
              <w:t>EPM</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982A038" w14:textId="77777777" w:rsidR="0073614A" w:rsidRPr="0073614A" w:rsidRDefault="0073614A" w:rsidP="00FB5BCE">
            <w:pPr>
              <w:spacing w:after="0"/>
              <w:rPr>
                <w:rFonts w:cs="Aptos"/>
              </w:rPr>
            </w:pPr>
            <w:r w:rsidRPr="0073614A">
              <w:t>expert panel member</w:t>
            </w:r>
          </w:p>
        </w:tc>
      </w:tr>
      <w:tr w:rsidR="0073614A" w:rsidRPr="0073614A" w14:paraId="4F619F96"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0F6DF84" w14:textId="77777777" w:rsidR="0073614A" w:rsidRPr="0073614A" w:rsidRDefault="0073614A" w:rsidP="00FB5BCE">
            <w:pPr>
              <w:spacing w:after="0"/>
            </w:pPr>
            <w:r w:rsidRPr="0073614A">
              <w:t>ERLS</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9E98A0B" w14:textId="77777777" w:rsidR="0073614A" w:rsidRPr="0073614A" w:rsidRDefault="0073614A" w:rsidP="00FB5BCE">
            <w:pPr>
              <w:spacing w:after="0"/>
            </w:pPr>
            <w:r w:rsidRPr="0073614A">
              <w:t>Employment Rights Legal Service</w:t>
            </w:r>
          </w:p>
        </w:tc>
      </w:tr>
      <w:tr w:rsidR="0073614A" w:rsidRPr="0073614A" w14:paraId="31F52EC6"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F34244B" w14:textId="77777777" w:rsidR="0073614A" w:rsidRPr="0073614A" w:rsidRDefault="0073614A" w:rsidP="00FB5BCE">
            <w:pPr>
              <w:spacing w:after="0"/>
              <w:rPr>
                <w:iCs/>
              </w:rPr>
            </w:pPr>
            <w:r w:rsidRPr="0073614A">
              <w:t>ERO</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E61332E" w14:textId="77777777" w:rsidR="0073614A" w:rsidRPr="0073614A" w:rsidRDefault="0073614A" w:rsidP="00FB5BCE">
            <w:pPr>
              <w:spacing w:after="0"/>
              <w:rPr>
                <w:rFonts w:cs="Aptos"/>
              </w:rPr>
            </w:pPr>
            <w:r w:rsidRPr="0073614A">
              <w:t>Equal Remuneration Order</w:t>
            </w:r>
          </w:p>
        </w:tc>
      </w:tr>
      <w:tr w:rsidR="0073614A" w:rsidRPr="0073614A" w14:paraId="72E581B6"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6102B36" w14:textId="77777777" w:rsidR="0073614A" w:rsidRPr="0073614A" w:rsidRDefault="0073614A" w:rsidP="00FB5BCE">
            <w:pPr>
              <w:spacing w:after="0"/>
              <w:rPr>
                <w:iCs/>
              </w:rPr>
            </w:pPr>
            <w:r w:rsidRPr="0073614A">
              <w:t>ETU</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55682D1" w14:textId="77777777" w:rsidR="0073614A" w:rsidRPr="0073614A" w:rsidRDefault="0073614A" w:rsidP="00FB5BCE">
            <w:pPr>
              <w:spacing w:after="0"/>
              <w:rPr>
                <w:rFonts w:cs="Aptos"/>
              </w:rPr>
            </w:pPr>
            <w:r w:rsidRPr="0073614A">
              <w:t>Electrical Trades Union</w:t>
            </w:r>
          </w:p>
        </w:tc>
      </w:tr>
      <w:tr w:rsidR="0073614A" w:rsidRPr="0073614A" w14:paraId="2AE913EF"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9AE11A2" w14:textId="77777777" w:rsidR="0073614A" w:rsidRPr="0073614A" w:rsidRDefault="0073614A" w:rsidP="00FB5BCE">
            <w:pPr>
              <w:spacing w:after="0"/>
              <w:rPr>
                <w:iCs/>
              </w:rPr>
            </w:pPr>
            <w:r w:rsidRPr="0073614A">
              <w:t>EU</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5E7710E" w14:textId="77777777" w:rsidR="0073614A" w:rsidRPr="0073614A" w:rsidRDefault="0073614A" w:rsidP="00FB5BCE">
            <w:pPr>
              <w:spacing w:after="0"/>
              <w:rPr>
                <w:rFonts w:cs="Aptos"/>
              </w:rPr>
            </w:pPr>
            <w:r w:rsidRPr="0073614A">
              <w:t>European Union</w:t>
            </w:r>
          </w:p>
        </w:tc>
      </w:tr>
      <w:tr w:rsidR="0073614A" w:rsidRPr="0073614A" w14:paraId="319A095E"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AAE763D" w14:textId="77777777" w:rsidR="0073614A" w:rsidRPr="0073614A" w:rsidRDefault="0073614A" w:rsidP="00FB5BCE">
            <w:pPr>
              <w:spacing w:after="0"/>
            </w:pPr>
            <w:r w:rsidRPr="0073614A">
              <w:t>Fair Work Act</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1FAE7C4" w14:textId="77777777" w:rsidR="0073614A" w:rsidRPr="0073614A" w:rsidRDefault="0073614A" w:rsidP="00FB5BCE">
            <w:pPr>
              <w:spacing w:after="0"/>
              <w:rPr>
                <w:i/>
                <w:iCs/>
              </w:rPr>
            </w:pPr>
            <w:r w:rsidRPr="0073614A">
              <w:rPr>
                <w:i/>
                <w:iCs/>
              </w:rPr>
              <w:t>Fair Work Act 2009</w:t>
            </w:r>
            <w:r w:rsidRPr="0073614A">
              <w:t xml:space="preserve"> (Cth)</w:t>
            </w:r>
          </w:p>
        </w:tc>
      </w:tr>
      <w:tr w:rsidR="0073614A" w:rsidRPr="0073614A" w14:paraId="5D49FFB4"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D6639B4" w14:textId="77777777" w:rsidR="0073614A" w:rsidRPr="0073614A" w:rsidRDefault="0073614A" w:rsidP="00FB5BCE">
            <w:pPr>
              <w:spacing w:after="0"/>
            </w:pPr>
            <w:r w:rsidRPr="0073614A">
              <w:t>FRV</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5C0B76F" w14:textId="77777777" w:rsidR="0073614A" w:rsidRPr="0073614A" w:rsidRDefault="0073614A" w:rsidP="00FB5BCE">
            <w:pPr>
              <w:spacing w:after="0"/>
            </w:pPr>
            <w:r w:rsidRPr="0073614A">
              <w:t>Fire Rescue Victoria</w:t>
            </w:r>
          </w:p>
        </w:tc>
      </w:tr>
      <w:tr w:rsidR="0073614A" w:rsidRPr="0073614A" w14:paraId="1951969D"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AE3892F" w14:textId="77777777" w:rsidR="0073614A" w:rsidRPr="0073614A" w:rsidRDefault="0073614A" w:rsidP="00FB5BCE">
            <w:pPr>
              <w:spacing w:after="0"/>
            </w:pPr>
            <w:r w:rsidRPr="0073614A">
              <w:t>FWA</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612C664" w14:textId="77777777" w:rsidR="0073614A" w:rsidRPr="0073614A" w:rsidRDefault="0073614A" w:rsidP="00FB5BCE">
            <w:pPr>
              <w:spacing w:after="0"/>
            </w:pPr>
            <w:r w:rsidRPr="0073614A">
              <w:t>Fair Work Australia</w:t>
            </w:r>
          </w:p>
        </w:tc>
      </w:tr>
      <w:tr w:rsidR="0073614A" w:rsidRPr="0073614A" w14:paraId="143A2D29"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A0BC5EC" w14:textId="77777777" w:rsidR="0073614A" w:rsidRPr="0073614A" w:rsidRDefault="0073614A" w:rsidP="00FB5BCE">
            <w:pPr>
              <w:spacing w:after="0"/>
            </w:pPr>
            <w:r w:rsidRPr="0073614A">
              <w:t>FWC</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0B4D41C" w14:textId="77777777" w:rsidR="0073614A" w:rsidRPr="0073614A" w:rsidRDefault="0073614A" w:rsidP="00FB5BCE">
            <w:pPr>
              <w:spacing w:after="0"/>
              <w:rPr>
                <w:i/>
                <w:iCs/>
              </w:rPr>
            </w:pPr>
            <w:r w:rsidRPr="0073614A">
              <w:t>Fair Work Commission</w:t>
            </w:r>
          </w:p>
        </w:tc>
      </w:tr>
      <w:tr w:rsidR="0073614A" w:rsidRPr="0073614A" w14:paraId="7140C288"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6E34275" w14:textId="77777777" w:rsidR="0073614A" w:rsidRPr="0073614A" w:rsidRDefault="0073614A" w:rsidP="00FB5BCE">
            <w:pPr>
              <w:spacing w:after="0"/>
            </w:pPr>
            <w:r w:rsidRPr="0073614A">
              <w:t>FWO</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7793DB3" w14:textId="77777777" w:rsidR="0073614A" w:rsidRPr="0073614A" w:rsidRDefault="0073614A" w:rsidP="00FB5BCE">
            <w:pPr>
              <w:spacing w:after="0"/>
              <w:rPr>
                <w:i/>
                <w:iCs/>
              </w:rPr>
            </w:pPr>
            <w:r w:rsidRPr="0073614A">
              <w:t>Fair Work Ombudsman</w:t>
            </w:r>
          </w:p>
        </w:tc>
      </w:tr>
      <w:tr w:rsidR="0073614A" w:rsidRPr="0073614A" w14:paraId="0E9804A0"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C73D8AF" w14:textId="77777777" w:rsidR="0073614A" w:rsidRPr="0073614A" w:rsidRDefault="0073614A" w:rsidP="00FB5BCE">
            <w:pPr>
              <w:spacing w:after="0"/>
              <w:rPr>
                <w:iCs/>
              </w:rPr>
            </w:pPr>
            <w:r w:rsidRPr="0073614A">
              <w:t>Fair Work Transitional Act</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34CA663" w14:textId="77777777" w:rsidR="0073614A" w:rsidRPr="0073614A" w:rsidRDefault="0073614A" w:rsidP="00FB5BCE">
            <w:pPr>
              <w:spacing w:after="0"/>
              <w:rPr>
                <w:rFonts w:cs="Aptos"/>
              </w:rPr>
            </w:pPr>
            <w:r w:rsidRPr="0073614A">
              <w:rPr>
                <w:i/>
                <w:iCs/>
              </w:rPr>
              <w:t>Fair Work (Transitional Provisions and Consequential Amendments) Act 2009</w:t>
            </w:r>
            <w:r w:rsidRPr="0073614A">
              <w:t xml:space="preserve"> (Cth) </w:t>
            </w:r>
          </w:p>
        </w:tc>
      </w:tr>
      <w:tr w:rsidR="0073614A" w:rsidRPr="0073614A" w14:paraId="6258A313"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8F62DBC" w14:textId="77777777" w:rsidR="0073614A" w:rsidRPr="0073614A" w:rsidRDefault="0073614A" w:rsidP="00FB5BCE">
            <w:pPr>
              <w:spacing w:after="0"/>
              <w:rPr>
                <w:iCs/>
              </w:rPr>
            </w:pPr>
            <w:r w:rsidRPr="0073614A">
              <w:t>FCA</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7458DAB" w14:textId="77777777" w:rsidR="0073614A" w:rsidRPr="0073614A" w:rsidRDefault="0073614A" w:rsidP="00FB5BCE">
            <w:pPr>
              <w:spacing w:after="0"/>
              <w:rPr>
                <w:rFonts w:cs="Aptos"/>
              </w:rPr>
            </w:pPr>
            <w:r w:rsidRPr="0073614A">
              <w:t>Federal Court of Australia</w:t>
            </w:r>
          </w:p>
        </w:tc>
      </w:tr>
      <w:tr w:rsidR="0073614A" w:rsidRPr="0073614A" w14:paraId="5B487F7E"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D74F474" w14:textId="77777777" w:rsidR="0073614A" w:rsidRPr="0073614A" w:rsidRDefault="0073614A" w:rsidP="00FB5BCE">
            <w:pPr>
              <w:spacing w:after="0"/>
              <w:rPr>
                <w:iCs/>
              </w:rPr>
            </w:pPr>
            <w:r w:rsidRPr="0073614A">
              <w:t>FCFCOA</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AD2FD35" w14:textId="77777777" w:rsidR="0073614A" w:rsidRPr="0073614A" w:rsidRDefault="0073614A" w:rsidP="00FB5BCE">
            <w:pPr>
              <w:spacing w:after="0"/>
              <w:rPr>
                <w:rFonts w:cs="Aptos"/>
              </w:rPr>
            </w:pPr>
            <w:r w:rsidRPr="0073614A">
              <w:t>Federal Circuit and Family Court of Australia</w:t>
            </w:r>
          </w:p>
        </w:tc>
      </w:tr>
      <w:tr w:rsidR="0073614A" w:rsidRPr="0073614A" w14:paraId="6FCF91B9"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74FE92E" w14:textId="77777777" w:rsidR="0073614A" w:rsidRPr="0073614A" w:rsidRDefault="0073614A" w:rsidP="00FB5BCE">
            <w:pPr>
              <w:spacing w:after="0"/>
              <w:rPr>
                <w:iCs/>
              </w:rPr>
            </w:pPr>
            <w:r w:rsidRPr="0073614A">
              <w:t>FDV</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FB14C79" w14:textId="77777777" w:rsidR="0073614A" w:rsidRPr="0073614A" w:rsidRDefault="0073614A" w:rsidP="00FB5BCE">
            <w:pPr>
              <w:spacing w:after="0"/>
              <w:rPr>
                <w:rFonts w:cs="Aptos"/>
              </w:rPr>
            </w:pPr>
            <w:r w:rsidRPr="0073614A">
              <w:t>family and domestic violence</w:t>
            </w:r>
          </w:p>
        </w:tc>
      </w:tr>
      <w:tr w:rsidR="0073614A" w:rsidRPr="0073614A" w14:paraId="55D41208"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9166943" w14:textId="77777777" w:rsidR="0073614A" w:rsidRPr="0073614A" w:rsidRDefault="0073614A" w:rsidP="00FB5BCE">
            <w:pPr>
              <w:spacing w:after="0"/>
              <w:rPr>
                <w:iCs/>
              </w:rPr>
            </w:pPr>
            <w:r w:rsidRPr="0073614A">
              <w:t>FRV</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BD0D6FA" w14:textId="77777777" w:rsidR="0073614A" w:rsidRPr="0073614A" w:rsidRDefault="0073614A" w:rsidP="00FB5BCE">
            <w:pPr>
              <w:spacing w:after="0"/>
              <w:rPr>
                <w:rFonts w:cs="Aptos"/>
              </w:rPr>
            </w:pPr>
            <w:r w:rsidRPr="0073614A">
              <w:t>Fire Rescue Victoria</w:t>
            </w:r>
          </w:p>
        </w:tc>
      </w:tr>
      <w:tr w:rsidR="0073614A" w:rsidRPr="0073614A" w14:paraId="447AA607"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3C4953F" w14:textId="77777777" w:rsidR="0073614A" w:rsidRPr="0073614A" w:rsidRDefault="0073614A" w:rsidP="00FB5BCE">
            <w:pPr>
              <w:spacing w:after="0"/>
              <w:rPr>
                <w:iCs/>
              </w:rPr>
            </w:pPr>
            <w:r w:rsidRPr="0073614A">
              <w:t>FSU</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79E71A5" w14:textId="77777777" w:rsidR="0073614A" w:rsidRPr="0073614A" w:rsidRDefault="0073614A" w:rsidP="00FB5BCE">
            <w:pPr>
              <w:spacing w:after="0"/>
              <w:rPr>
                <w:rFonts w:cs="Aptos"/>
              </w:rPr>
            </w:pPr>
            <w:r w:rsidRPr="0073614A">
              <w:t>Finance Sector Union</w:t>
            </w:r>
          </w:p>
        </w:tc>
      </w:tr>
      <w:tr w:rsidR="0073614A" w:rsidRPr="0073614A" w14:paraId="45E48DB3"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0402147" w14:textId="77777777" w:rsidR="0073614A" w:rsidRPr="0073614A" w:rsidRDefault="0073614A" w:rsidP="00FB5BCE">
            <w:pPr>
              <w:spacing w:after="0"/>
              <w:rPr>
                <w:iCs/>
              </w:rPr>
            </w:pPr>
            <w:r w:rsidRPr="0073614A">
              <w:t>FWC</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7496641" w14:textId="77777777" w:rsidR="0073614A" w:rsidRPr="0073614A" w:rsidRDefault="0073614A" w:rsidP="00FB5BCE">
            <w:pPr>
              <w:spacing w:after="0"/>
              <w:rPr>
                <w:rFonts w:cs="Aptos"/>
              </w:rPr>
            </w:pPr>
            <w:r w:rsidRPr="0073614A">
              <w:t>Fair Work Commission</w:t>
            </w:r>
          </w:p>
        </w:tc>
      </w:tr>
      <w:tr w:rsidR="0073614A" w:rsidRPr="0073614A" w14:paraId="0E03C698"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C1CEDCE" w14:textId="77777777" w:rsidR="0073614A" w:rsidRPr="0073614A" w:rsidRDefault="0073614A" w:rsidP="00FB5BCE">
            <w:pPr>
              <w:spacing w:after="0"/>
              <w:rPr>
                <w:iCs/>
              </w:rPr>
            </w:pPr>
            <w:r w:rsidRPr="0073614A">
              <w:t>FWO</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CDBF99D" w14:textId="77777777" w:rsidR="0073614A" w:rsidRPr="0073614A" w:rsidRDefault="0073614A" w:rsidP="00FB5BCE">
            <w:pPr>
              <w:spacing w:after="0"/>
              <w:rPr>
                <w:rFonts w:cs="Aptos"/>
              </w:rPr>
            </w:pPr>
            <w:r w:rsidRPr="0073614A">
              <w:t>Fair Work Ombudsman</w:t>
            </w:r>
          </w:p>
        </w:tc>
      </w:tr>
      <w:tr w:rsidR="0073614A" w:rsidRPr="0073614A" w14:paraId="42277F9C"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1E65E6E" w14:textId="77777777" w:rsidR="0073614A" w:rsidRPr="0073614A" w:rsidRDefault="0073614A" w:rsidP="00FB5BCE">
            <w:pPr>
              <w:spacing w:after="0"/>
              <w:rPr>
                <w:iCs/>
              </w:rPr>
            </w:pPr>
            <w:r w:rsidRPr="0073614A">
              <w:t>GDP</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DC1780E" w14:textId="77777777" w:rsidR="0073614A" w:rsidRPr="0073614A" w:rsidRDefault="0073614A" w:rsidP="00FB5BCE">
            <w:pPr>
              <w:spacing w:after="0"/>
              <w:rPr>
                <w:rFonts w:cs="Aptos"/>
              </w:rPr>
            </w:pPr>
            <w:r w:rsidRPr="0073614A">
              <w:t>gross domestic product</w:t>
            </w:r>
          </w:p>
        </w:tc>
      </w:tr>
      <w:tr w:rsidR="0073614A" w:rsidRPr="0073614A" w14:paraId="30CFCB9D"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0576B4D" w14:textId="77777777" w:rsidR="0073614A" w:rsidRPr="0073614A" w:rsidRDefault="0073614A" w:rsidP="00FB5BCE">
            <w:pPr>
              <w:spacing w:after="0"/>
              <w:rPr>
                <w:iCs/>
              </w:rPr>
            </w:pPr>
            <w:r w:rsidRPr="0073614A">
              <w:t>GFC</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4BC2477" w14:textId="77777777" w:rsidR="0073614A" w:rsidRPr="0073614A" w:rsidRDefault="0073614A" w:rsidP="00FB5BCE">
            <w:pPr>
              <w:spacing w:after="0"/>
              <w:rPr>
                <w:rFonts w:cs="Aptos"/>
              </w:rPr>
            </w:pPr>
            <w:r w:rsidRPr="0073614A">
              <w:t>Global Financial Crisis</w:t>
            </w:r>
          </w:p>
        </w:tc>
      </w:tr>
      <w:tr w:rsidR="0073614A" w:rsidRPr="0073614A" w14:paraId="67433D13"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EC31ADB" w14:textId="77777777" w:rsidR="0073614A" w:rsidRPr="0073614A" w:rsidRDefault="0073614A" w:rsidP="00FB5BCE">
            <w:pPr>
              <w:spacing w:after="0"/>
              <w:rPr>
                <w:iCs/>
              </w:rPr>
            </w:pPr>
            <w:r w:rsidRPr="0073614A">
              <w:t>GVA</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DEA0EB7" w14:textId="77777777" w:rsidR="0073614A" w:rsidRPr="0073614A" w:rsidRDefault="0073614A" w:rsidP="00FB5BCE">
            <w:pPr>
              <w:spacing w:after="0"/>
              <w:rPr>
                <w:rFonts w:cs="Aptos"/>
              </w:rPr>
            </w:pPr>
            <w:r w:rsidRPr="0073614A">
              <w:t xml:space="preserve">gross value added </w:t>
            </w:r>
          </w:p>
        </w:tc>
      </w:tr>
      <w:tr w:rsidR="0073614A" w:rsidRPr="0073614A" w14:paraId="0AE574A7"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98ADD64" w14:textId="77777777" w:rsidR="0073614A" w:rsidRPr="0073614A" w:rsidRDefault="0073614A" w:rsidP="00FB5BCE">
            <w:pPr>
              <w:spacing w:after="0"/>
            </w:pPr>
            <w:r w:rsidRPr="0073614A">
              <w:t>GWG</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F5C16D9" w14:textId="77777777" w:rsidR="0073614A" w:rsidRPr="0073614A" w:rsidRDefault="0073614A" w:rsidP="00FB5BCE">
            <w:pPr>
              <w:spacing w:after="0"/>
            </w:pPr>
            <w:r w:rsidRPr="0073614A">
              <w:t>gender wage gap</w:t>
            </w:r>
          </w:p>
        </w:tc>
      </w:tr>
      <w:tr w:rsidR="0073614A" w:rsidRPr="0073614A" w14:paraId="3C7D15BC"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FB8DAD9" w14:textId="77777777" w:rsidR="0073614A" w:rsidRPr="0073614A" w:rsidRDefault="0073614A" w:rsidP="00FB5BCE">
            <w:pPr>
              <w:spacing w:after="0"/>
            </w:pPr>
            <w:r w:rsidRPr="0073614A">
              <w:t>Hancock Inquiry</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1B088CF" w14:textId="77777777" w:rsidR="0073614A" w:rsidRPr="0073614A" w:rsidRDefault="0073614A" w:rsidP="00FB5BCE">
            <w:pPr>
              <w:spacing w:after="0"/>
            </w:pPr>
            <w:r w:rsidRPr="0073614A">
              <w:t>Committee of Review into Australian Industrial Relations Law and Systems</w:t>
            </w:r>
          </w:p>
        </w:tc>
      </w:tr>
      <w:tr w:rsidR="0073614A" w:rsidRPr="0073614A" w14:paraId="6F37495F"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5B7B167" w14:textId="77777777" w:rsidR="0073614A" w:rsidRPr="0073614A" w:rsidRDefault="0073614A" w:rsidP="00FB5BCE">
            <w:pPr>
              <w:spacing w:after="0"/>
            </w:pPr>
            <w:r w:rsidRPr="0073614A">
              <w:t>HIA</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31D89AC" w14:textId="77777777" w:rsidR="0073614A" w:rsidRPr="0073614A" w:rsidRDefault="0073614A" w:rsidP="00FB5BCE">
            <w:pPr>
              <w:spacing w:after="0"/>
            </w:pPr>
            <w:r w:rsidRPr="0073614A">
              <w:t>Housing Industry Association</w:t>
            </w:r>
          </w:p>
        </w:tc>
      </w:tr>
      <w:tr w:rsidR="0073614A" w:rsidRPr="0073614A" w14:paraId="62A61275"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706C310" w14:textId="77777777" w:rsidR="0073614A" w:rsidRPr="0073614A" w:rsidRDefault="0073614A" w:rsidP="00FB5BCE">
            <w:pPr>
              <w:spacing w:after="0"/>
              <w:rPr>
                <w:iCs/>
              </w:rPr>
            </w:pPr>
            <w:r w:rsidRPr="0073614A">
              <w:t>HILDA</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97618E7" w14:textId="77777777" w:rsidR="0073614A" w:rsidRPr="0073614A" w:rsidRDefault="0073614A" w:rsidP="00FB5BCE">
            <w:pPr>
              <w:spacing w:after="0"/>
              <w:rPr>
                <w:rFonts w:cs="Aptos"/>
              </w:rPr>
            </w:pPr>
            <w:r w:rsidRPr="0073614A">
              <w:t>Household, Income and Labour Dynamics in Australia</w:t>
            </w:r>
          </w:p>
        </w:tc>
      </w:tr>
      <w:tr w:rsidR="0073614A" w:rsidRPr="0073614A" w14:paraId="04133B1D"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81F09B8" w14:textId="77777777" w:rsidR="0073614A" w:rsidRPr="0073614A" w:rsidRDefault="0073614A" w:rsidP="00FB5BCE">
            <w:pPr>
              <w:spacing w:after="0"/>
              <w:rPr>
                <w:iCs/>
              </w:rPr>
            </w:pPr>
            <w:r w:rsidRPr="0073614A">
              <w:t>HSR</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9C48AF1" w14:textId="77777777" w:rsidR="0073614A" w:rsidRPr="0073614A" w:rsidRDefault="0073614A" w:rsidP="00FB5BCE">
            <w:pPr>
              <w:spacing w:after="0"/>
              <w:rPr>
                <w:rFonts w:cs="Aptos"/>
              </w:rPr>
            </w:pPr>
            <w:r w:rsidRPr="0073614A">
              <w:t>Health and Safety Representative</w:t>
            </w:r>
          </w:p>
        </w:tc>
      </w:tr>
      <w:tr w:rsidR="0073614A" w:rsidRPr="0073614A" w14:paraId="2E3A3FB1"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0CF68E0" w14:textId="77777777" w:rsidR="0073614A" w:rsidRPr="0073614A" w:rsidRDefault="0073614A" w:rsidP="00FB5BCE">
            <w:pPr>
              <w:spacing w:after="0"/>
              <w:rPr>
                <w:iCs/>
              </w:rPr>
            </w:pPr>
            <w:r w:rsidRPr="0073614A">
              <w:t>HVAC Agreement</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FF7530F" w14:textId="77777777" w:rsidR="0073614A" w:rsidRPr="0073614A" w:rsidRDefault="0073614A" w:rsidP="00FB5BCE">
            <w:pPr>
              <w:spacing w:after="0"/>
              <w:rPr>
                <w:rFonts w:cs="Aptos"/>
                <w:i/>
                <w:iCs/>
              </w:rPr>
            </w:pPr>
            <w:r w:rsidRPr="0073614A">
              <w:rPr>
                <w:i/>
                <w:iCs/>
              </w:rPr>
              <w:t xml:space="preserve">AMWU On-Site Construction HVAC Workers NSW Enterprise Agreement 2023–2027 </w:t>
            </w:r>
          </w:p>
        </w:tc>
      </w:tr>
      <w:tr w:rsidR="0073614A" w:rsidRPr="0073614A" w14:paraId="1A25CB6D"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BAA2998" w14:textId="77777777" w:rsidR="0073614A" w:rsidRPr="0073614A" w:rsidRDefault="0073614A" w:rsidP="00FB5BCE">
            <w:pPr>
              <w:spacing w:after="0"/>
              <w:rPr>
                <w:iCs/>
              </w:rPr>
            </w:pPr>
            <w:r w:rsidRPr="0073614A">
              <w:t>IA</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A0A59DA" w14:textId="77777777" w:rsidR="0073614A" w:rsidRPr="0073614A" w:rsidRDefault="0073614A" w:rsidP="00FB5BCE">
            <w:pPr>
              <w:spacing w:after="0"/>
              <w:rPr>
                <w:rFonts w:cs="Aptos"/>
              </w:rPr>
            </w:pPr>
            <w:r w:rsidRPr="0073614A">
              <w:t>individual agreement</w:t>
            </w:r>
          </w:p>
        </w:tc>
      </w:tr>
      <w:tr w:rsidR="0073614A" w:rsidRPr="0073614A" w14:paraId="098B6E3D"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6F9D629" w14:textId="77777777" w:rsidR="0073614A" w:rsidRPr="0073614A" w:rsidRDefault="0073614A" w:rsidP="00FB5BCE">
            <w:pPr>
              <w:spacing w:after="0"/>
              <w:rPr>
                <w:iCs/>
              </w:rPr>
            </w:pPr>
            <w:r w:rsidRPr="0073614A">
              <w:t>IBD</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999BA43" w14:textId="77777777" w:rsidR="0073614A" w:rsidRPr="0073614A" w:rsidRDefault="0073614A" w:rsidP="00FB5BCE">
            <w:pPr>
              <w:spacing w:after="0"/>
              <w:rPr>
                <w:rFonts w:cs="Aptos"/>
              </w:rPr>
            </w:pPr>
            <w:r w:rsidRPr="0073614A">
              <w:t xml:space="preserve">intractable bargaining declarations </w:t>
            </w:r>
          </w:p>
        </w:tc>
      </w:tr>
      <w:tr w:rsidR="0073614A" w:rsidRPr="0073614A" w14:paraId="2C8B4502"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510E217" w14:textId="77777777" w:rsidR="0073614A" w:rsidRPr="0073614A" w:rsidRDefault="0073614A" w:rsidP="00FB5BCE">
            <w:pPr>
              <w:spacing w:after="0"/>
              <w:rPr>
                <w:bCs/>
                <w:iCs/>
                <w:szCs w:val="18"/>
              </w:rPr>
            </w:pPr>
            <w:r w:rsidRPr="0073614A">
              <w:t>IBWD</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3BE7495" w14:textId="77777777" w:rsidR="0073614A" w:rsidRPr="0073614A" w:rsidRDefault="0073614A" w:rsidP="00FB5BCE">
            <w:pPr>
              <w:spacing w:after="0"/>
              <w:rPr>
                <w:b/>
                <w:iCs/>
                <w:szCs w:val="18"/>
              </w:rPr>
            </w:pPr>
            <w:r w:rsidRPr="0073614A">
              <w:t>intractable bargaining workplace determinations</w:t>
            </w:r>
          </w:p>
        </w:tc>
      </w:tr>
      <w:tr w:rsidR="0073614A" w:rsidRPr="0073614A" w14:paraId="01C5625F"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5E31F23" w14:textId="77777777" w:rsidR="0073614A" w:rsidRPr="0073614A" w:rsidRDefault="0073614A" w:rsidP="00FB5BCE">
            <w:pPr>
              <w:spacing w:after="0"/>
              <w:rPr>
                <w:bCs/>
                <w:iCs/>
                <w:szCs w:val="18"/>
              </w:rPr>
            </w:pPr>
            <w:r w:rsidRPr="0073614A">
              <w:t>ICESCR</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52E7183" w14:textId="77777777" w:rsidR="0073614A" w:rsidRPr="0073614A" w:rsidRDefault="0073614A" w:rsidP="00FB5BCE">
            <w:pPr>
              <w:spacing w:after="0"/>
              <w:rPr>
                <w:b/>
                <w:iCs/>
                <w:szCs w:val="18"/>
              </w:rPr>
            </w:pPr>
            <w:r w:rsidRPr="0073614A">
              <w:t>United Nations International Covenant on Economic, Social and Cultural Rights</w:t>
            </w:r>
          </w:p>
        </w:tc>
      </w:tr>
      <w:tr w:rsidR="0073614A" w:rsidRPr="0073614A" w14:paraId="40D9C5BD"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C5B7755" w14:textId="77777777" w:rsidR="0073614A" w:rsidRPr="0073614A" w:rsidRDefault="0073614A" w:rsidP="00FB5BCE">
            <w:pPr>
              <w:spacing w:after="0"/>
              <w:rPr>
                <w:bCs/>
                <w:iCs/>
                <w:szCs w:val="18"/>
              </w:rPr>
            </w:pPr>
            <w:r w:rsidRPr="0073614A">
              <w:t>IEU</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BFDC0CA" w14:textId="77777777" w:rsidR="0073614A" w:rsidRPr="0073614A" w:rsidRDefault="0073614A" w:rsidP="00FB5BCE">
            <w:pPr>
              <w:spacing w:after="0"/>
              <w:rPr>
                <w:b/>
                <w:iCs/>
                <w:szCs w:val="18"/>
              </w:rPr>
            </w:pPr>
            <w:r w:rsidRPr="0073614A">
              <w:t>Independent Education Union of Australia</w:t>
            </w:r>
          </w:p>
        </w:tc>
      </w:tr>
      <w:tr w:rsidR="0073614A" w:rsidRPr="0073614A" w14:paraId="54D44DEB"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D83AF5F" w14:textId="77777777" w:rsidR="0073614A" w:rsidRPr="0073614A" w:rsidRDefault="0073614A" w:rsidP="00FB5BCE">
            <w:pPr>
              <w:spacing w:after="0"/>
            </w:pPr>
            <w:r w:rsidRPr="0073614A">
              <w:t>LFP</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FEBD196" w14:textId="77777777" w:rsidR="0073614A" w:rsidRPr="0073614A" w:rsidRDefault="0073614A" w:rsidP="00FB5BCE">
            <w:pPr>
              <w:spacing w:after="0"/>
            </w:pPr>
            <w:r w:rsidRPr="0073614A">
              <w:t>labour force participation</w:t>
            </w:r>
          </w:p>
        </w:tc>
      </w:tr>
      <w:tr w:rsidR="0073614A" w:rsidRPr="0073614A" w14:paraId="50808C66"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FBE15D2" w14:textId="77777777" w:rsidR="0073614A" w:rsidRPr="0073614A" w:rsidRDefault="0073614A" w:rsidP="00FB5BCE">
            <w:pPr>
              <w:spacing w:after="0"/>
            </w:pPr>
            <w:r w:rsidRPr="0073614A">
              <w:t>MBA</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A58173E" w14:textId="77777777" w:rsidR="0073614A" w:rsidRPr="0073614A" w:rsidRDefault="0073614A" w:rsidP="00FB5BCE">
            <w:pPr>
              <w:spacing w:after="0"/>
            </w:pPr>
            <w:r w:rsidRPr="0073614A">
              <w:t>Master Builders Australia</w:t>
            </w:r>
          </w:p>
        </w:tc>
      </w:tr>
      <w:tr w:rsidR="0073614A" w:rsidRPr="0073614A" w14:paraId="5FB5E3C5"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E970DF4" w14:textId="77777777" w:rsidR="0073614A" w:rsidRPr="0073614A" w:rsidRDefault="0073614A" w:rsidP="00FB5BCE">
            <w:pPr>
              <w:spacing w:after="0"/>
              <w:rPr>
                <w:bCs/>
                <w:iCs/>
                <w:szCs w:val="18"/>
              </w:rPr>
            </w:pPr>
            <w:r w:rsidRPr="0073614A">
              <w:t>MCA</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3FF2EDF" w14:textId="77777777" w:rsidR="0073614A" w:rsidRPr="0073614A" w:rsidRDefault="0073614A" w:rsidP="00FB5BCE">
            <w:pPr>
              <w:spacing w:after="0"/>
              <w:rPr>
                <w:b/>
                <w:iCs/>
                <w:szCs w:val="18"/>
              </w:rPr>
            </w:pPr>
            <w:r w:rsidRPr="0073614A">
              <w:t>Minerals Council of Australia</w:t>
            </w:r>
          </w:p>
        </w:tc>
      </w:tr>
      <w:tr w:rsidR="0073614A" w:rsidRPr="0073614A" w14:paraId="6292F367"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FEFF6B3" w14:textId="77777777" w:rsidR="0073614A" w:rsidRPr="0073614A" w:rsidRDefault="0073614A" w:rsidP="00FB5BCE">
            <w:pPr>
              <w:spacing w:after="0"/>
            </w:pPr>
            <w:r w:rsidRPr="0073614A">
              <w:t>MEA</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3D80DB7" w14:textId="77777777" w:rsidR="0073614A" w:rsidRPr="0073614A" w:rsidRDefault="0073614A" w:rsidP="00FB5BCE">
            <w:pPr>
              <w:spacing w:after="0"/>
            </w:pPr>
            <w:r w:rsidRPr="0073614A">
              <w:t>Master Electricians Australia</w:t>
            </w:r>
          </w:p>
        </w:tc>
      </w:tr>
      <w:tr w:rsidR="0073614A" w:rsidRPr="0073614A" w14:paraId="56B477F6"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A90B306" w14:textId="77777777" w:rsidR="0073614A" w:rsidRPr="0073614A" w:rsidRDefault="0073614A" w:rsidP="00FB5BCE">
            <w:pPr>
              <w:spacing w:after="0"/>
              <w:rPr>
                <w:bCs/>
                <w:iCs/>
                <w:szCs w:val="18"/>
              </w:rPr>
            </w:pPr>
            <w:r w:rsidRPr="0073614A">
              <w:t>MEU</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C30C9A4" w14:textId="77777777" w:rsidR="0073614A" w:rsidRPr="0073614A" w:rsidRDefault="0073614A" w:rsidP="00FB5BCE">
            <w:pPr>
              <w:spacing w:after="0"/>
              <w:rPr>
                <w:b/>
                <w:iCs/>
                <w:szCs w:val="18"/>
              </w:rPr>
            </w:pPr>
            <w:r w:rsidRPr="0073614A">
              <w:t>Mining and Energy Union</w:t>
            </w:r>
          </w:p>
        </w:tc>
      </w:tr>
      <w:tr w:rsidR="0073614A" w:rsidRPr="0073614A" w14:paraId="47573EB2"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46AFAF9" w14:textId="77777777" w:rsidR="0073614A" w:rsidRPr="0073614A" w:rsidRDefault="0073614A" w:rsidP="00FB5BCE">
            <w:pPr>
              <w:spacing w:after="0"/>
              <w:rPr>
                <w:bCs/>
                <w:iCs/>
                <w:szCs w:val="18"/>
              </w:rPr>
            </w:pPr>
            <w:r w:rsidRPr="0073614A">
              <w:t>MFP</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72AFDCB" w14:textId="77777777" w:rsidR="0073614A" w:rsidRPr="0073614A" w:rsidRDefault="0073614A" w:rsidP="00FB5BCE">
            <w:pPr>
              <w:spacing w:after="0"/>
              <w:rPr>
                <w:b/>
                <w:iCs/>
                <w:szCs w:val="18"/>
              </w:rPr>
            </w:pPr>
            <w:r w:rsidRPr="0073614A">
              <w:t>multi-factor productivity</w:t>
            </w:r>
          </w:p>
        </w:tc>
      </w:tr>
      <w:tr w:rsidR="0073614A" w:rsidRPr="0073614A" w14:paraId="668C840E"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90D0681" w14:textId="77777777" w:rsidR="0073614A" w:rsidRPr="0073614A" w:rsidRDefault="0073614A" w:rsidP="00FB5BCE">
            <w:pPr>
              <w:spacing w:after="0"/>
              <w:rPr>
                <w:bCs/>
                <w:iCs/>
                <w:szCs w:val="18"/>
              </w:rPr>
            </w:pPr>
            <w:r w:rsidRPr="0073614A">
              <w:t>MGA</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3BF8CE3" w14:textId="77777777" w:rsidR="0073614A" w:rsidRPr="0073614A" w:rsidRDefault="0073614A" w:rsidP="00FB5BCE">
            <w:pPr>
              <w:spacing w:after="0"/>
              <w:rPr>
                <w:b/>
                <w:iCs/>
                <w:szCs w:val="18"/>
              </w:rPr>
            </w:pPr>
            <w:r w:rsidRPr="0073614A">
              <w:t>Master Grocers Australia</w:t>
            </w:r>
          </w:p>
        </w:tc>
      </w:tr>
      <w:tr w:rsidR="0073614A" w:rsidRPr="0073614A" w14:paraId="2AF0FC53"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7B2F1A4" w14:textId="77777777" w:rsidR="0073614A" w:rsidRPr="0073614A" w:rsidRDefault="0073614A" w:rsidP="00FB5BCE">
            <w:pPr>
              <w:spacing w:after="0"/>
              <w:rPr>
                <w:bCs/>
                <w:iCs/>
                <w:szCs w:val="18"/>
              </w:rPr>
            </w:pPr>
            <w:r w:rsidRPr="0073614A">
              <w:t>MIAL</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6ECF146" w14:textId="77777777" w:rsidR="0073614A" w:rsidRPr="0073614A" w:rsidRDefault="0073614A" w:rsidP="00FB5BCE">
            <w:pPr>
              <w:spacing w:after="0"/>
              <w:rPr>
                <w:b/>
                <w:iCs/>
                <w:szCs w:val="18"/>
              </w:rPr>
            </w:pPr>
            <w:r w:rsidRPr="0073614A">
              <w:t>Maritime Industry Australia Limited</w:t>
            </w:r>
          </w:p>
        </w:tc>
      </w:tr>
      <w:tr w:rsidR="0073614A" w:rsidRPr="0073614A" w14:paraId="62C72A2F"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A0CB339" w14:textId="77777777" w:rsidR="0073614A" w:rsidRPr="0073614A" w:rsidRDefault="0073614A" w:rsidP="00FB5BCE">
            <w:pPr>
              <w:spacing w:after="0"/>
            </w:pPr>
            <w:r w:rsidRPr="0073614A">
              <w:t>MSD</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4447EF4" w14:textId="77777777" w:rsidR="0073614A" w:rsidRPr="0073614A" w:rsidRDefault="0073614A" w:rsidP="00FB5BCE">
            <w:pPr>
              <w:spacing w:after="0"/>
            </w:pPr>
            <w:r w:rsidRPr="0073614A">
              <w:t>majority support determination</w:t>
            </w:r>
          </w:p>
        </w:tc>
      </w:tr>
      <w:tr w:rsidR="0073614A" w:rsidRPr="0073614A" w14:paraId="0647F4F9"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DAA3B39" w14:textId="77777777" w:rsidR="0073614A" w:rsidRPr="0073614A" w:rsidRDefault="0073614A" w:rsidP="00FB5BCE">
            <w:pPr>
              <w:spacing w:after="0"/>
              <w:rPr>
                <w:bCs/>
                <w:iCs/>
                <w:szCs w:val="18"/>
              </w:rPr>
            </w:pPr>
            <w:r w:rsidRPr="0073614A">
              <w:t>MWTF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6AEADA2" w14:textId="77777777" w:rsidR="0073614A" w:rsidRPr="0073614A" w:rsidRDefault="0073614A" w:rsidP="00FB5BCE">
            <w:pPr>
              <w:spacing w:after="0"/>
              <w:rPr>
                <w:b/>
                <w:iCs/>
                <w:szCs w:val="18"/>
              </w:rPr>
            </w:pPr>
            <w:r w:rsidRPr="0073614A">
              <w:t xml:space="preserve">Migrant Workers’ Taskforce </w:t>
            </w:r>
          </w:p>
        </w:tc>
      </w:tr>
      <w:tr w:rsidR="0073614A" w:rsidRPr="0073614A" w14:paraId="79C2A748"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18DB520" w14:textId="77777777" w:rsidR="0073614A" w:rsidRPr="0073614A" w:rsidRDefault="0073614A" w:rsidP="00FB5BCE">
            <w:pPr>
              <w:spacing w:after="0"/>
              <w:rPr>
                <w:bCs/>
                <w:iCs/>
                <w:szCs w:val="18"/>
              </w:rPr>
            </w:pPr>
            <w:r w:rsidRPr="0073614A">
              <w:t>N/A</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46A36BD" w14:textId="77777777" w:rsidR="0073614A" w:rsidRPr="0073614A" w:rsidRDefault="0073614A" w:rsidP="00FB5BCE">
            <w:pPr>
              <w:spacing w:after="0"/>
              <w:rPr>
                <w:b/>
                <w:iCs/>
                <w:szCs w:val="18"/>
              </w:rPr>
            </w:pPr>
            <w:r w:rsidRPr="0073614A">
              <w:t>not applicable</w:t>
            </w:r>
          </w:p>
        </w:tc>
      </w:tr>
      <w:tr w:rsidR="0073614A" w:rsidRPr="0073614A" w14:paraId="3E93F0CD"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B985EF5" w14:textId="77777777" w:rsidR="0073614A" w:rsidRPr="0073614A" w:rsidRDefault="0073614A" w:rsidP="00FB5BCE">
            <w:pPr>
              <w:spacing w:after="0"/>
            </w:pPr>
            <w:r w:rsidRPr="0073614A">
              <w:t>NCIF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F7FA2C3" w14:textId="77777777" w:rsidR="0073614A" w:rsidRPr="0073614A" w:rsidRDefault="0073614A" w:rsidP="00FB5BCE">
            <w:pPr>
              <w:spacing w:after="0"/>
            </w:pPr>
            <w:r w:rsidRPr="0073614A">
              <w:t>National Construction Industry Forum</w:t>
            </w:r>
          </w:p>
        </w:tc>
      </w:tr>
      <w:tr w:rsidR="0073614A" w:rsidRPr="0073614A" w14:paraId="10C80627"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C89B9C5" w14:textId="77777777" w:rsidR="0073614A" w:rsidRPr="0073614A" w:rsidRDefault="0073614A" w:rsidP="00FB5BCE">
            <w:pPr>
              <w:spacing w:after="0"/>
              <w:rPr>
                <w:bCs/>
                <w:iCs/>
                <w:szCs w:val="18"/>
              </w:rPr>
            </w:pPr>
            <w:r w:rsidRPr="0073614A">
              <w:t>NERR</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AA8977A" w14:textId="77777777" w:rsidR="0073614A" w:rsidRPr="0073614A" w:rsidRDefault="0073614A" w:rsidP="00FB5BCE">
            <w:pPr>
              <w:spacing w:after="0"/>
              <w:rPr>
                <w:b/>
                <w:iCs/>
                <w:szCs w:val="18"/>
              </w:rPr>
            </w:pPr>
            <w:r w:rsidRPr="0073614A">
              <w:t>notice of employee representational rights</w:t>
            </w:r>
          </w:p>
        </w:tc>
      </w:tr>
      <w:tr w:rsidR="0073614A" w:rsidRPr="0073614A" w14:paraId="086DCDBD"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4A0D00C" w14:textId="77777777" w:rsidR="0073614A" w:rsidRPr="0073614A" w:rsidRDefault="0073614A" w:rsidP="00FB5BCE">
            <w:pPr>
              <w:spacing w:after="0"/>
              <w:rPr>
                <w:bCs/>
                <w:iCs/>
                <w:szCs w:val="18"/>
              </w:rPr>
            </w:pPr>
            <w:r w:rsidRPr="0073614A">
              <w:t>NES</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85A39F3" w14:textId="77777777" w:rsidR="0073614A" w:rsidRPr="0073614A" w:rsidRDefault="0073614A" w:rsidP="00FB5BCE">
            <w:pPr>
              <w:spacing w:after="0"/>
              <w:rPr>
                <w:b/>
                <w:iCs/>
                <w:szCs w:val="18"/>
              </w:rPr>
            </w:pPr>
            <w:r w:rsidRPr="0073614A">
              <w:t>National Employment Standards</w:t>
            </w:r>
          </w:p>
        </w:tc>
      </w:tr>
      <w:tr w:rsidR="0073614A" w:rsidRPr="0073614A" w14:paraId="311323EF"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77A7072" w14:textId="77777777" w:rsidR="0073614A" w:rsidRPr="0073614A" w:rsidRDefault="0073614A" w:rsidP="00FB5BCE">
            <w:pPr>
              <w:spacing w:after="0"/>
              <w:rPr>
                <w:bCs/>
                <w:iCs/>
                <w:szCs w:val="18"/>
              </w:rPr>
            </w:pPr>
            <w:r w:rsidRPr="0073614A">
              <w:t>NMW</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F38CCBC" w14:textId="77777777" w:rsidR="0073614A" w:rsidRPr="0073614A" w:rsidRDefault="0073614A" w:rsidP="00FB5BCE">
            <w:pPr>
              <w:spacing w:after="0"/>
              <w:rPr>
                <w:b/>
                <w:iCs/>
                <w:szCs w:val="18"/>
              </w:rPr>
            </w:pPr>
            <w:r w:rsidRPr="0073614A">
              <w:t>National Minimum Wage</w:t>
            </w:r>
          </w:p>
        </w:tc>
      </w:tr>
      <w:tr w:rsidR="0073614A" w:rsidRPr="0073614A" w14:paraId="5438C326"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6566748" w14:textId="77777777" w:rsidR="0073614A" w:rsidRPr="0073614A" w:rsidRDefault="0073614A" w:rsidP="00FB5BCE">
            <w:pPr>
              <w:spacing w:after="0"/>
              <w:rPr>
                <w:bCs/>
                <w:iCs/>
                <w:szCs w:val="18"/>
              </w:rPr>
            </w:pPr>
            <w:r w:rsidRPr="0073614A">
              <w:t>NSW</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BC51EBA" w14:textId="77777777" w:rsidR="0073614A" w:rsidRPr="0073614A" w:rsidRDefault="0073614A" w:rsidP="00FB5BCE">
            <w:pPr>
              <w:spacing w:after="0"/>
              <w:rPr>
                <w:b/>
                <w:iCs/>
                <w:szCs w:val="18"/>
              </w:rPr>
            </w:pPr>
            <w:r w:rsidRPr="0073614A">
              <w:t>New South Wales</w:t>
            </w:r>
          </w:p>
        </w:tc>
      </w:tr>
      <w:tr w:rsidR="0073614A" w:rsidRPr="0073614A" w14:paraId="2C8ED15F"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0A37321" w14:textId="77777777" w:rsidR="0073614A" w:rsidRPr="0073614A" w:rsidRDefault="0073614A" w:rsidP="00FB5BCE">
            <w:pPr>
              <w:spacing w:after="0"/>
              <w:rPr>
                <w:bCs/>
                <w:iCs/>
                <w:szCs w:val="18"/>
              </w:rPr>
            </w:pPr>
            <w:r w:rsidRPr="0073614A">
              <w:t>NTEU</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984892A" w14:textId="77777777" w:rsidR="0073614A" w:rsidRPr="0073614A" w:rsidRDefault="0073614A" w:rsidP="00FB5BCE">
            <w:pPr>
              <w:spacing w:after="0"/>
              <w:rPr>
                <w:b/>
                <w:iCs/>
                <w:szCs w:val="18"/>
              </w:rPr>
            </w:pPr>
            <w:r w:rsidRPr="0073614A">
              <w:t>National Tertiary Education Union</w:t>
            </w:r>
          </w:p>
        </w:tc>
      </w:tr>
      <w:tr w:rsidR="0073614A" w:rsidRPr="0073614A" w14:paraId="3A16F340"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E02FD6E" w14:textId="77777777" w:rsidR="0073614A" w:rsidRPr="0073614A" w:rsidRDefault="0073614A" w:rsidP="00FB5BCE">
            <w:pPr>
              <w:spacing w:after="0"/>
            </w:pPr>
            <w:r w:rsidRPr="0073614A">
              <w:t>NWRCC</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3C14F95" w14:textId="77777777" w:rsidR="0073614A" w:rsidRPr="0073614A" w:rsidRDefault="0073614A" w:rsidP="00FB5BCE">
            <w:pPr>
              <w:spacing w:after="0"/>
            </w:pPr>
            <w:r w:rsidRPr="0073614A">
              <w:t>National Workplace Relations Consultative Council</w:t>
            </w:r>
          </w:p>
        </w:tc>
      </w:tr>
      <w:tr w:rsidR="0073614A" w:rsidRPr="0073614A" w14:paraId="0985D1EC"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D7EBC36" w14:textId="77777777" w:rsidR="0073614A" w:rsidRPr="0073614A" w:rsidRDefault="0073614A" w:rsidP="00FB5BCE">
            <w:pPr>
              <w:spacing w:after="0"/>
              <w:rPr>
                <w:bCs/>
                <w:iCs/>
                <w:szCs w:val="18"/>
              </w:rPr>
            </w:pPr>
            <w:r w:rsidRPr="0073614A">
              <w:t>OECD</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20734EB" w14:textId="77777777" w:rsidR="0073614A" w:rsidRPr="0073614A" w:rsidRDefault="0073614A" w:rsidP="00FB5BCE">
            <w:pPr>
              <w:spacing w:after="0"/>
              <w:rPr>
                <w:b/>
                <w:iCs/>
                <w:szCs w:val="18"/>
              </w:rPr>
            </w:pPr>
            <w:r w:rsidRPr="0073614A">
              <w:t>Organisation for Economic Co-operation and Development (OECD)</w:t>
            </w:r>
          </w:p>
        </w:tc>
      </w:tr>
      <w:tr w:rsidR="0073614A" w:rsidRPr="0073614A" w14:paraId="3F77A64D"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DD30733" w14:textId="77777777" w:rsidR="0073614A" w:rsidRPr="0073614A" w:rsidRDefault="0073614A" w:rsidP="00FB5BCE">
            <w:pPr>
              <w:spacing w:after="0"/>
              <w:rPr>
                <w:bCs/>
                <w:iCs/>
                <w:szCs w:val="18"/>
              </w:rPr>
            </w:pPr>
            <w:r w:rsidRPr="0073614A">
              <w:t>OHS</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3C81FC5" w14:textId="77777777" w:rsidR="0073614A" w:rsidRPr="0073614A" w:rsidRDefault="0073614A" w:rsidP="00FB5BCE">
            <w:pPr>
              <w:spacing w:after="0"/>
              <w:rPr>
                <w:b/>
                <w:iCs/>
                <w:szCs w:val="18"/>
              </w:rPr>
            </w:pPr>
            <w:r w:rsidRPr="0073614A">
              <w:t>occupational health and safety</w:t>
            </w:r>
          </w:p>
        </w:tc>
      </w:tr>
      <w:tr w:rsidR="0073614A" w:rsidRPr="0073614A" w14:paraId="719CF23F"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C33BABA" w14:textId="77777777" w:rsidR="0073614A" w:rsidRPr="0073614A" w:rsidRDefault="0073614A" w:rsidP="00FB5BCE">
            <w:pPr>
              <w:spacing w:after="0"/>
              <w:rPr>
                <w:bCs/>
                <w:iCs/>
                <w:szCs w:val="18"/>
              </w:rPr>
            </w:pPr>
            <w:r w:rsidRPr="0073614A">
              <w:t>OLS</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78F5AD9" w14:textId="77777777" w:rsidR="0073614A" w:rsidRPr="0073614A" w:rsidRDefault="0073614A" w:rsidP="00FB5BCE">
            <w:pPr>
              <w:spacing w:after="0"/>
              <w:rPr>
                <w:b/>
                <w:iCs/>
                <w:szCs w:val="18"/>
              </w:rPr>
            </w:pPr>
            <w:r w:rsidRPr="0073614A">
              <w:t>ordinary least squares</w:t>
            </w:r>
          </w:p>
        </w:tc>
      </w:tr>
      <w:tr w:rsidR="0073614A" w:rsidRPr="0073614A" w14:paraId="5601BCA3"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D065CAA" w14:textId="77777777" w:rsidR="0073614A" w:rsidRPr="0073614A" w:rsidRDefault="0073614A" w:rsidP="00FB5BCE">
            <w:pPr>
              <w:spacing w:after="0"/>
              <w:rPr>
                <w:bCs/>
                <w:iCs/>
                <w:szCs w:val="18"/>
              </w:rPr>
            </w:pPr>
            <w:r w:rsidRPr="0073614A">
              <w:t>Ors</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81DB04F" w14:textId="77777777" w:rsidR="0073614A" w:rsidRPr="0073614A" w:rsidRDefault="0073614A" w:rsidP="00FB5BCE">
            <w:pPr>
              <w:spacing w:after="0"/>
              <w:rPr>
                <w:b/>
                <w:iCs/>
                <w:szCs w:val="18"/>
              </w:rPr>
            </w:pPr>
            <w:r w:rsidRPr="0073614A">
              <w:t>Others</w:t>
            </w:r>
          </w:p>
        </w:tc>
      </w:tr>
      <w:tr w:rsidR="0073614A" w:rsidRPr="0073614A" w14:paraId="6828AA55"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BAE8F4F" w14:textId="77777777" w:rsidR="0073614A" w:rsidRPr="0073614A" w:rsidRDefault="0073614A" w:rsidP="00FB5BCE">
            <w:pPr>
              <w:spacing w:after="0"/>
              <w:rPr>
                <w:bCs/>
                <w:iCs/>
                <w:szCs w:val="18"/>
              </w:rPr>
            </w:pPr>
            <w:r w:rsidRPr="0073614A">
              <w:t>PAB</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2BC983A" w14:textId="77777777" w:rsidR="0073614A" w:rsidRPr="0073614A" w:rsidRDefault="0073614A" w:rsidP="00FB5BCE">
            <w:pPr>
              <w:spacing w:after="0"/>
              <w:rPr>
                <w:b/>
                <w:iCs/>
                <w:szCs w:val="18"/>
              </w:rPr>
            </w:pPr>
            <w:r w:rsidRPr="0073614A">
              <w:t>protected action ballot</w:t>
            </w:r>
          </w:p>
        </w:tc>
      </w:tr>
      <w:tr w:rsidR="0073614A" w:rsidRPr="0073614A" w14:paraId="0F834FB9"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B1B60BB" w14:textId="77777777" w:rsidR="0073614A" w:rsidRPr="0073614A" w:rsidRDefault="0073614A" w:rsidP="00FB5BCE">
            <w:pPr>
              <w:spacing w:after="0"/>
              <w:rPr>
                <w:bCs/>
                <w:iCs/>
                <w:szCs w:val="18"/>
              </w:rPr>
            </w:pPr>
            <w:r w:rsidRPr="0073614A">
              <w:t>Paid Family and Domestic Violence Leave Act</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45AEEAD" w14:textId="77777777" w:rsidR="0073614A" w:rsidRPr="0073614A" w:rsidRDefault="0073614A" w:rsidP="00FB5BCE">
            <w:pPr>
              <w:spacing w:after="0"/>
              <w:rPr>
                <w:b/>
                <w:iCs/>
                <w:szCs w:val="18"/>
              </w:rPr>
            </w:pPr>
            <w:r w:rsidRPr="0073614A">
              <w:rPr>
                <w:i/>
                <w:iCs/>
              </w:rPr>
              <w:t>Fair Work Amendment (Paid Family and Domestic Violence Leave) Act 2022</w:t>
            </w:r>
            <w:r w:rsidRPr="0073614A">
              <w:t xml:space="preserve"> (Cth) </w:t>
            </w:r>
          </w:p>
        </w:tc>
      </w:tr>
      <w:tr w:rsidR="0073614A" w:rsidRPr="0073614A" w14:paraId="35EE7E8B"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B961CC3" w14:textId="77777777" w:rsidR="0073614A" w:rsidRPr="0073614A" w:rsidRDefault="0073614A" w:rsidP="00FB5BCE">
            <w:pPr>
              <w:spacing w:after="0"/>
              <w:rPr>
                <w:bCs/>
                <w:iCs/>
                <w:szCs w:val="18"/>
              </w:rPr>
            </w:pPr>
            <w:r w:rsidRPr="0073614A">
              <w:t>Qld</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8DA334B" w14:textId="77777777" w:rsidR="0073614A" w:rsidRPr="0073614A" w:rsidRDefault="0073614A" w:rsidP="00FB5BCE">
            <w:pPr>
              <w:spacing w:after="0"/>
              <w:rPr>
                <w:b/>
                <w:iCs/>
                <w:szCs w:val="18"/>
              </w:rPr>
            </w:pPr>
            <w:r w:rsidRPr="0073614A">
              <w:t>Qld</w:t>
            </w:r>
          </w:p>
        </w:tc>
      </w:tr>
      <w:tr w:rsidR="0073614A" w:rsidRPr="0073614A" w14:paraId="36F99CAB"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9795A1D" w14:textId="77777777" w:rsidR="0073614A" w:rsidRPr="0073614A" w:rsidRDefault="0073614A" w:rsidP="00FB5BCE">
            <w:pPr>
              <w:spacing w:after="0"/>
              <w:rPr>
                <w:bCs/>
                <w:iCs/>
                <w:szCs w:val="18"/>
              </w:rPr>
            </w:pPr>
            <w:r w:rsidRPr="0073614A">
              <w:t>RBA</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F82C62D" w14:textId="77777777" w:rsidR="0073614A" w:rsidRPr="0073614A" w:rsidRDefault="0073614A" w:rsidP="00FB5BCE">
            <w:pPr>
              <w:spacing w:after="0"/>
              <w:rPr>
                <w:b/>
                <w:iCs/>
                <w:szCs w:val="18"/>
              </w:rPr>
            </w:pPr>
            <w:r w:rsidRPr="0073614A">
              <w:t>Reserve Bank of Australia</w:t>
            </w:r>
          </w:p>
        </w:tc>
      </w:tr>
      <w:tr w:rsidR="0073614A" w:rsidRPr="0073614A" w14:paraId="10E0575F"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0FC0A50" w14:textId="77777777" w:rsidR="0073614A" w:rsidRPr="0073614A" w:rsidRDefault="0073614A" w:rsidP="00FB5BCE">
            <w:pPr>
              <w:spacing w:after="0"/>
            </w:pPr>
            <w:r w:rsidRPr="0073614A">
              <w:t>Regulatory Powers Act</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0246FC4" w14:textId="77777777" w:rsidR="0073614A" w:rsidRPr="0073614A" w:rsidRDefault="0073614A" w:rsidP="00FB5BCE">
            <w:pPr>
              <w:spacing w:after="0"/>
            </w:pPr>
            <w:r w:rsidRPr="0073614A">
              <w:rPr>
                <w:i/>
                <w:iCs/>
              </w:rPr>
              <w:t>Regulatory Powers (Standard Provisions) Act 2014</w:t>
            </w:r>
            <w:r w:rsidRPr="0073614A">
              <w:t xml:space="preserve"> (Cth)</w:t>
            </w:r>
          </w:p>
        </w:tc>
      </w:tr>
      <w:tr w:rsidR="0073614A" w:rsidRPr="0073614A" w14:paraId="7CA08078"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9848E97" w14:textId="77777777" w:rsidR="0073614A" w:rsidRPr="0073614A" w:rsidRDefault="0073614A" w:rsidP="00FB5BCE">
            <w:pPr>
              <w:spacing w:after="0"/>
              <w:rPr>
                <w:bCs/>
                <w:iCs/>
                <w:szCs w:val="18"/>
              </w:rPr>
            </w:pPr>
            <w:r w:rsidRPr="0073614A">
              <w:t>Respect@Work Report</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D5EE5BE" w14:textId="77777777" w:rsidR="0073614A" w:rsidRPr="0073614A" w:rsidRDefault="0073614A" w:rsidP="00FB5BCE">
            <w:pPr>
              <w:spacing w:after="0"/>
              <w:rPr>
                <w:b/>
                <w:iCs/>
                <w:szCs w:val="18"/>
              </w:rPr>
            </w:pPr>
            <w:r w:rsidRPr="0073614A">
              <w:t xml:space="preserve">Respect@Work: Sexual Harassment National Inquiry Report 2020 </w:t>
            </w:r>
          </w:p>
        </w:tc>
      </w:tr>
      <w:tr w:rsidR="0073614A" w:rsidRPr="0073614A" w14:paraId="1DD5A3F5"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46D74D4" w14:textId="77777777" w:rsidR="0073614A" w:rsidRPr="0073614A" w:rsidRDefault="0073614A" w:rsidP="00FB5BCE">
            <w:pPr>
              <w:spacing w:after="0"/>
            </w:pPr>
            <w:r w:rsidRPr="0073614A">
              <w:t>RO</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627BEF5" w14:textId="77777777" w:rsidR="0073614A" w:rsidRPr="0073614A" w:rsidRDefault="0073614A" w:rsidP="00FB5BCE">
            <w:pPr>
              <w:spacing w:after="0"/>
              <w:rPr>
                <w:i/>
                <w:iCs/>
              </w:rPr>
            </w:pPr>
            <w:r w:rsidRPr="0073614A">
              <w:t>registered</w:t>
            </w:r>
            <w:r w:rsidRPr="0073614A">
              <w:rPr>
                <w:i/>
                <w:iCs/>
              </w:rPr>
              <w:t xml:space="preserve"> </w:t>
            </w:r>
            <w:r w:rsidRPr="0073614A">
              <w:t>organisation</w:t>
            </w:r>
          </w:p>
        </w:tc>
      </w:tr>
      <w:tr w:rsidR="0073614A" w:rsidRPr="0073614A" w14:paraId="7E64C14D"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7FFB783" w14:textId="77777777" w:rsidR="0073614A" w:rsidRPr="0073614A" w:rsidRDefault="0073614A" w:rsidP="00FB5BCE">
            <w:pPr>
              <w:spacing w:after="0"/>
            </w:pPr>
            <w:r w:rsidRPr="0073614A">
              <w:t>ROAC</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82FD756" w14:textId="77777777" w:rsidR="0073614A" w:rsidRPr="0073614A" w:rsidRDefault="0073614A" w:rsidP="00FB5BCE">
            <w:pPr>
              <w:spacing w:after="0"/>
            </w:pPr>
            <w:r w:rsidRPr="0073614A">
              <w:t>Registered Organisations Advisory Committee</w:t>
            </w:r>
          </w:p>
        </w:tc>
      </w:tr>
      <w:tr w:rsidR="0073614A" w:rsidRPr="0073614A" w14:paraId="41AB5E30"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A58969D" w14:textId="77777777" w:rsidR="0073614A" w:rsidRPr="0073614A" w:rsidRDefault="0073614A" w:rsidP="00FB5BCE">
            <w:pPr>
              <w:spacing w:after="0"/>
            </w:pPr>
            <w:r w:rsidRPr="0073614A">
              <w:t>RO Act</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396F7C0" w14:textId="77777777" w:rsidR="0073614A" w:rsidRPr="0073614A" w:rsidRDefault="0073614A" w:rsidP="00FB5BCE">
            <w:pPr>
              <w:spacing w:after="0"/>
            </w:pPr>
            <w:r w:rsidRPr="0073614A">
              <w:rPr>
                <w:i/>
                <w:iCs/>
              </w:rPr>
              <w:t>Fair Work (Registered Organisations) Act 2009</w:t>
            </w:r>
            <w:r w:rsidRPr="0073614A">
              <w:t xml:space="preserve"> (Cth)</w:t>
            </w:r>
          </w:p>
        </w:tc>
      </w:tr>
      <w:tr w:rsidR="0073614A" w:rsidRPr="0073614A" w14:paraId="5A100248"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6491E51" w14:textId="77777777" w:rsidR="0073614A" w:rsidRPr="0073614A" w:rsidRDefault="0073614A" w:rsidP="00FB5BCE">
            <w:pPr>
              <w:spacing w:after="0"/>
            </w:pPr>
            <w:r w:rsidRPr="0073614A">
              <w:t>ROC</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E1D0330" w14:textId="77777777" w:rsidR="0073614A" w:rsidRPr="0073614A" w:rsidRDefault="0073614A" w:rsidP="00FB5BCE">
            <w:pPr>
              <w:spacing w:after="0"/>
            </w:pPr>
            <w:r w:rsidRPr="0073614A">
              <w:t>Registered Organisations Commission</w:t>
            </w:r>
          </w:p>
        </w:tc>
      </w:tr>
      <w:tr w:rsidR="0073614A" w:rsidRPr="0073614A" w14:paraId="47809868"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33466B0" w14:textId="77777777" w:rsidR="0073614A" w:rsidRPr="0073614A" w:rsidRDefault="0073614A" w:rsidP="00FB5BCE">
            <w:pPr>
              <w:spacing w:after="0"/>
            </w:pPr>
            <w:r w:rsidRPr="0073614A">
              <w:t>ROCTAC</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C54424E" w14:textId="77777777" w:rsidR="0073614A" w:rsidRPr="0073614A" w:rsidRDefault="0073614A" w:rsidP="00FB5BCE">
            <w:pPr>
              <w:spacing w:after="0"/>
            </w:pPr>
            <w:r w:rsidRPr="0073614A">
              <w:t>Registered Organisations Commission Transition Advisory Committee</w:t>
            </w:r>
          </w:p>
        </w:tc>
      </w:tr>
      <w:tr w:rsidR="0073614A" w:rsidRPr="0073614A" w14:paraId="18CCF91F"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B63A12E" w14:textId="77777777" w:rsidR="0073614A" w:rsidRPr="0073614A" w:rsidRDefault="0073614A" w:rsidP="00FB5BCE">
            <w:pPr>
              <w:spacing w:after="0"/>
            </w:pPr>
            <w:r w:rsidRPr="0073614A">
              <w:t>ROSB</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82B1B8F" w14:textId="77777777" w:rsidR="0073614A" w:rsidRPr="0073614A" w:rsidRDefault="0073614A" w:rsidP="00FB5BCE">
            <w:pPr>
              <w:spacing w:after="0"/>
            </w:pPr>
            <w:r w:rsidRPr="0073614A">
              <w:t>Registered Organisations Services Branch</w:t>
            </w:r>
          </w:p>
        </w:tc>
      </w:tr>
      <w:tr w:rsidR="0073614A" w:rsidRPr="0073614A" w14:paraId="326E6D40"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A7DC845" w14:textId="77777777" w:rsidR="0073614A" w:rsidRPr="0073614A" w:rsidRDefault="0073614A" w:rsidP="00FB5BCE">
            <w:pPr>
              <w:spacing w:after="0"/>
              <w:rPr>
                <w:bCs/>
                <w:iCs/>
                <w:szCs w:val="18"/>
              </w:rPr>
            </w:pPr>
            <w:r w:rsidRPr="0073614A">
              <w:t>RULC</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678C6C7" w14:textId="77777777" w:rsidR="0073614A" w:rsidRPr="0073614A" w:rsidRDefault="0073614A" w:rsidP="00FB5BCE">
            <w:pPr>
              <w:spacing w:after="0"/>
              <w:rPr>
                <w:b/>
                <w:iCs/>
                <w:szCs w:val="18"/>
              </w:rPr>
            </w:pPr>
            <w:r w:rsidRPr="0073614A">
              <w:t>real unit labour costs</w:t>
            </w:r>
          </w:p>
        </w:tc>
      </w:tr>
      <w:tr w:rsidR="0073614A" w:rsidRPr="0073614A" w14:paraId="253724CF"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162097D" w14:textId="77777777" w:rsidR="0073614A" w:rsidRPr="0073614A" w:rsidRDefault="0073614A" w:rsidP="00FB5BCE">
            <w:pPr>
              <w:spacing w:after="0"/>
              <w:rPr>
                <w:bCs/>
                <w:iCs/>
                <w:szCs w:val="18"/>
              </w:rPr>
            </w:pPr>
            <w:r w:rsidRPr="0073614A">
              <w:t>SACS case</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912E710" w14:textId="77777777" w:rsidR="0073614A" w:rsidRPr="0073614A" w:rsidRDefault="0073614A" w:rsidP="00FB5BCE">
            <w:pPr>
              <w:spacing w:after="0"/>
              <w:rPr>
                <w:b/>
                <w:iCs/>
                <w:szCs w:val="18"/>
              </w:rPr>
            </w:pPr>
            <w:r w:rsidRPr="0073614A">
              <w:t>Social and Community Services test case</w:t>
            </w:r>
          </w:p>
        </w:tc>
      </w:tr>
      <w:tr w:rsidR="0073614A" w:rsidRPr="0073614A" w14:paraId="23F8190C"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F8BE46D" w14:textId="77777777" w:rsidR="0073614A" w:rsidRPr="0073614A" w:rsidRDefault="0073614A" w:rsidP="00FB5BCE">
            <w:pPr>
              <w:spacing w:after="0"/>
              <w:rPr>
                <w:bCs/>
                <w:iCs/>
                <w:szCs w:val="18"/>
              </w:rPr>
            </w:pPr>
            <w:r w:rsidRPr="0073614A">
              <w:t>SDA</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4C71186" w14:textId="77777777" w:rsidR="0073614A" w:rsidRPr="0073614A" w:rsidRDefault="0073614A" w:rsidP="00FB5BCE">
            <w:pPr>
              <w:spacing w:after="0"/>
              <w:rPr>
                <w:b/>
                <w:iCs/>
                <w:szCs w:val="18"/>
              </w:rPr>
            </w:pPr>
            <w:r w:rsidRPr="0073614A">
              <w:t>Shop, Distributive and Allied Employees Association</w:t>
            </w:r>
          </w:p>
        </w:tc>
      </w:tr>
      <w:tr w:rsidR="0073614A" w:rsidRPr="0073614A" w14:paraId="5D4E5681"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FE5B341" w14:textId="77777777" w:rsidR="0073614A" w:rsidRPr="0073614A" w:rsidRDefault="0073614A" w:rsidP="00FB5BCE">
            <w:pPr>
              <w:spacing w:after="0"/>
            </w:pPr>
            <w:r w:rsidRPr="0073614A">
              <w:t>Secure Jobs, Better Pay Act</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A1AB2E9" w14:textId="77777777" w:rsidR="0073614A" w:rsidRPr="0073614A" w:rsidRDefault="0073614A" w:rsidP="00FB5BCE">
            <w:pPr>
              <w:spacing w:after="0"/>
              <w:rPr>
                <w:i/>
                <w:iCs/>
              </w:rPr>
            </w:pPr>
            <w:r w:rsidRPr="0073614A">
              <w:rPr>
                <w:i/>
                <w:iCs/>
              </w:rPr>
              <w:t>Fair Work Legislation Amendment (Secure Jobs, Better Pay) Act 2022 (Cth)</w:t>
            </w:r>
          </w:p>
        </w:tc>
      </w:tr>
      <w:tr w:rsidR="0073614A" w:rsidRPr="0073614A" w14:paraId="2FD60323"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159861B" w14:textId="77777777" w:rsidR="0073614A" w:rsidRPr="0073614A" w:rsidRDefault="0073614A" w:rsidP="00FB5BCE">
            <w:pPr>
              <w:spacing w:after="0"/>
            </w:pPr>
            <w:r w:rsidRPr="0073614A">
              <w:t>Secure Jobs, Better Pay amendments</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27A7B3A" w14:textId="77777777" w:rsidR="0073614A" w:rsidRPr="0073614A" w:rsidRDefault="0073614A" w:rsidP="00FB5BCE">
            <w:pPr>
              <w:spacing w:after="0"/>
            </w:pPr>
            <w:r w:rsidRPr="0073614A">
              <w:rPr>
                <w:i/>
                <w:iCs/>
              </w:rPr>
              <w:t>Fair Work Legislation Amendment (Secure Jobs, Better Pay) Act 2022</w:t>
            </w:r>
            <w:r w:rsidRPr="0073614A">
              <w:t xml:space="preserve"> (Cth)</w:t>
            </w:r>
          </w:p>
        </w:tc>
      </w:tr>
      <w:tr w:rsidR="0073614A" w:rsidRPr="0073614A" w14:paraId="622ED939"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0432FDB" w14:textId="77777777" w:rsidR="0073614A" w:rsidRPr="0073614A" w:rsidRDefault="0073614A" w:rsidP="00FB5BCE">
            <w:pPr>
              <w:spacing w:after="0"/>
            </w:pPr>
            <w:r w:rsidRPr="0073614A">
              <w:t>Secure Jobs, Better Pay Bill</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C8FC2BE" w14:textId="77777777" w:rsidR="0073614A" w:rsidRPr="0073614A" w:rsidRDefault="0073614A" w:rsidP="00FB5BCE">
            <w:pPr>
              <w:spacing w:after="0"/>
            </w:pPr>
            <w:r w:rsidRPr="0073614A">
              <w:t>Fair Work Legislation Amendment (Secure Jobs, Better Pay) Bill 2022 (Cth)</w:t>
            </w:r>
          </w:p>
        </w:tc>
      </w:tr>
      <w:tr w:rsidR="0073614A" w:rsidRPr="0073614A" w14:paraId="277A9560"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A50569E" w14:textId="77777777" w:rsidR="0073614A" w:rsidRPr="0073614A" w:rsidRDefault="0073614A" w:rsidP="00FB5BCE">
            <w:pPr>
              <w:spacing w:after="0"/>
              <w:rPr>
                <w:bCs/>
                <w:iCs/>
                <w:szCs w:val="18"/>
              </w:rPr>
            </w:pPr>
            <w:r w:rsidRPr="0073614A">
              <w:t>SERC</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717CF5B" w14:textId="77777777" w:rsidR="0073614A" w:rsidRPr="0073614A" w:rsidRDefault="0073614A" w:rsidP="00FB5BCE">
            <w:pPr>
              <w:spacing w:after="0"/>
              <w:rPr>
                <w:b/>
                <w:iCs/>
                <w:szCs w:val="18"/>
              </w:rPr>
            </w:pPr>
            <w:r w:rsidRPr="0073614A">
              <w:t>Senate Economics Reference Committee (SERC)</w:t>
            </w:r>
          </w:p>
        </w:tc>
      </w:tr>
      <w:tr w:rsidR="0073614A" w:rsidRPr="0073614A" w14:paraId="28097351"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4C14A03" w14:textId="77777777" w:rsidR="0073614A" w:rsidRPr="0073614A" w:rsidRDefault="0073614A" w:rsidP="00FB5BCE">
            <w:pPr>
              <w:spacing w:after="0"/>
              <w:rPr>
                <w:bCs/>
                <w:iCs/>
                <w:szCs w:val="18"/>
              </w:rPr>
            </w:pPr>
            <w:r w:rsidRPr="0073614A">
              <w:t>SRC Act</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641092B" w14:textId="77777777" w:rsidR="0073614A" w:rsidRPr="0073614A" w:rsidRDefault="0073614A" w:rsidP="00FB5BCE">
            <w:pPr>
              <w:spacing w:after="0"/>
              <w:rPr>
                <w:b/>
                <w:iCs/>
                <w:szCs w:val="18"/>
              </w:rPr>
            </w:pPr>
            <w:r w:rsidRPr="0073614A">
              <w:rPr>
                <w:i/>
                <w:iCs/>
              </w:rPr>
              <w:t>Safety, Rehabilitation and Compensation Act 1988</w:t>
            </w:r>
            <w:r w:rsidRPr="0073614A">
              <w:t xml:space="preserve"> (Cth) (SRC Act)</w:t>
            </w:r>
          </w:p>
        </w:tc>
      </w:tr>
      <w:tr w:rsidR="0073614A" w:rsidRPr="0073614A" w14:paraId="2D855F08"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D99A2DA" w14:textId="77777777" w:rsidR="0073614A" w:rsidRPr="0073614A" w:rsidRDefault="0073614A" w:rsidP="00FB5BCE">
            <w:pPr>
              <w:spacing w:after="0"/>
              <w:rPr>
                <w:bCs/>
                <w:iCs/>
                <w:szCs w:val="18"/>
              </w:rPr>
            </w:pPr>
            <w:r w:rsidRPr="0073614A">
              <w:t>t/as</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A09300E" w14:textId="77777777" w:rsidR="0073614A" w:rsidRPr="0073614A" w:rsidRDefault="0073614A" w:rsidP="00FB5BCE">
            <w:pPr>
              <w:spacing w:after="0"/>
              <w:rPr>
                <w:b/>
                <w:iCs/>
                <w:szCs w:val="18"/>
              </w:rPr>
            </w:pPr>
            <w:r w:rsidRPr="0073614A">
              <w:t>trading as</w:t>
            </w:r>
          </w:p>
        </w:tc>
      </w:tr>
      <w:tr w:rsidR="0073614A" w:rsidRPr="0073614A" w14:paraId="68E807C2"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09B767E" w14:textId="77777777" w:rsidR="0073614A" w:rsidRPr="0073614A" w:rsidRDefault="0073614A" w:rsidP="00FB5BCE">
            <w:pPr>
              <w:spacing w:after="0"/>
              <w:rPr>
                <w:bCs/>
                <w:iCs/>
                <w:szCs w:val="18"/>
              </w:rPr>
            </w:pPr>
            <w:r w:rsidRPr="0073614A">
              <w:t>TIS National</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71DAFA5" w14:textId="77777777" w:rsidR="0073614A" w:rsidRPr="0073614A" w:rsidRDefault="0073614A" w:rsidP="00FB5BCE">
            <w:pPr>
              <w:spacing w:after="0"/>
              <w:rPr>
                <w:b/>
                <w:iCs/>
                <w:szCs w:val="18"/>
              </w:rPr>
            </w:pPr>
            <w:r w:rsidRPr="0073614A">
              <w:t>Translation and Interpreting Service</w:t>
            </w:r>
          </w:p>
        </w:tc>
      </w:tr>
      <w:tr w:rsidR="0073614A" w:rsidRPr="0073614A" w14:paraId="42708990"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87E8DDF" w14:textId="77777777" w:rsidR="0073614A" w:rsidRPr="0073614A" w:rsidRDefault="0073614A" w:rsidP="00FB5BCE">
            <w:pPr>
              <w:spacing w:after="0"/>
              <w:rPr>
                <w:bCs/>
                <w:iCs/>
                <w:szCs w:val="18"/>
              </w:rPr>
            </w:pPr>
            <w:r w:rsidRPr="0073614A">
              <w:t>TWU</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A15692C" w14:textId="77777777" w:rsidR="0073614A" w:rsidRPr="0073614A" w:rsidRDefault="0073614A" w:rsidP="00FB5BCE">
            <w:pPr>
              <w:spacing w:after="0"/>
              <w:rPr>
                <w:b/>
                <w:iCs/>
                <w:szCs w:val="18"/>
              </w:rPr>
            </w:pPr>
            <w:r w:rsidRPr="0073614A">
              <w:t>Transport Workers’ Union</w:t>
            </w:r>
          </w:p>
        </w:tc>
      </w:tr>
      <w:tr w:rsidR="0073614A" w:rsidRPr="0073614A" w14:paraId="045A91D6"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25A2536" w14:textId="77777777" w:rsidR="0073614A" w:rsidRPr="0073614A" w:rsidRDefault="0073614A" w:rsidP="00FB5BCE">
            <w:pPr>
              <w:spacing w:after="0"/>
              <w:rPr>
                <w:bCs/>
                <w:iCs/>
                <w:szCs w:val="18"/>
              </w:rPr>
            </w:pPr>
            <w:r w:rsidRPr="0073614A">
              <w:t>UFU</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75288E6" w14:textId="77777777" w:rsidR="0073614A" w:rsidRPr="0073614A" w:rsidRDefault="0073614A" w:rsidP="00FB5BCE">
            <w:pPr>
              <w:spacing w:after="0"/>
              <w:rPr>
                <w:b/>
                <w:iCs/>
                <w:szCs w:val="18"/>
              </w:rPr>
            </w:pPr>
            <w:r w:rsidRPr="0073614A">
              <w:t>United Firefighters’ Union of Australia</w:t>
            </w:r>
          </w:p>
        </w:tc>
      </w:tr>
      <w:tr w:rsidR="0073614A" w:rsidRPr="0073614A" w14:paraId="09A35784"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1996DA6" w14:textId="77777777" w:rsidR="0073614A" w:rsidRPr="0073614A" w:rsidRDefault="0073614A" w:rsidP="00FB5BCE">
            <w:pPr>
              <w:spacing w:after="0"/>
              <w:rPr>
                <w:bCs/>
                <w:iCs/>
                <w:szCs w:val="18"/>
              </w:rPr>
            </w:pPr>
            <w:r w:rsidRPr="0073614A">
              <w:t>UK</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61047E8" w14:textId="77777777" w:rsidR="0073614A" w:rsidRPr="0073614A" w:rsidRDefault="0073614A" w:rsidP="00FB5BCE">
            <w:pPr>
              <w:spacing w:after="0"/>
              <w:rPr>
                <w:b/>
                <w:iCs/>
                <w:szCs w:val="18"/>
              </w:rPr>
            </w:pPr>
            <w:r w:rsidRPr="0073614A">
              <w:t>United Kingdom</w:t>
            </w:r>
          </w:p>
        </w:tc>
      </w:tr>
      <w:tr w:rsidR="0073614A" w:rsidRPr="0073614A" w14:paraId="41FDE18E"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A611A53" w14:textId="77777777" w:rsidR="0073614A" w:rsidRPr="0073614A" w:rsidRDefault="0073614A" w:rsidP="00FB5BCE">
            <w:pPr>
              <w:spacing w:after="0"/>
              <w:rPr>
                <w:bCs/>
                <w:iCs/>
                <w:szCs w:val="18"/>
              </w:rPr>
            </w:pPr>
            <w:r w:rsidRPr="0073614A">
              <w:t>Unanderra Agreement</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A3BC4E8" w14:textId="77777777" w:rsidR="0073614A" w:rsidRPr="0073614A" w:rsidRDefault="0073614A" w:rsidP="00FB5BCE">
            <w:pPr>
              <w:spacing w:after="0"/>
              <w:rPr>
                <w:b/>
                <w:iCs/>
                <w:szCs w:val="18"/>
              </w:rPr>
            </w:pPr>
            <w:r w:rsidRPr="0073614A">
              <w:t xml:space="preserve">Cleanaway Solid Waste Services (C&amp;I) Wollongong Enterprise Agreement 2020 </w:t>
            </w:r>
          </w:p>
        </w:tc>
      </w:tr>
      <w:tr w:rsidR="0073614A" w:rsidRPr="0073614A" w14:paraId="374017FA"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3C2E64B" w14:textId="77777777" w:rsidR="0073614A" w:rsidRPr="0073614A" w:rsidRDefault="0073614A" w:rsidP="00FB5BCE">
            <w:pPr>
              <w:spacing w:after="0"/>
              <w:rPr>
                <w:bCs/>
                <w:iCs/>
                <w:szCs w:val="18"/>
              </w:rPr>
            </w:pPr>
            <w:r w:rsidRPr="0073614A">
              <w:t>UWU</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7099FB1" w14:textId="77777777" w:rsidR="0073614A" w:rsidRPr="0073614A" w:rsidRDefault="0073614A" w:rsidP="00FB5BCE">
            <w:pPr>
              <w:spacing w:after="0"/>
              <w:rPr>
                <w:b/>
                <w:iCs/>
                <w:szCs w:val="18"/>
              </w:rPr>
            </w:pPr>
            <w:r w:rsidRPr="0073614A">
              <w:t>United Workers Union</w:t>
            </w:r>
          </w:p>
        </w:tc>
      </w:tr>
      <w:tr w:rsidR="0073614A" w:rsidRPr="0073614A" w14:paraId="41235D17"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0E4A105" w14:textId="77777777" w:rsidR="0073614A" w:rsidRPr="0073614A" w:rsidRDefault="0073614A" w:rsidP="00FB5BCE">
            <w:pPr>
              <w:spacing w:after="0"/>
              <w:rPr>
                <w:bCs/>
                <w:iCs/>
                <w:szCs w:val="18"/>
              </w:rPr>
            </w:pPr>
            <w:r w:rsidRPr="0073614A">
              <w:t>VARA</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E02166E" w14:textId="77777777" w:rsidR="0073614A" w:rsidRPr="0073614A" w:rsidRDefault="0073614A" w:rsidP="00FB5BCE">
            <w:pPr>
              <w:spacing w:after="0"/>
              <w:rPr>
                <w:b/>
                <w:iCs/>
                <w:szCs w:val="18"/>
              </w:rPr>
            </w:pPr>
            <w:r w:rsidRPr="0073614A">
              <w:t>Virgin Australia Regional Airlines</w:t>
            </w:r>
          </w:p>
        </w:tc>
      </w:tr>
      <w:tr w:rsidR="0073614A" w:rsidRPr="0073614A" w14:paraId="7C43DFBE"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4B7211D" w14:textId="77777777" w:rsidR="0073614A" w:rsidRPr="0073614A" w:rsidRDefault="0073614A" w:rsidP="00FB5BCE">
            <w:pPr>
              <w:spacing w:after="0"/>
              <w:rPr>
                <w:bCs/>
                <w:iCs/>
                <w:szCs w:val="18"/>
              </w:rPr>
            </w:pPr>
            <w:r w:rsidRPr="0073614A">
              <w:t>Vic</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07DFC47" w14:textId="77777777" w:rsidR="0073614A" w:rsidRPr="0073614A" w:rsidRDefault="0073614A" w:rsidP="00FB5BCE">
            <w:pPr>
              <w:spacing w:after="0"/>
              <w:rPr>
                <w:b/>
                <w:iCs/>
                <w:szCs w:val="18"/>
              </w:rPr>
            </w:pPr>
            <w:r w:rsidRPr="0073614A">
              <w:t>Victoria</w:t>
            </w:r>
          </w:p>
        </w:tc>
      </w:tr>
      <w:tr w:rsidR="0073614A" w:rsidRPr="0073614A" w14:paraId="41A8665F"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2EB85D1" w14:textId="77777777" w:rsidR="0073614A" w:rsidRPr="0073614A" w:rsidRDefault="0073614A" w:rsidP="00FB5BCE">
            <w:pPr>
              <w:spacing w:after="0"/>
              <w:rPr>
                <w:bCs/>
                <w:iCs/>
                <w:szCs w:val="18"/>
              </w:rPr>
            </w:pPr>
            <w:r w:rsidRPr="0073614A">
              <w:t>Vic OHS law</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07989CE" w14:textId="77777777" w:rsidR="0073614A" w:rsidRPr="0073614A" w:rsidRDefault="0073614A" w:rsidP="00FB5BCE">
            <w:pPr>
              <w:spacing w:after="0"/>
              <w:rPr>
                <w:b/>
                <w:iCs/>
                <w:szCs w:val="18"/>
              </w:rPr>
            </w:pPr>
            <w:r w:rsidRPr="0073614A">
              <w:t>Occupational Health and Safety Act 2004 (Vic)</w:t>
            </w:r>
          </w:p>
        </w:tc>
      </w:tr>
      <w:tr w:rsidR="0073614A" w:rsidRPr="0073614A" w14:paraId="70886911"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46C2FBD" w14:textId="77777777" w:rsidR="0073614A" w:rsidRPr="0073614A" w:rsidRDefault="0073614A" w:rsidP="00FB5BCE">
            <w:pPr>
              <w:spacing w:after="0"/>
            </w:pPr>
            <w:r w:rsidRPr="0073614A">
              <w:t>WA</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5704EB5" w14:textId="77777777" w:rsidR="0073614A" w:rsidRPr="0073614A" w:rsidRDefault="0073614A" w:rsidP="00FB5BCE">
            <w:pPr>
              <w:spacing w:after="0"/>
            </w:pPr>
            <w:r w:rsidRPr="0073614A">
              <w:t>Western Australia</w:t>
            </w:r>
          </w:p>
        </w:tc>
      </w:tr>
      <w:tr w:rsidR="0073614A" w:rsidRPr="0073614A" w14:paraId="10F15846"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C339FFF" w14:textId="77777777" w:rsidR="0073614A" w:rsidRPr="0073614A" w:rsidRDefault="0073614A" w:rsidP="00FB5BCE">
            <w:pPr>
              <w:spacing w:after="0"/>
              <w:rPr>
                <w:bCs/>
                <w:iCs/>
                <w:szCs w:val="18"/>
              </w:rPr>
            </w:pPr>
            <w:r w:rsidRPr="0073614A">
              <w:t>WAD</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38DC5FE" w14:textId="77777777" w:rsidR="0073614A" w:rsidRPr="0073614A" w:rsidRDefault="0073614A" w:rsidP="00FB5BCE">
            <w:pPr>
              <w:spacing w:after="0"/>
              <w:rPr>
                <w:b/>
                <w:iCs/>
                <w:szCs w:val="18"/>
              </w:rPr>
            </w:pPr>
            <w:r w:rsidRPr="0073614A">
              <w:t>Workplace Agreement Database</w:t>
            </w:r>
          </w:p>
        </w:tc>
      </w:tr>
      <w:tr w:rsidR="0073614A" w:rsidRPr="0073614A" w14:paraId="2A5C9CE2"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5D43559" w14:textId="77777777" w:rsidR="0073614A" w:rsidRPr="0073614A" w:rsidRDefault="0073614A" w:rsidP="00FB5BCE">
            <w:pPr>
              <w:spacing w:after="0"/>
            </w:pPr>
            <w:r w:rsidRPr="0073614A">
              <w:t>WAPOU</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90F487D" w14:textId="77777777" w:rsidR="0073614A" w:rsidRPr="0073614A" w:rsidRDefault="0073614A" w:rsidP="00FB5BCE">
            <w:pPr>
              <w:spacing w:after="0"/>
            </w:pPr>
            <w:r w:rsidRPr="0073614A">
              <w:t>Western Australian Prison Officers’ Union</w:t>
            </w:r>
          </w:p>
        </w:tc>
      </w:tr>
      <w:tr w:rsidR="0073614A" w:rsidRPr="0073614A" w14:paraId="08CF9642"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DFB49CB" w14:textId="77777777" w:rsidR="0073614A" w:rsidRPr="0073614A" w:rsidRDefault="0073614A" w:rsidP="00FB5BCE">
            <w:pPr>
              <w:spacing w:after="0"/>
              <w:rPr>
                <w:bCs/>
                <w:iCs/>
                <w:szCs w:val="18"/>
              </w:rPr>
            </w:pPr>
            <w:r w:rsidRPr="0073614A">
              <w:t>WEF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C4AB35B" w14:textId="77777777" w:rsidR="0073614A" w:rsidRPr="0073614A" w:rsidRDefault="0073614A" w:rsidP="00FB5BCE">
            <w:pPr>
              <w:spacing w:after="0"/>
              <w:rPr>
                <w:b/>
                <w:iCs/>
                <w:szCs w:val="18"/>
              </w:rPr>
            </w:pPr>
            <w:r w:rsidRPr="0073614A">
              <w:t>World Economic Forum</w:t>
            </w:r>
          </w:p>
        </w:tc>
      </w:tr>
      <w:tr w:rsidR="0073614A" w:rsidRPr="0073614A" w14:paraId="47E140C5"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EC4208B" w14:textId="77777777" w:rsidR="0073614A" w:rsidRPr="0073614A" w:rsidRDefault="0073614A" w:rsidP="00FB5BCE">
            <w:pPr>
              <w:spacing w:after="0"/>
              <w:rPr>
                <w:bCs/>
                <w:iCs/>
                <w:szCs w:val="18"/>
              </w:rPr>
            </w:pPr>
            <w:r w:rsidRPr="0073614A">
              <w:t>WGEA</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52141AC" w14:textId="77777777" w:rsidR="0073614A" w:rsidRPr="0073614A" w:rsidRDefault="0073614A" w:rsidP="00FB5BCE">
            <w:pPr>
              <w:spacing w:after="0"/>
              <w:rPr>
                <w:b/>
                <w:iCs/>
                <w:szCs w:val="18"/>
              </w:rPr>
            </w:pPr>
            <w:r w:rsidRPr="0073614A">
              <w:t>Workplace Gender Equality Agency</w:t>
            </w:r>
          </w:p>
        </w:tc>
      </w:tr>
      <w:tr w:rsidR="0073614A" w:rsidRPr="0073614A" w14:paraId="3C9BAF8D"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77EA4E1" w14:textId="77777777" w:rsidR="0073614A" w:rsidRPr="0073614A" w:rsidRDefault="0073614A" w:rsidP="00FB5BCE">
            <w:pPr>
              <w:spacing w:after="0"/>
              <w:rPr>
                <w:bCs/>
                <w:iCs/>
                <w:szCs w:val="18"/>
              </w:rPr>
            </w:pPr>
            <w:r w:rsidRPr="0073614A">
              <w:t>WHS</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0880103" w14:textId="77777777" w:rsidR="0073614A" w:rsidRPr="0073614A" w:rsidRDefault="0073614A" w:rsidP="00FB5BCE">
            <w:pPr>
              <w:spacing w:after="0"/>
              <w:rPr>
                <w:b/>
                <w:iCs/>
                <w:szCs w:val="18"/>
              </w:rPr>
            </w:pPr>
            <w:r w:rsidRPr="0073614A">
              <w:t>work health and safety</w:t>
            </w:r>
          </w:p>
        </w:tc>
      </w:tr>
      <w:tr w:rsidR="0073614A" w:rsidRPr="0073614A" w14:paraId="507EFC75" w14:textId="77777777" w:rsidTr="00954673">
        <w:trPr>
          <w:trHeight w:val="20"/>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BAA776F" w14:textId="77777777" w:rsidR="0073614A" w:rsidRPr="0073614A" w:rsidRDefault="0073614A" w:rsidP="00FB5BCE">
            <w:pPr>
              <w:spacing w:after="0"/>
              <w:rPr>
                <w:bCs/>
                <w:iCs/>
                <w:szCs w:val="18"/>
              </w:rPr>
            </w:pPr>
            <w:r w:rsidRPr="0073614A">
              <w:t>WPI</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5B4B48B" w14:textId="77777777" w:rsidR="0073614A" w:rsidRPr="0073614A" w:rsidRDefault="0073614A" w:rsidP="00FB5BCE">
            <w:pPr>
              <w:spacing w:after="0"/>
              <w:rPr>
                <w:b/>
                <w:iCs/>
                <w:szCs w:val="18"/>
              </w:rPr>
            </w:pPr>
            <w:r w:rsidRPr="0073614A">
              <w:t>wage price index</w:t>
            </w:r>
          </w:p>
        </w:tc>
      </w:tr>
    </w:tbl>
    <w:p w14:paraId="274FE67A" w14:textId="77777777" w:rsidR="00677577" w:rsidRPr="00B45F7C" w:rsidRDefault="00677577" w:rsidP="00677577">
      <w:pPr>
        <w:rPr>
          <w:rFonts w:ascii="Aptos" w:eastAsia="Aptos" w:hAnsi="Aptos" w:cs="Times New Roman"/>
        </w:rPr>
      </w:pPr>
      <w:r w:rsidRPr="00B45F7C">
        <w:rPr>
          <w:rFonts w:ascii="Aptos" w:eastAsia="Aptos" w:hAnsi="Aptos" w:cs="Times New Roman"/>
        </w:rPr>
        <w:br w:type="page"/>
      </w:r>
    </w:p>
    <w:p w14:paraId="3F49A512" w14:textId="77777777" w:rsidR="00677577" w:rsidRPr="00B45F7C" w:rsidRDefault="00677577" w:rsidP="00677577">
      <w:pPr>
        <w:pStyle w:val="Heading2"/>
      </w:pPr>
      <w:bookmarkStart w:id="1146" w:name="_Toc188278065"/>
      <w:bookmarkStart w:id="1147" w:name="_Toc189260190"/>
      <w:bookmarkStart w:id="1148" w:name="_Toc189393696"/>
      <w:bookmarkStart w:id="1149" w:name="_Toc192258086"/>
      <w:bookmarkStart w:id="1150" w:name="_Toc194311468"/>
      <w:r w:rsidRPr="00B45F7C">
        <w:t>Appendix 7 – Terms of Reference</w:t>
      </w:r>
      <w:bookmarkEnd w:id="1146"/>
      <w:bookmarkEnd w:id="1147"/>
      <w:bookmarkEnd w:id="1148"/>
      <w:bookmarkEnd w:id="1149"/>
      <w:bookmarkEnd w:id="1150"/>
    </w:p>
    <w:p w14:paraId="074E79B6" w14:textId="77777777" w:rsidR="00677577" w:rsidRPr="00B45F7C" w:rsidRDefault="00677577" w:rsidP="00677577">
      <w:pPr>
        <w:rPr>
          <w:rFonts w:ascii="Aptos" w:eastAsia="Aptos" w:hAnsi="Aptos" w:cs="Times New Roman"/>
        </w:rPr>
      </w:pPr>
      <w:r w:rsidRPr="00B45F7C">
        <w:rPr>
          <w:rFonts w:ascii="Aptos" w:eastAsia="Aptos" w:hAnsi="Aptos" w:cs="Times New Roman"/>
        </w:rPr>
        <w:t>As issued by Minister Watt on 1 November 2024.</w:t>
      </w:r>
    </w:p>
    <w:p w14:paraId="689FEA3F" w14:textId="77777777" w:rsidR="00677577" w:rsidRPr="00B45F7C" w:rsidRDefault="00677577" w:rsidP="00677577">
      <w:pPr>
        <w:keepNext/>
        <w:keepLines/>
        <w:spacing w:before="320" w:after="60"/>
        <w:outlineLvl w:val="2"/>
        <w:rPr>
          <w:rFonts w:ascii="Aptos Display" w:eastAsia="Times New Roman" w:hAnsi="Aptos Display" w:cs="Times New Roman"/>
          <w:b/>
          <w:color w:val="0D2C6C"/>
          <w:sz w:val="32"/>
        </w:rPr>
      </w:pPr>
      <w:bookmarkStart w:id="1151" w:name="_Toc188278066"/>
      <w:bookmarkStart w:id="1152" w:name="_Toc189393697"/>
      <w:bookmarkStart w:id="1153" w:name="_Toc192258356"/>
      <w:bookmarkStart w:id="1154" w:name="_Toc193826730"/>
      <w:bookmarkStart w:id="1155" w:name="_Toc194066999"/>
      <w:bookmarkStart w:id="1156" w:name="_Toc194311469"/>
      <w:r w:rsidRPr="00B45F7C">
        <w:rPr>
          <w:rFonts w:ascii="Aptos Display" w:eastAsia="Times New Roman" w:hAnsi="Aptos Display" w:cs="Times New Roman"/>
          <w:b/>
          <w:color w:val="0D2C6C"/>
          <w:sz w:val="32"/>
        </w:rPr>
        <w:t>Terms of Reference</w:t>
      </w:r>
      <w:bookmarkEnd w:id="1151"/>
      <w:bookmarkEnd w:id="1152"/>
      <w:bookmarkEnd w:id="1153"/>
      <w:bookmarkEnd w:id="1154"/>
      <w:bookmarkEnd w:id="1155"/>
      <w:bookmarkEnd w:id="1156"/>
    </w:p>
    <w:p w14:paraId="6EC1F111" w14:textId="77777777" w:rsidR="0011475D" w:rsidRDefault="00677577" w:rsidP="00677577">
      <w:pPr>
        <w:rPr>
          <w:rFonts w:ascii="Aptos" w:eastAsia="Aptos" w:hAnsi="Aptos" w:cs="Times New Roman"/>
        </w:rPr>
      </w:pPr>
      <w:r w:rsidRPr="00B45F7C">
        <w:rPr>
          <w:rFonts w:ascii="Aptos" w:eastAsia="Aptos" w:hAnsi="Aptos" w:cs="Times New Roman"/>
        </w:rPr>
        <w:t xml:space="preserve">The Review Panel are conducting a joint review of the operation of </w:t>
      </w:r>
      <w:r w:rsidRPr="00B45F7C">
        <w:rPr>
          <w:rFonts w:ascii="Aptos" w:eastAsia="Aptos" w:hAnsi="Aptos" w:cs="Times New Roman"/>
          <w:i/>
          <w:iCs/>
        </w:rPr>
        <w:t>the Fair Work Legislation Amendment (Secure Jobs, Better Pay) Act 2022</w:t>
      </w:r>
      <w:r w:rsidRPr="00B45F7C">
        <w:rPr>
          <w:rFonts w:ascii="Aptos" w:eastAsia="Aptos" w:hAnsi="Aptos" w:cs="Times New Roman"/>
        </w:rPr>
        <w:t xml:space="preserve"> (Secure Jobs, Better Pay Act) and of the amendments made by Part 16A of Schedule 1 of the </w:t>
      </w:r>
      <w:r w:rsidRPr="00B45F7C">
        <w:rPr>
          <w:rFonts w:ascii="Aptos" w:eastAsia="Aptos" w:hAnsi="Aptos" w:cs="Times New Roman"/>
          <w:i/>
          <w:iCs/>
        </w:rPr>
        <w:t>Fair Work Legislation Amendment (Closing Loopholes) Act 2023</w:t>
      </w:r>
      <w:r w:rsidRPr="00B45F7C">
        <w:rPr>
          <w:rFonts w:ascii="Aptos" w:eastAsia="Aptos" w:hAnsi="Aptos" w:cs="Times New Roman"/>
        </w:rPr>
        <w:t xml:space="preserve"> (Closing Loopholes Act) (the Secure Jobs, Better Pay Review).</w:t>
      </w:r>
    </w:p>
    <w:p w14:paraId="0E011C90" w14:textId="399A47D1" w:rsidR="00677577" w:rsidRPr="00B45F7C" w:rsidRDefault="00677577" w:rsidP="00677577">
      <w:pPr>
        <w:keepNext/>
        <w:keepLines/>
        <w:spacing w:before="360" w:after="0"/>
        <w:outlineLvl w:val="3"/>
        <w:rPr>
          <w:rFonts w:ascii="Aptos Display" w:eastAsia="Times New Roman" w:hAnsi="Aptos Display" w:cs="Times New Roman"/>
          <w:b/>
          <w:iCs/>
          <w:color w:val="404246"/>
          <w:sz w:val="28"/>
        </w:rPr>
      </w:pPr>
      <w:bookmarkStart w:id="1157" w:name="_Toc188278067"/>
      <w:bookmarkStart w:id="1158" w:name="_Toc189393698"/>
      <w:r w:rsidRPr="00B45F7C">
        <w:rPr>
          <w:rFonts w:ascii="Aptos Display" w:eastAsia="Times New Roman" w:hAnsi="Aptos Display" w:cs="Times New Roman"/>
          <w:b/>
          <w:iCs/>
          <w:color w:val="404246"/>
          <w:sz w:val="28"/>
        </w:rPr>
        <w:t>Scope of the Review</w:t>
      </w:r>
      <w:bookmarkEnd w:id="1157"/>
      <w:bookmarkEnd w:id="1158"/>
    </w:p>
    <w:p w14:paraId="5BB178CF" w14:textId="77777777" w:rsidR="00677577" w:rsidRPr="00B45F7C" w:rsidRDefault="00677577" w:rsidP="00677577">
      <w:pPr>
        <w:rPr>
          <w:rFonts w:ascii="Aptos" w:eastAsia="Aptos" w:hAnsi="Aptos" w:cs="Times New Roman"/>
        </w:rPr>
      </w:pPr>
      <w:bookmarkStart w:id="1159" w:name="_Toc30065224"/>
      <w:r w:rsidRPr="00B45F7C">
        <w:rPr>
          <w:rFonts w:ascii="Aptos" w:eastAsia="Aptos" w:hAnsi="Aptos" w:cs="Times New Roman"/>
        </w:rPr>
        <w:t>The requirement for the Secure Jobs, Better Pay Review is outlined in the respective Acts:</w:t>
      </w:r>
    </w:p>
    <w:p w14:paraId="42747564" w14:textId="77777777" w:rsidR="00677577" w:rsidRPr="00B45F7C" w:rsidRDefault="00677577" w:rsidP="003F7EE6">
      <w:pPr>
        <w:numPr>
          <w:ilvl w:val="0"/>
          <w:numId w:val="44"/>
        </w:numPr>
        <w:rPr>
          <w:rFonts w:ascii="Aptos" w:eastAsia="Aptos" w:hAnsi="Aptos" w:cs="Times New Roman"/>
        </w:rPr>
      </w:pPr>
      <w:r w:rsidRPr="00B45F7C">
        <w:rPr>
          <w:rFonts w:ascii="Aptos" w:eastAsia="Aptos" w:hAnsi="Aptos" w:cs="Times New Roman"/>
        </w:rPr>
        <w:t>Secure Jobs, Better Pay Act: Section 4 of the Secure Jobs, Better Pay Act requires the Minister for Employment and Workplace Relations (the Minister) to cause a review of the amendments made by the Act to be conducted.</w:t>
      </w:r>
    </w:p>
    <w:p w14:paraId="61A6D405" w14:textId="77777777" w:rsidR="0011475D" w:rsidRDefault="00677577" w:rsidP="003F7EE6">
      <w:pPr>
        <w:numPr>
          <w:ilvl w:val="0"/>
          <w:numId w:val="44"/>
        </w:numPr>
        <w:rPr>
          <w:rFonts w:ascii="Aptos" w:eastAsia="Aptos" w:hAnsi="Aptos" w:cs="Times New Roman"/>
        </w:rPr>
      </w:pPr>
      <w:r w:rsidRPr="00B45F7C">
        <w:rPr>
          <w:rFonts w:ascii="Aptos" w:eastAsia="Aptos" w:hAnsi="Aptos" w:cs="Times New Roman"/>
        </w:rPr>
        <w:t>Closing Loopholes Act: Section 4A of the Act requires the Minister to cause a review of the operation of the amendments made by Part 16A of Schedule 1 of the Closing Loopholes Act to be conducted.</w:t>
      </w:r>
    </w:p>
    <w:p w14:paraId="07914C22" w14:textId="5B658B88" w:rsidR="00677577" w:rsidRPr="00B45F7C" w:rsidRDefault="00677577" w:rsidP="00677577">
      <w:pPr>
        <w:rPr>
          <w:rFonts w:ascii="Aptos" w:eastAsia="Aptos" w:hAnsi="Aptos" w:cs="Times New Roman"/>
        </w:rPr>
      </w:pPr>
      <w:r w:rsidRPr="00B45F7C">
        <w:rPr>
          <w:rFonts w:ascii="Aptos" w:eastAsia="Aptos" w:hAnsi="Aptos" w:cs="Times New Roman"/>
        </w:rPr>
        <w:t>Both Acts require that the:</w:t>
      </w:r>
    </w:p>
    <w:p w14:paraId="6C227A55" w14:textId="114C9392" w:rsidR="00677577" w:rsidRPr="00B45F7C" w:rsidRDefault="00677577" w:rsidP="003F7EE6">
      <w:pPr>
        <w:numPr>
          <w:ilvl w:val="0"/>
          <w:numId w:val="45"/>
        </w:numPr>
        <w:rPr>
          <w:rFonts w:ascii="Aptos" w:eastAsia="Aptos" w:hAnsi="Aptos" w:cs="Times New Roman"/>
        </w:rPr>
      </w:pPr>
      <w:r w:rsidRPr="00B45F7C">
        <w:rPr>
          <w:rFonts w:ascii="Aptos" w:eastAsia="Aptos" w:hAnsi="Aptos" w:cs="Times New Roman"/>
        </w:rPr>
        <w:t>persons who conduct the review must give the Minister a written report of the review within 6 months of the commencement of the review</w:t>
      </w:r>
    </w:p>
    <w:p w14:paraId="01BC01C0" w14:textId="77777777" w:rsidR="00677577" w:rsidRPr="00B45F7C" w:rsidRDefault="00677577" w:rsidP="003F7EE6">
      <w:pPr>
        <w:numPr>
          <w:ilvl w:val="0"/>
          <w:numId w:val="45"/>
        </w:numPr>
        <w:rPr>
          <w:rFonts w:ascii="Aptos" w:eastAsia="Aptos" w:hAnsi="Aptos" w:cs="Times New Roman"/>
        </w:rPr>
      </w:pPr>
      <w:r w:rsidRPr="00B45F7C">
        <w:rPr>
          <w:rFonts w:ascii="Aptos" w:eastAsia="Aptos" w:hAnsi="Aptos" w:cs="Times New Roman"/>
        </w:rPr>
        <w:t>Minister must cause a copy of the report or the review to be tabled in each House of the Parliament within 15 sitting days after the Minister receives it.</w:t>
      </w:r>
    </w:p>
    <w:p w14:paraId="249BC166" w14:textId="77777777" w:rsidR="00677577" w:rsidRPr="00B45F7C" w:rsidRDefault="00677577" w:rsidP="00677577">
      <w:pPr>
        <w:rPr>
          <w:rFonts w:ascii="Aptos" w:eastAsia="Aptos" w:hAnsi="Aptos" w:cs="Times New Roman"/>
        </w:rPr>
      </w:pPr>
      <w:r w:rsidRPr="00B45F7C">
        <w:rPr>
          <w:rFonts w:ascii="Aptos" w:eastAsia="Aptos" w:hAnsi="Aptos" w:cs="Times New Roman"/>
        </w:rPr>
        <w:t>The Secure Jobs, Better Pay Review commenced on 2 October 2024. A draft Report must be provided to the department on or before Friday, 31 January 2025. The draft Report is to include preliminary findings and draft recommendations and is to be published for stakeholder comment.</w:t>
      </w:r>
    </w:p>
    <w:p w14:paraId="065724B3" w14:textId="77777777" w:rsidR="00677577" w:rsidRPr="00B45F7C" w:rsidRDefault="00677577" w:rsidP="00677577">
      <w:pPr>
        <w:rPr>
          <w:rFonts w:ascii="Aptos" w:eastAsia="Aptos" w:hAnsi="Aptos" w:cs="Times New Roman"/>
        </w:rPr>
      </w:pPr>
      <w:r w:rsidRPr="00B45F7C">
        <w:rPr>
          <w:rFonts w:ascii="Aptos" w:eastAsia="Aptos" w:hAnsi="Aptos" w:cs="Times New Roman"/>
        </w:rPr>
        <w:t>A final Report is to be delivered to the Minister on or before 31 March 2025.</w:t>
      </w:r>
    </w:p>
    <w:p w14:paraId="5827ABCF" w14:textId="77777777" w:rsidR="00677577" w:rsidRPr="00B45F7C" w:rsidRDefault="00677577" w:rsidP="00677577">
      <w:pPr>
        <w:rPr>
          <w:rFonts w:ascii="Aptos" w:eastAsia="Aptos" w:hAnsi="Aptos" w:cs="Times New Roman"/>
        </w:rPr>
      </w:pPr>
      <w:r w:rsidRPr="00B45F7C">
        <w:rPr>
          <w:rFonts w:ascii="Aptos" w:eastAsia="Aptos" w:hAnsi="Aptos" w:cs="Times New Roman"/>
        </w:rPr>
        <w:t>Without limiting the matters that may be considered when conducting the review of the Secure Jobs, Better Pay Act and Part 16A of the Closing Loopholes Act, the review must:</w:t>
      </w:r>
    </w:p>
    <w:p w14:paraId="3F24BF5A" w14:textId="77777777" w:rsidR="0011475D" w:rsidRDefault="00677577" w:rsidP="003F7EE6">
      <w:pPr>
        <w:numPr>
          <w:ilvl w:val="0"/>
          <w:numId w:val="46"/>
        </w:numPr>
        <w:rPr>
          <w:rFonts w:ascii="Aptos" w:eastAsia="Aptos" w:hAnsi="Aptos" w:cs="Times New Roman"/>
        </w:rPr>
      </w:pPr>
      <w:r w:rsidRPr="00B45F7C">
        <w:rPr>
          <w:rFonts w:ascii="Aptos" w:eastAsia="Aptos" w:hAnsi="Aptos" w:cs="Times New Roman"/>
        </w:rPr>
        <w:t>consider whether the operation of the amendments are appropriate and effective</w:t>
      </w:r>
    </w:p>
    <w:p w14:paraId="25E31C11" w14:textId="55E7F812" w:rsidR="0011475D" w:rsidRDefault="00677577" w:rsidP="003F7EE6">
      <w:pPr>
        <w:numPr>
          <w:ilvl w:val="0"/>
          <w:numId w:val="46"/>
        </w:numPr>
        <w:rPr>
          <w:rFonts w:ascii="Aptos" w:eastAsia="Aptos" w:hAnsi="Aptos" w:cs="Times New Roman"/>
        </w:rPr>
      </w:pPr>
      <w:r w:rsidRPr="00B45F7C">
        <w:rPr>
          <w:rFonts w:ascii="Aptos" w:eastAsia="Aptos" w:hAnsi="Aptos" w:cs="Times New Roman"/>
        </w:rPr>
        <w:t>identify any unintended consequences of the amendments</w:t>
      </w:r>
    </w:p>
    <w:p w14:paraId="5DD766F5" w14:textId="6468DC95" w:rsidR="00677577" w:rsidRPr="00B45F7C" w:rsidRDefault="00677577" w:rsidP="003F7EE6">
      <w:pPr>
        <w:numPr>
          <w:ilvl w:val="0"/>
          <w:numId w:val="46"/>
        </w:numPr>
        <w:rPr>
          <w:rFonts w:ascii="Aptos" w:eastAsia="Aptos" w:hAnsi="Aptos" w:cs="Times New Roman"/>
        </w:rPr>
      </w:pPr>
      <w:r w:rsidRPr="00B45F7C">
        <w:rPr>
          <w:rFonts w:ascii="Aptos" w:eastAsia="Aptos" w:hAnsi="Aptos" w:cs="Times New Roman"/>
        </w:rPr>
        <w:t>consider whether further amendments to the Fair Work Act 2009, or any other legislation, are necessary to: improve the operation of the amendments or rectify any unintended consequences that are identified.</w:t>
      </w:r>
    </w:p>
    <w:bookmarkEnd w:id="1159"/>
    <w:p w14:paraId="2B95AF41" w14:textId="77777777" w:rsidR="00677577" w:rsidRPr="00B45F7C" w:rsidRDefault="00677577" w:rsidP="00677577">
      <w:pPr>
        <w:keepNext/>
        <w:keepLines/>
        <w:spacing w:before="40" w:after="0"/>
        <w:outlineLvl w:val="4"/>
        <w:rPr>
          <w:rFonts w:ascii="Aptos Display" w:eastAsia="Times New Roman" w:hAnsi="Aptos Display" w:cs="Times New Roman"/>
          <w:b/>
          <w:color w:val="62165C"/>
          <w:sz w:val="26"/>
        </w:rPr>
      </w:pPr>
      <w:r w:rsidRPr="00B45F7C">
        <w:rPr>
          <w:rFonts w:ascii="Aptos Display" w:eastAsia="Times New Roman" w:hAnsi="Aptos Display" w:cs="Times New Roman"/>
          <w:b/>
          <w:color w:val="62165C"/>
          <w:sz w:val="26"/>
        </w:rPr>
        <w:t>Secure Jobs, Better Pay Act</w:t>
      </w:r>
    </w:p>
    <w:p w14:paraId="287119D2" w14:textId="77777777" w:rsidR="00677577" w:rsidRPr="00B45F7C" w:rsidRDefault="00677577" w:rsidP="00677577">
      <w:pPr>
        <w:rPr>
          <w:rFonts w:ascii="Aptos" w:eastAsia="Aptos" w:hAnsi="Aptos" w:cs="Times New Roman"/>
        </w:rPr>
      </w:pPr>
      <w:r w:rsidRPr="00B45F7C">
        <w:rPr>
          <w:rFonts w:ascii="Aptos" w:eastAsia="Aptos" w:hAnsi="Aptos" w:cs="Times New Roman"/>
        </w:rPr>
        <w:t>The Act is the first of a series of workplace relations reforms introduced by the Australian Government and includes reforms in the following areas:</w:t>
      </w:r>
    </w:p>
    <w:p w14:paraId="76F4CB01" w14:textId="77777777" w:rsidR="0011475D" w:rsidRDefault="00677577" w:rsidP="003F7EE6">
      <w:pPr>
        <w:numPr>
          <w:ilvl w:val="0"/>
          <w:numId w:val="47"/>
        </w:numPr>
        <w:rPr>
          <w:rFonts w:ascii="Aptos" w:eastAsia="Aptos" w:hAnsi="Aptos" w:cs="Times New Roman"/>
        </w:rPr>
      </w:pPr>
      <w:r w:rsidRPr="00B45F7C">
        <w:rPr>
          <w:rFonts w:ascii="Aptos" w:eastAsia="Aptos" w:hAnsi="Aptos" w:cs="Times New Roman"/>
        </w:rPr>
        <w:t>Enterprise bargaining</w:t>
      </w:r>
    </w:p>
    <w:p w14:paraId="7282B239" w14:textId="26110B8C" w:rsidR="00677577" w:rsidRPr="00B45F7C" w:rsidRDefault="00677577" w:rsidP="003F7EE6">
      <w:pPr>
        <w:numPr>
          <w:ilvl w:val="0"/>
          <w:numId w:val="47"/>
        </w:numPr>
        <w:rPr>
          <w:rFonts w:ascii="Aptos" w:eastAsia="Aptos" w:hAnsi="Aptos" w:cs="Times New Roman"/>
        </w:rPr>
      </w:pPr>
      <w:r w:rsidRPr="00B45F7C">
        <w:rPr>
          <w:rFonts w:ascii="Aptos" w:eastAsia="Aptos" w:hAnsi="Aptos" w:cs="Times New Roman"/>
        </w:rPr>
        <w:t>Job security and gender equality</w:t>
      </w:r>
    </w:p>
    <w:p w14:paraId="1AFC22DB" w14:textId="77777777" w:rsidR="00677577" w:rsidRPr="00B45F7C" w:rsidRDefault="00677577" w:rsidP="003F7EE6">
      <w:pPr>
        <w:numPr>
          <w:ilvl w:val="0"/>
          <w:numId w:val="47"/>
        </w:numPr>
        <w:rPr>
          <w:rFonts w:ascii="Aptos" w:eastAsia="Aptos" w:hAnsi="Aptos" w:cs="Times New Roman"/>
        </w:rPr>
      </w:pPr>
      <w:r w:rsidRPr="00B45F7C">
        <w:rPr>
          <w:rFonts w:ascii="Aptos" w:eastAsia="Aptos" w:hAnsi="Aptos" w:cs="Times New Roman"/>
        </w:rPr>
        <w:t>Compliance and enforcement</w:t>
      </w:r>
    </w:p>
    <w:p w14:paraId="55D1DFA2" w14:textId="77777777" w:rsidR="00677577" w:rsidRPr="00B45F7C" w:rsidRDefault="00677577" w:rsidP="003F7EE6">
      <w:pPr>
        <w:numPr>
          <w:ilvl w:val="0"/>
          <w:numId w:val="47"/>
        </w:numPr>
        <w:rPr>
          <w:rFonts w:ascii="Aptos" w:eastAsia="Aptos" w:hAnsi="Aptos" w:cs="Times New Roman"/>
        </w:rPr>
      </w:pPr>
      <w:r w:rsidRPr="00B45F7C">
        <w:rPr>
          <w:rFonts w:ascii="Aptos" w:eastAsia="Aptos" w:hAnsi="Aptos" w:cs="Times New Roman"/>
        </w:rPr>
        <w:t>Workplace conditions and protections</w:t>
      </w:r>
    </w:p>
    <w:p w14:paraId="6F7D2CE7" w14:textId="77777777" w:rsidR="00677577" w:rsidRPr="00B45F7C" w:rsidRDefault="00677577" w:rsidP="003F7EE6">
      <w:pPr>
        <w:numPr>
          <w:ilvl w:val="0"/>
          <w:numId w:val="47"/>
        </w:numPr>
        <w:rPr>
          <w:rFonts w:ascii="Aptos" w:eastAsia="Aptos" w:hAnsi="Aptos" w:cs="Times New Roman"/>
        </w:rPr>
      </w:pPr>
      <w:r w:rsidRPr="00B45F7C">
        <w:rPr>
          <w:rFonts w:ascii="Aptos" w:eastAsia="Aptos" w:hAnsi="Aptos" w:cs="Times New Roman"/>
        </w:rPr>
        <w:t>Workplace relations institutions</w:t>
      </w:r>
    </w:p>
    <w:p w14:paraId="30309F11" w14:textId="77777777" w:rsidR="00677577" w:rsidRPr="00B45F7C" w:rsidRDefault="00677577" w:rsidP="003F7EE6">
      <w:pPr>
        <w:numPr>
          <w:ilvl w:val="0"/>
          <w:numId w:val="47"/>
        </w:numPr>
        <w:rPr>
          <w:rFonts w:ascii="Aptos" w:eastAsia="Aptos" w:hAnsi="Aptos" w:cs="Times New Roman"/>
        </w:rPr>
      </w:pPr>
      <w:r w:rsidRPr="00B45F7C">
        <w:rPr>
          <w:rFonts w:ascii="Aptos" w:eastAsia="Aptos" w:hAnsi="Aptos" w:cs="Times New Roman"/>
        </w:rPr>
        <w:t>Workers’ compensation.</w:t>
      </w:r>
    </w:p>
    <w:p w14:paraId="75FEF03F" w14:textId="77777777" w:rsidR="0011475D" w:rsidRDefault="00677577" w:rsidP="00677577">
      <w:pPr>
        <w:rPr>
          <w:rFonts w:ascii="Aptos" w:eastAsia="Aptos" w:hAnsi="Aptos" w:cs="Times New Roman"/>
        </w:rPr>
      </w:pPr>
      <w:r w:rsidRPr="00B45F7C">
        <w:rPr>
          <w:rFonts w:ascii="Aptos" w:eastAsia="Aptos" w:hAnsi="Aptos" w:cs="Times New Roman"/>
        </w:rPr>
        <w:t xml:space="preserve">Further information is available at </w:t>
      </w:r>
      <w:hyperlink r:id="rId83" w:history="1">
        <w:r w:rsidRPr="00B45F7C">
          <w:rPr>
            <w:rFonts w:ascii="Aptos" w:eastAsia="Aptos" w:hAnsi="Aptos" w:cs="Times New Roman"/>
            <w:color w:val="0D2C6C"/>
            <w:u w:val="single"/>
          </w:rPr>
          <w:t>https://www.dewr.gov.au/secure-jobs-better-pay</w:t>
        </w:r>
      </w:hyperlink>
      <w:r w:rsidRPr="00B45F7C">
        <w:rPr>
          <w:rFonts w:ascii="Aptos" w:eastAsia="Aptos" w:hAnsi="Aptos" w:cs="Times New Roman"/>
        </w:rPr>
        <w:t>.</w:t>
      </w:r>
    </w:p>
    <w:p w14:paraId="14119EDF" w14:textId="281CDAB4" w:rsidR="00677577" w:rsidRPr="00B45F7C" w:rsidRDefault="00677577" w:rsidP="00677577">
      <w:pPr>
        <w:keepNext/>
        <w:keepLines/>
        <w:spacing w:before="40" w:after="0"/>
        <w:outlineLvl w:val="4"/>
        <w:rPr>
          <w:rFonts w:ascii="Aptos Display" w:eastAsia="Times New Roman" w:hAnsi="Aptos Display" w:cs="Times New Roman"/>
          <w:b/>
          <w:color w:val="62165C"/>
          <w:sz w:val="26"/>
        </w:rPr>
      </w:pPr>
      <w:r w:rsidRPr="00B45F7C">
        <w:rPr>
          <w:rFonts w:ascii="Aptos Display" w:eastAsia="Times New Roman" w:hAnsi="Aptos Display" w:cs="Times New Roman"/>
          <w:b/>
          <w:color w:val="62165C"/>
          <w:sz w:val="26"/>
        </w:rPr>
        <w:t>Part 16A of the Closing Loopholes Act</w:t>
      </w:r>
    </w:p>
    <w:p w14:paraId="32ED65F7" w14:textId="77777777" w:rsidR="0011475D" w:rsidRDefault="00677577" w:rsidP="00677577">
      <w:pPr>
        <w:rPr>
          <w:rFonts w:ascii="Aptos" w:eastAsia="Aptos" w:hAnsi="Aptos" w:cs="Times New Roman"/>
        </w:rPr>
      </w:pPr>
      <w:r w:rsidRPr="00B45F7C">
        <w:rPr>
          <w:rFonts w:ascii="Aptos" w:eastAsia="Aptos" w:hAnsi="Aptos" w:cs="Times New Roman"/>
        </w:rPr>
        <w:t xml:space="preserve">Part 16A of the Closing Loopholes Act amends section 494 of the </w:t>
      </w:r>
      <w:r w:rsidRPr="00B45F7C">
        <w:rPr>
          <w:rFonts w:ascii="Aptos" w:eastAsia="Aptos" w:hAnsi="Aptos" w:cs="Times New Roman"/>
          <w:i/>
          <w:iCs/>
        </w:rPr>
        <w:t>Fair Work Act 2009</w:t>
      </w:r>
      <w:r w:rsidRPr="00B45F7C">
        <w:rPr>
          <w:rFonts w:ascii="Aptos" w:eastAsia="Aptos" w:hAnsi="Aptos" w:cs="Times New Roman"/>
        </w:rPr>
        <w:t xml:space="preserve"> (Fair Work Act) to give effect to ‘Recommendation 8: Workplace entry of union officials when providing assistance to an HSR’ of the ‘2018 Review of the model WHS laws’ conducted by Marie Boland and published on 20 March 2020. Recommendation 8 provided that Safe Work Australia work with relevant agencies to consider how to achieve the policy intention that a union official accessing a workplace to provide assistance to a health and safety representative is not required to hold an entry permit under the Fair Work Act or another industrial law, taking into account the interaction between Commonwealth, state and territory laws.</w:t>
      </w:r>
    </w:p>
    <w:p w14:paraId="7A239553" w14:textId="77777777" w:rsidR="0011475D" w:rsidRDefault="00677577" w:rsidP="00677577">
      <w:pPr>
        <w:rPr>
          <w:rFonts w:ascii="Aptos" w:eastAsia="Aptos" w:hAnsi="Aptos" w:cs="Times New Roman"/>
        </w:rPr>
      </w:pPr>
      <w:r w:rsidRPr="00B45F7C">
        <w:rPr>
          <w:rFonts w:ascii="Aptos" w:eastAsia="Aptos" w:hAnsi="Aptos" w:cs="Times New Roman"/>
        </w:rPr>
        <w:t xml:space="preserve">For further information about the Closing Loopholes Act is available at </w:t>
      </w:r>
      <w:hyperlink r:id="rId84" w:history="1">
        <w:r w:rsidRPr="00B45F7C">
          <w:rPr>
            <w:rFonts w:ascii="Aptos" w:eastAsia="Aptos" w:hAnsi="Aptos" w:cs="Times New Roman"/>
            <w:color w:val="0D2C6C"/>
            <w:u w:val="single"/>
          </w:rPr>
          <w:t>https://www.dewr.gov.au/closing-loopholes</w:t>
        </w:r>
      </w:hyperlink>
      <w:r w:rsidRPr="00B45F7C">
        <w:rPr>
          <w:rFonts w:ascii="Aptos" w:eastAsia="Aptos" w:hAnsi="Aptos" w:cs="Times New Roman"/>
        </w:rPr>
        <w:t>.</w:t>
      </w:r>
    </w:p>
    <w:p w14:paraId="1030FE80" w14:textId="77777777" w:rsidR="0011475D" w:rsidRDefault="00677577" w:rsidP="00677577">
      <w:pPr>
        <w:rPr>
          <w:rFonts w:ascii="Aptos" w:eastAsia="Aptos" w:hAnsi="Aptos" w:cs="Times New Roman"/>
        </w:rPr>
      </w:pPr>
      <w:r w:rsidRPr="00B45F7C">
        <w:rPr>
          <w:rFonts w:ascii="Aptos" w:eastAsia="Aptos" w:hAnsi="Aptos" w:cs="Times New Roman"/>
        </w:rPr>
        <w:t xml:space="preserve">Further information about the Review of the model WHS laws is available at </w:t>
      </w:r>
      <w:hyperlink r:id="rId85" w:history="1">
        <w:r w:rsidRPr="00B45F7C">
          <w:rPr>
            <w:rFonts w:ascii="Aptos" w:eastAsia="Aptos" w:hAnsi="Aptos" w:cs="Times New Roman"/>
            <w:color w:val="0D2C6C"/>
            <w:u w:val="single"/>
          </w:rPr>
          <w:t>https://www.safeworkaustralia.gov.au/doc/review-model-whs-laws-final-report</w:t>
        </w:r>
      </w:hyperlink>
      <w:r w:rsidRPr="00B45F7C">
        <w:rPr>
          <w:rFonts w:ascii="Aptos" w:eastAsia="Aptos" w:hAnsi="Aptos" w:cs="Times New Roman"/>
        </w:rPr>
        <w:t>.</w:t>
      </w:r>
    </w:p>
    <w:p w14:paraId="27A62961" w14:textId="4224933A" w:rsidR="00677577" w:rsidRPr="00B45F7C" w:rsidRDefault="00677577" w:rsidP="00677577">
      <w:pPr>
        <w:keepNext/>
        <w:keepLines/>
        <w:spacing w:before="360" w:after="0"/>
        <w:outlineLvl w:val="3"/>
        <w:rPr>
          <w:rFonts w:ascii="Aptos Display" w:eastAsia="Times New Roman" w:hAnsi="Aptos Display" w:cs="Times New Roman"/>
          <w:b/>
          <w:iCs/>
          <w:color w:val="404246"/>
          <w:sz w:val="28"/>
        </w:rPr>
      </w:pPr>
      <w:bookmarkStart w:id="1160" w:name="_Toc188278068"/>
      <w:bookmarkStart w:id="1161" w:name="_Toc189393699"/>
      <w:r w:rsidRPr="00B45F7C">
        <w:rPr>
          <w:rFonts w:ascii="Aptos Display" w:eastAsia="Times New Roman" w:hAnsi="Aptos Display" w:cs="Times New Roman"/>
          <w:b/>
          <w:iCs/>
          <w:color w:val="404246"/>
          <w:sz w:val="28"/>
        </w:rPr>
        <w:t>Conduct of the review</w:t>
      </w:r>
      <w:bookmarkEnd w:id="1160"/>
      <w:bookmarkEnd w:id="1161"/>
    </w:p>
    <w:p w14:paraId="1E995FA9" w14:textId="77777777" w:rsidR="0011475D" w:rsidRDefault="00677577" w:rsidP="00677577">
      <w:pPr>
        <w:rPr>
          <w:rFonts w:ascii="Aptos" w:eastAsia="Aptos" w:hAnsi="Aptos" w:cs="Times New Roman"/>
        </w:rPr>
      </w:pPr>
      <w:r w:rsidRPr="00B45F7C">
        <w:rPr>
          <w:rFonts w:ascii="Aptos" w:eastAsia="Aptos" w:hAnsi="Aptos" w:cs="Times New Roman"/>
        </w:rPr>
        <w:t>In conducting the Secure Jobs, Better Pay Review, the Review Panel will consider available qualitative and quantitative research.</w:t>
      </w:r>
    </w:p>
    <w:p w14:paraId="412E8DA3" w14:textId="77777777" w:rsidR="0011475D" w:rsidRDefault="00677577" w:rsidP="00677577">
      <w:pPr>
        <w:rPr>
          <w:rFonts w:ascii="Aptos" w:eastAsia="Aptos" w:hAnsi="Aptos" w:cs="Times New Roman"/>
        </w:rPr>
      </w:pPr>
      <w:r w:rsidRPr="00B45F7C">
        <w:rPr>
          <w:rFonts w:ascii="Aptos" w:eastAsia="Aptos" w:hAnsi="Aptos" w:cs="Times New Roman"/>
        </w:rPr>
        <w:t>The review must be informed by stakeholder perspectives and stakeholders must be given an opportunity to provide submissions and evidence on the matters to be considered by the review.</w:t>
      </w:r>
    </w:p>
    <w:p w14:paraId="68C33320" w14:textId="7CF7957B" w:rsidR="00677577" w:rsidRPr="00B45F7C" w:rsidRDefault="00677577" w:rsidP="00677577">
      <w:pPr>
        <w:rPr>
          <w:rFonts w:ascii="Aptos" w:eastAsia="Aptos" w:hAnsi="Aptos" w:cs="Times New Roman"/>
        </w:rPr>
      </w:pPr>
      <w:r w:rsidRPr="00B45F7C">
        <w:rPr>
          <w:rFonts w:ascii="Aptos" w:eastAsia="Aptos" w:hAnsi="Aptos" w:cs="Times New Roman"/>
        </w:rPr>
        <w:t>Stakeholders must be given an opportunity to provide submissions in response to the draft Report.</w:t>
      </w:r>
    </w:p>
    <w:p w14:paraId="238D43EB" w14:textId="77777777" w:rsidR="00677577" w:rsidRPr="00B45F7C" w:rsidRDefault="00677577" w:rsidP="00677577">
      <w:pPr>
        <w:rPr>
          <w:rFonts w:ascii="Aptos" w:eastAsia="Aptos" w:hAnsi="Aptos" w:cs="Times New Roman"/>
        </w:rPr>
      </w:pPr>
      <w:r w:rsidRPr="00B45F7C">
        <w:rPr>
          <w:rFonts w:ascii="Aptos" w:eastAsia="Aptos" w:hAnsi="Aptos" w:cs="Times New Roman"/>
        </w:rPr>
        <w:t>All submissions and evidence received must be published and be publicly accessible, where appropriate.</w:t>
      </w:r>
    </w:p>
    <w:p w14:paraId="7D735A6B" w14:textId="77777777" w:rsidR="00677577" w:rsidRPr="00B45F7C" w:rsidRDefault="00677577" w:rsidP="00677577">
      <w:pPr>
        <w:rPr>
          <w:rFonts w:ascii="Aptos" w:eastAsia="Aptos" w:hAnsi="Aptos" w:cs="Times New Roman"/>
        </w:rPr>
      </w:pPr>
      <w:r w:rsidRPr="00B45F7C">
        <w:rPr>
          <w:rFonts w:ascii="Aptos" w:eastAsia="Aptos" w:hAnsi="Aptos" w:cs="Times New Roman"/>
        </w:rPr>
        <w:t>The final Report must detail the Review Panel’s findings and recommendations about each of the matters to be considered by the review.</w:t>
      </w:r>
    </w:p>
    <w:p w14:paraId="4D60C916" w14:textId="77777777" w:rsidR="00677577" w:rsidRPr="00B45F7C" w:rsidRDefault="00677577" w:rsidP="00677577">
      <w:pPr>
        <w:keepNext/>
        <w:keepLines/>
        <w:spacing w:before="360" w:after="0"/>
        <w:outlineLvl w:val="3"/>
        <w:rPr>
          <w:rFonts w:ascii="Aptos Display" w:eastAsia="Times New Roman" w:hAnsi="Aptos Display" w:cs="Times New Roman"/>
          <w:b/>
          <w:iCs/>
          <w:color w:val="404246"/>
          <w:sz w:val="28"/>
        </w:rPr>
      </w:pPr>
      <w:bookmarkStart w:id="1162" w:name="_Toc188278069"/>
      <w:bookmarkStart w:id="1163" w:name="_Toc189393700"/>
      <w:r w:rsidRPr="00B45F7C">
        <w:rPr>
          <w:rFonts w:ascii="Aptos Display" w:eastAsia="Times New Roman" w:hAnsi="Aptos Display" w:cs="Times New Roman"/>
          <w:b/>
          <w:iCs/>
          <w:color w:val="404246"/>
          <w:sz w:val="28"/>
        </w:rPr>
        <w:t>Publication</w:t>
      </w:r>
      <w:bookmarkEnd w:id="1162"/>
      <w:bookmarkEnd w:id="1163"/>
    </w:p>
    <w:p w14:paraId="150F218B" w14:textId="77777777" w:rsidR="00677577" w:rsidRPr="00B45F7C" w:rsidRDefault="00677577" w:rsidP="00677577">
      <w:pPr>
        <w:rPr>
          <w:rFonts w:ascii="Aptos" w:eastAsia="Aptos" w:hAnsi="Aptos" w:cs="Times New Roman"/>
        </w:rPr>
      </w:pPr>
      <w:r w:rsidRPr="00B45F7C">
        <w:rPr>
          <w:rFonts w:ascii="Aptos" w:eastAsia="Aptos" w:hAnsi="Aptos" w:cs="Times New Roman"/>
        </w:rPr>
        <w:t>The final Report must be presented to the Minister in a high-quality standard. This includes ensuring that the final Report is cohesive and written in plain English. After provision to the Minister the Report must be professionally copy edited and proof-read to support publication and tabling in Parliament.</w:t>
      </w:r>
    </w:p>
    <w:p w14:paraId="00868F17" w14:textId="77777777" w:rsidR="00677577" w:rsidRPr="00B45F7C" w:rsidRDefault="00677577" w:rsidP="00677577">
      <w:pPr>
        <w:rPr>
          <w:rFonts w:ascii="Aptos" w:eastAsia="Aptos" w:hAnsi="Aptos" w:cs="Times New Roman"/>
        </w:rPr>
      </w:pPr>
      <w:r w:rsidRPr="00B45F7C">
        <w:rPr>
          <w:rFonts w:ascii="Aptos" w:eastAsia="Aptos" w:hAnsi="Aptos" w:cs="Times New Roman"/>
        </w:rPr>
        <w:t xml:space="preserve">The final Report and any website or associated material must comply with Web Content Accessibility Guidelines. For more information please visit: </w:t>
      </w:r>
      <w:hyperlink r:id="rId86" w:history="1">
        <w:r w:rsidRPr="00B45F7C">
          <w:rPr>
            <w:rFonts w:ascii="Aptos" w:eastAsia="Aptos" w:hAnsi="Aptos" w:cs="Times New Roman"/>
            <w:color w:val="0D2C6C"/>
            <w:u w:val="single"/>
          </w:rPr>
          <w:t>https://www.stylemanual.gov.au/accessible-and-inclusive-content/make-content-accessible</w:t>
        </w:r>
      </w:hyperlink>
      <w:r w:rsidRPr="00B45F7C">
        <w:rPr>
          <w:rFonts w:ascii="Aptos" w:eastAsia="Aptos" w:hAnsi="Aptos" w:cs="Times New Roman"/>
        </w:rPr>
        <w:t>.</w:t>
      </w:r>
    </w:p>
    <w:p w14:paraId="452C24AB" w14:textId="77777777" w:rsidR="00677577" w:rsidRPr="00B45F7C" w:rsidRDefault="00677577" w:rsidP="00677577">
      <w:pPr>
        <w:rPr>
          <w:rFonts w:ascii="Aptos" w:eastAsia="Aptos" w:hAnsi="Aptos" w:cs="Times New Roman"/>
        </w:rPr>
      </w:pPr>
    </w:p>
    <w:p w14:paraId="4987A09E" w14:textId="77777777" w:rsidR="00677577" w:rsidRPr="00B45F7C" w:rsidRDefault="00677577" w:rsidP="00677577">
      <w:pPr>
        <w:rPr>
          <w:rFonts w:ascii="Aptos" w:eastAsia="Times New Roman" w:hAnsi="Aptos" w:cs="Times New Roman"/>
          <w:b/>
          <w:color w:val="009B9F"/>
          <w:sz w:val="44"/>
          <w:szCs w:val="26"/>
        </w:rPr>
      </w:pPr>
      <w:r w:rsidRPr="00B45F7C">
        <w:rPr>
          <w:rFonts w:ascii="Aptos" w:eastAsia="Aptos" w:hAnsi="Aptos" w:cs="Times New Roman"/>
        </w:rPr>
        <w:br w:type="page"/>
      </w:r>
    </w:p>
    <w:p w14:paraId="7329B34C" w14:textId="77777777" w:rsidR="00677577" w:rsidRPr="00B45F7C" w:rsidRDefault="00677577" w:rsidP="00677577">
      <w:pPr>
        <w:pStyle w:val="Heading2"/>
      </w:pPr>
      <w:bookmarkStart w:id="1164" w:name="_Toc188278070"/>
      <w:bookmarkStart w:id="1165" w:name="_Toc189260191"/>
      <w:bookmarkStart w:id="1166" w:name="_Toc189393701"/>
      <w:bookmarkStart w:id="1167" w:name="_Toc192258087"/>
      <w:bookmarkStart w:id="1168" w:name="_Toc194311470"/>
      <w:r w:rsidRPr="00B45F7C">
        <w:t>Appendix 8 – Stakeholder input</w:t>
      </w:r>
      <w:bookmarkEnd w:id="1164"/>
      <w:bookmarkEnd w:id="1165"/>
      <w:bookmarkEnd w:id="1166"/>
      <w:bookmarkEnd w:id="1167"/>
      <w:bookmarkEnd w:id="1168"/>
    </w:p>
    <w:p w14:paraId="21D06C03" w14:textId="77777777" w:rsidR="00677577" w:rsidRPr="007C79C4" w:rsidRDefault="00677577" w:rsidP="00EC6801">
      <w:pPr>
        <w:pStyle w:val="Heading3"/>
      </w:pPr>
      <w:bookmarkStart w:id="1169" w:name="_Toc188278071"/>
      <w:bookmarkStart w:id="1170" w:name="_Toc189393702"/>
      <w:bookmarkStart w:id="1171" w:name="_Toc193826732"/>
      <w:bookmarkStart w:id="1172" w:name="_Toc194067001"/>
      <w:bookmarkStart w:id="1173" w:name="_Toc194311471"/>
      <w:r w:rsidRPr="007C79C4">
        <w:t>Written submissions received</w:t>
      </w:r>
      <w:bookmarkEnd w:id="1169"/>
      <w:bookmarkEnd w:id="1170"/>
      <w:bookmarkEnd w:id="1171"/>
      <w:bookmarkEnd w:id="1172"/>
      <w:bookmarkEnd w:id="1173"/>
    </w:p>
    <w:p w14:paraId="53CC7D3D" w14:textId="77777777" w:rsidR="00677577" w:rsidRPr="00692F31" w:rsidRDefault="00677577" w:rsidP="00EC6801">
      <w:pPr>
        <w:pStyle w:val="Heading4"/>
      </w:pPr>
      <w:r w:rsidRPr="00692F31">
        <w:t>First round</w:t>
      </w:r>
    </w:p>
    <w:p w14:paraId="66ED784E" w14:textId="77777777" w:rsidR="00677577" w:rsidRPr="00B45F7C" w:rsidRDefault="00677577" w:rsidP="00954673">
      <w:pPr>
        <w:numPr>
          <w:ilvl w:val="0"/>
          <w:numId w:val="7"/>
        </w:numPr>
        <w:spacing w:after="0" w:line="276" w:lineRule="auto"/>
        <w:contextualSpacing/>
        <w:rPr>
          <w:rFonts w:ascii="Aptos" w:eastAsia="Aptos" w:hAnsi="Aptos" w:cs="Times New Roman"/>
        </w:rPr>
      </w:pPr>
      <w:r w:rsidRPr="00B45F7C">
        <w:rPr>
          <w:rFonts w:ascii="Aptos" w:eastAsia="Aptos" w:hAnsi="Aptos" w:cs="Times New Roman"/>
        </w:rPr>
        <w:t>Dr Amanda Selvarajah – Monash University</w:t>
      </w:r>
    </w:p>
    <w:p w14:paraId="3F2D3ECC" w14:textId="77777777" w:rsidR="00677577" w:rsidRPr="00B45F7C"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Associate Professor Alysia Blackham – University of Melbourne</w:t>
      </w:r>
    </w:p>
    <w:p w14:paraId="45CEF89E" w14:textId="77777777" w:rsidR="00677577" w:rsidRPr="00B45F7C"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Association of Australian Medical Research Institutes</w:t>
      </w:r>
    </w:p>
    <w:p w14:paraId="30249D71" w14:textId="77777777" w:rsidR="00677577" w:rsidRPr="00B45F7C"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Housing Industry Association</w:t>
      </w:r>
    </w:p>
    <w:p w14:paraId="07B8BBF1" w14:textId="77777777" w:rsidR="00677577" w:rsidRPr="00B45F7C"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Community Public Sector Union (PSU Group)</w:t>
      </w:r>
    </w:p>
    <w:p w14:paraId="550EAF64" w14:textId="77777777" w:rsidR="00677577" w:rsidRPr="00B45F7C"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Master Electricians Australia</w:t>
      </w:r>
    </w:p>
    <w:p w14:paraId="2F6B7AED" w14:textId="77777777" w:rsidR="00677577" w:rsidRPr="00B45F7C"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Shop, Distributive and Allied Employees’ Association</w:t>
      </w:r>
    </w:p>
    <w:p w14:paraId="4957A9A4" w14:textId="77777777" w:rsidR="00677577" w:rsidRPr="00B45F7C"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Whitehaven Coal</w:t>
      </w:r>
    </w:p>
    <w:p w14:paraId="4313E6B9" w14:textId="77777777" w:rsidR="00677577" w:rsidRPr="00B45F7C"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Finance Sector Union</w:t>
      </w:r>
    </w:p>
    <w:p w14:paraId="6D87217E" w14:textId="77777777" w:rsidR="00677577" w:rsidRPr="00B45F7C"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Mining and Energy Union</w:t>
      </w:r>
    </w:p>
    <w:p w14:paraId="741CDA41" w14:textId="77777777" w:rsidR="00677577" w:rsidRPr="00B45F7C"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Maritime Industry Australia Ltd</w:t>
      </w:r>
    </w:p>
    <w:p w14:paraId="11EDD6A5" w14:textId="77777777" w:rsidR="00677577" w:rsidRPr="00B45F7C"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Recruitment, Consulting &amp; Staffing Association</w:t>
      </w:r>
    </w:p>
    <w:p w14:paraId="6C502220" w14:textId="77777777" w:rsidR="00677577" w:rsidRPr="00B45F7C"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Council of Small Business Organisations of Australia</w:t>
      </w:r>
    </w:p>
    <w:p w14:paraId="593A0994" w14:textId="77777777" w:rsidR="00677577" w:rsidRPr="00B45F7C"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Clubs Australia</w:t>
      </w:r>
    </w:p>
    <w:p w14:paraId="228E5898" w14:textId="77777777" w:rsidR="00677577" w:rsidRPr="00B45F7C"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Employment Rights Legal Service (Inner City Legal Centre, Redfern Legal Centre and Kingsford Legal Centre)</w:t>
      </w:r>
    </w:p>
    <w:p w14:paraId="49E9934A" w14:textId="77777777" w:rsidR="00677577" w:rsidRPr="00B45F7C"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Master Grocers Australia</w:t>
      </w:r>
    </w:p>
    <w:p w14:paraId="20C45015" w14:textId="77777777" w:rsidR="00677577" w:rsidRPr="00B45F7C"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Construction Forestry and Maritime Employees Union (Construction and General Division)</w:t>
      </w:r>
    </w:p>
    <w:p w14:paraId="2640F312" w14:textId="77777777" w:rsidR="00677577" w:rsidRPr="00B45F7C"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Business Council of Australia</w:t>
      </w:r>
    </w:p>
    <w:p w14:paraId="24B9D148" w14:textId="77777777" w:rsidR="00677577" w:rsidRPr="00B45F7C"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Australian Retailers Association</w:t>
      </w:r>
    </w:p>
    <w:p w14:paraId="079E8589" w14:textId="77777777" w:rsidR="00677577" w:rsidRPr="00B45F7C"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Australian Council of Trade Unions</w:t>
      </w:r>
    </w:p>
    <w:p w14:paraId="67758C18" w14:textId="77777777" w:rsidR="00677577" w:rsidRPr="00B45F7C"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Community Council for Australia</w:t>
      </w:r>
    </w:p>
    <w:p w14:paraId="238C5ED2" w14:textId="77777777" w:rsidR="00677577" w:rsidRPr="00B45F7C"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Australian Higher Education Industrial Association</w:t>
      </w:r>
    </w:p>
    <w:p w14:paraId="5B1E598E" w14:textId="77777777" w:rsidR="00677577" w:rsidRPr="00B45F7C"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Chamber of Commerce and Industry WA</w:t>
      </w:r>
    </w:p>
    <w:p w14:paraId="365E906D" w14:textId="77777777" w:rsidR="00677577" w:rsidRPr="00B45F7C"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Australian Nursing and Midwifery Federation</w:t>
      </w:r>
    </w:p>
    <w:p w14:paraId="64D77864" w14:textId="77777777" w:rsidR="00677577" w:rsidRPr="00B45F7C"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Office of the Commissioner for Public Employment (NT)</w:t>
      </w:r>
    </w:p>
    <w:p w14:paraId="39328984" w14:textId="77777777" w:rsidR="00677577" w:rsidRPr="00B45F7C" w:rsidRDefault="00677577" w:rsidP="00954673">
      <w:pPr>
        <w:numPr>
          <w:ilvl w:val="0"/>
          <w:numId w:val="2"/>
        </w:numPr>
        <w:spacing w:after="0" w:line="276" w:lineRule="auto"/>
        <w:contextualSpacing/>
        <w:rPr>
          <w:rFonts w:ascii="Aptos" w:eastAsia="Aptos" w:hAnsi="Aptos" w:cs="Times New Roman"/>
        </w:rPr>
      </w:pPr>
      <w:r>
        <w:rPr>
          <w:rFonts w:ascii="Aptos" w:eastAsia="Aptos" w:hAnsi="Aptos" w:cs="Times New Roman"/>
        </w:rPr>
        <w:t>Anonymous</w:t>
      </w:r>
    </w:p>
    <w:p w14:paraId="62D26A16" w14:textId="77777777" w:rsidR="00677577" w:rsidRPr="00B45F7C"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Australian Resources and Energy Employer Association</w:t>
      </w:r>
    </w:p>
    <w:p w14:paraId="3D3CC5BA" w14:textId="77777777" w:rsidR="00677577" w:rsidRPr="00B45F7C"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National Tertiary Education Union</w:t>
      </w:r>
    </w:p>
    <w:p w14:paraId="5F7A5473" w14:textId="77777777" w:rsidR="00677577" w:rsidRPr="00B45F7C"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Electrical Trades Union of Australia</w:t>
      </w:r>
    </w:p>
    <w:p w14:paraId="73069E7C" w14:textId="77777777" w:rsidR="00677577" w:rsidRPr="00B45F7C"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Chamber of Minerals &amp; Energy of Western Australia</w:t>
      </w:r>
    </w:p>
    <w:p w14:paraId="5FFAEBAA" w14:textId="77777777" w:rsidR="00677577" w:rsidRPr="00B45F7C"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Circle Green Community Legal</w:t>
      </w:r>
    </w:p>
    <w:p w14:paraId="382FB2E6" w14:textId="77777777" w:rsidR="00677577" w:rsidRPr="00B45F7C"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Minerals Council of Australia</w:t>
      </w:r>
    </w:p>
    <w:p w14:paraId="18EEE8BD" w14:textId="77777777" w:rsidR="00677577" w:rsidRPr="00B45F7C"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Pharmacy Guild of Australia</w:t>
      </w:r>
    </w:p>
    <w:p w14:paraId="20636391" w14:textId="77777777" w:rsidR="00677577" w:rsidRPr="00B45F7C"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Master Builders Australia</w:t>
      </w:r>
    </w:p>
    <w:p w14:paraId="1FEF8167" w14:textId="77777777" w:rsidR="00677577" w:rsidRPr="00B45F7C"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United Workers Union</w:t>
      </w:r>
    </w:p>
    <w:p w14:paraId="42440A16" w14:textId="77777777" w:rsidR="00677577" w:rsidRPr="00B45F7C"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Professor Rae Cooper AO, FASSA</w:t>
      </w:r>
    </w:p>
    <w:p w14:paraId="4743B446" w14:textId="77777777" w:rsidR="00677577" w:rsidRPr="00B45F7C"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Centre for Future Work</w:t>
      </w:r>
    </w:p>
    <w:p w14:paraId="0B67C9CF" w14:textId="77777777" w:rsidR="00677577" w:rsidRPr="00B45F7C"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Australian Services Union</w:t>
      </w:r>
    </w:p>
    <w:p w14:paraId="27B5BEA7" w14:textId="77777777" w:rsidR="00677577" w:rsidRPr="00B45F7C"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Australian Chamber of Commerce and Industry</w:t>
      </w:r>
    </w:p>
    <w:p w14:paraId="025FC5D8" w14:textId="77777777" w:rsidR="00677577" w:rsidRPr="00B45F7C"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Ai Group</w:t>
      </w:r>
    </w:p>
    <w:p w14:paraId="2F359349" w14:textId="77777777" w:rsidR="00677577" w:rsidRPr="00B45F7C"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Associate Professor Chris F Wright</w:t>
      </w:r>
    </w:p>
    <w:p w14:paraId="35602A9E" w14:textId="77777777" w:rsidR="00677577" w:rsidRPr="00B45F7C"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Independent Education Union</w:t>
      </w:r>
    </w:p>
    <w:p w14:paraId="454FCABC" w14:textId="77777777" w:rsidR="00677577" w:rsidRPr="00B45F7C"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Live Performance Australia</w:t>
      </w:r>
    </w:p>
    <w:p w14:paraId="2121783F" w14:textId="77777777" w:rsidR="00677577" w:rsidRPr="00B45F7C"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Australian Workers’ Union</w:t>
      </w:r>
    </w:p>
    <w:p w14:paraId="1C0EDC96" w14:textId="77777777" w:rsidR="00677577" w:rsidRPr="00B45F7C"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Professor Emeritus David Peetz</w:t>
      </w:r>
    </w:p>
    <w:p w14:paraId="40BD9441" w14:textId="77777777" w:rsidR="0011475D"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Private submission</w:t>
      </w:r>
    </w:p>
    <w:p w14:paraId="531FF7E1" w14:textId="31FC8D18" w:rsidR="00677577" w:rsidRPr="00B45F7C" w:rsidRDefault="00677577" w:rsidP="00954673">
      <w:pPr>
        <w:numPr>
          <w:ilvl w:val="0"/>
          <w:numId w:val="2"/>
        </w:numPr>
        <w:spacing w:after="0" w:line="276" w:lineRule="auto"/>
        <w:contextualSpacing/>
        <w:rPr>
          <w:rFonts w:ascii="Aptos" w:eastAsia="Aptos" w:hAnsi="Aptos" w:cs="Times New Roman"/>
        </w:rPr>
      </w:pPr>
      <w:r w:rsidRPr="00B45F7C">
        <w:rPr>
          <w:rFonts w:ascii="Aptos" w:eastAsia="Aptos" w:hAnsi="Aptos" w:cs="Times New Roman"/>
        </w:rPr>
        <w:t>Law Council of Australia</w:t>
      </w:r>
    </w:p>
    <w:p w14:paraId="058F2F29" w14:textId="77777777" w:rsidR="0011475D" w:rsidRDefault="00677577" w:rsidP="00EC6801">
      <w:pPr>
        <w:pStyle w:val="Heading4"/>
        <w:rPr>
          <w:rFonts w:eastAsia="Aptos"/>
        </w:rPr>
      </w:pPr>
      <w:r w:rsidRPr="00692F31">
        <w:rPr>
          <w:rFonts w:eastAsia="Aptos"/>
        </w:rPr>
        <w:t>Submissions in response to the draft report</w:t>
      </w:r>
    </w:p>
    <w:p w14:paraId="0A6F4DC2" w14:textId="43ED66D7" w:rsidR="00677577" w:rsidRPr="00692F31" w:rsidRDefault="00677577" w:rsidP="00954673">
      <w:pPr>
        <w:numPr>
          <w:ilvl w:val="0"/>
          <w:numId w:val="71"/>
        </w:numPr>
        <w:spacing w:after="120" w:line="276" w:lineRule="auto"/>
        <w:contextualSpacing/>
        <w:rPr>
          <w:rFonts w:ascii="Aptos" w:eastAsia="Aptos" w:hAnsi="Aptos" w:cs="Times New Roman"/>
        </w:rPr>
      </w:pPr>
      <w:r w:rsidRPr="00692F31">
        <w:rPr>
          <w:rFonts w:ascii="Aptos" w:eastAsia="Aptos" w:hAnsi="Aptos" w:cs="Times New Roman"/>
        </w:rPr>
        <w:t>Professor Alysia Blackham</w:t>
      </w:r>
    </w:p>
    <w:p w14:paraId="6B06D115" w14:textId="77777777" w:rsidR="00677577" w:rsidRDefault="00677577" w:rsidP="00954673">
      <w:pPr>
        <w:numPr>
          <w:ilvl w:val="0"/>
          <w:numId w:val="71"/>
        </w:numPr>
        <w:spacing w:after="120" w:line="276" w:lineRule="auto"/>
        <w:contextualSpacing/>
        <w:rPr>
          <w:rFonts w:ascii="Aptos" w:eastAsia="Aptos" w:hAnsi="Aptos" w:cs="Times New Roman"/>
        </w:rPr>
      </w:pPr>
      <w:r>
        <w:rPr>
          <w:rFonts w:ascii="Aptos" w:eastAsia="Aptos" w:hAnsi="Aptos" w:cs="Times New Roman"/>
        </w:rPr>
        <w:t>Clubs Australia</w:t>
      </w:r>
    </w:p>
    <w:p w14:paraId="7F900903" w14:textId="77777777" w:rsidR="00677577" w:rsidRDefault="00677577" w:rsidP="00954673">
      <w:pPr>
        <w:numPr>
          <w:ilvl w:val="0"/>
          <w:numId w:val="71"/>
        </w:numPr>
        <w:spacing w:after="120" w:line="276" w:lineRule="auto"/>
        <w:contextualSpacing/>
        <w:rPr>
          <w:rFonts w:ascii="Aptos" w:eastAsia="Aptos" w:hAnsi="Aptos" w:cs="Times New Roman"/>
        </w:rPr>
      </w:pPr>
      <w:r>
        <w:rPr>
          <w:rFonts w:ascii="Aptos" w:eastAsia="Aptos" w:hAnsi="Aptos" w:cs="Times New Roman"/>
        </w:rPr>
        <w:t>Chamber of Commerce and Industry WA</w:t>
      </w:r>
    </w:p>
    <w:p w14:paraId="53B6B7FE" w14:textId="77777777" w:rsidR="00677577" w:rsidRDefault="00677577" w:rsidP="00954673">
      <w:pPr>
        <w:numPr>
          <w:ilvl w:val="0"/>
          <w:numId w:val="71"/>
        </w:numPr>
        <w:spacing w:after="120" w:line="276" w:lineRule="auto"/>
        <w:contextualSpacing/>
        <w:rPr>
          <w:rFonts w:ascii="Aptos" w:eastAsia="Aptos" w:hAnsi="Aptos" w:cs="Times New Roman"/>
        </w:rPr>
      </w:pPr>
      <w:r>
        <w:rPr>
          <w:rFonts w:ascii="Aptos" w:eastAsia="Aptos" w:hAnsi="Aptos" w:cs="Times New Roman"/>
        </w:rPr>
        <w:t>Housing Industry Association</w:t>
      </w:r>
    </w:p>
    <w:p w14:paraId="23BD6783" w14:textId="77777777" w:rsidR="00677577" w:rsidRDefault="00677577" w:rsidP="00954673">
      <w:pPr>
        <w:numPr>
          <w:ilvl w:val="0"/>
          <w:numId w:val="71"/>
        </w:numPr>
        <w:spacing w:after="120" w:line="276" w:lineRule="auto"/>
        <w:contextualSpacing/>
        <w:rPr>
          <w:rFonts w:ascii="Aptos" w:eastAsia="Aptos" w:hAnsi="Aptos" w:cs="Times New Roman"/>
        </w:rPr>
      </w:pPr>
      <w:r>
        <w:rPr>
          <w:rFonts w:ascii="Aptos" w:eastAsia="Aptos" w:hAnsi="Aptos" w:cs="Times New Roman"/>
        </w:rPr>
        <w:t>Australian Sports Commission</w:t>
      </w:r>
    </w:p>
    <w:p w14:paraId="3438D712" w14:textId="77777777" w:rsidR="00677577" w:rsidRDefault="00677577" w:rsidP="00954673">
      <w:pPr>
        <w:numPr>
          <w:ilvl w:val="0"/>
          <w:numId w:val="71"/>
        </w:numPr>
        <w:spacing w:after="120" w:line="276" w:lineRule="auto"/>
        <w:contextualSpacing/>
        <w:rPr>
          <w:rFonts w:ascii="Aptos" w:eastAsia="Aptos" w:hAnsi="Aptos" w:cs="Times New Roman"/>
        </w:rPr>
      </w:pPr>
      <w:r>
        <w:rPr>
          <w:rFonts w:ascii="Aptos" w:eastAsia="Aptos" w:hAnsi="Aptos" w:cs="Times New Roman"/>
        </w:rPr>
        <w:t>AREEA</w:t>
      </w:r>
    </w:p>
    <w:p w14:paraId="039F9626" w14:textId="77777777" w:rsidR="00677577" w:rsidRDefault="00677577" w:rsidP="00954673">
      <w:pPr>
        <w:numPr>
          <w:ilvl w:val="0"/>
          <w:numId w:val="71"/>
        </w:numPr>
        <w:spacing w:after="120" w:line="276" w:lineRule="auto"/>
        <w:contextualSpacing/>
        <w:rPr>
          <w:rFonts w:ascii="Aptos" w:eastAsia="Aptos" w:hAnsi="Aptos" w:cs="Times New Roman"/>
        </w:rPr>
      </w:pPr>
      <w:r>
        <w:rPr>
          <w:rFonts w:ascii="Aptos" w:eastAsia="Aptos" w:hAnsi="Aptos" w:cs="Times New Roman"/>
        </w:rPr>
        <w:t xml:space="preserve">Business Council of </w:t>
      </w:r>
      <w:r w:rsidRPr="00587CB8">
        <w:rPr>
          <w:rFonts w:ascii="Aptos" w:eastAsia="Aptos" w:hAnsi="Aptos" w:cs="Times New Roman"/>
        </w:rPr>
        <w:t>Australia</w:t>
      </w:r>
    </w:p>
    <w:p w14:paraId="1C4FE3A8" w14:textId="77777777" w:rsidR="00677577" w:rsidRDefault="00677577" w:rsidP="00954673">
      <w:pPr>
        <w:numPr>
          <w:ilvl w:val="0"/>
          <w:numId w:val="71"/>
        </w:numPr>
        <w:spacing w:after="120" w:line="276" w:lineRule="auto"/>
        <w:contextualSpacing/>
        <w:rPr>
          <w:rFonts w:ascii="Aptos" w:eastAsia="Aptos" w:hAnsi="Aptos" w:cs="Times New Roman"/>
        </w:rPr>
      </w:pPr>
      <w:r>
        <w:rPr>
          <w:rFonts w:ascii="Aptos" w:eastAsia="Aptos" w:hAnsi="Aptos" w:cs="Times New Roman"/>
        </w:rPr>
        <w:t>Circle Green Community Legal</w:t>
      </w:r>
    </w:p>
    <w:p w14:paraId="3FDD722F" w14:textId="77777777" w:rsidR="00677577" w:rsidRDefault="00677577" w:rsidP="00954673">
      <w:pPr>
        <w:numPr>
          <w:ilvl w:val="0"/>
          <w:numId w:val="71"/>
        </w:numPr>
        <w:spacing w:after="120" w:line="276" w:lineRule="auto"/>
        <w:contextualSpacing/>
        <w:rPr>
          <w:rFonts w:ascii="Aptos" w:eastAsia="Aptos" w:hAnsi="Aptos" w:cs="Times New Roman"/>
        </w:rPr>
      </w:pPr>
      <w:r>
        <w:rPr>
          <w:rFonts w:ascii="Aptos" w:eastAsia="Aptos" w:hAnsi="Aptos" w:cs="Times New Roman"/>
        </w:rPr>
        <w:t>Electrical Trades Union</w:t>
      </w:r>
    </w:p>
    <w:p w14:paraId="2D7239DC" w14:textId="77777777" w:rsidR="00677577" w:rsidRDefault="00677577" w:rsidP="00954673">
      <w:pPr>
        <w:numPr>
          <w:ilvl w:val="0"/>
          <w:numId w:val="71"/>
        </w:numPr>
        <w:spacing w:after="120" w:line="276" w:lineRule="auto"/>
        <w:contextualSpacing/>
        <w:rPr>
          <w:rFonts w:ascii="Aptos" w:eastAsia="Aptos" w:hAnsi="Aptos" w:cs="Times New Roman"/>
        </w:rPr>
      </w:pPr>
      <w:r>
        <w:rPr>
          <w:rFonts w:ascii="Aptos" w:eastAsia="Aptos" w:hAnsi="Aptos" w:cs="Times New Roman"/>
        </w:rPr>
        <w:t>Chamber of Minerals and Energy WA</w:t>
      </w:r>
    </w:p>
    <w:p w14:paraId="12227D06" w14:textId="77777777" w:rsidR="00677577" w:rsidRDefault="00677577" w:rsidP="00954673">
      <w:pPr>
        <w:numPr>
          <w:ilvl w:val="0"/>
          <w:numId w:val="71"/>
        </w:numPr>
        <w:spacing w:after="120" w:line="276" w:lineRule="auto"/>
        <w:contextualSpacing/>
        <w:rPr>
          <w:rFonts w:ascii="Aptos" w:eastAsia="Aptos" w:hAnsi="Aptos" w:cs="Times New Roman"/>
        </w:rPr>
      </w:pPr>
      <w:r>
        <w:rPr>
          <w:rFonts w:ascii="Aptos" w:eastAsia="Aptos" w:hAnsi="Aptos" w:cs="Times New Roman"/>
        </w:rPr>
        <w:t xml:space="preserve">Live Performance </w:t>
      </w:r>
      <w:r w:rsidRPr="000A1D85">
        <w:rPr>
          <w:rFonts w:ascii="Aptos" w:eastAsia="Aptos" w:hAnsi="Aptos" w:cs="Times New Roman"/>
        </w:rPr>
        <w:t>Australia</w:t>
      </w:r>
    </w:p>
    <w:p w14:paraId="50230953" w14:textId="77777777" w:rsidR="00677577" w:rsidRDefault="00677577" w:rsidP="00954673">
      <w:pPr>
        <w:numPr>
          <w:ilvl w:val="0"/>
          <w:numId w:val="71"/>
        </w:numPr>
        <w:spacing w:after="120" w:line="276" w:lineRule="auto"/>
        <w:contextualSpacing/>
        <w:rPr>
          <w:rFonts w:ascii="Aptos" w:eastAsia="Aptos" w:hAnsi="Aptos" w:cs="Times New Roman"/>
        </w:rPr>
      </w:pPr>
      <w:r>
        <w:rPr>
          <w:rFonts w:ascii="Aptos" w:eastAsia="Aptos" w:hAnsi="Aptos" w:cs="Times New Roman"/>
        </w:rPr>
        <w:t>H.R. Nicholls Society</w:t>
      </w:r>
    </w:p>
    <w:p w14:paraId="6B298D31" w14:textId="77777777" w:rsidR="00677577" w:rsidRDefault="00677577" w:rsidP="00954673">
      <w:pPr>
        <w:numPr>
          <w:ilvl w:val="0"/>
          <w:numId w:val="71"/>
        </w:numPr>
        <w:spacing w:after="120" w:line="276" w:lineRule="auto"/>
        <w:contextualSpacing/>
        <w:rPr>
          <w:rFonts w:ascii="Aptos" w:eastAsia="Aptos" w:hAnsi="Aptos" w:cs="Times New Roman"/>
        </w:rPr>
      </w:pPr>
      <w:r>
        <w:rPr>
          <w:rFonts w:ascii="Aptos" w:eastAsia="Aptos" w:hAnsi="Aptos" w:cs="Times New Roman"/>
        </w:rPr>
        <w:t>RCSA</w:t>
      </w:r>
    </w:p>
    <w:p w14:paraId="5F2E43AF" w14:textId="77777777" w:rsidR="0011475D" w:rsidRDefault="00677577" w:rsidP="00954673">
      <w:pPr>
        <w:numPr>
          <w:ilvl w:val="0"/>
          <w:numId w:val="71"/>
        </w:numPr>
        <w:spacing w:after="120" w:line="276" w:lineRule="auto"/>
        <w:contextualSpacing/>
        <w:rPr>
          <w:rFonts w:ascii="Aptos" w:eastAsia="Aptos" w:hAnsi="Aptos" w:cs="Times New Roman"/>
        </w:rPr>
      </w:pPr>
      <w:r>
        <w:rPr>
          <w:rFonts w:ascii="Aptos" w:eastAsia="Aptos" w:hAnsi="Aptos" w:cs="Times New Roman"/>
        </w:rPr>
        <w:t>Master Grocers Australia</w:t>
      </w:r>
    </w:p>
    <w:p w14:paraId="76EF6B13" w14:textId="6110DE55" w:rsidR="00677577" w:rsidRDefault="00677577" w:rsidP="00954673">
      <w:pPr>
        <w:numPr>
          <w:ilvl w:val="0"/>
          <w:numId w:val="71"/>
        </w:numPr>
        <w:spacing w:after="120" w:line="276" w:lineRule="auto"/>
        <w:contextualSpacing/>
        <w:rPr>
          <w:rFonts w:ascii="Aptos" w:eastAsia="Aptos" w:hAnsi="Aptos" w:cs="Times New Roman"/>
        </w:rPr>
      </w:pPr>
      <w:r>
        <w:rPr>
          <w:rFonts w:ascii="Aptos" w:eastAsia="Aptos" w:hAnsi="Aptos" w:cs="Times New Roman"/>
        </w:rPr>
        <w:t>Maritime Industry Australia Ltd</w:t>
      </w:r>
    </w:p>
    <w:p w14:paraId="59EBB16F" w14:textId="77777777" w:rsidR="00677577" w:rsidRDefault="00677577" w:rsidP="00954673">
      <w:pPr>
        <w:numPr>
          <w:ilvl w:val="0"/>
          <w:numId w:val="71"/>
        </w:numPr>
        <w:spacing w:after="120" w:line="276" w:lineRule="auto"/>
        <w:contextualSpacing/>
        <w:rPr>
          <w:rFonts w:ascii="Aptos" w:eastAsia="Aptos" w:hAnsi="Aptos" w:cs="Times New Roman"/>
        </w:rPr>
      </w:pPr>
      <w:r>
        <w:rPr>
          <w:rFonts w:ascii="Aptos" w:eastAsia="Aptos" w:hAnsi="Aptos" w:cs="Times New Roman"/>
        </w:rPr>
        <w:t>Australian Chamber of Commerce and Industry</w:t>
      </w:r>
    </w:p>
    <w:p w14:paraId="4202E124" w14:textId="77777777" w:rsidR="00677577" w:rsidRDefault="00677577" w:rsidP="00954673">
      <w:pPr>
        <w:numPr>
          <w:ilvl w:val="0"/>
          <w:numId w:val="71"/>
        </w:numPr>
        <w:spacing w:after="120" w:line="276" w:lineRule="auto"/>
        <w:contextualSpacing/>
        <w:rPr>
          <w:rFonts w:ascii="Aptos" w:eastAsia="Aptos" w:hAnsi="Aptos" w:cs="Times New Roman"/>
        </w:rPr>
      </w:pPr>
      <w:r>
        <w:rPr>
          <w:rFonts w:ascii="Aptos" w:eastAsia="Aptos" w:hAnsi="Aptos" w:cs="Times New Roman"/>
        </w:rPr>
        <w:t>Professor Chris F Wright</w:t>
      </w:r>
    </w:p>
    <w:p w14:paraId="0383F88D" w14:textId="77777777" w:rsidR="00677577" w:rsidRDefault="00677577" w:rsidP="00954673">
      <w:pPr>
        <w:numPr>
          <w:ilvl w:val="0"/>
          <w:numId w:val="71"/>
        </w:numPr>
        <w:spacing w:after="120" w:line="276" w:lineRule="auto"/>
        <w:contextualSpacing/>
        <w:rPr>
          <w:rFonts w:ascii="Aptos" w:eastAsia="Aptos" w:hAnsi="Aptos" w:cs="Times New Roman"/>
        </w:rPr>
      </w:pPr>
      <w:r>
        <w:rPr>
          <w:rFonts w:ascii="Aptos" w:eastAsia="Aptos" w:hAnsi="Aptos" w:cs="Times New Roman"/>
        </w:rPr>
        <w:t>Coalition of Major Professional &amp; Participation Sports</w:t>
      </w:r>
    </w:p>
    <w:p w14:paraId="78E2DDDC" w14:textId="77777777" w:rsidR="00677577" w:rsidRDefault="00677577" w:rsidP="00954673">
      <w:pPr>
        <w:numPr>
          <w:ilvl w:val="0"/>
          <w:numId w:val="71"/>
        </w:numPr>
        <w:spacing w:after="120" w:line="276" w:lineRule="auto"/>
        <w:contextualSpacing/>
        <w:rPr>
          <w:rFonts w:ascii="Aptos" w:eastAsia="Aptos" w:hAnsi="Aptos" w:cs="Times New Roman"/>
        </w:rPr>
      </w:pPr>
      <w:r>
        <w:rPr>
          <w:rFonts w:ascii="Aptos" w:eastAsia="Aptos" w:hAnsi="Aptos" w:cs="Times New Roman"/>
        </w:rPr>
        <w:t xml:space="preserve">Minerals Council of </w:t>
      </w:r>
      <w:r w:rsidRPr="000A1D85">
        <w:rPr>
          <w:rFonts w:ascii="Aptos" w:eastAsia="Aptos" w:hAnsi="Aptos" w:cs="Times New Roman"/>
        </w:rPr>
        <w:t>Australia</w:t>
      </w:r>
    </w:p>
    <w:p w14:paraId="32663A4F" w14:textId="77777777" w:rsidR="00677577" w:rsidRDefault="00677577" w:rsidP="00954673">
      <w:pPr>
        <w:numPr>
          <w:ilvl w:val="0"/>
          <w:numId w:val="71"/>
        </w:numPr>
        <w:spacing w:after="120" w:line="276" w:lineRule="auto"/>
        <w:contextualSpacing/>
        <w:rPr>
          <w:rFonts w:ascii="Aptos" w:eastAsia="Aptos" w:hAnsi="Aptos" w:cs="Times New Roman"/>
        </w:rPr>
      </w:pPr>
      <w:r>
        <w:rPr>
          <w:rFonts w:ascii="Aptos" w:eastAsia="Aptos" w:hAnsi="Aptos" w:cs="Times New Roman"/>
        </w:rPr>
        <w:t>Mining and Energy Union</w:t>
      </w:r>
    </w:p>
    <w:p w14:paraId="16D7A611" w14:textId="77777777" w:rsidR="00677577" w:rsidRDefault="00677577" w:rsidP="00954673">
      <w:pPr>
        <w:numPr>
          <w:ilvl w:val="0"/>
          <w:numId w:val="71"/>
        </w:numPr>
        <w:spacing w:after="120" w:line="276" w:lineRule="auto"/>
        <w:contextualSpacing/>
        <w:rPr>
          <w:rFonts w:ascii="Aptos" w:eastAsia="Aptos" w:hAnsi="Aptos" w:cs="Times New Roman"/>
        </w:rPr>
      </w:pPr>
      <w:r>
        <w:rPr>
          <w:rFonts w:ascii="Aptos" w:eastAsia="Aptos" w:hAnsi="Aptos" w:cs="Times New Roman"/>
        </w:rPr>
        <w:t>Australian Services Union</w:t>
      </w:r>
    </w:p>
    <w:p w14:paraId="6A0AAAF2" w14:textId="77777777" w:rsidR="00677577" w:rsidRDefault="00677577" w:rsidP="00954673">
      <w:pPr>
        <w:numPr>
          <w:ilvl w:val="0"/>
          <w:numId w:val="71"/>
        </w:numPr>
        <w:spacing w:after="120" w:line="276" w:lineRule="auto"/>
        <w:contextualSpacing/>
        <w:rPr>
          <w:rFonts w:ascii="Aptos" w:eastAsia="Aptos" w:hAnsi="Aptos" w:cs="Times New Roman"/>
        </w:rPr>
      </w:pPr>
      <w:r>
        <w:rPr>
          <w:rFonts w:ascii="Aptos" w:eastAsia="Aptos" w:hAnsi="Aptos" w:cs="Times New Roman"/>
        </w:rPr>
        <w:t>Australian Workers’ Union</w:t>
      </w:r>
    </w:p>
    <w:p w14:paraId="364CFEC6" w14:textId="77777777" w:rsidR="00677577" w:rsidRDefault="00677577" w:rsidP="00954673">
      <w:pPr>
        <w:numPr>
          <w:ilvl w:val="0"/>
          <w:numId w:val="71"/>
        </w:numPr>
        <w:spacing w:after="120" w:line="276" w:lineRule="auto"/>
        <w:contextualSpacing/>
        <w:rPr>
          <w:rFonts w:ascii="Aptos" w:eastAsia="Aptos" w:hAnsi="Aptos" w:cs="Times New Roman"/>
        </w:rPr>
      </w:pPr>
      <w:r>
        <w:rPr>
          <w:rFonts w:ascii="Aptos" w:eastAsia="Aptos" w:hAnsi="Aptos" w:cs="Times New Roman"/>
        </w:rPr>
        <w:t>Australian Nursing &amp; Midwifery Federation</w:t>
      </w:r>
    </w:p>
    <w:p w14:paraId="28D2892D" w14:textId="77777777" w:rsidR="0011475D" w:rsidRDefault="00677577" w:rsidP="00954673">
      <w:pPr>
        <w:numPr>
          <w:ilvl w:val="0"/>
          <w:numId w:val="71"/>
        </w:numPr>
        <w:spacing w:after="120" w:line="276" w:lineRule="auto"/>
        <w:contextualSpacing/>
        <w:rPr>
          <w:rFonts w:ascii="Aptos" w:eastAsia="Aptos" w:hAnsi="Aptos" w:cs="Times New Roman"/>
        </w:rPr>
      </w:pPr>
      <w:r>
        <w:rPr>
          <w:rFonts w:ascii="Aptos" w:eastAsia="Aptos" w:hAnsi="Aptos" w:cs="Times New Roman"/>
        </w:rPr>
        <w:t>Community Council Australia</w:t>
      </w:r>
    </w:p>
    <w:p w14:paraId="0AF0263D" w14:textId="77777777" w:rsidR="0011475D" w:rsidRDefault="00677577" w:rsidP="00954673">
      <w:pPr>
        <w:numPr>
          <w:ilvl w:val="0"/>
          <w:numId w:val="71"/>
        </w:numPr>
        <w:spacing w:after="120" w:line="276" w:lineRule="auto"/>
        <w:contextualSpacing/>
        <w:rPr>
          <w:rFonts w:ascii="Aptos" w:eastAsia="Aptos" w:hAnsi="Aptos" w:cs="Times New Roman"/>
        </w:rPr>
      </w:pPr>
      <w:r>
        <w:rPr>
          <w:rFonts w:ascii="Aptos" w:eastAsia="Aptos" w:hAnsi="Aptos" w:cs="Times New Roman"/>
        </w:rPr>
        <w:t>Australian Higher Education Industrial Association</w:t>
      </w:r>
    </w:p>
    <w:p w14:paraId="41F91651" w14:textId="2FE54E0D" w:rsidR="00677577" w:rsidRDefault="00677577" w:rsidP="00954673">
      <w:pPr>
        <w:numPr>
          <w:ilvl w:val="0"/>
          <w:numId w:val="71"/>
        </w:numPr>
        <w:spacing w:after="120" w:line="276" w:lineRule="auto"/>
        <w:contextualSpacing/>
        <w:rPr>
          <w:rFonts w:ascii="Aptos" w:eastAsia="Aptos" w:hAnsi="Aptos" w:cs="Times New Roman"/>
        </w:rPr>
      </w:pPr>
      <w:r>
        <w:rPr>
          <w:rFonts w:ascii="Aptos" w:eastAsia="Aptos" w:hAnsi="Aptos" w:cs="Times New Roman"/>
        </w:rPr>
        <w:t>Brisbane 2032</w:t>
      </w:r>
    </w:p>
    <w:p w14:paraId="0BD9ED08" w14:textId="77777777" w:rsidR="00677577" w:rsidRDefault="00677577" w:rsidP="00954673">
      <w:pPr>
        <w:numPr>
          <w:ilvl w:val="0"/>
          <w:numId w:val="71"/>
        </w:numPr>
        <w:spacing w:after="120" w:line="276" w:lineRule="auto"/>
        <w:contextualSpacing/>
        <w:rPr>
          <w:rFonts w:ascii="Aptos" w:eastAsia="Aptos" w:hAnsi="Aptos" w:cs="Times New Roman"/>
        </w:rPr>
      </w:pPr>
      <w:r>
        <w:rPr>
          <w:rFonts w:ascii="Aptos" w:eastAsia="Aptos" w:hAnsi="Aptos" w:cs="Times New Roman"/>
        </w:rPr>
        <w:t>Ai Group</w:t>
      </w:r>
    </w:p>
    <w:p w14:paraId="426709F2" w14:textId="77777777" w:rsidR="00677577" w:rsidRDefault="00677577" w:rsidP="00954673">
      <w:pPr>
        <w:numPr>
          <w:ilvl w:val="0"/>
          <w:numId w:val="71"/>
        </w:numPr>
        <w:spacing w:after="120" w:line="276" w:lineRule="auto"/>
        <w:contextualSpacing/>
        <w:rPr>
          <w:rFonts w:ascii="Aptos" w:eastAsia="Aptos" w:hAnsi="Aptos" w:cs="Times New Roman"/>
        </w:rPr>
      </w:pPr>
      <w:r>
        <w:rPr>
          <w:rFonts w:ascii="Aptos" w:eastAsia="Aptos" w:hAnsi="Aptos" w:cs="Times New Roman"/>
        </w:rPr>
        <w:t>Australian Manufacturing Workers’ Union</w:t>
      </w:r>
    </w:p>
    <w:p w14:paraId="05F5720B" w14:textId="77777777" w:rsidR="00677577" w:rsidRDefault="00677577" w:rsidP="00954673">
      <w:pPr>
        <w:numPr>
          <w:ilvl w:val="0"/>
          <w:numId w:val="71"/>
        </w:numPr>
        <w:spacing w:after="120" w:line="276" w:lineRule="auto"/>
        <w:contextualSpacing/>
        <w:rPr>
          <w:rFonts w:ascii="Aptos" w:eastAsia="Aptos" w:hAnsi="Aptos" w:cs="Times New Roman"/>
        </w:rPr>
      </w:pPr>
      <w:r>
        <w:rPr>
          <w:rFonts w:ascii="Aptos" w:eastAsia="Aptos" w:hAnsi="Aptos" w:cs="Times New Roman"/>
        </w:rPr>
        <w:t>Australian Council of Trade Unions</w:t>
      </w:r>
    </w:p>
    <w:p w14:paraId="3424BD67" w14:textId="77777777" w:rsidR="00677577" w:rsidRDefault="00677577" w:rsidP="00954673">
      <w:pPr>
        <w:numPr>
          <w:ilvl w:val="0"/>
          <w:numId w:val="71"/>
        </w:numPr>
        <w:spacing w:after="120" w:line="276" w:lineRule="auto"/>
        <w:contextualSpacing/>
        <w:rPr>
          <w:rFonts w:ascii="Aptos" w:eastAsia="Aptos" w:hAnsi="Aptos" w:cs="Times New Roman"/>
        </w:rPr>
      </w:pPr>
      <w:r>
        <w:rPr>
          <w:rFonts w:ascii="Aptos" w:eastAsia="Aptos" w:hAnsi="Aptos" w:cs="Times New Roman"/>
        </w:rPr>
        <w:t>United Workers Union</w:t>
      </w:r>
    </w:p>
    <w:p w14:paraId="0082F51C" w14:textId="77777777" w:rsidR="00677577" w:rsidRDefault="00677577" w:rsidP="00954673">
      <w:pPr>
        <w:numPr>
          <w:ilvl w:val="0"/>
          <w:numId w:val="71"/>
        </w:numPr>
        <w:spacing w:after="120" w:line="276" w:lineRule="auto"/>
        <w:contextualSpacing/>
        <w:rPr>
          <w:rFonts w:ascii="Aptos" w:eastAsia="Aptos" w:hAnsi="Aptos" w:cs="Times New Roman"/>
        </w:rPr>
      </w:pPr>
      <w:r>
        <w:rPr>
          <w:rFonts w:ascii="Aptos" w:eastAsia="Aptos" w:hAnsi="Aptos" w:cs="Times New Roman"/>
        </w:rPr>
        <w:t>Shop, Distributive and Allied Employees’ Association</w:t>
      </w:r>
    </w:p>
    <w:p w14:paraId="3B01DABC" w14:textId="77777777" w:rsidR="00677577" w:rsidRDefault="00677577" w:rsidP="00954673">
      <w:pPr>
        <w:numPr>
          <w:ilvl w:val="0"/>
          <w:numId w:val="71"/>
        </w:numPr>
        <w:spacing w:after="120" w:line="276" w:lineRule="auto"/>
        <w:contextualSpacing/>
        <w:rPr>
          <w:rFonts w:ascii="Aptos" w:eastAsia="Aptos" w:hAnsi="Aptos" w:cs="Times New Roman"/>
        </w:rPr>
      </w:pPr>
      <w:r>
        <w:rPr>
          <w:rFonts w:ascii="Aptos" w:eastAsia="Aptos" w:hAnsi="Aptos" w:cs="Times New Roman"/>
        </w:rPr>
        <w:t>Australian Retailers Association</w:t>
      </w:r>
    </w:p>
    <w:p w14:paraId="5131348A" w14:textId="77777777" w:rsidR="00677577" w:rsidRDefault="00677577" w:rsidP="00954673">
      <w:pPr>
        <w:numPr>
          <w:ilvl w:val="0"/>
          <w:numId w:val="71"/>
        </w:numPr>
        <w:spacing w:after="120" w:line="276" w:lineRule="auto"/>
        <w:contextualSpacing/>
        <w:rPr>
          <w:rFonts w:ascii="Aptos" w:eastAsia="Aptos" w:hAnsi="Aptos" w:cs="Times New Roman"/>
        </w:rPr>
      </w:pPr>
      <w:r>
        <w:rPr>
          <w:rFonts w:ascii="Aptos" w:eastAsia="Aptos" w:hAnsi="Aptos" w:cs="Times New Roman"/>
        </w:rPr>
        <w:t>CFMEU Construction and General Division</w:t>
      </w:r>
    </w:p>
    <w:p w14:paraId="67B97A0E" w14:textId="77777777" w:rsidR="00677577" w:rsidRDefault="00677577" w:rsidP="00954673">
      <w:pPr>
        <w:numPr>
          <w:ilvl w:val="0"/>
          <w:numId w:val="71"/>
        </w:numPr>
        <w:spacing w:after="120" w:line="276" w:lineRule="auto"/>
        <w:contextualSpacing/>
        <w:rPr>
          <w:rFonts w:ascii="Aptos" w:eastAsia="Aptos" w:hAnsi="Aptos" w:cs="Times New Roman"/>
        </w:rPr>
      </w:pPr>
      <w:r>
        <w:rPr>
          <w:rFonts w:ascii="Aptos" w:eastAsia="Aptos" w:hAnsi="Aptos" w:cs="Times New Roman"/>
        </w:rPr>
        <w:t>Ausfilm</w:t>
      </w:r>
    </w:p>
    <w:p w14:paraId="518C68D1" w14:textId="77777777" w:rsidR="00677577" w:rsidRDefault="00677577" w:rsidP="00954673">
      <w:pPr>
        <w:numPr>
          <w:ilvl w:val="0"/>
          <w:numId w:val="71"/>
        </w:numPr>
        <w:spacing w:after="120" w:line="276" w:lineRule="auto"/>
        <w:contextualSpacing/>
        <w:rPr>
          <w:rFonts w:ascii="Aptos" w:eastAsia="Aptos" w:hAnsi="Aptos" w:cs="Times New Roman"/>
        </w:rPr>
      </w:pPr>
      <w:r>
        <w:rPr>
          <w:rFonts w:ascii="Aptos" w:eastAsia="Aptos" w:hAnsi="Aptos" w:cs="Times New Roman"/>
        </w:rPr>
        <w:t>National Tertiary Education Union</w:t>
      </w:r>
    </w:p>
    <w:p w14:paraId="129DEBD3" w14:textId="77777777" w:rsidR="00677577" w:rsidRDefault="00677577" w:rsidP="00954673">
      <w:pPr>
        <w:numPr>
          <w:ilvl w:val="0"/>
          <w:numId w:val="71"/>
        </w:numPr>
        <w:spacing w:after="120" w:line="276" w:lineRule="auto"/>
        <w:contextualSpacing/>
        <w:rPr>
          <w:rFonts w:ascii="Aptos" w:eastAsia="Aptos" w:hAnsi="Aptos" w:cs="Times New Roman"/>
        </w:rPr>
      </w:pPr>
      <w:r>
        <w:rPr>
          <w:rFonts w:ascii="Aptos" w:eastAsia="Aptos" w:hAnsi="Aptos" w:cs="Times New Roman"/>
        </w:rPr>
        <w:t>Professor Emerita Sara Charlesworth</w:t>
      </w:r>
    </w:p>
    <w:p w14:paraId="4F6CC595" w14:textId="77777777" w:rsidR="00677577" w:rsidRDefault="00677577" w:rsidP="00954673">
      <w:pPr>
        <w:numPr>
          <w:ilvl w:val="0"/>
          <w:numId w:val="71"/>
        </w:numPr>
        <w:spacing w:after="120" w:line="276" w:lineRule="auto"/>
        <w:contextualSpacing/>
        <w:rPr>
          <w:rFonts w:ascii="Aptos" w:eastAsia="Aptos" w:hAnsi="Aptos" w:cs="Times New Roman"/>
        </w:rPr>
      </w:pPr>
      <w:r>
        <w:rPr>
          <w:rFonts w:ascii="Aptos" w:eastAsia="Aptos" w:hAnsi="Aptos" w:cs="Times New Roman"/>
        </w:rPr>
        <w:t>CPSU (PSU Group)</w:t>
      </w:r>
    </w:p>
    <w:p w14:paraId="1AE4CD5B" w14:textId="77777777" w:rsidR="00677577" w:rsidRDefault="00677577" w:rsidP="00954673">
      <w:pPr>
        <w:numPr>
          <w:ilvl w:val="0"/>
          <w:numId w:val="71"/>
        </w:numPr>
        <w:spacing w:after="120" w:line="276" w:lineRule="auto"/>
        <w:contextualSpacing/>
        <w:rPr>
          <w:rFonts w:ascii="Aptos" w:eastAsia="Aptos" w:hAnsi="Aptos" w:cs="Times New Roman"/>
        </w:rPr>
      </w:pPr>
      <w:r>
        <w:rPr>
          <w:rFonts w:ascii="Aptos" w:eastAsia="Aptos" w:hAnsi="Aptos" w:cs="Times New Roman"/>
        </w:rPr>
        <w:t>Anonymous</w:t>
      </w:r>
    </w:p>
    <w:p w14:paraId="56A6E8EF" w14:textId="77777777" w:rsidR="00677577" w:rsidRDefault="00677577" w:rsidP="00954673">
      <w:pPr>
        <w:numPr>
          <w:ilvl w:val="0"/>
          <w:numId w:val="71"/>
        </w:numPr>
        <w:spacing w:after="120" w:line="276" w:lineRule="auto"/>
        <w:contextualSpacing/>
        <w:rPr>
          <w:rFonts w:ascii="Aptos" w:eastAsia="Aptos" w:hAnsi="Aptos" w:cs="Times New Roman"/>
        </w:rPr>
      </w:pPr>
      <w:r>
        <w:rPr>
          <w:rFonts w:ascii="Aptos" w:eastAsia="Aptos" w:hAnsi="Aptos" w:cs="Times New Roman"/>
        </w:rPr>
        <w:t>Australian Council of Social Service</w:t>
      </w:r>
    </w:p>
    <w:p w14:paraId="6ACE4494" w14:textId="77777777" w:rsidR="0011475D" w:rsidRDefault="00677577" w:rsidP="009E3BEE">
      <w:pPr>
        <w:numPr>
          <w:ilvl w:val="0"/>
          <w:numId w:val="71"/>
        </w:numPr>
        <w:spacing w:after="120" w:line="276" w:lineRule="auto"/>
        <w:contextualSpacing/>
        <w:rPr>
          <w:rFonts w:ascii="Aptos" w:eastAsia="Aptos" w:hAnsi="Aptos" w:cs="Times New Roman"/>
        </w:rPr>
      </w:pPr>
      <w:r>
        <w:rPr>
          <w:rFonts w:ascii="Aptos" w:eastAsia="Aptos" w:hAnsi="Aptos" w:cs="Times New Roman"/>
        </w:rPr>
        <w:t>Dr Michael Lyons and Professor Meg Smith</w:t>
      </w:r>
    </w:p>
    <w:p w14:paraId="51E39979" w14:textId="60FE8853" w:rsidR="00775D70" w:rsidRDefault="00775D70" w:rsidP="00954673">
      <w:pPr>
        <w:numPr>
          <w:ilvl w:val="0"/>
          <w:numId w:val="71"/>
        </w:numPr>
        <w:spacing w:after="120" w:line="276" w:lineRule="auto"/>
        <w:contextualSpacing/>
        <w:rPr>
          <w:rFonts w:ascii="Aptos" w:eastAsia="Aptos" w:hAnsi="Aptos" w:cs="Times New Roman"/>
        </w:rPr>
      </w:pPr>
      <w:r>
        <w:rPr>
          <w:rFonts w:ascii="Aptos" w:eastAsia="Aptos" w:hAnsi="Aptos" w:cs="Times New Roman"/>
        </w:rPr>
        <w:t>Dr Amanda Selvarajah</w:t>
      </w:r>
    </w:p>
    <w:p w14:paraId="36E9FC8A" w14:textId="77777777" w:rsidR="00420F7E" w:rsidRDefault="00420F7E" w:rsidP="00420F7E">
      <w:pPr>
        <w:spacing w:after="120" w:line="276" w:lineRule="auto"/>
        <w:ind w:left="397"/>
        <w:contextualSpacing/>
        <w:rPr>
          <w:rFonts w:ascii="Aptos" w:eastAsia="Aptos" w:hAnsi="Aptos" w:cs="Times New Roman"/>
        </w:rPr>
      </w:pPr>
    </w:p>
    <w:p w14:paraId="318B8604" w14:textId="27A21238" w:rsidR="00677577" w:rsidRPr="00264396" w:rsidRDefault="00677577" w:rsidP="00420F7E">
      <w:pPr>
        <w:pStyle w:val="Heading3"/>
        <w:rPr>
          <w:rFonts w:ascii="Aptos" w:eastAsia="Times New Roman" w:hAnsi="Aptos" w:cs="Times New Roman"/>
          <w:color w:val="404246"/>
          <w:sz w:val="28"/>
        </w:rPr>
      </w:pPr>
      <w:bookmarkStart w:id="1174" w:name="_Toc188278072"/>
      <w:bookmarkStart w:id="1175" w:name="_Toc189393703"/>
      <w:bookmarkStart w:id="1176" w:name="_Toc194067002"/>
      <w:bookmarkStart w:id="1177" w:name="_Toc194311472"/>
      <w:r w:rsidRPr="00264396">
        <w:rPr>
          <w:rFonts w:eastAsia="Times New Roman"/>
        </w:rPr>
        <w:t>Roundtables</w:t>
      </w:r>
      <w:bookmarkEnd w:id="1174"/>
      <w:bookmarkEnd w:id="1175"/>
      <w:bookmarkEnd w:id="1176"/>
      <w:bookmarkEnd w:id="1177"/>
    </w:p>
    <w:p w14:paraId="50A10EA2" w14:textId="77777777" w:rsidR="00677577" w:rsidRPr="00B45F7C" w:rsidRDefault="00677577" w:rsidP="00677577">
      <w:pPr>
        <w:rPr>
          <w:rFonts w:ascii="Aptos" w:eastAsia="Aptos" w:hAnsi="Aptos" w:cs="Times New Roman"/>
        </w:rPr>
      </w:pPr>
      <w:r w:rsidRPr="00B45F7C">
        <w:rPr>
          <w:rFonts w:ascii="Aptos" w:eastAsia="Aptos" w:hAnsi="Aptos" w:cs="Times New Roman"/>
        </w:rPr>
        <w:t>The lists below show the stakeholders that were invited to each roundtable. The underlining shows the stakeholders that attended that roundtable.</w:t>
      </w:r>
    </w:p>
    <w:p w14:paraId="4DBB4C1F" w14:textId="77777777" w:rsidR="00677577" w:rsidRPr="00B45F7C" w:rsidRDefault="00677577" w:rsidP="00EC6801">
      <w:pPr>
        <w:pStyle w:val="Heading5"/>
        <w:rPr>
          <w:rFonts w:eastAsia="Times New Roman"/>
        </w:rPr>
      </w:pPr>
      <w:r w:rsidRPr="00B45F7C">
        <w:rPr>
          <w:rFonts w:eastAsia="Times New Roman"/>
        </w:rPr>
        <w:t>Employer groups (30 October</w:t>
      </w:r>
      <w:r>
        <w:rPr>
          <w:rFonts w:eastAsia="Times New Roman"/>
        </w:rPr>
        <w:t xml:space="preserve"> 2024</w:t>
      </w:r>
      <w:r w:rsidRPr="00B45F7C">
        <w:rPr>
          <w:rFonts w:eastAsia="Times New Roman"/>
        </w:rPr>
        <w:t>)</w:t>
      </w:r>
    </w:p>
    <w:p w14:paraId="256410FD" w14:textId="77777777" w:rsidR="00677577" w:rsidRPr="00B45F7C" w:rsidRDefault="00677577" w:rsidP="00DA3CB2">
      <w:pPr>
        <w:spacing w:after="120" w:line="276" w:lineRule="auto"/>
        <w:contextualSpacing/>
        <w:rPr>
          <w:rFonts w:ascii="Aptos" w:eastAsia="Aptos" w:hAnsi="Aptos" w:cs="Times New Roman"/>
          <w:u w:val="single"/>
        </w:rPr>
      </w:pPr>
      <w:r w:rsidRPr="00B45F7C">
        <w:rPr>
          <w:rFonts w:ascii="Aptos" w:eastAsia="Aptos" w:hAnsi="Aptos" w:cs="Times New Roman"/>
          <w:u w:val="single"/>
        </w:rPr>
        <w:t>Housing Industry Association</w:t>
      </w:r>
    </w:p>
    <w:p w14:paraId="0AEC7794" w14:textId="77777777" w:rsidR="00677577" w:rsidRPr="00B45F7C" w:rsidRDefault="00677577" w:rsidP="00DA3CB2">
      <w:pPr>
        <w:spacing w:after="120" w:line="276" w:lineRule="auto"/>
        <w:contextualSpacing/>
        <w:rPr>
          <w:rFonts w:ascii="Aptos" w:eastAsia="Aptos" w:hAnsi="Aptos" w:cs="Times New Roman"/>
          <w:u w:val="single"/>
        </w:rPr>
      </w:pPr>
      <w:r w:rsidRPr="00B45F7C">
        <w:rPr>
          <w:rFonts w:ascii="Aptos" w:eastAsia="Aptos" w:hAnsi="Aptos" w:cs="Times New Roman"/>
          <w:u w:val="single"/>
        </w:rPr>
        <w:t>Australian Resources and Energy Employer Association (formerly AMMA)</w:t>
      </w:r>
    </w:p>
    <w:p w14:paraId="2CB42F0D" w14:textId="77777777" w:rsidR="00677577" w:rsidRPr="00B45F7C" w:rsidRDefault="00677577" w:rsidP="00DA3CB2">
      <w:pPr>
        <w:spacing w:after="120" w:line="276" w:lineRule="auto"/>
        <w:contextualSpacing/>
        <w:rPr>
          <w:rFonts w:ascii="Aptos" w:eastAsia="Aptos" w:hAnsi="Aptos" w:cs="Times New Roman"/>
          <w:u w:val="single"/>
        </w:rPr>
      </w:pPr>
      <w:r w:rsidRPr="00B45F7C">
        <w:rPr>
          <w:rFonts w:ascii="Aptos" w:eastAsia="Aptos" w:hAnsi="Aptos" w:cs="Times New Roman"/>
          <w:u w:val="single"/>
        </w:rPr>
        <w:t>Australian Chamber of Commerce and Industry</w:t>
      </w:r>
    </w:p>
    <w:p w14:paraId="177DC7BD" w14:textId="77777777" w:rsidR="00677577" w:rsidRPr="00B45F7C" w:rsidRDefault="00677577" w:rsidP="00DA3CB2">
      <w:pPr>
        <w:spacing w:after="120" w:line="276" w:lineRule="auto"/>
        <w:contextualSpacing/>
        <w:rPr>
          <w:rFonts w:ascii="Aptos" w:eastAsia="Aptos" w:hAnsi="Aptos" w:cs="Times New Roman"/>
          <w:u w:val="single"/>
        </w:rPr>
      </w:pPr>
      <w:r w:rsidRPr="00B45F7C">
        <w:rPr>
          <w:rFonts w:ascii="Aptos" w:eastAsia="Aptos" w:hAnsi="Aptos" w:cs="Times New Roman"/>
          <w:u w:val="single"/>
        </w:rPr>
        <w:t>Business Council of Australia</w:t>
      </w:r>
    </w:p>
    <w:p w14:paraId="4F64521C" w14:textId="77777777" w:rsidR="00677577" w:rsidRPr="00B45F7C" w:rsidRDefault="00677577" w:rsidP="00DA3CB2">
      <w:pPr>
        <w:spacing w:after="120" w:line="276" w:lineRule="auto"/>
        <w:contextualSpacing/>
        <w:rPr>
          <w:rFonts w:ascii="Aptos" w:eastAsia="Aptos" w:hAnsi="Aptos" w:cs="Times New Roman"/>
          <w:u w:val="single"/>
        </w:rPr>
      </w:pPr>
      <w:r w:rsidRPr="00B45F7C">
        <w:rPr>
          <w:rFonts w:ascii="Aptos" w:eastAsia="Aptos" w:hAnsi="Aptos" w:cs="Times New Roman"/>
          <w:u w:val="single"/>
        </w:rPr>
        <w:t>National Farmers’ Federation</w:t>
      </w:r>
    </w:p>
    <w:p w14:paraId="56AEDBB4" w14:textId="77777777" w:rsidR="00677577" w:rsidRPr="00B45F7C" w:rsidRDefault="00677577" w:rsidP="00DA3CB2">
      <w:pPr>
        <w:spacing w:after="120" w:line="276" w:lineRule="auto"/>
        <w:contextualSpacing/>
        <w:rPr>
          <w:rFonts w:ascii="Aptos" w:eastAsia="Aptos" w:hAnsi="Aptos" w:cs="Times New Roman"/>
        </w:rPr>
      </w:pPr>
      <w:r w:rsidRPr="00B45F7C">
        <w:rPr>
          <w:rFonts w:ascii="Aptos" w:eastAsia="Aptos" w:hAnsi="Aptos" w:cs="Times New Roman"/>
        </w:rPr>
        <w:t>Master Builders Australia</w:t>
      </w:r>
    </w:p>
    <w:p w14:paraId="0D2F78F0" w14:textId="77777777" w:rsidR="00677577" w:rsidRPr="00B45F7C" w:rsidRDefault="00677577" w:rsidP="00DA3CB2">
      <w:pPr>
        <w:spacing w:after="120" w:line="276" w:lineRule="auto"/>
        <w:contextualSpacing/>
        <w:rPr>
          <w:rFonts w:ascii="Aptos" w:eastAsia="Aptos" w:hAnsi="Aptos" w:cs="Times New Roman"/>
          <w:u w:val="single"/>
        </w:rPr>
      </w:pPr>
      <w:r w:rsidRPr="00B45F7C">
        <w:rPr>
          <w:rFonts w:ascii="Aptos" w:eastAsia="Aptos" w:hAnsi="Aptos" w:cs="Times New Roman"/>
          <w:u w:val="single"/>
        </w:rPr>
        <w:t>Australian Industry Group</w:t>
      </w:r>
    </w:p>
    <w:p w14:paraId="713F3BEB" w14:textId="77777777" w:rsidR="00677577" w:rsidRPr="00B45F7C" w:rsidRDefault="00677577" w:rsidP="00DA3CB2">
      <w:pPr>
        <w:spacing w:after="120" w:line="276" w:lineRule="auto"/>
        <w:contextualSpacing/>
        <w:rPr>
          <w:rFonts w:ascii="Aptos" w:eastAsia="Aptos" w:hAnsi="Aptos" w:cs="Times New Roman"/>
          <w:u w:val="single"/>
        </w:rPr>
      </w:pPr>
      <w:r w:rsidRPr="00B45F7C">
        <w:rPr>
          <w:rFonts w:ascii="Aptos" w:eastAsia="Aptos" w:hAnsi="Aptos" w:cs="Times New Roman"/>
          <w:u w:val="single"/>
        </w:rPr>
        <w:t>Council of Small Business Organisations of Australia</w:t>
      </w:r>
    </w:p>
    <w:p w14:paraId="21EA9112" w14:textId="77777777" w:rsidR="00677577" w:rsidRPr="00B45F7C" w:rsidRDefault="00677577" w:rsidP="00DA3CB2">
      <w:pPr>
        <w:spacing w:after="120" w:line="276" w:lineRule="auto"/>
        <w:contextualSpacing/>
        <w:rPr>
          <w:rFonts w:ascii="Aptos" w:eastAsia="Aptos" w:hAnsi="Aptos" w:cs="Times New Roman"/>
          <w:u w:val="single"/>
        </w:rPr>
      </w:pPr>
      <w:r w:rsidRPr="00B45F7C">
        <w:rPr>
          <w:rFonts w:ascii="Aptos" w:eastAsia="Aptos" w:hAnsi="Aptos" w:cs="Times New Roman"/>
          <w:u w:val="single"/>
        </w:rPr>
        <w:t>Minerals Council of Australia</w:t>
      </w:r>
    </w:p>
    <w:p w14:paraId="39C826AC" w14:textId="77777777" w:rsidR="00677577" w:rsidRPr="00B45F7C" w:rsidRDefault="00677577" w:rsidP="00DA3CB2">
      <w:pPr>
        <w:pStyle w:val="Heading5"/>
        <w:spacing w:line="276" w:lineRule="auto"/>
        <w:rPr>
          <w:rFonts w:eastAsia="Times New Roman"/>
        </w:rPr>
      </w:pPr>
      <w:r w:rsidRPr="00B45F7C">
        <w:rPr>
          <w:rFonts w:eastAsia="Times New Roman"/>
        </w:rPr>
        <w:t>Employee representatives (31 October</w:t>
      </w:r>
      <w:r>
        <w:rPr>
          <w:rFonts w:eastAsia="Times New Roman"/>
        </w:rPr>
        <w:t xml:space="preserve"> 2024</w:t>
      </w:r>
      <w:r w:rsidRPr="00B45F7C">
        <w:rPr>
          <w:rFonts w:eastAsia="Times New Roman"/>
        </w:rPr>
        <w:t>)</w:t>
      </w:r>
    </w:p>
    <w:p w14:paraId="4E806A47" w14:textId="77777777" w:rsidR="00677577" w:rsidRPr="00B45F7C" w:rsidRDefault="00677577" w:rsidP="00DA3CB2">
      <w:pPr>
        <w:spacing w:after="120" w:line="276" w:lineRule="auto"/>
        <w:contextualSpacing/>
        <w:rPr>
          <w:rFonts w:ascii="Aptos" w:eastAsia="Aptos" w:hAnsi="Aptos" w:cs="Times New Roman"/>
          <w:u w:val="single"/>
        </w:rPr>
      </w:pPr>
      <w:r w:rsidRPr="00B45F7C">
        <w:rPr>
          <w:rFonts w:ascii="Aptos" w:eastAsia="Aptos" w:hAnsi="Aptos" w:cs="Times New Roman"/>
          <w:u w:val="single"/>
        </w:rPr>
        <w:t>Australian Council of Trade Unions</w:t>
      </w:r>
    </w:p>
    <w:p w14:paraId="0B11AF6B" w14:textId="77777777" w:rsidR="0011475D" w:rsidRDefault="00677577" w:rsidP="00DA3CB2">
      <w:pPr>
        <w:spacing w:after="120" w:line="276" w:lineRule="auto"/>
        <w:contextualSpacing/>
        <w:rPr>
          <w:rFonts w:ascii="Aptos" w:eastAsia="Aptos" w:hAnsi="Aptos" w:cs="Times New Roman"/>
        </w:rPr>
      </w:pPr>
      <w:r w:rsidRPr="00B45F7C">
        <w:rPr>
          <w:rFonts w:ascii="Aptos" w:eastAsia="Aptos" w:hAnsi="Aptos" w:cs="Times New Roman"/>
        </w:rPr>
        <w:t>Australian Institute of Marine and Power Engineers</w:t>
      </w:r>
    </w:p>
    <w:p w14:paraId="0B6A99C5" w14:textId="77777777" w:rsidR="0011475D" w:rsidRDefault="00677577" w:rsidP="00DA3CB2">
      <w:pPr>
        <w:spacing w:after="120" w:line="276" w:lineRule="auto"/>
        <w:contextualSpacing/>
        <w:rPr>
          <w:rFonts w:ascii="Aptos" w:eastAsia="Aptos" w:hAnsi="Aptos" w:cs="Times New Roman"/>
          <w:u w:val="single"/>
        </w:rPr>
      </w:pPr>
      <w:r w:rsidRPr="00B45F7C">
        <w:rPr>
          <w:rFonts w:ascii="Aptos" w:eastAsia="Aptos" w:hAnsi="Aptos" w:cs="Times New Roman"/>
          <w:u w:val="single"/>
        </w:rPr>
        <w:t>Australasian Meat Industry Employees Union</w:t>
      </w:r>
    </w:p>
    <w:p w14:paraId="10B2D474" w14:textId="77777777" w:rsidR="0011475D" w:rsidRDefault="00677577" w:rsidP="00DA3CB2">
      <w:pPr>
        <w:spacing w:after="120" w:line="276" w:lineRule="auto"/>
        <w:contextualSpacing/>
        <w:rPr>
          <w:rFonts w:ascii="Aptos" w:eastAsia="Aptos" w:hAnsi="Aptos" w:cs="Times New Roman"/>
        </w:rPr>
      </w:pPr>
      <w:r w:rsidRPr="00B45F7C">
        <w:rPr>
          <w:rFonts w:ascii="Aptos" w:eastAsia="Aptos" w:hAnsi="Aptos" w:cs="Times New Roman"/>
        </w:rPr>
        <w:t>Australian Education Union</w:t>
      </w:r>
    </w:p>
    <w:p w14:paraId="3B58F15B" w14:textId="77777777" w:rsidR="0011475D" w:rsidRDefault="00677577" w:rsidP="00DA3CB2">
      <w:pPr>
        <w:spacing w:after="120" w:line="276" w:lineRule="auto"/>
        <w:contextualSpacing/>
        <w:rPr>
          <w:rFonts w:ascii="Aptos" w:eastAsia="Aptos" w:hAnsi="Aptos" w:cs="Times New Roman"/>
          <w:u w:val="single"/>
        </w:rPr>
      </w:pPr>
      <w:r w:rsidRPr="00B45F7C">
        <w:rPr>
          <w:rFonts w:ascii="Aptos" w:eastAsia="Aptos" w:hAnsi="Aptos" w:cs="Times New Roman"/>
          <w:u w:val="single"/>
        </w:rPr>
        <w:t>Australian Manufacturing Workers’ Union</w:t>
      </w:r>
    </w:p>
    <w:p w14:paraId="726EBFF1" w14:textId="77777777" w:rsidR="0011475D" w:rsidRDefault="00677577" w:rsidP="00DA3CB2">
      <w:pPr>
        <w:spacing w:after="120" w:line="276" w:lineRule="auto"/>
        <w:contextualSpacing/>
        <w:rPr>
          <w:rFonts w:ascii="Aptos" w:eastAsia="Aptos" w:hAnsi="Aptos" w:cs="Times New Roman"/>
        </w:rPr>
      </w:pPr>
      <w:r w:rsidRPr="00B45F7C">
        <w:rPr>
          <w:rFonts w:ascii="Aptos" w:eastAsia="Aptos" w:hAnsi="Aptos" w:cs="Times New Roman"/>
        </w:rPr>
        <w:t>Australian Maritime Officers Union</w:t>
      </w:r>
    </w:p>
    <w:p w14:paraId="61943150" w14:textId="77777777" w:rsidR="0011475D" w:rsidRDefault="00677577" w:rsidP="00DA3CB2">
      <w:pPr>
        <w:spacing w:after="120" w:line="276" w:lineRule="auto"/>
        <w:contextualSpacing/>
        <w:rPr>
          <w:rFonts w:ascii="Aptos" w:eastAsia="Aptos" w:hAnsi="Aptos" w:cs="Times New Roman"/>
          <w:u w:val="single"/>
        </w:rPr>
      </w:pPr>
      <w:r w:rsidRPr="00B45F7C">
        <w:rPr>
          <w:rFonts w:ascii="Aptos" w:eastAsia="Aptos" w:hAnsi="Aptos" w:cs="Times New Roman"/>
          <w:u w:val="single"/>
        </w:rPr>
        <w:t>Australian Nursing and Midwifery Federation</w:t>
      </w:r>
    </w:p>
    <w:p w14:paraId="38B438C1" w14:textId="77777777" w:rsidR="0011475D" w:rsidRDefault="00677577" w:rsidP="00DA3CB2">
      <w:pPr>
        <w:spacing w:after="120" w:line="276" w:lineRule="auto"/>
        <w:contextualSpacing/>
        <w:rPr>
          <w:rFonts w:ascii="Aptos" w:eastAsia="Aptos" w:hAnsi="Aptos" w:cs="Times New Roman"/>
          <w:u w:val="single"/>
        </w:rPr>
      </w:pPr>
      <w:r w:rsidRPr="00B45F7C">
        <w:rPr>
          <w:rFonts w:ascii="Aptos" w:eastAsia="Aptos" w:hAnsi="Aptos" w:cs="Times New Roman"/>
          <w:u w:val="single"/>
        </w:rPr>
        <w:t>Australian Services Union</w:t>
      </w:r>
    </w:p>
    <w:p w14:paraId="048B6CD0" w14:textId="77777777" w:rsidR="0011475D" w:rsidRDefault="00677577" w:rsidP="00DA3CB2">
      <w:pPr>
        <w:spacing w:after="120" w:line="276" w:lineRule="auto"/>
        <w:contextualSpacing/>
        <w:rPr>
          <w:rFonts w:ascii="Aptos" w:eastAsia="Aptos" w:hAnsi="Aptos" w:cs="Times New Roman"/>
        </w:rPr>
      </w:pPr>
      <w:r w:rsidRPr="00B45F7C">
        <w:rPr>
          <w:rFonts w:ascii="Aptos" w:eastAsia="Aptos" w:hAnsi="Aptos" w:cs="Times New Roman"/>
        </w:rPr>
        <w:t>Australian Workers Union</w:t>
      </w:r>
    </w:p>
    <w:p w14:paraId="3B95DF58" w14:textId="74F20A8B" w:rsidR="00677577" w:rsidRPr="00B45F7C" w:rsidRDefault="00677577" w:rsidP="00DA3CB2">
      <w:pPr>
        <w:spacing w:after="120" w:line="276" w:lineRule="auto"/>
        <w:contextualSpacing/>
        <w:rPr>
          <w:rFonts w:ascii="Aptos" w:eastAsia="Aptos" w:hAnsi="Aptos" w:cs="Times New Roman"/>
        </w:rPr>
      </w:pPr>
      <w:r w:rsidRPr="00B45F7C">
        <w:rPr>
          <w:rFonts w:ascii="Aptos" w:eastAsia="Aptos" w:hAnsi="Aptos" w:cs="Times New Roman"/>
        </w:rPr>
        <w:t>CFMEU (Manufacturing Division)</w:t>
      </w:r>
    </w:p>
    <w:p w14:paraId="7FA60E01" w14:textId="77777777" w:rsidR="00677577" w:rsidRPr="00B45F7C" w:rsidRDefault="00677577" w:rsidP="00DA3CB2">
      <w:pPr>
        <w:spacing w:after="120" w:line="276" w:lineRule="auto"/>
        <w:contextualSpacing/>
        <w:rPr>
          <w:rFonts w:ascii="Aptos" w:eastAsia="Aptos" w:hAnsi="Aptos" w:cs="Times New Roman"/>
          <w:u w:val="single"/>
        </w:rPr>
      </w:pPr>
      <w:r w:rsidRPr="00B45F7C">
        <w:rPr>
          <w:rFonts w:ascii="Aptos" w:eastAsia="Aptos" w:hAnsi="Aptos" w:cs="Times New Roman"/>
          <w:u w:val="single"/>
        </w:rPr>
        <w:t>Community and Public Sector Union (Public Sector Union Group)</w:t>
      </w:r>
    </w:p>
    <w:p w14:paraId="207430CE" w14:textId="77777777" w:rsidR="00677577" w:rsidRPr="00B45F7C" w:rsidRDefault="00677577" w:rsidP="00DA3CB2">
      <w:pPr>
        <w:spacing w:after="120" w:line="276" w:lineRule="auto"/>
        <w:contextualSpacing/>
        <w:rPr>
          <w:rFonts w:ascii="Aptos" w:eastAsia="Aptos" w:hAnsi="Aptos" w:cs="Times New Roman"/>
          <w:u w:val="single"/>
        </w:rPr>
      </w:pPr>
      <w:r w:rsidRPr="00B45F7C">
        <w:rPr>
          <w:rFonts w:ascii="Aptos" w:eastAsia="Aptos" w:hAnsi="Aptos" w:cs="Times New Roman"/>
          <w:u w:val="single"/>
        </w:rPr>
        <w:t>Community and Public Sector Union (SPSF Group)</w:t>
      </w:r>
    </w:p>
    <w:p w14:paraId="0D2F1CCB" w14:textId="77777777" w:rsidR="0011475D" w:rsidRDefault="00677577" w:rsidP="00DA3CB2">
      <w:pPr>
        <w:spacing w:after="120" w:line="276" w:lineRule="auto"/>
        <w:contextualSpacing/>
        <w:rPr>
          <w:rFonts w:ascii="Aptos" w:eastAsia="Aptos" w:hAnsi="Aptos" w:cs="Times New Roman"/>
        </w:rPr>
      </w:pPr>
      <w:r w:rsidRPr="00B45F7C">
        <w:rPr>
          <w:rFonts w:ascii="Aptos" w:eastAsia="Aptos" w:hAnsi="Aptos" w:cs="Times New Roman"/>
        </w:rPr>
        <w:t>Financial Services Union</w:t>
      </w:r>
    </w:p>
    <w:p w14:paraId="03353F13" w14:textId="7FF8F72B" w:rsidR="0011475D" w:rsidRDefault="00677577" w:rsidP="00DA3CB2">
      <w:pPr>
        <w:spacing w:after="120" w:line="276" w:lineRule="auto"/>
        <w:contextualSpacing/>
        <w:rPr>
          <w:rFonts w:ascii="Aptos" w:eastAsia="Aptos" w:hAnsi="Aptos" w:cs="Times New Roman"/>
        </w:rPr>
      </w:pPr>
      <w:r w:rsidRPr="00B45F7C">
        <w:rPr>
          <w:rFonts w:ascii="Aptos" w:eastAsia="Aptos" w:hAnsi="Aptos" w:cs="Times New Roman"/>
        </w:rPr>
        <w:t>Flight Attendants’ Association of Australia</w:t>
      </w:r>
    </w:p>
    <w:p w14:paraId="152DDEA8" w14:textId="77777777" w:rsidR="0011475D" w:rsidRDefault="00677577" w:rsidP="00DA3CB2">
      <w:pPr>
        <w:spacing w:after="120" w:line="276" w:lineRule="auto"/>
        <w:contextualSpacing/>
        <w:rPr>
          <w:rFonts w:ascii="Aptos" w:eastAsia="Aptos" w:hAnsi="Aptos" w:cs="Times New Roman"/>
        </w:rPr>
      </w:pPr>
      <w:r w:rsidRPr="00B45F7C">
        <w:rPr>
          <w:rFonts w:ascii="Aptos" w:eastAsia="Aptos" w:hAnsi="Aptos" w:cs="Times New Roman"/>
        </w:rPr>
        <w:t>Health Services Union</w:t>
      </w:r>
    </w:p>
    <w:p w14:paraId="368AA0B8" w14:textId="77777777" w:rsidR="0011475D" w:rsidRDefault="00677577" w:rsidP="00DA3CB2">
      <w:pPr>
        <w:spacing w:after="120" w:line="276" w:lineRule="auto"/>
        <w:contextualSpacing/>
        <w:rPr>
          <w:rFonts w:ascii="Aptos" w:eastAsia="Aptos" w:hAnsi="Aptos" w:cs="Times New Roman"/>
          <w:u w:val="single"/>
        </w:rPr>
      </w:pPr>
      <w:r w:rsidRPr="00B45F7C">
        <w:rPr>
          <w:rFonts w:ascii="Aptos" w:eastAsia="Aptos" w:hAnsi="Aptos" w:cs="Times New Roman"/>
          <w:u w:val="single"/>
        </w:rPr>
        <w:t>Independent Education Union</w:t>
      </w:r>
    </w:p>
    <w:p w14:paraId="02D05305" w14:textId="77777777" w:rsidR="0011475D" w:rsidRDefault="00677577" w:rsidP="00DA3CB2">
      <w:pPr>
        <w:spacing w:after="120" w:line="276" w:lineRule="auto"/>
        <w:contextualSpacing/>
        <w:rPr>
          <w:rFonts w:ascii="Aptos" w:eastAsia="Aptos" w:hAnsi="Aptos" w:cs="Times New Roman"/>
        </w:rPr>
      </w:pPr>
      <w:r w:rsidRPr="00B45F7C">
        <w:rPr>
          <w:rFonts w:ascii="Aptos" w:eastAsia="Aptos" w:hAnsi="Aptos" w:cs="Times New Roman"/>
        </w:rPr>
        <w:t>Maritime Union of Australia</w:t>
      </w:r>
    </w:p>
    <w:p w14:paraId="5C8C1070" w14:textId="77777777" w:rsidR="0011475D" w:rsidRDefault="00677577" w:rsidP="00DA3CB2">
      <w:pPr>
        <w:spacing w:after="120" w:line="276" w:lineRule="auto"/>
        <w:contextualSpacing/>
        <w:rPr>
          <w:rFonts w:ascii="Aptos" w:eastAsia="Aptos" w:hAnsi="Aptos" w:cs="Times New Roman"/>
          <w:u w:val="single"/>
        </w:rPr>
      </w:pPr>
      <w:r w:rsidRPr="00B45F7C">
        <w:rPr>
          <w:rFonts w:ascii="Aptos" w:eastAsia="Aptos" w:hAnsi="Aptos" w:cs="Times New Roman"/>
          <w:u w:val="single"/>
        </w:rPr>
        <w:t>Media, Entertainment and Arts Alliance</w:t>
      </w:r>
    </w:p>
    <w:p w14:paraId="513657AE" w14:textId="0D0D914E" w:rsidR="00677577" w:rsidRPr="00B45F7C" w:rsidRDefault="00677577" w:rsidP="00DA3CB2">
      <w:pPr>
        <w:spacing w:after="120" w:line="276" w:lineRule="auto"/>
        <w:contextualSpacing/>
        <w:rPr>
          <w:rFonts w:ascii="Aptos" w:eastAsia="Aptos" w:hAnsi="Aptos" w:cs="Times New Roman"/>
        </w:rPr>
      </w:pPr>
      <w:r w:rsidRPr="00B45F7C">
        <w:rPr>
          <w:rFonts w:ascii="Aptos" w:eastAsia="Aptos" w:hAnsi="Aptos" w:cs="Times New Roman"/>
        </w:rPr>
        <w:t>Mining and Energy Union</w:t>
      </w:r>
    </w:p>
    <w:p w14:paraId="2CCE9F34" w14:textId="77777777" w:rsidR="00677577" w:rsidRPr="00B45F7C" w:rsidRDefault="00677577" w:rsidP="00DA3CB2">
      <w:pPr>
        <w:spacing w:after="120" w:line="276" w:lineRule="auto"/>
        <w:contextualSpacing/>
        <w:rPr>
          <w:rFonts w:ascii="Aptos" w:eastAsia="Aptos" w:hAnsi="Aptos" w:cs="Times New Roman"/>
          <w:u w:val="single"/>
        </w:rPr>
      </w:pPr>
      <w:r w:rsidRPr="00B45F7C">
        <w:rPr>
          <w:rFonts w:ascii="Aptos" w:eastAsia="Aptos" w:hAnsi="Aptos" w:cs="Times New Roman"/>
          <w:u w:val="single"/>
        </w:rPr>
        <w:t>National Tertiary Education Union</w:t>
      </w:r>
    </w:p>
    <w:p w14:paraId="0DBE6470" w14:textId="77777777" w:rsidR="00677577" w:rsidRPr="00B45F7C" w:rsidRDefault="00677577" w:rsidP="00DA3CB2">
      <w:pPr>
        <w:spacing w:after="120" w:line="276" w:lineRule="auto"/>
        <w:contextualSpacing/>
        <w:rPr>
          <w:rFonts w:ascii="Aptos" w:eastAsia="Aptos" w:hAnsi="Aptos" w:cs="Times New Roman"/>
          <w:u w:val="single"/>
        </w:rPr>
      </w:pPr>
      <w:r w:rsidRPr="00B45F7C">
        <w:rPr>
          <w:rFonts w:ascii="Aptos" w:eastAsia="Aptos" w:hAnsi="Aptos" w:cs="Times New Roman"/>
          <w:u w:val="single"/>
        </w:rPr>
        <w:t>Professionals Australia</w:t>
      </w:r>
    </w:p>
    <w:p w14:paraId="5C1FC84B" w14:textId="77777777" w:rsidR="00677577" w:rsidRPr="00B45F7C" w:rsidRDefault="00677577" w:rsidP="00DA3CB2">
      <w:pPr>
        <w:spacing w:after="120" w:line="276" w:lineRule="auto"/>
        <w:contextualSpacing/>
        <w:rPr>
          <w:rFonts w:ascii="Aptos" w:eastAsia="Aptos" w:hAnsi="Aptos" w:cs="Times New Roman"/>
        </w:rPr>
      </w:pPr>
      <w:r w:rsidRPr="00B45F7C">
        <w:rPr>
          <w:rFonts w:ascii="Aptos" w:eastAsia="Aptos" w:hAnsi="Aptos" w:cs="Times New Roman"/>
        </w:rPr>
        <w:t>Rail, Tram and Bus Union</w:t>
      </w:r>
    </w:p>
    <w:p w14:paraId="4A53DA82" w14:textId="77777777" w:rsidR="00677577" w:rsidRPr="00B45F7C" w:rsidRDefault="00677577" w:rsidP="00DA3CB2">
      <w:pPr>
        <w:spacing w:after="120" w:line="276" w:lineRule="auto"/>
        <w:contextualSpacing/>
        <w:rPr>
          <w:rFonts w:ascii="Aptos" w:eastAsia="Aptos" w:hAnsi="Aptos" w:cs="Times New Roman"/>
          <w:u w:val="single"/>
        </w:rPr>
      </w:pPr>
      <w:r w:rsidRPr="00B45F7C">
        <w:rPr>
          <w:rFonts w:ascii="Aptos" w:eastAsia="Aptos" w:hAnsi="Aptos" w:cs="Times New Roman"/>
          <w:u w:val="single"/>
        </w:rPr>
        <w:t>Shop, Distributive and Allied Employees Association</w:t>
      </w:r>
    </w:p>
    <w:p w14:paraId="0DF29156" w14:textId="77777777" w:rsidR="00677577" w:rsidRPr="00B45F7C" w:rsidRDefault="00677577" w:rsidP="00DA3CB2">
      <w:pPr>
        <w:spacing w:after="120" w:line="276" w:lineRule="auto"/>
        <w:contextualSpacing/>
        <w:rPr>
          <w:rFonts w:ascii="Aptos" w:eastAsia="Aptos" w:hAnsi="Aptos" w:cs="Times New Roman"/>
          <w:u w:val="single"/>
        </w:rPr>
      </w:pPr>
      <w:r w:rsidRPr="00B45F7C">
        <w:rPr>
          <w:rFonts w:ascii="Aptos" w:eastAsia="Aptos" w:hAnsi="Aptos" w:cs="Times New Roman"/>
          <w:u w:val="single"/>
        </w:rPr>
        <w:t>Transport Workers Union</w:t>
      </w:r>
    </w:p>
    <w:p w14:paraId="2DBE3722" w14:textId="77777777" w:rsidR="00677577" w:rsidRPr="00B45F7C" w:rsidRDefault="00677577" w:rsidP="00DA3CB2">
      <w:pPr>
        <w:spacing w:after="120" w:line="276" w:lineRule="auto"/>
        <w:contextualSpacing/>
        <w:rPr>
          <w:rFonts w:ascii="Aptos" w:eastAsia="Aptos" w:hAnsi="Aptos" w:cs="Times New Roman"/>
          <w:u w:val="single"/>
        </w:rPr>
      </w:pPr>
      <w:r w:rsidRPr="00B45F7C">
        <w:rPr>
          <w:rFonts w:ascii="Aptos" w:eastAsia="Aptos" w:hAnsi="Aptos" w:cs="Times New Roman"/>
          <w:u w:val="single"/>
        </w:rPr>
        <w:t>United Firefighters Union Victoria</w:t>
      </w:r>
    </w:p>
    <w:p w14:paraId="7555D13D" w14:textId="77777777" w:rsidR="00677577" w:rsidRPr="00B45F7C" w:rsidRDefault="00677577" w:rsidP="00DA3CB2">
      <w:pPr>
        <w:spacing w:after="120" w:line="276" w:lineRule="auto"/>
        <w:contextualSpacing/>
        <w:rPr>
          <w:rFonts w:ascii="Aptos" w:eastAsia="Aptos" w:hAnsi="Aptos" w:cs="Times New Roman"/>
          <w:u w:val="single"/>
        </w:rPr>
      </w:pPr>
      <w:r w:rsidRPr="00B45F7C">
        <w:rPr>
          <w:rFonts w:ascii="Aptos" w:eastAsia="Aptos" w:hAnsi="Aptos" w:cs="Times New Roman"/>
          <w:u w:val="single"/>
        </w:rPr>
        <w:t>United Workers Union</w:t>
      </w:r>
    </w:p>
    <w:p w14:paraId="265FAC35" w14:textId="77777777" w:rsidR="00677577" w:rsidRPr="00B45F7C" w:rsidRDefault="00677577" w:rsidP="00DA3CB2">
      <w:pPr>
        <w:pStyle w:val="Heading5"/>
        <w:spacing w:line="276" w:lineRule="auto"/>
        <w:rPr>
          <w:rFonts w:eastAsia="Times New Roman"/>
        </w:rPr>
      </w:pPr>
      <w:r w:rsidRPr="00B45F7C">
        <w:rPr>
          <w:rFonts w:eastAsia="Times New Roman"/>
        </w:rPr>
        <w:t>Academics (1 November</w:t>
      </w:r>
      <w:r>
        <w:rPr>
          <w:rFonts w:eastAsia="Times New Roman"/>
        </w:rPr>
        <w:t xml:space="preserve"> 2024</w:t>
      </w:r>
      <w:r w:rsidRPr="00B45F7C">
        <w:rPr>
          <w:rFonts w:eastAsia="Times New Roman"/>
        </w:rPr>
        <w:t>)</w:t>
      </w:r>
    </w:p>
    <w:p w14:paraId="3F5E29DF" w14:textId="77777777" w:rsidR="00677577" w:rsidRPr="00B45F7C" w:rsidRDefault="00677577" w:rsidP="00DA3CB2">
      <w:pPr>
        <w:spacing w:after="120" w:line="276" w:lineRule="auto"/>
        <w:contextualSpacing/>
        <w:rPr>
          <w:rFonts w:ascii="Aptos" w:eastAsia="Aptos" w:hAnsi="Aptos" w:cs="Times New Roman"/>
          <w:u w:val="single"/>
        </w:rPr>
      </w:pPr>
      <w:r w:rsidRPr="00B45F7C">
        <w:rPr>
          <w:rFonts w:ascii="Aptos" w:eastAsia="Aptos" w:hAnsi="Aptos" w:cs="Times New Roman"/>
          <w:u w:val="single"/>
        </w:rPr>
        <w:t>Associate Professor Chris F Wright</w:t>
      </w:r>
    </w:p>
    <w:p w14:paraId="1A7927D5" w14:textId="77777777" w:rsidR="00677577" w:rsidRPr="00B45F7C" w:rsidRDefault="00677577" w:rsidP="00DA3CB2">
      <w:pPr>
        <w:spacing w:after="120" w:line="276" w:lineRule="auto"/>
        <w:contextualSpacing/>
        <w:rPr>
          <w:rFonts w:ascii="Aptos" w:eastAsia="Aptos" w:hAnsi="Aptos" w:cs="Times New Roman"/>
          <w:u w:val="single"/>
        </w:rPr>
      </w:pPr>
      <w:r w:rsidRPr="00B45F7C">
        <w:rPr>
          <w:rFonts w:ascii="Aptos" w:eastAsia="Aptos" w:hAnsi="Aptos" w:cs="Times New Roman"/>
          <w:u w:val="single"/>
        </w:rPr>
        <w:t>Professor Rae Cooper AO</w:t>
      </w:r>
    </w:p>
    <w:p w14:paraId="34F9C55C" w14:textId="77777777" w:rsidR="00677577" w:rsidRPr="00B45F7C" w:rsidRDefault="00677577" w:rsidP="00DA3CB2">
      <w:pPr>
        <w:spacing w:after="120" w:line="276" w:lineRule="auto"/>
        <w:contextualSpacing/>
        <w:rPr>
          <w:rFonts w:ascii="Aptos" w:eastAsia="Aptos" w:hAnsi="Aptos" w:cs="Times New Roman"/>
        </w:rPr>
      </w:pPr>
      <w:r w:rsidRPr="00B45F7C">
        <w:rPr>
          <w:rFonts w:ascii="Aptos" w:eastAsia="Aptos" w:hAnsi="Aptos" w:cs="Times New Roman"/>
        </w:rPr>
        <w:t>Professor Graeme Orr</w:t>
      </w:r>
    </w:p>
    <w:p w14:paraId="6D152FFD" w14:textId="77777777" w:rsidR="00677577" w:rsidRPr="00B45F7C" w:rsidRDefault="00677577" w:rsidP="00DA3CB2">
      <w:pPr>
        <w:spacing w:after="120" w:line="276" w:lineRule="auto"/>
        <w:contextualSpacing/>
        <w:rPr>
          <w:rFonts w:ascii="Aptos" w:eastAsia="Aptos" w:hAnsi="Aptos" w:cs="Times New Roman"/>
        </w:rPr>
      </w:pPr>
      <w:r w:rsidRPr="00B45F7C">
        <w:rPr>
          <w:rFonts w:ascii="Aptos" w:eastAsia="Aptos" w:hAnsi="Aptos" w:cs="Times New Roman"/>
        </w:rPr>
        <w:t>Professor Marilyn Pittard</w:t>
      </w:r>
    </w:p>
    <w:p w14:paraId="60DEE762" w14:textId="77777777" w:rsidR="00677577" w:rsidRPr="00B45F7C" w:rsidRDefault="00677577" w:rsidP="00DA3CB2">
      <w:pPr>
        <w:spacing w:after="120" w:line="276" w:lineRule="auto"/>
        <w:contextualSpacing/>
        <w:rPr>
          <w:rFonts w:ascii="Aptos" w:eastAsia="Aptos" w:hAnsi="Aptos" w:cs="Times New Roman"/>
          <w:u w:val="single"/>
        </w:rPr>
      </w:pPr>
      <w:r w:rsidRPr="00B45F7C">
        <w:rPr>
          <w:rFonts w:ascii="Aptos" w:eastAsia="Aptos" w:hAnsi="Aptos" w:cs="Times New Roman"/>
          <w:u w:val="single"/>
        </w:rPr>
        <w:t>Professor Andrew Stewart</w:t>
      </w:r>
    </w:p>
    <w:p w14:paraId="5F795B04" w14:textId="77777777" w:rsidR="0011475D" w:rsidRDefault="00677577" w:rsidP="00DA3CB2">
      <w:pPr>
        <w:spacing w:after="120" w:line="276" w:lineRule="auto"/>
        <w:contextualSpacing/>
        <w:rPr>
          <w:rFonts w:ascii="Aptos" w:eastAsia="Aptos" w:hAnsi="Aptos" w:cs="Times New Roman"/>
        </w:rPr>
      </w:pPr>
      <w:r w:rsidRPr="00B45F7C">
        <w:rPr>
          <w:rFonts w:ascii="Aptos" w:eastAsia="Aptos" w:hAnsi="Aptos" w:cs="Times New Roman"/>
        </w:rPr>
        <w:t>Distinguished Professor Anthony Forsyth</w:t>
      </w:r>
    </w:p>
    <w:p w14:paraId="650DC02E" w14:textId="77777777" w:rsidR="0011475D" w:rsidRDefault="00677577" w:rsidP="00DA3CB2">
      <w:pPr>
        <w:spacing w:after="120" w:line="276" w:lineRule="auto"/>
        <w:contextualSpacing/>
        <w:rPr>
          <w:rFonts w:ascii="Aptos" w:eastAsia="Aptos" w:hAnsi="Aptos" w:cs="Times New Roman"/>
          <w:u w:val="single"/>
        </w:rPr>
      </w:pPr>
      <w:r w:rsidRPr="00B45F7C">
        <w:rPr>
          <w:rFonts w:ascii="Aptos" w:eastAsia="Aptos" w:hAnsi="Aptos" w:cs="Times New Roman"/>
          <w:u w:val="single"/>
        </w:rPr>
        <w:t>Professor Shae McCrystal</w:t>
      </w:r>
    </w:p>
    <w:p w14:paraId="1EEB0EF0" w14:textId="77777777" w:rsidR="0011475D" w:rsidRDefault="00677577" w:rsidP="00DA3CB2">
      <w:pPr>
        <w:spacing w:after="120" w:line="276" w:lineRule="auto"/>
        <w:contextualSpacing/>
        <w:rPr>
          <w:rFonts w:ascii="Aptos" w:eastAsia="Aptos" w:hAnsi="Aptos" w:cs="Times New Roman"/>
          <w:u w:val="single"/>
        </w:rPr>
      </w:pPr>
      <w:r w:rsidRPr="00B45F7C">
        <w:rPr>
          <w:rFonts w:ascii="Aptos" w:eastAsia="Aptos" w:hAnsi="Aptos" w:cs="Times New Roman"/>
          <w:u w:val="single"/>
        </w:rPr>
        <w:t>Dr Alex Veen</w:t>
      </w:r>
    </w:p>
    <w:p w14:paraId="7B12FBF7" w14:textId="77777777" w:rsidR="0011475D" w:rsidRDefault="00677577" w:rsidP="00DA3CB2">
      <w:pPr>
        <w:spacing w:after="120" w:line="276" w:lineRule="auto"/>
        <w:contextualSpacing/>
        <w:rPr>
          <w:rFonts w:ascii="Aptos" w:eastAsia="Aptos" w:hAnsi="Aptos" w:cs="Times New Roman"/>
        </w:rPr>
      </w:pPr>
      <w:r w:rsidRPr="00B45F7C">
        <w:rPr>
          <w:rFonts w:ascii="Aptos" w:eastAsia="Aptos" w:hAnsi="Aptos" w:cs="Times New Roman"/>
        </w:rPr>
        <w:t>Associate Professor Stephen Clibborn</w:t>
      </w:r>
    </w:p>
    <w:p w14:paraId="5082C956" w14:textId="77777777" w:rsidR="0011475D" w:rsidRDefault="00677577" w:rsidP="00DA3CB2">
      <w:pPr>
        <w:spacing w:after="120" w:line="276" w:lineRule="auto"/>
        <w:contextualSpacing/>
        <w:rPr>
          <w:rFonts w:ascii="Aptos" w:eastAsia="Aptos" w:hAnsi="Aptos" w:cs="Times New Roman"/>
          <w:u w:val="single"/>
        </w:rPr>
      </w:pPr>
      <w:r w:rsidRPr="00B45F7C">
        <w:rPr>
          <w:rFonts w:ascii="Aptos" w:eastAsia="Aptos" w:hAnsi="Aptos" w:cs="Times New Roman"/>
          <w:u w:val="single"/>
        </w:rPr>
        <w:t>Professor Meg Smith</w:t>
      </w:r>
    </w:p>
    <w:p w14:paraId="0139150E" w14:textId="77777777" w:rsidR="0011475D" w:rsidRDefault="00677577" w:rsidP="00DA3CB2">
      <w:pPr>
        <w:spacing w:after="120" w:line="276" w:lineRule="auto"/>
        <w:contextualSpacing/>
        <w:rPr>
          <w:rFonts w:ascii="Aptos" w:eastAsia="Aptos" w:hAnsi="Aptos" w:cs="Times New Roman"/>
        </w:rPr>
      </w:pPr>
      <w:r w:rsidRPr="00B45F7C">
        <w:rPr>
          <w:rFonts w:ascii="Aptos" w:eastAsia="Aptos" w:hAnsi="Aptos" w:cs="Times New Roman"/>
        </w:rPr>
        <w:t>Dr Michael Lyons</w:t>
      </w:r>
    </w:p>
    <w:p w14:paraId="4329C03D" w14:textId="4472BFE9" w:rsidR="00677577" w:rsidRPr="00B45F7C" w:rsidRDefault="00677577" w:rsidP="00DA3CB2">
      <w:pPr>
        <w:spacing w:after="120" w:line="276" w:lineRule="auto"/>
        <w:contextualSpacing/>
        <w:rPr>
          <w:rFonts w:ascii="Aptos" w:eastAsia="Aptos" w:hAnsi="Aptos" w:cs="Times New Roman"/>
        </w:rPr>
      </w:pPr>
      <w:r w:rsidRPr="00B45F7C">
        <w:rPr>
          <w:rFonts w:ascii="Aptos" w:eastAsia="Aptos" w:hAnsi="Aptos" w:cs="Times New Roman"/>
        </w:rPr>
        <w:t>Dr Adriana Orifici</w:t>
      </w:r>
    </w:p>
    <w:p w14:paraId="67B55821" w14:textId="77777777" w:rsidR="0011475D" w:rsidRDefault="00677577" w:rsidP="00DA3CB2">
      <w:pPr>
        <w:spacing w:after="120" w:line="276" w:lineRule="auto"/>
        <w:contextualSpacing/>
        <w:rPr>
          <w:rFonts w:ascii="Aptos" w:eastAsia="Aptos" w:hAnsi="Aptos" w:cs="Times New Roman"/>
          <w:u w:val="single"/>
        </w:rPr>
      </w:pPr>
      <w:r w:rsidRPr="00B45F7C">
        <w:rPr>
          <w:rFonts w:ascii="Aptos" w:eastAsia="Aptos" w:hAnsi="Aptos" w:cs="Times New Roman"/>
          <w:u w:val="single"/>
        </w:rPr>
        <w:t>Dr Fiona McDonald</w:t>
      </w:r>
    </w:p>
    <w:p w14:paraId="0F8A8858" w14:textId="77777777" w:rsidR="0011475D" w:rsidRDefault="00677577" w:rsidP="00DA3CB2">
      <w:pPr>
        <w:spacing w:after="120" w:line="276" w:lineRule="auto"/>
        <w:contextualSpacing/>
        <w:rPr>
          <w:rFonts w:ascii="Aptos" w:eastAsia="Aptos" w:hAnsi="Aptos" w:cs="Times New Roman"/>
          <w:u w:val="single"/>
        </w:rPr>
      </w:pPr>
      <w:r w:rsidRPr="00B45F7C">
        <w:rPr>
          <w:rFonts w:ascii="Aptos" w:eastAsia="Aptos" w:hAnsi="Aptos" w:cs="Times New Roman"/>
          <w:u w:val="single"/>
        </w:rPr>
        <w:t>Dr Jim Stanford</w:t>
      </w:r>
    </w:p>
    <w:p w14:paraId="3C7B5090" w14:textId="77777777" w:rsidR="0011475D" w:rsidRDefault="00677577" w:rsidP="00DA3CB2">
      <w:pPr>
        <w:spacing w:after="120" w:line="276" w:lineRule="auto"/>
        <w:contextualSpacing/>
        <w:rPr>
          <w:rFonts w:ascii="Aptos" w:eastAsia="Aptos" w:hAnsi="Aptos" w:cs="Times New Roman"/>
          <w:u w:val="single"/>
        </w:rPr>
      </w:pPr>
      <w:r w:rsidRPr="00B45F7C">
        <w:rPr>
          <w:rFonts w:ascii="Aptos" w:eastAsia="Aptos" w:hAnsi="Aptos" w:cs="Times New Roman"/>
          <w:u w:val="single"/>
        </w:rPr>
        <w:t>Adjunct Associate Professor Anne Junor</w:t>
      </w:r>
    </w:p>
    <w:p w14:paraId="48016467" w14:textId="77777777" w:rsidR="0011475D" w:rsidRDefault="00677577" w:rsidP="00DA3CB2">
      <w:pPr>
        <w:spacing w:after="120" w:line="276" w:lineRule="auto"/>
        <w:contextualSpacing/>
        <w:rPr>
          <w:rFonts w:ascii="Aptos" w:eastAsia="Aptos" w:hAnsi="Aptos" w:cs="Times New Roman"/>
          <w:u w:val="single"/>
        </w:rPr>
      </w:pPr>
      <w:r w:rsidRPr="00B45F7C">
        <w:rPr>
          <w:rFonts w:ascii="Aptos" w:eastAsia="Aptos" w:hAnsi="Aptos" w:cs="Times New Roman"/>
          <w:u w:val="single"/>
        </w:rPr>
        <w:t>Professor David Peetz</w:t>
      </w:r>
    </w:p>
    <w:p w14:paraId="53835A1F" w14:textId="77777777" w:rsidR="0011475D" w:rsidRDefault="00677577" w:rsidP="00DA3CB2">
      <w:pPr>
        <w:spacing w:after="120" w:line="276" w:lineRule="auto"/>
        <w:contextualSpacing/>
        <w:rPr>
          <w:rFonts w:ascii="Aptos" w:eastAsia="Aptos" w:hAnsi="Aptos" w:cs="Times New Roman"/>
          <w:u w:val="single"/>
        </w:rPr>
      </w:pPr>
      <w:r w:rsidRPr="00B45F7C">
        <w:rPr>
          <w:rFonts w:ascii="Aptos" w:eastAsia="Aptos" w:hAnsi="Aptos" w:cs="Times New Roman"/>
          <w:u w:val="single"/>
        </w:rPr>
        <w:t>Emeritus Professor Sara Charlesworth</w:t>
      </w:r>
    </w:p>
    <w:p w14:paraId="3C2CB4DB" w14:textId="77777777" w:rsidR="0011475D" w:rsidRDefault="00677577" w:rsidP="00DA3CB2">
      <w:pPr>
        <w:spacing w:after="120" w:line="276" w:lineRule="auto"/>
        <w:contextualSpacing/>
        <w:rPr>
          <w:rFonts w:ascii="Aptos" w:eastAsia="Aptos" w:hAnsi="Aptos" w:cs="Times New Roman"/>
        </w:rPr>
      </w:pPr>
      <w:r w:rsidRPr="00B45F7C">
        <w:rPr>
          <w:rFonts w:ascii="Aptos" w:eastAsia="Aptos" w:hAnsi="Aptos" w:cs="Times New Roman"/>
        </w:rPr>
        <w:t>Associate Professor Tess Hardy</w:t>
      </w:r>
    </w:p>
    <w:p w14:paraId="4FDE7909" w14:textId="77777777" w:rsidR="0011475D" w:rsidRDefault="00677577" w:rsidP="00DA3CB2">
      <w:pPr>
        <w:spacing w:after="120" w:line="276" w:lineRule="auto"/>
        <w:contextualSpacing/>
        <w:rPr>
          <w:rFonts w:ascii="Aptos" w:eastAsia="Aptos" w:hAnsi="Aptos" w:cs="Times New Roman"/>
        </w:rPr>
      </w:pPr>
      <w:r w:rsidRPr="00B45F7C">
        <w:rPr>
          <w:rFonts w:ascii="Aptos" w:eastAsia="Aptos" w:hAnsi="Aptos" w:cs="Times New Roman"/>
        </w:rPr>
        <w:t>Dr Iain Campbell</w:t>
      </w:r>
    </w:p>
    <w:p w14:paraId="45A85909" w14:textId="77777777" w:rsidR="0011475D" w:rsidRDefault="00677577" w:rsidP="00DA3CB2">
      <w:pPr>
        <w:spacing w:after="120" w:line="276" w:lineRule="auto"/>
        <w:contextualSpacing/>
        <w:rPr>
          <w:rFonts w:ascii="Aptos" w:eastAsia="Aptos" w:hAnsi="Aptos" w:cs="Times New Roman"/>
        </w:rPr>
      </w:pPr>
      <w:r w:rsidRPr="00B45F7C">
        <w:rPr>
          <w:rFonts w:ascii="Aptos" w:eastAsia="Aptos" w:hAnsi="Aptos" w:cs="Times New Roman"/>
        </w:rPr>
        <w:t>Dr Phillip Toner</w:t>
      </w:r>
    </w:p>
    <w:p w14:paraId="51B8D9CE" w14:textId="24D62078" w:rsidR="00677577" w:rsidRPr="00B45F7C" w:rsidRDefault="00677577" w:rsidP="00DA3CB2">
      <w:pPr>
        <w:spacing w:after="120" w:line="276" w:lineRule="auto"/>
        <w:contextualSpacing/>
        <w:rPr>
          <w:rFonts w:ascii="Aptos" w:eastAsia="Aptos" w:hAnsi="Aptos" w:cs="Times New Roman"/>
        </w:rPr>
      </w:pPr>
      <w:r w:rsidRPr="00B45F7C">
        <w:rPr>
          <w:rFonts w:ascii="Aptos" w:eastAsia="Aptos" w:hAnsi="Aptos" w:cs="Times New Roman"/>
        </w:rPr>
        <w:t>Emeritus Professor Glenda Strachan</w:t>
      </w:r>
    </w:p>
    <w:p w14:paraId="3B889F6F" w14:textId="77777777" w:rsidR="00677577" w:rsidRPr="00B45F7C" w:rsidRDefault="00677577" w:rsidP="00DA3CB2">
      <w:pPr>
        <w:spacing w:after="120" w:line="276" w:lineRule="auto"/>
        <w:contextualSpacing/>
        <w:rPr>
          <w:rFonts w:ascii="Aptos" w:eastAsia="Aptos" w:hAnsi="Aptos" w:cs="Times New Roman"/>
        </w:rPr>
      </w:pPr>
      <w:r w:rsidRPr="00B45F7C">
        <w:rPr>
          <w:rFonts w:ascii="Aptos" w:eastAsia="Aptos" w:hAnsi="Aptos" w:cs="Times New Roman"/>
        </w:rPr>
        <w:t>Professor Gabrielle Meagher</w:t>
      </w:r>
    </w:p>
    <w:p w14:paraId="035938E0" w14:textId="77777777" w:rsidR="00677577" w:rsidRDefault="00677577" w:rsidP="00DA3CB2">
      <w:pPr>
        <w:spacing w:after="120" w:line="276" w:lineRule="auto"/>
        <w:contextualSpacing/>
        <w:rPr>
          <w:rFonts w:ascii="Aptos" w:eastAsia="Aptos" w:hAnsi="Aptos" w:cs="Times New Roman"/>
        </w:rPr>
      </w:pPr>
      <w:r w:rsidRPr="00B45F7C">
        <w:rPr>
          <w:rFonts w:ascii="Aptos" w:eastAsia="Aptos" w:hAnsi="Aptos" w:cs="Times New Roman"/>
        </w:rPr>
        <w:t>Professor Paula McDonald</w:t>
      </w:r>
    </w:p>
    <w:p w14:paraId="10E78ACC" w14:textId="77777777" w:rsidR="00677577" w:rsidRPr="00692F31" w:rsidRDefault="00677577" w:rsidP="00DA3CB2">
      <w:pPr>
        <w:pStyle w:val="Heading5"/>
        <w:spacing w:line="276" w:lineRule="auto"/>
        <w:rPr>
          <w:rFonts w:eastAsia="Times New Roman"/>
        </w:rPr>
      </w:pPr>
      <w:r>
        <w:rPr>
          <w:rFonts w:eastAsia="Times New Roman"/>
        </w:rPr>
        <w:t>Employee representatives</w:t>
      </w:r>
      <w:r w:rsidRPr="00692F31">
        <w:rPr>
          <w:rFonts w:eastAsia="Times New Roman"/>
        </w:rPr>
        <w:t xml:space="preserve"> (19 February 2025)</w:t>
      </w:r>
    </w:p>
    <w:p w14:paraId="1DC46809" w14:textId="77777777" w:rsidR="00677577" w:rsidRDefault="00677577" w:rsidP="00DA3CB2">
      <w:pPr>
        <w:spacing w:after="120" w:line="276" w:lineRule="auto"/>
        <w:contextualSpacing/>
        <w:rPr>
          <w:rFonts w:ascii="Aptos" w:eastAsia="Aptos" w:hAnsi="Aptos" w:cs="Times New Roman"/>
        </w:rPr>
      </w:pPr>
      <w:r>
        <w:rPr>
          <w:rFonts w:ascii="Aptos" w:eastAsia="Aptos" w:hAnsi="Aptos" w:cs="Times New Roman"/>
        </w:rPr>
        <w:t>Australasian Meat Industry Employees Union</w:t>
      </w:r>
    </w:p>
    <w:p w14:paraId="12D7F664" w14:textId="77777777" w:rsidR="00677577" w:rsidRPr="00692F31" w:rsidRDefault="00677577" w:rsidP="00DA3CB2">
      <w:pPr>
        <w:spacing w:after="120" w:line="276" w:lineRule="auto"/>
        <w:contextualSpacing/>
        <w:rPr>
          <w:rFonts w:ascii="Aptos" w:eastAsia="Aptos" w:hAnsi="Aptos" w:cs="Times New Roman"/>
          <w:u w:val="single"/>
        </w:rPr>
      </w:pPr>
      <w:r w:rsidRPr="00692F31">
        <w:rPr>
          <w:rFonts w:ascii="Aptos" w:eastAsia="Aptos" w:hAnsi="Aptos" w:cs="Times New Roman"/>
          <w:u w:val="single"/>
        </w:rPr>
        <w:t>Australian Council of Trade Unions</w:t>
      </w:r>
    </w:p>
    <w:p w14:paraId="02141AFF" w14:textId="77777777" w:rsidR="00677577" w:rsidRDefault="00677577" w:rsidP="00DA3CB2">
      <w:pPr>
        <w:spacing w:after="120" w:line="276" w:lineRule="auto"/>
        <w:contextualSpacing/>
        <w:rPr>
          <w:rFonts w:ascii="Aptos" w:eastAsia="Aptos" w:hAnsi="Aptos" w:cs="Times New Roman"/>
        </w:rPr>
      </w:pPr>
      <w:r>
        <w:rPr>
          <w:rFonts w:ascii="Aptos" w:eastAsia="Aptos" w:hAnsi="Aptos" w:cs="Times New Roman"/>
        </w:rPr>
        <w:t>Australian Education Union</w:t>
      </w:r>
    </w:p>
    <w:p w14:paraId="6C5DEF76" w14:textId="77777777" w:rsidR="0011475D" w:rsidRDefault="00677577" w:rsidP="00DA3CB2">
      <w:pPr>
        <w:spacing w:after="120" w:line="276" w:lineRule="auto"/>
        <w:contextualSpacing/>
        <w:rPr>
          <w:rFonts w:ascii="Aptos" w:eastAsia="Aptos" w:hAnsi="Aptos" w:cs="Times New Roman"/>
        </w:rPr>
      </w:pPr>
      <w:r>
        <w:rPr>
          <w:rFonts w:ascii="Aptos" w:eastAsia="Aptos" w:hAnsi="Aptos" w:cs="Times New Roman"/>
        </w:rPr>
        <w:t>Australian Institute of Marine and Power Engineers</w:t>
      </w:r>
    </w:p>
    <w:p w14:paraId="68DF465F" w14:textId="666C8602" w:rsidR="00677577" w:rsidRDefault="00677577" w:rsidP="00DA3CB2">
      <w:pPr>
        <w:spacing w:after="120" w:line="276" w:lineRule="auto"/>
        <w:contextualSpacing/>
        <w:rPr>
          <w:rFonts w:ascii="Aptos" w:eastAsia="Aptos" w:hAnsi="Aptos" w:cs="Times New Roman"/>
        </w:rPr>
      </w:pPr>
      <w:r>
        <w:rPr>
          <w:rFonts w:ascii="Aptos" w:eastAsia="Aptos" w:hAnsi="Aptos" w:cs="Times New Roman"/>
        </w:rPr>
        <w:t>Australian Manufacturing Workers’ Union</w:t>
      </w:r>
    </w:p>
    <w:p w14:paraId="589BAB50" w14:textId="77777777" w:rsidR="00677577" w:rsidRDefault="00677577" w:rsidP="00DA3CB2">
      <w:pPr>
        <w:spacing w:after="120" w:line="276" w:lineRule="auto"/>
        <w:contextualSpacing/>
        <w:rPr>
          <w:rFonts w:ascii="Aptos" w:eastAsia="Aptos" w:hAnsi="Aptos" w:cs="Times New Roman"/>
        </w:rPr>
      </w:pPr>
      <w:r>
        <w:rPr>
          <w:rFonts w:ascii="Aptos" w:eastAsia="Aptos" w:hAnsi="Aptos" w:cs="Times New Roman"/>
        </w:rPr>
        <w:t>Australian Maritime Officers Union</w:t>
      </w:r>
    </w:p>
    <w:p w14:paraId="6707FF1E" w14:textId="77777777" w:rsidR="00677577" w:rsidRPr="00692F31" w:rsidRDefault="00677577" w:rsidP="00DA3CB2">
      <w:pPr>
        <w:spacing w:after="120" w:line="276" w:lineRule="auto"/>
        <w:contextualSpacing/>
        <w:rPr>
          <w:rFonts w:ascii="Aptos" w:eastAsia="Aptos" w:hAnsi="Aptos" w:cs="Times New Roman"/>
          <w:u w:val="single"/>
        </w:rPr>
      </w:pPr>
      <w:r w:rsidRPr="00692F31">
        <w:rPr>
          <w:rFonts w:ascii="Aptos" w:eastAsia="Aptos" w:hAnsi="Aptos" w:cs="Times New Roman"/>
          <w:u w:val="single"/>
        </w:rPr>
        <w:t>Australian Nursing and Midwifery Federation</w:t>
      </w:r>
    </w:p>
    <w:p w14:paraId="38D300AF" w14:textId="77777777" w:rsidR="00677577" w:rsidRPr="00692F31" w:rsidRDefault="00677577" w:rsidP="00DA3CB2">
      <w:pPr>
        <w:spacing w:after="120" w:line="276" w:lineRule="auto"/>
        <w:contextualSpacing/>
        <w:rPr>
          <w:rFonts w:ascii="Aptos" w:eastAsia="Aptos" w:hAnsi="Aptos" w:cs="Times New Roman"/>
          <w:u w:val="single"/>
        </w:rPr>
      </w:pPr>
      <w:r w:rsidRPr="00692F31">
        <w:rPr>
          <w:rFonts w:ascii="Aptos" w:eastAsia="Aptos" w:hAnsi="Aptos" w:cs="Times New Roman"/>
          <w:u w:val="single"/>
        </w:rPr>
        <w:t>Australian Services Union</w:t>
      </w:r>
    </w:p>
    <w:p w14:paraId="11CE0ACD" w14:textId="77777777" w:rsidR="00677577" w:rsidRPr="00692F31" w:rsidRDefault="00677577" w:rsidP="00DA3CB2">
      <w:pPr>
        <w:spacing w:after="120" w:line="276" w:lineRule="auto"/>
        <w:contextualSpacing/>
        <w:rPr>
          <w:rFonts w:ascii="Aptos" w:eastAsia="Aptos" w:hAnsi="Aptos" w:cs="Times New Roman"/>
          <w:u w:val="single"/>
        </w:rPr>
      </w:pPr>
      <w:r w:rsidRPr="00692F31">
        <w:rPr>
          <w:rFonts w:ascii="Aptos" w:eastAsia="Aptos" w:hAnsi="Aptos" w:cs="Times New Roman"/>
          <w:u w:val="single"/>
        </w:rPr>
        <w:t>Australian Workers Union</w:t>
      </w:r>
    </w:p>
    <w:p w14:paraId="28810A0E" w14:textId="77777777" w:rsidR="00677577" w:rsidRDefault="00677577" w:rsidP="00DA3CB2">
      <w:pPr>
        <w:spacing w:after="120" w:line="276" w:lineRule="auto"/>
        <w:contextualSpacing/>
        <w:rPr>
          <w:rFonts w:ascii="Aptos" w:eastAsia="Aptos" w:hAnsi="Aptos" w:cs="Times New Roman"/>
        </w:rPr>
      </w:pPr>
      <w:r>
        <w:rPr>
          <w:rFonts w:ascii="Aptos" w:eastAsia="Aptos" w:hAnsi="Aptos" w:cs="Times New Roman"/>
        </w:rPr>
        <w:t>CFMEU (Manufacturing Division)</w:t>
      </w:r>
    </w:p>
    <w:p w14:paraId="796B7BAC" w14:textId="77777777" w:rsidR="00677577" w:rsidRPr="00692F31" w:rsidRDefault="00677577" w:rsidP="00DA3CB2">
      <w:pPr>
        <w:spacing w:after="120" w:line="276" w:lineRule="auto"/>
        <w:contextualSpacing/>
        <w:rPr>
          <w:rFonts w:ascii="Aptos" w:eastAsia="Aptos" w:hAnsi="Aptos" w:cs="Times New Roman"/>
          <w:u w:val="single"/>
        </w:rPr>
      </w:pPr>
      <w:r w:rsidRPr="00692F31">
        <w:rPr>
          <w:rFonts w:ascii="Aptos" w:eastAsia="Aptos" w:hAnsi="Aptos" w:cs="Times New Roman"/>
          <w:u w:val="single"/>
        </w:rPr>
        <w:t>Community and Public Sector Union (Public Sector Union Group)</w:t>
      </w:r>
    </w:p>
    <w:p w14:paraId="2B74655B" w14:textId="77777777" w:rsidR="00677577" w:rsidRDefault="00677577" w:rsidP="00DA3CB2">
      <w:pPr>
        <w:spacing w:after="120" w:line="276" w:lineRule="auto"/>
        <w:contextualSpacing/>
        <w:rPr>
          <w:rFonts w:ascii="Aptos" w:eastAsia="Aptos" w:hAnsi="Aptos" w:cs="Times New Roman"/>
        </w:rPr>
      </w:pPr>
      <w:r>
        <w:rPr>
          <w:rFonts w:ascii="Aptos" w:eastAsia="Aptos" w:hAnsi="Aptos" w:cs="Times New Roman"/>
        </w:rPr>
        <w:t>Community and Public Sector Union (SPSF Group)</w:t>
      </w:r>
    </w:p>
    <w:p w14:paraId="2B610EE1" w14:textId="77777777" w:rsidR="00677577" w:rsidRDefault="00677577" w:rsidP="00DA3CB2">
      <w:pPr>
        <w:spacing w:after="120" w:line="276" w:lineRule="auto"/>
        <w:contextualSpacing/>
        <w:rPr>
          <w:rFonts w:ascii="Aptos" w:eastAsia="Aptos" w:hAnsi="Aptos" w:cs="Times New Roman"/>
        </w:rPr>
      </w:pPr>
      <w:r>
        <w:rPr>
          <w:rFonts w:ascii="Aptos" w:eastAsia="Aptos" w:hAnsi="Aptos" w:cs="Times New Roman"/>
        </w:rPr>
        <w:t>Financial Services Union</w:t>
      </w:r>
    </w:p>
    <w:p w14:paraId="458497C4" w14:textId="77777777" w:rsidR="00677577" w:rsidRDefault="00677577" w:rsidP="00DA3CB2">
      <w:pPr>
        <w:spacing w:after="120" w:line="276" w:lineRule="auto"/>
        <w:contextualSpacing/>
        <w:rPr>
          <w:rFonts w:ascii="Aptos" w:eastAsia="Aptos" w:hAnsi="Aptos" w:cs="Times New Roman"/>
        </w:rPr>
      </w:pPr>
      <w:r>
        <w:rPr>
          <w:rFonts w:ascii="Aptos" w:eastAsia="Aptos" w:hAnsi="Aptos" w:cs="Times New Roman"/>
        </w:rPr>
        <w:t xml:space="preserve">Flight Attendants’ Association of </w:t>
      </w:r>
      <w:r w:rsidRPr="00705827">
        <w:rPr>
          <w:rFonts w:ascii="Aptos" w:eastAsia="Aptos" w:hAnsi="Aptos" w:cs="Times New Roman"/>
        </w:rPr>
        <w:t>Australia</w:t>
      </w:r>
    </w:p>
    <w:p w14:paraId="435CFE8B" w14:textId="77777777" w:rsidR="0011475D" w:rsidRDefault="00677577" w:rsidP="00DA3CB2">
      <w:pPr>
        <w:spacing w:after="120" w:line="276" w:lineRule="auto"/>
        <w:contextualSpacing/>
        <w:rPr>
          <w:rFonts w:ascii="Aptos" w:eastAsia="Aptos" w:hAnsi="Aptos" w:cs="Times New Roman"/>
        </w:rPr>
      </w:pPr>
      <w:r>
        <w:rPr>
          <w:rFonts w:ascii="Aptos" w:eastAsia="Aptos" w:hAnsi="Aptos" w:cs="Times New Roman"/>
        </w:rPr>
        <w:t>Health Services Union</w:t>
      </w:r>
    </w:p>
    <w:p w14:paraId="05E99F71" w14:textId="77777777" w:rsidR="0011475D" w:rsidRDefault="00677577" w:rsidP="00DA3CB2">
      <w:pPr>
        <w:spacing w:after="120" w:line="276" w:lineRule="auto"/>
        <w:contextualSpacing/>
        <w:rPr>
          <w:rFonts w:ascii="Aptos" w:eastAsia="Aptos" w:hAnsi="Aptos" w:cs="Times New Roman"/>
          <w:u w:val="single"/>
        </w:rPr>
      </w:pPr>
      <w:r w:rsidRPr="00692F31">
        <w:rPr>
          <w:rFonts w:ascii="Aptos" w:eastAsia="Aptos" w:hAnsi="Aptos" w:cs="Times New Roman"/>
          <w:u w:val="single"/>
        </w:rPr>
        <w:t>Independent Education Union</w:t>
      </w:r>
    </w:p>
    <w:p w14:paraId="19C1E93A" w14:textId="77777777" w:rsidR="0011475D" w:rsidRDefault="00677577" w:rsidP="00DA3CB2">
      <w:pPr>
        <w:spacing w:after="120" w:line="276" w:lineRule="auto"/>
        <w:contextualSpacing/>
        <w:rPr>
          <w:rFonts w:ascii="Aptos" w:eastAsia="Aptos" w:hAnsi="Aptos" w:cs="Times New Roman"/>
        </w:rPr>
      </w:pPr>
      <w:r>
        <w:rPr>
          <w:rFonts w:ascii="Aptos" w:eastAsia="Aptos" w:hAnsi="Aptos" w:cs="Times New Roman"/>
        </w:rPr>
        <w:t>Maritime Union of Australia</w:t>
      </w:r>
    </w:p>
    <w:p w14:paraId="5B2EAD0F" w14:textId="77777777" w:rsidR="0011475D" w:rsidRDefault="00677577" w:rsidP="00DA3CB2">
      <w:pPr>
        <w:spacing w:after="120" w:line="276" w:lineRule="auto"/>
        <w:contextualSpacing/>
        <w:rPr>
          <w:rFonts w:ascii="Aptos" w:eastAsia="Aptos" w:hAnsi="Aptos" w:cs="Times New Roman"/>
        </w:rPr>
      </w:pPr>
      <w:r>
        <w:rPr>
          <w:rFonts w:ascii="Aptos" w:eastAsia="Aptos" w:hAnsi="Aptos" w:cs="Times New Roman"/>
        </w:rPr>
        <w:t>Media, Entertainment and Arts Alliance</w:t>
      </w:r>
    </w:p>
    <w:p w14:paraId="728AA3C2" w14:textId="3F1D1EAD" w:rsidR="00677577" w:rsidRPr="00692F31" w:rsidRDefault="00677577" w:rsidP="00DA3CB2">
      <w:pPr>
        <w:spacing w:after="120" w:line="276" w:lineRule="auto"/>
        <w:contextualSpacing/>
        <w:rPr>
          <w:rFonts w:ascii="Aptos" w:eastAsia="Aptos" w:hAnsi="Aptos" w:cs="Times New Roman"/>
          <w:u w:val="single"/>
        </w:rPr>
      </w:pPr>
      <w:r w:rsidRPr="00692F31">
        <w:rPr>
          <w:rFonts w:ascii="Aptos" w:eastAsia="Aptos" w:hAnsi="Aptos" w:cs="Times New Roman"/>
          <w:u w:val="single"/>
        </w:rPr>
        <w:t>Mining and Energy Union</w:t>
      </w:r>
    </w:p>
    <w:p w14:paraId="4BB9451C" w14:textId="77777777" w:rsidR="00677577" w:rsidRPr="00692F31" w:rsidRDefault="00677577" w:rsidP="00DA3CB2">
      <w:pPr>
        <w:spacing w:after="120" w:line="276" w:lineRule="auto"/>
        <w:contextualSpacing/>
        <w:rPr>
          <w:rFonts w:ascii="Aptos" w:eastAsia="Aptos" w:hAnsi="Aptos" w:cs="Times New Roman"/>
          <w:u w:val="single"/>
        </w:rPr>
      </w:pPr>
      <w:r w:rsidRPr="00692F31">
        <w:rPr>
          <w:rFonts w:ascii="Aptos" w:eastAsia="Aptos" w:hAnsi="Aptos" w:cs="Times New Roman"/>
          <w:u w:val="single"/>
        </w:rPr>
        <w:t>National Tertiary Education Union</w:t>
      </w:r>
    </w:p>
    <w:p w14:paraId="1D9D11ED" w14:textId="77777777" w:rsidR="00677577" w:rsidRPr="00692F31" w:rsidRDefault="00677577" w:rsidP="00DA3CB2">
      <w:pPr>
        <w:spacing w:after="120" w:line="276" w:lineRule="auto"/>
        <w:contextualSpacing/>
        <w:rPr>
          <w:rFonts w:ascii="Aptos" w:eastAsia="Aptos" w:hAnsi="Aptos" w:cs="Times New Roman"/>
          <w:u w:val="single"/>
        </w:rPr>
      </w:pPr>
      <w:r w:rsidRPr="00692F31">
        <w:rPr>
          <w:rFonts w:ascii="Aptos" w:eastAsia="Aptos" w:hAnsi="Aptos" w:cs="Times New Roman"/>
          <w:u w:val="single"/>
        </w:rPr>
        <w:t>Professionals Australia</w:t>
      </w:r>
    </w:p>
    <w:p w14:paraId="51A82484" w14:textId="77777777" w:rsidR="0011475D" w:rsidRDefault="00677577" w:rsidP="00DA3CB2">
      <w:pPr>
        <w:spacing w:after="120" w:line="276" w:lineRule="auto"/>
        <w:contextualSpacing/>
        <w:rPr>
          <w:rFonts w:ascii="Aptos" w:eastAsia="Aptos" w:hAnsi="Aptos" w:cs="Times New Roman"/>
        </w:rPr>
      </w:pPr>
      <w:r>
        <w:rPr>
          <w:rFonts w:ascii="Aptos" w:eastAsia="Aptos" w:hAnsi="Aptos" w:cs="Times New Roman"/>
        </w:rPr>
        <w:t>Rail, Tram and Bus Union</w:t>
      </w:r>
    </w:p>
    <w:p w14:paraId="680E4F3A" w14:textId="77777777" w:rsidR="0011475D" w:rsidRDefault="00677577" w:rsidP="00DA3CB2">
      <w:pPr>
        <w:spacing w:after="120" w:line="276" w:lineRule="auto"/>
        <w:contextualSpacing/>
        <w:rPr>
          <w:rFonts w:ascii="Aptos" w:eastAsia="Aptos" w:hAnsi="Aptos" w:cs="Times New Roman"/>
          <w:u w:val="single"/>
        </w:rPr>
      </w:pPr>
      <w:r w:rsidRPr="00692F31">
        <w:rPr>
          <w:rFonts w:ascii="Aptos" w:eastAsia="Aptos" w:hAnsi="Aptos" w:cs="Times New Roman"/>
          <w:u w:val="single"/>
        </w:rPr>
        <w:t>Shop, Distributive and Allied Employees Association</w:t>
      </w:r>
    </w:p>
    <w:p w14:paraId="4E43C6A6" w14:textId="3A8DAC0D" w:rsidR="00677577" w:rsidRDefault="00677577" w:rsidP="00DA3CB2">
      <w:pPr>
        <w:spacing w:after="120" w:line="276" w:lineRule="auto"/>
        <w:contextualSpacing/>
        <w:rPr>
          <w:rFonts w:ascii="Aptos" w:eastAsia="Aptos" w:hAnsi="Aptos" w:cs="Times New Roman"/>
        </w:rPr>
      </w:pPr>
      <w:r>
        <w:rPr>
          <w:rFonts w:ascii="Aptos" w:eastAsia="Aptos" w:hAnsi="Aptos" w:cs="Times New Roman"/>
        </w:rPr>
        <w:t>Transport Workers Union</w:t>
      </w:r>
    </w:p>
    <w:p w14:paraId="5E88A634" w14:textId="77777777" w:rsidR="0011475D" w:rsidRDefault="00677577" w:rsidP="00DA3CB2">
      <w:pPr>
        <w:spacing w:after="120" w:line="276" w:lineRule="auto"/>
        <w:contextualSpacing/>
        <w:rPr>
          <w:rFonts w:ascii="Aptos" w:eastAsia="Aptos" w:hAnsi="Aptos" w:cs="Times New Roman"/>
        </w:rPr>
      </w:pPr>
      <w:r>
        <w:rPr>
          <w:rFonts w:ascii="Aptos" w:eastAsia="Aptos" w:hAnsi="Aptos" w:cs="Times New Roman"/>
        </w:rPr>
        <w:t>United Firefighters Union of Australia</w:t>
      </w:r>
    </w:p>
    <w:p w14:paraId="7B1A5C19" w14:textId="77777777" w:rsidR="0011475D" w:rsidRDefault="00677577" w:rsidP="00DA3CB2">
      <w:pPr>
        <w:spacing w:after="120" w:line="276" w:lineRule="auto"/>
        <w:contextualSpacing/>
        <w:rPr>
          <w:rFonts w:ascii="Aptos" w:eastAsia="Aptos" w:hAnsi="Aptos" w:cs="Times New Roman"/>
          <w:u w:val="single"/>
        </w:rPr>
      </w:pPr>
      <w:r w:rsidRPr="00692F31">
        <w:rPr>
          <w:rFonts w:ascii="Aptos" w:eastAsia="Aptos" w:hAnsi="Aptos" w:cs="Times New Roman"/>
          <w:u w:val="single"/>
        </w:rPr>
        <w:t>United Workers Union</w:t>
      </w:r>
    </w:p>
    <w:p w14:paraId="064D36AF" w14:textId="3B5D0876" w:rsidR="00677577" w:rsidRPr="00692F31" w:rsidRDefault="00677577" w:rsidP="00DA3CB2">
      <w:pPr>
        <w:pStyle w:val="Heading5"/>
        <w:spacing w:line="276" w:lineRule="auto"/>
        <w:rPr>
          <w:rFonts w:eastAsia="Times New Roman"/>
        </w:rPr>
      </w:pPr>
      <w:r w:rsidRPr="00692F31">
        <w:rPr>
          <w:rFonts w:eastAsia="Times New Roman"/>
        </w:rPr>
        <w:t>Employer groups (20 February 2025)</w:t>
      </w:r>
    </w:p>
    <w:p w14:paraId="5B378308" w14:textId="77777777" w:rsidR="00677577" w:rsidRPr="00692F31" w:rsidDel="00C74FA3" w:rsidRDefault="00677577" w:rsidP="00DA3CB2">
      <w:pPr>
        <w:spacing w:after="120" w:line="276" w:lineRule="auto"/>
        <w:rPr>
          <w:rFonts w:ascii="Aptos" w:eastAsia="Aptos" w:hAnsi="Aptos" w:cs="Times New Roman"/>
          <w:u w:val="single"/>
        </w:rPr>
      </w:pPr>
      <w:r w:rsidRPr="00692F31">
        <w:rPr>
          <w:rFonts w:ascii="Aptos" w:eastAsia="Aptos" w:hAnsi="Aptos" w:cs="Times New Roman"/>
          <w:u w:val="single"/>
        </w:rPr>
        <w:t>Australian Chamber of Commerce and Industry</w:t>
      </w:r>
    </w:p>
    <w:p w14:paraId="2D33EC22" w14:textId="77777777" w:rsidR="0011475D" w:rsidRDefault="00677577" w:rsidP="00DA3CB2">
      <w:pPr>
        <w:spacing w:after="120" w:line="276" w:lineRule="auto"/>
        <w:contextualSpacing/>
        <w:rPr>
          <w:rFonts w:ascii="Aptos" w:eastAsia="Aptos" w:hAnsi="Aptos" w:cs="Times New Roman"/>
          <w:u w:val="single"/>
        </w:rPr>
      </w:pPr>
      <w:r w:rsidRPr="00692F31">
        <w:rPr>
          <w:rFonts w:ascii="Aptos" w:eastAsia="Aptos" w:hAnsi="Aptos" w:cs="Times New Roman"/>
          <w:u w:val="single"/>
        </w:rPr>
        <w:t>Australian Industry Group</w:t>
      </w:r>
    </w:p>
    <w:p w14:paraId="5E5E10C7" w14:textId="3D4C24FE" w:rsidR="00677577" w:rsidRDefault="00677577" w:rsidP="00DA3CB2">
      <w:pPr>
        <w:spacing w:after="120" w:line="276" w:lineRule="auto"/>
        <w:contextualSpacing/>
        <w:rPr>
          <w:rFonts w:ascii="Aptos" w:eastAsia="Aptos" w:hAnsi="Aptos" w:cs="Times New Roman"/>
        </w:rPr>
      </w:pPr>
      <w:r>
        <w:rPr>
          <w:rFonts w:ascii="Aptos" w:eastAsia="Aptos" w:hAnsi="Aptos" w:cs="Times New Roman"/>
        </w:rPr>
        <w:t>Australian Resources and Energy Employer Association</w:t>
      </w:r>
    </w:p>
    <w:p w14:paraId="59B6954F" w14:textId="77777777" w:rsidR="00677577" w:rsidRPr="00692F31" w:rsidRDefault="00677577" w:rsidP="00DA3CB2">
      <w:pPr>
        <w:spacing w:after="120" w:line="276" w:lineRule="auto"/>
        <w:contextualSpacing/>
        <w:rPr>
          <w:rFonts w:ascii="Aptos" w:eastAsia="Aptos" w:hAnsi="Aptos" w:cs="Times New Roman"/>
          <w:u w:val="single"/>
        </w:rPr>
      </w:pPr>
      <w:r w:rsidRPr="00692F31">
        <w:rPr>
          <w:rFonts w:ascii="Aptos" w:eastAsia="Aptos" w:hAnsi="Aptos" w:cs="Times New Roman"/>
          <w:u w:val="single"/>
        </w:rPr>
        <w:t>Business Council of Australia</w:t>
      </w:r>
    </w:p>
    <w:p w14:paraId="7CE234E1" w14:textId="77777777" w:rsidR="0011475D" w:rsidRDefault="00677577" w:rsidP="00DA3CB2">
      <w:pPr>
        <w:spacing w:after="120" w:line="276" w:lineRule="auto"/>
        <w:contextualSpacing/>
        <w:rPr>
          <w:rFonts w:ascii="Aptos" w:eastAsia="Aptos" w:hAnsi="Aptos" w:cs="Times New Roman"/>
          <w:u w:val="single"/>
        </w:rPr>
      </w:pPr>
      <w:r w:rsidRPr="00692F31">
        <w:rPr>
          <w:rFonts w:ascii="Aptos" w:eastAsia="Aptos" w:hAnsi="Aptos" w:cs="Times New Roman"/>
          <w:u w:val="single"/>
        </w:rPr>
        <w:t>Council of Small Business Organisations Australia</w:t>
      </w:r>
    </w:p>
    <w:p w14:paraId="038A18D6" w14:textId="3BF68F3F" w:rsidR="00677577" w:rsidRDefault="00677577" w:rsidP="00DA3CB2">
      <w:pPr>
        <w:spacing w:after="120" w:line="276" w:lineRule="auto"/>
        <w:contextualSpacing/>
        <w:rPr>
          <w:rFonts w:ascii="Aptos" w:eastAsia="Aptos" w:hAnsi="Aptos" w:cs="Times New Roman"/>
        </w:rPr>
      </w:pPr>
      <w:r w:rsidRPr="00692F31">
        <w:rPr>
          <w:rFonts w:ascii="Aptos" w:eastAsia="Aptos" w:hAnsi="Aptos" w:cs="Times New Roman"/>
          <w:u w:val="single"/>
        </w:rPr>
        <w:t>Housing Industry Association</w:t>
      </w:r>
    </w:p>
    <w:p w14:paraId="465A86D1" w14:textId="77777777" w:rsidR="0011475D" w:rsidRDefault="00677577" w:rsidP="00DA3CB2">
      <w:pPr>
        <w:spacing w:after="120" w:line="276" w:lineRule="auto"/>
        <w:contextualSpacing/>
        <w:rPr>
          <w:rFonts w:ascii="Aptos" w:eastAsia="Aptos" w:hAnsi="Aptos" w:cs="Times New Roman"/>
        </w:rPr>
      </w:pPr>
      <w:r>
        <w:rPr>
          <w:rFonts w:ascii="Aptos" w:eastAsia="Aptos" w:hAnsi="Aptos" w:cs="Times New Roman"/>
        </w:rPr>
        <w:t>Master Builders Australia</w:t>
      </w:r>
    </w:p>
    <w:p w14:paraId="11FB4403" w14:textId="77777777" w:rsidR="0011475D" w:rsidRDefault="00677577" w:rsidP="00DA3CB2">
      <w:pPr>
        <w:spacing w:after="120" w:line="276" w:lineRule="auto"/>
        <w:contextualSpacing/>
        <w:rPr>
          <w:rFonts w:ascii="Aptos" w:eastAsia="Aptos" w:hAnsi="Aptos" w:cs="Times New Roman"/>
          <w:u w:val="single"/>
        </w:rPr>
      </w:pPr>
      <w:r w:rsidRPr="00692F31">
        <w:rPr>
          <w:rFonts w:ascii="Aptos" w:eastAsia="Aptos" w:hAnsi="Aptos" w:cs="Times New Roman"/>
          <w:u w:val="single"/>
        </w:rPr>
        <w:t>Minerals Council of Australia</w:t>
      </w:r>
    </w:p>
    <w:p w14:paraId="75C9A90B" w14:textId="19F2C84F" w:rsidR="00677577" w:rsidRDefault="00677577" w:rsidP="00677577">
      <w:pPr>
        <w:spacing w:after="120" w:line="360" w:lineRule="auto"/>
        <w:contextualSpacing/>
        <w:rPr>
          <w:rFonts w:ascii="Aptos" w:eastAsia="Aptos" w:hAnsi="Aptos" w:cs="Times New Roman"/>
        </w:rPr>
      </w:pPr>
      <w:r>
        <w:rPr>
          <w:rFonts w:ascii="Aptos" w:eastAsia="Aptos" w:hAnsi="Aptos" w:cs="Times New Roman"/>
        </w:rPr>
        <w:t>National Farmers’ Federation</w:t>
      </w:r>
    </w:p>
    <w:p w14:paraId="0B38E352" w14:textId="009D2FFD" w:rsidR="007C79C4" w:rsidRDefault="007C79C4">
      <w:pPr>
        <w:spacing w:after="160"/>
        <w:rPr>
          <w:rFonts w:ascii="Aptos" w:eastAsia="Aptos" w:hAnsi="Aptos" w:cs="Times New Roman"/>
        </w:rPr>
      </w:pPr>
    </w:p>
    <w:p w14:paraId="5466FB76" w14:textId="77777777" w:rsidR="00677577" w:rsidRDefault="00677577" w:rsidP="00EC6801">
      <w:pPr>
        <w:pStyle w:val="Heading4"/>
        <w:rPr>
          <w:rFonts w:eastAsia="Times New Roman"/>
        </w:rPr>
      </w:pPr>
      <w:r>
        <w:rPr>
          <w:rFonts w:eastAsia="Times New Roman"/>
        </w:rPr>
        <w:t>Additional meetings</w:t>
      </w:r>
    </w:p>
    <w:p w14:paraId="3E239D2F" w14:textId="77777777" w:rsidR="0011475D" w:rsidRDefault="00677577" w:rsidP="00EC6801">
      <w:pPr>
        <w:pStyle w:val="Heading5"/>
      </w:pPr>
      <w:r w:rsidRPr="0000013F">
        <w:t>States and territories</w:t>
      </w:r>
    </w:p>
    <w:p w14:paraId="124E01C0" w14:textId="6F6CDB3D" w:rsidR="00677577" w:rsidRPr="0000013F" w:rsidRDefault="00677577" w:rsidP="00677577">
      <w:r>
        <w:t xml:space="preserve">The Review Panel met with officials from the following States </w:t>
      </w:r>
      <w:r w:rsidRPr="0000013F">
        <w:t>on 10 December 2024</w:t>
      </w:r>
      <w:r>
        <w:t>:</w:t>
      </w:r>
    </w:p>
    <w:p w14:paraId="1D437A21" w14:textId="77777777" w:rsidR="0011475D" w:rsidRDefault="00677577" w:rsidP="00F40CFB">
      <w:pPr>
        <w:pStyle w:val="ListBullet"/>
        <w:numPr>
          <w:ilvl w:val="0"/>
          <w:numId w:val="4"/>
        </w:numPr>
      </w:pPr>
      <w:r w:rsidRPr="0000013F">
        <w:t>New South Wales</w:t>
      </w:r>
    </w:p>
    <w:p w14:paraId="641D3358" w14:textId="77777777" w:rsidR="0011475D" w:rsidRDefault="00677577" w:rsidP="00F40CFB">
      <w:pPr>
        <w:pStyle w:val="ListBullet"/>
        <w:numPr>
          <w:ilvl w:val="0"/>
          <w:numId w:val="4"/>
        </w:numPr>
      </w:pPr>
      <w:r w:rsidRPr="0000013F">
        <w:t>Queensland</w:t>
      </w:r>
    </w:p>
    <w:p w14:paraId="5F62BC3C" w14:textId="40B11270" w:rsidR="00677577" w:rsidRPr="00F23809" w:rsidRDefault="00677577" w:rsidP="00EC6801">
      <w:pPr>
        <w:pStyle w:val="Heading5"/>
      </w:pPr>
      <w:r>
        <w:t>Commonwealth agencies</w:t>
      </w:r>
    </w:p>
    <w:p w14:paraId="095CD1ED" w14:textId="77777777" w:rsidR="0011475D" w:rsidRDefault="00677577" w:rsidP="00677577">
      <w:r>
        <w:t xml:space="preserve">The Review Panel met with the following agencies </w:t>
      </w:r>
      <w:r w:rsidRPr="0000013F">
        <w:t>on 8 January 2025</w:t>
      </w:r>
      <w:r>
        <w:t>:</w:t>
      </w:r>
    </w:p>
    <w:p w14:paraId="709C887D" w14:textId="77777777" w:rsidR="0011475D" w:rsidRDefault="00677577" w:rsidP="00F40CFB">
      <w:pPr>
        <w:pStyle w:val="ListBullet"/>
        <w:numPr>
          <w:ilvl w:val="0"/>
          <w:numId w:val="4"/>
        </w:numPr>
      </w:pPr>
      <w:r w:rsidRPr="0000013F">
        <w:t>Attorney-General's Department</w:t>
      </w:r>
    </w:p>
    <w:p w14:paraId="1D5D5F90" w14:textId="77777777" w:rsidR="0011475D" w:rsidRDefault="00677577" w:rsidP="00F40CFB">
      <w:pPr>
        <w:pStyle w:val="ListBullet"/>
        <w:numPr>
          <w:ilvl w:val="0"/>
          <w:numId w:val="4"/>
        </w:numPr>
      </w:pPr>
      <w:r w:rsidRPr="0000013F">
        <w:t>Australian Public Service Commission</w:t>
      </w:r>
    </w:p>
    <w:p w14:paraId="6D30C6D1" w14:textId="77777777" w:rsidR="0011475D" w:rsidRDefault="00677577" w:rsidP="00F40CFB">
      <w:pPr>
        <w:pStyle w:val="ListBullet"/>
        <w:numPr>
          <w:ilvl w:val="0"/>
          <w:numId w:val="4"/>
        </w:numPr>
      </w:pPr>
      <w:r w:rsidRPr="0000013F">
        <w:t>Department of Agriculture, Fisheries and Forestry</w:t>
      </w:r>
    </w:p>
    <w:p w14:paraId="04E82E4A" w14:textId="77777777" w:rsidR="0011475D" w:rsidRDefault="00677577" w:rsidP="00F40CFB">
      <w:pPr>
        <w:pStyle w:val="ListBullet"/>
        <w:numPr>
          <w:ilvl w:val="0"/>
          <w:numId w:val="4"/>
        </w:numPr>
      </w:pPr>
      <w:r w:rsidRPr="0000013F">
        <w:t>Department of Climate Change, Energy, the Environment and Water</w:t>
      </w:r>
    </w:p>
    <w:p w14:paraId="114ACE99" w14:textId="77777777" w:rsidR="0011475D" w:rsidRDefault="00677577" w:rsidP="00F40CFB">
      <w:pPr>
        <w:pStyle w:val="ListBullet"/>
        <w:numPr>
          <w:ilvl w:val="0"/>
          <w:numId w:val="4"/>
        </w:numPr>
      </w:pPr>
      <w:r w:rsidRPr="0000013F">
        <w:t>Department of Defence</w:t>
      </w:r>
    </w:p>
    <w:p w14:paraId="43532E1E" w14:textId="77777777" w:rsidR="0011475D" w:rsidRDefault="00677577" w:rsidP="00F40CFB">
      <w:pPr>
        <w:pStyle w:val="ListBullet"/>
        <w:numPr>
          <w:ilvl w:val="0"/>
          <w:numId w:val="4"/>
        </w:numPr>
      </w:pPr>
      <w:r w:rsidRPr="0000013F">
        <w:t>Department of Education</w:t>
      </w:r>
    </w:p>
    <w:p w14:paraId="1B32B5AE" w14:textId="77777777" w:rsidR="0011475D" w:rsidRDefault="00677577" w:rsidP="00F40CFB">
      <w:pPr>
        <w:pStyle w:val="ListBullet"/>
        <w:numPr>
          <w:ilvl w:val="0"/>
          <w:numId w:val="4"/>
        </w:numPr>
      </w:pPr>
      <w:r w:rsidRPr="0000013F">
        <w:t>Department of Finance</w:t>
      </w:r>
    </w:p>
    <w:p w14:paraId="0FC47498" w14:textId="77777777" w:rsidR="0011475D" w:rsidRDefault="00677577" w:rsidP="00F40CFB">
      <w:pPr>
        <w:pStyle w:val="ListBullet"/>
        <w:numPr>
          <w:ilvl w:val="0"/>
          <w:numId w:val="4"/>
        </w:numPr>
      </w:pPr>
      <w:r w:rsidRPr="0000013F">
        <w:t>Department of Foreign Affairs and Trade</w:t>
      </w:r>
    </w:p>
    <w:p w14:paraId="33ECCE9C" w14:textId="77777777" w:rsidR="0011475D" w:rsidRDefault="00677577" w:rsidP="00F40CFB">
      <w:pPr>
        <w:pStyle w:val="ListBullet"/>
        <w:numPr>
          <w:ilvl w:val="0"/>
          <w:numId w:val="4"/>
        </w:numPr>
      </w:pPr>
      <w:r w:rsidRPr="0000013F">
        <w:t>Department of Health and Aged Care (including Office for Sport)</w:t>
      </w:r>
    </w:p>
    <w:p w14:paraId="2298C6E3" w14:textId="77777777" w:rsidR="0011475D" w:rsidRDefault="00677577" w:rsidP="00F40CFB">
      <w:pPr>
        <w:pStyle w:val="ListBullet"/>
        <w:numPr>
          <w:ilvl w:val="0"/>
          <w:numId w:val="4"/>
        </w:numPr>
      </w:pPr>
      <w:r w:rsidRPr="0000013F">
        <w:t>Department of Home Affairs</w:t>
      </w:r>
    </w:p>
    <w:p w14:paraId="186F207C" w14:textId="77777777" w:rsidR="0011475D" w:rsidRDefault="00677577" w:rsidP="00F40CFB">
      <w:pPr>
        <w:pStyle w:val="ListBullet"/>
        <w:numPr>
          <w:ilvl w:val="0"/>
          <w:numId w:val="4"/>
        </w:numPr>
      </w:pPr>
      <w:r w:rsidRPr="0000013F">
        <w:t>Department of Industry, Science and Resources</w:t>
      </w:r>
    </w:p>
    <w:p w14:paraId="353920E7" w14:textId="77777777" w:rsidR="0011475D" w:rsidRDefault="00677577" w:rsidP="00F40CFB">
      <w:pPr>
        <w:pStyle w:val="ListBullet"/>
        <w:numPr>
          <w:ilvl w:val="0"/>
          <w:numId w:val="4"/>
        </w:numPr>
      </w:pPr>
      <w:r w:rsidRPr="0000013F">
        <w:t>Department of Infrastructure, Transport, Regional Development, Communications and the Arts (including Office for the Arts)</w:t>
      </w:r>
    </w:p>
    <w:p w14:paraId="5C83CB0C" w14:textId="77777777" w:rsidR="0011475D" w:rsidRDefault="00677577" w:rsidP="00F40CFB">
      <w:pPr>
        <w:pStyle w:val="ListBullet"/>
        <w:numPr>
          <w:ilvl w:val="0"/>
          <w:numId w:val="4"/>
        </w:numPr>
      </w:pPr>
      <w:r w:rsidRPr="0000013F">
        <w:t>Department of Prime Minister and Cabinet</w:t>
      </w:r>
    </w:p>
    <w:p w14:paraId="00AC2F7B" w14:textId="77777777" w:rsidR="0011475D" w:rsidRDefault="00677577" w:rsidP="00F40CFB">
      <w:pPr>
        <w:pStyle w:val="ListBullet"/>
        <w:numPr>
          <w:ilvl w:val="0"/>
          <w:numId w:val="4"/>
        </w:numPr>
      </w:pPr>
      <w:r w:rsidRPr="0000013F">
        <w:t>Department of Social Services</w:t>
      </w:r>
    </w:p>
    <w:p w14:paraId="4A89009F" w14:textId="77777777" w:rsidR="0011475D" w:rsidRDefault="00677577" w:rsidP="00F40CFB">
      <w:pPr>
        <w:pStyle w:val="ListBullet"/>
        <w:numPr>
          <w:ilvl w:val="0"/>
          <w:numId w:val="4"/>
        </w:numPr>
      </w:pPr>
      <w:r w:rsidRPr="0000013F">
        <w:t>Department of the Treasury</w:t>
      </w:r>
    </w:p>
    <w:p w14:paraId="7A838078" w14:textId="77777777" w:rsidR="0011475D" w:rsidRDefault="00677577" w:rsidP="00F40CFB">
      <w:pPr>
        <w:pStyle w:val="ListBullet"/>
        <w:numPr>
          <w:ilvl w:val="0"/>
          <w:numId w:val="4"/>
        </w:numPr>
      </w:pPr>
      <w:r w:rsidRPr="0000013F">
        <w:t>Department of Veterans' Affairs</w:t>
      </w:r>
    </w:p>
    <w:p w14:paraId="05C8EB8A" w14:textId="6F00532B" w:rsidR="0011475D" w:rsidRDefault="00677577" w:rsidP="00F40CFB">
      <w:pPr>
        <w:pStyle w:val="ListBullet"/>
        <w:numPr>
          <w:ilvl w:val="0"/>
          <w:numId w:val="4"/>
        </w:numPr>
      </w:pPr>
      <w:r w:rsidRPr="0000013F">
        <w:t>National Indigenous Australians Agency</w:t>
      </w:r>
    </w:p>
    <w:p w14:paraId="1E4EE4D7" w14:textId="77777777" w:rsidR="0011475D" w:rsidRDefault="00677577" w:rsidP="00F40CFB">
      <w:pPr>
        <w:pStyle w:val="ListBullet"/>
        <w:numPr>
          <w:ilvl w:val="0"/>
          <w:numId w:val="4"/>
        </w:numPr>
      </w:pPr>
      <w:r w:rsidRPr="0000013F">
        <w:t>Services Australia</w:t>
      </w:r>
    </w:p>
    <w:p w14:paraId="54A66B61" w14:textId="0800B5E6" w:rsidR="00677577" w:rsidRDefault="00677577" w:rsidP="00EC6801">
      <w:pPr>
        <w:pStyle w:val="Heading5"/>
      </w:pPr>
      <w:r>
        <w:t>Other</w:t>
      </w:r>
    </w:p>
    <w:p w14:paraId="0F724C92" w14:textId="77777777" w:rsidR="00677577" w:rsidRDefault="00677577" w:rsidP="00677577">
      <w:r>
        <w:t>The Review Panel met with Working Women’s Centre Australia on 10 February 2025.</w:t>
      </w:r>
    </w:p>
    <w:p w14:paraId="50C11B45" w14:textId="77777777" w:rsidR="00677577" w:rsidRPr="00B45F7C" w:rsidRDefault="00677577" w:rsidP="00677577">
      <w:pPr>
        <w:spacing w:after="120" w:line="360" w:lineRule="auto"/>
        <w:rPr>
          <w:rFonts w:ascii="Aptos" w:eastAsia="Aptos" w:hAnsi="Aptos" w:cs="Times New Roman"/>
        </w:rPr>
      </w:pPr>
      <w:r w:rsidRPr="00B45F7C">
        <w:rPr>
          <w:rFonts w:ascii="Aptos" w:eastAsia="Aptos" w:hAnsi="Aptos" w:cs="Times New Roman"/>
        </w:rPr>
        <w:br w:type="page"/>
      </w:r>
    </w:p>
    <w:p w14:paraId="1B400261" w14:textId="77777777" w:rsidR="00677577" w:rsidRPr="00B45F7C" w:rsidRDefault="00677577" w:rsidP="00677577">
      <w:pPr>
        <w:pStyle w:val="Heading2"/>
      </w:pPr>
      <w:bookmarkStart w:id="1178" w:name="_Toc189260192"/>
      <w:bookmarkStart w:id="1179" w:name="_Toc189260354"/>
      <w:bookmarkStart w:id="1180" w:name="_Toc189393704"/>
      <w:bookmarkStart w:id="1181" w:name="_Toc192258088"/>
      <w:bookmarkStart w:id="1182" w:name="_Toc194311473"/>
      <w:r w:rsidRPr="00B45F7C">
        <w:t>Appendix 9 – The FWC and pay equity</w:t>
      </w:r>
      <w:bookmarkEnd w:id="1178"/>
      <w:bookmarkEnd w:id="1179"/>
      <w:bookmarkEnd w:id="1180"/>
      <w:bookmarkEnd w:id="1181"/>
      <w:bookmarkEnd w:id="1182"/>
    </w:p>
    <w:p w14:paraId="01A814B1" w14:textId="77777777" w:rsidR="00677577" w:rsidRPr="00B45F7C" w:rsidRDefault="00677577" w:rsidP="00677577">
      <w:pPr>
        <w:rPr>
          <w:rFonts w:ascii="Aptos" w:eastAsia="Aptos" w:hAnsi="Aptos" w:cs="Calibri"/>
        </w:rPr>
      </w:pPr>
      <w:r w:rsidRPr="00B45F7C">
        <w:rPr>
          <w:rFonts w:ascii="Aptos" w:eastAsia="Aptos" w:hAnsi="Aptos" w:cs="Calibri"/>
        </w:rPr>
        <w:t>This appendix provides an introduction and summary to the significant and impactful work that the Fair Work Commission (FWC) has and is doing in to address gender equality. The first section summarises the Aged Care Work Value case (2020) explaining outcomes across various staged decisions. The second section summarises the work being undertaken as part of the FWC Gender Pay Equity Research Project. The third section summarises the 2023</w:t>
      </w:r>
      <w:r w:rsidRPr="00B45F7C">
        <w:rPr>
          <w:rFonts w:ascii="Symbol" w:eastAsia="Symbol" w:hAnsi="Symbol" w:cs="Symbol"/>
        </w:rPr>
        <w:sym w:font="Symbol" w:char="F02D"/>
      </w:r>
      <w:r w:rsidRPr="00B45F7C">
        <w:rPr>
          <w:rFonts w:ascii="Aptos" w:eastAsia="Aptos" w:hAnsi="Aptos" w:cs="Calibri"/>
        </w:rPr>
        <w:t>24 Modern Awards Review. The final section summarises recent annual wage review decisions.</w:t>
      </w:r>
    </w:p>
    <w:p w14:paraId="282E686C" w14:textId="77777777" w:rsidR="00677577" w:rsidRPr="00B45F7C" w:rsidRDefault="00677577" w:rsidP="002F2751">
      <w:pPr>
        <w:pStyle w:val="Heading3"/>
        <w:rPr>
          <w:rFonts w:eastAsia="Times New Roman"/>
        </w:rPr>
      </w:pPr>
      <w:bookmarkStart w:id="1183" w:name="_Toc189260355"/>
      <w:bookmarkStart w:id="1184" w:name="_Toc189393705"/>
      <w:bookmarkStart w:id="1185" w:name="_Toc192258359"/>
      <w:bookmarkStart w:id="1186" w:name="_Toc193826734"/>
      <w:bookmarkStart w:id="1187" w:name="_Toc194067004"/>
      <w:bookmarkStart w:id="1188" w:name="_Toc194311474"/>
      <w:r w:rsidRPr="00B45F7C">
        <w:rPr>
          <w:rFonts w:eastAsia="Times New Roman"/>
        </w:rPr>
        <w:t>1. The Aged Care Work Value case</w:t>
      </w:r>
      <w:bookmarkEnd w:id="1183"/>
      <w:bookmarkEnd w:id="1184"/>
      <w:bookmarkEnd w:id="1185"/>
      <w:bookmarkEnd w:id="1186"/>
      <w:bookmarkEnd w:id="1187"/>
      <w:bookmarkEnd w:id="1188"/>
    </w:p>
    <w:p w14:paraId="1768D1D4" w14:textId="77777777" w:rsidR="00677577" w:rsidRPr="00B45F7C" w:rsidRDefault="00677577" w:rsidP="007C79C4">
      <w:r w:rsidRPr="00B45F7C">
        <w:t>In November 2020 the Health Services Union lodged an Aged Care Work Value case with the FWC. The union was seeking a 25% wage increase for all workers due to the work being historically undervalued.</w:t>
      </w:r>
    </w:p>
    <w:p w14:paraId="4D9E11A7" w14:textId="0A31DA62" w:rsidR="0011475D" w:rsidRDefault="00677577" w:rsidP="007C79C4">
      <w:r w:rsidRPr="00B45F7C">
        <w:t xml:space="preserve">In the 2022 federal election campaign, the </w:t>
      </w:r>
      <w:r w:rsidR="00790E2F">
        <w:t xml:space="preserve">Labor government (then opposition) </w:t>
      </w:r>
      <w:r w:rsidRPr="00B45F7C">
        <w:t>pledged to increase funding for aged care and improve the pay and conditions for aged care workers if elected.</w:t>
      </w:r>
      <w:r w:rsidRPr="00B45F7C">
        <w:rPr>
          <w:vertAlign w:val="superscript"/>
        </w:rPr>
        <w:footnoteReference w:id="1402"/>
      </w:r>
    </w:p>
    <w:p w14:paraId="5409A2E4" w14:textId="2BA31976" w:rsidR="0011475D" w:rsidRDefault="00677577" w:rsidP="007C79C4">
      <w:r w:rsidRPr="00B45F7C">
        <w:t xml:space="preserve">Decisions on Aged Care Work Value case were handed down in </w:t>
      </w:r>
      <w:r w:rsidR="007C79C4">
        <w:t>three</w:t>
      </w:r>
      <w:r w:rsidRPr="00B45F7C">
        <w:t xml:space="preserve"> stages. In Stage 1 (4 November 2022) the Full Bench of the FWC accepted expert evidence – particularly that provided by Associate Professor Anne Junor </w:t>
      </w:r>
      <w:r w:rsidRPr="00B45F7C">
        <w:rPr>
          <w:rFonts w:ascii="Symbol" w:eastAsia="Symbol" w:hAnsi="Symbol" w:cs="Symbol"/>
        </w:rPr>
        <w:sym w:font="Symbol" w:char="F02D"/>
      </w:r>
      <w:r w:rsidRPr="00B45F7C">
        <w:t xml:space="preserve"> that, as a general proposition, work in feminised industries (including care work) suffered from historical gender-based undervaluation.</w:t>
      </w:r>
      <w:r w:rsidRPr="00B45F7C">
        <w:rPr>
          <w:vertAlign w:val="superscript"/>
        </w:rPr>
        <w:footnoteReference w:id="1403"/>
      </w:r>
    </w:p>
    <w:p w14:paraId="256CC938" w14:textId="39192E10" w:rsidR="00677577" w:rsidRPr="00B45F7C" w:rsidRDefault="00677577" w:rsidP="007C79C4">
      <w:r w:rsidRPr="00B45F7C">
        <w:t>The then FWC President (Justice Ross) also issued a statement on ‘Occupational Segregation and Gender Undervaluation’</w:t>
      </w:r>
      <w:r w:rsidRPr="00375499">
        <w:t xml:space="preserve"> </w:t>
      </w:r>
      <w:r w:rsidRPr="00B45F7C">
        <w:t xml:space="preserve">and referred to the Aged Care Work Value </w:t>
      </w:r>
      <w:r w:rsidR="007C79C4">
        <w:t>c</w:t>
      </w:r>
      <w:r w:rsidRPr="00B45F7C">
        <w:t>ase in which His Honour noted the causes of gender-based undervaluation and the barriers to properly assessing work value in female-dominated occupations and industries.</w:t>
      </w:r>
      <w:r w:rsidRPr="00B45F7C">
        <w:rPr>
          <w:vertAlign w:val="superscript"/>
        </w:rPr>
        <w:footnoteReference w:id="1404"/>
      </w:r>
      <w:r w:rsidRPr="00B45F7C">
        <w:t xml:space="preserve"> In the statement His Honour noted that ‘Although the Commission can vary a modern award on its own motion pursuant to s.157, it is apparent from the Aged Care case that cases of this type require significant evidence from those with experience in relevant industries, supported by appropriate experts’.</w:t>
      </w:r>
      <w:r w:rsidRPr="00B45F7C">
        <w:rPr>
          <w:vertAlign w:val="superscript"/>
        </w:rPr>
        <w:footnoteReference w:id="1405"/>
      </w:r>
    </w:p>
    <w:p w14:paraId="19AE8634" w14:textId="77777777" w:rsidR="0011475D" w:rsidRDefault="00677577" w:rsidP="007C79C4">
      <w:r w:rsidRPr="00B45F7C">
        <w:t>In Stage 2 (21 February 2023), a differently constituted Full Bench of the FWC awarded a 15% interim pay increase for direct care workers, effective from 30 June 2023.</w:t>
      </w:r>
      <w:r w:rsidRPr="00B45F7C">
        <w:rPr>
          <w:vertAlign w:val="superscript"/>
        </w:rPr>
        <w:footnoteReference w:id="1406"/>
      </w:r>
      <w:r w:rsidRPr="00B45F7C">
        <w:t xml:space="preserve"> The 15% pay increase was also extended to certain other groups (e.g. cooks, head chefs and recreational activities officers).</w:t>
      </w:r>
    </w:p>
    <w:p w14:paraId="6ECE9754" w14:textId="77777777" w:rsidR="0011475D" w:rsidRDefault="00677577" w:rsidP="007C79C4">
      <w:r w:rsidRPr="00B45F7C">
        <w:t>In Stage 3 (15 March 2024), the FWC introduced new classification definitions and structures into the Aged Care Award and new benchmark wage rates for direct care workers. Final wage increases of up to 28.5% (depending on job and level), inclusive of the initial 15%, were also awarded in the Stage 3 decision.</w:t>
      </w:r>
      <w:r w:rsidRPr="00B45F7C">
        <w:rPr>
          <w:vertAlign w:val="superscript"/>
        </w:rPr>
        <w:footnoteReference w:id="1407"/>
      </w:r>
    </w:p>
    <w:p w14:paraId="62CB4DD6" w14:textId="10BAF17A" w:rsidR="00677577" w:rsidRPr="00B45F7C" w:rsidRDefault="00677577" w:rsidP="007C79C4">
      <w:r w:rsidRPr="00B45F7C">
        <w:t>In September 2024 the FWC issued its determinations varying the relevant modern awards (Aged Care Award 2010, Nurses Award 2020, Social,</w:t>
      </w:r>
      <w:r w:rsidRPr="00B45F7C">
        <w:rPr>
          <w:rFonts w:eastAsia="Times New Roman"/>
          <w:color w:val="000000"/>
          <w:lang w:eastAsia="en-AU"/>
        </w:rPr>
        <w:t xml:space="preserve"> Community, Home Care and Disability Services (SCHADS) Industry Award 2010</w:t>
      </w:r>
      <w:r w:rsidRPr="00B45F7C">
        <w:t>) from 1 January 2025 and noted that this ‘generally concluded the aged care work value proceedings’.</w:t>
      </w:r>
      <w:r w:rsidRPr="00B45F7C">
        <w:rPr>
          <w:vertAlign w:val="superscript"/>
        </w:rPr>
        <w:footnoteReference w:id="1408"/>
      </w:r>
      <w:r w:rsidRPr="00B45F7C">
        <w:t xml:space="preserve"> Some outstanding aspects relating to nurses in the aged care sector are being considered as part of the Nurses and Midwives Work Value case.</w:t>
      </w:r>
      <w:r w:rsidRPr="00B45F7C">
        <w:rPr>
          <w:vertAlign w:val="superscript"/>
        </w:rPr>
        <w:footnoteReference w:id="1409"/>
      </w:r>
    </w:p>
    <w:p w14:paraId="6E8CCFD5" w14:textId="77777777" w:rsidR="0011475D" w:rsidRDefault="00677577" w:rsidP="007C79C4">
      <w:r w:rsidRPr="00B45F7C">
        <w:t>These key decisions have clearly played an important role in narrowing the gender wage gap (GWG) since 2022. As noted, this arises, in part, because the awards in question cover a significant portion of the award-reliant workforce. For example, the SCHADS Industry Award covers 10.5% of award-reliant workers, and two-thirds of all award-reliant workers are covered by just 10 modern awards.</w:t>
      </w:r>
      <w:r w:rsidRPr="00B45F7C">
        <w:rPr>
          <w:vertAlign w:val="superscript"/>
        </w:rPr>
        <w:footnoteReference w:id="1410"/>
      </w:r>
    </w:p>
    <w:p w14:paraId="4630075D" w14:textId="069072B2" w:rsidR="00677577" w:rsidRPr="00B45F7C" w:rsidRDefault="00677577" w:rsidP="00375499">
      <w:pPr>
        <w:pStyle w:val="Heading3"/>
        <w:rPr>
          <w:rFonts w:eastAsia="Times New Roman"/>
        </w:rPr>
      </w:pPr>
      <w:bookmarkStart w:id="1189" w:name="_Toc189260356"/>
      <w:bookmarkStart w:id="1190" w:name="_Toc189393706"/>
      <w:bookmarkStart w:id="1191" w:name="_Toc192258360"/>
      <w:bookmarkStart w:id="1192" w:name="_Toc193826735"/>
      <w:bookmarkStart w:id="1193" w:name="_Toc194067005"/>
      <w:bookmarkStart w:id="1194" w:name="_Toc194311475"/>
      <w:r w:rsidRPr="00B45F7C">
        <w:rPr>
          <w:rFonts w:eastAsia="Times New Roman"/>
        </w:rPr>
        <w:t>2. FWC gender pay equity research project</w:t>
      </w:r>
      <w:bookmarkEnd w:id="1189"/>
      <w:bookmarkEnd w:id="1190"/>
      <w:bookmarkEnd w:id="1191"/>
      <w:bookmarkEnd w:id="1192"/>
      <w:bookmarkEnd w:id="1193"/>
      <w:bookmarkEnd w:id="1194"/>
    </w:p>
    <w:p w14:paraId="658FA209" w14:textId="640BEF92" w:rsidR="0011475D" w:rsidRDefault="00677577" w:rsidP="00677577">
      <w:pPr>
        <w:rPr>
          <w:rFonts w:ascii="Aptos" w:eastAsia="Aptos" w:hAnsi="Aptos" w:cs="Calibri"/>
        </w:rPr>
      </w:pPr>
      <w:r w:rsidRPr="00B45F7C">
        <w:rPr>
          <w:rFonts w:ascii="Aptos" w:eastAsia="Aptos" w:hAnsi="Aptos" w:cs="Calibri"/>
        </w:rPr>
        <w:t xml:space="preserve">Following the passage of the Secure Jobs, Better Pay Bill in 2022, on 3 February 2023 the new FWC President (Justice Hatcher) announced a </w:t>
      </w:r>
      <w:r w:rsidR="007C79C4">
        <w:rPr>
          <w:rFonts w:ascii="Aptos" w:eastAsia="Aptos" w:hAnsi="Aptos" w:cs="Calibri"/>
        </w:rPr>
        <w:t>two</w:t>
      </w:r>
      <w:r w:rsidRPr="00B45F7C">
        <w:rPr>
          <w:rFonts w:ascii="Aptos" w:eastAsia="Aptos" w:hAnsi="Aptos" w:cs="Calibri"/>
        </w:rPr>
        <w:t>-stage gender pay equity research project.</w:t>
      </w:r>
      <w:r w:rsidRPr="00B45F7C">
        <w:rPr>
          <w:rFonts w:ascii="Aptos" w:eastAsia="Aptos" w:hAnsi="Aptos" w:cs="Calibri"/>
          <w:vertAlign w:val="superscript"/>
        </w:rPr>
        <w:footnoteReference w:id="1411"/>
      </w:r>
      <w:r w:rsidRPr="00B45F7C">
        <w:rPr>
          <w:rFonts w:ascii="Aptos" w:eastAsia="Aptos" w:hAnsi="Aptos" w:cs="Calibri"/>
        </w:rPr>
        <w:t xml:space="preserve"> The aim of the Stage 1 report from this project was to identify sectors where gender-based occupational segregation was prevalent and whether there were any common characteristics in the relevant occupations and industries (including prevalence of casual and non-ongoing employment).</w:t>
      </w:r>
      <w:r w:rsidRPr="00B45F7C">
        <w:rPr>
          <w:rFonts w:ascii="Aptos" w:eastAsia="Aptos" w:hAnsi="Aptos" w:cs="Calibri"/>
          <w:vertAlign w:val="superscript"/>
        </w:rPr>
        <w:footnoteReference w:id="1412"/>
      </w:r>
    </w:p>
    <w:p w14:paraId="31698D84" w14:textId="47CB83E4" w:rsidR="0011475D" w:rsidRDefault="00677577" w:rsidP="00677577">
      <w:pPr>
        <w:rPr>
          <w:rFonts w:ascii="Aptos" w:eastAsia="Aptos" w:hAnsi="Aptos" w:cs="Calibri"/>
        </w:rPr>
      </w:pPr>
      <w:r w:rsidRPr="00B45F7C">
        <w:rPr>
          <w:rFonts w:ascii="Aptos" w:eastAsia="Aptos" w:hAnsi="Aptos" w:cs="Calibri"/>
        </w:rPr>
        <w:t>The Stage 2 report was prepared by staff in the FWC and involved an examination of the history of wage fixing and work value assessments in 12 awards.</w:t>
      </w:r>
      <w:r w:rsidRPr="00B45F7C">
        <w:rPr>
          <w:rFonts w:ascii="Aptos" w:eastAsia="Aptos" w:hAnsi="Aptos" w:cs="Calibri"/>
          <w:vertAlign w:val="superscript"/>
        </w:rPr>
        <w:footnoteReference w:id="1413"/>
      </w:r>
    </w:p>
    <w:p w14:paraId="648EA27C" w14:textId="41A804B7" w:rsidR="0011475D" w:rsidRDefault="00677577" w:rsidP="00677577">
      <w:pPr>
        <w:rPr>
          <w:rFonts w:ascii="Aptos" w:eastAsia="Aptos" w:hAnsi="Aptos" w:cs="Calibri"/>
        </w:rPr>
      </w:pPr>
      <w:r w:rsidRPr="00B45F7C">
        <w:rPr>
          <w:rFonts w:ascii="Aptos" w:eastAsia="Aptos" w:hAnsi="Aptos" w:cs="Calibri"/>
        </w:rPr>
        <w:t xml:space="preserve">On 7 June 2024 the FWC announced that an expert panel would be established to review gender undervaluation in </w:t>
      </w:r>
      <w:r w:rsidR="007C79C4">
        <w:rPr>
          <w:rFonts w:ascii="Aptos" w:eastAsia="Aptos" w:hAnsi="Aptos" w:cs="Calibri"/>
        </w:rPr>
        <w:t>five</w:t>
      </w:r>
      <w:r w:rsidRPr="00B45F7C">
        <w:rPr>
          <w:rFonts w:ascii="Aptos" w:eastAsia="Aptos" w:hAnsi="Aptos" w:cs="Calibri"/>
        </w:rPr>
        <w:t xml:space="preserve"> priority modern awards in the care and community sector. At the time of writing the review is ongoing. The </w:t>
      </w:r>
      <w:r w:rsidR="007C79C4">
        <w:rPr>
          <w:rFonts w:ascii="Aptos" w:eastAsia="Aptos" w:hAnsi="Aptos" w:cs="Calibri"/>
        </w:rPr>
        <w:t>five</w:t>
      </w:r>
      <w:r w:rsidRPr="00B45F7C">
        <w:rPr>
          <w:rFonts w:ascii="Aptos" w:eastAsia="Aptos" w:hAnsi="Aptos" w:cs="Calibri"/>
        </w:rPr>
        <w:t xml:space="preserve"> awards being considered are:</w:t>
      </w:r>
    </w:p>
    <w:p w14:paraId="411D2BC6" w14:textId="77777777" w:rsidR="0011475D" w:rsidRDefault="00677577" w:rsidP="00F40CFB">
      <w:pPr>
        <w:pStyle w:val="ListBullet"/>
        <w:numPr>
          <w:ilvl w:val="0"/>
          <w:numId w:val="4"/>
        </w:numPr>
        <w:rPr>
          <w:lang w:eastAsia="en-AU"/>
        </w:rPr>
      </w:pPr>
      <w:r w:rsidRPr="00B45F7C">
        <w:rPr>
          <w:lang w:eastAsia="en-AU"/>
        </w:rPr>
        <w:t>Aboriginal and Torres Strait Islander Health Workers and Practitioners and Aboriginal Community Controlled Health Services Award 2020</w:t>
      </w:r>
    </w:p>
    <w:p w14:paraId="4C152709" w14:textId="4EFC5386" w:rsidR="00677577" w:rsidRPr="00B45F7C" w:rsidRDefault="00677577" w:rsidP="00F40CFB">
      <w:pPr>
        <w:pStyle w:val="ListBullet"/>
        <w:numPr>
          <w:ilvl w:val="0"/>
          <w:numId w:val="4"/>
        </w:numPr>
        <w:rPr>
          <w:lang w:eastAsia="en-AU"/>
        </w:rPr>
      </w:pPr>
      <w:r w:rsidRPr="00B45F7C">
        <w:rPr>
          <w:lang w:eastAsia="en-AU"/>
        </w:rPr>
        <w:t>Children’s Services Award 2010</w:t>
      </w:r>
    </w:p>
    <w:p w14:paraId="628758A3" w14:textId="77777777" w:rsidR="00677577" w:rsidRPr="00B45F7C" w:rsidRDefault="00677577" w:rsidP="00F40CFB">
      <w:pPr>
        <w:pStyle w:val="ListBullet"/>
        <w:numPr>
          <w:ilvl w:val="0"/>
          <w:numId w:val="4"/>
        </w:numPr>
        <w:rPr>
          <w:lang w:eastAsia="en-AU"/>
        </w:rPr>
      </w:pPr>
      <w:r w:rsidRPr="00B45F7C">
        <w:rPr>
          <w:lang w:eastAsia="en-AU"/>
        </w:rPr>
        <w:t>Health Professionals and Support Services Award 2020</w:t>
      </w:r>
    </w:p>
    <w:p w14:paraId="7D605348" w14:textId="77777777" w:rsidR="00677577" w:rsidRPr="00B45F7C" w:rsidRDefault="00677577" w:rsidP="00F40CFB">
      <w:pPr>
        <w:pStyle w:val="ListBullet"/>
        <w:numPr>
          <w:ilvl w:val="0"/>
          <w:numId w:val="4"/>
        </w:numPr>
        <w:rPr>
          <w:lang w:eastAsia="en-AU"/>
        </w:rPr>
      </w:pPr>
      <w:r w:rsidRPr="00B45F7C">
        <w:rPr>
          <w:lang w:eastAsia="en-AU"/>
        </w:rPr>
        <w:t>Pharmacy Industry Award 2020</w:t>
      </w:r>
    </w:p>
    <w:p w14:paraId="7367EAD6" w14:textId="77777777" w:rsidR="00677577" w:rsidRPr="00375499" w:rsidRDefault="00677577" w:rsidP="00F40CFB">
      <w:pPr>
        <w:pStyle w:val="ListBullet"/>
        <w:numPr>
          <w:ilvl w:val="0"/>
          <w:numId w:val="4"/>
        </w:numPr>
        <w:rPr>
          <w:lang w:eastAsia="en-AU"/>
        </w:rPr>
      </w:pPr>
      <w:r w:rsidRPr="00B45F7C">
        <w:rPr>
          <w:lang w:eastAsia="en-AU"/>
        </w:rPr>
        <w:t>Social, Community, Home Care and Disability Services Industry Award 2010.</w:t>
      </w:r>
      <w:bookmarkStart w:id="1195" w:name="_Toc188459041"/>
    </w:p>
    <w:p w14:paraId="74A91358" w14:textId="77777777" w:rsidR="00677577" w:rsidRPr="00B45F7C" w:rsidRDefault="00677577" w:rsidP="00375499">
      <w:pPr>
        <w:pStyle w:val="Heading3"/>
        <w:rPr>
          <w:rFonts w:eastAsia="Times New Roman"/>
        </w:rPr>
      </w:pPr>
      <w:bookmarkStart w:id="1196" w:name="_Toc189260357"/>
      <w:bookmarkStart w:id="1197" w:name="_Toc189393707"/>
      <w:bookmarkStart w:id="1198" w:name="_Toc192258361"/>
      <w:bookmarkStart w:id="1199" w:name="_Toc193826736"/>
      <w:bookmarkStart w:id="1200" w:name="_Toc194067006"/>
      <w:bookmarkStart w:id="1201" w:name="_Toc194311476"/>
      <w:r w:rsidRPr="00B45F7C">
        <w:rPr>
          <w:rFonts w:eastAsia="Times New Roman"/>
        </w:rPr>
        <w:t>3. FWC 2023</w:t>
      </w:r>
      <w:r w:rsidRPr="00B45F7C">
        <w:rPr>
          <w:rFonts w:ascii="Symbol" w:eastAsia="Symbol" w:hAnsi="Symbol" w:cs="Symbol"/>
        </w:rPr>
        <w:sym w:font="Symbol" w:char="F02D"/>
      </w:r>
      <w:r w:rsidRPr="00B45F7C">
        <w:rPr>
          <w:rFonts w:eastAsia="Times New Roman"/>
        </w:rPr>
        <w:t>24 Modern Awards Review</w:t>
      </w:r>
      <w:bookmarkEnd w:id="1195"/>
      <w:bookmarkEnd w:id="1196"/>
      <w:bookmarkEnd w:id="1197"/>
      <w:bookmarkEnd w:id="1198"/>
      <w:bookmarkEnd w:id="1199"/>
      <w:bookmarkEnd w:id="1200"/>
      <w:bookmarkEnd w:id="1201"/>
    </w:p>
    <w:p w14:paraId="05797CD5" w14:textId="28E14CC1" w:rsidR="0011475D" w:rsidRDefault="00677577" w:rsidP="00677577">
      <w:pPr>
        <w:rPr>
          <w:rFonts w:ascii="Aptos" w:eastAsia="Aptos" w:hAnsi="Aptos" w:cs="Aptos"/>
        </w:rPr>
      </w:pPr>
      <w:r w:rsidRPr="00B45F7C">
        <w:rPr>
          <w:rFonts w:ascii="Aptos" w:eastAsia="Aptos" w:hAnsi="Aptos" w:cs="Aptos"/>
        </w:rPr>
        <w:t xml:space="preserve">On 15 September 2023 the FWC also announced the commencement of the </w:t>
      </w:r>
      <w:r w:rsidRPr="00B45F7C">
        <w:rPr>
          <w:rFonts w:ascii="Aptos" w:eastAsia="Aptos" w:hAnsi="Aptos" w:cs="Times New Roman"/>
        </w:rPr>
        <w:t>Modern Awards Review 2023</w:t>
      </w:r>
      <w:r w:rsidRPr="00B45F7C">
        <w:rPr>
          <w:rFonts w:ascii="Symbol" w:eastAsia="Symbol" w:hAnsi="Symbol" w:cs="Symbol"/>
        </w:rPr>
        <w:sym w:font="Symbol" w:char="F02D"/>
      </w:r>
      <w:r w:rsidRPr="00B45F7C">
        <w:rPr>
          <w:rFonts w:ascii="Aptos" w:eastAsia="Aptos" w:hAnsi="Aptos" w:cs="Times New Roman"/>
        </w:rPr>
        <w:t>24</w:t>
      </w:r>
      <w:r w:rsidRPr="00B45F7C">
        <w:rPr>
          <w:rFonts w:ascii="Aptos" w:eastAsia="Aptos" w:hAnsi="Aptos" w:cs="Aptos"/>
        </w:rPr>
        <w:t xml:space="preserve"> looking at </w:t>
      </w:r>
      <w:r w:rsidR="007C79C4">
        <w:rPr>
          <w:rFonts w:ascii="Aptos" w:eastAsia="Aptos" w:hAnsi="Aptos" w:cs="Aptos"/>
        </w:rPr>
        <w:t>four</w:t>
      </w:r>
      <w:r w:rsidRPr="00B45F7C">
        <w:rPr>
          <w:rFonts w:ascii="Aptos" w:eastAsia="Aptos" w:hAnsi="Aptos" w:cs="Aptos"/>
        </w:rPr>
        <w:t xml:space="preserve"> priority topics:</w:t>
      </w:r>
    </w:p>
    <w:p w14:paraId="6BAC70B3" w14:textId="17251A95" w:rsidR="00677577" w:rsidRPr="00B45F7C" w:rsidRDefault="00677577" w:rsidP="00F40CFB">
      <w:pPr>
        <w:pStyle w:val="ListBullet"/>
        <w:numPr>
          <w:ilvl w:val="0"/>
          <w:numId w:val="4"/>
        </w:numPr>
        <w:rPr>
          <w:lang w:eastAsia="en-AU"/>
        </w:rPr>
      </w:pPr>
      <w:r w:rsidRPr="00B45F7C">
        <w:rPr>
          <w:lang w:eastAsia="en-AU"/>
        </w:rPr>
        <w:t>Arts and culture sector (to consider minimum standards and awards coverage in the arts and culture sector)</w:t>
      </w:r>
    </w:p>
    <w:p w14:paraId="516C7777" w14:textId="77777777" w:rsidR="00677577" w:rsidRPr="00B45F7C" w:rsidRDefault="00677577" w:rsidP="00F40CFB">
      <w:pPr>
        <w:pStyle w:val="ListBullet"/>
        <w:numPr>
          <w:ilvl w:val="0"/>
          <w:numId w:val="4"/>
        </w:numPr>
        <w:rPr>
          <w:lang w:eastAsia="en-AU"/>
        </w:rPr>
      </w:pPr>
      <w:r w:rsidRPr="00B45F7C">
        <w:rPr>
          <w:lang w:eastAsia="en-AU"/>
        </w:rPr>
        <w:t>Job security (to consider how provisions in modern awards support the objectives of job security and secure work)</w:t>
      </w:r>
    </w:p>
    <w:p w14:paraId="492FF48F" w14:textId="77777777" w:rsidR="00677577" w:rsidRPr="00B45F7C" w:rsidRDefault="00677577" w:rsidP="00F40CFB">
      <w:pPr>
        <w:pStyle w:val="ListBullet"/>
        <w:numPr>
          <w:ilvl w:val="0"/>
          <w:numId w:val="4"/>
        </w:numPr>
        <w:rPr>
          <w:lang w:eastAsia="en-AU"/>
        </w:rPr>
      </w:pPr>
      <w:r w:rsidRPr="00B45F7C">
        <w:rPr>
          <w:lang w:eastAsia="en-AU"/>
        </w:rPr>
        <w:t>Work and care (to consider the impacts of award terms on workers with caring responsibilities)</w:t>
      </w:r>
      <w:r w:rsidRPr="00B45F7C">
        <w:rPr>
          <w:rFonts w:cs="Aptos"/>
          <w:vertAlign w:val="superscript"/>
          <w:lang w:eastAsia="en-AU"/>
        </w:rPr>
        <w:footnoteReference w:id="1414"/>
      </w:r>
    </w:p>
    <w:p w14:paraId="4FC5F41B" w14:textId="77777777" w:rsidR="00677577" w:rsidRPr="00B45F7C" w:rsidRDefault="00677577" w:rsidP="00F40CFB">
      <w:pPr>
        <w:pStyle w:val="ListBullet"/>
        <w:numPr>
          <w:ilvl w:val="0"/>
          <w:numId w:val="4"/>
        </w:numPr>
        <w:rPr>
          <w:lang w:eastAsia="en-AU"/>
        </w:rPr>
      </w:pPr>
      <w:r w:rsidRPr="00B45F7C">
        <w:rPr>
          <w:lang w:eastAsia="en-AU"/>
        </w:rPr>
        <w:t>Making awards easier to use (to consider options without reducing workers’ entitlements).</w:t>
      </w:r>
    </w:p>
    <w:p w14:paraId="783287B2" w14:textId="77777777" w:rsidR="00677577" w:rsidRPr="00F40CFB" w:rsidRDefault="00677577" w:rsidP="00F40CFB">
      <w:pPr>
        <w:pStyle w:val="ListBullet"/>
        <w:numPr>
          <w:ilvl w:val="0"/>
          <w:numId w:val="4"/>
        </w:numPr>
      </w:pPr>
      <w:r w:rsidRPr="00F40CFB">
        <w:t>The FWC commenced this Modern Awards Review in response to a request from the then Minister for Employment and Workplace Relations, the Hon Tony Burke MP.</w:t>
      </w:r>
      <w:r w:rsidRPr="00F40CFB">
        <w:rPr>
          <w:vertAlign w:val="superscript"/>
        </w:rPr>
        <w:footnoteReference w:id="1415"/>
      </w:r>
    </w:p>
    <w:p w14:paraId="18753FE0" w14:textId="5BC1930F" w:rsidR="0011475D" w:rsidRDefault="00677577" w:rsidP="00677577">
      <w:pPr>
        <w:rPr>
          <w:rFonts w:ascii="Aptos" w:eastAsia="Aptos" w:hAnsi="Aptos" w:cs="Calibri"/>
        </w:rPr>
      </w:pPr>
      <w:r w:rsidRPr="00B45F7C">
        <w:rPr>
          <w:rFonts w:ascii="Aptos" w:eastAsia="Aptos" w:hAnsi="Aptos" w:cs="Calibri"/>
        </w:rPr>
        <w:t>The Modern Awards Review 2023</w:t>
      </w:r>
      <w:r w:rsidRPr="00B45F7C">
        <w:rPr>
          <w:rFonts w:ascii="Symbol" w:eastAsia="Symbol" w:hAnsi="Symbol" w:cs="Symbol"/>
        </w:rPr>
        <w:sym w:font="Symbol" w:char="F02D"/>
      </w:r>
      <w:r w:rsidRPr="00B45F7C">
        <w:rPr>
          <w:rFonts w:ascii="Aptos" w:eastAsia="Aptos" w:hAnsi="Aptos" w:cs="Calibri"/>
        </w:rPr>
        <w:t>24 report by the FWC was released on 18 July 2024.</w:t>
      </w:r>
      <w:r w:rsidRPr="00B45F7C">
        <w:rPr>
          <w:rFonts w:ascii="Aptos" w:eastAsia="Aptos" w:hAnsi="Aptos" w:cs="Calibri"/>
          <w:vertAlign w:val="superscript"/>
        </w:rPr>
        <w:footnoteReference w:id="1416"/>
      </w:r>
      <w:r w:rsidRPr="00B45F7C">
        <w:rPr>
          <w:rFonts w:ascii="Aptos" w:eastAsia="Aptos" w:hAnsi="Aptos" w:cs="Calibri"/>
        </w:rPr>
        <w:t xml:space="preserve"> Among other things, the FWC found that there were gender differences in entitlements in modern awards, particularly those relevant to balancing work and care responsibilities. In the report the FWC noted that ‘some conditions that are more generous to employees are more likely found in male-dominated awards than in female dominated awards, and vice versa’.</w:t>
      </w:r>
      <w:r w:rsidRPr="00B45F7C">
        <w:rPr>
          <w:rFonts w:ascii="Aptos" w:eastAsia="Aptos" w:hAnsi="Aptos" w:cs="Calibri"/>
          <w:vertAlign w:val="superscript"/>
        </w:rPr>
        <w:footnoteReference w:id="1417"/>
      </w:r>
      <w:r w:rsidRPr="00B45F7C">
        <w:rPr>
          <w:rFonts w:ascii="Aptos" w:eastAsia="Aptos" w:hAnsi="Aptos" w:cs="Calibri"/>
        </w:rPr>
        <w:t xml:space="preserve"> From a gender equality perspective, this was yet another highly important review and report. Going forward there is potential to further advance gender equality by addressing disparities in award entitlements and working conditions across male and female dominated industries.</w:t>
      </w:r>
    </w:p>
    <w:p w14:paraId="42D56D0D" w14:textId="20B69B6C" w:rsidR="00677577" w:rsidRPr="00B45F7C" w:rsidRDefault="00677577" w:rsidP="00D02DF5">
      <w:pPr>
        <w:pStyle w:val="Heading3"/>
        <w:rPr>
          <w:rFonts w:eastAsia="Times New Roman"/>
        </w:rPr>
      </w:pPr>
      <w:bookmarkStart w:id="1202" w:name="_Toc189260358"/>
      <w:bookmarkStart w:id="1203" w:name="_Toc189393708"/>
      <w:bookmarkStart w:id="1204" w:name="_Toc192258362"/>
      <w:bookmarkStart w:id="1205" w:name="_Toc193826737"/>
      <w:bookmarkStart w:id="1206" w:name="_Toc194067007"/>
      <w:bookmarkStart w:id="1207" w:name="_Toc194311477"/>
      <w:r w:rsidRPr="00B45F7C">
        <w:rPr>
          <w:rFonts w:eastAsia="Times New Roman"/>
        </w:rPr>
        <w:t>4. Annual wage reviews</w:t>
      </w:r>
      <w:bookmarkEnd w:id="1202"/>
      <w:bookmarkEnd w:id="1203"/>
      <w:bookmarkEnd w:id="1204"/>
      <w:bookmarkEnd w:id="1205"/>
      <w:bookmarkEnd w:id="1206"/>
      <w:bookmarkEnd w:id="1207"/>
    </w:p>
    <w:p w14:paraId="10C57693" w14:textId="77777777" w:rsidR="00677577" w:rsidRPr="00B45F7C" w:rsidRDefault="00677577" w:rsidP="00677577">
      <w:pPr>
        <w:rPr>
          <w:rFonts w:ascii="Aptos" w:eastAsia="Aptos" w:hAnsi="Aptos" w:cs="Times New Roman"/>
        </w:rPr>
      </w:pPr>
      <w:r w:rsidRPr="00B45F7C">
        <w:rPr>
          <w:rFonts w:ascii="Aptos" w:eastAsia="Aptos" w:hAnsi="Aptos" w:cs="Times New Roman"/>
        </w:rPr>
        <w:t>Alongside its other work, the FWC has also taken steps to address gender equality and provided commentary about its approach through its annual wage review decisions.</w:t>
      </w:r>
    </w:p>
    <w:p w14:paraId="026299A2" w14:textId="77777777" w:rsidR="00677577" w:rsidRPr="00B45F7C" w:rsidRDefault="00677577" w:rsidP="00677577">
      <w:pPr>
        <w:rPr>
          <w:rFonts w:ascii="Aptos" w:eastAsia="Aptos" w:hAnsi="Aptos" w:cs="Times New Roman"/>
        </w:rPr>
      </w:pPr>
      <w:r w:rsidRPr="00B45F7C">
        <w:rPr>
          <w:rFonts w:ascii="Aptos" w:eastAsia="Aptos" w:hAnsi="Aptos" w:cs="Times New Roman"/>
        </w:rPr>
        <w:t>In the Annual Wage Review 2022–23, the FWC:</w:t>
      </w:r>
    </w:p>
    <w:p w14:paraId="1BAC801F" w14:textId="77777777" w:rsidR="00677577" w:rsidRPr="00B45F7C" w:rsidRDefault="00677577" w:rsidP="0035449E">
      <w:pPr>
        <w:pStyle w:val="ListBullet"/>
        <w:numPr>
          <w:ilvl w:val="0"/>
          <w:numId w:val="4"/>
        </w:numPr>
        <w:rPr>
          <w:lang w:eastAsia="en-AU"/>
        </w:rPr>
      </w:pPr>
      <w:r w:rsidRPr="00B45F7C">
        <w:rPr>
          <w:lang w:eastAsia="en-AU"/>
        </w:rPr>
        <w:t>decided ‘All modern award minimum wage rates will be increased by 5.75 per cent effective from 1 July 2023’</w:t>
      </w:r>
    </w:p>
    <w:p w14:paraId="5EA8E671" w14:textId="77777777" w:rsidR="0011475D" w:rsidRDefault="00677577" w:rsidP="0035449E">
      <w:pPr>
        <w:pStyle w:val="ListBullet"/>
        <w:numPr>
          <w:ilvl w:val="0"/>
          <w:numId w:val="4"/>
        </w:numPr>
        <w:rPr>
          <w:lang w:eastAsia="en-AU"/>
        </w:rPr>
      </w:pPr>
      <w:r w:rsidRPr="00B45F7C">
        <w:rPr>
          <w:lang w:eastAsia="en-AU"/>
        </w:rPr>
        <w:t>made clear that the addition of gender equality to the Fair Work Act minimum wages and modern awards objectives weighed significantly in favour of the wage rise</w:t>
      </w:r>
    </w:p>
    <w:p w14:paraId="37384E33" w14:textId="77777777" w:rsidR="0011475D" w:rsidRDefault="00677577" w:rsidP="0035449E">
      <w:pPr>
        <w:pStyle w:val="ListBullet"/>
        <w:numPr>
          <w:ilvl w:val="0"/>
          <w:numId w:val="4"/>
        </w:numPr>
        <w:rPr>
          <w:lang w:eastAsia="en-AU"/>
        </w:rPr>
      </w:pPr>
      <w:r w:rsidRPr="00B45F7C">
        <w:rPr>
          <w:lang w:eastAsia="en-AU"/>
        </w:rPr>
        <w:t>noted that significant issues concerning the potential gender undervaluation of work and qualifications in the modern award minimum wage rates applying to female-dominated industries and occupations would need to be resolved in future annual wage reviews and proceedings.</w:t>
      </w:r>
    </w:p>
    <w:p w14:paraId="13E68944" w14:textId="3966C8F6" w:rsidR="0011475D" w:rsidRDefault="00677577" w:rsidP="00677577">
      <w:pPr>
        <w:rPr>
          <w:rFonts w:ascii="Aptos" w:eastAsia="Aptos" w:hAnsi="Aptos" w:cs="Times New Roman"/>
        </w:rPr>
      </w:pPr>
      <w:r w:rsidRPr="00B45F7C">
        <w:rPr>
          <w:rFonts w:ascii="Aptos" w:eastAsia="Aptos" w:hAnsi="Aptos" w:cs="Times New Roman"/>
        </w:rPr>
        <w:t>In the Annual Wage Review 2023–24, the FWC ‘decided to increase the National Minimum Wage and all modern award minimum wage rates by 3.75 per cent, effective from 1 July 2024, noting that it had considered a number of Fair Work Act requirements, including the need to achieve gender equality, and set out its program for ‘the timely resolution of gender undervaluation issues arising in respect of certain modern awards’.</w:t>
      </w:r>
    </w:p>
    <w:p w14:paraId="174652CE" w14:textId="7C062C83" w:rsidR="00677577" w:rsidRPr="00B45F7C" w:rsidRDefault="00677577" w:rsidP="00677577">
      <w:pPr>
        <w:rPr>
          <w:rFonts w:ascii="Aptos" w:eastAsia="Aptos" w:hAnsi="Aptos" w:cs="Times New Roman"/>
        </w:rPr>
      </w:pPr>
      <w:r w:rsidRPr="00B45F7C">
        <w:rPr>
          <w:rFonts w:ascii="Aptos" w:eastAsia="Aptos" w:hAnsi="Aptos" w:cs="Times New Roman"/>
        </w:rPr>
        <w:t>In addition to this determination of priority areas for consideration, the FWC’s Annual Wage Review 2023–24 decision included a section entitled ‘8.4 The gender equality agenda’ considering the next steps from its gender pay equity research. Here, the FWC:</w:t>
      </w:r>
    </w:p>
    <w:p w14:paraId="7FE37602" w14:textId="77777777" w:rsidR="00677577" w:rsidRPr="00B45F7C" w:rsidRDefault="00677577" w:rsidP="0035449E">
      <w:pPr>
        <w:pStyle w:val="ListBullet"/>
        <w:numPr>
          <w:ilvl w:val="0"/>
          <w:numId w:val="4"/>
        </w:numPr>
        <w:rPr>
          <w:lang w:eastAsia="en-AU"/>
        </w:rPr>
      </w:pPr>
      <w:r w:rsidRPr="00B45F7C">
        <w:rPr>
          <w:lang w:eastAsia="en-AU"/>
        </w:rPr>
        <w:t>did not award interim wage increases to address gender undervaluation (at that time)</w:t>
      </w:r>
    </w:p>
    <w:p w14:paraId="627FDA16" w14:textId="77777777" w:rsidR="0011475D" w:rsidRDefault="00677577" w:rsidP="0035449E">
      <w:pPr>
        <w:pStyle w:val="ListBullet"/>
        <w:numPr>
          <w:ilvl w:val="0"/>
          <w:numId w:val="4"/>
        </w:numPr>
        <w:rPr>
          <w:lang w:eastAsia="en-AU"/>
        </w:rPr>
      </w:pPr>
      <w:r w:rsidRPr="00B45F7C">
        <w:rPr>
          <w:lang w:eastAsia="en-AU"/>
        </w:rPr>
        <w:t>noted comments from employer associations about the need for separate proceedings to consider the issues relevant to each modern award</w:t>
      </w:r>
    </w:p>
    <w:p w14:paraId="3B1D9B87" w14:textId="77777777" w:rsidR="0011475D" w:rsidRDefault="00677577" w:rsidP="0035449E">
      <w:pPr>
        <w:pStyle w:val="ListBullet"/>
        <w:numPr>
          <w:ilvl w:val="0"/>
          <w:numId w:val="4"/>
        </w:numPr>
        <w:rPr>
          <w:lang w:eastAsia="en-AU"/>
        </w:rPr>
      </w:pPr>
      <w:r w:rsidRPr="00B45F7C">
        <w:rPr>
          <w:lang w:eastAsia="en-AU"/>
        </w:rPr>
        <w:t>indicated its intent to complete the gender undervaluation priority awards review before the Annual Wage Review 2024–25.</w:t>
      </w:r>
    </w:p>
    <w:p w14:paraId="4ADC3D21" w14:textId="0BE8D224" w:rsidR="007C79C4" w:rsidRDefault="00677577" w:rsidP="007C79C4">
      <w:pPr>
        <w:rPr>
          <w:rFonts w:ascii="Aptos" w:eastAsia="Aptos" w:hAnsi="Aptos" w:cs="Times New Roman"/>
        </w:rPr>
      </w:pPr>
      <w:r w:rsidRPr="00B45F7C">
        <w:rPr>
          <w:rFonts w:ascii="Aptos" w:eastAsia="Aptos" w:hAnsi="Aptos" w:cs="Times New Roman"/>
        </w:rPr>
        <w:t xml:space="preserve">The FWC did not award interim wage increases to address gender undervaluation in the Annual Wage Review 2023–24, noting that there had not been sufficient time to ‘afford procedural fairness and to proceed on a sound evidentiary foundation’ since publication of its Stage 2 Gender Pay Equity Research. It also noted that the FWC could not commit to phased wage increases over future annual wage reviews (but can in proceedings to vary modern awards), as the Fair Work Act requires consideration of the modern awards and the minimum wages objectives in the context of the circumstances applying at the time. </w:t>
      </w:r>
    </w:p>
    <w:p w14:paraId="710F450C" w14:textId="64B7CF27" w:rsidR="007C79C4" w:rsidRDefault="007C79C4">
      <w:pPr>
        <w:spacing w:after="160"/>
        <w:rPr>
          <w:rFonts w:ascii="Aptos" w:eastAsia="Aptos" w:hAnsi="Aptos" w:cs="Times New Roman"/>
        </w:rPr>
      </w:pPr>
      <w:r>
        <w:rPr>
          <w:rFonts w:ascii="Aptos" w:eastAsia="Aptos" w:hAnsi="Aptos" w:cs="Times New Roman"/>
        </w:rPr>
        <w:br w:type="page"/>
      </w:r>
    </w:p>
    <w:p w14:paraId="04DDD578" w14:textId="77777777" w:rsidR="00677577" w:rsidRPr="00B45F7C" w:rsidRDefault="00677577" w:rsidP="007C79C4">
      <w:pPr>
        <w:pStyle w:val="Heading2"/>
      </w:pPr>
      <w:bookmarkStart w:id="1208" w:name="_Toc189260193"/>
      <w:bookmarkStart w:id="1209" w:name="_Toc189260359"/>
      <w:bookmarkStart w:id="1210" w:name="_Toc189393709"/>
      <w:bookmarkStart w:id="1211" w:name="_Toc192258089"/>
      <w:bookmarkStart w:id="1212" w:name="_Toc194311478"/>
      <w:r w:rsidRPr="00B45F7C">
        <w:t>Appendix 10 – The Fair Work framework</w:t>
      </w:r>
      <w:bookmarkEnd w:id="1208"/>
      <w:bookmarkEnd w:id="1209"/>
      <w:bookmarkEnd w:id="1210"/>
      <w:bookmarkEnd w:id="1211"/>
      <w:bookmarkEnd w:id="1212"/>
    </w:p>
    <w:p w14:paraId="4D53202E" w14:textId="77777777" w:rsidR="00677577" w:rsidRPr="00B45F7C" w:rsidRDefault="00677577" w:rsidP="00677577">
      <w:pPr>
        <w:rPr>
          <w:rFonts w:ascii="Aptos" w:eastAsia="Aptos" w:hAnsi="Aptos" w:cs="Times New Roman"/>
        </w:rPr>
      </w:pPr>
      <w:r w:rsidRPr="00B45F7C">
        <w:rPr>
          <w:rFonts w:ascii="Aptos" w:eastAsia="Aptos" w:hAnsi="Aptos" w:cs="Times New Roman"/>
        </w:rPr>
        <w:t xml:space="preserve">The Fair Work Act establishes a safety net of statutory minimum entitlements through the National Employment Standards (NES), </w:t>
      </w:r>
      <w:r w:rsidRPr="00B45F7C">
        <w:rPr>
          <w:rFonts w:ascii="Aptos" w:eastAsia="Aptos" w:hAnsi="Aptos" w:cs="Times New Roman"/>
          <w:lang w:val="en-GB"/>
        </w:rPr>
        <w:t xml:space="preserve">national minimum wage and modern awards. </w:t>
      </w:r>
      <w:r w:rsidRPr="00B45F7C">
        <w:rPr>
          <w:rFonts w:ascii="Aptos" w:eastAsia="Aptos" w:hAnsi="Aptos" w:cs="Times New Roman"/>
        </w:rPr>
        <w:t>It also establishes and sets out the functions of Australia’s workplace relations tribunal, the Fair Work Commission (FWC), and Australia’s workplace relations regulator, the Fair Work Ombudsman (FWO).</w:t>
      </w:r>
    </w:p>
    <w:p w14:paraId="09065869" w14:textId="4EEA4B9D" w:rsidR="00677577" w:rsidRPr="00B45F7C" w:rsidRDefault="00677577" w:rsidP="00677577">
      <w:pPr>
        <w:rPr>
          <w:rFonts w:ascii="Aptos" w:eastAsia="Aptos" w:hAnsi="Aptos" w:cs="Times New Roman"/>
        </w:rPr>
      </w:pPr>
      <w:r w:rsidRPr="00B45F7C">
        <w:rPr>
          <w:rFonts w:ascii="Aptos" w:eastAsia="Aptos" w:hAnsi="Aptos" w:cs="Times New Roman"/>
        </w:rPr>
        <w:t>The NES are the minimum terms and conditions of employment that have to be provided to all national system employees.</w:t>
      </w:r>
      <w:r w:rsidRPr="00B45F7C">
        <w:rPr>
          <w:rFonts w:ascii="Aptos" w:eastAsia="Aptos" w:hAnsi="Aptos" w:cs="Times New Roman"/>
          <w:vertAlign w:val="superscript"/>
        </w:rPr>
        <w:footnoteReference w:id="1418"/>
      </w:r>
      <w:r w:rsidRPr="00B45F7C" w:rsidDel="007C79C4">
        <w:rPr>
          <w:rFonts w:ascii="Aptos" w:eastAsia="Aptos" w:hAnsi="Aptos" w:cs="Times New Roman"/>
        </w:rPr>
        <w:t xml:space="preserve"> </w:t>
      </w:r>
      <w:r w:rsidRPr="00B45F7C">
        <w:rPr>
          <w:rFonts w:ascii="Aptos" w:eastAsia="Aptos" w:hAnsi="Aptos" w:cs="Times New Roman"/>
        </w:rPr>
        <w:t>These minimum standards relate to maximum weekly hours, requests for flexible working arrangements, casual employment, parental leave and related entitlements, annual leave, personal/carer’s leave, compassionate leave and paid family and domestic violence leave, community service leave, long service leave, public holidays, superannuation contributions, notice of termination and redundancy pay, the Fair Work Information Statement, and the Casual Employment Information Statement.</w:t>
      </w:r>
      <w:r w:rsidRPr="00B45F7C">
        <w:rPr>
          <w:rFonts w:ascii="Aptos" w:eastAsia="Aptos" w:hAnsi="Aptos" w:cs="Times New Roman"/>
          <w:vertAlign w:val="superscript"/>
        </w:rPr>
        <w:footnoteReference w:id="1419"/>
      </w:r>
    </w:p>
    <w:p w14:paraId="4834F9A8" w14:textId="77777777" w:rsidR="0011475D" w:rsidRDefault="00677577" w:rsidP="00677577">
      <w:pPr>
        <w:rPr>
          <w:rFonts w:ascii="Aptos" w:eastAsia="Aptos" w:hAnsi="Aptos" w:cs="Times New Roman"/>
        </w:rPr>
      </w:pPr>
      <w:r w:rsidRPr="00B45F7C">
        <w:rPr>
          <w:rFonts w:ascii="Aptos" w:eastAsia="Aptos" w:hAnsi="Aptos" w:cs="Times New Roman"/>
        </w:rPr>
        <w:t>Modern awards apply at the industry or occupation level and set out minimum wages and terms and conditions of employment, on top of the NES. Modern awards set out conditions such as arrangements for when work is performed, overtime and penalty rates, leave arrangements, allowances, and industry-specific redundancy schemes.</w:t>
      </w:r>
    </w:p>
    <w:p w14:paraId="2F6C0169" w14:textId="77777777" w:rsidR="0011475D" w:rsidRDefault="00677577" w:rsidP="00677577">
      <w:pPr>
        <w:rPr>
          <w:rFonts w:ascii="Aptos" w:eastAsia="Aptos" w:hAnsi="Aptos" w:cs="Times New Roman"/>
        </w:rPr>
      </w:pPr>
      <w:r w:rsidRPr="00B45F7C">
        <w:rPr>
          <w:rFonts w:ascii="Aptos" w:eastAsia="Aptos" w:hAnsi="Aptos" w:cs="Times New Roman"/>
        </w:rPr>
        <w:t>Employees and employers can also agree to tailored terms and conditions of employment for their enterprise through other workplace instruments, such as enterprise agreements and individual arrangements.</w:t>
      </w:r>
    </w:p>
    <w:p w14:paraId="78F08BB9" w14:textId="335A6F49" w:rsidR="00677577" w:rsidRPr="00B45F7C" w:rsidRDefault="00677577" w:rsidP="00677577">
      <w:pPr>
        <w:rPr>
          <w:rFonts w:ascii="Aptos" w:eastAsia="Aptos" w:hAnsi="Aptos" w:cs="Times New Roman"/>
        </w:rPr>
      </w:pPr>
      <w:r w:rsidRPr="00B45F7C">
        <w:rPr>
          <w:rFonts w:ascii="Aptos" w:eastAsia="Aptos" w:hAnsi="Aptos" w:cs="Times New Roman"/>
        </w:rPr>
        <w:t>Modern awards, enterprise agreements, and employment contracts cannot exclude or provide less beneficial conditions than the NES.</w:t>
      </w:r>
      <w:r w:rsidRPr="00B45F7C">
        <w:rPr>
          <w:rFonts w:ascii="Aptos" w:eastAsia="Aptos" w:hAnsi="Aptos" w:cs="Times New Roman"/>
          <w:vertAlign w:val="superscript"/>
        </w:rPr>
        <w:footnoteReference w:id="1420"/>
      </w:r>
    </w:p>
    <w:p w14:paraId="3F2D3E8E" w14:textId="77777777" w:rsidR="00677577" w:rsidRPr="00B45F7C" w:rsidRDefault="00677577" w:rsidP="00677577">
      <w:pPr>
        <w:rPr>
          <w:rFonts w:ascii="Aptos" w:eastAsia="Aptos" w:hAnsi="Aptos" w:cs="Times New Roman"/>
          <w:lang w:val="en-GB"/>
        </w:rPr>
      </w:pPr>
      <w:r w:rsidRPr="00B45F7C">
        <w:rPr>
          <w:rFonts w:ascii="Aptos" w:eastAsia="Aptos" w:hAnsi="Aptos" w:cs="Times New Roman"/>
          <w:lang w:val="en-GB"/>
        </w:rPr>
        <w:t>The FWC has a role in promoting cooperative and productive workplace relations and preventing disputes.</w:t>
      </w:r>
      <w:r w:rsidRPr="00B45F7C">
        <w:rPr>
          <w:rFonts w:ascii="Aptos" w:eastAsia="Aptos" w:hAnsi="Aptos" w:cs="Times New Roman"/>
          <w:vertAlign w:val="superscript"/>
          <w:lang w:val="en-GB"/>
        </w:rPr>
        <w:footnoteReference w:id="1421"/>
      </w:r>
      <w:r w:rsidRPr="00B45F7C">
        <w:rPr>
          <w:rFonts w:ascii="Aptos" w:eastAsia="Aptos" w:hAnsi="Aptos" w:cs="Times New Roman"/>
          <w:lang w:val="en-GB"/>
        </w:rPr>
        <w:t xml:space="preserve"> The FWC, amongst other things, sets and maintains the terms and conditions in modern awards, including hearing applications to vary modern awards; deals with workplace disputes; approves, varies and terminates enterprise agreements; and issues entry permits and regulates registered organisations. </w:t>
      </w:r>
      <w:r w:rsidRPr="00B45F7C">
        <w:rPr>
          <w:rFonts w:ascii="Aptos" w:eastAsia="Aptos" w:hAnsi="Aptos" w:cs="Times New Roman"/>
        </w:rPr>
        <w:t>The FWC can also undertake or commission research to inform itself in relation to a matter before it.</w:t>
      </w:r>
    </w:p>
    <w:p w14:paraId="1B046C33" w14:textId="5A7EC0A7" w:rsidR="000A0EB4" w:rsidRDefault="00677577" w:rsidP="007C79C4">
      <w:r w:rsidRPr="00B45F7C">
        <w:rPr>
          <w:rFonts w:ascii="Aptos" w:eastAsia="Aptos" w:hAnsi="Aptos" w:cs="Times New Roman"/>
        </w:rPr>
        <w:t>The FWO promotes harmonious, productive, cooperative and compliant workplace relations, as well as monitoring, inquiring into, investigating and enforcing compliance with Australia’s workplace laws.</w:t>
      </w:r>
      <w:r w:rsidRPr="00B45F7C">
        <w:rPr>
          <w:rFonts w:ascii="Aptos" w:eastAsia="Aptos" w:hAnsi="Aptos" w:cs="Times New Roman"/>
          <w:vertAlign w:val="superscript"/>
        </w:rPr>
        <w:footnoteReference w:id="1422"/>
      </w:r>
      <w:r w:rsidRPr="00B45F7C">
        <w:rPr>
          <w:rFonts w:ascii="Aptos" w:eastAsia="Aptos" w:hAnsi="Aptos" w:cs="Times New Roman"/>
        </w:rPr>
        <w:t xml:space="preserve"> The FWO provides information and advice to employees and employers about workplace rights and entitlements. The FWO also enforces workplace laws (through the courts or the FWC) and seeks penalties for breaches of workplace laws.</w:t>
      </w:r>
    </w:p>
    <w:sectPr w:rsidR="000A0EB4" w:rsidSect="00A339C9">
      <w:pgSz w:w="11906" w:h="16838"/>
      <w:pgMar w:top="1440" w:right="1304" w:bottom="1440" w:left="1304" w:header="709" w:footer="737"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397CD" w14:textId="77777777" w:rsidR="00B13EE2" w:rsidRDefault="00B13EE2" w:rsidP="000A6228">
      <w:pPr>
        <w:spacing w:after="0" w:line="240" w:lineRule="auto"/>
      </w:pPr>
      <w:r>
        <w:separator/>
      </w:r>
    </w:p>
  </w:endnote>
  <w:endnote w:type="continuationSeparator" w:id="0">
    <w:p w14:paraId="5EF1A5CF" w14:textId="77777777" w:rsidR="00B13EE2" w:rsidRDefault="00B13EE2" w:rsidP="000A6228">
      <w:pPr>
        <w:spacing w:after="0" w:line="240" w:lineRule="auto"/>
      </w:pPr>
      <w:r>
        <w:continuationSeparator/>
      </w:r>
    </w:p>
  </w:endnote>
  <w:endnote w:type="continuationNotice" w:id="1">
    <w:p w14:paraId="0DCE7CD7" w14:textId="77777777" w:rsidR="00B13EE2" w:rsidRDefault="00B13E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Lato">
    <w:charset w:val="00"/>
    <w:family w:val="swiss"/>
    <w:pitch w:val="variable"/>
    <w:sig w:usb0="E10002FF" w:usb1="5000ECFF" w:usb2="00000021" w:usb3="00000000" w:csb0="0000019F" w:csb1="00000000"/>
  </w:font>
  <w:font w:name="Sitka Display Semibold">
    <w:panose1 w:val="00000000000000000000"/>
    <w:charset w:val="00"/>
    <w:family w:val="auto"/>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Aptos Narrow">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D9EA6" w14:textId="1CCA982C" w:rsidR="00677577" w:rsidRPr="00ED0754" w:rsidRDefault="00677577" w:rsidP="00ED07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0239607"/>
      <w:docPartObj>
        <w:docPartGallery w:val="Page Numbers (Bottom of Page)"/>
        <w:docPartUnique/>
      </w:docPartObj>
    </w:sdtPr>
    <w:sdtEndPr>
      <w:rPr>
        <w:noProof/>
      </w:rPr>
    </w:sdtEndPr>
    <w:sdtContent>
      <w:p w14:paraId="3D79220E" w14:textId="77777777" w:rsidR="00ED0754" w:rsidRDefault="00ED075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1C352C" w14:textId="77777777" w:rsidR="00ED0754" w:rsidRDefault="00ED07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D2181" w14:textId="77777777" w:rsidR="00B13EE2" w:rsidRDefault="00B13EE2" w:rsidP="000A6228">
      <w:pPr>
        <w:spacing w:after="0" w:line="240" w:lineRule="auto"/>
      </w:pPr>
      <w:r>
        <w:separator/>
      </w:r>
    </w:p>
  </w:footnote>
  <w:footnote w:type="continuationSeparator" w:id="0">
    <w:p w14:paraId="39564D0A" w14:textId="77777777" w:rsidR="00B13EE2" w:rsidRDefault="00B13EE2" w:rsidP="000A6228">
      <w:pPr>
        <w:spacing w:after="0" w:line="240" w:lineRule="auto"/>
      </w:pPr>
      <w:r>
        <w:continuationSeparator/>
      </w:r>
    </w:p>
  </w:footnote>
  <w:footnote w:type="continuationNotice" w:id="1">
    <w:p w14:paraId="3C0A8174" w14:textId="77777777" w:rsidR="00B13EE2" w:rsidRDefault="00B13EE2">
      <w:pPr>
        <w:spacing w:after="0" w:line="240" w:lineRule="auto"/>
      </w:pPr>
    </w:p>
  </w:footnote>
  <w:footnote w:id="2">
    <w:p w14:paraId="1CFAC079" w14:textId="77777777" w:rsidR="00D82BD0" w:rsidRPr="00A03B67" w:rsidRDefault="00D82BD0" w:rsidP="00D82BD0">
      <w:pPr>
        <w:pStyle w:val="FootnoteText"/>
      </w:pPr>
      <w:r w:rsidRPr="00A03B67">
        <w:rPr>
          <w:rStyle w:val="FootnoteReference"/>
        </w:rPr>
        <w:footnoteRef/>
      </w:r>
      <w:r w:rsidRPr="00A03B67">
        <w:t xml:space="preserve"> A detailed recent history of the workplace relations settings that led to the Labor government’s introduction of the Fair Work Act in 2009 is set out in M Bray and A Stewart, ‘What is Distinctive about the Fair Work Regime?’ (2013) 26(1) </w:t>
      </w:r>
      <w:r w:rsidRPr="00A03B67">
        <w:rPr>
          <w:i/>
          <w:iCs/>
        </w:rPr>
        <w:t>Australian Journal of Labour Law</w:t>
      </w:r>
      <w:r w:rsidRPr="00A03B67">
        <w:t xml:space="preserve"> 21.</w:t>
      </w:r>
    </w:p>
  </w:footnote>
  <w:footnote w:id="3">
    <w:p w14:paraId="5AB6AB89" w14:textId="7195EB85" w:rsidR="00D82BD0" w:rsidRPr="00A03B67" w:rsidRDefault="00D82BD0" w:rsidP="00D82BD0">
      <w:pPr>
        <w:pStyle w:val="FootnoteText"/>
      </w:pPr>
      <w:r w:rsidRPr="00A03B67">
        <w:rPr>
          <w:rStyle w:val="FootnoteReference"/>
        </w:rPr>
        <w:footnoteRef/>
      </w:r>
      <w:r w:rsidRPr="00A03B67">
        <w:t>R McCallum, M Moore and J Edwards, ‘Towards more productive and equitable workplaces: An evaluation of the Fair Work legislation’ 2012 &lt;https://oia.pmc.gov.au/sites/default/files/posts/2012/08/03-Final-Fair-Work-PIR-for-publication-20120802.pdf&gt;.</w:t>
      </w:r>
    </w:p>
  </w:footnote>
  <w:footnote w:id="4">
    <w:p w14:paraId="2CDF8ED9" w14:textId="4EA806B8" w:rsidR="00D82BD0" w:rsidRPr="00A03B67" w:rsidRDefault="00D82BD0" w:rsidP="00D82BD0">
      <w:pPr>
        <w:pStyle w:val="FootnoteText"/>
      </w:pPr>
      <w:r w:rsidRPr="00A03B67">
        <w:rPr>
          <w:rStyle w:val="FootnoteReference"/>
        </w:rPr>
        <w:footnoteRef/>
      </w:r>
      <w:r w:rsidRPr="00A03B67">
        <w:t xml:space="preserve"> </w:t>
      </w:r>
      <w:r w:rsidR="004E1D59">
        <w:t xml:space="preserve"> </w:t>
      </w:r>
      <w:r w:rsidR="004E1D59" w:rsidRPr="004E1D59">
        <w:t xml:space="preserve">Senate Education and Employment Committee, Parliament of Australia, Inquiry into the </w:t>
      </w:r>
      <w:r w:rsidR="004E1D59" w:rsidRPr="00415B57">
        <w:t>Fair Work Legislation Amendment (Secure Jobs, Better Pay) Bill 2022</w:t>
      </w:r>
      <w:r w:rsidR="004E1D59" w:rsidRPr="004E1D59">
        <w:t xml:space="preserve">, Submission of the Australian Council of Trade Unions, </w:t>
      </w:r>
      <w:r w:rsidR="004E1D59" w:rsidRPr="00415B57">
        <w:t>Fair Work Legislation Amendment (Secure Jobs, Better Pay) Bill 2022</w:t>
      </w:r>
      <w:r w:rsidR="004E1D59" w:rsidRPr="00F619CF">
        <w:rPr>
          <w:i/>
          <w:iCs/>
        </w:rPr>
        <w:t xml:space="preserve"> </w:t>
      </w:r>
      <w:r w:rsidR="004E1D59" w:rsidRPr="004E1D59">
        <w:t>[Provisions] Submission No. 47, (November 2022) 4.</w:t>
      </w:r>
    </w:p>
  </w:footnote>
  <w:footnote w:id="5">
    <w:p w14:paraId="1777D9C6" w14:textId="309BB490" w:rsidR="00D82BD0" w:rsidRPr="00A03B67" w:rsidRDefault="00D82BD0" w:rsidP="00D82BD0">
      <w:pPr>
        <w:pStyle w:val="FootnoteText"/>
      </w:pPr>
      <w:r w:rsidRPr="00A03B67">
        <w:rPr>
          <w:rStyle w:val="FootnoteReference"/>
        </w:rPr>
        <w:footnoteRef/>
      </w:r>
      <w:r w:rsidRPr="00A03B67">
        <w:t xml:space="preserve"> </w:t>
      </w:r>
      <w:r w:rsidR="00F261E1" w:rsidRPr="00F261E1">
        <w:t>Senate Education and Employment Committee, Parliament of Australia, Inquiry into the Fair Work Legislation Amendment (Secure Jobs, Better Pay) Bill 2022, Submission of the Australian Council of Social Service, Fair Work Legislation Amendment (Secure Jobs, Better Pay) Bill 2022 [Provisions] Submission No. 52, (November 2022) 2.</w:t>
      </w:r>
    </w:p>
  </w:footnote>
  <w:footnote w:id="6">
    <w:p w14:paraId="6BEA4A95" w14:textId="38CC202A" w:rsidR="00D82BD0" w:rsidRPr="00A03B67" w:rsidRDefault="00D82BD0" w:rsidP="00D82BD0">
      <w:pPr>
        <w:pStyle w:val="FootnoteText"/>
      </w:pPr>
      <w:r w:rsidRPr="00A03B67">
        <w:rPr>
          <w:rStyle w:val="FootnoteReference"/>
        </w:rPr>
        <w:footnoteRef/>
      </w:r>
      <w:r w:rsidRPr="00A03B67">
        <w:t xml:space="preserve"> </w:t>
      </w:r>
      <w:r w:rsidR="0008689D" w:rsidRPr="0008689D">
        <w:t>Senate Education and Employment Committee, Parliament of Australia, Inquiry into the Fair Work Legislation Amendment (Secure Jobs, Better Pay) Bill 2022, Submission of the Minerals Council of Australia, Fair Work Legislation Amendment (Secure Jobs, Better Pay) Bill 2022 [Provisions] Submission No. 31, (November 2022) 2.</w:t>
      </w:r>
    </w:p>
  </w:footnote>
  <w:footnote w:id="7">
    <w:p w14:paraId="7B27D8D0" w14:textId="3066DA98" w:rsidR="00F72FCB" w:rsidRDefault="00F72FCB">
      <w:pPr>
        <w:pStyle w:val="FootnoteText"/>
      </w:pPr>
      <w:r>
        <w:rPr>
          <w:rStyle w:val="FootnoteReference"/>
        </w:rPr>
        <w:footnoteRef/>
      </w:r>
      <w:r>
        <w:t xml:space="preserve"> Business Council of Australia submission in response to draft report, 2.</w:t>
      </w:r>
    </w:p>
  </w:footnote>
  <w:footnote w:id="8">
    <w:p w14:paraId="163C252D" w14:textId="77777777" w:rsidR="00D82BD0" w:rsidRPr="00A03B67" w:rsidRDefault="00D82BD0" w:rsidP="00D82BD0">
      <w:pPr>
        <w:pStyle w:val="FootnoteText"/>
      </w:pPr>
      <w:r w:rsidRPr="00A03B67">
        <w:rPr>
          <w:rStyle w:val="FootnoteReference"/>
        </w:rPr>
        <w:footnoteRef/>
      </w:r>
      <w:r w:rsidRPr="00A03B67">
        <w:t xml:space="preserve"> </w:t>
      </w:r>
      <w:r w:rsidRPr="00A03B67">
        <w:rPr>
          <w:i/>
          <w:iCs/>
        </w:rPr>
        <w:t>Fair Work Legislation Amendment (Secure Jobs, Better Pay) Act 2022</w:t>
      </w:r>
      <w:r w:rsidRPr="00A03B67">
        <w:t xml:space="preserve"> (Cth) s 2.</w:t>
      </w:r>
    </w:p>
  </w:footnote>
  <w:footnote w:id="9">
    <w:p w14:paraId="1C6AEA52" w14:textId="3BB67371" w:rsidR="00D82BD0" w:rsidRPr="00A03B67" w:rsidRDefault="00D82BD0" w:rsidP="00D82BD0">
      <w:pPr>
        <w:pStyle w:val="FootnoteText"/>
      </w:pPr>
      <w:r w:rsidRPr="00A03B67">
        <w:rPr>
          <w:rStyle w:val="FootnoteReference"/>
        </w:rPr>
        <w:footnoteRef/>
      </w:r>
      <w:r w:rsidRPr="00A03B67">
        <w:t xml:space="preserve"> KJ Hancock, </w:t>
      </w:r>
      <w:r w:rsidRPr="00A03B67">
        <w:rPr>
          <w:i/>
          <w:iCs/>
        </w:rPr>
        <w:t xml:space="preserve">Australian Industrial Relations Law </w:t>
      </w:r>
      <w:r>
        <w:rPr>
          <w:i/>
          <w:iCs/>
        </w:rPr>
        <w:t>a</w:t>
      </w:r>
      <w:r w:rsidRPr="00A03B67">
        <w:rPr>
          <w:i/>
          <w:iCs/>
        </w:rPr>
        <w:t>nd Systems: Report of the Committee of Review</w:t>
      </w:r>
      <w:r w:rsidRPr="00A03B67">
        <w:t xml:space="preserve"> (AGPS, 1985) 414</w:t>
      </w:r>
      <w:r w:rsidRPr="00A03B67">
        <w:rPr>
          <w:rFonts w:ascii="Symbol" w:eastAsia="Symbol" w:hAnsi="Symbol" w:cs="Symbol"/>
        </w:rPr>
        <w:t>-</w:t>
      </w:r>
      <w:r w:rsidRPr="00A03B67">
        <w:t xml:space="preserve">439; see also J Romeyn, ‘The Role of Specialist Tribunals’ (1986) 28(1) </w:t>
      </w:r>
      <w:r w:rsidRPr="00A03B67">
        <w:rPr>
          <w:i/>
          <w:iCs/>
        </w:rPr>
        <w:t>Journal of Industrial Relations</w:t>
      </w:r>
      <w:r w:rsidRPr="00A03B67">
        <w:t xml:space="preserve"> 3</w:t>
      </w:r>
      <w:r w:rsidRPr="00A03B67">
        <w:rPr>
          <w:rFonts w:ascii="Symbol" w:eastAsia="Symbol" w:hAnsi="Symbol" w:cs="Symbol"/>
        </w:rPr>
        <w:t>-</w:t>
      </w:r>
      <w:r w:rsidRPr="00A03B67">
        <w:t>23.</w:t>
      </w:r>
    </w:p>
  </w:footnote>
  <w:footnote w:id="10">
    <w:p w14:paraId="4CABFD64" w14:textId="42DAB81F" w:rsidR="00D82BD0" w:rsidRPr="00A03B67" w:rsidRDefault="00D82BD0" w:rsidP="00D82BD0">
      <w:pPr>
        <w:pStyle w:val="FootnoteText"/>
      </w:pPr>
      <w:r w:rsidRPr="00A03B67">
        <w:rPr>
          <w:rStyle w:val="FootnoteReference"/>
        </w:rPr>
        <w:footnoteRef/>
      </w:r>
      <w:r w:rsidRPr="00A03B67">
        <w:t xml:space="preserve"> See </w:t>
      </w:r>
      <w:r w:rsidR="00B63DC1">
        <w:t xml:space="preserve">A </w:t>
      </w:r>
      <w:r w:rsidRPr="00A03B67">
        <w:t>Forsyth</w:t>
      </w:r>
      <w:r w:rsidR="00B63DC1">
        <w:t xml:space="preserve">, V </w:t>
      </w:r>
      <w:r w:rsidRPr="00A03B67">
        <w:t xml:space="preserve">Gostencnik, </w:t>
      </w:r>
      <w:r w:rsidR="00B63DC1">
        <w:t xml:space="preserve">I </w:t>
      </w:r>
      <w:r w:rsidRPr="00A03B67">
        <w:t>Ross</w:t>
      </w:r>
      <w:r w:rsidR="00B63DC1">
        <w:t xml:space="preserve"> </w:t>
      </w:r>
      <w:r>
        <w:t>and</w:t>
      </w:r>
      <w:r w:rsidRPr="00A03B67">
        <w:t xml:space="preserve"> </w:t>
      </w:r>
      <w:r w:rsidR="00B63DC1">
        <w:t xml:space="preserve">T </w:t>
      </w:r>
      <w:r w:rsidRPr="00A03B67">
        <w:t xml:space="preserve">Sharard, </w:t>
      </w:r>
      <w:r w:rsidRPr="00772590">
        <w:rPr>
          <w:i/>
          <w:iCs/>
        </w:rPr>
        <w:t xml:space="preserve">Workplace </w:t>
      </w:r>
      <w:r w:rsidR="00B63DC1">
        <w:rPr>
          <w:i/>
          <w:iCs/>
        </w:rPr>
        <w:t>R</w:t>
      </w:r>
      <w:r w:rsidRPr="00772590">
        <w:rPr>
          <w:i/>
          <w:iCs/>
        </w:rPr>
        <w:t xml:space="preserve">elations in the </w:t>
      </w:r>
      <w:r w:rsidR="00B63DC1">
        <w:rPr>
          <w:i/>
          <w:iCs/>
        </w:rPr>
        <w:t>B</w:t>
      </w:r>
      <w:r w:rsidRPr="00772590">
        <w:rPr>
          <w:i/>
          <w:iCs/>
        </w:rPr>
        <w:t xml:space="preserve">uilding and </w:t>
      </w:r>
      <w:r w:rsidR="00B63DC1">
        <w:rPr>
          <w:i/>
          <w:iCs/>
        </w:rPr>
        <w:t>C</w:t>
      </w:r>
      <w:r w:rsidRPr="00772590">
        <w:rPr>
          <w:i/>
          <w:iCs/>
        </w:rPr>
        <w:t xml:space="preserve">onstruction </w:t>
      </w:r>
      <w:r w:rsidR="00B63DC1">
        <w:rPr>
          <w:i/>
          <w:iCs/>
        </w:rPr>
        <w:t>I</w:t>
      </w:r>
      <w:r w:rsidRPr="00772590">
        <w:rPr>
          <w:i/>
          <w:iCs/>
        </w:rPr>
        <w:t>ndustry</w:t>
      </w:r>
      <w:r w:rsidR="00B63DC1">
        <w:t xml:space="preserve"> (</w:t>
      </w:r>
      <w:r w:rsidRPr="00A03B67">
        <w:t>LexisNexis Butterworths</w:t>
      </w:r>
      <w:r w:rsidR="00B63DC1">
        <w:t>,</w:t>
      </w:r>
      <w:r>
        <w:t xml:space="preserve"> </w:t>
      </w:r>
      <w:r w:rsidRPr="00A03B67">
        <w:t>2007).</w:t>
      </w:r>
    </w:p>
  </w:footnote>
  <w:footnote w:id="11">
    <w:p w14:paraId="7D24C89B" w14:textId="39F9BB4C" w:rsidR="00D82BD0" w:rsidRPr="00A03B67" w:rsidRDefault="00D82BD0" w:rsidP="00D82BD0">
      <w:pPr>
        <w:pStyle w:val="FootnoteText"/>
      </w:pPr>
      <w:r w:rsidRPr="00A03B67">
        <w:rPr>
          <w:rStyle w:val="FootnoteReference"/>
        </w:rPr>
        <w:footnoteRef/>
      </w:r>
      <w:r w:rsidRPr="00A03B67">
        <w:t xml:space="preserve"> Australian Government</w:t>
      </w:r>
      <w:r w:rsidR="00B63DC1">
        <w:t>,</w:t>
      </w:r>
      <w:r w:rsidRPr="00A03B67">
        <w:t xml:space="preserve"> </w:t>
      </w:r>
      <w:r w:rsidR="00B63DC1">
        <w:t>‘</w:t>
      </w:r>
      <w:r w:rsidRPr="00A03B67">
        <w:t xml:space="preserve">Work Choices: Employee </w:t>
      </w:r>
      <w:r w:rsidR="00B63DC1">
        <w:t>C</w:t>
      </w:r>
      <w:r w:rsidRPr="00A03B67">
        <w:t xml:space="preserve">ollective </w:t>
      </w:r>
      <w:r w:rsidR="00B63DC1">
        <w:t>A</w:t>
      </w:r>
      <w:r w:rsidRPr="00A03B67">
        <w:t>greements</w:t>
      </w:r>
      <w:r w:rsidR="00B63DC1">
        <w:t>’</w:t>
      </w:r>
      <w:r>
        <w:t xml:space="preserve"> </w:t>
      </w:r>
      <w:r w:rsidRPr="00A03B67">
        <w:t>(</w:t>
      </w:r>
      <w:r w:rsidR="00B63DC1">
        <w:t xml:space="preserve">Fact Sheet, </w:t>
      </w:r>
      <w:r w:rsidRPr="00A03B67">
        <w:t>2025) &lt;https://www.aph.gov.au/~/media/Estimates/Live/eet_ctte/estimates/bud_0607/dewr/w098-07att8.ashx&gt;.</w:t>
      </w:r>
    </w:p>
  </w:footnote>
  <w:footnote w:id="12">
    <w:p w14:paraId="0730D600" w14:textId="535063C0" w:rsidR="00D82BD0" w:rsidRPr="00A03B67" w:rsidRDefault="00D82BD0" w:rsidP="00D82BD0">
      <w:pPr>
        <w:pStyle w:val="FootnoteText"/>
      </w:pPr>
      <w:r w:rsidRPr="00A03B67">
        <w:rPr>
          <w:rStyle w:val="FootnoteReference"/>
        </w:rPr>
        <w:footnoteRef/>
      </w:r>
      <w:r w:rsidRPr="00A03B67">
        <w:t xml:space="preserve"> </w:t>
      </w:r>
      <w:r w:rsidR="00B63DC1">
        <w:t xml:space="preserve">P </w:t>
      </w:r>
      <w:r w:rsidRPr="00A03B67">
        <w:t xml:space="preserve">Waring, </w:t>
      </w:r>
      <w:r w:rsidR="00B63DC1">
        <w:t xml:space="preserve">A </w:t>
      </w:r>
      <w:r w:rsidRPr="00A03B67">
        <w:t>de Ruyter</w:t>
      </w:r>
      <w:r w:rsidR="00B63DC1">
        <w:t xml:space="preserve"> </w:t>
      </w:r>
      <w:r>
        <w:t>and</w:t>
      </w:r>
      <w:r w:rsidRPr="00A03B67">
        <w:t xml:space="preserve"> </w:t>
      </w:r>
      <w:r w:rsidR="00B63DC1">
        <w:t xml:space="preserve">J </w:t>
      </w:r>
      <w:r w:rsidRPr="00A03B67">
        <w:t>Burgess, ‘The Australian Fair Pay Commission: Rationale, Operation, Antecedents and Implications’ (2006</w:t>
      </w:r>
      <w:r>
        <w:t xml:space="preserve">) </w:t>
      </w:r>
      <w:r w:rsidRPr="00A03B67">
        <w:t>16(2)</w:t>
      </w:r>
      <w:r>
        <w:t xml:space="preserve"> </w:t>
      </w:r>
      <w:r w:rsidRPr="001110F6">
        <w:rPr>
          <w:i/>
          <w:iCs/>
        </w:rPr>
        <w:t>The Economic and Labour Relations Review</w:t>
      </w:r>
      <w:r w:rsidRPr="00A03B67">
        <w:t>, 127</w:t>
      </w:r>
      <w:r w:rsidR="00B63DC1">
        <w:rPr>
          <w:rFonts w:ascii="Symbol" w:eastAsia="Symbol" w:hAnsi="Symbol" w:cs="Symbol"/>
        </w:rPr>
        <w:t>-</w:t>
      </w:r>
      <w:r w:rsidRPr="00A03B67">
        <w:t>146.</w:t>
      </w:r>
    </w:p>
  </w:footnote>
  <w:footnote w:id="13">
    <w:p w14:paraId="778E82DB" w14:textId="77777777" w:rsidR="00D82BD0" w:rsidRPr="00A03B67" w:rsidRDefault="00D82BD0" w:rsidP="00D82BD0">
      <w:pPr>
        <w:pStyle w:val="FootnoteText"/>
      </w:pPr>
      <w:r w:rsidRPr="00A03B67">
        <w:rPr>
          <w:rStyle w:val="FootnoteReference"/>
        </w:rPr>
        <w:footnoteRef/>
      </w:r>
      <w:r w:rsidRPr="00A03B67">
        <w:t xml:space="preserve"> J Romeyn, ‘The Role of Specialist Tribunals’ (1986) 28(1) </w:t>
      </w:r>
      <w:r w:rsidRPr="00A03B67">
        <w:rPr>
          <w:i/>
          <w:iCs/>
        </w:rPr>
        <w:t>Journal of Industrial Relations</w:t>
      </w:r>
      <w:r w:rsidRPr="00A03B67">
        <w:t xml:space="preserve"> 3</w:t>
      </w:r>
      <w:r w:rsidRPr="00A03B67">
        <w:rPr>
          <w:rFonts w:ascii="Symbol" w:eastAsia="Symbol" w:hAnsi="Symbol" w:cs="Symbol"/>
        </w:rPr>
        <w:t>-</w:t>
      </w:r>
      <w:r w:rsidRPr="00A03B67">
        <w:t>23.</w:t>
      </w:r>
    </w:p>
  </w:footnote>
  <w:footnote w:id="14">
    <w:p w14:paraId="313F08FD" w14:textId="4E0FA6A0" w:rsidR="00D82BD0" w:rsidRPr="00A03B67" w:rsidRDefault="00D82BD0" w:rsidP="00D82BD0">
      <w:pPr>
        <w:pStyle w:val="FootnoteText"/>
      </w:pPr>
      <w:r w:rsidRPr="00A03B67">
        <w:rPr>
          <w:rStyle w:val="FootnoteReference"/>
        </w:rPr>
        <w:footnoteRef/>
      </w:r>
      <w:r w:rsidRPr="00A03B67">
        <w:t xml:space="preserve"> KJ Hancock, </w:t>
      </w:r>
      <w:r w:rsidRPr="00A03B67">
        <w:rPr>
          <w:i/>
          <w:iCs/>
        </w:rPr>
        <w:t xml:space="preserve">Australian Industrial Relations Law </w:t>
      </w:r>
      <w:r>
        <w:rPr>
          <w:i/>
          <w:iCs/>
        </w:rPr>
        <w:t>a</w:t>
      </w:r>
      <w:r w:rsidRPr="00A03B67">
        <w:rPr>
          <w:i/>
          <w:iCs/>
        </w:rPr>
        <w:t>nd Systems: Report of the Committee of Review</w:t>
      </w:r>
      <w:r w:rsidRPr="00A03B67">
        <w:t xml:space="preserve"> (AGPS, 1985).</w:t>
      </w:r>
    </w:p>
  </w:footnote>
  <w:footnote w:id="15">
    <w:p w14:paraId="5A48AE72" w14:textId="163E18FC" w:rsidR="00D82BD0" w:rsidRPr="00A03B67" w:rsidRDefault="00D82BD0" w:rsidP="00D82BD0">
      <w:pPr>
        <w:pStyle w:val="FootnoteText"/>
      </w:pPr>
      <w:r w:rsidRPr="00A03B67">
        <w:rPr>
          <w:rStyle w:val="FootnoteReference"/>
        </w:rPr>
        <w:footnoteRef/>
      </w:r>
      <w:r w:rsidRPr="00A03B67">
        <w:t xml:space="preserve"> KJ Hancock, </w:t>
      </w:r>
      <w:r w:rsidRPr="00A03B67">
        <w:rPr>
          <w:i/>
          <w:iCs/>
        </w:rPr>
        <w:t xml:space="preserve">Australian Industrial Relations Law </w:t>
      </w:r>
      <w:r>
        <w:rPr>
          <w:i/>
          <w:iCs/>
        </w:rPr>
        <w:t>a</w:t>
      </w:r>
      <w:r w:rsidRPr="00A03B67">
        <w:rPr>
          <w:i/>
          <w:iCs/>
        </w:rPr>
        <w:t>nd Systems: Report of the Committee of Review</w:t>
      </w:r>
      <w:r w:rsidRPr="00A03B67">
        <w:t xml:space="preserve"> (AGPS, 1985) 416</w:t>
      </w:r>
      <w:r w:rsidRPr="00A03B67">
        <w:rPr>
          <w:rFonts w:ascii="Symbol" w:eastAsia="Symbol" w:hAnsi="Symbol" w:cs="Symbol"/>
        </w:rPr>
        <w:t>-</w:t>
      </w:r>
      <w:r w:rsidRPr="00A03B67">
        <w:t>417.</w:t>
      </w:r>
    </w:p>
  </w:footnote>
  <w:footnote w:id="16">
    <w:p w14:paraId="315931C4" w14:textId="77777777" w:rsidR="00D82BD0" w:rsidRPr="00A03B67" w:rsidRDefault="00D82BD0" w:rsidP="00D82BD0">
      <w:pPr>
        <w:pStyle w:val="FootnoteText"/>
      </w:pPr>
      <w:r w:rsidRPr="00A03B67">
        <w:rPr>
          <w:rStyle w:val="FootnoteReference"/>
        </w:rPr>
        <w:footnoteRef/>
      </w:r>
      <w:r w:rsidRPr="00A03B67">
        <w:t xml:space="preserve"> N Gunningham, ‘Enforcement and Compliance Strategies’ in R Baldwin, M Cave and M Lodge (eds), </w:t>
      </w:r>
      <w:r w:rsidRPr="00A03B67">
        <w:rPr>
          <w:i/>
          <w:iCs/>
        </w:rPr>
        <w:t>The Oxford Handbook of Regulation</w:t>
      </w:r>
      <w:r w:rsidRPr="00A03B67">
        <w:t xml:space="preserve"> (Oxford University Press, 2011) 120</w:t>
      </w:r>
      <w:r w:rsidRPr="00A03B67">
        <w:rPr>
          <w:rFonts w:ascii="Symbol" w:eastAsia="Symbol" w:hAnsi="Symbol" w:cs="Symbol"/>
        </w:rPr>
        <w:t>-</w:t>
      </w:r>
      <w:r w:rsidRPr="00A03B67">
        <w:t>145.</w:t>
      </w:r>
    </w:p>
  </w:footnote>
  <w:footnote w:id="17">
    <w:p w14:paraId="45D70AB0" w14:textId="77777777" w:rsidR="00D82BD0" w:rsidRPr="00A03B67" w:rsidRDefault="00D82BD0" w:rsidP="00D82BD0">
      <w:pPr>
        <w:pStyle w:val="FootnoteText"/>
      </w:pPr>
      <w:r w:rsidRPr="00A03B67">
        <w:rPr>
          <w:rStyle w:val="FootnoteReference"/>
        </w:rPr>
        <w:footnoteRef/>
      </w:r>
      <w:r w:rsidRPr="00A03B67">
        <w:t xml:space="preserve"> N Gunningham, ‘Enforcement and Compliance Strategies’ in R Baldwin, M Cave and M Lodge (eds), </w:t>
      </w:r>
      <w:r w:rsidRPr="00A03B67">
        <w:rPr>
          <w:i/>
          <w:iCs/>
        </w:rPr>
        <w:t>The Oxford Handbook of Regulation</w:t>
      </w:r>
      <w:r w:rsidRPr="00A03B67">
        <w:t xml:space="preserve"> (Oxford University Press, 2011) 121.</w:t>
      </w:r>
    </w:p>
  </w:footnote>
  <w:footnote w:id="18">
    <w:p w14:paraId="65C1DDA6" w14:textId="11418202" w:rsidR="00D82BD0" w:rsidRPr="00A03B67" w:rsidRDefault="00D82BD0" w:rsidP="00D82BD0">
      <w:pPr>
        <w:pStyle w:val="FootnoteText"/>
      </w:pPr>
      <w:r w:rsidRPr="00A03B67">
        <w:rPr>
          <w:rStyle w:val="FootnoteReference"/>
        </w:rPr>
        <w:footnoteRef/>
      </w:r>
      <w:r w:rsidR="004A1003">
        <w:t xml:space="preserve"> </w:t>
      </w:r>
      <w:r w:rsidRPr="00A03B67">
        <w:t xml:space="preserve">N Gunningham, ‘Enforcement and Compliance Strategies’ in R Baldwin, M Cave and M Lodge (eds), </w:t>
      </w:r>
      <w:r w:rsidRPr="00A03B67">
        <w:rPr>
          <w:i/>
          <w:iCs/>
        </w:rPr>
        <w:t>The Oxford Handbook of Regulation</w:t>
      </w:r>
      <w:r w:rsidRPr="00A03B67">
        <w:t xml:space="preserve"> (Oxford University Press, 2011) 121.</w:t>
      </w:r>
    </w:p>
  </w:footnote>
  <w:footnote w:id="19">
    <w:p w14:paraId="59610FBB" w14:textId="77777777" w:rsidR="00D82BD0" w:rsidRPr="00A03B67" w:rsidRDefault="00D82BD0" w:rsidP="00D82BD0">
      <w:pPr>
        <w:pStyle w:val="FootnoteText"/>
      </w:pPr>
      <w:r w:rsidRPr="00A03B67">
        <w:rPr>
          <w:rStyle w:val="FootnoteReference"/>
        </w:rPr>
        <w:footnoteRef/>
      </w:r>
      <w:r w:rsidRPr="00A03B67">
        <w:t xml:space="preserve"> I Ayres and J Braithwaite, </w:t>
      </w:r>
      <w:r w:rsidRPr="00A03B67">
        <w:rPr>
          <w:i/>
          <w:iCs/>
        </w:rPr>
        <w:t>Responsive Regulation: Transcending the Deregulation Debate</w:t>
      </w:r>
      <w:r w:rsidRPr="00A03B67">
        <w:t xml:space="preserve"> (Oxford University Press, 1992).</w:t>
      </w:r>
    </w:p>
  </w:footnote>
  <w:footnote w:id="20">
    <w:p w14:paraId="7BA55E62" w14:textId="77777777" w:rsidR="00D82BD0" w:rsidRPr="00A03B67" w:rsidRDefault="00D82BD0" w:rsidP="00D82BD0">
      <w:pPr>
        <w:pStyle w:val="FootnoteText"/>
      </w:pPr>
      <w:r w:rsidRPr="00A03B67">
        <w:rPr>
          <w:rStyle w:val="FootnoteReference"/>
        </w:rPr>
        <w:footnoteRef/>
      </w:r>
      <w:r w:rsidRPr="00A03B67">
        <w:t xml:space="preserve"> I Ayres and J Braithwaite, </w:t>
      </w:r>
      <w:r w:rsidRPr="00A03B67">
        <w:rPr>
          <w:i/>
          <w:iCs/>
        </w:rPr>
        <w:t>Responsive Regulation: Transcending the Deregulation Debate</w:t>
      </w:r>
      <w:r w:rsidRPr="00A03B67">
        <w:t xml:space="preserve"> (Oxford University Press, 1992) 35.</w:t>
      </w:r>
    </w:p>
  </w:footnote>
  <w:footnote w:id="21">
    <w:p w14:paraId="1222D38F" w14:textId="1EA11CC2" w:rsidR="00D82BD0" w:rsidRPr="00A03B67" w:rsidRDefault="00D82BD0" w:rsidP="00D82BD0">
      <w:pPr>
        <w:pStyle w:val="FootnoteText"/>
      </w:pPr>
      <w:r w:rsidRPr="00A03B67">
        <w:rPr>
          <w:rStyle w:val="FootnoteReference"/>
        </w:rPr>
        <w:footnoteRef/>
      </w:r>
      <w:r w:rsidRPr="00A03B67">
        <w:t xml:space="preserve"> </w:t>
      </w:r>
      <w:r w:rsidRPr="00A03B67">
        <w:rPr>
          <w:i/>
          <w:iCs/>
        </w:rPr>
        <w:t xml:space="preserve">Fair Work Legislation Amendment (Secure Jobs, Better Pay) </w:t>
      </w:r>
      <w:r>
        <w:rPr>
          <w:i/>
          <w:iCs/>
        </w:rPr>
        <w:t>Act</w:t>
      </w:r>
      <w:r w:rsidRPr="00A03B67">
        <w:rPr>
          <w:i/>
          <w:iCs/>
        </w:rPr>
        <w:t xml:space="preserve"> 202</w:t>
      </w:r>
      <w:r>
        <w:rPr>
          <w:i/>
          <w:iCs/>
        </w:rPr>
        <w:t>3</w:t>
      </w:r>
      <w:r>
        <w:t xml:space="preserve"> </w:t>
      </w:r>
      <w:r w:rsidR="00B63DC1">
        <w:t xml:space="preserve">(Cth) </w:t>
      </w:r>
      <w:r>
        <w:t>Part 3, Schedule 1.</w:t>
      </w:r>
    </w:p>
  </w:footnote>
  <w:footnote w:id="22">
    <w:p w14:paraId="5D1AD576" w14:textId="33FE6A9C" w:rsidR="00D82BD0" w:rsidRPr="00A03B67" w:rsidRDefault="00D82BD0" w:rsidP="00D82BD0">
      <w:pPr>
        <w:pStyle w:val="FootnoteText"/>
      </w:pPr>
      <w:r w:rsidRPr="00A03B67">
        <w:rPr>
          <w:rStyle w:val="FootnoteReference"/>
        </w:rPr>
        <w:footnoteRef/>
      </w:r>
      <w:r w:rsidRPr="00A03B67">
        <w:t xml:space="preserve"> </w:t>
      </w:r>
      <w:r w:rsidRPr="00A03B67">
        <w:rPr>
          <w:i/>
          <w:iCs/>
        </w:rPr>
        <w:t xml:space="preserve">Fair Work Legislation Amendment (Secure Jobs, Better Pay) </w:t>
      </w:r>
      <w:r>
        <w:rPr>
          <w:i/>
          <w:iCs/>
        </w:rPr>
        <w:t>Act</w:t>
      </w:r>
      <w:r w:rsidRPr="00A03B67">
        <w:rPr>
          <w:i/>
          <w:iCs/>
        </w:rPr>
        <w:t xml:space="preserve"> 202</w:t>
      </w:r>
      <w:r>
        <w:rPr>
          <w:i/>
          <w:iCs/>
        </w:rPr>
        <w:t>3</w:t>
      </w:r>
      <w:r>
        <w:t xml:space="preserve"> </w:t>
      </w:r>
      <w:r w:rsidR="00B63DC1">
        <w:t xml:space="preserve">(Cth) </w:t>
      </w:r>
      <w:r>
        <w:t>Part 3, Schedule 1, Division 1.</w:t>
      </w:r>
    </w:p>
  </w:footnote>
  <w:footnote w:id="23">
    <w:p w14:paraId="697BF8C4" w14:textId="77777777" w:rsidR="00D82BD0" w:rsidRPr="00A03B67" w:rsidRDefault="00D82BD0" w:rsidP="00D82BD0">
      <w:pPr>
        <w:pStyle w:val="FootnoteText"/>
      </w:pPr>
      <w:r w:rsidRPr="00A03B67">
        <w:rPr>
          <w:rStyle w:val="FootnoteReference"/>
        </w:rPr>
        <w:footnoteRef/>
      </w:r>
      <w:r w:rsidRPr="00A03B67">
        <w:t xml:space="preserve"> </w:t>
      </w:r>
      <w:r w:rsidRPr="00A03B67">
        <w:rPr>
          <w:i/>
          <w:iCs/>
        </w:rPr>
        <w:t>Fair Work Act 2009</w:t>
      </w:r>
      <w:r w:rsidRPr="00A03B67">
        <w:t xml:space="preserve"> (Cth) s 712AA (2).</w:t>
      </w:r>
    </w:p>
  </w:footnote>
  <w:footnote w:id="24">
    <w:p w14:paraId="54035C6E" w14:textId="77777777" w:rsidR="00D82BD0" w:rsidRPr="00A03B67" w:rsidRDefault="00D82BD0" w:rsidP="00D82BD0">
      <w:pPr>
        <w:pStyle w:val="FootnoteText"/>
      </w:pPr>
      <w:r w:rsidRPr="00A03B67">
        <w:rPr>
          <w:rStyle w:val="FootnoteReference"/>
        </w:rPr>
        <w:footnoteRef/>
      </w:r>
      <w:r w:rsidRPr="00A03B67" w:rsidDel="008F24EF">
        <w:t xml:space="preserve"> </w:t>
      </w:r>
      <w:r w:rsidRPr="00A03B67">
        <w:rPr>
          <w:i/>
          <w:iCs/>
        </w:rPr>
        <w:t>Building and Construction (Improving Productivity) Act 2016</w:t>
      </w:r>
      <w:r w:rsidRPr="00A03B67">
        <w:t xml:space="preserve"> (Cth) s 61B.</w:t>
      </w:r>
    </w:p>
  </w:footnote>
  <w:footnote w:id="25">
    <w:p w14:paraId="1FFDD103" w14:textId="77777777" w:rsidR="00D82BD0" w:rsidRPr="00A03B67" w:rsidRDefault="00D82BD0" w:rsidP="00D82BD0">
      <w:pPr>
        <w:pStyle w:val="FootnoteText"/>
      </w:pPr>
      <w:r w:rsidRPr="00A03B67">
        <w:rPr>
          <w:rStyle w:val="FootnoteReference"/>
        </w:rPr>
        <w:footnoteRef/>
      </w:r>
      <w:r w:rsidRPr="00A03B67">
        <w:t xml:space="preserve"> </w:t>
      </w:r>
      <w:r w:rsidRPr="00A03B67">
        <w:rPr>
          <w:i/>
          <w:iCs/>
        </w:rPr>
        <w:t>Fair Work Act 2009</w:t>
      </w:r>
      <w:r w:rsidRPr="00A03B67">
        <w:t xml:space="preserve"> (Cth) s 712AA.</w:t>
      </w:r>
    </w:p>
  </w:footnote>
  <w:footnote w:id="26">
    <w:p w14:paraId="67482CE4" w14:textId="77777777" w:rsidR="00D82BD0" w:rsidRPr="00A03B67" w:rsidRDefault="00D82BD0" w:rsidP="00D82BD0">
      <w:pPr>
        <w:pStyle w:val="FootnoteText"/>
      </w:pPr>
      <w:r w:rsidRPr="00A03B67">
        <w:rPr>
          <w:rStyle w:val="FootnoteReference"/>
        </w:rPr>
        <w:footnoteRef/>
      </w:r>
      <w:r w:rsidRPr="00A03B67">
        <w:t xml:space="preserve"> </w:t>
      </w:r>
      <w:r w:rsidRPr="00A03B67">
        <w:rPr>
          <w:i/>
          <w:iCs/>
        </w:rPr>
        <w:t>Building and Construction (Improving Productivity) Act 2016</w:t>
      </w:r>
      <w:r w:rsidRPr="00A03B67">
        <w:t xml:space="preserve"> (Cth) s 61B.</w:t>
      </w:r>
    </w:p>
  </w:footnote>
  <w:footnote w:id="27">
    <w:p w14:paraId="56EF07A2" w14:textId="77777777" w:rsidR="00D82BD0" w:rsidRPr="00A03B67" w:rsidRDefault="00D82BD0" w:rsidP="00D82BD0">
      <w:pPr>
        <w:pStyle w:val="FootnoteText"/>
      </w:pPr>
      <w:r w:rsidRPr="00A03B67">
        <w:rPr>
          <w:rStyle w:val="FootnoteReference"/>
        </w:rPr>
        <w:footnoteRef/>
      </w:r>
      <w:r w:rsidRPr="00A03B67">
        <w:t xml:space="preserve"> </w:t>
      </w:r>
      <w:r w:rsidRPr="00A03B67">
        <w:rPr>
          <w:i/>
          <w:iCs/>
        </w:rPr>
        <w:t>Fair Work Act 2009</w:t>
      </w:r>
      <w:r w:rsidRPr="00A03B67">
        <w:t xml:space="preserve"> (Cth) s 716(1).</w:t>
      </w:r>
    </w:p>
  </w:footnote>
  <w:footnote w:id="28">
    <w:p w14:paraId="2B04C5C4" w14:textId="77777777" w:rsidR="00D82BD0" w:rsidRPr="00A03B67" w:rsidRDefault="00D82BD0" w:rsidP="00D82BD0">
      <w:pPr>
        <w:pStyle w:val="FootnoteText"/>
      </w:pPr>
      <w:r w:rsidRPr="00A03B67">
        <w:rPr>
          <w:rStyle w:val="FootnoteReference"/>
        </w:rPr>
        <w:footnoteRef/>
      </w:r>
      <w:r w:rsidRPr="00A03B67">
        <w:t xml:space="preserve"> </w:t>
      </w:r>
      <w:r w:rsidRPr="00A03B67">
        <w:rPr>
          <w:i/>
          <w:iCs/>
        </w:rPr>
        <w:t>Building and Construction (Improving Productivity) Act 2016</w:t>
      </w:r>
      <w:r w:rsidRPr="00A03B67">
        <w:t xml:space="preserve"> (Cth) s 99.</w:t>
      </w:r>
    </w:p>
  </w:footnote>
  <w:footnote w:id="29">
    <w:p w14:paraId="7123C9F7" w14:textId="424CBAA3" w:rsidR="00D82BD0" w:rsidRPr="00A03B67" w:rsidRDefault="00D82BD0" w:rsidP="00D82BD0">
      <w:pPr>
        <w:pStyle w:val="FootnoteText"/>
      </w:pPr>
      <w:r w:rsidRPr="00A03B67">
        <w:rPr>
          <w:rStyle w:val="FootnoteReference"/>
        </w:rPr>
        <w:footnoteRef/>
      </w:r>
      <w:r w:rsidRPr="00A03B67">
        <w:t xml:space="preserve"> </w:t>
      </w:r>
      <w:r w:rsidRPr="00A03B67">
        <w:rPr>
          <w:i/>
          <w:iCs/>
        </w:rPr>
        <w:t>Fair Work Act 2009</w:t>
      </w:r>
      <w:r w:rsidRPr="00A03B67">
        <w:t xml:space="preserve"> (Cth) s 708.</w:t>
      </w:r>
    </w:p>
  </w:footnote>
  <w:footnote w:id="30">
    <w:p w14:paraId="0507F9CD" w14:textId="77777777" w:rsidR="00D82BD0" w:rsidRPr="00A03B67" w:rsidRDefault="00D82BD0" w:rsidP="00D82BD0">
      <w:pPr>
        <w:pStyle w:val="FootnoteText"/>
      </w:pPr>
      <w:r w:rsidRPr="00A03B67">
        <w:rPr>
          <w:rStyle w:val="FootnoteReference"/>
        </w:rPr>
        <w:footnoteRef/>
      </w:r>
      <w:r w:rsidRPr="00A03B67">
        <w:t xml:space="preserve"> </w:t>
      </w:r>
      <w:r w:rsidRPr="00A03B67">
        <w:rPr>
          <w:i/>
          <w:iCs/>
        </w:rPr>
        <w:t>Building and Construction (Improving Productivity) Act 2016</w:t>
      </w:r>
      <w:r w:rsidRPr="00A03B67">
        <w:t xml:space="preserve"> (Cth) s 72.</w:t>
      </w:r>
    </w:p>
  </w:footnote>
  <w:footnote w:id="31">
    <w:p w14:paraId="1E06E4B2" w14:textId="77777777" w:rsidR="00D82BD0" w:rsidRPr="00A03B67" w:rsidRDefault="00D82BD0" w:rsidP="00D82BD0">
      <w:pPr>
        <w:pStyle w:val="FootnoteText"/>
      </w:pPr>
      <w:r w:rsidRPr="00A03B67">
        <w:rPr>
          <w:rStyle w:val="FootnoteReference"/>
        </w:rPr>
        <w:footnoteRef/>
      </w:r>
      <w:r w:rsidRPr="00A03B67" w:rsidDel="00694D93">
        <w:t xml:space="preserve"> </w:t>
      </w:r>
      <w:r w:rsidRPr="00A03B67">
        <w:rPr>
          <w:i/>
          <w:iCs/>
        </w:rPr>
        <w:t>Building and Construction (Improving Productivity) Act 2016</w:t>
      </w:r>
      <w:r w:rsidRPr="00A03B67">
        <w:t xml:space="preserve"> (Cth) s 109.</w:t>
      </w:r>
    </w:p>
  </w:footnote>
  <w:footnote w:id="32">
    <w:p w14:paraId="0980557D" w14:textId="77777777" w:rsidR="00D82BD0" w:rsidRPr="00A03B67" w:rsidRDefault="00D82BD0" w:rsidP="00D82BD0">
      <w:pPr>
        <w:pStyle w:val="FootnoteText"/>
      </w:pPr>
      <w:r w:rsidRPr="00A03B67">
        <w:rPr>
          <w:rStyle w:val="FootnoteReference"/>
        </w:rPr>
        <w:footnoteRef/>
      </w:r>
      <w:r w:rsidRPr="00A03B67" w:rsidDel="00694D93">
        <w:t xml:space="preserve"> </w:t>
      </w:r>
      <w:r w:rsidRPr="00A03B67">
        <w:rPr>
          <w:i/>
          <w:iCs/>
        </w:rPr>
        <w:t>Building and Construction (Improving Productivity) Act 2016</w:t>
      </w:r>
      <w:r w:rsidRPr="00A03B67">
        <w:t xml:space="preserve"> (Cth) s 110(1).</w:t>
      </w:r>
    </w:p>
  </w:footnote>
  <w:footnote w:id="33">
    <w:p w14:paraId="1B5C4134" w14:textId="77777777" w:rsidR="00D82BD0" w:rsidRPr="00A03B67" w:rsidRDefault="00D82BD0" w:rsidP="00D82BD0">
      <w:pPr>
        <w:pStyle w:val="FootnoteText"/>
      </w:pPr>
      <w:r w:rsidRPr="00A03B67">
        <w:rPr>
          <w:rStyle w:val="FootnoteReference"/>
        </w:rPr>
        <w:footnoteRef/>
      </w:r>
      <w:r w:rsidRPr="00A03B67">
        <w:t xml:space="preserve"> </w:t>
      </w:r>
      <w:r w:rsidRPr="00A03B67">
        <w:rPr>
          <w:i/>
          <w:iCs/>
        </w:rPr>
        <w:t>Fair Work Act 2009</w:t>
      </w:r>
      <w:r w:rsidRPr="00A03B67">
        <w:t xml:space="preserve"> (Cth) s 569.</w:t>
      </w:r>
    </w:p>
  </w:footnote>
  <w:footnote w:id="34">
    <w:p w14:paraId="3D3E227C" w14:textId="77777777" w:rsidR="00D82BD0" w:rsidRPr="00A03B67" w:rsidRDefault="00D82BD0" w:rsidP="00D82BD0">
      <w:pPr>
        <w:pStyle w:val="FootnoteText"/>
      </w:pPr>
      <w:r w:rsidRPr="00A03B67">
        <w:rPr>
          <w:rStyle w:val="FootnoteReference"/>
        </w:rPr>
        <w:footnoteRef/>
      </w:r>
      <w:r w:rsidRPr="00A03B67">
        <w:t xml:space="preserve"> </w:t>
      </w:r>
      <w:r w:rsidRPr="00A03B67">
        <w:rPr>
          <w:i/>
          <w:iCs/>
        </w:rPr>
        <w:t>Building and Construction (Improving Productivity) Act 2016</w:t>
      </w:r>
      <w:r w:rsidRPr="00A03B67">
        <w:t xml:space="preserve"> (Cth) s 108.</w:t>
      </w:r>
    </w:p>
  </w:footnote>
  <w:footnote w:id="35">
    <w:p w14:paraId="13BDCA8A" w14:textId="77777777" w:rsidR="00D82BD0" w:rsidRPr="00A03B67" w:rsidRDefault="00D82BD0" w:rsidP="00D82BD0">
      <w:pPr>
        <w:pStyle w:val="FootnoteText"/>
      </w:pPr>
      <w:r w:rsidRPr="00A03B67">
        <w:rPr>
          <w:rStyle w:val="FootnoteReference"/>
        </w:rPr>
        <w:footnoteRef/>
      </w:r>
      <w:r w:rsidRPr="00A03B67">
        <w:t xml:space="preserve"> </w:t>
      </w:r>
      <w:r w:rsidRPr="00A03B67">
        <w:rPr>
          <w:i/>
          <w:iCs/>
        </w:rPr>
        <w:t>Building and Construction (Improving Productivity) Act 2016</w:t>
      </w:r>
      <w:r w:rsidRPr="00A03B67">
        <w:t xml:space="preserve"> (Cth) s 102; </w:t>
      </w:r>
      <w:r w:rsidRPr="00A03B67">
        <w:rPr>
          <w:i/>
          <w:iCs/>
        </w:rPr>
        <w:t>Fair Work Act 2009</w:t>
      </w:r>
      <w:r w:rsidRPr="00A03B67">
        <w:t xml:space="preserve"> (Cth) s 713.</w:t>
      </w:r>
    </w:p>
  </w:footnote>
  <w:footnote w:id="36">
    <w:p w14:paraId="730FBB4A" w14:textId="77777777" w:rsidR="00D82BD0" w:rsidRPr="00A03B67" w:rsidRDefault="00D82BD0" w:rsidP="00D82BD0">
      <w:pPr>
        <w:pStyle w:val="FootnoteText"/>
      </w:pPr>
      <w:r w:rsidRPr="00A03B67">
        <w:rPr>
          <w:rStyle w:val="FootnoteReference"/>
        </w:rPr>
        <w:footnoteRef/>
      </w:r>
      <w:r w:rsidRPr="00A03B67">
        <w:t xml:space="preserve"> </w:t>
      </w:r>
      <w:r w:rsidRPr="00A03B67">
        <w:rPr>
          <w:i/>
          <w:iCs/>
        </w:rPr>
        <w:t>Building and Construction (Improving Productivity) Act 2016</w:t>
      </w:r>
      <w:r w:rsidRPr="00A03B67">
        <w:t xml:space="preserve"> (Cth) s 52; </w:t>
      </w:r>
      <w:r w:rsidRPr="00A03B67">
        <w:rPr>
          <w:i/>
          <w:iCs/>
        </w:rPr>
        <w:t>Fair Work Act 2009</w:t>
      </w:r>
      <w:r w:rsidRPr="00A03B67">
        <w:t xml:space="preserve"> (Cth) s 355.</w:t>
      </w:r>
    </w:p>
  </w:footnote>
  <w:footnote w:id="37">
    <w:p w14:paraId="3D90F7B3" w14:textId="77777777" w:rsidR="00D82BD0" w:rsidRPr="00A03B67" w:rsidRDefault="00D82BD0" w:rsidP="00D82BD0">
      <w:pPr>
        <w:pStyle w:val="FootnoteText"/>
      </w:pPr>
      <w:r w:rsidRPr="00A03B67">
        <w:rPr>
          <w:rStyle w:val="FootnoteReference"/>
        </w:rPr>
        <w:footnoteRef/>
      </w:r>
      <w:r w:rsidRPr="00A03B67" w:rsidDel="00DB2E43">
        <w:t xml:space="preserve"> </w:t>
      </w:r>
      <w:r w:rsidRPr="00A03B67">
        <w:rPr>
          <w:i/>
          <w:iCs/>
        </w:rPr>
        <w:t>Building and Construction (Improving Productivity) Act 2016</w:t>
      </w:r>
      <w:r w:rsidRPr="00A03B67">
        <w:t xml:space="preserve"> (Cth) s 54; </w:t>
      </w:r>
      <w:r w:rsidRPr="00A03B67">
        <w:rPr>
          <w:i/>
          <w:iCs/>
        </w:rPr>
        <w:t>Fair Work Act 2009</w:t>
      </w:r>
      <w:r w:rsidRPr="00A03B67">
        <w:t xml:space="preserve"> (Cth) s 343(1).</w:t>
      </w:r>
    </w:p>
  </w:footnote>
  <w:footnote w:id="38">
    <w:p w14:paraId="7D7B6491" w14:textId="77777777" w:rsidR="00D82BD0" w:rsidRPr="00A03B67" w:rsidRDefault="00D82BD0" w:rsidP="00D82BD0">
      <w:pPr>
        <w:pStyle w:val="FootnoteText"/>
      </w:pPr>
      <w:r w:rsidRPr="00A03B67">
        <w:rPr>
          <w:rStyle w:val="FootnoteReference"/>
        </w:rPr>
        <w:footnoteRef/>
      </w:r>
      <w:r w:rsidRPr="00A03B67">
        <w:t xml:space="preserve"> </w:t>
      </w:r>
      <w:r w:rsidRPr="00A03B67">
        <w:rPr>
          <w:i/>
          <w:iCs/>
        </w:rPr>
        <w:t>Building and Construction (Improving Productivity) Act 2016</w:t>
      </w:r>
      <w:r w:rsidRPr="00A03B67">
        <w:t xml:space="preserve"> (Cth) s 55; </w:t>
      </w:r>
      <w:r w:rsidRPr="00A03B67">
        <w:rPr>
          <w:i/>
          <w:iCs/>
        </w:rPr>
        <w:t>Fair Work Act 2009</w:t>
      </w:r>
      <w:r w:rsidRPr="00A03B67">
        <w:t xml:space="preserve"> (Cth) s 354(1).</w:t>
      </w:r>
    </w:p>
  </w:footnote>
  <w:footnote w:id="39">
    <w:p w14:paraId="01CE0704" w14:textId="77777777" w:rsidR="00D82BD0" w:rsidRPr="00A03B67" w:rsidRDefault="00D82BD0" w:rsidP="00D82BD0">
      <w:pPr>
        <w:pStyle w:val="FootnoteText"/>
      </w:pPr>
      <w:r w:rsidRPr="00A03B67">
        <w:rPr>
          <w:rStyle w:val="FootnoteReference"/>
        </w:rPr>
        <w:footnoteRef/>
      </w:r>
      <w:r w:rsidRPr="00A03B67">
        <w:t xml:space="preserve"> </w:t>
      </w:r>
      <w:r w:rsidRPr="00A03B67">
        <w:rPr>
          <w:i/>
          <w:iCs/>
        </w:rPr>
        <w:t>Building and Construction (Improving Productivity) Act 2016</w:t>
      </w:r>
      <w:r w:rsidRPr="00A03B67">
        <w:t xml:space="preserve"> (Cth)</w:t>
      </w:r>
      <w:r w:rsidRPr="00A03B67" w:rsidDel="00DB2E43">
        <w:t xml:space="preserve"> </w:t>
      </w:r>
      <w:r w:rsidRPr="00A03B67">
        <w:t xml:space="preserve">s 78; </w:t>
      </w:r>
      <w:r w:rsidRPr="00A03B67">
        <w:rPr>
          <w:i/>
          <w:iCs/>
        </w:rPr>
        <w:t>Fair Work Act 2009</w:t>
      </w:r>
      <w:r w:rsidRPr="00A03B67">
        <w:t xml:space="preserve"> (Cth) s 707A.</w:t>
      </w:r>
    </w:p>
  </w:footnote>
  <w:footnote w:id="40">
    <w:p w14:paraId="57EFCD23" w14:textId="77777777" w:rsidR="00D82BD0" w:rsidRPr="00A03B67" w:rsidRDefault="00D82BD0" w:rsidP="00D82BD0">
      <w:pPr>
        <w:pStyle w:val="FootnoteText"/>
      </w:pPr>
      <w:r w:rsidRPr="00A03B67">
        <w:rPr>
          <w:rStyle w:val="FootnoteReference"/>
        </w:rPr>
        <w:footnoteRef/>
      </w:r>
      <w:r w:rsidRPr="00A03B67">
        <w:t xml:space="preserve"> </w:t>
      </w:r>
      <w:r w:rsidRPr="00A03B67">
        <w:rPr>
          <w:i/>
          <w:iCs/>
        </w:rPr>
        <w:t>Building and Construction (Improving Productivity) Act 2016</w:t>
      </w:r>
      <w:r w:rsidRPr="00A03B67">
        <w:t xml:space="preserve"> (Cth) ss 46, 47.</w:t>
      </w:r>
    </w:p>
  </w:footnote>
  <w:footnote w:id="41">
    <w:p w14:paraId="259DA9C3" w14:textId="77777777" w:rsidR="00D82BD0" w:rsidRPr="00A03B67" w:rsidRDefault="00D82BD0" w:rsidP="00D82BD0">
      <w:pPr>
        <w:pStyle w:val="FootnoteText"/>
      </w:pPr>
      <w:r w:rsidRPr="00A03B67">
        <w:rPr>
          <w:rStyle w:val="FootnoteReference"/>
        </w:rPr>
        <w:footnoteRef/>
      </w:r>
      <w:r w:rsidRPr="00A03B67">
        <w:t xml:space="preserve"> </w:t>
      </w:r>
      <w:r w:rsidRPr="00A03B67">
        <w:rPr>
          <w:i/>
          <w:iCs/>
        </w:rPr>
        <w:t>Fair Work Act 2009</w:t>
      </w:r>
      <w:r w:rsidRPr="00A03B67">
        <w:t xml:space="preserve"> (Cth) s 712B.</w:t>
      </w:r>
    </w:p>
  </w:footnote>
  <w:footnote w:id="42">
    <w:p w14:paraId="2C86537D" w14:textId="77777777" w:rsidR="00D82BD0" w:rsidRPr="00A03B67" w:rsidRDefault="00D82BD0" w:rsidP="00D82BD0">
      <w:pPr>
        <w:pStyle w:val="FootnoteText"/>
      </w:pPr>
      <w:r w:rsidRPr="00A03B67">
        <w:rPr>
          <w:rStyle w:val="FootnoteReference"/>
        </w:rPr>
        <w:footnoteRef/>
      </w:r>
      <w:r w:rsidRPr="00A03B67">
        <w:t xml:space="preserve"> </w:t>
      </w:r>
      <w:r w:rsidRPr="00A03B67">
        <w:rPr>
          <w:i/>
          <w:iCs/>
        </w:rPr>
        <w:t>Building and Construction (Improving Productivity) Act 2016</w:t>
      </w:r>
      <w:r w:rsidRPr="00A03B67">
        <w:t xml:space="preserve"> (Cth) s 62.</w:t>
      </w:r>
    </w:p>
  </w:footnote>
  <w:footnote w:id="43">
    <w:p w14:paraId="383DBE59" w14:textId="66A1253F" w:rsidR="00D82BD0" w:rsidRPr="00A03B67" w:rsidRDefault="00D82BD0" w:rsidP="00D82BD0">
      <w:pPr>
        <w:pStyle w:val="FootnoteText"/>
      </w:pPr>
      <w:r w:rsidRPr="00A03B67">
        <w:rPr>
          <w:rStyle w:val="FootnoteReference"/>
        </w:rPr>
        <w:footnoteRef/>
      </w:r>
      <w:r w:rsidRPr="00A03B67">
        <w:t xml:space="preserve"> The Hon Tony Burke MP, Minister for Employment and Workplace Relations, ‘Restoring Equal Rights for Construction Workers’ (Media Release, 24 July 2024) &lt;https://ministers.dewr.gov.au/burke/restoring-equal-rights-construction-workers&gt;.</w:t>
      </w:r>
    </w:p>
  </w:footnote>
  <w:footnote w:id="44">
    <w:p w14:paraId="33BC314D" w14:textId="77777777" w:rsidR="00D82BD0" w:rsidRPr="00A03B67" w:rsidRDefault="00D82BD0" w:rsidP="00D82BD0">
      <w:pPr>
        <w:pStyle w:val="FootnoteText"/>
      </w:pPr>
      <w:r w:rsidRPr="00A03B67">
        <w:rPr>
          <w:rStyle w:val="FootnoteReference"/>
        </w:rPr>
        <w:footnoteRef/>
      </w:r>
      <w:r w:rsidRPr="00A03B67">
        <w:t xml:space="preserve"> Senate Education and Employment Legislation Committee, Parliament of Australia, </w:t>
      </w:r>
      <w:r w:rsidRPr="00A03B67">
        <w:rPr>
          <w:i/>
          <w:iCs/>
        </w:rPr>
        <w:t>Fair Work Legislation Amendment (Secure Jobs, Better Pay) Bill 2022 [Provisions]</w:t>
      </w:r>
      <w:r w:rsidRPr="00A03B67">
        <w:t xml:space="preserve"> (Report, 2022) 82.</w:t>
      </w:r>
    </w:p>
  </w:footnote>
  <w:footnote w:id="45">
    <w:p w14:paraId="55BC3010" w14:textId="77777777" w:rsidR="00D82BD0" w:rsidRPr="00A03B67" w:rsidRDefault="00D82BD0" w:rsidP="00D82BD0">
      <w:pPr>
        <w:pStyle w:val="FootnoteText"/>
      </w:pPr>
      <w:r w:rsidRPr="00A03B67">
        <w:rPr>
          <w:rStyle w:val="FootnoteReference"/>
        </w:rPr>
        <w:footnoteRef/>
      </w:r>
      <w:r w:rsidRPr="00A03B67">
        <w:t xml:space="preserve"> Senate Education and Employment Legislation Committee, Parliament of Australia, </w:t>
      </w:r>
      <w:r w:rsidRPr="00A03B67">
        <w:rPr>
          <w:i/>
          <w:iCs/>
        </w:rPr>
        <w:t>Fair Work Legislation Amendment (Secure Jobs, Better Pay) Bill 2022 [Provisions]</w:t>
      </w:r>
      <w:r w:rsidRPr="00A03B67">
        <w:t xml:space="preserve"> (Report, 2022) 82.</w:t>
      </w:r>
    </w:p>
  </w:footnote>
  <w:footnote w:id="46">
    <w:p w14:paraId="2F8CAE87" w14:textId="77777777" w:rsidR="00D82BD0" w:rsidRPr="00A03B67" w:rsidRDefault="00D82BD0" w:rsidP="00D82BD0">
      <w:pPr>
        <w:pStyle w:val="FootnoteText"/>
      </w:pPr>
      <w:r w:rsidRPr="00A03B67">
        <w:rPr>
          <w:rStyle w:val="FootnoteReference"/>
        </w:rPr>
        <w:footnoteRef/>
      </w:r>
      <w:r w:rsidRPr="00A03B67">
        <w:t xml:space="preserve"> Senate Education and Employment Legislation Committee, Parliament of Australia, </w:t>
      </w:r>
      <w:r w:rsidRPr="00A03B67">
        <w:rPr>
          <w:i/>
          <w:iCs/>
        </w:rPr>
        <w:t>Fair Work Legislation Amendment (Secure Jobs, Better Pay) Bill 2022 [Provisions]</w:t>
      </w:r>
      <w:r w:rsidRPr="00A03B67">
        <w:t xml:space="preserve"> (Report, 2022) 82.</w:t>
      </w:r>
    </w:p>
  </w:footnote>
  <w:footnote w:id="47">
    <w:p w14:paraId="43104D48" w14:textId="35A471A7" w:rsidR="00D82BD0" w:rsidRPr="00A03B67" w:rsidRDefault="00D82BD0" w:rsidP="00D82BD0">
      <w:pPr>
        <w:pStyle w:val="FootnoteText"/>
      </w:pPr>
      <w:r w:rsidRPr="00A03B67">
        <w:rPr>
          <w:rStyle w:val="FootnoteReference"/>
        </w:rPr>
        <w:footnoteRef/>
      </w:r>
      <w:r w:rsidRPr="00A03B67">
        <w:t xml:space="preserve"> See</w:t>
      </w:r>
      <w:r w:rsidR="00B63DC1">
        <w:t>,</w:t>
      </w:r>
      <w:r w:rsidRPr="00A03B67">
        <w:t xml:space="preserve"> for example, submissions by Housing Industry Association (HIA) 3, Business Council of Australia (</w:t>
      </w:r>
      <w:r w:rsidR="004A1003">
        <w:t>BCA</w:t>
      </w:r>
      <w:r w:rsidRPr="00A03B67">
        <w:t>) 16, Australian Resources &amp; Energy Employer Association (AREEA)</w:t>
      </w:r>
      <w:r w:rsidR="00E36B5F">
        <w:t>19</w:t>
      </w:r>
      <w:r w:rsidRPr="00A03B67">
        <w:t>, Minerals Council of Australia (MCA) 26, Master Builders Australia (MBA) 6, 8</w:t>
      </w:r>
      <w:r w:rsidR="00B63DC1">
        <w:t>,</w:t>
      </w:r>
      <w:r w:rsidRPr="00A03B67">
        <w:t xml:space="preserve"> and Ai Group 122, 124.</w:t>
      </w:r>
    </w:p>
  </w:footnote>
  <w:footnote w:id="48">
    <w:p w14:paraId="63718DA2" w14:textId="77777777" w:rsidR="00D82BD0" w:rsidRPr="00A03B67" w:rsidRDefault="00D82BD0" w:rsidP="00D82BD0">
      <w:pPr>
        <w:pStyle w:val="FootnoteText"/>
      </w:pPr>
      <w:r w:rsidRPr="00A03B67">
        <w:rPr>
          <w:rStyle w:val="FootnoteReference"/>
        </w:rPr>
        <w:footnoteRef/>
      </w:r>
      <w:r w:rsidRPr="00A03B67">
        <w:t xml:space="preserve"> Commonwealth, </w:t>
      </w:r>
      <w:r w:rsidRPr="00A03B67">
        <w:rPr>
          <w:i/>
          <w:iCs/>
        </w:rPr>
        <w:t>Parliamentary Debates</w:t>
      </w:r>
      <w:r w:rsidRPr="00A03B67">
        <w:t>, House of Representatives, 25 October 2022 (Tony Burke, Minister for Employment and Workplace Relations) 2183.</w:t>
      </w:r>
    </w:p>
  </w:footnote>
  <w:footnote w:id="49">
    <w:p w14:paraId="16536ED3" w14:textId="37B26612" w:rsidR="00D82BD0" w:rsidRPr="00A03B67" w:rsidRDefault="00D82BD0" w:rsidP="00D82BD0">
      <w:pPr>
        <w:pStyle w:val="FootnoteText"/>
      </w:pPr>
      <w:r w:rsidRPr="00A03B67">
        <w:rPr>
          <w:rStyle w:val="FootnoteReference"/>
        </w:rPr>
        <w:footnoteRef/>
      </w:r>
      <w:r w:rsidRPr="00A03B67">
        <w:t xml:space="preserve"> The Hon Tony Burke MP, Minister for Employment and Workplace Relations, ‘Restoring Equal Rights for Construction Workers’ (Media Release, 24 July 2024) </w:t>
      </w:r>
      <w:r w:rsidR="00B63DC1">
        <w:t>&lt;</w:t>
      </w:r>
      <w:r w:rsidRPr="00E16801">
        <w:t>https://ministers.dewr.gov.au/burke/restoring-equal-rights-construction-workers</w:t>
      </w:r>
      <w:r w:rsidR="00B63DC1">
        <w:t>&gt;</w:t>
      </w:r>
      <w:r w:rsidRPr="00A03B67">
        <w:t>.</w:t>
      </w:r>
    </w:p>
  </w:footnote>
  <w:footnote w:id="50">
    <w:p w14:paraId="19CF4881" w14:textId="77777777" w:rsidR="00D82BD0" w:rsidRPr="00A03B67" w:rsidRDefault="00D82BD0" w:rsidP="00D82BD0">
      <w:pPr>
        <w:pStyle w:val="FootnoteText"/>
      </w:pPr>
      <w:r w:rsidRPr="00A03B67">
        <w:rPr>
          <w:rStyle w:val="FootnoteReference"/>
        </w:rPr>
        <w:footnoteRef/>
      </w:r>
      <w:r w:rsidRPr="00A03B67">
        <w:t xml:space="preserve"> Fair Work Ombudsman (FWO) submission, Senate Education and Employment Legislation Committee, Parliament of Australia, Inquiry into Fair Work Legislation Amendment (Secure Jobs, Better Pay) Bill 2022 [Provisions] p 3 &lt;https://www.fairwork.gov.au/sites/default/files/2022-11/fwo-submission-secure-jobs-better-pay-november-2022.pdf&gt;.</w:t>
      </w:r>
    </w:p>
  </w:footnote>
  <w:footnote w:id="51">
    <w:p w14:paraId="401D4B04" w14:textId="77777777" w:rsidR="00D82BD0" w:rsidRPr="00A03B67" w:rsidRDefault="00D82BD0" w:rsidP="00D82BD0">
      <w:pPr>
        <w:pStyle w:val="FootnoteText"/>
      </w:pPr>
      <w:r w:rsidRPr="00A03B67">
        <w:rPr>
          <w:rStyle w:val="FootnoteReference"/>
        </w:rPr>
        <w:footnoteRef/>
      </w:r>
      <w:r w:rsidRPr="00A03B67">
        <w:t xml:space="preserve"> </w:t>
      </w:r>
      <w:r w:rsidRPr="00A03B67">
        <w:rPr>
          <w:i/>
          <w:iCs/>
        </w:rPr>
        <w:t>Fair Work Act 2009</w:t>
      </w:r>
      <w:r w:rsidRPr="00A03B67">
        <w:t xml:space="preserve"> (Cth) s 682.</w:t>
      </w:r>
    </w:p>
  </w:footnote>
  <w:footnote w:id="52">
    <w:p w14:paraId="3ED39D3D" w14:textId="0CB9E96E" w:rsidR="00D82BD0" w:rsidRDefault="00D82BD0" w:rsidP="00D82BD0">
      <w:pPr>
        <w:pStyle w:val="FootnoteText"/>
      </w:pPr>
      <w:r>
        <w:rPr>
          <w:rStyle w:val="FootnoteReference"/>
        </w:rPr>
        <w:footnoteRef/>
      </w:r>
      <w:r>
        <w:t xml:space="preserve"> </w:t>
      </w:r>
      <w:r w:rsidRPr="00B061A5">
        <w:rPr>
          <w:i/>
          <w:iCs/>
        </w:rPr>
        <w:t>Building and Construction Industry (Improving Productivity) Act 2016</w:t>
      </w:r>
      <w:r>
        <w:t xml:space="preserve"> </w:t>
      </w:r>
      <w:r w:rsidR="00B63DC1">
        <w:t xml:space="preserve">(Cth) </w:t>
      </w:r>
      <w:r>
        <w:t>s 16</w:t>
      </w:r>
      <w:r w:rsidR="00B63DC1">
        <w:t>.</w:t>
      </w:r>
    </w:p>
  </w:footnote>
  <w:footnote w:id="53">
    <w:p w14:paraId="5743FD42" w14:textId="77777777" w:rsidR="00D82BD0" w:rsidRPr="00A03B67" w:rsidRDefault="00D82BD0" w:rsidP="00D82BD0">
      <w:pPr>
        <w:pStyle w:val="FootnoteText"/>
      </w:pPr>
      <w:r w:rsidRPr="00A03B67">
        <w:rPr>
          <w:rStyle w:val="FootnoteReference"/>
        </w:rPr>
        <w:footnoteRef/>
      </w:r>
      <w:r w:rsidRPr="00A03B67">
        <w:t xml:space="preserve"> Employment and Workplace Relations Portfolio, </w:t>
      </w:r>
      <w:r w:rsidRPr="00A03B67">
        <w:rPr>
          <w:i/>
          <w:iCs/>
        </w:rPr>
        <w:t>Portfolio Budget Statements 2022</w:t>
      </w:r>
      <w:r w:rsidRPr="00A03B67">
        <w:rPr>
          <w:rFonts w:ascii="Symbol" w:eastAsia="Symbol" w:hAnsi="Symbol" w:cs="Symbol"/>
          <w:i/>
          <w:iCs/>
        </w:rPr>
        <w:t>-</w:t>
      </w:r>
      <w:r w:rsidRPr="00A03B67">
        <w:rPr>
          <w:i/>
          <w:iCs/>
        </w:rPr>
        <w:t>23</w:t>
      </w:r>
      <w:r w:rsidRPr="00A03B67">
        <w:t xml:space="preserve"> (Budget Related Paper No 1.6, 2022) 188</w:t>
      </w:r>
      <w:r w:rsidRPr="00A03B67">
        <w:rPr>
          <w:lang w:val="en-US"/>
        </w:rPr>
        <w:t>.</w:t>
      </w:r>
    </w:p>
  </w:footnote>
  <w:footnote w:id="54">
    <w:p w14:paraId="6657AD7B" w14:textId="52029B0D" w:rsidR="00D82BD0" w:rsidRDefault="00D82BD0" w:rsidP="00D82BD0">
      <w:pPr>
        <w:pStyle w:val="FootnoteText"/>
      </w:pPr>
      <w:r>
        <w:rPr>
          <w:rStyle w:val="FootnoteReference"/>
        </w:rPr>
        <w:footnoteRef/>
      </w:r>
      <w:r>
        <w:t xml:space="preserve"> Public Governance, Performance and Accountability (Section 75 Transfers) Determination 2022</w:t>
      </w:r>
      <w:r w:rsidR="00B63DC1">
        <w:rPr>
          <w:rFonts w:ascii="Symbol" w:eastAsia="Symbol" w:hAnsi="Symbol" w:cs="Symbol"/>
        </w:rPr>
        <w:t>-</w:t>
      </w:r>
      <w:r>
        <w:t>23, p 14</w:t>
      </w:r>
    </w:p>
  </w:footnote>
  <w:footnote w:id="55">
    <w:p w14:paraId="4CA74616" w14:textId="77777777" w:rsidR="00D82BD0" w:rsidRPr="00A03B67" w:rsidRDefault="00D82BD0" w:rsidP="00D82BD0">
      <w:pPr>
        <w:pStyle w:val="FootnoteText"/>
      </w:pPr>
      <w:r w:rsidRPr="00A03B67">
        <w:rPr>
          <w:rStyle w:val="FootnoteReference"/>
        </w:rPr>
        <w:footnoteRef/>
      </w:r>
      <w:r w:rsidRPr="00A03B67">
        <w:t xml:space="preserve"> KPMG, </w:t>
      </w:r>
      <w:r w:rsidRPr="00A03B67">
        <w:rPr>
          <w:i/>
          <w:iCs/>
        </w:rPr>
        <w:t>Review of the Office of the Fair Work Ombudsman</w:t>
      </w:r>
      <w:r w:rsidRPr="00A03B67">
        <w:t xml:space="preserve"> (Report, 2023) 26 &lt;https://www.dewr.gov.au/workplace-relations-australia/resources/review-office-fair-work-ombudsman&gt;.</w:t>
      </w:r>
    </w:p>
  </w:footnote>
  <w:footnote w:id="56">
    <w:p w14:paraId="4838A43E" w14:textId="77777777" w:rsidR="00D82BD0" w:rsidRPr="00A03B67" w:rsidRDefault="00D82BD0" w:rsidP="00D82BD0">
      <w:pPr>
        <w:pStyle w:val="FootnoteText"/>
      </w:pPr>
      <w:r w:rsidRPr="00A03B67">
        <w:rPr>
          <w:rStyle w:val="FootnoteReference"/>
        </w:rPr>
        <w:footnoteRef/>
      </w:r>
      <w:r w:rsidRPr="00A03B67">
        <w:t xml:space="preserve"> Information provided to the Review by the Fair Work Ombudsman (FWO); data sourced by the FWO from Australian Bureau of Statistics.</w:t>
      </w:r>
    </w:p>
  </w:footnote>
  <w:footnote w:id="57">
    <w:p w14:paraId="4001A7BB" w14:textId="471683EF" w:rsidR="00D82BD0" w:rsidRPr="00A03B67" w:rsidRDefault="00D82BD0" w:rsidP="00D82BD0">
      <w:pPr>
        <w:pStyle w:val="FootnoteText"/>
      </w:pPr>
      <w:r w:rsidRPr="00A03B67">
        <w:rPr>
          <w:rStyle w:val="FootnoteReference"/>
        </w:rPr>
        <w:footnoteRef/>
      </w:r>
      <w:r w:rsidRPr="00A03B67">
        <w:t xml:space="preserve"> Data provided by the </w:t>
      </w:r>
      <w:r w:rsidR="004A1003">
        <w:t xml:space="preserve">Fair Work Ombudsman </w:t>
      </w:r>
      <w:r w:rsidRPr="00A03B67">
        <w:t>to the Review.</w:t>
      </w:r>
    </w:p>
  </w:footnote>
  <w:footnote w:id="58">
    <w:p w14:paraId="1A8C762C" w14:textId="07122D9B" w:rsidR="00D82BD0" w:rsidRPr="00A03B67" w:rsidRDefault="00D82BD0" w:rsidP="00D82BD0">
      <w:pPr>
        <w:pStyle w:val="FootnoteText"/>
      </w:pPr>
      <w:r w:rsidRPr="00A03B67">
        <w:rPr>
          <w:rStyle w:val="FootnoteReference"/>
        </w:rPr>
        <w:footnoteRef/>
      </w:r>
      <w:r w:rsidRPr="00A03B67">
        <w:t xml:space="preserve"> </w:t>
      </w:r>
      <w:r w:rsidR="004A1003">
        <w:t>Fair Work Ombudsman</w:t>
      </w:r>
      <w:r w:rsidRPr="00A03B67">
        <w:t xml:space="preserve">, </w:t>
      </w:r>
      <w:r w:rsidRPr="00A03B67">
        <w:rPr>
          <w:i/>
          <w:iCs/>
        </w:rPr>
        <w:t>Annual Report 2023</w:t>
      </w:r>
      <w:r w:rsidRPr="00A03B67">
        <w:rPr>
          <w:rFonts w:ascii="Symbol" w:eastAsia="Symbol" w:hAnsi="Symbol" w:cs="Symbol"/>
          <w:i/>
          <w:iCs/>
        </w:rPr>
        <w:t>-</w:t>
      </w:r>
      <w:r w:rsidRPr="00A03B67">
        <w:rPr>
          <w:i/>
          <w:iCs/>
        </w:rPr>
        <w:t>24</w:t>
      </w:r>
      <w:r w:rsidRPr="00A03B67">
        <w:t xml:space="preserve"> (Report, 2024) 32.</w:t>
      </w:r>
    </w:p>
  </w:footnote>
  <w:footnote w:id="59">
    <w:p w14:paraId="199E232B" w14:textId="18535A3D" w:rsidR="00D82BD0" w:rsidRPr="00A03B67" w:rsidRDefault="00D82BD0" w:rsidP="00D82BD0">
      <w:pPr>
        <w:pStyle w:val="FootnoteText"/>
      </w:pPr>
      <w:r w:rsidRPr="00A03B67">
        <w:rPr>
          <w:rStyle w:val="FootnoteReference"/>
        </w:rPr>
        <w:footnoteRef/>
      </w:r>
      <w:r w:rsidRPr="00A03B67">
        <w:t xml:space="preserve"> Australian Building and Construction Commission, </w:t>
      </w:r>
      <w:r w:rsidRPr="00A03B67">
        <w:rPr>
          <w:i/>
          <w:iCs/>
        </w:rPr>
        <w:t>Annual Report 2021</w:t>
      </w:r>
      <w:r w:rsidRPr="00A03B67">
        <w:rPr>
          <w:rFonts w:ascii="Symbol" w:eastAsia="Symbol" w:hAnsi="Symbol" w:cs="Symbol"/>
          <w:i/>
          <w:iCs/>
        </w:rPr>
        <w:t>-</w:t>
      </w:r>
      <w:r w:rsidRPr="00A03B67">
        <w:rPr>
          <w:i/>
          <w:iCs/>
        </w:rPr>
        <w:t>22</w:t>
      </w:r>
      <w:r w:rsidRPr="00A03B67">
        <w:t xml:space="preserve"> (Report, 2022), Message from the Commissioner &lt;https://www.transparency.gov.au/publications/attorney-general-s/australian-building-and-construction-commission/australian-building-and-construction-commission-annual-report-2021-22/introduction/message-from-the-commissioner&gt;.</w:t>
      </w:r>
    </w:p>
  </w:footnote>
  <w:footnote w:id="60">
    <w:p w14:paraId="62B7F067" w14:textId="77777777" w:rsidR="00D82BD0" w:rsidRDefault="00D82BD0" w:rsidP="00D82BD0">
      <w:pPr>
        <w:pStyle w:val="FootnoteText"/>
      </w:pPr>
      <w:r>
        <w:rPr>
          <w:rStyle w:val="FootnoteReference"/>
        </w:rPr>
        <w:footnoteRef/>
      </w:r>
      <w:r>
        <w:t xml:space="preserve"> </w:t>
      </w:r>
      <w:r w:rsidRPr="00A03B67">
        <w:t xml:space="preserve">Australian Building and Construction Commission, </w:t>
      </w:r>
      <w:r w:rsidRPr="00A03B67">
        <w:rPr>
          <w:i/>
          <w:iCs/>
        </w:rPr>
        <w:t>Annual Report 2021</w:t>
      </w:r>
      <w:r w:rsidRPr="00A03B67">
        <w:rPr>
          <w:rFonts w:ascii="Symbol" w:eastAsia="Symbol" w:hAnsi="Symbol" w:cs="Symbol"/>
          <w:i/>
          <w:iCs/>
        </w:rPr>
        <w:t>-</w:t>
      </w:r>
      <w:r w:rsidRPr="00A03B67">
        <w:rPr>
          <w:i/>
          <w:iCs/>
        </w:rPr>
        <w:t>22</w:t>
      </w:r>
      <w:r w:rsidRPr="00A03B67">
        <w:t xml:space="preserve"> (Report, 2022), Message from the Commissioner &lt;https://www.transparency.gov.au/publications/attorney-general-s/australian-building-and-construction-commission/australian-building-and-construction-commission-annual-report-2021-22/introduction/message-from-the-commissioner&gt;.</w:t>
      </w:r>
    </w:p>
  </w:footnote>
  <w:footnote w:id="61">
    <w:p w14:paraId="458E79B5" w14:textId="77777777" w:rsidR="00D82BD0" w:rsidRPr="00A03B67" w:rsidRDefault="00D82BD0" w:rsidP="00D82BD0">
      <w:pPr>
        <w:pStyle w:val="FootnoteText"/>
      </w:pPr>
      <w:r w:rsidRPr="00A03B67">
        <w:rPr>
          <w:rStyle w:val="FootnoteReference"/>
        </w:rPr>
        <w:footnoteRef/>
      </w:r>
      <w:r w:rsidRPr="00A03B67">
        <w:t xml:space="preserve"> Fair Work Ombudsman, </w:t>
      </w:r>
      <w:r w:rsidRPr="00A03B67">
        <w:rPr>
          <w:i/>
          <w:iCs/>
        </w:rPr>
        <w:t>Compliance and Enforcement Policy</w:t>
      </w:r>
      <w:r w:rsidRPr="00A03B67">
        <w:t xml:space="preserve"> (2025) 15 &lt;https://www.fairwork.gov.au/sites/default/files/migration/725/compliance-and-enforcement-policy.pdf&gt;.</w:t>
      </w:r>
    </w:p>
  </w:footnote>
  <w:footnote w:id="62">
    <w:p w14:paraId="42098B13" w14:textId="08760260" w:rsidR="00694A25" w:rsidRDefault="00694A25">
      <w:pPr>
        <w:pStyle w:val="FootnoteText"/>
      </w:pPr>
      <w:r>
        <w:rPr>
          <w:rStyle w:val="FootnoteReference"/>
        </w:rPr>
        <w:footnoteRef/>
      </w:r>
      <w:r>
        <w:t xml:space="preserve"> </w:t>
      </w:r>
      <w:r w:rsidRPr="00694A25">
        <w:t>Fair Work Ombudsman</w:t>
      </w:r>
      <w:r w:rsidRPr="00694A25">
        <w:rPr>
          <w:i/>
          <w:iCs/>
        </w:rPr>
        <w:t>, Proactive investigations</w:t>
      </w:r>
      <w:r w:rsidRPr="00694A25">
        <w:t>,</w:t>
      </w:r>
      <w:r w:rsidRPr="00694A25">
        <w:rPr>
          <w:i/>
          <w:iCs/>
        </w:rPr>
        <w:t xml:space="preserve"> </w:t>
      </w:r>
      <w:r w:rsidRPr="00694A25">
        <w:t>&lt;https://www.fairwork.gov.au/about-us/compliance-and-enforcement/proactive-investigations#:~:text=Activities%20that%20can%20form%20part,problems%20if%20we%20find%20them&gt;</w:t>
      </w:r>
    </w:p>
  </w:footnote>
  <w:footnote w:id="63">
    <w:p w14:paraId="467C7D65" w14:textId="77777777" w:rsidR="009C6692" w:rsidRDefault="009C6692" w:rsidP="009C6692">
      <w:pPr>
        <w:pStyle w:val="FootnoteText"/>
      </w:pPr>
      <w:r>
        <w:rPr>
          <w:rStyle w:val="FootnoteReference"/>
        </w:rPr>
        <w:footnoteRef/>
      </w:r>
      <w:r>
        <w:t xml:space="preserve"> The distinction between investigations commenced and finalised is not recognised in the FWO data available to the Review Panel. </w:t>
      </w:r>
    </w:p>
  </w:footnote>
  <w:footnote w:id="64">
    <w:p w14:paraId="05DFE9E0" w14:textId="77777777" w:rsidR="00D82BD0" w:rsidRPr="00A03B67" w:rsidRDefault="00D82BD0" w:rsidP="00D82BD0">
      <w:pPr>
        <w:pStyle w:val="FootnoteText"/>
      </w:pPr>
      <w:r w:rsidRPr="00A03B67">
        <w:rPr>
          <w:rStyle w:val="FootnoteReference"/>
        </w:rPr>
        <w:footnoteRef/>
      </w:r>
      <w:r w:rsidRPr="00A03B67">
        <w:t xml:space="preserve"> Australian Building and Construction Commission, </w:t>
      </w:r>
      <w:r w:rsidRPr="00A03B67">
        <w:rPr>
          <w:i/>
          <w:iCs/>
        </w:rPr>
        <w:t>Annual Report 2021</w:t>
      </w:r>
      <w:r w:rsidRPr="00A03B67">
        <w:rPr>
          <w:rFonts w:ascii="Symbol" w:eastAsia="Symbol" w:hAnsi="Symbol" w:cs="Symbol"/>
          <w:i/>
          <w:iCs/>
        </w:rPr>
        <w:t>-</w:t>
      </w:r>
      <w:r w:rsidRPr="00A03B67">
        <w:rPr>
          <w:i/>
          <w:iCs/>
        </w:rPr>
        <w:t>22</w:t>
      </w:r>
      <w:r w:rsidRPr="00A03B67">
        <w:t xml:space="preserve"> (Report, 2022) vii, viii.</w:t>
      </w:r>
    </w:p>
  </w:footnote>
  <w:footnote w:id="65">
    <w:p w14:paraId="7A1BF709" w14:textId="77777777" w:rsidR="00D82BD0" w:rsidRPr="00A03B67" w:rsidRDefault="00D82BD0" w:rsidP="00D82BD0">
      <w:pPr>
        <w:pStyle w:val="FootnoteText"/>
      </w:pPr>
      <w:r w:rsidRPr="00A03B67">
        <w:rPr>
          <w:rStyle w:val="FootnoteReference"/>
        </w:rPr>
        <w:footnoteRef/>
      </w:r>
      <w:r w:rsidRPr="00A03B67">
        <w:t xml:space="preserve"> Fair Work Ombudsman, </w:t>
      </w:r>
      <w:r w:rsidRPr="00A03B67">
        <w:rPr>
          <w:i/>
          <w:iCs/>
        </w:rPr>
        <w:t>Annual Report 2022</w:t>
      </w:r>
      <w:r w:rsidRPr="00A03B67">
        <w:rPr>
          <w:rFonts w:ascii="Symbol" w:eastAsia="Symbol" w:hAnsi="Symbol" w:cs="Symbol"/>
          <w:i/>
          <w:iCs/>
        </w:rPr>
        <w:t>-</w:t>
      </w:r>
      <w:r w:rsidRPr="00A03B67">
        <w:rPr>
          <w:i/>
          <w:iCs/>
        </w:rPr>
        <w:t>23</w:t>
      </w:r>
      <w:r w:rsidRPr="00A03B67">
        <w:t xml:space="preserve"> (Report, 2023) 72.</w:t>
      </w:r>
    </w:p>
  </w:footnote>
  <w:footnote w:id="66">
    <w:p w14:paraId="1DE10B1C" w14:textId="77777777" w:rsidR="00D82BD0" w:rsidRPr="00A03B67" w:rsidRDefault="00D82BD0" w:rsidP="00D82BD0">
      <w:pPr>
        <w:pStyle w:val="FootnoteText"/>
      </w:pPr>
      <w:r w:rsidRPr="00A03B67">
        <w:rPr>
          <w:rStyle w:val="FootnoteReference"/>
        </w:rPr>
        <w:footnoteRef/>
      </w:r>
      <w:r w:rsidRPr="00A03B67">
        <w:t xml:space="preserve"> Fair Work Ombudsman, </w:t>
      </w:r>
      <w:r w:rsidRPr="00A03B67">
        <w:rPr>
          <w:i/>
          <w:iCs/>
        </w:rPr>
        <w:t>Annual Report 2023</w:t>
      </w:r>
      <w:r w:rsidRPr="00A03B67">
        <w:rPr>
          <w:rFonts w:ascii="Symbol" w:eastAsia="Symbol" w:hAnsi="Symbol" w:cs="Symbol"/>
          <w:i/>
          <w:iCs/>
        </w:rPr>
        <w:t>-</w:t>
      </w:r>
      <w:r w:rsidRPr="00A03B67">
        <w:rPr>
          <w:i/>
          <w:iCs/>
        </w:rPr>
        <w:t>24</w:t>
      </w:r>
      <w:r w:rsidRPr="00A03B67">
        <w:t xml:space="preserve"> (Report, 2024) 45.</w:t>
      </w:r>
    </w:p>
  </w:footnote>
  <w:footnote w:id="67">
    <w:p w14:paraId="53FC34FF" w14:textId="77777777" w:rsidR="00B96E94" w:rsidRDefault="00B96E94" w:rsidP="00B96E94">
      <w:pPr>
        <w:pStyle w:val="FootnoteText"/>
      </w:pPr>
      <w:r>
        <w:rPr>
          <w:rStyle w:val="FootnoteReference"/>
        </w:rPr>
        <w:footnoteRef/>
      </w:r>
      <w:r>
        <w:t xml:space="preserve"> Note that the data in the ABCC </w:t>
      </w:r>
      <w:r w:rsidRPr="00B63FED">
        <w:rPr>
          <w:i/>
          <w:iCs/>
        </w:rPr>
        <w:t>Annual Report 2016-17</w:t>
      </w:r>
      <w:r>
        <w:t xml:space="preserve"> includes data for the predecessor agency, the Office of the Fair Work Building Industry Inspectorate until that entity was renamed the ABCC on 2 December 2016.</w:t>
      </w:r>
    </w:p>
  </w:footnote>
  <w:footnote w:id="68">
    <w:p w14:paraId="5D73E7F1" w14:textId="77777777" w:rsidR="00D82BD0" w:rsidRPr="00A03B67" w:rsidRDefault="00D82BD0" w:rsidP="00D82BD0">
      <w:pPr>
        <w:pStyle w:val="FootnoteText"/>
      </w:pPr>
      <w:r w:rsidRPr="00A03B67">
        <w:rPr>
          <w:rStyle w:val="FootnoteReference"/>
        </w:rPr>
        <w:footnoteRef/>
      </w:r>
      <w:r w:rsidRPr="00A03B67">
        <w:t xml:space="preserve"> Fair Work Ombudsman, </w:t>
      </w:r>
      <w:r w:rsidRPr="00A03B67">
        <w:rPr>
          <w:i/>
          <w:iCs/>
        </w:rPr>
        <w:t>Compliance and Enforcement Policy</w:t>
      </w:r>
      <w:r w:rsidRPr="00A03B67">
        <w:t xml:space="preserve"> (2025) 1 &lt;https://www.fairwork.gov.au/sites/default/files/migration/725/compliance-and-enforcement-policy.pdf&gt;.</w:t>
      </w:r>
    </w:p>
  </w:footnote>
  <w:footnote w:id="69">
    <w:p w14:paraId="42960049" w14:textId="77777777" w:rsidR="00D82BD0" w:rsidRPr="00A03B67" w:rsidRDefault="00D82BD0" w:rsidP="00D82BD0">
      <w:pPr>
        <w:pStyle w:val="FootnoteText"/>
      </w:pPr>
      <w:r w:rsidRPr="00A03B67">
        <w:rPr>
          <w:rStyle w:val="FootnoteReference"/>
        </w:rPr>
        <w:footnoteRef/>
      </w:r>
      <w:r w:rsidRPr="00A03B67">
        <w:t xml:space="preserve"> Fair Work Ombudsman, </w:t>
      </w:r>
      <w:r w:rsidRPr="00A03B67">
        <w:rPr>
          <w:i/>
          <w:iCs/>
        </w:rPr>
        <w:t>Compliance and Enforcement Policy</w:t>
      </w:r>
      <w:r w:rsidRPr="00A03B67">
        <w:t xml:space="preserve"> (2025) 7 &lt;https://www.fairwork.gov.au/sites/default/files/migration/725/compliance-and-enforcement-policy.pdf&gt;.</w:t>
      </w:r>
    </w:p>
  </w:footnote>
  <w:footnote w:id="70">
    <w:p w14:paraId="0F95D467" w14:textId="77777777" w:rsidR="00D82BD0" w:rsidRPr="00A03B67" w:rsidRDefault="00D82BD0" w:rsidP="00D82BD0">
      <w:pPr>
        <w:pStyle w:val="FootnoteText"/>
      </w:pPr>
      <w:r w:rsidRPr="00A03B67">
        <w:rPr>
          <w:rStyle w:val="FootnoteReference"/>
        </w:rPr>
        <w:footnoteRef/>
      </w:r>
      <w:r w:rsidRPr="00A03B67">
        <w:t xml:space="preserve"> Fair Work Ombudsman, </w:t>
      </w:r>
      <w:r w:rsidRPr="00A03B67">
        <w:rPr>
          <w:i/>
          <w:iCs/>
        </w:rPr>
        <w:t>Compliance and Enforcement Policy</w:t>
      </w:r>
      <w:r w:rsidRPr="00A03B67">
        <w:t xml:space="preserve"> (2025) 8 &lt;https://www.fairwork.gov.au/sites/default/files/migration/725/compliance-and-enforcement-policy.pdf&gt;.</w:t>
      </w:r>
    </w:p>
  </w:footnote>
  <w:footnote w:id="71">
    <w:p w14:paraId="02022BC5" w14:textId="77777777" w:rsidR="00D82BD0" w:rsidRPr="00A03B67" w:rsidRDefault="00D82BD0" w:rsidP="00D82BD0">
      <w:pPr>
        <w:pStyle w:val="FootnoteText"/>
      </w:pPr>
      <w:r w:rsidRPr="00A03B67">
        <w:rPr>
          <w:rStyle w:val="FootnoteReference"/>
        </w:rPr>
        <w:footnoteRef/>
      </w:r>
      <w:r w:rsidRPr="00A03B67">
        <w:t xml:space="preserve"> Fair Work Ombudsman, </w:t>
      </w:r>
      <w:r w:rsidRPr="00A03B67">
        <w:rPr>
          <w:i/>
          <w:iCs/>
        </w:rPr>
        <w:t>Compliance and Enforcement Policy</w:t>
      </w:r>
      <w:r w:rsidRPr="00A03B67">
        <w:t xml:space="preserve"> (2025) 8 &lt;https://www.fairwork.gov.au/sites/default/files/migration/725/compliance-and-enforcement-policy.pdf&gt;.</w:t>
      </w:r>
    </w:p>
  </w:footnote>
  <w:footnote w:id="72">
    <w:p w14:paraId="2855C875" w14:textId="77777777" w:rsidR="00D82BD0" w:rsidRPr="00A03B67" w:rsidRDefault="00D82BD0" w:rsidP="00D82BD0">
      <w:pPr>
        <w:pStyle w:val="FootnoteText"/>
      </w:pPr>
      <w:r w:rsidRPr="00A03B67">
        <w:rPr>
          <w:rStyle w:val="FootnoteReference"/>
        </w:rPr>
        <w:footnoteRef/>
      </w:r>
      <w:r w:rsidRPr="00A03B67">
        <w:t xml:space="preserve"> Fair Work Ombudsman, </w:t>
      </w:r>
      <w:r w:rsidRPr="00A03B67">
        <w:rPr>
          <w:i/>
          <w:iCs/>
        </w:rPr>
        <w:t>Compliance and Enforcement Policy</w:t>
      </w:r>
      <w:r w:rsidRPr="00A03B67">
        <w:t xml:space="preserve"> (2025) 9 &lt;https://www.fairwork.gov.au/sites/default/files/migration/725/compliance-and-enforcement-policy.pdf&gt;.</w:t>
      </w:r>
    </w:p>
  </w:footnote>
  <w:footnote w:id="73">
    <w:p w14:paraId="7DF80A91" w14:textId="77777777" w:rsidR="00D82BD0" w:rsidRPr="00A03B67" w:rsidRDefault="00D82BD0" w:rsidP="00D82BD0">
      <w:pPr>
        <w:pStyle w:val="FootnoteText"/>
      </w:pPr>
      <w:r w:rsidRPr="00A03B67">
        <w:rPr>
          <w:rStyle w:val="FootnoteReference"/>
        </w:rPr>
        <w:footnoteRef/>
      </w:r>
      <w:r w:rsidRPr="00A03B67">
        <w:t xml:space="preserve"> Fair Work Ombudsman, </w:t>
      </w:r>
      <w:r w:rsidRPr="00A03B67">
        <w:rPr>
          <w:i/>
          <w:iCs/>
        </w:rPr>
        <w:t>Compliance and Enforcement Policy</w:t>
      </w:r>
      <w:r w:rsidRPr="00A03B67">
        <w:t xml:space="preserve"> (2025) 9 &lt;https://www.fairwork.gov.au/sites/default/files/migration/725/compliance-and-enforcement-policy.pdf&gt;.</w:t>
      </w:r>
    </w:p>
  </w:footnote>
  <w:footnote w:id="74">
    <w:p w14:paraId="2FBA5A42" w14:textId="77777777" w:rsidR="00D82BD0" w:rsidRPr="00A03B67" w:rsidRDefault="00D82BD0" w:rsidP="00D82BD0">
      <w:pPr>
        <w:pStyle w:val="FootnoteText"/>
      </w:pPr>
      <w:r w:rsidRPr="00A03B67">
        <w:rPr>
          <w:rStyle w:val="FootnoteReference"/>
        </w:rPr>
        <w:footnoteRef/>
      </w:r>
      <w:r w:rsidRPr="00A03B67">
        <w:t xml:space="preserve"> Fair Work Ombudsman, </w:t>
      </w:r>
      <w:r w:rsidRPr="00A03B67">
        <w:rPr>
          <w:i/>
          <w:iCs/>
        </w:rPr>
        <w:t>Compliance and Enforcement Policy</w:t>
      </w:r>
      <w:r w:rsidRPr="00A03B67">
        <w:t xml:space="preserve"> (2025) 10 &lt;https://www.fairwork.gov.au/sites/default/files/migration/725/compliance-and-enforcement-policy.pdf&gt;.</w:t>
      </w:r>
    </w:p>
  </w:footnote>
  <w:footnote w:id="75">
    <w:p w14:paraId="1B2559F0" w14:textId="77777777" w:rsidR="00D82BD0" w:rsidRPr="00A03B67" w:rsidDel="007E36B6" w:rsidRDefault="00D82BD0" w:rsidP="00D82BD0">
      <w:pPr>
        <w:pStyle w:val="FootnoteText"/>
      </w:pPr>
      <w:r w:rsidRPr="00A03B67" w:rsidDel="007E36B6">
        <w:rPr>
          <w:rStyle w:val="FootnoteReference"/>
        </w:rPr>
        <w:footnoteRef/>
      </w:r>
      <w:r w:rsidRPr="00A03B67" w:rsidDel="007E36B6">
        <w:t xml:space="preserve"> </w:t>
      </w:r>
      <w:r w:rsidRPr="00A03B67">
        <w:t xml:space="preserve">Fair Work Ombudsman, </w:t>
      </w:r>
      <w:r w:rsidRPr="00A03B67" w:rsidDel="007E36B6">
        <w:rPr>
          <w:i/>
          <w:iCs/>
        </w:rPr>
        <w:t>Annual Report 2022</w:t>
      </w:r>
      <w:r w:rsidRPr="00A03B67">
        <w:rPr>
          <w:rFonts w:ascii="Symbol" w:eastAsia="Symbol" w:hAnsi="Symbol" w:cs="Symbol"/>
          <w:i/>
          <w:iCs/>
        </w:rPr>
        <w:t>-</w:t>
      </w:r>
      <w:r w:rsidRPr="00A03B67" w:rsidDel="007E36B6">
        <w:rPr>
          <w:i/>
          <w:iCs/>
        </w:rPr>
        <w:t>23</w:t>
      </w:r>
      <w:r w:rsidRPr="00A03B67">
        <w:t xml:space="preserve"> (Report, 2023) </w:t>
      </w:r>
      <w:r w:rsidRPr="00A03B67" w:rsidDel="007E36B6">
        <w:t>38</w:t>
      </w:r>
      <w:r w:rsidRPr="00A03B67">
        <w:t>.</w:t>
      </w:r>
    </w:p>
  </w:footnote>
  <w:footnote w:id="76">
    <w:p w14:paraId="02F81C5D" w14:textId="77777777" w:rsidR="00D82BD0" w:rsidRPr="00A03B67" w:rsidDel="007E36B6" w:rsidRDefault="00D82BD0" w:rsidP="00D82BD0">
      <w:pPr>
        <w:pStyle w:val="FootnoteText"/>
      </w:pPr>
      <w:r w:rsidRPr="00A03B67" w:rsidDel="007E36B6">
        <w:rPr>
          <w:rStyle w:val="FootnoteReference"/>
        </w:rPr>
        <w:footnoteRef/>
      </w:r>
      <w:r w:rsidRPr="00A03B67" w:rsidDel="007E36B6">
        <w:t xml:space="preserve"> </w:t>
      </w:r>
      <w:r w:rsidRPr="00A03B67">
        <w:t xml:space="preserve">Fair Work Ombudsman, </w:t>
      </w:r>
      <w:r w:rsidRPr="00A03B67" w:rsidDel="007E36B6">
        <w:rPr>
          <w:i/>
          <w:iCs/>
        </w:rPr>
        <w:t>Annual Report 2022</w:t>
      </w:r>
      <w:r w:rsidRPr="00A03B67">
        <w:rPr>
          <w:rFonts w:ascii="Symbol" w:eastAsia="Symbol" w:hAnsi="Symbol" w:cs="Symbol"/>
          <w:i/>
          <w:iCs/>
        </w:rPr>
        <w:t>-</w:t>
      </w:r>
      <w:r w:rsidRPr="00A03B67" w:rsidDel="007E36B6">
        <w:rPr>
          <w:i/>
          <w:iCs/>
        </w:rPr>
        <w:t>23</w:t>
      </w:r>
      <w:r w:rsidRPr="00A03B67">
        <w:t xml:space="preserve"> (Report, 2023) </w:t>
      </w:r>
      <w:r w:rsidRPr="00A03B67" w:rsidDel="007E36B6">
        <w:t>38</w:t>
      </w:r>
      <w:r w:rsidRPr="00A03B67">
        <w:t>.</w:t>
      </w:r>
    </w:p>
  </w:footnote>
  <w:footnote w:id="77">
    <w:p w14:paraId="0364DCE7" w14:textId="77777777" w:rsidR="00D82BD0" w:rsidRPr="00A03B67" w:rsidDel="007E36B6" w:rsidRDefault="00D82BD0" w:rsidP="00D82BD0">
      <w:pPr>
        <w:pStyle w:val="FootnoteText"/>
      </w:pPr>
      <w:r w:rsidRPr="00A03B67" w:rsidDel="007E36B6">
        <w:rPr>
          <w:rStyle w:val="FootnoteReference"/>
        </w:rPr>
        <w:footnoteRef/>
      </w:r>
      <w:r w:rsidRPr="00A03B67" w:rsidDel="007E36B6">
        <w:t xml:space="preserve"> </w:t>
      </w:r>
      <w:r w:rsidRPr="00A03B67">
        <w:t xml:space="preserve">Fair Work Ombudsman, </w:t>
      </w:r>
      <w:r w:rsidRPr="00A03B67" w:rsidDel="007E36B6">
        <w:rPr>
          <w:i/>
          <w:iCs/>
        </w:rPr>
        <w:t>Annual Report 2023</w:t>
      </w:r>
      <w:r w:rsidRPr="00A03B67">
        <w:rPr>
          <w:rFonts w:ascii="Symbol" w:eastAsia="Symbol" w:hAnsi="Symbol" w:cs="Symbol"/>
          <w:i/>
          <w:iCs/>
        </w:rPr>
        <w:t>-</w:t>
      </w:r>
      <w:r w:rsidRPr="00A03B67" w:rsidDel="007E36B6">
        <w:rPr>
          <w:i/>
          <w:iCs/>
        </w:rPr>
        <w:t>24</w:t>
      </w:r>
      <w:r w:rsidRPr="00A03B67">
        <w:t xml:space="preserve"> (Report, 2024) </w:t>
      </w:r>
      <w:r w:rsidRPr="00A03B67" w:rsidDel="007E36B6">
        <w:t>32</w:t>
      </w:r>
      <w:r w:rsidRPr="00A03B67">
        <w:t>.</w:t>
      </w:r>
    </w:p>
  </w:footnote>
  <w:footnote w:id="78">
    <w:p w14:paraId="4F7B377A" w14:textId="77777777" w:rsidR="00D82BD0" w:rsidRPr="00A03B67" w:rsidDel="007E36B6" w:rsidRDefault="00D82BD0" w:rsidP="00D82BD0">
      <w:pPr>
        <w:pStyle w:val="FootnoteText"/>
      </w:pPr>
      <w:r w:rsidRPr="00A03B67" w:rsidDel="007E36B6">
        <w:rPr>
          <w:rStyle w:val="FootnoteReference"/>
        </w:rPr>
        <w:footnoteRef/>
      </w:r>
      <w:r w:rsidRPr="00A03B67" w:rsidDel="007E36B6">
        <w:t xml:space="preserve"> </w:t>
      </w:r>
      <w:r w:rsidRPr="00A03B67">
        <w:t xml:space="preserve">Fair Work Ombudsman, </w:t>
      </w:r>
      <w:r w:rsidRPr="00A03B67" w:rsidDel="007E36B6">
        <w:rPr>
          <w:i/>
          <w:iCs/>
        </w:rPr>
        <w:t>Annual Report 2023</w:t>
      </w:r>
      <w:r w:rsidRPr="00A03B67">
        <w:rPr>
          <w:rFonts w:ascii="Symbol" w:eastAsia="Symbol" w:hAnsi="Symbol" w:cs="Symbol"/>
          <w:i/>
          <w:iCs/>
        </w:rPr>
        <w:t>-</w:t>
      </w:r>
      <w:r w:rsidRPr="00A03B67" w:rsidDel="007E36B6">
        <w:rPr>
          <w:i/>
          <w:iCs/>
        </w:rPr>
        <w:t>24</w:t>
      </w:r>
      <w:r w:rsidRPr="00A03B67">
        <w:t xml:space="preserve"> (Report, 2024) </w:t>
      </w:r>
      <w:r w:rsidRPr="00A03B67" w:rsidDel="007E36B6">
        <w:t>33</w:t>
      </w:r>
      <w:r w:rsidRPr="00A03B67">
        <w:t>.</w:t>
      </w:r>
    </w:p>
  </w:footnote>
  <w:footnote w:id="79">
    <w:p w14:paraId="450C1E93" w14:textId="77777777" w:rsidR="00D82BD0" w:rsidRPr="00A03B67" w:rsidRDefault="00D82BD0" w:rsidP="00D82BD0">
      <w:pPr>
        <w:pStyle w:val="FootnoteText"/>
      </w:pPr>
      <w:r w:rsidRPr="00A03B67">
        <w:rPr>
          <w:rStyle w:val="FootnoteReference"/>
        </w:rPr>
        <w:footnoteRef/>
      </w:r>
      <w:r w:rsidRPr="00A03B67">
        <w:t xml:space="preserve"> Fair Work Ombudsman, </w:t>
      </w:r>
      <w:r w:rsidRPr="00A03B67">
        <w:rPr>
          <w:i/>
          <w:iCs/>
        </w:rPr>
        <w:t>Annual Report 2023</w:t>
      </w:r>
      <w:r w:rsidRPr="00A03B67">
        <w:rPr>
          <w:rFonts w:ascii="Symbol" w:eastAsia="Symbol" w:hAnsi="Symbol" w:cs="Symbol"/>
          <w:i/>
          <w:iCs/>
        </w:rPr>
        <w:t>-</w:t>
      </w:r>
      <w:r w:rsidRPr="00A03B67">
        <w:rPr>
          <w:i/>
          <w:iCs/>
        </w:rPr>
        <w:t>24</w:t>
      </w:r>
      <w:r w:rsidRPr="00A03B67">
        <w:t xml:space="preserve"> (Report, 2024) 45.</w:t>
      </w:r>
    </w:p>
  </w:footnote>
  <w:footnote w:id="80">
    <w:p w14:paraId="7CFDC118" w14:textId="49032BBF" w:rsidR="00D82BD0" w:rsidRPr="00A03B67" w:rsidRDefault="00D82BD0" w:rsidP="00D82BD0">
      <w:pPr>
        <w:pStyle w:val="FootnoteText"/>
      </w:pPr>
      <w:r w:rsidRPr="00A03B67">
        <w:rPr>
          <w:rStyle w:val="FootnoteReference"/>
        </w:rPr>
        <w:footnoteRef/>
      </w:r>
      <w:r w:rsidRPr="00A03B67">
        <w:t xml:space="preserve"> Fair Work Ombudsman, </w:t>
      </w:r>
      <w:r w:rsidRPr="00A03B67">
        <w:rPr>
          <w:i/>
          <w:iCs/>
        </w:rPr>
        <w:t>Statement of Intent</w:t>
      </w:r>
      <w:r w:rsidRPr="00A03B67">
        <w:t xml:space="preserve"> (2023)1, 4 </w:t>
      </w:r>
      <w:r w:rsidR="00B63DC1">
        <w:t>&lt;</w:t>
      </w:r>
      <w:r w:rsidRPr="00DC6267">
        <w:t>https://www.fairwork.gov.au/sites/default/files/2023-12/fwo-regulator-statement-of-intent-2023.pdf</w:t>
      </w:r>
      <w:r w:rsidR="00B63DC1">
        <w:t>&gt;.</w:t>
      </w:r>
      <w:r>
        <w:t xml:space="preserve"> </w:t>
      </w:r>
      <w:r w:rsidRPr="00A03B67">
        <w:t>The Statement of Intent outlines how the Fair Work Ombudsman (FWO) will meet expectations in the Fair Work Act and Ministerial Statement of Expectations to the FWO (24 October 2023). The Statement of Expectations also outlined the FWO should embrace tripartism, collaboration and engagement.</w:t>
      </w:r>
    </w:p>
  </w:footnote>
  <w:footnote w:id="81">
    <w:p w14:paraId="2DE5B1CD" w14:textId="77777777" w:rsidR="00D82BD0" w:rsidRPr="00A03B67" w:rsidRDefault="00D82BD0" w:rsidP="00D82BD0">
      <w:pPr>
        <w:pStyle w:val="FootnoteText"/>
      </w:pPr>
      <w:r w:rsidRPr="00A03B67">
        <w:rPr>
          <w:rStyle w:val="FootnoteReference"/>
        </w:rPr>
        <w:footnoteRef/>
      </w:r>
      <w:r w:rsidRPr="00A03B67">
        <w:t xml:space="preserve"> Fair Work Ombudsman, </w:t>
      </w:r>
      <w:r w:rsidRPr="00A03B67">
        <w:rPr>
          <w:i/>
          <w:iCs/>
        </w:rPr>
        <w:t>Annual Report 2023</w:t>
      </w:r>
      <w:r w:rsidRPr="00A03B67">
        <w:rPr>
          <w:rFonts w:ascii="Symbol" w:eastAsia="Symbol" w:hAnsi="Symbol" w:cs="Symbol"/>
          <w:i/>
          <w:iCs/>
        </w:rPr>
        <w:t>-</w:t>
      </w:r>
      <w:r w:rsidRPr="00A03B67">
        <w:rPr>
          <w:i/>
          <w:iCs/>
        </w:rPr>
        <w:t>24</w:t>
      </w:r>
      <w:r w:rsidRPr="00A03B67">
        <w:t xml:space="preserve"> (Report, 2024) 18.</w:t>
      </w:r>
    </w:p>
  </w:footnote>
  <w:footnote w:id="82">
    <w:p w14:paraId="5FE2D784" w14:textId="2648348D" w:rsidR="00D82BD0" w:rsidRPr="00A03B67" w:rsidRDefault="00D82BD0" w:rsidP="00D82BD0">
      <w:pPr>
        <w:pStyle w:val="FootnoteText"/>
      </w:pPr>
      <w:r w:rsidRPr="00A03B67">
        <w:rPr>
          <w:rStyle w:val="FootnoteReference"/>
        </w:rPr>
        <w:footnoteRef/>
      </w:r>
      <w:r w:rsidRPr="00A03B67">
        <w:t xml:space="preserve"> Fair Work Ombudsman, </w:t>
      </w:r>
      <w:r w:rsidRPr="00A03B67">
        <w:rPr>
          <w:i/>
          <w:iCs/>
        </w:rPr>
        <w:t>Engagement and Collaboration</w:t>
      </w:r>
      <w:r w:rsidRPr="00A03B67">
        <w:t xml:space="preserve"> (Web Page, n.d.) &lt;https://www.fairwork.gov.au/about-us/engagement-and-collaboration&gt;.</w:t>
      </w:r>
    </w:p>
  </w:footnote>
  <w:footnote w:id="83">
    <w:p w14:paraId="1C72DF30" w14:textId="3E2C8DE6" w:rsidR="00D82BD0" w:rsidRDefault="00D82BD0" w:rsidP="00D82BD0">
      <w:pPr>
        <w:pStyle w:val="FootnoteText"/>
      </w:pPr>
      <w:r>
        <w:rPr>
          <w:rStyle w:val="FootnoteReference"/>
        </w:rPr>
        <w:footnoteRef/>
      </w:r>
      <w:r>
        <w:t xml:space="preserve"> Information provided to the Review by the </w:t>
      </w:r>
      <w:r w:rsidR="004A1003">
        <w:t>Fair Work Ombudsman</w:t>
      </w:r>
      <w:r>
        <w:t>.</w:t>
      </w:r>
    </w:p>
  </w:footnote>
  <w:footnote w:id="84">
    <w:p w14:paraId="7DE8EE0E" w14:textId="46C854D6" w:rsidR="00D82BD0" w:rsidRPr="00A03B67" w:rsidRDefault="00D82BD0" w:rsidP="00D82BD0">
      <w:pPr>
        <w:pStyle w:val="FootnoteText"/>
      </w:pPr>
      <w:r w:rsidRPr="00A03B67">
        <w:rPr>
          <w:rStyle w:val="FootnoteReference"/>
        </w:rPr>
        <w:footnoteRef/>
      </w:r>
      <w:r w:rsidRPr="00A03B67">
        <w:t xml:space="preserve"> See e.g. ‘Building Bad’, </w:t>
      </w:r>
      <w:r w:rsidRPr="00A03B67">
        <w:rPr>
          <w:i/>
          <w:iCs/>
        </w:rPr>
        <w:t xml:space="preserve">AFR </w:t>
      </w:r>
      <w:r w:rsidRPr="00A03B67">
        <w:t>(online, 17 July 2024) &lt;</w:t>
      </w:r>
      <w:r w:rsidRPr="006C0D5D">
        <w:rPr>
          <w:lang w:val="en-US"/>
        </w:rPr>
        <w:t>https://www.afr.com/topic/building-bad-6gug</w:t>
      </w:r>
      <w:r w:rsidRPr="00A03B67">
        <w:t>&gt;</w:t>
      </w:r>
      <w:r w:rsidRPr="00A03B67">
        <w:rPr>
          <w:lang w:val="en-US"/>
        </w:rPr>
        <w:t>; N McKenzie, D Marin-Guzman and B Schneiders, ‘Bikies, Underworld Figures and the CFMEU Takeover of Construction</w:t>
      </w:r>
      <w:r w:rsidR="00B63DC1">
        <w:rPr>
          <w:lang w:val="en-US"/>
        </w:rPr>
        <w:t>’</w:t>
      </w:r>
      <w:r w:rsidRPr="00A03B67">
        <w:rPr>
          <w:lang w:val="en-US"/>
        </w:rPr>
        <w:t xml:space="preserve">, </w:t>
      </w:r>
      <w:r w:rsidRPr="00A03B67">
        <w:rPr>
          <w:i/>
          <w:iCs/>
          <w:lang w:val="en-US"/>
        </w:rPr>
        <w:t>AFR</w:t>
      </w:r>
      <w:r w:rsidRPr="00A03B67">
        <w:rPr>
          <w:lang w:val="en-US"/>
        </w:rPr>
        <w:t xml:space="preserve"> (online, 13 July 2024).</w:t>
      </w:r>
    </w:p>
  </w:footnote>
  <w:footnote w:id="85">
    <w:p w14:paraId="6C018313" w14:textId="77777777" w:rsidR="00D82BD0" w:rsidRPr="00A03B67" w:rsidRDefault="00D82BD0" w:rsidP="00D82BD0">
      <w:pPr>
        <w:pStyle w:val="FootnoteText"/>
      </w:pPr>
      <w:r w:rsidRPr="00A03B67">
        <w:rPr>
          <w:rStyle w:val="FootnoteReference"/>
        </w:rPr>
        <w:footnoteRef/>
      </w:r>
      <w:r w:rsidRPr="00A03B67">
        <w:t xml:space="preserve"> The Hon Tony Burke MP, Minister for Employment and Workplace Relations, ’Taking Action to Clean Up the Construction Industry</w:t>
      </w:r>
      <w:r w:rsidRPr="00A03B67">
        <w:rPr>
          <w:lang w:val="en-US"/>
        </w:rPr>
        <w:t>’ (Media Release, 17 July 2024) &lt;https://ministers.dewr.gov.au/burke/taking-action-clean-construction-industry#:~:text=The%20number%20one%20job%20of,these%20issues%20and%20we%20are&gt;.</w:t>
      </w:r>
    </w:p>
  </w:footnote>
  <w:footnote w:id="86">
    <w:p w14:paraId="110E50A3" w14:textId="13F55DD7" w:rsidR="00D82BD0" w:rsidRPr="00A03B67" w:rsidRDefault="00D82BD0" w:rsidP="00D82BD0">
      <w:pPr>
        <w:pStyle w:val="FootnoteText"/>
      </w:pPr>
      <w:r w:rsidRPr="00A03B67">
        <w:rPr>
          <w:rStyle w:val="FootnoteReference"/>
        </w:rPr>
        <w:footnoteRef/>
      </w:r>
      <w:r w:rsidRPr="00A03B67">
        <w:rPr>
          <w:lang w:val="en-US"/>
        </w:rPr>
        <w:t xml:space="preserve"> </w:t>
      </w:r>
      <w:r w:rsidRPr="00A03B67">
        <w:rPr>
          <w:i/>
          <w:iCs/>
          <w:lang w:val="en-US"/>
        </w:rPr>
        <w:t>Fair Work (Registered Organisations) Amendment (Administration) Act 2024</w:t>
      </w:r>
      <w:r w:rsidRPr="00A03B67">
        <w:rPr>
          <w:lang w:val="en-US"/>
        </w:rPr>
        <w:t xml:space="preserve"> (Cth)</w:t>
      </w:r>
      <w:r w:rsidRPr="00A03B67">
        <w:t xml:space="preserve">; Fair Work Commission, </w:t>
      </w:r>
      <w:r w:rsidRPr="009E639F">
        <w:rPr>
          <w:i/>
          <w:iCs/>
        </w:rPr>
        <w:t>General</w:t>
      </w:r>
      <w:r w:rsidRPr="00A03B67">
        <w:rPr>
          <w:i/>
          <w:iCs/>
        </w:rPr>
        <w:t xml:space="preserve"> Manager’s Statement – Administration of the CFMEU Construction and General Division</w:t>
      </w:r>
      <w:r w:rsidRPr="00A03B67">
        <w:t xml:space="preserve"> (3 October 2024) &lt;</w:t>
      </w:r>
      <w:r w:rsidRPr="006C0D5D">
        <w:t>https://www.fwc.gov.au/documents/consultation/gm-statement-cfmeu-2024-10-03.pdf</w:t>
      </w:r>
      <w:r w:rsidRPr="00A03B67">
        <w:t xml:space="preserve">&gt;; The Hon Tony Burke MP, Minister for Employment and Workplace Relations, </w:t>
      </w:r>
      <w:r w:rsidR="00B63DC1">
        <w:t>‘</w:t>
      </w:r>
      <w:r w:rsidRPr="00A03B67">
        <w:t>Taking Action to Clean Up the Construction Industry</w:t>
      </w:r>
      <w:r w:rsidRPr="00A03B67">
        <w:rPr>
          <w:lang w:val="en-US"/>
        </w:rPr>
        <w:t xml:space="preserve">’ (Media Release, 17 July 2024) &lt;https://ministers.dewr.gov.au/burke/taking-action-clean-construction-industry#:~:text=The%20number%20one%20job%20of,these%20issues%20and%20we%20are&gt;; </w:t>
      </w:r>
      <w:r w:rsidRPr="00A03B67">
        <w:t>Fair Work Ombudsman</w:t>
      </w:r>
      <w:r w:rsidRPr="00A03B67">
        <w:rPr>
          <w:lang w:val="en-US"/>
        </w:rPr>
        <w:t xml:space="preserve">, </w:t>
      </w:r>
      <w:r w:rsidRPr="00A03B67">
        <w:rPr>
          <w:i/>
          <w:iCs/>
          <w:lang w:val="en-US"/>
        </w:rPr>
        <w:t>Role of CFMEU Administrator</w:t>
      </w:r>
      <w:r w:rsidRPr="00A03B67">
        <w:rPr>
          <w:lang w:val="en-US"/>
        </w:rPr>
        <w:t xml:space="preserve"> (Web Page, 3 October 2024) &lt;https://www.fairwork.gov.au/newsroom/news/role-of-cfmeu-administrator&gt;</w:t>
      </w:r>
      <w:r w:rsidRPr="00A03B67">
        <w:t>.</w:t>
      </w:r>
    </w:p>
  </w:footnote>
  <w:footnote w:id="87">
    <w:p w14:paraId="6D3843DF" w14:textId="77777777" w:rsidR="00D82BD0" w:rsidRPr="00A03B67" w:rsidRDefault="00D82BD0" w:rsidP="00D82BD0">
      <w:pPr>
        <w:pStyle w:val="FootnoteText"/>
      </w:pPr>
      <w:r w:rsidRPr="00A03B67">
        <w:rPr>
          <w:rStyle w:val="FootnoteReference"/>
        </w:rPr>
        <w:footnoteRef/>
      </w:r>
      <w:r w:rsidRPr="00A03B67">
        <w:t xml:space="preserve"> Fair Work Commission, </w:t>
      </w:r>
      <w:r w:rsidRPr="006C0D5D">
        <w:rPr>
          <w:i/>
          <w:iCs/>
        </w:rPr>
        <w:t>General</w:t>
      </w:r>
      <w:r w:rsidRPr="00A03B67">
        <w:rPr>
          <w:i/>
          <w:iCs/>
        </w:rPr>
        <w:t xml:space="preserve"> Manager’s Statement – Administration of the CFMEU Construction and General Division</w:t>
      </w:r>
      <w:r w:rsidRPr="00A03B67">
        <w:t xml:space="preserve"> (3 October 2024) &lt;</w:t>
      </w:r>
      <w:r w:rsidRPr="006C0D5D">
        <w:t>https://www.fwc.gov.au/documents/consultation/gm-statement-cfmeu-2024-10-03.pdf</w:t>
      </w:r>
      <w:r w:rsidRPr="00A03B67">
        <w:t>&gt;.</w:t>
      </w:r>
    </w:p>
  </w:footnote>
  <w:footnote w:id="88">
    <w:p w14:paraId="6F9824B7" w14:textId="61AA3BA5" w:rsidR="00F95F5E" w:rsidRPr="002B53E3" w:rsidRDefault="00F95F5E" w:rsidP="00F95F5E">
      <w:pPr>
        <w:pStyle w:val="FootnoteText"/>
      </w:pPr>
      <w:r>
        <w:rPr>
          <w:rStyle w:val="FootnoteReference"/>
        </w:rPr>
        <w:footnoteRef/>
      </w:r>
      <w:r>
        <w:t xml:space="preserve"> </w:t>
      </w:r>
      <w:r w:rsidRPr="00483B29">
        <w:rPr>
          <w:i/>
          <w:iCs/>
        </w:rPr>
        <w:t>Fair Work (Registered Organisations) Amendment (Administration)</w:t>
      </w:r>
      <w:r>
        <w:t xml:space="preserve"> </w:t>
      </w:r>
      <w:r w:rsidRPr="000D6614">
        <w:rPr>
          <w:i/>
          <w:iCs/>
        </w:rPr>
        <w:t>Act</w:t>
      </w:r>
      <w:r>
        <w:t xml:space="preserve"> 2024 (Cth) </w:t>
      </w:r>
      <w:r w:rsidRPr="0016602B">
        <w:t>s 323E</w:t>
      </w:r>
      <w:r>
        <w:t>.</w:t>
      </w:r>
    </w:p>
  </w:footnote>
  <w:footnote w:id="89">
    <w:p w14:paraId="225E5902" w14:textId="32E7A5B4" w:rsidR="00D82BD0" w:rsidRDefault="00D82BD0" w:rsidP="00D82BD0">
      <w:pPr>
        <w:pStyle w:val="FootnoteText"/>
      </w:pPr>
      <w:r>
        <w:rPr>
          <w:rStyle w:val="FootnoteReference"/>
        </w:rPr>
        <w:footnoteRef/>
      </w:r>
      <w:r>
        <w:t xml:space="preserve"> </w:t>
      </w:r>
      <w:r w:rsidR="00B63DC1">
        <w:t>Department of Employment and Workplace Relations</w:t>
      </w:r>
      <w:r>
        <w:t xml:space="preserve">, </w:t>
      </w:r>
      <w:r w:rsidRPr="002F75DD">
        <w:rPr>
          <w:i/>
          <w:iCs/>
        </w:rPr>
        <w:t>First Bi-Annual Report of the CFMEU Administrator</w:t>
      </w:r>
      <w:r>
        <w:t xml:space="preserve"> (Report, 2025) &lt;</w:t>
      </w:r>
      <w:r w:rsidR="00B63DC1" w:rsidRPr="0015328F">
        <w:t>https://www.dewr.gov.au/workplace-relations/resources/first-biannual-report-cfmeu-administrator</w:t>
      </w:r>
      <w:r>
        <w:t>&gt;</w:t>
      </w:r>
      <w:r w:rsidR="00B63DC1">
        <w:t>.</w:t>
      </w:r>
    </w:p>
  </w:footnote>
  <w:footnote w:id="90">
    <w:p w14:paraId="18896AB6" w14:textId="3C1C04FF" w:rsidR="00D82BD0" w:rsidRDefault="00D82BD0" w:rsidP="00D82BD0">
      <w:pPr>
        <w:pStyle w:val="FootnoteText"/>
      </w:pPr>
      <w:r>
        <w:rPr>
          <w:rStyle w:val="FootnoteReference"/>
        </w:rPr>
        <w:footnoteRef/>
      </w:r>
      <w:r>
        <w:t xml:space="preserve"> Department of Employment</w:t>
      </w:r>
      <w:r w:rsidR="00B63DC1">
        <w:t xml:space="preserve"> and Workplace Relations</w:t>
      </w:r>
      <w:r>
        <w:t xml:space="preserve">, </w:t>
      </w:r>
      <w:r w:rsidRPr="00DB40AB">
        <w:rPr>
          <w:i/>
          <w:iCs/>
        </w:rPr>
        <w:t xml:space="preserve">First </w:t>
      </w:r>
      <w:r w:rsidR="00B63DC1" w:rsidRPr="00DB40AB">
        <w:rPr>
          <w:i/>
          <w:iCs/>
        </w:rPr>
        <w:t>B</w:t>
      </w:r>
      <w:r w:rsidRPr="00DB40AB">
        <w:rPr>
          <w:i/>
          <w:iCs/>
        </w:rPr>
        <w:t>i-</w:t>
      </w:r>
      <w:r w:rsidR="00B63DC1">
        <w:rPr>
          <w:i/>
          <w:iCs/>
        </w:rPr>
        <w:t>A</w:t>
      </w:r>
      <w:r w:rsidRPr="00DB40AB">
        <w:rPr>
          <w:i/>
          <w:iCs/>
        </w:rPr>
        <w:t xml:space="preserve">nnual </w:t>
      </w:r>
      <w:r w:rsidR="00B63DC1" w:rsidRPr="00DB40AB">
        <w:rPr>
          <w:i/>
          <w:iCs/>
        </w:rPr>
        <w:t>R</w:t>
      </w:r>
      <w:r w:rsidRPr="00DB40AB">
        <w:rPr>
          <w:i/>
          <w:iCs/>
        </w:rPr>
        <w:t>eport of the CFMEU Administrator</w:t>
      </w:r>
      <w:r>
        <w:t xml:space="preserve"> </w:t>
      </w:r>
      <w:r w:rsidR="00B63DC1">
        <w:t xml:space="preserve">(Report, </w:t>
      </w:r>
      <w:r>
        <w:t>2025</w:t>
      </w:r>
      <w:r w:rsidR="00B63DC1">
        <w:t>)</w:t>
      </w:r>
      <w:r>
        <w:t xml:space="preserve"> </w:t>
      </w:r>
      <w:r w:rsidR="007E179D" w:rsidRPr="007E179D">
        <w:t>https://www.dewr.gov.au/workplace-relations/resources/first-biannual-report-cfmeu-administrator</w:t>
      </w:r>
      <w:r w:rsidR="00B63DC1">
        <w:t>.</w:t>
      </w:r>
    </w:p>
  </w:footnote>
  <w:footnote w:id="91">
    <w:p w14:paraId="6ACF7872" w14:textId="2F4019F4" w:rsidR="00D82BD0" w:rsidRDefault="00D82BD0" w:rsidP="00D82BD0">
      <w:pPr>
        <w:pStyle w:val="FootnoteText"/>
      </w:pPr>
      <w:r>
        <w:rPr>
          <w:rStyle w:val="FootnoteReference"/>
        </w:rPr>
        <w:footnoteRef/>
      </w:r>
      <w:r>
        <w:t xml:space="preserve"> Department of Employment</w:t>
      </w:r>
      <w:r w:rsidR="00B63DC1">
        <w:t xml:space="preserve"> and Workplace Relations</w:t>
      </w:r>
      <w:r>
        <w:t xml:space="preserve">, </w:t>
      </w:r>
      <w:r w:rsidRPr="00DB40AB">
        <w:rPr>
          <w:i/>
          <w:iCs/>
        </w:rPr>
        <w:t xml:space="preserve">First </w:t>
      </w:r>
      <w:r w:rsidR="00B63DC1" w:rsidRPr="00DB40AB">
        <w:rPr>
          <w:i/>
          <w:iCs/>
        </w:rPr>
        <w:t>B</w:t>
      </w:r>
      <w:r w:rsidRPr="00DB40AB">
        <w:rPr>
          <w:i/>
          <w:iCs/>
        </w:rPr>
        <w:t>i-</w:t>
      </w:r>
      <w:r w:rsidR="00B63DC1" w:rsidRPr="00DB40AB">
        <w:rPr>
          <w:i/>
          <w:iCs/>
        </w:rPr>
        <w:t>A</w:t>
      </w:r>
      <w:r w:rsidRPr="00DB40AB">
        <w:rPr>
          <w:i/>
          <w:iCs/>
        </w:rPr>
        <w:t xml:space="preserve">nnual </w:t>
      </w:r>
      <w:r w:rsidR="00B63DC1" w:rsidRPr="00DB40AB">
        <w:rPr>
          <w:i/>
          <w:iCs/>
        </w:rPr>
        <w:t>R</w:t>
      </w:r>
      <w:r w:rsidRPr="00DB40AB">
        <w:rPr>
          <w:i/>
          <w:iCs/>
        </w:rPr>
        <w:t>eport of the CFMEU Administrator</w:t>
      </w:r>
      <w:r>
        <w:t xml:space="preserve"> </w:t>
      </w:r>
      <w:r w:rsidR="00B63DC1">
        <w:t xml:space="preserve">(Report, </w:t>
      </w:r>
      <w:r>
        <w:t>2025</w:t>
      </w:r>
      <w:r w:rsidR="00B63DC1">
        <w:t>)</w:t>
      </w:r>
      <w:r>
        <w:t xml:space="preserve"> </w:t>
      </w:r>
      <w:r w:rsidR="00B63DC1">
        <w:t>&lt;</w:t>
      </w:r>
      <w:r w:rsidR="00B63DC1" w:rsidRPr="00DB40AB">
        <w:t>https://www.dewr.gov.au/workplace-relations/resources/first-biannual-report-cfmeu-administrator</w:t>
      </w:r>
      <w:r w:rsidR="00B63DC1">
        <w:t>&gt;.</w:t>
      </w:r>
    </w:p>
  </w:footnote>
  <w:footnote w:id="92">
    <w:p w14:paraId="344C8D53" w14:textId="5E7D3892" w:rsidR="00D82BD0" w:rsidRPr="00A03B67" w:rsidRDefault="00D82BD0" w:rsidP="00D82BD0">
      <w:pPr>
        <w:pStyle w:val="FootnoteText"/>
      </w:pPr>
      <w:r w:rsidRPr="00A03B67">
        <w:rPr>
          <w:rStyle w:val="FootnoteReference"/>
        </w:rPr>
        <w:footnoteRef/>
      </w:r>
      <w:r w:rsidRPr="00A03B67">
        <w:t xml:space="preserve"> Fair Work Ombudsman, </w:t>
      </w:r>
      <w:r w:rsidRPr="00A03B67">
        <w:rPr>
          <w:i/>
          <w:iCs/>
        </w:rPr>
        <w:t>Fair Work Ombudsman Statement on the CFMEU</w:t>
      </w:r>
      <w:r w:rsidRPr="00A03B67">
        <w:t xml:space="preserve"> (Media Release, 18 July 2024) </w:t>
      </w:r>
      <w:r w:rsidRPr="00FC38E6">
        <w:t>https://www.fairwork.gov.au/newsroom/media-releases/2024-media-releases/july-2024/20240718/FWO-statement-on-CFMEU-media-release</w:t>
      </w:r>
      <w:r w:rsidR="00CC04FD">
        <w:t xml:space="preserve">; </w:t>
      </w:r>
      <w:r w:rsidR="00CC04FD" w:rsidRPr="00A03B67">
        <w:t>The Hon Tony Burke MP, Minister for Employment and Workplace Relations, ’Taking Action to Clean Up the Construction Industry</w:t>
      </w:r>
      <w:r w:rsidR="00CC04FD" w:rsidRPr="00A03B67">
        <w:rPr>
          <w:lang w:val="en-US"/>
        </w:rPr>
        <w:t>’ (Media Release, 17 July 2024) &lt;https://ministers.dewr.gov.au/burke/taking-action-clean-construction-industry#:~:text=The%20number%20one%20job%20of,these%20issues%20and%20we%20are&gt;.</w:t>
      </w:r>
    </w:p>
  </w:footnote>
  <w:footnote w:id="93">
    <w:p w14:paraId="788C3D0D" w14:textId="2486B1E7" w:rsidR="00D82BD0" w:rsidRDefault="00D82BD0" w:rsidP="00D82BD0">
      <w:pPr>
        <w:pStyle w:val="FootnoteText"/>
      </w:pPr>
      <w:r>
        <w:rPr>
          <w:rStyle w:val="FootnoteReference"/>
        </w:rPr>
        <w:footnoteRef/>
      </w:r>
      <w:r>
        <w:t xml:space="preserve"> </w:t>
      </w:r>
      <w:r w:rsidR="00B63DC1">
        <w:t xml:space="preserve">O Ireland and D Crowe, </w:t>
      </w:r>
      <w:r>
        <w:t xml:space="preserve">‘Fair Work </w:t>
      </w:r>
      <w:r w:rsidR="00B63DC1">
        <w:t>L</w:t>
      </w:r>
      <w:r>
        <w:t xml:space="preserve">aunches 42 </w:t>
      </w:r>
      <w:r w:rsidR="00B63DC1">
        <w:t>P</w:t>
      </w:r>
      <w:r>
        <w:t xml:space="preserve">robes </w:t>
      </w:r>
      <w:r w:rsidR="00B63DC1">
        <w:t>I</w:t>
      </w:r>
      <w:r>
        <w:t xml:space="preserve">nto CFMEU </w:t>
      </w:r>
      <w:r w:rsidR="00B63DC1">
        <w:t>C</w:t>
      </w:r>
      <w:r>
        <w:t xml:space="preserve">oercion, </w:t>
      </w:r>
      <w:r w:rsidR="00B63DC1">
        <w:t>C</w:t>
      </w:r>
      <w:r>
        <w:t>orruption</w:t>
      </w:r>
      <w:r w:rsidR="00B63DC1">
        <w:t>’</w:t>
      </w:r>
      <w:r>
        <w:t xml:space="preserve">, </w:t>
      </w:r>
      <w:r w:rsidR="00B63DC1" w:rsidRPr="00DB40AB">
        <w:rPr>
          <w:i/>
          <w:iCs/>
        </w:rPr>
        <w:t>The Age</w:t>
      </w:r>
      <w:r w:rsidR="00B63DC1">
        <w:t xml:space="preserve"> (online, </w:t>
      </w:r>
      <w:r>
        <w:t>16 October 2024</w:t>
      </w:r>
      <w:r w:rsidR="00B63DC1">
        <w:t>)</w:t>
      </w:r>
      <w:r>
        <w:t xml:space="preserve"> &lt;</w:t>
      </w:r>
      <w:r w:rsidRPr="00D3018E">
        <w:t>https://www.theage.com.au/politics/federal/fair-work-launches-42-probes-into-cfmeu-coercion-corruption-20241015-p5kibg.html</w:t>
      </w:r>
      <w:r>
        <w:t>&gt;</w:t>
      </w:r>
      <w:r w:rsidR="00B63DC1">
        <w:t>.</w:t>
      </w:r>
    </w:p>
  </w:footnote>
  <w:footnote w:id="94">
    <w:p w14:paraId="370F0872" w14:textId="2117A2D0" w:rsidR="00D82BD0" w:rsidRDefault="00D82BD0" w:rsidP="00D82BD0">
      <w:pPr>
        <w:pStyle w:val="FootnoteText"/>
      </w:pPr>
      <w:r>
        <w:rPr>
          <w:rStyle w:val="FootnoteReference"/>
        </w:rPr>
        <w:footnoteRef/>
      </w:r>
      <w:r>
        <w:t xml:space="preserve"> </w:t>
      </w:r>
      <w:r w:rsidR="00B63DC1">
        <w:t xml:space="preserve">O Ireland and D Crowe, </w:t>
      </w:r>
      <w:r>
        <w:t xml:space="preserve">‘Fair Work </w:t>
      </w:r>
      <w:r w:rsidR="00B63DC1">
        <w:t>L</w:t>
      </w:r>
      <w:r>
        <w:t xml:space="preserve">aunches 42 </w:t>
      </w:r>
      <w:r w:rsidR="00B63DC1">
        <w:t>P</w:t>
      </w:r>
      <w:r>
        <w:t xml:space="preserve">robes </w:t>
      </w:r>
      <w:r w:rsidR="00B63DC1">
        <w:t>I</w:t>
      </w:r>
      <w:r>
        <w:t xml:space="preserve">nto CFMEU </w:t>
      </w:r>
      <w:r w:rsidR="00B63DC1">
        <w:t>C</w:t>
      </w:r>
      <w:r>
        <w:t xml:space="preserve">oercion, </w:t>
      </w:r>
      <w:r w:rsidR="00B63DC1">
        <w:t>C</w:t>
      </w:r>
      <w:r>
        <w:t>orruption</w:t>
      </w:r>
      <w:r w:rsidR="00B63DC1">
        <w:t>’</w:t>
      </w:r>
      <w:r>
        <w:t xml:space="preserve">, </w:t>
      </w:r>
      <w:r w:rsidR="00B63DC1" w:rsidRPr="009B784B">
        <w:rPr>
          <w:i/>
          <w:iCs/>
        </w:rPr>
        <w:t>The Age</w:t>
      </w:r>
      <w:r w:rsidR="00B63DC1">
        <w:t xml:space="preserve"> (online, </w:t>
      </w:r>
      <w:r>
        <w:t>16 October 2024</w:t>
      </w:r>
      <w:r w:rsidR="00B63DC1">
        <w:t>)</w:t>
      </w:r>
      <w:r>
        <w:t xml:space="preserve"> &lt;</w:t>
      </w:r>
      <w:r w:rsidRPr="00D3018E">
        <w:t>https://www.theage.com.au/politics/federal/fair-work-launches-42-probes-into-cfmeu-coercion-corruption-20241015-p5kibg.html</w:t>
      </w:r>
      <w:r>
        <w:t>&gt;</w:t>
      </w:r>
      <w:r w:rsidR="00B63DC1">
        <w:t>.</w:t>
      </w:r>
    </w:p>
  </w:footnote>
  <w:footnote w:id="95">
    <w:p w14:paraId="56C3C678" w14:textId="490D19E6" w:rsidR="00D82BD0" w:rsidRDefault="00D82BD0" w:rsidP="00D82BD0">
      <w:pPr>
        <w:pStyle w:val="FootnoteText"/>
      </w:pPr>
      <w:r>
        <w:rPr>
          <w:rStyle w:val="FootnoteReference"/>
        </w:rPr>
        <w:footnoteRef/>
      </w:r>
      <w:r>
        <w:t xml:space="preserve"> Fair Work Ombudsman, ‘FWO </w:t>
      </w:r>
      <w:r w:rsidR="00B63DC1">
        <w:t>C</w:t>
      </w:r>
      <w:r>
        <w:t xml:space="preserve">ommences </w:t>
      </w:r>
      <w:r w:rsidR="00B63DC1">
        <w:t>L</w:t>
      </w:r>
      <w:r>
        <w:t xml:space="preserve">egal </w:t>
      </w:r>
      <w:r w:rsidR="00B63DC1">
        <w:t>A</w:t>
      </w:r>
      <w:r>
        <w:t xml:space="preserve">ction </w:t>
      </w:r>
      <w:r w:rsidR="00B63DC1">
        <w:t>A</w:t>
      </w:r>
      <w:r>
        <w:t xml:space="preserve">gainst CFMEU and </w:t>
      </w:r>
      <w:r w:rsidR="00B63DC1">
        <w:t>O</w:t>
      </w:r>
      <w:r>
        <w:t>fficial’ (Media Release, 24 October 2024) &lt;</w:t>
      </w:r>
      <w:r w:rsidRPr="00642DD0">
        <w:t>https://www.fairwork.gov.au/newsroom/media-releases/2024-media-releases/october-2024/20241024-cfmeu-the-esplanade-litigation-media-release</w:t>
      </w:r>
      <w:r>
        <w:t>&gt;</w:t>
      </w:r>
      <w:r w:rsidR="00B63DC1">
        <w:t>.</w:t>
      </w:r>
    </w:p>
  </w:footnote>
  <w:footnote w:id="96">
    <w:p w14:paraId="2FA1C741" w14:textId="32F05EC4" w:rsidR="00D82BD0" w:rsidRDefault="00D82BD0" w:rsidP="00D82BD0">
      <w:pPr>
        <w:pStyle w:val="FootnoteText"/>
      </w:pPr>
      <w:r>
        <w:rPr>
          <w:rStyle w:val="FootnoteReference"/>
        </w:rPr>
        <w:footnoteRef/>
      </w:r>
      <w:r>
        <w:t xml:space="preserve"> Fair Work Ombudsman, ‘Fair Work Ombudsman </w:t>
      </w:r>
      <w:r w:rsidR="00B63DC1">
        <w:t>F</w:t>
      </w:r>
      <w:r>
        <w:t xml:space="preserve">iles </w:t>
      </w:r>
      <w:r w:rsidR="00B63DC1">
        <w:t>L</w:t>
      </w:r>
      <w:r>
        <w:t xml:space="preserve">egal </w:t>
      </w:r>
      <w:r w:rsidR="00B63DC1">
        <w:t>A</w:t>
      </w:r>
      <w:r>
        <w:t xml:space="preserve">ction </w:t>
      </w:r>
      <w:r w:rsidR="00B63DC1">
        <w:t>A</w:t>
      </w:r>
      <w:r>
        <w:t xml:space="preserve">gainst John Setka and CFMEU for alleged AFL </w:t>
      </w:r>
      <w:r w:rsidR="00B63DC1">
        <w:t>C</w:t>
      </w:r>
      <w:r>
        <w:t xml:space="preserve">oercion and </w:t>
      </w:r>
      <w:r w:rsidR="00B63DC1">
        <w:t>A</w:t>
      </w:r>
      <w:r>
        <w:t xml:space="preserve">dverse </w:t>
      </w:r>
      <w:r w:rsidR="00B63DC1">
        <w:t>A</w:t>
      </w:r>
      <w:r>
        <w:t>ction’ (Media Release, 19 October 2024) &lt;</w:t>
      </w:r>
      <w:r w:rsidRPr="00642DD0">
        <w:t>https://www.fairwork.gov.au/newsroom/media-releases/</w:t>
      </w:r>
      <w:r w:rsidRPr="00AA06E7">
        <w:t>2025</w:t>
      </w:r>
      <w:r w:rsidRPr="00642DD0">
        <w:t>-media-releases/</w:t>
      </w:r>
      <w:r w:rsidRPr="00AA06E7">
        <w:t>february-2025/20250219-setka</w:t>
      </w:r>
      <w:r w:rsidRPr="00642DD0">
        <w:t>-litigation-media-release</w:t>
      </w:r>
      <w:r>
        <w:t>&gt;</w:t>
      </w:r>
      <w:r w:rsidR="00B63DC1">
        <w:t>.</w:t>
      </w:r>
    </w:p>
  </w:footnote>
  <w:footnote w:id="97">
    <w:p w14:paraId="6C65E466" w14:textId="5E62CA50" w:rsidR="00D82BD0" w:rsidRDefault="00D82BD0" w:rsidP="00D82BD0">
      <w:pPr>
        <w:pStyle w:val="FootnoteText"/>
      </w:pPr>
      <w:r w:rsidRPr="00A52E2B">
        <w:rPr>
          <w:rStyle w:val="FootnoteReference"/>
        </w:rPr>
        <w:footnoteRef/>
      </w:r>
      <w:r w:rsidR="00B63DC1" w:rsidRPr="00A52E2B">
        <w:t xml:space="preserve"> </w:t>
      </w:r>
      <w:r w:rsidR="00073534">
        <w:t>Fair Work Ombudsman, ‘FWO Commences Legal Action Against CFMEU and Official’ (Media Release, 24 October 2024) &lt;</w:t>
      </w:r>
      <w:r w:rsidR="00073534" w:rsidRPr="00697207">
        <w:t>https://www.fairwork.gov.au/newsroom/media-releases/2024-media-releases/october-2024/20241024-cfmeu-the-esplanade-litigation-media-release</w:t>
      </w:r>
      <w:r w:rsidR="00073534">
        <w:t xml:space="preserve">&gt;; Fair Work Ombudsman, ‘Fair Work Ombudsman Files Legal Action against John Setka and CFMEU for Alleged AFL Coercion and Adverse Action’ (Media Release, 19 October 2024) </w:t>
      </w:r>
      <w:r w:rsidR="00F77481" w:rsidRPr="00F77481">
        <w:t>https://www.fairwork.gov.au/newsroom/media-releases/2025-media-releases/february-2025/20250219-setka-litigation-media-release</w:t>
      </w:r>
      <w:r w:rsidR="009A3733">
        <w:t>.</w:t>
      </w:r>
    </w:p>
  </w:footnote>
  <w:footnote w:id="98">
    <w:p w14:paraId="1BF80A74" w14:textId="5DE50828" w:rsidR="00D82BD0" w:rsidRDefault="00D82BD0" w:rsidP="00D82BD0">
      <w:pPr>
        <w:pStyle w:val="FootnoteText"/>
      </w:pPr>
      <w:r>
        <w:rPr>
          <w:rStyle w:val="FootnoteReference"/>
        </w:rPr>
        <w:footnoteRef/>
      </w:r>
      <w:r>
        <w:t xml:space="preserve"> Fair Work Ombudsman, ‘FWO </w:t>
      </w:r>
      <w:r w:rsidR="00B63DC1">
        <w:t>C</w:t>
      </w:r>
      <w:r>
        <w:t xml:space="preserve">ommences </w:t>
      </w:r>
      <w:r w:rsidR="00B63DC1">
        <w:t>L</w:t>
      </w:r>
      <w:r>
        <w:t xml:space="preserve">egal </w:t>
      </w:r>
      <w:r w:rsidR="00B63DC1">
        <w:t>A</w:t>
      </w:r>
      <w:r>
        <w:t xml:space="preserve">ction </w:t>
      </w:r>
      <w:r w:rsidR="00B63DC1">
        <w:t>A</w:t>
      </w:r>
      <w:r>
        <w:t xml:space="preserve">gainst CFMEU and </w:t>
      </w:r>
      <w:r w:rsidR="00B63DC1">
        <w:t>O</w:t>
      </w:r>
      <w:r>
        <w:t xml:space="preserve">fficial’ (Media Release, 24 October 2024) </w:t>
      </w:r>
      <w:r w:rsidR="00B63DC1">
        <w:t>&lt;</w:t>
      </w:r>
      <w:r w:rsidRPr="00697207">
        <w:t>https://www.fairwork.gov.au/newsroom/media-releases/2024-media-releases/october-2024/20241024-cfmeu-the-esplanade-litigation-media-release</w:t>
      </w:r>
      <w:r w:rsidR="00B63DC1">
        <w:t>&gt;;</w:t>
      </w:r>
      <w:r>
        <w:t xml:space="preserve"> Fair Work Ombudsman, ‘Fair Work Ombudsman </w:t>
      </w:r>
      <w:r w:rsidR="00B63DC1">
        <w:t>F</w:t>
      </w:r>
      <w:r>
        <w:t xml:space="preserve">iles </w:t>
      </w:r>
      <w:r w:rsidR="00B63DC1">
        <w:t>L</w:t>
      </w:r>
      <w:r>
        <w:t xml:space="preserve">egal </w:t>
      </w:r>
      <w:r w:rsidR="00B63DC1">
        <w:t>A</w:t>
      </w:r>
      <w:r>
        <w:t xml:space="preserve">ction against John Setka and CFMEU for </w:t>
      </w:r>
      <w:r w:rsidR="00B63DC1">
        <w:t>A</w:t>
      </w:r>
      <w:r>
        <w:t xml:space="preserve">lleged AFL </w:t>
      </w:r>
      <w:r w:rsidR="00B63DC1">
        <w:t>C</w:t>
      </w:r>
      <w:r>
        <w:t xml:space="preserve">oercion and </w:t>
      </w:r>
      <w:r w:rsidR="00B63DC1">
        <w:t>A</w:t>
      </w:r>
      <w:r>
        <w:t xml:space="preserve">dverse </w:t>
      </w:r>
      <w:r w:rsidR="00B63DC1">
        <w:t>A</w:t>
      </w:r>
      <w:r>
        <w:t>ction’ (Media Release, 19 October 2024) &lt;</w:t>
      </w:r>
      <w:r w:rsidRPr="00AA06E7">
        <w:t>https://www.fairwork.gov.au/newsroom/media-releases/2025-media-releases/february-2025/20250219-setka-litigation-media-release</w:t>
      </w:r>
      <w:r>
        <w:t>&gt;</w:t>
      </w:r>
      <w:r w:rsidR="00B63DC1">
        <w:t>.</w:t>
      </w:r>
    </w:p>
  </w:footnote>
  <w:footnote w:id="99">
    <w:p w14:paraId="15B5BF1D" w14:textId="77777777" w:rsidR="00D82BD0" w:rsidRPr="00A03B67" w:rsidRDefault="00D82BD0" w:rsidP="00D82BD0">
      <w:pPr>
        <w:pStyle w:val="FootnoteText"/>
      </w:pPr>
      <w:r w:rsidRPr="00A03B67">
        <w:rPr>
          <w:rStyle w:val="FootnoteReference"/>
        </w:rPr>
        <w:footnoteRef/>
      </w:r>
      <w:r w:rsidRPr="00A03B67">
        <w:t xml:space="preserve"> Australian Council of Trade Unions (ACTU) submission, 6.</w:t>
      </w:r>
    </w:p>
  </w:footnote>
  <w:footnote w:id="100">
    <w:p w14:paraId="78716D22" w14:textId="6AF63D35" w:rsidR="00D82BD0" w:rsidRPr="00A03B67" w:rsidRDefault="00D82BD0" w:rsidP="00D82BD0">
      <w:pPr>
        <w:pStyle w:val="FootnoteText"/>
      </w:pPr>
      <w:r w:rsidRPr="00A03B67">
        <w:rPr>
          <w:rStyle w:val="FootnoteReference"/>
        </w:rPr>
        <w:footnoteRef/>
      </w:r>
      <w:r w:rsidRPr="00A03B67">
        <w:t xml:space="preserve"> </w:t>
      </w:r>
      <w:r w:rsidR="004A1003" w:rsidRPr="004A1003">
        <w:t xml:space="preserve">Construction, Forestry and Maritime Employees Union </w:t>
      </w:r>
      <w:r w:rsidR="004A1003">
        <w:t>(</w:t>
      </w:r>
      <w:r w:rsidRPr="00A03B67">
        <w:t>CFMEU</w:t>
      </w:r>
      <w:r w:rsidR="004A1003">
        <w:t>)</w:t>
      </w:r>
      <w:r w:rsidRPr="00A03B67">
        <w:t xml:space="preserve"> Construction and General Division submission, 2</w:t>
      </w:r>
      <w:r w:rsidRPr="00A03B67">
        <w:rPr>
          <w:rFonts w:ascii="Symbol" w:eastAsia="Symbol" w:hAnsi="Symbol" w:cs="Symbol"/>
        </w:rPr>
        <w:t>-</w:t>
      </w:r>
      <w:r w:rsidRPr="00A03B67">
        <w:t>3.</w:t>
      </w:r>
    </w:p>
  </w:footnote>
  <w:footnote w:id="101">
    <w:p w14:paraId="3274BAFF" w14:textId="77777777" w:rsidR="00D82BD0" w:rsidRPr="00A03B67" w:rsidRDefault="00D82BD0" w:rsidP="00D82BD0">
      <w:pPr>
        <w:pStyle w:val="FootnoteText"/>
      </w:pPr>
      <w:r w:rsidRPr="00A03B67">
        <w:rPr>
          <w:rStyle w:val="FootnoteReference"/>
        </w:rPr>
        <w:footnoteRef/>
      </w:r>
      <w:r w:rsidRPr="00A03B67">
        <w:t xml:space="preserve"> CFMEU Construction and General Division submission, 3.</w:t>
      </w:r>
    </w:p>
  </w:footnote>
  <w:footnote w:id="102">
    <w:p w14:paraId="5995D70A" w14:textId="1A85C203" w:rsidR="00E9098E" w:rsidRDefault="00E9098E">
      <w:pPr>
        <w:pStyle w:val="FootnoteText"/>
      </w:pPr>
      <w:r>
        <w:rPr>
          <w:rStyle w:val="FootnoteReference"/>
        </w:rPr>
        <w:footnoteRef/>
      </w:r>
      <w:r>
        <w:t xml:space="preserve"> </w:t>
      </w:r>
      <w:r w:rsidR="00250690" w:rsidRPr="00A03B67">
        <w:t>CFMEU Construction and General Division submission, 3.</w:t>
      </w:r>
      <w:r w:rsidR="005A76F6">
        <w:t xml:space="preserve"> </w:t>
      </w:r>
    </w:p>
  </w:footnote>
  <w:footnote w:id="103">
    <w:p w14:paraId="4336960A" w14:textId="77777777" w:rsidR="00D82BD0" w:rsidRPr="00A03B67" w:rsidRDefault="00D82BD0" w:rsidP="00D82BD0">
      <w:pPr>
        <w:pStyle w:val="FootnoteText"/>
      </w:pPr>
      <w:r w:rsidRPr="00A03B67">
        <w:rPr>
          <w:rStyle w:val="FootnoteReference"/>
        </w:rPr>
        <w:footnoteRef/>
      </w:r>
      <w:r w:rsidRPr="00A03B67">
        <w:t xml:space="preserve"> CFMEU Construction and General Division submission, 3</w:t>
      </w:r>
      <w:r w:rsidRPr="00A03B67">
        <w:rPr>
          <w:rFonts w:ascii="Symbol" w:eastAsia="Symbol" w:hAnsi="Symbol" w:cs="Symbol"/>
        </w:rPr>
        <w:t>-</w:t>
      </w:r>
      <w:r w:rsidRPr="00A03B67">
        <w:t>4.</w:t>
      </w:r>
    </w:p>
  </w:footnote>
  <w:footnote w:id="104">
    <w:p w14:paraId="2026C976" w14:textId="77777777" w:rsidR="00D82BD0" w:rsidRPr="00A03B67" w:rsidRDefault="00D82BD0" w:rsidP="00D82BD0">
      <w:pPr>
        <w:pStyle w:val="FootnoteText"/>
      </w:pPr>
      <w:r w:rsidRPr="00A03B67">
        <w:rPr>
          <w:rStyle w:val="FootnoteReference"/>
        </w:rPr>
        <w:footnoteRef/>
      </w:r>
      <w:r w:rsidRPr="00A03B67">
        <w:t xml:space="preserve"> CFMEU Construction and General Division submission, 3, citing </w:t>
      </w:r>
      <w:r w:rsidRPr="00A03B67">
        <w:rPr>
          <w:lang w:val="en-US"/>
        </w:rPr>
        <w:t xml:space="preserve">Fair Work Ombudsman, </w:t>
      </w:r>
      <w:r w:rsidRPr="00A03B67">
        <w:rPr>
          <w:i/>
          <w:iCs/>
          <w:lang w:val="en-US"/>
        </w:rPr>
        <w:t>National Building and Construction Industry Campaign 2014/15</w:t>
      </w:r>
      <w:r w:rsidRPr="00A03B67">
        <w:rPr>
          <w:lang w:val="en-US"/>
        </w:rPr>
        <w:t xml:space="preserve"> (Report, 2015).</w:t>
      </w:r>
    </w:p>
  </w:footnote>
  <w:footnote w:id="105">
    <w:p w14:paraId="0B0B86D1" w14:textId="77777777" w:rsidR="00D82BD0" w:rsidRPr="00A03B67" w:rsidRDefault="00D82BD0" w:rsidP="00D82BD0">
      <w:pPr>
        <w:pStyle w:val="FootnoteText"/>
      </w:pPr>
      <w:r w:rsidRPr="00A03B67">
        <w:rPr>
          <w:rStyle w:val="FootnoteReference"/>
        </w:rPr>
        <w:footnoteRef/>
      </w:r>
      <w:r w:rsidRPr="00A03B67">
        <w:t xml:space="preserve"> Ai Group submission, 123.</w:t>
      </w:r>
    </w:p>
  </w:footnote>
  <w:footnote w:id="106">
    <w:p w14:paraId="543FB653" w14:textId="0D411C2D" w:rsidR="00D82BD0" w:rsidRPr="00A03B67" w:rsidRDefault="00D82BD0" w:rsidP="00D82BD0">
      <w:pPr>
        <w:pStyle w:val="FootnoteText"/>
      </w:pPr>
      <w:r w:rsidRPr="00A03B67">
        <w:rPr>
          <w:rStyle w:val="FootnoteReference"/>
        </w:rPr>
        <w:footnoteRef/>
      </w:r>
      <w:r w:rsidRPr="00A03B67">
        <w:t xml:space="preserve"> BCA submission, 16.</w:t>
      </w:r>
    </w:p>
  </w:footnote>
  <w:footnote w:id="107">
    <w:p w14:paraId="2B42630C" w14:textId="3138000D" w:rsidR="00D82BD0" w:rsidRPr="00A03B67" w:rsidRDefault="00D82BD0" w:rsidP="00D82BD0">
      <w:pPr>
        <w:pStyle w:val="FootnoteText"/>
      </w:pPr>
      <w:r w:rsidRPr="00A03B67">
        <w:rPr>
          <w:rStyle w:val="FootnoteReference"/>
        </w:rPr>
        <w:footnoteRef/>
      </w:r>
      <w:r w:rsidRPr="00A03B67">
        <w:t xml:space="preserve"> HIA submission, 1.</w:t>
      </w:r>
    </w:p>
  </w:footnote>
  <w:footnote w:id="108">
    <w:p w14:paraId="2CDE957B" w14:textId="1C4FDE2E" w:rsidR="00D82BD0" w:rsidRPr="00A03B67" w:rsidRDefault="00D82BD0" w:rsidP="00D82BD0">
      <w:pPr>
        <w:pStyle w:val="FootnoteText"/>
      </w:pPr>
      <w:r w:rsidRPr="00A03B67">
        <w:rPr>
          <w:rStyle w:val="FootnoteReference"/>
        </w:rPr>
        <w:footnoteRef/>
      </w:r>
      <w:r w:rsidRPr="00A03B67">
        <w:t xml:space="preserve"> MCA submission, 7.</w:t>
      </w:r>
    </w:p>
  </w:footnote>
  <w:footnote w:id="109">
    <w:p w14:paraId="72196C84" w14:textId="2FB36E36" w:rsidR="00D82BD0" w:rsidRPr="00A03B67" w:rsidRDefault="00D82BD0" w:rsidP="00D82BD0">
      <w:pPr>
        <w:pStyle w:val="FootnoteText"/>
      </w:pPr>
      <w:r w:rsidRPr="00A03B67">
        <w:rPr>
          <w:rStyle w:val="FootnoteReference"/>
        </w:rPr>
        <w:footnoteRef/>
      </w:r>
      <w:r w:rsidRPr="00A03B67">
        <w:t xml:space="preserve"> MBA submission, 9.</w:t>
      </w:r>
    </w:p>
  </w:footnote>
  <w:footnote w:id="110">
    <w:p w14:paraId="5465062D" w14:textId="098C1CB7" w:rsidR="00D82BD0" w:rsidRPr="00A03B67" w:rsidRDefault="00D82BD0" w:rsidP="00D82BD0">
      <w:pPr>
        <w:pStyle w:val="FootnoteText"/>
      </w:pPr>
      <w:r w:rsidRPr="00A03B67">
        <w:rPr>
          <w:rStyle w:val="FootnoteReference"/>
        </w:rPr>
        <w:footnoteRef/>
      </w:r>
      <w:r w:rsidRPr="00A03B67">
        <w:t xml:space="preserve"> AREEA submission, 20.</w:t>
      </w:r>
    </w:p>
  </w:footnote>
  <w:footnote w:id="111">
    <w:p w14:paraId="42AAE0DC" w14:textId="77777777" w:rsidR="00D82BD0" w:rsidRPr="00A03B67" w:rsidRDefault="00D82BD0" w:rsidP="00D82BD0">
      <w:pPr>
        <w:pStyle w:val="FootnoteText"/>
      </w:pPr>
      <w:r w:rsidRPr="00A03B67">
        <w:rPr>
          <w:rStyle w:val="FootnoteReference"/>
        </w:rPr>
        <w:footnoteRef/>
      </w:r>
      <w:r w:rsidRPr="00A03B67">
        <w:t xml:space="preserve"> Mining and Energy Union (MEA) submission, 1</w:t>
      </w:r>
      <w:r w:rsidRPr="00A03B67">
        <w:rPr>
          <w:rFonts w:ascii="Symbol" w:eastAsia="Symbol" w:hAnsi="Symbol" w:cs="Symbol"/>
        </w:rPr>
        <w:t>-</w:t>
      </w:r>
      <w:r w:rsidRPr="00A03B67">
        <w:t>2.</w:t>
      </w:r>
    </w:p>
  </w:footnote>
  <w:footnote w:id="112">
    <w:p w14:paraId="30814312" w14:textId="59FA5684" w:rsidR="00D82BD0" w:rsidRPr="00A03B67" w:rsidRDefault="00D82BD0" w:rsidP="00D82BD0">
      <w:pPr>
        <w:pStyle w:val="FootnoteText"/>
      </w:pPr>
      <w:r w:rsidRPr="00A03B67">
        <w:rPr>
          <w:rStyle w:val="FootnoteReference"/>
        </w:rPr>
        <w:footnoteRef/>
      </w:r>
      <w:r w:rsidRPr="00A03B67">
        <w:t xml:space="preserve"> MBA submission, 8.</w:t>
      </w:r>
    </w:p>
  </w:footnote>
  <w:footnote w:id="113">
    <w:p w14:paraId="69F6D9A3" w14:textId="0440304D" w:rsidR="00D82BD0" w:rsidRPr="00A03B67" w:rsidRDefault="00D82BD0" w:rsidP="00D82BD0">
      <w:pPr>
        <w:pStyle w:val="FootnoteText"/>
      </w:pPr>
      <w:r w:rsidRPr="00A03B67">
        <w:rPr>
          <w:rStyle w:val="FootnoteReference"/>
        </w:rPr>
        <w:footnoteRef/>
      </w:r>
      <w:r w:rsidRPr="00A03B67">
        <w:t xml:space="preserve"> MBA submission, 6.</w:t>
      </w:r>
    </w:p>
  </w:footnote>
  <w:footnote w:id="114">
    <w:p w14:paraId="3E0822B9" w14:textId="77777777" w:rsidR="00D82BD0" w:rsidRPr="00A03B67" w:rsidRDefault="00D82BD0" w:rsidP="00D82BD0">
      <w:pPr>
        <w:pStyle w:val="FootnoteText"/>
      </w:pPr>
      <w:r w:rsidRPr="00A03B67">
        <w:rPr>
          <w:rStyle w:val="FootnoteReference"/>
        </w:rPr>
        <w:footnoteRef/>
      </w:r>
      <w:r w:rsidRPr="00A03B67">
        <w:t xml:space="preserve"> </w:t>
      </w:r>
      <w:r w:rsidRPr="00A03B67">
        <w:rPr>
          <w:i/>
          <w:iCs/>
          <w:lang w:val="en-US"/>
        </w:rPr>
        <w:t>Fair Work Ombudsman v Construction, Forestry and Maritime Employees Union (M1 Yatala Exit 41 Case)</w:t>
      </w:r>
      <w:r w:rsidRPr="00A03B67">
        <w:rPr>
          <w:lang w:val="en-US"/>
        </w:rPr>
        <w:t xml:space="preserve"> [2024] FedCFamC2G 340, 126.</w:t>
      </w:r>
    </w:p>
  </w:footnote>
  <w:footnote w:id="115">
    <w:p w14:paraId="5928EB3F" w14:textId="77777777" w:rsidR="00D82BD0" w:rsidRPr="00A03B67" w:rsidRDefault="00D82BD0" w:rsidP="00D82BD0">
      <w:pPr>
        <w:pStyle w:val="FootnoteText"/>
      </w:pPr>
      <w:r w:rsidRPr="00A03B67">
        <w:rPr>
          <w:rStyle w:val="FootnoteReference"/>
        </w:rPr>
        <w:footnoteRef/>
      </w:r>
      <w:r w:rsidRPr="00A03B67">
        <w:t xml:space="preserve"> Australian Chamber of Commerce and Industry (ACCI) submission, 58.</w:t>
      </w:r>
    </w:p>
  </w:footnote>
  <w:footnote w:id="116">
    <w:p w14:paraId="05E19512" w14:textId="2DE29A1D" w:rsidR="00750D2B" w:rsidRDefault="00750D2B">
      <w:pPr>
        <w:pStyle w:val="FootnoteText"/>
      </w:pPr>
      <w:r>
        <w:rPr>
          <w:rStyle w:val="FootnoteReference"/>
        </w:rPr>
        <w:footnoteRef/>
      </w:r>
      <w:r>
        <w:t xml:space="preserve"> </w:t>
      </w:r>
      <w:r w:rsidRPr="00A03B67">
        <w:t xml:space="preserve">ACCI submission, </w:t>
      </w:r>
      <w:r w:rsidR="00D3473A">
        <w:t>58</w:t>
      </w:r>
      <w:r w:rsidR="00907199">
        <w:t xml:space="preserve">. </w:t>
      </w:r>
    </w:p>
  </w:footnote>
  <w:footnote w:id="117">
    <w:p w14:paraId="11D5BA23" w14:textId="1670DF36" w:rsidR="00D82BD0" w:rsidRPr="00A03B67" w:rsidRDefault="00D82BD0" w:rsidP="00D82BD0">
      <w:pPr>
        <w:pStyle w:val="FootnoteText"/>
      </w:pPr>
      <w:r w:rsidRPr="00A03B67">
        <w:rPr>
          <w:rStyle w:val="FootnoteReference"/>
        </w:rPr>
        <w:footnoteRef/>
      </w:r>
      <w:r w:rsidRPr="00A03B67">
        <w:t xml:space="preserve"> MBA submission, 7</w:t>
      </w:r>
      <w:r w:rsidRPr="00A03B67">
        <w:rPr>
          <w:rFonts w:ascii="Symbol" w:eastAsia="Symbol" w:hAnsi="Symbol" w:cs="Symbol"/>
        </w:rPr>
        <w:t>-</w:t>
      </w:r>
      <w:r w:rsidRPr="00A03B67">
        <w:t>8.</w:t>
      </w:r>
    </w:p>
  </w:footnote>
  <w:footnote w:id="118">
    <w:p w14:paraId="4F5299EB" w14:textId="77777777" w:rsidR="00D82BD0" w:rsidRPr="00A03B67" w:rsidRDefault="00D82BD0" w:rsidP="00D82BD0">
      <w:pPr>
        <w:pStyle w:val="FootnoteText"/>
      </w:pPr>
      <w:r w:rsidRPr="00A03B67">
        <w:rPr>
          <w:rStyle w:val="FootnoteReference"/>
        </w:rPr>
        <w:footnoteRef/>
      </w:r>
      <w:r w:rsidRPr="00A03B67">
        <w:t xml:space="preserve"> D Marin-Guzman, ‘</w:t>
      </w:r>
      <w:r w:rsidRPr="00A03B67">
        <w:rPr>
          <w:lang w:val="en-US"/>
        </w:rPr>
        <w:t xml:space="preserve">CFMEU Deal Helps Add 10pc to Apartment Costs’, </w:t>
      </w:r>
      <w:r w:rsidRPr="00A03B67">
        <w:rPr>
          <w:i/>
          <w:iCs/>
          <w:lang w:val="en-US"/>
        </w:rPr>
        <w:t>AFR</w:t>
      </w:r>
      <w:r w:rsidRPr="00A03B67">
        <w:rPr>
          <w:lang w:val="en-US"/>
        </w:rPr>
        <w:t xml:space="preserve"> (online, 10 July 2024); M Bleby, ‘New Union Wage Agreements to Drive Construction Costs Higher, RLB says’, </w:t>
      </w:r>
      <w:r w:rsidRPr="00A03B67">
        <w:rPr>
          <w:i/>
          <w:iCs/>
          <w:lang w:val="en-US"/>
        </w:rPr>
        <w:t>AFR</w:t>
      </w:r>
      <w:r w:rsidRPr="00A03B67">
        <w:rPr>
          <w:lang w:val="en-US"/>
        </w:rPr>
        <w:t xml:space="preserve"> (online, 6 February 2024); </w:t>
      </w:r>
      <w:r w:rsidRPr="00A03B67">
        <w:t>D Marin-Guzman, ‘</w:t>
      </w:r>
      <w:r w:rsidRPr="00A03B67">
        <w:rPr>
          <w:lang w:val="en-US"/>
        </w:rPr>
        <w:t xml:space="preserve">Secret Union Push for 26pc Pay Rise to Spike Building Costs’, </w:t>
      </w:r>
      <w:r w:rsidRPr="00A03B67">
        <w:rPr>
          <w:i/>
          <w:iCs/>
          <w:lang w:val="en-US"/>
        </w:rPr>
        <w:t>AFR</w:t>
      </w:r>
      <w:r w:rsidRPr="00A03B67">
        <w:rPr>
          <w:lang w:val="en-US"/>
        </w:rPr>
        <w:t xml:space="preserve"> (online, 8 March 2024).</w:t>
      </w:r>
    </w:p>
  </w:footnote>
  <w:footnote w:id="119">
    <w:p w14:paraId="2EE7B7F8" w14:textId="5BDA0233" w:rsidR="00D82BD0" w:rsidRPr="00A03B67" w:rsidRDefault="00D82BD0" w:rsidP="00D82BD0">
      <w:pPr>
        <w:pStyle w:val="FootnoteText"/>
      </w:pPr>
      <w:r w:rsidRPr="00A03B67">
        <w:rPr>
          <w:rStyle w:val="FootnoteReference"/>
        </w:rPr>
        <w:footnoteRef/>
      </w:r>
      <w:r w:rsidRPr="00A03B67">
        <w:t xml:space="preserve"> Ai Group submission, 127</w:t>
      </w:r>
      <w:r w:rsidR="004A1003">
        <w:t>;</w:t>
      </w:r>
      <w:r>
        <w:t xml:space="preserve"> and </w:t>
      </w:r>
      <w:r w:rsidRPr="00A03B67">
        <w:t>HIA submission, 3.</w:t>
      </w:r>
    </w:p>
  </w:footnote>
  <w:footnote w:id="120">
    <w:p w14:paraId="0A8978A4" w14:textId="73966A0A" w:rsidR="00D82BD0" w:rsidRDefault="00D82BD0" w:rsidP="00D82BD0">
      <w:pPr>
        <w:pStyle w:val="FootnoteText"/>
      </w:pPr>
      <w:r>
        <w:rPr>
          <w:rStyle w:val="FootnoteReference"/>
        </w:rPr>
        <w:footnoteRef/>
      </w:r>
      <w:r>
        <w:t xml:space="preserve"> ACCI </w:t>
      </w:r>
      <w:r w:rsidR="004A1003">
        <w:t>s</w:t>
      </w:r>
      <w:r>
        <w:t>ubmission in response to draft report, 6</w:t>
      </w:r>
      <w:r w:rsidR="00B63DC1">
        <w:rPr>
          <w:rFonts w:ascii="Symbol" w:eastAsia="Symbol" w:hAnsi="Symbol" w:cs="Symbol"/>
        </w:rPr>
        <w:t>-</w:t>
      </w:r>
      <w:r>
        <w:t>7.</w:t>
      </w:r>
    </w:p>
  </w:footnote>
  <w:footnote w:id="121">
    <w:p w14:paraId="56E5F35C" w14:textId="720ED422" w:rsidR="00D82BD0" w:rsidRDefault="00D82BD0" w:rsidP="00D82BD0">
      <w:pPr>
        <w:pStyle w:val="FootnoteText"/>
      </w:pPr>
      <w:r>
        <w:rPr>
          <w:rStyle w:val="FootnoteReference"/>
        </w:rPr>
        <w:footnoteRef/>
      </w:r>
      <w:r>
        <w:t xml:space="preserve"> Ai Group </w:t>
      </w:r>
      <w:r w:rsidR="004A1003">
        <w:t>s</w:t>
      </w:r>
      <w:r>
        <w:t>ubmission in response to draft report, 8.</w:t>
      </w:r>
    </w:p>
  </w:footnote>
  <w:footnote w:id="122">
    <w:p w14:paraId="4EB5EAB6" w14:textId="46246D0D" w:rsidR="00D82BD0" w:rsidRDefault="00D82BD0" w:rsidP="00D82BD0">
      <w:pPr>
        <w:pStyle w:val="FootnoteText"/>
      </w:pPr>
      <w:r>
        <w:rPr>
          <w:rStyle w:val="FootnoteReference"/>
        </w:rPr>
        <w:footnoteRef/>
      </w:r>
      <w:r>
        <w:t xml:space="preserve"> Ai Group </w:t>
      </w:r>
      <w:r w:rsidR="004A1003">
        <w:t>su</w:t>
      </w:r>
      <w:r>
        <w:t>bmission in response to draft report, 14.</w:t>
      </w:r>
    </w:p>
  </w:footnote>
  <w:footnote w:id="123">
    <w:p w14:paraId="33FA1D3D" w14:textId="08298212" w:rsidR="00D82BD0" w:rsidRDefault="00D82BD0" w:rsidP="00D82BD0">
      <w:pPr>
        <w:pStyle w:val="FootnoteText"/>
      </w:pPr>
      <w:r>
        <w:rPr>
          <w:rStyle w:val="FootnoteReference"/>
        </w:rPr>
        <w:footnoteRef/>
      </w:r>
      <w:r>
        <w:t xml:space="preserve"> A</w:t>
      </w:r>
      <w:r w:rsidR="004A1003">
        <w:t>i</w:t>
      </w:r>
      <w:r>
        <w:t xml:space="preserve"> Group </w:t>
      </w:r>
      <w:r w:rsidR="004A1003">
        <w:t>s</w:t>
      </w:r>
      <w:r>
        <w:t>ubmission in response to draft report, 9.</w:t>
      </w:r>
    </w:p>
  </w:footnote>
  <w:footnote w:id="124">
    <w:p w14:paraId="1D406DD3" w14:textId="3B6FB49F" w:rsidR="00D82BD0" w:rsidRDefault="00D82BD0" w:rsidP="00D82BD0">
      <w:pPr>
        <w:pStyle w:val="FootnoteText"/>
      </w:pPr>
      <w:r>
        <w:rPr>
          <w:rStyle w:val="FootnoteReference"/>
        </w:rPr>
        <w:footnoteRef/>
      </w:r>
      <w:r>
        <w:t xml:space="preserve"> Submission in response to draft report, 2.</w:t>
      </w:r>
    </w:p>
  </w:footnote>
  <w:footnote w:id="125">
    <w:p w14:paraId="4BC20820" w14:textId="563BE3F2" w:rsidR="00D82BD0" w:rsidRDefault="00D82BD0" w:rsidP="00D82BD0">
      <w:pPr>
        <w:pStyle w:val="FootnoteText"/>
      </w:pPr>
      <w:r>
        <w:rPr>
          <w:rStyle w:val="FootnoteReference"/>
        </w:rPr>
        <w:footnoteRef/>
      </w:r>
      <w:r>
        <w:t xml:space="preserve"> BCA </w:t>
      </w:r>
      <w:r w:rsidR="00B63DC1">
        <w:t>s</w:t>
      </w:r>
      <w:r>
        <w:t>ubmission in response to draft report, 6</w:t>
      </w:r>
      <w:r w:rsidR="00B63DC1">
        <w:rPr>
          <w:rFonts w:ascii="Symbol" w:eastAsia="Symbol" w:hAnsi="Symbol" w:cs="Symbol"/>
        </w:rPr>
        <w:t>-</w:t>
      </w:r>
      <w:r>
        <w:t>7.</w:t>
      </w:r>
    </w:p>
  </w:footnote>
  <w:footnote w:id="126">
    <w:p w14:paraId="6DBE909C" w14:textId="52A4A370" w:rsidR="00D82BD0" w:rsidRDefault="00D82BD0" w:rsidP="00D82BD0">
      <w:pPr>
        <w:pStyle w:val="FootnoteText"/>
      </w:pPr>
      <w:r>
        <w:rPr>
          <w:rStyle w:val="FootnoteReference"/>
        </w:rPr>
        <w:footnoteRef/>
      </w:r>
      <w:r>
        <w:t xml:space="preserve"> BCA </w:t>
      </w:r>
      <w:r w:rsidR="00B63DC1">
        <w:t>s</w:t>
      </w:r>
      <w:r>
        <w:t>ubmission in response to draft report, 7.</w:t>
      </w:r>
    </w:p>
  </w:footnote>
  <w:footnote w:id="127">
    <w:p w14:paraId="42BE9A79" w14:textId="111EE871" w:rsidR="00D82BD0" w:rsidRDefault="00D82BD0" w:rsidP="00D82BD0">
      <w:pPr>
        <w:pStyle w:val="FootnoteText"/>
      </w:pPr>
      <w:r>
        <w:rPr>
          <w:rStyle w:val="FootnoteReference"/>
        </w:rPr>
        <w:footnoteRef/>
      </w:r>
      <w:r>
        <w:t xml:space="preserve"> BCA </w:t>
      </w:r>
      <w:r w:rsidR="00B63DC1">
        <w:t>s</w:t>
      </w:r>
      <w:r>
        <w:t>ubmission in response to draft report, 7.</w:t>
      </w:r>
    </w:p>
  </w:footnote>
  <w:footnote w:id="128">
    <w:p w14:paraId="2538D9B8" w14:textId="69C7E7FA" w:rsidR="00D82BD0" w:rsidRDefault="00D82BD0" w:rsidP="00D82BD0">
      <w:pPr>
        <w:pStyle w:val="FootnoteText"/>
      </w:pPr>
      <w:r>
        <w:rPr>
          <w:rStyle w:val="FootnoteReference"/>
        </w:rPr>
        <w:footnoteRef/>
      </w:r>
      <w:r>
        <w:t xml:space="preserve"> BCA </w:t>
      </w:r>
      <w:r w:rsidR="00B63DC1">
        <w:t>s</w:t>
      </w:r>
      <w:r>
        <w:t>ubmission in response to draft report, 7.</w:t>
      </w:r>
    </w:p>
  </w:footnote>
  <w:footnote w:id="129">
    <w:p w14:paraId="11051F72" w14:textId="46EA7D84" w:rsidR="00D82BD0" w:rsidRDefault="00D82BD0" w:rsidP="00D82BD0">
      <w:pPr>
        <w:pStyle w:val="FootnoteText"/>
      </w:pPr>
      <w:r>
        <w:rPr>
          <w:rStyle w:val="FootnoteReference"/>
        </w:rPr>
        <w:footnoteRef/>
      </w:r>
      <w:r>
        <w:t xml:space="preserve"> A</w:t>
      </w:r>
      <w:r w:rsidR="004A1003">
        <w:t>i</w:t>
      </w:r>
      <w:r>
        <w:t xml:space="preserve"> Group </w:t>
      </w:r>
      <w:r w:rsidR="00B63DC1">
        <w:t>s</w:t>
      </w:r>
      <w:r>
        <w:t>ubmission in response to draft report, 14.</w:t>
      </w:r>
    </w:p>
  </w:footnote>
  <w:footnote w:id="130">
    <w:p w14:paraId="0C94035A" w14:textId="1E34FB8D" w:rsidR="00D82BD0" w:rsidRDefault="00D82BD0" w:rsidP="00D82BD0">
      <w:pPr>
        <w:pStyle w:val="FootnoteText"/>
      </w:pPr>
      <w:r>
        <w:rPr>
          <w:rStyle w:val="FootnoteReference"/>
        </w:rPr>
        <w:footnoteRef/>
      </w:r>
      <w:r>
        <w:t xml:space="preserve"> ACCI </w:t>
      </w:r>
      <w:r w:rsidR="00B63DC1">
        <w:t>s</w:t>
      </w:r>
      <w:r>
        <w:t>ubmission in response to draft report, 6.</w:t>
      </w:r>
    </w:p>
  </w:footnote>
  <w:footnote w:id="131">
    <w:p w14:paraId="25514A3F" w14:textId="054F3063" w:rsidR="00D82BD0" w:rsidRDefault="00D82BD0" w:rsidP="00D82BD0">
      <w:pPr>
        <w:pStyle w:val="FootnoteText"/>
      </w:pPr>
      <w:r>
        <w:rPr>
          <w:rStyle w:val="FootnoteReference"/>
        </w:rPr>
        <w:footnoteRef/>
      </w:r>
      <w:r>
        <w:t xml:space="preserve"> ACCI </w:t>
      </w:r>
      <w:r w:rsidR="00B63DC1">
        <w:t>s</w:t>
      </w:r>
      <w:r>
        <w:t>ubmission in response to draft report, 6</w:t>
      </w:r>
      <w:r w:rsidR="00B63DC1">
        <w:rPr>
          <w:rFonts w:ascii="Symbol" w:eastAsia="Symbol" w:hAnsi="Symbol" w:cs="Symbol"/>
        </w:rPr>
        <w:t>-</w:t>
      </w:r>
      <w:r>
        <w:t>7.</w:t>
      </w:r>
    </w:p>
  </w:footnote>
  <w:footnote w:id="132">
    <w:p w14:paraId="3A9A0F5B" w14:textId="506855BA" w:rsidR="00D82BD0" w:rsidRPr="00A03B67" w:rsidRDefault="00D82BD0" w:rsidP="00D82BD0">
      <w:pPr>
        <w:pStyle w:val="FootnoteText"/>
      </w:pPr>
      <w:r w:rsidRPr="00A03B67">
        <w:rPr>
          <w:rStyle w:val="FootnoteReference"/>
        </w:rPr>
        <w:footnoteRef/>
      </w:r>
      <w:r w:rsidRPr="00A03B67">
        <w:t xml:space="preserve"> HIA submission, 7.</w:t>
      </w:r>
    </w:p>
  </w:footnote>
  <w:footnote w:id="133">
    <w:p w14:paraId="48DB5D90" w14:textId="70B92B68" w:rsidR="001137B9" w:rsidRPr="00A03B67" w:rsidRDefault="001137B9" w:rsidP="001137B9">
      <w:pPr>
        <w:pStyle w:val="FootnoteText"/>
      </w:pPr>
      <w:r w:rsidRPr="00A03B67">
        <w:rPr>
          <w:rStyle w:val="FootnoteReference"/>
        </w:rPr>
        <w:footnoteRef/>
      </w:r>
      <w:r w:rsidRPr="00A03B67">
        <w:t xml:space="preserve"> The Hon Tony Burke MP, Minister for Employment and Workplace Relations, ‘Appointments to the National Construction Industry Forum’ (Media Release, 23 July 2023) &lt;https://ministers.dewr.gov.au/burke/appointments-national-construction-industry-forum&gt;.</w:t>
      </w:r>
    </w:p>
  </w:footnote>
  <w:footnote w:id="134">
    <w:p w14:paraId="22A145D7" w14:textId="77777777" w:rsidR="001137B9" w:rsidRPr="00A03B67" w:rsidRDefault="001137B9" w:rsidP="001137B9">
      <w:pPr>
        <w:pStyle w:val="FootnoteText"/>
      </w:pPr>
      <w:r w:rsidRPr="00A03B67">
        <w:rPr>
          <w:rStyle w:val="FootnoteReference"/>
        </w:rPr>
        <w:footnoteRef/>
      </w:r>
      <w:r w:rsidRPr="00A03B67">
        <w:t xml:space="preserve"> The Hon Tony Burke MP, Minister for Employment and Workplace Relations, ‘Appointments to the National Construction Industry Forum’ (Media Release, 23 July 2023) &lt;https://ministers.dewr.gov.au/burke/appointments-national-construction-industry-forum&gt;.</w:t>
      </w:r>
    </w:p>
  </w:footnote>
  <w:footnote w:id="135">
    <w:p w14:paraId="20010B7F" w14:textId="77777777" w:rsidR="001137B9" w:rsidRPr="00A03B67" w:rsidRDefault="001137B9" w:rsidP="001137B9">
      <w:pPr>
        <w:pStyle w:val="FootnoteText"/>
      </w:pPr>
      <w:r w:rsidRPr="00A03B67">
        <w:rPr>
          <w:rStyle w:val="FootnoteReference"/>
        </w:rPr>
        <w:footnoteRef/>
      </w:r>
      <w:r w:rsidRPr="00A03B67">
        <w:t xml:space="preserve"> The Hon Tony Burke MP, Minister for Employment and Workplace Relations, ‘Appointments to the National Construction Industry Forum’ (Media Release, 23 July 2023) &lt;https://ministers.dewr.gov.au/burke/appointments-national-construction-industry-forum&gt;.</w:t>
      </w:r>
    </w:p>
  </w:footnote>
  <w:footnote w:id="136">
    <w:p w14:paraId="6322B810" w14:textId="77777777" w:rsidR="001137B9" w:rsidRPr="00A03B67" w:rsidRDefault="001137B9" w:rsidP="001137B9">
      <w:pPr>
        <w:pStyle w:val="FootnoteText"/>
      </w:pPr>
      <w:r w:rsidRPr="00A03B67">
        <w:rPr>
          <w:rStyle w:val="FootnoteReference"/>
        </w:rPr>
        <w:footnoteRef/>
      </w:r>
      <w:r w:rsidRPr="00A03B67">
        <w:t xml:space="preserve"> </w:t>
      </w:r>
      <w:r w:rsidRPr="00A03B67">
        <w:rPr>
          <w:i/>
          <w:iCs/>
        </w:rPr>
        <w:t>Fair Work Act 2009</w:t>
      </w:r>
      <w:r w:rsidRPr="00A03B67">
        <w:t xml:space="preserve"> (Cth) Part 6-4D.</w:t>
      </w:r>
    </w:p>
  </w:footnote>
  <w:footnote w:id="137">
    <w:p w14:paraId="45FC2F1B" w14:textId="77777777" w:rsidR="001137B9" w:rsidRPr="00A03B67" w:rsidRDefault="001137B9" w:rsidP="001137B9">
      <w:pPr>
        <w:pStyle w:val="FootnoteText"/>
      </w:pPr>
      <w:r w:rsidRPr="00A03B67">
        <w:rPr>
          <w:rStyle w:val="FootnoteReference"/>
        </w:rPr>
        <w:footnoteRef/>
      </w:r>
      <w:r w:rsidRPr="00A03B67">
        <w:t xml:space="preserve"> </w:t>
      </w:r>
      <w:r w:rsidRPr="00A03B67">
        <w:rPr>
          <w:i/>
          <w:iCs/>
        </w:rPr>
        <w:t>Fair Work Act 2009</w:t>
      </w:r>
      <w:r w:rsidRPr="00A03B67">
        <w:t xml:space="preserve"> (Cth) s 789GZG.</w:t>
      </w:r>
    </w:p>
  </w:footnote>
  <w:footnote w:id="138">
    <w:p w14:paraId="76A7EADC" w14:textId="77777777" w:rsidR="001137B9" w:rsidRPr="00A03B67" w:rsidRDefault="001137B9" w:rsidP="001137B9">
      <w:pPr>
        <w:pStyle w:val="FootnoteText"/>
      </w:pPr>
      <w:r w:rsidRPr="00A03B67">
        <w:rPr>
          <w:rStyle w:val="FootnoteReference"/>
        </w:rPr>
        <w:footnoteRef/>
      </w:r>
      <w:r w:rsidRPr="00A03B67">
        <w:t xml:space="preserve"> </w:t>
      </w:r>
      <w:r w:rsidRPr="00A03B67">
        <w:rPr>
          <w:i/>
          <w:iCs/>
        </w:rPr>
        <w:t>Fair Work Act 2009</w:t>
      </w:r>
      <w:r w:rsidRPr="00A03B67">
        <w:t xml:space="preserve"> (Cth) s 789GZH.</w:t>
      </w:r>
    </w:p>
  </w:footnote>
  <w:footnote w:id="139">
    <w:p w14:paraId="22E9E1C6" w14:textId="77777777" w:rsidR="001137B9" w:rsidRPr="00A03B67" w:rsidRDefault="001137B9" w:rsidP="001137B9">
      <w:pPr>
        <w:pStyle w:val="FootnoteText"/>
      </w:pPr>
      <w:r w:rsidRPr="00A03B67">
        <w:rPr>
          <w:rStyle w:val="FootnoteReference"/>
        </w:rPr>
        <w:footnoteRef/>
      </w:r>
      <w:r w:rsidRPr="00A03B67">
        <w:t xml:space="preserve"> </w:t>
      </w:r>
      <w:r w:rsidRPr="00A03B67">
        <w:rPr>
          <w:i/>
          <w:iCs/>
        </w:rPr>
        <w:t>Fair Work Act 2009</w:t>
      </w:r>
      <w:r w:rsidRPr="00A03B67">
        <w:t xml:space="preserve"> (Cth) s 789GZJ.</w:t>
      </w:r>
    </w:p>
  </w:footnote>
  <w:footnote w:id="140">
    <w:p w14:paraId="0187397B" w14:textId="77777777" w:rsidR="001137B9" w:rsidRPr="00A03B67" w:rsidRDefault="001137B9" w:rsidP="001137B9">
      <w:pPr>
        <w:pStyle w:val="FootnoteText"/>
      </w:pPr>
      <w:r w:rsidRPr="00A03B67">
        <w:rPr>
          <w:rStyle w:val="FootnoteReference"/>
        </w:rPr>
        <w:footnoteRef/>
      </w:r>
      <w:r w:rsidRPr="00A03B67">
        <w:t xml:space="preserve"> </w:t>
      </w:r>
      <w:r w:rsidRPr="00A03B67">
        <w:rPr>
          <w:i/>
          <w:iCs/>
        </w:rPr>
        <w:t>Fair Work Act 2009</w:t>
      </w:r>
      <w:r w:rsidRPr="00A03B67">
        <w:t xml:space="preserve"> (Cth) s 789GZM.</w:t>
      </w:r>
    </w:p>
  </w:footnote>
  <w:footnote w:id="141">
    <w:p w14:paraId="3BB4E146" w14:textId="77777777" w:rsidR="001137B9" w:rsidRPr="00A03B67" w:rsidRDefault="001137B9" w:rsidP="001137B9">
      <w:pPr>
        <w:pStyle w:val="FootnoteText"/>
      </w:pPr>
      <w:r w:rsidRPr="00A03B67">
        <w:rPr>
          <w:rStyle w:val="FootnoteReference"/>
        </w:rPr>
        <w:footnoteRef/>
      </w:r>
      <w:r w:rsidRPr="00A03B67">
        <w:t xml:space="preserve"> </w:t>
      </w:r>
      <w:r w:rsidRPr="00A03B67">
        <w:rPr>
          <w:i/>
          <w:iCs/>
        </w:rPr>
        <w:t>Fair Work Act 2009</w:t>
      </w:r>
      <w:r w:rsidRPr="00A03B67">
        <w:t xml:space="preserve"> (Cth) s 789GZK.</w:t>
      </w:r>
    </w:p>
  </w:footnote>
  <w:footnote w:id="142">
    <w:p w14:paraId="2533201C" w14:textId="77777777" w:rsidR="001137B9" w:rsidRPr="00A03B67" w:rsidRDefault="001137B9" w:rsidP="001137B9">
      <w:pPr>
        <w:pStyle w:val="FootnoteText"/>
      </w:pPr>
      <w:r w:rsidRPr="00A03B67">
        <w:rPr>
          <w:rStyle w:val="FootnoteReference"/>
        </w:rPr>
        <w:footnoteRef/>
      </w:r>
      <w:r w:rsidRPr="00A03B67">
        <w:t xml:space="preserve"> </w:t>
      </w:r>
      <w:r w:rsidRPr="00A03B67">
        <w:rPr>
          <w:i/>
          <w:iCs/>
        </w:rPr>
        <w:t>Fair Work Act 2009</w:t>
      </w:r>
      <w:r w:rsidRPr="00A03B67">
        <w:t xml:space="preserve"> (Cth) s 789GZN.</w:t>
      </w:r>
    </w:p>
  </w:footnote>
  <w:footnote w:id="143">
    <w:p w14:paraId="3563A3C5" w14:textId="77777777" w:rsidR="001137B9" w:rsidRPr="00A03B67" w:rsidRDefault="001137B9" w:rsidP="001137B9">
      <w:pPr>
        <w:pStyle w:val="FootnoteText"/>
      </w:pPr>
      <w:r w:rsidRPr="00A03B67">
        <w:rPr>
          <w:rStyle w:val="FootnoteReference"/>
        </w:rPr>
        <w:footnoteRef/>
      </w:r>
      <w:r w:rsidRPr="00A03B67">
        <w:t xml:space="preserve"> </w:t>
      </w:r>
      <w:r w:rsidRPr="00A03B67">
        <w:rPr>
          <w:i/>
          <w:iCs/>
        </w:rPr>
        <w:t>Fair Work Act 2009</w:t>
      </w:r>
      <w:r w:rsidRPr="00A03B67">
        <w:t xml:space="preserve"> (Cth) s 789GZQ.</w:t>
      </w:r>
    </w:p>
  </w:footnote>
  <w:footnote w:id="144">
    <w:p w14:paraId="4A8E8EFD" w14:textId="77777777" w:rsidR="001137B9" w:rsidRPr="00A03B67" w:rsidRDefault="001137B9" w:rsidP="001137B9">
      <w:pPr>
        <w:pStyle w:val="FootnoteText"/>
      </w:pPr>
      <w:r w:rsidRPr="00A03B67">
        <w:rPr>
          <w:rStyle w:val="FootnoteReference"/>
        </w:rPr>
        <w:footnoteRef/>
      </w:r>
      <w:r w:rsidRPr="00A03B67">
        <w:t xml:space="preserve"> Revised Explanatory Memorandum, Fair Work Legislation Amendment (Secure Jobs, Better Pay) Bill 2022, p xliv.</w:t>
      </w:r>
    </w:p>
  </w:footnote>
  <w:footnote w:id="145">
    <w:p w14:paraId="5A105241" w14:textId="77777777" w:rsidR="001137B9" w:rsidRPr="00A03B67" w:rsidRDefault="001137B9" w:rsidP="001137B9">
      <w:pPr>
        <w:pStyle w:val="FootnoteText"/>
      </w:pPr>
      <w:r w:rsidRPr="00A03B67">
        <w:rPr>
          <w:rStyle w:val="FootnoteReference"/>
        </w:rPr>
        <w:footnoteRef/>
      </w:r>
      <w:r w:rsidRPr="00A03B67">
        <w:t xml:space="preserve"> Australian Government, </w:t>
      </w:r>
      <w:r w:rsidRPr="00A03B67">
        <w:rPr>
          <w:i/>
          <w:iCs/>
        </w:rPr>
        <w:t>Jobs and Skills Summit: Outcomes</w:t>
      </w:r>
      <w:r w:rsidRPr="00A03B67">
        <w:t xml:space="preserve"> (September 2022) 6 &lt;https://treasury.gov.au/sites/default/files/inline-files/Jobs-and-Skills-Summit-Outcomes-Document.pdf&gt;.</w:t>
      </w:r>
    </w:p>
  </w:footnote>
  <w:footnote w:id="146">
    <w:p w14:paraId="3F30795B" w14:textId="77777777" w:rsidR="001137B9" w:rsidRPr="00A03B67" w:rsidRDefault="001137B9" w:rsidP="001137B9">
      <w:pPr>
        <w:pStyle w:val="FootnoteText"/>
      </w:pPr>
      <w:r w:rsidRPr="00A03B67">
        <w:rPr>
          <w:rStyle w:val="FootnoteReference"/>
        </w:rPr>
        <w:footnoteRef/>
      </w:r>
      <w:r w:rsidRPr="00A03B67">
        <w:t xml:space="preserve"> The Hon Tony Burke MP, Minister for Employment and Workplace Relations, ‘Appointments to the National Construction Industry Forum’ (Media Release, 23 July 2023) &lt;https://ministers.dewr.gov.au/burke/appointments-national-construction-industry-forum&gt;; The Hon Tony Burke MP, Minister for Employment and Workplace Relations, ‘Blueprint for the Future: A Building and Construction Industry that Works for Everyone</w:t>
      </w:r>
      <w:r w:rsidRPr="00A03B67">
        <w:rPr>
          <w:lang w:val="en-US"/>
        </w:rPr>
        <w:t>’ (Media Release, 23 July 2024)</w:t>
      </w:r>
      <w:r w:rsidRPr="00A03B67">
        <w:t xml:space="preserve"> &lt;</w:t>
      </w:r>
      <w:r w:rsidRPr="00A03B67">
        <w:rPr>
          <w:lang w:val="en-US"/>
        </w:rPr>
        <w:t>https://ministers.dewr.gov.au/burke/appointments-national-construction-industry-forum&gt;.</w:t>
      </w:r>
    </w:p>
  </w:footnote>
  <w:footnote w:id="147">
    <w:p w14:paraId="41AC678F" w14:textId="0CDE26E4" w:rsidR="001137B9" w:rsidRPr="00A03B67" w:rsidRDefault="001137B9" w:rsidP="001137B9">
      <w:pPr>
        <w:pStyle w:val="FootnoteText"/>
      </w:pPr>
      <w:r w:rsidRPr="00A03B67">
        <w:rPr>
          <w:rStyle w:val="FootnoteReference"/>
        </w:rPr>
        <w:footnoteRef/>
      </w:r>
      <w:r w:rsidRPr="00A03B67">
        <w:t xml:space="preserve"> Department of Employment and Workplace Relations, </w:t>
      </w:r>
      <w:r w:rsidRPr="00A03B67">
        <w:rPr>
          <w:i/>
          <w:iCs/>
        </w:rPr>
        <w:t>National Construction Industry Forum</w:t>
      </w:r>
      <w:r w:rsidRPr="00A03B67">
        <w:t xml:space="preserve"> (Web Page, n.d.) &lt;https://www.dewr.gov.au/australian-building-and-construction-industry/national-construction-industry-forum&gt;.</w:t>
      </w:r>
    </w:p>
  </w:footnote>
  <w:footnote w:id="148">
    <w:p w14:paraId="0E0DA814" w14:textId="77777777" w:rsidR="001137B9" w:rsidRPr="00A03B67" w:rsidRDefault="001137B9" w:rsidP="001137B9">
      <w:pPr>
        <w:pStyle w:val="FootnoteText"/>
      </w:pPr>
      <w:r w:rsidRPr="00A03B67">
        <w:rPr>
          <w:rStyle w:val="FootnoteReference"/>
        </w:rPr>
        <w:footnoteRef/>
      </w:r>
      <w:r w:rsidRPr="00A03B67">
        <w:t xml:space="preserve"> The Hon Tony Burke MP, Minister for Employment and Workplace Relations, ‘Appointments to the National Construction Industry Forum’ (Media Release, 23 July 2023) &lt;https://ministers.dewr.gov.au/burke/appointments-national-construction-industry-forum&gt;.</w:t>
      </w:r>
    </w:p>
  </w:footnote>
  <w:footnote w:id="149">
    <w:p w14:paraId="3CF5B38C" w14:textId="77777777" w:rsidR="001137B9" w:rsidRPr="00A03B67" w:rsidRDefault="001137B9" w:rsidP="001137B9">
      <w:pPr>
        <w:pStyle w:val="FootnoteText"/>
      </w:pPr>
      <w:r w:rsidRPr="00DA32BE">
        <w:rPr>
          <w:rStyle w:val="FootnoteReference"/>
        </w:rPr>
        <w:footnoteRef/>
      </w:r>
      <w:r w:rsidRPr="00DA32BE">
        <w:t xml:space="preserve"> Department of Employment and Workplace Relations, ‘National Construction Industry Forum Meeting’</w:t>
      </w:r>
      <w:r w:rsidRPr="00A03B67">
        <w:t xml:space="preserve"> (Communiqué, 23 February 2024) &lt;https://www.dewr.gov.au/download/16165/national-construction-industry-forum-meeting-communique-23-february-2024/36568/national-construction-industry-forum-meeting-communique-23-february-2024/pdf&gt;.</w:t>
      </w:r>
    </w:p>
  </w:footnote>
  <w:footnote w:id="150">
    <w:p w14:paraId="38F5E91C" w14:textId="77777777" w:rsidR="001137B9" w:rsidRPr="00A03B67" w:rsidRDefault="001137B9" w:rsidP="001137B9">
      <w:pPr>
        <w:pStyle w:val="FootnoteText"/>
      </w:pPr>
      <w:r w:rsidRPr="00A03B67">
        <w:rPr>
          <w:rStyle w:val="FootnoteReference"/>
        </w:rPr>
        <w:footnoteRef/>
      </w:r>
      <w:r w:rsidRPr="00A03B67">
        <w:t xml:space="preserve"> Department of Employment and Workplace Relations, </w:t>
      </w:r>
      <w:r w:rsidRPr="00A03B67">
        <w:rPr>
          <w:i/>
          <w:iCs/>
        </w:rPr>
        <w:t>Terms of Reference for the National Construction Industry Forum</w:t>
      </w:r>
      <w:r w:rsidRPr="00A03B67">
        <w:t xml:space="preserve"> (Web Page, 8 November 2023) &lt;https://www.dewr.gov.au/australian-building-and-construction-industry/resources/terms-reference-national-construction-industry-forum&gt;.</w:t>
      </w:r>
    </w:p>
  </w:footnote>
  <w:footnote w:id="151">
    <w:p w14:paraId="4CFCBC8D" w14:textId="77777777" w:rsidR="001137B9" w:rsidRPr="00A03B67" w:rsidRDefault="001137B9" w:rsidP="001137B9">
      <w:pPr>
        <w:pStyle w:val="FootnoteText"/>
      </w:pPr>
      <w:r w:rsidRPr="00A03B67">
        <w:rPr>
          <w:rStyle w:val="FootnoteReference"/>
        </w:rPr>
        <w:footnoteRef/>
      </w:r>
      <w:r w:rsidRPr="00A03B67">
        <w:t xml:space="preserve"> Senator the Hon Murray Watt, Minister for Employment and Workplace Relations, ‘Address to the National Press Club’ (Speech, National Press Club, 18 September 2024) &lt;https://ministers.dewr.gov.au/watt/address-national-press-club&gt;.</w:t>
      </w:r>
    </w:p>
  </w:footnote>
  <w:footnote w:id="152">
    <w:p w14:paraId="16DA3DD9" w14:textId="77777777" w:rsidR="001137B9" w:rsidRPr="00A03B67" w:rsidRDefault="001137B9" w:rsidP="001137B9">
      <w:pPr>
        <w:pStyle w:val="FootnoteText"/>
      </w:pPr>
      <w:r w:rsidRPr="00A03B67">
        <w:rPr>
          <w:rStyle w:val="FootnoteReference"/>
        </w:rPr>
        <w:footnoteRef/>
      </w:r>
      <w:r w:rsidRPr="00A03B67">
        <w:t xml:space="preserve"> Senator the Hon Murray Watt, Minister for Employment and Workplace Relations, ‘Address to the National Press Club’ (Speech, National Press Club, 18 September 2024) &lt;https://ministers.dewr.gov.au/watt/address-national-press-club&gt;.</w:t>
      </w:r>
    </w:p>
  </w:footnote>
  <w:footnote w:id="153">
    <w:p w14:paraId="4D837264" w14:textId="77777777" w:rsidR="001137B9" w:rsidRPr="00A03B67" w:rsidRDefault="001137B9" w:rsidP="001137B9">
      <w:pPr>
        <w:pStyle w:val="FootnoteText"/>
      </w:pPr>
      <w:r w:rsidRPr="00A03B67">
        <w:rPr>
          <w:rStyle w:val="FootnoteReference"/>
        </w:rPr>
        <w:footnoteRef/>
      </w:r>
      <w:r w:rsidRPr="00A03B67">
        <w:t xml:space="preserve"> Civil Contractors Federation, ‘CCF Appointment to the National Construction Industry Forum’ (Media Release, 19 September 2024) &lt;https://www.civilcontractors.com/ccf-appointment-to-national-construction-industry-forum/&gt;.</w:t>
      </w:r>
    </w:p>
  </w:footnote>
  <w:footnote w:id="154">
    <w:p w14:paraId="46C847E2" w14:textId="77777777" w:rsidR="001137B9" w:rsidRPr="00A03B67" w:rsidRDefault="001137B9" w:rsidP="001137B9">
      <w:pPr>
        <w:pStyle w:val="FootnoteText"/>
      </w:pPr>
      <w:r w:rsidRPr="00A03B67">
        <w:rPr>
          <w:rStyle w:val="FootnoteReference"/>
        </w:rPr>
        <w:footnoteRef/>
      </w:r>
      <w:r w:rsidRPr="00A03B67">
        <w:t xml:space="preserve"> Master Builders Australia, ‘Appointment to the National Construction Industry Forum’ (Media Release,18 September 2024) &lt;https://masterbuilders.com.au/appointment-to-national-construction-industry-forum/&gt;.</w:t>
      </w:r>
    </w:p>
  </w:footnote>
  <w:footnote w:id="155">
    <w:p w14:paraId="0C7A95FA" w14:textId="77777777" w:rsidR="001137B9" w:rsidRPr="00A03B67" w:rsidRDefault="001137B9" w:rsidP="001137B9">
      <w:pPr>
        <w:pStyle w:val="FootnoteText"/>
        <w:rPr>
          <w:b/>
        </w:rPr>
      </w:pPr>
      <w:r w:rsidRPr="00A03B67">
        <w:rPr>
          <w:rStyle w:val="FootnoteReference"/>
        </w:rPr>
        <w:footnoteRef/>
      </w:r>
      <w:r w:rsidRPr="00A03B67">
        <w:t xml:space="preserve"> Department of Employment and Workplace Relations, ‘National Construction Industry Forum Meeting: Blueprint for the Future – A Building and Construction Industry that Works for Everyone’ (Communiqué, 16 October 2024) &lt;https://www.dewr.gov.au/download/16552/national-construction-industry-forum-meeting-communique-16-october-2024/38397/national-construction-industry-forum-meeting-communique-16-october-2024/pdf&gt;.</w:t>
      </w:r>
    </w:p>
  </w:footnote>
  <w:footnote w:id="156">
    <w:p w14:paraId="55D8485F" w14:textId="77777777" w:rsidR="001137B9" w:rsidRPr="00A03B67" w:rsidRDefault="001137B9" w:rsidP="001137B9">
      <w:pPr>
        <w:pStyle w:val="FootnoteText"/>
      </w:pPr>
      <w:r w:rsidRPr="00A03B67">
        <w:rPr>
          <w:rStyle w:val="FootnoteReference"/>
        </w:rPr>
        <w:footnoteRef/>
      </w:r>
      <w:r w:rsidRPr="00A03B67">
        <w:t xml:space="preserve"> Department of Employment and Workplace Relations, ‘National Construction Industry Forum Meeting: Blueprint for the Future – A Building and Construction Industry that Works for Everyone (Communiqué, 16 October 2024) &lt;https://www.dewr.gov.au/download/16552/national-construction-industry-forum-meeting-communique-16-october-2024/38397/national-construction-industry-forum-meeting-communique-16-october-2024/pdf&gt;.</w:t>
      </w:r>
    </w:p>
  </w:footnote>
  <w:footnote w:id="157">
    <w:p w14:paraId="655D5953" w14:textId="77777777" w:rsidR="001137B9" w:rsidRPr="00A03B67" w:rsidRDefault="001137B9" w:rsidP="001137B9">
      <w:pPr>
        <w:pStyle w:val="FootnoteText"/>
      </w:pPr>
      <w:r w:rsidRPr="00A03B67">
        <w:rPr>
          <w:rStyle w:val="FootnoteReference"/>
        </w:rPr>
        <w:footnoteRef/>
      </w:r>
      <w:r w:rsidRPr="00A03B67">
        <w:t xml:space="preserve"> Senator the Hon Murray Watt, Minister for Employment and Workplace Relations, ‘IR Expert Appointed to Deliver Construction Industry Blueprint’ (Media Release, 21 November 2024) &lt;https://ministers.dewr.gov.au/watt/ir-expert-appointed-deliver-construction-industry-blueprint&gt;.</w:t>
      </w:r>
    </w:p>
  </w:footnote>
  <w:footnote w:id="158">
    <w:p w14:paraId="4938A5CF" w14:textId="77777777" w:rsidR="001137B9" w:rsidRPr="00A03B67" w:rsidRDefault="001137B9" w:rsidP="001137B9">
      <w:pPr>
        <w:pStyle w:val="FootnoteText"/>
      </w:pPr>
      <w:r w:rsidRPr="00A03B67">
        <w:rPr>
          <w:rStyle w:val="FootnoteReference"/>
        </w:rPr>
        <w:footnoteRef/>
      </w:r>
      <w:r w:rsidRPr="00A03B67">
        <w:t xml:space="preserve"> Ministers for Employment and Workplace Relations Portfolio, ‘Blueprint for the Future: A Building and Construction Industry that Works for Everyone’(Joint Media Release, 16 October 2024) &lt;https://ministers.dewr.gov.au/watt/blueprint-future-building-and-construction-industry-works-everyone&gt;.</w:t>
      </w:r>
    </w:p>
  </w:footnote>
  <w:footnote w:id="159">
    <w:p w14:paraId="1D3DDC2E" w14:textId="77777777" w:rsidR="001137B9" w:rsidRPr="00A03B67" w:rsidRDefault="001137B9" w:rsidP="001137B9">
      <w:pPr>
        <w:pStyle w:val="FootnoteText"/>
      </w:pPr>
      <w:r w:rsidRPr="00A03B67">
        <w:rPr>
          <w:rStyle w:val="FootnoteReference"/>
        </w:rPr>
        <w:footnoteRef/>
      </w:r>
      <w:r w:rsidRPr="00A03B67">
        <w:t xml:space="preserve"> Ministers for Employment and Workplace Relations Portfolio, ‘Blueprint for the Future: A Building and Construction Industry that Works for Everyone’(Joint Media Release, 16 October 2024) &lt;https://ministers.dewr.gov.au/watt/blueprint-future-building-and-construction-industry-works-everyone&gt;.</w:t>
      </w:r>
    </w:p>
  </w:footnote>
  <w:footnote w:id="160">
    <w:p w14:paraId="69348C5A" w14:textId="77777777" w:rsidR="001137B9" w:rsidRPr="00A03B67" w:rsidRDefault="001137B9" w:rsidP="001137B9">
      <w:pPr>
        <w:pStyle w:val="FootnoteText"/>
      </w:pPr>
      <w:r w:rsidRPr="00A03B67">
        <w:rPr>
          <w:rStyle w:val="FootnoteReference"/>
        </w:rPr>
        <w:footnoteRef/>
      </w:r>
      <w:r w:rsidRPr="00A03B67">
        <w:t xml:space="preserve"> M Bray, J Macneil and A Stewart, </w:t>
      </w:r>
      <w:r w:rsidRPr="00A03B67">
        <w:rPr>
          <w:i/>
          <w:iCs/>
        </w:rPr>
        <w:t>Cooperation at Work: How Tribunals Can Help Transform Workplaces</w:t>
      </w:r>
      <w:r w:rsidRPr="00A03B67">
        <w:t xml:space="preserve"> (Federation Press, 2017) Ch 7.</w:t>
      </w:r>
    </w:p>
  </w:footnote>
  <w:footnote w:id="161">
    <w:p w14:paraId="1FF94904" w14:textId="77777777" w:rsidR="001137B9" w:rsidRPr="00A03B67" w:rsidRDefault="001137B9" w:rsidP="001137B9">
      <w:pPr>
        <w:pStyle w:val="FootnoteText"/>
      </w:pPr>
      <w:r w:rsidRPr="00A03B67">
        <w:rPr>
          <w:rStyle w:val="FootnoteReference"/>
        </w:rPr>
        <w:footnoteRef/>
      </w:r>
      <w:r w:rsidRPr="00A03B67">
        <w:t xml:space="preserve"> Housing Industry Association (HIA) submission, 7</w:t>
      </w:r>
      <w:r w:rsidRPr="00A03B67">
        <w:rPr>
          <w:rFonts w:ascii="Symbol" w:eastAsia="Symbol" w:hAnsi="Symbol" w:cs="Symbol"/>
        </w:rPr>
        <w:t>-</w:t>
      </w:r>
      <w:r w:rsidRPr="00A03B67">
        <w:t>8</w:t>
      </w:r>
      <w:r>
        <w:t xml:space="preserve">, </w:t>
      </w:r>
      <w:r w:rsidRPr="00A03B67">
        <w:t>Australian Chamber of Commerce and Industry (ACCI) submission, 98.</w:t>
      </w:r>
    </w:p>
  </w:footnote>
  <w:footnote w:id="162">
    <w:p w14:paraId="3972DCA5" w14:textId="4186BEE3" w:rsidR="001137B9" w:rsidRPr="00A03B67" w:rsidRDefault="001137B9" w:rsidP="001137B9">
      <w:pPr>
        <w:pStyle w:val="FootnoteText"/>
      </w:pPr>
      <w:r w:rsidRPr="00A03B67">
        <w:rPr>
          <w:rStyle w:val="FootnoteReference"/>
        </w:rPr>
        <w:footnoteRef/>
      </w:r>
      <w:r w:rsidRPr="00A03B67">
        <w:t xml:space="preserve"> Ai Group submission, 114.</w:t>
      </w:r>
    </w:p>
  </w:footnote>
  <w:footnote w:id="163">
    <w:p w14:paraId="068776A5" w14:textId="6955DDEF" w:rsidR="001137B9" w:rsidRPr="00A03B67" w:rsidRDefault="001137B9" w:rsidP="001137B9">
      <w:pPr>
        <w:pStyle w:val="FootnoteText"/>
      </w:pPr>
      <w:r w:rsidRPr="00A03B67">
        <w:rPr>
          <w:rStyle w:val="FootnoteReference"/>
        </w:rPr>
        <w:footnoteRef/>
      </w:r>
      <w:r w:rsidRPr="00A03B67">
        <w:t xml:space="preserve"> Ai Group submission, 115.</w:t>
      </w:r>
    </w:p>
  </w:footnote>
  <w:footnote w:id="164">
    <w:p w14:paraId="15DF3D1C" w14:textId="1E300101" w:rsidR="001137B9" w:rsidRPr="00A03B67" w:rsidRDefault="001137B9" w:rsidP="001137B9">
      <w:pPr>
        <w:pStyle w:val="FootnoteText"/>
      </w:pPr>
      <w:r w:rsidRPr="00A03B67">
        <w:rPr>
          <w:rStyle w:val="FootnoteReference"/>
        </w:rPr>
        <w:footnoteRef/>
      </w:r>
      <w:r w:rsidRPr="00A03B67">
        <w:t xml:space="preserve"> Master Builders Australia (MBA) submission, 3.</w:t>
      </w:r>
    </w:p>
  </w:footnote>
  <w:footnote w:id="165">
    <w:p w14:paraId="3038123F" w14:textId="4E3D468E" w:rsidR="001137B9" w:rsidRPr="00A03B67" w:rsidRDefault="001137B9" w:rsidP="001137B9">
      <w:pPr>
        <w:pStyle w:val="FootnoteText"/>
      </w:pPr>
      <w:r w:rsidRPr="00A03B67">
        <w:rPr>
          <w:rStyle w:val="FootnoteReference"/>
        </w:rPr>
        <w:footnoteRef/>
      </w:r>
      <w:r w:rsidRPr="00A03B67">
        <w:t xml:space="preserve"> MBA submission, 20.</w:t>
      </w:r>
    </w:p>
  </w:footnote>
  <w:footnote w:id="166">
    <w:p w14:paraId="7220C1C4" w14:textId="77777777" w:rsidR="001137B9" w:rsidRPr="00A03B67" w:rsidRDefault="001137B9" w:rsidP="001137B9">
      <w:pPr>
        <w:pStyle w:val="FootnoteText"/>
      </w:pPr>
      <w:r w:rsidRPr="00A03B67">
        <w:rPr>
          <w:rStyle w:val="FootnoteReference"/>
        </w:rPr>
        <w:footnoteRef/>
      </w:r>
      <w:r w:rsidRPr="00A03B67">
        <w:t xml:space="preserve"> Ministers for Employment and Workplace Relations Portfolio, ‘Blueprint for the Future: A Building and Construction Industry that Works for Everyone’</w:t>
      </w:r>
      <w:r>
        <w:t xml:space="preserve"> </w:t>
      </w:r>
      <w:r w:rsidRPr="00A03B67">
        <w:t>(Joint Media Release, 16 October 2024) &lt;https://ministers.dewr.gov.au/watt/blueprint-future-building-and-construction-industry-works-everyone&gt;.</w:t>
      </w:r>
    </w:p>
  </w:footnote>
  <w:footnote w:id="167">
    <w:p w14:paraId="6DB675F6" w14:textId="1FC88A8F" w:rsidR="001137B9" w:rsidRDefault="001137B9" w:rsidP="001137B9">
      <w:pPr>
        <w:pStyle w:val="FootnoteText"/>
      </w:pPr>
      <w:r>
        <w:rPr>
          <w:rStyle w:val="FootnoteReference"/>
        </w:rPr>
        <w:footnoteRef/>
      </w:r>
      <w:r>
        <w:t xml:space="preserve"> </w:t>
      </w:r>
      <w:r w:rsidR="004A24FB" w:rsidRPr="004A24FB">
        <w:t xml:space="preserve">Chamber of Commerce and Industry of Western Australia </w:t>
      </w:r>
      <w:r w:rsidR="004A24FB">
        <w:t>(</w:t>
      </w:r>
      <w:r>
        <w:t>CCIWA</w:t>
      </w:r>
      <w:r w:rsidR="004A24FB">
        <w:t>)</w:t>
      </w:r>
      <w:r>
        <w:t xml:space="preserve"> submission in response to draft report, 6.</w:t>
      </w:r>
    </w:p>
  </w:footnote>
  <w:footnote w:id="168">
    <w:p w14:paraId="0BD83EA7" w14:textId="6B7842AC" w:rsidR="001137B9" w:rsidRDefault="001137B9" w:rsidP="001137B9">
      <w:pPr>
        <w:pStyle w:val="FootnoteText"/>
      </w:pPr>
      <w:r>
        <w:rPr>
          <w:rStyle w:val="FootnoteReference"/>
        </w:rPr>
        <w:footnoteRef/>
      </w:r>
      <w:r>
        <w:t xml:space="preserve"> CCIWA submission in response to draft report, 6.</w:t>
      </w:r>
    </w:p>
  </w:footnote>
  <w:footnote w:id="169">
    <w:p w14:paraId="01E84FE2" w14:textId="7FA2BF8F" w:rsidR="001137B9" w:rsidRDefault="001137B9" w:rsidP="001137B9">
      <w:pPr>
        <w:pStyle w:val="FootnoteText"/>
      </w:pPr>
      <w:r>
        <w:rPr>
          <w:rStyle w:val="FootnoteReference"/>
        </w:rPr>
        <w:footnoteRef/>
      </w:r>
      <w:r>
        <w:t xml:space="preserve"> CCIWA submission in response to draft report, 6.</w:t>
      </w:r>
    </w:p>
  </w:footnote>
  <w:footnote w:id="170">
    <w:p w14:paraId="484D41F4" w14:textId="797DBC49" w:rsidR="001137B9" w:rsidRDefault="001137B9" w:rsidP="001137B9">
      <w:pPr>
        <w:pStyle w:val="FootnoteText"/>
      </w:pPr>
      <w:r>
        <w:rPr>
          <w:rStyle w:val="FootnoteReference"/>
        </w:rPr>
        <w:footnoteRef/>
      </w:r>
      <w:r>
        <w:t xml:space="preserve"> ACCI </w:t>
      </w:r>
      <w:r w:rsidR="00DA32BE">
        <w:t>s</w:t>
      </w:r>
      <w:r>
        <w:t>ubmission in response to draft report, 9.</w:t>
      </w:r>
    </w:p>
  </w:footnote>
  <w:footnote w:id="171">
    <w:p w14:paraId="56E817F7" w14:textId="7CD40D61" w:rsidR="001137B9" w:rsidRDefault="001137B9" w:rsidP="001137B9">
      <w:pPr>
        <w:pStyle w:val="FootnoteText"/>
      </w:pPr>
      <w:r>
        <w:rPr>
          <w:rStyle w:val="FootnoteReference"/>
        </w:rPr>
        <w:footnoteRef/>
      </w:r>
      <w:r>
        <w:t xml:space="preserve"> </w:t>
      </w:r>
      <w:r w:rsidR="004A24FB">
        <w:t>Business Council of Australia (</w:t>
      </w:r>
      <w:r>
        <w:t>BCA</w:t>
      </w:r>
      <w:r w:rsidR="004A24FB">
        <w:t>)</w:t>
      </w:r>
      <w:r>
        <w:t xml:space="preserve"> </w:t>
      </w:r>
      <w:r w:rsidR="00DA32BE">
        <w:t>s</w:t>
      </w:r>
      <w:r>
        <w:t>ubmission in response to draft report, 6</w:t>
      </w:r>
      <w:r w:rsidR="00DA32BE">
        <w:rPr>
          <w:rFonts w:ascii="Symbol" w:eastAsia="Symbol" w:hAnsi="Symbol" w:cs="Symbol"/>
        </w:rPr>
        <w:t>-</w:t>
      </w:r>
      <w:r>
        <w:t>7.</w:t>
      </w:r>
    </w:p>
  </w:footnote>
  <w:footnote w:id="172">
    <w:p w14:paraId="20EC45E9" w14:textId="319BE251" w:rsidR="001137B9" w:rsidRDefault="001137B9" w:rsidP="001137B9">
      <w:pPr>
        <w:pStyle w:val="FootnoteText"/>
      </w:pPr>
      <w:r>
        <w:rPr>
          <w:rStyle w:val="FootnoteReference"/>
        </w:rPr>
        <w:footnoteRef/>
      </w:r>
      <w:r>
        <w:t xml:space="preserve"> Ai Group </w:t>
      </w:r>
      <w:r w:rsidR="004A24FB">
        <w:t>s</w:t>
      </w:r>
      <w:r>
        <w:t>ubmission in response to draft report, 16.</w:t>
      </w:r>
    </w:p>
  </w:footnote>
  <w:footnote w:id="173">
    <w:p w14:paraId="2342B3B1" w14:textId="4FDD7E8A" w:rsidR="001137B9" w:rsidRDefault="001137B9" w:rsidP="001137B9">
      <w:pPr>
        <w:pStyle w:val="FootnoteText"/>
      </w:pPr>
      <w:r>
        <w:rPr>
          <w:rStyle w:val="FootnoteReference"/>
        </w:rPr>
        <w:footnoteRef/>
      </w:r>
      <w:r>
        <w:t xml:space="preserve"> Ai Group </w:t>
      </w:r>
      <w:r w:rsidR="00DA32BE">
        <w:t>s</w:t>
      </w:r>
      <w:r>
        <w:t>ubmission in response to draft report, 17.</w:t>
      </w:r>
    </w:p>
  </w:footnote>
  <w:footnote w:id="174">
    <w:p w14:paraId="50F4620B" w14:textId="2D15FE1B" w:rsidR="001137B9" w:rsidRDefault="001137B9" w:rsidP="001137B9">
      <w:pPr>
        <w:pStyle w:val="FootnoteText"/>
      </w:pPr>
      <w:r>
        <w:rPr>
          <w:rStyle w:val="FootnoteReference"/>
        </w:rPr>
        <w:footnoteRef/>
      </w:r>
      <w:r>
        <w:t xml:space="preserve"> Ai Group </w:t>
      </w:r>
      <w:r w:rsidR="00DA32BE">
        <w:t>s</w:t>
      </w:r>
      <w:r>
        <w:t>ubmission in response to draft report, 16.</w:t>
      </w:r>
    </w:p>
  </w:footnote>
  <w:footnote w:id="175">
    <w:p w14:paraId="4A622A8B" w14:textId="13F7F4AC" w:rsidR="001137B9" w:rsidRDefault="001137B9" w:rsidP="001137B9">
      <w:pPr>
        <w:pStyle w:val="FootnoteText"/>
      </w:pPr>
      <w:r>
        <w:rPr>
          <w:rStyle w:val="FootnoteReference"/>
        </w:rPr>
        <w:footnoteRef/>
      </w:r>
      <w:r>
        <w:t xml:space="preserve"> </w:t>
      </w:r>
      <w:r w:rsidR="004A24FB">
        <w:t>Australian Council of Trade Unions (</w:t>
      </w:r>
      <w:r>
        <w:t>ACTU</w:t>
      </w:r>
      <w:r w:rsidR="004A24FB">
        <w:t>)</w:t>
      </w:r>
      <w:r>
        <w:t xml:space="preserve"> </w:t>
      </w:r>
      <w:r w:rsidR="00DA32BE">
        <w:t>s</w:t>
      </w:r>
      <w:r>
        <w:t>ubmission</w:t>
      </w:r>
      <w:r w:rsidRPr="00E4598A">
        <w:t xml:space="preserve"> </w:t>
      </w:r>
      <w:r>
        <w:t>in response to draft report, 4.</w:t>
      </w:r>
    </w:p>
  </w:footnote>
  <w:footnote w:id="176">
    <w:p w14:paraId="3306FB93" w14:textId="7A9D4DE0" w:rsidR="001137B9" w:rsidRDefault="001137B9" w:rsidP="001137B9">
      <w:pPr>
        <w:pStyle w:val="FootnoteText"/>
      </w:pPr>
      <w:r>
        <w:rPr>
          <w:rStyle w:val="FootnoteReference"/>
        </w:rPr>
        <w:footnoteRef/>
      </w:r>
      <w:r>
        <w:t xml:space="preserve"> ACTU </w:t>
      </w:r>
      <w:r w:rsidR="00DA32BE">
        <w:t>s</w:t>
      </w:r>
      <w:r>
        <w:t>ubmission</w:t>
      </w:r>
      <w:r w:rsidRPr="00E4598A">
        <w:t xml:space="preserve"> </w:t>
      </w:r>
      <w:r>
        <w:t>in response to draft report, 4.</w:t>
      </w:r>
    </w:p>
  </w:footnote>
  <w:footnote w:id="177">
    <w:p w14:paraId="2DEE1184" w14:textId="7D29B6A4" w:rsidR="001137B9" w:rsidRDefault="001137B9" w:rsidP="001137B9">
      <w:pPr>
        <w:pStyle w:val="FootnoteText"/>
      </w:pPr>
      <w:r>
        <w:rPr>
          <w:rStyle w:val="FootnoteReference"/>
        </w:rPr>
        <w:footnoteRef/>
      </w:r>
      <w:r>
        <w:t xml:space="preserve"> </w:t>
      </w:r>
      <w:r w:rsidR="004A24FB">
        <w:t>Australian Workers’ Union (</w:t>
      </w:r>
      <w:r>
        <w:t>AWU</w:t>
      </w:r>
      <w:r w:rsidR="004A24FB">
        <w:t>)</w:t>
      </w:r>
      <w:r>
        <w:t xml:space="preserve"> </w:t>
      </w:r>
      <w:r w:rsidR="00DA32BE">
        <w:t>s</w:t>
      </w:r>
      <w:r>
        <w:t>ubmission</w:t>
      </w:r>
      <w:r w:rsidRPr="00E4598A">
        <w:t xml:space="preserve"> </w:t>
      </w:r>
      <w:r>
        <w:t>in response to draft report, 2</w:t>
      </w:r>
      <w:r w:rsidR="00DA32BE">
        <w:rPr>
          <w:rFonts w:ascii="Symbol" w:eastAsia="Symbol" w:hAnsi="Symbol" w:cs="Symbol"/>
        </w:rPr>
        <w:t>-</w:t>
      </w:r>
      <w:r>
        <w:t>3.</w:t>
      </w:r>
    </w:p>
  </w:footnote>
  <w:footnote w:id="178">
    <w:p w14:paraId="2122CA00" w14:textId="148DFF03" w:rsidR="001137B9" w:rsidRDefault="001137B9" w:rsidP="001137B9">
      <w:pPr>
        <w:pStyle w:val="FootnoteText"/>
      </w:pPr>
      <w:r>
        <w:rPr>
          <w:rStyle w:val="FootnoteReference"/>
        </w:rPr>
        <w:footnoteRef/>
      </w:r>
      <w:r>
        <w:t xml:space="preserve"> ACCI </w:t>
      </w:r>
      <w:r w:rsidR="00DA32BE">
        <w:t>s</w:t>
      </w:r>
      <w:r>
        <w:t>ubmission in response to draft report, 9</w:t>
      </w:r>
      <w:r w:rsidR="00DA32BE">
        <w:t>;</w:t>
      </w:r>
      <w:r>
        <w:t xml:space="preserve"> CCIWA submission in response to draft report, 6</w:t>
      </w:r>
      <w:r w:rsidR="00DA32BE">
        <w:t>,</w:t>
      </w:r>
      <w:r>
        <w:t xml:space="preserve"> 9</w:t>
      </w:r>
      <w:r w:rsidR="00DA32BE">
        <w:t>;</w:t>
      </w:r>
      <w:r>
        <w:t xml:space="preserve"> BCA </w:t>
      </w:r>
      <w:r w:rsidR="00DA32BE">
        <w:t>s</w:t>
      </w:r>
      <w:r>
        <w:t>ubmission in response to draft report, 6</w:t>
      </w:r>
      <w:r w:rsidR="00DA32BE">
        <w:rPr>
          <w:rFonts w:ascii="Symbol" w:eastAsia="Symbol" w:hAnsi="Symbol" w:cs="Symbol"/>
        </w:rPr>
        <w:t>-</w:t>
      </w:r>
      <w:r>
        <w:t>7.</w:t>
      </w:r>
    </w:p>
  </w:footnote>
  <w:footnote w:id="179">
    <w:p w14:paraId="4EAC1BB2" w14:textId="1E0DFD2D" w:rsidR="001137B9" w:rsidRDefault="001137B9" w:rsidP="001137B9">
      <w:pPr>
        <w:pStyle w:val="FootnoteText"/>
      </w:pPr>
      <w:r w:rsidRPr="00F72913">
        <w:rPr>
          <w:rStyle w:val="FootnoteReference"/>
        </w:rPr>
        <w:footnoteRef/>
      </w:r>
      <w:r w:rsidRPr="00F72913">
        <w:t xml:space="preserve"> Ai Group submission in response to draft report, </w:t>
      </w:r>
      <w:r>
        <w:t>16.</w:t>
      </w:r>
    </w:p>
  </w:footnote>
  <w:footnote w:id="180">
    <w:p w14:paraId="3BAF5042" w14:textId="77777777" w:rsidR="001137B9" w:rsidRPr="00A03B67" w:rsidRDefault="001137B9" w:rsidP="001137B9">
      <w:pPr>
        <w:pStyle w:val="FootnoteText"/>
      </w:pPr>
      <w:r w:rsidRPr="00A03B67">
        <w:rPr>
          <w:rStyle w:val="FootnoteReference"/>
        </w:rPr>
        <w:footnoteRef/>
      </w:r>
      <w:r w:rsidRPr="00A03B67">
        <w:t xml:space="preserve"> Commonwealth, </w:t>
      </w:r>
      <w:r w:rsidRPr="00A03B67">
        <w:rPr>
          <w:i/>
          <w:iCs/>
        </w:rPr>
        <w:t>Parliamentary Debates</w:t>
      </w:r>
      <w:r w:rsidRPr="00A03B67">
        <w:t>, House of Representatives, 27 October 2022, 2183 (Tony Burke, Minister for Employment and Workplace Relations).</w:t>
      </w:r>
    </w:p>
  </w:footnote>
  <w:footnote w:id="181">
    <w:p w14:paraId="4FA6D096" w14:textId="77777777" w:rsidR="001137B9" w:rsidRPr="00A03B67" w:rsidRDefault="001137B9" w:rsidP="001137B9">
      <w:pPr>
        <w:pStyle w:val="FootnoteText"/>
      </w:pPr>
      <w:r w:rsidRPr="00A03B67">
        <w:rPr>
          <w:rStyle w:val="FootnoteReference"/>
        </w:rPr>
        <w:footnoteRef/>
      </w:r>
      <w:r w:rsidRPr="00A03B67">
        <w:t xml:space="preserve"> Commonwealth, </w:t>
      </w:r>
      <w:r w:rsidRPr="00A03B67">
        <w:rPr>
          <w:i/>
          <w:iCs/>
        </w:rPr>
        <w:t>Parliamentary Debates</w:t>
      </w:r>
      <w:r w:rsidRPr="00A03B67">
        <w:t>, House of Representatives, 27 October 2022, 2183 (Tony Burke, Minister for Employment and Workplace Relations).</w:t>
      </w:r>
    </w:p>
  </w:footnote>
  <w:footnote w:id="182">
    <w:p w14:paraId="4D9CF7D0" w14:textId="5DF172A3" w:rsidR="001137B9" w:rsidRPr="00A03B67" w:rsidRDefault="001137B9" w:rsidP="001137B9">
      <w:pPr>
        <w:pStyle w:val="FootnoteText"/>
      </w:pPr>
      <w:r w:rsidRPr="00A03B67">
        <w:rPr>
          <w:rStyle w:val="FootnoteReference"/>
        </w:rPr>
        <w:footnoteRef/>
      </w:r>
      <w:r w:rsidRPr="00A03B67">
        <w:t xml:space="preserve"> Revised Explanatory Memorandum, Fair Work Legislation Amendment (Secure Jobs, Better Pay) Bill 2022, para 18.</w:t>
      </w:r>
    </w:p>
  </w:footnote>
  <w:footnote w:id="183">
    <w:p w14:paraId="19DBC0EE" w14:textId="77777777" w:rsidR="001137B9" w:rsidRPr="00A03B67" w:rsidRDefault="001137B9" w:rsidP="001137B9">
      <w:pPr>
        <w:pStyle w:val="FootnoteText"/>
      </w:pPr>
      <w:r w:rsidRPr="00A03B67">
        <w:rPr>
          <w:rStyle w:val="FootnoteReference"/>
        </w:rPr>
        <w:footnoteRef/>
      </w:r>
      <w:r w:rsidRPr="00A03B67">
        <w:t xml:space="preserve"> Revised Explanatory Memorandum, Fair Work Legislation Amendment (Secure Jobs, Better Pay) Bill 2022, Outline, p iii.</w:t>
      </w:r>
    </w:p>
  </w:footnote>
  <w:footnote w:id="184">
    <w:p w14:paraId="1E852030" w14:textId="77777777" w:rsidR="001137B9" w:rsidRPr="00A03B67" w:rsidRDefault="001137B9" w:rsidP="001137B9">
      <w:pPr>
        <w:pStyle w:val="FootnoteText"/>
      </w:pPr>
      <w:r w:rsidRPr="00A03B67">
        <w:rPr>
          <w:rStyle w:val="FootnoteReference"/>
        </w:rPr>
        <w:footnoteRef/>
      </w:r>
      <w:r w:rsidRPr="00A03B67">
        <w:t xml:space="preserve"> Fair Work Commission, </w:t>
      </w:r>
      <w:r w:rsidRPr="00A03B67">
        <w:rPr>
          <w:i/>
          <w:iCs/>
        </w:rPr>
        <w:t>Annual Report 2022</w:t>
      </w:r>
      <w:r w:rsidRPr="00A03B67">
        <w:rPr>
          <w:rFonts w:ascii="Symbol" w:eastAsia="Symbol" w:hAnsi="Symbol" w:cs="Symbol"/>
          <w:i/>
          <w:iCs/>
        </w:rPr>
        <w:t>-</w:t>
      </w:r>
      <w:r w:rsidRPr="00A03B67">
        <w:rPr>
          <w:i/>
          <w:iCs/>
        </w:rPr>
        <w:t>23</w:t>
      </w:r>
      <w:r w:rsidRPr="00A03B67">
        <w:t xml:space="preserve"> (Report, 2023) 22.</w:t>
      </w:r>
    </w:p>
  </w:footnote>
  <w:footnote w:id="185">
    <w:p w14:paraId="74308DFA" w14:textId="77777777" w:rsidR="001137B9" w:rsidRPr="00A03B67" w:rsidRDefault="001137B9" w:rsidP="001137B9">
      <w:pPr>
        <w:pStyle w:val="FootnoteText"/>
      </w:pPr>
      <w:r w:rsidRPr="00A03B67">
        <w:rPr>
          <w:rStyle w:val="FootnoteReference"/>
        </w:rPr>
        <w:footnoteRef/>
      </w:r>
      <w:r w:rsidRPr="00A03B67">
        <w:t xml:space="preserve"> Fair Work Commission, </w:t>
      </w:r>
      <w:r w:rsidRPr="00A03B67">
        <w:rPr>
          <w:i/>
          <w:iCs/>
        </w:rPr>
        <w:t>Annual Report 2021</w:t>
      </w:r>
      <w:r w:rsidRPr="00A03B67">
        <w:rPr>
          <w:rFonts w:ascii="Symbol" w:eastAsia="Symbol" w:hAnsi="Symbol" w:cs="Symbol"/>
          <w:i/>
          <w:iCs/>
        </w:rPr>
        <w:t>-</w:t>
      </w:r>
      <w:r w:rsidRPr="00A03B67">
        <w:rPr>
          <w:i/>
          <w:iCs/>
        </w:rPr>
        <w:t>22</w:t>
      </w:r>
      <w:r w:rsidRPr="00A03B67">
        <w:t xml:space="preserve"> (Report, 2022) Table C1, 60.</w:t>
      </w:r>
    </w:p>
  </w:footnote>
  <w:footnote w:id="186">
    <w:p w14:paraId="05C3A709" w14:textId="77777777" w:rsidR="001137B9" w:rsidRPr="00A03B67" w:rsidRDefault="001137B9" w:rsidP="001137B9">
      <w:pPr>
        <w:pStyle w:val="FootnoteText"/>
      </w:pPr>
      <w:r w:rsidRPr="00A03B67">
        <w:rPr>
          <w:rStyle w:val="FootnoteReference"/>
        </w:rPr>
        <w:footnoteRef/>
      </w:r>
      <w:r w:rsidRPr="00A03B67">
        <w:t xml:space="preserve"> Fair Work Commission, </w:t>
      </w:r>
      <w:r w:rsidRPr="00A03B67">
        <w:rPr>
          <w:i/>
          <w:iCs/>
        </w:rPr>
        <w:t>Annual Report 2022</w:t>
      </w:r>
      <w:r w:rsidRPr="00A03B67">
        <w:rPr>
          <w:rFonts w:ascii="Symbol" w:eastAsia="Symbol" w:hAnsi="Symbol" w:cs="Symbol"/>
          <w:i/>
          <w:iCs/>
        </w:rPr>
        <w:t>-</w:t>
      </w:r>
      <w:r w:rsidRPr="00A03B67">
        <w:rPr>
          <w:i/>
          <w:iCs/>
        </w:rPr>
        <w:t>23</w:t>
      </w:r>
      <w:r w:rsidRPr="00A03B67">
        <w:t xml:space="preserve"> (Report, 2023) Table C1, 66.</w:t>
      </w:r>
    </w:p>
  </w:footnote>
  <w:footnote w:id="187">
    <w:p w14:paraId="3DEBB772" w14:textId="77777777" w:rsidR="001137B9" w:rsidRPr="00A03B67" w:rsidRDefault="001137B9" w:rsidP="001137B9">
      <w:pPr>
        <w:pStyle w:val="FootnoteText"/>
      </w:pPr>
      <w:r w:rsidRPr="00A03B67">
        <w:rPr>
          <w:rStyle w:val="FootnoteReference"/>
        </w:rPr>
        <w:footnoteRef/>
      </w:r>
      <w:r w:rsidRPr="00A03B67">
        <w:t xml:space="preserve"> Fair Work Commission, </w:t>
      </w:r>
      <w:r w:rsidRPr="00A03B67">
        <w:rPr>
          <w:i/>
          <w:iCs/>
        </w:rPr>
        <w:t>Annual Report 2022</w:t>
      </w:r>
      <w:r w:rsidRPr="00A03B67">
        <w:rPr>
          <w:rFonts w:ascii="Symbol" w:eastAsia="Symbol" w:hAnsi="Symbol" w:cs="Symbol"/>
          <w:i/>
          <w:iCs/>
        </w:rPr>
        <w:t>-</w:t>
      </w:r>
      <w:r w:rsidRPr="00A03B67">
        <w:rPr>
          <w:i/>
          <w:iCs/>
        </w:rPr>
        <w:t>23</w:t>
      </w:r>
      <w:r w:rsidRPr="00A03B67">
        <w:t xml:space="preserve"> (Report, 2023) 70.</w:t>
      </w:r>
    </w:p>
  </w:footnote>
  <w:footnote w:id="188">
    <w:p w14:paraId="16E96C94" w14:textId="77777777" w:rsidR="001137B9" w:rsidRPr="00A03B67" w:rsidRDefault="001137B9" w:rsidP="001137B9">
      <w:pPr>
        <w:pStyle w:val="FootnoteText"/>
      </w:pPr>
      <w:r w:rsidRPr="00A03B67">
        <w:rPr>
          <w:rStyle w:val="FootnoteReference"/>
        </w:rPr>
        <w:footnoteRef/>
      </w:r>
      <w:r w:rsidRPr="00A03B67">
        <w:t xml:space="preserve"> Fair Work Commission, </w:t>
      </w:r>
      <w:r w:rsidRPr="00A03B67">
        <w:rPr>
          <w:i/>
          <w:iCs/>
        </w:rPr>
        <w:t>Annual Report 2023</w:t>
      </w:r>
      <w:r w:rsidRPr="00A03B67">
        <w:rPr>
          <w:rFonts w:ascii="Symbol" w:eastAsia="Symbol" w:hAnsi="Symbol" w:cs="Symbol"/>
          <w:i/>
          <w:iCs/>
        </w:rPr>
        <w:t>-</w:t>
      </w:r>
      <w:r w:rsidRPr="00A03B67">
        <w:rPr>
          <w:i/>
          <w:iCs/>
        </w:rPr>
        <w:t>24</w:t>
      </w:r>
      <w:r w:rsidRPr="00A03B67">
        <w:t xml:space="preserve"> (Report, 2024) Table C1, 65.</w:t>
      </w:r>
    </w:p>
  </w:footnote>
  <w:footnote w:id="189">
    <w:p w14:paraId="0A6C3B1E" w14:textId="77777777" w:rsidR="00D74EA1" w:rsidRDefault="00D74EA1" w:rsidP="00D74EA1">
      <w:pPr>
        <w:pStyle w:val="FootnoteText"/>
      </w:pPr>
      <w:r>
        <w:rPr>
          <w:rStyle w:val="FootnoteReference"/>
        </w:rPr>
        <w:footnoteRef/>
      </w:r>
      <w:r>
        <w:t xml:space="preserve"> </w:t>
      </w:r>
      <w:r w:rsidRPr="00A03B67">
        <w:t xml:space="preserve">Fair Work Commission, </w:t>
      </w:r>
      <w:r w:rsidRPr="00A03B67">
        <w:rPr>
          <w:i/>
          <w:iCs/>
        </w:rPr>
        <w:t>Annual Report 2022</w:t>
      </w:r>
      <w:r w:rsidRPr="00A03B67">
        <w:rPr>
          <w:rFonts w:ascii="Symbol" w:eastAsia="Symbol" w:hAnsi="Symbol" w:cs="Symbol"/>
          <w:i/>
          <w:iCs/>
        </w:rPr>
        <w:t>-</w:t>
      </w:r>
      <w:r w:rsidRPr="00A03B67">
        <w:rPr>
          <w:i/>
          <w:iCs/>
        </w:rPr>
        <w:t>23</w:t>
      </w:r>
      <w:r w:rsidRPr="00A03B67">
        <w:t xml:space="preserve"> (Report, 202</w:t>
      </w:r>
      <w:r>
        <w:t>3</w:t>
      </w:r>
      <w:r w:rsidRPr="00A03B67">
        <w:t>)</w:t>
      </w:r>
      <w:r>
        <w:t>, 71.</w:t>
      </w:r>
    </w:p>
  </w:footnote>
  <w:footnote w:id="190">
    <w:p w14:paraId="13F72D47" w14:textId="04F023E4" w:rsidR="001137B9" w:rsidRPr="00A03B67" w:rsidRDefault="001137B9" w:rsidP="001137B9">
      <w:pPr>
        <w:pStyle w:val="FootnoteText"/>
      </w:pPr>
      <w:r w:rsidRPr="00A03B67">
        <w:rPr>
          <w:rStyle w:val="FootnoteReference"/>
        </w:rPr>
        <w:footnoteRef/>
      </w:r>
      <w:r w:rsidRPr="00A03B67">
        <w:t xml:space="preserve"> Fair Work Commission, </w:t>
      </w:r>
      <w:r w:rsidRPr="00A03B67">
        <w:rPr>
          <w:i/>
          <w:iCs/>
        </w:rPr>
        <w:t>Annual Report 2023</w:t>
      </w:r>
      <w:r w:rsidRPr="00A03B67">
        <w:rPr>
          <w:rFonts w:ascii="Symbol" w:eastAsia="Symbol" w:hAnsi="Symbol" w:cs="Symbol"/>
          <w:i/>
          <w:iCs/>
        </w:rPr>
        <w:t>-</w:t>
      </w:r>
      <w:r w:rsidRPr="00A03B67">
        <w:rPr>
          <w:i/>
          <w:iCs/>
        </w:rPr>
        <w:t>24</w:t>
      </w:r>
      <w:r w:rsidRPr="00A03B67">
        <w:t xml:space="preserve"> (Report, 2024),</w:t>
      </w:r>
      <w:r w:rsidR="00397261">
        <w:t>69</w:t>
      </w:r>
      <w:r w:rsidR="0024106D">
        <w:t>.</w:t>
      </w:r>
    </w:p>
  </w:footnote>
  <w:footnote w:id="191">
    <w:p w14:paraId="0E46D234" w14:textId="16E5EEF9" w:rsidR="001137B9" w:rsidRPr="00A03B67" w:rsidRDefault="001137B9" w:rsidP="001137B9">
      <w:pPr>
        <w:pStyle w:val="FootnoteText"/>
      </w:pPr>
      <w:r w:rsidRPr="00A03B67">
        <w:rPr>
          <w:rStyle w:val="FootnoteReference"/>
        </w:rPr>
        <w:footnoteRef/>
      </w:r>
      <w:r w:rsidRPr="00A03B67">
        <w:t xml:space="preserve"> Fair Work Commission, </w:t>
      </w:r>
      <w:r w:rsidRPr="00A03B67">
        <w:rPr>
          <w:i/>
          <w:iCs/>
        </w:rPr>
        <w:t>Inquiries, Investigations and Litigation</w:t>
      </w:r>
      <w:r w:rsidRPr="00A03B67">
        <w:t xml:space="preserve"> (Web Page, n.d.).</w:t>
      </w:r>
    </w:p>
  </w:footnote>
  <w:footnote w:id="192">
    <w:p w14:paraId="298FCD28" w14:textId="77777777" w:rsidR="001137B9" w:rsidRPr="00A03B67" w:rsidRDefault="001137B9" w:rsidP="001137B9">
      <w:pPr>
        <w:pStyle w:val="FootnoteText"/>
      </w:pPr>
      <w:r w:rsidRPr="00A03B67">
        <w:rPr>
          <w:rStyle w:val="FootnoteReference"/>
        </w:rPr>
        <w:footnoteRef/>
      </w:r>
      <w:r w:rsidRPr="00A03B67">
        <w:t xml:space="preserve"> Fair Work Commission, </w:t>
      </w:r>
      <w:r w:rsidRPr="00A03B67">
        <w:rPr>
          <w:i/>
          <w:iCs/>
        </w:rPr>
        <w:t>Inquiries, Investigations and Litigation</w:t>
      </w:r>
      <w:r w:rsidRPr="00A03B67">
        <w:t xml:space="preserve"> (Web Page, n.d.).</w:t>
      </w:r>
    </w:p>
  </w:footnote>
  <w:footnote w:id="193">
    <w:p w14:paraId="0CBE4935" w14:textId="77777777" w:rsidR="001137B9" w:rsidRPr="00A03B67" w:rsidRDefault="001137B9" w:rsidP="001137B9">
      <w:pPr>
        <w:pStyle w:val="FootnoteText"/>
      </w:pPr>
      <w:r w:rsidRPr="00A03B67">
        <w:rPr>
          <w:rStyle w:val="FootnoteReference"/>
        </w:rPr>
        <w:footnoteRef/>
      </w:r>
      <w:r w:rsidRPr="00A03B67">
        <w:t xml:space="preserve"> Fair Work Commission, </w:t>
      </w:r>
      <w:r w:rsidRPr="00A03B67">
        <w:rPr>
          <w:i/>
          <w:iCs/>
        </w:rPr>
        <w:t>Inquiries, Investigations and Litigation</w:t>
      </w:r>
      <w:r w:rsidRPr="00A03B67">
        <w:t xml:space="preserve"> (Web Page, n.d.).</w:t>
      </w:r>
    </w:p>
  </w:footnote>
  <w:footnote w:id="194">
    <w:p w14:paraId="7B0B2947" w14:textId="77777777" w:rsidR="001137B9" w:rsidRPr="00A03B67" w:rsidRDefault="001137B9" w:rsidP="001137B9">
      <w:pPr>
        <w:pStyle w:val="FootnoteText"/>
      </w:pPr>
      <w:r w:rsidRPr="00A03B67">
        <w:rPr>
          <w:rStyle w:val="FootnoteReference"/>
        </w:rPr>
        <w:footnoteRef/>
      </w:r>
      <w:r w:rsidRPr="00A03B67">
        <w:t xml:space="preserve"> Fair Work Commission, </w:t>
      </w:r>
      <w:r w:rsidRPr="00A03B67">
        <w:rPr>
          <w:i/>
          <w:iCs/>
        </w:rPr>
        <w:t>Inquiries, Investigations and Litigation</w:t>
      </w:r>
      <w:r w:rsidRPr="00A03B67">
        <w:t xml:space="preserve"> (Web Page, n.d.).</w:t>
      </w:r>
    </w:p>
  </w:footnote>
  <w:footnote w:id="195">
    <w:p w14:paraId="39736DB8" w14:textId="30D88DAA" w:rsidR="00A249B0" w:rsidRDefault="00A249B0">
      <w:pPr>
        <w:pStyle w:val="FootnoteText"/>
      </w:pPr>
      <w:r>
        <w:rPr>
          <w:rStyle w:val="FootnoteReference"/>
        </w:rPr>
        <w:footnoteRef/>
      </w:r>
      <w:r w:rsidR="00E84966">
        <w:rPr>
          <w:i/>
          <w:iCs/>
        </w:rPr>
        <w:t xml:space="preserve"> </w:t>
      </w:r>
      <w:r w:rsidR="00E84966" w:rsidRPr="00167CB8">
        <w:rPr>
          <w:i/>
          <w:iCs/>
        </w:rPr>
        <w:t>Fair Work Commission v Australian Workers</w:t>
      </w:r>
      <w:r w:rsidR="00E84966">
        <w:rPr>
          <w:i/>
          <w:iCs/>
        </w:rPr>
        <w:t>’</w:t>
      </w:r>
      <w:r w:rsidR="00E84966" w:rsidRPr="00167CB8">
        <w:rPr>
          <w:i/>
          <w:iCs/>
        </w:rPr>
        <w:t xml:space="preserve"> </w:t>
      </w:r>
      <w:r w:rsidR="00E84966" w:rsidRPr="00A249B0">
        <w:rPr>
          <w:i/>
          <w:iCs/>
        </w:rPr>
        <w:t>Union</w:t>
      </w:r>
      <w:r w:rsidRPr="00E84966">
        <w:rPr>
          <w:i/>
          <w:iCs/>
        </w:rPr>
        <w:t xml:space="preserve"> </w:t>
      </w:r>
      <w:r w:rsidRPr="00A249B0">
        <w:t>[2023] FCA 1642</w:t>
      </w:r>
      <w:r>
        <w:t>.</w:t>
      </w:r>
    </w:p>
  </w:footnote>
  <w:footnote w:id="196">
    <w:p w14:paraId="763B7D61" w14:textId="77777777" w:rsidR="001137B9" w:rsidRPr="00A03B67" w:rsidRDefault="001137B9" w:rsidP="001137B9">
      <w:pPr>
        <w:pStyle w:val="FootnoteText"/>
      </w:pPr>
      <w:r w:rsidRPr="00A03B67">
        <w:rPr>
          <w:rStyle w:val="FootnoteReference"/>
        </w:rPr>
        <w:footnoteRef/>
      </w:r>
      <w:r w:rsidRPr="00A03B67">
        <w:t xml:space="preserve"> </w:t>
      </w:r>
      <w:r w:rsidRPr="00A03B67">
        <w:rPr>
          <w:i/>
          <w:iCs/>
        </w:rPr>
        <w:t>General Manager of the Fair Work Commission v Australian Workers’ Union</w:t>
      </w:r>
      <w:r w:rsidRPr="00A03B67">
        <w:t xml:space="preserve"> [2023] FCA 1642.</w:t>
      </w:r>
    </w:p>
  </w:footnote>
  <w:footnote w:id="197">
    <w:p w14:paraId="6345E45A" w14:textId="77777777" w:rsidR="001137B9" w:rsidRPr="00A03B67" w:rsidRDefault="001137B9" w:rsidP="001137B9">
      <w:pPr>
        <w:pStyle w:val="FootnoteText"/>
      </w:pPr>
      <w:r w:rsidRPr="00A03B67">
        <w:rPr>
          <w:rStyle w:val="FootnoteReference"/>
        </w:rPr>
        <w:footnoteRef/>
      </w:r>
      <w:r w:rsidRPr="00A03B67">
        <w:t xml:space="preserve"> </w:t>
      </w:r>
      <w:r w:rsidRPr="00A03B67">
        <w:rPr>
          <w:i/>
          <w:iCs/>
        </w:rPr>
        <w:t>General Manager of the Fair Work Commission v Australian Workers’ Union</w:t>
      </w:r>
      <w:r w:rsidRPr="00A03B67">
        <w:t xml:space="preserve"> [2023] FCA 1642.</w:t>
      </w:r>
    </w:p>
  </w:footnote>
  <w:footnote w:id="198">
    <w:p w14:paraId="0B56431D" w14:textId="77777777" w:rsidR="001137B9" w:rsidRPr="00A03B67" w:rsidRDefault="001137B9" w:rsidP="001137B9">
      <w:pPr>
        <w:pStyle w:val="FootnoteText"/>
      </w:pPr>
      <w:r w:rsidRPr="00A03B67">
        <w:rPr>
          <w:rStyle w:val="FootnoteReference"/>
        </w:rPr>
        <w:footnoteRef/>
      </w:r>
      <w:r w:rsidRPr="00A03B67">
        <w:t xml:space="preserve"> </w:t>
      </w:r>
      <w:r w:rsidRPr="00A03B67">
        <w:rPr>
          <w:i/>
          <w:iCs/>
        </w:rPr>
        <w:t>Fair Work Commission v Smyth</w:t>
      </w:r>
      <w:r w:rsidRPr="00A03B67">
        <w:t xml:space="preserve"> [2024] FCA 304.</w:t>
      </w:r>
    </w:p>
  </w:footnote>
  <w:footnote w:id="199">
    <w:p w14:paraId="07597107" w14:textId="77777777" w:rsidR="001137B9" w:rsidRPr="00A03B67" w:rsidRDefault="001137B9" w:rsidP="001137B9">
      <w:pPr>
        <w:pStyle w:val="FootnoteText"/>
      </w:pPr>
      <w:r w:rsidRPr="00A03B67">
        <w:rPr>
          <w:rStyle w:val="FootnoteReference"/>
        </w:rPr>
        <w:footnoteRef/>
      </w:r>
      <w:r w:rsidRPr="00A03B67">
        <w:t xml:space="preserve"> </w:t>
      </w:r>
      <w:r w:rsidRPr="00A03B67">
        <w:rPr>
          <w:i/>
          <w:iCs/>
        </w:rPr>
        <w:t xml:space="preserve">General Manager of the Fair Work Commission v Smyth </w:t>
      </w:r>
      <w:r w:rsidRPr="00A03B67">
        <w:t>[2024] FCA 304.</w:t>
      </w:r>
    </w:p>
  </w:footnote>
  <w:footnote w:id="200">
    <w:p w14:paraId="0D51C395" w14:textId="77777777" w:rsidR="001137B9" w:rsidRPr="00A03B67" w:rsidRDefault="001137B9" w:rsidP="001137B9">
      <w:pPr>
        <w:pStyle w:val="FootnoteText"/>
      </w:pPr>
      <w:r w:rsidRPr="00A03B67">
        <w:rPr>
          <w:rStyle w:val="FootnoteReference"/>
        </w:rPr>
        <w:footnoteRef/>
      </w:r>
      <w:r w:rsidRPr="00A03B67">
        <w:t xml:space="preserve"> </w:t>
      </w:r>
      <w:r w:rsidRPr="00A03B67">
        <w:rPr>
          <w:i/>
          <w:lang w:val="en-US"/>
        </w:rPr>
        <w:t xml:space="preserve">General Manager of The Fair Work Commission v Diana Asmar &amp; Ors, </w:t>
      </w:r>
      <w:r w:rsidRPr="00A03B67">
        <w:t>VID835/2024.</w:t>
      </w:r>
    </w:p>
  </w:footnote>
  <w:footnote w:id="201">
    <w:p w14:paraId="14C8DAC9" w14:textId="77777777" w:rsidR="001137B9" w:rsidRPr="00A03B67" w:rsidRDefault="001137B9" w:rsidP="001137B9">
      <w:pPr>
        <w:pStyle w:val="FootnoteText"/>
      </w:pPr>
      <w:r w:rsidRPr="00A03B67">
        <w:rPr>
          <w:rStyle w:val="FootnoteReference"/>
        </w:rPr>
        <w:footnoteRef/>
      </w:r>
      <w:r w:rsidRPr="00A03B67">
        <w:t xml:space="preserve"> ‘Building Bad’, </w:t>
      </w:r>
      <w:r w:rsidRPr="00A03B67">
        <w:rPr>
          <w:i/>
          <w:iCs/>
        </w:rPr>
        <w:t xml:space="preserve">AFR </w:t>
      </w:r>
      <w:r w:rsidRPr="00A03B67">
        <w:t>(online, 17 July 2024).</w:t>
      </w:r>
    </w:p>
  </w:footnote>
  <w:footnote w:id="202">
    <w:p w14:paraId="787E1893" w14:textId="59F01865" w:rsidR="001137B9" w:rsidRPr="00A03B67" w:rsidRDefault="001137B9" w:rsidP="001137B9">
      <w:pPr>
        <w:pStyle w:val="FootnoteText"/>
      </w:pPr>
      <w:r w:rsidRPr="00A03B67">
        <w:rPr>
          <w:rStyle w:val="FootnoteReference"/>
        </w:rPr>
        <w:footnoteRef/>
      </w:r>
      <w:r w:rsidRPr="00A03B67">
        <w:t xml:space="preserve"> Fair Work Commission, </w:t>
      </w:r>
      <w:r w:rsidR="00DA32BE">
        <w:t>‘</w:t>
      </w:r>
      <w:r w:rsidRPr="00A03B67">
        <w:t>Application for Appointment of Independent Administrator for CFMEU</w:t>
      </w:r>
      <w:r w:rsidR="00DA32BE">
        <w:t>’</w:t>
      </w:r>
      <w:r w:rsidRPr="00A03B67">
        <w:t xml:space="preserve"> (Media Release, 2 August 2024).</w:t>
      </w:r>
    </w:p>
  </w:footnote>
  <w:footnote w:id="203">
    <w:p w14:paraId="1881AB27" w14:textId="221B4DE0" w:rsidR="001137B9" w:rsidRPr="00A03B67" w:rsidRDefault="001137B9" w:rsidP="001137B9">
      <w:pPr>
        <w:pStyle w:val="FootnoteText"/>
      </w:pPr>
      <w:r w:rsidRPr="00A03B67">
        <w:rPr>
          <w:rStyle w:val="FootnoteReference"/>
        </w:rPr>
        <w:footnoteRef/>
      </w:r>
      <w:r w:rsidRPr="00A03B67">
        <w:t xml:space="preserve"> </w:t>
      </w:r>
      <w:r w:rsidRPr="00A03B67">
        <w:rPr>
          <w:lang w:val="en-US"/>
        </w:rPr>
        <w:t xml:space="preserve">Also listed on the </w:t>
      </w:r>
      <w:r w:rsidRPr="00A03B67">
        <w:t xml:space="preserve">FWC </w:t>
      </w:r>
      <w:r w:rsidR="00DA32BE">
        <w:t>w</w:t>
      </w:r>
      <w:r w:rsidRPr="00A03B67">
        <w:t>ebsite</w:t>
      </w:r>
      <w:r w:rsidR="00DA32BE">
        <w:t>:</w:t>
      </w:r>
      <w:r w:rsidRPr="00A03B67">
        <w:t xml:space="preserve"> </w:t>
      </w:r>
      <w:r w:rsidR="00DA32BE" w:rsidRPr="00A03B67">
        <w:t xml:space="preserve">Fair Work Commission, </w:t>
      </w:r>
      <w:r w:rsidR="00DA32BE" w:rsidRPr="00A03B67">
        <w:rPr>
          <w:i/>
          <w:iCs/>
        </w:rPr>
        <w:t>Inquiries, Investigations and Litigation</w:t>
      </w:r>
      <w:r w:rsidR="00DA32BE" w:rsidRPr="00A03B67">
        <w:t xml:space="preserve"> (Web Page, n.d.)</w:t>
      </w:r>
      <w:r w:rsidRPr="00A03B67">
        <w:t>.</w:t>
      </w:r>
    </w:p>
  </w:footnote>
  <w:footnote w:id="204">
    <w:p w14:paraId="418FB270" w14:textId="77777777" w:rsidR="001137B9" w:rsidRPr="00A03B67" w:rsidRDefault="001137B9" w:rsidP="001137B9">
      <w:pPr>
        <w:pStyle w:val="FootnoteText"/>
      </w:pPr>
      <w:r w:rsidRPr="00A03B67">
        <w:rPr>
          <w:rStyle w:val="FootnoteReference"/>
        </w:rPr>
        <w:footnoteRef/>
      </w:r>
      <w:r w:rsidRPr="00A03B67">
        <w:t xml:space="preserve"> Fair Work Ombudsman, </w:t>
      </w:r>
      <w:r w:rsidRPr="00A03B67">
        <w:rPr>
          <w:i/>
          <w:iCs/>
        </w:rPr>
        <w:t>Role of CFMEU Administrator</w:t>
      </w:r>
      <w:r w:rsidRPr="00A03B67">
        <w:t xml:space="preserve"> (Web Page, 16 January 2025).</w:t>
      </w:r>
    </w:p>
  </w:footnote>
  <w:footnote w:id="205">
    <w:p w14:paraId="40BD402A" w14:textId="14BC4417" w:rsidR="001137B9" w:rsidRPr="00A03B67" w:rsidRDefault="001137B9" w:rsidP="001137B9">
      <w:pPr>
        <w:pStyle w:val="FootnoteText"/>
      </w:pPr>
      <w:r w:rsidRPr="00A03B67">
        <w:rPr>
          <w:rStyle w:val="FootnoteReference"/>
        </w:rPr>
        <w:footnoteRef/>
      </w:r>
      <w:r w:rsidRPr="00A03B67">
        <w:t xml:space="preserve"> Fair Work Commission, </w:t>
      </w:r>
      <w:r w:rsidR="00DA32BE">
        <w:t>‘</w:t>
      </w:r>
      <w:r w:rsidRPr="00A03B67">
        <w:t>Appointment of Independent Administrator, CFMEU (Construction and General Division)</w:t>
      </w:r>
      <w:r w:rsidR="00DA32BE">
        <w:t>’ (Media Release,</w:t>
      </w:r>
      <w:r w:rsidRPr="00A03B67">
        <w:t xml:space="preserve"> 23 August 2024</w:t>
      </w:r>
      <w:r w:rsidR="00DA32BE">
        <w:t>)</w:t>
      </w:r>
      <w:r w:rsidRPr="00A03B67">
        <w:t xml:space="preserve"> &lt;https://www.fwc.gov.au/appointment-independent-administrator-cfmeu-construction-and-general-division&gt;.</w:t>
      </w:r>
    </w:p>
  </w:footnote>
  <w:footnote w:id="206">
    <w:p w14:paraId="37535E0E" w14:textId="26236092" w:rsidR="001137B9" w:rsidRPr="00A03B67" w:rsidRDefault="001137B9" w:rsidP="001137B9">
      <w:pPr>
        <w:pStyle w:val="FootnoteText"/>
      </w:pPr>
      <w:r w:rsidRPr="00A03B67">
        <w:rPr>
          <w:rStyle w:val="FootnoteReference"/>
        </w:rPr>
        <w:footnoteRef/>
      </w:r>
      <w:r w:rsidRPr="00A03B67">
        <w:t xml:space="preserve"> Fair Work Commission, </w:t>
      </w:r>
      <w:r w:rsidRPr="00A03B67">
        <w:rPr>
          <w:i/>
          <w:iCs/>
        </w:rPr>
        <w:t>Compliance and Enforcement Policy</w:t>
      </w:r>
      <w:r w:rsidRPr="00A03B67">
        <w:t xml:space="preserve"> (2024) 4.</w:t>
      </w:r>
    </w:p>
  </w:footnote>
  <w:footnote w:id="207">
    <w:p w14:paraId="144C0DEA" w14:textId="77777777" w:rsidR="001137B9" w:rsidRPr="00A03B67" w:rsidRDefault="001137B9" w:rsidP="001137B9">
      <w:pPr>
        <w:pStyle w:val="FootnoteText"/>
      </w:pPr>
      <w:r w:rsidRPr="00A03B67">
        <w:rPr>
          <w:rStyle w:val="FootnoteReference"/>
        </w:rPr>
        <w:footnoteRef/>
      </w:r>
      <w:r w:rsidRPr="00A03B67">
        <w:t xml:space="preserve"> Fair Work Commission, </w:t>
      </w:r>
      <w:r w:rsidRPr="00A03B67">
        <w:rPr>
          <w:i/>
          <w:iCs/>
        </w:rPr>
        <w:t>Compliance and Enforcement Policy</w:t>
      </w:r>
      <w:r w:rsidRPr="00A03B67">
        <w:t xml:space="preserve"> (2024) 5.</w:t>
      </w:r>
    </w:p>
  </w:footnote>
  <w:footnote w:id="208">
    <w:p w14:paraId="44BE80C8" w14:textId="6A826B6E" w:rsidR="001137B9" w:rsidRPr="00A03B67" w:rsidRDefault="001137B9" w:rsidP="001137B9">
      <w:pPr>
        <w:pStyle w:val="FootnoteText"/>
      </w:pPr>
      <w:r w:rsidRPr="00A03B67">
        <w:rPr>
          <w:rStyle w:val="FootnoteReference"/>
        </w:rPr>
        <w:footnoteRef/>
      </w:r>
      <w:r w:rsidRPr="00A03B67">
        <w:t xml:space="preserve"> Fair Work Commission, </w:t>
      </w:r>
      <w:r w:rsidRPr="00A03B67">
        <w:rPr>
          <w:i/>
          <w:iCs/>
        </w:rPr>
        <w:t>General Manager Response to External Review</w:t>
      </w:r>
      <w:r w:rsidRPr="00A03B67">
        <w:t xml:space="preserve"> (Report</w:t>
      </w:r>
      <w:r w:rsidR="00DA32BE">
        <w:t>, 2023</w:t>
      </w:r>
      <w:r w:rsidRPr="00A03B67">
        <w:t>) 1 &lt;https://www.fwc.gov.au/about-us/news-and-media/news/registered-organisations-governance-compliance-external-review-final&gt;.</w:t>
      </w:r>
    </w:p>
  </w:footnote>
  <w:footnote w:id="209">
    <w:p w14:paraId="5B5F4A07" w14:textId="21D3BE3D" w:rsidR="001137B9" w:rsidRPr="00A03B67" w:rsidRDefault="001137B9" w:rsidP="001137B9">
      <w:pPr>
        <w:pStyle w:val="FootnoteText"/>
      </w:pPr>
      <w:r w:rsidRPr="00A03B67">
        <w:rPr>
          <w:rStyle w:val="FootnoteReference"/>
        </w:rPr>
        <w:footnoteRef/>
      </w:r>
      <w:r w:rsidRPr="00A03B67">
        <w:t xml:space="preserve"> Fair Work Commission, </w:t>
      </w:r>
      <w:r w:rsidRPr="00A03B67">
        <w:rPr>
          <w:i/>
          <w:iCs/>
        </w:rPr>
        <w:t>Terms of Reference – Registered Organisations Governance and Compliance External Review</w:t>
      </w:r>
      <w:r w:rsidRPr="00A03B67">
        <w:t xml:space="preserve"> (n.d.)</w:t>
      </w:r>
      <w:r w:rsidR="00DA32BE">
        <w:t>.</w:t>
      </w:r>
    </w:p>
  </w:footnote>
  <w:footnote w:id="210">
    <w:p w14:paraId="71A7D26B" w14:textId="3DE3CBB9" w:rsidR="001137B9" w:rsidRPr="00A03B67" w:rsidRDefault="001137B9" w:rsidP="001137B9">
      <w:pPr>
        <w:pStyle w:val="FootnoteText"/>
      </w:pPr>
      <w:r w:rsidRPr="00A03B67">
        <w:rPr>
          <w:rStyle w:val="FootnoteReference"/>
        </w:rPr>
        <w:footnoteRef/>
      </w:r>
      <w:r w:rsidR="00DA32BE">
        <w:t xml:space="preserve">J </w:t>
      </w:r>
      <w:r w:rsidRPr="00A03B67">
        <w:t xml:space="preserve">Hamberger and </w:t>
      </w:r>
      <w:r w:rsidR="00DA32BE">
        <w:t xml:space="preserve">A </w:t>
      </w:r>
      <w:r w:rsidRPr="00A03B67">
        <w:t xml:space="preserve">Booth, </w:t>
      </w:r>
      <w:r w:rsidRPr="00A03B67">
        <w:rPr>
          <w:i/>
          <w:iCs/>
        </w:rPr>
        <w:t>Registered Organisations Review Report</w:t>
      </w:r>
      <w:r w:rsidRPr="00A03B67">
        <w:t xml:space="preserve"> (Report, 2023).</w:t>
      </w:r>
    </w:p>
  </w:footnote>
  <w:footnote w:id="211">
    <w:p w14:paraId="4E4057F1" w14:textId="0EABDA47" w:rsidR="001137B9" w:rsidRPr="00A03B67" w:rsidRDefault="001137B9" w:rsidP="001137B9">
      <w:pPr>
        <w:pStyle w:val="FootnoteText"/>
      </w:pPr>
      <w:r w:rsidRPr="00A03B67">
        <w:rPr>
          <w:rStyle w:val="FootnoteReference"/>
        </w:rPr>
        <w:footnoteRef/>
      </w:r>
      <w:r w:rsidRPr="00A03B67">
        <w:t xml:space="preserve"> Fair Work Commission, </w:t>
      </w:r>
      <w:r w:rsidRPr="0035749E">
        <w:rPr>
          <w:i/>
          <w:iCs/>
        </w:rPr>
        <w:t>General Manager Response to External Review Report</w:t>
      </w:r>
      <w:r w:rsidRPr="00A03B67">
        <w:t xml:space="preserve"> (Report</w:t>
      </w:r>
      <w:r w:rsidR="00DA32BE">
        <w:t>, 2023</w:t>
      </w:r>
      <w:r w:rsidRPr="00A03B67">
        <w:t>) &lt;https://www.fwc.gov.au/about-us/news-and-media/news/registered-organisations-governance-compliance-external-review-final&gt;.</w:t>
      </w:r>
    </w:p>
  </w:footnote>
  <w:footnote w:id="212">
    <w:p w14:paraId="157AA92C" w14:textId="2068670E" w:rsidR="001137B9" w:rsidRPr="00A03B67" w:rsidRDefault="001137B9" w:rsidP="001137B9">
      <w:pPr>
        <w:pStyle w:val="FootnoteText"/>
      </w:pPr>
      <w:r w:rsidRPr="00A03B67">
        <w:rPr>
          <w:rStyle w:val="FootnoteReference"/>
        </w:rPr>
        <w:footnoteRef/>
      </w:r>
      <w:r w:rsidRPr="00A03B67">
        <w:t xml:space="preserve"> Fair Work Commission, </w:t>
      </w:r>
      <w:r w:rsidRPr="0035749E">
        <w:rPr>
          <w:i/>
          <w:iCs/>
        </w:rPr>
        <w:t>General Manager Response to External Review Report</w:t>
      </w:r>
      <w:r w:rsidRPr="00A03B67">
        <w:t xml:space="preserve"> (Report</w:t>
      </w:r>
      <w:r w:rsidR="00DA32BE">
        <w:t>, 2023</w:t>
      </w:r>
      <w:r w:rsidRPr="00A03B67">
        <w:t>) 3 &lt;https://www.fwc.gov.au/about-us/news-and-media/news/registered-organisations-governance-compliance-external-review-final&gt;.</w:t>
      </w:r>
    </w:p>
  </w:footnote>
  <w:footnote w:id="213">
    <w:p w14:paraId="1DB8B0B0" w14:textId="270DD751" w:rsidR="001137B9" w:rsidRDefault="001137B9" w:rsidP="001137B9">
      <w:pPr>
        <w:pStyle w:val="FootnoteText"/>
      </w:pPr>
      <w:r>
        <w:rPr>
          <w:rStyle w:val="FootnoteReference"/>
        </w:rPr>
        <w:footnoteRef/>
      </w:r>
      <w:r>
        <w:t xml:space="preserve"> </w:t>
      </w:r>
      <w:r w:rsidRPr="00A03B67">
        <w:t>Fair Work Commission,</w:t>
      </w:r>
      <w:r>
        <w:t xml:space="preserve"> </w:t>
      </w:r>
      <w:r w:rsidR="00DA32BE">
        <w:t>‘</w:t>
      </w:r>
      <w:r>
        <w:t>Registered Organisations Education and Support Program Events</w:t>
      </w:r>
      <w:r w:rsidR="00DA32BE">
        <w:t xml:space="preserve">’, </w:t>
      </w:r>
      <w:r w:rsidR="00DA32BE" w:rsidRPr="00580A63">
        <w:rPr>
          <w:i/>
          <w:iCs/>
        </w:rPr>
        <w:t>Latest News for Registered Organisations</w:t>
      </w:r>
      <w:r w:rsidR="00DA32BE">
        <w:t xml:space="preserve"> (Newsletter, n.d.) </w:t>
      </w:r>
      <w:r>
        <w:t>&lt;</w:t>
      </w:r>
      <w:r w:rsidRPr="00A66BC5">
        <w:t>www.fwc.gov.au/documents/organisations/resources/nl030-newsletter-december-2024.pdf</w:t>
      </w:r>
      <w:r>
        <w:t>&gt;.</w:t>
      </w:r>
    </w:p>
  </w:footnote>
  <w:footnote w:id="214">
    <w:p w14:paraId="515F1026" w14:textId="2DAFF873" w:rsidR="001137B9" w:rsidRDefault="001137B9" w:rsidP="001137B9">
      <w:pPr>
        <w:pStyle w:val="FootnoteText"/>
      </w:pPr>
      <w:r>
        <w:rPr>
          <w:rStyle w:val="FootnoteReference"/>
        </w:rPr>
        <w:footnoteRef/>
      </w:r>
      <w:r>
        <w:t xml:space="preserve"> </w:t>
      </w:r>
      <w:r w:rsidR="00DA32BE">
        <w:t>Fair Work Commission</w:t>
      </w:r>
      <w:r>
        <w:t xml:space="preserve">, </w:t>
      </w:r>
      <w:r w:rsidRPr="00580A63">
        <w:rPr>
          <w:i/>
          <w:iCs/>
        </w:rPr>
        <w:t>Registered Organisation Education and Engagement Strategy 2024</w:t>
      </w:r>
      <w:r w:rsidR="00DA32BE" w:rsidRPr="00C63F74">
        <w:rPr>
          <w:rFonts w:ascii="Symbol" w:eastAsia="Symbol" w:hAnsi="Symbol" w:cs="Symbol"/>
          <w:i/>
          <w:iCs/>
        </w:rPr>
        <w:t>-</w:t>
      </w:r>
      <w:r w:rsidRPr="00580A63">
        <w:rPr>
          <w:i/>
          <w:iCs/>
        </w:rPr>
        <w:t>2025</w:t>
      </w:r>
      <w:r w:rsidR="00DA32BE">
        <w:t xml:space="preserve"> (2023)</w:t>
      </w:r>
      <w:r>
        <w:t xml:space="preserve"> &lt;</w:t>
      </w:r>
      <w:r w:rsidRPr="00D638F7">
        <w:t>https://www.fwc.gov.au/documents/organisations/resources/pp016-education-and-engagement-strategy.pdf</w:t>
      </w:r>
      <w:r>
        <w:t>&gt;</w:t>
      </w:r>
      <w:r w:rsidR="00DA32BE">
        <w:t>.</w:t>
      </w:r>
    </w:p>
  </w:footnote>
  <w:footnote w:id="215">
    <w:p w14:paraId="46FB7532" w14:textId="5B1D6B2B" w:rsidR="001137B9" w:rsidRDefault="001137B9" w:rsidP="001137B9">
      <w:pPr>
        <w:pStyle w:val="FootnoteText"/>
      </w:pPr>
      <w:r>
        <w:rPr>
          <w:rStyle w:val="FootnoteReference"/>
        </w:rPr>
        <w:footnoteRef/>
      </w:r>
      <w:r>
        <w:t xml:space="preserve"> </w:t>
      </w:r>
      <w:r w:rsidR="00DA32BE">
        <w:t>Fair Work Commission</w:t>
      </w:r>
      <w:r>
        <w:t xml:space="preserve">, </w:t>
      </w:r>
      <w:r w:rsidRPr="00580A63">
        <w:t>Registered Organisations Education Activities Calendar – 2025’</w:t>
      </w:r>
      <w:r>
        <w:t>, 9 December 2024, &lt;</w:t>
      </w:r>
      <w:r w:rsidRPr="00F83D63">
        <w:t xml:space="preserve"> https://www.fwc.gov.au/documents/organisations/resources/pp018-registered-organisations-education-activities-calendar-2025.pdf</w:t>
      </w:r>
      <w:r>
        <w:t>&gt;.</w:t>
      </w:r>
    </w:p>
  </w:footnote>
  <w:footnote w:id="216">
    <w:p w14:paraId="37CBCE84" w14:textId="59266BA3" w:rsidR="001137B9" w:rsidRDefault="001137B9" w:rsidP="001137B9">
      <w:pPr>
        <w:pStyle w:val="FootnoteText"/>
      </w:pPr>
      <w:r>
        <w:rPr>
          <w:rStyle w:val="FootnoteReference"/>
        </w:rPr>
        <w:footnoteRef/>
      </w:r>
      <w:r>
        <w:t xml:space="preserve"> FWC </w:t>
      </w:r>
      <w:r w:rsidRPr="00580A63">
        <w:t>Annual Report 2023-24</w:t>
      </w:r>
      <w:r>
        <w:t xml:space="preserve">, </w:t>
      </w:r>
      <w:r w:rsidRPr="00A66BC5">
        <w:t>https://www.fwc.gov.au/documents/reporting/fwc-annual-report-2023-24.pdf</w:t>
      </w:r>
      <w:r>
        <w:t>, p 69.</w:t>
      </w:r>
    </w:p>
  </w:footnote>
  <w:footnote w:id="217">
    <w:p w14:paraId="38B82AFF" w14:textId="4202495A" w:rsidR="00D222F4" w:rsidRDefault="001137B9" w:rsidP="001137B9">
      <w:pPr>
        <w:pStyle w:val="FootnoteText"/>
      </w:pPr>
      <w:r>
        <w:rPr>
          <w:rStyle w:val="FootnoteReference"/>
        </w:rPr>
        <w:footnoteRef/>
      </w:r>
      <w:r>
        <w:t xml:space="preserve"> </w:t>
      </w:r>
      <w:r w:rsidR="001046F8">
        <w:t xml:space="preserve"> </w:t>
      </w:r>
      <w:r w:rsidR="001046F8" w:rsidRPr="00A03B67">
        <w:t xml:space="preserve">Information provided to the Review by the Fair Work </w:t>
      </w:r>
      <w:r w:rsidR="001046F8">
        <w:t>Commission</w:t>
      </w:r>
      <w:r w:rsidR="001046F8" w:rsidRPr="00A03B67">
        <w:t xml:space="preserve"> (FW</w:t>
      </w:r>
      <w:r w:rsidR="001046F8">
        <w:t>C).</w:t>
      </w:r>
    </w:p>
  </w:footnote>
  <w:footnote w:id="218">
    <w:p w14:paraId="4254C2F7" w14:textId="77777777" w:rsidR="001137B9" w:rsidRPr="00A03B67" w:rsidRDefault="001137B9" w:rsidP="001137B9">
      <w:pPr>
        <w:pStyle w:val="FootnoteText"/>
      </w:pPr>
      <w:r w:rsidRPr="00A03B67">
        <w:rPr>
          <w:rStyle w:val="FootnoteReference"/>
        </w:rPr>
        <w:footnoteRef/>
      </w:r>
      <w:r w:rsidRPr="00A03B67">
        <w:t xml:space="preserve"> Fair Work Commission, </w:t>
      </w:r>
      <w:r w:rsidRPr="00A03B67">
        <w:rPr>
          <w:i/>
          <w:iCs/>
        </w:rPr>
        <w:t>Compliance Practitioners Reference Group</w:t>
      </w:r>
      <w:r w:rsidRPr="00A03B67">
        <w:t xml:space="preserve"> (Web Page, n.d.).</w:t>
      </w:r>
    </w:p>
  </w:footnote>
  <w:footnote w:id="219">
    <w:p w14:paraId="48C8643B" w14:textId="77777777" w:rsidR="001137B9" w:rsidRPr="00A03B67" w:rsidRDefault="001137B9" w:rsidP="001137B9">
      <w:pPr>
        <w:pStyle w:val="FootnoteText"/>
      </w:pPr>
      <w:r w:rsidRPr="00A03B67">
        <w:rPr>
          <w:rStyle w:val="FootnoteReference"/>
        </w:rPr>
        <w:footnoteRef/>
      </w:r>
      <w:r w:rsidRPr="00A03B67">
        <w:t xml:space="preserve"> Fair Work Commission, </w:t>
      </w:r>
      <w:r w:rsidRPr="00A03B67">
        <w:rPr>
          <w:i/>
          <w:iCs/>
        </w:rPr>
        <w:t>Compliance Practitioners Reference Group</w:t>
      </w:r>
      <w:r w:rsidRPr="00A03B67">
        <w:t xml:space="preserve"> (Web Page, n.d.).</w:t>
      </w:r>
    </w:p>
  </w:footnote>
  <w:footnote w:id="220">
    <w:p w14:paraId="4ABA17DB" w14:textId="77777777" w:rsidR="001137B9" w:rsidRPr="00A03B67" w:rsidRDefault="001137B9" w:rsidP="001137B9">
      <w:pPr>
        <w:pStyle w:val="FootnoteText"/>
      </w:pPr>
      <w:r w:rsidRPr="00A03B67">
        <w:rPr>
          <w:rStyle w:val="FootnoteReference"/>
        </w:rPr>
        <w:footnoteRef/>
      </w:r>
      <w:r w:rsidRPr="00A03B67">
        <w:t xml:space="preserve"> Fair Work Commission, </w:t>
      </w:r>
      <w:r w:rsidRPr="00A03B67">
        <w:rPr>
          <w:i/>
          <w:iCs/>
        </w:rPr>
        <w:t>Our Listen and Learn Program</w:t>
      </w:r>
      <w:r w:rsidRPr="00A03B67">
        <w:t xml:space="preserve"> (Web Page, n.d.)</w:t>
      </w:r>
    </w:p>
  </w:footnote>
  <w:footnote w:id="221">
    <w:p w14:paraId="60320007" w14:textId="77777777" w:rsidR="001137B9" w:rsidRPr="00A03B67" w:rsidRDefault="001137B9" w:rsidP="001137B9">
      <w:pPr>
        <w:pStyle w:val="FootnoteText"/>
      </w:pPr>
      <w:r w:rsidRPr="00A03B67">
        <w:rPr>
          <w:rStyle w:val="FootnoteReference"/>
        </w:rPr>
        <w:footnoteRef/>
      </w:r>
      <w:r w:rsidRPr="00A03B67">
        <w:t xml:space="preserve"> Fair Work Commission, </w:t>
      </w:r>
      <w:r w:rsidRPr="00A03B67">
        <w:rPr>
          <w:i/>
          <w:iCs/>
        </w:rPr>
        <w:t>Our Listen and Learn Program</w:t>
      </w:r>
      <w:r w:rsidRPr="00A03B67">
        <w:t xml:space="preserve"> (Web Page, n.d.).</w:t>
      </w:r>
    </w:p>
  </w:footnote>
  <w:footnote w:id="222">
    <w:p w14:paraId="7937F3B7" w14:textId="77777777" w:rsidR="001137B9" w:rsidRPr="00A03B67" w:rsidRDefault="001137B9" w:rsidP="001137B9">
      <w:pPr>
        <w:pStyle w:val="FootnoteText"/>
      </w:pPr>
      <w:r w:rsidRPr="00A03B67">
        <w:rPr>
          <w:rStyle w:val="FootnoteReference"/>
        </w:rPr>
        <w:footnoteRef/>
      </w:r>
      <w:r w:rsidRPr="00A03B67">
        <w:t xml:space="preserve"> Fair Work Commission, </w:t>
      </w:r>
      <w:r w:rsidRPr="00A03B67">
        <w:rPr>
          <w:i/>
          <w:iCs/>
        </w:rPr>
        <w:t>Interim Registered Organisations Engagement and Education Strategy, July – September 2023</w:t>
      </w:r>
      <w:r w:rsidRPr="00A03B67">
        <w:t xml:space="preserve"> (2023).</w:t>
      </w:r>
    </w:p>
  </w:footnote>
  <w:footnote w:id="223">
    <w:p w14:paraId="728DB840" w14:textId="77777777" w:rsidR="001137B9" w:rsidRPr="00A03B67" w:rsidRDefault="001137B9" w:rsidP="001137B9">
      <w:pPr>
        <w:pStyle w:val="FootnoteText"/>
      </w:pPr>
      <w:r w:rsidRPr="00A03B67">
        <w:rPr>
          <w:rStyle w:val="FootnoteReference"/>
        </w:rPr>
        <w:footnoteRef/>
      </w:r>
      <w:r w:rsidRPr="00A03B67">
        <w:t xml:space="preserve"> Fair Work Commission, </w:t>
      </w:r>
      <w:r w:rsidRPr="00A03B67">
        <w:rPr>
          <w:i/>
          <w:iCs/>
        </w:rPr>
        <w:t>Interim Registered Organisations Engagement and Education Strategy, July – September 2023</w:t>
      </w:r>
      <w:r w:rsidRPr="00A03B67">
        <w:t xml:space="preserve"> (2023).</w:t>
      </w:r>
    </w:p>
  </w:footnote>
  <w:footnote w:id="224">
    <w:p w14:paraId="41E26A5B" w14:textId="41F048AA" w:rsidR="001137B9" w:rsidRPr="00A03B67" w:rsidRDefault="001137B9" w:rsidP="001137B9">
      <w:pPr>
        <w:spacing w:after="0"/>
        <w:rPr>
          <w:sz w:val="20"/>
          <w:szCs w:val="20"/>
        </w:rPr>
      </w:pPr>
      <w:r w:rsidRPr="00A03B67">
        <w:rPr>
          <w:rStyle w:val="FootnoteReference"/>
          <w:sz w:val="20"/>
          <w:szCs w:val="20"/>
        </w:rPr>
        <w:footnoteRef/>
      </w:r>
      <w:r w:rsidRPr="00A03B67">
        <w:rPr>
          <w:sz w:val="20"/>
          <w:szCs w:val="20"/>
        </w:rPr>
        <w:t xml:space="preserve"> </w:t>
      </w:r>
      <w:r w:rsidRPr="00A03B67">
        <w:rPr>
          <w:sz w:val="18"/>
          <w:szCs w:val="20"/>
        </w:rPr>
        <w:t xml:space="preserve">Fair Work Commission, </w:t>
      </w:r>
      <w:r w:rsidRPr="00A03B67">
        <w:rPr>
          <w:i/>
          <w:iCs/>
          <w:sz w:val="18"/>
          <w:szCs w:val="20"/>
        </w:rPr>
        <w:t>Registered Organisations Functions: 12 Month Review</w:t>
      </w:r>
      <w:r w:rsidRPr="00A03B67">
        <w:rPr>
          <w:sz w:val="18"/>
          <w:szCs w:val="20"/>
        </w:rPr>
        <w:t xml:space="preserve"> (Report, 2024).</w:t>
      </w:r>
    </w:p>
  </w:footnote>
  <w:footnote w:id="225">
    <w:p w14:paraId="26170FAF" w14:textId="77777777" w:rsidR="001137B9" w:rsidRPr="00654CA3" w:rsidRDefault="001137B9" w:rsidP="001137B9">
      <w:pPr>
        <w:spacing w:after="0"/>
        <w:rPr>
          <w:sz w:val="18"/>
          <w:szCs w:val="18"/>
        </w:rPr>
      </w:pPr>
      <w:r w:rsidRPr="00654CA3">
        <w:rPr>
          <w:rStyle w:val="FootnoteReference"/>
          <w:sz w:val="18"/>
          <w:szCs w:val="18"/>
        </w:rPr>
        <w:footnoteRef/>
      </w:r>
      <w:r w:rsidRPr="00654CA3">
        <w:rPr>
          <w:sz w:val="18"/>
          <w:szCs w:val="18"/>
        </w:rPr>
        <w:t xml:space="preserve"> Fair Work Commission, </w:t>
      </w:r>
      <w:r w:rsidRPr="00654CA3">
        <w:rPr>
          <w:i/>
          <w:iCs/>
          <w:sz w:val="18"/>
          <w:szCs w:val="18"/>
        </w:rPr>
        <w:t>Registered Organisations Functions: 12 Month Review</w:t>
      </w:r>
      <w:r w:rsidRPr="00654CA3">
        <w:rPr>
          <w:sz w:val="18"/>
          <w:szCs w:val="18"/>
        </w:rPr>
        <w:t xml:space="preserve"> (Report, 2024) 2.</w:t>
      </w:r>
    </w:p>
  </w:footnote>
  <w:footnote w:id="226">
    <w:p w14:paraId="5DC17242" w14:textId="12D1C918" w:rsidR="001137B9" w:rsidRPr="00A03B67" w:rsidRDefault="001137B9" w:rsidP="001137B9">
      <w:pPr>
        <w:spacing w:after="0"/>
      </w:pPr>
      <w:r w:rsidRPr="00654CA3">
        <w:rPr>
          <w:rStyle w:val="FootnoteReference"/>
          <w:sz w:val="18"/>
          <w:szCs w:val="18"/>
        </w:rPr>
        <w:footnoteRef/>
      </w:r>
      <w:r w:rsidRPr="00654CA3">
        <w:rPr>
          <w:sz w:val="18"/>
          <w:szCs w:val="18"/>
        </w:rPr>
        <w:t xml:space="preserve"> Fair Work Commission, </w:t>
      </w:r>
      <w:r w:rsidRPr="00654CA3">
        <w:rPr>
          <w:i/>
          <w:iCs/>
          <w:sz w:val="18"/>
          <w:szCs w:val="18"/>
        </w:rPr>
        <w:t xml:space="preserve">Registered </w:t>
      </w:r>
      <w:r w:rsidR="00DA32BE">
        <w:rPr>
          <w:i/>
          <w:iCs/>
          <w:sz w:val="18"/>
          <w:szCs w:val="18"/>
        </w:rPr>
        <w:t>O</w:t>
      </w:r>
      <w:r w:rsidRPr="00654CA3">
        <w:rPr>
          <w:i/>
          <w:iCs/>
          <w:sz w:val="18"/>
          <w:szCs w:val="18"/>
        </w:rPr>
        <w:t>rganisations Functions: 12 Month Review</w:t>
      </w:r>
      <w:r w:rsidRPr="00654CA3">
        <w:rPr>
          <w:sz w:val="18"/>
          <w:szCs w:val="18"/>
        </w:rPr>
        <w:t xml:space="preserve"> (Report, 2024) 4.</w:t>
      </w:r>
    </w:p>
  </w:footnote>
  <w:footnote w:id="227">
    <w:p w14:paraId="614924F7" w14:textId="151C5731" w:rsidR="001137B9" w:rsidRPr="00A03B67" w:rsidRDefault="001137B9" w:rsidP="001137B9">
      <w:pPr>
        <w:pStyle w:val="FootnoteText"/>
      </w:pPr>
      <w:r w:rsidRPr="00A03B67">
        <w:rPr>
          <w:rStyle w:val="FootnoteReference"/>
        </w:rPr>
        <w:footnoteRef/>
      </w:r>
      <w:r w:rsidRPr="00A03B67">
        <w:t xml:space="preserve"> United Workers Union (UWU) submission, 42.</w:t>
      </w:r>
    </w:p>
  </w:footnote>
  <w:footnote w:id="228">
    <w:p w14:paraId="4E1C1383" w14:textId="7B49B27D" w:rsidR="001137B9" w:rsidRPr="00A03B67" w:rsidRDefault="001137B9" w:rsidP="001137B9">
      <w:pPr>
        <w:pStyle w:val="FootnoteText"/>
      </w:pPr>
      <w:r w:rsidRPr="00A03B67">
        <w:rPr>
          <w:rStyle w:val="FootnoteReference"/>
        </w:rPr>
        <w:footnoteRef/>
      </w:r>
      <w:r w:rsidRPr="00A03B67">
        <w:t xml:space="preserve"> Australian Council of Trade Unions (ACTU) submission, 31.</w:t>
      </w:r>
    </w:p>
  </w:footnote>
  <w:footnote w:id="229">
    <w:p w14:paraId="26256521" w14:textId="55514E62" w:rsidR="001137B9" w:rsidRPr="00A03B67" w:rsidRDefault="001137B9" w:rsidP="001137B9">
      <w:pPr>
        <w:pStyle w:val="FootnoteText"/>
      </w:pPr>
      <w:r w:rsidRPr="00A03B67">
        <w:rPr>
          <w:rStyle w:val="FootnoteReference"/>
        </w:rPr>
        <w:footnoteRef/>
      </w:r>
      <w:r w:rsidRPr="00A03B67">
        <w:t xml:space="preserve"> Law Council of Australia submission, 1.</w:t>
      </w:r>
    </w:p>
  </w:footnote>
  <w:footnote w:id="230">
    <w:p w14:paraId="03A562FB" w14:textId="2B38F1E0" w:rsidR="001137B9" w:rsidRPr="00A03B67" w:rsidRDefault="001137B9" w:rsidP="001137B9">
      <w:pPr>
        <w:pStyle w:val="FootnoteText"/>
      </w:pPr>
      <w:r w:rsidRPr="00A03B67">
        <w:rPr>
          <w:rStyle w:val="FootnoteReference"/>
        </w:rPr>
        <w:footnoteRef/>
      </w:r>
      <w:r w:rsidRPr="00A03B67">
        <w:t xml:space="preserve"> Australian Resources &amp; Energy Employer Association (AREEA) submission, 20.</w:t>
      </w:r>
    </w:p>
  </w:footnote>
  <w:footnote w:id="231">
    <w:p w14:paraId="7AD2EF4D" w14:textId="10426E22" w:rsidR="001137B9" w:rsidRPr="00A03B67" w:rsidRDefault="001137B9" w:rsidP="001137B9">
      <w:pPr>
        <w:pStyle w:val="FootnoteText"/>
      </w:pPr>
      <w:r w:rsidRPr="00A03B67">
        <w:rPr>
          <w:rStyle w:val="FootnoteReference"/>
        </w:rPr>
        <w:footnoteRef/>
      </w:r>
      <w:r w:rsidRPr="00A03B67">
        <w:t xml:space="preserve"> AREEA submission, 20.</w:t>
      </w:r>
    </w:p>
  </w:footnote>
  <w:footnote w:id="232">
    <w:p w14:paraId="09335F0D" w14:textId="62773F15" w:rsidR="001137B9" w:rsidRPr="00A03B67" w:rsidRDefault="001137B9" w:rsidP="001137B9">
      <w:pPr>
        <w:pStyle w:val="FootnoteText"/>
      </w:pPr>
      <w:r w:rsidRPr="00A03B67">
        <w:rPr>
          <w:rStyle w:val="FootnoteReference"/>
        </w:rPr>
        <w:footnoteRef/>
      </w:r>
      <w:r w:rsidRPr="00A03B67">
        <w:t xml:space="preserve"> HIA submission, 3.</w:t>
      </w:r>
    </w:p>
  </w:footnote>
  <w:footnote w:id="233">
    <w:p w14:paraId="12D235CA" w14:textId="77777777" w:rsidR="001137B9" w:rsidRPr="00A03B67" w:rsidRDefault="001137B9" w:rsidP="001137B9">
      <w:pPr>
        <w:pStyle w:val="FootnoteText"/>
      </w:pPr>
      <w:r w:rsidRPr="00A03B67">
        <w:rPr>
          <w:rStyle w:val="FootnoteReference"/>
        </w:rPr>
        <w:footnoteRef/>
      </w:r>
      <w:r w:rsidRPr="00A03B67">
        <w:t xml:space="preserve"> </w:t>
      </w:r>
      <w:r w:rsidRPr="00A03B67">
        <w:rPr>
          <w:i/>
          <w:iCs/>
        </w:rPr>
        <w:t>Fair Work (Registered Organisations) Act 2009</w:t>
      </w:r>
      <w:r w:rsidRPr="00A03B67">
        <w:t xml:space="preserve"> (Cth) s 330.</w:t>
      </w:r>
    </w:p>
  </w:footnote>
  <w:footnote w:id="234">
    <w:p w14:paraId="25664579" w14:textId="5D848007" w:rsidR="001137B9" w:rsidRPr="00A03B67" w:rsidRDefault="001137B9" w:rsidP="001137B9">
      <w:pPr>
        <w:pStyle w:val="FootnoteText"/>
      </w:pPr>
      <w:r w:rsidRPr="00A03B67">
        <w:rPr>
          <w:rStyle w:val="FootnoteReference"/>
        </w:rPr>
        <w:footnoteRef/>
      </w:r>
      <w:r w:rsidRPr="00A03B67">
        <w:t xml:space="preserve"> </w:t>
      </w:r>
      <w:r w:rsidRPr="00A03B67">
        <w:rPr>
          <w:i/>
          <w:iCs/>
        </w:rPr>
        <w:t>Fair Work (Registered Organisations) Act 2009</w:t>
      </w:r>
      <w:r w:rsidRPr="00A03B67">
        <w:t xml:space="preserve"> (Cth) s 331 and also protected disclosure investigations under Part 4A of the Act.</w:t>
      </w:r>
    </w:p>
  </w:footnote>
  <w:footnote w:id="235">
    <w:p w14:paraId="5F840A8C" w14:textId="602BFB66" w:rsidR="001137B9" w:rsidRPr="00A03B67" w:rsidRDefault="001137B9" w:rsidP="001137B9">
      <w:pPr>
        <w:pStyle w:val="FootnoteText"/>
      </w:pPr>
      <w:r w:rsidRPr="00A03B67">
        <w:rPr>
          <w:rStyle w:val="FootnoteReference"/>
        </w:rPr>
        <w:footnoteRef/>
      </w:r>
      <w:r w:rsidRPr="00A03B67">
        <w:t xml:space="preserve"> </w:t>
      </w:r>
      <w:r w:rsidRPr="00A03B67">
        <w:rPr>
          <w:i/>
          <w:iCs/>
        </w:rPr>
        <w:t>Fair Work (Registered Organisations) Act 2009</w:t>
      </w:r>
      <w:r w:rsidRPr="00A03B67">
        <w:t xml:space="preserve"> (Cth) Ch 10, Pt 2.</w:t>
      </w:r>
    </w:p>
  </w:footnote>
  <w:footnote w:id="236">
    <w:p w14:paraId="679583A9" w14:textId="5F885F46" w:rsidR="001137B9" w:rsidRPr="00A03B67" w:rsidRDefault="001137B9" w:rsidP="001137B9">
      <w:pPr>
        <w:pStyle w:val="FootnoteText"/>
      </w:pPr>
      <w:r w:rsidRPr="00A03B67">
        <w:rPr>
          <w:rStyle w:val="FootnoteReference"/>
        </w:rPr>
        <w:footnoteRef/>
      </w:r>
      <w:r w:rsidRPr="00A03B67">
        <w:t xml:space="preserve"> </w:t>
      </w:r>
      <w:r w:rsidRPr="00A03B67">
        <w:rPr>
          <w:i/>
          <w:iCs/>
        </w:rPr>
        <w:t>Fair Work (Registered Organisations) Act 2009</w:t>
      </w:r>
      <w:r w:rsidRPr="00A03B67">
        <w:t xml:space="preserve"> (Cth) s 316A.</w:t>
      </w:r>
    </w:p>
  </w:footnote>
  <w:footnote w:id="237">
    <w:p w14:paraId="6DE8CC53" w14:textId="77777777" w:rsidR="001137B9" w:rsidRPr="00A03B67" w:rsidRDefault="001137B9" w:rsidP="001137B9">
      <w:pPr>
        <w:pStyle w:val="FootnoteText"/>
      </w:pPr>
      <w:r w:rsidRPr="00A03B67">
        <w:rPr>
          <w:rStyle w:val="FootnoteReference"/>
        </w:rPr>
        <w:footnoteRef/>
      </w:r>
      <w:r w:rsidRPr="00A03B67">
        <w:t xml:space="preserve"> Attorney-General’s Department, </w:t>
      </w:r>
      <w:r w:rsidRPr="00A03B67">
        <w:rPr>
          <w:i/>
          <w:iCs/>
        </w:rPr>
        <w:t>Infringement Notices</w:t>
      </w:r>
      <w:r w:rsidRPr="00A03B67">
        <w:t xml:space="preserve"> (Web Page, n.d.).</w:t>
      </w:r>
    </w:p>
  </w:footnote>
  <w:footnote w:id="238">
    <w:p w14:paraId="16F37581" w14:textId="77777777" w:rsidR="001137B9" w:rsidRPr="00A03B67" w:rsidRDefault="001137B9" w:rsidP="001137B9">
      <w:pPr>
        <w:pStyle w:val="FootnoteText"/>
      </w:pPr>
      <w:r w:rsidRPr="00A03B67">
        <w:rPr>
          <w:rStyle w:val="FootnoteReference"/>
        </w:rPr>
        <w:footnoteRef/>
      </w:r>
      <w:r w:rsidRPr="00A03B67">
        <w:t xml:space="preserve"> Revised Explanatory Memorandum, Fair Work Legislation Amendment (Secure Jobs, Better Pay) Bill 2022, p 21, para 89.</w:t>
      </w:r>
    </w:p>
  </w:footnote>
  <w:footnote w:id="239">
    <w:p w14:paraId="14EF9854" w14:textId="77777777" w:rsidR="001137B9" w:rsidRPr="00A03B67" w:rsidRDefault="001137B9" w:rsidP="001137B9">
      <w:pPr>
        <w:pStyle w:val="FootnoteText"/>
      </w:pPr>
      <w:r w:rsidRPr="00A03B67">
        <w:rPr>
          <w:rStyle w:val="FootnoteReference"/>
        </w:rPr>
        <w:footnoteRef/>
      </w:r>
      <w:r w:rsidRPr="00A03B67">
        <w:t xml:space="preserve"> Revised Explanatory Memorandum, Fair Work Legislation Amendment (Secure Jobs, Better Pay) Bill 2022, p 21, para 89.</w:t>
      </w:r>
    </w:p>
  </w:footnote>
  <w:footnote w:id="240">
    <w:p w14:paraId="46B38669" w14:textId="77777777" w:rsidR="001137B9" w:rsidRPr="00A03B67" w:rsidRDefault="001137B9" w:rsidP="001137B9">
      <w:pPr>
        <w:pStyle w:val="FootnoteText"/>
      </w:pPr>
      <w:r w:rsidRPr="00A03B67">
        <w:rPr>
          <w:rStyle w:val="FootnoteReference"/>
        </w:rPr>
        <w:footnoteRef/>
      </w:r>
      <w:r w:rsidRPr="00A03B67">
        <w:t xml:space="preserve"> Revised Explanatory Memorandum, Fair Work Legislation Amendment (Secure Jobs, Better Pay) Bill 2022, p 21, para 89.</w:t>
      </w:r>
    </w:p>
  </w:footnote>
  <w:footnote w:id="241">
    <w:p w14:paraId="70385750" w14:textId="77777777" w:rsidR="001137B9" w:rsidRPr="00A03B67" w:rsidRDefault="001137B9" w:rsidP="001137B9">
      <w:pPr>
        <w:pStyle w:val="FootnoteText"/>
      </w:pPr>
      <w:r w:rsidRPr="00A03B67">
        <w:rPr>
          <w:rStyle w:val="FootnoteReference"/>
        </w:rPr>
        <w:footnoteRef/>
      </w:r>
      <w:r w:rsidRPr="00A03B67">
        <w:t xml:space="preserve"> Attorney-General's Department, </w:t>
      </w:r>
      <w:r w:rsidRPr="00A03B67">
        <w:rPr>
          <w:i/>
          <w:iCs/>
        </w:rPr>
        <w:t>Infringement Notices</w:t>
      </w:r>
      <w:r w:rsidRPr="00A03B67">
        <w:t xml:space="preserve"> (Web Page, n.d.).</w:t>
      </w:r>
    </w:p>
  </w:footnote>
  <w:footnote w:id="242">
    <w:p w14:paraId="3C7A8ADA" w14:textId="77777777" w:rsidR="001137B9" w:rsidRPr="00A03B67" w:rsidRDefault="001137B9" w:rsidP="001137B9">
      <w:pPr>
        <w:pStyle w:val="FootnoteText"/>
      </w:pPr>
      <w:r w:rsidRPr="00A03B67">
        <w:rPr>
          <w:rStyle w:val="FootnoteReference"/>
        </w:rPr>
        <w:footnoteRef/>
      </w:r>
      <w:r w:rsidRPr="00A03B67">
        <w:t xml:space="preserve"> Attorney-General's Department, </w:t>
      </w:r>
      <w:r w:rsidRPr="00A03B67">
        <w:rPr>
          <w:i/>
          <w:iCs/>
        </w:rPr>
        <w:t>Infringement Notices</w:t>
      </w:r>
      <w:r w:rsidRPr="00A03B67">
        <w:t xml:space="preserve"> (Web Page, n.d.).</w:t>
      </w:r>
    </w:p>
  </w:footnote>
  <w:footnote w:id="243">
    <w:p w14:paraId="442DB186" w14:textId="77777777" w:rsidR="001137B9" w:rsidRPr="00A03B67" w:rsidRDefault="001137B9" w:rsidP="001137B9">
      <w:pPr>
        <w:pStyle w:val="FootnoteText"/>
      </w:pPr>
      <w:r w:rsidRPr="00A03B67">
        <w:rPr>
          <w:rStyle w:val="FootnoteReference"/>
        </w:rPr>
        <w:footnoteRef/>
      </w:r>
      <w:r w:rsidRPr="00A03B67">
        <w:t xml:space="preserve"> Transport Workers Union, </w:t>
      </w:r>
      <w:r w:rsidRPr="00A03B67">
        <w:rPr>
          <w:i/>
          <w:iCs/>
        </w:rPr>
        <w:t>Undertaking to the General Manager of the Fair Work Commission</w:t>
      </w:r>
      <w:r w:rsidRPr="00A03B67">
        <w:t xml:space="preserve"> (September 2024).</w:t>
      </w:r>
    </w:p>
  </w:footnote>
  <w:footnote w:id="244">
    <w:p w14:paraId="280043D6" w14:textId="77777777" w:rsidR="001137B9" w:rsidRPr="00A03B67" w:rsidRDefault="001137B9" w:rsidP="001137B9">
      <w:pPr>
        <w:pStyle w:val="FootnoteText"/>
      </w:pPr>
      <w:r w:rsidRPr="00A03B67">
        <w:rPr>
          <w:rStyle w:val="FootnoteReference"/>
        </w:rPr>
        <w:footnoteRef/>
      </w:r>
      <w:r w:rsidRPr="00A03B67">
        <w:t xml:space="preserve"> Transport Workers Union, </w:t>
      </w:r>
      <w:r w:rsidRPr="00A03B67">
        <w:rPr>
          <w:i/>
          <w:iCs/>
        </w:rPr>
        <w:t>Undertaking to the General Manager of the Fair Work Commission</w:t>
      </w:r>
      <w:r w:rsidRPr="00A03B67">
        <w:t xml:space="preserve"> (September 2024).</w:t>
      </w:r>
    </w:p>
  </w:footnote>
  <w:footnote w:id="245">
    <w:p w14:paraId="2D3740A2" w14:textId="77777777" w:rsidR="001137B9" w:rsidRPr="00A03B67" w:rsidRDefault="001137B9" w:rsidP="001137B9">
      <w:pPr>
        <w:pStyle w:val="FootnoteText"/>
      </w:pPr>
      <w:r w:rsidRPr="00A03B67">
        <w:rPr>
          <w:rStyle w:val="FootnoteReference"/>
        </w:rPr>
        <w:footnoteRef/>
      </w:r>
      <w:r w:rsidRPr="00A03B67">
        <w:t xml:space="preserve"> Community and Public Sector Union, </w:t>
      </w:r>
      <w:r w:rsidRPr="00A03B67">
        <w:rPr>
          <w:i/>
          <w:iCs/>
        </w:rPr>
        <w:t>Undertaking to the General Manager of the Fair Work Commission</w:t>
      </w:r>
      <w:r w:rsidRPr="00A03B67">
        <w:t xml:space="preserve"> (December 2023).</w:t>
      </w:r>
    </w:p>
  </w:footnote>
  <w:footnote w:id="246">
    <w:p w14:paraId="3BB7632A" w14:textId="0B432D1E" w:rsidR="001137B9" w:rsidRPr="00A03B67" w:rsidRDefault="001137B9" w:rsidP="001137B9">
      <w:pPr>
        <w:pStyle w:val="FootnoteText"/>
      </w:pPr>
      <w:r w:rsidRPr="00A03B67">
        <w:rPr>
          <w:rStyle w:val="FootnoteReference"/>
        </w:rPr>
        <w:footnoteRef/>
      </w:r>
      <w:r w:rsidRPr="00A03B67">
        <w:t xml:space="preserve"> Fair Work Commission, </w:t>
      </w:r>
      <w:r w:rsidR="00DA32BE">
        <w:t>‘</w:t>
      </w:r>
      <w:r w:rsidRPr="00A03B67">
        <w:t>New Compliance and Enforcement Policy for Registered Organisations Published</w:t>
      </w:r>
      <w:r w:rsidR="00DA32BE">
        <w:t>’</w:t>
      </w:r>
      <w:r w:rsidRPr="00A03B67">
        <w:t xml:space="preserve"> (Media Release, 22 May 2024).</w:t>
      </w:r>
    </w:p>
  </w:footnote>
  <w:footnote w:id="247">
    <w:p w14:paraId="056413B5" w14:textId="77777777" w:rsidR="001137B9" w:rsidRPr="00A03B67" w:rsidRDefault="001137B9" w:rsidP="001137B9">
      <w:pPr>
        <w:pStyle w:val="FootnoteText"/>
      </w:pPr>
      <w:r w:rsidRPr="00A03B67">
        <w:rPr>
          <w:rStyle w:val="FootnoteReference"/>
        </w:rPr>
        <w:footnoteRef/>
      </w:r>
      <w:r w:rsidRPr="00A03B67">
        <w:t xml:space="preserve"> Fair Work Commission, </w:t>
      </w:r>
      <w:r w:rsidRPr="00A03B67">
        <w:rPr>
          <w:i/>
          <w:iCs/>
        </w:rPr>
        <w:t>Infringement Notices</w:t>
      </w:r>
      <w:r w:rsidRPr="00A03B67">
        <w:t xml:space="preserve"> (Guidance Note GN 056, 17 November 2023); Fair Work Commission, </w:t>
      </w:r>
      <w:r w:rsidRPr="00A03B67">
        <w:rPr>
          <w:i/>
          <w:iCs/>
        </w:rPr>
        <w:t>Enforceable Undertakings</w:t>
      </w:r>
      <w:r w:rsidRPr="00A03B67">
        <w:t xml:space="preserve"> (Guidance Note GN 055, 17 November 2023); Fair Work Commission, </w:t>
      </w:r>
      <w:r w:rsidRPr="00A03B67">
        <w:rPr>
          <w:i/>
          <w:iCs/>
        </w:rPr>
        <w:t>Compliance and Enforcement Policy</w:t>
      </w:r>
      <w:r w:rsidRPr="00A03B67">
        <w:t xml:space="preserve"> 15</w:t>
      </w:r>
      <w:r w:rsidRPr="00A03B67">
        <w:rPr>
          <w:rFonts w:ascii="Symbol" w:eastAsia="Symbol" w:hAnsi="Symbol" w:cs="Symbol"/>
        </w:rPr>
        <w:t>-</w:t>
      </w:r>
      <w:r w:rsidRPr="00A03B67">
        <w:t>17.</w:t>
      </w:r>
    </w:p>
  </w:footnote>
  <w:footnote w:id="248">
    <w:p w14:paraId="6B54CB3C" w14:textId="77777777" w:rsidR="001137B9" w:rsidRPr="00A03B67" w:rsidRDefault="001137B9" w:rsidP="001137B9">
      <w:pPr>
        <w:pStyle w:val="FootnoteText"/>
      </w:pPr>
      <w:r w:rsidRPr="00A03B67">
        <w:rPr>
          <w:rStyle w:val="FootnoteReference"/>
        </w:rPr>
        <w:footnoteRef/>
      </w:r>
      <w:r w:rsidRPr="00A03B67">
        <w:t xml:space="preserve"> Minerals Council of Australia (MCA) submission, 7.</w:t>
      </w:r>
    </w:p>
  </w:footnote>
  <w:footnote w:id="249">
    <w:p w14:paraId="2F05BDC0" w14:textId="144A6FCF" w:rsidR="001137B9" w:rsidRPr="00A03B67" w:rsidRDefault="001137B9" w:rsidP="001137B9">
      <w:pPr>
        <w:pStyle w:val="FootnoteText"/>
      </w:pPr>
      <w:r w:rsidRPr="00A03B67">
        <w:rPr>
          <w:rStyle w:val="FootnoteReference"/>
        </w:rPr>
        <w:footnoteRef/>
      </w:r>
      <w:r w:rsidRPr="00A03B67">
        <w:t xml:space="preserve"> United Workers Union (UWU) submission, 42.</w:t>
      </w:r>
    </w:p>
  </w:footnote>
  <w:footnote w:id="250">
    <w:p w14:paraId="0A4D3975" w14:textId="7AE55CDD" w:rsidR="001137B9" w:rsidRPr="00A03B67" w:rsidRDefault="001137B9" w:rsidP="001137B9">
      <w:pPr>
        <w:pStyle w:val="FootnoteText"/>
      </w:pPr>
      <w:r w:rsidRPr="00A03B67">
        <w:rPr>
          <w:rStyle w:val="FootnoteReference"/>
        </w:rPr>
        <w:footnoteRef/>
      </w:r>
      <w:r w:rsidRPr="00A03B67">
        <w:t xml:space="preserve"> Australian Council of Trade Unions (ACTU) submission, 33.</w:t>
      </w:r>
    </w:p>
  </w:footnote>
  <w:footnote w:id="251">
    <w:p w14:paraId="4FA1F4A7" w14:textId="214DE0EF" w:rsidR="001137B9" w:rsidRDefault="001137B9" w:rsidP="001137B9">
      <w:pPr>
        <w:pStyle w:val="FootnoteText"/>
      </w:pPr>
      <w:r>
        <w:rPr>
          <w:rStyle w:val="FootnoteReference"/>
        </w:rPr>
        <w:footnoteRef/>
      </w:r>
      <w:r>
        <w:t xml:space="preserve"> ACTU submission in response to draft report, 4.</w:t>
      </w:r>
    </w:p>
  </w:footnote>
  <w:footnote w:id="252">
    <w:p w14:paraId="13337886" w14:textId="31197142" w:rsidR="001137B9" w:rsidRDefault="001137B9" w:rsidP="001137B9">
      <w:pPr>
        <w:pStyle w:val="FootnoteText"/>
      </w:pPr>
      <w:r>
        <w:rPr>
          <w:rStyle w:val="FootnoteReference"/>
        </w:rPr>
        <w:footnoteRef/>
      </w:r>
      <w:r>
        <w:t xml:space="preserve"> </w:t>
      </w:r>
      <w:r w:rsidR="0046056A" w:rsidRPr="0046056A">
        <w:t xml:space="preserve">Chamber of Minerals and Energy </w:t>
      </w:r>
      <w:r w:rsidR="0046056A">
        <w:t>(</w:t>
      </w:r>
      <w:r>
        <w:t>CME</w:t>
      </w:r>
      <w:r w:rsidR="0046056A">
        <w:t>)</w:t>
      </w:r>
      <w:r>
        <w:t xml:space="preserve"> submission in response to draft report, 3.</w:t>
      </w:r>
    </w:p>
  </w:footnote>
  <w:footnote w:id="253">
    <w:p w14:paraId="38A35597" w14:textId="09559565" w:rsidR="001137B9" w:rsidRDefault="001137B9" w:rsidP="001137B9">
      <w:pPr>
        <w:pStyle w:val="FootnoteText"/>
      </w:pPr>
      <w:r>
        <w:rPr>
          <w:rStyle w:val="FootnoteReference"/>
        </w:rPr>
        <w:footnoteRef/>
      </w:r>
      <w:r>
        <w:t xml:space="preserve"> </w:t>
      </w:r>
      <w:r w:rsidR="0046056A" w:rsidRPr="0046056A">
        <w:t xml:space="preserve">Electrical Trades Union </w:t>
      </w:r>
      <w:r w:rsidR="0046056A">
        <w:t>(</w:t>
      </w:r>
      <w:r>
        <w:t>ETU</w:t>
      </w:r>
      <w:r w:rsidR="0046056A">
        <w:t>)</w:t>
      </w:r>
      <w:r>
        <w:t xml:space="preserve"> submission in response to draft report, 3.</w:t>
      </w:r>
    </w:p>
  </w:footnote>
  <w:footnote w:id="254">
    <w:p w14:paraId="6D176270" w14:textId="7601D782" w:rsidR="001137B9" w:rsidRDefault="001137B9" w:rsidP="001137B9">
      <w:pPr>
        <w:pStyle w:val="FootnoteText"/>
      </w:pPr>
      <w:r>
        <w:rPr>
          <w:rStyle w:val="FootnoteReference"/>
        </w:rPr>
        <w:footnoteRef/>
      </w:r>
      <w:r>
        <w:t xml:space="preserve"> ACCI submission</w:t>
      </w:r>
      <w:r w:rsidRPr="006312C9">
        <w:t xml:space="preserve"> </w:t>
      </w:r>
      <w:r>
        <w:t>in response to draft report, 10.</w:t>
      </w:r>
    </w:p>
  </w:footnote>
  <w:footnote w:id="255">
    <w:p w14:paraId="352841B3" w14:textId="0876CAAD" w:rsidR="001137B9" w:rsidRDefault="001137B9" w:rsidP="001137B9">
      <w:pPr>
        <w:pStyle w:val="FootnoteText"/>
      </w:pPr>
      <w:r>
        <w:rPr>
          <w:rStyle w:val="FootnoteReference"/>
        </w:rPr>
        <w:footnoteRef/>
      </w:r>
      <w:r>
        <w:t xml:space="preserve"> ETU submission</w:t>
      </w:r>
      <w:r w:rsidRPr="00E4598A">
        <w:t xml:space="preserve"> </w:t>
      </w:r>
      <w:r>
        <w:t>in response to draft report, 3.</w:t>
      </w:r>
    </w:p>
  </w:footnote>
  <w:footnote w:id="256">
    <w:p w14:paraId="646D2FCA" w14:textId="35940EF0" w:rsidR="001137B9" w:rsidRDefault="001137B9" w:rsidP="001137B9">
      <w:pPr>
        <w:pStyle w:val="FootnoteText"/>
      </w:pPr>
      <w:r>
        <w:rPr>
          <w:rStyle w:val="FootnoteReference"/>
        </w:rPr>
        <w:footnoteRef/>
      </w:r>
      <w:r>
        <w:t xml:space="preserve"> </w:t>
      </w:r>
      <w:r w:rsidR="0046056A">
        <w:t>Australian Chamber of Commerce and Industry (</w:t>
      </w:r>
      <w:r>
        <w:t>ACCI</w:t>
      </w:r>
      <w:r w:rsidR="0046056A">
        <w:t>)</w:t>
      </w:r>
      <w:r>
        <w:t xml:space="preserve"> submission</w:t>
      </w:r>
      <w:r w:rsidRPr="006312C9">
        <w:t xml:space="preserve"> </w:t>
      </w:r>
      <w:r>
        <w:t>in response to draft report, 10.</w:t>
      </w:r>
    </w:p>
  </w:footnote>
  <w:footnote w:id="257">
    <w:p w14:paraId="4BCF4853" w14:textId="4B6200DC" w:rsidR="001137B9" w:rsidRDefault="001137B9" w:rsidP="001137B9">
      <w:pPr>
        <w:pStyle w:val="FootnoteText"/>
      </w:pPr>
      <w:r>
        <w:rPr>
          <w:rStyle w:val="FootnoteReference"/>
        </w:rPr>
        <w:footnoteRef/>
      </w:r>
      <w:r>
        <w:t xml:space="preserve"> CCIWA submission in response to draft report, 6</w:t>
      </w:r>
      <w:r w:rsidR="00DA32BE">
        <w:rPr>
          <w:rFonts w:ascii="Symbol" w:eastAsia="Symbol" w:hAnsi="Symbol" w:cs="Symbol"/>
        </w:rPr>
        <w:t>-</w:t>
      </w:r>
      <w:r>
        <w:t>7.</w:t>
      </w:r>
    </w:p>
  </w:footnote>
  <w:footnote w:id="258">
    <w:p w14:paraId="6FB33F2C" w14:textId="77777777" w:rsidR="00924664" w:rsidRPr="00A03B67" w:rsidRDefault="00924664" w:rsidP="00924664">
      <w:pPr>
        <w:pStyle w:val="FootnoteText"/>
      </w:pPr>
      <w:r w:rsidRPr="00A03B67">
        <w:rPr>
          <w:rStyle w:val="FootnoteReference"/>
        </w:rPr>
        <w:footnoteRef/>
      </w:r>
      <w:r w:rsidRPr="00A03B67">
        <w:t xml:space="preserve"> K Walpole, ‘The Fair Work Act: Encouraging Collective Agreement-making But Leaving Collective Bargaining to Choice’ (2015) 25(3) </w:t>
      </w:r>
      <w:r w:rsidRPr="00A03B67">
        <w:rPr>
          <w:i/>
          <w:iCs/>
        </w:rPr>
        <w:t>Labour and Industry</w:t>
      </w:r>
      <w:r w:rsidRPr="00A03B67">
        <w:t xml:space="preserve"> 205</w:t>
      </w:r>
      <w:r w:rsidRPr="00A03B67">
        <w:rPr>
          <w:rFonts w:ascii="Symbol" w:eastAsia="Symbol" w:hAnsi="Symbol" w:cs="Symbol"/>
        </w:rPr>
        <w:t>-</w:t>
      </w:r>
      <w:r w:rsidRPr="00A03B67">
        <w:t xml:space="preserve">218; M Bray, P Waring, R Cooper and J Macneil, </w:t>
      </w:r>
      <w:r w:rsidRPr="00A03B67">
        <w:rPr>
          <w:i/>
          <w:iCs/>
        </w:rPr>
        <w:t>Employment Relations: Theory and Practice</w:t>
      </w:r>
      <w:r w:rsidRPr="00A03B67">
        <w:t xml:space="preserve"> (4th ed, McGraw-Hill, 2018) 380</w:t>
      </w:r>
      <w:r w:rsidRPr="00A03B67">
        <w:rPr>
          <w:rFonts w:ascii="Symbol" w:eastAsia="Symbol" w:hAnsi="Symbol" w:cs="Symbol"/>
        </w:rPr>
        <w:t>-</w:t>
      </w:r>
      <w:r w:rsidRPr="00A03B67">
        <w:t>381.</w:t>
      </w:r>
    </w:p>
  </w:footnote>
  <w:footnote w:id="259">
    <w:p w14:paraId="4A8B7245" w14:textId="77777777" w:rsidR="00924664" w:rsidRPr="00A03B67" w:rsidRDefault="00924664" w:rsidP="00924664">
      <w:pPr>
        <w:pStyle w:val="FootnoteText"/>
      </w:pPr>
      <w:r w:rsidRPr="00A03B67">
        <w:rPr>
          <w:rStyle w:val="FootnoteReference"/>
        </w:rPr>
        <w:footnoteRef/>
      </w:r>
      <w:r w:rsidRPr="00A03B67">
        <w:t xml:space="preserve"> There are several additional dimensions of collective bargaining that are widely acknowledged in the literature (e.g. the ‘structure’ and ‘scope’ of bargaining; see M Bray, P Waring, R Cooper and J Macneil, </w:t>
      </w:r>
      <w:r w:rsidRPr="00A03B67">
        <w:rPr>
          <w:i/>
          <w:iCs/>
        </w:rPr>
        <w:t>Employment Relations: Theory and Practice</w:t>
      </w:r>
      <w:r w:rsidRPr="00A03B67">
        <w:t xml:space="preserve"> (4th ed, McGraw-Hill, 2018) 381</w:t>
      </w:r>
      <w:r w:rsidRPr="00A03B67">
        <w:rPr>
          <w:rFonts w:ascii="Symbol" w:eastAsia="Symbol" w:hAnsi="Symbol" w:cs="Symbol"/>
        </w:rPr>
        <w:t>-</w:t>
      </w:r>
      <w:r w:rsidRPr="00A03B67">
        <w:t>382), but these are not discussed here because they have no direct linkage with the Secure Jobs, Better Pay amendments.</w:t>
      </w:r>
    </w:p>
  </w:footnote>
  <w:footnote w:id="260">
    <w:p w14:paraId="62ABA17F" w14:textId="77777777" w:rsidR="00924664" w:rsidRPr="00A03B67" w:rsidRDefault="00924664" w:rsidP="00924664">
      <w:pPr>
        <w:pStyle w:val="FootnoteText"/>
      </w:pPr>
      <w:r w:rsidRPr="00A03B67">
        <w:rPr>
          <w:rStyle w:val="FootnoteReference"/>
        </w:rPr>
        <w:footnoteRef/>
      </w:r>
      <w:r w:rsidRPr="00A03B67">
        <w:t xml:space="preserve"> The following historical account draws heavily on M Bray and J Macneil, ‘Reforming Collective Bargaining’ in K Hancock and R Lansbury (eds), </w:t>
      </w:r>
      <w:r w:rsidRPr="00A03B67">
        <w:rPr>
          <w:i/>
          <w:iCs/>
        </w:rPr>
        <w:t>Industrial Relations Reform: Looking to the Future</w:t>
      </w:r>
      <w:r w:rsidRPr="00A03B67">
        <w:t xml:space="preserve"> (Federation Press, 2016) 105</w:t>
      </w:r>
      <w:r w:rsidRPr="00A03B67">
        <w:rPr>
          <w:rFonts w:ascii="Symbol" w:eastAsia="Symbol" w:hAnsi="Symbol" w:cs="Symbol"/>
        </w:rPr>
        <w:t>-</w:t>
      </w:r>
      <w:r w:rsidRPr="00A03B67">
        <w:t>131.</w:t>
      </w:r>
    </w:p>
  </w:footnote>
  <w:footnote w:id="261">
    <w:p w14:paraId="6D5F7C92" w14:textId="77777777" w:rsidR="00924664" w:rsidRPr="00A03B67" w:rsidRDefault="00924664" w:rsidP="00924664">
      <w:pPr>
        <w:pStyle w:val="FootnoteText"/>
      </w:pPr>
      <w:r w:rsidRPr="00A03B67">
        <w:rPr>
          <w:rStyle w:val="FootnoteReference"/>
        </w:rPr>
        <w:footnoteRef/>
      </w:r>
      <w:r w:rsidRPr="00A03B67">
        <w:t xml:space="preserve"> See D Yerbury and J Isaac, ‘Recent Trends in Collective Bargaining in Australia’ (1971) 103(5) </w:t>
      </w:r>
      <w:r w:rsidRPr="00A03B67">
        <w:rPr>
          <w:i/>
          <w:iCs/>
        </w:rPr>
        <w:t>International Labour Review</w:t>
      </w:r>
      <w:r w:rsidRPr="00A03B67">
        <w:t xml:space="preserve"> 431</w:t>
      </w:r>
      <w:r w:rsidRPr="00A03B67">
        <w:rPr>
          <w:rFonts w:ascii="Symbol" w:eastAsia="Symbol" w:hAnsi="Symbol" w:cs="Symbol"/>
        </w:rPr>
        <w:t>-</w:t>
      </w:r>
      <w:r w:rsidRPr="00A03B67">
        <w:t>452.</w:t>
      </w:r>
    </w:p>
  </w:footnote>
  <w:footnote w:id="262">
    <w:p w14:paraId="033ADB6A" w14:textId="18A83E0C" w:rsidR="00924664" w:rsidRPr="00A03B67" w:rsidRDefault="00924664" w:rsidP="00924664">
      <w:pPr>
        <w:pStyle w:val="FootnoteText"/>
      </w:pPr>
      <w:r w:rsidRPr="00A03B67">
        <w:rPr>
          <w:rStyle w:val="FootnoteReference"/>
        </w:rPr>
        <w:footnoteRef/>
      </w:r>
      <w:r w:rsidRPr="00A03B67">
        <w:t xml:space="preserve"> K Hancock, </w:t>
      </w:r>
      <w:r w:rsidRPr="00A03B67">
        <w:rPr>
          <w:i/>
          <w:iCs/>
        </w:rPr>
        <w:t>Committee of Review into Australian Industrial Relations Law and Systems</w:t>
      </w:r>
      <w:r w:rsidR="0046056A">
        <w:rPr>
          <w:i/>
          <w:iCs/>
        </w:rPr>
        <w:t>:</w:t>
      </w:r>
      <w:r w:rsidRPr="00A03B67">
        <w:rPr>
          <w:i/>
          <w:iCs/>
        </w:rPr>
        <w:t xml:space="preserve"> Report</w:t>
      </w:r>
      <w:r w:rsidRPr="00A03B67">
        <w:t xml:space="preserve"> (AGPS, 1985); K Hancock, ‘Reforming Industrial Relations: Revisiting the 1980s and 1990s’ in K Hancock and R Lansbury (eds), </w:t>
      </w:r>
      <w:r w:rsidRPr="00A03B67">
        <w:rPr>
          <w:i/>
          <w:iCs/>
        </w:rPr>
        <w:t>Industrial Relations Reform: Looking to the Future</w:t>
      </w:r>
      <w:r w:rsidRPr="00A03B67">
        <w:t xml:space="preserve"> (Federation Press, 2016) 16</w:t>
      </w:r>
      <w:r w:rsidRPr="00A03B67">
        <w:rPr>
          <w:rFonts w:ascii="Symbol" w:eastAsia="Symbol" w:hAnsi="Symbol" w:cs="Symbol"/>
        </w:rPr>
        <w:t>-</w:t>
      </w:r>
      <w:r w:rsidRPr="00A03B67">
        <w:t>39.</w:t>
      </w:r>
    </w:p>
  </w:footnote>
  <w:footnote w:id="263">
    <w:p w14:paraId="0400140E" w14:textId="77777777" w:rsidR="00924664" w:rsidRPr="00A03B67" w:rsidRDefault="00924664" w:rsidP="00924664">
      <w:pPr>
        <w:pStyle w:val="FootnoteText"/>
      </w:pPr>
      <w:r w:rsidRPr="00A03B67">
        <w:rPr>
          <w:rStyle w:val="FootnoteReference"/>
        </w:rPr>
        <w:footnoteRef/>
      </w:r>
      <w:r w:rsidRPr="00A03B67">
        <w:t xml:space="preserve"> S McCrystal and M Bray, ‘Non-Union Agreement-Making in Australia in Comparative and Historical Context’ (2021) 41(3) </w:t>
      </w:r>
      <w:r w:rsidRPr="00A03B67">
        <w:rPr>
          <w:i/>
          <w:iCs/>
        </w:rPr>
        <w:t xml:space="preserve">Comparative Labor Law and Policy Journal </w:t>
      </w:r>
      <w:r w:rsidRPr="00A03B67">
        <w:t>753</w:t>
      </w:r>
      <w:r w:rsidRPr="00A03B67">
        <w:rPr>
          <w:rFonts w:ascii="Symbol" w:eastAsia="Symbol" w:hAnsi="Symbol" w:cs="Symbol"/>
        </w:rPr>
        <w:t>-</w:t>
      </w:r>
      <w:r w:rsidRPr="00A03B67">
        <w:t>788.</w:t>
      </w:r>
    </w:p>
  </w:footnote>
  <w:footnote w:id="264">
    <w:p w14:paraId="120E0674" w14:textId="15906789" w:rsidR="00924664" w:rsidRPr="00A03B67" w:rsidRDefault="00924664" w:rsidP="00924664">
      <w:pPr>
        <w:pStyle w:val="FootnoteText"/>
      </w:pPr>
      <w:r w:rsidRPr="00A03B67">
        <w:rPr>
          <w:rStyle w:val="FootnoteReference"/>
        </w:rPr>
        <w:footnoteRef/>
      </w:r>
      <w:r w:rsidRPr="00A03B67">
        <w:t xml:space="preserve"> Central to the relationship between agreements (collective and individual) and awards was another uniquely Australian institution: the no-disadvantage test. First introduced in 1992 and subsequently modified many times, it was supposed to ensure that agreements did not take wages and conditions below those contained in minimum standards (see e.g. C Sutherland, ‘Making the “BOOT” Fit: Reforms to Agreement-Making from Work Choices to Fair Work’ in A Forsyth and A Stewart (eds), </w:t>
      </w:r>
      <w:r w:rsidRPr="00A03B67">
        <w:rPr>
          <w:i/>
          <w:iCs/>
        </w:rPr>
        <w:t>Fair Work: The New Workplace Laws and the Work Choices Legacy</w:t>
      </w:r>
      <w:r w:rsidRPr="00A03B67">
        <w:t>, (Federation Press, 2009) 99</w:t>
      </w:r>
      <w:r w:rsidRPr="00A03B67">
        <w:rPr>
          <w:rFonts w:ascii="Symbol" w:eastAsia="Symbol" w:hAnsi="Symbol" w:cs="Symbol"/>
        </w:rPr>
        <w:t>-</w:t>
      </w:r>
      <w:r w:rsidRPr="00A03B67">
        <w:t>119; M Bray, P Waring</w:t>
      </w:r>
      <w:r w:rsidR="00DA32BE">
        <w:t>,</w:t>
      </w:r>
      <w:r w:rsidRPr="00A03B67">
        <w:t xml:space="preserve"> R Cooper and J Macneil, </w:t>
      </w:r>
      <w:r w:rsidRPr="00A03B67">
        <w:rPr>
          <w:i/>
          <w:iCs/>
        </w:rPr>
        <w:t>Employment Relations: Theory and Practice</w:t>
      </w:r>
      <w:r w:rsidRPr="00A03B67">
        <w:t xml:space="preserve"> (4th ed, McGraw-Hill, 2018) 360</w:t>
      </w:r>
      <w:r w:rsidRPr="00A03B67">
        <w:rPr>
          <w:rFonts w:ascii="Symbol" w:eastAsia="Symbol" w:hAnsi="Symbol" w:cs="Symbol"/>
        </w:rPr>
        <w:t>-</w:t>
      </w:r>
      <w:r w:rsidRPr="00A03B67">
        <w:t>362.</w:t>
      </w:r>
    </w:p>
  </w:footnote>
  <w:footnote w:id="265">
    <w:p w14:paraId="3F1A3E70" w14:textId="77777777" w:rsidR="00924664" w:rsidRPr="00A03B67" w:rsidRDefault="00924664" w:rsidP="00924664">
      <w:pPr>
        <w:pStyle w:val="FootnoteText"/>
      </w:pPr>
      <w:r w:rsidRPr="00A03B67">
        <w:rPr>
          <w:rStyle w:val="FootnoteReference"/>
        </w:rPr>
        <w:footnoteRef/>
      </w:r>
      <w:r w:rsidRPr="00A03B67">
        <w:t xml:space="preserve"> See CF Wright and C McLaughlin, ‘Trade Union Legitimacy and Legitimation Politics in Australia and New Zealand’ (2021) 60(3) </w:t>
      </w:r>
      <w:r w:rsidRPr="00A03B67">
        <w:rPr>
          <w:i/>
          <w:iCs/>
        </w:rPr>
        <w:t>Industrial Relations</w:t>
      </w:r>
      <w:r w:rsidRPr="00A03B67">
        <w:t xml:space="preserve"> 338–369.</w:t>
      </w:r>
    </w:p>
  </w:footnote>
  <w:footnote w:id="266">
    <w:p w14:paraId="6CDA2304" w14:textId="77777777" w:rsidR="00924664" w:rsidRPr="00A03B67" w:rsidRDefault="00924664" w:rsidP="00924664">
      <w:pPr>
        <w:pStyle w:val="FootnoteText"/>
      </w:pPr>
      <w:r w:rsidRPr="00A03B67">
        <w:rPr>
          <w:rStyle w:val="FootnoteReference"/>
        </w:rPr>
        <w:footnoteRef/>
      </w:r>
      <w:r w:rsidRPr="00A03B67">
        <w:t xml:space="preserve"> M Bray and A Stewart, ‘What is Distinctive About the Fair Work Regime?’ (2013) 26(1) </w:t>
      </w:r>
      <w:r w:rsidRPr="00A03B67">
        <w:rPr>
          <w:i/>
          <w:iCs/>
        </w:rPr>
        <w:t>Australian Journal of Labour Law</w:t>
      </w:r>
      <w:r w:rsidRPr="00A03B67">
        <w:t xml:space="preserve"> 20</w:t>
      </w:r>
      <w:r w:rsidRPr="00A03B67">
        <w:rPr>
          <w:rFonts w:ascii="Symbol" w:eastAsia="Symbol" w:hAnsi="Symbol" w:cs="Symbol"/>
        </w:rPr>
        <w:t>-</w:t>
      </w:r>
      <w:r w:rsidRPr="00A03B67">
        <w:t>49.</w:t>
      </w:r>
    </w:p>
  </w:footnote>
  <w:footnote w:id="267">
    <w:p w14:paraId="077E4E30" w14:textId="77777777" w:rsidR="00924664" w:rsidRPr="00A03B67" w:rsidRDefault="00924664" w:rsidP="00924664">
      <w:pPr>
        <w:pStyle w:val="FootnoteText"/>
      </w:pPr>
      <w:r w:rsidRPr="00A03B67">
        <w:rPr>
          <w:rStyle w:val="FootnoteReference"/>
        </w:rPr>
        <w:footnoteRef/>
      </w:r>
      <w:r w:rsidRPr="00A03B67">
        <w:t xml:space="preserve"> M Bray and A Stewart, ‘What is Distinctive About the Fair Work Regime?’ (2013) 26(1) </w:t>
      </w:r>
      <w:r w:rsidRPr="00A03B67">
        <w:rPr>
          <w:i/>
          <w:iCs/>
        </w:rPr>
        <w:t>Australian Journal of Labour Law</w:t>
      </w:r>
      <w:r w:rsidRPr="00A03B67">
        <w:t xml:space="preserve"> 20</w:t>
      </w:r>
      <w:r w:rsidRPr="00A03B67">
        <w:rPr>
          <w:rFonts w:ascii="Symbol" w:eastAsia="Symbol" w:hAnsi="Symbol" w:cs="Symbol"/>
        </w:rPr>
        <w:t>-</w:t>
      </w:r>
      <w:r w:rsidRPr="00A03B67">
        <w:t>49.</w:t>
      </w:r>
    </w:p>
  </w:footnote>
  <w:footnote w:id="268">
    <w:p w14:paraId="138A3320" w14:textId="3E19AFBA" w:rsidR="00924664" w:rsidRPr="00A03B67" w:rsidRDefault="00924664" w:rsidP="00924664">
      <w:pPr>
        <w:pStyle w:val="FootnoteText"/>
      </w:pPr>
      <w:r w:rsidRPr="00A03B67">
        <w:rPr>
          <w:rStyle w:val="FootnoteReference"/>
        </w:rPr>
        <w:footnoteRef/>
      </w:r>
      <w:r w:rsidRPr="00A03B67">
        <w:t xml:space="preserve"> </w:t>
      </w:r>
      <w:r>
        <w:t xml:space="preserve">A </w:t>
      </w:r>
      <w:r w:rsidRPr="00A03B67">
        <w:t xml:space="preserve">Stewart </w:t>
      </w:r>
      <w:r>
        <w:t>and</w:t>
      </w:r>
      <w:r w:rsidRPr="00A03B67">
        <w:t xml:space="preserve"> </w:t>
      </w:r>
      <w:r>
        <w:t xml:space="preserve">A </w:t>
      </w:r>
      <w:r w:rsidRPr="00A03B67">
        <w:t>Forsyth</w:t>
      </w:r>
      <w:r>
        <w:t xml:space="preserve">, ‘The Journey from Workchoices to Fair Work’, in </w:t>
      </w:r>
      <w:r w:rsidRPr="00A03B67">
        <w:t xml:space="preserve">A Forsyth and A Stewart (eds), </w:t>
      </w:r>
      <w:r w:rsidRPr="00A03B67">
        <w:rPr>
          <w:i/>
          <w:iCs/>
        </w:rPr>
        <w:t>Fair Work: The New Workplace Laws and the Work Choices Legacy</w:t>
      </w:r>
      <w:r w:rsidRPr="00A03B67">
        <w:t xml:space="preserve"> (Federation Press, 2009)</w:t>
      </w:r>
      <w:r>
        <w:t>1</w:t>
      </w:r>
      <w:r w:rsidR="00DA32BE">
        <w:rPr>
          <w:rFonts w:ascii="Symbol" w:eastAsia="Symbol" w:hAnsi="Symbol" w:cs="Symbol"/>
        </w:rPr>
        <w:t>-</w:t>
      </w:r>
      <w:r>
        <w:t>19</w:t>
      </w:r>
      <w:r w:rsidRPr="00A03B67">
        <w:t>.</w:t>
      </w:r>
    </w:p>
  </w:footnote>
  <w:footnote w:id="269">
    <w:p w14:paraId="37D80221" w14:textId="23E9CEB2" w:rsidR="00924664" w:rsidRPr="00A03B67" w:rsidRDefault="00924664" w:rsidP="00924664">
      <w:pPr>
        <w:pStyle w:val="FootnoteText"/>
      </w:pPr>
      <w:r w:rsidRPr="00A03B67">
        <w:rPr>
          <w:rStyle w:val="FootnoteReference"/>
        </w:rPr>
        <w:footnoteRef/>
      </w:r>
      <w:r w:rsidRPr="00A03B67">
        <w:t xml:space="preserve"> </w:t>
      </w:r>
      <w:r>
        <w:t xml:space="preserve">R </w:t>
      </w:r>
      <w:r w:rsidRPr="00044C67">
        <w:t>Cooper,</w:t>
      </w:r>
      <w:r>
        <w:t xml:space="preserve"> and B</w:t>
      </w:r>
      <w:r w:rsidRPr="00044C67">
        <w:t xml:space="preserve"> Ellem</w:t>
      </w:r>
      <w:r>
        <w:t>,</w:t>
      </w:r>
      <w:r w:rsidRPr="00044C67">
        <w:t xml:space="preserve"> ‘Fair Work and the </w:t>
      </w:r>
      <w:r w:rsidR="00DA32BE">
        <w:t>R</w:t>
      </w:r>
      <w:r w:rsidRPr="00044C67">
        <w:t xml:space="preserve">e-regulation of </w:t>
      </w:r>
      <w:r w:rsidR="00DA32BE">
        <w:t>C</w:t>
      </w:r>
      <w:r w:rsidRPr="00044C67">
        <w:t xml:space="preserve">ollective </w:t>
      </w:r>
      <w:r w:rsidR="00DA32BE">
        <w:t>B</w:t>
      </w:r>
      <w:r w:rsidRPr="00044C67">
        <w:t>argaining’</w:t>
      </w:r>
      <w:r>
        <w:t xml:space="preserve"> </w:t>
      </w:r>
      <w:r w:rsidRPr="00044C67">
        <w:t>(2009)</w:t>
      </w:r>
      <w:r>
        <w:t xml:space="preserve"> 22(3)</w:t>
      </w:r>
      <w:r w:rsidRPr="00044C67">
        <w:t xml:space="preserve"> </w:t>
      </w:r>
      <w:r w:rsidRPr="00455349">
        <w:rPr>
          <w:i/>
          <w:iCs/>
        </w:rPr>
        <w:t>Australian Journal of Labour Law</w:t>
      </w:r>
      <w:r w:rsidRPr="00044C67">
        <w:t xml:space="preserve"> 284</w:t>
      </w:r>
      <w:r w:rsidR="00DA32BE">
        <w:rPr>
          <w:rFonts w:ascii="Symbol" w:eastAsia="Symbol" w:hAnsi="Symbol" w:cs="Symbol"/>
        </w:rPr>
        <w:t>-</w:t>
      </w:r>
      <w:r w:rsidRPr="00044C67">
        <w:t>305.</w:t>
      </w:r>
    </w:p>
  </w:footnote>
  <w:footnote w:id="270">
    <w:p w14:paraId="74D68BF8" w14:textId="69E1659E" w:rsidR="00924664" w:rsidRPr="001E318E" w:rsidRDefault="00924664" w:rsidP="00924664">
      <w:pPr>
        <w:pStyle w:val="FootnoteText"/>
        <w:rPr>
          <w:lang w:val="en-GB"/>
        </w:rPr>
      </w:pPr>
      <w:r w:rsidRPr="00A03B67">
        <w:rPr>
          <w:rStyle w:val="FootnoteReference"/>
        </w:rPr>
        <w:footnoteRef/>
      </w:r>
      <w:r w:rsidRPr="00A03B67">
        <w:t xml:space="preserve"> See</w:t>
      </w:r>
      <w:r>
        <w:t xml:space="preserve"> R </w:t>
      </w:r>
      <w:r w:rsidRPr="001E318E">
        <w:rPr>
          <w:lang w:val="en-GB"/>
        </w:rPr>
        <w:t xml:space="preserve">McCallum, </w:t>
      </w:r>
      <w:r>
        <w:rPr>
          <w:lang w:val="en-GB"/>
        </w:rPr>
        <w:t xml:space="preserve">E </w:t>
      </w:r>
      <w:r w:rsidRPr="001E318E">
        <w:rPr>
          <w:lang w:val="en-GB"/>
        </w:rPr>
        <w:t>Moore</w:t>
      </w:r>
      <w:r>
        <w:rPr>
          <w:lang w:val="en-GB"/>
        </w:rPr>
        <w:t xml:space="preserve"> and J </w:t>
      </w:r>
      <w:r w:rsidRPr="001E318E">
        <w:rPr>
          <w:lang w:val="en-GB"/>
        </w:rPr>
        <w:t xml:space="preserve">Edwards, </w:t>
      </w:r>
      <w:r w:rsidRPr="001E318E">
        <w:rPr>
          <w:i/>
          <w:iCs/>
          <w:lang w:val="en-GB"/>
        </w:rPr>
        <w:t>Towards More Productive and Equitable Workplaces: An Evaluation of the Fair Work Legislation</w:t>
      </w:r>
      <w:r w:rsidRPr="001E318E">
        <w:rPr>
          <w:lang w:val="en-GB"/>
        </w:rPr>
        <w:t xml:space="preserve"> </w:t>
      </w:r>
      <w:r w:rsidR="00DA32BE">
        <w:rPr>
          <w:lang w:val="en-GB"/>
        </w:rPr>
        <w:t xml:space="preserve">(Australian Government, </w:t>
      </w:r>
      <w:r>
        <w:rPr>
          <w:lang w:val="en-GB"/>
        </w:rPr>
        <w:t>2012)</w:t>
      </w:r>
      <w:r w:rsidRPr="00A03B67">
        <w:t>.</w:t>
      </w:r>
    </w:p>
  </w:footnote>
  <w:footnote w:id="271">
    <w:p w14:paraId="65C49D15" w14:textId="77777777" w:rsidR="00924664" w:rsidRPr="00A03B67" w:rsidRDefault="00924664" w:rsidP="00924664">
      <w:pPr>
        <w:pStyle w:val="FootnoteText"/>
      </w:pPr>
      <w:r w:rsidRPr="00A03B67">
        <w:rPr>
          <w:rStyle w:val="FootnoteReference"/>
        </w:rPr>
        <w:footnoteRef/>
      </w:r>
      <w:r w:rsidRPr="00A03B67">
        <w:t xml:space="preserve"> S McCrystal, ‘Why Is It So Hard to Take Lawful Strike Action in Australia?’ (2019) 61(1) </w:t>
      </w:r>
      <w:r w:rsidRPr="00A03B67">
        <w:rPr>
          <w:i/>
          <w:iCs/>
        </w:rPr>
        <w:t>Journal of Industrial Relations</w:t>
      </w:r>
      <w:r w:rsidRPr="00A03B67">
        <w:t xml:space="preserve"> 129</w:t>
      </w:r>
      <w:r w:rsidRPr="00A03B67">
        <w:rPr>
          <w:rFonts w:ascii="Symbol" w:eastAsia="Symbol" w:hAnsi="Symbol" w:cs="Symbol"/>
        </w:rPr>
        <w:t>-</w:t>
      </w:r>
      <w:r w:rsidRPr="00A03B67">
        <w:t>144.</w:t>
      </w:r>
    </w:p>
  </w:footnote>
  <w:footnote w:id="272">
    <w:p w14:paraId="42CB0F5D" w14:textId="77777777" w:rsidR="00924664" w:rsidRPr="00A03B67" w:rsidRDefault="00924664" w:rsidP="00924664">
      <w:pPr>
        <w:pStyle w:val="FootnoteText"/>
      </w:pPr>
      <w:r w:rsidRPr="00A03B67">
        <w:rPr>
          <w:rStyle w:val="FootnoteReference"/>
        </w:rPr>
        <w:footnoteRef/>
      </w:r>
      <w:r w:rsidRPr="00A03B67">
        <w:t xml:space="preserve"> D Pohler, ‘Collective Bargaining’ in A Wilkinson et al. (eds), </w:t>
      </w:r>
      <w:r w:rsidRPr="00A03B67">
        <w:rPr>
          <w:i/>
          <w:iCs/>
        </w:rPr>
        <w:t xml:space="preserve">The Routledge Companion to Employment Relations </w:t>
      </w:r>
      <w:r w:rsidRPr="00A03B67">
        <w:t>(Routledge, 2018) 235</w:t>
      </w:r>
      <w:r w:rsidRPr="00A03B67">
        <w:rPr>
          <w:rFonts w:ascii="Symbol" w:eastAsia="Symbol" w:hAnsi="Symbol" w:cs="Symbol"/>
        </w:rPr>
        <w:t>-</w:t>
      </w:r>
      <w:r w:rsidRPr="00A03B67">
        <w:t>250.</w:t>
      </w:r>
    </w:p>
  </w:footnote>
  <w:footnote w:id="273">
    <w:p w14:paraId="0319295F" w14:textId="568EFE93" w:rsidR="00924664" w:rsidRPr="00A03B67" w:rsidRDefault="00924664" w:rsidP="00924664">
      <w:pPr>
        <w:pStyle w:val="FootnoteText"/>
      </w:pPr>
      <w:r w:rsidRPr="00A03B67">
        <w:rPr>
          <w:rStyle w:val="FootnoteReference"/>
        </w:rPr>
        <w:footnoteRef/>
      </w:r>
      <w:r w:rsidRPr="00A03B67">
        <w:t xml:space="preserve"> See e.g. </w:t>
      </w:r>
      <w:r w:rsidR="00271425" w:rsidRPr="00271425">
        <w:t>A Forsyth, P Gahan, J Howe and I Landau 'Fair Work Australia’s influence in the enterprise bargaining process' (2012) &lt;</w:t>
      </w:r>
      <w:r w:rsidR="00271425" w:rsidRPr="002F1172">
        <w:t>https://researchmgt.monash.edu/ws/portalfiles/portal/41524615/40034584.pdf</w:t>
      </w:r>
      <w:r w:rsidR="00271425" w:rsidRPr="00271425">
        <w:t>&gt;</w:t>
      </w:r>
      <w:r w:rsidRPr="00271425">
        <w:t>;</w:t>
      </w:r>
      <w:r w:rsidRPr="00A03B67">
        <w:t xml:space="preserve"> A Pekarek, I Landau, P Gahan, A Forsyth and J Howe, ‘Old Game, New Rules? The Dynamics of Enterprise Bargaining under the Fair Work Act’ (2017) 59(1) </w:t>
      </w:r>
      <w:r w:rsidRPr="00A03B67">
        <w:rPr>
          <w:i/>
          <w:iCs/>
        </w:rPr>
        <w:t xml:space="preserve">Journal of Industrial Relations </w:t>
      </w:r>
      <w:r w:rsidRPr="00A03B67">
        <w:t>44</w:t>
      </w:r>
      <w:r w:rsidRPr="00A03B67">
        <w:rPr>
          <w:rFonts w:ascii="Symbol" w:eastAsia="Symbol" w:hAnsi="Symbol" w:cs="Symbol"/>
        </w:rPr>
        <w:t>-</w:t>
      </w:r>
      <w:r w:rsidRPr="00A03B67">
        <w:t xml:space="preserve">64; B Creighton, C Denvir, R Johnstone, S McCrystal and A Orchiston, </w:t>
      </w:r>
      <w:r w:rsidRPr="00A03B67">
        <w:rPr>
          <w:i/>
          <w:iCs/>
        </w:rPr>
        <w:t>Strike Ballots, Democracy, and the Law</w:t>
      </w:r>
      <w:r w:rsidRPr="00A03B67">
        <w:t xml:space="preserve"> (Oxford University Press, 2020).</w:t>
      </w:r>
    </w:p>
  </w:footnote>
  <w:footnote w:id="274">
    <w:p w14:paraId="7754D908" w14:textId="052B3828" w:rsidR="00924664" w:rsidRPr="00A03B67" w:rsidRDefault="00924664" w:rsidP="00924664">
      <w:pPr>
        <w:pStyle w:val="FootnoteText"/>
      </w:pPr>
      <w:r w:rsidRPr="00A03B67">
        <w:rPr>
          <w:rStyle w:val="FootnoteReference"/>
        </w:rPr>
        <w:footnoteRef/>
      </w:r>
      <w:r w:rsidRPr="00A03B67">
        <w:t xml:space="preserve"> See e.g</w:t>
      </w:r>
      <w:r w:rsidRPr="00BD1912">
        <w:t>.</w:t>
      </w:r>
      <w:r w:rsidRPr="00134991">
        <w:t xml:space="preserve"> </w:t>
      </w:r>
      <w:r w:rsidRPr="00A03B67">
        <w:t xml:space="preserve">P Sheldon and L Thornthwaite, ‘Employers’ Associations in Australia’ in L Gooberman and M Hauptmeier (eds), </w:t>
      </w:r>
      <w:r w:rsidRPr="00A03B67">
        <w:rPr>
          <w:i/>
          <w:iCs/>
        </w:rPr>
        <w:t>Contemporary Employer</w:t>
      </w:r>
      <w:r w:rsidR="00DA32BE">
        <w:rPr>
          <w:i/>
          <w:iCs/>
        </w:rPr>
        <w:t>s</w:t>
      </w:r>
      <w:r w:rsidRPr="00A03B67">
        <w:rPr>
          <w:i/>
          <w:iCs/>
        </w:rPr>
        <w:t>’ Organisations: Adaptation and Resilience</w:t>
      </w:r>
      <w:r w:rsidRPr="00A03B67">
        <w:t xml:space="preserve"> (Routledge, 2022) 139</w:t>
      </w:r>
      <w:r w:rsidRPr="00A03B67">
        <w:rPr>
          <w:rFonts w:ascii="Symbol" w:eastAsia="Symbol" w:hAnsi="Symbol" w:cs="Symbol"/>
        </w:rPr>
        <w:t>-</w:t>
      </w:r>
      <w:r w:rsidRPr="00A03B67">
        <w:t>158.</w:t>
      </w:r>
    </w:p>
  </w:footnote>
  <w:footnote w:id="275">
    <w:p w14:paraId="0D16F89B" w14:textId="74E71347" w:rsidR="00924664" w:rsidRPr="00734FC7" w:rsidRDefault="00924664" w:rsidP="00924664">
      <w:pPr>
        <w:pStyle w:val="FootnoteText"/>
        <w:rPr>
          <w:highlight w:val="cyan"/>
        </w:rPr>
      </w:pPr>
      <w:r w:rsidRPr="00A03B67">
        <w:rPr>
          <w:rStyle w:val="FootnoteReference"/>
        </w:rPr>
        <w:footnoteRef/>
      </w:r>
      <w:r w:rsidRPr="00A03B67">
        <w:t xml:space="preserve"> See e.g. A Forsyth, ‘Ten Years of the Fair Work Act: (More) Testing Times for Australia’s Unions’ (2020) 33(1) </w:t>
      </w:r>
      <w:r w:rsidRPr="00A03B67">
        <w:rPr>
          <w:i/>
          <w:iCs/>
        </w:rPr>
        <w:t xml:space="preserve">Australian Journal of Labour Law </w:t>
      </w:r>
      <w:r w:rsidRPr="00A03B67">
        <w:t>122</w:t>
      </w:r>
      <w:r w:rsidRPr="00A03B67">
        <w:rPr>
          <w:rFonts w:ascii="Symbol" w:eastAsia="Symbol" w:hAnsi="Symbol" w:cs="Symbol"/>
        </w:rPr>
        <w:t>-</w:t>
      </w:r>
      <w:r w:rsidRPr="00A03B67">
        <w:t>138;</w:t>
      </w:r>
      <w:r w:rsidR="00734FC7" w:rsidRPr="00734FC7">
        <w:rPr>
          <w:rFonts w:ascii="Aptos" w:hAnsi="Aptos" w:cs="Aptos"/>
          <w:sz w:val="24"/>
          <w:szCs w:val="24"/>
          <w14:ligatures w14:val="standardContextual"/>
        </w:rPr>
        <w:t xml:space="preserve"> </w:t>
      </w:r>
      <w:r w:rsidR="00F328DE" w:rsidRPr="00F328DE">
        <w:t xml:space="preserve">A </w:t>
      </w:r>
      <w:r w:rsidR="00734FC7" w:rsidRPr="00734FC7">
        <w:t xml:space="preserve">Forsyth &amp; </w:t>
      </w:r>
      <w:r w:rsidR="00F328DE">
        <w:t xml:space="preserve">S </w:t>
      </w:r>
      <w:r w:rsidR="00734FC7" w:rsidRPr="00734FC7">
        <w:t xml:space="preserve">McCrystal (2023) ‘Reforming Australian Bargaining and Strike Laws to Maximise Worker Power’, </w:t>
      </w:r>
      <w:r w:rsidR="00734FC7" w:rsidRPr="009805B9">
        <w:rPr>
          <w:i/>
        </w:rPr>
        <w:t>UNSW Law Journal</w:t>
      </w:r>
      <w:r w:rsidR="00734FC7" w:rsidRPr="00734FC7">
        <w:t>, 46(4) 1105-1133.</w:t>
      </w:r>
    </w:p>
  </w:footnote>
  <w:footnote w:id="276">
    <w:p w14:paraId="454BFDB1" w14:textId="77777777" w:rsidR="00924664" w:rsidRPr="00A03B67" w:rsidRDefault="00924664" w:rsidP="00924664">
      <w:pPr>
        <w:pStyle w:val="FootnoteText"/>
      </w:pPr>
      <w:r w:rsidRPr="00A03B67">
        <w:rPr>
          <w:rStyle w:val="FootnoteReference"/>
        </w:rPr>
        <w:footnoteRef/>
      </w:r>
      <w:r w:rsidRPr="00A03B67">
        <w:t xml:space="preserve"> See e.g. A Flanders, ‘The Tradition of Voluntarism’ (1974) 12(3) </w:t>
      </w:r>
      <w:r w:rsidRPr="00A03B67">
        <w:rPr>
          <w:i/>
          <w:iCs/>
        </w:rPr>
        <w:t>British Journal of Industrial Relations</w:t>
      </w:r>
      <w:r w:rsidRPr="00A03B67">
        <w:t xml:space="preserve"> 352</w:t>
      </w:r>
      <w:r w:rsidRPr="00A03B67">
        <w:rPr>
          <w:rFonts w:ascii="Symbol" w:eastAsia="Symbol" w:hAnsi="Symbol" w:cs="Symbol"/>
        </w:rPr>
        <w:t>-</w:t>
      </w:r>
      <w:r w:rsidRPr="00A03B67">
        <w:t>370.</w:t>
      </w:r>
    </w:p>
  </w:footnote>
  <w:footnote w:id="277">
    <w:p w14:paraId="0F504FA9" w14:textId="028D401D" w:rsidR="00924664" w:rsidRPr="00134991" w:rsidRDefault="00924664" w:rsidP="00924664">
      <w:pPr>
        <w:pStyle w:val="FootnoteText"/>
        <w:rPr>
          <w:highlight w:val="cyan"/>
        </w:rPr>
      </w:pPr>
      <w:r w:rsidRPr="00A03B67">
        <w:rPr>
          <w:rStyle w:val="FootnoteReference"/>
        </w:rPr>
        <w:footnoteRef/>
      </w:r>
      <w:r w:rsidRPr="00A03B67">
        <w:t xml:space="preserve"> </w:t>
      </w:r>
      <w:r w:rsidR="00E31E73" w:rsidRPr="00134991">
        <w:t xml:space="preserve">S Andersen, ‘Multi-employer Bargaining in Denmark: Interwoven Processes of Coordination’ (2024) 163(4) </w:t>
      </w:r>
      <w:r w:rsidR="00E31E73" w:rsidRPr="00134991">
        <w:rPr>
          <w:i/>
          <w:iCs/>
        </w:rPr>
        <w:t>International Labour Review</w:t>
      </w:r>
      <w:r w:rsidR="00E31E73" w:rsidRPr="00134991">
        <w:t xml:space="preserve"> 693-710.</w:t>
      </w:r>
    </w:p>
  </w:footnote>
  <w:footnote w:id="278">
    <w:p w14:paraId="170CD080" w14:textId="2ABE74CC" w:rsidR="00924664" w:rsidRPr="00A03B67" w:rsidRDefault="00924664" w:rsidP="00924664">
      <w:pPr>
        <w:pStyle w:val="FootnoteText"/>
      </w:pPr>
      <w:r w:rsidRPr="00A03B67">
        <w:rPr>
          <w:rStyle w:val="FootnoteReference"/>
        </w:rPr>
        <w:footnoteRef/>
      </w:r>
      <w:r w:rsidRPr="00A03B67">
        <w:t xml:space="preserve"> E Rasmussen, M Bray and A Stewart ‘What Is Distinctive About New Zealand’s Employment Relations Act 2000?’ (2019) 29(1) </w:t>
      </w:r>
      <w:r w:rsidRPr="00A03B67">
        <w:rPr>
          <w:i/>
          <w:iCs/>
        </w:rPr>
        <w:t xml:space="preserve">Labour </w:t>
      </w:r>
      <w:r w:rsidR="00AB6836">
        <w:rPr>
          <w:i/>
          <w:iCs/>
        </w:rPr>
        <w:t>and</w:t>
      </w:r>
      <w:r w:rsidRPr="00A03B67">
        <w:rPr>
          <w:i/>
          <w:iCs/>
        </w:rPr>
        <w:t xml:space="preserve"> Industry </w:t>
      </w:r>
      <w:r w:rsidRPr="00A03B67">
        <w:t>52–73.</w:t>
      </w:r>
    </w:p>
  </w:footnote>
  <w:footnote w:id="279">
    <w:p w14:paraId="61A78AA0" w14:textId="77777777" w:rsidR="00924664" w:rsidRPr="00A03B67" w:rsidRDefault="00924664" w:rsidP="00924664">
      <w:pPr>
        <w:pStyle w:val="FootnoteText"/>
      </w:pPr>
      <w:r w:rsidRPr="00A03B67">
        <w:rPr>
          <w:rStyle w:val="FootnoteReference"/>
        </w:rPr>
        <w:footnoteRef/>
      </w:r>
      <w:r w:rsidRPr="00A03B67">
        <w:t xml:space="preserve"> W Roche and T Gormley ‘The Durability of Coordinated Bargaining: Crisis, Recovery and Pay Fixing in Ireland’ (2020) 41(2) </w:t>
      </w:r>
      <w:r w:rsidRPr="00A03B67">
        <w:rPr>
          <w:i/>
          <w:iCs/>
        </w:rPr>
        <w:t>Economic and Industrial Democracy</w:t>
      </w:r>
      <w:r w:rsidRPr="00A03B67">
        <w:t xml:space="preserve"> 481</w:t>
      </w:r>
      <w:r w:rsidRPr="00A03B67">
        <w:rPr>
          <w:rFonts w:ascii="Symbol" w:eastAsia="Symbol" w:hAnsi="Symbol" w:cs="Symbol"/>
        </w:rPr>
        <w:t>-</w:t>
      </w:r>
      <w:r w:rsidRPr="00A03B67">
        <w:t>505.</w:t>
      </w:r>
    </w:p>
  </w:footnote>
  <w:footnote w:id="280">
    <w:p w14:paraId="737E0AF1" w14:textId="77777777" w:rsidR="00924664" w:rsidRPr="00A03B67" w:rsidRDefault="00924664" w:rsidP="00924664">
      <w:pPr>
        <w:pStyle w:val="FootnoteText"/>
      </w:pPr>
      <w:r w:rsidRPr="00A03B67">
        <w:rPr>
          <w:rStyle w:val="FootnoteReference"/>
        </w:rPr>
        <w:footnoteRef/>
      </w:r>
      <w:r w:rsidRPr="00A03B67">
        <w:t xml:space="preserve"> M Bray and A Stewart, ‘What is Distinctive about the Fair Work Regime?’ (2013) 26(1) </w:t>
      </w:r>
      <w:r w:rsidRPr="00A03B67">
        <w:rPr>
          <w:i/>
          <w:iCs/>
        </w:rPr>
        <w:t>Australian Journal of Labour Law</w:t>
      </w:r>
      <w:r w:rsidRPr="00A03B67">
        <w:t xml:space="preserve"> 21.</w:t>
      </w:r>
    </w:p>
  </w:footnote>
  <w:footnote w:id="281">
    <w:p w14:paraId="4576B231" w14:textId="0E648A6F" w:rsidR="00924664" w:rsidRPr="00A03B67" w:rsidRDefault="00924664" w:rsidP="00924664">
      <w:pPr>
        <w:pStyle w:val="FootnoteText"/>
      </w:pPr>
      <w:r w:rsidRPr="001E7EB2">
        <w:rPr>
          <w:rStyle w:val="FootnoteReference"/>
        </w:rPr>
        <w:footnoteRef/>
      </w:r>
      <w:r w:rsidRPr="001E7EB2">
        <w:t xml:space="preserve"> </w:t>
      </w:r>
      <w:r>
        <w:t xml:space="preserve">S </w:t>
      </w:r>
      <w:r w:rsidRPr="001E7EB2">
        <w:t>Bell</w:t>
      </w:r>
      <w:r>
        <w:t xml:space="preserve"> and B </w:t>
      </w:r>
      <w:r w:rsidRPr="001E7EB2">
        <w:t xml:space="preserve">Head ‘Australia’s Political Economy: Critical Themes and Issues’ in S Bell </w:t>
      </w:r>
      <w:r w:rsidR="00DA32BE">
        <w:t xml:space="preserve">and </w:t>
      </w:r>
      <w:r w:rsidRPr="001E7EB2">
        <w:t xml:space="preserve">B Head (eds), </w:t>
      </w:r>
      <w:r w:rsidRPr="00BD6157">
        <w:rPr>
          <w:i/>
          <w:iCs/>
        </w:rPr>
        <w:t>State, Economy and Public Policy in Australia</w:t>
      </w:r>
      <w:r w:rsidRPr="001E7EB2">
        <w:t xml:space="preserve"> </w:t>
      </w:r>
      <w:r w:rsidR="00DA32BE">
        <w:t>(</w:t>
      </w:r>
      <w:r w:rsidRPr="001E7EB2">
        <w:t>Oxford University Press</w:t>
      </w:r>
      <w:r w:rsidR="00DA32BE">
        <w:t>,</w:t>
      </w:r>
      <w:r>
        <w:t xml:space="preserve"> </w:t>
      </w:r>
      <w:r w:rsidRPr="001E7EB2">
        <w:t>1994</w:t>
      </w:r>
      <w:r>
        <w:t>)</w:t>
      </w:r>
      <w:r w:rsidR="00DA32BE">
        <w:t xml:space="preserve"> </w:t>
      </w:r>
      <w:r w:rsidRPr="001E7EB2">
        <w:t>1</w:t>
      </w:r>
      <w:r w:rsidR="00DA32BE">
        <w:rPr>
          <w:rFonts w:ascii="Symbol" w:eastAsia="Symbol" w:hAnsi="Symbol" w:cs="Symbol"/>
        </w:rPr>
        <w:t>-</w:t>
      </w:r>
      <w:r w:rsidRPr="001E7EB2">
        <w:t>24.</w:t>
      </w:r>
    </w:p>
  </w:footnote>
  <w:footnote w:id="282">
    <w:p w14:paraId="759ED857" w14:textId="77777777" w:rsidR="00924664" w:rsidRPr="00A03B67" w:rsidRDefault="00924664" w:rsidP="00924664">
      <w:pPr>
        <w:pStyle w:val="FootnoteText"/>
      </w:pPr>
      <w:r w:rsidRPr="00A03B67">
        <w:rPr>
          <w:rStyle w:val="FootnoteReference"/>
        </w:rPr>
        <w:footnoteRef/>
      </w:r>
      <w:r w:rsidRPr="00A03B67">
        <w:t xml:space="preserve"> See e.g. CF Wright and C McLaughlin, ‘Trade Union Legitimacy and Legitimation Politics in Australia and New Zealand’ (2021) 60(3) </w:t>
      </w:r>
      <w:r w:rsidRPr="00A03B67">
        <w:rPr>
          <w:i/>
          <w:iCs/>
        </w:rPr>
        <w:t>Industrial Relations</w:t>
      </w:r>
      <w:r w:rsidRPr="00A03B67">
        <w:t xml:space="preserve"> 338–369.</w:t>
      </w:r>
    </w:p>
  </w:footnote>
  <w:footnote w:id="283">
    <w:p w14:paraId="69DE79F0" w14:textId="23FE8DCF" w:rsidR="00924664" w:rsidRPr="00A03B67" w:rsidRDefault="00924664" w:rsidP="00924664">
      <w:pPr>
        <w:pStyle w:val="FootnoteText"/>
      </w:pPr>
      <w:r w:rsidRPr="00A03B67">
        <w:rPr>
          <w:rStyle w:val="FootnoteReference"/>
        </w:rPr>
        <w:footnoteRef/>
      </w:r>
      <w:r w:rsidRPr="00A03B67">
        <w:t xml:space="preserve"> S McCrystal, ‘Why </w:t>
      </w:r>
      <w:r w:rsidR="00DA32BE">
        <w:t>I</w:t>
      </w:r>
      <w:r w:rsidRPr="00A03B67">
        <w:t xml:space="preserve">s </w:t>
      </w:r>
      <w:r w:rsidR="00DA32BE">
        <w:t>I</w:t>
      </w:r>
      <w:r w:rsidRPr="00A03B67">
        <w:t xml:space="preserve">t So Hard to Take Lawful Strike Action in Australia?’ (2019) 61(1) </w:t>
      </w:r>
      <w:r w:rsidRPr="00A03B67">
        <w:rPr>
          <w:i/>
          <w:iCs/>
        </w:rPr>
        <w:t>Journal of Industrial Relations</w:t>
      </w:r>
      <w:r w:rsidRPr="00A03B67">
        <w:t xml:space="preserve"> 132; see also </w:t>
      </w:r>
      <w:r w:rsidRPr="00A03B67">
        <w:rPr>
          <w:i/>
          <w:iCs/>
        </w:rPr>
        <w:t>Fair Work Act 2009</w:t>
      </w:r>
      <w:r w:rsidRPr="00A03B67">
        <w:t xml:space="preserve"> (Cth) s 409(1).</w:t>
      </w:r>
    </w:p>
  </w:footnote>
  <w:footnote w:id="284">
    <w:p w14:paraId="16F8E19A" w14:textId="77777777" w:rsidR="00924664" w:rsidRPr="00A03B67" w:rsidRDefault="00924664" w:rsidP="00924664">
      <w:pPr>
        <w:pStyle w:val="FootnoteText"/>
      </w:pPr>
      <w:r w:rsidRPr="00A03B67">
        <w:rPr>
          <w:rStyle w:val="FootnoteReference"/>
        </w:rPr>
        <w:footnoteRef/>
      </w:r>
      <w:r w:rsidRPr="00A03B67">
        <w:t xml:space="preserve"> Regulation Impact Statement, </w:t>
      </w:r>
      <w:r w:rsidRPr="00A03B67">
        <w:rPr>
          <w:i/>
          <w:iCs/>
        </w:rPr>
        <w:t>Fair Work Legislation Amendment (Secure Jobs, Better Pay) Act 2022</w:t>
      </w:r>
      <w:r w:rsidRPr="00A03B67">
        <w:t xml:space="preserve"> (Cth), 16.</w:t>
      </w:r>
    </w:p>
  </w:footnote>
  <w:footnote w:id="285">
    <w:p w14:paraId="64F39C9F" w14:textId="30E4ECDF" w:rsidR="00924664" w:rsidRPr="00A03B67" w:rsidRDefault="00924664" w:rsidP="00924664">
      <w:pPr>
        <w:pStyle w:val="FootnoteText"/>
      </w:pPr>
      <w:r w:rsidRPr="00A03B67">
        <w:rPr>
          <w:rStyle w:val="FootnoteReference"/>
        </w:rPr>
        <w:footnoteRef/>
      </w:r>
      <w:r w:rsidRPr="00A03B67">
        <w:t xml:space="preserve"> </w:t>
      </w:r>
      <w:r>
        <w:t xml:space="preserve">F </w:t>
      </w:r>
      <w:r w:rsidRPr="00A03B67">
        <w:t>McDonald</w:t>
      </w:r>
      <w:r>
        <w:t xml:space="preserve">, S </w:t>
      </w:r>
      <w:r w:rsidRPr="00534C9C">
        <w:t>Charlesworth</w:t>
      </w:r>
      <w:r>
        <w:t xml:space="preserve"> and C</w:t>
      </w:r>
      <w:r w:rsidRPr="00534C9C">
        <w:t xml:space="preserve"> Brigden, ‘Access to Collective Bargaining for Low-Paid Workers’ in S McCrystal, B Creighton </w:t>
      </w:r>
      <w:r w:rsidR="00DA32BE">
        <w:t xml:space="preserve">and </w:t>
      </w:r>
      <w:r w:rsidRPr="00534C9C">
        <w:t xml:space="preserve">A Forsyth (eds), </w:t>
      </w:r>
      <w:r w:rsidRPr="00534C9C">
        <w:rPr>
          <w:i/>
          <w:iCs/>
        </w:rPr>
        <w:t>Collective Bargaining under the Fair Work Act</w:t>
      </w:r>
      <w:r w:rsidRPr="00534C9C">
        <w:t xml:space="preserve"> </w:t>
      </w:r>
      <w:r w:rsidR="00DA32BE">
        <w:t>(</w:t>
      </w:r>
      <w:r w:rsidRPr="00534C9C">
        <w:t>Federation Press, 2018) 206</w:t>
      </w:r>
      <w:r w:rsidR="00DA32BE">
        <w:rPr>
          <w:rFonts w:ascii="Symbol" w:eastAsia="Symbol" w:hAnsi="Symbol" w:cs="Symbol"/>
        </w:rPr>
        <w:t>-</w:t>
      </w:r>
      <w:r w:rsidRPr="00534C9C">
        <w:t>227.</w:t>
      </w:r>
    </w:p>
  </w:footnote>
  <w:footnote w:id="286">
    <w:p w14:paraId="70CC6B22" w14:textId="07E40D77" w:rsidR="00924664" w:rsidRPr="00A03B67" w:rsidRDefault="00924664" w:rsidP="00924664">
      <w:pPr>
        <w:pStyle w:val="FootnoteText"/>
      </w:pPr>
      <w:r w:rsidRPr="00A03B67">
        <w:rPr>
          <w:rStyle w:val="FootnoteReference"/>
        </w:rPr>
        <w:footnoteRef/>
      </w:r>
      <w:r w:rsidRPr="00A03B67">
        <w:t xml:space="preserve"> </w:t>
      </w:r>
      <w:r>
        <w:t xml:space="preserve">S </w:t>
      </w:r>
      <w:r w:rsidRPr="00B13A03">
        <w:t>McCrystal</w:t>
      </w:r>
      <w:r w:rsidR="00DA32BE">
        <w:t>,</w:t>
      </w:r>
      <w:r w:rsidRPr="00B13A03">
        <w:t xml:space="preserve"> ‘Avoiding </w:t>
      </w:r>
      <w:r w:rsidR="00DA32BE">
        <w:t>C</w:t>
      </w:r>
      <w:r w:rsidRPr="00B13A03">
        <w:t xml:space="preserve">ollective </w:t>
      </w:r>
      <w:r w:rsidR="00DA32BE">
        <w:t>B</w:t>
      </w:r>
      <w:r w:rsidRPr="00B13A03">
        <w:t xml:space="preserve">argaining under the </w:t>
      </w:r>
      <w:r w:rsidRPr="00A305A7">
        <w:rPr>
          <w:i/>
        </w:rPr>
        <w:t>Fair Work Act 2009</w:t>
      </w:r>
      <w:r w:rsidRPr="00B13A03">
        <w:t xml:space="preserve"> (Cth): </w:t>
      </w:r>
      <w:r w:rsidR="00DA32BE">
        <w:t>M</w:t>
      </w:r>
      <w:r w:rsidRPr="00B13A03">
        <w:t xml:space="preserve">aking </w:t>
      </w:r>
      <w:r w:rsidR="00DA32BE">
        <w:t>C</w:t>
      </w:r>
      <w:r w:rsidRPr="00B13A03">
        <w:t xml:space="preserve">ollective </w:t>
      </w:r>
      <w:r w:rsidR="00DA32BE">
        <w:t>A</w:t>
      </w:r>
      <w:r w:rsidRPr="00B13A03">
        <w:t xml:space="preserve">greements </w:t>
      </w:r>
      <w:r w:rsidR="00DA32BE">
        <w:t>W</w:t>
      </w:r>
      <w:r w:rsidRPr="00B13A03">
        <w:t xml:space="preserve">ithout </w:t>
      </w:r>
      <w:r w:rsidR="00DA32BE">
        <w:t>U</w:t>
      </w:r>
      <w:r w:rsidRPr="00B13A03">
        <w:t xml:space="preserve">nions and the </w:t>
      </w:r>
      <w:r w:rsidR="00DA32BE">
        <w:t>I</w:t>
      </w:r>
      <w:r w:rsidRPr="00B13A03">
        <w:t xml:space="preserve">mpact of </w:t>
      </w:r>
      <w:r w:rsidR="00DA32BE">
        <w:t>R</w:t>
      </w:r>
      <w:r w:rsidRPr="00B13A03">
        <w:t>ecent</w:t>
      </w:r>
      <w:r>
        <w:t xml:space="preserve"> </w:t>
      </w:r>
      <w:r w:rsidRPr="00B13A03">
        <w:t>Reforms’</w:t>
      </w:r>
      <w:r>
        <w:t xml:space="preserve"> </w:t>
      </w:r>
      <w:r w:rsidRPr="00B13A03">
        <w:t xml:space="preserve">(2024) </w:t>
      </w:r>
      <w:r w:rsidRPr="00B13A03">
        <w:rPr>
          <w:i/>
          <w:iCs/>
        </w:rPr>
        <w:t>Labour and Industry</w:t>
      </w:r>
      <w:r w:rsidRPr="00B13A03">
        <w:t xml:space="preserve">, </w:t>
      </w:r>
      <w:r>
        <w:t>4 &lt;</w:t>
      </w:r>
      <w:r w:rsidRPr="00B13A03">
        <w:t>DOI: 10.1080/10301763.2024.2439108</w:t>
      </w:r>
      <w:r>
        <w:t>&gt;.</w:t>
      </w:r>
    </w:p>
  </w:footnote>
  <w:footnote w:id="287">
    <w:p w14:paraId="6D36DC5A" w14:textId="52E53352" w:rsidR="00924664" w:rsidRPr="00A03B67" w:rsidRDefault="00924664" w:rsidP="00924664">
      <w:pPr>
        <w:pStyle w:val="FootnoteText"/>
      </w:pPr>
      <w:r w:rsidRPr="00A03B67">
        <w:rPr>
          <w:rStyle w:val="FootnoteReference"/>
        </w:rPr>
        <w:footnoteRef/>
      </w:r>
      <w:r w:rsidRPr="00A03B67">
        <w:t xml:space="preserve"> K Grace Kelly, ‘The IR System Isn’t Broken, So it Doesn’t Need to be “Fixed”’, </w:t>
      </w:r>
      <w:r w:rsidRPr="00A03B67">
        <w:rPr>
          <w:i/>
          <w:iCs/>
        </w:rPr>
        <w:t>The Australian</w:t>
      </w:r>
      <w:r w:rsidRPr="00A03B67">
        <w:t>, 13</w:t>
      </w:r>
      <w:r w:rsidRPr="00A03B67">
        <w:rPr>
          <w:rFonts w:ascii="Symbol" w:eastAsia="Symbol" w:hAnsi="Symbol" w:cs="Symbol"/>
        </w:rPr>
        <w:t>-</w:t>
      </w:r>
      <w:r w:rsidRPr="00A03B67">
        <w:t xml:space="preserve">14 July </w:t>
      </w:r>
      <w:r w:rsidR="00DA32BE">
        <w:t>20</w:t>
      </w:r>
      <w:r w:rsidRPr="00A03B67">
        <w:t>22.</w:t>
      </w:r>
    </w:p>
  </w:footnote>
  <w:footnote w:id="288">
    <w:p w14:paraId="6CB06333" w14:textId="77777777" w:rsidR="00924664" w:rsidRPr="00A03B67" w:rsidRDefault="00924664" w:rsidP="00924664">
      <w:pPr>
        <w:pStyle w:val="FootnoteText"/>
      </w:pPr>
      <w:r w:rsidRPr="00A03B67">
        <w:rPr>
          <w:rStyle w:val="FootnoteReference"/>
        </w:rPr>
        <w:footnoteRef/>
      </w:r>
      <w:r w:rsidRPr="00A03B67">
        <w:t xml:space="preserve"> A Forsyth, ‘Ten Years of the Fair Work Act: (More) Testing Times for Australia’s Unions’ (2020) 33(1) </w:t>
      </w:r>
      <w:r w:rsidRPr="00A03B67">
        <w:rPr>
          <w:i/>
          <w:iCs/>
        </w:rPr>
        <w:t xml:space="preserve">Australian Journal of Labour Law </w:t>
      </w:r>
      <w:r w:rsidRPr="00A03B67">
        <w:t>122</w:t>
      </w:r>
      <w:r w:rsidRPr="00A03B67">
        <w:rPr>
          <w:rFonts w:ascii="Symbol" w:eastAsia="Symbol" w:hAnsi="Symbol" w:cs="Symbol"/>
        </w:rPr>
        <w:t>-</w:t>
      </w:r>
      <w:r w:rsidRPr="00A03B67">
        <w:t>138.</w:t>
      </w:r>
    </w:p>
  </w:footnote>
  <w:footnote w:id="289">
    <w:p w14:paraId="45DA9B21" w14:textId="2BA59AF5" w:rsidR="00924664" w:rsidRPr="00A03B67" w:rsidRDefault="00924664" w:rsidP="00924664">
      <w:pPr>
        <w:pStyle w:val="FootnoteText"/>
      </w:pPr>
      <w:r w:rsidRPr="00A03B67">
        <w:rPr>
          <w:rStyle w:val="FootnoteReference"/>
        </w:rPr>
        <w:footnoteRef/>
      </w:r>
      <w:r w:rsidRPr="00A03B67">
        <w:t xml:space="preserve"> </w:t>
      </w:r>
      <w:r w:rsidRPr="00C07DFE">
        <w:t xml:space="preserve">M Bray, J Macneil </w:t>
      </w:r>
      <w:r>
        <w:t>and</w:t>
      </w:r>
      <w:r w:rsidRPr="00C07DFE">
        <w:t xml:space="preserve"> L Spiess</w:t>
      </w:r>
      <w:r w:rsidR="00DA32BE">
        <w:t>,</w:t>
      </w:r>
      <w:r w:rsidRPr="00C07DFE">
        <w:t xml:space="preserve"> ‘Annual Review of Unions and Collective Bargaining 2018’ (2019)</w:t>
      </w:r>
      <w:r>
        <w:t xml:space="preserve"> 61(3) </w:t>
      </w:r>
      <w:r w:rsidRPr="00C07DFE">
        <w:rPr>
          <w:i/>
          <w:iCs/>
        </w:rPr>
        <w:t>Journal of Industrial Relations</w:t>
      </w:r>
      <w:r w:rsidRPr="00C07DFE">
        <w:t>, 357</w:t>
      </w:r>
      <w:r w:rsidR="00DA32BE">
        <w:rPr>
          <w:rFonts w:ascii="Symbol" w:eastAsia="Symbol" w:hAnsi="Symbol" w:cs="Symbol"/>
        </w:rPr>
        <w:t>-</w:t>
      </w:r>
      <w:r w:rsidR="00DA32BE">
        <w:t>3</w:t>
      </w:r>
      <w:r w:rsidRPr="00C07DFE">
        <w:t xml:space="preserve">81; J Macneil, M Bray </w:t>
      </w:r>
      <w:r>
        <w:t xml:space="preserve">and </w:t>
      </w:r>
      <w:r w:rsidRPr="00C07DFE">
        <w:t>L Spiess</w:t>
      </w:r>
      <w:r w:rsidR="00DA32BE">
        <w:t>,</w:t>
      </w:r>
      <w:r w:rsidRPr="00C07DFE">
        <w:t xml:space="preserve"> ‘Unions and Collective Bargaining in 2019’</w:t>
      </w:r>
      <w:r>
        <w:t xml:space="preserve"> </w:t>
      </w:r>
      <w:r w:rsidRPr="00C07DFE">
        <w:t xml:space="preserve">(2020) </w:t>
      </w:r>
      <w:r>
        <w:t>62(3)</w:t>
      </w:r>
      <w:r w:rsidRPr="00C07DFE">
        <w:t xml:space="preserve"> </w:t>
      </w:r>
      <w:r w:rsidRPr="00C07DFE">
        <w:rPr>
          <w:i/>
          <w:iCs/>
        </w:rPr>
        <w:t>Journal of Industrial Relations</w:t>
      </w:r>
      <w:r w:rsidRPr="00C07DFE">
        <w:t xml:space="preserve"> 380–402.</w:t>
      </w:r>
    </w:p>
  </w:footnote>
  <w:footnote w:id="290">
    <w:p w14:paraId="6E7E27B6" w14:textId="289C7319" w:rsidR="00924664" w:rsidRPr="00AD3474" w:rsidRDefault="00924664" w:rsidP="00924664">
      <w:pPr>
        <w:spacing w:after="0"/>
        <w:rPr>
          <w:b/>
          <w:sz w:val="18"/>
          <w:szCs w:val="20"/>
        </w:rPr>
      </w:pPr>
      <w:r w:rsidRPr="00A03B67">
        <w:rPr>
          <w:rStyle w:val="FootnoteReference"/>
        </w:rPr>
        <w:footnoteRef/>
      </w:r>
      <w:r w:rsidRPr="00A03B67">
        <w:t xml:space="preserve"> </w:t>
      </w:r>
      <w:r w:rsidRPr="00A03B67">
        <w:rPr>
          <w:sz w:val="18"/>
          <w:szCs w:val="20"/>
        </w:rPr>
        <w:t xml:space="preserve">The comparison of collective agreement making and its outcomes between Australia’s highly decentralised bargaining system and the many other countries with more centralised systems is, of course, complicated. The point at present is that multi-employer bargaining is not uncommon in other countries and it often leads to better (rather than worse) performance outcomes: see e.g. </w:t>
      </w:r>
      <w:r w:rsidR="00AD3474" w:rsidRPr="00AD3474">
        <w:rPr>
          <w:sz w:val="18"/>
          <w:szCs w:val="20"/>
        </w:rPr>
        <w:t xml:space="preserve">D Grimshaw, B Brandl, F Bertranou and S Gontero, ‘Tracing the Potential Benefits and Complex Contingencies of Multilevel Collective Bargaining’ (2024) 163(4) </w:t>
      </w:r>
      <w:r w:rsidR="00AD3474" w:rsidRPr="00AD3474">
        <w:rPr>
          <w:i/>
          <w:iCs/>
          <w:sz w:val="18"/>
          <w:szCs w:val="20"/>
        </w:rPr>
        <w:t>International Labour Review</w:t>
      </w:r>
      <w:r w:rsidR="00AD3474" w:rsidRPr="00AD3474">
        <w:rPr>
          <w:sz w:val="18"/>
          <w:szCs w:val="20"/>
        </w:rPr>
        <w:t xml:space="preserve"> 657-675.</w:t>
      </w:r>
    </w:p>
  </w:footnote>
  <w:footnote w:id="291">
    <w:p w14:paraId="702146AB" w14:textId="668741DB" w:rsidR="00924664" w:rsidRPr="00A03B67" w:rsidRDefault="00924664" w:rsidP="00924664">
      <w:pPr>
        <w:pStyle w:val="FootnoteText"/>
      </w:pPr>
      <w:r w:rsidRPr="00A03B67">
        <w:rPr>
          <w:rStyle w:val="FootnoteReference"/>
        </w:rPr>
        <w:footnoteRef/>
      </w:r>
      <w:r w:rsidRPr="00A03B67">
        <w:t xml:space="preserve"> </w:t>
      </w:r>
      <w:r w:rsidRPr="00B94F62">
        <w:t>OECD</w:t>
      </w:r>
      <w:r w:rsidR="00DA32BE">
        <w:t>,</w:t>
      </w:r>
      <w:r w:rsidRPr="00B94F62">
        <w:t xml:space="preserve"> </w:t>
      </w:r>
      <w:r w:rsidRPr="00B94F62">
        <w:rPr>
          <w:i/>
          <w:iCs/>
        </w:rPr>
        <w:t xml:space="preserve">Negotiating </w:t>
      </w:r>
      <w:r w:rsidR="00DA32BE">
        <w:rPr>
          <w:i/>
          <w:iCs/>
        </w:rPr>
        <w:t>O</w:t>
      </w:r>
      <w:r w:rsidRPr="00B94F62">
        <w:rPr>
          <w:i/>
          <w:iCs/>
        </w:rPr>
        <w:t>ur Way Up: Collective Bargaining in a Changing World of Work</w:t>
      </w:r>
      <w:r w:rsidRPr="00B94F62">
        <w:t xml:space="preserve"> </w:t>
      </w:r>
      <w:r w:rsidR="00DA32BE">
        <w:t>(</w:t>
      </w:r>
      <w:r w:rsidRPr="00B94F62">
        <w:t>OECD</w:t>
      </w:r>
      <w:r w:rsidR="00DA32BE">
        <w:t>,</w:t>
      </w:r>
      <w:r>
        <w:t xml:space="preserve"> 2019)</w:t>
      </w:r>
      <w:r w:rsidRPr="00B94F62">
        <w:t xml:space="preserve">; </w:t>
      </w:r>
      <w:r>
        <w:t xml:space="preserve">G </w:t>
      </w:r>
      <w:r w:rsidRPr="00B94F62">
        <w:t>Hutchens</w:t>
      </w:r>
      <w:r w:rsidR="00DA32BE">
        <w:t>,</w:t>
      </w:r>
      <w:r>
        <w:t xml:space="preserve"> </w:t>
      </w:r>
      <w:r w:rsidRPr="00B94F62">
        <w:t xml:space="preserve">‘The </w:t>
      </w:r>
      <w:r w:rsidR="00DA32BE">
        <w:t>W</w:t>
      </w:r>
      <w:r w:rsidRPr="00B94F62">
        <w:t xml:space="preserve">orld is </w:t>
      </w:r>
      <w:r w:rsidR="00DA32BE">
        <w:t>S</w:t>
      </w:r>
      <w:r w:rsidRPr="00B94F62">
        <w:t xml:space="preserve">hifting to </w:t>
      </w:r>
      <w:r w:rsidR="00DA32BE">
        <w:t>M</w:t>
      </w:r>
      <w:r w:rsidRPr="00B94F62">
        <w:t xml:space="preserve">ulti-employer </w:t>
      </w:r>
      <w:r w:rsidR="00DA32BE">
        <w:t>B</w:t>
      </w:r>
      <w:r w:rsidRPr="00B94F62">
        <w:t xml:space="preserve">argaining. Will Australia </w:t>
      </w:r>
      <w:r w:rsidR="00DA32BE">
        <w:t>F</w:t>
      </w:r>
      <w:r w:rsidRPr="00B94F62">
        <w:t xml:space="preserve">ail to </w:t>
      </w:r>
      <w:r w:rsidR="00DA32BE">
        <w:t>F</w:t>
      </w:r>
      <w:r w:rsidRPr="00B94F62">
        <w:t>ollow?’</w:t>
      </w:r>
      <w:r w:rsidRPr="00B94F62" w:rsidDel="00DA32BE">
        <w:t>,</w:t>
      </w:r>
      <w:r w:rsidRPr="00B94F62">
        <w:t xml:space="preserve"> </w:t>
      </w:r>
      <w:r w:rsidRPr="006D706A">
        <w:rPr>
          <w:i/>
        </w:rPr>
        <w:t>ABC News</w:t>
      </w:r>
      <w:r w:rsidRPr="00B94F62">
        <w:t xml:space="preserve"> </w:t>
      </w:r>
      <w:r w:rsidR="00DA32BE">
        <w:t xml:space="preserve">(online, </w:t>
      </w:r>
      <w:r w:rsidRPr="00B94F62">
        <w:t>13 November</w:t>
      </w:r>
      <w:r>
        <w:t xml:space="preserve"> 2022</w:t>
      </w:r>
      <w:r w:rsidR="00DA32BE">
        <w:t>) &lt;</w:t>
      </w:r>
      <w:r w:rsidRPr="00D55035">
        <w:t>www.abc.net.au/news/world-is-shifting-to-multi-employer-bargaining-will-australia/101646706</w:t>
      </w:r>
      <w:r w:rsidR="00DA32BE">
        <w:t>&gt;</w:t>
      </w:r>
      <w:r w:rsidRPr="00B94F62">
        <w:t>.</w:t>
      </w:r>
    </w:p>
  </w:footnote>
  <w:footnote w:id="292">
    <w:p w14:paraId="47A1046F" w14:textId="77777777" w:rsidR="00924664" w:rsidRPr="00A03B67" w:rsidRDefault="00924664" w:rsidP="00924664">
      <w:pPr>
        <w:pStyle w:val="FootnoteText"/>
      </w:pPr>
      <w:r w:rsidRPr="00A03B67">
        <w:rPr>
          <w:rStyle w:val="FootnoteReference"/>
        </w:rPr>
        <w:footnoteRef/>
      </w:r>
      <w:r w:rsidRPr="00A03B67">
        <w:t xml:space="preserve"> See e.g. R Cooper and B Ellem, ‘“Less Than Zero”: Union Recognition and Bargaining Rights in Australia 1996–2007’ (2011) 52(1) </w:t>
      </w:r>
      <w:r w:rsidRPr="00A03B67">
        <w:rPr>
          <w:i/>
          <w:iCs/>
        </w:rPr>
        <w:t>Labour History</w:t>
      </w:r>
      <w:r w:rsidRPr="00A03B67">
        <w:t xml:space="preserve"> 49</w:t>
      </w:r>
      <w:r w:rsidRPr="00A03B67">
        <w:rPr>
          <w:rFonts w:ascii="Symbol" w:eastAsia="Symbol" w:hAnsi="Symbol" w:cs="Symbol"/>
        </w:rPr>
        <w:t>-</w:t>
      </w:r>
      <w:r w:rsidRPr="00A03B67">
        <w:t>69.</w:t>
      </w:r>
    </w:p>
  </w:footnote>
  <w:footnote w:id="293">
    <w:p w14:paraId="0733E8F9" w14:textId="77777777" w:rsidR="00924664" w:rsidRPr="00A03B67" w:rsidRDefault="00924664" w:rsidP="00924664">
      <w:pPr>
        <w:pStyle w:val="FootnoteText"/>
      </w:pPr>
      <w:r w:rsidRPr="00A03B67">
        <w:rPr>
          <w:rStyle w:val="FootnoteReference"/>
        </w:rPr>
        <w:footnoteRef/>
      </w:r>
      <w:r w:rsidRPr="00A03B67">
        <w:t xml:space="preserve"> A Forsyth, J Howe, P Gahan and I Landau, ‘Establishing the Right to Bargain Collectively in Australia and the UK: Are Majority Support Determinations under Australia’s Fair Work Act a More Effective Form of Union Recognition?’ (2017) 46(3) </w:t>
      </w:r>
      <w:r w:rsidRPr="00A03B67">
        <w:rPr>
          <w:i/>
          <w:iCs/>
        </w:rPr>
        <w:t>Industrial Law Journal</w:t>
      </w:r>
      <w:r w:rsidRPr="00A03B67">
        <w:t xml:space="preserve"> 335</w:t>
      </w:r>
      <w:r w:rsidRPr="00A03B67">
        <w:rPr>
          <w:rFonts w:ascii="Symbol" w:eastAsia="Symbol" w:hAnsi="Symbol" w:cs="Symbol"/>
        </w:rPr>
        <w:t>-</w:t>
      </w:r>
      <w:r w:rsidRPr="00A03B67">
        <w:t>365.</w:t>
      </w:r>
    </w:p>
  </w:footnote>
  <w:footnote w:id="294">
    <w:p w14:paraId="6D7D5958" w14:textId="77777777" w:rsidR="00924664" w:rsidRPr="00A03B67" w:rsidRDefault="00924664" w:rsidP="00924664">
      <w:pPr>
        <w:pStyle w:val="FootnoteText"/>
      </w:pPr>
      <w:r w:rsidRPr="00A03B67">
        <w:rPr>
          <w:rStyle w:val="FootnoteReference"/>
        </w:rPr>
        <w:footnoteRef/>
      </w:r>
      <w:r w:rsidRPr="00A03B67">
        <w:t xml:space="preserve"> R Read, ‘The Role of Trade Unions and Individual Bargaining Representatives: Who Pays for the Work of Bargaining?’ in S McCrystal et al. (eds), </w:t>
      </w:r>
      <w:r w:rsidRPr="00A03B67">
        <w:rPr>
          <w:i/>
          <w:iCs/>
        </w:rPr>
        <w:t>Collective Bargaining under the Fair Work Act</w:t>
      </w:r>
      <w:r w:rsidRPr="00A03B67">
        <w:t xml:space="preserve"> (Federation Press, 2018) 69</w:t>
      </w:r>
      <w:r w:rsidRPr="00A03B67">
        <w:rPr>
          <w:rFonts w:ascii="Symbol" w:eastAsia="Symbol" w:hAnsi="Symbol" w:cs="Symbol"/>
        </w:rPr>
        <w:t>-</w:t>
      </w:r>
      <w:r w:rsidRPr="00A03B67">
        <w:t xml:space="preserve">92; K Walpole, ‘The Fair Work Act: Encouraging Collective Agreement-making But Leaving Collective Bargaining to Choice’ (2015) 25(3) </w:t>
      </w:r>
      <w:r w:rsidRPr="00A03B67">
        <w:rPr>
          <w:i/>
          <w:iCs/>
        </w:rPr>
        <w:t>Labour and Industry</w:t>
      </w:r>
      <w:r w:rsidRPr="00A03B67">
        <w:t xml:space="preserve"> 205</w:t>
      </w:r>
      <w:r w:rsidRPr="00A03B67">
        <w:rPr>
          <w:rFonts w:ascii="Symbol" w:eastAsia="Symbol" w:hAnsi="Symbol" w:cs="Symbol"/>
        </w:rPr>
        <w:t>-</w:t>
      </w:r>
      <w:r w:rsidRPr="00A03B67">
        <w:t>218.</w:t>
      </w:r>
    </w:p>
  </w:footnote>
  <w:footnote w:id="295">
    <w:p w14:paraId="7CD96A58" w14:textId="77777777" w:rsidR="00924664" w:rsidRPr="00A03B67" w:rsidRDefault="00924664" w:rsidP="00924664">
      <w:pPr>
        <w:pStyle w:val="FootnoteText"/>
      </w:pPr>
      <w:r w:rsidRPr="00A03B67">
        <w:rPr>
          <w:rStyle w:val="FootnoteReference"/>
        </w:rPr>
        <w:footnoteRef/>
      </w:r>
      <w:r w:rsidRPr="00A03B67">
        <w:t xml:space="preserve"> S McCrystal and M Bray, ‘Non-Union Agreement-Making in Australia in Comparative and Historical Context’ (2021) 41(3) </w:t>
      </w:r>
      <w:r w:rsidRPr="00A03B67">
        <w:rPr>
          <w:i/>
          <w:iCs/>
        </w:rPr>
        <w:t>Comparative Labor Law and Policy Journal</w:t>
      </w:r>
      <w:r w:rsidRPr="00A03B67">
        <w:t xml:space="preserve"> 753</w:t>
      </w:r>
      <w:r w:rsidRPr="00A03B67">
        <w:rPr>
          <w:rFonts w:ascii="Symbol" w:eastAsia="Symbol" w:hAnsi="Symbol" w:cs="Symbol"/>
        </w:rPr>
        <w:t>-</w:t>
      </w:r>
      <w:r w:rsidRPr="00A03B67">
        <w:t>788.</w:t>
      </w:r>
    </w:p>
  </w:footnote>
  <w:footnote w:id="296">
    <w:p w14:paraId="3BD1A908"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 xml:space="preserve">Fair Work Act 2009 </w:t>
      </w:r>
      <w:r w:rsidRPr="00A03B67">
        <w:t>(Cth) ss172(2) and 172(3).</w:t>
      </w:r>
    </w:p>
  </w:footnote>
  <w:footnote w:id="297">
    <w:p w14:paraId="754E6382" w14:textId="1F4BA167" w:rsidR="00924664" w:rsidRPr="00A03B67" w:rsidRDefault="00924664" w:rsidP="00924664">
      <w:pPr>
        <w:pStyle w:val="FootnoteText"/>
      </w:pPr>
      <w:r w:rsidRPr="00A03B67">
        <w:rPr>
          <w:rStyle w:val="FootnoteReference"/>
        </w:rPr>
        <w:footnoteRef/>
      </w:r>
      <w:r w:rsidRPr="00A03B67">
        <w:t xml:space="preserve"> M Bray and J Macneil, ‘Still Central: Change and Continuity in Australia’s Major Industrial Tribunal’ (2023) 54(4</w:t>
      </w:r>
      <w:r w:rsidRPr="00A03B67">
        <w:rPr>
          <w:rFonts w:ascii="Symbol" w:eastAsia="Symbol" w:hAnsi="Symbol" w:cs="Symbol"/>
        </w:rPr>
        <w:t>-</w:t>
      </w:r>
      <w:r w:rsidRPr="00A03B67">
        <w:t xml:space="preserve">5) </w:t>
      </w:r>
      <w:r w:rsidRPr="00A03B67">
        <w:rPr>
          <w:i/>
          <w:iCs/>
        </w:rPr>
        <w:t>Industrial Relations Journal</w:t>
      </w:r>
      <w:r w:rsidRPr="00A03B67">
        <w:t xml:space="preserve"> 359</w:t>
      </w:r>
      <w:r w:rsidRPr="00A03B67">
        <w:rPr>
          <w:rFonts w:ascii="Symbol" w:eastAsia="Symbol" w:hAnsi="Symbol" w:cs="Symbol"/>
        </w:rPr>
        <w:t>-</w:t>
      </w:r>
      <w:r w:rsidRPr="00A03B67">
        <w:t>376.</w:t>
      </w:r>
    </w:p>
  </w:footnote>
  <w:footnote w:id="298">
    <w:p w14:paraId="5B4C56A1" w14:textId="77777777" w:rsidR="00924664" w:rsidRPr="00A03B67" w:rsidRDefault="00924664" w:rsidP="00924664">
      <w:pPr>
        <w:pStyle w:val="FootnoteText"/>
      </w:pPr>
      <w:r w:rsidRPr="00DA32BE">
        <w:rPr>
          <w:rStyle w:val="FootnoteReference"/>
        </w:rPr>
        <w:footnoteRef/>
      </w:r>
      <w:r w:rsidRPr="00DA32BE">
        <w:t xml:space="preserve"> S McCrystal, ‘Why Is It</w:t>
      </w:r>
      <w:r w:rsidRPr="00A03B67">
        <w:t xml:space="preserve"> So Hard to Take Lawful Strike Action in Australia?’ (2019) 61(1) </w:t>
      </w:r>
      <w:r w:rsidRPr="00A03B67">
        <w:rPr>
          <w:i/>
          <w:iCs/>
        </w:rPr>
        <w:t>Journal of Industrial Relations</w:t>
      </w:r>
      <w:r w:rsidRPr="00A03B67">
        <w:t xml:space="preserve"> 129</w:t>
      </w:r>
      <w:r w:rsidRPr="00A03B67">
        <w:rPr>
          <w:rFonts w:ascii="Symbol" w:eastAsia="Symbol" w:hAnsi="Symbol" w:cs="Symbol"/>
        </w:rPr>
        <w:t>-</w:t>
      </w:r>
      <w:r w:rsidRPr="00A03B67">
        <w:t>144.</w:t>
      </w:r>
    </w:p>
  </w:footnote>
  <w:footnote w:id="299">
    <w:p w14:paraId="1AA4479E" w14:textId="734B2DB2" w:rsidR="00924664" w:rsidRPr="00A03B67" w:rsidRDefault="00924664" w:rsidP="00924664">
      <w:pPr>
        <w:pStyle w:val="FootnoteText"/>
      </w:pPr>
      <w:r w:rsidRPr="00A03B67">
        <w:rPr>
          <w:rStyle w:val="FootnoteReference"/>
        </w:rPr>
        <w:footnoteRef/>
      </w:r>
      <w:r w:rsidRPr="00A03B67">
        <w:t xml:space="preserve"> M Bray and J Macneil, ‘Still Central: Change and Continuity in Australia’s Major Industrial Tribunal’ (2023) 54(4</w:t>
      </w:r>
      <w:r w:rsidRPr="00A03B67">
        <w:rPr>
          <w:rFonts w:ascii="Symbol" w:eastAsia="Symbol" w:hAnsi="Symbol" w:cs="Symbol"/>
        </w:rPr>
        <w:t>-</w:t>
      </w:r>
      <w:r w:rsidRPr="00A03B67">
        <w:t xml:space="preserve">5) </w:t>
      </w:r>
      <w:r w:rsidRPr="00A03B67">
        <w:rPr>
          <w:i/>
          <w:iCs/>
        </w:rPr>
        <w:t>Industrial Relations Journal</w:t>
      </w:r>
      <w:r w:rsidRPr="00A03B67">
        <w:t xml:space="preserve"> 359</w:t>
      </w:r>
      <w:r w:rsidRPr="00A03B67">
        <w:rPr>
          <w:rFonts w:ascii="Symbol" w:eastAsia="Symbol" w:hAnsi="Symbol" w:cs="Symbol"/>
        </w:rPr>
        <w:t>-</w:t>
      </w:r>
      <w:r w:rsidRPr="00A03B67">
        <w:t>376.</w:t>
      </w:r>
    </w:p>
  </w:footnote>
  <w:footnote w:id="300">
    <w:p w14:paraId="2B5C25CE" w14:textId="6B326CC6" w:rsidR="00924664" w:rsidRPr="00A03B67" w:rsidRDefault="00924664" w:rsidP="00924664">
      <w:pPr>
        <w:pStyle w:val="FootnoteText"/>
      </w:pPr>
      <w:r w:rsidRPr="00A03B67">
        <w:rPr>
          <w:rStyle w:val="FootnoteReference"/>
        </w:rPr>
        <w:footnoteRef/>
      </w:r>
      <w:r w:rsidRPr="00A03B67">
        <w:t xml:space="preserve"> See e.g. M Bray and J Macneil, ‘Still Central: Change and Continuity in Australia’s Major Industrial Tribunal’ (2023) 54(4</w:t>
      </w:r>
      <w:r w:rsidRPr="00A03B67">
        <w:rPr>
          <w:rFonts w:ascii="Symbol" w:eastAsia="Symbol" w:hAnsi="Symbol" w:cs="Symbol"/>
        </w:rPr>
        <w:t>-</w:t>
      </w:r>
      <w:r w:rsidRPr="00A03B67">
        <w:t xml:space="preserve">5) </w:t>
      </w:r>
      <w:r w:rsidRPr="00A03B67">
        <w:rPr>
          <w:i/>
          <w:iCs/>
        </w:rPr>
        <w:t>Industrial Relations Journal</w:t>
      </w:r>
      <w:r w:rsidRPr="00A03B67">
        <w:t xml:space="preserve"> 359</w:t>
      </w:r>
      <w:r w:rsidRPr="00A03B67">
        <w:rPr>
          <w:rFonts w:ascii="Symbol" w:eastAsia="Symbol" w:hAnsi="Symbol" w:cs="Symbol"/>
        </w:rPr>
        <w:t>-</w:t>
      </w:r>
      <w:r w:rsidRPr="00A03B67">
        <w:t>376</w:t>
      </w:r>
      <w:r w:rsidR="0015418D">
        <w:t>.</w:t>
      </w:r>
    </w:p>
  </w:footnote>
  <w:footnote w:id="301">
    <w:p w14:paraId="09232C87" w14:textId="77777777" w:rsidR="00924664" w:rsidRPr="00A03B67" w:rsidRDefault="00924664" w:rsidP="00924664">
      <w:pPr>
        <w:pStyle w:val="FootnoteText"/>
      </w:pPr>
      <w:r w:rsidRPr="00A03B67">
        <w:rPr>
          <w:rStyle w:val="FootnoteReference"/>
        </w:rPr>
        <w:footnoteRef/>
      </w:r>
      <w:r w:rsidRPr="00A03B67">
        <w:t xml:space="preserve"> M Bray and J Macneil, ‘Reforming Collective Bargaining’ in K Hancock and R Lansbury (eds), </w:t>
      </w:r>
      <w:r w:rsidRPr="00A03B67">
        <w:rPr>
          <w:i/>
          <w:iCs/>
        </w:rPr>
        <w:t>Industrial Relations Reform: Looking to the Future</w:t>
      </w:r>
      <w:r w:rsidRPr="00A03B67">
        <w:t xml:space="preserve"> (Federation Press, 2016) 108</w:t>
      </w:r>
      <w:r w:rsidRPr="00A03B67">
        <w:rPr>
          <w:rFonts w:ascii="Symbol" w:eastAsia="Symbol" w:hAnsi="Symbol" w:cs="Symbol"/>
        </w:rPr>
        <w:t>-</w:t>
      </w:r>
      <w:r w:rsidRPr="00A03B67">
        <w:t>110.</w:t>
      </w:r>
    </w:p>
  </w:footnote>
  <w:footnote w:id="302">
    <w:p w14:paraId="256FDE9B" w14:textId="77777777" w:rsidR="00924664" w:rsidRPr="00A03B67" w:rsidRDefault="00924664" w:rsidP="00924664">
      <w:pPr>
        <w:pStyle w:val="FootnoteText"/>
      </w:pPr>
      <w:r w:rsidRPr="00A03B67">
        <w:rPr>
          <w:rStyle w:val="FootnoteReference"/>
        </w:rPr>
        <w:footnoteRef/>
      </w:r>
      <w:r w:rsidRPr="00A03B67">
        <w:t xml:space="preserve"> M Bray and J Macneil, ‘Reforming Collective Bargaining’ in K Hancock and R Lansbury (eds), </w:t>
      </w:r>
      <w:r w:rsidRPr="00A03B67">
        <w:rPr>
          <w:i/>
          <w:iCs/>
        </w:rPr>
        <w:t>Industrial Relations Reform: Looking to the Future</w:t>
      </w:r>
      <w:r w:rsidRPr="00A03B67">
        <w:t xml:space="preserve"> (Federation Press, 2016) 111</w:t>
      </w:r>
      <w:r w:rsidRPr="00A03B67">
        <w:rPr>
          <w:rFonts w:ascii="Symbol" w:eastAsia="Symbol" w:hAnsi="Symbol" w:cs="Symbol"/>
        </w:rPr>
        <w:t>-</w:t>
      </w:r>
      <w:r w:rsidRPr="00A03B67">
        <w:t>112.</w:t>
      </w:r>
    </w:p>
  </w:footnote>
  <w:footnote w:id="303">
    <w:p w14:paraId="4FBBB68D" w14:textId="3F842904" w:rsidR="00924664" w:rsidRPr="00A03B67" w:rsidRDefault="00924664" w:rsidP="00924664">
      <w:pPr>
        <w:pStyle w:val="FootnoteText"/>
        <w:rPr>
          <w:lang w:val="en-US"/>
        </w:rPr>
      </w:pPr>
      <w:r w:rsidRPr="00A03B67">
        <w:rPr>
          <w:rStyle w:val="FootnoteReference"/>
        </w:rPr>
        <w:footnoteRef/>
      </w:r>
      <w:r w:rsidRPr="00A03B67">
        <w:t xml:space="preserve"> </w:t>
      </w:r>
      <w:r w:rsidRPr="00A03B67">
        <w:rPr>
          <w:lang w:val="en-US"/>
        </w:rPr>
        <w:t>Note only data as at the last day of September in each year has been compared.</w:t>
      </w:r>
    </w:p>
  </w:footnote>
  <w:footnote w:id="304">
    <w:p w14:paraId="6F571BAE" w14:textId="14F84E78" w:rsidR="00924664" w:rsidRPr="004E6C29" w:rsidRDefault="00924664" w:rsidP="004E6C29">
      <w:pPr>
        <w:spacing w:after="0"/>
        <w:rPr>
          <w:rFonts w:ascii="Aptos" w:eastAsia="Times New Roman" w:hAnsi="Aptos" w:cs="Times New Roman"/>
          <w:color w:val="000000"/>
          <w:sz w:val="18"/>
          <w:szCs w:val="18"/>
          <w:lang w:eastAsia="en-AU"/>
        </w:rPr>
      </w:pPr>
      <w:r w:rsidRPr="00A03B67">
        <w:rPr>
          <w:rStyle w:val="FootnoteReference"/>
        </w:rPr>
        <w:footnoteRef/>
      </w:r>
      <w:r w:rsidRPr="00A03B67">
        <w:t xml:space="preserve"> </w:t>
      </w:r>
      <w:r w:rsidR="00E8369A" w:rsidRPr="00E8369A">
        <w:rPr>
          <w:rFonts w:ascii="Aptos" w:hAnsi="Aptos"/>
          <w:color w:val="000000"/>
          <w:sz w:val="18"/>
          <w:szCs w:val="18"/>
          <w:vertAlign w:val="superscript"/>
        </w:rPr>
        <w:t xml:space="preserve"> </w:t>
      </w:r>
      <w:r w:rsidR="00E8369A" w:rsidRPr="00E8369A">
        <w:rPr>
          <w:rFonts w:ascii="Aptos" w:eastAsia="Times New Roman" w:hAnsi="Aptos" w:cs="Times New Roman"/>
          <w:color w:val="000000"/>
          <w:sz w:val="18"/>
          <w:szCs w:val="18"/>
          <w:lang w:eastAsia="en-AU"/>
        </w:rPr>
        <w:t xml:space="preserve">M Bray and J Macneil, ‘Reforming Collective Bargaining’ in K Hancock and R Lansbury (eds), </w:t>
      </w:r>
      <w:r w:rsidR="00E8369A" w:rsidRPr="00E8369A">
        <w:rPr>
          <w:rFonts w:ascii="Aptos" w:eastAsia="Times New Roman" w:hAnsi="Aptos" w:cs="Times New Roman"/>
          <w:i/>
          <w:iCs/>
          <w:color w:val="000000"/>
          <w:sz w:val="18"/>
          <w:szCs w:val="18"/>
          <w:lang w:eastAsia="en-AU"/>
        </w:rPr>
        <w:t>Industrial Relations Reform: Looking to the Future</w:t>
      </w:r>
      <w:r w:rsidR="00E8369A" w:rsidRPr="00E8369A">
        <w:rPr>
          <w:rFonts w:ascii="Aptos" w:eastAsia="Times New Roman" w:hAnsi="Aptos" w:cs="Times New Roman"/>
          <w:color w:val="000000"/>
          <w:sz w:val="18"/>
          <w:szCs w:val="18"/>
          <w:lang w:eastAsia="en-AU"/>
        </w:rPr>
        <w:t xml:space="preserve"> (Federation Press, 2016) </w:t>
      </w:r>
      <w:r w:rsidR="004E6C29">
        <w:rPr>
          <w:rFonts w:ascii="Aptos" w:eastAsia="Times New Roman" w:hAnsi="Aptos" w:cs="Times New Roman"/>
          <w:color w:val="000000"/>
          <w:sz w:val="18"/>
          <w:szCs w:val="18"/>
          <w:lang w:eastAsia="en-AU"/>
        </w:rPr>
        <w:t>109</w:t>
      </w:r>
      <w:r w:rsidR="00E8369A" w:rsidRPr="00E8369A">
        <w:rPr>
          <w:rFonts w:ascii="Aptos" w:eastAsia="Times New Roman" w:hAnsi="Aptos" w:cs="Times New Roman"/>
          <w:color w:val="000000"/>
          <w:sz w:val="18"/>
          <w:szCs w:val="18"/>
          <w:lang w:eastAsia="en-AU"/>
        </w:rPr>
        <w:t>.</w:t>
      </w:r>
    </w:p>
  </w:footnote>
  <w:footnote w:id="305">
    <w:p w14:paraId="7BCDE7F4" w14:textId="39CF3BFF" w:rsidR="00924664" w:rsidRPr="00CD7E19" w:rsidRDefault="00924664" w:rsidP="00924664">
      <w:pPr>
        <w:pStyle w:val="FootnoteText"/>
      </w:pPr>
      <w:r w:rsidRPr="00A03B67">
        <w:rPr>
          <w:rStyle w:val="FootnoteReference"/>
        </w:rPr>
        <w:footnoteRef/>
      </w:r>
      <w:r w:rsidRPr="00A03B67">
        <w:t xml:space="preserve"> A Pennington, </w:t>
      </w:r>
      <w:r w:rsidRPr="00A03B67">
        <w:rPr>
          <w:i/>
          <w:iCs/>
        </w:rPr>
        <w:t>On the Brink: The Erosion of Enterprise Agreement Coverage in Australia’s Private Sector</w:t>
      </w:r>
      <w:r w:rsidRPr="00A03B67">
        <w:t xml:space="preserve"> (Centre for Future Work, </w:t>
      </w:r>
      <w:r w:rsidRPr="00CD7E19">
        <w:t xml:space="preserve">Australia Institute, 2018) &lt;https://australiainstitute.org.au/wp-content/uploads/2020/12/Collective-Bargaining-On-the-Brink-WEB.pdf&gt;; </w:t>
      </w:r>
      <w:r w:rsidR="00307825" w:rsidRPr="00CD7E19">
        <w:t>Business Council of Australia, </w:t>
      </w:r>
      <w:r w:rsidR="00307825" w:rsidRPr="00CD7E19">
        <w:rPr>
          <w:i/>
          <w:iCs/>
        </w:rPr>
        <w:t>The State of Enterprise Bargaining in Australia </w:t>
      </w:r>
      <w:r w:rsidR="00307825" w:rsidRPr="00CD7E19">
        <w:t>(2021</w:t>
      </w:r>
      <w:r w:rsidR="00C51CD7">
        <w:t>)</w:t>
      </w:r>
      <w:r w:rsidRPr="00A03B67">
        <w:t>.</w:t>
      </w:r>
    </w:p>
  </w:footnote>
  <w:footnote w:id="306">
    <w:p w14:paraId="254884B0" w14:textId="77777777" w:rsidR="00924664" w:rsidRPr="00CD7E19" w:rsidRDefault="00924664" w:rsidP="00924664">
      <w:pPr>
        <w:pStyle w:val="FootnoteText"/>
      </w:pPr>
      <w:r w:rsidRPr="00CD7E19">
        <w:rPr>
          <w:rStyle w:val="FootnoteReference"/>
        </w:rPr>
        <w:footnoteRef/>
      </w:r>
      <w:r w:rsidRPr="00CD7E19">
        <w:t xml:space="preserve"> M Bray, S McCrystal and L Spiess, ‘Why Doesn’t Anyone Talk About Non-union Collective Agreements?’ (2020) 62(5) </w:t>
      </w:r>
      <w:r w:rsidRPr="00CD7E19">
        <w:rPr>
          <w:i/>
          <w:iCs/>
        </w:rPr>
        <w:t>Journal of Industrial Relations</w:t>
      </w:r>
      <w:r w:rsidRPr="00CD7E19">
        <w:t xml:space="preserve"> 784</w:t>
      </w:r>
      <w:r w:rsidRPr="00CD7E19">
        <w:rPr>
          <w:rFonts w:ascii="Symbol" w:eastAsia="Symbol" w:hAnsi="Symbol" w:cs="Symbol"/>
        </w:rPr>
        <w:t>-</w:t>
      </w:r>
      <w:r w:rsidRPr="00CD7E19">
        <w:t>807.</w:t>
      </w:r>
    </w:p>
  </w:footnote>
  <w:footnote w:id="307">
    <w:p w14:paraId="6A170FF4" w14:textId="0C524B98" w:rsidR="00924664" w:rsidRPr="00CD7E19" w:rsidRDefault="00924664" w:rsidP="00924664">
      <w:pPr>
        <w:pStyle w:val="FootnoteText"/>
      </w:pPr>
      <w:r w:rsidRPr="00CD7E19">
        <w:rPr>
          <w:rStyle w:val="FootnoteReference"/>
        </w:rPr>
        <w:footnoteRef/>
      </w:r>
      <w:r w:rsidRPr="00CD7E19">
        <w:t xml:space="preserve"> </w:t>
      </w:r>
      <w:r w:rsidR="007F09E0" w:rsidRPr="00CD7E19">
        <w:t>Business Council of Australia, </w:t>
      </w:r>
      <w:r w:rsidR="007F09E0" w:rsidRPr="00CD7E19">
        <w:rPr>
          <w:i/>
          <w:iCs/>
        </w:rPr>
        <w:t>The State of Enterprise Bargaining in Australia </w:t>
      </w:r>
      <w:r w:rsidR="007F09E0" w:rsidRPr="00CD7E19">
        <w:t>(2021)</w:t>
      </w:r>
      <w:r w:rsidR="003820A2">
        <w:t>.</w:t>
      </w:r>
    </w:p>
  </w:footnote>
  <w:footnote w:id="308">
    <w:p w14:paraId="11CBF071" w14:textId="77777777" w:rsidR="00924664" w:rsidRPr="00A03B67" w:rsidRDefault="00924664" w:rsidP="00924664">
      <w:pPr>
        <w:pStyle w:val="FootnoteText"/>
      </w:pPr>
      <w:r w:rsidRPr="00CD7E19">
        <w:rPr>
          <w:rStyle w:val="FootnoteReference"/>
        </w:rPr>
        <w:footnoteRef/>
      </w:r>
      <w:r w:rsidRPr="00CD7E19">
        <w:t xml:space="preserve"> Note that the WAD measures only the number of employees</w:t>
      </w:r>
      <w:r w:rsidRPr="00A03B67">
        <w:t xml:space="preserve"> covered by collective agreements (agreement size) and not the size (in terms of employment) of the enterprise covered by the agreement.</w:t>
      </w:r>
    </w:p>
  </w:footnote>
  <w:footnote w:id="309">
    <w:p w14:paraId="57D3C8A3" w14:textId="40A698A1" w:rsidR="00924664" w:rsidRDefault="00924664" w:rsidP="00924664">
      <w:pPr>
        <w:pStyle w:val="FootnoteText"/>
      </w:pPr>
      <w:r>
        <w:rPr>
          <w:rStyle w:val="FootnoteReference"/>
        </w:rPr>
        <w:footnoteRef/>
      </w:r>
      <w:r>
        <w:t xml:space="preserve"> In the interest of space the labour share as a proportion of GDP is not presented here</w:t>
      </w:r>
      <w:r w:rsidR="00DA32BE">
        <w:t>;</w:t>
      </w:r>
      <w:r>
        <w:t xml:space="preserve"> however, it is discussed in Appendix 4.</w:t>
      </w:r>
    </w:p>
  </w:footnote>
  <w:footnote w:id="310">
    <w:p w14:paraId="72C4E7C8" w14:textId="464A62FF" w:rsidR="00924664" w:rsidRDefault="00924664" w:rsidP="00924664">
      <w:pPr>
        <w:pStyle w:val="FootnoteText"/>
      </w:pPr>
      <w:r>
        <w:rPr>
          <w:rStyle w:val="FootnoteReference"/>
        </w:rPr>
        <w:footnoteRef/>
      </w:r>
      <w:r>
        <w:t xml:space="preserve"> For further discussion of RULC see the following ABS publication</w:t>
      </w:r>
      <w:r w:rsidR="00DA32BE">
        <w:t>:</w:t>
      </w:r>
      <w:r>
        <w:t xml:space="preserve"> </w:t>
      </w:r>
      <w:r w:rsidR="00DA32BE">
        <w:t xml:space="preserve">ABS, </w:t>
      </w:r>
      <w:r>
        <w:t>Unit Labour Costs, 2021 &lt;</w:t>
      </w:r>
      <w:r w:rsidRPr="001F67E4">
        <w:t>https://www.abs.gov.au/statistics/detailed-methodology-information/concepts-sources-methods/australian-system-national-accounts-concepts-sources-and-methods/2020-21/chapter-20-analytical-measures/unit-labour-costs</w:t>
      </w:r>
      <w:r>
        <w:t>&gt;</w:t>
      </w:r>
      <w:r w:rsidR="00DA32BE">
        <w:t>.</w:t>
      </w:r>
    </w:p>
  </w:footnote>
  <w:footnote w:id="311">
    <w:p w14:paraId="06FCEA4E" w14:textId="77777777" w:rsidR="00924664" w:rsidRPr="00A03B67" w:rsidRDefault="00924664" w:rsidP="00924664">
      <w:pPr>
        <w:pStyle w:val="FootnoteText"/>
        <w:rPr>
          <w:lang w:val="en-US"/>
        </w:rPr>
      </w:pPr>
      <w:r w:rsidRPr="00A03B67">
        <w:rPr>
          <w:rStyle w:val="FootnoteReference"/>
        </w:rPr>
        <w:footnoteRef/>
      </w:r>
      <w:r w:rsidRPr="00A03B67">
        <w:t xml:space="preserve"> </w:t>
      </w:r>
      <w:r w:rsidRPr="00A03B67">
        <w:rPr>
          <w:lang w:val="en-US"/>
        </w:rPr>
        <w:t xml:space="preserve">D Shubhdeep, J Eechout, P Aseem and W Lawrence, ‘What Drives Wage Stagnation: Monopsony or Monopoly?’ (2022) 20(6) </w:t>
      </w:r>
      <w:r w:rsidRPr="00A03B67">
        <w:rPr>
          <w:i/>
          <w:iCs/>
          <w:lang w:val="en-US"/>
        </w:rPr>
        <w:t>Journal of the European Economic Association</w:t>
      </w:r>
      <w:r w:rsidRPr="00A03B67">
        <w:rPr>
          <w:lang w:val="en-US"/>
        </w:rPr>
        <w:t xml:space="preserve"> 2181</w:t>
      </w:r>
      <w:r w:rsidRPr="00A03B67">
        <w:rPr>
          <w:rFonts w:ascii="Symbol" w:eastAsia="Symbol" w:hAnsi="Symbol" w:cs="Symbol"/>
          <w:lang w:val="en-US"/>
        </w:rPr>
        <w:t>-</w:t>
      </w:r>
      <w:r w:rsidRPr="00A03B67">
        <w:rPr>
          <w:lang w:val="en-US"/>
        </w:rPr>
        <w:t>2225.</w:t>
      </w:r>
    </w:p>
  </w:footnote>
  <w:footnote w:id="312">
    <w:p w14:paraId="2FB5758C" w14:textId="4354CB94" w:rsidR="00924664" w:rsidRPr="00A03B67" w:rsidRDefault="00924664" w:rsidP="00924664">
      <w:pPr>
        <w:pStyle w:val="FootnoteText"/>
      </w:pPr>
      <w:r w:rsidRPr="00A03B67">
        <w:rPr>
          <w:rStyle w:val="FootnoteReference"/>
        </w:rPr>
        <w:footnoteRef/>
      </w:r>
      <w:r w:rsidRPr="00A03B67">
        <w:t xml:space="preserve"> See e.g</w:t>
      </w:r>
      <w:r w:rsidRPr="002A2140">
        <w:t>.</w:t>
      </w:r>
      <w:r w:rsidR="00EF20D1">
        <w:t xml:space="preserve"> </w:t>
      </w:r>
      <w:r w:rsidR="006866BA" w:rsidRPr="006866BA">
        <w:t xml:space="preserve">J Isaac, </w:t>
      </w:r>
      <w:r w:rsidR="00D83BE3">
        <w:t>‘</w:t>
      </w:r>
      <w:r w:rsidR="006866BA" w:rsidRPr="006866BA">
        <w:t>Why are Australian Wages Lagging and What Can Be done About It?</w:t>
      </w:r>
      <w:r w:rsidR="00D83BE3">
        <w:t>’</w:t>
      </w:r>
      <w:r w:rsidR="006866BA" w:rsidRPr="006866BA">
        <w:t xml:space="preserve"> (2018) 51(2) </w:t>
      </w:r>
      <w:r w:rsidR="006866BA" w:rsidRPr="006866BA">
        <w:rPr>
          <w:i/>
          <w:iCs/>
        </w:rPr>
        <w:t>Australian Economic Review</w:t>
      </w:r>
      <w:r w:rsidR="006866BA" w:rsidRPr="006866BA">
        <w:t xml:space="preserve"> 175-90</w:t>
      </w:r>
      <w:r w:rsidRPr="00A03B67">
        <w:t>; A Stewart, J Stanford and T Harding (eds)</w:t>
      </w:r>
      <w:r w:rsidR="00DA32BE">
        <w:t>,</w:t>
      </w:r>
      <w:r w:rsidRPr="00A03B67">
        <w:t xml:space="preserve"> </w:t>
      </w:r>
      <w:r w:rsidRPr="00A03B67">
        <w:rPr>
          <w:i/>
          <w:iCs/>
        </w:rPr>
        <w:t>The Wages Crisis in Australia</w:t>
      </w:r>
      <w:r w:rsidRPr="00A03B67">
        <w:t xml:space="preserve"> (University of Adelaide Press, 2018) &lt;https://www.adelaide.edu.au/press/ua/media/621/uap-wages-crisis-ebook.pdf&gt;; </w:t>
      </w:r>
      <w:r w:rsidR="00DA32BE">
        <w:t>Business Council of Australia</w:t>
      </w:r>
      <w:r w:rsidRPr="00A03B67">
        <w:t xml:space="preserve">, </w:t>
      </w:r>
      <w:r w:rsidRPr="00A03B67">
        <w:rPr>
          <w:i/>
          <w:iCs/>
        </w:rPr>
        <w:t>The State of Enterprise Bargaining in Australia</w:t>
      </w:r>
      <w:r w:rsidRPr="00A03B67">
        <w:t xml:space="preserve"> (Business Council of Australia, 2019) &lt;https://www.bca.com.au/the_state_of_enterprise_bargaining_in_australia&gt;</w:t>
      </w:r>
      <w:r w:rsidRPr="002A2140">
        <w:t>.</w:t>
      </w:r>
    </w:p>
  </w:footnote>
  <w:footnote w:id="313">
    <w:p w14:paraId="5F6B5313" w14:textId="4925B311" w:rsidR="00924664" w:rsidRPr="00A03B67" w:rsidRDefault="00924664" w:rsidP="00924664">
      <w:pPr>
        <w:pStyle w:val="FootnoteText"/>
      </w:pPr>
      <w:r w:rsidRPr="00A03B67">
        <w:rPr>
          <w:rStyle w:val="FootnoteReference"/>
        </w:rPr>
        <w:footnoteRef/>
      </w:r>
      <w:r w:rsidRPr="00A03B67">
        <w:t xml:space="preserve"> It should also be noted that the issue of ‘productivity’ is treated separately in Appendix</w:t>
      </w:r>
      <w:r w:rsidR="00AA3F47">
        <w:t xml:space="preserve"> 4</w:t>
      </w:r>
      <w:r w:rsidRPr="00A03B67">
        <w:t>.</w:t>
      </w:r>
    </w:p>
  </w:footnote>
  <w:footnote w:id="314">
    <w:p w14:paraId="335EEA3A" w14:textId="275275B7" w:rsidR="00924664" w:rsidRDefault="00924664" w:rsidP="00924664">
      <w:pPr>
        <w:pStyle w:val="FootnoteText"/>
      </w:pPr>
      <w:r>
        <w:rPr>
          <w:rStyle w:val="FootnoteReference"/>
        </w:rPr>
        <w:footnoteRef/>
      </w:r>
      <w:r>
        <w:t xml:space="preserve"> </w:t>
      </w:r>
      <w:r w:rsidRPr="00A80496">
        <w:t xml:space="preserve">Commonwealth, </w:t>
      </w:r>
      <w:r w:rsidRPr="00A80496">
        <w:rPr>
          <w:i/>
        </w:rPr>
        <w:t>Parliamentary Debates</w:t>
      </w:r>
      <w:r w:rsidRPr="00A80496">
        <w:t>, House of Representatives, 27 October 2022, 2181 (Tony Burke, Minister for Employment and Workplace Relations)</w:t>
      </w:r>
      <w:r w:rsidR="00DA32BE">
        <w:t>.</w:t>
      </w:r>
    </w:p>
  </w:footnote>
  <w:footnote w:id="315">
    <w:p w14:paraId="2153C900" w14:textId="7461E306" w:rsidR="00924664" w:rsidRPr="00742A75" w:rsidRDefault="00924664" w:rsidP="00924664">
      <w:pPr>
        <w:pStyle w:val="FootnoteText"/>
      </w:pPr>
      <w:r w:rsidRPr="00742A75">
        <w:rPr>
          <w:rStyle w:val="FootnoteReference"/>
        </w:rPr>
        <w:footnoteRef/>
      </w:r>
      <w:r w:rsidRPr="00742A75">
        <w:t xml:space="preserve"> See e.g. OECD, </w:t>
      </w:r>
      <w:r w:rsidRPr="00742A75">
        <w:rPr>
          <w:i/>
        </w:rPr>
        <w:t xml:space="preserve">Negotiating </w:t>
      </w:r>
      <w:r w:rsidR="00DA32BE">
        <w:rPr>
          <w:i/>
        </w:rPr>
        <w:t>O</w:t>
      </w:r>
      <w:r w:rsidRPr="00742A75">
        <w:rPr>
          <w:i/>
        </w:rPr>
        <w:t>ur Way Up: Collective Bargaining in a Changing World of Work</w:t>
      </w:r>
      <w:r w:rsidRPr="00742A75">
        <w:t xml:space="preserve"> </w:t>
      </w:r>
      <w:r w:rsidR="00DA32BE">
        <w:t>(</w:t>
      </w:r>
      <w:r w:rsidRPr="00742A75">
        <w:t>OECD</w:t>
      </w:r>
      <w:r w:rsidR="00DA32BE">
        <w:t>,</w:t>
      </w:r>
      <w:r w:rsidRPr="00742A75">
        <w:t xml:space="preserve"> 2019);</w:t>
      </w:r>
      <w:r w:rsidR="00DA32BE">
        <w:t xml:space="preserve"> </w:t>
      </w:r>
      <w:r w:rsidRPr="00742A75">
        <w:t xml:space="preserve">K Sisson, ‘Introducing </w:t>
      </w:r>
      <w:r w:rsidR="00DA32BE">
        <w:t>S</w:t>
      </w:r>
      <w:r w:rsidRPr="00742A75">
        <w:t xml:space="preserve">ectoral </w:t>
      </w:r>
      <w:r w:rsidR="00DA32BE">
        <w:t>B</w:t>
      </w:r>
      <w:r w:rsidRPr="00742A75">
        <w:t xml:space="preserve">argaining in the United Kingdom: Why </w:t>
      </w:r>
      <w:r w:rsidR="00DA32BE">
        <w:t>I</w:t>
      </w:r>
      <w:r w:rsidRPr="00742A75">
        <w:t xml:space="preserve">t </w:t>
      </w:r>
      <w:r w:rsidR="00DA32BE">
        <w:t>M</w:t>
      </w:r>
      <w:r w:rsidRPr="00742A75">
        <w:t xml:space="preserve">akes </w:t>
      </w:r>
      <w:r w:rsidR="00DA32BE">
        <w:t>S</w:t>
      </w:r>
      <w:r w:rsidRPr="00742A75">
        <w:t xml:space="preserve">ense and </w:t>
      </w:r>
      <w:r w:rsidR="00DA32BE">
        <w:t>H</w:t>
      </w:r>
      <w:r w:rsidRPr="00742A75">
        <w:t xml:space="preserve">ow </w:t>
      </w:r>
      <w:r w:rsidR="00DA32BE">
        <w:t>I</w:t>
      </w:r>
      <w:r w:rsidRPr="00742A75">
        <w:t xml:space="preserve">t </w:t>
      </w:r>
      <w:r w:rsidR="00DA32BE">
        <w:t>M</w:t>
      </w:r>
      <w:r w:rsidRPr="00742A75">
        <w:t xml:space="preserve">ight </w:t>
      </w:r>
      <w:r w:rsidR="00DA32BE">
        <w:t>B</w:t>
      </w:r>
      <w:r w:rsidRPr="00742A75">
        <w:t xml:space="preserve">e </w:t>
      </w:r>
      <w:r w:rsidR="00DA32BE">
        <w:t>D</w:t>
      </w:r>
      <w:r w:rsidRPr="00742A75">
        <w:t xml:space="preserve">one’ (2024) 55(6) </w:t>
      </w:r>
      <w:r w:rsidRPr="00742A75">
        <w:rPr>
          <w:i/>
        </w:rPr>
        <w:t>Industrial Relations Journal</w:t>
      </w:r>
      <w:r w:rsidRPr="00742A75">
        <w:t xml:space="preserve"> 446-471; D Grimshaw</w:t>
      </w:r>
      <w:r w:rsidR="00DA32BE">
        <w:t>, B Brandl, F Bertranou and S Gontero</w:t>
      </w:r>
      <w:r w:rsidRPr="00742A75">
        <w:t xml:space="preserve">, ‘Tracing the </w:t>
      </w:r>
      <w:r w:rsidR="00DA32BE">
        <w:t>P</w:t>
      </w:r>
      <w:r w:rsidRPr="00742A75">
        <w:t xml:space="preserve">otential </w:t>
      </w:r>
      <w:r w:rsidR="00DA32BE">
        <w:t>B</w:t>
      </w:r>
      <w:r w:rsidRPr="00742A75">
        <w:t xml:space="preserve">enefits and </w:t>
      </w:r>
      <w:r w:rsidR="00DA32BE">
        <w:t>C</w:t>
      </w:r>
      <w:r w:rsidRPr="00742A75">
        <w:t xml:space="preserve">omplex </w:t>
      </w:r>
      <w:r w:rsidR="00DA32BE">
        <w:t>C</w:t>
      </w:r>
      <w:r w:rsidRPr="00742A75">
        <w:t xml:space="preserve">ontingencies of </w:t>
      </w:r>
      <w:r w:rsidR="00DA32BE">
        <w:t>M</w:t>
      </w:r>
      <w:r w:rsidRPr="00742A75">
        <w:t xml:space="preserve">ultilevel </w:t>
      </w:r>
      <w:r w:rsidR="00DA32BE">
        <w:t>C</w:t>
      </w:r>
      <w:r w:rsidRPr="00742A75">
        <w:t xml:space="preserve">ollective </w:t>
      </w:r>
      <w:r w:rsidR="00DA32BE">
        <w:t>B</w:t>
      </w:r>
      <w:r w:rsidRPr="00742A75">
        <w:t xml:space="preserve">argaining’ (2024) 163(4) </w:t>
      </w:r>
      <w:r w:rsidRPr="00742A75">
        <w:rPr>
          <w:i/>
        </w:rPr>
        <w:t>International Labour Review</w:t>
      </w:r>
      <w:r w:rsidRPr="00742A75">
        <w:t xml:space="preserve"> 657</w:t>
      </w:r>
      <w:r w:rsidR="00DA32BE">
        <w:rPr>
          <w:rFonts w:ascii="Symbol" w:eastAsia="Symbol" w:hAnsi="Symbol" w:cs="Symbol"/>
        </w:rPr>
        <w:t>-</w:t>
      </w:r>
      <w:r w:rsidRPr="00742A75">
        <w:t xml:space="preserve">675; A Kent, ‘New Zealand’s Fair Pay Agreements: A New Direction in Sectoral and Occupational Bargaining’ (2021) 31(3) </w:t>
      </w:r>
      <w:r w:rsidRPr="00742A75">
        <w:rPr>
          <w:i/>
        </w:rPr>
        <w:t>Labour &amp; Industry</w:t>
      </w:r>
      <w:r w:rsidRPr="00742A75">
        <w:t xml:space="preserve"> 235</w:t>
      </w:r>
      <w:r w:rsidRPr="00742A75">
        <w:rPr>
          <w:rFonts w:ascii="Symbol" w:eastAsia="Symbol" w:hAnsi="Symbol" w:cs="Symbol"/>
        </w:rPr>
        <w:t>-</w:t>
      </w:r>
      <w:r w:rsidRPr="00742A75">
        <w:t>254.</w:t>
      </w:r>
    </w:p>
  </w:footnote>
  <w:footnote w:id="316">
    <w:p w14:paraId="2652D8EC" w14:textId="5DF3481B" w:rsidR="00924664" w:rsidRPr="00A03B67" w:rsidRDefault="00924664" w:rsidP="00924664">
      <w:pPr>
        <w:pStyle w:val="FootnoteText"/>
      </w:pPr>
      <w:r w:rsidRPr="00AB6836">
        <w:rPr>
          <w:rStyle w:val="FootnoteReference"/>
        </w:rPr>
        <w:footnoteRef/>
      </w:r>
      <w:r w:rsidRPr="00AB6836">
        <w:t xml:space="preserve"> See S McCrystal, ‘Avoiding </w:t>
      </w:r>
      <w:r w:rsidR="00DA32BE" w:rsidRPr="00AB6836">
        <w:t>C</w:t>
      </w:r>
      <w:r w:rsidRPr="00AB6836">
        <w:t xml:space="preserve">ollective </w:t>
      </w:r>
      <w:r w:rsidR="00DA32BE" w:rsidRPr="00AB6836">
        <w:t>B</w:t>
      </w:r>
      <w:r w:rsidRPr="00AB6836">
        <w:t xml:space="preserve">argaining </w:t>
      </w:r>
      <w:r w:rsidR="00DA32BE" w:rsidRPr="00AB6836">
        <w:t>U</w:t>
      </w:r>
      <w:r w:rsidRPr="00AB6836">
        <w:t xml:space="preserve">nder the </w:t>
      </w:r>
      <w:r w:rsidRPr="00420D71">
        <w:rPr>
          <w:i/>
        </w:rPr>
        <w:t>Fair Work Act 2009</w:t>
      </w:r>
      <w:r w:rsidRPr="00AB6836">
        <w:t xml:space="preserve"> (Cth): </w:t>
      </w:r>
      <w:r w:rsidR="00DA32BE" w:rsidRPr="00AB6836">
        <w:t>M</w:t>
      </w:r>
      <w:r w:rsidRPr="00AB6836">
        <w:t xml:space="preserve">aking </w:t>
      </w:r>
      <w:r w:rsidR="00DA32BE" w:rsidRPr="00AB6836">
        <w:t>C</w:t>
      </w:r>
      <w:r w:rsidRPr="00AB6836">
        <w:t>ollective</w:t>
      </w:r>
      <w:r w:rsidRPr="00742A75">
        <w:t xml:space="preserve"> </w:t>
      </w:r>
      <w:r w:rsidR="00DA32BE">
        <w:t>A</w:t>
      </w:r>
      <w:r w:rsidRPr="00742A75">
        <w:t xml:space="preserve">greements </w:t>
      </w:r>
      <w:r w:rsidR="00DA32BE">
        <w:t>W</w:t>
      </w:r>
      <w:r w:rsidRPr="00742A75">
        <w:t xml:space="preserve">ithout </w:t>
      </w:r>
      <w:r w:rsidR="00DA32BE">
        <w:t>U</w:t>
      </w:r>
      <w:r w:rsidRPr="00742A75">
        <w:t xml:space="preserve">nions and the </w:t>
      </w:r>
      <w:r w:rsidR="00DA32BE">
        <w:t>I</w:t>
      </w:r>
      <w:r w:rsidRPr="00742A75">
        <w:t xml:space="preserve">mpact of </w:t>
      </w:r>
      <w:r w:rsidR="00DA32BE">
        <w:t>R</w:t>
      </w:r>
      <w:r w:rsidRPr="00742A75">
        <w:t xml:space="preserve">ecent </w:t>
      </w:r>
      <w:r w:rsidR="00DA32BE">
        <w:t>R</w:t>
      </w:r>
      <w:r w:rsidRPr="00742A75">
        <w:t xml:space="preserve">eforms’ (2024) </w:t>
      </w:r>
      <w:r w:rsidRPr="00742A75">
        <w:rPr>
          <w:i/>
        </w:rPr>
        <w:t xml:space="preserve">Labour </w:t>
      </w:r>
      <w:r w:rsidR="00AB6836">
        <w:rPr>
          <w:i/>
        </w:rPr>
        <w:t>and</w:t>
      </w:r>
      <w:r w:rsidRPr="00742A75">
        <w:rPr>
          <w:i/>
        </w:rPr>
        <w:t xml:space="preserve"> Industry </w:t>
      </w:r>
      <w:r w:rsidRPr="00742A75">
        <w:t>2024.</w:t>
      </w:r>
    </w:p>
  </w:footnote>
  <w:footnote w:id="317">
    <w:p w14:paraId="535899FE"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w:t>
      </w:r>
      <w:r w:rsidRPr="00A03B67">
        <w:rPr>
          <w:i/>
        </w:rPr>
        <w:t xml:space="preserve"> Act </w:t>
      </w:r>
      <w:r w:rsidRPr="00A03B67">
        <w:rPr>
          <w:i/>
          <w:iCs/>
        </w:rPr>
        <w:t>2009</w:t>
      </w:r>
      <w:r w:rsidRPr="00A03B67">
        <w:t xml:space="preserve"> (Cth) s 173(1).</w:t>
      </w:r>
    </w:p>
  </w:footnote>
  <w:footnote w:id="318">
    <w:p w14:paraId="09189153"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s 173(3).</w:t>
      </w:r>
    </w:p>
  </w:footnote>
  <w:footnote w:id="319">
    <w:p w14:paraId="0E8BCDC9" w14:textId="6A42E91C" w:rsidR="00924664" w:rsidRPr="00A03B67" w:rsidRDefault="00924664" w:rsidP="00924664">
      <w:pPr>
        <w:pStyle w:val="FootnoteText"/>
        <w:rPr>
          <w:lang w:val="en-US"/>
        </w:rPr>
      </w:pPr>
      <w:r w:rsidRPr="00A03B67">
        <w:rPr>
          <w:rStyle w:val="FootnoteReference"/>
        </w:rPr>
        <w:footnoteRef/>
      </w:r>
      <w:r w:rsidRPr="00A03B67">
        <w:t xml:space="preserve"> </w:t>
      </w:r>
      <w:r w:rsidRPr="00A03B67">
        <w:rPr>
          <w:lang w:val="en-US"/>
        </w:rPr>
        <w:t xml:space="preserve">See also S McCrystal, ‘Avoiding Collective Bargaining under the </w:t>
      </w:r>
      <w:r w:rsidRPr="00A03B67">
        <w:rPr>
          <w:i/>
          <w:lang w:val="en-US"/>
        </w:rPr>
        <w:t xml:space="preserve">Fair Work </w:t>
      </w:r>
      <w:r w:rsidRPr="00A03B67">
        <w:rPr>
          <w:i/>
          <w:iCs/>
          <w:lang w:val="en-US"/>
        </w:rPr>
        <w:t>Act</w:t>
      </w:r>
      <w:r w:rsidRPr="00A03B67">
        <w:rPr>
          <w:i/>
          <w:lang w:val="en-US"/>
        </w:rPr>
        <w:t xml:space="preserve"> 2009</w:t>
      </w:r>
      <w:r w:rsidRPr="00A03B67">
        <w:rPr>
          <w:lang w:val="en-US"/>
        </w:rPr>
        <w:t xml:space="preserve"> (Cth): Making Collective Agreements Without Unions and the Impact of Recent Reforms’ (2024) </w:t>
      </w:r>
      <w:r w:rsidRPr="00A03B67">
        <w:rPr>
          <w:i/>
          <w:iCs/>
          <w:lang w:val="en-US"/>
        </w:rPr>
        <w:t>Labour and Industry</w:t>
      </w:r>
      <w:r w:rsidRPr="00A03B67">
        <w:rPr>
          <w:lang w:val="en-US"/>
        </w:rPr>
        <w:t xml:space="preserve"> </w:t>
      </w:r>
      <w:r w:rsidR="00AB6836">
        <w:rPr>
          <w:lang w:val="en-US"/>
        </w:rPr>
        <w:t>&lt;DOI</w:t>
      </w:r>
      <w:r w:rsidRPr="00A03B67">
        <w:rPr>
          <w:lang w:val="en-US"/>
        </w:rPr>
        <w:t>: 10.1080/10301763.2024.2439108</w:t>
      </w:r>
      <w:r w:rsidR="00AB6836">
        <w:rPr>
          <w:lang w:val="en-US"/>
        </w:rPr>
        <w:t>&gt;</w:t>
      </w:r>
      <w:r w:rsidRPr="00A03B67">
        <w:rPr>
          <w:lang w:val="en-US"/>
        </w:rPr>
        <w:t xml:space="preserve">; U Chaudhuri and T Sarina, ‘Employer-Controlled Agreement-Making: Thwarting Collective Bargaining Under the Fair Work Act’ [2018] ELECD 1756; S McCrystal, B Creighton and A Forsyth (eds), </w:t>
      </w:r>
      <w:r w:rsidRPr="00A03B67">
        <w:rPr>
          <w:i/>
          <w:iCs/>
          <w:lang w:val="en-US"/>
        </w:rPr>
        <w:t>Collective Bargaining under the Fair Work Act</w:t>
      </w:r>
      <w:r w:rsidRPr="00A03B67">
        <w:rPr>
          <w:lang w:val="en-US"/>
        </w:rPr>
        <w:t xml:space="preserve"> (Federation Press, 2018) 138.</w:t>
      </w:r>
    </w:p>
  </w:footnote>
  <w:footnote w:id="320">
    <w:p w14:paraId="24624714" w14:textId="3015CBF2" w:rsidR="00924664" w:rsidRPr="00A03B67" w:rsidRDefault="00924664" w:rsidP="00924664">
      <w:pPr>
        <w:pStyle w:val="FootnoteText"/>
      </w:pPr>
      <w:r w:rsidRPr="00A03B67">
        <w:rPr>
          <w:rStyle w:val="FootnoteReference"/>
        </w:rPr>
        <w:footnoteRef/>
      </w:r>
      <w:r w:rsidRPr="00A03B67">
        <w:t xml:space="preserve"> A Forsyth and S McCrystal, </w:t>
      </w:r>
      <w:r w:rsidRPr="00A03B67">
        <w:rPr>
          <w:i/>
          <w:iCs/>
        </w:rPr>
        <w:t xml:space="preserve">Reforming Australian Bargaining and Strike Laws to Maximise Worker Power </w:t>
      </w:r>
      <w:r w:rsidRPr="00A03B67">
        <w:t>(2023)</w:t>
      </w:r>
      <w:r w:rsidRPr="00A03B67">
        <w:rPr>
          <w:i/>
          <w:iCs/>
        </w:rPr>
        <w:t xml:space="preserve"> </w:t>
      </w:r>
      <w:r w:rsidRPr="00A03B67">
        <w:t>1110</w:t>
      </w:r>
      <w:r w:rsidRPr="00A03B67">
        <w:rPr>
          <w:i/>
          <w:iCs/>
        </w:rPr>
        <w:t>.</w:t>
      </w:r>
    </w:p>
  </w:footnote>
  <w:footnote w:id="321">
    <w:p w14:paraId="694D8070" w14:textId="60247F67" w:rsidR="00924664" w:rsidRPr="00A03B67" w:rsidRDefault="00924664" w:rsidP="00924664">
      <w:pPr>
        <w:pStyle w:val="FootnoteText"/>
        <w:rPr>
          <w:lang w:val="en-US"/>
        </w:rPr>
      </w:pPr>
      <w:r w:rsidRPr="00A03B67">
        <w:rPr>
          <w:rStyle w:val="FootnoteReference"/>
        </w:rPr>
        <w:footnoteRef/>
      </w:r>
      <w:r w:rsidRPr="00A03B67">
        <w:t xml:space="preserve"> S McCrystal, ‘Avoiding Collective Bargaining under the </w:t>
      </w:r>
      <w:r w:rsidRPr="00A03B67">
        <w:rPr>
          <w:i/>
          <w:iCs/>
        </w:rPr>
        <w:t>Fair Work Act 2009</w:t>
      </w:r>
      <w:r w:rsidRPr="00A03B67">
        <w:t xml:space="preserve"> (Cth): Making Collective Agreements Without Unions and the Impact of Recent Reforms’ (2024) </w:t>
      </w:r>
      <w:r w:rsidRPr="00A03B67">
        <w:rPr>
          <w:i/>
        </w:rPr>
        <w:t>Labour and Industry</w:t>
      </w:r>
      <w:r w:rsidRPr="00A03B67">
        <w:rPr>
          <w:lang w:val="en-US"/>
        </w:rPr>
        <w:t xml:space="preserve"> </w:t>
      </w:r>
      <w:r w:rsidR="00AB6836">
        <w:rPr>
          <w:lang w:val="en-US"/>
        </w:rPr>
        <w:t>&lt;DOI</w:t>
      </w:r>
      <w:r w:rsidRPr="00A03B67">
        <w:rPr>
          <w:lang w:val="en-US"/>
        </w:rPr>
        <w:t>: 10.1080/10301763.2024.2439108</w:t>
      </w:r>
      <w:r w:rsidR="00AB6836">
        <w:rPr>
          <w:lang w:val="en-US"/>
        </w:rPr>
        <w:t>&gt;</w:t>
      </w:r>
      <w:r w:rsidRPr="00A03B67">
        <w:rPr>
          <w:lang w:val="en-US"/>
        </w:rPr>
        <w:t xml:space="preserve">; </w:t>
      </w:r>
      <w:r w:rsidRPr="00A03B67">
        <w:rPr>
          <w:i/>
          <w:lang w:val="en-US"/>
        </w:rPr>
        <w:t>Awx Pty Ltd &amp; Aws Staff Pty Ltd</w:t>
      </w:r>
      <w:r w:rsidRPr="00A03B67">
        <w:rPr>
          <w:lang w:val="en-US"/>
        </w:rPr>
        <w:t xml:space="preserve"> [2023] FWCFB 262.</w:t>
      </w:r>
    </w:p>
  </w:footnote>
  <w:footnote w:id="322">
    <w:p w14:paraId="5D452F0A" w14:textId="4F123D4C" w:rsidR="00924664" w:rsidRPr="00A03B67" w:rsidRDefault="00924664" w:rsidP="00924664">
      <w:pPr>
        <w:pStyle w:val="FootnoteText"/>
        <w:rPr>
          <w:lang w:val="en-US"/>
        </w:rPr>
      </w:pPr>
      <w:r w:rsidRPr="00A03B67">
        <w:rPr>
          <w:rStyle w:val="FootnoteReference"/>
        </w:rPr>
        <w:footnoteRef/>
      </w:r>
      <w:r w:rsidRPr="00A03B67">
        <w:t xml:space="preserve"> </w:t>
      </w:r>
      <w:r w:rsidRPr="00A03B67">
        <w:rPr>
          <w:lang w:val="en-US"/>
        </w:rPr>
        <w:t xml:space="preserve">Business Council of Australia, </w:t>
      </w:r>
      <w:r w:rsidRPr="00A03B67">
        <w:rPr>
          <w:i/>
          <w:iCs/>
          <w:lang w:val="en-US"/>
        </w:rPr>
        <w:t xml:space="preserve">The State of Enterprise Bargaining in Australia </w:t>
      </w:r>
      <w:r w:rsidRPr="00A03B67">
        <w:rPr>
          <w:lang w:val="en-US"/>
        </w:rPr>
        <w:t>(</w:t>
      </w:r>
      <w:r w:rsidR="00AB6836">
        <w:rPr>
          <w:lang w:val="en-US"/>
        </w:rPr>
        <w:t xml:space="preserve">Business Council of Australia, </w:t>
      </w:r>
      <w:r w:rsidRPr="00A03B67">
        <w:rPr>
          <w:lang w:val="en-US"/>
        </w:rPr>
        <w:t>2021) 7.</w:t>
      </w:r>
    </w:p>
  </w:footnote>
  <w:footnote w:id="323">
    <w:p w14:paraId="422A711E" w14:textId="79F4B8C7" w:rsidR="00924664" w:rsidRPr="00A03B67" w:rsidRDefault="00924664" w:rsidP="00924664">
      <w:pPr>
        <w:pStyle w:val="FootnoteText"/>
      </w:pPr>
      <w:r w:rsidRPr="00A03B67">
        <w:rPr>
          <w:rStyle w:val="FootnoteReference"/>
        </w:rPr>
        <w:footnoteRef/>
      </w:r>
      <w:r w:rsidRPr="00A03B67">
        <w:t xml:space="preserve"> Revised Explanatory Memorandum, Fair Work Legislation Amendment (Secure Jobs, Better Pay) Bill 2022 [752]</w:t>
      </w:r>
      <w:r w:rsidR="00AB6836">
        <w:t xml:space="preserve"> </w:t>
      </w:r>
      <w:r w:rsidRPr="00A03B67">
        <w:t>134.</w:t>
      </w:r>
    </w:p>
  </w:footnote>
  <w:footnote w:id="324">
    <w:p w14:paraId="7142679C" w14:textId="77777777" w:rsidR="00924664" w:rsidRPr="00A03B67" w:rsidRDefault="00924664" w:rsidP="00924664">
      <w:pPr>
        <w:pStyle w:val="FootnoteText"/>
        <w:rPr>
          <w:lang w:val="en-US"/>
        </w:rPr>
      </w:pPr>
      <w:r w:rsidRPr="00A03B67">
        <w:rPr>
          <w:rStyle w:val="FootnoteReference"/>
        </w:rPr>
        <w:footnoteRef/>
      </w:r>
      <w:r w:rsidRPr="00A03B67">
        <w:t xml:space="preserve"> Revised Explanatory Memorandum, Fair Work Legislation Amendment (Secure Jobs, Better Pay) Bill 2022 </w:t>
      </w:r>
      <w:r w:rsidRPr="00A03B67">
        <w:rPr>
          <w:lang w:val="en-US"/>
        </w:rPr>
        <w:t>[221] xlii.</w:t>
      </w:r>
    </w:p>
  </w:footnote>
  <w:footnote w:id="325">
    <w:p w14:paraId="1B8DB21A" w14:textId="02405AAE" w:rsidR="00924664" w:rsidRPr="00A03B67" w:rsidRDefault="00924664" w:rsidP="00924664">
      <w:pPr>
        <w:pStyle w:val="FootnoteText"/>
      </w:pPr>
      <w:r w:rsidRPr="00A03B67">
        <w:rPr>
          <w:rStyle w:val="FootnoteReference"/>
        </w:rPr>
        <w:footnoteRef/>
      </w:r>
      <w:r w:rsidRPr="00A03B67">
        <w:t xml:space="preserve"> Data from the </w:t>
      </w:r>
      <w:r w:rsidR="00AB6836" w:rsidRPr="00A03B67">
        <w:t xml:space="preserve">Department of Employment and Workplace Relations </w:t>
      </w:r>
      <w:r w:rsidRPr="00A03B67">
        <w:t>Workplace Agreements Database; for agreements with a notification time on or after 7 December 2022.</w:t>
      </w:r>
    </w:p>
  </w:footnote>
  <w:footnote w:id="326">
    <w:p w14:paraId="25F64E9D"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 xml:space="preserve">Application by </w:t>
      </w:r>
      <w:r w:rsidRPr="00A03B67">
        <w:rPr>
          <w:i/>
          <w:lang w:val="en-US"/>
        </w:rPr>
        <w:t>Coles Supermarkets Australia Pty Ltd</w:t>
      </w:r>
      <w:r w:rsidRPr="00A03B67">
        <w:rPr>
          <w:lang w:val="en-US"/>
        </w:rPr>
        <w:t xml:space="preserve"> (2024) FWCFB 250</w:t>
      </w:r>
      <w:r w:rsidRPr="00A03B67">
        <w:t xml:space="preserve">; A Thompson, ‘Supermarket Giant Coles Forced to Bargaining Table Under New IR Laws’ </w:t>
      </w:r>
      <w:r w:rsidRPr="00A03B67">
        <w:rPr>
          <w:i/>
          <w:iCs/>
        </w:rPr>
        <w:t>Sydney Morning Herald</w:t>
      </w:r>
      <w:r w:rsidRPr="00A03B67">
        <w:t xml:space="preserve"> (online, 6 January 2023) &lt;</w:t>
      </w:r>
      <w:r w:rsidRPr="009F1EED">
        <w:t>https://www.smh.com.au/politics/federal/supermarket-giant-coles-forced-to-bargaining-table-under-new-ir-laws-20230105-p5cah6.html</w:t>
      </w:r>
      <w:r w:rsidRPr="00A03B67">
        <w:t>&gt;.</w:t>
      </w:r>
    </w:p>
  </w:footnote>
  <w:footnote w:id="327">
    <w:p w14:paraId="7532953A" w14:textId="77777777" w:rsidR="00924664" w:rsidRPr="00A03B67" w:rsidRDefault="00924664" w:rsidP="00924664">
      <w:pPr>
        <w:pStyle w:val="FootnoteText"/>
      </w:pPr>
      <w:r w:rsidRPr="00A03B67">
        <w:rPr>
          <w:rStyle w:val="FootnoteReference"/>
        </w:rPr>
        <w:footnoteRef/>
      </w:r>
      <w:r w:rsidRPr="00A03B67">
        <w:t xml:space="preserve"> </w:t>
      </w:r>
      <w:r w:rsidRPr="00A03B67">
        <w:rPr>
          <w:i/>
          <w:lang w:val="en-US"/>
        </w:rPr>
        <w:t>Application by Australian and New Zealand Banking Group Limited</w:t>
      </w:r>
      <w:r w:rsidRPr="00A03B67">
        <w:rPr>
          <w:lang w:val="en-US"/>
        </w:rPr>
        <w:t xml:space="preserve"> (2023) FWCA 3477</w:t>
      </w:r>
      <w:r w:rsidRPr="00A03B67">
        <w:t xml:space="preserve">; D Marin-Guzman, ‘ANZ Returns to Bargaining Over Pay for the First Time in Seven Years’ </w:t>
      </w:r>
      <w:r w:rsidRPr="00A03B67">
        <w:rPr>
          <w:i/>
          <w:iCs/>
        </w:rPr>
        <w:t xml:space="preserve">AFR </w:t>
      </w:r>
      <w:r w:rsidRPr="00A03B67">
        <w:t>(online, 6 February 2023) &lt;</w:t>
      </w:r>
      <w:r w:rsidRPr="009F1EED">
        <w:t>https://www.afr.com/work-and-careers/workplace/anz-returns-to-bargaining-over-pay-for-the-first-time-in-seven-years-20230206-p5ci6q</w:t>
      </w:r>
      <w:r w:rsidRPr="00A03B67">
        <w:t>&gt;.</w:t>
      </w:r>
    </w:p>
  </w:footnote>
  <w:footnote w:id="328">
    <w:p w14:paraId="3349C9EB" w14:textId="01C97DF4" w:rsidR="00924664" w:rsidRPr="00A03B67" w:rsidRDefault="00924664" w:rsidP="00924664">
      <w:pPr>
        <w:pStyle w:val="FootnoteText"/>
      </w:pPr>
      <w:r w:rsidRPr="00A03B67">
        <w:rPr>
          <w:rStyle w:val="FootnoteReference"/>
        </w:rPr>
        <w:footnoteRef/>
      </w:r>
      <w:r w:rsidRPr="00A03B67">
        <w:t xml:space="preserve"> ‘Secure Jobs Made ANZ Deal Possible: FSU’ </w:t>
      </w:r>
      <w:r w:rsidRPr="00A03B67">
        <w:rPr>
          <w:i/>
          <w:iCs/>
        </w:rPr>
        <w:t>Workplace Express</w:t>
      </w:r>
      <w:r w:rsidRPr="00A03B67">
        <w:t xml:space="preserve"> (online, 28 July 2023) &lt;</w:t>
      </w:r>
      <w:r w:rsidRPr="00D55035">
        <w:t>https://www.workplaceexpress.com.au/news/secure-jobs-made-anz-deal-possible-union-62535</w:t>
      </w:r>
      <w:r w:rsidRPr="00A03B67">
        <w:t>&gt;</w:t>
      </w:r>
      <w:r w:rsidR="00AB6836">
        <w:t xml:space="preserve">; </w:t>
      </w:r>
      <w:r w:rsidRPr="00A03B67">
        <w:t xml:space="preserve">A Thompson, ‘Supermarket Giant Coles Forced to Bargaining Table Under New IR Laws’ </w:t>
      </w:r>
      <w:r w:rsidRPr="00A03B67">
        <w:rPr>
          <w:i/>
          <w:iCs/>
        </w:rPr>
        <w:t>Sydney Morning Herald</w:t>
      </w:r>
      <w:r w:rsidRPr="00A03B67">
        <w:t xml:space="preserve"> (online, 6 January 2023) &lt;</w:t>
      </w:r>
      <w:r w:rsidRPr="00D55035">
        <w:t>https://www.smh.com.au/politics/federal/supermarket-giant-coles-forced-to-bargaining-table-under-new-ir-laws-20230105-p5cah6.html</w:t>
      </w:r>
      <w:r w:rsidRPr="00A03B67">
        <w:t>&gt;.</w:t>
      </w:r>
    </w:p>
  </w:footnote>
  <w:footnote w:id="329">
    <w:p w14:paraId="30D402CE"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Shop, Distributive and Allied Employees Association</w:t>
      </w:r>
      <w:r w:rsidRPr="00A03B67">
        <w:t xml:space="preserve"> [2024] FWC 1225 [11].</w:t>
      </w:r>
    </w:p>
  </w:footnote>
  <w:footnote w:id="330">
    <w:p w14:paraId="507C68C9"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Shop, Distributive and Allied Employees Association</w:t>
      </w:r>
      <w:r w:rsidRPr="00A03B67">
        <w:t xml:space="preserve"> [2024] FWC 1225 [15].</w:t>
      </w:r>
    </w:p>
  </w:footnote>
  <w:footnote w:id="331">
    <w:p w14:paraId="4FCCB997"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Shop, Distributive and Allied Employees Association</w:t>
      </w:r>
      <w:r w:rsidRPr="00A03B67">
        <w:t xml:space="preserve"> [2024] FWC 1225 [16].</w:t>
      </w:r>
    </w:p>
  </w:footnote>
  <w:footnote w:id="332">
    <w:p w14:paraId="7BF8B623" w14:textId="3F09D2AC" w:rsidR="00924664" w:rsidRPr="00A03B67" w:rsidRDefault="00924664" w:rsidP="00924664">
      <w:pPr>
        <w:pStyle w:val="FootnoteText"/>
      </w:pPr>
      <w:r w:rsidRPr="00A03B67">
        <w:rPr>
          <w:rStyle w:val="FootnoteReference"/>
        </w:rPr>
        <w:footnoteRef/>
      </w:r>
      <w:r w:rsidRPr="00A03B67">
        <w:t xml:space="preserve"> Chamber of Commerce and Industry </w:t>
      </w:r>
      <w:r w:rsidR="00A346D3">
        <w:t>of</w:t>
      </w:r>
      <w:r w:rsidRPr="00A03B67">
        <w:t xml:space="preserve"> Western Australia (CCIWA) submission, 12.</w:t>
      </w:r>
    </w:p>
  </w:footnote>
  <w:footnote w:id="333">
    <w:p w14:paraId="0F704638" w14:textId="7359806F" w:rsidR="00924664" w:rsidRPr="00A03B67" w:rsidRDefault="00924664" w:rsidP="00924664">
      <w:pPr>
        <w:pStyle w:val="FootnoteText"/>
      </w:pPr>
      <w:r w:rsidRPr="00A03B67">
        <w:rPr>
          <w:rStyle w:val="FootnoteReference"/>
        </w:rPr>
        <w:footnoteRef/>
      </w:r>
      <w:r w:rsidRPr="00A03B67">
        <w:t xml:space="preserve"> Chamber of Minerals &amp; Energy of Western Australia </w:t>
      </w:r>
      <w:r w:rsidR="00F76FA9">
        <w:t xml:space="preserve">(CME) </w:t>
      </w:r>
      <w:r w:rsidRPr="00A03B67">
        <w:t>submission, 1.</w:t>
      </w:r>
    </w:p>
  </w:footnote>
  <w:footnote w:id="334">
    <w:p w14:paraId="61427C3A" w14:textId="619019A2" w:rsidR="00924664" w:rsidRPr="00A03B67" w:rsidRDefault="00924664" w:rsidP="00924664">
      <w:pPr>
        <w:pStyle w:val="FootnoteText"/>
      </w:pPr>
      <w:r w:rsidRPr="00A03B67">
        <w:rPr>
          <w:rStyle w:val="FootnoteReference"/>
        </w:rPr>
        <w:footnoteRef/>
      </w:r>
      <w:r w:rsidRPr="00A03B67">
        <w:t xml:space="preserve"> Australian Resources and Energy Employer Association </w:t>
      </w:r>
      <w:r w:rsidR="00B76750">
        <w:t xml:space="preserve">(AREEA) </w:t>
      </w:r>
      <w:r w:rsidRPr="00A03B67">
        <w:t>submission, 8.</w:t>
      </w:r>
    </w:p>
  </w:footnote>
  <w:footnote w:id="335">
    <w:p w14:paraId="4EA4AB84" w14:textId="3E0EF5D4" w:rsidR="00924664" w:rsidRPr="00A03B67" w:rsidRDefault="00924664" w:rsidP="00924664">
      <w:pPr>
        <w:pStyle w:val="FootnoteText"/>
      </w:pPr>
      <w:r w:rsidRPr="00A03B67">
        <w:rPr>
          <w:rStyle w:val="FootnoteReference"/>
        </w:rPr>
        <w:footnoteRef/>
      </w:r>
      <w:r w:rsidRPr="00A03B67">
        <w:t xml:space="preserve"> Minerals Council of Australia </w:t>
      </w:r>
      <w:r w:rsidR="00B76750">
        <w:t xml:space="preserve">(MCA) </w:t>
      </w:r>
      <w:r w:rsidRPr="00A03B67">
        <w:t>submission, 6.</w:t>
      </w:r>
    </w:p>
  </w:footnote>
  <w:footnote w:id="336">
    <w:p w14:paraId="1E54B6C1" w14:textId="03C529F8" w:rsidR="00924664" w:rsidRPr="00A03B67" w:rsidRDefault="00924664" w:rsidP="00924664">
      <w:pPr>
        <w:pStyle w:val="FootnoteText"/>
      </w:pPr>
      <w:r w:rsidRPr="00A03B67">
        <w:rPr>
          <w:rStyle w:val="FootnoteReference"/>
        </w:rPr>
        <w:footnoteRef/>
      </w:r>
      <w:r w:rsidRPr="00A03B67">
        <w:t xml:space="preserve"> Australian Chamber of Commerce and Industry </w:t>
      </w:r>
      <w:r w:rsidR="00B76750">
        <w:t xml:space="preserve">(ACCI) </w:t>
      </w:r>
      <w:r w:rsidRPr="00A03B67">
        <w:t>submission, 20.</w:t>
      </w:r>
    </w:p>
  </w:footnote>
  <w:footnote w:id="337">
    <w:p w14:paraId="32F3CEC0" w14:textId="77777777" w:rsidR="00924664" w:rsidRPr="00A03B67" w:rsidRDefault="00924664" w:rsidP="00924664">
      <w:pPr>
        <w:pStyle w:val="FootnoteText"/>
      </w:pPr>
      <w:r w:rsidRPr="00A03B67">
        <w:rPr>
          <w:rStyle w:val="FootnoteReference"/>
        </w:rPr>
        <w:footnoteRef/>
      </w:r>
      <w:r w:rsidRPr="00A03B67">
        <w:t xml:space="preserve"> Clubs Australia submission, 3.</w:t>
      </w:r>
    </w:p>
  </w:footnote>
  <w:footnote w:id="338">
    <w:p w14:paraId="4E4F5DE9" w14:textId="612C6C2E" w:rsidR="00924664" w:rsidRPr="00A03B67" w:rsidRDefault="00924664" w:rsidP="00924664">
      <w:pPr>
        <w:pStyle w:val="FootnoteText"/>
      </w:pPr>
      <w:r w:rsidRPr="00A03B67">
        <w:rPr>
          <w:rStyle w:val="FootnoteReference"/>
        </w:rPr>
        <w:footnoteRef/>
      </w:r>
      <w:r w:rsidRPr="00A03B67">
        <w:t xml:space="preserve"> </w:t>
      </w:r>
      <w:r w:rsidRPr="00A03B67">
        <w:rPr>
          <w:lang w:val="en-US"/>
        </w:rPr>
        <w:t xml:space="preserve">Maritime Industry Australia Ltd </w:t>
      </w:r>
      <w:r w:rsidR="00B76750">
        <w:rPr>
          <w:lang w:val="en-US"/>
        </w:rPr>
        <w:t xml:space="preserve">(MIAL) </w:t>
      </w:r>
      <w:r w:rsidRPr="00A03B67">
        <w:t>submission, 12.</w:t>
      </w:r>
    </w:p>
  </w:footnote>
  <w:footnote w:id="339">
    <w:p w14:paraId="55D29C65" w14:textId="15E8E124" w:rsidR="00924664" w:rsidRPr="00A03B67" w:rsidRDefault="00924664" w:rsidP="00924664">
      <w:pPr>
        <w:pStyle w:val="FootnoteText"/>
      </w:pPr>
      <w:r w:rsidRPr="00A03B67">
        <w:rPr>
          <w:rStyle w:val="FootnoteReference"/>
        </w:rPr>
        <w:footnoteRef/>
      </w:r>
      <w:r w:rsidRPr="00A03B67">
        <w:t xml:space="preserve"> Business Council of Australia </w:t>
      </w:r>
      <w:r w:rsidR="00B76750">
        <w:t xml:space="preserve">(BCA) </w:t>
      </w:r>
      <w:r w:rsidRPr="00A03B67">
        <w:t>submission, 12.</w:t>
      </w:r>
    </w:p>
  </w:footnote>
  <w:footnote w:id="340">
    <w:p w14:paraId="0BC6A5FD" w14:textId="2600BEC3" w:rsidR="00924664" w:rsidRPr="00A03B67" w:rsidRDefault="00924664" w:rsidP="00924664">
      <w:pPr>
        <w:pStyle w:val="FootnoteText"/>
      </w:pPr>
      <w:r w:rsidRPr="00A03B67">
        <w:rPr>
          <w:rStyle w:val="FootnoteReference"/>
        </w:rPr>
        <w:footnoteRef/>
      </w:r>
      <w:r w:rsidRPr="00A03B67">
        <w:t xml:space="preserve"> Master Builders Association </w:t>
      </w:r>
      <w:r w:rsidR="00B76750">
        <w:t xml:space="preserve">(MBA) </w:t>
      </w:r>
      <w:r w:rsidRPr="00A03B67">
        <w:t>submission, 19.</w:t>
      </w:r>
    </w:p>
  </w:footnote>
  <w:footnote w:id="341">
    <w:p w14:paraId="5EDA7F79" w14:textId="1075A615" w:rsidR="00924664" w:rsidRPr="00A03B67" w:rsidRDefault="00924664" w:rsidP="00924664">
      <w:pPr>
        <w:pStyle w:val="FootnoteText"/>
      </w:pPr>
      <w:r w:rsidRPr="00A03B67">
        <w:rPr>
          <w:rStyle w:val="FootnoteReference"/>
        </w:rPr>
        <w:footnoteRef/>
      </w:r>
      <w:r w:rsidR="00B76750">
        <w:t xml:space="preserve">BCA </w:t>
      </w:r>
      <w:r w:rsidRPr="00A03B67">
        <w:t>submission, 13.</w:t>
      </w:r>
    </w:p>
  </w:footnote>
  <w:footnote w:id="342">
    <w:p w14:paraId="7F59375E" w14:textId="077B068D" w:rsidR="00924664" w:rsidRPr="00A03B67" w:rsidRDefault="00924664" w:rsidP="00924664">
      <w:pPr>
        <w:pStyle w:val="FootnoteText"/>
      </w:pPr>
      <w:r w:rsidRPr="00A03B67">
        <w:rPr>
          <w:rStyle w:val="FootnoteReference"/>
        </w:rPr>
        <w:footnoteRef/>
      </w:r>
      <w:r w:rsidRPr="00A03B67">
        <w:t xml:space="preserve"> </w:t>
      </w:r>
      <w:r w:rsidR="00B76750" w:rsidRPr="00B76750">
        <w:t xml:space="preserve">Council of Small Business Organisations Australia </w:t>
      </w:r>
      <w:r w:rsidR="00B76750">
        <w:t>(</w:t>
      </w:r>
      <w:r w:rsidRPr="00A03B67">
        <w:t>COSBOA</w:t>
      </w:r>
      <w:r w:rsidR="00B76750">
        <w:t>)</w:t>
      </w:r>
      <w:r w:rsidRPr="00A03B67">
        <w:t xml:space="preserve"> submission, 4.</w:t>
      </w:r>
    </w:p>
  </w:footnote>
  <w:footnote w:id="343">
    <w:p w14:paraId="1CAE1F5D" w14:textId="3BB669F4" w:rsidR="00924664" w:rsidRPr="00A03B67" w:rsidRDefault="00924664" w:rsidP="00924664">
      <w:pPr>
        <w:pStyle w:val="FootnoteText"/>
      </w:pPr>
      <w:r w:rsidRPr="00A03B67">
        <w:rPr>
          <w:rStyle w:val="FootnoteReference"/>
        </w:rPr>
        <w:footnoteRef/>
      </w:r>
      <w:r w:rsidRPr="00A03B67">
        <w:t xml:space="preserve"> </w:t>
      </w:r>
      <w:r w:rsidR="00B76750">
        <w:t>BCA</w:t>
      </w:r>
      <w:r w:rsidRPr="00A03B67">
        <w:t xml:space="preserve"> submission, 13.</w:t>
      </w:r>
    </w:p>
  </w:footnote>
  <w:footnote w:id="344">
    <w:p w14:paraId="5EF60355" w14:textId="0ABFD0D1" w:rsidR="00924664" w:rsidRPr="00A03B67" w:rsidRDefault="00924664" w:rsidP="00924664">
      <w:pPr>
        <w:pStyle w:val="FootnoteText"/>
      </w:pPr>
      <w:r w:rsidRPr="00A03B67">
        <w:rPr>
          <w:rStyle w:val="FootnoteReference"/>
        </w:rPr>
        <w:footnoteRef/>
      </w:r>
      <w:r w:rsidRPr="00A03B67">
        <w:t xml:space="preserve"> Australian Industry Group </w:t>
      </w:r>
      <w:r w:rsidR="00B76750">
        <w:t>s</w:t>
      </w:r>
      <w:r w:rsidRPr="00A03B67">
        <w:t>ubmission, 15.</w:t>
      </w:r>
    </w:p>
  </w:footnote>
  <w:footnote w:id="345">
    <w:p w14:paraId="1EEAB7D6" w14:textId="13965998" w:rsidR="00924664" w:rsidRPr="00A03B67" w:rsidRDefault="00924664" w:rsidP="00924664">
      <w:pPr>
        <w:pStyle w:val="FootnoteText"/>
        <w:rPr>
          <w:color w:val="009B9F" w:themeColor="hyperlink"/>
          <w:u w:val="single"/>
        </w:rPr>
      </w:pPr>
      <w:r w:rsidRPr="00A03B67">
        <w:rPr>
          <w:rStyle w:val="FootnoteReference"/>
        </w:rPr>
        <w:footnoteRef/>
      </w:r>
      <w:r w:rsidRPr="00A03B67">
        <w:t xml:space="preserve"> United Workers Union </w:t>
      </w:r>
      <w:r w:rsidR="00B76750">
        <w:t xml:space="preserve">(UWU) </w:t>
      </w:r>
      <w:r w:rsidRPr="00A03B67">
        <w:t>submission, 32.</w:t>
      </w:r>
    </w:p>
  </w:footnote>
  <w:footnote w:id="346">
    <w:p w14:paraId="2D9B4C0F" w14:textId="787FB9EF" w:rsidR="00924664" w:rsidRPr="00A03B67" w:rsidRDefault="00924664" w:rsidP="00924664">
      <w:pPr>
        <w:pStyle w:val="FootnoteText"/>
      </w:pPr>
      <w:r w:rsidRPr="00A03B67">
        <w:rPr>
          <w:rStyle w:val="FootnoteReference"/>
        </w:rPr>
        <w:footnoteRef/>
      </w:r>
      <w:r w:rsidRPr="00A03B67">
        <w:t xml:space="preserve"> Australian Workers Union </w:t>
      </w:r>
      <w:r w:rsidR="00B76750">
        <w:t xml:space="preserve">(AWU) </w:t>
      </w:r>
      <w:r w:rsidRPr="00A03B67">
        <w:t>submission, 1.</w:t>
      </w:r>
    </w:p>
  </w:footnote>
  <w:footnote w:id="347">
    <w:p w14:paraId="39C1A195" w14:textId="55875707" w:rsidR="00924664" w:rsidRPr="00A03B67" w:rsidRDefault="00924664" w:rsidP="00924664">
      <w:pPr>
        <w:pStyle w:val="FootnoteText"/>
      </w:pPr>
      <w:r w:rsidRPr="00A03B67">
        <w:rPr>
          <w:rStyle w:val="FootnoteReference"/>
        </w:rPr>
        <w:footnoteRef/>
      </w:r>
      <w:r w:rsidRPr="00A03B67">
        <w:t xml:space="preserve"> Mining and Energy Union </w:t>
      </w:r>
      <w:r w:rsidR="00B76750">
        <w:t xml:space="preserve">(MEU) </w:t>
      </w:r>
      <w:r w:rsidRPr="00A03B67">
        <w:t>submission, 8.</w:t>
      </w:r>
    </w:p>
  </w:footnote>
  <w:footnote w:id="348">
    <w:p w14:paraId="5460AB91" w14:textId="77777777" w:rsidR="00924664" w:rsidRPr="00A03B67" w:rsidRDefault="00924664" w:rsidP="00924664">
      <w:pPr>
        <w:pStyle w:val="FootnoteText"/>
      </w:pPr>
      <w:r w:rsidRPr="00A03B67">
        <w:rPr>
          <w:rStyle w:val="FootnoteReference"/>
        </w:rPr>
        <w:footnoteRef/>
      </w:r>
      <w:r w:rsidRPr="00A03B67">
        <w:t xml:space="preserve"> </w:t>
      </w:r>
      <w:r w:rsidRPr="00A03B67">
        <w:rPr>
          <w:lang w:val="en-US"/>
        </w:rPr>
        <w:t xml:space="preserve">Community and Public Sector Union </w:t>
      </w:r>
      <w:r w:rsidRPr="00A03B67">
        <w:t>submission, 7.</w:t>
      </w:r>
    </w:p>
  </w:footnote>
  <w:footnote w:id="349">
    <w:p w14:paraId="1BA2BCBC" w14:textId="78CA2AF5" w:rsidR="00924664" w:rsidRPr="00A03B67" w:rsidRDefault="00924664" w:rsidP="00924664">
      <w:pPr>
        <w:pStyle w:val="FootnoteText"/>
      </w:pPr>
      <w:r w:rsidRPr="00A03B67">
        <w:rPr>
          <w:rStyle w:val="FootnoteReference"/>
        </w:rPr>
        <w:footnoteRef/>
      </w:r>
      <w:r w:rsidRPr="00A03B67" w:rsidDel="00B76750">
        <w:t xml:space="preserve"> </w:t>
      </w:r>
      <w:r w:rsidR="00B76750">
        <w:t xml:space="preserve">UWU </w:t>
      </w:r>
      <w:r w:rsidRPr="00A03B67">
        <w:t>submission, 32.</w:t>
      </w:r>
    </w:p>
  </w:footnote>
  <w:footnote w:id="350">
    <w:p w14:paraId="4D2F30B8" w14:textId="7A4E7A77" w:rsidR="00924664" w:rsidRPr="00A03B67" w:rsidRDefault="00924664" w:rsidP="00924664">
      <w:pPr>
        <w:pStyle w:val="FootnoteText"/>
      </w:pPr>
      <w:r w:rsidRPr="00A03B67">
        <w:rPr>
          <w:rStyle w:val="FootnoteReference"/>
        </w:rPr>
        <w:footnoteRef/>
      </w:r>
      <w:r w:rsidRPr="00A03B67">
        <w:t xml:space="preserve"> Australian Council of Trade Unions </w:t>
      </w:r>
      <w:r w:rsidR="00B76750">
        <w:t xml:space="preserve">(ACTU) </w:t>
      </w:r>
      <w:r w:rsidRPr="00A03B67">
        <w:t>submission, 81.</w:t>
      </w:r>
    </w:p>
  </w:footnote>
  <w:footnote w:id="351">
    <w:p w14:paraId="266CD411" w14:textId="1EA4773C" w:rsidR="00924664" w:rsidRDefault="00924664" w:rsidP="00924664">
      <w:pPr>
        <w:pStyle w:val="FootnoteText"/>
      </w:pPr>
      <w:r>
        <w:rPr>
          <w:rStyle w:val="FootnoteReference"/>
        </w:rPr>
        <w:footnoteRef/>
      </w:r>
      <w:r>
        <w:t xml:space="preserve"> ACTU submission in response to draft report, 6.</w:t>
      </w:r>
    </w:p>
  </w:footnote>
  <w:footnote w:id="352">
    <w:p w14:paraId="3810661F" w14:textId="146D5DDD" w:rsidR="00924664" w:rsidRDefault="00924664" w:rsidP="00924664">
      <w:pPr>
        <w:pStyle w:val="FootnoteText"/>
      </w:pPr>
      <w:r>
        <w:rPr>
          <w:rStyle w:val="FootnoteReference"/>
        </w:rPr>
        <w:footnoteRef/>
      </w:r>
      <w:r>
        <w:t xml:space="preserve"> </w:t>
      </w:r>
      <w:r w:rsidR="00B76750" w:rsidRPr="00B76750">
        <w:t xml:space="preserve">Australian Nursing and Midwifery Federation </w:t>
      </w:r>
      <w:r w:rsidR="00B76750">
        <w:t>(</w:t>
      </w:r>
      <w:r>
        <w:t>ANMF</w:t>
      </w:r>
      <w:r w:rsidR="00B76750">
        <w:t>)</w:t>
      </w:r>
      <w:r>
        <w:t xml:space="preserve"> </w:t>
      </w:r>
      <w:r w:rsidR="00AB6836">
        <w:t>s</w:t>
      </w:r>
      <w:r>
        <w:t>ubmission</w:t>
      </w:r>
      <w:r w:rsidRPr="00E4598A">
        <w:t xml:space="preserve"> </w:t>
      </w:r>
      <w:r>
        <w:t>in response to draft report, 2.</w:t>
      </w:r>
    </w:p>
  </w:footnote>
  <w:footnote w:id="353">
    <w:p w14:paraId="682A73D9" w14:textId="493435B7" w:rsidR="00924664" w:rsidRDefault="00924664" w:rsidP="00924664">
      <w:pPr>
        <w:pStyle w:val="FootnoteText"/>
      </w:pPr>
      <w:r>
        <w:rPr>
          <w:rStyle w:val="FootnoteReference"/>
        </w:rPr>
        <w:footnoteRef/>
      </w:r>
      <w:r>
        <w:t xml:space="preserve"> </w:t>
      </w:r>
      <w:r w:rsidR="00B76750" w:rsidRPr="00B76750">
        <w:t xml:space="preserve">Community and Public Sector Union </w:t>
      </w:r>
      <w:r w:rsidR="00B76750">
        <w:t>(</w:t>
      </w:r>
      <w:r>
        <w:t>CPSU</w:t>
      </w:r>
      <w:r w:rsidR="00B76750">
        <w:t>)</w:t>
      </w:r>
      <w:r>
        <w:t xml:space="preserve"> </w:t>
      </w:r>
      <w:r w:rsidR="00AB6836">
        <w:t>s</w:t>
      </w:r>
      <w:r>
        <w:t>ubmission</w:t>
      </w:r>
      <w:r w:rsidRPr="00E4598A">
        <w:t xml:space="preserve"> </w:t>
      </w:r>
      <w:r>
        <w:t>in response to draft report, 4.</w:t>
      </w:r>
    </w:p>
  </w:footnote>
  <w:footnote w:id="354">
    <w:p w14:paraId="3FAB3BB3" w14:textId="7A1A186D" w:rsidR="00924664" w:rsidRDefault="00924664" w:rsidP="00924664">
      <w:pPr>
        <w:pStyle w:val="FootnoteText"/>
      </w:pPr>
      <w:r>
        <w:rPr>
          <w:rStyle w:val="FootnoteReference"/>
        </w:rPr>
        <w:footnoteRef/>
      </w:r>
      <w:r>
        <w:t xml:space="preserve"> </w:t>
      </w:r>
      <w:r w:rsidR="00B76750" w:rsidRPr="00B76750">
        <w:t xml:space="preserve">Shop, Distributive and Allied Employees Association </w:t>
      </w:r>
      <w:r w:rsidR="00B76750">
        <w:t>(</w:t>
      </w:r>
      <w:r>
        <w:t>SDA</w:t>
      </w:r>
      <w:r w:rsidR="00B76750">
        <w:t>)</w:t>
      </w:r>
      <w:r>
        <w:t xml:space="preserve"> </w:t>
      </w:r>
      <w:r w:rsidR="00AB6836">
        <w:t>s</w:t>
      </w:r>
      <w:r>
        <w:t>ubmission</w:t>
      </w:r>
      <w:r w:rsidRPr="00E4598A">
        <w:t xml:space="preserve"> </w:t>
      </w:r>
      <w:r>
        <w:t>in response to draft report, 2.</w:t>
      </w:r>
    </w:p>
  </w:footnote>
  <w:footnote w:id="355">
    <w:p w14:paraId="271E2323" w14:textId="4F39B04E" w:rsidR="00924664" w:rsidRDefault="00924664" w:rsidP="00924664">
      <w:pPr>
        <w:pStyle w:val="FootnoteText"/>
      </w:pPr>
      <w:r>
        <w:rPr>
          <w:rStyle w:val="FootnoteReference"/>
        </w:rPr>
        <w:footnoteRef/>
      </w:r>
      <w:r>
        <w:t xml:space="preserve"> </w:t>
      </w:r>
      <w:r w:rsidR="00B76750" w:rsidRPr="00B76750">
        <w:t xml:space="preserve">Australian Manufacturing Workers’ Union </w:t>
      </w:r>
      <w:r w:rsidR="00B76750">
        <w:t>(</w:t>
      </w:r>
      <w:r>
        <w:t>AMWU</w:t>
      </w:r>
      <w:r w:rsidR="00B76750">
        <w:t>)</w:t>
      </w:r>
      <w:r>
        <w:t xml:space="preserve"> submission in response to draft report, 2.</w:t>
      </w:r>
    </w:p>
  </w:footnote>
  <w:footnote w:id="356">
    <w:p w14:paraId="4A36B8C6" w14:textId="7551FFFB" w:rsidR="00924664" w:rsidRDefault="00924664" w:rsidP="00924664">
      <w:pPr>
        <w:pStyle w:val="FootnoteText"/>
      </w:pPr>
      <w:r>
        <w:rPr>
          <w:rStyle w:val="FootnoteReference"/>
        </w:rPr>
        <w:footnoteRef/>
      </w:r>
      <w:r>
        <w:t xml:space="preserve"> UWU submission in response to draft report, 4.</w:t>
      </w:r>
    </w:p>
  </w:footnote>
  <w:footnote w:id="357">
    <w:p w14:paraId="305B7393" w14:textId="2EAC3DEC" w:rsidR="00924664" w:rsidRDefault="00924664" w:rsidP="00924664">
      <w:pPr>
        <w:pStyle w:val="FootnoteText"/>
      </w:pPr>
      <w:r>
        <w:rPr>
          <w:rStyle w:val="FootnoteReference"/>
        </w:rPr>
        <w:footnoteRef/>
      </w:r>
      <w:r>
        <w:t xml:space="preserve"> Ai Group </w:t>
      </w:r>
      <w:r w:rsidR="00B76750">
        <w:t>s</w:t>
      </w:r>
      <w:r>
        <w:t>ubmission</w:t>
      </w:r>
      <w:r w:rsidRPr="00E4598A">
        <w:t xml:space="preserve"> </w:t>
      </w:r>
      <w:r>
        <w:t>in response to draft report, 47.</w:t>
      </w:r>
    </w:p>
  </w:footnote>
  <w:footnote w:id="358">
    <w:p w14:paraId="3F6D9A9B" w14:textId="5367F8B9" w:rsidR="00924664" w:rsidRDefault="00924664" w:rsidP="00924664">
      <w:pPr>
        <w:pStyle w:val="FootnoteText"/>
      </w:pPr>
      <w:r>
        <w:rPr>
          <w:rStyle w:val="FootnoteReference"/>
        </w:rPr>
        <w:footnoteRef/>
      </w:r>
      <w:r>
        <w:t xml:space="preserve"> ACTU submission in response to draft report, 6.</w:t>
      </w:r>
    </w:p>
  </w:footnote>
  <w:footnote w:id="359">
    <w:p w14:paraId="6AD0FBBB" w14:textId="77777777" w:rsidR="00924664" w:rsidRDefault="00924664" w:rsidP="00924664">
      <w:pPr>
        <w:pStyle w:val="FootnoteText"/>
      </w:pPr>
      <w:r>
        <w:rPr>
          <w:rStyle w:val="FootnoteReference"/>
        </w:rPr>
        <w:footnoteRef/>
      </w:r>
      <w:r>
        <w:t xml:space="preserve"> AWU Submission</w:t>
      </w:r>
      <w:r w:rsidRPr="00E4598A">
        <w:t xml:space="preserve"> </w:t>
      </w:r>
      <w:r>
        <w:t>in response to draft report, 3.</w:t>
      </w:r>
    </w:p>
  </w:footnote>
  <w:footnote w:id="360">
    <w:p w14:paraId="6E562373" w14:textId="77777777" w:rsidR="00924664" w:rsidRDefault="00924664" w:rsidP="00924664">
      <w:pPr>
        <w:pStyle w:val="FootnoteText"/>
      </w:pPr>
      <w:r>
        <w:rPr>
          <w:rStyle w:val="FootnoteReference"/>
        </w:rPr>
        <w:footnoteRef/>
      </w:r>
      <w:r>
        <w:t xml:space="preserve"> CPSU Submission</w:t>
      </w:r>
      <w:r w:rsidRPr="00E4598A">
        <w:t xml:space="preserve"> </w:t>
      </w:r>
      <w:r>
        <w:t>in response to draft report, 4.</w:t>
      </w:r>
    </w:p>
  </w:footnote>
  <w:footnote w:id="361">
    <w:p w14:paraId="799AEFFB" w14:textId="3E799F09" w:rsidR="00924664" w:rsidRDefault="00924664" w:rsidP="00924664">
      <w:pPr>
        <w:pStyle w:val="FootnoteText"/>
      </w:pPr>
      <w:r>
        <w:rPr>
          <w:rStyle w:val="FootnoteReference"/>
        </w:rPr>
        <w:footnoteRef/>
      </w:r>
      <w:r>
        <w:t xml:space="preserve"> AMWU submission in response to draft report, 1</w:t>
      </w:r>
      <w:r w:rsidR="00AB6836">
        <w:rPr>
          <w:rFonts w:ascii="Symbol" w:eastAsia="Symbol" w:hAnsi="Symbol" w:cs="Symbol"/>
        </w:rPr>
        <w:t>-</w:t>
      </w:r>
      <w:r>
        <w:t>2.</w:t>
      </w:r>
    </w:p>
  </w:footnote>
  <w:footnote w:id="362">
    <w:p w14:paraId="47F55E1A" w14:textId="22CDB387" w:rsidR="00924664" w:rsidRDefault="00924664" w:rsidP="00924664">
      <w:pPr>
        <w:pStyle w:val="FootnoteText"/>
      </w:pPr>
      <w:r>
        <w:rPr>
          <w:rStyle w:val="FootnoteReference"/>
        </w:rPr>
        <w:footnoteRef/>
      </w:r>
      <w:r>
        <w:t xml:space="preserve"> UWU submission in response to draft report, 4-5.</w:t>
      </w:r>
    </w:p>
  </w:footnote>
  <w:footnote w:id="363">
    <w:p w14:paraId="2B27F745" w14:textId="02C182AD" w:rsidR="00924664" w:rsidRDefault="00924664" w:rsidP="00924664">
      <w:pPr>
        <w:pStyle w:val="FootnoteText"/>
      </w:pPr>
      <w:r>
        <w:rPr>
          <w:rStyle w:val="FootnoteReference"/>
        </w:rPr>
        <w:footnoteRef/>
      </w:r>
      <w:r>
        <w:t xml:space="preserve"> MIAL </w:t>
      </w:r>
      <w:r w:rsidR="00AB6836">
        <w:t>s</w:t>
      </w:r>
      <w:r>
        <w:t>ubmission</w:t>
      </w:r>
      <w:r w:rsidRPr="00E4598A">
        <w:t xml:space="preserve"> </w:t>
      </w:r>
      <w:r>
        <w:t>in response to draft report, 6.</w:t>
      </w:r>
    </w:p>
  </w:footnote>
  <w:footnote w:id="364">
    <w:p w14:paraId="3745D427" w14:textId="6B776912" w:rsidR="00924664" w:rsidRDefault="00924664" w:rsidP="00924664">
      <w:pPr>
        <w:pStyle w:val="FootnoteText"/>
      </w:pPr>
      <w:r>
        <w:rPr>
          <w:rStyle w:val="FootnoteReference"/>
        </w:rPr>
        <w:footnoteRef/>
      </w:r>
      <w:r>
        <w:t xml:space="preserve"> Master Grocers Australia </w:t>
      </w:r>
      <w:r w:rsidR="00AB6836">
        <w:t>s</w:t>
      </w:r>
      <w:r>
        <w:t>ubmission</w:t>
      </w:r>
      <w:r w:rsidRPr="00E4598A">
        <w:t xml:space="preserve"> </w:t>
      </w:r>
      <w:r>
        <w:t>in response to draft report, 6.</w:t>
      </w:r>
    </w:p>
  </w:footnote>
  <w:footnote w:id="365">
    <w:p w14:paraId="0CE8BDF4" w14:textId="64D13E13" w:rsidR="00924664" w:rsidRDefault="00924664" w:rsidP="00924664">
      <w:pPr>
        <w:pStyle w:val="FootnoteText"/>
      </w:pPr>
      <w:r>
        <w:rPr>
          <w:rStyle w:val="FootnoteReference"/>
        </w:rPr>
        <w:footnoteRef/>
      </w:r>
      <w:r>
        <w:t xml:space="preserve"> ETU </w:t>
      </w:r>
      <w:r w:rsidR="00AB6836">
        <w:t>s</w:t>
      </w:r>
      <w:r>
        <w:t>ubmission</w:t>
      </w:r>
      <w:r w:rsidRPr="00E4598A">
        <w:t xml:space="preserve"> </w:t>
      </w:r>
      <w:r>
        <w:t>in response to draft report, 4.</w:t>
      </w:r>
    </w:p>
  </w:footnote>
  <w:footnote w:id="366">
    <w:p w14:paraId="57CBEEB0" w14:textId="79CA8E1F" w:rsidR="00924664" w:rsidRDefault="00924664" w:rsidP="00924664">
      <w:pPr>
        <w:pStyle w:val="FootnoteText"/>
      </w:pPr>
      <w:r>
        <w:rPr>
          <w:rStyle w:val="FootnoteReference"/>
        </w:rPr>
        <w:footnoteRef/>
      </w:r>
      <w:r>
        <w:t xml:space="preserve"> ACCI</w:t>
      </w:r>
      <w:r w:rsidRPr="001327D5">
        <w:t xml:space="preserve"> </w:t>
      </w:r>
      <w:r w:rsidR="00AB6836">
        <w:t>s</w:t>
      </w:r>
      <w:r>
        <w:t>ubmission</w:t>
      </w:r>
      <w:r w:rsidRPr="00E4598A">
        <w:t xml:space="preserve"> </w:t>
      </w:r>
      <w:r>
        <w:t>in response to draft report, 12.</w:t>
      </w:r>
    </w:p>
  </w:footnote>
  <w:footnote w:id="367">
    <w:p w14:paraId="4590C6DB" w14:textId="4FB0EC18" w:rsidR="00924664" w:rsidRDefault="00924664" w:rsidP="00924664">
      <w:pPr>
        <w:pStyle w:val="FootnoteText"/>
      </w:pPr>
      <w:r>
        <w:rPr>
          <w:rStyle w:val="FootnoteReference"/>
        </w:rPr>
        <w:footnoteRef/>
      </w:r>
      <w:r>
        <w:t xml:space="preserve"> ACCI</w:t>
      </w:r>
      <w:r w:rsidRPr="001327D5">
        <w:t xml:space="preserve"> </w:t>
      </w:r>
      <w:r w:rsidR="00AB6836">
        <w:t>s</w:t>
      </w:r>
      <w:r>
        <w:t>ubmission</w:t>
      </w:r>
      <w:r w:rsidRPr="00E4598A">
        <w:t xml:space="preserve"> </w:t>
      </w:r>
      <w:r>
        <w:t>in response to draft report, 12.</w:t>
      </w:r>
    </w:p>
  </w:footnote>
  <w:footnote w:id="368">
    <w:p w14:paraId="5E298F22" w14:textId="29D1638B" w:rsidR="00924664" w:rsidRDefault="00924664" w:rsidP="00924664">
      <w:pPr>
        <w:pStyle w:val="FootnoteText"/>
      </w:pPr>
      <w:r>
        <w:rPr>
          <w:rStyle w:val="FootnoteReference"/>
        </w:rPr>
        <w:footnoteRef/>
      </w:r>
      <w:r>
        <w:t xml:space="preserve"> AREEA submission in response to draft report, 1</w:t>
      </w:r>
      <w:r w:rsidR="00AB6836">
        <w:rPr>
          <w:rFonts w:ascii="Symbol" w:eastAsia="Symbol" w:hAnsi="Symbol" w:cs="Symbol"/>
        </w:rPr>
        <w:t>-</w:t>
      </w:r>
      <w:r>
        <w:t>2.</w:t>
      </w:r>
    </w:p>
  </w:footnote>
  <w:footnote w:id="369">
    <w:p w14:paraId="7B64E171" w14:textId="2F28F42F" w:rsidR="00924664" w:rsidRDefault="00924664" w:rsidP="00924664">
      <w:pPr>
        <w:pStyle w:val="FootnoteText"/>
      </w:pPr>
      <w:r>
        <w:rPr>
          <w:rStyle w:val="FootnoteReference"/>
        </w:rPr>
        <w:footnoteRef/>
      </w:r>
      <w:r>
        <w:t xml:space="preserve"> ACCI</w:t>
      </w:r>
      <w:r w:rsidRPr="001327D5">
        <w:t xml:space="preserve"> </w:t>
      </w:r>
      <w:r w:rsidR="00AB6836">
        <w:t>s</w:t>
      </w:r>
      <w:r>
        <w:t>ubmission</w:t>
      </w:r>
      <w:r w:rsidRPr="00E4598A">
        <w:t xml:space="preserve"> </w:t>
      </w:r>
      <w:r>
        <w:t>in response to draft report, 12.</w:t>
      </w:r>
    </w:p>
  </w:footnote>
  <w:footnote w:id="370">
    <w:p w14:paraId="6829A0F0" w14:textId="5C597801" w:rsidR="00924664" w:rsidRDefault="00924664" w:rsidP="00924664">
      <w:pPr>
        <w:pStyle w:val="FootnoteText"/>
      </w:pPr>
      <w:r>
        <w:rPr>
          <w:rStyle w:val="FootnoteReference"/>
        </w:rPr>
        <w:footnoteRef/>
      </w:r>
      <w:r>
        <w:t xml:space="preserve"> Clubs Australia </w:t>
      </w:r>
      <w:r w:rsidR="00AB6836">
        <w:t>s</w:t>
      </w:r>
      <w:r>
        <w:t>ubmission</w:t>
      </w:r>
      <w:r w:rsidRPr="00E4598A">
        <w:t xml:space="preserve"> </w:t>
      </w:r>
      <w:r>
        <w:t>in response to draft report, 2.</w:t>
      </w:r>
    </w:p>
  </w:footnote>
  <w:footnote w:id="371">
    <w:p w14:paraId="200FFED1" w14:textId="0DF64410" w:rsidR="00924664" w:rsidRDefault="00924664" w:rsidP="00924664">
      <w:pPr>
        <w:pStyle w:val="FootnoteText"/>
      </w:pPr>
      <w:r>
        <w:rPr>
          <w:rStyle w:val="FootnoteReference"/>
        </w:rPr>
        <w:footnoteRef/>
      </w:r>
      <w:r>
        <w:t xml:space="preserve"> AREEA submission in response to draft report, 1</w:t>
      </w:r>
      <w:r w:rsidR="00AB6836">
        <w:rPr>
          <w:rFonts w:ascii="Symbol" w:eastAsia="Symbol" w:hAnsi="Symbol" w:cs="Symbol"/>
        </w:rPr>
        <w:t>-</w:t>
      </w:r>
      <w:r>
        <w:t>2.</w:t>
      </w:r>
    </w:p>
  </w:footnote>
  <w:footnote w:id="372">
    <w:p w14:paraId="20AF536C" w14:textId="78E6D15D" w:rsidR="00924664" w:rsidRPr="00A03B67" w:rsidRDefault="00924664" w:rsidP="00924664">
      <w:pPr>
        <w:pStyle w:val="FootnoteText"/>
      </w:pPr>
      <w:r w:rsidRPr="00A03B67">
        <w:rPr>
          <w:rStyle w:val="FootnoteReference"/>
        </w:rPr>
        <w:footnoteRef/>
      </w:r>
      <w:r w:rsidRPr="00A03B67">
        <w:t xml:space="preserve"> </w:t>
      </w:r>
      <w:r w:rsidR="00B76750">
        <w:t xml:space="preserve">ACTU </w:t>
      </w:r>
      <w:r w:rsidRPr="00A03B67">
        <w:t>submission, 96.</w:t>
      </w:r>
    </w:p>
  </w:footnote>
  <w:footnote w:id="373">
    <w:p w14:paraId="01201242"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w:t>
      </w:r>
      <w:r w:rsidRPr="00A03B67">
        <w:rPr>
          <w:i/>
        </w:rPr>
        <w:t xml:space="preserve"> Act </w:t>
      </w:r>
      <w:r w:rsidRPr="00A03B67">
        <w:rPr>
          <w:i/>
          <w:iCs/>
        </w:rPr>
        <w:t>2009</w:t>
      </w:r>
      <w:r w:rsidRPr="00A03B67">
        <w:rPr>
          <w:i/>
        </w:rPr>
        <w:t xml:space="preserve"> </w:t>
      </w:r>
      <w:r w:rsidRPr="00A03B67">
        <w:t>(Cth) s 12.</w:t>
      </w:r>
    </w:p>
  </w:footnote>
  <w:footnote w:id="374">
    <w:p w14:paraId="46690E0C"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w:t>
      </w:r>
      <w:r w:rsidRPr="00A03B67">
        <w:rPr>
          <w:i/>
        </w:rPr>
        <w:t xml:space="preserve"> Act </w:t>
      </w:r>
      <w:r w:rsidRPr="00A03B67">
        <w:rPr>
          <w:i/>
          <w:iCs/>
        </w:rPr>
        <w:t>2009</w:t>
      </w:r>
      <w:r w:rsidRPr="00A03B67">
        <w:t xml:space="preserve"> (Cth) s 437(2)(b).</w:t>
      </w:r>
    </w:p>
  </w:footnote>
  <w:footnote w:id="375">
    <w:p w14:paraId="474CB24F" w14:textId="77777777" w:rsidR="00924664" w:rsidRPr="00A03B67" w:rsidRDefault="00924664" w:rsidP="00924664">
      <w:pPr>
        <w:pStyle w:val="FootnoteText"/>
        <w:spacing w:line="276" w:lineRule="auto"/>
      </w:pPr>
      <w:r w:rsidRPr="00A03B67">
        <w:rPr>
          <w:rStyle w:val="FootnoteReference"/>
        </w:rPr>
        <w:footnoteRef/>
      </w:r>
      <w:r w:rsidRPr="00A03B67">
        <w:t xml:space="preserve"> </w:t>
      </w:r>
      <w:r w:rsidRPr="00A03B67">
        <w:rPr>
          <w:i/>
          <w:iCs/>
        </w:rPr>
        <w:t>Fair Work</w:t>
      </w:r>
      <w:r w:rsidRPr="00A03B67">
        <w:rPr>
          <w:i/>
        </w:rPr>
        <w:t xml:space="preserve"> Act</w:t>
      </w:r>
      <w:r w:rsidRPr="00A03B67">
        <w:rPr>
          <w:i/>
          <w:iCs/>
        </w:rPr>
        <w:t xml:space="preserve"> 2009</w:t>
      </w:r>
      <w:r w:rsidRPr="00A03B67">
        <w:rPr>
          <w:i/>
        </w:rPr>
        <w:t xml:space="preserve"> </w:t>
      </w:r>
      <w:r w:rsidRPr="00A03B67">
        <w:t>(Cth) s 240(3)</w:t>
      </w:r>
      <w:r w:rsidRPr="00A03B67">
        <w:rPr>
          <w:rFonts w:ascii="Symbol" w:eastAsia="Symbol" w:hAnsi="Symbol" w:cs="Symbol"/>
        </w:rPr>
        <w:t>-</w:t>
      </w:r>
      <w:r w:rsidRPr="00A03B67">
        <w:t>(4).</w:t>
      </w:r>
    </w:p>
  </w:footnote>
  <w:footnote w:id="376">
    <w:p w14:paraId="64615EBB" w14:textId="77777777" w:rsidR="00924664" w:rsidRPr="00A03B67" w:rsidRDefault="00924664" w:rsidP="00924664">
      <w:pPr>
        <w:pStyle w:val="FootnoteText"/>
      </w:pPr>
      <w:r w:rsidRPr="00A03B67">
        <w:rPr>
          <w:rStyle w:val="FootnoteReference"/>
        </w:rPr>
        <w:footnoteRef/>
      </w:r>
      <w:r w:rsidRPr="00A03B67">
        <w:t xml:space="preserve"> </w:t>
      </w:r>
      <w:r w:rsidRPr="00A03B67">
        <w:rPr>
          <w:i/>
        </w:rPr>
        <w:t>Fair Work Act 2009</w:t>
      </w:r>
      <w:r w:rsidRPr="00A03B67">
        <w:t xml:space="preserve"> (Cth) s 186(2A).</w:t>
      </w:r>
    </w:p>
  </w:footnote>
  <w:footnote w:id="377">
    <w:p w14:paraId="067C2A91" w14:textId="77777777" w:rsidR="00924664" w:rsidRPr="00A03B67" w:rsidRDefault="00924664" w:rsidP="00924664">
      <w:pPr>
        <w:pStyle w:val="FootnoteText"/>
      </w:pPr>
      <w:r w:rsidRPr="00A03B67">
        <w:rPr>
          <w:rStyle w:val="FootnoteReference"/>
        </w:rPr>
        <w:footnoteRef/>
      </w:r>
      <w:r w:rsidRPr="00A03B67">
        <w:t xml:space="preserve"> </w:t>
      </w:r>
      <w:r w:rsidRPr="00A03B67">
        <w:rPr>
          <w:i/>
        </w:rPr>
        <w:t>Fair Work Act 2009</w:t>
      </w:r>
      <w:r w:rsidRPr="00A03B67">
        <w:t xml:space="preserve"> (Cth) s 180A.</w:t>
      </w:r>
    </w:p>
  </w:footnote>
  <w:footnote w:id="378">
    <w:p w14:paraId="6479AF1A" w14:textId="77777777" w:rsidR="00924664" w:rsidRPr="00A03B67" w:rsidRDefault="00924664" w:rsidP="00924664">
      <w:pPr>
        <w:pStyle w:val="FootnoteText"/>
      </w:pPr>
      <w:r w:rsidRPr="00A03B67">
        <w:rPr>
          <w:rStyle w:val="FootnoteReference"/>
        </w:rPr>
        <w:footnoteRef/>
      </w:r>
      <w:r w:rsidRPr="00A03B67">
        <w:t xml:space="preserve"> Commonwealth, </w:t>
      </w:r>
      <w:r w:rsidRPr="00A03B67">
        <w:rPr>
          <w:i/>
          <w:iCs/>
        </w:rPr>
        <w:t xml:space="preserve">Parliamentary Debates, </w:t>
      </w:r>
      <w:r w:rsidRPr="00A03B67">
        <w:t>House of Representatives, 27 October 2022, 2181 (Tony Burke, Minister for Employment and Workplace Relations).</w:t>
      </w:r>
    </w:p>
  </w:footnote>
  <w:footnote w:id="379">
    <w:p w14:paraId="2B3F5BA7" w14:textId="77777777" w:rsidR="00924664" w:rsidRPr="00A03B67" w:rsidRDefault="00924664" w:rsidP="00924664">
      <w:pPr>
        <w:pStyle w:val="FootnoteText"/>
      </w:pPr>
      <w:r w:rsidRPr="00A03B67">
        <w:rPr>
          <w:rStyle w:val="FootnoteReference"/>
        </w:rPr>
        <w:footnoteRef/>
      </w:r>
      <w:r w:rsidRPr="00A03B67">
        <w:t xml:space="preserve"> Regulation Impact Statement, Fair Work Legislation Amendment (Secure Jobs, Better Pay) Bill 2022, 33.</w:t>
      </w:r>
    </w:p>
  </w:footnote>
  <w:footnote w:id="380">
    <w:p w14:paraId="38ABDC07" w14:textId="77777777" w:rsidR="00924664" w:rsidRPr="00A03B67" w:rsidRDefault="00924664" w:rsidP="00924664">
      <w:pPr>
        <w:pStyle w:val="FootnoteText"/>
      </w:pPr>
      <w:r w:rsidRPr="00A03B67">
        <w:rPr>
          <w:rStyle w:val="FootnoteReference"/>
        </w:rPr>
        <w:footnoteRef/>
      </w:r>
      <w:r w:rsidRPr="00A03B67">
        <w:t xml:space="preserve"> Commonwealth, </w:t>
      </w:r>
      <w:r w:rsidRPr="00A03B67">
        <w:rPr>
          <w:i/>
          <w:iCs/>
        </w:rPr>
        <w:t xml:space="preserve">Parliamentary Debates, </w:t>
      </w:r>
      <w:r w:rsidRPr="00A03B67">
        <w:t>House of Representatives, 27 October 2022, 2181 (Tony Burke, Minister for Employment and Workplace Relations).</w:t>
      </w:r>
    </w:p>
  </w:footnote>
  <w:footnote w:id="381">
    <w:p w14:paraId="3424C186" w14:textId="77777777" w:rsidR="00924664" w:rsidRPr="00A03B67" w:rsidRDefault="00924664" w:rsidP="00924664">
      <w:pPr>
        <w:pStyle w:val="FootnoteText"/>
      </w:pPr>
      <w:r w:rsidRPr="00A03B67">
        <w:rPr>
          <w:rStyle w:val="FootnoteReference"/>
        </w:rPr>
        <w:footnoteRef/>
      </w:r>
      <w:r w:rsidRPr="00A03B67">
        <w:t xml:space="preserve"> Commonwealth, </w:t>
      </w:r>
      <w:r w:rsidRPr="00A03B67">
        <w:rPr>
          <w:i/>
          <w:iCs/>
        </w:rPr>
        <w:t xml:space="preserve">Parliamentary Debates, </w:t>
      </w:r>
      <w:r w:rsidRPr="00A03B67">
        <w:t>House of Representatives, 27 October 2022, 2181 (Tony Burke, Minister for Employment and Workplace Relations)</w:t>
      </w:r>
      <w:r w:rsidRPr="00A03B67" w:rsidDel="005A6A41">
        <w:t>.</w:t>
      </w:r>
    </w:p>
  </w:footnote>
  <w:footnote w:id="382">
    <w:p w14:paraId="01210860" w14:textId="14E7078C" w:rsidR="00924664" w:rsidRPr="00A03B67" w:rsidRDefault="00924664" w:rsidP="00924664">
      <w:pPr>
        <w:pStyle w:val="FootnoteText"/>
      </w:pPr>
      <w:r w:rsidRPr="00A03B67">
        <w:rPr>
          <w:rStyle w:val="FootnoteReference"/>
        </w:rPr>
        <w:footnoteRef/>
      </w:r>
      <w:r w:rsidR="00AB6836">
        <w:t xml:space="preserve">Department of Employment and Workplace Relations Workplace Agreements Database, </w:t>
      </w:r>
      <w:r w:rsidRPr="00A03B67">
        <w:t>data to 30 September 2024.</w:t>
      </w:r>
    </w:p>
  </w:footnote>
  <w:footnote w:id="383">
    <w:p w14:paraId="6B4B046B" w14:textId="464F9A90" w:rsidR="00924664" w:rsidRPr="00A03B67" w:rsidRDefault="00924664" w:rsidP="00924664">
      <w:pPr>
        <w:pStyle w:val="FootnoteText"/>
      </w:pPr>
      <w:r w:rsidRPr="00A03B67">
        <w:rPr>
          <w:rStyle w:val="FootnoteReference"/>
        </w:rPr>
        <w:footnoteRef/>
      </w:r>
      <w:r w:rsidRPr="00A03B67">
        <w:t xml:space="preserve"> </w:t>
      </w:r>
      <w:r w:rsidR="00AB6836">
        <w:t>Department of Employment and Workplace Relations Workplace Agreements Database,</w:t>
      </w:r>
      <w:r w:rsidR="00AB6836" w:rsidRPr="00A03B67" w:rsidDel="00AB6836">
        <w:t xml:space="preserve"> </w:t>
      </w:r>
      <w:r w:rsidRPr="00A03B67">
        <w:t>data to 30 September 2024.</w:t>
      </w:r>
    </w:p>
  </w:footnote>
  <w:footnote w:id="384">
    <w:p w14:paraId="37F569E5" w14:textId="31003076" w:rsidR="00924664" w:rsidRPr="00A03B67" w:rsidRDefault="00924664" w:rsidP="00924664">
      <w:pPr>
        <w:pStyle w:val="FootnoteText"/>
      </w:pPr>
      <w:r w:rsidRPr="00A03B67">
        <w:rPr>
          <w:rStyle w:val="FootnoteReference"/>
        </w:rPr>
        <w:footnoteRef/>
      </w:r>
      <w:r w:rsidRPr="00A03B67">
        <w:t xml:space="preserve"> </w:t>
      </w:r>
      <w:r w:rsidRPr="00A03B67">
        <w:rPr>
          <w:i/>
          <w:iCs/>
        </w:rPr>
        <w:t xml:space="preserve">Application by Inner West Community Enterprises Limited </w:t>
      </w:r>
      <w:r w:rsidRPr="00A03B67" w:rsidDel="000551D1">
        <w:rPr>
          <w:i/>
          <w:iCs/>
        </w:rPr>
        <w:t>T/A</w:t>
      </w:r>
      <w:r w:rsidRPr="00A03B67">
        <w:rPr>
          <w:i/>
          <w:iCs/>
        </w:rPr>
        <w:t xml:space="preserve"> Seddon Community Bank </w:t>
      </w:r>
      <w:r w:rsidRPr="00A03B67">
        <w:t xml:space="preserve">[2024] FWCA 2835; </w:t>
      </w:r>
      <w:r w:rsidRPr="00A03B67">
        <w:rPr>
          <w:i/>
          <w:iCs/>
        </w:rPr>
        <w:t xml:space="preserve">Application by Break O’Day Community Financial Services Ltd &amp; Cardwell &amp; District Community Enterprises Limited and Others </w:t>
      </w:r>
      <w:r w:rsidRPr="00A03B67">
        <w:t xml:space="preserve">[2024] FWCA 3687; </w:t>
      </w:r>
      <w:r w:rsidRPr="00A03B67">
        <w:rPr>
          <w:i/>
        </w:rPr>
        <w:t xml:space="preserve">Application by our Lady of Sion College Ltd </w:t>
      </w:r>
      <w:r w:rsidRPr="00A03B67" w:rsidDel="000551D1">
        <w:rPr>
          <w:i/>
        </w:rPr>
        <w:t>T/A</w:t>
      </w:r>
      <w:r w:rsidRPr="00A03B67">
        <w:rPr>
          <w:i/>
        </w:rPr>
        <w:t xml:space="preserve"> Our Lady of Sion College</w:t>
      </w:r>
      <w:r w:rsidRPr="00A03B67">
        <w:t xml:space="preserve"> [2024] FWCA 1690.</w:t>
      </w:r>
    </w:p>
  </w:footnote>
  <w:footnote w:id="385">
    <w:p w14:paraId="5CEC404B" w14:textId="77777777" w:rsidR="00924664" w:rsidRPr="00A03B67" w:rsidRDefault="00924664" w:rsidP="00924664">
      <w:pPr>
        <w:pStyle w:val="FootnoteText"/>
      </w:pPr>
      <w:r w:rsidRPr="00A03B67">
        <w:rPr>
          <w:rStyle w:val="FootnoteReference"/>
        </w:rPr>
        <w:footnoteRef/>
      </w:r>
      <w:r w:rsidRPr="00A03B67">
        <w:t xml:space="preserve"> </w:t>
      </w:r>
      <w:r w:rsidRPr="00A03B67">
        <w:rPr>
          <w:rFonts w:eastAsia="Times New Roman" w:cs="Times New Roman"/>
          <w:i/>
          <w:iCs/>
        </w:rPr>
        <w:t>Application by Inner West Community Enterprises Limited T/A Seddon Community Bank (Seddon Community Bank</w:t>
      </w:r>
      <w:r w:rsidRPr="00A03B67">
        <w:t xml:space="preserve"> [2024] FWCA 2835.</w:t>
      </w:r>
    </w:p>
  </w:footnote>
  <w:footnote w:id="386">
    <w:p w14:paraId="6E6B6FBC" w14:textId="0452DFB6" w:rsidR="00924664" w:rsidRPr="00A03B67" w:rsidRDefault="00924664" w:rsidP="00924664">
      <w:pPr>
        <w:pStyle w:val="FootnoteText"/>
      </w:pPr>
      <w:r w:rsidRPr="00A03B67">
        <w:rPr>
          <w:rStyle w:val="FootnoteReference"/>
        </w:rPr>
        <w:footnoteRef/>
      </w:r>
      <w:r w:rsidRPr="00A03B67">
        <w:t xml:space="preserve"> </w:t>
      </w:r>
      <w:r w:rsidRPr="00A03B67">
        <w:rPr>
          <w:rFonts w:eastAsia="Times New Roman" w:cs="Times New Roman"/>
          <w:i/>
          <w:iCs/>
        </w:rPr>
        <w:t>Application by Break O</w:t>
      </w:r>
      <w:r w:rsidR="00443431">
        <w:rPr>
          <w:rFonts w:eastAsia="Times New Roman" w:cs="Times New Roman"/>
          <w:i/>
          <w:iCs/>
        </w:rPr>
        <w:t>’</w:t>
      </w:r>
      <w:r w:rsidRPr="00A03B67">
        <w:rPr>
          <w:rFonts w:eastAsia="Times New Roman" w:cs="Times New Roman"/>
          <w:i/>
          <w:iCs/>
        </w:rPr>
        <w:t>Day Community Financial Services Ltd &amp; Cardwell &amp; District Community Enterprises Limited and Others</w:t>
      </w:r>
      <w:r w:rsidRPr="00A03B67">
        <w:t xml:space="preserve"> [2024] FWCA 3687.</w:t>
      </w:r>
    </w:p>
  </w:footnote>
  <w:footnote w:id="387">
    <w:p w14:paraId="2AAA6E1E" w14:textId="4F548348" w:rsidR="00924664" w:rsidRPr="00551B60" w:rsidRDefault="00924664" w:rsidP="00924664">
      <w:pPr>
        <w:pStyle w:val="FootnoteText"/>
      </w:pPr>
      <w:r w:rsidRPr="00A03B67">
        <w:rPr>
          <w:rStyle w:val="FootnoteReference"/>
        </w:rPr>
        <w:footnoteRef/>
      </w:r>
      <w:r w:rsidRPr="00A03B67">
        <w:t xml:space="preserve"> </w:t>
      </w:r>
      <w:r w:rsidRPr="00A03B67">
        <w:rPr>
          <w:i/>
          <w:iCs/>
        </w:rPr>
        <w:t>Application</w:t>
      </w:r>
      <w:r w:rsidRPr="00A03B67">
        <w:rPr>
          <w:rFonts w:ascii="Calibri" w:hAnsi="Calibri" w:cs="Calibri"/>
          <w:i/>
        </w:rPr>
        <w:t xml:space="preserve"> by Inner West Community Enterprises </w:t>
      </w:r>
      <w:r w:rsidRPr="00551B60">
        <w:rPr>
          <w:rFonts w:ascii="Calibri" w:hAnsi="Calibri" w:cs="Calibri"/>
          <w:i/>
        </w:rPr>
        <w:t xml:space="preserve">Limited </w:t>
      </w:r>
      <w:r w:rsidRPr="00551B60" w:rsidDel="00551B60">
        <w:rPr>
          <w:rFonts w:ascii="Calibri" w:hAnsi="Calibri" w:cs="Calibri"/>
          <w:i/>
        </w:rPr>
        <w:t>T/A</w:t>
      </w:r>
      <w:r w:rsidRPr="00551B60">
        <w:rPr>
          <w:rFonts w:ascii="Calibri" w:hAnsi="Calibri" w:cs="Calibri"/>
          <w:i/>
        </w:rPr>
        <w:t xml:space="preserve"> Seddon Community Bank (Seddon Community Bank) </w:t>
      </w:r>
      <w:hyperlink r:id="rId1" w:tgtFrame="_blank" w:history="1">
        <w:r w:rsidRPr="00551B60">
          <w:rPr>
            <w:rFonts w:ascii="Calibri" w:hAnsi="Calibri" w:cs="Calibri"/>
          </w:rPr>
          <w:t>[2024] FWCA 2835</w:t>
        </w:r>
      </w:hyperlink>
      <w:r w:rsidRPr="00551B60">
        <w:rPr>
          <w:rFonts w:ascii="Calibri" w:hAnsi="Calibri" w:cs="Calibri"/>
        </w:rPr>
        <w:t xml:space="preserve"> [1]; </w:t>
      </w:r>
      <w:r w:rsidRPr="00551B60">
        <w:rPr>
          <w:rFonts w:ascii="Calibri" w:hAnsi="Calibri" w:cs="Calibri"/>
          <w:i/>
        </w:rPr>
        <w:t xml:space="preserve">Application by Break </w:t>
      </w:r>
      <w:r w:rsidRPr="00551B60">
        <w:rPr>
          <w:i/>
          <w:iCs/>
        </w:rPr>
        <w:t>O’Day</w:t>
      </w:r>
      <w:r w:rsidRPr="00551B60">
        <w:rPr>
          <w:rFonts w:ascii="Calibri" w:hAnsi="Calibri" w:cs="Calibri"/>
          <w:i/>
        </w:rPr>
        <w:t xml:space="preserve"> Community Financial Services Ltd &amp; Cardwell &amp; District Community Enterprises Limited and Others</w:t>
      </w:r>
      <w:r w:rsidRPr="00551B60">
        <w:rPr>
          <w:rFonts w:ascii="Calibri" w:hAnsi="Calibri" w:cs="Calibri"/>
        </w:rPr>
        <w:t xml:space="preserve"> [2024] FWCA 3687 [3].</w:t>
      </w:r>
    </w:p>
  </w:footnote>
  <w:footnote w:id="388">
    <w:p w14:paraId="674F4140" w14:textId="5BD24552" w:rsidR="00924664" w:rsidRPr="00A03B67" w:rsidRDefault="00924664" w:rsidP="00924664">
      <w:pPr>
        <w:pStyle w:val="FootnoteText"/>
      </w:pPr>
      <w:r w:rsidRPr="00551B60">
        <w:rPr>
          <w:rStyle w:val="FootnoteReference"/>
        </w:rPr>
        <w:footnoteRef/>
      </w:r>
      <w:r w:rsidRPr="00551B60">
        <w:t xml:space="preserve"> </w:t>
      </w:r>
      <w:r w:rsidRPr="00551B60">
        <w:rPr>
          <w:i/>
          <w:iCs/>
        </w:rPr>
        <w:t>Application</w:t>
      </w:r>
      <w:r w:rsidRPr="00551B60">
        <w:rPr>
          <w:rFonts w:ascii="Calibri" w:hAnsi="Calibri" w:cs="Calibri"/>
          <w:i/>
        </w:rPr>
        <w:t xml:space="preserve"> by Inner West Community Enterprises Limited </w:t>
      </w:r>
      <w:r w:rsidRPr="00551B60" w:rsidDel="00551B60">
        <w:rPr>
          <w:rFonts w:ascii="Calibri" w:hAnsi="Calibri" w:cs="Calibri"/>
          <w:i/>
        </w:rPr>
        <w:t>T/A</w:t>
      </w:r>
      <w:r w:rsidRPr="00551B60">
        <w:rPr>
          <w:rFonts w:ascii="Calibri" w:hAnsi="Calibri" w:cs="Calibri"/>
          <w:i/>
        </w:rPr>
        <w:t xml:space="preserve"> Seddon Community Bank (Seddon Community Bank)</w:t>
      </w:r>
      <w:r w:rsidRPr="00551B60">
        <w:rPr>
          <w:rFonts w:ascii="Calibri" w:hAnsi="Calibri" w:cs="Calibri"/>
        </w:rPr>
        <w:t xml:space="preserve"> </w:t>
      </w:r>
      <w:hyperlink r:id="rId2" w:tgtFrame="_blank" w:history="1">
        <w:r w:rsidRPr="00551B60">
          <w:rPr>
            <w:rFonts w:ascii="Calibri" w:hAnsi="Calibri" w:cs="Calibri"/>
          </w:rPr>
          <w:t>[2024] FWCA 2835</w:t>
        </w:r>
      </w:hyperlink>
      <w:r w:rsidRPr="00551B60">
        <w:rPr>
          <w:rFonts w:ascii="Calibri" w:hAnsi="Calibri" w:cs="Calibri"/>
        </w:rPr>
        <w:t xml:space="preserve"> [13</w:t>
      </w:r>
      <w:r w:rsidRPr="00551B60">
        <w:rPr>
          <w:rFonts w:ascii="Calibri" w:hAnsi="Calibri" w:cs="Calibri"/>
          <w:iCs/>
        </w:rPr>
        <w:t>];</w:t>
      </w:r>
      <w:r w:rsidRPr="00551B60">
        <w:rPr>
          <w:rFonts w:ascii="Calibri" w:hAnsi="Calibri" w:cs="Calibri"/>
          <w:i/>
        </w:rPr>
        <w:t xml:space="preserve"> Application by Break </w:t>
      </w:r>
      <w:r w:rsidRPr="00551B60">
        <w:rPr>
          <w:i/>
          <w:iCs/>
        </w:rPr>
        <w:t>O’Day</w:t>
      </w:r>
      <w:r w:rsidRPr="00551B60">
        <w:rPr>
          <w:rFonts w:ascii="Calibri" w:hAnsi="Calibri" w:cs="Calibri"/>
          <w:i/>
        </w:rPr>
        <w:t xml:space="preserve"> Community Financial</w:t>
      </w:r>
      <w:r w:rsidRPr="00A03B67">
        <w:rPr>
          <w:rFonts w:ascii="Calibri" w:hAnsi="Calibri" w:cs="Calibri"/>
          <w:i/>
        </w:rPr>
        <w:t xml:space="preserve"> Services Ltd &amp; Cardwell &amp; District Community Enterprises Limited and Others</w:t>
      </w:r>
      <w:r w:rsidRPr="00A03B67">
        <w:rPr>
          <w:rFonts w:ascii="Calibri" w:hAnsi="Calibri" w:cs="Calibri"/>
        </w:rPr>
        <w:t xml:space="preserve"> [2024] FWCA 3687 [18].</w:t>
      </w:r>
    </w:p>
  </w:footnote>
  <w:footnote w:id="389">
    <w:p w14:paraId="6687119C" w14:textId="6C77D508" w:rsidR="00924664" w:rsidRPr="00A03B67" w:rsidRDefault="00924664" w:rsidP="00924664">
      <w:pPr>
        <w:pStyle w:val="FootnoteText"/>
      </w:pPr>
      <w:r w:rsidRPr="00A03B67">
        <w:rPr>
          <w:rStyle w:val="FootnoteReference"/>
        </w:rPr>
        <w:footnoteRef/>
      </w:r>
      <w:r w:rsidRPr="00A03B67">
        <w:t xml:space="preserve"> </w:t>
      </w:r>
      <w:r w:rsidRPr="00A03B67">
        <w:rPr>
          <w:i/>
          <w:iCs/>
        </w:rPr>
        <w:t>Application</w:t>
      </w:r>
      <w:r w:rsidRPr="00A03B67">
        <w:rPr>
          <w:rFonts w:ascii="Calibri" w:hAnsi="Calibri" w:cs="Calibri"/>
          <w:i/>
          <w:iCs/>
        </w:rPr>
        <w:t xml:space="preserve"> by Inner West Community Enterprises Limited </w:t>
      </w:r>
      <w:r w:rsidRPr="00A03B67" w:rsidDel="00551B60">
        <w:rPr>
          <w:rFonts w:ascii="Calibri" w:hAnsi="Calibri" w:cs="Calibri"/>
          <w:i/>
          <w:iCs/>
        </w:rPr>
        <w:t>T/A</w:t>
      </w:r>
      <w:r w:rsidRPr="00A03B67">
        <w:rPr>
          <w:rFonts w:ascii="Calibri" w:hAnsi="Calibri" w:cs="Calibri"/>
          <w:i/>
          <w:iCs/>
        </w:rPr>
        <w:t xml:space="preserve"> Seddon Community Bank (Seddon Community Bank)</w:t>
      </w:r>
      <w:r w:rsidRPr="00A03B67">
        <w:rPr>
          <w:rFonts w:ascii="Calibri" w:hAnsi="Calibri" w:cs="Calibri"/>
        </w:rPr>
        <w:t xml:space="preserve"> </w:t>
      </w:r>
      <w:hyperlink r:id="rId3" w:tgtFrame="_blank" w:history="1">
        <w:r w:rsidRPr="00A03B67">
          <w:rPr>
            <w:rFonts w:ascii="Calibri" w:hAnsi="Calibri" w:cs="Calibri"/>
          </w:rPr>
          <w:t>[2024] FWCA 2835</w:t>
        </w:r>
      </w:hyperlink>
      <w:r w:rsidRPr="00A03B67">
        <w:rPr>
          <w:rFonts w:ascii="Calibri" w:hAnsi="Calibri" w:cs="Calibri"/>
        </w:rPr>
        <w:t xml:space="preserve"> [14]; </w:t>
      </w:r>
      <w:r w:rsidRPr="00A03B67">
        <w:rPr>
          <w:rFonts w:ascii="Calibri" w:hAnsi="Calibri" w:cs="Calibri"/>
          <w:i/>
        </w:rPr>
        <w:t xml:space="preserve">Application by Break </w:t>
      </w:r>
      <w:r w:rsidRPr="00A03B67">
        <w:rPr>
          <w:i/>
          <w:iCs/>
        </w:rPr>
        <w:t>O’Day</w:t>
      </w:r>
      <w:r w:rsidRPr="00A03B67">
        <w:rPr>
          <w:rFonts w:ascii="Calibri" w:hAnsi="Calibri" w:cs="Calibri"/>
          <w:i/>
        </w:rPr>
        <w:t xml:space="preserve"> Community Financial Services Ltd &amp; Cardwell &amp; District Community Enterprises Limited and Others</w:t>
      </w:r>
      <w:r w:rsidRPr="00A03B67">
        <w:rPr>
          <w:rFonts w:ascii="Calibri" w:hAnsi="Calibri" w:cs="Calibri"/>
        </w:rPr>
        <w:t xml:space="preserve"> [2024] FWCA 3687 [19].</w:t>
      </w:r>
    </w:p>
  </w:footnote>
  <w:footnote w:id="390">
    <w:p w14:paraId="66BB73F2" w14:textId="641A48BF" w:rsidR="00924664" w:rsidRPr="00A03B67" w:rsidRDefault="00924664" w:rsidP="00924664">
      <w:pPr>
        <w:pStyle w:val="FootnoteText"/>
        <w:rPr>
          <w:rFonts w:ascii="Calibri" w:hAnsi="Calibri" w:cs="Calibri"/>
        </w:rPr>
      </w:pPr>
      <w:r w:rsidRPr="00A03B67">
        <w:rPr>
          <w:rStyle w:val="FootnoteReference"/>
        </w:rPr>
        <w:footnoteRef/>
      </w:r>
      <w:r w:rsidRPr="00A03B67">
        <w:t xml:space="preserve"> </w:t>
      </w:r>
      <w:r w:rsidRPr="00A03B67">
        <w:rPr>
          <w:i/>
          <w:iCs/>
        </w:rPr>
        <w:t>Application</w:t>
      </w:r>
      <w:r w:rsidRPr="00A03B67">
        <w:rPr>
          <w:rFonts w:ascii="Calibri" w:hAnsi="Calibri" w:cs="Calibri"/>
        </w:rPr>
        <w:t xml:space="preserve"> </w:t>
      </w:r>
      <w:r w:rsidRPr="00A03B67">
        <w:rPr>
          <w:rFonts w:ascii="Calibri" w:hAnsi="Calibri" w:cs="Calibri"/>
          <w:i/>
          <w:iCs/>
        </w:rPr>
        <w:t xml:space="preserve">by Inner West Community Enterprises Limited </w:t>
      </w:r>
      <w:r w:rsidRPr="00A03B67" w:rsidDel="00551B60">
        <w:rPr>
          <w:rFonts w:ascii="Calibri" w:hAnsi="Calibri" w:cs="Calibri"/>
          <w:i/>
          <w:iCs/>
        </w:rPr>
        <w:t>T/A</w:t>
      </w:r>
      <w:r w:rsidRPr="00A03B67">
        <w:rPr>
          <w:rFonts w:ascii="Calibri" w:hAnsi="Calibri" w:cs="Calibri"/>
          <w:i/>
          <w:iCs/>
        </w:rPr>
        <w:t xml:space="preserve"> Seddon Community Bank (Seddon Community Bank)</w:t>
      </w:r>
      <w:r w:rsidRPr="00A03B67">
        <w:rPr>
          <w:rFonts w:ascii="Calibri" w:hAnsi="Calibri" w:cs="Calibri"/>
        </w:rPr>
        <w:t xml:space="preserve"> </w:t>
      </w:r>
      <w:hyperlink r:id="rId4" w:tgtFrame="_blank" w:history="1">
        <w:r w:rsidRPr="00A03B67">
          <w:rPr>
            <w:rFonts w:ascii="Calibri" w:hAnsi="Calibri" w:cs="Calibri"/>
          </w:rPr>
          <w:t>[2024] FWCA 2835</w:t>
        </w:r>
      </w:hyperlink>
      <w:r w:rsidRPr="00A03B67">
        <w:rPr>
          <w:rFonts w:ascii="Calibri" w:hAnsi="Calibri" w:cs="Calibri"/>
        </w:rPr>
        <w:t xml:space="preserve"> [16]; </w:t>
      </w:r>
      <w:r w:rsidRPr="00A03B67">
        <w:rPr>
          <w:rFonts w:ascii="Calibri" w:hAnsi="Calibri" w:cs="Calibri"/>
          <w:i/>
        </w:rPr>
        <w:t>Application</w:t>
      </w:r>
      <w:r w:rsidRPr="00A03B67">
        <w:rPr>
          <w:rFonts w:ascii="Calibri" w:hAnsi="Calibri" w:cs="Calibri"/>
        </w:rPr>
        <w:t xml:space="preserve"> by </w:t>
      </w:r>
      <w:r w:rsidRPr="00A03B67">
        <w:rPr>
          <w:rFonts w:ascii="Calibri" w:hAnsi="Calibri" w:cs="Calibri"/>
          <w:i/>
          <w:iCs/>
        </w:rPr>
        <w:t>Break</w:t>
      </w:r>
      <w:r w:rsidRPr="00A03B67">
        <w:rPr>
          <w:rFonts w:ascii="Calibri" w:hAnsi="Calibri" w:cs="Calibri"/>
        </w:rPr>
        <w:t xml:space="preserve"> </w:t>
      </w:r>
      <w:r w:rsidRPr="00A03B67">
        <w:rPr>
          <w:i/>
          <w:iCs/>
        </w:rPr>
        <w:t>O’Day</w:t>
      </w:r>
      <w:r w:rsidRPr="00A03B67">
        <w:rPr>
          <w:rFonts w:ascii="Calibri" w:hAnsi="Calibri" w:cs="Calibri"/>
        </w:rPr>
        <w:t xml:space="preserve"> </w:t>
      </w:r>
      <w:r w:rsidRPr="00A03B67">
        <w:rPr>
          <w:rFonts w:ascii="Calibri" w:hAnsi="Calibri" w:cs="Calibri"/>
          <w:i/>
          <w:iCs/>
        </w:rPr>
        <w:t>Community Financial Services Ltd &amp; Cardwell &amp; District Community</w:t>
      </w:r>
      <w:r w:rsidRPr="00A03B67">
        <w:rPr>
          <w:rFonts w:ascii="Calibri" w:hAnsi="Calibri" w:cs="Calibri"/>
        </w:rPr>
        <w:t xml:space="preserve"> </w:t>
      </w:r>
      <w:r w:rsidRPr="00A03B67">
        <w:rPr>
          <w:rFonts w:ascii="Calibri" w:hAnsi="Calibri" w:cs="Calibri"/>
          <w:i/>
          <w:iCs/>
        </w:rPr>
        <w:t>Enterprises Limited and Others</w:t>
      </w:r>
      <w:r w:rsidRPr="00A03B67">
        <w:rPr>
          <w:rFonts w:ascii="Calibri" w:hAnsi="Calibri" w:cs="Calibri"/>
        </w:rPr>
        <w:t xml:space="preserve"> [2024] FWCA 3687 [21]</w:t>
      </w:r>
      <w:r w:rsidR="00AB6836">
        <w:rPr>
          <w:rFonts w:ascii="Symbol" w:eastAsia="Symbol" w:hAnsi="Symbol" w:cs="Symbol"/>
        </w:rPr>
        <w:t>-</w:t>
      </w:r>
      <w:r w:rsidRPr="00A03B67">
        <w:rPr>
          <w:rFonts w:ascii="Calibri" w:hAnsi="Calibri" w:cs="Calibri"/>
        </w:rPr>
        <w:t>[22].</w:t>
      </w:r>
    </w:p>
  </w:footnote>
  <w:footnote w:id="391">
    <w:p w14:paraId="405C08CB" w14:textId="27EA19D1" w:rsidR="00924664" w:rsidRPr="00A03B67" w:rsidRDefault="00924664" w:rsidP="00924664">
      <w:pPr>
        <w:pStyle w:val="FootnoteText"/>
      </w:pPr>
      <w:r w:rsidRPr="00A03B67">
        <w:rPr>
          <w:rStyle w:val="FootnoteReference"/>
        </w:rPr>
        <w:footnoteRef/>
      </w:r>
      <w:r w:rsidRPr="00A03B67">
        <w:rPr>
          <w:rFonts w:eastAsia="Times New Roman" w:cs="Times New Roman"/>
          <w:i/>
          <w:iCs/>
        </w:rPr>
        <w:t xml:space="preserve">Application by Our Lady Of Sion College Ltd </w:t>
      </w:r>
      <w:r w:rsidRPr="009A2FFC" w:rsidDel="00551B60">
        <w:rPr>
          <w:rFonts w:eastAsia="Times New Roman" w:cs="Times New Roman"/>
          <w:i/>
        </w:rPr>
        <w:t>T/</w:t>
      </w:r>
      <w:r w:rsidRPr="00A03B67" w:rsidDel="00551B60">
        <w:rPr>
          <w:rFonts w:eastAsia="Times New Roman" w:cs="Times New Roman"/>
          <w:i/>
          <w:iCs/>
        </w:rPr>
        <w:t>A</w:t>
      </w:r>
      <w:r w:rsidRPr="00A03B67">
        <w:rPr>
          <w:rFonts w:eastAsia="Times New Roman" w:cs="Times New Roman"/>
          <w:i/>
          <w:iCs/>
        </w:rPr>
        <w:t xml:space="preserve"> Our Lady Of Sion College</w:t>
      </w:r>
      <w:r w:rsidRPr="00A03B67">
        <w:t xml:space="preserve"> [2024] FWCA 1690.</w:t>
      </w:r>
    </w:p>
  </w:footnote>
  <w:footnote w:id="392">
    <w:p w14:paraId="25CA3395" w14:textId="05118D95" w:rsidR="00924664" w:rsidRPr="00A03B67" w:rsidRDefault="00924664" w:rsidP="00924664">
      <w:pPr>
        <w:pStyle w:val="FootnoteText"/>
        <w:rPr>
          <w:rFonts w:ascii="Calibri" w:hAnsi="Calibri" w:cs="Calibri"/>
        </w:rPr>
      </w:pPr>
      <w:r w:rsidRPr="00A03B67">
        <w:rPr>
          <w:rStyle w:val="FootnoteReference"/>
        </w:rPr>
        <w:footnoteRef/>
      </w:r>
      <w:r w:rsidRPr="00A03B67">
        <w:t xml:space="preserve"> </w:t>
      </w:r>
      <w:r w:rsidRPr="00A03B67">
        <w:rPr>
          <w:rFonts w:ascii="Calibri" w:hAnsi="Calibri" w:cs="Calibri"/>
          <w:i/>
        </w:rPr>
        <w:t xml:space="preserve">Application by Our Lady Of Sion College Ltd </w:t>
      </w:r>
      <w:r w:rsidRPr="00A03B67" w:rsidDel="00551B60">
        <w:rPr>
          <w:rFonts w:ascii="Calibri" w:hAnsi="Calibri" w:cs="Calibri"/>
          <w:i/>
        </w:rPr>
        <w:t>T/A</w:t>
      </w:r>
      <w:r w:rsidRPr="00A03B67">
        <w:rPr>
          <w:rFonts w:ascii="Calibri" w:hAnsi="Calibri" w:cs="Calibri"/>
          <w:i/>
        </w:rPr>
        <w:t xml:space="preserve"> Our Lady Of Sion College</w:t>
      </w:r>
      <w:r w:rsidRPr="00A03B67">
        <w:rPr>
          <w:rFonts w:ascii="Calibri" w:hAnsi="Calibri" w:cs="Calibri"/>
        </w:rPr>
        <w:t xml:space="preserve"> </w:t>
      </w:r>
      <w:hyperlink r:id="rId5" w:tgtFrame="_blank" w:history="1">
        <w:r w:rsidRPr="00A03B67">
          <w:rPr>
            <w:rFonts w:ascii="Calibri" w:hAnsi="Calibri" w:cs="Calibri"/>
          </w:rPr>
          <w:t>[2024] FWCA 1690</w:t>
        </w:r>
      </w:hyperlink>
      <w:r w:rsidRPr="00A03B67">
        <w:rPr>
          <w:rFonts w:ascii="Calibri" w:hAnsi="Calibri" w:cs="Calibri"/>
        </w:rPr>
        <w:t xml:space="preserve"> [5]–[6].</w:t>
      </w:r>
    </w:p>
  </w:footnote>
  <w:footnote w:id="393">
    <w:p w14:paraId="59299AD1" w14:textId="04F3560C" w:rsidR="00924664" w:rsidRPr="00A03B67" w:rsidRDefault="00924664" w:rsidP="00924664">
      <w:pPr>
        <w:pStyle w:val="FootnoteText"/>
      </w:pPr>
      <w:r w:rsidRPr="00A03B67">
        <w:rPr>
          <w:rStyle w:val="FootnoteReference"/>
        </w:rPr>
        <w:footnoteRef/>
      </w:r>
      <w:r w:rsidRPr="00A03B67">
        <w:t xml:space="preserve"> </w:t>
      </w:r>
      <w:r w:rsidRPr="00A03B67">
        <w:rPr>
          <w:rFonts w:ascii="Calibri" w:hAnsi="Calibri" w:cs="Calibri"/>
          <w:i/>
        </w:rPr>
        <w:t xml:space="preserve">Application by Our Lady Of Sion College Ltd </w:t>
      </w:r>
      <w:r w:rsidRPr="00A03B67" w:rsidDel="00551B60">
        <w:rPr>
          <w:rFonts w:ascii="Calibri" w:hAnsi="Calibri" w:cs="Calibri"/>
          <w:i/>
        </w:rPr>
        <w:t>T/A</w:t>
      </w:r>
      <w:r w:rsidRPr="00A03B67">
        <w:rPr>
          <w:rFonts w:ascii="Calibri" w:hAnsi="Calibri" w:cs="Calibri"/>
          <w:i/>
        </w:rPr>
        <w:t xml:space="preserve"> Our Lady Of Sion College</w:t>
      </w:r>
      <w:r w:rsidRPr="00A03B67">
        <w:rPr>
          <w:rFonts w:ascii="Calibri" w:hAnsi="Calibri" w:cs="Calibri"/>
        </w:rPr>
        <w:t xml:space="preserve"> </w:t>
      </w:r>
      <w:hyperlink r:id="rId6" w:tgtFrame="_blank" w:history="1">
        <w:r w:rsidRPr="00A03B67">
          <w:rPr>
            <w:rFonts w:ascii="Calibri" w:hAnsi="Calibri" w:cs="Calibri"/>
          </w:rPr>
          <w:t>[2024] FWCA 1690</w:t>
        </w:r>
      </w:hyperlink>
      <w:r w:rsidRPr="00A03B67">
        <w:rPr>
          <w:rFonts w:ascii="Calibri" w:hAnsi="Calibri" w:cs="Calibri"/>
        </w:rPr>
        <w:t xml:space="preserve"> [13].</w:t>
      </w:r>
    </w:p>
  </w:footnote>
  <w:footnote w:id="394">
    <w:p w14:paraId="2C252CE7" w14:textId="77777777" w:rsidR="00924664" w:rsidRPr="00A03B67" w:rsidRDefault="00924664" w:rsidP="00924664">
      <w:pPr>
        <w:pStyle w:val="FootnoteText"/>
      </w:pPr>
      <w:r w:rsidRPr="00A03B67">
        <w:rPr>
          <w:rStyle w:val="FootnoteReference"/>
        </w:rPr>
        <w:footnoteRef/>
      </w:r>
      <w:r w:rsidRPr="00A03B67">
        <w:t xml:space="preserve"> United Workers Union submission, 41</w:t>
      </w:r>
      <w:r w:rsidRPr="00A03B67">
        <w:rPr>
          <w:rFonts w:ascii="Symbol" w:eastAsia="Symbol" w:hAnsi="Symbol" w:cs="Symbol"/>
        </w:rPr>
        <w:t>-</w:t>
      </w:r>
      <w:r w:rsidRPr="00A03B67">
        <w:t>42.</w:t>
      </w:r>
    </w:p>
  </w:footnote>
  <w:footnote w:id="395">
    <w:p w14:paraId="29385FC1" w14:textId="06AB279B" w:rsidR="00924664" w:rsidRPr="00A03B67" w:rsidRDefault="00924664" w:rsidP="00924664">
      <w:pPr>
        <w:pStyle w:val="FootnoteText"/>
      </w:pPr>
      <w:r w:rsidRPr="00A03B67">
        <w:rPr>
          <w:rStyle w:val="FootnoteReference"/>
        </w:rPr>
        <w:footnoteRef/>
      </w:r>
      <w:r w:rsidRPr="00A03B67">
        <w:t xml:space="preserve"> </w:t>
      </w:r>
      <w:r w:rsidR="00B76750">
        <w:t>Australian Council of Trade Unions (</w:t>
      </w:r>
      <w:r w:rsidRPr="00A03B67">
        <w:t>ACTU</w:t>
      </w:r>
      <w:r w:rsidR="00B76750">
        <w:t>)</w:t>
      </w:r>
      <w:r w:rsidRPr="00A03B67">
        <w:t xml:space="preserve"> submission, 100.</w:t>
      </w:r>
    </w:p>
  </w:footnote>
  <w:footnote w:id="396">
    <w:p w14:paraId="72BE2DAD" w14:textId="77777777" w:rsidR="00924664" w:rsidRPr="00A03B67" w:rsidRDefault="00924664" w:rsidP="00924664">
      <w:pPr>
        <w:pStyle w:val="FootnoteText"/>
      </w:pPr>
      <w:r w:rsidRPr="00A03B67">
        <w:rPr>
          <w:rStyle w:val="FootnoteReference"/>
        </w:rPr>
        <w:footnoteRef/>
      </w:r>
      <w:r w:rsidRPr="00A03B67">
        <w:t xml:space="preserve"> ACTU submission, 100.</w:t>
      </w:r>
    </w:p>
  </w:footnote>
  <w:footnote w:id="397">
    <w:p w14:paraId="04EB3964" w14:textId="59FB334F" w:rsidR="00924664" w:rsidRPr="00A03B67" w:rsidRDefault="00924664" w:rsidP="00924664">
      <w:pPr>
        <w:pStyle w:val="FootnoteText"/>
      </w:pPr>
      <w:r w:rsidRPr="00A03B67">
        <w:rPr>
          <w:rStyle w:val="FootnoteReference"/>
        </w:rPr>
        <w:footnoteRef/>
      </w:r>
      <w:r w:rsidRPr="00A03B67">
        <w:t xml:space="preserve"> A</w:t>
      </w:r>
      <w:r w:rsidR="00B76750">
        <w:t>i</w:t>
      </w:r>
      <w:r w:rsidRPr="00A03B67">
        <w:t xml:space="preserve"> Group submission, 72.</w:t>
      </w:r>
    </w:p>
  </w:footnote>
  <w:footnote w:id="398">
    <w:p w14:paraId="4F056866" w14:textId="0524A0B9" w:rsidR="00924664" w:rsidRPr="00A03B67" w:rsidRDefault="00924664" w:rsidP="00924664">
      <w:pPr>
        <w:pStyle w:val="FootnoteText"/>
      </w:pPr>
      <w:r w:rsidRPr="00A03B67">
        <w:rPr>
          <w:rStyle w:val="FootnoteReference"/>
        </w:rPr>
        <w:footnoteRef/>
      </w:r>
      <w:r w:rsidRPr="00A03B67">
        <w:t xml:space="preserve"> </w:t>
      </w:r>
      <w:r w:rsidR="00B76750">
        <w:t>Australian Retail Association (</w:t>
      </w:r>
      <w:r w:rsidRPr="00A03B67">
        <w:t>ARA</w:t>
      </w:r>
      <w:r w:rsidR="00B76750">
        <w:t>)</w:t>
      </w:r>
      <w:r w:rsidRPr="00A03B67">
        <w:t xml:space="preserve"> submission, 8.</w:t>
      </w:r>
    </w:p>
  </w:footnote>
  <w:footnote w:id="399">
    <w:p w14:paraId="1D82FE4D" w14:textId="77777777" w:rsidR="00924664" w:rsidRDefault="00924664" w:rsidP="00924664">
      <w:pPr>
        <w:pStyle w:val="FootnoteText"/>
      </w:pPr>
      <w:r w:rsidRPr="00951175">
        <w:rPr>
          <w:rStyle w:val="FootnoteReference"/>
        </w:rPr>
        <w:footnoteRef/>
      </w:r>
      <w:r w:rsidRPr="00951175">
        <w:t xml:space="preserve"> Ai Group submission, 73.</w:t>
      </w:r>
    </w:p>
  </w:footnote>
  <w:footnote w:id="400">
    <w:p w14:paraId="4562A35E" w14:textId="77777777" w:rsidR="00924664" w:rsidRPr="0032538F" w:rsidRDefault="00924664" w:rsidP="00924664">
      <w:pPr>
        <w:pStyle w:val="FootnoteText"/>
        <w:rPr>
          <w:highlight w:val="yellow"/>
        </w:rPr>
      </w:pPr>
      <w:r w:rsidRPr="005A1ED6">
        <w:rPr>
          <w:rStyle w:val="FootnoteReference"/>
        </w:rPr>
        <w:footnoteRef/>
      </w:r>
      <w:r w:rsidRPr="005A1ED6">
        <w:t xml:space="preserve"> ACTU submission in response to draft report, 7.</w:t>
      </w:r>
    </w:p>
  </w:footnote>
  <w:footnote w:id="401">
    <w:p w14:paraId="74222D5A" w14:textId="49D91AE8" w:rsidR="00924664" w:rsidRDefault="00924664" w:rsidP="00924664">
      <w:pPr>
        <w:pStyle w:val="FootnoteText"/>
      </w:pPr>
      <w:r>
        <w:rPr>
          <w:rStyle w:val="FootnoteReference"/>
        </w:rPr>
        <w:footnoteRef/>
      </w:r>
      <w:r>
        <w:t xml:space="preserve"> </w:t>
      </w:r>
      <w:r w:rsidR="00B76750">
        <w:t>Australian Chamber of Commerce and Industry (</w:t>
      </w:r>
      <w:r>
        <w:t>ACCI</w:t>
      </w:r>
      <w:r w:rsidR="00B76750">
        <w:t>)</w:t>
      </w:r>
      <w:r>
        <w:t xml:space="preserve"> submission in response to draft report, 13; Ai Group response to draft report, 22.</w:t>
      </w:r>
    </w:p>
  </w:footnote>
  <w:footnote w:id="402">
    <w:p w14:paraId="5E32DE96" w14:textId="77777777" w:rsidR="00924664" w:rsidRPr="00A03B67" w:rsidRDefault="00924664" w:rsidP="00924664">
      <w:pPr>
        <w:pStyle w:val="FootnoteText"/>
      </w:pPr>
      <w:r w:rsidRPr="00A03B67">
        <w:rPr>
          <w:rStyle w:val="FootnoteReference"/>
        </w:rPr>
        <w:footnoteRef/>
      </w:r>
      <w:r w:rsidRPr="00A03B67">
        <w:t xml:space="preserve"> Revised Explanatory Memorandum, Fair Work Legislation Amendment (Secure Jobs, Better Pay) Bill 2022 (Cth) [921] 160.</w:t>
      </w:r>
    </w:p>
  </w:footnote>
  <w:footnote w:id="403">
    <w:p w14:paraId="60921B4C" w14:textId="77777777" w:rsidR="00924664" w:rsidRPr="00A03B67" w:rsidRDefault="00924664" w:rsidP="00924664">
      <w:pPr>
        <w:pStyle w:val="FootnoteText"/>
      </w:pPr>
      <w:r w:rsidRPr="00A03B67">
        <w:rPr>
          <w:rStyle w:val="FootnoteReference"/>
        </w:rPr>
        <w:footnoteRef/>
      </w:r>
      <w:r w:rsidRPr="00A03B67">
        <w:t xml:space="preserve"> </w:t>
      </w:r>
      <w:r w:rsidRPr="00A03B67">
        <w:rPr>
          <w:i/>
          <w:iCs/>
          <w:lang w:val="en-US"/>
        </w:rPr>
        <w:t xml:space="preserve">Application by United Workers’ Union, Australian Education Union and Independent Education Union of Australia </w:t>
      </w:r>
      <w:r w:rsidRPr="00A03B67">
        <w:rPr>
          <w:lang w:val="en-US"/>
        </w:rPr>
        <w:t>[2023] FWCFB 176</w:t>
      </w:r>
      <w:r w:rsidRPr="00A03B67">
        <w:t xml:space="preserve"> [20].</w:t>
      </w:r>
    </w:p>
  </w:footnote>
  <w:footnote w:id="404">
    <w:p w14:paraId="602E27A5"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 xml:space="preserve">Fair Work Act 2009 </w:t>
      </w:r>
      <w:r w:rsidRPr="00A03B67">
        <w:t>(Cth) s 243(1)(b).</w:t>
      </w:r>
    </w:p>
  </w:footnote>
  <w:footnote w:id="405">
    <w:p w14:paraId="65B3DA80"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 xml:space="preserve">Fair Work Act 2009 </w:t>
      </w:r>
      <w:r w:rsidRPr="00A03B67">
        <w:t>(Cth) s 243(1)(b).</w:t>
      </w:r>
    </w:p>
  </w:footnote>
  <w:footnote w:id="406">
    <w:p w14:paraId="3FD2607A"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 xml:space="preserve">Fair Work Act 2009 </w:t>
      </w:r>
      <w:r w:rsidRPr="00A03B67">
        <w:t>(Cth) s 243(1)(c).</w:t>
      </w:r>
    </w:p>
  </w:footnote>
  <w:footnote w:id="407">
    <w:p w14:paraId="04CC0B74"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 xml:space="preserve">Fair Work Act 2009 </w:t>
      </w:r>
      <w:r w:rsidRPr="00A03B67">
        <w:t>(Cth) s 243(2).</w:t>
      </w:r>
    </w:p>
  </w:footnote>
  <w:footnote w:id="408">
    <w:p w14:paraId="22E02088"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s 243(2A).</w:t>
      </w:r>
    </w:p>
  </w:footnote>
  <w:footnote w:id="409">
    <w:p w14:paraId="0B4CCE83" w14:textId="63E5F418"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w:t>
      </w:r>
      <w:r w:rsidR="00AB6836">
        <w:t xml:space="preserve">s </w:t>
      </w:r>
      <w:r w:rsidRPr="00A03B67">
        <w:t>243A(1).</w:t>
      </w:r>
    </w:p>
  </w:footnote>
  <w:footnote w:id="410">
    <w:p w14:paraId="1C9B278C" w14:textId="1FBF18DC"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w:t>
      </w:r>
      <w:r w:rsidR="00AB6836">
        <w:t xml:space="preserve">s </w:t>
      </w:r>
      <w:r w:rsidRPr="00A03B67">
        <w:t>243A(4).</w:t>
      </w:r>
    </w:p>
  </w:footnote>
  <w:footnote w:id="411">
    <w:p w14:paraId="0748E2EE"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 xml:space="preserve">Fair Work Act 2009 </w:t>
      </w:r>
      <w:r w:rsidRPr="00A03B67">
        <w:t>(Cth) s 246.</w:t>
      </w:r>
    </w:p>
  </w:footnote>
  <w:footnote w:id="412">
    <w:p w14:paraId="1236795D"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 xml:space="preserve">Fair Work Act 2009 </w:t>
      </w:r>
      <w:r w:rsidRPr="00A03B67">
        <w:t>(Cth) s 246.</w:t>
      </w:r>
    </w:p>
  </w:footnote>
  <w:footnote w:id="413">
    <w:p w14:paraId="4EDAA167" w14:textId="77777777" w:rsidR="00924664" w:rsidRPr="00A03B67" w:rsidRDefault="00924664" w:rsidP="00924664">
      <w:pPr>
        <w:pStyle w:val="FootnoteText"/>
      </w:pPr>
      <w:r w:rsidRPr="00A03B67">
        <w:rPr>
          <w:rStyle w:val="FootnoteReference"/>
        </w:rPr>
        <w:footnoteRef/>
      </w:r>
      <w:r w:rsidRPr="00A03B67">
        <w:t xml:space="preserve"> Commonwealth, </w:t>
      </w:r>
      <w:r w:rsidRPr="00A03B67">
        <w:rPr>
          <w:i/>
          <w:iCs/>
        </w:rPr>
        <w:t xml:space="preserve">Parliamentary Debates, </w:t>
      </w:r>
      <w:r w:rsidRPr="00A03B67">
        <w:t>House of Representatives, 27 October 2022, 2181 (Tony Burke, Minister for Employment and Workplace Relations).</w:t>
      </w:r>
    </w:p>
  </w:footnote>
  <w:footnote w:id="414">
    <w:p w14:paraId="346EC43C" w14:textId="77777777" w:rsidR="00924664" w:rsidRPr="00A03B67" w:rsidRDefault="00924664" w:rsidP="00924664">
      <w:pPr>
        <w:pStyle w:val="FootnoteText"/>
      </w:pPr>
      <w:r w:rsidRPr="00A03B67">
        <w:rPr>
          <w:rStyle w:val="FootnoteReference"/>
        </w:rPr>
        <w:footnoteRef/>
      </w:r>
      <w:r w:rsidRPr="00A03B67">
        <w:t>Revised Explanatory Memorandum, Fair Work Legislation Amendment (Secure Jobs, Better Pay) Bill 2022 [922] 160.</w:t>
      </w:r>
    </w:p>
  </w:footnote>
  <w:footnote w:id="415">
    <w:p w14:paraId="186B0725" w14:textId="77777777" w:rsidR="00924664" w:rsidRPr="00A03B67" w:rsidRDefault="00924664" w:rsidP="00924664">
      <w:pPr>
        <w:pStyle w:val="FootnoteText"/>
      </w:pPr>
      <w:r w:rsidRPr="00A03B67">
        <w:rPr>
          <w:rStyle w:val="FootnoteReference"/>
        </w:rPr>
        <w:footnoteRef/>
      </w:r>
      <w:r w:rsidRPr="00A03B67">
        <w:t xml:space="preserve"> See e.g. F Macdonald, S Charlesworth and C Brigden, ‘Access to Collective Bargaining for Low-Paid Workers’ in S McCrystal, B Creighton and A Forsyth (eds), </w:t>
      </w:r>
      <w:r w:rsidRPr="00A03B67">
        <w:rPr>
          <w:i/>
          <w:iCs/>
        </w:rPr>
        <w:t>Collective Bargaining under the Fair Work Act</w:t>
      </w:r>
      <w:r w:rsidRPr="00A03B67">
        <w:t xml:space="preserve"> (Federation Press, 2018) 206.</w:t>
      </w:r>
    </w:p>
  </w:footnote>
  <w:footnote w:id="416">
    <w:p w14:paraId="5CFDC5A5"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 xml:space="preserve">Application by United Workers’ Union &amp; Australian Workers’ Union of Employees, Queensland </w:t>
      </w:r>
      <w:r w:rsidRPr="00A03B67">
        <w:t>[2011] FWAFB 2633.</w:t>
      </w:r>
    </w:p>
  </w:footnote>
  <w:footnote w:id="417">
    <w:p w14:paraId="0E94356B"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 xml:space="preserve">Application by United Voice </w:t>
      </w:r>
      <w:r w:rsidRPr="00A03B67">
        <w:t>[2014] FWC 6441.</w:t>
      </w:r>
    </w:p>
  </w:footnote>
  <w:footnote w:id="418">
    <w:p w14:paraId="66D2019E" w14:textId="2C909BDF" w:rsidR="00924664" w:rsidRPr="00A03B67" w:rsidRDefault="00924664" w:rsidP="00924664">
      <w:pPr>
        <w:pStyle w:val="FootnoteText"/>
      </w:pPr>
      <w:r w:rsidRPr="00A03B67">
        <w:rPr>
          <w:rStyle w:val="FootnoteReference"/>
        </w:rPr>
        <w:footnoteRef/>
      </w:r>
      <w:r w:rsidRPr="00A03B67">
        <w:t xml:space="preserve"> See e.g. </w:t>
      </w:r>
      <w:r w:rsidRPr="00A03B67">
        <w:rPr>
          <w:i/>
          <w:iCs/>
        </w:rPr>
        <w:t xml:space="preserve">United Voice </w:t>
      </w:r>
      <w:r w:rsidRPr="00A03B67">
        <w:t>[2014] FWC 6441</w:t>
      </w:r>
      <w:r w:rsidR="00AB6836">
        <w:t>;</w:t>
      </w:r>
      <w:r w:rsidRPr="00A03B67">
        <w:t xml:space="preserve"> and </w:t>
      </w:r>
      <w:r w:rsidRPr="00A03B67">
        <w:rPr>
          <w:i/>
          <w:iCs/>
        </w:rPr>
        <w:t xml:space="preserve">Australian Nursing and Midwifery Federation v IPN Medical Centres Pty Limited and Ors </w:t>
      </w:r>
      <w:r w:rsidRPr="00A03B67">
        <w:t>[2013] FWC 511.</w:t>
      </w:r>
    </w:p>
  </w:footnote>
  <w:footnote w:id="419">
    <w:p w14:paraId="2194E9A2" w14:textId="77777777" w:rsidR="00924664" w:rsidRPr="00A03B67" w:rsidRDefault="00924664" w:rsidP="00924664">
      <w:pPr>
        <w:pStyle w:val="FootnoteText"/>
      </w:pPr>
      <w:r w:rsidRPr="00A03B67">
        <w:rPr>
          <w:rStyle w:val="FootnoteReference"/>
        </w:rPr>
        <w:footnoteRef/>
      </w:r>
      <w:r w:rsidRPr="00A03B67">
        <w:t xml:space="preserve"> </w:t>
      </w:r>
      <w:r w:rsidRPr="00A03B67">
        <w:rPr>
          <w:i/>
          <w:iCs/>
          <w:lang w:val="en-US"/>
        </w:rPr>
        <w:t xml:space="preserve">Application by United Workers’ Union, Australian Education Union and Independent Education Union of Australia </w:t>
      </w:r>
      <w:r w:rsidRPr="00A03B67">
        <w:rPr>
          <w:lang w:val="en-US"/>
        </w:rPr>
        <w:t>[2023] FWCFB 176</w:t>
      </w:r>
      <w:r w:rsidRPr="00A03B67">
        <w:t xml:space="preserve"> [20].</w:t>
      </w:r>
    </w:p>
  </w:footnote>
  <w:footnote w:id="420">
    <w:p w14:paraId="68D3C085" w14:textId="62BDE6EC" w:rsidR="00924664" w:rsidRPr="00A03B67" w:rsidRDefault="00924664" w:rsidP="00924664">
      <w:pPr>
        <w:pStyle w:val="FootnoteText"/>
      </w:pPr>
      <w:r w:rsidRPr="00A03B67">
        <w:rPr>
          <w:rStyle w:val="FootnoteReference"/>
        </w:rPr>
        <w:footnoteRef/>
      </w:r>
      <w:r w:rsidRPr="00A03B67">
        <w:t xml:space="preserve"> Commonwealth, </w:t>
      </w:r>
      <w:r w:rsidRPr="00A03B67">
        <w:rPr>
          <w:i/>
          <w:iCs/>
        </w:rPr>
        <w:t xml:space="preserve">Parliamentary Debates, </w:t>
      </w:r>
      <w:r w:rsidRPr="00A03B67">
        <w:t>House of Representatives, 27 October 2022, 2181 (Tony Burke, Minister for Employment and Workplace Relations).</w:t>
      </w:r>
    </w:p>
  </w:footnote>
  <w:footnote w:id="421">
    <w:p w14:paraId="1E8D91E6" w14:textId="77777777" w:rsidR="00924664" w:rsidRPr="00A03B67" w:rsidRDefault="00924664" w:rsidP="00924664">
      <w:pPr>
        <w:pStyle w:val="FootnoteText"/>
      </w:pPr>
      <w:r w:rsidRPr="00A03B67">
        <w:rPr>
          <w:rStyle w:val="FootnoteReference"/>
        </w:rPr>
        <w:footnoteRef/>
      </w:r>
      <w:r w:rsidRPr="00A03B67">
        <w:t xml:space="preserve"> Revised Explanatory Memorandum, Fair Work Legislation Amendment (Secure Jobs, Better Pay) Bill 2022 [921] 160.</w:t>
      </w:r>
    </w:p>
  </w:footnote>
  <w:footnote w:id="422">
    <w:p w14:paraId="3822E764" w14:textId="77777777" w:rsidR="00924664" w:rsidRPr="00A03B67" w:rsidRDefault="00924664" w:rsidP="00924664">
      <w:pPr>
        <w:pStyle w:val="FootnoteText"/>
      </w:pPr>
      <w:r w:rsidRPr="00A03B67">
        <w:rPr>
          <w:rStyle w:val="FootnoteReference"/>
        </w:rPr>
        <w:footnoteRef/>
      </w:r>
      <w:r w:rsidRPr="00A03B67">
        <w:t xml:space="preserve"> Revised Explanatory Memorandum, Fair Work Legislation Amendment (Secure Jobs, Better Pay) Bill 2022 [921] 160.</w:t>
      </w:r>
    </w:p>
  </w:footnote>
  <w:footnote w:id="423">
    <w:p w14:paraId="2E13C211"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 xml:space="preserve">Application by United Workers’ Union, Australian Education Union and Independent Education Union of Australia </w:t>
      </w:r>
      <w:r w:rsidRPr="00A03B67">
        <w:t>[2023] FWCFB 176.</w:t>
      </w:r>
    </w:p>
  </w:footnote>
  <w:footnote w:id="424">
    <w:p w14:paraId="4708DEBE"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 xml:space="preserve">Application by United Workers’ Union </w:t>
      </w:r>
      <w:r w:rsidRPr="00A03B67">
        <w:t>[2024] FWCFB 455.</w:t>
      </w:r>
    </w:p>
  </w:footnote>
  <w:footnote w:id="425">
    <w:p w14:paraId="3A55ED53" w14:textId="637151B0" w:rsidR="00924664" w:rsidRPr="00A03B67" w:rsidRDefault="00924664" w:rsidP="00924664">
      <w:pPr>
        <w:pStyle w:val="FootnoteText"/>
      </w:pPr>
      <w:r w:rsidRPr="00A03B67">
        <w:rPr>
          <w:rStyle w:val="FootnoteReference"/>
        </w:rPr>
        <w:footnoteRef/>
      </w:r>
      <w:r w:rsidRPr="00A03B67">
        <w:t xml:space="preserve"> </w:t>
      </w:r>
      <w:r w:rsidRPr="00A03B67">
        <w:rPr>
          <w:i/>
          <w:iCs/>
        </w:rPr>
        <w:t xml:space="preserve">Application by Nest Employee Services Pty Ltd </w:t>
      </w:r>
      <w:r w:rsidRPr="00A03B67" w:rsidDel="000551D1">
        <w:rPr>
          <w:i/>
          <w:iCs/>
        </w:rPr>
        <w:t>T/A</w:t>
      </w:r>
      <w:r w:rsidRPr="00A03B67">
        <w:rPr>
          <w:i/>
          <w:iCs/>
        </w:rPr>
        <w:t xml:space="preserve"> Nido Early School</w:t>
      </w:r>
      <w:r w:rsidRPr="00A03B67">
        <w:t xml:space="preserve"> [2025] FWCA 282.</w:t>
      </w:r>
    </w:p>
  </w:footnote>
  <w:footnote w:id="426">
    <w:p w14:paraId="21643E04" w14:textId="0040C358" w:rsidR="005031FF" w:rsidRDefault="005031FF">
      <w:pPr>
        <w:pStyle w:val="FootnoteText"/>
      </w:pPr>
      <w:r>
        <w:rPr>
          <w:rStyle w:val="FootnoteReference"/>
        </w:rPr>
        <w:footnoteRef/>
      </w:r>
      <w:r>
        <w:t xml:space="preserve"> </w:t>
      </w:r>
      <w:r w:rsidRPr="00600F69">
        <w:rPr>
          <w:i/>
          <w:iCs/>
        </w:rPr>
        <w:t>Application by Search Light Inc and Ors Application by Search Light Inc and Ors [2025] FWCA 523</w:t>
      </w:r>
      <w:r w:rsidR="00B6498B">
        <w:rPr>
          <w:i/>
          <w:iCs/>
        </w:rPr>
        <w:t>.</w:t>
      </w:r>
    </w:p>
  </w:footnote>
  <w:footnote w:id="427">
    <w:p w14:paraId="0D7E5BE0" w14:textId="77777777" w:rsidR="00924664" w:rsidRPr="00A03B67" w:rsidRDefault="00924664" w:rsidP="00924664">
      <w:pPr>
        <w:pStyle w:val="FootnoteText"/>
      </w:pPr>
      <w:r w:rsidRPr="00A03B67">
        <w:rPr>
          <w:rStyle w:val="FootnoteReference"/>
        </w:rPr>
        <w:footnoteRef/>
      </w:r>
      <w:r w:rsidRPr="00A03B67">
        <w:t xml:space="preserve"> </w:t>
      </w:r>
      <w:r w:rsidRPr="00A03B67">
        <w:rPr>
          <w:i/>
          <w:iCs/>
          <w:lang w:val="en-US"/>
        </w:rPr>
        <w:t xml:space="preserve">Application by United Workers’ Union, Australian Education Union and Independent Education Union of Australia </w:t>
      </w:r>
      <w:r w:rsidRPr="00A03B67">
        <w:rPr>
          <w:lang w:val="en-US"/>
        </w:rPr>
        <w:t>[2023] FWCFB 176</w:t>
      </w:r>
      <w:r w:rsidRPr="00A03B67">
        <w:t>.</w:t>
      </w:r>
    </w:p>
  </w:footnote>
  <w:footnote w:id="428">
    <w:p w14:paraId="4397683B" w14:textId="77777777" w:rsidR="00924664" w:rsidRPr="00A03B67" w:rsidRDefault="00924664" w:rsidP="00924664">
      <w:pPr>
        <w:pStyle w:val="FootnoteText"/>
        <w:rPr>
          <w:b/>
          <w:bCs/>
        </w:rPr>
      </w:pPr>
      <w:r w:rsidRPr="00A03B67">
        <w:rPr>
          <w:rStyle w:val="FootnoteReference"/>
        </w:rPr>
        <w:footnoteRef/>
      </w:r>
      <w:r w:rsidRPr="00A03B67">
        <w:t xml:space="preserve"> </w:t>
      </w:r>
      <w:r w:rsidRPr="00A03B67">
        <w:rPr>
          <w:i/>
          <w:iCs/>
          <w:lang w:val="en-US"/>
        </w:rPr>
        <w:t xml:space="preserve">Application by United Workers’ Union, Australian Education Union and Independent Education Union of Australia </w:t>
      </w:r>
      <w:r w:rsidRPr="00A03B67">
        <w:rPr>
          <w:lang w:val="en-US"/>
        </w:rPr>
        <w:t>[2023] FWCFB 176</w:t>
      </w:r>
      <w:r w:rsidRPr="00A03B67">
        <w:t xml:space="preserve"> [20].</w:t>
      </w:r>
    </w:p>
  </w:footnote>
  <w:footnote w:id="429">
    <w:p w14:paraId="228680B1" w14:textId="77777777" w:rsidR="00924664" w:rsidRPr="00A03B67" w:rsidRDefault="00924664" w:rsidP="00924664">
      <w:pPr>
        <w:pStyle w:val="FootnoteText"/>
      </w:pPr>
      <w:r w:rsidRPr="00A03B67">
        <w:rPr>
          <w:rStyle w:val="FootnoteReference"/>
        </w:rPr>
        <w:footnoteRef/>
      </w:r>
      <w:r w:rsidRPr="00A03B67">
        <w:t xml:space="preserve"> </w:t>
      </w:r>
      <w:r w:rsidRPr="00A03B67">
        <w:rPr>
          <w:i/>
          <w:iCs/>
          <w:lang w:val="en-US"/>
        </w:rPr>
        <w:t xml:space="preserve">Application by United Workers’ Union, Australian Education Union and Independent Education Union of Australia </w:t>
      </w:r>
      <w:r w:rsidRPr="00A03B67">
        <w:rPr>
          <w:lang w:val="en-US"/>
        </w:rPr>
        <w:t>[2023] FWCFB 176</w:t>
      </w:r>
      <w:r w:rsidRPr="00A03B67">
        <w:t xml:space="preserve"> [20].</w:t>
      </w:r>
    </w:p>
  </w:footnote>
  <w:footnote w:id="430">
    <w:p w14:paraId="1D03D74D" w14:textId="77777777" w:rsidR="00924664" w:rsidRPr="00A03B67" w:rsidRDefault="00924664" w:rsidP="00924664">
      <w:pPr>
        <w:pStyle w:val="FootnoteText"/>
      </w:pPr>
      <w:r w:rsidRPr="00A03B67">
        <w:rPr>
          <w:rStyle w:val="FootnoteReference"/>
        </w:rPr>
        <w:footnoteRef/>
      </w:r>
      <w:r w:rsidRPr="00A03B67">
        <w:t xml:space="preserve"> </w:t>
      </w:r>
      <w:r w:rsidRPr="00A03B67">
        <w:rPr>
          <w:i/>
          <w:iCs/>
          <w:lang w:val="en-US"/>
        </w:rPr>
        <w:t xml:space="preserve">Application by United Workers’ Union, Australian Education Union and Independent Education Union of Australia </w:t>
      </w:r>
      <w:r w:rsidRPr="00A03B67">
        <w:rPr>
          <w:lang w:val="en-US"/>
        </w:rPr>
        <w:t>[2023] FWCFB 176</w:t>
      </w:r>
      <w:r w:rsidRPr="00A03B67">
        <w:t xml:space="preserve"> [40].</w:t>
      </w:r>
    </w:p>
  </w:footnote>
  <w:footnote w:id="431">
    <w:p w14:paraId="37676603" w14:textId="77777777" w:rsidR="00924664" w:rsidRPr="00A03B67" w:rsidRDefault="00924664" w:rsidP="00924664">
      <w:pPr>
        <w:pStyle w:val="FootnoteText"/>
      </w:pPr>
      <w:r w:rsidRPr="00A03B67">
        <w:rPr>
          <w:rStyle w:val="FootnoteReference"/>
        </w:rPr>
        <w:footnoteRef/>
      </w:r>
      <w:r w:rsidRPr="00A03B67">
        <w:t xml:space="preserve"> </w:t>
      </w:r>
      <w:r w:rsidRPr="00A03B67">
        <w:rPr>
          <w:i/>
          <w:iCs/>
          <w:lang w:val="en-US"/>
        </w:rPr>
        <w:t xml:space="preserve">Application by United Workers’ Union, Australian Education Union and Independent Education Union of Australia </w:t>
      </w:r>
      <w:r w:rsidRPr="00A03B67">
        <w:rPr>
          <w:lang w:val="en-US"/>
        </w:rPr>
        <w:t>[2023] FWCFB 176</w:t>
      </w:r>
      <w:r w:rsidRPr="00A03B67">
        <w:t xml:space="preserve"> [31].</w:t>
      </w:r>
    </w:p>
  </w:footnote>
  <w:footnote w:id="432">
    <w:p w14:paraId="14C14E0B" w14:textId="77777777" w:rsidR="00924664" w:rsidRPr="00A03B67" w:rsidRDefault="00924664" w:rsidP="00924664">
      <w:pPr>
        <w:pStyle w:val="FootnoteText"/>
      </w:pPr>
      <w:r w:rsidRPr="00A03B67">
        <w:rPr>
          <w:rStyle w:val="FootnoteReference"/>
        </w:rPr>
        <w:footnoteRef/>
      </w:r>
      <w:r w:rsidRPr="00A03B67">
        <w:t xml:space="preserve"> </w:t>
      </w:r>
      <w:r w:rsidRPr="00A03B67">
        <w:rPr>
          <w:i/>
          <w:iCs/>
          <w:lang w:val="en-US"/>
        </w:rPr>
        <w:t xml:space="preserve">Application by United Workers’ Union, Australian Education Union and Independent Education Union of Australia </w:t>
      </w:r>
      <w:r w:rsidRPr="00A03B67">
        <w:rPr>
          <w:lang w:val="en-US"/>
        </w:rPr>
        <w:t>[2023] FWCFB 176</w:t>
      </w:r>
      <w:r w:rsidRPr="00A03B67">
        <w:t xml:space="preserve"> [31].</w:t>
      </w:r>
    </w:p>
  </w:footnote>
  <w:footnote w:id="433">
    <w:p w14:paraId="56DBC460" w14:textId="77777777" w:rsidR="00924664" w:rsidRPr="00A03B67" w:rsidRDefault="00924664" w:rsidP="00924664">
      <w:pPr>
        <w:pStyle w:val="FootnoteText"/>
      </w:pPr>
      <w:r w:rsidRPr="00A03B67">
        <w:rPr>
          <w:rStyle w:val="FootnoteReference"/>
        </w:rPr>
        <w:footnoteRef/>
      </w:r>
      <w:r w:rsidRPr="00A03B67">
        <w:t xml:space="preserve"> </w:t>
      </w:r>
      <w:r w:rsidRPr="00A03B67">
        <w:rPr>
          <w:i/>
          <w:iCs/>
          <w:lang w:val="en-US"/>
        </w:rPr>
        <w:t xml:space="preserve">Application by United Workers’ Union, Australian Education Union and Independent Education Union of Australia </w:t>
      </w:r>
      <w:r w:rsidRPr="00A03B67">
        <w:rPr>
          <w:lang w:val="en-US"/>
        </w:rPr>
        <w:t>[2023] FWCFB 176</w:t>
      </w:r>
      <w:r w:rsidRPr="00A03B67">
        <w:t xml:space="preserve"> [34].</w:t>
      </w:r>
    </w:p>
  </w:footnote>
  <w:footnote w:id="434">
    <w:p w14:paraId="4809828C" w14:textId="77777777" w:rsidR="00924664" w:rsidRPr="00A03B67" w:rsidRDefault="00924664" w:rsidP="00924664">
      <w:pPr>
        <w:pStyle w:val="FootnoteText"/>
      </w:pPr>
      <w:r w:rsidRPr="00A03B67">
        <w:rPr>
          <w:rStyle w:val="FootnoteReference"/>
        </w:rPr>
        <w:footnoteRef/>
      </w:r>
      <w:r w:rsidRPr="00A03B67">
        <w:t xml:space="preserve"> </w:t>
      </w:r>
      <w:r w:rsidRPr="00A03B67">
        <w:rPr>
          <w:i/>
          <w:iCs/>
          <w:lang w:val="en-US"/>
        </w:rPr>
        <w:t xml:space="preserve">Application by United Workers’ Union, Australian Education Union and Independent Education Union of Australia </w:t>
      </w:r>
      <w:r w:rsidRPr="00A03B67">
        <w:rPr>
          <w:lang w:val="en-US"/>
        </w:rPr>
        <w:t>[2023] FWCFB 176</w:t>
      </w:r>
      <w:r w:rsidRPr="00A03B67">
        <w:t xml:space="preserve"> [34].</w:t>
      </w:r>
    </w:p>
  </w:footnote>
  <w:footnote w:id="435">
    <w:p w14:paraId="2FE20F60" w14:textId="77777777" w:rsidR="00924664" w:rsidRPr="00A03B67" w:rsidRDefault="00924664" w:rsidP="00924664">
      <w:pPr>
        <w:pStyle w:val="FootnoteText"/>
      </w:pPr>
      <w:r w:rsidRPr="00A03B67">
        <w:rPr>
          <w:rStyle w:val="FootnoteReference"/>
        </w:rPr>
        <w:footnoteRef/>
      </w:r>
      <w:r w:rsidRPr="00A03B67">
        <w:t xml:space="preserve"> </w:t>
      </w:r>
      <w:r w:rsidRPr="00A03B67">
        <w:rPr>
          <w:i/>
          <w:iCs/>
          <w:lang w:val="en-US"/>
        </w:rPr>
        <w:t xml:space="preserve">Application by United Workers’ Union, Australian Education Union and Independent Education Union of Australia </w:t>
      </w:r>
      <w:r w:rsidRPr="00A03B67">
        <w:rPr>
          <w:lang w:val="en-US"/>
        </w:rPr>
        <w:t>[2023] FWCFB 176</w:t>
      </w:r>
      <w:r w:rsidRPr="00A03B67">
        <w:t xml:space="preserve"> [36].</w:t>
      </w:r>
    </w:p>
  </w:footnote>
  <w:footnote w:id="436">
    <w:p w14:paraId="0E74998A" w14:textId="77777777" w:rsidR="00924664" w:rsidRPr="00A03B67" w:rsidRDefault="00924664" w:rsidP="00924664">
      <w:pPr>
        <w:pStyle w:val="FootnoteText"/>
      </w:pPr>
      <w:r w:rsidRPr="00A03B67">
        <w:rPr>
          <w:rStyle w:val="FootnoteReference"/>
        </w:rPr>
        <w:footnoteRef/>
      </w:r>
      <w:r w:rsidRPr="00A03B67">
        <w:t xml:space="preserve"> </w:t>
      </w:r>
      <w:r w:rsidRPr="00A03B67">
        <w:rPr>
          <w:i/>
          <w:iCs/>
          <w:lang w:val="en-US"/>
        </w:rPr>
        <w:t xml:space="preserve">Application by United Workers’ Union, Australian Education Union and Independent Education Union of Australia </w:t>
      </w:r>
      <w:r w:rsidRPr="00A03B67">
        <w:rPr>
          <w:lang w:val="en-US"/>
        </w:rPr>
        <w:t>[2023] FWCFB 176</w:t>
      </w:r>
      <w:r w:rsidRPr="00A03B67">
        <w:t xml:space="preserve"> [36].</w:t>
      </w:r>
    </w:p>
  </w:footnote>
  <w:footnote w:id="437">
    <w:p w14:paraId="2A32F76F" w14:textId="77777777" w:rsidR="00924664" w:rsidRPr="00A03B67" w:rsidRDefault="00924664" w:rsidP="00924664">
      <w:pPr>
        <w:pStyle w:val="FootnoteText"/>
      </w:pPr>
      <w:r w:rsidRPr="00A03B67">
        <w:rPr>
          <w:rStyle w:val="FootnoteReference"/>
        </w:rPr>
        <w:footnoteRef/>
      </w:r>
      <w:r w:rsidRPr="00A03B67">
        <w:t xml:space="preserve"> </w:t>
      </w:r>
      <w:r w:rsidRPr="00A03B67">
        <w:rPr>
          <w:i/>
          <w:iCs/>
          <w:lang w:val="en-US"/>
        </w:rPr>
        <w:t xml:space="preserve">Application by United Workers’ Union, Australian Education Union and Independent Education Union of Australia </w:t>
      </w:r>
      <w:r w:rsidRPr="00A03B67">
        <w:rPr>
          <w:lang w:val="en-US"/>
        </w:rPr>
        <w:t>[2023] FWCFB 176</w:t>
      </w:r>
      <w:r w:rsidRPr="00A03B67">
        <w:t xml:space="preserve"> [36].</w:t>
      </w:r>
    </w:p>
  </w:footnote>
  <w:footnote w:id="438">
    <w:p w14:paraId="004B2EED" w14:textId="77777777" w:rsidR="00924664" w:rsidRPr="00A03B67" w:rsidRDefault="00924664" w:rsidP="00924664">
      <w:pPr>
        <w:pStyle w:val="FootnoteText"/>
      </w:pPr>
      <w:r w:rsidRPr="00A03B67">
        <w:rPr>
          <w:rStyle w:val="FootnoteReference"/>
        </w:rPr>
        <w:footnoteRef/>
      </w:r>
      <w:r w:rsidRPr="00A03B67">
        <w:t xml:space="preserve"> </w:t>
      </w:r>
      <w:r w:rsidRPr="00A03B67">
        <w:rPr>
          <w:i/>
          <w:iCs/>
          <w:lang w:val="en-US"/>
        </w:rPr>
        <w:t xml:space="preserve">Application by United Workers’ Union, Australian Education Union and Independent Education Union of Australia </w:t>
      </w:r>
      <w:r w:rsidRPr="00A03B67">
        <w:rPr>
          <w:lang w:val="en-US"/>
        </w:rPr>
        <w:t>[2023] FWCFB 176</w:t>
      </w:r>
      <w:r w:rsidRPr="00A03B67">
        <w:t xml:space="preserve"> [55].</w:t>
      </w:r>
    </w:p>
  </w:footnote>
  <w:footnote w:id="439">
    <w:p w14:paraId="5F53E627" w14:textId="77777777" w:rsidR="00924664" w:rsidRPr="00A03B67" w:rsidRDefault="00924664" w:rsidP="00924664">
      <w:pPr>
        <w:pStyle w:val="FootnoteText"/>
      </w:pPr>
      <w:r w:rsidRPr="00A03B67">
        <w:rPr>
          <w:rStyle w:val="FootnoteReference"/>
        </w:rPr>
        <w:footnoteRef/>
      </w:r>
      <w:r w:rsidRPr="00A03B67">
        <w:t xml:space="preserve"> </w:t>
      </w:r>
      <w:r w:rsidRPr="00A03B67">
        <w:rPr>
          <w:i/>
          <w:iCs/>
          <w:lang w:val="en-US"/>
        </w:rPr>
        <w:t xml:space="preserve">Application by United Workers’ Union, Australian Education Union and Independent Education Union of Australia </w:t>
      </w:r>
      <w:r w:rsidRPr="00A03B67">
        <w:rPr>
          <w:lang w:val="en-US"/>
        </w:rPr>
        <w:t>[2023] FWCFB 176</w:t>
      </w:r>
      <w:r w:rsidRPr="00A03B67">
        <w:t xml:space="preserve"> [56].</w:t>
      </w:r>
    </w:p>
  </w:footnote>
  <w:footnote w:id="440">
    <w:p w14:paraId="30B15EE1"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 xml:space="preserve">Application by United Workers’ Union </w:t>
      </w:r>
      <w:r w:rsidRPr="00A03B67">
        <w:t>[2024] FWCFB 455.</w:t>
      </w:r>
    </w:p>
  </w:footnote>
  <w:footnote w:id="441">
    <w:p w14:paraId="1F91B781"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 xml:space="preserve">Application by United Workers’ Union </w:t>
      </w:r>
      <w:r w:rsidRPr="00A03B67">
        <w:t>[2024] FWCFB 461 [2].</w:t>
      </w:r>
    </w:p>
  </w:footnote>
  <w:footnote w:id="442">
    <w:p w14:paraId="34399A91"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 xml:space="preserve">Application by United Workers’ Union </w:t>
      </w:r>
      <w:r w:rsidRPr="00A03B67">
        <w:t>[2024] FWCFB 461 [18].</w:t>
      </w:r>
    </w:p>
  </w:footnote>
  <w:footnote w:id="443">
    <w:p w14:paraId="20EB8A30"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 xml:space="preserve">Application by United Workers’ Union </w:t>
      </w:r>
      <w:r w:rsidRPr="00A03B67">
        <w:t>[2024] FWCFB 461 [21].</w:t>
      </w:r>
    </w:p>
  </w:footnote>
  <w:footnote w:id="444">
    <w:p w14:paraId="0721214B"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 xml:space="preserve">Application by United Workers’ Union </w:t>
      </w:r>
      <w:r w:rsidRPr="00A03B67">
        <w:t>[2024] FWCFB 461 [20].</w:t>
      </w:r>
    </w:p>
  </w:footnote>
  <w:footnote w:id="445">
    <w:p w14:paraId="1D06E329"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 xml:space="preserve">Application by United Workers’ Union </w:t>
      </w:r>
      <w:r w:rsidRPr="00A03B67">
        <w:t>[2024] FWCFB 461 [</w:t>
      </w:r>
      <w:r>
        <w:t>22</w:t>
      </w:r>
      <w:r w:rsidRPr="00A03B67">
        <w:t>].</w:t>
      </w:r>
    </w:p>
  </w:footnote>
  <w:footnote w:id="446">
    <w:p w14:paraId="2C45561E" w14:textId="03861EE9" w:rsidR="00924664" w:rsidRDefault="00924664" w:rsidP="00924664">
      <w:pPr>
        <w:pStyle w:val="FootnoteText"/>
      </w:pPr>
      <w:r>
        <w:rPr>
          <w:rStyle w:val="FootnoteReference"/>
        </w:rPr>
        <w:footnoteRef/>
      </w:r>
      <w:r>
        <w:t xml:space="preserve"> </w:t>
      </w:r>
      <w:r w:rsidRPr="0840B6AE" w:rsidDel="0064436E">
        <w:t xml:space="preserve">Media reports that the 33 employers added to the coverage of the </w:t>
      </w:r>
      <w:r>
        <w:t>ECEC A</w:t>
      </w:r>
      <w:r w:rsidRPr="0840B6AE" w:rsidDel="0064436E">
        <w:t>greement represent</w:t>
      </w:r>
      <w:r>
        <w:t>ed</w:t>
      </w:r>
      <w:r w:rsidRPr="0840B6AE" w:rsidDel="0064436E">
        <w:t xml:space="preserve"> around 20,000 employees</w:t>
      </w:r>
      <w:r>
        <w:t xml:space="preserve">; see </w:t>
      </w:r>
      <w:r w:rsidRPr="005A0934">
        <w:t xml:space="preserve">Workplace Express, ‘Swift </w:t>
      </w:r>
      <w:r w:rsidR="00AB6836" w:rsidRPr="005A0934">
        <w:t>A</w:t>
      </w:r>
      <w:r w:rsidRPr="005A0934">
        <w:t xml:space="preserve">pproval for </w:t>
      </w:r>
      <w:r w:rsidR="00AB6836" w:rsidRPr="005A0934">
        <w:t>E</w:t>
      </w:r>
      <w:r w:rsidRPr="005A0934">
        <w:t xml:space="preserve">xpanded </w:t>
      </w:r>
      <w:r w:rsidR="00AB6836" w:rsidRPr="005A0934">
        <w:t>M</w:t>
      </w:r>
      <w:r w:rsidRPr="005A0934">
        <w:t xml:space="preserve">ulti-employer </w:t>
      </w:r>
      <w:r w:rsidR="00AB6836" w:rsidRPr="005A0934">
        <w:t>D</w:t>
      </w:r>
      <w:r w:rsidRPr="005A0934">
        <w:t>eal’ (29 January 2025).</w:t>
      </w:r>
    </w:p>
  </w:footnote>
  <w:footnote w:id="447">
    <w:p w14:paraId="7B05758A" w14:textId="21954C29" w:rsidR="00924664" w:rsidRPr="00A03B67" w:rsidRDefault="00924664" w:rsidP="00924664">
      <w:pPr>
        <w:pStyle w:val="FootnoteText"/>
      </w:pPr>
      <w:r w:rsidRPr="00A03B67">
        <w:rPr>
          <w:rStyle w:val="FootnoteReference"/>
        </w:rPr>
        <w:footnoteRef/>
      </w:r>
      <w:r w:rsidRPr="00A03B67">
        <w:t xml:space="preserve"> </w:t>
      </w:r>
      <w:r w:rsidRPr="00A03B67">
        <w:rPr>
          <w:i/>
          <w:iCs/>
        </w:rPr>
        <w:t xml:space="preserve">Application by Nest Employee Services Pty </w:t>
      </w:r>
      <w:r w:rsidRPr="000551D1">
        <w:rPr>
          <w:i/>
          <w:iCs/>
        </w:rPr>
        <w:t xml:space="preserve">Ltd </w:t>
      </w:r>
      <w:r w:rsidRPr="005A0934" w:rsidDel="000551D1">
        <w:rPr>
          <w:i/>
        </w:rPr>
        <w:t>T/A</w:t>
      </w:r>
      <w:r w:rsidRPr="00A03B67">
        <w:rPr>
          <w:i/>
          <w:iCs/>
        </w:rPr>
        <w:t xml:space="preserve"> Nido Early School</w:t>
      </w:r>
      <w:r w:rsidRPr="00A03B67">
        <w:t xml:space="preserve"> [2025] FWCA 282</w:t>
      </w:r>
      <w:r>
        <w:t xml:space="preserve"> [82].</w:t>
      </w:r>
    </w:p>
  </w:footnote>
  <w:footnote w:id="448">
    <w:p w14:paraId="1B7B3BA0" w14:textId="469B34CB" w:rsidR="00924664" w:rsidRDefault="00924664" w:rsidP="00924664">
      <w:pPr>
        <w:pStyle w:val="FootnoteText"/>
      </w:pPr>
      <w:r>
        <w:rPr>
          <w:rStyle w:val="FootnoteReference"/>
        </w:rPr>
        <w:footnoteRef/>
      </w:r>
      <w:r>
        <w:t xml:space="preserve"> </w:t>
      </w:r>
      <w:r w:rsidRPr="00A03B67">
        <w:rPr>
          <w:i/>
          <w:iCs/>
        </w:rPr>
        <w:t xml:space="preserve">Application by Nest Employee Services Pty Ltd </w:t>
      </w:r>
      <w:r w:rsidRPr="00A03B67" w:rsidDel="000551D1">
        <w:rPr>
          <w:i/>
          <w:iCs/>
        </w:rPr>
        <w:t>T/A</w:t>
      </w:r>
      <w:r w:rsidRPr="00A03B67">
        <w:rPr>
          <w:i/>
          <w:iCs/>
        </w:rPr>
        <w:t xml:space="preserve"> Nido Early School</w:t>
      </w:r>
      <w:r w:rsidRPr="00A03B67">
        <w:t xml:space="preserve"> [2025] FWCA 282 [</w:t>
      </w:r>
      <w:r>
        <w:t>15</w:t>
      </w:r>
      <w:r w:rsidRPr="00A03B67">
        <w:t>].</w:t>
      </w:r>
    </w:p>
  </w:footnote>
  <w:footnote w:id="449">
    <w:p w14:paraId="61AB32C7" w14:textId="327A66F0" w:rsidR="00924664" w:rsidRDefault="00924664" w:rsidP="00924664">
      <w:pPr>
        <w:pStyle w:val="FootnoteText"/>
      </w:pPr>
      <w:r>
        <w:rPr>
          <w:rStyle w:val="FootnoteReference"/>
        </w:rPr>
        <w:footnoteRef/>
      </w:r>
      <w:r>
        <w:t xml:space="preserve"> </w:t>
      </w:r>
      <w:r w:rsidRPr="00A03B67">
        <w:rPr>
          <w:i/>
          <w:iCs/>
        </w:rPr>
        <w:t xml:space="preserve">Application by Nest Employee Services Pty Ltd </w:t>
      </w:r>
      <w:r w:rsidRPr="00A03B67" w:rsidDel="000551D1">
        <w:rPr>
          <w:i/>
          <w:iCs/>
        </w:rPr>
        <w:t>T/A</w:t>
      </w:r>
      <w:r w:rsidRPr="00A03B67">
        <w:rPr>
          <w:i/>
          <w:iCs/>
        </w:rPr>
        <w:t xml:space="preserve"> Nido Early School</w:t>
      </w:r>
      <w:r w:rsidRPr="00A03B67">
        <w:t xml:space="preserve"> [2025] FWCA 282 [10].</w:t>
      </w:r>
    </w:p>
  </w:footnote>
  <w:footnote w:id="450">
    <w:p w14:paraId="7FC7EB55" w14:textId="60D82FD4" w:rsidR="00924664" w:rsidRDefault="00924664" w:rsidP="00924664">
      <w:pPr>
        <w:pStyle w:val="FootnoteText"/>
      </w:pPr>
      <w:r>
        <w:rPr>
          <w:rStyle w:val="FootnoteReference"/>
        </w:rPr>
        <w:footnoteRef/>
      </w:r>
      <w:r w:rsidRPr="00A03B67">
        <w:rPr>
          <w:i/>
          <w:iCs/>
        </w:rPr>
        <w:t xml:space="preserve">Application by Nest Employee Services Pty Ltd </w:t>
      </w:r>
      <w:r w:rsidRPr="00A03B67" w:rsidDel="000551D1">
        <w:rPr>
          <w:i/>
          <w:iCs/>
        </w:rPr>
        <w:t>T/A</w:t>
      </w:r>
      <w:r w:rsidRPr="00A03B67">
        <w:rPr>
          <w:i/>
          <w:iCs/>
        </w:rPr>
        <w:t xml:space="preserve"> Nido Early School</w:t>
      </w:r>
      <w:r w:rsidRPr="00A03B67">
        <w:t xml:space="preserve"> [2025] FWCA 282 [</w:t>
      </w:r>
      <w:r>
        <w:t>66</w:t>
      </w:r>
      <w:r w:rsidRPr="00A03B67">
        <w:t>].</w:t>
      </w:r>
    </w:p>
  </w:footnote>
  <w:footnote w:id="451">
    <w:p w14:paraId="339C236D" w14:textId="7BD71688" w:rsidR="00924664" w:rsidRDefault="00924664" w:rsidP="00924664">
      <w:pPr>
        <w:pStyle w:val="FootnoteText"/>
      </w:pPr>
      <w:r>
        <w:rPr>
          <w:rStyle w:val="FootnoteReference"/>
        </w:rPr>
        <w:footnoteRef/>
      </w:r>
      <w:r>
        <w:t xml:space="preserve"> </w:t>
      </w:r>
      <w:r w:rsidRPr="00A03B67">
        <w:rPr>
          <w:i/>
          <w:iCs/>
        </w:rPr>
        <w:t xml:space="preserve">Application by Nest Employee Services Pty Ltd </w:t>
      </w:r>
      <w:r w:rsidRPr="00A03B67" w:rsidDel="000551D1">
        <w:rPr>
          <w:i/>
          <w:iCs/>
        </w:rPr>
        <w:t>T/A</w:t>
      </w:r>
      <w:r w:rsidRPr="00A03B67">
        <w:rPr>
          <w:i/>
          <w:iCs/>
        </w:rPr>
        <w:t xml:space="preserve"> Nido Early School</w:t>
      </w:r>
      <w:r w:rsidRPr="00A03B67">
        <w:t xml:space="preserve"> [2025] FWCA 282 [</w:t>
      </w:r>
      <w:r>
        <w:t>72</w:t>
      </w:r>
      <w:r w:rsidRPr="00A03B67">
        <w:t>].</w:t>
      </w:r>
    </w:p>
  </w:footnote>
  <w:footnote w:id="452">
    <w:p w14:paraId="0807D6B5" w14:textId="257FF6A4" w:rsidR="00924664" w:rsidRPr="00287944" w:rsidRDefault="00924664" w:rsidP="00924664">
      <w:pPr>
        <w:pStyle w:val="FootnoteText"/>
      </w:pPr>
      <w:r>
        <w:rPr>
          <w:rStyle w:val="FootnoteReference"/>
        </w:rPr>
        <w:footnoteRef/>
      </w:r>
      <w:r>
        <w:t xml:space="preserve"> Section 211 of the </w:t>
      </w:r>
      <w:r>
        <w:rPr>
          <w:i/>
          <w:iCs/>
        </w:rPr>
        <w:t>Fair Work Act</w:t>
      </w:r>
      <w:r>
        <w:t xml:space="preserve"> generally relates to when the Fair Work Commission must approve a variation of an enterprise agreement.</w:t>
      </w:r>
    </w:p>
  </w:footnote>
  <w:footnote w:id="453">
    <w:p w14:paraId="2FC48385" w14:textId="77777777" w:rsidR="00924664" w:rsidRDefault="00924664" w:rsidP="00924664">
      <w:pPr>
        <w:pStyle w:val="FootnoteText"/>
      </w:pPr>
      <w:r>
        <w:rPr>
          <w:rStyle w:val="FootnoteReference"/>
        </w:rPr>
        <w:footnoteRef/>
      </w:r>
      <w:r>
        <w:t xml:space="preserve"> Section 210 of the </w:t>
      </w:r>
      <w:r w:rsidRPr="00DC7693">
        <w:rPr>
          <w:i/>
          <w:iCs/>
        </w:rPr>
        <w:t>Fair Work Act</w:t>
      </w:r>
      <w:r>
        <w:t xml:space="preserve"> generally relates to the application for the Fair Work Commission’s approval of a variation of an enterprise agreement.</w:t>
      </w:r>
    </w:p>
  </w:footnote>
  <w:footnote w:id="454">
    <w:p w14:paraId="20F64DC6" w14:textId="2841F43D" w:rsidR="00924664" w:rsidRDefault="00924664" w:rsidP="00924664">
      <w:pPr>
        <w:pStyle w:val="FootnoteText"/>
      </w:pPr>
      <w:r>
        <w:rPr>
          <w:rStyle w:val="FootnoteReference"/>
        </w:rPr>
        <w:footnoteRef/>
      </w:r>
      <w:r>
        <w:t xml:space="preserve"> </w:t>
      </w:r>
      <w:r w:rsidRPr="00A03B67">
        <w:rPr>
          <w:i/>
          <w:iCs/>
        </w:rPr>
        <w:t xml:space="preserve">Application by Nest Employee Services Pty </w:t>
      </w:r>
      <w:r w:rsidRPr="000551D1">
        <w:rPr>
          <w:i/>
          <w:iCs/>
        </w:rPr>
        <w:t xml:space="preserve">Ltd </w:t>
      </w:r>
      <w:r w:rsidRPr="000551D1" w:rsidDel="000551D1">
        <w:rPr>
          <w:i/>
          <w:iCs/>
        </w:rPr>
        <w:t>T/A</w:t>
      </w:r>
      <w:r w:rsidRPr="000551D1">
        <w:rPr>
          <w:i/>
          <w:iCs/>
        </w:rPr>
        <w:t xml:space="preserve"> Nido Early School</w:t>
      </w:r>
      <w:r w:rsidRPr="00A03B67">
        <w:t xml:space="preserve"> [2025] FWCA 282 [</w:t>
      </w:r>
      <w:r>
        <w:t>48</w:t>
      </w:r>
      <w:r w:rsidRPr="00A03B67">
        <w:t>].</w:t>
      </w:r>
    </w:p>
  </w:footnote>
  <w:footnote w:id="455">
    <w:p w14:paraId="24127135" w14:textId="2AAE6147" w:rsidR="00924664" w:rsidRDefault="00924664" w:rsidP="00924664">
      <w:pPr>
        <w:pStyle w:val="FootnoteText"/>
      </w:pPr>
      <w:r>
        <w:rPr>
          <w:rStyle w:val="FootnoteReference"/>
        </w:rPr>
        <w:footnoteRef/>
      </w:r>
      <w:r>
        <w:t xml:space="preserve"> </w:t>
      </w:r>
      <w:r w:rsidRPr="00A03B67">
        <w:rPr>
          <w:i/>
          <w:iCs/>
          <w:lang w:val="en-US"/>
        </w:rPr>
        <w:t>Application by United Workers’ Union</w:t>
      </w:r>
      <w:r>
        <w:rPr>
          <w:lang w:val="en-US"/>
        </w:rPr>
        <w:t xml:space="preserve"> [2024] FWCFB 455 [2]; </w:t>
      </w:r>
      <w:r w:rsidRPr="007240F4">
        <w:rPr>
          <w:i/>
          <w:iCs/>
          <w:lang w:val="en-US"/>
        </w:rPr>
        <w:t>Application by United Workers Union</w:t>
      </w:r>
      <w:r>
        <w:rPr>
          <w:lang w:val="en-US"/>
        </w:rPr>
        <w:t xml:space="preserve"> [2024] FWCFB 461 [32].</w:t>
      </w:r>
    </w:p>
  </w:footnote>
  <w:footnote w:id="456">
    <w:p w14:paraId="728DD4A5" w14:textId="3C3BBC1F" w:rsidR="00924664" w:rsidRPr="000551D1" w:rsidRDefault="00924664" w:rsidP="00924664">
      <w:pPr>
        <w:pStyle w:val="FootnoteText"/>
      </w:pPr>
      <w:r>
        <w:rPr>
          <w:rStyle w:val="FootnoteReference"/>
        </w:rPr>
        <w:footnoteRef/>
      </w:r>
      <w:r>
        <w:t xml:space="preserve"> </w:t>
      </w:r>
      <w:r w:rsidRPr="00A03B67">
        <w:rPr>
          <w:i/>
          <w:iCs/>
        </w:rPr>
        <w:t xml:space="preserve">Application by Nest Employee Services </w:t>
      </w:r>
      <w:r w:rsidRPr="000551D1">
        <w:rPr>
          <w:i/>
          <w:iCs/>
        </w:rPr>
        <w:t xml:space="preserve">Pty Ltd </w:t>
      </w:r>
      <w:r w:rsidRPr="000551D1" w:rsidDel="000551D1">
        <w:rPr>
          <w:i/>
          <w:iCs/>
        </w:rPr>
        <w:t>T/A</w:t>
      </w:r>
      <w:r w:rsidRPr="000551D1">
        <w:rPr>
          <w:i/>
          <w:iCs/>
        </w:rPr>
        <w:t xml:space="preserve"> Nido Early School</w:t>
      </w:r>
      <w:r w:rsidRPr="000551D1">
        <w:t xml:space="preserve"> [2025] FWCA 282 [49].</w:t>
      </w:r>
    </w:p>
  </w:footnote>
  <w:footnote w:id="457">
    <w:p w14:paraId="4623A857" w14:textId="1C9EBF4E" w:rsidR="00924664" w:rsidRPr="000551D1" w:rsidRDefault="00924664" w:rsidP="00924664">
      <w:pPr>
        <w:pStyle w:val="FootnoteText"/>
      </w:pPr>
      <w:r w:rsidRPr="000551D1">
        <w:rPr>
          <w:rStyle w:val="FootnoteReference"/>
        </w:rPr>
        <w:footnoteRef/>
      </w:r>
      <w:r w:rsidRPr="000551D1">
        <w:t xml:space="preserve"> </w:t>
      </w:r>
      <w:r w:rsidRPr="000551D1">
        <w:rPr>
          <w:i/>
          <w:iCs/>
        </w:rPr>
        <w:t xml:space="preserve">Application by Nest Employee Services Pty Ltd </w:t>
      </w:r>
      <w:r w:rsidRPr="000551D1" w:rsidDel="000551D1">
        <w:rPr>
          <w:i/>
          <w:iCs/>
        </w:rPr>
        <w:t>T/A</w:t>
      </w:r>
      <w:r w:rsidRPr="000551D1">
        <w:rPr>
          <w:i/>
          <w:iCs/>
        </w:rPr>
        <w:t xml:space="preserve"> Nido Early School</w:t>
      </w:r>
      <w:r w:rsidRPr="000551D1">
        <w:t xml:space="preserve"> [2025] FWCA 282 [49].</w:t>
      </w:r>
    </w:p>
  </w:footnote>
  <w:footnote w:id="458">
    <w:p w14:paraId="60FDE8BF" w14:textId="7A6536E8" w:rsidR="00924664" w:rsidRDefault="00924664" w:rsidP="00924664">
      <w:pPr>
        <w:pStyle w:val="FootnoteText"/>
      </w:pPr>
      <w:r w:rsidRPr="000551D1">
        <w:rPr>
          <w:rStyle w:val="FootnoteReference"/>
        </w:rPr>
        <w:footnoteRef/>
      </w:r>
      <w:r w:rsidRPr="000551D1">
        <w:t xml:space="preserve"> </w:t>
      </w:r>
      <w:r w:rsidRPr="000551D1">
        <w:rPr>
          <w:i/>
          <w:iCs/>
        </w:rPr>
        <w:t xml:space="preserve">Application by Nest Employee Services Pty Ltd </w:t>
      </w:r>
      <w:r w:rsidRPr="000551D1" w:rsidDel="000551D1">
        <w:rPr>
          <w:i/>
          <w:iCs/>
        </w:rPr>
        <w:t>T/A</w:t>
      </w:r>
      <w:r w:rsidRPr="000551D1">
        <w:rPr>
          <w:i/>
          <w:iCs/>
        </w:rPr>
        <w:t xml:space="preserve"> Nido Early</w:t>
      </w:r>
      <w:r w:rsidRPr="00A03B67">
        <w:rPr>
          <w:i/>
          <w:iCs/>
        </w:rPr>
        <w:t xml:space="preserve"> School</w:t>
      </w:r>
      <w:r w:rsidRPr="00A03B67">
        <w:t xml:space="preserve"> [2025] FWCA 282 [</w:t>
      </w:r>
      <w:r>
        <w:t>55</w:t>
      </w:r>
      <w:r w:rsidRPr="00A03B67">
        <w:t>].</w:t>
      </w:r>
    </w:p>
  </w:footnote>
  <w:footnote w:id="459">
    <w:p w14:paraId="07D6CABF" w14:textId="6FC005D3" w:rsidR="00924664" w:rsidRDefault="00924664" w:rsidP="00924664">
      <w:pPr>
        <w:pStyle w:val="FootnoteText"/>
      </w:pPr>
      <w:r>
        <w:rPr>
          <w:rStyle w:val="FootnoteReference"/>
        </w:rPr>
        <w:footnoteRef/>
      </w:r>
      <w:r>
        <w:t xml:space="preserve"> </w:t>
      </w:r>
      <w:r w:rsidRPr="00A03B67">
        <w:rPr>
          <w:i/>
          <w:iCs/>
        </w:rPr>
        <w:t xml:space="preserve">Application by Nest Employee Services Pty Ltd </w:t>
      </w:r>
      <w:r w:rsidRPr="00A03B67" w:rsidDel="000551D1">
        <w:rPr>
          <w:i/>
          <w:iCs/>
        </w:rPr>
        <w:t>T/A</w:t>
      </w:r>
      <w:r w:rsidRPr="00A03B67">
        <w:rPr>
          <w:i/>
          <w:iCs/>
        </w:rPr>
        <w:t xml:space="preserve"> Nido Early School</w:t>
      </w:r>
      <w:r w:rsidRPr="00A03B67">
        <w:t xml:space="preserve"> [2025] FWCA 282 </w:t>
      </w:r>
      <w:r>
        <w:t>[31</w:t>
      </w:r>
      <w:r w:rsidRPr="00A03B67">
        <w:t>].</w:t>
      </w:r>
    </w:p>
  </w:footnote>
  <w:footnote w:id="460">
    <w:p w14:paraId="562CAF51" w14:textId="77777777" w:rsidR="00924664" w:rsidRPr="00A03B67" w:rsidRDefault="00924664" w:rsidP="00924664">
      <w:pPr>
        <w:pStyle w:val="FootnoteText"/>
      </w:pPr>
      <w:r w:rsidRPr="00A03B67">
        <w:rPr>
          <w:rStyle w:val="FootnoteReference"/>
        </w:rPr>
        <w:footnoteRef/>
      </w:r>
      <w:r w:rsidRPr="00A03B67">
        <w:t xml:space="preserve"> Form F82 submitted by Shop, Distributive and Allied Employees Association, filed 5 August 2024.</w:t>
      </w:r>
    </w:p>
  </w:footnote>
  <w:footnote w:id="461">
    <w:p w14:paraId="0B4E9D88" w14:textId="77777777" w:rsidR="00924664" w:rsidRPr="00A03B67" w:rsidRDefault="00924664" w:rsidP="00924664">
      <w:pPr>
        <w:pStyle w:val="FootnoteText"/>
      </w:pPr>
      <w:r w:rsidRPr="00A03B67">
        <w:rPr>
          <w:rStyle w:val="FootnoteReference"/>
        </w:rPr>
        <w:footnoteRef/>
      </w:r>
      <w:r w:rsidRPr="00A03B67">
        <w:t xml:space="preserve"> McDonald’s Outline of Submissions, p 3, filed on 15 November 2024, Matter Number B2024/992.</w:t>
      </w:r>
    </w:p>
  </w:footnote>
  <w:footnote w:id="462">
    <w:p w14:paraId="61FE1B7C" w14:textId="798835FC" w:rsidR="00924664" w:rsidRPr="00A03B67" w:rsidRDefault="00924664" w:rsidP="00924664">
      <w:pPr>
        <w:pStyle w:val="FootnoteText"/>
      </w:pPr>
      <w:r w:rsidRPr="00A03B67">
        <w:rPr>
          <w:rStyle w:val="FootnoteReference"/>
        </w:rPr>
        <w:footnoteRef/>
      </w:r>
      <w:r w:rsidRPr="00A03B67">
        <w:t xml:space="preserve"> </w:t>
      </w:r>
      <w:r w:rsidR="00B76750">
        <w:t>Australian Council of Trade Unions (</w:t>
      </w:r>
      <w:r w:rsidRPr="00A03B67">
        <w:t>ACTU</w:t>
      </w:r>
      <w:r w:rsidR="00B76750">
        <w:t>)</w:t>
      </w:r>
      <w:r w:rsidRPr="00A03B67">
        <w:t xml:space="preserve"> submission, 92.</w:t>
      </w:r>
    </w:p>
  </w:footnote>
  <w:footnote w:id="463">
    <w:p w14:paraId="6C713CE9" w14:textId="48188766" w:rsidR="00924664" w:rsidRPr="00A03B67" w:rsidRDefault="00924664" w:rsidP="00924664">
      <w:pPr>
        <w:pStyle w:val="FootnoteText"/>
      </w:pPr>
      <w:r w:rsidRPr="00A03B67">
        <w:rPr>
          <w:rStyle w:val="FootnoteReference"/>
        </w:rPr>
        <w:footnoteRef/>
      </w:r>
      <w:r w:rsidRPr="00A03B67">
        <w:t xml:space="preserve"> </w:t>
      </w:r>
      <w:r w:rsidR="00B76750" w:rsidRPr="00B76750">
        <w:t xml:space="preserve">United Workers Union </w:t>
      </w:r>
      <w:r w:rsidR="00B76750">
        <w:t>(</w:t>
      </w:r>
      <w:r w:rsidRPr="00A03B67">
        <w:t>UWU</w:t>
      </w:r>
      <w:r w:rsidR="00B76750">
        <w:t>)</w:t>
      </w:r>
      <w:r w:rsidRPr="00A03B67">
        <w:t xml:space="preserve"> submission, 36.</w:t>
      </w:r>
    </w:p>
  </w:footnote>
  <w:footnote w:id="464">
    <w:p w14:paraId="4F3AA0D1" w14:textId="6CDEB92C" w:rsidR="00924664" w:rsidRPr="00A03B67" w:rsidRDefault="00924664" w:rsidP="00924664">
      <w:pPr>
        <w:pStyle w:val="FootnoteText"/>
      </w:pPr>
      <w:r w:rsidRPr="00A03B67">
        <w:rPr>
          <w:rStyle w:val="FootnoteReference"/>
        </w:rPr>
        <w:footnoteRef/>
      </w:r>
      <w:r w:rsidRPr="00A03B67">
        <w:t xml:space="preserve"> </w:t>
      </w:r>
      <w:r w:rsidR="00B76750" w:rsidRPr="00B76750">
        <w:t xml:space="preserve">Independent Education Union </w:t>
      </w:r>
      <w:r w:rsidR="00B76750">
        <w:t>(</w:t>
      </w:r>
      <w:r w:rsidRPr="00A03B67">
        <w:t>IEU</w:t>
      </w:r>
      <w:r w:rsidR="00B76750">
        <w:t>)</w:t>
      </w:r>
      <w:r w:rsidRPr="00A03B67">
        <w:t xml:space="preserve"> submission, 6.</w:t>
      </w:r>
    </w:p>
  </w:footnote>
  <w:footnote w:id="465">
    <w:p w14:paraId="17385A9A" w14:textId="77777777" w:rsidR="00924664" w:rsidRPr="00A03B67" w:rsidRDefault="00924664" w:rsidP="00924664">
      <w:pPr>
        <w:pStyle w:val="FootnoteText"/>
      </w:pPr>
      <w:r w:rsidRPr="00A03B67">
        <w:rPr>
          <w:rStyle w:val="FootnoteReference"/>
        </w:rPr>
        <w:footnoteRef/>
      </w:r>
      <w:r w:rsidRPr="00A03B67">
        <w:t xml:space="preserve"> ACTU submission, 92</w:t>
      </w:r>
      <w:r w:rsidRPr="00A03B67">
        <w:rPr>
          <w:rFonts w:ascii="Symbol" w:eastAsia="Symbol" w:hAnsi="Symbol" w:cs="Symbol"/>
        </w:rPr>
        <w:t>-</w:t>
      </w:r>
      <w:r w:rsidRPr="00A03B67">
        <w:t>93; UWU submission, 39</w:t>
      </w:r>
      <w:r w:rsidRPr="00A03B67">
        <w:rPr>
          <w:rFonts w:ascii="Symbol" w:eastAsia="Symbol" w:hAnsi="Symbol" w:cs="Symbol"/>
        </w:rPr>
        <w:t>-</w:t>
      </w:r>
      <w:r w:rsidRPr="00A03B67">
        <w:t>40.</w:t>
      </w:r>
    </w:p>
  </w:footnote>
  <w:footnote w:id="466">
    <w:p w14:paraId="67F89644" w14:textId="77777777" w:rsidR="00924664" w:rsidRPr="00A03B67" w:rsidRDefault="00924664" w:rsidP="00924664">
      <w:pPr>
        <w:pStyle w:val="FootnoteText"/>
      </w:pPr>
      <w:r w:rsidRPr="00A03B67">
        <w:rPr>
          <w:rStyle w:val="FootnoteReference"/>
        </w:rPr>
        <w:footnoteRef/>
      </w:r>
      <w:r w:rsidRPr="00A03B67">
        <w:t xml:space="preserve"> ACTU submission, 93.</w:t>
      </w:r>
    </w:p>
  </w:footnote>
  <w:footnote w:id="467">
    <w:p w14:paraId="46A9A41E" w14:textId="77777777" w:rsidR="00924664" w:rsidRPr="00A03B67" w:rsidRDefault="00924664" w:rsidP="00924664">
      <w:pPr>
        <w:pStyle w:val="FootnoteText"/>
      </w:pPr>
      <w:r w:rsidRPr="00A03B67">
        <w:rPr>
          <w:rStyle w:val="FootnoteReference"/>
        </w:rPr>
        <w:footnoteRef/>
      </w:r>
      <w:r w:rsidRPr="00A03B67">
        <w:t xml:space="preserve"> ACTU submission, 93.</w:t>
      </w:r>
    </w:p>
  </w:footnote>
  <w:footnote w:id="468">
    <w:p w14:paraId="7509DE93" w14:textId="77777777" w:rsidR="00924664" w:rsidRPr="00A03B67" w:rsidRDefault="00924664" w:rsidP="00924664">
      <w:pPr>
        <w:pStyle w:val="FootnoteText"/>
      </w:pPr>
      <w:r w:rsidRPr="00A03B67">
        <w:rPr>
          <w:rStyle w:val="FootnoteReference"/>
        </w:rPr>
        <w:footnoteRef/>
      </w:r>
      <w:r w:rsidRPr="00A03B67">
        <w:t xml:space="preserve"> UWU submission, 38</w:t>
      </w:r>
    </w:p>
  </w:footnote>
  <w:footnote w:id="469">
    <w:p w14:paraId="16AC98C7" w14:textId="1ED9C95F" w:rsidR="00924664" w:rsidRPr="00A03B67" w:rsidRDefault="00924664" w:rsidP="00924664">
      <w:pPr>
        <w:pStyle w:val="FootnoteText"/>
      </w:pPr>
      <w:r w:rsidRPr="00A03B67">
        <w:rPr>
          <w:rStyle w:val="FootnoteReference"/>
        </w:rPr>
        <w:footnoteRef/>
      </w:r>
      <w:r w:rsidRPr="00A03B67">
        <w:t xml:space="preserve"> </w:t>
      </w:r>
      <w:r w:rsidR="00B76750">
        <w:t>Business Council of Australia (</w:t>
      </w:r>
      <w:r w:rsidRPr="00A03B67">
        <w:t>BCA</w:t>
      </w:r>
      <w:r w:rsidR="00B76750">
        <w:t>)</w:t>
      </w:r>
      <w:r w:rsidRPr="00A03B67">
        <w:t xml:space="preserve"> submission, 11.</w:t>
      </w:r>
    </w:p>
  </w:footnote>
  <w:footnote w:id="470">
    <w:p w14:paraId="766DC901" w14:textId="6FC7DDEB" w:rsidR="00924664" w:rsidRPr="00A03B67" w:rsidRDefault="00924664" w:rsidP="00924664">
      <w:pPr>
        <w:pStyle w:val="FootnoteText"/>
      </w:pPr>
      <w:r w:rsidRPr="00A03B67">
        <w:rPr>
          <w:rStyle w:val="FootnoteReference"/>
        </w:rPr>
        <w:footnoteRef/>
      </w:r>
      <w:r w:rsidRPr="00A03B67">
        <w:t xml:space="preserve"> </w:t>
      </w:r>
      <w:r w:rsidR="00B76750">
        <w:t>Australian Retailers Association (</w:t>
      </w:r>
      <w:r w:rsidRPr="00A03B67">
        <w:t>ARA</w:t>
      </w:r>
      <w:r w:rsidR="00B76750">
        <w:t>)</w:t>
      </w:r>
      <w:r w:rsidRPr="00A03B67">
        <w:t xml:space="preserve"> submission, 9.</w:t>
      </w:r>
    </w:p>
  </w:footnote>
  <w:footnote w:id="471">
    <w:p w14:paraId="6CC52CD6" w14:textId="3E25FBE9" w:rsidR="00924664" w:rsidRPr="00A03B67" w:rsidRDefault="00924664" w:rsidP="00924664">
      <w:pPr>
        <w:pStyle w:val="FootnoteText"/>
      </w:pPr>
      <w:r w:rsidRPr="00A03B67">
        <w:rPr>
          <w:rStyle w:val="FootnoteReference"/>
        </w:rPr>
        <w:footnoteRef/>
      </w:r>
      <w:r w:rsidRPr="00A03B67">
        <w:t xml:space="preserve"> </w:t>
      </w:r>
      <w:r w:rsidR="00A95C2E" w:rsidRPr="00A95C2E">
        <w:t xml:space="preserve">Minerals Council of Australia </w:t>
      </w:r>
      <w:r w:rsidR="00A95C2E">
        <w:t>(</w:t>
      </w:r>
      <w:r w:rsidRPr="00A03B67">
        <w:t>MCA</w:t>
      </w:r>
      <w:r w:rsidR="00A95C2E">
        <w:t>)</w:t>
      </w:r>
      <w:r w:rsidRPr="00A03B67">
        <w:t xml:space="preserve"> submission, 6.</w:t>
      </w:r>
    </w:p>
  </w:footnote>
  <w:footnote w:id="472">
    <w:p w14:paraId="63560926" w14:textId="1A56C745" w:rsidR="00924664" w:rsidRPr="00A03B67" w:rsidRDefault="00924664" w:rsidP="00924664">
      <w:pPr>
        <w:pStyle w:val="FootnoteText"/>
      </w:pPr>
      <w:r w:rsidRPr="00A03B67">
        <w:rPr>
          <w:rStyle w:val="FootnoteReference"/>
        </w:rPr>
        <w:footnoteRef/>
      </w:r>
      <w:r w:rsidRPr="00A03B67">
        <w:t xml:space="preserve"> </w:t>
      </w:r>
      <w:r w:rsidR="00A95C2E" w:rsidRPr="00A95C2E">
        <w:t xml:space="preserve">Australian Chamber of Commerce and Industry </w:t>
      </w:r>
      <w:r w:rsidR="00A95C2E">
        <w:t>(</w:t>
      </w:r>
      <w:r w:rsidRPr="00A03B67">
        <w:t>ACCI</w:t>
      </w:r>
      <w:r w:rsidR="00A95C2E">
        <w:t>)</w:t>
      </w:r>
      <w:r w:rsidRPr="00A03B67">
        <w:t xml:space="preserve"> submission, 44.</w:t>
      </w:r>
    </w:p>
  </w:footnote>
  <w:footnote w:id="473">
    <w:p w14:paraId="76A9D6EF" w14:textId="396A18C4" w:rsidR="00924664" w:rsidRPr="00A03B67" w:rsidRDefault="00924664" w:rsidP="00924664">
      <w:pPr>
        <w:pStyle w:val="FootnoteText"/>
      </w:pPr>
      <w:r w:rsidRPr="00A03B67">
        <w:rPr>
          <w:rStyle w:val="FootnoteReference"/>
        </w:rPr>
        <w:footnoteRef/>
      </w:r>
      <w:r w:rsidRPr="00A03B67">
        <w:t xml:space="preserve"> </w:t>
      </w:r>
      <w:r w:rsidR="002505DD">
        <w:t xml:space="preserve">Professor </w:t>
      </w:r>
      <w:r w:rsidRPr="00A03B67">
        <w:t>R Cooper submission, 2.</w:t>
      </w:r>
    </w:p>
  </w:footnote>
  <w:footnote w:id="474">
    <w:p w14:paraId="6CA790BF" w14:textId="0639E465" w:rsidR="00924664" w:rsidRPr="003B3522" w:rsidRDefault="00924664" w:rsidP="00924664">
      <w:pPr>
        <w:pStyle w:val="FootnoteText"/>
      </w:pPr>
      <w:r>
        <w:rPr>
          <w:rStyle w:val="FootnoteReference"/>
        </w:rPr>
        <w:footnoteRef/>
      </w:r>
      <w:r>
        <w:t xml:space="preserve"> ACCI submission in response to draft report, 14.</w:t>
      </w:r>
    </w:p>
  </w:footnote>
  <w:footnote w:id="475">
    <w:p w14:paraId="7368EE63" w14:textId="4BC83340" w:rsidR="00924664" w:rsidRPr="009E05EE" w:rsidRDefault="00924664" w:rsidP="00924664">
      <w:pPr>
        <w:pStyle w:val="FootnoteText"/>
      </w:pPr>
      <w:r>
        <w:rPr>
          <w:rStyle w:val="FootnoteReference"/>
        </w:rPr>
        <w:footnoteRef/>
      </w:r>
      <w:r>
        <w:t xml:space="preserve"> Ai Group submission in response to draft report, 22</w:t>
      </w:r>
      <w:r w:rsidR="00AB6836">
        <w:rPr>
          <w:rFonts w:ascii="Symbol" w:eastAsia="Symbol" w:hAnsi="Symbol" w:cs="Symbol"/>
        </w:rPr>
        <w:t>-</w:t>
      </w:r>
      <w:r>
        <w:t>24.</w:t>
      </w:r>
    </w:p>
  </w:footnote>
  <w:footnote w:id="476">
    <w:p w14:paraId="1B8E47AD" w14:textId="51C9E143" w:rsidR="00924664" w:rsidRPr="007A3FE0" w:rsidRDefault="00924664" w:rsidP="00924664">
      <w:pPr>
        <w:pStyle w:val="FootnoteText"/>
      </w:pPr>
      <w:r>
        <w:rPr>
          <w:rStyle w:val="FootnoteReference"/>
        </w:rPr>
        <w:footnoteRef/>
      </w:r>
      <w:r>
        <w:t xml:space="preserve"> ACTU submission in response to draft report, 7.</w:t>
      </w:r>
    </w:p>
  </w:footnote>
  <w:footnote w:id="477">
    <w:p w14:paraId="3C606721" w14:textId="0E4ED61E" w:rsidR="00924664" w:rsidRPr="00DF6539" w:rsidRDefault="00924664" w:rsidP="00924664">
      <w:pPr>
        <w:pStyle w:val="FootnoteText"/>
      </w:pPr>
      <w:r>
        <w:rPr>
          <w:rStyle w:val="FootnoteReference"/>
        </w:rPr>
        <w:footnoteRef/>
      </w:r>
      <w:r>
        <w:t xml:space="preserve"> UWU submission in response to draft report, 5</w:t>
      </w:r>
      <w:r w:rsidR="00AB6836">
        <w:rPr>
          <w:rFonts w:ascii="Symbol" w:eastAsia="Symbol" w:hAnsi="Symbol" w:cs="Symbol"/>
        </w:rPr>
        <w:t>-</w:t>
      </w:r>
      <w:r>
        <w:t>6.</w:t>
      </w:r>
    </w:p>
  </w:footnote>
  <w:footnote w:id="478">
    <w:p w14:paraId="59612811" w14:textId="531E86BC" w:rsidR="00924664" w:rsidRDefault="00924664" w:rsidP="00924664">
      <w:pPr>
        <w:pStyle w:val="FootnoteText"/>
      </w:pPr>
      <w:r>
        <w:rPr>
          <w:rStyle w:val="FootnoteReference"/>
        </w:rPr>
        <w:footnoteRef/>
      </w:r>
      <w:r>
        <w:t xml:space="preserve"> </w:t>
      </w:r>
      <w:r w:rsidRPr="00A03B67">
        <w:rPr>
          <w:i/>
          <w:iCs/>
        </w:rPr>
        <w:t xml:space="preserve">Application by Nest Employee Services Pty Ltd </w:t>
      </w:r>
      <w:r w:rsidRPr="00A03B67" w:rsidDel="000551D1">
        <w:rPr>
          <w:i/>
          <w:iCs/>
        </w:rPr>
        <w:t>T/A</w:t>
      </w:r>
      <w:r w:rsidRPr="00A03B67">
        <w:rPr>
          <w:i/>
          <w:iCs/>
        </w:rPr>
        <w:t xml:space="preserve"> Nido Early School</w:t>
      </w:r>
      <w:r w:rsidRPr="00A03B67">
        <w:t xml:space="preserve"> [2025] FWCA 282 [</w:t>
      </w:r>
      <w:r>
        <w:t>53</w:t>
      </w:r>
      <w:r w:rsidRPr="00A03B67">
        <w:t>].</w:t>
      </w:r>
    </w:p>
  </w:footnote>
  <w:footnote w:id="479">
    <w:p w14:paraId="789FA0DD" w14:textId="64BEA680" w:rsidR="00924664" w:rsidRDefault="00924664" w:rsidP="00924664">
      <w:pPr>
        <w:pStyle w:val="FootnoteText"/>
      </w:pPr>
      <w:r>
        <w:rPr>
          <w:rStyle w:val="FootnoteReference"/>
        </w:rPr>
        <w:footnoteRef/>
      </w:r>
      <w:r>
        <w:t xml:space="preserve"> </w:t>
      </w:r>
      <w:r w:rsidRPr="00A03B67">
        <w:rPr>
          <w:i/>
          <w:iCs/>
        </w:rPr>
        <w:t xml:space="preserve">Application by Nest Employee Services Pty Ltd </w:t>
      </w:r>
      <w:r w:rsidRPr="00A03B67" w:rsidDel="000551D1">
        <w:rPr>
          <w:i/>
          <w:iCs/>
        </w:rPr>
        <w:t>T/A</w:t>
      </w:r>
      <w:r w:rsidRPr="00A03B67">
        <w:rPr>
          <w:i/>
          <w:iCs/>
        </w:rPr>
        <w:t xml:space="preserve"> Nido Early School</w:t>
      </w:r>
      <w:r w:rsidRPr="00A03B67">
        <w:t xml:space="preserve"> [2025] FWCA 282 [</w:t>
      </w:r>
      <w:r>
        <w:t>53</w:t>
      </w:r>
      <w:r w:rsidRPr="00A03B67">
        <w:t>].</w:t>
      </w:r>
    </w:p>
  </w:footnote>
  <w:footnote w:id="480">
    <w:p w14:paraId="1EEB35CC" w14:textId="1555927D" w:rsidR="00924664" w:rsidRPr="00A03B67" w:rsidRDefault="00924664" w:rsidP="00924664">
      <w:pPr>
        <w:pStyle w:val="FootnoteText"/>
      </w:pPr>
      <w:r w:rsidRPr="00A03B67">
        <w:rPr>
          <w:rStyle w:val="FootnoteReference"/>
        </w:rPr>
        <w:footnoteRef/>
      </w:r>
      <w:r w:rsidRPr="00A03B67">
        <w:t xml:space="preserve"> Revised Explanatory Memorandum, Fair Work Amendment (Secure Jobs, Better Pay) Bill 2023</w:t>
      </w:r>
      <w:r w:rsidR="00AB6836">
        <w:t>,</w:t>
      </w:r>
      <w:r w:rsidRPr="00A03B67">
        <w:t xml:space="preserve"> xii.</w:t>
      </w:r>
    </w:p>
  </w:footnote>
  <w:footnote w:id="481">
    <w:p w14:paraId="407BA229" w14:textId="77777777" w:rsidR="00924664" w:rsidRPr="00A03B67" w:rsidRDefault="00924664" w:rsidP="00924664">
      <w:pPr>
        <w:pStyle w:val="FootnoteText"/>
      </w:pPr>
      <w:r w:rsidRPr="00A03B67">
        <w:rPr>
          <w:rStyle w:val="FootnoteReference"/>
        </w:rPr>
        <w:footnoteRef/>
      </w:r>
      <w:r w:rsidRPr="00A03B67">
        <w:t xml:space="preserve"> </w:t>
      </w:r>
      <w:r w:rsidRPr="00A03B67">
        <w:rPr>
          <w:i/>
        </w:rPr>
        <w:t>Fair Work Act 2009</w:t>
      </w:r>
      <w:r w:rsidRPr="00A03B67">
        <w:t xml:space="preserve"> (Cth) s 247 (6 December 2022), later amended by </w:t>
      </w:r>
      <w:r w:rsidRPr="00A03B67">
        <w:rPr>
          <w:i/>
        </w:rPr>
        <w:t>Fair Work Legislation Amendment (Secure Jobs, Better Pay) Act 2022.</w:t>
      </w:r>
    </w:p>
  </w:footnote>
  <w:footnote w:id="482">
    <w:p w14:paraId="6208CA92" w14:textId="3761F9D4" w:rsidR="00924664" w:rsidRPr="00A03B67" w:rsidRDefault="00924664" w:rsidP="00924664">
      <w:pPr>
        <w:pStyle w:val="FootnoteText"/>
      </w:pPr>
      <w:r w:rsidRPr="00A03B67">
        <w:rPr>
          <w:rStyle w:val="FootnoteReference"/>
        </w:rPr>
        <w:footnoteRef/>
      </w:r>
      <w:r w:rsidRPr="00A03B67">
        <w:t xml:space="preserve"> Revised Explanatory Memorandum, Fair Work Amendment (Secure Jobs, Better Pay) Bill 2023</w:t>
      </w:r>
      <w:r w:rsidR="00AB6836">
        <w:t>,</w:t>
      </w:r>
      <w:r w:rsidRPr="00A03B67">
        <w:t xml:space="preserve"> [1006] 173.</w:t>
      </w:r>
    </w:p>
  </w:footnote>
  <w:footnote w:id="483">
    <w:p w14:paraId="06502E6A" w14:textId="77777777" w:rsidR="00924664" w:rsidRPr="00A03B67" w:rsidRDefault="00924664" w:rsidP="00924664">
      <w:pPr>
        <w:pStyle w:val="FootnoteText"/>
      </w:pPr>
      <w:r w:rsidRPr="00A03B67">
        <w:rPr>
          <w:rStyle w:val="FootnoteReference"/>
        </w:rPr>
        <w:footnoteRef/>
      </w:r>
      <w:r w:rsidRPr="00A03B67">
        <w:t xml:space="preserve"> </w:t>
      </w:r>
      <w:r w:rsidRPr="00A03B67">
        <w:rPr>
          <w:i/>
        </w:rPr>
        <w:t>Fair Work Act</w:t>
      </w:r>
      <w:r w:rsidRPr="00A03B67">
        <w:rPr>
          <w:i/>
          <w:iCs/>
        </w:rPr>
        <w:t xml:space="preserve"> 2009</w:t>
      </w:r>
      <w:r w:rsidRPr="00A03B67">
        <w:t xml:space="preserve"> (Cth) s 248.</w:t>
      </w:r>
    </w:p>
  </w:footnote>
  <w:footnote w:id="484">
    <w:p w14:paraId="4D115726"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s 216DB.</w:t>
      </w:r>
    </w:p>
  </w:footnote>
  <w:footnote w:id="485">
    <w:p w14:paraId="2D4920F3"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s 216DC.</w:t>
      </w:r>
    </w:p>
  </w:footnote>
  <w:footnote w:id="486">
    <w:p w14:paraId="6981E371" w14:textId="639E04E9" w:rsidR="00924664" w:rsidRPr="00A03B67" w:rsidRDefault="00924664" w:rsidP="00924664">
      <w:pPr>
        <w:pStyle w:val="FootnoteText"/>
      </w:pPr>
      <w:r w:rsidRPr="00A03B67">
        <w:rPr>
          <w:rStyle w:val="FootnoteReference"/>
        </w:rPr>
        <w:footnoteRef/>
      </w:r>
      <w:r w:rsidRPr="00A03B67">
        <w:t xml:space="preserve"> </w:t>
      </w:r>
      <w:r w:rsidRPr="00A03B67">
        <w:rPr>
          <w:i/>
          <w:iCs/>
        </w:rPr>
        <w:t xml:space="preserve">Fair Work Act 2009 </w:t>
      </w:r>
      <w:r w:rsidRPr="00A03B67">
        <w:t>(Cth) ss 172(3), 172(3A), 172(5A).</w:t>
      </w:r>
    </w:p>
  </w:footnote>
  <w:footnote w:id="487">
    <w:p w14:paraId="36FF45BC" w14:textId="76C83E17" w:rsidR="00924664" w:rsidRPr="00A03B67" w:rsidRDefault="00924664" w:rsidP="00924664">
      <w:pPr>
        <w:pStyle w:val="FootnoteText"/>
        <w:spacing w:line="276" w:lineRule="auto"/>
      </w:pPr>
      <w:r w:rsidRPr="00A03B67">
        <w:rPr>
          <w:rStyle w:val="FootnoteReference"/>
        </w:rPr>
        <w:footnoteRef/>
      </w:r>
      <w:r w:rsidRPr="00A03B67">
        <w:t xml:space="preserve"> </w:t>
      </w:r>
      <w:r w:rsidRPr="00A03B67">
        <w:rPr>
          <w:i/>
        </w:rPr>
        <w:t>Fair Work Act</w:t>
      </w:r>
      <w:r w:rsidRPr="00A03B67">
        <w:rPr>
          <w:i/>
          <w:iCs/>
        </w:rPr>
        <w:t xml:space="preserve"> 2009</w:t>
      </w:r>
      <w:r w:rsidRPr="00A03B67">
        <w:t xml:space="preserve"> (Cth) ss 58(4)</w:t>
      </w:r>
      <w:r w:rsidR="00AB6836">
        <w:t xml:space="preserve"> </w:t>
      </w:r>
      <w:r w:rsidR="00AB6836">
        <w:rPr>
          <w:rFonts w:ascii="Symbol" w:eastAsia="Symbol" w:hAnsi="Symbol" w:cs="Symbol"/>
        </w:rPr>
        <w:t>-</w:t>
      </w:r>
      <w:r w:rsidR="00AB6836">
        <w:t xml:space="preserve"> </w:t>
      </w:r>
      <w:r w:rsidRPr="00A03B67">
        <w:t>58(5).</w:t>
      </w:r>
    </w:p>
  </w:footnote>
  <w:footnote w:id="488">
    <w:p w14:paraId="7A231569" w14:textId="77777777" w:rsidR="00924664" w:rsidRPr="00A03B67" w:rsidRDefault="00924664" w:rsidP="00924664">
      <w:pPr>
        <w:pStyle w:val="FootnoteText"/>
        <w:spacing w:line="276" w:lineRule="auto"/>
      </w:pPr>
      <w:r w:rsidRPr="00A03B67">
        <w:rPr>
          <w:rStyle w:val="FootnoteReference"/>
        </w:rPr>
        <w:footnoteRef/>
      </w:r>
      <w:r w:rsidRPr="00A03B67">
        <w:rPr>
          <w:i/>
          <w:iCs/>
        </w:rPr>
        <w:t xml:space="preserve"> Fair Work Act 2009</w:t>
      </w:r>
      <w:r w:rsidRPr="00A03B67">
        <w:t xml:space="preserve"> (Cth) ss 193(1)(b),193(1A).</w:t>
      </w:r>
    </w:p>
  </w:footnote>
  <w:footnote w:id="489">
    <w:p w14:paraId="2EF94E5D" w14:textId="642EF3EC" w:rsidR="00924664" w:rsidRPr="00A03B67" w:rsidRDefault="00924664" w:rsidP="00924664">
      <w:pPr>
        <w:pStyle w:val="FootnoteText"/>
      </w:pPr>
      <w:r w:rsidRPr="00A03B67">
        <w:rPr>
          <w:rStyle w:val="FootnoteReference"/>
        </w:rPr>
        <w:footnoteRef/>
      </w:r>
      <w:r w:rsidRPr="00A03B67">
        <w:t xml:space="preserve"> Regulation Impact Statement, Revised Explanatory Memorandum, Fair Work Legislation Amendment (Secure Jobs, Better Pay) Bill 2022</w:t>
      </w:r>
      <w:r w:rsidR="00AB6836">
        <w:t>,</w:t>
      </w:r>
      <w:r w:rsidRPr="00A03B67">
        <w:t xml:space="preserve"> 16.</w:t>
      </w:r>
    </w:p>
  </w:footnote>
  <w:footnote w:id="490">
    <w:p w14:paraId="2D400AF2" w14:textId="77777777" w:rsidR="00924664" w:rsidRPr="00A03B67" w:rsidRDefault="00924664" w:rsidP="00924664">
      <w:pPr>
        <w:pStyle w:val="FootnoteText"/>
      </w:pPr>
      <w:r w:rsidRPr="00A03B67">
        <w:rPr>
          <w:rStyle w:val="FootnoteReference"/>
        </w:rPr>
        <w:footnoteRef/>
      </w:r>
      <w:r w:rsidRPr="00A03B67">
        <w:t xml:space="preserve"> Commonwealth, </w:t>
      </w:r>
      <w:r w:rsidRPr="00A03B67">
        <w:rPr>
          <w:i/>
          <w:iCs/>
        </w:rPr>
        <w:t>Parliamentary Debates</w:t>
      </w:r>
      <w:r w:rsidRPr="00A03B67">
        <w:t>, House of Representatives, 27 October 2022, 2183 (Tony Burke, Minister for Employment and Workplace Relations).</w:t>
      </w:r>
    </w:p>
  </w:footnote>
  <w:footnote w:id="491">
    <w:p w14:paraId="0CF0B27F" w14:textId="6BE63AAC" w:rsidR="00924664" w:rsidRPr="00A03B67" w:rsidRDefault="00924664" w:rsidP="00924664">
      <w:pPr>
        <w:pStyle w:val="FootnoteText"/>
      </w:pPr>
      <w:r w:rsidRPr="00A03B67">
        <w:rPr>
          <w:rStyle w:val="FootnoteReference"/>
        </w:rPr>
        <w:footnoteRef/>
      </w:r>
      <w:r w:rsidRPr="00A03B67">
        <w:t xml:space="preserve"> Regulation Impact Statement, Revised Explanatory Memorandum, Fair Work Legislation Amendment (Secure Jobs, Better Pay) Bill 2022</w:t>
      </w:r>
      <w:r w:rsidR="00AB6836">
        <w:t>,</w:t>
      </w:r>
      <w:r w:rsidRPr="00A03B67">
        <w:t xml:space="preserve"> 16.</w:t>
      </w:r>
    </w:p>
  </w:footnote>
  <w:footnote w:id="492">
    <w:p w14:paraId="08FC57AE" w14:textId="0EFD2207" w:rsidR="00924664" w:rsidRPr="00A03B67" w:rsidRDefault="00924664" w:rsidP="00924664">
      <w:pPr>
        <w:pStyle w:val="FootnoteText"/>
      </w:pPr>
      <w:r w:rsidRPr="00A03B67">
        <w:rPr>
          <w:rStyle w:val="FootnoteReference"/>
        </w:rPr>
        <w:footnoteRef/>
      </w:r>
      <w:r w:rsidRPr="00A03B67">
        <w:t xml:space="preserve"> Regulation Impact Statement, Revised Explanatory Memorandum, Fair Work Legislation Amendment (Secure Jobs, Better Pay) Bill 2022</w:t>
      </w:r>
      <w:r w:rsidR="00AB6836">
        <w:t>,</w:t>
      </w:r>
      <w:r w:rsidRPr="00A03B67">
        <w:t xml:space="preserve"> 16.</w:t>
      </w:r>
    </w:p>
  </w:footnote>
  <w:footnote w:id="493">
    <w:p w14:paraId="53BC61C3" w14:textId="30BD9AC6" w:rsidR="00924664" w:rsidRPr="00A03B67" w:rsidRDefault="00924664" w:rsidP="00924664">
      <w:pPr>
        <w:pStyle w:val="FootnoteText"/>
      </w:pPr>
      <w:r w:rsidRPr="00A03B67">
        <w:rPr>
          <w:rStyle w:val="FootnoteReference"/>
        </w:rPr>
        <w:footnoteRef/>
      </w:r>
      <w:r w:rsidRPr="00A03B67">
        <w:t xml:space="preserve"> Commonwealth, </w:t>
      </w:r>
      <w:r w:rsidRPr="00A03B67">
        <w:rPr>
          <w:i/>
          <w:iCs/>
        </w:rPr>
        <w:t>Parliamentary Debates</w:t>
      </w:r>
      <w:r w:rsidRPr="00A03B67">
        <w:t>, House of Representatives, 27 October 2022, 2181 (</w:t>
      </w:r>
      <w:r w:rsidRPr="005A0934">
        <w:t>Tony Burke</w:t>
      </w:r>
      <w:r w:rsidRPr="00A03B67">
        <w:t>, Minister for Employment and Workplace Relations).</w:t>
      </w:r>
    </w:p>
  </w:footnote>
  <w:footnote w:id="494">
    <w:p w14:paraId="7CFF4E7A" w14:textId="7109A101" w:rsidR="00924664" w:rsidRPr="00A03B67" w:rsidRDefault="00924664" w:rsidP="00924664">
      <w:pPr>
        <w:pStyle w:val="FootnoteText"/>
      </w:pPr>
      <w:r w:rsidRPr="00A03B67">
        <w:rPr>
          <w:rStyle w:val="FootnoteReference"/>
        </w:rPr>
        <w:footnoteRef/>
      </w:r>
      <w:r w:rsidRPr="00A03B67">
        <w:t xml:space="preserve"> </w:t>
      </w:r>
      <w:r w:rsidRPr="00B532AC">
        <w:rPr>
          <w:i/>
          <w:iCs/>
        </w:rPr>
        <w:t>Biomedical Engineers (Victorian Public Sector) (Single Interest Employers) Enterprise Agreement 2024-2028</w:t>
      </w:r>
      <w:r>
        <w:t xml:space="preserve">; </w:t>
      </w:r>
      <w:r w:rsidRPr="00A03B67">
        <w:rPr>
          <w:i/>
          <w:iCs/>
        </w:rPr>
        <w:t>Nurses and Midwives (Victorian Public Sector) Single Interest Employer Agreement 2024</w:t>
      </w:r>
      <w:r w:rsidRPr="00A03B67">
        <w:rPr>
          <w:rFonts w:ascii="Symbol" w:eastAsia="Symbol" w:hAnsi="Symbol" w:cs="Symbol"/>
          <w:i/>
          <w:iCs/>
        </w:rPr>
        <w:t>-</w:t>
      </w:r>
      <w:r w:rsidRPr="00A03B67">
        <w:rPr>
          <w:i/>
          <w:iCs/>
        </w:rPr>
        <w:t>2028</w:t>
      </w:r>
      <w:r w:rsidRPr="00A03B67">
        <w:t>;</w:t>
      </w:r>
      <w:r w:rsidRPr="00A03B67">
        <w:rPr>
          <w:i/>
          <w:iCs/>
        </w:rPr>
        <w:t xml:space="preserve"> AMWU On-Site Construction HVAC Workers NSW Enterprise Agreement 2023</w:t>
      </w:r>
      <w:r w:rsidRPr="00A03B67">
        <w:rPr>
          <w:rFonts w:ascii="Symbol" w:eastAsia="Symbol" w:hAnsi="Symbol" w:cs="Symbol"/>
          <w:i/>
          <w:iCs/>
        </w:rPr>
        <w:t>-</w:t>
      </w:r>
      <w:r w:rsidRPr="00A03B67">
        <w:rPr>
          <w:i/>
          <w:iCs/>
        </w:rPr>
        <w:t>2027.</w:t>
      </w:r>
    </w:p>
  </w:footnote>
  <w:footnote w:id="495">
    <w:p w14:paraId="697299F3" w14:textId="14D95E2C" w:rsidR="00924664" w:rsidRPr="00A03B67" w:rsidRDefault="00924664" w:rsidP="00924664">
      <w:pPr>
        <w:pStyle w:val="FootnoteText"/>
      </w:pPr>
      <w:r w:rsidRPr="00A03B67">
        <w:rPr>
          <w:rStyle w:val="FootnoteReference"/>
        </w:rPr>
        <w:footnoteRef/>
      </w:r>
      <w:r w:rsidRPr="00A03B67">
        <w:t xml:space="preserve"> </w:t>
      </w:r>
      <w:r w:rsidR="00AB6836" w:rsidRPr="00455FAB">
        <w:t>[2024] FWCA 4601</w:t>
      </w:r>
      <w:r w:rsidRPr="00A03B67">
        <w:t>.</w:t>
      </w:r>
    </w:p>
  </w:footnote>
  <w:footnote w:id="496">
    <w:p w14:paraId="6C88F463" w14:textId="026025D9" w:rsidR="00924664" w:rsidRDefault="00924664" w:rsidP="00924664">
      <w:pPr>
        <w:pStyle w:val="FootnoteText"/>
      </w:pPr>
      <w:r>
        <w:rPr>
          <w:rStyle w:val="FootnoteReference"/>
        </w:rPr>
        <w:footnoteRef/>
      </w:r>
      <w:r>
        <w:t xml:space="preserve"> [2025] FWCA 317</w:t>
      </w:r>
      <w:r w:rsidR="00AB6836">
        <w:t>.</w:t>
      </w:r>
    </w:p>
  </w:footnote>
  <w:footnote w:id="497">
    <w:p w14:paraId="5D14767F" w14:textId="77777777" w:rsidR="00924664" w:rsidRDefault="00924664" w:rsidP="00924664">
      <w:pPr>
        <w:pStyle w:val="FootnoteText"/>
      </w:pPr>
      <w:r>
        <w:rPr>
          <w:rStyle w:val="FootnoteReference"/>
        </w:rPr>
        <w:footnoteRef/>
      </w:r>
      <w:r>
        <w:t xml:space="preserve"> </w:t>
      </w:r>
      <w:r w:rsidRPr="00EE3BB9">
        <w:rPr>
          <w:szCs w:val="18"/>
        </w:rPr>
        <w:t>The Review Panel notes the decision has been appealed and proceedings are currently before the Federal Court.</w:t>
      </w:r>
    </w:p>
  </w:footnote>
  <w:footnote w:id="498">
    <w:p w14:paraId="270CE907" w14:textId="3E3240DA" w:rsidR="00392863" w:rsidRDefault="00392863">
      <w:pPr>
        <w:pStyle w:val="FootnoteText"/>
      </w:pPr>
      <w:r>
        <w:rPr>
          <w:rStyle w:val="FootnoteReference"/>
        </w:rPr>
        <w:footnoteRef/>
      </w:r>
      <w:r>
        <w:t xml:space="preserve"> </w:t>
      </w:r>
      <w:r w:rsidR="00D1577E" w:rsidRPr="00EE3BB9">
        <w:rPr>
          <w:szCs w:val="18"/>
        </w:rPr>
        <w:t>The Review Panel notes the decision has been appealed and proceedings are currently before the Federal Court.</w:t>
      </w:r>
    </w:p>
  </w:footnote>
  <w:footnote w:id="499">
    <w:p w14:paraId="7512BBC7"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 xml:space="preserve">Independent Education Union of Australia v Catholic Education Western Australia Ltd </w:t>
      </w:r>
      <w:r w:rsidRPr="00A03B67">
        <w:t>[2023] FWCFB 177</w:t>
      </w:r>
      <w:r w:rsidRPr="00793DD6">
        <w:rPr>
          <w:i/>
        </w:rPr>
        <w:t>.</w:t>
      </w:r>
    </w:p>
  </w:footnote>
  <w:footnote w:id="500">
    <w:p w14:paraId="6ABAB2BB"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 xml:space="preserve">Independent Education Union of Australia v Catholic Education Western Australia Ltd </w:t>
      </w:r>
      <w:r w:rsidRPr="00A03B67">
        <w:t>[2023] FWCFB 177 [30]: the schools operate in Western Australia.</w:t>
      </w:r>
    </w:p>
  </w:footnote>
  <w:footnote w:id="501">
    <w:p w14:paraId="1767B070" w14:textId="4509CF4D" w:rsidR="00924664" w:rsidRPr="00A03B67" w:rsidRDefault="00924664" w:rsidP="00924664">
      <w:pPr>
        <w:pStyle w:val="FootnoteText"/>
      </w:pPr>
      <w:r w:rsidRPr="00A03B67">
        <w:rPr>
          <w:rStyle w:val="FootnoteReference"/>
        </w:rPr>
        <w:footnoteRef/>
      </w:r>
      <w:r w:rsidRPr="00A03B67">
        <w:t xml:space="preserve"> </w:t>
      </w:r>
      <w:r w:rsidRPr="00A03B67">
        <w:rPr>
          <w:i/>
          <w:iCs/>
        </w:rPr>
        <w:t xml:space="preserve">Independent Education Union of Australia v Catholic Education Western Australia Ltd </w:t>
      </w:r>
      <w:r w:rsidRPr="00A03B67">
        <w:t xml:space="preserve">[2023] FWCFB 177 [30]: the operators of the schools are registered under the </w:t>
      </w:r>
      <w:r w:rsidRPr="00A03B67">
        <w:rPr>
          <w:i/>
          <w:iCs/>
        </w:rPr>
        <w:t xml:space="preserve">School Education Act 1999 </w:t>
      </w:r>
      <w:r w:rsidRPr="00A03B67">
        <w:t>(WA).</w:t>
      </w:r>
    </w:p>
  </w:footnote>
  <w:footnote w:id="502">
    <w:p w14:paraId="7FE87FDE" w14:textId="6BF2EE09" w:rsidR="00924664" w:rsidRPr="00A03B67" w:rsidRDefault="00924664" w:rsidP="00924664">
      <w:pPr>
        <w:pStyle w:val="FootnoteText"/>
      </w:pPr>
      <w:r w:rsidRPr="00A03B67">
        <w:rPr>
          <w:rStyle w:val="FootnoteReference"/>
        </w:rPr>
        <w:footnoteRef/>
      </w:r>
      <w:r w:rsidRPr="00A03B67">
        <w:t xml:space="preserve"> </w:t>
      </w:r>
      <w:r w:rsidRPr="00A03B67">
        <w:rPr>
          <w:i/>
          <w:iCs/>
        </w:rPr>
        <w:t xml:space="preserve">Independent Education Union of Australia v Catholic Education Western Australia Ltd </w:t>
      </w:r>
      <w:r w:rsidRPr="00A03B67">
        <w:t xml:space="preserve">[2023] FWCFB 177 [30]: the employer of one or more employees to whom the </w:t>
      </w:r>
      <w:r w:rsidRPr="00793DD6">
        <w:t xml:space="preserve">Education Services </w:t>
      </w:r>
      <w:r w:rsidR="00984B47">
        <w:t>(</w:t>
      </w:r>
      <w:r w:rsidRPr="00793DD6">
        <w:t>Schools) General Staff Award 2020</w:t>
      </w:r>
      <w:r w:rsidRPr="00A03B67">
        <w:t xml:space="preserve"> applies.</w:t>
      </w:r>
    </w:p>
  </w:footnote>
  <w:footnote w:id="503">
    <w:p w14:paraId="157E56EB" w14:textId="77777777" w:rsidR="00924664" w:rsidRPr="00A03B67" w:rsidRDefault="00924664" w:rsidP="00924664">
      <w:pPr>
        <w:pStyle w:val="FootnoteText"/>
      </w:pPr>
      <w:r w:rsidRPr="00A03B67">
        <w:rPr>
          <w:rStyle w:val="FootnoteReference"/>
        </w:rPr>
        <w:footnoteRef/>
      </w:r>
      <w:r w:rsidRPr="00A03B67">
        <w:t xml:space="preserve"> Independent Education Union of Australia Order </w:t>
      </w:r>
      <w:r w:rsidRPr="00E16801">
        <w:t>PR778679</w:t>
      </w:r>
      <w:r w:rsidRPr="00A03B67">
        <w:t>, 29 August 2024.</w:t>
      </w:r>
    </w:p>
  </w:footnote>
  <w:footnote w:id="504">
    <w:p w14:paraId="2AD9452C" w14:textId="77777777" w:rsidR="00924664" w:rsidRPr="00A03B67" w:rsidRDefault="00924664" w:rsidP="00924664">
      <w:pPr>
        <w:pStyle w:val="FootnoteText"/>
      </w:pPr>
      <w:r w:rsidRPr="00A03B67">
        <w:rPr>
          <w:rStyle w:val="FootnoteReference"/>
        </w:rPr>
        <w:footnoteRef/>
      </w:r>
      <w:r w:rsidRPr="00A03B67">
        <w:t xml:space="preserve"> </w:t>
      </w:r>
      <w:r w:rsidRPr="00A03B67">
        <w:rPr>
          <w:i/>
        </w:rPr>
        <w:t>Association of Professional Engineers, Scientists and Managers Australia v Great Southern Energy Pty Ltd t/as Delta Coal, Whitehaven Coal Mining Ltd, Peabody Energy Australia Coal Pty Ltd, Ulan Coal Mines Ltd</w:t>
      </w:r>
      <w:r w:rsidRPr="00A03B67">
        <w:t xml:space="preserve"> [2024] FWCFB 253.</w:t>
      </w:r>
    </w:p>
  </w:footnote>
  <w:footnote w:id="505">
    <w:p w14:paraId="6C3F6D9E" w14:textId="77777777" w:rsidR="00924664" w:rsidRPr="00A03B67" w:rsidRDefault="00924664" w:rsidP="00924664">
      <w:pPr>
        <w:pStyle w:val="FootnoteText"/>
      </w:pPr>
      <w:r w:rsidRPr="00A03B67">
        <w:rPr>
          <w:rStyle w:val="FootnoteReference"/>
        </w:rPr>
        <w:footnoteRef/>
      </w:r>
      <w:r w:rsidRPr="00A03B67">
        <w:t xml:space="preserve"> </w:t>
      </w:r>
      <w:r w:rsidRPr="00A03B67">
        <w:rPr>
          <w:i/>
        </w:rPr>
        <w:t>Association of Professional Engineers, Scientists and Managers Australia v Great Southern Energy Pty Ltd t/as Delta Coal, Whitehaven Coal Mining Ltd, Peabody Energy Australia Coal Pty Ltd, Ulan Coal Mines Ltd</w:t>
      </w:r>
      <w:r w:rsidRPr="00A03B67">
        <w:t xml:space="preserve"> [2024] FWCFB 253 [671].</w:t>
      </w:r>
    </w:p>
  </w:footnote>
  <w:footnote w:id="506">
    <w:p w14:paraId="585D2EEC" w14:textId="77777777" w:rsidR="00924664" w:rsidRPr="00A03B67" w:rsidRDefault="00924664" w:rsidP="00924664">
      <w:pPr>
        <w:pStyle w:val="FootnoteText"/>
      </w:pPr>
      <w:r w:rsidRPr="00A03B67">
        <w:rPr>
          <w:rStyle w:val="FootnoteReference"/>
        </w:rPr>
        <w:footnoteRef/>
      </w:r>
      <w:r w:rsidRPr="00A03B67">
        <w:t xml:space="preserve"> </w:t>
      </w:r>
      <w:r w:rsidRPr="00A03B67">
        <w:rPr>
          <w:i/>
        </w:rPr>
        <w:t>Association of Professional Engineers, Scientists and Managers Australia v Great Southern Energy Pty Ltd t/as Delta Coal, Whitehaven Coal Mining Ltd, Peabody Energy Australia Coal Pty Ltd, Ulan Coal Mines Ltd</w:t>
      </w:r>
      <w:r w:rsidRPr="00A03B67">
        <w:t xml:space="preserve"> [2024] FWCFB 253 [12].</w:t>
      </w:r>
    </w:p>
  </w:footnote>
  <w:footnote w:id="507">
    <w:p w14:paraId="09DDFC90" w14:textId="77777777" w:rsidR="00924664" w:rsidRPr="00A03B67" w:rsidRDefault="00924664" w:rsidP="00924664">
      <w:pPr>
        <w:pStyle w:val="FootnoteText"/>
      </w:pPr>
      <w:r w:rsidRPr="00A03B67">
        <w:rPr>
          <w:rStyle w:val="FootnoteReference"/>
        </w:rPr>
        <w:footnoteRef/>
      </w:r>
      <w:r w:rsidRPr="00A03B67">
        <w:t xml:space="preserve"> </w:t>
      </w:r>
      <w:r w:rsidRPr="00A03B67">
        <w:rPr>
          <w:i/>
        </w:rPr>
        <w:t>Association of Professional Engineers, Scientists and Managers Australia v Great Southern Energy Pty Ltd t/as Delta Coal, Whitehaven Coal Mining Ltd, Peabody Energy Australia Coal Pty Ltd, Ulan Coal Mines Ltd</w:t>
      </w:r>
      <w:r w:rsidRPr="00A03B67">
        <w:t xml:space="preserve"> [2024] FWCFB 253 [59].</w:t>
      </w:r>
    </w:p>
  </w:footnote>
  <w:footnote w:id="508">
    <w:p w14:paraId="242ED836" w14:textId="77777777" w:rsidR="00924664" w:rsidRPr="00A03B67" w:rsidRDefault="00924664" w:rsidP="00924664">
      <w:pPr>
        <w:pStyle w:val="FootnoteText"/>
      </w:pPr>
      <w:r w:rsidRPr="00A03B67">
        <w:rPr>
          <w:rStyle w:val="FootnoteReference"/>
        </w:rPr>
        <w:footnoteRef/>
      </w:r>
      <w:r w:rsidRPr="00A03B67">
        <w:t xml:space="preserve"> </w:t>
      </w:r>
      <w:r w:rsidRPr="00A03B67">
        <w:rPr>
          <w:i/>
        </w:rPr>
        <w:t>Association of Professional Engineers, Scientists and Managers Australia v Great Southern Energy Pty Ltd t/as Delta Coal, Whitehaven Coal Mining Ltd, Peabody Energy Australia Coal Pty Ltd, Ulan Coal Mines Ltd</w:t>
      </w:r>
      <w:r w:rsidRPr="00A03B67">
        <w:t xml:space="preserve"> [2024] FWCFB 253 [492].</w:t>
      </w:r>
    </w:p>
  </w:footnote>
  <w:footnote w:id="509">
    <w:p w14:paraId="3429566D"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Peabody Energy Australia Coal Pty Ltd v Association of Professional Engineers, Scientists and Managers, Australia &amp; Ors</w:t>
      </w:r>
      <w:r w:rsidRPr="00A03B67">
        <w:t>, 20 September 2024 [NSD1320/2024].</w:t>
      </w:r>
    </w:p>
  </w:footnote>
  <w:footnote w:id="510">
    <w:p w14:paraId="30E56007" w14:textId="77777777" w:rsidR="00924664" w:rsidRPr="00A03B67" w:rsidRDefault="00924664" w:rsidP="00924664">
      <w:pPr>
        <w:pStyle w:val="FootnoteText"/>
      </w:pPr>
      <w:r w:rsidRPr="00A03B67">
        <w:rPr>
          <w:rStyle w:val="FootnoteReference"/>
        </w:rPr>
        <w:footnoteRef/>
      </w:r>
      <w:r w:rsidRPr="00A03B67">
        <w:t xml:space="preserve"> </w:t>
      </w:r>
      <w:r w:rsidRPr="00A03B67">
        <w:rPr>
          <w:i/>
        </w:rPr>
        <w:t>Automotive, Food, Metals, Engineering, Printing and Kindred Industries Union known as the Australian Manufacturing Workers’ Union (AMWU)</w:t>
      </w:r>
      <w:r w:rsidRPr="00A03B67">
        <w:t xml:space="preserve"> [2024] FWC 395 [17].</w:t>
      </w:r>
    </w:p>
  </w:footnote>
  <w:footnote w:id="511">
    <w:p w14:paraId="6AA1AA82" w14:textId="298701A0" w:rsidR="00924664" w:rsidRPr="00A03B67" w:rsidRDefault="00924664" w:rsidP="00924664">
      <w:pPr>
        <w:pStyle w:val="FootnoteText"/>
        <w:rPr>
          <w:i/>
          <w:iCs/>
        </w:rPr>
      </w:pPr>
      <w:r w:rsidRPr="00A03B67">
        <w:rPr>
          <w:rStyle w:val="FootnoteReference"/>
        </w:rPr>
        <w:footnoteRef/>
      </w:r>
      <w:r w:rsidRPr="00A03B67">
        <w:t xml:space="preserve"> </w:t>
      </w:r>
      <w:r w:rsidRPr="00A03B67">
        <w:rPr>
          <w:i/>
        </w:rPr>
        <w:t>Automotive, Food, Metals, Engineering, Printing and Kindred Industries Union known as the Australian Manufacturing Workers’ Union (AMWU)</w:t>
      </w:r>
      <w:r w:rsidRPr="00A03B67">
        <w:t xml:space="preserve"> [2024] FWC 395 [1]</w:t>
      </w:r>
      <w:r w:rsidR="00984B47">
        <w:t>,</w:t>
      </w:r>
      <w:r w:rsidRPr="00A03B67">
        <w:t xml:space="preserve"> [49].</w:t>
      </w:r>
    </w:p>
  </w:footnote>
  <w:footnote w:id="512">
    <w:p w14:paraId="57171F62" w14:textId="77777777" w:rsidR="00924664" w:rsidRPr="00A03B67" w:rsidRDefault="00924664" w:rsidP="00924664">
      <w:pPr>
        <w:pStyle w:val="FootnoteText"/>
      </w:pPr>
      <w:r w:rsidRPr="00A03B67">
        <w:rPr>
          <w:rStyle w:val="FootnoteReference"/>
        </w:rPr>
        <w:footnoteRef/>
      </w:r>
      <w:r w:rsidRPr="00A03B67">
        <w:t xml:space="preserve"> </w:t>
      </w:r>
      <w:r w:rsidRPr="00A03B67">
        <w:rPr>
          <w:i/>
        </w:rPr>
        <w:t xml:space="preserve">Automotive, Food, Metals, Engineering, Printing and Kindred Industries Union known as the Australian Manufacturing Workers’ Union (AMWU) </w:t>
      </w:r>
      <w:r w:rsidRPr="00A03B67">
        <w:t>[2024] FWC 395 [48].</w:t>
      </w:r>
    </w:p>
  </w:footnote>
  <w:footnote w:id="513">
    <w:p w14:paraId="2D1BCA7E" w14:textId="77777777" w:rsidR="00924664" w:rsidRPr="00A03B67" w:rsidRDefault="00924664" w:rsidP="00924664">
      <w:pPr>
        <w:pStyle w:val="FootnoteText"/>
      </w:pPr>
      <w:r w:rsidRPr="00A03B67">
        <w:rPr>
          <w:rStyle w:val="FootnoteReference"/>
        </w:rPr>
        <w:footnoteRef/>
      </w:r>
      <w:r w:rsidRPr="00A03B67">
        <w:t xml:space="preserve"> </w:t>
      </w:r>
      <w:r w:rsidRPr="00A03B67">
        <w:rPr>
          <w:bCs/>
          <w:i/>
        </w:rPr>
        <w:t>Independent Education Union of Australia v Catholic Education Western Australia Ltd</w:t>
      </w:r>
      <w:r w:rsidRPr="00A03B67">
        <w:rPr>
          <w:bCs/>
        </w:rPr>
        <w:t xml:space="preserve"> [2023] FWCFB 177</w:t>
      </w:r>
      <w:r w:rsidRPr="00A03B67">
        <w:rPr>
          <w:rStyle w:val="Hyperlink"/>
          <w:bCs/>
          <w:u w:val="none"/>
        </w:rPr>
        <w:t>.</w:t>
      </w:r>
    </w:p>
  </w:footnote>
  <w:footnote w:id="514">
    <w:p w14:paraId="1E342016" w14:textId="77777777" w:rsidR="00924664" w:rsidRPr="00A03B67" w:rsidRDefault="00924664" w:rsidP="00924664">
      <w:pPr>
        <w:pStyle w:val="FootnoteText"/>
      </w:pPr>
      <w:r w:rsidRPr="00A03B67">
        <w:rPr>
          <w:rStyle w:val="FootnoteReference"/>
        </w:rPr>
        <w:footnoteRef/>
      </w:r>
      <w:r w:rsidRPr="00A03B67">
        <w:t xml:space="preserve"> </w:t>
      </w:r>
      <w:r w:rsidRPr="00A03B67">
        <w:rPr>
          <w:i/>
        </w:rPr>
        <w:t xml:space="preserve">Automotive, Food, Metals, Engineering, Printing and Kindred Industries Union known as the Australian Manufacturing Workers’ Union (AMWU) </w:t>
      </w:r>
      <w:r w:rsidRPr="00A03B67">
        <w:t>[2024] FWC 395 [34]</w:t>
      </w:r>
      <w:r w:rsidRPr="00A03B67">
        <w:rPr>
          <w:rFonts w:ascii="Symbol" w:eastAsia="Symbol" w:hAnsi="Symbol" w:cs="Symbol"/>
        </w:rPr>
        <w:t>-</w:t>
      </w:r>
      <w:r w:rsidRPr="00A03B67">
        <w:t>[35].</w:t>
      </w:r>
    </w:p>
  </w:footnote>
  <w:footnote w:id="515">
    <w:p w14:paraId="50BFBD70" w14:textId="77777777" w:rsidR="00924664" w:rsidRDefault="00924664" w:rsidP="00924664">
      <w:pPr>
        <w:pStyle w:val="FootnoteText"/>
      </w:pPr>
      <w:r>
        <w:rPr>
          <w:rStyle w:val="FootnoteReference"/>
        </w:rPr>
        <w:footnoteRef/>
      </w:r>
      <w:r>
        <w:t xml:space="preserve"> </w:t>
      </w:r>
      <w:r w:rsidRPr="004578B0">
        <w:rPr>
          <w:i/>
          <w:iCs/>
        </w:rPr>
        <w:t>Application by</w:t>
      </w:r>
      <w:r w:rsidRPr="004578B0">
        <w:rPr>
          <w:i/>
        </w:rPr>
        <w:t xml:space="preserve"> Victorian Hospitals’ Industrial Association</w:t>
      </w:r>
      <w:r>
        <w:t xml:space="preserve"> [2025] FWCA 233; </w:t>
      </w:r>
      <w:r w:rsidRPr="004578B0">
        <w:rPr>
          <w:i/>
          <w:iCs/>
        </w:rPr>
        <w:t xml:space="preserve">Application by </w:t>
      </w:r>
      <w:r w:rsidRPr="004578B0">
        <w:rPr>
          <w:i/>
        </w:rPr>
        <w:t>Victorian Hospitals’ Industrial Association</w:t>
      </w:r>
      <w:r>
        <w:t xml:space="preserve"> [2025] FWCA 3908; </w:t>
      </w:r>
      <w:r w:rsidRPr="004578B0">
        <w:rPr>
          <w:i/>
          <w:iCs/>
        </w:rPr>
        <w:t>Application by AMWU</w:t>
      </w:r>
      <w:r>
        <w:t xml:space="preserve"> [2024] FWCA 2209.</w:t>
      </w:r>
    </w:p>
  </w:footnote>
  <w:footnote w:id="516">
    <w:p w14:paraId="66D35C88" w14:textId="77777777" w:rsidR="00924664" w:rsidRDefault="00924664" w:rsidP="00924664">
      <w:pPr>
        <w:pStyle w:val="FootnoteText"/>
      </w:pPr>
      <w:r>
        <w:rPr>
          <w:rStyle w:val="FootnoteReference"/>
        </w:rPr>
        <w:footnoteRef/>
      </w:r>
      <w:r>
        <w:t xml:space="preserve"> </w:t>
      </w:r>
      <w:r w:rsidRPr="00C63D43">
        <w:rPr>
          <w:i/>
          <w:iCs/>
        </w:rPr>
        <w:t>Application by DNM Engineering Pty Ltd</w:t>
      </w:r>
      <w:r>
        <w:t xml:space="preserve"> [2024] FWCA 4601.</w:t>
      </w:r>
    </w:p>
  </w:footnote>
  <w:footnote w:id="517">
    <w:p w14:paraId="5591CE5B" w14:textId="77777777" w:rsidR="00924664" w:rsidRDefault="00924664" w:rsidP="00924664">
      <w:pPr>
        <w:pStyle w:val="FootnoteText"/>
      </w:pPr>
      <w:r>
        <w:rPr>
          <w:rStyle w:val="FootnoteReference"/>
        </w:rPr>
        <w:footnoteRef/>
      </w:r>
      <w:r>
        <w:t xml:space="preserve"> </w:t>
      </w:r>
      <w:r w:rsidRPr="00514411">
        <w:rPr>
          <w:i/>
          <w:iCs/>
        </w:rPr>
        <w:t>Application by CMG Contracting Pty Ltd</w:t>
      </w:r>
      <w:r>
        <w:t xml:space="preserve"> [2025] FWCA 317.</w:t>
      </w:r>
    </w:p>
  </w:footnote>
  <w:footnote w:id="518">
    <w:p w14:paraId="55A66A0D" w14:textId="77777777" w:rsidR="00924664" w:rsidRDefault="00924664" w:rsidP="00924664">
      <w:pPr>
        <w:pStyle w:val="FootnoteText"/>
      </w:pPr>
      <w:r>
        <w:rPr>
          <w:rStyle w:val="FootnoteReference"/>
        </w:rPr>
        <w:footnoteRef/>
      </w:r>
      <w:r>
        <w:t xml:space="preserve"> [2024] FWCA 2209.</w:t>
      </w:r>
    </w:p>
  </w:footnote>
  <w:footnote w:id="519">
    <w:p w14:paraId="6C3F4B43" w14:textId="77777777" w:rsidR="00924664" w:rsidRDefault="00924664" w:rsidP="00924664">
      <w:pPr>
        <w:pStyle w:val="FootnoteText"/>
      </w:pPr>
      <w:r>
        <w:rPr>
          <w:rStyle w:val="FootnoteReference"/>
        </w:rPr>
        <w:footnoteRef/>
      </w:r>
      <w:r>
        <w:t xml:space="preserve"> </w:t>
      </w:r>
      <w:r w:rsidRPr="00C63D43">
        <w:rPr>
          <w:i/>
          <w:iCs/>
        </w:rPr>
        <w:t>Application by DNM Engineering Pty Ltd</w:t>
      </w:r>
      <w:r>
        <w:t xml:space="preserve"> [2024] FWCA 4601 [1] –[5]; </w:t>
      </w:r>
      <w:r w:rsidRPr="00514411">
        <w:rPr>
          <w:i/>
          <w:iCs/>
        </w:rPr>
        <w:t>Application by CMG Contracting Pty Ltd</w:t>
      </w:r>
      <w:r>
        <w:t xml:space="preserve"> [2025] FWCA 317 [1] –[2].</w:t>
      </w:r>
    </w:p>
  </w:footnote>
  <w:footnote w:id="520">
    <w:p w14:paraId="533741AD" w14:textId="77777777" w:rsidR="00924664" w:rsidRDefault="00924664" w:rsidP="00924664">
      <w:pPr>
        <w:pStyle w:val="FootnoteText"/>
      </w:pPr>
      <w:r>
        <w:rPr>
          <w:rStyle w:val="FootnoteReference"/>
        </w:rPr>
        <w:footnoteRef/>
      </w:r>
      <w:r>
        <w:t xml:space="preserve"> [2023] FWCFB 176.</w:t>
      </w:r>
    </w:p>
  </w:footnote>
  <w:footnote w:id="521">
    <w:p w14:paraId="09DF58E7" w14:textId="77777777" w:rsidR="00924664" w:rsidRDefault="00924664" w:rsidP="00924664">
      <w:pPr>
        <w:pStyle w:val="FootnoteText"/>
      </w:pPr>
      <w:r>
        <w:rPr>
          <w:rStyle w:val="FootnoteReference"/>
        </w:rPr>
        <w:footnoteRef/>
      </w:r>
      <w:r>
        <w:t xml:space="preserve"> </w:t>
      </w:r>
      <w:r w:rsidRPr="00C63D43">
        <w:rPr>
          <w:i/>
          <w:iCs/>
        </w:rPr>
        <w:t>Application by DNM Engineering Pty Ltd</w:t>
      </w:r>
      <w:r>
        <w:t xml:space="preserve"> [2024] FWCA 4601 [33]; </w:t>
      </w:r>
      <w:r w:rsidRPr="00514411">
        <w:rPr>
          <w:i/>
          <w:iCs/>
        </w:rPr>
        <w:t>Application by CMG Contracting Pty Ltd</w:t>
      </w:r>
      <w:r>
        <w:t xml:space="preserve"> [2025] FWCA 317 [30].</w:t>
      </w:r>
    </w:p>
  </w:footnote>
  <w:footnote w:id="522">
    <w:p w14:paraId="58623B3B" w14:textId="77777777" w:rsidR="00924664" w:rsidRDefault="00924664" w:rsidP="00924664">
      <w:pPr>
        <w:pStyle w:val="FootnoteText"/>
      </w:pPr>
      <w:r>
        <w:rPr>
          <w:rStyle w:val="FootnoteReference"/>
        </w:rPr>
        <w:footnoteRef/>
      </w:r>
      <w:r>
        <w:t xml:space="preserve"> </w:t>
      </w:r>
      <w:r w:rsidRPr="00C63D43">
        <w:rPr>
          <w:i/>
          <w:iCs/>
        </w:rPr>
        <w:t>Application by DNM Engineering Pty Ltd</w:t>
      </w:r>
      <w:r>
        <w:t xml:space="preserve"> [2024] FWCA 4601 [35]; </w:t>
      </w:r>
      <w:r w:rsidRPr="00514411">
        <w:rPr>
          <w:i/>
          <w:iCs/>
        </w:rPr>
        <w:t>Application by CMG Contracting Pty Ltd</w:t>
      </w:r>
      <w:r>
        <w:t xml:space="preserve"> [2025] FWCA 317 [32]–[33].</w:t>
      </w:r>
    </w:p>
  </w:footnote>
  <w:footnote w:id="523">
    <w:p w14:paraId="4B8731CE" w14:textId="09B7EFC9" w:rsidR="00924664" w:rsidRDefault="00924664" w:rsidP="00924664">
      <w:pPr>
        <w:pStyle w:val="FootnoteText"/>
      </w:pPr>
      <w:r>
        <w:rPr>
          <w:rStyle w:val="FootnoteReference"/>
        </w:rPr>
        <w:footnoteRef/>
      </w:r>
      <w:r>
        <w:t xml:space="preserve"> </w:t>
      </w:r>
      <w:r w:rsidRPr="00C63D43">
        <w:rPr>
          <w:i/>
          <w:iCs/>
        </w:rPr>
        <w:t>Application by DNM Engineering Pty Ltd</w:t>
      </w:r>
      <w:r>
        <w:t xml:space="preserve"> [2024] FWCA 4601 [41]</w:t>
      </w:r>
      <w:r w:rsidR="00984B47">
        <w:t>.</w:t>
      </w:r>
    </w:p>
  </w:footnote>
  <w:footnote w:id="524">
    <w:p w14:paraId="1C8E90D7" w14:textId="77777777" w:rsidR="00924664" w:rsidRDefault="00924664" w:rsidP="00924664">
      <w:pPr>
        <w:pStyle w:val="FootnoteText"/>
      </w:pPr>
      <w:r>
        <w:rPr>
          <w:rStyle w:val="FootnoteReference"/>
        </w:rPr>
        <w:footnoteRef/>
      </w:r>
      <w:r>
        <w:t xml:space="preserve"> </w:t>
      </w:r>
      <w:r w:rsidRPr="00514411">
        <w:rPr>
          <w:i/>
          <w:iCs/>
        </w:rPr>
        <w:t>Application by CMG Contracting Pty Ltd</w:t>
      </w:r>
      <w:r>
        <w:t xml:space="preserve"> [2025] FWCA 317 [33].</w:t>
      </w:r>
    </w:p>
  </w:footnote>
  <w:footnote w:id="525">
    <w:p w14:paraId="24575C41" w14:textId="77777777" w:rsidR="00924664" w:rsidRDefault="00924664" w:rsidP="00924664">
      <w:pPr>
        <w:pStyle w:val="FootnoteText"/>
      </w:pPr>
      <w:r>
        <w:rPr>
          <w:rStyle w:val="FootnoteReference"/>
        </w:rPr>
        <w:footnoteRef/>
      </w:r>
      <w:r>
        <w:t xml:space="preserve"> </w:t>
      </w:r>
      <w:r w:rsidRPr="00C63D43">
        <w:rPr>
          <w:i/>
          <w:iCs/>
        </w:rPr>
        <w:t>Application by DNM Engineering Pty Ltd</w:t>
      </w:r>
      <w:r>
        <w:t xml:space="preserve"> [2024] FWCA 4601 [56]; </w:t>
      </w:r>
      <w:r w:rsidRPr="00514411">
        <w:rPr>
          <w:i/>
          <w:iCs/>
        </w:rPr>
        <w:t>Application by CMG Contracting Pty Ltd</w:t>
      </w:r>
      <w:r>
        <w:t xml:space="preserve"> [2025] FWCA 317 [41].</w:t>
      </w:r>
    </w:p>
  </w:footnote>
  <w:footnote w:id="526">
    <w:p w14:paraId="467ADC6A" w14:textId="1503B1ED" w:rsidR="00924664" w:rsidRPr="00A03B67" w:rsidRDefault="00924664" w:rsidP="00924664">
      <w:pPr>
        <w:pStyle w:val="FootnoteText"/>
      </w:pPr>
      <w:r w:rsidRPr="00A03B67">
        <w:rPr>
          <w:rStyle w:val="FootnoteReference"/>
        </w:rPr>
        <w:footnoteRef/>
      </w:r>
      <w:r w:rsidRPr="00A03B67">
        <w:t xml:space="preserve"> </w:t>
      </w:r>
      <w:r w:rsidR="00A95C2E">
        <w:t>Australian Council of Trade Unions (</w:t>
      </w:r>
      <w:r w:rsidRPr="00A03B67">
        <w:t>ACTU</w:t>
      </w:r>
      <w:r w:rsidR="00A95C2E">
        <w:t>)</w:t>
      </w:r>
      <w:r w:rsidRPr="00A03B67">
        <w:t xml:space="preserve"> submission, 24.</w:t>
      </w:r>
    </w:p>
  </w:footnote>
  <w:footnote w:id="527">
    <w:p w14:paraId="7266AE30" w14:textId="77777777" w:rsidR="00924664" w:rsidRPr="00A03B67" w:rsidRDefault="00924664" w:rsidP="00924664">
      <w:pPr>
        <w:pStyle w:val="FootnoteText"/>
      </w:pPr>
      <w:r w:rsidRPr="00A03B67">
        <w:rPr>
          <w:rStyle w:val="FootnoteReference"/>
        </w:rPr>
        <w:footnoteRef/>
      </w:r>
      <w:r w:rsidRPr="00A03B67">
        <w:t xml:space="preserve"> ACTU submission, 95.</w:t>
      </w:r>
    </w:p>
  </w:footnote>
  <w:footnote w:id="528">
    <w:p w14:paraId="683565EA" w14:textId="77777777" w:rsidR="00924664" w:rsidRPr="00A03B67" w:rsidRDefault="00924664" w:rsidP="00924664">
      <w:pPr>
        <w:pStyle w:val="FootnoteText"/>
      </w:pPr>
      <w:r w:rsidRPr="00A03B67">
        <w:rPr>
          <w:rStyle w:val="FootnoteReference"/>
        </w:rPr>
        <w:footnoteRef/>
      </w:r>
      <w:r w:rsidRPr="00A03B67">
        <w:t xml:space="preserve"> ACTU submission, 95</w:t>
      </w:r>
      <w:r w:rsidRPr="00A03B67">
        <w:rPr>
          <w:rFonts w:ascii="Symbol" w:eastAsia="Symbol" w:hAnsi="Symbol" w:cs="Symbol"/>
        </w:rPr>
        <w:t>-</w:t>
      </w:r>
      <w:r w:rsidRPr="00A03B67">
        <w:t>96.</w:t>
      </w:r>
    </w:p>
  </w:footnote>
  <w:footnote w:id="529">
    <w:p w14:paraId="6393B339" w14:textId="77777777" w:rsidR="00924664" w:rsidRPr="00A03B67" w:rsidRDefault="00924664" w:rsidP="00924664">
      <w:pPr>
        <w:pStyle w:val="FootnoteText"/>
      </w:pPr>
      <w:r w:rsidRPr="00A03B67">
        <w:rPr>
          <w:rStyle w:val="FootnoteReference"/>
        </w:rPr>
        <w:footnoteRef/>
      </w:r>
      <w:r w:rsidRPr="00A03B67">
        <w:t xml:space="preserve"> ACTU submission, 95</w:t>
      </w:r>
      <w:r w:rsidRPr="00A03B67">
        <w:rPr>
          <w:rFonts w:ascii="Symbol" w:eastAsia="Symbol" w:hAnsi="Symbol" w:cs="Symbol"/>
        </w:rPr>
        <w:t>-</w:t>
      </w:r>
      <w:r w:rsidRPr="00A03B67">
        <w:t>96.</w:t>
      </w:r>
    </w:p>
  </w:footnote>
  <w:footnote w:id="530">
    <w:p w14:paraId="344F7D28" w14:textId="03FE8652" w:rsidR="00924664" w:rsidRPr="00A03B67" w:rsidRDefault="00924664" w:rsidP="00924664">
      <w:pPr>
        <w:pStyle w:val="FootnoteText"/>
      </w:pPr>
      <w:r w:rsidRPr="00A03B67">
        <w:rPr>
          <w:rStyle w:val="FootnoteReference"/>
        </w:rPr>
        <w:footnoteRef/>
      </w:r>
      <w:r w:rsidRPr="00A03B67">
        <w:t xml:space="preserve"> </w:t>
      </w:r>
      <w:r w:rsidR="00A95C2E">
        <w:t>United Workers Union (</w:t>
      </w:r>
      <w:r w:rsidRPr="00A03B67">
        <w:t>UWU</w:t>
      </w:r>
      <w:r w:rsidR="00A95C2E">
        <w:t>)</w:t>
      </w:r>
      <w:r w:rsidRPr="00A03B67">
        <w:t xml:space="preserve"> submission, 40</w:t>
      </w:r>
      <w:r w:rsidRPr="00A03B67">
        <w:rPr>
          <w:rFonts w:ascii="Symbol" w:eastAsia="Symbol" w:hAnsi="Symbol" w:cs="Symbol"/>
        </w:rPr>
        <w:t>-</w:t>
      </w:r>
      <w:r w:rsidRPr="00A03B67">
        <w:t>41.</w:t>
      </w:r>
    </w:p>
  </w:footnote>
  <w:footnote w:id="531">
    <w:p w14:paraId="68812D23" w14:textId="77777777" w:rsidR="00924664" w:rsidRPr="00A03B67" w:rsidRDefault="00924664" w:rsidP="00924664">
      <w:pPr>
        <w:pStyle w:val="FootnoteText"/>
      </w:pPr>
      <w:r w:rsidRPr="00A03B67">
        <w:rPr>
          <w:rStyle w:val="FootnoteReference"/>
        </w:rPr>
        <w:footnoteRef/>
      </w:r>
      <w:r w:rsidRPr="00A03B67">
        <w:t xml:space="preserve"> ACTU submission, 96.</w:t>
      </w:r>
    </w:p>
  </w:footnote>
  <w:footnote w:id="532">
    <w:p w14:paraId="3EAD8E1A" w14:textId="77777777" w:rsidR="00924664" w:rsidRPr="00A03B67" w:rsidRDefault="00924664" w:rsidP="00924664">
      <w:pPr>
        <w:pStyle w:val="FootnoteText"/>
      </w:pPr>
      <w:r w:rsidRPr="00A03B67">
        <w:rPr>
          <w:rStyle w:val="FootnoteReference"/>
        </w:rPr>
        <w:footnoteRef/>
      </w:r>
      <w:r w:rsidRPr="00A03B67">
        <w:t xml:space="preserve"> UWU submission, 40.</w:t>
      </w:r>
    </w:p>
  </w:footnote>
  <w:footnote w:id="533">
    <w:p w14:paraId="233154FD" w14:textId="5E6723B3" w:rsidR="00924664" w:rsidRPr="00A03B67" w:rsidRDefault="00924664" w:rsidP="00924664">
      <w:pPr>
        <w:pStyle w:val="FootnoteText"/>
      </w:pPr>
      <w:r w:rsidRPr="00A03B67">
        <w:rPr>
          <w:rStyle w:val="FootnoteReference"/>
        </w:rPr>
        <w:footnoteRef/>
      </w:r>
      <w:r w:rsidRPr="00A03B67">
        <w:t xml:space="preserve"> </w:t>
      </w:r>
      <w:r w:rsidR="00A95C2E" w:rsidRPr="00A95C2E">
        <w:t xml:space="preserve">Independent Education Union of Australia </w:t>
      </w:r>
      <w:r w:rsidR="00A95C2E">
        <w:t>(</w:t>
      </w:r>
      <w:r w:rsidRPr="00A03B67">
        <w:t>IEU</w:t>
      </w:r>
      <w:r w:rsidR="00A95C2E">
        <w:t>)</w:t>
      </w:r>
      <w:r w:rsidRPr="00A03B67">
        <w:t xml:space="preserve"> submission, 7.</w:t>
      </w:r>
    </w:p>
  </w:footnote>
  <w:footnote w:id="534">
    <w:p w14:paraId="369623B6" w14:textId="77777777" w:rsidR="00924664" w:rsidRPr="00A03B67" w:rsidRDefault="00924664" w:rsidP="00924664">
      <w:pPr>
        <w:pStyle w:val="FootnoteText"/>
      </w:pPr>
      <w:r w:rsidRPr="00A03B67">
        <w:rPr>
          <w:rStyle w:val="FootnoteReference"/>
        </w:rPr>
        <w:footnoteRef/>
      </w:r>
      <w:r w:rsidRPr="00A03B67">
        <w:t xml:space="preserve"> IEU submission, 7.</w:t>
      </w:r>
    </w:p>
  </w:footnote>
  <w:footnote w:id="535">
    <w:p w14:paraId="38E4C0A1" w14:textId="77777777" w:rsidR="00924664" w:rsidRPr="00A03B67" w:rsidRDefault="00924664" w:rsidP="00924664">
      <w:pPr>
        <w:pStyle w:val="FootnoteText"/>
      </w:pPr>
      <w:r w:rsidRPr="00A03B67">
        <w:rPr>
          <w:rStyle w:val="FootnoteReference"/>
        </w:rPr>
        <w:footnoteRef/>
      </w:r>
      <w:r w:rsidRPr="00A03B67">
        <w:t xml:space="preserve"> IEU submission, 7.</w:t>
      </w:r>
    </w:p>
  </w:footnote>
  <w:footnote w:id="536">
    <w:p w14:paraId="3ABEAD37" w14:textId="48B5A3A2" w:rsidR="00924664" w:rsidRPr="00A03B67" w:rsidRDefault="00924664" w:rsidP="00924664">
      <w:pPr>
        <w:pStyle w:val="FootnoteText"/>
      </w:pPr>
      <w:r w:rsidRPr="00A03B67">
        <w:rPr>
          <w:rStyle w:val="FootnoteReference"/>
        </w:rPr>
        <w:footnoteRef/>
      </w:r>
      <w:r w:rsidRPr="00A03B67">
        <w:t xml:space="preserve"> Ai Group submission, 2</w:t>
      </w:r>
      <w:r w:rsidR="00984B47">
        <w:t>;</w:t>
      </w:r>
      <w:r>
        <w:t xml:space="preserve"> </w:t>
      </w:r>
      <w:r w:rsidR="00A95C2E">
        <w:t>Australian Chamber of Commerce and Industry (</w:t>
      </w:r>
      <w:r w:rsidRPr="00A03B67">
        <w:t>ACCI</w:t>
      </w:r>
      <w:r w:rsidR="00A95C2E">
        <w:t>)</w:t>
      </w:r>
      <w:r w:rsidRPr="00A03B67">
        <w:t xml:space="preserve"> submission, 49</w:t>
      </w:r>
      <w:r w:rsidR="00984B47">
        <w:t>;</w:t>
      </w:r>
      <w:r>
        <w:t xml:space="preserve"> and </w:t>
      </w:r>
      <w:r w:rsidR="00A95C2E" w:rsidRPr="00A95C2E">
        <w:t xml:space="preserve">Australian Resources &amp; Energy Employer Association </w:t>
      </w:r>
      <w:r w:rsidR="00A95C2E">
        <w:t>(</w:t>
      </w:r>
      <w:r w:rsidRPr="00A03B67">
        <w:t>AREEA</w:t>
      </w:r>
      <w:r w:rsidR="00A95C2E">
        <w:t>)</w:t>
      </w:r>
      <w:r w:rsidRPr="00A03B67">
        <w:t xml:space="preserve"> submission, 2.</w:t>
      </w:r>
    </w:p>
  </w:footnote>
  <w:footnote w:id="537">
    <w:p w14:paraId="4007F0D2" w14:textId="36C5304D" w:rsidR="00924664" w:rsidRPr="00A03B67" w:rsidRDefault="00924664" w:rsidP="00924664">
      <w:pPr>
        <w:pStyle w:val="FootnoteText"/>
      </w:pPr>
      <w:r w:rsidRPr="00A03B67">
        <w:rPr>
          <w:rStyle w:val="FootnoteReference"/>
        </w:rPr>
        <w:footnoteRef/>
      </w:r>
      <w:r w:rsidRPr="00A03B67">
        <w:t xml:space="preserve"> Ai Group submission, 2</w:t>
      </w:r>
      <w:r w:rsidR="00984B47">
        <w:t xml:space="preserve">; </w:t>
      </w:r>
      <w:r w:rsidRPr="00A03B67">
        <w:t>ACCI submission, 49</w:t>
      </w:r>
      <w:r w:rsidR="00984B47">
        <w:t>;</w:t>
      </w:r>
      <w:r>
        <w:t xml:space="preserve"> and </w:t>
      </w:r>
      <w:r w:rsidRPr="00A03B67">
        <w:t>AREEA submission, 2.</w:t>
      </w:r>
    </w:p>
  </w:footnote>
  <w:footnote w:id="538">
    <w:p w14:paraId="0BAE79F7" w14:textId="2E390F09" w:rsidR="00924664" w:rsidRPr="00A03B67" w:rsidRDefault="00924664" w:rsidP="00924664">
      <w:pPr>
        <w:pStyle w:val="FootnoteText"/>
      </w:pPr>
      <w:r w:rsidRPr="00A03B67">
        <w:rPr>
          <w:rStyle w:val="FootnoteReference"/>
        </w:rPr>
        <w:footnoteRef/>
      </w:r>
      <w:r w:rsidRPr="00A03B67">
        <w:t xml:space="preserve"> </w:t>
      </w:r>
      <w:r w:rsidR="00A95C2E" w:rsidRPr="00A95C2E">
        <w:t xml:space="preserve">Australian Resources &amp; Energy Employer Association </w:t>
      </w:r>
      <w:r w:rsidR="00A95C2E">
        <w:t>(</w:t>
      </w:r>
      <w:r w:rsidRPr="00A03B67">
        <w:t>CCIWA</w:t>
      </w:r>
      <w:r w:rsidR="00A95C2E">
        <w:t>)</w:t>
      </w:r>
      <w:r w:rsidRPr="00A03B67">
        <w:t xml:space="preserve"> submission, 9.</w:t>
      </w:r>
    </w:p>
  </w:footnote>
  <w:footnote w:id="539">
    <w:p w14:paraId="3F89ABC2" w14:textId="36AD22FA" w:rsidR="00924664" w:rsidRPr="00A03B67" w:rsidRDefault="00924664" w:rsidP="00924664">
      <w:pPr>
        <w:pStyle w:val="FootnoteText"/>
      </w:pPr>
      <w:r w:rsidRPr="00A03B67">
        <w:rPr>
          <w:rStyle w:val="FootnoteReference"/>
        </w:rPr>
        <w:footnoteRef/>
      </w:r>
      <w:r w:rsidRPr="00A03B67">
        <w:t xml:space="preserve"> Pharmacy Guild </w:t>
      </w:r>
      <w:r w:rsidR="00984B47">
        <w:t>s</w:t>
      </w:r>
      <w:r w:rsidRPr="00A03B67">
        <w:t>ubmission, 4.</w:t>
      </w:r>
    </w:p>
  </w:footnote>
  <w:footnote w:id="540">
    <w:p w14:paraId="1F8EFFB4" w14:textId="2B23A531" w:rsidR="00924664" w:rsidRPr="00A03B67" w:rsidRDefault="00924664" w:rsidP="00924664">
      <w:pPr>
        <w:pStyle w:val="FootnoteText"/>
      </w:pPr>
      <w:r w:rsidRPr="00A03B67">
        <w:rPr>
          <w:rStyle w:val="FootnoteReference"/>
        </w:rPr>
        <w:footnoteRef/>
      </w:r>
      <w:r w:rsidRPr="00A03B67">
        <w:t xml:space="preserve"> Pharmacy Guild </w:t>
      </w:r>
      <w:r w:rsidR="00984B47">
        <w:t>s</w:t>
      </w:r>
      <w:r w:rsidRPr="00A03B67">
        <w:t>ubmission, 3.</w:t>
      </w:r>
    </w:p>
  </w:footnote>
  <w:footnote w:id="541">
    <w:p w14:paraId="4BF46825" w14:textId="4462A56F" w:rsidR="00924664" w:rsidRPr="00A03B67" w:rsidRDefault="00924664" w:rsidP="00924664">
      <w:pPr>
        <w:pStyle w:val="FootnoteText"/>
      </w:pPr>
      <w:r w:rsidRPr="00A03B67">
        <w:rPr>
          <w:rStyle w:val="FootnoteReference"/>
        </w:rPr>
        <w:footnoteRef/>
      </w:r>
      <w:r w:rsidRPr="00A03B67">
        <w:t xml:space="preserve"> </w:t>
      </w:r>
      <w:r w:rsidR="00A95C2E" w:rsidRPr="00A95C2E">
        <w:t xml:space="preserve">Business Council of Australia </w:t>
      </w:r>
      <w:r w:rsidR="00A95C2E">
        <w:t>(</w:t>
      </w:r>
      <w:r w:rsidRPr="00A03B67">
        <w:t>BCA</w:t>
      </w:r>
      <w:r w:rsidR="00A95C2E">
        <w:t>)</w:t>
      </w:r>
      <w:r w:rsidRPr="00A03B67">
        <w:t xml:space="preserve"> submission, 7.</w:t>
      </w:r>
    </w:p>
  </w:footnote>
  <w:footnote w:id="542">
    <w:p w14:paraId="7A4C1F6A" w14:textId="3F4994B2" w:rsidR="00924664" w:rsidRPr="00A03B67" w:rsidRDefault="00924664" w:rsidP="00924664">
      <w:pPr>
        <w:pStyle w:val="FootnoteText"/>
      </w:pPr>
      <w:r w:rsidRPr="00A03B67">
        <w:rPr>
          <w:rStyle w:val="FootnoteReference"/>
        </w:rPr>
        <w:footnoteRef/>
      </w:r>
      <w:r w:rsidRPr="00A03B67">
        <w:t xml:space="preserve"> </w:t>
      </w:r>
      <w:r w:rsidR="00A95C2E" w:rsidRPr="00A95C2E">
        <w:t xml:space="preserve">Council of Small Business Organisations Australia </w:t>
      </w:r>
      <w:r w:rsidR="00A95C2E">
        <w:t>(</w:t>
      </w:r>
      <w:r w:rsidRPr="00A03B67">
        <w:t>COSBOA</w:t>
      </w:r>
      <w:r w:rsidR="00A95C2E">
        <w:t>)</w:t>
      </w:r>
      <w:r w:rsidRPr="00A03B67">
        <w:t xml:space="preserve"> submission, 1.</w:t>
      </w:r>
    </w:p>
  </w:footnote>
  <w:footnote w:id="543">
    <w:p w14:paraId="555E2CC1" w14:textId="20A63D33" w:rsidR="00924664" w:rsidRPr="00A03B67" w:rsidRDefault="00924664" w:rsidP="00924664">
      <w:pPr>
        <w:pStyle w:val="FootnoteText"/>
      </w:pPr>
      <w:r w:rsidRPr="00A03B67">
        <w:rPr>
          <w:rStyle w:val="FootnoteReference"/>
        </w:rPr>
        <w:footnoteRef/>
      </w:r>
      <w:r w:rsidRPr="00A03B67">
        <w:t xml:space="preserve"> COSBOA submission, 5</w:t>
      </w:r>
      <w:r w:rsidR="00343033">
        <w:t>.</w:t>
      </w:r>
    </w:p>
  </w:footnote>
  <w:footnote w:id="544">
    <w:p w14:paraId="18E7BCB6" w14:textId="65ED3E0E" w:rsidR="00924664" w:rsidRPr="00A03B67" w:rsidRDefault="00924664" w:rsidP="00924664">
      <w:pPr>
        <w:pStyle w:val="FootnoteText"/>
      </w:pPr>
      <w:r w:rsidRPr="008A4FE8">
        <w:rPr>
          <w:rStyle w:val="FootnoteReference"/>
        </w:rPr>
        <w:footnoteRef/>
      </w:r>
      <w:r w:rsidR="00984B47" w:rsidRPr="008A4FE8">
        <w:t xml:space="preserve"> </w:t>
      </w:r>
      <w:r w:rsidR="00153FDA" w:rsidRPr="008A4FE8">
        <w:t>Minerals Council</w:t>
      </w:r>
      <w:r w:rsidR="00153FDA">
        <w:t xml:space="preserve"> of Australia (MCA) </w:t>
      </w:r>
      <w:r w:rsidR="00153FDA" w:rsidRPr="00A03B67">
        <w:t>submission, 5</w:t>
      </w:r>
      <w:r w:rsidR="00153FDA">
        <w:t xml:space="preserve">, </w:t>
      </w:r>
      <w:r w:rsidR="00EA5397" w:rsidRPr="00A03B67">
        <w:t>Whitehaven Coal submission, 7</w:t>
      </w:r>
      <w:r w:rsidR="00EA5397">
        <w:t>,</w:t>
      </w:r>
      <w:r w:rsidR="00153FDA">
        <w:t xml:space="preserve"> </w:t>
      </w:r>
      <w:r w:rsidR="008A4FE8" w:rsidRPr="00A95C2E">
        <w:t xml:space="preserve">Chamber of Minerals and Energy </w:t>
      </w:r>
      <w:r w:rsidR="008A4FE8">
        <w:t xml:space="preserve">WA (CMEWA) </w:t>
      </w:r>
      <w:r w:rsidR="00153FDA">
        <w:t>submission, 1</w:t>
      </w:r>
      <w:r w:rsidR="008A4FE8">
        <w:t>.</w:t>
      </w:r>
    </w:p>
  </w:footnote>
  <w:footnote w:id="545">
    <w:p w14:paraId="0D3F485E" w14:textId="6E7C361D" w:rsidR="00924664" w:rsidRPr="00A03B67" w:rsidRDefault="00924664" w:rsidP="00924664">
      <w:pPr>
        <w:pStyle w:val="FootnoteText"/>
        <w:tabs>
          <w:tab w:val="left" w:pos="1311"/>
          <w:tab w:val="left" w:pos="2579"/>
        </w:tabs>
      </w:pPr>
      <w:r w:rsidRPr="00A03B67">
        <w:rPr>
          <w:rStyle w:val="FootnoteReference"/>
        </w:rPr>
        <w:footnoteRef/>
      </w:r>
      <w:r w:rsidRPr="00A03B67">
        <w:t xml:space="preserve"> </w:t>
      </w:r>
      <w:r w:rsidR="00A95C2E" w:rsidRPr="00A95C2E">
        <w:t xml:space="preserve">Minerals Council of Australia </w:t>
      </w:r>
      <w:r w:rsidR="00A95C2E">
        <w:t>(</w:t>
      </w:r>
      <w:r w:rsidRPr="00A03B67">
        <w:t>MCA</w:t>
      </w:r>
      <w:r w:rsidR="00A95C2E">
        <w:t>)</w:t>
      </w:r>
      <w:r w:rsidRPr="00A03B67">
        <w:t xml:space="preserve"> submission, 6</w:t>
      </w:r>
      <w:r w:rsidR="00984B47">
        <w:t>.</w:t>
      </w:r>
    </w:p>
  </w:footnote>
  <w:footnote w:id="546">
    <w:p w14:paraId="4FC8051B" w14:textId="5F2B3AF3" w:rsidR="00924664" w:rsidRPr="00A03B67" w:rsidRDefault="00924664" w:rsidP="00924664">
      <w:pPr>
        <w:pStyle w:val="FootnoteText"/>
      </w:pPr>
      <w:r w:rsidRPr="00A03B67">
        <w:rPr>
          <w:rStyle w:val="FootnoteReference"/>
        </w:rPr>
        <w:footnoteRef/>
      </w:r>
      <w:r w:rsidRPr="00A03B67">
        <w:t xml:space="preserve"> MCA submission, 5</w:t>
      </w:r>
      <w:r w:rsidR="00984B47">
        <w:t>.</w:t>
      </w:r>
    </w:p>
  </w:footnote>
  <w:footnote w:id="547">
    <w:p w14:paraId="4778B72C" w14:textId="77777777" w:rsidR="00924664" w:rsidRPr="00A03B67" w:rsidRDefault="00924664" w:rsidP="00924664">
      <w:pPr>
        <w:pStyle w:val="FootnoteText"/>
      </w:pPr>
      <w:r w:rsidRPr="00A03B67">
        <w:rPr>
          <w:rStyle w:val="FootnoteReference"/>
        </w:rPr>
        <w:footnoteRef/>
      </w:r>
      <w:r w:rsidRPr="00A03B67">
        <w:t xml:space="preserve"> Whitehaven Coal submission, 7.</w:t>
      </w:r>
    </w:p>
  </w:footnote>
  <w:footnote w:id="548">
    <w:p w14:paraId="7D17EF11" w14:textId="77777777" w:rsidR="00924664" w:rsidRPr="00A03B67" w:rsidRDefault="00924664" w:rsidP="00924664">
      <w:pPr>
        <w:pStyle w:val="FootnoteText"/>
      </w:pPr>
      <w:r w:rsidRPr="00A03B67">
        <w:rPr>
          <w:rStyle w:val="FootnoteReference"/>
        </w:rPr>
        <w:footnoteRef/>
      </w:r>
      <w:r w:rsidRPr="00A03B67">
        <w:t xml:space="preserve"> Whitehaven Coal submission, 8.</w:t>
      </w:r>
    </w:p>
  </w:footnote>
  <w:footnote w:id="549">
    <w:p w14:paraId="1A3B6872" w14:textId="23BF7B95" w:rsidR="00924664" w:rsidRPr="00A03B67" w:rsidRDefault="00924664" w:rsidP="00924664">
      <w:pPr>
        <w:pStyle w:val="FootnoteText"/>
      </w:pPr>
      <w:r w:rsidRPr="00A03B67">
        <w:rPr>
          <w:rStyle w:val="FootnoteReference"/>
        </w:rPr>
        <w:footnoteRef/>
      </w:r>
      <w:r w:rsidRPr="00A03B67">
        <w:t xml:space="preserve"> CMEWA submission, 1.</w:t>
      </w:r>
    </w:p>
  </w:footnote>
  <w:footnote w:id="550">
    <w:p w14:paraId="7422AE42" w14:textId="3BEB40CF" w:rsidR="00924664" w:rsidRPr="00A03B67" w:rsidRDefault="00924664" w:rsidP="00924664">
      <w:pPr>
        <w:pStyle w:val="FootnoteText"/>
        <w:rPr>
          <w:i/>
          <w:iCs/>
        </w:rPr>
      </w:pPr>
      <w:r w:rsidRPr="00A03B67">
        <w:rPr>
          <w:rStyle w:val="FootnoteReference"/>
        </w:rPr>
        <w:footnoteRef/>
      </w:r>
      <w:r w:rsidRPr="00A03B67">
        <w:t xml:space="preserve"> Ai Group submission, 36</w:t>
      </w:r>
      <w:r w:rsidR="00984B47">
        <w:t>.</w:t>
      </w:r>
    </w:p>
  </w:footnote>
  <w:footnote w:id="551">
    <w:p w14:paraId="718419CD" w14:textId="77777777" w:rsidR="00924664" w:rsidRPr="00A03B67" w:rsidRDefault="00924664" w:rsidP="00924664">
      <w:pPr>
        <w:pStyle w:val="FootnoteText"/>
      </w:pPr>
      <w:r w:rsidRPr="00A03B67">
        <w:rPr>
          <w:rStyle w:val="FootnoteReference"/>
        </w:rPr>
        <w:footnoteRef/>
      </w:r>
      <w:r w:rsidRPr="00A03B67">
        <w:t xml:space="preserve"> Ai Group submission, 69</w:t>
      </w:r>
      <w:r w:rsidRPr="00A03B67">
        <w:rPr>
          <w:rFonts w:ascii="Symbol" w:eastAsia="Symbol" w:hAnsi="Symbol" w:cs="Symbol"/>
        </w:rPr>
        <w:t>-</w:t>
      </w:r>
      <w:r w:rsidRPr="00A03B67">
        <w:t>70.</w:t>
      </w:r>
    </w:p>
  </w:footnote>
  <w:footnote w:id="552">
    <w:p w14:paraId="73DEC92D" w14:textId="0CBF62EC" w:rsidR="00924664" w:rsidRPr="00A03B67" w:rsidRDefault="00924664" w:rsidP="00924664">
      <w:pPr>
        <w:pStyle w:val="FootnoteText"/>
      </w:pPr>
      <w:r w:rsidRPr="00A03B67">
        <w:rPr>
          <w:rStyle w:val="FootnoteReference"/>
        </w:rPr>
        <w:footnoteRef/>
      </w:r>
      <w:r w:rsidRPr="00A03B67">
        <w:t xml:space="preserve"> </w:t>
      </w:r>
      <w:r w:rsidR="00A95C2E" w:rsidRPr="00A95C2E">
        <w:t xml:space="preserve">Maritime Industry Australia Ltd </w:t>
      </w:r>
      <w:r w:rsidR="00A95C2E">
        <w:t>(</w:t>
      </w:r>
      <w:r w:rsidRPr="00A03B67">
        <w:t>MIAL</w:t>
      </w:r>
      <w:r w:rsidR="00A95C2E">
        <w:t xml:space="preserve">) </w:t>
      </w:r>
      <w:r w:rsidRPr="00A03B67">
        <w:t>submission, 8.</w:t>
      </w:r>
    </w:p>
  </w:footnote>
  <w:footnote w:id="553">
    <w:p w14:paraId="44D8BF5B" w14:textId="249EE161" w:rsidR="00924664" w:rsidRPr="00A03B67" w:rsidRDefault="00924664" w:rsidP="00924664">
      <w:pPr>
        <w:pStyle w:val="FootnoteText"/>
      </w:pPr>
      <w:r w:rsidRPr="00A03B67">
        <w:rPr>
          <w:rStyle w:val="FootnoteReference"/>
        </w:rPr>
        <w:footnoteRef/>
      </w:r>
      <w:r w:rsidRPr="00A03B67">
        <w:t xml:space="preserve"> MIAL</w:t>
      </w:r>
      <w:r w:rsidR="00A95C2E">
        <w:t xml:space="preserve"> </w:t>
      </w:r>
      <w:r w:rsidRPr="00A03B67">
        <w:t>submission, 9.</w:t>
      </w:r>
    </w:p>
  </w:footnote>
  <w:footnote w:id="554">
    <w:p w14:paraId="4A31D136" w14:textId="3D8693BB" w:rsidR="00924664" w:rsidRPr="00A03B67" w:rsidRDefault="00924664" w:rsidP="00924664">
      <w:pPr>
        <w:pStyle w:val="FootnoteText"/>
      </w:pPr>
      <w:r w:rsidRPr="00A03B67">
        <w:rPr>
          <w:rStyle w:val="FootnoteReference"/>
        </w:rPr>
        <w:footnoteRef/>
      </w:r>
      <w:r w:rsidRPr="00A03B67">
        <w:t xml:space="preserve"> </w:t>
      </w:r>
      <w:r w:rsidR="00A95C2E">
        <w:t>Australian Retailers Association (</w:t>
      </w:r>
      <w:r w:rsidRPr="00A03B67">
        <w:t>ARA</w:t>
      </w:r>
      <w:r w:rsidR="00A95C2E">
        <w:t>)</w:t>
      </w:r>
      <w:r w:rsidRPr="00A03B67">
        <w:t xml:space="preserve"> submission, 8.</w:t>
      </w:r>
    </w:p>
  </w:footnote>
  <w:footnote w:id="555">
    <w:p w14:paraId="7433E592" w14:textId="64290EC1" w:rsidR="00924664" w:rsidRPr="00A03B67" w:rsidRDefault="00924664" w:rsidP="00924664">
      <w:pPr>
        <w:pStyle w:val="FootnoteText"/>
      </w:pPr>
      <w:r w:rsidRPr="00A03B67">
        <w:rPr>
          <w:rStyle w:val="FootnoteReference"/>
        </w:rPr>
        <w:footnoteRef/>
      </w:r>
      <w:r w:rsidRPr="00A03B67">
        <w:t xml:space="preserve"> </w:t>
      </w:r>
      <w:r w:rsidRPr="00A03B67" w:rsidDel="00A95C2E">
        <w:t xml:space="preserve">Professor </w:t>
      </w:r>
      <w:r w:rsidRPr="00A03B67">
        <w:t>D Peetz submission, 6.</w:t>
      </w:r>
    </w:p>
  </w:footnote>
  <w:footnote w:id="556">
    <w:p w14:paraId="05FB13E5" w14:textId="4A292547" w:rsidR="00924664" w:rsidRPr="00A03B67" w:rsidRDefault="00924664" w:rsidP="00924664">
      <w:pPr>
        <w:pStyle w:val="FootnoteText"/>
      </w:pPr>
      <w:r w:rsidRPr="00A03B67">
        <w:rPr>
          <w:rStyle w:val="FootnoteReference"/>
        </w:rPr>
        <w:footnoteRef/>
      </w:r>
      <w:r w:rsidRPr="00A03B67">
        <w:t xml:space="preserve"> </w:t>
      </w:r>
      <w:r w:rsidRPr="00A03B67" w:rsidDel="00A95C2E">
        <w:t xml:space="preserve">Professor </w:t>
      </w:r>
      <w:r w:rsidRPr="00A03B67">
        <w:t>D Peetz submission, 6.</w:t>
      </w:r>
    </w:p>
  </w:footnote>
  <w:footnote w:id="557">
    <w:p w14:paraId="0C36E36E" w14:textId="4E5744C4" w:rsidR="00924664" w:rsidRPr="00180C9F" w:rsidRDefault="00924664" w:rsidP="00924664">
      <w:pPr>
        <w:pStyle w:val="FootnoteText"/>
      </w:pPr>
      <w:r>
        <w:rPr>
          <w:rStyle w:val="FootnoteReference"/>
        </w:rPr>
        <w:footnoteRef/>
      </w:r>
      <w:r>
        <w:t xml:space="preserve"> AREEA submission in response to draft report, 2</w:t>
      </w:r>
      <w:r w:rsidR="00984B47">
        <w:t>;</w:t>
      </w:r>
      <w:r>
        <w:t xml:space="preserve"> ACCI submission in response to draft report, 49</w:t>
      </w:r>
      <w:r w:rsidR="00984B47">
        <w:t>;</w:t>
      </w:r>
      <w:r w:rsidDel="00A95C2E">
        <w:t xml:space="preserve"> </w:t>
      </w:r>
      <w:r w:rsidR="00A95C2E">
        <w:t xml:space="preserve">CMEWA </w:t>
      </w:r>
      <w:r>
        <w:t>submission in response to draft report, 2.</w:t>
      </w:r>
    </w:p>
  </w:footnote>
  <w:footnote w:id="558">
    <w:p w14:paraId="30BF9F05" w14:textId="477CAFA7" w:rsidR="00924664" w:rsidRPr="00981E1A" w:rsidRDefault="00924664" w:rsidP="00924664">
      <w:pPr>
        <w:pStyle w:val="FootnoteText"/>
      </w:pPr>
      <w:r>
        <w:rPr>
          <w:rStyle w:val="FootnoteReference"/>
        </w:rPr>
        <w:footnoteRef/>
      </w:r>
      <w:r>
        <w:t xml:space="preserve"> ACCI submission in response to draft report, 49.</w:t>
      </w:r>
    </w:p>
  </w:footnote>
  <w:footnote w:id="559">
    <w:p w14:paraId="4244552A" w14:textId="53C00139" w:rsidR="00924664" w:rsidRPr="006D46AC" w:rsidRDefault="00924664" w:rsidP="00924664">
      <w:pPr>
        <w:pStyle w:val="FootnoteText"/>
      </w:pPr>
      <w:r>
        <w:rPr>
          <w:rStyle w:val="FootnoteReference"/>
        </w:rPr>
        <w:footnoteRef/>
      </w:r>
      <w:r>
        <w:t xml:space="preserve"> MIAL submission in response to draft report, 8</w:t>
      </w:r>
      <w:r w:rsidR="00984B47">
        <w:t>;</w:t>
      </w:r>
      <w:r w:rsidDel="00A95C2E">
        <w:t xml:space="preserve"> </w:t>
      </w:r>
      <w:r w:rsidR="00A95C2E">
        <w:t xml:space="preserve">ARA </w:t>
      </w:r>
      <w:r>
        <w:t>submission in response to draft report, 3.</w:t>
      </w:r>
    </w:p>
  </w:footnote>
  <w:footnote w:id="560">
    <w:p w14:paraId="5283F7A3" w14:textId="6F1CCBE6" w:rsidR="00924664" w:rsidRPr="007A2AE0" w:rsidRDefault="00924664" w:rsidP="00924664">
      <w:pPr>
        <w:pStyle w:val="FootnoteText"/>
      </w:pPr>
      <w:r>
        <w:rPr>
          <w:rStyle w:val="FootnoteReference"/>
        </w:rPr>
        <w:footnoteRef/>
      </w:r>
      <w:r w:rsidDel="00A95C2E">
        <w:t xml:space="preserve"> </w:t>
      </w:r>
      <w:r w:rsidR="00A95C2E">
        <w:t>CME</w:t>
      </w:r>
      <w:r>
        <w:t>WA submission in response to draft report, 2</w:t>
      </w:r>
      <w:r w:rsidR="00984B47">
        <w:t>;</w:t>
      </w:r>
      <w:r>
        <w:t xml:space="preserve"> </w:t>
      </w:r>
      <w:r w:rsidR="00A95C2E" w:rsidRPr="00A95C2E">
        <w:t xml:space="preserve">Minerals Council of Australia </w:t>
      </w:r>
      <w:r w:rsidR="00A95C2E">
        <w:t>(</w:t>
      </w:r>
      <w:r>
        <w:t>MCA</w:t>
      </w:r>
      <w:r w:rsidR="00A95C2E">
        <w:t>)</w:t>
      </w:r>
      <w:r>
        <w:t xml:space="preserve"> submission in response to the draft report, 6.</w:t>
      </w:r>
    </w:p>
  </w:footnote>
  <w:footnote w:id="561">
    <w:p w14:paraId="2BBFF7B7" w14:textId="50643697" w:rsidR="00924664" w:rsidRPr="0011176C" w:rsidRDefault="00924664" w:rsidP="00924664">
      <w:pPr>
        <w:pStyle w:val="FootnoteText"/>
      </w:pPr>
      <w:r>
        <w:rPr>
          <w:rStyle w:val="FootnoteReference"/>
        </w:rPr>
        <w:footnoteRef/>
      </w:r>
      <w:r>
        <w:t xml:space="preserve"> Ai Group submission in response to the draft report, 30</w:t>
      </w:r>
      <w:r w:rsidR="00984B47">
        <w:rPr>
          <w:rFonts w:ascii="Symbol" w:eastAsia="Symbol" w:hAnsi="Symbol" w:cs="Symbol"/>
        </w:rPr>
        <w:t>-</w:t>
      </w:r>
      <w:r>
        <w:t>31.</w:t>
      </w:r>
    </w:p>
  </w:footnote>
  <w:footnote w:id="562">
    <w:p w14:paraId="7E8EF69A" w14:textId="199DF8F3" w:rsidR="00924664" w:rsidRPr="00C357F9" w:rsidRDefault="00924664" w:rsidP="00924664">
      <w:pPr>
        <w:pStyle w:val="FootnoteText"/>
      </w:pPr>
      <w:r>
        <w:rPr>
          <w:rStyle w:val="FootnoteReference"/>
        </w:rPr>
        <w:footnoteRef/>
      </w:r>
      <w:r>
        <w:t xml:space="preserve"> ACTU submission in response to draft report, 9.</w:t>
      </w:r>
    </w:p>
  </w:footnote>
  <w:footnote w:id="563">
    <w:p w14:paraId="4D976AF4" w14:textId="77777777" w:rsidR="00924664" w:rsidRDefault="00924664" w:rsidP="00924664">
      <w:pPr>
        <w:pStyle w:val="FootnoteText"/>
      </w:pPr>
      <w:r>
        <w:rPr>
          <w:rStyle w:val="FootnoteReference"/>
        </w:rPr>
        <w:footnoteRef/>
      </w:r>
      <w:r>
        <w:t xml:space="preserve"> </w:t>
      </w:r>
      <w:r w:rsidRPr="00A03B67">
        <w:t xml:space="preserve">Commonwealth, </w:t>
      </w:r>
      <w:r w:rsidRPr="00A03B67">
        <w:rPr>
          <w:i/>
          <w:iCs/>
        </w:rPr>
        <w:t xml:space="preserve">Parliamentary Debates, </w:t>
      </w:r>
      <w:r w:rsidRPr="00A03B67">
        <w:t>House of Representatives, 27 October 2022, 21</w:t>
      </w:r>
      <w:r>
        <w:t>76</w:t>
      </w:r>
      <w:r w:rsidRPr="00A03B67">
        <w:t xml:space="preserve"> (Tony Burke, Minister for Employment and Workplace Relations).</w:t>
      </w:r>
    </w:p>
  </w:footnote>
  <w:footnote w:id="564">
    <w:p w14:paraId="44EEF9F7"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w:t>
      </w:r>
      <w:r w:rsidRPr="00A03B67" w:rsidDel="0070631F">
        <w:t xml:space="preserve"> </w:t>
      </w:r>
      <w:r w:rsidRPr="00A03B67">
        <w:t>s186(2B).</w:t>
      </w:r>
    </w:p>
  </w:footnote>
  <w:footnote w:id="565">
    <w:p w14:paraId="1EF86514"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w:t>
      </w:r>
      <w:r w:rsidRPr="00A03B67" w:rsidDel="0070631F">
        <w:t xml:space="preserve"> </w:t>
      </w:r>
      <w:r w:rsidRPr="00A03B67">
        <w:t>s186, 211(3A).</w:t>
      </w:r>
    </w:p>
  </w:footnote>
  <w:footnote w:id="566">
    <w:p w14:paraId="3A4A7CC5"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w:t>
      </w:r>
      <w:r w:rsidRPr="00A03B67" w:rsidDel="0070631F">
        <w:t xml:space="preserve"> </w:t>
      </w:r>
      <w:r w:rsidRPr="00A03B67">
        <w:t>s 23B.</w:t>
      </w:r>
    </w:p>
  </w:footnote>
  <w:footnote w:id="567">
    <w:p w14:paraId="56A15680"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s 23B(1)(a).</w:t>
      </w:r>
    </w:p>
  </w:footnote>
  <w:footnote w:id="568">
    <w:p w14:paraId="06804A8A"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s 23B(1)(b).</w:t>
      </w:r>
    </w:p>
  </w:footnote>
  <w:footnote w:id="569">
    <w:p w14:paraId="02B8420A"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s 243A(4).</w:t>
      </w:r>
    </w:p>
  </w:footnote>
  <w:footnote w:id="570">
    <w:p w14:paraId="71CA2C0F"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w:t>
      </w:r>
      <w:r w:rsidRPr="00A03B67" w:rsidDel="0070631F">
        <w:t xml:space="preserve"> </w:t>
      </w:r>
      <w:r w:rsidRPr="00A03B67">
        <w:t>s 244(4).</w:t>
      </w:r>
    </w:p>
  </w:footnote>
  <w:footnote w:id="571">
    <w:p w14:paraId="74091EA7"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w:t>
      </w:r>
      <w:r w:rsidRPr="00A03B67" w:rsidDel="0070631F">
        <w:t xml:space="preserve"> </w:t>
      </w:r>
      <w:r w:rsidRPr="00A03B67">
        <w:t>s 216AB(2).</w:t>
      </w:r>
    </w:p>
  </w:footnote>
  <w:footnote w:id="572">
    <w:p w14:paraId="1CE9F078"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w:t>
      </w:r>
      <w:r w:rsidRPr="00A03B67" w:rsidDel="0070631F">
        <w:t xml:space="preserve"> </w:t>
      </w:r>
      <w:r w:rsidRPr="00A03B67">
        <w:t>s 216DC(4).</w:t>
      </w:r>
    </w:p>
  </w:footnote>
  <w:footnote w:id="573">
    <w:p w14:paraId="55BAF28D"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w:t>
      </w:r>
      <w:r w:rsidRPr="00A03B67" w:rsidDel="0070631F">
        <w:t xml:space="preserve"> </w:t>
      </w:r>
      <w:r w:rsidRPr="00A03B67">
        <w:t>s 216CB(2).</w:t>
      </w:r>
    </w:p>
  </w:footnote>
  <w:footnote w:id="574">
    <w:p w14:paraId="7FF7E595" w14:textId="77777777" w:rsidR="00924664" w:rsidRPr="00A03B67" w:rsidRDefault="00924664" w:rsidP="00924664">
      <w:pPr>
        <w:spacing w:after="0" w:line="240" w:lineRule="auto"/>
        <w:rPr>
          <w:i/>
          <w:iCs/>
          <w:sz w:val="18"/>
          <w:szCs w:val="20"/>
        </w:rPr>
      </w:pPr>
      <w:r w:rsidRPr="00A03B67">
        <w:rPr>
          <w:rStyle w:val="FootnoteReference"/>
        </w:rPr>
        <w:footnoteRef/>
      </w:r>
      <w:r w:rsidRPr="00A03B67">
        <w:t xml:space="preserve"> </w:t>
      </w:r>
      <w:r w:rsidRPr="00A03B67">
        <w:rPr>
          <w:i/>
          <w:iCs/>
          <w:sz w:val="18"/>
          <w:szCs w:val="20"/>
        </w:rPr>
        <w:t xml:space="preserve">Fair Work Act 2009 </w:t>
      </w:r>
      <w:r w:rsidRPr="00A03B67">
        <w:rPr>
          <w:sz w:val="18"/>
          <w:szCs w:val="20"/>
        </w:rPr>
        <w:t>(Cth)</w:t>
      </w:r>
      <w:r w:rsidRPr="00A03B67" w:rsidDel="0070631F">
        <w:rPr>
          <w:sz w:val="18"/>
          <w:szCs w:val="20"/>
        </w:rPr>
        <w:t xml:space="preserve"> </w:t>
      </w:r>
      <w:r w:rsidRPr="00A03B67">
        <w:rPr>
          <w:sz w:val="18"/>
          <w:szCs w:val="20"/>
        </w:rPr>
        <w:t>s 249A</w:t>
      </w:r>
      <w:r w:rsidRPr="00A03B67">
        <w:rPr>
          <w:i/>
          <w:iCs/>
          <w:sz w:val="18"/>
          <w:szCs w:val="20"/>
        </w:rPr>
        <w:t>.</w:t>
      </w:r>
    </w:p>
  </w:footnote>
  <w:footnote w:id="575">
    <w:p w14:paraId="642F8794" w14:textId="77777777" w:rsidR="00924664" w:rsidRPr="00A03B67" w:rsidRDefault="00924664" w:rsidP="00924664">
      <w:pPr>
        <w:spacing w:after="0" w:line="240" w:lineRule="auto"/>
        <w:rPr>
          <w:i/>
          <w:iCs/>
          <w:sz w:val="18"/>
          <w:szCs w:val="20"/>
        </w:rPr>
      </w:pPr>
      <w:r w:rsidRPr="00A03B67">
        <w:rPr>
          <w:rStyle w:val="FootnoteReference"/>
        </w:rPr>
        <w:footnoteRef/>
      </w:r>
      <w:r w:rsidRPr="00A03B67">
        <w:t xml:space="preserve"> </w:t>
      </w:r>
      <w:r w:rsidRPr="00A03B67">
        <w:rPr>
          <w:i/>
          <w:iCs/>
          <w:sz w:val="18"/>
          <w:szCs w:val="20"/>
        </w:rPr>
        <w:t xml:space="preserve">Fair Work Act 2009 </w:t>
      </w:r>
      <w:r w:rsidRPr="00A03B67">
        <w:rPr>
          <w:sz w:val="18"/>
          <w:szCs w:val="20"/>
        </w:rPr>
        <w:t>(Cth)</w:t>
      </w:r>
      <w:r w:rsidRPr="00A03B67" w:rsidDel="0070631F">
        <w:rPr>
          <w:sz w:val="18"/>
          <w:szCs w:val="20"/>
        </w:rPr>
        <w:t xml:space="preserve"> </w:t>
      </w:r>
      <w:r w:rsidRPr="00A03B67">
        <w:rPr>
          <w:sz w:val="18"/>
          <w:szCs w:val="20"/>
        </w:rPr>
        <w:t>s 251A</w:t>
      </w:r>
      <w:r w:rsidRPr="00A03B67">
        <w:rPr>
          <w:i/>
          <w:iCs/>
          <w:sz w:val="18"/>
          <w:szCs w:val="20"/>
        </w:rPr>
        <w:t>.</w:t>
      </w:r>
    </w:p>
  </w:footnote>
  <w:footnote w:id="576">
    <w:p w14:paraId="0E711BC0" w14:textId="77777777" w:rsidR="00924664" w:rsidRPr="00A03B67" w:rsidRDefault="00924664" w:rsidP="00924664">
      <w:pPr>
        <w:pStyle w:val="FootnoteText"/>
      </w:pPr>
      <w:r w:rsidRPr="00A03B67">
        <w:rPr>
          <w:rStyle w:val="FootnoteReference"/>
        </w:rPr>
        <w:footnoteRef/>
      </w:r>
      <w:r w:rsidRPr="00A03B67">
        <w:t xml:space="preserve"> Regulation Impact Statement, Revised Explanatory Memorandum, Fair Work Legislation Amendment (Secure Jobs, Better Pay) Bill 2022 [1097].</w:t>
      </w:r>
    </w:p>
  </w:footnote>
  <w:footnote w:id="577">
    <w:p w14:paraId="24424634" w14:textId="77777777" w:rsidR="00924664" w:rsidRPr="00A03B67" w:rsidRDefault="00924664" w:rsidP="00924664">
      <w:pPr>
        <w:pStyle w:val="FootnoteText"/>
      </w:pPr>
      <w:r w:rsidRPr="00A03B67">
        <w:rPr>
          <w:rStyle w:val="FootnoteReference"/>
        </w:rPr>
        <w:footnoteRef/>
      </w:r>
      <w:r w:rsidRPr="00A03B67">
        <w:t xml:space="preserve"> Commonwealth, </w:t>
      </w:r>
      <w:r w:rsidRPr="00A03B67">
        <w:rPr>
          <w:i/>
          <w:iCs/>
        </w:rPr>
        <w:t>Parliamentary Debates</w:t>
      </w:r>
      <w:r w:rsidRPr="00A03B67">
        <w:t>, House of Representatives, 27 October 2022, 2181 (Tony Burke, Minister for Employment and Workplace Relations).</w:t>
      </w:r>
    </w:p>
  </w:footnote>
  <w:footnote w:id="578">
    <w:p w14:paraId="1D8C0E3D" w14:textId="014E5EC7" w:rsidR="00924664" w:rsidRPr="00A03B67" w:rsidRDefault="00924664" w:rsidP="00924664">
      <w:pPr>
        <w:pStyle w:val="FootnoteText"/>
      </w:pPr>
      <w:r w:rsidRPr="00A03B67">
        <w:rPr>
          <w:rStyle w:val="FootnoteReference"/>
        </w:rPr>
        <w:footnoteRef/>
      </w:r>
      <w:r w:rsidRPr="00A03B67">
        <w:t xml:space="preserve"> Regulation Impact Statement, Revised Explanatory Memorandum, Fair Work Legislation Amendment (Secure Jobs, Better Pay) Bill 2022</w:t>
      </w:r>
      <w:r w:rsidR="00984B47">
        <w:t>,</w:t>
      </w:r>
      <w:r w:rsidRPr="00A03B67">
        <w:t xml:space="preserve"> [232] xliv.</w:t>
      </w:r>
    </w:p>
  </w:footnote>
  <w:footnote w:id="579">
    <w:p w14:paraId="210AE95E" w14:textId="77777777" w:rsidR="00924664" w:rsidRPr="00A03B67" w:rsidRDefault="00924664" w:rsidP="00924664">
      <w:pPr>
        <w:pStyle w:val="FootnoteText"/>
      </w:pPr>
      <w:r w:rsidRPr="00A03B67">
        <w:rPr>
          <w:rStyle w:val="FootnoteReference"/>
        </w:rPr>
        <w:footnoteRef/>
      </w:r>
      <w:r w:rsidRPr="00A03B67">
        <w:t xml:space="preserve"> </w:t>
      </w:r>
      <w:r w:rsidRPr="00A03B67">
        <w:rPr>
          <w:i/>
        </w:rPr>
        <w:t>CPSU, the Community and Public Sector Union</w:t>
      </w:r>
      <w:r w:rsidRPr="00A03B67">
        <w:t xml:space="preserve"> [2024] FWC 1402.</w:t>
      </w:r>
    </w:p>
  </w:footnote>
  <w:footnote w:id="580">
    <w:p w14:paraId="3AA77F42" w14:textId="66CC4CE4" w:rsidR="00924664" w:rsidRPr="00A03B67" w:rsidRDefault="00924664" w:rsidP="00924664">
      <w:pPr>
        <w:pStyle w:val="FootnoteText"/>
      </w:pPr>
      <w:r w:rsidRPr="00A03B67">
        <w:rPr>
          <w:rStyle w:val="FootnoteReference"/>
        </w:rPr>
        <w:footnoteRef/>
      </w:r>
      <w:r w:rsidRPr="00A03B67">
        <w:t xml:space="preserve"> </w:t>
      </w:r>
      <w:r w:rsidRPr="00A03B67">
        <w:rPr>
          <w:i/>
        </w:rPr>
        <w:t>CPSU, the Community and Public Sector Union</w:t>
      </w:r>
      <w:r w:rsidRPr="00A03B67">
        <w:t xml:space="preserve"> [2024] FWC 1402 [30]–[31]: the employees concerned were employed as carpenters, painters, electricians, plumbers and exhibition craftspersons.</w:t>
      </w:r>
    </w:p>
  </w:footnote>
  <w:footnote w:id="581">
    <w:p w14:paraId="46C9E516" w14:textId="77777777" w:rsidR="00924664" w:rsidRPr="00A03B67" w:rsidRDefault="00924664" w:rsidP="00924664">
      <w:pPr>
        <w:pStyle w:val="FootnoteText"/>
      </w:pPr>
      <w:r w:rsidRPr="00A03B67">
        <w:rPr>
          <w:rStyle w:val="FootnoteReference"/>
        </w:rPr>
        <w:footnoteRef/>
      </w:r>
      <w:r w:rsidRPr="00A03B67">
        <w:t xml:space="preserve"> </w:t>
      </w:r>
      <w:r w:rsidRPr="00A03B67">
        <w:rPr>
          <w:i/>
        </w:rPr>
        <w:t>CPSU, the Community and Public Sector Union</w:t>
      </w:r>
      <w:r w:rsidRPr="00A03B67">
        <w:t xml:space="preserve"> [2024] FWC 1402 [1].</w:t>
      </w:r>
    </w:p>
  </w:footnote>
  <w:footnote w:id="582">
    <w:p w14:paraId="4A665C3A" w14:textId="77777777" w:rsidR="00924664" w:rsidRPr="00A03B67" w:rsidRDefault="00924664" w:rsidP="00924664">
      <w:pPr>
        <w:pStyle w:val="FootnoteText"/>
      </w:pPr>
      <w:r w:rsidRPr="00A03B67">
        <w:rPr>
          <w:rStyle w:val="FootnoteReference"/>
        </w:rPr>
        <w:footnoteRef/>
      </w:r>
      <w:r w:rsidRPr="00A03B67">
        <w:t xml:space="preserve"> </w:t>
      </w:r>
      <w:r w:rsidRPr="00A03B67">
        <w:rPr>
          <w:i/>
        </w:rPr>
        <w:t>CPSU, the Community and Public Sector Union</w:t>
      </w:r>
      <w:r w:rsidRPr="00A03B67">
        <w:t xml:space="preserve"> [2024] FWC 1402 [36].</w:t>
      </w:r>
    </w:p>
  </w:footnote>
  <w:footnote w:id="583">
    <w:p w14:paraId="53ECF1BD" w14:textId="77777777" w:rsidR="00924664" w:rsidRPr="00A03B67" w:rsidRDefault="00924664" w:rsidP="00924664">
      <w:pPr>
        <w:pStyle w:val="FootnoteText"/>
      </w:pPr>
      <w:r w:rsidRPr="00A03B67">
        <w:rPr>
          <w:rStyle w:val="FootnoteReference"/>
        </w:rPr>
        <w:footnoteRef/>
      </w:r>
      <w:r w:rsidRPr="00A03B67">
        <w:t xml:space="preserve"> Ai Group submission, 74.</w:t>
      </w:r>
    </w:p>
  </w:footnote>
  <w:footnote w:id="584">
    <w:p w14:paraId="4402C33D" w14:textId="0305EFA2" w:rsidR="00924664" w:rsidRPr="00A03B67" w:rsidRDefault="00924664" w:rsidP="00924664">
      <w:pPr>
        <w:pStyle w:val="FootnoteText"/>
      </w:pPr>
      <w:r w:rsidRPr="00A03B67">
        <w:rPr>
          <w:rStyle w:val="FootnoteReference"/>
        </w:rPr>
        <w:footnoteRef/>
      </w:r>
      <w:r w:rsidRPr="00A03B67">
        <w:t xml:space="preserve"> </w:t>
      </w:r>
      <w:r w:rsidR="00A95C2E">
        <w:t>Master Builders Association (</w:t>
      </w:r>
      <w:r w:rsidRPr="00A03B67">
        <w:t>MBA</w:t>
      </w:r>
      <w:r w:rsidR="00A95C2E">
        <w:t>)</w:t>
      </w:r>
      <w:r w:rsidRPr="00A03B67">
        <w:t xml:space="preserve"> submission, 3.</w:t>
      </w:r>
    </w:p>
  </w:footnote>
  <w:footnote w:id="585">
    <w:p w14:paraId="3908E45C" w14:textId="3D87F61F" w:rsidR="00924664" w:rsidRDefault="00924664" w:rsidP="00924664">
      <w:pPr>
        <w:pStyle w:val="FootnoteText"/>
      </w:pPr>
      <w:r>
        <w:rPr>
          <w:rStyle w:val="FootnoteReference"/>
        </w:rPr>
        <w:footnoteRef/>
      </w:r>
      <w:r>
        <w:t xml:space="preserve"> Ai Group submission in response to draft report, 32.</w:t>
      </w:r>
    </w:p>
  </w:footnote>
  <w:footnote w:id="586">
    <w:p w14:paraId="252D7829" w14:textId="3646F68A" w:rsidR="00924664" w:rsidRPr="00A03B67" w:rsidRDefault="00924664" w:rsidP="00924664">
      <w:pPr>
        <w:pStyle w:val="FootnoteText"/>
      </w:pPr>
      <w:r w:rsidRPr="00A03B67">
        <w:rPr>
          <w:rStyle w:val="FootnoteReference"/>
        </w:rPr>
        <w:footnoteRef/>
      </w:r>
      <w:r w:rsidRPr="00A03B67">
        <w:t xml:space="preserve"> Senate Education and Employment Committee, Parliament of Australia, Inquiry into the Fair Work Legislation Amendment (Secure Jobs, Better Pay) Bill 2022, Submission of the Department of Employment and Workplace Relations, Fair Work Legislation Amendment (Secure Jobs, Better Pay) Bill 2022 [Provisions] Submission No. 49 (November 2022) 18.</w:t>
      </w:r>
    </w:p>
  </w:footnote>
  <w:footnote w:id="587">
    <w:p w14:paraId="5C679575" w14:textId="3DD24F32" w:rsidR="00924664" w:rsidRPr="00A03B67" w:rsidRDefault="00924664" w:rsidP="00924664">
      <w:pPr>
        <w:pStyle w:val="FootnoteText"/>
      </w:pPr>
      <w:r w:rsidRPr="00A03B67">
        <w:rPr>
          <w:rStyle w:val="FootnoteReference"/>
        </w:rPr>
        <w:footnoteRef/>
      </w:r>
      <w:r w:rsidRPr="00A03B67">
        <w:t xml:space="preserve"> Senate Education and Employment Committee, Parliament of Australia, Inquiry into the Fair Work Legislation Amendment (Secure Jobs, Better Pay) Bill 2022, Submission of the Department of Employment and Workplace Relations, Fair Work Legislation Amendment (Secure Jobs, Better Pay) Bill 2022 [Provisions] Submission No. 49 (November 2022) 18.</w:t>
      </w:r>
    </w:p>
  </w:footnote>
  <w:footnote w:id="588">
    <w:p w14:paraId="0CDD9E2C" w14:textId="77777777" w:rsidR="00924664" w:rsidRPr="00A03B67" w:rsidRDefault="00924664" w:rsidP="00924664">
      <w:pPr>
        <w:pStyle w:val="FootnoteText"/>
      </w:pPr>
      <w:r w:rsidRPr="00A03B67">
        <w:rPr>
          <w:rStyle w:val="FootnoteReference"/>
        </w:rPr>
        <w:footnoteRef/>
      </w:r>
      <w:r w:rsidRPr="00A03B67">
        <w:t xml:space="preserve"> See </w:t>
      </w:r>
      <w:r w:rsidRPr="00A03B67">
        <w:rPr>
          <w:i/>
          <w:iCs/>
        </w:rPr>
        <w:t>Fair Work Act 2009</w:t>
      </w:r>
      <w:r w:rsidRPr="00A03B67">
        <w:t xml:space="preserve"> (Cth) s 240.</w:t>
      </w:r>
    </w:p>
  </w:footnote>
  <w:footnote w:id="589">
    <w:p w14:paraId="2D09AA58" w14:textId="77777777" w:rsidR="00924664" w:rsidRPr="00A03B67" w:rsidRDefault="00924664" w:rsidP="00924664">
      <w:pPr>
        <w:pStyle w:val="FootnoteText"/>
      </w:pPr>
      <w:r w:rsidRPr="00A03B67">
        <w:rPr>
          <w:rStyle w:val="FootnoteReference"/>
        </w:rPr>
        <w:footnoteRef/>
      </w:r>
      <w:r w:rsidRPr="00A03B67">
        <w:t xml:space="preserve"> See also the FWC’s power to make industrial action related workplace determinations: </w:t>
      </w:r>
      <w:r w:rsidRPr="00A03B67">
        <w:rPr>
          <w:i/>
          <w:iCs/>
        </w:rPr>
        <w:t>Fair Work Act 2009</w:t>
      </w:r>
      <w:r w:rsidRPr="00A03B67">
        <w:t xml:space="preserve"> (Cth) s 266.</w:t>
      </w:r>
    </w:p>
  </w:footnote>
  <w:footnote w:id="590">
    <w:p w14:paraId="66D8B9D3" w14:textId="615FFF5C" w:rsidR="00924664" w:rsidRPr="00A03B67" w:rsidRDefault="00924664" w:rsidP="00924664">
      <w:pPr>
        <w:pStyle w:val="FootnoteText"/>
      </w:pPr>
      <w:r w:rsidRPr="00A03B67">
        <w:rPr>
          <w:rStyle w:val="FootnoteReference"/>
        </w:rPr>
        <w:footnoteRef/>
      </w:r>
      <w:r w:rsidRPr="00A03B67">
        <w:t xml:space="preserve"> Revised Explanatory Memorandum, Fair Work Legislation Amendment (Secure Jobs, Better Pay) Bill 2022</w:t>
      </w:r>
      <w:r w:rsidR="00984B47">
        <w:t>,</w:t>
      </w:r>
      <w:r w:rsidRPr="00A03B67">
        <w:t xml:space="preserve"> [826].</w:t>
      </w:r>
    </w:p>
  </w:footnote>
  <w:footnote w:id="591">
    <w:p w14:paraId="235DB4E9"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s 234(2).</w:t>
      </w:r>
    </w:p>
  </w:footnote>
  <w:footnote w:id="592">
    <w:p w14:paraId="5CF21FA4"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s 235(1).</w:t>
      </w:r>
    </w:p>
  </w:footnote>
  <w:footnote w:id="593">
    <w:p w14:paraId="4FB4BDFB" w14:textId="77777777" w:rsidR="00924664" w:rsidRPr="00A03B67" w:rsidRDefault="00924664" w:rsidP="00924664">
      <w:pPr>
        <w:pStyle w:val="FootnoteText"/>
        <w:tabs>
          <w:tab w:val="left" w:pos="1134"/>
        </w:tabs>
      </w:pPr>
      <w:r w:rsidRPr="00A03B67">
        <w:rPr>
          <w:rStyle w:val="FootnoteReference"/>
        </w:rPr>
        <w:footnoteRef/>
      </w:r>
      <w:r w:rsidRPr="00A03B67">
        <w:t xml:space="preserve"> </w:t>
      </w:r>
      <w:r w:rsidRPr="00A03B67">
        <w:rPr>
          <w:i/>
          <w:iCs/>
        </w:rPr>
        <w:t>Fair Work Act 2009</w:t>
      </w:r>
      <w:r w:rsidRPr="00A03B67">
        <w:t xml:space="preserve"> (Cth) s 235(5).</w:t>
      </w:r>
    </w:p>
  </w:footnote>
  <w:footnote w:id="594">
    <w:p w14:paraId="63E91322"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s 235(6).</w:t>
      </w:r>
    </w:p>
  </w:footnote>
  <w:footnote w:id="595">
    <w:p w14:paraId="7F8FEE18"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s 235(2).</w:t>
      </w:r>
    </w:p>
  </w:footnote>
  <w:footnote w:id="596">
    <w:p w14:paraId="4FADFA64"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s 235A.</w:t>
      </w:r>
    </w:p>
  </w:footnote>
  <w:footnote w:id="597">
    <w:p w14:paraId="606BA8EA"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Note to s 235A(1).</w:t>
      </w:r>
    </w:p>
  </w:footnote>
  <w:footnote w:id="598">
    <w:p w14:paraId="1D3C0A01"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s 235A(2).</w:t>
      </w:r>
    </w:p>
  </w:footnote>
  <w:footnote w:id="599">
    <w:p w14:paraId="2358788B"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s 269.</w:t>
      </w:r>
    </w:p>
  </w:footnote>
  <w:footnote w:id="600">
    <w:p w14:paraId="14153E78"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w:t>
      </w:r>
      <w:r w:rsidRPr="00A03B67" w:rsidDel="007F6E1E">
        <w:t xml:space="preserve"> </w:t>
      </w:r>
      <w:r w:rsidRPr="00A03B67">
        <w:t>s 616(4).</w:t>
      </w:r>
    </w:p>
  </w:footnote>
  <w:footnote w:id="601">
    <w:p w14:paraId="0E0A507F" w14:textId="4835109F"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ss 270</w:t>
      </w:r>
      <w:r w:rsidR="00984B47">
        <w:rPr>
          <w:rFonts w:ascii="Symbol" w:eastAsia="Symbol" w:hAnsi="Symbol" w:cs="Symbol"/>
        </w:rPr>
        <w:t>-</w:t>
      </w:r>
      <w:r w:rsidRPr="00A03B67">
        <w:t>274.</w:t>
      </w:r>
    </w:p>
  </w:footnote>
  <w:footnote w:id="602">
    <w:p w14:paraId="3CBED5E1"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s 270(3).</w:t>
      </w:r>
    </w:p>
  </w:footnote>
  <w:footnote w:id="603">
    <w:p w14:paraId="001FE5FE"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s</w:t>
      </w:r>
      <w:r w:rsidRPr="00A03B67" w:rsidDel="006E73A2">
        <w:t xml:space="preserve"> </w:t>
      </w:r>
      <w:r w:rsidRPr="00A03B67">
        <w:t>270A.</w:t>
      </w:r>
    </w:p>
  </w:footnote>
  <w:footnote w:id="604">
    <w:p w14:paraId="62C6FF2A" w14:textId="44FDB9D4"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s 274(3).</w:t>
      </w:r>
    </w:p>
  </w:footnote>
  <w:footnote w:id="605">
    <w:p w14:paraId="0737C973" w14:textId="497061E8" w:rsidR="00924664" w:rsidRPr="00A03B67" w:rsidRDefault="00924664" w:rsidP="00924664">
      <w:pPr>
        <w:pStyle w:val="FootnoteText"/>
      </w:pPr>
      <w:r w:rsidRPr="00A03B67">
        <w:rPr>
          <w:rStyle w:val="FootnoteReference"/>
        </w:rPr>
        <w:footnoteRef/>
      </w:r>
      <w:r w:rsidRPr="00A03B67">
        <w:t xml:space="preserve"> Revised Explanatory Memorandum, Fair Work Legislation Amendment (Secure Jobs, Better Pay) Bill 2022</w:t>
      </w:r>
      <w:r w:rsidR="00984B47">
        <w:t>,</w:t>
      </w:r>
      <w:r w:rsidRPr="00A03B67">
        <w:t xml:space="preserve"> [790] 143, [827].</w:t>
      </w:r>
    </w:p>
  </w:footnote>
  <w:footnote w:id="606">
    <w:p w14:paraId="023804D1" w14:textId="77777777" w:rsidR="00924664" w:rsidRPr="00A03B67" w:rsidRDefault="00924664" w:rsidP="00924664">
      <w:pPr>
        <w:pStyle w:val="FootnoteText"/>
      </w:pPr>
      <w:r w:rsidRPr="00A03B67">
        <w:rPr>
          <w:rStyle w:val="FootnoteReference"/>
        </w:rPr>
        <w:footnoteRef/>
      </w:r>
      <w:r w:rsidRPr="00A03B67">
        <w:t xml:space="preserve"> Commonwealth, </w:t>
      </w:r>
      <w:r w:rsidRPr="00A03B67">
        <w:rPr>
          <w:i/>
          <w:iCs/>
        </w:rPr>
        <w:t>Parliamentary Debates</w:t>
      </w:r>
      <w:r w:rsidRPr="00A03B67">
        <w:t>, House of Representatives, 27 October 2022, 2180 (Tony Burke, Minister for Employment and Workplace Relations).</w:t>
      </w:r>
    </w:p>
  </w:footnote>
  <w:footnote w:id="607">
    <w:p w14:paraId="3A1D76B4" w14:textId="77777777" w:rsidR="00924664" w:rsidRPr="00A03B67" w:rsidRDefault="00924664" w:rsidP="00924664">
      <w:pPr>
        <w:pStyle w:val="FootnoteText"/>
      </w:pPr>
      <w:r w:rsidRPr="00A03B67">
        <w:rPr>
          <w:rStyle w:val="FootnoteReference"/>
        </w:rPr>
        <w:footnoteRef/>
      </w:r>
      <w:r w:rsidRPr="00A03B67">
        <w:t xml:space="preserve"> Commonwealth, </w:t>
      </w:r>
      <w:r w:rsidRPr="00A03B67">
        <w:rPr>
          <w:i/>
          <w:iCs/>
        </w:rPr>
        <w:t>Parliamentary Debates</w:t>
      </w:r>
      <w:r w:rsidRPr="00A03B67">
        <w:t>, House of Representatives, 27 October 2022, 2180 (Tony Burke, Minister for Employment and Workplace Relations).</w:t>
      </w:r>
    </w:p>
  </w:footnote>
  <w:footnote w:id="608">
    <w:p w14:paraId="175FBAC0" w14:textId="77777777" w:rsidR="00924664" w:rsidRPr="00A03B67" w:rsidRDefault="00924664" w:rsidP="00924664">
      <w:pPr>
        <w:spacing w:after="0"/>
        <w:rPr>
          <w:sz w:val="18"/>
          <w:szCs w:val="18"/>
        </w:rPr>
      </w:pPr>
      <w:r w:rsidRPr="00A03B67">
        <w:rPr>
          <w:rStyle w:val="FootnoteReference"/>
        </w:rPr>
        <w:footnoteRef/>
      </w:r>
      <w:r w:rsidRPr="00A03B67">
        <w:t xml:space="preserve"> </w:t>
      </w:r>
      <w:r w:rsidRPr="00A03B67">
        <w:rPr>
          <w:sz w:val="18"/>
          <w:szCs w:val="18"/>
        </w:rPr>
        <w:t>Commonwealth, Parliamentary Debates, House of Representatives, 27 October 2022, 2180 (Tony Burke, Minister for Employment and Workplace Relations).</w:t>
      </w:r>
    </w:p>
  </w:footnote>
  <w:footnote w:id="609">
    <w:p w14:paraId="4E8C1CAF" w14:textId="648B36ED" w:rsidR="00924664" w:rsidRPr="00A03B67" w:rsidRDefault="00924664" w:rsidP="00924664">
      <w:pPr>
        <w:spacing w:after="0" w:line="240" w:lineRule="auto"/>
        <w:rPr>
          <w:sz w:val="18"/>
          <w:szCs w:val="18"/>
        </w:rPr>
      </w:pPr>
      <w:r w:rsidRPr="00A03B67">
        <w:rPr>
          <w:rStyle w:val="FootnoteReference"/>
        </w:rPr>
        <w:footnoteRef/>
      </w:r>
      <w:r w:rsidRPr="00A03B67">
        <w:rPr>
          <w:sz w:val="18"/>
          <w:szCs w:val="20"/>
        </w:rPr>
        <w:t xml:space="preserve"> </w:t>
      </w:r>
      <w:r w:rsidRPr="00A03B67">
        <w:rPr>
          <w:sz w:val="18"/>
          <w:szCs w:val="18"/>
        </w:rPr>
        <w:t xml:space="preserve">Commonwealth, </w:t>
      </w:r>
      <w:r w:rsidRPr="00A03B67">
        <w:rPr>
          <w:i/>
          <w:iCs/>
          <w:sz w:val="18"/>
          <w:szCs w:val="18"/>
        </w:rPr>
        <w:t>Parliamentary Debates</w:t>
      </w:r>
      <w:r w:rsidRPr="00A03B67">
        <w:rPr>
          <w:sz w:val="18"/>
          <w:szCs w:val="18"/>
        </w:rPr>
        <w:t>, House of Representatives, 28 November 2023, 8711 (Adam Bandt).</w:t>
      </w:r>
    </w:p>
  </w:footnote>
  <w:footnote w:id="610">
    <w:p w14:paraId="7035439B" w14:textId="62BD33D1" w:rsidR="00924664" w:rsidRPr="00A03B67" w:rsidRDefault="00924664" w:rsidP="00924664">
      <w:pPr>
        <w:pStyle w:val="FootnoteText"/>
        <w:rPr>
          <w:szCs w:val="18"/>
        </w:rPr>
      </w:pPr>
      <w:r w:rsidRPr="00A03B67">
        <w:rPr>
          <w:rStyle w:val="FootnoteReference"/>
        </w:rPr>
        <w:footnoteRef/>
      </w:r>
      <w:r w:rsidRPr="00A03B67">
        <w:t xml:space="preserve"> </w:t>
      </w:r>
      <w:r w:rsidRPr="00A03B67">
        <w:rPr>
          <w:szCs w:val="18"/>
        </w:rPr>
        <w:t xml:space="preserve">Commonwealth, </w:t>
      </w:r>
      <w:r w:rsidRPr="00A03B67">
        <w:rPr>
          <w:i/>
          <w:iCs/>
          <w:szCs w:val="18"/>
        </w:rPr>
        <w:t>Parliamentary Debates</w:t>
      </w:r>
      <w:r w:rsidRPr="00A03B67">
        <w:rPr>
          <w:szCs w:val="18"/>
        </w:rPr>
        <w:t>, House of Representatives, 28 November 2023, 8711 (Adam Bandt).</w:t>
      </w:r>
    </w:p>
  </w:footnote>
  <w:footnote w:id="611">
    <w:p w14:paraId="466F8FF0" w14:textId="77777777" w:rsidR="00924664" w:rsidRPr="00A03B67" w:rsidRDefault="00924664" w:rsidP="00924664">
      <w:pPr>
        <w:pStyle w:val="FootnoteText"/>
      </w:pPr>
      <w:r w:rsidRPr="00A03B67">
        <w:rPr>
          <w:rStyle w:val="FootnoteReference"/>
        </w:rPr>
        <w:footnoteRef/>
      </w:r>
      <w:r w:rsidRPr="00A03B67">
        <w:t xml:space="preserve"> Fair Work Commission, </w:t>
      </w:r>
      <w:r w:rsidRPr="00A03B67">
        <w:rPr>
          <w:i/>
          <w:iCs/>
        </w:rPr>
        <w:t>Annual Report</w:t>
      </w:r>
      <w:r w:rsidRPr="00A03B67">
        <w:t xml:space="preserve"> </w:t>
      </w:r>
      <w:r w:rsidRPr="00A03B67">
        <w:rPr>
          <w:i/>
          <w:iCs/>
        </w:rPr>
        <w:t>2022–23</w:t>
      </w:r>
      <w:r w:rsidRPr="00A03B67">
        <w:t xml:space="preserve"> (Report, 2023) 28.</w:t>
      </w:r>
    </w:p>
  </w:footnote>
  <w:footnote w:id="612">
    <w:p w14:paraId="40F1C321" w14:textId="348E26E3" w:rsidR="00924664" w:rsidRPr="00A03B67" w:rsidRDefault="00924664" w:rsidP="00924664">
      <w:pPr>
        <w:pStyle w:val="FootnoteText"/>
      </w:pPr>
      <w:r w:rsidRPr="00A03B67">
        <w:rPr>
          <w:rStyle w:val="FootnoteReference"/>
        </w:rPr>
        <w:footnoteRef/>
      </w:r>
      <w:r w:rsidRPr="00A03B67">
        <w:t xml:space="preserve"> </w:t>
      </w:r>
      <w:r w:rsidRPr="00A03B67">
        <w:rPr>
          <w:i/>
        </w:rPr>
        <w:t>United Firefighters’ Union of Australia v Fire Rescue Victoria T/A FRV</w:t>
      </w:r>
      <w:r w:rsidRPr="00A03B67">
        <w:t xml:space="preserve"> [2024] FWCFB 43 [3].</w:t>
      </w:r>
    </w:p>
  </w:footnote>
  <w:footnote w:id="613">
    <w:p w14:paraId="15D793C5" w14:textId="1E177CD6" w:rsidR="00924664" w:rsidRPr="00A03B67" w:rsidRDefault="00924664" w:rsidP="00924664">
      <w:pPr>
        <w:pStyle w:val="FootnoteText"/>
      </w:pPr>
      <w:r w:rsidRPr="00A03B67">
        <w:rPr>
          <w:rStyle w:val="FootnoteReference"/>
        </w:rPr>
        <w:footnoteRef/>
      </w:r>
      <w:r w:rsidRPr="00A03B67">
        <w:t xml:space="preserve"> </w:t>
      </w:r>
      <w:r w:rsidRPr="00A03B67">
        <w:rPr>
          <w:i/>
          <w:iCs/>
        </w:rPr>
        <w:t>United Firefighters’ Union of Australia v Fire Rescue Victoria T/A FRV</w:t>
      </w:r>
      <w:r w:rsidRPr="00A03B67">
        <w:t xml:space="preserve"> [2024] FWCFB 43 [4], [19].</w:t>
      </w:r>
    </w:p>
  </w:footnote>
  <w:footnote w:id="614">
    <w:p w14:paraId="0A4CAAB0" w14:textId="061CD7F7" w:rsidR="00924664" w:rsidRPr="00A03B67" w:rsidRDefault="00924664" w:rsidP="00924664">
      <w:pPr>
        <w:pStyle w:val="FootnoteText"/>
      </w:pPr>
      <w:r w:rsidRPr="00A03B67">
        <w:rPr>
          <w:rStyle w:val="FootnoteReference"/>
        </w:rPr>
        <w:footnoteRef/>
      </w:r>
      <w:r w:rsidRPr="00A03B67">
        <w:t xml:space="preserve"> </w:t>
      </w:r>
      <w:r w:rsidRPr="00A03B67">
        <w:rPr>
          <w:i/>
          <w:iCs/>
        </w:rPr>
        <w:t>United Firefighters’ Union of Australia v Fire Rescue Victoria T/A FRV</w:t>
      </w:r>
      <w:r w:rsidRPr="00A03B67">
        <w:t xml:space="preserve"> [2024] FWCFB 43 [141].</w:t>
      </w:r>
    </w:p>
  </w:footnote>
  <w:footnote w:id="615">
    <w:p w14:paraId="3A3CC54E" w14:textId="1B95D761" w:rsidR="00924664" w:rsidRPr="00A03B67" w:rsidRDefault="00924664" w:rsidP="00924664">
      <w:pPr>
        <w:pStyle w:val="FootnoteText"/>
      </w:pPr>
      <w:r w:rsidRPr="00A03B67">
        <w:rPr>
          <w:rStyle w:val="FootnoteReference"/>
        </w:rPr>
        <w:footnoteRef/>
      </w:r>
      <w:r w:rsidRPr="00A03B67">
        <w:t xml:space="preserve"> </w:t>
      </w:r>
      <w:r w:rsidRPr="00A03B67">
        <w:rPr>
          <w:i/>
          <w:iCs/>
        </w:rPr>
        <w:t>United Firefighters’ Union of Australia v Fire Rescue Victoria T/A FRV</w:t>
      </w:r>
      <w:r w:rsidRPr="00A03B67">
        <w:t xml:space="preserve"> [2024] FWCFB 43 [139], [141].</w:t>
      </w:r>
    </w:p>
  </w:footnote>
  <w:footnote w:id="616">
    <w:p w14:paraId="486A10FC" w14:textId="0D945CA1" w:rsidR="00924664" w:rsidRPr="00A03B67" w:rsidRDefault="00924664" w:rsidP="00924664">
      <w:pPr>
        <w:pStyle w:val="FootnoteText"/>
      </w:pPr>
      <w:r w:rsidRPr="00A03B67">
        <w:rPr>
          <w:rStyle w:val="FootnoteReference"/>
        </w:rPr>
        <w:footnoteRef/>
      </w:r>
      <w:r w:rsidRPr="00A03B67">
        <w:t xml:space="preserve"> </w:t>
      </w:r>
      <w:r w:rsidRPr="00A03B67">
        <w:rPr>
          <w:i/>
          <w:iCs/>
        </w:rPr>
        <w:t>United Firefighters’ Union of Australia v Fire Rescue Victoria T/A FRV</w:t>
      </w:r>
      <w:r w:rsidRPr="00A03B67">
        <w:t xml:space="preserve"> [2024] FWCFB 43 [147]</w:t>
      </w:r>
      <w:r w:rsidR="00984B47">
        <w:rPr>
          <w:rFonts w:ascii="Symbol" w:eastAsia="Symbol" w:hAnsi="Symbol" w:cs="Symbol"/>
        </w:rPr>
        <w:t>-</w:t>
      </w:r>
      <w:r w:rsidRPr="00A03B67">
        <w:t>[148].</w:t>
      </w:r>
    </w:p>
  </w:footnote>
  <w:footnote w:id="617">
    <w:p w14:paraId="281A709C" w14:textId="0FB24B6E" w:rsidR="00924664" w:rsidRPr="00A03B67" w:rsidRDefault="00924664" w:rsidP="00924664">
      <w:pPr>
        <w:pStyle w:val="FootnoteText"/>
      </w:pPr>
      <w:r w:rsidRPr="00A03B67">
        <w:rPr>
          <w:rStyle w:val="FootnoteReference"/>
        </w:rPr>
        <w:footnoteRef/>
      </w:r>
      <w:r w:rsidRPr="00A03B67">
        <w:t xml:space="preserve"> </w:t>
      </w:r>
      <w:r w:rsidRPr="00A03B67">
        <w:rPr>
          <w:i/>
          <w:iCs/>
        </w:rPr>
        <w:t>United Firefighters’ Union of Australia v Fire Rescue Victoria T/A FRV</w:t>
      </w:r>
      <w:r w:rsidRPr="00A03B67">
        <w:t xml:space="preserve"> [2024] FWCFB 43 [167]</w:t>
      </w:r>
      <w:r w:rsidR="00984B47">
        <w:rPr>
          <w:rFonts w:ascii="Symbol" w:eastAsia="Symbol" w:hAnsi="Symbol" w:cs="Symbol"/>
        </w:rPr>
        <w:t>-</w:t>
      </w:r>
      <w:r w:rsidRPr="00A03B67">
        <w:t>[168].</w:t>
      </w:r>
    </w:p>
  </w:footnote>
  <w:footnote w:id="618">
    <w:p w14:paraId="195EDB14" w14:textId="2BD26273" w:rsidR="00924664" w:rsidRDefault="00924664" w:rsidP="00924664">
      <w:pPr>
        <w:pStyle w:val="FootnoteText"/>
      </w:pPr>
      <w:r>
        <w:rPr>
          <w:rStyle w:val="FootnoteReference"/>
        </w:rPr>
        <w:footnoteRef/>
      </w:r>
      <w:r>
        <w:t xml:space="preserve"> </w:t>
      </w:r>
      <w:r w:rsidRPr="004A08DE">
        <w:rPr>
          <w:i/>
        </w:rPr>
        <w:t>United Firefighters’ U</w:t>
      </w:r>
      <w:r>
        <w:rPr>
          <w:i/>
        </w:rPr>
        <w:t>n</w:t>
      </w:r>
      <w:r w:rsidRPr="004A08DE">
        <w:rPr>
          <w:i/>
        </w:rPr>
        <w:t xml:space="preserve">ion of Australia v Fire Rescue </w:t>
      </w:r>
      <w:r w:rsidRPr="004A08DE">
        <w:rPr>
          <w:i/>
          <w:iCs/>
        </w:rPr>
        <w:t>Victoria</w:t>
      </w:r>
      <w:r>
        <w:t xml:space="preserve"> [2025] FCAFC 16 [22]: A writ of certiorari and a writ of mandamus were sought by the United Firefighters’ Union of Australia.</w:t>
      </w:r>
    </w:p>
  </w:footnote>
  <w:footnote w:id="619">
    <w:p w14:paraId="67074FE7" w14:textId="77777777" w:rsidR="00924664" w:rsidRDefault="00924664" w:rsidP="00924664">
      <w:pPr>
        <w:pStyle w:val="FootnoteText"/>
      </w:pPr>
      <w:r>
        <w:rPr>
          <w:rStyle w:val="FootnoteReference"/>
        </w:rPr>
        <w:footnoteRef/>
      </w:r>
      <w:r>
        <w:t xml:space="preserve"> </w:t>
      </w:r>
      <w:r w:rsidRPr="004A08DE">
        <w:rPr>
          <w:i/>
          <w:iCs/>
        </w:rPr>
        <w:t>United Firefighters’ U</w:t>
      </w:r>
      <w:r>
        <w:rPr>
          <w:i/>
          <w:iCs/>
        </w:rPr>
        <w:t>n</w:t>
      </w:r>
      <w:r w:rsidRPr="004A08DE">
        <w:rPr>
          <w:i/>
          <w:iCs/>
        </w:rPr>
        <w:t>ion of Australia v Fire Rescue Victoria</w:t>
      </w:r>
      <w:r>
        <w:t xml:space="preserve"> [2025] FCAFC 16 [28].</w:t>
      </w:r>
    </w:p>
  </w:footnote>
  <w:footnote w:id="620">
    <w:p w14:paraId="1E912F41" w14:textId="77777777" w:rsidR="00924664" w:rsidRDefault="00924664" w:rsidP="00924664">
      <w:pPr>
        <w:pStyle w:val="FootnoteText"/>
      </w:pPr>
      <w:r>
        <w:rPr>
          <w:rStyle w:val="FootnoteReference"/>
        </w:rPr>
        <w:footnoteRef/>
      </w:r>
      <w:r>
        <w:t xml:space="preserve"> </w:t>
      </w:r>
      <w:r w:rsidRPr="004A08DE">
        <w:rPr>
          <w:i/>
          <w:iCs/>
        </w:rPr>
        <w:t>United Firefighters’ U</w:t>
      </w:r>
      <w:r>
        <w:rPr>
          <w:i/>
          <w:iCs/>
        </w:rPr>
        <w:t>n</w:t>
      </w:r>
      <w:r w:rsidRPr="004A08DE">
        <w:rPr>
          <w:i/>
          <w:iCs/>
        </w:rPr>
        <w:t>ion of Australia v Fire Rescue Victoria</w:t>
      </w:r>
      <w:r>
        <w:t xml:space="preserve"> [2025] FCAFC 16 [24].</w:t>
      </w:r>
    </w:p>
  </w:footnote>
  <w:footnote w:id="621">
    <w:p w14:paraId="42CE9E64" w14:textId="77777777" w:rsidR="00924664" w:rsidRDefault="00924664" w:rsidP="00924664">
      <w:pPr>
        <w:pStyle w:val="FootnoteText"/>
      </w:pPr>
      <w:r>
        <w:rPr>
          <w:rStyle w:val="FootnoteReference"/>
        </w:rPr>
        <w:footnoteRef/>
      </w:r>
      <w:r>
        <w:t xml:space="preserve"> </w:t>
      </w:r>
      <w:r w:rsidRPr="004A08DE">
        <w:rPr>
          <w:i/>
          <w:iCs/>
        </w:rPr>
        <w:t>United Firefighters’ U</w:t>
      </w:r>
      <w:r>
        <w:rPr>
          <w:i/>
          <w:iCs/>
        </w:rPr>
        <w:t>n</w:t>
      </w:r>
      <w:r w:rsidRPr="004A08DE">
        <w:rPr>
          <w:i/>
          <w:iCs/>
        </w:rPr>
        <w:t>ion of Australia v Fire Rescue Victoria</w:t>
      </w:r>
      <w:r>
        <w:t xml:space="preserve"> [2025] FCAFC 16 [24].</w:t>
      </w:r>
    </w:p>
  </w:footnote>
  <w:footnote w:id="622">
    <w:p w14:paraId="0B9F2AA3"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 xml:space="preserve">Transport Workers’ Union of Australia v Cleanaway Operations Pty Ltd t/as Cleanaway Operations Pty Ltd (Erskine Park) </w:t>
      </w:r>
      <w:r w:rsidRPr="00A03B67">
        <w:t>[2025] FWC 1.</w:t>
      </w:r>
    </w:p>
  </w:footnote>
  <w:footnote w:id="623">
    <w:p w14:paraId="74336D8D"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 xml:space="preserve">Application by Chief Commissioner of Victoria Police t/as Victoria Police </w:t>
      </w:r>
      <w:r w:rsidRPr="00A03B67">
        <w:t>[2025] FWC [86].</w:t>
      </w:r>
    </w:p>
  </w:footnote>
  <w:footnote w:id="624">
    <w:p w14:paraId="127E07C3" w14:textId="77777777" w:rsidR="00924664" w:rsidRPr="00A03B67" w:rsidRDefault="00924664" w:rsidP="00924664">
      <w:pPr>
        <w:pStyle w:val="FootnoteText"/>
      </w:pPr>
      <w:r w:rsidRPr="00A03B67">
        <w:rPr>
          <w:rStyle w:val="FootnoteReference"/>
        </w:rPr>
        <w:footnoteRef/>
      </w:r>
      <w:r w:rsidRPr="00A03B67">
        <w:t xml:space="preserve"> [2024] FWCFB 287.</w:t>
      </w:r>
    </w:p>
  </w:footnote>
  <w:footnote w:id="625">
    <w:p w14:paraId="0EFAB112" w14:textId="77777777" w:rsidR="00924664" w:rsidRPr="00A03B67" w:rsidRDefault="00924664" w:rsidP="00924664">
      <w:pPr>
        <w:pStyle w:val="FootnoteText"/>
      </w:pPr>
      <w:r w:rsidRPr="00A03B67">
        <w:rPr>
          <w:rStyle w:val="FootnoteReference"/>
        </w:rPr>
        <w:footnoteRef/>
      </w:r>
      <w:r w:rsidRPr="00A03B67">
        <w:t xml:space="preserve"> </w:t>
      </w:r>
      <w:r w:rsidRPr="00A03B67">
        <w:rPr>
          <w:i/>
        </w:rPr>
        <w:t>Transport Workers’ Union of Australia</w:t>
      </w:r>
      <w:r w:rsidRPr="00A03B67">
        <w:rPr>
          <w:i/>
          <w:iCs/>
        </w:rPr>
        <w:t xml:space="preserve"> </w:t>
      </w:r>
      <w:r w:rsidRPr="00A03B67">
        <w:rPr>
          <w:i/>
        </w:rPr>
        <w:t>v</w:t>
      </w:r>
      <w:r w:rsidRPr="00A03B67">
        <w:rPr>
          <w:i/>
          <w:iCs/>
        </w:rPr>
        <w:t xml:space="preserve"> </w:t>
      </w:r>
      <w:r w:rsidRPr="00A03B67">
        <w:rPr>
          <w:i/>
        </w:rPr>
        <w:t>Cleanaway Operations Pty Ltd</w:t>
      </w:r>
      <w:r w:rsidRPr="00A03B67">
        <w:t xml:space="preserve"> [2024] FWC 91.</w:t>
      </w:r>
    </w:p>
  </w:footnote>
  <w:footnote w:id="626">
    <w:p w14:paraId="4267BE67" w14:textId="2C31FD3D" w:rsidR="00924664" w:rsidRPr="00A03B67" w:rsidRDefault="00924664" w:rsidP="00924664">
      <w:pPr>
        <w:pStyle w:val="FootnoteText"/>
      </w:pPr>
      <w:r w:rsidRPr="00A03B67">
        <w:rPr>
          <w:rStyle w:val="FootnoteReference"/>
        </w:rPr>
        <w:footnoteRef/>
      </w:r>
      <w:r w:rsidRPr="00A03B67">
        <w:t xml:space="preserve"> </w:t>
      </w:r>
      <w:r w:rsidRPr="00A03B67">
        <w:rPr>
          <w:i/>
          <w:iCs/>
          <w:lang w:val="en-US"/>
        </w:rPr>
        <w:t xml:space="preserve">Transport Workers’ Union of Australia v Cleanaway Operations Pty Ltd T/A Cleanaway Operations Pty Ltd </w:t>
      </w:r>
      <w:r w:rsidRPr="00A03B67">
        <w:rPr>
          <w:lang w:val="en-US"/>
        </w:rPr>
        <w:t xml:space="preserve">(Erksine) </w:t>
      </w:r>
      <w:r w:rsidRPr="00A03B67">
        <w:t>[2024] FWCFB 287</w:t>
      </w:r>
      <w:r w:rsidRPr="00A03B67">
        <w:rPr>
          <w:lang w:val="en-US"/>
        </w:rPr>
        <w:t xml:space="preserve"> [22].</w:t>
      </w:r>
    </w:p>
  </w:footnote>
  <w:footnote w:id="627">
    <w:p w14:paraId="21005E78" w14:textId="727AC913" w:rsidR="00924664" w:rsidRPr="00A03B67" w:rsidRDefault="00924664" w:rsidP="00924664">
      <w:pPr>
        <w:pStyle w:val="FootnoteText"/>
      </w:pPr>
      <w:r w:rsidRPr="00A03B67">
        <w:rPr>
          <w:rStyle w:val="FootnoteReference"/>
        </w:rPr>
        <w:footnoteRef/>
      </w:r>
      <w:r w:rsidRPr="00A03B67">
        <w:t xml:space="preserve"> </w:t>
      </w:r>
      <w:r w:rsidRPr="00A03B67">
        <w:rPr>
          <w:i/>
          <w:iCs/>
          <w:lang w:val="en-US"/>
        </w:rPr>
        <w:t xml:space="preserve">Transport Workers’ Union of Australia v Cleanaway Operations Pty Ltd T/A Cleanaway Operations Pty Ltd </w:t>
      </w:r>
      <w:r w:rsidRPr="00A03B67">
        <w:rPr>
          <w:lang w:val="en-US"/>
        </w:rPr>
        <w:t xml:space="preserve">(Unaderra) </w:t>
      </w:r>
      <w:r w:rsidRPr="00A03B67">
        <w:t>[2024] FWCFB 287</w:t>
      </w:r>
      <w:r w:rsidRPr="00A03B67">
        <w:rPr>
          <w:b/>
          <w:bCs/>
          <w:lang w:val="en-US"/>
        </w:rPr>
        <w:t xml:space="preserve"> </w:t>
      </w:r>
      <w:r w:rsidRPr="00A03B67">
        <w:rPr>
          <w:lang w:val="en-US"/>
        </w:rPr>
        <w:t>[170].</w:t>
      </w:r>
    </w:p>
  </w:footnote>
  <w:footnote w:id="628">
    <w:p w14:paraId="2634EE66" w14:textId="56F5F3EC" w:rsidR="00924664" w:rsidRPr="00A03B67" w:rsidRDefault="00924664" w:rsidP="00924664">
      <w:pPr>
        <w:pStyle w:val="FootnoteText"/>
      </w:pPr>
      <w:r w:rsidRPr="00A03B67">
        <w:rPr>
          <w:rStyle w:val="FootnoteReference"/>
        </w:rPr>
        <w:footnoteRef/>
      </w:r>
      <w:r w:rsidRPr="00A03B67">
        <w:t xml:space="preserve"> </w:t>
      </w:r>
      <w:r w:rsidRPr="00A03B67">
        <w:rPr>
          <w:i/>
          <w:iCs/>
          <w:lang w:val="en-US"/>
        </w:rPr>
        <w:t xml:space="preserve">Transport Workers’ Union of Australia v Cleanaway Operations Pty Ltd T/A Cleanaway Operations Pty Ltd </w:t>
      </w:r>
      <w:r w:rsidRPr="00A03B67">
        <w:rPr>
          <w:lang w:val="en-US"/>
        </w:rPr>
        <w:t xml:space="preserve">(Unaderra) </w:t>
      </w:r>
      <w:r w:rsidRPr="00A03B67">
        <w:t>[2024] FWCFB 287</w:t>
      </w:r>
      <w:r w:rsidRPr="00A03B67">
        <w:rPr>
          <w:b/>
          <w:bCs/>
          <w:lang w:val="en-US"/>
        </w:rPr>
        <w:t xml:space="preserve"> </w:t>
      </w:r>
      <w:r w:rsidRPr="00A03B67">
        <w:rPr>
          <w:lang w:val="en-US"/>
        </w:rPr>
        <w:t>[206].</w:t>
      </w:r>
    </w:p>
  </w:footnote>
  <w:footnote w:id="629">
    <w:p w14:paraId="57AA797F" w14:textId="72121957" w:rsidR="00924664" w:rsidRPr="00A03B67" w:rsidRDefault="00924664" w:rsidP="00924664">
      <w:pPr>
        <w:pStyle w:val="FootnoteText"/>
      </w:pPr>
      <w:r w:rsidRPr="00A03B67">
        <w:rPr>
          <w:rStyle w:val="FootnoteReference"/>
        </w:rPr>
        <w:footnoteRef/>
      </w:r>
      <w:r w:rsidRPr="00A03B67">
        <w:t xml:space="preserve"> </w:t>
      </w:r>
      <w:r w:rsidRPr="00A03B67">
        <w:rPr>
          <w:i/>
          <w:iCs/>
          <w:lang w:val="en-US"/>
        </w:rPr>
        <w:t xml:space="preserve">Transport Workers’ Union of Australia v Cleanaway Operations Pty Ltd T/A Cleanaway Operations Pty Ltd </w:t>
      </w:r>
      <w:r w:rsidRPr="00A03B67">
        <w:rPr>
          <w:lang w:val="en-US"/>
        </w:rPr>
        <w:t xml:space="preserve">(Unaderra) </w:t>
      </w:r>
      <w:r w:rsidRPr="00A03B67">
        <w:t>[2024] FWCFB 287</w:t>
      </w:r>
      <w:r w:rsidRPr="00A03B67">
        <w:rPr>
          <w:b/>
          <w:bCs/>
          <w:lang w:val="en-US"/>
        </w:rPr>
        <w:t xml:space="preserve"> </w:t>
      </w:r>
      <w:r w:rsidRPr="00A03B67">
        <w:rPr>
          <w:lang w:val="en-US"/>
        </w:rPr>
        <w:t>[236].</w:t>
      </w:r>
    </w:p>
  </w:footnote>
  <w:footnote w:id="630">
    <w:p w14:paraId="4203F10D" w14:textId="3B630EEC" w:rsidR="00924664" w:rsidRPr="00A03B67" w:rsidRDefault="00924664" w:rsidP="00924664">
      <w:pPr>
        <w:pStyle w:val="FootnoteText"/>
      </w:pPr>
      <w:r w:rsidRPr="00A03B67">
        <w:rPr>
          <w:rStyle w:val="FootnoteReference"/>
        </w:rPr>
        <w:footnoteRef/>
      </w:r>
      <w:r w:rsidRPr="00A03B67">
        <w:t xml:space="preserve"> </w:t>
      </w:r>
      <w:r w:rsidRPr="00A03B67">
        <w:rPr>
          <w:i/>
          <w:iCs/>
          <w:lang w:val="en-US"/>
        </w:rPr>
        <w:t>Application by Transport Workers</w:t>
      </w:r>
      <w:r w:rsidR="00984B47">
        <w:rPr>
          <w:i/>
          <w:iCs/>
          <w:lang w:val="en-US"/>
        </w:rPr>
        <w:t>’</w:t>
      </w:r>
      <w:r w:rsidRPr="00A03B67">
        <w:rPr>
          <w:i/>
          <w:iCs/>
          <w:lang w:val="en-US"/>
        </w:rPr>
        <w:t xml:space="preserve"> Union of Australia</w:t>
      </w:r>
      <w:r w:rsidRPr="00A03B67">
        <w:rPr>
          <w:lang w:val="en-US"/>
        </w:rPr>
        <w:t xml:space="preserve"> (179V) [2024] FWCFB 287, [205].</w:t>
      </w:r>
    </w:p>
  </w:footnote>
  <w:footnote w:id="631">
    <w:p w14:paraId="2C43597D" w14:textId="77777777" w:rsidR="00924664" w:rsidRPr="00A03B67" w:rsidRDefault="00924664" w:rsidP="00924664">
      <w:pPr>
        <w:pStyle w:val="FootnoteText"/>
      </w:pPr>
      <w:r w:rsidRPr="00A03B67">
        <w:rPr>
          <w:rStyle w:val="FootnoteReference"/>
        </w:rPr>
        <w:footnoteRef/>
      </w:r>
      <w:r w:rsidRPr="00A03B67">
        <w:t xml:space="preserve"> [2024] FWCFB 305.</w:t>
      </w:r>
    </w:p>
  </w:footnote>
  <w:footnote w:id="632">
    <w:p w14:paraId="2ECCDB1D" w14:textId="3ADF8C8C" w:rsidR="00924664" w:rsidRPr="00A03B67" w:rsidRDefault="00924664" w:rsidP="00924664">
      <w:pPr>
        <w:pStyle w:val="FootnoteText"/>
      </w:pPr>
      <w:r w:rsidRPr="00A03B67">
        <w:rPr>
          <w:rStyle w:val="FootnoteReference"/>
        </w:rPr>
        <w:footnoteRef/>
      </w:r>
      <w:r w:rsidRPr="00A03B67">
        <w:t xml:space="preserve"> </w:t>
      </w:r>
      <w:r w:rsidRPr="00A03B67">
        <w:rPr>
          <w:i/>
          <w:iCs/>
          <w:lang w:val="en-US"/>
        </w:rPr>
        <w:t xml:space="preserve">Transport Workers’ Union of Australia v Cleanaway Operations Pty Ltd T/A Cleanaway Operations Pty Ltd </w:t>
      </w:r>
      <w:r w:rsidRPr="00A03B67">
        <w:rPr>
          <w:lang w:val="en-US"/>
        </w:rPr>
        <w:t xml:space="preserve">(Unaderra) </w:t>
      </w:r>
      <w:r w:rsidRPr="00A03B67">
        <w:t>[2024] FWCFB 305</w:t>
      </w:r>
      <w:r w:rsidRPr="00A03B67">
        <w:rPr>
          <w:b/>
          <w:bCs/>
          <w:lang w:val="en-US"/>
        </w:rPr>
        <w:t xml:space="preserve"> </w:t>
      </w:r>
      <w:r w:rsidRPr="00A03B67">
        <w:rPr>
          <w:lang w:val="en-US"/>
        </w:rPr>
        <w:t>[9].</w:t>
      </w:r>
    </w:p>
  </w:footnote>
  <w:footnote w:id="633">
    <w:p w14:paraId="03FEC50D" w14:textId="44225FAE" w:rsidR="00924664" w:rsidRPr="00A03B67" w:rsidRDefault="00924664" w:rsidP="00924664">
      <w:pPr>
        <w:pStyle w:val="FootnoteText"/>
      </w:pPr>
      <w:r w:rsidRPr="00A03B67">
        <w:rPr>
          <w:rStyle w:val="FootnoteReference"/>
        </w:rPr>
        <w:footnoteRef/>
      </w:r>
      <w:r w:rsidRPr="00A03B67">
        <w:t xml:space="preserve"> </w:t>
      </w:r>
      <w:r w:rsidRPr="00A03B67">
        <w:rPr>
          <w:i/>
          <w:iCs/>
          <w:lang w:val="en-US"/>
        </w:rPr>
        <w:t xml:space="preserve">Transport Workers’ Union of Australia v Cleanaway Operations Pty Ltd T/A Cleanaway Operations Pty Ltd </w:t>
      </w:r>
      <w:r w:rsidRPr="00A03B67">
        <w:rPr>
          <w:lang w:val="en-US"/>
        </w:rPr>
        <w:t xml:space="preserve">(Unaderra) </w:t>
      </w:r>
      <w:r w:rsidRPr="00A03B67">
        <w:t>[2024] FWCFB 305</w:t>
      </w:r>
      <w:r w:rsidRPr="00A03B67">
        <w:rPr>
          <w:b/>
          <w:bCs/>
          <w:lang w:val="en-US"/>
        </w:rPr>
        <w:t xml:space="preserve"> </w:t>
      </w:r>
      <w:r w:rsidRPr="00A03B67">
        <w:rPr>
          <w:lang w:val="en-US"/>
        </w:rPr>
        <w:t>[137].</w:t>
      </w:r>
    </w:p>
  </w:footnote>
  <w:footnote w:id="634">
    <w:p w14:paraId="5FDA2B35" w14:textId="4A525D88" w:rsidR="00924664" w:rsidRPr="00A03B67" w:rsidRDefault="00924664" w:rsidP="00924664">
      <w:pPr>
        <w:pStyle w:val="FootnoteText"/>
      </w:pPr>
      <w:r w:rsidRPr="00A03B67">
        <w:rPr>
          <w:rStyle w:val="FootnoteReference"/>
        </w:rPr>
        <w:footnoteRef/>
      </w:r>
      <w:r w:rsidRPr="00A03B67">
        <w:t xml:space="preserve"> </w:t>
      </w:r>
      <w:r w:rsidRPr="00A03B67">
        <w:rPr>
          <w:i/>
          <w:iCs/>
          <w:lang w:val="en-US"/>
        </w:rPr>
        <w:t xml:space="preserve">Transport Workers’ Union of Australia v Cleanaway Operations Pty Ltd T/A Cleanaway Operations Pty Ltd </w:t>
      </w:r>
      <w:r w:rsidRPr="00A03B67">
        <w:rPr>
          <w:lang w:val="en-US"/>
        </w:rPr>
        <w:t xml:space="preserve">(Unaderra) </w:t>
      </w:r>
      <w:r w:rsidRPr="00A03B67">
        <w:t>[2024] FWCFB 305</w:t>
      </w:r>
      <w:r w:rsidRPr="00A03B67">
        <w:rPr>
          <w:b/>
          <w:bCs/>
          <w:lang w:val="en-US"/>
        </w:rPr>
        <w:t xml:space="preserve"> </w:t>
      </w:r>
      <w:r w:rsidRPr="00A03B67">
        <w:rPr>
          <w:lang w:val="en-US"/>
        </w:rPr>
        <w:t>[139].</w:t>
      </w:r>
    </w:p>
  </w:footnote>
  <w:footnote w:id="635">
    <w:p w14:paraId="4FB885E4" w14:textId="0D71F0EA" w:rsidR="00924664" w:rsidRPr="00A03B67" w:rsidRDefault="00924664" w:rsidP="00924664">
      <w:pPr>
        <w:pStyle w:val="FootnoteText"/>
      </w:pPr>
      <w:r w:rsidRPr="00A03B67">
        <w:rPr>
          <w:rStyle w:val="FootnoteReference"/>
        </w:rPr>
        <w:footnoteRef/>
      </w:r>
      <w:r w:rsidRPr="00A03B67">
        <w:t xml:space="preserve"> </w:t>
      </w:r>
      <w:r w:rsidRPr="00A03B67">
        <w:rPr>
          <w:i/>
          <w:iCs/>
          <w:lang w:val="en-US"/>
        </w:rPr>
        <w:t xml:space="preserve">Transport Workers’ Union of Australia v Cleanaway Operations Pty Ltd T/A Cleanaway Operations Pty Ltd </w:t>
      </w:r>
      <w:r w:rsidRPr="00A03B67">
        <w:rPr>
          <w:lang w:val="en-US"/>
        </w:rPr>
        <w:t xml:space="preserve">(Unaderra) </w:t>
      </w:r>
      <w:r w:rsidRPr="00A03B67">
        <w:t>[2024] FWCFB 305</w:t>
      </w:r>
      <w:r w:rsidRPr="00A03B67">
        <w:rPr>
          <w:b/>
          <w:bCs/>
          <w:lang w:val="en-US"/>
        </w:rPr>
        <w:t xml:space="preserve"> </w:t>
      </w:r>
      <w:r w:rsidRPr="00A03B67">
        <w:rPr>
          <w:lang w:val="en-US"/>
        </w:rPr>
        <w:t>[175].</w:t>
      </w:r>
    </w:p>
  </w:footnote>
  <w:footnote w:id="636">
    <w:p w14:paraId="74F55C68" w14:textId="77777777" w:rsidR="00924664" w:rsidRPr="00A03B67" w:rsidRDefault="00924664" w:rsidP="00924664">
      <w:pPr>
        <w:pStyle w:val="FootnoteText"/>
      </w:pPr>
      <w:r w:rsidRPr="00A03B67">
        <w:rPr>
          <w:rStyle w:val="FootnoteReference"/>
        </w:rPr>
        <w:footnoteRef/>
      </w:r>
      <w:r w:rsidRPr="00A03B67">
        <w:t xml:space="preserve"> Application by Virgin Australia Regional Airlines Pty Ltd t/as Virgin Australia Regional Airlines (VARA). VARA Outline of Submissions, [4], [14].</w:t>
      </w:r>
    </w:p>
  </w:footnote>
  <w:footnote w:id="637">
    <w:p w14:paraId="03E70728" w14:textId="77777777" w:rsidR="00924664" w:rsidRPr="00A03B67" w:rsidRDefault="00924664" w:rsidP="00924664">
      <w:pPr>
        <w:pStyle w:val="FootnoteText"/>
      </w:pPr>
      <w:r w:rsidRPr="00A03B67">
        <w:rPr>
          <w:rStyle w:val="FootnoteReference"/>
        </w:rPr>
        <w:footnoteRef/>
      </w:r>
      <w:r w:rsidRPr="00A03B67">
        <w:t xml:space="preserve"> Virgin Australia Regional Airlines – application for an intractable bargaining declaration (B2023/543). ALAEA Outline of Submissions, [8].</w:t>
      </w:r>
    </w:p>
  </w:footnote>
  <w:footnote w:id="638">
    <w:p w14:paraId="510A494B" w14:textId="77777777" w:rsidR="00924664" w:rsidRPr="00A03B67" w:rsidRDefault="00924664" w:rsidP="00924664">
      <w:pPr>
        <w:pStyle w:val="FootnoteText"/>
      </w:pPr>
      <w:r w:rsidRPr="00A03B67">
        <w:rPr>
          <w:rStyle w:val="FootnoteReference"/>
        </w:rPr>
        <w:footnoteRef/>
      </w:r>
      <w:r w:rsidRPr="00A03B67">
        <w:t xml:space="preserve"> Virgin Australia Regional Airlines – application for an intractable bargaining declaration (B2023/543), Correspondence – discontinuance and Commission’s reply 20 July 2023.</w:t>
      </w:r>
    </w:p>
  </w:footnote>
  <w:footnote w:id="639">
    <w:p w14:paraId="12AAB231" w14:textId="77777777" w:rsidR="00924664" w:rsidRPr="00A03B67" w:rsidRDefault="00924664" w:rsidP="00924664">
      <w:pPr>
        <w:pStyle w:val="FootnoteText"/>
      </w:pPr>
      <w:r w:rsidRPr="00A03B67">
        <w:rPr>
          <w:rStyle w:val="FootnoteReference"/>
        </w:rPr>
        <w:footnoteRef/>
      </w:r>
      <w:r w:rsidRPr="00A03B67">
        <w:t xml:space="preserve"> Virgin Australia Regional Airlines – application for an intractable bargaining declaration (B2023/543), Notice of listing – hearing cancelled 20 July 2023.</w:t>
      </w:r>
    </w:p>
  </w:footnote>
  <w:footnote w:id="640">
    <w:p w14:paraId="3982C383" w14:textId="6733FD9F" w:rsidR="00924664" w:rsidRPr="00A03B67" w:rsidRDefault="00924664" w:rsidP="00924664">
      <w:pPr>
        <w:pStyle w:val="FootnoteText"/>
      </w:pPr>
      <w:r w:rsidRPr="00A03B67">
        <w:rPr>
          <w:rStyle w:val="FootnoteReference"/>
        </w:rPr>
        <w:footnoteRef/>
      </w:r>
      <w:r w:rsidRPr="00A03B67">
        <w:t xml:space="preserve"> </w:t>
      </w:r>
      <w:r w:rsidRPr="00A03B67">
        <w:rPr>
          <w:i/>
          <w:iCs/>
        </w:rPr>
        <w:t>Virgin Australia Regional Airlines Aircraft Engineers (Western Australia) Enterprise Agreement 2023</w:t>
      </w:r>
      <w:r w:rsidRPr="00A03B67">
        <w:t xml:space="preserve"> [2023] FWCA 2946.</w:t>
      </w:r>
    </w:p>
  </w:footnote>
  <w:footnote w:id="641">
    <w:p w14:paraId="68935DE4" w14:textId="5737D05C" w:rsidR="00924664" w:rsidRPr="00A03B67" w:rsidRDefault="00924664" w:rsidP="00924664">
      <w:pPr>
        <w:pStyle w:val="FootnoteText"/>
      </w:pPr>
      <w:r w:rsidRPr="00A03B67">
        <w:rPr>
          <w:rStyle w:val="FootnoteReference"/>
        </w:rPr>
        <w:footnoteRef/>
      </w:r>
      <w:r w:rsidRPr="00A03B67">
        <w:t xml:space="preserve"> </w:t>
      </w:r>
      <w:r w:rsidR="00A95C2E">
        <w:t>Australian Council of Trade Unions (</w:t>
      </w:r>
      <w:r w:rsidRPr="00A03B67">
        <w:t>ACTU</w:t>
      </w:r>
      <w:r w:rsidR="00A95C2E">
        <w:t>)</w:t>
      </w:r>
      <w:r w:rsidRPr="00A03B67">
        <w:t xml:space="preserve"> submission, 86.</w:t>
      </w:r>
    </w:p>
  </w:footnote>
  <w:footnote w:id="642">
    <w:p w14:paraId="7885E3D8" w14:textId="77777777" w:rsidR="00924664" w:rsidRPr="00A03B67" w:rsidRDefault="00924664" w:rsidP="00924664">
      <w:pPr>
        <w:pStyle w:val="FootnoteText"/>
      </w:pPr>
      <w:r w:rsidRPr="00A03B67">
        <w:rPr>
          <w:rStyle w:val="FootnoteReference"/>
        </w:rPr>
        <w:footnoteRef/>
      </w:r>
      <w:r w:rsidRPr="00A03B67">
        <w:t xml:space="preserve"> ACTU submission, 86.</w:t>
      </w:r>
    </w:p>
  </w:footnote>
  <w:footnote w:id="643">
    <w:p w14:paraId="4382C483" w14:textId="65C794FA" w:rsidR="00924664" w:rsidRPr="00A03B67" w:rsidRDefault="00924664" w:rsidP="00924664">
      <w:pPr>
        <w:pStyle w:val="FootnoteText"/>
      </w:pPr>
      <w:r w:rsidRPr="00A03B67">
        <w:rPr>
          <w:rStyle w:val="FootnoteReference"/>
        </w:rPr>
        <w:footnoteRef/>
      </w:r>
      <w:r w:rsidRPr="00A03B67">
        <w:t xml:space="preserve"> </w:t>
      </w:r>
      <w:r w:rsidR="00A95C2E" w:rsidRPr="00A95C2E">
        <w:t xml:space="preserve">Independent Education Union </w:t>
      </w:r>
      <w:r w:rsidR="00A95C2E">
        <w:t>(</w:t>
      </w:r>
      <w:r w:rsidRPr="00A03B67">
        <w:t>IEU</w:t>
      </w:r>
      <w:r w:rsidR="00A95C2E">
        <w:t>)</w:t>
      </w:r>
      <w:r w:rsidRPr="00A03B67">
        <w:t xml:space="preserve"> submission, 5.</w:t>
      </w:r>
    </w:p>
  </w:footnote>
  <w:footnote w:id="644">
    <w:p w14:paraId="0AB9B6ED" w14:textId="3D9834A4" w:rsidR="00924664" w:rsidRPr="00A03B67" w:rsidRDefault="00924664" w:rsidP="00924664">
      <w:pPr>
        <w:pStyle w:val="FootnoteText"/>
      </w:pPr>
      <w:r w:rsidRPr="00A03B67">
        <w:rPr>
          <w:rStyle w:val="FootnoteReference"/>
        </w:rPr>
        <w:footnoteRef/>
      </w:r>
      <w:r w:rsidRPr="00A03B67">
        <w:t xml:space="preserve"> </w:t>
      </w:r>
      <w:r w:rsidR="00A95C2E" w:rsidRPr="00A95C2E">
        <w:t xml:space="preserve">Community and Public Sector Union </w:t>
      </w:r>
      <w:r w:rsidR="00A95C2E">
        <w:t>(</w:t>
      </w:r>
      <w:r w:rsidRPr="00A03B67">
        <w:t>CPSU</w:t>
      </w:r>
      <w:r w:rsidR="00A95C2E">
        <w:t>)</w:t>
      </w:r>
      <w:r w:rsidRPr="00A03B67">
        <w:t xml:space="preserve"> submission, 8.</w:t>
      </w:r>
    </w:p>
  </w:footnote>
  <w:footnote w:id="645">
    <w:p w14:paraId="11AB53B4" w14:textId="233ACF1E" w:rsidR="00924664" w:rsidRPr="00A03B67" w:rsidRDefault="00924664" w:rsidP="00924664">
      <w:pPr>
        <w:pStyle w:val="FootnoteText"/>
      </w:pPr>
      <w:r w:rsidRPr="00A03B67">
        <w:rPr>
          <w:rStyle w:val="FootnoteReference"/>
        </w:rPr>
        <w:footnoteRef/>
      </w:r>
      <w:r w:rsidRPr="00A03B67">
        <w:t xml:space="preserve"> </w:t>
      </w:r>
      <w:r w:rsidR="00A95C2E" w:rsidRPr="00A95C2E">
        <w:t xml:space="preserve">Australian Nursing and Midwifery Federation </w:t>
      </w:r>
      <w:r w:rsidR="00A95C2E">
        <w:t>(</w:t>
      </w:r>
      <w:r w:rsidRPr="00A03B67">
        <w:t>ANMF</w:t>
      </w:r>
      <w:r w:rsidR="00A95C2E">
        <w:t>)</w:t>
      </w:r>
      <w:r w:rsidRPr="00A03B67">
        <w:t xml:space="preserve"> submission, 9.</w:t>
      </w:r>
    </w:p>
  </w:footnote>
  <w:footnote w:id="646">
    <w:p w14:paraId="74B6DD4E" w14:textId="0BEE6A16" w:rsidR="00924664" w:rsidRPr="00A03B67" w:rsidRDefault="00924664" w:rsidP="00924664">
      <w:pPr>
        <w:pStyle w:val="FootnoteText"/>
      </w:pPr>
      <w:r w:rsidRPr="00A03B67">
        <w:rPr>
          <w:rStyle w:val="FootnoteReference"/>
        </w:rPr>
        <w:footnoteRef/>
      </w:r>
      <w:r w:rsidRPr="00A03B67">
        <w:t xml:space="preserve"> </w:t>
      </w:r>
      <w:r w:rsidR="00A95C2E">
        <w:t>United Workers Union (</w:t>
      </w:r>
      <w:r w:rsidRPr="00A03B67">
        <w:t>UWU</w:t>
      </w:r>
      <w:r w:rsidR="00A95C2E">
        <w:t>)</w:t>
      </w:r>
      <w:r w:rsidRPr="00A03B67">
        <w:t xml:space="preserve"> submission, 33.</w:t>
      </w:r>
    </w:p>
  </w:footnote>
  <w:footnote w:id="647">
    <w:p w14:paraId="2654ED07" w14:textId="1A3B0422" w:rsidR="00924664" w:rsidRPr="00A03B67" w:rsidRDefault="00924664" w:rsidP="00924664">
      <w:pPr>
        <w:pStyle w:val="FootnoteText"/>
      </w:pPr>
      <w:r w:rsidRPr="00A03B67">
        <w:rPr>
          <w:rStyle w:val="FootnoteReference"/>
        </w:rPr>
        <w:footnoteRef/>
      </w:r>
      <w:r w:rsidRPr="00A03B67">
        <w:t xml:space="preserve"> </w:t>
      </w:r>
      <w:r w:rsidR="00A95C2E">
        <w:t>Electrical Trades Union (</w:t>
      </w:r>
      <w:r w:rsidRPr="00A03B67">
        <w:t>ETU</w:t>
      </w:r>
      <w:r w:rsidR="00A95C2E">
        <w:t>)</w:t>
      </w:r>
      <w:r w:rsidRPr="00A03B67">
        <w:t xml:space="preserve"> submission, [7].</w:t>
      </w:r>
    </w:p>
  </w:footnote>
  <w:footnote w:id="648">
    <w:p w14:paraId="2315EA67" w14:textId="2BD69CC3" w:rsidR="00924664" w:rsidRPr="00A03B67" w:rsidRDefault="00924664" w:rsidP="00924664">
      <w:pPr>
        <w:pStyle w:val="FootnoteText"/>
      </w:pPr>
      <w:r w:rsidRPr="00A03B67">
        <w:rPr>
          <w:rStyle w:val="FootnoteReference"/>
        </w:rPr>
        <w:footnoteRef/>
      </w:r>
      <w:r w:rsidRPr="00A03B67">
        <w:t xml:space="preserve"> Chamber of Minerals &amp; Energy of Western Australia </w:t>
      </w:r>
      <w:r w:rsidR="0035293E">
        <w:t xml:space="preserve">(CMEWA) </w:t>
      </w:r>
      <w:r w:rsidRPr="00A03B67">
        <w:t xml:space="preserve">submission, 4; </w:t>
      </w:r>
      <w:r w:rsidR="0035293E">
        <w:t>Master Builders Association (</w:t>
      </w:r>
      <w:r w:rsidRPr="00A03B67">
        <w:t>MBA</w:t>
      </w:r>
      <w:r w:rsidR="0035293E">
        <w:t>)</w:t>
      </w:r>
      <w:r w:rsidRPr="00A03B67">
        <w:t xml:space="preserve"> submission, 19</w:t>
      </w:r>
      <w:r w:rsidRPr="00A03B67">
        <w:rPr>
          <w:rFonts w:ascii="Symbol" w:eastAsia="Symbol" w:hAnsi="Symbol" w:cs="Symbol"/>
        </w:rPr>
        <w:t>-</w:t>
      </w:r>
      <w:r w:rsidRPr="00A03B67">
        <w:t>20; Whitehaven Coal submission, 7.</w:t>
      </w:r>
    </w:p>
  </w:footnote>
  <w:footnote w:id="649">
    <w:p w14:paraId="1ACE487D" w14:textId="4B96200D" w:rsidR="00924664" w:rsidRPr="00A03B67" w:rsidRDefault="00924664" w:rsidP="00924664">
      <w:pPr>
        <w:pStyle w:val="FootnoteText"/>
      </w:pPr>
      <w:r w:rsidRPr="00A03B67">
        <w:rPr>
          <w:rStyle w:val="FootnoteReference"/>
        </w:rPr>
        <w:footnoteRef/>
      </w:r>
      <w:r w:rsidRPr="00A03B67">
        <w:t xml:space="preserve"> </w:t>
      </w:r>
      <w:r w:rsidR="0035293E">
        <w:t>Australian Chamber of Commerce and Industry (</w:t>
      </w:r>
      <w:r w:rsidRPr="00A03B67">
        <w:t>ACCI</w:t>
      </w:r>
      <w:r w:rsidR="0035293E">
        <w:t>)</w:t>
      </w:r>
      <w:r w:rsidRPr="00A03B67">
        <w:t xml:space="preserve"> submission, 34.</w:t>
      </w:r>
    </w:p>
  </w:footnote>
  <w:footnote w:id="650">
    <w:p w14:paraId="76BF996E" w14:textId="2D1FB4AC" w:rsidR="00924664" w:rsidRPr="00A03B67" w:rsidRDefault="00924664" w:rsidP="00924664">
      <w:pPr>
        <w:pStyle w:val="FootnoteText"/>
      </w:pPr>
      <w:r w:rsidRPr="00A03B67">
        <w:rPr>
          <w:rStyle w:val="FootnoteReference"/>
        </w:rPr>
        <w:footnoteRef/>
      </w:r>
      <w:r w:rsidRPr="00A03B67">
        <w:t xml:space="preserve"> A</w:t>
      </w:r>
      <w:r w:rsidR="0035293E">
        <w:t>i</w:t>
      </w:r>
      <w:r w:rsidRPr="00A03B67">
        <w:t xml:space="preserve"> Group submission, 31.</w:t>
      </w:r>
    </w:p>
  </w:footnote>
  <w:footnote w:id="651">
    <w:p w14:paraId="2F6E0FBE" w14:textId="52D1DA94" w:rsidR="00924664" w:rsidRPr="00A03B67" w:rsidRDefault="00924664" w:rsidP="00924664">
      <w:pPr>
        <w:pStyle w:val="FootnoteText"/>
      </w:pPr>
      <w:r w:rsidRPr="00A03B67">
        <w:rPr>
          <w:rStyle w:val="FootnoteReference"/>
        </w:rPr>
        <w:footnoteRef/>
      </w:r>
      <w:r w:rsidRPr="00A03B67">
        <w:t xml:space="preserve"> </w:t>
      </w:r>
      <w:r w:rsidR="0035293E">
        <w:t>Business Council of Australia (</w:t>
      </w:r>
      <w:r w:rsidRPr="00A03B67">
        <w:t>BCA</w:t>
      </w:r>
      <w:r w:rsidR="0035293E">
        <w:t>)</w:t>
      </w:r>
      <w:r w:rsidRPr="00A03B67">
        <w:t xml:space="preserve"> submission, 13.</w:t>
      </w:r>
    </w:p>
  </w:footnote>
  <w:footnote w:id="652">
    <w:p w14:paraId="2C5EAC63" w14:textId="6A099FB5" w:rsidR="00924664" w:rsidRPr="00A03B67" w:rsidRDefault="00924664" w:rsidP="00924664">
      <w:pPr>
        <w:pStyle w:val="FootnoteText"/>
      </w:pPr>
      <w:r w:rsidRPr="00A03B67">
        <w:rPr>
          <w:rStyle w:val="FootnoteReference"/>
        </w:rPr>
        <w:footnoteRef/>
      </w:r>
      <w:r w:rsidRPr="00A03B67">
        <w:t xml:space="preserve"> </w:t>
      </w:r>
      <w:r w:rsidR="0035293E" w:rsidRPr="0035293E">
        <w:t xml:space="preserve">Chamber of Commerce and Industry of Western Australia </w:t>
      </w:r>
      <w:r w:rsidR="0035293E">
        <w:t>(</w:t>
      </w:r>
      <w:r w:rsidRPr="00A03B67">
        <w:t>CCIWA</w:t>
      </w:r>
      <w:r w:rsidR="0035293E">
        <w:t>)</w:t>
      </w:r>
      <w:r w:rsidRPr="00A03B67">
        <w:t xml:space="preserve"> submission, 10.</w:t>
      </w:r>
    </w:p>
  </w:footnote>
  <w:footnote w:id="653">
    <w:p w14:paraId="47082CED" w14:textId="1E0AA681" w:rsidR="00924664" w:rsidRPr="00A03B67" w:rsidRDefault="00924664" w:rsidP="00924664">
      <w:pPr>
        <w:pStyle w:val="FootnoteText"/>
      </w:pPr>
      <w:r w:rsidRPr="00A03B67">
        <w:rPr>
          <w:rStyle w:val="FootnoteReference"/>
        </w:rPr>
        <w:footnoteRef/>
      </w:r>
      <w:r w:rsidRPr="00A03B67">
        <w:t xml:space="preserve"> </w:t>
      </w:r>
      <w:r w:rsidR="0035293E" w:rsidRPr="0035293E">
        <w:t xml:space="preserve">Australian Resources &amp; Energy Employer Association </w:t>
      </w:r>
      <w:r w:rsidR="0035293E">
        <w:t>(</w:t>
      </w:r>
      <w:r w:rsidRPr="00A03B67">
        <w:t>AREEA</w:t>
      </w:r>
      <w:r w:rsidR="0035293E">
        <w:t>)</w:t>
      </w:r>
      <w:r w:rsidRPr="00A03B67">
        <w:t xml:space="preserve"> submission, 11.</w:t>
      </w:r>
    </w:p>
  </w:footnote>
  <w:footnote w:id="654">
    <w:p w14:paraId="1FB06D92" w14:textId="302D21D8" w:rsidR="00924664" w:rsidRPr="00A03B67" w:rsidRDefault="00924664" w:rsidP="00924664">
      <w:pPr>
        <w:pStyle w:val="FootnoteText"/>
      </w:pPr>
      <w:r w:rsidRPr="00A03B67">
        <w:rPr>
          <w:rStyle w:val="FootnoteReference"/>
        </w:rPr>
        <w:footnoteRef/>
      </w:r>
      <w:r w:rsidRPr="00A03B67">
        <w:t xml:space="preserve"> </w:t>
      </w:r>
      <w:r w:rsidR="0035293E" w:rsidRPr="0035293E">
        <w:t xml:space="preserve">Australian Higher Education Industrial Association </w:t>
      </w:r>
      <w:r w:rsidR="0035293E">
        <w:t>(</w:t>
      </w:r>
      <w:r w:rsidRPr="00A03B67">
        <w:t>AHEIA</w:t>
      </w:r>
      <w:r w:rsidR="0035293E">
        <w:t>)</w:t>
      </w:r>
      <w:r w:rsidRPr="00A03B67">
        <w:t xml:space="preserve"> submission, 13.</w:t>
      </w:r>
    </w:p>
  </w:footnote>
  <w:footnote w:id="655">
    <w:p w14:paraId="4E683BFA" w14:textId="3FC781EA" w:rsidR="00924664" w:rsidRPr="00A03B67" w:rsidRDefault="00924664" w:rsidP="00924664">
      <w:pPr>
        <w:pStyle w:val="FootnoteText"/>
      </w:pPr>
      <w:r w:rsidRPr="00A03B67">
        <w:rPr>
          <w:rStyle w:val="FootnoteReference"/>
        </w:rPr>
        <w:footnoteRef/>
      </w:r>
      <w:r w:rsidRPr="00A03B67">
        <w:t xml:space="preserve"> </w:t>
      </w:r>
      <w:r w:rsidR="0035293E">
        <w:t>Australian Retailers Association (</w:t>
      </w:r>
      <w:r w:rsidRPr="00A03B67">
        <w:t>ARA</w:t>
      </w:r>
      <w:r w:rsidR="0035293E">
        <w:t>)</w:t>
      </w:r>
      <w:r w:rsidRPr="00A03B67">
        <w:t xml:space="preserve"> submission, 6.</w:t>
      </w:r>
    </w:p>
  </w:footnote>
  <w:footnote w:id="656">
    <w:p w14:paraId="0FD1B9AB" w14:textId="77777777" w:rsidR="00924664" w:rsidRPr="00A03B67" w:rsidRDefault="00924664" w:rsidP="00924664">
      <w:pPr>
        <w:pStyle w:val="FootnoteText"/>
      </w:pPr>
      <w:r w:rsidRPr="00A03B67">
        <w:rPr>
          <w:rStyle w:val="FootnoteReference"/>
        </w:rPr>
        <w:footnoteRef/>
      </w:r>
      <w:r w:rsidRPr="00A03B67">
        <w:t xml:space="preserve"> Clubs Australia submission, 2.</w:t>
      </w:r>
    </w:p>
  </w:footnote>
  <w:footnote w:id="657">
    <w:p w14:paraId="7BCC9269" w14:textId="328C4007" w:rsidR="00924664" w:rsidRDefault="00924664" w:rsidP="00924664">
      <w:pPr>
        <w:pStyle w:val="FootnoteText"/>
      </w:pPr>
      <w:r>
        <w:rPr>
          <w:rStyle w:val="FootnoteReference"/>
        </w:rPr>
        <w:footnoteRef/>
      </w:r>
      <w:r>
        <w:t xml:space="preserve"> </w:t>
      </w:r>
      <w:r w:rsidR="0035293E" w:rsidRPr="0035293E">
        <w:t xml:space="preserve">Maritime Industry Australia Ltd </w:t>
      </w:r>
      <w:r w:rsidR="0035293E">
        <w:t>(</w:t>
      </w:r>
      <w:r>
        <w:t>MIAL</w:t>
      </w:r>
      <w:r w:rsidR="0035293E">
        <w:t>)</w:t>
      </w:r>
      <w:r>
        <w:t xml:space="preserve"> </w:t>
      </w:r>
      <w:r w:rsidR="00984B47">
        <w:t>s</w:t>
      </w:r>
      <w:r>
        <w:t>ubmission</w:t>
      </w:r>
      <w:r w:rsidRPr="00E4598A">
        <w:t xml:space="preserve"> </w:t>
      </w:r>
      <w:r>
        <w:t>in response to draft report, 5.</w:t>
      </w:r>
    </w:p>
  </w:footnote>
  <w:footnote w:id="658">
    <w:p w14:paraId="7219B64F" w14:textId="76DEBAFC" w:rsidR="00924664" w:rsidRDefault="00924664" w:rsidP="00924664">
      <w:pPr>
        <w:pStyle w:val="FootnoteText"/>
      </w:pPr>
      <w:r>
        <w:rPr>
          <w:rStyle w:val="FootnoteReference"/>
        </w:rPr>
        <w:footnoteRef/>
      </w:r>
      <w:r>
        <w:t xml:space="preserve"> ARA </w:t>
      </w:r>
      <w:r w:rsidR="00984B47">
        <w:t>s</w:t>
      </w:r>
      <w:r>
        <w:t>ubmission in response to draft report, 2.</w:t>
      </w:r>
    </w:p>
  </w:footnote>
  <w:footnote w:id="659">
    <w:p w14:paraId="5F73F1C1" w14:textId="59B83AC6" w:rsidR="00924664" w:rsidRDefault="00924664" w:rsidP="00924664">
      <w:pPr>
        <w:pStyle w:val="FootnoteText"/>
      </w:pPr>
      <w:r>
        <w:rPr>
          <w:rStyle w:val="FootnoteReference"/>
        </w:rPr>
        <w:footnoteRef/>
      </w:r>
      <w:r>
        <w:t xml:space="preserve"> AHEIA</w:t>
      </w:r>
      <w:r w:rsidRPr="00423FA3">
        <w:t xml:space="preserve"> </w:t>
      </w:r>
      <w:r w:rsidR="00984B47">
        <w:t>s</w:t>
      </w:r>
      <w:r>
        <w:t>ubmission</w:t>
      </w:r>
      <w:r w:rsidRPr="00E4598A">
        <w:t xml:space="preserve"> </w:t>
      </w:r>
      <w:r>
        <w:t>in response to draft report, 2.</w:t>
      </w:r>
    </w:p>
  </w:footnote>
  <w:footnote w:id="660">
    <w:p w14:paraId="7E0E5918" w14:textId="0BB3A70F" w:rsidR="00924664" w:rsidRDefault="00924664" w:rsidP="00924664">
      <w:pPr>
        <w:pStyle w:val="FootnoteText"/>
      </w:pPr>
      <w:r>
        <w:rPr>
          <w:rStyle w:val="FootnoteReference"/>
        </w:rPr>
        <w:footnoteRef/>
      </w:r>
      <w:r>
        <w:t xml:space="preserve"> </w:t>
      </w:r>
      <w:r w:rsidR="0035293E" w:rsidRPr="0035293E">
        <w:t xml:space="preserve">Minerals Council of Australia </w:t>
      </w:r>
      <w:r w:rsidR="0035293E">
        <w:t>(</w:t>
      </w:r>
      <w:r>
        <w:t>MCA</w:t>
      </w:r>
      <w:r w:rsidR="0035293E">
        <w:t>)</w:t>
      </w:r>
      <w:r>
        <w:t xml:space="preserve"> </w:t>
      </w:r>
      <w:r w:rsidR="00984B47">
        <w:t>s</w:t>
      </w:r>
      <w:r>
        <w:t>ubmission</w:t>
      </w:r>
      <w:r w:rsidRPr="00E4598A">
        <w:t xml:space="preserve"> </w:t>
      </w:r>
      <w:r>
        <w:t>in response to draft report, 8.</w:t>
      </w:r>
    </w:p>
  </w:footnote>
  <w:footnote w:id="661">
    <w:p w14:paraId="077CE1B6" w14:textId="7477734B" w:rsidR="00924664" w:rsidRDefault="00924664" w:rsidP="00924664">
      <w:pPr>
        <w:pStyle w:val="FootnoteText"/>
      </w:pPr>
      <w:r>
        <w:rPr>
          <w:rStyle w:val="FootnoteReference"/>
        </w:rPr>
        <w:footnoteRef/>
      </w:r>
      <w:r>
        <w:t xml:space="preserve"> </w:t>
      </w:r>
      <w:r w:rsidR="0035293E" w:rsidRPr="0035293E">
        <w:t xml:space="preserve">Chamber of Minerals and Energy </w:t>
      </w:r>
      <w:r w:rsidR="0035293E">
        <w:t>(</w:t>
      </w:r>
      <w:r>
        <w:t>CME</w:t>
      </w:r>
      <w:r w:rsidR="0035293E">
        <w:t>)</w:t>
      </w:r>
      <w:r>
        <w:t xml:space="preserve"> </w:t>
      </w:r>
      <w:r w:rsidR="00984B47">
        <w:t>s</w:t>
      </w:r>
      <w:r>
        <w:t>ubmission</w:t>
      </w:r>
      <w:r w:rsidRPr="00E4598A">
        <w:t xml:space="preserve"> </w:t>
      </w:r>
      <w:r>
        <w:t>in response to draft report, 3.</w:t>
      </w:r>
    </w:p>
  </w:footnote>
  <w:footnote w:id="662">
    <w:p w14:paraId="5CEBBD7C" w14:textId="528BC718" w:rsidR="00924664" w:rsidRDefault="00924664" w:rsidP="00924664">
      <w:pPr>
        <w:pStyle w:val="FootnoteText"/>
      </w:pPr>
      <w:r>
        <w:rPr>
          <w:rStyle w:val="FootnoteReference"/>
        </w:rPr>
        <w:footnoteRef/>
      </w:r>
      <w:r>
        <w:t xml:space="preserve"> AREEA </w:t>
      </w:r>
      <w:r w:rsidR="00984B47">
        <w:t>s</w:t>
      </w:r>
      <w:r>
        <w:t>ubmission</w:t>
      </w:r>
      <w:r w:rsidRPr="00E4598A">
        <w:t xml:space="preserve"> </w:t>
      </w:r>
      <w:r>
        <w:t>in response to draft report, 2.</w:t>
      </w:r>
    </w:p>
  </w:footnote>
  <w:footnote w:id="663">
    <w:p w14:paraId="5AD12AFE" w14:textId="5A8CB5D0" w:rsidR="00924664" w:rsidRDefault="00924664" w:rsidP="00924664">
      <w:pPr>
        <w:pStyle w:val="FootnoteText"/>
      </w:pPr>
      <w:r>
        <w:rPr>
          <w:rStyle w:val="FootnoteReference"/>
        </w:rPr>
        <w:footnoteRef/>
      </w:r>
      <w:r>
        <w:t xml:space="preserve"> ACCI </w:t>
      </w:r>
      <w:r w:rsidR="00984B47">
        <w:t>s</w:t>
      </w:r>
      <w:r>
        <w:t>ubmission</w:t>
      </w:r>
      <w:r w:rsidRPr="00E4598A">
        <w:t xml:space="preserve"> </w:t>
      </w:r>
      <w:r>
        <w:t>in response to draft report, 16.</w:t>
      </w:r>
    </w:p>
  </w:footnote>
  <w:footnote w:id="664">
    <w:p w14:paraId="256B3029" w14:textId="6327C44D" w:rsidR="00924664" w:rsidRDefault="00924664" w:rsidP="00924664">
      <w:pPr>
        <w:pStyle w:val="FootnoteText"/>
      </w:pPr>
      <w:r>
        <w:rPr>
          <w:rStyle w:val="FootnoteReference"/>
        </w:rPr>
        <w:footnoteRef/>
      </w:r>
      <w:r>
        <w:t xml:space="preserve"> AHEIA</w:t>
      </w:r>
      <w:r w:rsidRPr="00423FA3">
        <w:t xml:space="preserve"> </w:t>
      </w:r>
      <w:r w:rsidR="00984B47">
        <w:t>s</w:t>
      </w:r>
      <w:r>
        <w:t>ubmission</w:t>
      </w:r>
      <w:r w:rsidRPr="00E4598A">
        <w:t xml:space="preserve"> </w:t>
      </w:r>
      <w:r>
        <w:t>in response to draft report, 2.</w:t>
      </w:r>
    </w:p>
  </w:footnote>
  <w:footnote w:id="665">
    <w:p w14:paraId="1C235F3A" w14:textId="07A2B2B7" w:rsidR="00924664" w:rsidRDefault="00924664" w:rsidP="00924664">
      <w:pPr>
        <w:pStyle w:val="FootnoteText"/>
      </w:pPr>
      <w:r>
        <w:rPr>
          <w:rStyle w:val="FootnoteReference"/>
        </w:rPr>
        <w:footnoteRef/>
      </w:r>
      <w:r>
        <w:t xml:space="preserve"> Ai Group</w:t>
      </w:r>
      <w:r w:rsidRPr="00423FA3">
        <w:t xml:space="preserve"> </w:t>
      </w:r>
      <w:r w:rsidR="00984B47">
        <w:t>s</w:t>
      </w:r>
      <w:r>
        <w:t>ubmission</w:t>
      </w:r>
      <w:r w:rsidRPr="00E4598A">
        <w:t xml:space="preserve"> </w:t>
      </w:r>
      <w:r>
        <w:t>in response to draft report, 33.</w:t>
      </w:r>
    </w:p>
  </w:footnote>
  <w:footnote w:id="666">
    <w:p w14:paraId="1408EEBE" w14:textId="07AEC9CF" w:rsidR="00924664" w:rsidRDefault="00924664" w:rsidP="00924664">
      <w:pPr>
        <w:pStyle w:val="FootnoteText"/>
      </w:pPr>
      <w:r>
        <w:rPr>
          <w:rStyle w:val="FootnoteReference"/>
        </w:rPr>
        <w:footnoteRef/>
      </w:r>
      <w:r>
        <w:t xml:space="preserve"> Ai Group</w:t>
      </w:r>
      <w:r w:rsidRPr="00423FA3">
        <w:t xml:space="preserve"> </w:t>
      </w:r>
      <w:r w:rsidR="00984B47">
        <w:t>s</w:t>
      </w:r>
      <w:r>
        <w:t>ubmission</w:t>
      </w:r>
      <w:r w:rsidRPr="00E4598A">
        <w:t xml:space="preserve"> </w:t>
      </w:r>
      <w:r>
        <w:t>in response to draft report, 34.</w:t>
      </w:r>
    </w:p>
  </w:footnote>
  <w:footnote w:id="667">
    <w:p w14:paraId="35BBAB1E" w14:textId="03692B76" w:rsidR="00924664" w:rsidRDefault="00924664" w:rsidP="00924664">
      <w:pPr>
        <w:pStyle w:val="FootnoteText"/>
      </w:pPr>
      <w:r>
        <w:rPr>
          <w:rStyle w:val="FootnoteReference"/>
        </w:rPr>
        <w:footnoteRef/>
      </w:r>
      <w:r>
        <w:t xml:space="preserve"> </w:t>
      </w:r>
      <w:r w:rsidR="0035293E" w:rsidRPr="0035293E">
        <w:t xml:space="preserve">Australian Manufacturing Workers’ Union </w:t>
      </w:r>
      <w:r w:rsidR="0035293E">
        <w:t>(</w:t>
      </w:r>
      <w:r>
        <w:t>AMWU</w:t>
      </w:r>
      <w:r w:rsidR="0035293E">
        <w:t>)</w:t>
      </w:r>
      <w:r>
        <w:t xml:space="preserve"> </w:t>
      </w:r>
      <w:r w:rsidR="00984B47">
        <w:t>s</w:t>
      </w:r>
      <w:r>
        <w:t>ubmission</w:t>
      </w:r>
      <w:r w:rsidRPr="00E4598A">
        <w:t xml:space="preserve"> </w:t>
      </w:r>
      <w:r>
        <w:t>in response to draft report, 3</w:t>
      </w:r>
      <w:r w:rsidR="00984B47">
        <w:rPr>
          <w:rFonts w:ascii="Symbol" w:eastAsia="Symbol" w:hAnsi="Symbol" w:cs="Symbol"/>
        </w:rPr>
        <w:t>-</w:t>
      </w:r>
      <w:r>
        <w:t>4.</w:t>
      </w:r>
    </w:p>
  </w:footnote>
  <w:footnote w:id="668">
    <w:p w14:paraId="7BA06B4C" w14:textId="74B4F4FA" w:rsidR="00924664" w:rsidRDefault="00924664" w:rsidP="00924664">
      <w:pPr>
        <w:pStyle w:val="FootnoteText"/>
      </w:pPr>
      <w:r>
        <w:rPr>
          <w:rStyle w:val="FootnoteReference"/>
        </w:rPr>
        <w:footnoteRef/>
      </w:r>
      <w:r>
        <w:t xml:space="preserve"> UWU </w:t>
      </w:r>
      <w:r w:rsidR="00984B47">
        <w:t>s</w:t>
      </w:r>
      <w:r>
        <w:t>ubmission</w:t>
      </w:r>
      <w:r w:rsidRPr="00E4598A">
        <w:t xml:space="preserve"> </w:t>
      </w:r>
      <w:r>
        <w:t>in response to draft report, 6.</w:t>
      </w:r>
    </w:p>
  </w:footnote>
  <w:footnote w:id="669">
    <w:p w14:paraId="544134CD" w14:textId="5D2713FA" w:rsidR="00924664" w:rsidRDefault="00924664" w:rsidP="00924664">
      <w:pPr>
        <w:pStyle w:val="FootnoteText"/>
      </w:pPr>
      <w:r>
        <w:rPr>
          <w:rStyle w:val="FootnoteReference"/>
        </w:rPr>
        <w:footnoteRef/>
      </w:r>
      <w:r>
        <w:t xml:space="preserve"> ACTU </w:t>
      </w:r>
      <w:r w:rsidR="00984B47">
        <w:t>s</w:t>
      </w:r>
      <w:r>
        <w:t>ubmission</w:t>
      </w:r>
      <w:r w:rsidRPr="00E4598A">
        <w:t xml:space="preserve"> </w:t>
      </w:r>
      <w:r>
        <w:t>in response to draft report, 10.</w:t>
      </w:r>
    </w:p>
  </w:footnote>
  <w:footnote w:id="670">
    <w:p w14:paraId="64936F6B" w14:textId="3F365315" w:rsidR="00924664" w:rsidRDefault="00924664" w:rsidP="00924664">
      <w:pPr>
        <w:pStyle w:val="FootnoteText"/>
      </w:pPr>
      <w:r>
        <w:rPr>
          <w:rStyle w:val="FootnoteReference"/>
        </w:rPr>
        <w:footnoteRef/>
      </w:r>
      <w:r>
        <w:t xml:space="preserve"> </w:t>
      </w:r>
      <w:r w:rsidR="0035293E" w:rsidRPr="0035293E">
        <w:t xml:space="preserve">National Tertiary Education Union </w:t>
      </w:r>
      <w:r w:rsidR="0035293E">
        <w:t>(</w:t>
      </w:r>
      <w:r>
        <w:t>NTEU</w:t>
      </w:r>
      <w:r w:rsidR="0035293E">
        <w:t>)</w:t>
      </w:r>
      <w:r>
        <w:t xml:space="preserve"> </w:t>
      </w:r>
      <w:r w:rsidR="00984B47">
        <w:t>s</w:t>
      </w:r>
      <w:r>
        <w:t>ubmission</w:t>
      </w:r>
      <w:r w:rsidRPr="00E4598A">
        <w:t xml:space="preserve"> </w:t>
      </w:r>
      <w:r>
        <w:t>in response to draft report, 1.</w:t>
      </w:r>
    </w:p>
  </w:footnote>
  <w:footnote w:id="671">
    <w:p w14:paraId="114D7D4C" w14:textId="221E30BC" w:rsidR="003829FE" w:rsidRDefault="003829FE" w:rsidP="003829FE">
      <w:pPr>
        <w:pStyle w:val="FootnoteText"/>
      </w:pPr>
      <w:r>
        <w:rPr>
          <w:rStyle w:val="FootnoteReference"/>
        </w:rPr>
        <w:footnoteRef/>
      </w:r>
      <w:r>
        <w:t xml:space="preserve"> ACTU </w:t>
      </w:r>
      <w:r w:rsidR="00984B47">
        <w:t>s</w:t>
      </w:r>
      <w:r>
        <w:t>ubmission</w:t>
      </w:r>
      <w:r w:rsidRPr="00E4598A">
        <w:t xml:space="preserve"> </w:t>
      </w:r>
      <w:r>
        <w:t>in response to draft report, 10.</w:t>
      </w:r>
    </w:p>
  </w:footnote>
  <w:footnote w:id="672">
    <w:p w14:paraId="605773BE" w14:textId="2790A7E0" w:rsidR="00924664" w:rsidRPr="00A03B67" w:rsidRDefault="00924664" w:rsidP="00924664">
      <w:pPr>
        <w:pStyle w:val="FootnoteText"/>
      </w:pPr>
      <w:r w:rsidRPr="00A03B67">
        <w:rPr>
          <w:rStyle w:val="FootnoteReference"/>
        </w:rPr>
        <w:footnoteRef/>
      </w:r>
      <w:r w:rsidRPr="00A03B67">
        <w:rPr>
          <w:i/>
          <w:iCs/>
        </w:rPr>
        <w:t>Fair Work Act 2009</w:t>
      </w:r>
      <w:r w:rsidRPr="00A03B67">
        <w:t xml:space="preserve"> (Cth) ss</w:t>
      </w:r>
      <w:r>
        <w:t xml:space="preserve"> 409(6A), 411(3) and 413(5).</w:t>
      </w:r>
    </w:p>
  </w:footnote>
  <w:footnote w:id="673">
    <w:p w14:paraId="16003883" w14:textId="4127DD12" w:rsidR="00924664" w:rsidRPr="00A03B67" w:rsidRDefault="00924664" w:rsidP="00924664">
      <w:pPr>
        <w:pStyle w:val="FootnoteText"/>
      </w:pPr>
      <w:r w:rsidRPr="00A03B67">
        <w:rPr>
          <w:rStyle w:val="FootnoteReference"/>
        </w:rPr>
        <w:footnoteRef/>
      </w:r>
      <w:r w:rsidRPr="00A03B67">
        <w:t xml:space="preserve"> Revised Explanatory Memorandum, Fair Work Legislation Amendment (Closing Loopholes) Bill </w:t>
      </w:r>
      <w:r w:rsidR="00FA6D32" w:rsidRPr="00A03B67">
        <w:t>202</w:t>
      </w:r>
      <w:r w:rsidR="00FA6D32">
        <w:t>3</w:t>
      </w:r>
      <w:r w:rsidR="00984B47">
        <w:t>,</w:t>
      </w:r>
      <w:r w:rsidRPr="00A03B67">
        <w:t xml:space="preserve"> 1069</w:t>
      </w:r>
      <w:r w:rsidRPr="00A03B67">
        <w:rPr>
          <w:rFonts w:ascii="Symbol" w:eastAsia="Symbol" w:hAnsi="Symbol" w:cs="Symbol"/>
        </w:rPr>
        <w:t>-</w:t>
      </w:r>
      <w:r w:rsidRPr="00A03B67">
        <w:t>1070.</w:t>
      </w:r>
    </w:p>
  </w:footnote>
  <w:footnote w:id="674">
    <w:p w14:paraId="2184B011" w14:textId="7EE3B428" w:rsidR="00924664" w:rsidRPr="00A03B67" w:rsidRDefault="00924664" w:rsidP="00924664">
      <w:pPr>
        <w:pStyle w:val="FootnoteText"/>
      </w:pPr>
      <w:r w:rsidRPr="00A03B67">
        <w:rPr>
          <w:rStyle w:val="FootnoteReference"/>
        </w:rPr>
        <w:footnoteRef/>
      </w:r>
      <w:r w:rsidRPr="00A03B67">
        <w:t xml:space="preserve"> Revised Explanatory Memorandum, Fair Work Legislation Amendment (Secure Jobs, Better Pay) Bill 2022</w:t>
      </w:r>
      <w:r w:rsidR="00984B47">
        <w:t>,</w:t>
      </w:r>
      <w:r w:rsidRPr="00A03B67">
        <w:t xml:space="preserve"> xi.</w:t>
      </w:r>
    </w:p>
  </w:footnote>
  <w:footnote w:id="675">
    <w:p w14:paraId="7A6331AC"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 xml:space="preserve">CEPU v Nilsen (NSW) Pty Ltd </w:t>
      </w:r>
      <w:r w:rsidRPr="00A03B67">
        <w:t>[2023] FWCFB 134 [30].</w:t>
      </w:r>
    </w:p>
  </w:footnote>
  <w:footnote w:id="676">
    <w:p w14:paraId="4A7587D9"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 xml:space="preserve">CEPU v Nilsen (NSW) Pty Ltd </w:t>
      </w:r>
      <w:r w:rsidRPr="00A03B67">
        <w:t>[2023] FWCFB 134 [68].</w:t>
      </w:r>
    </w:p>
  </w:footnote>
  <w:footnote w:id="677">
    <w:p w14:paraId="19E96D1F" w14:textId="11E69554" w:rsidR="00924664" w:rsidRPr="00A03B67" w:rsidRDefault="00924664" w:rsidP="00924664">
      <w:pPr>
        <w:pStyle w:val="FootnoteText"/>
      </w:pPr>
      <w:r w:rsidRPr="00A03B67">
        <w:rPr>
          <w:rStyle w:val="FootnoteReference"/>
        </w:rPr>
        <w:footnoteRef/>
      </w:r>
      <w:r w:rsidRPr="00A03B67">
        <w:t xml:space="preserve"> Revised Explanatory Memorandum, Fair Work Legislation Amendment (Closing Loopholes No.1) Bill </w:t>
      </w:r>
      <w:r w:rsidR="003D07BC" w:rsidRPr="00A03B67">
        <w:t>202</w:t>
      </w:r>
      <w:r w:rsidR="003D07BC">
        <w:t>3</w:t>
      </w:r>
      <w:r w:rsidR="00984B47">
        <w:t>,</w:t>
      </w:r>
      <w:r w:rsidRPr="00A03B67">
        <w:t xml:space="preserve"> 1069</w:t>
      </w:r>
      <w:r w:rsidRPr="00A03B67">
        <w:rPr>
          <w:rFonts w:ascii="Symbol" w:eastAsia="Symbol" w:hAnsi="Symbol" w:cs="Symbol"/>
        </w:rPr>
        <w:t>-</w:t>
      </w:r>
      <w:r w:rsidRPr="00A03B67">
        <w:t>1070.</w:t>
      </w:r>
    </w:p>
  </w:footnote>
  <w:footnote w:id="678">
    <w:p w14:paraId="2B0BF735" w14:textId="77777777" w:rsidR="00924664" w:rsidRPr="00A03B67" w:rsidRDefault="00924664" w:rsidP="00924664">
      <w:pPr>
        <w:pStyle w:val="FootnoteText"/>
      </w:pPr>
      <w:r w:rsidRPr="00A03B67">
        <w:rPr>
          <w:rStyle w:val="FootnoteReference"/>
        </w:rPr>
        <w:footnoteRef/>
      </w:r>
      <w:r w:rsidRPr="00A03B67">
        <w:t xml:space="preserve"> Ai Group submission, 148.</w:t>
      </w:r>
    </w:p>
  </w:footnote>
  <w:footnote w:id="679">
    <w:p w14:paraId="051787E5" w14:textId="77777777" w:rsidR="00924664" w:rsidRPr="00A03B67" w:rsidRDefault="00924664" w:rsidP="00924664">
      <w:pPr>
        <w:pStyle w:val="FootnoteText"/>
      </w:pPr>
      <w:r w:rsidRPr="00A03B67">
        <w:rPr>
          <w:rStyle w:val="FootnoteReference"/>
        </w:rPr>
        <w:footnoteRef/>
      </w:r>
      <w:r w:rsidRPr="00A03B67">
        <w:t xml:space="preserve"> Ai Group submission, 148.</w:t>
      </w:r>
    </w:p>
  </w:footnote>
  <w:footnote w:id="680">
    <w:p w14:paraId="72C51549" w14:textId="0E180998" w:rsidR="00924664" w:rsidRPr="00A03B67" w:rsidRDefault="00924664" w:rsidP="00924664">
      <w:pPr>
        <w:pStyle w:val="FootnoteText"/>
      </w:pPr>
      <w:r w:rsidRPr="00A03B67">
        <w:rPr>
          <w:rStyle w:val="FootnoteReference"/>
        </w:rPr>
        <w:footnoteRef/>
      </w:r>
      <w:r w:rsidRPr="00A03B67">
        <w:t xml:space="preserve"> </w:t>
      </w:r>
      <w:r w:rsidR="0035293E">
        <w:t>Australian Chamber of Commerce and Industry (</w:t>
      </w:r>
      <w:r w:rsidRPr="00A03B67">
        <w:t>ACCI</w:t>
      </w:r>
      <w:r w:rsidR="0035293E">
        <w:t>)</w:t>
      </w:r>
      <w:r w:rsidRPr="00A03B67">
        <w:t xml:space="preserve"> submission, 88.</w:t>
      </w:r>
    </w:p>
  </w:footnote>
  <w:footnote w:id="681">
    <w:p w14:paraId="0DCE7B19" w14:textId="77777777" w:rsidR="00924664" w:rsidRPr="00A03B67" w:rsidRDefault="00924664" w:rsidP="00924664">
      <w:pPr>
        <w:pStyle w:val="FootnoteText"/>
      </w:pPr>
      <w:r w:rsidRPr="00A03B67">
        <w:rPr>
          <w:rStyle w:val="FootnoteReference"/>
        </w:rPr>
        <w:footnoteRef/>
      </w:r>
      <w:r w:rsidRPr="00A03B67">
        <w:t xml:space="preserve"> Ai Group submission, 149; ACCI submission, 88.</w:t>
      </w:r>
    </w:p>
  </w:footnote>
  <w:footnote w:id="682">
    <w:p w14:paraId="45551F03" w14:textId="34C8DD55" w:rsidR="00924664" w:rsidRPr="00A03B67" w:rsidRDefault="00924664" w:rsidP="00924664">
      <w:pPr>
        <w:pStyle w:val="FootnoteText"/>
      </w:pPr>
      <w:r w:rsidRPr="00A03B67">
        <w:rPr>
          <w:rStyle w:val="FootnoteReference"/>
        </w:rPr>
        <w:footnoteRef/>
      </w:r>
      <w:r w:rsidRPr="00A03B67">
        <w:t xml:space="preserve"> </w:t>
      </w:r>
      <w:r w:rsidR="0035293E" w:rsidRPr="0035293E">
        <w:t xml:space="preserve">Australian Resources &amp; Energy Employer Association </w:t>
      </w:r>
      <w:r w:rsidR="0035293E">
        <w:t>(</w:t>
      </w:r>
      <w:r w:rsidRPr="00A03B67">
        <w:t>AREEA</w:t>
      </w:r>
      <w:r w:rsidR="0035293E">
        <w:t>)</w:t>
      </w:r>
      <w:r w:rsidRPr="00A03B67">
        <w:t xml:space="preserve"> submission, [98].</w:t>
      </w:r>
    </w:p>
  </w:footnote>
  <w:footnote w:id="683">
    <w:p w14:paraId="6D938104" w14:textId="77777777" w:rsidR="00924664" w:rsidRPr="00A03B67" w:rsidRDefault="00924664" w:rsidP="00924664">
      <w:pPr>
        <w:pStyle w:val="FootnoteText"/>
      </w:pPr>
      <w:r w:rsidRPr="00A03B67">
        <w:rPr>
          <w:rStyle w:val="FootnoteReference"/>
        </w:rPr>
        <w:footnoteRef/>
      </w:r>
      <w:r w:rsidRPr="00A03B67">
        <w:t xml:space="preserve"> AREEA submission, [98].</w:t>
      </w:r>
    </w:p>
  </w:footnote>
  <w:footnote w:id="684">
    <w:p w14:paraId="4EC968DE" w14:textId="3B3B10D4" w:rsidR="00924664" w:rsidRPr="00A03B67" w:rsidRDefault="00924664" w:rsidP="00924664">
      <w:pPr>
        <w:pStyle w:val="FootnoteText"/>
      </w:pPr>
      <w:r w:rsidRPr="00A03B67">
        <w:rPr>
          <w:rStyle w:val="FootnoteReference"/>
        </w:rPr>
        <w:footnoteRef/>
      </w:r>
      <w:r w:rsidRPr="00A03B67">
        <w:t xml:space="preserve"> </w:t>
      </w:r>
      <w:r w:rsidR="0035293E" w:rsidRPr="0035293E">
        <w:t xml:space="preserve">Australian Nursing and Midwifery Federation </w:t>
      </w:r>
      <w:r w:rsidR="0035293E">
        <w:t>(</w:t>
      </w:r>
      <w:r w:rsidRPr="00A03B67">
        <w:t>ANMF</w:t>
      </w:r>
      <w:r w:rsidR="0035293E">
        <w:t>)</w:t>
      </w:r>
      <w:r w:rsidRPr="00A03B67">
        <w:t xml:space="preserve"> submission, [24]; </w:t>
      </w:r>
      <w:r w:rsidR="0035293E" w:rsidRPr="0035293E">
        <w:t xml:space="preserve">United Workers Union </w:t>
      </w:r>
      <w:r w:rsidR="0035293E">
        <w:t>(</w:t>
      </w:r>
      <w:r w:rsidRPr="00A03B67">
        <w:t>UWU</w:t>
      </w:r>
      <w:r w:rsidR="0035293E">
        <w:t>)</w:t>
      </w:r>
      <w:r w:rsidRPr="00A03B67">
        <w:t xml:space="preserve"> submission, 33.</w:t>
      </w:r>
    </w:p>
  </w:footnote>
  <w:footnote w:id="685">
    <w:p w14:paraId="1FC8F494" w14:textId="77777777" w:rsidR="00924664" w:rsidRPr="00A03B67" w:rsidRDefault="00924664" w:rsidP="00924664">
      <w:pPr>
        <w:pStyle w:val="FootnoteText"/>
      </w:pPr>
      <w:r w:rsidRPr="00A03B67">
        <w:rPr>
          <w:rStyle w:val="FootnoteReference"/>
        </w:rPr>
        <w:footnoteRef/>
      </w:r>
      <w:r w:rsidRPr="00A03B67">
        <w:t xml:space="preserve"> ANMF submission, [24].</w:t>
      </w:r>
    </w:p>
  </w:footnote>
  <w:footnote w:id="686">
    <w:p w14:paraId="7B5B82C4" w14:textId="77777777" w:rsidR="00924664" w:rsidRPr="00A03B67" w:rsidRDefault="00924664" w:rsidP="00924664">
      <w:pPr>
        <w:pStyle w:val="FootnoteText"/>
      </w:pPr>
      <w:r w:rsidRPr="00A03B67">
        <w:rPr>
          <w:rStyle w:val="FootnoteReference"/>
        </w:rPr>
        <w:footnoteRef/>
      </w:r>
      <w:r w:rsidRPr="00A03B67">
        <w:t xml:space="preserve"> UWU submission, 33.</w:t>
      </w:r>
    </w:p>
  </w:footnote>
  <w:footnote w:id="687">
    <w:p w14:paraId="00B49178" w14:textId="77777777" w:rsidR="00924664" w:rsidRPr="00A03B67" w:rsidRDefault="00924664" w:rsidP="00924664">
      <w:pPr>
        <w:pStyle w:val="FootnoteText"/>
      </w:pPr>
      <w:r w:rsidRPr="00A03B67">
        <w:rPr>
          <w:rStyle w:val="FootnoteReference"/>
        </w:rPr>
        <w:footnoteRef/>
      </w:r>
      <w:r w:rsidRPr="00A03B67">
        <w:t xml:space="preserve"> UWU submission, 34.</w:t>
      </w:r>
    </w:p>
  </w:footnote>
  <w:footnote w:id="688">
    <w:p w14:paraId="2A3D4A3D" w14:textId="2A7FFA4D" w:rsidR="00924664" w:rsidRPr="00A03B67" w:rsidRDefault="00924664" w:rsidP="00924664">
      <w:pPr>
        <w:pStyle w:val="FootnoteText"/>
      </w:pPr>
      <w:r w:rsidRPr="00A03B67">
        <w:rPr>
          <w:rStyle w:val="FootnoteReference"/>
        </w:rPr>
        <w:footnoteRef/>
      </w:r>
      <w:r w:rsidRPr="00A03B67">
        <w:t xml:space="preserve"> </w:t>
      </w:r>
      <w:r w:rsidR="0035293E">
        <w:t>Australian Workers’ Union (</w:t>
      </w:r>
      <w:r w:rsidRPr="00A03B67">
        <w:t>AWU</w:t>
      </w:r>
      <w:r w:rsidR="0035293E">
        <w:t>)</w:t>
      </w:r>
      <w:r w:rsidRPr="00A03B67">
        <w:t xml:space="preserve"> submission, 5</w:t>
      </w:r>
    </w:p>
  </w:footnote>
  <w:footnote w:id="689">
    <w:p w14:paraId="0C55CEFF" w14:textId="505F33EF" w:rsidR="00924664" w:rsidRPr="00A03B67" w:rsidRDefault="00924664" w:rsidP="00924664">
      <w:pPr>
        <w:pStyle w:val="FootnoteText"/>
      </w:pPr>
      <w:r w:rsidRPr="00984B47">
        <w:rPr>
          <w:rStyle w:val="FootnoteReference"/>
        </w:rPr>
        <w:footnoteRef/>
      </w:r>
      <w:r w:rsidRPr="00984B47">
        <w:t xml:space="preserve"> A Forsyth and S McCrystal, ‘Reforming Australian Bargaining and Strike Laws to Maximise Worker Power’</w:t>
      </w:r>
      <w:r w:rsidR="00984B47" w:rsidRPr="00984B47">
        <w:t xml:space="preserve"> (2023) 46(4) </w:t>
      </w:r>
      <w:r w:rsidR="00984B47" w:rsidRPr="00984B47">
        <w:rPr>
          <w:i/>
          <w:iCs/>
        </w:rPr>
        <w:t>UNSW Law Journal</w:t>
      </w:r>
      <w:r w:rsidR="00984B47" w:rsidRPr="00984B47">
        <w:t xml:space="preserve"> 1125</w:t>
      </w:r>
      <w:r w:rsidRPr="00984B47">
        <w:t>.</w:t>
      </w:r>
    </w:p>
  </w:footnote>
  <w:footnote w:id="690">
    <w:p w14:paraId="52F2BA88" w14:textId="73A0A2BD" w:rsidR="00924664" w:rsidRDefault="00924664" w:rsidP="00924664">
      <w:pPr>
        <w:pStyle w:val="FootnoteText"/>
      </w:pPr>
      <w:r>
        <w:rPr>
          <w:rStyle w:val="FootnoteReference"/>
        </w:rPr>
        <w:footnoteRef/>
      </w:r>
      <w:r>
        <w:t xml:space="preserve"> </w:t>
      </w:r>
      <w:r w:rsidR="0035293E" w:rsidRPr="0035293E">
        <w:t xml:space="preserve">Maritime Industry Australia Ltd </w:t>
      </w:r>
      <w:r w:rsidR="0035293E">
        <w:t>(</w:t>
      </w:r>
      <w:r>
        <w:t>MIA</w:t>
      </w:r>
      <w:r w:rsidR="0035293E">
        <w:t>L)</w:t>
      </w:r>
      <w:r>
        <w:t xml:space="preserve"> submission in response to draft report, 7; </w:t>
      </w:r>
      <w:r w:rsidR="0035293E">
        <w:t>Australian Chamber of Commerce and Industry (</w:t>
      </w:r>
      <w:r>
        <w:t>ACCI</w:t>
      </w:r>
      <w:r w:rsidR="0035293E">
        <w:t>)</w:t>
      </w:r>
      <w:r>
        <w:t xml:space="preserve"> submission</w:t>
      </w:r>
      <w:r w:rsidRPr="00F94D10">
        <w:t xml:space="preserve"> </w:t>
      </w:r>
      <w:r>
        <w:t>in response to draft report, 17; Ai Group submission</w:t>
      </w:r>
      <w:r w:rsidRPr="00F94D10">
        <w:t xml:space="preserve"> </w:t>
      </w:r>
      <w:r>
        <w:t>in response to draft report.</w:t>
      </w:r>
    </w:p>
  </w:footnote>
  <w:footnote w:id="691">
    <w:p w14:paraId="44EAC3D7" w14:textId="243FA666" w:rsidR="00924664" w:rsidRDefault="00924664" w:rsidP="00924664">
      <w:pPr>
        <w:pStyle w:val="FootnoteText"/>
      </w:pPr>
      <w:r>
        <w:rPr>
          <w:rStyle w:val="FootnoteReference"/>
        </w:rPr>
        <w:footnoteRef/>
      </w:r>
      <w:r>
        <w:t xml:space="preserve"> AWU submission</w:t>
      </w:r>
      <w:r w:rsidRPr="00F94D10">
        <w:t xml:space="preserve"> </w:t>
      </w:r>
      <w:r>
        <w:t>in response to draft report, 3; ANMF submission</w:t>
      </w:r>
      <w:r w:rsidRPr="00F94D10">
        <w:t xml:space="preserve"> </w:t>
      </w:r>
      <w:r>
        <w:t>in response to draft report, 2</w:t>
      </w:r>
      <w:r w:rsidR="00984B47">
        <w:rPr>
          <w:rFonts w:ascii="Symbol" w:eastAsia="Symbol" w:hAnsi="Symbol" w:cs="Symbol"/>
        </w:rPr>
        <w:t>-</w:t>
      </w:r>
      <w:r>
        <w:t>3; UWU submission</w:t>
      </w:r>
      <w:r w:rsidRPr="00F94D10">
        <w:t xml:space="preserve"> </w:t>
      </w:r>
      <w:r>
        <w:t>in response to draft report, 7</w:t>
      </w:r>
      <w:r w:rsidR="00984B47">
        <w:rPr>
          <w:rFonts w:ascii="Symbol" w:eastAsia="Symbol" w:hAnsi="Symbol" w:cs="Symbol"/>
        </w:rPr>
        <w:t>-</w:t>
      </w:r>
      <w:r>
        <w:t>8.</w:t>
      </w:r>
    </w:p>
  </w:footnote>
  <w:footnote w:id="692">
    <w:p w14:paraId="7D67FBC0" w14:textId="38DF614F" w:rsidR="00924664" w:rsidRDefault="00924664" w:rsidP="00924664">
      <w:pPr>
        <w:pStyle w:val="FootnoteText"/>
      </w:pPr>
      <w:r>
        <w:rPr>
          <w:rStyle w:val="FootnoteReference"/>
        </w:rPr>
        <w:footnoteRef/>
      </w:r>
      <w:r>
        <w:t xml:space="preserve"> ANMF submission</w:t>
      </w:r>
      <w:r w:rsidRPr="00AE09EC">
        <w:t xml:space="preserve"> </w:t>
      </w:r>
      <w:r>
        <w:t>in response to draft report, 2</w:t>
      </w:r>
      <w:r w:rsidR="00984B47">
        <w:rPr>
          <w:rFonts w:ascii="Symbol" w:eastAsia="Symbol" w:hAnsi="Symbol" w:cs="Symbol"/>
        </w:rPr>
        <w:t>-</w:t>
      </w:r>
      <w:r>
        <w:t>3.</w:t>
      </w:r>
    </w:p>
  </w:footnote>
  <w:footnote w:id="693">
    <w:p w14:paraId="1931DD21" w14:textId="77777777" w:rsidR="00924664" w:rsidRDefault="00924664" w:rsidP="00924664">
      <w:pPr>
        <w:pStyle w:val="FootnoteText"/>
      </w:pPr>
      <w:r>
        <w:rPr>
          <w:rStyle w:val="FootnoteReference"/>
        </w:rPr>
        <w:footnoteRef/>
      </w:r>
      <w:r>
        <w:t xml:space="preserve"> AHEIA submission</w:t>
      </w:r>
      <w:r w:rsidRPr="00AE09EC">
        <w:t xml:space="preserve"> </w:t>
      </w:r>
      <w:r>
        <w:t>in response to draft report, 2.</w:t>
      </w:r>
    </w:p>
  </w:footnote>
  <w:footnote w:id="694">
    <w:p w14:paraId="28FCEF84" w14:textId="77777777" w:rsidR="00924664" w:rsidRPr="00A03B67" w:rsidRDefault="00924664" w:rsidP="00924664">
      <w:pPr>
        <w:pStyle w:val="FootnoteText"/>
      </w:pPr>
      <w:r w:rsidRPr="00A03B67">
        <w:rPr>
          <w:rStyle w:val="FootnoteReference"/>
        </w:rPr>
        <w:footnoteRef/>
      </w:r>
      <w:r w:rsidRPr="00A03B67">
        <w:t xml:space="preserve"> ACCI submission, 37 – recommendation 1.</w:t>
      </w:r>
    </w:p>
  </w:footnote>
  <w:footnote w:id="695">
    <w:p w14:paraId="0A7D5B18" w14:textId="77777777" w:rsidR="00924664" w:rsidRPr="00A03B67" w:rsidRDefault="00924664" w:rsidP="00924664">
      <w:pPr>
        <w:pStyle w:val="FootnoteText"/>
      </w:pPr>
      <w:r w:rsidRPr="00A03B67">
        <w:rPr>
          <w:rStyle w:val="FootnoteReference"/>
        </w:rPr>
        <w:footnoteRef/>
      </w:r>
      <w:r w:rsidRPr="00A03B67">
        <w:t xml:space="preserve"> A Forsyth and S McCrystal, ‘Reforming Australian Bargaining and Strike Laws to Maximise Worker Power’ (2023) 46(4) </w:t>
      </w:r>
      <w:r w:rsidRPr="00A03B67">
        <w:rPr>
          <w:i/>
          <w:iCs/>
        </w:rPr>
        <w:t>UNSW Law Journal</w:t>
      </w:r>
      <w:r w:rsidRPr="00A03B67">
        <w:t xml:space="preserve"> 1125.</w:t>
      </w:r>
    </w:p>
  </w:footnote>
  <w:footnote w:id="696">
    <w:p w14:paraId="061C6DC8" w14:textId="1D7B2DFA" w:rsidR="00924664" w:rsidRPr="00A03B67" w:rsidRDefault="00924664" w:rsidP="00924664">
      <w:pPr>
        <w:pStyle w:val="FootnoteText"/>
      </w:pPr>
      <w:r w:rsidRPr="00A03B67">
        <w:rPr>
          <w:rStyle w:val="FootnoteReference"/>
        </w:rPr>
        <w:footnoteRef/>
      </w:r>
      <w:r w:rsidRPr="00A03B67">
        <w:t xml:space="preserve"> S McCrystal, ‘Why Is It So Hard to Take Lawful Strike Action in Australia?’ (2019) 61(1) </w:t>
      </w:r>
      <w:r w:rsidRPr="00A03B67">
        <w:rPr>
          <w:i/>
          <w:iCs/>
        </w:rPr>
        <w:t>Journal of Industrial Relations</w:t>
      </w:r>
      <w:r w:rsidRPr="00A03B67">
        <w:t xml:space="preserve"> 129, 130.</w:t>
      </w:r>
    </w:p>
  </w:footnote>
  <w:footnote w:id="697">
    <w:p w14:paraId="0BAC3EC4" w14:textId="77777777" w:rsidR="00924664" w:rsidRPr="00A03B67" w:rsidRDefault="00924664" w:rsidP="00924664">
      <w:pPr>
        <w:pStyle w:val="FootnoteText"/>
      </w:pPr>
      <w:r w:rsidRPr="00A03B67">
        <w:rPr>
          <w:rStyle w:val="FootnoteReference"/>
        </w:rPr>
        <w:footnoteRef/>
      </w:r>
      <w:r w:rsidRPr="00A03B67">
        <w:t xml:space="preserve"> A Forsyth and S McCrystal, ‘Reforming Australian Bargaining and Strike Laws to Maximise Worker Power’ (2023) 46(4) </w:t>
      </w:r>
      <w:r w:rsidRPr="00A03B67">
        <w:rPr>
          <w:i/>
          <w:iCs/>
        </w:rPr>
        <w:t>UNSW Law Journal</w:t>
      </w:r>
      <w:r w:rsidRPr="00A03B67">
        <w:t xml:space="preserve"> 1129.</w:t>
      </w:r>
    </w:p>
  </w:footnote>
  <w:footnote w:id="698">
    <w:p w14:paraId="69F0A604" w14:textId="77777777" w:rsidR="00924664" w:rsidRPr="00A03B67" w:rsidRDefault="00924664" w:rsidP="00924664">
      <w:pPr>
        <w:pStyle w:val="FootnoteText"/>
      </w:pPr>
      <w:r w:rsidRPr="00A03B67">
        <w:rPr>
          <w:rStyle w:val="FootnoteReference"/>
        </w:rPr>
        <w:footnoteRef/>
      </w:r>
      <w:r w:rsidRPr="00A03B67">
        <w:t xml:space="preserve"> A Forsyth and S McCrystal, ‘Reforming Australian Bargaining and Strike Laws to Maximise Worker Power’ (2023) 46(4) </w:t>
      </w:r>
      <w:r w:rsidRPr="00A03B67">
        <w:rPr>
          <w:i/>
          <w:iCs/>
        </w:rPr>
        <w:t>UNSW Law Journal</w:t>
      </w:r>
      <w:r w:rsidRPr="00A03B67">
        <w:t xml:space="preserve"> 1129.</w:t>
      </w:r>
    </w:p>
  </w:footnote>
  <w:footnote w:id="699">
    <w:p w14:paraId="213C8408" w14:textId="77777777" w:rsidR="00924664" w:rsidRPr="00A03B67" w:rsidRDefault="00924664" w:rsidP="00924664">
      <w:pPr>
        <w:pStyle w:val="FootnoteText"/>
      </w:pPr>
      <w:r w:rsidRPr="00A03B67">
        <w:rPr>
          <w:rStyle w:val="FootnoteReference"/>
        </w:rPr>
        <w:footnoteRef/>
      </w:r>
      <w:r w:rsidRPr="00A03B67">
        <w:t xml:space="preserve"> Ai Group submission,157.</w:t>
      </w:r>
    </w:p>
  </w:footnote>
  <w:footnote w:id="700">
    <w:p w14:paraId="29A1EB18" w14:textId="4D2F30AE" w:rsidR="00924664" w:rsidRPr="00A03B67" w:rsidRDefault="00924664" w:rsidP="00924664">
      <w:pPr>
        <w:pStyle w:val="FootnoteText"/>
      </w:pPr>
      <w:r w:rsidRPr="00A03B67">
        <w:rPr>
          <w:rStyle w:val="FootnoteReference"/>
        </w:rPr>
        <w:footnoteRef/>
      </w:r>
      <w:r w:rsidRPr="00A03B67">
        <w:t xml:space="preserve"> ACTU</w:t>
      </w:r>
      <w:r w:rsidR="000F40DF">
        <w:t>)</w:t>
      </w:r>
      <w:r w:rsidRPr="00A03B67">
        <w:t xml:space="preserve"> Ai Group submission, recommendation 25; UWU submission, recommendation 23; </w:t>
      </w:r>
      <w:r w:rsidR="000F40DF" w:rsidRPr="000F40DF">
        <w:t xml:space="preserve">Construction, Forestry and Maritime Employees Union </w:t>
      </w:r>
      <w:r w:rsidR="000F40DF">
        <w:t>(</w:t>
      </w:r>
      <w:r w:rsidRPr="00A03B67">
        <w:t>CFMEU</w:t>
      </w:r>
      <w:r w:rsidR="000F40DF">
        <w:t>)</w:t>
      </w:r>
      <w:r w:rsidRPr="00A03B67">
        <w:t xml:space="preserve"> submission, recommendation 3.</w:t>
      </w:r>
    </w:p>
  </w:footnote>
  <w:footnote w:id="701">
    <w:p w14:paraId="43C4B66F" w14:textId="77777777" w:rsidR="00924664" w:rsidRPr="00A03B67" w:rsidRDefault="00924664" w:rsidP="00924664">
      <w:pPr>
        <w:pStyle w:val="FootnoteText"/>
      </w:pPr>
      <w:r w:rsidRPr="00A03B67">
        <w:rPr>
          <w:rStyle w:val="FootnoteReference"/>
        </w:rPr>
        <w:footnoteRef/>
      </w:r>
      <w:r w:rsidRPr="00A03B67">
        <w:t xml:space="preserve"> ACTU submission, 90.</w:t>
      </w:r>
    </w:p>
  </w:footnote>
  <w:footnote w:id="702">
    <w:p w14:paraId="6C979B6F" w14:textId="6AC84EAF" w:rsidR="00924664" w:rsidRDefault="00924664" w:rsidP="00924664">
      <w:pPr>
        <w:pStyle w:val="FootnoteText"/>
      </w:pPr>
      <w:r>
        <w:rPr>
          <w:rStyle w:val="FootnoteReference"/>
        </w:rPr>
        <w:footnoteRef/>
      </w:r>
      <w:r>
        <w:t xml:space="preserve"> UWU submission in response to draft report, 7</w:t>
      </w:r>
      <w:r w:rsidR="00984B47">
        <w:rPr>
          <w:rFonts w:ascii="Symbol" w:eastAsia="Symbol" w:hAnsi="Symbol" w:cs="Symbol"/>
        </w:rPr>
        <w:t>-</w:t>
      </w:r>
      <w:r>
        <w:t xml:space="preserve">8; </w:t>
      </w:r>
      <w:r w:rsidR="000F40DF">
        <w:t>Electrical Trades Union (</w:t>
      </w:r>
      <w:r>
        <w:t>ETU</w:t>
      </w:r>
      <w:r w:rsidR="000F40DF">
        <w:t>)</w:t>
      </w:r>
      <w:r>
        <w:t xml:space="preserve"> submission in response to draft report, 4.</w:t>
      </w:r>
    </w:p>
  </w:footnote>
  <w:footnote w:id="703">
    <w:p w14:paraId="0F32ECBC"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s 188(1)</w:t>
      </w:r>
      <w:r w:rsidRPr="00A03B67">
        <w:rPr>
          <w:rFonts w:ascii="Symbol" w:eastAsia="Symbol" w:hAnsi="Symbol" w:cs="Symbol"/>
        </w:rPr>
        <w:t>-</w:t>
      </w:r>
      <w:r w:rsidRPr="00A03B67">
        <w:t>(2); s 188B(1)</w:t>
      </w:r>
      <w:r w:rsidRPr="00A03B67">
        <w:rPr>
          <w:rFonts w:ascii="Symbol" w:eastAsia="Symbol" w:hAnsi="Symbol" w:cs="Symbol"/>
        </w:rPr>
        <w:t>-</w:t>
      </w:r>
      <w:r w:rsidRPr="00A03B67">
        <w:t>(2).</w:t>
      </w:r>
    </w:p>
  </w:footnote>
  <w:footnote w:id="704">
    <w:p w14:paraId="2FB0A211"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s188(2).</w:t>
      </w:r>
    </w:p>
  </w:footnote>
  <w:footnote w:id="705">
    <w:p w14:paraId="264641BD" w14:textId="3EFF79BE"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00984B47">
        <w:rPr>
          <w:i/>
          <w:iCs/>
        </w:rPr>
        <w:t xml:space="preserve"> </w:t>
      </w:r>
      <w:r w:rsidR="00984B47" w:rsidRPr="00DB4E06">
        <w:t>(Cth)</w:t>
      </w:r>
      <w:r w:rsidR="00984B47">
        <w:rPr>
          <w:i/>
          <w:iCs/>
        </w:rPr>
        <w:t xml:space="preserve"> </w:t>
      </w:r>
      <w:r w:rsidRPr="00A03B67">
        <w:t>s180(5).</w:t>
      </w:r>
    </w:p>
  </w:footnote>
  <w:footnote w:id="706">
    <w:p w14:paraId="7054C826" w14:textId="7487239E"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w:t>
      </w:r>
      <w:r w:rsidR="00984B47">
        <w:t xml:space="preserve">(Cth) </w:t>
      </w:r>
      <w:r w:rsidRPr="00A03B67">
        <w:t>s188(4A).</w:t>
      </w:r>
    </w:p>
  </w:footnote>
  <w:footnote w:id="707">
    <w:p w14:paraId="7F8F477F" w14:textId="2808313D"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s</w:t>
      </w:r>
      <w:r w:rsidR="00984B47">
        <w:t xml:space="preserve"> </w:t>
      </w:r>
      <w:r w:rsidRPr="00A03B67">
        <w:t>188(5).</w:t>
      </w:r>
    </w:p>
  </w:footnote>
  <w:footnote w:id="708">
    <w:p w14:paraId="36B6D058" w14:textId="77777777" w:rsidR="00924664" w:rsidRPr="00A03B67" w:rsidRDefault="00924664" w:rsidP="00924664">
      <w:pPr>
        <w:pStyle w:val="FootnoteText"/>
      </w:pPr>
      <w:r w:rsidRPr="00A03B67">
        <w:rPr>
          <w:rStyle w:val="FootnoteReference"/>
        </w:rPr>
        <w:footnoteRef/>
      </w:r>
      <w:r w:rsidRPr="00A03B67">
        <w:t xml:space="preserve"> Senate Education and Employment Committee, Parliament of Australia, Inquiry into the Fair Work Legislation Amendment (Secure Jobs, Better Pay) Bill 2022, Submission of the Department of Employment and Workplace Relations, Fair Work Legislation Amendment (Secure Jobs, Better Pay) Bill 2022 [Provisions] Submission 49, November 2022, 20.</w:t>
      </w:r>
    </w:p>
  </w:footnote>
  <w:footnote w:id="709">
    <w:p w14:paraId="1E638787" w14:textId="77777777" w:rsidR="00924664" w:rsidRPr="00A03B67" w:rsidRDefault="00924664" w:rsidP="00924664">
      <w:pPr>
        <w:pStyle w:val="FootnoteText"/>
      </w:pPr>
      <w:r w:rsidRPr="00A03B67">
        <w:rPr>
          <w:rStyle w:val="FootnoteReference"/>
        </w:rPr>
        <w:footnoteRef/>
      </w:r>
      <w:r w:rsidRPr="00A03B67">
        <w:t xml:space="preserve"> Senate Education and Employment Committee, Parliament of Australia, Inquiry into the Fair Work Legislation Amendment (Secure Jobs, Better Pay) Bill 2022, Submission of the Department of Employment and Workplace Relations, Fair Work Legislation Amendment (Secure Jobs, Better Pay) Bill 2022 [Provisions] Submission 49, November 2022, 20</w:t>
      </w:r>
      <w:r w:rsidRPr="00A03B67">
        <w:rPr>
          <w:rFonts w:ascii="Symbol" w:eastAsia="Symbol" w:hAnsi="Symbol" w:cs="Symbol"/>
        </w:rPr>
        <w:t>-</w:t>
      </w:r>
      <w:r w:rsidRPr="00A03B67">
        <w:t>21.</w:t>
      </w:r>
    </w:p>
  </w:footnote>
  <w:footnote w:id="710">
    <w:p w14:paraId="6B530B6D" w14:textId="77777777" w:rsidR="00924664" w:rsidRPr="00A03B67" w:rsidRDefault="00924664" w:rsidP="00924664">
      <w:pPr>
        <w:pStyle w:val="FootnoteText"/>
      </w:pPr>
      <w:r w:rsidRPr="00A03B67">
        <w:rPr>
          <w:rStyle w:val="FootnoteReference"/>
        </w:rPr>
        <w:footnoteRef/>
      </w:r>
      <w:r w:rsidRPr="00A03B67">
        <w:t xml:space="preserve"> Explanatory Memorandum, Fair Work Legislation Amendment (Secure Jobs, Better Pay) Bill 2022, 129 [705].</w:t>
      </w:r>
    </w:p>
  </w:footnote>
  <w:footnote w:id="711">
    <w:p w14:paraId="6BEA3614" w14:textId="77777777" w:rsidR="00924664" w:rsidRPr="00A03B67" w:rsidRDefault="00924664" w:rsidP="00924664">
      <w:pPr>
        <w:pStyle w:val="FootnoteText"/>
      </w:pPr>
      <w:r w:rsidRPr="00A03B67">
        <w:rPr>
          <w:rStyle w:val="FootnoteReference"/>
        </w:rPr>
        <w:footnoteRef/>
      </w:r>
      <w:r w:rsidRPr="00A03B67">
        <w:t xml:space="preserve"> Explanatory Memorandum, Fair Work Legislation Amendment (Secure Jobs, Better Pay) Bill 2022, 129 [705].</w:t>
      </w:r>
    </w:p>
  </w:footnote>
  <w:footnote w:id="712">
    <w:p w14:paraId="1329833F" w14:textId="77777777" w:rsidR="00924664" w:rsidRPr="00A03B67" w:rsidRDefault="00924664" w:rsidP="00924664">
      <w:pPr>
        <w:pStyle w:val="FootnoteText"/>
      </w:pPr>
      <w:r w:rsidRPr="00A03B67">
        <w:rPr>
          <w:rStyle w:val="FootnoteReference"/>
        </w:rPr>
        <w:footnoteRef/>
      </w:r>
      <w:r w:rsidRPr="00A03B67">
        <w:rPr>
          <w:i/>
          <w:iCs/>
        </w:rPr>
        <w:t>The</w:t>
      </w:r>
      <w:r w:rsidRPr="00A03B67">
        <w:rPr>
          <w:i/>
        </w:rPr>
        <w:t xml:space="preserve"> </w:t>
      </w:r>
      <w:r w:rsidRPr="00A03B67">
        <w:rPr>
          <w:i/>
          <w:iCs/>
        </w:rPr>
        <w:t>Australian Workers’ Union v Altrad APTS Pty Ltd t/as Altrad</w:t>
      </w:r>
      <w:r w:rsidRPr="00A03B67">
        <w:t xml:space="preserve"> [2024] FWCFB 21.</w:t>
      </w:r>
    </w:p>
  </w:footnote>
  <w:footnote w:id="713">
    <w:p w14:paraId="3A9CC39B"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The</w:t>
      </w:r>
      <w:r w:rsidRPr="00A03B67">
        <w:rPr>
          <w:i/>
        </w:rPr>
        <w:t xml:space="preserve"> </w:t>
      </w:r>
      <w:r w:rsidRPr="00A03B67">
        <w:rPr>
          <w:i/>
          <w:iCs/>
        </w:rPr>
        <w:t xml:space="preserve">Australian Workers’ Union v Altrad APTS Pty Ltd t/as Altrad </w:t>
      </w:r>
      <w:r w:rsidRPr="00A03B67">
        <w:t>[2024] FWCFB 21 [77].</w:t>
      </w:r>
    </w:p>
  </w:footnote>
  <w:footnote w:id="714">
    <w:p w14:paraId="2B08E23C" w14:textId="77777777" w:rsidR="00924664" w:rsidRPr="00A03B67" w:rsidRDefault="00924664" w:rsidP="00924664">
      <w:pPr>
        <w:pStyle w:val="FootnoteText"/>
      </w:pPr>
      <w:r w:rsidRPr="00A03B67">
        <w:rPr>
          <w:rStyle w:val="FootnoteReference"/>
        </w:rPr>
        <w:footnoteRef/>
      </w:r>
      <w:r w:rsidRPr="00A03B67">
        <w:t xml:space="preserve"> </w:t>
      </w:r>
      <w:r w:rsidRPr="00A03B67">
        <w:rPr>
          <w:rFonts w:cs="Calibri"/>
          <w:i/>
        </w:rPr>
        <w:t>Shop, Distributive and Allied Employees Association v Allen Family Pty Ltd</w:t>
      </w:r>
      <w:r w:rsidRPr="00A03B67">
        <w:rPr>
          <w:rFonts w:cs="Calibri"/>
        </w:rPr>
        <w:t xml:space="preserve"> </w:t>
      </w:r>
      <w:r w:rsidRPr="00A03B67">
        <w:t>[2024] FWCFB 48.</w:t>
      </w:r>
    </w:p>
  </w:footnote>
  <w:footnote w:id="715">
    <w:p w14:paraId="0EDBD1DF"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 xml:space="preserve">Shop, Distributive and Allied Employees Association v Allen Family Pty Ltd </w:t>
      </w:r>
      <w:r w:rsidRPr="00A03B67">
        <w:t>[2024] FWCFB 48 [76].</w:t>
      </w:r>
    </w:p>
  </w:footnote>
  <w:footnote w:id="716">
    <w:p w14:paraId="220F02B9" w14:textId="64BDF1F4" w:rsidR="00924664" w:rsidRPr="00A03B67" w:rsidRDefault="00924664" w:rsidP="00924664">
      <w:pPr>
        <w:pStyle w:val="FootnoteText"/>
        <w:rPr>
          <w:color w:val="777778" w:themeColor="accent5"/>
        </w:rPr>
      </w:pPr>
      <w:r w:rsidRPr="00A03B67">
        <w:rPr>
          <w:rStyle w:val="FootnoteReference"/>
        </w:rPr>
        <w:footnoteRef/>
      </w:r>
      <w:r w:rsidRPr="00A03B67">
        <w:t xml:space="preserve"> </w:t>
      </w:r>
      <w:r w:rsidRPr="00A03B67">
        <w:rPr>
          <w:rFonts w:ascii="Aptos" w:eastAsia="Aptos" w:hAnsi="Aptos" w:cs="Aptos"/>
          <w:i/>
          <w:iCs/>
        </w:rPr>
        <w:t>Application by Geocon Constructors (ACT) Pty Ltd t/as Geocon</w:t>
      </w:r>
      <w:r w:rsidRPr="00A03B67">
        <w:rPr>
          <w:rFonts w:ascii="Aptos" w:eastAsia="Aptos" w:hAnsi="Aptos" w:cs="Aptos"/>
        </w:rPr>
        <w:t xml:space="preserve"> [2023] FWC 2676.</w:t>
      </w:r>
    </w:p>
  </w:footnote>
  <w:footnote w:id="717">
    <w:p w14:paraId="34E83B37" w14:textId="77777777" w:rsidR="00924664" w:rsidRPr="00A03B67" w:rsidRDefault="00924664" w:rsidP="00924664">
      <w:pPr>
        <w:pStyle w:val="FootnoteText"/>
        <w:rPr>
          <w:color w:val="777778" w:themeColor="accent5"/>
        </w:rPr>
      </w:pPr>
      <w:r w:rsidRPr="00A03B67">
        <w:rPr>
          <w:rStyle w:val="FootnoteReference"/>
        </w:rPr>
        <w:footnoteRef/>
      </w:r>
      <w:r w:rsidRPr="00A03B67">
        <w:t xml:space="preserve"> </w:t>
      </w:r>
      <w:r w:rsidRPr="00A03B67">
        <w:rPr>
          <w:rFonts w:ascii="Aptos" w:eastAsia="Aptos" w:hAnsi="Aptos" w:cs="Aptos"/>
          <w:i/>
          <w:iCs/>
        </w:rPr>
        <w:t>Application by Geocon Constructors (ACT) Pty Ltd t/as Geocon</w:t>
      </w:r>
      <w:r w:rsidRPr="00A03B67">
        <w:rPr>
          <w:rFonts w:ascii="Aptos" w:eastAsia="Aptos" w:hAnsi="Aptos" w:cs="Aptos"/>
        </w:rPr>
        <w:t xml:space="preserve"> [2023] FWC 2676 [31]</w:t>
      </w:r>
      <w:r w:rsidRPr="00A03B67">
        <w:rPr>
          <w:rFonts w:ascii="Symbol" w:eastAsia="Symbol" w:hAnsi="Symbol" w:cs="Symbol"/>
        </w:rPr>
        <w:t>-</w:t>
      </w:r>
      <w:r w:rsidRPr="00A03B67">
        <w:rPr>
          <w:rFonts w:ascii="Aptos" w:eastAsia="Aptos" w:hAnsi="Aptos" w:cs="Aptos"/>
        </w:rPr>
        <w:t>[33].</w:t>
      </w:r>
    </w:p>
  </w:footnote>
  <w:footnote w:id="718">
    <w:p w14:paraId="4C3475CF" w14:textId="77777777" w:rsidR="00924664" w:rsidRPr="00A03B67" w:rsidRDefault="00924664" w:rsidP="00924664">
      <w:pPr>
        <w:pStyle w:val="FootnoteText"/>
      </w:pPr>
      <w:r w:rsidRPr="00A03B67">
        <w:rPr>
          <w:rStyle w:val="FootnoteReference"/>
        </w:rPr>
        <w:footnoteRef/>
      </w:r>
      <w:r w:rsidRPr="00A03B67">
        <w:t xml:space="preserve"> </w:t>
      </w:r>
      <w:r w:rsidRPr="00A03B67">
        <w:rPr>
          <w:rFonts w:ascii="Aptos" w:eastAsia="Aptos" w:hAnsi="Aptos" w:cs="Aptos"/>
          <w:i/>
        </w:rPr>
        <w:t>AMWU v Sublime Infrastructure Pty Ltd and CEPU</w:t>
      </w:r>
      <w:r w:rsidRPr="00A03B67">
        <w:rPr>
          <w:rFonts w:ascii="Aptos" w:eastAsia="Aptos" w:hAnsi="Aptos" w:cs="Aptos"/>
        </w:rPr>
        <w:t xml:space="preserve"> [2024] FWCFB 432</w:t>
      </w:r>
      <w:r w:rsidRPr="00A03B67">
        <w:t>.</w:t>
      </w:r>
    </w:p>
  </w:footnote>
  <w:footnote w:id="719">
    <w:p w14:paraId="13987552" w14:textId="77777777" w:rsidR="00924664" w:rsidRPr="00A03B67" w:rsidRDefault="00924664" w:rsidP="00924664">
      <w:pPr>
        <w:pStyle w:val="FootnoteText"/>
      </w:pPr>
      <w:r w:rsidRPr="00A03B67">
        <w:rPr>
          <w:rStyle w:val="FootnoteReference"/>
        </w:rPr>
        <w:footnoteRef/>
      </w:r>
      <w:r w:rsidRPr="00A03B67">
        <w:t xml:space="preserve"> </w:t>
      </w:r>
      <w:r w:rsidRPr="00A03B67">
        <w:rPr>
          <w:rFonts w:ascii="Aptos" w:eastAsia="Aptos" w:hAnsi="Aptos" w:cs="Aptos"/>
          <w:i/>
        </w:rPr>
        <w:t>AMWU v Sublime Infrastructure Pty Ltd and CEPU</w:t>
      </w:r>
      <w:r w:rsidRPr="00A03B67">
        <w:rPr>
          <w:rFonts w:ascii="Aptos" w:eastAsia="Aptos" w:hAnsi="Aptos" w:cs="Aptos"/>
        </w:rPr>
        <w:t xml:space="preserve"> [2024] FWCFB 432 [30].</w:t>
      </w:r>
    </w:p>
  </w:footnote>
  <w:footnote w:id="720">
    <w:p w14:paraId="5AD98C93" w14:textId="77777777" w:rsidR="00924664" w:rsidRPr="00A03B67" w:rsidRDefault="00924664" w:rsidP="00924664">
      <w:pPr>
        <w:pStyle w:val="FootnoteText"/>
      </w:pPr>
      <w:r w:rsidRPr="00A03B67">
        <w:rPr>
          <w:rStyle w:val="FootnoteReference"/>
        </w:rPr>
        <w:footnoteRef/>
      </w:r>
      <w:r w:rsidRPr="00A03B67">
        <w:t xml:space="preserve"> </w:t>
      </w:r>
      <w:r w:rsidRPr="00A03B67">
        <w:rPr>
          <w:rFonts w:ascii="Aptos" w:eastAsia="Aptos" w:hAnsi="Aptos" w:cs="Aptos"/>
          <w:i/>
        </w:rPr>
        <w:t>AMWU v Sublime Infrastructure Pty Ltd and CEPU</w:t>
      </w:r>
      <w:r w:rsidRPr="00A03B67">
        <w:rPr>
          <w:rFonts w:ascii="Aptos" w:eastAsia="Aptos" w:hAnsi="Aptos" w:cs="Aptos"/>
        </w:rPr>
        <w:t xml:space="preserve"> [2024] FWCFB 432 [33].</w:t>
      </w:r>
    </w:p>
  </w:footnote>
  <w:footnote w:id="721">
    <w:p w14:paraId="66F2CFAC" w14:textId="77777777" w:rsidR="00924664" w:rsidRPr="00A03B67" w:rsidRDefault="00924664" w:rsidP="00924664">
      <w:pPr>
        <w:pStyle w:val="FootnoteText"/>
      </w:pPr>
      <w:r w:rsidRPr="00A03B67">
        <w:rPr>
          <w:rStyle w:val="FootnoteReference"/>
        </w:rPr>
        <w:footnoteRef/>
      </w:r>
      <w:r w:rsidRPr="00A03B67">
        <w:t xml:space="preserve"> </w:t>
      </w:r>
      <w:r w:rsidRPr="00A03B67">
        <w:rPr>
          <w:rFonts w:ascii="Aptos" w:eastAsia="Aptos" w:hAnsi="Aptos" w:cs="Aptos"/>
          <w:i/>
        </w:rPr>
        <w:t>AMWU v Sublime Infrastructure Pty Ltd and CEPU</w:t>
      </w:r>
      <w:r w:rsidRPr="00A03B67">
        <w:rPr>
          <w:rFonts w:ascii="Aptos" w:eastAsia="Aptos" w:hAnsi="Aptos" w:cs="Aptos"/>
        </w:rPr>
        <w:t xml:space="preserve"> [2024] FWCFB 432 [32].</w:t>
      </w:r>
    </w:p>
  </w:footnote>
  <w:footnote w:id="722">
    <w:p w14:paraId="0C15E562" w14:textId="77777777" w:rsidR="00924664" w:rsidRPr="00A03B67" w:rsidRDefault="00924664" w:rsidP="00924664">
      <w:pPr>
        <w:pStyle w:val="FootnoteText"/>
      </w:pPr>
      <w:r w:rsidRPr="00A03B67">
        <w:rPr>
          <w:rStyle w:val="FootnoteReference"/>
        </w:rPr>
        <w:footnoteRef/>
      </w:r>
      <w:r w:rsidRPr="00A03B67">
        <w:t xml:space="preserve"> </w:t>
      </w:r>
      <w:r w:rsidRPr="00A03B67">
        <w:rPr>
          <w:rFonts w:ascii="Aptos" w:eastAsia="Aptos" w:hAnsi="Aptos" w:cs="Aptos"/>
          <w:i/>
        </w:rPr>
        <w:t>AMWU v Sublime Infrastructure Pty Ltd and CEPU</w:t>
      </w:r>
      <w:r w:rsidRPr="00A03B67">
        <w:rPr>
          <w:rFonts w:ascii="Aptos" w:eastAsia="Aptos" w:hAnsi="Aptos" w:cs="Aptos"/>
        </w:rPr>
        <w:t xml:space="preserve"> [2024] FWCFB 432 [34].</w:t>
      </w:r>
    </w:p>
  </w:footnote>
  <w:footnote w:id="723">
    <w:p w14:paraId="3F0DA9A8" w14:textId="21B8F2A9" w:rsidR="00924664" w:rsidRPr="00A03B67" w:rsidRDefault="00924664" w:rsidP="00924664">
      <w:pPr>
        <w:pStyle w:val="FootnoteText"/>
      </w:pPr>
      <w:r w:rsidRPr="00A03B67">
        <w:rPr>
          <w:rStyle w:val="FootnoteReference"/>
        </w:rPr>
        <w:footnoteRef/>
      </w:r>
      <w:r w:rsidRPr="00A03B67">
        <w:t xml:space="preserve"> </w:t>
      </w:r>
      <w:r w:rsidR="000F40DF" w:rsidRPr="000F40DF">
        <w:t xml:space="preserve">Australian Resources &amp; Energy Employer Association </w:t>
      </w:r>
      <w:r w:rsidR="000F40DF">
        <w:t>(</w:t>
      </w:r>
      <w:r w:rsidRPr="00A03B67">
        <w:t>AREEA</w:t>
      </w:r>
      <w:r w:rsidR="000F40DF">
        <w:t>)</w:t>
      </w:r>
      <w:r w:rsidRPr="00A03B67">
        <w:t xml:space="preserve"> submission, [124].</w:t>
      </w:r>
    </w:p>
  </w:footnote>
  <w:footnote w:id="724">
    <w:p w14:paraId="0A326FB2" w14:textId="77777777" w:rsidR="00924664" w:rsidRPr="00A03B67" w:rsidRDefault="00924664" w:rsidP="00924664">
      <w:pPr>
        <w:pStyle w:val="FootnoteText"/>
      </w:pPr>
      <w:r w:rsidRPr="00A03B67">
        <w:rPr>
          <w:rStyle w:val="FootnoteReference"/>
        </w:rPr>
        <w:footnoteRef/>
      </w:r>
      <w:r w:rsidRPr="00A03B67">
        <w:t xml:space="preserve"> AREEA submission, [125].</w:t>
      </w:r>
    </w:p>
  </w:footnote>
  <w:footnote w:id="725">
    <w:p w14:paraId="4BF3B516" w14:textId="77777777" w:rsidR="00924664" w:rsidRPr="00A03B67" w:rsidRDefault="00924664" w:rsidP="00924664">
      <w:pPr>
        <w:pStyle w:val="FootnoteText"/>
      </w:pPr>
      <w:r w:rsidRPr="00A03B67">
        <w:rPr>
          <w:rStyle w:val="FootnoteReference"/>
        </w:rPr>
        <w:footnoteRef/>
      </w:r>
      <w:r w:rsidRPr="00A03B67">
        <w:t xml:space="preserve"> Ai Group submission, [56].</w:t>
      </w:r>
    </w:p>
  </w:footnote>
  <w:footnote w:id="726">
    <w:p w14:paraId="5F76FA63" w14:textId="77777777" w:rsidR="00924664" w:rsidRPr="00A03B67" w:rsidRDefault="00924664" w:rsidP="00924664">
      <w:pPr>
        <w:pStyle w:val="FootnoteText"/>
      </w:pPr>
      <w:r w:rsidRPr="00A03B67">
        <w:rPr>
          <w:rStyle w:val="FootnoteReference"/>
        </w:rPr>
        <w:footnoteRef/>
      </w:r>
      <w:r w:rsidRPr="00A03B67">
        <w:t xml:space="preserve"> AREEA submission, [125].</w:t>
      </w:r>
    </w:p>
  </w:footnote>
  <w:footnote w:id="727">
    <w:p w14:paraId="7270894B" w14:textId="77777777" w:rsidR="00924664" w:rsidRPr="00A03B67" w:rsidRDefault="00924664" w:rsidP="00924664">
      <w:pPr>
        <w:pStyle w:val="FootnoteText"/>
      </w:pPr>
      <w:r w:rsidRPr="00A03B67">
        <w:rPr>
          <w:rStyle w:val="FootnoteReference"/>
        </w:rPr>
        <w:footnoteRef/>
      </w:r>
      <w:r w:rsidRPr="00A03B67">
        <w:t xml:space="preserve"> AREEA submission, [127].</w:t>
      </w:r>
    </w:p>
  </w:footnote>
  <w:footnote w:id="728">
    <w:p w14:paraId="62500093" w14:textId="776746CE" w:rsidR="00924664" w:rsidRPr="00A03B67" w:rsidRDefault="00924664" w:rsidP="00924664">
      <w:pPr>
        <w:pStyle w:val="FootnoteText"/>
      </w:pPr>
      <w:r w:rsidRPr="00A03B67">
        <w:rPr>
          <w:rStyle w:val="FootnoteReference"/>
        </w:rPr>
        <w:footnoteRef/>
      </w:r>
      <w:r w:rsidRPr="00A03B67">
        <w:t xml:space="preserve"> </w:t>
      </w:r>
      <w:r w:rsidR="000F40DF" w:rsidRPr="000F40DF">
        <w:t xml:space="preserve">Mining and Energy Union </w:t>
      </w:r>
      <w:r w:rsidR="000F40DF">
        <w:t>(</w:t>
      </w:r>
      <w:r w:rsidRPr="00A03B67">
        <w:t>MEU</w:t>
      </w:r>
      <w:r w:rsidR="000F40DF">
        <w:t>)</w:t>
      </w:r>
      <w:r w:rsidRPr="00A03B67">
        <w:t xml:space="preserve"> submission, [10].</w:t>
      </w:r>
    </w:p>
  </w:footnote>
  <w:footnote w:id="729">
    <w:p w14:paraId="3232EAD5" w14:textId="77777777" w:rsidR="00924664" w:rsidRPr="00A03B67" w:rsidRDefault="00924664" w:rsidP="00924664">
      <w:pPr>
        <w:pStyle w:val="FootnoteText"/>
      </w:pPr>
      <w:r w:rsidRPr="00A03B67">
        <w:rPr>
          <w:rStyle w:val="FootnoteReference"/>
        </w:rPr>
        <w:footnoteRef/>
      </w:r>
      <w:r w:rsidRPr="00A03B67">
        <w:t xml:space="preserve"> MEU submission, [16].</w:t>
      </w:r>
    </w:p>
  </w:footnote>
  <w:footnote w:id="730">
    <w:p w14:paraId="6667C8A4" w14:textId="512AE230" w:rsidR="00924664" w:rsidRPr="00A03B67" w:rsidRDefault="00924664" w:rsidP="00924664">
      <w:pPr>
        <w:pStyle w:val="FootnoteText"/>
      </w:pPr>
      <w:r w:rsidRPr="00A03B67">
        <w:rPr>
          <w:rStyle w:val="FootnoteReference"/>
        </w:rPr>
        <w:footnoteRef/>
      </w:r>
      <w:r w:rsidRPr="00A03B67">
        <w:t xml:space="preserve"> </w:t>
      </w:r>
      <w:r w:rsidR="000F40DF" w:rsidRPr="000F40DF">
        <w:t xml:space="preserve">Australian Workers’ Union </w:t>
      </w:r>
      <w:r w:rsidR="000F40DF">
        <w:t>(</w:t>
      </w:r>
      <w:r w:rsidRPr="00A03B67">
        <w:t>AWU</w:t>
      </w:r>
      <w:r w:rsidR="000F40DF">
        <w:t>)</w:t>
      </w:r>
      <w:r w:rsidRPr="00A03B67">
        <w:t xml:space="preserve"> submission, 4.</w:t>
      </w:r>
    </w:p>
  </w:footnote>
  <w:footnote w:id="731">
    <w:p w14:paraId="36891E8F" w14:textId="4DEB1FB8" w:rsidR="00924664" w:rsidRPr="00A03B67" w:rsidRDefault="00924664" w:rsidP="00924664">
      <w:pPr>
        <w:pStyle w:val="FootnoteText"/>
      </w:pPr>
      <w:r w:rsidRPr="00A03B67">
        <w:rPr>
          <w:rStyle w:val="FootnoteReference"/>
        </w:rPr>
        <w:footnoteRef/>
      </w:r>
      <w:r w:rsidRPr="00A03B67">
        <w:t xml:space="preserve"> </w:t>
      </w:r>
      <w:r w:rsidR="000F40DF">
        <w:t>Australian Retailers Association (</w:t>
      </w:r>
      <w:r w:rsidRPr="00A03B67">
        <w:t>ARA</w:t>
      </w:r>
      <w:r w:rsidR="000F40DF">
        <w:t>)</w:t>
      </w:r>
      <w:r w:rsidRPr="00A03B67">
        <w:t xml:space="preserve"> submission.</w:t>
      </w:r>
    </w:p>
  </w:footnote>
  <w:footnote w:id="732">
    <w:p w14:paraId="45662BC4" w14:textId="6A447003" w:rsidR="00924664" w:rsidRPr="00A03B67" w:rsidRDefault="00924664" w:rsidP="00924664">
      <w:pPr>
        <w:pStyle w:val="FootnoteText"/>
      </w:pPr>
      <w:r w:rsidRPr="00A03B67">
        <w:rPr>
          <w:rStyle w:val="FootnoteReference"/>
        </w:rPr>
        <w:footnoteRef/>
      </w:r>
      <w:r w:rsidRPr="00A03B67">
        <w:t xml:space="preserve"> </w:t>
      </w:r>
      <w:r w:rsidR="000F40DF" w:rsidRPr="000F40DF">
        <w:t xml:space="preserve">Community and Public Sector Union </w:t>
      </w:r>
      <w:r w:rsidR="000F40DF">
        <w:t>(</w:t>
      </w:r>
      <w:r w:rsidRPr="00A03B67">
        <w:t>CPSU</w:t>
      </w:r>
      <w:r w:rsidR="000F40DF">
        <w:t>)</w:t>
      </w:r>
      <w:r w:rsidRPr="00A03B67">
        <w:t xml:space="preserve"> submission, 9.</w:t>
      </w:r>
    </w:p>
  </w:footnote>
  <w:footnote w:id="733">
    <w:p w14:paraId="7BA9D38B" w14:textId="5A66429D" w:rsidR="00924664" w:rsidRPr="00A03B67" w:rsidRDefault="00924664" w:rsidP="00924664">
      <w:pPr>
        <w:pStyle w:val="FootnoteText"/>
      </w:pPr>
      <w:r w:rsidRPr="00A03B67">
        <w:rPr>
          <w:rStyle w:val="FootnoteReference"/>
        </w:rPr>
        <w:footnoteRef/>
      </w:r>
      <w:r w:rsidRPr="00A03B67">
        <w:t xml:space="preserve"> </w:t>
      </w:r>
      <w:r w:rsidR="000F40DF">
        <w:t>United Workers Union (</w:t>
      </w:r>
      <w:r w:rsidRPr="00A03B67">
        <w:t>UWU</w:t>
      </w:r>
      <w:r w:rsidR="000F40DF">
        <w:t>)</w:t>
      </w:r>
      <w:r w:rsidRPr="00A03B67">
        <w:t xml:space="preserve"> submission, 23.</w:t>
      </w:r>
    </w:p>
  </w:footnote>
  <w:footnote w:id="734">
    <w:p w14:paraId="3D25776E" w14:textId="439094DB" w:rsidR="00924664" w:rsidRPr="00A03B67" w:rsidRDefault="00924664" w:rsidP="00924664">
      <w:pPr>
        <w:pStyle w:val="FootnoteText"/>
      </w:pPr>
      <w:r w:rsidRPr="00A03B67">
        <w:rPr>
          <w:rStyle w:val="FootnoteReference"/>
        </w:rPr>
        <w:footnoteRef/>
      </w:r>
      <w:r w:rsidRPr="00A03B67">
        <w:t xml:space="preserve"> </w:t>
      </w:r>
      <w:r w:rsidR="000F40DF">
        <w:t>Australian Chamber of Commerce and Industry (</w:t>
      </w:r>
      <w:r w:rsidRPr="00A03B67">
        <w:t>ACCI</w:t>
      </w:r>
      <w:r w:rsidR="000F40DF">
        <w:t>)</w:t>
      </w:r>
      <w:r w:rsidRPr="00A03B67">
        <w:t xml:space="preserve"> submission, [29] 13.</w:t>
      </w:r>
    </w:p>
  </w:footnote>
  <w:footnote w:id="735">
    <w:p w14:paraId="61637B38" w14:textId="77777777" w:rsidR="00924664" w:rsidRPr="00A03B67" w:rsidRDefault="00924664" w:rsidP="00924664">
      <w:pPr>
        <w:pStyle w:val="FootnoteText"/>
      </w:pPr>
      <w:r w:rsidRPr="00A03B67">
        <w:rPr>
          <w:rStyle w:val="FootnoteReference"/>
        </w:rPr>
        <w:footnoteRef/>
      </w:r>
      <w:r w:rsidRPr="00A03B67">
        <w:t xml:space="preserve"> MEA submission, 2.</w:t>
      </w:r>
    </w:p>
  </w:footnote>
  <w:footnote w:id="736">
    <w:p w14:paraId="407AFF64" w14:textId="65F2D757" w:rsidR="00924664" w:rsidRPr="00A03B67" w:rsidRDefault="00924664" w:rsidP="00924664">
      <w:pPr>
        <w:pStyle w:val="FootnoteText"/>
      </w:pPr>
      <w:r w:rsidRPr="00A03B67">
        <w:rPr>
          <w:rStyle w:val="FootnoteReference"/>
        </w:rPr>
        <w:footnoteRef/>
      </w:r>
      <w:r w:rsidRPr="00A03B67">
        <w:t xml:space="preserve"> </w:t>
      </w:r>
      <w:r w:rsidR="000F40DF">
        <w:t>Master Builders Association (</w:t>
      </w:r>
      <w:r w:rsidRPr="00A03B67">
        <w:t>MBA</w:t>
      </w:r>
      <w:r w:rsidR="000F40DF">
        <w:t>)</w:t>
      </w:r>
      <w:r w:rsidRPr="00A03B67">
        <w:t xml:space="preserve"> submission, 18.</w:t>
      </w:r>
    </w:p>
  </w:footnote>
  <w:footnote w:id="737">
    <w:p w14:paraId="49A47652" w14:textId="4171678C" w:rsidR="00924664" w:rsidRPr="00A03B67" w:rsidRDefault="00924664" w:rsidP="00924664">
      <w:pPr>
        <w:pStyle w:val="FootnoteText"/>
      </w:pPr>
      <w:r w:rsidRPr="00A03B67">
        <w:rPr>
          <w:rStyle w:val="FootnoteReference"/>
        </w:rPr>
        <w:footnoteRef/>
      </w:r>
      <w:r w:rsidRPr="00A03B67">
        <w:t xml:space="preserve"> </w:t>
      </w:r>
      <w:r w:rsidR="000F40DF">
        <w:t>Australian Council of Trade Unions (</w:t>
      </w:r>
      <w:r w:rsidRPr="00A03B67">
        <w:t>ACTU</w:t>
      </w:r>
      <w:r w:rsidR="000F40DF">
        <w:t>)</w:t>
      </w:r>
      <w:r w:rsidRPr="00A03B67">
        <w:t xml:space="preserve"> submission, 77.</w:t>
      </w:r>
    </w:p>
  </w:footnote>
  <w:footnote w:id="738">
    <w:p w14:paraId="455BFD35" w14:textId="5483DBDD" w:rsidR="00924664" w:rsidRPr="00BC5AB2" w:rsidRDefault="00924664" w:rsidP="00924664">
      <w:pPr>
        <w:pStyle w:val="FootnoteText"/>
      </w:pPr>
      <w:r>
        <w:rPr>
          <w:rStyle w:val="FootnoteReference"/>
        </w:rPr>
        <w:footnoteRef/>
      </w:r>
      <w:r>
        <w:t xml:space="preserve"> </w:t>
      </w:r>
      <w:r w:rsidR="000F40DF">
        <w:t>Australian Chamber of Commerce and Industry (</w:t>
      </w:r>
      <w:r>
        <w:t>ACCI</w:t>
      </w:r>
      <w:r w:rsidR="000F40DF">
        <w:t>)</w:t>
      </w:r>
      <w:r>
        <w:t xml:space="preserve"> submission</w:t>
      </w:r>
      <w:r w:rsidRPr="00C07C40">
        <w:t xml:space="preserve"> </w:t>
      </w:r>
      <w:r>
        <w:t>in response to draft report, 18.</w:t>
      </w:r>
    </w:p>
  </w:footnote>
  <w:footnote w:id="739">
    <w:p w14:paraId="750DB6CA" w14:textId="02995556" w:rsidR="00924664" w:rsidRPr="00A673F1" w:rsidRDefault="00924664" w:rsidP="00924664">
      <w:pPr>
        <w:pStyle w:val="FootnoteText"/>
      </w:pPr>
      <w:r>
        <w:rPr>
          <w:rStyle w:val="FootnoteReference"/>
        </w:rPr>
        <w:footnoteRef/>
      </w:r>
      <w:r>
        <w:t xml:space="preserve"> </w:t>
      </w:r>
      <w:r w:rsidR="000F40DF" w:rsidRPr="000F40DF">
        <w:t xml:space="preserve">Australian Higher Education Industrial Association </w:t>
      </w:r>
      <w:r w:rsidR="000F40DF">
        <w:t>(</w:t>
      </w:r>
      <w:r>
        <w:t>AHEIA</w:t>
      </w:r>
      <w:r w:rsidR="000F40DF">
        <w:t>)</w:t>
      </w:r>
      <w:r>
        <w:t xml:space="preserve"> submission</w:t>
      </w:r>
      <w:r w:rsidRPr="00C07C40">
        <w:t xml:space="preserve"> </w:t>
      </w:r>
      <w:r>
        <w:t>in response to draft report, 2.</w:t>
      </w:r>
    </w:p>
  </w:footnote>
  <w:footnote w:id="740">
    <w:p w14:paraId="2A2A49BD" w14:textId="62143FE3" w:rsidR="00924664" w:rsidRPr="00F94684" w:rsidRDefault="00924664" w:rsidP="00924664">
      <w:pPr>
        <w:pStyle w:val="FootnoteText"/>
      </w:pPr>
      <w:r>
        <w:rPr>
          <w:rStyle w:val="FootnoteReference"/>
        </w:rPr>
        <w:footnoteRef/>
      </w:r>
      <w:r>
        <w:t xml:space="preserve"> </w:t>
      </w:r>
      <w:r w:rsidR="000F40DF" w:rsidRPr="000F40DF">
        <w:t xml:space="preserve">Maritime Industry Australia Ltd </w:t>
      </w:r>
      <w:r w:rsidR="000F40DF">
        <w:t>(</w:t>
      </w:r>
      <w:r>
        <w:t>MIAL</w:t>
      </w:r>
      <w:r w:rsidR="000F40DF">
        <w:t>)</w:t>
      </w:r>
      <w:r>
        <w:t xml:space="preserve"> submission</w:t>
      </w:r>
      <w:r w:rsidRPr="00C07C40">
        <w:t xml:space="preserve"> </w:t>
      </w:r>
      <w:r>
        <w:t>in response to draft report, 7.</w:t>
      </w:r>
    </w:p>
  </w:footnote>
  <w:footnote w:id="741">
    <w:p w14:paraId="335B8FEF" w14:textId="77777777" w:rsidR="00924664" w:rsidRPr="00A52942" w:rsidRDefault="00924664" w:rsidP="00924664">
      <w:pPr>
        <w:pStyle w:val="FootnoteText"/>
      </w:pPr>
      <w:r>
        <w:rPr>
          <w:rStyle w:val="FootnoteReference"/>
        </w:rPr>
        <w:footnoteRef/>
      </w:r>
      <w:r>
        <w:t xml:space="preserve"> MIAL submission</w:t>
      </w:r>
      <w:r w:rsidRPr="00C07C40">
        <w:t xml:space="preserve"> </w:t>
      </w:r>
      <w:r>
        <w:t>in response to draft report, 7.</w:t>
      </w:r>
    </w:p>
  </w:footnote>
  <w:footnote w:id="742">
    <w:p w14:paraId="5AAD871C" w14:textId="0C935C3E" w:rsidR="00924664" w:rsidRPr="005B2AF6" w:rsidRDefault="00924664" w:rsidP="00924664">
      <w:pPr>
        <w:pStyle w:val="FootnoteText"/>
      </w:pPr>
      <w:r>
        <w:rPr>
          <w:rStyle w:val="FootnoteReference"/>
        </w:rPr>
        <w:footnoteRef/>
      </w:r>
      <w:r>
        <w:t xml:space="preserve"> A</w:t>
      </w:r>
      <w:r w:rsidR="000F40DF">
        <w:t>i</w:t>
      </w:r>
      <w:r>
        <w:t xml:space="preserve"> Group submission</w:t>
      </w:r>
      <w:r w:rsidRPr="00C07C40">
        <w:t xml:space="preserve"> </w:t>
      </w:r>
      <w:r>
        <w:t>in response to draft report, 42</w:t>
      </w:r>
    </w:p>
  </w:footnote>
  <w:footnote w:id="743">
    <w:p w14:paraId="4E251B5B" w14:textId="77777777" w:rsidR="00924664" w:rsidRPr="00B577F3" w:rsidRDefault="00924664" w:rsidP="00924664">
      <w:pPr>
        <w:pStyle w:val="FootnoteText"/>
      </w:pPr>
      <w:r>
        <w:rPr>
          <w:rStyle w:val="FootnoteReference"/>
        </w:rPr>
        <w:footnoteRef/>
      </w:r>
      <w:r>
        <w:t xml:space="preserve"> AWU submission</w:t>
      </w:r>
      <w:r w:rsidRPr="0026612C">
        <w:t xml:space="preserve"> </w:t>
      </w:r>
      <w:r>
        <w:t>in response to draft report, 2, 4.</w:t>
      </w:r>
    </w:p>
  </w:footnote>
  <w:footnote w:id="744">
    <w:p w14:paraId="00975844" w14:textId="77777777" w:rsidR="00924664" w:rsidRPr="005B5AEA" w:rsidRDefault="00924664" w:rsidP="00924664">
      <w:pPr>
        <w:pStyle w:val="FootnoteText"/>
      </w:pPr>
      <w:r>
        <w:rPr>
          <w:rStyle w:val="FootnoteReference"/>
        </w:rPr>
        <w:footnoteRef/>
      </w:r>
      <w:r>
        <w:t xml:space="preserve"> AMWU submission</w:t>
      </w:r>
      <w:r w:rsidRPr="0026612C">
        <w:t xml:space="preserve"> </w:t>
      </w:r>
      <w:r>
        <w:t>in response to draft report, 1.</w:t>
      </w:r>
    </w:p>
  </w:footnote>
  <w:footnote w:id="745">
    <w:p w14:paraId="4921D2E3" w14:textId="77777777" w:rsidR="00924664" w:rsidRPr="008D2D3D" w:rsidRDefault="00924664" w:rsidP="00924664">
      <w:pPr>
        <w:pStyle w:val="FootnoteText"/>
      </w:pPr>
      <w:r>
        <w:rPr>
          <w:rStyle w:val="FootnoteReference"/>
        </w:rPr>
        <w:footnoteRef/>
      </w:r>
      <w:r>
        <w:t xml:space="preserve"> MEU submission</w:t>
      </w:r>
      <w:r w:rsidRPr="0026612C">
        <w:t xml:space="preserve"> </w:t>
      </w:r>
      <w:r>
        <w:t>in response to draft report, 3.</w:t>
      </w:r>
    </w:p>
  </w:footnote>
  <w:footnote w:id="746">
    <w:p w14:paraId="31A4326C" w14:textId="77777777" w:rsidR="00924664" w:rsidRPr="000D02C9" w:rsidRDefault="00924664" w:rsidP="00924664">
      <w:pPr>
        <w:pStyle w:val="FootnoteText"/>
      </w:pPr>
      <w:r>
        <w:rPr>
          <w:rStyle w:val="FootnoteReference"/>
        </w:rPr>
        <w:footnoteRef/>
      </w:r>
      <w:r>
        <w:t xml:space="preserve"> ACTU submission</w:t>
      </w:r>
      <w:r w:rsidRPr="0026612C">
        <w:t xml:space="preserve"> </w:t>
      </w:r>
      <w:r>
        <w:t>in response to draft report, 18.</w:t>
      </w:r>
    </w:p>
  </w:footnote>
  <w:footnote w:id="747">
    <w:p w14:paraId="032F2404" w14:textId="77777777" w:rsidR="00924664" w:rsidRPr="005119ED" w:rsidRDefault="00924664" w:rsidP="00924664">
      <w:pPr>
        <w:pStyle w:val="FootnoteText"/>
      </w:pPr>
      <w:r>
        <w:rPr>
          <w:rStyle w:val="FootnoteReference"/>
        </w:rPr>
        <w:footnoteRef/>
      </w:r>
      <w:r>
        <w:t xml:space="preserve"> ACTU submission</w:t>
      </w:r>
      <w:r w:rsidRPr="0026612C">
        <w:t xml:space="preserve"> </w:t>
      </w:r>
      <w:r>
        <w:t>in response to draft report, 17.</w:t>
      </w:r>
    </w:p>
  </w:footnote>
  <w:footnote w:id="748">
    <w:p w14:paraId="42856B92" w14:textId="77777777" w:rsidR="00924664" w:rsidRPr="00B92918" w:rsidRDefault="00924664" w:rsidP="00924664">
      <w:pPr>
        <w:pStyle w:val="FootnoteText"/>
      </w:pPr>
      <w:r>
        <w:rPr>
          <w:rStyle w:val="FootnoteReference"/>
        </w:rPr>
        <w:footnoteRef/>
      </w:r>
      <w:r>
        <w:t xml:space="preserve"> ACTU submission</w:t>
      </w:r>
      <w:r w:rsidRPr="0026612C">
        <w:t xml:space="preserve"> </w:t>
      </w:r>
      <w:r>
        <w:t>in response to draft report, 17.</w:t>
      </w:r>
    </w:p>
  </w:footnote>
  <w:footnote w:id="749">
    <w:p w14:paraId="137C89C6" w14:textId="77777777" w:rsidR="00924664" w:rsidRPr="000F2DE9" w:rsidRDefault="00924664" w:rsidP="00924664">
      <w:pPr>
        <w:pStyle w:val="FootnoteText"/>
      </w:pPr>
      <w:r>
        <w:rPr>
          <w:rStyle w:val="FootnoteReference"/>
        </w:rPr>
        <w:footnoteRef/>
      </w:r>
      <w:r>
        <w:t xml:space="preserve"> ACTU submission</w:t>
      </w:r>
      <w:r w:rsidRPr="00E701BB">
        <w:t xml:space="preserve"> </w:t>
      </w:r>
      <w:r>
        <w:t>in response to draft report, 18.</w:t>
      </w:r>
    </w:p>
  </w:footnote>
  <w:footnote w:id="750">
    <w:p w14:paraId="2BBE3138" w14:textId="0C466CB3" w:rsidR="00924664" w:rsidRPr="00B577F3" w:rsidRDefault="00924664" w:rsidP="00924664">
      <w:pPr>
        <w:pStyle w:val="FootnoteText"/>
      </w:pPr>
      <w:r>
        <w:rPr>
          <w:rStyle w:val="FootnoteReference"/>
        </w:rPr>
        <w:footnoteRef/>
      </w:r>
      <w:r>
        <w:t xml:space="preserve"> AWU submission</w:t>
      </w:r>
      <w:r w:rsidRPr="00E701BB">
        <w:t xml:space="preserve"> </w:t>
      </w:r>
      <w:r>
        <w:t>in response to draft report, 2, 4; UWU submission</w:t>
      </w:r>
      <w:r w:rsidRPr="00E701BB">
        <w:t xml:space="preserve"> </w:t>
      </w:r>
      <w:r>
        <w:t xml:space="preserve">in response to draft report, 4; </w:t>
      </w:r>
      <w:r w:rsidR="000F40DF" w:rsidRPr="000F40DF">
        <w:t xml:space="preserve">National Tertiary Education Union </w:t>
      </w:r>
      <w:r w:rsidR="000F40DF">
        <w:t>(</w:t>
      </w:r>
      <w:r>
        <w:t>NTEU</w:t>
      </w:r>
      <w:r w:rsidR="000F40DF">
        <w:t>)</w:t>
      </w:r>
      <w:r>
        <w:t xml:space="preserve"> submission</w:t>
      </w:r>
      <w:r w:rsidRPr="00E701BB">
        <w:t xml:space="preserve"> </w:t>
      </w:r>
      <w:r>
        <w:t xml:space="preserve">in response to draft report, 1; </w:t>
      </w:r>
      <w:r w:rsidR="000F40DF" w:rsidRPr="000F40DF">
        <w:t xml:space="preserve">Australian Services Union </w:t>
      </w:r>
      <w:r w:rsidR="000F40DF">
        <w:t>(</w:t>
      </w:r>
      <w:r>
        <w:t>ASU</w:t>
      </w:r>
      <w:r w:rsidR="000F40DF">
        <w:t>)</w:t>
      </w:r>
      <w:r>
        <w:t xml:space="preserve"> submission</w:t>
      </w:r>
      <w:r w:rsidRPr="00E701BB">
        <w:t xml:space="preserve"> </w:t>
      </w:r>
      <w:r>
        <w:t xml:space="preserve">in response to draft report, 1; </w:t>
      </w:r>
      <w:r w:rsidR="000F40DF" w:rsidRPr="000F40DF">
        <w:t xml:space="preserve">Australian Manufacturing Workers’ Union </w:t>
      </w:r>
      <w:r w:rsidR="000F40DF">
        <w:t>(</w:t>
      </w:r>
      <w:r>
        <w:t>AMWU</w:t>
      </w:r>
      <w:r w:rsidR="000F40DF">
        <w:t>)</w:t>
      </w:r>
      <w:r>
        <w:t xml:space="preserve"> submission</w:t>
      </w:r>
      <w:r w:rsidRPr="00E701BB">
        <w:t xml:space="preserve"> </w:t>
      </w:r>
      <w:r>
        <w:t>in response to draft report, 1; MEU submission</w:t>
      </w:r>
      <w:r w:rsidRPr="00E701BB">
        <w:t xml:space="preserve"> </w:t>
      </w:r>
      <w:r>
        <w:t xml:space="preserve">in response to draft report, 3; </w:t>
      </w:r>
      <w:r w:rsidR="000F40DF" w:rsidRPr="000F40DF">
        <w:t xml:space="preserve">Australian Nursing and Midwifery Federation </w:t>
      </w:r>
      <w:r w:rsidR="000F40DF">
        <w:t>(</w:t>
      </w:r>
      <w:r>
        <w:t>ANMF</w:t>
      </w:r>
      <w:r w:rsidR="000F40DF">
        <w:t>)</w:t>
      </w:r>
      <w:r>
        <w:t xml:space="preserve"> submission</w:t>
      </w:r>
      <w:r w:rsidRPr="00E701BB">
        <w:t xml:space="preserve"> </w:t>
      </w:r>
      <w:r>
        <w:t>in response to draft report, 3; CPSU (PSU Group) submission</w:t>
      </w:r>
      <w:r w:rsidRPr="00E701BB">
        <w:t xml:space="preserve"> </w:t>
      </w:r>
      <w:r>
        <w:t>in response to draft report, 5.</w:t>
      </w:r>
    </w:p>
  </w:footnote>
  <w:footnote w:id="751">
    <w:p w14:paraId="2B957BE9" w14:textId="76881B1F" w:rsidR="00CB4543" w:rsidRPr="00AA7982" w:rsidRDefault="00CB4543" w:rsidP="00CB4543">
      <w:pPr>
        <w:pStyle w:val="FootnoteText"/>
      </w:pPr>
      <w:r>
        <w:rPr>
          <w:rStyle w:val="FootnoteReference"/>
        </w:rPr>
        <w:footnoteRef/>
      </w:r>
      <w:r>
        <w:t xml:space="preserve"> </w:t>
      </w:r>
      <w:r w:rsidR="000F40DF">
        <w:t>Electrical Trades Union (</w:t>
      </w:r>
      <w:r>
        <w:t>ETU</w:t>
      </w:r>
      <w:r w:rsidR="000F40DF">
        <w:t>)</w:t>
      </w:r>
      <w:r>
        <w:t xml:space="preserve"> submission</w:t>
      </w:r>
      <w:r w:rsidRPr="00842D5B">
        <w:t xml:space="preserve"> </w:t>
      </w:r>
      <w:r>
        <w:t>in response to draft report, 4.</w:t>
      </w:r>
    </w:p>
  </w:footnote>
  <w:footnote w:id="752">
    <w:p w14:paraId="69A0A5D5" w14:textId="77777777" w:rsidR="00924664" w:rsidRDefault="00924664" w:rsidP="00924664">
      <w:pPr>
        <w:pStyle w:val="FootnoteText"/>
      </w:pPr>
      <w:r>
        <w:rPr>
          <w:rStyle w:val="FootnoteReference"/>
        </w:rPr>
        <w:footnoteRef/>
      </w:r>
      <w:r>
        <w:t xml:space="preserve"> P</w:t>
      </w:r>
      <w:r w:rsidRPr="00E73B66">
        <w:t xml:space="preserve">ursuant to s 33(3) of the </w:t>
      </w:r>
      <w:r w:rsidRPr="003A70FF">
        <w:rPr>
          <w:i/>
        </w:rPr>
        <w:t>Acts Interpretation Act 1901</w:t>
      </w:r>
      <w:r w:rsidRPr="00E73B66">
        <w:t xml:space="preserve"> (Cth) as in force on 25 June 2009, the Statement of Principles on Genuine Agreement may be varied by the </w:t>
      </w:r>
      <w:r>
        <w:t>FWC</w:t>
      </w:r>
      <w:r w:rsidRPr="00E73B66">
        <w:t xml:space="preserve"> from time to time</w:t>
      </w:r>
      <w:r>
        <w:t>.</w:t>
      </w:r>
    </w:p>
  </w:footnote>
  <w:footnote w:id="753">
    <w:p w14:paraId="5306C44E" w14:textId="488BDCD0" w:rsidR="00924664" w:rsidRPr="00A03B67" w:rsidRDefault="00924664" w:rsidP="00924664">
      <w:pPr>
        <w:pStyle w:val="FootnoteText"/>
      </w:pPr>
      <w:r w:rsidRPr="00A03B67">
        <w:rPr>
          <w:rStyle w:val="FootnoteReference"/>
        </w:rPr>
        <w:footnoteRef/>
      </w:r>
      <w:r w:rsidR="00984B47">
        <w:t xml:space="preserve"> </w:t>
      </w:r>
      <w:r w:rsidRPr="00A03B67">
        <w:t>Jobs and Skills Summit</w:t>
      </w:r>
      <w:r w:rsidR="00984B47">
        <w:t>,</w:t>
      </w:r>
      <w:r w:rsidRPr="00A03B67">
        <w:t xml:space="preserve"> September 2022 – Outcomes, 7.</w:t>
      </w:r>
    </w:p>
  </w:footnote>
  <w:footnote w:id="754">
    <w:p w14:paraId="45A5BBB4"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s 193(1) (as at 11 September 2021 </w:t>
      </w:r>
      <w:r w:rsidRPr="00A03B67">
        <w:rPr>
          <w:rFonts w:ascii="Symbol" w:eastAsia="Symbol" w:hAnsi="Symbol" w:cs="Symbol"/>
        </w:rPr>
        <w:t>-</w:t>
      </w:r>
      <w:r w:rsidRPr="00A03B67">
        <w:t> 06 December 2022).</w:t>
      </w:r>
    </w:p>
  </w:footnote>
  <w:footnote w:id="755">
    <w:p w14:paraId="021EBA4B"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 xml:space="preserve">Re Armacell Australia Pty Ltd </w:t>
      </w:r>
      <w:r w:rsidRPr="00A03B67">
        <w:t>[2010] FWAFB 9985 [41].</w:t>
      </w:r>
    </w:p>
  </w:footnote>
  <w:footnote w:id="756">
    <w:p w14:paraId="6FDD70D0"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 xml:space="preserve">Fair Work Act 2009 </w:t>
      </w:r>
      <w:r w:rsidRPr="00A03B67">
        <w:t>(Cth)</w:t>
      </w:r>
      <w:r w:rsidRPr="00A03B67">
        <w:rPr>
          <w:i/>
          <w:iCs/>
        </w:rPr>
        <w:t xml:space="preserve"> </w:t>
      </w:r>
      <w:r w:rsidRPr="00A03B67">
        <w:t>s 193A(2) (emphasis added).</w:t>
      </w:r>
    </w:p>
  </w:footnote>
  <w:footnote w:id="757">
    <w:p w14:paraId="1D3DC3CB"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s 193A(2)(a).</w:t>
      </w:r>
    </w:p>
  </w:footnote>
  <w:footnote w:id="758">
    <w:p w14:paraId="658D0043"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s 193A(3).</w:t>
      </w:r>
    </w:p>
  </w:footnote>
  <w:footnote w:id="759">
    <w:p w14:paraId="6D4FE90C"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s 193A(4).</w:t>
      </w:r>
    </w:p>
  </w:footnote>
  <w:footnote w:id="760">
    <w:p w14:paraId="2DAC61FA" w14:textId="77777777" w:rsidR="00924664" w:rsidRPr="00A03B67" w:rsidRDefault="00924664" w:rsidP="00924664">
      <w:pPr>
        <w:pStyle w:val="FootnoteText"/>
      </w:pPr>
      <w:r w:rsidRPr="00A03B67">
        <w:rPr>
          <w:rStyle w:val="FootnoteReference"/>
        </w:rPr>
        <w:footnoteRef/>
      </w:r>
      <w:r w:rsidRPr="00A03B67">
        <w:t xml:space="preserve"> See e.g. E Hannan, ‘Wage Growth Won’t Happen without Meaningful Change’, </w:t>
      </w:r>
      <w:r w:rsidRPr="00A03B67">
        <w:rPr>
          <w:i/>
          <w:iCs/>
        </w:rPr>
        <w:t xml:space="preserve">The Australian, </w:t>
      </w:r>
      <w:r w:rsidRPr="00A03B67">
        <w:t>23 April 2022.</w:t>
      </w:r>
    </w:p>
  </w:footnote>
  <w:footnote w:id="761">
    <w:p w14:paraId="49378DF5"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s 193(1).</w:t>
      </w:r>
    </w:p>
  </w:footnote>
  <w:footnote w:id="762">
    <w:p w14:paraId="734DDD8C" w14:textId="77777777" w:rsidR="00924664" w:rsidRPr="00A03B67" w:rsidRDefault="00924664" w:rsidP="00924664">
      <w:pPr>
        <w:pStyle w:val="FootnoteText"/>
      </w:pPr>
      <w:r w:rsidRPr="00A03B67">
        <w:rPr>
          <w:rStyle w:val="FootnoteReference"/>
        </w:rPr>
        <w:footnoteRef/>
      </w:r>
      <w:r w:rsidRPr="00A03B67">
        <w:t xml:space="preserve"> </w:t>
      </w:r>
      <w:r w:rsidRPr="00A03B67">
        <w:rPr>
          <w:i/>
        </w:rPr>
        <w:t>Fair Work Act 2009</w:t>
      </w:r>
      <w:r w:rsidRPr="00A03B67">
        <w:t xml:space="preserve"> (Cth) s193A(6).</w:t>
      </w:r>
    </w:p>
  </w:footnote>
  <w:footnote w:id="763">
    <w:p w14:paraId="0D393322" w14:textId="77777777" w:rsidR="00924664" w:rsidRPr="00A03B67" w:rsidRDefault="00924664" w:rsidP="00924664">
      <w:pPr>
        <w:pStyle w:val="FootnoteText"/>
      </w:pPr>
      <w:r w:rsidRPr="00A03B67">
        <w:rPr>
          <w:rStyle w:val="FootnoteReference"/>
        </w:rPr>
        <w:footnoteRef/>
      </w:r>
      <w:r w:rsidRPr="00A03B67">
        <w:t xml:space="preserve"> </w:t>
      </w:r>
      <w:r w:rsidRPr="00A03B67">
        <w:rPr>
          <w:i/>
        </w:rPr>
        <w:t>Fair Work Act 2009</w:t>
      </w:r>
      <w:r w:rsidRPr="00A03B67">
        <w:t xml:space="preserve"> (Cth) s 191A(3).</w:t>
      </w:r>
    </w:p>
  </w:footnote>
  <w:footnote w:id="764">
    <w:p w14:paraId="666B48C9" w14:textId="77777777" w:rsidR="00924664" w:rsidRPr="00A03B67" w:rsidRDefault="00924664" w:rsidP="00924664">
      <w:pPr>
        <w:pStyle w:val="FootnoteText"/>
      </w:pPr>
      <w:r w:rsidRPr="00A03B67">
        <w:rPr>
          <w:rStyle w:val="FootnoteReference"/>
        </w:rPr>
        <w:footnoteRef/>
      </w:r>
      <w:r w:rsidRPr="00A03B67">
        <w:t xml:space="preserve"> Explanatory Memorandum, Fair Work Legislation Amendment (Secure Jobs, Better Pay) Bill 2022, 136</w:t>
      </w:r>
      <w:r w:rsidRPr="00A03B67">
        <w:rPr>
          <w:rFonts w:ascii="Symbol" w:eastAsia="Symbol" w:hAnsi="Symbol" w:cs="Symbol"/>
        </w:rPr>
        <w:t>-</w:t>
      </w:r>
      <w:r w:rsidRPr="00A03B67">
        <w:t>137 [736].</w:t>
      </w:r>
    </w:p>
  </w:footnote>
  <w:footnote w:id="765">
    <w:p w14:paraId="3CD43205" w14:textId="77777777" w:rsidR="00924664" w:rsidRPr="00A03B67" w:rsidRDefault="00924664" w:rsidP="00924664">
      <w:pPr>
        <w:pStyle w:val="FootnoteText"/>
      </w:pPr>
      <w:r w:rsidRPr="00A03B67">
        <w:rPr>
          <w:rStyle w:val="FootnoteReference"/>
        </w:rPr>
        <w:footnoteRef/>
      </w:r>
      <w:r w:rsidRPr="00A03B67">
        <w:t xml:space="preserve"> </w:t>
      </w:r>
      <w:r w:rsidRPr="00A03B67">
        <w:rPr>
          <w:i/>
        </w:rPr>
        <w:t>Fair Work Act 2009</w:t>
      </w:r>
      <w:r w:rsidRPr="00A03B67">
        <w:t xml:space="preserve"> (Cth) s 227A.</w:t>
      </w:r>
    </w:p>
  </w:footnote>
  <w:footnote w:id="766">
    <w:p w14:paraId="338FABFB"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s 227A(2).</w:t>
      </w:r>
    </w:p>
  </w:footnote>
  <w:footnote w:id="767">
    <w:p w14:paraId="29C57E92" w14:textId="77777777" w:rsidR="00924664" w:rsidRPr="00A03B67" w:rsidRDefault="00924664" w:rsidP="00924664">
      <w:pPr>
        <w:pStyle w:val="FootnoteText"/>
      </w:pPr>
      <w:r w:rsidRPr="00A03B67">
        <w:rPr>
          <w:rStyle w:val="FootnoteReference"/>
        </w:rPr>
        <w:footnoteRef/>
      </w:r>
      <w:r w:rsidRPr="00A03B67">
        <w:t xml:space="preserve"> </w:t>
      </w:r>
      <w:r w:rsidRPr="004557AC">
        <w:rPr>
          <w:i/>
          <w:iCs/>
        </w:rPr>
        <w:t>Fair Work Act 2009</w:t>
      </w:r>
      <w:r w:rsidRPr="00A03B67">
        <w:t xml:space="preserve"> (Cth) s 227B(3).</w:t>
      </w:r>
    </w:p>
  </w:footnote>
  <w:footnote w:id="768">
    <w:p w14:paraId="18957E55" w14:textId="77777777" w:rsidR="00924664" w:rsidRPr="00A03B67" w:rsidRDefault="00924664" w:rsidP="00924664">
      <w:pPr>
        <w:pStyle w:val="FootnoteText"/>
      </w:pPr>
      <w:r w:rsidRPr="00A03B67">
        <w:rPr>
          <w:rStyle w:val="FootnoteReference"/>
        </w:rPr>
        <w:footnoteRef/>
      </w:r>
      <w:r w:rsidRPr="00A03B67">
        <w:t xml:space="preserve"> Senate Education and Employment Committee, Parliament of Australia, </w:t>
      </w:r>
      <w:r w:rsidRPr="00A03B67">
        <w:rPr>
          <w:i/>
          <w:iCs/>
        </w:rPr>
        <w:t>Fair Work Legislation Amendment (Secure Jobs, Better Pay) Bill 2022 [Provisions]</w:t>
      </w:r>
      <w:r w:rsidRPr="00A03B67">
        <w:t xml:space="preserve"> (Report, 2022) [1.48] &lt;https://parlinfo.aph.gov.au/parlInfo/download/committees/reportsen/025002/toc_pdf/FairWorkLegislationAmendment(SecureJobs,BetterPay)Bill2022%5bProvisions%5d.pdf;fileType=application%2Fpdf&gt;.</w:t>
      </w:r>
    </w:p>
  </w:footnote>
  <w:footnote w:id="769">
    <w:p w14:paraId="3A1C4DCF" w14:textId="77777777" w:rsidR="00924664" w:rsidRPr="00A03B67" w:rsidRDefault="00924664" w:rsidP="00924664">
      <w:pPr>
        <w:pStyle w:val="FootnoteText"/>
      </w:pPr>
      <w:r w:rsidRPr="00A03B67">
        <w:rPr>
          <w:rStyle w:val="FootnoteReference"/>
        </w:rPr>
        <w:footnoteRef/>
      </w:r>
      <w:r w:rsidRPr="00A03B67">
        <w:t xml:space="preserve"> Explanatory Memorandum, Fair Work Legislation Amendment (Secure Jobs, Better Pay) Bill 2022, 137 [734].</w:t>
      </w:r>
    </w:p>
  </w:footnote>
  <w:footnote w:id="770">
    <w:p w14:paraId="6AE1CA40" w14:textId="77777777" w:rsidR="00924664" w:rsidRPr="00A03B67" w:rsidRDefault="00924664" w:rsidP="00924664">
      <w:pPr>
        <w:pStyle w:val="FootnoteText"/>
      </w:pPr>
      <w:r w:rsidRPr="00A03B67">
        <w:rPr>
          <w:rStyle w:val="FootnoteReference"/>
        </w:rPr>
        <w:footnoteRef/>
      </w:r>
      <w:r w:rsidRPr="00A03B67">
        <w:t xml:space="preserve"> Explanatory Memorandum, Fair Work Legislation Amendment (Secure Jobs, Better Pay) Bill 2022, 137 [736].</w:t>
      </w:r>
    </w:p>
  </w:footnote>
  <w:footnote w:id="771">
    <w:p w14:paraId="7318E119" w14:textId="77777777" w:rsidR="00924664" w:rsidRPr="00A03B67" w:rsidRDefault="00924664" w:rsidP="00924664">
      <w:pPr>
        <w:pStyle w:val="FootnoteText"/>
      </w:pPr>
      <w:r w:rsidRPr="00A03B67">
        <w:rPr>
          <w:rStyle w:val="FootnoteReference"/>
        </w:rPr>
        <w:footnoteRef/>
      </w:r>
      <w:r w:rsidRPr="00A03B67">
        <w:t xml:space="preserve"> In 2017</w:t>
      </w:r>
      <w:r w:rsidRPr="00A03B67">
        <w:rPr>
          <w:rFonts w:ascii="Symbol" w:eastAsia="Symbol" w:hAnsi="Symbol" w:cs="Symbol"/>
        </w:rPr>
        <w:t>-</w:t>
      </w:r>
      <w:r w:rsidRPr="00A03B67">
        <w:t>18 the FWC received a total of 31,554 applications and in 2023</w:t>
      </w:r>
      <w:r w:rsidRPr="00A03B67">
        <w:rPr>
          <w:rFonts w:ascii="Symbol" w:eastAsia="Symbol" w:hAnsi="Symbol" w:cs="Symbol"/>
        </w:rPr>
        <w:t>-</w:t>
      </w:r>
      <w:r w:rsidRPr="00A03B67">
        <w:t>24 the FWC received a total of 40,190 applications (FWC annual reports).</w:t>
      </w:r>
    </w:p>
  </w:footnote>
  <w:footnote w:id="772">
    <w:p w14:paraId="1C8072FF" w14:textId="77777777" w:rsidR="00924664" w:rsidRPr="00A03B67" w:rsidRDefault="00924664" w:rsidP="00924664">
      <w:pPr>
        <w:pStyle w:val="FootnoteText"/>
      </w:pPr>
      <w:r w:rsidRPr="00A03B67">
        <w:rPr>
          <w:rStyle w:val="FootnoteReference"/>
        </w:rPr>
        <w:footnoteRef/>
      </w:r>
      <w:r w:rsidRPr="00A03B67">
        <w:t xml:space="preserve"> </w:t>
      </w:r>
      <w:r w:rsidRPr="00A03B67">
        <w:rPr>
          <w:lang w:val="en-US"/>
        </w:rPr>
        <w:t xml:space="preserve">Fair Work Commission, </w:t>
      </w:r>
      <w:r w:rsidRPr="00A03B67">
        <w:rPr>
          <w:i/>
          <w:iCs/>
          <w:lang w:val="en-US"/>
        </w:rPr>
        <w:t>Annual Report 2018–19</w:t>
      </w:r>
      <w:r w:rsidRPr="00A03B67">
        <w:rPr>
          <w:lang w:val="en-US"/>
        </w:rPr>
        <w:t xml:space="preserve"> (Report, 2019) 70.</w:t>
      </w:r>
    </w:p>
  </w:footnote>
  <w:footnote w:id="773">
    <w:p w14:paraId="06C85E4E" w14:textId="77777777" w:rsidR="00924664" w:rsidRPr="00A03B67" w:rsidRDefault="00924664" w:rsidP="00924664">
      <w:pPr>
        <w:pStyle w:val="FootnoteText"/>
      </w:pPr>
      <w:r w:rsidRPr="00A03B67">
        <w:rPr>
          <w:rStyle w:val="FootnoteReference"/>
        </w:rPr>
        <w:footnoteRef/>
      </w:r>
      <w:r w:rsidRPr="00A03B67">
        <w:t xml:space="preserve"> Fair Work Commission, </w:t>
      </w:r>
      <w:r w:rsidRPr="00A03B67">
        <w:rPr>
          <w:i/>
          <w:iCs/>
        </w:rPr>
        <w:t>Annual Report 2017–18</w:t>
      </w:r>
      <w:r w:rsidRPr="00A03B67">
        <w:t xml:space="preserve"> (Report, 2018).</w:t>
      </w:r>
    </w:p>
  </w:footnote>
  <w:footnote w:id="774">
    <w:p w14:paraId="4FD69C9E" w14:textId="77777777" w:rsidR="00924664" w:rsidRPr="00A03B67" w:rsidRDefault="00924664" w:rsidP="00924664">
      <w:pPr>
        <w:pStyle w:val="FootnoteText"/>
      </w:pPr>
      <w:r w:rsidRPr="00A03B67">
        <w:rPr>
          <w:rStyle w:val="FootnoteReference"/>
        </w:rPr>
        <w:footnoteRef/>
      </w:r>
      <w:r w:rsidRPr="00A03B67">
        <w:t xml:space="preserve"> </w:t>
      </w:r>
      <w:r w:rsidRPr="00A03B67">
        <w:rPr>
          <w:lang w:val="en-US"/>
        </w:rPr>
        <w:t xml:space="preserve">Fair Work Commission, </w:t>
      </w:r>
      <w:r w:rsidRPr="00A03B67">
        <w:rPr>
          <w:i/>
          <w:iCs/>
          <w:lang w:val="en-US"/>
        </w:rPr>
        <w:t>Annual Report 2018–19</w:t>
      </w:r>
      <w:r w:rsidRPr="00A03B67">
        <w:t xml:space="preserve"> (Report, 2019).</w:t>
      </w:r>
    </w:p>
  </w:footnote>
  <w:footnote w:id="775">
    <w:p w14:paraId="774341C5" w14:textId="77777777" w:rsidR="00924664" w:rsidRPr="00A03B67" w:rsidRDefault="00924664" w:rsidP="00924664">
      <w:pPr>
        <w:pStyle w:val="FootnoteText"/>
      </w:pPr>
      <w:r w:rsidRPr="00A03B67">
        <w:rPr>
          <w:rStyle w:val="FootnoteReference"/>
        </w:rPr>
        <w:footnoteRef/>
      </w:r>
      <w:r w:rsidRPr="00A03B67">
        <w:t xml:space="preserve"> Fair Work Commission, </w:t>
      </w:r>
      <w:r w:rsidRPr="00A03B67">
        <w:rPr>
          <w:i/>
          <w:iCs/>
        </w:rPr>
        <w:t>Annual Report 2019</w:t>
      </w:r>
      <w:r w:rsidRPr="00A03B67">
        <w:rPr>
          <w:rFonts w:ascii="Symbol" w:eastAsia="Symbol" w:hAnsi="Symbol" w:cs="Symbol"/>
          <w:i/>
          <w:iCs/>
        </w:rPr>
        <w:t>-</w:t>
      </w:r>
      <w:r w:rsidRPr="00A03B67">
        <w:rPr>
          <w:i/>
          <w:iCs/>
        </w:rPr>
        <w:t>20</w:t>
      </w:r>
      <w:r w:rsidRPr="00A03B67">
        <w:t xml:space="preserve"> (Report, 2020) ‘Access to justice’.</w:t>
      </w:r>
    </w:p>
  </w:footnote>
  <w:footnote w:id="776">
    <w:p w14:paraId="6A3F23BE" w14:textId="77777777" w:rsidR="00924664" w:rsidRPr="00A03B67" w:rsidRDefault="00924664" w:rsidP="00924664">
      <w:pPr>
        <w:pStyle w:val="FootnoteText"/>
      </w:pPr>
      <w:r w:rsidRPr="00A03B67">
        <w:rPr>
          <w:rStyle w:val="FootnoteReference"/>
        </w:rPr>
        <w:footnoteRef/>
      </w:r>
      <w:r w:rsidRPr="00A03B67">
        <w:t xml:space="preserve"> Fair Work Commission, </w:t>
      </w:r>
      <w:r w:rsidRPr="00A03B67">
        <w:rPr>
          <w:i/>
          <w:iCs/>
        </w:rPr>
        <w:t>Annual Report 2020</w:t>
      </w:r>
      <w:r w:rsidRPr="00A03B67">
        <w:rPr>
          <w:rFonts w:ascii="Symbol" w:eastAsia="Symbol" w:hAnsi="Symbol" w:cs="Symbol"/>
          <w:i/>
          <w:iCs/>
        </w:rPr>
        <w:t>-</w:t>
      </w:r>
      <w:r w:rsidRPr="00A03B67">
        <w:rPr>
          <w:i/>
          <w:iCs/>
        </w:rPr>
        <w:t>21</w:t>
      </w:r>
      <w:r w:rsidRPr="00A03B67">
        <w:t xml:space="preserve"> (Report, 2021) ‘Access to justice’.</w:t>
      </w:r>
    </w:p>
  </w:footnote>
  <w:footnote w:id="777">
    <w:p w14:paraId="134B0F8F" w14:textId="77777777" w:rsidR="00924664" w:rsidRPr="00A03B67" w:rsidRDefault="00924664" w:rsidP="00924664">
      <w:pPr>
        <w:pStyle w:val="FootnoteText"/>
      </w:pPr>
      <w:r w:rsidRPr="00A03B67">
        <w:rPr>
          <w:rStyle w:val="FootnoteReference"/>
        </w:rPr>
        <w:footnoteRef/>
      </w:r>
      <w:r w:rsidRPr="00A03B67">
        <w:t xml:space="preserve"> Fair Work Commission, </w:t>
      </w:r>
      <w:r w:rsidRPr="00A03B67">
        <w:rPr>
          <w:i/>
          <w:iCs/>
        </w:rPr>
        <w:t>Annual Report 2021</w:t>
      </w:r>
      <w:r w:rsidRPr="00A03B67">
        <w:rPr>
          <w:rFonts w:ascii="Symbol" w:eastAsia="Symbol" w:hAnsi="Symbol" w:cs="Symbol"/>
          <w:i/>
          <w:iCs/>
        </w:rPr>
        <w:t>-</w:t>
      </w:r>
      <w:r w:rsidRPr="00A03B67">
        <w:rPr>
          <w:i/>
          <w:iCs/>
        </w:rPr>
        <w:t>22</w:t>
      </w:r>
      <w:r w:rsidRPr="00A03B67">
        <w:t xml:space="preserve"> (Report, 2022).</w:t>
      </w:r>
    </w:p>
  </w:footnote>
  <w:footnote w:id="778">
    <w:p w14:paraId="41A0AB21" w14:textId="77777777" w:rsidR="00924664" w:rsidRPr="00A03B67" w:rsidRDefault="00924664" w:rsidP="00924664">
      <w:pPr>
        <w:pStyle w:val="FootnoteText"/>
      </w:pPr>
      <w:r w:rsidRPr="00A03B67">
        <w:rPr>
          <w:rStyle w:val="FootnoteReference"/>
        </w:rPr>
        <w:footnoteRef/>
      </w:r>
      <w:r w:rsidRPr="00A03B67">
        <w:t xml:space="preserve"> Fair Work Commission, </w:t>
      </w:r>
      <w:r w:rsidRPr="00A03B67">
        <w:rPr>
          <w:i/>
          <w:iCs/>
        </w:rPr>
        <w:t>Annual Report 2022–23</w:t>
      </w:r>
      <w:r w:rsidRPr="00A03B67">
        <w:t xml:space="preserve"> (Report, 2023).</w:t>
      </w:r>
    </w:p>
  </w:footnote>
  <w:footnote w:id="779">
    <w:p w14:paraId="4BD1E415" w14:textId="77777777" w:rsidR="00924664" w:rsidRPr="00A03B67" w:rsidRDefault="00924664" w:rsidP="00924664">
      <w:pPr>
        <w:pStyle w:val="FootnoteText"/>
      </w:pPr>
      <w:r w:rsidRPr="00A03B67">
        <w:rPr>
          <w:rStyle w:val="FootnoteReference"/>
        </w:rPr>
        <w:footnoteRef/>
      </w:r>
      <w:r w:rsidRPr="00A03B67">
        <w:t xml:space="preserve"> Fair Work Commission, </w:t>
      </w:r>
      <w:r w:rsidRPr="00A03B67">
        <w:rPr>
          <w:i/>
          <w:iCs/>
        </w:rPr>
        <w:t>Annual Report 2023</w:t>
      </w:r>
      <w:r w:rsidRPr="00A03B67">
        <w:rPr>
          <w:rFonts w:ascii="Symbol" w:eastAsia="Symbol" w:hAnsi="Symbol" w:cs="Symbol"/>
          <w:i/>
          <w:iCs/>
        </w:rPr>
        <w:t>-</w:t>
      </w:r>
      <w:r w:rsidRPr="00A03B67">
        <w:rPr>
          <w:i/>
          <w:iCs/>
        </w:rPr>
        <w:t>24</w:t>
      </w:r>
      <w:r w:rsidRPr="00A03B67">
        <w:t xml:space="preserve"> (Report, 2024).</w:t>
      </w:r>
    </w:p>
  </w:footnote>
  <w:footnote w:id="780">
    <w:p w14:paraId="4E27E454" w14:textId="77777777" w:rsidR="00924664" w:rsidRPr="00A03B67" w:rsidRDefault="00924664" w:rsidP="00924664">
      <w:pPr>
        <w:pStyle w:val="FootnoteText"/>
      </w:pPr>
      <w:r w:rsidRPr="00A03B67">
        <w:rPr>
          <w:rStyle w:val="FootnoteReference"/>
        </w:rPr>
        <w:footnoteRef/>
      </w:r>
      <w:r w:rsidRPr="00A03B67">
        <w:t xml:space="preserve"> Fair Work Commission, </w:t>
      </w:r>
      <w:r w:rsidRPr="00A03B67">
        <w:rPr>
          <w:i/>
          <w:iCs/>
        </w:rPr>
        <w:t>Annual Report 2022–23</w:t>
      </w:r>
      <w:r w:rsidRPr="00A03B67">
        <w:t xml:space="preserve"> (Report, 2023) 64.</w:t>
      </w:r>
    </w:p>
  </w:footnote>
  <w:footnote w:id="781">
    <w:p w14:paraId="6B6F372A" w14:textId="77777777" w:rsidR="00924664" w:rsidRPr="00A03B67" w:rsidRDefault="00924664" w:rsidP="00924664">
      <w:pPr>
        <w:pStyle w:val="FootnoteText"/>
      </w:pPr>
      <w:r w:rsidRPr="00A03B67">
        <w:rPr>
          <w:rStyle w:val="FootnoteReference"/>
        </w:rPr>
        <w:footnoteRef/>
      </w:r>
      <w:r w:rsidRPr="00A03B67">
        <w:t xml:space="preserve"> Fair Work Commission, </w:t>
      </w:r>
      <w:r w:rsidRPr="00A03B67">
        <w:rPr>
          <w:i/>
          <w:iCs/>
        </w:rPr>
        <w:t>Annual Report 2023</w:t>
      </w:r>
      <w:r w:rsidRPr="00A03B67">
        <w:rPr>
          <w:rFonts w:ascii="Symbol" w:eastAsia="Symbol" w:hAnsi="Symbol" w:cs="Symbol"/>
          <w:i/>
          <w:iCs/>
        </w:rPr>
        <w:t>-</w:t>
      </w:r>
      <w:r w:rsidRPr="00A03B67">
        <w:rPr>
          <w:i/>
          <w:iCs/>
        </w:rPr>
        <w:t>24</w:t>
      </w:r>
      <w:r w:rsidRPr="00A03B67">
        <w:t xml:space="preserve"> (Report, 2024) 63.</w:t>
      </w:r>
    </w:p>
  </w:footnote>
  <w:footnote w:id="782">
    <w:p w14:paraId="24A43F7E" w14:textId="602B0D21" w:rsidR="00924664" w:rsidRPr="00A03B67" w:rsidRDefault="00924664" w:rsidP="00924664">
      <w:pPr>
        <w:pStyle w:val="FootnoteText"/>
      </w:pPr>
      <w:r w:rsidRPr="00A03B67">
        <w:rPr>
          <w:rStyle w:val="FootnoteReference"/>
        </w:rPr>
        <w:footnoteRef/>
      </w:r>
      <w:r w:rsidRPr="00A03B67">
        <w:t xml:space="preserve"> </w:t>
      </w:r>
      <w:r w:rsidRPr="00A03B67">
        <w:rPr>
          <w:i/>
          <w:iCs/>
        </w:rPr>
        <w:t xml:space="preserve">Application by Kinetic (Melbourne) Pty Ltd T/A Kinetic </w:t>
      </w:r>
      <w:r w:rsidRPr="00A03B67">
        <w:t>[2023] FWCA 3966</w:t>
      </w:r>
      <w:r w:rsidRPr="004972E1">
        <w:rPr>
          <w:rStyle w:val="Hyperlink"/>
          <w:color w:val="auto"/>
          <w:u w:val="none"/>
        </w:rPr>
        <w:t xml:space="preserve"> [2].</w:t>
      </w:r>
    </w:p>
  </w:footnote>
  <w:footnote w:id="783">
    <w:p w14:paraId="4C249AB7" w14:textId="39893E7A" w:rsidR="00924664" w:rsidRPr="00A03B67" w:rsidRDefault="00924664" w:rsidP="00924664">
      <w:pPr>
        <w:pStyle w:val="FootnoteText"/>
      </w:pPr>
      <w:r w:rsidRPr="00A03B67" w:rsidDel="009E042C">
        <w:rPr>
          <w:rStyle w:val="FootnoteReference"/>
        </w:rPr>
        <w:footnoteRef/>
      </w:r>
      <w:r w:rsidR="00984B47">
        <w:rPr>
          <w:i/>
        </w:rPr>
        <w:t xml:space="preserve"> </w:t>
      </w:r>
      <w:r w:rsidRPr="00A03B67" w:rsidDel="009E042C">
        <w:rPr>
          <w:i/>
        </w:rPr>
        <w:t xml:space="preserve">Qantas Airways Limited </w:t>
      </w:r>
      <w:r w:rsidRPr="00A03B67">
        <w:rPr>
          <w:i/>
        </w:rPr>
        <w:t>T/A</w:t>
      </w:r>
      <w:r w:rsidRPr="00A03B67" w:rsidDel="009E042C">
        <w:rPr>
          <w:i/>
        </w:rPr>
        <w:t xml:space="preserve"> Qantas Airways Ltd</w:t>
      </w:r>
      <w:r>
        <w:rPr>
          <w:i/>
        </w:rPr>
        <w:t xml:space="preserve"> </w:t>
      </w:r>
      <w:r w:rsidRPr="00A03B67" w:rsidDel="009E042C">
        <w:t>[2024] FWCA 4143.</w:t>
      </w:r>
    </w:p>
  </w:footnote>
  <w:footnote w:id="784">
    <w:p w14:paraId="1D46773C" w14:textId="3E35CB8B" w:rsidR="00085620" w:rsidRPr="00A03B67" w:rsidRDefault="00085620" w:rsidP="00085620">
      <w:pPr>
        <w:pStyle w:val="FootnoteText"/>
      </w:pPr>
      <w:r w:rsidRPr="00A03B67" w:rsidDel="009E042C">
        <w:rPr>
          <w:rStyle w:val="FootnoteReference"/>
        </w:rPr>
        <w:footnoteRef/>
      </w:r>
      <w:r>
        <w:rPr>
          <w:i/>
          <w:iCs/>
        </w:rPr>
        <w:t xml:space="preserve"> </w:t>
      </w:r>
      <w:r w:rsidRPr="00A03B67" w:rsidDel="009E042C">
        <w:rPr>
          <w:i/>
          <w:iCs/>
        </w:rPr>
        <w:t xml:space="preserve">Qantas Airways Limited </w:t>
      </w:r>
      <w:r w:rsidRPr="00A03B67">
        <w:rPr>
          <w:i/>
          <w:iCs/>
        </w:rPr>
        <w:t>T/A</w:t>
      </w:r>
      <w:r w:rsidRPr="00A03B67" w:rsidDel="009E042C">
        <w:rPr>
          <w:i/>
          <w:iCs/>
        </w:rPr>
        <w:t xml:space="preserve"> Qantas Airways Ltd</w:t>
      </w:r>
      <w:r w:rsidRPr="00A03B67" w:rsidDel="009E042C">
        <w:t xml:space="preserve"> [2024] FWCA 4143 [19].</w:t>
      </w:r>
    </w:p>
  </w:footnote>
  <w:footnote w:id="785">
    <w:p w14:paraId="3358F26B" w14:textId="31DBE245" w:rsidR="00085620" w:rsidRPr="00A03B67" w:rsidRDefault="00085620" w:rsidP="00085620">
      <w:pPr>
        <w:pStyle w:val="FootnoteText"/>
      </w:pPr>
      <w:r w:rsidRPr="00A03B67" w:rsidDel="009E042C">
        <w:rPr>
          <w:rStyle w:val="FootnoteReference"/>
        </w:rPr>
        <w:footnoteRef/>
      </w:r>
      <w:r>
        <w:rPr>
          <w:i/>
          <w:iCs/>
        </w:rPr>
        <w:t xml:space="preserve"> </w:t>
      </w:r>
      <w:r w:rsidRPr="00A03B67" w:rsidDel="009E042C">
        <w:rPr>
          <w:i/>
          <w:iCs/>
        </w:rPr>
        <w:t xml:space="preserve">Qantas Airways Limited </w:t>
      </w:r>
      <w:r w:rsidRPr="00A03B67">
        <w:rPr>
          <w:i/>
          <w:iCs/>
        </w:rPr>
        <w:t>T/A</w:t>
      </w:r>
      <w:r w:rsidRPr="00A03B67" w:rsidDel="009E042C">
        <w:rPr>
          <w:i/>
          <w:iCs/>
        </w:rPr>
        <w:t xml:space="preserve"> Qantas Airways Ltd</w:t>
      </w:r>
      <w:r w:rsidRPr="00A03B67" w:rsidDel="009E042C">
        <w:t xml:space="preserve"> [2024] FWCA 4143 [21].</w:t>
      </w:r>
    </w:p>
  </w:footnote>
  <w:footnote w:id="786">
    <w:p w14:paraId="51B2A7A6" w14:textId="78C950E5" w:rsidR="00085620" w:rsidRPr="00A03B67" w:rsidRDefault="00085620" w:rsidP="00085620">
      <w:pPr>
        <w:pStyle w:val="FootnoteText"/>
      </w:pPr>
      <w:r w:rsidRPr="00A03B67" w:rsidDel="009E042C">
        <w:rPr>
          <w:rStyle w:val="FootnoteReference"/>
        </w:rPr>
        <w:footnoteRef/>
      </w:r>
      <w:r>
        <w:rPr>
          <w:i/>
          <w:iCs/>
        </w:rPr>
        <w:t xml:space="preserve"> </w:t>
      </w:r>
      <w:r w:rsidRPr="00A03B67" w:rsidDel="009E042C">
        <w:rPr>
          <w:i/>
          <w:iCs/>
        </w:rPr>
        <w:t xml:space="preserve">Qantas Airways Limited </w:t>
      </w:r>
      <w:r w:rsidRPr="00A03B67">
        <w:rPr>
          <w:i/>
          <w:iCs/>
        </w:rPr>
        <w:t>T/A</w:t>
      </w:r>
      <w:r w:rsidRPr="00A03B67" w:rsidDel="009E042C">
        <w:rPr>
          <w:i/>
          <w:iCs/>
        </w:rPr>
        <w:t xml:space="preserve"> Qantas Airways Ltd</w:t>
      </w:r>
      <w:r w:rsidRPr="00A03B67" w:rsidDel="009E042C">
        <w:t xml:space="preserve"> [2024] FWCA 4143 [33].</w:t>
      </w:r>
    </w:p>
  </w:footnote>
  <w:footnote w:id="787">
    <w:p w14:paraId="015A7476" w14:textId="77777777" w:rsidR="00085620" w:rsidRPr="00A03B67" w:rsidRDefault="00085620" w:rsidP="00085620">
      <w:pPr>
        <w:pStyle w:val="FootnoteText"/>
      </w:pPr>
      <w:r w:rsidRPr="00A03B67" w:rsidDel="009E042C">
        <w:rPr>
          <w:rStyle w:val="FootnoteReference"/>
        </w:rPr>
        <w:footnoteRef/>
      </w:r>
      <w:r>
        <w:rPr>
          <w:i/>
        </w:rPr>
        <w:t xml:space="preserve"> </w:t>
      </w:r>
      <w:r w:rsidRPr="00A03B67" w:rsidDel="009E042C">
        <w:rPr>
          <w:i/>
        </w:rPr>
        <w:t>McMahon Services Australia Pty Ltd</w:t>
      </w:r>
      <w:r w:rsidRPr="00A03B67" w:rsidDel="009E042C">
        <w:t xml:space="preserve"> [2024] FWCA 934.</w:t>
      </w:r>
    </w:p>
  </w:footnote>
  <w:footnote w:id="788">
    <w:p w14:paraId="063287D8" w14:textId="77777777" w:rsidR="00085620" w:rsidRPr="00A03B67" w:rsidRDefault="00085620" w:rsidP="00085620">
      <w:pPr>
        <w:pStyle w:val="FootnoteText"/>
      </w:pPr>
      <w:r w:rsidRPr="00A03B67" w:rsidDel="009E042C">
        <w:rPr>
          <w:rStyle w:val="FootnoteReference"/>
        </w:rPr>
        <w:footnoteRef/>
      </w:r>
      <w:r>
        <w:rPr>
          <w:i/>
          <w:iCs/>
        </w:rPr>
        <w:t xml:space="preserve"> </w:t>
      </w:r>
      <w:r w:rsidRPr="00A03B67" w:rsidDel="009E042C">
        <w:rPr>
          <w:i/>
          <w:iCs/>
        </w:rPr>
        <w:t xml:space="preserve">McMahon Services Australia Pty Ltd </w:t>
      </w:r>
      <w:r w:rsidRPr="00A03B67" w:rsidDel="009E042C">
        <w:t>[2024] FWCA 934 [120].</w:t>
      </w:r>
    </w:p>
  </w:footnote>
  <w:footnote w:id="789">
    <w:p w14:paraId="57FD01A2" w14:textId="77777777" w:rsidR="00085620" w:rsidRPr="00A03B67" w:rsidRDefault="00085620" w:rsidP="00085620">
      <w:pPr>
        <w:pStyle w:val="FootnoteText"/>
      </w:pPr>
      <w:r w:rsidRPr="00A03B67" w:rsidDel="009E042C">
        <w:rPr>
          <w:rStyle w:val="FootnoteReference"/>
        </w:rPr>
        <w:footnoteRef/>
      </w:r>
      <w:r>
        <w:rPr>
          <w:i/>
          <w:iCs/>
        </w:rPr>
        <w:t xml:space="preserve"> </w:t>
      </w:r>
      <w:r w:rsidRPr="00A03B67" w:rsidDel="009E042C">
        <w:rPr>
          <w:i/>
          <w:iCs/>
        </w:rPr>
        <w:t>Skilled Workforce Solutions (NSW) Pty Ltd</w:t>
      </w:r>
      <w:r>
        <w:rPr>
          <w:i/>
          <w:iCs/>
        </w:rPr>
        <w:t xml:space="preserve"> </w:t>
      </w:r>
      <w:r w:rsidRPr="00A03B67" w:rsidDel="009E042C">
        <w:t>[2024] FWC 2625.</w:t>
      </w:r>
    </w:p>
  </w:footnote>
  <w:footnote w:id="790">
    <w:p w14:paraId="203486D6" w14:textId="77777777" w:rsidR="00085620" w:rsidRPr="00A03B67" w:rsidRDefault="00085620" w:rsidP="00085620">
      <w:pPr>
        <w:pStyle w:val="FootnoteText"/>
      </w:pPr>
      <w:r w:rsidRPr="00A03B67" w:rsidDel="009E042C">
        <w:rPr>
          <w:rStyle w:val="FootnoteReference"/>
        </w:rPr>
        <w:footnoteRef/>
      </w:r>
      <w:r>
        <w:rPr>
          <w:i/>
          <w:iCs/>
        </w:rPr>
        <w:t xml:space="preserve"> </w:t>
      </w:r>
      <w:r w:rsidRPr="00A03B67" w:rsidDel="009E042C">
        <w:rPr>
          <w:i/>
          <w:iCs/>
        </w:rPr>
        <w:t>Skilled Workforce Solutions (NSW) Pty Ltd</w:t>
      </w:r>
      <w:r w:rsidRPr="00A03B67" w:rsidDel="009E042C">
        <w:t xml:space="preserve"> [2024] FWC 2625 [15].</w:t>
      </w:r>
    </w:p>
  </w:footnote>
  <w:footnote w:id="791">
    <w:p w14:paraId="38C18031" w14:textId="77777777" w:rsidR="00085620" w:rsidRPr="00A03B67" w:rsidRDefault="00085620" w:rsidP="00085620">
      <w:pPr>
        <w:pStyle w:val="FootnoteText"/>
      </w:pPr>
      <w:r w:rsidRPr="00A03B67" w:rsidDel="009E042C">
        <w:rPr>
          <w:rStyle w:val="FootnoteReference"/>
        </w:rPr>
        <w:footnoteRef/>
      </w:r>
      <w:r>
        <w:rPr>
          <w:i/>
          <w:iCs/>
        </w:rPr>
        <w:t xml:space="preserve"> </w:t>
      </w:r>
      <w:r w:rsidRPr="00A03B67" w:rsidDel="009E042C">
        <w:rPr>
          <w:i/>
          <w:iCs/>
        </w:rPr>
        <w:t>Skilled Workforce Solutions (NSW) Pty Ltd</w:t>
      </w:r>
      <w:r w:rsidRPr="00A03B67" w:rsidDel="009E042C">
        <w:t xml:space="preserve"> [2024] FWC 2625 [72].</w:t>
      </w:r>
    </w:p>
  </w:footnote>
  <w:footnote w:id="792">
    <w:p w14:paraId="0D06769E" w14:textId="309CB0B0" w:rsidR="00924664" w:rsidRPr="00A03B67" w:rsidRDefault="00924664" w:rsidP="00924664">
      <w:pPr>
        <w:pStyle w:val="FootnoteText"/>
      </w:pPr>
      <w:r w:rsidRPr="00A03B67">
        <w:rPr>
          <w:rStyle w:val="FootnoteReference"/>
        </w:rPr>
        <w:footnoteRef/>
      </w:r>
      <w:r w:rsidRPr="00A03B67">
        <w:t xml:space="preserve"> </w:t>
      </w:r>
      <w:r w:rsidR="000F40DF">
        <w:t>Australian Retailers Association (</w:t>
      </w:r>
      <w:r w:rsidRPr="00A03B67">
        <w:t>ARA</w:t>
      </w:r>
      <w:r w:rsidR="000F40DF">
        <w:t>)</w:t>
      </w:r>
      <w:r w:rsidRPr="00A03B67">
        <w:t xml:space="preserve"> submission, 7.</w:t>
      </w:r>
    </w:p>
  </w:footnote>
  <w:footnote w:id="793">
    <w:p w14:paraId="4C014C10" w14:textId="3BE20D3B" w:rsidR="00924664" w:rsidRPr="00A03B67" w:rsidRDefault="00924664" w:rsidP="00924664">
      <w:pPr>
        <w:pStyle w:val="FootnoteText"/>
      </w:pPr>
      <w:r w:rsidRPr="00A03B67">
        <w:rPr>
          <w:rStyle w:val="FootnoteReference"/>
        </w:rPr>
        <w:footnoteRef/>
      </w:r>
      <w:r w:rsidRPr="00A03B67">
        <w:t xml:space="preserve"> </w:t>
      </w:r>
      <w:r w:rsidR="000F40DF">
        <w:t>Australian Chamber of Commerce and Industry (</w:t>
      </w:r>
      <w:r w:rsidRPr="00A03B67">
        <w:t>ACCI</w:t>
      </w:r>
      <w:r w:rsidR="000F40DF">
        <w:t>)</w:t>
      </w:r>
      <w:r w:rsidRPr="00A03B67">
        <w:t xml:space="preserve"> submission, 23 [56].</w:t>
      </w:r>
    </w:p>
  </w:footnote>
  <w:footnote w:id="794">
    <w:p w14:paraId="68CFD249" w14:textId="77777777" w:rsidR="00924664" w:rsidRPr="00A03B67" w:rsidRDefault="00924664" w:rsidP="00924664">
      <w:pPr>
        <w:pStyle w:val="FootnoteText"/>
      </w:pPr>
      <w:r w:rsidRPr="00A03B67">
        <w:rPr>
          <w:rStyle w:val="FootnoteReference"/>
        </w:rPr>
        <w:footnoteRef/>
      </w:r>
      <w:r w:rsidRPr="00A03B67">
        <w:t xml:space="preserve"> Ai Group submission, 17 [77].</w:t>
      </w:r>
    </w:p>
  </w:footnote>
  <w:footnote w:id="795">
    <w:p w14:paraId="07C31782" w14:textId="08CC2982" w:rsidR="00924664" w:rsidRPr="00A03B67" w:rsidRDefault="00924664" w:rsidP="00924664">
      <w:pPr>
        <w:pStyle w:val="FootnoteText"/>
      </w:pPr>
      <w:r w:rsidRPr="00A03B67">
        <w:rPr>
          <w:rStyle w:val="FootnoteReference"/>
        </w:rPr>
        <w:footnoteRef/>
      </w:r>
      <w:r w:rsidRPr="00A03B67">
        <w:t xml:space="preserve"> </w:t>
      </w:r>
      <w:r w:rsidR="009A3637" w:rsidRPr="009A3637">
        <w:t xml:space="preserve">Council of Small Business Organisations Australia </w:t>
      </w:r>
      <w:r w:rsidR="009A3637">
        <w:t>(</w:t>
      </w:r>
      <w:r w:rsidRPr="00A03B67">
        <w:t>COSBOA</w:t>
      </w:r>
      <w:r w:rsidR="009A3637">
        <w:t>)</w:t>
      </w:r>
      <w:r w:rsidRPr="00A03B67">
        <w:t xml:space="preserve"> submission, 6.</w:t>
      </w:r>
    </w:p>
  </w:footnote>
  <w:footnote w:id="796">
    <w:p w14:paraId="626999A9" w14:textId="77777777" w:rsidR="00924664" w:rsidRPr="00A03B67" w:rsidRDefault="00924664" w:rsidP="00924664">
      <w:pPr>
        <w:pStyle w:val="FootnoteText"/>
      </w:pPr>
      <w:r w:rsidRPr="00A03B67">
        <w:rPr>
          <w:rStyle w:val="FootnoteReference"/>
        </w:rPr>
        <w:footnoteRef/>
      </w:r>
      <w:r w:rsidRPr="00A03B67">
        <w:t xml:space="preserve"> Clubs Australia submission, 2.</w:t>
      </w:r>
    </w:p>
  </w:footnote>
  <w:footnote w:id="797">
    <w:p w14:paraId="0838D485" w14:textId="6D9AAC11" w:rsidR="00924664" w:rsidRPr="00A03B67" w:rsidRDefault="00924664" w:rsidP="00924664">
      <w:pPr>
        <w:pStyle w:val="FootnoteText"/>
      </w:pPr>
      <w:r w:rsidRPr="00A03B67">
        <w:rPr>
          <w:rStyle w:val="FootnoteReference"/>
        </w:rPr>
        <w:footnoteRef/>
      </w:r>
      <w:r w:rsidRPr="00A03B67">
        <w:t xml:space="preserve"> </w:t>
      </w:r>
      <w:r w:rsidR="009A3637" w:rsidRPr="009A3637">
        <w:t xml:space="preserve">Chamber of Commerce and Industry of Western Australia </w:t>
      </w:r>
      <w:r w:rsidR="009A3637">
        <w:t>(</w:t>
      </w:r>
      <w:r w:rsidRPr="00A03B67">
        <w:t>CCIWA</w:t>
      </w:r>
      <w:r w:rsidR="009A3637">
        <w:t>)</w:t>
      </w:r>
      <w:r w:rsidRPr="00A03B67">
        <w:t xml:space="preserve"> submission, 10.</w:t>
      </w:r>
    </w:p>
  </w:footnote>
  <w:footnote w:id="798">
    <w:p w14:paraId="073DA9EB" w14:textId="77777777" w:rsidR="00924664" w:rsidRPr="00A03B67" w:rsidRDefault="00924664" w:rsidP="00924664">
      <w:pPr>
        <w:pStyle w:val="FootnoteText"/>
      </w:pPr>
      <w:r w:rsidRPr="00A03B67">
        <w:rPr>
          <w:rStyle w:val="FootnoteReference"/>
        </w:rPr>
        <w:footnoteRef/>
      </w:r>
      <w:r w:rsidRPr="00A03B67">
        <w:t xml:space="preserve"> Ai Group submission, 17 [77].</w:t>
      </w:r>
    </w:p>
  </w:footnote>
  <w:footnote w:id="799">
    <w:p w14:paraId="63AC474E" w14:textId="77777777" w:rsidR="00924664" w:rsidRPr="00A03B67" w:rsidRDefault="00924664" w:rsidP="00924664">
      <w:pPr>
        <w:pStyle w:val="FootnoteText"/>
      </w:pPr>
      <w:r w:rsidRPr="00A03B67">
        <w:rPr>
          <w:rStyle w:val="FootnoteReference"/>
        </w:rPr>
        <w:footnoteRef/>
      </w:r>
      <w:r w:rsidRPr="00A03B67">
        <w:t xml:space="preserve"> CCIWA submission, 11.</w:t>
      </w:r>
    </w:p>
  </w:footnote>
  <w:footnote w:id="800">
    <w:p w14:paraId="6338583F" w14:textId="77777777" w:rsidR="00924664" w:rsidRPr="00A03B67" w:rsidRDefault="00924664" w:rsidP="00924664">
      <w:pPr>
        <w:pStyle w:val="FootnoteText"/>
      </w:pPr>
      <w:r w:rsidRPr="00A03B67">
        <w:rPr>
          <w:rStyle w:val="FootnoteReference"/>
        </w:rPr>
        <w:footnoteRef/>
      </w:r>
      <w:r w:rsidRPr="00A03B67">
        <w:t xml:space="preserve"> ARA submission, 7.</w:t>
      </w:r>
    </w:p>
  </w:footnote>
  <w:footnote w:id="801">
    <w:p w14:paraId="039E4BB9" w14:textId="77777777" w:rsidR="00924664" w:rsidRPr="00A03B67" w:rsidRDefault="00924664" w:rsidP="00924664">
      <w:pPr>
        <w:pStyle w:val="FootnoteText"/>
      </w:pPr>
      <w:r w:rsidRPr="00A03B67">
        <w:rPr>
          <w:rStyle w:val="FootnoteReference"/>
        </w:rPr>
        <w:footnoteRef/>
      </w:r>
      <w:r w:rsidRPr="00A03B67">
        <w:t xml:space="preserve"> Ai Group submission, 18 [78].</w:t>
      </w:r>
    </w:p>
  </w:footnote>
  <w:footnote w:id="802">
    <w:p w14:paraId="6ACB9BB9" w14:textId="006D8463" w:rsidR="00924664" w:rsidRPr="00A03B67" w:rsidRDefault="00924664" w:rsidP="00924664">
      <w:pPr>
        <w:pStyle w:val="FootnoteText"/>
      </w:pPr>
      <w:r w:rsidRPr="00A03B67">
        <w:rPr>
          <w:rStyle w:val="FootnoteReference"/>
        </w:rPr>
        <w:footnoteRef/>
      </w:r>
      <w:r w:rsidRPr="00A03B67">
        <w:t xml:space="preserve"> </w:t>
      </w:r>
      <w:r w:rsidR="009A3637" w:rsidRPr="009A3637">
        <w:t xml:space="preserve">Australian Resources &amp; Energy Employer Association </w:t>
      </w:r>
      <w:r w:rsidR="009A3637">
        <w:t>(</w:t>
      </w:r>
      <w:r w:rsidRPr="00A03B67">
        <w:t>AREEA</w:t>
      </w:r>
      <w:r w:rsidR="009A3637">
        <w:t>)</w:t>
      </w:r>
      <w:r w:rsidRPr="00A03B67">
        <w:t xml:space="preserve"> submission, 17 [118].</w:t>
      </w:r>
    </w:p>
  </w:footnote>
  <w:footnote w:id="803">
    <w:p w14:paraId="2021E5CB" w14:textId="77777777" w:rsidR="00924664" w:rsidRPr="00A03B67" w:rsidRDefault="00924664" w:rsidP="00924664">
      <w:pPr>
        <w:pStyle w:val="FootnoteText"/>
      </w:pPr>
      <w:r w:rsidRPr="00A03B67">
        <w:rPr>
          <w:rStyle w:val="FootnoteReference"/>
        </w:rPr>
        <w:footnoteRef/>
      </w:r>
      <w:r w:rsidRPr="00A03B67">
        <w:t xml:space="preserve"> Clubs Australia submission, 2</w:t>
      </w:r>
    </w:p>
  </w:footnote>
  <w:footnote w:id="804">
    <w:p w14:paraId="4F7971A4" w14:textId="054A8195" w:rsidR="00924664" w:rsidRPr="00A03B67" w:rsidRDefault="00924664" w:rsidP="00924664">
      <w:pPr>
        <w:pStyle w:val="FootnoteText"/>
      </w:pPr>
      <w:r w:rsidRPr="00A03B67">
        <w:rPr>
          <w:rStyle w:val="FootnoteReference"/>
        </w:rPr>
        <w:footnoteRef/>
      </w:r>
      <w:r w:rsidRPr="00A03B67">
        <w:t xml:space="preserve"> ACCI submission, 23 [55].</w:t>
      </w:r>
    </w:p>
  </w:footnote>
  <w:footnote w:id="805">
    <w:p w14:paraId="010972B4" w14:textId="77777777" w:rsidR="00924664" w:rsidRPr="00A03B67" w:rsidRDefault="00924664" w:rsidP="00924664">
      <w:pPr>
        <w:pStyle w:val="FootnoteText"/>
      </w:pPr>
      <w:r w:rsidRPr="00A03B67">
        <w:rPr>
          <w:rStyle w:val="FootnoteReference"/>
        </w:rPr>
        <w:footnoteRef/>
      </w:r>
      <w:r w:rsidRPr="00A03B67">
        <w:t xml:space="preserve"> Pharmacy Guild submission, 4.</w:t>
      </w:r>
    </w:p>
  </w:footnote>
  <w:footnote w:id="806">
    <w:p w14:paraId="628219DD" w14:textId="77777777" w:rsidR="00924664" w:rsidRPr="00A03B67" w:rsidRDefault="00924664" w:rsidP="00924664">
      <w:pPr>
        <w:pStyle w:val="FootnoteText"/>
      </w:pPr>
      <w:r w:rsidRPr="00A03B67">
        <w:rPr>
          <w:rStyle w:val="FootnoteReference"/>
        </w:rPr>
        <w:footnoteRef/>
      </w:r>
      <w:r w:rsidRPr="00A03B67">
        <w:t xml:space="preserve"> Ai Group submission, 23 [105].</w:t>
      </w:r>
    </w:p>
  </w:footnote>
  <w:footnote w:id="807">
    <w:p w14:paraId="34270F26" w14:textId="77777777" w:rsidR="00924664" w:rsidRPr="00A03B67" w:rsidRDefault="00924664" w:rsidP="00924664">
      <w:pPr>
        <w:pStyle w:val="FootnoteText"/>
      </w:pPr>
      <w:r w:rsidRPr="00A03B67">
        <w:rPr>
          <w:rStyle w:val="FootnoteReference"/>
        </w:rPr>
        <w:footnoteRef/>
      </w:r>
      <w:r w:rsidRPr="00A03B67">
        <w:t xml:space="preserve"> CCIWA submission, 11.</w:t>
      </w:r>
    </w:p>
  </w:footnote>
  <w:footnote w:id="808">
    <w:p w14:paraId="597CFE45" w14:textId="77777777" w:rsidR="00924664" w:rsidRPr="00A03B67" w:rsidRDefault="00924664" w:rsidP="00924664">
      <w:pPr>
        <w:pStyle w:val="FootnoteText"/>
      </w:pPr>
      <w:r w:rsidRPr="00A03B67">
        <w:rPr>
          <w:rStyle w:val="FootnoteReference"/>
        </w:rPr>
        <w:footnoteRef/>
      </w:r>
      <w:r w:rsidRPr="00A03B67">
        <w:t xml:space="preserve"> COSBOA submission, 6.</w:t>
      </w:r>
    </w:p>
  </w:footnote>
  <w:footnote w:id="809">
    <w:p w14:paraId="2B337243" w14:textId="4401C030" w:rsidR="00924664" w:rsidRPr="00A03B67" w:rsidRDefault="00924664" w:rsidP="00924664">
      <w:pPr>
        <w:pStyle w:val="FootnoteText"/>
      </w:pPr>
      <w:r w:rsidRPr="00A03B67">
        <w:rPr>
          <w:rStyle w:val="FootnoteReference"/>
        </w:rPr>
        <w:footnoteRef/>
      </w:r>
      <w:r w:rsidRPr="00A03B67">
        <w:t xml:space="preserve"> </w:t>
      </w:r>
      <w:r w:rsidR="009A3637">
        <w:t>United Workers Union (</w:t>
      </w:r>
      <w:r w:rsidRPr="00A03B67">
        <w:t>UWU</w:t>
      </w:r>
      <w:r w:rsidR="009A3637">
        <w:t>)</w:t>
      </w:r>
      <w:r w:rsidRPr="00A03B67">
        <w:t xml:space="preserve"> submission, 29.</w:t>
      </w:r>
    </w:p>
  </w:footnote>
  <w:footnote w:id="810">
    <w:p w14:paraId="6FB33BF8" w14:textId="7A213236" w:rsidR="00924664" w:rsidRPr="00A03B67" w:rsidRDefault="00924664" w:rsidP="00924664">
      <w:pPr>
        <w:pStyle w:val="FootnoteText"/>
      </w:pPr>
      <w:r w:rsidRPr="00A03B67">
        <w:rPr>
          <w:rStyle w:val="FootnoteReference"/>
        </w:rPr>
        <w:footnoteRef/>
      </w:r>
      <w:r w:rsidRPr="00A03B67">
        <w:t xml:space="preserve"> </w:t>
      </w:r>
      <w:r w:rsidR="009A3637">
        <w:t>Australian Council of Trade Unions (</w:t>
      </w:r>
      <w:r w:rsidRPr="00A03B67">
        <w:t>ACTU</w:t>
      </w:r>
      <w:r w:rsidR="009A3637">
        <w:t>)</w:t>
      </w:r>
      <w:r w:rsidRPr="00A03B67">
        <w:t xml:space="preserve"> submission, 82.</w:t>
      </w:r>
    </w:p>
  </w:footnote>
  <w:footnote w:id="811">
    <w:p w14:paraId="4A108BCF" w14:textId="7F164319" w:rsidR="00924664" w:rsidRPr="0052485B" w:rsidRDefault="00924664" w:rsidP="00924664">
      <w:pPr>
        <w:pStyle w:val="FootnoteText"/>
      </w:pPr>
      <w:r>
        <w:rPr>
          <w:rStyle w:val="FootnoteReference"/>
        </w:rPr>
        <w:footnoteRef/>
      </w:r>
      <w:r>
        <w:t xml:space="preserve"> ACTU submission in response to draft report, 18.</w:t>
      </w:r>
    </w:p>
  </w:footnote>
  <w:footnote w:id="812">
    <w:p w14:paraId="77D061A2" w14:textId="4780D735" w:rsidR="00924664" w:rsidRPr="00697801" w:rsidRDefault="00924664" w:rsidP="00924664">
      <w:pPr>
        <w:pStyle w:val="FootnoteText"/>
      </w:pPr>
      <w:r>
        <w:rPr>
          <w:rStyle w:val="FootnoteReference"/>
        </w:rPr>
        <w:footnoteRef/>
      </w:r>
      <w:r>
        <w:t xml:space="preserve"> See ARA submission in response to draft report, 2</w:t>
      </w:r>
      <w:r w:rsidR="00984B47">
        <w:rPr>
          <w:rFonts w:ascii="Symbol" w:eastAsia="Symbol" w:hAnsi="Symbol" w:cs="Symbol"/>
        </w:rPr>
        <w:t>-</w:t>
      </w:r>
      <w:r>
        <w:t>3</w:t>
      </w:r>
      <w:r w:rsidR="00984B47">
        <w:t>;</w:t>
      </w:r>
      <w:r>
        <w:t xml:space="preserve"> and Ai Group submission in response to draft report, 44.</w:t>
      </w:r>
    </w:p>
  </w:footnote>
  <w:footnote w:id="813">
    <w:p w14:paraId="103E711A" w14:textId="6B0341BB" w:rsidR="00924664" w:rsidRPr="00AE77E7" w:rsidRDefault="00924664" w:rsidP="00924664">
      <w:pPr>
        <w:pStyle w:val="FootnoteText"/>
      </w:pPr>
      <w:r>
        <w:rPr>
          <w:rStyle w:val="FootnoteReference"/>
        </w:rPr>
        <w:footnoteRef/>
      </w:r>
      <w:r>
        <w:t xml:space="preserve"> ACCI submission in response to draft report, 19.</w:t>
      </w:r>
    </w:p>
  </w:footnote>
  <w:footnote w:id="814">
    <w:p w14:paraId="46859FA1" w14:textId="76FD89A8" w:rsidR="00924664" w:rsidRPr="003004CB" w:rsidRDefault="00924664" w:rsidP="00924664">
      <w:pPr>
        <w:pStyle w:val="FootnoteText"/>
      </w:pPr>
      <w:r>
        <w:rPr>
          <w:rStyle w:val="FootnoteReference"/>
        </w:rPr>
        <w:footnoteRef/>
      </w:r>
      <w:r>
        <w:t xml:space="preserve"> Clubs Australia submission in response to draft report, 2.</w:t>
      </w:r>
    </w:p>
  </w:footnote>
  <w:footnote w:id="815">
    <w:p w14:paraId="0F49AB46" w14:textId="77777777" w:rsidR="00924664" w:rsidRPr="00A03B67" w:rsidRDefault="00924664" w:rsidP="00924664">
      <w:pPr>
        <w:pStyle w:val="FootnoteText"/>
      </w:pPr>
      <w:r w:rsidRPr="00A03B67">
        <w:rPr>
          <w:rStyle w:val="FootnoteReference"/>
        </w:rPr>
        <w:footnoteRef/>
      </w:r>
      <w:r w:rsidRPr="00A03B67">
        <w:t xml:space="preserve"> Ai Group submission, 18 [80].</w:t>
      </w:r>
    </w:p>
  </w:footnote>
  <w:footnote w:id="816">
    <w:p w14:paraId="183C505C" w14:textId="77777777" w:rsidR="00924664" w:rsidRPr="00A03B67" w:rsidRDefault="00924664" w:rsidP="00924664">
      <w:pPr>
        <w:pStyle w:val="FootnoteText"/>
        <w:rPr>
          <w:sz w:val="16"/>
          <w:szCs w:val="18"/>
        </w:rPr>
      </w:pPr>
      <w:r w:rsidRPr="00A03B67">
        <w:rPr>
          <w:rStyle w:val="FootnoteReference"/>
        </w:rPr>
        <w:footnoteRef/>
      </w:r>
      <w:r w:rsidRPr="00A03B67">
        <w:t xml:space="preserve"> Revised Explanatory Memorandum</w:t>
      </w:r>
      <w:r w:rsidRPr="00A03B67">
        <w:rPr>
          <w:szCs w:val="18"/>
        </w:rPr>
        <w:t xml:space="preserve">, Fair Work Legislation Amendment (Secure Jobs, Better Pay) Bill 2022, [776]. See also e.g. </w:t>
      </w:r>
      <w:r w:rsidRPr="00A03B67">
        <w:rPr>
          <w:i/>
          <w:szCs w:val="18"/>
        </w:rPr>
        <w:t xml:space="preserve">Advantage Care Pty Ltd v Health Services Union </w:t>
      </w:r>
      <w:r w:rsidRPr="00A03B67">
        <w:rPr>
          <w:szCs w:val="18"/>
        </w:rPr>
        <w:t>[2021] FWCFB 453.</w:t>
      </w:r>
    </w:p>
  </w:footnote>
  <w:footnote w:id="817">
    <w:p w14:paraId="5CE3882D" w14:textId="77777777" w:rsidR="00924664" w:rsidRPr="00A03B67" w:rsidRDefault="00924664" w:rsidP="00924664">
      <w:pPr>
        <w:pStyle w:val="FootnoteText"/>
      </w:pPr>
      <w:r w:rsidRPr="00A03B67">
        <w:rPr>
          <w:rStyle w:val="FootnoteReference"/>
        </w:rPr>
        <w:footnoteRef/>
      </w:r>
      <w:r w:rsidRPr="00A03B67">
        <w:t xml:space="preserve"> See e.g. </w:t>
      </w:r>
      <w:r w:rsidRPr="00A03B67">
        <w:rPr>
          <w:i/>
          <w:iCs/>
        </w:rPr>
        <w:t>Yarra Valley Water Corporation v Australian Municipal, Administrative, Clerical and Services Union (052V) &amp; Moon, Jacquie and Others</w:t>
      </w:r>
      <w:r w:rsidRPr="00A03B67">
        <w:t xml:space="preserve"> [2021] FWCFB 6006.</w:t>
      </w:r>
    </w:p>
  </w:footnote>
  <w:footnote w:id="818">
    <w:p w14:paraId="1FEC0D60"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s 218A(1).</w:t>
      </w:r>
    </w:p>
  </w:footnote>
  <w:footnote w:id="819">
    <w:p w14:paraId="3DC9EC59" w14:textId="5B48C7EE"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s 218A(2).</w:t>
      </w:r>
    </w:p>
  </w:footnote>
  <w:footnote w:id="820">
    <w:p w14:paraId="067CEF52"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ss 602A, 602B.</w:t>
      </w:r>
    </w:p>
  </w:footnote>
  <w:footnote w:id="821">
    <w:p w14:paraId="01F5E03B"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Legislation Amendment (Secure Jobs, Better Pay) Act 2022</w:t>
      </w:r>
      <w:r w:rsidRPr="00A03B67">
        <w:t xml:space="preserve"> (Cth) s 2.</w:t>
      </w:r>
    </w:p>
  </w:footnote>
  <w:footnote w:id="822">
    <w:p w14:paraId="50A7D6D4" w14:textId="77777777" w:rsidR="00924664" w:rsidRPr="00A03B67" w:rsidRDefault="00924664" w:rsidP="00924664">
      <w:pPr>
        <w:pStyle w:val="FootnoteText"/>
      </w:pPr>
      <w:r w:rsidRPr="00A03B67">
        <w:rPr>
          <w:rStyle w:val="FootnoteReference"/>
        </w:rPr>
        <w:footnoteRef/>
      </w:r>
      <w:r w:rsidRPr="00A03B67">
        <w:t xml:space="preserve"> Explanatory Memorandum, Fair Work Legislation Amendment (Secure Jobs, Better Pay) Bill 2022, 141 [773].</w:t>
      </w:r>
    </w:p>
  </w:footnote>
  <w:footnote w:id="823">
    <w:p w14:paraId="51E960FA" w14:textId="77777777" w:rsidR="00924664" w:rsidRPr="00A03B67" w:rsidRDefault="00924664" w:rsidP="00924664">
      <w:pPr>
        <w:pStyle w:val="FootnoteText"/>
      </w:pPr>
      <w:r w:rsidRPr="00A03B67">
        <w:rPr>
          <w:rStyle w:val="FootnoteReference"/>
        </w:rPr>
        <w:footnoteRef/>
      </w:r>
      <w:r w:rsidRPr="00A03B67">
        <w:t xml:space="preserve"> Fair Work Commission, </w:t>
      </w:r>
      <w:r w:rsidRPr="00A03B67">
        <w:rPr>
          <w:i/>
          <w:iCs/>
        </w:rPr>
        <w:t>Annual Report 2019</w:t>
      </w:r>
      <w:r w:rsidRPr="00A03B67">
        <w:rPr>
          <w:rFonts w:ascii="Symbol" w:eastAsia="Symbol" w:hAnsi="Symbol" w:cs="Symbol"/>
          <w:i/>
          <w:iCs/>
        </w:rPr>
        <w:t>-</w:t>
      </w:r>
      <w:r w:rsidRPr="00A03B67">
        <w:rPr>
          <w:i/>
          <w:iCs/>
        </w:rPr>
        <w:t>20</w:t>
      </w:r>
      <w:r w:rsidRPr="00A03B67">
        <w:t xml:space="preserve"> (Report, 2020) ‘Access to justice’ 62.</w:t>
      </w:r>
    </w:p>
  </w:footnote>
  <w:footnote w:id="824">
    <w:p w14:paraId="013A3F20" w14:textId="77777777" w:rsidR="00924664" w:rsidRPr="00A03B67" w:rsidRDefault="00924664" w:rsidP="00924664">
      <w:pPr>
        <w:pStyle w:val="FootnoteText"/>
      </w:pPr>
      <w:r w:rsidRPr="00A03B67">
        <w:rPr>
          <w:rStyle w:val="FootnoteReference"/>
        </w:rPr>
        <w:footnoteRef/>
      </w:r>
      <w:r w:rsidRPr="00A03B67">
        <w:t xml:space="preserve"> Fair Work Commission, </w:t>
      </w:r>
      <w:r w:rsidRPr="00A03B67">
        <w:rPr>
          <w:i/>
          <w:iCs/>
        </w:rPr>
        <w:t>Annual Report 2020</w:t>
      </w:r>
      <w:r w:rsidRPr="00A03B67">
        <w:rPr>
          <w:rFonts w:ascii="Symbol" w:eastAsia="Symbol" w:hAnsi="Symbol" w:cs="Symbol"/>
          <w:i/>
          <w:iCs/>
        </w:rPr>
        <w:t>-</w:t>
      </w:r>
      <w:r w:rsidRPr="00A03B67">
        <w:rPr>
          <w:i/>
          <w:iCs/>
        </w:rPr>
        <w:t>21</w:t>
      </w:r>
      <w:r w:rsidRPr="00A03B67">
        <w:t xml:space="preserve"> (Report, 2021) ‘Access to justice’ 58.</w:t>
      </w:r>
    </w:p>
  </w:footnote>
  <w:footnote w:id="825">
    <w:p w14:paraId="32945C1C" w14:textId="77777777" w:rsidR="00924664" w:rsidRPr="00A03B67" w:rsidRDefault="00924664" w:rsidP="00924664">
      <w:pPr>
        <w:pStyle w:val="FootnoteText"/>
      </w:pPr>
      <w:r w:rsidRPr="00A03B67">
        <w:rPr>
          <w:rStyle w:val="FootnoteReference"/>
        </w:rPr>
        <w:footnoteRef/>
      </w:r>
      <w:r w:rsidRPr="00A03B67">
        <w:t xml:space="preserve"> Fair Work Commission, </w:t>
      </w:r>
      <w:r w:rsidRPr="00A03B67">
        <w:rPr>
          <w:i/>
          <w:iCs/>
        </w:rPr>
        <w:t>Annual Report 2021</w:t>
      </w:r>
      <w:r w:rsidRPr="00A03B67">
        <w:rPr>
          <w:rFonts w:ascii="Symbol" w:eastAsia="Symbol" w:hAnsi="Symbol" w:cs="Symbol"/>
          <w:i/>
          <w:iCs/>
        </w:rPr>
        <w:t>-</w:t>
      </w:r>
      <w:r w:rsidRPr="00A03B67">
        <w:rPr>
          <w:i/>
          <w:iCs/>
        </w:rPr>
        <w:t>22</w:t>
      </w:r>
      <w:r w:rsidRPr="00A03B67">
        <w:t xml:space="preserve"> (Report, 2022) 57.</w:t>
      </w:r>
    </w:p>
  </w:footnote>
  <w:footnote w:id="826">
    <w:p w14:paraId="009E5B78" w14:textId="77777777" w:rsidR="00924664" w:rsidRPr="00A03B67" w:rsidRDefault="00924664" w:rsidP="00924664">
      <w:pPr>
        <w:pStyle w:val="FootnoteText"/>
      </w:pPr>
      <w:r w:rsidRPr="00A03B67">
        <w:rPr>
          <w:rStyle w:val="FootnoteReference"/>
        </w:rPr>
        <w:footnoteRef/>
      </w:r>
      <w:r w:rsidRPr="00A03B67">
        <w:t xml:space="preserve"> Fair Work Commission, </w:t>
      </w:r>
      <w:r w:rsidRPr="00A03B67">
        <w:rPr>
          <w:i/>
          <w:iCs/>
        </w:rPr>
        <w:t>Annual Report 2022–23</w:t>
      </w:r>
      <w:r w:rsidRPr="00A03B67">
        <w:t xml:space="preserve"> (Report, 2023) 64.</w:t>
      </w:r>
    </w:p>
  </w:footnote>
  <w:footnote w:id="827">
    <w:p w14:paraId="5627B989" w14:textId="77777777" w:rsidR="00924664" w:rsidRPr="00A03B67" w:rsidRDefault="00924664" w:rsidP="00924664">
      <w:pPr>
        <w:pStyle w:val="FootnoteText"/>
      </w:pPr>
      <w:r w:rsidRPr="00A03B67">
        <w:rPr>
          <w:rStyle w:val="FootnoteReference"/>
        </w:rPr>
        <w:footnoteRef/>
      </w:r>
      <w:r w:rsidRPr="00A03B67">
        <w:t xml:space="preserve"> Fair Work Commission, </w:t>
      </w:r>
      <w:r w:rsidRPr="00A03B67">
        <w:rPr>
          <w:i/>
          <w:iCs/>
        </w:rPr>
        <w:t>Annual Report 2023</w:t>
      </w:r>
      <w:r w:rsidRPr="00A03B67">
        <w:rPr>
          <w:rFonts w:ascii="Symbol" w:eastAsia="Symbol" w:hAnsi="Symbol" w:cs="Symbol"/>
          <w:i/>
          <w:iCs/>
        </w:rPr>
        <w:t>-</w:t>
      </w:r>
      <w:r w:rsidRPr="00A03B67">
        <w:rPr>
          <w:i/>
          <w:iCs/>
        </w:rPr>
        <w:t>24</w:t>
      </w:r>
      <w:r w:rsidRPr="00A03B67">
        <w:t xml:space="preserve"> (Report, 2024) 63.</w:t>
      </w:r>
    </w:p>
  </w:footnote>
  <w:footnote w:id="828">
    <w:p w14:paraId="4D05A209" w14:textId="77777777" w:rsidR="00924664" w:rsidRPr="00A03B67" w:rsidRDefault="00924664" w:rsidP="00924664">
      <w:pPr>
        <w:pStyle w:val="FootnoteText"/>
      </w:pPr>
      <w:r w:rsidRPr="00A03B67">
        <w:rPr>
          <w:rStyle w:val="FootnoteReference"/>
        </w:rPr>
        <w:footnoteRef/>
      </w:r>
      <w:r w:rsidRPr="00A03B67">
        <w:t xml:space="preserve"> Fair Work Commission, </w:t>
      </w:r>
      <w:r w:rsidRPr="00A03B67">
        <w:rPr>
          <w:i/>
          <w:iCs/>
        </w:rPr>
        <w:t>Annual Report 2022–23</w:t>
      </w:r>
      <w:r w:rsidRPr="00A03B67">
        <w:t xml:space="preserve"> (Report, 2023) 66.</w:t>
      </w:r>
    </w:p>
  </w:footnote>
  <w:footnote w:id="829">
    <w:p w14:paraId="6C26181F" w14:textId="77777777" w:rsidR="00924664" w:rsidRPr="00A03B67" w:rsidRDefault="00924664" w:rsidP="00924664">
      <w:pPr>
        <w:pStyle w:val="FootnoteText"/>
      </w:pPr>
      <w:r w:rsidRPr="00A03B67">
        <w:rPr>
          <w:rStyle w:val="FootnoteReference"/>
        </w:rPr>
        <w:footnoteRef/>
      </w:r>
      <w:r w:rsidRPr="00A03B67">
        <w:t xml:space="preserve"> Fair Work Commission, </w:t>
      </w:r>
      <w:r w:rsidRPr="00A03B67">
        <w:rPr>
          <w:i/>
          <w:iCs/>
        </w:rPr>
        <w:t>Annual Report 2023</w:t>
      </w:r>
      <w:r w:rsidRPr="00A03B67">
        <w:rPr>
          <w:rFonts w:ascii="Symbol" w:eastAsia="Symbol" w:hAnsi="Symbol" w:cs="Symbol"/>
          <w:i/>
          <w:iCs/>
        </w:rPr>
        <w:t>-</w:t>
      </w:r>
      <w:r w:rsidRPr="00A03B67">
        <w:rPr>
          <w:i/>
          <w:iCs/>
        </w:rPr>
        <w:t>24</w:t>
      </w:r>
      <w:r w:rsidRPr="00A03B67">
        <w:t xml:space="preserve"> (Report, 2024) 65.</w:t>
      </w:r>
    </w:p>
  </w:footnote>
  <w:footnote w:id="830">
    <w:p w14:paraId="0C7849D6" w14:textId="77777777" w:rsidR="00924664" w:rsidRPr="00A03B67" w:rsidRDefault="00924664" w:rsidP="00924664">
      <w:pPr>
        <w:pStyle w:val="FootnoteText"/>
      </w:pPr>
      <w:r w:rsidRPr="00A03B67">
        <w:rPr>
          <w:rStyle w:val="FootnoteReference"/>
        </w:rPr>
        <w:footnoteRef/>
      </w:r>
      <w:r w:rsidRPr="00A03B67">
        <w:t xml:space="preserve"> </w:t>
      </w:r>
      <w:r w:rsidRPr="00A03B67">
        <w:rPr>
          <w:rFonts w:ascii="Calibri" w:hAnsi="Calibri" w:cs="Calibri"/>
        </w:rPr>
        <w:t>[2022] FWCA 4390 [7] [11].</w:t>
      </w:r>
    </w:p>
  </w:footnote>
  <w:footnote w:id="831">
    <w:p w14:paraId="7DB551DB" w14:textId="77777777" w:rsidR="00924664" w:rsidRPr="00A03B67" w:rsidRDefault="00924664" w:rsidP="00924664">
      <w:pPr>
        <w:pStyle w:val="FootnoteText"/>
      </w:pPr>
      <w:r w:rsidRPr="00A03B67">
        <w:rPr>
          <w:rStyle w:val="FootnoteReference"/>
        </w:rPr>
        <w:footnoteRef/>
      </w:r>
      <w:r w:rsidRPr="00A03B67">
        <w:t xml:space="preserve"> </w:t>
      </w:r>
      <w:r w:rsidRPr="00A03B67">
        <w:rPr>
          <w:rFonts w:ascii="Calibri" w:hAnsi="Calibri" w:cs="Calibri"/>
        </w:rPr>
        <w:t>[2022] FWCA 4390</w:t>
      </w:r>
      <w:r w:rsidRPr="00A03B67">
        <w:t xml:space="preserve"> [13].</w:t>
      </w:r>
    </w:p>
  </w:footnote>
  <w:footnote w:id="832">
    <w:p w14:paraId="30124AD3" w14:textId="77777777" w:rsidR="00924664" w:rsidRPr="00A03B67" w:rsidRDefault="00924664" w:rsidP="00924664">
      <w:pPr>
        <w:pStyle w:val="FootnoteText"/>
      </w:pPr>
      <w:r w:rsidRPr="00A03B67">
        <w:rPr>
          <w:rStyle w:val="FootnoteReference"/>
        </w:rPr>
        <w:footnoteRef/>
      </w:r>
      <w:r w:rsidRPr="00A03B67">
        <w:t xml:space="preserve"> </w:t>
      </w:r>
      <w:r w:rsidRPr="00A03B67">
        <w:rPr>
          <w:rFonts w:ascii="Calibri" w:hAnsi="Calibri" w:cs="Calibri"/>
        </w:rPr>
        <w:t>[2022] FWCA 4390</w:t>
      </w:r>
      <w:r w:rsidRPr="00A03B67">
        <w:t xml:space="preserve"> [13].</w:t>
      </w:r>
    </w:p>
  </w:footnote>
  <w:footnote w:id="833">
    <w:p w14:paraId="48CD5BB1" w14:textId="77777777" w:rsidR="00924664" w:rsidRPr="00A03B67" w:rsidRDefault="00924664" w:rsidP="00924664">
      <w:pPr>
        <w:pStyle w:val="FootnoteText"/>
      </w:pPr>
      <w:r w:rsidRPr="00A03B67">
        <w:rPr>
          <w:rStyle w:val="FootnoteReference"/>
        </w:rPr>
        <w:footnoteRef/>
      </w:r>
      <w:r w:rsidRPr="00A03B67">
        <w:t xml:space="preserve"> </w:t>
      </w:r>
      <w:r w:rsidRPr="00A03B67">
        <w:rPr>
          <w:rFonts w:ascii="Calibri" w:hAnsi="Calibri" w:cs="Calibri"/>
        </w:rPr>
        <w:t>[2024] FWCA 3149</w:t>
      </w:r>
      <w:r w:rsidRPr="00DA65A7">
        <w:t xml:space="preserve"> </w:t>
      </w:r>
      <w:r w:rsidRPr="00A03B67">
        <w:rPr>
          <w:rFonts w:ascii="Calibri" w:hAnsi="Calibri" w:cs="Calibri"/>
        </w:rPr>
        <w:t>[12]</w:t>
      </w:r>
      <w:r w:rsidRPr="00A03B67">
        <w:rPr>
          <w:rFonts w:ascii="Symbol" w:eastAsia="Symbol" w:hAnsi="Symbol" w:cs="Symbol"/>
        </w:rPr>
        <w:t>-</w:t>
      </w:r>
      <w:r w:rsidRPr="00A03B67">
        <w:rPr>
          <w:rFonts w:ascii="Calibri" w:hAnsi="Calibri" w:cs="Calibri"/>
        </w:rPr>
        <w:t>[13].</w:t>
      </w:r>
    </w:p>
  </w:footnote>
  <w:footnote w:id="834">
    <w:p w14:paraId="09436361" w14:textId="77777777" w:rsidR="00924664" w:rsidRPr="00A03B67" w:rsidRDefault="00924664" w:rsidP="00924664">
      <w:pPr>
        <w:pStyle w:val="FootnoteText"/>
      </w:pPr>
      <w:r w:rsidRPr="00A03B67">
        <w:rPr>
          <w:rStyle w:val="FootnoteReference"/>
        </w:rPr>
        <w:footnoteRef/>
      </w:r>
      <w:r w:rsidRPr="00A03B67">
        <w:t xml:space="preserve"> </w:t>
      </w:r>
      <w:r w:rsidRPr="00A03B67">
        <w:rPr>
          <w:rFonts w:ascii="Calibri" w:hAnsi="Calibri" w:cs="Calibri"/>
        </w:rPr>
        <w:t>[2024] FWCA 3149</w:t>
      </w:r>
      <w:r w:rsidRPr="00DA65A7">
        <w:rPr>
          <w:rStyle w:val="Hyperlink"/>
          <w:rFonts w:ascii="Calibri" w:hAnsi="Calibri" w:cs="Calibri"/>
          <w:u w:val="none"/>
        </w:rPr>
        <w:t xml:space="preserve"> </w:t>
      </w:r>
      <w:r w:rsidRPr="00A03B67">
        <w:rPr>
          <w:rFonts w:ascii="Calibri" w:hAnsi="Calibri" w:cs="Calibri"/>
        </w:rPr>
        <w:t>[20].</w:t>
      </w:r>
    </w:p>
  </w:footnote>
  <w:footnote w:id="835">
    <w:p w14:paraId="79483E0D" w14:textId="77777777" w:rsidR="00924664" w:rsidRPr="00A03B67" w:rsidRDefault="00924664" w:rsidP="00924664">
      <w:pPr>
        <w:pStyle w:val="FootnoteText"/>
      </w:pPr>
      <w:r w:rsidRPr="00A03B67">
        <w:rPr>
          <w:rStyle w:val="FootnoteReference"/>
        </w:rPr>
        <w:footnoteRef/>
      </w:r>
      <w:r w:rsidRPr="00A03B67">
        <w:t xml:space="preserve"> </w:t>
      </w:r>
      <w:r w:rsidRPr="00A03B67">
        <w:rPr>
          <w:rFonts w:ascii="Calibri" w:hAnsi="Calibri" w:cs="Calibri"/>
        </w:rPr>
        <w:t>[2024] FWCA 3069 [12].</w:t>
      </w:r>
    </w:p>
  </w:footnote>
  <w:footnote w:id="836">
    <w:p w14:paraId="6381734E" w14:textId="77777777" w:rsidR="00924664" w:rsidRPr="00A03B67" w:rsidRDefault="00924664" w:rsidP="00924664">
      <w:pPr>
        <w:pStyle w:val="FootnoteText"/>
      </w:pPr>
      <w:r w:rsidRPr="00A03B67">
        <w:rPr>
          <w:rStyle w:val="FootnoteReference"/>
        </w:rPr>
        <w:footnoteRef/>
      </w:r>
      <w:r w:rsidRPr="00A03B67">
        <w:t xml:space="preserve"> [2024] FWCA 1616 [12]–[15].</w:t>
      </w:r>
    </w:p>
  </w:footnote>
  <w:footnote w:id="837">
    <w:p w14:paraId="78315777" w14:textId="77777777" w:rsidR="00924664" w:rsidRPr="00A03B67" w:rsidRDefault="00924664" w:rsidP="00924664">
      <w:pPr>
        <w:pStyle w:val="FootnoteText"/>
      </w:pPr>
      <w:r w:rsidRPr="00A03B67">
        <w:rPr>
          <w:rStyle w:val="FootnoteReference"/>
        </w:rPr>
        <w:footnoteRef/>
      </w:r>
      <w:r w:rsidRPr="00A03B67">
        <w:t xml:space="preserve"> [2024] FWCA 1616 [15].</w:t>
      </w:r>
    </w:p>
  </w:footnote>
  <w:footnote w:id="838">
    <w:p w14:paraId="17F57229" w14:textId="3DF14E35" w:rsidR="00924664" w:rsidRPr="00A03B67" w:rsidRDefault="00924664" w:rsidP="00924664">
      <w:pPr>
        <w:pStyle w:val="FootnoteText"/>
      </w:pPr>
      <w:r w:rsidRPr="00A03B67">
        <w:rPr>
          <w:rStyle w:val="FootnoteReference"/>
        </w:rPr>
        <w:footnoteRef/>
      </w:r>
      <w:r w:rsidRPr="00A03B67">
        <w:t xml:space="preserve"> </w:t>
      </w:r>
      <w:r w:rsidR="009A3637">
        <w:t>Australian Council of Trade Unions (</w:t>
      </w:r>
      <w:r w:rsidRPr="00A03B67">
        <w:t>ACTU</w:t>
      </w:r>
      <w:r w:rsidR="009A3637">
        <w:t>)</w:t>
      </w:r>
      <w:r w:rsidRPr="00A03B67">
        <w:t xml:space="preserve"> submission, 83.</w:t>
      </w:r>
    </w:p>
  </w:footnote>
  <w:footnote w:id="839">
    <w:p w14:paraId="3E29412C" w14:textId="7C997218" w:rsidR="00924664" w:rsidRPr="00A03B67" w:rsidRDefault="00924664" w:rsidP="00924664">
      <w:pPr>
        <w:pStyle w:val="FootnoteText"/>
      </w:pPr>
      <w:r w:rsidRPr="00A03B67">
        <w:rPr>
          <w:rStyle w:val="FootnoteReference"/>
        </w:rPr>
        <w:footnoteRef/>
      </w:r>
      <w:r w:rsidRPr="00A03B67">
        <w:t xml:space="preserve"> </w:t>
      </w:r>
      <w:r w:rsidR="009A3637" w:rsidRPr="009A3637">
        <w:t xml:space="preserve">Community and Public Sector Union </w:t>
      </w:r>
      <w:r w:rsidR="009A3637">
        <w:t>(</w:t>
      </w:r>
      <w:r w:rsidRPr="00A03B67">
        <w:t>CPSU</w:t>
      </w:r>
      <w:r w:rsidR="009A3637">
        <w:t>)</w:t>
      </w:r>
      <w:r w:rsidRPr="00A03B67">
        <w:t xml:space="preserve"> submission, [49], 9.</w:t>
      </w:r>
    </w:p>
  </w:footnote>
  <w:footnote w:id="840">
    <w:p w14:paraId="4FB60A41" w14:textId="3D0081BB" w:rsidR="00924664" w:rsidRPr="00A03B67" w:rsidRDefault="00924664" w:rsidP="00924664">
      <w:pPr>
        <w:pStyle w:val="FootnoteText"/>
      </w:pPr>
      <w:r w:rsidRPr="00A03B67">
        <w:rPr>
          <w:rStyle w:val="FootnoteReference"/>
        </w:rPr>
        <w:footnoteRef/>
      </w:r>
      <w:r w:rsidRPr="00A03B67">
        <w:t xml:space="preserve"> </w:t>
      </w:r>
      <w:r w:rsidR="009A3637" w:rsidRPr="009A3637">
        <w:t xml:space="preserve">Australian Resources &amp; Energy Employer Association </w:t>
      </w:r>
      <w:r w:rsidR="009A3637">
        <w:t>(</w:t>
      </w:r>
      <w:r w:rsidRPr="00A03B67">
        <w:t>AREEA</w:t>
      </w:r>
      <w:r w:rsidR="009A3637">
        <w:t>)</w:t>
      </w:r>
      <w:r w:rsidRPr="00A03B67">
        <w:t xml:space="preserve"> submission, [112], 16.</w:t>
      </w:r>
    </w:p>
  </w:footnote>
  <w:footnote w:id="841">
    <w:p w14:paraId="15B42E37" w14:textId="6C83F9AE" w:rsidR="00924664" w:rsidRPr="00A03B67" w:rsidRDefault="00924664" w:rsidP="00924664">
      <w:pPr>
        <w:pStyle w:val="FootnoteText"/>
      </w:pPr>
      <w:r w:rsidRPr="00A03B67">
        <w:rPr>
          <w:rStyle w:val="FootnoteReference"/>
        </w:rPr>
        <w:footnoteRef/>
      </w:r>
      <w:r w:rsidRPr="00A03B67">
        <w:t xml:space="preserve"> </w:t>
      </w:r>
      <w:r w:rsidR="009A3637">
        <w:t>Australian Chamber of Commerce and Industry (</w:t>
      </w:r>
      <w:r w:rsidRPr="00A03B67">
        <w:t>ACCI</w:t>
      </w:r>
      <w:r w:rsidR="009A3637">
        <w:t>)</w:t>
      </w:r>
      <w:r w:rsidRPr="00A03B67">
        <w:t xml:space="preserve"> submission, [61], 25.</w:t>
      </w:r>
    </w:p>
  </w:footnote>
  <w:footnote w:id="842">
    <w:p w14:paraId="3C5DBC36" w14:textId="77777777" w:rsidR="00924664" w:rsidRPr="00A03B67" w:rsidRDefault="00924664" w:rsidP="00924664">
      <w:pPr>
        <w:pStyle w:val="FootnoteText"/>
      </w:pPr>
      <w:r w:rsidRPr="00A03B67">
        <w:rPr>
          <w:rStyle w:val="FootnoteReference"/>
        </w:rPr>
        <w:footnoteRef/>
      </w:r>
      <w:r w:rsidRPr="00A03B67">
        <w:t xml:space="preserve"> ACCI submission, 26.</w:t>
      </w:r>
    </w:p>
  </w:footnote>
  <w:footnote w:id="843">
    <w:p w14:paraId="730A415A" w14:textId="77777777" w:rsidR="00924664" w:rsidRPr="00A03B67" w:rsidRDefault="00924664" w:rsidP="00924664">
      <w:pPr>
        <w:pStyle w:val="FootnoteText"/>
      </w:pPr>
      <w:r w:rsidRPr="00A03B67">
        <w:rPr>
          <w:rStyle w:val="FootnoteReference"/>
        </w:rPr>
        <w:footnoteRef/>
      </w:r>
      <w:r w:rsidRPr="00A03B67">
        <w:t xml:space="preserve"> Ai Group submission, [110] 24.</w:t>
      </w:r>
    </w:p>
  </w:footnote>
  <w:footnote w:id="844">
    <w:p w14:paraId="6B79FC73" w14:textId="6AC22DBA" w:rsidR="00924664" w:rsidRPr="00296731" w:rsidRDefault="00924664" w:rsidP="00924664">
      <w:pPr>
        <w:pStyle w:val="FootnoteText"/>
      </w:pPr>
      <w:r>
        <w:rPr>
          <w:rStyle w:val="FootnoteReference"/>
        </w:rPr>
        <w:footnoteRef/>
      </w:r>
      <w:r>
        <w:t xml:space="preserve"> ACCI submission in response to draft report, 20.</w:t>
      </w:r>
    </w:p>
  </w:footnote>
  <w:footnote w:id="845">
    <w:p w14:paraId="41D6B134"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Legislation Amendment (Secure Jobs, Better Pay) Act 2022</w:t>
      </w:r>
      <w:r w:rsidRPr="00A03B67">
        <w:t xml:space="preserve"> (Cth), Outline, ii.</w:t>
      </w:r>
    </w:p>
  </w:footnote>
  <w:footnote w:id="846">
    <w:p w14:paraId="6458E13E"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ss 207</w:t>
      </w:r>
      <w:r w:rsidRPr="00A03B67">
        <w:rPr>
          <w:rFonts w:ascii="Symbol" w:eastAsia="Symbol" w:hAnsi="Symbol" w:cs="Symbol"/>
        </w:rPr>
        <w:t>-</w:t>
      </w:r>
      <w:r w:rsidRPr="00A03B67">
        <w:t>209 (as at 11 September 2021 </w:t>
      </w:r>
      <w:r w:rsidRPr="00A03B67">
        <w:rPr>
          <w:rFonts w:ascii="Symbol" w:eastAsia="Symbol" w:hAnsi="Symbol" w:cs="Symbol"/>
        </w:rPr>
        <w:t>-</w:t>
      </w:r>
      <w:r w:rsidRPr="00A03B67">
        <w:t> 06 December 2022).</w:t>
      </w:r>
    </w:p>
  </w:footnote>
  <w:footnote w:id="847">
    <w:p w14:paraId="40C6010F"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s 216E(4).</w:t>
      </w:r>
    </w:p>
  </w:footnote>
  <w:footnote w:id="848">
    <w:p w14:paraId="072367C2"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s 216E(7).</w:t>
      </w:r>
    </w:p>
  </w:footnote>
  <w:footnote w:id="849">
    <w:p w14:paraId="74501FA4"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s 216E(1).</w:t>
      </w:r>
    </w:p>
  </w:footnote>
  <w:footnote w:id="850">
    <w:p w14:paraId="40DAD030"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ss 216E(5), 216EB(a).</w:t>
      </w:r>
    </w:p>
  </w:footnote>
  <w:footnote w:id="851">
    <w:p w14:paraId="257193C9"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s 216EB.</w:t>
      </w:r>
    </w:p>
  </w:footnote>
  <w:footnote w:id="852">
    <w:p w14:paraId="113F5167" w14:textId="61D79AEE" w:rsidR="00924664" w:rsidRPr="00A03B67" w:rsidRDefault="00924664" w:rsidP="00924664">
      <w:pPr>
        <w:pStyle w:val="FootnoteText"/>
      </w:pPr>
      <w:r w:rsidRPr="00A03B67">
        <w:rPr>
          <w:rStyle w:val="FootnoteReference"/>
        </w:rPr>
        <w:footnoteRef/>
      </w:r>
      <w:r w:rsidRPr="00A03B67">
        <w:t xml:space="preserve"> Explanatory Memorandum, Fair Work Legislation Amendment (Secure Jobs, Better Pay) Bill 2022, [113] </w:t>
      </w:r>
      <w:r w:rsidRPr="00A03B67">
        <w:rPr>
          <w:lang w:val="en-US"/>
        </w:rPr>
        <w:t xml:space="preserve">xxiii (update to </w:t>
      </w:r>
      <w:r w:rsidR="00984B47">
        <w:rPr>
          <w:lang w:val="en-US"/>
        </w:rPr>
        <w:t>R</w:t>
      </w:r>
      <w:r w:rsidRPr="00A03B67">
        <w:rPr>
          <w:lang w:val="en-US"/>
        </w:rPr>
        <w:t>evised Explanatory Memorandum).</w:t>
      </w:r>
    </w:p>
  </w:footnote>
  <w:footnote w:id="853">
    <w:p w14:paraId="4522858E" w14:textId="1045923E" w:rsidR="00924664" w:rsidRPr="00A03B67" w:rsidRDefault="00924664" w:rsidP="00924664">
      <w:pPr>
        <w:pStyle w:val="FootnoteText"/>
      </w:pPr>
      <w:r w:rsidRPr="00A03B67">
        <w:rPr>
          <w:rStyle w:val="FootnoteReference"/>
        </w:rPr>
        <w:footnoteRef/>
      </w:r>
      <w:r w:rsidRPr="00A03B67">
        <w:t xml:space="preserve"> Explanatory Memorandum, Fair Work Legislation Amendment (Secure Jobs, Better Pay) Bill 2022, [114] </w:t>
      </w:r>
      <w:r w:rsidRPr="00A03B67">
        <w:rPr>
          <w:lang w:val="en-US"/>
        </w:rPr>
        <w:t xml:space="preserve">xxiii. (update to </w:t>
      </w:r>
      <w:r w:rsidR="00984B47">
        <w:rPr>
          <w:lang w:val="en-US"/>
        </w:rPr>
        <w:t>R</w:t>
      </w:r>
      <w:r w:rsidRPr="00A03B67">
        <w:rPr>
          <w:lang w:val="en-US"/>
        </w:rPr>
        <w:t>evised Explanatory Memorandum).</w:t>
      </w:r>
    </w:p>
  </w:footnote>
  <w:footnote w:id="854">
    <w:p w14:paraId="586A67B6" w14:textId="77777777" w:rsidR="00924664" w:rsidRPr="00A03B67" w:rsidRDefault="00924664" w:rsidP="00924664">
      <w:pPr>
        <w:pStyle w:val="FootnoteText"/>
      </w:pPr>
      <w:r w:rsidRPr="00A03B67">
        <w:rPr>
          <w:rStyle w:val="FootnoteReference"/>
        </w:rPr>
        <w:footnoteRef/>
      </w:r>
      <w:r w:rsidRPr="00A03B67">
        <w:t xml:space="preserve"> Ai Group submission, 71 [287].</w:t>
      </w:r>
    </w:p>
  </w:footnote>
  <w:footnote w:id="855">
    <w:p w14:paraId="051983C4" w14:textId="77777777" w:rsidR="00924664" w:rsidRPr="00A03B67" w:rsidRDefault="00924664" w:rsidP="00924664">
      <w:pPr>
        <w:pStyle w:val="FootnoteText"/>
      </w:pPr>
      <w:r w:rsidRPr="00A03B67">
        <w:rPr>
          <w:rStyle w:val="FootnoteReference"/>
        </w:rPr>
        <w:footnoteRef/>
      </w:r>
      <w:r w:rsidRPr="00A03B67">
        <w:t xml:space="preserve"> Ai Group submission, 72 [288].</w:t>
      </w:r>
    </w:p>
  </w:footnote>
  <w:footnote w:id="856">
    <w:p w14:paraId="3EE0B717" w14:textId="77777777" w:rsidR="00924664" w:rsidRPr="00A03B67" w:rsidRDefault="00924664" w:rsidP="00924664">
      <w:pPr>
        <w:pStyle w:val="FootnoteText"/>
      </w:pPr>
      <w:r w:rsidRPr="00A03B67">
        <w:rPr>
          <w:rStyle w:val="FootnoteReference"/>
        </w:rPr>
        <w:footnoteRef/>
      </w:r>
      <w:r w:rsidRPr="00A03B67">
        <w:t xml:space="preserve"> ACTU submission, 99.</w:t>
      </w:r>
    </w:p>
  </w:footnote>
  <w:footnote w:id="857">
    <w:p w14:paraId="4DDCD2BC" w14:textId="77777777" w:rsidR="00924664" w:rsidRPr="00A03B67" w:rsidRDefault="00924664" w:rsidP="00924664">
      <w:pPr>
        <w:pStyle w:val="FootnoteText"/>
      </w:pPr>
      <w:r w:rsidRPr="00A03B67">
        <w:rPr>
          <w:rStyle w:val="FootnoteReference"/>
        </w:rPr>
        <w:footnoteRef/>
      </w:r>
      <w:r w:rsidRPr="00A03B67">
        <w:t xml:space="preserve"> ACTU submission, 99.</w:t>
      </w:r>
    </w:p>
  </w:footnote>
  <w:footnote w:id="858">
    <w:p w14:paraId="2B8D46EC" w14:textId="59A559D7" w:rsidR="00924664" w:rsidRPr="00A03B67" w:rsidRDefault="00924664" w:rsidP="00924664">
      <w:pPr>
        <w:pStyle w:val="FootnoteText"/>
      </w:pPr>
      <w:r w:rsidRPr="00A03B67">
        <w:rPr>
          <w:rStyle w:val="FootnoteReference"/>
        </w:rPr>
        <w:footnoteRef/>
      </w:r>
      <w:r w:rsidRPr="00A03B67">
        <w:t xml:space="preserve"> </w:t>
      </w:r>
      <w:r w:rsidR="009A3637">
        <w:t>Master Builders Association (</w:t>
      </w:r>
      <w:r w:rsidRPr="00A03B67">
        <w:t>MBA</w:t>
      </w:r>
      <w:r w:rsidR="009A3637">
        <w:t>)</w:t>
      </w:r>
      <w:r w:rsidRPr="00A03B67">
        <w:t xml:space="preserve"> submission, [98].</w:t>
      </w:r>
    </w:p>
  </w:footnote>
  <w:footnote w:id="859">
    <w:p w14:paraId="65E6904B" w14:textId="77777777" w:rsidR="00924664" w:rsidRPr="00661C63" w:rsidRDefault="00924664" w:rsidP="00924664">
      <w:pPr>
        <w:pStyle w:val="FootnoteText"/>
      </w:pPr>
      <w:r>
        <w:rPr>
          <w:rStyle w:val="FootnoteReference"/>
        </w:rPr>
        <w:footnoteRef/>
      </w:r>
      <w:r>
        <w:t xml:space="preserve"> Ai Group submission</w:t>
      </w:r>
      <w:r w:rsidRPr="007607FA">
        <w:t xml:space="preserve"> </w:t>
      </w:r>
      <w:r>
        <w:t>in response to draft report, 47.</w:t>
      </w:r>
    </w:p>
  </w:footnote>
  <w:footnote w:id="860">
    <w:p w14:paraId="593A6ECD"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s 225 (as at 11 September 2021 </w:t>
      </w:r>
      <w:r w:rsidRPr="00A03B67">
        <w:rPr>
          <w:rFonts w:ascii="Symbol" w:eastAsia="Symbol" w:hAnsi="Symbol" w:cs="Symbol"/>
        </w:rPr>
        <w:t>-</w:t>
      </w:r>
      <w:r w:rsidRPr="00A03B67">
        <w:t> 06 December 2022).</w:t>
      </w:r>
    </w:p>
  </w:footnote>
  <w:footnote w:id="861">
    <w:p w14:paraId="31B99B58"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s 226(a) (as at 11 September 2021 </w:t>
      </w:r>
      <w:r w:rsidRPr="00A03B67">
        <w:rPr>
          <w:rFonts w:ascii="Symbol" w:eastAsia="Symbol" w:hAnsi="Symbol" w:cs="Symbol"/>
        </w:rPr>
        <w:t>-</w:t>
      </w:r>
      <w:r w:rsidRPr="00A03B67">
        <w:t> 06 December 2022).</w:t>
      </w:r>
    </w:p>
  </w:footnote>
  <w:footnote w:id="862">
    <w:p w14:paraId="132B6A55" w14:textId="7821E5F8" w:rsidR="001170CA" w:rsidRDefault="001170CA" w:rsidP="00373281">
      <w:pPr>
        <w:pStyle w:val="FootnoteText"/>
      </w:pPr>
      <w:r>
        <w:rPr>
          <w:rStyle w:val="FootnoteReference"/>
        </w:rPr>
        <w:footnoteRef/>
      </w:r>
      <w:r>
        <w:t xml:space="preserve"> </w:t>
      </w:r>
      <w:r w:rsidR="00373281" w:rsidRPr="00A03B67">
        <w:rPr>
          <w:i/>
          <w:iCs/>
        </w:rPr>
        <w:t>Fair Work Act 2009</w:t>
      </w:r>
      <w:r w:rsidR="00373281" w:rsidRPr="00A03B67">
        <w:t xml:space="preserve"> (Cth) s 226(</w:t>
      </w:r>
      <w:r w:rsidR="00373281">
        <w:t>b</w:t>
      </w:r>
      <w:r w:rsidR="00373281" w:rsidRPr="00A03B67">
        <w:t>)</w:t>
      </w:r>
      <w:r w:rsidR="00373281">
        <w:t>(i)</w:t>
      </w:r>
      <w:r w:rsidR="00373281" w:rsidRPr="00A03B67">
        <w:t xml:space="preserve"> (as at 11 September 2021 </w:t>
      </w:r>
      <w:r w:rsidR="00373281" w:rsidRPr="00A03B67">
        <w:rPr>
          <w:rFonts w:ascii="Symbol" w:eastAsia="Symbol" w:hAnsi="Symbol" w:cs="Symbol"/>
        </w:rPr>
        <w:t>-</w:t>
      </w:r>
      <w:r w:rsidR="00373281" w:rsidRPr="00A03B67">
        <w:t> 06 December 2022).</w:t>
      </w:r>
    </w:p>
  </w:footnote>
  <w:footnote w:id="863">
    <w:p w14:paraId="388955E3"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s 226(b)(ii) (as at 11 September 2021 </w:t>
      </w:r>
      <w:r w:rsidRPr="00A03B67">
        <w:rPr>
          <w:rFonts w:ascii="Symbol" w:eastAsia="Symbol" w:hAnsi="Symbol" w:cs="Symbol"/>
        </w:rPr>
        <w:t>-</w:t>
      </w:r>
      <w:r w:rsidRPr="00A03B67">
        <w:t> 06 December 2022).</w:t>
      </w:r>
    </w:p>
  </w:footnote>
  <w:footnote w:id="864">
    <w:p w14:paraId="07B0B3EB" w14:textId="25C393EB" w:rsidR="00924664" w:rsidRPr="00A03B67" w:rsidRDefault="00924664" w:rsidP="00924664">
      <w:pPr>
        <w:pStyle w:val="FootnoteText"/>
      </w:pPr>
      <w:r w:rsidRPr="00A03B67">
        <w:rPr>
          <w:rStyle w:val="FootnoteReference"/>
        </w:rPr>
        <w:footnoteRef/>
      </w:r>
      <w:r w:rsidRPr="00A03B67">
        <w:rPr>
          <w:rFonts w:eastAsia="Aptos" w:cs="Aptos"/>
          <w:i/>
        </w:rPr>
        <w:t>Construction, Forestry, Mining and Energy Union v AGL Loy Yang Pty Ltd t/a</w:t>
      </w:r>
      <w:r w:rsidR="000551D1">
        <w:rPr>
          <w:rFonts w:eastAsia="Aptos" w:cs="Aptos"/>
          <w:i/>
        </w:rPr>
        <w:t>s</w:t>
      </w:r>
      <w:r w:rsidRPr="00A03B67">
        <w:rPr>
          <w:rFonts w:eastAsia="Aptos" w:cs="Aptos"/>
          <w:i/>
        </w:rPr>
        <w:t xml:space="preserve"> AGL Loy Yang </w:t>
      </w:r>
      <w:r w:rsidRPr="00A03B67">
        <w:rPr>
          <w:rFonts w:ascii="Aptos" w:eastAsia="Aptos" w:hAnsi="Aptos" w:cs="Aptos"/>
        </w:rPr>
        <w:t>[2017] FWCFB 1019.</w:t>
      </w:r>
    </w:p>
  </w:footnote>
  <w:footnote w:id="865">
    <w:p w14:paraId="20F2F8AB" w14:textId="69BBE367" w:rsidR="00924664" w:rsidRPr="00A03B67" w:rsidRDefault="00924664" w:rsidP="00924664">
      <w:pPr>
        <w:pStyle w:val="FootnoteText"/>
      </w:pPr>
      <w:r w:rsidRPr="00A03B67">
        <w:rPr>
          <w:rStyle w:val="FootnoteReference"/>
        </w:rPr>
        <w:footnoteRef/>
      </w:r>
      <w:r w:rsidRPr="00A03B67">
        <w:t xml:space="preserve"> </w:t>
      </w:r>
      <w:r w:rsidRPr="00A03B67">
        <w:rPr>
          <w:rFonts w:ascii="Aptos" w:eastAsia="Aptos" w:hAnsi="Aptos" w:cs="Aptos"/>
          <w:i/>
          <w:iCs/>
        </w:rPr>
        <w:t>AGL Loy Yang Pty Ltd T/A AGL Loy Yang</w:t>
      </w:r>
      <w:r w:rsidRPr="00A03B67">
        <w:rPr>
          <w:rFonts w:ascii="Aptos" w:eastAsia="Aptos" w:hAnsi="Aptos" w:cs="Aptos"/>
        </w:rPr>
        <w:t xml:space="preserve"> [2017] FWCA 226.</w:t>
      </w:r>
    </w:p>
  </w:footnote>
  <w:footnote w:id="866">
    <w:p w14:paraId="243A77BD" w14:textId="17138098" w:rsidR="00924664" w:rsidRPr="00A03B67" w:rsidRDefault="00924664" w:rsidP="00924664">
      <w:pPr>
        <w:pStyle w:val="FootnoteText"/>
      </w:pPr>
      <w:r w:rsidRPr="00A03B67">
        <w:rPr>
          <w:rStyle w:val="FootnoteReference"/>
        </w:rPr>
        <w:footnoteRef/>
      </w:r>
      <w:r w:rsidRPr="00A03B67">
        <w:t xml:space="preserve"> </w:t>
      </w:r>
      <w:r w:rsidRPr="00A03B67">
        <w:rPr>
          <w:rFonts w:ascii="Aptos" w:eastAsia="Aptos" w:hAnsi="Aptos" w:cs="Aptos"/>
          <w:i/>
          <w:iCs/>
        </w:rPr>
        <w:t>AGL Loy Yang Pty Ltd T/A AGL Loy Yang</w:t>
      </w:r>
      <w:r w:rsidRPr="00A03B67">
        <w:rPr>
          <w:rFonts w:ascii="Aptos" w:eastAsia="Aptos" w:hAnsi="Aptos" w:cs="Aptos"/>
        </w:rPr>
        <w:t xml:space="preserve"> [2017] FWCA 226 [74]</w:t>
      </w:r>
      <w:r w:rsidRPr="00A03B67">
        <w:rPr>
          <w:rFonts w:ascii="Symbol" w:eastAsia="Symbol" w:hAnsi="Symbol" w:cs="Symbol"/>
        </w:rPr>
        <w:t>-</w:t>
      </w:r>
      <w:r w:rsidRPr="00A03B67">
        <w:rPr>
          <w:rFonts w:ascii="Aptos" w:eastAsia="Aptos" w:hAnsi="Aptos" w:cs="Aptos"/>
        </w:rPr>
        <w:t>[75].</w:t>
      </w:r>
    </w:p>
  </w:footnote>
  <w:footnote w:id="867">
    <w:p w14:paraId="7210494D" w14:textId="18084BFF" w:rsidR="00924664" w:rsidRPr="00A03B67" w:rsidRDefault="00924664" w:rsidP="00924664">
      <w:pPr>
        <w:pStyle w:val="FootnoteText"/>
      </w:pPr>
      <w:r w:rsidRPr="00A03B67">
        <w:rPr>
          <w:rStyle w:val="FootnoteReference"/>
        </w:rPr>
        <w:footnoteRef/>
      </w:r>
      <w:r w:rsidRPr="00A03B67">
        <w:t xml:space="preserve"> </w:t>
      </w:r>
      <w:r w:rsidRPr="00A03B67">
        <w:rPr>
          <w:rFonts w:ascii="Aptos" w:eastAsia="Aptos" w:hAnsi="Aptos" w:cs="Aptos"/>
          <w:i/>
          <w:iCs/>
        </w:rPr>
        <w:t>AGL Loy Yang Pty Ltd T/A AGL Loy Yang</w:t>
      </w:r>
      <w:r w:rsidRPr="00A03B67">
        <w:rPr>
          <w:rFonts w:ascii="Aptos" w:eastAsia="Aptos" w:hAnsi="Aptos" w:cs="Aptos"/>
        </w:rPr>
        <w:t xml:space="preserve"> [2017] FWCA 226 [103]</w:t>
      </w:r>
      <w:r w:rsidRPr="00A03B67">
        <w:rPr>
          <w:rFonts w:ascii="Symbol" w:eastAsia="Symbol" w:hAnsi="Symbol" w:cs="Symbol"/>
        </w:rPr>
        <w:t>-</w:t>
      </w:r>
      <w:r w:rsidRPr="00A03B67">
        <w:rPr>
          <w:rFonts w:ascii="Aptos" w:eastAsia="Aptos" w:hAnsi="Aptos" w:cs="Aptos"/>
        </w:rPr>
        <w:t>[114].</w:t>
      </w:r>
    </w:p>
  </w:footnote>
  <w:footnote w:id="868">
    <w:p w14:paraId="75D8FF4A" w14:textId="6ABDDD9D" w:rsidR="00924664" w:rsidRPr="00A03B67" w:rsidRDefault="00924664" w:rsidP="00924664">
      <w:pPr>
        <w:pStyle w:val="FootnoteText"/>
      </w:pPr>
      <w:r w:rsidRPr="00A03B67">
        <w:rPr>
          <w:rStyle w:val="FootnoteReference"/>
        </w:rPr>
        <w:footnoteRef/>
      </w:r>
      <w:r w:rsidRPr="00A03B67">
        <w:t xml:space="preserve"> </w:t>
      </w:r>
      <w:r w:rsidRPr="00A03B67">
        <w:rPr>
          <w:rFonts w:ascii="Aptos" w:eastAsia="Aptos" w:hAnsi="Aptos" w:cs="Aptos"/>
          <w:i/>
          <w:iCs/>
        </w:rPr>
        <w:t>Construction, Forestry, Mining and Energy Union v AGL Loy Yang Pty Ltd t/a</w:t>
      </w:r>
      <w:r w:rsidR="000551D1">
        <w:rPr>
          <w:rFonts w:ascii="Aptos" w:eastAsia="Aptos" w:hAnsi="Aptos" w:cs="Aptos"/>
          <w:i/>
          <w:iCs/>
        </w:rPr>
        <w:t>s</w:t>
      </w:r>
      <w:r w:rsidRPr="00A03B67">
        <w:rPr>
          <w:rFonts w:ascii="Aptos" w:eastAsia="Aptos" w:hAnsi="Aptos" w:cs="Aptos"/>
          <w:i/>
          <w:iCs/>
        </w:rPr>
        <w:t xml:space="preserve"> AGL Loy Yang</w:t>
      </w:r>
      <w:r w:rsidRPr="00A03B67">
        <w:rPr>
          <w:rFonts w:ascii="Aptos" w:eastAsia="Aptos" w:hAnsi="Aptos" w:cs="Aptos"/>
        </w:rPr>
        <w:t xml:space="preserve"> [2017] FWCFB 1019 [43].</w:t>
      </w:r>
    </w:p>
  </w:footnote>
  <w:footnote w:id="869">
    <w:p w14:paraId="20C69E84"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s 226(3).</w:t>
      </w:r>
    </w:p>
  </w:footnote>
  <w:footnote w:id="870">
    <w:p w14:paraId="7EBBDF54"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s 226(4).</w:t>
      </w:r>
    </w:p>
  </w:footnote>
  <w:footnote w:id="871">
    <w:p w14:paraId="08738E42"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Fair Work Act 2009</w:t>
      </w:r>
      <w:r w:rsidRPr="00A03B67">
        <w:t xml:space="preserve"> (Cth) s 615A(3).</w:t>
      </w:r>
    </w:p>
  </w:footnote>
  <w:footnote w:id="872">
    <w:p w14:paraId="54252D74" w14:textId="77777777" w:rsidR="00924664" w:rsidRPr="00A03B67" w:rsidRDefault="00924664" w:rsidP="00924664">
      <w:pPr>
        <w:pStyle w:val="FootnoteText"/>
      </w:pPr>
      <w:r w:rsidRPr="00A03B67">
        <w:rPr>
          <w:rStyle w:val="FootnoteReference"/>
        </w:rPr>
        <w:footnoteRef/>
      </w:r>
      <w:r w:rsidRPr="00A03B67">
        <w:t xml:space="preserve"> Explanatory Memorandum, Fair Work Legislation Amendment (Secure Jobs, Better Pay) Bill 2022, [634].</w:t>
      </w:r>
    </w:p>
  </w:footnote>
  <w:footnote w:id="873">
    <w:p w14:paraId="314D8CD0" w14:textId="77777777" w:rsidR="00924664" w:rsidRPr="00A03B67" w:rsidRDefault="00924664" w:rsidP="00924664">
      <w:pPr>
        <w:pStyle w:val="FootnoteText"/>
      </w:pPr>
      <w:r w:rsidRPr="00A03B67">
        <w:rPr>
          <w:rStyle w:val="FootnoteReference"/>
        </w:rPr>
        <w:footnoteRef/>
      </w:r>
      <w:r w:rsidRPr="00A03B67">
        <w:t xml:space="preserve"> Fair Work Commission, </w:t>
      </w:r>
      <w:r w:rsidRPr="00A03B67">
        <w:rPr>
          <w:i/>
          <w:iCs/>
        </w:rPr>
        <w:t>Annual Report 2019</w:t>
      </w:r>
      <w:r w:rsidRPr="00A03B67">
        <w:rPr>
          <w:rFonts w:ascii="Symbol" w:eastAsia="Symbol" w:hAnsi="Symbol" w:cs="Symbol"/>
          <w:i/>
          <w:iCs/>
        </w:rPr>
        <w:t>-</w:t>
      </w:r>
      <w:r w:rsidRPr="00A03B67">
        <w:rPr>
          <w:i/>
          <w:iCs/>
        </w:rPr>
        <w:t>20</w:t>
      </w:r>
      <w:r w:rsidRPr="00A03B67">
        <w:t xml:space="preserve"> (Report, 2020) 62.</w:t>
      </w:r>
    </w:p>
  </w:footnote>
  <w:footnote w:id="874">
    <w:p w14:paraId="071FE0F5" w14:textId="77777777" w:rsidR="00924664" w:rsidRPr="00A03B67" w:rsidRDefault="00924664" w:rsidP="00924664">
      <w:pPr>
        <w:pStyle w:val="FootnoteText"/>
      </w:pPr>
      <w:r w:rsidRPr="00A03B67">
        <w:rPr>
          <w:rStyle w:val="FootnoteReference"/>
        </w:rPr>
        <w:footnoteRef/>
      </w:r>
      <w:r w:rsidRPr="00A03B67">
        <w:t xml:space="preserve"> Fair Work Commission, </w:t>
      </w:r>
      <w:r w:rsidRPr="00A03B67">
        <w:rPr>
          <w:i/>
          <w:iCs/>
        </w:rPr>
        <w:t>Annual Report 2020</w:t>
      </w:r>
      <w:r w:rsidRPr="00A03B67">
        <w:rPr>
          <w:rFonts w:ascii="Symbol" w:eastAsia="Symbol" w:hAnsi="Symbol" w:cs="Symbol"/>
          <w:i/>
          <w:iCs/>
        </w:rPr>
        <w:t>-</w:t>
      </w:r>
      <w:r w:rsidRPr="00A03B67">
        <w:rPr>
          <w:i/>
          <w:iCs/>
        </w:rPr>
        <w:t>21</w:t>
      </w:r>
      <w:r w:rsidRPr="00A03B67">
        <w:t xml:space="preserve"> (Report, 2021) ‘Access to justice’ 58.</w:t>
      </w:r>
    </w:p>
  </w:footnote>
  <w:footnote w:id="875">
    <w:p w14:paraId="6D05BEDD" w14:textId="1CFE8952" w:rsidR="00924664" w:rsidRPr="00A03B67" w:rsidRDefault="00924664" w:rsidP="00924664">
      <w:pPr>
        <w:pStyle w:val="FootnoteText"/>
      </w:pPr>
      <w:r w:rsidRPr="00A03B67">
        <w:rPr>
          <w:rStyle w:val="FootnoteReference"/>
        </w:rPr>
        <w:footnoteRef/>
      </w:r>
      <w:r w:rsidRPr="00A03B67">
        <w:t xml:space="preserve"> Fair Work Commission, </w:t>
      </w:r>
      <w:r w:rsidRPr="00A03B67">
        <w:rPr>
          <w:i/>
          <w:iCs/>
        </w:rPr>
        <w:t>Annual Report 2021</w:t>
      </w:r>
      <w:r w:rsidRPr="00A03B67">
        <w:rPr>
          <w:rFonts w:ascii="Symbol" w:eastAsia="Symbol" w:hAnsi="Symbol" w:cs="Symbol"/>
          <w:i/>
          <w:iCs/>
        </w:rPr>
        <w:t>-</w:t>
      </w:r>
      <w:r w:rsidRPr="00A03B67">
        <w:rPr>
          <w:i/>
          <w:iCs/>
        </w:rPr>
        <w:t>22</w:t>
      </w:r>
      <w:r w:rsidRPr="00A03B67">
        <w:t xml:space="preserve"> (Report, 2022) 57.</w:t>
      </w:r>
    </w:p>
  </w:footnote>
  <w:footnote w:id="876">
    <w:p w14:paraId="10781667" w14:textId="77777777" w:rsidR="00924664" w:rsidRPr="00A03B67" w:rsidRDefault="00924664" w:rsidP="00924664">
      <w:pPr>
        <w:pStyle w:val="FootnoteText"/>
      </w:pPr>
      <w:r w:rsidRPr="00A03B67">
        <w:rPr>
          <w:rStyle w:val="FootnoteReference"/>
        </w:rPr>
        <w:footnoteRef/>
      </w:r>
      <w:r w:rsidRPr="00A03B67">
        <w:t xml:space="preserve"> Fair Work Commission, </w:t>
      </w:r>
      <w:r w:rsidRPr="00A03B67">
        <w:rPr>
          <w:i/>
          <w:iCs/>
        </w:rPr>
        <w:t>Annual Report 2022–23</w:t>
      </w:r>
      <w:r w:rsidRPr="00A03B67">
        <w:t xml:space="preserve"> (Report, 2023) 64.</w:t>
      </w:r>
    </w:p>
  </w:footnote>
  <w:footnote w:id="877">
    <w:p w14:paraId="6A003978" w14:textId="77777777" w:rsidR="00924664" w:rsidRPr="00A03B67" w:rsidRDefault="00924664" w:rsidP="00924664">
      <w:pPr>
        <w:pStyle w:val="FootnoteText"/>
      </w:pPr>
      <w:r w:rsidRPr="00A03B67">
        <w:rPr>
          <w:rStyle w:val="FootnoteReference"/>
        </w:rPr>
        <w:footnoteRef/>
      </w:r>
      <w:r w:rsidRPr="00A03B67">
        <w:t xml:space="preserve"> Fair Work Commission, </w:t>
      </w:r>
      <w:r w:rsidRPr="00A03B67">
        <w:rPr>
          <w:i/>
          <w:iCs/>
        </w:rPr>
        <w:t>Annual Report 2023</w:t>
      </w:r>
      <w:r w:rsidRPr="00A03B67">
        <w:rPr>
          <w:rFonts w:ascii="Symbol" w:eastAsia="Symbol" w:hAnsi="Symbol" w:cs="Symbol"/>
          <w:i/>
          <w:iCs/>
        </w:rPr>
        <w:t>-</w:t>
      </w:r>
      <w:r w:rsidRPr="00A03B67">
        <w:rPr>
          <w:i/>
          <w:iCs/>
        </w:rPr>
        <w:t>24</w:t>
      </w:r>
      <w:r w:rsidRPr="00A03B67">
        <w:t xml:space="preserve"> (Report, 2024) 63.</w:t>
      </w:r>
    </w:p>
  </w:footnote>
  <w:footnote w:id="878">
    <w:p w14:paraId="25A99872"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Application by Forest Coach Lines Pty Ltd</w:t>
      </w:r>
      <w:r w:rsidRPr="00A03B67">
        <w:t xml:space="preserve"> [2023] FWCA 4472.</w:t>
      </w:r>
    </w:p>
  </w:footnote>
  <w:footnote w:id="879">
    <w:p w14:paraId="764A1DCF"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Application by Forest Coach Lines Pty Ltd</w:t>
      </w:r>
      <w:r w:rsidRPr="00A03B67">
        <w:t xml:space="preserve"> [2023] FWCA 4472 [31].</w:t>
      </w:r>
    </w:p>
  </w:footnote>
  <w:footnote w:id="880">
    <w:p w14:paraId="14668A95" w14:textId="77777777" w:rsidR="00924664" w:rsidRPr="00A03B67" w:rsidRDefault="00924664" w:rsidP="00924664">
      <w:pPr>
        <w:pStyle w:val="FootnoteText"/>
      </w:pPr>
      <w:r w:rsidRPr="00A03B67">
        <w:rPr>
          <w:rStyle w:val="FootnoteReference"/>
        </w:rPr>
        <w:footnoteRef/>
      </w:r>
      <w:r w:rsidRPr="00A03B67">
        <w:t xml:space="preserve"> </w:t>
      </w:r>
      <w:r w:rsidRPr="00A03B67">
        <w:rPr>
          <w:i/>
          <w:iCs/>
        </w:rPr>
        <w:t>Application by Forest Coach Lines Pty Ltd</w:t>
      </w:r>
      <w:r w:rsidRPr="00A03B67">
        <w:t xml:space="preserve"> [2023] FWCA 4472 [8].</w:t>
      </w:r>
    </w:p>
  </w:footnote>
  <w:footnote w:id="881">
    <w:p w14:paraId="3CDF3DB0" w14:textId="7FD21722" w:rsidR="00924664" w:rsidRPr="00A03B67" w:rsidRDefault="00924664" w:rsidP="00924664">
      <w:pPr>
        <w:pStyle w:val="FootnoteText"/>
      </w:pPr>
      <w:r w:rsidRPr="00A03B67">
        <w:rPr>
          <w:rStyle w:val="FootnoteReference"/>
        </w:rPr>
        <w:footnoteRef/>
      </w:r>
      <w:r w:rsidRPr="00A03B67">
        <w:t xml:space="preserve"> </w:t>
      </w:r>
      <w:r w:rsidRPr="00A03B67">
        <w:rPr>
          <w:i/>
          <w:iCs/>
        </w:rPr>
        <w:t>BDS Support Services T/A Broadmeadows Disability</w:t>
      </w:r>
      <w:r w:rsidRPr="00A03B67">
        <w:t xml:space="preserve"> Services [2024] FWCFB 404.</w:t>
      </w:r>
    </w:p>
  </w:footnote>
  <w:footnote w:id="882">
    <w:p w14:paraId="5B4E4E52" w14:textId="56FD846A" w:rsidR="00924664" w:rsidRPr="00A03B67" w:rsidRDefault="00924664" w:rsidP="00924664">
      <w:pPr>
        <w:pStyle w:val="FootnoteText"/>
      </w:pPr>
      <w:r w:rsidRPr="00A03B67">
        <w:rPr>
          <w:rStyle w:val="FootnoteReference"/>
        </w:rPr>
        <w:footnoteRef/>
      </w:r>
      <w:r w:rsidRPr="00A03B67" w:rsidDel="00913078">
        <w:t xml:space="preserve"> </w:t>
      </w:r>
      <w:r w:rsidRPr="00A03B67">
        <w:rPr>
          <w:i/>
          <w:iCs/>
        </w:rPr>
        <w:t>BDS Support Services T/A Broadmeadows Disability</w:t>
      </w:r>
      <w:r w:rsidRPr="00A03B67">
        <w:t xml:space="preserve"> Services [2024] FWCFB 404 [7].</w:t>
      </w:r>
    </w:p>
  </w:footnote>
  <w:footnote w:id="883">
    <w:p w14:paraId="661F8145" w14:textId="77777777" w:rsidR="00924664" w:rsidRPr="00A03B67" w:rsidRDefault="00924664" w:rsidP="00924664">
      <w:pPr>
        <w:pStyle w:val="FootnoteText"/>
      </w:pPr>
      <w:r w:rsidRPr="00A03B67">
        <w:rPr>
          <w:rStyle w:val="FootnoteReference"/>
        </w:rPr>
        <w:footnoteRef/>
      </w:r>
      <w:r w:rsidRPr="00A03B67">
        <w:t xml:space="preserve"> [2024] FWCFB 404 [40], [41].</w:t>
      </w:r>
    </w:p>
  </w:footnote>
  <w:footnote w:id="884">
    <w:p w14:paraId="61AF19F8" w14:textId="77777777" w:rsidR="00924664" w:rsidRDefault="00924664" w:rsidP="00924664">
      <w:pPr>
        <w:pStyle w:val="FootnoteText"/>
      </w:pPr>
      <w:r>
        <w:rPr>
          <w:rStyle w:val="FootnoteReference"/>
        </w:rPr>
        <w:footnoteRef/>
      </w:r>
      <w:r>
        <w:t xml:space="preserve"> </w:t>
      </w:r>
      <w:r w:rsidRPr="00054E2D">
        <w:t>[2025] FWC 487</w:t>
      </w:r>
      <w:r>
        <w:t>.</w:t>
      </w:r>
    </w:p>
  </w:footnote>
  <w:footnote w:id="885">
    <w:p w14:paraId="15841A22" w14:textId="77777777" w:rsidR="00924664" w:rsidRDefault="00924664" w:rsidP="00924664">
      <w:pPr>
        <w:pStyle w:val="FootnoteText"/>
      </w:pPr>
      <w:r>
        <w:rPr>
          <w:rStyle w:val="FootnoteReference"/>
        </w:rPr>
        <w:footnoteRef/>
      </w:r>
      <w:r>
        <w:t xml:space="preserve"> </w:t>
      </w:r>
      <w:r w:rsidRPr="00054E2D">
        <w:t>[2025] FWC 487</w:t>
      </w:r>
      <w:r>
        <w:t xml:space="preserve"> [9].</w:t>
      </w:r>
    </w:p>
  </w:footnote>
  <w:footnote w:id="886">
    <w:p w14:paraId="07EB586E" w14:textId="77777777" w:rsidR="00924664" w:rsidRDefault="00924664" w:rsidP="00924664">
      <w:pPr>
        <w:pStyle w:val="FootnoteText"/>
      </w:pPr>
      <w:r>
        <w:rPr>
          <w:rStyle w:val="FootnoteReference"/>
        </w:rPr>
        <w:footnoteRef/>
      </w:r>
      <w:r>
        <w:t xml:space="preserve"> </w:t>
      </w:r>
      <w:r w:rsidRPr="00054E2D">
        <w:t>[2025] FWC 487</w:t>
      </w:r>
      <w:r>
        <w:t xml:space="preserve"> [9].</w:t>
      </w:r>
    </w:p>
  </w:footnote>
  <w:footnote w:id="887">
    <w:p w14:paraId="6AAC31C6" w14:textId="77777777" w:rsidR="00924664" w:rsidRDefault="00924664" w:rsidP="00924664">
      <w:pPr>
        <w:pStyle w:val="FootnoteText"/>
      </w:pPr>
      <w:r>
        <w:rPr>
          <w:rStyle w:val="FootnoteReference"/>
        </w:rPr>
        <w:footnoteRef/>
      </w:r>
      <w:r>
        <w:t xml:space="preserve"> [</w:t>
      </w:r>
      <w:r w:rsidRPr="00054E2D">
        <w:t>2025] FWC 487</w:t>
      </w:r>
      <w:r>
        <w:t xml:space="preserve"> [11].</w:t>
      </w:r>
    </w:p>
  </w:footnote>
  <w:footnote w:id="888">
    <w:p w14:paraId="6AFE7383" w14:textId="77777777" w:rsidR="00924664" w:rsidRDefault="00924664" w:rsidP="00924664">
      <w:pPr>
        <w:pStyle w:val="FootnoteText"/>
      </w:pPr>
      <w:r>
        <w:rPr>
          <w:rStyle w:val="FootnoteReference"/>
        </w:rPr>
        <w:footnoteRef/>
      </w:r>
      <w:r>
        <w:t xml:space="preserve"> [</w:t>
      </w:r>
      <w:r w:rsidRPr="00054E2D">
        <w:t>2025] FWC 487</w:t>
      </w:r>
      <w:r>
        <w:t xml:space="preserve"> [11].</w:t>
      </w:r>
    </w:p>
  </w:footnote>
  <w:footnote w:id="889">
    <w:p w14:paraId="3EA248B9" w14:textId="77777777" w:rsidR="00924664" w:rsidRDefault="00924664" w:rsidP="00924664">
      <w:pPr>
        <w:pStyle w:val="FootnoteText"/>
      </w:pPr>
      <w:r>
        <w:rPr>
          <w:rStyle w:val="FootnoteReference"/>
        </w:rPr>
        <w:footnoteRef/>
      </w:r>
      <w:r>
        <w:t xml:space="preserve"> [</w:t>
      </w:r>
      <w:r w:rsidRPr="00054E2D">
        <w:t>2025] FWC 487</w:t>
      </w:r>
      <w:r>
        <w:t xml:space="preserve"> [12].</w:t>
      </w:r>
    </w:p>
  </w:footnote>
  <w:footnote w:id="890">
    <w:p w14:paraId="72CCBCD7" w14:textId="68AAB561" w:rsidR="00924664" w:rsidRPr="00A03B67" w:rsidRDefault="00924664" w:rsidP="00924664">
      <w:pPr>
        <w:pStyle w:val="FootnoteText"/>
      </w:pPr>
      <w:r w:rsidRPr="00A03B67">
        <w:rPr>
          <w:rStyle w:val="FootnoteReference"/>
        </w:rPr>
        <w:footnoteRef/>
      </w:r>
      <w:r w:rsidRPr="00A03B67">
        <w:t xml:space="preserve"> </w:t>
      </w:r>
      <w:r w:rsidR="009A3637" w:rsidRPr="009A3637">
        <w:t>Business Council of Australia</w:t>
      </w:r>
      <w:r w:rsidR="009A3637">
        <w:t xml:space="preserve"> (</w:t>
      </w:r>
      <w:r w:rsidRPr="00A03B67">
        <w:t>BCA</w:t>
      </w:r>
      <w:r w:rsidR="009A3637">
        <w:t>)</w:t>
      </w:r>
      <w:r w:rsidRPr="00A03B67">
        <w:t xml:space="preserve"> submission, p.14.</w:t>
      </w:r>
    </w:p>
  </w:footnote>
  <w:footnote w:id="891">
    <w:p w14:paraId="337589EE" w14:textId="77777777" w:rsidR="00924664" w:rsidRPr="00A03B67" w:rsidRDefault="00924664" w:rsidP="00924664">
      <w:pPr>
        <w:pStyle w:val="FootnoteText"/>
      </w:pPr>
      <w:r w:rsidRPr="00A03B67">
        <w:rPr>
          <w:rStyle w:val="FootnoteReference"/>
        </w:rPr>
        <w:footnoteRef/>
      </w:r>
      <w:r w:rsidRPr="00A03B67">
        <w:t xml:space="preserve"> Ai Group submission, 7 [25].</w:t>
      </w:r>
    </w:p>
  </w:footnote>
  <w:footnote w:id="892">
    <w:p w14:paraId="3F3932D2" w14:textId="25821E43" w:rsidR="00924664" w:rsidRPr="00A03B67" w:rsidRDefault="00924664" w:rsidP="00924664">
      <w:pPr>
        <w:pStyle w:val="FootnoteText"/>
      </w:pPr>
      <w:r w:rsidRPr="00A03B67">
        <w:rPr>
          <w:rStyle w:val="FootnoteReference"/>
        </w:rPr>
        <w:footnoteRef/>
      </w:r>
      <w:r w:rsidRPr="00A03B67">
        <w:t xml:space="preserve"> </w:t>
      </w:r>
      <w:r w:rsidR="009A3637">
        <w:t>Australian Retailers Association (</w:t>
      </w:r>
      <w:r w:rsidRPr="00A03B67">
        <w:t>ARA</w:t>
      </w:r>
      <w:r w:rsidR="009A3637">
        <w:t>)</w:t>
      </w:r>
      <w:r w:rsidRPr="00A03B67">
        <w:t xml:space="preserve"> submission, 10.</w:t>
      </w:r>
    </w:p>
  </w:footnote>
  <w:footnote w:id="893">
    <w:p w14:paraId="105F8772" w14:textId="33A1FDB4" w:rsidR="00924664" w:rsidRPr="00A03B67" w:rsidRDefault="00924664" w:rsidP="00924664">
      <w:pPr>
        <w:pStyle w:val="FootnoteText"/>
      </w:pPr>
      <w:r w:rsidRPr="00A03B67">
        <w:rPr>
          <w:rStyle w:val="FootnoteReference"/>
        </w:rPr>
        <w:footnoteRef/>
      </w:r>
      <w:r w:rsidRPr="00A03B67">
        <w:t xml:space="preserve"> </w:t>
      </w:r>
      <w:r w:rsidR="009A3637" w:rsidRPr="009A3637">
        <w:t xml:space="preserve">Master Builders Association </w:t>
      </w:r>
      <w:r w:rsidR="009A3637">
        <w:t>(</w:t>
      </w:r>
      <w:r w:rsidRPr="00A03B67">
        <w:t>MBA</w:t>
      </w:r>
      <w:r w:rsidR="009A3637">
        <w:t>)</w:t>
      </w:r>
      <w:r w:rsidRPr="00A03B67">
        <w:t xml:space="preserve"> submission, 18.</w:t>
      </w:r>
    </w:p>
  </w:footnote>
  <w:footnote w:id="894">
    <w:p w14:paraId="3BDBDC22" w14:textId="066CF639" w:rsidR="00924664" w:rsidRPr="00A03B67" w:rsidRDefault="00924664" w:rsidP="00924664">
      <w:pPr>
        <w:pStyle w:val="FootnoteText"/>
      </w:pPr>
      <w:r w:rsidRPr="00A03B67">
        <w:rPr>
          <w:rStyle w:val="FootnoteReference"/>
        </w:rPr>
        <w:footnoteRef/>
      </w:r>
      <w:r w:rsidRPr="00A03B67">
        <w:t xml:space="preserve"> Maritime Industry Australia </w:t>
      </w:r>
      <w:r w:rsidR="009A3637">
        <w:t xml:space="preserve">Ltd (MIAL) </w:t>
      </w:r>
      <w:r w:rsidRPr="00A03B67">
        <w:t>submission, 11 [6.3].</w:t>
      </w:r>
    </w:p>
  </w:footnote>
  <w:footnote w:id="895">
    <w:p w14:paraId="7C98D545" w14:textId="77777777" w:rsidR="00924664" w:rsidRPr="00A03B67" w:rsidRDefault="00924664" w:rsidP="00924664">
      <w:pPr>
        <w:pStyle w:val="FootnoteText"/>
      </w:pPr>
      <w:r w:rsidRPr="00A03B67">
        <w:rPr>
          <w:rStyle w:val="FootnoteReference"/>
        </w:rPr>
        <w:footnoteRef/>
      </w:r>
      <w:r w:rsidRPr="00A03B67">
        <w:t xml:space="preserve"> Clubs Australia submission, 3.</w:t>
      </w:r>
    </w:p>
  </w:footnote>
  <w:footnote w:id="896">
    <w:p w14:paraId="0E3ABEDE" w14:textId="44215F12" w:rsidR="00924664" w:rsidRPr="00A03B67" w:rsidRDefault="00924664" w:rsidP="00924664">
      <w:pPr>
        <w:pStyle w:val="FootnoteText"/>
      </w:pPr>
      <w:r w:rsidRPr="00A03B67">
        <w:rPr>
          <w:rStyle w:val="FootnoteReference"/>
        </w:rPr>
        <w:footnoteRef/>
      </w:r>
      <w:r w:rsidRPr="00A03B67">
        <w:t xml:space="preserve"> </w:t>
      </w:r>
      <w:r w:rsidR="009A3637" w:rsidRPr="009A3637">
        <w:t xml:space="preserve">Australian Resources &amp; Energy Employer Association </w:t>
      </w:r>
      <w:r w:rsidR="009A3637">
        <w:t>(</w:t>
      </w:r>
      <w:r w:rsidRPr="00A03B67">
        <w:t>AREEA</w:t>
      </w:r>
      <w:r w:rsidR="009A3637">
        <w:t>)</w:t>
      </w:r>
      <w:r w:rsidRPr="00A03B67">
        <w:t xml:space="preserve"> submission, 15.</w:t>
      </w:r>
    </w:p>
  </w:footnote>
  <w:footnote w:id="897">
    <w:p w14:paraId="7EB8F56E" w14:textId="25C07FE4" w:rsidR="00924664" w:rsidRPr="00A03B67" w:rsidRDefault="00924664" w:rsidP="00924664">
      <w:pPr>
        <w:pStyle w:val="FootnoteText"/>
      </w:pPr>
      <w:r w:rsidRPr="00A03B67">
        <w:rPr>
          <w:rStyle w:val="FootnoteReference"/>
        </w:rPr>
        <w:footnoteRef/>
      </w:r>
      <w:r w:rsidRPr="00A03B67">
        <w:t xml:space="preserve"> </w:t>
      </w:r>
      <w:r w:rsidR="009A3637">
        <w:t>Australian Chamber of Commerce and Industry (</w:t>
      </w:r>
      <w:r w:rsidRPr="00A03B67">
        <w:t>ACCI</w:t>
      </w:r>
      <w:r w:rsidR="009A3637">
        <w:t>)</w:t>
      </w:r>
      <w:r w:rsidRPr="00A03B67">
        <w:t xml:space="preserve"> submission, 10.</w:t>
      </w:r>
    </w:p>
  </w:footnote>
  <w:footnote w:id="898">
    <w:p w14:paraId="18AC724D" w14:textId="77777777" w:rsidR="00924664" w:rsidRPr="00A03B67" w:rsidRDefault="00924664" w:rsidP="00924664">
      <w:pPr>
        <w:pStyle w:val="FootnoteText"/>
      </w:pPr>
      <w:r w:rsidRPr="00A03B67">
        <w:rPr>
          <w:rStyle w:val="FootnoteReference"/>
        </w:rPr>
        <w:footnoteRef/>
      </w:r>
      <w:r w:rsidRPr="00A03B67">
        <w:t xml:space="preserve"> Ai Group submission, 8 [25].</w:t>
      </w:r>
    </w:p>
  </w:footnote>
  <w:footnote w:id="899">
    <w:p w14:paraId="2AA9B8D5" w14:textId="1AE9107E" w:rsidR="00924664" w:rsidRPr="00A03B67" w:rsidRDefault="00924664" w:rsidP="00924664">
      <w:pPr>
        <w:pStyle w:val="FootnoteText"/>
      </w:pPr>
      <w:r w:rsidRPr="00A03B67">
        <w:rPr>
          <w:rStyle w:val="FootnoteReference"/>
        </w:rPr>
        <w:footnoteRef/>
      </w:r>
      <w:r w:rsidRPr="00A03B67">
        <w:t xml:space="preserve"> </w:t>
      </w:r>
      <w:r w:rsidR="009A3637">
        <w:t>Australian Council of Trade Unions (</w:t>
      </w:r>
      <w:r w:rsidRPr="00A03B67">
        <w:t>ACTU</w:t>
      </w:r>
      <w:r w:rsidR="009A3637">
        <w:t>)</w:t>
      </w:r>
      <w:r w:rsidRPr="00A03B67">
        <w:t xml:space="preserve"> submission, 71.</w:t>
      </w:r>
    </w:p>
  </w:footnote>
  <w:footnote w:id="900">
    <w:p w14:paraId="4C249A72" w14:textId="173354EA" w:rsidR="00924664" w:rsidRDefault="00924664" w:rsidP="00924664">
      <w:pPr>
        <w:pStyle w:val="FootnoteText"/>
      </w:pPr>
      <w:r>
        <w:rPr>
          <w:rStyle w:val="FootnoteReference"/>
        </w:rPr>
        <w:footnoteRef/>
      </w:r>
      <w:r>
        <w:t xml:space="preserve"> See ACCI, Clubs Australia, MIAL and Ai Group submission</w:t>
      </w:r>
      <w:r w:rsidR="009A3637">
        <w:t>s</w:t>
      </w:r>
      <w:r>
        <w:t xml:space="preserve"> in response to draft report.</w:t>
      </w:r>
    </w:p>
  </w:footnote>
  <w:footnote w:id="901">
    <w:p w14:paraId="3345E3CD" w14:textId="7F832A41" w:rsidR="00924664" w:rsidRDefault="00924664" w:rsidP="00924664">
      <w:pPr>
        <w:pStyle w:val="FootnoteText"/>
      </w:pPr>
      <w:r>
        <w:rPr>
          <w:rStyle w:val="FootnoteReference"/>
        </w:rPr>
        <w:footnoteRef/>
      </w:r>
      <w:r>
        <w:t xml:space="preserve"> ACTU submission in response to draft report, 19.</w:t>
      </w:r>
    </w:p>
  </w:footnote>
  <w:footnote w:id="902">
    <w:p w14:paraId="1B4107E4" w14:textId="637B1BC5" w:rsidR="00924664" w:rsidRPr="00473CC2" w:rsidRDefault="00924664" w:rsidP="00924664">
      <w:pPr>
        <w:pStyle w:val="FootnoteText"/>
      </w:pPr>
      <w:r>
        <w:rPr>
          <w:rStyle w:val="FootnoteReference"/>
        </w:rPr>
        <w:footnoteRef/>
      </w:r>
      <w:r>
        <w:t xml:space="preserve"> Ai Group submission in response to draft report, 48.</w:t>
      </w:r>
    </w:p>
  </w:footnote>
  <w:footnote w:id="903">
    <w:p w14:paraId="28D87631" w14:textId="77777777" w:rsidR="00924664" w:rsidRPr="00A03B67" w:rsidRDefault="00924664" w:rsidP="00924664">
      <w:pPr>
        <w:pStyle w:val="FootnoteText"/>
      </w:pPr>
      <w:r w:rsidRPr="00A03B67">
        <w:rPr>
          <w:rStyle w:val="FootnoteReference"/>
        </w:rPr>
        <w:footnoteRef/>
      </w:r>
      <w:r w:rsidRPr="00A03B67">
        <w:t xml:space="preserve"> Revised Explanatory Memorandum, Fair Work Legislation Amendment (Secure Jobs, Better Pay) Bill 2022, [686].</w:t>
      </w:r>
    </w:p>
  </w:footnote>
  <w:footnote w:id="904">
    <w:p w14:paraId="133B10C4" w14:textId="77777777" w:rsidR="00924664" w:rsidRPr="00A03B67" w:rsidRDefault="00924664" w:rsidP="00924664">
      <w:pPr>
        <w:pStyle w:val="FootnoteText"/>
      </w:pPr>
      <w:r w:rsidRPr="00A03B67">
        <w:rPr>
          <w:rStyle w:val="FootnoteReference"/>
        </w:rPr>
        <w:footnoteRef/>
      </w:r>
      <w:r w:rsidRPr="00A03B67">
        <w:t xml:space="preserve"> Regulation Impact Statement, Fair Work Legislation Amendment (Secure Jobs, Better Pay) Bill 2022, 46.</w:t>
      </w:r>
    </w:p>
  </w:footnote>
  <w:footnote w:id="905">
    <w:p w14:paraId="5BFEF64F" w14:textId="4D632849" w:rsidR="00924664" w:rsidRPr="00A03B67" w:rsidRDefault="00924664" w:rsidP="00924664">
      <w:pPr>
        <w:pStyle w:val="FootnoteText"/>
      </w:pPr>
      <w:r w:rsidRPr="00A03B67">
        <w:rPr>
          <w:rStyle w:val="FootnoteReference"/>
        </w:rPr>
        <w:footnoteRef/>
      </w:r>
      <w:r w:rsidRPr="00A03B67">
        <w:t xml:space="preserve"> </w:t>
      </w:r>
      <w:r w:rsidRPr="00A03B67">
        <w:rPr>
          <w:rFonts w:eastAsia="Aptos" w:cs="Aptos"/>
          <w:i/>
        </w:rPr>
        <w:t xml:space="preserve">Empire Holdings (QLD) Pty Ltd T/A Empire Hotel and Cloudland </w:t>
      </w:r>
      <w:r w:rsidRPr="00A03B67">
        <w:t>[2022] FWCA 62.</w:t>
      </w:r>
    </w:p>
  </w:footnote>
  <w:footnote w:id="906">
    <w:p w14:paraId="5F3C1CFF" w14:textId="5870C3FD" w:rsidR="00924664" w:rsidRPr="00A03B67" w:rsidRDefault="00924664" w:rsidP="00924664">
      <w:pPr>
        <w:pStyle w:val="FootnoteText"/>
      </w:pPr>
      <w:r w:rsidRPr="00A03B67">
        <w:rPr>
          <w:rStyle w:val="FootnoteReference"/>
        </w:rPr>
        <w:footnoteRef/>
      </w:r>
      <w:r w:rsidRPr="00A03B67">
        <w:t xml:space="preserve"> </w:t>
      </w:r>
      <w:r w:rsidRPr="00A03B67">
        <w:rPr>
          <w:rFonts w:eastAsia="Aptos" w:cs="Aptos"/>
          <w:i/>
        </w:rPr>
        <w:t xml:space="preserve">Empire Holdings (QLD) Pty Ltd T/A Empire Hotel and Cloudland </w:t>
      </w:r>
      <w:r w:rsidRPr="00A03B67">
        <w:t>[2022] FWCA 62 [42].</w:t>
      </w:r>
    </w:p>
  </w:footnote>
  <w:footnote w:id="907">
    <w:p w14:paraId="20315CD9" w14:textId="77777777" w:rsidR="00924664" w:rsidRPr="00A03B67" w:rsidRDefault="00924664" w:rsidP="00924664">
      <w:pPr>
        <w:pStyle w:val="FootnoteText"/>
      </w:pPr>
      <w:r w:rsidRPr="00A03B67">
        <w:rPr>
          <w:rStyle w:val="FootnoteReference"/>
        </w:rPr>
        <w:footnoteRef/>
      </w:r>
      <w:r w:rsidRPr="00A03B67">
        <w:t xml:space="preserve"> </w:t>
      </w:r>
      <w:r>
        <w:t>Revised</w:t>
      </w:r>
      <w:r w:rsidRPr="00A03B67">
        <w:t xml:space="preserve"> Explanatory Memorandum, Fair Work Legislation Amendment (Secure Jobs, Better Pay) Bill 2022, xx [</w:t>
      </w:r>
      <w:r>
        <w:t>91</w:t>
      </w:r>
      <w:r w:rsidRPr="00A03B67">
        <w:t>].</w:t>
      </w:r>
    </w:p>
  </w:footnote>
  <w:footnote w:id="908">
    <w:p w14:paraId="20C3AE20" w14:textId="77777777" w:rsidR="00924664" w:rsidRPr="00A03B67" w:rsidRDefault="00924664" w:rsidP="00924664">
      <w:pPr>
        <w:pStyle w:val="FootnoteText"/>
      </w:pPr>
      <w:r w:rsidRPr="00A03B67">
        <w:rPr>
          <w:rStyle w:val="FootnoteReference"/>
        </w:rPr>
        <w:footnoteRef/>
      </w:r>
      <w:r w:rsidRPr="00A03B67">
        <w:t xml:space="preserve"> </w:t>
      </w:r>
      <w:r>
        <w:t>Revised</w:t>
      </w:r>
      <w:r w:rsidRPr="00A03B67">
        <w:t xml:space="preserve"> Explanatory Memorandum, Fair Work Legislation Amendment (Secure Jobs, Better Pay) Bill 2022, x</w:t>
      </w:r>
      <w:r>
        <w:t xml:space="preserve">x-xxi </w:t>
      </w:r>
      <w:r w:rsidRPr="00A03B67">
        <w:t>[</w:t>
      </w:r>
      <w:r>
        <w:t>92</w:t>
      </w:r>
      <w:r w:rsidRPr="00A03B67">
        <w:t>]</w:t>
      </w:r>
      <w:r w:rsidRPr="00A03B67">
        <w:rPr>
          <w:rFonts w:ascii="Symbol" w:eastAsia="Symbol" w:hAnsi="Symbol" w:cs="Symbol"/>
        </w:rPr>
        <w:t>-</w:t>
      </w:r>
      <w:r w:rsidRPr="00A03B67">
        <w:t>[</w:t>
      </w:r>
      <w:r>
        <w:t>93</w:t>
      </w:r>
      <w:r w:rsidRPr="00A03B67">
        <w:t>].</w:t>
      </w:r>
    </w:p>
  </w:footnote>
  <w:footnote w:id="909">
    <w:p w14:paraId="0DFBCB6F" w14:textId="77777777" w:rsidR="00924664" w:rsidRPr="00A03B67" w:rsidRDefault="00924664" w:rsidP="00924664">
      <w:pPr>
        <w:pStyle w:val="FootnoteText"/>
      </w:pPr>
      <w:r w:rsidRPr="00A03B67">
        <w:rPr>
          <w:rStyle w:val="FootnoteReference"/>
        </w:rPr>
        <w:footnoteRef/>
      </w:r>
      <w:r w:rsidRPr="00A03B67">
        <w:t xml:space="preserve"> Justice Hatcher, Fair Work Commission, </w:t>
      </w:r>
      <w:r w:rsidRPr="00A03B67">
        <w:rPr>
          <w:i/>
          <w:iCs/>
        </w:rPr>
        <w:t>Implementing the Secure Jobs, Better Pay Changes and the Fair Work Commission’s Performance in 2022</w:t>
      </w:r>
      <w:r w:rsidRPr="00A03B67">
        <w:rPr>
          <w:rFonts w:ascii="Symbol" w:eastAsia="Symbol" w:hAnsi="Symbol" w:cs="Symbol"/>
          <w:i/>
          <w:iCs/>
        </w:rPr>
        <w:t>-</w:t>
      </w:r>
      <w:r w:rsidRPr="00A03B67">
        <w:rPr>
          <w:i/>
          <w:iCs/>
        </w:rPr>
        <w:t>23</w:t>
      </w:r>
      <w:r w:rsidRPr="00A03B67">
        <w:t xml:space="preserve"> (President’s Statement, 2 August 2023) 2 [8] &lt;https://www.fwc.gov.au/documents/resources/president-statement-implementing-sjbp-performance-02-08-2023.pdf&gt;.</w:t>
      </w:r>
    </w:p>
  </w:footnote>
  <w:footnote w:id="910">
    <w:p w14:paraId="0FB81195" w14:textId="77777777" w:rsidR="00924664" w:rsidRPr="00A03B67" w:rsidRDefault="00924664" w:rsidP="00924664">
      <w:pPr>
        <w:pStyle w:val="FootnoteText"/>
      </w:pPr>
      <w:r w:rsidRPr="00A03B67">
        <w:rPr>
          <w:rStyle w:val="FootnoteReference"/>
        </w:rPr>
        <w:footnoteRef/>
      </w:r>
      <w:r w:rsidRPr="00A03B67">
        <w:t xml:space="preserve"> Justice Hatcher, Fair Work Commission, </w:t>
      </w:r>
      <w:r w:rsidRPr="00A03B67">
        <w:rPr>
          <w:i/>
          <w:iCs/>
        </w:rPr>
        <w:t>Implementing the Secure Jobs, Better Pay Changes and the Fair Work Commission’s Performance in 2022</w:t>
      </w:r>
      <w:r w:rsidRPr="00A03B67">
        <w:rPr>
          <w:rFonts w:ascii="Symbol" w:eastAsia="Symbol" w:hAnsi="Symbol" w:cs="Symbol"/>
          <w:i/>
          <w:iCs/>
        </w:rPr>
        <w:t>-</w:t>
      </w:r>
      <w:r w:rsidRPr="00A03B67">
        <w:rPr>
          <w:i/>
          <w:iCs/>
        </w:rPr>
        <w:t>23</w:t>
      </w:r>
      <w:r w:rsidRPr="00A03B67">
        <w:t xml:space="preserve"> (President’s Statement, 2 August 2023) 2 [8] &lt;https://www.fwc.gov.au/documents/resources/president-statement-implementing-sjbp-performance-02-08-2023.pdf&gt;.</w:t>
      </w:r>
    </w:p>
  </w:footnote>
  <w:footnote w:id="911">
    <w:p w14:paraId="238733B5" w14:textId="77777777" w:rsidR="00924664" w:rsidRPr="00A03B67" w:rsidRDefault="00924664" w:rsidP="00924664">
      <w:pPr>
        <w:pStyle w:val="FootnoteText"/>
      </w:pPr>
      <w:r w:rsidRPr="00A03B67">
        <w:rPr>
          <w:rStyle w:val="FootnoteReference"/>
        </w:rPr>
        <w:footnoteRef/>
      </w:r>
      <w:r w:rsidRPr="00A03B67">
        <w:t xml:space="preserve"> Fair Work Commission, </w:t>
      </w:r>
      <w:r w:rsidRPr="00A03B67">
        <w:rPr>
          <w:i/>
          <w:iCs/>
        </w:rPr>
        <w:t>Application to Extend the Default Period for a Zombie Agreement (Form F81)</w:t>
      </w:r>
      <w:r w:rsidRPr="00A03B67">
        <w:t xml:space="preserve"> (Web Page, n.d.) &lt;https://fwc.gov.au/apply-or-lodge/form/apply-extend-default-period-zombie-agreement-form-f81&gt;.</w:t>
      </w:r>
    </w:p>
  </w:footnote>
  <w:footnote w:id="912">
    <w:p w14:paraId="14D77189" w14:textId="77777777" w:rsidR="00924664" w:rsidRPr="00A03B67" w:rsidRDefault="00924664" w:rsidP="00924664">
      <w:pPr>
        <w:pStyle w:val="FootnoteText"/>
      </w:pPr>
      <w:r w:rsidRPr="00A03B67">
        <w:rPr>
          <w:rStyle w:val="FootnoteReference"/>
        </w:rPr>
        <w:footnoteRef/>
      </w:r>
      <w:r w:rsidRPr="00A03B67">
        <w:t xml:space="preserve"> Justice Hatcher, Fair Work Commission, </w:t>
      </w:r>
      <w:r w:rsidRPr="00A03B67">
        <w:rPr>
          <w:i/>
          <w:iCs/>
        </w:rPr>
        <w:t>Implementing the Secure Jobs, Better Pay Changes and the Fair Work Commission’s Performance in 2022</w:t>
      </w:r>
      <w:r w:rsidRPr="00A03B67">
        <w:rPr>
          <w:rFonts w:ascii="Symbol" w:eastAsia="Symbol" w:hAnsi="Symbol" w:cs="Symbol"/>
          <w:i/>
          <w:iCs/>
        </w:rPr>
        <w:t>-</w:t>
      </w:r>
      <w:r w:rsidRPr="00A03B67">
        <w:rPr>
          <w:i/>
          <w:iCs/>
        </w:rPr>
        <w:t>23</w:t>
      </w:r>
      <w:r w:rsidRPr="00A03B67">
        <w:t xml:space="preserve"> (President’s Statement, 2 August 2023) 1 [6] &lt;https://www.fwc.gov.au/documents/resources/president-statement-implementing-sjbp-performance-02-08-2023.pdf&gt;.</w:t>
      </w:r>
    </w:p>
  </w:footnote>
  <w:footnote w:id="913">
    <w:p w14:paraId="282B52E3" w14:textId="4D040C32" w:rsidR="00924664" w:rsidRPr="00A03B67" w:rsidRDefault="00924664" w:rsidP="00924664">
      <w:pPr>
        <w:pStyle w:val="FootnoteText"/>
      </w:pPr>
      <w:r w:rsidRPr="00A03B67">
        <w:rPr>
          <w:rStyle w:val="FootnoteReference"/>
        </w:rPr>
        <w:footnoteRef/>
      </w:r>
      <w:r w:rsidRPr="00A03B67">
        <w:t xml:space="preserve"> Justice Hatcher, Fair Work Commission, </w:t>
      </w:r>
      <w:r w:rsidRPr="00A03B67">
        <w:rPr>
          <w:i/>
          <w:iCs/>
        </w:rPr>
        <w:t>Fair Work Commission’s 2023 Work and 2023</w:t>
      </w:r>
      <w:r w:rsidRPr="00A03B67">
        <w:rPr>
          <w:rFonts w:ascii="Symbol" w:eastAsia="Symbol" w:hAnsi="Symbol" w:cs="Symbol"/>
          <w:i/>
          <w:iCs/>
        </w:rPr>
        <w:t>-</w:t>
      </w:r>
      <w:r w:rsidRPr="00A03B67">
        <w:rPr>
          <w:i/>
          <w:iCs/>
        </w:rPr>
        <w:t xml:space="preserve">24 Performance </w:t>
      </w:r>
      <w:r w:rsidRPr="00A03B67">
        <w:t>(President’s Statement, 22 December 2023) 4 [24] &lt;https://www.fwc.gov.au/documents/reporting/presidents-statement-work-performance-2023-12-22.pdf&gt;.</w:t>
      </w:r>
    </w:p>
  </w:footnote>
  <w:footnote w:id="914">
    <w:p w14:paraId="21179832" w14:textId="77777777" w:rsidR="00924664" w:rsidRPr="00A03B67" w:rsidRDefault="00924664" w:rsidP="00924664">
      <w:pPr>
        <w:pStyle w:val="FootnoteText"/>
      </w:pPr>
      <w:r w:rsidRPr="00A03B67">
        <w:rPr>
          <w:rStyle w:val="FootnoteReference"/>
        </w:rPr>
        <w:footnoteRef/>
      </w:r>
      <w:r w:rsidRPr="00A03B67">
        <w:t xml:space="preserve"> Fair Work Commission, ‘Zombie Agreements Have Now Sunsetted’ (Media Release, 7 December 2023) &lt;https://www.fwc.gov.au/about-us/news-and-media/news/zombie-agreements-have-now-sunsetted&gt;.</w:t>
      </w:r>
    </w:p>
  </w:footnote>
  <w:footnote w:id="915">
    <w:p w14:paraId="213685D1" w14:textId="1AF6C3E0" w:rsidR="00924664" w:rsidRPr="00A03B67" w:rsidRDefault="00924664" w:rsidP="00924664">
      <w:pPr>
        <w:pStyle w:val="FootnoteText"/>
      </w:pPr>
      <w:r w:rsidRPr="00A03B67">
        <w:rPr>
          <w:rStyle w:val="FootnoteReference"/>
        </w:rPr>
        <w:footnoteRef/>
      </w:r>
      <w:r w:rsidRPr="00A03B67">
        <w:t xml:space="preserve"> Justice A Hatcher, ‘Review of the Fair Work Commission’s Implementation of the Secure Jobs, Better Pay Legislation’ (Speech, Australian Industry Group Conference, 31 July 2023) 4</w:t>
      </w:r>
      <w:r w:rsidR="00635EA6">
        <w:t>.</w:t>
      </w:r>
      <w:r w:rsidRPr="00A03B67">
        <w:t xml:space="preserve"> &lt;https://www.fwc.gov.au/documents/resources/presidents-address-aig-pir-conference-2023-07-31.pdf&gt;.</w:t>
      </w:r>
    </w:p>
  </w:footnote>
  <w:footnote w:id="916">
    <w:p w14:paraId="43B859A0" w14:textId="77777777" w:rsidR="00924664" w:rsidRPr="00A03B67" w:rsidRDefault="00924664" w:rsidP="00924664">
      <w:pPr>
        <w:pStyle w:val="FootnoteText"/>
      </w:pPr>
      <w:r w:rsidRPr="00A03B67">
        <w:rPr>
          <w:rStyle w:val="FootnoteReference"/>
        </w:rPr>
        <w:footnoteRef/>
      </w:r>
      <w:r w:rsidRPr="00A03B67">
        <w:t xml:space="preserve"> Regulation Impact Statement, Fair Work Legislation Amendment (Secure Jobs, Better Pay) Bill 2022, 45.</w:t>
      </w:r>
    </w:p>
  </w:footnote>
  <w:footnote w:id="917">
    <w:p w14:paraId="12531988" w14:textId="7D24BCC0" w:rsidR="00924664" w:rsidRPr="00A03B67" w:rsidRDefault="00924664" w:rsidP="00924664">
      <w:pPr>
        <w:pStyle w:val="FootnoteText"/>
      </w:pPr>
      <w:r w:rsidRPr="00A03B67">
        <w:rPr>
          <w:rStyle w:val="FootnoteReference"/>
        </w:rPr>
        <w:footnoteRef/>
      </w:r>
      <w:r w:rsidRPr="00A03B67">
        <w:t xml:space="preserve"> Fair Work Commission, </w:t>
      </w:r>
      <w:r w:rsidRPr="00A03B67">
        <w:rPr>
          <w:i/>
          <w:iCs/>
        </w:rPr>
        <w:t>Zombie Agreements Extended Past 7 December 2021</w:t>
      </w:r>
      <w:r w:rsidRPr="00A03B67">
        <w:t xml:space="preserve"> (Web Page, 20 December 2024) &lt;https://fwc.gov.au/work-conditions/enterprise-agreements/sunsetting-pre-2010-agreements/zombie-agreements-extended &gt;.</w:t>
      </w:r>
    </w:p>
  </w:footnote>
  <w:footnote w:id="918">
    <w:p w14:paraId="1907380C" w14:textId="77777777" w:rsidR="00924664" w:rsidRPr="00A03B67" w:rsidRDefault="00924664" w:rsidP="00924664">
      <w:pPr>
        <w:pStyle w:val="FootnoteText"/>
      </w:pPr>
      <w:r w:rsidRPr="00A03B67">
        <w:rPr>
          <w:rStyle w:val="FootnoteReference"/>
        </w:rPr>
        <w:footnoteRef/>
      </w:r>
      <w:r w:rsidRPr="00A03B67">
        <w:t xml:space="preserve"> Fair Work Commission, </w:t>
      </w:r>
      <w:r w:rsidRPr="00A03B67">
        <w:rPr>
          <w:i/>
          <w:iCs/>
        </w:rPr>
        <w:t>Annual Report 2023</w:t>
      </w:r>
      <w:r w:rsidRPr="00A03B67">
        <w:rPr>
          <w:rFonts w:ascii="Symbol" w:eastAsia="Symbol" w:hAnsi="Symbol" w:cs="Symbol"/>
          <w:i/>
          <w:iCs/>
        </w:rPr>
        <w:t>-</w:t>
      </w:r>
      <w:r w:rsidRPr="00A03B67">
        <w:rPr>
          <w:i/>
          <w:iCs/>
        </w:rPr>
        <w:t>24</w:t>
      </w:r>
      <w:r w:rsidRPr="00A03B67">
        <w:t xml:space="preserve"> (Report, 2024) 63.</w:t>
      </w:r>
    </w:p>
  </w:footnote>
  <w:footnote w:id="919">
    <w:p w14:paraId="44FDDC55" w14:textId="77777777" w:rsidR="00924664" w:rsidRPr="00A03B67" w:rsidRDefault="00924664" w:rsidP="00924664">
      <w:pPr>
        <w:pStyle w:val="FootnoteText"/>
      </w:pPr>
      <w:r w:rsidRPr="00A03B67">
        <w:rPr>
          <w:rStyle w:val="FootnoteReference"/>
        </w:rPr>
        <w:footnoteRef/>
      </w:r>
      <w:r w:rsidRPr="00A03B67">
        <w:t xml:space="preserve"> Fair Work Commission, </w:t>
      </w:r>
      <w:r w:rsidRPr="00A03B67">
        <w:rPr>
          <w:i/>
          <w:iCs/>
        </w:rPr>
        <w:t>Annual Report 2019</w:t>
      </w:r>
      <w:r w:rsidRPr="00A03B67">
        <w:rPr>
          <w:rFonts w:ascii="Symbol" w:eastAsia="Symbol" w:hAnsi="Symbol" w:cs="Symbol"/>
          <w:i/>
          <w:iCs/>
        </w:rPr>
        <w:t>-</w:t>
      </w:r>
      <w:r w:rsidRPr="00A03B67">
        <w:rPr>
          <w:i/>
          <w:iCs/>
        </w:rPr>
        <w:t>20</w:t>
      </w:r>
      <w:r w:rsidRPr="00A03B67">
        <w:t xml:space="preserve"> (Report, 2020) 62.</w:t>
      </w:r>
    </w:p>
  </w:footnote>
  <w:footnote w:id="920">
    <w:p w14:paraId="59FA76A7" w14:textId="2033D3BF" w:rsidR="00924664" w:rsidRPr="00A03B67" w:rsidRDefault="00924664" w:rsidP="00924664">
      <w:pPr>
        <w:pStyle w:val="FootnoteText"/>
      </w:pPr>
      <w:r w:rsidRPr="00A03B67">
        <w:rPr>
          <w:rStyle w:val="FootnoteReference"/>
        </w:rPr>
        <w:footnoteRef/>
      </w:r>
      <w:r w:rsidRPr="00A03B67">
        <w:t xml:space="preserve"> </w:t>
      </w:r>
      <w:r w:rsidRPr="00A03B67">
        <w:rPr>
          <w:i/>
          <w:iCs/>
        </w:rPr>
        <w:t>Suncoast Scaffold Pty Ltd</w:t>
      </w:r>
      <w:r w:rsidRPr="00A03B67">
        <w:rPr>
          <w:i/>
        </w:rPr>
        <w:t xml:space="preserve"> As Trustee For The Warren Family Trust T/A Suncoast Scaffold Pty Ltd</w:t>
      </w:r>
      <w:r w:rsidRPr="00A03B67">
        <w:t xml:space="preserve"> [2023] FWCFB [105].</w:t>
      </w:r>
    </w:p>
  </w:footnote>
  <w:footnote w:id="921">
    <w:p w14:paraId="78A6D355" w14:textId="44B5D7EE" w:rsidR="00924664" w:rsidRPr="00A03B67" w:rsidRDefault="00924664" w:rsidP="00924664">
      <w:pPr>
        <w:pStyle w:val="FootnoteText"/>
      </w:pPr>
      <w:r w:rsidRPr="00A03B67">
        <w:rPr>
          <w:rStyle w:val="FootnoteReference"/>
        </w:rPr>
        <w:footnoteRef/>
      </w:r>
      <w:r w:rsidR="00984B47">
        <w:rPr>
          <w:i/>
          <w:iCs/>
        </w:rPr>
        <w:t xml:space="preserve"> </w:t>
      </w:r>
      <w:r w:rsidRPr="00A03B67">
        <w:rPr>
          <w:i/>
          <w:iCs/>
        </w:rPr>
        <w:t>Suncoast Scaffold Pty Ltd</w:t>
      </w:r>
      <w:r w:rsidRPr="00A03B67">
        <w:rPr>
          <w:i/>
        </w:rPr>
        <w:t xml:space="preserve"> As Trustee For The Warren Family Trust T/A Suncoast Scaffold Pty Ltd</w:t>
      </w:r>
      <w:r w:rsidRPr="00A03B67">
        <w:t xml:space="preserve"> [2023] FWCFB 105 [37].</w:t>
      </w:r>
    </w:p>
  </w:footnote>
  <w:footnote w:id="922">
    <w:p w14:paraId="33066EF2" w14:textId="4B643C23" w:rsidR="00924664" w:rsidRPr="00A03B67" w:rsidRDefault="00924664" w:rsidP="00924664">
      <w:pPr>
        <w:pStyle w:val="FootnoteText"/>
      </w:pPr>
      <w:r w:rsidRPr="00A03B67">
        <w:rPr>
          <w:rStyle w:val="FootnoteReference"/>
        </w:rPr>
        <w:footnoteRef/>
      </w:r>
      <w:r w:rsidRPr="00A03B67">
        <w:t xml:space="preserve"> </w:t>
      </w:r>
      <w:r w:rsidRPr="00A03B67">
        <w:rPr>
          <w:i/>
          <w:iCs/>
        </w:rPr>
        <w:t>Suncoast Scaffold Pty Ltd</w:t>
      </w:r>
      <w:r w:rsidRPr="00A03B67">
        <w:rPr>
          <w:i/>
        </w:rPr>
        <w:t xml:space="preserve"> As Trustee For The Warren Family Trust T/A Suncoast Scaffold Pty Ltd</w:t>
      </w:r>
      <w:r w:rsidRPr="00A03B67">
        <w:t xml:space="preserve"> [2023] FWCFB 105 [39](1)</w:t>
      </w:r>
      <w:r w:rsidRPr="00A03B67">
        <w:rPr>
          <w:rFonts w:ascii="Symbol" w:eastAsia="Symbol" w:hAnsi="Symbol" w:cs="Symbol"/>
        </w:rPr>
        <w:t>-</w:t>
      </w:r>
      <w:r w:rsidRPr="00A03B67">
        <w:t>(2).</w:t>
      </w:r>
    </w:p>
  </w:footnote>
  <w:footnote w:id="923">
    <w:p w14:paraId="18DB188D" w14:textId="035E5B7D" w:rsidR="00924664" w:rsidRPr="00A03B67" w:rsidRDefault="00924664" w:rsidP="00924664">
      <w:pPr>
        <w:pStyle w:val="FootnoteText"/>
      </w:pPr>
      <w:r w:rsidRPr="00A03B67">
        <w:rPr>
          <w:rStyle w:val="FootnoteReference"/>
        </w:rPr>
        <w:footnoteRef/>
      </w:r>
      <w:r w:rsidRPr="00A03B67">
        <w:t xml:space="preserve"> </w:t>
      </w:r>
      <w:r w:rsidRPr="00A03B67">
        <w:rPr>
          <w:i/>
          <w:iCs/>
        </w:rPr>
        <w:t>Suncoast Scaffold Pty Ltd</w:t>
      </w:r>
      <w:r w:rsidRPr="00A03B67">
        <w:rPr>
          <w:i/>
        </w:rPr>
        <w:t xml:space="preserve"> As Trustee For The Warren Family Trust T/A Suncoast Scaffold Pty Ltd</w:t>
      </w:r>
      <w:r w:rsidRPr="00A03B67">
        <w:t xml:space="preserve"> [2023] FWCFB 105 [39].</w:t>
      </w:r>
    </w:p>
  </w:footnote>
  <w:footnote w:id="924">
    <w:p w14:paraId="28499C83" w14:textId="13F9CE73" w:rsidR="00924664" w:rsidRPr="00A03B67" w:rsidRDefault="00924664" w:rsidP="00924664">
      <w:pPr>
        <w:pStyle w:val="FootnoteText"/>
      </w:pPr>
      <w:r w:rsidRPr="00A03B67">
        <w:rPr>
          <w:rStyle w:val="FootnoteReference"/>
        </w:rPr>
        <w:footnoteRef/>
      </w:r>
      <w:r w:rsidRPr="00A03B67">
        <w:t xml:space="preserve"> </w:t>
      </w:r>
      <w:r w:rsidRPr="00A03B67">
        <w:rPr>
          <w:i/>
          <w:iCs/>
        </w:rPr>
        <w:t>Suncoast Scaffold Pty Ltd</w:t>
      </w:r>
      <w:r w:rsidRPr="00A03B67">
        <w:rPr>
          <w:i/>
        </w:rPr>
        <w:t xml:space="preserve"> As Trustee For The Warren Family Trust T/A Suncoast Scaffold Pty Ltd</w:t>
      </w:r>
      <w:r w:rsidRPr="00A03B67">
        <w:t xml:space="preserve"> [2023] FWCFB 105 [13].</w:t>
      </w:r>
    </w:p>
  </w:footnote>
  <w:footnote w:id="925">
    <w:p w14:paraId="2B06056A" w14:textId="266175CD" w:rsidR="00924664" w:rsidRPr="00A03B67" w:rsidRDefault="00924664" w:rsidP="00924664">
      <w:pPr>
        <w:pStyle w:val="FootnoteText"/>
      </w:pPr>
      <w:r w:rsidRPr="00A03B67">
        <w:rPr>
          <w:rStyle w:val="FootnoteReference"/>
        </w:rPr>
        <w:footnoteRef/>
      </w:r>
      <w:r w:rsidRPr="00A03B67">
        <w:t xml:space="preserve"> </w:t>
      </w:r>
      <w:r w:rsidRPr="00A03B67">
        <w:rPr>
          <w:i/>
          <w:iCs/>
        </w:rPr>
        <w:t>Suncoast Scaffold Pty Ltd</w:t>
      </w:r>
      <w:r w:rsidRPr="00A03B67">
        <w:rPr>
          <w:i/>
        </w:rPr>
        <w:t xml:space="preserve"> As Trustee For The Warren Family Trust T/A Suncoast Scaffold Pty Ltd</w:t>
      </w:r>
      <w:r w:rsidRPr="00A03B67">
        <w:t xml:space="preserve"> [2023] FWCFB 105 [13].</w:t>
      </w:r>
    </w:p>
  </w:footnote>
  <w:footnote w:id="926">
    <w:p w14:paraId="210A7359" w14:textId="6FB40DD9" w:rsidR="00924664" w:rsidRPr="00A03B67" w:rsidRDefault="00924664" w:rsidP="00924664">
      <w:pPr>
        <w:pStyle w:val="FootnoteText"/>
      </w:pPr>
      <w:r w:rsidRPr="00A03B67">
        <w:rPr>
          <w:rStyle w:val="FootnoteReference"/>
        </w:rPr>
        <w:footnoteRef/>
      </w:r>
      <w:r w:rsidRPr="00A03B67">
        <w:t xml:space="preserve"> </w:t>
      </w:r>
      <w:r w:rsidRPr="00A03B67">
        <w:rPr>
          <w:i/>
          <w:iCs/>
        </w:rPr>
        <w:t>Suncoast Scaffold Pty Ltd</w:t>
      </w:r>
      <w:r w:rsidRPr="00A03B67">
        <w:rPr>
          <w:i/>
        </w:rPr>
        <w:t xml:space="preserve"> As Trustee For The Warren Family Trust T/A Suncoast Scaffold Pty Ltd</w:t>
      </w:r>
      <w:r w:rsidRPr="00A03B67">
        <w:t xml:space="preserve"> [2023] FWCFB 105 [13].</w:t>
      </w:r>
    </w:p>
  </w:footnote>
  <w:footnote w:id="927">
    <w:p w14:paraId="28F7EDE2" w14:textId="77777777" w:rsidR="00924664" w:rsidRPr="00A03B67" w:rsidRDefault="00924664" w:rsidP="00924664">
      <w:pPr>
        <w:pStyle w:val="FootnoteText"/>
      </w:pPr>
      <w:r w:rsidRPr="00A03B67">
        <w:rPr>
          <w:rStyle w:val="FootnoteReference"/>
        </w:rPr>
        <w:footnoteRef/>
      </w:r>
      <w:r w:rsidRPr="00A03B67">
        <w:t xml:space="preserve"> Ai Group submission, 10 [36].</w:t>
      </w:r>
    </w:p>
  </w:footnote>
  <w:footnote w:id="928">
    <w:p w14:paraId="4A6DB4B1" w14:textId="19CC7F16" w:rsidR="00924664" w:rsidRPr="00A03B67" w:rsidRDefault="00924664" w:rsidP="00924664">
      <w:pPr>
        <w:pStyle w:val="FootnoteText"/>
      </w:pPr>
      <w:r w:rsidRPr="00A03B67">
        <w:rPr>
          <w:rStyle w:val="FootnoteReference"/>
        </w:rPr>
        <w:footnoteRef/>
      </w:r>
      <w:r w:rsidRPr="00A03B67">
        <w:t xml:space="preserve"> </w:t>
      </w:r>
      <w:r w:rsidR="009A3637" w:rsidRPr="009A3637">
        <w:t xml:space="preserve">Shop, Distributive and Allied Employees Association </w:t>
      </w:r>
      <w:r w:rsidR="009A3637">
        <w:t>(</w:t>
      </w:r>
      <w:r w:rsidRPr="00A03B67">
        <w:t>SDA</w:t>
      </w:r>
      <w:r w:rsidR="009A3637">
        <w:t>)</w:t>
      </w:r>
      <w:r w:rsidRPr="00A03B67">
        <w:t xml:space="preserve"> submission, 6</w:t>
      </w:r>
    </w:p>
  </w:footnote>
  <w:footnote w:id="929">
    <w:p w14:paraId="6DB9CFFA" w14:textId="53275652" w:rsidR="00924664" w:rsidRPr="00A03B67" w:rsidRDefault="00924664" w:rsidP="00924664">
      <w:pPr>
        <w:pStyle w:val="FootnoteText"/>
      </w:pPr>
      <w:r w:rsidRPr="00A03B67">
        <w:rPr>
          <w:rStyle w:val="FootnoteReference"/>
        </w:rPr>
        <w:footnoteRef/>
      </w:r>
      <w:r w:rsidRPr="00A03B67">
        <w:t xml:space="preserve"> </w:t>
      </w:r>
      <w:r w:rsidR="009A3637" w:rsidRPr="009A3637">
        <w:t xml:space="preserve">Australian Nursing and Midwifery Federation </w:t>
      </w:r>
      <w:r w:rsidR="009A3637">
        <w:t>(</w:t>
      </w:r>
      <w:r w:rsidRPr="00A03B67">
        <w:t>ANMF</w:t>
      </w:r>
      <w:r w:rsidR="009A3637">
        <w:t>)</w:t>
      </w:r>
      <w:r w:rsidRPr="00A03B67">
        <w:t xml:space="preserve"> submission, 9 [23].</w:t>
      </w:r>
    </w:p>
  </w:footnote>
  <w:footnote w:id="930">
    <w:p w14:paraId="0C6C9652" w14:textId="56E77A85" w:rsidR="00924664" w:rsidRPr="00A03B67" w:rsidRDefault="00924664" w:rsidP="00924664">
      <w:pPr>
        <w:pStyle w:val="FootnoteText"/>
      </w:pPr>
      <w:r w:rsidRPr="00A03B67">
        <w:rPr>
          <w:rStyle w:val="FootnoteReference"/>
        </w:rPr>
        <w:footnoteRef/>
      </w:r>
      <w:r w:rsidRPr="00A03B67">
        <w:t xml:space="preserve"> </w:t>
      </w:r>
      <w:r w:rsidR="009A3637">
        <w:t>Australian Council of Trade Unions (</w:t>
      </w:r>
      <w:r w:rsidRPr="00A03B67">
        <w:t>ACTU</w:t>
      </w:r>
      <w:r w:rsidR="009A3637">
        <w:t>)</w:t>
      </w:r>
      <w:r w:rsidRPr="00A03B67">
        <w:t xml:space="preserve"> submission, 76.</w:t>
      </w:r>
    </w:p>
  </w:footnote>
  <w:footnote w:id="931">
    <w:p w14:paraId="3CCF7BDD" w14:textId="146FA8A1" w:rsidR="00924664" w:rsidRPr="00A03B67" w:rsidRDefault="00924664" w:rsidP="00924664">
      <w:pPr>
        <w:pStyle w:val="FootnoteText"/>
      </w:pPr>
      <w:r w:rsidRPr="00A03B67">
        <w:rPr>
          <w:rStyle w:val="FootnoteReference"/>
        </w:rPr>
        <w:footnoteRef/>
      </w:r>
      <w:r w:rsidRPr="00A03B67">
        <w:t xml:space="preserve"> </w:t>
      </w:r>
      <w:r w:rsidR="009A3637" w:rsidRPr="009A3637">
        <w:t xml:space="preserve">Master Grocers Australia </w:t>
      </w:r>
      <w:r w:rsidR="009A3637">
        <w:t>(</w:t>
      </w:r>
      <w:r w:rsidRPr="00A03B67">
        <w:t>MGA</w:t>
      </w:r>
      <w:r w:rsidR="009A3637">
        <w:t>)</w:t>
      </w:r>
      <w:r w:rsidRPr="00A03B67">
        <w:t xml:space="preserve"> submission, 7 [13].</w:t>
      </w:r>
    </w:p>
  </w:footnote>
  <w:footnote w:id="932">
    <w:p w14:paraId="7ECFB056" w14:textId="77777777" w:rsidR="00924664" w:rsidRPr="00A03B67" w:rsidRDefault="00924664" w:rsidP="00924664">
      <w:pPr>
        <w:pStyle w:val="FootnoteText"/>
      </w:pPr>
      <w:r w:rsidRPr="00A03B67">
        <w:rPr>
          <w:rStyle w:val="FootnoteReference"/>
        </w:rPr>
        <w:footnoteRef/>
      </w:r>
      <w:r w:rsidRPr="00A03B67">
        <w:t xml:space="preserve"> MGA submission, 7 [16].</w:t>
      </w:r>
    </w:p>
  </w:footnote>
  <w:footnote w:id="933">
    <w:p w14:paraId="00ACD865" w14:textId="54758E8D" w:rsidR="00924664" w:rsidRPr="00A03B67" w:rsidRDefault="00924664" w:rsidP="00924664">
      <w:pPr>
        <w:pStyle w:val="FootnoteText"/>
      </w:pPr>
      <w:r w:rsidRPr="00A03B67">
        <w:rPr>
          <w:rStyle w:val="FootnoteReference"/>
        </w:rPr>
        <w:footnoteRef/>
      </w:r>
      <w:r w:rsidRPr="00A03B67">
        <w:t xml:space="preserve"> </w:t>
      </w:r>
      <w:r w:rsidR="009A3637">
        <w:t>United Workers Union (</w:t>
      </w:r>
      <w:r w:rsidRPr="00A03B67">
        <w:t>UWU</w:t>
      </w:r>
      <w:r w:rsidR="009A3637">
        <w:t>)</w:t>
      </w:r>
      <w:r w:rsidRPr="00A03B67">
        <w:t xml:space="preserve"> submission, 27.</w:t>
      </w:r>
    </w:p>
  </w:footnote>
  <w:footnote w:id="934">
    <w:p w14:paraId="01F645A1" w14:textId="77777777" w:rsidR="00924664" w:rsidRPr="00A03B67" w:rsidRDefault="00924664" w:rsidP="00924664">
      <w:pPr>
        <w:pStyle w:val="FootnoteText"/>
      </w:pPr>
      <w:r w:rsidRPr="00A03B67">
        <w:rPr>
          <w:rStyle w:val="FootnoteReference"/>
        </w:rPr>
        <w:footnoteRef/>
      </w:r>
      <w:r w:rsidRPr="00A03B67">
        <w:t xml:space="preserve"> SDA submission, 6.</w:t>
      </w:r>
    </w:p>
  </w:footnote>
  <w:footnote w:id="935">
    <w:p w14:paraId="5FD9E809" w14:textId="77777777" w:rsidR="00924664" w:rsidRPr="00A03B67" w:rsidRDefault="00924664" w:rsidP="00924664">
      <w:pPr>
        <w:pStyle w:val="FootnoteText"/>
      </w:pPr>
      <w:r w:rsidRPr="00A03B67">
        <w:rPr>
          <w:rStyle w:val="FootnoteReference"/>
        </w:rPr>
        <w:footnoteRef/>
      </w:r>
      <w:r w:rsidRPr="00A03B67">
        <w:t xml:space="preserve"> SDA submission, 6.</w:t>
      </w:r>
    </w:p>
  </w:footnote>
  <w:footnote w:id="936">
    <w:p w14:paraId="45A78F99" w14:textId="715BC76F" w:rsidR="00924664" w:rsidRPr="00AA1E51" w:rsidRDefault="00924664" w:rsidP="00924664">
      <w:pPr>
        <w:pStyle w:val="FootnoteText"/>
      </w:pPr>
      <w:r>
        <w:rPr>
          <w:rStyle w:val="FootnoteReference"/>
        </w:rPr>
        <w:footnoteRef/>
      </w:r>
      <w:r>
        <w:t xml:space="preserve"> SDA submission in response to draft report, 2.</w:t>
      </w:r>
    </w:p>
  </w:footnote>
  <w:footnote w:id="937">
    <w:p w14:paraId="483CC882" w14:textId="1D5666A1" w:rsidR="00924664" w:rsidRPr="007340DE" w:rsidRDefault="00924664" w:rsidP="00924664">
      <w:pPr>
        <w:pStyle w:val="FootnoteText"/>
      </w:pPr>
      <w:r>
        <w:rPr>
          <w:rStyle w:val="FootnoteReference"/>
        </w:rPr>
        <w:footnoteRef/>
      </w:r>
      <w:r>
        <w:t xml:space="preserve"> SDA submission in response to draft report, 3; ACTU submission in response to draft report, 20; </w:t>
      </w:r>
      <w:r w:rsidR="009A3637" w:rsidRPr="009A3637">
        <w:t xml:space="preserve">Mining and Energy Union </w:t>
      </w:r>
      <w:r w:rsidR="009A3637">
        <w:t>(</w:t>
      </w:r>
      <w:r>
        <w:t>MEU</w:t>
      </w:r>
      <w:r w:rsidR="009A3637">
        <w:t>)</w:t>
      </w:r>
      <w:r>
        <w:t xml:space="preserve"> submission in response to draft report, 4.</w:t>
      </w:r>
    </w:p>
  </w:footnote>
  <w:footnote w:id="938">
    <w:p w14:paraId="5EE4FA97" w14:textId="16ABFEE4" w:rsidR="00924664" w:rsidRDefault="00924664" w:rsidP="00924664">
      <w:pPr>
        <w:pStyle w:val="FootnoteText"/>
      </w:pPr>
      <w:r>
        <w:rPr>
          <w:rStyle w:val="FootnoteReference"/>
        </w:rPr>
        <w:footnoteRef/>
      </w:r>
      <w:r>
        <w:t xml:space="preserve"> MEU submission in response to draft report, 4.</w:t>
      </w:r>
    </w:p>
  </w:footnote>
  <w:footnote w:id="939">
    <w:p w14:paraId="116E6B1E" w14:textId="5F5E207B" w:rsidR="00924664" w:rsidRDefault="00924664" w:rsidP="00924664">
      <w:pPr>
        <w:pStyle w:val="FootnoteText"/>
      </w:pPr>
      <w:r>
        <w:rPr>
          <w:rStyle w:val="FootnoteReference"/>
        </w:rPr>
        <w:footnoteRef/>
      </w:r>
      <w:r>
        <w:t xml:space="preserve"> SDA submission in response to draft report, 3.</w:t>
      </w:r>
    </w:p>
  </w:footnote>
  <w:footnote w:id="940">
    <w:p w14:paraId="541025D4" w14:textId="77777777" w:rsidR="00924664" w:rsidRPr="00A03B67" w:rsidRDefault="00924664" w:rsidP="00924664">
      <w:pPr>
        <w:pStyle w:val="FootnoteText"/>
      </w:pPr>
      <w:r w:rsidRPr="00A03B67">
        <w:rPr>
          <w:rStyle w:val="FootnoteReference"/>
        </w:rPr>
        <w:footnoteRef/>
      </w:r>
      <w:r w:rsidRPr="00A03B67">
        <w:t xml:space="preserve"> Department of Employment and Workplace Relations, </w:t>
      </w:r>
      <w:r w:rsidRPr="00A03B67">
        <w:rPr>
          <w:i/>
          <w:iCs/>
        </w:rPr>
        <w:t xml:space="preserve">Trends in Federal Enterprise Bargaining: </w:t>
      </w:r>
      <w:r w:rsidRPr="3E41EA03">
        <w:rPr>
          <w:i/>
          <w:iCs/>
        </w:rPr>
        <w:t xml:space="preserve">September </w:t>
      </w:r>
      <w:r w:rsidRPr="00A03B67">
        <w:rPr>
          <w:i/>
          <w:iCs/>
        </w:rPr>
        <w:t>Quarter, 2024</w:t>
      </w:r>
      <w:r w:rsidRPr="00A03B67">
        <w:t xml:space="preserve"> (Report, 2024) 12 &lt;</w:t>
      </w:r>
      <w:r>
        <w:t xml:space="preserve"> https://www.dewr.gov.au/download/16710/trends-federal-enterprise-bargaining-september-quarter-2024/39033/historical-trends-data-approved-quarter/pdf </w:t>
      </w:r>
      <w:r w:rsidRPr="00A03B67">
        <w:t>&gt;.</w:t>
      </w:r>
    </w:p>
  </w:footnote>
  <w:footnote w:id="941">
    <w:p w14:paraId="725CF621" w14:textId="7FF44434" w:rsidR="000A0EB4" w:rsidRPr="00B23A5F" w:rsidRDefault="000A0EB4" w:rsidP="000A0EB4">
      <w:pPr>
        <w:pStyle w:val="FootnoteText"/>
        <w:rPr>
          <w:lang w:val="en-US"/>
        </w:rPr>
      </w:pPr>
      <w:r>
        <w:rPr>
          <w:rStyle w:val="FootnoteReference"/>
        </w:rPr>
        <w:footnoteRef/>
      </w:r>
      <w:r>
        <w:t xml:space="preserve"> </w:t>
      </w:r>
      <w:r>
        <w:rPr>
          <w:lang w:val="en-US"/>
        </w:rPr>
        <w:t>See also Appendix 9 – The FWC and pay equity</w:t>
      </w:r>
      <w:r w:rsidR="006D0197">
        <w:rPr>
          <w:lang w:val="en-US"/>
        </w:rPr>
        <w:t xml:space="preserve"> </w:t>
      </w:r>
      <w:r w:rsidR="006D0197">
        <w:rPr>
          <w:rFonts w:ascii="Symbol" w:eastAsia="Symbol" w:hAnsi="Symbol" w:cs="Symbol"/>
          <w:lang w:val="en-US"/>
        </w:rPr>
        <w:t>-</w:t>
      </w:r>
      <w:r>
        <w:rPr>
          <w:lang w:val="en-US"/>
        </w:rPr>
        <w:t>for more detailed discussion.</w:t>
      </w:r>
    </w:p>
  </w:footnote>
  <w:footnote w:id="942">
    <w:p w14:paraId="735B39EF" w14:textId="77777777" w:rsidR="000A0EB4" w:rsidRPr="00A03B67" w:rsidRDefault="000A0EB4" w:rsidP="000A0EB4">
      <w:pPr>
        <w:pStyle w:val="FootnoteText"/>
      </w:pPr>
      <w:r w:rsidRPr="00A03B67">
        <w:rPr>
          <w:rStyle w:val="FootnoteReference"/>
          <w:rFonts w:ascii="Calibri" w:hAnsi="Calibri" w:cs="Calibri"/>
        </w:rPr>
        <w:footnoteRef/>
      </w:r>
      <w:r w:rsidRPr="00A03B67">
        <w:rPr>
          <w:rFonts w:ascii="Calibri" w:hAnsi="Calibri" w:cs="Calibri"/>
        </w:rPr>
        <w:t xml:space="preserve"> </w:t>
      </w:r>
      <w:r w:rsidRPr="00A03B67">
        <w:t>For further discussion see B Ellem, CF Wright, S Clibborn, R Cooper, F Flanagan and A Veen, Work and Industrial Relations Policy in Australia (forthcoming, Bristol University Press, 2025) Ch 6.</w:t>
      </w:r>
    </w:p>
  </w:footnote>
  <w:footnote w:id="943">
    <w:p w14:paraId="0DCA8009" w14:textId="77777777" w:rsidR="000A0EB4" w:rsidRPr="00A03B67" w:rsidRDefault="000A0EB4" w:rsidP="000A0EB4">
      <w:pPr>
        <w:pStyle w:val="FootnoteText"/>
        <w:rPr>
          <w:rFonts w:ascii="Calibri" w:hAnsi="Calibri" w:cs="Calibri"/>
          <w:lang w:val="en-US"/>
        </w:rPr>
      </w:pPr>
      <w:r w:rsidRPr="00A03B67">
        <w:rPr>
          <w:rStyle w:val="FootnoteReference"/>
          <w:rFonts w:ascii="Calibri" w:hAnsi="Calibri" w:cs="Calibri"/>
        </w:rPr>
        <w:footnoteRef/>
      </w:r>
      <w:r w:rsidRPr="00A03B67">
        <w:rPr>
          <w:rFonts w:ascii="Calibri" w:hAnsi="Calibri" w:cs="Calibri"/>
        </w:rPr>
        <w:t xml:space="preserve"> </w:t>
      </w:r>
      <w:r w:rsidRPr="00A03B67">
        <w:rPr>
          <w:rFonts w:ascii="Calibri" w:hAnsi="Calibri" w:cs="Calibri"/>
          <w:lang w:val="en-US"/>
        </w:rPr>
        <w:t xml:space="preserve">The male basic wage was initially determined in </w:t>
      </w:r>
      <w:r w:rsidRPr="00A03B67">
        <w:rPr>
          <w:rFonts w:ascii="Calibri" w:hAnsi="Calibri" w:cs="Calibri"/>
          <w:i/>
          <w:iCs/>
          <w:lang w:val="en-US"/>
        </w:rPr>
        <w:t>Ex parte HV McKay</w:t>
      </w:r>
      <w:r w:rsidRPr="00A03B67">
        <w:rPr>
          <w:rFonts w:ascii="Calibri" w:hAnsi="Calibri" w:cs="Calibri"/>
          <w:lang w:val="en-US"/>
        </w:rPr>
        <w:t xml:space="preserve"> (1907) 2 CAR 1 (</w:t>
      </w:r>
      <w:r w:rsidRPr="00A03B67">
        <w:rPr>
          <w:rFonts w:ascii="Calibri" w:hAnsi="Calibri" w:cs="Calibri"/>
          <w:i/>
          <w:iCs/>
          <w:lang w:val="en-US"/>
        </w:rPr>
        <w:t>Harvester case</w:t>
      </w:r>
      <w:r w:rsidRPr="00A03B67">
        <w:rPr>
          <w:rFonts w:ascii="Calibri" w:hAnsi="Calibri" w:cs="Calibri"/>
          <w:lang w:val="en-US"/>
        </w:rPr>
        <w:t>) and was set at 70% of the skilled wage. In 1917 the court heard the case for the female basic wage and set it at 54% of the male basic wage. The rate was subsequently increased to 75% during World War II.</w:t>
      </w:r>
    </w:p>
  </w:footnote>
  <w:footnote w:id="944">
    <w:p w14:paraId="2C9E96A3" w14:textId="39EB5151" w:rsidR="000A0EB4" w:rsidRPr="00164F52" w:rsidRDefault="000A0EB4" w:rsidP="000A0EB4">
      <w:pPr>
        <w:pStyle w:val="FootnoteText"/>
        <w:rPr>
          <w:lang w:val="en-US"/>
        </w:rPr>
      </w:pPr>
      <w:r>
        <w:rPr>
          <w:rStyle w:val="FootnoteReference"/>
        </w:rPr>
        <w:footnoteRef/>
      </w:r>
      <w:r>
        <w:t xml:space="preserve"> S</w:t>
      </w:r>
      <w:r w:rsidRPr="00A03B67">
        <w:t xml:space="preserve">ee also </w:t>
      </w:r>
      <w:r w:rsidR="006D0197">
        <w:t xml:space="preserve">R Hamilton, The History of the Australian Minimum Wage (2022) </w:t>
      </w:r>
      <w:r w:rsidRPr="00A03B67">
        <w:t>&lt;</w:t>
      </w:r>
      <w:r w:rsidRPr="00E46773">
        <w:t>https://www.fwc.gov.au/documents/resources/history-of-australian-minimum-wage.pdf</w:t>
      </w:r>
      <w:r>
        <w:t>&gt;</w:t>
      </w:r>
      <w:r w:rsidRPr="00A03B67">
        <w:t>.</w:t>
      </w:r>
    </w:p>
  </w:footnote>
  <w:footnote w:id="945">
    <w:p w14:paraId="5B05BBFC" w14:textId="14F6096D" w:rsidR="000A0EB4" w:rsidRPr="00A03B67" w:rsidRDefault="000A0EB4" w:rsidP="000A0EB4">
      <w:pPr>
        <w:pStyle w:val="FootnoteText"/>
        <w:rPr>
          <w:lang w:val="en-US"/>
        </w:rPr>
      </w:pPr>
      <w:r w:rsidRPr="00A03B67">
        <w:rPr>
          <w:rStyle w:val="FootnoteReference"/>
        </w:rPr>
        <w:footnoteRef/>
      </w:r>
      <w:r w:rsidRPr="00A03B67">
        <w:t xml:space="preserve"> See also S Williamson, J Parker, N Donnelly, M Gavin and S Ressia, </w:t>
      </w:r>
      <w:r w:rsidRPr="00A03B67">
        <w:rPr>
          <w:i/>
          <w:iCs/>
        </w:rPr>
        <w:t>Gender, Work and Employment Relations</w:t>
      </w:r>
      <w:r w:rsidRPr="00A03B67">
        <w:t xml:space="preserve"> (forthcoming, Edward Elgar Publishing, 2025).</w:t>
      </w:r>
    </w:p>
  </w:footnote>
  <w:footnote w:id="946">
    <w:p w14:paraId="0609AB69" w14:textId="77777777" w:rsidR="000A0EB4" w:rsidRPr="00A03B67" w:rsidRDefault="000A0EB4" w:rsidP="000A0EB4">
      <w:pPr>
        <w:pStyle w:val="FootnoteText"/>
        <w:rPr>
          <w:lang w:val="en-US"/>
        </w:rPr>
      </w:pPr>
      <w:r w:rsidRPr="00A03B67">
        <w:rPr>
          <w:rStyle w:val="FootnoteReference"/>
        </w:rPr>
        <w:footnoteRef/>
      </w:r>
      <w:r w:rsidRPr="00A03B67">
        <w:t xml:space="preserve"> </w:t>
      </w:r>
      <w:r w:rsidRPr="00A03B67">
        <w:rPr>
          <w:lang w:val="en-US"/>
        </w:rPr>
        <w:t>The labour force participation (LFP) rate is measured as the number employed and unemployed as a share of the total resident civilian population (i.e. it excludes members of the permanent defence forces) aged 15 and over. For any group the LFP is expressed as a percentage of the civilian population for the same group.</w:t>
      </w:r>
    </w:p>
  </w:footnote>
  <w:footnote w:id="947">
    <w:p w14:paraId="3C018E19" w14:textId="2CB66ABA" w:rsidR="000A0EB4" w:rsidRPr="00A03B67" w:rsidRDefault="000A0EB4" w:rsidP="000A0EB4">
      <w:pPr>
        <w:pStyle w:val="FootnoteText"/>
        <w:rPr>
          <w:lang w:val="en-US"/>
        </w:rPr>
      </w:pPr>
      <w:r w:rsidRPr="00C06E5C">
        <w:rPr>
          <w:rStyle w:val="FootnoteReference"/>
        </w:rPr>
        <w:footnoteRef/>
      </w:r>
      <w:r w:rsidRPr="00C06E5C">
        <w:t xml:space="preserve"> </w:t>
      </w:r>
      <w:r w:rsidRPr="00C06E5C">
        <w:rPr>
          <w:lang w:val="en-US"/>
        </w:rPr>
        <w:t>Table</w:t>
      </w:r>
      <w:r w:rsidR="005C342C" w:rsidRPr="00C06E5C">
        <w:rPr>
          <w:lang w:val="en-US"/>
        </w:rPr>
        <w:t>2</w:t>
      </w:r>
      <w:r w:rsidR="005C342C">
        <w:rPr>
          <w:lang w:val="en-US"/>
        </w:rPr>
        <w:t>6</w:t>
      </w:r>
      <w:r w:rsidR="005C342C" w:rsidRPr="006762E8">
        <w:rPr>
          <w:lang w:val="en-US"/>
        </w:rPr>
        <w:t xml:space="preserve"> </w:t>
      </w:r>
      <w:r w:rsidRPr="006762E8">
        <w:rPr>
          <w:lang w:val="en-US"/>
        </w:rPr>
        <w:t>in the Statistical Appendix 1 to this report presents key labour market indicators (including full-time and</w:t>
      </w:r>
      <w:r w:rsidRPr="00A03B67">
        <w:rPr>
          <w:lang w:val="en-US"/>
        </w:rPr>
        <w:t xml:space="preserve"> part-time employment as well as LFP) for November 2022 (just before the Secure Jobs, Better Pay Act was passed) and November 2024 (the most recent available data at the time of writing).</w:t>
      </w:r>
    </w:p>
  </w:footnote>
  <w:footnote w:id="948">
    <w:p w14:paraId="22B51C57" w14:textId="77777777" w:rsidR="000A0EB4" w:rsidRPr="00A03B67" w:rsidRDefault="000A0EB4" w:rsidP="000A0EB4">
      <w:pPr>
        <w:pStyle w:val="FootnoteText"/>
        <w:rPr>
          <w:lang w:val="en-US"/>
        </w:rPr>
      </w:pPr>
      <w:r w:rsidRPr="00A03B67">
        <w:rPr>
          <w:rStyle w:val="FootnoteReference"/>
        </w:rPr>
        <w:footnoteRef/>
      </w:r>
      <w:r w:rsidRPr="00A03B67">
        <w:t xml:space="preserve"> </w:t>
      </w:r>
      <w:r w:rsidRPr="00A03B67">
        <w:rPr>
          <w:lang w:val="en-US"/>
        </w:rPr>
        <w:t xml:space="preserve">As previously noted, the definition of ‘casual’ applied here follows the Australian Bureau of Statistics. A person is defined as casual if they </w:t>
      </w:r>
      <w:r w:rsidRPr="00C06E5C">
        <w:rPr>
          <w:b/>
          <w:lang w:val="en-US"/>
        </w:rPr>
        <w:t>do not</w:t>
      </w:r>
      <w:r w:rsidRPr="00A03B67">
        <w:rPr>
          <w:lang w:val="en-US"/>
        </w:rPr>
        <w:t xml:space="preserve"> have paid leave entitlements.</w:t>
      </w:r>
    </w:p>
  </w:footnote>
  <w:footnote w:id="949">
    <w:p w14:paraId="190D057B" w14:textId="77777777" w:rsidR="000A0EB4" w:rsidRPr="00A03B67" w:rsidRDefault="000A0EB4" w:rsidP="000A0EB4">
      <w:pPr>
        <w:pStyle w:val="FootnoteText"/>
        <w:rPr>
          <w:lang w:val="en-US"/>
        </w:rPr>
      </w:pPr>
      <w:r w:rsidRPr="00A03B67">
        <w:rPr>
          <w:rStyle w:val="FootnoteReference"/>
        </w:rPr>
        <w:footnoteRef/>
      </w:r>
      <w:r w:rsidRPr="00A03B67">
        <w:t xml:space="preserve"> </w:t>
      </w:r>
      <w:r w:rsidRPr="00A03B67">
        <w:rPr>
          <w:lang w:val="en-US"/>
        </w:rPr>
        <w:t xml:space="preserve">Cited in the </w:t>
      </w:r>
      <w:r w:rsidRPr="00A03B67">
        <w:t xml:space="preserve">Fair Work Commission, </w:t>
      </w:r>
      <w:r w:rsidRPr="00A03B67">
        <w:rPr>
          <w:i/>
          <w:iCs/>
        </w:rPr>
        <w:t>Modern Awards Review 2023</w:t>
      </w:r>
      <w:r w:rsidRPr="00A03B67">
        <w:rPr>
          <w:rFonts w:ascii="Symbol" w:eastAsia="Symbol" w:hAnsi="Symbol" w:cs="Symbol"/>
          <w:i/>
          <w:iCs/>
        </w:rPr>
        <w:t>-</w:t>
      </w:r>
      <w:r w:rsidRPr="00A03B67">
        <w:rPr>
          <w:i/>
          <w:iCs/>
        </w:rPr>
        <w:t>24</w:t>
      </w:r>
      <w:r w:rsidRPr="00A03B67">
        <w:t xml:space="preserve"> (Report, 2024) </w:t>
      </w:r>
      <w:r w:rsidRPr="00A03B67">
        <w:rPr>
          <w:lang w:val="en-US"/>
        </w:rPr>
        <w:t>[49].</w:t>
      </w:r>
    </w:p>
  </w:footnote>
  <w:footnote w:id="950">
    <w:p w14:paraId="23980B4A" w14:textId="77777777" w:rsidR="000A0EB4" w:rsidRPr="00A03B67" w:rsidRDefault="000A0EB4" w:rsidP="000A0EB4">
      <w:pPr>
        <w:pStyle w:val="FootnoteText"/>
      </w:pPr>
      <w:r w:rsidRPr="00A03B67">
        <w:rPr>
          <w:rStyle w:val="FootnoteReference"/>
        </w:rPr>
        <w:footnoteRef/>
      </w:r>
      <w:r w:rsidRPr="00A03B67">
        <w:t xml:space="preserve"> The Fair Work Commission </w:t>
      </w:r>
      <w:r w:rsidRPr="00A03B67">
        <w:rPr>
          <w:i/>
          <w:iCs/>
        </w:rPr>
        <w:t>Discussion Paper: Job Security</w:t>
      </w:r>
      <w:r w:rsidRPr="00A03B67">
        <w:t xml:space="preserve"> was released on 18 December 2023. &lt;https://www.fwc.gov.au/documents/sites/award-review-2023-24/am202321-discussion-paper-job-security-181223.pdf&gt;.</w:t>
      </w:r>
    </w:p>
  </w:footnote>
  <w:footnote w:id="951">
    <w:p w14:paraId="1AF5D3ED" w14:textId="14A84461" w:rsidR="000A0EB4" w:rsidRPr="00A03B67" w:rsidRDefault="000A0EB4" w:rsidP="000A0EB4">
      <w:pPr>
        <w:pStyle w:val="FootnoteText"/>
      </w:pPr>
      <w:r w:rsidRPr="00A03B67">
        <w:rPr>
          <w:rStyle w:val="FootnoteReference"/>
        </w:rPr>
        <w:footnoteRef/>
      </w:r>
      <w:r w:rsidRPr="00A03B67">
        <w:t xml:space="preserve"> Fair Work Commission, </w:t>
      </w:r>
      <w:r w:rsidRPr="00A03B67">
        <w:rPr>
          <w:i/>
          <w:iCs/>
        </w:rPr>
        <w:t>Modern Awards Review 2023</w:t>
      </w:r>
      <w:r w:rsidRPr="00A03B67">
        <w:rPr>
          <w:rFonts w:ascii="Symbol" w:eastAsia="Symbol" w:hAnsi="Symbol" w:cs="Symbol"/>
          <w:i/>
          <w:iCs/>
        </w:rPr>
        <w:t>-</w:t>
      </w:r>
      <w:r w:rsidRPr="00A03B67">
        <w:rPr>
          <w:i/>
          <w:iCs/>
        </w:rPr>
        <w:t>24</w:t>
      </w:r>
      <w:r w:rsidRPr="00A03B67">
        <w:t xml:space="preserve"> (Report, 2024) [51] &lt;https://www.fwc.gov.au/documents/sites/award-review-2023-24/am202321-review-report-180724.pdf&gt;.</w:t>
      </w:r>
    </w:p>
  </w:footnote>
  <w:footnote w:id="952">
    <w:p w14:paraId="63CFEDDB" w14:textId="77777777" w:rsidR="000A0EB4" w:rsidRPr="00A03B67" w:rsidRDefault="000A0EB4" w:rsidP="000A0EB4">
      <w:pPr>
        <w:pStyle w:val="FootnoteText"/>
        <w:rPr>
          <w:lang w:val="en-US"/>
        </w:rPr>
      </w:pPr>
      <w:r w:rsidRPr="00A03B67">
        <w:rPr>
          <w:rStyle w:val="FootnoteReference"/>
        </w:rPr>
        <w:footnoteRef/>
      </w:r>
      <w:r w:rsidRPr="00A03B67">
        <w:t xml:space="preserve"> </w:t>
      </w:r>
      <w:r w:rsidRPr="00A03B67">
        <w:rPr>
          <w:lang w:val="en-US"/>
        </w:rPr>
        <w:t xml:space="preserve">See Australian Bureau of Statistics, </w:t>
      </w:r>
      <w:r w:rsidRPr="00A03B67">
        <w:rPr>
          <w:i/>
          <w:iCs/>
          <w:lang w:val="en-US"/>
        </w:rPr>
        <w:t>Working Arrangements</w:t>
      </w:r>
      <w:r w:rsidRPr="00A03B67">
        <w:rPr>
          <w:lang w:val="en-US"/>
        </w:rPr>
        <w:t xml:space="preserve"> (Web Page, August 2024) &lt;https://www.abs.gov.au/statistics/labour/earnings-and-working-conditions/working-arrangements/aug-2024&gt;.</w:t>
      </w:r>
    </w:p>
  </w:footnote>
  <w:footnote w:id="953">
    <w:p w14:paraId="3AE4E4B1" w14:textId="77777777" w:rsidR="000A0EB4" w:rsidRPr="00A03B67" w:rsidRDefault="000A0EB4" w:rsidP="000A0EB4">
      <w:pPr>
        <w:pStyle w:val="FootnoteText"/>
      </w:pPr>
      <w:r w:rsidRPr="00A03B67">
        <w:rPr>
          <w:rStyle w:val="FootnoteReference"/>
        </w:rPr>
        <w:footnoteRef/>
      </w:r>
      <w:r w:rsidRPr="00A03B67">
        <w:t xml:space="preserve"> Senate Select Committee on Job Security, Parliament of Australia, </w:t>
      </w:r>
      <w:r w:rsidRPr="00A03B67">
        <w:rPr>
          <w:i/>
          <w:iCs/>
        </w:rPr>
        <w:t>Final Report: Matter of Possible Privilege</w:t>
      </w:r>
      <w:r w:rsidRPr="00A03B67">
        <w:t xml:space="preserve"> (Report, 2022) Chair’s foreword, xiv.</w:t>
      </w:r>
    </w:p>
  </w:footnote>
  <w:footnote w:id="954">
    <w:p w14:paraId="7A2636FC" w14:textId="77777777" w:rsidR="000A0EB4" w:rsidRPr="00A03B67" w:rsidRDefault="000A0EB4" w:rsidP="000A0EB4">
      <w:pPr>
        <w:pStyle w:val="FootnoteText"/>
      </w:pPr>
      <w:r w:rsidRPr="00A03B67">
        <w:rPr>
          <w:rStyle w:val="FootnoteReference"/>
        </w:rPr>
        <w:footnoteRef/>
      </w:r>
      <w:r w:rsidRPr="00A03B67">
        <w:t xml:space="preserve"> M Janda, ‘Reserve Bank Says Housing Won’t “Derail the Economy” But Tight-fisted Bosses Might’, </w:t>
      </w:r>
      <w:r w:rsidRPr="00A03B67">
        <w:rPr>
          <w:i/>
          <w:iCs/>
        </w:rPr>
        <w:t>ABC News</w:t>
      </w:r>
      <w:r w:rsidRPr="00A03B67">
        <w:t xml:space="preserve"> (online, 22 February 2019) &lt;https://www.abc.net.au/news/2019-02-22/reserve-bank-governor-philip-lowe-parliament/10836828&gt;.</w:t>
      </w:r>
    </w:p>
  </w:footnote>
  <w:footnote w:id="955">
    <w:p w14:paraId="271855D6" w14:textId="77777777" w:rsidR="000A0EB4" w:rsidRPr="00A03B67" w:rsidRDefault="000A0EB4" w:rsidP="000A0EB4">
      <w:pPr>
        <w:pStyle w:val="FootnoteText"/>
      </w:pPr>
      <w:r w:rsidRPr="00A03B67">
        <w:rPr>
          <w:rStyle w:val="FootnoteReference"/>
        </w:rPr>
        <w:footnoteRef/>
      </w:r>
      <w:r w:rsidRPr="00A03B67">
        <w:t xml:space="preserve"> S Long, ‘Reserve Bank Boss Philip Lowe Urges Workers to Push for Pay Rises’, </w:t>
      </w:r>
      <w:r w:rsidRPr="00A03B67">
        <w:rPr>
          <w:i/>
          <w:iCs/>
        </w:rPr>
        <w:t>ABC News</w:t>
      </w:r>
      <w:r w:rsidRPr="00A03B67">
        <w:t xml:space="preserve"> (online, 29 June 2017) &lt;https://www.abc.net.au/news/2017-06-29/rba-governor-philip-lowe-goes-marxist/8662228&gt;.</w:t>
      </w:r>
    </w:p>
  </w:footnote>
  <w:footnote w:id="956">
    <w:p w14:paraId="6BA1C8FB" w14:textId="77777777" w:rsidR="000A0EB4" w:rsidRPr="00A03B67" w:rsidRDefault="000A0EB4" w:rsidP="000A0EB4">
      <w:pPr>
        <w:pStyle w:val="FootnoteText"/>
        <w:rPr>
          <w:lang w:val="en-US"/>
        </w:rPr>
      </w:pPr>
      <w:r w:rsidRPr="00A03B67">
        <w:rPr>
          <w:rStyle w:val="FootnoteReference"/>
        </w:rPr>
        <w:footnoteRef/>
      </w:r>
      <w:r w:rsidRPr="00A03B67">
        <w:t xml:space="preserve"> </w:t>
      </w:r>
      <w:r w:rsidRPr="00A03B67">
        <w:rPr>
          <w:lang w:val="en-US"/>
        </w:rPr>
        <w:t xml:space="preserve">Workplace Gender Equality Agency, </w:t>
      </w:r>
      <w:r w:rsidRPr="00A03B67">
        <w:rPr>
          <w:i/>
          <w:iCs/>
          <w:lang w:val="en-US"/>
        </w:rPr>
        <w:t>What Is the Gender Pay Gap?</w:t>
      </w:r>
      <w:r w:rsidRPr="00A03B67">
        <w:rPr>
          <w:lang w:val="en-US"/>
        </w:rPr>
        <w:t xml:space="preserve"> (Web Page, n.d.) &lt;https://www.wgea.gov.au/the-gender-pay-gap&gt;.</w:t>
      </w:r>
    </w:p>
  </w:footnote>
  <w:footnote w:id="957">
    <w:p w14:paraId="38A84802" w14:textId="77777777" w:rsidR="000A0EB4" w:rsidRPr="00A03B67" w:rsidRDefault="000A0EB4" w:rsidP="000A0EB4">
      <w:pPr>
        <w:pStyle w:val="FootnoteText"/>
        <w:rPr>
          <w:lang w:val="en-US"/>
        </w:rPr>
      </w:pPr>
      <w:r w:rsidRPr="00A03B67">
        <w:rPr>
          <w:rStyle w:val="FootnoteReference"/>
        </w:rPr>
        <w:footnoteRef/>
      </w:r>
      <w:r w:rsidRPr="00A03B67">
        <w:t xml:space="preserve"> </w:t>
      </w:r>
      <w:r w:rsidRPr="00A03B67">
        <w:rPr>
          <w:lang w:val="en-US"/>
        </w:rPr>
        <w:t>The Hon Anthony Albanese MP, ‘Gender Pay Gap Drops to Historic Low’ (Media Release, 15 August 2024) &lt;https://www.pm.gov.au/media/gender-pay-gap-drops-historic-low&gt;.</w:t>
      </w:r>
    </w:p>
  </w:footnote>
  <w:footnote w:id="958">
    <w:p w14:paraId="2ADF5443" w14:textId="5F25A6ED" w:rsidR="000A0EB4" w:rsidRPr="00A03B67" w:rsidRDefault="000A0EB4" w:rsidP="000A0EB4">
      <w:pPr>
        <w:pStyle w:val="FootnoteText"/>
        <w:rPr>
          <w:lang w:val="en-US"/>
        </w:rPr>
      </w:pPr>
      <w:r w:rsidRPr="00A03B67">
        <w:rPr>
          <w:rStyle w:val="FootnoteReference"/>
        </w:rPr>
        <w:footnoteRef/>
      </w:r>
      <w:r w:rsidRPr="00A03B67">
        <w:t xml:space="preserve"> Workplace Gender Equality Agency, ‘The Gender Pay Gap Explained’, </w:t>
      </w:r>
      <w:r w:rsidRPr="00A03B67">
        <w:rPr>
          <w:i/>
          <w:iCs/>
        </w:rPr>
        <w:t>What Is the Gender Pay Gap?</w:t>
      </w:r>
      <w:r w:rsidRPr="00A03B67">
        <w:t xml:space="preserve"> (Web Page, n.d.) &lt;https://www.wgea.gov.au/the-gender-pay-gap&gt;.</w:t>
      </w:r>
    </w:p>
  </w:footnote>
  <w:footnote w:id="959">
    <w:p w14:paraId="54B05885" w14:textId="166E9181" w:rsidR="000A0EB4" w:rsidRPr="00A03B67" w:rsidRDefault="000A0EB4" w:rsidP="000A0EB4">
      <w:pPr>
        <w:pStyle w:val="FootnoteText"/>
        <w:rPr>
          <w:lang w:val="en-US"/>
        </w:rPr>
      </w:pPr>
      <w:r w:rsidRPr="00A03B67">
        <w:rPr>
          <w:rStyle w:val="FootnoteReference"/>
        </w:rPr>
        <w:footnoteRef/>
      </w:r>
      <w:r w:rsidRPr="00A03B67">
        <w:t xml:space="preserve"> </w:t>
      </w:r>
      <w:r w:rsidRPr="00A03B67">
        <w:rPr>
          <w:lang w:val="en-US"/>
        </w:rPr>
        <w:t xml:space="preserve">Australian Bureau of Statistics, </w:t>
      </w:r>
      <w:r w:rsidRPr="00A03B67">
        <w:rPr>
          <w:i/>
          <w:iCs/>
          <w:lang w:val="en-US"/>
        </w:rPr>
        <w:t>Gender Pay Gap Guide</w:t>
      </w:r>
      <w:r w:rsidRPr="00A03B67">
        <w:rPr>
          <w:lang w:val="en-US"/>
        </w:rPr>
        <w:t xml:space="preserve"> (21 February 2023) &lt;https://www.abs.gov.au/statistics/understanding-statistics/guide-labour-statistics/gender-pay-gap-guide&gt;.</w:t>
      </w:r>
    </w:p>
  </w:footnote>
  <w:footnote w:id="960">
    <w:p w14:paraId="0C40B96A" w14:textId="77777777" w:rsidR="000A0EB4" w:rsidRPr="00A03B67" w:rsidRDefault="000A0EB4" w:rsidP="000A0EB4">
      <w:pPr>
        <w:pStyle w:val="FootnoteText"/>
        <w:rPr>
          <w:lang w:val="en-US"/>
        </w:rPr>
      </w:pPr>
      <w:r w:rsidRPr="00A03B67">
        <w:rPr>
          <w:rStyle w:val="FootnoteReference"/>
        </w:rPr>
        <w:footnoteRef/>
      </w:r>
      <w:r w:rsidRPr="00A03B67">
        <w:t xml:space="preserve"> </w:t>
      </w:r>
      <w:r w:rsidRPr="00A03B67">
        <w:rPr>
          <w:lang w:val="en-US"/>
        </w:rPr>
        <w:t xml:space="preserve">The Australian Bureau of Statistics </w:t>
      </w:r>
      <w:r w:rsidRPr="00A03B67">
        <w:rPr>
          <w:i/>
          <w:iCs/>
          <w:lang w:val="en-US"/>
        </w:rPr>
        <w:t>Average Weekly Earnings, Australia</w:t>
      </w:r>
      <w:r w:rsidRPr="00A03B67">
        <w:rPr>
          <w:lang w:val="en-US"/>
        </w:rPr>
        <w:t xml:space="preserve"> series, however, only reports </w:t>
      </w:r>
      <w:r w:rsidRPr="00C06E5C">
        <w:rPr>
          <w:b/>
          <w:lang w:val="en-US"/>
        </w:rPr>
        <w:t>weekly wages</w:t>
      </w:r>
      <w:r w:rsidRPr="00A03B67">
        <w:rPr>
          <w:lang w:val="en-US"/>
        </w:rPr>
        <w:t xml:space="preserve"> for full-timers and all employees. It does not report an hourly wage. The gender pay gap weekly wages in the full-time labour market is, therefore, the focus of analysis, as this group is more homogeneous in terms of hours worked.</w:t>
      </w:r>
    </w:p>
  </w:footnote>
  <w:footnote w:id="961">
    <w:p w14:paraId="2A15DBD8" w14:textId="77777777" w:rsidR="000A0EB4" w:rsidRPr="00A03B67" w:rsidRDefault="000A0EB4" w:rsidP="000A0EB4">
      <w:pPr>
        <w:pStyle w:val="FootnoteText"/>
        <w:rPr>
          <w:lang w:val="en-US"/>
        </w:rPr>
      </w:pPr>
      <w:r w:rsidRPr="00A03B67">
        <w:rPr>
          <w:rStyle w:val="FootnoteReference"/>
        </w:rPr>
        <w:footnoteRef/>
      </w:r>
      <w:r w:rsidRPr="00A03B67">
        <w:t xml:space="preserve"> </w:t>
      </w:r>
      <w:r w:rsidRPr="00A03B67">
        <w:rPr>
          <w:lang w:val="en-US"/>
        </w:rPr>
        <w:t xml:space="preserve">M Smith and G Whitehouse, ‘Wage-setting and Gender Pay Equality in Australia: Advances, Retreats and Future Prospects’ (2020) 62(4) </w:t>
      </w:r>
      <w:r w:rsidRPr="00A03B67">
        <w:rPr>
          <w:i/>
          <w:iCs/>
          <w:lang w:val="en-US"/>
        </w:rPr>
        <w:t xml:space="preserve">Journal of Industrial Relations </w:t>
      </w:r>
      <w:r w:rsidRPr="00A03B67">
        <w:rPr>
          <w:lang w:val="en-US"/>
        </w:rPr>
        <w:t>533.</w:t>
      </w:r>
    </w:p>
  </w:footnote>
  <w:footnote w:id="962">
    <w:p w14:paraId="0AC142D2" w14:textId="4D6414C2" w:rsidR="00CF318F" w:rsidRPr="00391885" w:rsidRDefault="00CF318F" w:rsidP="00CF318F">
      <w:pPr>
        <w:pStyle w:val="FootnoteText"/>
        <w:rPr>
          <w:lang w:val="en-US"/>
        </w:rPr>
      </w:pPr>
      <w:r w:rsidRPr="00A03B67">
        <w:rPr>
          <w:rStyle w:val="FootnoteReference"/>
        </w:rPr>
        <w:footnoteRef/>
      </w:r>
      <w:r w:rsidRPr="00A03B67">
        <w:t xml:space="preserve"> </w:t>
      </w:r>
      <w:r w:rsidR="00F354F4">
        <w:rPr>
          <w:lang w:val="en-US"/>
        </w:rPr>
        <w:t>Birch and Preston s</w:t>
      </w:r>
      <w:r w:rsidR="00214172">
        <w:rPr>
          <w:lang w:val="en-US"/>
        </w:rPr>
        <w:t xml:space="preserve">uggest that the </w:t>
      </w:r>
      <w:r w:rsidR="001919EB">
        <w:rPr>
          <w:lang w:val="en-US"/>
        </w:rPr>
        <w:t xml:space="preserve">SACS case </w:t>
      </w:r>
      <w:r w:rsidR="00E22CDD">
        <w:rPr>
          <w:lang w:val="en-US"/>
        </w:rPr>
        <w:t>delivered favourable wage outcomes to low paid women</w:t>
      </w:r>
      <w:r w:rsidR="0065037C">
        <w:rPr>
          <w:lang w:val="en-US"/>
        </w:rPr>
        <w:t xml:space="preserve"> and was a major source of</w:t>
      </w:r>
      <w:r w:rsidR="00510FD2">
        <w:rPr>
          <w:lang w:val="en-US"/>
        </w:rPr>
        <w:t xml:space="preserve"> female</w:t>
      </w:r>
      <w:r w:rsidR="0065037C">
        <w:rPr>
          <w:lang w:val="en-US"/>
        </w:rPr>
        <w:t xml:space="preserve"> wage growth </w:t>
      </w:r>
      <w:r w:rsidR="00510FD2">
        <w:rPr>
          <w:lang w:val="en-US"/>
        </w:rPr>
        <w:t xml:space="preserve">between 2010/11 and 2018/19. </w:t>
      </w:r>
      <w:r w:rsidR="00E260D6">
        <w:rPr>
          <w:lang w:val="en-US"/>
        </w:rPr>
        <w:t xml:space="preserve"> E Birch and A Preston, ‘The evolving wage structure of young adults in Australia: 2001 to 2019’ (2021) </w:t>
      </w:r>
      <w:r w:rsidR="008F50E5">
        <w:rPr>
          <w:lang w:val="en-US"/>
        </w:rPr>
        <w:t>97(</w:t>
      </w:r>
      <w:r w:rsidR="00391885">
        <w:rPr>
          <w:lang w:val="en-US"/>
        </w:rPr>
        <w:t xml:space="preserve">318) </w:t>
      </w:r>
      <w:r w:rsidR="00391885">
        <w:rPr>
          <w:i/>
          <w:iCs/>
          <w:lang w:val="en-US"/>
        </w:rPr>
        <w:t>Economic Record</w:t>
      </w:r>
      <w:r w:rsidR="00391885">
        <w:rPr>
          <w:lang w:val="en-US"/>
        </w:rPr>
        <w:t>, 365.</w:t>
      </w:r>
    </w:p>
  </w:footnote>
  <w:footnote w:id="963">
    <w:p w14:paraId="41B40A22" w14:textId="77777777" w:rsidR="000A0EB4" w:rsidRPr="00A03B67" w:rsidRDefault="000A0EB4" w:rsidP="000A0EB4">
      <w:pPr>
        <w:pStyle w:val="FootnoteText"/>
        <w:rPr>
          <w:lang w:val="en-US"/>
        </w:rPr>
      </w:pPr>
      <w:r w:rsidRPr="00A03B67">
        <w:rPr>
          <w:rStyle w:val="FootnoteReference"/>
        </w:rPr>
        <w:footnoteRef/>
      </w:r>
      <w:r w:rsidRPr="00A03B67">
        <w:t xml:space="preserve"> </w:t>
      </w:r>
      <w:r w:rsidRPr="00A03B67">
        <w:rPr>
          <w:lang w:val="en-US"/>
        </w:rPr>
        <w:t xml:space="preserve">M Smith and G Whitehouse, ‘Wage-setting and Gender Pay Equality in Australia: Advances, Retreats and Future Prospects’ (2020) 62(4) </w:t>
      </w:r>
      <w:r w:rsidRPr="00A03B67">
        <w:rPr>
          <w:i/>
          <w:iCs/>
          <w:lang w:val="en-US"/>
        </w:rPr>
        <w:t xml:space="preserve">Journal of Industrial Relations </w:t>
      </w:r>
      <w:r w:rsidRPr="00A03B67">
        <w:rPr>
          <w:lang w:val="en-US"/>
        </w:rPr>
        <w:t>533.</w:t>
      </w:r>
    </w:p>
  </w:footnote>
  <w:footnote w:id="964">
    <w:p w14:paraId="32F59025" w14:textId="585611E8" w:rsidR="000A0EB4" w:rsidRPr="00A03B67" w:rsidRDefault="000A0EB4" w:rsidP="000A0EB4">
      <w:pPr>
        <w:pStyle w:val="FootnoteText"/>
      </w:pPr>
      <w:r w:rsidRPr="00A03B67">
        <w:rPr>
          <w:rStyle w:val="FootnoteReference"/>
        </w:rPr>
        <w:footnoteRef/>
      </w:r>
      <w:r w:rsidRPr="00A03B67">
        <w:t xml:space="preserve"> See also </w:t>
      </w:r>
      <w:r w:rsidR="006D0197">
        <w:t xml:space="preserve">A </w:t>
      </w:r>
      <w:r w:rsidR="006D0197" w:rsidRPr="00A03B67">
        <w:t xml:space="preserve">Junor, </w:t>
      </w:r>
      <w:r w:rsidR="006D0197">
        <w:t xml:space="preserve">A </w:t>
      </w:r>
      <w:r w:rsidR="006D0197" w:rsidRPr="00A03B67">
        <w:t xml:space="preserve">Preston and </w:t>
      </w:r>
      <w:r w:rsidR="006D0197">
        <w:t xml:space="preserve">M </w:t>
      </w:r>
      <w:r w:rsidR="006D0197" w:rsidRPr="00A03B67">
        <w:t xml:space="preserve">Smith, </w:t>
      </w:r>
      <w:r w:rsidR="006D0197">
        <w:t>‘</w:t>
      </w:r>
      <w:r w:rsidR="006D0197" w:rsidRPr="00A03B67">
        <w:t xml:space="preserve">Occupational </w:t>
      </w:r>
      <w:r w:rsidR="006D0197">
        <w:t>S</w:t>
      </w:r>
      <w:r w:rsidR="006D0197" w:rsidRPr="00A03B67">
        <w:t xml:space="preserve">egregation and </w:t>
      </w:r>
      <w:r w:rsidR="006D0197">
        <w:t>G</w:t>
      </w:r>
      <w:r w:rsidR="006D0197" w:rsidRPr="00A03B67">
        <w:t xml:space="preserve">ender </w:t>
      </w:r>
      <w:r w:rsidR="006D0197">
        <w:t>P</w:t>
      </w:r>
      <w:r w:rsidR="006D0197" w:rsidRPr="00A03B67">
        <w:t xml:space="preserve">ay </w:t>
      </w:r>
      <w:r w:rsidR="006D0197">
        <w:t>E</w:t>
      </w:r>
      <w:r w:rsidR="006D0197" w:rsidRPr="00A03B67">
        <w:t xml:space="preserve">quity </w:t>
      </w:r>
      <w:r w:rsidR="006D0197">
        <w:t>S</w:t>
      </w:r>
      <w:r w:rsidR="006D0197" w:rsidRPr="00A03B67">
        <w:t xml:space="preserve">trategies in Australia: Comparison, </w:t>
      </w:r>
      <w:r w:rsidR="006D0197">
        <w:t>R</w:t>
      </w:r>
      <w:r w:rsidR="006D0197" w:rsidRPr="00A03B67">
        <w:t xml:space="preserve">evaluation or </w:t>
      </w:r>
      <w:r w:rsidR="006D0197">
        <w:t>R</w:t>
      </w:r>
      <w:r w:rsidR="006D0197" w:rsidRPr="00A03B67">
        <w:t xml:space="preserve">aising </w:t>
      </w:r>
      <w:r w:rsidR="006D0197">
        <w:t>M</w:t>
      </w:r>
      <w:r w:rsidR="006D0197" w:rsidRPr="00A03B67">
        <w:t xml:space="preserve">inimum </w:t>
      </w:r>
      <w:r w:rsidR="006D0197">
        <w:t>W</w:t>
      </w:r>
      <w:r w:rsidR="006D0197" w:rsidRPr="00A03B67">
        <w:t>ages?</w:t>
      </w:r>
      <w:r w:rsidR="006D0197">
        <w:t xml:space="preserve">’ in </w:t>
      </w:r>
      <w:r w:rsidRPr="00A03B67">
        <w:t xml:space="preserve">S Williamson, J Parker, N Donnelly, M Gavin and S Ressia, </w:t>
      </w:r>
      <w:r w:rsidRPr="00C06E5C">
        <w:t>Gender, Work and Employment Relations</w:t>
      </w:r>
      <w:r w:rsidRPr="00A03B67">
        <w:t xml:space="preserve"> (forthcoming, Edward Elgar Publishing, 2025),</w:t>
      </w:r>
      <w:r w:rsidRPr="00A03B67">
        <w:rPr>
          <w:lang w:val="en-US"/>
        </w:rPr>
        <w:t xml:space="preserve"> Ch 19</w:t>
      </w:r>
      <w:r w:rsidR="006D0197">
        <w:rPr>
          <w:lang w:val="en-US"/>
        </w:rPr>
        <w:t>.</w:t>
      </w:r>
    </w:p>
  </w:footnote>
  <w:footnote w:id="965">
    <w:p w14:paraId="11A7B476" w14:textId="36CF6750" w:rsidR="000A0EB4" w:rsidRPr="00A03B67" w:rsidRDefault="000A0EB4" w:rsidP="000A0EB4">
      <w:pPr>
        <w:pStyle w:val="FootnoteText"/>
        <w:rPr>
          <w:lang w:val="en-US"/>
        </w:rPr>
      </w:pPr>
      <w:r w:rsidRPr="00A03B67">
        <w:rPr>
          <w:rStyle w:val="FootnoteReference"/>
        </w:rPr>
        <w:footnoteRef/>
      </w:r>
      <w:r w:rsidRPr="00A03B67">
        <w:t xml:space="preserve"> </w:t>
      </w:r>
      <w:r w:rsidRPr="00A03B67">
        <w:rPr>
          <w:lang w:val="en-US"/>
        </w:rPr>
        <w:t>Statistical significance is a way to determine whether the results in a study are due to chance or if they reflect a real relationship. When it is statistically significant it means it did not occur randomly and that there is strong evidence to show that the outcome variable is determined by (or correlates with) the explanatory variable. In this case the results show that the gender wage gap, measured using the ‘dummy variable approach’ which was previously explained, is significantly smaller (in a statistical sense) between 2023 and earlier periods.</w:t>
      </w:r>
    </w:p>
  </w:footnote>
  <w:footnote w:id="966">
    <w:p w14:paraId="69C2BE40" w14:textId="33F9AAF6" w:rsidR="000A0EB4" w:rsidRPr="00A03B67" w:rsidRDefault="000A0EB4" w:rsidP="000A0EB4">
      <w:pPr>
        <w:pStyle w:val="FootnoteText"/>
      </w:pPr>
      <w:r w:rsidRPr="00A03B67">
        <w:rPr>
          <w:rStyle w:val="FootnoteReference"/>
        </w:rPr>
        <w:footnoteRef/>
      </w:r>
      <w:r w:rsidRPr="00A03B67">
        <w:t xml:space="preserve"> It was introduced via the </w:t>
      </w:r>
      <w:r w:rsidRPr="00A03B67">
        <w:rPr>
          <w:i/>
        </w:rPr>
        <w:t xml:space="preserve">Fair Work Amendment (Family and Domestic Violence Leave) Act 2018 </w:t>
      </w:r>
      <w:r w:rsidRPr="00A03B67">
        <w:rPr>
          <w:iCs/>
        </w:rPr>
        <w:t>(Cth)</w:t>
      </w:r>
      <w:r w:rsidRPr="00A03B67">
        <w:t xml:space="preserve">. A timeline of events leading up to the introduction and adoption of this Act is given at Figure 3 in K Seymour, M Marmo, A Cebulla, N Ibrahim, H Esmaeili, J Richards and E Sinopoli, </w:t>
      </w:r>
      <w:r w:rsidRPr="00A03B67">
        <w:rPr>
          <w:i/>
          <w:iCs/>
        </w:rPr>
        <w:t xml:space="preserve">Independent Review of the Operation of the Paid Family and Domestic Violence Leave Entitlements in the Fair Work Act 2009 </w:t>
      </w:r>
      <w:r w:rsidRPr="00A03B67">
        <w:t>(Report, Flinders University, 2024) 11 &lt;https://www.flinders.edu.au/content/dam/documents/fair-work/FU_Independent_Review_2022_FWA_Final_Report.pdf&gt;.</w:t>
      </w:r>
    </w:p>
  </w:footnote>
  <w:footnote w:id="967">
    <w:p w14:paraId="6F097D9B" w14:textId="77777777" w:rsidR="000A0EB4" w:rsidRPr="00A03B67" w:rsidRDefault="000A0EB4" w:rsidP="000A0EB4">
      <w:pPr>
        <w:pStyle w:val="FootnoteText"/>
      </w:pPr>
      <w:r w:rsidRPr="00A03B67">
        <w:rPr>
          <w:rStyle w:val="FootnoteReference"/>
        </w:rPr>
        <w:footnoteRef/>
      </w:r>
      <w:r w:rsidRPr="00A03B67">
        <w:t xml:space="preserve"> </w:t>
      </w:r>
      <w:r w:rsidRPr="00A03B67">
        <w:rPr>
          <w:i/>
          <w:iCs/>
        </w:rPr>
        <w:t xml:space="preserve">Fair Work Amendment (Paid Family and Domestic Violence Leave) Act 2022 </w:t>
      </w:r>
      <w:r w:rsidRPr="00A03B67">
        <w:t>(Cth) Sch 2, Item 9, s 757B.</w:t>
      </w:r>
    </w:p>
  </w:footnote>
  <w:footnote w:id="968">
    <w:p w14:paraId="5A2493C6" w14:textId="3470E33B" w:rsidR="000A0EB4" w:rsidRPr="00A03B67" w:rsidRDefault="000A0EB4" w:rsidP="000A0EB4">
      <w:pPr>
        <w:pStyle w:val="FootnoteText"/>
      </w:pPr>
      <w:r w:rsidRPr="00A03B67">
        <w:rPr>
          <w:rStyle w:val="FootnoteReference"/>
        </w:rPr>
        <w:footnoteRef/>
      </w:r>
      <w:r w:rsidRPr="00A03B67">
        <w:t xml:space="preserve"> </w:t>
      </w:r>
      <w:r w:rsidRPr="00A03B67">
        <w:rPr>
          <w:i/>
          <w:iCs/>
        </w:rPr>
        <w:t xml:space="preserve">Fair Work Amendment (Paid Family and Domestic Violence Leave) Act 2022 </w:t>
      </w:r>
      <w:r w:rsidRPr="00A03B67">
        <w:t>(Cth) Sch 1, Item 21A.</w:t>
      </w:r>
    </w:p>
  </w:footnote>
  <w:footnote w:id="969">
    <w:p w14:paraId="4846057F" w14:textId="77777777" w:rsidR="000A0EB4" w:rsidRPr="00A03B67" w:rsidRDefault="000A0EB4" w:rsidP="000A0EB4">
      <w:pPr>
        <w:pStyle w:val="FootnoteText"/>
      </w:pPr>
      <w:r w:rsidRPr="00A03B67">
        <w:rPr>
          <w:rStyle w:val="FootnoteReference"/>
        </w:rPr>
        <w:footnoteRef/>
      </w:r>
      <w:r w:rsidRPr="00A03B67">
        <w:t xml:space="preserve"> </w:t>
      </w:r>
      <w:r w:rsidRPr="00A03B67">
        <w:rPr>
          <w:i/>
          <w:iCs/>
        </w:rPr>
        <w:t>Fair Work Regulations</w:t>
      </w:r>
      <w:r w:rsidRPr="00A03B67">
        <w:t xml:space="preserve"> </w:t>
      </w:r>
      <w:r w:rsidRPr="00A03B67">
        <w:rPr>
          <w:i/>
          <w:iCs/>
        </w:rPr>
        <w:t>2009</w:t>
      </w:r>
      <w:r w:rsidRPr="00A03B67">
        <w:t xml:space="preserve"> (Cth) reg 3.48.</w:t>
      </w:r>
    </w:p>
  </w:footnote>
  <w:footnote w:id="970">
    <w:p w14:paraId="414DA890" w14:textId="77777777" w:rsidR="000A0EB4" w:rsidRPr="00A03B67" w:rsidRDefault="000A0EB4" w:rsidP="000A0EB4">
      <w:pPr>
        <w:pStyle w:val="FootnoteText"/>
      </w:pPr>
      <w:r w:rsidRPr="00A03B67">
        <w:rPr>
          <w:rStyle w:val="FootnoteReference"/>
        </w:rPr>
        <w:footnoteRef/>
      </w:r>
      <w:r w:rsidRPr="00A03B67">
        <w:t xml:space="preserve"> </w:t>
      </w:r>
      <w:r w:rsidRPr="00A03B67">
        <w:rPr>
          <w:i/>
          <w:iCs/>
        </w:rPr>
        <w:t>Fair Work Legislation Amendment</w:t>
      </w:r>
      <w:r w:rsidRPr="00A03B67">
        <w:t xml:space="preserve"> (</w:t>
      </w:r>
      <w:r w:rsidRPr="00A03B67">
        <w:rPr>
          <w:i/>
          <w:iCs/>
        </w:rPr>
        <w:t xml:space="preserve">Secure Jobs, Better Pay) Act 2022 </w:t>
      </w:r>
      <w:r w:rsidRPr="00A03B67">
        <w:t>(Cth)</w:t>
      </w:r>
      <w:r w:rsidRPr="00A03B67">
        <w:rPr>
          <w:i/>
          <w:iCs/>
        </w:rPr>
        <w:t xml:space="preserve"> </w:t>
      </w:r>
      <w:r w:rsidRPr="00A03B67">
        <w:t>s 2.</w:t>
      </w:r>
    </w:p>
  </w:footnote>
  <w:footnote w:id="971">
    <w:p w14:paraId="5B486478" w14:textId="77777777" w:rsidR="000A0EB4" w:rsidRPr="00A03B67" w:rsidRDefault="000A0EB4" w:rsidP="000A0EB4">
      <w:pPr>
        <w:pStyle w:val="FootnoteText"/>
      </w:pPr>
      <w:r w:rsidRPr="00A03B67">
        <w:rPr>
          <w:rStyle w:val="FootnoteReference"/>
        </w:rPr>
        <w:footnoteRef/>
      </w:r>
      <w:r w:rsidRPr="00A03B67">
        <w:t xml:space="preserve"> K Seymour, M Marmo, A Cebulla, N Ibrahim, H Esmaeili, J Richards and E Sinopoli, </w:t>
      </w:r>
      <w:r w:rsidRPr="00A03B67">
        <w:rPr>
          <w:i/>
          <w:iCs/>
        </w:rPr>
        <w:t xml:space="preserve">Independent Review of the Operation of the Paid Family and Domestic Violence Leave Entitlements in the Fair Work Act 2009 </w:t>
      </w:r>
      <w:r w:rsidRPr="00A03B67">
        <w:t>(Report, Flinders University, 2024) 18, 29 &lt;https://www.flinders.edu.au/content/dam/documents/fair-work/FU_Independent_Review_2022_FWA_Final_Report.pdf&gt;.</w:t>
      </w:r>
    </w:p>
  </w:footnote>
  <w:footnote w:id="972">
    <w:p w14:paraId="0343265D" w14:textId="77517E00" w:rsidR="000A0EB4" w:rsidRPr="00A03B67" w:rsidRDefault="000A0EB4" w:rsidP="000A0EB4">
      <w:pPr>
        <w:pStyle w:val="FootnoteText"/>
      </w:pPr>
      <w:r w:rsidRPr="00A03B67">
        <w:rPr>
          <w:rStyle w:val="FootnoteReference"/>
        </w:rPr>
        <w:footnoteRef/>
      </w:r>
      <w:r w:rsidRPr="00A03B67">
        <w:t xml:space="preserve"> K Seymour, M Marmo, A Cebulla, N Ibrahim, H Esmaeili, J Richards and E Sinopoli, </w:t>
      </w:r>
      <w:r w:rsidRPr="00A03B67">
        <w:rPr>
          <w:i/>
          <w:iCs/>
        </w:rPr>
        <w:t xml:space="preserve">Independent Review of the Operation of the Paid Family and Domestic Violence Leave Entitlements in the Fair Work Act 2009 </w:t>
      </w:r>
      <w:r w:rsidRPr="00A03B67">
        <w:t>(Report, Flinders University, 2024) 8 &lt;https://www.flinders.edu.au/content/dam/documents/fair-work/FU_Independent_Review_2022_FWA_Final_Report.pdf&gt;.</w:t>
      </w:r>
    </w:p>
  </w:footnote>
  <w:footnote w:id="973">
    <w:p w14:paraId="42237E4C" w14:textId="0BB99A87" w:rsidR="000A0EB4" w:rsidRDefault="000A0EB4" w:rsidP="000A0EB4">
      <w:pPr>
        <w:pStyle w:val="FootnoteText"/>
      </w:pPr>
      <w:r>
        <w:rPr>
          <w:rStyle w:val="FootnoteReference"/>
        </w:rPr>
        <w:footnoteRef/>
      </w:r>
      <w:r>
        <w:t xml:space="preserve"> </w:t>
      </w:r>
      <w:r w:rsidRPr="00134192">
        <w:t xml:space="preserve">Australian Government </w:t>
      </w:r>
      <w:r w:rsidR="006D0197">
        <w:t>r</w:t>
      </w:r>
      <w:r w:rsidRPr="00134192">
        <w:t xml:space="preserve">esponse to the independent review of the operation of the paid family and domestic violence leave entitlement in the </w:t>
      </w:r>
      <w:r w:rsidRPr="00134192">
        <w:rPr>
          <w:i/>
          <w:iCs/>
        </w:rPr>
        <w:t>Fair Work Act 2009</w:t>
      </w:r>
      <w:r>
        <w:t>, 19</w:t>
      </w:r>
      <w:r w:rsidR="006D0197">
        <w:rPr>
          <w:rFonts w:ascii="Symbol" w:eastAsia="Symbol" w:hAnsi="Symbol" w:cs="Symbol"/>
        </w:rPr>
        <w:t>-</w:t>
      </w:r>
      <w:r>
        <w:t>20.</w:t>
      </w:r>
    </w:p>
  </w:footnote>
  <w:footnote w:id="974">
    <w:p w14:paraId="66B11282" w14:textId="77777777" w:rsidR="000A0EB4" w:rsidRPr="00A03B67" w:rsidRDefault="000A0EB4" w:rsidP="000A0EB4">
      <w:pPr>
        <w:pStyle w:val="FootnoteText"/>
      </w:pPr>
      <w:r w:rsidRPr="00A03B67">
        <w:rPr>
          <w:rStyle w:val="FootnoteReference"/>
        </w:rPr>
        <w:footnoteRef/>
      </w:r>
      <w:r w:rsidRPr="00A03B67">
        <w:t xml:space="preserve"> See Fair Work Ombudsman, </w:t>
      </w:r>
      <w:r w:rsidRPr="00A03B67">
        <w:rPr>
          <w:i/>
          <w:iCs/>
        </w:rPr>
        <w:t>Small Business Employer Guide to Family and Domestic Violence</w:t>
      </w:r>
      <w:r w:rsidRPr="00A03B67">
        <w:t xml:space="preserve"> (2023) 8 &lt;https://www.fairwork.gov.au/sites/default/files/migration/1414/employer-guide-to-family-and-domestic-violence.pdf&gt;.</w:t>
      </w:r>
    </w:p>
  </w:footnote>
  <w:footnote w:id="975">
    <w:p w14:paraId="32200175" w14:textId="77777777" w:rsidR="000A0EB4" w:rsidRPr="00A03B67" w:rsidRDefault="000A0EB4" w:rsidP="000A0EB4">
      <w:pPr>
        <w:pStyle w:val="FootnoteText"/>
      </w:pPr>
      <w:r w:rsidRPr="00A03B67">
        <w:rPr>
          <w:rStyle w:val="FootnoteReference"/>
        </w:rPr>
        <w:footnoteRef/>
      </w:r>
      <w:r w:rsidRPr="00A03B67">
        <w:t xml:space="preserve"> </w:t>
      </w:r>
      <w:r w:rsidRPr="00A03B67">
        <w:rPr>
          <w:i/>
          <w:iCs/>
        </w:rPr>
        <w:t>Fair Work Act</w:t>
      </w:r>
      <w:r w:rsidRPr="00A03B67">
        <w:rPr>
          <w:i/>
        </w:rPr>
        <w:t xml:space="preserve"> 2009 </w:t>
      </w:r>
      <w:r w:rsidRPr="00A03B67">
        <w:t xml:space="preserve">(Cth) </w:t>
      </w:r>
      <w:r w:rsidRPr="00A03B67">
        <w:rPr>
          <w:rFonts w:cstheme="minorHAnsi"/>
        </w:rPr>
        <w:t>s 3(a).</w:t>
      </w:r>
    </w:p>
  </w:footnote>
  <w:footnote w:id="976">
    <w:p w14:paraId="10E4C57E" w14:textId="00D9B04F" w:rsidR="000A0EB4" w:rsidRPr="00A03B67" w:rsidRDefault="000A0EB4" w:rsidP="000A0EB4">
      <w:pPr>
        <w:pStyle w:val="FootnoteText"/>
      </w:pPr>
      <w:r w:rsidRPr="00A03B67">
        <w:rPr>
          <w:rStyle w:val="FootnoteReference"/>
        </w:rPr>
        <w:footnoteRef/>
      </w:r>
      <w:r w:rsidRPr="00A03B67">
        <w:t xml:space="preserve"> </w:t>
      </w:r>
      <w:r w:rsidRPr="00A03B67">
        <w:rPr>
          <w:i/>
          <w:iCs/>
        </w:rPr>
        <w:t>Annual Wage Review 2022</w:t>
      </w:r>
      <w:r w:rsidRPr="00A03B67">
        <w:rPr>
          <w:rFonts w:ascii="Symbol" w:eastAsia="Symbol" w:hAnsi="Symbol" w:cs="Symbol"/>
          <w:i/>
          <w:iCs/>
        </w:rPr>
        <w:t>-</w:t>
      </w:r>
      <w:r w:rsidRPr="00A03B67">
        <w:rPr>
          <w:i/>
          <w:iCs/>
        </w:rPr>
        <w:t xml:space="preserve">23 </w:t>
      </w:r>
      <w:r w:rsidRPr="00A03B67">
        <w:t>[2023] FWCFC 3500 (2 June 2023) [24], citing the Revised Explanatory Memorandum, Fair Work Legislation Amendment (Secure Jobs, Better Pay) Bill</w:t>
      </w:r>
      <w:r w:rsidRPr="00A03B67">
        <w:rPr>
          <w:i/>
          <w:iCs/>
        </w:rPr>
        <w:t xml:space="preserve"> </w:t>
      </w:r>
      <w:r w:rsidRPr="00A03B67">
        <w:t>2022</w:t>
      </w:r>
      <w:r w:rsidR="006D0197">
        <w:t>,</w:t>
      </w:r>
      <w:r w:rsidRPr="00A03B67">
        <w:t xml:space="preserve"> [330].</w:t>
      </w:r>
    </w:p>
  </w:footnote>
  <w:footnote w:id="977">
    <w:p w14:paraId="33791A09" w14:textId="693A8911" w:rsidR="000A0EB4" w:rsidRPr="00A03B67" w:rsidRDefault="000A0EB4" w:rsidP="000A0EB4">
      <w:pPr>
        <w:pStyle w:val="FootnoteText"/>
      </w:pPr>
      <w:r w:rsidRPr="00A03B67">
        <w:rPr>
          <w:rStyle w:val="FootnoteReference"/>
        </w:rPr>
        <w:footnoteRef/>
      </w:r>
      <w:r w:rsidRPr="00A03B67">
        <w:t xml:space="preserve"> </w:t>
      </w:r>
      <w:r w:rsidRPr="00A03B67">
        <w:rPr>
          <w:i/>
          <w:iCs/>
        </w:rPr>
        <w:t>Annual Wage Review 2022</w:t>
      </w:r>
      <w:r w:rsidRPr="00A03B67">
        <w:rPr>
          <w:rFonts w:ascii="Symbol" w:eastAsia="Symbol" w:hAnsi="Symbol" w:cs="Symbol"/>
          <w:i/>
          <w:iCs/>
        </w:rPr>
        <w:t>-</w:t>
      </w:r>
      <w:r w:rsidRPr="00A03B67">
        <w:rPr>
          <w:i/>
          <w:iCs/>
        </w:rPr>
        <w:t>23</w:t>
      </w:r>
      <w:r w:rsidRPr="00A03B67" w:rsidDel="006826A3">
        <w:t xml:space="preserve"> </w:t>
      </w:r>
      <w:r w:rsidRPr="00A03B67">
        <w:t>[2023] FWCFC 3500 (2 June 2023) [30], citing the Revised Explanatory Memorandum, Fair Work Legislation Amendment (Secure Jobs, Better Pay) Bill</w:t>
      </w:r>
      <w:r w:rsidRPr="00A03B67">
        <w:rPr>
          <w:i/>
          <w:iCs/>
        </w:rPr>
        <w:t xml:space="preserve"> </w:t>
      </w:r>
      <w:r w:rsidRPr="00A03B67">
        <w:t>2022</w:t>
      </w:r>
      <w:r w:rsidR="006D0197">
        <w:t>,</w:t>
      </w:r>
      <w:r w:rsidRPr="00A03B67">
        <w:t xml:space="preserve"> [334].</w:t>
      </w:r>
    </w:p>
  </w:footnote>
  <w:footnote w:id="978">
    <w:p w14:paraId="47E8AC00" w14:textId="51B44FF2" w:rsidR="000A0EB4" w:rsidRPr="00A03B67" w:rsidRDefault="000A0EB4" w:rsidP="000A0EB4">
      <w:pPr>
        <w:pStyle w:val="FootnoteText"/>
        <w:rPr>
          <w:lang w:val="en-US"/>
        </w:rPr>
      </w:pPr>
      <w:r w:rsidRPr="00A03B67">
        <w:rPr>
          <w:rStyle w:val="FootnoteReference"/>
        </w:rPr>
        <w:footnoteRef/>
      </w:r>
      <w:r w:rsidRPr="00A03B67">
        <w:t xml:space="preserve"> </w:t>
      </w:r>
      <w:r w:rsidRPr="00A03B67">
        <w:rPr>
          <w:lang w:val="en-US"/>
        </w:rPr>
        <w:t>These estimates are based on data from the HILDA survey, wave 2023. See also Chapter 22.</w:t>
      </w:r>
    </w:p>
  </w:footnote>
  <w:footnote w:id="979">
    <w:p w14:paraId="441B68F2" w14:textId="06EACC8F" w:rsidR="000A0EB4" w:rsidRPr="00A03B67" w:rsidRDefault="000A0EB4" w:rsidP="000A0EB4">
      <w:pPr>
        <w:pStyle w:val="FootnoteText"/>
        <w:rPr>
          <w:i/>
        </w:rPr>
      </w:pPr>
      <w:r w:rsidRPr="00A03B67">
        <w:rPr>
          <w:rStyle w:val="FootnoteReference"/>
        </w:rPr>
        <w:footnoteRef/>
      </w:r>
      <w:r w:rsidRPr="00A03B67">
        <w:rPr>
          <w:i/>
          <w:iCs/>
        </w:rPr>
        <w:t>Annual Wage Review 2022</w:t>
      </w:r>
      <w:r w:rsidRPr="00A03B67">
        <w:rPr>
          <w:rFonts w:ascii="Symbol" w:eastAsia="Symbol" w:hAnsi="Symbol" w:cs="Symbol"/>
          <w:i/>
          <w:iCs/>
        </w:rPr>
        <w:t>-</w:t>
      </w:r>
      <w:r w:rsidRPr="00A03B67">
        <w:rPr>
          <w:i/>
          <w:iCs/>
        </w:rPr>
        <w:t>23</w:t>
      </w:r>
      <w:r w:rsidRPr="00A03B67">
        <w:rPr>
          <w:i/>
        </w:rPr>
        <w:t xml:space="preserve"> </w:t>
      </w:r>
      <w:r w:rsidRPr="00A03B67">
        <w:t>[2023] FWCFC 3500 (2 June 2023) [30], citing the Revised Explanatory Memorandum, Fair Work Legislation Amendment (Secure Jobs, Better Pay) Bill</w:t>
      </w:r>
      <w:r w:rsidRPr="00A03B67">
        <w:rPr>
          <w:i/>
          <w:iCs/>
        </w:rPr>
        <w:t xml:space="preserve"> </w:t>
      </w:r>
      <w:r w:rsidRPr="00A03B67">
        <w:t>2022</w:t>
      </w:r>
      <w:r w:rsidR="006D0197">
        <w:t>,</w:t>
      </w:r>
      <w:r w:rsidRPr="00A03B67">
        <w:t xml:space="preserve"> [26].</w:t>
      </w:r>
    </w:p>
  </w:footnote>
  <w:footnote w:id="980">
    <w:p w14:paraId="6A95E9CC" w14:textId="77777777" w:rsidR="000A0EB4" w:rsidRPr="00A03B67" w:rsidRDefault="000A0EB4" w:rsidP="000A0EB4">
      <w:pPr>
        <w:pStyle w:val="FootnoteText"/>
      </w:pPr>
      <w:r w:rsidRPr="00A03B67">
        <w:rPr>
          <w:rStyle w:val="FootnoteReference"/>
        </w:rPr>
        <w:footnoteRef/>
      </w:r>
      <w:r w:rsidRPr="00A03B67">
        <w:t xml:space="preserve"> </w:t>
      </w:r>
      <w:r w:rsidRPr="00A03B67">
        <w:rPr>
          <w:i/>
          <w:iCs/>
        </w:rPr>
        <w:t>Annual Wage Review 2022</w:t>
      </w:r>
      <w:r w:rsidRPr="00A03B67">
        <w:rPr>
          <w:rFonts w:ascii="Symbol" w:eastAsia="Symbol" w:hAnsi="Symbol" w:cs="Symbol"/>
          <w:i/>
          <w:iCs/>
        </w:rPr>
        <w:t>-</w:t>
      </w:r>
      <w:r w:rsidRPr="00A03B67">
        <w:rPr>
          <w:i/>
          <w:iCs/>
        </w:rPr>
        <w:t>23</w:t>
      </w:r>
      <w:r w:rsidRPr="00A03B67">
        <w:rPr>
          <w:i/>
        </w:rPr>
        <w:t xml:space="preserve"> </w:t>
      </w:r>
      <w:r w:rsidRPr="00A03B67">
        <w:t>[2023] FWCFC 3500 (2 June 2023) [30].</w:t>
      </w:r>
    </w:p>
  </w:footnote>
  <w:footnote w:id="981">
    <w:p w14:paraId="143727CE" w14:textId="6FAB9C0F" w:rsidR="000A0EB4" w:rsidRPr="00A03B67" w:rsidRDefault="000A0EB4" w:rsidP="000A0EB4">
      <w:pPr>
        <w:pStyle w:val="FootnoteText"/>
      </w:pPr>
      <w:r w:rsidRPr="00A03B67">
        <w:rPr>
          <w:rStyle w:val="FootnoteReference"/>
        </w:rPr>
        <w:footnoteRef/>
      </w:r>
      <w:r w:rsidRPr="00A03B67">
        <w:t xml:space="preserve"> </w:t>
      </w:r>
      <w:r w:rsidRPr="00A03B67">
        <w:rPr>
          <w:i/>
          <w:iCs/>
        </w:rPr>
        <w:t>Annual Wage Review 2023</w:t>
      </w:r>
      <w:r w:rsidRPr="00A03B67">
        <w:rPr>
          <w:rFonts w:ascii="Symbol" w:eastAsia="Symbol" w:hAnsi="Symbol" w:cs="Symbol"/>
          <w:i/>
          <w:iCs/>
        </w:rPr>
        <w:t>-</w:t>
      </w:r>
      <w:r w:rsidRPr="00A03B67">
        <w:rPr>
          <w:i/>
          <w:iCs/>
        </w:rPr>
        <w:t xml:space="preserve">24 </w:t>
      </w:r>
      <w:r w:rsidRPr="00A03B67">
        <w:t>[2024] FWCFB 3500 (3 June 2024) [133]</w:t>
      </w:r>
      <w:r w:rsidRPr="00A03B67">
        <w:rPr>
          <w:i/>
          <w:iCs/>
        </w:rPr>
        <w:t>.</w:t>
      </w:r>
    </w:p>
  </w:footnote>
  <w:footnote w:id="982">
    <w:p w14:paraId="22FEC482" w14:textId="77777777" w:rsidR="000A0EB4" w:rsidRPr="00A03B67" w:rsidRDefault="000A0EB4" w:rsidP="000A0EB4">
      <w:pPr>
        <w:pStyle w:val="FootnoteText"/>
      </w:pPr>
      <w:r w:rsidRPr="00A03B67">
        <w:rPr>
          <w:rStyle w:val="FootnoteReference"/>
        </w:rPr>
        <w:footnoteRef/>
      </w:r>
      <w:r w:rsidRPr="00A03B67">
        <w:t xml:space="preserve"> Fair Work Commission, </w:t>
      </w:r>
      <w:r w:rsidRPr="00A03B67">
        <w:rPr>
          <w:i/>
        </w:rPr>
        <w:t>Modern Awards Review 2023</w:t>
      </w:r>
      <w:r w:rsidRPr="00A03B67">
        <w:rPr>
          <w:rFonts w:ascii="Symbol" w:eastAsia="Symbol" w:hAnsi="Symbol" w:cs="Symbol"/>
          <w:i/>
        </w:rPr>
        <w:t>-</w:t>
      </w:r>
      <w:r w:rsidRPr="00A03B67">
        <w:rPr>
          <w:i/>
        </w:rPr>
        <w:t>24</w:t>
      </w:r>
      <w:r w:rsidRPr="00A03B67">
        <w:t xml:space="preserve"> (Report, 2024) [50] &lt;</w:t>
      </w:r>
      <w:r w:rsidRPr="00A03B67">
        <w:rPr>
          <w:strike/>
        </w:rPr>
        <w:t>h</w:t>
      </w:r>
      <w:r w:rsidRPr="00A03B67">
        <w:t>ttps://www.fwc.gov.au/documents/sites/award-review-2023-24/am202321-review-report-180724.pdf&gt;.</w:t>
      </w:r>
    </w:p>
  </w:footnote>
  <w:footnote w:id="983">
    <w:p w14:paraId="22C56B52" w14:textId="77777777" w:rsidR="000A0EB4" w:rsidRPr="00A03B67" w:rsidRDefault="000A0EB4" w:rsidP="000A0EB4">
      <w:pPr>
        <w:pStyle w:val="FootnoteText"/>
      </w:pPr>
      <w:r w:rsidRPr="00A03B67">
        <w:rPr>
          <w:rStyle w:val="FootnoteReference"/>
        </w:rPr>
        <w:footnoteRef/>
      </w:r>
      <w:r w:rsidRPr="00A03B67">
        <w:t xml:space="preserve"> </w:t>
      </w:r>
      <w:r w:rsidRPr="00A03B67">
        <w:rPr>
          <w:i/>
        </w:rPr>
        <w:t>Annual Wage Review 2022</w:t>
      </w:r>
      <w:r w:rsidRPr="00A03B67">
        <w:rPr>
          <w:rFonts w:ascii="Symbol" w:eastAsia="Symbol" w:hAnsi="Symbol" w:cs="Symbol"/>
          <w:i/>
        </w:rPr>
        <w:t>-</w:t>
      </w:r>
      <w:r w:rsidRPr="00A03B67">
        <w:rPr>
          <w:i/>
        </w:rPr>
        <w:t xml:space="preserve">23 </w:t>
      </w:r>
      <w:r w:rsidRPr="00A03B67">
        <w:t>[2023] FWCFC 3500 (2 June 2023) 10.</w:t>
      </w:r>
    </w:p>
  </w:footnote>
  <w:footnote w:id="984">
    <w:p w14:paraId="0AB2F632" w14:textId="77777777" w:rsidR="000A0EB4" w:rsidRPr="00A03B67" w:rsidRDefault="000A0EB4" w:rsidP="000A0EB4">
      <w:pPr>
        <w:pStyle w:val="FootnoteText"/>
      </w:pPr>
      <w:r w:rsidRPr="00A03B67">
        <w:rPr>
          <w:rStyle w:val="FootnoteReference"/>
        </w:rPr>
        <w:footnoteRef/>
      </w:r>
      <w:r w:rsidRPr="00A03B67">
        <w:t xml:space="preserve"> </w:t>
      </w:r>
      <w:r w:rsidRPr="00A03B67">
        <w:rPr>
          <w:i/>
          <w:iCs/>
        </w:rPr>
        <w:t>Annual Wage Review 2022</w:t>
      </w:r>
      <w:r w:rsidRPr="00A03B67">
        <w:rPr>
          <w:rFonts w:ascii="Symbol" w:eastAsia="Symbol" w:hAnsi="Symbol" w:cs="Symbol"/>
          <w:i/>
          <w:iCs/>
        </w:rPr>
        <w:t>-</w:t>
      </w:r>
      <w:r w:rsidRPr="00A03B67">
        <w:rPr>
          <w:i/>
          <w:iCs/>
        </w:rPr>
        <w:t xml:space="preserve">23 </w:t>
      </w:r>
      <w:r w:rsidRPr="00A03B67">
        <w:t>[2023] FWCFC 3500 (2 June 2023) [40].</w:t>
      </w:r>
    </w:p>
  </w:footnote>
  <w:footnote w:id="985">
    <w:p w14:paraId="0E9B81A2" w14:textId="77777777" w:rsidR="000A0EB4" w:rsidRPr="00A03B67" w:rsidRDefault="000A0EB4" w:rsidP="000A0EB4">
      <w:pPr>
        <w:pStyle w:val="FootnoteText"/>
      </w:pPr>
      <w:r w:rsidRPr="00A03B67">
        <w:rPr>
          <w:rStyle w:val="FootnoteReference"/>
        </w:rPr>
        <w:footnoteRef/>
      </w:r>
      <w:r w:rsidRPr="00A03B67">
        <w:t xml:space="preserve"> </w:t>
      </w:r>
      <w:r w:rsidRPr="00A03B67">
        <w:rPr>
          <w:i/>
          <w:iCs/>
        </w:rPr>
        <w:t>Annual Wage Review 2022</w:t>
      </w:r>
      <w:r w:rsidRPr="00A03B67">
        <w:rPr>
          <w:rFonts w:ascii="Symbol" w:eastAsia="Symbol" w:hAnsi="Symbol" w:cs="Symbol"/>
          <w:i/>
          <w:iCs/>
        </w:rPr>
        <w:t>-</w:t>
      </w:r>
      <w:r w:rsidRPr="00A03B67">
        <w:rPr>
          <w:i/>
          <w:iCs/>
        </w:rPr>
        <w:t xml:space="preserve">23 </w:t>
      </w:r>
      <w:r w:rsidRPr="00A03B67">
        <w:t>[2023] FWCFC 3500 (2 June 2023) [174];</w:t>
      </w:r>
      <w:r w:rsidRPr="00A03B67">
        <w:rPr>
          <w:rFonts w:cstheme="minorHAnsi"/>
        </w:rPr>
        <w:t xml:space="preserve"> </w:t>
      </w:r>
      <w:r w:rsidRPr="00A03B67">
        <w:rPr>
          <w:rFonts w:cstheme="minorHAnsi"/>
          <w:i/>
          <w:iCs/>
        </w:rPr>
        <w:t xml:space="preserve">Fair Work Act 2009 </w:t>
      </w:r>
      <w:r w:rsidRPr="00A03B67">
        <w:rPr>
          <w:rFonts w:cstheme="minorHAnsi"/>
        </w:rPr>
        <w:t>(Cth) s 284(1)(aa).</w:t>
      </w:r>
    </w:p>
  </w:footnote>
  <w:footnote w:id="986">
    <w:p w14:paraId="7EC8D06E" w14:textId="58581389" w:rsidR="000A0EB4" w:rsidRPr="00A03B67" w:rsidRDefault="000A0EB4" w:rsidP="000A0EB4">
      <w:pPr>
        <w:pStyle w:val="FootnoteText"/>
      </w:pPr>
      <w:r w:rsidRPr="00A03B67">
        <w:rPr>
          <w:rStyle w:val="FootnoteReference"/>
        </w:rPr>
        <w:footnoteRef/>
      </w:r>
      <w:r w:rsidRPr="00A03B67">
        <w:t xml:space="preserve"> </w:t>
      </w:r>
      <w:r w:rsidRPr="00A03B67">
        <w:rPr>
          <w:i/>
          <w:iCs/>
        </w:rPr>
        <w:t>Annual Wage Review 2023</w:t>
      </w:r>
      <w:r w:rsidRPr="00A03B67">
        <w:rPr>
          <w:rFonts w:ascii="Symbol" w:eastAsia="Symbol" w:hAnsi="Symbol" w:cs="Symbol"/>
          <w:i/>
          <w:iCs/>
        </w:rPr>
        <w:t>-</w:t>
      </w:r>
      <w:r w:rsidRPr="00A03B67">
        <w:rPr>
          <w:i/>
          <w:iCs/>
        </w:rPr>
        <w:t xml:space="preserve">24 </w:t>
      </w:r>
      <w:r w:rsidRPr="00A03B67">
        <w:t>[2024] FWCFB 3500 (3 June 2024) [133].</w:t>
      </w:r>
    </w:p>
  </w:footnote>
  <w:footnote w:id="987">
    <w:p w14:paraId="78F10F15" w14:textId="31515296" w:rsidR="000A0EB4" w:rsidRPr="00A03B67" w:rsidRDefault="000A0EB4" w:rsidP="000A0EB4">
      <w:pPr>
        <w:pStyle w:val="FootnoteText"/>
      </w:pPr>
      <w:r w:rsidRPr="00A03B67">
        <w:rPr>
          <w:rStyle w:val="FootnoteReference"/>
        </w:rPr>
        <w:footnoteRef/>
      </w:r>
      <w:r w:rsidRPr="00A03B67">
        <w:t xml:space="preserve"> </w:t>
      </w:r>
      <w:r w:rsidRPr="00A03B67">
        <w:rPr>
          <w:i/>
          <w:iCs/>
        </w:rPr>
        <w:t>Annual Wage Review 2023</w:t>
      </w:r>
      <w:r w:rsidRPr="00A03B67">
        <w:rPr>
          <w:rFonts w:ascii="Symbol" w:eastAsia="Symbol" w:hAnsi="Symbol" w:cs="Symbol"/>
          <w:i/>
          <w:iCs/>
        </w:rPr>
        <w:t>-</w:t>
      </w:r>
      <w:r w:rsidRPr="00A03B67">
        <w:rPr>
          <w:i/>
          <w:iCs/>
        </w:rPr>
        <w:t xml:space="preserve">24 </w:t>
      </w:r>
      <w:r w:rsidRPr="00A03B67">
        <w:t>[2024] FWCFB 3500 (3 June 2024) [134]</w:t>
      </w:r>
      <w:r w:rsidRPr="00A03B67">
        <w:rPr>
          <w:rFonts w:ascii="Symbol" w:eastAsia="Symbol" w:hAnsi="Symbol" w:cs="Symbol"/>
        </w:rPr>
        <w:t>-</w:t>
      </w:r>
      <w:r w:rsidRPr="00A03B67">
        <w:t>[135].</w:t>
      </w:r>
    </w:p>
  </w:footnote>
  <w:footnote w:id="988">
    <w:p w14:paraId="52DC9409" w14:textId="50221499" w:rsidR="000A0EB4" w:rsidRPr="00A03B67" w:rsidRDefault="000A0EB4" w:rsidP="000A0EB4">
      <w:pPr>
        <w:pStyle w:val="FootnoteText"/>
      </w:pPr>
      <w:r w:rsidRPr="00A03B67">
        <w:rPr>
          <w:rStyle w:val="FootnoteReference"/>
        </w:rPr>
        <w:footnoteRef/>
      </w:r>
      <w:r w:rsidRPr="00A03B67">
        <w:t xml:space="preserve"> </w:t>
      </w:r>
      <w:r w:rsidRPr="00A03B67">
        <w:rPr>
          <w:i/>
          <w:iCs/>
        </w:rPr>
        <w:t>Annual Wage Review 2023</w:t>
      </w:r>
      <w:r w:rsidRPr="00A03B67">
        <w:rPr>
          <w:rFonts w:ascii="Symbol" w:eastAsia="Symbol" w:hAnsi="Symbol" w:cs="Symbol"/>
          <w:i/>
          <w:iCs/>
        </w:rPr>
        <w:t>-</w:t>
      </w:r>
      <w:r w:rsidRPr="00A03B67">
        <w:rPr>
          <w:i/>
          <w:iCs/>
        </w:rPr>
        <w:t xml:space="preserve">24 </w:t>
      </w:r>
      <w:r w:rsidRPr="00A03B67">
        <w:t>[2024] FWCFB 3500 (3 June 2024) [8].</w:t>
      </w:r>
    </w:p>
  </w:footnote>
  <w:footnote w:id="989">
    <w:p w14:paraId="7327FD66" w14:textId="4A6B534B" w:rsidR="000A0EB4" w:rsidRPr="00A03B67" w:rsidRDefault="000A0EB4" w:rsidP="000A0EB4">
      <w:pPr>
        <w:pStyle w:val="FootnoteText"/>
      </w:pPr>
      <w:r w:rsidRPr="00A03B67">
        <w:rPr>
          <w:rStyle w:val="FootnoteReference"/>
        </w:rPr>
        <w:footnoteRef/>
      </w:r>
      <w:r w:rsidRPr="00A03B67">
        <w:t xml:space="preserve"> </w:t>
      </w:r>
      <w:r w:rsidRPr="00A03B67">
        <w:rPr>
          <w:i/>
          <w:iCs/>
        </w:rPr>
        <w:t>Annual Wage Review 2023</w:t>
      </w:r>
      <w:r w:rsidRPr="00A03B67">
        <w:rPr>
          <w:rFonts w:ascii="Symbol" w:eastAsia="Symbol" w:hAnsi="Symbol" w:cs="Symbol"/>
          <w:i/>
          <w:iCs/>
        </w:rPr>
        <w:t>-</w:t>
      </w:r>
      <w:r w:rsidRPr="00A03B67">
        <w:rPr>
          <w:i/>
          <w:iCs/>
        </w:rPr>
        <w:t xml:space="preserve">24 </w:t>
      </w:r>
      <w:r w:rsidRPr="00A03B67">
        <w:t>[2024] FWCFB 3500 (3 June 2024) [5].</w:t>
      </w:r>
    </w:p>
  </w:footnote>
  <w:footnote w:id="990">
    <w:p w14:paraId="603133FB" w14:textId="6B021E58" w:rsidR="000A0EB4" w:rsidRPr="00A03B67" w:rsidRDefault="000A0EB4" w:rsidP="000A0EB4">
      <w:pPr>
        <w:pStyle w:val="FootnoteText"/>
      </w:pPr>
      <w:r w:rsidRPr="00A03B67">
        <w:rPr>
          <w:rStyle w:val="FootnoteReference"/>
        </w:rPr>
        <w:footnoteRef/>
      </w:r>
      <w:r w:rsidRPr="00A03B67">
        <w:t xml:space="preserve"> </w:t>
      </w:r>
      <w:r w:rsidRPr="00A03B67">
        <w:rPr>
          <w:i/>
          <w:iCs/>
        </w:rPr>
        <w:t>Annual Wage Review 2023</w:t>
      </w:r>
      <w:r w:rsidRPr="00A03B67">
        <w:rPr>
          <w:rFonts w:ascii="Symbol" w:eastAsia="Symbol" w:hAnsi="Symbol" w:cs="Symbol"/>
          <w:i/>
          <w:iCs/>
        </w:rPr>
        <w:t>-</w:t>
      </w:r>
      <w:r w:rsidRPr="00A03B67">
        <w:rPr>
          <w:i/>
          <w:iCs/>
        </w:rPr>
        <w:t xml:space="preserve">24 </w:t>
      </w:r>
      <w:r w:rsidRPr="00A03B67">
        <w:t>[2024] FWCFB 3500 (3 June 2024) [10].</w:t>
      </w:r>
    </w:p>
  </w:footnote>
  <w:footnote w:id="991">
    <w:p w14:paraId="5AA3FCD3" w14:textId="468F7698" w:rsidR="000A0EB4" w:rsidRPr="00A03B67" w:rsidRDefault="000A0EB4" w:rsidP="000A0EB4">
      <w:pPr>
        <w:pStyle w:val="FootnoteText"/>
      </w:pPr>
      <w:r w:rsidRPr="00A03B67">
        <w:rPr>
          <w:rStyle w:val="FootnoteReference"/>
        </w:rPr>
        <w:footnoteRef/>
      </w:r>
      <w:r w:rsidRPr="00A03B67">
        <w:t xml:space="preserve"> </w:t>
      </w:r>
      <w:r w:rsidRPr="00A03B67">
        <w:rPr>
          <w:i/>
          <w:iCs/>
        </w:rPr>
        <w:t xml:space="preserve">Work Value Case </w:t>
      </w:r>
      <w:r w:rsidRPr="00A03B67">
        <w:t>[2023] FWCFB 93 (18 May 2023) [171].</w:t>
      </w:r>
    </w:p>
  </w:footnote>
  <w:footnote w:id="992">
    <w:p w14:paraId="6026FFEB" w14:textId="52CA8274" w:rsidR="000A0EB4" w:rsidRPr="00A03B67" w:rsidRDefault="000A0EB4" w:rsidP="000A0EB4">
      <w:pPr>
        <w:pStyle w:val="FootnoteText"/>
      </w:pPr>
      <w:r w:rsidRPr="00A03B67">
        <w:rPr>
          <w:rStyle w:val="FootnoteReference"/>
        </w:rPr>
        <w:footnoteRef/>
      </w:r>
      <w:r w:rsidRPr="00A03B67">
        <w:t xml:space="preserve"> The first step in the Work and Care priority topic was the release of a discussion paper: Fair Work Commission, </w:t>
      </w:r>
      <w:r w:rsidRPr="00A03B67">
        <w:rPr>
          <w:i/>
          <w:iCs/>
        </w:rPr>
        <w:t>Discussion Paper: Work and Care</w:t>
      </w:r>
      <w:r w:rsidRPr="00A03B67">
        <w:t xml:space="preserve"> (Discussion Paper 29, January 2024) &lt;https://www.fwc.gov.au/documents/sites/award-review-2023-24/discussion-paper-work-and-care-290123.pdf&gt;. The next step involved the release of a literature review on work and care: M Smith and S Charlesworth, </w:t>
      </w:r>
      <w:r w:rsidRPr="00A03B67">
        <w:rPr>
          <w:i/>
          <w:iCs/>
        </w:rPr>
        <w:t>Literature Review for the Modern Awards Review</w:t>
      </w:r>
      <w:r w:rsidRPr="00A03B67">
        <w:t xml:space="preserve"> (March 2024) &lt;https://www.fwc.gov.au/documents/sites/award-review-2023-24/am2023-21-literature-review-work-care-2024-03-08.pdf&gt;. The FWC also convened a consultation conference and undertook survey of employers aimed at gathering information about the potential to vary modern award provisions to increase flexibility for employees balancing work and care responsibilities. The final report of the Modern Awards Review 2023</w:t>
      </w:r>
      <w:r w:rsidRPr="00A03B67">
        <w:rPr>
          <w:rFonts w:ascii="Symbol" w:eastAsia="Symbol" w:hAnsi="Symbol" w:cs="Symbol"/>
        </w:rPr>
        <w:t>-</w:t>
      </w:r>
      <w:r w:rsidRPr="00A03B67">
        <w:t xml:space="preserve">24 was released 18 July 2024: Fair Work Commission, </w:t>
      </w:r>
      <w:r w:rsidRPr="00A03B67">
        <w:rPr>
          <w:i/>
          <w:iCs/>
        </w:rPr>
        <w:t>Modern Awards Review 2023</w:t>
      </w:r>
      <w:r w:rsidRPr="00A03B67">
        <w:rPr>
          <w:rFonts w:ascii="Symbol" w:eastAsia="Symbol" w:hAnsi="Symbol" w:cs="Symbol"/>
          <w:i/>
          <w:iCs/>
        </w:rPr>
        <w:t>-</w:t>
      </w:r>
      <w:r w:rsidRPr="00A03B67">
        <w:rPr>
          <w:i/>
          <w:iCs/>
        </w:rPr>
        <w:t>24</w:t>
      </w:r>
      <w:r w:rsidRPr="00A03B67">
        <w:t xml:space="preserve"> (Report, 2024) &lt;https://www.fwc.gov.au/documents/sites/award-review-2023-24/am202321-review-report-180724.pdf&gt;.</w:t>
      </w:r>
    </w:p>
  </w:footnote>
  <w:footnote w:id="993">
    <w:p w14:paraId="5334CF55" w14:textId="24D28104" w:rsidR="000A0EB4" w:rsidRPr="00A03B67" w:rsidRDefault="000A0EB4" w:rsidP="000A0EB4">
      <w:pPr>
        <w:pStyle w:val="FootnoteText"/>
      </w:pPr>
      <w:r w:rsidRPr="00A03B67">
        <w:rPr>
          <w:rStyle w:val="FootnoteReference"/>
        </w:rPr>
        <w:footnoteRef/>
      </w:r>
      <w:r w:rsidRPr="00A03B67">
        <w:t xml:space="preserve"> Fair Work Commission, </w:t>
      </w:r>
      <w:r w:rsidRPr="00A03B67">
        <w:rPr>
          <w:i/>
          <w:iCs/>
        </w:rPr>
        <w:t>Modern Awards Review 2023</w:t>
      </w:r>
      <w:r w:rsidRPr="00A03B67">
        <w:rPr>
          <w:rFonts w:ascii="Symbol" w:eastAsia="Symbol" w:hAnsi="Symbol" w:cs="Symbol"/>
          <w:i/>
          <w:iCs/>
        </w:rPr>
        <w:t>-</w:t>
      </w:r>
      <w:r w:rsidRPr="00A03B67">
        <w:rPr>
          <w:i/>
          <w:iCs/>
        </w:rPr>
        <w:t>24</w:t>
      </w:r>
      <w:r w:rsidRPr="00A03B67">
        <w:t xml:space="preserve"> (Report, 2024) &lt;https://www.fwc.gov.au/documents/sites/award-review-2023-24/am202321-review-report-180724.pdf&gt;.</w:t>
      </w:r>
    </w:p>
  </w:footnote>
  <w:footnote w:id="994">
    <w:p w14:paraId="2C02DE79" w14:textId="77777777" w:rsidR="000A0EB4" w:rsidRPr="00A03B67" w:rsidRDefault="000A0EB4" w:rsidP="000A0EB4">
      <w:pPr>
        <w:pStyle w:val="FootnoteText"/>
      </w:pPr>
      <w:r w:rsidRPr="00A03B67">
        <w:rPr>
          <w:rStyle w:val="FootnoteReference"/>
        </w:rPr>
        <w:footnoteRef/>
      </w:r>
      <w:r w:rsidRPr="00A03B67">
        <w:t xml:space="preserve"> Ai Group submission, 80; Australian Chamber of Commerce and Industry submission, 66.</w:t>
      </w:r>
    </w:p>
  </w:footnote>
  <w:footnote w:id="995">
    <w:p w14:paraId="051DA5B2" w14:textId="77777777" w:rsidR="000A0EB4" w:rsidRPr="00A03B67" w:rsidRDefault="000A0EB4" w:rsidP="000A0EB4">
      <w:pPr>
        <w:pStyle w:val="FootnoteText"/>
        <w:tabs>
          <w:tab w:val="left" w:pos="3015"/>
        </w:tabs>
      </w:pPr>
      <w:r w:rsidRPr="00A03B67">
        <w:rPr>
          <w:rStyle w:val="FootnoteReference"/>
        </w:rPr>
        <w:footnoteRef/>
      </w:r>
      <w:r w:rsidRPr="00A03B67">
        <w:t xml:space="preserve"> Australian Chamber of Commerce and Industry submission, 66.</w:t>
      </w:r>
    </w:p>
  </w:footnote>
  <w:footnote w:id="996">
    <w:p w14:paraId="5D6A5A0E" w14:textId="7EB2E0D2" w:rsidR="000A0EB4" w:rsidRPr="00A03B67" w:rsidRDefault="000A0EB4" w:rsidP="000A0EB4">
      <w:pPr>
        <w:pStyle w:val="FootnoteText"/>
      </w:pPr>
      <w:r w:rsidRPr="00A03B67">
        <w:rPr>
          <w:rStyle w:val="FootnoteReference"/>
        </w:rPr>
        <w:footnoteRef/>
      </w:r>
      <w:r w:rsidRPr="00A03B67">
        <w:t xml:space="preserve"> Australian Chamber of Commerce and Industry </w:t>
      </w:r>
      <w:r w:rsidR="009A3637">
        <w:t xml:space="preserve">(ACCI) </w:t>
      </w:r>
      <w:r w:rsidRPr="00A03B67">
        <w:t xml:space="preserve">submission, 66; Ai Group submission, 80; </w:t>
      </w:r>
      <w:r>
        <w:t xml:space="preserve">Anonymous </w:t>
      </w:r>
      <w:r w:rsidRPr="00A03B67">
        <w:t>submission</w:t>
      </w:r>
      <w:r>
        <w:t>, 4</w:t>
      </w:r>
      <w:r w:rsidRPr="00A03B67">
        <w:t>.</w:t>
      </w:r>
    </w:p>
  </w:footnote>
  <w:footnote w:id="997">
    <w:p w14:paraId="540DB45C" w14:textId="659EC6FB" w:rsidR="000A0EB4" w:rsidRDefault="000A0EB4" w:rsidP="000A0EB4">
      <w:pPr>
        <w:pStyle w:val="FootnoteText"/>
      </w:pPr>
      <w:r>
        <w:rPr>
          <w:rStyle w:val="FootnoteReference"/>
        </w:rPr>
        <w:footnoteRef/>
      </w:r>
      <w:r>
        <w:t xml:space="preserve"> </w:t>
      </w:r>
      <w:r w:rsidRPr="00A03B67">
        <w:t>Ai Group submission</w:t>
      </w:r>
      <w:r>
        <w:t xml:space="preserve"> in response to </w:t>
      </w:r>
      <w:r w:rsidR="006D0197">
        <w:t>d</w:t>
      </w:r>
      <w:r>
        <w:t xml:space="preserve">raft </w:t>
      </w:r>
      <w:r w:rsidR="006D0197">
        <w:t>r</w:t>
      </w:r>
      <w:r>
        <w:t>eport, 52 [227] and 51 [220].</w:t>
      </w:r>
    </w:p>
  </w:footnote>
  <w:footnote w:id="998">
    <w:p w14:paraId="2CCD0F21" w14:textId="1AA3FF5D" w:rsidR="000A0EB4" w:rsidRDefault="000A0EB4" w:rsidP="000A0EB4">
      <w:pPr>
        <w:pStyle w:val="FootnoteText"/>
      </w:pPr>
      <w:r>
        <w:rPr>
          <w:rStyle w:val="FootnoteReference"/>
        </w:rPr>
        <w:footnoteRef/>
      </w:r>
      <w:r>
        <w:t xml:space="preserve"> ACCI </w:t>
      </w:r>
      <w:r w:rsidRPr="00A03B67">
        <w:t>submission</w:t>
      </w:r>
      <w:r>
        <w:t xml:space="preserve"> in response to </w:t>
      </w:r>
      <w:r w:rsidR="006D0197">
        <w:t>d</w:t>
      </w:r>
      <w:r>
        <w:t xml:space="preserve">raft </w:t>
      </w:r>
      <w:r w:rsidR="006D0197">
        <w:t>r</w:t>
      </w:r>
      <w:r>
        <w:t xml:space="preserve">eport, 22 </w:t>
      </w:r>
      <w:r w:rsidR="006D0197">
        <w:t>[</w:t>
      </w:r>
      <w:r>
        <w:t>62</w:t>
      </w:r>
      <w:r w:rsidR="006D0197">
        <w:t>]</w:t>
      </w:r>
      <w:r>
        <w:t xml:space="preserve">; HR Nicholls society </w:t>
      </w:r>
      <w:r w:rsidRPr="00A03B67">
        <w:t>submission</w:t>
      </w:r>
      <w:r>
        <w:t xml:space="preserve"> in response to </w:t>
      </w:r>
      <w:r w:rsidR="006D0197">
        <w:t>d</w:t>
      </w:r>
      <w:r>
        <w:t xml:space="preserve">raft </w:t>
      </w:r>
      <w:r w:rsidR="006D0197">
        <w:t>r</w:t>
      </w:r>
      <w:r>
        <w:t>eport, 3.</w:t>
      </w:r>
    </w:p>
  </w:footnote>
  <w:footnote w:id="999">
    <w:p w14:paraId="51CA396F" w14:textId="28FB8E9F" w:rsidR="000A0EB4" w:rsidRPr="00A03B67" w:rsidRDefault="000A0EB4" w:rsidP="000A0EB4">
      <w:pPr>
        <w:pStyle w:val="FootnoteText"/>
        <w:rPr>
          <w:lang w:val="en-US"/>
        </w:rPr>
      </w:pPr>
      <w:r w:rsidRPr="00A03B67">
        <w:rPr>
          <w:rStyle w:val="FootnoteReference"/>
        </w:rPr>
        <w:footnoteRef/>
      </w:r>
      <w:r w:rsidRPr="00A03B67">
        <w:t xml:space="preserve"> </w:t>
      </w:r>
      <w:r w:rsidRPr="00A03B67">
        <w:rPr>
          <w:lang w:val="en-US"/>
        </w:rPr>
        <w:t xml:space="preserve">M Smith and G Whitehouse, ‘Wage-setting and Gender Pay Equality in Australia: Advances, Retreats and Future Prospects’ (2020) 62(4) </w:t>
      </w:r>
      <w:r w:rsidRPr="00A03B67">
        <w:rPr>
          <w:i/>
          <w:iCs/>
          <w:lang w:val="en-US"/>
        </w:rPr>
        <w:t>Journal of Industrial Relations</w:t>
      </w:r>
      <w:r w:rsidRPr="00A03B67">
        <w:rPr>
          <w:lang w:val="en-US"/>
        </w:rPr>
        <w:t xml:space="preserve"> 533</w:t>
      </w:r>
      <w:r w:rsidRPr="00A03B67">
        <w:rPr>
          <w:rFonts w:ascii="Symbol" w:eastAsia="Symbol" w:hAnsi="Symbol" w:cs="Symbol"/>
          <w:lang w:val="en-US"/>
        </w:rPr>
        <w:t>-</w:t>
      </w:r>
      <w:r w:rsidRPr="00A03B67">
        <w:rPr>
          <w:lang w:val="en-US"/>
        </w:rPr>
        <w:t>559, 533.</w:t>
      </w:r>
    </w:p>
  </w:footnote>
  <w:footnote w:id="1000">
    <w:p w14:paraId="560A25FF" w14:textId="77777777" w:rsidR="000A0EB4" w:rsidRPr="00A03B67" w:rsidRDefault="000A0EB4" w:rsidP="000A0EB4">
      <w:pPr>
        <w:pStyle w:val="FootnoteText"/>
      </w:pPr>
      <w:r w:rsidRPr="00A03B67">
        <w:rPr>
          <w:rStyle w:val="FootnoteReference"/>
        </w:rPr>
        <w:footnoteRef/>
      </w:r>
      <w:r w:rsidRPr="00A03B67">
        <w:t xml:space="preserve"> </w:t>
      </w:r>
      <w:r w:rsidRPr="00A03B67">
        <w:rPr>
          <w:i/>
          <w:iCs/>
        </w:rPr>
        <w:t xml:space="preserve">Fair Work Legislation Amendment (Secure Jobs, Better Pay) Act 2022 </w:t>
      </w:r>
      <w:r w:rsidRPr="00A03B67">
        <w:t xml:space="preserve">(Cth) Pt 5; Commonwealth, </w:t>
      </w:r>
      <w:r w:rsidRPr="00A03B67">
        <w:rPr>
          <w:i/>
          <w:iCs/>
        </w:rPr>
        <w:t xml:space="preserve">Parliamentary Debates, </w:t>
      </w:r>
      <w:r w:rsidRPr="00A03B67">
        <w:t>House of Representatives, 27 October 2022 (Tony Burke, Minister for Employment and Workplace Relations).</w:t>
      </w:r>
    </w:p>
  </w:footnote>
  <w:footnote w:id="1001">
    <w:p w14:paraId="5E609D33" w14:textId="6CA2CBD8" w:rsidR="000A0EB4" w:rsidRPr="00A03B67" w:rsidRDefault="000A0EB4" w:rsidP="000A0EB4">
      <w:pPr>
        <w:pStyle w:val="FootnoteText"/>
      </w:pPr>
      <w:r w:rsidRPr="00A03B67">
        <w:rPr>
          <w:rStyle w:val="FootnoteReference"/>
        </w:rPr>
        <w:footnoteRef/>
      </w:r>
      <w:r w:rsidRPr="00A03B67">
        <w:t xml:space="preserve"> </w:t>
      </w:r>
      <w:r w:rsidRPr="00A03B67">
        <w:rPr>
          <w:i/>
          <w:iCs/>
        </w:rPr>
        <w:t xml:space="preserve">Fair Work Legislation Amendment (Secure Jobs, Better Pay) Act 2022 </w:t>
      </w:r>
      <w:r w:rsidRPr="00A03B67">
        <w:t xml:space="preserve">(Cth) Pt 5; Commonwealth, </w:t>
      </w:r>
      <w:r w:rsidRPr="00A03B67">
        <w:rPr>
          <w:i/>
          <w:iCs/>
        </w:rPr>
        <w:t xml:space="preserve">Parliamentary Debates, </w:t>
      </w:r>
      <w:r w:rsidRPr="00A03B67">
        <w:t>House of Representatives, 27 October 2022 (Tony Burke, Minister for Employment and Workplace Relations).</w:t>
      </w:r>
    </w:p>
  </w:footnote>
  <w:footnote w:id="1002">
    <w:p w14:paraId="3B7B8724" w14:textId="778ECF26" w:rsidR="000A0EB4" w:rsidRPr="00A03B67" w:rsidRDefault="000A0EB4" w:rsidP="000A0EB4">
      <w:pPr>
        <w:pStyle w:val="FootnoteText"/>
      </w:pPr>
      <w:r w:rsidRPr="00A03B67">
        <w:rPr>
          <w:rStyle w:val="FootnoteReference"/>
        </w:rPr>
        <w:footnoteRef/>
      </w:r>
      <w:r w:rsidRPr="00A03B67">
        <w:t xml:space="preserve"> </w:t>
      </w:r>
      <w:r w:rsidRPr="00A03B67">
        <w:rPr>
          <w:i/>
          <w:iCs/>
        </w:rPr>
        <w:t xml:space="preserve">Fair Work Act 2009 </w:t>
      </w:r>
      <w:r w:rsidRPr="00A03B67">
        <w:t>(Cth) s 302(2).</w:t>
      </w:r>
    </w:p>
  </w:footnote>
  <w:footnote w:id="1003">
    <w:p w14:paraId="0CFC5336" w14:textId="77777777" w:rsidR="000A0EB4" w:rsidRPr="00A03B67" w:rsidRDefault="000A0EB4" w:rsidP="000A0EB4">
      <w:pPr>
        <w:pStyle w:val="FootnoteText"/>
      </w:pPr>
      <w:r w:rsidRPr="00A03B67">
        <w:rPr>
          <w:rStyle w:val="FootnoteReference"/>
        </w:rPr>
        <w:footnoteRef/>
      </w:r>
      <w:r w:rsidRPr="00A03B67">
        <w:t xml:space="preserve"> E</w:t>
      </w:r>
      <w:r w:rsidRPr="00A03B67">
        <w:rPr>
          <w:i/>
          <w:iCs/>
        </w:rPr>
        <w:t xml:space="preserve">qual Remuneration Decision </w:t>
      </w:r>
      <w:r w:rsidRPr="00A03B67">
        <w:rPr>
          <w:rFonts w:ascii="Symbol" w:eastAsia="Symbol" w:hAnsi="Symbol" w:cs="Symbol"/>
          <w:i/>
          <w:iCs/>
        </w:rPr>
        <w:t>-</w:t>
      </w:r>
      <w:r w:rsidRPr="00A03B67">
        <w:rPr>
          <w:i/>
          <w:iCs/>
        </w:rPr>
        <w:t xml:space="preserve"> Children‘s services and Early childhood education industry </w:t>
      </w:r>
      <w:r w:rsidRPr="00A03B67">
        <w:t>[2015] FWCFB 8200 [292]</w:t>
      </w:r>
      <w:r w:rsidRPr="00A03B67">
        <w:rPr>
          <w:rFonts w:ascii="Symbol" w:eastAsia="Symbol" w:hAnsi="Symbol" w:cs="Symbol"/>
        </w:rPr>
        <w:t>-</w:t>
      </w:r>
      <w:r w:rsidRPr="00A03B67">
        <w:t>[294].</w:t>
      </w:r>
    </w:p>
  </w:footnote>
  <w:footnote w:id="1004">
    <w:p w14:paraId="4710FE02" w14:textId="77777777" w:rsidR="000A0EB4" w:rsidRPr="00A03B67" w:rsidRDefault="000A0EB4" w:rsidP="000A0EB4">
      <w:pPr>
        <w:pStyle w:val="FootnoteText"/>
      </w:pPr>
      <w:r w:rsidRPr="00A03B67">
        <w:rPr>
          <w:rStyle w:val="FootnoteReference"/>
        </w:rPr>
        <w:footnoteRef/>
      </w:r>
      <w:r w:rsidRPr="00A03B67">
        <w:rPr>
          <w:i/>
          <w:iCs/>
        </w:rPr>
        <w:t xml:space="preserve"> Work Value Case </w:t>
      </w:r>
      <w:r w:rsidRPr="00A03B67">
        <w:t>[2022] FWCFB 200 (4 Nov 2022) [1048]. Note: the pay increases apply to workers paid according to the relevant awards.</w:t>
      </w:r>
    </w:p>
  </w:footnote>
  <w:footnote w:id="1005">
    <w:p w14:paraId="71ED5FD3" w14:textId="77777777" w:rsidR="000A0EB4" w:rsidRPr="00A03B67" w:rsidRDefault="000A0EB4" w:rsidP="000A0EB4">
      <w:pPr>
        <w:pStyle w:val="FootnoteText"/>
      </w:pPr>
      <w:r w:rsidRPr="00A03B67">
        <w:rPr>
          <w:rStyle w:val="FootnoteReference"/>
        </w:rPr>
        <w:footnoteRef/>
      </w:r>
      <w:r w:rsidRPr="00A03B67">
        <w:t xml:space="preserve"> </w:t>
      </w:r>
      <w:r w:rsidRPr="00A03B67">
        <w:rPr>
          <w:i/>
          <w:iCs/>
        </w:rPr>
        <w:t xml:space="preserve">Work Value Case </w:t>
      </w:r>
      <w:r w:rsidRPr="00A03B67">
        <w:t xml:space="preserve">[2023] FWCFB 40, [17]; </w:t>
      </w:r>
      <w:r w:rsidRPr="00A03B67">
        <w:rPr>
          <w:i/>
          <w:iCs/>
        </w:rPr>
        <w:t xml:space="preserve">Work Value Case </w:t>
      </w:r>
      <w:r w:rsidRPr="00A03B67">
        <w:t>[2024] FWCFB 150, [197].</w:t>
      </w:r>
    </w:p>
  </w:footnote>
  <w:footnote w:id="1006">
    <w:p w14:paraId="3A821E55" w14:textId="77777777" w:rsidR="000A0EB4" w:rsidRPr="00A03B67" w:rsidRDefault="000A0EB4" w:rsidP="000A0EB4">
      <w:pPr>
        <w:pStyle w:val="FootnoteText"/>
      </w:pPr>
      <w:r w:rsidRPr="00A03B67">
        <w:rPr>
          <w:rStyle w:val="FootnoteReference"/>
        </w:rPr>
        <w:footnoteRef/>
      </w:r>
      <w:r w:rsidRPr="00A03B67">
        <w:t xml:space="preserve"> </w:t>
      </w:r>
      <w:r w:rsidRPr="00A03B67">
        <w:rPr>
          <w:i/>
          <w:iCs/>
        </w:rPr>
        <w:t>Annual Wage Review 2023</w:t>
      </w:r>
      <w:r w:rsidRPr="00A03B67">
        <w:rPr>
          <w:rFonts w:ascii="Symbol" w:eastAsia="Symbol" w:hAnsi="Symbol" w:cs="Symbol"/>
          <w:i/>
          <w:iCs/>
        </w:rPr>
        <w:t>-</w:t>
      </w:r>
      <w:r w:rsidRPr="00A03B67">
        <w:rPr>
          <w:i/>
          <w:iCs/>
        </w:rPr>
        <w:t xml:space="preserve">24 </w:t>
      </w:r>
      <w:r w:rsidRPr="00A03B67">
        <w:t>[2024] FWCFB 3500 (3 June 2024) [10].</w:t>
      </w:r>
    </w:p>
  </w:footnote>
  <w:footnote w:id="1007">
    <w:p w14:paraId="2CD2864F" w14:textId="2362A1AD" w:rsidR="000A0EB4" w:rsidRPr="00A03B67" w:rsidRDefault="000A0EB4" w:rsidP="000A0EB4">
      <w:pPr>
        <w:pStyle w:val="FootnoteText"/>
      </w:pPr>
      <w:r w:rsidRPr="00A03B67">
        <w:rPr>
          <w:rStyle w:val="FootnoteReference"/>
        </w:rPr>
        <w:footnoteRef/>
      </w:r>
      <w:r w:rsidRPr="00A03B67">
        <w:t xml:space="preserve"> Hearings were conducted through December 2024.</w:t>
      </w:r>
    </w:p>
  </w:footnote>
  <w:footnote w:id="1008">
    <w:p w14:paraId="23775FF7" w14:textId="77777777" w:rsidR="000A0EB4" w:rsidRPr="00A03B67" w:rsidRDefault="000A0EB4" w:rsidP="000A0EB4">
      <w:pPr>
        <w:pStyle w:val="FootnoteText"/>
      </w:pPr>
      <w:r w:rsidRPr="00A03B67">
        <w:rPr>
          <w:rStyle w:val="FootnoteReference"/>
        </w:rPr>
        <w:footnoteRef/>
      </w:r>
      <w:r w:rsidRPr="00A03B67">
        <w:t xml:space="preserve"> Fair Work Commission, </w:t>
      </w:r>
      <w:r w:rsidRPr="00A03B67">
        <w:rPr>
          <w:i/>
          <w:iCs/>
        </w:rPr>
        <w:t>Background Document 2: Award Histories</w:t>
      </w:r>
      <w:r w:rsidRPr="00A03B67">
        <w:t xml:space="preserve"> (2022) &lt;https://www.fwc.gov.au/documents/sites/work-value-aged-care/decisions-statements/am202099-63-65-background-doc-no-2-090622.pdf&gt;; Fair Work Commission, </w:t>
      </w:r>
      <w:r w:rsidRPr="00A03B67">
        <w:rPr>
          <w:i/>
          <w:iCs/>
        </w:rPr>
        <w:t>Report to the Full Bench</w:t>
      </w:r>
      <w:r w:rsidRPr="00A03B67">
        <w:t xml:space="preserve"> (2022) &lt;https://www.fwc.gov.au/documents/sites/work-value-aged-care/decisions-statements/am202099-63-65-lay-witness-evidence-report-200622.pdf&gt;.</w:t>
      </w:r>
    </w:p>
  </w:footnote>
  <w:footnote w:id="1009">
    <w:p w14:paraId="35A94359" w14:textId="19E133F4" w:rsidR="000A0EB4" w:rsidRPr="00A03B67" w:rsidRDefault="000A0EB4" w:rsidP="000A0EB4">
      <w:pPr>
        <w:pStyle w:val="FootnoteText"/>
      </w:pPr>
      <w:r w:rsidRPr="00A03B67">
        <w:rPr>
          <w:rStyle w:val="FootnoteReference"/>
        </w:rPr>
        <w:footnoteRef/>
      </w:r>
      <w:r w:rsidRPr="00A03B67">
        <w:t xml:space="preserve"> Fair Work Commission, </w:t>
      </w:r>
      <w:r w:rsidRPr="00A03B67">
        <w:rPr>
          <w:i/>
          <w:iCs/>
        </w:rPr>
        <w:t>Data Profile – Pharmacists and the</w:t>
      </w:r>
      <w:r w:rsidRPr="00A03B67">
        <w:t xml:space="preserve"> </w:t>
      </w:r>
      <w:r w:rsidRPr="00A03B67">
        <w:rPr>
          <w:i/>
          <w:iCs/>
        </w:rPr>
        <w:t>Pharmacy Industry Award 2020</w:t>
      </w:r>
      <w:r w:rsidRPr="00A03B67">
        <w:t xml:space="preserve"> (Report, 2024) &lt;https://www.fwc.gov.au/documents/sites/am2024-19/am202419-pharmacists-pharmacy-industry-award-data-profile-300824.pdf&gt;; N Young, J Sherwood, C Anthony, J Gilbert, K Gray and C McEwen, </w:t>
      </w:r>
      <w:r w:rsidRPr="00A03B67">
        <w:rPr>
          <w:i/>
          <w:iCs/>
        </w:rPr>
        <w:t>A Hidden History of Aboriginal Women’s Work in the Community Controlled Health Sector</w:t>
      </w:r>
      <w:r w:rsidRPr="00A03B67">
        <w:t xml:space="preserve"> (Jumbunna Institute for Indigenous Education and Research, 2024) &lt;https://www.fwc.gov.au/documents/sites/am2024-19/am202422-lit-review-191124.pdf&gt;.</w:t>
      </w:r>
    </w:p>
  </w:footnote>
  <w:footnote w:id="1010">
    <w:p w14:paraId="39898526" w14:textId="13CD9432" w:rsidR="000A0EB4" w:rsidRPr="00A03B67" w:rsidRDefault="000A0EB4" w:rsidP="000A0EB4">
      <w:pPr>
        <w:pStyle w:val="FootnoteText"/>
      </w:pPr>
      <w:r w:rsidRPr="00A03B67">
        <w:rPr>
          <w:rStyle w:val="FootnoteReference"/>
        </w:rPr>
        <w:footnoteRef/>
      </w:r>
      <w:r w:rsidRPr="00A03B67">
        <w:t xml:space="preserve"> Australian Council of Trade Unions </w:t>
      </w:r>
      <w:r w:rsidR="009A3637">
        <w:t xml:space="preserve">(ACTU) </w:t>
      </w:r>
      <w:r w:rsidRPr="00A03B67">
        <w:t>submission, 41.</w:t>
      </w:r>
    </w:p>
  </w:footnote>
  <w:footnote w:id="1011">
    <w:p w14:paraId="6BC5D825" w14:textId="77777777" w:rsidR="000A0EB4" w:rsidRPr="00A03B67" w:rsidRDefault="000A0EB4" w:rsidP="000A0EB4">
      <w:pPr>
        <w:pStyle w:val="FootnoteText"/>
        <w:rPr>
          <w:i/>
          <w:iCs/>
        </w:rPr>
      </w:pPr>
      <w:r w:rsidRPr="00A03B67">
        <w:rPr>
          <w:rStyle w:val="FootnoteReference"/>
        </w:rPr>
        <w:footnoteRef/>
      </w:r>
      <w:r w:rsidRPr="00A03B67">
        <w:t xml:space="preserve"> [2023] FWCFB 127.</w:t>
      </w:r>
    </w:p>
  </w:footnote>
  <w:footnote w:id="1012">
    <w:p w14:paraId="2001FF60" w14:textId="77777777" w:rsidR="000A0EB4" w:rsidRPr="00A03B67" w:rsidRDefault="000A0EB4" w:rsidP="000A0EB4">
      <w:pPr>
        <w:pStyle w:val="FootnoteText"/>
      </w:pPr>
      <w:r w:rsidRPr="00A03B67">
        <w:rPr>
          <w:rStyle w:val="FootnoteReference"/>
        </w:rPr>
        <w:footnoteRef/>
      </w:r>
      <w:r w:rsidRPr="00A03B67">
        <w:t xml:space="preserve"> [2023] FWCFB 127 [41].</w:t>
      </w:r>
    </w:p>
  </w:footnote>
  <w:footnote w:id="1013">
    <w:p w14:paraId="07AECA23" w14:textId="1AAF5591" w:rsidR="000A0EB4" w:rsidRPr="00A03B67" w:rsidRDefault="000A0EB4" w:rsidP="000A0EB4">
      <w:pPr>
        <w:pStyle w:val="FootnoteText"/>
        <w:rPr>
          <w:lang w:val="en-US"/>
        </w:rPr>
      </w:pPr>
      <w:r w:rsidRPr="00A03B67">
        <w:rPr>
          <w:rStyle w:val="FootnoteReference"/>
        </w:rPr>
        <w:footnoteRef/>
      </w:r>
      <w:r w:rsidRPr="00A03B67">
        <w:t xml:space="preserve"> The Panel heard that some work value cases can take years to finalise. For example, the 2021 decision to adjust the minimum rates in the Teachers Award (operative January 2022) started off with equal remuneration applications in 2013 and, while the Aged Care Work Value case started off in 2020, it was separated in to multiple stages and cases that were finalised in late 2024: Fair Work Commission, </w:t>
      </w:r>
      <w:r w:rsidRPr="00A03B67">
        <w:rPr>
          <w:i/>
          <w:iCs/>
        </w:rPr>
        <w:t>Equal Remuneration and Work Value Case</w:t>
      </w:r>
      <w:r w:rsidRPr="00A03B67">
        <w:t xml:space="preserve"> (Web Page, n.d.) &lt;https://www.fwc.gov.au/hearings-decisions/major-cases/previous-major-cases/equal-remuneration-and-work-value-case&gt;; Fair Work Commission, </w:t>
      </w:r>
      <w:r w:rsidRPr="00A03B67">
        <w:rPr>
          <w:i/>
          <w:iCs/>
        </w:rPr>
        <w:t xml:space="preserve">Work Value Case </w:t>
      </w:r>
      <w:r w:rsidRPr="00A03B67">
        <w:rPr>
          <w:rFonts w:ascii="Symbol" w:eastAsia="Symbol" w:hAnsi="Symbol" w:cs="Symbol"/>
          <w:i/>
          <w:iCs/>
        </w:rPr>
        <w:t>-</w:t>
      </w:r>
      <w:r w:rsidRPr="00A03B67">
        <w:rPr>
          <w:i/>
          <w:iCs/>
        </w:rPr>
        <w:t xml:space="preserve"> Aged Care Industry</w:t>
      </w:r>
      <w:r w:rsidRPr="00A03B67">
        <w:t xml:space="preserve"> (Web Page, n.d.) &lt;https://www.fwc.gov.au/hearings-decisions/major-cases/work-value-case-aged-care-industry&gt;; Fair Work Commission, Work Value Case </w:t>
      </w:r>
      <w:r w:rsidRPr="00A03B67">
        <w:rPr>
          <w:rFonts w:ascii="Symbol" w:eastAsia="Symbol" w:hAnsi="Symbol" w:cs="Symbol"/>
        </w:rPr>
        <w:t>-</w:t>
      </w:r>
      <w:r w:rsidRPr="00A03B67">
        <w:t xml:space="preserve"> Nurses and Midwives (Web Page, n.d.) &lt;https://www.fwc.gov.au/hearings-decisions/major-cases/work-value-case-nurses-and-midwives&gt;.</w:t>
      </w:r>
    </w:p>
  </w:footnote>
  <w:footnote w:id="1014">
    <w:p w14:paraId="578D6666" w14:textId="4D43ED1C" w:rsidR="000A0EB4" w:rsidRPr="00A03B67" w:rsidRDefault="000A0EB4" w:rsidP="000A0EB4">
      <w:pPr>
        <w:pStyle w:val="FootnoteText"/>
        <w:rPr>
          <w:lang w:val="en-US"/>
        </w:rPr>
      </w:pPr>
      <w:r w:rsidRPr="00A03B67">
        <w:rPr>
          <w:rStyle w:val="FootnoteReference"/>
        </w:rPr>
        <w:footnoteRef/>
      </w:r>
      <w:r w:rsidRPr="00A03B67">
        <w:t xml:space="preserve"> </w:t>
      </w:r>
      <w:r w:rsidRPr="00A03B67">
        <w:rPr>
          <w:lang w:val="en-US"/>
        </w:rPr>
        <w:t>Centre for Future Work submission, 11.</w:t>
      </w:r>
    </w:p>
  </w:footnote>
  <w:footnote w:id="1015">
    <w:p w14:paraId="669E2E0B" w14:textId="77777777" w:rsidR="000A0EB4" w:rsidRPr="00A03B67" w:rsidRDefault="000A0EB4" w:rsidP="000A0EB4">
      <w:pPr>
        <w:pStyle w:val="FootnoteText"/>
        <w:rPr>
          <w:lang w:val="en-US"/>
        </w:rPr>
      </w:pPr>
      <w:r w:rsidRPr="00A03B67">
        <w:rPr>
          <w:rStyle w:val="FootnoteReference"/>
        </w:rPr>
        <w:footnoteRef/>
      </w:r>
      <w:r w:rsidRPr="00A03B67">
        <w:t xml:space="preserve"> </w:t>
      </w:r>
      <w:r w:rsidRPr="00A03B67">
        <w:rPr>
          <w:lang w:val="en-US"/>
        </w:rPr>
        <w:t>Centre for Future Work submission, 11.</w:t>
      </w:r>
    </w:p>
  </w:footnote>
  <w:footnote w:id="1016">
    <w:p w14:paraId="5D5957C7" w14:textId="1709DC97" w:rsidR="000A0EB4" w:rsidRPr="00A03B67" w:rsidRDefault="000A0EB4" w:rsidP="000A0EB4">
      <w:pPr>
        <w:pStyle w:val="FootnoteText"/>
      </w:pPr>
      <w:r w:rsidRPr="00A03B67">
        <w:rPr>
          <w:rStyle w:val="FootnoteReference"/>
        </w:rPr>
        <w:footnoteRef/>
      </w:r>
      <w:r w:rsidRPr="00A03B67">
        <w:t xml:space="preserve"> Fair Work Commission, </w:t>
      </w:r>
      <w:r w:rsidRPr="00A03B67">
        <w:rPr>
          <w:i/>
          <w:iCs/>
        </w:rPr>
        <w:t>Modern Awards Review 2023</w:t>
      </w:r>
      <w:r w:rsidRPr="00A03B67">
        <w:rPr>
          <w:rFonts w:ascii="Symbol" w:eastAsia="Symbol" w:hAnsi="Symbol" w:cs="Symbol"/>
          <w:i/>
          <w:iCs/>
        </w:rPr>
        <w:t>-</w:t>
      </w:r>
      <w:r w:rsidRPr="00A03B67">
        <w:rPr>
          <w:i/>
          <w:iCs/>
        </w:rPr>
        <w:t>24</w:t>
      </w:r>
      <w:r w:rsidRPr="00A03B67">
        <w:t xml:space="preserve"> (Report, July 2024) [167].</w:t>
      </w:r>
    </w:p>
  </w:footnote>
  <w:footnote w:id="1017">
    <w:p w14:paraId="478949D4" w14:textId="77777777" w:rsidR="000A0EB4" w:rsidRPr="00A03B67" w:rsidRDefault="000A0EB4" w:rsidP="000A0EB4">
      <w:pPr>
        <w:pStyle w:val="FootnoteText"/>
        <w:rPr>
          <w:lang w:val="en-US"/>
        </w:rPr>
      </w:pPr>
      <w:r w:rsidRPr="00A03B67">
        <w:rPr>
          <w:rStyle w:val="FootnoteReference"/>
        </w:rPr>
        <w:footnoteRef/>
      </w:r>
      <w:r w:rsidRPr="00A03B67">
        <w:t xml:space="preserve"> This matter was raised in the academic roundtable discussions.</w:t>
      </w:r>
    </w:p>
  </w:footnote>
  <w:footnote w:id="1018">
    <w:p w14:paraId="78E2305D" w14:textId="77777777" w:rsidR="000A0EB4" w:rsidRPr="00A03B67" w:rsidRDefault="000A0EB4" w:rsidP="000A0EB4">
      <w:pPr>
        <w:pStyle w:val="FootnoteText"/>
      </w:pPr>
      <w:r w:rsidRPr="00A03B67">
        <w:rPr>
          <w:rStyle w:val="FootnoteReference"/>
        </w:rPr>
        <w:footnoteRef/>
      </w:r>
      <w:r w:rsidRPr="00A03B67">
        <w:t xml:space="preserve"> Fair Work Commission, Gender Undervaluation, Priority Awards Review, Commonwealth submission &lt;https://www.fwc.gov.au/documents/sites/am2024-19/am202419-ors-sub-cth-270924.pdf&gt;.</w:t>
      </w:r>
    </w:p>
  </w:footnote>
  <w:footnote w:id="1019">
    <w:p w14:paraId="186664A3" w14:textId="77777777" w:rsidR="000A0EB4" w:rsidRPr="00A03B67" w:rsidRDefault="000A0EB4" w:rsidP="000A0EB4">
      <w:pPr>
        <w:pStyle w:val="FootnoteText"/>
      </w:pPr>
      <w:r w:rsidRPr="00A03B67">
        <w:rPr>
          <w:rStyle w:val="FootnoteReference"/>
        </w:rPr>
        <w:footnoteRef/>
      </w:r>
      <w:r w:rsidRPr="00A03B67">
        <w:t xml:space="preserve">  Fair Work Commission, Gender Undervaluation, Priority Awards Review, Commonwealth submission, [3]</w:t>
      </w:r>
      <w:r w:rsidRPr="00A03B67">
        <w:rPr>
          <w:rFonts w:ascii="Symbol" w:eastAsia="Symbol" w:hAnsi="Symbol" w:cs="Symbol"/>
        </w:rPr>
        <w:t>-</w:t>
      </w:r>
      <w:r w:rsidRPr="00A03B67">
        <w:t>[4] &lt;https://www.fwc.gov.au/documents/sites/am2024-19/am202419-ors-sub-cth-270924.pdf&gt;.</w:t>
      </w:r>
    </w:p>
  </w:footnote>
  <w:footnote w:id="1020">
    <w:p w14:paraId="2B2F76A4" w14:textId="77777777" w:rsidR="000A0EB4" w:rsidRPr="00A03B67" w:rsidRDefault="000A0EB4" w:rsidP="000A0EB4">
      <w:pPr>
        <w:pStyle w:val="FootnoteText"/>
      </w:pPr>
      <w:r w:rsidRPr="00A03B67">
        <w:rPr>
          <w:rStyle w:val="FootnoteReference"/>
        </w:rPr>
        <w:footnoteRef/>
      </w:r>
      <w:r w:rsidRPr="00A03B67">
        <w:t xml:space="preserve"> Fair Work Commission, Gender Undervaluation, Priority Awards Review, Commonwealth submission, [38]</w:t>
      </w:r>
      <w:r w:rsidRPr="00A03B67">
        <w:rPr>
          <w:rFonts w:ascii="Symbol" w:eastAsia="Symbol" w:hAnsi="Symbol" w:cs="Symbol"/>
        </w:rPr>
        <w:t>-</w:t>
      </w:r>
      <w:r w:rsidRPr="00A03B67">
        <w:t>[52] &lt;https://www.fwc.gov.au/documents/sites/am2024-19/am202419-ors-sub-cth-270924.pdf&gt;.</w:t>
      </w:r>
    </w:p>
  </w:footnote>
  <w:footnote w:id="1021">
    <w:p w14:paraId="56E7389C" w14:textId="77777777" w:rsidR="000A0EB4" w:rsidRPr="00A03B67" w:rsidRDefault="000A0EB4" w:rsidP="000A0EB4">
      <w:pPr>
        <w:pStyle w:val="FootnoteText"/>
      </w:pPr>
      <w:r w:rsidRPr="00A03B67">
        <w:rPr>
          <w:rStyle w:val="FootnoteReference"/>
        </w:rPr>
        <w:footnoteRef/>
      </w:r>
      <w:r w:rsidRPr="00A03B67">
        <w:t xml:space="preserve"> Fair Work Commission, Gender Undervaluation, Priority Awards Review, Commonwealth submission, [38] &lt;https://www.fwc.gov.au/documents/sites/am2024-19/am202419-ors-sub-cth-270924.pdf&gt;.</w:t>
      </w:r>
    </w:p>
  </w:footnote>
  <w:footnote w:id="1022">
    <w:p w14:paraId="7F739A00" w14:textId="4759CAB1" w:rsidR="000A0EB4" w:rsidRDefault="000A0EB4" w:rsidP="000A0EB4">
      <w:pPr>
        <w:pStyle w:val="FootnoteText"/>
      </w:pPr>
      <w:r>
        <w:rPr>
          <w:rStyle w:val="FootnoteReference"/>
        </w:rPr>
        <w:footnoteRef/>
      </w:r>
      <w:r>
        <w:t xml:space="preserve"> </w:t>
      </w:r>
      <w:r w:rsidR="009A3637">
        <w:t>Australian Chamber of Commerce and Ind</w:t>
      </w:r>
      <w:r w:rsidR="00063D9A">
        <w:t>u</w:t>
      </w:r>
      <w:r w:rsidR="009A3637">
        <w:t>stry (</w:t>
      </w:r>
      <w:r>
        <w:t>ACCI</w:t>
      </w:r>
      <w:r w:rsidR="009A3637">
        <w:t>)</w:t>
      </w:r>
      <w:r>
        <w:t xml:space="preserve"> submission in response to </w:t>
      </w:r>
      <w:r w:rsidR="006D0197">
        <w:t>d</w:t>
      </w:r>
      <w:r>
        <w:t xml:space="preserve">raft </w:t>
      </w:r>
      <w:r w:rsidR="006D0197">
        <w:t>r</w:t>
      </w:r>
      <w:r>
        <w:t>eport, 23.</w:t>
      </w:r>
    </w:p>
  </w:footnote>
  <w:footnote w:id="1023">
    <w:p w14:paraId="10E7F055" w14:textId="2EDE1E4B" w:rsidR="000A0EB4" w:rsidRDefault="000A0EB4" w:rsidP="000A0EB4">
      <w:pPr>
        <w:pStyle w:val="FootnoteText"/>
      </w:pPr>
      <w:r>
        <w:rPr>
          <w:rStyle w:val="FootnoteReference"/>
        </w:rPr>
        <w:footnoteRef/>
      </w:r>
      <w:r>
        <w:t xml:space="preserve"> </w:t>
      </w:r>
      <w:r w:rsidR="009A3637" w:rsidRPr="009A3637">
        <w:t xml:space="preserve">Australian Nursing and Midwifery Federation </w:t>
      </w:r>
      <w:r w:rsidR="009A3637">
        <w:t>(</w:t>
      </w:r>
      <w:r>
        <w:t>ANMF</w:t>
      </w:r>
      <w:r w:rsidR="009A3637">
        <w:t>)</w:t>
      </w:r>
      <w:r>
        <w:t xml:space="preserve"> submission in response to </w:t>
      </w:r>
      <w:r w:rsidR="006D0197">
        <w:t>d</w:t>
      </w:r>
      <w:r>
        <w:t xml:space="preserve">raft </w:t>
      </w:r>
      <w:r w:rsidR="006D0197">
        <w:t>r</w:t>
      </w:r>
      <w:r>
        <w:t>eport, 4</w:t>
      </w:r>
      <w:r w:rsidDel="006D0197">
        <w:t xml:space="preserve"> </w:t>
      </w:r>
      <w:r w:rsidR="006D0197">
        <w:t>[</w:t>
      </w:r>
      <w:r>
        <w:t>13</w:t>
      </w:r>
      <w:r w:rsidR="006D0197">
        <w:t>]</w:t>
      </w:r>
      <w:r>
        <w:t>.</w:t>
      </w:r>
    </w:p>
  </w:footnote>
  <w:footnote w:id="1024">
    <w:p w14:paraId="2CFBA9F2" w14:textId="1BFF6B76" w:rsidR="000A0EB4" w:rsidRDefault="000A0EB4" w:rsidP="000A0EB4">
      <w:pPr>
        <w:pStyle w:val="FootnoteText"/>
      </w:pPr>
      <w:r>
        <w:rPr>
          <w:rStyle w:val="FootnoteReference"/>
        </w:rPr>
        <w:footnoteRef/>
      </w:r>
      <w:r>
        <w:t xml:space="preserve"> ACTU submission in response to </w:t>
      </w:r>
      <w:r w:rsidR="006D0197">
        <w:t>d</w:t>
      </w:r>
      <w:r>
        <w:t xml:space="preserve">raft </w:t>
      </w:r>
      <w:r w:rsidR="006D0197">
        <w:t>r</w:t>
      </w:r>
      <w:r>
        <w:t>eport, 23.</w:t>
      </w:r>
    </w:p>
  </w:footnote>
  <w:footnote w:id="1025">
    <w:p w14:paraId="4DB3842D" w14:textId="249A4909" w:rsidR="000A0EB4" w:rsidRDefault="000A0EB4" w:rsidP="000A0EB4">
      <w:pPr>
        <w:pStyle w:val="FootnoteText"/>
      </w:pPr>
      <w:r>
        <w:rPr>
          <w:rStyle w:val="FootnoteReference"/>
        </w:rPr>
        <w:footnoteRef/>
      </w:r>
      <w:r w:rsidRPr="00C279D1" w:rsidDel="009A3637">
        <w:t xml:space="preserve"> </w:t>
      </w:r>
      <w:r w:rsidR="006704C1">
        <w:t xml:space="preserve">Professor </w:t>
      </w:r>
      <w:r w:rsidR="009A3637">
        <w:t xml:space="preserve">S </w:t>
      </w:r>
      <w:r w:rsidRPr="00C279D1">
        <w:t>Charlesworth</w:t>
      </w:r>
      <w:r>
        <w:t xml:space="preserve"> submission in response to </w:t>
      </w:r>
      <w:r w:rsidR="006D0197">
        <w:t>d</w:t>
      </w:r>
      <w:r>
        <w:t xml:space="preserve">raft </w:t>
      </w:r>
      <w:r w:rsidR="006D0197">
        <w:t>r</w:t>
      </w:r>
      <w:r>
        <w:t>eport, 2</w:t>
      </w:r>
      <w:r w:rsidR="006D0197">
        <w:rPr>
          <w:rFonts w:ascii="Symbol" w:eastAsia="Symbol" w:hAnsi="Symbol" w:cs="Symbol"/>
        </w:rPr>
        <w:t>-</w:t>
      </w:r>
      <w:r>
        <w:t>3.</w:t>
      </w:r>
    </w:p>
  </w:footnote>
  <w:footnote w:id="1026">
    <w:p w14:paraId="7AE29553" w14:textId="41B50460" w:rsidR="000A0EB4" w:rsidRDefault="000A0EB4" w:rsidP="000A0EB4">
      <w:pPr>
        <w:pStyle w:val="FootnoteText"/>
      </w:pPr>
      <w:r>
        <w:rPr>
          <w:rStyle w:val="FootnoteReference"/>
        </w:rPr>
        <w:footnoteRef/>
      </w:r>
      <w:r>
        <w:t xml:space="preserve"> Ai Group submission in response to </w:t>
      </w:r>
      <w:r w:rsidR="006D0197">
        <w:t>d</w:t>
      </w:r>
      <w:r>
        <w:t xml:space="preserve">raft </w:t>
      </w:r>
      <w:r w:rsidR="006D0197">
        <w:t>r</w:t>
      </w:r>
      <w:r>
        <w:t xml:space="preserve">eport, 54; </w:t>
      </w:r>
      <w:r w:rsidRPr="00CB135F">
        <w:t xml:space="preserve">ANMF submission in response to </w:t>
      </w:r>
      <w:r w:rsidR="006D0197">
        <w:t>d</w:t>
      </w:r>
      <w:r w:rsidRPr="00CB135F">
        <w:t xml:space="preserve">raft </w:t>
      </w:r>
      <w:r w:rsidR="006D0197">
        <w:t>r</w:t>
      </w:r>
      <w:r w:rsidRPr="00CB135F">
        <w:t>eport, 4</w:t>
      </w:r>
      <w:r w:rsidR="006D0197">
        <w:t>[</w:t>
      </w:r>
      <w:r w:rsidRPr="00CB135F">
        <w:t>12</w:t>
      </w:r>
      <w:r w:rsidR="006D0197">
        <w:t>]</w:t>
      </w:r>
      <w:r>
        <w:t xml:space="preserve">; </w:t>
      </w:r>
      <w:r w:rsidR="00332BD7">
        <w:t>United Workers Union (</w:t>
      </w:r>
      <w:r w:rsidRPr="00465FC3">
        <w:t>UWU</w:t>
      </w:r>
      <w:r w:rsidR="00332BD7">
        <w:t>)</w:t>
      </w:r>
      <w:r w:rsidRPr="00465FC3">
        <w:t xml:space="preserve"> submission in response to </w:t>
      </w:r>
      <w:r w:rsidR="006D0197">
        <w:t>d</w:t>
      </w:r>
      <w:r w:rsidRPr="00465FC3">
        <w:t xml:space="preserve">raft </w:t>
      </w:r>
      <w:r w:rsidR="006D0197">
        <w:t>r</w:t>
      </w:r>
      <w:r w:rsidRPr="00465FC3">
        <w:t>eport, 8.</w:t>
      </w:r>
    </w:p>
  </w:footnote>
  <w:footnote w:id="1027">
    <w:p w14:paraId="61878F54" w14:textId="77777777" w:rsidR="000A0EB4" w:rsidRPr="00A03B67" w:rsidRDefault="000A0EB4" w:rsidP="000A0EB4">
      <w:pPr>
        <w:pStyle w:val="FootnoteText"/>
      </w:pPr>
      <w:r w:rsidRPr="00A03B67">
        <w:rPr>
          <w:rStyle w:val="FootnoteReference"/>
        </w:rPr>
        <w:footnoteRef/>
      </w:r>
      <w:r w:rsidRPr="00A03B67">
        <w:t xml:space="preserve"> Senate Education and Employment Legislation Committee, Parliament of Australia, Fair Work Legislation Amendment (Secure Jobs, Better Pay) Bill 2022, submission 89, [2]. &lt;</w:t>
      </w:r>
      <w:r w:rsidRPr="001F27A5">
        <w:t>https://www.aph.gov.au/Parliamentary_Business/Committees/Senate/Education_and_Employment/SecureJobsBetterPay/Submissions</w:t>
      </w:r>
      <w:r w:rsidRPr="00A03B67">
        <w:t>&gt;.</w:t>
      </w:r>
    </w:p>
  </w:footnote>
  <w:footnote w:id="1028">
    <w:p w14:paraId="28928539" w14:textId="77777777" w:rsidR="000A0EB4" w:rsidRPr="00A03B67" w:rsidRDefault="000A0EB4" w:rsidP="000A0EB4">
      <w:pPr>
        <w:pStyle w:val="FootnoteText"/>
      </w:pPr>
      <w:r w:rsidRPr="00A03B67">
        <w:rPr>
          <w:rStyle w:val="FootnoteReference"/>
        </w:rPr>
        <w:footnoteRef/>
      </w:r>
      <w:r w:rsidRPr="00A03B67">
        <w:t xml:space="preserve"> </w:t>
      </w:r>
      <w:r w:rsidRPr="00A03B67">
        <w:rPr>
          <w:i/>
          <w:iCs/>
        </w:rPr>
        <w:t xml:space="preserve">Fair Work Act 2009 </w:t>
      </w:r>
      <w:r w:rsidRPr="00A03B67">
        <w:t>(Cth) s 620(1D).</w:t>
      </w:r>
    </w:p>
  </w:footnote>
  <w:footnote w:id="1029">
    <w:p w14:paraId="180DB147" w14:textId="77777777" w:rsidR="000A0EB4" w:rsidRPr="00A03B67" w:rsidRDefault="000A0EB4" w:rsidP="000A0EB4">
      <w:pPr>
        <w:pStyle w:val="FootnoteText"/>
        <w:rPr>
          <w:strike/>
        </w:rPr>
      </w:pPr>
      <w:r w:rsidRPr="00A03B67">
        <w:rPr>
          <w:rStyle w:val="FootnoteReference"/>
        </w:rPr>
        <w:footnoteRef/>
      </w:r>
      <w:r w:rsidRPr="00A03B67">
        <w:t xml:space="preserve"> Revised Explanatory Memorandum, Fair Work Legislation Amendment</w:t>
      </w:r>
      <w:r w:rsidRPr="00A03B67">
        <w:rPr>
          <w:i/>
          <w:iCs/>
        </w:rPr>
        <w:t xml:space="preserve"> </w:t>
      </w:r>
      <w:r w:rsidRPr="00A03B67">
        <w:t>(Secure Jobs, Better Pay) Bill 2022, [364]</w:t>
      </w:r>
      <w:r w:rsidRPr="00A03B67">
        <w:rPr>
          <w:strike/>
        </w:rPr>
        <w:t>.</w:t>
      </w:r>
    </w:p>
  </w:footnote>
  <w:footnote w:id="1030">
    <w:p w14:paraId="6056B4E7" w14:textId="77777777" w:rsidR="000A0EB4" w:rsidRPr="00A03B67" w:rsidRDefault="000A0EB4" w:rsidP="000A0EB4">
      <w:pPr>
        <w:pStyle w:val="FootnoteText"/>
        <w:rPr>
          <w:strike/>
        </w:rPr>
      </w:pPr>
      <w:r w:rsidRPr="00A03B67">
        <w:rPr>
          <w:rStyle w:val="FootnoteReference"/>
        </w:rPr>
        <w:footnoteRef/>
      </w:r>
      <w:r w:rsidRPr="00A03B67">
        <w:t xml:space="preserve"> Anthony Albanese, Tony Burke and Tanya Plibersek, ‘Labour to Deliver Fair Pay &amp; Conditions for Working Women‘ (Media Release, 1 May 2022).</w:t>
      </w:r>
    </w:p>
  </w:footnote>
  <w:footnote w:id="1031">
    <w:p w14:paraId="7966E006" w14:textId="48E97DA2" w:rsidR="000A0EB4" w:rsidRPr="00A03B67" w:rsidRDefault="000A0EB4" w:rsidP="000A0EB4">
      <w:pPr>
        <w:pStyle w:val="FootnoteText"/>
        <w:rPr>
          <w:lang w:val="en-US"/>
        </w:rPr>
      </w:pPr>
      <w:r w:rsidRPr="00A03B67">
        <w:rPr>
          <w:rStyle w:val="FootnoteReference"/>
        </w:rPr>
        <w:footnoteRef/>
      </w:r>
      <w:r w:rsidRPr="00A03B67">
        <w:t xml:space="preserve"> The Hon Tony Burke MP, ’Appointments to the Fair Work Commission Expert Panel’ (Media Release, 6 March 2023).</w:t>
      </w:r>
    </w:p>
  </w:footnote>
  <w:footnote w:id="1032">
    <w:p w14:paraId="7AAD4BC6" w14:textId="2EC65FD7" w:rsidR="000A0EB4" w:rsidRPr="00A03B67" w:rsidRDefault="000A0EB4" w:rsidP="000A0EB4">
      <w:pPr>
        <w:pStyle w:val="FootnoteText"/>
      </w:pPr>
      <w:r w:rsidRPr="00A03B67">
        <w:rPr>
          <w:rStyle w:val="FootnoteReference"/>
        </w:rPr>
        <w:footnoteRef/>
      </w:r>
      <w:r w:rsidRPr="00A03B67">
        <w:t xml:space="preserve"> Justice Hatcher, Fair Work Commission, </w:t>
      </w:r>
      <w:r w:rsidRPr="00A03B67">
        <w:rPr>
          <w:i/>
          <w:iCs/>
        </w:rPr>
        <w:t xml:space="preserve">Pay Equity and Care and Community Sector – Expert Panels </w:t>
      </w:r>
      <w:r w:rsidRPr="00A03B67">
        <w:t xml:space="preserve">(President’s Statement, 3 February 2023) &lt;https://www.fwc.gov.au/sites/default/files/2023-02/presidents-statement-expert-panels-2023-01-03.pdf&gt;; Justice Hatcher, Fair Work Commission, </w:t>
      </w:r>
      <w:r w:rsidRPr="00A03B67">
        <w:rPr>
          <w:i/>
          <w:iCs/>
        </w:rPr>
        <w:t xml:space="preserve">Expert Panels </w:t>
      </w:r>
      <w:r w:rsidRPr="00A03B67">
        <w:rPr>
          <w:rFonts w:ascii="Symbol" w:eastAsia="Symbol" w:hAnsi="Symbol" w:cs="Symbol"/>
          <w:i/>
          <w:iCs/>
        </w:rPr>
        <w:t>-</w:t>
      </w:r>
      <w:r w:rsidRPr="00A03B67">
        <w:rPr>
          <w:i/>
          <w:iCs/>
        </w:rPr>
        <w:t xml:space="preserve"> Provisional Views</w:t>
      </w:r>
      <w:r w:rsidRPr="00A03B67">
        <w:t xml:space="preserve"> (President’s Statement, 24 February 2024) &lt;https://www.fwc.gov.au/documents/consultation/presidents-statement-expert-panels-audit-of-current-matters-2023-02-24.pdf&gt;; Fair Work Commission, </w:t>
      </w:r>
      <w:r w:rsidRPr="00A03B67">
        <w:rPr>
          <w:i/>
          <w:iCs/>
        </w:rPr>
        <w:t>Pay Equity and Care and Community Sector – Expert Panels</w:t>
      </w:r>
      <w:r w:rsidRPr="00A03B67">
        <w:t xml:space="preserve"> (President’s Statement, 14 March 2023) &lt;https://www.fwc.gov.au/sites/default/files/2023-02/presidents-statement-expert-panels-2023-01-03.pdf&gt;.</w:t>
      </w:r>
    </w:p>
  </w:footnote>
  <w:footnote w:id="1033">
    <w:p w14:paraId="6540E609" w14:textId="6392CDDB" w:rsidR="000A0EB4" w:rsidRPr="00A03B67" w:rsidRDefault="000A0EB4" w:rsidP="000A0EB4">
      <w:pPr>
        <w:pStyle w:val="FootnoteText"/>
      </w:pPr>
      <w:r w:rsidRPr="00A03B67">
        <w:rPr>
          <w:rStyle w:val="FootnoteReference"/>
        </w:rPr>
        <w:footnoteRef/>
      </w:r>
      <w:r w:rsidRPr="00A03B67">
        <w:t xml:space="preserve"> Justice Hatcher, Fair Work Commission, </w:t>
      </w:r>
      <w:r w:rsidRPr="00A03B67">
        <w:rPr>
          <w:i/>
          <w:iCs/>
        </w:rPr>
        <w:t xml:space="preserve">Expert Panels </w:t>
      </w:r>
      <w:r w:rsidRPr="00A03B67">
        <w:rPr>
          <w:rFonts w:ascii="Symbol" w:eastAsia="Symbol" w:hAnsi="Symbol" w:cs="Symbol"/>
          <w:i/>
          <w:iCs/>
        </w:rPr>
        <w:t>-</w:t>
      </w:r>
      <w:r w:rsidRPr="00A03B67">
        <w:rPr>
          <w:i/>
          <w:iCs/>
        </w:rPr>
        <w:t xml:space="preserve"> Provisional Views</w:t>
      </w:r>
      <w:r w:rsidRPr="00A03B67">
        <w:t xml:space="preserve"> (President’s Statement, 24 February 2024) [8] citing the Revised Explanatory Memorandum, Fair Work Legislation Amendment (Secure Jobs, Better Pay) Bill</w:t>
      </w:r>
      <w:r w:rsidRPr="00A03B67">
        <w:rPr>
          <w:i/>
          <w:iCs/>
        </w:rPr>
        <w:t xml:space="preserve"> </w:t>
      </w:r>
      <w:r w:rsidRPr="00A03B67">
        <w:t>2022</w:t>
      </w:r>
      <w:r w:rsidR="006D0197">
        <w:t>,</w:t>
      </w:r>
      <w:r w:rsidRPr="00A03B67">
        <w:t xml:space="preserve"> [380] &lt;https://www.fwc.gov.au/documents/consultation/presidents-statement-expert-panels-audit-of-current-matters-2023-02-24.pdf&gt;.</w:t>
      </w:r>
    </w:p>
  </w:footnote>
  <w:footnote w:id="1034">
    <w:p w14:paraId="05C5D1E5" w14:textId="77777777" w:rsidR="000A0EB4" w:rsidRPr="00A03B67" w:rsidRDefault="000A0EB4" w:rsidP="000A0EB4">
      <w:pPr>
        <w:pStyle w:val="FootnoteText"/>
      </w:pPr>
      <w:r w:rsidRPr="00A03B67">
        <w:rPr>
          <w:rStyle w:val="FootnoteReference"/>
        </w:rPr>
        <w:footnoteRef/>
      </w:r>
      <w:r w:rsidRPr="00A03B67">
        <w:t xml:space="preserve"> Justice Hatcher, Fair Work Commission, </w:t>
      </w:r>
      <w:r w:rsidRPr="00A03B67">
        <w:rPr>
          <w:i/>
          <w:iCs/>
        </w:rPr>
        <w:t xml:space="preserve">Expert Panels </w:t>
      </w:r>
      <w:r w:rsidRPr="00A03B67">
        <w:rPr>
          <w:rFonts w:ascii="Symbol" w:eastAsia="Symbol" w:hAnsi="Symbol" w:cs="Symbol"/>
          <w:i/>
          <w:iCs/>
        </w:rPr>
        <w:t>-</w:t>
      </w:r>
      <w:r w:rsidRPr="00A03B67">
        <w:rPr>
          <w:i/>
          <w:iCs/>
        </w:rPr>
        <w:t xml:space="preserve"> Provisional Views</w:t>
      </w:r>
      <w:r w:rsidRPr="00A03B67">
        <w:t xml:space="preserve"> (President’s Statement, 24 February 2024) [15]</w:t>
      </w:r>
      <w:r w:rsidRPr="00A03B67">
        <w:rPr>
          <w:rFonts w:ascii="Symbol" w:eastAsia="Symbol" w:hAnsi="Symbol" w:cs="Symbol"/>
        </w:rPr>
        <w:t>-</w:t>
      </w:r>
      <w:r w:rsidRPr="00A03B67">
        <w:t xml:space="preserve">[16] &lt;https://www.fwc.gov.au/documents/consultation/presidents-statement-expert-panels-audit-of-current-matters-2023-02-24.pdf&gt; affirmed in Justice Hatcher, Fair Work Commission, </w:t>
      </w:r>
      <w:r w:rsidRPr="00A03B67">
        <w:rPr>
          <w:i/>
          <w:iCs/>
        </w:rPr>
        <w:t xml:space="preserve">Pay Equity and Care and Community Sector – Expert Panels </w:t>
      </w:r>
      <w:r w:rsidRPr="00A03B67">
        <w:t>(President’s Statement, 3 February 2023) [6] &lt;https://www.fwc.gov.au/sites/default/files/2023-02/presidents-statement-expert-panels-2023-01-03.pdf&gt;.</w:t>
      </w:r>
    </w:p>
  </w:footnote>
  <w:footnote w:id="1035">
    <w:p w14:paraId="111203E1" w14:textId="77777777" w:rsidR="000A0EB4" w:rsidRPr="00A03B67" w:rsidRDefault="000A0EB4" w:rsidP="000A0EB4">
      <w:pPr>
        <w:pStyle w:val="FootnoteText"/>
      </w:pPr>
      <w:r w:rsidRPr="00A03B67">
        <w:rPr>
          <w:rStyle w:val="FootnoteReference"/>
        </w:rPr>
        <w:footnoteRef/>
      </w:r>
      <w:r w:rsidRPr="00A03B67">
        <w:t xml:space="preserve"> Justice Hatcher, Fair Work Commission, </w:t>
      </w:r>
      <w:r w:rsidRPr="00A03B67">
        <w:rPr>
          <w:i/>
          <w:iCs/>
        </w:rPr>
        <w:t xml:space="preserve">Expert Panels </w:t>
      </w:r>
      <w:r w:rsidRPr="00A03B67">
        <w:rPr>
          <w:rFonts w:ascii="Symbol" w:eastAsia="Symbol" w:hAnsi="Symbol" w:cs="Symbol"/>
          <w:i/>
          <w:iCs/>
        </w:rPr>
        <w:t>-</w:t>
      </w:r>
      <w:r w:rsidRPr="00A03B67">
        <w:rPr>
          <w:i/>
          <w:iCs/>
        </w:rPr>
        <w:t xml:space="preserve"> Provisional Views</w:t>
      </w:r>
      <w:r w:rsidRPr="00A03B67">
        <w:t xml:space="preserve"> (President’s Statement, 24 February 2024) [17] &lt;https://www.fwc.gov.au/documents/consultation/presidents-statement-expert-panels-audit-of-current-matters-2023-02-24.pdf&gt; affirmed in Justice Hatcher, Fair Work Commission, </w:t>
      </w:r>
      <w:r w:rsidRPr="00A03B67">
        <w:rPr>
          <w:i/>
          <w:iCs/>
        </w:rPr>
        <w:t xml:space="preserve">Pay Equity and Care and Community Sector – Expert Panels </w:t>
      </w:r>
      <w:r w:rsidRPr="00A03B67">
        <w:t>(President’s Statement, 3 February 2023) [6] &lt;https://www.fwc.gov.au/sites/default/files/2023-02/presidents-statement-expert-panels-2023-01-03.pdf&gt;.</w:t>
      </w:r>
    </w:p>
  </w:footnote>
  <w:footnote w:id="1036">
    <w:p w14:paraId="7B2B7F5D" w14:textId="256FDCE0" w:rsidR="000A0EB4" w:rsidRPr="00A03B67" w:rsidRDefault="000A0EB4" w:rsidP="000A0EB4">
      <w:pPr>
        <w:pStyle w:val="FootnoteText"/>
      </w:pPr>
      <w:r w:rsidRPr="00A03B67">
        <w:rPr>
          <w:rStyle w:val="FootnoteReference"/>
        </w:rPr>
        <w:footnoteRef/>
      </w:r>
      <w:r w:rsidRPr="00A03B67">
        <w:t xml:space="preserve"> </w:t>
      </w:r>
      <w:r>
        <w:t>Anonymous</w:t>
      </w:r>
      <w:r w:rsidRPr="00A03B67">
        <w:t xml:space="preserve"> </w:t>
      </w:r>
      <w:r w:rsidRPr="00A03B67" w:rsidDel="006D0197">
        <w:t>S</w:t>
      </w:r>
      <w:r w:rsidRPr="00A03B67">
        <w:t xml:space="preserve">ubmission 26 to Secure Jobs, Better Pay Review, </w:t>
      </w:r>
      <w:r w:rsidRPr="00A03B67">
        <w:rPr>
          <w:i/>
          <w:iCs/>
        </w:rPr>
        <w:t xml:space="preserve">Review of the Secure Jobs, Better Pay Act </w:t>
      </w:r>
      <w:r w:rsidRPr="00A03B67">
        <w:t>(29 November 2024), 3.</w:t>
      </w:r>
    </w:p>
  </w:footnote>
  <w:footnote w:id="1037">
    <w:p w14:paraId="4EC20E91" w14:textId="270E99BD" w:rsidR="000A0EB4" w:rsidRPr="00A03B67" w:rsidRDefault="000A0EB4" w:rsidP="000A0EB4">
      <w:pPr>
        <w:pStyle w:val="FootnoteText"/>
      </w:pPr>
      <w:r w:rsidRPr="00A03B67">
        <w:rPr>
          <w:rStyle w:val="FootnoteReference"/>
        </w:rPr>
        <w:footnoteRef/>
      </w:r>
      <w:r w:rsidRPr="00A03B67">
        <w:t xml:space="preserve"> Australian Council of Trade Unions, Submission 20 to Secure Jobs, Better Pay Review, </w:t>
      </w:r>
      <w:r w:rsidRPr="00A03B67">
        <w:rPr>
          <w:i/>
          <w:iCs/>
        </w:rPr>
        <w:t xml:space="preserve">Review of the Secure Jobs, Better Pay Act </w:t>
      </w:r>
      <w:r w:rsidRPr="00A03B67">
        <w:t xml:space="preserve">(29 November 2024) 42; United Workers Union, Submission 35 to Secure Jobs, Better Pay Review, </w:t>
      </w:r>
      <w:r w:rsidRPr="00A03B67">
        <w:rPr>
          <w:i/>
          <w:iCs/>
        </w:rPr>
        <w:t xml:space="preserve">Review of the Secure Jobs, Better Pay Act </w:t>
      </w:r>
      <w:r w:rsidRPr="00A03B67">
        <w:t>(1 December 2024) 15.</w:t>
      </w:r>
    </w:p>
  </w:footnote>
  <w:footnote w:id="1038">
    <w:p w14:paraId="05B5AD37" w14:textId="747EE133" w:rsidR="000A0EB4" w:rsidRDefault="000A0EB4" w:rsidP="000A0EB4">
      <w:pPr>
        <w:pStyle w:val="FootnoteText"/>
      </w:pPr>
      <w:r>
        <w:rPr>
          <w:rStyle w:val="FootnoteReference"/>
        </w:rPr>
        <w:footnoteRef/>
      </w:r>
      <w:r>
        <w:t xml:space="preserve"> ACTU submission in response to the </w:t>
      </w:r>
      <w:r w:rsidR="00BA69E5">
        <w:t>d</w:t>
      </w:r>
      <w:r>
        <w:t xml:space="preserve">raft </w:t>
      </w:r>
      <w:r w:rsidR="00BA69E5">
        <w:t>r</w:t>
      </w:r>
      <w:r>
        <w:t>eport, 23</w:t>
      </w:r>
      <w:r w:rsidR="00BA69E5">
        <w:rPr>
          <w:rFonts w:ascii="Symbol" w:eastAsia="Symbol" w:hAnsi="Symbol" w:cs="Symbol"/>
        </w:rPr>
        <w:t>-</w:t>
      </w:r>
      <w:r>
        <w:t xml:space="preserve">24; UWU submission in response to the </w:t>
      </w:r>
      <w:r w:rsidR="00BA69E5">
        <w:t>d</w:t>
      </w:r>
      <w:r>
        <w:t xml:space="preserve">raft </w:t>
      </w:r>
      <w:r w:rsidR="00BA69E5">
        <w:t>r</w:t>
      </w:r>
      <w:r>
        <w:t xml:space="preserve">eport, 8; ANMF submission in response to the </w:t>
      </w:r>
      <w:r w:rsidR="00BA69E5">
        <w:t>d</w:t>
      </w:r>
      <w:r>
        <w:t xml:space="preserve">raft </w:t>
      </w:r>
      <w:r w:rsidR="00BA69E5">
        <w:t>r</w:t>
      </w:r>
      <w:r>
        <w:t>eport, 5</w:t>
      </w:r>
      <w:r w:rsidR="00BA69E5">
        <w:rPr>
          <w:rFonts w:ascii="Symbol" w:eastAsia="Symbol" w:hAnsi="Symbol" w:cs="Symbol"/>
        </w:rPr>
        <w:t>-</w:t>
      </w:r>
      <w:r>
        <w:t>6.</w:t>
      </w:r>
    </w:p>
  </w:footnote>
  <w:footnote w:id="1039">
    <w:p w14:paraId="25C2D6F9" w14:textId="360F5A40" w:rsidR="000A0EB4" w:rsidRDefault="000A0EB4" w:rsidP="000A0EB4">
      <w:pPr>
        <w:pStyle w:val="FootnoteText"/>
      </w:pPr>
      <w:r>
        <w:rPr>
          <w:rStyle w:val="FootnoteReference"/>
        </w:rPr>
        <w:footnoteRef/>
      </w:r>
      <w:r>
        <w:t xml:space="preserve"> ACCI submission in response to the </w:t>
      </w:r>
      <w:r w:rsidR="00BA69E5">
        <w:t>d</w:t>
      </w:r>
      <w:r>
        <w:t xml:space="preserve">raft </w:t>
      </w:r>
      <w:r w:rsidR="00BA69E5">
        <w:t>r</w:t>
      </w:r>
      <w:r>
        <w:t xml:space="preserve">eport, 24 </w:t>
      </w:r>
      <w:r w:rsidR="00BA69E5">
        <w:t>[</w:t>
      </w:r>
      <w:r>
        <w:t>65</w:t>
      </w:r>
      <w:r w:rsidR="00BA69E5">
        <w:t>]</w:t>
      </w:r>
      <w:r>
        <w:t>;</w:t>
      </w:r>
      <w:r w:rsidRPr="00491940">
        <w:t xml:space="preserve"> </w:t>
      </w:r>
      <w:r>
        <w:t xml:space="preserve">MGA submission in response to the </w:t>
      </w:r>
      <w:r w:rsidR="00BA69E5">
        <w:t>d</w:t>
      </w:r>
      <w:r>
        <w:t xml:space="preserve">raft </w:t>
      </w:r>
      <w:r w:rsidR="00BA69E5">
        <w:t>r</w:t>
      </w:r>
      <w:r>
        <w:t>eport, 7</w:t>
      </w:r>
      <w:r w:rsidR="00BA69E5">
        <w:t xml:space="preserve"> [</w:t>
      </w:r>
      <w:r>
        <w:t>19</w:t>
      </w:r>
      <w:r w:rsidR="00BA69E5">
        <w:t>]</w:t>
      </w:r>
      <w:r>
        <w:t>.</w:t>
      </w:r>
    </w:p>
  </w:footnote>
  <w:footnote w:id="1040">
    <w:p w14:paraId="3EBDC694" w14:textId="558E1442" w:rsidR="000A0EB4" w:rsidRDefault="000A0EB4" w:rsidP="000A0EB4">
      <w:pPr>
        <w:pStyle w:val="FootnoteText"/>
      </w:pPr>
      <w:r>
        <w:rPr>
          <w:rStyle w:val="FootnoteReference"/>
        </w:rPr>
        <w:footnoteRef/>
      </w:r>
      <w:r>
        <w:t xml:space="preserve"> </w:t>
      </w:r>
      <w:r w:rsidR="00332BD7">
        <w:t>Australian Council of Trade Unions (</w:t>
      </w:r>
      <w:r>
        <w:t>ACTU</w:t>
      </w:r>
      <w:r w:rsidR="00332BD7">
        <w:t>)</w:t>
      </w:r>
      <w:r>
        <w:t xml:space="preserve"> submission in response to </w:t>
      </w:r>
      <w:r w:rsidR="00BA69E5">
        <w:t>d</w:t>
      </w:r>
      <w:r>
        <w:t xml:space="preserve">raft </w:t>
      </w:r>
      <w:r w:rsidR="00BA69E5">
        <w:t>r</w:t>
      </w:r>
      <w:r>
        <w:t>eport, 23</w:t>
      </w:r>
      <w:r w:rsidR="00BA69E5">
        <w:rPr>
          <w:rFonts w:ascii="Symbol" w:eastAsia="Symbol" w:hAnsi="Symbol" w:cs="Symbol"/>
        </w:rPr>
        <w:t>-</w:t>
      </w:r>
      <w:r>
        <w:t xml:space="preserve">24; </w:t>
      </w:r>
      <w:r w:rsidR="00332BD7" w:rsidRPr="00332BD7">
        <w:t xml:space="preserve">Australian Nursing and Midwifery Federation </w:t>
      </w:r>
      <w:r w:rsidR="00332BD7">
        <w:t>(</w:t>
      </w:r>
      <w:r>
        <w:t>ANMF</w:t>
      </w:r>
      <w:r w:rsidR="00332BD7">
        <w:t>)</w:t>
      </w:r>
      <w:r>
        <w:t xml:space="preserve"> submission in response to </w:t>
      </w:r>
      <w:r w:rsidR="00BA69E5">
        <w:t>d</w:t>
      </w:r>
      <w:r>
        <w:t xml:space="preserve">raft </w:t>
      </w:r>
      <w:r w:rsidR="00BA69E5">
        <w:t>r</w:t>
      </w:r>
      <w:r>
        <w:t xml:space="preserve">eport, 6 [16]; </w:t>
      </w:r>
      <w:r w:rsidR="00332BD7" w:rsidRPr="00332BD7">
        <w:t xml:space="preserve">Australian Services Union </w:t>
      </w:r>
      <w:r w:rsidR="00332BD7">
        <w:t>(</w:t>
      </w:r>
      <w:r>
        <w:t>ASU</w:t>
      </w:r>
      <w:r w:rsidR="00332BD7">
        <w:t>)</w:t>
      </w:r>
      <w:r>
        <w:t xml:space="preserve"> submission in response to </w:t>
      </w:r>
      <w:r w:rsidR="00BA69E5">
        <w:t>d</w:t>
      </w:r>
      <w:r>
        <w:t xml:space="preserve">raft </w:t>
      </w:r>
      <w:r w:rsidR="00BA69E5">
        <w:t>r</w:t>
      </w:r>
      <w:r>
        <w:t>eport, 1.</w:t>
      </w:r>
    </w:p>
  </w:footnote>
  <w:footnote w:id="1041">
    <w:p w14:paraId="1177F77B" w14:textId="232CA57E" w:rsidR="000A0EB4" w:rsidRDefault="000A0EB4" w:rsidP="000A0EB4">
      <w:pPr>
        <w:pStyle w:val="FootnoteText"/>
      </w:pPr>
      <w:r>
        <w:rPr>
          <w:rStyle w:val="FootnoteReference"/>
        </w:rPr>
        <w:footnoteRef/>
      </w:r>
      <w:r>
        <w:t xml:space="preserve"> </w:t>
      </w:r>
      <w:r w:rsidR="00332BD7">
        <w:t>Australian Chamber of Commerce and Industry (</w:t>
      </w:r>
      <w:r>
        <w:t>ACCI</w:t>
      </w:r>
      <w:r w:rsidR="00332BD7">
        <w:t>)</w:t>
      </w:r>
      <w:r>
        <w:t xml:space="preserve"> submission in response to </w:t>
      </w:r>
      <w:r w:rsidR="00BA69E5">
        <w:t>d</w:t>
      </w:r>
      <w:r>
        <w:t xml:space="preserve">raft </w:t>
      </w:r>
      <w:r w:rsidR="00BA69E5">
        <w:t>r</w:t>
      </w:r>
      <w:r>
        <w:t>eport, 24</w:t>
      </w:r>
      <w:r w:rsidR="00BA69E5">
        <w:t xml:space="preserve"> [</w:t>
      </w:r>
      <w:r>
        <w:t>66</w:t>
      </w:r>
      <w:r w:rsidR="00BA69E5">
        <w:t>]</w:t>
      </w:r>
      <w:r>
        <w:t>.</w:t>
      </w:r>
    </w:p>
  </w:footnote>
  <w:footnote w:id="1042">
    <w:p w14:paraId="425DE9BF" w14:textId="77777777" w:rsidR="000A0EB4" w:rsidRPr="00A03B67" w:rsidRDefault="000A0EB4" w:rsidP="000A0EB4">
      <w:pPr>
        <w:pStyle w:val="FootnoteText"/>
      </w:pPr>
      <w:r w:rsidRPr="00A03B67">
        <w:rPr>
          <w:rStyle w:val="FootnoteReference"/>
        </w:rPr>
        <w:footnoteRef/>
      </w:r>
      <w:r w:rsidRPr="00A03B67">
        <w:t xml:space="preserve"> </w:t>
      </w:r>
      <w:r w:rsidRPr="00A03B67">
        <w:rPr>
          <w:i/>
          <w:iCs/>
        </w:rPr>
        <w:t xml:space="preserve">Fair Work Act 2009 </w:t>
      </w:r>
      <w:r w:rsidRPr="00A03B67">
        <w:t>(Cth) s 333D.</w:t>
      </w:r>
    </w:p>
  </w:footnote>
  <w:footnote w:id="1043">
    <w:p w14:paraId="27DD29D7" w14:textId="77777777" w:rsidR="000A0EB4" w:rsidRPr="00A03B67" w:rsidRDefault="000A0EB4" w:rsidP="000A0EB4">
      <w:pPr>
        <w:pStyle w:val="FootnoteText"/>
      </w:pPr>
      <w:r w:rsidRPr="00A03B67">
        <w:rPr>
          <w:rStyle w:val="FootnoteReference"/>
        </w:rPr>
        <w:footnoteRef/>
      </w:r>
      <w:r w:rsidRPr="00A03B67">
        <w:t xml:space="preserve"> </w:t>
      </w:r>
      <w:r w:rsidRPr="00A03B67">
        <w:rPr>
          <w:i/>
          <w:iCs/>
        </w:rPr>
        <w:t xml:space="preserve">Fair Work Act 2009 </w:t>
      </w:r>
      <w:r w:rsidRPr="00A03B67">
        <w:t>(Cth) s 333C.</w:t>
      </w:r>
    </w:p>
  </w:footnote>
  <w:footnote w:id="1044">
    <w:p w14:paraId="6A9AF4B2" w14:textId="77777777" w:rsidR="000A0EB4" w:rsidRPr="00A03B67" w:rsidRDefault="000A0EB4" w:rsidP="000A0EB4">
      <w:pPr>
        <w:pStyle w:val="FootnoteText"/>
      </w:pPr>
      <w:r w:rsidRPr="00A03B67">
        <w:rPr>
          <w:rStyle w:val="FootnoteReference"/>
        </w:rPr>
        <w:footnoteRef/>
      </w:r>
      <w:r w:rsidRPr="00A03B67">
        <w:t xml:space="preserve"> Revised Explanatory Memorandum, Fair Work Legislation Amendment (Secure Jobs, Better Pay) Bill</w:t>
      </w:r>
      <w:r w:rsidRPr="00A03B67">
        <w:rPr>
          <w:i/>
          <w:iCs/>
        </w:rPr>
        <w:t xml:space="preserve"> </w:t>
      </w:r>
      <w:r w:rsidRPr="00A03B67">
        <w:t>2022, [252], [408].</w:t>
      </w:r>
    </w:p>
  </w:footnote>
  <w:footnote w:id="1045">
    <w:p w14:paraId="55AA3777" w14:textId="7BE50CA4" w:rsidR="000A0EB4" w:rsidRPr="00A03B67" w:rsidRDefault="000A0EB4" w:rsidP="000A0EB4">
      <w:pPr>
        <w:pStyle w:val="FootnoteText"/>
        <w:rPr>
          <w:lang w:val="en-US"/>
        </w:rPr>
      </w:pPr>
      <w:r w:rsidRPr="00A03B67">
        <w:rPr>
          <w:rStyle w:val="FootnoteReference"/>
        </w:rPr>
        <w:footnoteRef/>
      </w:r>
      <w:r w:rsidRPr="00A03B67">
        <w:t xml:space="preserve"> Organisation for Economic Co-Operation and Development (OECD), </w:t>
      </w:r>
      <w:r w:rsidRPr="00A03B67">
        <w:rPr>
          <w:i/>
          <w:iCs/>
        </w:rPr>
        <w:t xml:space="preserve">Pay Transparency Tools to Close the Gender Wage Gap </w:t>
      </w:r>
      <w:r w:rsidRPr="00A03B67">
        <w:t>(Final Report, 30 November 2021) 19.</w:t>
      </w:r>
    </w:p>
  </w:footnote>
  <w:footnote w:id="1046">
    <w:p w14:paraId="7E1EB229" w14:textId="5D2DF2ED" w:rsidR="000A0EB4" w:rsidRPr="00A03B67" w:rsidRDefault="000A0EB4" w:rsidP="000A0EB4">
      <w:pPr>
        <w:pStyle w:val="FootnoteText"/>
      </w:pPr>
      <w:r w:rsidRPr="00A03B67">
        <w:rPr>
          <w:rStyle w:val="FootnoteReference"/>
        </w:rPr>
        <w:footnoteRef/>
      </w:r>
      <w:r w:rsidRPr="00A03B67">
        <w:t xml:space="preserve"> </w:t>
      </w:r>
      <w:r w:rsidRPr="00A03B67">
        <w:rPr>
          <w:rFonts w:ascii="Aptos" w:eastAsia="Aptos" w:hAnsi="Aptos" w:cs="Aptos"/>
          <w:lang w:val="en-US"/>
        </w:rPr>
        <w:t xml:space="preserve">D Avdul, W Martin and Y Lopez, </w:t>
      </w:r>
      <w:r w:rsidR="00BA69E5">
        <w:rPr>
          <w:rFonts w:ascii="Aptos" w:eastAsia="Aptos" w:hAnsi="Aptos" w:cs="Aptos"/>
          <w:lang w:val="en-US"/>
        </w:rPr>
        <w:t>‘</w:t>
      </w:r>
      <w:r w:rsidRPr="00A03B67">
        <w:rPr>
          <w:rFonts w:ascii="Aptos" w:eastAsia="Aptos" w:hAnsi="Aptos" w:cs="Aptos"/>
          <w:lang w:val="en-US"/>
        </w:rPr>
        <w:t>Pay Transparency: Why it is Important to be Thoughtful and Strategic</w:t>
      </w:r>
      <w:r w:rsidR="00BA69E5">
        <w:rPr>
          <w:rFonts w:ascii="Aptos" w:eastAsia="Aptos" w:hAnsi="Aptos" w:cs="Aptos"/>
          <w:lang w:val="en-US"/>
        </w:rPr>
        <w:t>’</w:t>
      </w:r>
      <w:r w:rsidRPr="00A03B67">
        <w:rPr>
          <w:rFonts w:ascii="Aptos" w:eastAsia="Aptos" w:hAnsi="Aptos" w:cs="Aptos"/>
          <w:lang w:val="en-US"/>
        </w:rPr>
        <w:t xml:space="preserve"> (2023) 56(2) </w:t>
      </w:r>
      <w:r w:rsidRPr="00A03B67">
        <w:rPr>
          <w:rFonts w:ascii="Aptos" w:eastAsia="Aptos" w:hAnsi="Aptos" w:cs="Aptos"/>
          <w:i/>
          <w:lang w:val="en-US"/>
        </w:rPr>
        <w:t>Compensation &amp; Benefits Review</w:t>
      </w:r>
      <w:r w:rsidRPr="00A03B67">
        <w:rPr>
          <w:rFonts w:ascii="Aptos" w:eastAsia="Aptos" w:hAnsi="Aptos" w:cs="Aptos"/>
          <w:lang w:val="en-US"/>
        </w:rPr>
        <w:t xml:space="preserve"> 103</w:t>
      </w:r>
      <w:r w:rsidRPr="00A03B67">
        <w:t>.</w:t>
      </w:r>
    </w:p>
  </w:footnote>
  <w:footnote w:id="1047">
    <w:p w14:paraId="7AA5B83E" w14:textId="77777777" w:rsidR="000A0EB4" w:rsidRPr="00A03B67" w:rsidRDefault="000A0EB4" w:rsidP="000A0EB4">
      <w:pPr>
        <w:pStyle w:val="FootnoteText"/>
      </w:pPr>
      <w:r w:rsidRPr="00A03B67">
        <w:rPr>
          <w:rStyle w:val="FootnoteReference"/>
        </w:rPr>
        <w:footnoteRef/>
      </w:r>
      <w:r w:rsidRPr="00A03B67">
        <w:t xml:space="preserve"> </w:t>
      </w:r>
      <w:r w:rsidRPr="00A03B67">
        <w:rPr>
          <w:rFonts w:ascii="Aptos" w:eastAsia="Aptos" w:hAnsi="Aptos" w:cs="Aptos"/>
          <w:lang w:val="en-US"/>
        </w:rPr>
        <w:t xml:space="preserve">Workplace Gender Equality Agency, </w:t>
      </w:r>
      <w:r w:rsidRPr="00A03B67">
        <w:rPr>
          <w:rFonts w:ascii="Aptos" w:eastAsia="Aptos" w:hAnsi="Aptos" w:cs="Aptos"/>
          <w:i/>
          <w:iCs/>
          <w:lang w:val="en-US"/>
        </w:rPr>
        <w:t>Employer Gender Pay Gap Publication in the United Kingdom: A Review of the Literature</w:t>
      </w:r>
      <w:r w:rsidRPr="00A03B67">
        <w:rPr>
          <w:rFonts w:ascii="Aptos" w:eastAsia="Aptos" w:hAnsi="Aptos" w:cs="Aptos"/>
          <w:lang w:val="en-US"/>
        </w:rPr>
        <w:t xml:space="preserve"> (Research Paper, 13 February 2024) 1</w:t>
      </w:r>
      <w:r w:rsidRPr="00A03B67">
        <w:rPr>
          <w:rFonts w:ascii="Aptos" w:eastAsia="Aptos" w:hAnsi="Aptos" w:cs="Aptos"/>
          <w:sz w:val="24"/>
          <w:szCs w:val="24"/>
          <w:lang w:val="en-US"/>
        </w:rPr>
        <w:t xml:space="preserve"> </w:t>
      </w:r>
      <w:r w:rsidRPr="00A03B67">
        <w:rPr>
          <w:rFonts w:ascii="Aptos" w:eastAsia="Aptos" w:hAnsi="Aptos" w:cs="Aptos"/>
          <w:lang w:val="en-US"/>
        </w:rPr>
        <w:t>&lt;</w:t>
      </w:r>
      <w:r w:rsidRPr="00A03B67">
        <w:t>https://www.wgea.gov.au/sites/default/files/documents/UK-Gender-Pay-Gap-Publication-Research-Brief-February-2024.pdf&gt;.</w:t>
      </w:r>
    </w:p>
  </w:footnote>
  <w:footnote w:id="1048">
    <w:p w14:paraId="429A0B59" w14:textId="77777777" w:rsidR="000A0EB4" w:rsidRPr="00A03B67" w:rsidRDefault="000A0EB4" w:rsidP="000A0EB4">
      <w:pPr>
        <w:pStyle w:val="FootnoteText"/>
      </w:pPr>
      <w:r w:rsidRPr="00A03B67">
        <w:rPr>
          <w:rStyle w:val="FootnoteReference"/>
        </w:rPr>
        <w:footnoteRef/>
      </w:r>
      <w:r w:rsidRPr="00A03B67">
        <w:t xml:space="preserve"> Workplace Gender Equality Agency, </w:t>
      </w:r>
      <w:r w:rsidRPr="00A03B67">
        <w:rPr>
          <w:rFonts w:ascii="Aptos" w:eastAsia="Aptos" w:hAnsi="Aptos" w:cs="Aptos"/>
          <w:i/>
          <w:iCs/>
          <w:lang w:val="en-US"/>
        </w:rPr>
        <w:t>Publishing Employer Gender Pay Gaps in 2025 FAQ</w:t>
      </w:r>
      <w:r w:rsidRPr="00A03B67">
        <w:rPr>
          <w:rFonts w:ascii="Aptos" w:eastAsia="Aptos" w:hAnsi="Aptos" w:cs="Aptos"/>
          <w:lang w:val="en-US"/>
        </w:rPr>
        <w:t xml:space="preserve"> (Web Page, n.d.) &lt;</w:t>
      </w:r>
      <w:r w:rsidRPr="00A03B67">
        <w:t>https://www.wgea.gov.au/about/our-legislation/publishing-employer-gender-pay-gaps&gt;.</w:t>
      </w:r>
    </w:p>
  </w:footnote>
  <w:footnote w:id="1049">
    <w:p w14:paraId="2AB233AB" w14:textId="77777777" w:rsidR="000A0EB4" w:rsidRPr="00A03B67" w:rsidRDefault="000A0EB4" w:rsidP="000A0EB4">
      <w:pPr>
        <w:pStyle w:val="FootnoteText"/>
      </w:pPr>
      <w:r w:rsidRPr="00A03B67">
        <w:rPr>
          <w:rStyle w:val="FootnoteReference"/>
        </w:rPr>
        <w:footnoteRef/>
      </w:r>
      <w:r w:rsidRPr="00A03B67">
        <w:t xml:space="preserve"> </w:t>
      </w:r>
      <w:r w:rsidRPr="00A03B67">
        <w:rPr>
          <w:rFonts w:ascii="Aptos" w:eastAsia="Aptos" w:hAnsi="Aptos" w:cs="Aptos"/>
          <w:lang w:val="en-US"/>
        </w:rPr>
        <w:t>European Commission, ‘Commission Welcomes the Political Agreement on New EU Rules for Pay Transparency‘ (Media Release, 15 December 2022) &lt;</w:t>
      </w:r>
      <w:r w:rsidRPr="00A03B67">
        <w:t>https://ec.europa.eu/commission/presscorner/detail/es/ip_22_7739&gt;.</w:t>
      </w:r>
    </w:p>
  </w:footnote>
  <w:footnote w:id="1050">
    <w:p w14:paraId="1174F4E6" w14:textId="14D33A86" w:rsidR="000A0EB4" w:rsidRDefault="000A0EB4" w:rsidP="000A0EB4">
      <w:pPr>
        <w:pStyle w:val="FootnoteText"/>
      </w:pPr>
      <w:r>
        <w:rPr>
          <w:rStyle w:val="FootnoteReference"/>
        </w:rPr>
        <w:footnoteRef/>
      </w:r>
      <w:r>
        <w:t xml:space="preserve"> </w:t>
      </w:r>
      <w:r w:rsidR="00332BD7">
        <w:t>Fair Work Ombudsman</w:t>
      </w:r>
      <w:r w:rsidRPr="00A03B67">
        <w:t>, information provided to the Review (</w:t>
      </w:r>
      <w:r>
        <w:t>6 December 2024</w:t>
      </w:r>
      <w:r w:rsidRPr="00A03B67">
        <w:t>).</w:t>
      </w:r>
    </w:p>
  </w:footnote>
  <w:footnote w:id="1051">
    <w:p w14:paraId="4EE3E3DC" w14:textId="0678D477" w:rsidR="000A0EB4" w:rsidRDefault="000A0EB4" w:rsidP="000A0EB4">
      <w:pPr>
        <w:pStyle w:val="FootnoteText"/>
      </w:pPr>
      <w:r>
        <w:rPr>
          <w:rStyle w:val="FootnoteReference"/>
        </w:rPr>
        <w:footnoteRef/>
      </w:r>
      <w:r>
        <w:t xml:space="preserve"> </w:t>
      </w:r>
      <w:r w:rsidR="00332BD7">
        <w:t>Fair Work Ombudsman</w:t>
      </w:r>
      <w:r w:rsidRPr="00A03B67">
        <w:t>, information provided to the Review (</w:t>
      </w:r>
      <w:r>
        <w:t>18 February 2025</w:t>
      </w:r>
      <w:r w:rsidRPr="00A03B67">
        <w:t>).</w:t>
      </w:r>
    </w:p>
  </w:footnote>
  <w:footnote w:id="1052">
    <w:p w14:paraId="17A953A1" w14:textId="1548EEF9" w:rsidR="000A0EB4" w:rsidRPr="00A03B67" w:rsidRDefault="000A0EB4" w:rsidP="000A0EB4">
      <w:pPr>
        <w:pStyle w:val="FootnoteText"/>
      </w:pPr>
      <w:r w:rsidRPr="00A03B67">
        <w:rPr>
          <w:rStyle w:val="FootnoteReference"/>
        </w:rPr>
        <w:footnoteRef/>
      </w:r>
      <w:r w:rsidRPr="00A03B67">
        <w:t xml:space="preserve"> Workplace Gender Equality Agency, </w:t>
      </w:r>
      <w:r w:rsidRPr="00A03B67">
        <w:rPr>
          <w:i/>
          <w:iCs/>
        </w:rPr>
        <w:t>Gender Equality Scorecard November 2024</w:t>
      </w:r>
      <w:r w:rsidRPr="00A03B67">
        <w:t xml:space="preserve"> (Report, 2024) 32</w:t>
      </w:r>
      <w:r w:rsidRPr="00A03B67">
        <w:rPr>
          <w:rFonts w:ascii="Symbol" w:eastAsia="Symbol" w:hAnsi="Symbol" w:cs="Symbol"/>
        </w:rPr>
        <w:t>-</w:t>
      </w:r>
      <w:r w:rsidRPr="00A03B67">
        <w:t>35 &lt;https://www.wgea.gov.au/publications/australias-gender-equality-scorecard&gt;.</w:t>
      </w:r>
    </w:p>
  </w:footnote>
  <w:footnote w:id="1053">
    <w:p w14:paraId="55F9FFC2" w14:textId="62CD23EC" w:rsidR="000A0EB4" w:rsidRPr="00A03B67" w:rsidRDefault="000A0EB4" w:rsidP="000A0EB4">
      <w:pPr>
        <w:pStyle w:val="FootnoteText"/>
      </w:pPr>
      <w:r w:rsidRPr="00A03B67">
        <w:rPr>
          <w:rStyle w:val="FootnoteReference"/>
        </w:rPr>
        <w:footnoteRef/>
      </w:r>
      <w:r w:rsidRPr="00A03B67">
        <w:t xml:space="preserve"> Workplace Gender Equality Agency, </w:t>
      </w:r>
      <w:r w:rsidRPr="00A03B67">
        <w:rPr>
          <w:i/>
          <w:iCs/>
        </w:rPr>
        <w:t>Gender Equality Scorecard November 2024</w:t>
      </w:r>
      <w:r w:rsidRPr="00A03B67">
        <w:t xml:space="preserve"> (Report, 2024) 35 &lt;https://www.wgea.gov.au/publications/australias-gender-equality-scorecard&gt;.</w:t>
      </w:r>
    </w:p>
  </w:footnote>
  <w:footnote w:id="1054">
    <w:p w14:paraId="72D59F1F" w14:textId="604DC18F" w:rsidR="000A0EB4" w:rsidRPr="00A03B67" w:rsidRDefault="000A0EB4" w:rsidP="000A0EB4">
      <w:pPr>
        <w:pStyle w:val="FootnoteText"/>
        <w:rPr>
          <w:lang w:val="en-US"/>
        </w:rPr>
      </w:pPr>
      <w:r w:rsidRPr="00A03B67">
        <w:rPr>
          <w:rStyle w:val="FootnoteReference"/>
        </w:rPr>
        <w:footnoteRef/>
      </w:r>
      <w:r w:rsidRPr="00A03B67">
        <w:t xml:space="preserve"> Organisation for Economic Co-Operation and Development (OECD), </w:t>
      </w:r>
      <w:r w:rsidRPr="00A03B67">
        <w:rPr>
          <w:i/>
          <w:iCs/>
        </w:rPr>
        <w:t xml:space="preserve">Pay Transparency Tools to Close the Gender Wage Gap </w:t>
      </w:r>
      <w:r w:rsidRPr="00A03B67">
        <w:t>(Final Report, 30 November 2021) 60.</w:t>
      </w:r>
    </w:p>
  </w:footnote>
  <w:footnote w:id="1055">
    <w:p w14:paraId="08466CD0" w14:textId="5652D7C8" w:rsidR="000A0EB4" w:rsidRPr="00A03B67" w:rsidRDefault="000A0EB4" w:rsidP="000A0EB4">
      <w:pPr>
        <w:pStyle w:val="FootnoteText"/>
      </w:pPr>
      <w:r w:rsidRPr="00A03B67">
        <w:rPr>
          <w:rStyle w:val="FootnoteReference"/>
        </w:rPr>
        <w:footnoteRef/>
      </w:r>
      <w:r w:rsidRPr="00A03B67">
        <w:t xml:space="preserve"> P Werner, ‘Wage Negotiations and Strategic Responses to Transparency’ (2023) 209 (May) </w:t>
      </w:r>
      <w:r w:rsidRPr="00A03B67">
        <w:rPr>
          <w:i/>
          <w:iCs/>
        </w:rPr>
        <w:t xml:space="preserve">Journal of Economic Behavior &amp; Organization </w:t>
      </w:r>
      <w:r w:rsidRPr="00A03B67">
        <w:t>161.</w:t>
      </w:r>
    </w:p>
  </w:footnote>
  <w:footnote w:id="1056">
    <w:p w14:paraId="10C9277B" w14:textId="5F9DD957" w:rsidR="000A0EB4" w:rsidRPr="00A03B67" w:rsidRDefault="000A0EB4" w:rsidP="000A0EB4">
      <w:pPr>
        <w:pStyle w:val="FootnoteText"/>
      </w:pPr>
      <w:r w:rsidRPr="00A03B67">
        <w:rPr>
          <w:rStyle w:val="FootnoteReference"/>
        </w:rPr>
        <w:footnoteRef/>
      </w:r>
      <w:r w:rsidRPr="00A03B67">
        <w:t xml:space="preserve"> K Brütt and H Yuan, </w:t>
      </w:r>
      <w:r w:rsidRPr="00A03B67">
        <w:rPr>
          <w:i/>
          <w:iCs/>
        </w:rPr>
        <w:t>Pitfalls of Pay Transparency: Evidence From the Lab and the Field</w:t>
      </w:r>
      <w:r w:rsidRPr="00A03B67">
        <w:t xml:space="preserve"> (Discussion Paper No 2022-055/I, Tinbergen Institute, 7 December 2022).</w:t>
      </w:r>
    </w:p>
  </w:footnote>
  <w:footnote w:id="1057">
    <w:p w14:paraId="0FFC4AD7" w14:textId="77777777" w:rsidR="000A0EB4" w:rsidRPr="00A03B67" w:rsidRDefault="000A0EB4" w:rsidP="000A0EB4">
      <w:pPr>
        <w:pStyle w:val="FootnoteText"/>
        <w:rPr>
          <w:lang w:val="en-US"/>
        </w:rPr>
      </w:pPr>
      <w:r w:rsidRPr="00A03B67">
        <w:rPr>
          <w:rStyle w:val="FootnoteReference"/>
        </w:rPr>
        <w:footnoteRef/>
      </w:r>
      <w:r w:rsidRPr="00A03B67">
        <w:t xml:space="preserve"> Organisation for Economic Co-Operation and Development (OECD), </w:t>
      </w:r>
      <w:r w:rsidRPr="00A03B67">
        <w:rPr>
          <w:i/>
          <w:iCs/>
        </w:rPr>
        <w:t xml:space="preserve">Pay Transparency Tools to Close the Gender Wage Gap </w:t>
      </w:r>
      <w:r w:rsidRPr="00A03B67">
        <w:t>(Final Report, 30 November 2021) 20.</w:t>
      </w:r>
    </w:p>
  </w:footnote>
  <w:footnote w:id="1058">
    <w:p w14:paraId="5CCFD393" w14:textId="0D25A206" w:rsidR="000A0EB4" w:rsidRPr="00A03B67" w:rsidRDefault="000A0EB4" w:rsidP="000A0EB4">
      <w:pPr>
        <w:pStyle w:val="FootnoteText"/>
      </w:pPr>
      <w:r w:rsidRPr="00A03B67">
        <w:rPr>
          <w:rStyle w:val="FootnoteReference"/>
        </w:rPr>
        <w:footnoteRef/>
      </w:r>
      <w:r w:rsidRPr="00A03B67">
        <w:t xml:space="preserve"> R Stofberg, C Mabaso and M Bussin, ‘Employee Response to Pay Transparency’ (2022) 48(1) </w:t>
      </w:r>
      <w:r w:rsidRPr="00A03B67">
        <w:rPr>
          <w:i/>
          <w:iCs/>
        </w:rPr>
        <w:t xml:space="preserve">SA Journal of Industrial Psychology </w:t>
      </w:r>
      <w:r w:rsidRPr="00A03B67">
        <w:t xml:space="preserve">1, cited in </w:t>
      </w:r>
      <w:r w:rsidR="00BA69E5">
        <w:rPr>
          <w:rFonts w:ascii="Aptos" w:eastAsia="Aptos" w:hAnsi="Aptos" w:cs="Aptos"/>
          <w:lang w:val="en-US"/>
        </w:rPr>
        <w:t xml:space="preserve">D </w:t>
      </w:r>
      <w:r w:rsidRPr="00A03B67">
        <w:rPr>
          <w:rFonts w:ascii="Aptos" w:eastAsia="Aptos" w:hAnsi="Aptos" w:cs="Aptos"/>
          <w:lang w:val="en-US"/>
        </w:rPr>
        <w:t>Avdul,</w:t>
      </w:r>
      <w:r w:rsidR="00BA69E5">
        <w:rPr>
          <w:rFonts w:ascii="Aptos" w:eastAsia="Aptos" w:hAnsi="Aptos" w:cs="Aptos"/>
          <w:lang w:val="en-US"/>
        </w:rPr>
        <w:t xml:space="preserve">W </w:t>
      </w:r>
      <w:r w:rsidRPr="00A03B67">
        <w:rPr>
          <w:rFonts w:ascii="Aptos" w:eastAsia="Aptos" w:hAnsi="Aptos" w:cs="Aptos"/>
          <w:lang w:val="en-US"/>
        </w:rPr>
        <w:t xml:space="preserve">Martin and </w:t>
      </w:r>
      <w:r w:rsidR="00BA69E5">
        <w:rPr>
          <w:rFonts w:ascii="Aptos" w:eastAsia="Aptos" w:hAnsi="Aptos" w:cs="Aptos"/>
          <w:lang w:val="en-US"/>
        </w:rPr>
        <w:t xml:space="preserve">Y </w:t>
      </w:r>
      <w:r w:rsidRPr="00A03B67">
        <w:rPr>
          <w:rFonts w:ascii="Aptos" w:eastAsia="Aptos" w:hAnsi="Aptos" w:cs="Aptos"/>
          <w:lang w:val="en-US"/>
        </w:rPr>
        <w:t xml:space="preserve">Lopez, ‘Pay Transparency: Why It Is Important to be Thoughtful and Strategic’ (2023) 56(2) </w:t>
      </w:r>
      <w:r w:rsidRPr="00A03B67">
        <w:rPr>
          <w:rFonts w:ascii="Aptos" w:eastAsia="Aptos" w:hAnsi="Aptos" w:cs="Aptos"/>
          <w:i/>
          <w:lang w:val="en-US"/>
        </w:rPr>
        <w:t>Compensation &amp; Benefits Review</w:t>
      </w:r>
      <w:r w:rsidRPr="00A03B67">
        <w:rPr>
          <w:rFonts w:ascii="Aptos" w:eastAsia="Aptos" w:hAnsi="Aptos" w:cs="Aptos"/>
          <w:lang w:val="en-US"/>
        </w:rPr>
        <w:t xml:space="preserve"> 103</w:t>
      </w:r>
      <w:r w:rsidRPr="00A03B67">
        <w:t>.</w:t>
      </w:r>
    </w:p>
  </w:footnote>
  <w:footnote w:id="1059">
    <w:p w14:paraId="2BF49475" w14:textId="6EC8257D" w:rsidR="000A0EB4" w:rsidRPr="00A03B67" w:rsidRDefault="000A0EB4" w:rsidP="000A0EB4">
      <w:pPr>
        <w:pStyle w:val="FootnoteText"/>
      </w:pPr>
      <w:r w:rsidRPr="00A03B67">
        <w:rPr>
          <w:rStyle w:val="FootnoteReference"/>
        </w:rPr>
        <w:footnoteRef/>
      </w:r>
      <w:r w:rsidRPr="00A03B67">
        <w:t xml:space="preserve"> </w:t>
      </w:r>
      <w:r w:rsidR="00332BD7">
        <w:t>Australian Chamber of Commerce and Industry (</w:t>
      </w:r>
      <w:r w:rsidRPr="009F2C06">
        <w:t>ACCI</w:t>
      </w:r>
      <w:r w:rsidR="00332BD7">
        <w:t>)</w:t>
      </w:r>
      <w:r w:rsidRPr="009F2C06">
        <w:t xml:space="preserve"> submission, 71</w:t>
      </w:r>
      <w:r w:rsidR="00BA69E5">
        <w:rPr>
          <w:rFonts w:ascii="Symbol" w:eastAsia="Symbol" w:hAnsi="Symbol" w:cs="Symbol"/>
        </w:rPr>
        <w:t>-</w:t>
      </w:r>
      <w:r w:rsidRPr="009F2C06">
        <w:t>72.</w:t>
      </w:r>
    </w:p>
  </w:footnote>
  <w:footnote w:id="1060">
    <w:p w14:paraId="60F00F1D" w14:textId="77777777" w:rsidR="000A0EB4" w:rsidRDefault="000A0EB4" w:rsidP="000A0EB4">
      <w:pPr>
        <w:pStyle w:val="FootnoteText"/>
      </w:pPr>
      <w:r>
        <w:rPr>
          <w:rStyle w:val="FootnoteReference"/>
        </w:rPr>
        <w:footnoteRef/>
      </w:r>
      <w:r>
        <w:t xml:space="preserve"> A</w:t>
      </w:r>
      <w:r w:rsidRPr="000922B9">
        <w:t>s agreed by employers and employees</w:t>
      </w:r>
      <w:r>
        <w:t xml:space="preserve"> </w:t>
      </w:r>
      <w:r w:rsidRPr="000922B9">
        <w:t>for the purposes of clause 59(2)(c) of Schedule 1 to the Fair Work Act</w:t>
      </w:r>
      <w:r>
        <w:t>.</w:t>
      </w:r>
    </w:p>
  </w:footnote>
  <w:footnote w:id="1061">
    <w:p w14:paraId="7480B7BB" w14:textId="7DACBC26" w:rsidR="000A0EB4" w:rsidRDefault="000A0EB4" w:rsidP="000A0EB4">
      <w:pPr>
        <w:pStyle w:val="FootnoteText"/>
      </w:pPr>
      <w:r>
        <w:rPr>
          <w:rStyle w:val="FootnoteReference"/>
        </w:rPr>
        <w:footnoteRef/>
      </w:r>
      <w:r>
        <w:t xml:space="preserve"> Ai Group submission in response to </w:t>
      </w:r>
      <w:r w:rsidR="00BA69E5">
        <w:t>d</w:t>
      </w:r>
      <w:r>
        <w:t xml:space="preserve">raft </w:t>
      </w:r>
      <w:r w:rsidR="00BA69E5">
        <w:t>r</w:t>
      </w:r>
      <w:r>
        <w:t>eport, 55</w:t>
      </w:r>
      <w:r w:rsidR="00BA69E5">
        <w:t xml:space="preserve"> [</w:t>
      </w:r>
      <w:r>
        <w:t>244</w:t>
      </w:r>
      <w:r w:rsidR="00BA69E5">
        <w:t>]</w:t>
      </w:r>
      <w:r>
        <w:t xml:space="preserve">; ACCI submission in response to </w:t>
      </w:r>
      <w:r w:rsidR="00BA69E5">
        <w:t>d</w:t>
      </w:r>
      <w:r>
        <w:t xml:space="preserve">raft </w:t>
      </w:r>
      <w:r w:rsidR="00BA69E5">
        <w:t>r</w:t>
      </w:r>
      <w:r>
        <w:t>eport, 25</w:t>
      </w:r>
      <w:r w:rsidR="00BA69E5">
        <w:t xml:space="preserve"> [</w:t>
      </w:r>
      <w:r>
        <w:t>69</w:t>
      </w:r>
      <w:r w:rsidR="00BA69E5">
        <w:t>]</w:t>
      </w:r>
      <w:r>
        <w:t>.</w:t>
      </w:r>
    </w:p>
  </w:footnote>
  <w:footnote w:id="1062">
    <w:p w14:paraId="091565DE" w14:textId="239BABF4" w:rsidR="000A0EB4" w:rsidRDefault="000A0EB4" w:rsidP="000A0EB4">
      <w:pPr>
        <w:pStyle w:val="FootnoteText"/>
      </w:pPr>
      <w:r>
        <w:rPr>
          <w:rStyle w:val="FootnoteReference"/>
        </w:rPr>
        <w:footnoteRef/>
      </w:r>
      <w:r>
        <w:t xml:space="preserve"> ACCI submission in response to </w:t>
      </w:r>
      <w:r w:rsidR="00BA69E5">
        <w:t>d</w:t>
      </w:r>
      <w:r>
        <w:t xml:space="preserve">raft </w:t>
      </w:r>
      <w:r w:rsidR="00BA69E5">
        <w:t>r</w:t>
      </w:r>
      <w:r>
        <w:t>eport, 25</w:t>
      </w:r>
      <w:r w:rsidR="00BA69E5">
        <w:t xml:space="preserve"> [</w:t>
      </w:r>
      <w:r>
        <w:t>69</w:t>
      </w:r>
      <w:r w:rsidR="00BA69E5">
        <w:t>]</w:t>
      </w:r>
      <w:r>
        <w:t>.</w:t>
      </w:r>
    </w:p>
  </w:footnote>
  <w:footnote w:id="1063">
    <w:p w14:paraId="14F19C8A" w14:textId="13988BB3" w:rsidR="000A0EB4" w:rsidRDefault="000A0EB4" w:rsidP="000A0EB4">
      <w:pPr>
        <w:pStyle w:val="FootnoteText"/>
      </w:pPr>
      <w:r>
        <w:rPr>
          <w:rStyle w:val="FootnoteReference"/>
        </w:rPr>
        <w:footnoteRef/>
      </w:r>
      <w:r>
        <w:t xml:space="preserve"> Clubs Australia submission in response to </w:t>
      </w:r>
      <w:r w:rsidR="00BA69E5">
        <w:t>d</w:t>
      </w:r>
      <w:r>
        <w:t xml:space="preserve">raft </w:t>
      </w:r>
      <w:r w:rsidR="00BA69E5">
        <w:t>r</w:t>
      </w:r>
      <w:r>
        <w:t xml:space="preserve">eport, 2; </w:t>
      </w:r>
      <w:r w:rsidR="00332BD7">
        <w:t>Australian Retailers Association (</w:t>
      </w:r>
      <w:r>
        <w:t>ARA</w:t>
      </w:r>
      <w:r w:rsidR="00332BD7">
        <w:t>)</w:t>
      </w:r>
      <w:r>
        <w:t xml:space="preserve"> submission in response to </w:t>
      </w:r>
      <w:r w:rsidR="00BA69E5">
        <w:t>d</w:t>
      </w:r>
      <w:r>
        <w:t xml:space="preserve">raft </w:t>
      </w:r>
      <w:r w:rsidR="00BA69E5">
        <w:t>r</w:t>
      </w:r>
      <w:r>
        <w:t>eport, 4.</w:t>
      </w:r>
    </w:p>
  </w:footnote>
  <w:footnote w:id="1064">
    <w:p w14:paraId="140F1807" w14:textId="77777777" w:rsidR="000A0EB4" w:rsidRPr="00A03B67" w:rsidRDefault="000A0EB4" w:rsidP="000A0EB4">
      <w:pPr>
        <w:pStyle w:val="FootnoteText"/>
      </w:pPr>
      <w:r w:rsidRPr="00A03B67">
        <w:rPr>
          <w:rStyle w:val="FootnoteReference"/>
        </w:rPr>
        <w:footnoteRef/>
      </w:r>
      <w:r w:rsidRPr="00A03B67">
        <w:t xml:space="preserve"> Commonwealth, </w:t>
      </w:r>
      <w:r w:rsidRPr="00A03B67">
        <w:rPr>
          <w:i/>
          <w:iCs/>
        </w:rPr>
        <w:t xml:space="preserve">Parliamentary Debates, </w:t>
      </w:r>
      <w:r w:rsidRPr="00A03B67">
        <w:t>House of Representatives, 27 October 2022 (Tony Burke, Minister for Employment and Workplace Relations).</w:t>
      </w:r>
    </w:p>
  </w:footnote>
  <w:footnote w:id="1065">
    <w:p w14:paraId="2219795F" w14:textId="4189D74B" w:rsidR="000A0EB4" w:rsidRPr="00A03B67" w:rsidRDefault="000A0EB4" w:rsidP="000A0EB4">
      <w:pPr>
        <w:pStyle w:val="FootnoteText"/>
      </w:pPr>
      <w:r w:rsidRPr="00A03B67">
        <w:rPr>
          <w:rStyle w:val="FootnoteReference"/>
        </w:rPr>
        <w:footnoteRef/>
      </w:r>
      <w:r w:rsidRPr="00A03B67">
        <w:t xml:space="preserve"> Australian Human Rights Commission (AHRC), </w:t>
      </w:r>
      <w:r w:rsidRPr="00A03B67">
        <w:rPr>
          <w:i/>
          <w:iCs/>
        </w:rPr>
        <w:t xml:space="preserve">Respect@Work: National Inquiry into Sexual Harassment in Australian Workplaces </w:t>
      </w:r>
      <w:r w:rsidRPr="00A03B67">
        <w:t>(Final Report, 5 March 2020) 30</w:t>
      </w:r>
      <w:r w:rsidRPr="00A03B67">
        <w:rPr>
          <w:i/>
          <w:iCs/>
        </w:rPr>
        <w:t xml:space="preserve"> &lt;</w:t>
      </w:r>
      <w:r w:rsidRPr="00A03B67">
        <w:t>https://humanrights.gov.au/our-work/sex-discrimination/publications/respectwork-sexual-harassment-national-inquiry-report-2020&gt;.</w:t>
      </w:r>
    </w:p>
  </w:footnote>
  <w:footnote w:id="1066">
    <w:p w14:paraId="4651E729" w14:textId="77777777" w:rsidR="000A0EB4" w:rsidRPr="00A03B67" w:rsidRDefault="000A0EB4" w:rsidP="000A0EB4">
      <w:pPr>
        <w:pStyle w:val="FootnoteText"/>
      </w:pPr>
      <w:r w:rsidRPr="00A03B67">
        <w:rPr>
          <w:rStyle w:val="FootnoteReference"/>
        </w:rPr>
        <w:footnoteRef/>
      </w:r>
      <w:r w:rsidRPr="00A03B67">
        <w:t xml:space="preserve"> Australian Human Rights Commission (AHRC), </w:t>
      </w:r>
      <w:r w:rsidRPr="00A03B67">
        <w:rPr>
          <w:i/>
          <w:iCs/>
        </w:rPr>
        <w:t xml:space="preserve">Respect@Work: National Inquiry into Sexual Harassment in Australian Workplaces </w:t>
      </w:r>
      <w:r w:rsidRPr="00A03B67">
        <w:t>(Final Report, 5 March 2020)</w:t>
      </w:r>
      <w:r w:rsidRPr="00A03B67">
        <w:rPr>
          <w:i/>
          <w:iCs/>
        </w:rPr>
        <w:t xml:space="preserve"> &lt;</w:t>
      </w:r>
      <w:r w:rsidRPr="00A03B67">
        <w:t>https://humanrights.gov.au/our-work/sex-discrimination/publications/respectwork-sexual-harassment-national-inquiry-report-2020&gt;.</w:t>
      </w:r>
    </w:p>
  </w:footnote>
  <w:footnote w:id="1067">
    <w:p w14:paraId="4F1DEBD5" w14:textId="77777777" w:rsidR="000A0EB4" w:rsidRPr="00A03B67" w:rsidRDefault="000A0EB4" w:rsidP="000A0EB4">
      <w:pPr>
        <w:pStyle w:val="FootnoteText"/>
      </w:pPr>
      <w:r w:rsidRPr="00A03B67">
        <w:rPr>
          <w:rStyle w:val="FootnoteReference"/>
        </w:rPr>
        <w:footnoteRef/>
      </w:r>
      <w:r w:rsidRPr="00A03B67">
        <w:t xml:space="preserve"> Australian Human Rights Commission (AHRC), </w:t>
      </w:r>
      <w:r w:rsidRPr="00A03B67">
        <w:rPr>
          <w:i/>
          <w:iCs/>
        </w:rPr>
        <w:t xml:space="preserve">Respect@Work: National Inquiry into Sexual Harassment in Australian Workplaces </w:t>
      </w:r>
      <w:r w:rsidRPr="00A03B67">
        <w:t>(Final Report, 5 March 2020)</w:t>
      </w:r>
      <w:r w:rsidRPr="00A03B67">
        <w:rPr>
          <w:i/>
          <w:iCs/>
        </w:rPr>
        <w:t xml:space="preserve"> &lt;</w:t>
      </w:r>
      <w:r w:rsidRPr="00A03B67">
        <w:t>https://humanrights.gov.au/our-work/sex-discrimination/publications/respectwork-sexual-harassment-national-inquiry-report-2020&gt;.</w:t>
      </w:r>
    </w:p>
  </w:footnote>
  <w:footnote w:id="1068">
    <w:p w14:paraId="49ED1F59" w14:textId="77777777" w:rsidR="000A0EB4" w:rsidRPr="00A03B67" w:rsidRDefault="000A0EB4" w:rsidP="000A0EB4">
      <w:pPr>
        <w:pStyle w:val="FootnoteText"/>
      </w:pPr>
      <w:r w:rsidRPr="00A03B67">
        <w:rPr>
          <w:rStyle w:val="FootnoteReference"/>
        </w:rPr>
        <w:footnoteRef/>
      </w:r>
      <w:r w:rsidRPr="00A03B67">
        <w:t xml:space="preserve"> Australian Human Rights Commission (AHRC), ‘Resource: Workplace Harassment, Discrimination and Victimisation’ (Media Release, 10 August 2023) &lt;https://humanrights.gov.au/about/news/media-releases/resource-workplace-harassment-discrimination-and-victimisation&gt;.</w:t>
      </w:r>
    </w:p>
  </w:footnote>
  <w:footnote w:id="1069">
    <w:p w14:paraId="28D8726C" w14:textId="0FA8B253" w:rsidR="000A0EB4" w:rsidRPr="00A03B67" w:rsidRDefault="000A0EB4" w:rsidP="000A0EB4">
      <w:pPr>
        <w:pStyle w:val="FootnoteText"/>
      </w:pPr>
      <w:r w:rsidRPr="00A03B67">
        <w:rPr>
          <w:rStyle w:val="FootnoteReference"/>
        </w:rPr>
        <w:footnoteRef/>
      </w:r>
      <w:r w:rsidRPr="00A03B67">
        <w:t xml:space="preserve"> Respect@Work, </w:t>
      </w:r>
      <w:r w:rsidRPr="004C77C9">
        <w:rPr>
          <w:i/>
        </w:rPr>
        <w:t xml:space="preserve">Guide to </w:t>
      </w:r>
      <w:r w:rsidR="00BA69E5" w:rsidRPr="004C77C9">
        <w:rPr>
          <w:i/>
          <w:iCs/>
        </w:rPr>
        <w:t>E</w:t>
      </w:r>
      <w:r w:rsidRPr="004C77C9">
        <w:rPr>
          <w:i/>
          <w:iCs/>
        </w:rPr>
        <w:t xml:space="preserve">xternal </w:t>
      </w:r>
      <w:r w:rsidR="00BA69E5" w:rsidRPr="004C77C9">
        <w:rPr>
          <w:i/>
          <w:iCs/>
        </w:rPr>
        <w:t>P</w:t>
      </w:r>
      <w:r w:rsidRPr="004C77C9">
        <w:rPr>
          <w:i/>
          <w:iCs/>
        </w:rPr>
        <w:t>athways</w:t>
      </w:r>
      <w:r w:rsidRPr="004C77C9">
        <w:rPr>
          <w:i/>
        </w:rPr>
        <w:t xml:space="preserve"> in Australia to </w:t>
      </w:r>
      <w:r w:rsidR="00BA69E5" w:rsidRPr="004C77C9">
        <w:rPr>
          <w:i/>
          <w:iCs/>
        </w:rPr>
        <w:t>A</w:t>
      </w:r>
      <w:r w:rsidRPr="004C77C9">
        <w:rPr>
          <w:i/>
          <w:iCs/>
        </w:rPr>
        <w:t xml:space="preserve">ddress </w:t>
      </w:r>
      <w:r w:rsidR="00BA69E5" w:rsidRPr="004C77C9">
        <w:rPr>
          <w:i/>
          <w:iCs/>
        </w:rPr>
        <w:t>W</w:t>
      </w:r>
      <w:r w:rsidRPr="004C77C9">
        <w:rPr>
          <w:i/>
          <w:iCs/>
        </w:rPr>
        <w:t xml:space="preserve">orkplace </w:t>
      </w:r>
      <w:r w:rsidR="00BA69E5" w:rsidRPr="004C77C9">
        <w:rPr>
          <w:i/>
          <w:iCs/>
        </w:rPr>
        <w:t>S</w:t>
      </w:r>
      <w:r w:rsidRPr="004C77C9">
        <w:rPr>
          <w:i/>
          <w:iCs/>
        </w:rPr>
        <w:t xml:space="preserve">exual </w:t>
      </w:r>
      <w:r w:rsidR="00BA69E5" w:rsidRPr="004C77C9">
        <w:rPr>
          <w:i/>
          <w:iCs/>
        </w:rPr>
        <w:t>H</w:t>
      </w:r>
      <w:r w:rsidRPr="004C77C9">
        <w:rPr>
          <w:i/>
          <w:iCs/>
        </w:rPr>
        <w:t>arassment</w:t>
      </w:r>
      <w:r w:rsidRPr="00A03B67">
        <w:t xml:space="preserve"> (</w:t>
      </w:r>
      <w:r w:rsidR="00BA69E5" w:rsidRPr="00A03B67">
        <w:t>Respect@Work</w:t>
      </w:r>
      <w:r w:rsidR="00BA69E5">
        <w:t>,</w:t>
      </w:r>
      <w:r w:rsidR="00BA69E5" w:rsidRPr="00A03B67">
        <w:t xml:space="preserve"> </w:t>
      </w:r>
      <w:r w:rsidRPr="00A03B67">
        <w:t>2022)</w:t>
      </w:r>
      <w:r w:rsidR="00BA69E5">
        <w:t xml:space="preserve"> </w:t>
      </w:r>
      <w:r w:rsidRPr="00A03B67">
        <w:t>&lt;https://humanrights.gov.au/our-work/sex-discrimination/publications/guide-external-pathways-address-workplace-sexual&gt;.</w:t>
      </w:r>
    </w:p>
  </w:footnote>
  <w:footnote w:id="1070">
    <w:p w14:paraId="12AA71F4" w14:textId="1D6A2EF8" w:rsidR="000A0EB4" w:rsidRPr="00A03B67" w:rsidRDefault="000A0EB4" w:rsidP="000A0EB4">
      <w:pPr>
        <w:pStyle w:val="FootnoteText"/>
      </w:pPr>
      <w:r w:rsidRPr="00A03B67">
        <w:rPr>
          <w:rStyle w:val="FootnoteReference"/>
        </w:rPr>
        <w:footnoteRef/>
      </w:r>
      <w:r w:rsidRPr="00A03B67">
        <w:t xml:space="preserve"> Respect@Work, Guide to </w:t>
      </w:r>
      <w:r w:rsidR="00BA69E5">
        <w:t>E</w:t>
      </w:r>
      <w:r w:rsidRPr="00A03B67">
        <w:t xml:space="preserve">xternal </w:t>
      </w:r>
      <w:r w:rsidR="00BA69E5">
        <w:t>P</w:t>
      </w:r>
      <w:r w:rsidRPr="00A03B67">
        <w:t xml:space="preserve">athways in Australia to </w:t>
      </w:r>
      <w:r w:rsidR="00BA69E5">
        <w:t>A</w:t>
      </w:r>
      <w:r w:rsidRPr="00A03B67">
        <w:t xml:space="preserve">ddress </w:t>
      </w:r>
      <w:r w:rsidR="00BA69E5">
        <w:t>W</w:t>
      </w:r>
      <w:r w:rsidRPr="00A03B67">
        <w:t xml:space="preserve">orkplace </w:t>
      </w:r>
      <w:r w:rsidR="00BA69E5">
        <w:t>S</w:t>
      </w:r>
      <w:r w:rsidRPr="00A03B67">
        <w:t xml:space="preserve">exual </w:t>
      </w:r>
      <w:r w:rsidR="00BA69E5">
        <w:t>H</w:t>
      </w:r>
      <w:r w:rsidRPr="00A03B67">
        <w:t>arassment (</w:t>
      </w:r>
      <w:r w:rsidR="00BA69E5" w:rsidRPr="00A03B67">
        <w:t>Respect@Work</w:t>
      </w:r>
      <w:r w:rsidR="00BA69E5">
        <w:t>,</w:t>
      </w:r>
      <w:r w:rsidR="00BA69E5" w:rsidRPr="00A03B67">
        <w:t xml:space="preserve"> </w:t>
      </w:r>
      <w:r w:rsidRPr="00A03B67">
        <w:t>2022) 10, 22</w:t>
      </w:r>
      <w:r w:rsidR="00BA69E5">
        <w:t xml:space="preserve"> </w:t>
      </w:r>
      <w:r w:rsidRPr="00A03B67">
        <w:t>&lt;https://humanrights.gov.au/our-work/sex-discrimination/publications/guide-external-pathways-address-workplace-sexual&gt;.</w:t>
      </w:r>
    </w:p>
  </w:footnote>
  <w:footnote w:id="1071">
    <w:p w14:paraId="2FE25384" w14:textId="54EF8A2D" w:rsidR="000A0EB4" w:rsidRPr="00A03B67" w:rsidRDefault="000A0EB4" w:rsidP="000A0EB4">
      <w:pPr>
        <w:pStyle w:val="FootnoteText"/>
      </w:pPr>
      <w:r w:rsidRPr="00A03B67">
        <w:rPr>
          <w:rStyle w:val="FootnoteReference"/>
        </w:rPr>
        <w:footnoteRef/>
      </w:r>
      <w:r w:rsidRPr="00A03B67">
        <w:t xml:space="preserve"> </w:t>
      </w:r>
      <w:r w:rsidR="00332BD7">
        <w:t>Fair Work Commission</w:t>
      </w:r>
      <w:r>
        <w:t xml:space="preserve">, </w:t>
      </w:r>
      <w:r w:rsidRPr="004C77C9">
        <w:rPr>
          <w:i/>
          <w:iCs/>
        </w:rPr>
        <w:t xml:space="preserve">How </w:t>
      </w:r>
      <w:r w:rsidR="00BA69E5" w:rsidRPr="004C77C9">
        <w:rPr>
          <w:i/>
          <w:iCs/>
        </w:rPr>
        <w:t>W</w:t>
      </w:r>
      <w:r w:rsidRPr="004C77C9">
        <w:rPr>
          <w:i/>
          <w:iCs/>
        </w:rPr>
        <w:t xml:space="preserve">e </w:t>
      </w:r>
      <w:r w:rsidR="00BA69E5" w:rsidRPr="004C77C9">
        <w:rPr>
          <w:i/>
          <w:iCs/>
        </w:rPr>
        <w:t>D</w:t>
      </w:r>
      <w:r w:rsidRPr="004C77C9">
        <w:rPr>
          <w:i/>
          <w:iCs/>
        </w:rPr>
        <w:t xml:space="preserve">eal with </w:t>
      </w:r>
      <w:r w:rsidR="00BA69E5" w:rsidRPr="004C77C9">
        <w:rPr>
          <w:i/>
          <w:iCs/>
        </w:rPr>
        <w:t>S</w:t>
      </w:r>
      <w:r w:rsidRPr="004C77C9">
        <w:rPr>
          <w:i/>
          <w:iCs/>
        </w:rPr>
        <w:t xml:space="preserve">exual </w:t>
      </w:r>
      <w:r w:rsidR="00BA69E5" w:rsidRPr="004C77C9">
        <w:rPr>
          <w:i/>
          <w:iCs/>
        </w:rPr>
        <w:t>H</w:t>
      </w:r>
      <w:r w:rsidRPr="004C77C9">
        <w:rPr>
          <w:i/>
          <w:iCs/>
        </w:rPr>
        <w:t xml:space="preserve">arassment </w:t>
      </w:r>
      <w:r w:rsidR="00BA69E5" w:rsidRPr="004C77C9">
        <w:rPr>
          <w:i/>
          <w:iCs/>
        </w:rPr>
        <w:t>C</w:t>
      </w:r>
      <w:r w:rsidRPr="004C77C9">
        <w:rPr>
          <w:i/>
          <w:iCs/>
        </w:rPr>
        <w:t>ases</w:t>
      </w:r>
      <w:r w:rsidRPr="00332BD7">
        <w:t xml:space="preserve"> </w:t>
      </w:r>
      <w:r w:rsidR="00BA69E5" w:rsidRPr="00332BD7">
        <w:t>(Web Page, n.d.)</w:t>
      </w:r>
      <w:r w:rsidRPr="00332BD7">
        <w:t xml:space="preserve">; Respect@Work, Guide to </w:t>
      </w:r>
      <w:r w:rsidR="00BA69E5" w:rsidRPr="00332BD7">
        <w:t>E</w:t>
      </w:r>
      <w:r w:rsidRPr="00332BD7">
        <w:t xml:space="preserve">xternal </w:t>
      </w:r>
      <w:r w:rsidR="00BA69E5" w:rsidRPr="00332BD7">
        <w:t>P</w:t>
      </w:r>
      <w:r w:rsidRPr="00332BD7">
        <w:t xml:space="preserve">athways in Australia to </w:t>
      </w:r>
      <w:r w:rsidR="00BA69E5" w:rsidRPr="00332BD7">
        <w:t>A</w:t>
      </w:r>
      <w:r w:rsidRPr="00332BD7">
        <w:t xml:space="preserve">ddress </w:t>
      </w:r>
      <w:r w:rsidR="00BA69E5" w:rsidRPr="00332BD7">
        <w:t>W</w:t>
      </w:r>
      <w:r w:rsidRPr="00332BD7">
        <w:t xml:space="preserve">orkplace </w:t>
      </w:r>
      <w:r w:rsidR="00BA69E5" w:rsidRPr="00332BD7">
        <w:t>S</w:t>
      </w:r>
      <w:r w:rsidRPr="00332BD7">
        <w:t xml:space="preserve">exual </w:t>
      </w:r>
      <w:r w:rsidR="00BA69E5" w:rsidRPr="00332BD7">
        <w:t>H</w:t>
      </w:r>
      <w:r w:rsidRPr="00332BD7">
        <w:t>arassment (</w:t>
      </w:r>
      <w:r w:rsidR="00BA69E5" w:rsidRPr="00332BD7">
        <w:t xml:space="preserve">Respect@Work, </w:t>
      </w:r>
      <w:r w:rsidRPr="00332BD7">
        <w:t>2022) 10, 47,48</w:t>
      </w:r>
      <w:r w:rsidR="00BA69E5" w:rsidRPr="00332BD7">
        <w:t xml:space="preserve"> </w:t>
      </w:r>
      <w:r w:rsidRPr="00332BD7">
        <w:t>&lt;https://humanrights.gov.au/our-work/sex-discrimination/publications/guide-external-pathways-address-workplace-sexual&gt;.</w:t>
      </w:r>
    </w:p>
  </w:footnote>
  <w:footnote w:id="1072">
    <w:p w14:paraId="18AAB96F" w14:textId="2425A089" w:rsidR="000A0EB4" w:rsidRPr="00A03B67" w:rsidRDefault="000A0EB4" w:rsidP="000A0EB4">
      <w:pPr>
        <w:pStyle w:val="FootnoteText"/>
      </w:pPr>
      <w:r w:rsidRPr="00A03B67">
        <w:rPr>
          <w:rStyle w:val="FootnoteReference"/>
        </w:rPr>
        <w:footnoteRef/>
      </w:r>
      <w:r w:rsidRPr="00A03B67">
        <w:t xml:space="preserve"> Respect@Work, Guide to </w:t>
      </w:r>
      <w:r w:rsidR="00BA69E5">
        <w:t>E</w:t>
      </w:r>
      <w:r w:rsidRPr="00A03B67">
        <w:t xml:space="preserve">xternal </w:t>
      </w:r>
      <w:r w:rsidR="00BA69E5">
        <w:t>P</w:t>
      </w:r>
      <w:r w:rsidRPr="00A03B67">
        <w:t xml:space="preserve">athways in Australia to </w:t>
      </w:r>
      <w:r w:rsidR="00BA69E5">
        <w:t>A</w:t>
      </w:r>
      <w:r w:rsidRPr="00A03B67">
        <w:t xml:space="preserve">ddress </w:t>
      </w:r>
      <w:r w:rsidR="00BA69E5">
        <w:t>W</w:t>
      </w:r>
      <w:r w:rsidRPr="00A03B67">
        <w:t xml:space="preserve">orkplace </w:t>
      </w:r>
      <w:r w:rsidR="00BA69E5">
        <w:t>S</w:t>
      </w:r>
      <w:r w:rsidRPr="00A03B67">
        <w:t xml:space="preserve">exual </w:t>
      </w:r>
      <w:r w:rsidR="00BA69E5">
        <w:t>H</w:t>
      </w:r>
      <w:r w:rsidRPr="00A03B67">
        <w:t>arassment (</w:t>
      </w:r>
      <w:r w:rsidR="00BA69E5" w:rsidRPr="00A03B67">
        <w:t>Respect@Work</w:t>
      </w:r>
      <w:r w:rsidR="00BA69E5">
        <w:t>,</w:t>
      </w:r>
      <w:r w:rsidR="00BA69E5" w:rsidRPr="00A03B67">
        <w:t xml:space="preserve"> </w:t>
      </w:r>
      <w:r w:rsidRPr="00A03B67">
        <w:t>2022) 99</w:t>
      </w:r>
      <w:r w:rsidR="00BA69E5">
        <w:rPr>
          <w:rFonts w:ascii="Symbol" w:eastAsia="Symbol" w:hAnsi="Symbol" w:cs="Symbol"/>
        </w:rPr>
        <w:t>-</w:t>
      </w:r>
      <w:r w:rsidRPr="00A03B67">
        <w:t>123</w:t>
      </w:r>
      <w:r w:rsidR="00BA69E5">
        <w:t xml:space="preserve"> </w:t>
      </w:r>
      <w:r w:rsidRPr="00A03B67">
        <w:t>&lt;https://humanrights.gov.au/our-work/sex-discrimination/publications/guide-external-pathways-address-workplace-sexual&gt;.</w:t>
      </w:r>
    </w:p>
  </w:footnote>
  <w:footnote w:id="1073">
    <w:p w14:paraId="68989FED" w14:textId="2B3BD7EF" w:rsidR="000A0EB4" w:rsidRPr="00A03B67" w:rsidRDefault="000A0EB4" w:rsidP="000A0EB4">
      <w:pPr>
        <w:pStyle w:val="FootnoteText"/>
      </w:pPr>
      <w:r w:rsidRPr="00A03B67">
        <w:rPr>
          <w:rStyle w:val="FootnoteReference"/>
        </w:rPr>
        <w:footnoteRef/>
      </w:r>
      <w:r w:rsidRPr="00A03B67">
        <w:t xml:space="preserve"> </w:t>
      </w:r>
      <w:r w:rsidRPr="001C3169">
        <w:t xml:space="preserve">Fair Work Commission, </w:t>
      </w:r>
      <w:r w:rsidRPr="004D668E">
        <w:rPr>
          <w:i/>
        </w:rPr>
        <w:t>Annual Report 2022</w:t>
      </w:r>
      <w:r w:rsidR="00BA69E5">
        <w:rPr>
          <w:rFonts w:ascii="Symbol" w:eastAsia="Symbol" w:hAnsi="Symbol" w:cs="Symbol"/>
          <w:i/>
          <w:iCs/>
        </w:rPr>
        <w:t>-</w:t>
      </w:r>
      <w:r w:rsidRPr="004C77C9">
        <w:rPr>
          <w:i/>
        </w:rPr>
        <w:t>23</w:t>
      </w:r>
      <w:r w:rsidRPr="001C3169">
        <w:t xml:space="preserve"> (Report, 2023) ‘Access to justice’, 27.</w:t>
      </w:r>
    </w:p>
  </w:footnote>
  <w:footnote w:id="1074">
    <w:p w14:paraId="423C47AD" w14:textId="77777777" w:rsidR="000A0EB4" w:rsidRPr="00A03B67" w:rsidRDefault="000A0EB4" w:rsidP="000A0EB4">
      <w:pPr>
        <w:pStyle w:val="FootnoteText"/>
      </w:pPr>
      <w:r w:rsidRPr="00A03B67">
        <w:rPr>
          <w:rStyle w:val="FootnoteReference"/>
        </w:rPr>
        <w:footnoteRef/>
      </w:r>
      <w:r w:rsidRPr="00A03B67">
        <w:t xml:space="preserve"> Fair Work Commission, </w:t>
      </w:r>
      <w:r w:rsidRPr="004C77C9">
        <w:rPr>
          <w:i/>
        </w:rPr>
        <w:t>Annual Report 2023</w:t>
      </w:r>
      <w:r w:rsidRPr="004C77C9">
        <w:rPr>
          <w:rFonts w:ascii="Symbol" w:eastAsia="Symbol" w:hAnsi="Symbol" w:cs="Symbol"/>
          <w:i/>
        </w:rPr>
        <w:t>-</w:t>
      </w:r>
      <w:r w:rsidRPr="004C77C9">
        <w:rPr>
          <w:i/>
        </w:rPr>
        <w:t>24</w:t>
      </w:r>
      <w:r w:rsidRPr="00A03B67">
        <w:t xml:space="preserve"> (Report, 2024) ‘Access to justice’, 64</w:t>
      </w:r>
      <w:r w:rsidRPr="00A03B67">
        <w:rPr>
          <w:rFonts w:ascii="Symbol" w:eastAsia="Symbol" w:hAnsi="Symbol" w:cs="Symbol"/>
        </w:rPr>
        <w:t>-</w:t>
      </w:r>
      <w:r w:rsidRPr="00A03B67">
        <w:t>65</w:t>
      </w:r>
      <w:r w:rsidRPr="00A03B67">
        <w:rPr>
          <w:rFonts w:ascii="Segoe UI" w:eastAsia="Segoe UI" w:hAnsi="Segoe UI" w:cs="Segoe UI"/>
          <w:color w:val="0D2C6C" w:themeColor="text1"/>
          <w:szCs w:val="18"/>
        </w:rPr>
        <w:t>.</w:t>
      </w:r>
    </w:p>
  </w:footnote>
  <w:footnote w:id="1075">
    <w:p w14:paraId="1D968600" w14:textId="005D872A" w:rsidR="000A0EB4" w:rsidRPr="00A03B67" w:rsidRDefault="000A0EB4" w:rsidP="000A0EB4">
      <w:pPr>
        <w:pStyle w:val="FootnoteText"/>
      </w:pPr>
      <w:r w:rsidRPr="00A03B67">
        <w:rPr>
          <w:rStyle w:val="FootnoteReference"/>
        </w:rPr>
        <w:footnoteRef/>
      </w:r>
      <w:r w:rsidRPr="00A03B67">
        <w:t xml:space="preserve"> </w:t>
      </w:r>
      <w:r w:rsidR="00332BD7">
        <w:t>Fair Work Ombudsman</w:t>
      </w:r>
      <w:r w:rsidRPr="00A03B67">
        <w:t>, information provided to the Review (</w:t>
      </w:r>
      <w:r>
        <w:t>18 February 2025</w:t>
      </w:r>
      <w:r w:rsidRPr="00A03B67">
        <w:t>).</w:t>
      </w:r>
    </w:p>
  </w:footnote>
  <w:footnote w:id="1076">
    <w:p w14:paraId="329F72C9" w14:textId="71A3B46B" w:rsidR="000A0EB4" w:rsidRPr="00A03B67" w:rsidRDefault="000A0EB4" w:rsidP="000A0EB4">
      <w:pPr>
        <w:pStyle w:val="FootnoteText"/>
      </w:pPr>
      <w:r w:rsidRPr="00A03B67">
        <w:rPr>
          <w:rStyle w:val="FootnoteReference"/>
        </w:rPr>
        <w:footnoteRef/>
      </w:r>
      <w:r w:rsidRPr="00A03B67">
        <w:t xml:space="preserve"> </w:t>
      </w:r>
      <w:r w:rsidR="00332BD7">
        <w:t>Fair Work Ombudsman</w:t>
      </w:r>
      <w:r w:rsidRPr="00A03B67">
        <w:t>, information provided to the Review (</w:t>
      </w:r>
      <w:r>
        <w:t>18 February</w:t>
      </w:r>
      <w:r w:rsidRPr="00A03B67">
        <w:t xml:space="preserve"> 202</w:t>
      </w:r>
      <w:r>
        <w:t>5</w:t>
      </w:r>
      <w:r w:rsidRPr="00A03B67">
        <w:t>).</w:t>
      </w:r>
    </w:p>
  </w:footnote>
  <w:footnote w:id="1077">
    <w:p w14:paraId="2A03591F" w14:textId="58801712" w:rsidR="000A0EB4" w:rsidRPr="00A03B67" w:rsidRDefault="000A0EB4" w:rsidP="000A0EB4">
      <w:pPr>
        <w:pStyle w:val="FootnoteText"/>
      </w:pPr>
      <w:r w:rsidRPr="00A03B67">
        <w:rPr>
          <w:rStyle w:val="FootnoteReference"/>
        </w:rPr>
        <w:footnoteRef/>
      </w:r>
      <w:r w:rsidRPr="00A03B67">
        <w:t xml:space="preserve">Workplace Gender Equality Agency, </w:t>
      </w:r>
      <w:r w:rsidRPr="00A03B67">
        <w:rPr>
          <w:i/>
          <w:iCs/>
        </w:rPr>
        <w:t xml:space="preserve">Workplace Gender Equality Scorecard </w:t>
      </w:r>
      <w:r w:rsidRPr="00A03B67">
        <w:t>(Final Report, November 2024) 54 &lt;https://www.wgea.gov.au/sites/default/files/documents/Australia%27s%20Gender%20Equality%20Scorecard%202023-24_V10_0.pdf&gt;.</w:t>
      </w:r>
    </w:p>
  </w:footnote>
  <w:footnote w:id="1078">
    <w:p w14:paraId="5D7EB468" w14:textId="0F4A8B35" w:rsidR="000A0EB4" w:rsidRPr="00A03B67" w:rsidRDefault="000A0EB4" w:rsidP="000A0EB4">
      <w:pPr>
        <w:pStyle w:val="FootnoteText"/>
      </w:pPr>
      <w:r w:rsidRPr="00A03B67">
        <w:rPr>
          <w:rStyle w:val="FootnoteReference"/>
        </w:rPr>
        <w:footnoteRef/>
      </w:r>
      <w:r w:rsidRPr="00A03B67">
        <w:t xml:space="preserve"> Fair Work Commission, </w:t>
      </w:r>
      <w:r w:rsidRPr="00A03B67">
        <w:rPr>
          <w:i/>
          <w:iCs/>
        </w:rPr>
        <w:t>Annual Report 2022</w:t>
      </w:r>
      <w:r w:rsidRPr="00A03B67">
        <w:rPr>
          <w:rFonts w:ascii="Symbol" w:eastAsia="Symbol" w:hAnsi="Symbol" w:cs="Symbol"/>
          <w:i/>
          <w:iCs/>
        </w:rPr>
        <w:t>-</w:t>
      </w:r>
      <w:r w:rsidRPr="00A03B67">
        <w:rPr>
          <w:i/>
          <w:iCs/>
        </w:rPr>
        <w:t>23</w:t>
      </w:r>
      <w:r w:rsidRPr="00A03B67">
        <w:t xml:space="preserve"> (Report, 2023) 27.</w:t>
      </w:r>
    </w:p>
  </w:footnote>
  <w:footnote w:id="1079">
    <w:p w14:paraId="60DBD1D2" w14:textId="5D034529" w:rsidR="000A0EB4" w:rsidRPr="00A03B67" w:rsidRDefault="000A0EB4" w:rsidP="000A0EB4">
      <w:pPr>
        <w:pStyle w:val="FootnoteText"/>
      </w:pPr>
      <w:r w:rsidRPr="00A03B67">
        <w:rPr>
          <w:rStyle w:val="FootnoteReference"/>
        </w:rPr>
        <w:footnoteRef/>
      </w:r>
      <w:r w:rsidRPr="00A03B67">
        <w:t xml:space="preserve"> Fair Work Ombudsman, </w:t>
      </w:r>
      <w:r w:rsidRPr="00A03B67">
        <w:rPr>
          <w:i/>
          <w:iCs/>
        </w:rPr>
        <w:t>Annual Report 2022</w:t>
      </w:r>
      <w:r w:rsidRPr="00A03B67">
        <w:rPr>
          <w:rFonts w:ascii="Symbol" w:eastAsia="Symbol" w:hAnsi="Symbol" w:cs="Symbol"/>
          <w:i/>
          <w:iCs/>
        </w:rPr>
        <w:t>-</w:t>
      </w:r>
      <w:r w:rsidRPr="00A03B67">
        <w:rPr>
          <w:i/>
          <w:iCs/>
        </w:rPr>
        <w:t xml:space="preserve">23 </w:t>
      </w:r>
      <w:r w:rsidRPr="00A03B67">
        <w:t>(Report, 2023) 40.</w:t>
      </w:r>
    </w:p>
  </w:footnote>
  <w:footnote w:id="1080">
    <w:p w14:paraId="6C0D4F89" w14:textId="77777777" w:rsidR="000A0EB4" w:rsidRPr="00A03B67" w:rsidRDefault="000A0EB4" w:rsidP="000A0EB4">
      <w:pPr>
        <w:pStyle w:val="FootnoteText"/>
      </w:pPr>
      <w:r w:rsidRPr="00A03B67">
        <w:rPr>
          <w:rStyle w:val="FootnoteReference"/>
        </w:rPr>
        <w:footnoteRef/>
      </w:r>
      <w:r w:rsidRPr="00A03B67">
        <w:t xml:space="preserve"> Fair Work Ombudsman, </w:t>
      </w:r>
      <w:r w:rsidRPr="00A03B67">
        <w:rPr>
          <w:i/>
          <w:iCs/>
        </w:rPr>
        <w:t>Annual Report 2022</w:t>
      </w:r>
      <w:r w:rsidRPr="00A03B67">
        <w:rPr>
          <w:rFonts w:ascii="Symbol" w:eastAsia="Symbol" w:hAnsi="Symbol" w:cs="Symbol"/>
          <w:i/>
          <w:iCs/>
        </w:rPr>
        <w:t>-</w:t>
      </w:r>
      <w:r w:rsidRPr="00A03B67">
        <w:rPr>
          <w:i/>
          <w:iCs/>
        </w:rPr>
        <w:t>23</w:t>
      </w:r>
      <w:r w:rsidRPr="00A03B67">
        <w:t xml:space="preserve"> (Report, 2023) 40.</w:t>
      </w:r>
    </w:p>
  </w:footnote>
  <w:footnote w:id="1081">
    <w:p w14:paraId="55B12A56" w14:textId="4D67F1ED" w:rsidR="000A0EB4" w:rsidRPr="00A03B67" w:rsidRDefault="000A0EB4" w:rsidP="000A0EB4">
      <w:pPr>
        <w:pStyle w:val="FootnoteText"/>
        <w:rPr>
          <w:rStyle w:val="Hyperlink"/>
          <w:lang w:val="en-US"/>
        </w:rPr>
      </w:pPr>
      <w:r w:rsidRPr="00A03B67">
        <w:rPr>
          <w:rStyle w:val="FootnoteReference"/>
        </w:rPr>
        <w:footnoteRef/>
      </w:r>
      <w:r w:rsidRPr="00A03B67">
        <w:t xml:space="preserve"> L Heap and D Peetz, </w:t>
      </w:r>
      <w:r w:rsidR="00BA69E5">
        <w:t>‘</w:t>
      </w:r>
      <w:r w:rsidRPr="00A03B67">
        <w:t>Should Non-disclosure Agreement Be Restricted in Cases of Workplace Sexual Harassment? Here’s What Reforms Need to Get Right</w:t>
      </w:r>
      <w:r w:rsidR="00BA69E5">
        <w:t>’</w:t>
      </w:r>
      <w:r w:rsidRPr="00A03B67">
        <w:t xml:space="preserve">, </w:t>
      </w:r>
      <w:r w:rsidRPr="00A03B67">
        <w:rPr>
          <w:i/>
          <w:iCs/>
        </w:rPr>
        <w:t xml:space="preserve">The Conversation </w:t>
      </w:r>
      <w:r w:rsidRPr="00A03B67">
        <w:t>(online, 17 December 2024) &lt;https://theconversation.com/should-non-disclosure-agreements-be-restricted-in-cases-of-workplace-sexual-harassment-heres-what-reforms-need-to-get-right-245851&gt;.</w:t>
      </w:r>
    </w:p>
  </w:footnote>
  <w:footnote w:id="1082">
    <w:p w14:paraId="08B210EB" w14:textId="11F78CDE" w:rsidR="000A0EB4" w:rsidRPr="00A03B67" w:rsidRDefault="000A0EB4" w:rsidP="000A0EB4">
      <w:pPr>
        <w:pStyle w:val="FootnoteText"/>
      </w:pPr>
      <w:r w:rsidRPr="00A03B67">
        <w:rPr>
          <w:rStyle w:val="FootnoteReference"/>
        </w:rPr>
        <w:footnoteRef/>
      </w:r>
      <w:r w:rsidRPr="00A03B67">
        <w:t xml:space="preserve"> Law Council of Australia submission, 3.</w:t>
      </w:r>
    </w:p>
  </w:footnote>
  <w:footnote w:id="1083">
    <w:p w14:paraId="323FBB86" w14:textId="77777777" w:rsidR="000A0EB4" w:rsidRPr="00A03B67" w:rsidRDefault="000A0EB4" w:rsidP="000A0EB4">
      <w:pPr>
        <w:pStyle w:val="FootnoteText"/>
      </w:pPr>
      <w:r w:rsidRPr="00A03B67">
        <w:rPr>
          <w:rStyle w:val="FootnoteReference"/>
        </w:rPr>
        <w:footnoteRef/>
      </w:r>
      <w:r w:rsidRPr="00A03B67">
        <w:t xml:space="preserve"> Senate Education and Employment Legislation Committee, Parliament of Australia, Fair Work Legislation Amendment (Secure Jobs, Better Pay) Bill 2022, Ai Group submission (11 November 2022) 24.</w:t>
      </w:r>
    </w:p>
  </w:footnote>
  <w:footnote w:id="1084">
    <w:p w14:paraId="5209C757" w14:textId="1308A43C" w:rsidR="000A0EB4" w:rsidRPr="00A03B67" w:rsidRDefault="000A0EB4" w:rsidP="000A0EB4">
      <w:pPr>
        <w:pStyle w:val="FootnoteText"/>
      </w:pPr>
      <w:r w:rsidRPr="00A03B67">
        <w:rPr>
          <w:rStyle w:val="FootnoteReference"/>
        </w:rPr>
        <w:footnoteRef/>
      </w:r>
      <w:r w:rsidRPr="00A03B67">
        <w:t xml:space="preserve"> Law Council of Australia submission, 3.</w:t>
      </w:r>
    </w:p>
  </w:footnote>
  <w:footnote w:id="1085">
    <w:p w14:paraId="5C312F44" w14:textId="6CF9114D" w:rsidR="000A0EB4" w:rsidRPr="00A03B67" w:rsidRDefault="000A0EB4" w:rsidP="000A0EB4">
      <w:pPr>
        <w:pStyle w:val="FootnoteText"/>
      </w:pPr>
      <w:r w:rsidRPr="00A03B67">
        <w:rPr>
          <w:rStyle w:val="FootnoteReference"/>
        </w:rPr>
        <w:footnoteRef/>
      </w:r>
      <w:r w:rsidRPr="00A03B67">
        <w:t xml:space="preserve"> </w:t>
      </w:r>
      <w:r w:rsidR="00332BD7">
        <w:t>Australian Council of Trade Unions (</w:t>
      </w:r>
      <w:r w:rsidRPr="00A03B67">
        <w:t>ACTU</w:t>
      </w:r>
      <w:r w:rsidR="00332BD7">
        <w:t>)</w:t>
      </w:r>
      <w:r w:rsidRPr="00A03B67">
        <w:t xml:space="preserve"> submission, 49.</w:t>
      </w:r>
    </w:p>
  </w:footnote>
  <w:footnote w:id="1086">
    <w:p w14:paraId="65EF3BA9" w14:textId="418BA220" w:rsidR="000A0EB4" w:rsidRDefault="000A0EB4" w:rsidP="000A0EB4">
      <w:pPr>
        <w:pStyle w:val="FootnoteText"/>
      </w:pPr>
      <w:r>
        <w:rPr>
          <w:rStyle w:val="FootnoteReference"/>
        </w:rPr>
        <w:footnoteRef/>
      </w:r>
      <w:r>
        <w:t xml:space="preserve"> </w:t>
      </w:r>
      <w:r w:rsidRPr="00A03B67">
        <w:t>ACTU submission</w:t>
      </w:r>
      <w:r>
        <w:t xml:space="preserve"> in response to </w:t>
      </w:r>
      <w:r w:rsidR="00BA69E5">
        <w:t>d</w:t>
      </w:r>
      <w:r>
        <w:t xml:space="preserve">raft </w:t>
      </w:r>
      <w:r w:rsidR="00BA69E5">
        <w:t>r</w:t>
      </w:r>
      <w:r>
        <w:t>eport</w:t>
      </w:r>
      <w:r w:rsidRPr="00A03B67">
        <w:t>,</w:t>
      </w:r>
      <w:r>
        <w:t>27</w:t>
      </w:r>
      <w:r w:rsidRPr="00A03B67">
        <w:t>.</w:t>
      </w:r>
    </w:p>
  </w:footnote>
  <w:footnote w:id="1087">
    <w:p w14:paraId="25D0BB2E" w14:textId="2A141E35" w:rsidR="000A0EB4" w:rsidRDefault="000A0EB4" w:rsidP="000A0EB4">
      <w:pPr>
        <w:pStyle w:val="FootnoteText"/>
      </w:pPr>
      <w:r>
        <w:rPr>
          <w:rStyle w:val="FootnoteReference"/>
        </w:rPr>
        <w:footnoteRef/>
      </w:r>
      <w:r>
        <w:t xml:space="preserve"> </w:t>
      </w:r>
      <w:r w:rsidRPr="00DA7291">
        <w:t>Circle Green Community Legal</w:t>
      </w:r>
      <w:r>
        <w:t xml:space="preserve"> </w:t>
      </w:r>
      <w:r w:rsidRPr="00A03B67">
        <w:t>submission</w:t>
      </w:r>
      <w:r>
        <w:t xml:space="preserve"> in response to </w:t>
      </w:r>
      <w:r w:rsidR="00BA69E5">
        <w:t>d</w:t>
      </w:r>
      <w:r>
        <w:t xml:space="preserve">raft </w:t>
      </w:r>
      <w:r w:rsidR="00BA69E5">
        <w:t>r</w:t>
      </w:r>
      <w:r>
        <w:t>eport</w:t>
      </w:r>
      <w:r w:rsidRPr="00A03B67">
        <w:t>,</w:t>
      </w:r>
      <w:r>
        <w:t xml:space="preserve">2; </w:t>
      </w:r>
      <w:r w:rsidR="00332BD7">
        <w:t>Housing Industry Association (</w:t>
      </w:r>
      <w:r>
        <w:t>HIA</w:t>
      </w:r>
      <w:r w:rsidR="00332BD7">
        <w:t>)</w:t>
      </w:r>
      <w:r>
        <w:t xml:space="preserve"> </w:t>
      </w:r>
      <w:r w:rsidRPr="00A03B67">
        <w:t>submission</w:t>
      </w:r>
      <w:r>
        <w:t xml:space="preserve"> in response to </w:t>
      </w:r>
      <w:r w:rsidR="00BA69E5">
        <w:t>d</w:t>
      </w:r>
      <w:r>
        <w:t xml:space="preserve">raft </w:t>
      </w:r>
      <w:r w:rsidR="00BA69E5">
        <w:t>r</w:t>
      </w:r>
      <w:r>
        <w:t>eport</w:t>
      </w:r>
      <w:r w:rsidRPr="00A03B67">
        <w:t>,</w:t>
      </w:r>
      <w:r>
        <w:t>3</w:t>
      </w:r>
      <w:r w:rsidRPr="00A03B67">
        <w:t>.</w:t>
      </w:r>
    </w:p>
  </w:footnote>
  <w:footnote w:id="1088">
    <w:p w14:paraId="53A9A60E" w14:textId="4A369F7B" w:rsidR="000A0EB4" w:rsidRDefault="000A0EB4" w:rsidP="000A0EB4">
      <w:pPr>
        <w:pStyle w:val="FootnoteText"/>
      </w:pPr>
      <w:r>
        <w:rPr>
          <w:rStyle w:val="FootnoteReference"/>
        </w:rPr>
        <w:footnoteRef/>
      </w:r>
      <w:r>
        <w:t xml:space="preserve"> </w:t>
      </w:r>
      <w:r w:rsidRPr="00DA7291">
        <w:t>Circle Green Community Legal</w:t>
      </w:r>
      <w:r>
        <w:t xml:space="preserve"> </w:t>
      </w:r>
      <w:r w:rsidRPr="00A03B67">
        <w:t>submission</w:t>
      </w:r>
      <w:r>
        <w:t xml:space="preserve"> in response to </w:t>
      </w:r>
      <w:r w:rsidR="00BA69E5">
        <w:t>d</w:t>
      </w:r>
      <w:r>
        <w:t xml:space="preserve">raft </w:t>
      </w:r>
      <w:r w:rsidR="00BA69E5">
        <w:t>r</w:t>
      </w:r>
      <w:r>
        <w:t>eport</w:t>
      </w:r>
      <w:r w:rsidRPr="00A03B67">
        <w:t>,</w:t>
      </w:r>
      <w:r>
        <w:t xml:space="preserve">2; </w:t>
      </w:r>
      <w:r w:rsidRPr="00A03B67">
        <w:t>ACTU submission</w:t>
      </w:r>
      <w:r>
        <w:t xml:space="preserve"> in response to </w:t>
      </w:r>
      <w:r w:rsidR="00BA69E5">
        <w:t>d</w:t>
      </w:r>
      <w:r>
        <w:t xml:space="preserve">raft </w:t>
      </w:r>
      <w:r w:rsidR="00BA69E5">
        <w:t>r</w:t>
      </w:r>
      <w:r>
        <w:t>eport</w:t>
      </w:r>
      <w:r w:rsidRPr="00A03B67">
        <w:t>,</w:t>
      </w:r>
      <w:r>
        <w:t>27</w:t>
      </w:r>
      <w:r w:rsidRPr="00A03B67">
        <w:t>.</w:t>
      </w:r>
    </w:p>
  </w:footnote>
  <w:footnote w:id="1089">
    <w:p w14:paraId="2E5458D4" w14:textId="77777777" w:rsidR="000A0EB4" w:rsidRPr="00A03B67" w:rsidRDefault="000A0EB4" w:rsidP="000A0EB4">
      <w:pPr>
        <w:pStyle w:val="FootnoteText"/>
      </w:pPr>
      <w:r w:rsidRPr="00A03B67">
        <w:rPr>
          <w:rStyle w:val="FootnoteReference"/>
        </w:rPr>
        <w:footnoteRef/>
      </w:r>
      <w:r w:rsidRPr="00A03B67">
        <w:t xml:space="preserve"> Australian Human Rights Commission (AHRC), </w:t>
      </w:r>
      <w:r w:rsidRPr="00A03B67">
        <w:rPr>
          <w:i/>
          <w:iCs/>
        </w:rPr>
        <w:t xml:space="preserve">Respect@Work: National Inquiry into Sexual Harassment in Australian Workplaces </w:t>
      </w:r>
      <w:r w:rsidRPr="00A03B67">
        <w:t>(Final Report, 5 March 2020)</w:t>
      </w:r>
      <w:r w:rsidRPr="00A03B67">
        <w:rPr>
          <w:i/>
          <w:iCs/>
        </w:rPr>
        <w:t xml:space="preserve"> &lt;</w:t>
      </w:r>
      <w:r w:rsidRPr="00A03B67">
        <w:t>https://humanrights.gov.au/our-work/sex-discrimination/publications/respectwork-sexual-harassment-national-inquiry-report-2020&gt;.</w:t>
      </w:r>
    </w:p>
  </w:footnote>
  <w:footnote w:id="1090">
    <w:p w14:paraId="74E08C83" w14:textId="77777777" w:rsidR="000A0EB4" w:rsidRPr="00A03B67" w:rsidRDefault="000A0EB4" w:rsidP="000A0EB4">
      <w:pPr>
        <w:pStyle w:val="FootnoteText"/>
      </w:pPr>
      <w:r w:rsidRPr="00A03B67">
        <w:rPr>
          <w:rStyle w:val="FootnoteReference"/>
        </w:rPr>
        <w:footnoteRef/>
      </w:r>
      <w:r w:rsidRPr="00A03B67">
        <w:t xml:space="preserve"> </w:t>
      </w:r>
      <w:r w:rsidRPr="00A03B67">
        <w:rPr>
          <w:i/>
          <w:iCs/>
        </w:rPr>
        <w:t xml:space="preserve">Fair Work Act 2009 </w:t>
      </w:r>
      <w:r w:rsidRPr="004C77C9">
        <w:t>(Cth)</w:t>
      </w:r>
      <w:r w:rsidRPr="00A03B67">
        <w:rPr>
          <w:i/>
          <w:iCs/>
        </w:rPr>
        <w:t xml:space="preserve"> </w:t>
      </w:r>
      <w:r w:rsidRPr="00A03B67">
        <w:t>s 351.</w:t>
      </w:r>
    </w:p>
  </w:footnote>
  <w:footnote w:id="1091">
    <w:p w14:paraId="657B7313" w14:textId="77777777" w:rsidR="000A0EB4" w:rsidRPr="00A03B67" w:rsidRDefault="000A0EB4" w:rsidP="000A0EB4">
      <w:pPr>
        <w:pStyle w:val="FootnoteText"/>
      </w:pPr>
      <w:r w:rsidRPr="00A03B67">
        <w:rPr>
          <w:rStyle w:val="FootnoteReference"/>
        </w:rPr>
        <w:footnoteRef/>
      </w:r>
      <w:r w:rsidRPr="00A03B67">
        <w:t xml:space="preserve"> Revised Explanatory Memorandum, Fair Work Legislation Amendment (Secure Jobs, Better Pay) Bill</w:t>
      </w:r>
      <w:r w:rsidRPr="00A03B67">
        <w:rPr>
          <w:i/>
          <w:iCs/>
        </w:rPr>
        <w:t xml:space="preserve"> </w:t>
      </w:r>
      <w:r w:rsidRPr="00A03B67">
        <w:t>2022, [544].</w:t>
      </w:r>
    </w:p>
  </w:footnote>
  <w:footnote w:id="1092">
    <w:p w14:paraId="4BFA98E9" w14:textId="77777777" w:rsidR="000A0EB4" w:rsidRPr="00A03B67" w:rsidRDefault="000A0EB4" w:rsidP="000A0EB4">
      <w:pPr>
        <w:pStyle w:val="FootnoteText"/>
        <w:rPr>
          <w:lang w:val="en-US"/>
        </w:rPr>
      </w:pPr>
      <w:r w:rsidRPr="00A03B67">
        <w:rPr>
          <w:rStyle w:val="FootnoteReference"/>
        </w:rPr>
        <w:footnoteRef/>
      </w:r>
      <w:r w:rsidRPr="00A03B67">
        <w:t xml:space="preserve"> Revised Explanatory Memorandum, Fair Work Legislation Amendment (Secure Jobs, Better Pay) Bill</w:t>
      </w:r>
      <w:r w:rsidRPr="00A03B67">
        <w:rPr>
          <w:i/>
          <w:iCs/>
        </w:rPr>
        <w:t xml:space="preserve"> </w:t>
      </w:r>
      <w:r w:rsidRPr="00A03B67">
        <w:t>2022, [536].</w:t>
      </w:r>
    </w:p>
  </w:footnote>
  <w:footnote w:id="1093">
    <w:p w14:paraId="67C909E5" w14:textId="77777777" w:rsidR="000A0EB4" w:rsidRPr="00A03B67" w:rsidRDefault="000A0EB4" w:rsidP="000A0EB4">
      <w:pPr>
        <w:pStyle w:val="FootnoteText"/>
      </w:pPr>
      <w:r w:rsidRPr="00A03B67">
        <w:rPr>
          <w:rStyle w:val="FootnoteReference"/>
        </w:rPr>
        <w:footnoteRef/>
      </w:r>
      <w:r w:rsidRPr="00A03B67">
        <w:t xml:space="preserve"> </w:t>
      </w:r>
      <w:r w:rsidRPr="00A03B67">
        <w:rPr>
          <w:i/>
          <w:iCs/>
        </w:rPr>
        <w:t>Fair Work Amendment (Closing Loopholes) Act 2023</w:t>
      </w:r>
      <w:r w:rsidRPr="00A03B67">
        <w:t xml:space="preserve"> (Cth), Sch 1 Part 8 Item 94.</w:t>
      </w:r>
    </w:p>
  </w:footnote>
  <w:footnote w:id="1094">
    <w:p w14:paraId="268D7B92" w14:textId="25CACA4B" w:rsidR="000A0EB4" w:rsidRPr="00A03B67" w:rsidRDefault="000A0EB4" w:rsidP="000A0EB4">
      <w:pPr>
        <w:pStyle w:val="FootnoteText"/>
      </w:pPr>
      <w:r w:rsidRPr="00A03B67">
        <w:rPr>
          <w:rStyle w:val="FootnoteReference"/>
        </w:rPr>
        <w:footnoteRef/>
      </w:r>
      <w:r w:rsidRPr="00A03B67">
        <w:t xml:space="preserve"> Revised Explanatory Memorandum, Fair Work Legislation Amendment (Secure Jobs, Better Pay) Bill</w:t>
      </w:r>
      <w:r w:rsidRPr="00A03B67">
        <w:rPr>
          <w:i/>
          <w:iCs/>
        </w:rPr>
        <w:t xml:space="preserve"> </w:t>
      </w:r>
      <w:r w:rsidRPr="00A03B67">
        <w:t>2022, [544]</w:t>
      </w:r>
      <w:r w:rsidR="00BA69E5">
        <w:rPr>
          <w:rFonts w:ascii="Symbol" w:eastAsia="Symbol" w:hAnsi="Symbol" w:cs="Symbol"/>
        </w:rPr>
        <w:t>-</w:t>
      </w:r>
      <w:r w:rsidRPr="00A03B67">
        <w:t>548].</w:t>
      </w:r>
    </w:p>
  </w:footnote>
  <w:footnote w:id="1095">
    <w:p w14:paraId="1CCA60AA" w14:textId="7CE1BBC7" w:rsidR="000A0EB4" w:rsidRPr="00A03B67" w:rsidRDefault="000A0EB4" w:rsidP="000A0EB4">
      <w:pPr>
        <w:pStyle w:val="FootnoteText"/>
      </w:pPr>
      <w:r w:rsidRPr="00A03B67">
        <w:rPr>
          <w:rStyle w:val="FootnoteReference"/>
        </w:rPr>
        <w:footnoteRef/>
      </w:r>
      <w:r w:rsidRPr="00A03B67">
        <w:t xml:space="preserve"> </w:t>
      </w:r>
      <w:r w:rsidRPr="004C77C9">
        <w:rPr>
          <w:i/>
        </w:rPr>
        <w:t>Application by Curtin University</w:t>
      </w:r>
      <w:r w:rsidRPr="00A03B67">
        <w:t xml:space="preserve"> [2023] FWCA 3356 [6].</w:t>
      </w:r>
    </w:p>
  </w:footnote>
  <w:footnote w:id="1096">
    <w:p w14:paraId="1AEB1E52" w14:textId="77777777" w:rsidR="000A0EB4" w:rsidRPr="00A03B67" w:rsidRDefault="000A0EB4" w:rsidP="000A0EB4">
      <w:pPr>
        <w:pStyle w:val="FootnoteText"/>
      </w:pPr>
      <w:r w:rsidRPr="00A03B67">
        <w:rPr>
          <w:rStyle w:val="FootnoteReference"/>
        </w:rPr>
        <w:footnoteRef/>
      </w:r>
      <w:r w:rsidRPr="00A03B67">
        <w:t xml:space="preserve"> </w:t>
      </w:r>
      <w:r w:rsidRPr="004C77C9">
        <w:rPr>
          <w:i/>
        </w:rPr>
        <w:t>Application by Curtin University</w:t>
      </w:r>
      <w:r w:rsidRPr="00A03B67">
        <w:t xml:space="preserve"> [2023] FWCA 3356 [7].</w:t>
      </w:r>
    </w:p>
  </w:footnote>
  <w:footnote w:id="1097">
    <w:p w14:paraId="48F6EAFB" w14:textId="0B5413DF" w:rsidR="000A0EB4" w:rsidRPr="00A03B67" w:rsidRDefault="000A0EB4" w:rsidP="000A0EB4">
      <w:pPr>
        <w:pStyle w:val="FootnoteText"/>
      </w:pPr>
      <w:r w:rsidRPr="00A03B67">
        <w:rPr>
          <w:rStyle w:val="FootnoteReference"/>
        </w:rPr>
        <w:footnoteRef/>
      </w:r>
      <w:r w:rsidRPr="00A03B67">
        <w:t xml:space="preserve"> </w:t>
      </w:r>
      <w:r w:rsidR="00332BD7">
        <w:t>Australian Council of Trade Unions (</w:t>
      </w:r>
      <w:r w:rsidRPr="00A03B67">
        <w:t>ACTU</w:t>
      </w:r>
      <w:r w:rsidR="00332BD7">
        <w:t>)</w:t>
      </w:r>
      <w:r w:rsidRPr="00A03B67">
        <w:t xml:space="preserve"> submission, 55; </w:t>
      </w:r>
      <w:r w:rsidR="00332BD7">
        <w:t>United Workers Union (</w:t>
      </w:r>
      <w:r w:rsidRPr="00A03B67">
        <w:t>UWU</w:t>
      </w:r>
      <w:r w:rsidR="00332BD7">
        <w:t>)</w:t>
      </w:r>
      <w:r w:rsidRPr="00A03B67">
        <w:t xml:space="preserve"> submission, 19.</w:t>
      </w:r>
    </w:p>
  </w:footnote>
  <w:footnote w:id="1098">
    <w:p w14:paraId="43A18C0E" w14:textId="77777777" w:rsidR="000A0EB4" w:rsidRPr="00A03B67" w:rsidRDefault="000A0EB4" w:rsidP="000A0EB4">
      <w:pPr>
        <w:pStyle w:val="FootnoteText"/>
      </w:pPr>
      <w:r w:rsidRPr="00A03B67">
        <w:rPr>
          <w:rStyle w:val="FootnoteReference"/>
        </w:rPr>
        <w:footnoteRef/>
      </w:r>
      <w:r w:rsidRPr="00A03B67">
        <w:t xml:space="preserve"> ACTU submission, 52</w:t>
      </w:r>
      <w:r w:rsidRPr="00A03B67">
        <w:rPr>
          <w:rFonts w:ascii="Symbol" w:eastAsia="Symbol" w:hAnsi="Symbol" w:cs="Symbol"/>
        </w:rPr>
        <w:t>-</w:t>
      </w:r>
      <w:r w:rsidRPr="00A03B67">
        <w:t>53.</w:t>
      </w:r>
    </w:p>
  </w:footnote>
  <w:footnote w:id="1099">
    <w:p w14:paraId="2786CC01" w14:textId="77777777" w:rsidR="000A0EB4" w:rsidRPr="00A03B67" w:rsidRDefault="000A0EB4" w:rsidP="000A0EB4">
      <w:pPr>
        <w:pStyle w:val="FootnoteText"/>
      </w:pPr>
      <w:r w:rsidRPr="00A03B67">
        <w:rPr>
          <w:rStyle w:val="FootnoteReference"/>
        </w:rPr>
        <w:footnoteRef/>
      </w:r>
      <w:r w:rsidRPr="00A03B67">
        <w:t xml:space="preserve"> ACTU submission,</w:t>
      </w:r>
      <w:r w:rsidRPr="00A03B67" w:rsidDel="00291B77">
        <w:t xml:space="preserve"> </w:t>
      </w:r>
      <w:r w:rsidRPr="00A03B67">
        <w:t>54.</w:t>
      </w:r>
    </w:p>
  </w:footnote>
  <w:footnote w:id="1100">
    <w:p w14:paraId="794D10CF" w14:textId="62E303AD" w:rsidR="000A0EB4" w:rsidRPr="00A03B67" w:rsidRDefault="000A0EB4" w:rsidP="000A0EB4">
      <w:pPr>
        <w:pStyle w:val="FootnoteText"/>
      </w:pPr>
      <w:r w:rsidRPr="00A03B67">
        <w:rPr>
          <w:rStyle w:val="FootnoteReference"/>
        </w:rPr>
        <w:footnoteRef/>
      </w:r>
      <w:r w:rsidRPr="00A03B67">
        <w:t xml:space="preserve"> </w:t>
      </w:r>
      <w:r w:rsidR="00332BD7">
        <w:t>Australian Chamber of Commerce and Industry (</w:t>
      </w:r>
      <w:r w:rsidRPr="00A03B67">
        <w:t>ACCI</w:t>
      </w:r>
      <w:r w:rsidR="00332BD7">
        <w:t>)</w:t>
      </w:r>
      <w:r w:rsidRPr="00A03B67">
        <w:t xml:space="preserve"> submission, 77</w:t>
      </w:r>
      <w:r w:rsidRPr="00A03B67">
        <w:rPr>
          <w:rFonts w:ascii="Symbol" w:eastAsia="Symbol" w:hAnsi="Symbol" w:cs="Symbol"/>
        </w:rPr>
        <w:t>-</w:t>
      </w:r>
      <w:r w:rsidRPr="00A03B67">
        <w:t>78.</w:t>
      </w:r>
    </w:p>
  </w:footnote>
  <w:footnote w:id="1101">
    <w:p w14:paraId="1C8ADC39" w14:textId="1B980DE1" w:rsidR="000A0EB4" w:rsidRPr="00A03B67" w:rsidRDefault="000A0EB4" w:rsidP="000A0EB4">
      <w:pPr>
        <w:pStyle w:val="FootnoteText"/>
      </w:pPr>
      <w:r w:rsidRPr="00A03B67">
        <w:rPr>
          <w:rStyle w:val="FootnoteReference"/>
        </w:rPr>
        <w:footnoteRef/>
      </w:r>
      <w:r w:rsidRPr="00A03B67" w:rsidDel="00332BD7">
        <w:t xml:space="preserve"> </w:t>
      </w:r>
      <w:r w:rsidR="00290A54">
        <w:t xml:space="preserve">Professor </w:t>
      </w:r>
      <w:r w:rsidRPr="00A03B67">
        <w:t>A Blackham submission, 1.</w:t>
      </w:r>
    </w:p>
  </w:footnote>
  <w:footnote w:id="1102">
    <w:p w14:paraId="162F3679" w14:textId="77777777" w:rsidR="000A0EB4" w:rsidRPr="00A03B67" w:rsidRDefault="000A0EB4" w:rsidP="000A0EB4">
      <w:pPr>
        <w:pStyle w:val="FootnoteText"/>
      </w:pPr>
      <w:r w:rsidRPr="00A03B67">
        <w:rPr>
          <w:rStyle w:val="FootnoteReference"/>
        </w:rPr>
        <w:footnoteRef/>
      </w:r>
      <w:r w:rsidRPr="00A03B67">
        <w:t xml:space="preserve"> Employment Rights Service submission.</w:t>
      </w:r>
    </w:p>
  </w:footnote>
  <w:footnote w:id="1103">
    <w:p w14:paraId="2C49898A" w14:textId="77777777" w:rsidR="000A0EB4" w:rsidRPr="00A03B67" w:rsidRDefault="000A0EB4" w:rsidP="000A0EB4">
      <w:pPr>
        <w:pStyle w:val="FootnoteText"/>
      </w:pPr>
      <w:r w:rsidRPr="00A03B67">
        <w:rPr>
          <w:rStyle w:val="FootnoteReference"/>
        </w:rPr>
        <w:footnoteRef/>
      </w:r>
      <w:r w:rsidRPr="00A03B67">
        <w:t xml:space="preserve"> </w:t>
      </w:r>
      <w:r w:rsidRPr="00A03B67">
        <w:rPr>
          <w:rFonts w:eastAsia="Times New Roman"/>
          <w:i/>
          <w:iCs/>
        </w:rPr>
        <w:t>Construction, Forestry, Maritime, Mining and Energy Union v Quirk</w:t>
      </w:r>
      <w:r w:rsidRPr="00A03B67">
        <w:rPr>
          <w:rFonts w:eastAsia="Times New Roman"/>
        </w:rPr>
        <w:t xml:space="preserve"> [2023] FCAFC 163.</w:t>
      </w:r>
    </w:p>
  </w:footnote>
  <w:footnote w:id="1104">
    <w:p w14:paraId="1C2E34D9" w14:textId="77777777" w:rsidR="000A0EB4" w:rsidRPr="00A03B67" w:rsidRDefault="000A0EB4" w:rsidP="000A0EB4">
      <w:pPr>
        <w:pStyle w:val="FootnoteText"/>
      </w:pPr>
      <w:r w:rsidRPr="00A03B67">
        <w:rPr>
          <w:rStyle w:val="FootnoteReference"/>
        </w:rPr>
        <w:footnoteRef/>
      </w:r>
      <w:r w:rsidRPr="00A03B67">
        <w:t xml:space="preserve"> ALRC, </w:t>
      </w:r>
      <w:r w:rsidRPr="00A03B67">
        <w:rPr>
          <w:i/>
          <w:iCs/>
        </w:rPr>
        <w:t>Maximising the Realisation of Human Rights: Religious Educational Institutions and Anti-Discrimination Laws</w:t>
      </w:r>
      <w:r w:rsidRPr="00A03B67">
        <w:t xml:space="preserve"> (Report 142, December 2023) [7.11] and [9.47].</w:t>
      </w:r>
    </w:p>
  </w:footnote>
  <w:footnote w:id="1105">
    <w:p w14:paraId="33AE27C6" w14:textId="1B11FD90" w:rsidR="000A0EB4" w:rsidRDefault="000A0EB4" w:rsidP="000A0EB4">
      <w:pPr>
        <w:pStyle w:val="FootnoteText"/>
      </w:pPr>
      <w:r>
        <w:rPr>
          <w:rStyle w:val="FootnoteReference"/>
        </w:rPr>
        <w:footnoteRef/>
      </w:r>
      <w:r>
        <w:t xml:space="preserve"> </w:t>
      </w:r>
      <w:r w:rsidR="00332BD7" w:rsidRPr="00332BD7">
        <w:t xml:space="preserve">Community and Public Sector Union </w:t>
      </w:r>
      <w:r w:rsidR="00332BD7">
        <w:t>(</w:t>
      </w:r>
      <w:r>
        <w:t>CPSU</w:t>
      </w:r>
      <w:r w:rsidR="00332BD7">
        <w:t>)</w:t>
      </w:r>
      <w:r>
        <w:t xml:space="preserve"> submission in response to </w:t>
      </w:r>
      <w:r w:rsidR="00BA69E5">
        <w:t>d</w:t>
      </w:r>
      <w:r>
        <w:t xml:space="preserve">raft </w:t>
      </w:r>
      <w:r w:rsidR="00BA69E5">
        <w:t>r</w:t>
      </w:r>
      <w:r>
        <w:t>eport, 2</w:t>
      </w:r>
      <w:r w:rsidR="00BA69E5">
        <w:rPr>
          <w:rFonts w:ascii="Symbol" w:eastAsia="Symbol" w:hAnsi="Symbol" w:cs="Symbol"/>
        </w:rPr>
        <w:t>-</w:t>
      </w:r>
      <w:r>
        <w:t>3</w:t>
      </w:r>
      <w:r w:rsidR="00BA69E5">
        <w:t xml:space="preserve"> [</w:t>
      </w:r>
      <w:r>
        <w:t>6</w:t>
      </w:r>
      <w:r w:rsidR="00BA69E5">
        <w:t>]</w:t>
      </w:r>
      <w:r w:rsidR="00BA69E5">
        <w:rPr>
          <w:rFonts w:ascii="Symbol" w:eastAsia="Symbol" w:hAnsi="Symbol" w:cs="Symbol"/>
        </w:rPr>
        <w:t>-</w:t>
      </w:r>
      <w:r w:rsidR="00BA69E5">
        <w:t>[</w:t>
      </w:r>
      <w:r>
        <w:t>7</w:t>
      </w:r>
      <w:r w:rsidR="00BA69E5">
        <w:t>]</w:t>
      </w:r>
      <w:r>
        <w:t>.</w:t>
      </w:r>
    </w:p>
  </w:footnote>
  <w:footnote w:id="1106">
    <w:p w14:paraId="3B38A096" w14:textId="4D3DE7FD" w:rsidR="000A0EB4" w:rsidRDefault="000A0EB4" w:rsidP="000A0EB4">
      <w:pPr>
        <w:pStyle w:val="FootnoteText"/>
      </w:pPr>
      <w:r>
        <w:rPr>
          <w:rStyle w:val="FootnoteReference"/>
        </w:rPr>
        <w:footnoteRef/>
      </w:r>
      <w:r>
        <w:t xml:space="preserve"> </w:t>
      </w:r>
      <w:r w:rsidR="00332BD7" w:rsidRPr="00332BD7">
        <w:t xml:space="preserve">Australian Nursing and Midwifery Federation </w:t>
      </w:r>
      <w:r w:rsidR="00332BD7">
        <w:t>(</w:t>
      </w:r>
      <w:r>
        <w:t>ANMF</w:t>
      </w:r>
      <w:r w:rsidR="00332BD7">
        <w:t>)</w:t>
      </w:r>
      <w:r>
        <w:t xml:space="preserve"> submission in response to </w:t>
      </w:r>
      <w:r w:rsidR="00BA69E5">
        <w:t>d</w:t>
      </w:r>
      <w:r>
        <w:t xml:space="preserve">raft </w:t>
      </w:r>
      <w:r w:rsidR="00BA69E5">
        <w:t>r</w:t>
      </w:r>
      <w:r>
        <w:t>eport, 6</w:t>
      </w:r>
      <w:r w:rsidR="00BA69E5">
        <w:t xml:space="preserve"> [</w:t>
      </w:r>
      <w:r>
        <w:t>17</w:t>
      </w:r>
      <w:r w:rsidR="00BA69E5">
        <w:t>]</w:t>
      </w:r>
      <w:r>
        <w:t>.</w:t>
      </w:r>
    </w:p>
  </w:footnote>
  <w:footnote w:id="1107">
    <w:p w14:paraId="0675632D" w14:textId="41243E70" w:rsidR="000A0EB4" w:rsidRDefault="000A0EB4" w:rsidP="000A0EB4">
      <w:pPr>
        <w:pStyle w:val="FootnoteText"/>
      </w:pPr>
      <w:r>
        <w:rPr>
          <w:rStyle w:val="FootnoteReference"/>
        </w:rPr>
        <w:footnoteRef/>
      </w:r>
      <w:r>
        <w:t xml:space="preserve"> ACTU submission in response to </w:t>
      </w:r>
      <w:r w:rsidR="00BA69E5">
        <w:t>d</w:t>
      </w:r>
      <w:r>
        <w:t xml:space="preserve">raft </w:t>
      </w:r>
      <w:r w:rsidR="00BA69E5">
        <w:t>r</w:t>
      </w:r>
      <w:r>
        <w:t>eport, 29.</w:t>
      </w:r>
    </w:p>
  </w:footnote>
  <w:footnote w:id="1108">
    <w:p w14:paraId="606A702A" w14:textId="5B6D6ED8" w:rsidR="000A0EB4" w:rsidRDefault="000A0EB4" w:rsidP="000A0EB4">
      <w:pPr>
        <w:pStyle w:val="FootnoteText"/>
      </w:pPr>
      <w:r>
        <w:rPr>
          <w:rStyle w:val="FootnoteReference"/>
        </w:rPr>
        <w:footnoteRef/>
      </w:r>
      <w:r>
        <w:t xml:space="preserve"> </w:t>
      </w:r>
      <w:r w:rsidR="00332BD7" w:rsidRPr="00332BD7">
        <w:t xml:space="preserve">Australian Higher Education Industrial Association </w:t>
      </w:r>
      <w:r w:rsidR="00332BD7">
        <w:t>(</w:t>
      </w:r>
      <w:r>
        <w:t>AHEIA</w:t>
      </w:r>
      <w:r w:rsidR="00332BD7">
        <w:t>)</w:t>
      </w:r>
      <w:r>
        <w:t xml:space="preserve"> submission in response to </w:t>
      </w:r>
      <w:r w:rsidR="00BA69E5">
        <w:t>d</w:t>
      </w:r>
      <w:r>
        <w:t xml:space="preserve">raft </w:t>
      </w:r>
      <w:r w:rsidR="00BA69E5">
        <w:t>r</w:t>
      </w:r>
      <w:r>
        <w:t>eport, 3.</w:t>
      </w:r>
    </w:p>
  </w:footnote>
  <w:footnote w:id="1109">
    <w:p w14:paraId="6E5DEBA6" w14:textId="1D57DAB9" w:rsidR="000A0EB4" w:rsidRDefault="000A0EB4" w:rsidP="000A0EB4">
      <w:pPr>
        <w:pStyle w:val="FootnoteText"/>
      </w:pPr>
      <w:r>
        <w:rPr>
          <w:rStyle w:val="FootnoteReference"/>
        </w:rPr>
        <w:footnoteRef/>
      </w:r>
      <w:r>
        <w:t xml:space="preserve"> ACCI submission in response to the </w:t>
      </w:r>
      <w:r w:rsidR="00BA69E5">
        <w:t>d</w:t>
      </w:r>
      <w:r>
        <w:t xml:space="preserve">raft </w:t>
      </w:r>
      <w:r w:rsidR="00BA69E5">
        <w:t>r</w:t>
      </w:r>
      <w:r>
        <w:t xml:space="preserve">eport, 27 [71]; </w:t>
      </w:r>
      <w:r w:rsidR="00332BD7" w:rsidRPr="00332BD7">
        <w:t xml:space="preserve">Chamber of Commerce and Industry of Western Australia </w:t>
      </w:r>
      <w:r w:rsidR="00332BD7">
        <w:t>(</w:t>
      </w:r>
      <w:r>
        <w:t>CCIWA</w:t>
      </w:r>
      <w:r w:rsidR="00332BD7">
        <w:t>)</w:t>
      </w:r>
      <w:r>
        <w:t xml:space="preserve"> submission in response to </w:t>
      </w:r>
      <w:r w:rsidR="00BA69E5">
        <w:t>d</w:t>
      </w:r>
      <w:r>
        <w:t xml:space="preserve">raft </w:t>
      </w:r>
      <w:r w:rsidR="00BA69E5">
        <w:t>r</w:t>
      </w:r>
      <w:r>
        <w:t>eport, 7.</w:t>
      </w:r>
    </w:p>
  </w:footnote>
  <w:footnote w:id="1110">
    <w:p w14:paraId="24262AD4" w14:textId="5BB20440" w:rsidR="000A0EB4" w:rsidRDefault="000A0EB4" w:rsidP="000A0EB4">
      <w:pPr>
        <w:pStyle w:val="FootnoteText"/>
      </w:pPr>
      <w:r>
        <w:rPr>
          <w:rStyle w:val="FootnoteReference"/>
        </w:rPr>
        <w:footnoteRef/>
      </w:r>
      <w:r>
        <w:t xml:space="preserve"> Ai Group submission in response to the </w:t>
      </w:r>
      <w:r w:rsidR="00BA69E5">
        <w:t>r</w:t>
      </w:r>
      <w:r>
        <w:t>eport, 61</w:t>
      </w:r>
      <w:r w:rsidR="00BA69E5">
        <w:t xml:space="preserve"> [</w:t>
      </w:r>
      <w:r w:rsidRPr="00795E57">
        <w:t>272</w:t>
      </w:r>
      <w:r w:rsidR="00BA69E5">
        <w:t>]</w:t>
      </w:r>
      <w:r w:rsidRPr="00795E57">
        <w:t>.</w:t>
      </w:r>
    </w:p>
  </w:footnote>
  <w:footnote w:id="1111">
    <w:p w14:paraId="6745D3AA" w14:textId="564812B2" w:rsidR="000A0EB4" w:rsidRDefault="000A0EB4" w:rsidP="000A0EB4">
      <w:pPr>
        <w:pStyle w:val="FootnoteText"/>
      </w:pPr>
      <w:r>
        <w:rPr>
          <w:rStyle w:val="FootnoteReference"/>
        </w:rPr>
        <w:footnoteRef/>
      </w:r>
      <w:r w:rsidDel="00332BD7">
        <w:t xml:space="preserve"> </w:t>
      </w:r>
      <w:r w:rsidR="00290A54">
        <w:t xml:space="preserve">Professor </w:t>
      </w:r>
      <w:r>
        <w:t xml:space="preserve">A Blackham submission in response to the </w:t>
      </w:r>
      <w:r w:rsidR="00BA69E5">
        <w:t>d</w:t>
      </w:r>
      <w:r>
        <w:t xml:space="preserve">raft </w:t>
      </w:r>
      <w:r w:rsidR="00BA69E5">
        <w:t>r</w:t>
      </w:r>
      <w:r>
        <w:t>eport, 1.</w:t>
      </w:r>
    </w:p>
  </w:footnote>
  <w:footnote w:id="1112">
    <w:p w14:paraId="49E47DAD" w14:textId="77777777" w:rsidR="00E051DB" w:rsidRDefault="00E051DB" w:rsidP="00E051DB">
      <w:pPr>
        <w:pStyle w:val="FootnoteText"/>
      </w:pPr>
      <w:r>
        <w:rPr>
          <w:rStyle w:val="FootnoteReference"/>
        </w:rPr>
        <w:footnoteRef/>
      </w:r>
      <w:r>
        <w:t xml:space="preserve"> </w:t>
      </w:r>
      <w:r w:rsidRPr="00062B82">
        <w:t>Two recent parliamentary inquiries have considered the interactions between reproductive health and workplace relations and made recommendations for further consideration and research</w:t>
      </w:r>
      <w:r>
        <w:t xml:space="preserve"> (</w:t>
      </w:r>
      <w:r w:rsidRPr="00062B82">
        <w:t xml:space="preserve">Senate Community Affairs References Committee 2024 report on </w:t>
      </w:r>
      <w:r>
        <w:t>i</w:t>
      </w:r>
      <w:r w:rsidRPr="00062B82">
        <w:t>ssues related to menopause and perimenopause; 2023 Senate Inquiry into Universal Access to Reproductive Healthcare</w:t>
      </w:r>
      <w:r>
        <w:t>).</w:t>
      </w:r>
      <w:r w:rsidRPr="00062B82">
        <w:t xml:space="preserve"> There is also a variety of domestic and international examples of additional leave entitlements</w:t>
      </w:r>
      <w:r>
        <w:t>: S Convery, ‘</w:t>
      </w:r>
      <w:r w:rsidRPr="00A03B67">
        <w:t xml:space="preserve">Reproductive </w:t>
      </w:r>
      <w:r>
        <w:t>L</w:t>
      </w:r>
      <w:r w:rsidRPr="00A03B67">
        <w:t xml:space="preserve">eave </w:t>
      </w:r>
      <w:r>
        <w:t>C</w:t>
      </w:r>
      <w:r w:rsidRPr="00A03B67">
        <w:t xml:space="preserve">ould </w:t>
      </w:r>
      <w:r>
        <w:t>B</w:t>
      </w:r>
      <w:r w:rsidRPr="00A03B67">
        <w:t>e a ‘</w:t>
      </w:r>
      <w:r>
        <w:t>G</w:t>
      </w:r>
      <w:r w:rsidRPr="00A03B67">
        <w:t xml:space="preserve">amechanger’ for Australian </w:t>
      </w:r>
      <w:r>
        <w:t>W</w:t>
      </w:r>
      <w:r w:rsidRPr="00A03B67">
        <w:t xml:space="preserve">orkers – </w:t>
      </w:r>
      <w:r>
        <w:t>H</w:t>
      </w:r>
      <w:r w:rsidRPr="00A03B67">
        <w:t xml:space="preserve">ow </w:t>
      </w:r>
      <w:r>
        <w:t>W</w:t>
      </w:r>
      <w:r w:rsidRPr="00A03B67">
        <w:t xml:space="preserve">ould </w:t>
      </w:r>
      <w:r>
        <w:t>I</w:t>
      </w:r>
      <w:r w:rsidRPr="00A03B67">
        <w:t xml:space="preserve">t </w:t>
      </w:r>
      <w:r>
        <w:t>W</w:t>
      </w:r>
      <w:r w:rsidRPr="00A03B67">
        <w:t>ork?</w:t>
      </w:r>
      <w:r>
        <w:t xml:space="preserve">’ </w:t>
      </w:r>
      <w:r w:rsidRPr="006D0D12">
        <w:rPr>
          <w:i/>
        </w:rPr>
        <w:t>The Guardian</w:t>
      </w:r>
      <w:r w:rsidRPr="00A03B67">
        <w:t xml:space="preserve"> (13 January 2025</w:t>
      </w:r>
      <w:r w:rsidDel="00BA69E5">
        <w:t>)</w:t>
      </w:r>
      <w:r w:rsidRPr="00A03B67">
        <w:t>.</w:t>
      </w:r>
    </w:p>
  </w:footnote>
  <w:footnote w:id="1113">
    <w:p w14:paraId="2B70CF92" w14:textId="6F8F134B" w:rsidR="001A61D5" w:rsidRDefault="00387B8A">
      <w:pPr>
        <w:pStyle w:val="FootnoteText"/>
      </w:pPr>
      <w:r>
        <w:rPr>
          <w:rStyle w:val="FootnoteReference"/>
        </w:rPr>
        <w:footnoteRef/>
      </w:r>
    </w:p>
    <w:p w14:paraId="34343283" w14:textId="6653D9C5" w:rsidR="00387B8A" w:rsidRPr="00A03B67" w:rsidRDefault="00F774AC">
      <w:pPr>
        <w:pStyle w:val="FootnoteText"/>
        <w:rPr>
          <w:lang w:val="en-US"/>
        </w:rPr>
      </w:pPr>
      <w:r w:rsidRPr="00A03B67">
        <w:t xml:space="preserve"> Fair Work Ombudsman, </w:t>
      </w:r>
      <w:r w:rsidRPr="00A03B67">
        <w:rPr>
          <w:i/>
          <w:iCs/>
        </w:rPr>
        <w:t>Fixed Term Contract Employees</w:t>
      </w:r>
      <w:r w:rsidRPr="00A03B67">
        <w:t xml:space="preserve"> (Web Page, n.d.) &lt;</w:t>
      </w:r>
      <w:r w:rsidRPr="00275019">
        <w:t>https://www.fairwork.gov.au/starting-employment/types-of-employees/fixed-term-contract-employees#fixed-term-contract-information-statement</w:t>
      </w:r>
      <w:r w:rsidRPr="00A03B67">
        <w:t>&gt;.</w:t>
      </w:r>
    </w:p>
  </w:footnote>
  <w:footnote w:id="1114">
    <w:p w14:paraId="5152B534" w14:textId="77777777" w:rsidR="00274613" w:rsidRPr="00A03B67" w:rsidRDefault="00274613" w:rsidP="00274613">
      <w:pPr>
        <w:pStyle w:val="FootnoteText"/>
      </w:pPr>
      <w:r w:rsidRPr="00A03B67">
        <w:rPr>
          <w:rStyle w:val="FootnoteReference"/>
        </w:rPr>
        <w:footnoteRef/>
      </w:r>
      <w:r w:rsidRPr="00A03B67">
        <w:t xml:space="preserve"> </w:t>
      </w:r>
      <w:r w:rsidRPr="00A03B67">
        <w:rPr>
          <w:i/>
        </w:rPr>
        <w:t>Fair Work Act</w:t>
      </w:r>
      <w:r w:rsidRPr="00A03B67">
        <w:t xml:space="preserve"> (Cth) s 333G.</w:t>
      </w:r>
    </w:p>
  </w:footnote>
  <w:footnote w:id="1115">
    <w:p w14:paraId="6CFE6906" w14:textId="77777777" w:rsidR="00274613" w:rsidRPr="00A03B67" w:rsidRDefault="00274613" w:rsidP="00274613">
      <w:pPr>
        <w:pStyle w:val="FootnoteText"/>
      </w:pPr>
      <w:r w:rsidRPr="00A03B67">
        <w:rPr>
          <w:rStyle w:val="FootnoteReference"/>
        </w:rPr>
        <w:footnoteRef/>
      </w:r>
      <w:r w:rsidRPr="00A03B67">
        <w:t xml:space="preserve"> </w:t>
      </w:r>
      <w:r w:rsidRPr="00A03B67">
        <w:rPr>
          <w:i/>
          <w:iCs/>
        </w:rPr>
        <w:t>Fair Work Legislation Amendment (Secure Jobs, Better Pay) Act 2022</w:t>
      </w:r>
      <w:r>
        <w:rPr>
          <w:i/>
          <w:iCs/>
        </w:rPr>
        <w:t xml:space="preserve"> (Cth)</w:t>
      </w:r>
      <w:r w:rsidRPr="00A03B67">
        <w:t>, s 333G(1).</w:t>
      </w:r>
    </w:p>
  </w:footnote>
  <w:footnote w:id="1116">
    <w:p w14:paraId="771002E9" w14:textId="77777777" w:rsidR="00274613" w:rsidRPr="00A03B67" w:rsidRDefault="00274613" w:rsidP="00274613">
      <w:pPr>
        <w:pStyle w:val="FootnoteText"/>
        <w:rPr>
          <w:lang w:val="en-US"/>
        </w:rPr>
      </w:pPr>
      <w:r w:rsidRPr="00A03B67">
        <w:rPr>
          <w:rStyle w:val="FootnoteReference"/>
        </w:rPr>
        <w:footnoteRef/>
      </w:r>
      <w:r w:rsidRPr="00A03B67">
        <w:t xml:space="preserve"> Live Performance Award</w:t>
      </w:r>
      <w:r w:rsidRPr="00A03B67">
        <w:rPr>
          <w:i/>
          <w:iCs/>
        </w:rPr>
        <w:t xml:space="preserve"> </w:t>
      </w:r>
      <w:r w:rsidRPr="00A03B67">
        <w:t xml:space="preserve">cl 28A; </w:t>
      </w:r>
      <w:r w:rsidRPr="00A03B67">
        <w:rPr>
          <w:i/>
          <w:iCs/>
        </w:rPr>
        <w:t xml:space="preserve">Fair Work Amendment (Fixed Term Contracts) Regulations 2023, </w:t>
      </w:r>
      <w:r w:rsidRPr="00A03B67">
        <w:t xml:space="preserve">as enacted 24 November 2023 to 19 March 2024; Fair Work Ombudsman, </w:t>
      </w:r>
      <w:r w:rsidRPr="00A03B67">
        <w:rPr>
          <w:i/>
          <w:iCs/>
        </w:rPr>
        <w:t xml:space="preserve">Additional Fixed Term Contract Exceptions </w:t>
      </w:r>
      <w:r w:rsidRPr="00A03B67">
        <w:t>(Web Page, n.d.) &lt;https://www.fairwork.gov.au/starting-employment/types-of-employees/fixed-term-contract-employees/additional-fixed-term-contract-exceptions#higher-education&gt;.</w:t>
      </w:r>
    </w:p>
  </w:footnote>
  <w:footnote w:id="1117">
    <w:p w14:paraId="3C4CAF0A" w14:textId="77777777" w:rsidR="00274613" w:rsidRPr="00A03B67" w:rsidRDefault="00274613" w:rsidP="00274613">
      <w:pPr>
        <w:pStyle w:val="FootnoteText"/>
        <w:rPr>
          <w:rStyle w:val="Hyperlink"/>
        </w:rPr>
      </w:pPr>
      <w:r w:rsidRPr="00A03B67">
        <w:rPr>
          <w:rStyle w:val="FootnoteReference"/>
        </w:rPr>
        <w:footnoteRef/>
      </w:r>
      <w:r w:rsidRPr="00A03B67">
        <w:t xml:space="preserve"> Fair Work Ombudsman, </w:t>
      </w:r>
      <w:r w:rsidRPr="00A03B67">
        <w:rPr>
          <w:i/>
          <w:iCs/>
        </w:rPr>
        <w:t xml:space="preserve">Expired and Replaced Additional Fixed Term Contract Exceptions </w:t>
      </w:r>
      <w:r w:rsidRPr="00A03B67">
        <w:rPr>
          <w:rFonts w:ascii="Symbol" w:eastAsia="Symbol" w:hAnsi="Symbol" w:cs="Symbol"/>
          <w:i/>
          <w:iCs/>
        </w:rPr>
        <w:t>-</w:t>
      </w:r>
      <w:r w:rsidRPr="00A03B67">
        <w:rPr>
          <w:i/>
          <w:iCs/>
        </w:rPr>
        <w:t xml:space="preserve"> Live Performance and Funding Reliant Positions </w:t>
      </w:r>
      <w:r w:rsidRPr="00A03B67">
        <w:t>(Web Page, n.d.) &lt;</w:t>
      </w:r>
      <w:hyperlink r:id="rId7" w:history="1">
        <w:r w:rsidRPr="00A03B67">
          <w:t>https://library.fairwork.gov.au/viewer/?krn=K700424</w:t>
        </w:r>
      </w:hyperlink>
      <w:r w:rsidRPr="00A03B67">
        <w:t>&gt;.</w:t>
      </w:r>
    </w:p>
  </w:footnote>
  <w:footnote w:id="1118">
    <w:p w14:paraId="0E6C9C78" w14:textId="77777777" w:rsidR="00A219DD" w:rsidRPr="00A03B67" w:rsidRDefault="00A219DD" w:rsidP="00A219DD">
      <w:pPr>
        <w:pStyle w:val="FootnoteText"/>
      </w:pPr>
      <w:r w:rsidRPr="00A03B67">
        <w:rPr>
          <w:rStyle w:val="FootnoteReference"/>
        </w:rPr>
        <w:footnoteRef/>
      </w:r>
      <w:r w:rsidRPr="00A03B67">
        <w:t xml:space="preserve"> </w:t>
      </w:r>
      <w:r w:rsidRPr="00A03B67">
        <w:rPr>
          <w:i/>
          <w:iCs/>
        </w:rPr>
        <w:t>Fair Work Amendment (Closing Loopholes No. 2) Act 2024</w:t>
      </w:r>
      <w:r w:rsidRPr="00A03B67">
        <w:t>.</w:t>
      </w:r>
    </w:p>
  </w:footnote>
  <w:footnote w:id="1119">
    <w:p w14:paraId="21D73D8F" w14:textId="77777777" w:rsidR="00730A58" w:rsidRPr="00A03B67" w:rsidRDefault="00730A58" w:rsidP="00730A58">
      <w:pPr>
        <w:pStyle w:val="FootnoteText"/>
        <w:rPr>
          <w:lang w:val="en-US"/>
        </w:rPr>
      </w:pPr>
      <w:r w:rsidRPr="00A03B67">
        <w:rPr>
          <w:rStyle w:val="FootnoteReference"/>
        </w:rPr>
        <w:footnoteRef/>
      </w:r>
      <w:r w:rsidRPr="00A03B67">
        <w:t xml:space="preserve"> Revised Explanatory Memorandum, Fair Work Legislation Amendment (Secure Jobs, Better Pay) Bill</w:t>
      </w:r>
      <w:r w:rsidRPr="00A03B67">
        <w:rPr>
          <w:i/>
          <w:iCs/>
        </w:rPr>
        <w:t xml:space="preserve"> </w:t>
      </w:r>
      <w:r w:rsidRPr="00A03B67">
        <w:t>2022, [83].</w:t>
      </w:r>
    </w:p>
  </w:footnote>
  <w:footnote w:id="1120">
    <w:p w14:paraId="7AC43F22" w14:textId="77777777" w:rsidR="00730A58" w:rsidRPr="00A03B67" w:rsidRDefault="00730A58" w:rsidP="00730A58">
      <w:pPr>
        <w:pStyle w:val="FootnoteText"/>
      </w:pPr>
      <w:r w:rsidRPr="00A03B67">
        <w:rPr>
          <w:rStyle w:val="FootnoteReference"/>
        </w:rPr>
        <w:footnoteRef/>
      </w:r>
      <w:r w:rsidRPr="00A03B67">
        <w:t xml:space="preserve"> Commonwealth, </w:t>
      </w:r>
      <w:r w:rsidRPr="00A03B67">
        <w:rPr>
          <w:i/>
          <w:iCs/>
        </w:rPr>
        <w:t>Parliamentary Debates</w:t>
      </w:r>
      <w:r w:rsidRPr="00A03B67">
        <w:t>, House of Representatives, 27 October 2022, 2179.</w:t>
      </w:r>
    </w:p>
  </w:footnote>
  <w:footnote w:id="1121">
    <w:p w14:paraId="55B6F5EF" w14:textId="77777777" w:rsidR="00730A58" w:rsidRPr="00A03B67" w:rsidRDefault="00730A58" w:rsidP="00730A58">
      <w:pPr>
        <w:pStyle w:val="FootnoteText"/>
      </w:pPr>
      <w:r w:rsidRPr="00A03B67">
        <w:rPr>
          <w:rStyle w:val="FootnoteReference"/>
        </w:rPr>
        <w:footnoteRef/>
      </w:r>
      <w:r w:rsidRPr="00A03B67">
        <w:t xml:space="preserve"> Commonwealth, </w:t>
      </w:r>
      <w:r w:rsidRPr="00A03B67">
        <w:rPr>
          <w:i/>
          <w:iCs/>
        </w:rPr>
        <w:t>Parliamentary Debates</w:t>
      </w:r>
      <w:r w:rsidRPr="00A03B67">
        <w:t>, House of Representatives, 27 October 2022, 2179.</w:t>
      </w:r>
    </w:p>
  </w:footnote>
  <w:footnote w:id="1122">
    <w:p w14:paraId="6705B1F5" w14:textId="77777777" w:rsidR="00DC4DB7" w:rsidRPr="00A03B67" w:rsidRDefault="00DC4DB7" w:rsidP="00DC4DB7">
      <w:pPr>
        <w:pStyle w:val="FootnoteText"/>
      </w:pPr>
      <w:r w:rsidRPr="00A03B67">
        <w:rPr>
          <w:rStyle w:val="FootnoteReference"/>
        </w:rPr>
        <w:footnoteRef/>
      </w:r>
      <w:r w:rsidRPr="00A03B67">
        <w:t xml:space="preserve"> Revised Explanatory Memorandum, Fair Work Legislation Amendment (Secure Jobs, Better Pay) Bill</w:t>
      </w:r>
      <w:r w:rsidRPr="00A03B67">
        <w:rPr>
          <w:i/>
          <w:iCs/>
        </w:rPr>
        <w:t xml:space="preserve"> </w:t>
      </w:r>
      <w:r w:rsidRPr="00A03B67">
        <w:t>2022, [568].</w:t>
      </w:r>
    </w:p>
  </w:footnote>
  <w:footnote w:id="1123">
    <w:p w14:paraId="6088DF91" w14:textId="77777777" w:rsidR="00DC4DB7" w:rsidRPr="00A03B67" w:rsidRDefault="00DC4DB7" w:rsidP="00DC4DB7">
      <w:pPr>
        <w:pStyle w:val="FootnoteText"/>
      </w:pPr>
      <w:r w:rsidRPr="00A03B67">
        <w:rPr>
          <w:rStyle w:val="FootnoteReference"/>
        </w:rPr>
        <w:footnoteRef/>
      </w:r>
      <w:r w:rsidRPr="00A03B67">
        <w:t xml:space="preserve"> Revised Explanatory Memorandum, Fair Work Legislation Amendment (Secure Jobs, Better Pay) Bill</w:t>
      </w:r>
      <w:r w:rsidRPr="00A03B67">
        <w:rPr>
          <w:i/>
          <w:iCs/>
        </w:rPr>
        <w:t xml:space="preserve"> </w:t>
      </w:r>
      <w:r w:rsidRPr="00A03B67">
        <w:t>2022, [568].</w:t>
      </w:r>
    </w:p>
  </w:footnote>
  <w:footnote w:id="1124">
    <w:p w14:paraId="13EE9AB2" w14:textId="57108850" w:rsidR="008C2B40" w:rsidRPr="00FF5AED" w:rsidRDefault="008C2B40" w:rsidP="008C2B40">
      <w:pPr>
        <w:pStyle w:val="FootnoteText"/>
        <w:rPr>
          <w:lang w:val="en-US"/>
        </w:rPr>
      </w:pPr>
      <w:r w:rsidRPr="00FF5AED">
        <w:rPr>
          <w:rStyle w:val="FootnoteReference"/>
        </w:rPr>
        <w:footnoteRef/>
      </w:r>
      <w:r w:rsidRPr="00FF5AED">
        <w:t xml:space="preserve"> </w:t>
      </w:r>
      <w:r w:rsidRPr="00FF5AED">
        <w:rPr>
          <w:lang w:val="en-US"/>
        </w:rPr>
        <w:t xml:space="preserve">See Statistical Appendix 1, section 2.4, Tables </w:t>
      </w:r>
      <w:r w:rsidR="001E447E" w:rsidRPr="00FF5AED">
        <w:rPr>
          <w:lang w:val="en-US"/>
        </w:rPr>
        <w:t>3</w:t>
      </w:r>
      <w:r w:rsidR="001E447E">
        <w:rPr>
          <w:lang w:val="en-US"/>
        </w:rPr>
        <w:t>1</w:t>
      </w:r>
      <w:r w:rsidR="001E447E" w:rsidRPr="00FF5AED">
        <w:rPr>
          <w:lang w:val="en-US"/>
        </w:rPr>
        <w:t xml:space="preserve"> </w:t>
      </w:r>
      <w:r w:rsidRPr="00FF5AED">
        <w:rPr>
          <w:lang w:val="en-US"/>
        </w:rPr>
        <w:t xml:space="preserve">to </w:t>
      </w:r>
      <w:r w:rsidR="001E447E" w:rsidRPr="00FF5AED">
        <w:rPr>
          <w:lang w:val="en-US"/>
        </w:rPr>
        <w:t>3</w:t>
      </w:r>
      <w:r w:rsidR="001E447E">
        <w:rPr>
          <w:lang w:val="en-US"/>
        </w:rPr>
        <w:t>5</w:t>
      </w:r>
      <w:r w:rsidRPr="00FF5AED">
        <w:rPr>
          <w:lang w:val="en-US"/>
        </w:rPr>
        <w:t xml:space="preserve">. </w:t>
      </w:r>
    </w:p>
  </w:footnote>
  <w:footnote w:id="1125">
    <w:p w14:paraId="43B15822" w14:textId="304A4379" w:rsidR="008C2B40" w:rsidRPr="00A03B67" w:rsidRDefault="008C2B40" w:rsidP="008C2B40">
      <w:pPr>
        <w:pStyle w:val="FootnoteText"/>
        <w:rPr>
          <w:lang w:val="en-US"/>
        </w:rPr>
      </w:pPr>
      <w:r w:rsidRPr="00FF5AED">
        <w:rPr>
          <w:rStyle w:val="FootnoteReference"/>
        </w:rPr>
        <w:footnoteRef/>
      </w:r>
      <w:r w:rsidRPr="00FF5AED">
        <w:t xml:space="preserve"> </w:t>
      </w:r>
      <w:r w:rsidRPr="00FF5AED">
        <w:rPr>
          <w:lang w:val="en-US"/>
        </w:rPr>
        <w:t xml:space="preserve">See Statistical Appendix 1, section 2.4, Table </w:t>
      </w:r>
      <w:r w:rsidR="001E447E" w:rsidRPr="00FF5AED">
        <w:rPr>
          <w:lang w:val="en-US"/>
        </w:rPr>
        <w:t>3</w:t>
      </w:r>
      <w:r w:rsidR="001E447E">
        <w:rPr>
          <w:lang w:val="en-US"/>
        </w:rPr>
        <w:t>5</w:t>
      </w:r>
      <w:r w:rsidRPr="00FF5AED">
        <w:rPr>
          <w:lang w:val="en-US"/>
        </w:rPr>
        <w:t>.</w:t>
      </w:r>
    </w:p>
  </w:footnote>
  <w:footnote w:id="1126">
    <w:p w14:paraId="077DA959" w14:textId="05876744" w:rsidR="0037156F" w:rsidRPr="00A03B67" w:rsidRDefault="0037156F" w:rsidP="0037156F">
      <w:pPr>
        <w:pStyle w:val="FootnoteText"/>
        <w:rPr>
          <w:lang w:val="en-US"/>
        </w:rPr>
      </w:pPr>
      <w:r w:rsidRPr="00A03B67">
        <w:rPr>
          <w:rStyle w:val="FootnoteReference"/>
        </w:rPr>
        <w:footnoteRef/>
      </w:r>
      <w:r w:rsidRPr="00A03B67">
        <w:t xml:space="preserve"> </w:t>
      </w:r>
      <w:r w:rsidRPr="00A03B67">
        <w:rPr>
          <w:lang w:val="en-US"/>
        </w:rPr>
        <w:t>See Statistical Appendix 1, section 2.</w:t>
      </w:r>
      <w:r w:rsidRPr="00863842">
        <w:rPr>
          <w:lang w:val="en-US"/>
        </w:rPr>
        <w:t xml:space="preserve">6.3, </w:t>
      </w:r>
      <w:r w:rsidRPr="009A1ABD">
        <w:rPr>
          <w:lang w:val="en-US"/>
        </w:rPr>
        <w:t xml:space="preserve">Table </w:t>
      </w:r>
      <w:r w:rsidR="00863842" w:rsidRPr="009A1ABD">
        <w:rPr>
          <w:lang w:val="en-US"/>
        </w:rPr>
        <w:t>3</w:t>
      </w:r>
      <w:r w:rsidR="00863842" w:rsidRPr="00863842">
        <w:rPr>
          <w:lang w:val="en-US"/>
        </w:rPr>
        <w:t>9</w:t>
      </w:r>
      <w:r w:rsidRPr="00863842">
        <w:rPr>
          <w:lang w:val="en-US"/>
        </w:rPr>
        <w:t>.</w:t>
      </w:r>
      <w:r w:rsidRPr="00A03B67">
        <w:rPr>
          <w:lang w:val="en-US"/>
        </w:rPr>
        <w:t xml:space="preserve"> </w:t>
      </w:r>
    </w:p>
  </w:footnote>
  <w:footnote w:id="1127">
    <w:p w14:paraId="7AD66D75" w14:textId="36913CAC" w:rsidR="0037156F" w:rsidRPr="00A03B67" w:rsidRDefault="0037156F" w:rsidP="0037156F">
      <w:pPr>
        <w:pStyle w:val="FootnoteText"/>
        <w:rPr>
          <w:lang w:val="en-US"/>
        </w:rPr>
      </w:pPr>
      <w:r w:rsidRPr="00A03B67">
        <w:rPr>
          <w:rStyle w:val="FootnoteReference"/>
        </w:rPr>
        <w:footnoteRef/>
      </w:r>
      <w:r w:rsidRPr="00A03B67">
        <w:t xml:space="preserve"> </w:t>
      </w:r>
      <w:r w:rsidRPr="00A03B67">
        <w:rPr>
          <w:lang w:val="en-US"/>
        </w:rPr>
        <w:t>See Statistical Appendix 1, section 3.5</w:t>
      </w:r>
      <w:r w:rsidRPr="00AE6A7E">
        <w:rPr>
          <w:lang w:val="en-US"/>
        </w:rPr>
        <w:t>.</w:t>
      </w:r>
      <w:r w:rsidR="00422FCD">
        <w:rPr>
          <w:lang w:val="en-US"/>
        </w:rPr>
        <w:t>1</w:t>
      </w:r>
      <w:r w:rsidRPr="00AE6A7E">
        <w:rPr>
          <w:lang w:val="en-US"/>
        </w:rPr>
        <w:t xml:space="preserve">, </w:t>
      </w:r>
      <w:r w:rsidRPr="009A1ABD">
        <w:rPr>
          <w:lang w:val="en-US"/>
        </w:rPr>
        <w:t>Table 5</w:t>
      </w:r>
      <w:r w:rsidRPr="00AE6A7E">
        <w:rPr>
          <w:lang w:val="en-US"/>
        </w:rPr>
        <w:t>6.</w:t>
      </w:r>
    </w:p>
  </w:footnote>
  <w:footnote w:id="1128">
    <w:p w14:paraId="4E66D861" w14:textId="77777777" w:rsidR="00972A56" w:rsidRPr="00A03B67" w:rsidRDefault="00972A56" w:rsidP="00972A56">
      <w:pPr>
        <w:pStyle w:val="FootnoteText"/>
      </w:pPr>
      <w:r w:rsidRPr="00A03B67">
        <w:rPr>
          <w:rStyle w:val="FootnoteReference"/>
        </w:rPr>
        <w:footnoteRef/>
      </w:r>
      <w:r w:rsidRPr="00A03B67">
        <w:t xml:space="preserve"> Live Performance Award 2020, cl 28A.</w:t>
      </w:r>
    </w:p>
  </w:footnote>
  <w:footnote w:id="1129">
    <w:p w14:paraId="5A87D1DC" w14:textId="77777777" w:rsidR="00972A56" w:rsidRPr="00A03B67" w:rsidRDefault="00972A56" w:rsidP="00972A56">
      <w:pPr>
        <w:pStyle w:val="FootnoteText"/>
      </w:pPr>
      <w:r w:rsidRPr="00A03B67">
        <w:rPr>
          <w:rStyle w:val="FootnoteReference"/>
        </w:rPr>
        <w:footnoteRef/>
      </w:r>
      <w:r w:rsidRPr="00A03B67">
        <w:t xml:space="preserve"> Fair Work Ombudsman, </w:t>
      </w:r>
      <w:r w:rsidRPr="00A03B67">
        <w:rPr>
          <w:i/>
          <w:iCs/>
        </w:rPr>
        <w:t xml:space="preserve">Expired and Replaced Additional Fixed Term Contract Exceptions </w:t>
      </w:r>
      <w:r w:rsidRPr="00A03B67">
        <w:rPr>
          <w:rFonts w:ascii="Symbol" w:eastAsia="Symbol" w:hAnsi="Symbol" w:cs="Symbol"/>
          <w:i/>
          <w:iCs/>
        </w:rPr>
        <w:t>-</w:t>
      </w:r>
      <w:r w:rsidRPr="00A03B67">
        <w:rPr>
          <w:i/>
          <w:iCs/>
        </w:rPr>
        <w:t xml:space="preserve"> Live Performance and Funding Reliant Positions</w:t>
      </w:r>
      <w:r w:rsidRPr="00A03B67">
        <w:t xml:space="preserve"> (Web Page, n.d.) &lt;https://library.fairwork.gov.au/viewer/?krn=K700424&gt;.</w:t>
      </w:r>
      <w:r w:rsidRPr="00A03B67" w:rsidDel="007A1E11">
        <w:t xml:space="preserve"> </w:t>
      </w:r>
    </w:p>
  </w:footnote>
  <w:footnote w:id="1130">
    <w:p w14:paraId="278ACFD9" w14:textId="77777777" w:rsidR="00972A56" w:rsidRPr="00C937A1" w:rsidRDefault="00972A56" w:rsidP="00972A56">
      <w:pPr>
        <w:pStyle w:val="FootnoteText"/>
        <w:rPr>
          <w:lang w:val="en-US"/>
        </w:rPr>
      </w:pPr>
      <w:r>
        <w:rPr>
          <w:rStyle w:val="FootnoteReference"/>
        </w:rPr>
        <w:footnoteRef/>
      </w:r>
      <w:r>
        <w:t xml:space="preserve"> </w:t>
      </w:r>
      <w:r w:rsidRPr="00043544">
        <w:rPr>
          <w:lang w:val="en-US"/>
        </w:rPr>
        <w:t>The circumstances include: (1) specific task for project; (2) research; (3) replacement employees;: (4) professional practice required; (5) pre-retirement contract; (6) student employment.</w:t>
      </w:r>
    </w:p>
  </w:footnote>
  <w:footnote w:id="1131">
    <w:p w14:paraId="13547307" w14:textId="77777777" w:rsidR="00972A56" w:rsidRPr="00A03B67" w:rsidRDefault="00972A56" w:rsidP="00972A56">
      <w:pPr>
        <w:pStyle w:val="FootnoteText"/>
      </w:pPr>
      <w:r w:rsidRPr="00A03B67">
        <w:rPr>
          <w:rStyle w:val="FootnoteReference"/>
        </w:rPr>
        <w:footnoteRef/>
      </w:r>
      <w:r w:rsidRPr="00A03B67">
        <w:t xml:space="preserve"> Justice Hatcher, Fair Work Commission, </w:t>
      </w:r>
      <w:r w:rsidRPr="00A03B67">
        <w:rPr>
          <w:i/>
          <w:iCs/>
        </w:rPr>
        <w:t>Modern Awards Review 2023</w:t>
      </w:r>
      <w:r w:rsidRPr="00A03B67">
        <w:rPr>
          <w:rFonts w:ascii="Symbol" w:eastAsia="Symbol" w:hAnsi="Symbol" w:cs="Symbol"/>
          <w:i/>
          <w:iCs/>
        </w:rPr>
        <w:t>-</w:t>
      </w:r>
      <w:r w:rsidRPr="00A03B67">
        <w:rPr>
          <w:i/>
          <w:iCs/>
        </w:rPr>
        <w:t>24</w:t>
      </w:r>
      <w:r w:rsidRPr="00A03B67">
        <w:t xml:space="preserve"> (Report, 2024) [69], [167].</w:t>
      </w:r>
    </w:p>
  </w:footnote>
  <w:footnote w:id="1132">
    <w:p w14:paraId="29CD9A0D" w14:textId="77777777" w:rsidR="00972A56" w:rsidRPr="00A03B67" w:rsidRDefault="00972A56" w:rsidP="00972A56">
      <w:pPr>
        <w:pStyle w:val="FootnoteText"/>
      </w:pPr>
      <w:r w:rsidRPr="00A03B67">
        <w:rPr>
          <w:rStyle w:val="FootnoteReference"/>
        </w:rPr>
        <w:footnoteRef/>
      </w:r>
      <w:r w:rsidRPr="00A03B67">
        <w:t xml:space="preserve"> Justice Hatcher, Fair Work Commission, </w:t>
      </w:r>
      <w:r w:rsidRPr="00A03B67">
        <w:rPr>
          <w:i/>
          <w:iCs/>
        </w:rPr>
        <w:t>Modern Awards Review 2023</w:t>
      </w:r>
      <w:r w:rsidRPr="00A03B67">
        <w:rPr>
          <w:rFonts w:ascii="Symbol" w:eastAsia="Symbol" w:hAnsi="Symbol" w:cs="Symbol"/>
          <w:i/>
          <w:iCs/>
        </w:rPr>
        <w:t>-</w:t>
      </w:r>
      <w:r w:rsidRPr="00A03B67">
        <w:rPr>
          <w:i/>
          <w:iCs/>
        </w:rPr>
        <w:t>24</w:t>
      </w:r>
      <w:r w:rsidRPr="00A03B67">
        <w:t xml:space="preserve"> (Report, 2024) [69] &lt;https://www.fwc.gov.au/documents/sites/award-review-2023-24/am202321-review-report-180724.pdf&gt;.</w:t>
      </w:r>
    </w:p>
  </w:footnote>
  <w:footnote w:id="1133">
    <w:p w14:paraId="4F9BBBA4" w14:textId="58A99046" w:rsidR="00972A56" w:rsidRPr="00A03B67" w:rsidRDefault="00972A56" w:rsidP="00972A56">
      <w:pPr>
        <w:pStyle w:val="FootnoteText"/>
      </w:pPr>
      <w:r w:rsidRPr="00A03B67">
        <w:rPr>
          <w:rStyle w:val="FootnoteReference"/>
        </w:rPr>
        <w:footnoteRef/>
      </w:r>
      <w:r w:rsidRPr="00A03B67">
        <w:t xml:space="preserve"> Statement </w:t>
      </w:r>
      <w:r>
        <w:rPr>
          <w:rFonts w:ascii="Symbol" w:eastAsia="Symbol" w:hAnsi="Symbol" w:cs="Symbol"/>
        </w:rPr>
        <w:t>-</w:t>
      </w:r>
      <w:r w:rsidRPr="00A03B67">
        <w:t xml:space="preserve"> [2024] FWCFB 389 [7]</w:t>
      </w:r>
      <w:r>
        <w:t>.</w:t>
      </w:r>
    </w:p>
  </w:footnote>
  <w:footnote w:id="1134">
    <w:p w14:paraId="247A5108" w14:textId="51698895" w:rsidR="00972A56" w:rsidRPr="00A03B67" w:rsidRDefault="00972A56" w:rsidP="00972A56">
      <w:pPr>
        <w:pStyle w:val="FootnoteText"/>
      </w:pPr>
      <w:r w:rsidRPr="00A03B67">
        <w:rPr>
          <w:rStyle w:val="FootnoteReference"/>
        </w:rPr>
        <w:footnoteRef/>
      </w:r>
      <w:r w:rsidRPr="00A03B67">
        <w:t xml:space="preserve"> </w:t>
      </w:r>
      <w:r w:rsidRPr="00A03B67">
        <w:rPr>
          <w:rFonts w:ascii="Aptos" w:eastAsia="Aptos" w:hAnsi="Aptos" w:cs="Aptos"/>
        </w:rPr>
        <w:t xml:space="preserve">Statement </w:t>
      </w:r>
      <w:r>
        <w:rPr>
          <w:rFonts w:ascii="Symbol" w:eastAsia="Symbol" w:hAnsi="Symbol" w:cs="Symbol"/>
        </w:rPr>
        <w:t>-</w:t>
      </w:r>
      <w:r w:rsidRPr="00A03B67">
        <w:rPr>
          <w:rFonts w:ascii="Aptos" w:eastAsia="Aptos" w:hAnsi="Aptos" w:cs="Aptos"/>
        </w:rPr>
        <w:t xml:space="preserve"> [2024] FWCFB 389 [13]</w:t>
      </w:r>
      <w:r>
        <w:rPr>
          <w:rFonts w:ascii="Aptos" w:eastAsia="Aptos" w:hAnsi="Aptos" w:cs="Aptos"/>
        </w:rPr>
        <w:t>.</w:t>
      </w:r>
    </w:p>
  </w:footnote>
  <w:footnote w:id="1135">
    <w:p w14:paraId="03835A34" w14:textId="1310EE9C" w:rsidR="00972A56" w:rsidRDefault="00972A56" w:rsidP="00972A56">
      <w:pPr>
        <w:pStyle w:val="FootnoteText"/>
      </w:pPr>
      <w:r>
        <w:rPr>
          <w:rStyle w:val="FootnoteReference"/>
        </w:rPr>
        <w:footnoteRef/>
      </w:r>
      <w:r>
        <w:t xml:space="preserve"> </w:t>
      </w:r>
      <w:r w:rsidRPr="003E063A">
        <w:t xml:space="preserve">Statement </w:t>
      </w:r>
      <w:r>
        <w:rPr>
          <w:rFonts w:ascii="Symbol" w:eastAsia="Symbol" w:hAnsi="Symbol" w:cs="Symbol"/>
        </w:rPr>
        <w:t>-</w:t>
      </w:r>
      <w:r>
        <w:t xml:space="preserve"> </w:t>
      </w:r>
      <w:r w:rsidRPr="003E063A">
        <w:t>[2025] FWCFB 36</w:t>
      </w:r>
      <w:r>
        <w:t xml:space="preserve"> [6]–[8].</w:t>
      </w:r>
    </w:p>
  </w:footnote>
  <w:footnote w:id="1136">
    <w:p w14:paraId="2DBAABA5" w14:textId="77777777" w:rsidR="006E2334" w:rsidRPr="00A03B67" w:rsidRDefault="006E2334" w:rsidP="006E2334">
      <w:pPr>
        <w:pStyle w:val="FootnoteText"/>
      </w:pPr>
      <w:r w:rsidRPr="00A03B67">
        <w:rPr>
          <w:rStyle w:val="FootnoteReference"/>
        </w:rPr>
        <w:footnoteRef/>
      </w:r>
      <w:r w:rsidRPr="00A03B67">
        <w:t xml:space="preserve"> </w:t>
      </w:r>
      <w:r w:rsidRPr="00A03B67">
        <w:rPr>
          <w:i/>
          <w:iCs/>
        </w:rPr>
        <w:t xml:space="preserve">Fair Work Act 2009 </w:t>
      </w:r>
      <w:r w:rsidRPr="00A03B67">
        <w:t>(Cth) s 123(2).</w:t>
      </w:r>
    </w:p>
  </w:footnote>
  <w:footnote w:id="1137">
    <w:p w14:paraId="6D57AB6F" w14:textId="77777777" w:rsidR="006E2334" w:rsidRPr="00A03B67" w:rsidRDefault="006E2334" w:rsidP="006E2334">
      <w:pPr>
        <w:pStyle w:val="FootnoteText"/>
      </w:pPr>
      <w:r w:rsidRPr="00A03B67">
        <w:rPr>
          <w:rStyle w:val="FootnoteReference"/>
        </w:rPr>
        <w:footnoteRef/>
      </w:r>
      <w:r w:rsidRPr="00A03B67">
        <w:t xml:space="preserve"> IEU submission, 2.</w:t>
      </w:r>
    </w:p>
  </w:footnote>
  <w:footnote w:id="1138">
    <w:p w14:paraId="5758C100" w14:textId="77777777" w:rsidR="006E2334" w:rsidRPr="00A03B67" w:rsidRDefault="006E2334" w:rsidP="006E2334">
      <w:pPr>
        <w:pStyle w:val="FootnoteText"/>
      </w:pPr>
      <w:r w:rsidRPr="00A03B67">
        <w:rPr>
          <w:rStyle w:val="FootnoteReference"/>
        </w:rPr>
        <w:footnoteRef/>
      </w:r>
      <w:r w:rsidRPr="00A03B67">
        <w:t xml:space="preserve"> Fair Work Commission, </w:t>
      </w:r>
      <w:r w:rsidRPr="00A03B67">
        <w:rPr>
          <w:i/>
          <w:iCs/>
        </w:rPr>
        <w:t>Modern Awards Review 2023</w:t>
      </w:r>
      <w:r w:rsidRPr="00A03B67">
        <w:rPr>
          <w:rFonts w:ascii="Symbol" w:eastAsia="Symbol" w:hAnsi="Symbol" w:cs="Symbol"/>
          <w:i/>
          <w:iCs/>
        </w:rPr>
        <w:t>-</w:t>
      </w:r>
      <w:r w:rsidRPr="00A03B67">
        <w:rPr>
          <w:i/>
          <w:iCs/>
        </w:rPr>
        <w:t>24</w:t>
      </w:r>
      <w:r w:rsidRPr="00A03B67">
        <w:t xml:space="preserve"> (5 February 2024) National Tertiary Education Industry Union submission, 29. </w:t>
      </w:r>
    </w:p>
  </w:footnote>
  <w:footnote w:id="1139">
    <w:p w14:paraId="02F10AA0" w14:textId="77777777" w:rsidR="006E2334" w:rsidRPr="00A03B67" w:rsidRDefault="006E2334" w:rsidP="006E2334">
      <w:pPr>
        <w:pStyle w:val="FootnoteText"/>
      </w:pPr>
      <w:r w:rsidRPr="00A03B67">
        <w:rPr>
          <w:rStyle w:val="FootnoteReference"/>
        </w:rPr>
        <w:footnoteRef/>
      </w:r>
      <w:r w:rsidRPr="00A03B67">
        <w:t xml:space="preserve"> </w:t>
      </w:r>
      <w:r w:rsidRPr="00A03B67">
        <w:rPr>
          <w:i/>
          <w:iCs/>
        </w:rPr>
        <w:t xml:space="preserve">Fair Work Act 2009 </w:t>
      </w:r>
      <w:r w:rsidRPr="00A03B67">
        <w:t xml:space="preserve">(Cth) s 134(1)(aa). </w:t>
      </w:r>
    </w:p>
  </w:footnote>
  <w:footnote w:id="1140">
    <w:p w14:paraId="743145A2" w14:textId="77777777" w:rsidR="006E2334" w:rsidRPr="00A03B67" w:rsidRDefault="006E2334" w:rsidP="006E2334">
      <w:pPr>
        <w:pStyle w:val="FootnoteText"/>
      </w:pPr>
      <w:r w:rsidRPr="00A03B67">
        <w:rPr>
          <w:rStyle w:val="FootnoteReference"/>
        </w:rPr>
        <w:footnoteRef/>
      </w:r>
      <w:r w:rsidRPr="00A03B67">
        <w:t xml:space="preserve"> Fair Work Commission, </w:t>
      </w:r>
      <w:r w:rsidRPr="00A03B67">
        <w:rPr>
          <w:i/>
          <w:iCs/>
        </w:rPr>
        <w:t>Modern Awards Review 2023</w:t>
      </w:r>
      <w:r w:rsidRPr="00A03B67">
        <w:rPr>
          <w:rFonts w:ascii="Symbol" w:eastAsia="Symbol" w:hAnsi="Symbol" w:cs="Symbol"/>
          <w:i/>
          <w:iCs/>
        </w:rPr>
        <w:t>-</w:t>
      </w:r>
      <w:r w:rsidRPr="00A03B67">
        <w:rPr>
          <w:i/>
          <w:iCs/>
        </w:rPr>
        <w:t xml:space="preserve">24 </w:t>
      </w:r>
      <w:r w:rsidRPr="00A03B67">
        <w:t>(5 February 2024) Australian Higher Education Industrial Association (AHEIA) submission, 16.</w:t>
      </w:r>
    </w:p>
  </w:footnote>
  <w:footnote w:id="1141">
    <w:p w14:paraId="214949D2" w14:textId="77777777" w:rsidR="006E2334" w:rsidRPr="00A03B67" w:rsidRDefault="006E2334" w:rsidP="006E2334">
      <w:pPr>
        <w:pStyle w:val="FootnoteText"/>
        <w:rPr>
          <w:rStyle w:val="Hyperlink"/>
          <w:strike/>
        </w:rPr>
      </w:pPr>
      <w:r w:rsidRPr="00A03B67">
        <w:rPr>
          <w:rStyle w:val="FootnoteReference"/>
        </w:rPr>
        <w:footnoteRef/>
      </w:r>
      <w:r w:rsidRPr="00A03B67">
        <w:t xml:space="preserve"> Fair Work Commission, </w:t>
      </w:r>
      <w:r w:rsidRPr="00A03B67">
        <w:rPr>
          <w:i/>
          <w:iCs/>
        </w:rPr>
        <w:t>Modern Awards Review 2023</w:t>
      </w:r>
      <w:r w:rsidRPr="00A03B67">
        <w:rPr>
          <w:rFonts w:ascii="Symbol" w:eastAsia="Symbol" w:hAnsi="Symbol" w:cs="Symbol"/>
          <w:i/>
          <w:iCs/>
        </w:rPr>
        <w:t>-</w:t>
      </w:r>
      <w:r w:rsidRPr="00A03B67">
        <w:rPr>
          <w:i/>
          <w:iCs/>
        </w:rPr>
        <w:t xml:space="preserve">24 </w:t>
      </w:r>
      <w:r w:rsidRPr="00A03B67">
        <w:t xml:space="preserve">(2 October 2024) Australian Higher Education Industrial Association </w:t>
      </w:r>
      <w:r>
        <w:t xml:space="preserve">(AHEIA) </w:t>
      </w:r>
      <w:r w:rsidRPr="00A03B67">
        <w:t xml:space="preserve">reply submission, 4. </w:t>
      </w:r>
    </w:p>
  </w:footnote>
  <w:footnote w:id="1142">
    <w:p w14:paraId="3246BA70" w14:textId="77777777" w:rsidR="000A0EB4" w:rsidRDefault="000A0EB4" w:rsidP="000A0EB4">
      <w:pPr>
        <w:pStyle w:val="FootnoteText"/>
      </w:pPr>
      <w:r>
        <w:rPr>
          <w:rStyle w:val="FootnoteReference"/>
        </w:rPr>
        <w:footnoteRef/>
      </w:r>
      <w:r>
        <w:t xml:space="preserve"> Stakeholders advocating for the repeal of the provisions include the Business Council of Australia, Recruitment, Consulting and Staffing Association, Australian Chamber of Commerce and Industry, Minerals Council of Australia, and Ai Group.</w:t>
      </w:r>
    </w:p>
  </w:footnote>
  <w:footnote w:id="1143">
    <w:p w14:paraId="5E6B3161" w14:textId="4FB94ECD" w:rsidR="00A273EA" w:rsidRDefault="00A273EA" w:rsidP="00A273EA">
      <w:pPr>
        <w:pStyle w:val="FootnoteText"/>
      </w:pPr>
      <w:r>
        <w:rPr>
          <w:rStyle w:val="FootnoteReference"/>
        </w:rPr>
        <w:footnoteRef/>
      </w:r>
      <w:r>
        <w:t xml:space="preserve"> See, for example, Business Council of Australia (BCA) submission to draft report, 9; Brisbane 2023 submission to draft report, 4</w:t>
      </w:r>
      <w:r>
        <w:rPr>
          <w:rFonts w:ascii="Symbol" w:eastAsia="Symbol" w:hAnsi="Symbol" w:cs="Symbol"/>
        </w:rPr>
        <w:t>-</w:t>
      </w:r>
      <w:r>
        <w:t>5; Australian Manufacturing Workers’ Union (AMWU) submission to draft report, 5; Australian Council of Trade Unions (ACTU) submission to draft report, 32.</w:t>
      </w:r>
    </w:p>
  </w:footnote>
  <w:footnote w:id="1144">
    <w:p w14:paraId="51523625" w14:textId="77777777" w:rsidR="00A273EA" w:rsidRDefault="00A273EA" w:rsidP="00A273EA">
      <w:pPr>
        <w:pStyle w:val="FootnoteText"/>
      </w:pPr>
      <w:r>
        <w:rPr>
          <w:rStyle w:val="FootnoteReference"/>
        </w:rPr>
        <w:footnoteRef/>
      </w:r>
      <w:r>
        <w:t xml:space="preserve"> Ai Group submission to draft report, 64–65.</w:t>
      </w:r>
    </w:p>
  </w:footnote>
  <w:footnote w:id="1145">
    <w:p w14:paraId="59F41676" w14:textId="77777777" w:rsidR="00A273EA" w:rsidRDefault="00A273EA" w:rsidP="00A273EA">
      <w:pPr>
        <w:pStyle w:val="FootnoteText"/>
      </w:pPr>
      <w:r>
        <w:rPr>
          <w:rStyle w:val="FootnoteReference"/>
        </w:rPr>
        <w:footnoteRef/>
      </w:r>
      <w:r>
        <w:t xml:space="preserve"> Ai Group submission to draft report, 64.</w:t>
      </w:r>
    </w:p>
  </w:footnote>
  <w:footnote w:id="1146">
    <w:p w14:paraId="040E91BA" w14:textId="77777777" w:rsidR="00A273EA" w:rsidRDefault="00A273EA" w:rsidP="00A273EA">
      <w:pPr>
        <w:pStyle w:val="FootnoteText"/>
      </w:pPr>
      <w:r>
        <w:rPr>
          <w:rStyle w:val="FootnoteReference"/>
        </w:rPr>
        <w:footnoteRef/>
      </w:r>
      <w:r>
        <w:t xml:space="preserve"> Electrical Trades Union (ETU) submission to draft report, 4.</w:t>
      </w:r>
    </w:p>
  </w:footnote>
  <w:footnote w:id="1147">
    <w:p w14:paraId="3DF92C6A" w14:textId="77777777" w:rsidR="00A273EA" w:rsidRDefault="00A273EA" w:rsidP="00A273EA">
      <w:pPr>
        <w:pStyle w:val="FootnoteText"/>
      </w:pPr>
      <w:r>
        <w:rPr>
          <w:rStyle w:val="FootnoteReference"/>
        </w:rPr>
        <w:footnoteRef/>
      </w:r>
      <w:r>
        <w:t xml:space="preserve"> See, for example, Live Performance Australia submission to draft report, 8; Australian Chamber of Commerce and Industry (ACCI) submission to draft report, 28; Minerals Council of Australia (MCA) submission to draft report, 9.</w:t>
      </w:r>
    </w:p>
  </w:footnote>
  <w:footnote w:id="1148">
    <w:p w14:paraId="1B29BFEB" w14:textId="77777777" w:rsidR="00A273EA" w:rsidRDefault="00A273EA" w:rsidP="00A273EA">
      <w:pPr>
        <w:pStyle w:val="FootnoteText"/>
      </w:pPr>
      <w:r>
        <w:rPr>
          <w:rStyle w:val="FootnoteReference"/>
        </w:rPr>
        <w:footnoteRef/>
      </w:r>
      <w:r>
        <w:t xml:space="preserve"> Chamber of Commerce and Industry WA (CCIWA) submission to draft report, 3-4; Live Performance Australia submission to draft report, 6.</w:t>
      </w:r>
    </w:p>
  </w:footnote>
  <w:footnote w:id="1149">
    <w:p w14:paraId="2BB452F2" w14:textId="77777777" w:rsidR="00A273EA" w:rsidRDefault="00A273EA" w:rsidP="00A273EA">
      <w:pPr>
        <w:pStyle w:val="FootnoteText"/>
      </w:pPr>
      <w:r>
        <w:rPr>
          <w:rStyle w:val="FootnoteReference"/>
        </w:rPr>
        <w:footnoteRef/>
      </w:r>
      <w:r>
        <w:t xml:space="preserve"> ACTU submission to draft report, 34; Australian Nursing and Midwifery Federation (ANMF) submission to draft report, 7; Australian Council of Social Service (ACOSS) submission to draft report, 3; Australian Services Union (ASU) submission to draft report, 2.</w:t>
      </w:r>
    </w:p>
  </w:footnote>
  <w:footnote w:id="1150">
    <w:p w14:paraId="3FDEC6B6" w14:textId="5AD8F199" w:rsidR="00A273EA" w:rsidRDefault="00A273EA" w:rsidP="00A273EA">
      <w:pPr>
        <w:pStyle w:val="FootnoteText"/>
      </w:pPr>
      <w:r>
        <w:rPr>
          <w:rStyle w:val="FootnoteReference"/>
        </w:rPr>
        <w:footnoteRef/>
      </w:r>
      <w:r>
        <w:t xml:space="preserve"> Australian Sports Commission submission to draft report, 1; Coalition of Major Professional and Participation Sports submission to draft report, 1</w:t>
      </w:r>
      <w:r>
        <w:rPr>
          <w:rFonts w:ascii="Symbol" w:eastAsia="Symbol" w:hAnsi="Symbol" w:cs="Symbol"/>
        </w:rPr>
        <w:t>-</w:t>
      </w:r>
      <w:r>
        <w:t>2; Brisbane 2032 submission to draft report.</w:t>
      </w:r>
    </w:p>
  </w:footnote>
  <w:footnote w:id="1151">
    <w:p w14:paraId="607A01D1" w14:textId="77777777" w:rsidR="00A273EA" w:rsidRDefault="00A273EA" w:rsidP="00A273EA">
      <w:pPr>
        <w:pStyle w:val="FootnoteText"/>
      </w:pPr>
      <w:r>
        <w:rPr>
          <w:rStyle w:val="FootnoteReference"/>
        </w:rPr>
        <w:footnoteRef/>
      </w:r>
      <w:r>
        <w:t xml:space="preserve"> Community Council Australia submission to draft report, 1.</w:t>
      </w:r>
    </w:p>
  </w:footnote>
  <w:footnote w:id="1152">
    <w:p w14:paraId="43A496A0" w14:textId="77777777" w:rsidR="00A273EA" w:rsidRDefault="00A273EA" w:rsidP="00A273EA">
      <w:pPr>
        <w:pStyle w:val="FootnoteText"/>
      </w:pPr>
      <w:r>
        <w:rPr>
          <w:rStyle w:val="FootnoteReference"/>
        </w:rPr>
        <w:footnoteRef/>
      </w:r>
      <w:r>
        <w:t xml:space="preserve"> Chamber of Commerce and Industry WA submission re the draft report, 4; Ausfilm submission re the draft report, 4-5.</w:t>
      </w:r>
    </w:p>
  </w:footnote>
  <w:footnote w:id="1153">
    <w:p w14:paraId="1C3360F4" w14:textId="31E93668" w:rsidR="00A273EA" w:rsidRDefault="00A273EA" w:rsidP="00A273EA">
      <w:pPr>
        <w:pStyle w:val="FootnoteText"/>
      </w:pPr>
      <w:r>
        <w:rPr>
          <w:rStyle w:val="FootnoteReference"/>
        </w:rPr>
        <w:footnoteRef/>
      </w:r>
      <w:r>
        <w:t xml:space="preserve"> CCIWA submission to draft report, 4; Ausfilm submission to draft report, 4</w:t>
      </w:r>
      <w:r>
        <w:rPr>
          <w:rFonts w:ascii="Symbol" w:eastAsia="Symbol" w:hAnsi="Symbol" w:cs="Symbol"/>
        </w:rPr>
        <w:t>-</w:t>
      </w:r>
      <w:r>
        <w:t>5.</w:t>
      </w:r>
    </w:p>
  </w:footnote>
  <w:footnote w:id="1154">
    <w:p w14:paraId="7A1B2889" w14:textId="77777777" w:rsidR="00A273EA" w:rsidRDefault="00A273EA" w:rsidP="00A273EA">
      <w:pPr>
        <w:pStyle w:val="FootnoteText"/>
      </w:pPr>
      <w:r>
        <w:rPr>
          <w:rStyle w:val="FootnoteReference"/>
        </w:rPr>
        <w:footnoteRef/>
      </w:r>
      <w:r>
        <w:t xml:space="preserve"> Live Performance Australia submission to draft report, 6.</w:t>
      </w:r>
    </w:p>
  </w:footnote>
  <w:footnote w:id="1155">
    <w:p w14:paraId="7EEEFCF0" w14:textId="77777777" w:rsidR="00A273EA" w:rsidRDefault="00A273EA" w:rsidP="00A273EA">
      <w:pPr>
        <w:pStyle w:val="FootnoteText"/>
      </w:pPr>
      <w:r>
        <w:rPr>
          <w:rStyle w:val="FootnoteReference"/>
        </w:rPr>
        <w:footnoteRef/>
      </w:r>
      <w:r>
        <w:t xml:space="preserve"> Recruitment, Consulting and Staffing Association submission to draft report, 4.</w:t>
      </w:r>
    </w:p>
  </w:footnote>
  <w:footnote w:id="1156">
    <w:p w14:paraId="316A760E" w14:textId="77777777" w:rsidR="00A273EA" w:rsidRDefault="00A273EA" w:rsidP="00A273EA">
      <w:pPr>
        <w:pStyle w:val="FootnoteText"/>
      </w:pPr>
      <w:r>
        <w:rPr>
          <w:rStyle w:val="FootnoteReference"/>
        </w:rPr>
        <w:footnoteRef/>
      </w:r>
      <w:r>
        <w:t xml:space="preserve"> CCIWA submission to the draft report, 3.</w:t>
      </w:r>
    </w:p>
  </w:footnote>
  <w:footnote w:id="1157">
    <w:p w14:paraId="5C3FBC18" w14:textId="77777777" w:rsidR="00A273EA" w:rsidRDefault="00A273EA" w:rsidP="00A273EA">
      <w:pPr>
        <w:pStyle w:val="FootnoteText"/>
      </w:pPr>
      <w:r>
        <w:rPr>
          <w:rStyle w:val="FootnoteReference"/>
        </w:rPr>
        <w:footnoteRef/>
      </w:r>
      <w:r>
        <w:t xml:space="preserve"> Master Grocers Australia (MGA) submission to the draft report, 7; Australian Retailers Association (ARA) submission to draft report, 2.</w:t>
      </w:r>
    </w:p>
  </w:footnote>
  <w:footnote w:id="1158">
    <w:p w14:paraId="141FC9BA" w14:textId="77777777" w:rsidR="00A273EA" w:rsidRDefault="00A273EA" w:rsidP="00A273EA">
      <w:pPr>
        <w:pStyle w:val="FootnoteText"/>
      </w:pPr>
      <w:r>
        <w:rPr>
          <w:rStyle w:val="FootnoteReference"/>
        </w:rPr>
        <w:footnoteRef/>
      </w:r>
      <w:r>
        <w:t xml:space="preserve"> Ausfilm submission to draft report, 2.</w:t>
      </w:r>
    </w:p>
  </w:footnote>
  <w:footnote w:id="1159">
    <w:p w14:paraId="228A925B" w14:textId="77777777" w:rsidR="00A273EA" w:rsidRDefault="00A273EA" w:rsidP="00A273EA">
      <w:pPr>
        <w:pStyle w:val="FootnoteText"/>
      </w:pPr>
      <w:r>
        <w:rPr>
          <w:rStyle w:val="FootnoteReference"/>
        </w:rPr>
        <w:footnoteRef/>
      </w:r>
      <w:r>
        <w:t xml:space="preserve"> ACTU submission to draft report, 33.</w:t>
      </w:r>
    </w:p>
  </w:footnote>
  <w:footnote w:id="1160">
    <w:p w14:paraId="391D5FDC" w14:textId="77777777" w:rsidR="00A273EA" w:rsidRDefault="00A273EA" w:rsidP="00A273EA">
      <w:pPr>
        <w:pStyle w:val="FootnoteText"/>
      </w:pPr>
      <w:r>
        <w:rPr>
          <w:rStyle w:val="FootnoteReference"/>
        </w:rPr>
        <w:footnoteRef/>
      </w:r>
      <w:r>
        <w:t xml:space="preserve"> CCIWA submission to draft report, 3; Chamber of Minerals and Energy WA (CMEWA) submission to draft report, 3; Live Performance Australia submission to draft report, 6.</w:t>
      </w:r>
    </w:p>
  </w:footnote>
  <w:footnote w:id="1161">
    <w:p w14:paraId="36F35A9B" w14:textId="77777777" w:rsidR="00A273EA" w:rsidRDefault="00A273EA" w:rsidP="00A273EA">
      <w:pPr>
        <w:pStyle w:val="FootnoteText"/>
      </w:pPr>
      <w:r>
        <w:rPr>
          <w:rStyle w:val="FootnoteReference"/>
        </w:rPr>
        <w:footnoteRef/>
      </w:r>
      <w:r>
        <w:t xml:space="preserve"> Australian Retailers Association (ARA) submission to draft report, 2.</w:t>
      </w:r>
    </w:p>
  </w:footnote>
  <w:footnote w:id="1162">
    <w:p w14:paraId="30E7C46D" w14:textId="77777777" w:rsidR="00A273EA" w:rsidRDefault="00A273EA" w:rsidP="00A273EA">
      <w:pPr>
        <w:pStyle w:val="FootnoteText"/>
      </w:pPr>
      <w:r>
        <w:rPr>
          <w:rStyle w:val="FootnoteReference"/>
        </w:rPr>
        <w:footnoteRef/>
      </w:r>
      <w:r>
        <w:t xml:space="preserve"> Ai Group submission to draft report, 64.</w:t>
      </w:r>
    </w:p>
  </w:footnote>
  <w:footnote w:id="1163">
    <w:p w14:paraId="46675473" w14:textId="14D45C64" w:rsidR="00A273EA" w:rsidRDefault="00A273EA" w:rsidP="00A273EA">
      <w:pPr>
        <w:pStyle w:val="FootnoteText"/>
      </w:pPr>
      <w:r>
        <w:rPr>
          <w:rStyle w:val="FootnoteReference"/>
        </w:rPr>
        <w:footnoteRef/>
      </w:r>
      <w:r>
        <w:t xml:space="preserve"> See, for example, Australian Services Union (ASU) submission to draft report, 1; ANMF submission to draft report, 6</w:t>
      </w:r>
      <w:r>
        <w:rPr>
          <w:rFonts w:ascii="Symbol" w:eastAsia="Symbol" w:hAnsi="Symbol" w:cs="Symbol"/>
        </w:rPr>
        <w:t>-</w:t>
      </w:r>
      <w:r>
        <w:t>7; AMWU submission to draft report, 4; ACTU submission to draft report, 32; CPSU (PSU Group) submission to draft report, 6.</w:t>
      </w:r>
    </w:p>
  </w:footnote>
  <w:footnote w:id="1164">
    <w:p w14:paraId="27CEC7A3" w14:textId="77777777" w:rsidR="00C14663" w:rsidRPr="00A03B67" w:rsidRDefault="00C14663" w:rsidP="00C14663">
      <w:pPr>
        <w:pStyle w:val="FootnoteText"/>
      </w:pPr>
      <w:r w:rsidRPr="00A03B67">
        <w:rPr>
          <w:rStyle w:val="FootnoteReference"/>
        </w:rPr>
        <w:footnoteRef/>
      </w:r>
      <w:r w:rsidRPr="00A03B67">
        <w:t xml:space="preserve"> </w:t>
      </w:r>
      <w:r w:rsidRPr="00A03B67">
        <w:rPr>
          <w:i/>
          <w:iCs/>
        </w:rPr>
        <w:t>Fair Work Act 2009</w:t>
      </w:r>
      <w:r w:rsidRPr="00A03B67">
        <w:t xml:space="preserve"> (Cth) s</w:t>
      </w:r>
      <w:r>
        <w:t xml:space="preserve"> </w:t>
      </w:r>
      <w:r w:rsidRPr="00A03B67">
        <w:t>123(2).</w:t>
      </w:r>
    </w:p>
  </w:footnote>
  <w:footnote w:id="1165">
    <w:p w14:paraId="42CD7FB2" w14:textId="77777777" w:rsidR="00C14663" w:rsidRPr="00A03B67" w:rsidRDefault="00C14663" w:rsidP="00C14663">
      <w:pPr>
        <w:pStyle w:val="FootnoteText"/>
        <w:rPr>
          <w:lang w:val="en-US"/>
        </w:rPr>
      </w:pPr>
      <w:r w:rsidRPr="00A03B67">
        <w:rPr>
          <w:rStyle w:val="FootnoteReference"/>
        </w:rPr>
        <w:footnoteRef/>
      </w:r>
      <w:r w:rsidRPr="00A03B67">
        <w:t xml:space="preserve"> Fair Work Commission, </w:t>
      </w:r>
      <w:r w:rsidRPr="00A03B67">
        <w:rPr>
          <w:i/>
          <w:iCs/>
        </w:rPr>
        <w:t>Review of Fixed-term Contract Provisions: Higher Education Awards (AM2024/39)</w:t>
      </w:r>
      <w:r w:rsidRPr="00A03B67">
        <w:t xml:space="preserve"> (Web Page, n.d.) &lt;https://www.fwc.gov.au/hearings-decisions/major-cases/higher-education-industry-academic-staff-award-2020-and-higher&gt;.</w:t>
      </w:r>
      <w:r w:rsidRPr="00A03B67" w:rsidDel="00BB46A2">
        <w:t xml:space="preserve"> </w:t>
      </w:r>
    </w:p>
  </w:footnote>
  <w:footnote w:id="1166">
    <w:p w14:paraId="3C59FC90" w14:textId="77777777" w:rsidR="000A0EB4" w:rsidRPr="00A03B67" w:rsidRDefault="000A0EB4" w:rsidP="000A0EB4">
      <w:pPr>
        <w:pStyle w:val="FootnoteText"/>
      </w:pPr>
      <w:r w:rsidRPr="00A03B67">
        <w:rPr>
          <w:rStyle w:val="FootnoteReference"/>
        </w:rPr>
        <w:footnoteRef/>
      </w:r>
      <w:r w:rsidRPr="00A03B67">
        <w:t xml:space="preserve"> </w:t>
      </w:r>
      <w:r w:rsidRPr="00A03B67">
        <w:rPr>
          <w:i/>
          <w:iCs/>
        </w:rPr>
        <w:t>Fair Work Act 2009</w:t>
      </w:r>
      <w:r w:rsidRPr="00A03B67">
        <w:t xml:space="preserve"> (Cth) s 65(2), (2A).</w:t>
      </w:r>
    </w:p>
  </w:footnote>
  <w:footnote w:id="1167">
    <w:p w14:paraId="633B0277" w14:textId="77777777" w:rsidR="000A0EB4" w:rsidRPr="00A03B67" w:rsidRDefault="000A0EB4" w:rsidP="000A0EB4">
      <w:pPr>
        <w:pStyle w:val="FootnoteText"/>
      </w:pPr>
      <w:r w:rsidRPr="00A03B67">
        <w:rPr>
          <w:rStyle w:val="FootnoteReference"/>
        </w:rPr>
        <w:footnoteRef/>
      </w:r>
      <w:r w:rsidRPr="00A03B67">
        <w:t xml:space="preserve"> </w:t>
      </w:r>
      <w:r w:rsidRPr="00A03B67">
        <w:rPr>
          <w:i/>
          <w:iCs/>
        </w:rPr>
        <w:t>Fair Work Act 2009</w:t>
      </w:r>
      <w:r w:rsidRPr="00A03B67">
        <w:t xml:space="preserve"> (Cth) s 65(1A).</w:t>
      </w:r>
    </w:p>
  </w:footnote>
  <w:footnote w:id="1168">
    <w:p w14:paraId="69DA8D7B" w14:textId="691C8796" w:rsidR="000A0EB4" w:rsidRPr="00A03B67" w:rsidRDefault="000A0EB4" w:rsidP="000A0EB4">
      <w:pPr>
        <w:pStyle w:val="FootnoteText"/>
      </w:pPr>
      <w:r w:rsidRPr="00A03B67">
        <w:rPr>
          <w:rStyle w:val="FootnoteReference"/>
        </w:rPr>
        <w:footnoteRef/>
      </w:r>
      <w:r w:rsidRPr="00A03B67">
        <w:t xml:space="preserve"> Revised Explanatory Memorandum, Fair Work Legislation Amendment (Secure Jobs, Better Pay) Bill</w:t>
      </w:r>
      <w:r w:rsidRPr="00A03B67">
        <w:rPr>
          <w:i/>
          <w:iCs/>
        </w:rPr>
        <w:t xml:space="preserve"> </w:t>
      </w:r>
      <w:r w:rsidRPr="00A03B67">
        <w:t>2022, [612].</w:t>
      </w:r>
    </w:p>
  </w:footnote>
  <w:footnote w:id="1169">
    <w:p w14:paraId="0072AA5D" w14:textId="77777777" w:rsidR="000A0EB4" w:rsidRPr="00A03B67" w:rsidRDefault="000A0EB4" w:rsidP="000A0EB4">
      <w:pPr>
        <w:pStyle w:val="FootnoteText"/>
      </w:pPr>
      <w:r w:rsidRPr="00A03B67">
        <w:rPr>
          <w:rStyle w:val="FootnoteReference"/>
        </w:rPr>
        <w:footnoteRef/>
      </w:r>
      <w:r w:rsidRPr="00A03B67">
        <w:t xml:space="preserve"> </w:t>
      </w:r>
      <w:r w:rsidRPr="00A03B67">
        <w:rPr>
          <w:i/>
          <w:iCs/>
        </w:rPr>
        <w:t>Fair Work Act 2009</w:t>
      </w:r>
      <w:r w:rsidRPr="00A03B67">
        <w:t xml:space="preserve"> (Cth) s 65A(5).</w:t>
      </w:r>
    </w:p>
  </w:footnote>
  <w:footnote w:id="1170">
    <w:p w14:paraId="49FE5CDE" w14:textId="20800242" w:rsidR="000A0EB4" w:rsidRPr="00A03B67" w:rsidRDefault="000A0EB4" w:rsidP="000A0EB4">
      <w:pPr>
        <w:pStyle w:val="FootnoteText"/>
      </w:pPr>
      <w:r w:rsidRPr="00A03B67">
        <w:rPr>
          <w:rStyle w:val="FootnoteReference"/>
        </w:rPr>
        <w:footnoteRef/>
      </w:r>
      <w:r w:rsidRPr="00A03B67">
        <w:t xml:space="preserve"> </w:t>
      </w:r>
      <w:r w:rsidRPr="00A03B67">
        <w:rPr>
          <w:i/>
          <w:iCs/>
        </w:rPr>
        <w:t>Fair Work Act 2009</w:t>
      </w:r>
      <w:r w:rsidRPr="00A03B67">
        <w:t xml:space="preserve"> (Cth) s 65A(5).</w:t>
      </w:r>
    </w:p>
  </w:footnote>
  <w:footnote w:id="1171">
    <w:p w14:paraId="3E3D9B7F" w14:textId="77777777" w:rsidR="000A0EB4" w:rsidRPr="00A03B67" w:rsidRDefault="000A0EB4" w:rsidP="000A0EB4">
      <w:pPr>
        <w:pStyle w:val="FootnoteText"/>
        <w:rPr>
          <w:strike/>
        </w:rPr>
      </w:pPr>
      <w:r w:rsidRPr="00A03B67">
        <w:rPr>
          <w:rStyle w:val="FootnoteReference"/>
        </w:rPr>
        <w:footnoteRef/>
      </w:r>
      <w:r w:rsidRPr="00A03B67">
        <w:t xml:space="preserve"> Commonwealth, </w:t>
      </w:r>
      <w:r w:rsidRPr="00A03B67">
        <w:rPr>
          <w:i/>
          <w:iCs/>
        </w:rPr>
        <w:t xml:space="preserve">Parliamentary Debates, </w:t>
      </w:r>
      <w:r w:rsidRPr="00A03B67">
        <w:t>House of Representatives, 27 October 2022 (Tony Burke, Minister for Employment and Workplace Relations).</w:t>
      </w:r>
    </w:p>
  </w:footnote>
  <w:footnote w:id="1172">
    <w:p w14:paraId="5C833D30" w14:textId="77777777" w:rsidR="000A0EB4" w:rsidRPr="00A03B67" w:rsidRDefault="000A0EB4" w:rsidP="000A0EB4">
      <w:pPr>
        <w:pStyle w:val="FootnoteText"/>
        <w:rPr>
          <w:b/>
          <w:bCs/>
        </w:rPr>
      </w:pPr>
      <w:r w:rsidRPr="00A03B67">
        <w:rPr>
          <w:rStyle w:val="FootnoteReference"/>
        </w:rPr>
        <w:footnoteRef/>
      </w:r>
      <w:r w:rsidRPr="00A03B67">
        <w:t xml:space="preserve"> N Cortis, M Blaxland and S Charlesworth, </w:t>
      </w:r>
      <w:r w:rsidRPr="00A03B67">
        <w:rPr>
          <w:i/>
          <w:iCs/>
        </w:rPr>
        <w:t xml:space="preserve">Challenges of Work, Family and Care for Australia’s Retail, Online Retail, Warehousing and Fast Food Workers </w:t>
      </w:r>
      <w:r w:rsidRPr="00A03B67">
        <w:t>(Report, 12 October 2021) &lt;https://unsworks.unsw.edu.au/entities/publication/05a2026d-f09a-405f-ad66-046cc685cf68/full&gt;.</w:t>
      </w:r>
    </w:p>
  </w:footnote>
  <w:footnote w:id="1173">
    <w:p w14:paraId="31CF436A" w14:textId="77777777" w:rsidR="000A0EB4" w:rsidRPr="00A03B67" w:rsidRDefault="000A0EB4" w:rsidP="000A0EB4">
      <w:pPr>
        <w:pStyle w:val="FootnoteText"/>
      </w:pPr>
      <w:r w:rsidRPr="00A03B67">
        <w:rPr>
          <w:rStyle w:val="FootnoteReference"/>
        </w:rPr>
        <w:footnoteRef/>
      </w:r>
      <w:r w:rsidRPr="00A03B67">
        <w:t xml:space="preserve"> Senate Select Committee on Work and Care, Parliament of Australia, </w:t>
      </w:r>
      <w:r w:rsidRPr="00A03B67">
        <w:rPr>
          <w:i/>
          <w:iCs/>
        </w:rPr>
        <w:t xml:space="preserve">Interim Report </w:t>
      </w:r>
      <w:r w:rsidRPr="00A03B67">
        <w:t>(Report, October 2022)</w:t>
      </w:r>
      <w:r w:rsidRPr="00A03B67">
        <w:rPr>
          <w:i/>
          <w:iCs/>
        </w:rPr>
        <w:t xml:space="preserve"> </w:t>
      </w:r>
      <w:r w:rsidRPr="00A03B67">
        <w:t>&lt;https://parlinfo.aph.gov.au/parlInfo/download/committees/reportsen/024963/toc_pdf/InterimReport.pdf;fileType=application%2Fpdf&gt;.</w:t>
      </w:r>
    </w:p>
  </w:footnote>
  <w:footnote w:id="1174">
    <w:p w14:paraId="7759FF57" w14:textId="77777777" w:rsidR="000A0EB4" w:rsidRPr="00A03B67" w:rsidRDefault="000A0EB4" w:rsidP="000A0EB4">
      <w:pPr>
        <w:pStyle w:val="FootnoteText"/>
      </w:pPr>
      <w:r w:rsidRPr="00A03B67">
        <w:rPr>
          <w:rStyle w:val="FootnoteReference"/>
        </w:rPr>
        <w:footnoteRef/>
      </w:r>
      <w:r w:rsidRPr="00A03B67">
        <w:t xml:space="preserve"> Senate Select Committee on Work and Care, Parliament of Australia, </w:t>
      </w:r>
      <w:r w:rsidRPr="00A03B67">
        <w:rPr>
          <w:i/>
          <w:iCs/>
        </w:rPr>
        <w:t xml:space="preserve">Interim Report </w:t>
      </w:r>
      <w:r w:rsidRPr="00A03B67">
        <w:t>(Report, October 2022), 108</w:t>
      </w:r>
      <w:r w:rsidRPr="00A03B67">
        <w:rPr>
          <w:i/>
          <w:iCs/>
        </w:rPr>
        <w:t xml:space="preserve"> </w:t>
      </w:r>
      <w:r w:rsidRPr="00A03B67">
        <w:t>&lt;https://parlinfo.aph.gov.au/parlInfo/download/committees/reportsen/024963/toc_pdf/InterimReport.pdf;fileType=application%2Fpdf&gt;.</w:t>
      </w:r>
    </w:p>
  </w:footnote>
  <w:footnote w:id="1175">
    <w:p w14:paraId="52A59188" w14:textId="4664F4A1" w:rsidR="000A0EB4" w:rsidRPr="00A03B67" w:rsidRDefault="000A0EB4" w:rsidP="000A0EB4">
      <w:pPr>
        <w:pStyle w:val="FootnoteText"/>
      </w:pPr>
      <w:r w:rsidRPr="00A03B67">
        <w:rPr>
          <w:rStyle w:val="FootnoteReference"/>
        </w:rPr>
        <w:footnoteRef/>
      </w:r>
      <w:r w:rsidRPr="00A03B67">
        <w:t xml:space="preserve"> The exception to this was where a right was provided in a term in a modern award or an enterprise agreement. Employees could then lodge a dispute with the FWC under s 739 of the </w:t>
      </w:r>
      <w:r w:rsidRPr="00A03B67">
        <w:rPr>
          <w:i/>
          <w:iCs/>
        </w:rPr>
        <w:t>Fair Work Act 2009</w:t>
      </w:r>
      <w:r w:rsidRPr="00A03B67">
        <w:t xml:space="preserve"> (Cth).</w:t>
      </w:r>
    </w:p>
  </w:footnote>
  <w:footnote w:id="1176">
    <w:p w14:paraId="34CD0206" w14:textId="32D2E61A" w:rsidR="000A0EB4" w:rsidRPr="00A03B67" w:rsidRDefault="000A0EB4" w:rsidP="000A0EB4">
      <w:pPr>
        <w:pStyle w:val="FootnoteText"/>
      </w:pPr>
      <w:r w:rsidRPr="00A03B67">
        <w:rPr>
          <w:rStyle w:val="FootnoteReference"/>
        </w:rPr>
        <w:footnoteRef/>
      </w:r>
      <w:r w:rsidRPr="00A03B67">
        <w:t xml:space="preserve"> For examples, see </w:t>
      </w:r>
      <w:r w:rsidRPr="00A03B67">
        <w:rPr>
          <w:i/>
          <w:iCs/>
        </w:rPr>
        <w:t>Charles Gregory Gregory v Maxxia Pty Ltd</w:t>
      </w:r>
      <w:r w:rsidRPr="00A03B67">
        <w:t xml:space="preserve"> [2023] FWC 2768 [46]</w:t>
      </w:r>
      <w:r w:rsidR="00723F0C">
        <w:rPr>
          <w:rFonts w:ascii="Symbol" w:eastAsia="Symbol" w:hAnsi="Symbol" w:cs="Symbol"/>
        </w:rPr>
        <w:t>-</w:t>
      </w:r>
      <w:r w:rsidRPr="00A03B67">
        <w:t xml:space="preserve">[47]; </w:t>
      </w:r>
      <w:r w:rsidRPr="006D0D12">
        <w:rPr>
          <w:i/>
        </w:rPr>
        <w:t>Shane Gration v Bendigo and Adelaide Bank Limited</w:t>
      </w:r>
      <w:r w:rsidRPr="00A03B67">
        <w:t xml:space="preserve"> [2024] FWC 717 [51]; </w:t>
      </w:r>
      <w:r w:rsidRPr="006D0D12">
        <w:rPr>
          <w:i/>
        </w:rPr>
        <w:t>Michael Fogo v Boeing Aerostructures Australia Pty Limited</w:t>
      </w:r>
      <w:r w:rsidRPr="00A03B67">
        <w:t xml:space="preserve"> [2024] FWC 3037 [129].</w:t>
      </w:r>
    </w:p>
  </w:footnote>
  <w:footnote w:id="1177">
    <w:p w14:paraId="37D35E12" w14:textId="77777777" w:rsidR="000A0EB4" w:rsidRPr="00A03B67" w:rsidRDefault="000A0EB4" w:rsidP="000A0EB4">
      <w:pPr>
        <w:pStyle w:val="FootnoteText"/>
      </w:pPr>
      <w:r w:rsidRPr="00A03B67">
        <w:rPr>
          <w:rStyle w:val="FootnoteReference"/>
        </w:rPr>
        <w:footnoteRef/>
      </w:r>
      <w:r w:rsidRPr="00A03B67">
        <w:t xml:space="preserve"> AD Selvarajah, ‘Proving the Right to Request Flexible Work: The Concerning Consequences of Comments in Quirke v BSR’ (2024) 37 </w:t>
      </w:r>
      <w:r w:rsidRPr="00A03B67">
        <w:rPr>
          <w:i/>
          <w:iCs/>
        </w:rPr>
        <w:t>Australian Journal of Labour Law</w:t>
      </w:r>
      <w:r w:rsidRPr="00A03B67">
        <w:t xml:space="preserve"> 3.</w:t>
      </w:r>
    </w:p>
  </w:footnote>
  <w:footnote w:id="1178">
    <w:p w14:paraId="42CCB3BA" w14:textId="2FF40BD7" w:rsidR="000A0EB4" w:rsidRPr="00A03B67" w:rsidRDefault="000A0EB4" w:rsidP="000A0EB4">
      <w:pPr>
        <w:pStyle w:val="FootnoteText"/>
      </w:pPr>
      <w:r w:rsidRPr="00A03B67">
        <w:rPr>
          <w:rStyle w:val="FootnoteReference"/>
        </w:rPr>
        <w:footnoteRef/>
      </w:r>
      <w:r w:rsidRPr="00A03B67">
        <w:t xml:space="preserve"> AD Selvarajah, ‘Proving the Right to Request Flexible Work: The Concerning Consequences of Comments in Quirke v BSR’ (2024) 37 </w:t>
      </w:r>
      <w:r w:rsidRPr="00A03B67">
        <w:rPr>
          <w:i/>
          <w:iCs/>
        </w:rPr>
        <w:t>Australian Journal of Labour Law</w:t>
      </w:r>
      <w:r w:rsidRPr="00A03B67">
        <w:t xml:space="preserve"> 4.</w:t>
      </w:r>
    </w:p>
  </w:footnote>
  <w:footnote w:id="1179">
    <w:p w14:paraId="4217C295" w14:textId="5A624864" w:rsidR="000A0EB4" w:rsidRPr="00A03B67" w:rsidRDefault="000A0EB4" w:rsidP="000A0EB4">
      <w:pPr>
        <w:pStyle w:val="FootnoteText"/>
      </w:pPr>
      <w:r w:rsidRPr="00A03B67">
        <w:rPr>
          <w:rStyle w:val="FootnoteReference"/>
        </w:rPr>
        <w:footnoteRef/>
      </w:r>
      <w:r w:rsidRPr="00A03B67">
        <w:t xml:space="preserve"> AD Selvarajah, ‘Proving the Right to Request Flexible Work: The Concerning Consequences of Comments in Quirke v BSR’ (2024) 37 </w:t>
      </w:r>
      <w:r w:rsidRPr="00A03B67">
        <w:rPr>
          <w:i/>
          <w:iCs/>
        </w:rPr>
        <w:t>Australian Journal of Labour Law</w:t>
      </w:r>
      <w:r w:rsidRPr="00A03B67">
        <w:t xml:space="preserve"> 11</w:t>
      </w:r>
      <w:r w:rsidRPr="00A03B67">
        <w:rPr>
          <w:rFonts w:ascii="Symbol" w:eastAsia="Symbol" w:hAnsi="Symbol" w:cs="Symbol"/>
        </w:rPr>
        <w:t>-</w:t>
      </w:r>
      <w:r w:rsidRPr="00A03B67">
        <w:t>12.</w:t>
      </w:r>
    </w:p>
  </w:footnote>
  <w:footnote w:id="1180">
    <w:p w14:paraId="2490AA11" w14:textId="2E5914F8" w:rsidR="000A0EB4" w:rsidRDefault="000A0EB4" w:rsidP="000A0EB4">
      <w:pPr>
        <w:pStyle w:val="FootnoteText"/>
      </w:pPr>
      <w:r>
        <w:rPr>
          <w:rStyle w:val="FootnoteReference"/>
        </w:rPr>
        <w:footnoteRef/>
      </w:r>
      <w:r>
        <w:t xml:space="preserve"> Clubs Australia submission </w:t>
      </w:r>
      <w:r w:rsidR="00723F0C">
        <w:t xml:space="preserve">to </w:t>
      </w:r>
      <w:r>
        <w:t>draft report, 1.</w:t>
      </w:r>
    </w:p>
  </w:footnote>
  <w:footnote w:id="1181">
    <w:p w14:paraId="5CD92325" w14:textId="10E527F5" w:rsidR="000A0EB4" w:rsidRDefault="000A0EB4" w:rsidP="000A0EB4">
      <w:pPr>
        <w:pStyle w:val="FootnoteText"/>
      </w:pPr>
      <w:r>
        <w:rPr>
          <w:rStyle w:val="FootnoteReference"/>
        </w:rPr>
        <w:footnoteRef/>
      </w:r>
      <w:r>
        <w:t xml:space="preserve"> </w:t>
      </w:r>
      <w:r w:rsidR="00110B88">
        <w:t>Australian Chamber of Commerce and Industry (</w:t>
      </w:r>
      <w:r>
        <w:t>ACCI</w:t>
      </w:r>
      <w:r w:rsidR="00110B88">
        <w:t>)</w:t>
      </w:r>
      <w:r>
        <w:t xml:space="preserve"> submission </w:t>
      </w:r>
      <w:r w:rsidR="00723F0C">
        <w:t xml:space="preserve">to </w:t>
      </w:r>
      <w:r>
        <w:t xml:space="preserve">draft report, 29; Ai Group submission </w:t>
      </w:r>
      <w:r w:rsidR="00723F0C">
        <w:t xml:space="preserve">to </w:t>
      </w:r>
      <w:r>
        <w:t>draft report, 70.</w:t>
      </w:r>
    </w:p>
  </w:footnote>
  <w:footnote w:id="1182">
    <w:p w14:paraId="11261B89" w14:textId="20458894" w:rsidR="000A0EB4" w:rsidRDefault="000A0EB4" w:rsidP="000A0EB4">
      <w:pPr>
        <w:pStyle w:val="FootnoteText"/>
      </w:pPr>
      <w:r>
        <w:rPr>
          <w:rStyle w:val="FootnoteReference"/>
        </w:rPr>
        <w:footnoteRef/>
      </w:r>
      <w:r>
        <w:t xml:space="preserve"> Professor Charlesworth submission </w:t>
      </w:r>
      <w:r w:rsidR="00723F0C">
        <w:t xml:space="preserve">to </w:t>
      </w:r>
      <w:r>
        <w:t>draft report, 5</w:t>
      </w:r>
      <w:r w:rsidR="00110B88">
        <w:rPr>
          <w:rFonts w:ascii="Symbol" w:eastAsia="Symbol" w:hAnsi="Symbol" w:cs="Symbol"/>
        </w:rPr>
        <w:t>-</w:t>
      </w:r>
      <w:r>
        <w:t>6.</w:t>
      </w:r>
    </w:p>
  </w:footnote>
  <w:footnote w:id="1183">
    <w:p w14:paraId="7DFB091E" w14:textId="647783DF" w:rsidR="000A0EB4" w:rsidRDefault="000A0EB4" w:rsidP="000A0EB4">
      <w:pPr>
        <w:pStyle w:val="FootnoteText"/>
      </w:pPr>
      <w:r>
        <w:rPr>
          <w:rStyle w:val="FootnoteReference"/>
        </w:rPr>
        <w:footnoteRef/>
      </w:r>
      <w:r>
        <w:t xml:space="preserve"> </w:t>
      </w:r>
      <w:r w:rsidR="00110B88">
        <w:t>Australian Council of Trade Unions (</w:t>
      </w:r>
      <w:r>
        <w:t>ACTU</w:t>
      </w:r>
      <w:r w:rsidR="00110B88">
        <w:t>)</w:t>
      </w:r>
      <w:r>
        <w:t xml:space="preserve"> submission </w:t>
      </w:r>
      <w:r w:rsidR="00723F0C">
        <w:t xml:space="preserve">to </w:t>
      </w:r>
      <w:r>
        <w:t>draft report, 34</w:t>
      </w:r>
      <w:r w:rsidR="00723F0C">
        <w:rPr>
          <w:rFonts w:ascii="Symbol" w:eastAsia="Symbol" w:hAnsi="Symbol" w:cs="Symbol"/>
        </w:rPr>
        <w:t>-</w:t>
      </w:r>
      <w:r>
        <w:t xml:space="preserve">35; </w:t>
      </w:r>
      <w:r w:rsidR="00110B88" w:rsidRPr="00110B88">
        <w:t xml:space="preserve">Community and Public Sector Union </w:t>
      </w:r>
      <w:r w:rsidR="00110B88">
        <w:t>(</w:t>
      </w:r>
      <w:r>
        <w:t>CPSU</w:t>
      </w:r>
      <w:r w:rsidR="00110B88">
        <w:t>)</w:t>
      </w:r>
      <w:r>
        <w:t xml:space="preserve"> (PSU Group) submission </w:t>
      </w:r>
      <w:r w:rsidR="00723F0C">
        <w:t xml:space="preserve">to </w:t>
      </w:r>
      <w:r>
        <w:t>draft report, 7.</w:t>
      </w:r>
    </w:p>
  </w:footnote>
  <w:footnote w:id="1184">
    <w:p w14:paraId="2299C680" w14:textId="0F342F87" w:rsidR="000A0EB4" w:rsidRDefault="000A0EB4" w:rsidP="000A0EB4">
      <w:pPr>
        <w:pStyle w:val="FootnoteText"/>
      </w:pPr>
      <w:r>
        <w:rPr>
          <w:rStyle w:val="FootnoteReference"/>
        </w:rPr>
        <w:footnoteRef/>
      </w:r>
      <w:r>
        <w:t xml:space="preserve"> CPSU (PSU Group) submission </w:t>
      </w:r>
      <w:r w:rsidR="00723F0C">
        <w:t xml:space="preserve">to </w:t>
      </w:r>
      <w:r>
        <w:t>draft report, 7.</w:t>
      </w:r>
    </w:p>
  </w:footnote>
  <w:footnote w:id="1185">
    <w:p w14:paraId="0060E70F" w14:textId="77777777" w:rsidR="000A0EB4" w:rsidRPr="00A03B67" w:rsidRDefault="000A0EB4" w:rsidP="000A0EB4">
      <w:pPr>
        <w:pStyle w:val="FootnoteText"/>
      </w:pPr>
      <w:r w:rsidRPr="00A03B67">
        <w:rPr>
          <w:rStyle w:val="FootnoteReference"/>
        </w:rPr>
        <w:footnoteRef/>
      </w:r>
      <w:r w:rsidRPr="00A03B67">
        <w:t xml:space="preserve"> </w:t>
      </w:r>
      <w:r w:rsidRPr="00A03B67">
        <w:rPr>
          <w:i/>
          <w:iCs/>
        </w:rPr>
        <w:t xml:space="preserve">Fair Work Act 2009 </w:t>
      </w:r>
      <w:r w:rsidRPr="006D0D12">
        <w:t>(Cth)</w:t>
      </w:r>
      <w:r w:rsidRPr="00A03B67">
        <w:t xml:space="preserve"> s 76A(3)</w:t>
      </w:r>
      <w:r w:rsidRPr="00A03B67">
        <w:rPr>
          <w:rFonts w:ascii="Symbol" w:eastAsia="Symbol" w:hAnsi="Symbol" w:cs="Symbol"/>
        </w:rPr>
        <w:t>-</w:t>
      </w:r>
      <w:r w:rsidRPr="00A03B67">
        <w:t>(5).</w:t>
      </w:r>
    </w:p>
  </w:footnote>
  <w:footnote w:id="1186">
    <w:p w14:paraId="208CD3A9" w14:textId="32CECFD2" w:rsidR="000A0EB4" w:rsidRPr="00A03B67" w:rsidRDefault="000A0EB4" w:rsidP="000A0EB4">
      <w:pPr>
        <w:pStyle w:val="FootnoteText"/>
      </w:pPr>
      <w:r w:rsidRPr="00A03B67">
        <w:rPr>
          <w:rStyle w:val="FootnoteReference"/>
        </w:rPr>
        <w:footnoteRef/>
      </w:r>
      <w:r w:rsidRPr="00A03B67">
        <w:t xml:space="preserve"> </w:t>
      </w:r>
      <w:r w:rsidRPr="00A03B67">
        <w:rPr>
          <w:i/>
          <w:iCs/>
        </w:rPr>
        <w:t xml:space="preserve">Fair Work Amendment (Protecting Worker Entitlements) Act 2023 </w:t>
      </w:r>
      <w:r w:rsidRPr="00A03B67">
        <w:t>(Cth) Sch 2.</w:t>
      </w:r>
    </w:p>
  </w:footnote>
  <w:footnote w:id="1187">
    <w:p w14:paraId="55A0D07D" w14:textId="77777777" w:rsidR="000A0EB4" w:rsidRPr="00A03B67" w:rsidRDefault="000A0EB4" w:rsidP="000A0EB4">
      <w:pPr>
        <w:pStyle w:val="FootnoteText"/>
      </w:pPr>
      <w:r w:rsidRPr="00A03B67">
        <w:rPr>
          <w:rStyle w:val="FootnoteReference"/>
        </w:rPr>
        <w:footnoteRef/>
      </w:r>
      <w:r w:rsidRPr="00A03B67">
        <w:t xml:space="preserve"> Fair Work Legislation Amendment (Secure Jobs, Better Pay) Bill 2022.</w:t>
      </w:r>
    </w:p>
  </w:footnote>
  <w:footnote w:id="1188">
    <w:p w14:paraId="156B2853" w14:textId="77777777" w:rsidR="000A0EB4" w:rsidRPr="00A03B67" w:rsidRDefault="000A0EB4" w:rsidP="000A0EB4">
      <w:pPr>
        <w:pStyle w:val="FootnoteText"/>
      </w:pPr>
      <w:r w:rsidRPr="00A03B67">
        <w:rPr>
          <w:rStyle w:val="FootnoteReference"/>
        </w:rPr>
        <w:footnoteRef/>
      </w:r>
      <w:r w:rsidRPr="00A03B67">
        <w:t xml:space="preserve"> Senate Select Committee on Work and Care, Parliament of Australia, </w:t>
      </w:r>
      <w:r w:rsidRPr="00A03B67">
        <w:rPr>
          <w:i/>
          <w:iCs/>
        </w:rPr>
        <w:t>Final Report</w:t>
      </w:r>
      <w:r w:rsidRPr="00A03B67">
        <w:t xml:space="preserve"> (Report, 2023) xxviii &lt;https://parlinfo.aph.gov.au/parlInfo/download/committees/reportsen/024994/toc_pdf/FinalReport.pdf;fileType=application%2Fpdf&gt;.</w:t>
      </w:r>
    </w:p>
  </w:footnote>
  <w:footnote w:id="1189">
    <w:p w14:paraId="4AF6B49E" w14:textId="77777777" w:rsidR="000A0EB4" w:rsidRPr="00A03B67" w:rsidRDefault="000A0EB4" w:rsidP="000A0EB4">
      <w:pPr>
        <w:pStyle w:val="FootnoteText"/>
      </w:pPr>
      <w:r w:rsidRPr="00A03B67">
        <w:rPr>
          <w:rStyle w:val="FootnoteReference"/>
        </w:rPr>
        <w:footnoteRef/>
      </w:r>
      <w:r w:rsidRPr="00A03B67">
        <w:t xml:space="preserve"> Fair Work Commission, </w:t>
      </w:r>
      <w:r w:rsidRPr="006D0D12">
        <w:rPr>
          <w:i/>
        </w:rPr>
        <w:t>Annual Report 2022–23</w:t>
      </w:r>
      <w:r w:rsidRPr="00A03B67">
        <w:t xml:space="preserve"> (Report, 2023) 29.</w:t>
      </w:r>
    </w:p>
  </w:footnote>
  <w:footnote w:id="1190">
    <w:p w14:paraId="757C01A3" w14:textId="51C7EDD6" w:rsidR="000A0EB4" w:rsidRDefault="000A0EB4" w:rsidP="000A0EB4">
      <w:pPr>
        <w:pStyle w:val="FootnoteText"/>
      </w:pPr>
      <w:r>
        <w:rPr>
          <w:rStyle w:val="FootnoteReference"/>
        </w:rPr>
        <w:footnoteRef/>
      </w:r>
      <w:r w:rsidRPr="00BD5AE5" w:rsidDel="00110B88">
        <w:t xml:space="preserve"> </w:t>
      </w:r>
      <w:r w:rsidR="00110B88">
        <w:t xml:space="preserve">Fair Work Ombudsman </w:t>
      </w:r>
      <w:r w:rsidRPr="00BD5AE5">
        <w:t>data (provided Feb</w:t>
      </w:r>
      <w:r w:rsidR="00723F0C">
        <w:t>ruary</w:t>
      </w:r>
      <w:r w:rsidRPr="00BD5AE5">
        <w:t xml:space="preserve"> 2025)</w:t>
      </w:r>
      <w:r w:rsidR="00723F0C">
        <w:t>.</w:t>
      </w:r>
    </w:p>
  </w:footnote>
  <w:footnote w:id="1191">
    <w:p w14:paraId="3157CE2A" w14:textId="0E46F322" w:rsidR="000A0EB4" w:rsidRPr="00A03B67" w:rsidRDefault="000A0EB4" w:rsidP="000A0EB4">
      <w:pPr>
        <w:pStyle w:val="FootnoteText"/>
      </w:pPr>
      <w:r w:rsidRPr="00A03B67">
        <w:rPr>
          <w:rStyle w:val="FootnoteReference"/>
        </w:rPr>
        <w:footnoteRef/>
      </w:r>
      <w:r w:rsidRPr="00A03B67">
        <w:t xml:space="preserve"> Workplace Gender Equality Agency, </w:t>
      </w:r>
      <w:r w:rsidRPr="006D0D12">
        <w:rPr>
          <w:i/>
        </w:rPr>
        <w:t>Parental Leave</w:t>
      </w:r>
      <w:r w:rsidRPr="00A03B67">
        <w:t xml:space="preserve"> (Web Page, n.d.) &lt;https://www.wgea.gov.au/parental-leave#:~:text=This%20benefit%20can%20take%20the,addition%20to%20the%20government%20scheme&gt;.</w:t>
      </w:r>
    </w:p>
  </w:footnote>
  <w:footnote w:id="1192">
    <w:p w14:paraId="108CF628" w14:textId="77777777" w:rsidR="000A0EB4" w:rsidRPr="00A03B67" w:rsidRDefault="000A0EB4" w:rsidP="000A0EB4">
      <w:pPr>
        <w:pStyle w:val="FootnoteText"/>
      </w:pPr>
      <w:r w:rsidRPr="00A03B67">
        <w:rPr>
          <w:rStyle w:val="FootnoteReference"/>
        </w:rPr>
        <w:footnoteRef/>
      </w:r>
      <w:r w:rsidRPr="00A03B67">
        <w:t xml:space="preserve"> Senate Education and Employment Legislation Committee, Parliament of Australia, Fair Work Legislation Amendment (Securer Jobs, Better Pay) Bill 2022, Professor Andrew Stewart, Submission 89, 2 &lt;https://www.aph.gov.au/Parliamentary_Business/Committees/Senate/Education_and_Employment/SecureJobsBetterPay/Submissions&gt;.</w:t>
      </w:r>
    </w:p>
  </w:footnote>
  <w:footnote w:id="1193">
    <w:p w14:paraId="0ACC084B" w14:textId="77777777" w:rsidR="000A0EB4" w:rsidRPr="00A03B67" w:rsidRDefault="000A0EB4" w:rsidP="000A0EB4">
      <w:pPr>
        <w:pStyle w:val="FootnoteText"/>
      </w:pPr>
      <w:r w:rsidRPr="00A03B67">
        <w:rPr>
          <w:rStyle w:val="FootnoteReference"/>
        </w:rPr>
        <w:footnoteRef/>
      </w:r>
      <w:r w:rsidRPr="00A03B67">
        <w:t xml:space="preserve"> Employment Rights Legal Service submission.</w:t>
      </w:r>
    </w:p>
  </w:footnote>
  <w:footnote w:id="1194">
    <w:p w14:paraId="5066DBB8" w14:textId="734F7913" w:rsidR="000A0EB4" w:rsidRDefault="000A0EB4" w:rsidP="000A0EB4">
      <w:pPr>
        <w:pStyle w:val="FootnoteText"/>
      </w:pPr>
      <w:r>
        <w:rPr>
          <w:rStyle w:val="FootnoteReference"/>
        </w:rPr>
        <w:footnoteRef/>
      </w:r>
      <w:r>
        <w:t xml:space="preserve"> Ai Group submission in response to </w:t>
      </w:r>
      <w:r w:rsidR="00723F0C">
        <w:t>d</w:t>
      </w:r>
      <w:r>
        <w:t xml:space="preserve">raft </w:t>
      </w:r>
      <w:r w:rsidR="00723F0C">
        <w:t>r</w:t>
      </w:r>
      <w:r>
        <w:t>eport, 71</w:t>
      </w:r>
      <w:r w:rsidR="00723F0C">
        <w:t xml:space="preserve"> [</w:t>
      </w:r>
      <w:r>
        <w:t>327</w:t>
      </w:r>
      <w:r w:rsidR="00723F0C">
        <w:t>]</w:t>
      </w:r>
      <w:r>
        <w:t>.</w:t>
      </w:r>
    </w:p>
  </w:footnote>
  <w:footnote w:id="1195">
    <w:p w14:paraId="29968126" w14:textId="4CD2FA28" w:rsidR="00463F7C" w:rsidRPr="00A03B67" w:rsidRDefault="00463F7C" w:rsidP="00463F7C">
      <w:pPr>
        <w:pStyle w:val="FootnoteText"/>
      </w:pPr>
      <w:r w:rsidRPr="00A03B67">
        <w:rPr>
          <w:rStyle w:val="FootnoteReference"/>
        </w:rPr>
        <w:footnoteRef/>
      </w:r>
      <w:r w:rsidRPr="00A03B67">
        <w:t xml:space="preserve"> Department of Employment and Workplace Relations, </w:t>
      </w:r>
      <w:r w:rsidRPr="006D0D12">
        <w:rPr>
          <w:i/>
        </w:rPr>
        <w:t>Review of the Fair Work Act Small Claims Procedure</w:t>
      </w:r>
      <w:r w:rsidR="00723F0C">
        <w:t xml:space="preserve"> (Report, 2024).</w:t>
      </w:r>
    </w:p>
  </w:footnote>
  <w:footnote w:id="1196">
    <w:p w14:paraId="0DE54DE6" w14:textId="54D3B2FC" w:rsidR="00463F7C" w:rsidRPr="00A03B67" w:rsidRDefault="00463F7C" w:rsidP="00463F7C">
      <w:pPr>
        <w:pStyle w:val="FootnoteText"/>
      </w:pPr>
      <w:r w:rsidRPr="00A03B67">
        <w:rPr>
          <w:rStyle w:val="FootnoteReference"/>
        </w:rPr>
        <w:footnoteRef/>
      </w:r>
      <w:r w:rsidRPr="00A03B67">
        <w:t xml:space="preserve"> Department of Employment and Workplace Relations, </w:t>
      </w:r>
      <w:r w:rsidRPr="006D0D12">
        <w:rPr>
          <w:i/>
        </w:rPr>
        <w:t>Review of the Fair Work Act Small Claims Procedure</w:t>
      </w:r>
      <w:r w:rsidRPr="00A03B67">
        <w:t xml:space="preserve"> </w:t>
      </w:r>
      <w:r w:rsidR="00723F0C">
        <w:t xml:space="preserve">(Report, 2024) </w:t>
      </w:r>
      <w:r w:rsidRPr="00A03B67">
        <w:t>5.</w:t>
      </w:r>
    </w:p>
  </w:footnote>
  <w:footnote w:id="1197">
    <w:p w14:paraId="30EA21C9" w14:textId="77777777" w:rsidR="00463F7C" w:rsidRPr="00A03B67" w:rsidRDefault="00463F7C" w:rsidP="00463F7C">
      <w:pPr>
        <w:pStyle w:val="FootnoteText"/>
      </w:pPr>
      <w:r w:rsidRPr="00A03B67">
        <w:rPr>
          <w:rStyle w:val="FootnoteReference"/>
        </w:rPr>
        <w:footnoteRef/>
      </w:r>
      <w:r w:rsidRPr="00A03B67">
        <w:t xml:space="preserve"> </w:t>
      </w:r>
      <w:r w:rsidRPr="00A03B67">
        <w:rPr>
          <w:i/>
          <w:iCs/>
        </w:rPr>
        <w:t>Fair Work Act 2009</w:t>
      </w:r>
      <w:r w:rsidRPr="00A03B67">
        <w:t xml:space="preserve"> (Cth) s 548(3).</w:t>
      </w:r>
    </w:p>
  </w:footnote>
  <w:footnote w:id="1198">
    <w:p w14:paraId="211EDC76" w14:textId="77777777" w:rsidR="00463F7C" w:rsidRPr="00A03B67" w:rsidRDefault="00463F7C" w:rsidP="00463F7C">
      <w:pPr>
        <w:pStyle w:val="FootnoteText"/>
        <w:rPr>
          <w:lang w:val="en-US"/>
        </w:rPr>
      </w:pPr>
      <w:r w:rsidRPr="00A03B67">
        <w:rPr>
          <w:rStyle w:val="FootnoteReference"/>
        </w:rPr>
        <w:footnoteRef/>
      </w:r>
      <w:r w:rsidRPr="00A03B67">
        <w:t xml:space="preserve"> According to </w:t>
      </w:r>
      <w:r w:rsidRPr="00A03B67">
        <w:rPr>
          <w:lang w:val="en-US"/>
        </w:rPr>
        <w:t xml:space="preserve">Tess Hardy the term ‘wage theft’ is ‘commonly used in the media to refer to the underpayment or non-payment of employee related entitlements’: Senate Standing Committee on Economics, Parliament of Australia, inquiry into </w:t>
      </w:r>
      <w:r w:rsidRPr="00A03B67">
        <w:rPr>
          <w:iCs/>
          <w:lang w:val="en-US"/>
        </w:rPr>
        <w:t xml:space="preserve">unlawful underpayment of employees’ remuneration, </w:t>
      </w:r>
      <w:r w:rsidRPr="00A03B67">
        <w:rPr>
          <w:lang w:val="en-US"/>
        </w:rPr>
        <w:t>Dr Tess Hardy, Submission No 85, [5].</w:t>
      </w:r>
    </w:p>
  </w:footnote>
  <w:footnote w:id="1199">
    <w:p w14:paraId="37FC5670" w14:textId="77777777" w:rsidR="00463F7C" w:rsidRPr="00A03B67" w:rsidRDefault="00463F7C" w:rsidP="00463F7C">
      <w:pPr>
        <w:pStyle w:val="FootnoteText"/>
      </w:pPr>
      <w:r w:rsidRPr="00A03B67">
        <w:rPr>
          <w:rStyle w:val="FootnoteReference"/>
        </w:rPr>
        <w:footnoteRef/>
      </w:r>
      <w:r w:rsidRPr="00A03B67">
        <w:t xml:space="preserve"> </w:t>
      </w:r>
      <w:r w:rsidRPr="00A03B67">
        <w:rPr>
          <w:i/>
          <w:iCs/>
        </w:rPr>
        <w:t>Fair Work Act 2009</w:t>
      </w:r>
      <w:r w:rsidRPr="00A03B67">
        <w:t xml:space="preserve"> (Cth) s 548(1B).</w:t>
      </w:r>
    </w:p>
  </w:footnote>
  <w:footnote w:id="1200">
    <w:p w14:paraId="668CC9AC" w14:textId="77777777" w:rsidR="00463F7C" w:rsidRPr="00A03B67" w:rsidRDefault="00463F7C" w:rsidP="00463F7C">
      <w:pPr>
        <w:pStyle w:val="FootnoteText"/>
      </w:pPr>
      <w:r w:rsidRPr="00A03B67">
        <w:rPr>
          <w:rStyle w:val="FootnoteReference"/>
        </w:rPr>
        <w:footnoteRef/>
      </w:r>
      <w:r w:rsidRPr="00A03B67">
        <w:t xml:space="preserve"> </w:t>
      </w:r>
      <w:r w:rsidRPr="00A03B67">
        <w:rPr>
          <w:i/>
          <w:iCs/>
        </w:rPr>
        <w:t>Fair Work Act 2009</w:t>
      </w:r>
      <w:r w:rsidRPr="00A03B67">
        <w:t xml:space="preserve"> (Cth) s 548(1C).</w:t>
      </w:r>
    </w:p>
  </w:footnote>
  <w:footnote w:id="1201">
    <w:p w14:paraId="4221B429" w14:textId="77777777" w:rsidR="00463F7C" w:rsidRPr="00A03B67" w:rsidRDefault="00463F7C" w:rsidP="00463F7C">
      <w:pPr>
        <w:pStyle w:val="FootnoteText"/>
        <w:rPr>
          <w:lang w:val="en-US"/>
        </w:rPr>
      </w:pPr>
      <w:r w:rsidRPr="00A03B67">
        <w:rPr>
          <w:rStyle w:val="FootnoteReference"/>
        </w:rPr>
        <w:footnoteRef/>
      </w:r>
      <w:r w:rsidRPr="00A03B67">
        <w:t xml:space="preserve"> For more details, see </w:t>
      </w:r>
      <w:r w:rsidRPr="00A03B67">
        <w:rPr>
          <w:lang w:val="en-US"/>
        </w:rPr>
        <w:t xml:space="preserve">FWC, </w:t>
      </w:r>
      <w:r w:rsidRPr="00A03B67">
        <w:rPr>
          <w:i/>
          <w:lang w:val="en-US"/>
        </w:rPr>
        <w:t xml:space="preserve">Enforcement of Commission </w:t>
      </w:r>
      <w:r w:rsidRPr="00A03B67">
        <w:rPr>
          <w:i/>
          <w:iCs/>
          <w:lang w:val="en-US"/>
        </w:rPr>
        <w:t>Orders</w:t>
      </w:r>
      <w:r w:rsidRPr="00A03B67">
        <w:rPr>
          <w:lang w:val="en-US"/>
        </w:rPr>
        <w:t xml:space="preserve"> (Web Page, n.d.) &lt;</w:t>
      </w:r>
      <w:r w:rsidRPr="00A03B67">
        <w:t xml:space="preserve">https://www.fwc.gov.au/enforcement-commission-orders#:~:text=What%20is%20a%20small%20claim%20procedure?&amp;text=A%20small%20claim%20procedure%20in,through%20this%20small%20claim%20procedure&gt;; and FWO, </w:t>
      </w:r>
      <w:r w:rsidRPr="00A03B67">
        <w:rPr>
          <w:i/>
          <w:iCs/>
        </w:rPr>
        <w:t>Legal Action in the Small Claims Court</w:t>
      </w:r>
      <w:r w:rsidRPr="00A03B67">
        <w:t xml:space="preserve"> (Web Page, n.d.) &lt;https://www.fairwork.gov.au/workplace-problems/fixing-a-workplace-problem/resolving-disputes-with-our-help/legal-action-in-the-small-claims-court&gt;.</w:t>
      </w:r>
    </w:p>
  </w:footnote>
  <w:footnote w:id="1202">
    <w:p w14:paraId="22095938" w14:textId="77777777" w:rsidR="00463F7C" w:rsidRDefault="00463F7C" w:rsidP="00463F7C">
      <w:pPr>
        <w:pStyle w:val="FootnoteText"/>
      </w:pPr>
      <w:r>
        <w:rPr>
          <w:rStyle w:val="FootnoteReference"/>
        </w:rPr>
        <w:footnoteRef/>
      </w:r>
      <w:r>
        <w:t xml:space="preserve"> </w:t>
      </w:r>
      <w:r w:rsidRPr="002C3EF8">
        <w:rPr>
          <w:i/>
        </w:rPr>
        <w:t xml:space="preserve">Fair Work Legislation Amendment (Secure Jobs, Better Pay) </w:t>
      </w:r>
      <w:r w:rsidRPr="002C3EF8">
        <w:rPr>
          <w:i/>
          <w:iCs/>
        </w:rPr>
        <w:t>Act</w:t>
      </w:r>
      <w:r w:rsidRPr="002C3EF8">
        <w:rPr>
          <w:i/>
        </w:rPr>
        <w:t xml:space="preserve"> 2022</w:t>
      </w:r>
      <w:r w:rsidRPr="002C3EF8">
        <w:rPr>
          <w:i/>
          <w:iCs/>
        </w:rPr>
        <w:t xml:space="preserve"> </w:t>
      </w:r>
      <w:r w:rsidRPr="006D0D12">
        <w:t>(Cth)</w:t>
      </w:r>
      <w:r w:rsidRPr="002C3EF8">
        <w:rPr>
          <w:i/>
          <w:iCs/>
        </w:rPr>
        <w:t xml:space="preserve"> </w:t>
      </w:r>
      <w:r>
        <w:t>item 651.</w:t>
      </w:r>
    </w:p>
  </w:footnote>
  <w:footnote w:id="1203">
    <w:p w14:paraId="5BB08864" w14:textId="77777777" w:rsidR="00463F7C" w:rsidRPr="00A03B67" w:rsidRDefault="00463F7C" w:rsidP="00463F7C">
      <w:pPr>
        <w:pStyle w:val="FootnoteText"/>
      </w:pPr>
      <w:r w:rsidRPr="00A03B67">
        <w:rPr>
          <w:rStyle w:val="FootnoteReference"/>
        </w:rPr>
        <w:footnoteRef/>
      </w:r>
      <w:r w:rsidRPr="00A03B67">
        <w:t xml:space="preserve"> </w:t>
      </w:r>
      <w:r w:rsidRPr="00A03B67">
        <w:rPr>
          <w:i/>
          <w:iCs/>
        </w:rPr>
        <w:t>Fair Work Act 2009</w:t>
      </w:r>
      <w:r w:rsidRPr="00A03B67">
        <w:t xml:space="preserve"> (Cth) s 570(2).</w:t>
      </w:r>
    </w:p>
  </w:footnote>
  <w:footnote w:id="1204">
    <w:p w14:paraId="1E6D565F" w14:textId="77777777" w:rsidR="00463F7C" w:rsidRPr="00A03B67" w:rsidRDefault="00463F7C" w:rsidP="00463F7C">
      <w:pPr>
        <w:pStyle w:val="FootnoteText"/>
      </w:pPr>
      <w:r w:rsidRPr="00A03B67">
        <w:rPr>
          <w:rStyle w:val="FootnoteReference"/>
        </w:rPr>
        <w:footnoteRef/>
      </w:r>
      <w:r w:rsidRPr="00A03B67">
        <w:t xml:space="preserve"> Australian Government, </w:t>
      </w:r>
      <w:r w:rsidRPr="00A03B67">
        <w:rPr>
          <w:i/>
          <w:iCs/>
        </w:rPr>
        <w:t>Australian Government Response: Report of the Migrant Workers’ Taskforce</w:t>
      </w:r>
      <w:r w:rsidRPr="00A03B67">
        <w:t xml:space="preserve"> (Report, March 2019) 2.</w:t>
      </w:r>
    </w:p>
  </w:footnote>
  <w:footnote w:id="1205">
    <w:p w14:paraId="63973F85" w14:textId="77777777" w:rsidR="00463F7C" w:rsidRPr="00A03B67" w:rsidRDefault="00463F7C" w:rsidP="00463F7C">
      <w:pPr>
        <w:pStyle w:val="FootnoteText"/>
        <w:rPr>
          <w:lang w:val="en-US"/>
        </w:rPr>
      </w:pPr>
      <w:r w:rsidRPr="00A03B67">
        <w:rPr>
          <w:rStyle w:val="FootnoteReference"/>
        </w:rPr>
        <w:footnoteRef/>
      </w:r>
      <w:r w:rsidRPr="00A03B67">
        <w:t xml:space="preserve"> For a summary overview see </w:t>
      </w:r>
      <w:r w:rsidRPr="00A03B67">
        <w:rPr>
          <w:lang w:val="en-US"/>
        </w:rPr>
        <w:t xml:space="preserve">A Fels and D Cousins, ‘The Migrant Workers’ Taskforce and the Australian Government’s Response to Migrant Worker Wage Exploitation’ (2019) 84 </w:t>
      </w:r>
      <w:r w:rsidRPr="00A03B67">
        <w:rPr>
          <w:i/>
          <w:iCs/>
          <w:lang w:val="en-US"/>
        </w:rPr>
        <w:t>Journal of Australian Political Economy</w:t>
      </w:r>
      <w:r w:rsidRPr="00A03B67">
        <w:rPr>
          <w:lang w:val="en-US"/>
        </w:rPr>
        <w:t xml:space="preserve"> 13.</w:t>
      </w:r>
    </w:p>
  </w:footnote>
  <w:footnote w:id="1206">
    <w:p w14:paraId="3C6CB652" w14:textId="77777777" w:rsidR="00463F7C" w:rsidRPr="00A03B67" w:rsidRDefault="00463F7C" w:rsidP="00463F7C">
      <w:pPr>
        <w:pStyle w:val="FootnoteText"/>
        <w:rPr>
          <w:lang w:val="en-US"/>
        </w:rPr>
      </w:pPr>
      <w:r w:rsidRPr="00A03B67">
        <w:rPr>
          <w:rStyle w:val="FootnoteReference"/>
        </w:rPr>
        <w:footnoteRef/>
      </w:r>
      <w:r w:rsidRPr="00A03B67">
        <w:t xml:space="preserve"> Senate Economics References Committee, Parliament of Australia, </w:t>
      </w:r>
      <w:r w:rsidRPr="00A03B67">
        <w:rPr>
          <w:i/>
        </w:rPr>
        <w:t>Systemic, Sustained and Shameful: Unlawful Underpayment of Employees’ Remuneration</w:t>
      </w:r>
      <w:r w:rsidRPr="00A03B67">
        <w:t xml:space="preserve"> (Report, March 2022).</w:t>
      </w:r>
    </w:p>
  </w:footnote>
  <w:footnote w:id="1207">
    <w:p w14:paraId="319B3BEF" w14:textId="77777777" w:rsidR="00463F7C" w:rsidRPr="00A03B67" w:rsidRDefault="00463F7C" w:rsidP="00463F7C">
      <w:pPr>
        <w:pStyle w:val="FootnoteText"/>
      </w:pPr>
      <w:r w:rsidRPr="00A03B67">
        <w:rPr>
          <w:rStyle w:val="FootnoteReference"/>
        </w:rPr>
        <w:footnoteRef/>
      </w:r>
      <w:r w:rsidRPr="00A03B67">
        <w:t xml:space="preserve"> Australian Government, </w:t>
      </w:r>
      <w:r w:rsidRPr="00A03B67">
        <w:rPr>
          <w:i/>
          <w:iCs/>
        </w:rPr>
        <w:t>Australian Government Response to the Senate Economics References Committee Report: Systemic, Sustained and Shameful: Unlawful Underpayment of Employees’ Remuneration</w:t>
      </w:r>
      <w:r w:rsidRPr="00A03B67">
        <w:t xml:space="preserve"> (6 April 2023)</w:t>
      </w:r>
      <w:r w:rsidRPr="00A03B67" w:rsidDel="003470EB">
        <w:t xml:space="preserve"> </w:t>
      </w:r>
      <w:r w:rsidRPr="00A03B67">
        <w:t>6.</w:t>
      </w:r>
    </w:p>
  </w:footnote>
  <w:footnote w:id="1208">
    <w:p w14:paraId="2B5718FE" w14:textId="77777777" w:rsidR="00463F7C" w:rsidRPr="00A03B67" w:rsidRDefault="00463F7C" w:rsidP="00463F7C">
      <w:pPr>
        <w:pStyle w:val="FootnoteText"/>
      </w:pPr>
      <w:r w:rsidRPr="00A03B67">
        <w:rPr>
          <w:rStyle w:val="FootnoteReference"/>
        </w:rPr>
        <w:footnoteRef/>
      </w:r>
      <w:r w:rsidRPr="00A03B67">
        <w:t xml:space="preserve"> Australian Government </w:t>
      </w:r>
      <w:r w:rsidRPr="00A03B67">
        <w:rPr>
          <w:i/>
          <w:iCs/>
        </w:rPr>
        <w:t>Australian Government Response to the Senate Economics References Committee Report: Systemic, Sustained and Shameful: Unlawful Underpayment of Employees’ Remuneration</w:t>
      </w:r>
      <w:r w:rsidRPr="00A03B67">
        <w:t xml:space="preserve"> (6 April 2023) 6.</w:t>
      </w:r>
    </w:p>
  </w:footnote>
  <w:footnote w:id="1209">
    <w:p w14:paraId="47668198" w14:textId="36FECEC6" w:rsidR="00463F7C" w:rsidRPr="00A03B67" w:rsidRDefault="00463F7C" w:rsidP="00463F7C">
      <w:pPr>
        <w:pStyle w:val="FootnoteText"/>
        <w:rPr>
          <w:lang w:val="en-US"/>
        </w:rPr>
      </w:pPr>
      <w:r w:rsidRPr="00A03B67">
        <w:rPr>
          <w:rStyle w:val="FootnoteReference"/>
        </w:rPr>
        <w:footnoteRef/>
      </w:r>
      <w:r w:rsidRPr="00A03B67">
        <w:t xml:space="preserve"> Revised Explanatory Memorandum, Fair Work Legislation Amendment (Secure Jobs, Better Pay) Bill 2022 (Cth), </w:t>
      </w:r>
      <w:r w:rsidRPr="00A03B67">
        <w:rPr>
          <w:lang w:val="en-US"/>
        </w:rPr>
        <w:t>204.</w:t>
      </w:r>
    </w:p>
  </w:footnote>
  <w:footnote w:id="1210">
    <w:p w14:paraId="42867C56" w14:textId="77777777" w:rsidR="00463F7C" w:rsidRPr="00A03B67" w:rsidRDefault="00463F7C" w:rsidP="00463F7C">
      <w:pPr>
        <w:pStyle w:val="FootnoteText"/>
        <w:rPr>
          <w:lang w:val="en-US"/>
        </w:rPr>
      </w:pPr>
      <w:r w:rsidRPr="00A03B67">
        <w:rPr>
          <w:rStyle w:val="FootnoteReference"/>
        </w:rPr>
        <w:footnoteRef/>
      </w:r>
      <w:r w:rsidRPr="00A03B67">
        <w:t xml:space="preserve"> Revised Explanatory Memorandum, Fair Work Legislation Amendment (Secure Jobs, Better Pay) Bill 2022 (Cth), </w:t>
      </w:r>
      <w:r w:rsidRPr="00A03B67">
        <w:rPr>
          <w:lang w:val="en-US"/>
        </w:rPr>
        <w:t>205.</w:t>
      </w:r>
    </w:p>
  </w:footnote>
  <w:footnote w:id="1211">
    <w:p w14:paraId="3C5CBA19" w14:textId="77777777" w:rsidR="00463F7C" w:rsidRPr="00A03B67" w:rsidRDefault="00463F7C" w:rsidP="00463F7C">
      <w:pPr>
        <w:pStyle w:val="FootnoteText"/>
        <w:rPr>
          <w:lang w:val="en-US"/>
        </w:rPr>
      </w:pPr>
      <w:r w:rsidRPr="00A03B67">
        <w:rPr>
          <w:rStyle w:val="FootnoteReference"/>
        </w:rPr>
        <w:footnoteRef/>
      </w:r>
      <w:r w:rsidRPr="00A03B67">
        <w:t xml:space="preserve"> </w:t>
      </w:r>
      <w:r w:rsidRPr="00A03B67">
        <w:rPr>
          <w:lang w:val="en-US"/>
        </w:rPr>
        <w:t>The Migrant Workers’ Taskforce (MWTF) was established in 2016 to deal with the problem of the underpayment of wages of migrant workers. It was chaired by Professor Allan Fels AO with Mr David Cousins AM as Deputy Chair. In an article published in 2019 Fels and Cousins note that, in 2017</w:t>
      </w:r>
      <w:r w:rsidRPr="00A03B67">
        <w:rPr>
          <w:rFonts w:ascii="Symbol" w:eastAsia="Symbol" w:hAnsi="Symbol" w:cs="Symbol"/>
          <w:lang w:val="en-US"/>
        </w:rPr>
        <w:t>-</w:t>
      </w:r>
      <w:r w:rsidRPr="00A03B67">
        <w:rPr>
          <w:lang w:val="en-US"/>
        </w:rPr>
        <w:t xml:space="preserve">18, migrant workers comprised 6% of the Australian workforce but accounted for 20% of formal disputes at the FWO. Their paper summarises various recommendations of the MWTF, including increasing penalties in the Fair Work Act to help deter noncompliance: A Fels and D Cousins, ‘The Migrant Workers’ Taskforce and the Australian Government’s Response to Migrant Worker Wage Exploitation’ (2019) 84 </w:t>
      </w:r>
      <w:r w:rsidRPr="00A03B67">
        <w:rPr>
          <w:i/>
          <w:iCs/>
          <w:lang w:val="en-US"/>
        </w:rPr>
        <w:t>Journal of Australian Political Economy</w:t>
      </w:r>
      <w:r w:rsidRPr="00A03B67">
        <w:rPr>
          <w:lang w:val="en-US"/>
        </w:rPr>
        <w:t xml:space="preserve"> 13.</w:t>
      </w:r>
    </w:p>
  </w:footnote>
  <w:footnote w:id="1212">
    <w:p w14:paraId="4C5C162A" w14:textId="24FC652F" w:rsidR="00463F7C" w:rsidRPr="00A03B67" w:rsidRDefault="00463F7C" w:rsidP="00463F7C">
      <w:pPr>
        <w:pStyle w:val="FootnoteText"/>
      </w:pPr>
      <w:r w:rsidRPr="00A03B67">
        <w:rPr>
          <w:rStyle w:val="FootnoteReference"/>
        </w:rPr>
        <w:footnoteRef/>
      </w:r>
      <w:r w:rsidRPr="00A03B67">
        <w:t xml:space="preserve"> J Hare, ‘Wage Theft Shameful and Systemic, Says Senate Report’, </w:t>
      </w:r>
      <w:r w:rsidRPr="00A03B67">
        <w:rPr>
          <w:i/>
        </w:rPr>
        <w:t>Australian Financial Review</w:t>
      </w:r>
      <w:r w:rsidRPr="00A03B67">
        <w:t xml:space="preserve"> (online, 31 March 2022) &lt;https://www.afr.com/work-and-careers/education/wage-theft-shameful-and-systemic-says-senate-report-20220331-p5a9rn&gt;</w:t>
      </w:r>
      <w:r w:rsidR="00723F0C">
        <w:t>;</w:t>
      </w:r>
      <w:r w:rsidRPr="00A03B67">
        <w:t xml:space="preserve"> S Marsh, ‘Sydney’s Five-star Shangri-La Hotel Underpaid Employees </w:t>
      </w:r>
      <w:r w:rsidR="00723F0C">
        <w:t>M</w:t>
      </w:r>
      <w:r w:rsidRPr="00A03B67">
        <w:t xml:space="preserve">ore Than $3 million’, </w:t>
      </w:r>
      <w:r w:rsidRPr="00A03B67">
        <w:rPr>
          <w:i/>
          <w:iCs/>
        </w:rPr>
        <w:t>9news</w:t>
      </w:r>
      <w:r w:rsidRPr="00A03B67">
        <w:t xml:space="preserve"> (online, 1 April 2022 ) </w:t>
      </w:r>
      <w:r w:rsidR="002D080A">
        <w:t>&lt;</w:t>
      </w:r>
      <w:r w:rsidR="002D080A" w:rsidRPr="002D080A">
        <w:t>https://www.9news.com.au/national/shangrila-sydney-five-star-hotel-found-to-have-underpaid-workers-3-million/16feb7b5-1a40-4dc9-9168-e8e2a4c1fd71</w:t>
      </w:r>
      <w:r w:rsidR="002D080A">
        <w:t>&gt;</w:t>
      </w:r>
      <w:r w:rsidR="00723F0C">
        <w:t>;</w:t>
      </w:r>
      <w:r>
        <w:t xml:space="preserve"> and </w:t>
      </w:r>
      <w:r w:rsidRPr="00A03B67">
        <w:t xml:space="preserve">C Duffy, ‘Union Calls for Backpay and Apology after University of Melbourne Faculties Cut PhD Rates for Casuals’, </w:t>
      </w:r>
      <w:r w:rsidRPr="00A03B67">
        <w:rPr>
          <w:i/>
          <w:iCs/>
        </w:rPr>
        <w:t>ABC News</w:t>
      </w:r>
      <w:r w:rsidRPr="00A03B67">
        <w:t xml:space="preserve"> (online, 21 March 2022) &lt;https://www.abc.net.au/news/2022-03-21/union-calls-for-action-on-university-of-melbourne-phd-pay/100921064&gt;.</w:t>
      </w:r>
    </w:p>
  </w:footnote>
  <w:footnote w:id="1213">
    <w:p w14:paraId="03CB353C" w14:textId="337A8638" w:rsidR="00463F7C" w:rsidRPr="00A03B67" w:rsidRDefault="00463F7C" w:rsidP="00463F7C">
      <w:pPr>
        <w:pStyle w:val="FootnoteText"/>
      </w:pPr>
      <w:r w:rsidRPr="00A03B67">
        <w:rPr>
          <w:rStyle w:val="FootnoteReference"/>
        </w:rPr>
        <w:footnoteRef/>
      </w:r>
      <w:r w:rsidRPr="00A03B67">
        <w:t xml:space="preserve"> See e.g. UWU, </w:t>
      </w:r>
      <w:r w:rsidRPr="00A03B67">
        <w:rPr>
          <w:i/>
        </w:rPr>
        <w:t>2022–2024: Taking Down Wage Thieves Across Australia</w:t>
      </w:r>
      <w:r w:rsidRPr="00A03B67">
        <w:t xml:space="preserve"> (Web Page, n.d.) &lt;https://unitedworkers.org.au/history/taking-down-wage-thieves-across-australia/#:~:text=Between%202022%2D2024%2C%20United%20Workers,practices%20and%20building%20union%20power&gt;</w:t>
      </w:r>
      <w:r w:rsidR="00723F0C">
        <w:t>;</w:t>
      </w:r>
      <w:r w:rsidRPr="00A03B67">
        <w:t xml:space="preserve"> and Unions NSW, </w:t>
      </w:r>
      <w:r w:rsidRPr="00A03B67">
        <w:rPr>
          <w:i/>
        </w:rPr>
        <w:t>Wage Theft – The Shadow Market Empowering Migrant Workers to Enforce Their Rights</w:t>
      </w:r>
      <w:r w:rsidRPr="00A03B67">
        <w:t xml:space="preserve"> (Web Page, n.d.) &lt;https://www.unionsnsw.org.au/publication/wage-theft-the-shadow-market-empowering-migrant-workers-to-enforce-their-rights/&gt;.</w:t>
      </w:r>
    </w:p>
  </w:footnote>
  <w:footnote w:id="1214">
    <w:p w14:paraId="25C5E875" w14:textId="11A313C2" w:rsidR="00463F7C" w:rsidRPr="00A03B67" w:rsidRDefault="00463F7C" w:rsidP="00463F7C">
      <w:pPr>
        <w:pStyle w:val="FootnoteText"/>
        <w:rPr>
          <w:lang w:val="en-US"/>
        </w:rPr>
      </w:pPr>
      <w:r w:rsidRPr="00A03B67">
        <w:rPr>
          <w:rStyle w:val="FootnoteReference"/>
        </w:rPr>
        <w:footnoteRef/>
      </w:r>
      <w:r w:rsidRPr="00A03B67">
        <w:t xml:space="preserve"> Senate Economics References Committee, Parliament of Australia, </w:t>
      </w:r>
      <w:r w:rsidRPr="00A03B67">
        <w:rPr>
          <w:i/>
          <w:iCs/>
        </w:rPr>
        <w:t>Systemic, Sustained and Shameful:</w:t>
      </w:r>
      <w:r w:rsidRPr="00A03B67">
        <w:rPr>
          <w:i/>
        </w:rPr>
        <w:t xml:space="preserve"> Unlawful Underpayment of Employees’ Remuneration</w:t>
      </w:r>
      <w:r w:rsidRPr="00A03B67">
        <w:t xml:space="preserve"> (Report, March 2022) 137 [6.</w:t>
      </w:r>
      <w:r w:rsidR="000E12F3">
        <w:t>5</w:t>
      </w:r>
      <w:r w:rsidRPr="00A03B67">
        <w:t>].</w:t>
      </w:r>
    </w:p>
  </w:footnote>
  <w:footnote w:id="1215">
    <w:p w14:paraId="3473AA0B" w14:textId="77777777" w:rsidR="00463F7C" w:rsidRPr="00A03B67" w:rsidRDefault="00463F7C" w:rsidP="00463F7C">
      <w:pPr>
        <w:pStyle w:val="FootnoteText"/>
        <w:rPr>
          <w:lang w:val="en-US"/>
        </w:rPr>
      </w:pPr>
      <w:r w:rsidRPr="00A03B67">
        <w:rPr>
          <w:rStyle w:val="FootnoteReference"/>
        </w:rPr>
        <w:footnoteRef/>
      </w:r>
      <w:r w:rsidRPr="00A03B67">
        <w:t xml:space="preserve"> Senate Economics References Committee, Parliament of Australia, </w:t>
      </w:r>
      <w:r w:rsidRPr="00A03B67">
        <w:rPr>
          <w:i/>
          <w:iCs/>
        </w:rPr>
        <w:t>Systemic, Sustained and Shameful:</w:t>
      </w:r>
      <w:r w:rsidRPr="00A03B67">
        <w:rPr>
          <w:i/>
        </w:rPr>
        <w:t xml:space="preserve"> Unlawful Underpayment of Employees’ Remuneration</w:t>
      </w:r>
      <w:r w:rsidRPr="00A03B67">
        <w:t xml:space="preserve"> (Report, March 2022) 139 [6.17].</w:t>
      </w:r>
    </w:p>
  </w:footnote>
  <w:footnote w:id="1216">
    <w:p w14:paraId="544F4428" w14:textId="77777777" w:rsidR="00463F7C" w:rsidRPr="00A03B67" w:rsidRDefault="00463F7C" w:rsidP="00463F7C">
      <w:pPr>
        <w:pStyle w:val="FootnoteText"/>
        <w:rPr>
          <w:lang w:val="en-US"/>
        </w:rPr>
      </w:pPr>
      <w:r w:rsidRPr="00A03B67">
        <w:rPr>
          <w:rStyle w:val="FootnoteReference"/>
        </w:rPr>
        <w:footnoteRef/>
      </w:r>
      <w:r w:rsidRPr="00A03B67">
        <w:t xml:space="preserve"> B Coates, T Wiltshire and T Reysenbach, </w:t>
      </w:r>
      <w:r w:rsidRPr="00A03B67">
        <w:rPr>
          <w:i/>
          <w:iCs/>
          <w:lang w:val="en-US"/>
        </w:rPr>
        <w:t>Short-changed: How to Stop the Exploitation of Migrant Workers in Australia</w:t>
      </w:r>
      <w:r w:rsidRPr="00A03B67">
        <w:rPr>
          <w:lang w:val="en-US"/>
        </w:rPr>
        <w:t xml:space="preserve"> </w:t>
      </w:r>
      <w:r w:rsidRPr="00A03B67">
        <w:t>(Report No. 2023-07, Grattan Institute, May 2023).</w:t>
      </w:r>
    </w:p>
  </w:footnote>
  <w:footnote w:id="1217">
    <w:p w14:paraId="7FF69C67" w14:textId="77777777" w:rsidR="00463F7C" w:rsidRPr="00A03B67" w:rsidRDefault="00463F7C" w:rsidP="00463F7C">
      <w:pPr>
        <w:pStyle w:val="FootnoteText"/>
      </w:pPr>
      <w:r w:rsidRPr="00A03B67">
        <w:rPr>
          <w:rStyle w:val="FootnoteReference"/>
        </w:rPr>
        <w:footnoteRef/>
      </w:r>
      <w:r w:rsidRPr="00A03B67">
        <w:t xml:space="preserve"> C Hemingway, F Yeh, L Berg and B Farbenblum, </w:t>
      </w:r>
      <w:r w:rsidRPr="00A03B67">
        <w:rPr>
          <w:i/>
          <w:iCs/>
        </w:rPr>
        <w:t xml:space="preserve">All Work, No Pay: Improving the Legal System So Migrants Can Get the Wages They Are Owed </w:t>
      </w:r>
      <w:r w:rsidRPr="00A03B67">
        <w:t>(Migrant Justice Institute, 2024).</w:t>
      </w:r>
    </w:p>
  </w:footnote>
  <w:footnote w:id="1218">
    <w:p w14:paraId="32DB0E82" w14:textId="1ACF6771" w:rsidR="00463F7C" w:rsidRPr="00A03B67" w:rsidRDefault="00463F7C" w:rsidP="00463F7C">
      <w:pPr>
        <w:pStyle w:val="FootnoteText"/>
        <w:rPr>
          <w:lang w:val="en-US"/>
        </w:rPr>
      </w:pPr>
      <w:r w:rsidRPr="00A03B67">
        <w:rPr>
          <w:rStyle w:val="FootnoteReference"/>
        </w:rPr>
        <w:footnoteRef/>
      </w:r>
      <w:r w:rsidRPr="00A03B67">
        <w:t xml:space="preserve"> </w:t>
      </w:r>
      <w:r w:rsidRPr="00A03B67">
        <w:rPr>
          <w:lang w:val="en-US"/>
        </w:rPr>
        <w:t xml:space="preserve">For further discussion of the history and an overview of the literature on underpayment and insecure work in Australia see B Ellem, CF Wright, S Clibborn, R Cooper, F Flanagan and A Veen, </w:t>
      </w:r>
      <w:r w:rsidRPr="00DC1773">
        <w:rPr>
          <w:lang w:val="en-US"/>
        </w:rPr>
        <w:t>Work and Industrial Relations Policy in Australia</w:t>
      </w:r>
      <w:r w:rsidRPr="00A03B67">
        <w:rPr>
          <w:i/>
          <w:iCs/>
          <w:lang w:val="en-US"/>
        </w:rPr>
        <w:t xml:space="preserve"> </w:t>
      </w:r>
      <w:r w:rsidRPr="00A03B67">
        <w:rPr>
          <w:lang w:val="en-US"/>
        </w:rPr>
        <w:t>(forthcoming,</w:t>
      </w:r>
      <w:r w:rsidRPr="00A03B67">
        <w:rPr>
          <w:i/>
          <w:iCs/>
          <w:lang w:val="en-US"/>
        </w:rPr>
        <w:t xml:space="preserve"> </w:t>
      </w:r>
      <w:r w:rsidRPr="00A03B67">
        <w:rPr>
          <w:lang w:val="en-US"/>
        </w:rPr>
        <w:t>Bristol University Press) Ch 9 (Policy failure: underpayment and insecure work).</w:t>
      </w:r>
    </w:p>
  </w:footnote>
  <w:footnote w:id="1219">
    <w:p w14:paraId="18C86B11" w14:textId="77777777" w:rsidR="00463F7C" w:rsidRPr="00A03B67" w:rsidRDefault="00463F7C" w:rsidP="00463F7C">
      <w:pPr>
        <w:pStyle w:val="FootnoteText"/>
        <w:rPr>
          <w:lang w:val="en-US"/>
        </w:rPr>
      </w:pPr>
      <w:r w:rsidRPr="00A03B67">
        <w:rPr>
          <w:rStyle w:val="FootnoteReference"/>
        </w:rPr>
        <w:footnoteRef/>
      </w:r>
      <w:r w:rsidRPr="00A03B67">
        <w:t xml:space="preserve"> C Hemingway, F Yeh, L Berg and B Farbenblum, </w:t>
      </w:r>
      <w:r w:rsidRPr="00A03B67">
        <w:rPr>
          <w:i/>
          <w:iCs/>
        </w:rPr>
        <w:t xml:space="preserve">All Work, No Pay: Improving the Legal System So Migrants Can Get the Wages They Are Owed </w:t>
      </w:r>
      <w:r w:rsidRPr="00A03B67">
        <w:t>(Migrant Justice Institute, 2024) 7.</w:t>
      </w:r>
    </w:p>
  </w:footnote>
  <w:footnote w:id="1220">
    <w:p w14:paraId="5BC03CD9" w14:textId="21C02308" w:rsidR="00463F7C" w:rsidRPr="00A03B67" w:rsidRDefault="00463F7C" w:rsidP="00463F7C">
      <w:pPr>
        <w:pStyle w:val="FootnoteText"/>
      </w:pPr>
      <w:r w:rsidRPr="00A03B67">
        <w:rPr>
          <w:rStyle w:val="FootnoteReference"/>
        </w:rPr>
        <w:footnoteRef/>
      </w:r>
      <w:r w:rsidRPr="00A03B67">
        <w:t xml:space="preserve"> </w:t>
      </w:r>
      <w:r w:rsidR="00110B88">
        <w:rPr>
          <w:lang w:val="en-US"/>
        </w:rPr>
        <w:t>Fair Work Commission</w:t>
      </w:r>
      <w:r w:rsidRPr="00A03B67">
        <w:rPr>
          <w:lang w:val="en-US"/>
        </w:rPr>
        <w:t xml:space="preserve">, </w:t>
      </w:r>
      <w:r w:rsidRPr="00A03B67">
        <w:rPr>
          <w:i/>
          <w:iCs/>
        </w:rPr>
        <w:t>Apply for Unfair Dismissal (Form F2)</w:t>
      </w:r>
      <w:r w:rsidRPr="00A03B67">
        <w:rPr>
          <w:lang w:val="en-US"/>
        </w:rPr>
        <w:t xml:space="preserve"> (Web Page, n.d.) &lt;</w:t>
      </w:r>
      <w:r w:rsidRPr="00A03B67">
        <w:t>https://fwc.gov.au/form/apply-unfair-dismissal-form-f2&gt;.</w:t>
      </w:r>
    </w:p>
  </w:footnote>
  <w:footnote w:id="1221">
    <w:p w14:paraId="78EB2A38" w14:textId="630CC099" w:rsidR="00463F7C" w:rsidRPr="00A03B67" w:rsidRDefault="00463F7C" w:rsidP="00463F7C">
      <w:pPr>
        <w:pStyle w:val="FootnoteText"/>
      </w:pPr>
      <w:r w:rsidRPr="00A03B67">
        <w:rPr>
          <w:rStyle w:val="FootnoteReference"/>
        </w:rPr>
        <w:footnoteRef/>
      </w:r>
      <w:r w:rsidRPr="00A03B67">
        <w:t xml:space="preserve"> </w:t>
      </w:r>
      <w:r w:rsidR="00110B88" w:rsidRPr="00110B88">
        <w:t>Federal Circuit and Family Court of Australia</w:t>
      </w:r>
      <w:r w:rsidRPr="00A03B67">
        <w:t xml:space="preserve">, </w:t>
      </w:r>
      <w:r w:rsidRPr="00A03B67">
        <w:rPr>
          <w:i/>
          <w:iCs/>
        </w:rPr>
        <w:t xml:space="preserve">Fees </w:t>
      </w:r>
      <w:r w:rsidRPr="00A03B67">
        <w:rPr>
          <w:lang w:val="en-US"/>
        </w:rPr>
        <w:t>(Web Page, n.d.) &lt;</w:t>
      </w:r>
      <w:r w:rsidRPr="00A03B67">
        <w:t>https://www.fcfcoa.gov.au/resources/fees&gt;.</w:t>
      </w:r>
    </w:p>
  </w:footnote>
  <w:footnote w:id="1222">
    <w:p w14:paraId="70BF9AEE" w14:textId="7B458D7D" w:rsidR="00463F7C" w:rsidRPr="00A03B67" w:rsidRDefault="00463F7C" w:rsidP="00463F7C">
      <w:pPr>
        <w:pStyle w:val="FootnoteText"/>
      </w:pPr>
      <w:r w:rsidRPr="00A03B67">
        <w:rPr>
          <w:rStyle w:val="FootnoteReference"/>
        </w:rPr>
        <w:footnoteRef/>
      </w:r>
      <w:r w:rsidRPr="00A03B67">
        <w:t xml:space="preserve"> </w:t>
      </w:r>
      <w:r w:rsidR="00110B88" w:rsidRPr="00110B88">
        <w:t>Federal Circuit and Family Court of Australia</w:t>
      </w:r>
      <w:r w:rsidRPr="00A03B67">
        <w:t xml:space="preserve">, </w:t>
      </w:r>
      <w:r w:rsidRPr="00A03B67">
        <w:rPr>
          <w:i/>
          <w:iCs/>
        </w:rPr>
        <w:t xml:space="preserve">Application for Exemption from Paying Court Fees </w:t>
      </w:r>
      <w:r w:rsidRPr="00A03B67">
        <w:rPr>
          <w:rFonts w:ascii="Symbol" w:eastAsia="Symbol" w:hAnsi="Symbol" w:cs="Symbol"/>
          <w:i/>
          <w:iCs/>
        </w:rPr>
        <w:t>-</w:t>
      </w:r>
      <w:r w:rsidRPr="00A03B67">
        <w:rPr>
          <w:i/>
          <w:iCs/>
        </w:rPr>
        <w:t xml:space="preserve">  General (General Federal Law) </w:t>
      </w:r>
      <w:r w:rsidRPr="00A03B67">
        <w:rPr>
          <w:lang w:val="en-US"/>
        </w:rPr>
        <w:t>(Web Page, n.d.) &lt;</w:t>
      </w:r>
      <w:r w:rsidRPr="00A03B67">
        <w:t xml:space="preserve">https://www.fcfcoa.gov.au/gfl/forms/app-exemption-fees-general&gt;; </w:t>
      </w:r>
      <w:r w:rsidRPr="00A03B67">
        <w:rPr>
          <w:lang w:val="en-US"/>
        </w:rPr>
        <w:t xml:space="preserve">FWC, </w:t>
      </w:r>
      <w:r w:rsidRPr="00A03B67">
        <w:rPr>
          <w:i/>
          <w:iCs/>
        </w:rPr>
        <w:t>Ask to Waive an Application Fee (Form F80)</w:t>
      </w:r>
      <w:r w:rsidRPr="00A03B67" w:rsidDel="007D2801">
        <w:t xml:space="preserve"> </w:t>
      </w:r>
      <w:r w:rsidRPr="00A03B67">
        <w:rPr>
          <w:lang w:val="en-US"/>
        </w:rPr>
        <w:t>(Web Page, n.d.) &lt;https://fwc.gov.au/apply-or-lodge/form/ask-waive-application-fee-form-f80&gt;.</w:t>
      </w:r>
    </w:p>
  </w:footnote>
  <w:footnote w:id="1223">
    <w:p w14:paraId="01A78E95" w14:textId="1FF42ECB" w:rsidR="00463F7C" w:rsidRDefault="00463F7C" w:rsidP="00463F7C">
      <w:pPr>
        <w:pStyle w:val="FootnoteText"/>
      </w:pPr>
      <w:r>
        <w:rPr>
          <w:rStyle w:val="FootnoteReference"/>
        </w:rPr>
        <w:footnoteRef/>
      </w:r>
      <w:r>
        <w:t xml:space="preserve"> </w:t>
      </w:r>
      <w:r w:rsidR="00F11064">
        <w:t xml:space="preserve">Department of Employment and Workplace Relations, </w:t>
      </w:r>
      <w:r w:rsidRPr="00DC1773">
        <w:rPr>
          <w:i/>
        </w:rPr>
        <w:t xml:space="preserve">Review of the Fair Work Act Small Claims Procedure </w:t>
      </w:r>
      <w:r w:rsidR="00F11064">
        <w:t xml:space="preserve">(Report, 2024) </w:t>
      </w:r>
      <w:r>
        <w:t>13</w:t>
      </w:r>
      <w:r w:rsidR="00F11064">
        <w:t>.</w:t>
      </w:r>
    </w:p>
  </w:footnote>
  <w:footnote w:id="1224">
    <w:p w14:paraId="14158FD2" w14:textId="1160825A" w:rsidR="00463F7C" w:rsidRDefault="00463F7C" w:rsidP="00463F7C">
      <w:pPr>
        <w:pStyle w:val="FootnoteText"/>
      </w:pPr>
      <w:r>
        <w:rPr>
          <w:rStyle w:val="FootnoteReference"/>
        </w:rPr>
        <w:footnoteRef/>
      </w:r>
      <w:r>
        <w:t xml:space="preserve"> </w:t>
      </w:r>
      <w:r w:rsidR="00F11064">
        <w:t xml:space="preserve">Department of Employment and Workplace Relations, </w:t>
      </w:r>
      <w:r w:rsidR="00F11064" w:rsidRPr="00246E35">
        <w:rPr>
          <w:i/>
          <w:iCs/>
        </w:rPr>
        <w:t xml:space="preserve">Review of the Fair Work Act Small Claims Procedure </w:t>
      </w:r>
      <w:r w:rsidR="00F11064">
        <w:t xml:space="preserve">(Report, 2024) </w:t>
      </w:r>
      <w:r>
        <w:t>20.</w:t>
      </w:r>
    </w:p>
  </w:footnote>
  <w:footnote w:id="1225">
    <w:p w14:paraId="1A3B2CC8" w14:textId="03E91A82" w:rsidR="00463F7C" w:rsidRPr="00A03B67" w:rsidRDefault="00463F7C" w:rsidP="00463F7C">
      <w:pPr>
        <w:pStyle w:val="FootnoteText"/>
      </w:pPr>
      <w:r w:rsidRPr="00A03B67">
        <w:rPr>
          <w:rStyle w:val="FootnoteReference"/>
        </w:rPr>
        <w:footnoteRef/>
      </w:r>
      <w:r w:rsidRPr="00A03B67">
        <w:t xml:space="preserve"> </w:t>
      </w:r>
      <w:r w:rsidR="00110B88">
        <w:t>Australian Council of Trade Unions (</w:t>
      </w:r>
      <w:r w:rsidRPr="00A03B67">
        <w:t>ACTU</w:t>
      </w:r>
      <w:r w:rsidR="00110B88">
        <w:t>)</w:t>
      </w:r>
      <w:r w:rsidRPr="00A03B67">
        <w:t xml:space="preserve"> submission, 101.</w:t>
      </w:r>
    </w:p>
  </w:footnote>
  <w:footnote w:id="1226">
    <w:p w14:paraId="6B31AA31" w14:textId="77777777" w:rsidR="00463F7C" w:rsidRPr="00A03B67" w:rsidRDefault="00463F7C" w:rsidP="00463F7C">
      <w:pPr>
        <w:pStyle w:val="FootnoteText"/>
        <w:rPr>
          <w:lang w:val="en-US"/>
        </w:rPr>
      </w:pPr>
      <w:r w:rsidRPr="00A03B67">
        <w:rPr>
          <w:rStyle w:val="FootnoteReference"/>
        </w:rPr>
        <w:footnoteRef/>
      </w:r>
      <w:r w:rsidRPr="00A03B67">
        <w:t xml:space="preserve"> </w:t>
      </w:r>
      <w:r w:rsidRPr="00A03B67">
        <w:rPr>
          <w:lang w:val="en-US"/>
        </w:rPr>
        <w:t>According to the ACTU, the HSU has multiple small claims underway, one for over $40,000 and another for around $80,000 (</w:t>
      </w:r>
      <w:r w:rsidRPr="00A03B67">
        <w:t>ACTU submission, 101)</w:t>
      </w:r>
      <w:r w:rsidRPr="00A03B67">
        <w:rPr>
          <w:lang w:val="en-US"/>
        </w:rPr>
        <w:t>.</w:t>
      </w:r>
    </w:p>
  </w:footnote>
  <w:footnote w:id="1227">
    <w:p w14:paraId="6B5AFE77" w14:textId="77777777" w:rsidR="00463F7C" w:rsidRPr="00A03B67" w:rsidRDefault="00463F7C" w:rsidP="00463F7C">
      <w:pPr>
        <w:pStyle w:val="FootnoteText"/>
        <w:rPr>
          <w:lang w:val="en-US"/>
        </w:rPr>
      </w:pPr>
      <w:r w:rsidRPr="00A03B67">
        <w:rPr>
          <w:rStyle w:val="FootnoteReference"/>
        </w:rPr>
        <w:footnoteRef/>
      </w:r>
      <w:r w:rsidRPr="00A03B67">
        <w:t xml:space="preserve"> </w:t>
      </w:r>
      <w:r w:rsidRPr="00A03B67">
        <w:rPr>
          <w:lang w:val="en-US"/>
        </w:rPr>
        <w:t>Ai Group</w:t>
      </w:r>
      <w:r w:rsidRPr="00A03B67">
        <w:t xml:space="preserve"> submission, </w:t>
      </w:r>
      <w:r w:rsidRPr="00A03B67">
        <w:rPr>
          <w:lang w:val="en-US"/>
        </w:rPr>
        <w:t>113</w:t>
      </w:r>
      <w:r w:rsidRPr="00A03B67">
        <w:rPr>
          <w:rFonts w:ascii="Symbol" w:eastAsia="Symbol" w:hAnsi="Symbol" w:cs="Symbol"/>
          <w:lang w:val="en-US"/>
        </w:rPr>
        <w:t>-</w:t>
      </w:r>
      <w:r w:rsidRPr="00A03B67">
        <w:rPr>
          <w:lang w:val="en-US"/>
        </w:rPr>
        <w:t>114 [476]</w:t>
      </w:r>
      <w:r w:rsidRPr="00A03B67">
        <w:rPr>
          <w:rFonts w:ascii="Symbol" w:eastAsia="Symbol" w:hAnsi="Symbol" w:cs="Symbol"/>
          <w:lang w:val="en-US"/>
        </w:rPr>
        <w:t>-</w:t>
      </w:r>
      <w:r w:rsidRPr="00A03B67">
        <w:rPr>
          <w:lang w:val="en-US"/>
        </w:rPr>
        <w:t>[478].</w:t>
      </w:r>
    </w:p>
  </w:footnote>
  <w:footnote w:id="1228">
    <w:p w14:paraId="1CE1099A" w14:textId="30E529F1" w:rsidR="00463F7C" w:rsidRPr="00A03B67" w:rsidRDefault="00463F7C" w:rsidP="00463F7C">
      <w:pPr>
        <w:pStyle w:val="FootnoteText"/>
        <w:rPr>
          <w:lang w:val="en-US"/>
        </w:rPr>
      </w:pPr>
      <w:r w:rsidRPr="00A03B67">
        <w:rPr>
          <w:rStyle w:val="FootnoteReference"/>
        </w:rPr>
        <w:footnoteRef/>
      </w:r>
      <w:r w:rsidRPr="00A03B67">
        <w:t xml:space="preserve"> </w:t>
      </w:r>
      <w:r w:rsidR="00110B88">
        <w:t>Australian Chamber of Commerce and Industry (</w:t>
      </w:r>
      <w:r w:rsidRPr="00A03B67">
        <w:rPr>
          <w:lang w:val="en-US"/>
        </w:rPr>
        <w:t>ACCI</w:t>
      </w:r>
      <w:r w:rsidR="00110B88">
        <w:rPr>
          <w:lang w:val="en-US"/>
        </w:rPr>
        <w:t>)</w:t>
      </w:r>
      <w:r w:rsidRPr="00A03B67">
        <w:t xml:space="preserve"> submission, </w:t>
      </w:r>
      <w:r w:rsidRPr="00A03B67">
        <w:rPr>
          <w:lang w:val="en-US"/>
        </w:rPr>
        <w:t>93.</w:t>
      </w:r>
    </w:p>
  </w:footnote>
  <w:footnote w:id="1229">
    <w:p w14:paraId="003A21DB" w14:textId="4E228900" w:rsidR="00463F7C" w:rsidRPr="00A03B67" w:rsidRDefault="00463F7C" w:rsidP="00463F7C">
      <w:pPr>
        <w:pStyle w:val="FootnoteText"/>
        <w:rPr>
          <w:lang w:val="en-US"/>
        </w:rPr>
      </w:pPr>
      <w:r w:rsidRPr="00A03B67">
        <w:rPr>
          <w:rStyle w:val="FootnoteReference"/>
        </w:rPr>
        <w:footnoteRef/>
      </w:r>
      <w:r w:rsidRPr="00A03B67">
        <w:t xml:space="preserve"> </w:t>
      </w:r>
      <w:r w:rsidR="00110B88" w:rsidRPr="00110B88">
        <w:t xml:space="preserve">Council of Small Business Organisations Australia </w:t>
      </w:r>
      <w:r w:rsidR="00110B88">
        <w:t>(</w:t>
      </w:r>
      <w:r w:rsidRPr="00A03B67">
        <w:rPr>
          <w:lang w:val="en-US"/>
        </w:rPr>
        <w:t>COSBOA</w:t>
      </w:r>
      <w:r w:rsidR="00110B88">
        <w:rPr>
          <w:lang w:val="en-US"/>
        </w:rPr>
        <w:t>)</w:t>
      </w:r>
      <w:r w:rsidRPr="00A03B67">
        <w:t xml:space="preserve"> submission, </w:t>
      </w:r>
      <w:r w:rsidRPr="00A03B67">
        <w:rPr>
          <w:lang w:val="en-US"/>
        </w:rPr>
        <w:t>8.</w:t>
      </w:r>
    </w:p>
  </w:footnote>
  <w:footnote w:id="1230">
    <w:p w14:paraId="513177EB" w14:textId="77777777" w:rsidR="00463F7C" w:rsidRPr="00A03B67" w:rsidRDefault="00463F7C" w:rsidP="00463F7C">
      <w:pPr>
        <w:pStyle w:val="FootnoteText"/>
      </w:pPr>
      <w:r w:rsidRPr="00A03B67">
        <w:rPr>
          <w:rStyle w:val="FootnoteReference"/>
        </w:rPr>
        <w:footnoteRef/>
      </w:r>
      <w:r w:rsidRPr="00A03B67">
        <w:t xml:space="preserve"> </w:t>
      </w:r>
      <w:r w:rsidRPr="00A03B67">
        <w:rPr>
          <w:lang w:val="en-US"/>
        </w:rPr>
        <w:t xml:space="preserve">MEA </w:t>
      </w:r>
      <w:r w:rsidRPr="00A03B67">
        <w:t xml:space="preserve">submission, </w:t>
      </w:r>
      <w:r w:rsidRPr="00A03B67">
        <w:rPr>
          <w:lang w:val="en-US"/>
        </w:rPr>
        <w:t>1.</w:t>
      </w:r>
    </w:p>
  </w:footnote>
  <w:footnote w:id="1231">
    <w:p w14:paraId="71D25666" w14:textId="20FA1E42" w:rsidR="00463F7C" w:rsidRPr="00A03B67" w:rsidRDefault="00463F7C" w:rsidP="00463F7C">
      <w:pPr>
        <w:pStyle w:val="FootnoteText"/>
      </w:pPr>
      <w:r w:rsidRPr="00A03B67">
        <w:rPr>
          <w:rStyle w:val="FootnoteReference"/>
        </w:rPr>
        <w:footnoteRef/>
      </w:r>
      <w:r w:rsidRPr="00A03B67">
        <w:t xml:space="preserve"> </w:t>
      </w:r>
      <w:r w:rsidR="00110B88">
        <w:t>United Workers Union (</w:t>
      </w:r>
      <w:r w:rsidRPr="00A03B67">
        <w:rPr>
          <w:lang w:val="en-US"/>
        </w:rPr>
        <w:t>UWU</w:t>
      </w:r>
      <w:r w:rsidR="00110B88">
        <w:rPr>
          <w:lang w:val="en-US"/>
        </w:rPr>
        <w:t>)</w:t>
      </w:r>
      <w:r w:rsidRPr="00A03B67">
        <w:rPr>
          <w:lang w:val="en-US"/>
        </w:rPr>
        <w:t xml:space="preserve"> </w:t>
      </w:r>
      <w:r w:rsidRPr="00A03B67">
        <w:t xml:space="preserve">submission, </w:t>
      </w:r>
      <w:r w:rsidRPr="00A03B67">
        <w:rPr>
          <w:lang w:val="en-US"/>
        </w:rPr>
        <w:t>46.</w:t>
      </w:r>
    </w:p>
  </w:footnote>
  <w:footnote w:id="1232">
    <w:p w14:paraId="2D498217" w14:textId="77777777" w:rsidR="00463F7C" w:rsidRPr="00A03B67" w:rsidRDefault="00463F7C" w:rsidP="00463F7C">
      <w:pPr>
        <w:pStyle w:val="FootnoteText"/>
        <w:rPr>
          <w:lang w:val="en-US"/>
        </w:rPr>
      </w:pPr>
      <w:r w:rsidRPr="00A03B67">
        <w:rPr>
          <w:rStyle w:val="FootnoteReference"/>
        </w:rPr>
        <w:footnoteRef/>
      </w:r>
      <w:r w:rsidRPr="00A03B67">
        <w:t xml:space="preserve"> </w:t>
      </w:r>
      <w:r w:rsidRPr="00A03B67">
        <w:rPr>
          <w:lang w:val="en-US"/>
        </w:rPr>
        <w:t>Employment Rights Legal Service submission, 6.</w:t>
      </w:r>
    </w:p>
  </w:footnote>
  <w:footnote w:id="1233">
    <w:p w14:paraId="781069B8" w14:textId="77777777" w:rsidR="00463F7C" w:rsidRPr="00A03B67" w:rsidRDefault="00463F7C" w:rsidP="00463F7C">
      <w:pPr>
        <w:pStyle w:val="FootnoteText"/>
        <w:rPr>
          <w:lang w:val="en-US"/>
        </w:rPr>
      </w:pPr>
      <w:r w:rsidRPr="00A03B67">
        <w:rPr>
          <w:rStyle w:val="FootnoteReference"/>
        </w:rPr>
        <w:footnoteRef/>
      </w:r>
      <w:r w:rsidRPr="00A03B67">
        <w:t xml:space="preserve"> </w:t>
      </w:r>
      <w:r w:rsidRPr="00A03B67">
        <w:rPr>
          <w:lang w:val="en-US"/>
        </w:rPr>
        <w:t>Employment Rights Legal Service submission, 7.</w:t>
      </w:r>
    </w:p>
  </w:footnote>
  <w:footnote w:id="1234">
    <w:p w14:paraId="28B4AEFB" w14:textId="77777777" w:rsidR="00463F7C" w:rsidRPr="00A03B67" w:rsidRDefault="00463F7C" w:rsidP="00463F7C">
      <w:pPr>
        <w:pStyle w:val="FootnoteText"/>
      </w:pPr>
      <w:r w:rsidRPr="00A03B67">
        <w:rPr>
          <w:rStyle w:val="FootnoteReference"/>
        </w:rPr>
        <w:footnoteRef/>
      </w:r>
      <w:r w:rsidRPr="00A03B67">
        <w:t xml:space="preserve"> </w:t>
      </w:r>
      <w:r w:rsidRPr="00A03B67">
        <w:rPr>
          <w:lang w:val="en-US"/>
        </w:rPr>
        <w:t>Law Council submission, 5.</w:t>
      </w:r>
    </w:p>
  </w:footnote>
  <w:footnote w:id="1235">
    <w:p w14:paraId="36A9A5D5" w14:textId="77777777" w:rsidR="00463F7C" w:rsidRPr="00A03B67" w:rsidRDefault="00463F7C" w:rsidP="00463F7C">
      <w:pPr>
        <w:pStyle w:val="FootnoteText"/>
      </w:pPr>
      <w:r w:rsidRPr="00A03B67">
        <w:rPr>
          <w:rStyle w:val="FootnoteReference"/>
        </w:rPr>
        <w:footnoteRef/>
      </w:r>
      <w:r w:rsidRPr="00A03B67">
        <w:t xml:space="preserve"> </w:t>
      </w:r>
      <w:r w:rsidRPr="00A03B67">
        <w:rPr>
          <w:lang w:val="en-US"/>
        </w:rPr>
        <w:t>Law Council submission, 6.</w:t>
      </w:r>
    </w:p>
  </w:footnote>
  <w:footnote w:id="1236">
    <w:p w14:paraId="254B9D45" w14:textId="440B7761" w:rsidR="00463F7C" w:rsidRDefault="00463F7C" w:rsidP="00463F7C">
      <w:pPr>
        <w:pStyle w:val="FootnoteText"/>
      </w:pPr>
      <w:r>
        <w:rPr>
          <w:rStyle w:val="FootnoteReference"/>
        </w:rPr>
        <w:footnoteRef/>
      </w:r>
      <w:r>
        <w:t xml:space="preserve"> </w:t>
      </w:r>
      <w:r w:rsidR="00F11064">
        <w:t xml:space="preserve">Department of Employment and Workplace Relations, </w:t>
      </w:r>
      <w:r w:rsidR="00F11064" w:rsidRPr="00246E35">
        <w:rPr>
          <w:i/>
          <w:iCs/>
        </w:rPr>
        <w:t xml:space="preserve">Review of the Fair Work Act Small Claims Procedure </w:t>
      </w:r>
      <w:r w:rsidR="00F11064">
        <w:t xml:space="preserve">(Report, 2024) </w:t>
      </w:r>
      <w:r>
        <w:t>21.</w:t>
      </w:r>
    </w:p>
  </w:footnote>
  <w:footnote w:id="1237">
    <w:p w14:paraId="60DD1F14" w14:textId="2D312381" w:rsidR="00463F7C" w:rsidRDefault="00463F7C" w:rsidP="00463F7C">
      <w:pPr>
        <w:pStyle w:val="FootnoteText"/>
      </w:pPr>
      <w:r w:rsidRPr="00BD5AE5">
        <w:rPr>
          <w:rStyle w:val="FootnoteReference"/>
        </w:rPr>
        <w:footnoteRef/>
      </w:r>
      <w:r w:rsidRPr="00BD5AE5">
        <w:t xml:space="preserve"> </w:t>
      </w:r>
      <w:r w:rsidR="00F11064">
        <w:t xml:space="preserve">Department of Employment and Workplace Relations, </w:t>
      </w:r>
      <w:r w:rsidR="00F11064" w:rsidRPr="00246E35">
        <w:rPr>
          <w:i/>
          <w:iCs/>
        </w:rPr>
        <w:t xml:space="preserve">Review of the Fair Work Act Small Claims Procedure </w:t>
      </w:r>
      <w:r w:rsidR="00F11064">
        <w:t>(Report, 2024) r</w:t>
      </w:r>
      <w:r w:rsidRPr="00BD5AE5">
        <w:t>ecommendation 11 (</w:t>
      </w:r>
      <w:r w:rsidR="00F11064">
        <w:t>‘</w:t>
      </w:r>
      <w:r w:rsidRPr="00BD5AE5">
        <w:t>Noting differing views about the potentially complementary nature of extending small claims jurisdiction to a tribunal and establishing an industrial court, it is recommended that Government consider these options further and determine which option, if any, to pursue. In progressing the selected policy, stakeholder feedback, including that received as part of the Small Claims Review, should be considered</w:t>
      </w:r>
      <w:r w:rsidR="00F11064">
        <w:t>’</w:t>
      </w:r>
      <w:r w:rsidRPr="00BD5AE5">
        <w:t>) has not expressly reiterated in light of feedback from stakeholders about the scope of the Review.</w:t>
      </w:r>
    </w:p>
  </w:footnote>
  <w:footnote w:id="1238">
    <w:p w14:paraId="1DFE3941" w14:textId="14E4D7BB" w:rsidR="00463F7C" w:rsidRDefault="00463F7C" w:rsidP="00463F7C">
      <w:pPr>
        <w:pStyle w:val="FootnoteText"/>
      </w:pPr>
      <w:r>
        <w:rPr>
          <w:rStyle w:val="FootnoteReference"/>
        </w:rPr>
        <w:footnoteRef/>
      </w:r>
      <w:r>
        <w:t xml:space="preserve"> ACCI submission in response to </w:t>
      </w:r>
      <w:r w:rsidR="00F11064">
        <w:t>d</w:t>
      </w:r>
      <w:r>
        <w:t xml:space="preserve">raft </w:t>
      </w:r>
      <w:r w:rsidR="00F11064">
        <w:t>r</w:t>
      </w:r>
      <w:r>
        <w:t>eport, 30</w:t>
      </w:r>
      <w:r w:rsidR="00F11064">
        <w:t xml:space="preserve"> [</w:t>
      </w:r>
      <w:r>
        <w:t>80</w:t>
      </w:r>
      <w:r w:rsidR="00F11064">
        <w:t>]</w:t>
      </w:r>
      <w:r>
        <w:t>.</w:t>
      </w:r>
    </w:p>
  </w:footnote>
  <w:footnote w:id="1239">
    <w:p w14:paraId="3CE7372C" w14:textId="14A1C736" w:rsidR="00463F7C" w:rsidRDefault="00463F7C" w:rsidP="00463F7C">
      <w:pPr>
        <w:pStyle w:val="FootnoteText"/>
      </w:pPr>
      <w:r>
        <w:rPr>
          <w:rStyle w:val="FootnoteReference"/>
        </w:rPr>
        <w:footnoteRef/>
      </w:r>
      <w:r>
        <w:t xml:space="preserve"> Ai Group submission in response to </w:t>
      </w:r>
      <w:r w:rsidR="00F11064">
        <w:t>d</w:t>
      </w:r>
      <w:r>
        <w:t xml:space="preserve">raft </w:t>
      </w:r>
      <w:r w:rsidR="00F11064">
        <w:t>r</w:t>
      </w:r>
      <w:r>
        <w:t>eport, 73</w:t>
      </w:r>
      <w:r w:rsidR="00F11064">
        <w:t xml:space="preserve"> [</w:t>
      </w:r>
      <w:r>
        <w:t>333</w:t>
      </w:r>
      <w:r w:rsidR="00F11064">
        <w:t>]</w:t>
      </w:r>
      <w:r>
        <w:t>.</w:t>
      </w:r>
    </w:p>
  </w:footnote>
  <w:footnote w:id="1240">
    <w:p w14:paraId="0D3C748B" w14:textId="52AB6240" w:rsidR="00463F7C" w:rsidRDefault="00463F7C" w:rsidP="00463F7C">
      <w:pPr>
        <w:pStyle w:val="FootnoteText"/>
      </w:pPr>
      <w:r>
        <w:rPr>
          <w:rStyle w:val="FootnoteReference"/>
        </w:rPr>
        <w:footnoteRef/>
      </w:r>
      <w:r>
        <w:t xml:space="preserve"> </w:t>
      </w:r>
      <w:r w:rsidR="005A0927" w:rsidRPr="005A0927">
        <w:t xml:space="preserve">Chamber of Commerce and Industry of Western Australia </w:t>
      </w:r>
      <w:r w:rsidR="005A0927">
        <w:t>(</w:t>
      </w:r>
      <w:r>
        <w:t>CCIWA</w:t>
      </w:r>
      <w:r w:rsidR="005A0927">
        <w:t>)</w:t>
      </w:r>
      <w:r>
        <w:t xml:space="preserve"> submission in response to </w:t>
      </w:r>
      <w:r w:rsidR="00F11064">
        <w:t>d</w:t>
      </w:r>
      <w:r>
        <w:t xml:space="preserve">raft </w:t>
      </w:r>
      <w:r w:rsidR="00F11064">
        <w:t>r</w:t>
      </w:r>
      <w:r>
        <w:t>eport, 7</w:t>
      </w:r>
      <w:r w:rsidR="00F11064">
        <w:rPr>
          <w:rFonts w:ascii="Symbol" w:eastAsia="Symbol" w:hAnsi="Symbol" w:cs="Symbol"/>
        </w:rPr>
        <w:t>-</w:t>
      </w:r>
      <w:r>
        <w:t>8.</w:t>
      </w:r>
    </w:p>
  </w:footnote>
  <w:footnote w:id="1241">
    <w:p w14:paraId="634FBF00" w14:textId="5E71072A" w:rsidR="00463F7C" w:rsidRDefault="00463F7C" w:rsidP="00463F7C">
      <w:pPr>
        <w:pStyle w:val="FootnoteText"/>
      </w:pPr>
      <w:r>
        <w:rPr>
          <w:rStyle w:val="FootnoteReference"/>
        </w:rPr>
        <w:footnoteRef/>
      </w:r>
      <w:r>
        <w:t xml:space="preserve"> </w:t>
      </w:r>
      <w:r w:rsidR="005A0927" w:rsidRPr="005A0927">
        <w:t xml:space="preserve">Master Grocers Australia </w:t>
      </w:r>
      <w:r w:rsidR="005A0927">
        <w:t>(</w:t>
      </w:r>
      <w:r>
        <w:t>MGA</w:t>
      </w:r>
      <w:r w:rsidR="005A0927">
        <w:t>)</w:t>
      </w:r>
      <w:r>
        <w:t xml:space="preserve"> submission in response to </w:t>
      </w:r>
      <w:r w:rsidR="00F11064">
        <w:t>d</w:t>
      </w:r>
      <w:r>
        <w:t xml:space="preserve">raft </w:t>
      </w:r>
      <w:r w:rsidR="00F11064">
        <w:t>r</w:t>
      </w:r>
      <w:r>
        <w:t>eport, 8</w:t>
      </w:r>
      <w:r w:rsidR="00F11064">
        <w:t xml:space="preserve"> [</w:t>
      </w:r>
      <w:r>
        <w:t>26</w:t>
      </w:r>
      <w:r w:rsidR="00F11064">
        <w:t>]</w:t>
      </w:r>
      <w:r>
        <w:t>.</w:t>
      </w:r>
    </w:p>
  </w:footnote>
  <w:footnote w:id="1242">
    <w:p w14:paraId="514617F8" w14:textId="5D180DC9" w:rsidR="00A84762" w:rsidRDefault="00A84762" w:rsidP="00A84762">
      <w:pPr>
        <w:pStyle w:val="FootnoteText"/>
      </w:pPr>
      <w:r>
        <w:rPr>
          <w:rStyle w:val="FootnoteReference"/>
        </w:rPr>
        <w:footnoteRef/>
      </w:r>
      <w:r>
        <w:t xml:space="preserve"> CCIWA submission in response to </w:t>
      </w:r>
      <w:r w:rsidR="00F11064">
        <w:t>d</w:t>
      </w:r>
      <w:r>
        <w:t xml:space="preserve">raft </w:t>
      </w:r>
      <w:r w:rsidR="00F11064">
        <w:t>r</w:t>
      </w:r>
      <w:r>
        <w:t>eport, 7.</w:t>
      </w:r>
    </w:p>
  </w:footnote>
  <w:footnote w:id="1243">
    <w:p w14:paraId="36FD789B" w14:textId="7AC48EA6" w:rsidR="00463F7C" w:rsidRDefault="00463F7C" w:rsidP="00463F7C">
      <w:pPr>
        <w:pStyle w:val="FootnoteText"/>
      </w:pPr>
      <w:r>
        <w:rPr>
          <w:rStyle w:val="FootnoteReference"/>
        </w:rPr>
        <w:footnoteRef/>
      </w:r>
      <w:r>
        <w:t xml:space="preserve"> MGA submission in response to </w:t>
      </w:r>
      <w:r w:rsidR="00F11064">
        <w:t>d</w:t>
      </w:r>
      <w:r>
        <w:t xml:space="preserve">raft </w:t>
      </w:r>
      <w:r w:rsidR="00F11064">
        <w:t>r</w:t>
      </w:r>
      <w:r>
        <w:t>eport, 8</w:t>
      </w:r>
      <w:r w:rsidDel="00F11064">
        <w:t xml:space="preserve"> </w:t>
      </w:r>
      <w:r w:rsidR="00F11064">
        <w:t>[</w:t>
      </w:r>
      <w:r>
        <w:t>31</w:t>
      </w:r>
      <w:r w:rsidR="00F11064">
        <w:t>]</w:t>
      </w:r>
      <w:r>
        <w:t>.</w:t>
      </w:r>
    </w:p>
  </w:footnote>
  <w:footnote w:id="1244">
    <w:p w14:paraId="3508B2F8" w14:textId="34606DF1" w:rsidR="00463F7C" w:rsidRDefault="00463F7C" w:rsidP="00463F7C">
      <w:pPr>
        <w:pStyle w:val="FootnoteText"/>
      </w:pPr>
      <w:r>
        <w:rPr>
          <w:rStyle w:val="FootnoteReference"/>
        </w:rPr>
        <w:footnoteRef/>
      </w:r>
      <w:r>
        <w:t xml:space="preserve"> CCIWA submission in response to </w:t>
      </w:r>
      <w:r w:rsidR="00F11064">
        <w:t>d</w:t>
      </w:r>
      <w:r>
        <w:t xml:space="preserve">raft </w:t>
      </w:r>
      <w:r w:rsidR="00F11064">
        <w:t>r</w:t>
      </w:r>
      <w:r>
        <w:t>eport, 7</w:t>
      </w:r>
      <w:r w:rsidR="00F11064">
        <w:rPr>
          <w:rFonts w:ascii="Symbol" w:eastAsia="Symbol" w:hAnsi="Symbol" w:cs="Symbol"/>
        </w:rPr>
        <w:t>-</w:t>
      </w:r>
      <w:r>
        <w:t>8.</w:t>
      </w:r>
    </w:p>
  </w:footnote>
  <w:footnote w:id="1245">
    <w:p w14:paraId="29C693B6" w14:textId="7508846B" w:rsidR="00463F7C" w:rsidRDefault="00463F7C" w:rsidP="00463F7C">
      <w:pPr>
        <w:pStyle w:val="FootnoteText"/>
      </w:pPr>
      <w:r>
        <w:rPr>
          <w:rStyle w:val="FootnoteReference"/>
        </w:rPr>
        <w:footnoteRef/>
      </w:r>
      <w:r>
        <w:t xml:space="preserve"> Ai Group submission in response to </w:t>
      </w:r>
      <w:r w:rsidR="00F11064">
        <w:t>d</w:t>
      </w:r>
      <w:r>
        <w:t xml:space="preserve">raft </w:t>
      </w:r>
      <w:r w:rsidR="00F11064">
        <w:t>r</w:t>
      </w:r>
      <w:r>
        <w:t>eport, 73</w:t>
      </w:r>
      <w:r w:rsidR="00F11064">
        <w:t xml:space="preserve"> [</w:t>
      </w:r>
      <w:r>
        <w:t>335</w:t>
      </w:r>
      <w:r w:rsidR="00F11064">
        <w:t>]</w:t>
      </w:r>
      <w:r>
        <w:t>.</w:t>
      </w:r>
    </w:p>
  </w:footnote>
  <w:footnote w:id="1246">
    <w:p w14:paraId="421D68C3" w14:textId="5618946F" w:rsidR="00463F7C" w:rsidRDefault="00463F7C" w:rsidP="00463F7C">
      <w:pPr>
        <w:pStyle w:val="FootnoteText"/>
      </w:pPr>
      <w:r>
        <w:rPr>
          <w:rStyle w:val="FootnoteReference"/>
        </w:rPr>
        <w:footnoteRef/>
      </w:r>
      <w:r>
        <w:t xml:space="preserve"> </w:t>
      </w:r>
      <w:r w:rsidR="00F11064">
        <w:t xml:space="preserve">See </w:t>
      </w:r>
      <w:r>
        <w:t xml:space="preserve">e.g. Ai Group submission in response to </w:t>
      </w:r>
      <w:r w:rsidR="00F11064">
        <w:t>d</w:t>
      </w:r>
      <w:r>
        <w:t xml:space="preserve">raft </w:t>
      </w:r>
      <w:r w:rsidR="00F11064">
        <w:t>r</w:t>
      </w:r>
      <w:r>
        <w:t>eport, 73</w:t>
      </w:r>
      <w:r w:rsidR="00F11064">
        <w:t xml:space="preserve"> [</w:t>
      </w:r>
      <w:r>
        <w:t>337</w:t>
      </w:r>
      <w:r w:rsidR="00F11064">
        <w:t>]</w:t>
      </w:r>
      <w:r>
        <w:t>.</w:t>
      </w:r>
    </w:p>
  </w:footnote>
  <w:footnote w:id="1247">
    <w:p w14:paraId="7D48CACA" w14:textId="77777777" w:rsidR="00463F7C" w:rsidRPr="00A03B67" w:rsidRDefault="00463F7C" w:rsidP="00463F7C">
      <w:pPr>
        <w:pStyle w:val="FootnoteText"/>
      </w:pPr>
      <w:r w:rsidRPr="00A03B67">
        <w:rPr>
          <w:rStyle w:val="FootnoteReference"/>
        </w:rPr>
        <w:footnoteRef/>
      </w:r>
      <w:r w:rsidRPr="00A03B67">
        <w:t xml:space="preserve"> C Hemingway, F Yeh, L Berg and B Farbenblum, </w:t>
      </w:r>
      <w:r w:rsidRPr="00A03B67">
        <w:rPr>
          <w:i/>
          <w:iCs/>
        </w:rPr>
        <w:t xml:space="preserve">All Work, No Pay: Improving the Legal System So Migrants Can Get the Wages They Are Owed </w:t>
      </w:r>
      <w:r w:rsidRPr="00A03B67">
        <w:t>(Migrant Justice Institute, 2024) 7.</w:t>
      </w:r>
    </w:p>
  </w:footnote>
  <w:footnote w:id="1248">
    <w:p w14:paraId="6C98B24C" w14:textId="41ABD3E6" w:rsidR="00463F7C" w:rsidRDefault="00463F7C" w:rsidP="00463F7C">
      <w:pPr>
        <w:pStyle w:val="FootnoteText"/>
      </w:pPr>
      <w:r>
        <w:rPr>
          <w:rStyle w:val="FootnoteReference"/>
        </w:rPr>
        <w:footnoteRef/>
      </w:r>
      <w:r>
        <w:t xml:space="preserve"> </w:t>
      </w:r>
      <w:r w:rsidRPr="00A03B67">
        <w:t xml:space="preserve">Department of Employment and Workplace Relations, </w:t>
      </w:r>
      <w:r w:rsidRPr="00DC1773">
        <w:rPr>
          <w:i/>
        </w:rPr>
        <w:t>Review of the Fair Work Act Small Claims Procedure</w:t>
      </w:r>
      <w:r w:rsidR="00F11064">
        <w:t xml:space="preserve"> (Report, 2024) </w:t>
      </w:r>
      <w:r>
        <w:t>27</w:t>
      </w:r>
      <w:r w:rsidRPr="00A03B67">
        <w:t>.</w:t>
      </w:r>
    </w:p>
  </w:footnote>
  <w:footnote w:id="1249">
    <w:p w14:paraId="38FD04D2" w14:textId="77777777" w:rsidR="00463F7C" w:rsidRPr="00A03B67" w:rsidRDefault="00463F7C" w:rsidP="00463F7C">
      <w:pPr>
        <w:pStyle w:val="FootnoteText"/>
        <w:rPr>
          <w:lang w:val="en-US"/>
        </w:rPr>
      </w:pPr>
      <w:r w:rsidRPr="00A03B67">
        <w:rPr>
          <w:rStyle w:val="FootnoteReference"/>
        </w:rPr>
        <w:footnoteRef/>
      </w:r>
      <w:r w:rsidRPr="00A03B67">
        <w:t xml:space="preserve"> </w:t>
      </w:r>
      <w:r w:rsidRPr="00A03B67">
        <w:rPr>
          <w:i/>
          <w:iCs/>
        </w:rPr>
        <w:t>Fair Work Act 2009</w:t>
      </w:r>
      <w:r w:rsidRPr="00A03B67">
        <w:t xml:space="preserve"> (Cth) </w:t>
      </w:r>
      <w:r w:rsidRPr="00A03B67">
        <w:rPr>
          <w:lang w:val="en-US"/>
        </w:rPr>
        <w:t>s 528.</w:t>
      </w:r>
    </w:p>
  </w:footnote>
  <w:footnote w:id="1250">
    <w:p w14:paraId="5DAEC5D4" w14:textId="77777777" w:rsidR="00463F7C" w:rsidRPr="00A03B67" w:rsidRDefault="00463F7C" w:rsidP="00463F7C">
      <w:pPr>
        <w:pStyle w:val="FootnoteText"/>
      </w:pPr>
      <w:r w:rsidRPr="00A03B67">
        <w:rPr>
          <w:rStyle w:val="FootnoteReference"/>
        </w:rPr>
        <w:footnoteRef/>
      </w:r>
      <w:r w:rsidRPr="00A03B67">
        <w:t xml:space="preserve"> </w:t>
      </w:r>
      <w:r w:rsidRPr="00A03B67">
        <w:rPr>
          <w:i/>
          <w:iCs/>
        </w:rPr>
        <w:t>Fair Work Act 2009</w:t>
      </w:r>
      <w:r w:rsidRPr="00A03B67">
        <w:t xml:space="preserve"> (Cth) s 716(1)(fa).</w:t>
      </w:r>
    </w:p>
  </w:footnote>
  <w:footnote w:id="1251">
    <w:p w14:paraId="14E8322E" w14:textId="77777777" w:rsidR="00463F7C" w:rsidRPr="00A03B67" w:rsidRDefault="00463F7C" w:rsidP="00463F7C">
      <w:pPr>
        <w:pStyle w:val="FootnoteText"/>
      </w:pPr>
      <w:r w:rsidRPr="00A03B67">
        <w:rPr>
          <w:rStyle w:val="FootnoteReference"/>
        </w:rPr>
        <w:footnoteRef/>
      </w:r>
      <w:r w:rsidRPr="00A03B67">
        <w:t xml:space="preserve"> Revised </w:t>
      </w:r>
      <w:r w:rsidRPr="00A03B67">
        <w:rPr>
          <w:lang w:val="en-US"/>
        </w:rPr>
        <w:t xml:space="preserve">Explanatory Memorandum, Fair Work Legislation Amendment (Secure Jobs, Better Pay) Bill 2022 (Cth), </w:t>
      </w:r>
      <w:r w:rsidRPr="00A03B67">
        <w:t>207.</w:t>
      </w:r>
    </w:p>
  </w:footnote>
  <w:footnote w:id="1252">
    <w:p w14:paraId="2AD9D239" w14:textId="77777777" w:rsidR="00463F7C" w:rsidRPr="00A03B67" w:rsidRDefault="00463F7C" w:rsidP="00463F7C">
      <w:pPr>
        <w:pStyle w:val="FootnoteText"/>
      </w:pPr>
      <w:r w:rsidRPr="00A03B67">
        <w:rPr>
          <w:rStyle w:val="FootnoteReference"/>
        </w:rPr>
        <w:footnoteRef/>
      </w:r>
      <w:r w:rsidRPr="00A03B67">
        <w:t xml:space="preserve"> Revised </w:t>
      </w:r>
      <w:r w:rsidRPr="00A03B67">
        <w:rPr>
          <w:lang w:val="en-US"/>
        </w:rPr>
        <w:t xml:space="preserve">Explanatory Memorandum, Fair Work Legislation Amendment (Secure Jobs, Better Pay) Bill 2022 (Cth), </w:t>
      </w:r>
      <w:r w:rsidRPr="00A03B67">
        <w:t>207.</w:t>
      </w:r>
    </w:p>
  </w:footnote>
  <w:footnote w:id="1253">
    <w:p w14:paraId="0162A170" w14:textId="77777777" w:rsidR="00463F7C" w:rsidRDefault="00463F7C" w:rsidP="00463F7C">
      <w:pPr>
        <w:pStyle w:val="FootnoteText"/>
      </w:pPr>
      <w:r>
        <w:rPr>
          <w:rStyle w:val="FootnoteReference"/>
        </w:rPr>
        <w:footnoteRef/>
      </w:r>
      <w:r>
        <w:t xml:space="preserve"> Item 2 of the </w:t>
      </w:r>
      <w:r w:rsidRPr="00E26FFA">
        <w:rPr>
          <w:i/>
          <w:iCs/>
          <w:lang w:val="en-US"/>
        </w:rPr>
        <w:t xml:space="preserve">Fair Work Legislation Amendment (Secure Jobs, Better Pay) Act 2022 </w:t>
      </w:r>
      <w:r w:rsidRPr="00E26FFA">
        <w:rPr>
          <w:lang w:val="en-US"/>
        </w:rPr>
        <w:t>(Cth)</w:t>
      </w:r>
      <w:r>
        <w:rPr>
          <w:lang w:val="en-US"/>
        </w:rPr>
        <w:t>.</w:t>
      </w:r>
    </w:p>
  </w:footnote>
  <w:footnote w:id="1254">
    <w:p w14:paraId="3FD7F92A" w14:textId="77777777" w:rsidR="00463F7C" w:rsidRPr="00A03B67" w:rsidRDefault="00463F7C" w:rsidP="00463F7C">
      <w:pPr>
        <w:pStyle w:val="FootnoteText"/>
      </w:pPr>
      <w:r w:rsidRPr="00A03B67">
        <w:rPr>
          <w:rStyle w:val="FootnoteReference"/>
        </w:rPr>
        <w:footnoteRef/>
      </w:r>
      <w:r w:rsidRPr="00A03B67">
        <w:t xml:space="preserve"> </w:t>
      </w:r>
      <w:r w:rsidRPr="00A03B67">
        <w:rPr>
          <w:lang w:val="en-US"/>
        </w:rPr>
        <w:t xml:space="preserve">FWO, </w:t>
      </w:r>
      <w:r w:rsidRPr="00A03B67">
        <w:rPr>
          <w:i/>
          <w:iCs/>
        </w:rPr>
        <w:t>Pay Secrecy, Job Ads and Flexible Work</w:t>
      </w:r>
      <w:r w:rsidRPr="00A03B67">
        <w:rPr>
          <w:lang w:val="en-US"/>
        </w:rPr>
        <w:t xml:space="preserve"> (Web Page, n.d.) &lt;</w:t>
      </w:r>
      <w:r w:rsidRPr="00A03B67">
        <w:t>https://www.fairwork.gov.au/about-us/workplace-laws/legislation-changes/secure-jobs-better-pay/pay-secrecy-job-ads-and-flexible-work#job-ads&gt;.</w:t>
      </w:r>
    </w:p>
  </w:footnote>
  <w:footnote w:id="1255">
    <w:p w14:paraId="5B7E91EE" w14:textId="2401D42A" w:rsidR="00463F7C" w:rsidRPr="00A03B67" w:rsidRDefault="00463F7C" w:rsidP="00463F7C">
      <w:pPr>
        <w:pStyle w:val="FootnoteText"/>
        <w:rPr>
          <w:lang w:val="en-US"/>
        </w:rPr>
      </w:pPr>
      <w:r w:rsidRPr="00A03B67">
        <w:rPr>
          <w:rStyle w:val="FootnoteReference"/>
        </w:rPr>
        <w:footnoteRef/>
      </w:r>
      <w:r w:rsidRPr="00A03B67">
        <w:t xml:space="preserve"> Revised Explanatory Memorandum, Fair Work Legislation Amendment (Secure Jobs, Better Pay) Bill 2022 (Cth),</w:t>
      </w:r>
      <w:r w:rsidRPr="00A03B67">
        <w:rPr>
          <w:lang w:val="en-US"/>
        </w:rPr>
        <w:t xml:space="preserve"> xxxi [156].</w:t>
      </w:r>
    </w:p>
  </w:footnote>
  <w:footnote w:id="1256">
    <w:p w14:paraId="21B13C51" w14:textId="0271B45A" w:rsidR="00463F7C" w:rsidRPr="00A03B67" w:rsidRDefault="00463F7C" w:rsidP="00463F7C">
      <w:pPr>
        <w:pStyle w:val="FootnoteText"/>
        <w:rPr>
          <w:lang w:val="en-US"/>
        </w:rPr>
      </w:pPr>
      <w:r w:rsidRPr="00A03B67">
        <w:rPr>
          <w:rStyle w:val="FootnoteReference"/>
        </w:rPr>
        <w:footnoteRef/>
      </w:r>
      <w:r w:rsidRPr="00A03B67">
        <w:t xml:space="preserve"> </w:t>
      </w:r>
      <w:r w:rsidRPr="00A03B67">
        <w:rPr>
          <w:lang w:val="en-US"/>
        </w:rPr>
        <w:t xml:space="preserve">This recommendation was accepted by the </w:t>
      </w:r>
      <w:r w:rsidR="00A8411B" w:rsidRPr="00A03B67">
        <w:rPr>
          <w:lang w:val="en-US"/>
        </w:rPr>
        <w:t>Liberal</w:t>
      </w:r>
      <w:r w:rsidRPr="00A03B67">
        <w:rPr>
          <w:rFonts w:ascii="Symbol" w:eastAsia="Symbol" w:hAnsi="Symbol" w:cs="Symbol"/>
          <w:lang w:val="en-US"/>
        </w:rPr>
        <w:t>-</w:t>
      </w:r>
      <w:r w:rsidR="00A8411B" w:rsidRPr="00A8411B">
        <w:rPr>
          <w:lang w:val="en-US"/>
        </w:rPr>
        <w:t xml:space="preserve"> </w:t>
      </w:r>
      <w:r w:rsidR="00A8411B" w:rsidRPr="00A03B67">
        <w:rPr>
          <w:lang w:val="en-US"/>
        </w:rPr>
        <w:t>National</w:t>
      </w:r>
      <w:r w:rsidR="00A8411B" w:rsidRPr="00A8411B">
        <w:rPr>
          <w:lang w:val="en-US"/>
        </w:rPr>
        <w:t xml:space="preserve"> </w:t>
      </w:r>
      <w:r w:rsidRPr="00A03B67">
        <w:rPr>
          <w:lang w:val="en-US"/>
        </w:rPr>
        <w:t>Coalition government but not legislated.</w:t>
      </w:r>
    </w:p>
  </w:footnote>
  <w:footnote w:id="1257">
    <w:p w14:paraId="2763B5A3" w14:textId="77777777" w:rsidR="00463F7C" w:rsidRPr="00A03B67" w:rsidRDefault="00463F7C" w:rsidP="00463F7C">
      <w:pPr>
        <w:pStyle w:val="FootnoteText"/>
        <w:rPr>
          <w:lang w:val="en-US"/>
        </w:rPr>
      </w:pPr>
      <w:r w:rsidRPr="00A03B67">
        <w:rPr>
          <w:rStyle w:val="FootnoteReference"/>
        </w:rPr>
        <w:footnoteRef/>
      </w:r>
      <w:r w:rsidRPr="00A03B67">
        <w:t xml:space="preserve"> </w:t>
      </w:r>
      <w:r w:rsidRPr="00A03B67">
        <w:rPr>
          <w:lang w:val="en-US"/>
        </w:rPr>
        <w:t xml:space="preserve">A Fels and D Cousins, ‘The Migrant Workers’ Taskforce and the Australian Government’s Response to Migrant Worker Wage Exploitation’ (2019) 84 </w:t>
      </w:r>
      <w:r w:rsidRPr="00A03B67">
        <w:rPr>
          <w:i/>
          <w:iCs/>
          <w:lang w:val="en-US"/>
        </w:rPr>
        <w:t>Journal of Australian Political Economy</w:t>
      </w:r>
      <w:r w:rsidRPr="00A03B67">
        <w:rPr>
          <w:lang w:val="en-US"/>
        </w:rPr>
        <w:t xml:space="preserve"> 31.</w:t>
      </w:r>
    </w:p>
  </w:footnote>
  <w:footnote w:id="1258">
    <w:p w14:paraId="373BE942" w14:textId="77777777" w:rsidR="00463F7C" w:rsidRPr="00A03B67" w:rsidRDefault="00463F7C" w:rsidP="00463F7C">
      <w:pPr>
        <w:pStyle w:val="FootnoteText"/>
      </w:pPr>
      <w:r w:rsidRPr="00A03B67">
        <w:rPr>
          <w:rStyle w:val="FootnoteReference"/>
        </w:rPr>
        <w:footnoteRef/>
      </w:r>
      <w:r w:rsidRPr="00A03B67">
        <w:t xml:space="preserve"> Senate Economics References Committee, Parliament of Australia, </w:t>
      </w:r>
      <w:r w:rsidRPr="00A03B67">
        <w:rPr>
          <w:i/>
          <w:iCs/>
        </w:rPr>
        <w:t>Systemic, Sustained and Shameful: Unlawful Underpayment of Employees’ Remuneration</w:t>
      </w:r>
      <w:r w:rsidRPr="00A03B67">
        <w:t xml:space="preserve"> (Report, March 2022) 138.</w:t>
      </w:r>
    </w:p>
  </w:footnote>
  <w:footnote w:id="1259">
    <w:p w14:paraId="107067EA" w14:textId="77777777" w:rsidR="00463F7C" w:rsidRPr="00A03B67" w:rsidRDefault="00463F7C" w:rsidP="00463F7C">
      <w:pPr>
        <w:pStyle w:val="FootnoteText"/>
      </w:pPr>
      <w:r w:rsidRPr="00A03B67">
        <w:rPr>
          <w:rStyle w:val="FootnoteReference"/>
        </w:rPr>
        <w:footnoteRef/>
      </w:r>
      <w:r w:rsidRPr="00A03B67">
        <w:t xml:space="preserve"> Senate Economics References Committee, Parliament of Australia, </w:t>
      </w:r>
      <w:r w:rsidRPr="00A03B67">
        <w:rPr>
          <w:i/>
          <w:iCs/>
        </w:rPr>
        <w:t>Systemic, Sustained and Shameful: Unlawful Underpayment of Employees’ Remuneration</w:t>
      </w:r>
      <w:r w:rsidRPr="00A03B67">
        <w:t xml:space="preserve"> (Report, March 2022) 138.</w:t>
      </w:r>
    </w:p>
  </w:footnote>
  <w:footnote w:id="1260">
    <w:p w14:paraId="434F34CE" w14:textId="4BF70E84" w:rsidR="00463F7C" w:rsidRPr="00A03B67" w:rsidRDefault="00463F7C" w:rsidP="00463F7C">
      <w:pPr>
        <w:pStyle w:val="FootnoteText"/>
        <w:rPr>
          <w:lang w:val="en-US"/>
        </w:rPr>
      </w:pPr>
      <w:r w:rsidRPr="00A03B67">
        <w:rPr>
          <w:rStyle w:val="FootnoteReference"/>
        </w:rPr>
        <w:footnoteRef/>
      </w:r>
      <w:r w:rsidRPr="00A03B67">
        <w:t xml:space="preserve"> </w:t>
      </w:r>
      <w:r w:rsidRPr="00A03B67">
        <w:rPr>
          <w:lang w:val="en-US"/>
        </w:rPr>
        <w:t xml:space="preserve">Over 7,000 job advertisements were reviewed across more than 10 industries in </w:t>
      </w:r>
      <w:r w:rsidR="00F11064">
        <w:rPr>
          <w:lang w:val="en-US"/>
        </w:rPr>
        <w:t>five</w:t>
      </w:r>
      <w:r w:rsidRPr="00A03B67">
        <w:rPr>
          <w:lang w:val="en-US"/>
        </w:rPr>
        <w:t xml:space="preserve"> main languages (Chinese, Japanese, Vietnamese, Spanish and Portuguese). (Unions NSW, </w:t>
      </w:r>
      <w:r w:rsidRPr="00A03B67">
        <w:rPr>
          <w:i/>
          <w:lang w:val="en-US"/>
        </w:rPr>
        <w:t xml:space="preserve">Wage Theft: The Shadow Market </w:t>
      </w:r>
      <w:r w:rsidRPr="00A03B67">
        <w:rPr>
          <w:rFonts w:ascii="Symbol" w:eastAsia="Symbol" w:hAnsi="Symbol" w:cs="Symbol"/>
          <w:i/>
          <w:lang w:val="en-US"/>
        </w:rPr>
        <w:t>-</w:t>
      </w:r>
      <w:r w:rsidRPr="00A03B67">
        <w:rPr>
          <w:i/>
          <w:lang w:val="en-US"/>
        </w:rPr>
        <w:t xml:space="preserve"> Empowering Migrant Workers to Enforce Their Rights</w:t>
      </w:r>
      <w:r w:rsidRPr="00A03B67">
        <w:rPr>
          <w:lang w:val="en-US"/>
        </w:rPr>
        <w:t xml:space="preserve"> (Web Page, n.d.) &lt;</w:t>
      </w:r>
      <w:r w:rsidRPr="00427046">
        <w:rPr>
          <w:lang w:val="en-US"/>
        </w:rPr>
        <w:t>https://www.unionsnsw.org.au/publication/wage-theft-the-shadow-market-empowering-migrant-workers-to-enforce-their-rights/</w:t>
      </w:r>
      <w:r w:rsidRPr="00A03B67">
        <w:t>&gt;).</w:t>
      </w:r>
    </w:p>
  </w:footnote>
  <w:footnote w:id="1261">
    <w:p w14:paraId="50A99089" w14:textId="77777777" w:rsidR="00463F7C" w:rsidRPr="00A03B67" w:rsidRDefault="00463F7C" w:rsidP="00463F7C">
      <w:pPr>
        <w:pStyle w:val="FootnoteText"/>
        <w:rPr>
          <w:lang w:val="en-US"/>
        </w:rPr>
      </w:pPr>
      <w:r w:rsidRPr="00A03B67">
        <w:rPr>
          <w:rStyle w:val="FootnoteReference"/>
        </w:rPr>
        <w:footnoteRef/>
      </w:r>
      <w:r w:rsidRPr="00A03B67">
        <w:t xml:space="preserve"> FWO, </w:t>
      </w:r>
      <w:r w:rsidRPr="00A03B67">
        <w:rPr>
          <w:i/>
        </w:rPr>
        <w:t xml:space="preserve">Job ads </w:t>
      </w:r>
      <w:r w:rsidRPr="00A03B67">
        <w:rPr>
          <w:rFonts w:ascii="Symbol" w:eastAsia="Symbol" w:hAnsi="Symbol" w:cs="Symbol"/>
          <w:i/>
        </w:rPr>
        <w:t>-</w:t>
      </w:r>
      <w:r w:rsidRPr="00A03B67">
        <w:rPr>
          <w:i/>
        </w:rPr>
        <w:t xml:space="preserve"> Fair Work Ombudsman</w:t>
      </w:r>
      <w:r w:rsidRPr="00A03B67">
        <w:t xml:space="preserve"> (Web Page, n.d.) &lt;https://www.fairwork.gov.au/starting-employment/job-ads&gt;.</w:t>
      </w:r>
    </w:p>
  </w:footnote>
  <w:footnote w:id="1262">
    <w:p w14:paraId="141ABF79" w14:textId="77777777" w:rsidR="00463F7C" w:rsidRPr="00A03B67" w:rsidRDefault="00463F7C" w:rsidP="00463F7C">
      <w:pPr>
        <w:pStyle w:val="FootnoteText"/>
        <w:rPr>
          <w:lang w:val="en-US"/>
        </w:rPr>
      </w:pPr>
      <w:r w:rsidRPr="00A03B67">
        <w:rPr>
          <w:rStyle w:val="FootnoteReference"/>
        </w:rPr>
        <w:footnoteRef/>
      </w:r>
      <w:r w:rsidRPr="00A03B67">
        <w:t xml:space="preserve"> FWO, </w:t>
      </w:r>
      <w:r w:rsidRPr="00A03B67">
        <w:rPr>
          <w:i/>
          <w:iCs/>
        </w:rPr>
        <w:t xml:space="preserve">Job ads </w:t>
      </w:r>
      <w:r w:rsidRPr="00A03B67">
        <w:rPr>
          <w:rFonts w:ascii="Symbol" w:eastAsia="Symbol" w:hAnsi="Symbol" w:cs="Symbol"/>
          <w:i/>
          <w:iCs/>
        </w:rPr>
        <w:t>-</w:t>
      </w:r>
      <w:r w:rsidRPr="00A03B67">
        <w:rPr>
          <w:i/>
          <w:iCs/>
        </w:rPr>
        <w:t xml:space="preserve"> Fair Work Ombudsman</w:t>
      </w:r>
      <w:r w:rsidRPr="00A03B67">
        <w:t xml:space="preserve"> (Web Page, n.d.) &lt;https://www.fairwork.gov.au/starting-employment/job-ads&gt;.</w:t>
      </w:r>
    </w:p>
  </w:footnote>
  <w:footnote w:id="1263">
    <w:p w14:paraId="6130476B" w14:textId="77777777" w:rsidR="00463F7C" w:rsidRPr="00A03B67" w:rsidRDefault="00463F7C" w:rsidP="00463F7C">
      <w:pPr>
        <w:pStyle w:val="FootnoteText"/>
        <w:rPr>
          <w:lang w:val="en-US"/>
        </w:rPr>
      </w:pPr>
      <w:r w:rsidRPr="00A03B67">
        <w:rPr>
          <w:rStyle w:val="FootnoteReference"/>
        </w:rPr>
        <w:footnoteRef/>
      </w:r>
      <w:r w:rsidRPr="00A03B67">
        <w:t xml:space="preserve"> FWO, </w:t>
      </w:r>
      <w:r w:rsidRPr="00A03B67">
        <w:rPr>
          <w:i/>
          <w:iCs/>
        </w:rPr>
        <w:t>The Pay and Conditions Tool</w:t>
      </w:r>
      <w:r w:rsidRPr="00A03B67">
        <w:t xml:space="preserve"> (Web Page, n.d.) &lt;https://calculate.fairwork.gov.au/FindYourAward&gt;.</w:t>
      </w:r>
    </w:p>
  </w:footnote>
  <w:footnote w:id="1264">
    <w:p w14:paraId="1430B222" w14:textId="77777777" w:rsidR="00463F7C" w:rsidRPr="00A03B67" w:rsidRDefault="00463F7C" w:rsidP="00463F7C">
      <w:pPr>
        <w:pStyle w:val="FootnoteText"/>
        <w:rPr>
          <w:lang w:val="en-US"/>
        </w:rPr>
      </w:pPr>
      <w:r w:rsidRPr="00A03B67">
        <w:rPr>
          <w:rStyle w:val="FootnoteReference"/>
        </w:rPr>
        <w:footnoteRef/>
      </w:r>
      <w:r w:rsidRPr="00A03B67">
        <w:t xml:space="preserve"> FWO, </w:t>
      </w:r>
      <w:r w:rsidRPr="00A03B67">
        <w:rPr>
          <w:i/>
          <w:iCs/>
        </w:rPr>
        <w:t>Send Us an Anonymous Tip-off</w:t>
      </w:r>
      <w:r w:rsidRPr="00A03B67">
        <w:t xml:space="preserve"> (Web Page, n.d.) &lt;https://www.fairwork.gov.au/workplace-problems/send-us-an-anonymous-tip-off&gt;.</w:t>
      </w:r>
    </w:p>
  </w:footnote>
  <w:footnote w:id="1265">
    <w:p w14:paraId="2B2E8929" w14:textId="412AEE3D" w:rsidR="00463F7C" w:rsidRPr="00A03B67" w:rsidRDefault="00463F7C" w:rsidP="00463F7C">
      <w:pPr>
        <w:pStyle w:val="FootnoteText"/>
        <w:rPr>
          <w:lang w:val="en-US"/>
        </w:rPr>
      </w:pPr>
      <w:r w:rsidRPr="00A03B67">
        <w:rPr>
          <w:rStyle w:val="FootnoteReference"/>
        </w:rPr>
        <w:footnoteRef/>
      </w:r>
      <w:r w:rsidRPr="00A03B67">
        <w:t xml:space="preserve"> </w:t>
      </w:r>
      <w:r w:rsidR="005A0927">
        <w:t>Australian Chamber of Commerce and Industry (</w:t>
      </w:r>
      <w:r w:rsidRPr="00A03B67">
        <w:rPr>
          <w:lang w:val="en-US"/>
        </w:rPr>
        <w:t>ACCI</w:t>
      </w:r>
      <w:r w:rsidR="005A0927">
        <w:rPr>
          <w:lang w:val="en-US"/>
        </w:rPr>
        <w:t>)</w:t>
      </w:r>
      <w:r w:rsidRPr="00A03B67">
        <w:t xml:space="preserve"> submission, </w:t>
      </w:r>
      <w:r w:rsidRPr="00A03B67">
        <w:rPr>
          <w:lang w:val="en-US"/>
        </w:rPr>
        <w:t>95.</w:t>
      </w:r>
    </w:p>
  </w:footnote>
  <w:footnote w:id="1266">
    <w:p w14:paraId="3350B653" w14:textId="77777777" w:rsidR="00463F7C" w:rsidRPr="00A03B67" w:rsidRDefault="00463F7C" w:rsidP="00463F7C">
      <w:pPr>
        <w:pStyle w:val="FootnoteText"/>
      </w:pPr>
      <w:r w:rsidRPr="00A03B67">
        <w:rPr>
          <w:rStyle w:val="FootnoteReference"/>
        </w:rPr>
        <w:footnoteRef/>
      </w:r>
      <w:r w:rsidRPr="00A03B67">
        <w:t xml:space="preserve"> </w:t>
      </w:r>
      <w:r w:rsidRPr="00A03B67">
        <w:rPr>
          <w:lang w:val="en-US"/>
        </w:rPr>
        <w:t>Ai Group</w:t>
      </w:r>
      <w:r w:rsidRPr="00A03B67">
        <w:t xml:space="preserve"> submission, </w:t>
      </w:r>
      <w:r w:rsidRPr="00A03B67">
        <w:rPr>
          <w:lang w:val="en-US"/>
        </w:rPr>
        <w:t>81.</w:t>
      </w:r>
    </w:p>
  </w:footnote>
  <w:footnote w:id="1267">
    <w:p w14:paraId="3A6F4C1E" w14:textId="77777777" w:rsidR="00463F7C" w:rsidRPr="00A03B67" w:rsidRDefault="00463F7C" w:rsidP="00463F7C">
      <w:pPr>
        <w:pStyle w:val="FootnoteText"/>
        <w:rPr>
          <w:lang w:val="en-US"/>
        </w:rPr>
      </w:pPr>
      <w:r w:rsidRPr="00A03B67">
        <w:rPr>
          <w:rStyle w:val="FootnoteReference"/>
        </w:rPr>
        <w:footnoteRef/>
      </w:r>
      <w:r w:rsidRPr="00A03B67">
        <w:t xml:space="preserve"> </w:t>
      </w:r>
      <w:r w:rsidRPr="00A03B67">
        <w:rPr>
          <w:lang w:val="en-US"/>
        </w:rPr>
        <w:t>Clubs Australia</w:t>
      </w:r>
      <w:r w:rsidRPr="00A03B67">
        <w:t xml:space="preserve"> submission, </w:t>
      </w:r>
      <w:r w:rsidRPr="00A03B67">
        <w:rPr>
          <w:lang w:val="en-US"/>
        </w:rPr>
        <w:t>5.</w:t>
      </w:r>
    </w:p>
  </w:footnote>
  <w:footnote w:id="1268">
    <w:p w14:paraId="5AC7FD0E" w14:textId="0FC7B584" w:rsidR="00463F7C" w:rsidRPr="00A03B67" w:rsidRDefault="00463F7C" w:rsidP="00463F7C">
      <w:pPr>
        <w:pStyle w:val="FootnoteText"/>
        <w:rPr>
          <w:lang w:val="en-US"/>
        </w:rPr>
      </w:pPr>
      <w:r w:rsidRPr="00A03B67">
        <w:rPr>
          <w:rStyle w:val="FootnoteReference"/>
        </w:rPr>
        <w:footnoteRef/>
      </w:r>
      <w:r w:rsidRPr="00A03B67">
        <w:t xml:space="preserve"> </w:t>
      </w:r>
      <w:r w:rsidRPr="00A03B67">
        <w:rPr>
          <w:lang w:val="en-US"/>
        </w:rPr>
        <w:t xml:space="preserve">Australian Retailers Association </w:t>
      </w:r>
      <w:r w:rsidR="005A0927">
        <w:rPr>
          <w:lang w:val="en-US"/>
        </w:rPr>
        <w:t xml:space="preserve">(ARA) </w:t>
      </w:r>
      <w:r w:rsidRPr="00A03B67">
        <w:t xml:space="preserve">submission, </w:t>
      </w:r>
      <w:r w:rsidRPr="00A03B67">
        <w:rPr>
          <w:lang w:val="en-US"/>
        </w:rPr>
        <w:t>13.</w:t>
      </w:r>
    </w:p>
  </w:footnote>
  <w:footnote w:id="1269">
    <w:p w14:paraId="4543D9FA" w14:textId="77777777" w:rsidR="00463F7C" w:rsidRPr="00A03B67" w:rsidRDefault="00463F7C" w:rsidP="00463F7C">
      <w:pPr>
        <w:pStyle w:val="FootnoteText"/>
      </w:pPr>
      <w:r w:rsidRPr="00A03B67">
        <w:rPr>
          <w:rStyle w:val="FootnoteReference"/>
        </w:rPr>
        <w:footnoteRef/>
      </w:r>
      <w:r w:rsidRPr="00A03B67">
        <w:t xml:space="preserve"> </w:t>
      </w:r>
      <w:r w:rsidRPr="00A03B67">
        <w:rPr>
          <w:lang w:val="en-US"/>
        </w:rPr>
        <w:t>Clubs Australia</w:t>
      </w:r>
      <w:r w:rsidRPr="00A03B67">
        <w:t xml:space="preserve"> submission, </w:t>
      </w:r>
      <w:r w:rsidRPr="00A03B67">
        <w:rPr>
          <w:lang w:val="en-US"/>
        </w:rPr>
        <w:t>5.</w:t>
      </w:r>
    </w:p>
  </w:footnote>
  <w:footnote w:id="1270">
    <w:p w14:paraId="570E2822" w14:textId="47F89D0A" w:rsidR="00463F7C" w:rsidRPr="00A03B67" w:rsidRDefault="00463F7C" w:rsidP="00463F7C">
      <w:pPr>
        <w:pStyle w:val="FootnoteText"/>
      </w:pPr>
      <w:r w:rsidRPr="00A03B67">
        <w:rPr>
          <w:rStyle w:val="FootnoteReference"/>
        </w:rPr>
        <w:footnoteRef/>
      </w:r>
      <w:r w:rsidRPr="00A03B67">
        <w:t xml:space="preserve"> </w:t>
      </w:r>
      <w:r w:rsidR="005A0927">
        <w:t>Australian Council of Trade Unions (</w:t>
      </w:r>
      <w:r w:rsidRPr="00A03B67">
        <w:t>ACTU</w:t>
      </w:r>
      <w:r w:rsidR="005A0927">
        <w:t>)</w:t>
      </w:r>
      <w:r w:rsidRPr="00A03B67">
        <w:t xml:space="preserve"> submission, 102.</w:t>
      </w:r>
    </w:p>
  </w:footnote>
  <w:footnote w:id="1271">
    <w:p w14:paraId="552671CC" w14:textId="77777777" w:rsidR="00463F7C" w:rsidRPr="00A03B67" w:rsidRDefault="00463F7C" w:rsidP="00463F7C">
      <w:pPr>
        <w:pStyle w:val="FootnoteText"/>
        <w:rPr>
          <w:lang w:val="en-US"/>
        </w:rPr>
      </w:pPr>
      <w:r w:rsidRPr="00A03B67">
        <w:rPr>
          <w:rStyle w:val="FootnoteReference"/>
        </w:rPr>
        <w:footnoteRef/>
      </w:r>
      <w:r w:rsidRPr="00A03B67">
        <w:t xml:space="preserve"> Employment Rights Legal Service submission</w:t>
      </w:r>
      <w:r w:rsidRPr="00A03B67">
        <w:rPr>
          <w:lang w:val="en-US"/>
        </w:rPr>
        <w:t>.</w:t>
      </w:r>
    </w:p>
  </w:footnote>
  <w:footnote w:id="1272">
    <w:p w14:paraId="5D34483A" w14:textId="3B2C9550" w:rsidR="00C36633" w:rsidRPr="00A03B67" w:rsidRDefault="00C36633" w:rsidP="00C36633">
      <w:pPr>
        <w:pStyle w:val="FootnoteText"/>
        <w:rPr>
          <w:lang w:val="en-US"/>
        </w:rPr>
      </w:pPr>
      <w:r w:rsidRPr="00A03B67">
        <w:rPr>
          <w:rStyle w:val="FootnoteReference"/>
        </w:rPr>
        <w:footnoteRef/>
      </w:r>
      <w:r w:rsidRPr="00A03B67">
        <w:t xml:space="preserve"> Employment Rights Legal Service submission</w:t>
      </w:r>
      <w:r w:rsidR="009F3FFA">
        <w:t>, 10</w:t>
      </w:r>
      <w:r w:rsidRPr="00A03B67">
        <w:rPr>
          <w:lang w:val="en-US"/>
        </w:rPr>
        <w:t>.</w:t>
      </w:r>
    </w:p>
  </w:footnote>
  <w:footnote w:id="1273">
    <w:p w14:paraId="3EE889F5" w14:textId="26631880" w:rsidR="00463F7C" w:rsidRPr="00A03B67" w:rsidRDefault="00463F7C" w:rsidP="00463F7C">
      <w:pPr>
        <w:pStyle w:val="FootnoteText"/>
      </w:pPr>
      <w:r w:rsidRPr="00A03B67">
        <w:rPr>
          <w:rStyle w:val="FootnoteReference"/>
        </w:rPr>
        <w:footnoteRef/>
      </w:r>
      <w:r w:rsidRPr="00A03B67">
        <w:t xml:space="preserve"> </w:t>
      </w:r>
      <w:r w:rsidR="005A0927" w:rsidRPr="005A0927">
        <w:t xml:space="preserve">Finance Sector Union </w:t>
      </w:r>
      <w:r w:rsidR="005A0927">
        <w:t>(</w:t>
      </w:r>
      <w:r w:rsidRPr="00A03B67">
        <w:t>FSU</w:t>
      </w:r>
      <w:r w:rsidR="005A0927">
        <w:t>)</w:t>
      </w:r>
      <w:r w:rsidRPr="00A03B67">
        <w:t xml:space="preserve"> submission, 5.</w:t>
      </w:r>
    </w:p>
  </w:footnote>
  <w:footnote w:id="1274">
    <w:p w14:paraId="7A015697" w14:textId="77777777" w:rsidR="00463F7C" w:rsidRPr="00A03B67" w:rsidRDefault="00463F7C" w:rsidP="00463F7C">
      <w:pPr>
        <w:pStyle w:val="FootnoteText"/>
      </w:pPr>
      <w:r w:rsidRPr="00A03B67">
        <w:rPr>
          <w:rStyle w:val="FootnoteReference"/>
        </w:rPr>
        <w:footnoteRef/>
      </w:r>
      <w:r w:rsidRPr="00A03B67">
        <w:t xml:space="preserve"> FSU submission, 5.</w:t>
      </w:r>
    </w:p>
  </w:footnote>
  <w:footnote w:id="1275">
    <w:p w14:paraId="2063CFD9" w14:textId="61448A39" w:rsidR="00463F7C" w:rsidRDefault="00463F7C" w:rsidP="00463F7C">
      <w:pPr>
        <w:pStyle w:val="FootnoteText"/>
      </w:pPr>
      <w:r>
        <w:rPr>
          <w:rStyle w:val="FootnoteReference"/>
        </w:rPr>
        <w:footnoteRef/>
      </w:r>
      <w:r>
        <w:t xml:space="preserve"> ACCI submission in response to </w:t>
      </w:r>
      <w:r w:rsidR="00F11064">
        <w:t>d</w:t>
      </w:r>
      <w:r>
        <w:t xml:space="preserve">raft </w:t>
      </w:r>
      <w:r w:rsidR="00F11064">
        <w:t>r</w:t>
      </w:r>
      <w:r>
        <w:t>eport, 75</w:t>
      </w:r>
      <w:r w:rsidR="00F11064">
        <w:t xml:space="preserve"> [</w:t>
      </w:r>
      <w:r w:rsidRPr="00E612A8">
        <w:t>342</w:t>
      </w:r>
      <w:r w:rsidR="00F11064">
        <w:t>]</w:t>
      </w:r>
      <w:r>
        <w:t xml:space="preserve">; Ai Group submission in response to </w:t>
      </w:r>
      <w:r w:rsidR="00F11064">
        <w:t>d</w:t>
      </w:r>
      <w:r>
        <w:t xml:space="preserve">raft </w:t>
      </w:r>
      <w:r w:rsidR="00F11064">
        <w:t>r</w:t>
      </w:r>
      <w:r>
        <w:t>eport, 75</w:t>
      </w:r>
      <w:r w:rsidR="00F11064">
        <w:t xml:space="preserve"> [</w:t>
      </w:r>
      <w:r w:rsidRPr="00E612A8">
        <w:t>342</w:t>
      </w:r>
      <w:r w:rsidR="00F11064">
        <w:t>]</w:t>
      </w:r>
      <w:r>
        <w:t xml:space="preserve">; ACTU submission in response to </w:t>
      </w:r>
      <w:r w:rsidR="00F11064">
        <w:t>d</w:t>
      </w:r>
      <w:r>
        <w:t xml:space="preserve">raft </w:t>
      </w:r>
      <w:r w:rsidR="00F11064">
        <w:t>r</w:t>
      </w:r>
      <w:r>
        <w:t>eport,</w:t>
      </w:r>
      <w:r w:rsidRPr="00E612A8" w:rsidDel="00F11064">
        <w:t xml:space="preserve"> </w:t>
      </w:r>
      <w:r w:rsidRPr="00E612A8">
        <w:t>37</w:t>
      </w:r>
      <w:r>
        <w:t>.</w:t>
      </w:r>
    </w:p>
  </w:footnote>
  <w:footnote w:id="1276">
    <w:p w14:paraId="30298E60" w14:textId="6E91E45C" w:rsidR="00463F7C" w:rsidRDefault="00463F7C" w:rsidP="00463F7C">
      <w:pPr>
        <w:pStyle w:val="FootnoteText"/>
      </w:pPr>
      <w:r>
        <w:rPr>
          <w:rStyle w:val="FootnoteReference"/>
        </w:rPr>
        <w:footnoteRef/>
      </w:r>
      <w:r>
        <w:t xml:space="preserve"> Ai Group submission in response to </w:t>
      </w:r>
      <w:r w:rsidR="00F11064">
        <w:t>d</w:t>
      </w:r>
      <w:r>
        <w:t xml:space="preserve">raft </w:t>
      </w:r>
      <w:r w:rsidR="00F11064">
        <w:t>r</w:t>
      </w:r>
      <w:r>
        <w:t>eport, 76</w:t>
      </w:r>
      <w:r w:rsidR="00F11064">
        <w:t xml:space="preserve"> [</w:t>
      </w:r>
      <w:r w:rsidRPr="00E612A8">
        <w:t>34</w:t>
      </w:r>
      <w:r>
        <w:t>4</w:t>
      </w:r>
      <w:r w:rsidR="00F11064">
        <w:t>]</w:t>
      </w:r>
      <w:r w:rsidR="00F11064">
        <w:rPr>
          <w:rFonts w:ascii="Symbol" w:eastAsia="Symbol" w:hAnsi="Symbol" w:cs="Symbol"/>
        </w:rPr>
        <w:t>-</w:t>
      </w:r>
      <w:r w:rsidR="00F11064">
        <w:t>[</w:t>
      </w:r>
      <w:r>
        <w:t>345</w:t>
      </w:r>
      <w:r w:rsidR="00F11064">
        <w:t>]</w:t>
      </w:r>
      <w:r>
        <w:t>.</w:t>
      </w:r>
    </w:p>
  </w:footnote>
  <w:footnote w:id="1277">
    <w:p w14:paraId="4547CAD9" w14:textId="1589D7C7" w:rsidR="00463F7C" w:rsidRDefault="00463F7C" w:rsidP="00463F7C">
      <w:pPr>
        <w:pStyle w:val="FootnoteText"/>
      </w:pPr>
      <w:r>
        <w:rPr>
          <w:rStyle w:val="FootnoteReference"/>
        </w:rPr>
        <w:footnoteRef/>
      </w:r>
      <w:r w:rsidDel="005A0927">
        <w:t xml:space="preserve"> </w:t>
      </w:r>
      <w:r w:rsidR="006704C1">
        <w:t xml:space="preserve">Professor </w:t>
      </w:r>
      <w:r w:rsidR="005A0927">
        <w:rPr>
          <w:rFonts w:eastAsia="Times New Roman" w:cs="Times New Roman"/>
          <w:color w:val="000000"/>
          <w:lang w:eastAsia="en-AU"/>
        </w:rPr>
        <w:t xml:space="preserve">S </w:t>
      </w:r>
      <w:r w:rsidRPr="0068409F">
        <w:rPr>
          <w:rFonts w:eastAsia="Times New Roman" w:cs="Times New Roman"/>
          <w:color w:val="000000"/>
          <w:lang w:eastAsia="en-AU"/>
        </w:rPr>
        <w:t>Charlesworth</w:t>
      </w:r>
      <w:r>
        <w:rPr>
          <w:rFonts w:eastAsia="Times New Roman" w:cs="Times New Roman"/>
          <w:color w:val="000000"/>
          <w:lang w:eastAsia="en-AU"/>
        </w:rPr>
        <w:t xml:space="preserve"> </w:t>
      </w:r>
      <w:r>
        <w:t xml:space="preserve">submission in response to </w:t>
      </w:r>
      <w:r w:rsidR="00F11064">
        <w:t>d</w:t>
      </w:r>
      <w:r>
        <w:t xml:space="preserve">raft </w:t>
      </w:r>
      <w:r w:rsidR="00F11064">
        <w:t>r</w:t>
      </w:r>
      <w:r>
        <w:t>eport, 4.</w:t>
      </w:r>
    </w:p>
  </w:footnote>
  <w:footnote w:id="1278">
    <w:p w14:paraId="6E3DB5BB" w14:textId="77777777" w:rsidR="00463F7C" w:rsidRPr="00A03B67" w:rsidRDefault="00463F7C" w:rsidP="00463F7C">
      <w:pPr>
        <w:pStyle w:val="FootnoteText"/>
        <w:rPr>
          <w:lang w:val="en-US"/>
        </w:rPr>
      </w:pPr>
      <w:r w:rsidRPr="00A03B67">
        <w:rPr>
          <w:rStyle w:val="FootnoteReference"/>
        </w:rPr>
        <w:footnoteRef/>
      </w:r>
      <w:r w:rsidRPr="00A03B67">
        <w:t xml:space="preserve"> FWO, </w:t>
      </w:r>
      <w:r w:rsidRPr="00A03B67">
        <w:rPr>
          <w:i/>
          <w:iCs/>
        </w:rPr>
        <w:t>Language Help</w:t>
      </w:r>
      <w:r w:rsidRPr="00A03B67">
        <w:t xml:space="preserve"> (Web Page, n.d.) &lt;https://www.fairwork.gov.au/tools-and-resources/language-help&gt;.</w:t>
      </w:r>
    </w:p>
  </w:footnote>
  <w:footnote w:id="1279">
    <w:p w14:paraId="5071AB0A" w14:textId="77777777" w:rsidR="00463F7C" w:rsidRPr="00A03B67" w:rsidRDefault="00463F7C" w:rsidP="00463F7C">
      <w:pPr>
        <w:pStyle w:val="FootnoteText"/>
      </w:pPr>
      <w:r w:rsidRPr="00A03B67">
        <w:rPr>
          <w:rStyle w:val="FootnoteReference"/>
        </w:rPr>
        <w:footnoteRef/>
      </w:r>
      <w:r w:rsidRPr="00A03B67">
        <w:t xml:space="preserve"> </w:t>
      </w:r>
      <w:r w:rsidRPr="00A03B67">
        <w:rPr>
          <w:i/>
        </w:rPr>
        <w:t>Fair Work Act 2009</w:t>
      </w:r>
      <w:r w:rsidRPr="00A03B67">
        <w:t xml:space="preserve"> (Cth) s 595.</w:t>
      </w:r>
    </w:p>
  </w:footnote>
  <w:footnote w:id="1280">
    <w:p w14:paraId="33BB6BE3" w14:textId="77777777" w:rsidR="00463F7C" w:rsidRPr="00A03B67" w:rsidRDefault="00463F7C" w:rsidP="00463F7C">
      <w:pPr>
        <w:pStyle w:val="FootnoteText"/>
        <w:rPr>
          <w:lang w:val="en-US"/>
        </w:rPr>
      </w:pPr>
      <w:r w:rsidRPr="00A03B67">
        <w:rPr>
          <w:rStyle w:val="FootnoteReference"/>
        </w:rPr>
        <w:footnoteRef/>
      </w:r>
      <w:r w:rsidRPr="00A03B67">
        <w:t xml:space="preserve"> FWC, </w:t>
      </w:r>
      <w:r w:rsidRPr="00A03B67">
        <w:rPr>
          <w:i/>
          <w:iCs/>
        </w:rPr>
        <w:t>Information in Your language</w:t>
      </w:r>
      <w:r w:rsidRPr="00A03B67">
        <w:t xml:space="preserve"> (Web Page, n.d.) &lt;https://www</w:t>
      </w:r>
      <w:bookmarkStart w:id="666" w:name="_Hlt187834548"/>
      <w:bookmarkStart w:id="667" w:name="_Hlt187834549"/>
      <w:r w:rsidRPr="00A03B67">
        <w:t>.</w:t>
      </w:r>
      <w:bookmarkEnd w:id="666"/>
      <w:bookmarkEnd w:id="667"/>
      <w:r w:rsidRPr="00A03B67">
        <w:t>fwc.gov.au/about-us/information-your-language&gt;</w:t>
      </w:r>
      <w:r>
        <w:t xml:space="preserve">; </w:t>
      </w:r>
      <w:r w:rsidRPr="00A03B67">
        <w:t>FWO, information provided to the Review (</w:t>
      </w:r>
      <w:r>
        <w:t>18 February 2025</w:t>
      </w:r>
      <w:r w:rsidRPr="00A03B67">
        <w:t>).</w:t>
      </w:r>
    </w:p>
  </w:footnote>
  <w:footnote w:id="1281">
    <w:p w14:paraId="3826A15B" w14:textId="77777777" w:rsidR="00463F7C" w:rsidRPr="00A03B67" w:rsidRDefault="00463F7C" w:rsidP="00463F7C">
      <w:pPr>
        <w:pStyle w:val="FootnoteText"/>
        <w:rPr>
          <w:lang w:val="en-US"/>
        </w:rPr>
      </w:pPr>
      <w:r w:rsidRPr="00A03B67">
        <w:rPr>
          <w:rStyle w:val="FootnoteReference"/>
        </w:rPr>
        <w:footnoteRef/>
      </w:r>
      <w:r w:rsidRPr="00A03B67">
        <w:t xml:space="preserve"> Revised Explanatory Memorandum, Fair Work Legislation Amendment (Secure Jobs, Better Pay) Bill 2022 (Cth), </w:t>
      </w:r>
      <w:r w:rsidRPr="00A03B67">
        <w:rPr>
          <w:lang w:val="en-US"/>
        </w:rPr>
        <w:t>xxiv</w:t>
      </w:r>
      <w:r w:rsidRPr="00A03B67">
        <w:t xml:space="preserve"> [</w:t>
      </w:r>
      <w:r w:rsidRPr="00A03B67">
        <w:rPr>
          <w:lang w:val="en-US"/>
        </w:rPr>
        <w:t>119].</w:t>
      </w:r>
    </w:p>
  </w:footnote>
  <w:footnote w:id="1282">
    <w:p w14:paraId="3D08FB3F" w14:textId="06738F31" w:rsidR="00463F7C" w:rsidRPr="00A03B67" w:rsidRDefault="00463F7C" w:rsidP="00463F7C">
      <w:pPr>
        <w:pStyle w:val="FootnoteText"/>
      </w:pPr>
      <w:r w:rsidRPr="00A03B67">
        <w:rPr>
          <w:rStyle w:val="FootnoteReference"/>
        </w:rPr>
        <w:footnoteRef/>
      </w:r>
      <w:r w:rsidRPr="00A03B67">
        <w:t xml:space="preserve"> </w:t>
      </w:r>
      <w:r w:rsidR="005A0927">
        <w:t>Fair Work Commission</w:t>
      </w:r>
      <w:r w:rsidRPr="00A03B67">
        <w:t xml:space="preserve">, </w:t>
      </w:r>
      <w:r w:rsidRPr="00A03B67">
        <w:rPr>
          <w:i/>
        </w:rPr>
        <w:t xml:space="preserve">Community Engagement Strategy 2025–27: Supporting Access to Justice for Culturally and Linguistically Diverse (CALD) Communities </w:t>
      </w:r>
      <w:r w:rsidRPr="00A03B67">
        <w:rPr>
          <w:iCs/>
        </w:rPr>
        <w:t>(Web Page, n.d.)</w:t>
      </w:r>
      <w:r w:rsidRPr="00A03B67">
        <w:t>.</w:t>
      </w:r>
    </w:p>
  </w:footnote>
  <w:footnote w:id="1283">
    <w:p w14:paraId="7E6318B2" w14:textId="77777777" w:rsidR="00A36BAF" w:rsidRPr="00A03B67" w:rsidRDefault="00A36BAF" w:rsidP="00A36BAF">
      <w:pPr>
        <w:pStyle w:val="FootnoteText"/>
      </w:pPr>
      <w:r w:rsidRPr="00A03B67">
        <w:rPr>
          <w:rStyle w:val="FootnoteReference"/>
        </w:rPr>
        <w:footnoteRef/>
      </w:r>
      <w:r w:rsidRPr="00A03B67">
        <w:t xml:space="preserve"> Justice Hatcher, Fair Work Commission, </w:t>
      </w:r>
      <w:r w:rsidRPr="00A03B67">
        <w:rPr>
          <w:i/>
        </w:rPr>
        <w:t>Fair Work Commission’s 2023 Work and 2023</w:t>
      </w:r>
      <w:r w:rsidRPr="00A03B67">
        <w:rPr>
          <w:rFonts w:ascii="Symbol" w:eastAsia="Symbol" w:hAnsi="Symbol" w:cs="Symbol"/>
          <w:i/>
        </w:rPr>
        <w:t>-</w:t>
      </w:r>
      <w:r w:rsidRPr="00A03B67">
        <w:rPr>
          <w:i/>
        </w:rPr>
        <w:t>24 Performance</w:t>
      </w:r>
      <w:r w:rsidRPr="00A03B67">
        <w:t xml:space="preserve"> (President’s Statement, 22 December 2023) [45].</w:t>
      </w:r>
    </w:p>
  </w:footnote>
  <w:footnote w:id="1284">
    <w:p w14:paraId="13ED027F" w14:textId="14FA0A09" w:rsidR="00463F7C" w:rsidRPr="00A03B67" w:rsidRDefault="00463F7C" w:rsidP="00463F7C">
      <w:pPr>
        <w:pStyle w:val="FootnoteText"/>
      </w:pPr>
      <w:r w:rsidRPr="00A03B67">
        <w:rPr>
          <w:rStyle w:val="FootnoteReference"/>
        </w:rPr>
        <w:footnoteRef/>
      </w:r>
      <w:r w:rsidRPr="00A03B67">
        <w:t xml:space="preserve"> </w:t>
      </w:r>
      <w:r w:rsidR="005A0927">
        <w:t>Fair Work Ombudsman</w:t>
      </w:r>
      <w:r w:rsidRPr="00A03B67">
        <w:t xml:space="preserve">, </w:t>
      </w:r>
      <w:r w:rsidRPr="00A03B67">
        <w:rPr>
          <w:i/>
        </w:rPr>
        <w:t>The Fair Work Ombudsman and Registered Organisations Commission Entity Annual Report 2017–18</w:t>
      </w:r>
      <w:r w:rsidRPr="00A03B67">
        <w:t xml:space="preserve"> (Report, 2018) 13.</w:t>
      </w:r>
    </w:p>
  </w:footnote>
  <w:footnote w:id="1285">
    <w:p w14:paraId="068570BF" w14:textId="14E9FE7F" w:rsidR="00463F7C" w:rsidRPr="00A03B67" w:rsidRDefault="00463F7C" w:rsidP="00463F7C">
      <w:pPr>
        <w:pStyle w:val="FootnoteText"/>
      </w:pPr>
      <w:r w:rsidRPr="00A03B67">
        <w:rPr>
          <w:rStyle w:val="FootnoteReference"/>
        </w:rPr>
        <w:footnoteRef/>
      </w:r>
      <w:r w:rsidRPr="00A03B67">
        <w:t xml:space="preserve"> </w:t>
      </w:r>
      <w:r w:rsidR="005A0927">
        <w:t>Fair Work Ombudsman</w:t>
      </w:r>
      <w:r w:rsidRPr="00A03B67">
        <w:t xml:space="preserve">, </w:t>
      </w:r>
      <w:r w:rsidRPr="00A03B67">
        <w:rPr>
          <w:i/>
        </w:rPr>
        <w:t>Fair Work Ombudsman Innovate Reconciliation Action Plan September 2024 – Sept</w:t>
      </w:r>
      <w:bookmarkStart w:id="681" w:name="_Hlt188528410"/>
      <w:bookmarkStart w:id="682" w:name="_Hlt188528411"/>
      <w:r w:rsidRPr="00A03B67">
        <w:rPr>
          <w:i/>
        </w:rPr>
        <w:t>e</w:t>
      </w:r>
      <w:bookmarkEnd w:id="681"/>
      <w:bookmarkEnd w:id="682"/>
      <w:r w:rsidRPr="00A03B67">
        <w:rPr>
          <w:i/>
        </w:rPr>
        <w:t>mber 2026</w:t>
      </w:r>
      <w:r w:rsidRPr="00A03B67">
        <w:t xml:space="preserve">, 11 </w:t>
      </w:r>
      <w:r w:rsidRPr="00A03B67">
        <w:rPr>
          <w:iCs/>
        </w:rPr>
        <w:t>(Web Page, n.d.).</w:t>
      </w:r>
    </w:p>
  </w:footnote>
  <w:footnote w:id="1286">
    <w:p w14:paraId="4843021D" w14:textId="338CBEF6" w:rsidR="00463F7C" w:rsidRDefault="00463F7C" w:rsidP="00463F7C">
      <w:pPr>
        <w:pStyle w:val="FootnoteText"/>
      </w:pPr>
      <w:r>
        <w:rPr>
          <w:rStyle w:val="FootnoteReference"/>
        </w:rPr>
        <w:footnoteRef/>
      </w:r>
      <w:r>
        <w:t xml:space="preserve"> Ai Group submission in response to the </w:t>
      </w:r>
      <w:r w:rsidR="00F11064">
        <w:t>d</w:t>
      </w:r>
      <w:r>
        <w:t xml:space="preserve">raft </w:t>
      </w:r>
      <w:r w:rsidR="00F11064">
        <w:t>r</w:t>
      </w:r>
      <w:r>
        <w:t>eport, 77</w:t>
      </w:r>
      <w:r w:rsidR="00F11064">
        <w:t xml:space="preserve"> [</w:t>
      </w:r>
      <w:r>
        <w:t>348</w:t>
      </w:r>
      <w:r w:rsidR="00F11064">
        <w:t>]</w:t>
      </w:r>
      <w:r>
        <w:t xml:space="preserve">; BCA submission in response to the </w:t>
      </w:r>
      <w:r w:rsidR="00F11064">
        <w:t>d</w:t>
      </w:r>
      <w:r>
        <w:t xml:space="preserve">raft </w:t>
      </w:r>
      <w:r w:rsidR="00F11064">
        <w:t>r</w:t>
      </w:r>
      <w:r>
        <w:t>eport, 8.</w:t>
      </w:r>
    </w:p>
  </w:footnote>
  <w:footnote w:id="1287">
    <w:p w14:paraId="4DB4EB40" w14:textId="77777777" w:rsidR="00463F7C" w:rsidRPr="00A03B67" w:rsidRDefault="00463F7C" w:rsidP="00463F7C">
      <w:pPr>
        <w:pStyle w:val="FootnoteText"/>
      </w:pPr>
      <w:r w:rsidRPr="00A03B67">
        <w:rPr>
          <w:rStyle w:val="FootnoteReference"/>
        </w:rPr>
        <w:footnoteRef/>
      </w:r>
      <w:r w:rsidRPr="00A03B67">
        <w:t xml:space="preserve"> Revised Explanatory Memorandum, Fair Work Amendment (Secure Jobs, Better Pay) Bill 2022, [123].</w:t>
      </w:r>
    </w:p>
  </w:footnote>
  <w:footnote w:id="1288">
    <w:p w14:paraId="30B1D27D" w14:textId="77777777" w:rsidR="00463F7C" w:rsidRPr="00A03B67" w:rsidRDefault="00463F7C" w:rsidP="00463F7C">
      <w:pPr>
        <w:pStyle w:val="FootnoteText"/>
      </w:pPr>
      <w:r w:rsidRPr="00A03B67">
        <w:rPr>
          <w:rStyle w:val="FootnoteReference"/>
        </w:rPr>
        <w:footnoteRef/>
      </w:r>
      <w:r w:rsidRPr="00A03B67">
        <w:t xml:space="preserve"> Revised Explanatory Memorandum, Fair Work Amendment (Secure Jobs, Better Pay) Bill 2022, [123].</w:t>
      </w:r>
    </w:p>
  </w:footnote>
  <w:footnote w:id="1289">
    <w:p w14:paraId="30E4CFE4" w14:textId="0D650BBE" w:rsidR="00463F7C" w:rsidRPr="00A03B67" w:rsidRDefault="00463F7C" w:rsidP="00463F7C">
      <w:pPr>
        <w:pStyle w:val="FootnoteText"/>
      </w:pPr>
      <w:r w:rsidRPr="00A03B67">
        <w:rPr>
          <w:rStyle w:val="FootnoteReference"/>
        </w:rPr>
        <w:footnoteRef/>
      </w:r>
      <w:r w:rsidRPr="00A03B67">
        <w:t xml:space="preserve"> </w:t>
      </w:r>
      <w:r w:rsidR="005A0927">
        <w:t>Australian Council of Trade Unions (</w:t>
      </w:r>
      <w:r w:rsidRPr="00A03B67">
        <w:t>ACTU</w:t>
      </w:r>
      <w:r w:rsidR="005A0927">
        <w:t>)</w:t>
      </w:r>
      <w:r w:rsidRPr="00A03B67">
        <w:t xml:space="preserve"> submission, 104.</w:t>
      </w:r>
    </w:p>
  </w:footnote>
  <w:footnote w:id="1290">
    <w:p w14:paraId="5508266F" w14:textId="663F7198" w:rsidR="00463F7C" w:rsidRPr="00A03B67" w:rsidRDefault="00463F7C" w:rsidP="00463F7C">
      <w:pPr>
        <w:pStyle w:val="FootnoteText"/>
      </w:pPr>
      <w:r w:rsidRPr="00A03B67">
        <w:rPr>
          <w:rStyle w:val="FootnoteReference"/>
        </w:rPr>
        <w:footnoteRef/>
      </w:r>
      <w:r w:rsidRPr="00A03B67">
        <w:t xml:space="preserve"> Department of Employment and Workplace Relations, </w:t>
      </w:r>
      <w:r w:rsidRPr="00A03B67">
        <w:rPr>
          <w:i/>
          <w:iCs/>
        </w:rPr>
        <w:t>An Independent Review of the Safety, Rehabilitation and Compensation Act 1988</w:t>
      </w:r>
      <w:r w:rsidRPr="00A03B67">
        <w:t xml:space="preserve"> (Web Page, n.d.).</w:t>
      </w:r>
    </w:p>
  </w:footnote>
  <w:footnote w:id="1291">
    <w:p w14:paraId="34B74A8A" w14:textId="77777777" w:rsidR="00463F7C" w:rsidRPr="00A03B67" w:rsidRDefault="00463F7C" w:rsidP="00463F7C">
      <w:pPr>
        <w:pStyle w:val="FootnoteText"/>
      </w:pPr>
      <w:r w:rsidRPr="00A03B67">
        <w:rPr>
          <w:rStyle w:val="FootnoteReference"/>
        </w:rPr>
        <w:footnoteRef/>
      </w:r>
      <w:r w:rsidRPr="00A03B67">
        <w:t xml:space="preserve"> </w:t>
      </w:r>
      <w:r w:rsidRPr="00A03B67">
        <w:rPr>
          <w:i/>
          <w:iCs/>
        </w:rPr>
        <w:t>Fair Work Act 2009</w:t>
      </w:r>
      <w:r w:rsidRPr="00A03B67">
        <w:t xml:space="preserve"> (Cth) s 494(4).</w:t>
      </w:r>
    </w:p>
  </w:footnote>
  <w:footnote w:id="1292">
    <w:p w14:paraId="76B35E48" w14:textId="77777777" w:rsidR="00463F7C" w:rsidRPr="00A03B67" w:rsidRDefault="00463F7C" w:rsidP="00463F7C">
      <w:pPr>
        <w:pStyle w:val="FootnoteText"/>
      </w:pPr>
      <w:r w:rsidRPr="00A03B67">
        <w:rPr>
          <w:rStyle w:val="FootnoteReference"/>
        </w:rPr>
        <w:footnoteRef/>
      </w:r>
      <w:r w:rsidRPr="00A03B67">
        <w:t xml:space="preserve"> </w:t>
      </w:r>
      <w:r w:rsidRPr="00A03B67">
        <w:rPr>
          <w:i/>
          <w:iCs/>
        </w:rPr>
        <w:t>Fair Work Act 2009</w:t>
      </w:r>
      <w:r w:rsidRPr="00A03B67">
        <w:t xml:space="preserve"> (Cth) s 495.</w:t>
      </w:r>
    </w:p>
  </w:footnote>
  <w:footnote w:id="1293">
    <w:p w14:paraId="5A34DB4D" w14:textId="77777777" w:rsidR="00463F7C" w:rsidRPr="00A03B67" w:rsidRDefault="00463F7C" w:rsidP="00463F7C">
      <w:pPr>
        <w:pStyle w:val="FootnoteText"/>
      </w:pPr>
      <w:r w:rsidRPr="00A03B67">
        <w:rPr>
          <w:rStyle w:val="FootnoteReference"/>
        </w:rPr>
        <w:footnoteRef/>
      </w:r>
      <w:r w:rsidRPr="00A03B67">
        <w:t xml:space="preserve"> </w:t>
      </w:r>
      <w:r w:rsidRPr="00A03B67">
        <w:rPr>
          <w:i/>
          <w:iCs/>
        </w:rPr>
        <w:t>Fair Work Act 2009</w:t>
      </w:r>
      <w:r w:rsidRPr="00A03B67">
        <w:t xml:space="preserve"> (Cth) s 498.</w:t>
      </w:r>
    </w:p>
  </w:footnote>
  <w:footnote w:id="1294">
    <w:p w14:paraId="38CE0F96" w14:textId="77777777" w:rsidR="00463F7C" w:rsidRPr="00A03B67" w:rsidRDefault="00463F7C" w:rsidP="00463F7C">
      <w:pPr>
        <w:pStyle w:val="FootnoteText"/>
      </w:pPr>
      <w:r w:rsidRPr="00A03B67">
        <w:rPr>
          <w:rStyle w:val="FootnoteReference"/>
        </w:rPr>
        <w:footnoteRef/>
      </w:r>
      <w:r w:rsidRPr="00A03B67">
        <w:t xml:space="preserve"> </w:t>
      </w:r>
      <w:r w:rsidRPr="00A03B67">
        <w:rPr>
          <w:rFonts w:cstheme="minorHAnsi"/>
          <w:i/>
          <w:iCs/>
        </w:rPr>
        <w:t>Fair Work Act 2009</w:t>
      </w:r>
      <w:r w:rsidRPr="00A03B67">
        <w:rPr>
          <w:rFonts w:cstheme="minorHAnsi"/>
        </w:rPr>
        <w:t xml:space="preserve"> (Cth) s 500.</w:t>
      </w:r>
    </w:p>
  </w:footnote>
  <w:footnote w:id="1295">
    <w:p w14:paraId="5438B593" w14:textId="663FB82A" w:rsidR="00463F7C" w:rsidRPr="00A03B67" w:rsidRDefault="00463F7C" w:rsidP="00463F7C">
      <w:pPr>
        <w:pStyle w:val="FootnoteText"/>
      </w:pPr>
      <w:r w:rsidRPr="00A03B67">
        <w:rPr>
          <w:rStyle w:val="FootnoteReference"/>
        </w:rPr>
        <w:footnoteRef/>
      </w:r>
      <w:r w:rsidRPr="00A03B67">
        <w:t xml:space="preserve"> Replacement </w:t>
      </w:r>
      <w:r w:rsidR="002B5712" w:rsidRPr="00A03B67">
        <w:t>supplementary explanatory memorandum</w:t>
      </w:r>
      <w:r w:rsidRPr="00A03B67">
        <w:t xml:space="preserve"> relating to sheets PU108, ZB276, ZC255 and ZE249, Fair Work Legislation Amendment (Closing Loopholes) </w:t>
      </w:r>
      <w:r w:rsidR="002B5712">
        <w:t>Bill</w:t>
      </w:r>
      <w:r w:rsidR="002B5712" w:rsidRPr="00A03B67">
        <w:t xml:space="preserve"> </w:t>
      </w:r>
      <w:r w:rsidRPr="00A03B67">
        <w:t>2023</w:t>
      </w:r>
      <w:r w:rsidR="00A129C1">
        <w:t xml:space="preserve">, </w:t>
      </w:r>
      <w:r w:rsidRPr="00A03B67">
        <w:t>32</w:t>
      </w:r>
      <w:r w:rsidR="00A129C1">
        <w:t>.</w:t>
      </w:r>
      <w:r w:rsidRPr="00A03B67">
        <w:t xml:space="preserve"> </w:t>
      </w:r>
    </w:p>
  </w:footnote>
  <w:footnote w:id="1296">
    <w:p w14:paraId="1E9A9834" w14:textId="77777777" w:rsidR="00463F7C" w:rsidRPr="00A03B67" w:rsidRDefault="00463F7C" w:rsidP="00463F7C">
      <w:pPr>
        <w:pStyle w:val="FootnoteText"/>
      </w:pPr>
      <w:r w:rsidRPr="00A03B67">
        <w:rPr>
          <w:rStyle w:val="FootnoteReference"/>
        </w:rPr>
        <w:footnoteRef/>
      </w:r>
      <w:r w:rsidRPr="00A03B67">
        <w:t xml:space="preserve"> [2017] FCAFC 89.</w:t>
      </w:r>
    </w:p>
  </w:footnote>
  <w:footnote w:id="1297">
    <w:p w14:paraId="2BCDC787" w14:textId="4E41CC17" w:rsidR="00463F7C" w:rsidRPr="00A03B67" w:rsidRDefault="00463F7C" w:rsidP="00463F7C">
      <w:pPr>
        <w:pStyle w:val="FootnoteText"/>
        <w:rPr>
          <w:lang w:val="en-US"/>
        </w:rPr>
      </w:pPr>
      <w:r w:rsidRPr="00A03B67">
        <w:rPr>
          <w:rStyle w:val="FootnoteReference"/>
        </w:rPr>
        <w:footnoteRef/>
      </w:r>
      <w:r w:rsidRPr="00A03B67">
        <w:t xml:space="preserve"> </w:t>
      </w:r>
      <w:r w:rsidRPr="00A03B67">
        <w:rPr>
          <w:i/>
          <w:iCs/>
        </w:rPr>
        <w:t>Australian Building and Construction Commissioner v Powell</w:t>
      </w:r>
      <w:r w:rsidRPr="00A03B67">
        <w:t xml:space="preserve"> [2017] FCAFC 89 [7].</w:t>
      </w:r>
    </w:p>
  </w:footnote>
  <w:footnote w:id="1298">
    <w:p w14:paraId="106C4835" w14:textId="4D3F78C1" w:rsidR="00463F7C" w:rsidRPr="00A03B67" w:rsidRDefault="00463F7C" w:rsidP="00463F7C">
      <w:pPr>
        <w:pStyle w:val="FootnoteText"/>
      </w:pPr>
      <w:r w:rsidRPr="00A03B67">
        <w:rPr>
          <w:rStyle w:val="FootnoteReference"/>
        </w:rPr>
        <w:footnoteRef/>
      </w:r>
      <w:r w:rsidRPr="00A03B67">
        <w:t xml:space="preserve"> </w:t>
      </w:r>
      <w:r w:rsidRPr="00A03B67">
        <w:rPr>
          <w:i/>
          <w:iCs/>
        </w:rPr>
        <w:t>Director of the Fair Work Building Industry Inspectorate v Powell</w:t>
      </w:r>
      <w:r w:rsidRPr="00A03B67">
        <w:t xml:space="preserve"> [2016] FCA 1287 [105].</w:t>
      </w:r>
    </w:p>
  </w:footnote>
  <w:footnote w:id="1299">
    <w:p w14:paraId="251ADBA4" w14:textId="17085B42" w:rsidR="00463F7C" w:rsidRPr="00A03B67" w:rsidRDefault="00463F7C" w:rsidP="00463F7C">
      <w:pPr>
        <w:pStyle w:val="FootnoteText"/>
        <w:rPr>
          <w:lang w:val="en-US"/>
        </w:rPr>
      </w:pPr>
      <w:r w:rsidRPr="00A03B67">
        <w:rPr>
          <w:rStyle w:val="FootnoteReference"/>
        </w:rPr>
        <w:footnoteRef/>
      </w:r>
      <w:r w:rsidRPr="00A03B67">
        <w:t xml:space="preserve"> </w:t>
      </w:r>
      <w:r w:rsidRPr="00A03B67">
        <w:rPr>
          <w:i/>
          <w:iCs/>
        </w:rPr>
        <w:t>Australian Building and Construction Commissioner v Powell</w:t>
      </w:r>
      <w:r w:rsidRPr="00A03B67">
        <w:t xml:space="preserve"> [2017] FCAFC 89 [59].</w:t>
      </w:r>
    </w:p>
  </w:footnote>
  <w:footnote w:id="1300">
    <w:p w14:paraId="1268F9DF" w14:textId="77777777" w:rsidR="00463F7C" w:rsidRPr="00A03B67" w:rsidRDefault="00463F7C" w:rsidP="00463F7C">
      <w:pPr>
        <w:pStyle w:val="FootnoteText"/>
        <w:rPr>
          <w:lang w:val="en-US"/>
        </w:rPr>
      </w:pPr>
      <w:r w:rsidRPr="00A03B67">
        <w:rPr>
          <w:rStyle w:val="FootnoteReference"/>
        </w:rPr>
        <w:footnoteRef/>
      </w:r>
      <w:r w:rsidRPr="00A03B67">
        <w:t xml:space="preserve"> </w:t>
      </w:r>
      <w:r w:rsidRPr="00A03B67">
        <w:rPr>
          <w:lang w:val="en-US"/>
        </w:rPr>
        <w:t xml:space="preserve">For a fuller explanation see Department of Employment and Workplace Relations, </w:t>
      </w:r>
      <w:r w:rsidRPr="00A03B67">
        <w:rPr>
          <w:i/>
          <w:iCs/>
          <w:lang w:val="en-US"/>
        </w:rPr>
        <w:t>Work Health and Safety</w:t>
      </w:r>
      <w:r w:rsidRPr="00A03B67">
        <w:rPr>
          <w:lang w:val="en-US"/>
        </w:rPr>
        <w:t xml:space="preserve"> (Web Page, n.d.) &lt;https://www.dewr.gov.au/work-health-and-safety</w:t>
      </w:r>
      <w:r w:rsidRPr="00A03B67">
        <w:t>&gt;.</w:t>
      </w:r>
    </w:p>
  </w:footnote>
  <w:footnote w:id="1301">
    <w:p w14:paraId="6046AAF0" w14:textId="00B73161" w:rsidR="00463F7C" w:rsidRPr="00A03B67" w:rsidRDefault="00463F7C" w:rsidP="00463F7C">
      <w:pPr>
        <w:pStyle w:val="FootnoteText"/>
      </w:pPr>
      <w:r w:rsidRPr="00A03B67">
        <w:rPr>
          <w:rStyle w:val="FootnoteReference"/>
        </w:rPr>
        <w:footnoteRef/>
      </w:r>
      <w:r w:rsidRPr="00A03B67">
        <w:t xml:space="preserve"> M Boland, </w:t>
      </w:r>
      <w:r w:rsidRPr="00A03B67">
        <w:rPr>
          <w:i/>
          <w:iCs/>
        </w:rPr>
        <w:t>Review of the Model Work Health and Safety Laws: Final Report</w:t>
      </w:r>
      <w:r w:rsidRPr="00A03B67">
        <w:t xml:space="preserve"> (Report, 2018) 65</w:t>
      </w:r>
      <w:r w:rsidR="00F11064">
        <w:t xml:space="preserve"> </w:t>
      </w:r>
      <w:r w:rsidR="00F11064" w:rsidRPr="00A03B67">
        <w:t>&lt;https://www.safeworkaustralia.gov.au/system/files/documents/1902/review_of_the_model_whs_laws_final_report_0.pdf&gt;.</w:t>
      </w:r>
    </w:p>
  </w:footnote>
  <w:footnote w:id="1302">
    <w:p w14:paraId="1218AB9B" w14:textId="77777777" w:rsidR="00463F7C" w:rsidRPr="00A03B67" w:rsidRDefault="00463F7C" w:rsidP="00463F7C">
      <w:pPr>
        <w:pStyle w:val="FootnoteText"/>
        <w:rPr>
          <w:lang w:val="en-US"/>
        </w:rPr>
      </w:pPr>
      <w:r w:rsidRPr="00A03B67">
        <w:rPr>
          <w:rStyle w:val="FootnoteReference"/>
        </w:rPr>
        <w:footnoteRef/>
      </w:r>
      <w:r w:rsidRPr="00A03B67">
        <w:t xml:space="preserve"> M Boland, </w:t>
      </w:r>
      <w:r w:rsidRPr="00A03B67">
        <w:rPr>
          <w:i/>
          <w:iCs/>
        </w:rPr>
        <w:t>Review of the Model Work Health and Safety Laws: Final Report</w:t>
      </w:r>
      <w:r w:rsidRPr="00A03B67">
        <w:t xml:space="preserve"> (Report, 2018) 68 &lt;https://www.safeworkaustralia.gov.au/system/files/documents/1902/review_of_the_model_whs_laws_final_report_0.pdf&gt;.</w:t>
      </w:r>
    </w:p>
  </w:footnote>
  <w:footnote w:id="1303">
    <w:p w14:paraId="577C1ACB" w14:textId="77777777" w:rsidR="00463F7C" w:rsidRPr="00A03B67" w:rsidRDefault="00463F7C" w:rsidP="00463F7C">
      <w:pPr>
        <w:pStyle w:val="FootnoteText"/>
        <w:rPr>
          <w:lang w:val="en-US"/>
        </w:rPr>
      </w:pPr>
      <w:r w:rsidRPr="00A03B67">
        <w:rPr>
          <w:rStyle w:val="FootnoteReference"/>
        </w:rPr>
        <w:footnoteRef/>
      </w:r>
      <w:r w:rsidRPr="00A03B67">
        <w:t xml:space="preserve"> M Boland, </w:t>
      </w:r>
      <w:r w:rsidRPr="00A03B67">
        <w:rPr>
          <w:i/>
          <w:iCs/>
        </w:rPr>
        <w:t>Review of the Model Work Health and Safety Laws: Final Report</w:t>
      </w:r>
      <w:r w:rsidRPr="00A03B67">
        <w:t xml:space="preserve"> (Report, 2018) 66 &lt;https://www.safeworkaustralia.gov.au/system/files/documents/1902/review_of_the_model_whs_laws_final_report_0.pdf&gt;.</w:t>
      </w:r>
    </w:p>
  </w:footnote>
  <w:footnote w:id="1304">
    <w:p w14:paraId="4F1CD482" w14:textId="77777777" w:rsidR="00463F7C" w:rsidRPr="00A03B67" w:rsidRDefault="00463F7C" w:rsidP="00463F7C">
      <w:pPr>
        <w:pStyle w:val="FootnoteText"/>
      </w:pPr>
      <w:r w:rsidRPr="00A03B67">
        <w:rPr>
          <w:rStyle w:val="FootnoteReference"/>
        </w:rPr>
        <w:footnoteRef/>
      </w:r>
      <w:r w:rsidRPr="00A03B67">
        <w:t xml:space="preserve"> M Boland, </w:t>
      </w:r>
      <w:r w:rsidRPr="00A03B67">
        <w:rPr>
          <w:i/>
          <w:iCs/>
        </w:rPr>
        <w:t>Review of the Model Work Health and Safety Laws: Final Report</w:t>
      </w:r>
      <w:r w:rsidRPr="00A03B67">
        <w:t xml:space="preserve"> (Report, 2018) 68 &lt;https://www.safeworkaustralia.gov.au/system/files/documents/1902/review_of_the_model_whs_laws_final_report_0.pdf&gt;.</w:t>
      </w:r>
    </w:p>
  </w:footnote>
  <w:footnote w:id="1305">
    <w:p w14:paraId="2011553F" w14:textId="1A841E47" w:rsidR="00463F7C" w:rsidRDefault="00463F7C" w:rsidP="00463F7C">
      <w:pPr>
        <w:pStyle w:val="FootnoteText"/>
      </w:pPr>
      <w:r w:rsidRPr="00FD51E9">
        <w:rPr>
          <w:rStyle w:val="FootnoteReference"/>
        </w:rPr>
        <w:footnoteRef/>
      </w:r>
      <w:r w:rsidRPr="00FD51E9">
        <w:t xml:space="preserve"> </w:t>
      </w:r>
      <w:r w:rsidR="00FD51E9" w:rsidRPr="007C4436">
        <w:t xml:space="preserve">Department of Employment and Workplace Relations, </w:t>
      </w:r>
      <w:r w:rsidR="00FD51E9" w:rsidRPr="00FD51E9">
        <w:rPr>
          <w:i/>
          <w:iCs/>
        </w:rPr>
        <w:t>First Bi-Annual Report of the CFMEU Administrator</w:t>
      </w:r>
      <w:r w:rsidR="00FD51E9" w:rsidRPr="007C4436">
        <w:t xml:space="preserve"> (Report, 2025)</w:t>
      </w:r>
      <w:r w:rsidRPr="00FD51E9">
        <w:t>, 8</w:t>
      </w:r>
      <w:r w:rsidR="00F11064" w:rsidRPr="00FD51E9">
        <w:t xml:space="preserve"> [</w:t>
      </w:r>
      <w:r w:rsidRPr="00FD51E9">
        <w:t>30</w:t>
      </w:r>
      <w:r w:rsidR="00F11064" w:rsidRPr="00FD51E9">
        <w:t>]</w:t>
      </w:r>
      <w:r w:rsidRPr="00FD51E9">
        <w:t>.</w:t>
      </w:r>
    </w:p>
  </w:footnote>
  <w:footnote w:id="1306">
    <w:p w14:paraId="54001971" w14:textId="77777777" w:rsidR="00463F7C" w:rsidRPr="00A03B67" w:rsidRDefault="00463F7C" w:rsidP="00463F7C">
      <w:pPr>
        <w:pStyle w:val="FootnoteText"/>
      </w:pPr>
      <w:r w:rsidRPr="00A03B67">
        <w:rPr>
          <w:rStyle w:val="FootnoteReference"/>
        </w:rPr>
        <w:footnoteRef/>
      </w:r>
      <w:r w:rsidRPr="00A03B67">
        <w:t xml:space="preserve"> MBA </w:t>
      </w:r>
      <w:r w:rsidRPr="00A03B67">
        <w:rPr>
          <w:lang w:val="en-US"/>
        </w:rPr>
        <w:t>submission, 12.</w:t>
      </w:r>
    </w:p>
  </w:footnote>
  <w:footnote w:id="1307">
    <w:p w14:paraId="22DCEFCD" w14:textId="77777777" w:rsidR="00463F7C" w:rsidRPr="00A03B67" w:rsidRDefault="00463F7C" w:rsidP="00463F7C">
      <w:pPr>
        <w:pStyle w:val="FootnoteText"/>
      </w:pPr>
      <w:r w:rsidRPr="00A03B67">
        <w:rPr>
          <w:rStyle w:val="FootnoteReference"/>
        </w:rPr>
        <w:footnoteRef/>
      </w:r>
      <w:r w:rsidRPr="00A03B67">
        <w:t xml:space="preserve"> Ai Group </w:t>
      </w:r>
      <w:r w:rsidRPr="00A03B67">
        <w:rPr>
          <w:lang w:val="en-US"/>
        </w:rPr>
        <w:t>submission, 116.</w:t>
      </w:r>
    </w:p>
  </w:footnote>
  <w:footnote w:id="1308">
    <w:p w14:paraId="10E84698" w14:textId="77777777" w:rsidR="00463F7C" w:rsidRPr="00A03B67" w:rsidRDefault="00463F7C" w:rsidP="00463F7C">
      <w:pPr>
        <w:pStyle w:val="FootnoteText"/>
      </w:pPr>
      <w:r w:rsidRPr="00A03B67">
        <w:rPr>
          <w:rStyle w:val="FootnoteReference"/>
        </w:rPr>
        <w:footnoteRef/>
      </w:r>
      <w:r w:rsidRPr="00A03B67">
        <w:t xml:space="preserve"> CMEWA </w:t>
      </w:r>
      <w:r w:rsidRPr="00A03B67">
        <w:rPr>
          <w:lang w:val="en-US"/>
        </w:rPr>
        <w:t>submission, 3.</w:t>
      </w:r>
    </w:p>
  </w:footnote>
  <w:footnote w:id="1309">
    <w:p w14:paraId="39E8F4C2" w14:textId="77777777" w:rsidR="00463F7C" w:rsidRPr="00A03B67" w:rsidRDefault="00463F7C" w:rsidP="00463F7C">
      <w:pPr>
        <w:pStyle w:val="FootnoteText"/>
      </w:pPr>
      <w:r w:rsidRPr="00A03B67">
        <w:rPr>
          <w:rStyle w:val="FootnoteReference"/>
        </w:rPr>
        <w:footnoteRef/>
      </w:r>
      <w:r w:rsidRPr="00A03B67">
        <w:t xml:space="preserve"> ARA </w:t>
      </w:r>
      <w:r w:rsidRPr="00A03B67">
        <w:rPr>
          <w:lang w:val="en-US"/>
        </w:rPr>
        <w:t>submission, 14.</w:t>
      </w:r>
    </w:p>
  </w:footnote>
  <w:footnote w:id="1310">
    <w:p w14:paraId="39029184" w14:textId="77777777" w:rsidR="00463F7C" w:rsidRPr="00A03B67" w:rsidRDefault="00463F7C" w:rsidP="00463F7C">
      <w:pPr>
        <w:pStyle w:val="FootnoteText"/>
      </w:pPr>
      <w:r w:rsidRPr="00A03B67">
        <w:rPr>
          <w:rStyle w:val="FootnoteReference"/>
        </w:rPr>
        <w:footnoteRef/>
      </w:r>
      <w:r w:rsidRPr="00A03B67">
        <w:t xml:space="preserve"> BCA </w:t>
      </w:r>
      <w:r w:rsidRPr="00A03B67">
        <w:rPr>
          <w:lang w:val="en-US"/>
        </w:rPr>
        <w:t>submission, 17.</w:t>
      </w:r>
    </w:p>
  </w:footnote>
  <w:footnote w:id="1311">
    <w:p w14:paraId="32954308" w14:textId="77777777" w:rsidR="00463F7C" w:rsidRPr="00A03B67" w:rsidRDefault="00463F7C" w:rsidP="00463F7C">
      <w:pPr>
        <w:pStyle w:val="FootnoteText"/>
      </w:pPr>
      <w:r w:rsidRPr="00A03B67">
        <w:rPr>
          <w:rStyle w:val="FootnoteReference"/>
        </w:rPr>
        <w:footnoteRef/>
      </w:r>
      <w:r w:rsidRPr="00A03B67">
        <w:t xml:space="preserve"> HIA </w:t>
      </w:r>
      <w:r w:rsidRPr="00A03B67">
        <w:rPr>
          <w:lang w:val="en-US"/>
        </w:rPr>
        <w:t>submission, 4.</w:t>
      </w:r>
    </w:p>
  </w:footnote>
  <w:footnote w:id="1312">
    <w:p w14:paraId="233947B9" w14:textId="77777777" w:rsidR="00463F7C" w:rsidRPr="00A03B67" w:rsidRDefault="00463F7C" w:rsidP="00463F7C">
      <w:pPr>
        <w:pStyle w:val="FootnoteText"/>
      </w:pPr>
      <w:r w:rsidRPr="00A03B67">
        <w:rPr>
          <w:rStyle w:val="FootnoteReference"/>
        </w:rPr>
        <w:footnoteRef/>
      </w:r>
      <w:r w:rsidRPr="00A03B67">
        <w:t xml:space="preserve"> CCIWA </w:t>
      </w:r>
      <w:r w:rsidRPr="00A03B67">
        <w:rPr>
          <w:lang w:val="en-US"/>
        </w:rPr>
        <w:t>submission, 14.</w:t>
      </w:r>
    </w:p>
  </w:footnote>
  <w:footnote w:id="1313">
    <w:p w14:paraId="6781586D" w14:textId="77777777" w:rsidR="00463F7C" w:rsidRPr="00A03B67" w:rsidRDefault="00463F7C" w:rsidP="00463F7C">
      <w:pPr>
        <w:pStyle w:val="FootnoteText"/>
        <w:rPr>
          <w:lang w:val="en-US"/>
        </w:rPr>
      </w:pPr>
      <w:r w:rsidRPr="00A03B67">
        <w:rPr>
          <w:rStyle w:val="FootnoteReference"/>
        </w:rPr>
        <w:footnoteRef/>
      </w:r>
      <w:r w:rsidRPr="00A03B67">
        <w:t xml:space="preserve"> </w:t>
      </w:r>
      <w:r w:rsidRPr="00A03B67">
        <w:rPr>
          <w:lang w:val="en-US"/>
        </w:rPr>
        <w:t xml:space="preserve">Right of entry training programs are designed to ensure parties understand right of entry provisions under the Fair Work Act and ensure persons who enter workplaces understand their rights and responsibilities: ACTU, </w:t>
      </w:r>
      <w:r w:rsidRPr="00A03B67">
        <w:rPr>
          <w:i/>
          <w:iCs/>
          <w:lang w:val="en-US"/>
        </w:rPr>
        <w:t>Federal Right of Entry</w:t>
      </w:r>
      <w:r w:rsidRPr="00A03B67">
        <w:rPr>
          <w:lang w:val="en-US"/>
        </w:rPr>
        <w:t xml:space="preserve"> (Web Page, n.d.) &lt;https://atui.org.au/course/federal-right-of-entry/&gt;.</w:t>
      </w:r>
    </w:p>
  </w:footnote>
  <w:footnote w:id="1314">
    <w:p w14:paraId="682A2DBB" w14:textId="1D563429" w:rsidR="00463F7C" w:rsidRPr="00A03B67" w:rsidRDefault="00463F7C" w:rsidP="00463F7C">
      <w:pPr>
        <w:pStyle w:val="FootnoteText"/>
        <w:rPr>
          <w:lang w:val="en-US"/>
        </w:rPr>
      </w:pPr>
      <w:r w:rsidRPr="00A03B67">
        <w:rPr>
          <w:rStyle w:val="FootnoteReference"/>
        </w:rPr>
        <w:footnoteRef/>
      </w:r>
      <w:r w:rsidRPr="00A03B67">
        <w:t xml:space="preserve"> ACCI </w:t>
      </w:r>
      <w:r w:rsidRPr="00A03B67">
        <w:rPr>
          <w:lang w:val="en-US"/>
        </w:rPr>
        <w:t>submission, [277]</w:t>
      </w:r>
      <w:r w:rsidRPr="00A03B67">
        <w:rPr>
          <w:rFonts w:ascii="Symbol" w:eastAsia="Symbol" w:hAnsi="Symbol" w:cs="Symbol"/>
          <w:lang w:val="en-US"/>
        </w:rPr>
        <w:t>-</w:t>
      </w:r>
      <w:r w:rsidRPr="00A03B67">
        <w:rPr>
          <w:lang w:val="en-US"/>
        </w:rPr>
        <w:t>[278].</w:t>
      </w:r>
    </w:p>
  </w:footnote>
  <w:footnote w:id="1315">
    <w:p w14:paraId="3569B7F1" w14:textId="77777777" w:rsidR="005D418D" w:rsidRPr="00A03B67" w:rsidRDefault="005D418D" w:rsidP="005D418D">
      <w:pPr>
        <w:pStyle w:val="FootnoteText"/>
      </w:pPr>
      <w:r w:rsidRPr="00A03B67">
        <w:rPr>
          <w:rStyle w:val="FootnoteReference"/>
        </w:rPr>
        <w:footnoteRef/>
      </w:r>
      <w:r w:rsidRPr="00A03B67">
        <w:t xml:space="preserve"> ACCI submission, [281]</w:t>
      </w:r>
      <w:r w:rsidRPr="00A03B67">
        <w:rPr>
          <w:lang w:val="en-US"/>
        </w:rPr>
        <w:t xml:space="preserve"> </w:t>
      </w:r>
      <w:r w:rsidRPr="00A03B67">
        <w:rPr>
          <w:rFonts w:ascii="Symbol" w:eastAsia="Symbol" w:hAnsi="Symbol" w:cs="Symbol"/>
          <w:lang w:val="en-US"/>
        </w:rPr>
        <w:t>-</w:t>
      </w:r>
      <w:r w:rsidRPr="00A03B67">
        <w:rPr>
          <w:lang w:val="en-US"/>
        </w:rPr>
        <w:t>[282].</w:t>
      </w:r>
    </w:p>
  </w:footnote>
  <w:footnote w:id="1316">
    <w:p w14:paraId="09B5F2A1" w14:textId="151F8CA4" w:rsidR="00463F7C" w:rsidRPr="00A03B67" w:rsidRDefault="00463F7C" w:rsidP="00463F7C">
      <w:pPr>
        <w:pStyle w:val="FootnoteText"/>
        <w:rPr>
          <w:lang w:val="en-US"/>
        </w:rPr>
      </w:pPr>
      <w:r w:rsidRPr="00A03B67">
        <w:rPr>
          <w:rStyle w:val="FootnoteReference"/>
        </w:rPr>
        <w:footnoteRef/>
      </w:r>
      <w:r w:rsidRPr="00A03B67">
        <w:t xml:space="preserve"> MCA </w:t>
      </w:r>
      <w:r w:rsidRPr="00A03B67">
        <w:rPr>
          <w:lang w:val="en-US"/>
        </w:rPr>
        <w:t>submission, 28.</w:t>
      </w:r>
    </w:p>
  </w:footnote>
  <w:footnote w:id="1317">
    <w:p w14:paraId="2429D1D2" w14:textId="77777777" w:rsidR="00463F7C" w:rsidRPr="00A03B67" w:rsidRDefault="00463F7C" w:rsidP="00463F7C">
      <w:pPr>
        <w:pStyle w:val="FootnoteText"/>
        <w:rPr>
          <w:lang w:val="en-US"/>
        </w:rPr>
      </w:pPr>
      <w:r w:rsidRPr="00A03B67">
        <w:rPr>
          <w:rStyle w:val="FootnoteReference"/>
        </w:rPr>
        <w:footnoteRef/>
      </w:r>
      <w:r w:rsidRPr="00A03B67">
        <w:t xml:space="preserve"> </w:t>
      </w:r>
      <w:r w:rsidRPr="00A03B67">
        <w:rPr>
          <w:lang w:val="en-US"/>
        </w:rPr>
        <w:t>Maritime Industry Australia Ltd submission, 16.</w:t>
      </w:r>
    </w:p>
  </w:footnote>
  <w:footnote w:id="1318">
    <w:p w14:paraId="73633C21" w14:textId="77777777" w:rsidR="00463F7C" w:rsidRPr="00A03B67" w:rsidRDefault="00463F7C" w:rsidP="00463F7C">
      <w:pPr>
        <w:pStyle w:val="FootnoteText"/>
        <w:rPr>
          <w:lang w:val="en-US"/>
        </w:rPr>
      </w:pPr>
      <w:r w:rsidRPr="00A03B67">
        <w:rPr>
          <w:rStyle w:val="FootnoteReference"/>
        </w:rPr>
        <w:footnoteRef/>
      </w:r>
      <w:r w:rsidRPr="00A03B67">
        <w:t xml:space="preserve"> ACCI </w:t>
      </w:r>
      <w:r w:rsidRPr="00A03B67">
        <w:rPr>
          <w:lang w:val="en-US"/>
        </w:rPr>
        <w:t>submission, 106.</w:t>
      </w:r>
    </w:p>
  </w:footnote>
  <w:footnote w:id="1319">
    <w:p w14:paraId="4106ABD5" w14:textId="77777777" w:rsidR="00463F7C" w:rsidRPr="00A03B67" w:rsidRDefault="00463F7C" w:rsidP="00463F7C">
      <w:pPr>
        <w:pStyle w:val="FootnoteText"/>
      </w:pPr>
      <w:r w:rsidRPr="00A03B67">
        <w:rPr>
          <w:rStyle w:val="FootnoteReference"/>
        </w:rPr>
        <w:footnoteRef/>
      </w:r>
      <w:r w:rsidRPr="00A03B67">
        <w:t xml:space="preserve"> AWU </w:t>
      </w:r>
      <w:r w:rsidRPr="00A03B67">
        <w:rPr>
          <w:lang w:val="en-US"/>
        </w:rPr>
        <w:t>submission, 43.</w:t>
      </w:r>
    </w:p>
  </w:footnote>
  <w:footnote w:id="1320">
    <w:p w14:paraId="37FAEF4F" w14:textId="1968FC71" w:rsidR="00463F7C" w:rsidRPr="00A03B67" w:rsidRDefault="00463F7C" w:rsidP="00463F7C">
      <w:pPr>
        <w:pStyle w:val="FootnoteText"/>
        <w:rPr>
          <w:lang w:val="en-US"/>
        </w:rPr>
      </w:pPr>
      <w:r w:rsidRPr="00A03B67">
        <w:rPr>
          <w:rStyle w:val="FootnoteReference"/>
        </w:rPr>
        <w:footnoteRef/>
      </w:r>
      <w:r w:rsidRPr="00A03B67">
        <w:t xml:space="preserve"> CFMEU </w:t>
      </w:r>
      <w:r w:rsidRPr="00A03B67">
        <w:rPr>
          <w:lang w:val="en-US"/>
        </w:rPr>
        <w:t>submission, 7.</w:t>
      </w:r>
    </w:p>
  </w:footnote>
  <w:footnote w:id="1321">
    <w:p w14:paraId="30BB76E0" w14:textId="77777777" w:rsidR="00463F7C" w:rsidRPr="00A03B67" w:rsidRDefault="00463F7C" w:rsidP="00463F7C">
      <w:pPr>
        <w:pStyle w:val="FootnoteText"/>
        <w:rPr>
          <w:lang w:val="en-US"/>
        </w:rPr>
      </w:pPr>
      <w:r w:rsidRPr="00A03B67">
        <w:rPr>
          <w:rStyle w:val="FootnoteReference"/>
        </w:rPr>
        <w:footnoteRef/>
      </w:r>
      <w:r w:rsidRPr="00A03B67">
        <w:t xml:space="preserve"> CFMEU </w:t>
      </w:r>
      <w:r w:rsidRPr="00A03B67">
        <w:rPr>
          <w:lang w:val="en-US"/>
        </w:rPr>
        <w:t>submission, 8.</w:t>
      </w:r>
    </w:p>
  </w:footnote>
  <w:footnote w:id="1322">
    <w:p w14:paraId="22CC4CAA" w14:textId="2446DB7E" w:rsidR="00463F7C" w:rsidRDefault="00463F7C" w:rsidP="00463F7C">
      <w:pPr>
        <w:pStyle w:val="FootnoteText"/>
      </w:pPr>
      <w:r>
        <w:rPr>
          <w:rStyle w:val="FootnoteReference"/>
        </w:rPr>
        <w:footnoteRef/>
      </w:r>
      <w:r>
        <w:t xml:space="preserve"> ACCI submission in response to </w:t>
      </w:r>
      <w:r w:rsidR="00F11064">
        <w:t>d</w:t>
      </w:r>
      <w:r>
        <w:t xml:space="preserve">raft </w:t>
      </w:r>
      <w:r w:rsidR="00F11064">
        <w:t>r</w:t>
      </w:r>
      <w:r>
        <w:t>eport, 32</w:t>
      </w:r>
      <w:r w:rsidR="00F11064">
        <w:t xml:space="preserve"> [</w:t>
      </w:r>
      <w:r>
        <w:t>83</w:t>
      </w:r>
      <w:r w:rsidR="00F11064">
        <w:t>]</w:t>
      </w:r>
      <w:r>
        <w:t xml:space="preserve">; Ai Group submission in response to </w:t>
      </w:r>
      <w:r w:rsidR="00F11064">
        <w:t>d</w:t>
      </w:r>
      <w:r>
        <w:t xml:space="preserve">raft </w:t>
      </w:r>
      <w:r w:rsidR="00F11064">
        <w:t>r</w:t>
      </w:r>
      <w:r>
        <w:t>eport, 81</w:t>
      </w:r>
      <w:r w:rsidR="00F11064">
        <w:t xml:space="preserve"> [</w:t>
      </w:r>
      <w:r>
        <w:t>363</w:t>
      </w:r>
      <w:r w:rsidR="00F11064">
        <w:t>]</w:t>
      </w:r>
      <w:r>
        <w:t xml:space="preserve">; BCA submission in response to </w:t>
      </w:r>
      <w:r w:rsidR="00F11064">
        <w:t>d</w:t>
      </w:r>
      <w:r>
        <w:t xml:space="preserve">raft </w:t>
      </w:r>
      <w:r w:rsidR="00F11064">
        <w:t>r</w:t>
      </w:r>
      <w:r>
        <w:t xml:space="preserve">eport, 11; ARA submission in response to </w:t>
      </w:r>
      <w:r w:rsidR="00F11064">
        <w:t>d</w:t>
      </w:r>
      <w:r>
        <w:t xml:space="preserve">raft </w:t>
      </w:r>
      <w:r w:rsidR="00F11064">
        <w:t>r</w:t>
      </w:r>
      <w:r>
        <w:t>eport, 3</w:t>
      </w:r>
      <w:r w:rsidR="00F11064">
        <w:rPr>
          <w:rFonts w:ascii="Symbol" w:eastAsia="Symbol" w:hAnsi="Symbol" w:cs="Symbol"/>
        </w:rPr>
        <w:t>-</w:t>
      </w:r>
      <w:r>
        <w:t xml:space="preserve">4; MCA submission in response to </w:t>
      </w:r>
      <w:r w:rsidR="00F11064">
        <w:t>d</w:t>
      </w:r>
      <w:r>
        <w:t xml:space="preserve">raft </w:t>
      </w:r>
      <w:r w:rsidR="00F11064">
        <w:t>r</w:t>
      </w:r>
      <w:r>
        <w:t xml:space="preserve">eport, 3; HIA submission in response to </w:t>
      </w:r>
      <w:r w:rsidR="00F11064">
        <w:t>d</w:t>
      </w:r>
      <w:r>
        <w:t xml:space="preserve">raft </w:t>
      </w:r>
      <w:r w:rsidR="00F11064">
        <w:t>r</w:t>
      </w:r>
      <w:r>
        <w:t>eport, 3</w:t>
      </w:r>
      <w:r w:rsidR="00F11064">
        <w:rPr>
          <w:rFonts w:ascii="Symbol" w:eastAsia="Symbol" w:hAnsi="Symbol" w:cs="Symbol"/>
        </w:rPr>
        <w:t>-</w:t>
      </w:r>
      <w:r>
        <w:t>4.</w:t>
      </w:r>
    </w:p>
  </w:footnote>
  <w:footnote w:id="1323">
    <w:p w14:paraId="12A5CEB5" w14:textId="44C2E759" w:rsidR="00463F7C" w:rsidRDefault="00463F7C" w:rsidP="00463F7C">
      <w:pPr>
        <w:pStyle w:val="FootnoteText"/>
      </w:pPr>
      <w:r>
        <w:rPr>
          <w:rStyle w:val="FootnoteReference"/>
        </w:rPr>
        <w:footnoteRef/>
      </w:r>
      <w:r>
        <w:t xml:space="preserve"> ACTU submission in response to </w:t>
      </w:r>
      <w:r w:rsidR="00F11064">
        <w:t>d</w:t>
      </w:r>
      <w:r>
        <w:t xml:space="preserve">raft </w:t>
      </w:r>
      <w:r w:rsidR="00F11064">
        <w:t>r</w:t>
      </w:r>
      <w:r>
        <w:t>eport, 3</w:t>
      </w:r>
      <w:r w:rsidR="00F11064">
        <w:rPr>
          <w:rFonts w:ascii="Symbol" w:eastAsia="Symbol" w:hAnsi="Symbol" w:cs="Symbol"/>
        </w:rPr>
        <w:t>-</w:t>
      </w:r>
      <w:r>
        <w:t xml:space="preserve">4; </w:t>
      </w:r>
      <w:r w:rsidRPr="00697030">
        <w:t>Ai Group submission in response</w:t>
      </w:r>
      <w:r>
        <w:t xml:space="preserve"> to </w:t>
      </w:r>
      <w:r w:rsidR="00F11064">
        <w:t>d</w:t>
      </w:r>
      <w:r>
        <w:t xml:space="preserve">raft </w:t>
      </w:r>
      <w:r w:rsidR="00F11064">
        <w:t>r</w:t>
      </w:r>
      <w:r>
        <w:t>eport, 81.</w:t>
      </w:r>
    </w:p>
  </w:footnote>
  <w:footnote w:id="1324">
    <w:p w14:paraId="5631D013" w14:textId="54C7CE82" w:rsidR="00677577" w:rsidRPr="00A03B67" w:rsidRDefault="00677577" w:rsidP="00677577">
      <w:pPr>
        <w:pStyle w:val="FootnoteText"/>
        <w:rPr>
          <w:rFonts w:ascii="Calibri" w:hAnsi="Calibri" w:cs="Calibri"/>
          <w:lang w:val="en-US"/>
        </w:rPr>
      </w:pPr>
      <w:r w:rsidRPr="00A03B67">
        <w:rPr>
          <w:rStyle w:val="FootnoteReference"/>
          <w:rFonts w:ascii="Calibri" w:hAnsi="Calibri" w:cs="Calibri"/>
        </w:rPr>
        <w:footnoteRef/>
      </w:r>
      <w:r w:rsidRPr="00A03B67">
        <w:rPr>
          <w:rFonts w:ascii="Calibri" w:hAnsi="Calibri" w:cs="Calibri"/>
        </w:rPr>
        <w:t xml:space="preserve"> </w:t>
      </w:r>
      <w:r w:rsidRPr="00A03B67">
        <w:rPr>
          <w:rFonts w:ascii="Calibri" w:hAnsi="Calibri" w:cs="Calibri"/>
          <w:lang w:val="en-US"/>
        </w:rPr>
        <w:t xml:space="preserve">Disclaimer: </w:t>
      </w:r>
      <w:r w:rsidRPr="00A03B67">
        <w:rPr>
          <w:rFonts w:ascii="Calibri" w:hAnsi="Calibri" w:cs="Calibri"/>
        </w:rPr>
        <w:t>The unit record data from the HILDA Survey was obtained from the Australian Data Archive, which is hosted by The Australian National University. The HILDA Survey was initiated and is funded by the Australian Government Department of Social Services (DSS) and is managed by the Melbourne Institute of Applied Economic and Social Research (Melbourne Institute). The findings and views based on the data, however, are those of the authors and should not be attributed to the Australian Government, DSS, the Melbourne Institute, the Australian Data Archive or The Australian National University and none of those entities bear any responsibility for the analysis or interpretation of the unit record data from the HILDA Survey provided by the authors</w:t>
      </w:r>
      <w:r w:rsidR="00F11064">
        <w:rPr>
          <w:rFonts w:ascii="Calibri" w:hAnsi="Calibri" w:cs="Calibri"/>
        </w:rPr>
        <w:t>.</w:t>
      </w:r>
    </w:p>
  </w:footnote>
  <w:footnote w:id="1325">
    <w:p w14:paraId="50085433" w14:textId="7BEE76EE" w:rsidR="00677577" w:rsidRPr="00A03B67" w:rsidRDefault="00677577" w:rsidP="00677577">
      <w:pPr>
        <w:pStyle w:val="FootnoteText"/>
        <w:rPr>
          <w:rFonts w:ascii="Calibri" w:hAnsi="Calibri" w:cs="Calibri"/>
          <w:lang w:val="en-US"/>
        </w:rPr>
      </w:pPr>
      <w:r w:rsidRPr="00A03B67">
        <w:rPr>
          <w:rStyle w:val="FootnoteReference"/>
          <w:rFonts w:ascii="Calibri" w:hAnsi="Calibri" w:cs="Calibri"/>
        </w:rPr>
        <w:footnoteRef/>
      </w:r>
      <w:r w:rsidRPr="00A03B67">
        <w:rPr>
          <w:rFonts w:ascii="Calibri" w:hAnsi="Calibri" w:cs="Calibri"/>
        </w:rPr>
        <w:t xml:space="preserve"> </w:t>
      </w:r>
      <w:r w:rsidRPr="00A03B67">
        <w:rPr>
          <w:rFonts w:ascii="Calibri" w:hAnsi="Calibri" w:cs="Calibri"/>
          <w:lang w:val="en-US"/>
        </w:rPr>
        <w:t>ABS Labour Force, Australia (Cat No 6202.0).</w:t>
      </w:r>
    </w:p>
  </w:footnote>
  <w:footnote w:id="1326">
    <w:p w14:paraId="6A93068F" w14:textId="77777777" w:rsidR="00677577" w:rsidRPr="00A03B67" w:rsidRDefault="00677577" w:rsidP="00677577">
      <w:pPr>
        <w:pStyle w:val="FootnoteText"/>
        <w:rPr>
          <w:lang w:val="en-US"/>
        </w:rPr>
      </w:pPr>
      <w:r w:rsidRPr="00A03B67">
        <w:rPr>
          <w:rStyle w:val="FootnoteReference"/>
        </w:rPr>
        <w:footnoteRef/>
      </w:r>
      <w:r w:rsidRPr="00A03B67">
        <w:t xml:space="preserve"> </w:t>
      </w:r>
      <w:r w:rsidRPr="00A03B67">
        <w:rPr>
          <w:lang w:val="en-US"/>
        </w:rPr>
        <w:t>ABS Labour Force, Australia, Detailed. Cat No 6291.0.55.001.</w:t>
      </w:r>
    </w:p>
  </w:footnote>
  <w:footnote w:id="1327">
    <w:p w14:paraId="256F9A94" w14:textId="42215440" w:rsidR="00677577" w:rsidRPr="00A03B67" w:rsidRDefault="00677577" w:rsidP="00677577">
      <w:pPr>
        <w:pStyle w:val="FootnoteText"/>
        <w:rPr>
          <w:lang w:val="en-US"/>
        </w:rPr>
      </w:pPr>
      <w:r w:rsidRPr="00A03B67">
        <w:rPr>
          <w:rStyle w:val="FootnoteReference"/>
        </w:rPr>
        <w:footnoteRef/>
      </w:r>
      <w:r w:rsidRPr="00A03B67">
        <w:t xml:space="preserve"> </w:t>
      </w:r>
      <w:r w:rsidRPr="00A03B67">
        <w:rPr>
          <w:lang w:val="en-US"/>
        </w:rPr>
        <w:t>Data in the ABS Working Arrangements series start at 2015. Unless otherwise stated, all data from the ABS Working Arrangements series are original series.</w:t>
      </w:r>
    </w:p>
  </w:footnote>
  <w:footnote w:id="1328">
    <w:p w14:paraId="591142CA" w14:textId="1510118E" w:rsidR="00677577" w:rsidRPr="00CE4713" w:rsidRDefault="00677577" w:rsidP="00200AA6">
      <w:pPr>
        <w:rPr>
          <w:lang w:val="en-US"/>
        </w:rPr>
      </w:pPr>
      <w:r>
        <w:rPr>
          <w:rStyle w:val="FootnoteReference"/>
        </w:rPr>
        <w:footnoteRef/>
      </w:r>
      <w:r>
        <w:t xml:space="preserve"> </w:t>
      </w:r>
      <w:r w:rsidRPr="0007268A">
        <w:rPr>
          <w:sz w:val="18"/>
          <w:szCs w:val="18"/>
        </w:rPr>
        <w:t>Federal Reserve Bank of St Louis</w:t>
      </w:r>
      <w:r w:rsidR="00F11064">
        <w:rPr>
          <w:sz w:val="18"/>
          <w:szCs w:val="18"/>
        </w:rPr>
        <w:t>,</w:t>
      </w:r>
      <w:r w:rsidRPr="0007268A">
        <w:rPr>
          <w:sz w:val="18"/>
          <w:szCs w:val="18"/>
        </w:rPr>
        <w:t xml:space="preserve"> </w:t>
      </w:r>
      <w:r w:rsidR="00F11064">
        <w:rPr>
          <w:sz w:val="18"/>
          <w:szCs w:val="18"/>
        </w:rPr>
        <w:t>‘</w:t>
      </w:r>
      <w:r w:rsidRPr="0007268A">
        <w:rPr>
          <w:sz w:val="18"/>
          <w:szCs w:val="18"/>
        </w:rPr>
        <w:t xml:space="preserve">When </w:t>
      </w:r>
      <w:r w:rsidR="00F11064">
        <w:rPr>
          <w:sz w:val="18"/>
          <w:szCs w:val="18"/>
        </w:rPr>
        <w:t>C</w:t>
      </w:r>
      <w:r w:rsidRPr="0007268A">
        <w:rPr>
          <w:sz w:val="18"/>
          <w:szCs w:val="18"/>
        </w:rPr>
        <w:t xml:space="preserve">omparing </w:t>
      </w:r>
      <w:r w:rsidR="00F11064">
        <w:rPr>
          <w:sz w:val="18"/>
          <w:szCs w:val="18"/>
        </w:rPr>
        <w:t>W</w:t>
      </w:r>
      <w:r w:rsidRPr="0007268A">
        <w:rPr>
          <w:sz w:val="18"/>
          <w:szCs w:val="18"/>
        </w:rPr>
        <w:t xml:space="preserve">ages and </w:t>
      </w:r>
      <w:r w:rsidR="00F11064">
        <w:rPr>
          <w:sz w:val="18"/>
          <w:szCs w:val="18"/>
        </w:rPr>
        <w:t>W</w:t>
      </w:r>
      <w:r w:rsidRPr="0007268A">
        <w:rPr>
          <w:sz w:val="18"/>
          <w:szCs w:val="18"/>
        </w:rPr>
        <w:t xml:space="preserve">orker </w:t>
      </w:r>
      <w:r w:rsidR="00F11064">
        <w:rPr>
          <w:sz w:val="18"/>
          <w:szCs w:val="18"/>
        </w:rPr>
        <w:t>P</w:t>
      </w:r>
      <w:r w:rsidRPr="0007268A">
        <w:rPr>
          <w:sz w:val="18"/>
          <w:szCs w:val="18"/>
        </w:rPr>
        <w:t xml:space="preserve">roductivity, </w:t>
      </w:r>
      <w:r w:rsidRPr="0007268A" w:rsidDel="00F11064">
        <w:rPr>
          <w:sz w:val="18"/>
          <w:szCs w:val="18"/>
        </w:rPr>
        <w:t xml:space="preserve">The </w:t>
      </w:r>
      <w:r w:rsidR="00F11064">
        <w:rPr>
          <w:sz w:val="18"/>
          <w:szCs w:val="18"/>
        </w:rPr>
        <w:t>P</w:t>
      </w:r>
      <w:r w:rsidRPr="0007268A">
        <w:rPr>
          <w:sz w:val="18"/>
          <w:szCs w:val="18"/>
        </w:rPr>
        <w:t xml:space="preserve">rice </w:t>
      </w:r>
      <w:r w:rsidR="00F11064">
        <w:rPr>
          <w:sz w:val="18"/>
          <w:szCs w:val="18"/>
        </w:rPr>
        <w:t>M</w:t>
      </w:r>
      <w:r w:rsidRPr="0007268A">
        <w:rPr>
          <w:sz w:val="18"/>
          <w:szCs w:val="18"/>
        </w:rPr>
        <w:t xml:space="preserve">easure </w:t>
      </w:r>
      <w:r w:rsidR="00F11064">
        <w:rPr>
          <w:sz w:val="18"/>
          <w:szCs w:val="18"/>
        </w:rPr>
        <w:t>M</w:t>
      </w:r>
      <w:r w:rsidRPr="0007268A">
        <w:rPr>
          <w:sz w:val="18"/>
          <w:szCs w:val="18"/>
        </w:rPr>
        <w:t>atters</w:t>
      </w:r>
      <w:r w:rsidR="00F11064">
        <w:rPr>
          <w:sz w:val="18"/>
          <w:szCs w:val="18"/>
        </w:rPr>
        <w:t>’</w:t>
      </w:r>
      <w:r w:rsidRPr="0007268A">
        <w:rPr>
          <w:sz w:val="18"/>
          <w:szCs w:val="18"/>
        </w:rPr>
        <w:t xml:space="preserve"> </w:t>
      </w:r>
      <w:r w:rsidR="00F11064">
        <w:rPr>
          <w:sz w:val="18"/>
          <w:szCs w:val="18"/>
        </w:rPr>
        <w:t>(b</w:t>
      </w:r>
      <w:r w:rsidRPr="0007268A">
        <w:rPr>
          <w:sz w:val="18"/>
          <w:szCs w:val="18"/>
        </w:rPr>
        <w:t>log, March</w:t>
      </w:r>
      <w:r w:rsidR="00F11064">
        <w:rPr>
          <w:sz w:val="18"/>
          <w:szCs w:val="18"/>
        </w:rPr>
        <w:t>)</w:t>
      </w:r>
      <w:r w:rsidRPr="0007268A">
        <w:rPr>
          <w:sz w:val="18"/>
          <w:szCs w:val="18"/>
        </w:rPr>
        <w:t xml:space="preserve"> </w:t>
      </w:r>
      <w:r w:rsidR="00F11064">
        <w:rPr>
          <w:sz w:val="18"/>
          <w:szCs w:val="18"/>
        </w:rPr>
        <w:t>&lt;</w:t>
      </w:r>
      <w:r w:rsidRPr="00962F57">
        <w:rPr>
          <w:sz w:val="18"/>
          <w:szCs w:val="18"/>
        </w:rPr>
        <w:t>https://fredblog.stlouisfed.org/2023/03/when-comparing-wages-and-worker-productivity-the-price-measure-matters/?utm_source=chatgpt.com</w:t>
      </w:r>
      <w:r w:rsidR="00F11064">
        <w:rPr>
          <w:sz w:val="18"/>
          <w:szCs w:val="18"/>
        </w:rPr>
        <w:t>&gt;.</w:t>
      </w:r>
    </w:p>
  </w:footnote>
  <w:footnote w:id="1329">
    <w:p w14:paraId="063C2C1C" w14:textId="00BB1F16" w:rsidR="00677577" w:rsidRPr="00A03B67" w:rsidRDefault="00677577" w:rsidP="00677577">
      <w:pPr>
        <w:pStyle w:val="FootnoteText"/>
        <w:rPr>
          <w:rFonts w:ascii="Calibri" w:hAnsi="Calibri" w:cs="Calibri"/>
          <w:lang w:val="en-US"/>
        </w:rPr>
      </w:pPr>
      <w:r w:rsidRPr="00A03B67">
        <w:rPr>
          <w:rStyle w:val="FootnoteReference"/>
          <w:rFonts w:ascii="Calibri" w:hAnsi="Calibri" w:cs="Calibri"/>
        </w:rPr>
        <w:footnoteRef/>
      </w:r>
      <w:r w:rsidRPr="00A03B67">
        <w:rPr>
          <w:rFonts w:ascii="Calibri" w:hAnsi="Calibri" w:cs="Calibri"/>
        </w:rPr>
        <w:t xml:space="preserve"> </w:t>
      </w:r>
      <w:r w:rsidRPr="00A03B67">
        <w:rPr>
          <w:rFonts w:ascii="Calibri" w:hAnsi="Calibri" w:cs="Calibri"/>
          <w:lang w:val="en-US"/>
        </w:rPr>
        <w:t xml:space="preserve">The Productivity Commission, as part of its ‘PC productivity insights’ series, also discusses wage measurement issues and available data sources. See Productivity Commission, </w:t>
      </w:r>
      <w:r w:rsidRPr="00A03B67">
        <w:rPr>
          <w:rFonts w:ascii="Calibri" w:hAnsi="Calibri" w:cs="Calibri"/>
          <w:i/>
          <w:iCs/>
          <w:lang w:val="en-US"/>
        </w:rPr>
        <w:t>Productivity Growth and Wages – A Forensic Look</w:t>
      </w:r>
      <w:r w:rsidRPr="00A03B67">
        <w:rPr>
          <w:rFonts w:ascii="Calibri" w:hAnsi="Calibri" w:cs="Calibri"/>
          <w:lang w:val="en-US"/>
        </w:rPr>
        <w:t xml:space="preserve"> (September 2023) Appendices &lt;https://www.pc.gov.au/ongoing/productivity-insights/productivity-growth-wages&gt;.</w:t>
      </w:r>
    </w:p>
  </w:footnote>
  <w:footnote w:id="1330">
    <w:p w14:paraId="4D74D0CA" w14:textId="25A449E3" w:rsidR="00677577" w:rsidRPr="00A03B67" w:rsidRDefault="00677577" w:rsidP="00677577">
      <w:pPr>
        <w:pStyle w:val="FootnoteText"/>
        <w:rPr>
          <w:rFonts w:ascii="Calibri" w:hAnsi="Calibri" w:cs="Calibri"/>
          <w:lang w:val="en-US"/>
        </w:rPr>
      </w:pPr>
      <w:r w:rsidRPr="00A03B67">
        <w:rPr>
          <w:rStyle w:val="FootnoteReference"/>
          <w:rFonts w:ascii="Calibri" w:hAnsi="Calibri" w:cs="Calibri"/>
        </w:rPr>
        <w:footnoteRef/>
      </w:r>
      <w:r w:rsidRPr="00A03B67">
        <w:rPr>
          <w:rFonts w:ascii="Calibri" w:hAnsi="Calibri" w:cs="Calibri"/>
        </w:rPr>
        <w:t xml:space="preserve"> The Treasury, </w:t>
      </w:r>
      <w:r w:rsidRPr="00A03B67">
        <w:rPr>
          <w:rFonts w:ascii="Calibri" w:hAnsi="Calibri" w:cs="Calibri"/>
          <w:i/>
          <w:iCs/>
        </w:rPr>
        <w:t>Analysis of Wage Growth</w:t>
      </w:r>
      <w:r w:rsidRPr="00A03B67">
        <w:rPr>
          <w:rFonts w:ascii="Calibri" w:hAnsi="Calibri" w:cs="Calibri"/>
        </w:rPr>
        <w:t xml:space="preserve"> (November 2017) 4 &lt;https://treasury.gov.au/sites/default/files/2019-03/p2017-t237966.pdf&gt;.</w:t>
      </w:r>
    </w:p>
  </w:footnote>
  <w:footnote w:id="1331">
    <w:p w14:paraId="157AAC14" w14:textId="77777777" w:rsidR="00677577" w:rsidRPr="00A03B67" w:rsidRDefault="00677577" w:rsidP="00677577">
      <w:pPr>
        <w:pStyle w:val="FootnoteText"/>
        <w:rPr>
          <w:lang w:val="en-US"/>
        </w:rPr>
      </w:pPr>
      <w:r w:rsidRPr="00A03B67">
        <w:rPr>
          <w:rStyle w:val="FootnoteReference"/>
        </w:rPr>
        <w:footnoteRef/>
      </w:r>
      <w:r w:rsidRPr="00A03B67">
        <w:t xml:space="preserve"> </w:t>
      </w:r>
      <w:r w:rsidRPr="00A03B67">
        <w:rPr>
          <w:lang w:val="en-US"/>
        </w:rPr>
        <w:t xml:space="preserve">M Smith and G Whitehouse, ‘Wage-setting and Gender Pay Equality in Australia: Advances, Retreats and Future Prospects’ (2020) 62(4) </w:t>
      </w:r>
      <w:r w:rsidRPr="00A03B67">
        <w:rPr>
          <w:i/>
          <w:iCs/>
          <w:lang w:val="en-US"/>
        </w:rPr>
        <w:t xml:space="preserve">Journal of Industrial Relations </w:t>
      </w:r>
      <w:r w:rsidRPr="00A03B67">
        <w:rPr>
          <w:lang w:val="en-US"/>
        </w:rPr>
        <w:t>533.</w:t>
      </w:r>
    </w:p>
  </w:footnote>
  <w:footnote w:id="1332">
    <w:p w14:paraId="1E2834D0" w14:textId="195B1728" w:rsidR="00677577" w:rsidRPr="00A03B67" w:rsidRDefault="00677577" w:rsidP="00677577">
      <w:pPr>
        <w:pStyle w:val="FootnoteText"/>
      </w:pPr>
      <w:r w:rsidRPr="00A03B67">
        <w:rPr>
          <w:rStyle w:val="FootnoteReference"/>
        </w:rPr>
        <w:footnoteRef/>
      </w:r>
      <w:r w:rsidRPr="00A03B67">
        <w:t xml:space="preserve"> In the </w:t>
      </w:r>
      <w:r w:rsidRPr="00A03B67">
        <w:rPr>
          <w:i/>
          <w:iCs/>
        </w:rPr>
        <w:t>Annual Wage Review 2023</w:t>
      </w:r>
      <w:r w:rsidRPr="00A03B67">
        <w:rPr>
          <w:rFonts w:ascii="Symbol" w:eastAsia="Symbol" w:hAnsi="Symbol" w:cs="Symbol"/>
          <w:i/>
          <w:iCs/>
        </w:rPr>
        <w:t>-</w:t>
      </w:r>
      <w:r w:rsidRPr="00A03B67">
        <w:rPr>
          <w:i/>
          <w:iCs/>
        </w:rPr>
        <w:t>24 Decision</w:t>
      </w:r>
      <w:r w:rsidRPr="00A03B67">
        <w:t xml:space="preserve"> (2024) FWCFB 3500, the FWC refers to an analysis of the composition and characteristics of the modern award reliant workforce based on EEH data. In their summary at [30] they note that modern award reliant employees are predominantly female, predominantly work part-time hours, are disproportionately casual, are younger, are more likely to be employed by a small business and are more likely to be low paid.</w:t>
      </w:r>
    </w:p>
  </w:footnote>
  <w:footnote w:id="1333">
    <w:p w14:paraId="077ED639" w14:textId="3C3F4D1F" w:rsidR="00677577" w:rsidRPr="00A03B67" w:rsidRDefault="00677577" w:rsidP="00677577">
      <w:pPr>
        <w:pStyle w:val="FootnoteText"/>
      </w:pPr>
      <w:r w:rsidRPr="00A03B67">
        <w:rPr>
          <w:rStyle w:val="FootnoteReference"/>
        </w:rPr>
        <w:footnoteRef/>
      </w:r>
      <w:r w:rsidRPr="00A03B67">
        <w:t xml:space="preserve"> </w:t>
      </w:r>
      <w:r w:rsidRPr="00C63BBE">
        <w:rPr>
          <w:i/>
        </w:rPr>
        <w:t>Annual Wage Review 2023</w:t>
      </w:r>
      <w:r w:rsidR="00F11064" w:rsidRPr="00C63BBE">
        <w:rPr>
          <w:rFonts w:ascii="Symbol" w:eastAsia="Symbol" w:hAnsi="Symbol" w:cs="Symbol"/>
          <w:i/>
          <w:iCs/>
        </w:rPr>
        <w:t>-</w:t>
      </w:r>
      <w:r w:rsidRPr="00C63BBE">
        <w:rPr>
          <w:i/>
        </w:rPr>
        <w:t>24 Decision</w:t>
      </w:r>
      <w:r w:rsidRPr="00A03B67">
        <w:t xml:space="preserve"> [2024] FWCFB 3500 [6].</w:t>
      </w:r>
    </w:p>
  </w:footnote>
  <w:footnote w:id="1334">
    <w:p w14:paraId="27ED0733" w14:textId="5EF57843" w:rsidR="00677577" w:rsidRPr="00A03B67" w:rsidRDefault="00677577" w:rsidP="00677577">
      <w:pPr>
        <w:pStyle w:val="FootnoteText"/>
        <w:rPr>
          <w:lang w:val="en-US"/>
        </w:rPr>
      </w:pPr>
      <w:r w:rsidRPr="00A03B67">
        <w:rPr>
          <w:rStyle w:val="FootnoteReference"/>
        </w:rPr>
        <w:footnoteRef/>
      </w:r>
      <w:r w:rsidRPr="00A03B67">
        <w:t xml:space="preserve"> </w:t>
      </w:r>
      <w:r w:rsidRPr="00A03B67">
        <w:rPr>
          <w:lang w:val="en-US"/>
        </w:rPr>
        <w:t xml:space="preserve">A similar approach is adopted in G Kalb and J Meekes, ‘Wage </w:t>
      </w:r>
      <w:r w:rsidR="00F11064">
        <w:rPr>
          <w:lang w:val="en-US"/>
        </w:rPr>
        <w:t>G</w:t>
      </w:r>
      <w:r w:rsidRPr="00A03B67">
        <w:rPr>
          <w:lang w:val="en-US"/>
        </w:rPr>
        <w:t xml:space="preserve">rowth </w:t>
      </w:r>
      <w:r w:rsidR="00F11064">
        <w:rPr>
          <w:lang w:val="en-US"/>
        </w:rPr>
        <w:t>D</w:t>
      </w:r>
      <w:r w:rsidRPr="00A03B67">
        <w:rPr>
          <w:lang w:val="en-US"/>
        </w:rPr>
        <w:t xml:space="preserve">istribution and </w:t>
      </w:r>
      <w:r w:rsidR="00F11064">
        <w:rPr>
          <w:lang w:val="en-US"/>
        </w:rPr>
        <w:t>D</w:t>
      </w:r>
      <w:r w:rsidRPr="00A03B67">
        <w:rPr>
          <w:lang w:val="en-US"/>
        </w:rPr>
        <w:t xml:space="preserve">ecline </w:t>
      </w:r>
      <w:r w:rsidR="00F11064">
        <w:rPr>
          <w:lang w:val="en-US"/>
        </w:rPr>
        <w:t>A</w:t>
      </w:r>
      <w:r w:rsidRPr="00A03B67">
        <w:rPr>
          <w:lang w:val="en-US"/>
        </w:rPr>
        <w:t xml:space="preserve">mong </w:t>
      </w:r>
      <w:r w:rsidR="00F11064">
        <w:rPr>
          <w:lang w:val="en-US"/>
        </w:rPr>
        <w:t>I</w:t>
      </w:r>
      <w:r w:rsidRPr="00A03B67">
        <w:rPr>
          <w:lang w:val="en-US"/>
        </w:rPr>
        <w:t xml:space="preserve">ndividuals’, </w:t>
      </w:r>
      <w:r w:rsidRPr="00A03B67">
        <w:rPr>
          <w:i/>
          <w:iCs/>
          <w:lang w:val="en-US"/>
        </w:rPr>
        <w:t xml:space="preserve">Reserve Bank of Australia Conference on Low Wage Growth, </w:t>
      </w:r>
      <w:r w:rsidRPr="00A03B67">
        <w:rPr>
          <w:lang w:val="en-US"/>
        </w:rPr>
        <w:t>2019, 6</w:t>
      </w:r>
      <w:r w:rsidR="00F11064">
        <w:rPr>
          <w:lang w:val="en-US"/>
        </w:rPr>
        <w:t xml:space="preserve"> </w:t>
      </w:r>
      <w:r w:rsidRPr="00A03B67">
        <w:rPr>
          <w:lang w:val="en-US"/>
        </w:rPr>
        <w:t>&lt;www.rba.gov.au/publications/confs/2019/pdf/rba-conference-2019-kalb-meekes.pdf&gt;.</w:t>
      </w:r>
    </w:p>
  </w:footnote>
  <w:footnote w:id="1335">
    <w:p w14:paraId="4B39F5BC" w14:textId="77777777" w:rsidR="00677577" w:rsidRPr="00A03B67" w:rsidRDefault="00677577" w:rsidP="00677577">
      <w:pPr>
        <w:pStyle w:val="FootnoteText"/>
        <w:rPr>
          <w:lang w:val="en-US"/>
        </w:rPr>
      </w:pPr>
      <w:r w:rsidRPr="00A03B67">
        <w:rPr>
          <w:rStyle w:val="FootnoteReference"/>
        </w:rPr>
        <w:footnoteRef/>
      </w:r>
      <w:r w:rsidRPr="00A03B67">
        <w:t xml:space="preserve"> </w:t>
      </w:r>
      <w:r w:rsidRPr="00A03B67">
        <w:rPr>
          <w:lang w:val="en-US"/>
        </w:rPr>
        <w:t xml:space="preserve">The definition of ‘casual’ applied here follows the Australian Bureau of Statistics. A person is defined as casual if they </w:t>
      </w:r>
      <w:r w:rsidRPr="00C63BBE">
        <w:rPr>
          <w:b/>
          <w:lang w:val="en-US"/>
        </w:rPr>
        <w:t>do not</w:t>
      </w:r>
      <w:r w:rsidRPr="00A03B67">
        <w:rPr>
          <w:lang w:val="en-US"/>
        </w:rPr>
        <w:t xml:space="preserve"> have paid leave entitlements.</w:t>
      </w:r>
    </w:p>
  </w:footnote>
  <w:footnote w:id="1336">
    <w:p w14:paraId="66573E90" w14:textId="4BE9BD4C" w:rsidR="00EF4CAA" w:rsidRDefault="00EF4CAA">
      <w:pPr>
        <w:pStyle w:val="FootnoteText"/>
      </w:pPr>
      <w:r>
        <w:rPr>
          <w:rStyle w:val="FootnoteReference"/>
        </w:rPr>
        <w:footnoteRef/>
      </w:r>
      <w:r>
        <w:t xml:space="preserve"> Workplace Gender Equality Agency, </w:t>
      </w:r>
      <w:r w:rsidRPr="007E195A">
        <w:rPr>
          <w:i/>
        </w:rPr>
        <w:t>National Data Explorer</w:t>
      </w:r>
      <w:r>
        <w:t xml:space="preserve"> (Web Page, n.d.) &lt;</w:t>
      </w:r>
      <w:r w:rsidRPr="00EF4CAA">
        <w:t>www.wgea.gov.au/Data-Explorer/National</w:t>
      </w:r>
      <w:r>
        <w:t>&gt;.</w:t>
      </w:r>
    </w:p>
  </w:footnote>
  <w:footnote w:id="1337">
    <w:p w14:paraId="09950EB5" w14:textId="6243C9F8" w:rsidR="00677577" w:rsidRPr="00AA5547" w:rsidRDefault="00677577" w:rsidP="00677577">
      <w:pPr>
        <w:pStyle w:val="FootnoteTextChar1Char11"/>
      </w:pPr>
      <w:r w:rsidRPr="00A03B67">
        <w:rPr>
          <w:rStyle w:val="FootnoteReference"/>
        </w:rPr>
        <w:footnoteRef/>
      </w:r>
      <w:r w:rsidRPr="00A03B67">
        <w:t xml:space="preserve"> </w:t>
      </w:r>
      <w:r w:rsidRPr="00AA5547">
        <w:t xml:space="preserve">Fair Work Commission, </w:t>
      </w:r>
      <w:r w:rsidRPr="008160AD">
        <w:t>Annual Report 2022</w:t>
      </w:r>
      <w:r w:rsidR="00F11064" w:rsidRPr="008160AD">
        <w:rPr>
          <w:rFonts w:ascii="Symbol" w:eastAsia="Symbol" w:hAnsi="Symbol" w:cs="Symbol"/>
        </w:rPr>
        <w:t>-</w:t>
      </w:r>
      <w:r w:rsidRPr="008160AD">
        <w:t>23</w:t>
      </w:r>
      <w:r w:rsidR="00F11064">
        <w:t xml:space="preserve"> (Report, </w:t>
      </w:r>
      <w:r w:rsidRPr="00AA5547">
        <w:t xml:space="preserve">2023) </w:t>
      </w:r>
      <w:r w:rsidR="00F11064">
        <w:t xml:space="preserve">‘Access to Justice’, </w:t>
      </w:r>
      <w:r w:rsidRPr="00AA5547">
        <w:t>27</w:t>
      </w:r>
      <w:r w:rsidRPr="00AA5547">
        <w:rPr>
          <w:rFonts w:ascii="Segoe UI" w:eastAsia="Segoe UI" w:hAnsi="Segoe UI" w:cs="Segoe UI"/>
          <w:szCs w:val="18"/>
        </w:rPr>
        <w:t>.</w:t>
      </w:r>
    </w:p>
  </w:footnote>
  <w:footnote w:id="1338">
    <w:p w14:paraId="3661EE53" w14:textId="438CEF97" w:rsidR="00677577" w:rsidRPr="00A03B67" w:rsidRDefault="00677577" w:rsidP="00677577">
      <w:pPr>
        <w:pStyle w:val="FootnoteTextChar1Char11"/>
      </w:pPr>
      <w:r w:rsidRPr="00A03B67">
        <w:rPr>
          <w:rStyle w:val="FootnoteReference"/>
        </w:rPr>
        <w:footnoteRef/>
      </w:r>
      <w:r w:rsidRPr="00A03B67">
        <w:t xml:space="preserve"> Fair Work Commission, </w:t>
      </w:r>
      <w:r w:rsidRPr="00A32A07">
        <w:rPr>
          <w:i/>
        </w:rPr>
        <w:t>Annual Report 2023</w:t>
      </w:r>
      <w:r w:rsidR="00F11064">
        <w:rPr>
          <w:rFonts w:ascii="Symbol" w:eastAsia="Symbol" w:hAnsi="Symbol" w:cs="Symbol"/>
          <w:i/>
          <w:iCs/>
        </w:rPr>
        <w:t>-</w:t>
      </w:r>
      <w:r w:rsidRPr="00A32A07">
        <w:rPr>
          <w:i/>
        </w:rPr>
        <w:t>24</w:t>
      </w:r>
      <w:r w:rsidR="00F11064">
        <w:t xml:space="preserve"> (Report, </w:t>
      </w:r>
      <w:r w:rsidRPr="00A03B67">
        <w:t xml:space="preserve">2024) </w:t>
      </w:r>
      <w:r w:rsidR="00F11064">
        <w:t xml:space="preserve">‘Access to Justice’, </w:t>
      </w:r>
      <w:r w:rsidRPr="00A03B67">
        <w:t>64</w:t>
      </w:r>
      <w:r w:rsidR="00F11064">
        <w:rPr>
          <w:rFonts w:ascii="Symbol" w:eastAsia="Symbol" w:hAnsi="Symbol" w:cs="Symbol"/>
        </w:rPr>
        <w:t>-</w:t>
      </w:r>
      <w:r w:rsidRPr="00A03B67">
        <w:t>65</w:t>
      </w:r>
      <w:r w:rsidRPr="00B45F7C">
        <w:rPr>
          <w:rFonts w:ascii="Segoe UI" w:eastAsia="Segoe UI" w:hAnsi="Segoe UI" w:cs="Segoe UI"/>
          <w:color w:val="0D2C6C"/>
          <w:szCs w:val="18"/>
        </w:rPr>
        <w:t>.</w:t>
      </w:r>
    </w:p>
  </w:footnote>
  <w:footnote w:id="1339">
    <w:p w14:paraId="2519B231" w14:textId="515A611E" w:rsidR="003205A3" w:rsidRDefault="003205A3" w:rsidP="003205A3">
      <w:pPr>
        <w:pStyle w:val="FootnoteText"/>
      </w:pPr>
      <w:r>
        <w:rPr>
          <w:rStyle w:val="FootnoteReference"/>
        </w:rPr>
        <w:footnoteRef/>
      </w:r>
      <w:r>
        <w:t xml:space="preserve"> Z Duretto, O Majeed and J Hambur ‘Overview: understanding productivity in Australia and the global slowdown’, </w:t>
      </w:r>
      <w:r w:rsidRPr="00897757">
        <w:rPr>
          <w:i/>
        </w:rPr>
        <w:t>Treasury Roundup</w:t>
      </w:r>
      <w:r>
        <w:t xml:space="preserve"> (October 2022),</w:t>
      </w:r>
    </w:p>
  </w:footnote>
  <w:footnote w:id="1340">
    <w:p w14:paraId="63222093" w14:textId="2F8B608C" w:rsidR="003205A3" w:rsidRDefault="003205A3">
      <w:pPr>
        <w:pStyle w:val="FootnoteText"/>
      </w:pPr>
      <w:r>
        <w:rPr>
          <w:rStyle w:val="FootnoteReference"/>
        </w:rPr>
        <w:footnoteRef/>
      </w:r>
      <w:r>
        <w:t xml:space="preserve"> </w:t>
      </w:r>
      <w:r w:rsidRPr="003205A3">
        <w:t>See, for example, Business Council of Australia (BCA) submission in response to draft report.</w:t>
      </w:r>
    </w:p>
  </w:footnote>
  <w:footnote w:id="1341">
    <w:p w14:paraId="2D8A2327" w14:textId="0373D794" w:rsidR="003205A3" w:rsidRDefault="003205A3">
      <w:pPr>
        <w:pStyle w:val="FootnoteText"/>
      </w:pPr>
      <w:r>
        <w:rPr>
          <w:rStyle w:val="FootnoteReference"/>
        </w:rPr>
        <w:footnoteRef/>
      </w:r>
      <w:r>
        <w:t xml:space="preserve"> </w:t>
      </w:r>
      <w:r w:rsidRPr="003205A3">
        <w:t xml:space="preserve">As explained in the introduction to this report, the focus of this Review is on whether the operation of the </w:t>
      </w:r>
      <w:r>
        <w:t xml:space="preserve">Secure Jobs, Better Pay </w:t>
      </w:r>
      <w:r w:rsidRPr="003205A3">
        <w:t xml:space="preserve">amendments is appropriate and effective and whether there are any unintended consequences. In making this assessment the Review Panel has evaluated each specific amendment against the stated intent of the legislation, as outlined in </w:t>
      </w:r>
      <w:r>
        <w:t>m</w:t>
      </w:r>
      <w:r w:rsidRPr="003205A3">
        <w:t>inisterial speeches and the accompanying Explanatory Memorandum.</w:t>
      </w:r>
    </w:p>
  </w:footnote>
  <w:footnote w:id="1342">
    <w:p w14:paraId="3C4E48E9" w14:textId="59AFE3A6" w:rsidR="003205A3" w:rsidRDefault="003205A3">
      <w:pPr>
        <w:pStyle w:val="FootnoteText"/>
      </w:pPr>
      <w:r>
        <w:rPr>
          <w:rStyle w:val="FootnoteReference"/>
        </w:rPr>
        <w:footnoteRef/>
      </w:r>
      <w:r>
        <w:t xml:space="preserve"> </w:t>
      </w:r>
      <w:r w:rsidRPr="003205A3">
        <w:t xml:space="preserve">Productivity Commission, </w:t>
      </w:r>
      <w:r w:rsidRPr="00897757">
        <w:rPr>
          <w:i/>
        </w:rPr>
        <w:t xml:space="preserve">Five-year Productivity Inquiry: A </w:t>
      </w:r>
      <w:r>
        <w:rPr>
          <w:i/>
          <w:iCs/>
        </w:rPr>
        <w:t>M</w:t>
      </w:r>
      <w:r w:rsidRPr="00897757">
        <w:rPr>
          <w:i/>
        </w:rPr>
        <w:t xml:space="preserve">ore </w:t>
      </w:r>
      <w:r>
        <w:rPr>
          <w:i/>
          <w:iCs/>
        </w:rPr>
        <w:t>P</w:t>
      </w:r>
      <w:r w:rsidRPr="00897757">
        <w:rPr>
          <w:i/>
        </w:rPr>
        <w:t xml:space="preserve">roductive </w:t>
      </w:r>
      <w:r>
        <w:rPr>
          <w:i/>
          <w:iCs/>
        </w:rPr>
        <w:t>L</w:t>
      </w:r>
      <w:r w:rsidRPr="00897757">
        <w:rPr>
          <w:i/>
        </w:rPr>
        <w:t xml:space="preserve">abour </w:t>
      </w:r>
      <w:r>
        <w:rPr>
          <w:i/>
          <w:iCs/>
        </w:rPr>
        <w:t>M</w:t>
      </w:r>
      <w:r w:rsidRPr="00897757">
        <w:rPr>
          <w:i/>
        </w:rPr>
        <w:t>arket</w:t>
      </w:r>
      <w:r w:rsidRPr="003205A3">
        <w:t xml:space="preserve"> (Interim </w:t>
      </w:r>
      <w:r>
        <w:t>R</w:t>
      </w:r>
      <w:r w:rsidRPr="003205A3">
        <w:t xml:space="preserve">eport, October 2022); Productivity Commission, </w:t>
      </w:r>
      <w:r w:rsidRPr="00897757">
        <w:rPr>
          <w:i/>
        </w:rPr>
        <w:t xml:space="preserve">Five-year Productivity Inquiry: A </w:t>
      </w:r>
      <w:r>
        <w:rPr>
          <w:i/>
          <w:iCs/>
        </w:rPr>
        <w:t>M</w:t>
      </w:r>
      <w:r w:rsidRPr="00897757">
        <w:rPr>
          <w:i/>
        </w:rPr>
        <w:t xml:space="preserve">ore </w:t>
      </w:r>
      <w:r>
        <w:rPr>
          <w:i/>
          <w:iCs/>
        </w:rPr>
        <w:t>P</w:t>
      </w:r>
      <w:r w:rsidRPr="00897757">
        <w:rPr>
          <w:i/>
        </w:rPr>
        <w:t xml:space="preserve">roductive </w:t>
      </w:r>
      <w:r>
        <w:rPr>
          <w:i/>
          <w:iCs/>
        </w:rPr>
        <w:t>L</w:t>
      </w:r>
      <w:r w:rsidRPr="00897757">
        <w:rPr>
          <w:i/>
        </w:rPr>
        <w:t xml:space="preserve">abour </w:t>
      </w:r>
      <w:r>
        <w:rPr>
          <w:i/>
          <w:iCs/>
        </w:rPr>
        <w:t>M</w:t>
      </w:r>
      <w:r w:rsidRPr="00897757">
        <w:rPr>
          <w:i/>
        </w:rPr>
        <w:t>arket</w:t>
      </w:r>
      <w:r w:rsidRPr="003205A3">
        <w:t xml:space="preserve"> (</w:t>
      </w:r>
      <w:r>
        <w:t xml:space="preserve">Final </w:t>
      </w:r>
      <w:r w:rsidRPr="003205A3">
        <w:t>Report</w:t>
      </w:r>
      <w:r>
        <w:t>,</w:t>
      </w:r>
      <w:r w:rsidRPr="003205A3">
        <w:t xml:space="preserve"> 2023)</w:t>
      </w:r>
      <w:r>
        <w:t xml:space="preserve"> Vol 7</w:t>
      </w:r>
      <w:r w:rsidRPr="003205A3">
        <w:t>.</w:t>
      </w:r>
    </w:p>
  </w:footnote>
  <w:footnote w:id="1343">
    <w:p w14:paraId="3BD5A790" w14:textId="7A84CD4D" w:rsidR="003205A3" w:rsidRDefault="003205A3">
      <w:pPr>
        <w:pStyle w:val="FootnoteText"/>
      </w:pPr>
      <w:r>
        <w:rPr>
          <w:rStyle w:val="FootnoteReference"/>
        </w:rPr>
        <w:footnoteRef/>
      </w:r>
      <w:r>
        <w:t xml:space="preserve"> </w:t>
      </w:r>
      <w:r w:rsidRPr="003205A3">
        <w:t>See, for example, submissions from Council of Small Business Organisations Australia (COSBOA), the Business Council of Australia (BCA), the Chamber of Commerce and Industry WA (CCIWA) and Australian Resources &amp; Energy Employer Association (AREEA).</w:t>
      </w:r>
    </w:p>
  </w:footnote>
  <w:footnote w:id="1344">
    <w:p w14:paraId="3C7FF132" w14:textId="176B71CC" w:rsidR="003205A3" w:rsidRDefault="003205A3">
      <w:pPr>
        <w:pStyle w:val="FootnoteText"/>
      </w:pPr>
      <w:r>
        <w:rPr>
          <w:rStyle w:val="FootnoteReference"/>
        </w:rPr>
        <w:footnoteRef/>
      </w:r>
      <w:r>
        <w:t xml:space="preserve"> </w:t>
      </w:r>
      <w:r w:rsidRPr="003205A3">
        <w:t>Minerals Council of Australia (MCA) submission, 5.</w:t>
      </w:r>
    </w:p>
  </w:footnote>
  <w:footnote w:id="1345">
    <w:p w14:paraId="560A6E26" w14:textId="4831E1B9" w:rsidR="003205A3" w:rsidRDefault="003205A3">
      <w:pPr>
        <w:pStyle w:val="FootnoteText"/>
      </w:pPr>
      <w:r>
        <w:rPr>
          <w:rStyle w:val="FootnoteReference"/>
        </w:rPr>
        <w:footnoteRef/>
      </w:r>
      <w:r>
        <w:t xml:space="preserve"> </w:t>
      </w:r>
      <w:r w:rsidRPr="003205A3">
        <w:t xml:space="preserve">See, for example, Australian Chamber of Commerce and Industry (ACCI) </w:t>
      </w:r>
      <w:r>
        <w:t>s</w:t>
      </w:r>
      <w:r w:rsidRPr="003205A3">
        <w:t>ubmission</w:t>
      </w:r>
      <w:r>
        <w:t>,</w:t>
      </w:r>
      <w:r w:rsidRPr="003205A3">
        <w:t xml:space="preserve"> 88.</w:t>
      </w:r>
    </w:p>
  </w:footnote>
  <w:footnote w:id="1346">
    <w:p w14:paraId="7C360F05" w14:textId="21A9180D" w:rsidR="003205A3" w:rsidRDefault="003205A3">
      <w:pPr>
        <w:pStyle w:val="FootnoteText"/>
      </w:pPr>
      <w:r>
        <w:rPr>
          <w:rStyle w:val="FootnoteReference"/>
        </w:rPr>
        <w:footnoteRef/>
      </w:r>
      <w:r>
        <w:t xml:space="preserve"> </w:t>
      </w:r>
      <w:r w:rsidRPr="003205A3">
        <w:t xml:space="preserve">OECD, </w:t>
      </w:r>
      <w:r w:rsidRPr="00897757">
        <w:rPr>
          <w:i/>
        </w:rPr>
        <w:t>Good Jobs for All in a Changing World of Work: The OECD Jobs Strategy</w:t>
      </w:r>
      <w:r w:rsidRPr="003205A3">
        <w:t xml:space="preserve"> (Report, 2018).</w:t>
      </w:r>
    </w:p>
  </w:footnote>
  <w:footnote w:id="1347">
    <w:p w14:paraId="76BE246F" w14:textId="614BF035" w:rsidR="003205A3" w:rsidRDefault="003205A3">
      <w:pPr>
        <w:pStyle w:val="FootnoteText"/>
      </w:pPr>
      <w:r>
        <w:rPr>
          <w:rStyle w:val="FootnoteReference"/>
        </w:rPr>
        <w:footnoteRef/>
      </w:r>
      <w:r>
        <w:t xml:space="preserve"> </w:t>
      </w:r>
      <w:r w:rsidRPr="003205A3">
        <w:t xml:space="preserve">See Productivity Commission, </w:t>
      </w:r>
      <w:r w:rsidRPr="00897757">
        <w:rPr>
          <w:i/>
        </w:rPr>
        <w:t>Five-year Productivity Inquiry: A More Productive Labour Market</w:t>
      </w:r>
      <w:r w:rsidRPr="003205A3">
        <w:t xml:space="preserve"> (Interim report, October 2022).</w:t>
      </w:r>
    </w:p>
  </w:footnote>
  <w:footnote w:id="1348">
    <w:p w14:paraId="1ADB9EED" w14:textId="1D2B94D8" w:rsidR="003205A3" w:rsidRDefault="003205A3">
      <w:pPr>
        <w:pStyle w:val="FootnoteText"/>
      </w:pPr>
      <w:r>
        <w:rPr>
          <w:rStyle w:val="FootnoteReference"/>
        </w:rPr>
        <w:footnoteRef/>
      </w:r>
      <w:r>
        <w:t xml:space="preserve"> </w:t>
      </w:r>
      <w:r w:rsidRPr="003205A3">
        <w:t>M Bray, JW Budd</w:t>
      </w:r>
      <w:r>
        <w:t xml:space="preserve"> and </w:t>
      </w:r>
      <w:r w:rsidRPr="003205A3">
        <w:t xml:space="preserve">J Macneil, </w:t>
      </w:r>
      <w:r>
        <w:t>‘</w:t>
      </w:r>
      <w:r w:rsidRPr="003205A3">
        <w:t xml:space="preserve">The </w:t>
      </w:r>
      <w:r>
        <w:t>M</w:t>
      </w:r>
      <w:r w:rsidRPr="003205A3">
        <w:t xml:space="preserve">any </w:t>
      </w:r>
      <w:r>
        <w:t>M</w:t>
      </w:r>
      <w:r w:rsidRPr="003205A3">
        <w:t xml:space="preserve">eanings of </w:t>
      </w:r>
      <w:r>
        <w:t>C</w:t>
      </w:r>
      <w:r w:rsidRPr="003205A3">
        <w:t xml:space="preserve">o-operation in the </w:t>
      </w:r>
      <w:r>
        <w:t>E</w:t>
      </w:r>
      <w:r w:rsidRPr="003205A3">
        <w:t xml:space="preserve">mployment </w:t>
      </w:r>
      <w:r>
        <w:t>R</w:t>
      </w:r>
      <w:r w:rsidRPr="003205A3">
        <w:t xml:space="preserve">elationship and </w:t>
      </w:r>
      <w:r>
        <w:t>T</w:t>
      </w:r>
      <w:r w:rsidRPr="003205A3">
        <w:t xml:space="preserve">heir </w:t>
      </w:r>
      <w:r>
        <w:t>I</w:t>
      </w:r>
      <w:r w:rsidRPr="003205A3">
        <w:t>mplications</w:t>
      </w:r>
      <w:r>
        <w:t>’</w:t>
      </w:r>
      <w:r w:rsidRPr="003205A3">
        <w:t xml:space="preserve"> (2020) 58 </w:t>
      </w:r>
      <w:r w:rsidRPr="003072D2">
        <w:rPr>
          <w:i/>
        </w:rPr>
        <w:t>British Journal of Industrial Relations</w:t>
      </w:r>
      <w:r w:rsidRPr="003205A3">
        <w:t xml:space="preserve"> 114.</w:t>
      </w:r>
    </w:p>
  </w:footnote>
  <w:footnote w:id="1349">
    <w:p w14:paraId="307B37E4" w14:textId="6184E1DE" w:rsidR="003205A3" w:rsidRDefault="003205A3">
      <w:pPr>
        <w:pStyle w:val="FootnoteText"/>
      </w:pPr>
      <w:r>
        <w:rPr>
          <w:rStyle w:val="FootnoteReference"/>
        </w:rPr>
        <w:footnoteRef/>
      </w:r>
      <w:r>
        <w:t xml:space="preserve"> </w:t>
      </w:r>
      <w:r w:rsidRPr="003205A3">
        <w:t xml:space="preserve">Productivity Commission, </w:t>
      </w:r>
      <w:r w:rsidRPr="003072D2">
        <w:rPr>
          <w:i/>
        </w:rPr>
        <w:t xml:space="preserve">What is </w:t>
      </w:r>
      <w:r>
        <w:rPr>
          <w:i/>
          <w:iCs/>
        </w:rPr>
        <w:t>P</w:t>
      </w:r>
      <w:r w:rsidRPr="003072D2">
        <w:rPr>
          <w:i/>
        </w:rPr>
        <w:t>roductivity?</w:t>
      </w:r>
      <w:r>
        <w:t xml:space="preserve"> (Web Page, n.d.) </w:t>
      </w:r>
      <w:r w:rsidRPr="003205A3">
        <w:t>&lt;https://www.pc.gov.au/what-is-productivity&gt;.</w:t>
      </w:r>
    </w:p>
  </w:footnote>
  <w:footnote w:id="1350">
    <w:p w14:paraId="03005800" w14:textId="34FB4D0B" w:rsidR="003205A3" w:rsidRDefault="003205A3">
      <w:pPr>
        <w:pStyle w:val="FootnoteText"/>
      </w:pPr>
      <w:r>
        <w:rPr>
          <w:rStyle w:val="FootnoteReference"/>
        </w:rPr>
        <w:footnoteRef/>
      </w:r>
      <w:r>
        <w:t xml:space="preserve"> </w:t>
      </w:r>
      <w:r w:rsidRPr="003205A3">
        <w:t xml:space="preserve">Productivity Commission, </w:t>
      </w:r>
      <w:r w:rsidRPr="003072D2">
        <w:rPr>
          <w:i/>
          <w:iCs/>
        </w:rPr>
        <w:t>Advancing Prosperity: Five-year Productivity Inquiry Report</w:t>
      </w:r>
      <w:r>
        <w:t xml:space="preserve"> (Report, 2023) Vol 1, </w:t>
      </w:r>
      <w:r w:rsidRPr="003205A3">
        <w:t xml:space="preserve">1 </w:t>
      </w:r>
      <w:r w:rsidR="003072D2">
        <w:t>&lt;</w:t>
      </w:r>
      <w:r w:rsidR="003072D2" w:rsidRPr="003072D2">
        <w:t>www.pc.gov.au/inquiries/completed/productivity/report/productivity-volume1-advancing-prosperity.pdf</w:t>
      </w:r>
      <w:r w:rsidR="003072D2">
        <w:t>&gt;</w:t>
      </w:r>
      <w:r>
        <w:t>.</w:t>
      </w:r>
    </w:p>
  </w:footnote>
  <w:footnote w:id="1351">
    <w:p w14:paraId="530B95B3" w14:textId="7EE18B93" w:rsidR="003205A3" w:rsidRDefault="003205A3">
      <w:pPr>
        <w:pStyle w:val="FootnoteText"/>
      </w:pPr>
      <w:r>
        <w:rPr>
          <w:rStyle w:val="FootnoteReference"/>
        </w:rPr>
        <w:footnoteRef/>
      </w:r>
      <w:r>
        <w:t xml:space="preserve"> </w:t>
      </w:r>
      <w:r w:rsidRPr="003205A3">
        <w:t>For a more detailed discussion of the numerator issues</w:t>
      </w:r>
      <w:r>
        <w:t>,</w:t>
      </w:r>
      <w:r w:rsidRPr="003205A3">
        <w:t xml:space="preserve"> see </w:t>
      </w:r>
      <w:r>
        <w:t xml:space="preserve">RL </w:t>
      </w:r>
      <w:r w:rsidRPr="003205A3">
        <w:t xml:space="preserve">Martin, ‘What </w:t>
      </w:r>
      <w:r>
        <w:t>E</w:t>
      </w:r>
      <w:r w:rsidRPr="003205A3">
        <w:t xml:space="preserve">conomists </w:t>
      </w:r>
      <w:r>
        <w:t>G</w:t>
      </w:r>
      <w:r w:rsidRPr="003205A3">
        <w:t xml:space="preserve">et </w:t>
      </w:r>
      <w:r>
        <w:t>W</w:t>
      </w:r>
      <w:r w:rsidRPr="003205A3">
        <w:t xml:space="preserve">rong </w:t>
      </w:r>
      <w:r>
        <w:t>A</w:t>
      </w:r>
      <w:r w:rsidRPr="003205A3">
        <w:t xml:space="preserve">bout </w:t>
      </w:r>
      <w:r>
        <w:t>M</w:t>
      </w:r>
      <w:r w:rsidRPr="003205A3">
        <w:t xml:space="preserve">easuring </w:t>
      </w:r>
      <w:r>
        <w:t>P</w:t>
      </w:r>
      <w:r w:rsidRPr="003205A3">
        <w:t xml:space="preserve">roductivity’ </w:t>
      </w:r>
      <w:r w:rsidRPr="00BE4CFC">
        <w:rPr>
          <w:i/>
        </w:rPr>
        <w:t>Harvard Business Review</w:t>
      </w:r>
      <w:r w:rsidRPr="003205A3">
        <w:t>, 14 September</w:t>
      </w:r>
      <w:r>
        <w:t xml:space="preserve"> 2015</w:t>
      </w:r>
      <w:r w:rsidRPr="003205A3">
        <w:t xml:space="preserve"> </w:t>
      </w:r>
      <w:r>
        <w:t>&lt;</w:t>
      </w:r>
      <w:r w:rsidRPr="003205A3">
        <w:t>https://hbr.org/2015/09/what-economists-get-wrong-about-measuring-productivity</w:t>
      </w:r>
      <w:r>
        <w:t>&gt;</w:t>
      </w:r>
      <w:r w:rsidRPr="003205A3">
        <w:t>.</w:t>
      </w:r>
    </w:p>
  </w:footnote>
  <w:footnote w:id="1352">
    <w:p w14:paraId="1616C54C" w14:textId="7D96FEA7" w:rsidR="003205A3" w:rsidRDefault="003205A3">
      <w:pPr>
        <w:pStyle w:val="FootnoteText"/>
      </w:pPr>
      <w:r>
        <w:rPr>
          <w:rStyle w:val="FootnoteReference"/>
        </w:rPr>
        <w:footnoteRef/>
      </w:r>
      <w:r>
        <w:t xml:space="preserve"> </w:t>
      </w:r>
      <w:r w:rsidRPr="003205A3">
        <w:t xml:space="preserve">For further discussion on measuring productivity see </w:t>
      </w:r>
      <w:r>
        <w:t xml:space="preserve">Australian Bureau of Statistics, </w:t>
      </w:r>
      <w:r w:rsidRPr="00BE4CFC">
        <w:rPr>
          <w:i/>
          <w:iCs/>
        </w:rPr>
        <w:t>Interpreting ABS Productivity Statistics</w:t>
      </w:r>
      <w:r w:rsidRPr="003205A3">
        <w:t xml:space="preserve"> (2023). This note explains that industries that considered to be predominantly non-market in nature (</w:t>
      </w:r>
      <w:r>
        <w:t>p</w:t>
      </w:r>
      <w:r w:rsidRPr="003205A3">
        <w:t xml:space="preserve">ublic administration and safety, </w:t>
      </w:r>
      <w:r>
        <w:t>e</w:t>
      </w:r>
      <w:r w:rsidRPr="003205A3">
        <w:t xml:space="preserve">ducation and training, and </w:t>
      </w:r>
      <w:r>
        <w:t>h</w:t>
      </w:r>
      <w:r w:rsidRPr="003205A3">
        <w:t xml:space="preserve">ealth care and social assistance) are not included in the published </w:t>
      </w:r>
      <w:r>
        <w:t>multi-factor productivity (</w:t>
      </w:r>
      <w:r w:rsidRPr="003205A3">
        <w:t>MFP</w:t>
      </w:r>
      <w:r>
        <w:t>)</w:t>
      </w:r>
      <w:r w:rsidRPr="003205A3">
        <w:t xml:space="preserve"> estimates. This is because it is difficult to measure their capital productivity or MFP.</w:t>
      </w:r>
    </w:p>
  </w:footnote>
  <w:footnote w:id="1353">
    <w:p w14:paraId="6699082C" w14:textId="51EF9059" w:rsidR="003205A3" w:rsidRDefault="003205A3">
      <w:pPr>
        <w:pStyle w:val="FootnoteText"/>
      </w:pPr>
      <w:r>
        <w:rPr>
          <w:rStyle w:val="FootnoteReference"/>
        </w:rPr>
        <w:footnoteRef/>
      </w:r>
      <w:r>
        <w:t xml:space="preserve"> </w:t>
      </w:r>
      <w:r w:rsidRPr="003205A3">
        <w:t xml:space="preserve">Australian Bureau of Statistics (ABS), </w:t>
      </w:r>
      <w:r w:rsidRPr="00DC5288">
        <w:rPr>
          <w:i/>
        </w:rPr>
        <w:t xml:space="preserve">Understanding </w:t>
      </w:r>
      <w:r>
        <w:rPr>
          <w:i/>
          <w:iCs/>
        </w:rPr>
        <w:t>L</w:t>
      </w:r>
      <w:r w:rsidRPr="00DC5288">
        <w:rPr>
          <w:i/>
        </w:rPr>
        <w:t xml:space="preserve">abour </w:t>
      </w:r>
      <w:r>
        <w:rPr>
          <w:i/>
          <w:iCs/>
        </w:rPr>
        <w:t>Q</w:t>
      </w:r>
      <w:r w:rsidRPr="00DC5288">
        <w:rPr>
          <w:i/>
        </w:rPr>
        <w:t xml:space="preserve">uality and its </w:t>
      </w:r>
      <w:r>
        <w:rPr>
          <w:i/>
          <w:iCs/>
        </w:rPr>
        <w:t>C</w:t>
      </w:r>
      <w:r w:rsidRPr="00DC5288">
        <w:rPr>
          <w:i/>
        </w:rPr>
        <w:t xml:space="preserve">ontribution to </w:t>
      </w:r>
      <w:r>
        <w:rPr>
          <w:i/>
          <w:iCs/>
        </w:rPr>
        <w:t>P</w:t>
      </w:r>
      <w:r w:rsidRPr="00DC5288">
        <w:rPr>
          <w:i/>
        </w:rPr>
        <w:t xml:space="preserve">roductivity </w:t>
      </w:r>
      <w:r>
        <w:rPr>
          <w:i/>
          <w:iCs/>
        </w:rPr>
        <w:t>M</w:t>
      </w:r>
      <w:r w:rsidRPr="00DC5288">
        <w:rPr>
          <w:i/>
        </w:rPr>
        <w:t>easurement</w:t>
      </w:r>
      <w:r w:rsidRPr="003205A3">
        <w:t xml:space="preserve"> (2022).</w:t>
      </w:r>
    </w:p>
  </w:footnote>
  <w:footnote w:id="1354">
    <w:p w14:paraId="7C3B1D59" w14:textId="5182FD17" w:rsidR="003205A3" w:rsidRDefault="003205A3">
      <w:pPr>
        <w:pStyle w:val="FootnoteText"/>
      </w:pPr>
      <w:r>
        <w:rPr>
          <w:rStyle w:val="FootnoteReference"/>
        </w:rPr>
        <w:footnoteRef/>
      </w:r>
      <w:r>
        <w:t xml:space="preserve"> </w:t>
      </w:r>
      <w:r w:rsidRPr="003205A3">
        <w:t xml:space="preserve">For further discussion of these </w:t>
      </w:r>
      <w:r>
        <w:t>two</w:t>
      </w:r>
      <w:r w:rsidRPr="003205A3">
        <w:t xml:space="preserve"> measures of labour productivity and interpretation</w:t>
      </w:r>
      <w:r>
        <w:t>,</w:t>
      </w:r>
      <w:r w:rsidRPr="003205A3">
        <w:t xml:space="preserve"> see K Hancock, ‘Enterprise </w:t>
      </w:r>
      <w:r>
        <w:t>B</w:t>
      </w:r>
      <w:r w:rsidRPr="003205A3">
        <w:t xml:space="preserve">argaining and </w:t>
      </w:r>
      <w:r>
        <w:t>P</w:t>
      </w:r>
      <w:r w:rsidRPr="003205A3">
        <w:t xml:space="preserve">roductivity’ (2012) 22(3) </w:t>
      </w:r>
      <w:r w:rsidRPr="00DC5288">
        <w:rPr>
          <w:i/>
        </w:rPr>
        <w:t>Labour and Industry</w:t>
      </w:r>
      <w:r w:rsidRPr="003205A3">
        <w:t xml:space="preserve"> 289.</w:t>
      </w:r>
    </w:p>
  </w:footnote>
  <w:footnote w:id="1355">
    <w:p w14:paraId="20C82240" w14:textId="57FB2A63" w:rsidR="003205A3" w:rsidRDefault="003205A3">
      <w:pPr>
        <w:pStyle w:val="FootnoteText"/>
      </w:pPr>
      <w:r>
        <w:rPr>
          <w:rStyle w:val="FootnoteReference"/>
        </w:rPr>
        <w:footnoteRef/>
      </w:r>
      <w:r>
        <w:t xml:space="preserve"> </w:t>
      </w:r>
      <w:r w:rsidRPr="003205A3">
        <w:t>Source: ABS 6150.0.55.003 Labour Account Australia, Table 1, seasonally adjusted.</w:t>
      </w:r>
    </w:p>
  </w:footnote>
  <w:footnote w:id="1356">
    <w:p w14:paraId="46581552" w14:textId="228D8AF8" w:rsidR="003205A3" w:rsidRDefault="003205A3">
      <w:pPr>
        <w:pStyle w:val="FootnoteText"/>
      </w:pPr>
      <w:r>
        <w:rPr>
          <w:rStyle w:val="FootnoteReference"/>
        </w:rPr>
        <w:footnoteRef/>
      </w:r>
      <w:r>
        <w:t xml:space="preserve"> </w:t>
      </w:r>
      <w:r w:rsidRPr="003205A3">
        <w:t>The Productivity Commission makes the same observation in its recent annual productivity bulletin. See Productivity Commission</w:t>
      </w:r>
      <w:r>
        <w:t>,</w:t>
      </w:r>
      <w:r w:rsidRPr="003205A3">
        <w:t xml:space="preserve"> </w:t>
      </w:r>
      <w:r w:rsidRPr="00DC5288">
        <w:rPr>
          <w:i/>
        </w:rPr>
        <w:t>Annual Productivity Bulletin 2024</w:t>
      </w:r>
      <w:r>
        <w:t xml:space="preserve"> (</w:t>
      </w:r>
      <w:r w:rsidRPr="003205A3">
        <w:t>PC Productivity Insights Annual Report Series, 2024).</w:t>
      </w:r>
    </w:p>
  </w:footnote>
  <w:footnote w:id="1357">
    <w:p w14:paraId="2240B60F" w14:textId="3851E759" w:rsidR="003205A3" w:rsidRDefault="003205A3">
      <w:pPr>
        <w:pStyle w:val="FootnoteText"/>
      </w:pPr>
      <w:r>
        <w:rPr>
          <w:rStyle w:val="FootnoteReference"/>
        </w:rPr>
        <w:footnoteRef/>
      </w:r>
      <w:r>
        <w:t xml:space="preserve"> </w:t>
      </w:r>
      <w:r w:rsidRPr="003205A3">
        <w:t>In a recent report on immigration and productivity by the e61 Institute the authors show that migrant workers are more likely to be employed in lower productivity industries and  firms compared to non-migrants and that this trend has intensified in recent years. In other words, the allocation of migrant workers has become less efficient, contributing to Australia’s productivity slowdown. The authors suggest that the work restrictions that the Australian Government places on particular migrant groups (e.g. students) may have unintended negative economic consequences. For more</w:t>
      </w:r>
      <w:r>
        <w:t>,</w:t>
      </w:r>
      <w:r w:rsidRPr="003205A3">
        <w:t xml:space="preserve"> see D Andrews, E Clarke, L Vass and </w:t>
      </w:r>
      <w:r>
        <w:t xml:space="preserve">A </w:t>
      </w:r>
      <w:r w:rsidRPr="003205A3">
        <w:t>Wong</w:t>
      </w:r>
      <w:r>
        <w:t>,</w:t>
      </w:r>
      <w:r w:rsidRPr="003205A3">
        <w:t xml:space="preserve"> </w:t>
      </w:r>
      <w:r w:rsidRPr="00186EED">
        <w:rPr>
          <w:i/>
        </w:rPr>
        <w:t>Misallocated Migrants: Immigration and Firm Productivity in Australia</w:t>
      </w:r>
      <w:r w:rsidRPr="003205A3">
        <w:t xml:space="preserve"> (e61 Research Note No 5</w:t>
      </w:r>
      <w:r>
        <w:t>, 2023)</w:t>
      </w:r>
      <w:r w:rsidRPr="003205A3">
        <w:t>.</w:t>
      </w:r>
    </w:p>
  </w:footnote>
  <w:footnote w:id="1358">
    <w:p w14:paraId="3701DD61" w14:textId="46B0142C" w:rsidR="003205A3" w:rsidRDefault="003205A3">
      <w:pPr>
        <w:pStyle w:val="FootnoteText"/>
      </w:pPr>
      <w:r>
        <w:rPr>
          <w:rStyle w:val="FootnoteReference"/>
        </w:rPr>
        <w:footnoteRef/>
      </w:r>
      <w:r>
        <w:t xml:space="preserve"> </w:t>
      </w:r>
      <w:r w:rsidRPr="003205A3">
        <w:t xml:space="preserve">The Business Council of Australia (BCA) suggests that labour hoarding may, in part, have dragged down labour productivity – see BCA, </w:t>
      </w:r>
      <w:r w:rsidRPr="00186EED">
        <w:rPr>
          <w:i/>
        </w:rPr>
        <w:t>Australia’s Flagging Competitiveness and Productivity</w:t>
      </w:r>
      <w:r w:rsidRPr="003205A3">
        <w:t xml:space="preserve"> (November 2024). Research from e-61 suggests that </w:t>
      </w:r>
      <w:r>
        <w:t xml:space="preserve">one to five </w:t>
      </w:r>
      <w:r w:rsidRPr="003205A3">
        <w:t xml:space="preserve">Australian workers are subject to a non-compete clause. See D Andrews and B Jarvis, </w:t>
      </w:r>
      <w:r w:rsidRPr="00186EED">
        <w:rPr>
          <w:i/>
        </w:rPr>
        <w:t>The Ghosts of Employers Past: How Prevalent are Non-compete Clauses in Australia?</w:t>
      </w:r>
      <w:r w:rsidRPr="003205A3">
        <w:t xml:space="preserve"> (e61 Micronote</w:t>
      </w:r>
      <w:r>
        <w:t>, 2023)</w:t>
      </w:r>
      <w:r w:rsidRPr="003205A3">
        <w:t>.</w:t>
      </w:r>
    </w:p>
  </w:footnote>
  <w:footnote w:id="1359">
    <w:p w14:paraId="5E3A4EC7" w14:textId="0FFB3ADD" w:rsidR="003205A3" w:rsidRDefault="003205A3">
      <w:pPr>
        <w:pStyle w:val="FootnoteText"/>
      </w:pPr>
      <w:r>
        <w:rPr>
          <w:rStyle w:val="FootnoteReference"/>
        </w:rPr>
        <w:footnoteRef/>
      </w:r>
      <w:r>
        <w:t xml:space="preserve"> </w:t>
      </w:r>
      <w:r w:rsidRPr="003205A3">
        <w:t xml:space="preserve">D Peetz, ‘Productivity is </w:t>
      </w:r>
      <w:r w:rsidR="006677BC">
        <w:t>O</w:t>
      </w:r>
      <w:r w:rsidRPr="003205A3">
        <w:t xml:space="preserve">ften </w:t>
      </w:r>
      <w:r w:rsidR="006677BC">
        <w:t>M</w:t>
      </w:r>
      <w:r w:rsidRPr="003205A3">
        <w:t xml:space="preserve">istaken for </w:t>
      </w:r>
      <w:r w:rsidR="006677BC">
        <w:t>W</w:t>
      </w:r>
      <w:r w:rsidRPr="003205A3">
        <w:t xml:space="preserve">ages. What </w:t>
      </w:r>
      <w:r w:rsidR="006677BC">
        <w:t>D</w:t>
      </w:r>
      <w:r w:rsidRPr="003205A3">
        <w:t xml:space="preserve">oes it </w:t>
      </w:r>
      <w:r w:rsidR="006677BC">
        <w:t>R</w:t>
      </w:r>
      <w:r w:rsidRPr="003205A3">
        <w:t xml:space="preserve">eally </w:t>
      </w:r>
      <w:r w:rsidR="006677BC">
        <w:t>M</w:t>
      </w:r>
      <w:r w:rsidRPr="003205A3">
        <w:t xml:space="preserve">ean? How </w:t>
      </w:r>
      <w:r w:rsidR="006677BC">
        <w:t>D</w:t>
      </w:r>
      <w:r w:rsidRPr="003205A3">
        <w:t xml:space="preserve">oes it </w:t>
      </w:r>
      <w:r w:rsidR="006677BC">
        <w:t>W</w:t>
      </w:r>
      <w:r w:rsidRPr="003205A3">
        <w:t>ork?</w:t>
      </w:r>
      <w:r w:rsidR="006677BC">
        <w:t>’,</w:t>
      </w:r>
      <w:r w:rsidRPr="003205A3">
        <w:t xml:space="preserve"> </w:t>
      </w:r>
      <w:r w:rsidRPr="00186EED">
        <w:rPr>
          <w:i/>
        </w:rPr>
        <w:t>The Conversation</w:t>
      </w:r>
      <w:r w:rsidR="006677BC">
        <w:t xml:space="preserve"> </w:t>
      </w:r>
      <w:r w:rsidR="006677BC" w:rsidRPr="003205A3">
        <w:t>October 2024</w:t>
      </w:r>
      <w:r w:rsidRPr="003205A3">
        <w:t xml:space="preserve">.  </w:t>
      </w:r>
    </w:p>
  </w:footnote>
  <w:footnote w:id="1360">
    <w:p w14:paraId="1CE06796" w14:textId="4D79C8BA" w:rsidR="006677BC" w:rsidRDefault="006677BC">
      <w:pPr>
        <w:pStyle w:val="FootnoteText"/>
      </w:pPr>
      <w:r>
        <w:rPr>
          <w:rStyle w:val="FootnoteReference"/>
        </w:rPr>
        <w:footnoteRef/>
      </w:r>
      <w:r>
        <w:t xml:space="preserve"> </w:t>
      </w:r>
      <w:r w:rsidRPr="006677BC">
        <w:t>It is acknowledged that not all organisations in sectors defined here as being ‘non-market’ are technically non-market. For example, an increasing number of childcare centres are for-profit and very much operate in the market sector.</w:t>
      </w:r>
    </w:p>
  </w:footnote>
  <w:footnote w:id="1361">
    <w:p w14:paraId="18C19D1B" w14:textId="0BD861B1" w:rsidR="006677BC" w:rsidRDefault="006677BC">
      <w:pPr>
        <w:pStyle w:val="FootnoteText"/>
      </w:pPr>
      <w:r>
        <w:rPr>
          <w:rStyle w:val="FootnoteReference"/>
        </w:rPr>
        <w:footnoteRef/>
      </w:r>
      <w:r>
        <w:t xml:space="preserve"> </w:t>
      </w:r>
      <w:r w:rsidRPr="006677BC">
        <w:t>For further discussion on this point</w:t>
      </w:r>
      <w:r>
        <w:t>,</w:t>
      </w:r>
      <w:r w:rsidRPr="006677BC">
        <w:t xml:space="preserve"> see </w:t>
      </w:r>
      <w:r>
        <w:t xml:space="preserve">D </w:t>
      </w:r>
      <w:r w:rsidRPr="006677BC">
        <w:t xml:space="preserve">Peetz, ‘Does </w:t>
      </w:r>
      <w:r>
        <w:t>I</w:t>
      </w:r>
      <w:r w:rsidRPr="006677BC">
        <w:t xml:space="preserve">ndustrial </w:t>
      </w:r>
      <w:r>
        <w:t>R</w:t>
      </w:r>
      <w:r w:rsidRPr="006677BC">
        <w:t xml:space="preserve">elations </w:t>
      </w:r>
      <w:r>
        <w:t>P</w:t>
      </w:r>
      <w:r w:rsidRPr="006677BC">
        <w:t xml:space="preserve">olicy </w:t>
      </w:r>
      <w:r>
        <w:t>A</w:t>
      </w:r>
      <w:r w:rsidRPr="006677BC">
        <w:t xml:space="preserve">ffect </w:t>
      </w:r>
      <w:r>
        <w:t>P</w:t>
      </w:r>
      <w:r w:rsidRPr="006677BC">
        <w:t>roductivity’</w:t>
      </w:r>
      <w:r>
        <w:t xml:space="preserve"> </w:t>
      </w:r>
      <w:r w:rsidRPr="006677BC">
        <w:t xml:space="preserve">(2012) 38(4) </w:t>
      </w:r>
      <w:r w:rsidRPr="009B645F">
        <w:rPr>
          <w:i/>
        </w:rPr>
        <w:t>Australian Bulletin of Labour</w:t>
      </w:r>
      <w:r>
        <w:t xml:space="preserve"> </w:t>
      </w:r>
      <w:r w:rsidRPr="006677BC">
        <w:t>268</w:t>
      </w:r>
      <w:r>
        <w:rPr>
          <w:rFonts w:ascii="Symbol" w:eastAsia="Symbol" w:hAnsi="Symbol" w:cs="Symbol"/>
        </w:rPr>
        <w:t>-</w:t>
      </w:r>
      <w:r w:rsidRPr="006677BC">
        <w:t xml:space="preserve">292; and KPMG, </w:t>
      </w:r>
      <w:r w:rsidRPr="009B645F">
        <w:rPr>
          <w:i/>
        </w:rPr>
        <w:t xml:space="preserve">Australia’s </w:t>
      </w:r>
      <w:r>
        <w:rPr>
          <w:i/>
          <w:iCs/>
        </w:rPr>
        <w:t>P</w:t>
      </w:r>
      <w:r w:rsidRPr="009B645F">
        <w:rPr>
          <w:i/>
        </w:rPr>
        <w:t xml:space="preserve">roductivity </w:t>
      </w:r>
      <w:r>
        <w:rPr>
          <w:i/>
          <w:iCs/>
        </w:rPr>
        <w:t>G</w:t>
      </w:r>
      <w:r w:rsidRPr="009B645F">
        <w:rPr>
          <w:i/>
        </w:rPr>
        <w:t xml:space="preserve">rowth: </w:t>
      </w:r>
      <w:r>
        <w:rPr>
          <w:i/>
          <w:iCs/>
        </w:rPr>
        <w:t>F</w:t>
      </w:r>
      <w:r w:rsidRPr="009B645F">
        <w:rPr>
          <w:i/>
        </w:rPr>
        <w:t xml:space="preserve">urther </w:t>
      </w:r>
      <w:r>
        <w:rPr>
          <w:i/>
          <w:iCs/>
        </w:rPr>
        <w:t>R</w:t>
      </w:r>
      <w:r w:rsidRPr="009B645F">
        <w:rPr>
          <w:i/>
        </w:rPr>
        <w:t xml:space="preserve">esearch and </w:t>
      </w:r>
      <w:r>
        <w:rPr>
          <w:i/>
          <w:iCs/>
        </w:rPr>
        <w:t>F</w:t>
      </w:r>
      <w:r w:rsidRPr="009B645F">
        <w:rPr>
          <w:i/>
        </w:rPr>
        <w:t>indings</w:t>
      </w:r>
      <w:r w:rsidRPr="006677BC">
        <w:t xml:space="preserve"> (KPMG Research Paper, June 2024) 14.</w:t>
      </w:r>
    </w:p>
  </w:footnote>
  <w:footnote w:id="1362">
    <w:p w14:paraId="700D7D8A" w14:textId="69E7BCCF" w:rsidR="006677BC" w:rsidRDefault="006677BC">
      <w:pPr>
        <w:pStyle w:val="FootnoteText"/>
      </w:pPr>
      <w:r>
        <w:rPr>
          <w:rStyle w:val="FootnoteReference"/>
        </w:rPr>
        <w:footnoteRef/>
      </w:r>
      <w:r>
        <w:t xml:space="preserve"> Australian Bureau of Statistics, </w:t>
      </w:r>
      <w:r w:rsidRPr="006677BC">
        <w:t>Estimates of Industry Multifactor Productivity</w:t>
      </w:r>
      <w:r>
        <w:t>, 22 January 2025 &lt;</w:t>
      </w:r>
      <w:r w:rsidRPr="006677BC">
        <w:t>https://www.abs.gov.au/statistics/industry/industry-overview/estimates-industry-multifactor-productivity/latest-release</w:t>
      </w:r>
      <w:r>
        <w:t>&gt;.</w:t>
      </w:r>
    </w:p>
  </w:footnote>
  <w:footnote w:id="1363">
    <w:p w14:paraId="7186350C" w14:textId="04BBE0BF" w:rsidR="006677BC" w:rsidRDefault="006677BC">
      <w:pPr>
        <w:pStyle w:val="FootnoteText"/>
      </w:pPr>
      <w:r>
        <w:rPr>
          <w:rStyle w:val="FootnoteReference"/>
        </w:rPr>
        <w:footnoteRef/>
      </w:r>
      <w:r>
        <w:t xml:space="preserve"> </w:t>
      </w:r>
      <w:r w:rsidRPr="006677BC">
        <w:t xml:space="preserve">Productivity Commission </w:t>
      </w:r>
      <w:r w:rsidRPr="009B645F">
        <w:rPr>
          <w:i/>
        </w:rPr>
        <w:t xml:space="preserve">From Industry Assistance to Productivity: 30 </w:t>
      </w:r>
      <w:r>
        <w:rPr>
          <w:i/>
          <w:iCs/>
        </w:rPr>
        <w:t>Y</w:t>
      </w:r>
      <w:r w:rsidRPr="009B645F">
        <w:rPr>
          <w:i/>
        </w:rPr>
        <w:t xml:space="preserve">ears of </w:t>
      </w:r>
      <w:r>
        <w:rPr>
          <w:i/>
          <w:iCs/>
        </w:rPr>
        <w:t>t</w:t>
      </w:r>
      <w:r w:rsidRPr="009B645F">
        <w:rPr>
          <w:i/>
        </w:rPr>
        <w:t>he Commission</w:t>
      </w:r>
      <w:r w:rsidRPr="006677BC">
        <w:t xml:space="preserve"> </w:t>
      </w:r>
      <w:r>
        <w:t>(</w:t>
      </w:r>
      <w:r w:rsidRPr="006677BC">
        <w:t>Productivity Commission</w:t>
      </w:r>
      <w:r>
        <w:t>,</w:t>
      </w:r>
      <w:r w:rsidRPr="006677BC">
        <w:t xml:space="preserve"> 2003) 185.</w:t>
      </w:r>
    </w:p>
  </w:footnote>
  <w:footnote w:id="1364">
    <w:p w14:paraId="5AD28A4F" w14:textId="1BBF91E4" w:rsidR="006677BC" w:rsidRDefault="006677BC">
      <w:pPr>
        <w:pStyle w:val="FootnoteText"/>
      </w:pPr>
      <w:r>
        <w:rPr>
          <w:rStyle w:val="FootnoteReference"/>
        </w:rPr>
        <w:footnoteRef/>
      </w:r>
      <w:r>
        <w:t xml:space="preserve"> </w:t>
      </w:r>
      <w:r w:rsidRPr="006677BC">
        <w:t>See</w:t>
      </w:r>
      <w:r>
        <w:t xml:space="preserve"> Australian Bureau of Statistics, </w:t>
      </w:r>
      <w:r w:rsidRPr="009B645F">
        <w:rPr>
          <w:i/>
        </w:rPr>
        <w:t>Estimates of Industry Multifactor Productivity</w:t>
      </w:r>
      <w:r>
        <w:t>,</w:t>
      </w:r>
      <w:r w:rsidRPr="006677BC">
        <w:t xml:space="preserve"> </w:t>
      </w:r>
      <w:r>
        <w:t xml:space="preserve">22 January 2025 </w:t>
      </w:r>
      <w:r w:rsidRPr="006677BC">
        <w:t>&lt;https://www.abs.gov.au/statistics/industry/industry-overview/estimates-industry-multifactor-productivity/latest-release&gt;</w:t>
      </w:r>
      <w:r>
        <w:t>.</w:t>
      </w:r>
    </w:p>
  </w:footnote>
  <w:footnote w:id="1365">
    <w:p w14:paraId="7FFB1A6A" w14:textId="68DDF8D7" w:rsidR="006677BC" w:rsidRDefault="006677BC">
      <w:pPr>
        <w:pStyle w:val="FootnoteText"/>
      </w:pPr>
      <w:r>
        <w:rPr>
          <w:rStyle w:val="FootnoteReference"/>
        </w:rPr>
        <w:footnoteRef/>
      </w:r>
      <w:r>
        <w:t xml:space="preserve"> </w:t>
      </w:r>
      <w:r w:rsidR="004767FC">
        <w:t xml:space="preserve">A </w:t>
      </w:r>
      <w:r w:rsidRPr="006677BC">
        <w:t>Morehead</w:t>
      </w:r>
      <w:r w:rsidR="004767FC">
        <w:t>,</w:t>
      </w:r>
      <w:r w:rsidRPr="006677BC">
        <w:t xml:space="preserve"> </w:t>
      </w:r>
      <w:r w:rsidRPr="009B645F">
        <w:rPr>
          <w:i/>
        </w:rPr>
        <w:t>Changes at Work: The 1995 Australian Workplace Industrial relations Survey</w:t>
      </w:r>
      <w:r w:rsidRPr="006677BC">
        <w:t xml:space="preserve"> </w:t>
      </w:r>
      <w:r>
        <w:t>(</w:t>
      </w:r>
      <w:r w:rsidRPr="006677BC">
        <w:t>Longman, 1997</w:t>
      </w:r>
      <w:r>
        <w:t>)</w:t>
      </w:r>
      <w:r w:rsidRPr="006677BC">
        <w:t xml:space="preserve"> </w:t>
      </w:r>
      <w:r>
        <w:t xml:space="preserve">esp </w:t>
      </w:r>
      <w:r w:rsidRPr="006677BC">
        <w:t>107</w:t>
      </w:r>
      <w:r>
        <w:rPr>
          <w:rFonts w:ascii="Symbol" w:eastAsia="Symbol" w:hAnsi="Symbol" w:cs="Symbol"/>
        </w:rPr>
        <w:t>-</w:t>
      </w:r>
      <w:r w:rsidRPr="006677BC">
        <w:t>110.</w:t>
      </w:r>
    </w:p>
  </w:footnote>
  <w:footnote w:id="1366">
    <w:p w14:paraId="7F294AEF" w14:textId="1CE10CAF" w:rsidR="004767FC" w:rsidRDefault="004767FC">
      <w:pPr>
        <w:pStyle w:val="FootnoteText"/>
      </w:pPr>
      <w:r>
        <w:rPr>
          <w:rStyle w:val="FootnoteReference"/>
        </w:rPr>
        <w:footnoteRef/>
      </w:r>
      <w:r>
        <w:t xml:space="preserve"> A </w:t>
      </w:r>
      <w:r w:rsidRPr="006677BC">
        <w:t>Morehead</w:t>
      </w:r>
      <w:r>
        <w:t>,</w:t>
      </w:r>
      <w:r w:rsidRPr="006677BC">
        <w:t xml:space="preserve"> </w:t>
      </w:r>
      <w:r w:rsidRPr="00246E35">
        <w:rPr>
          <w:i/>
          <w:iCs/>
        </w:rPr>
        <w:t>Changes at Work: The 1995 Australian Workplace Industrial relations Survey</w:t>
      </w:r>
      <w:r w:rsidRPr="006677BC">
        <w:t xml:space="preserve"> </w:t>
      </w:r>
      <w:r>
        <w:t>(</w:t>
      </w:r>
      <w:r w:rsidRPr="006677BC">
        <w:t>Longman, 1997</w:t>
      </w:r>
      <w:r>
        <w:t>) 108.</w:t>
      </w:r>
    </w:p>
  </w:footnote>
  <w:footnote w:id="1367">
    <w:p w14:paraId="329C2DF3" w14:textId="08BEDC81" w:rsidR="004767FC" w:rsidRDefault="004767FC">
      <w:pPr>
        <w:pStyle w:val="FootnoteText"/>
      </w:pPr>
      <w:r>
        <w:rPr>
          <w:rStyle w:val="FootnoteReference"/>
        </w:rPr>
        <w:footnoteRef/>
      </w:r>
      <w:r>
        <w:t xml:space="preserve"> R </w:t>
      </w:r>
      <w:r w:rsidRPr="004767FC">
        <w:t xml:space="preserve">Green, </w:t>
      </w:r>
      <w:r w:rsidRPr="00353298">
        <w:rPr>
          <w:i/>
        </w:rPr>
        <w:t>Australia’s Productivity Problem is No Easy Fix</w:t>
      </w:r>
      <w:r w:rsidRPr="004767FC">
        <w:t xml:space="preserve"> </w:t>
      </w:r>
      <w:r>
        <w:t>(Web Page, 2024) &lt;</w:t>
      </w:r>
      <w:r w:rsidRPr="004767FC">
        <w:t>https://www.uts.edu.au/news/business-law/australias-productivity-problem-no-easy-fix</w:t>
      </w:r>
      <w:r>
        <w:t>&gt;.</w:t>
      </w:r>
    </w:p>
  </w:footnote>
  <w:footnote w:id="1368">
    <w:p w14:paraId="24AB9AC4" w14:textId="61EF0E3E" w:rsidR="004767FC" w:rsidRDefault="004767FC">
      <w:pPr>
        <w:pStyle w:val="FootnoteText"/>
      </w:pPr>
      <w:r>
        <w:rPr>
          <w:rStyle w:val="FootnoteReference"/>
        </w:rPr>
        <w:footnoteRef/>
      </w:r>
      <w:r>
        <w:t xml:space="preserve"> </w:t>
      </w:r>
      <w:r w:rsidRPr="004767FC">
        <w:t>KPMG</w:t>
      </w:r>
      <w:r>
        <w:t>,</w:t>
      </w:r>
      <w:r w:rsidRPr="004767FC">
        <w:t xml:space="preserve"> </w:t>
      </w:r>
      <w:r w:rsidRPr="00353298">
        <w:rPr>
          <w:i/>
        </w:rPr>
        <w:t>Trends in Australia’s Productivity Growth: Further Research and Findings</w:t>
      </w:r>
      <w:r w:rsidRPr="004767FC">
        <w:t xml:space="preserve"> </w:t>
      </w:r>
      <w:r>
        <w:t>(</w:t>
      </w:r>
      <w:r w:rsidRPr="004767FC">
        <w:t>KPMG Economics, Research Paper, 2024).</w:t>
      </w:r>
    </w:p>
  </w:footnote>
  <w:footnote w:id="1369">
    <w:p w14:paraId="66BD5B04" w14:textId="68ACF3A9" w:rsidR="004767FC" w:rsidRDefault="004767FC">
      <w:pPr>
        <w:pStyle w:val="FootnoteText"/>
      </w:pPr>
      <w:r>
        <w:rPr>
          <w:rStyle w:val="FootnoteReference"/>
        </w:rPr>
        <w:footnoteRef/>
      </w:r>
      <w:r>
        <w:t xml:space="preserve"> </w:t>
      </w:r>
      <w:r w:rsidRPr="004767FC">
        <w:t xml:space="preserve">Deloitte, </w:t>
      </w:r>
      <w:r w:rsidRPr="00353298">
        <w:rPr>
          <w:i/>
        </w:rPr>
        <w:t>Moving From Potential to Performance: Deloitte’s State of Generative AI in the Enterprise Quarter 3 Report</w:t>
      </w:r>
      <w:r w:rsidRPr="004767FC">
        <w:t>, (</w:t>
      </w:r>
      <w:r>
        <w:t xml:space="preserve">Report, </w:t>
      </w:r>
      <w:r w:rsidRPr="004767FC">
        <w:t>2024).</w:t>
      </w:r>
    </w:p>
  </w:footnote>
  <w:footnote w:id="1370">
    <w:p w14:paraId="3EA6E813" w14:textId="3A9F5425" w:rsidR="004767FC" w:rsidRDefault="004767FC">
      <w:pPr>
        <w:pStyle w:val="FootnoteText"/>
      </w:pPr>
      <w:r>
        <w:rPr>
          <w:rStyle w:val="FootnoteReference"/>
        </w:rPr>
        <w:footnoteRef/>
      </w:r>
      <w:r>
        <w:t xml:space="preserve"> </w:t>
      </w:r>
      <w:r w:rsidRPr="004767FC">
        <w:t xml:space="preserve">Consult Australia, </w:t>
      </w:r>
      <w:r w:rsidRPr="00353298">
        <w:rPr>
          <w:i/>
        </w:rPr>
        <w:t>Uplifting Productivity: Delivering Economic Growth Through Best Practice Procurement</w:t>
      </w:r>
      <w:r w:rsidRPr="004767FC">
        <w:t xml:space="preserve"> (</w:t>
      </w:r>
      <w:r>
        <w:t xml:space="preserve">Consult Australia, </w:t>
      </w:r>
      <w:r w:rsidRPr="004767FC">
        <w:t>2020).</w:t>
      </w:r>
    </w:p>
  </w:footnote>
  <w:footnote w:id="1371">
    <w:p w14:paraId="73182CA9" w14:textId="0D1F3583" w:rsidR="004767FC" w:rsidRDefault="004767FC">
      <w:pPr>
        <w:pStyle w:val="FootnoteText"/>
      </w:pPr>
      <w:r>
        <w:rPr>
          <w:rStyle w:val="FootnoteReference"/>
        </w:rPr>
        <w:footnoteRef/>
      </w:r>
      <w:r>
        <w:t xml:space="preserve"> </w:t>
      </w:r>
      <w:r w:rsidRPr="004767FC">
        <w:t xml:space="preserve">J Buckley, </w:t>
      </w:r>
      <w:r w:rsidRPr="00353298">
        <w:rPr>
          <w:i/>
        </w:rPr>
        <w:t>Productivity in Motion: The Role of Job Switching</w:t>
      </w:r>
      <w:r w:rsidRPr="004767FC">
        <w:t xml:space="preserve"> </w:t>
      </w:r>
      <w:r>
        <w:t>(</w:t>
      </w:r>
      <w:r w:rsidRPr="004767FC">
        <w:t>e61 Institute Micro Note 14</w:t>
      </w:r>
      <w:r>
        <w:t xml:space="preserve">, </w:t>
      </w:r>
      <w:r w:rsidRPr="004767FC">
        <w:t>November 2023).</w:t>
      </w:r>
    </w:p>
  </w:footnote>
  <w:footnote w:id="1372">
    <w:p w14:paraId="2E2D73D3" w14:textId="4E055974" w:rsidR="004767FC" w:rsidRDefault="004767FC">
      <w:pPr>
        <w:pStyle w:val="FootnoteText"/>
      </w:pPr>
      <w:r>
        <w:rPr>
          <w:rStyle w:val="FootnoteReference"/>
        </w:rPr>
        <w:footnoteRef/>
      </w:r>
      <w:r>
        <w:t xml:space="preserve"> </w:t>
      </w:r>
      <w:r w:rsidRPr="004767FC">
        <w:t xml:space="preserve">Productivity Commission, </w:t>
      </w:r>
      <w:r w:rsidRPr="00353298">
        <w:rPr>
          <w:i/>
        </w:rPr>
        <w:t>Five-year Productivity Inquiry: A More Productive Labour Market</w:t>
      </w:r>
      <w:r w:rsidRPr="004767FC">
        <w:t xml:space="preserve"> (Report, 2023) Vol</w:t>
      </w:r>
      <w:r>
        <w:t xml:space="preserve"> </w:t>
      </w:r>
      <w:r w:rsidRPr="004767FC">
        <w:t>7.</w:t>
      </w:r>
    </w:p>
  </w:footnote>
  <w:footnote w:id="1373">
    <w:p w14:paraId="4CDDAA62" w14:textId="791C4F56" w:rsidR="004767FC" w:rsidRDefault="004767FC">
      <w:pPr>
        <w:pStyle w:val="FootnoteText"/>
      </w:pPr>
      <w:r>
        <w:rPr>
          <w:rStyle w:val="FootnoteReference"/>
        </w:rPr>
        <w:footnoteRef/>
      </w:r>
      <w:r>
        <w:t xml:space="preserve"> </w:t>
      </w:r>
      <w:r w:rsidR="00713EFB" w:rsidRPr="004767FC">
        <w:t xml:space="preserve">See </w:t>
      </w:r>
      <w:r w:rsidR="00713EFB">
        <w:t xml:space="preserve">e.g. </w:t>
      </w:r>
      <w:r w:rsidR="00713EFB" w:rsidRPr="004767FC">
        <w:t>D</w:t>
      </w:r>
      <w:r w:rsidR="00713EFB">
        <w:t xml:space="preserve"> </w:t>
      </w:r>
      <w:r w:rsidR="00713EFB" w:rsidRPr="004767FC">
        <w:t>Andrews, J</w:t>
      </w:r>
      <w:r w:rsidR="00713EFB">
        <w:t xml:space="preserve"> </w:t>
      </w:r>
      <w:r w:rsidR="00713EFB" w:rsidRPr="004767FC">
        <w:t>Hambur, D</w:t>
      </w:r>
      <w:r w:rsidR="00713EFB">
        <w:t xml:space="preserve"> </w:t>
      </w:r>
      <w:r w:rsidR="00713EFB" w:rsidRPr="004767FC">
        <w:t>Hansell and A</w:t>
      </w:r>
      <w:r w:rsidR="00713EFB">
        <w:t xml:space="preserve"> </w:t>
      </w:r>
      <w:r w:rsidR="00713EFB" w:rsidRPr="004767FC">
        <w:t xml:space="preserve">Wheeler, </w:t>
      </w:r>
      <w:r w:rsidR="00713EFB" w:rsidRPr="00A55DA2">
        <w:rPr>
          <w:i/>
        </w:rPr>
        <w:t>Reaching for the Stars: Australian Firms and the Global Productivity Frontier</w:t>
      </w:r>
      <w:r w:rsidR="00713EFB" w:rsidRPr="004767FC">
        <w:t xml:space="preserve"> </w:t>
      </w:r>
      <w:r w:rsidR="00713EFB">
        <w:t>(</w:t>
      </w:r>
      <w:r w:rsidR="00713EFB" w:rsidRPr="004767FC">
        <w:t>Treasury Working Paper</w:t>
      </w:r>
      <w:r w:rsidR="00713EFB">
        <w:t xml:space="preserve">, </w:t>
      </w:r>
      <w:r w:rsidR="00713EFB" w:rsidRPr="004767FC">
        <w:t xml:space="preserve">January 2022); The Treasury, </w:t>
      </w:r>
      <w:r w:rsidR="00713EFB" w:rsidRPr="00A55DA2">
        <w:rPr>
          <w:i/>
        </w:rPr>
        <w:t>Working Future: The Australian Government’s White Paper on Jobs and Opportunities</w:t>
      </w:r>
      <w:r w:rsidR="00713EFB" w:rsidRPr="004767FC">
        <w:t xml:space="preserve"> (Report, 2023) Ch</w:t>
      </w:r>
      <w:r w:rsidR="00713EFB">
        <w:t xml:space="preserve"> </w:t>
      </w:r>
      <w:r w:rsidR="00713EFB" w:rsidRPr="004767FC">
        <w:t>4</w:t>
      </w:r>
      <w:r w:rsidR="00713EFB">
        <w:t>.</w:t>
      </w:r>
    </w:p>
  </w:footnote>
  <w:footnote w:id="1374">
    <w:p w14:paraId="34E36A95" w14:textId="783F4383" w:rsidR="004767FC" w:rsidRDefault="004767FC">
      <w:pPr>
        <w:pStyle w:val="FootnoteText"/>
      </w:pPr>
      <w:r>
        <w:rPr>
          <w:rStyle w:val="FootnoteReference"/>
        </w:rPr>
        <w:footnoteRef/>
      </w:r>
      <w:r>
        <w:t xml:space="preserve"> </w:t>
      </w:r>
      <w:r w:rsidRPr="004767FC">
        <w:t>See, for example, the submissions from Whitehaven Coal and the Business Council of Australia.</w:t>
      </w:r>
    </w:p>
  </w:footnote>
  <w:footnote w:id="1375">
    <w:p w14:paraId="7678E935" w14:textId="7B4770E6" w:rsidR="004767FC" w:rsidRDefault="004767FC">
      <w:pPr>
        <w:pStyle w:val="FootnoteText"/>
      </w:pPr>
      <w:r>
        <w:rPr>
          <w:rStyle w:val="FootnoteReference"/>
        </w:rPr>
        <w:footnoteRef/>
      </w:r>
      <w:r>
        <w:t xml:space="preserve"> T </w:t>
      </w:r>
      <w:r w:rsidRPr="004767FC">
        <w:t>McIlroy</w:t>
      </w:r>
      <w:r>
        <w:t xml:space="preserve"> </w:t>
      </w:r>
      <w:r w:rsidRPr="004767FC">
        <w:t xml:space="preserve">and </w:t>
      </w:r>
      <w:r>
        <w:t xml:space="preserve">P </w:t>
      </w:r>
      <w:r w:rsidRPr="004767FC">
        <w:t xml:space="preserve">Coorey, ‘Multi-employer </w:t>
      </w:r>
      <w:r>
        <w:t>B</w:t>
      </w:r>
      <w:r w:rsidRPr="004767FC">
        <w:t xml:space="preserve">argaining </w:t>
      </w:r>
      <w:r>
        <w:t>L</w:t>
      </w:r>
      <w:r w:rsidRPr="004767FC">
        <w:t xml:space="preserve">ess </w:t>
      </w:r>
      <w:r>
        <w:t>H</w:t>
      </w:r>
      <w:r w:rsidRPr="004767FC">
        <w:t xml:space="preserve">elpful for </w:t>
      </w:r>
      <w:r>
        <w:t>P</w:t>
      </w:r>
      <w:r w:rsidRPr="004767FC">
        <w:t xml:space="preserve">roductivity: Brennan’, </w:t>
      </w:r>
      <w:r w:rsidRPr="00353298">
        <w:rPr>
          <w:i/>
        </w:rPr>
        <w:t>Australian Financial Review</w:t>
      </w:r>
      <w:r w:rsidRPr="004767FC">
        <w:t xml:space="preserve"> </w:t>
      </w:r>
      <w:r>
        <w:t xml:space="preserve">(online, </w:t>
      </w:r>
      <w:r w:rsidRPr="004767FC">
        <w:t>2 November</w:t>
      </w:r>
      <w:r>
        <w:t xml:space="preserve"> </w:t>
      </w:r>
      <w:r w:rsidRPr="004767FC">
        <w:t xml:space="preserve">2022) </w:t>
      </w:r>
      <w:r>
        <w:t>&lt;</w:t>
      </w:r>
      <w:r w:rsidRPr="004767FC">
        <w:t>https://www.afr.com/politics/federal/multi-employer-bargaining-less-helpful-for-productivity-brennan-20221102-p5buzk</w:t>
      </w:r>
      <w:r>
        <w:t>&gt;</w:t>
      </w:r>
      <w:r w:rsidRPr="004767FC">
        <w:t>.</w:t>
      </w:r>
    </w:p>
  </w:footnote>
  <w:footnote w:id="1376">
    <w:p w14:paraId="4CEE7FB6" w14:textId="3B340794" w:rsidR="004767FC" w:rsidRDefault="004767FC">
      <w:pPr>
        <w:pStyle w:val="FootnoteText"/>
      </w:pPr>
      <w:r>
        <w:rPr>
          <w:rStyle w:val="FootnoteReference"/>
        </w:rPr>
        <w:footnoteRef/>
      </w:r>
      <w:r>
        <w:t xml:space="preserve"> </w:t>
      </w:r>
      <w:r w:rsidRPr="004767FC">
        <w:t>See D</w:t>
      </w:r>
      <w:r>
        <w:t xml:space="preserve"> </w:t>
      </w:r>
      <w:r w:rsidRPr="004767FC">
        <w:t>Andrews, J</w:t>
      </w:r>
      <w:r>
        <w:t xml:space="preserve"> </w:t>
      </w:r>
      <w:r w:rsidRPr="004767FC">
        <w:t>Hambur, D</w:t>
      </w:r>
      <w:r>
        <w:t xml:space="preserve"> </w:t>
      </w:r>
      <w:r w:rsidRPr="004767FC">
        <w:t>Hansell and A</w:t>
      </w:r>
      <w:r>
        <w:t xml:space="preserve"> </w:t>
      </w:r>
      <w:r w:rsidRPr="004767FC">
        <w:t xml:space="preserve">Wheeler, </w:t>
      </w:r>
      <w:r w:rsidRPr="00A55DA2">
        <w:rPr>
          <w:i/>
        </w:rPr>
        <w:t>Reaching for the Stars: Australian Firms and the Global Productivity Frontier</w:t>
      </w:r>
      <w:r w:rsidRPr="004767FC">
        <w:t xml:space="preserve"> </w:t>
      </w:r>
      <w:r>
        <w:t>(</w:t>
      </w:r>
      <w:r w:rsidRPr="004767FC">
        <w:t>Treasury Working Paper</w:t>
      </w:r>
      <w:r>
        <w:t xml:space="preserve">, </w:t>
      </w:r>
      <w:r w:rsidRPr="004767FC">
        <w:t xml:space="preserve">January 2022); The Treasury, </w:t>
      </w:r>
      <w:r w:rsidRPr="00A55DA2">
        <w:rPr>
          <w:i/>
        </w:rPr>
        <w:t>Working Future: The Australian Government’s White Paper on Jobs and Opportunities</w:t>
      </w:r>
      <w:r w:rsidRPr="004767FC">
        <w:t xml:space="preserve"> (Report, 2023) Ch</w:t>
      </w:r>
      <w:r>
        <w:t xml:space="preserve"> </w:t>
      </w:r>
      <w:r w:rsidRPr="004767FC">
        <w:t>4</w:t>
      </w:r>
      <w:r w:rsidR="00713EFB">
        <w:t>.</w:t>
      </w:r>
      <w:r w:rsidRPr="004767FC">
        <w:t xml:space="preserve"> </w:t>
      </w:r>
      <w:r>
        <w:t>&lt;</w:t>
      </w:r>
      <w:r w:rsidRPr="004767FC">
        <w:t>https://treasury.gov.au/sites/default/files/2023-10/p2023-447996-working-future.pdf</w:t>
      </w:r>
      <w:r>
        <w:t>&gt;</w:t>
      </w:r>
      <w:r w:rsidRPr="004767FC">
        <w:t xml:space="preserve">; and </w:t>
      </w:r>
      <w:r>
        <w:t xml:space="preserve">R </w:t>
      </w:r>
      <w:r w:rsidRPr="004767FC">
        <w:t xml:space="preserve">Green, </w:t>
      </w:r>
      <w:r w:rsidRPr="00246E35">
        <w:rPr>
          <w:i/>
          <w:iCs/>
        </w:rPr>
        <w:t>Australia’s Productivity Problem is No Easy Fix</w:t>
      </w:r>
      <w:r w:rsidRPr="004767FC">
        <w:t xml:space="preserve"> </w:t>
      </w:r>
      <w:r>
        <w:t>(Web Page, 2024) &lt;</w:t>
      </w:r>
      <w:r w:rsidRPr="004767FC">
        <w:t>https://www.uts.edu.au/news/business-law/australias-productivity-problem-no-easy-fix</w:t>
      </w:r>
      <w:r>
        <w:t>&gt;.</w:t>
      </w:r>
    </w:p>
  </w:footnote>
  <w:footnote w:id="1377">
    <w:p w14:paraId="2FDADB5C" w14:textId="4C529DBB" w:rsidR="004767FC" w:rsidRDefault="004767FC">
      <w:pPr>
        <w:pStyle w:val="FootnoteText"/>
      </w:pPr>
      <w:r>
        <w:rPr>
          <w:rStyle w:val="FootnoteReference"/>
        </w:rPr>
        <w:footnoteRef/>
      </w:r>
      <w:r>
        <w:t xml:space="preserve"> </w:t>
      </w:r>
      <w:r w:rsidRPr="004767FC">
        <w:t xml:space="preserve">See Hewett (2011), Ridout (2011) and BCA (2012) as cited in </w:t>
      </w:r>
      <w:r>
        <w:t xml:space="preserve">D </w:t>
      </w:r>
      <w:r w:rsidRPr="006677BC">
        <w:t xml:space="preserve">Peetz, ‘Does </w:t>
      </w:r>
      <w:r>
        <w:t>I</w:t>
      </w:r>
      <w:r w:rsidRPr="006677BC">
        <w:t xml:space="preserve">ndustrial </w:t>
      </w:r>
      <w:r>
        <w:t>R</w:t>
      </w:r>
      <w:r w:rsidRPr="006677BC">
        <w:t xml:space="preserve">elations </w:t>
      </w:r>
      <w:r>
        <w:t>P</w:t>
      </w:r>
      <w:r w:rsidRPr="006677BC">
        <w:t xml:space="preserve">olicy </w:t>
      </w:r>
      <w:r>
        <w:t>A</w:t>
      </w:r>
      <w:r w:rsidRPr="006677BC">
        <w:t xml:space="preserve">ffect </w:t>
      </w:r>
      <w:r>
        <w:t>P</w:t>
      </w:r>
      <w:r w:rsidRPr="006677BC">
        <w:t>roductivity’</w:t>
      </w:r>
      <w:r>
        <w:t xml:space="preserve"> </w:t>
      </w:r>
      <w:r w:rsidRPr="006677BC">
        <w:t xml:space="preserve">(2012) 38(4) </w:t>
      </w:r>
      <w:r w:rsidRPr="00246E35">
        <w:rPr>
          <w:i/>
          <w:iCs/>
        </w:rPr>
        <w:t>Australian Bulletin of Labour</w:t>
      </w:r>
      <w:r>
        <w:t xml:space="preserve"> </w:t>
      </w:r>
      <w:r w:rsidRPr="006677BC">
        <w:t>268</w:t>
      </w:r>
      <w:r>
        <w:rPr>
          <w:rFonts w:ascii="Symbol" w:eastAsia="Symbol" w:hAnsi="Symbol" w:cs="Symbol"/>
        </w:rPr>
        <w:t>-</w:t>
      </w:r>
      <w:r w:rsidRPr="004767FC">
        <w:t xml:space="preserve">292. J Hewett, ‘Low </w:t>
      </w:r>
      <w:r>
        <w:t>E</w:t>
      </w:r>
      <w:r w:rsidRPr="004767FC">
        <w:t xml:space="preserve">fficiency </w:t>
      </w:r>
      <w:r>
        <w:t>W</w:t>
      </w:r>
      <w:r w:rsidRPr="004767FC">
        <w:t xml:space="preserve">on’t </w:t>
      </w:r>
      <w:r>
        <w:t>A</w:t>
      </w:r>
      <w:r w:rsidRPr="004767FC">
        <w:t xml:space="preserve">ugur </w:t>
      </w:r>
      <w:r>
        <w:t>W</w:t>
      </w:r>
      <w:r w:rsidRPr="004767FC">
        <w:t xml:space="preserve">ell’, </w:t>
      </w:r>
      <w:r w:rsidRPr="00A55DA2">
        <w:rPr>
          <w:i/>
        </w:rPr>
        <w:t>The Australian</w:t>
      </w:r>
      <w:r w:rsidRPr="004767FC">
        <w:t>, 25 August</w:t>
      </w:r>
      <w:r>
        <w:t xml:space="preserve"> </w:t>
      </w:r>
      <w:r w:rsidRPr="004767FC">
        <w:t xml:space="preserve">2011, 24; </w:t>
      </w:r>
      <w:r>
        <w:t xml:space="preserve">H </w:t>
      </w:r>
      <w:r w:rsidRPr="004767FC">
        <w:t xml:space="preserve">Ridout, </w:t>
      </w:r>
      <w:r>
        <w:t>‘</w:t>
      </w:r>
      <w:r w:rsidRPr="004767FC">
        <w:t>The Fair Work Act</w:t>
      </w:r>
      <w:r>
        <w:t xml:space="preserve"> </w:t>
      </w:r>
      <w:r>
        <w:rPr>
          <w:rFonts w:ascii="Symbol" w:eastAsia="Symbol" w:hAnsi="Symbol" w:cs="Symbol"/>
        </w:rPr>
        <w:t>-</w:t>
      </w:r>
      <w:r>
        <w:t xml:space="preserve"> </w:t>
      </w:r>
      <w:r w:rsidRPr="004767FC">
        <w:t>The Barriers To Productivity Improvement Need To Be Addressed</w:t>
      </w:r>
      <w:r>
        <w:t>’</w:t>
      </w:r>
      <w:r w:rsidRPr="004767FC">
        <w:t xml:space="preserve"> </w:t>
      </w:r>
      <w:r>
        <w:t>(</w:t>
      </w:r>
      <w:r w:rsidRPr="004767FC">
        <w:t>Speech</w:t>
      </w:r>
      <w:r>
        <w:t>,</w:t>
      </w:r>
      <w:r w:rsidRPr="004767FC">
        <w:t xml:space="preserve"> 10th Annual Workforce Conference, Sydney, Australian Industry Group, 5 September</w:t>
      </w:r>
      <w:r>
        <w:t xml:space="preserve"> </w:t>
      </w:r>
      <w:r w:rsidRPr="004767FC">
        <w:t xml:space="preserve">2011). Business Council of Australia </w:t>
      </w:r>
      <w:r w:rsidRPr="00A55DA2">
        <w:rPr>
          <w:i/>
        </w:rPr>
        <w:t>Pipeline or Pipe Dream? Securing Australia’s Investment Future</w:t>
      </w:r>
      <w:r w:rsidRPr="004767FC">
        <w:t xml:space="preserve"> </w:t>
      </w:r>
      <w:r>
        <w:t>(</w:t>
      </w:r>
      <w:r w:rsidRPr="004767FC">
        <w:t>BCA, 2012).</w:t>
      </w:r>
    </w:p>
  </w:footnote>
  <w:footnote w:id="1378">
    <w:p w14:paraId="58DEF0F4" w14:textId="55F85838" w:rsidR="004767FC" w:rsidRDefault="004767FC">
      <w:pPr>
        <w:pStyle w:val="FootnoteText"/>
      </w:pPr>
      <w:r>
        <w:rPr>
          <w:rStyle w:val="FootnoteReference"/>
        </w:rPr>
        <w:footnoteRef/>
      </w:r>
      <w:r>
        <w:t xml:space="preserve"> D </w:t>
      </w:r>
      <w:r w:rsidRPr="004767FC">
        <w:t xml:space="preserve">Sisson and </w:t>
      </w:r>
      <w:r>
        <w:t xml:space="preserve">P </w:t>
      </w:r>
      <w:r w:rsidRPr="004767FC">
        <w:t xml:space="preserve">Marginson, ‘Co-ordinated </w:t>
      </w:r>
      <w:r>
        <w:t>B</w:t>
      </w:r>
      <w:r w:rsidRPr="004767FC">
        <w:t xml:space="preserve">argaining: A </w:t>
      </w:r>
      <w:r>
        <w:t>P</w:t>
      </w:r>
      <w:r w:rsidRPr="004767FC">
        <w:t xml:space="preserve">rocess </w:t>
      </w:r>
      <w:r>
        <w:t>F</w:t>
      </w:r>
      <w:r w:rsidRPr="004767FC">
        <w:t xml:space="preserve">or </w:t>
      </w:r>
      <w:r>
        <w:t>O</w:t>
      </w:r>
      <w:r w:rsidRPr="004767FC">
        <w:t xml:space="preserve">ur </w:t>
      </w:r>
      <w:r>
        <w:t>T</w:t>
      </w:r>
      <w:r w:rsidRPr="004767FC">
        <w:t xml:space="preserve">imes?’ (2002) 40(2) </w:t>
      </w:r>
      <w:r w:rsidRPr="00A55DA2">
        <w:rPr>
          <w:i/>
        </w:rPr>
        <w:t>British Journal of Industrial Relations</w:t>
      </w:r>
      <w:r w:rsidRPr="004767FC">
        <w:t xml:space="preserve"> 199</w:t>
      </w:r>
      <w:r>
        <w:t>.</w:t>
      </w:r>
    </w:p>
  </w:footnote>
  <w:footnote w:id="1379">
    <w:p w14:paraId="0BCD3D68" w14:textId="174785CB" w:rsidR="004767FC" w:rsidRDefault="004767FC">
      <w:pPr>
        <w:pStyle w:val="FootnoteText"/>
      </w:pPr>
      <w:r>
        <w:rPr>
          <w:rStyle w:val="FootnoteReference"/>
        </w:rPr>
        <w:footnoteRef/>
      </w:r>
      <w:r>
        <w:t xml:space="preserve"> </w:t>
      </w:r>
      <w:r w:rsidRPr="00742A75">
        <w:t>D Grimshaw</w:t>
      </w:r>
      <w:r>
        <w:t>, B Brandl, F Bertranou and S Gontero</w:t>
      </w:r>
      <w:r w:rsidRPr="00742A75">
        <w:t xml:space="preserve">, ‘Tracing the </w:t>
      </w:r>
      <w:r>
        <w:t>P</w:t>
      </w:r>
      <w:r w:rsidRPr="00742A75">
        <w:t xml:space="preserve">otential </w:t>
      </w:r>
      <w:r>
        <w:t>B</w:t>
      </w:r>
      <w:r w:rsidRPr="00742A75">
        <w:t xml:space="preserve">enefits and </w:t>
      </w:r>
      <w:r>
        <w:t>C</w:t>
      </w:r>
      <w:r w:rsidRPr="00742A75">
        <w:t xml:space="preserve">omplex </w:t>
      </w:r>
      <w:r>
        <w:t>C</w:t>
      </w:r>
      <w:r w:rsidRPr="00742A75">
        <w:t xml:space="preserve">ontingencies of </w:t>
      </w:r>
      <w:r>
        <w:t>M</w:t>
      </w:r>
      <w:r w:rsidRPr="00742A75">
        <w:t xml:space="preserve">ultilevel </w:t>
      </w:r>
      <w:r>
        <w:t>C</w:t>
      </w:r>
      <w:r w:rsidRPr="00742A75">
        <w:t xml:space="preserve">ollective </w:t>
      </w:r>
      <w:r>
        <w:t>B</w:t>
      </w:r>
      <w:r w:rsidRPr="00742A75">
        <w:t xml:space="preserve">argaining’ (2024) 163(4) </w:t>
      </w:r>
      <w:r w:rsidRPr="00742A75">
        <w:rPr>
          <w:i/>
        </w:rPr>
        <w:t xml:space="preserve">International Labour </w:t>
      </w:r>
      <w:r w:rsidRPr="004767FC">
        <w:rPr>
          <w:i/>
        </w:rPr>
        <w:t>Review</w:t>
      </w:r>
      <w:r w:rsidRPr="004767FC">
        <w:t xml:space="preserve"> 661.</w:t>
      </w:r>
    </w:p>
  </w:footnote>
  <w:footnote w:id="1380">
    <w:p w14:paraId="7D990F56" w14:textId="7FE0B112" w:rsidR="004767FC" w:rsidRDefault="004767FC">
      <w:pPr>
        <w:pStyle w:val="FootnoteText"/>
      </w:pPr>
      <w:r>
        <w:rPr>
          <w:rStyle w:val="FootnoteReference"/>
        </w:rPr>
        <w:footnoteRef/>
      </w:r>
      <w:r>
        <w:t xml:space="preserve"> </w:t>
      </w:r>
      <w:r w:rsidRPr="004767FC">
        <w:t>For example</w:t>
      </w:r>
      <w:r>
        <w:t>,</w:t>
      </w:r>
      <w:r w:rsidRPr="004767FC">
        <w:t xml:space="preserve"> </w:t>
      </w:r>
      <w:r w:rsidRPr="00742A75">
        <w:t>D Grimshaw</w:t>
      </w:r>
      <w:r>
        <w:t>, B Brandl, F Bertranou and S Gontero</w:t>
      </w:r>
      <w:r w:rsidRPr="00742A75">
        <w:t xml:space="preserve">, ‘Tracing the </w:t>
      </w:r>
      <w:r>
        <w:t>P</w:t>
      </w:r>
      <w:r w:rsidRPr="00742A75">
        <w:t xml:space="preserve">otential </w:t>
      </w:r>
      <w:r w:rsidRPr="00B47F44">
        <w:t xml:space="preserve">Benefits and Complex Contingencies of Multilevel Collective Bargaining’ (2024) 163(4) </w:t>
      </w:r>
      <w:r w:rsidRPr="00B47F44">
        <w:rPr>
          <w:i/>
        </w:rPr>
        <w:t>International Labour Review</w:t>
      </w:r>
      <w:r w:rsidRPr="00B47F44">
        <w:t xml:space="preserve"> 657</w:t>
      </w:r>
      <w:r w:rsidRPr="00B47F44">
        <w:rPr>
          <w:rFonts w:ascii="Symbol" w:eastAsia="Symbol" w:hAnsi="Symbol" w:cs="Symbol"/>
        </w:rPr>
        <w:t>-</w:t>
      </w:r>
      <w:r w:rsidRPr="00B47F44">
        <w:t>675;</w:t>
      </w:r>
      <w:r w:rsidR="00276435" w:rsidRPr="00B47F44">
        <w:t xml:space="preserve"> C</w:t>
      </w:r>
      <w:r w:rsidR="006F605B" w:rsidRPr="00B47F44">
        <w:t>F</w:t>
      </w:r>
      <w:r w:rsidR="00276435" w:rsidRPr="00B47F44">
        <w:t xml:space="preserve"> Wright, ‘Multi-employer collective bargaining in liberal market economies: Reasons for survival and reinvigoration’ (2024) 163(4) </w:t>
      </w:r>
      <w:r w:rsidR="00276435" w:rsidRPr="00B47F44">
        <w:rPr>
          <w:i/>
          <w:iCs/>
        </w:rPr>
        <w:t>International Labour Review</w:t>
      </w:r>
      <w:r w:rsidR="00276435" w:rsidRPr="00B47F44">
        <w:t xml:space="preserve"> 677-691; </w:t>
      </w:r>
      <w:r w:rsidRPr="00B47F44">
        <w:t>S Andersen, ‘Multi-employer Bargaining in Denmark: Interwoven</w:t>
      </w:r>
      <w:r w:rsidRPr="004767FC">
        <w:t xml:space="preserve"> </w:t>
      </w:r>
      <w:r>
        <w:t>P</w:t>
      </w:r>
      <w:r w:rsidRPr="004767FC">
        <w:t xml:space="preserve">rocesses of </w:t>
      </w:r>
      <w:r>
        <w:t>C</w:t>
      </w:r>
      <w:r w:rsidRPr="004767FC">
        <w:t>oordination’</w:t>
      </w:r>
      <w:r>
        <w:t xml:space="preserve"> </w:t>
      </w:r>
      <w:r w:rsidRPr="004767FC">
        <w:t xml:space="preserve">S. (2024) </w:t>
      </w:r>
      <w:r>
        <w:t xml:space="preserve">163(3) </w:t>
      </w:r>
      <w:r w:rsidRPr="00A55DA2">
        <w:rPr>
          <w:i/>
        </w:rPr>
        <w:t xml:space="preserve">International </w:t>
      </w:r>
      <w:r>
        <w:rPr>
          <w:i/>
          <w:iCs/>
        </w:rPr>
        <w:t>L</w:t>
      </w:r>
      <w:r w:rsidRPr="00A55DA2">
        <w:rPr>
          <w:i/>
        </w:rPr>
        <w:t>abour Review</w:t>
      </w:r>
      <w:r w:rsidRPr="004767FC">
        <w:t xml:space="preserve"> 693</w:t>
      </w:r>
      <w:r>
        <w:rPr>
          <w:rFonts w:ascii="Symbol" w:eastAsia="Symbol" w:hAnsi="Symbol" w:cs="Symbol"/>
        </w:rPr>
        <w:t>-</w:t>
      </w:r>
      <w:r w:rsidRPr="004767FC">
        <w:t>710</w:t>
      </w:r>
      <w:r>
        <w:t>.</w:t>
      </w:r>
    </w:p>
  </w:footnote>
  <w:footnote w:id="1381">
    <w:p w14:paraId="61B86E94" w14:textId="5E4F327F" w:rsidR="004767FC" w:rsidRDefault="004767FC">
      <w:pPr>
        <w:pStyle w:val="FootnoteText"/>
      </w:pPr>
      <w:r>
        <w:rPr>
          <w:rStyle w:val="FootnoteReference"/>
        </w:rPr>
        <w:footnoteRef/>
      </w:r>
      <w:r>
        <w:t xml:space="preserve"> </w:t>
      </w:r>
      <w:r w:rsidRPr="004767FC">
        <w:t xml:space="preserve">R Freeman and D Medoff, </w:t>
      </w:r>
      <w:r w:rsidRPr="00A55DA2">
        <w:rPr>
          <w:i/>
        </w:rPr>
        <w:t xml:space="preserve">What </w:t>
      </w:r>
      <w:r>
        <w:rPr>
          <w:i/>
          <w:iCs/>
        </w:rPr>
        <w:t>D</w:t>
      </w:r>
      <w:r w:rsidRPr="00A55DA2">
        <w:rPr>
          <w:i/>
        </w:rPr>
        <w:t xml:space="preserve">o </w:t>
      </w:r>
      <w:r>
        <w:rPr>
          <w:i/>
          <w:iCs/>
        </w:rPr>
        <w:t>U</w:t>
      </w:r>
      <w:r w:rsidRPr="00A55DA2">
        <w:rPr>
          <w:i/>
        </w:rPr>
        <w:t xml:space="preserve">nions </w:t>
      </w:r>
      <w:r>
        <w:rPr>
          <w:i/>
          <w:iCs/>
        </w:rPr>
        <w:t>D</w:t>
      </w:r>
      <w:r w:rsidRPr="00A55DA2">
        <w:rPr>
          <w:i/>
        </w:rPr>
        <w:t>o?</w:t>
      </w:r>
      <w:r w:rsidRPr="004767FC">
        <w:t xml:space="preserve"> (</w:t>
      </w:r>
      <w:r>
        <w:t xml:space="preserve">Basic Books, </w:t>
      </w:r>
      <w:r w:rsidRPr="004767FC">
        <w:t>1984)</w:t>
      </w:r>
      <w:r>
        <w:t xml:space="preserve"> </w:t>
      </w:r>
      <w:r w:rsidRPr="004767FC">
        <w:t>179</w:t>
      </w:r>
      <w:r>
        <w:t>.</w:t>
      </w:r>
    </w:p>
  </w:footnote>
  <w:footnote w:id="1382">
    <w:p w14:paraId="0DC8A3C2" w14:textId="712D85D9" w:rsidR="004767FC" w:rsidRDefault="004767FC" w:rsidP="004767FC">
      <w:pPr>
        <w:pStyle w:val="FootnoteText"/>
      </w:pPr>
      <w:r>
        <w:rPr>
          <w:rStyle w:val="FootnoteReference"/>
        </w:rPr>
        <w:footnoteRef/>
      </w:r>
      <w:r>
        <w:t xml:space="preserve"> Fair Work Commission, </w:t>
      </w:r>
      <w:r w:rsidR="00E2298C">
        <w:t>‘</w:t>
      </w:r>
      <w:r w:rsidRPr="00E2298C">
        <w:rPr>
          <w:iCs/>
        </w:rPr>
        <w:t>Productivity and Innovation in Enterprise Agreement Clauses: An Overview of Literature, Data and Case Studies at the Workplace Level</w:t>
      </w:r>
      <w:r w:rsidR="00E2298C">
        <w:rPr>
          <w:iCs/>
        </w:rPr>
        <w:t>’</w:t>
      </w:r>
      <w:r>
        <w:t xml:space="preserve"> (December 2014), </w:t>
      </w:r>
      <w:r w:rsidRPr="00E2298C">
        <w:rPr>
          <w:i/>
          <w:iCs/>
        </w:rPr>
        <w:t>Future Directions 2014–15: Initiative 29</w:t>
      </w:r>
      <w:r w:rsidRPr="00942B62">
        <w:t>, 28.</w:t>
      </w:r>
    </w:p>
  </w:footnote>
  <w:footnote w:id="1383">
    <w:p w14:paraId="3DE2AF17" w14:textId="38560B73" w:rsidR="004767FC" w:rsidRDefault="004767FC">
      <w:pPr>
        <w:pStyle w:val="FootnoteText"/>
      </w:pPr>
      <w:r>
        <w:rPr>
          <w:rStyle w:val="FootnoteReference"/>
        </w:rPr>
        <w:footnoteRef/>
      </w:r>
      <w:r>
        <w:t xml:space="preserve"> </w:t>
      </w:r>
      <w:r w:rsidR="00E2298C">
        <w:t>Fair Work Commission, ‘</w:t>
      </w:r>
      <w:r w:rsidR="00E2298C" w:rsidRPr="00C33D35">
        <w:rPr>
          <w:iCs/>
        </w:rPr>
        <w:t>Productivity and Innovation in Enterprise Agreement Clauses: An Overview of Literature, Data and Case Studies at the Workplace Level</w:t>
      </w:r>
      <w:r w:rsidR="00E2298C">
        <w:rPr>
          <w:iCs/>
        </w:rPr>
        <w:t>’</w:t>
      </w:r>
      <w:r w:rsidR="00E2298C">
        <w:t xml:space="preserve"> (December 2014), </w:t>
      </w:r>
      <w:r w:rsidR="00E2298C" w:rsidRPr="00C33D35">
        <w:rPr>
          <w:i/>
          <w:iCs/>
        </w:rPr>
        <w:t>Future Directions 2014–15: Initiative 29</w:t>
      </w:r>
      <w:r w:rsidR="00E2298C" w:rsidRPr="00942B62">
        <w:t>, 28.</w:t>
      </w:r>
    </w:p>
  </w:footnote>
  <w:footnote w:id="1384">
    <w:p w14:paraId="5A29ADE5" w14:textId="42BE2AF0" w:rsidR="004767FC" w:rsidRDefault="004767FC">
      <w:pPr>
        <w:pStyle w:val="FootnoteText"/>
      </w:pPr>
      <w:r>
        <w:rPr>
          <w:rStyle w:val="FootnoteReference"/>
        </w:rPr>
        <w:footnoteRef/>
      </w:r>
      <w:r>
        <w:t xml:space="preserve"> </w:t>
      </w:r>
      <w:r w:rsidRPr="004767FC">
        <w:t xml:space="preserve">M Bray, J Macneil and A Stewart, </w:t>
      </w:r>
      <w:r w:rsidRPr="00BF0718">
        <w:rPr>
          <w:i/>
        </w:rPr>
        <w:t xml:space="preserve">Cooperation at </w:t>
      </w:r>
      <w:r>
        <w:rPr>
          <w:i/>
          <w:iCs/>
        </w:rPr>
        <w:t>W</w:t>
      </w:r>
      <w:r w:rsidRPr="00BF0718">
        <w:rPr>
          <w:i/>
        </w:rPr>
        <w:t>ork: How Tribunals Can Help Transform Workplaces</w:t>
      </w:r>
      <w:r w:rsidRPr="004767FC">
        <w:t xml:space="preserve"> (</w:t>
      </w:r>
      <w:r>
        <w:t xml:space="preserve">Federation Press, </w:t>
      </w:r>
      <w:r w:rsidRPr="004767FC">
        <w:t>2017).</w:t>
      </w:r>
    </w:p>
  </w:footnote>
  <w:footnote w:id="1385">
    <w:p w14:paraId="11955AC2" w14:textId="3C6DA60D" w:rsidR="004767FC" w:rsidRDefault="004767FC">
      <w:pPr>
        <w:pStyle w:val="FootnoteText"/>
      </w:pPr>
      <w:r>
        <w:rPr>
          <w:rStyle w:val="FootnoteReference"/>
        </w:rPr>
        <w:footnoteRef/>
      </w:r>
      <w:r>
        <w:t xml:space="preserve"> </w:t>
      </w:r>
      <w:r w:rsidRPr="004767FC">
        <w:t>See World Economic Forum (WEF)</w:t>
      </w:r>
      <w:r>
        <w:t>,</w:t>
      </w:r>
      <w:r w:rsidRPr="004767FC">
        <w:t xml:space="preserve"> Global Gender Gap Reports. The 2024 report was released June 2024.</w:t>
      </w:r>
    </w:p>
  </w:footnote>
  <w:footnote w:id="1386">
    <w:p w14:paraId="2DD1E985" w14:textId="353D9A48" w:rsidR="004767FC" w:rsidRDefault="004767FC">
      <w:pPr>
        <w:pStyle w:val="FootnoteText"/>
      </w:pPr>
      <w:r>
        <w:rPr>
          <w:rStyle w:val="FootnoteReference"/>
        </w:rPr>
        <w:footnoteRef/>
      </w:r>
      <w:r>
        <w:t xml:space="preserve"> </w:t>
      </w:r>
      <w:r w:rsidRPr="004767FC">
        <w:t>For example</w:t>
      </w:r>
      <w:r>
        <w:t>,</w:t>
      </w:r>
      <w:r w:rsidRPr="004767FC">
        <w:t xml:space="preserve"> WGEA, </w:t>
      </w:r>
      <w:r w:rsidRPr="00BF0718">
        <w:rPr>
          <w:i/>
        </w:rPr>
        <w:t>Workplace Gender Equality: The Business Case</w:t>
      </w:r>
      <w:r w:rsidRPr="004767FC">
        <w:t xml:space="preserve"> (</w:t>
      </w:r>
      <w:r>
        <w:t xml:space="preserve">Web Page, </w:t>
      </w:r>
      <w:r w:rsidRPr="004767FC">
        <w:t>2018) &lt;https://www.wgea.gov.au/publications/gender-equality-business-case#economic-growth&gt;.</w:t>
      </w:r>
    </w:p>
  </w:footnote>
  <w:footnote w:id="1387">
    <w:p w14:paraId="30323F00" w14:textId="601BFC19" w:rsidR="004767FC" w:rsidRDefault="004767FC">
      <w:pPr>
        <w:pStyle w:val="FootnoteText"/>
      </w:pPr>
      <w:r>
        <w:rPr>
          <w:rStyle w:val="FootnoteReference"/>
        </w:rPr>
        <w:footnoteRef/>
      </w:r>
      <w:r>
        <w:t xml:space="preserve"> </w:t>
      </w:r>
      <w:r w:rsidRPr="004767FC">
        <w:t xml:space="preserve">Women’s Economic Equality Taskforce, </w:t>
      </w:r>
      <w:r w:rsidRPr="00BF0718">
        <w:rPr>
          <w:i/>
        </w:rPr>
        <w:t>A 10-year Plan to Unleash the Full Capacity and Contribution of Women to the Australian Economy</w:t>
      </w:r>
      <w:r w:rsidRPr="004767FC">
        <w:t xml:space="preserve"> (Report, Department of the Prime Minister and Cabinet, 2023).</w:t>
      </w:r>
    </w:p>
  </w:footnote>
  <w:footnote w:id="1388">
    <w:p w14:paraId="75B59764" w14:textId="6C2C222E" w:rsidR="004767FC" w:rsidRDefault="004767FC">
      <w:pPr>
        <w:pStyle w:val="FootnoteText"/>
      </w:pPr>
      <w:r>
        <w:rPr>
          <w:rStyle w:val="FootnoteReference"/>
        </w:rPr>
        <w:footnoteRef/>
      </w:r>
      <w:r>
        <w:t xml:space="preserve"> </w:t>
      </w:r>
      <w:r w:rsidRPr="004767FC">
        <w:t>As of May 2024, 36.9% of Australian females aged 15</w:t>
      </w:r>
      <w:r>
        <w:rPr>
          <w:rFonts w:ascii="Symbol" w:eastAsia="Symbol" w:hAnsi="Symbol" w:cs="Symbol"/>
        </w:rPr>
        <w:t>-</w:t>
      </w:r>
      <w:r w:rsidRPr="004767FC">
        <w:t xml:space="preserve">74 held a bachelor's degree or higher, compared to 29.8% of males in the same age group. See Australian Bureau of Statistics (ABS), </w:t>
      </w:r>
      <w:r w:rsidRPr="007D6161">
        <w:rPr>
          <w:i/>
        </w:rPr>
        <w:t>Education and Work, May 2024</w:t>
      </w:r>
      <w:r w:rsidRPr="004767FC">
        <w:t xml:space="preserve"> Table 11: Highest education attainment</w:t>
      </w:r>
      <w:r>
        <w:t xml:space="preserve"> (ABS, 2024)</w:t>
      </w:r>
      <w:r w:rsidRPr="004767FC">
        <w:t>.</w:t>
      </w:r>
    </w:p>
  </w:footnote>
  <w:footnote w:id="1389">
    <w:p w14:paraId="46A61D09" w14:textId="4CB7195A" w:rsidR="004767FC" w:rsidRDefault="004767FC">
      <w:pPr>
        <w:pStyle w:val="FootnoteText"/>
      </w:pPr>
      <w:r>
        <w:rPr>
          <w:rStyle w:val="FootnoteReference"/>
        </w:rPr>
        <w:footnoteRef/>
      </w:r>
      <w:r>
        <w:t xml:space="preserve"> </w:t>
      </w:r>
      <w:r w:rsidRPr="004767FC">
        <w:t xml:space="preserve">Productivity Commission, </w:t>
      </w:r>
      <w:r w:rsidRPr="007D6161">
        <w:rPr>
          <w:i/>
        </w:rPr>
        <w:t>Five-year Productivity Inquiry: A More Productive Labour Market</w:t>
      </w:r>
      <w:r w:rsidRPr="004767FC">
        <w:t xml:space="preserve"> (Report, 2023) Vol</w:t>
      </w:r>
      <w:r>
        <w:t xml:space="preserve"> </w:t>
      </w:r>
      <w:r w:rsidRPr="004767FC">
        <w:t>7, 101.</w:t>
      </w:r>
    </w:p>
  </w:footnote>
  <w:footnote w:id="1390">
    <w:p w14:paraId="7EF7B9F4" w14:textId="08E37607" w:rsidR="004767FC" w:rsidRDefault="004767FC">
      <w:pPr>
        <w:pStyle w:val="FootnoteText"/>
      </w:pPr>
      <w:r>
        <w:rPr>
          <w:rStyle w:val="FootnoteReference"/>
        </w:rPr>
        <w:footnoteRef/>
      </w:r>
      <w:r>
        <w:t xml:space="preserve"> </w:t>
      </w:r>
      <w:r w:rsidRPr="004767FC">
        <w:t>AHRC</w:t>
      </w:r>
      <w:r>
        <w:t>,</w:t>
      </w:r>
      <w:r w:rsidRPr="004767FC">
        <w:t xml:space="preserve"> </w:t>
      </w:r>
      <w:r w:rsidRPr="007D6161">
        <w:rPr>
          <w:i/>
        </w:rPr>
        <w:t>2020 Respect@Work: National Inquiry into Sexual Harassment in Australian Workplaces</w:t>
      </w:r>
      <w:r>
        <w:t xml:space="preserve"> (Report, 2020)</w:t>
      </w:r>
      <w:r w:rsidRPr="004767FC">
        <w:t xml:space="preserve"> 208</w:t>
      </w:r>
      <w:r>
        <w:rPr>
          <w:rFonts w:ascii="Symbol" w:eastAsia="Symbol" w:hAnsi="Symbol" w:cs="Symbol"/>
        </w:rPr>
        <w:t>-</w:t>
      </w:r>
      <w:r>
        <w:t>20</w:t>
      </w:r>
      <w:r w:rsidRPr="004767FC">
        <w:t>9</w:t>
      </w:r>
      <w:r>
        <w:t>,</w:t>
      </w:r>
      <w:r w:rsidRPr="004767FC">
        <w:t xml:space="preserve"> 302</w:t>
      </w:r>
      <w:r>
        <w:t>,</w:t>
      </w:r>
      <w:r w:rsidRPr="004767FC">
        <w:t xml:space="preserve"> 316</w:t>
      </w:r>
      <w:r>
        <w:rPr>
          <w:rFonts w:ascii="Symbol" w:eastAsia="Symbol" w:hAnsi="Symbol" w:cs="Symbol"/>
        </w:rPr>
        <w:t>-</w:t>
      </w:r>
      <w:r w:rsidRPr="004767FC">
        <w:t>320.</w:t>
      </w:r>
    </w:p>
  </w:footnote>
  <w:footnote w:id="1391">
    <w:p w14:paraId="4BF30EF1" w14:textId="6CFE878E" w:rsidR="004767FC" w:rsidRDefault="004767FC">
      <w:pPr>
        <w:pStyle w:val="FootnoteText"/>
      </w:pPr>
      <w:r>
        <w:rPr>
          <w:rStyle w:val="FootnoteReference"/>
        </w:rPr>
        <w:footnoteRef/>
      </w:r>
      <w:r>
        <w:t xml:space="preserve"> </w:t>
      </w:r>
      <w:r w:rsidRPr="004767FC">
        <w:t>Women’s Economic Equality Taskforce</w:t>
      </w:r>
      <w:r>
        <w:t>,</w:t>
      </w:r>
      <w:r w:rsidRPr="004767FC">
        <w:t xml:space="preserve"> </w:t>
      </w:r>
      <w:r w:rsidRPr="007D6161">
        <w:rPr>
          <w:i/>
        </w:rPr>
        <w:t xml:space="preserve">Women’s Economic Equality: A 10-year </w:t>
      </w:r>
      <w:r>
        <w:rPr>
          <w:i/>
          <w:iCs/>
        </w:rPr>
        <w:t>P</w:t>
      </w:r>
      <w:r w:rsidRPr="007D6161">
        <w:rPr>
          <w:i/>
        </w:rPr>
        <w:t xml:space="preserve">lan to </w:t>
      </w:r>
      <w:r>
        <w:rPr>
          <w:i/>
          <w:iCs/>
        </w:rPr>
        <w:t>U</w:t>
      </w:r>
      <w:r w:rsidRPr="007D6161">
        <w:rPr>
          <w:i/>
        </w:rPr>
        <w:t xml:space="preserve">nleash the </w:t>
      </w:r>
      <w:r>
        <w:rPr>
          <w:i/>
          <w:iCs/>
        </w:rPr>
        <w:t>F</w:t>
      </w:r>
      <w:r w:rsidRPr="007D6161">
        <w:rPr>
          <w:i/>
        </w:rPr>
        <w:t xml:space="preserve">ull </w:t>
      </w:r>
      <w:r>
        <w:rPr>
          <w:i/>
          <w:iCs/>
        </w:rPr>
        <w:t>C</w:t>
      </w:r>
      <w:r w:rsidRPr="007D6161">
        <w:rPr>
          <w:i/>
        </w:rPr>
        <w:t xml:space="preserve">apacity and </w:t>
      </w:r>
      <w:r>
        <w:rPr>
          <w:i/>
          <w:iCs/>
        </w:rPr>
        <w:t>C</w:t>
      </w:r>
      <w:r w:rsidRPr="007D6161">
        <w:rPr>
          <w:i/>
        </w:rPr>
        <w:t xml:space="preserve">ontribution of </w:t>
      </w:r>
      <w:r>
        <w:rPr>
          <w:i/>
          <w:iCs/>
        </w:rPr>
        <w:t>W</w:t>
      </w:r>
      <w:r w:rsidRPr="007D6161">
        <w:rPr>
          <w:i/>
        </w:rPr>
        <w:t xml:space="preserve">omen to the Australian </w:t>
      </w:r>
      <w:r>
        <w:rPr>
          <w:i/>
          <w:iCs/>
        </w:rPr>
        <w:t>E</w:t>
      </w:r>
      <w:r w:rsidRPr="007D6161">
        <w:rPr>
          <w:i/>
        </w:rPr>
        <w:t>conomy</w:t>
      </w:r>
      <w:r w:rsidRPr="004767FC">
        <w:t xml:space="preserve"> (</w:t>
      </w:r>
      <w:r>
        <w:t xml:space="preserve">Department of the Prime Minister and Cabinet, </w:t>
      </w:r>
      <w:r w:rsidRPr="004767FC">
        <w:t>2023) 32.</w:t>
      </w:r>
    </w:p>
  </w:footnote>
  <w:footnote w:id="1392">
    <w:p w14:paraId="67AE7864" w14:textId="60CEF05F" w:rsidR="004767FC" w:rsidRDefault="004767FC">
      <w:pPr>
        <w:pStyle w:val="FootnoteText"/>
      </w:pPr>
      <w:r>
        <w:rPr>
          <w:rStyle w:val="FootnoteReference"/>
        </w:rPr>
        <w:footnoteRef/>
      </w:r>
      <w:r>
        <w:t xml:space="preserve"> M </w:t>
      </w:r>
      <w:r w:rsidRPr="004767FC">
        <w:t xml:space="preserve">Baird, </w:t>
      </w:r>
      <w:r>
        <w:t xml:space="preserve">M </w:t>
      </w:r>
      <w:r w:rsidRPr="004767FC">
        <w:t>Hamilton</w:t>
      </w:r>
      <w:r>
        <w:t xml:space="preserve"> and A </w:t>
      </w:r>
      <w:r w:rsidRPr="004767FC">
        <w:t xml:space="preserve">Constantin, </w:t>
      </w:r>
      <w:r>
        <w:t>‘</w:t>
      </w:r>
      <w:r w:rsidRPr="004767FC">
        <w:t xml:space="preserve">Gender </w:t>
      </w:r>
      <w:r>
        <w:t>E</w:t>
      </w:r>
      <w:r w:rsidRPr="004767FC">
        <w:t xml:space="preserve">quality and </w:t>
      </w:r>
      <w:r>
        <w:t>P</w:t>
      </w:r>
      <w:r w:rsidRPr="004767FC">
        <w:t xml:space="preserve">aid </w:t>
      </w:r>
      <w:r>
        <w:t>P</w:t>
      </w:r>
      <w:r w:rsidRPr="004767FC">
        <w:t xml:space="preserve">arental </w:t>
      </w:r>
      <w:r>
        <w:t>L</w:t>
      </w:r>
      <w:r w:rsidRPr="004767FC">
        <w:t xml:space="preserve">eave in Australia: A </w:t>
      </w:r>
      <w:r>
        <w:t>D</w:t>
      </w:r>
      <w:r w:rsidRPr="004767FC">
        <w:t xml:space="preserve">ecade of </w:t>
      </w:r>
      <w:r>
        <w:t>G</w:t>
      </w:r>
      <w:r w:rsidRPr="004767FC">
        <w:t xml:space="preserve">iant </w:t>
      </w:r>
      <w:r>
        <w:t>L</w:t>
      </w:r>
      <w:r w:rsidRPr="004767FC">
        <w:t xml:space="preserve">eaps or </w:t>
      </w:r>
      <w:r>
        <w:t>B</w:t>
      </w:r>
      <w:r w:rsidRPr="004767FC">
        <w:t xml:space="preserve">aby </w:t>
      </w:r>
      <w:r>
        <w:t>S</w:t>
      </w:r>
      <w:r w:rsidRPr="004767FC">
        <w:t>teps?</w:t>
      </w:r>
      <w:r>
        <w:t xml:space="preserve">’ </w:t>
      </w:r>
      <w:r w:rsidRPr="004767FC">
        <w:t>(2021)</w:t>
      </w:r>
      <w:r>
        <w:t xml:space="preserve"> </w:t>
      </w:r>
      <w:r w:rsidRPr="004767FC">
        <w:t xml:space="preserve">63(4) </w:t>
      </w:r>
      <w:r w:rsidRPr="007D6161">
        <w:rPr>
          <w:i/>
        </w:rPr>
        <w:t>Journal of Industrial Relations</w:t>
      </w:r>
      <w:r>
        <w:t xml:space="preserve"> </w:t>
      </w:r>
      <w:r w:rsidRPr="004767FC">
        <w:t>546</w:t>
      </w:r>
      <w:r>
        <w:rPr>
          <w:rFonts w:ascii="Symbol" w:eastAsia="Symbol" w:hAnsi="Symbol" w:cs="Symbol"/>
        </w:rPr>
        <w:t>-</w:t>
      </w:r>
      <w:r w:rsidRPr="004767FC">
        <w:t>567.</w:t>
      </w:r>
    </w:p>
  </w:footnote>
  <w:footnote w:id="1393">
    <w:p w14:paraId="0BD01B30" w14:textId="276E4837" w:rsidR="004767FC" w:rsidRDefault="004767FC">
      <w:pPr>
        <w:pStyle w:val="FootnoteText"/>
      </w:pPr>
      <w:r>
        <w:rPr>
          <w:rStyle w:val="FootnoteReference"/>
        </w:rPr>
        <w:footnoteRef/>
      </w:r>
      <w:r>
        <w:t xml:space="preserve"> </w:t>
      </w:r>
      <w:r w:rsidRPr="004767FC">
        <w:t>Women’s Economic Equality Taskforce</w:t>
      </w:r>
      <w:r>
        <w:t>,</w:t>
      </w:r>
      <w:r w:rsidRPr="004767FC">
        <w:t xml:space="preserve"> </w:t>
      </w:r>
      <w:r w:rsidRPr="00246E35">
        <w:rPr>
          <w:i/>
          <w:iCs/>
        </w:rPr>
        <w:t xml:space="preserve">Women’s Economic Equality: A 10-year </w:t>
      </w:r>
      <w:r>
        <w:rPr>
          <w:i/>
          <w:iCs/>
        </w:rPr>
        <w:t>P</w:t>
      </w:r>
      <w:r w:rsidRPr="00246E35">
        <w:rPr>
          <w:i/>
          <w:iCs/>
        </w:rPr>
        <w:t xml:space="preserve">lan to </w:t>
      </w:r>
      <w:r>
        <w:rPr>
          <w:i/>
          <w:iCs/>
        </w:rPr>
        <w:t>U</w:t>
      </w:r>
      <w:r w:rsidRPr="00246E35">
        <w:rPr>
          <w:i/>
          <w:iCs/>
        </w:rPr>
        <w:t xml:space="preserve">nleash the </w:t>
      </w:r>
      <w:r>
        <w:rPr>
          <w:i/>
          <w:iCs/>
        </w:rPr>
        <w:t>F</w:t>
      </w:r>
      <w:r w:rsidRPr="00246E35">
        <w:rPr>
          <w:i/>
          <w:iCs/>
        </w:rPr>
        <w:t xml:space="preserve">ull </w:t>
      </w:r>
      <w:r>
        <w:rPr>
          <w:i/>
          <w:iCs/>
        </w:rPr>
        <w:t>C</w:t>
      </w:r>
      <w:r w:rsidRPr="00246E35">
        <w:rPr>
          <w:i/>
          <w:iCs/>
        </w:rPr>
        <w:t xml:space="preserve">apacity and </w:t>
      </w:r>
      <w:r>
        <w:rPr>
          <w:i/>
          <w:iCs/>
        </w:rPr>
        <w:t>C</w:t>
      </w:r>
      <w:r w:rsidRPr="00246E35">
        <w:rPr>
          <w:i/>
          <w:iCs/>
        </w:rPr>
        <w:t xml:space="preserve">ontribution of </w:t>
      </w:r>
      <w:r>
        <w:rPr>
          <w:i/>
          <w:iCs/>
        </w:rPr>
        <w:t>W</w:t>
      </w:r>
      <w:r w:rsidRPr="00246E35">
        <w:rPr>
          <w:i/>
          <w:iCs/>
        </w:rPr>
        <w:t xml:space="preserve">omen to the Australian </w:t>
      </w:r>
      <w:r>
        <w:rPr>
          <w:i/>
          <w:iCs/>
        </w:rPr>
        <w:t>E</w:t>
      </w:r>
      <w:r w:rsidRPr="00246E35">
        <w:rPr>
          <w:i/>
          <w:iCs/>
        </w:rPr>
        <w:t>conomy</w:t>
      </w:r>
      <w:r w:rsidRPr="004767FC">
        <w:t xml:space="preserve"> (</w:t>
      </w:r>
      <w:r>
        <w:t xml:space="preserve">Department of the Prime Minister and Cabinet, </w:t>
      </w:r>
      <w:r w:rsidRPr="004767FC">
        <w:t>2023)</w:t>
      </w:r>
      <w:r>
        <w:t xml:space="preserve"> 29.</w:t>
      </w:r>
    </w:p>
  </w:footnote>
  <w:footnote w:id="1394">
    <w:p w14:paraId="0033A70F" w14:textId="55AC2CE9" w:rsidR="004767FC" w:rsidRDefault="004767FC">
      <w:pPr>
        <w:pStyle w:val="FootnoteText"/>
      </w:pPr>
      <w:r>
        <w:rPr>
          <w:rStyle w:val="FootnoteReference"/>
        </w:rPr>
        <w:footnoteRef/>
      </w:r>
      <w:r>
        <w:t xml:space="preserve"> </w:t>
      </w:r>
      <w:r w:rsidRPr="004767FC">
        <w:t>Women’s Economic Equality Taskforce</w:t>
      </w:r>
      <w:r>
        <w:t>,</w:t>
      </w:r>
      <w:r w:rsidRPr="004767FC">
        <w:t xml:space="preserve"> </w:t>
      </w:r>
      <w:r w:rsidRPr="00246E35">
        <w:rPr>
          <w:i/>
          <w:iCs/>
        </w:rPr>
        <w:t xml:space="preserve">Women’s Economic Equality: A 10-year </w:t>
      </w:r>
      <w:r>
        <w:rPr>
          <w:i/>
          <w:iCs/>
        </w:rPr>
        <w:t>P</w:t>
      </w:r>
      <w:r w:rsidRPr="00246E35">
        <w:rPr>
          <w:i/>
          <w:iCs/>
        </w:rPr>
        <w:t xml:space="preserve">lan to </w:t>
      </w:r>
      <w:r>
        <w:rPr>
          <w:i/>
          <w:iCs/>
        </w:rPr>
        <w:t>U</w:t>
      </w:r>
      <w:r w:rsidRPr="00246E35">
        <w:rPr>
          <w:i/>
          <w:iCs/>
        </w:rPr>
        <w:t xml:space="preserve">nleash the </w:t>
      </w:r>
      <w:r>
        <w:rPr>
          <w:i/>
          <w:iCs/>
        </w:rPr>
        <w:t>F</w:t>
      </w:r>
      <w:r w:rsidRPr="00246E35">
        <w:rPr>
          <w:i/>
          <w:iCs/>
        </w:rPr>
        <w:t xml:space="preserve">ull </w:t>
      </w:r>
      <w:r>
        <w:rPr>
          <w:i/>
          <w:iCs/>
        </w:rPr>
        <w:t>C</w:t>
      </w:r>
      <w:r w:rsidRPr="00246E35">
        <w:rPr>
          <w:i/>
          <w:iCs/>
        </w:rPr>
        <w:t xml:space="preserve">apacity and </w:t>
      </w:r>
      <w:r>
        <w:rPr>
          <w:i/>
          <w:iCs/>
        </w:rPr>
        <w:t>C</w:t>
      </w:r>
      <w:r w:rsidRPr="00246E35">
        <w:rPr>
          <w:i/>
          <w:iCs/>
        </w:rPr>
        <w:t xml:space="preserve">ontribution of </w:t>
      </w:r>
      <w:r>
        <w:rPr>
          <w:i/>
          <w:iCs/>
        </w:rPr>
        <w:t>W</w:t>
      </w:r>
      <w:r w:rsidRPr="00246E35">
        <w:rPr>
          <w:i/>
          <w:iCs/>
        </w:rPr>
        <w:t xml:space="preserve">omen to the Australian </w:t>
      </w:r>
      <w:r>
        <w:rPr>
          <w:i/>
          <w:iCs/>
        </w:rPr>
        <w:t>E</w:t>
      </w:r>
      <w:r w:rsidRPr="00246E35">
        <w:rPr>
          <w:i/>
          <w:iCs/>
        </w:rPr>
        <w:t>conomy</w:t>
      </w:r>
      <w:r w:rsidRPr="004767FC">
        <w:t xml:space="preserve"> (</w:t>
      </w:r>
      <w:r>
        <w:t xml:space="preserve">Department of the Prime Minister and Cabinet, </w:t>
      </w:r>
      <w:r w:rsidRPr="004767FC">
        <w:t>2023)</w:t>
      </w:r>
      <w:r>
        <w:t xml:space="preserve"> 47.</w:t>
      </w:r>
    </w:p>
  </w:footnote>
  <w:footnote w:id="1395">
    <w:p w14:paraId="4E4BD969" w14:textId="1F0D3EC4" w:rsidR="004767FC" w:rsidRDefault="004767FC">
      <w:pPr>
        <w:pStyle w:val="FootnoteText"/>
      </w:pPr>
      <w:r>
        <w:rPr>
          <w:rStyle w:val="FootnoteReference"/>
        </w:rPr>
        <w:footnoteRef/>
      </w:r>
      <w:r>
        <w:t xml:space="preserve"> </w:t>
      </w:r>
      <w:r w:rsidRPr="004767FC">
        <w:t>See</w:t>
      </w:r>
      <w:r>
        <w:t xml:space="preserve"> M </w:t>
      </w:r>
      <w:r w:rsidRPr="004767FC">
        <w:t xml:space="preserve">Cowgill, </w:t>
      </w:r>
      <w:r w:rsidRPr="007D6161">
        <w:rPr>
          <w:i/>
        </w:rPr>
        <w:t>A Shrinking Slice of the Pie</w:t>
      </w:r>
      <w:r w:rsidRPr="004767FC">
        <w:t xml:space="preserve"> </w:t>
      </w:r>
      <w:r>
        <w:t>(</w:t>
      </w:r>
      <w:r w:rsidRPr="004767FC">
        <w:t>Australian Council of Trade Unions Working Paper 1</w:t>
      </w:r>
      <w:r>
        <w:t>,</w:t>
      </w:r>
      <w:r w:rsidRPr="004767FC">
        <w:t xml:space="preserve"> 2013</w:t>
      </w:r>
      <w:r>
        <w:t>)</w:t>
      </w:r>
      <w:r w:rsidRPr="004767FC">
        <w:t>.</w:t>
      </w:r>
    </w:p>
  </w:footnote>
  <w:footnote w:id="1396">
    <w:p w14:paraId="4C5183E1" w14:textId="1E6D886C" w:rsidR="004767FC" w:rsidRDefault="004767FC">
      <w:pPr>
        <w:pStyle w:val="FootnoteText"/>
      </w:pPr>
      <w:r>
        <w:rPr>
          <w:rStyle w:val="FootnoteReference"/>
        </w:rPr>
        <w:footnoteRef/>
      </w:r>
      <w:r>
        <w:t xml:space="preserve"> </w:t>
      </w:r>
      <w:r w:rsidRPr="004767FC">
        <w:t xml:space="preserve">Australian Bureau of Statistics, </w:t>
      </w:r>
      <w:r w:rsidRPr="007D6161">
        <w:rPr>
          <w:i/>
        </w:rPr>
        <w:t>Has Worker Compensation Reflected Labour Productivity Growth?</w:t>
      </w:r>
      <w:r w:rsidRPr="004767FC">
        <w:t xml:space="preserve"> (</w:t>
      </w:r>
      <w:r>
        <w:t xml:space="preserve">ABS, </w:t>
      </w:r>
      <w:r w:rsidRPr="004767FC">
        <w:t>2022).</w:t>
      </w:r>
    </w:p>
  </w:footnote>
  <w:footnote w:id="1397">
    <w:p w14:paraId="5C32FBE4" w14:textId="04138A21" w:rsidR="004767FC" w:rsidRDefault="004767FC">
      <w:pPr>
        <w:pStyle w:val="FootnoteText"/>
      </w:pPr>
      <w:r>
        <w:rPr>
          <w:rStyle w:val="FootnoteReference"/>
        </w:rPr>
        <w:footnoteRef/>
      </w:r>
      <w:r>
        <w:t xml:space="preserve"> </w:t>
      </w:r>
      <w:r w:rsidRPr="004767FC">
        <w:t>C</w:t>
      </w:r>
      <w:r>
        <w:t xml:space="preserve"> </w:t>
      </w:r>
      <w:r w:rsidRPr="004767FC">
        <w:t>Schwellnus, A</w:t>
      </w:r>
      <w:r>
        <w:t xml:space="preserve"> </w:t>
      </w:r>
      <w:r w:rsidRPr="004767FC">
        <w:t xml:space="preserve">Kappeler and P Pionnier, </w:t>
      </w:r>
      <w:r w:rsidRPr="007D6161">
        <w:rPr>
          <w:i/>
        </w:rPr>
        <w:t>Decoupling of Wages from Productivity: Micro-level Facts</w:t>
      </w:r>
      <w:r w:rsidRPr="004767FC">
        <w:t xml:space="preserve"> </w:t>
      </w:r>
      <w:r>
        <w:t>(</w:t>
      </w:r>
      <w:r w:rsidRPr="004767FC">
        <w:t>OECD Economics Department Working Papers No 1373</w:t>
      </w:r>
      <w:r>
        <w:t xml:space="preserve">, </w:t>
      </w:r>
      <w:r w:rsidRPr="004767FC">
        <w:t>2017) 3.</w:t>
      </w:r>
    </w:p>
  </w:footnote>
  <w:footnote w:id="1398">
    <w:p w14:paraId="76A2DA73" w14:textId="467584D9" w:rsidR="004767FC" w:rsidRDefault="004767FC">
      <w:pPr>
        <w:pStyle w:val="FootnoteText"/>
      </w:pPr>
      <w:r>
        <w:rPr>
          <w:rStyle w:val="FootnoteReference"/>
        </w:rPr>
        <w:footnoteRef/>
      </w:r>
      <w:r>
        <w:t xml:space="preserve"> </w:t>
      </w:r>
      <w:r w:rsidRPr="004767FC">
        <w:t xml:space="preserve">Australian Bureau of Statistics, </w:t>
      </w:r>
      <w:r w:rsidRPr="00246E35">
        <w:rPr>
          <w:i/>
          <w:iCs/>
        </w:rPr>
        <w:t>Has Worker Compensation Reflected Labour Productivity Growth?</w:t>
      </w:r>
      <w:r w:rsidRPr="004767FC">
        <w:t xml:space="preserve"> (</w:t>
      </w:r>
      <w:r>
        <w:t xml:space="preserve">ABS, </w:t>
      </w:r>
      <w:r w:rsidRPr="004767FC">
        <w:t>2022).</w:t>
      </w:r>
    </w:p>
  </w:footnote>
  <w:footnote w:id="1399">
    <w:p w14:paraId="255E1C82" w14:textId="22F28A71" w:rsidR="004767FC" w:rsidRDefault="004767FC">
      <w:pPr>
        <w:pStyle w:val="FootnoteText"/>
      </w:pPr>
      <w:r>
        <w:rPr>
          <w:rStyle w:val="FootnoteReference"/>
        </w:rPr>
        <w:footnoteRef/>
      </w:r>
      <w:r>
        <w:t xml:space="preserve"> </w:t>
      </w:r>
      <w:r w:rsidRPr="004767FC">
        <w:t>For further discussion on measurement issues in relation to the labour share</w:t>
      </w:r>
      <w:r>
        <w:t>,</w:t>
      </w:r>
      <w:r w:rsidRPr="004767FC">
        <w:t xml:space="preserve"> see</w:t>
      </w:r>
      <w:r>
        <w:t xml:space="preserve"> J</w:t>
      </w:r>
      <w:r w:rsidRPr="004767FC">
        <w:t xml:space="preserve"> Stanford, </w:t>
      </w:r>
      <w:r>
        <w:t>‘</w:t>
      </w:r>
      <w:r w:rsidRPr="004767FC">
        <w:t xml:space="preserve">The </w:t>
      </w:r>
      <w:r>
        <w:t>D</w:t>
      </w:r>
      <w:r w:rsidRPr="004767FC">
        <w:t xml:space="preserve">eclining </w:t>
      </w:r>
      <w:r>
        <w:t>L</w:t>
      </w:r>
      <w:r w:rsidRPr="004767FC">
        <w:t xml:space="preserve">abour </w:t>
      </w:r>
      <w:r>
        <w:t>S</w:t>
      </w:r>
      <w:r w:rsidRPr="004767FC">
        <w:t xml:space="preserve">hare in Australia: </w:t>
      </w:r>
      <w:r>
        <w:t>D</w:t>
      </w:r>
      <w:r w:rsidRPr="004767FC">
        <w:t xml:space="preserve">efinition, </w:t>
      </w:r>
      <w:r>
        <w:t>M</w:t>
      </w:r>
      <w:r w:rsidRPr="004767FC">
        <w:t xml:space="preserve">easurement and </w:t>
      </w:r>
      <w:r>
        <w:t>I</w:t>
      </w:r>
      <w:r w:rsidRPr="004767FC">
        <w:t xml:space="preserve">nternational </w:t>
      </w:r>
      <w:r>
        <w:t>C</w:t>
      </w:r>
      <w:r w:rsidRPr="004767FC">
        <w:t>omparisons</w:t>
      </w:r>
      <w:r>
        <w:t xml:space="preserve">’ </w:t>
      </w:r>
      <w:r w:rsidRPr="004767FC">
        <w:t xml:space="preserve">(2018) </w:t>
      </w:r>
      <w:r>
        <w:t xml:space="preserve">81 </w:t>
      </w:r>
      <w:r w:rsidRPr="00B458B7">
        <w:rPr>
          <w:i/>
        </w:rPr>
        <w:t>Journal of Australian Political Economy</w:t>
      </w:r>
      <w:r>
        <w:t xml:space="preserve"> </w:t>
      </w:r>
      <w:r w:rsidRPr="004767FC">
        <w:t>11</w:t>
      </w:r>
      <w:r>
        <w:rPr>
          <w:rFonts w:ascii="Symbol" w:eastAsia="Symbol" w:hAnsi="Symbol" w:cs="Symbol"/>
        </w:rPr>
        <w:t>-</w:t>
      </w:r>
      <w:r w:rsidRPr="004767FC">
        <w:t>32.</w:t>
      </w:r>
    </w:p>
  </w:footnote>
  <w:footnote w:id="1400">
    <w:p w14:paraId="2673CE4F" w14:textId="61E0199B" w:rsidR="004767FC" w:rsidRDefault="004767FC">
      <w:pPr>
        <w:pStyle w:val="FootnoteText"/>
      </w:pPr>
      <w:r>
        <w:rPr>
          <w:rStyle w:val="FootnoteReference"/>
        </w:rPr>
        <w:footnoteRef/>
      </w:r>
      <w:r>
        <w:t xml:space="preserve"> </w:t>
      </w:r>
      <w:r w:rsidRPr="004767FC">
        <w:t xml:space="preserve">Australian Bureau of Statistics, </w:t>
      </w:r>
      <w:r w:rsidRPr="00246E35">
        <w:rPr>
          <w:i/>
          <w:iCs/>
        </w:rPr>
        <w:t>Has Worker Compensation Reflected Labour Productivity Growth?</w:t>
      </w:r>
      <w:r w:rsidRPr="004767FC">
        <w:t xml:space="preserve"> (</w:t>
      </w:r>
      <w:r>
        <w:t xml:space="preserve">ABS, </w:t>
      </w:r>
      <w:r w:rsidRPr="004767FC">
        <w:t>2022).</w:t>
      </w:r>
    </w:p>
  </w:footnote>
  <w:footnote w:id="1401">
    <w:p w14:paraId="79D1FEC3" w14:textId="340623CB" w:rsidR="004767FC" w:rsidRDefault="004767FC">
      <w:pPr>
        <w:pStyle w:val="FootnoteText"/>
      </w:pPr>
      <w:r>
        <w:rPr>
          <w:rStyle w:val="FootnoteReference"/>
        </w:rPr>
        <w:footnoteRef/>
      </w:r>
      <w:r>
        <w:t xml:space="preserve"> D </w:t>
      </w:r>
      <w:r w:rsidRPr="004767FC">
        <w:t xml:space="preserve">Peetz, ‘Productivity is </w:t>
      </w:r>
      <w:r>
        <w:t>O</w:t>
      </w:r>
      <w:r w:rsidRPr="004767FC">
        <w:t xml:space="preserve">ften </w:t>
      </w:r>
      <w:r>
        <w:t>M</w:t>
      </w:r>
      <w:r w:rsidRPr="004767FC">
        <w:t xml:space="preserve">istaken for </w:t>
      </w:r>
      <w:r>
        <w:t>W</w:t>
      </w:r>
      <w:r w:rsidRPr="004767FC">
        <w:t xml:space="preserve">ages. What </w:t>
      </w:r>
      <w:r>
        <w:t>D</w:t>
      </w:r>
      <w:r w:rsidRPr="004767FC">
        <w:t xml:space="preserve">oes it </w:t>
      </w:r>
      <w:r>
        <w:t>R</w:t>
      </w:r>
      <w:r w:rsidRPr="004767FC">
        <w:t xml:space="preserve">eally </w:t>
      </w:r>
      <w:r>
        <w:t>M</w:t>
      </w:r>
      <w:r w:rsidRPr="004767FC">
        <w:t xml:space="preserve">ean? How </w:t>
      </w:r>
      <w:r>
        <w:t>D</w:t>
      </w:r>
      <w:r w:rsidRPr="004767FC">
        <w:t xml:space="preserve">oes it </w:t>
      </w:r>
      <w:r>
        <w:t>W</w:t>
      </w:r>
      <w:r w:rsidRPr="004767FC">
        <w:t xml:space="preserve">ork?’, </w:t>
      </w:r>
      <w:r w:rsidRPr="00EC0CFB">
        <w:rPr>
          <w:i/>
        </w:rPr>
        <w:t>The Conversation</w:t>
      </w:r>
      <w:r w:rsidRPr="004767FC">
        <w:t>, 8 October 2024</w:t>
      </w:r>
      <w:r>
        <w:t>.</w:t>
      </w:r>
    </w:p>
  </w:footnote>
  <w:footnote w:id="1402">
    <w:p w14:paraId="6600C54F" w14:textId="7CE30C40" w:rsidR="00677577" w:rsidRPr="00A03B67" w:rsidRDefault="00677577" w:rsidP="00677577">
      <w:pPr>
        <w:pStyle w:val="FootnoteTextChar1Char11"/>
      </w:pPr>
      <w:r w:rsidRPr="00A03B67">
        <w:rPr>
          <w:rStyle w:val="FootnoteReference"/>
        </w:rPr>
        <w:footnoteRef/>
      </w:r>
      <w:r w:rsidRPr="00A03B67" w:rsidDel="00F11064">
        <w:t xml:space="preserve"> </w:t>
      </w:r>
      <w:r w:rsidR="00F11064">
        <w:t xml:space="preserve">R </w:t>
      </w:r>
      <w:r w:rsidRPr="00A03B67">
        <w:t xml:space="preserve">Harris, </w:t>
      </w:r>
      <w:r w:rsidR="00F11064">
        <w:t>‘</w:t>
      </w:r>
      <w:r w:rsidRPr="00A03B67">
        <w:t xml:space="preserve">Albanese </w:t>
      </w:r>
      <w:r w:rsidR="00F11064">
        <w:t>P</w:t>
      </w:r>
      <w:r w:rsidRPr="00A03B67">
        <w:t xml:space="preserve">romises to </w:t>
      </w:r>
      <w:r w:rsidR="00F11064">
        <w:t>I</w:t>
      </w:r>
      <w:r w:rsidRPr="00A03B67">
        <w:t xml:space="preserve">ncrease </w:t>
      </w:r>
      <w:r w:rsidR="00F11064">
        <w:t>A</w:t>
      </w:r>
      <w:r w:rsidRPr="00A03B67">
        <w:t xml:space="preserve">ged </w:t>
      </w:r>
      <w:r w:rsidR="00F11064">
        <w:t>C</w:t>
      </w:r>
      <w:r w:rsidRPr="00A03B67">
        <w:t xml:space="preserve">are </w:t>
      </w:r>
      <w:r w:rsidR="00F11064">
        <w:t>F</w:t>
      </w:r>
      <w:r w:rsidRPr="00A03B67">
        <w:t xml:space="preserve">unding, </w:t>
      </w:r>
      <w:r w:rsidR="00F11064">
        <w:t>L</w:t>
      </w:r>
      <w:r w:rsidRPr="00A03B67">
        <w:t xml:space="preserve">ift </w:t>
      </w:r>
      <w:r w:rsidR="00F11064">
        <w:t>S</w:t>
      </w:r>
      <w:r w:rsidRPr="00A03B67">
        <w:t xml:space="preserve">ector </w:t>
      </w:r>
      <w:r w:rsidR="00F11064">
        <w:t>W</w:t>
      </w:r>
      <w:r w:rsidRPr="00A03B67">
        <w:t>ages</w:t>
      </w:r>
      <w:r w:rsidR="00F11064">
        <w:t>’</w:t>
      </w:r>
      <w:r w:rsidRPr="00A03B67" w:rsidDel="00F11064">
        <w:t>,</w:t>
      </w:r>
      <w:r w:rsidRPr="00A03B67">
        <w:t xml:space="preserve"> </w:t>
      </w:r>
      <w:r w:rsidRPr="00D02DF5">
        <w:rPr>
          <w:i/>
        </w:rPr>
        <w:t>The Sydney Morning Herald</w:t>
      </w:r>
      <w:r w:rsidRPr="00A03B67">
        <w:t xml:space="preserve"> (online, 30 January 2022) &lt;https://www.smh.com.au/politics/federal/albanese-promises-to-increase-aged-care-funding-lift-sector-wages-20220130-p59sbm.html&gt;.</w:t>
      </w:r>
    </w:p>
  </w:footnote>
  <w:footnote w:id="1403">
    <w:p w14:paraId="469E5BC3" w14:textId="77777777" w:rsidR="00677577" w:rsidRPr="00A03B67" w:rsidRDefault="00677577" w:rsidP="00677577">
      <w:pPr>
        <w:pStyle w:val="FootnoteTextChar1Char11"/>
      </w:pPr>
      <w:r w:rsidRPr="00A03B67">
        <w:rPr>
          <w:rStyle w:val="FootnoteReference"/>
        </w:rPr>
        <w:footnoteRef/>
      </w:r>
      <w:r w:rsidRPr="00A03B67">
        <w:t xml:space="preserve">  [2022] FWCFB 200 (4 Nov 2022) [42].</w:t>
      </w:r>
    </w:p>
  </w:footnote>
  <w:footnote w:id="1404">
    <w:p w14:paraId="44332F8A" w14:textId="77777777" w:rsidR="00677577" w:rsidRPr="00D02DF5" w:rsidRDefault="00677577" w:rsidP="00677577">
      <w:pPr>
        <w:pStyle w:val="FootnoteTextChar1Char11"/>
      </w:pPr>
      <w:r w:rsidRPr="00D02DF5">
        <w:rPr>
          <w:rStyle w:val="FootnoteReference"/>
        </w:rPr>
        <w:footnoteRef/>
      </w:r>
      <w:r w:rsidRPr="00D02DF5">
        <w:t xml:space="preserve"> See: &lt;https://www.fwc.gov.au/documents/consultation/presidents-statement-segregation-gender-2022-11-04.pdf&gt; [6].</w:t>
      </w:r>
    </w:p>
  </w:footnote>
  <w:footnote w:id="1405">
    <w:p w14:paraId="7AB3A9F4" w14:textId="77777777" w:rsidR="00677577" w:rsidRPr="00A03B67" w:rsidRDefault="00677577" w:rsidP="00677577">
      <w:pPr>
        <w:pStyle w:val="FootnoteTextChar1Char11"/>
      </w:pPr>
      <w:r w:rsidRPr="00D02DF5">
        <w:rPr>
          <w:rStyle w:val="FootnoteReference"/>
        </w:rPr>
        <w:footnoteRef/>
      </w:r>
      <w:r w:rsidRPr="00D02DF5">
        <w:t xml:space="preserve"> See: &lt;https://www.fwc.gov.au/documents/consultation/presidents-statement-segregation-gender-2022-11-04.pdf&gt; [16]</w:t>
      </w:r>
    </w:p>
  </w:footnote>
  <w:footnote w:id="1406">
    <w:p w14:paraId="598BFA43" w14:textId="17280F2E" w:rsidR="00677577" w:rsidRPr="00A03B67" w:rsidRDefault="00677577" w:rsidP="00677577">
      <w:pPr>
        <w:pStyle w:val="FootnoteTextChar1Char11"/>
      </w:pPr>
      <w:r w:rsidRPr="00A03B67">
        <w:rPr>
          <w:rStyle w:val="FootnoteReference"/>
        </w:rPr>
        <w:footnoteRef/>
      </w:r>
      <w:r w:rsidRPr="00A03B67">
        <w:t xml:space="preserve"> The Albanese Government committed around $8</w:t>
      </w:r>
      <w:r w:rsidR="00F11064">
        <w:t xml:space="preserve"> billion </w:t>
      </w:r>
      <w:r w:rsidRPr="00A03B67">
        <w:t xml:space="preserve">over </w:t>
      </w:r>
      <w:r w:rsidR="00F11064">
        <w:t xml:space="preserve">four </w:t>
      </w:r>
      <w:r w:rsidRPr="00A03B67">
        <w:t>years to fund the 15% interim wage increase (ACTU submission, 22).</w:t>
      </w:r>
    </w:p>
  </w:footnote>
  <w:footnote w:id="1407">
    <w:p w14:paraId="6A0CC9A8" w14:textId="77777777" w:rsidR="00677577" w:rsidRPr="00A03B67" w:rsidRDefault="00677577" w:rsidP="00677577">
      <w:pPr>
        <w:pStyle w:val="FootnoteTextChar1Char11"/>
      </w:pPr>
      <w:r w:rsidRPr="00A03B67">
        <w:rPr>
          <w:rStyle w:val="FootnoteReference"/>
        </w:rPr>
        <w:footnoteRef/>
      </w:r>
      <w:r w:rsidRPr="00A03B67">
        <w:t xml:space="preserve"> [2024] FWCFB 150, [197], [198], [200], [277].</w:t>
      </w:r>
    </w:p>
  </w:footnote>
  <w:footnote w:id="1408">
    <w:p w14:paraId="07A132C3" w14:textId="0D6522B8" w:rsidR="00677577" w:rsidRPr="00A03B67" w:rsidRDefault="00677577" w:rsidP="00677577">
      <w:pPr>
        <w:pStyle w:val="FootnoteTextChar1Char11"/>
      </w:pPr>
      <w:r w:rsidRPr="00A03B67">
        <w:rPr>
          <w:rStyle w:val="FootnoteReference"/>
        </w:rPr>
        <w:footnoteRef/>
      </w:r>
      <w:r w:rsidRPr="00A03B67">
        <w:t xml:space="preserve"> </w:t>
      </w:r>
      <w:r w:rsidRPr="00A03B67">
        <w:rPr>
          <w:i/>
          <w:iCs/>
        </w:rPr>
        <w:t xml:space="preserve">Work </w:t>
      </w:r>
      <w:r w:rsidR="00F11064">
        <w:rPr>
          <w:i/>
          <w:iCs/>
        </w:rPr>
        <w:t>V</w:t>
      </w:r>
      <w:r w:rsidRPr="00A03B67">
        <w:rPr>
          <w:i/>
          <w:iCs/>
        </w:rPr>
        <w:t xml:space="preserve">alue </w:t>
      </w:r>
      <w:r w:rsidR="00F11064">
        <w:rPr>
          <w:i/>
          <w:iCs/>
        </w:rPr>
        <w:t>C</w:t>
      </w:r>
      <w:r w:rsidRPr="00A03B67">
        <w:rPr>
          <w:i/>
          <w:iCs/>
        </w:rPr>
        <w:t xml:space="preserve">ase – Aged </w:t>
      </w:r>
      <w:r w:rsidR="00F11064">
        <w:rPr>
          <w:i/>
          <w:iCs/>
        </w:rPr>
        <w:t>C</w:t>
      </w:r>
      <w:r w:rsidRPr="00A03B67">
        <w:rPr>
          <w:i/>
          <w:iCs/>
        </w:rPr>
        <w:t xml:space="preserve">are </w:t>
      </w:r>
      <w:r w:rsidR="00F11064">
        <w:rPr>
          <w:i/>
          <w:iCs/>
        </w:rPr>
        <w:t>I</w:t>
      </w:r>
      <w:r w:rsidRPr="00A03B67">
        <w:rPr>
          <w:i/>
          <w:iCs/>
        </w:rPr>
        <w:t>ndustry</w:t>
      </w:r>
      <w:r w:rsidRPr="00A03B67">
        <w:t xml:space="preserve"> [2024] FWCFB 367 [4].</w:t>
      </w:r>
    </w:p>
  </w:footnote>
  <w:footnote w:id="1409">
    <w:p w14:paraId="4E251890" w14:textId="53369B40" w:rsidR="00677577" w:rsidRPr="00A03B67" w:rsidRDefault="00677577" w:rsidP="00677577">
      <w:pPr>
        <w:pStyle w:val="FootnoteTextChar1Char11"/>
      </w:pPr>
      <w:r w:rsidRPr="00A03B67">
        <w:rPr>
          <w:rStyle w:val="FootnoteReference"/>
        </w:rPr>
        <w:footnoteRef/>
      </w:r>
      <w:r w:rsidRPr="00A03B67">
        <w:t xml:space="preserve"> </w:t>
      </w:r>
      <w:r w:rsidRPr="00A03B67">
        <w:rPr>
          <w:i/>
          <w:iCs/>
        </w:rPr>
        <w:t xml:space="preserve">Work </w:t>
      </w:r>
      <w:r w:rsidR="00F11064">
        <w:rPr>
          <w:i/>
          <w:iCs/>
        </w:rPr>
        <w:t>V</w:t>
      </w:r>
      <w:r w:rsidRPr="00A03B67">
        <w:rPr>
          <w:i/>
          <w:iCs/>
        </w:rPr>
        <w:t xml:space="preserve">alue </w:t>
      </w:r>
      <w:r w:rsidR="00F11064">
        <w:rPr>
          <w:i/>
          <w:iCs/>
        </w:rPr>
        <w:t>C</w:t>
      </w:r>
      <w:r w:rsidRPr="00A03B67">
        <w:rPr>
          <w:i/>
          <w:iCs/>
        </w:rPr>
        <w:t xml:space="preserve">ase – Aged </w:t>
      </w:r>
      <w:r w:rsidR="00F11064">
        <w:rPr>
          <w:i/>
          <w:iCs/>
        </w:rPr>
        <w:t>C</w:t>
      </w:r>
      <w:r w:rsidRPr="00A03B67">
        <w:rPr>
          <w:i/>
          <w:iCs/>
        </w:rPr>
        <w:t xml:space="preserve">are </w:t>
      </w:r>
      <w:r w:rsidR="00F11064">
        <w:rPr>
          <w:i/>
          <w:iCs/>
        </w:rPr>
        <w:t>I</w:t>
      </w:r>
      <w:r w:rsidRPr="00A03B67">
        <w:rPr>
          <w:i/>
          <w:iCs/>
        </w:rPr>
        <w:t>ndustry</w:t>
      </w:r>
      <w:r w:rsidRPr="00A03B67">
        <w:t xml:space="preserve"> [2024] FWCFB 367 [4]; </w:t>
      </w:r>
      <w:r w:rsidRPr="00A03B67">
        <w:rPr>
          <w:i/>
          <w:iCs/>
        </w:rPr>
        <w:t xml:space="preserve">Work </w:t>
      </w:r>
      <w:r w:rsidR="00F11064">
        <w:rPr>
          <w:i/>
          <w:iCs/>
        </w:rPr>
        <w:t>V</w:t>
      </w:r>
      <w:r w:rsidRPr="00A03B67">
        <w:rPr>
          <w:i/>
          <w:iCs/>
        </w:rPr>
        <w:t xml:space="preserve">alue </w:t>
      </w:r>
      <w:r w:rsidR="00F11064">
        <w:rPr>
          <w:i/>
          <w:iCs/>
        </w:rPr>
        <w:t>C</w:t>
      </w:r>
      <w:r w:rsidRPr="00A03B67">
        <w:rPr>
          <w:i/>
          <w:iCs/>
        </w:rPr>
        <w:t xml:space="preserve">ase – Nurses and </w:t>
      </w:r>
      <w:r w:rsidR="00F11064">
        <w:rPr>
          <w:i/>
          <w:iCs/>
        </w:rPr>
        <w:t>M</w:t>
      </w:r>
      <w:r w:rsidRPr="00A03B67">
        <w:rPr>
          <w:i/>
          <w:iCs/>
        </w:rPr>
        <w:t>idwives</w:t>
      </w:r>
      <w:r w:rsidRPr="00A03B67">
        <w:t xml:space="preserve"> [2024] FWCFB 405 [1].</w:t>
      </w:r>
    </w:p>
  </w:footnote>
  <w:footnote w:id="1410">
    <w:p w14:paraId="002C2F39" w14:textId="728B8333" w:rsidR="00677577" w:rsidRPr="00A03B67" w:rsidRDefault="00677577" w:rsidP="00677577">
      <w:pPr>
        <w:pStyle w:val="FootnoteTextChar1Char11"/>
      </w:pPr>
      <w:r w:rsidRPr="00A03B67">
        <w:rPr>
          <w:rStyle w:val="FootnoteReference"/>
        </w:rPr>
        <w:footnoteRef/>
      </w:r>
      <w:r w:rsidRPr="00A03B67" w:rsidDel="00F11064">
        <w:t xml:space="preserve"> </w:t>
      </w:r>
      <w:r w:rsidR="00F11064">
        <w:t xml:space="preserve">K </w:t>
      </w:r>
      <w:r w:rsidRPr="00A03B67">
        <w:t xml:space="preserve">Yuen and </w:t>
      </w:r>
      <w:r w:rsidR="00F11064">
        <w:t xml:space="preserve">J </w:t>
      </w:r>
      <w:r w:rsidRPr="00A03B67">
        <w:t xml:space="preserve">Tomlinson, </w:t>
      </w:r>
      <w:r w:rsidRPr="00A03B67">
        <w:rPr>
          <w:i/>
          <w:iCs/>
        </w:rPr>
        <w:t>A Profile of Employee Characteristics Across Modern Awards</w:t>
      </w:r>
      <w:r w:rsidRPr="00A03B67">
        <w:t xml:space="preserve"> (Fair Work Commission Research Report No. 1/2023, March 2023</w:t>
      </w:r>
      <w:r w:rsidRPr="001A4082">
        <w:t>)</w:t>
      </w:r>
      <w:r w:rsidRPr="00A03B67">
        <w:t xml:space="preserve"> Chart 3.3.</w:t>
      </w:r>
    </w:p>
  </w:footnote>
  <w:footnote w:id="1411">
    <w:p w14:paraId="3A1C4831" w14:textId="77777777" w:rsidR="00677577" w:rsidRPr="00A03B67" w:rsidRDefault="00677577" w:rsidP="00677577">
      <w:pPr>
        <w:pStyle w:val="FootnoteTextChar1Char11"/>
      </w:pPr>
      <w:r w:rsidRPr="001A4082">
        <w:rPr>
          <w:rStyle w:val="FootnoteReference"/>
        </w:rPr>
        <w:footnoteRef/>
      </w:r>
      <w:r w:rsidRPr="001A4082">
        <w:t xml:space="preserve"> FWC, Stage 2 report Gender pay equity research Annual Wage Review 2023–24 (4 April 2024), [6].</w:t>
      </w:r>
    </w:p>
  </w:footnote>
  <w:footnote w:id="1412">
    <w:p w14:paraId="6A0A5944" w14:textId="6BB5BCF4" w:rsidR="00677577" w:rsidRPr="00A03B67" w:rsidRDefault="00677577" w:rsidP="00677577">
      <w:pPr>
        <w:pStyle w:val="FootnoteTextChar1Char11"/>
      </w:pPr>
      <w:r w:rsidRPr="00A03B67">
        <w:rPr>
          <w:rStyle w:val="FootnoteReference"/>
        </w:rPr>
        <w:footnoteRef/>
      </w:r>
      <w:r w:rsidRPr="00A03B67" w:rsidDel="008160AD">
        <w:t xml:space="preserve"> </w:t>
      </w:r>
      <w:r w:rsidR="008160AD">
        <w:t xml:space="preserve">N </w:t>
      </w:r>
      <w:r w:rsidRPr="00A03B67">
        <w:t xml:space="preserve">Cortis, </w:t>
      </w:r>
      <w:r w:rsidR="008160AD">
        <w:t xml:space="preserve">Y </w:t>
      </w:r>
      <w:r w:rsidRPr="00A03B67">
        <w:t xml:space="preserve">Naidoo, </w:t>
      </w:r>
      <w:r w:rsidR="008160AD">
        <w:t xml:space="preserve">M </w:t>
      </w:r>
      <w:r w:rsidRPr="00A03B67">
        <w:t xml:space="preserve">Wong and </w:t>
      </w:r>
      <w:r w:rsidR="008160AD">
        <w:t xml:space="preserve">B </w:t>
      </w:r>
      <w:r w:rsidRPr="00A03B67">
        <w:t xml:space="preserve">Bradbury, </w:t>
      </w:r>
      <w:r w:rsidRPr="001A4082">
        <w:rPr>
          <w:i/>
        </w:rPr>
        <w:t xml:space="preserve">Gender-based </w:t>
      </w:r>
      <w:r w:rsidR="008160AD" w:rsidRPr="001A4082">
        <w:rPr>
          <w:i/>
          <w:iCs/>
        </w:rPr>
        <w:t>O</w:t>
      </w:r>
      <w:r w:rsidRPr="001A4082">
        <w:rPr>
          <w:i/>
          <w:iCs/>
        </w:rPr>
        <w:t xml:space="preserve">ccupational </w:t>
      </w:r>
      <w:r w:rsidR="008160AD" w:rsidRPr="001A4082">
        <w:rPr>
          <w:i/>
          <w:iCs/>
        </w:rPr>
        <w:t>S</w:t>
      </w:r>
      <w:r w:rsidRPr="001A4082">
        <w:rPr>
          <w:i/>
          <w:iCs/>
        </w:rPr>
        <w:t xml:space="preserve">egregation: </w:t>
      </w:r>
      <w:r w:rsidR="008160AD" w:rsidRPr="001A4082">
        <w:rPr>
          <w:i/>
          <w:iCs/>
        </w:rPr>
        <w:t>A</w:t>
      </w:r>
      <w:r w:rsidRPr="001A4082">
        <w:rPr>
          <w:i/>
          <w:iCs/>
        </w:rPr>
        <w:t xml:space="preserve"> </w:t>
      </w:r>
      <w:r w:rsidR="008160AD" w:rsidRPr="001A4082">
        <w:rPr>
          <w:i/>
          <w:iCs/>
        </w:rPr>
        <w:t>N</w:t>
      </w:r>
      <w:r w:rsidRPr="001A4082">
        <w:rPr>
          <w:i/>
          <w:iCs/>
        </w:rPr>
        <w:t xml:space="preserve">ational </w:t>
      </w:r>
      <w:r w:rsidR="008160AD" w:rsidRPr="001A4082">
        <w:rPr>
          <w:i/>
          <w:iCs/>
        </w:rPr>
        <w:t>D</w:t>
      </w:r>
      <w:r w:rsidRPr="001A4082">
        <w:rPr>
          <w:i/>
          <w:iCs/>
        </w:rPr>
        <w:t xml:space="preserve">ata </w:t>
      </w:r>
      <w:r w:rsidR="008160AD" w:rsidRPr="001A4082">
        <w:rPr>
          <w:i/>
          <w:iCs/>
        </w:rPr>
        <w:t>P</w:t>
      </w:r>
      <w:r w:rsidRPr="001A4082">
        <w:rPr>
          <w:i/>
          <w:iCs/>
        </w:rPr>
        <w:t>rofile</w:t>
      </w:r>
      <w:r w:rsidRPr="00A03B67">
        <w:t xml:space="preserve"> (Final report, UNSW Social Policy Research Centre, 6 November 2023) 6.</w:t>
      </w:r>
    </w:p>
  </w:footnote>
  <w:footnote w:id="1413">
    <w:p w14:paraId="2A0F6949" w14:textId="77777777" w:rsidR="00677577" w:rsidRPr="00A03B67" w:rsidRDefault="00677577" w:rsidP="00677577">
      <w:pPr>
        <w:pStyle w:val="FootnoteTextChar1Char11"/>
      </w:pPr>
      <w:r w:rsidRPr="00A03B67">
        <w:rPr>
          <w:rStyle w:val="FootnoteReference"/>
        </w:rPr>
        <w:footnoteRef/>
      </w:r>
      <w:r w:rsidRPr="00A03B67">
        <w:t xml:space="preserve"> The Stage 2 report includes a very useful timeline of key wage fixation decisions (in relation to pay equity) and work value decisions and inquiries in the federal industrial relations system.</w:t>
      </w:r>
    </w:p>
  </w:footnote>
  <w:footnote w:id="1414">
    <w:p w14:paraId="2C46D85B" w14:textId="77777777" w:rsidR="00677577" w:rsidRPr="00A03B67" w:rsidRDefault="00677577" w:rsidP="00677577">
      <w:pPr>
        <w:pStyle w:val="FootnoteTextChar1Char11"/>
      </w:pPr>
      <w:r w:rsidRPr="00A03B67">
        <w:rPr>
          <w:rStyle w:val="FootnoteReference"/>
        </w:rPr>
        <w:footnoteRef/>
      </w:r>
      <w:r w:rsidRPr="00A03B67">
        <w:t xml:space="preserve"> The first step in the Work and Care priority topic was the release of a discussion paper: Fair Work Commission, </w:t>
      </w:r>
      <w:r w:rsidRPr="00A03B67">
        <w:rPr>
          <w:i/>
          <w:iCs/>
        </w:rPr>
        <w:t>Discussion Paper: Work and Care</w:t>
      </w:r>
      <w:r w:rsidRPr="00A03B67">
        <w:t xml:space="preserve"> (Discussion Paper 29, January 2024) &lt;https://www.fwc.gov.au/documents/sites/award-review-2023-24/discussion-paper-work-and-care-290123.pdf&gt;. The next step involved the release of a literature review on work and care: M Smith and S Charlesworth, </w:t>
      </w:r>
      <w:r w:rsidRPr="00A03B67">
        <w:rPr>
          <w:i/>
          <w:iCs/>
        </w:rPr>
        <w:t>Literature Review for the Modern Awards Review</w:t>
      </w:r>
      <w:r w:rsidRPr="00A03B67">
        <w:t xml:space="preserve"> (March 2024) &lt;https://www.fwc.gov.au/documents/sites/award-review-2023-24/am2023-21-literature-review-work-care-2024-03-08.pdf&gt;. The FWC also convened a consultation conference and undertook survey of employers aimed at gathering information about the potential to vary modern award provisions to increase flexibility for employees balancing work and care responsibilities. The final report of the Modern Awards Review 2023</w:t>
      </w:r>
      <w:r w:rsidRPr="00A03B67">
        <w:rPr>
          <w:rFonts w:ascii="Symbol" w:eastAsia="Symbol" w:hAnsi="Symbol" w:cs="Symbol"/>
        </w:rPr>
        <w:t>-</w:t>
      </w:r>
      <w:r w:rsidRPr="00A03B67">
        <w:t xml:space="preserve">24 was released 18 July 2024: Fair Work Commission, </w:t>
      </w:r>
      <w:r w:rsidRPr="00A03B67">
        <w:rPr>
          <w:i/>
          <w:iCs/>
        </w:rPr>
        <w:t>Modern Awards Review 2023</w:t>
      </w:r>
      <w:r w:rsidRPr="00A03B67">
        <w:rPr>
          <w:rFonts w:ascii="Symbol" w:eastAsia="Symbol" w:hAnsi="Symbol" w:cs="Symbol"/>
          <w:i/>
          <w:iCs/>
        </w:rPr>
        <w:t>-</w:t>
      </w:r>
      <w:r w:rsidRPr="00A03B67">
        <w:rPr>
          <w:i/>
          <w:iCs/>
        </w:rPr>
        <w:t>24</w:t>
      </w:r>
      <w:r w:rsidRPr="00A03B67">
        <w:t xml:space="preserve"> (Report, 2024) &lt;https://www.fwc.gov.au/documents/sites/award-review-2023-24/am202321-review-report-180724.pdf&gt;.</w:t>
      </w:r>
    </w:p>
  </w:footnote>
  <w:footnote w:id="1415">
    <w:p w14:paraId="34E6F5CC" w14:textId="77777777" w:rsidR="00677577" w:rsidRPr="00A03B67" w:rsidRDefault="00677577" w:rsidP="00677577">
      <w:pPr>
        <w:pStyle w:val="FootnoteTextChar1Char11"/>
      </w:pPr>
      <w:r w:rsidRPr="00A03B67">
        <w:rPr>
          <w:rStyle w:val="FootnoteReference"/>
        </w:rPr>
        <w:footnoteRef/>
      </w:r>
      <w:r w:rsidRPr="00A03B67">
        <w:t xml:space="preserve"> Letter from Anthony Burke to Justice Adam Hatcher, 12 September 2023 &lt;https://www.fwc.gov.au/documents/consultation/letter-from-minister-2023-09-12.pdf&gt;.</w:t>
      </w:r>
    </w:p>
  </w:footnote>
  <w:footnote w:id="1416">
    <w:p w14:paraId="1B706BAD" w14:textId="77777777" w:rsidR="00677577" w:rsidRPr="00A03B67" w:rsidRDefault="00677577" w:rsidP="00677577">
      <w:pPr>
        <w:pStyle w:val="FootnoteTextChar1Char11"/>
      </w:pPr>
      <w:r w:rsidRPr="00A03B67">
        <w:rPr>
          <w:rStyle w:val="FootnoteReference"/>
        </w:rPr>
        <w:footnoteRef/>
      </w:r>
      <w:r w:rsidRPr="00A03B67">
        <w:t xml:space="preserve"> Fair Work Commission, </w:t>
      </w:r>
      <w:r w:rsidRPr="00A03B67">
        <w:rPr>
          <w:i/>
          <w:iCs/>
        </w:rPr>
        <w:t>Modern Awards Review 2023</w:t>
      </w:r>
      <w:r w:rsidRPr="00A03B67">
        <w:rPr>
          <w:rFonts w:ascii="Symbol" w:eastAsia="Symbol" w:hAnsi="Symbol" w:cs="Symbol"/>
          <w:i/>
          <w:iCs/>
        </w:rPr>
        <w:t>-</w:t>
      </w:r>
      <w:r w:rsidRPr="00A03B67">
        <w:rPr>
          <w:i/>
          <w:iCs/>
        </w:rPr>
        <w:t>24</w:t>
      </w:r>
      <w:r w:rsidRPr="00A03B67">
        <w:t xml:space="preserve"> (Report, 2024).</w:t>
      </w:r>
    </w:p>
  </w:footnote>
  <w:footnote w:id="1417">
    <w:p w14:paraId="42DF9A26" w14:textId="77777777" w:rsidR="00677577" w:rsidRPr="00A03B67" w:rsidRDefault="00677577" w:rsidP="00677577">
      <w:pPr>
        <w:pStyle w:val="FootnoteTextChar1Char11"/>
      </w:pPr>
      <w:r w:rsidRPr="00A03B67">
        <w:rPr>
          <w:rStyle w:val="FootnoteReference"/>
        </w:rPr>
        <w:footnoteRef/>
      </w:r>
      <w:r w:rsidRPr="00A03B67">
        <w:t xml:space="preserve"> Fair Work Commission, </w:t>
      </w:r>
      <w:r w:rsidRPr="00A03B67">
        <w:rPr>
          <w:i/>
          <w:iCs/>
        </w:rPr>
        <w:t>Modern Awards Review 2023</w:t>
      </w:r>
      <w:r w:rsidRPr="00A03B67">
        <w:rPr>
          <w:rFonts w:ascii="Symbol" w:eastAsia="Symbol" w:hAnsi="Symbol" w:cs="Symbol"/>
          <w:i/>
          <w:iCs/>
        </w:rPr>
        <w:t>-</w:t>
      </w:r>
      <w:r w:rsidRPr="00A03B67">
        <w:rPr>
          <w:i/>
          <w:iCs/>
        </w:rPr>
        <w:t>24</w:t>
      </w:r>
      <w:r w:rsidRPr="00A03B67">
        <w:t xml:space="preserve"> (Report, 2024), [123].</w:t>
      </w:r>
    </w:p>
  </w:footnote>
  <w:footnote w:id="1418">
    <w:p w14:paraId="17297687" w14:textId="77777777" w:rsidR="00677577" w:rsidRPr="00A03B67" w:rsidRDefault="00677577" w:rsidP="00677577">
      <w:pPr>
        <w:pStyle w:val="FootnoteTextChar1Char11"/>
      </w:pPr>
      <w:r w:rsidRPr="00A03B67">
        <w:rPr>
          <w:rStyle w:val="FootnoteReference"/>
        </w:rPr>
        <w:footnoteRef/>
      </w:r>
      <w:r w:rsidRPr="00A03B67">
        <w:t xml:space="preserve"> </w:t>
      </w:r>
      <w:r w:rsidRPr="00A03B67">
        <w:rPr>
          <w:i/>
          <w:iCs/>
        </w:rPr>
        <w:t xml:space="preserve">Fair Work Act 2009 </w:t>
      </w:r>
      <w:r w:rsidRPr="002F2751">
        <w:t>(Cth)</w:t>
      </w:r>
      <w:r w:rsidRPr="00A03B67">
        <w:t xml:space="preserve"> s 61.</w:t>
      </w:r>
    </w:p>
  </w:footnote>
  <w:footnote w:id="1419">
    <w:p w14:paraId="2CB4E0E7" w14:textId="77777777" w:rsidR="00677577" w:rsidRPr="00A03B67" w:rsidRDefault="00677577" w:rsidP="00677577">
      <w:pPr>
        <w:pStyle w:val="FootnoteTextChar1Char11"/>
      </w:pPr>
      <w:r w:rsidRPr="00A03B67">
        <w:rPr>
          <w:rStyle w:val="FootnoteReference"/>
        </w:rPr>
        <w:footnoteRef/>
      </w:r>
      <w:r w:rsidRPr="00A03B67">
        <w:t xml:space="preserve"> </w:t>
      </w:r>
      <w:r w:rsidRPr="00A03B67">
        <w:rPr>
          <w:i/>
          <w:iCs/>
        </w:rPr>
        <w:t xml:space="preserve">Fair Work Act 2009 </w:t>
      </w:r>
      <w:r w:rsidRPr="002F2751">
        <w:t>(Cth)</w:t>
      </w:r>
      <w:r w:rsidRPr="00A03B67">
        <w:rPr>
          <w:i/>
          <w:iCs/>
        </w:rPr>
        <w:t xml:space="preserve"> </w:t>
      </w:r>
      <w:r w:rsidRPr="00A03B67">
        <w:t>s 61(2).</w:t>
      </w:r>
    </w:p>
  </w:footnote>
  <w:footnote w:id="1420">
    <w:p w14:paraId="3224B8D0" w14:textId="77777777" w:rsidR="00677577" w:rsidRPr="00A03B67" w:rsidRDefault="00677577" w:rsidP="00677577">
      <w:pPr>
        <w:pStyle w:val="FootnoteTextChar1Char11"/>
      </w:pPr>
      <w:r w:rsidRPr="00A03B67">
        <w:rPr>
          <w:rStyle w:val="FootnoteReference"/>
        </w:rPr>
        <w:footnoteRef/>
      </w:r>
      <w:r w:rsidRPr="00A03B67">
        <w:t xml:space="preserve"> </w:t>
      </w:r>
      <w:r w:rsidRPr="00A03B67">
        <w:rPr>
          <w:i/>
          <w:iCs/>
        </w:rPr>
        <w:t xml:space="preserve">Fair Work Act 2009 </w:t>
      </w:r>
      <w:r w:rsidRPr="002F2751">
        <w:t>(Cth)</w:t>
      </w:r>
      <w:r w:rsidRPr="00A03B67">
        <w:rPr>
          <w:i/>
          <w:iCs/>
        </w:rPr>
        <w:t xml:space="preserve"> </w:t>
      </w:r>
      <w:r w:rsidRPr="00A03B67">
        <w:t>s 61(1).</w:t>
      </w:r>
    </w:p>
  </w:footnote>
  <w:footnote w:id="1421">
    <w:p w14:paraId="45D2D48F" w14:textId="77777777" w:rsidR="00677577" w:rsidRPr="00A03B67" w:rsidRDefault="00677577" w:rsidP="00677577">
      <w:pPr>
        <w:pStyle w:val="FootnoteTextChar1Char11"/>
      </w:pPr>
      <w:r w:rsidRPr="00A03B67">
        <w:rPr>
          <w:rStyle w:val="FootnoteReference"/>
        </w:rPr>
        <w:footnoteRef/>
      </w:r>
      <w:r w:rsidRPr="00A03B67">
        <w:t xml:space="preserve"> </w:t>
      </w:r>
      <w:r w:rsidRPr="00A03B67">
        <w:rPr>
          <w:i/>
          <w:iCs/>
        </w:rPr>
        <w:t xml:space="preserve">Fair Work Act 2009 </w:t>
      </w:r>
      <w:r w:rsidRPr="002F2751">
        <w:t>(Cth)</w:t>
      </w:r>
      <w:r w:rsidRPr="00A03B67">
        <w:rPr>
          <w:i/>
          <w:iCs/>
        </w:rPr>
        <w:t xml:space="preserve"> </w:t>
      </w:r>
      <w:r w:rsidRPr="00A03B67">
        <w:t>s 576(2)(aa).</w:t>
      </w:r>
    </w:p>
  </w:footnote>
  <w:footnote w:id="1422">
    <w:p w14:paraId="4431595A" w14:textId="1A5923EA" w:rsidR="00677577" w:rsidRDefault="00677577" w:rsidP="00677577">
      <w:pPr>
        <w:pStyle w:val="FootnoteTextChar1Char11"/>
      </w:pPr>
      <w:r w:rsidRPr="00A03B67">
        <w:rPr>
          <w:rStyle w:val="FootnoteReference"/>
        </w:rPr>
        <w:footnoteRef/>
      </w:r>
      <w:r w:rsidRPr="00A03B67">
        <w:t xml:space="preserve"> </w:t>
      </w:r>
      <w:r w:rsidRPr="00A03B67">
        <w:rPr>
          <w:i/>
          <w:iCs/>
        </w:rPr>
        <w:t xml:space="preserve">Fair Work Act 2009 </w:t>
      </w:r>
      <w:r w:rsidRPr="002F2751">
        <w:t>(Cth)</w:t>
      </w:r>
      <w:r w:rsidRPr="00A03B67">
        <w:rPr>
          <w:i/>
          <w:iCs/>
        </w:rPr>
        <w:t xml:space="preserve"> </w:t>
      </w:r>
      <w:r w:rsidRPr="00A03B67">
        <w:t xml:space="preserve">s 682; </w:t>
      </w:r>
      <w:r w:rsidRPr="008160AD">
        <w:t>see also</w:t>
      </w:r>
      <w:r w:rsidR="008160AD" w:rsidRPr="002F2751">
        <w:t xml:space="preserve"> Fair Work Ombudsman, </w:t>
      </w:r>
      <w:r w:rsidR="008160AD" w:rsidRPr="002F2751">
        <w:rPr>
          <w:i/>
        </w:rPr>
        <w:t>About the Fair Work Ombudsman</w:t>
      </w:r>
      <w:r w:rsidR="008160AD" w:rsidRPr="002F2751">
        <w:t xml:space="preserve"> (Fact Sheet, 2024)</w:t>
      </w:r>
      <w:r w:rsidRPr="008160AD">
        <w:t xml:space="preserve"> &lt;https://www.fairwork.gov.au/sites/default/files/migration/723/About-the-fair-work-ombudsman.pdf&gt;.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A8A9BB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E676F0C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5A492C"/>
    <w:multiLevelType w:val="hybridMultilevel"/>
    <w:tmpl w:val="8C705136"/>
    <w:lvl w:ilvl="0" w:tplc="5A60756E">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03F7568B"/>
    <w:multiLevelType w:val="hybridMultilevel"/>
    <w:tmpl w:val="56FA42F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58D2718"/>
    <w:multiLevelType w:val="multilevel"/>
    <w:tmpl w:val="A022B408"/>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814" w:hanging="850"/>
      </w:pPr>
      <w:rPr>
        <w:rFonts w:hint="default"/>
      </w:rPr>
    </w:lvl>
    <w:lvl w:ilvl="3">
      <w:start w:val="1"/>
      <w:numFmt w:val="decimal"/>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5D559A9"/>
    <w:multiLevelType w:val="hybridMultilevel"/>
    <w:tmpl w:val="D68E9D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8" w15:restartNumberingAfterBreak="0">
    <w:nsid w:val="0E08783D"/>
    <w:multiLevelType w:val="hybridMultilevel"/>
    <w:tmpl w:val="2318C8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EE34E10"/>
    <w:multiLevelType w:val="hybridMultilevel"/>
    <w:tmpl w:val="FBDE19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0F667C33"/>
    <w:multiLevelType w:val="hybridMultilevel"/>
    <w:tmpl w:val="E68C33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17BB041C"/>
    <w:multiLevelType w:val="hybridMultilevel"/>
    <w:tmpl w:val="7916D53E"/>
    <w:lvl w:ilvl="0" w:tplc="D742891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18FF1AB7"/>
    <w:multiLevelType w:val="multilevel"/>
    <w:tmpl w:val="F8AEF87C"/>
    <w:name w:val="EDU - Bullet List"/>
    <w:lvl w:ilvl="0">
      <w:start w:val="1"/>
      <w:numFmt w:val="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B04208D"/>
    <w:multiLevelType w:val="hybridMultilevel"/>
    <w:tmpl w:val="0C58C9DC"/>
    <w:lvl w:ilvl="0" w:tplc="0C090001">
      <w:start w:val="1"/>
      <w:numFmt w:val="bullet"/>
      <w:lvlText w:val=""/>
      <w:lvlJc w:val="left"/>
      <w:pPr>
        <w:ind w:left="1434" w:hanging="360"/>
      </w:pPr>
      <w:rPr>
        <w:rFonts w:ascii="Symbol" w:hAnsi="Symbol" w:hint="default"/>
      </w:rPr>
    </w:lvl>
    <w:lvl w:ilvl="1" w:tplc="0C090003">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14" w15:restartNumberingAfterBreak="0">
    <w:nsid w:val="1C743FEB"/>
    <w:multiLevelType w:val="hybridMultilevel"/>
    <w:tmpl w:val="B5E2285E"/>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5" w15:restartNumberingAfterBreak="0">
    <w:nsid w:val="1CA7741E"/>
    <w:multiLevelType w:val="hybridMultilevel"/>
    <w:tmpl w:val="FE885176"/>
    <w:lvl w:ilvl="0" w:tplc="853E3B5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202B41B8"/>
    <w:multiLevelType w:val="hybridMultilevel"/>
    <w:tmpl w:val="C5340C98"/>
    <w:lvl w:ilvl="0" w:tplc="0D4C70A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1282EF2"/>
    <w:multiLevelType w:val="hybridMultilevel"/>
    <w:tmpl w:val="31ACFD5E"/>
    <w:lvl w:ilvl="0" w:tplc="471C681A">
      <w:start w:val="1"/>
      <w:numFmt w:val="decimal"/>
      <w:lvlText w:val="%1."/>
      <w:lvlJc w:val="left"/>
      <w:pPr>
        <w:ind w:left="1080" w:hanging="360"/>
      </w:pPr>
      <w:rPr>
        <w:rFonts w:hint="default"/>
        <w:b/>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21377924"/>
    <w:multiLevelType w:val="hybridMultilevel"/>
    <w:tmpl w:val="349486C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9" w15:restartNumberingAfterBreak="0">
    <w:nsid w:val="24D82089"/>
    <w:multiLevelType w:val="hybridMultilevel"/>
    <w:tmpl w:val="BB0416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67E5A05"/>
    <w:multiLevelType w:val="hybridMultilevel"/>
    <w:tmpl w:val="8952A35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1" w15:restartNumberingAfterBreak="0">
    <w:nsid w:val="27593CC3"/>
    <w:multiLevelType w:val="hybridMultilevel"/>
    <w:tmpl w:val="4F328C5C"/>
    <w:lvl w:ilvl="0" w:tplc="573E60EA">
      <w:start w:val="6"/>
      <w:numFmt w:val="bullet"/>
      <w:lvlText w:val="•"/>
      <w:lvlJc w:val="left"/>
      <w:pPr>
        <w:ind w:left="1800" w:hanging="360"/>
      </w:pPr>
      <w:rPr>
        <w:rFonts w:ascii="Aptos" w:eastAsiaTheme="minorHAnsi" w:hAnsi="Aptos"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282D0361"/>
    <w:multiLevelType w:val="multilevel"/>
    <w:tmpl w:val="082E4766"/>
    <w:name w:val="EDU - List Number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DC05E1D"/>
    <w:multiLevelType w:val="hybridMultilevel"/>
    <w:tmpl w:val="B53A2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E646829"/>
    <w:multiLevelType w:val="multilevel"/>
    <w:tmpl w:val="A022B408"/>
    <w:name w:val="EDU - List Number"/>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814" w:hanging="850"/>
      </w:pPr>
      <w:rPr>
        <w:rFonts w:hint="default"/>
      </w:rPr>
    </w:lvl>
    <w:lvl w:ilvl="3">
      <w:start w:val="1"/>
      <w:numFmt w:val="decimal"/>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E844980"/>
    <w:multiLevelType w:val="hybridMultilevel"/>
    <w:tmpl w:val="6A9A2074"/>
    <w:lvl w:ilvl="0" w:tplc="FDD2FCAE">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6" w15:restartNumberingAfterBreak="0">
    <w:nsid w:val="2EA07868"/>
    <w:multiLevelType w:val="hybridMultilevel"/>
    <w:tmpl w:val="14F8E61C"/>
    <w:styleLink w:val="DefaultBullets"/>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4554EDA"/>
    <w:multiLevelType w:val="multilevel"/>
    <w:tmpl w:val="EC82CF8A"/>
    <w:styleLink w:val="CurrentList2"/>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814" w:hanging="850"/>
      </w:pPr>
      <w:rPr>
        <w:rFonts w:hint="default"/>
      </w:rPr>
    </w:lvl>
    <w:lvl w:ilvl="3">
      <w:start w:val="1"/>
      <w:numFmt w:val="decimal"/>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5FB24E6"/>
    <w:multiLevelType w:val="multilevel"/>
    <w:tmpl w:val="AC2C978C"/>
    <w:styleLink w:val="CurrentList1"/>
    <w:lvl w:ilvl="0">
      <w:start w:val="1"/>
      <w:numFmt w:val="decimal"/>
      <w:lvlText w:val="%1."/>
      <w:lvlJc w:val="left"/>
      <w:pPr>
        <w:ind w:left="397" w:hanging="397"/>
      </w:pPr>
    </w:lvl>
    <w:lvl w:ilvl="1">
      <w:start w:val="1"/>
      <w:numFmt w:val="decimal"/>
      <w:lvlText w:val="%1.%2"/>
      <w:lvlJc w:val="left"/>
      <w:pPr>
        <w:ind w:left="964" w:hanging="567"/>
      </w:pPr>
      <w:rPr>
        <w:rFonts w:hint="default"/>
      </w:rPr>
    </w:lvl>
    <w:lvl w:ilvl="2">
      <w:start w:val="1"/>
      <w:numFmt w:val="decimal"/>
      <w:lvlText w:val="%1.%2.%3."/>
      <w:lvlJc w:val="left"/>
      <w:pPr>
        <w:ind w:left="1814" w:hanging="850"/>
      </w:pPr>
      <w:rPr>
        <w:rFonts w:hint="default"/>
      </w:rPr>
    </w:lvl>
    <w:lvl w:ilvl="3">
      <w:start w:val="1"/>
      <w:numFmt w:val="decimal"/>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68D6CF0"/>
    <w:multiLevelType w:val="hybridMultilevel"/>
    <w:tmpl w:val="1084D390"/>
    <w:lvl w:ilvl="0" w:tplc="0C090003">
      <w:start w:val="1"/>
      <w:numFmt w:val="bullet"/>
      <w:lvlText w:val="o"/>
      <w:lvlJc w:val="left"/>
      <w:pPr>
        <w:ind w:left="1286" w:hanging="360"/>
      </w:pPr>
      <w:rPr>
        <w:rFonts w:ascii="Courier New" w:hAnsi="Courier New" w:cs="Courier New" w:hint="default"/>
      </w:rPr>
    </w:lvl>
    <w:lvl w:ilvl="1" w:tplc="0C090003" w:tentative="1">
      <w:start w:val="1"/>
      <w:numFmt w:val="bullet"/>
      <w:lvlText w:val="o"/>
      <w:lvlJc w:val="left"/>
      <w:pPr>
        <w:ind w:left="2006" w:hanging="360"/>
      </w:pPr>
      <w:rPr>
        <w:rFonts w:ascii="Courier New" w:hAnsi="Courier New" w:cs="Courier New" w:hint="default"/>
      </w:rPr>
    </w:lvl>
    <w:lvl w:ilvl="2" w:tplc="0C090005" w:tentative="1">
      <w:start w:val="1"/>
      <w:numFmt w:val="bullet"/>
      <w:lvlText w:val=""/>
      <w:lvlJc w:val="left"/>
      <w:pPr>
        <w:ind w:left="2726" w:hanging="360"/>
      </w:pPr>
      <w:rPr>
        <w:rFonts w:ascii="Wingdings" w:hAnsi="Wingdings" w:hint="default"/>
      </w:rPr>
    </w:lvl>
    <w:lvl w:ilvl="3" w:tplc="0C090001" w:tentative="1">
      <w:start w:val="1"/>
      <w:numFmt w:val="bullet"/>
      <w:lvlText w:val=""/>
      <w:lvlJc w:val="left"/>
      <w:pPr>
        <w:ind w:left="3446" w:hanging="360"/>
      </w:pPr>
      <w:rPr>
        <w:rFonts w:ascii="Symbol" w:hAnsi="Symbol" w:hint="default"/>
      </w:rPr>
    </w:lvl>
    <w:lvl w:ilvl="4" w:tplc="0C090003" w:tentative="1">
      <w:start w:val="1"/>
      <w:numFmt w:val="bullet"/>
      <w:lvlText w:val="o"/>
      <w:lvlJc w:val="left"/>
      <w:pPr>
        <w:ind w:left="4166" w:hanging="360"/>
      </w:pPr>
      <w:rPr>
        <w:rFonts w:ascii="Courier New" w:hAnsi="Courier New" w:cs="Courier New" w:hint="default"/>
      </w:rPr>
    </w:lvl>
    <w:lvl w:ilvl="5" w:tplc="0C090005" w:tentative="1">
      <w:start w:val="1"/>
      <w:numFmt w:val="bullet"/>
      <w:lvlText w:val=""/>
      <w:lvlJc w:val="left"/>
      <w:pPr>
        <w:ind w:left="4886" w:hanging="360"/>
      </w:pPr>
      <w:rPr>
        <w:rFonts w:ascii="Wingdings" w:hAnsi="Wingdings" w:hint="default"/>
      </w:rPr>
    </w:lvl>
    <w:lvl w:ilvl="6" w:tplc="0C090001" w:tentative="1">
      <w:start w:val="1"/>
      <w:numFmt w:val="bullet"/>
      <w:lvlText w:val=""/>
      <w:lvlJc w:val="left"/>
      <w:pPr>
        <w:ind w:left="5606" w:hanging="360"/>
      </w:pPr>
      <w:rPr>
        <w:rFonts w:ascii="Symbol" w:hAnsi="Symbol" w:hint="default"/>
      </w:rPr>
    </w:lvl>
    <w:lvl w:ilvl="7" w:tplc="0C090003" w:tentative="1">
      <w:start w:val="1"/>
      <w:numFmt w:val="bullet"/>
      <w:lvlText w:val="o"/>
      <w:lvlJc w:val="left"/>
      <w:pPr>
        <w:ind w:left="6326" w:hanging="360"/>
      </w:pPr>
      <w:rPr>
        <w:rFonts w:ascii="Courier New" w:hAnsi="Courier New" w:cs="Courier New" w:hint="default"/>
      </w:rPr>
    </w:lvl>
    <w:lvl w:ilvl="8" w:tplc="0C090005" w:tentative="1">
      <w:start w:val="1"/>
      <w:numFmt w:val="bullet"/>
      <w:lvlText w:val=""/>
      <w:lvlJc w:val="left"/>
      <w:pPr>
        <w:ind w:left="7046" w:hanging="360"/>
      </w:pPr>
      <w:rPr>
        <w:rFonts w:ascii="Wingdings" w:hAnsi="Wingdings" w:hint="default"/>
      </w:rPr>
    </w:lvl>
  </w:abstractNum>
  <w:abstractNum w:abstractNumId="30" w15:restartNumberingAfterBreak="0">
    <w:nsid w:val="36B61800"/>
    <w:multiLevelType w:val="multilevel"/>
    <w:tmpl w:val="CEB6A3C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9D01EDC"/>
    <w:multiLevelType w:val="hybridMultilevel"/>
    <w:tmpl w:val="77544B06"/>
    <w:lvl w:ilvl="0" w:tplc="D938EC9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3" w15:restartNumberingAfterBreak="0">
    <w:nsid w:val="3A1C711D"/>
    <w:multiLevelType w:val="hybridMultilevel"/>
    <w:tmpl w:val="AA18CD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3A992D04"/>
    <w:multiLevelType w:val="hybridMultilevel"/>
    <w:tmpl w:val="A970A7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BF3193E"/>
    <w:multiLevelType w:val="hybridMultilevel"/>
    <w:tmpl w:val="BC7A1B38"/>
    <w:lvl w:ilvl="0" w:tplc="E014100A">
      <w:start w:val="3"/>
      <w:numFmt w:val="bullet"/>
      <w:lvlText w:val="-"/>
      <w:lvlJc w:val="left"/>
      <w:pPr>
        <w:ind w:left="405" w:hanging="360"/>
      </w:pPr>
      <w:rPr>
        <w:rFonts w:ascii="Calibri" w:eastAsia="Times New Roman" w:hAnsi="Calibri" w:cs="Calibr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36" w15:restartNumberingAfterBreak="0">
    <w:nsid w:val="3DCA1FB2"/>
    <w:multiLevelType w:val="hybridMultilevel"/>
    <w:tmpl w:val="4CDACD5E"/>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7" w15:restartNumberingAfterBreak="0">
    <w:nsid w:val="405A6D8C"/>
    <w:multiLevelType w:val="hybridMultilevel"/>
    <w:tmpl w:val="DC5087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3D51299"/>
    <w:multiLevelType w:val="hybridMultilevel"/>
    <w:tmpl w:val="CF58F2E2"/>
    <w:lvl w:ilvl="0" w:tplc="FAECCEB0">
      <w:start w:val="1"/>
      <w:numFmt w:val="low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9" w15:restartNumberingAfterBreak="0">
    <w:nsid w:val="45047959"/>
    <w:multiLevelType w:val="hybridMultilevel"/>
    <w:tmpl w:val="3ABA7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58413FC"/>
    <w:multiLevelType w:val="hybridMultilevel"/>
    <w:tmpl w:val="9ADA3616"/>
    <w:lvl w:ilvl="0" w:tplc="1938D4DC">
      <w:start w:val="1"/>
      <w:numFmt w:val="bullet"/>
      <w:pStyle w:val="3Dotpoint"/>
      <w:lvlText w:val=""/>
      <w:lvlJc w:val="left"/>
      <w:pPr>
        <w:ind w:left="360" w:hanging="360"/>
      </w:pPr>
      <w:rPr>
        <w:rFonts w:ascii="Symbol" w:hAnsi="Symbol" w:hint="default"/>
        <w:color w:val="auto"/>
      </w:rPr>
    </w:lvl>
    <w:lvl w:ilvl="1" w:tplc="96C0B7A2">
      <w:start w:val="1"/>
      <w:numFmt w:val="bullet"/>
      <w:pStyle w:val="4Sub-dotpoint"/>
      <w:lvlText w:val="o"/>
      <w:lvlJc w:val="left"/>
      <w:pPr>
        <w:ind w:left="1080" w:hanging="360"/>
      </w:pPr>
      <w:rPr>
        <w:rFonts w:ascii="Courier New" w:hAnsi="Courier New" w:cs="Courier New" w:hint="default"/>
        <w:color w:val="auto"/>
      </w:rPr>
    </w:lvl>
    <w:lvl w:ilvl="2" w:tplc="386C0968">
      <w:start w:val="1"/>
      <w:numFmt w:val="bullet"/>
      <w:lvlText w:val=""/>
      <w:lvlJc w:val="left"/>
      <w:pPr>
        <w:ind w:left="1800" w:hanging="360"/>
      </w:pPr>
      <w:rPr>
        <w:rFonts w:ascii="Wingdings" w:hAnsi="Wingdings" w:hint="default"/>
      </w:rPr>
    </w:lvl>
    <w:lvl w:ilvl="3" w:tplc="3FEED9A8" w:tentative="1">
      <w:start w:val="1"/>
      <w:numFmt w:val="bullet"/>
      <w:lvlText w:val=""/>
      <w:lvlJc w:val="left"/>
      <w:pPr>
        <w:ind w:left="2520" w:hanging="360"/>
      </w:pPr>
      <w:rPr>
        <w:rFonts w:ascii="Symbol" w:hAnsi="Symbol" w:hint="default"/>
      </w:rPr>
    </w:lvl>
    <w:lvl w:ilvl="4" w:tplc="AECEB0D8" w:tentative="1">
      <w:start w:val="1"/>
      <w:numFmt w:val="bullet"/>
      <w:lvlText w:val="o"/>
      <w:lvlJc w:val="left"/>
      <w:pPr>
        <w:ind w:left="3240" w:hanging="360"/>
      </w:pPr>
      <w:rPr>
        <w:rFonts w:ascii="Courier New" w:hAnsi="Courier New" w:cs="Courier New" w:hint="default"/>
      </w:rPr>
    </w:lvl>
    <w:lvl w:ilvl="5" w:tplc="FD8EB40A" w:tentative="1">
      <w:start w:val="1"/>
      <w:numFmt w:val="bullet"/>
      <w:lvlText w:val=""/>
      <w:lvlJc w:val="left"/>
      <w:pPr>
        <w:ind w:left="3960" w:hanging="360"/>
      </w:pPr>
      <w:rPr>
        <w:rFonts w:ascii="Wingdings" w:hAnsi="Wingdings" w:hint="default"/>
      </w:rPr>
    </w:lvl>
    <w:lvl w:ilvl="6" w:tplc="5210B3E0" w:tentative="1">
      <w:start w:val="1"/>
      <w:numFmt w:val="bullet"/>
      <w:lvlText w:val=""/>
      <w:lvlJc w:val="left"/>
      <w:pPr>
        <w:ind w:left="4680" w:hanging="360"/>
      </w:pPr>
      <w:rPr>
        <w:rFonts w:ascii="Symbol" w:hAnsi="Symbol" w:hint="default"/>
      </w:rPr>
    </w:lvl>
    <w:lvl w:ilvl="7" w:tplc="4F920D62" w:tentative="1">
      <w:start w:val="1"/>
      <w:numFmt w:val="bullet"/>
      <w:lvlText w:val="o"/>
      <w:lvlJc w:val="left"/>
      <w:pPr>
        <w:ind w:left="5400" w:hanging="360"/>
      </w:pPr>
      <w:rPr>
        <w:rFonts w:ascii="Courier New" w:hAnsi="Courier New" w:cs="Courier New" w:hint="default"/>
      </w:rPr>
    </w:lvl>
    <w:lvl w:ilvl="8" w:tplc="D8828CBA" w:tentative="1">
      <w:start w:val="1"/>
      <w:numFmt w:val="bullet"/>
      <w:lvlText w:val=""/>
      <w:lvlJc w:val="left"/>
      <w:pPr>
        <w:ind w:left="6120" w:hanging="360"/>
      </w:pPr>
      <w:rPr>
        <w:rFonts w:ascii="Wingdings" w:hAnsi="Wingdings" w:hint="default"/>
      </w:rPr>
    </w:lvl>
  </w:abstractNum>
  <w:abstractNum w:abstractNumId="41" w15:restartNumberingAfterBreak="0">
    <w:nsid w:val="4A0318FA"/>
    <w:multiLevelType w:val="hybridMultilevel"/>
    <w:tmpl w:val="C6B46CFE"/>
    <w:lvl w:ilvl="0" w:tplc="FFFFFFFF">
      <w:start w:val="1"/>
      <w:numFmt w:val="bullet"/>
      <w:lvlText w:val="-"/>
      <w:lvlJc w:val="left"/>
      <w:pPr>
        <w:ind w:left="720" w:hanging="360"/>
      </w:pPr>
      <w:rPr>
        <w:rFonts w:ascii="Arial" w:hAnsi="Aria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4A4156BA"/>
    <w:multiLevelType w:val="hybridMultilevel"/>
    <w:tmpl w:val="C7FA69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4ADE7DE7"/>
    <w:multiLevelType w:val="hybridMultilevel"/>
    <w:tmpl w:val="9FB204A0"/>
    <w:lvl w:ilvl="0" w:tplc="DA36EC88">
      <w:start w:val="1"/>
      <w:numFmt w:val="decimal"/>
      <w:lvlText w:val="(%1)"/>
      <w:lvlJc w:val="lef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4" w15:restartNumberingAfterBreak="0">
    <w:nsid w:val="4B2D381D"/>
    <w:multiLevelType w:val="hybridMultilevel"/>
    <w:tmpl w:val="CEB0B95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5" w15:restartNumberingAfterBreak="0">
    <w:nsid w:val="4C62122E"/>
    <w:multiLevelType w:val="hybridMultilevel"/>
    <w:tmpl w:val="EBF6EDB2"/>
    <w:lvl w:ilvl="0" w:tplc="74CE8710">
      <w:start w:val="1"/>
      <w:numFmt w:val="lowerRoman"/>
      <w:lvlText w:val="(%1)"/>
      <w:lvlJc w:val="left"/>
      <w:pPr>
        <w:ind w:left="2880" w:hanging="720"/>
      </w:pPr>
      <w:rPr>
        <w:rFonts w:hint="default"/>
      </w:rPr>
    </w:lvl>
    <w:lvl w:ilvl="1" w:tplc="08090019">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6" w15:restartNumberingAfterBreak="0">
    <w:nsid w:val="4F3A1758"/>
    <w:multiLevelType w:val="hybridMultilevel"/>
    <w:tmpl w:val="72408C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0E41325"/>
    <w:multiLevelType w:val="multilevel"/>
    <w:tmpl w:val="5C1E4638"/>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55B12E7F"/>
    <w:multiLevelType w:val="hybridMultilevel"/>
    <w:tmpl w:val="ECDEA5E6"/>
    <w:lvl w:ilvl="0" w:tplc="0C090003">
      <w:start w:val="1"/>
      <w:numFmt w:val="bullet"/>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9" w15:restartNumberingAfterBreak="0">
    <w:nsid w:val="56D33697"/>
    <w:multiLevelType w:val="hybridMultilevel"/>
    <w:tmpl w:val="72E8CB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57592C1E"/>
    <w:multiLevelType w:val="hybridMultilevel"/>
    <w:tmpl w:val="6AEA15A6"/>
    <w:lvl w:ilvl="0" w:tplc="DC3A2D8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5ADA388A"/>
    <w:multiLevelType w:val="hybridMultilevel"/>
    <w:tmpl w:val="6B16B0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2" w15:restartNumberingAfterBreak="0">
    <w:nsid w:val="5B371FF6"/>
    <w:multiLevelType w:val="multilevel"/>
    <w:tmpl w:val="7FC07E04"/>
    <w:name w:val="EDU - Alpha List"/>
    <w:lvl w:ilvl="0">
      <w:start w:val="1"/>
      <w:numFmt w:val="lowerLetter"/>
      <w:pStyle w:val="List"/>
      <w:lvlText w:val="%1."/>
      <w:lvlJc w:val="left"/>
      <w:pPr>
        <w:tabs>
          <w:tab w:val="num" w:pos="397"/>
        </w:tabs>
        <w:ind w:left="397" w:hanging="397"/>
      </w:p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5C9A44E9"/>
    <w:multiLevelType w:val="hybridMultilevel"/>
    <w:tmpl w:val="F48EB4CC"/>
    <w:lvl w:ilvl="0" w:tplc="361EA74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4" w15:restartNumberingAfterBreak="0">
    <w:nsid w:val="660C387F"/>
    <w:multiLevelType w:val="hybridMultilevel"/>
    <w:tmpl w:val="30463BD6"/>
    <w:lvl w:ilvl="0" w:tplc="FFFFFFFF">
      <w:start w:val="1"/>
      <w:numFmt w:val="bullet"/>
      <w:lvlText w:val="-"/>
      <w:lvlJc w:val="left"/>
      <w:pPr>
        <w:ind w:left="720" w:hanging="360"/>
      </w:pPr>
      <w:rPr>
        <w:rFonts w:ascii="Arial" w:hAnsi="Aria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5" w15:restartNumberingAfterBreak="0">
    <w:nsid w:val="69146606"/>
    <w:multiLevelType w:val="hybridMultilevel"/>
    <w:tmpl w:val="5EDC7C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6D01083A"/>
    <w:multiLevelType w:val="hybridMultilevel"/>
    <w:tmpl w:val="E92A93BA"/>
    <w:lvl w:ilvl="0" w:tplc="B5B6A66E">
      <w:start w:val="1"/>
      <w:numFmt w:val="decimal"/>
      <w:pStyle w:val="SCHRnumbers"/>
      <w:lvlText w:val="%1."/>
      <w:lvlJc w:val="left"/>
      <w:pPr>
        <w:ind w:left="72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72805E0C"/>
    <w:multiLevelType w:val="hybridMultilevel"/>
    <w:tmpl w:val="894A60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3822182"/>
    <w:multiLevelType w:val="hybridMultilevel"/>
    <w:tmpl w:val="7486DA18"/>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9" w15:restartNumberingAfterBreak="0">
    <w:nsid w:val="738A4D83"/>
    <w:multiLevelType w:val="hybridMultilevel"/>
    <w:tmpl w:val="898E8A60"/>
    <w:styleLink w:val="DefaultBullets1"/>
    <w:lvl w:ilvl="0" w:tplc="72268A8C">
      <w:start w:val="1"/>
      <w:numFmt w:val="lowerLetter"/>
      <w:lvlText w:val="(%1)"/>
      <w:lvlJc w:val="left"/>
      <w:pPr>
        <w:ind w:left="2344" w:hanging="360"/>
      </w:pPr>
      <w:rPr>
        <w:rFonts w:hint="default"/>
      </w:rPr>
    </w:lvl>
    <w:lvl w:ilvl="1" w:tplc="0C090019" w:tentative="1">
      <w:start w:val="1"/>
      <w:numFmt w:val="lowerLetter"/>
      <w:lvlText w:val="%2."/>
      <w:lvlJc w:val="left"/>
      <w:pPr>
        <w:ind w:left="3064" w:hanging="360"/>
      </w:pPr>
    </w:lvl>
    <w:lvl w:ilvl="2" w:tplc="0C09001B" w:tentative="1">
      <w:start w:val="1"/>
      <w:numFmt w:val="lowerRoman"/>
      <w:lvlText w:val="%3."/>
      <w:lvlJc w:val="right"/>
      <w:pPr>
        <w:ind w:left="3784" w:hanging="180"/>
      </w:pPr>
    </w:lvl>
    <w:lvl w:ilvl="3" w:tplc="0C09000F" w:tentative="1">
      <w:start w:val="1"/>
      <w:numFmt w:val="decimal"/>
      <w:lvlText w:val="%4."/>
      <w:lvlJc w:val="left"/>
      <w:pPr>
        <w:ind w:left="4504" w:hanging="360"/>
      </w:pPr>
    </w:lvl>
    <w:lvl w:ilvl="4" w:tplc="0C090019" w:tentative="1">
      <w:start w:val="1"/>
      <w:numFmt w:val="lowerLetter"/>
      <w:lvlText w:val="%5."/>
      <w:lvlJc w:val="left"/>
      <w:pPr>
        <w:ind w:left="5224" w:hanging="360"/>
      </w:pPr>
    </w:lvl>
    <w:lvl w:ilvl="5" w:tplc="0C09001B" w:tentative="1">
      <w:start w:val="1"/>
      <w:numFmt w:val="lowerRoman"/>
      <w:lvlText w:val="%6."/>
      <w:lvlJc w:val="right"/>
      <w:pPr>
        <w:ind w:left="5944" w:hanging="180"/>
      </w:pPr>
    </w:lvl>
    <w:lvl w:ilvl="6" w:tplc="0C09000F" w:tentative="1">
      <w:start w:val="1"/>
      <w:numFmt w:val="decimal"/>
      <w:lvlText w:val="%7."/>
      <w:lvlJc w:val="left"/>
      <w:pPr>
        <w:ind w:left="6664" w:hanging="360"/>
      </w:pPr>
    </w:lvl>
    <w:lvl w:ilvl="7" w:tplc="0C090019" w:tentative="1">
      <w:start w:val="1"/>
      <w:numFmt w:val="lowerLetter"/>
      <w:lvlText w:val="%8."/>
      <w:lvlJc w:val="left"/>
      <w:pPr>
        <w:ind w:left="7384" w:hanging="360"/>
      </w:pPr>
    </w:lvl>
    <w:lvl w:ilvl="8" w:tplc="0C09001B" w:tentative="1">
      <w:start w:val="1"/>
      <w:numFmt w:val="lowerRoman"/>
      <w:lvlText w:val="%9."/>
      <w:lvlJc w:val="right"/>
      <w:pPr>
        <w:ind w:left="8104" w:hanging="180"/>
      </w:pPr>
    </w:lvl>
  </w:abstractNum>
  <w:abstractNum w:abstractNumId="6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1" w15:restartNumberingAfterBreak="0">
    <w:nsid w:val="78FA52A9"/>
    <w:multiLevelType w:val="hybridMultilevel"/>
    <w:tmpl w:val="A664EEF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62" w15:restartNumberingAfterBreak="0">
    <w:nsid w:val="7CFC1196"/>
    <w:multiLevelType w:val="hybridMultilevel"/>
    <w:tmpl w:val="4AD08D6E"/>
    <w:lvl w:ilvl="0" w:tplc="65AAB40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3" w15:restartNumberingAfterBreak="0">
    <w:nsid w:val="7D254A20"/>
    <w:multiLevelType w:val="hybridMultilevel"/>
    <w:tmpl w:val="3F342338"/>
    <w:lvl w:ilvl="0" w:tplc="83725480">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4" w15:restartNumberingAfterBreak="0">
    <w:nsid w:val="7F104D09"/>
    <w:multiLevelType w:val="multilevel"/>
    <w:tmpl w:val="A022B408"/>
    <w:styleLink w:val="CurrentList3"/>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814" w:hanging="850"/>
      </w:pPr>
      <w:rPr>
        <w:rFonts w:hint="default"/>
      </w:rPr>
    </w:lvl>
    <w:lvl w:ilvl="3">
      <w:start w:val="1"/>
      <w:numFmt w:val="decimal"/>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9384080">
    <w:abstractNumId w:val="12"/>
  </w:num>
  <w:num w:numId="2" w16cid:durableId="548417227">
    <w:abstractNumId w:val="24"/>
  </w:num>
  <w:num w:numId="3" w16cid:durableId="1472865886">
    <w:abstractNumId w:val="7"/>
  </w:num>
  <w:num w:numId="4" w16cid:durableId="377436164">
    <w:abstractNumId w:val="1"/>
  </w:num>
  <w:num w:numId="5" w16cid:durableId="809371042">
    <w:abstractNumId w:val="60"/>
  </w:num>
  <w:num w:numId="6" w16cid:durableId="543564918">
    <w:abstractNumId w:val="52"/>
  </w:num>
  <w:num w:numId="7" w16cid:durableId="8790474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18550135">
    <w:abstractNumId w:val="40"/>
  </w:num>
  <w:num w:numId="9" w16cid:durableId="1160468006">
    <w:abstractNumId w:val="59"/>
  </w:num>
  <w:num w:numId="10" w16cid:durableId="961955905">
    <w:abstractNumId w:val="56"/>
  </w:num>
  <w:num w:numId="11" w16cid:durableId="1380857463">
    <w:abstractNumId w:val="26"/>
  </w:num>
  <w:num w:numId="12" w16cid:durableId="2020429750">
    <w:abstractNumId w:val="37"/>
  </w:num>
  <w:num w:numId="13" w16cid:durableId="443505687">
    <w:abstractNumId w:val="13"/>
  </w:num>
  <w:num w:numId="14" w16cid:durableId="1150441538">
    <w:abstractNumId w:val="30"/>
  </w:num>
  <w:num w:numId="15" w16cid:durableId="1466853603">
    <w:abstractNumId w:val="3"/>
  </w:num>
  <w:num w:numId="16" w16cid:durableId="556165187">
    <w:abstractNumId w:val="20"/>
  </w:num>
  <w:num w:numId="17" w16cid:durableId="373191782">
    <w:abstractNumId w:val="34"/>
  </w:num>
  <w:num w:numId="18" w16cid:durableId="53747372">
    <w:abstractNumId w:val="55"/>
  </w:num>
  <w:num w:numId="19" w16cid:durableId="1237863605">
    <w:abstractNumId w:val="9"/>
  </w:num>
  <w:num w:numId="20" w16cid:durableId="887762376">
    <w:abstractNumId w:val="25"/>
  </w:num>
  <w:num w:numId="21" w16cid:durableId="148373531">
    <w:abstractNumId w:val="63"/>
  </w:num>
  <w:num w:numId="22" w16cid:durableId="1125123408">
    <w:abstractNumId w:val="38"/>
  </w:num>
  <w:num w:numId="23" w16cid:durableId="1917741330">
    <w:abstractNumId w:val="21"/>
  </w:num>
  <w:num w:numId="24" w16cid:durableId="1406106176">
    <w:abstractNumId w:val="2"/>
  </w:num>
  <w:num w:numId="25" w16cid:durableId="1033455339">
    <w:abstractNumId w:val="11"/>
  </w:num>
  <w:num w:numId="26" w16cid:durableId="967973347">
    <w:abstractNumId w:val="15"/>
  </w:num>
  <w:num w:numId="27" w16cid:durableId="562760365">
    <w:abstractNumId w:val="45"/>
  </w:num>
  <w:num w:numId="28" w16cid:durableId="1352603603">
    <w:abstractNumId w:val="62"/>
  </w:num>
  <w:num w:numId="29" w16cid:durableId="1385444228">
    <w:abstractNumId w:val="53"/>
  </w:num>
  <w:num w:numId="30" w16cid:durableId="794521880">
    <w:abstractNumId w:val="43"/>
  </w:num>
  <w:num w:numId="31" w16cid:durableId="1742219682">
    <w:abstractNumId w:val="32"/>
  </w:num>
  <w:num w:numId="32" w16cid:durableId="1049957405">
    <w:abstractNumId w:val="39"/>
  </w:num>
  <w:num w:numId="33" w16cid:durableId="1959800195">
    <w:abstractNumId w:val="29"/>
  </w:num>
  <w:num w:numId="34" w16cid:durableId="522130925">
    <w:abstractNumId w:val="48"/>
  </w:num>
  <w:num w:numId="35" w16cid:durableId="1444039331">
    <w:abstractNumId w:val="5"/>
  </w:num>
  <w:num w:numId="36" w16cid:durableId="1315985498">
    <w:abstractNumId w:val="46"/>
  </w:num>
  <w:num w:numId="37" w16cid:durableId="971324093">
    <w:abstractNumId w:val="19"/>
  </w:num>
  <w:num w:numId="38" w16cid:durableId="1062827713">
    <w:abstractNumId w:val="14"/>
  </w:num>
  <w:num w:numId="39" w16cid:durableId="1745452657">
    <w:abstractNumId w:val="8"/>
  </w:num>
  <w:num w:numId="40" w16cid:durableId="501629865">
    <w:abstractNumId w:val="61"/>
  </w:num>
  <w:num w:numId="41" w16cid:durableId="1329288653">
    <w:abstractNumId w:val="35"/>
  </w:num>
  <w:num w:numId="42" w16cid:durableId="1397974517">
    <w:abstractNumId w:val="17"/>
  </w:num>
  <w:num w:numId="43" w16cid:durableId="1535000089">
    <w:abstractNumId w:val="33"/>
  </w:num>
  <w:num w:numId="44" w16cid:durableId="677200296">
    <w:abstractNumId w:val="10"/>
  </w:num>
  <w:num w:numId="45" w16cid:durableId="2140762102">
    <w:abstractNumId w:val="51"/>
  </w:num>
  <w:num w:numId="46" w16cid:durableId="506482088">
    <w:abstractNumId w:val="41"/>
  </w:num>
  <w:num w:numId="47" w16cid:durableId="1393968620">
    <w:abstractNumId w:val="54"/>
  </w:num>
  <w:num w:numId="48" w16cid:durableId="2035299032">
    <w:abstractNumId w:val="42"/>
  </w:num>
  <w:num w:numId="49" w16cid:durableId="565531277">
    <w:abstractNumId w:val="23"/>
  </w:num>
  <w:num w:numId="50" w16cid:durableId="1945650080">
    <w:abstractNumId w:val="18"/>
  </w:num>
  <w:num w:numId="51" w16cid:durableId="840775157">
    <w:abstractNumId w:val="36"/>
  </w:num>
  <w:num w:numId="52" w16cid:durableId="197202637">
    <w:abstractNumId w:val="58"/>
  </w:num>
  <w:num w:numId="53" w16cid:durableId="740635819">
    <w:abstractNumId w:val="44"/>
  </w:num>
  <w:num w:numId="54" w16cid:durableId="530265721">
    <w:abstractNumId w:val="57"/>
  </w:num>
  <w:num w:numId="55" w16cid:durableId="1896624226">
    <w:abstractNumId w:val="49"/>
  </w:num>
  <w:num w:numId="56" w16cid:durableId="1819882755">
    <w:abstractNumId w:val="16"/>
  </w:num>
  <w:num w:numId="57" w16cid:durableId="144437497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77324654">
    <w:abstractNumId w:val="50"/>
  </w:num>
  <w:num w:numId="59" w16cid:durableId="4770422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088237132">
    <w:abstractNumId w:val="28"/>
  </w:num>
  <w:num w:numId="61" w16cid:durableId="1272126029">
    <w:abstractNumId w:val="27"/>
  </w:num>
  <w:num w:numId="62" w16cid:durableId="515114616">
    <w:abstractNumId w:val="47"/>
  </w:num>
  <w:num w:numId="63" w16cid:durableId="148369026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4274705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704791144">
    <w:abstractNumId w:val="64"/>
  </w:num>
  <w:num w:numId="66" w16cid:durableId="529336995">
    <w:abstractNumId w:val="0"/>
  </w:num>
  <w:num w:numId="67" w16cid:durableId="899366496">
    <w:abstractNumId w:val="22"/>
  </w:num>
  <w:num w:numId="68" w16cid:durableId="161181403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00350679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2087991684">
    <w:abstractNumId w:val="52"/>
  </w:num>
  <w:num w:numId="71" w16cid:durableId="1847670411">
    <w:abstractNumId w:val="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SortMethod w:val="00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B87"/>
    <w:rsid w:val="000000AA"/>
    <w:rsid w:val="000001A0"/>
    <w:rsid w:val="00000481"/>
    <w:rsid w:val="000011CC"/>
    <w:rsid w:val="00001E65"/>
    <w:rsid w:val="00001E8A"/>
    <w:rsid w:val="00002847"/>
    <w:rsid w:val="00003374"/>
    <w:rsid w:val="000039FA"/>
    <w:rsid w:val="00003A02"/>
    <w:rsid w:val="00003C5A"/>
    <w:rsid w:val="00004081"/>
    <w:rsid w:val="0000484F"/>
    <w:rsid w:val="00006C38"/>
    <w:rsid w:val="000075D7"/>
    <w:rsid w:val="00007B20"/>
    <w:rsid w:val="000107C3"/>
    <w:rsid w:val="00010850"/>
    <w:rsid w:val="00010B84"/>
    <w:rsid w:val="000115C9"/>
    <w:rsid w:val="0001184A"/>
    <w:rsid w:val="00011BA3"/>
    <w:rsid w:val="00011C96"/>
    <w:rsid w:val="00011CB2"/>
    <w:rsid w:val="00011EBF"/>
    <w:rsid w:val="00012366"/>
    <w:rsid w:val="0001253C"/>
    <w:rsid w:val="00012B44"/>
    <w:rsid w:val="00012D7D"/>
    <w:rsid w:val="00014466"/>
    <w:rsid w:val="00015129"/>
    <w:rsid w:val="0001592D"/>
    <w:rsid w:val="00015983"/>
    <w:rsid w:val="00015FA9"/>
    <w:rsid w:val="000160E2"/>
    <w:rsid w:val="0001673D"/>
    <w:rsid w:val="00016A29"/>
    <w:rsid w:val="00016B5D"/>
    <w:rsid w:val="00016CF1"/>
    <w:rsid w:val="00016FE3"/>
    <w:rsid w:val="0001702F"/>
    <w:rsid w:val="000179C9"/>
    <w:rsid w:val="0002006C"/>
    <w:rsid w:val="0002025E"/>
    <w:rsid w:val="0002056B"/>
    <w:rsid w:val="000214E1"/>
    <w:rsid w:val="00021BB3"/>
    <w:rsid w:val="00021FB9"/>
    <w:rsid w:val="00021FBE"/>
    <w:rsid w:val="00022427"/>
    <w:rsid w:val="00022DE8"/>
    <w:rsid w:val="00023BE7"/>
    <w:rsid w:val="00023CBD"/>
    <w:rsid w:val="00024042"/>
    <w:rsid w:val="00024ADA"/>
    <w:rsid w:val="00025385"/>
    <w:rsid w:val="000258DB"/>
    <w:rsid w:val="00025B35"/>
    <w:rsid w:val="00025D77"/>
    <w:rsid w:val="00026777"/>
    <w:rsid w:val="00026A8B"/>
    <w:rsid w:val="00026D1F"/>
    <w:rsid w:val="00027290"/>
    <w:rsid w:val="000277CA"/>
    <w:rsid w:val="00027965"/>
    <w:rsid w:val="000300AA"/>
    <w:rsid w:val="00030286"/>
    <w:rsid w:val="000304E7"/>
    <w:rsid w:val="000308AB"/>
    <w:rsid w:val="00031201"/>
    <w:rsid w:val="00031EB4"/>
    <w:rsid w:val="00033E1D"/>
    <w:rsid w:val="000351C3"/>
    <w:rsid w:val="00035538"/>
    <w:rsid w:val="000365C9"/>
    <w:rsid w:val="00036825"/>
    <w:rsid w:val="00036F1B"/>
    <w:rsid w:val="0003744D"/>
    <w:rsid w:val="000377E4"/>
    <w:rsid w:val="00037AC4"/>
    <w:rsid w:val="00037E58"/>
    <w:rsid w:val="000412C8"/>
    <w:rsid w:val="00041548"/>
    <w:rsid w:val="00041647"/>
    <w:rsid w:val="00041D91"/>
    <w:rsid w:val="00042416"/>
    <w:rsid w:val="000425A0"/>
    <w:rsid w:val="00042D16"/>
    <w:rsid w:val="00042D33"/>
    <w:rsid w:val="00042E02"/>
    <w:rsid w:val="000435B9"/>
    <w:rsid w:val="000439CE"/>
    <w:rsid w:val="00043EA2"/>
    <w:rsid w:val="0004468D"/>
    <w:rsid w:val="000448E5"/>
    <w:rsid w:val="0004496E"/>
    <w:rsid w:val="000459BB"/>
    <w:rsid w:val="00045A7B"/>
    <w:rsid w:val="0004689A"/>
    <w:rsid w:val="00046AD2"/>
    <w:rsid w:val="000472B9"/>
    <w:rsid w:val="000477F3"/>
    <w:rsid w:val="000478CF"/>
    <w:rsid w:val="000479BF"/>
    <w:rsid w:val="00047FD5"/>
    <w:rsid w:val="00050026"/>
    <w:rsid w:val="00050523"/>
    <w:rsid w:val="00050A3A"/>
    <w:rsid w:val="0005115E"/>
    <w:rsid w:val="0005142B"/>
    <w:rsid w:val="00051540"/>
    <w:rsid w:val="0005154B"/>
    <w:rsid w:val="000521D7"/>
    <w:rsid w:val="0005285A"/>
    <w:rsid w:val="00052B27"/>
    <w:rsid w:val="00052CCA"/>
    <w:rsid w:val="00052E18"/>
    <w:rsid w:val="000538A9"/>
    <w:rsid w:val="000545CF"/>
    <w:rsid w:val="0005489A"/>
    <w:rsid w:val="00054FF6"/>
    <w:rsid w:val="000551D1"/>
    <w:rsid w:val="000553F1"/>
    <w:rsid w:val="00055560"/>
    <w:rsid w:val="0005591D"/>
    <w:rsid w:val="00055FED"/>
    <w:rsid w:val="0005615A"/>
    <w:rsid w:val="00056553"/>
    <w:rsid w:val="0005666B"/>
    <w:rsid w:val="0006080C"/>
    <w:rsid w:val="0006081D"/>
    <w:rsid w:val="0006092E"/>
    <w:rsid w:val="00060A57"/>
    <w:rsid w:val="00061358"/>
    <w:rsid w:val="00062070"/>
    <w:rsid w:val="000625A7"/>
    <w:rsid w:val="00063104"/>
    <w:rsid w:val="000633BE"/>
    <w:rsid w:val="00063833"/>
    <w:rsid w:val="000638DF"/>
    <w:rsid w:val="00063A68"/>
    <w:rsid w:val="00063D9A"/>
    <w:rsid w:val="0006404D"/>
    <w:rsid w:val="00065125"/>
    <w:rsid w:val="00065135"/>
    <w:rsid w:val="00065AE8"/>
    <w:rsid w:val="000660F7"/>
    <w:rsid w:val="000661AF"/>
    <w:rsid w:val="00066CDE"/>
    <w:rsid w:val="000671C9"/>
    <w:rsid w:val="0006770C"/>
    <w:rsid w:val="000703C2"/>
    <w:rsid w:val="0007091B"/>
    <w:rsid w:val="00071073"/>
    <w:rsid w:val="000711DD"/>
    <w:rsid w:val="00071ADD"/>
    <w:rsid w:val="00071FF2"/>
    <w:rsid w:val="00072401"/>
    <w:rsid w:val="00072802"/>
    <w:rsid w:val="00072A3D"/>
    <w:rsid w:val="0007310B"/>
    <w:rsid w:val="0007349A"/>
    <w:rsid w:val="00073534"/>
    <w:rsid w:val="00073A65"/>
    <w:rsid w:val="00073C07"/>
    <w:rsid w:val="000742C4"/>
    <w:rsid w:val="00074A48"/>
    <w:rsid w:val="00074ED6"/>
    <w:rsid w:val="00075009"/>
    <w:rsid w:val="000752C5"/>
    <w:rsid w:val="000759B8"/>
    <w:rsid w:val="00075B91"/>
    <w:rsid w:val="00076552"/>
    <w:rsid w:val="00076801"/>
    <w:rsid w:val="00076B42"/>
    <w:rsid w:val="000779E8"/>
    <w:rsid w:val="00077A7F"/>
    <w:rsid w:val="00080FAB"/>
    <w:rsid w:val="000818CE"/>
    <w:rsid w:val="00081D24"/>
    <w:rsid w:val="00082A05"/>
    <w:rsid w:val="00082C1E"/>
    <w:rsid w:val="00082D5A"/>
    <w:rsid w:val="0008301E"/>
    <w:rsid w:val="000832AE"/>
    <w:rsid w:val="000837FB"/>
    <w:rsid w:val="00083DC9"/>
    <w:rsid w:val="00084EFC"/>
    <w:rsid w:val="00084F3A"/>
    <w:rsid w:val="00085121"/>
    <w:rsid w:val="00085431"/>
    <w:rsid w:val="000854D2"/>
    <w:rsid w:val="00085620"/>
    <w:rsid w:val="00085CF9"/>
    <w:rsid w:val="00085E33"/>
    <w:rsid w:val="0008689D"/>
    <w:rsid w:val="00086E7D"/>
    <w:rsid w:val="00086FAF"/>
    <w:rsid w:val="00090625"/>
    <w:rsid w:val="00090ADD"/>
    <w:rsid w:val="00090BFA"/>
    <w:rsid w:val="00090C18"/>
    <w:rsid w:val="00090F9C"/>
    <w:rsid w:val="0009157D"/>
    <w:rsid w:val="0009196B"/>
    <w:rsid w:val="00091B9C"/>
    <w:rsid w:val="0009219A"/>
    <w:rsid w:val="00092684"/>
    <w:rsid w:val="0009293B"/>
    <w:rsid w:val="00093992"/>
    <w:rsid w:val="00093DC1"/>
    <w:rsid w:val="00093E54"/>
    <w:rsid w:val="00093FD2"/>
    <w:rsid w:val="00094503"/>
    <w:rsid w:val="00094CED"/>
    <w:rsid w:val="00094E32"/>
    <w:rsid w:val="000951C4"/>
    <w:rsid w:val="000952F5"/>
    <w:rsid w:val="00095AA4"/>
    <w:rsid w:val="00096765"/>
    <w:rsid w:val="000967C1"/>
    <w:rsid w:val="00096C99"/>
    <w:rsid w:val="00097209"/>
    <w:rsid w:val="0009755D"/>
    <w:rsid w:val="00097B6F"/>
    <w:rsid w:val="000A0089"/>
    <w:rsid w:val="000A047C"/>
    <w:rsid w:val="000A0B58"/>
    <w:rsid w:val="000A0EB4"/>
    <w:rsid w:val="000A1CFC"/>
    <w:rsid w:val="000A2220"/>
    <w:rsid w:val="000A27EB"/>
    <w:rsid w:val="000A31C9"/>
    <w:rsid w:val="000A3581"/>
    <w:rsid w:val="000A3AE1"/>
    <w:rsid w:val="000A43EB"/>
    <w:rsid w:val="000A4457"/>
    <w:rsid w:val="000A44C5"/>
    <w:rsid w:val="000A4916"/>
    <w:rsid w:val="000A511D"/>
    <w:rsid w:val="000A5B31"/>
    <w:rsid w:val="000A6228"/>
    <w:rsid w:val="000A62AE"/>
    <w:rsid w:val="000A7CDA"/>
    <w:rsid w:val="000B08CE"/>
    <w:rsid w:val="000B0B4D"/>
    <w:rsid w:val="000B0CDF"/>
    <w:rsid w:val="000B0D3C"/>
    <w:rsid w:val="000B0D68"/>
    <w:rsid w:val="000B0EFE"/>
    <w:rsid w:val="000B1031"/>
    <w:rsid w:val="000B2135"/>
    <w:rsid w:val="000B2BD1"/>
    <w:rsid w:val="000B31FA"/>
    <w:rsid w:val="000B3D24"/>
    <w:rsid w:val="000B43B1"/>
    <w:rsid w:val="000B50FF"/>
    <w:rsid w:val="000B5D40"/>
    <w:rsid w:val="000B639B"/>
    <w:rsid w:val="000B67D8"/>
    <w:rsid w:val="000B6B91"/>
    <w:rsid w:val="000B7204"/>
    <w:rsid w:val="000B785A"/>
    <w:rsid w:val="000B7E24"/>
    <w:rsid w:val="000B7EC6"/>
    <w:rsid w:val="000C01D5"/>
    <w:rsid w:val="000C152A"/>
    <w:rsid w:val="000C17E3"/>
    <w:rsid w:val="000C1C3E"/>
    <w:rsid w:val="000C213D"/>
    <w:rsid w:val="000C2783"/>
    <w:rsid w:val="000C30A8"/>
    <w:rsid w:val="000C30FA"/>
    <w:rsid w:val="000C3883"/>
    <w:rsid w:val="000C5085"/>
    <w:rsid w:val="000C54A7"/>
    <w:rsid w:val="000C5564"/>
    <w:rsid w:val="000C5D42"/>
    <w:rsid w:val="000C62D5"/>
    <w:rsid w:val="000C6B45"/>
    <w:rsid w:val="000C6D14"/>
    <w:rsid w:val="000C6D86"/>
    <w:rsid w:val="000C7763"/>
    <w:rsid w:val="000C7F36"/>
    <w:rsid w:val="000C7FDA"/>
    <w:rsid w:val="000D003E"/>
    <w:rsid w:val="000D1A79"/>
    <w:rsid w:val="000D35EC"/>
    <w:rsid w:val="000D3B9E"/>
    <w:rsid w:val="000D3C13"/>
    <w:rsid w:val="000D4684"/>
    <w:rsid w:val="000D48D5"/>
    <w:rsid w:val="000D5150"/>
    <w:rsid w:val="000D62FF"/>
    <w:rsid w:val="000D6614"/>
    <w:rsid w:val="000D6755"/>
    <w:rsid w:val="000D700A"/>
    <w:rsid w:val="000E0121"/>
    <w:rsid w:val="000E0328"/>
    <w:rsid w:val="000E0AE0"/>
    <w:rsid w:val="000E12F3"/>
    <w:rsid w:val="000E15FB"/>
    <w:rsid w:val="000E28A2"/>
    <w:rsid w:val="000E2BD7"/>
    <w:rsid w:val="000E2D55"/>
    <w:rsid w:val="000E36C6"/>
    <w:rsid w:val="000E3F04"/>
    <w:rsid w:val="000E442E"/>
    <w:rsid w:val="000E5A3A"/>
    <w:rsid w:val="000E6519"/>
    <w:rsid w:val="000E7DD0"/>
    <w:rsid w:val="000F08CA"/>
    <w:rsid w:val="000F0A69"/>
    <w:rsid w:val="000F1267"/>
    <w:rsid w:val="000F12D3"/>
    <w:rsid w:val="000F14F9"/>
    <w:rsid w:val="000F15AA"/>
    <w:rsid w:val="000F211F"/>
    <w:rsid w:val="000F232C"/>
    <w:rsid w:val="000F25B0"/>
    <w:rsid w:val="000F2ABC"/>
    <w:rsid w:val="000F2E6E"/>
    <w:rsid w:val="000F37A9"/>
    <w:rsid w:val="000F40DF"/>
    <w:rsid w:val="000F5325"/>
    <w:rsid w:val="000F5DB9"/>
    <w:rsid w:val="000F6040"/>
    <w:rsid w:val="000F6B55"/>
    <w:rsid w:val="000F731E"/>
    <w:rsid w:val="000F73AC"/>
    <w:rsid w:val="000F7708"/>
    <w:rsid w:val="000F7D85"/>
    <w:rsid w:val="00100092"/>
    <w:rsid w:val="001006DF"/>
    <w:rsid w:val="00100E5B"/>
    <w:rsid w:val="00100FF0"/>
    <w:rsid w:val="0010150F"/>
    <w:rsid w:val="00102535"/>
    <w:rsid w:val="001028C8"/>
    <w:rsid w:val="00102D59"/>
    <w:rsid w:val="00102ED4"/>
    <w:rsid w:val="001034BF"/>
    <w:rsid w:val="00103757"/>
    <w:rsid w:val="001037F9"/>
    <w:rsid w:val="00103A36"/>
    <w:rsid w:val="00103B64"/>
    <w:rsid w:val="001040B2"/>
    <w:rsid w:val="001046F8"/>
    <w:rsid w:val="001061EA"/>
    <w:rsid w:val="001064EA"/>
    <w:rsid w:val="00106801"/>
    <w:rsid w:val="00106A85"/>
    <w:rsid w:val="00106B1E"/>
    <w:rsid w:val="00107D87"/>
    <w:rsid w:val="00107DD5"/>
    <w:rsid w:val="00107F27"/>
    <w:rsid w:val="00107FA5"/>
    <w:rsid w:val="00110656"/>
    <w:rsid w:val="00110B88"/>
    <w:rsid w:val="00110C50"/>
    <w:rsid w:val="001113A8"/>
    <w:rsid w:val="00111672"/>
    <w:rsid w:val="00111996"/>
    <w:rsid w:val="00111C3C"/>
    <w:rsid w:val="00112382"/>
    <w:rsid w:val="00112BDC"/>
    <w:rsid w:val="001137B9"/>
    <w:rsid w:val="0011475D"/>
    <w:rsid w:val="001152EE"/>
    <w:rsid w:val="00115A61"/>
    <w:rsid w:val="00115F69"/>
    <w:rsid w:val="00116093"/>
    <w:rsid w:val="0011638D"/>
    <w:rsid w:val="00116AD9"/>
    <w:rsid w:val="001170CA"/>
    <w:rsid w:val="00117AA0"/>
    <w:rsid w:val="001201B9"/>
    <w:rsid w:val="001203D2"/>
    <w:rsid w:val="001207F2"/>
    <w:rsid w:val="00120CD1"/>
    <w:rsid w:val="001223F2"/>
    <w:rsid w:val="0012343A"/>
    <w:rsid w:val="00124686"/>
    <w:rsid w:val="00124858"/>
    <w:rsid w:val="00124F0C"/>
    <w:rsid w:val="001253CF"/>
    <w:rsid w:val="001254B3"/>
    <w:rsid w:val="00125755"/>
    <w:rsid w:val="00125C3F"/>
    <w:rsid w:val="00125FB4"/>
    <w:rsid w:val="00126B98"/>
    <w:rsid w:val="00126C40"/>
    <w:rsid w:val="00126E6E"/>
    <w:rsid w:val="001270FE"/>
    <w:rsid w:val="001277CA"/>
    <w:rsid w:val="00127813"/>
    <w:rsid w:val="00130411"/>
    <w:rsid w:val="00130856"/>
    <w:rsid w:val="00130CFE"/>
    <w:rsid w:val="00130D84"/>
    <w:rsid w:val="00130E73"/>
    <w:rsid w:val="00131B53"/>
    <w:rsid w:val="00132376"/>
    <w:rsid w:val="00132450"/>
    <w:rsid w:val="00132550"/>
    <w:rsid w:val="00132BB5"/>
    <w:rsid w:val="0013305C"/>
    <w:rsid w:val="0013321E"/>
    <w:rsid w:val="001334E4"/>
    <w:rsid w:val="00133511"/>
    <w:rsid w:val="00133B10"/>
    <w:rsid w:val="00133B8D"/>
    <w:rsid w:val="00133B94"/>
    <w:rsid w:val="00133FD2"/>
    <w:rsid w:val="001341BF"/>
    <w:rsid w:val="00134991"/>
    <w:rsid w:val="00134DE3"/>
    <w:rsid w:val="001356F5"/>
    <w:rsid w:val="00135E50"/>
    <w:rsid w:val="0013611E"/>
    <w:rsid w:val="00136328"/>
    <w:rsid w:val="0013693E"/>
    <w:rsid w:val="00136997"/>
    <w:rsid w:val="00136DAB"/>
    <w:rsid w:val="00136DED"/>
    <w:rsid w:val="0013742F"/>
    <w:rsid w:val="00137503"/>
    <w:rsid w:val="00137F60"/>
    <w:rsid w:val="00140284"/>
    <w:rsid w:val="0014046E"/>
    <w:rsid w:val="00141073"/>
    <w:rsid w:val="00141359"/>
    <w:rsid w:val="0014194A"/>
    <w:rsid w:val="00141B26"/>
    <w:rsid w:val="00141C23"/>
    <w:rsid w:val="00141E9A"/>
    <w:rsid w:val="001430BB"/>
    <w:rsid w:val="001434C2"/>
    <w:rsid w:val="001442AE"/>
    <w:rsid w:val="001443F8"/>
    <w:rsid w:val="0014491F"/>
    <w:rsid w:val="00144942"/>
    <w:rsid w:val="00144B35"/>
    <w:rsid w:val="001457CD"/>
    <w:rsid w:val="00146734"/>
    <w:rsid w:val="00147A88"/>
    <w:rsid w:val="001503A0"/>
    <w:rsid w:val="00150875"/>
    <w:rsid w:val="001515BF"/>
    <w:rsid w:val="0015162F"/>
    <w:rsid w:val="00151EB9"/>
    <w:rsid w:val="001521B6"/>
    <w:rsid w:val="001528E8"/>
    <w:rsid w:val="0015328F"/>
    <w:rsid w:val="001533CE"/>
    <w:rsid w:val="00153A61"/>
    <w:rsid w:val="00153FDA"/>
    <w:rsid w:val="0015418D"/>
    <w:rsid w:val="0015446D"/>
    <w:rsid w:val="00154EE1"/>
    <w:rsid w:val="001550D1"/>
    <w:rsid w:val="0015514A"/>
    <w:rsid w:val="00156070"/>
    <w:rsid w:val="001565D5"/>
    <w:rsid w:val="0015693F"/>
    <w:rsid w:val="00156B89"/>
    <w:rsid w:val="00156E5B"/>
    <w:rsid w:val="001576C3"/>
    <w:rsid w:val="001577E5"/>
    <w:rsid w:val="0016043D"/>
    <w:rsid w:val="0016082A"/>
    <w:rsid w:val="00161613"/>
    <w:rsid w:val="001618FB"/>
    <w:rsid w:val="00161A0E"/>
    <w:rsid w:val="00161F41"/>
    <w:rsid w:val="00162095"/>
    <w:rsid w:val="0016278E"/>
    <w:rsid w:val="0016355B"/>
    <w:rsid w:val="0016448B"/>
    <w:rsid w:val="00164D57"/>
    <w:rsid w:val="001652AA"/>
    <w:rsid w:val="0016541F"/>
    <w:rsid w:val="001658D4"/>
    <w:rsid w:val="001664F5"/>
    <w:rsid w:val="0017065B"/>
    <w:rsid w:val="0017134D"/>
    <w:rsid w:val="0017146D"/>
    <w:rsid w:val="0017184F"/>
    <w:rsid w:val="0017198C"/>
    <w:rsid w:val="00171D9F"/>
    <w:rsid w:val="00172A28"/>
    <w:rsid w:val="00172E63"/>
    <w:rsid w:val="0017305C"/>
    <w:rsid w:val="0017314A"/>
    <w:rsid w:val="001739A2"/>
    <w:rsid w:val="00173F25"/>
    <w:rsid w:val="00174B78"/>
    <w:rsid w:val="00174E43"/>
    <w:rsid w:val="00174FF0"/>
    <w:rsid w:val="001751B0"/>
    <w:rsid w:val="001751F7"/>
    <w:rsid w:val="001753B0"/>
    <w:rsid w:val="00175416"/>
    <w:rsid w:val="0017585E"/>
    <w:rsid w:val="0017620C"/>
    <w:rsid w:val="0017629C"/>
    <w:rsid w:val="001775A3"/>
    <w:rsid w:val="0017789A"/>
    <w:rsid w:val="00180A28"/>
    <w:rsid w:val="00181361"/>
    <w:rsid w:val="00181370"/>
    <w:rsid w:val="001818B1"/>
    <w:rsid w:val="00181C35"/>
    <w:rsid w:val="00182216"/>
    <w:rsid w:val="0018252D"/>
    <w:rsid w:val="0018283C"/>
    <w:rsid w:val="00182FFF"/>
    <w:rsid w:val="001838FD"/>
    <w:rsid w:val="00185271"/>
    <w:rsid w:val="001854E5"/>
    <w:rsid w:val="00185C1B"/>
    <w:rsid w:val="00185EDC"/>
    <w:rsid w:val="001860FE"/>
    <w:rsid w:val="001863D3"/>
    <w:rsid w:val="00186A09"/>
    <w:rsid w:val="00186EED"/>
    <w:rsid w:val="00186FAF"/>
    <w:rsid w:val="001871A7"/>
    <w:rsid w:val="00187812"/>
    <w:rsid w:val="00187FD0"/>
    <w:rsid w:val="00190A6F"/>
    <w:rsid w:val="00190BEE"/>
    <w:rsid w:val="00191952"/>
    <w:rsid w:val="001919EB"/>
    <w:rsid w:val="00191A73"/>
    <w:rsid w:val="00191C93"/>
    <w:rsid w:val="0019246B"/>
    <w:rsid w:val="00192A2C"/>
    <w:rsid w:val="00192F9F"/>
    <w:rsid w:val="00192FCA"/>
    <w:rsid w:val="00193164"/>
    <w:rsid w:val="00193431"/>
    <w:rsid w:val="001935BD"/>
    <w:rsid w:val="00193C26"/>
    <w:rsid w:val="00193FD2"/>
    <w:rsid w:val="001942A2"/>
    <w:rsid w:val="00194473"/>
    <w:rsid w:val="00194717"/>
    <w:rsid w:val="001947AA"/>
    <w:rsid w:val="0019483E"/>
    <w:rsid w:val="00195EA3"/>
    <w:rsid w:val="00195F4C"/>
    <w:rsid w:val="00196724"/>
    <w:rsid w:val="001968DF"/>
    <w:rsid w:val="00196F31"/>
    <w:rsid w:val="00197EC2"/>
    <w:rsid w:val="001A0054"/>
    <w:rsid w:val="001A015E"/>
    <w:rsid w:val="001A03D0"/>
    <w:rsid w:val="001A2169"/>
    <w:rsid w:val="001A3A07"/>
    <w:rsid w:val="001A4082"/>
    <w:rsid w:val="001A44BF"/>
    <w:rsid w:val="001A4629"/>
    <w:rsid w:val="001A4D85"/>
    <w:rsid w:val="001A5021"/>
    <w:rsid w:val="001A5738"/>
    <w:rsid w:val="001A5B33"/>
    <w:rsid w:val="001A61D5"/>
    <w:rsid w:val="001A663F"/>
    <w:rsid w:val="001A687E"/>
    <w:rsid w:val="001A72D9"/>
    <w:rsid w:val="001A7A36"/>
    <w:rsid w:val="001B0834"/>
    <w:rsid w:val="001B0D3A"/>
    <w:rsid w:val="001B116A"/>
    <w:rsid w:val="001B12A0"/>
    <w:rsid w:val="001B16DA"/>
    <w:rsid w:val="001B1D98"/>
    <w:rsid w:val="001B1ED8"/>
    <w:rsid w:val="001B2E3C"/>
    <w:rsid w:val="001B32AE"/>
    <w:rsid w:val="001B36EC"/>
    <w:rsid w:val="001B3964"/>
    <w:rsid w:val="001B491E"/>
    <w:rsid w:val="001B4AF1"/>
    <w:rsid w:val="001B5E0A"/>
    <w:rsid w:val="001B5FF6"/>
    <w:rsid w:val="001B6DC7"/>
    <w:rsid w:val="001B7137"/>
    <w:rsid w:val="001B7586"/>
    <w:rsid w:val="001B7BAE"/>
    <w:rsid w:val="001B7D4D"/>
    <w:rsid w:val="001C025F"/>
    <w:rsid w:val="001C0BBD"/>
    <w:rsid w:val="001C1106"/>
    <w:rsid w:val="001C1523"/>
    <w:rsid w:val="001C2749"/>
    <w:rsid w:val="001C4342"/>
    <w:rsid w:val="001C467C"/>
    <w:rsid w:val="001C4E3F"/>
    <w:rsid w:val="001C56AA"/>
    <w:rsid w:val="001C57B7"/>
    <w:rsid w:val="001C5994"/>
    <w:rsid w:val="001C6026"/>
    <w:rsid w:val="001C660A"/>
    <w:rsid w:val="001C67B6"/>
    <w:rsid w:val="001C6CFF"/>
    <w:rsid w:val="001D008E"/>
    <w:rsid w:val="001D099A"/>
    <w:rsid w:val="001D0AE5"/>
    <w:rsid w:val="001D0B2D"/>
    <w:rsid w:val="001D15CA"/>
    <w:rsid w:val="001D173A"/>
    <w:rsid w:val="001D2E92"/>
    <w:rsid w:val="001D324D"/>
    <w:rsid w:val="001D43A7"/>
    <w:rsid w:val="001D44CB"/>
    <w:rsid w:val="001D4C79"/>
    <w:rsid w:val="001D52DD"/>
    <w:rsid w:val="001D558E"/>
    <w:rsid w:val="001D6057"/>
    <w:rsid w:val="001D6554"/>
    <w:rsid w:val="001D73AF"/>
    <w:rsid w:val="001D7FE9"/>
    <w:rsid w:val="001E117E"/>
    <w:rsid w:val="001E1DB9"/>
    <w:rsid w:val="001E1F67"/>
    <w:rsid w:val="001E2363"/>
    <w:rsid w:val="001E23BA"/>
    <w:rsid w:val="001E25F9"/>
    <w:rsid w:val="001E2694"/>
    <w:rsid w:val="001E2802"/>
    <w:rsid w:val="001E337E"/>
    <w:rsid w:val="001E352F"/>
    <w:rsid w:val="001E3AAF"/>
    <w:rsid w:val="001E4252"/>
    <w:rsid w:val="001E43F7"/>
    <w:rsid w:val="001E447E"/>
    <w:rsid w:val="001E5018"/>
    <w:rsid w:val="001E679C"/>
    <w:rsid w:val="001E69F7"/>
    <w:rsid w:val="001E6C5D"/>
    <w:rsid w:val="001E6CE2"/>
    <w:rsid w:val="001E7324"/>
    <w:rsid w:val="001E735D"/>
    <w:rsid w:val="001F123E"/>
    <w:rsid w:val="001F1278"/>
    <w:rsid w:val="001F14AF"/>
    <w:rsid w:val="001F24A8"/>
    <w:rsid w:val="001F2AE8"/>
    <w:rsid w:val="001F2B2A"/>
    <w:rsid w:val="001F2E31"/>
    <w:rsid w:val="001F2EF4"/>
    <w:rsid w:val="001F2FE1"/>
    <w:rsid w:val="001F31CE"/>
    <w:rsid w:val="001F36B1"/>
    <w:rsid w:val="001F398B"/>
    <w:rsid w:val="001F4635"/>
    <w:rsid w:val="001F4D68"/>
    <w:rsid w:val="001F4DA2"/>
    <w:rsid w:val="001F57A9"/>
    <w:rsid w:val="001F6349"/>
    <w:rsid w:val="001F6A82"/>
    <w:rsid w:val="001F6F96"/>
    <w:rsid w:val="001F701D"/>
    <w:rsid w:val="001F721C"/>
    <w:rsid w:val="001F7378"/>
    <w:rsid w:val="001F76B8"/>
    <w:rsid w:val="001F7E1F"/>
    <w:rsid w:val="002002FB"/>
    <w:rsid w:val="00200A9C"/>
    <w:rsid w:val="00200AA6"/>
    <w:rsid w:val="00200CF3"/>
    <w:rsid w:val="0020164D"/>
    <w:rsid w:val="00201850"/>
    <w:rsid w:val="0020266E"/>
    <w:rsid w:val="00202726"/>
    <w:rsid w:val="002030CB"/>
    <w:rsid w:val="002038BA"/>
    <w:rsid w:val="00203C44"/>
    <w:rsid w:val="002050CC"/>
    <w:rsid w:val="00205275"/>
    <w:rsid w:val="00205A5C"/>
    <w:rsid w:val="00205B4A"/>
    <w:rsid w:val="00205E00"/>
    <w:rsid w:val="00205E81"/>
    <w:rsid w:val="00206551"/>
    <w:rsid w:val="00207416"/>
    <w:rsid w:val="002077F5"/>
    <w:rsid w:val="00207868"/>
    <w:rsid w:val="002079AB"/>
    <w:rsid w:val="002079ED"/>
    <w:rsid w:val="00207A03"/>
    <w:rsid w:val="00207D26"/>
    <w:rsid w:val="00210127"/>
    <w:rsid w:val="0021037D"/>
    <w:rsid w:val="0021095A"/>
    <w:rsid w:val="00211506"/>
    <w:rsid w:val="0021216A"/>
    <w:rsid w:val="002125CB"/>
    <w:rsid w:val="00212741"/>
    <w:rsid w:val="00212ACB"/>
    <w:rsid w:val="00212B05"/>
    <w:rsid w:val="00212D19"/>
    <w:rsid w:val="002132C4"/>
    <w:rsid w:val="002133CA"/>
    <w:rsid w:val="00213420"/>
    <w:rsid w:val="00213E59"/>
    <w:rsid w:val="00214172"/>
    <w:rsid w:val="00214399"/>
    <w:rsid w:val="00214593"/>
    <w:rsid w:val="00214A70"/>
    <w:rsid w:val="00214E86"/>
    <w:rsid w:val="00214F58"/>
    <w:rsid w:val="00215769"/>
    <w:rsid w:val="002158A5"/>
    <w:rsid w:val="00215EC4"/>
    <w:rsid w:val="00216434"/>
    <w:rsid w:val="00217091"/>
    <w:rsid w:val="00217237"/>
    <w:rsid w:val="00217B33"/>
    <w:rsid w:val="00220262"/>
    <w:rsid w:val="0022026F"/>
    <w:rsid w:val="00220598"/>
    <w:rsid w:val="002206E6"/>
    <w:rsid w:val="002208DE"/>
    <w:rsid w:val="002214CB"/>
    <w:rsid w:val="00221782"/>
    <w:rsid w:val="00221D8F"/>
    <w:rsid w:val="002220B4"/>
    <w:rsid w:val="002223C2"/>
    <w:rsid w:val="00222D2C"/>
    <w:rsid w:val="002234AF"/>
    <w:rsid w:val="00223DB1"/>
    <w:rsid w:val="00225AD3"/>
    <w:rsid w:val="00225EDE"/>
    <w:rsid w:val="00225F67"/>
    <w:rsid w:val="002266F2"/>
    <w:rsid w:val="00226702"/>
    <w:rsid w:val="00226A9F"/>
    <w:rsid w:val="00226FC0"/>
    <w:rsid w:val="002272DB"/>
    <w:rsid w:val="0023034F"/>
    <w:rsid w:val="0023064B"/>
    <w:rsid w:val="00230A8E"/>
    <w:rsid w:val="00230BE8"/>
    <w:rsid w:val="00231123"/>
    <w:rsid w:val="00233156"/>
    <w:rsid w:val="00233374"/>
    <w:rsid w:val="002333E2"/>
    <w:rsid w:val="0023366A"/>
    <w:rsid w:val="00234060"/>
    <w:rsid w:val="0023475D"/>
    <w:rsid w:val="00234B7C"/>
    <w:rsid w:val="00234F58"/>
    <w:rsid w:val="002350D1"/>
    <w:rsid w:val="002354BA"/>
    <w:rsid w:val="0023615D"/>
    <w:rsid w:val="00236247"/>
    <w:rsid w:val="00236E82"/>
    <w:rsid w:val="0023712E"/>
    <w:rsid w:val="00237F33"/>
    <w:rsid w:val="002407F8"/>
    <w:rsid w:val="00240949"/>
    <w:rsid w:val="00240AFA"/>
    <w:rsid w:val="0024106D"/>
    <w:rsid w:val="0024147C"/>
    <w:rsid w:val="00241640"/>
    <w:rsid w:val="002418D2"/>
    <w:rsid w:val="00241F6B"/>
    <w:rsid w:val="00242692"/>
    <w:rsid w:val="00242713"/>
    <w:rsid w:val="0024339C"/>
    <w:rsid w:val="002442B2"/>
    <w:rsid w:val="00244721"/>
    <w:rsid w:val="002448F3"/>
    <w:rsid w:val="0024495B"/>
    <w:rsid w:val="00244D2F"/>
    <w:rsid w:val="00244D58"/>
    <w:rsid w:val="00244F91"/>
    <w:rsid w:val="00245405"/>
    <w:rsid w:val="00245A3B"/>
    <w:rsid w:val="00245BA6"/>
    <w:rsid w:val="002463C0"/>
    <w:rsid w:val="00246ADA"/>
    <w:rsid w:val="00247B00"/>
    <w:rsid w:val="00247C3A"/>
    <w:rsid w:val="00250166"/>
    <w:rsid w:val="002505DD"/>
    <w:rsid w:val="0025064B"/>
    <w:rsid w:val="00250690"/>
    <w:rsid w:val="00250AD1"/>
    <w:rsid w:val="0025184E"/>
    <w:rsid w:val="00251BE5"/>
    <w:rsid w:val="00251C96"/>
    <w:rsid w:val="0025310C"/>
    <w:rsid w:val="00253FA7"/>
    <w:rsid w:val="002545C5"/>
    <w:rsid w:val="00254D21"/>
    <w:rsid w:val="00254FB8"/>
    <w:rsid w:val="002555BD"/>
    <w:rsid w:val="00255839"/>
    <w:rsid w:val="0025594C"/>
    <w:rsid w:val="002564A7"/>
    <w:rsid w:val="00256730"/>
    <w:rsid w:val="00256ADA"/>
    <w:rsid w:val="0025727C"/>
    <w:rsid w:val="002573A6"/>
    <w:rsid w:val="00257565"/>
    <w:rsid w:val="0026021C"/>
    <w:rsid w:val="00260E9C"/>
    <w:rsid w:val="00261885"/>
    <w:rsid w:val="002618C9"/>
    <w:rsid w:val="002619B7"/>
    <w:rsid w:val="00262414"/>
    <w:rsid w:val="00262C03"/>
    <w:rsid w:val="00262C63"/>
    <w:rsid w:val="00264213"/>
    <w:rsid w:val="00264396"/>
    <w:rsid w:val="00264CAF"/>
    <w:rsid w:val="00264F88"/>
    <w:rsid w:val="00265338"/>
    <w:rsid w:val="00265EC3"/>
    <w:rsid w:val="00265FC3"/>
    <w:rsid w:val="0026614B"/>
    <w:rsid w:val="002663AA"/>
    <w:rsid w:val="002666A8"/>
    <w:rsid w:val="0026749B"/>
    <w:rsid w:val="00267BF0"/>
    <w:rsid w:val="00270559"/>
    <w:rsid w:val="00270906"/>
    <w:rsid w:val="00270CF4"/>
    <w:rsid w:val="00271425"/>
    <w:rsid w:val="00271F28"/>
    <w:rsid w:val="002726A8"/>
    <w:rsid w:val="0027293C"/>
    <w:rsid w:val="00272B6A"/>
    <w:rsid w:val="0027416B"/>
    <w:rsid w:val="002745FF"/>
    <w:rsid w:val="00274613"/>
    <w:rsid w:val="002758ED"/>
    <w:rsid w:val="00275A59"/>
    <w:rsid w:val="00275D34"/>
    <w:rsid w:val="00276047"/>
    <w:rsid w:val="0027622C"/>
    <w:rsid w:val="00276435"/>
    <w:rsid w:val="00276697"/>
    <w:rsid w:val="0027670D"/>
    <w:rsid w:val="002773D7"/>
    <w:rsid w:val="00277CC4"/>
    <w:rsid w:val="00280903"/>
    <w:rsid w:val="00280BE0"/>
    <w:rsid w:val="002816B7"/>
    <w:rsid w:val="00281A93"/>
    <w:rsid w:val="00281EC3"/>
    <w:rsid w:val="00282334"/>
    <w:rsid w:val="00283226"/>
    <w:rsid w:val="00283352"/>
    <w:rsid w:val="002836EA"/>
    <w:rsid w:val="00284856"/>
    <w:rsid w:val="00284CB9"/>
    <w:rsid w:val="00284E67"/>
    <w:rsid w:val="00284F71"/>
    <w:rsid w:val="0028523B"/>
    <w:rsid w:val="00285295"/>
    <w:rsid w:val="00285F95"/>
    <w:rsid w:val="00287016"/>
    <w:rsid w:val="00287257"/>
    <w:rsid w:val="002877DE"/>
    <w:rsid w:val="00287B66"/>
    <w:rsid w:val="00287EDA"/>
    <w:rsid w:val="00290658"/>
    <w:rsid w:val="00290A54"/>
    <w:rsid w:val="00290D74"/>
    <w:rsid w:val="00291A72"/>
    <w:rsid w:val="00292400"/>
    <w:rsid w:val="002929B9"/>
    <w:rsid w:val="00292C03"/>
    <w:rsid w:val="00293096"/>
    <w:rsid w:val="00293311"/>
    <w:rsid w:val="002940B5"/>
    <w:rsid w:val="002947B7"/>
    <w:rsid w:val="00294B66"/>
    <w:rsid w:val="00294E35"/>
    <w:rsid w:val="0029523F"/>
    <w:rsid w:val="002956AF"/>
    <w:rsid w:val="00295D95"/>
    <w:rsid w:val="00296148"/>
    <w:rsid w:val="00296FD1"/>
    <w:rsid w:val="00297B7B"/>
    <w:rsid w:val="002A0B37"/>
    <w:rsid w:val="002A1409"/>
    <w:rsid w:val="002A2140"/>
    <w:rsid w:val="002A247C"/>
    <w:rsid w:val="002A25EB"/>
    <w:rsid w:val="002A2819"/>
    <w:rsid w:val="002A2A2C"/>
    <w:rsid w:val="002A2AF9"/>
    <w:rsid w:val="002A2B44"/>
    <w:rsid w:val="002A2C23"/>
    <w:rsid w:val="002A37D7"/>
    <w:rsid w:val="002A3C01"/>
    <w:rsid w:val="002A4458"/>
    <w:rsid w:val="002A46CF"/>
    <w:rsid w:val="002A472D"/>
    <w:rsid w:val="002A4756"/>
    <w:rsid w:val="002A505D"/>
    <w:rsid w:val="002A50C3"/>
    <w:rsid w:val="002A57F1"/>
    <w:rsid w:val="002A63B4"/>
    <w:rsid w:val="002A64C4"/>
    <w:rsid w:val="002A67D4"/>
    <w:rsid w:val="002A693A"/>
    <w:rsid w:val="002B000F"/>
    <w:rsid w:val="002B0C08"/>
    <w:rsid w:val="002B1057"/>
    <w:rsid w:val="002B1273"/>
    <w:rsid w:val="002B13AA"/>
    <w:rsid w:val="002B1A16"/>
    <w:rsid w:val="002B1AC7"/>
    <w:rsid w:val="002B1E34"/>
    <w:rsid w:val="002B20BF"/>
    <w:rsid w:val="002B2CC9"/>
    <w:rsid w:val="002B30CD"/>
    <w:rsid w:val="002B4FE0"/>
    <w:rsid w:val="002B507E"/>
    <w:rsid w:val="002B5712"/>
    <w:rsid w:val="002B6ECD"/>
    <w:rsid w:val="002B7A8E"/>
    <w:rsid w:val="002C0436"/>
    <w:rsid w:val="002C0564"/>
    <w:rsid w:val="002C16CD"/>
    <w:rsid w:val="002C19D3"/>
    <w:rsid w:val="002C1B1D"/>
    <w:rsid w:val="002C30F5"/>
    <w:rsid w:val="002C31C8"/>
    <w:rsid w:val="002C3A0F"/>
    <w:rsid w:val="002C3C5C"/>
    <w:rsid w:val="002C3C7E"/>
    <w:rsid w:val="002C3DB8"/>
    <w:rsid w:val="002C470C"/>
    <w:rsid w:val="002C57EA"/>
    <w:rsid w:val="002C5A18"/>
    <w:rsid w:val="002C5E0C"/>
    <w:rsid w:val="002C60D3"/>
    <w:rsid w:val="002C6920"/>
    <w:rsid w:val="002C701E"/>
    <w:rsid w:val="002C7060"/>
    <w:rsid w:val="002C79FF"/>
    <w:rsid w:val="002D0097"/>
    <w:rsid w:val="002D080A"/>
    <w:rsid w:val="002D0A07"/>
    <w:rsid w:val="002D0A8C"/>
    <w:rsid w:val="002D144E"/>
    <w:rsid w:val="002D1B1B"/>
    <w:rsid w:val="002D2035"/>
    <w:rsid w:val="002D2E51"/>
    <w:rsid w:val="002D3528"/>
    <w:rsid w:val="002D3C89"/>
    <w:rsid w:val="002D44CF"/>
    <w:rsid w:val="002D501A"/>
    <w:rsid w:val="002D51D2"/>
    <w:rsid w:val="002D528C"/>
    <w:rsid w:val="002D54A0"/>
    <w:rsid w:val="002D589A"/>
    <w:rsid w:val="002D5960"/>
    <w:rsid w:val="002D5FF3"/>
    <w:rsid w:val="002D6C95"/>
    <w:rsid w:val="002D77BE"/>
    <w:rsid w:val="002D7852"/>
    <w:rsid w:val="002E0461"/>
    <w:rsid w:val="002E060A"/>
    <w:rsid w:val="002E0756"/>
    <w:rsid w:val="002E08E7"/>
    <w:rsid w:val="002E0B62"/>
    <w:rsid w:val="002E17B3"/>
    <w:rsid w:val="002E1AE1"/>
    <w:rsid w:val="002E1FC5"/>
    <w:rsid w:val="002E226E"/>
    <w:rsid w:val="002E24EE"/>
    <w:rsid w:val="002E278E"/>
    <w:rsid w:val="002E365D"/>
    <w:rsid w:val="002E3DB9"/>
    <w:rsid w:val="002E4706"/>
    <w:rsid w:val="002E5723"/>
    <w:rsid w:val="002E6723"/>
    <w:rsid w:val="002E710E"/>
    <w:rsid w:val="002E74F4"/>
    <w:rsid w:val="002E7B6C"/>
    <w:rsid w:val="002E7FD6"/>
    <w:rsid w:val="002F0ED2"/>
    <w:rsid w:val="002F1172"/>
    <w:rsid w:val="002F118C"/>
    <w:rsid w:val="002F1B1F"/>
    <w:rsid w:val="002F2751"/>
    <w:rsid w:val="002F279E"/>
    <w:rsid w:val="002F29B3"/>
    <w:rsid w:val="002F2C31"/>
    <w:rsid w:val="002F3093"/>
    <w:rsid w:val="002F4096"/>
    <w:rsid w:val="002F4128"/>
    <w:rsid w:val="002F415A"/>
    <w:rsid w:val="002F4298"/>
    <w:rsid w:val="002F4794"/>
    <w:rsid w:val="002F4995"/>
    <w:rsid w:val="002F4F75"/>
    <w:rsid w:val="002F501E"/>
    <w:rsid w:val="002F54E8"/>
    <w:rsid w:val="002F5541"/>
    <w:rsid w:val="002F57EC"/>
    <w:rsid w:val="002F6D11"/>
    <w:rsid w:val="002F75DD"/>
    <w:rsid w:val="002F7879"/>
    <w:rsid w:val="002F7CA1"/>
    <w:rsid w:val="00300009"/>
    <w:rsid w:val="00300429"/>
    <w:rsid w:val="003006ED"/>
    <w:rsid w:val="00300DCF"/>
    <w:rsid w:val="00300FF1"/>
    <w:rsid w:val="003011E8"/>
    <w:rsid w:val="0030138C"/>
    <w:rsid w:val="003013E0"/>
    <w:rsid w:val="00301B9A"/>
    <w:rsid w:val="00301C36"/>
    <w:rsid w:val="00302261"/>
    <w:rsid w:val="00302D5C"/>
    <w:rsid w:val="0030374E"/>
    <w:rsid w:val="00304380"/>
    <w:rsid w:val="003044E4"/>
    <w:rsid w:val="00304778"/>
    <w:rsid w:val="003055EC"/>
    <w:rsid w:val="0030573D"/>
    <w:rsid w:val="00306074"/>
    <w:rsid w:val="003072D2"/>
    <w:rsid w:val="00307825"/>
    <w:rsid w:val="00307E5A"/>
    <w:rsid w:val="003104C2"/>
    <w:rsid w:val="00310C41"/>
    <w:rsid w:val="003115FB"/>
    <w:rsid w:val="00311A89"/>
    <w:rsid w:val="00313177"/>
    <w:rsid w:val="0031361E"/>
    <w:rsid w:val="003138B7"/>
    <w:rsid w:val="00313B99"/>
    <w:rsid w:val="00313E25"/>
    <w:rsid w:val="00313F08"/>
    <w:rsid w:val="00314555"/>
    <w:rsid w:val="0031498C"/>
    <w:rsid w:val="00314DF0"/>
    <w:rsid w:val="0031547C"/>
    <w:rsid w:val="00315AE4"/>
    <w:rsid w:val="00315E9B"/>
    <w:rsid w:val="00316DF3"/>
    <w:rsid w:val="00316FF8"/>
    <w:rsid w:val="003170D1"/>
    <w:rsid w:val="003171F8"/>
    <w:rsid w:val="003173F7"/>
    <w:rsid w:val="003204B8"/>
    <w:rsid w:val="003205A3"/>
    <w:rsid w:val="003207D6"/>
    <w:rsid w:val="0032097B"/>
    <w:rsid w:val="003216A1"/>
    <w:rsid w:val="00321B61"/>
    <w:rsid w:val="00321DE0"/>
    <w:rsid w:val="00322302"/>
    <w:rsid w:val="00322D6D"/>
    <w:rsid w:val="0032362E"/>
    <w:rsid w:val="003241A6"/>
    <w:rsid w:val="003242AB"/>
    <w:rsid w:val="00324372"/>
    <w:rsid w:val="003245F5"/>
    <w:rsid w:val="00326084"/>
    <w:rsid w:val="00326088"/>
    <w:rsid w:val="003269FC"/>
    <w:rsid w:val="00326CD0"/>
    <w:rsid w:val="003272F7"/>
    <w:rsid w:val="003275D8"/>
    <w:rsid w:val="00327971"/>
    <w:rsid w:val="003279EB"/>
    <w:rsid w:val="0033096F"/>
    <w:rsid w:val="00331F96"/>
    <w:rsid w:val="00332B27"/>
    <w:rsid w:val="00332BD7"/>
    <w:rsid w:val="00332D5C"/>
    <w:rsid w:val="00334738"/>
    <w:rsid w:val="00335425"/>
    <w:rsid w:val="003354DD"/>
    <w:rsid w:val="00335504"/>
    <w:rsid w:val="0033560B"/>
    <w:rsid w:val="00335A5E"/>
    <w:rsid w:val="00335A80"/>
    <w:rsid w:val="00335BD4"/>
    <w:rsid w:val="00335F20"/>
    <w:rsid w:val="00336085"/>
    <w:rsid w:val="00336291"/>
    <w:rsid w:val="003364B0"/>
    <w:rsid w:val="00336501"/>
    <w:rsid w:val="003365DE"/>
    <w:rsid w:val="00336C2C"/>
    <w:rsid w:val="00336E2A"/>
    <w:rsid w:val="0033708C"/>
    <w:rsid w:val="003376DF"/>
    <w:rsid w:val="00337975"/>
    <w:rsid w:val="00337EA6"/>
    <w:rsid w:val="003401AD"/>
    <w:rsid w:val="003402CD"/>
    <w:rsid w:val="00340578"/>
    <w:rsid w:val="003408CB"/>
    <w:rsid w:val="00340F22"/>
    <w:rsid w:val="00341126"/>
    <w:rsid w:val="0034165C"/>
    <w:rsid w:val="0034296A"/>
    <w:rsid w:val="00342FC4"/>
    <w:rsid w:val="00343033"/>
    <w:rsid w:val="00343073"/>
    <w:rsid w:val="00343664"/>
    <w:rsid w:val="003439C0"/>
    <w:rsid w:val="00343C7B"/>
    <w:rsid w:val="00343D27"/>
    <w:rsid w:val="00343F22"/>
    <w:rsid w:val="00344C60"/>
    <w:rsid w:val="0034554B"/>
    <w:rsid w:val="003460E2"/>
    <w:rsid w:val="0034618A"/>
    <w:rsid w:val="00346994"/>
    <w:rsid w:val="00346FEF"/>
    <w:rsid w:val="0034782E"/>
    <w:rsid w:val="00347886"/>
    <w:rsid w:val="003513D2"/>
    <w:rsid w:val="00351668"/>
    <w:rsid w:val="00351C88"/>
    <w:rsid w:val="00351D74"/>
    <w:rsid w:val="00351E88"/>
    <w:rsid w:val="00352007"/>
    <w:rsid w:val="00352027"/>
    <w:rsid w:val="0035293E"/>
    <w:rsid w:val="00353298"/>
    <w:rsid w:val="00353739"/>
    <w:rsid w:val="003537E8"/>
    <w:rsid w:val="003538B0"/>
    <w:rsid w:val="003538EA"/>
    <w:rsid w:val="00353DB3"/>
    <w:rsid w:val="00354146"/>
    <w:rsid w:val="0035449E"/>
    <w:rsid w:val="003544B6"/>
    <w:rsid w:val="003545E5"/>
    <w:rsid w:val="00354914"/>
    <w:rsid w:val="00354FD8"/>
    <w:rsid w:val="00355230"/>
    <w:rsid w:val="003556C1"/>
    <w:rsid w:val="00355D0E"/>
    <w:rsid w:val="00355D82"/>
    <w:rsid w:val="00356247"/>
    <w:rsid w:val="00356CC7"/>
    <w:rsid w:val="0035749E"/>
    <w:rsid w:val="003576BC"/>
    <w:rsid w:val="0036046F"/>
    <w:rsid w:val="00360547"/>
    <w:rsid w:val="003607D8"/>
    <w:rsid w:val="00361377"/>
    <w:rsid w:val="00361CCD"/>
    <w:rsid w:val="003621BC"/>
    <w:rsid w:val="00363381"/>
    <w:rsid w:val="00363BE7"/>
    <w:rsid w:val="00363C11"/>
    <w:rsid w:val="0036441D"/>
    <w:rsid w:val="00365624"/>
    <w:rsid w:val="00365C93"/>
    <w:rsid w:val="003662BA"/>
    <w:rsid w:val="00366A39"/>
    <w:rsid w:val="00366FA6"/>
    <w:rsid w:val="0036713D"/>
    <w:rsid w:val="00367203"/>
    <w:rsid w:val="00371045"/>
    <w:rsid w:val="003711E8"/>
    <w:rsid w:val="0037156F"/>
    <w:rsid w:val="00372FE2"/>
    <w:rsid w:val="00373281"/>
    <w:rsid w:val="00373B2B"/>
    <w:rsid w:val="00373DC1"/>
    <w:rsid w:val="00374EDB"/>
    <w:rsid w:val="00375127"/>
    <w:rsid w:val="00375499"/>
    <w:rsid w:val="0037612D"/>
    <w:rsid w:val="0037621F"/>
    <w:rsid w:val="00376BE3"/>
    <w:rsid w:val="003770D1"/>
    <w:rsid w:val="003773D2"/>
    <w:rsid w:val="00377FDC"/>
    <w:rsid w:val="00380436"/>
    <w:rsid w:val="0038093A"/>
    <w:rsid w:val="00380E5A"/>
    <w:rsid w:val="00381979"/>
    <w:rsid w:val="00381E97"/>
    <w:rsid w:val="003820A2"/>
    <w:rsid w:val="003823D9"/>
    <w:rsid w:val="0038254C"/>
    <w:rsid w:val="00382655"/>
    <w:rsid w:val="003826FA"/>
    <w:rsid w:val="003829FE"/>
    <w:rsid w:val="00382ADE"/>
    <w:rsid w:val="00382C0A"/>
    <w:rsid w:val="00382C75"/>
    <w:rsid w:val="00382E68"/>
    <w:rsid w:val="00383DCB"/>
    <w:rsid w:val="00384BC7"/>
    <w:rsid w:val="003850CD"/>
    <w:rsid w:val="00385A8D"/>
    <w:rsid w:val="0038788C"/>
    <w:rsid w:val="00387B8A"/>
    <w:rsid w:val="00390400"/>
    <w:rsid w:val="003910DE"/>
    <w:rsid w:val="00391224"/>
    <w:rsid w:val="0039130F"/>
    <w:rsid w:val="003915E8"/>
    <w:rsid w:val="00391885"/>
    <w:rsid w:val="00391943"/>
    <w:rsid w:val="00391A8E"/>
    <w:rsid w:val="00391FCF"/>
    <w:rsid w:val="00392863"/>
    <w:rsid w:val="00393697"/>
    <w:rsid w:val="00393781"/>
    <w:rsid w:val="003942D9"/>
    <w:rsid w:val="003943C7"/>
    <w:rsid w:val="0039445A"/>
    <w:rsid w:val="00394C7D"/>
    <w:rsid w:val="00395129"/>
    <w:rsid w:val="00395776"/>
    <w:rsid w:val="0039594D"/>
    <w:rsid w:val="00395ED6"/>
    <w:rsid w:val="00395F4F"/>
    <w:rsid w:val="00396106"/>
    <w:rsid w:val="003965B2"/>
    <w:rsid w:val="00396C42"/>
    <w:rsid w:val="0039703C"/>
    <w:rsid w:val="0039719C"/>
    <w:rsid w:val="00397261"/>
    <w:rsid w:val="0039727B"/>
    <w:rsid w:val="00397529"/>
    <w:rsid w:val="00397EA7"/>
    <w:rsid w:val="003A04A1"/>
    <w:rsid w:val="003A1437"/>
    <w:rsid w:val="003A15DA"/>
    <w:rsid w:val="003A19C4"/>
    <w:rsid w:val="003A1FF5"/>
    <w:rsid w:val="003A3243"/>
    <w:rsid w:val="003A3CB2"/>
    <w:rsid w:val="003A3E4A"/>
    <w:rsid w:val="003A3FA2"/>
    <w:rsid w:val="003A52B9"/>
    <w:rsid w:val="003A53A0"/>
    <w:rsid w:val="003A551E"/>
    <w:rsid w:val="003A58E4"/>
    <w:rsid w:val="003A59A8"/>
    <w:rsid w:val="003A64B4"/>
    <w:rsid w:val="003A6A91"/>
    <w:rsid w:val="003A70FF"/>
    <w:rsid w:val="003B02AF"/>
    <w:rsid w:val="003B04CF"/>
    <w:rsid w:val="003B0566"/>
    <w:rsid w:val="003B0E50"/>
    <w:rsid w:val="003B1869"/>
    <w:rsid w:val="003B1E5A"/>
    <w:rsid w:val="003B1F8F"/>
    <w:rsid w:val="003B2401"/>
    <w:rsid w:val="003B2502"/>
    <w:rsid w:val="003B2643"/>
    <w:rsid w:val="003B3FA9"/>
    <w:rsid w:val="003B435F"/>
    <w:rsid w:val="003B4673"/>
    <w:rsid w:val="003B4A9C"/>
    <w:rsid w:val="003B4E36"/>
    <w:rsid w:val="003B53F9"/>
    <w:rsid w:val="003B56CF"/>
    <w:rsid w:val="003B574E"/>
    <w:rsid w:val="003B5833"/>
    <w:rsid w:val="003B5A8C"/>
    <w:rsid w:val="003B5A9B"/>
    <w:rsid w:val="003B6099"/>
    <w:rsid w:val="003B64BE"/>
    <w:rsid w:val="003B6828"/>
    <w:rsid w:val="003B6F65"/>
    <w:rsid w:val="003B7322"/>
    <w:rsid w:val="003B783B"/>
    <w:rsid w:val="003B7CEA"/>
    <w:rsid w:val="003B7D5E"/>
    <w:rsid w:val="003B7FE9"/>
    <w:rsid w:val="003C0097"/>
    <w:rsid w:val="003C1302"/>
    <w:rsid w:val="003C2C2E"/>
    <w:rsid w:val="003C3361"/>
    <w:rsid w:val="003C3A50"/>
    <w:rsid w:val="003C47EB"/>
    <w:rsid w:val="003C4926"/>
    <w:rsid w:val="003C556C"/>
    <w:rsid w:val="003C63A3"/>
    <w:rsid w:val="003C6902"/>
    <w:rsid w:val="003C6B59"/>
    <w:rsid w:val="003C6C9F"/>
    <w:rsid w:val="003C7035"/>
    <w:rsid w:val="003C78A4"/>
    <w:rsid w:val="003C7E07"/>
    <w:rsid w:val="003D01F1"/>
    <w:rsid w:val="003D07BC"/>
    <w:rsid w:val="003D0F4E"/>
    <w:rsid w:val="003D109A"/>
    <w:rsid w:val="003D21A5"/>
    <w:rsid w:val="003D2887"/>
    <w:rsid w:val="003D2C47"/>
    <w:rsid w:val="003D2CA5"/>
    <w:rsid w:val="003D4124"/>
    <w:rsid w:val="003D4B2F"/>
    <w:rsid w:val="003D5A5A"/>
    <w:rsid w:val="003D5B03"/>
    <w:rsid w:val="003D6220"/>
    <w:rsid w:val="003D73B9"/>
    <w:rsid w:val="003D7AF4"/>
    <w:rsid w:val="003D7ECD"/>
    <w:rsid w:val="003E0985"/>
    <w:rsid w:val="003E1359"/>
    <w:rsid w:val="003E1CE7"/>
    <w:rsid w:val="003E1FF2"/>
    <w:rsid w:val="003E2100"/>
    <w:rsid w:val="003E2350"/>
    <w:rsid w:val="003E2674"/>
    <w:rsid w:val="003E30D6"/>
    <w:rsid w:val="003E33C5"/>
    <w:rsid w:val="003E351B"/>
    <w:rsid w:val="003E35AE"/>
    <w:rsid w:val="003E364A"/>
    <w:rsid w:val="003E3DB3"/>
    <w:rsid w:val="003E3FF9"/>
    <w:rsid w:val="003E4003"/>
    <w:rsid w:val="003E4168"/>
    <w:rsid w:val="003E4540"/>
    <w:rsid w:val="003E45CA"/>
    <w:rsid w:val="003E5B44"/>
    <w:rsid w:val="003E5E8F"/>
    <w:rsid w:val="003E62E3"/>
    <w:rsid w:val="003E6729"/>
    <w:rsid w:val="003E7508"/>
    <w:rsid w:val="003F002B"/>
    <w:rsid w:val="003F0229"/>
    <w:rsid w:val="003F02F0"/>
    <w:rsid w:val="003F0E6D"/>
    <w:rsid w:val="003F1BE1"/>
    <w:rsid w:val="003F2A21"/>
    <w:rsid w:val="003F2AB3"/>
    <w:rsid w:val="003F2F98"/>
    <w:rsid w:val="003F30E2"/>
    <w:rsid w:val="003F32DB"/>
    <w:rsid w:val="003F3435"/>
    <w:rsid w:val="003F3456"/>
    <w:rsid w:val="003F3823"/>
    <w:rsid w:val="003F4E80"/>
    <w:rsid w:val="003F5830"/>
    <w:rsid w:val="003F63DD"/>
    <w:rsid w:val="003F65BB"/>
    <w:rsid w:val="003F6606"/>
    <w:rsid w:val="003F66E8"/>
    <w:rsid w:val="003F6A16"/>
    <w:rsid w:val="003F6A62"/>
    <w:rsid w:val="003F6D41"/>
    <w:rsid w:val="003F7466"/>
    <w:rsid w:val="003F7A96"/>
    <w:rsid w:val="003F7EE6"/>
    <w:rsid w:val="004000B7"/>
    <w:rsid w:val="00400498"/>
    <w:rsid w:val="004005D7"/>
    <w:rsid w:val="004005EA"/>
    <w:rsid w:val="00400D02"/>
    <w:rsid w:val="00400EF1"/>
    <w:rsid w:val="0040155D"/>
    <w:rsid w:val="0040194C"/>
    <w:rsid w:val="00401C43"/>
    <w:rsid w:val="00401E7B"/>
    <w:rsid w:val="00401F25"/>
    <w:rsid w:val="0040219C"/>
    <w:rsid w:val="00402ED1"/>
    <w:rsid w:val="00403174"/>
    <w:rsid w:val="0040345F"/>
    <w:rsid w:val="004035FC"/>
    <w:rsid w:val="00403D14"/>
    <w:rsid w:val="00405796"/>
    <w:rsid w:val="00406556"/>
    <w:rsid w:val="0040717E"/>
    <w:rsid w:val="00407253"/>
    <w:rsid w:val="004078A0"/>
    <w:rsid w:val="0040797F"/>
    <w:rsid w:val="00410097"/>
    <w:rsid w:val="00410553"/>
    <w:rsid w:val="0041090E"/>
    <w:rsid w:val="00410C27"/>
    <w:rsid w:val="00411CCE"/>
    <w:rsid w:val="00412CCE"/>
    <w:rsid w:val="00412D91"/>
    <w:rsid w:val="00413D11"/>
    <w:rsid w:val="00413F10"/>
    <w:rsid w:val="00414170"/>
    <w:rsid w:val="004146FA"/>
    <w:rsid w:val="00414A37"/>
    <w:rsid w:val="00414A41"/>
    <w:rsid w:val="0041541B"/>
    <w:rsid w:val="004156DB"/>
    <w:rsid w:val="00415950"/>
    <w:rsid w:val="00415B57"/>
    <w:rsid w:val="00415C12"/>
    <w:rsid w:val="004162EF"/>
    <w:rsid w:val="00416DD5"/>
    <w:rsid w:val="0041713E"/>
    <w:rsid w:val="00417858"/>
    <w:rsid w:val="004178B5"/>
    <w:rsid w:val="004178DE"/>
    <w:rsid w:val="00417A86"/>
    <w:rsid w:val="00417B52"/>
    <w:rsid w:val="00417C51"/>
    <w:rsid w:val="00417FC1"/>
    <w:rsid w:val="00420041"/>
    <w:rsid w:val="00420955"/>
    <w:rsid w:val="00420D71"/>
    <w:rsid w:val="00420F7E"/>
    <w:rsid w:val="004215E2"/>
    <w:rsid w:val="00421B15"/>
    <w:rsid w:val="00421D3F"/>
    <w:rsid w:val="00421D77"/>
    <w:rsid w:val="00421FC9"/>
    <w:rsid w:val="00422F0B"/>
    <w:rsid w:val="00422F81"/>
    <w:rsid w:val="00422FCD"/>
    <w:rsid w:val="004232EF"/>
    <w:rsid w:val="004234E6"/>
    <w:rsid w:val="00423785"/>
    <w:rsid w:val="004237C9"/>
    <w:rsid w:val="0042418E"/>
    <w:rsid w:val="004241DA"/>
    <w:rsid w:val="00424670"/>
    <w:rsid w:val="00425081"/>
    <w:rsid w:val="004269B8"/>
    <w:rsid w:val="00426E85"/>
    <w:rsid w:val="004272C6"/>
    <w:rsid w:val="004273EE"/>
    <w:rsid w:val="00427A79"/>
    <w:rsid w:val="0043008F"/>
    <w:rsid w:val="004306EA"/>
    <w:rsid w:val="00430B8D"/>
    <w:rsid w:val="00431DB1"/>
    <w:rsid w:val="00432C4B"/>
    <w:rsid w:val="00432E3A"/>
    <w:rsid w:val="00433479"/>
    <w:rsid w:val="00433C8B"/>
    <w:rsid w:val="00433D3C"/>
    <w:rsid w:val="0043463D"/>
    <w:rsid w:val="0043480E"/>
    <w:rsid w:val="00434C72"/>
    <w:rsid w:val="004352A4"/>
    <w:rsid w:val="00435588"/>
    <w:rsid w:val="0043588C"/>
    <w:rsid w:val="00435CB4"/>
    <w:rsid w:val="00436111"/>
    <w:rsid w:val="00437AEB"/>
    <w:rsid w:val="00437E3F"/>
    <w:rsid w:val="00440484"/>
    <w:rsid w:val="004407A6"/>
    <w:rsid w:val="00441225"/>
    <w:rsid w:val="00441364"/>
    <w:rsid w:val="00441B03"/>
    <w:rsid w:val="00441C6B"/>
    <w:rsid w:val="00443431"/>
    <w:rsid w:val="00443D23"/>
    <w:rsid w:val="00443E84"/>
    <w:rsid w:val="00443EE3"/>
    <w:rsid w:val="004440DA"/>
    <w:rsid w:val="0044422E"/>
    <w:rsid w:val="0044434F"/>
    <w:rsid w:val="00444398"/>
    <w:rsid w:val="0044484B"/>
    <w:rsid w:val="0044491D"/>
    <w:rsid w:val="00444B34"/>
    <w:rsid w:val="00444B80"/>
    <w:rsid w:val="00444C06"/>
    <w:rsid w:val="0044567E"/>
    <w:rsid w:val="004459E9"/>
    <w:rsid w:val="0044646C"/>
    <w:rsid w:val="00446955"/>
    <w:rsid w:val="00446A5F"/>
    <w:rsid w:val="00446AA3"/>
    <w:rsid w:val="00446D7F"/>
    <w:rsid w:val="00447401"/>
    <w:rsid w:val="00447B38"/>
    <w:rsid w:val="00447EE3"/>
    <w:rsid w:val="00450450"/>
    <w:rsid w:val="00450AF3"/>
    <w:rsid w:val="00450E11"/>
    <w:rsid w:val="00451A07"/>
    <w:rsid w:val="00451AA2"/>
    <w:rsid w:val="004526D5"/>
    <w:rsid w:val="00452D26"/>
    <w:rsid w:val="0045335A"/>
    <w:rsid w:val="00453447"/>
    <w:rsid w:val="00453F39"/>
    <w:rsid w:val="004551F5"/>
    <w:rsid w:val="00455709"/>
    <w:rsid w:val="004557AC"/>
    <w:rsid w:val="004558D3"/>
    <w:rsid w:val="00455A67"/>
    <w:rsid w:val="00455EC4"/>
    <w:rsid w:val="00455FAB"/>
    <w:rsid w:val="004568DC"/>
    <w:rsid w:val="004572CC"/>
    <w:rsid w:val="00457BDB"/>
    <w:rsid w:val="00460300"/>
    <w:rsid w:val="0046056A"/>
    <w:rsid w:val="004608D5"/>
    <w:rsid w:val="004611D7"/>
    <w:rsid w:val="004616DF"/>
    <w:rsid w:val="00461A43"/>
    <w:rsid w:val="00461AB8"/>
    <w:rsid w:val="00461E01"/>
    <w:rsid w:val="00462098"/>
    <w:rsid w:val="004628C2"/>
    <w:rsid w:val="00462A6C"/>
    <w:rsid w:val="00463740"/>
    <w:rsid w:val="00463F7C"/>
    <w:rsid w:val="004640ED"/>
    <w:rsid w:val="00464113"/>
    <w:rsid w:val="00464CAD"/>
    <w:rsid w:val="00464D6D"/>
    <w:rsid w:val="004651E4"/>
    <w:rsid w:val="00465558"/>
    <w:rsid w:val="00465787"/>
    <w:rsid w:val="004657F2"/>
    <w:rsid w:val="00466691"/>
    <w:rsid w:val="00466772"/>
    <w:rsid w:val="00466A5A"/>
    <w:rsid w:val="00467F06"/>
    <w:rsid w:val="0047070E"/>
    <w:rsid w:val="00470ABE"/>
    <w:rsid w:val="00470D61"/>
    <w:rsid w:val="00470F7F"/>
    <w:rsid w:val="00470FD8"/>
    <w:rsid w:val="004715CF"/>
    <w:rsid w:val="004716CC"/>
    <w:rsid w:val="00471A52"/>
    <w:rsid w:val="00471D17"/>
    <w:rsid w:val="00472471"/>
    <w:rsid w:val="0047257B"/>
    <w:rsid w:val="00472A01"/>
    <w:rsid w:val="00472ED5"/>
    <w:rsid w:val="00474640"/>
    <w:rsid w:val="0047472D"/>
    <w:rsid w:val="00474C88"/>
    <w:rsid w:val="00474E36"/>
    <w:rsid w:val="00475160"/>
    <w:rsid w:val="00476103"/>
    <w:rsid w:val="004761D9"/>
    <w:rsid w:val="00476445"/>
    <w:rsid w:val="004767FC"/>
    <w:rsid w:val="00476BA9"/>
    <w:rsid w:val="00476BB1"/>
    <w:rsid w:val="00476DFD"/>
    <w:rsid w:val="0048011D"/>
    <w:rsid w:val="00481134"/>
    <w:rsid w:val="004817C7"/>
    <w:rsid w:val="00481C9C"/>
    <w:rsid w:val="004826B7"/>
    <w:rsid w:val="00483095"/>
    <w:rsid w:val="00483416"/>
    <w:rsid w:val="00483AC4"/>
    <w:rsid w:val="00484161"/>
    <w:rsid w:val="00484871"/>
    <w:rsid w:val="00485437"/>
    <w:rsid w:val="00485699"/>
    <w:rsid w:val="00487244"/>
    <w:rsid w:val="00487721"/>
    <w:rsid w:val="00487781"/>
    <w:rsid w:val="004877A0"/>
    <w:rsid w:val="00487D65"/>
    <w:rsid w:val="00490691"/>
    <w:rsid w:val="00490D26"/>
    <w:rsid w:val="00490E7A"/>
    <w:rsid w:val="004912D3"/>
    <w:rsid w:val="0049164F"/>
    <w:rsid w:val="00491773"/>
    <w:rsid w:val="00492217"/>
    <w:rsid w:val="00492533"/>
    <w:rsid w:val="00492A21"/>
    <w:rsid w:val="004935AC"/>
    <w:rsid w:val="00494208"/>
    <w:rsid w:val="004960B4"/>
    <w:rsid w:val="0049639B"/>
    <w:rsid w:val="0049715B"/>
    <w:rsid w:val="004972E1"/>
    <w:rsid w:val="00497913"/>
    <w:rsid w:val="00497A21"/>
    <w:rsid w:val="004A006B"/>
    <w:rsid w:val="004A06CD"/>
    <w:rsid w:val="004A0EB0"/>
    <w:rsid w:val="004A1003"/>
    <w:rsid w:val="004A13C2"/>
    <w:rsid w:val="004A1B7B"/>
    <w:rsid w:val="004A1E2A"/>
    <w:rsid w:val="004A24FB"/>
    <w:rsid w:val="004A296D"/>
    <w:rsid w:val="004A3AE0"/>
    <w:rsid w:val="004A3D24"/>
    <w:rsid w:val="004A49F6"/>
    <w:rsid w:val="004A4B6F"/>
    <w:rsid w:val="004A4CF9"/>
    <w:rsid w:val="004A576C"/>
    <w:rsid w:val="004A6866"/>
    <w:rsid w:val="004A6A3A"/>
    <w:rsid w:val="004A6AD8"/>
    <w:rsid w:val="004A6ED2"/>
    <w:rsid w:val="004A78E9"/>
    <w:rsid w:val="004A7C18"/>
    <w:rsid w:val="004B04EC"/>
    <w:rsid w:val="004B0687"/>
    <w:rsid w:val="004B0F14"/>
    <w:rsid w:val="004B18D4"/>
    <w:rsid w:val="004B190A"/>
    <w:rsid w:val="004B1A5D"/>
    <w:rsid w:val="004B1DE6"/>
    <w:rsid w:val="004B2077"/>
    <w:rsid w:val="004B2A0D"/>
    <w:rsid w:val="004B4030"/>
    <w:rsid w:val="004B4D95"/>
    <w:rsid w:val="004B5446"/>
    <w:rsid w:val="004B556C"/>
    <w:rsid w:val="004B61E3"/>
    <w:rsid w:val="004B625F"/>
    <w:rsid w:val="004B6EC3"/>
    <w:rsid w:val="004B6FA6"/>
    <w:rsid w:val="004B7C39"/>
    <w:rsid w:val="004C01A9"/>
    <w:rsid w:val="004C0453"/>
    <w:rsid w:val="004C0E04"/>
    <w:rsid w:val="004C125A"/>
    <w:rsid w:val="004C1411"/>
    <w:rsid w:val="004C1789"/>
    <w:rsid w:val="004C19C4"/>
    <w:rsid w:val="004C1A73"/>
    <w:rsid w:val="004C1B64"/>
    <w:rsid w:val="004C1E40"/>
    <w:rsid w:val="004C1FE0"/>
    <w:rsid w:val="004C23DC"/>
    <w:rsid w:val="004C2A17"/>
    <w:rsid w:val="004C2B21"/>
    <w:rsid w:val="004C343A"/>
    <w:rsid w:val="004C4226"/>
    <w:rsid w:val="004C4BDB"/>
    <w:rsid w:val="004C503E"/>
    <w:rsid w:val="004C59BA"/>
    <w:rsid w:val="004C65F4"/>
    <w:rsid w:val="004C73D9"/>
    <w:rsid w:val="004C77C9"/>
    <w:rsid w:val="004C7845"/>
    <w:rsid w:val="004D00A6"/>
    <w:rsid w:val="004D0253"/>
    <w:rsid w:val="004D08AD"/>
    <w:rsid w:val="004D0DE0"/>
    <w:rsid w:val="004D110C"/>
    <w:rsid w:val="004D1D04"/>
    <w:rsid w:val="004D1EDE"/>
    <w:rsid w:val="004D23DD"/>
    <w:rsid w:val="004D2965"/>
    <w:rsid w:val="004D2C9C"/>
    <w:rsid w:val="004D32E1"/>
    <w:rsid w:val="004D3B6D"/>
    <w:rsid w:val="004D3BAF"/>
    <w:rsid w:val="004D3F35"/>
    <w:rsid w:val="004D42B6"/>
    <w:rsid w:val="004D5046"/>
    <w:rsid w:val="004D52F4"/>
    <w:rsid w:val="004D575D"/>
    <w:rsid w:val="004D5893"/>
    <w:rsid w:val="004D5F48"/>
    <w:rsid w:val="004D668E"/>
    <w:rsid w:val="004D66CF"/>
    <w:rsid w:val="004D6C8B"/>
    <w:rsid w:val="004D70AF"/>
    <w:rsid w:val="004D739B"/>
    <w:rsid w:val="004D7B11"/>
    <w:rsid w:val="004E0380"/>
    <w:rsid w:val="004E07F1"/>
    <w:rsid w:val="004E0D26"/>
    <w:rsid w:val="004E0EA7"/>
    <w:rsid w:val="004E1A76"/>
    <w:rsid w:val="004E1D59"/>
    <w:rsid w:val="004E2351"/>
    <w:rsid w:val="004E2396"/>
    <w:rsid w:val="004E2895"/>
    <w:rsid w:val="004E3106"/>
    <w:rsid w:val="004E4203"/>
    <w:rsid w:val="004E4F0D"/>
    <w:rsid w:val="004E50FE"/>
    <w:rsid w:val="004E5192"/>
    <w:rsid w:val="004E5879"/>
    <w:rsid w:val="004E5CBF"/>
    <w:rsid w:val="004E6C29"/>
    <w:rsid w:val="004E70AD"/>
    <w:rsid w:val="004E754D"/>
    <w:rsid w:val="004E7B22"/>
    <w:rsid w:val="004F01C6"/>
    <w:rsid w:val="004F05BA"/>
    <w:rsid w:val="004F0951"/>
    <w:rsid w:val="004F0D82"/>
    <w:rsid w:val="004F125E"/>
    <w:rsid w:val="004F15A0"/>
    <w:rsid w:val="004F2D00"/>
    <w:rsid w:val="004F2E84"/>
    <w:rsid w:val="004F3D22"/>
    <w:rsid w:val="004F4424"/>
    <w:rsid w:val="004F475C"/>
    <w:rsid w:val="004F47CC"/>
    <w:rsid w:val="004F48A2"/>
    <w:rsid w:val="004F49B8"/>
    <w:rsid w:val="004F4D69"/>
    <w:rsid w:val="004F4F35"/>
    <w:rsid w:val="004F572C"/>
    <w:rsid w:val="004F5734"/>
    <w:rsid w:val="004F5745"/>
    <w:rsid w:val="004F6145"/>
    <w:rsid w:val="004F6292"/>
    <w:rsid w:val="004F6871"/>
    <w:rsid w:val="004F70F0"/>
    <w:rsid w:val="004F711E"/>
    <w:rsid w:val="005005D5"/>
    <w:rsid w:val="0050089B"/>
    <w:rsid w:val="00500E0F"/>
    <w:rsid w:val="00501338"/>
    <w:rsid w:val="00501941"/>
    <w:rsid w:val="00501C6F"/>
    <w:rsid w:val="00502077"/>
    <w:rsid w:val="005022F2"/>
    <w:rsid w:val="00502E15"/>
    <w:rsid w:val="00502E7D"/>
    <w:rsid w:val="005031B4"/>
    <w:rsid w:val="005031FF"/>
    <w:rsid w:val="0050328D"/>
    <w:rsid w:val="005037DF"/>
    <w:rsid w:val="00504521"/>
    <w:rsid w:val="00504AF7"/>
    <w:rsid w:val="005055E9"/>
    <w:rsid w:val="005056CF"/>
    <w:rsid w:val="00505D2A"/>
    <w:rsid w:val="0050624F"/>
    <w:rsid w:val="005066C1"/>
    <w:rsid w:val="00506C4A"/>
    <w:rsid w:val="005076AB"/>
    <w:rsid w:val="00507F9B"/>
    <w:rsid w:val="005109BD"/>
    <w:rsid w:val="00510FD2"/>
    <w:rsid w:val="005111BE"/>
    <w:rsid w:val="005115C0"/>
    <w:rsid w:val="00511F41"/>
    <w:rsid w:val="00511F94"/>
    <w:rsid w:val="00512565"/>
    <w:rsid w:val="0051312B"/>
    <w:rsid w:val="005138FF"/>
    <w:rsid w:val="00514047"/>
    <w:rsid w:val="00515850"/>
    <w:rsid w:val="00515852"/>
    <w:rsid w:val="00515FA9"/>
    <w:rsid w:val="005160D7"/>
    <w:rsid w:val="0051627B"/>
    <w:rsid w:val="005169FC"/>
    <w:rsid w:val="00516E74"/>
    <w:rsid w:val="005172F6"/>
    <w:rsid w:val="0051797E"/>
    <w:rsid w:val="005204AA"/>
    <w:rsid w:val="0052075F"/>
    <w:rsid w:val="00520936"/>
    <w:rsid w:val="00521529"/>
    <w:rsid w:val="0052169F"/>
    <w:rsid w:val="0052185F"/>
    <w:rsid w:val="005226D9"/>
    <w:rsid w:val="00522B80"/>
    <w:rsid w:val="005237A7"/>
    <w:rsid w:val="00524515"/>
    <w:rsid w:val="0052474C"/>
    <w:rsid w:val="00524C87"/>
    <w:rsid w:val="00525574"/>
    <w:rsid w:val="0052562A"/>
    <w:rsid w:val="00526467"/>
    <w:rsid w:val="00526A1E"/>
    <w:rsid w:val="00527E47"/>
    <w:rsid w:val="00527F9F"/>
    <w:rsid w:val="0053040C"/>
    <w:rsid w:val="00530476"/>
    <w:rsid w:val="00530657"/>
    <w:rsid w:val="005306CE"/>
    <w:rsid w:val="00530840"/>
    <w:rsid w:val="00530CCE"/>
    <w:rsid w:val="00530E4A"/>
    <w:rsid w:val="00530FA6"/>
    <w:rsid w:val="005318F9"/>
    <w:rsid w:val="00532413"/>
    <w:rsid w:val="00533262"/>
    <w:rsid w:val="00533433"/>
    <w:rsid w:val="00533440"/>
    <w:rsid w:val="00533CD1"/>
    <w:rsid w:val="00533CEE"/>
    <w:rsid w:val="00534ADB"/>
    <w:rsid w:val="00534E09"/>
    <w:rsid w:val="00535147"/>
    <w:rsid w:val="00535927"/>
    <w:rsid w:val="00535965"/>
    <w:rsid w:val="005359DC"/>
    <w:rsid w:val="00536113"/>
    <w:rsid w:val="00536448"/>
    <w:rsid w:val="00536A62"/>
    <w:rsid w:val="00536A9C"/>
    <w:rsid w:val="00536C4D"/>
    <w:rsid w:val="0053763E"/>
    <w:rsid w:val="005376CF"/>
    <w:rsid w:val="00537BA9"/>
    <w:rsid w:val="00537D83"/>
    <w:rsid w:val="0054020F"/>
    <w:rsid w:val="00540AA4"/>
    <w:rsid w:val="00541CA5"/>
    <w:rsid w:val="00542343"/>
    <w:rsid w:val="00543529"/>
    <w:rsid w:val="00543918"/>
    <w:rsid w:val="00543A6B"/>
    <w:rsid w:val="00543CBB"/>
    <w:rsid w:val="00543E41"/>
    <w:rsid w:val="00543FBE"/>
    <w:rsid w:val="00546718"/>
    <w:rsid w:val="0054693A"/>
    <w:rsid w:val="0054719B"/>
    <w:rsid w:val="005472BD"/>
    <w:rsid w:val="005476BD"/>
    <w:rsid w:val="005477D2"/>
    <w:rsid w:val="00550B56"/>
    <w:rsid w:val="00550DE2"/>
    <w:rsid w:val="00551ACD"/>
    <w:rsid w:val="00551B60"/>
    <w:rsid w:val="00552348"/>
    <w:rsid w:val="005527D1"/>
    <w:rsid w:val="00552FA3"/>
    <w:rsid w:val="005536BE"/>
    <w:rsid w:val="005537E3"/>
    <w:rsid w:val="00553923"/>
    <w:rsid w:val="00553D34"/>
    <w:rsid w:val="005543C7"/>
    <w:rsid w:val="0055442C"/>
    <w:rsid w:val="0055456E"/>
    <w:rsid w:val="005546AC"/>
    <w:rsid w:val="00557132"/>
    <w:rsid w:val="0055724F"/>
    <w:rsid w:val="00557837"/>
    <w:rsid w:val="00557C32"/>
    <w:rsid w:val="00557D8F"/>
    <w:rsid w:val="0056062F"/>
    <w:rsid w:val="00560A98"/>
    <w:rsid w:val="00561089"/>
    <w:rsid w:val="005615D6"/>
    <w:rsid w:val="00561AF4"/>
    <w:rsid w:val="00562550"/>
    <w:rsid w:val="0056284F"/>
    <w:rsid w:val="00562B38"/>
    <w:rsid w:val="00563581"/>
    <w:rsid w:val="00563778"/>
    <w:rsid w:val="00564A53"/>
    <w:rsid w:val="00565AC0"/>
    <w:rsid w:val="005661FD"/>
    <w:rsid w:val="00567E06"/>
    <w:rsid w:val="00567F4E"/>
    <w:rsid w:val="00567FEC"/>
    <w:rsid w:val="00570A14"/>
    <w:rsid w:val="00570D9F"/>
    <w:rsid w:val="005714C6"/>
    <w:rsid w:val="00571CC2"/>
    <w:rsid w:val="005724B2"/>
    <w:rsid w:val="005727D0"/>
    <w:rsid w:val="00573311"/>
    <w:rsid w:val="00573378"/>
    <w:rsid w:val="005733AC"/>
    <w:rsid w:val="005735BA"/>
    <w:rsid w:val="00573AE7"/>
    <w:rsid w:val="00573B8B"/>
    <w:rsid w:val="00574035"/>
    <w:rsid w:val="005741B2"/>
    <w:rsid w:val="00574FF8"/>
    <w:rsid w:val="00575196"/>
    <w:rsid w:val="00575565"/>
    <w:rsid w:val="005763F5"/>
    <w:rsid w:val="00577A69"/>
    <w:rsid w:val="00577CF5"/>
    <w:rsid w:val="00577EDD"/>
    <w:rsid w:val="0058058F"/>
    <w:rsid w:val="00580A63"/>
    <w:rsid w:val="00581286"/>
    <w:rsid w:val="00582075"/>
    <w:rsid w:val="0058379D"/>
    <w:rsid w:val="00584EB4"/>
    <w:rsid w:val="00585B56"/>
    <w:rsid w:val="00585C52"/>
    <w:rsid w:val="00586051"/>
    <w:rsid w:val="00586E1E"/>
    <w:rsid w:val="005870AF"/>
    <w:rsid w:val="0058745F"/>
    <w:rsid w:val="00587BE7"/>
    <w:rsid w:val="00587CF7"/>
    <w:rsid w:val="00587DCF"/>
    <w:rsid w:val="00590CE6"/>
    <w:rsid w:val="00591232"/>
    <w:rsid w:val="005916F4"/>
    <w:rsid w:val="00592401"/>
    <w:rsid w:val="00592CC2"/>
    <w:rsid w:val="00593185"/>
    <w:rsid w:val="005938A2"/>
    <w:rsid w:val="00594445"/>
    <w:rsid w:val="00594561"/>
    <w:rsid w:val="00594AB0"/>
    <w:rsid w:val="00594C0B"/>
    <w:rsid w:val="00595862"/>
    <w:rsid w:val="0059589D"/>
    <w:rsid w:val="00595A11"/>
    <w:rsid w:val="00595EFF"/>
    <w:rsid w:val="00596294"/>
    <w:rsid w:val="0059636A"/>
    <w:rsid w:val="00596717"/>
    <w:rsid w:val="00596892"/>
    <w:rsid w:val="00597C4C"/>
    <w:rsid w:val="005A0927"/>
    <w:rsid w:val="005A0934"/>
    <w:rsid w:val="005A0DE5"/>
    <w:rsid w:val="005A13C6"/>
    <w:rsid w:val="005A1A6D"/>
    <w:rsid w:val="005A1FD2"/>
    <w:rsid w:val="005A2F9D"/>
    <w:rsid w:val="005A3249"/>
    <w:rsid w:val="005A33D4"/>
    <w:rsid w:val="005A34C3"/>
    <w:rsid w:val="005A40C7"/>
    <w:rsid w:val="005A4463"/>
    <w:rsid w:val="005A5015"/>
    <w:rsid w:val="005A678F"/>
    <w:rsid w:val="005A6804"/>
    <w:rsid w:val="005A6876"/>
    <w:rsid w:val="005A6AC5"/>
    <w:rsid w:val="005A75C9"/>
    <w:rsid w:val="005A76F6"/>
    <w:rsid w:val="005A7DA0"/>
    <w:rsid w:val="005B00B4"/>
    <w:rsid w:val="005B0903"/>
    <w:rsid w:val="005B0BC3"/>
    <w:rsid w:val="005B1080"/>
    <w:rsid w:val="005B121C"/>
    <w:rsid w:val="005B187D"/>
    <w:rsid w:val="005B18AF"/>
    <w:rsid w:val="005B1B9F"/>
    <w:rsid w:val="005B23A4"/>
    <w:rsid w:val="005B2772"/>
    <w:rsid w:val="005B2C42"/>
    <w:rsid w:val="005B2DBB"/>
    <w:rsid w:val="005B2E68"/>
    <w:rsid w:val="005B2EDE"/>
    <w:rsid w:val="005B3579"/>
    <w:rsid w:val="005B4035"/>
    <w:rsid w:val="005B4FB2"/>
    <w:rsid w:val="005B5BCD"/>
    <w:rsid w:val="005B6BFB"/>
    <w:rsid w:val="005B6EA2"/>
    <w:rsid w:val="005B7C06"/>
    <w:rsid w:val="005B7F2E"/>
    <w:rsid w:val="005C00ED"/>
    <w:rsid w:val="005C060E"/>
    <w:rsid w:val="005C0C0B"/>
    <w:rsid w:val="005C0CF8"/>
    <w:rsid w:val="005C1637"/>
    <w:rsid w:val="005C1915"/>
    <w:rsid w:val="005C1EB6"/>
    <w:rsid w:val="005C22CB"/>
    <w:rsid w:val="005C22D5"/>
    <w:rsid w:val="005C25D2"/>
    <w:rsid w:val="005C25F4"/>
    <w:rsid w:val="005C2A57"/>
    <w:rsid w:val="005C342C"/>
    <w:rsid w:val="005C3C36"/>
    <w:rsid w:val="005C3D30"/>
    <w:rsid w:val="005C489A"/>
    <w:rsid w:val="005C48A4"/>
    <w:rsid w:val="005C50A1"/>
    <w:rsid w:val="005C517A"/>
    <w:rsid w:val="005C58E0"/>
    <w:rsid w:val="005C5B6E"/>
    <w:rsid w:val="005C5E26"/>
    <w:rsid w:val="005C628D"/>
    <w:rsid w:val="005C6BB6"/>
    <w:rsid w:val="005C6C71"/>
    <w:rsid w:val="005C6CBA"/>
    <w:rsid w:val="005C6E42"/>
    <w:rsid w:val="005C73A2"/>
    <w:rsid w:val="005C750B"/>
    <w:rsid w:val="005C7B17"/>
    <w:rsid w:val="005C7C5C"/>
    <w:rsid w:val="005C7D1E"/>
    <w:rsid w:val="005D00C6"/>
    <w:rsid w:val="005D0111"/>
    <w:rsid w:val="005D02A7"/>
    <w:rsid w:val="005D0DD4"/>
    <w:rsid w:val="005D0FF1"/>
    <w:rsid w:val="005D113F"/>
    <w:rsid w:val="005D16CA"/>
    <w:rsid w:val="005D1808"/>
    <w:rsid w:val="005D1BA7"/>
    <w:rsid w:val="005D1D96"/>
    <w:rsid w:val="005D24CE"/>
    <w:rsid w:val="005D2AF5"/>
    <w:rsid w:val="005D2F10"/>
    <w:rsid w:val="005D3FA9"/>
    <w:rsid w:val="005D418D"/>
    <w:rsid w:val="005D41A9"/>
    <w:rsid w:val="005D4493"/>
    <w:rsid w:val="005D46EB"/>
    <w:rsid w:val="005D475C"/>
    <w:rsid w:val="005D5085"/>
    <w:rsid w:val="005D5456"/>
    <w:rsid w:val="005D594D"/>
    <w:rsid w:val="005D6495"/>
    <w:rsid w:val="005D79FF"/>
    <w:rsid w:val="005E021A"/>
    <w:rsid w:val="005E03CF"/>
    <w:rsid w:val="005E07E7"/>
    <w:rsid w:val="005E0CB3"/>
    <w:rsid w:val="005E0E85"/>
    <w:rsid w:val="005E1388"/>
    <w:rsid w:val="005E1D7B"/>
    <w:rsid w:val="005E1F98"/>
    <w:rsid w:val="005E217C"/>
    <w:rsid w:val="005E3C8B"/>
    <w:rsid w:val="005E4249"/>
    <w:rsid w:val="005E4809"/>
    <w:rsid w:val="005E489F"/>
    <w:rsid w:val="005E4C41"/>
    <w:rsid w:val="005E4F12"/>
    <w:rsid w:val="005E5D81"/>
    <w:rsid w:val="005E5DBC"/>
    <w:rsid w:val="005E62F2"/>
    <w:rsid w:val="005E6683"/>
    <w:rsid w:val="005E6922"/>
    <w:rsid w:val="005E7FE2"/>
    <w:rsid w:val="005F0432"/>
    <w:rsid w:val="005F08B8"/>
    <w:rsid w:val="005F0C55"/>
    <w:rsid w:val="005F0FE9"/>
    <w:rsid w:val="005F1B49"/>
    <w:rsid w:val="005F25C7"/>
    <w:rsid w:val="005F26EF"/>
    <w:rsid w:val="005F28B5"/>
    <w:rsid w:val="005F2C92"/>
    <w:rsid w:val="005F2E37"/>
    <w:rsid w:val="005F3BE2"/>
    <w:rsid w:val="005F3EBA"/>
    <w:rsid w:val="005F4FFA"/>
    <w:rsid w:val="005F53B4"/>
    <w:rsid w:val="005F5AAB"/>
    <w:rsid w:val="005F5EFD"/>
    <w:rsid w:val="005F69DD"/>
    <w:rsid w:val="005F6A34"/>
    <w:rsid w:val="005F74B1"/>
    <w:rsid w:val="006001BD"/>
    <w:rsid w:val="00601332"/>
    <w:rsid w:val="006015D1"/>
    <w:rsid w:val="00601844"/>
    <w:rsid w:val="006021E6"/>
    <w:rsid w:val="00602325"/>
    <w:rsid w:val="00602366"/>
    <w:rsid w:val="006024EE"/>
    <w:rsid w:val="0060278C"/>
    <w:rsid w:val="006027F1"/>
    <w:rsid w:val="00602CE3"/>
    <w:rsid w:val="006030BA"/>
    <w:rsid w:val="0060350C"/>
    <w:rsid w:val="0060369A"/>
    <w:rsid w:val="00603E32"/>
    <w:rsid w:val="00604019"/>
    <w:rsid w:val="0060435E"/>
    <w:rsid w:val="00605CD6"/>
    <w:rsid w:val="0060663F"/>
    <w:rsid w:val="006069B2"/>
    <w:rsid w:val="00606B8D"/>
    <w:rsid w:val="00606EF7"/>
    <w:rsid w:val="00606FCA"/>
    <w:rsid w:val="00607F71"/>
    <w:rsid w:val="00610799"/>
    <w:rsid w:val="00610D4C"/>
    <w:rsid w:val="00610D6E"/>
    <w:rsid w:val="006110B4"/>
    <w:rsid w:val="0061153F"/>
    <w:rsid w:val="006115A7"/>
    <w:rsid w:val="00611B2D"/>
    <w:rsid w:val="00611E24"/>
    <w:rsid w:val="006135DF"/>
    <w:rsid w:val="0061390C"/>
    <w:rsid w:val="0061484B"/>
    <w:rsid w:val="00614EB2"/>
    <w:rsid w:val="0061552F"/>
    <w:rsid w:val="00615B8D"/>
    <w:rsid w:val="00615E7C"/>
    <w:rsid w:val="006163E0"/>
    <w:rsid w:val="00617073"/>
    <w:rsid w:val="006171C1"/>
    <w:rsid w:val="00617B3F"/>
    <w:rsid w:val="00617F76"/>
    <w:rsid w:val="00620123"/>
    <w:rsid w:val="0062017B"/>
    <w:rsid w:val="00620520"/>
    <w:rsid w:val="00620AAA"/>
    <w:rsid w:val="00621281"/>
    <w:rsid w:val="006213B8"/>
    <w:rsid w:val="0062149E"/>
    <w:rsid w:val="00621DA4"/>
    <w:rsid w:val="00621F29"/>
    <w:rsid w:val="00622407"/>
    <w:rsid w:val="0062265D"/>
    <w:rsid w:val="0062272D"/>
    <w:rsid w:val="00622B76"/>
    <w:rsid w:val="006232DC"/>
    <w:rsid w:val="0062339D"/>
    <w:rsid w:val="006235E6"/>
    <w:rsid w:val="006237B4"/>
    <w:rsid w:val="00623C08"/>
    <w:rsid w:val="00623FF5"/>
    <w:rsid w:val="006240AF"/>
    <w:rsid w:val="0062486C"/>
    <w:rsid w:val="006258EE"/>
    <w:rsid w:val="00625936"/>
    <w:rsid w:val="00625D42"/>
    <w:rsid w:val="00626375"/>
    <w:rsid w:val="00626C6D"/>
    <w:rsid w:val="00627C4E"/>
    <w:rsid w:val="00630474"/>
    <w:rsid w:val="006304AE"/>
    <w:rsid w:val="0063094F"/>
    <w:rsid w:val="00630B4B"/>
    <w:rsid w:val="006310C0"/>
    <w:rsid w:val="006318E8"/>
    <w:rsid w:val="00631EAA"/>
    <w:rsid w:val="006324D5"/>
    <w:rsid w:val="00632521"/>
    <w:rsid w:val="006327F6"/>
    <w:rsid w:val="00632C16"/>
    <w:rsid w:val="00632CF1"/>
    <w:rsid w:val="0063333A"/>
    <w:rsid w:val="00634499"/>
    <w:rsid w:val="00634C3E"/>
    <w:rsid w:val="006350DD"/>
    <w:rsid w:val="00635240"/>
    <w:rsid w:val="006353D0"/>
    <w:rsid w:val="00635E79"/>
    <w:rsid w:val="00635EA6"/>
    <w:rsid w:val="00635F71"/>
    <w:rsid w:val="00636455"/>
    <w:rsid w:val="0063650D"/>
    <w:rsid w:val="0063686F"/>
    <w:rsid w:val="00636AB7"/>
    <w:rsid w:val="00636D48"/>
    <w:rsid w:val="00636D55"/>
    <w:rsid w:val="00637097"/>
    <w:rsid w:val="006373F9"/>
    <w:rsid w:val="006376CC"/>
    <w:rsid w:val="00640153"/>
    <w:rsid w:val="00640848"/>
    <w:rsid w:val="00641A6A"/>
    <w:rsid w:val="00642EE7"/>
    <w:rsid w:val="00643E57"/>
    <w:rsid w:val="0064435B"/>
    <w:rsid w:val="00645108"/>
    <w:rsid w:val="00645A2A"/>
    <w:rsid w:val="00645EDD"/>
    <w:rsid w:val="0064601F"/>
    <w:rsid w:val="00646445"/>
    <w:rsid w:val="00646B75"/>
    <w:rsid w:val="00647653"/>
    <w:rsid w:val="00647A3D"/>
    <w:rsid w:val="0065037C"/>
    <w:rsid w:val="006510DB"/>
    <w:rsid w:val="00651413"/>
    <w:rsid w:val="00651D16"/>
    <w:rsid w:val="00652073"/>
    <w:rsid w:val="00652B8C"/>
    <w:rsid w:val="00652DB1"/>
    <w:rsid w:val="00652F59"/>
    <w:rsid w:val="00652F5B"/>
    <w:rsid w:val="006530A6"/>
    <w:rsid w:val="0065334F"/>
    <w:rsid w:val="00653808"/>
    <w:rsid w:val="00653BE7"/>
    <w:rsid w:val="00653D83"/>
    <w:rsid w:val="00653EEE"/>
    <w:rsid w:val="006541A1"/>
    <w:rsid w:val="0065449F"/>
    <w:rsid w:val="006549C0"/>
    <w:rsid w:val="00656E2B"/>
    <w:rsid w:val="006570A7"/>
    <w:rsid w:val="00657155"/>
    <w:rsid w:val="00657C00"/>
    <w:rsid w:val="00657C51"/>
    <w:rsid w:val="006604E9"/>
    <w:rsid w:val="00660AE0"/>
    <w:rsid w:val="00660B59"/>
    <w:rsid w:val="00661647"/>
    <w:rsid w:val="00661C1C"/>
    <w:rsid w:val="00662385"/>
    <w:rsid w:val="00662B05"/>
    <w:rsid w:val="00662B7F"/>
    <w:rsid w:val="0066328E"/>
    <w:rsid w:val="00663435"/>
    <w:rsid w:val="0066383C"/>
    <w:rsid w:val="00663C62"/>
    <w:rsid w:val="006640CD"/>
    <w:rsid w:val="00664374"/>
    <w:rsid w:val="0066438B"/>
    <w:rsid w:val="006655FC"/>
    <w:rsid w:val="006659BC"/>
    <w:rsid w:val="006661AE"/>
    <w:rsid w:val="006663CB"/>
    <w:rsid w:val="0066690A"/>
    <w:rsid w:val="00667734"/>
    <w:rsid w:val="006677BC"/>
    <w:rsid w:val="006704C1"/>
    <w:rsid w:val="0067130B"/>
    <w:rsid w:val="006713B6"/>
    <w:rsid w:val="00671731"/>
    <w:rsid w:val="00671CF1"/>
    <w:rsid w:val="00671EAC"/>
    <w:rsid w:val="006724C7"/>
    <w:rsid w:val="0067250B"/>
    <w:rsid w:val="00672548"/>
    <w:rsid w:val="00672568"/>
    <w:rsid w:val="006725D0"/>
    <w:rsid w:val="00672B19"/>
    <w:rsid w:val="00673859"/>
    <w:rsid w:val="00673AC9"/>
    <w:rsid w:val="00674860"/>
    <w:rsid w:val="00675785"/>
    <w:rsid w:val="00675A67"/>
    <w:rsid w:val="00676117"/>
    <w:rsid w:val="006762E8"/>
    <w:rsid w:val="00677577"/>
    <w:rsid w:val="00677856"/>
    <w:rsid w:val="006808B9"/>
    <w:rsid w:val="00680C8F"/>
    <w:rsid w:val="00682522"/>
    <w:rsid w:val="006829DA"/>
    <w:rsid w:val="00683F4C"/>
    <w:rsid w:val="006849EC"/>
    <w:rsid w:val="006856D3"/>
    <w:rsid w:val="006859CB"/>
    <w:rsid w:val="00685F7C"/>
    <w:rsid w:val="006866BA"/>
    <w:rsid w:val="00686A88"/>
    <w:rsid w:val="00686D18"/>
    <w:rsid w:val="006870AB"/>
    <w:rsid w:val="00687DC1"/>
    <w:rsid w:val="00687DF4"/>
    <w:rsid w:val="00690572"/>
    <w:rsid w:val="006905CD"/>
    <w:rsid w:val="00690738"/>
    <w:rsid w:val="00690F66"/>
    <w:rsid w:val="00691709"/>
    <w:rsid w:val="00691A83"/>
    <w:rsid w:val="00692AB5"/>
    <w:rsid w:val="00692D87"/>
    <w:rsid w:val="00693C93"/>
    <w:rsid w:val="00693FB1"/>
    <w:rsid w:val="0069404E"/>
    <w:rsid w:val="00694058"/>
    <w:rsid w:val="00694262"/>
    <w:rsid w:val="00694A25"/>
    <w:rsid w:val="00695BA2"/>
    <w:rsid w:val="006962FD"/>
    <w:rsid w:val="00696A63"/>
    <w:rsid w:val="00696A8A"/>
    <w:rsid w:val="00697DAA"/>
    <w:rsid w:val="006A0AC3"/>
    <w:rsid w:val="006A1B7A"/>
    <w:rsid w:val="006A1F53"/>
    <w:rsid w:val="006A2705"/>
    <w:rsid w:val="006A2812"/>
    <w:rsid w:val="006A32BA"/>
    <w:rsid w:val="006A3501"/>
    <w:rsid w:val="006A43F9"/>
    <w:rsid w:val="006A4549"/>
    <w:rsid w:val="006A4B59"/>
    <w:rsid w:val="006A4CF5"/>
    <w:rsid w:val="006A60BC"/>
    <w:rsid w:val="006A6154"/>
    <w:rsid w:val="006A6207"/>
    <w:rsid w:val="006A6636"/>
    <w:rsid w:val="006A6BAE"/>
    <w:rsid w:val="006A7013"/>
    <w:rsid w:val="006A70DF"/>
    <w:rsid w:val="006A7261"/>
    <w:rsid w:val="006A7381"/>
    <w:rsid w:val="006A7560"/>
    <w:rsid w:val="006A780F"/>
    <w:rsid w:val="006A7FF1"/>
    <w:rsid w:val="006B085A"/>
    <w:rsid w:val="006B0C7D"/>
    <w:rsid w:val="006B1439"/>
    <w:rsid w:val="006B149E"/>
    <w:rsid w:val="006B25CF"/>
    <w:rsid w:val="006B276E"/>
    <w:rsid w:val="006B2B7D"/>
    <w:rsid w:val="006B2E8A"/>
    <w:rsid w:val="006B528E"/>
    <w:rsid w:val="006B5689"/>
    <w:rsid w:val="006B58C8"/>
    <w:rsid w:val="006B5A36"/>
    <w:rsid w:val="006B5FB2"/>
    <w:rsid w:val="006B6CDA"/>
    <w:rsid w:val="006B6DAD"/>
    <w:rsid w:val="006C0CD9"/>
    <w:rsid w:val="006C1522"/>
    <w:rsid w:val="006C1A9C"/>
    <w:rsid w:val="006C1F30"/>
    <w:rsid w:val="006C26E5"/>
    <w:rsid w:val="006C3263"/>
    <w:rsid w:val="006C3B9C"/>
    <w:rsid w:val="006C4F02"/>
    <w:rsid w:val="006C521F"/>
    <w:rsid w:val="006C57DC"/>
    <w:rsid w:val="006C5E6B"/>
    <w:rsid w:val="006C6104"/>
    <w:rsid w:val="006C6859"/>
    <w:rsid w:val="006C6D74"/>
    <w:rsid w:val="006C6DAE"/>
    <w:rsid w:val="006C77FA"/>
    <w:rsid w:val="006C7B46"/>
    <w:rsid w:val="006D0197"/>
    <w:rsid w:val="006D01F2"/>
    <w:rsid w:val="006D06B1"/>
    <w:rsid w:val="006D0D12"/>
    <w:rsid w:val="006D0FAD"/>
    <w:rsid w:val="006D208E"/>
    <w:rsid w:val="006D2722"/>
    <w:rsid w:val="006D3837"/>
    <w:rsid w:val="006D4474"/>
    <w:rsid w:val="006D499B"/>
    <w:rsid w:val="006D4B62"/>
    <w:rsid w:val="006D4BDE"/>
    <w:rsid w:val="006D5609"/>
    <w:rsid w:val="006D5B85"/>
    <w:rsid w:val="006D5D6E"/>
    <w:rsid w:val="006D5E41"/>
    <w:rsid w:val="006D633C"/>
    <w:rsid w:val="006D63A3"/>
    <w:rsid w:val="006D67F3"/>
    <w:rsid w:val="006D6A56"/>
    <w:rsid w:val="006D6B7F"/>
    <w:rsid w:val="006D706A"/>
    <w:rsid w:val="006D76C3"/>
    <w:rsid w:val="006D77F6"/>
    <w:rsid w:val="006D7FFE"/>
    <w:rsid w:val="006E0039"/>
    <w:rsid w:val="006E030A"/>
    <w:rsid w:val="006E0317"/>
    <w:rsid w:val="006E0E0C"/>
    <w:rsid w:val="006E0E4E"/>
    <w:rsid w:val="006E1161"/>
    <w:rsid w:val="006E157A"/>
    <w:rsid w:val="006E15E8"/>
    <w:rsid w:val="006E1F4E"/>
    <w:rsid w:val="006E2334"/>
    <w:rsid w:val="006E3CF2"/>
    <w:rsid w:val="006E4183"/>
    <w:rsid w:val="006E428C"/>
    <w:rsid w:val="006E4666"/>
    <w:rsid w:val="006E5CA9"/>
    <w:rsid w:val="006E60FA"/>
    <w:rsid w:val="006E649D"/>
    <w:rsid w:val="006E6C9D"/>
    <w:rsid w:val="006E6D1A"/>
    <w:rsid w:val="006E70EB"/>
    <w:rsid w:val="006E71BC"/>
    <w:rsid w:val="006E72E2"/>
    <w:rsid w:val="006E739D"/>
    <w:rsid w:val="006E7960"/>
    <w:rsid w:val="006F01C1"/>
    <w:rsid w:val="006F08D3"/>
    <w:rsid w:val="006F0A1F"/>
    <w:rsid w:val="006F115E"/>
    <w:rsid w:val="006F17CA"/>
    <w:rsid w:val="006F1B94"/>
    <w:rsid w:val="006F1CBF"/>
    <w:rsid w:val="006F1CCE"/>
    <w:rsid w:val="006F1D80"/>
    <w:rsid w:val="006F1E56"/>
    <w:rsid w:val="006F1F14"/>
    <w:rsid w:val="006F1FFF"/>
    <w:rsid w:val="006F2475"/>
    <w:rsid w:val="006F269E"/>
    <w:rsid w:val="006F3443"/>
    <w:rsid w:val="006F36E8"/>
    <w:rsid w:val="006F3734"/>
    <w:rsid w:val="006F382C"/>
    <w:rsid w:val="006F409D"/>
    <w:rsid w:val="006F4A11"/>
    <w:rsid w:val="006F4ECD"/>
    <w:rsid w:val="006F5142"/>
    <w:rsid w:val="006F605B"/>
    <w:rsid w:val="006F6D10"/>
    <w:rsid w:val="006F7080"/>
    <w:rsid w:val="006F70CE"/>
    <w:rsid w:val="006F7344"/>
    <w:rsid w:val="006F791B"/>
    <w:rsid w:val="00700838"/>
    <w:rsid w:val="00700E75"/>
    <w:rsid w:val="00701458"/>
    <w:rsid w:val="00702AAA"/>
    <w:rsid w:val="00702D44"/>
    <w:rsid w:val="00702F68"/>
    <w:rsid w:val="00703DA1"/>
    <w:rsid w:val="00704EB5"/>
    <w:rsid w:val="00705CE5"/>
    <w:rsid w:val="007060C9"/>
    <w:rsid w:val="007060FA"/>
    <w:rsid w:val="0070638D"/>
    <w:rsid w:val="00706426"/>
    <w:rsid w:val="007064F8"/>
    <w:rsid w:val="0070669F"/>
    <w:rsid w:val="0070733C"/>
    <w:rsid w:val="00707386"/>
    <w:rsid w:val="007076E6"/>
    <w:rsid w:val="00710073"/>
    <w:rsid w:val="007105C7"/>
    <w:rsid w:val="00712948"/>
    <w:rsid w:val="00712B94"/>
    <w:rsid w:val="00712C21"/>
    <w:rsid w:val="00713EFB"/>
    <w:rsid w:val="00714915"/>
    <w:rsid w:val="007152DB"/>
    <w:rsid w:val="00715878"/>
    <w:rsid w:val="00715D4C"/>
    <w:rsid w:val="007162D6"/>
    <w:rsid w:val="00716A50"/>
    <w:rsid w:val="00716B50"/>
    <w:rsid w:val="00716CF1"/>
    <w:rsid w:val="007171B6"/>
    <w:rsid w:val="007174FF"/>
    <w:rsid w:val="00721128"/>
    <w:rsid w:val="00721607"/>
    <w:rsid w:val="00721D7F"/>
    <w:rsid w:val="007220B3"/>
    <w:rsid w:val="00722872"/>
    <w:rsid w:val="00722978"/>
    <w:rsid w:val="00723339"/>
    <w:rsid w:val="00723777"/>
    <w:rsid w:val="007238CE"/>
    <w:rsid w:val="00723F0C"/>
    <w:rsid w:val="007244B9"/>
    <w:rsid w:val="00724C7B"/>
    <w:rsid w:val="00725380"/>
    <w:rsid w:val="00725768"/>
    <w:rsid w:val="007261D3"/>
    <w:rsid w:val="007271E6"/>
    <w:rsid w:val="00727200"/>
    <w:rsid w:val="00727700"/>
    <w:rsid w:val="00730A58"/>
    <w:rsid w:val="00730BFF"/>
    <w:rsid w:val="0073132B"/>
    <w:rsid w:val="00731787"/>
    <w:rsid w:val="00731969"/>
    <w:rsid w:val="00731CAE"/>
    <w:rsid w:val="00732E74"/>
    <w:rsid w:val="00733909"/>
    <w:rsid w:val="00734044"/>
    <w:rsid w:val="00734CD1"/>
    <w:rsid w:val="00734E79"/>
    <w:rsid w:val="00734FC7"/>
    <w:rsid w:val="0073503B"/>
    <w:rsid w:val="0073536F"/>
    <w:rsid w:val="00735623"/>
    <w:rsid w:val="00735E49"/>
    <w:rsid w:val="0073609D"/>
    <w:rsid w:val="0073614A"/>
    <w:rsid w:val="007372B0"/>
    <w:rsid w:val="00740059"/>
    <w:rsid w:val="007407B2"/>
    <w:rsid w:val="00740A5C"/>
    <w:rsid w:val="00741286"/>
    <w:rsid w:val="0074180A"/>
    <w:rsid w:val="00742089"/>
    <w:rsid w:val="00742315"/>
    <w:rsid w:val="00742887"/>
    <w:rsid w:val="007430D6"/>
    <w:rsid w:val="007433A1"/>
    <w:rsid w:val="00743BE1"/>
    <w:rsid w:val="00743C03"/>
    <w:rsid w:val="00744FE0"/>
    <w:rsid w:val="0074518D"/>
    <w:rsid w:val="00745530"/>
    <w:rsid w:val="00745821"/>
    <w:rsid w:val="00745D98"/>
    <w:rsid w:val="00745DA9"/>
    <w:rsid w:val="00745ED4"/>
    <w:rsid w:val="00746990"/>
    <w:rsid w:val="00746B11"/>
    <w:rsid w:val="00747857"/>
    <w:rsid w:val="00747BF5"/>
    <w:rsid w:val="00747CCA"/>
    <w:rsid w:val="00747F36"/>
    <w:rsid w:val="0075012F"/>
    <w:rsid w:val="0075038A"/>
    <w:rsid w:val="0075043A"/>
    <w:rsid w:val="00750D2B"/>
    <w:rsid w:val="00751652"/>
    <w:rsid w:val="007516B7"/>
    <w:rsid w:val="00751AD1"/>
    <w:rsid w:val="00751DA9"/>
    <w:rsid w:val="00752169"/>
    <w:rsid w:val="00752463"/>
    <w:rsid w:val="00752617"/>
    <w:rsid w:val="00752CA0"/>
    <w:rsid w:val="00752F48"/>
    <w:rsid w:val="00753016"/>
    <w:rsid w:val="00753E96"/>
    <w:rsid w:val="007541A2"/>
    <w:rsid w:val="00754C88"/>
    <w:rsid w:val="0075589B"/>
    <w:rsid w:val="00755CC7"/>
    <w:rsid w:val="0075621A"/>
    <w:rsid w:val="007565C5"/>
    <w:rsid w:val="00756A1A"/>
    <w:rsid w:val="00757DA7"/>
    <w:rsid w:val="00757EC3"/>
    <w:rsid w:val="007600FD"/>
    <w:rsid w:val="007607E1"/>
    <w:rsid w:val="00760C71"/>
    <w:rsid w:val="00760C89"/>
    <w:rsid w:val="00760DE9"/>
    <w:rsid w:val="00761F83"/>
    <w:rsid w:val="007622ED"/>
    <w:rsid w:val="00762AF7"/>
    <w:rsid w:val="0076344E"/>
    <w:rsid w:val="00764B0E"/>
    <w:rsid w:val="00764E58"/>
    <w:rsid w:val="00764FA7"/>
    <w:rsid w:val="007655B4"/>
    <w:rsid w:val="00765CE0"/>
    <w:rsid w:val="00765ECC"/>
    <w:rsid w:val="00766AB5"/>
    <w:rsid w:val="00766B56"/>
    <w:rsid w:val="00767764"/>
    <w:rsid w:val="00767A87"/>
    <w:rsid w:val="00767AC7"/>
    <w:rsid w:val="007703BA"/>
    <w:rsid w:val="0077040A"/>
    <w:rsid w:val="00771383"/>
    <w:rsid w:val="00771E55"/>
    <w:rsid w:val="00771FD9"/>
    <w:rsid w:val="00772D5F"/>
    <w:rsid w:val="00772EA6"/>
    <w:rsid w:val="0077366B"/>
    <w:rsid w:val="00773917"/>
    <w:rsid w:val="007745C4"/>
    <w:rsid w:val="007750DE"/>
    <w:rsid w:val="00775D70"/>
    <w:rsid w:val="00776182"/>
    <w:rsid w:val="00776C82"/>
    <w:rsid w:val="00776F6B"/>
    <w:rsid w:val="00777F31"/>
    <w:rsid w:val="0078007A"/>
    <w:rsid w:val="00780418"/>
    <w:rsid w:val="00781817"/>
    <w:rsid w:val="007827FA"/>
    <w:rsid w:val="00782C2B"/>
    <w:rsid w:val="007837F2"/>
    <w:rsid w:val="0078396A"/>
    <w:rsid w:val="00784465"/>
    <w:rsid w:val="0078507D"/>
    <w:rsid w:val="00785608"/>
    <w:rsid w:val="007856DF"/>
    <w:rsid w:val="00785C89"/>
    <w:rsid w:val="007862E7"/>
    <w:rsid w:val="00786F58"/>
    <w:rsid w:val="007870EB"/>
    <w:rsid w:val="00787EDB"/>
    <w:rsid w:val="00790416"/>
    <w:rsid w:val="00790CCB"/>
    <w:rsid w:val="00790E2F"/>
    <w:rsid w:val="00790EED"/>
    <w:rsid w:val="007911D4"/>
    <w:rsid w:val="0079155E"/>
    <w:rsid w:val="0079183E"/>
    <w:rsid w:val="00791FBE"/>
    <w:rsid w:val="00792256"/>
    <w:rsid w:val="007927EA"/>
    <w:rsid w:val="00792B07"/>
    <w:rsid w:val="00792D63"/>
    <w:rsid w:val="00792DC0"/>
    <w:rsid w:val="00793120"/>
    <w:rsid w:val="00793208"/>
    <w:rsid w:val="00793D5E"/>
    <w:rsid w:val="00793DD6"/>
    <w:rsid w:val="00795141"/>
    <w:rsid w:val="00795A89"/>
    <w:rsid w:val="00795C29"/>
    <w:rsid w:val="00795ED2"/>
    <w:rsid w:val="007971CF"/>
    <w:rsid w:val="0079728C"/>
    <w:rsid w:val="007A0F64"/>
    <w:rsid w:val="007A1071"/>
    <w:rsid w:val="007A15A4"/>
    <w:rsid w:val="007A234D"/>
    <w:rsid w:val="007A2CAA"/>
    <w:rsid w:val="007A2D4E"/>
    <w:rsid w:val="007A33AD"/>
    <w:rsid w:val="007A3F0D"/>
    <w:rsid w:val="007A47A8"/>
    <w:rsid w:val="007A582E"/>
    <w:rsid w:val="007A587C"/>
    <w:rsid w:val="007A655C"/>
    <w:rsid w:val="007A7007"/>
    <w:rsid w:val="007B0115"/>
    <w:rsid w:val="007B04E7"/>
    <w:rsid w:val="007B0567"/>
    <w:rsid w:val="007B1975"/>
    <w:rsid w:val="007B1A2B"/>
    <w:rsid w:val="007B1AAA"/>
    <w:rsid w:val="007B27C4"/>
    <w:rsid w:val="007B2897"/>
    <w:rsid w:val="007B28BB"/>
    <w:rsid w:val="007B28C2"/>
    <w:rsid w:val="007B2A3F"/>
    <w:rsid w:val="007B2AF0"/>
    <w:rsid w:val="007B2BD2"/>
    <w:rsid w:val="007B2CA1"/>
    <w:rsid w:val="007B2DAA"/>
    <w:rsid w:val="007B2E5E"/>
    <w:rsid w:val="007B2F63"/>
    <w:rsid w:val="007B334A"/>
    <w:rsid w:val="007B3D38"/>
    <w:rsid w:val="007B4478"/>
    <w:rsid w:val="007B4B6B"/>
    <w:rsid w:val="007B52B1"/>
    <w:rsid w:val="007B6AF7"/>
    <w:rsid w:val="007B6F47"/>
    <w:rsid w:val="007B7138"/>
    <w:rsid w:val="007B7160"/>
    <w:rsid w:val="007B75A3"/>
    <w:rsid w:val="007B7B19"/>
    <w:rsid w:val="007C115B"/>
    <w:rsid w:val="007C1241"/>
    <w:rsid w:val="007C150A"/>
    <w:rsid w:val="007C2BFB"/>
    <w:rsid w:val="007C2F33"/>
    <w:rsid w:val="007C2FD8"/>
    <w:rsid w:val="007C31EB"/>
    <w:rsid w:val="007C338D"/>
    <w:rsid w:val="007C3B1F"/>
    <w:rsid w:val="007C4436"/>
    <w:rsid w:val="007C459D"/>
    <w:rsid w:val="007C68E5"/>
    <w:rsid w:val="007C6BED"/>
    <w:rsid w:val="007C6FA0"/>
    <w:rsid w:val="007C7505"/>
    <w:rsid w:val="007C79C4"/>
    <w:rsid w:val="007C7C0F"/>
    <w:rsid w:val="007D0198"/>
    <w:rsid w:val="007D0ABC"/>
    <w:rsid w:val="007D0BAD"/>
    <w:rsid w:val="007D0D87"/>
    <w:rsid w:val="007D1189"/>
    <w:rsid w:val="007D1601"/>
    <w:rsid w:val="007D191A"/>
    <w:rsid w:val="007D1E84"/>
    <w:rsid w:val="007D243C"/>
    <w:rsid w:val="007D2DD6"/>
    <w:rsid w:val="007D2F6A"/>
    <w:rsid w:val="007D308D"/>
    <w:rsid w:val="007D3110"/>
    <w:rsid w:val="007D39F8"/>
    <w:rsid w:val="007D4930"/>
    <w:rsid w:val="007D4EF3"/>
    <w:rsid w:val="007D5931"/>
    <w:rsid w:val="007D60C7"/>
    <w:rsid w:val="007D6134"/>
    <w:rsid w:val="007D6161"/>
    <w:rsid w:val="007D6814"/>
    <w:rsid w:val="007D713D"/>
    <w:rsid w:val="007D7233"/>
    <w:rsid w:val="007D76D8"/>
    <w:rsid w:val="007E0613"/>
    <w:rsid w:val="007E0F39"/>
    <w:rsid w:val="007E0FF1"/>
    <w:rsid w:val="007E1032"/>
    <w:rsid w:val="007E10A3"/>
    <w:rsid w:val="007E1573"/>
    <w:rsid w:val="007E179D"/>
    <w:rsid w:val="007E195A"/>
    <w:rsid w:val="007E2082"/>
    <w:rsid w:val="007E23DE"/>
    <w:rsid w:val="007E328C"/>
    <w:rsid w:val="007E32AD"/>
    <w:rsid w:val="007E38B7"/>
    <w:rsid w:val="007E3B2A"/>
    <w:rsid w:val="007E3D92"/>
    <w:rsid w:val="007E3F9C"/>
    <w:rsid w:val="007E4EEC"/>
    <w:rsid w:val="007E4F2D"/>
    <w:rsid w:val="007E5371"/>
    <w:rsid w:val="007E5A8E"/>
    <w:rsid w:val="007E5B29"/>
    <w:rsid w:val="007E71FD"/>
    <w:rsid w:val="007E7FDC"/>
    <w:rsid w:val="007F01C1"/>
    <w:rsid w:val="007F027E"/>
    <w:rsid w:val="007F09E0"/>
    <w:rsid w:val="007F0E48"/>
    <w:rsid w:val="007F13B6"/>
    <w:rsid w:val="007F1413"/>
    <w:rsid w:val="007F1DDB"/>
    <w:rsid w:val="007F1E65"/>
    <w:rsid w:val="007F2D9E"/>
    <w:rsid w:val="007F3153"/>
    <w:rsid w:val="007F3523"/>
    <w:rsid w:val="007F380D"/>
    <w:rsid w:val="007F4838"/>
    <w:rsid w:val="007F4F7C"/>
    <w:rsid w:val="007F513E"/>
    <w:rsid w:val="007F57CC"/>
    <w:rsid w:val="007F5B1E"/>
    <w:rsid w:val="007F6B6F"/>
    <w:rsid w:val="007F74FA"/>
    <w:rsid w:val="007F7E09"/>
    <w:rsid w:val="008002A2"/>
    <w:rsid w:val="00800964"/>
    <w:rsid w:val="00800D1E"/>
    <w:rsid w:val="008012BE"/>
    <w:rsid w:val="008012DA"/>
    <w:rsid w:val="008015F0"/>
    <w:rsid w:val="00801A5B"/>
    <w:rsid w:val="00801A91"/>
    <w:rsid w:val="00802089"/>
    <w:rsid w:val="008021D8"/>
    <w:rsid w:val="00802523"/>
    <w:rsid w:val="0080262C"/>
    <w:rsid w:val="00803377"/>
    <w:rsid w:val="00803515"/>
    <w:rsid w:val="00803800"/>
    <w:rsid w:val="008039D9"/>
    <w:rsid w:val="008042F5"/>
    <w:rsid w:val="0080525E"/>
    <w:rsid w:val="00805796"/>
    <w:rsid w:val="00805979"/>
    <w:rsid w:val="008066D6"/>
    <w:rsid w:val="008068E0"/>
    <w:rsid w:val="00806935"/>
    <w:rsid w:val="00806E12"/>
    <w:rsid w:val="0080705D"/>
    <w:rsid w:val="0080767F"/>
    <w:rsid w:val="00807967"/>
    <w:rsid w:val="00807E2E"/>
    <w:rsid w:val="008102A9"/>
    <w:rsid w:val="00810F1C"/>
    <w:rsid w:val="008112E8"/>
    <w:rsid w:val="0081139F"/>
    <w:rsid w:val="00811C61"/>
    <w:rsid w:val="00811E46"/>
    <w:rsid w:val="00812C56"/>
    <w:rsid w:val="00812CB4"/>
    <w:rsid w:val="00812D19"/>
    <w:rsid w:val="00813417"/>
    <w:rsid w:val="0081348C"/>
    <w:rsid w:val="00813FA6"/>
    <w:rsid w:val="00814FA1"/>
    <w:rsid w:val="008151CF"/>
    <w:rsid w:val="00815217"/>
    <w:rsid w:val="00815C95"/>
    <w:rsid w:val="00815EFF"/>
    <w:rsid w:val="008160AD"/>
    <w:rsid w:val="0081671B"/>
    <w:rsid w:val="0081696B"/>
    <w:rsid w:val="00817028"/>
    <w:rsid w:val="0081728A"/>
    <w:rsid w:val="00817C45"/>
    <w:rsid w:val="00820122"/>
    <w:rsid w:val="0082136A"/>
    <w:rsid w:val="00821AAA"/>
    <w:rsid w:val="00821EC9"/>
    <w:rsid w:val="00822FFE"/>
    <w:rsid w:val="00823207"/>
    <w:rsid w:val="008235AF"/>
    <w:rsid w:val="00823B8E"/>
    <w:rsid w:val="00824812"/>
    <w:rsid w:val="00825272"/>
    <w:rsid w:val="00825A2A"/>
    <w:rsid w:val="0082653B"/>
    <w:rsid w:val="008265C0"/>
    <w:rsid w:val="008275E1"/>
    <w:rsid w:val="0082796D"/>
    <w:rsid w:val="008300B3"/>
    <w:rsid w:val="008307D5"/>
    <w:rsid w:val="00831B30"/>
    <w:rsid w:val="00832458"/>
    <w:rsid w:val="0083275C"/>
    <w:rsid w:val="00832BFC"/>
    <w:rsid w:val="00833DF4"/>
    <w:rsid w:val="00834369"/>
    <w:rsid w:val="0083468E"/>
    <w:rsid w:val="00834E6C"/>
    <w:rsid w:val="00835775"/>
    <w:rsid w:val="0083596F"/>
    <w:rsid w:val="0083681F"/>
    <w:rsid w:val="0083703B"/>
    <w:rsid w:val="0083731E"/>
    <w:rsid w:val="00837A95"/>
    <w:rsid w:val="00837AEC"/>
    <w:rsid w:val="00837F1C"/>
    <w:rsid w:val="00840727"/>
    <w:rsid w:val="00840878"/>
    <w:rsid w:val="00841831"/>
    <w:rsid w:val="008418BD"/>
    <w:rsid w:val="00842F69"/>
    <w:rsid w:val="008434D2"/>
    <w:rsid w:val="00844718"/>
    <w:rsid w:val="0084484F"/>
    <w:rsid w:val="00844B8E"/>
    <w:rsid w:val="00844C52"/>
    <w:rsid w:val="0084584A"/>
    <w:rsid w:val="00845D86"/>
    <w:rsid w:val="00846769"/>
    <w:rsid w:val="00846DC0"/>
    <w:rsid w:val="0084726D"/>
    <w:rsid w:val="008478D4"/>
    <w:rsid w:val="00847D00"/>
    <w:rsid w:val="00847DD8"/>
    <w:rsid w:val="00850367"/>
    <w:rsid w:val="00851064"/>
    <w:rsid w:val="0085180B"/>
    <w:rsid w:val="00851AC3"/>
    <w:rsid w:val="008524BD"/>
    <w:rsid w:val="0085265E"/>
    <w:rsid w:val="0085269B"/>
    <w:rsid w:val="00852A1E"/>
    <w:rsid w:val="00853393"/>
    <w:rsid w:val="0085375D"/>
    <w:rsid w:val="0085381A"/>
    <w:rsid w:val="008539B4"/>
    <w:rsid w:val="00853B3C"/>
    <w:rsid w:val="00853B51"/>
    <w:rsid w:val="00853CB0"/>
    <w:rsid w:val="0085484B"/>
    <w:rsid w:val="008554DF"/>
    <w:rsid w:val="00855DAE"/>
    <w:rsid w:val="0085626E"/>
    <w:rsid w:val="008569BF"/>
    <w:rsid w:val="00856A95"/>
    <w:rsid w:val="00856B4B"/>
    <w:rsid w:val="00856C05"/>
    <w:rsid w:val="00856E47"/>
    <w:rsid w:val="008575B9"/>
    <w:rsid w:val="008578A6"/>
    <w:rsid w:val="00857ABF"/>
    <w:rsid w:val="008606F9"/>
    <w:rsid w:val="00860896"/>
    <w:rsid w:val="008612C8"/>
    <w:rsid w:val="00861BE7"/>
    <w:rsid w:val="00862A2C"/>
    <w:rsid w:val="00862AF7"/>
    <w:rsid w:val="00862C50"/>
    <w:rsid w:val="00862EAE"/>
    <w:rsid w:val="00862F42"/>
    <w:rsid w:val="0086305C"/>
    <w:rsid w:val="0086314A"/>
    <w:rsid w:val="0086323D"/>
    <w:rsid w:val="00863381"/>
    <w:rsid w:val="00863842"/>
    <w:rsid w:val="00863ECD"/>
    <w:rsid w:val="0086443A"/>
    <w:rsid w:val="00865559"/>
    <w:rsid w:val="0086571C"/>
    <w:rsid w:val="00865792"/>
    <w:rsid w:val="00865A29"/>
    <w:rsid w:val="00866493"/>
    <w:rsid w:val="00866657"/>
    <w:rsid w:val="00866C75"/>
    <w:rsid w:val="00866D55"/>
    <w:rsid w:val="00866DF9"/>
    <w:rsid w:val="0086757E"/>
    <w:rsid w:val="008679BD"/>
    <w:rsid w:val="00867C25"/>
    <w:rsid w:val="0087004E"/>
    <w:rsid w:val="008700C5"/>
    <w:rsid w:val="00870E09"/>
    <w:rsid w:val="00870E74"/>
    <w:rsid w:val="00870ECF"/>
    <w:rsid w:val="008710B5"/>
    <w:rsid w:val="00872176"/>
    <w:rsid w:val="00872B2A"/>
    <w:rsid w:val="00872C8B"/>
    <w:rsid w:val="008733B7"/>
    <w:rsid w:val="00874166"/>
    <w:rsid w:val="00874358"/>
    <w:rsid w:val="008743DD"/>
    <w:rsid w:val="008744CD"/>
    <w:rsid w:val="008747B2"/>
    <w:rsid w:val="00874E45"/>
    <w:rsid w:val="00875017"/>
    <w:rsid w:val="008755B2"/>
    <w:rsid w:val="00876003"/>
    <w:rsid w:val="00876421"/>
    <w:rsid w:val="008764D7"/>
    <w:rsid w:val="00876F50"/>
    <w:rsid w:val="00876F9D"/>
    <w:rsid w:val="00877431"/>
    <w:rsid w:val="00877988"/>
    <w:rsid w:val="00880BCA"/>
    <w:rsid w:val="00880FFD"/>
    <w:rsid w:val="00881EF2"/>
    <w:rsid w:val="00881F1D"/>
    <w:rsid w:val="00882155"/>
    <w:rsid w:val="0088288E"/>
    <w:rsid w:val="00884FA4"/>
    <w:rsid w:val="0088534F"/>
    <w:rsid w:val="008854FE"/>
    <w:rsid w:val="0088561D"/>
    <w:rsid w:val="00886137"/>
    <w:rsid w:val="008862AA"/>
    <w:rsid w:val="00886959"/>
    <w:rsid w:val="0089000D"/>
    <w:rsid w:val="008900A0"/>
    <w:rsid w:val="00890F15"/>
    <w:rsid w:val="00891D70"/>
    <w:rsid w:val="00892A50"/>
    <w:rsid w:val="0089317B"/>
    <w:rsid w:val="00893636"/>
    <w:rsid w:val="0089401B"/>
    <w:rsid w:val="008940F5"/>
    <w:rsid w:val="00896A6F"/>
    <w:rsid w:val="00896F1C"/>
    <w:rsid w:val="00896F22"/>
    <w:rsid w:val="00897757"/>
    <w:rsid w:val="008A05D6"/>
    <w:rsid w:val="008A097B"/>
    <w:rsid w:val="008A0B8A"/>
    <w:rsid w:val="008A1028"/>
    <w:rsid w:val="008A246A"/>
    <w:rsid w:val="008A262D"/>
    <w:rsid w:val="008A27CE"/>
    <w:rsid w:val="008A2B52"/>
    <w:rsid w:val="008A30FA"/>
    <w:rsid w:val="008A3259"/>
    <w:rsid w:val="008A36E1"/>
    <w:rsid w:val="008A37A7"/>
    <w:rsid w:val="008A400B"/>
    <w:rsid w:val="008A433E"/>
    <w:rsid w:val="008A47F4"/>
    <w:rsid w:val="008A4FE8"/>
    <w:rsid w:val="008A5789"/>
    <w:rsid w:val="008A60A4"/>
    <w:rsid w:val="008A6BA3"/>
    <w:rsid w:val="008A7513"/>
    <w:rsid w:val="008A767E"/>
    <w:rsid w:val="008A79B4"/>
    <w:rsid w:val="008A79FC"/>
    <w:rsid w:val="008A7C58"/>
    <w:rsid w:val="008B0209"/>
    <w:rsid w:val="008B0428"/>
    <w:rsid w:val="008B0736"/>
    <w:rsid w:val="008B0B60"/>
    <w:rsid w:val="008B153B"/>
    <w:rsid w:val="008B18C5"/>
    <w:rsid w:val="008B28BF"/>
    <w:rsid w:val="008B340A"/>
    <w:rsid w:val="008B3CC0"/>
    <w:rsid w:val="008B5863"/>
    <w:rsid w:val="008B5ADC"/>
    <w:rsid w:val="008B5F99"/>
    <w:rsid w:val="008B62CB"/>
    <w:rsid w:val="008B656A"/>
    <w:rsid w:val="008B6582"/>
    <w:rsid w:val="008B6DAD"/>
    <w:rsid w:val="008B74B8"/>
    <w:rsid w:val="008C01E2"/>
    <w:rsid w:val="008C042C"/>
    <w:rsid w:val="008C04AE"/>
    <w:rsid w:val="008C05F6"/>
    <w:rsid w:val="008C08C3"/>
    <w:rsid w:val="008C0D45"/>
    <w:rsid w:val="008C0E6A"/>
    <w:rsid w:val="008C2251"/>
    <w:rsid w:val="008C2B40"/>
    <w:rsid w:val="008C2B6A"/>
    <w:rsid w:val="008C35DD"/>
    <w:rsid w:val="008C3B43"/>
    <w:rsid w:val="008C3D05"/>
    <w:rsid w:val="008C4091"/>
    <w:rsid w:val="008C4143"/>
    <w:rsid w:val="008C4B42"/>
    <w:rsid w:val="008C4D2E"/>
    <w:rsid w:val="008C500D"/>
    <w:rsid w:val="008C59EE"/>
    <w:rsid w:val="008C5A67"/>
    <w:rsid w:val="008C6148"/>
    <w:rsid w:val="008C7CE0"/>
    <w:rsid w:val="008D052A"/>
    <w:rsid w:val="008D0558"/>
    <w:rsid w:val="008D0A16"/>
    <w:rsid w:val="008D11D5"/>
    <w:rsid w:val="008D24DB"/>
    <w:rsid w:val="008D2516"/>
    <w:rsid w:val="008D25C9"/>
    <w:rsid w:val="008D2ADB"/>
    <w:rsid w:val="008D2F1F"/>
    <w:rsid w:val="008D34E1"/>
    <w:rsid w:val="008D3675"/>
    <w:rsid w:val="008D3A3F"/>
    <w:rsid w:val="008D4134"/>
    <w:rsid w:val="008D49CD"/>
    <w:rsid w:val="008D5238"/>
    <w:rsid w:val="008D5A67"/>
    <w:rsid w:val="008D5D6E"/>
    <w:rsid w:val="008D5EE0"/>
    <w:rsid w:val="008D6DD5"/>
    <w:rsid w:val="008D704C"/>
    <w:rsid w:val="008D74C0"/>
    <w:rsid w:val="008D74C2"/>
    <w:rsid w:val="008D78DE"/>
    <w:rsid w:val="008D7BA8"/>
    <w:rsid w:val="008D7BDB"/>
    <w:rsid w:val="008E1144"/>
    <w:rsid w:val="008E1233"/>
    <w:rsid w:val="008E1C13"/>
    <w:rsid w:val="008E1D10"/>
    <w:rsid w:val="008E1DA2"/>
    <w:rsid w:val="008E2201"/>
    <w:rsid w:val="008E482E"/>
    <w:rsid w:val="008E4CCF"/>
    <w:rsid w:val="008E5237"/>
    <w:rsid w:val="008E5F45"/>
    <w:rsid w:val="008E694A"/>
    <w:rsid w:val="008E6B95"/>
    <w:rsid w:val="008E74EB"/>
    <w:rsid w:val="008E7E07"/>
    <w:rsid w:val="008E7E53"/>
    <w:rsid w:val="008E7E6E"/>
    <w:rsid w:val="008F1A92"/>
    <w:rsid w:val="008F1B0C"/>
    <w:rsid w:val="008F1D61"/>
    <w:rsid w:val="008F255F"/>
    <w:rsid w:val="008F2796"/>
    <w:rsid w:val="008F281E"/>
    <w:rsid w:val="008F2C09"/>
    <w:rsid w:val="008F310E"/>
    <w:rsid w:val="008F3578"/>
    <w:rsid w:val="008F370B"/>
    <w:rsid w:val="008F3840"/>
    <w:rsid w:val="008F4183"/>
    <w:rsid w:val="008F461B"/>
    <w:rsid w:val="008F50E5"/>
    <w:rsid w:val="008F63AF"/>
    <w:rsid w:val="008F6870"/>
    <w:rsid w:val="008F6F40"/>
    <w:rsid w:val="008F7B9A"/>
    <w:rsid w:val="008F7E9D"/>
    <w:rsid w:val="00900182"/>
    <w:rsid w:val="0090034E"/>
    <w:rsid w:val="009007C2"/>
    <w:rsid w:val="00900C0D"/>
    <w:rsid w:val="00900F09"/>
    <w:rsid w:val="0090134A"/>
    <w:rsid w:val="00902137"/>
    <w:rsid w:val="00902BB6"/>
    <w:rsid w:val="0090352D"/>
    <w:rsid w:val="00903DC6"/>
    <w:rsid w:val="00904661"/>
    <w:rsid w:val="00904AE2"/>
    <w:rsid w:val="00904E86"/>
    <w:rsid w:val="00905165"/>
    <w:rsid w:val="0090577E"/>
    <w:rsid w:val="0090714C"/>
    <w:rsid w:val="00907199"/>
    <w:rsid w:val="00907442"/>
    <w:rsid w:val="009075B8"/>
    <w:rsid w:val="00907709"/>
    <w:rsid w:val="00907FB7"/>
    <w:rsid w:val="00911BC0"/>
    <w:rsid w:val="00912753"/>
    <w:rsid w:val="00912779"/>
    <w:rsid w:val="0091395D"/>
    <w:rsid w:val="00913B12"/>
    <w:rsid w:val="00913D28"/>
    <w:rsid w:val="00913E06"/>
    <w:rsid w:val="0091487C"/>
    <w:rsid w:val="009149E9"/>
    <w:rsid w:val="00914A3C"/>
    <w:rsid w:val="00914C29"/>
    <w:rsid w:val="00914D2B"/>
    <w:rsid w:val="00914D60"/>
    <w:rsid w:val="009154BD"/>
    <w:rsid w:val="00916066"/>
    <w:rsid w:val="00916BEA"/>
    <w:rsid w:val="00916F9C"/>
    <w:rsid w:val="00917146"/>
    <w:rsid w:val="00917BED"/>
    <w:rsid w:val="00917C79"/>
    <w:rsid w:val="00917FD5"/>
    <w:rsid w:val="009204D5"/>
    <w:rsid w:val="00920C5A"/>
    <w:rsid w:val="0092185E"/>
    <w:rsid w:val="00922AC9"/>
    <w:rsid w:val="00922D8E"/>
    <w:rsid w:val="00923425"/>
    <w:rsid w:val="0092350F"/>
    <w:rsid w:val="00923514"/>
    <w:rsid w:val="009238E3"/>
    <w:rsid w:val="00923D7D"/>
    <w:rsid w:val="00923F9D"/>
    <w:rsid w:val="00924139"/>
    <w:rsid w:val="00924664"/>
    <w:rsid w:val="00924850"/>
    <w:rsid w:val="00924B19"/>
    <w:rsid w:val="00924C7A"/>
    <w:rsid w:val="009256E3"/>
    <w:rsid w:val="00925E0A"/>
    <w:rsid w:val="00926086"/>
    <w:rsid w:val="0092610B"/>
    <w:rsid w:val="009263F8"/>
    <w:rsid w:val="0092654E"/>
    <w:rsid w:val="009266BB"/>
    <w:rsid w:val="00926EA0"/>
    <w:rsid w:val="0092739C"/>
    <w:rsid w:val="009276E3"/>
    <w:rsid w:val="00927C7E"/>
    <w:rsid w:val="0093052B"/>
    <w:rsid w:val="00930DA3"/>
    <w:rsid w:val="0093131E"/>
    <w:rsid w:val="0093140C"/>
    <w:rsid w:val="00931AC5"/>
    <w:rsid w:val="00931DC1"/>
    <w:rsid w:val="00932DE4"/>
    <w:rsid w:val="009337E7"/>
    <w:rsid w:val="009338C4"/>
    <w:rsid w:val="00933FE9"/>
    <w:rsid w:val="00935322"/>
    <w:rsid w:val="009356E9"/>
    <w:rsid w:val="00936145"/>
    <w:rsid w:val="00936326"/>
    <w:rsid w:val="00936356"/>
    <w:rsid w:val="009363D4"/>
    <w:rsid w:val="00936543"/>
    <w:rsid w:val="00936682"/>
    <w:rsid w:val="00936979"/>
    <w:rsid w:val="0093778B"/>
    <w:rsid w:val="0093798D"/>
    <w:rsid w:val="009415C1"/>
    <w:rsid w:val="009415EB"/>
    <w:rsid w:val="00941928"/>
    <w:rsid w:val="00941ECF"/>
    <w:rsid w:val="009422E5"/>
    <w:rsid w:val="00942536"/>
    <w:rsid w:val="00942B62"/>
    <w:rsid w:val="009435BC"/>
    <w:rsid w:val="009435F1"/>
    <w:rsid w:val="009439D5"/>
    <w:rsid w:val="0094449D"/>
    <w:rsid w:val="009445AD"/>
    <w:rsid w:val="009447F7"/>
    <w:rsid w:val="00944D4F"/>
    <w:rsid w:val="00944D9B"/>
    <w:rsid w:val="0094686B"/>
    <w:rsid w:val="00947466"/>
    <w:rsid w:val="00947599"/>
    <w:rsid w:val="0094762A"/>
    <w:rsid w:val="009477CF"/>
    <w:rsid w:val="00947DB0"/>
    <w:rsid w:val="00950111"/>
    <w:rsid w:val="00950416"/>
    <w:rsid w:val="0095062F"/>
    <w:rsid w:val="00950865"/>
    <w:rsid w:val="00950B06"/>
    <w:rsid w:val="00950CFE"/>
    <w:rsid w:val="00951A35"/>
    <w:rsid w:val="00951F2F"/>
    <w:rsid w:val="009520BF"/>
    <w:rsid w:val="00952156"/>
    <w:rsid w:val="00952BA7"/>
    <w:rsid w:val="00952E1C"/>
    <w:rsid w:val="00954673"/>
    <w:rsid w:val="00955584"/>
    <w:rsid w:val="00955655"/>
    <w:rsid w:val="00955949"/>
    <w:rsid w:val="009563FD"/>
    <w:rsid w:val="009564B2"/>
    <w:rsid w:val="0095652C"/>
    <w:rsid w:val="00956A6E"/>
    <w:rsid w:val="0095713A"/>
    <w:rsid w:val="00957724"/>
    <w:rsid w:val="0095787D"/>
    <w:rsid w:val="00960399"/>
    <w:rsid w:val="009608A4"/>
    <w:rsid w:val="00960926"/>
    <w:rsid w:val="00960C6D"/>
    <w:rsid w:val="00961C7D"/>
    <w:rsid w:val="009628FD"/>
    <w:rsid w:val="00963ECC"/>
    <w:rsid w:val="009643CF"/>
    <w:rsid w:val="0096469A"/>
    <w:rsid w:val="00964DA7"/>
    <w:rsid w:val="009650DC"/>
    <w:rsid w:val="009653F0"/>
    <w:rsid w:val="0096557E"/>
    <w:rsid w:val="0096571B"/>
    <w:rsid w:val="009657AC"/>
    <w:rsid w:val="009666A7"/>
    <w:rsid w:val="009672EF"/>
    <w:rsid w:val="009673F5"/>
    <w:rsid w:val="00967B3D"/>
    <w:rsid w:val="00970069"/>
    <w:rsid w:val="009713D5"/>
    <w:rsid w:val="00971AED"/>
    <w:rsid w:val="00971D69"/>
    <w:rsid w:val="009721EB"/>
    <w:rsid w:val="009724C1"/>
    <w:rsid w:val="00972528"/>
    <w:rsid w:val="00972909"/>
    <w:rsid w:val="00972A56"/>
    <w:rsid w:val="00973788"/>
    <w:rsid w:val="009738FB"/>
    <w:rsid w:val="009745E1"/>
    <w:rsid w:val="0097525B"/>
    <w:rsid w:val="00975985"/>
    <w:rsid w:val="009764F0"/>
    <w:rsid w:val="00976881"/>
    <w:rsid w:val="00976BB9"/>
    <w:rsid w:val="00976EF3"/>
    <w:rsid w:val="00976EFD"/>
    <w:rsid w:val="00976F98"/>
    <w:rsid w:val="009770EF"/>
    <w:rsid w:val="009805B9"/>
    <w:rsid w:val="009812EE"/>
    <w:rsid w:val="00982482"/>
    <w:rsid w:val="00983357"/>
    <w:rsid w:val="009835AF"/>
    <w:rsid w:val="00983A59"/>
    <w:rsid w:val="009842A2"/>
    <w:rsid w:val="00984B47"/>
    <w:rsid w:val="00985102"/>
    <w:rsid w:val="00985E63"/>
    <w:rsid w:val="009905A7"/>
    <w:rsid w:val="00990D5E"/>
    <w:rsid w:val="009917E8"/>
    <w:rsid w:val="0099189B"/>
    <w:rsid w:val="009921BA"/>
    <w:rsid w:val="00992540"/>
    <w:rsid w:val="009926F3"/>
    <w:rsid w:val="009929FA"/>
    <w:rsid w:val="00992F2D"/>
    <w:rsid w:val="0099336D"/>
    <w:rsid w:val="00993F54"/>
    <w:rsid w:val="009943F2"/>
    <w:rsid w:val="009944EE"/>
    <w:rsid w:val="00994AEF"/>
    <w:rsid w:val="00994F1E"/>
    <w:rsid w:val="00995E9C"/>
    <w:rsid w:val="00996083"/>
    <w:rsid w:val="00996463"/>
    <w:rsid w:val="0099671D"/>
    <w:rsid w:val="009968A4"/>
    <w:rsid w:val="0099750E"/>
    <w:rsid w:val="009978C8"/>
    <w:rsid w:val="00997AB7"/>
    <w:rsid w:val="00997CAA"/>
    <w:rsid w:val="009A0844"/>
    <w:rsid w:val="009A0E93"/>
    <w:rsid w:val="009A1ABD"/>
    <w:rsid w:val="009A1F4F"/>
    <w:rsid w:val="009A2189"/>
    <w:rsid w:val="009A2527"/>
    <w:rsid w:val="009A2587"/>
    <w:rsid w:val="009A2AC7"/>
    <w:rsid w:val="009A2FFC"/>
    <w:rsid w:val="009A3637"/>
    <w:rsid w:val="009A3733"/>
    <w:rsid w:val="009A385A"/>
    <w:rsid w:val="009A3B98"/>
    <w:rsid w:val="009A3F87"/>
    <w:rsid w:val="009A427E"/>
    <w:rsid w:val="009A4551"/>
    <w:rsid w:val="009A4D11"/>
    <w:rsid w:val="009A56C8"/>
    <w:rsid w:val="009A575A"/>
    <w:rsid w:val="009A578A"/>
    <w:rsid w:val="009A6048"/>
    <w:rsid w:val="009A6754"/>
    <w:rsid w:val="009A6930"/>
    <w:rsid w:val="009A700B"/>
    <w:rsid w:val="009A7662"/>
    <w:rsid w:val="009A76C0"/>
    <w:rsid w:val="009B1332"/>
    <w:rsid w:val="009B1389"/>
    <w:rsid w:val="009B13B6"/>
    <w:rsid w:val="009B1563"/>
    <w:rsid w:val="009B2444"/>
    <w:rsid w:val="009B3338"/>
    <w:rsid w:val="009B37A9"/>
    <w:rsid w:val="009B45A0"/>
    <w:rsid w:val="009B49C2"/>
    <w:rsid w:val="009B4A83"/>
    <w:rsid w:val="009B4EF3"/>
    <w:rsid w:val="009B5783"/>
    <w:rsid w:val="009B5FBE"/>
    <w:rsid w:val="009B5FCE"/>
    <w:rsid w:val="009B6102"/>
    <w:rsid w:val="009B645F"/>
    <w:rsid w:val="009B646C"/>
    <w:rsid w:val="009B689C"/>
    <w:rsid w:val="009B6DFC"/>
    <w:rsid w:val="009B706E"/>
    <w:rsid w:val="009B73F0"/>
    <w:rsid w:val="009B774E"/>
    <w:rsid w:val="009B784B"/>
    <w:rsid w:val="009B7F27"/>
    <w:rsid w:val="009B7F37"/>
    <w:rsid w:val="009C0334"/>
    <w:rsid w:val="009C0B3C"/>
    <w:rsid w:val="009C179A"/>
    <w:rsid w:val="009C17B0"/>
    <w:rsid w:val="009C1872"/>
    <w:rsid w:val="009C1DA7"/>
    <w:rsid w:val="009C226D"/>
    <w:rsid w:val="009C260A"/>
    <w:rsid w:val="009C344B"/>
    <w:rsid w:val="009C3564"/>
    <w:rsid w:val="009C3A84"/>
    <w:rsid w:val="009C3A88"/>
    <w:rsid w:val="009C3D15"/>
    <w:rsid w:val="009C423A"/>
    <w:rsid w:val="009C5DFC"/>
    <w:rsid w:val="009C637C"/>
    <w:rsid w:val="009C64F4"/>
    <w:rsid w:val="009C6692"/>
    <w:rsid w:val="009C6962"/>
    <w:rsid w:val="009C709C"/>
    <w:rsid w:val="009C7ACE"/>
    <w:rsid w:val="009D0E60"/>
    <w:rsid w:val="009D0EDC"/>
    <w:rsid w:val="009D16CC"/>
    <w:rsid w:val="009D1AD9"/>
    <w:rsid w:val="009D1C89"/>
    <w:rsid w:val="009D1E10"/>
    <w:rsid w:val="009D257F"/>
    <w:rsid w:val="009D26C4"/>
    <w:rsid w:val="009D2BA6"/>
    <w:rsid w:val="009D2C62"/>
    <w:rsid w:val="009D36B2"/>
    <w:rsid w:val="009D3827"/>
    <w:rsid w:val="009D3EA0"/>
    <w:rsid w:val="009D408B"/>
    <w:rsid w:val="009D4268"/>
    <w:rsid w:val="009D5195"/>
    <w:rsid w:val="009D553D"/>
    <w:rsid w:val="009D5717"/>
    <w:rsid w:val="009D5846"/>
    <w:rsid w:val="009D5ED6"/>
    <w:rsid w:val="009D600D"/>
    <w:rsid w:val="009D66D1"/>
    <w:rsid w:val="009D7401"/>
    <w:rsid w:val="009D7732"/>
    <w:rsid w:val="009D796C"/>
    <w:rsid w:val="009D7A9E"/>
    <w:rsid w:val="009D7BF8"/>
    <w:rsid w:val="009E0877"/>
    <w:rsid w:val="009E0F1B"/>
    <w:rsid w:val="009E31B3"/>
    <w:rsid w:val="009E326E"/>
    <w:rsid w:val="009E33A9"/>
    <w:rsid w:val="009E37DB"/>
    <w:rsid w:val="009E38C4"/>
    <w:rsid w:val="009E3BEE"/>
    <w:rsid w:val="009E404C"/>
    <w:rsid w:val="009E4200"/>
    <w:rsid w:val="009E54BA"/>
    <w:rsid w:val="009E5679"/>
    <w:rsid w:val="009E56FB"/>
    <w:rsid w:val="009E5B52"/>
    <w:rsid w:val="009E5DEE"/>
    <w:rsid w:val="009E5E55"/>
    <w:rsid w:val="009E63CF"/>
    <w:rsid w:val="009E68C0"/>
    <w:rsid w:val="009E6A9C"/>
    <w:rsid w:val="009E7219"/>
    <w:rsid w:val="009E7433"/>
    <w:rsid w:val="009E74B2"/>
    <w:rsid w:val="009E79ED"/>
    <w:rsid w:val="009F07E3"/>
    <w:rsid w:val="009F0B35"/>
    <w:rsid w:val="009F0D73"/>
    <w:rsid w:val="009F139C"/>
    <w:rsid w:val="009F18C3"/>
    <w:rsid w:val="009F2A0D"/>
    <w:rsid w:val="009F2AA8"/>
    <w:rsid w:val="009F3142"/>
    <w:rsid w:val="009F3FF6"/>
    <w:rsid w:val="009F3FFA"/>
    <w:rsid w:val="009F4306"/>
    <w:rsid w:val="009F5589"/>
    <w:rsid w:val="009F5B5C"/>
    <w:rsid w:val="009F5BCB"/>
    <w:rsid w:val="009F6242"/>
    <w:rsid w:val="009F6E4C"/>
    <w:rsid w:val="009F7578"/>
    <w:rsid w:val="009F7B80"/>
    <w:rsid w:val="009F7B87"/>
    <w:rsid w:val="00A0099C"/>
    <w:rsid w:val="00A011DF"/>
    <w:rsid w:val="00A014A9"/>
    <w:rsid w:val="00A014BE"/>
    <w:rsid w:val="00A02EF8"/>
    <w:rsid w:val="00A04813"/>
    <w:rsid w:val="00A054EF"/>
    <w:rsid w:val="00A0599E"/>
    <w:rsid w:val="00A06684"/>
    <w:rsid w:val="00A06833"/>
    <w:rsid w:val="00A069B5"/>
    <w:rsid w:val="00A06D08"/>
    <w:rsid w:val="00A07170"/>
    <w:rsid w:val="00A07596"/>
    <w:rsid w:val="00A07BBF"/>
    <w:rsid w:val="00A1065E"/>
    <w:rsid w:val="00A10734"/>
    <w:rsid w:val="00A109CC"/>
    <w:rsid w:val="00A1129C"/>
    <w:rsid w:val="00A116D3"/>
    <w:rsid w:val="00A128EF"/>
    <w:rsid w:val="00A12981"/>
    <w:rsid w:val="00A129C1"/>
    <w:rsid w:val="00A12C94"/>
    <w:rsid w:val="00A13588"/>
    <w:rsid w:val="00A1358A"/>
    <w:rsid w:val="00A13F29"/>
    <w:rsid w:val="00A14D7B"/>
    <w:rsid w:val="00A14E38"/>
    <w:rsid w:val="00A150EB"/>
    <w:rsid w:val="00A15C2A"/>
    <w:rsid w:val="00A15C63"/>
    <w:rsid w:val="00A15D97"/>
    <w:rsid w:val="00A161B9"/>
    <w:rsid w:val="00A16962"/>
    <w:rsid w:val="00A16E62"/>
    <w:rsid w:val="00A17218"/>
    <w:rsid w:val="00A17A08"/>
    <w:rsid w:val="00A201C7"/>
    <w:rsid w:val="00A20303"/>
    <w:rsid w:val="00A20B57"/>
    <w:rsid w:val="00A21718"/>
    <w:rsid w:val="00A219DD"/>
    <w:rsid w:val="00A21A08"/>
    <w:rsid w:val="00A22122"/>
    <w:rsid w:val="00A24177"/>
    <w:rsid w:val="00A24599"/>
    <w:rsid w:val="00A249B0"/>
    <w:rsid w:val="00A25002"/>
    <w:rsid w:val="00A25DAF"/>
    <w:rsid w:val="00A2624D"/>
    <w:rsid w:val="00A268B4"/>
    <w:rsid w:val="00A270F6"/>
    <w:rsid w:val="00A273E5"/>
    <w:rsid w:val="00A273EA"/>
    <w:rsid w:val="00A300E5"/>
    <w:rsid w:val="00A30484"/>
    <w:rsid w:val="00A305A7"/>
    <w:rsid w:val="00A31B34"/>
    <w:rsid w:val="00A32A07"/>
    <w:rsid w:val="00A32D60"/>
    <w:rsid w:val="00A32FB1"/>
    <w:rsid w:val="00A330DD"/>
    <w:rsid w:val="00A339C9"/>
    <w:rsid w:val="00A346D3"/>
    <w:rsid w:val="00A349E2"/>
    <w:rsid w:val="00A3571E"/>
    <w:rsid w:val="00A35ADD"/>
    <w:rsid w:val="00A36122"/>
    <w:rsid w:val="00A36BAF"/>
    <w:rsid w:val="00A37BE9"/>
    <w:rsid w:val="00A40203"/>
    <w:rsid w:val="00A40339"/>
    <w:rsid w:val="00A40BF2"/>
    <w:rsid w:val="00A40C70"/>
    <w:rsid w:val="00A412EB"/>
    <w:rsid w:val="00A41FC2"/>
    <w:rsid w:val="00A4263B"/>
    <w:rsid w:val="00A426E9"/>
    <w:rsid w:val="00A42827"/>
    <w:rsid w:val="00A42932"/>
    <w:rsid w:val="00A438C5"/>
    <w:rsid w:val="00A43C1F"/>
    <w:rsid w:val="00A442D7"/>
    <w:rsid w:val="00A44B2A"/>
    <w:rsid w:val="00A454B6"/>
    <w:rsid w:val="00A45615"/>
    <w:rsid w:val="00A476FF"/>
    <w:rsid w:val="00A47A13"/>
    <w:rsid w:val="00A507D3"/>
    <w:rsid w:val="00A50F5E"/>
    <w:rsid w:val="00A5128E"/>
    <w:rsid w:val="00A51838"/>
    <w:rsid w:val="00A52E2B"/>
    <w:rsid w:val="00A5301E"/>
    <w:rsid w:val="00A530AC"/>
    <w:rsid w:val="00A5389C"/>
    <w:rsid w:val="00A539BC"/>
    <w:rsid w:val="00A53FAD"/>
    <w:rsid w:val="00A54140"/>
    <w:rsid w:val="00A54473"/>
    <w:rsid w:val="00A547F3"/>
    <w:rsid w:val="00A54AEF"/>
    <w:rsid w:val="00A55263"/>
    <w:rsid w:val="00A55C72"/>
    <w:rsid w:val="00A55DA2"/>
    <w:rsid w:val="00A56DB2"/>
    <w:rsid w:val="00A56FDB"/>
    <w:rsid w:val="00A57315"/>
    <w:rsid w:val="00A577FB"/>
    <w:rsid w:val="00A578DC"/>
    <w:rsid w:val="00A57B2A"/>
    <w:rsid w:val="00A57C15"/>
    <w:rsid w:val="00A60068"/>
    <w:rsid w:val="00A60673"/>
    <w:rsid w:val="00A609AF"/>
    <w:rsid w:val="00A60B55"/>
    <w:rsid w:val="00A60BA6"/>
    <w:rsid w:val="00A60EB0"/>
    <w:rsid w:val="00A61356"/>
    <w:rsid w:val="00A61503"/>
    <w:rsid w:val="00A619BE"/>
    <w:rsid w:val="00A61B21"/>
    <w:rsid w:val="00A61F3E"/>
    <w:rsid w:val="00A62755"/>
    <w:rsid w:val="00A63EE5"/>
    <w:rsid w:val="00A64336"/>
    <w:rsid w:val="00A6485E"/>
    <w:rsid w:val="00A64C77"/>
    <w:rsid w:val="00A64FE7"/>
    <w:rsid w:val="00A65C58"/>
    <w:rsid w:val="00A65D0F"/>
    <w:rsid w:val="00A6618E"/>
    <w:rsid w:val="00A665B8"/>
    <w:rsid w:val="00A66B91"/>
    <w:rsid w:val="00A671F2"/>
    <w:rsid w:val="00A679CC"/>
    <w:rsid w:val="00A67FCC"/>
    <w:rsid w:val="00A67FF6"/>
    <w:rsid w:val="00A70261"/>
    <w:rsid w:val="00A7061E"/>
    <w:rsid w:val="00A708CA"/>
    <w:rsid w:val="00A713F0"/>
    <w:rsid w:val="00A71C56"/>
    <w:rsid w:val="00A71D55"/>
    <w:rsid w:val="00A72A4F"/>
    <w:rsid w:val="00A742BC"/>
    <w:rsid w:val="00A74B04"/>
    <w:rsid w:val="00A7526D"/>
    <w:rsid w:val="00A75ABE"/>
    <w:rsid w:val="00A75C4A"/>
    <w:rsid w:val="00A75EC8"/>
    <w:rsid w:val="00A766B9"/>
    <w:rsid w:val="00A76B24"/>
    <w:rsid w:val="00A7742F"/>
    <w:rsid w:val="00A77454"/>
    <w:rsid w:val="00A775A8"/>
    <w:rsid w:val="00A801DC"/>
    <w:rsid w:val="00A80DBC"/>
    <w:rsid w:val="00A81531"/>
    <w:rsid w:val="00A81778"/>
    <w:rsid w:val="00A81B63"/>
    <w:rsid w:val="00A81DC3"/>
    <w:rsid w:val="00A81DC8"/>
    <w:rsid w:val="00A83E4F"/>
    <w:rsid w:val="00A8411B"/>
    <w:rsid w:val="00A84762"/>
    <w:rsid w:val="00A848B1"/>
    <w:rsid w:val="00A84C03"/>
    <w:rsid w:val="00A8511C"/>
    <w:rsid w:val="00A852DB"/>
    <w:rsid w:val="00A853AA"/>
    <w:rsid w:val="00A8595B"/>
    <w:rsid w:val="00A863AB"/>
    <w:rsid w:val="00A863C1"/>
    <w:rsid w:val="00A869F1"/>
    <w:rsid w:val="00A86C7F"/>
    <w:rsid w:val="00A86DBF"/>
    <w:rsid w:val="00A87A60"/>
    <w:rsid w:val="00A87CA1"/>
    <w:rsid w:val="00A87FD5"/>
    <w:rsid w:val="00A903C7"/>
    <w:rsid w:val="00A908A8"/>
    <w:rsid w:val="00A909B1"/>
    <w:rsid w:val="00A90A84"/>
    <w:rsid w:val="00A91B94"/>
    <w:rsid w:val="00A9219B"/>
    <w:rsid w:val="00A923E9"/>
    <w:rsid w:val="00A92597"/>
    <w:rsid w:val="00A92A70"/>
    <w:rsid w:val="00A92DAD"/>
    <w:rsid w:val="00A92ED9"/>
    <w:rsid w:val="00A934ED"/>
    <w:rsid w:val="00A94118"/>
    <w:rsid w:val="00A94580"/>
    <w:rsid w:val="00A94A68"/>
    <w:rsid w:val="00A95C2E"/>
    <w:rsid w:val="00A95F45"/>
    <w:rsid w:val="00A9690A"/>
    <w:rsid w:val="00A96ADF"/>
    <w:rsid w:val="00A97174"/>
    <w:rsid w:val="00A97FBC"/>
    <w:rsid w:val="00AA00C9"/>
    <w:rsid w:val="00AA046F"/>
    <w:rsid w:val="00AA18AE"/>
    <w:rsid w:val="00AA1ADD"/>
    <w:rsid w:val="00AA1BEE"/>
    <w:rsid w:val="00AA1C5C"/>
    <w:rsid w:val="00AA2476"/>
    <w:rsid w:val="00AA2744"/>
    <w:rsid w:val="00AA2819"/>
    <w:rsid w:val="00AA2A4F"/>
    <w:rsid w:val="00AA39EB"/>
    <w:rsid w:val="00AA3F47"/>
    <w:rsid w:val="00AA56EA"/>
    <w:rsid w:val="00AA5CDD"/>
    <w:rsid w:val="00AA5E1C"/>
    <w:rsid w:val="00AA6085"/>
    <w:rsid w:val="00AA6439"/>
    <w:rsid w:val="00AA6C33"/>
    <w:rsid w:val="00AA6F72"/>
    <w:rsid w:val="00AA744B"/>
    <w:rsid w:val="00AA7F63"/>
    <w:rsid w:val="00AB04F8"/>
    <w:rsid w:val="00AB068C"/>
    <w:rsid w:val="00AB06DF"/>
    <w:rsid w:val="00AB0822"/>
    <w:rsid w:val="00AB0BE9"/>
    <w:rsid w:val="00AB1E1A"/>
    <w:rsid w:val="00AB2152"/>
    <w:rsid w:val="00AB2542"/>
    <w:rsid w:val="00AB2831"/>
    <w:rsid w:val="00AB2C11"/>
    <w:rsid w:val="00AB3026"/>
    <w:rsid w:val="00AB3A0A"/>
    <w:rsid w:val="00AB3E7A"/>
    <w:rsid w:val="00AB42BF"/>
    <w:rsid w:val="00AB4835"/>
    <w:rsid w:val="00AB502A"/>
    <w:rsid w:val="00AB599E"/>
    <w:rsid w:val="00AB59B6"/>
    <w:rsid w:val="00AB5E74"/>
    <w:rsid w:val="00AB6836"/>
    <w:rsid w:val="00AB6C9B"/>
    <w:rsid w:val="00AB6E83"/>
    <w:rsid w:val="00AB7162"/>
    <w:rsid w:val="00AB71A5"/>
    <w:rsid w:val="00AB774B"/>
    <w:rsid w:val="00AB7B4C"/>
    <w:rsid w:val="00AC05CB"/>
    <w:rsid w:val="00AC0B12"/>
    <w:rsid w:val="00AC1405"/>
    <w:rsid w:val="00AC1872"/>
    <w:rsid w:val="00AC1BA8"/>
    <w:rsid w:val="00AC2032"/>
    <w:rsid w:val="00AC23F6"/>
    <w:rsid w:val="00AC374F"/>
    <w:rsid w:val="00AC3C04"/>
    <w:rsid w:val="00AC4335"/>
    <w:rsid w:val="00AC4C98"/>
    <w:rsid w:val="00AC5D09"/>
    <w:rsid w:val="00AC63C4"/>
    <w:rsid w:val="00AC654C"/>
    <w:rsid w:val="00AC6572"/>
    <w:rsid w:val="00AC666F"/>
    <w:rsid w:val="00AC68AB"/>
    <w:rsid w:val="00AC6B14"/>
    <w:rsid w:val="00AC6DF6"/>
    <w:rsid w:val="00AC7528"/>
    <w:rsid w:val="00AC7674"/>
    <w:rsid w:val="00AC7CCA"/>
    <w:rsid w:val="00AC7FA5"/>
    <w:rsid w:val="00AD021B"/>
    <w:rsid w:val="00AD0D93"/>
    <w:rsid w:val="00AD12B2"/>
    <w:rsid w:val="00AD1B11"/>
    <w:rsid w:val="00AD1C59"/>
    <w:rsid w:val="00AD285F"/>
    <w:rsid w:val="00AD2EA6"/>
    <w:rsid w:val="00AD3474"/>
    <w:rsid w:val="00AD3876"/>
    <w:rsid w:val="00AD3A96"/>
    <w:rsid w:val="00AD3B7C"/>
    <w:rsid w:val="00AD3D93"/>
    <w:rsid w:val="00AD47C8"/>
    <w:rsid w:val="00AD4817"/>
    <w:rsid w:val="00AD4A8F"/>
    <w:rsid w:val="00AD4A94"/>
    <w:rsid w:val="00AD4D28"/>
    <w:rsid w:val="00AD4DB7"/>
    <w:rsid w:val="00AD593E"/>
    <w:rsid w:val="00AD5A6E"/>
    <w:rsid w:val="00AD5AC9"/>
    <w:rsid w:val="00AD5E3F"/>
    <w:rsid w:val="00AD5EB3"/>
    <w:rsid w:val="00AD631F"/>
    <w:rsid w:val="00AD66A0"/>
    <w:rsid w:val="00AD68CB"/>
    <w:rsid w:val="00AD6AC9"/>
    <w:rsid w:val="00AD6BD9"/>
    <w:rsid w:val="00AE030A"/>
    <w:rsid w:val="00AE04E3"/>
    <w:rsid w:val="00AE070B"/>
    <w:rsid w:val="00AE0A09"/>
    <w:rsid w:val="00AE1518"/>
    <w:rsid w:val="00AE1E64"/>
    <w:rsid w:val="00AE21FF"/>
    <w:rsid w:val="00AE2387"/>
    <w:rsid w:val="00AE2AFE"/>
    <w:rsid w:val="00AE3C82"/>
    <w:rsid w:val="00AE4518"/>
    <w:rsid w:val="00AE491C"/>
    <w:rsid w:val="00AE4C69"/>
    <w:rsid w:val="00AE4D0A"/>
    <w:rsid w:val="00AE4DB1"/>
    <w:rsid w:val="00AE5325"/>
    <w:rsid w:val="00AE61D4"/>
    <w:rsid w:val="00AE6698"/>
    <w:rsid w:val="00AE6A7E"/>
    <w:rsid w:val="00AE6EDB"/>
    <w:rsid w:val="00AE76E5"/>
    <w:rsid w:val="00AE77A3"/>
    <w:rsid w:val="00AE77F5"/>
    <w:rsid w:val="00AF061E"/>
    <w:rsid w:val="00AF0A62"/>
    <w:rsid w:val="00AF1185"/>
    <w:rsid w:val="00AF1D53"/>
    <w:rsid w:val="00AF1F18"/>
    <w:rsid w:val="00AF25C5"/>
    <w:rsid w:val="00AF29D4"/>
    <w:rsid w:val="00AF2C30"/>
    <w:rsid w:val="00AF2DAF"/>
    <w:rsid w:val="00AF32B5"/>
    <w:rsid w:val="00AF355F"/>
    <w:rsid w:val="00AF3F8F"/>
    <w:rsid w:val="00AF4275"/>
    <w:rsid w:val="00AF5236"/>
    <w:rsid w:val="00AF532B"/>
    <w:rsid w:val="00AF5EA3"/>
    <w:rsid w:val="00AF6196"/>
    <w:rsid w:val="00AF648A"/>
    <w:rsid w:val="00AF7156"/>
    <w:rsid w:val="00B01472"/>
    <w:rsid w:val="00B016E2"/>
    <w:rsid w:val="00B026F4"/>
    <w:rsid w:val="00B030BE"/>
    <w:rsid w:val="00B03487"/>
    <w:rsid w:val="00B03C2E"/>
    <w:rsid w:val="00B03D6C"/>
    <w:rsid w:val="00B03EE1"/>
    <w:rsid w:val="00B040D5"/>
    <w:rsid w:val="00B04DE7"/>
    <w:rsid w:val="00B05247"/>
    <w:rsid w:val="00B052B2"/>
    <w:rsid w:val="00B054B6"/>
    <w:rsid w:val="00B05A09"/>
    <w:rsid w:val="00B05D0D"/>
    <w:rsid w:val="00B061A5"/>
    <w:rsid w:val="00B06259"/>
    <w:rsid w:val="00B064C2"/>
    <w:rsid w:val="00B06DB2"/>
    <w:rsid w:val="00B0714C"/>
    <w:rsid w:val="00B0726E"/>
    <w:rsid w:val="00B07C73"/>
    <w:rsid w:val="00B10669"/>
    <w:rsid w:val="00B10CA2"/>
    <w:rsid w:val="00B11793"/>
    <w:rsid w:val="00B11849"/>
    <w:rsid w:val="00B119FD"/>
    <w:rsid w:val="00B12379"/>
    <w:rsid w:val="00B123B4"/>
    <w:rsid w:val="00B124A1"/>
    <w:rsid w:val="00B13EE2"/>
    <w:rsid w:val="00B151D5"/>
    <w:rsid w:val="00B151FE"/>
    <w:rsid w:val="00B16558"/>
    <w:rsid w:val="00B1722A"/>
    <w:rsid w:val="00B17B4A"/>
    <w:rsid w:val="00B17BDC"/>
    <w:rsid w:val="00B2007D"/>
    <w:rsid w:val="00B20A5C"/>
    <w:rsid w:val="00B20E48"/>
    <w:rsid w:val="00B2130B"/>
    <w:rsid w:val="00B219D1"/>
    <w:rsid w:val="00B21EF9"/>
    <w:rsid w:val="00B221EA"/>
    <w:rsid w:val="00B23CDD"/>
    <w:rsid w:val="00B23F39"/>
    <w:rsid w:val="00B246BB"/>
    <w:rsid w:val="00B251A4"/>
    <w:rsid w:val="00B2553D"/>
    <w:rsid w:val="00B256FC"/>
    <w:rsid w:val="00B25CD8"/>
    <w:rsid w:val="00B265DD"/>
    <w:rsid w:val="00B265E2"/>
    <w:rsid w:val="00B26E8B"/>
    <w:rsid w:val="00B27310"/>
    <w:rsid w:val="00B27418"/>
    <w:rsid w:val="00B275EF"/>
    <w:rsid w:val="00B27E73"/>
    <w:rsid w:val="00B3016F"/>
    <w:rsid w:val="00B3082A"/>
    <w:rsid w:val="00B309DF"/>
    <w:rsid w:val="00B309F7"/>
    <w:rsid w:val="00B31892"/>
    <w:rsid w:val="00B324A9"/>
    <w:rsid w:val="00B326A0"/>
    <w:rsid w:val="00B32A6F"/>
    <w:rsid w:val="00B32ABC"/>
    <w:rsid w:val="00B32D84"/>
    <w:rsid w:val="00B33662"/>
    <w:rsid w:val="00B33B0F"/>
    <w:rsid w:val="00B34CF5"/>
    <w:rsid w:val="00B34E40"/>
    <w:rsid w:val="00B34F98"/>
    <w:rsid w:val="00B3536D"/>
    <w:rsid w:val="00B35908"/>
    <w:rsid w:val="00B36268"/>
    <w:rsid w:val="00B36752"/>
    <w:rsid w:val="00B3683D"/>
    <w:rsid w:val="00B37FA1"/>
    <w:rsid w:val="00B4054D"/>
    <w:rsid w:val="00B40A91"/>
    <w:rsid w:val="00B41023"/>
    <w:rsid w:val="00B416C1"/>
    <w:rsid w:val="00B41A17"/>
    <w:rsid w:val="00B41A39"/>
    <w:rsid w:val="00B41AE4"/>
    <w:rsid w:val="00B42F9C"/>
    <w:rsid w:val="00B43081"/>
    <w:rsid w:val="00B430D5"/>
    <w:rsid w:val="00B43314"/>
    <w:rsid w:val="00B43642"/>
    <w:rsid w:val="00B43E7D"/>
    <w:rsid w:val="00B4469C"/>
    <w:rsid w:val="00B452EB"/>
    <w:rsid w:val="00B4550F"/>
    <w:rsid w:val="00B458B7"/>
    <w:rsid w:val="00B45CFE"/>
    <w:rsid w:val="00B45E5A"/>
    <w:rsid w:val="00B467B1"/>
    <w:rsid w:val="00B469DE"/>
    <w:rsid w:val="00B46CEE"/>
    <w:rsid w:val="00B46E0E"/>
    <w:rsid w:val="00B472C3"/>
    <w:rsid w:val="00B47800"/>
    <w:rsid w:val="00B47833"/>
    <w:rsid w:val="00B478DD"/>
    <w:rsid w:val="00B47F44"/>
    <w:rsid w:val="00B516F1"/>
    <w:rsid w:val="00B51818"/>
    <w:rsid w:val="00B519C6"/>
    <w:rsid w:val="00B51C75"/>
    <w:rsid w:val="00B5248B"/>
    <w:rsid w:val="00B5318A"/>
    <w:rsid w:val="00B536A5"/>
    <w:rsid w:val="00B53BA3"/>
    <w:rsid w:val="00B53E17"/>
    <w:rsid w:val="00B53F8A"/>
    <w:rsid w:val="00B53FA6"/>
    <w:rsid w:val="00B54282"/>
    <w:rsid w:val="00B54810"/>
    <w:rsid w:val="00B552BF"/>
    <w:rsid w:val="00B557AE"/>
    <w:rsid w:val="00B5584C"/>
    <w:rsid w:val="00B55D25"/>
    <w:rsid w:val="00B5602B"/>
    <w:rsid w:val="00B566F1"/>
    <w:rsid w:val="00B57DDD"/>
    <w:rsid w:val="00B603D6"/>
    <w:rsid w:val="00B610E7"/>
    <w:rsid w:val="00B61A54"/>
    <w:rsid w:val="00B62354"/>
    <w:rsid w:val="00B62A04"/>
    <w:rsid w:val="00B63015"/>
    <w:rsid w:val="00B63DC1"/>
    <w:rsid w:val="00B63FED"/>
    <w:rsid w:val="00B6498B"/>
    <w:rsid w:val="00B654CE"/>
    <w:rsid w:val="00B658C3"/>
    <w:rsid w:val="00B66CDE"/>
    <w:rsid w:val="00B679D1"/>
    <w:rsid w:val="00B67B8F"/>
    <w:rsid w:val="00B67D42"/>
    <w:rsid w:val="00B67F96"/>
    <w:rsid w:val="00B71E77"/>
    <w:rsid w:val="00B71F9C"/>
    <w:rsid w:val="00B72392"/>
    <w:rsid w:val="00B726DE"/>
    <w:rsid w:val="00B73598"/>
    <w:rsid w:val="00B74186"/>
    <w:rsid w:val="00B7471D"/>
    <w:rsid w:val="00B75280"/>
    <w:rsid w:val="00B75584"/>
    <w:rsid w:val="00B7581E"/>
    <w:rsid w:val="00B765BA"/>
    <w:rsid w:val="00B76630"/>
    <w:rsid w:val="00B76750"/>
    <w:rsid w:val="00B767F1"/>
    <w:rsid w:val="00B76DB3"/>
    <w:rsid w:val="00B772E3"/>
    <w:rsid w:val="00B77FDC"/>
    <w:rsid w:val="00B80F82"/>
    <w:rsid w:val="00B813BA"/>
    <w:rsid w:val="00B81424"/>
    <w:rsid w:val="00B81FA4"/>
    <w:rsid w:val="00B820C8"/>
    <w:rsid w:val="00B824A2"/>
    <w:rsid w:val="00B8259F"/>
    <w:rsid w:val="00B82BD2"/>
    <w:rsid w:val="00B82DD5"/>
    <w:rsid w:val="00B82EEC"/>
    <w:rsid w:val="00B83441"/>
    <w:rsid w:val="00B83638"/>
    <w:rsid w:val="00B84ACC"/>
    <w:rsid w:val="00B84E65"/>
    <w:rsid w:val="00B84E79"/>
    <w:rsid w:val="00B85EEE"/>
    <w:rsid w:val="00B86969"/>
    <w:rsid w:val="00B86C13"/>
    <w:rsid w:val="00B86D08"/>
    <w:rsid w:val="00B8794C"/>
    <w:rsid w:val="00B90135"/>
    <w:rsid w:val="00B90A60"/>
    <w:rsid w:val="00B90FD4"/>
    <w:rsid w:val="00B910CE"/>
    <w:rsid w:val="00B91607"/>
    <w:rsid w:val="00B91697"/>
    <w:rsid w:val="00B91925"/>
    <w:rsid w:val="00B91CCA"/>
    <w:rsid w:val="00B91F53"/>
    <w:rsid w:val="00B9244B"/>
    <w:rsid w:val="00B92AD2"/>
    <w:rsid w:val="00B92FE9"/>
    <w:rsid w:val="00B94493"/>
    <w:rsid w:val="00B94512"/>
    <w:rsid w:val="00B94BB7"/>
    <w:rsid w:val="00B94BC3"/>
    <w:rsid w:val="00B9508B"/>
    <w:rsid w:val="00B951A4"/>
    <w:rsid w:val="00B95B6E"/>
    <w:rsid w:val="00B95EF4"/>
    <w:rsid w:val="00B96D72"/>
    <w:rsid w:val="00B96E94"/>
    <w:rsid w:val="00B96F6E"/>
    <w:rsid w:val="00B970F0"/>
    <w:rsid w:val="00B9724B"/>
    <w:rsid w:val="00B9735B"/>
    <w:rsid w:val="00BA0974"/>
    <w:rsid w:val="00BA0BFC"/>
    <w:rsid w:val="00BA16B3"/>
    <w:rsid w:val="00BA1F62"/>
    <w:rsid w:val="00BA21BB"/>
    <w:rsid w:val="00BA28DE"/>
    <w:rsid w:val="00BA2F33"/>
    <w:rsid w:val="00BA340A"/>
    <w:rsid w:val="00BA35FD"/>
    <w:rsid w:val="00BA4A90"/>
    <w:rsid w:val="00BA4C93"/>
    <w:rsid w:val="00BA4CD6"/>
    <w:rsid w:val="00BA53FC"/>
    <w:rsid w:val="00BA5473"/>
    <w:rsid w:val="00BA6036"/>
    <w:rsid w:val="00BA69E5"/>
    <w:rsid w:val="00BA6F2C"/>
    <w:rsid w:val="00BA77CA"/>
    <w:rsid w:val="00BA7916"/>
    <w:rsid w:val="00BB0422"/>
    <w:rsid w:val="00BB0723"/>
    <w:rsid w:val="00BB0776"/>
    <w:rsid w:val="00BB09BA"/>
    <w:rsid w:val="00BB1277"/>
    <w:rsid w:val="00BB134F"/>
    <w:rsid w:val="00BB17DB"/>
    <w:rsid w:val="00BB1983"/>
    <w:rsid w:val="00BB238A"/>
    <w:rsid w:val="00BB246F"/>
    <w:rsid w:val="00BB2664"/>
    <w:rsid w:val="00BB3675"/>
    <w:rsid w:val="00BB3968"/>
    <w:rsid w:val="00BB3E6C"/>
    <w:rsid w:val="00BB3F71"/>
    <w:rsid w:val="00BB41A8"/>
    <w:rsid w:val="00BB4542"/>
    <w:rsid w:val="00BB4694"/>
    <w:rsid w:val="00BB4B8B"/>
    <w:rsid w:val="00BB4CC5"/>
    <w:rsid w:val="00BB4E10"/>
    <w:rsid w:val="00BB54AD"/>
    <w:rsid w:val="00BB613A"/>
    <w:rsid w:val="00BB61F8"/>
    <w:rsid w:val="00BB6509"/>
    <w:rsid w:val="00BB6A39"/>
    <w:rsid w:val="00BB7321"/>
    <w:rsid w:val="00BB74CD"/>
    <w:rsid w:val="00BB7C28"/>
    <w:rsid w:val="00BB7CF2"/>
    <w:rsid w:val="00BB7E08"/>
    <w:rsid w:val="00BC0114"/>
    <w:rsid w:val="00BC0BBE"/>
    <w:rsid w:val="00BC0EC7"/>
    <w:rsid w:val="00BC145E"/>
    <w:rsid w:val="00BC1C4A"/>
    <w:rsid w:val="00BC208C"/>
    <w:rsid w:val="00BC248C"/>
    <w:rsid w:val="00BC2679"/>
    <w:rsid w:val="00BC2B22"/>
    <w:rsid w:val="00BC2D01"/>
    <w:rsid w:val="00BC2E3F"/>
    <w:rsid w:val="00BC3380"/>
    <w:rsid w:val="00BC3508"/>
    <w:rsid w:val="00BC39D8"/>
    <w:rsid w:val="00BC4914"/>
    <w:rsid w:val="00BC5159"/>
    <w:rsid w:val="00BC5431"/>
    <w:rsid w:val="00BC5B89"/>
    <w:rsid w:val="00BC6097"/>
    <w:rsid w:val="00BC6E2A"/>
    <w:rsid w:val="00BC6F7A"/>
    <w:rsid w:val="00BC74AD"/>
    <w:rsid w:val="00BC79CF"/>
    <w:rsid w:val="00BD0A1C"/>
    <w:rsid w:val="00BD0F38"/>
    <w:rsid w:val="00BD0FC0"/>
    <w:rsid w:val="00BD1710"/>
    <w:rsid w:val="00BD1762"/>
    <w:rsid w:val="00BD17C3"/>
    <w:rsid w:val="00BD1912"/>
    <w:rsid w:val="00BD3030"/>
    <w:rsid w:val="00BD30C6"/>
    <w:rsid w:val="00BD316B"/>
    <w:rsid w:val="00BD353B"/>
    <w:rsid w:val="00BD38A5"/>
    <w:rsid w:val="00BD3981"/>
    <w:rsid w:val="00BD3A00"/>
    <w:rsid w:val="00BD3E49"/>
    <w:rsid w:val="00BD44CD"/>
    <w:rsid w:val="00BD4824"/>
    <w:rsid w:val="00BD4FAE"/>
    <w:rsid w:val="00BD524E"/>
    <w:rsid w:val="00BD550D"/>
    <w:rsid w:val="00BD55CA"/>
    <w:rsid w:val="00BD581A"/>
    <w:rsid w:val="00BD5A95"/>
    <w:rsid w:val="00BD5C20"/>
    <w:rsid w:val="00BD6185"/>
    <w:rsid w:val="00BD61DE"/>
    <w:rsid w:val="00BD627D"/>
    <w:rsid w:val="00BD63D6"/>
    <w:rsid w:val="00BD6709"/>
    <w:rsid w:val="00BD7968"/>
    <w:rsid w:val="00BD7DA2"/>
    <w:rsid w:val="00BE034D"/>
    <w:rsid w:val="00BE0658"/>
    <w:rsid w:val="00BE071B"/>
    <w:rsid w:val="00BE0CDF"/>
    <w:rsid w:val="00BE16F3"/>
    <w:rsid w:val="00BE1A14"/>
    <w:rsid w:val="00BE2092"/>
    <w:rsid w:val="00BE2B6A"/>
    <w:rsid w:val="00BE2FAF"/>
    <w:rsid w:val="00BE30BA"/>
    <w:rsid w:val="00BE3368"/>
    <w:rsid w:val="00BE4145"/>
    <w:rsid w:val="00BE4196"/>
    <w:rsid w:val="00BE4541"/>
    <w:rsid w:val="00BE45C8"/>
    <w:rsid w:val="00BE463A"/>
    <w:rsid w:val="00BE4A9E"/>
    <w:rsid w:val="00BE4CFC"/>
    <w:rsid w:val="00BE6CF2"/>
    <w:rsid w:val="00BE7017"/>
    <w:rsid w:val="00BE70A2"/>
    <w:rsid w:val="00BE7143"/>
    <w:rsid w:val="00BE7B26"/>
    <w:rsid w:val="00BE7E8C"/>
    <w:rsid w:val="00BF0718"/>
    <w:rsid w:val="00BF113E"/>
    <w:rsid w:val="00BF114F"/>
    <w:rsid w:val="00BF13D2"/>
    <w:rsid w:val="00BF17FF"/>
    <w:rsid w:val="00BF1E64"/>
    <w:rsid w:val="00BF27DB"/>
    <w:rsid w:val="00BF2A73"/>
    <w:rsid w:val="00BF2DC7"/>
    <w:rsid w:val="00BF33CC"/>
    <w:rsid w:val="00BF35F1"/>
    <w:rsid w:val="00BF3680"/>
    <w:rsid w:val="00BF37A9"/>
    <w:rsid w:val="00BF3CD2"/>
    <w:rsid w:val="00BF4DE3"/>
    <w:rsid w:val="00BF53D8"/>
    <w:rsid w:val="00BF5480"/>
    <w:rsid w:val="00BF5FC3"/>
    <w:rsid w:val="00BF6114"/>
    <w:rsid w:val="00BF6128"/>
    <w:rsid w:val="00BF6BEF"/>
    <w:rsid w:val="00BF6EBF"/>
    <w:rsid w:val="00BF7BDD"/>
    <w:rsid w:val="00C00366"/>
    <w:rsid w:val="00C00A7B"/>
    <w:rsid w:val="00C010A3"/>
    <w:rsid w:val="00C01394"/>
    <w:rsid w:val="00C01A07"/>
    <w:rsid w:val="00C01AB0"/>
    <w:rsid w:val="00C01EC0"/>
    <w:rsid w:val="00C02452"/>
    <w:rsid w:val="00C032C8"/>
    <w:rsid w:val="00C03310"/>
    <w:rsid w:val="00C03AA9"/>
    <w:rsid w:val="00C03F1D"/>
    <w:rsid w:val="00C0440C"/>
    <w:rsid w:val="00C045DE"/>
    <w:rsid w:val="00C0474E"/>
    <w:rsid w:val="00C05D77"/>
    <w:rsid w:val="00C0620F"/>
    <w:rsid w:val="00C06C29"/>
    <w:rsid w:val="00C06D45"/>
    <w:rsid w:val="00C06E5C"/>
    <w:rsid w:val="00C07051"/>
    <w:rsid w:val="00C073E0"/>
    <w:rsid w:val="00C07F41"/>
    <w:rsid w:val="00C10207"/>
    <w:rsid w:val="00C1066E"/>
    <w:rsid w:val="00C10784"/>
    <w:rsid w:val="00C10A22"/>
    <w:rsid w:val="00C126C4"/>
    <w:rsid w:val="00C12E51"/>
    <w:rsid w:val="00C1401F"/>
    <w:rsid w:val="00C14663"/>
    <w:rsid w:val="00C148BA"/>
    <w:rsid w:val="00C14D67"/>
    <w:rsid w:val="00C14DBE"/>
    <w:rsid w:val="00C15735"/>
    <w:rsid w:val="00C16072"/>
    <w:rsid w:val="00C16C17"/>
    <w:rsid w:val="00C16DB8"/>
    <w:rsid w:val="00C16E22"/>
    <w:rsid w:val="00C177D1"/>
    <w:rsid w:val="00C17B4C"/>
    <w:rsid w:val="00C17F0C"/>
    <w:rsid w:val="00C2010E"/>
    <w:rsid w:val="00C2073D"/>
    <w:rsid w:val="00C21028"/>
    <w:rsid w:val="00C21B78"/>
    <w:rsid w:val="00C220F7"/>
    <w:rsid w:val="00C22AA4"/>
    <w:rsid w:val="00C22F86"/>
    <w:rsid w:val="00C233EC"/>
    <w:rsid w:val="00C23655"/>
    <w:rsid w:val="00C23A97"/>
    <w:rsid w:val="00C23CC0"/>
    <w:rsid w:val="00C23CEA"/>
    <w:rsid w:val="00C23F05"/>
    <w:rsid w:val="00C244EE"/>
    <w:rsid w:val="00C2471B"/>
    <w:rsid w:val="00C249C3"/>
    <w:rsid w:val="00C24D76"/>
    <w:rsid w:val="00C24DC7"/>
    <w:rsid w:val="00C253E6"/>
    <w:rsid w:val="00C25B33"/>
    <w:rsid w:val="00C25F8A"/>
    <w:rsid w:val="00C261B8"/>
    <w:rsid w:val="00C262FC"/>
    <w:rsid w:val="00C2663B"/>
    <w:rsid w:val="00C266F5"/>
    <w:rsid w:val="00C26B9A"/>
    <w:rsid w:val="00C26F1F"/>
    <w:rsid w:val="00C26FB8"/>
    <w:rsid w:val="00C27B24"/>
    <w:rsid w:val="00C27C20"/>
    <w:rsid w:val="00C305D7"/>
    <w:rsid w:val="00C30C9B"/>
    <w:rsid w:val="00C316DB"/>
    <w:rsid w:val="00C31951"/>
    <w:rsid w:val="00C31CC1"/>
    <w:rsid w:val="00C323D4"/>
    <w:rsid w:val="00C3259D"/>
    <w:rsid w:val="00C32691"/>
    <w:rsid w:val="00C32865"/>
    <w:rsid w:val="00C32C49"/>
    <w:rsid w:val="00C34E3A"/>
    <w:rsid w:val="00C355BE"/>
    <w:rsid w:val="00C362DF"/>
    <w:rsid w:val="00C36633"/>
    <w:rsid w:val="00C3687F"/>
    <w:rsid w:val="00C36C55"/>
    <w:rsid w:val="00C36EFC"/>
    <w:rsid w:val="00C37B6E"/>
    <w:rsid w:val="00C40DF6"/>
    <w:rsid w:val="00C41074"/>
    <w:rsid w:val="00C4155C"/>
    <w:rsid w:val="00C415D4"/>
    <w:rsid w:val="00C41963"/>
    <w:rsid w:val="00C42B60"/>
    <w:rsid w:val="00C43375"/>
    <w:rsid w:val="00C434C4"/>
    <w:rsid w:val="00C43A12"/>
    <w:rsid w:val="00C443FA"/>
    <w:rsid w:val="00C45A23"/>
    <w:rsid w:val="00C45E0E"/>
    <w:rsid w:val="00C45E13"/>
    <w:rsid w:val="00C45EF0"/>
    <w:rsid w:val="00C4617A"/>
    <w:rsid w:val="00C463ED"/>
    <w:rsid w:val="00C46432"/>
    <w:rsid w:val="00C46D5B"/>
    <w:rsid w:val="00C46EB8"/>
    <w:rsid w:val="00C47017"/>
    <w:rsid w:val="00C470D5"/>
    <w:rsid w:val="00C4730C"/>
    <w:rsid w:val="00C50F3F"/>
    <w:rsid w:val="00C51CD7"/>
    <w:rsid w:val="00C52619"/>
    <w:rsid w:val="00C52958"/>
    <w:rsid w:val="00C52F85"/>
    <w:rsid w:val="00C5340E"/>
    <w:rsid w:val="00C53492"/>
    <w:rsid w:val="00C534B8"/>
    <w:rsid w:val="00C53E99"/>
    <w:rsid w:val="00C54370"/>
    <w:rsid w:val="00C54698"/>
    <w:rsid w:val="00C54CD6"/>
    <w:rsid w:val="00C55186"/>
    <w:rsid w:val="00C556F5"/>
    <w:rsid w:val="00C55A55"/>
    <w:rsid w:val="00C55FA3"/>
    <w:rsid w:val="00C562C2"/>
    <w:rsid w:val="00C56433"/>
    <w:rsid w:val="00C5643B"/>
    <w:rsid w:val="00C56AA6"/>
    <w:rsid w:val="00C56C27"/>
    <w:rsid w:val="00C5733D"/>
    <w:rsid w:val="00C575EE"/>
    <w:rsid w:val="00C57870"/>
    <w:rsid w:val="00C57DFF"/>
    <w:rsid w:val="00C57E31"/>
    <w:rsid w:val="00C6005F"/>
    <w:rsid w:val="00C60083"/>
    <w:rsid w:val="00C60209"/>
    <w:rsid w:val="00C60912"/>
    <w:rsid w:val="00C614FD"/>
    <w:rsid w:val="00C61514"/>
    <w:rsid w:val="00C62700"/>
    <w:rsid w:val="00C62AD2"/>
    <w:rsid w:val="00C632A2"/>
    <w:rsid w:val="00C63B76"/>
    <w:rsid w:val="00C63BBE"/>
    <w:rsid w:val="00C63C14"/>
    <w:rsid w:val="00C63D4F"/>
    <w:rsid w:val="00C63D84"/>
    <w:rsid w:val="00C63F74"/>
    <w:rsid w:val="00C64656"/>
    <w:rsid w:val="00C65C31"/>
    <w:rsid w:val="00C65C5B"/>
    <w:rsid w:val="00C662AE"/>
    <w:rsid w:val="00C6687A"/>
    <w:rsid w:val="00C67294"/>
    <w:rsid w:val="00C67B26"/>
    <w:rsid w:val="00C700C9"/>
    <w:rsid w:val="00C70324"/>
    <w:rsid w:val="00C708F8"/>
    <w:rsid w:val="00C70A09"/>
    <w:rsid w:val="00C70AF3"/>
    <w:rsid w:val="00C71090"/>
    <w:rsid w:val="00C71AF7"/>
    <w:rsid w:val="00C72224"/>
    <w:rsid w:val="00C727E5"/>
    <w:rsid w:val="00C729E0"/>
    <w:rsid w:val="00C72CA3"/>
    <w:rsid w:val="00C730FA"/>
    <w:rsid w:val="00C734F0"/>
    <w:rsid w:val="00C74536"/>
    <w:rsid w:val="00C7484E"/>
    <w:rsid w:val="00C75101"/>
    <w:rsid w:val="00C75706"/>
    <w:rsid w:val="00C75CE5"/>
    <w:rsid w:val="00C75EEF"/>
    <w:rsid w:val="00C76A19"/>
    <w:rsid w:val="00C775D5"/>
    <w:rsid w:val="00C7769D"/>
    <w:rsid w:val="00C80193"/>
    <w:rsid w:val="00C8080C"/>
    <w:rsid w:val="00C809DC"/>
    <w:rsid w:val="00C80D1D"/>
    <w:rsid w:val="00C80DD7"/>
    <w:rsid w:val="00C81557"/>
    <w:rsid w:val="00C816EB"/>
    <w:rsid w:val="00C84253"/>
    <w:rsid w:val="00C84C4E"/>
    <w:rsid w:val="00C8510A"/>
    <w:rsid w:val="00C85FAA"/>
    <w:rsid w:val="00C86B1C"/>
    <w:rsid w:val="00C86CC8"/>
    <w:rsid w:val="00C8723F"/>
    <w:rsid w:val="00C901F0"/>
    <w:rsid w:val="00C903A9"/>
    <w:rsid w:val="00C904E0"/>
    <w:rsid w:val="00C90A54"/>
    <w:rsid w:val="00C91A2A"/>
    <w:rsid w:val="00C9211C"/>
    <w:rsid w:val="00C92E1C"/>
    <w:rsid w:val="00C933CA"/>
    <w:rsid w:val="00C93530"/>
    <w:rsid w:val="00C938D4"/>
    <w:rsid w:val="00C949BE"/>
    <w:rsid w:val="00C96CCA"/>
    <w:rsid w:val="00C976FB"/>
    <w:rsid w:val="00C978FD"/>
    <w:rsid w:val="00C97A6F"/>
    <w:rsid w:val="00CA002C"/>
    <w:rsid w:val="00CA00C0"/>
    <w:rsid w:val="00CA0216"/>
    <w:rsid w:val="00CA0AC1"/>
    <w:rsid w:val="00CA15BD"/>
    <w:rsid w:val="00CA1D25"/>
    <w:rsid w:val="00CA3047"/>
    <w:rsid w:val="00CA30D6"/>
    <w:rsid w:val="00CA30E8"/>
    <w:rsid w:val="00CA3D59"/>
    <w:rsid w:val="00CA4264"/>
    <w:rsid w:val="00CA42DB"/>
    <w:rsid w:val="00CA480B"/>
    <w:rsid w:val="00CA4815"/>
    <w:rsid w:val="00CA4A8F"/>
    <w:rsid w:val="00CA4F7A"/>
    <w:rsid w:val="00CA56D1"/>
    <w:rsid w:val="00CA6AD9"/>
    <w:rsid w:val="00CA7252"/>
    <w:rsid w:val="00CA734C"/>
    <w:rsid w:val="00CA7A72"/>
    <w:rsid w:val="00CB0208"/>
    <w:rsid w:val="00CB080F"/>
    <w:rsid w:val="00CB081A"/>
    <w:rsid w:val="00CB0B20"/>
    <w:rsid w:val="00CB0B70"/>
    <w:rsid w:val="00CB0D02"/>
    <w:rsid w:val="00CB0D08"/>
    <w:rsid w:val="00CB11B7"/>
    <w:rsid w:val="00CB18BE"/>
    <w:rsid w:val="00CB1A77"/>
    <w:rsid w:val="00CB1D09"/>
    <w:rsid w:val="00CB1D37"/>
    <w:rsid w:val="00CB3080"/>
    <w:rsid w:val="00CB3275"/>
    <w:rsid w:val="00CB3485"/>
    <w:rsid w:val="00CB427A"/>
    <w:rsid w:val="00CB4543"/>
    <w:rsid w:val="00CB4D7A"/>
    <w:rsid w:val="00CB7B59"/>
    <w:rsid w:val="00CB7E27"/>
    <w:rsid w:val="00CC04FD"/>
    <w:rsid w:val="00CC0CD5"/>
    <w:rsid w:val="00CC0FDB"/>
    <w:rsid w:val="00CC13D8"/>
    <w:rsid w:val="00CC192F"/>
    <w:rsid w:val="00CC234B"/>
    <w:rsid w:val="00CC277F"/>
    <w:rsid w:val="00CC3B01"/>
    <w:rsid w:val="00CC46A2"/>
    <w:rsid w:val="00CC4BDF"/>
    <w:rsid w:val="00CC50E2"/>
    <w:rsid w:val="00CC5874"/>
    <w:rsid w:val="00CC5CE4"/>
    <w:rsid w:val="00CC6B4F"/>
    <w:rsid w:val="00CC76FB"/>
    <w:rsid w:val="00CD0870"/>
    <w:rsid w:val="00CD0A21"/>
    <w:rsid w:val="00CD0CEF"/>
    <w:rsid w:val="00CD1107"/>
    <w:rsid w:val="00CD160B"/>
    <w:rsid w:val="00CD1C82"/>
    <w:rsid w:val="00CD1F68"/>
    <w:rsid w:val="00CD21F6"/>
    <w:rsid w:val="00CD22C9"/>
    <w:rsid w:val="00CD2998"/>
    <w:rsid w:val="00CD2B54"/>
    <w:rsid w:val="00CD3233"/>
    <w:rsid w:val="00CD32BD"/>
    <w:rsid w:val="00CD341C"/>
    <w:rsid w:val="00CD3C01"/>
    <w:rsid w:val="00CD3F5A"/>
    <w:rsid w:val="00CD5273"/>
    <w:rsid w:val="00CD538C"/>
    <w:rsid w:val="00CD6591"/>
    <w:rsid w:val="00CD7069"/>
    <w:rsid w:val="00CD74C9"/>
    <w:rsid w:val="00CD76C0"/>
    <w:rsid w:val="00CD7B9D"/>
    <w:rsid w:val="00CD7D40"/>
    <w:rsid w:val="00CD7E19"/>
    <w:rsid w:val="00CE0248"/>
    <w:rsid w:val="00CE026E"/>
    <w:rsid w:val="00CE0449"/>
    <w:rsid w:val="00CE1408"/>
    <w:rsid w:val="00CE14DF"/>
    <w:rsid w:val="00CE2507"/>
    <w:rsid w:val="00CE27DC"/>
    <w:rsid w:val="00CE2D80"/>
    <w:rsid w:val="00CE3C25"/>
    <w:rsid w:val="00CE3D09"/>
    <w:rsid w:val="00CE3EC0"/>
    <w:rsid w:val="00CE584F"/>
    <w:rsid w:val="00CE5B30"/>
    <w:rsid w:val="00CE64BD"/>
    <w:rsid w:val="00CE693E"/>
    <w:rsid w:val="00CE7191"/>
    <w:rsid w:val="00CE7C5E"/>
    <w:rsid w:val="00CE7E0F"/>
    <w:rsid w:val="00CF0064"/>
    <w:rsid w:val="00CF01F5"/>
    <w:rsid w:val="00CF0998"/>
    <w:rsid w:val="00CF0B0E"/>
    <w:rsid w:val="00CF1359"/>
    <w:rsid w:val="00CF1CC6"/>
    <w:rsid w:val="00CF2667"/>
    <w:rsid w:val="00CF2945"/>
    <w:rsid w:val="00CF2E5F"/>
    <w:rsid w:val="00CF30BA"/>
    <w:rsid w:val="00CF318F"/>
    <w:rsid w:val="00CF375F"/>
    <w:rsid w:val="00CF3816"/>
    <w:rsid w:val="00CF3C44"/>
    <w:rsid w:val="00CF3E57"/>
    <w:rsid w:val="00CF4617"/>
    <w:rsid w:val="00CF463C"/>
    <w:rsid w:val="00CF4D20"/>
    <w:rsid w:val="00CF4E36"/>
    <w:rsid w:val="00CF4E38"/>
    <w:rsid w:val="00CF5319"/>
    <w:rsid w:val="00CF532C"/>
    <w:rsid w:val="00CF5BA2"/>
    <w:rsid w:val="00CF6258"/>
    <w:rsid w:val="00CF6562"/>
    <w:rsid w:val="00CF67EC"/>
    <w:rsid w:val="00CF6A20"/>
    <w:rsid w:val="00CF6FDF"/>
    <w:rsid w:val="00D000AE"/>
    <w:rsid w:val="00D00945"/>
    <w:rsid w:val="00D00990"/>
    <w:rsid w:val="00D01045"/>
    <w:rsid w:val="00D0135F"/>
    <w:rsid w:val="00D017DC"/>
    <w:rsid w:val="00D0180C"/>
    <w:rsid w:val="00D01EA5"/>
    <w:rsid w:val="00D01F5F"/>
    <w:rsid w:val="00D0269A"/>
    <w:rsid w:val="00D02DF5"/>
    <w:rsid w:val="00D0315F"/>
    <w:rsid w:val="00D032A0"/>
    <w:rsid w:val="00D03579"/>
    <w:rsid w:val="00D0365B"/>
    <w:rsid w:val="00D03E0C"/>
    <w:rsid w:val="00D03E42"/>
    <w:rsid w:val="00D0419E"/>
    <w:rsid w:val="00D0484F"/>
    <w:rsid w:val="00D049C1"/>
    <w:rsid w:val="00D04DE9"/>
    <w:rsid w:val="00D05091"/>
    <w:rsid w:val="00D050DE"/>
    <w:rsid w:val="00D056C5"/>
    <w:rsid w:val="00D06513"/>
    <w:rsid w:val="00D067BA"/>
    <w:rsid w:val="00D06CE3"/>
    <w:rsid w:val="00D06D04"/>
    <w:rsid w:val="00D07470"/>
    <w:rsid w:val="00D074AC"/>
    <w:rsid w:val="00D07708"/>
    <w:rsid w:val="00D1063D"/>
    <w:rsid w:val="00D11703"/>
    <w:rsid w:val="00D11AAE"/>
    <w:rsid w:val="00D11D81"/>
    <w:rsid w:val="00D12053"/>
    <w:rsid w:val="00D1217A"/>
    <w:rsid w:val="00D126CB"/>
    <w:rsid w:val="00D130DB"/>
    <w:rsid w:val="00D135EA"/>
    <w:rsid w:val="00D13CB4"/>
    <w:rsid w:val="00D1577E"/>
    <w:rsid w:val="00D15C69"/>
    <w:rsid w:val="00D15D79"/>
    <w:rsid w:val="00D1789D"/>
    <w:rsid w:val="00D200EF"/>
    <w:rsid w:val="00D20AA0"/>
    <w:rsid w:val="00D2190B"/>
    <w:rsid w:val="00D21C09"/>
    <w:rsid w:val="00D222F4"/>
    <w:rsid w:val="00D22B4B"/>
    <w:rsid w:val="00D22EEE"/>
    <w:rsid w:val="00D231F1"/>
    <w:rsid w:val="00D236D6"/>
    <w:rsid w:val="00D242FF"/>
    <w:rsid w:val="00D25194"/>
    <w:rsid w:val="00D256D7"/>
    <w:rsid w:val="00D260E1"/>
    <w:rsid w:val="00D26426"/>
    <w:rsid w:val="00D2659F"/>
    <w:rsid w:val="00D26676"/>
    <w:rsid w:val="00D2700A"/>
    <w:rsid w:val="00D303F6"/>
    <w:rsid w:val="00D30690"/>
    <w:rsid w:val="00D30C61"/>
    <w:rsid w:val="00D30CAE"/>
    <w:rsid w:val="00D311EE"/>
    <w:rsid w:val="00D31852"/>
    <w:rsid w:val="00D31BE8"/>
    <w:rsid w:val="00D31D31"/>
    <w:rsid w:val="00D31D74"/>
    <w:rsid w:val="00D320D0"/>
    <w:rsid w:val="00D327D6"/>
    <w:rsid w:val="00D32ABD"/>
    <w:rsid w:val="00D33596"/>
    <w:rsid w:val="00D339D7"/>
    <w:rsid w:val="00D33E06"/>
    <w:rsid w:val="00D33F23"/>
    <w:rsid w:val="00D3407E"/>
    <w:rsid w:val="00D340D9"/>
    <w:rsid w:val="00D34153"/>
    <w:rsid w:val="00D341DC"/>
    <w:rsid w:val="00D345FE"/>
    <w:rsid w:val="00D3473A"/>
    <w:rsid w:val="00D3501E"/>
    <w:rsid w:val="00D3519C"/>
    <w:rsid w:val="00D3521D"/>
    <w:rsid w:val="00D352FF"/>
    <w:rsid w:val="00D3641D"/>
    <w:rsid w:val="00D3679D"/>
    <w:rsid w:val="00D36C73"/>
    <w:rsid w:val="00D36D39"/>
    <w:rsid w:val="00D37081"/>
    <w:rsid w:val="00D371F3"/>
    <w:rsid w:val="00D37553"/>
    <w:rsid w:val="00D37B8D"/>
    <w:rsid w:val="00D40387"/>
    <w:rsid w:val="00D40D04"/>
    <w:rsid w:val="00D4124A"/>
    <w:rsid w:val="00D413DF"/>
    <w:rsid w:val="00D4159D"/>
    <w:rsid w:val="00D41BD6"/>
    <w:rsid w:val="00D41C89"/>
    <w:rsid w:val="00D420A6"/>
    <w:rsid w:val="00D425B4"/>
    <w:rsid w:val="00D43A92"/>
    <w:rsid w:val="00D43B24"/>
    <w:rsid w:val="00D43C34"/>
    <w:rsid w:val="00D43E7B"/>
    <w:rsid w:val="00D44073"/>
    <w:rsid w:val="00D44295"/>
    <w:rsid w:val="00D4435C"/>
    <w:rsid w:val="00D4496D"/>
    <w:rsid w:val="00D44B8C"/>
    <w:rsid w:val="00D44BD6"/>
    <w:rsid w:val="00D44ECC"/>
    <w:rsid w:val="00D44F31"/>
    <w:rsid w:val="00D45057"/>
    <w:rsid w:val="00D45A17"/>
    <w:rsid w:val="00D45D89"/>
    <w:rsid w:val="00D45DAE"/>
    <w:rsid w:val="00D45DCB"/>
    <w:rsid w:val="00D46645"/>
    <w:rsid w:val="00D46CCE"/>
    <w:rsid w:val="00D47C88"/>
    <w:rsid w:val="00D5049A"/>
    <w:rsid w:val="00D50784"/>
    <w:rsid w:val="00D50EC3"/>
    <w:rsid w:val="00D510C5"/>
    <w:rsid w:val="00D51F2E"/>
    <w:rsid w:val="00D522F8"/>
    <w:rsid w:val="00D52469"/>
    <w:rsid w:val="00D526C0"/>
    <w:rsid w:val="00D53277"/>
    <w:rsid w:val="00D54692"/>
    <w:rsid w:val="00D55717"/>
    <w:rsid w:val="00D55724"/>
    <w:rsid w:val="00D55812"/>
    <w:rsid w:val="00D55A73"/>
    <w:rsid w:val="00D561E9"/>
    <w:rsid w:val="00D561FE"/>
    <w:rsid w:val="00D56276"/>
    <w:rsid w:val="00D565A0"/>
    <w:rsid w:val="00D5688A"/>
    <w:rsid w:val="00D56DB1"/>
    <w:rsid w:val="00D56F6A"/>
    <w:rsid w:val="00D57696"/>
    <w:rsid w:val="00D57931"/>
    <w:rsid w:val="00D60078"/>
    <w:rsid w:val="00D60312"/>
    <w:rsid w:val="00D6146E"/>
    <w:rsid w:val="00D62099"/>
    <w:rsid w:val="00D6253B"/>
    <w:rsid w:val="00D62A71"/>
    <w:rsid w:val="00D643BE"/>
    <w:rsid w:val="00D64EDB"/>
    <w:rsid w:val="00D6688B"/>
    <w:rsid w:val="00D66BAC"/>
    <w:rsid w:val="00D66C76"/>
    <w:rsid w:val="00D675C5"/>
    <w:rsid w:val="00D67654"/>
    <w:rsid w:val="00D677F1"/>
    <w:rsid w:val="00D67AB8"/>
    <w:rsid w:val="00D67FD5"/>
    <w:rsid w:val="00D7046A"/>
    <w:rsid w:val="00D7144E"/>
    <w:rsid w:val="00D71B7B"/>
    <w:rsid w:val="00D7215B"/>
    <w:rsid w:val="00D72209"/>
    <w:rsid w:val="00D7280A"/>
    <w:rsid w:val="00D72A1F"/>
    <w:rsid w:val="00D73244"/>
    <w:rsid w:val="00D74036"/>
    <w:rsid w:val="00D7460C"/>
    <w:rsid w:val="00D74EA1"/>
    <w:rsid w:val="00D74F50"/>
    <w:rsid w:val="00D7580A"/>
    <w:rsid w:val="00D75BEF"/>
    <w:rsid w:val="00D76C1F"/>
    <w:rsid w:val="00D771DC"/>
    <w:rsid w:val="00D774AF"/>
    <w:rsid w:val="00D776C1"/>
    <w:rsid w:val="00D77A28"/>
    <w:rsid w:val="00D801C7"/>
    <w:rsid w:val="00D8070A"/>
    <w:rsid w:val="00D810DB"/>
    <w:rsid w:val="00D815CE"/>
    <w:rsid w:val="00D81A85"/>
    <w:rsid w:val="00D82171"/>
    <w:rsid w:val="00D82663"/>
    <w:rsid w:val="00D828A5"/>
    <w:rsid w:val="00D82A2C"/>
    <w:rsid w:val="00D82A9C"/>
    <w:rsid w:val="00D82BD0"/>
    <w:rsid w:val="00D82BFC"/>
    <w:rsid w:val="00D83292"/>
    <w:rsid w:val="00D83BE3"/>
    <w:rsid w:val="00D842EF"/>
    <w:rsid w:val="00D84647"/>
    <w:rsid w:val="00D85459"/>
    <w:rsid w:val="00D858C9"/>
    <w:rsid w:val="00D85A3D"/>
    <w:rsid w:val="00D85D55"/>
    <w:rsid w:val="00D86247"/>
    <w:rsid w:val="00D8692B"/>
    <w:rsid w:val="00D870BA"/>
    <w:rsid w:val="00D871C1"/>
    <w:rsid w:val="00D876C1"/>
    <w:rsid w:val="00D87B2B"/>
    <w:rsid w:val="00D87E89"/>
    <w:rsid w:val="00D91262"/>
    <w:rsid w:val="00D912C1"/>
    <w:rsid w:val="00D91A5C"/>
    <w:rsid w:val="00D91BE4"/>
    <w:rsid w:val="00D91DD4"/>
    <w:rsid w:val="00D938CE"/>
    <w:rsid w:val="00D949F6"/>
    <w:rsid w:val="00D955E3"/>
    <w:rsid w:val="00D95B1C"/>
    <w:rsid w:val="00D95CF9"/>
    <w:rsid w:val="00D962C7"/>
    <w:rsid w:val="00D96CAB"/>
    <w:rsid w:val="00D96D91"/>
    <w:rsid w:val="00D97633"/>
    <w:rsid w:val="00D977D2"/>
    <w:rsid w:val="00D97D81"/>
    <w:rsid w:val="00D97E35"/>
    <w:rsid w:val="00D97EEB"/>
    <w:rsid w:val="00DA1362"/>
    <w:rsid w:val="00DA16DC"/>
    <w:rsid w:val="00DA16DD"/>
    <w:rsid w:val="00DA18FB"/>
    <w:rsid w:val="00DA1A15"/>
    <w:rsid w:val="00DA1B14"/>
    <w:rsid w:val="00DA1CB2"/>
    <w:rsid w:val="00DA21A4"/>
    <w:rsid w:val="00DA2469"/>
    <w:rsid w:val="00DA2537"/>
    <w:rsid w:val="00DA3106"/>
    <w:rsid w:val="00DA32BE"/>
    <w:rsid w:val="00DA3CB2"/>
    <w:rsid w:val="00DA3CC8"/>
    <w:rsid w:val="00DA5138"/>
    <w:rsid w:val="00DA536D"/>
    <w:rsid w:val="00DA65A7"/>
    <w:rsid w:val="00DA686D"/>
    <w:rsid w:val="00DA71E7"/>
    <w:rsid w:val="00DB0247"/>
    <w:rsid w:val="00DB16F1"/>
    <w:rsid w:val="00DB1730"/>
    <w:rsid w:val="00DB3CF8"/>
    <w:rsid w:val="00DB40AB"/>
    <w:rsid w:val="00DB40E4"/>
    <w:rsid w:val="00DB48A9"/>
    <w:rsid w:val="00DB4E06"/>
    <w:rsid w:val="00DB573F"/>
    <w:rsid w:val="00DB5C0F"/>
    <w:rsid w:val="00DB6224"/>
    <w:rsid w:val="00DB6BFE"/>
    <w:rsid w:val="00DB7264"/>
    <w:rsid w:val="00DB75A6"/>
    <w:rsid w:val="00DB7B97"/>
    <w:rsid w:val="00DB7E1D"/>
    <w:rsid w:val="00DC020C"/>
    <w:rsid w:val="00DC0265"/>
    <w:rsid w:val="00DC0276"/>
    <w:rsid w:val="00DC0475"/>
    <w:rsid w:val="00DC0539"/>
    <w:rsid w:val="00DC058C"/>
    <w:rsid w:val="00DC0EAA"/>
    <w:rsid w:val="00DC16E8"/>
    <w:rsid w:val="00DC1773"/>
    <w:rsid w:val="00DC2284"/>
    <w:rsid w:val="00DC2611"/>
    <w:rsid w:val="00DC2A8E"/>
    <w:rsid w:val="00DC3376"/>
    <w:rsid w:val="00DC357B"/>
    <w:rsid w:val="00DC37AF"/>
    <w:rsid w:val="00DC3B76"/>
    <w:rsid w:val="00DC3F0F"/>
    <w:rsid w:val="00DC44D2"/>
    <w:rsid w:val="00DC44E0"/>
    <w:rsid w:val="00DC4747"/>
    <w:rsid w:val="00DC4ACF"/>
    <w:rsid w:val="00DC4DB7"/>
    <w:rsid w:val="00DC4E0C"/>
    <w:rsid w:val="00DC5280"/>
    <w:rsid w:val="00DC5288"/>
    <w:rsid w:val="00DC5980"/>
    <w:rsid w:val="00DC621D"/>
    <w:rsid w:val="00DC6A60"/>
    <w:rsid w:val="00DC7C95"/>
    <w:rsid w:val="00DD0231"/>
    <w:rsid w:val="00DD0B06"/>
    <w:rsid w:val="00DD0E89"/>
    <w:rsid w:val="00DD0F10"/>
    <w:rsid w:val="00DD1418"/>
    <w:rsid w:val="00DD18D5"/>
    <w:rsid w:val="00DD1EDA"/>
    <w:rsid w:val="00DD2B46"/>
    <w:rsid w:val="00DD2CE7"/>
    <w:rsid w:val="00DD2DE2"/>
    <w:rsid w:val="00DD372E"/>
    <w:rsid w:val="00DD46AB"/>
    <w:rsid w:val="00DD52D6"/>
    <w:rsid w:val="00DD5500"/>
    <w:rsid w:val="00DD573A"/>
    <w:rsid w:val="00DD6284"/>
    <w:rsid w:val="00DD62E7"/>
    <w:rsid w:val="00DD6BD4"/>
    <w:rsid w:val="00DD7147"/>
    <w:rsid w:val="00DD76C1"/>
    <w:rsid w:val="00DD7D1F"/>
    <w:rsid w:val="00DE0430"/>
    <w:rsid w:val="00DE046F"/>
    <w:rsid w:val="00DE078E"/>
    <w:rsid w:val="00DE0830"/>
    <w:rsid w:val="00DE0EA5"/>
    <w:rsid w:val="00DE0EBD"/>
    <w:rsid w:val="00DE0F0C"/>
    <w:rsid w:val="00DE31B4"/>
    <w:rsid w:val="00DE3307"/>
    <w:rsid w:val="00DE3E03"/>
    <w:rsid w:val="00DE3EF9"/>
    <w:rsid w:val="00DE4020"/>
    <w:rsid w:val="00DE4657"/>
    <w:rsid w:val="00DE48AF"/>
    <w:rsid w:val="00DE49DF"/>
    <w:rsid w:val="00DE57AE"/>
    <w:rsid w:val="00DE5BF2"/>
    <w:rsid w:val="00DE5F5E"/>
    <w:rsid w:val="00DE674C"/>
    <w:rsid w:val="00DE6EEB"/>
    <w:rsid w:val="00DE7457"/>
    <w:rsid w:val="00DE780D"/>
    <w:rsid w:val="00DE7AF8"/>
    <w:rsid w:val="00DE7EA5"/>
    <w:rsid w:val="00DF0072"/>
    <w:rsid w:val="00DF06CC"/>
    <w:rsid w:val="00DF0DF9"/>
    <w:rsid w:val="00DF1566"/>
    <w:rsid w:val="00DF1ADB"/>
    <w:rsid w:val="00DF1E47"/>
    <w:rsid w:val="00DF2127"/>
    <w:rsid w:val="00DF2F09"/>
    <w:rsid w:val="00DF3444"/>
    <w:rsid w:val="00DF3D0C"/>
    <w:rsid w:val="00DF3E2D"/>
    <w:rsid w:val="00DF3F3C"/>
    <w:rsid w:val="00DF453B"/>
    <w:rsid w:val="00DF5542"/>
    <w:rsid w:val="00DF6D02"/>
    <w:rsid w:val="00DF6EFC"/>
    <w:rsid w:val="00DF7EC5"/>
    <w:rsid w:val="00E003AE"/>
    <w:rsid w:val="00E011BF"/>
    <w:rsid w:val="00E02321"/>
    <w:rsid w:val="00E02544"/>
    <w:rsid w:val="00E02571"/>
    <w:rsid w:val="00E02B31"/>
    <w:rsid w:val="00E03047"/>
    <w:rsid w:val="00E0357E"/>
    <w:rsid w:val="00E0377B"/>
    <w:rsid w:val="00E046E2"/>
    <w:rsid w:val="00E0494A"/>
    <w:rsid w:val="00E04A3B"/>
    <w:rsid w:val="00E04BBA"/>
    <w:rsid w:val="00E04C86"/>
    <w:rsid w:val="00E051DB"/>
    <w:rsid w:val="00E05366"/>
    <w:rsid w:val="00E05632"/>
    <w:rsid w:val="00E0563F"/>
    <w:rsid w:val="00E05B18"/>
    <w:rsid w:val="00E074E2"/>
    <w:rsid w:val="00E07DC3"/>
    <w:rsid w:val="00E10432"/>
    <w:rsid w:val="00E10C2B"/>
    <w:rsid w:val="00E10D02"/>
    <w:rsid w:val="00E11235"/>
    <w:rsid w:val="00E11448"/>
    <w:rsid w:val="00E12066"/>
    <w:rsid w:val="00E1243B"/>
    <w:rsid w:val="00E1286F"/>
    <w:rsid w:val="00E12AE9"/>
    <w:rsid w:val="00E1328C"/>
    <w:rsid w:val="00E132A6"/>
    <w:rsid w:val="00E134D4"/>
    <w:rsid w:val="00E13942"/>
    <w:rsid w:val="00E13D8D"/>
    <w:rsid w:val="00E14E46"/>
    <w:rsid w:val="00E1558A"/>
    <w:rsid w:val="00E15615"/>
    <w:rsid w:val="00E1565A"/>
    <w:rsid w:val="00E1568D"/>
    <w:rsid w:val="00E15741"/>
    <w:rsid w:val="00E15C58"/>
    <w:rsid w:val="00E17AF3"/>
    <w:rsid w:val="00E2015A"/>
    <w:rsid w:val="00E20D65"/>
    <w:rsid w:val="00E21628"/>
    <w:rsid w:val="00E2192E"/>
    <w:rsid w:val="00E21BDB"/>
    <w:rsid w:val="00E221F9"/>
    <w:rsid w:val="00E22445"/>
    <w:rsid w:val="00E2298C"/>
    <w:rsid w:val="00E22AEA"/>
    <w:rsid w:val="00E22CDD"/>
    <w:rsid w:val="00E22F67"/>
    <w:rsid w:val="00E23172"/>
    <w:rsid w:val="00E231F5"/>
    <w:rsid w:val="00E23227"/>
    <w:rsid w:val="00E2371E"/>
    <w:rsid w:val="00E237E6"/>
    <w:rsid w:val="00E239ED"/>
    <w:rsid w:val="00E23D3A"/>
    <w:rsid w:val="00E240E6"/>
    <w:rsid w:val="00E24167"/>
    <w:rsid w:val="00E24B21"/>
    <w:rsid w:val="00E24CDF"/>
    <w:rsid w:val="00E25000"/>
    <w:rsid w:val="00E250C6"/>
    <w:rsid w:val="00E253AB"/>
    <w:rsid w:val="00E257CE"/>
    <w:rsid w:val="00E258C5"/>
    <w:rsid w:val="00E26071"/>
    <w:rsid w:val="00E260D6"/>
    <w:rsid w:val="00E262D5"/>
    <w:rsid w:val="00E266F7"/>
    <w:rsid w:val="00E26BB8"/>
    <w:rsid w:val="00E27142"/>
    <w:rsid w:val="00E2715B"/>
    <w:rsid w:val="00E27776"/>
    <w:rsid w:val="00E27C7C"/>
    <w:rsid w:val="00E302F1"/>
    <w:rsid w:val="00E3091B"/>
    <w:rsid w:val="00E3189A"/>
    <w:rsid w:val="00E31BDC"/>
    <w:rsid w:val="00E31C84"/>
    <w:rsid w:val="00E31E73"/>
    <w:rsid w:val="00E31F12"/>
    <w:rsid w:val="00E32153"/>
    <w:rsid w:val="00E32F97"/>
    <w:rsid w:val="00E333DF"/>
    <w:rsid w:val="00E33711"/>
    <w:rsid w:val="00E33E80"/>
    <w:rsid w:val="00E33E8D"/>
    <w:rsid w:val="00E34963"/>
    <w:rsid w:val="00E34A30"/>
    <w:rsid w:val="00E34FCB"/>
    <w:rsid w:val="00E3552B"/>
    <w:rsid w:val="00E35795"/>
    <w:rsid w:val="00E35E1D"/>
    <w:rsid w:val="00E360E4"/>
    <w:rsid w:val="00E36B5F"/>
    <w:rsid w:val="00E37449"/>
    <w:rsid w:val="00E375A5"/>
    <w:rsid w:val="00E4026A"/>
    <w:rsid w:val="00E4075F"/>
    <w:rsid w:val="00E40854"/>
    <w:rsid w:val="00E4099F"/>
    <w:rsid w:val="00E40B71"/>
    <w:rsid w:val="00E410A6"/>
    <w:rsid w:val="00E4160A"/>
    <w:rsid w:val="00E41885"/>
    <w:rsid w:val="00E41AE7"/>
    <w:rsid w:val="00E41F73"/>
    <w:rsid w:val="00E4245B"/>
    <w:rsid w:val="00E43A9D"/>
    <w:rsid w:val="00E43F37"/>
    <w:rsid w:val="00E4435D"/>
    <w:rsid w:val="00E44533"/>
    <w:rsid w:val="00E4501E"/>
    <w:rsid w:val="00E4616B"/>
    <w:rsid w:val="00E473F0"/>
    <w:rsid w:val="00E47900"/>
    <w:rsid w:val="00E47E83"/>
    <w:rsid w:val="00E502DA"/>
    <w:rsid w:val="00E50604"/>
    <w:rsid w:val="00E50DD3"/>
    <w:rsid w:val="00E50E2F"/>
    <w:rsid w:val="00E52182"/>
    <w:rsid w:val="00E52220"/>
    <w:rsid w:val="00E523EE"/>
    <w:rsid w:val="00E526F6"/>
    <w:rsid w:val="00E5273C"/>
    <w:rsid w:val="00E529E0"/>
    <w:rsid w:val="00E529E5"/>
    <w:rsid w:val="00E529F1"/>
    <w:rsid w:val="00E52EA3"/>
    <w:rsid w:val="00E53466"/>
    <w:rsid w:val="00E53F73"/>
    <w:rsid w:val="00E54572"/>
    <w:rsid w:val="00E54616"/>
    <w:rsid w:val="00E54679"/>
    <w:rsid w:val="00E546EC"/>
    <w:rsid w:val="00E54FF5"/>
    <w:rsid w:val="00E55028"/>
    <w:rsid w:val="00E55B5B"/>
    <w:rsid w:val="00E565E4"/>
    <w:rsid w:val="00E56797"/>
    <w:rsid w:val="00E56F82"/>
    <w:rsid w:val="00E57118"/>
    <w:rsid w:val="00E57551"/>
    <w:rsid w:val="00E5766D"/>
    <w:rsid w:val="00E60933"/>
    <w:rsid w:val="00E61052"/>
    <w:rsid w:val="00E61959"/>
    <w:rsid w:val="00E61D88"/>
    <w:rsid w:val="00E6265A"/>
    <w:rsid w:val="00E635C8"/>
    <w:rsid w:val="00E640C5"/>
    <w:rsid w:val="00E64421"/>
    <w:rsid w:val="00E648FB"/>
    <w:rsid w:val="00E64DF2"/>
    <w:rsid w:val="00E65332"/>
    <w:rsid w:val="00E65353"/>
    <w:rsid w:val="00E653A0"/>
    <w:rsid w:val="00E65737"/>
    <w:rsid w:val="00E65847"/>
    <w:rsid w:val="00E662C6"/>
    <w:rsid w:val="00E66977"/>
    <w:rsid w:val="00E66DAA"/>
    <w:rsid w:val="00E670F0"/>
    <w:rsid w:val="00E67DC6"/>
    <w:rsid w:val="00E700C4"/>
    <w:rsid w:val="00E700ED"/>
    <w:rsid w:val="00E703B9"/>
    <w:rsid w:val="00E70E83"/>
    <w:rsid w:val="00E716CA"/>
    <w:rsid w:val="00E71942"/>
    <w:rsid w:val="00E71D37"/>
    <w:rsid w:val="00E72D4F"/>
    <w:rsid w:val="00E72F69"/>
    <w:rsid w:val="00E732E8"/>
    <w:rsid w:val="00E7730D"/>
    <w:rsid w:val="00E8000A"/>
    <w:rsid w:val="00E8083D"/>
    <w:rsid w:val="00E80EEE"/>
    <w:rsid w:val="00E80FCE"/>
    <w:rsid w:val="00E812A4"/>
    <w:rsid w:val="00E81349"/>
    <w:rsid w:val="00E81530"/>
    <w:rsid w:val="00E81910"/>
    <w:rsid w:val="00E81E68"/>
    <w:rsid w:val="00E8200B"/>
    <w:rsid w:val="00E82289"/>
    <w:rsid w:val="00E829E5"/>
    <w:rsid w:val="00E8355B"/>
    <w:rsid w:val="00E83669"/>
    <w:rsid w:val="00E8369A"/>
    <w:rsid w:val="00E83B72"/>
    <w:rsid w:val="00E84160"/>
    <w:rsid w:val="00E84394"/>
    <w:rsid w:val="00E84966"/>
    <w:rsid w:val="00E849CA"/>
    <w:rsid w:val="00E84D9E"/>
    <w:rsid w:val="00E8500F"/>
    <w:rsid w:val="00E851D6"/>
    <w:rsid w:val="00E85B8E"/>
    <w:rsid w:val="00E85ED6"/>
    <w:rsid w:val="00E86696"/>
    <w:rsid w:val="00E8695E"/>
    <w:rsid w:val="00E86E30"/>
    <w:rsid w:val="00E87BE6"/>
    <w:rsid w:val="00E90824"/>
    <w:rsid w:val="00E9098E"/>
    <w:rsid w:val="00E910BA"/>
    <w:rsid w:val="00E91496"/>
    <w:rsid w:val="00E914C9"/>
    <w:rsid w:val="00E9214F"/>
    <w:rsid w:val="00E92217"/>
    <w:rsid w:val="00E9266F"/>
    <w:rsid w:val="00E937B1"/>
    <w:rsid w:val="00E94641"/>
    <w:rsid w:val="00E9482C"/>
    <w:rsid w:val="00E94A5D"/>
    <w:rsid w:val="00E95088"/>
    <w:rsid w:val="00E9516E"/>
    <w:rsid w:val="00E9533F"/>
    <w:rsid w:val="00E954C1"/>
    <w:rsid w:val="00E957B5"/>
    <w:rsid w:val="00E95A1A"/>
    <w:rsid w:val="00E97371"/>
    <w:rsid w:val="00E97830"/>
    <w:rsid w:val="00EA0F36"/>
    <w:rsid w:val="00EA3222"/>
    <w:rsid w:val="00EA399F"/>
    <w:rsid w:val="00EA3A57"/>
    <w:rsid w:val="00EA3D84"/>
    <w:rsid w:val="00EA48B6"/>
    <w:rsid w:val="00EA4B33"/>
    <w:rsid w:val="00EA4C26"/>
    <w:rsid w:val="00EA5397"/>
    <w:rsid w:val="00EA6AA2"/>
    <w:rsid w:val="00EA6D6F"/>
    <w:rsid w:val="00EA6EAE"/>
    <w:rsid w:val="00EA73A3"/>
    <w:rsid w:val="00EB0449"/>
    <w:rsid w:val="00EB104C"/>
    <w:rsid w:val="00EB1661"/>
    <w:rsid w:val="00EB1DBF"/>
    <w:rsid w:val="00EB1E34"/>
    <w:rsid w:val="00EB23FC"/>
    <w:rsid w:val="00EB266A"/>
    <w:rsid w:val="00EB2878"/>
    <w:rsid w:val="00EB2925"/>
    <w:rsid w:val="00EB2E5A"/>
    <w:rsid w:val="00EB38D9"/>
    <w:rsid w:val="00EB47BB"/>
    <w:rsid w:val="00EB4C2F"/>
    <w:rsid w:val="00EB5173"/>
    <w:rsid w:val="00EB5349"/>
    <w:rsid w:val="00EB5B2C"/>
    <w:rsid w:val="00EB5F0E"/>
    <w:rsid w:val="00EB5F19"/>
    <w:rsid w:val="00EB5FEA"/>
    <w:rsid w:val="00EB61A2"/>
    <w:rsid w:val="00EB6ECE"/>
    <w:rsid w:val="00EB70EB"/>
    <w:rsid w:val="00EB7A45"/>
    <w:rsid w:val="00EC0776"/>
    <w:rsid w:val="00EC0B54"/>
    <w:rsid w:val="00EC0CFB"/>
    <w:rsid w:val="00EC1088"/>
    <w:rsid w:val="00EC1403"/>
    <w:rsid w:val="00EC1D42"/>
    <w:rsid w:val="00EC1F1F"/>
    <w:rsid w:val="00EC2199"/>
    <w:rsid w:val="00EC2769"/>
    <w:rsid w:val="00EC317A"/>
    <w:rsid w:val="00EC3517"/>
    <w:rsid w:val="00EC4440"/>
    <w:rsid w:val="00EC4474"/>
    <w:rsid w:val="00EC499D"/>
    <w:rsid w:val="00EC4A3F"/>
    <w:rsid w:val="00EC4C3B"/>
    <w:rsid w:val="00EC4FDE"/>
    <w:rsid w:val="00EC5B54"/>
    <w:rsid w:val="00EC5E9C"/>
    <w:rsid w:val="00EC6801"/>
    <w:rsid w:val="00EC6BA4"/>
    <w:rsid w:val="00EC722E"/>
    <w:rsid w:val="00EC72AC"/>
    <w:rsid w:val="00EC7A9F"/>
    <w:rsid w:val="00EC7BDE"/>
    <w:rsid w:val="00ED0754"/>
    <w:rsid w:val="00ED0DDF"/>
    <w:rsid w:val="00ED1D0F"/>
    <w:rsid w:val="00ED1E72"/>
    <w:rsid w:val="00ED23D7"/>
    <w:rsid w:val="00ED2405"/>
    <w:rsid w:val="00ED2483"/>
    <w:rsid w:val="00ED28F7"/>
    <w:rsid w:val="00ED31C1"/>
    <w:rsid w:val="00ED3929"/>
    <w:rsid w:val="00ED3F03"/>
    <w:rsid w:val="00ED40FB"/>
    <w:rsid w:val="00ED4670"/>
    <w:rsid w:val="00ED53EF"/>
    <w:rsid w:val="00ED5420"/>
    <w:rsid w:val="00ED5501"/>
    <w:rsid w:val="00ED595E"/>
    <w:rsid w:val="00ED600B"/>
    <w:rsid w:val="00ED69FB"/>
    <w:rsid w:val="00ED6AFD"/>
    <w:rsid w:val="00ED72E6"/>
    <w:rsid w:val="00ED7C5F"/>
    <w:rsid w:val="00ED7DF3"/>
    <w:rsid w:val="00EE00EF"/>
    <w:rsid w:val="00EE0D60"/>
    <w:rsid w:val="00EE1635"/>
    <w:rsid w:val="00EE2BAF"/>
    <w:rsid w:val="00EE3204"/>
    <w:rsid w:val="00EE34E0"/>
    <w:rsid w:val="00EE376A"/>
    <w:rsid w:val="00EE38DD"/>
    <w:rsid w:val="00EE39B1"/>
    <w:rsid w:val="00EE3AE1"/>
    <w:rsid w:val="00EE3DF6"/>
    <w:rsid w:val="00EE46FC"/>
    <w:rsid w:val="00EE4E11"/>
    <w:rsid w:val="00EE5706"/>
    <w:rsid w:val="00EE5951"/>
    <w:rsid w:val="00EE5DDF"/>
    <w:rsid w:val="00EE62CE"/>
    <w:rsid w:val="00EE66EE"/>
    <w:rsid w:val="00EE6940"/>
    <w:rsid w:val="00EE71BD"/>
    <w:rsid w:val="00EE73A4"/>
    <w:rsid w:val="00EE769B"/>
    <w:rsid w:val="00EE7A3F"/>
    <w:rsid w:val="00EE7B39"/>
    <w:rsid w:val="00EF0086"/>
    <w:rsid w:val="00EF01B0"/>
    <w:rsid w:val="00EF07B8"/>
    <w:rsid w:val="00EF0ABF"/>
    <w:rsid w:val="00EF0E0C"/>
    <w:rsid w:val="00EF20D1"/>
    <w:rsid w:val="00EF26EB"/>
    <w:rsid w:val="00EF3B17"/>
    <w:rsid w:val="00EF3B88"/>
    <w:rsid w:val="00EF3F3F"/>
    <w:rsid w:val="00EF4197"/>
    <w:rsid w:val="00EF4C5E"/>
    <w:rsid w:val="00EF4CAA"/>
    <w:rsid w:val="00EF530A"/>
    <w:rsid w:val="00EF599E"/>
    <w:rsid w:val="00EF5A5A"/>
    <w:rsid w:val="00EF5B8C"/>
    <w:rsid w:val="00EF62BE"/>
    <w:rsid w:val="00EF641D"/>
    <w:rsid w:val="00EF70C3"/>
    <w:rsid w:val="00EF7835"/>
    <w:rsid w:val="00EF7A8E"/>
    <w:rsid w:val="00F0032C"/>
    <w:rsid w:val="00F00370"/>
    <w:rsid w:val="00F00AAA"/>
    <w:rsid w:val="00F018B6"/>
    <w:rsid w:val="00F01918"/>
    <w:rsid w:val="00F01C69"/>
    <w:rsid w:val="00F02580"/>
    <w:rsid w:val="00F029DF"/>
    <w:rsid w:val="00F02C22"/>
    <w:rsid w:val="00F02E7B"/>
    <w:rsid w:val="00F03BFD"/>
    <w:rsid w:val="00F03C57"/>
    <w:rsid w:val="00F0490D"/>
    <w:rsid w:val="00F058D7"/>
    <w:rsid w:val="00F058F3"/>
    <w:rsid w:val="00F05E60"/>
    <w:rsid w:val="00F077B7"/>
    <w:rsid w:val="00F1000D"/>
    <w:rsid w:val="00F106F0"/>
    <w:rsid w:val="00F11064"/>
    <w:rsid w:val="00F110B9"/>
    <w:rsid w:val="00F113F9"/>
    <w:rsid w:val="00F11D4D"/>
    <w:rsid w:val="00F121FB"/>
    <w:rsid w:val="00F13418"/>
    <w:rsid w:val="00F1366B"/>
    <w:rsid w:val="00F144D9"/>
    <w:rsid w:val="00F1563A"/>
    <w:rsid w:val="00F15878"/>
    <w:rsid w:val="00F16372"/>
    <w:rsid w:val="00F16711"/>
    <w:rsid w:val="00F169B3"/>
    <w:rsid w:val="00F16FBB"/>
    <w:rsid w:val="00F171AC"/>
    <w:rsid w:val="00F17B4D"/>
    <w:rsid w:val="00F17DDE"/>
    <w:rsid w:val="00F200C8"/>
    <w:rsid w:val="00F206CA"/>
    <w:rsid w:val="00F207FF"/>
    <w:rsid w:val="00F2105C"/>
    <w:rsid w:val="00F214C2"/>
    <w:rsid w:val="00F215AA"/>
    <w:rsid w:val="00F21D2D"/>
    <w:rsid w:val="00F225A2"/>
    <w:rsid w:val="00F22F34"/>
    <w:rsid w:val="00F24C8B"/>
    <w:rsid w:val="00F252DB"/>
    <w:rsid w:val="00F25929"/>
    <w:rsid w:val="00F26017"/>
    <w:rsid w:val="00F261E1"/>
    <w:rsid w:val="00F26355"/>
    <w:rsid w:val="00F268A7"/>
    <w:rsid w:val="00F26EB5"/>
    <w:rsid w:val="00F274A7"/>
    <w:rsid w:val="00F27AE8"/>
    <w:rsid w:val="00F300F3"/>
    <w:rsid w:val="00F302CA"/>
    <w:rsid w:val="00F3056A"/>
    <w:rsid w:val="00F3087B"/>
    <w:rsid w:val="00F311A4"/>
    <w:rsid w:val="00F31866"/>
    <w:rsid w:val="00F31FA8"/>
    <w:rsid w:val="00F31FD8"/>
    <w:rsid w:val="00F328DE"/>
    <w:rsid w:val="00F32946"/>
    <w:rsid w:val="00F32D08"/>
    <w:rsid w:val="00F3369D"/>
    <w:rsid w:val="00F344E7"/>
    <w:rsid w:val="00F349D8"/>
    <w:rsid w:val="00F34CF8"/>
    <w:rsid w:val="00F3521D"/>
    <w:rsid w:val="00F354F4"/>
    <w:rsid w:val="00F35D46"/>
    <w:rsid w:val="00F35E0A"/>
    <w:rsid w:val="00F35F5E"/>
    <w:rsid w:val="00F36146"/>
    <w:rsid w:val="00F3629F"/>
    <w:rsid w:val="00F36E52"/>
    <w:rsid w:val="00F370A8"/>
    <w:rsid w:val="00F3766D"/>
    <w:rsid w:val="00F377C4"/>
    <w:rsid w:val="00F37C27"/>
    <w:rsid w:val="00F4074B"/>
    <w:rsid w:val="00F40955"/>
    <w:rsid w:val="00F40CFB"/>
    <w:rsid w:val="00F40E2C"/>
    <w:rsid w:val="00F40FAF"/>
    <w:rsid w:val="00F41814"/>
    <w:rsid w:val="00F421AE"/>
    <w:rsid w:val="00F424D0"/>
    <w:rsid w:val="00F42838"/>
    <w:rsid w:val="00F42FC4"/>
    <w:rsid w:val="00F44028"/>
    <w:rsid w:val="00F44AE4"/>
    <w:rsid w:val="00F450A5"/>
    <w:rsid w:val="00F452C9"/>
    <w:rsid w:val="00F46057"/>
    <w:rsid w:val="00F460CE"/>
    <w:rsid w:val="00F46122"/>
    <w:rsid w:val="00F461E6"/>
    <w:rsid w:val="00F47133"/>
    <w:rsid w:val="00F475C8"/>
    <w:rsid w:val="00F50317"/>
    <w:rsid w:val="00F50893"/>
    <w:rsid w:val="00F50F07"/>
    <w:rsid w:val="00F51742"/>
    <w:rsid w:val="00F51B54"/>
    <w:rsid w:val="00F51CE2"/>
    <w:rsid w:val="00F523BF"/>
    <w:rsid w:val="00F524FD"/>
    <w:rsid w:val="00F532EE"/>
    <w:rsid w:val="00F53703"/>
    <w:rsid w:val="00F5386E"/>
    <w:rsid w:val="00F53ED0"/>
    <w:rsid w:val="00F5554C"/>
    <w:rsid w:val="00F555CF"/>
    <w:rsid w:val="00F55963"/>
    <w:rsid w:val="00F55C80"/>
    <w:rsid w:val="00F5640A"/>
    <w:rsid w:val="00F566D3"/>
    <w:rsid w:val="00F56A5F"/>
    <w:rsid w:val="00F56F0E"/>
    <w:rsid w:val="00F57D6B"/>
    <w:rsid w:val="00F606E0"/>
    <w:rsid w:val="00F60DF8"/>
    <w:rsid w:val="00F6162B"/>
    <w:rsid w:val="00F619CF"/>
    <w:rsid w:val="00F6297E"/>
    <w:rsid w:val="00F62E71"/>
    <w:rsid w:val="00F63307"/>
    <w:rsid w:val="00F63885"/>
    <w:rsid w:val="00F63AED"/>
    <w:rsid w:val="00F63DFC"/>
    <w:rsid w:val="00F64636"/>
    <w:rsid w:val="00F647AF"/>
    <w:rsid w:val="00F64A82"/>
    <w:rsid w:val="00F64FDC"/>
    <w:rsid w:val="00F6583D"/>
    <w:rsid w:val="00F66DCB"/>
    <w:rsid w:val="00F66DF6"/>
    <w:rsid w:val="00F66FE8"/>
    <w:rsid w:val="00F67084"/>
    <w:rsid w:val="00F705ED"/>
    <w:rsid w:val="00F707F1"/>
    <w:rsid w:val="00F70B8C"/>
    <w:rsid w:val="00F70FBA"/>
    <w:rsid w:val="00F711D6"/>
    <w:rsid w:val="00F71220"/>
    <w:rsid w:val="00F716EB"/>
    <w:rsid w:val="00F72096"/>
    <w:rsid w:val="00F720EE"/>
    <w:rsid w:val="00F72F34"/>
    <w:rsid w:val="00F72FCB"/>
    <w:rsid w:val="00F73081"/>
    <w:rsid w:val="00F73304"/>
    <w:rsid w:val="00F7338F"/>
    <w:rsid w:val="00F73520"/>
    <w:rsid w:val="00F742D1"/>
    <w:rsid w:val="00F74438"/>
    <w:rsid w:val="00F744EA"/>
    <w:rsid w:val="00F74640"/>
    <w:rsid w:val="00F759F0"/>
    <w:rsid w:val="00F7659D"/>
    <w:rsid w:val="00F76BF0"/>
    <w:rsid w:val="00F76FA9"/>
    <w:rsid w:val="00F7744F"/>
    <w:rsid w:val="00F77481"/>
    <w:rsid w:val="00F774AC"/>
    <w:rsid w:val="00F80DF2"/>
    <w:rsid w:val="00F80FC0"/>
    <w:rsid w:val="00F81FE8"/>
    <w:rsid w:val="00F82C2C"/>
    <w:rsid w:val="00F83567"/>
    <w:rsid w:val="00F83A5D"/>
    <w:rsid w:val="00F84278"/>
    <w:rsid w:val="00F84510"/>
    <w:rsid w:val="00F84837"/>
    <w:rsid w:val="00F848B4"/>
    <w:rsid w:val="00F84CAB"/>
    <w:rsid w:val="00F8567B"/>
    <w:rsid w:val="00F858AC"/>
    <w:rsid w:val="00F85913"/>
    <w:rsid w:val="00F862FB"/>
    <w:rsid w:val="00F86B6B"/>
    <w:rsid w:val="00F8744E"/>
    <w:rsid w:val="00F87AA4"/>
    <w:rsid w:val="00F87DE7"/>
    <w:rsid w:val="00F902D7"/>
    <w:rsid w:val="00F90A31"/>
    <w:rsid w:val="00F90B01"/>
    <w:rsid w:val="00F90F49"/>
    <w:rsid w:val="00F91384"/>
    <w:rsid w:val="00F91701"/>
    <w:rsid w:val="00F923DC"/>
    <w:rsid w:val="00F924E5"/>
    <w:rsid w:val="00F92750"/>
    <w:rsid w:val="00F92DC5"/>
    <w:rsid w:val="00F92E4D"/>
    <w:rsid w:val="00F93123"/>
    <w:rsid w:val="00F93F0D"/>
    <w:rsid w:val="00F94209"/>
    <w:rsid w:val="00F949A2"/>
    <w:rsid w:val="00F94A0D"/>
    <w:rsid w:val="00F95B61"/>
    <w:rsid w:val="00F95F5E"/>
    <w:rsid w:val="00F96950"/>
    <w:rsid w:val="00F9736E"/>
    <w:rsid w:val="00F9743D"/>
    <w:rsid w:val="00F975C3"/>
    <w:rsid w:val="00F978B4"/>
    <w:rsid w:val="00F978BC"/>
    <w:rsid w:val="00F97A03"/>
    <w:rsid w:val="00F97C24"/>
    <w:rsid w:val="00FA0B3D"/>
    <w:rsid w:val="00FA0FD3"/>
    <w:rsid w:val="00FA10F0"/>
    <w:rsid w:val="00FA1C2F"/>
    <w:rsid w:val="00FA1D4A"/>
    <w:rsid w:val="00FA26EA"/>
    <w:rsid w:val="00FA290C"/>
    <w:rsid w:val="00FA2A2C"/>
    <w:rsid w:val="00FA2A70"/>
    <w:rsid w:val="00FA2E1B"/>
    <w:rsid w:val="00FA2EC5"/>
    <w:rsid w:val="00FA2EE4"/>
    <w:rsid w:val="00FA3030"/>
    <w:rsid w:val="00FA30FA"/>
    <w:rsid w:val="00FA3845"/>
    <w:rsid w:val="00FA42C8"/>
    <w:rsid w:val="00FA45E8"/>
    <w:rsid w:val="00FA486F"/>
    <w:rsid w:val="00FA4F05"/>
    <w:rsid w:val="00FA4F8C"/>
    <w:rsid w:val="00FA5DF8"/>
    <w:rsid w:val="00FA623C"/>
    <w:rsid w:val="00FA63AC"/>
    <w:rsid w:val="00FA6D32"/>
    <w:rsid w:val="00FA6FA0"/>
    <w:rsid w:val="00FA7B9F"/>
    <w:rsid w:val="00FA7E9D"/>
    <w:rsid w:val="00FB0C1E"/>
    <w:rsid w:val="00FB14E3"/>
    <w:rsid w:val="00FB1C1E"/>
    <w:rsid w:val="00FB2401"/>
    <w:rsid w:val="00FB2416"/>
    <w:rsid w:val="00FB2739"/>
    <w:rsid w:val="00FB28AF"/>
    <w:rsid w:val="00FB298A"/>
    <w:rsid w:val="00FB416E"/>
    <w:rsid w:val="00FB419D"/>
    <w:rsid w:val="00FB4E4D"/>
    <w:rsid w:val="00FB572A"/>
    <w:rsid w:val="00FB5BCE"/>
    <w:rsid w:val="00FB5C13"/>
    <w:rsid w:val="00FB5D40"/>
    <w:rsid w:val="00FB5ED1"/>
    <w:rsid w:val="00FB64D3"/>
    <w:rsid w:val="00FB64FA"/>
    <w:rsid w:val="00FB6829"/>
    <w:rsid w:val="00FB6A50"/>
    <w:rsid w:val="00FB6CFF"/>
    <w:rsid w:val="00FB704B"/>
    <w:rsid w:val="00FB70D6"/>
    <w:rsid w:val="00FB799D"/>
    <w:rsid w:val="00FB7A99"/>
    <w:rsid w:val="00FB7F59"/>
    <w:rsid w:val="00FC02BA"/>
    <w:rsid w:val="00FC0CC1"/>
    <w:rsid w:val="00FC1B31"/>
    <w:rsid w:val="00FC23EF"/>
    <w:rsid w:val="00FC2C83"/>
    <w:rsid w:val="00FC2E7B"/>
    <w:rsid w:val="00FC3133"/>
    <w:rsid w:val="00FC36E2"/>
    <w:rsid w:val="00FC372B"/>
    <w:rsid w:val="00FC38E6"/>
    <w:rsid w:val="00FC41B7"/>
    <w:rsid w:val="00FC5347"/>
    <w:rsid w:val="00FC57A7"/>
    <w:rsid w:val="00FC6495"/>
    <w:rsid w:val="00FC66FE"/>
    <w:rsid w:val="00FC6809"/>
    <w:rsid w:val="00FC68BF"/>
    <w:rsid w:val="00FC6D87"/>
    <w:rsid w:val="00FC7351"/>
    <w:rsid w:val="00FD033B"/>
    <w:rsid w:val="00FD09E5"/>
    <w:rsid w:val="00FD0CA2"/>
    <w:rsid w:val="00FD14DD"/>
    <w:rsid w:val="00FD1AD6"/>
    <w:rsid w:val="00FD21EC"/>
    <w:rsid w:val="00FD3384"/>
    <w:rsid w:val="00FD35AA"/>
    <w:rsid w:val="00FD423E"/>
    <w:rsid w:val="00FD4303"/>
    <w:rsid w:val="00FD45DD"/>
    <w:rsid w:val="00FD4D6E"/>
    <w:rsid w:val="00FD4F1B"/>
    <w:rsid w:val="00FD51E9"/>
    <w:rsid w:val="00FD5DC4"/>
    <w:rsid w:val="00FD6178"/>
    <w:rsid w:val="00FD61CE"/>
    <w:rsid w:val="00FD6595"/>
    <w:rsid w:val="00FD68E1"/>
    <w:rsid w:val="00FD71AF"/>
    <w:rsid w:val="00FD7451"/>
    <w:rsid w:val="00FD7E24"/>
    <w:rsid w:val="00FE0259"/>
    <w:rsid w:val="00FE05B0"/>
    <w:rsid w:val="00FE05EA"/>
    <w:rsid w:val="00FE0D2F"/>
    <w:rsid w:val="00FE11EF"/>
    <w:rsid w:val="00FE146F"/>
    <w:rsid w:val="00FE1523"/>
    <w:rsid w:val="00FE1FE7"/>
    <w:rsid w:val="00FE1FF1"/>
    <w:rsid w:val="00FE237C"/>
    <w:rsid w:val="00FE2828"/>
    <w:rsid w:val="00FE2C8D"/>
    <w:rsid w:val="00FE41BB"/>
    <w:rsid w:val="00FE422D"/>
    <w:rsid w:val="00FE4552"/>
    <w:rsid w:val="00FE501D"/>
    <w:rsid w:val="00FE52CC"/>
    <w:rsid w:val="00FE58AD"/>
    <w:rsid w:val="00FE5C42"/>
    <w:rsid w:val="00FE627E"/>
    <w:rsid w:val="00FE76F5"/>
    <w:rsid w:val="00FF02FE"/>
    <w:rsid w:val="00FF122F"/>
    <w:rsid w:val="00FF1232"/>
    <w:rsid w:val="00FF1D00"/>
    <w:rsid w:val="00FF2153"/>
    <w:rsid w:val="00FF22A9"/>
    <w:rsid w:val="00FF243F"/>
    <w:rsid w:val="00FF2DF7"/>
    <w:rsid w:val="00FF2E51"/>
    <w:rsid w:val="00FF3658"/>
    <w:rsid w:val="00FF371C"/>
    <w:rsid w:val="00FF3AA1"/>
    <w:rsid w:val="00FF411F"/>
    <w:rsid w:val="00FF44E2"/>
    <w:rsid w:val="00FF54B9"/>
    <w:rsid w:val="00FF5BC8"/>
    <w:rsid w:val="00FF6742"/>
    <w:rsid w:val="00FF6AB7"/>
    <w:rsid w:val="00FF73DD"/>
    <w:rsid w:val="00FF7421"/>
    <w:rsid w:val="224EB8E0"/>
    <w:rsid w:val="5AA253E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2DB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74E"/>
    <w:pPr>
      <w:spacing w:after="180"/>
    </w:pPr>
  </w:style>
  <w:style w:type="paragraph" w:styleId="Heading1">
    <w:name w:val="heading 1"/>
    <w:basedOn w:val="Normal"/>
    <w:next w:val="Normal"/>
    <w:link w:val="Heading1Char"/>
    <w:uiPriority w:val="9"/>
    <w:qFormat/>
    <w:rsid w:val="006015D1"/>
    <w:pPr>
      <w:keepNext/>
      <w:keepLines/>
      <w:spacing w:before="1320" w:after="0" w:line="820" w:lineRule="exact"/>
      <w:outlineLvl w:val="0"/>
    </w:pPr>
    <w:rPr>
      <w:rFonts w:ascii="Aptos Display" w:eastAsiaTheme="majorEastAsia" w:hAnsi="Aptos Display" w:cs="Segoe UI"/>
      <w:color w:val="FFFFFF" w:themeColor="background1"/>
      <w:spacing w:val="-10"/>
      <w:kern w:val="40"/>
      <w:sz w:val="76"/>
      <w:szCs w:val="68"/>
    </w:rPr>
  </w:style>
  <w:style w:type="paragraph" w:styleId="Heading2">
    <w:name w:val="heading 2"/>
    <w:basedOn w:val="Normal"/>
    <w:next w:val="Normal"/>
    <w:link w:val="Heading2Char"/>
    <w:uiPriority w:val="9"/>
    <w:unhideWhenUsed/>
    <w:qFormat/>
    <w:rsid w:val="00E250C6"/>
    <w:pPr>
      <w:keepNext/>
      <w:keepLines/>
      <w:spacing w:before="720"/>
      <w:outlineLvl w:val="1"/>
    </w:pPr>
    <w:rPr>
      <w:rFonts w:asciiTheme="majorHAnsi" w:eastAsiaTheme="majorEastAsia" w:hAnsiTheme="majorHAnsi" w:cstheme="majorBidi"/>
      <w:b/>
      <w:color w:val="009B9F" w:themeColor="background2"/>
      <w:sz w:val="44"/>
      <w:szCs w:val="26"/>
    </w:rPr>
  </w:style>
  <w:style w:type="paragraph" w:styleId="Heading3">
    <w:name w:val="heading 3"/>
    <w:basedOn w:val="Normal"/>
    <w:next w:val="Normal"/>
    <w:link w:val="Heading3Char"/>
    <w:uiPriority w:val="9"/>
    <w:unhideWhenUsed/>
    <w:qFormat/>
    <w:rsid w:val="00E250C6"/>
    <w:pPr>
      <w:keepNext/>
      <w:keepLines/>
      <w:spacing w:before="320" w:after="60"/>
      <w:outlineLvl w:val="2"/>
    </w:pPr>
    <w:rPr>
      <w:rFonts w:asciiTheme="majorHAnsi" w:eastAsiaTheme="majorEastAsia" w:hAnsiTheme="majorHAnsi" w:cstheme="majorBidi"/>
      <w:b/>
      <w:color w:val="0D2C6C" w:themeColor="text1"/>
      <w:sz w:val="32"/>
      <w:szCs w:val="24"/>
    </w:rPr>
  </w:style>
  <w:style w:type="paragraph" w:styleId="Heading4">
    <w:name w:val="heading 4"/>
    <w:basedOn w:val="Normal"/>
    <w:next w:val="Normal"/>
    <w:link w:val="Heading4Char"/>
    <w:uiPriority w:val="9"/>
    <w:unhideWhenUsed/>
    <w:qFormat/>
    <w:rsid w:val="003C6B59"/>
    <w:pPr>
      <w:keepNext/>
      <w:keepLines/>
      <w:spacing w:before="360" w:after="0"/>
      <w:outlineLvl w:val="3"/>
    </w:pPr>
    <w:rPr>
      <w:rFonts w:asciiTheme="majorHAnsi" w:eastAsiaTheme="majorEastAsia" w:hAnsiTheme="majorHAnsi" w:cstheme="majorBidi"/>
      <w:b/>
      <w:iCs/>
      <w:color w:val="404246" w:themeColor="text2"/>
      <w:sz w:val="28"/>
    </w:rPr>
  </w:style>
  <w:style w:type="paragraph" w:styleId="Heading5">
    <w:name w:val="heading 5"/>
    <w:basedOn w:val="Normal"/>
    <w:next w:val="Normal"/>
    <w:link w:val="Heading5Char"/>
    <w:uiPriority w:val="9"/>
    <w:unhideWhenUsed/>
    <w:qFormat/>
    <w:rsid w:val="006258EE"/>
    <w:pPr>
      <w:keepNext/>
      <w:keepLines/>
      <w:spacing w:before="40" w:after="0"/>
      <w:outlineLvl w:val="4"/>
    </w:pPr>
    <w:rPr>
      <w:rFonts w:asciiTheme="majorHAnsi" w:eastAsiaTheme="majorEastAsia" w:hAnsiTheme="majorHAnsi" w:cstheme="majorBidi"/>
      <w:b/>
      <w:color w:val="62165C"/>
      <w:sz w:val="26"/>
    </w:rPr>
  </w:style>
  <w:style w:type="paragraph" w:styleId="Heading6">
    <w:name w:val="heading 6"/>
    <w:basedOn w:val="Normal"/>
    <w:next w:val="Normal"/>
    <w:link w:val="Heading6Char"/>
    <w:autoRedefine/>
    <w:uiPriority w:val="9"/>
    <w:unhideWhenUsed/>
    <w:qFormat/>
    <w:rsid w:val="007D4EF3"/>
    <w:pPr>
      <w:keepNext/>
      <w:keepLines/>
      <w:spacing w:before="40" w:after="0"/>
      <w:outlineLvl w:val="5"/>
    </w:pPr>
    <w:rPr>
      <w:rFonts w:asciiTheme="majorHAnsi" w:eastAsiaTheme="majorEastAsia" w:hAnsiTheme="majorHAnsi" w:cstheme="majorBidi"/>
      <w:b/>
      <w:color w:val="0D2C6C" w:themeColor="text1"/>
    </w:rPr>
  </w:style>
  <w:style w:type="paragraph" w:styleId="Heading7">
    <w:name w:val="heading 7"/>
    <w:basedOn w:val="Normal"/>
    <w:next w:val="Normal"/>
    <w:link w:val="Heading7Char"/>
    <w:uiPriority w:val="9"/>
    <w:qFormat/>
    <w:rsid w:val="00AD631F"/>
    <w:pPr>
      <w:keepNext/>
      <w:keepLines/>
      <w:spacing w:before="40" w:after="0"/>
      <w:outlineLvl w:val="6"/>
    </w:pPr>
    <w:rPr>
      <w:rFonts w:eastAsiaTheme="majorEastAsia" w:cstheme="majorBidi"/>
      <w:i/>
      <w:iCs/>
      <w:color w:val="A4249B" w:themeColor="accent2"/>
    </w:rPr>
  </w:style>
  <w:style w:type="paragraph" w:styleId="Heading8">
    <w:name w:val="heading 8"/>
    <w:basedOn w:val="Normal"/>
    <w:next w:val="Normal"/>
    <w:link w:val="Heading8Char"/>
    <w:uiPriority w:val="9"/>
    <w:unhideWhenUsed/>
    <w:qFormat/>
    <w:rsid w:val="00D82BD0"/>
    <w:pPr>
      <w:keepNext/>
      <w:keepLines/>
      <w:spacing w:after="0" w:line="279" w:lineRule="auto"/>
      <w:outlineLvl w:val="7"/>
    </w:pPr>
    <w:rPr>
      <w:rFonts w:eastAsiaTheme="majorEastAsia" w:cstheme="majorBidi"/>
      <w:i/>
      <w:iCs/>
      <w:color w:val="1341A0" w:themeColor="text1" w:themeTint="D8"/>
      <w:sz w:val="24"/>
      <w:szCs w:val="24"/>
      <w:lang w:eastAsia="ja-JP"/>
    </w:rPr>
  </w:style>
  <w:style w:type="paragraph" w:styleId="Heading9">
    <w:name w:val="heading 9"/>
    <w:basedOn w:val="Normal"/>
    <w:next w:val="Normal"/>
    <w:link w:val="Heading9Char"/>
    <w:uiPriority w:val="9"/>
    <w:unhideWhenUsed/>
    <w:qFormat/>
    <w:rsid w:val="00D82BD0"/>
    <w:pPr>
      <w:keepNext/>
      <w:keepLines/>
      <w:spacing w:after="0" w:line="279" w:lineRule="auto"/>
      <w:outlineLvl w:val="8"/>
    </w:pPr>
    <w:rPr>
      <w:rFonts w:eastAsiaTheme="majorEastAsia" w:cstheme="majorBidi"/>
      <w:color w:val="1341A0" w:themeColor="text1" w:themeTint="D8"/>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43588C"/>
    <w:rPr>
      <w:color w:val="0D2C6C" w:themeColor="text1"/>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124686"/>
    <w:pPr>
      <w:tabs>
        <w:tab w:val="center" w:pos="4513"/>
        <w:tab w:val="right" w:pos="9026"/>
      </w:tabs>
      <w:spacing w:after="0" w:line="240" w:lineRule="auto"/>
      <w:ind w:right="737"/>
      <w:jc w:val="right"/>
    </w:pPr>
    <w:rPr>
      <w:color w:val="5F636A"/>
      <w:spacing w:val="-4"/>
    </w:rPr>
  </w:style>
  <w:style w:type="character" w:customStyle="1" w:styleId="FooterChar">
    <w:name w:val="Footer Char"/>
    <w:basedOn w:val="DefaultParagraphFont"/>
    <w:link w:val="Footer"/>
    <w:uiPriority w:val="99"/>
    <w:rsid w:val="00124686"/>
    <w:rPr>
      <w:color w:val="5F636A"/>
      <w:spacing w:val="-4"/>
    </w:rPr>
  </w:style>
  <w:style w:type="table" w:styleId="TableGrid">
    <w:name w:val="Table Grid"/>
    <w:aliases w:val="Table Grid (CK Edit)"/>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015D1"/>
    <w:rPr>
      <w:rFonts w:ascii="Aptos Display" w:eastAsiaTheme="majorEastAsia" w:hAnsi="Aptos Display" w:cs="Segoe UI"/>
      <w:color w:val="FFFFFF" w:themeColor="background1"/>
      <w:spacing w:val="-10"/>
      <w:kern w:val="40"/>
      <w:sz w:val="76"/>
      <w:szCs w:val="68"/>
    </w:rPr>
  </w:style>
  <w:style w:type="character" w:customStyle="1" w:styleId="Heading2Char">
    <w:name w:val="Heading 2 Char"/>
    <w:basedOn w:val="DefaultParagraphFont"/>
    <w:link w:val="Heading2"/>
    <w:uiPriority w:val="9"/>
    <w:rsid w:val="00E250C6"/>
    <w:rPr>
      <w:rFonts w:asciiTheme="majorHAnsi" w:eastAsiaTheme="majorEastAsia" w:hAnsiTheme="majorHAnsi" w:cstheme="majorBidi"/>
      <w:b/>
      <w:color w:val="009B9F" w:themeColor="background2"/>
      <w:sz w:val="44"/>
      <w:szCs w:val="26"/>
    </w:rPr>
  </w:style>
  <w:style w:type="character" w:customStyle="1" w:styleId="Heading3Char">
    <w:name w:val="Heading 3 Char"/>
    <w:basedOn w:val="DefaultParagraphFont"/>
    <w:link w:val="Heading3"/>
    <w:uiPriority w:val="9"/>
    <w:rsid w:val="00E250C6"/>
    <w:rPr>
      <w:rFonts w:asciiTheme="majorHAnsi" w:eastAsiaTheme="majorEastAsia" w:hAnsiTheme="majorHAnsi" w:cstheme="majorBidi"/>
      <w:b/>
      <w:color w:val="0D2C6C" w:themeColor="text1"/>
      <w:sz w:val="32"/>
      <w:szCs w:val="24"/>
    </w:rPr>
  </w:style>
  <w:style w:type="character" w:customStyle="1" w:styleId="Heading4Char">
    <w:name w:val="Heading 4 Char"/>
    <w:basedOn w:val="DefaultParagraphFont"/>
    <w:link w:val="Heading4"/>
    <w:uiPriority w:val="9"/>
    <w:rsid w:val="003C6B59"/>
    <w:rPr>
      <w:rFonts w:asciiTheme="majorHAnsi" w:eastAsiaTheme="majorEastAsia" w:hAnsiTheme="majorHAnsi" w:cstheme="majorBidi"/>
      <w:b/>
      <w:iCs/>
      <w:color w:val="404246" w:themeColor="text2"/>
      <w:sz w:val="28"/>
    </w:rPr>
  </w:style>
  <w:style w:type="character" w:customStyle="1" w:styleId="Heading5Char">
    <w:name w:val="Heading 5 Char"/>
    <w:basedOn w:val="DefaultParagraphFont"/>
    <w:link w:val="Heading5"/>
    <w:uiPriority w:val="9"/>
    <w:rsid w:val="006258EE"/>
    <w:rPr>
      <w:rFonts w:asciiTheme="majorHAnsi" w:eastAsiaTheme="majorEastAsia" w:hAnsiTheme="majorHAnsi" w:cstheme="majorBidi"/>
      <w:b/>
      <w:color w:val="62165C"/>
      <w:sz w:val="26"/>
    </w:rPr>
  </w:style>
  <w:style w:type="character" w:customStyle="1" w:styleId="Heading6Char">
    <w:name w:val="Heading 6 Char"/>
    <w:basedOn w:val="DefaultParagraphFont"/>
    <w:link w:val="Heading6"/>
    <w:uiPriority w:val="9"/>
    <w:rsid w:val="007D4EF3"/>
    <w:rPr>
      <w:rFonts w:asciiTheme="majorHAnsi" w:eastAsiaTheme="majorEastAsia" w:hAnsiTheme="majorHAnsi" w:cstheme="majorBidi"/>
      <w:b/>
      <w:color w:val="0D2C6C" w:themeColor="text1"/>
    </w:rPr>
  </w:style>
  <w:style w:type="paragraph" w:styleId="Caption">
    <w:name w:val="caption"/>
    <w:basedOn w:val="Normal"/>
    <w:next w:val="Normal"/>
    <w:autoRedefine/>
    <w:uiPriority w:val="35"/>
    <w:qFormat/>
    <w:rsid w:val="00900C0D"/>
    <w:pPr>
      <w:keepNext/>
      <w:spacing w:after="120" w:line="240" w:lineRule="auto"/>
      <w:ind w:left="57" w:right="17"/>
    </w:pPr>
    <w:rPr>
      <w:b/>
      <w:bCs/>
      <w:iCs/>
      <w:color w:val="000000"/>
      <w:szCs w:val="18"/>
      <w:lang w:val="en-US" w:eastAsia="en-AU"/>
    </w:rPr>
  </w:style>
  <w:style w:type="paragraph" w:customStyle="1" w:styleId="Source">
    <w:name w:val="Source"/>
    <w:basedOn w:val="Normal"/>
    <w:uiPriority w:val="9"/>
    <w:qFormat/>
    <w:rsid w:val="00EB4C2F"/>
    <w:pPr>
      <w:spacing w:before="120"/>
    </w:pPr>
    <w:rPr>
      <w:sz w:val="18"/>
    </w:rPr>
  </w:style>
  <w:style w:type="character" w:customStyle="1" w:styleId="Heading7Char">
    <w:name w:val="Heading 7 Char"/>
    <w:basedOn w:val="DefaultParagraphFont"/>
    <w:link w:val="Heading7"/>
    <w:uiPriority w:val="9"/>
    <w:rsid w:val="006F6D10"/>
    <w:rPr>
      <w:rFonts w:eastAsiaTheme="majorEastAsia" w:cstheme="majorBidi"/>
      <w:i/>
      <w:iCs/>
      <w:color w:val="A4249B" w:themeColor="accent2"/>
    </w:rPr>
  </w:style>
  <w:style w:type="paragraph" w:styleId="Subtitle">
    <w:name w:val="Subtitle"/>
    <w:basedOn w:val="Normal"/>
    <w:next w:val="Normal"/>
    <w:link w:val="SubtitleChar"/>
    <w:uiPriority w:val="11"/>
    <w:qFormat/>
    <w:rsid w:val="009D2BA6"/>
    <w:pPr>
      <w:numPr>
        <w:ilvl w:val="1"/>
      </w:numPr>
      <w:spacing w:before="840" w:after="40" w:line="680" w:lineRule="exact"/>
    </w:pPr>
    <w:rPr>
      <w:rFonts w:ascii="Segoe UI" w:eastAsiaTheme="minorEastAsia" w:hAnsi="Segoe UI"/>
      <w:color w:val="FFFFFF" w:themeColor="background1"/>
      <w:sz w:val="40"/>
    </w:rPr>
  </w:style>
  <w:style w:type="character" w:customStyle="1" w:styleId="SubtitleChar">
    <w:name w:val="Subtitle Char"/>
    <w:basedOn w:val="DefaultParagraphFont"/>
    <w:link w:val="Subtitle"/>
    <w:uiPriority w:val="11"/>
    <w:rsid w:val="009D2BA6"/>
    <w:rPr>
      <w:rFonts w:ascii="Segoe UI" w:eastAsiaTheme="minorEastAsia" w:hAnsi="Segoe UI"/>
      <w:color w:val="FFFFFF" w:themeColor="background1"/>
      <w:sz w:val="40"/>
    </w:rPr>
  </w:style>
  <w:style w:type="paragraph" w:styleId="List">
    <w:name w:val="List"/>
    <w:basedOn w:val="Normal"/>
    <w:uiPriority w:val="98"/>
    <w:qFormat/>
    <w:rsid w:val="00886959"/>
    <w:pPr>
      <w:numPr>
        <w:numId w:val="6"/>
      </w:numPr>
      <w:spacing w:after="200"/>
      <w:contextualSpacing/>
    </w:pPr>
  </w:style>
  <w:style w:type="paragraph" w:styleId="List2">
    <w:name w:val="List 2"/>
    <w:basedOn w:val="Normal"/>
    <w:uiPriority w:val="98"/>
    <w:qFormat/>
    <w:rsid w:val="00F85913"/>
    <w:pPr>
      <w:numPr>
        <w:ilvl w:val="1"/>
        <w:numId w:val="6"/>
      </w:numPr>
      <w:spacing w:after="200"/>
      <w:contextualSpacing/>
    </w:pPr>
  </w:style>
  <w:style w:type="paragraph" w:styleId="List3">
    <w:name w:val="List 3"/>
    <w:basedOn w:val="Normal"/>
    <w:uiPriority w:val="98"/>
    <w:qFormat/>
    <w:rsid w:val="00BC248C"/>
    <w:pPr>
      <w:numPr>
        <w:ilvl w:val="2"/>
        <w:numId w:val="6"/>
      </w:numPr>
      <w:spacing w:after="200"/>
      <w:ind w:left="3240" w:hanging="180"/>
      <w:contextualSpacing/>
    </w:pPr>
  </w:style>
  <w:style w:type="paragraph" w:styleId="List4">
    <w:name w:val="List 4"/>
    <w:basedOn w:val="Normal"/>
    <w:uiPriority w:val="98"/>
    <w:qFormat/>
    <w:rsid w:val="00BC248C"/>
    <w:pPr>
      <w:numPr>
        <w:ilvl w:val="3"/>
        <w:numId w:val="6"/>
      </w:numPr>
      <w:spacing w:after="200"/>
      <w:ind w:left="3960" w:hanging="360"/>
      <w:contextualSpacing/>
    </w:pPr>
  </w:style>
  <w:style w:type="paragraph" w:styleId="ListNumber">
    <w:name w:val="List Number"/>
    <w:basedOn w:val="Normal"/>
    <w:uiPriority w:val="98"/>
    <w:qFormat/>
    <w:rsid w:val="00276047"/>
    <w:pPr>
      <w:numPr>
        <w:numId w:val="68"/>
      </w:numPr>
      <w:spacing w:after="200"/>
      <w:contextualSpacing/>
    </w:pPr>
  </w:style>
  <w:style w:type="paragraph" w:styleId="ListNumber2">
    <w:name w:val="List Number 2"/>
    <w:basedOn w:val="Normal"/>
    <w:uiPriority w:val="98"/>
    <w:qFormat/>
    <w:rsid w:val="00276047"/>
    <w:pPr>
      <w:numPr>
        <w:ilvl w:val="1"/>
        <w:numId w:val="68"/>
      </w:numPr>
      <w:spacing w:after="200"/>
      <w:contextualSpacing/>
    </w:pPr>
  </w:style>
  <w:style w:type="paragraph" w:styleId="ListBullet3">
    <w:name w:val="List Bullet 3"/>
    <w:basedOn w:val="Normal"/>
    <w:uiPriority w:val="98"/>
    <w:qFormat/>
    <w:rsid w:val="008A36E1"/>
    <w:pPr>
      <w:numPr>
        <w:numId w:val="5"/>
      </w:numPr>
      <w:spacing w:after="200"/>
      <w:ind w:left="851" w:hanging="284"/>
      <w:contextualSpacing/>
    </w:pPr>
  </w:style>
  <w:style w:type="paragraph" w:styleId="ListNumber3">
    <w:name w:val="List Number 3"/>
    <w:basedOn w:val="Normal"/>
    <w:uiPriority w:val="98"/>
    <w:qFormat/>
    <w:rsid w:val="00950B06"/>
    <w:pPr>
      <w:numPr>
        <w:ilvl w:val="2"/>
        <w:numId w:val="68"/>
      </w:numPr>
      <w:spacing w:after="200"/>
      <w:contextualSpacing/>
    </w:pPr>
  </w:style>
  <w:style w:type="paragraph" w:styleId="ListNumber4">
    <w:name w:val="List Number 4"/>
    <w:basedOn w:val="Normal"/>
    <w:uiPriority w:val="98"/>
    <w:qFormat/>
    <w:rsid w:val="0012343A"/>
    <w:pPr>
      <w:numPr>
        <w:ilvl w:val="3"/>
        <w:numId w:val="68"/>
      </w:numPr>
      <w:spacing w:after="200"/>
      <w:contextualSpacing/>
    </w:pPr>
  </w:style>
  <w:style w:type="paragraph" w:styleId="ListBullet">
    <w:name w:val="List Bullet"/>
    <w:basedOn w:val="Normal"/>
    <w:uiPriority w:val="98"/>
    <w:qFormat/>
    <w:rsid w:val="008A36E1"/>
    <w:pPr>
      <w:tabs>
        <w:tab w:val="num" w:pos="360"/>
      </w:tabs>
      <w:spacing w:after="200"/>
      <w:ind w:left="360" w:hanging="360"/>
      <w:contextualSpacing/>
    </w:pPr>
  </w:style>
  <w:style w:type="paragraph" w:styleId="ListBullet2">
    <w:name w:val="List Bullet 2"/>
    <w:basedOn w:val="Normal"/>
    <w:uiPriority w:val="98"/>
    <w:qFormat/>
    <w:rsid w:val="00C75706"/>
    <w:pPr>
      <w:numPr>
        <w:ilvl w:val="1"/>
        <w:numId w:val="1"/>
      </w:numPr>
      <w:spacing w:after="200"/>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autoRedefine/>
    <w:uiPriority w:val="29"/>
    <w:qFormat/>
    <w:rsid w:val="008B5ADC"/>
    <w:pPr>
      <w:spacing w:before="200"/>
      <w:ind w:left="1440" w:right="862"/>
    </w:pPr>
    <w:rPr>
      <w:iCs/>
      <w:color w:val="5F6369"/>
    </w:rPr>
  </w:style>
  <w:style w:type="character" w:customStyle="1" w:styleId="QuoteChar">
    <w:name w:val="Quote Char"/>
    <w:basedOn w:val="DefaultParagraphFont"/>
    <w:link w:val="Quote"/>
    <w:uiPriority w:val="29"/>
    <w:rsid w:val="004767FC"/>
    <w:rPr>
      <w:iCs/>
      <w:color w:val="5F6369"/>
    </w:rPr>
  </w:style>
  <w:style w:type="table" w:customStyle="1" w:styleId="EDU-Basic">
    <w:name w:val="EDU - Basic"/>
    <w:basedOn w:val="TableNormal"/>
    <w:uiPriority w:val="99"/>
    <w:rsid w:val="00284856"/>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404246"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31547C"/>
    <w:pPr>
      <w:tabs>
        <w:tab w:val="right" w:leader="dot" w:pos="9214"/>
      </w:tabs>
      <w:spacing w:after="100"/>
    </w:pPr>
  </w:style>
  <w:style w:type="paragraph" w:styleId="TOC2">
    <w:name w:val="toc 2"/>
    <w:basedOn w:val="Normal"/>
    <w:next w:val="Normal"/>
    <w:autoRedefine/>
    <w:uiPriority w:val="39"/>
    <w:unhideWhenUsed/>
    <w:rsid w:val="00A14E38"/>
    <w:pPr>
      <w:tabs>
        <w:tab w:val="right" w:leader="dot" w:pos="9016"/>
      </w:tabs>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2"/>
    <w:next w:val="Normal"/>
    <w:uiPriority w:val="39"/>
    <w:unhideWhenUsed/>
    <w:qFormat/>
    <w:rsid w:val="00AE4518"/>
    <w:pPr>
      <w:spacing w:before="0"/>
    </w:pPr>
  </w:style>
  <w:style w:type="paragraph" w:customStyle="1" w:styleId="Cover-Date">
    <w:name w:val="Cover - Date"/>
    <w:basedOn w:val="Subtitle"/>
    <w:qFormat/>
    <w:rsid w:val="009D2BA6"/>
    <w:pPr>
      <w:spacing w:before="0" w:after="600" w:line="340" w:lineRule="exact"/>
    </w:pPr>
    <w:rPr>
      <w:sz w:val="28"/>
    </w:rPr>
  </w:style>
  <w:style w:type="paragraph" w:customStyle="1" w:styleId="Cover-Preparedby">
    <w:name w:val="Cover - Prepared by"/>
    <w:basedOn w:val="Normal"/>
    <w:qFormat/>
    <w:rsid w:val="006015D1"/>
    <w:rPr>
      <w:color w:val="0D2C6C" w:themeColor="text1"/>
      <w:sz w:val="24"/>
    </w:rPr>
  </w:style>
  <w:style w:type="paragraph" w:customStyle="1" w:styleId="Normal-Blueoutline">
    <w:name w:val="Normal - Blue outline"/>
    <w:basedOn w:val="Normal"/>
    <w:qFormat/>
    <w:rsid w:val="008606F9"/>
    <w:pPr>
      <w:pBdr>
        <w:top w:val="single" w:sz="4" w:space="5" w:color="0D2C6C" w:themeColor="text1"/>
        <w:left w:val="single" w:sz="4" w:space="5" w:color="0D2C6C" w:themeColor="text1"/>
        <w:bottom w:val="single" w:sz="4" w:space="5" w:color="0D2C6C" w:themeColor="text1"/>
        <w:right w:val="single" w:sz="4" w:space="5" w:color="0D2C6C" w:themeColor="text1"/>
      </w:pBdr>
      <w:ind w:left="113" w:right="113"/>
    </w:pPr>
  </w:style>
  <w:style w:type="table" w:customStyle="1" w:styleId="TableGrid1">
    <w:name w:val="Table Grid1"/>
    <w:basedOn w:val="TableNormal"/>
    <w:next w:val="TableGrid"/>
    <w:uiPriority w:val="39"/>
    <w:rsid w:val="00F72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vAlign w:val="center"/>
      </w:tcPr>
    </w:tblStylePr>
  </w:style>
  <w:style w:type="table" w:customStyle="1" w:styleId="Glossary">
    <w:name w:val="Glossary"/>
    <w:basedOn w:val="TableNormal"/>
    <w:uiPriority w:val="99"/>
    <w:rsid w:val="00F72F34"/>
    <w:pPr>
      <w:spacing w:after="0"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bottom w:w="57" w:type="dxa"/>
      </w:tblCellMar>
    </w:tblPr>
    <w:tcPr>
      <w:shd w:val="clear" w:color="auto" w:fill="ECEDED" w:themeFill="accent6" w:themeFillTint="33"/>
    </w:tcPr>
    <w:tblStylePr w:type="firstRow">
      <w:pPr>
        <w:jc w:val="left"/>
      </w:pPr>
      <w:rPr>
        <w:b/>
        <w:color w:val="FFFFFF" w:themeColor="background1"/>
      </w:rPr>
      <w:tblPr/>
      <w:tcPr>
        <w:shd w:val="clear" w:color="auto" w:fill="62165C" w:themeFill="accent1"/>
        <w:vAlign w:val="center"/>
      </w:tcPr>
    </w:tblStylePr>
  </w:style>
  <w:style w:type="paragraph" w:customStyle="1" w:styleId="Normal-Centre">
    <w:name w:val="Normal - Centre"/>
    <w:basedOn w:val="Normal"/>
    <w:qFormat/>
    <w:rsid w:val="00E003AE"/>
    <w:pPr>
      <w:jc w:val="center"/>
    </w:pPr>
  </w:style>
  <w:style w:type="paragraph" w:styleId="FootnoteText">
    <w:name w:val="footnote text"/>
    <w:aliases w:val="Footnote Text Char1,Footnote Text Char2 Char,Footnote Text Char1 Char Char1,Footnote Text Char Char Char Char1,Footnote Text Char Char1 Char1,Footnote Text Char1 Char1"/>
    <w:basedOn w:val="Normal"/>
    <w:link w:val="FootnoteTextChar"/>
    <w:uiPriority w:val="99"/>
    <w:rsid w:val="009B73F0"/>
    <w:pPr>
      <w:spacing w:after="0" w:line="240" w:lineRule="auto"/>
    </w:pPr>
    <w:rPr>
      <w:sz w:val="18"/>
      <w:szCs w:val="20"/>
    </w:rPr>
  </w:style>
  <w:style w:type="character" w:customStyle="1" w:styleId="FootnoteTextChar">
    <w:name w:val="Footnote Text Char"/>
    <w:aliases w:val="Footnote Text Char1 Char,Footnote Text Char2 Char Char,Footnote Text Char1 Char Char1 Char,Footnote Text Char Char Char Char1 Char,Footnote Text Char Char1 Char1 Char,Footnote Text Char1 Char1 Char"/>
    <w:basedOn w:val="DefaultParagraphFont"/>
    <w:link w:val="FootnoteText"/>
    <w:uiPriority w:val="99"/>
    <w:rsid w:val="009B73F0"/>
    <w:rPr>
      <w:sz w:val="18"/>
      <w:szCs w:val="20"/>
    </w:rPr>
  </w:style>
  <w:style w:type="character" w:styleId="FootnoteReference">
    <w:name w:val="footnote reference"/>
    <w:basedOn w:val="DefaultParagraphFont"/>
    <w:uiPriority w:val="99"/>
    <w:unhideWhenUsed/>
    <w:rsid w:val="00E003AE"/>
    <w:rPr>
      <w:vertAlign w:val="superscript"/>
    </w:rPr>
  </w:style>
  <w:style w:type="character" w:styleId="Emphasis">
    <w:name w:val="Emphasis"/>
    <w:basedOn w:val="DefaultParagraphFont"/>
    <w:uiPriority w:val="20"/>
    <w:qFormat/>
    <w:rsid w:val="009B73F0"/>
    <w:rPr>
      <w:i/>
      <w:iCs/>
    </w:rPr>
  </w:style>
  <w:style w:type="paragraph" w:customStyle="1" w:styleId="ListBullet-RightTab">
    <w:name w:val="List Bullet - Right Tab"/>
    <w:basedOn w:val="ListBullet"/>
    <w:qFormat/>
    <w:rsid w:val="00764B0E"/>
    <w:pPr>
      <w:tabs>
        <w:tab w:val="right" w:pos="9242"/>
      </w:tabs>
    </w:pPr>
  </w:style>
  <w:style w:type="table" w:styleId="GridTable5Dark-Accent3">
    <w:name w:val="Grid Table 5 Dark Accent 3"/>
    <w:basedOn w:val="TableNormal"/>
    <w:uiPriority w:val="50"/>
    <w:rsid w:val="008E7E6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B" w:themeFill="accent3" w:themeFillTint="33"/>
    </w:tcPr>
    <w:tblStylePr w:type="firstRow">
      <w:rPr>
        <w:b/>
        <w:bCs/>
        <w:color w:val="FFFFFF" w:themeColor="background1"/>
      </w:rPr>
      <w:tblPr>
        <w:jc w:val="center"/>
      </w:tblPr>
      <w:trPr>
        <w:jc w:val="center"/>
      </w:trPr>
      <w:tcPr>
        <w:shd w:val="clear" w:color="auto" w:fill="0D2C6C" w:themeFill="text1"/>
        <w:vAlign w:val="center"/>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EE0E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EE0E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EE0ED" w:themeFill="accent3"/>
      </w:tcPr>
    </w:tblStylePr>
    <w:tblStylePr w:type="band1Vert">
      <w:tblPr/>
      <w:tcPr>
        <w:shd w:val="clear" w:color="auto" w:fill="F1F2F7" w:themeFill="accent3" w:themeFillTint="66"/>
      </w:tcPr>
    </w:tblStylePr>
    <w:tblStylePr w:type="band1Horz">
      <w:tblPr/>
      <w:tcPr>
        <w:shd w:val="clear" w:color="auto" w:fill="F1F2F7" w:themeFill="accent3" w:themeFillTint="66"/>
      </w:tcPr>
    </w:tblStylePr>
  </w:style>
  <w:style w:type="paragraph" w:customStyle="1" w:styleId="ListBullet-RoghtTab-2Column">
    <w:name w:val="List Bullet - Roght Tab - 2 Column"/>
    <w:basedOn w:val="ListBullet-RightTab"/>
    <w:qFormat/>
    <w:rsid w:val="00DE0EA5"/>
    <w:pPr>
      <w:tabs>
        <w:tab w:val="right" w:pos="4139"/>
      </w:tabs>
    </w:pPr>
  </w:style>
  <w:style w:type="table" w:customStyle="1" w:styleId="Topicsfordiscussion">
    <w:name w:val="Topics for discussion"/>
    <w:basedOn w:val="TableGrid"/>
    <w:uiPriority w:val="99"/>
    <w:rsid w:val="002D54A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bottom w:w="57" w:type="dxa"/>
      </w:tblCellMar>
    </w:tblPr>
    <w:trPr>
      <w:cantSplit/>
    </w:trPr>
    <w:tcPr>
      <w:shd w:val="clear" w:color="auto" w:fill="ECEDED" w:themeFill="accent6" w:themeFillTint="33"/>
    </w:tcPr>
    <w:tblStylePr w:type="firstCol">
      <w:rPr>
        <w:b/>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DEE0ED" w:themeFill="accent3"/>
      </w:tcPr>
    </w:tblStylePr>
  </w:style>
  <w:style w:type="character" w:customStyle="1" w:styleId="normaltextrun">
    <w:name w:val="normaltextrun"/>
    <w:basedOn w:val="DefaultParagraphFont"/>
    <w:rsid w:val="002D54A0"/>
    <w:rPr>
      <w:rFonts w:asciiTheme="minorHAnsi" w:hAnsiTheme="minorHAnsi"/>
      <w:sz w:val="22"/>
    </w:rPr>
  </w:style>
  <w:style w:type="table" w:customStyle="1" w:styleId="AppendixA-ListofQuestions">
    <w:name w:val="Appendix A - List of Questions"/>
    <w:basedOn w:val="Topicsfordiscussion"/>
    <w:uiPriority w:val="99"/>
    <w:rsid w:val="00284856"/>
    <w:tblPr/>
    <w:tcPr>
      <w:shd w:val="clear" w:color="auto" w:fill="ECEDED" w:themeFill="accent6" w:themeFillTint="33"/>
    </w:tcPr>
    <w:tblStylePr w:type="firstCol">
      <w:pPr>
        <w:jc w:val="left"/>
      </w:pPr>
      <w:rPr>
        <w:b w:val="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DEE0ED" w:themeFill="accent3"/>
        <w:vAlign w:val="center"/>
      </w:tcPr>
    </w:tblStylePr>
  </w:style>
  <w:style w:type="table" w:customStyle="1" w:styleId="EDU-Basic1">
    <w:name w:val="EDU - Basic1"/>
    <w:basedOn w:val="TableNormal"/>
    <w:uiPriority w:val="99"/>
    <w:rsid w:val="00451A07"/>
    <w:pPr>
      <w:spacing w:before="100" w:beforeAutospacing="1" w:after="100" w:afterAutospacing="1" w:line="240" w:lineRule="auto"/>
    </w:p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left"/>
      </w:pPr>
      <w:rPr>
        <w:rFonts w:ascii="Yu Mincho" w:hAnsi="Yu Mincho"/>
        <w:b/>
        <w:color w:val="FFFFFF" w:themeColor="background1"/>
        <w:sz w:val="22"/>
      </w:rPr>
      <w:tblPr/>
      <w:tcPr>
        <w:shd w:val="clear" w:color="auto" w:fill="0D2C6C" w:themeFill="text1"/>
      </w:tcPr>
    </w:tblStylePr>
    <w:tblStylePr w:type="firstCol">
      <w:rPr>
        <w:b w:val="0"/>
      </w:rPr>
    </w:tblStylePr>
  </w:style>
  <w:style w:type="paragraph" w:styleId="ListParagraph">
    <w:name w:val="List Paragraph"/>
    <w:aliases w:val="Body Bullets 1,Bullet Point,Bullet point,Bullet points,CV text,Content descriptions,Dot pt,F5 List Paragraph,L,List Paragraph1,List Paragraph11,List Paragraph111,Main,Medium Grid 1 - Accent 21,Numbered Paragraph,Table text"/>
    <w:basedOn w:val="Normal"/>
    <w:link w:val="ListParagraphChar"/>
    <w:uiPriority w:val="34"/>
    <w:qFormat/>
    <w:rsid w:val="00716CF1"/>
    <w:pPr>
      <w:spacing w:after="160" w:line="279" w:lineRule="auto"/>
      <w:ind w:left="720"/>
      <w:contextualSpacing/>
    </w:pPr>
    <w:rPr>
      <w:rFonts w:eastAsiaTheme="minorEastAsia"/>
      <w:sz w:val="24"/>
      <w:szCs w:val="24"/>
      <w:lang w:eastAsia="ja-JP"/>
    </w:rPr>
  </w:style>
  <w:style w:type="character" w:styleId="CommentReference">
    <w:name w:val="annotation reference"/>
    <w:basedOn w:val="DefaultParagraphFont"/>
    <w:uiPriority w:val="99"/>
    <w:semiHidden/>
    <w:unhideWhenUsed/>
    <w:rsid w:val="00716CF1"/>
    <w:rPr>
      <w:sz w:val="16"/>
      <w:szCs w:val="16"/>
    </w:rPr>
  </w:style>
  <w:style w:type="paragraph" w:styleId="CommentText">
    <w:name w:val="annotation text"/>
    <w:basedOn w:val="Normal"/>
    <w:link w:val="CommentTextChar"/>
    <w:uiPriority w:val="99"/>
    <w:unhideWhenUsed/>
    <w:rsid w:val="00716CF1"/>
    <w:pPr>
      <w:spacing w:after="160" w:line="240" w:lineRule="auto"/>
    </w:pPr>
    <w:rPr>
      <w:rFonts w:eastAsiaTheme="minorEastAsia"/>
      <w:sz w:val="20"/>
      <w:szCs w:val="20"/>
      <w:lang w:eastAsia="ja-JP"/>
    </w:rPr>
  </w:style>
  <w:style w:type="character" w:customStyle="1" w:styleId="CommentTextChar">
    <w:name w:val="Comment Text Char"/>
    <w:basedOn w:val="DefaultParagraphFont"/>
    <w:link w:val="CommentText"/>
    <w:uiPriority w:val="99"/>
    <w:rsid w:val="00716CF1"/>
    <w:rPr>
      <w:rFonts w:eastAsiaTheme="minorEastAsia"/>
      <w:sz w:val="20"/>
      <w:szCs w:val="20"/>
      <w:lang w:eastAsia="ja-JP"/>
    </w:rPr>
  </w:style>
  <w:style w:type="paragraph" w:customStyle="1" w:styleId="Recommendation">
    <w:name w:val="Recommendation"/>
    <w:basedOn w:val="Normal"/>
    <w:link w:val="RecommendationChar"/>
    <w:rsid w:val="00432C4B"/>
    <w:pPr>
      <w:shd w:val="clear" w:color="auto" w:fill="BFE6E7"/>
      <w:spacing w:before="120" w:after="280"/>
    </w:pPr>
  </w:style>
  <w:style w:type="character" w:customStyle="1" w:styleId="RecommendationChar">
    <w:name w:val="Recommendation Char"/>
    <w:basedOn w:val="DefaultParagraphFont"/>
    <w:link w:val="Recommendation"/>
    <w:rsid w:val="00432C4B"/>
    <w:rPr>
      <w:shd w:val="clear" w:color="auto" w:fill="BFE6E7"/>
    </w:rPr>
  </w:style>
  <w:style w:type="character" w:customStyle="1" w:styleId="Heading8Char">
    <w:name w:val="Heading 8 Char"/>
    <w:basedOn w:val="DefaultParagraphFont"/>
    <w:link w:val="Heading8"/>
    <w:uiPriority w:val="9"/>
    <w:rsid w:val="00D82BD0"/>
    <w:rPr>
      <w:rFonts w:eastAsiaTheme="majorEastAsia" w:cstheme="majorBidi"/>
      <w:i/>
      <w:iCs/>
      <w:color w:val="1341A0" w:themeColor="text1" w:themeTint="D8"/>
      <w:sz w:val="24"/>
      <w:szCs w:val="24"/>
      <w:lang w:eastAsia="ja-JP"/>
    </w:rPr>
  </w:style>
  <w:style w:type="character" w:customStyle="1" w:styleId="Heading9Char">
    <w:name w:val="Heading 9 Char"/>
    <w:basedOn w:val="DefaultParagraphFont"/>
    <w:link w:val="Heading9"/>
    <w:uiPriority w:val="9"/>
    <w:rsid w:val="00D82BD0"/>
    <w:rPr>
      <w:rFonts w:eastAsiaTheme="majorEastAsia" w:cstheme="majorBidi"/>
      <w:color w:val="1341A0" w:themeColor="text1" w:themeTint="D8"/>
      <w:sz w:val="24"/>
      <w:szCs w:val="24"/>
      <w:lang w:eastAsia="ja-JP"/>
    </w:rPr>
  </w:style>
  <w:style w:type="character" w:styleId="Mention">
    <w:name w:val="Mention"/>
    <w:basedOn w:val="DefaultParagraphFont"/>
    <w:uiPriority w:val="99"/>
    <w:unhideWhenUsed/>
    <w:rsid w:val="00D82BD0"/>
    <w:rPr>
      <w:color w:val="2B579A"/>
      <w:shd w:val="clear" w:color="auto" w:fill="E1DFDD"/>
    </w:rPr>
  </w:style>
  <w:style w:type="character" w:customStyle="1" w:styleId="ListParagraphChar">
    <w:name w:val="List Paragraph Char"/>
    <w:aliases w:val="Body Bullets 1 Char,Bullet Point Char,Bullet point Char,Bullet points Char,CV text Char,Content descriptions Char,Dot pt Char,F5 List Paragraph Char,L Char,List Paragraph1 Char,List Paragraph11 Char,List Paragraph111 Char,Main Char"/>
    <w:basedOn w:val="DefaultParagraphFont"/>
    <w:link w:val="ListParagraph"/>
    <w:uiPriority w:val="34"/>
    <w:qFormat/>
    <w:locked/>
    <w:rsid w:val="00D82BD0"/>
    <w:rPr>
      <w:rFonts w:eastAsiaTheme="minorEastAsia"/>
      <w:sz w:val="24"/>
      <w:szCs w:val="24"/>
      <w:lang w:eastAsia="ja-JP"/>
    </w:rPr>
  </w:style>
  <w:style w:type="paragraph" w:styleId="CommentSubject">
    <w:name w:val="annotation subject"/>
    <w:basedOn w:val="CommentText"/>
    <w:next w:val="CommentText"/>
    <w:link w:val="CommentSubjectChar"/>
    <w:uiPriority w:val="99"/>
    <w:semiHidden/>
    <w:unhideWhenUsed/>
    <w:rsid w:val="00D82BD0"/>
    <w:pPr>
      <w:spacing w:after="180"/>
    </w:pPr>
    <w:rPr>
      <w:rFonts w:eastAsiaTheme="minorHAnsi"/>
      <w:b/>
      <w:bCs/>
      <w:lang w:eastAsia="en-US"/>
    </w:rPr>
  </w:style>
  <w:style w:type="character" w:customStyle="1" w:styleId="CommentSubjectChar">
    <w:name w:val="Comment Subject Char"/>
    <w:basedOn w:val="CommentTextChar"/>
    <w:link w:val="CommentSubject"/>
    <w:uiPriority w:val="99"/>
    <w:semiHidden/>
    <w:rsid w:val="00D82BD0"/>
    <w:rPr>
      <w:rFonts w:eastAsiaTheme="minorEastAsia"/>
      <w:b/>
      <w:bCs/>
      <w:sz w:val="20"/>
      <w:szCs w:val="20"/>
      <w:lang w:eastAsia="ja-JP"/>
    </w:rPr>
  </w:style>
  <w:style w:type="paragraph" w:styleId="NoSpacing">
    <w:name w:val="No Spacing"/>
    <w:uiPriority w:val="1"/>
    <w:qFormat/>
    <w:rsid w:val="00D82BD0"/>
    <w:pPr>
      <w:spacing w:after="0" w:line="240" w:lineRule="auto"/>
    </w:pPr>
    <w:rPr>
      <w:kern w:val="2"/>
      <w14:ligatures w14:val="standardContextual"/>
    </w:rPr>
  </w:style>
  <w:style w:type="character" w:customStyle="1" w:styleId="TitleChar">
    <w:name w:val="Title Char"/>
    <w:basedOn w:val="DefaultParagraphFont"/>
    <w:link w:val="Title"/>
    <w:uiPriority w:val="10"/>
    <w:rsid w:val="00D82BD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00D82B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1">
    <w:name w:val="Title Char1"/>
    <w:basedOn w:val="DefaultParagraphFont"/>
    <w:uiPriority w:val="10"/>
    <w:rsid w:val="00D82BD0"/>
    <w:rPr>
      <w:rFonts w:asciiTheme="majorHAnsi" w:eastAsiaTheme="majorEastAsia" w:hAnsiTheme="majorHAnsi" w:cstheme="majorBidi"/>
      <w:spacing w:val="-10"/>
      <w:kern w:val="28"/>
      <w:sz w:val="56"/>
      <w:szCs w:val="56"/>
    </w:rPr>
  </w:style>
  <w:style w:type="character" w:styleId="IntenseEmphasis">
    <w:name w:val="Intense Emphasis"/>
    <w:basedOn w:val="DefaultParagraphFont"/>
    <w:uiPriority w:val="21"/>
    <w:qFormat/>
    <w:rsid w:val="00D82BD0"/>
    <w:rPr>
      <w:i/>
      <w:iCs/>
      <w:color w:val="491044" w:themeColor="accent1" w:themeShade="BF"/>
    </w:rPr>
  </w:style>
  <w:style w:type="character" w:customStyle="1" w:styleId="IntenseQuoteChar">
    <w:name w:val="Intense Quote Char"/>
    <w:basedOn w:val="DefaultParagraphFont"/>
    <w:link w:val="IntenseQuote"/>
    <w:uiPriority w:val="30"/>
    <w:rsid w:val="00D82BD0"/>
    <w:rPr>
      <w:i/>
      <w:iCs/>
      <w:color w:val="491044" w:themeColor="accent1" w:themeShade="BF"/>
    </w:rPr>
  </w:style>
  <w:style w:type="paragraph" w:styleId="IntenseQuote">
    <w:name w:val="Intense Quote"/>
    <w:basedOn w:val="Normal"/>
    <w:next w:val="Normal"/>
    <w:link w:val="IntenseQuoteChar"/>
    <w:uiPriority w:val="30"/>
    <w:qFormat/>
    <w:rsid w:val="00D82BD0"/>
    <w:pPr>
      <w:pBdr>
        <w:top w:val="single" w:sz="4" w:space="10" w:color="491044" w:themeColor="accent1" w:themeShade="BF"/>
        <w:bottom w:val="single" w:sz="4" w:space="10" w:color="491044" w:themeColor="accent1" w:themeShade="BF"/>
      </w:pBdr>
      <w:spacing w:before="360" w:after="360" w:line="279" w:lineRule="auto"/>
      <w:ind w:left="864" w:right="864"/>
      <w:jc w:val="center"/>
    </w:pPr>
    <w:rPr>
      <w:i/>
      <w:iCs/>
      <w:color w:val="491044" w:themeColor="accent1" w:themeShade="BF"/>
    </w:rPr>
  </w:style>
  <w:style w:type="character" w:customStyle="1" w:styleId="IntenseQuoteChar1">
    <w:name w:val="Intense Quote Char1"/>
    <w:basedOn w:val="DefaultParagraphFont"/>
    <w:uiPriority w:val="30"/>
    <w:rsid w:val="00D82BD0"/>
    <w:rPr>
      <w:i/>
      <w:iCs/>
      <w:color w:val="62165C" w:themeColor="accent1"/>
    </w:rPr>
  </w:style>
  <w:style w:type="character" w:styleId="IntenseReference">
    <w:name w:val="Intense Reference"/>
    <w:basedOn w:val="DefaultParagraphFont"/>
    <w:uiPriority w:val="32"/>
    <w:qFormat/>
    <w:rsid w:val="00D82BD0"/>
    <w:rPr>
      <w:b/>
      <w:bCs/>
      <w:smallCaps/>
      <w:color w:val="491044" w:themeColor="accent1" w:themeShade="BF"/>
      <w:spacing w:val="5"/>
    </w:rPr>
  </w:style>
  <w:style w:type="paragraph" w:styleId="EndnoteText">
    <w:name w:val="endnote text"/>
    <w:basedOn w:val="Normal"/>
    <w:link w:val="EndnoteTextChar"/>
    <w:uiPriority w:val="99"/>
    <w:semiHidden/>
    <w:unhideWhenUsed/>
    <w:rsid w:val="00D82BD0"/>
    <w:pPr>
      <w:spacing w:after="0" w:line="240" w:lineRule="auto"/>
    </w:pPr>
    <w:rPr>
      <w:rFonts w:eastAsiaTheme="minorEastAsia"/>
      <w:sz w:val="20"/>
      <w:szCs w:val="20"/>
      <w:lang w:eastAsia="ja-JP"/>
    </w:rPr>
  </w:style>
  <w:style w:type="character" w:customStyle="1" w:styleId="EndnoteTextChar">
    <w:name w:val="Endnote Text Char"/>
    <w:basedOn w:val="DefaultParagraphFont"/>
    <w:link w:val="EndnoteText"/>
    <w:uiPriority w:val="99"/>
    <w:semiHidden/>
    <w:rsid w:val="00D82BD0"/>
    <w:rPr>
      <w:rFonts w:eastAsiaTheme="minorEastAsia"/>
      <w:sz w:val="20"/>
      <w:szCs w:val="20"/>
      <w:lang w:eastAsia="ja-JP"/>
    </w:rPr>
  </w:style>
  <w:style w:type="character" w:styleId="EndnoteReference">
    <w:name w:val="endnote reference"/>
    <w:basedOn w:val="DefaultParagraphFont"/>
    <w:uiPriority w:val="99"/>
    <w:semiHidden/>
    <w:unhideWhenUsed/>
    <w:rsid w:val="00D82BD0"/>
    <w:rPr>
      <w:vertAlign w:val="superscript"/>
    </w:rPr>
  </w:style>
  <w:style w:type="character" w:styleId="FollowedHyperlink">
    <w:name w:val="FollowedHyperlink"/>
    <w:basedOn w:val="DefaultParagraphFont"/>
    <w:uiPriority w:val="99"/>
    <w:semiHidden/>
    <w:unhideWhenUsed/>
    <w:rsid w:val="00D82BD0"/>
    <w:rPr>
      <w:color w:val="DFE1DF" w:themeColor="followedHyperlink"/>
      <w:u w:val="single"/>
    </w:rPr>
  </w:style>
  <w:style w:type="paragraph" w:customStyle="1" w:styleId="3Dotpoint">
    <w:name w:val="3. Dot point"/>
    <w:basedOn w:val="ListParagraph"/>
    <w:link w:val="3DotpointChar"/>
    <w:qFormat/>
    <w:rsid w:val="00D82BD0"/>
    <w:pPr>
      <w:numPr>
        <w:numId w:val="8"/>
      </w:numPr>
      <w:tabs>
        <w:tab w:val="left" w:pos="426"/>
        <w:tab w:val="left" w:pos="1560"/>
      </w:tabs>
      <w:spacing w:after="120" w:line="240" w:lineRule="auto"/>
      <w:ind w:left="720"/>
      <w:contextualSpacing w:val="0"/>
    </w:pPr>
    <w:rPr>
      <w:rFonts w:ascii="Arial" w:eastAsiaTheme="minorHAnsi" w:hAnsi="Arial" w:cs="Arial"/>
      <w:color w:val="0D2C6C" w:themeColor="text1"/>
      <w:sz w:val="28"/>
      <w:szCs w:val="28"/>
      <w:lang w:eastAsia="en-US"/>
    </w:rPr>
  </w:style>
  <w:style w:type="paragraph" w:customStyle="1" w:styleId="4Sub-dotpoint">
    <w:name w:val="4. Sub-dot point"/>
    <w:basedOn w:val="ListParagraph"/>
    <w:link w:val="4Sub-dotpointChar"/>
    <w:qFormat/>
    <w:rsid w:val="00D82BD0"/>
    <w:pPr>
      <w:numPr>
        <w:ilvl w:val="1"/>
        <w:numId w:val="8"/>
      </w:numPr>
      <w:tabs>
        <w:tab w:val="left" w:pos="426"/>
        <w:tab w:val="left" w:pos="1560"/>
      </w:tabs>
      <w:spacing w:after="60" w:line="240" w:lineRule="auto"/>
      <w:ind w:left="1440"/>
      <w:contextualSpacing w:val="0"/>
    </w:pPr>
    <w:rPr>
      <w:rFonts w:ascii="Arial" w:eastAsiaTheme="minorHAnsi" w:hAnsi="Arial" w:cs="Arial"/>
      <w:color w:val="0D2C6C" w:themeColor="text1"/>
      <w:sz w:val="28"/>
      <w:szCs w:val="28"/>
      <w:lang w:eastAsia="en-US"/>
    </w:rPr>
  </w:style>
  <w:style w:type="character" w:customStyle="1" w:styleId="3DotpointChar">
    <w:name w:val="3. Dot point Char"/>
    <w:basedOn w:val="DefaultParagraphFont"/>
    <w:link w:val="3Dotpoint"/>
    <w:rsid w:val="00D82BD0"/>
    <w:rPr>
      <w:rFonts w:ascii="Arial" w:hAnsi="Arial" w:cs="Arial"/>
      <w:color w:val="0D2C6C" w:themeColor="text1"/>
      <w:sz w:val="28"/>
      <w:szCs w:val="28"/>
    </w:rPr>
  </w:style>
  <w:style w:type="character" w:customStyle="1" w:styleId="4Sub-dotpointChar">
    <w:name w:val="4. Sub-dot point Char"/>
    <w:basedOn w:val="DefaultParagraphFont"/>
    <w:link w:val="4Sub-dotpoint"/>
    <w:rsid w:val="00D82BD0"/>
    <w:rPr>
      <w:rFonts w:ascii="Arial" w:hAnsi="Arial" w:cs="Arial"/>
      <w:color w:val="0D2C6C" w:themeColor="text1"/>
      <w:sz w:val="28"/>
      <w:szCs w:val="28"/>
    </w:rPr>
  </w:style>
  <w:style w:type="paragraph" w:styleId="Revision">
    <w:name w:val="Revision"/>
    <w:hidden/>
    <w:uiPriority w:val="99"/>
    <w:semiHidden/>
    <w:rsid w:val="00D82BD0"/>
    <w:pPr>
      <w:spacing w:after="0" w:line="240" w:lineRule="auto"/>
    </w:pPr>
    <w:rPr>
      <w:rFonts w:eastAsiaTheme="minorEastAsia"/>
      <w:sz w:val="24"/>
      <w:szCs w:val="24"/>
      <w:lang w:eastAsia="ja-JP"/>
    </w:rPr>
  </w:style>
  <w:style w:type="paragraph" w:customStyle="1" w:styleId="acthead5">
    <w:name w:val="acthead5"/>
    <w:basedOn w:val="Normal"/>
    <w:rsid w:val="00D82BD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harsectno">
    <w:name w:val="charsectno"/>
    <w:basedOn w:val="DefaultParagraphFont"/>
    <w:rsid w:val="00D82BD0"/>
  </w:style>
  <w:style w:type="paragraph" w:customStyle="1" w:styleId="subsectionhead">
    <w:name w:val="subsectionhead"/>
    <w:basedOn w:val="Normal"/>
    <w:rsid w:val="00D82BD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subsection">
    <w:name w:val="subsection"/>
    <w:aliases w:val="ss"/>
    <w:basedOn w:val="Normal"/>
    <w:link w:val="subsectionChar"/>
    <w:rsid w:val="00D82BD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notetext">
    <w:name w:val="notetext"/>
    <w:basedOn w:val="Normal"/>
    <w:rsid w:val="00D82BD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aliases w:val="a,indent(a)"/>
    <w:basedOn w:val="Normal"/>
    <w:link w:val="paragraphChar"/>
    <w:rsid w:val="00D82BD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sub">
    <w:name w:val="paragraphsub"/>
    <w:basedOn w:val="Normal"/>
    <w:rsid w:val="00D82BD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TableofFigures">
    <w:name w:val="table of figures"/>
    <w:basedOn w:val="Normal"/>
    <w:next w:val="Normal"/>
    <w:uiPriority w:val="99"/>
    <w:unhideWhenUsed/>
    <w:rsid w:val="00D82BD0"/>
    <w:pPr>
      <w:spacing w:after="0" w:line="279" w:lineRule="auto"/>
    </w:pPr>
    <w:rPr>
      <w:rFonts w:eastAsiaTheme="minorEastAsia"/>
      <w:sz w:val="24"/>
      <w:szCs w:val="24"/>
      <w:lang w:eastAsia="ja-JP"/>
    </w:rPr>
  </w:style>
  <w:style w:type="paragraph" w:customStyle="1" w:styleId="acthead7">
    <w:name w:val="acthead7"/>
    <w:basedOn w:val="Normal"/>
    <w:rsid w:val="00D82BD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harampartno">
    <w:name w:val="charampartno"/>
    <w:basedOn w:val="DefaultParagraphFont"/>
    <w:rsid w:val="00D82BD0"/>
  </w:style>
  <w:style w:type="character" w:customStyle="1" w:styleId="charamparttext">
    <w:name w:val="charamparttext"/>
    <w:basedOn w:val="DefaultParagraphFont"/>
    <w:rsid w:val="00D82BD0"/>
  </w:style>
  <w:style w:type="paragraph" w:customStyle="1" w:styleId="acthead9">
    <w:name w:val="acthead9"/>
    <w:basedOn w:val="Normal"/>
    <w:rsid w:val="00D82BD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itemhead">
    <w:name w:val="itemhead"/>
    <w:basedOn w:val="Normal"/>
    <w:rsid w:val="00D82BD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item">
    <w:name w:val="item"/>
    <w:basedOn w:val="Normal"/>
    <w:rsid w:val="00D82BD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f0">
    <w:name w:val="pf0"/>
    <w:basedOn w:val="Normal"/>
    <w:rsid w:val="00D82BD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SubsectionHead0">
    <w:name w:val="SubsectionHead"/>
    <w:aliases w:val="ssh"/>
    <w:basedOn w:val="Normal"/>
    <w:next w:val="Normal"/>
    <w:rsid w:val="00D82BD0"/>
    <w:pPr>
      <w:keepNext/>
      <w:keepLines/>
      <w:spacing w:before="240" w:after="0" w:line="240" w:lineRule="auto"/>
      <w:ind w:left="1134"/>
    </w:pPr>
    <w:rPr>
      <w:rFonts w:ascii="Times New Roman" w:eastAsia="Times New Roman" w:hAnsi="Times New Roman" w:cs="Times New Roman"/>
      <w:i/>
      <w:szCs w:val="20"/>
      <w:lang w:eastAsia="en-AU"/>
    </w:rPr>
  </w:style>
  <w:style w:type="character" w:styleId="SubtleEmphasis">
    <w:name w:val="Subtle Emphasis"/>
    <w:basedOn w:val="DefaultParagraphFont"/>
    <w:uiPriority w:val="19"/>
    <w:qFormat/>
    <w:rsid w:val="00D82BD0"/>
    <w:rPr>
      <w:i/>
      <w:iCs/>
      <w:color w:val="174FC2" w:themeColor="text1" w:themeTint="BF"/>
    </w:rPr>
  </w:style>
  <w:style w:type="paragraph" w:styleId="NormalWeb">
    <w:name w:val="Normal (Web)"/>
    <w:basedOn w:val="Normal"/>
    <w:uiPriority w:val="99"/>
    <w:unhideWhenUsed/>
    <w:rsid w:val="00D82BD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TOC4">
    <w:name w:val="toc 4"/>
    <w:basedOn w:val="Normal"/>
    <w:next w:val="Normal"/>
    <w:autoRedefine/>
    <w:uiPriority w:val="39"/>
    <w:unhideWhenUsed/>
    <w:rsid w:val="00D82BD0"/>
    <w:pPr>
      <w:spacing w:after="100" w:line="279" w:lineRule="auto"/>
      <w:ind w:left="720"/>
    </w:pPr>
    <w:rPr>
      <w:rFonts w:eastAsiaTheme="minorEastAsia"/>
      <w:sz w:val="24"/>
      <w:szCs w:val="24"/>
      <w:lang w:eastAsia="ja-JP"/>
    </w:rPr>
  </w:style>
  <w:style w:type="paragraph" w:styleId="TOC5">
    <w:name w:val="toc 5"/>
    <w:basedOn w:val="Normal"/>
    <w:next w:val="Normal"/>
    <w:autoRedefine/>
    <w:uiPriority w:val="39"/>
    <w:unhideWhenUsed/>
    <w:rsid w:val="00D82BD0"/>
    <w:pPr>
      <w:spacing w:after="100" w:line="279" w:lineRule="auto"/>
      <w:ind w:left="960"/>
    </w:pPr>
    <w:rPr>
      <w:rFonts w:eastAsiaTheme="minorEastAsia"/>
      <w:sz w:val="24"/>
      <w:szCs w:val="24"/>
      <w:lang w:eastAsia="ja-JP"/>
    </w:rPr>
  </w:style>
  <w:style w:type="paragraph" w:styleId="TOC6">
    <w:name w:val="toc 6"/>
    <w:basedOn w:val="Normal"/>
    <w:next w:val="Normal"/>
    <w:autoRedefine/>
    <w:uiPriority w:val="39"/>
    <w:unhideWhenUsed/>
    <w:rsid w:val="00D82BD0"/>
    <w:pPr>
      <w:spacing w:after="100" w:line="278" w:lineRule="auto"/>
      <w:ind w:left="1200"/>
    </w:pPr>
    <w:rPr>
      <w:rFonts w:eastAsiaTheme="minorEastAsia"/>
      <w:kern w:val="2"/>
      <w:sz w:val="24"/>
      <w:szCs w:val="24"/>
      <w:lang w:eastAsia="en-AU"/>
      <w14:ligatures w14:val="standardContextual"/>
    </w:rPr>
  </w:style>
  <w:style w:type="paragraph" w:styleId="TOC7">
    <w:name w:val="toc 7"/>
    <w:basedOn w:val="Normal"/>
    <w:next w:val="Normal"/>
    <w:autoRedefine/>
    <w:uiPriority w:val="39"/>
    <w:unhideWhenUsed/>
    <w:rsid w:val="00D82BD0"/>
    <w:pPr>
      <w:spacing w:after="100" w:line="278" w:lineRule="auto"/>
      <w:ind w:left="1440"/>
    </w:pPr>
    <w:rPr>
      <w:rFonts w:eastAsiaTheme="minorEastAsia"/>
      <w:kern w:val="2"/>
      <w:sz w:val="24"/>
      <w:szCs w:val="24"/>
      <w:lang w:eastAsia="en-AU"/>
      <w14:ligatures w14:val="standardContextual"/>
    </w:rPr>
  </w:style>
  <w:style w:type="paragraph" w:styleId="TOC8">
    <w:name w:val="toc 8"/>
    <w:basedOn w:val="Normal"/>
    <w:next w:val="Normal"/>
    <w:autoRedefine/>
    <w:uiPriority w:val="39"/>
    <w:unhideWhenUsed/>
    <w:rsid w:val="00D82BD0"/>
    <w:pPr>
      <w:spacing w:after="100" w:line="278" w:lineRule="auto"/>
      <w:ind w:left="1680"/>
    </w:pPr>
    <w:rPr>
      <w:rFonts w:eastAsiaTheme="minorEastAsia"/>
      <w:kern w:val="2"/>
      <w:sz w:val="24"/>
      <w:szCs w:val="24"/>
      <w:lang w:eastAsia="en-AU"/>
      <w14:ligatures w14:val="standardContextual"/>
    </w:rPr>
  </w:style>
  <w:style w:type="paragraph" w:styleId="TOC9">
    <w:name w:val="toc 9"/>
    <w:basedOn w:val="Normal"/>
    <w:next w:val="Normal"/>
    <w:autoRedefine/>
    <w:uiPriority w:val="39"/>
    <w:unhideWhenUsed/>
    <w:rsid w:val="00D82BD0"/>
    <w:pPr>
      <w:spacing w:after="100" w:line="278" w:lineRule="auto"/>
      <w:ind w:left="1920"/>
    </w:pPr>
    <w:rPr>
      <w:rFonts w:eastAsiaTheme="minorEastAsia"/>
      <w:kern w:val="2"/>
      <w:sz w:val="24"/>
      <w:szCs w:val="24"/>
      <w:lang w:eastAsia="en-AU"/>
      <w14:ligatures w14:val="standardContextual"/>
    </w:rPr>
  </w:style>
  <w:style w:type="character" w:customStyle="1" w:styleId="SubtitleChar1">
    <w:name w:val="Subtitle Char1"/>
    <w:basedOn w:val="DefaultParagraphFont"/>
    <w:uiPriority w:val="11"/>
    <w:rsid w:val="00D82BD0"/>
    <w:rPr>
      <w:rFonts w:eastAsiaTheme="majorEastAsia" w:cstheme="majorBidi"/>
      <w:color w:val="1C5DE3" w:themeColor="text1" w:themeTint="A6"/>
      <w:spacing w:val="15"/>
      <w:sz w:val="28"/>
      <w:szCs w:val="28"/>
      <w:lang w:val="en-AU"/>
    </w:rPr>
  </w:style>
  <w:style w:type="character" w:customStyle="1" w:styleId="QuoteChar1">
    <w:name w:val="Quote Char1"/>
    <w:basedOn w:val="DefaultParagraphFont"/>
    <w:uiPriority w:val="29"/>
    <w:rsid w:val="00D82BD0"/>
    <w:rPr>
      <w:i/>
      <w:iCs/>
      <w:color w:val="174FC2" w:themeColor="text1" w:themeTint="BF"/>
      <w:lang w:val="en-AU"/>
    </w:rPr>
  </w:style>
  <w:style w:type="character" w:customStyle="1" w:styleId="cf01">
    <w:name w:val="cf01"/>
    <w:basedOn w:val="DefaultParagraphFont"/>
    <w:rsid w:val="00D82BD0"/>
    <w:rPr>
      <w:rFonts w:ascii="Segoe UI" w:hAnsi="Segoe UI" w:cs="Segoe UI" w:hint="default"/>
      <w:sz w:val="18"/>
      <w:szCs w:val="18"/>
    </w:rPr>
  </w:style>
  <w:style w:type="paragraph" w:customStyle="1" w:styleId="msonormal0">
    <w:name w:val="msonormal"/>
    <w:basedOn w:val="Normal"/>
    <w:uiPriority w:val="99"/>
    <w:rsid w:val="00D82BD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Bullet1">
    <w:name w:val="Bullet 1"/>
    <w:basedOn w:val="Normal"/>
    <w:uiPriority w:val="2"/>
    <w:qFormat/>
    <w:rsid w:val="00D82BD0"/>
    <w:pPr>
      <w:tabs>
        <w:tab w:val="num" w:pos="567"/>
      </w:tabs>
      <w:suppressAutoHyphens/>
      <w:spacing w:before="80" w:after="40" w:line="360" w:lineRule="auto"/>
      <w:ind w:left="2344" w:hanging="360"/>
    </w:pPr>
    <w:rPr>
      <w:rFonts w:ascii="Lato" w:hAnsi="Lato"/>
      <w:color w:val="111C2C"/>
    </w:rPr>
  </w:style>
  <w:style w:type="paragraph" w:customStyle="1" w:styleId="Bullet2">
    <w:name w:val="Bullet 2"/>
    <w:basedOn w:val="Normal"/>
    <w:uiPriority w:val="2"/>
    <w:qFormat/>
    <w:rsid w:val="00D82BD0"/>
    <w:pPr>
      <w:tabs>
        <w:tab w:val="num" w:pos="851"/>
      </w:tabs>
      <w:suppressAutoHyphens/>
      <w:spacing w:before="160" w:after="80" w:line="360" w:lineRule="auto"/>
      <w:ind w:left="3064" w:hanging="360"/>
    </w:pPr>
    <w:rPr>
      <w:rFonts w:ascii="Lato" w:hAnsi="Lato"/>
      <w:color w:val="111C2C"/>
    </w:rPr>
  </w:style>
  <w:style w:type="paragraph" w:customStyle="1" w:styleId="Bullet3">
    <w:name w:val="Bullet 3"/>
    <w:basedOn w:val="Normal"/>
    <w:uiPriority w:val="2"/>
    <w:qFormat/>
    <w:rsid w:val="00D82BD0"/>
    <w:pPr>
      <w:tabs>
        <w:tab w:val="num" w:pos="1135"/>
      </w:tabs>
      <w:suppressAutoHyphens/>
      <w:spacing w:before="160" w:after="80" w:line="360" w:lineRule="auto"/>
      <w:ind w:left="3784" w:hanging="180"/>
    </w:pPr>
    <w:rPr>
      <w:rFonts w:ascii="Lato" w:hAnsi="Lato"/>
      <w:color w:val="111C2C"/>
    </w:rPr>
  </w:style>
  <w:style w:type="numbering" w:customStyle="1" w:styleId="DefaultBullets">
    <w:name w:val="Default Bullets"/>
    <w:uiPriority w:val="99"/>
    <w:rsid w:val="00D82BD0"/>
    <w:pPr>
      <w:numPr>
        <w:numId w:val="11"/>
      </w:numPr>
    </w:pPr>
  </w:style>
  <w:style w:type="paragraph" w:customStyle="1" w:styleId="SCHRnumbers">
    <w:name w:val="SCHR numbers"/>
    <w:basedOn w:val="Normal"/>
    <w:link w:val="SCHRnumbersChar"/>
    <w:qFormat/>
    <w:rsid w:val="00D82BD0"/>
    <w:pPr>
      <w:numPr>
        <w:numId w:val="10"/>
      </w:numPr>
      <w:spacing w:after="120" w:line="276" w:lineRule="auto"/>
      <w:ind w:left="2344"/>
    </w:pPr>
    <w:rPr>
      <w:rFonts w:ascii="Times New Roman" w:hAnsi="Times New Roman"/>
      <w:sz w:val="24"/>
      <w:szCs w:val="24"/>
    </w:rPr>
  </w:style>
  <w:style w:type="character" w:customStyle="1" w:styleId="SCHRnumbersChar">
    <w:name w:val="SCHR numbers Char"/>
    <w:basedOn w:val="DefaultParagraphFont"/>
    <w:link w:val="SCHRnumbers"/>
    <w:rsid w:val="00D82BD0"/>
    <w:rPr>
      <w:rFonts w:ascii="Times New Roman" w:hAnsi="Times New Roman"/>
      <w:sz w:val="24"/>
      <w:szCs w:val="24"/>
    </w:rPr>
  </w:style>
  <w:style w:type="character" w:customStyle="1" w:styleId="eop">
    <w:name w:val="eop"/>
    <w:basedOn w:val="DefaultParagraphFont"/>
    <w:rsid w:val="00D82BD0"/>
  </w:style>
  <w:style w:type="paragraph" w:customStyle="1" w:styleId="FigureTableHeading">
    <w:name w:val="Figure/Table Heading"/>
    <w:basedOn w:val="Caption"/>
    <w:uiPriority w:val="4"/>
    <w:semiHidden/>
    <w:qFormat/>
    <w:rsid w:val="00D82BD0"/>
    <w:pPr>
      <w:spacing w:before="240" w:after="40" w:line="280" w:lineRule="atLeast"/>
      <w:ind w:left="0" w:right="0"/>
    </w:pPr>
    <w:rPr>
      <w:rFonts w:asciiTheme="majorHAnsi" w:hAnsiTheme="majorHAnsi" w:cs="Calibri"/>
      <w:b w:val="0"/>
      <w:bCs w:val="0"/>
      <w:iCs w:val="0"/>
      <w:color w:val="0D2C6C" w:themeColor="text1"/>
      <w:sz w:val="20"/>
      <w:szCs w:val="22"/>
    </w:rPr>
  </w:style>
  <w:style w:type="paragraph" w:customStyle="1" w:styleId="Note">
    <w:name w:val="Note"/>
    <w:basedOn w:val="Source"/>
    <w:uiPriority w:val="9"/>
    <w:semiHidden/>
    <w:qFormat/>
    <w:rsid w:val="00D82BD0"/>
    <w:pPr>
      <w:spacing w:before="80" w:after="20" w:line="216" w:lineRule="atLeast"/>
    </w:pPr>
    <w:rPr>
      <w:szCs w:val="20"/>
    </w:rPr>
  </w:style>
  <w:style w:type="paragraph" w:customStyle="1" w:styleId="TableHeading">
    <w:name w:val="Table Heading"/>
    <w:basedOn w:val="NoSpacing"/>
    <w:uiPriority w:val="4"/>
    <w:semiHidden/>
    <w:qFormat/>
    <w:rsid w:val="00D82BD0"/>
    <w:pPr>
      <w:spacing w:after="20" w:line="280" w:lineRule="atLeast"/>
      <w:ind w:left="57"/>
    </w:pPr>
    <w:rPr>
      <w:b/>
      <w:color w:val="009B9F" w:themeColor="background2"/>
      <w:kern w:val="0"/>
      <w:sz w:val="18"/>
      <w:szCs w:val="20"/>
      <w14:ligatures w14:val="none"/>
    </w:rPr>
  </w:style>
  <w:style w:type="paragraph" w:customStyle="1" w:styleId="TableBody">
    <w:name w:val="Table Body"/>
    <w:basedOn w:val="NoSpacing"/>
    <w:uiPriority w:val="4"/>
    <w:semiHidden/>
    <w:qFormat/>
    <w:rsid w:val="00D82BD0"/>
    <w:pPr>
      <w:spacing w:after="20" w:line="280" w:lineRule="atLeast"/>
      <w:ind w:left="57"/>
    </w:pPr>
    <w:rPr>
      <w:kern w:val="0"/>
      <w:sz w:val="18"/>
      <w:szCs w:val="20"/>
      <w14:ligatures w14:val="none"/>
    </w:rPr>
  </w:style>
  <w:style w:type="paragraph" w:customStyle="1" w:styleId="Item0">
    <w:name w:val="Item"/>
    <w:aliases w:val="i"/>
    <w:basedOn w:val="Normal"/>
    <w:next w:val="Normal"/>
    <w:link w:val="ItemChar"/>
    <w:rsid w:val="00D82BD0"/>
    <w:pPr>
      <w:keepLines/>
      <w:spacing w:before="80" w:after="0" w:line="240" w:lineRule="auto"/>
      <w:ind w:left="709"/>
    </w:pPr>
    <w:rPr>
      <w:rFonts w:ascii="Times New Roman" w:eastAsia="Times New Roman" w:hAnsi="Times New Roman" w:cs="Times New Roman"/>
      <w:szCs w:val="20"/>
      <w:lang w:eastAsia="en-AU"/>
    </w:rPr>
  </w:style>
  <w:style w:type="paragraph" w:customStyle="1" w:styleId="Subitem">
    <w:name w:val="Subitem"/>
    <w:aliases w:val="iss"/>
    <w:basedOn w:val="Normal"/>
    <w:rsid w:val="00D82BD0"/>
    <w:pPr>
      <w:spacing w:before="180" w:after="0" w:line="240" w:lineRule="auto"/>
      <w:ind w:left="709" w:hanging="709"/>
    </w:pPr>
    <w:rPr>
      <w:rFonts w:ascii="Times New Roman" w:eastAsia="Times New Roman" w:hAnsi="Times New Roman" w:cs="Times New Roman"/>
      <w:szCs w:val="20"/>
      <w:lang w:eastAsia="en-AU"/>
    </w:rPr>
  </w:style>
  <w:style w:type="paragraph" w:customStyle="1" w:styleId="Transitional">
    <w:name w:val="Transitional"/>
    <w:aliases w:val="tr"/>
    <w:basedOn w:val="Normal"/>
    <w:next w:val="Item0"/>
    <w:rsid w:val="00D82BD0"/>
    <w:pPr>
      <w:keepNext/>
      <w:keepLines/>
      <w:spacing w:before="220" w:after="0" w:line="240" w:lineRule="auto"/>
      <w:ind w:left="709" w:hanging="709"/>
    </w:pPr>
    <w:rPr>
      <w:rFonts w:ascii="Arial" w:eastAsia="Times New Roman" w:hAnsi="Arial" w:cs="Times New Roman"/>
      <w:b/>
      <w:kern w:val="28"/>
      <w:sz w:val="24"/>
      <w:szCs w:val="20"/>
      <w:lang w:eastAsia="en-AU"/>
    </w:rPr>
  </w:style>
  <w:style w:type="character" w:customStyle="1" w:styleId="paragraphChar">
    <w:name w:val="paragraph Char"/>
    <w:aliases w:val="a Char"/>
    <w:link w:val="paragraph"/>
    <w:rsid w:val="00D82BD0"/>
    <w:rPr>
      <w:rFonts w:ascii="Times New Roman" w:eastAsia="Times New Roman" w:hAnsi="Times New Roman" w:cs="Times New Roman"/>
      <w:sz w:val="24"/>
      <w:szCs w:val="24"/>
      <w:lang w:eastAsia="en-AU"/>
    </w:rPr>
  </w:style>
  <w:style w:type="character" w:customStyle="1" w:styleId="ItemChar">
    <w:name w:val="Item Char"/>
    <w:aliases w:val="i Char"/>
    <w:basedOn w:val="DefaultParagraphFont"/>
    <w:link w:val="Item0"/>
    <w:rsid w:val="00D82BD0"/>
    <w:rPr>
      <w:rFonts w:ascii="Times New Roman" w:eastAsia="Times New Roman" w:hAnsi="Times New Roman" w:cs="Times New Roman"/>
      <w:szCs w:val="20"/>
      <w:lang w:eastAsia="en-AU"/>
    </w:rPr>
  </w:style>
  <w:style w:type="paragraph" w:customStyle="1" w:styleId="ActHead50">
    <w:name w:val="ActHead 5"/>
    <w:aliases w:val="s"/>
    <w:basedOn w:val="Normal"/>
    <w:next w:val="subsection"/>
    <w:link w:val="ActHead5Char"/>
    <w:qFormat/>
    <w:rsid w:val="00D82BD0"/>
    <w:pPr>
      <w:keepNext/>
      <w:keepLines/>
      <w:spacing w:before="280" w:after="0" w:line="240" w:lineRule="auto"/>
      <w:ind w:left="1134" w:hanging="1134"/>
      <w:outlineLvl w:val="4"/>
    </w:pPr>
    <w:rPr>
      <w:rFonts w:ascii="Times New Roman" w:eastAsiaTheme="minorEastAsia" w:hAnsi="Times New Roman" w:cs="Times New Roman"/>
      <w:b/>
      <w:bCs/>
      <w:kern w:val="28"/>
      <w:sz w:val="24"/>
      <w:szCs w:val="24"/>
      <w:lang w:eastAsia="en-AU"/>
      <w14:ligatures w14:val="standardContextual"/>
    </w:rPr>
  </w:style>
  <w:style w:type="character" w:customStyle="1" w:styleId="CharSectno0">
    <w:name w:val="CharSectno"/>
    <w:basedOn w:val="DefaultParagraphFont"/>
    <w:qFormat/>
    <w:rsid w:val="00D82BD0"/>
    <w:rPr>
      <w:rFonts w:ascii="Times New Roman" w:hAnsi="Times New Roman" w:cs="Times New Roman"/>
    </w:rPr>
  </w:style>
  <w:style w:type="paragraph" w:customStyle="1" w:styleId="notetext0">
    <w:name w:val="note(text)"/>
    <w:aliases w:val="n"/>
    <w:basedOn w:val="Normal"/>
    <w:link w:val="notetextChar"/>
    <w:rsid w:val="00D82BD0"/>
    <w:pPr>
      <w:spacing w:before="122" w:after="0" w:line="240" w:lineRule="auto"/>
      <w:ind w:left="1985" w:hanging="851"/>
    </w:pPr>
    <w:rPr>
      <w:rFonts w:ascii="Times New Roman" w:eastAsiaTheme="minorEastAsia" w:hAnsi="Times New Roman" w:cs="Times New Roman"/>
      <w:sz w:val="18"/>
      <w:szCs w:val="18"/>
      <w:lang w:eastAsia="en-AU"/>
      <w14:ligatures w14:val="standardContextual"/>
    </w:rPr>
  </w:style>
  <w:style w:type="character" w:customStyle="1" w:styleId="subsectionChar">
    <w:name w:val="subsection Char"/>
    <w:aliases w:val="ss Char"/>
    <w:basedOn w:val="DefaultParagraphFont"/>
    <w:link w:val="subsection"/>
    <w:rsid w:val="00D82BD0"/>
    <w:rPr>
      <w:rFonts w:ascii="Times New Roman" w:eastAsia="Times New Roman" w:hAnsi="Times New Roman" w:cs="Times New Roman"/>
      <w:sz w:val="24"/>
      <w:szCs w:val="24"/>
      <w:lang w:eastAsia="en-AU"/>
    </w:rPr>
  </w:style>
  <w:style w:type="character" w:customStyle="1" w:styleId="ActHead5Char">
    <w:name w:val="ActHead 5 Char"/>
    <w:aliases w:val="s Char"/>
    <w:link w:val="ActHead50"/>
    <w:locked/>
    <w:rsid w:val="00D82BD0"/>
    <w:rPr>
      <w:rFonts w:ascii="Times New Roman" w:eastAsiaTheme="minorEastAsia" w:hAnsi="Times New Roman" w:cs="Times New Roman"/>
      <w:b/>
      <w:bCs/>
      <w:kern w:val="28"/>
      <w:sz w:val="24"/>
      <w:szCs w:val="24"/>
      <w:lang w:eastAsia="en-AU"/>
      <w14:ligatures w14:val="standardContextual"/>
    </w:rPr>
  </w:style>
  <w:style w:type="character" w:customStyle="1" w:styleId="notetextChar">
    <w:name w:val="note(text) Char"/>
    <w:aliases w:val="n Char"/>
    <w:basedOn w:val="DefaultParagraphFont"/>
    <w:link w:val="notetext0"/>
    <w:rsid w:val="00D82BD0"/>
    <w:rPr>
      <w:rFonts w:ascii="Times New Roman" w:eastAsiaTheme="minorEastAsia" w:hAnsi="Times New Roman" w:cs="Times New Roman"/>
      <w:sz w:val="18"/>
      <w:szCs w:val="18"/>
      <w:lang w:eastAsia="en-AU"/>
      <w14:ligatures w14:val="standardContextual"/>
    </w:rPr>
  </w:style>
  <w:style w:type="table" w:customStyle="1" w:styleId="EDU-Basic11">
    <w:name w:val="EDU - Basic11"/>
    <w:basedOn w:val="TableNormal"/>
    <w:uiPriority w:val="99"/>
    <w:rsid w:val="00D82BD0"/>
    <w:pPr>
      <w:spacing w:before="100" w:beforeAutospacing="1" w:after="100" w:afterAutospacing="1" w:line="240" w:lineRule="auto"/>
    </w:p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left"/>
      </w:pPr>
      <w:rPr>
        <w:rFonts w:ascii="Sitka Display Semibold" w:hAnsi="Sitka Display Semibold"/>
        <w:b/>
        <w:color w:val="FFFFFF" w:themeColor="background1"/>
        <w:sz w:val="22"/>
      </w:rPr>
      <w:tblPr/>
      <w:tcPr>
        <w:shd w:val="clear" w:color="auto" w:fill="0D2C6C" w:themeFill="text1"/>
      </w:tcPr>
    </w:tblStylePr>
    <w:tblStylePr w:type="firstCol">
      <w:rPr>
        <w:b w:val="0"/>
      </w:rPr>
    </w:tblStylePr>
  </w:style>
  <w:style w:type="numbering" w:customStyle="1" w:styleId="DefaultBullets1">
    <w:name w:val="Default Bullets1"/>
    <w:uiPriority w:val="99"/>
    <w:rsid w:val="00D82BD0"/>
    <w:pPr>
      <w:numPr>
        <w:numId w:val="9"/>
      </w:numPr>
    </w:pPr>
  </w:style>
  <w:style w:type="paragraph" w:customStyle="1" w:styleId="xmsonormal">
    <w:name w:val="x_msonormal"/>
    <w:basedOn w:val="Normal"/>
    <w:rsid w:val="00D82BD0"/>
    <w:pPr>
      <w:spacing w:after="0" w:line="240" w:lineRule="auto"/>
    </w:pPr>
    <w:rPr>
      <w:rFonts w:ascii="Aptos" w:hAnsi="Aptos" w:cs="Aptos"/>
      <w:sz w:val="24"/>
      <w:szCs w:val="24"/>
      <w:lang w:eastAsia="en-AU"/>
    </w:rPr>
  </w:style>
  <w:style w:type="paragraph" w:customStyle="1" w:styleId="tabletext">
    <w:name w:val="tabletext"/>
    <w:basedOn w:val="Normal"/>
    <w:rsid w:val="00D82BD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Default">
    <w:name w:val="Default"/>
    <w:rsid w:val="00D82BD0"/>
    <w:pPr>
      <w:autoSpaceDE w:val="0"/>
      <w:autoSpaceDN w:val="0"/>
      <w:adjustRightInd w:val="0"/>
      <w:spacing w:after="0" w:line="240" w:lineRule="auto"/>
    </w:pPr>
    <w:rPr>
      <w:rFonts w:ascii="Calibri" w:hAnsi="Calibri" w:cs="Calibri"/>
      <w:color w:val="000000"/>
      <w:sz w:val="24"/>
      <w:szCs w:val="24"/>
      <w14:ligatures w14:val="standardContextual"/>
    </w:rPr>
  </w:style>
  <w:style w:type="numbering" w:customStyle="1" w:styleId="NoList1">
    <w:name w:val="No List1"/>
    <w:next w:val="NoList"/>
    <w:uiPriority w:val="99"/>
    <w:semiHidden/>
    <w:unhideWhenUsed/>
    <w:rsid w:val="00D82BD0"/>
  </w:style>
  <w:style w:type="character" w:customStyle="1" w:styleId="Hyperlink1">
    <w:name w:val="Hyperlink1"/>
    <w:basedOn w:val="DefaultParagraphFont"/>
    <w:uiPriority w:val="99"/>
    <w:unhideWhenUsed/>
    <w:qFormat/>
    <w:rsid w:val="00D82BD0"/>
    <w:rPr>
      <w:color w:val="0D2C6C"/>
      <w:u w:val="single"/>
    </w:rPr>
  </w:style>
  <w:style w:type="paragraph" w:customStyle="1" w:styleId="Header1">
    <w:name w:val="Header1"/>
    <w:basedOn w:val="Normal"/>
    <w:next w:val="Header"/>
    <w:uiPriority w:val="99"/>
    <w:unhideWhenUsed/>
    <w:rsid w:val="00D82BD0"/>
    <w:pPr>
      <w:tabs>
        <w:tab w:val="center" w:pos="4513"/>
        <w:tab w:val="right" w:pos="9026"/>
      </w:tabs>
      <w:spacing w:after="0" w:line="240" w:lineRule="auto"/>
    </w:pPr>
    <w:rPr>
      <w:kern w:val="2"/>
      <w:sz w:val="24"/>
      <w:szCs w:val="24"/>
      <w14:ligatures w14:val="standardContextual"/>
    </w:rPr>
  </w:style>
  <w:style w:type="paragraph" w:customStyle="1" w:styleId="Footer1">
    <w:name w:val="Footer1"/>
    <w:basedOn w:val="Normal"/>
    <w:next w:val="Footer"/>
    <w:uiPriority w:val="99"/>
    <w:unhideWhenUsed/>
    <w:rsid w:val="00D82BD0"/>
    <w:pPr>
      <w:tabs>
        <w:tab w:val="center" w:pos="4513"/>
        <w:tab w:val="right" w:pos="9026"/>
      </w:tabs>
      <w:spacing w:after="0" w:line="240" w:lineRule="auto"/>
      <w:ind w:right="737"/>
      <w:jc w:val="right"/>
    </w:pPr>
    <w:rPr>
      <w:color w:val="5F636A"/>
      <w:spacing w:val="-4"/>
      <w:kern w:val="2"/>
      <w:sz w:val="24"/>
      <w:szCs w:val="24"/>
      <w14:ligatures w14:val="standardContextual"/>
    </w:rPr>
  </w:style>
  <w:style w:type="table" w:customStyle="1" w:styleId="TableGridCKEdit1">
    <w:name w:val="Table Grid (CK Edit)1"/>
    <w:basedOn w:val="TableNormal"/>
    <w:next w:val="TableGrid"/>
    <w:uiPriority w:val="39"/>
    <w:rsid w:val="00D82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autoRedefine/>
    <w:uiPriority w:val="35"/>
    <w:qFormat/>
    <w:rsid w:val="00EC3517"/>
    <w:pPr>
      <w:keepNext/>
      <w:spacing w:after="120" w:line="276" w:lineRule="auto"/>
      <w:ind w:left="57" w:right="17"/>
    </w:pPr>
    <w:rPr>
      <w:rFonts w:cs="Calibri"/>
      <w:b/>
      <w:bCs/>
      <w:lang w:val="en-US"/>
    </w:rPr>
  </w:style>
  <w:style w:type="paragraph" w:customStyle="1" w:styleId="List1">
    <w:name w:val="List1"/>
    <w:basedOn w:val="Normal"/>
    <w:next w:val="List"/>
    <w:uiPriority w:val="98"/>
    <w:qFormat/>
    <w:rsid w:val="00D82BD0"/>
    <w:pPr>
      <w:tabs>
        <w:tab w:val="num" w:pos="397"/>
      </w:tabs>
      <w:spacing w:after="200"/>
      <w:ind w:left="397" w:hanging="397"/>
      <w:contextualSpacing/>
    </w:pPr>
  </w:style>
  <w:style w:type="paragraph" w:customStyle="1" w:styleId="List21">
    <w:name w:val="List 21"/>
    <w:basedOn w:val="Normal"/>
    <w:next w:val="List2"/>
    <w:uiPriority w:val="98"/>
    <w:qFormat/>
    <w:rsid w:val="00D82BD0"/>
    <w:pPr>
      <w:spacing w:after="200"/>
      <w:ind w:left="794" w:hanging="397"/>
      <w:contextualSpacing/>
    </w:pPr>
  </w:style>
  <w:style w:type="paragraph" w:customStyle="1" w:styleId="List31">
    <w:name w:val="List 31"/>
    <w:basedOn w:val="Normal"/>
    <w:next w:val="List3"/>
    <w:uiPriority w:val="98"/>
    <w:qFormat/>
    <w:rsid w:val="00D82BD0"/>
    <w:pPr>
      <w:spacing w:after="200"/>
      <w:ind w:left="1191" w:hanging="397"/>
      <w:contextualSpacing/>
    </w:pPr>
  </w:style>
  <w:style w:type="paragraph" w:customStyle="1" w:styleId="List41">
    <w:name w:val="List 41"/>
    <w:basedOn w:val="Normal"/>
    <w:next w:val="List4"/>
    <w:uiPriority w:val="98"/>
    <w:qFormat/>
    <w:rsid w:val="00D82BD0"/>
    <w:pPr>
      <w:spacing w:after="200"/>
      <w:ind w:left="1588" w:hanging="397"/>
      <w:contextualSpacing/>
    </w:pPr>
  </w:style>
  <w:style w:type="paragraph" w:customStyle="1" w:styleId="ListNumber1">
    <w:name w:val="List Number1"/>
    <w:basedOn w:val="Normal"/>
    <w:next w:val="ListNumber"/>
    <w:uiPriority w:val="98"/>
    <w:qFormat/>
    <w:rsid w:val="00D82BD0"/>
    <w:pPr>
      <w:spacing w:after="200"/>
      <w:ind w:left="397" w:hanging="397"/>
      <w:contextualSpacing/>
    </w:pPr>
  </w:style>
  <w:style w:type="paragraph" w:customStyle="1" w:styleId="ListNumber21">
    <w:name w:val="List Number 21"/>
    <w:basedOn w:val="Normal"/>
    <w:next w:val="ListNumber2"/>
    <w:uiPriority w:val="98"/>
    <w:qFormat/>
    <w:rsid w:val="00D82BD0"/>
    <w:pPr>
      <w:spacing w:after="200"/>
      <w:ind w:left="964" w:hanging="567"/>
      <w:contextualSpacing/>
    </w:pPr>
  </w:style>
  <w:style w:type="paragraph" w:customStyle="1" w:styleId="ListBullet31">
    <w:name w:val="List Bullet 31"/>
    <w:basedOn w:val="Normal"/>
    <w:next w:val="ListBullet3"/>
    <w:uiPriority w:val="98"/>
    <w:qFormat/>
    <w:rsid w:val="00D82BD0"/>
    <w:pPr>
      <w:tabs>
        <w:tab w:val="num" w:pos="926"/>
      </w:tabs>
      <w:spacing w:after="200"/>
      <w:ind w:left="926" w:hanging="360"/>
      <w:contextualSpacing/>
    </w:pPr>
  </w:style>
  <w:style w:type="paragraph" w:customStyle="1" w:styleId="ListNumber31">
    <w:name w:val="List Number 31"/>
    <w:basedOn w:val="Normal"/>
    <w:next w:val="ListNumber3"/>
    <w:uiPriority w:val="98"/>
    <w:qFormat/>
    <w:rsid w:val="00D82BD0"/>
    <w:pPr>
      <w:spacing w:after="200"/>
      <w:ind w:left="1814" w:hanging="850"/>
      <w:contextualSpacing/>
    </w:pPr>
  </w:style>
  <w:style w:type="paragraph" w:customStyle="1" w:styleId="ListNumber41">
    <w:name w:val="List Number 41"/>
    <w:basedOn w:val="Normal"/>
    <w:next w:val="ListNumber4"/>
    <w:uiPriority w:val="98"/>
    <w:qFormat/>
    <w:rsid w:val="00D82BD0"/>
    <w:pPr>
      <w:spacing w:after="200"/>
      <w:ind w:left="2892" w:hanging="1078"/>
      <w:contextualSpacing/>
    </w:pPr>
  </w:style>
  <w:style w:type="paragraph" w:customStyle="1" w:styleId="ListBullet1">
    <w:name w:val="List Bullet1"/>
    <w:basedOn w:val="Normal"/>
    <w:next w:val="ListBullet"/>
    <w:autoRedefine/>
    <w:uiPriority w:val="98"/>
    <w:qFormat/>
    <w:rsid w:val="00D82BD0"/>
    <w:pPr>
      <w:tabs>
        <w:tab w:val="num" w:pos="644"/>
      </w:tabs>
      <w:spacing w:after="200"/>
      <w:ind w:left="644" w:hanging="360"/>
      <w:contextualSpacing/>
    </w:pPr>
    <w:rPr>
      <w:lang w:eastAsia="en-AU"/>
    </w:rPr>
  </w:style>
  <w:style w:type="paragraph" w:customStyle="1" w:styleId="ListBullet21">
    <w:name w:val="List Bullet 21"/>
    <w:basedOn w:val="Normal"/>
    <w:next w:val="ListBullet2"/>
    <w:uiPriority w:val="98"/>
    <w:qFormat/>
    <w:rsid w:val="00D82BD0"/>
    <w:pPr>
      <w:spacing w:after="200"/>
      <w:ind w:left="284" w:firstLine="283"/>
      <w:contextualSpacing/>
    </w:pPr>
  </w:style>
  <w:style w:type="paragraph" w:customStyle="1" w:styleId="ListBullet41">
    <w:name w:val="List Bullet 41"/>
    <w:basedOn w:val="Normal"/>
    <w:next w:val="ListBullet4"/>
    <w:uiPriority w:val="98"/>
    <w:qFormat/>
    <w:rsid w:val="00D82BD0"/>
    <w:pPr>
      <w:spacing w:after="200"/>
      <w:ind w:left="1135" w:hanging="284"/>
      <w:contextualSpacing/>
    </w:pPr>
  </w:style>
  <w:style w:type="paragraph" w:customStyle="1" w:styleId="TOC11">
    <w:name w:val="TOC 11"/>
    <w:basedOn w:val="Normal"/>
    <w:next w:val="Normal"/>
    <w:autoRedefine/>
    <w:uiPriority w:val="39"/>
    <w:unhideWhenUsed/>
    <w:rsid w:val="00D82BD0"/>
    <w:pPr>
      <w:tabs>
        <w:tab w:val="right" w:leader="dot" w:pos="9214"/>
      </w:tabs>
      <w:spacing w:after="100"/>
    </w:pPr>
  </w:style>
  <w:style w:type="paragraph" w:customStyle="1" w:styleId="TOC21">
    <w:name w:val="TOC 21"/>
    <w:basedOn w:val="Normal"/>
    <w:next w:val="Normal"/>
    <w:autoRedefine/>
    <w:uiPriority w:val="39"/>
    <w:unhideWhenUsed/>
    <w:rsid w:val="00D82BD0"/>
    <w:pPr>
      <w:spacing w:after="100"/>
      <w:ind w:left="220"/>
    </w:pPr>
  </w:style>
  <w:style w:type="paragraph" w:customStyle="1" w:styleId="TOC31">
    <w:name w:val="TOC 31"/>
    <w:basedOn w:val="Normal"/>
    <w:next w:val="Normal"/>
    <w:autoRedefine/>
    <w:uiPriority w:val="39"/>
    <w:unhideWhenUsed/>
    <w:rsid w:val="00D82BD0"/>
    <w:pPr>
      <w:spacing w:after="100"/>
      <w:ind w:left="440"/>
    </w:pPr>
  </w:style>
  <w:style w:type="paragraph" w:customStyle="1" w:styleId="TOCHeading1">
    <w:name w:val="TOC Heading1"/>
    <w:basedOn w:val="Heading2"/>
    <w:next w:val="Normal"/>
    <w:uiPriority w:val="39"/>
    <w:unhideWhenUsed/>
    <w:qFormat/>
    <w:rsid w:val="00D82BD0"/>
    <w:pPr>
      <w:spacing w:before="0"/>
    </w:pPr>
    <w:rPr>
      <w:color w:val="009B9F"/>
    </w:rPr>
  </w:style>
  <w:style w:type="paragraph" w:customStyle="1" w:styleId="FootnoteTextChar1Char11">
    <w:name w:val="Footnote Text Char1 Char11"/>
    <w:basedOn w:val="Normal"/>
    <w:next w:val="FootnoteText"/>
    <w:uiPriority w:val="99"/>
    <w:rsid w:val="00D82BD0"/>
    <w:pPr>
      <w:spacing w:after="0" w:line="240" w:lineRule="auto"/>
    </w:pPr>
    <w:rPr>
      <w:kern w:val="2"/>
      <w:sz w:val="18"/>
      <w:szCs w:val="20"/>
      <w14:ligatures w14:val="standardContextual"/>
    </w:rPr>
  </w:style>
  <w:style w:type="table" w:customStyle="1" w:styleId="GridTable5Dark-Accent31">
    <w:name w:val="Grid Table 5 Dark - Accent 31"/>
    <w:basedOn w:val="TableNormal"/>
    <w:next w:val="GridTable5Dark-Accent3"/>
    <w:uiPriority w:val="50"/>
    <w:rsid w:val="00D82BD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8F8FB"/>
    </w:tcPr>
    <w:tblStylePr w:type="firstRow">
      <w:rPr>
        <w:b/>
        <w:bCs/>
        <w:color w:val="FFFFFF"/>
      </w:rPr>
      <w:tblPr>
        <w:jc w:val="center"/>
      </w:tblPr>
      <w:trPr>
        <w:jc w:val="center"/>
      </w:trPr>
      <w:tcPr>
        <w:shd w:val="clear" w:color="auto" w:fill="0D2C6C"/>
        <w:vAlign w:val="center"/>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DEE0E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DEE0E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DEE0ED"/>
      </w:tcPr>
    </w:tblStylePr>
    <w:tblStylePr w:type="band1Vert">
      <w:tblPr/>
      <w:tcPr>
        <w:shd w:val="clear" w:color="auto" w:fill="F1F2F7"/>
      </w:tcPr>
    </w:tblStylePr>
    <w:tblStylePr w:type="band1Horz">
      <w:tblPr/>
      <w:tcPr>
        <w:shd w:val="clear" w:color="auto" w:fill="F1F2F7"/>
      </w:tcPr>
    </w:tblStylePr>
  </w:style>
  <w:style w:type="paragraph" w:customStyle="1" w:styleId="CommentText1">
    <w:name w:val="Comment Text1"/>
    <w:basedOn w:val="Normal"/>
    <w:next w:val="CommentText"/>
    <w:uiPriority w:val="99"/>
    <w:unhideWhenUsed/>
    <w:rsid w:val="00D82BD0"/>
    <w:pPr>
      <w:spacing w:after="160" w:line="240" w:lineRule="auto"/>
    </w:pPr>
    <w:rPr>
      <w:rFonts w:eastAsia="Times New Roman"/>
      <w:kern w:val="2"/>
      <w:sz w:val="20"/>
      <w:szCs w:val="20"/>
      <w:lang w:eastAsia="ja-JP"/>
      <w14:ligatures w14:val="standardContextual"/>
    </w:rPr>
  </w:style>
  <w:style w:type="paragraph" w:customStyle="1" w:styleId="CommentSubject1">
    <w:name w:val="Comment Subject1"/>
    <w:basedOn w:val="CommentText"/>
    <w:next w:val="CommentText"/>
    <w:uiPriority w:val="99"/>
    <w:semiHidden/>
    <w:unhideWhenUsed/>
    <w:rsid w:val="00D82BD0"/>
    <w:pPr>
      <w:spacing w:after="180"/>
    </w:pPr>
    <w:rPr>
      <w:rFonts w:eastAsiaTheme="minorHAnsi"/>
      <w:b/>
      <w:bCs/>
      <w:lang w:eastAsia="en-US"/>
    </w:rPr>
  </w:style>
  <w:style w:type="paragraph" w:customStyle="1" w:styleId="NoSpacing1">
    <w:name w:val="No Spacing1"/>
    <w:next w:val="NoSpacing"/>
    <w:uiPriority w:val="1"/>
    <w:qFormat/>
    <w:rsid w:val="00D82BD0"/>
    <w:pPr>
      <w:spacing w:after="0" w:line="240" w:lineRule="auto"/>
    </w:pPr>
    <w:rPr>
      <w:kern w:val="2"/>
      <w14:ligatures w14:val="standardContextual"/>
    </w:rPr>
  </w:style>
  <w:style w:type="paragraph" w:customStyle="1" w:styleId="EndnoteText1">
    <w:name w:val="Endnote Text1"/>
    <w:basedOn w:val="Normal"/>
    <w:next w:val="EndnoteText"/>
    <w:uiPriority w:val="99"/>
    <w:semiHidden/>
    <w:unhideWhenUsed/>
    <w:rsid w:val="00D82BD0"/>
    <w:pPr>
      <w:spacing w:after="0" w:line="240" w:lineRule="auto"/>
    </w:pPr>
    <w:rPr>
      <w:rFonts w:eastAsia="Times New Roman"/>
      <w:kern w:val="2"/>
      <w:sz w:val="20"/>
      <w:szCs w:val="20"/>
      <w:lang w:eastAsia="ja-JP"/>
      <w14:ligatures w14:val="standardContextual"/>
    </w:rPr>
  </w:style>
  <w:style w:type="character" w:customStyle="1" w:styleId="FollowedHyperlink1">
    <w:name w:val="FollowedHyperlink1"/>
    <w:basedOn w:val="DefaultParagraphFont"/>
    <w:uiPriority w:val="99"/>
    <w:semiHidden/>
    <w:unhideWhenUsed/>
    <w:rsid w:val="00D82BD0"/>
    <w:rPr>
      <w:color w:val="DFE1DF"/>
      <w:u w:val="single"/>
    </w:rPr>
  </w:style>
  <w:style w:type="paragraph" w:customStyle="1" w:styleId="Revision1">
    <w:name w:val="Revision1"/>
    <w:next w:val="Revision"/>
    <w:hidden/>
    <w:uiPriority w:val="99"/>
    <w:semiHidden/>
    <w:rsid w:val="00D82BD0"/>
    <w:pPr>
      <w:spacing w:after="0" w:line="240" w:lineRule="auto"/>
    </w:pPr>
    <w:rPr>
      <w:rFonts w:eastAsia="Times New Roman"/>
      <w:sz w:val="24"/>
      <w:szCs w:val="24"/>
      <w:lang w:eastAsia="ja-JP"/>
    </w:rPr>
  </w:style>
  <w:style w:type="paragraph" w:customStyle="1" w:styleId="TableofFigures1">
    <w:name w:val="Table of Figures1"/>
    <w:basedOn w:val="Normal"/>
    <w:next w:val="Normal"/>
    <w:uiPriority w:val="99"/>
    <w:unhideWhenUsed/>
    <w:rsid w:val="00D82BD0"/>
    <w:pPr>
      <w:spacing w:after="0" w:line="279" w:lineRule="auto"/>
    </w:pPr>
    <w:rPr>
      <w:rFonts w:eastAsia="Times New Roman"/>
      <w:sz w:val="24"/>
      <w:szCs w:val="24"/>
      <w:lang w:eastAsia="ja-JP"/>
    </w:rPr>
  </w:style>
  <w:style w:type="character" w:customStyle="1" w:styleId="SubtleEmphasis1">
    <w:name w:val="Subtle Emphasis1"/>
    <w:basedOn w:val="DefaultParagraphFont"/>
    <w:uiPriority w:val="19"/>
    <w:qFormat/>
    <w:rsid w:val="00D82BD0"/>
    <w:rPr>
      <w:i/>
      <w:iCs/>
      <w:color w:val="174FC2"/>
    </w:rPr>
  </w:style>
  <w:style w:type="paragraph" w:customStyle="1" w:styleId="TOC41">
    <w:name w:val="TOC 41"/>
    <w:basedOn w:val="Normal"/>
    <w:next w:val="Normal"/>
    <w:autoRedefine/>
    <w:uiPriority w:val="39"/>
    <w:unhideWhenUsed/>
    <w:rsid w:val="00D82BD0"/>
    <w:pPr>
      <w:spacing w:after="100" w:line="279" w:lineRule="auto"/>
      <w:ind w:left="720"/>
    </w:pPr>
    <w:rPr>
      <w:rFonts w:eastAsia="Times New Roman"/>
      <w:sz w:val="24"/>
      <w:szCs w:val="24"/>
      <w:lang w:eastAsia="ja-JP"/>
    </w:rPr>
  </w:style>
  <w:style w:type="paragraph" w:customStyle="1" w:styleId="TOC51">
    <w:name w:val="TOC 51"/>
    <w:basedOn w:val="Normal"/>
    <w:next w:val="Normal"/>
    <w:autoRedefine/>
    <w:uiPriority w:val="39"/>
    <w:unhideWhenUsed/>
    <w:rsid w:val="00D82BD0"/>
    <w:pPr>
      <w:spacing w:after="100" w:line="279" w:lineRule="auto"/>
      <w:ind w:left="960"/>
    </w:pPr>
    <w:rPr>
      <w:rFonts w:eastAsia="Times New Roman"/>
      <w:sz w:val="24"/>
      <w:szCs w:val="24"/>
      <w:lang w:eastAsia="ja-JP"/>
    </w:rPr>
  </w:style>
  <w:style w:type="paragraph" w:customStyle="1" w:styleId="TOC61">
    <w:name w:val="TOC 61"/>
    <w:basedOn w:val="Normal"/>
    <w:next w:val="Normal"/>
    <w:autoRedefine/>
    <w:uiPriority w:val="39"/>
    <w:unhideWhenUsed/>
    <w:rsid w:val="00D82BD0"/>
    <w:pPr>
      <w:spacing w:after="100" w:line="278" w:lineRule="auto"/>
      <w:ind w:left="1200"/>
    </w:pPr>
    <w:rPr>
      <w:rFonts w:eastAsia="Times New Roman"/>
      <w:kern w:val="2"/>
      <w:sz w:val="24"/>
      <w:szCs w:val="24"/>
      <w:lang w:eastAsia="en-AU"/>
      <w14:ligatures w14:val="standardContextual"/>
    </w:rPr>
  </w:style>
  <w:style w:type="paragraph" w:customStyle="1" w:styleId="TOC71">
    <w:name w:val="TOC 71"/>
    <w:basedOn w:val="Normal"/>
    <w:next w:val="Normal"/>
    <w:autoRedefine/>
    <w:uiPriority w:val="39"/>
    <w:unhideWhenUsed/>
    <w:rsid w:val="00D82BD0"/>
    <w:pPr>
      <w:spacing w:after="100" w:line="278" w:lineRule="auto"/>
      <w:ind w:left="1440"/>
    </w:pPr>
    <w:rPr>
      <w:rFonts w:eastAsia="Times New Roman"/>
      <w:kern w:val="2"/>
      <w:sz w:val="24"/>
      <w:szCs w:val="24"/>
      <w:lang w:eastAsia="en-AU"/>
      <w14:ligatures w14:val="standardContextual"/>
    </w:rPr>
  </w:style>
  <w:style w:type="paragraph" w:customStyle="1" w:styleId="TOC81">
    <w:name w:val="TOC 81"/>
    <w:basedOn w:val="Normal"/>
    <w:next w:val="Normal"/>
    <w:autoRedefine/>
    <w:uiPriority w:val="39"/>
    <w:unhideWhenUsed/>
    <w:rsid w:val="00D82BD0"/>
    <w:pPr>
      <w:spacing w:after="100" w:line="278" w:lineRule="auto"/>
      <w:ind w:left="1680"/>
    </w:pPr>
    <w:rPr>
      <w:rFonts w:eastAsia="Times New Roman"/>
      <w:kern w:val="2"/>
      <w:sz w:val="24"/>
      <w:szCs w:val="24"/>
      <w:lang w:eastAsia="en-AU"/>
      <w14:ligatures w14:val="standardContextual"/>
    </w:rPr>
  </w:style>
  <w:style w:type="paragraph" w:customStyle="1" w:styleId="TOC91">
    <w:name w:val="TOC 91"/>
    <w:basedOn w:val="Normal"/>
    <w:next w:val="Normal"/>
    <w:autoRedefine/>
    <w:uiPriority w:val="39"/>
    <w:unhideWhenUsed/>
    <w:rsid w:val="00D82BD0"/>
    <w:pPr>
      <w:spacing w:after="100" w:line="278" w:lineRule="auto"/>
      <w:ind w:left="1920"/>
    </w:pPr>
    <w:rPr>
      <w:rFonts w:eastAsia="Times New Roman"/>
      <w:kern w:val="2"/>
      <w:sz w:val="24"/>
      <w:szCs w:val="24"/>
      <w:lang w:eastAsia="en-AU"/>
      <w14:ligatures w14:val="standardContextual"/>
    </w:rPr>
  </w:style>
  <w:style w:type="character" w:customStyle="1" w:styleId="HeaderChar1">
    <w:name w:val="Header Char1"/>
    <w:basedOn w:val="DefaultParagraphFont"/>
    <w:uiPriority w:val="99"/>
    <w:semiHidden/>
    <w:rsid w:val="00D82BD0"/>
  </w:style>
  <w:style w:type="character" w:customStyle="1" w:styleId="FooterChar1">
    <w:name w:val="Footer Char1"/>
    <w:basedOn w:val="DefaultParagraphFont"/>
    <w:uiPriority w:val="99"/>
    <w:semiHidden/>
    <w:rsid w:val="00D82BD0"/>
  </w:style>
  <w:style w:type="character" w:customStyle="1" w:styleId="FootnoteTextChar2CharChar1">
    <w:name w:val="Footnote Text Char2 Char Char1"/>
    <w:aliases w:val="Footnote Text Char1 Char Char1 Char1,Footnote Text Char Char Char Char1 Char1,Footnote Text Char Char1 Char1 Char1,Footnote Text Char1 Char1 Char1"/>
    <w:basedOn w:val="DefaultParagraphFont"/>
    <w:uiPriority w:val="99"/>
    <w:semiHidden/>
    <w:rsid w:val="00D82BD0"/>
    <w:rPr>
      <w:sz w:val="20"/>
      <w:szCs w:val="20"/>
    </w:rPr>
  </w:style>
  <w:style w:type="character" w:customStyle="1" w:styleId="CommentTextChar1">
    <w:name w:val="Comment Text Char1"/>
    <w:basedOn w:val="DefaultParagraphFont"/>
    <w:uiPriority w:val="99"/>
    <w:rsid w:val="00D82BD0"/>
    <w:rPr>
      <w:sz w:val="20"/>
      <w:szCs w:val="20"/>
    </w:rPr>
  </w:style>
  <w:style w:type="character" w:customStyle="1" w:styleId="CommentSubjectChar1">
    <w:name w:val="Comment Subject Char1"/>
    <w:basedOn w:val="CommentTextChar1"/>
    <w:uiPriority w:val="99"/>
    <w:semiHidden/>
    <w:rsid w:val="00D82BD0"/>
    <w:rPr>
      <w:b/>
      <w:bCs/>
      <w:sz w:val="20"/>
      <w:szCs w:val="20"/>
    </w:rPr>
  </w:style>
  <w:style w:type="character" w:customStyle="1" w:styleId="EndnoteTextChar1">
    <w:name w:val="Endnote Text Char1"/>
    <w:basedOn w:val="DefaultParagraphFont"/>
    <w:uiPriority w:val="99"/>
    <w:semiHidden/>
    <w:rsid w:val="00D82BD0"/>
    <w:rPr>
      <w:sz w:val="20"/>
      <w:szCs w:val="20"/>
    </w:rPr>
  </w:style>
  <w:style w:type="numbering" w:customStyle="1" w:styleId="CurrentList1">
    <w:name w:val="Current List1"/>
    <w:uiPriority w:val="99"/>
    <w:rsid w:val="00EC3517"/>
    <w:pPr>
      <w:numPr>
        <w:numId w:val="60"/>
      </w:numPr>
    </w:pPr>
  </w:style>
  <w:style w:type="numbering" w:customStyle="1" w:styleId="CurrentList2">
    <w:name w:val="Current List2"/>
    <w:uiPriority w:val="99"/>
    <w:rsid w:val="00EC3517"/>
    <w:pPr>
      <w:numPr>
        <w:numId w:val="61"/>
      </w:numPr>
    </w:pPr>
  </w:style>
  <w:style w:type="numbering" w:customStyle="1" w:styleId="CurrentList3">
    <w:name w:val="Current List3"/>
    <w:uiPriority w:val="99"/>
    <w:rsid w:val="00085620"/>
    <w:pPr>
      <w:numPr>
        <w:numId w:val="65"/>
      </w:numPr>
    </w:pPr>
  </w:style>
  <w:style w:type="table" w:customStyle="1" w:styleId="Glossary1">
    <w:name w:val="Glossary1"/>
    <w:basedOn w:val="TableNormal"/>
    <w:uiPriority w:val="99"/>
    <w:rsid w:val="0073614A"/>
    <w:pPr>
      <w:spacing w:after="0" w:line="240" w:lineRule="auto"/>
    </w:pPr>
    <w:rPr>
      <w:rFonts w:ascii="Aptos" w:eastAsia="Aptos" w:hAnsi="Aptos" w:cs="Times New Roman"/>
    </w:rPr>
    <w:tblPr>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bottom w:w="57" w:type="dxa"/>
      </w:tblCellMar>
    </w:tblPr>
    <w:tcPr>
      <w:shd w:val="clear" w:color="auto" w:fill="ECEDED" w:themeFill="accent6" w:themeFillTint="33"/>
    </w:tcPr>
    <w:tblStylePr w:type="firstRow">
      <w:pPr>
        <w:jc w:val="left"/>
      </w:pPr>
      <w:rPr>
        <w:b/>
        <w:color w:val="FFFFFF" w:themeColor="background1"/>
      </w:rPr>
      <w:tblPr/>
      <w:tcPr>
        <w:shd w:val="clear" w:color="auto" w:fill="62165C" w:themeFill="accent1"/>
        <w:vAlign w:val="center"/>
      </w:tcPr>
    </w:tblStylePr>
  </w:style>
  <w:style w:type="paragraph" w:customStyle="1" w:styleId="Normal-Bibliography">
    <w:name w:val="Normal - Bibliography"/>
    <w:basedOn w:val="Normal"/>
    <w:qFormat/>
    <w:rsid w:val="00A14E38"/>
    <w:pPr>
      <w:spacing w:after="16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698967">
      <w:bodyDiv w:val="1"/>
      <w:marLeft w:val="0"/>
      <w:marRight w:val="0"/>
      <w:marTop w:val="0"/>
      <w:marBottom w:val="0"/>
      <w:divBdr>
        <w:top w:val="none" w:sz="0" w:space="0" w:color="auto"/>
        <w:left w:val="none" w:sz="0" w:space="0" w:color="auto"/>
        <w:bottom w:val="none" w:sz="0" w:space="0" w:color="auto"/>
        <w:right w:val="none" w:sz="0" w:space="0" w:color="auto"/>
      </w:divBdr>
    </w:div>
    <w:div w:id="585843819">
      <w:bodyDiv w:val="1"/>
      <w:marLeft w:val="0"/>
      <w:marRight w:val="0"/>
      <w:marTop w:val="0"/>
      <w:marBottom w:val="0"/>
      <w:divBdr>
        <w:top w:val="none" w:sz="0" w:space="0" w:color="auto"/>
        <w:left w:val="none" w:sz="0" w:space="0" w:color="auto"/>
        <w:bottom w:val="none" w:sz="0" w:space="0" w:color="auto"/>
        <w:right w:val="none" w:sz="0" w:space="0" w:color="auto"/>
      </w:divBdr>
    </w:div>
    <w:div w:id="862013307">
      <w:bodyDiv w:val="1"/>
      <w:marLeft w:val="0"/>
      <w:marRight w:val="0"/>
      <w:marTop w:val="0"/>
      <w:marBottom w:val="0"/>
      <w:divBdr>
        <w:top w:val="none" w:sz="0" w:space="0" w:color="auto"/>
        <w:left w:val="none" w:sz="0" w:space="0" w:color="auto"/>
        <w:bottom w:val="none" w:sz="0" w:space="0" w:color="auto"/>
        <w:right w:val="none" w:sz="0" w:space="0" w:color="auto"/>
      </w:divBdr>
    </w:div>
    <w:div w:id="882599678">
      <w:bodyDiv w:val="1"/>
      <w:marLeft w:val="0"/>
      <w:marRight w:val="0"/>
      <w:marTop w:val="0"/>
      <w:marBottom w:val="0"/>
      <w:divBdr>
        <w:top w:val="none" w:sz="0" w:space="0" w:color="auto"/>
        <w:left w:val="none" w:sz="0" w:space="0" w:color="auto"/>
        <w:bottom w:val="none" w:sz="0" w:space="0" w:color="auto"/>
        <w:right w:val="none" w:sz="0" w:space="0" w:color="auto"/>
      </w:divBdr>
    </w:div>
    <w:div w:id="919214865">
      <w:bodyDiv w:val="1"/>
      <w:marLeft w:val="0"/>
      <w:marRight w:val="0"/>
      <w:marTop w:val="0"/>
      <w:marBottom w:val="0"/>
      <w:divBdr>
        <w:top w:val="none" w:sz="0" w:space="0" w:color="auto"/>
        <w:left w:val="none" w:sz="0" w:space="0" w:color="auto"/>
        <w:bottom w:val="none" w:sz="0" w:space="0" w:color="auto"/>
        <w:right w:val="none" w:sz="0" w:space="0" w:color="auto"/>
      </w:divBdr>
    </w:div>
    <w:div w:id="940837833">
      <w:bodyDiv w:val="1"/>
      <w:marLeft w:val="0"/>
      <w:marRight w:val="0"/>
      <w:marTop w:val="0"/>
      <w:marBottom w:val="0"/>
      <w:divBdr>
        <w:top w:val="none" w:sz="0" w:space="0" w:color="auto"/>
        <w:left w:val="none" w:sz="0" w:space="0" w:color="auto"/>
        <w:bottom w:val="none" w:sz="0" w:space="0" w:color="auto"/>
        <w:right w:val="none" w:sz="0" w:space="0" w:color="auto"/>
      </w:divBdr>
    </w:div>
    <w:div w:id="1004042911">
      <w:bodyDiv w:val="1"/>
      <w:marLeft w:val="0"/>
      <w:marRight w:val="0"/>
      <w:marTop w:val="0"/>
      <w:marBottom w:val="0"/>
      <w:divBdr>
        <w:top w:val="none" w:sz="0" w:space="0" w:color="auto"/>
        <w:left w:val="none" w:sz="0" w:space="0" w:color="auto"/>
        <w:bottom w:val="none" w:sz="0" w:space="0" w:color="auto"/>
        <w:right w:val="none" w:sz="0" w:space="0" w:color="auto"/>
      </w:divBdr>
    </w:div>
    <w:div w:id="1241022035">
      <w:bodyDiv w:val="1"/>
      <w:marLeft w:val="0"/>
      <w:marRight w:val="0"/>
      <w:marTop w:val="0"/>
      <w:marBottom w:val="0"/>
      <w:divBdr>
        <w:top w:val="none" w:sz="0" w:space="0" w:color="auto"/>
        <w:left w:val="none" w:sz="0" w:space="0" w:color="auto"/>
        <w:bottom w:val="none" w:sz="0" w:space="0" w:color="auto"/>
        <w:right w:val="none" w:sz="0" w:space="0" w:color="auto"/>
      </w:divBdr>
    </w:div>
    <w:div w:id="1427264863">
      <w:bodyDiv w:val="1"/>
      <w:marLeft w:val="0"/>
      <w:marRight w:val="0"/>
      <w:marTop w:val="0"/>
      <w:marBottom w:val="0"/>
      <w:divBdr>
        <w:top w:val="none" w:sz="0" w:space="0" w:color="auto"/>
        <w:left w:val="none" w:sz="0" w:space="0" w:color="auto"/>
        <w:bottom w:val="none" w:sz="0" w:space="0" w:color="auto"/>
        <w:right w:val="none" w:sz="0" w:space="0" w:color="auto"/>
      </w:divBdr>
    </w:div>
    <w:div w:id="1491600936">
      <w:bodyDiv w:val="1"/>
      <w:marLeft w:val="0"/>
      <w:marRight w:val="0"/>
      <w:marTop w:val="0"/>
      <w:marBottom w:val="0"/>
      <w:divBdr>
        <w:top w:val="none" w:sz="0" w:space="0" w:color="auto"/>
        <w:left w:val="none" w:sz="0" w:space="0" w:color="auto"/>
        <w:bottom w:val="none" w:sz="0" w:space="0" w:color="auto"/>
        <w:right w:val="none" w:sz="0" w:space="0" w:color="auto"/>
      </w:divBdr>
    </w:div>
    <w:div w:id="1510869911">
      <w:bodyDiv w:val="1"/>
      <w:marLeft w:val="0"/>
      <w:marRight w:val="0"/>
      <w:marTop w:val="0"/>
      <w:marBottom w:val="0"/>
      <w:divBdr>
        <w:top w:val="none" w:sz="0" w:space="0" w:color="auto"/>
        <w:left w:val="none" w:sz="0" w:space="0" w:color="auto"/>
        <w:bottom w:val="none" w:sz="0" w:space="0" w:color="auto"/>
        <w:right w:val="none" w:sz="0" w:space="0" w:color="auto"/>
      </w:divBdr>
    </w:div>
    <w:div w:id="1536040514">
      <w:bodyDiv w:val="1"/>
      <w:marLeft w:val="0"/>
      <w:marRight w:val="0"/>
      <w:marTop w:val="0"/>
      <w:marBottom w:val="0"/>
      <w:divBdr>
        <w:top w:val="none" w:sz="0" w:space="0" w:color="auto"/>
        <w:left w:val="none" w:sz="0" w:space="0" w:color="auto"/>
        <w:bottom w:val="none" w:sz="0" w:space="0" w:color="auto"/>
        <w:right w:val="none" w:sz="0" w:space="0" w:color="auto"/>
      </w:divBdr>
    </w:div>
    <w:div w:id="1595283255">
      <w:bodyDiv w:val="1"/>
      <w:marLeft w:val="0"/>
      <w:marRight w:val="0"/>
      <w:marTop w:val="0"/>
      <w:marBottom w:val="0"/>
      <w:divBdr>
        <w:top w:val="none" w:sz="0" w:space="0" w:color="auto"/>
        <w:left w:val="none" w:sz="0" w:space="0" w:color="auto"/>
        <w:bottom w:val="none" w:sz="0" w:space="0" w:color="auto"/>
        <w:right w:val="none" w:sz="0" w:space="0" w:color="auto"/>
      </w:divBdr>
    </w:div>
    <w:div w:id="1621646430">
      <w:bodyDiv w:val="1"/>
      <w:marLeft w:val="0"/>
      <w:marRight w:val="0"/>
      <w:marTop w:val="0"/>
      <w:marBottom w:val="0"/>
      <w:divBdr>
        <w:top w:val="none" w:sz="0" w:space="0" w:color="auto"/>
        <w:left w:val="none" w:sz="0" w:space="0" w:color="auto"/>
        <w:bottom w:val="none" w:sz="0" w:space="0" w:color="auto"/>
        <w:right w:val="none" w:sz="0" w:space="0" w:color="auto"/>
      </w:divBdr>
    </w:div>
    <w:div w:id="1790469464">
      <w:bodyDiv w:val="1"/>
      <w:marLeft w:val="0"/>
      <w:marRight w:val="0"/>
      <w:marTop w:val="0"/>
      <w:marBottom w:val="0"/>
      <w:divBdr>
        <w:top w:val="none" w:sz="0" w:space="0" w:color="auto"/>
        <w:left w:val="none" w:sz="0" w:space="0" w:color="auto"/>
        <w:bottom w:val="none" w:sz="0" w:space="0" w:color="auto"/>
        <w:right w:val="none" w:sz="0" w:space="0" w:color="auto"/>
      </w:divBdr>
    </w:div>
    <w:div w:id="1831670863">
      <w:bodyDiv w:val="1"/>
      <w:marLeft w:val="0"/>
      <w:marRight w:val="0"/>
      <w:marTop w:val="0"/>
      <w:marBottom w:val="0"/>
      <w:divBdr>
        <w:top w:val="none" w:sz="0" w:space="0" w:color="auto"/>
        <w:left w:val="none" w:sz="0" w:space="0" w:color="auto"/>
        <w:bottom w:val="none" w:sz="0" w:space="0" w:color="auto"/>
        <w:right w:val="none" w:sz="0" w:space="0" w:color="auto"/>
      </w:divBdr>
    </w:div>
    <w:div w:id="1981154805">
      <w:bodyDiv w:val="1"/>
      <w:marLeft w:val="0"/>
      <w:marRight w:val="0"/>
      <w:marTop w:val="0"/>
      <w:marBottom w:val="0"/>
      <w:divBdr>
        <w:top w:val="none" w:sz="0" w:space="0" w:color="auto"/>
        <w:left w:val="none" w:sz="0" w:space="0" w:color="auto"/>
        <w:bottom w:val="none" w:sz="0" w:space="0" w:color="auto"/>
        <w:right w:val="none" w:sz="0" w:space="0" w:color="auto"/>
      </w:divBdr>
    </w:div>
    <w:div w:id="214449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6.austlii.edu.au/cgi-bin/viewdoc/au/legis/cth/consol_act/fwa2009114/s789gc.html" TargetMode="External"/><Relationship Id="rId21" Type="http://schemas.openxmlformats.org/officeDocument/2006/relationships/image" Target="media/image10.png"/><Relationship Id="rId42" Type="http://schemas.openxmlformats.org/officeDocument/2006/relationships/hyperlink" Target="https://www.homeaffairs.gov.au/about-us/our-portfolios/multicultural-affairs/about-multicultural-affairs/access-and-equity" TargetMode="External"/><Relationship Id="rId47" Type="http://schemas.openxmlformats.org/officeDocument/2006/relationships/image" Target="media/image29.png"/><Relationship Id="rId63" Type="http://schemas.openxmlformats.org/officeDocument/2006/relationships/image" Target="media/image45.png"/><Relationship Id="rId68" Type="http://schemas.openxmlformats.org/officeDocument/2006/relationships/image" Target="media/image50.jpeg"/><Relationship Id="rId84" Type="http://schemas.openxmlformats.org/officeDocument/2006/relationships/hyperlink" Target="https://www.dewr.gov.au/closing-loopholes" TargetMode="External"/><Relationship Id="rId16" Type="http://schemas.openxmlformats.org/officeDocument/2006/relationships/image" Target="media/image5.png"/><Relationship Id="rId11" Type="http://schemas.openxmlformats.org/officeDocument/2006/relationships/hyperlink" Target="https://creativecommons.org/licenses/by/4.0/legalcode" TargetMode="External"/><Relationship Id="rId32" Type="http://schemas.openxmlformats.org/officeDocument/2006/relationships/image" Target="media/image17.png"/><Relationship Id="rId37" Type="http://schemas.openxmlformats.org/officeDocument/2006/relationships/image" Target="media/image22.png"/><Relationship Id="rId53" Type="http://schemas.openxmlformats.org/officeDocument/2006/relationships/image" Target="media/image35.png"/><Relationship Id="rId58" Type="http://schemas.openxmlformats.org/officeDocument/2006/relationships/image" Target="media/image40.png"/><Relationship Id="rId74" Type="http://schemas.openxmlformats.org/officeDocument/2006/relationships/image" Target="media/image56.png"/><Relationship Id="rId79" Type="http://schemas.openxmlformats.org/officeDocument/2006/relationships/image" Target="media/image61.png"/><Relationship Id="rId5" Type="http://schemas.openxmlformats.org/officeDocument/2006/relationships/webSettings" Target="webSettings.xml"/><Relationship Id="rId19" Type="http://schemas.openxmlformats.org/officeDocument/2006/relationships/image" Target="media/image8.png"/><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hyperlink" Target="https://www6.austlii.edu.au/cgi-bin/viewdoc/au/legis/cth/consol_act/fwa2009114/s231.html" TargetMode="External"/><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footer" Target="footer2.xml"/><Relationship Id="rId48" Type="http://schemas.openxmlformats.org/officeDocument/2006/relationships/image" Target="media/image30.png"/><Relationship Id="rId56" Type="http://schemas.openxmlformats.org/officeDocument/2006/relationships/image" Target="media/image38.png"/><Relationship Id="rId64" Type="http://schemas.openxmlformats.org/officeDocument/2006/relationships/image" Target="media/image46.png"/><Relationship Id="rId69" Type="http://schemas.openxmlformats.org/officeDocument/2006/relationships/image" Target="media/image51.png"/><Relationship Id="rId77" Type="http://schemas.openxmlformats.org/officeDocument/2006/relationships/image" Target="media/image59.png"/><Relationship Id="rId8" Type="http://schemas.openxmlformats.org/officeDocument/2006/relationships/image" Target="media/image1.jpeg"/><Relationship Id="rId51" Type="http://schemas.openxmlformats.org/officeDocument/2006/relationships/image" Target="media/image33.png"/><Relationship Id="rId72" Type="http://schemas.openxmlformats.org/officeDocument/2006/relationships/image" Target="media/image54.jpeg"/><Relationship Id="rId80" Type="http://schemas.openxmlformats.org/officeDocument/2006/relationships/image" Target="media/image62.png"/><Relationship Id="rId85" Type="http://schemas.openxmlformats.org/officeDocument/2006/relationships/hyperlink" Target="https://www.safeworkaustralia.gov.au/doc/review-model-whs-laws-final-report"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28.png"/><Relationship Id="rId59" Type="http://schemas.openxmlformats.org/officeDocument/2006/relationships/image" Target="media/image41.png"/><Relationship Id="rId67" Type="http://schemas.openxmlformats.org/officeDocument/2006/relationships/image" Target="media/image49.jpeg"/><Relationship Id="rId20" Type="http://schemas.openxmlformats.org/officeDocument/2006/relationships/image" Target="media/image9.png"/><Relationship Id="rId41" Type="http://schemas.openxmlformats.org/officeDocument/2006/relationships/hyperlink" Target="https://www.fairwork.gov.au/sites/default/files/2024-10/multicultural-access-and-equity-action-plan-2023-2025.pdf" TargetMode="External"/><Relationship Id="rId54" Type="http://schemas.openxmlformats.org/officeDocument/2006/relationships/image" Target="media/image36.png"/><Relationship Id="rId62" Type="http://schemas.openxmlformats.org/officeDocument/2006/relationships/image" Target="media/image44.png"/><Relationship Id="rId70" Type="http://schemas.openxmlformats.org/officeDocument/2006/relationships/image" Target="media/image52.png"/><Relationship Id="rId75" Type="http://schemas.openxmlformats.org/officeDocument/2006/relationships/image" Target="media/image57.png"/><Relationship Id="rId83" Type="http://schemas.openxmlformats.org/officeDocument/2006/relationships/hyperlink" Target="https://www.dewr.gov.au/secure-jobs-better-pay"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fwc.gov.au/documents/reporting/s316c-enforceable-undertaking-twu-final-2024-09-13.pdf" TargetMode="External"/><Relationship Id="rId23" Type="http://schemas.openxmlformats.org/officeDocument/2006/relationships/image" Target="media/image12.png"/><Relationship Id="rId28" Type="http://schemas.openxmlformats.org/officeDocument/2006/relationships/hyperlink" Target="https://www6.austlii.edu.au/cgi-bin/viewdoc/au/legis/cth/consol_act/fwa2009114/s226a.html" TargetMode="External"/><Relationship Id="rId36" Type="http://schemas.openxmlformats.org/officeDocument/2006/relationships/image" Target="media/image21.png"/><Relationship Id="rId49" Type="http://schemas.openxmlformats.org/officeDocument/2006/relationships/image" Target="media/image31.png"/><Relationship Id="rId57" Type="http://schemas.openxmlformats.org/officeDocument/2006/relationships/image" Target="media/image39.png"/><Relationship Id="rId10" Type="http://schemas.openxmlformats.org/officeDocument/2006/relationships/hyperlink" Target="https://creativecommons.org/licenses/by/4.0/" TargetMode="External"/><Relationship Id="rId31" Type="http://schemas.openxmlformats.org/officeDocument/2006/relationships/image" Target="media/image16.png"/><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image" Target="media/image42.png"/><Relationship Id="rId65" Type="http://schemas.openxmlformats.org/officeDocument/2006/relationships/image" Target="media/image47.png"/><Relationship Id="rId73" Type="http://schemas.openxmlformats.org/officeDocument/2006/relationships/image" Target="media/image55.png"/><Relationship Id="rId78" Type="http://schemas.openxmlformats.org/officeDocument/2006/relationships/image" Target="media/image60.png"/><Relationship Id="rId81" Type="http://schemas.openxmlformats.org/officeDocument/2006/relationships/image" Target="media/image63.png"/><Relationship Id="rId86" Type="http://schemas.openxmlformats.org/officeDocument/2006/relationships/hyperlink" Target="https://www.stylemanual.gov.au/accessible-and-inclusive-content/make-content-accessible"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3.png"/><Relationship Id="rId18" Type="http://schemas.openxmlformats.org/officeDocument/2006/relationships/image" Target="media/image7.png"/><Relationship Id="rId39" Type="http://schemas.openxmlformats.org/officeDocument/2006/relationships/image" Target="media/image24.png"/><Relationship Id="rId34" Type="http://schemas.openxmlformats.org/officeDocument/2006/relationships/image" Target="media/image19.png"/><Relationship Id="rId50" Type="http://schemas.openxmlformats.org/officeDocument/2006/relationships/image" Target="media/image32.png"/><Relationship Id="rId55" Type="http://schemas.openxmlformats.org/officeDocument/2006/relationships/image" Target="media/image37.png"/><Relationship Id="rId76" Type="http://schemas.openxmlformats.org/officeDocument/2006/relationships/image" Target="media/image58.png"/><Relationship Id="rId7" Type="http://schemas.openxmlformats.org/officeDocument/2006/relationships/endnotes" Target="endnotes.xml"/><Relationship Id="rId71" Type="http://schemas.openxmlformats.org/officeDocument/2006/relationships/image" Target="media/image53.png"/><Relationship Id="rId2" Type="http://schemas.openxmlformats.org/officeDocument/2006/relationships/numbering" Target="numbering.xml"/><Relationship Id="rId29" Type="http://schemas.openxmlformats.org/officeDocument/2006/relationships/hyperlink" Target="https://www6.austlii.edu.au/cgi-bin/viewdoc/au/legis/cth/consol_act/fwa2009114/s789gc.html" TargetMode="External"/><Relationship Id="rId24" Type="http://schemas.openxmlformats.org/officeDocument/2006/relationships/image" Target="media/image13.png"/><Relationship Id="rId40" Type="http://schemas.openxmlformats.org/officeDocument/2006/relationships/image" Target="media/image25.png"/><Relationship Id="rId45" Type="http://schemas.openxmlformats.org/officeDocument/2006/relationships/image" Target="media/image27.png"/><Relationship Id="rId66" Type="http://schemas.openxmlformats.org/officeDocument/2006/relationships/image" Target="media/image48.png"/><Relationship Id="rId87" Type="http://schemas.openxmlformats.org/officeDocument/2006/relationships/fontTable" Target="fontTable.xml"/><Relationship Id="rId61" Type="http://schemas.openxmlformats.org/officeDocument/2006/relationships/image" Target="media/image43.png"/><Relationship Id="rId82" Type="http://schemas.openxmlformats.org/officeDocument/2006/relationships/image" Target="media/image64.png"/></Relationships>
</file>

<file path=word/_rels/footnotes.xml.rels><?xml version="1.0" encoding="UTF-8" standalone="yes"?>
<Relationships xmlns="http://schemas.openxmlformats.org/package/2006/relationships"><Relationship Id="rId3" Type="http://schemas.openxmlformats.org/officeDocument/2006/relationships/hyperlink" Target="https://www.fwc.gov.au/document-search/view/1/aHR0cHM6Ly9zYXNyY2RhdGFwcmRhdWVhYS5ibG9iLmNvcmUud2luZG93cy5uZXQvZGVjaXNpb25zLzIwMjQvMDgvUFI3Nzc4MDM0NTgxNzc2Nzk1NGRhZGQ5LWRiNjctNDNmNy05MjBlLWMyOWZjYTNmZTYxZWQ4NDE3Yjg4LTAwNGMtNDI5ZS1iMTA0LTI0Yjc3NmFjODhjZC5wZGY1?sid=&amp;q=cooperative%24%24workplace%24%24agreement" TargetMode="External"/><Relationship Id="rId7" Type="http://schemas.openxmlformats.org/officeDocument/2006/relationships/hyperlink" Target="https://library.fairwork.gov.au/viewer/?krn=K700424" TargetMode="External"/><Relationship Id="rId2" Type="http://schemas.openxmlformats.org/officeDocument/2006/relationships/hyperlink" Target="https://www.fwc.gov.au/document-search/view/1/aHR0cHM6Ly9zYXNyY2RhdGFwcmRhdWVhYS5ibG9iLmNvcmUud2luZG93cy5uZXQvZGVjaXNpb25zLzIwMjQvMDgvUFI3Nzc4MDM0NTgxNzc2Nzk1NGRhZGQ5LWRiNjctNDNmNy05MjBlLWMyOWZjYTNmZTYxZWQ4NDE3Yjg4LTAwNGMtNDI5ZS1iMTA0LTI0Yjc3NmFjODhjZC5wZGY1?sid=&amp;q=cooperative%24%24workplace%24%24agreement" TargetMode="External"/><Relationship Id="rId1" Type="http://schemas.openxmlformats.org/officeDocument/2006/relationships/hyperlink" Target="https://www.fwc.gov.au/document-search/view/1/aHR0cHM6Ly9zYXNyY2RhdGFwcmRhdWVhYS5ibG9iLmNvcmUud2luZG93cy5uZXQvZGVjaXNpb25zLzIwMjQvMDgvUFI3Nzc4MDM0NTgxNzc2Nzk1NGRhZGQ5LWRiNjctNDNmNy05MjBlLWMyOWZjYTNmZTYxZWQ4NDE3Yjg4LTAwNGMtNDI5ZS1iMTA0LTI0Yjc3NmFjODhjZC5wZGY1?sid=&amp;q=cooperative%24%24workplace%24%24agreement" TargetMode="External"/><Relationship Id="rId6" Type="http://schemas.openxmlformats.org/officeDocument/2006/relationships/hyperlink" Target="https://sharedservicescentre.sharepoint.com/sites/DEWR-JointReviews-SJBP-CLWHS/Shared%20Documents/Background%20research/For%20the%20Reviewers/aHR0cHM6Ly9zYXNyY2RhdGFwcmRhdWVhYS5ibG9iLmNvcmUud2luZG93cy5uZXQvZGVjaXNpb25zLzIwMjQvMDUvUFI3NzQ2MzM0MzE2MTExMjJhM2Q4YTc3LTc1N2QtNGViYy04OWEwLTc3NGE0YzE1MzBiNWZlNjU2MTc1LWM3OTYtNDQ0OS04ZGFmLWViNzQ0OGZjNjhkMi5wZGY1" TargetMode="External"/><Relationship Id="rId5" Type="http://schemas.openxmlformats.org/officeDocument/2006/relationships/hyperlink" Target="https://sharedservicescentre.sharepoint.com/sites/DEWR-JointReviews-SJBP-CLWHS/Shared%20Documents/Background%20research/For%20the%20Reviewers/aHR0cHM6Ly9zYXNyY2RhdGFwcmRhdWVhYS5ibG9iLmNvcmUud2luZG93cy5uZXQvZGVjaXNpb25zLzIwMjQvMDUvUFI3NzQ2MzM0MzE2MTExMjJhM2Q4YTc3LTc1N2QtNGViYy04OWEwLTc3NGE0YzE1MzBiNWZlNjU2MTc1LWM3OTYtNDQ0OS04ZGFmLWViNzQ0OGZjNjhkMi5wZGY1" TargetMode="External"/><Relationship Id="rId4" Type="http://schemas.openxmlformats.org/officeDocument/2006/relationships/hyperlink" Target="https://www.fwc.gov.au/document-search/view/1/aHR0cHM6Ly9zYXNyY2RhdGFwcmRhdWVhYS5ibG9iLmNvcmUud2luZG93cy5uZXQvZGVjaXNpb25zLzIwMjQvMDgvUFI3Nzc4MDM0NTgxNzc2Nzk1NGRhZGQ5LWRiNjctNDNmNy05MjBlLWMyOWZjYTNmZTYxZWQ4NDE3Yjg4LTAwNGMtNDI5ZS1iMTA0LTI0Yjc3NmFjODhjZC5wZGY1?sid=&amp;q=cooperative%24%24workplace%24%24agreement" TargetMode="External"/></Relationships>
</file>

<file path=word/theme/theme1.xml><?xml version="1.0" encoding="utf-8"?>
<a:theme xmlns:a="http://schemas.openxmlformats.org/drawingml/2006/main" name="Office Theme">
  <a:themeElements>
    <a:clrScheme name="Custom 3">
      <a:dk1>
        <a:srgbClr val="0D2C6C"/>
      </a:dk1>
      <a:lt1>
        <a:sysClr val="window" lastClr="FFFFFF"/>
      </a:lt1>
      <a:dk2>
        <a:srgbClr val="404246"/>
      </a:dk2>
      <a:lt2>
        <a:srgbClr val="009B9F"/>
      </a:lt2>
      <a:accent1>
        <a:srgbClr val="62165C"/>
      </a:accent1>
      <a:accent2>
        <a:srgbClr val="A4249B"/>
      </a:accent2>
      <a:accent3>
        <a:srgbClr val="DEE0ED"/>
      </a:accent3>
      <a:accent4>
        <a:srgbClr val="DFE1DF"/>
      </a:accent4>
      <a:accent5>
        <a:srgbClr val="777778"/>
      </a:accent5>
      <a:accent6>
        <a:srgbClr val="A4A7A9"/>
      </a:accent6>
      <a:hlink>
        <a:srgbClr val="009B9F"/>
      </a:hlink>
      <a:folHlink>
        <a:srgbClr val="DFE1D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345</Pages>
  <Words>77209</Words>
  <Characters>881738</Characters>
  <Application>Microsoft Office Word</Application>
  <DocSecurity>0</DocSecurity>
  <Lines>20039</Lines>
  <Paragraphs>16823</Paragraphs>
  <ScaleCrop>false</ScaleCrop>
  <Company/>
  <LinksUpToDate>false</LinksUpToDate>
  <CharactersWithSpaces>942124</CharactersWithSpaces>
  <SharedDoc>false</SharedDoc>
  <HLinks>
    <vt:vector size="1290" baseType="variant">
      <vt:variant>
        <vt:i4>3014772</vt:i4>
      </vt:variant>
      <vt:variant>
        <vt:i4>1641</vt:i4>
      </vt:variant>
      <vt:variant>
        <vt:i4>0</vt:i4>
      </vt:variant>
      <vt:variant>
        <vt:i4>5</vt:i4>
      </vt:variant>
      <vt:variant>
        <vt:lpwstr>https://www.stylemanual.gov.au/accessible-and-inclusive-content/make-content-accessible</vt:lpwstr>
      </vt:variant>
      <vt:variant>
        <vt:lpwstr/>
      </vt:variant>
      <vt:variant>
        <vt:i4>7602209</vt:i4>
      </vt:variant>
      <vt:variant>
        <vt:i4>1638</vt:i4>
      </vt:variant>
      <vt:variant>
        <vt:i4>0</vt:i4>
      </vt:variant>
      <vt:variant>
        <vt:i4>5</vt:i4>
      </vt:variant>
      <vt:variant>
        <vt:lpwstr>https://www.safeworkaustralia.gov.au/doc/review-model-whs-laws-final-report</vt:lpwstr>
      </vt:variant>
      <vt:variant>
        <vt:lpwstr/>
      </vt:variant>
      <vt:variant>
        <vt:i4>4784204</vt:i4>
      </vt:variant>
      <vt:variant>
        <vt:i4>1635</vt:i4>
      </vt:variant>
      <vt:variant>
        <vt:i4>0</vt:i4>
      </vt:variant>
      <vt:variant>
        <vt:i4>5</vt:i4>
      </vt:variant>
      <vt:variant>
        <vt:lpwstr>https://www.dewr.gov.au/closing-loopholes</vt:lpwstr>
      </vt:variant>
      <vt:variant>
        <vt:lpwstr/>
      </vt:variant>
      <vt:variant>
        <vt:i4>3801125</vt:i4>
      </vt:variant>
      <vt:variant>
        <vt:i4>1632</vt:i4>
      </vt:variant>
      <vt:variant>
        <vt:i4>0</vt:i4>
      </vt:variant>
      <vt:variant>
        <vt:i4>5</vt:i4>
      </vt:variant>
      <vt:variant>
        <vt:lpwstr>https://www.dewr.gov.au/secure-jobs-better-pay</vt:lpwstr>
      </vt:variant>
      <vt:variant>
        <vt:lpwstr/>
      </vt:variant>
      <vt:variant>
        <vt:i4>4128821</vt:i4>
      </vt:variant>
      <vt:variant>
        <vt:i4>1350</vt:i4>
      </vt:variant>
      <vt:variant>
        <vt:i4>0</vt:i4>
      </vt:variant>
      <vt:variant>
        <vt:i4>5</vt:i4>
      </vt:variant>
      <vt:variant>
        <vt:lpwstr>https://www.homeaffairs.gov.au/about-us/our-portfolios/multicultural-affairs/about-multicultural-affairs/access-and-equity</vt:lpwstr>
      </vt:variant>
      <vt:variant>
        <vt:lpwstr/>
      </vt:variant>
      <vt:variant>
        <vt:i4>4325447</vt:i4>
      </vt:variant>
      <vt:variant>
        <vt:i4>1347</vt:i4>
      </vt:variant>
      <vt:variant>
        <vt:i4>0</vt:i4>
      </vt:variant>
      <vt:variant>
        <vt:i4>5</vt:i4>
      </vt:variant>
      <vt:variant>
        <vt:lpwstr>https://www.fairwork.gov.au/sites/default/files/2024-10/multicultural-access-and-equity-action-plan-2023-2025.pdf</vt:lpwstr>
      </vt:variant>
      <vt:variant>
        <vt:lpwstr/>
      </vt:variant>
      <vt:variant>
        <vt:i4>4915249</vt:i4>
      </vt:variant>
      <vt:variant>
        <vt:i4>1287</vt:i4>
      </vt:variant>
      <vt:variant>
        <vt:i4>0</vt:i4>
      </vt:variant>
      <vt:variant>
        <vt:i4>5</vt:i4>
      </vt:variant>
      <vt:variant>
        <vt:lpwstr>https://www6.austlii.edu.au/cgi-bin/viewdoc/au/legis/cth/consol_act/fwa2009114/s789gc.html</vt:lpwstr>
      </vt:variant>
      <vt:variant>
        <vt:lpwstr>employee</vt:lpwstr>
      </vt:variant>
      <vt:variant>
        <vt:i4>721015</vt:i4>
      </vt:variant>
      <vt:variant>
        <vt:i4>1284</vt:i4>
      </vt:variant>
      <vt:variant>
        <vt:i4>0</vt:i4>
      </vt:variant>
      <vt:variant>
        <vt:i4>5</vt:i4>
      </vt:variant>
      <vt:variant>
        <vt:lpwstr>https://www6.austlii.edu.au/cgi-bin/viewdoc/au/legis/cth/consol_act/fwa2009114/s226a.html</vt:lpwstr>
      </vt:variant>
      <vt:variant>
        <vt:lpwstr>subsection</vt:lpwstr>
      </vt:variant>
      <vt:variant>
        <vt:i4>3670084</vt:i4>
      </vt:variant>
      <vt:variant>
        <vt:i4>1281</vt:i4>
      </vt:variant>
      <vt:variant>
        <vt:i4>0</vt:i4>
      </vt:variant>
      <vt:variant>
        <vt:i4>5</vt:i4>
      </vt:variant>
      <vt:variant>
        <vt:lpwstr>https://www6.austlii.edu.au/cgi-bin/viewdoc/au/legis/cth/consol_act/fwa2009114/s231.html</vt:lpwstr>
      </vt:variant>
      <vt:variant>
        <vt:lpwstr>paragraph</vt:lpwstr>
      </vt:variant>
      <vt:variant>
        <vt:i4>6029361</vt:i4>
      </vt:variant>
      <vt:variant>
        <vt:i4>1278</vt:i4>
      </vt:variant>
      <vt:variant>
        <vt:i4>0</vt:i4>
      </vt:variant>
      <vt:variant>
        <vt:i4>5</vt:i4>
      </vt:variant>
      <vt:variant>
        <vt:lpwstr>https://www6.austlii.edu.au/cgi-bin/viewdoc/au/legis/cth/consol_act/fwa2009114/s789gc.html</vt:lpwstr>
      </vt:variant>
      <vt:variant>
        <vt:lpwstr>employer</vt:lpwstr>
      </vt:variant>
      <vt:variant>
        <vt:i4>1572889</vt:i4>
      </vt:variant>
      <vt:variant>
        <vt:i4>1209</vt:i4>
      </vt:variant>
      <vt:variant>
        <vt:i4>0</vt:i4>
      </vt:variant>
      <vt:variant>
        <vt:i4>5</vt:i4>
      </vt:variant>
      <vt:variant>
        <vt:lpwstr>https://www.fwc.gov.au/documents/reporting/s316c-enforceable-undertaking-twu-final-2024-09-13.pdf</vt:lpwstr>
      </vt:variant>
      <vt:variant>
        <vt:lpwstr/>
      </vt:variant>
      <vt:variant>
        <vt:i4>1769525</vt:i4>
      </vt:variant>
      <vt:variant>
        <vt:i4>1178</vt:i4>
      </vt:variant>
      <vt:variant>
        <vt:i4>0</vt:i4>
      </vt:variant>
      <vt:variant>
        <vt:i4>5</vt:i4>
      </vt:variant>
      <vt:variant>
        <vt:lpwstr/>
      </vt:variant>
      <vt:variant>
        <vt:lpwstr>_Toc194251565</vt:lpwstr>
      </vt:variant>
      <vt:variant>
        <vt:i4>1769525</vt:i4>
      </vt:variant>
      <vt:variant>
        <vt:i4>1172</vt:i4>
      </vt:variant>
      <vt:variant>
        <vt:i4>0</vt:i4>
      </vt:variant>
      <vt:variant>
        <vt:i4>5</vt:i4>
      </vt:variant>
      <vt:variant>
        <vt:lpwstr/>
      </vt:variant>
      <vt:variant>
        <vt:lpwstr>_Toc194251564</vt:lpwstr>
      </vt:variant>
      <vt:variant>
        <vt:i4>1769525</vt:i4>
      </vt:variant>
      <vt:variant>
        <vt:i4>1166</vt:i4>
      </vt:variant>
      <vt:variant>
        <vt:i4>0</vt:i4>
      </vt:variant>
      <vt:variant>
        <vt:i4>5</vt:i4>
      </vt:variant>
      <vt:variant>
        <vt:lpwstr/>
      </vt:variant>
      <vt:variant>
        <vt:lpwstr>_Toc194251563</vt:lpwstr>
      </vt:variant>
      <vt:variant>
        <vt:i4>1769525</vt:i4>
      </vt:variant>
      <vt:variant>
        <vt:i4>1160</vt:i4>
      </vt:variant>
      <vt:variant>
        <vt:i4>0</vt:i4>
      </vt:variant>
      <vt:variant>
        <vt:i4>5</vt:i4>
      </vt:variant>
      <vt:variant>
        <vt:lpwstr/>
      </vt:variant>
      <vt:variant>
        <vt:lpwstr>_Toc194251562</vt:lpwstr>
      </vt:variant>
      <vt:variant>
        <vt:i4>1769525</vt:i4>
      </vt:variant>
      <vt:variant>
        <vt:i4>1154</vt:i4>
      </vt:variant>
      <vt:variant>
        <vt:i4>0</vt:i4>
      </vt:variant>
      <vt:variant>
        <vt:i4>5</vt:i4>
      </vt:variant>
      <vt:variant>
        <vt:lpwstr/>
      </vt:variant>
      <vt:variant>
        <vt:lpwstr>_Toc194251561</vt:lpwstr>
      </vt:variant>
      <vt:variant>
        <vt:i4>1769525</vt:i4>
      </vt:variant>
      <vt:variant>
        <vt:i4>1148</vt:i4>
      </vt:variant>
      <vt:variant>
        <vt:i4>0</vt:i4>
      </vt:variant>
      <vt:variant>
        <vt:i4>5</vt:i4>
      </vt:variant>
      <vt:variant>
        <vt:lpwstr/>
      </vt:variant>
      <vt:variant>
        <vt:lpwstr>_Toc194251560</vt:lpwstr>
      </vt:variant>
      <vt:variant>
        <vt:i4>1572917</vt:i4>
      </vt:variant>
      <vt:variant>
        <vt:i4>1142</vt:i4>
      </vt:variant>
      <vt:variant>
        <vt:i4>0</vt:i4>
      </vt:variant>
      <vt:variant>
        <vt:i4>5</vt:i4>
      </vt:variant>
      <vt:variant>
        <vt:lpwstr/>
      </vt:variant>
      <vt:variant>
        <vt:lpwstr>_Toc194251559</vt:lpwstr>
      </vt:variant>
      <vt:variant>
        <vt:i4>1572917</vt:i4>
      </vt:variant>
      <vt:variant>
        <vt:i4>1136</vt:i4>
      </vt:variant>
      <vt:variant>
        <vt:i4>0</vt:i4>
      </vt:variant>
      <vt:variant>
        <vt:i4>5</vt:i4>
      </vt:variant>
      <vt:variant>
        <vt:lpwstr/>
      </vt:variant>
      <vt:variant>
        <vt:lpwstr>_Toc194251558</vt:lpwstr>
      </vt:variant>
      <vt:variant>
        <vt:i4>1572917</vt:i4>
      </vt:variant>
      <vt:variant>
        <vt:i4>1130</vt:i4>
      </vt:variant>
      <vt:variant>
        <vt:i4>0</vt:i4>
      </vt:variant>
      <vt:variant>
        <vt:i4>5</vt:i4>
      </vt:variant>
      <vt:variant>
        <vt:lpwstr/>
      </vt:variant>
      <vt:variant>
        <vt:lpwstr>_Toc194251557</vt:lpwstr>
      </vt:variant>
      <vt:variant>
        <vt:i4>1572917</vt:i4>
      </vt:variant>
      <vt:variant>
        <vt:i4>1124</vt:i4>
      </vt:variant>
      <vt:variant>
        <vt:i4>0</vt:i4>
      </vt:variant>
      <vt:variant>
        <vt:i4>5</vt:i4>
      </vt:variant>
      <vt:variant>
        <vt:lpwstr/>
      </vt:variant>
      <vt:variant>
        <vt:lpwstr>_Toc194251556</vt:lpwstr>
      </vt:variant>
      <vt:variant>
        <vt:i4>1572917</vt:i4>
      </vt:variant>
      <vt:variant>
        <vt:i4>1118</vt:i4>
      </vt:variant>
      <vt:variant>
        <vt:i4>0</vt:i4>
      </vt:variant>
      <vt:variant>
        <vt:i4>5</vt:i4>
      </vt:variant>
      <vt:variant>
        <vt:lpwstr/>
      </vt:variant>
      <vt:variant>
        <vt:lpwstr>_Toc194251555</vt:lpwstr>
      </vt:variant>
      <vt:variant>
        <vt:i4>1572917</vt:i4>
      </vt:variant>
      <vt:variant>
        <vt:i4>1112</vt:i4>
      </vt:variant>
      <vt:variant>
        <vt:i4>0</vt:i4>
      </vt:variant>
      <vt:variant>
        <vt:i4>5</vt:i4>
      </vt:variant>
      <vt:variant>
        <vt:lpwstr/>
      </vt:variant>
      <vt:variant>
        <vt:lpwstr>_Toc194251554</vt:lpwstr>
      </vt:variant>
      <vt:variant>
        <vt:i4>1572917</vt:i4>
      </vt:variant>
      <vt:variant>
        <vt:i4>1106</vt:i4>
      </vt:variant>
      <vt:variant>
        <vt:i4>0</vt:i4>
      </vt:variant>
      <vt:variant>
        <vt:i4>5</vt:i4>
      </vt:variant>
      <vt:variant>
        <vt:lpwstr/>
      </vt:variant>
      <vt:variant>
        <vt:lpwstr>_Toc194251553</vt:lpwstr>
      </vt:variant>
      <vt:variant>
        <vt:i4>1572917</vt:i4>
      </vt:variant>
      <vt:variant>
        <vt:i4>1100</vt:i4>
      </vt:variant>
      <vt:variant>
        <vt:i4>0</vt:i4>
      </vt:variant>
      <vt:variant>
        <vt:i4>5</vt:i4>
      </vt:variant>
      <vt:variant>
        <vt:lpwstr/>
      </vt:variant>
      <vt:variant>
        <vt:lpwstr>_Toc194251552</vt:lpwstr>
      </vt:variant>
      <vt:variant>
        <vt:i4>1572917</vt:i4>
      </vt:variant>
      <vt:variant>
        <vt:i4>1094</vt:i4>
      </vt:variant>
      <vt:variant>
        <vt:i4>0</vt:i4>
      </vt:variant>
      <vt:variant>
        <vt:i4>5</vt:i4>
      </vt:variant>
      <vt:variant>
        <vt:lpwstr/>
      </vt:variant>
      <vt:variant>
        <vt:lpwstr>_Toc194251551</vt:lpwstr>
      </vt:variant>
      <vt:variant>
        <vt:i4>1572917</vt:i4>
      </vt:variant>
      <vt:variant>
        <vt:i4>1088</vt:i4>
      </vt:variant>
      <vt:variant>
        <vt:i4>0</vt:i4>
      </vt:variant>
      <vt:variant>
        <vt:i4>5</vt:i4>
      </vt:variant>
      <vt:variant>
        <vt:lpwstr/>
      </vt:variant>
      <vt:variant>
        <vt:lpwstr>_Toc194251550</vt:lpwstr>
      </vt:variant>
      <vt:variant>
        <vt:i4>1638453</vt:i4>
      </vt:variant>
      <vt:variant>
        <vt:i4>1082</vt:i4>
      </vt:variant>
      <vt:variant>
        <vt:i4>0</vt:i4>
      </vt:variant>
      <vt:variant>
        <vt:i4>5</vt:i4>
      </vt:variant>
      <vt:variant>
        <vt:lpwstr/>
      </vt:variant>
      <vt:variant>
        <vt:lpwstr>_Toc194251549</vt:lpwstr>
      </vt:variant>
      <vt:variant>
        <vt:i4>1638453</vt:i4>
      </vt:variant>
      <vt:variant>
        <vt:i4>1076</vt:i4>
      </vt:variant>
      <vt:variant>
        <vt:i4>0</vt:i4>
      </vt:variant>
      <vt:variant>
        <vt:i4>5</vt:i4>
      </vt:variant>
      <vt:variant>
        <vt:lpwstr/>
      </vt:variant>
      <vt:variant>
        <vt:lpwstr>_Toc194251548</vt:lpwstr>
      </vt:variant>
      <vt:variant>
        <vt:i4>1638453</vt:i4>
      </vt:variant>
      <vt:variant>
        <vt:i4>1070</vt:i4>
      </vt:variant>
      <vt:variant>
        <vt:i4>0</vt:i4>
      </vt:variant>
      <vt:variant>
        <vt:i4>5</vt:i4>
      </vt:variant>
      <vt:variant>
        <vt:lpwstr/>
      </vt:variant>
      <vt:variant>
        <vt:lpwstr>_Toc194251547</vt:lpwstr>
      </vt:variant>
      <vt:variant>
        <vt:i4>1638453</vt:i4>
      </vt:variant>
      <vt:variant>
        <vt:i4>1064</vt:i4>
      </vt:variant>
      <vt:variant>
        <vt:i4>0</vt:i4>
      </vt:variant>
      <vt:variant>
        <vt:i4>5</vt:i4>
      </vt:variant>
      <vt:variant>
        <vt:lpwstr/>
      </vt:variant>
      <vt:variant>
        <vt:lpwstr>_Toc194251546</vt:lpwstr>
      </vt:variant>
      <vt:variant>
        <vt:i4>1638453</vt:i4>
      </vt:variant>
      <vt:variant>
        <vt:i4>1058</vt:i4>
      </vt:variant>
      <vt:variant>
        <vt:i4>0</vt:i4>
      </vt:variant>
      <vt:variant>
        <vt:i4>5</vt:i4>
      </vt:variant>
      <vt:variant>
        <vt:lpwstr/>
      </vt:variant>
      <vt:variant>
        <vt:lpwstr>_Toc194251545</vt:lpwstr>
      </vt:variant>
      <vt:variant>
        <vt:i4>1638453</vt:i4>
      </vt:variant>
      <vt:variant>
        <vt:i4>1052</vt:i4>
      </vt:variant>
      <vt:variant>
        <vt:i4>0</vt:i4>
      </vt:variant>
      <vt:variant>
        <vt:i4>5</vt:i4>
      </vt:variant>
      <vt:variant>
        <vt:lpwstr/>
      </vt:variant>
      <vt:variant>
        <vt:lpwstr>_Toc194251544</vt:lpwstr>
      </vt:variant>
      <vt:variant>
        <vt:i4>1638453</vt:i4>
      </vt:variant>
      <vt:variant>
        <vt:i4>1046</vt:i4>
      </vt:variant>
      <vt:variant>
        <vt:i4>0</vt:i4>
      </vt:variant>
      <vt:variant>
        <vt:i4>5</vt:i4>
      </vt:variant>
      <vt:variant>
        <vt:lpwstr/>
      </vt:variant>
      <vt:variant>
        <vt:lpwstr>_Toc194251543</vt:lpwstr>
      </vt:variant>
      <vt:variant>
        <vt:i4>1638453</vt:i4>
      </vt:variant>
      <vt:variant>
        <vt:i4>1040</vt:i4>
      </vt:variant>
      <vt:variant>
        <vt:i4>0</vt:i4>
      </vt:variant>
      <vt:variant>
        <vt:i4>5</vt:i4>
      </vt:variant>
      <vt:variant>
        <vt:lpwstr/>
      </vt:variant>
      <vt:variant>
        <vt:lpwstr>_Toc194251542</vt:lpwstr>
      </vt:variant>
      <vt:variant>
        <vt:i4>1638453</vt:i4>
      </vt:variant>
      <vt:variant>
        <vt:i4>1034</vt:i4>
      </vt:variant>
      <vt:variant>
        <vt:i4>0</vt:i4>
      </vt:variant>
      <vt:variant>
        <vt:i4>5</vt:i4>
      </vt:variant>
      <vt:variant>
        <vt:lpwstr/>
      </vt:variant>
      <vt:variant>
        <vt:lpwstr>_Toc194251541</vt:lpwstr>
      </vt:variant>
      <vt:variant>
        <vt:i4>1638453</vt:i4>
      </vt:variant>
      <vt:variant>
        <vt:i4>1028</vt:i4>
      </vt:variant>
      <vt:variant>
        <vt:i4>0</vt:i4>
      </vt:variant>
      <vt:variant>
        <vt:i4>5</vt:i4>
      </vt:variant>
      <vt:variant>
        <vt:lpwstr/>
      </vt:variant>
      <vt:variant>
        <vt:lpwstr>_Toc194251540</vt:lpwstr>
      </vt:variant>
      <vt:variant>
        <vt:i4>1966133</vt:i4>
      </vt:variant>
      <vt:variant>
        <vt:i4>1022</vt:i4>
      </vt:variant>
      <vt:variant>
        <vt:i4>0</vt:i4>
      </vt:variant>
      <vt:variant>
        <vt:i4>5</vt:i4>
      </vt:variant>
      <vt:variant>
        <vt:lpwstr/>
      </vt:variant>
      <vt:variant>
        <vt:lpwstr>_Toc194251539</vt:lpwstr>
      </vt:variant>
      <vt:variant>
        <vt:i4>1966133</vt:i4>
      </vt:variant>
      <vt:variant>
        <vt:i4>1016</vt:i4>
      </vt:variant>
      <vt:variant>
        <vt:i4>0</vt:i4>
      </vt:variant>
      <vt:variant>
        <vt:i4>5</vt:i4>
      </vt:variant>
      <vt:variant>
        <vt:lpwstr/>
      </vt:variant>
      <vt:variant>
        <vt:lpwstr>_Toc194251538</vt:lpwstr>
      </vt:variant>
      <vt:variant>
        <vt:i4>1966133</vt:i4>
      </vt:variant>
      <vt:variant>
        <vt:i4>1010</vt:i4>
      </vt:variant>
      <vt:variant>
        <vt:i4>0</vt:i4>
      </vt:variant>
      <vt:variant>
        <vt:i4>5</vt:i4>
      </vt:variant>
      <vt:variant>
        <vt:lpwstr/>
      </vt:variant>
      <vt:variant>
        <vt:lpwstr>_Toc194251537</vt:lpwstr>
      </vt:variant>
      <vt:variant>
        <vt:i4>1966133</vt:i4>
      </vt:variant>
      <vt:variant>
        <vt:i4>1004</vt:i4>
      </vt:variant>
      <vt:variant>
        <vt:i4>0</vt:i4>
      </vt:variant>
      <vt:variant>
        <vt:i4>5</vt:i4>
      </vt:variant>
      <vt:variant>
        <vt:lpwstr/>
      </vt:variant>
      <vt:variant>
        <vt:lpwstr>_Toc194251536</vt:lpwstr>
      </vt:variant>
      <vt:variant>
        <vt:i4>1966133</vt:i4>
      </vt:variant>
      <vt:variant>
        <vt:i4>998</vt:i4>
      </vt:variant>
      <vt:variant>
        <vt:i4>0</vt:i4>
      </vt:variant>
      <vt:variant>
        <vt:i4>5</vt:i4>
      </vt:variant>
      <vt:variant>
        <vt:lpwstr/>
      </vt:variant>
      <vt:variant>
        <vt:lpwstr>_Toc194251535</vt:lpwstr>
      </vt:variant>
      <vt:variant>
        <vt:i4>1966133</vt:i4>
      </vt:variant>
      <vt:variant>
        <vt:i4>992</vt:i4>
      </vt:variant>
      <vt:variant>
        <vt:i4>0</vt:i4>
      </vt:variant>
      <vt:variant>
        <vt:i4>5</vt:i4>
      </vt:variant>
      <vt:variant>
        <vt:lpwstr/>
      </vt:variant>
      <vt:variant>
        <vt:lpwstr>_Toc194251534</vt:lpwstr>
      </vt:variant>
      <vt:variant>
        <vt:i4>1966133</vt:i4>
      </vt:variant>
      <vt:variant>
        <vt:i4>986</vt:i4>
      </vt:variant>
      <vt:variant>
        <vt:i4>0</vt:i4>
      </vt:variant>
      <vt:variant>
        <vt:i4>5</vt:i4>
      </vt:variant>
      <vt:variant>
        <vt:lpwstr/>
      </vt:variant>
      <vt:variant>
        <vt:lpwstr>_Toc194251533</vt:lpwstr>
      </vt:variant>
      <vt:variant>
        <vt:i4>1966133</vt:i4>
      </vt:variant>
      <vt:variant>
        <vt:i4>980</vt:i4>
      </vt:variant>
      <vt:variant>
        <vt:i4>0</vt:i4>
      </vt:variant>
      <vt:variant>
        <vt:i4>5</vt:i4>
      </vt:variant>
      <vt:variant>
        <vt:lpwstr/>
      </vt:variant>
      <vt:variant>
        <vt:lpwstr>_Toc194251532</vt:lpwstr>
      </vt:variant>
      <vt:variant>
        <vt:i4>1966133</vt:i4>
      </vt:variant>
      <vt:variant>
        <vt:i4>974</vt:i4>
      </vt:variant>
      <vt:variant>
        <vt:i4>0</vt:i4>
      </vt:variant>
      <vt:variant>
        <vt:i4>5</vt:i4>
      </vt:variant>
      <vt:variant>
        <vt:lpwstr/>
      </vt:variant>
      <vt:variant>
        <vt:lpwstr>_Toc194251531</vt:lpwstr>
      </vt:variant>
      <vt:variant>
        <vt:i4>1966133</vt:i4>
      </vt:variant>
      <vt:variant>
        <vt:i4>968</vt:i4>
      </vt:variant>
      <vt:variant>
        <vt:i4>0</vt:i4>
      </vt:variant>
      <vt:variant>
        <vt:i4>5</vt:i4>
      </vt:variant>
      <vt:variant>
        <vt:lpwstr/>
      </vt:variant>
      <vt:variant>
        <vt:lpwstr>_Toc194251530</vt:lpwstr>
      </vt:variant>
      <vt:variant>
        <vt:i4>2031669</vt:i4>
      </vt:variant>
      <vt:variant>
        <vt:i4>962</vt:i4>
      </vt:variant>
      <vt:variant>
        <vt:i4>0</vt:i4>
      </vt:variant>
      <vt:variant>
        <vt:i4>5</vt:i4>
      </vt:variant>
      <vt:variant>
        <vt:lpwstr/>
      </vt:variant>
      <vt:variant>
        <vt:lpwstr>_Toc194251529</vt:lpwstr>
      </vt:variant>
      <vt:variant>
        <vt:i4>2031669</vt:i4>
      </vt:variant>
      <vt:variant>
        <vt:i4>956</vt:i4>
      </vt:variant>
      <vt:variant>
        <vt:i4>0</vt:i4>
      </vt:variant>
      <vt:variant>
        <vt:i4>5</vt:i4>
      </vt:variant>
      <vt:variant>
        <vt:lpwstr/>
      </vt:variant>
      <vt:variant>
        <vt:lpwstr>_Toc194251528</vt:lpwstr>
      </vt:variant>
      <vt:variant>
        <vt:i4>2031669</vt:i4>
      </vt:variant>
      <vt:variant>
        <vt:i4>950</vt:i4>
      </vt:variant>
      <vt:variant>
        <vt:i4>0</vt:i4>
      </vt:variant>
      <vt:variant>
        <vt:i4>5</vt:i4>
      </vt:variant>
      <vt:variant>
        <vt:lpwstr/>
      </vt:variant>
      <vt:variant>
        <vt:lpwstr>_Toc194251527</vt:lpwstr>
      </vt:variant>
      <vt:variant>
        <vt:i4>2031669</vt:i4>
      </vt:variant>
      <vt:variant>
        <vt:i4>944</vt:i4>
      </vt:variant>
      <vt:variant>
        <vt:i4>0</vt:i4>
      </vt:variant>
      <vt:variant>
        <vt:i4>5</vt:i4>
      </vt:variant>
      <vt:variant>
        <vt:lpwstr/>
      </vt:variant>
      <vt:variant>
        <vt:lpwstr>_Toc194251526</vt:lpwstr>
      </vt:variant>
      <vt:variant>
        <vt:i4>2031669</vt:i4>
      </vt:variant>
      <vt:variant>
        <vt:i4>938</vt:i4>
      </vt:variant>
      <vt:variant>
        <vt:i4>0</vt:i4>
      </vt:variant>
      <vt:variant>
        <vt:i4>5</vt:i4>
      </vt:variant>
      <vt:variant>
        <vt:lpwstr/>
      </vt:variant>
      <vt:variant>
        <vt:lpwstr>_Toc194251525</vt:lpwstr>
      </vt:variant>
      <vt:variant>
        <vt:i4>2031669</vt:i4>
      </vt:variant>
      <vt:variant>
        <vt:i4>932</vt:i4>
      </vt:variant>
      <vt:variant>
        <vt:i4>0</vt:i4>
      </vt:variant>
      <vt:variant>
        <vt:i4>5</vt:i4>
      </vt:variant>
      <vt:variant>
        <vt:lpwstr/>
      </vt:variant>
      <vt:variant>
        <vt:lpwstr>_Toc194251524</vt:lpwstr>
      </vt:variant>
      <vt:variant>
        <vt:i4>2031669</vt:i4>
      </vt:variant>
      <vt:variant>
        <vt:i4>926</vt:i4>
      </vt:variant>
      <vt:variant>
        <vt:i4>0</vt:i4>
      </vt:variant>
      <vt:variant>
        <vt:i4>5</vt:i4>
      </vt:variant>
      <vt:variant>
        <vt:lpwstr/>
      </vt:variant>
      <vt:variant>
        <vt:lpwstr>_Toc194251523</vt:lpwstr>
      </vt:variant>
      <vt:variant>
        <vt:i4>2031669</vt:i4>
      </vt:variant>
      <vt:variant>
        <vt:i4>920</vt:i4>
      </vt:variant>
      <vt:variant>
        <vt:i4>0</vt:i4>
      </vt:variant>
      <vt:variant>
        <vt:i4>5</vt:i4>
      </vt:variant>
      <vt:variant>
        <vt:lpwstr/>
      </vt:variant>
      <vt:variant>
        <vt:lpwstr>_Toc194251522</vt:lpwstr>
      </vt:variant>
      <vt:variant>
        <vt:i4>2031669</vt:i4>
      </vt:variant>
      <vt:variant>
        <vt:i4>914</vt:i4>
      </vt:variant>
      <vt:variant>
        <vt:i4>0</vt:i4>
      </vt:variant>
      <vt:variant>
        <vt:i4>5</vt:i4>
      </vt:variant>
      <vt:variant>
        <vt:lpwstr/>
      </vt:variant>
      <vt:variant>
        <vt:lpwstr>_Toc194251521</vt:lpwstr>
      </vt:variant>
      <vt:variant>
        <vt:i4>2031669</vt:i4>
      </vt:variant>
      <vt:variant>
        <vt:i4>908</vt:i4>
      </vt:variant>
      <vt:variant>
        <vt:i4>0</vt:i4>
      </vt:variant>
      <vt:variant>
        <vt:i4>5</vt:i4>
      </vt:variant>
      <vt:variant>
        <vt:lpwstr/>
      </vt:variant>
      <vt:variant>
        <vt:lpwstr>_Toc194251520</vt:lpwstr>
      </vt:variant>
      <vt:variant>
        <vt:i4>1835061</vt:i4>
      </vt:variant>
      <vt:variant>
        <vt:i4>902</vt:i4>
      </vt:variant>
      <vt:variant>
        <vt:i4>0</vt:i4>
      </vt:variant>
      <vt:variant>
        <vt:i4>5</vt:i4>
      </vt:variant>
      <vt:variant>
        <vt:lpwstr/>
      </vt:variant>
      <vt:variant>
        <vt:lpwstr>_Toc194251519</vt:lpwstr>
      </vt:variant>
      <vt:variant>
        <vt:i4>1835061</vt:i4>
      </vt:variant>
      <vt:variant>
        <vt:i4>896</vt:i4>
      </vt:variant>
      <vt:variant>
        <vt:i4>0</vt:i4>
      </vt:variant>
      <vt:variant>
        <vt:i4>5</vt:i4>
      </vt:variant>
      <vt:variant>
        <vt:lpwstr/>
      </vt:variant>
      <vt:variant>
        <vt:lpwstr>_Toc194251518</vt:lpwstr>
      </vt:variant>
      <vt:variant>
        <vt:i4>1835061</vt:i4>
      </vt:variant>
      <vt:variant>
        <vt:i4>890</vt:i4>
      </vt:variant>
      <vt:variant>
        <vt:i4>0</vt:i4>
      </vt:variant>
      <vt:variant>
        <vt:i4>5</vt:i4>
      </vt:variant>
      <vt:variant>
        <vt:lpwstr/>
      </vt:variant>
      <vt:variant>
        <vt:lpwstr>_Toc194251517</vt:lpwstr>
      </vt:variant>
      <vt:variant>
        <vt:i4>1835061</vt:i4>
      </vt:variant>
      <vt:variant>
        <vt:i4>884</vt:i4>
      </vt:variant>
      <vt:variant>
        <vt:i4>0</vt:i4>
      </vt:variant>
      <vt:variant>
        <vt:i4>5</vt:i4>
      </vt:variant>
      <vt:variant>
        <vt:lpwstr/>
      </vt:variant>
      <vt:variant>
        <vt:lpwstr>_Toc194251516</vt:lpwstr>
      </vt:variant>
      <vt:variant>
        <vt:i4>1835061</vt:i4>
      </vt:variant>
      <vt:variant>
        <vt:i4>878</vt:i4>
      </vt:variant>
      <vt:variant>
        <vt:i4>0</vt:i4>
      </vt:variant>
      <vt:variant>
        <vt:i4>5</vt:i4>
      </vt:variant>
      <vt:variant>
        <vt:lpwstr/>
      </vt:variant>
      <vt:variant>
        <vt:lpwstr>_Toc194251515</vt:lpwstr>
      </vt:variant>
      <vt:variant>
        <vt:i4>1835061</vt:i4>
      </vt:variant>
      <vt:variant>
        <vt:i4>872</vt:i4>
      </vt:variant>
      <vt:variant>
        <vt:i4>0</vt:i4>
      </vt:variant>
      <vt:variant>
        <vt:i4>5</vt:i4>
      </vt:variant>
      <vt:variant>
        <vt:lpwstr/>
      </vt:variant>
      <vt:variant>
        <vt:lpwstr>_Toc194251514</vt:lpwstr>
      </vt:variant>
      <vt:variant>
        <vt:i4>1835061</vt:i4>
      </vt:variant>
      <vt:variant>
        <vt:i4>866</vt:i4>
      </vt:variant>
      <vt:variant>
        <vt:i4>0</vt:i4>
      </vt:variant>
      <vt:variant>
        <vt:i4>5</vt:i4>
      </vt:variant>
      <vt:variant>
        <vt:lpwstr/>
      </vt:variant>
      <vt:variant>
        <vt:lpwstr>_Toc194251513</vt:lpwstr>
      </vt:variant>
      <vt:variant>
        <vt:i4>1835061</vt:i4>
      </vt:variant>
      <vt:variant>
        <vt:i4>860</vt:i4>
      </vt:variant>
      <vt:variant>
        <vt:i4>0</vt:i4>
      </vt:variant>
      <vt:variant>
        <vt:i4>5</vt:i4>
      </vt:variant>
      <vt:variant>
        <vt:lpwstr/>
      </vt:variant>
      <vt:variant>
        <vt:lpwstr>_Toc194251512</vt:lpwstr>
      </vt:variant>
      <vt:variant>
        <vt:i4>1835061</vt:i4>
      </vt:variant>
      <vt:variant>
        <vt:i4>854</vt:i4>
      </vt:variant>
      <vt:variant>
        <vt:i4>0</vt:i4>
      </vt:variant>
      <vt:variant>
        <vt:i4>5</vt:i4>
      </vt:variant>
      <vt:variant>
        <vt:lpwstr/>
      </vt:variant>
      <vt:variant>
        <vt:lpwstr>_Toc194251511</vt:lpwstr>
      </vt:variant>
      <vt:variant>
        <vt:i4>1835061</vt:i4>
      </vt:variant>
      <vt:variant>
        <vt:i4>848</vt:i4>
      </vt:variant>
      <vt:variant>
        <vt:i4>0</vt:i4>
      </vt:variant>
      <vt:variant>
        <vt:i4>5</vt:i4>
      </vt:variant>
      <vt:variant>
        <vt:lpwstr/>
      </vt:variant>
      <vt:variant>
        <vt:lpwstr>_Toc194251510</vt:lpwstr>
      </vt:variant>
      <vt:variant>
        <vt:i4>1900597</vt:i4>
      </vt:variant>
      <vt:variant>
        <vt:i4>842</vt:i4>
      </vt:variant>
      <vt:variant>
        <vt:i4>0</vt:i4>
      </vt:variant>
      <vt:variant>
        <vt:i4>5</vt:i4>
      </vt:variant>
      <vt:variant>
        <vt:lpwstr/>
      </vt:variant>
      <vt:variant>
        <vt:lpwstr>_Toc194251509</vt:lpwstr>
      </vt:variant>
      <vt:variant>
        <vt:i4>1900597</vt:i4>
      </vt:variant>
      <vt:variant>
        <vt:i4>836</vt:i4>
      </vt:variant>
      <vt:variant>
        <vt:i4>0</vt:i4>
      </vt:variant>
      <vt:variant>
        <vt:i4>5</vt:i4>
      </vt:variant>
      <vt:variant>
        <vt:lpwstr/>
      </vt:variant>
      <vt:variant>
        <vt:lpwstr>_Toc194251508</vt:lpwstr>
      </vt:variant>
      <vt:variant>
        <vt:i4>1900597</vt:i4>
      </vt:variant>
      <vt:variant>
        <vt:i4>830</vt:i4>
      </vt:variant>
      <vt:variant>
        <vt:i4>0</vt:i4>
      </vt:variant>
      <vt:variant>
        <vt:i4>5</vt:i4>
      </vt:variant>
      <vt:variant>
        <vt:lpwstr/>
      </vt:variant>
      <vt:variant>
        <vt:lpwstr>_Toc194251507</vt:lpwstr>
      </vt:variant>
      <vt:variant>
        <vt:i4>1900597</vt:i4>
      </vt:variant>
      <vt:variant>
        <vt:i4>824</vt:i4>
      </vt:variant>
      <vt:variant>
        <vt:i4>0</vt:i4>
      </vt:variant>
      <vt:variant>
        <vt:i4>5</vt:i4>
      </vt:variant>
      <vt:variant>
        <vt:lpwstr/>
      </vt:variant>
      <vt:variant>
        <vt:lpwstr>_Toc194251506</vt:lpwstr>
      </vt:variant>
      <vt:variant>
        <vt:i4>1900597</vt:i4>
      </vt:variant>
      <vt:variant>
        <vt:i4>818</vt:i4>
      </vt:variant>
      <vt:variant>
        <vt:i4>0</vt:i4>
      </vt:variant>
      <vt:variant>
        <vt:i4>5</vt:i4>
      </vt:variant>
      <vt:variant>
        <vt:lpwstr/>
      </vt:variant>
      <vt:variant>
        <vt:lpwstr>_Toc194251505</vt:lpwstr>
      </vt:variant>
      <vt:variant>
        <vt:i4>1900597</vt:i4>
      </vt:variant>
      <vt:variant>
        <vt:i4>812</vt:i4>
      </vt:variant>
      <vt:variant>
        <vt:i4>0</vt:i4>
      </vt:variant>
      <vt:variant>
        <vt:i4>5</vt:i4>
      </vt:variant>
      <vt:variant>
        <vt:lpwstr/>
      </vt:variant>
      <vt:variant>
        <vt:lpwstr>_Toc194251504</vt:lpwstr>
      </vt:variant>
      <vt:variant>
        <vt:i4>1900597</vt:i4>
      </vt:variant>
      <vt:variant>
        <vt:i4>806</vt:i4>
      </vt:variant>
      <vt:variant>
        <vt:i4>0</vt:i4>
      </vt:variant>
      <vt:variant>
        <vt:i4>5</vt:i4>
      </vt:variant>
      <vt:variant>
        <vt:lpwstr/>
      </vt:variant>
      <vt:variant>
        <vt:lpwstr>_Toc194251503</vt:lpwstr>
      </vt:variant>
      <vt:variant>
        <vt:i4>1900597</vt:i4>
      </vt:variant>
      <vt:variant>
        <vt:i4>800</vt:i4>
      </vt:variant>
      <vt:variant>
        <vt:i4>0</vt:i4>
      </vt:variant>
      <vt:variant>
        <vt:i4>5</vt:i4>
      </vt:variant>
      <vt:variant>
        <vt:lpwstr/>
      </vt:variant>
      <vt:variant>
        <vt:lpwstr>_Toc194251502</vt:lpwstr>
      </vt:variant>
      <vt:variant>
        <vt:i4>1900597</vt:i4>
      </vt:variant>
      <vt:variant>
        <vt:i4>794</vt:i4>
      </vt:variant>
      <vt:variant>
        <vt:i4>0</vt:i4>
      </vt:variant>
      <vt:variant>
        <vt:i4>5</vt:i4>
      </vt:variant>
      <vt:variant>
        <vt:lpwstr/>
      </vt:variant>
      <vt:variant>
        <vt:lpwstr>_Toc194251501</vt:lpwstr>
      </vt:variant>
      <vt:variant>
        <vt:i4>1900597</vt:i4>
      </vt:variant>
      <vt:variant>
        <vt:i4>788</vt:i4>
      </vt:variant>
      <vt:variant>
        <vt:i4>0</vt:i4>
      </vt:variant>
      <vt:variant>
        <vt:i4>5</vt:i4>
      </vt:variant>
      <vt:variant>
        <vt:lpwstr/>
      </vt:variant>
      <vt:variant>
        <vt:lpwstr>_Toc194251500</vt:lpwstr>
      </vt:variant>
      <vt:variant>
        <vt:i4>1310772</vt:i4>
      </vt:variant>
      <vt:variant>
        <vt:i4>782</vt:i4>
      </vt:variant>
      <vt:variant>
        <vt:i4>0</vt:i4>
      </vt:variant>
      <vt:variant>
        <vt:i4>5</vt:i4>
      </vt:variant>
      <vt:variant>
        <vt:lpwstr/>
      </vt:variant>
      <vt:variant>
        <vt:lpwstr>_Toc194251499</vt:lpwstr>
      </vt:variant>
      <vt:variant>
        <vt:i4>1310772</vt:i4>
      </vt:variant>
      <vt:variant>
        <vt:i4>773</vt:i4>
      </vt:variant>
      <vt:variant>
        <vt:i4>0</vt:i4>
      </vt:variant>
      <vt:variant>
        <vt:i4>5</vt:i4>
      </vt:variant>
      <vt:variant>
        <vt:lpwstr/>
      </vt:variant>
      <vt:variant>
        <vt:lpwstr>_Toc194251498</vt:lpwstr>
      </vt:variant>
      <vt:variant>
        <vt:i4>1310772</vt:i4>
      </vt:variant>
      <vt:variant>
        <vt:i4>767</vt:i4>
      </vt:variant>
      <vt:variant>
        <vt:i4>0</vt:i4>
      </vt:variant>
      <vt:variant>
        <vt:i4>5</vt:i4>
      </vt:variant>
      <vt:variant>
        <vt:lpwstr/>
      </vt:variant>
      <vt:variant>
        <vt:lpwstr>_Toc194251497</vt:lpwstr>
      </vt:variant>
      <vt:variant>
        <vt:i4>1310772</vt:i4>
      </vt:variant>
      <vt:variant>
        <vt:i4>761</vt:i4>
      </vt:variant>
      <vt:variant>
        <vt:i4>0</vt:i4>
      </vt:variant>
      <vt:variant>
        <vt:i4>5</vt:i4>
      </vt:variant>
      <vt:variant>
        <vt:lpwstr/>
      </vt:variant>
      <vt:variant>
        <vt:lpwstr>_Toc194251496</vt:lpwstr>
      </vt:variant>
      <vt:variant>
        <vt:i4>1310772</vt:i4>
      </vt:variant>
      <vt:variant>
        <vt:i4>755</vt:i4>
      </vt:variant>
      <vt:variant>
        <vt:i4>0</vt:i4>
      </vt:variant>
      <vt:variant>
        <vt:i4>5</vt:i4>
      </vt:variant>
      <vt:variant>
        <vt:lpwstr/>
      </vt:variant>
      <vt:variant>
        <vt:lpwstr>_Toc194251495</vt:lpwstr>
      </vt:variant>
      <vt:variant>
        <vt:i4>1310772</vt:i4>
      </vt:variant>
      <vt:variant>
        <vt:i4>749</vt:i4>
      </vt:variant>
      <vt:variant>
        <vt:i4>0</vt:i4>
      </vt:variant>
      <vt:variant>
        <vt:i4>5</vt:i4>
      </vt:variant>
      <vt:variant>
        <vt:lpwstr/>
      </vt:variant>
      <vt:variant>
        <vt:lpwstr>_Toc194251494</vt:lpwstr>
      </vt:variant>
      <vt:variant>
        <vt:i4>1310772</vt:i4>
      </vt:variant>
      <vt:variant>
        <vt:i4>743</vt:i4>
      </vt:variant>
      <vt:variant>
        <vt:i4>0</vt:i4>
      </vt:variant>
      <vt:variant>
        <vt:i4>5</vt:i4>
      </vt:variant>
      <vt:variant>
        <vt:lpwstr/>
      </vt:variant>
      <vt:variant>
        <vt:lpwstr>_Toc194251493</vt:lpwstr>
      </vt:variant>
      <vt:variant>
        <vt:i4>1310772</vt:i4>
      </vt:variant>
      <vt:variant>
        <vt:i4>737</vt:i4>
      </vt:variant>
      <vt:variant>
        <vt:i4>0</vt:i4>
      </vt:variant>
      <vt:variant>
        <vt:i4>5</vt:i4>
      </vt:variant>
      <vt:variant>
        <vt:lpwstr/>
      </vt:variant>
      <vt:variant>
        <vt:lpwstr>_Toc194251492</vt:lpwstr>
      </vt:variant>
      <vt:variant>
        <vt:i4>1310772</vt:i4>
      </vt:variant>
      <vt:variant>
        <vt:i4>731</vt:i4>
      </vt:variant>
      <vt:variant>
        <vt:i4>0</vt:i4>
      </vt:variant>
      <vt:variant>
        <vt:i4>5</vt:i4>
      </vt:variant>
      <vt:variant>
        <vt:lpwstr/>
      </vt:variant>
      <vt:variant>
        <vt:lpwstr>_Toc194251491</vt:lpwstr>
      </vt:variant>
      <vt:variant>
        <vt:i4>1310772</vt:i4>
      </vt:variant>
      <vt:variant>
        <vt:i4>725</vt:i4>
      </vt:variant>
      <vt:variant>
        <vt:i4>0</vt:i4>
      </vt:variant>
      <vt:variant>
        <vt:i4>5</vt:i4>
      </vt:variant>
      <vt:variant>
        <vt:lpwstr/>
      </vt:variant>
      <vt:variant>
        <vt:lpwstr>_Toc194251490</vt:lpwstr>
      </vt:variant>
      <vt:variant>
        <vt:i4>1376308</vt:i4>
      </vt:variant>
      <vt:variant>
        <vt:i4>719</vt:i4>
      </vt:variant>
      <vt:variant>
        <vt:i4>0</vt:i4>
      </vt:variant>
      <vt:variant>
        <vt:i4>5</vt:i4>
      </vt:variant>
      <vt:variant>
        <vt:lpwstr/>
      </vt:variant>
      <vt:variant>
        <vt:lpwstr>_Toc194251489</vt:lpwstr>
      </vt:variant>
      <vt:variant>
        <vt:i4>1376308</vt:i4>
      </vt:variant>
      <vt:variant>
        <vt:i4>713</vt:i4>
      </vt:variant>
      <vt:variant>
        <vt:i4>0</vt:i4>
      </vt:variant>
      <vt:variant>
        <vt:i4>5</vt:i4>
      </vt:variant>
      <vt:variant>
        <vt:lpwstr/>
      </vt:variant>
      <vt:variant>
        <vt:lpwstr>_Toc194251488</vt:lpwstr>
      </vt:variant>
      <vt:variant>
        <vt:i4>1376308</vt:i4>
      </vt:variant>
      <vt:variant>
        <vt:i4>707</vt:i4>
      </vt:variant>
      <vt:variant>
        <vt:i4>0</vt:i4>
      </vt:variant>
      <vt:variant>
        <vt:i4>5</vt:i4>
      </vt:variant>
      <vt:variant>
        <vt:lpwstr/>
      </vt:variant>
      <vt:variant>
        <vt:lpwstr>_Toc194251487</vt:lpwstr>
      </vt:variant>
      <vt:variant>
        <vt:i4>1376308</vt:i4>
      </vt:variant>
      <vt:variant>
        <vt:i4>701</vt:i4>
      </vt:variant>
      <vt:variant>
        <vt:i4>0</vt:i4>
      </vt:variant>
      <vt:variant>
        <vt:i4>5</vt:i4>
      </vt:variant>
      <vt:variant>
        <vt:lpwstr/>
      </vt:variant>
      <vt:variant>
        <vt:lpwstr>_Toc194251486</vt:lpwstr>
      </vt:variant>
      <vt:variant>
        <vt:i4>1376308</vt:i4>
      </vt:variant>
      <vt:variant>
        <vt:i4>695</vt:i4>
      </vt:variant>
      <vt:variant>
        <vt:i4>0</vt:i4>
      </vt:variant>
      <vt:variant>
        <vt:i4>5</vt:i4>
      </vt:variant>
      <vt:variant>
        <vt:lpwstr/>
      </vt:variant>
      <vt:variant>
        <vt:lpwstr>_Toc194251485</vt:lpwstr>
      </vt:variant>
      <vt:variant>
        <vt:i4>1376308</vt:i4>
      </vt:variant>
      <vt:variant>
        <vt:i4>689</vt:i4>
      </vt:variant>
      <vt:variant>
        <vt:i4>0</vt:i4>
      </vt:variant>
      <vt:variant>
        <vt:i4>5</vt:i4>
      </vt:variant>
      <vt:variant>
        <vt:lpwstr/>
      </vt:variant>
      <vt:variant>
        <vt:lpwstr>_Toc194251484</vt:lpwstr>
      </vt:variant>
      <vt:variant>
        <vt:i4>1376308</vt:i4>
      </vt:variant>
      <vt:variant>
        <vt:i4>683</vt:i4>
      </vt:variant>
      <vt:variant>
        <vt:i4>0</vt:i4>
      </vt:variant>
      <vt:variant>
        <vt:i4>5</vt:i4>
      </vt:variant>
      <vt:variant>
        <vt:lpwstr/>
      </vt:variant>
      <vt:variant>
        <vt:lpwstr>_Toc194251483</vt:lpwstr>
      </vt:variant>
      <vt:variant>
        <vt:i4>1376308</vt:i4>
      </vt:variant>
      <vt:variant>
        <vt:i4>677</vt:i4>
      </vt:variant>
      <vt:variant>
        <vt:i4>0</vt:i4>
      </vt:variant>
      <vt:variant>
        <vt:i4>5</vt:i4>
      </vt:variant>
      <vt:variant>
        <vt:lpwstr/>
      </vt:variant>
      <vt:variant>
        <vt:lpwstr>_Toc194251482</vt:lpwstr>
      </vt:variant>
      <vt:variant>
        <vt:i4>1376308</vt:i4>
      </vt:variant>
      <vt:variant>
        <vt:i4>671</vt:i4>
      </vt:variant>
      <vt:variant>
        <vt:i4>0</vt:i4>
      </vt:variant>
      <vt:variant>
        <vt:i4>5</vt:i4>
      </vt:variant>
      <vt:variant>
        <vt:lpwstr/>
      </vt:variant>
      <vt:variant>
        <vt:lpwstr>_Toc194251481</vt:lpwstr>
      </vt:variant>
      <vt:variant>
        <vt:i4>1376308</vt:i4>
      </vt:variant>
      <vt:variant>
        <vt:i4>665</vt:i4>
      </vt:variant>
      <vt:variant>
        <vt:i4>0</vt:i4>
      </vt:variant>
      <vt:variant>
        <vt:i4>5</vt:i4>
      </vt:variant>
      <vt:variant>
        <vt:lpwstr/>
      </vt:variant>
      <vt:variant>
        <vt:lpwstr>_Toc194251480</vt:lpwstr>
      </vt:variant>
      <vt:variant>
        <vt:i4>1703988</vt:i4>
      </vt:variant>
      <vt:variant>
        <vt:i4>659</vt:i4>
      </vt:variant>
      <vt:variant>
        <vt:i4>0</vt:i4>
      </vt:variant>
      <vt:variant>
        <vt:i4>5</vt:i4>
      </vt:variant>
      <vt:variant>
        <vt:lpwstr/>
      </vt:variant>
      <vt:variant>
        <vt:lpwstr>_Toc194251479</vt:lpwstr>
      </vt:variant>
      <vt:variant>
        <vt:i4>1703988</vt:i4>
      </vt:variant>
      <vt:variant>
        <vt:i4>653</vt:i4>
      </vt:variant>
      <vt:variant>
        <vt:i4>0</vt:i4>
      </vt:variant>
      <vt:variant>
        <vt:i4>5</vt:i4>
      </vt:variant>
      <vt:variant>
        <vt:lpwstr/>
      </vt:variant>
      <vt:variant>
        <vt:lpwstr>_Toc194251478</vt:lpwstr>
      </vt:variant>
      <vt:variant>
        <vt:i4>1703988</vt:i4>
      </vt:variant>
      <vt:variant>
        <vt:i4>647</vt:i4>
      </vt:variant>
      <vt:variant>
        <vt:i4>0</vt:i4>
      </vt:variant>
      <vt:variant>
        <vt:i4>5</vt:i4>
      </vt:variant>
      <vt:variant>
        <vt:lpwstr/>
      </vt:variant>
      <vt:variant>
        <vt:lpwstr>_Toc194251477</vt:lpwstr>
      </vt:variant>
      <vt:variant>
        <vt:i4>1703988</vt:i4>
      </vt:variant>
      <vt:variant>
        <vt:i4>641</vt:i4>
      </vt:variant>
      <vt:variant>
        <vt:i4>0</vt:i4>
      </vt:variant>
      <vt:variant>
        <vt:i4>5</vt:i4>
      </vt:variant>
      <vt:variant>
        <vt:lpwstr/>
      </vt:variant>
      <vt:variant>
        <vt:lpwstr>_Toc194251476</vt:lpwstr>
      </vt:variant>
      <vt:variant>
        <vt:i4>1703988</vt:i4>
      </vt:variant>
      <vt:variant>
        <vt:i4>635</vt:i4>
      </vt:variant>
      <vt:variant>
        <vt:i4>0</vt:i4>
      </vt:variant>
      <vt:variant>
        <vt:i4>5</vt:i4>
      </vt:variant>
      <vt:variant>
        <vt:lpwstr/>
      </vt:variant>
      <vt:variant>
        <vt:lpwstr>_Toc194251475</vt:lpwstr>
      </vt:variant>
      <vt:variant>
        <vt:i4>1703988</vt:i4>
      </vt:variant>
      <vt:variant>
        <vt:i4>629</vt:i4>
      </vt:variant>
      <vt:variant>
        <vt:i4>0</vt:i4>
      </vt:variant>
      <vt:variant>
        <vt:i4>5</vt:i4>
      </vt:variant>
      <vt:variant>
        <vt:lpwstr/>
      </vt:variant>
      <vt:variant>
        <vt:lpwstr>_Toc194251474</vt:lpwstr>
      </vt:variant>
      <vt:variant>
        <vt:i4>1703988</vt:i4>
      </vt:variant>
      <vt:variant>
        <vt:i4>623</vt:i4>
      </vt:variant>
      <vt:variant>
        <vt:i4>0</vt:i4>
      </vt:variant>
      <vt:variant>
        <vt:i4>5</vt:i4>
      </vt:variant>
      <vt:variant>
        <vt:lpwstr/>
      </vt:variant>
      <vt:variant>
        <vt:lpwstr>_Toc194251473</vt:lpwstr>
      </vt:variant>
      <vt:variant>
        <vt:i4>1703988</vt:i4>
      </vt:variant>
      <vt:variant>
        <vt:i4>617</vt:i4>
      </vt:variant>
      <vt:variant>
        <vt:i4>0</vt:i4>
      </vt:variant>
      <vt:variant>
        <vt:i4>5</vt:i4>
      </vt:variant>
      <vt:variant>
        <vt:lpwstr/>
      </vt:variant>
      <vt:variant>
        <vt:lpwstr>_Toc194251472</vt:lpwstr>
      </vt:variant>
      <vt:variant>
        <vt:i4>1703988</vt:i4>
      </vt:variant>
      <vt:variant>
        <vt:i4>611</vt:i4>
      </vt:variant>
      <vt:variant>
        <vt:i4>0</vt:i4>
      </vt:variant>
      <vt:variant>
        <vt:i4>5</vt:i4>
      </vt:variant>
      <vt:variant>
        <vt:lpwstr/>
      </vt:variant>
      <vt:variant>
        <vt:lpwstr>_Toc194251471</vt:lpwstr>
      </vt:variant>
      <vt:variant>
        <vt:i4>1703988</vt:i4>
      </vt:variant>
      <vt:variant>
        <vt:i4>605</vt:i4>
      </vt:variant>
      <vt:variant>
        <vt:i4>0</vt:i4>
      </vt:variant>
      <vt:variant>
        <vt:i4>5</vt:i4>
      </vt:variant>
      <vt:variant>
        <vt:lpwstr/>
      </vt:variant>
      <vt:variant>
        <vt:lpwstr>_Toc194251470</vt:lpwstr>
      </vt:variant>
      <vt:variant>
        <vt:i4>1769524</vt:i4>
      </vt:variant>
      <vt:variant>
        <vt:i4>599</vt:i4>
      </vt:variant>
      <vt:variant>
        <vt:i4>0</vt:i4>
      </vt:variant>
      <vt:variant>
        <vt:i4>5</vt:i4>
      </vt:variant>
      <vt:variant>
        <vt:lpwstr/>
      </vt:variant>
      <vt:variant>
        <vt:lpwstr>_Toc194251469</vt:lpwstr>
      </vt:variant>
      <vt:variant>
        <vt:i4>1769524</vt:i4>
      </vt:variant>
      <vt:variant>
        <vt:i4>593</vt:i4>
      </vt:variant>
      <vt:variant>
        <vt:i4>0</vt:i4>
      </vt:variant>
      <vt:variant>
        <vt:i4>5</vt:i4>
      </vt:variant>
      <vt:variant>
        <vt:lpwstr/>
      </vt:variant>
      <vt:variant>
        <vt:lpwstr>_Toc194251468</vt:lpwstr>
      </vt:variant>
      <vt:variant>
        <vt:i4>1769524</vt:i4>
      </vt:variant>
      <vt:variant>
        <vt:i4>587</vt:i4>
      </vt:variant>
      <vt:variant>
        <vt:i4>0</vt:i4>
      </vt:variant>
      <vt:variant>
        <vt:i4>5</vt:i4>
      </vt:variant>
      <vt:variant>
        <vt:lpwstr/>
      </vt:variant>
      <vt:variant>
        <vt:lpwstr>_Toc194251467</vt:lpwstr>
      </vt:variant>
      <vt:variant>
        <vt:i4>1769524</vt:i4>
      </vt:variant>
      <vt:variant>
        <vt:i4>581</vt:i4>
      </vt:variant>
      <vt:variant>
        <vt:i4>0</vt:i4>
      </vt:variant>
      <vt:variant>
        <vt:i4>5</vt:i4>
      </vt:variant>
      <vt:variant>
        <vt:lpwstr/>
      </vt:variant>
      <vt:variant>
        <vt:lpwstr>_Toc194251466</vt:lpwstr>
      </vt:variant>
      <vt:variant>
        <vt:i4>1769524</vt:i4>
      </vt:variant>
      <vt:variant>
        <vt:i4>575</vt:i4>
      </vt:variant>
      <vt:variant>
        <vt:i4>0</vt:i4>
      </vt:variant>
      <vt:variant>
        <vt:i4>5</vt:i4>
      </vt:variant>
      <vt:variant>
        <vt:lpwstr/>
      </vt:variant>
      <vt:variant>
        <vt:lpwstr>_Toc194251465</vt:lpwstr>
      </vt:variant>
      <vt:variant>
        <vt:i4>1769524</vt:i4>
      </vt:variant>
      <vt:variant>
        <vt:i4>569</vt:i4>
      </vt:variant>
      <vt:variant>
        <vt:i4>0</vt:i4>
      </vt:variant>
      <vt:variant>
        <vt:i4>5</vt:i4>
      </vt:variant>
      <vt:variant>
        <vt:lpwstr/>
      </vt:variant>
      <vt:variant>
        <vt:lpwstr>_Toc194251464</vt:lpwstr>
      </vt:variant>
      <vt:variant>
        <vt:i4>1769524</vt:i4>
      </vt:variant>
      <vt:variant>
        <vt:i4>563</vt:i4>
      </vt:variant>
      <vt:variant>
        <vt:i4>0</vt:i4>
      </vt:variant>
      <vt:variant>
        <vt:i4>5</vt:i4>
      </vt:variant>
      <vt:variant>
        <vt:lpwstr/>
      </vt:variant>
      <vt:variant>
        <vt:lpwstr>_Toc194251463</vt:lpwstr>
      </vt:variant>
      <vt:variant>
        <vt:i4>1769524</vt:i4>
      </vt:variant>
      <vt:variant>
        <vt:i4>557</vt:i4>
      </vt:variant>
      <vt:variant>
        <vt:i4>0</vt:i4>
      </vt:variant>
      <vt:variant>
        <vt:i4>5</vt:i4>
      </vt:variant>
      <vt:variant>
        <vt:lpwstr/>
      </vt:variant>
      <vt:variant>
        <vt:lpwstr>_Toc194251462</vt:lpwstr>
      </vt:variant>
      <vt:variant>
        <vt:i4>1769524</vt:i4>
      </vt:variant>
      <vt:variant>
        <vt:i4>551</vt:i4>
      </vt:variant>
      <vt:variant>
        <vt:i4>0</vt:i4>
      </vt:variant>
      <vt:variant>
        <vt:i4>5</vt:i4>
      </vt:variant>
      <vt:variant>
        <vt:lpwstr/>
      </vt:variant>
      <vt:variant>
        <vt:lpwstr>_Toc194251461</vt:lpwstr>
      </vt:variant>
      <vt:variant>
        <vt:i4>1769524</vt:i4>
      </vt:variant>
      <vt:variant>
        <vt:i4>545</vt:i4>
      </vt:variant>
      <vt:variant>
        <vt:i4>0</vt:i4>
      </vt:variant>
      <vt:variant>
        <vt:i4>5</vt:i4>
      </vt:variant>
      <vt:variant>
        <vt:lpwstr/>
      </vt:variant>
      <vt:variant>
        <vt:lpwstr>_Toc194251460</vt:lpwstr>
      </vt:variant>
      <vt:variant>
        <vt:i4>1572916</vt:i4>
      </vt:variant>
      <vt:variant>
        <vt:i4>539</vt:i4>
      </vt:variant>
      <vt:variant>
        <vt:i4>0</vt:i4>
      </vt:variant>
      <vt:variant>
        <vt:i4>5</vt:i4>
      </vt:variant>
      <vt:variant>
        <vt:lpwstr/>
      </vt:variant>
      <vt:variant>
        <vt:lpwstr>_Toc194251459</vt:lpwstr>
      </vt:variant>
      <vt:variant>
        <vt:i4>1572916</vt:i4>
      </vt:variant>
      <vt:variant>
        <vt:i4>533</vt:i4>
      </vt:variant>
      <vt:variant>
        <vt:i4>0</vt:i4>
      </vt:variant>
      <vt:variant>
        <vt:i4>5</vt:i4>
      </vt:variant>
      <vt:variant>
        <vt:lpwstr/>
      </vt:variant>
      <vt:variant>
        <vt:lpwstr>_Toc194251458</vt:lpwstr>
      </vt:variant>
      <vt:variant>
        <vt:i4>1572916</vt:i4>
      </vt:variant>
      <vt:variant>
        <vt:i4>527</vt:i4>
      </vt:variant>
      <vt:variant>
        <vt:i4>0</vt:i4>
      </vt:variant>
      <vt:variant>
        <vt:i4>5</vt:i4>
      </vt:variant>
      <vt:variant>
        <vt:lpwstr/>
      </vt:variant>
      <vt:variant>
        <vt:lpwstr>_Toc194251457</vt:lpwstr>
      </vt:variant>
      <vt:variant>
        <vt:i4>1572916</vt:i4>
      </vt:variant>
      <vt:variant>
        <vt:i4>521</vt:i4>
      </vt:variant>
      <vt:variant>
        <vt:i4>0</vt:i4>
      </vt:variant>
      <vt:variant>
        <vt:i4>5</vt:i4>
      </vt:variant>
      <vt:variant>
        <vt:lpwstr/>
      </vt:variant>
      <vt:variant>
        <vt:lpwstr>_Toc194251456</vt:lpwstr>
      </vt:variant>
      <vt:variant>
        <vt:i4>1572916</vt:i4>
      </vt:variant>
      <vt:variant>
        <vt:i4>515</vt:i4>
      </vt:variant>
      <vt:variant>
        <vt:i4>0</vt:i4>
      </vt:variant>
      <vt:variant>
        <vt:i4>5</vt:i4>
      </vt:variant>
      <vt:variant>
        <vt:lpwstr/>
      </vt:variant>
      <vt:variant>
        <vt:lpwstr>_Toc194251455</vt:lpwstr>
      </vt:variant>
      <vt:variant>
        <vt:i4>1572916</vt:i4>
      </vt:variant>
      <vt:variant>
        <vt:i4>509</vt:i4>
      </vt:variant>
      <vt:variant>
        <vt:i4>0</vt:i4>
      </vt:variant>
      <vt:variant>
        <vt:i4>5</vt:i4>
      </vt:variant>
      <vt:variant>
        <vt:lpwstr/>
      </vt:variant>
      <vt:variant>
        <vt:lpwstr>_Toc194251454</vt:lpwstr>
      </vt:variant>
      <vt:variant>
        <vt:i4>1572916</vt:i4>
      </vt:variant>
      <vt:variant>
        <vt:i4>503</vt:i4>
      </vt:variant>
      <vt:variant>
        <vt:i4>0</vt:i4>
      </vt:variant>
      <vt:variant>
        <vt:i4>5</vt:i4>
      </vt:variant>
      <vt:variant>
        <vt:lpwstr/>
      </vt:variant>
      <vt:variant>
        <vt:lpwstr>_Toc194251453</vt:lpwstr>
      </vt:variant>
      <vt:variant>
        <vt:i4>1572916</vt:i4>
      </vt:variant>
      <vt:variant>
        <vt:i4>497</vt:i4>
      </vt:variant>
      <vt:variant>
        <vt:i4>0</vt:i4>
      </vt:variant>
      <vt:variant>
        <vt:i4>5</vt:i4>
      </vt:variant>
      <vt:variant>
        <vt:lpwstr/>
      </vt:variant>
      <vt:variant>
        <vt:lpwstr>_Toc194251452</vt:lpwstr>
      </vt:variant>
      <vt:variant>
        <vt:i4>1572916</vt:i4>
      </vt:variant>
      <vt:variant>
        <vt:i4>491</vt:i4>
      </vt:variant>
      <vt:variant>
        <vt:i4>0</vt:i4>
      </vt:variant>
      <vt:variant>
        <vt:i4>5</vt:i4>
      </vt:variant>
      <vt:variant>
        <vt:lpwstr/>
      </vt:variant>
      <vt:variant>
        <vt:lpwstr>_Toc194251451</vt:lpwstr>
      </vt:variant>
      <vt:variant>
        <vt:i4>1572916</vt:i4>
      </vt:variant>
      <vt:variant>
        <vt:i4>485</vt:i4>
      </vt:variant>
      <vt:variant>
        <vt:i4>0</vt:i4>
      </vt:variant>
      <vt:variant>
        <vt:i4>5</vt:i4>
      </vt:variant>
      <vt:variant>
        <vt:lpwstr/>
      </vt:variant>
      <vt:variant>
        <vt:lpwstr>_Toc194251450</vt:lpwstr>
      </vt:variant>
      <vt:variant>
        <vt:i4>1638452</vt:i4>
      </vt:variant>
      <vt:variant>
        <vt:i4>479</vt:i4>
      </vt:variant>
      <vt:variant>
        <vt:i4>0</vt:i4>
      </vt:variant>
      <vt:variant>
        <vt:i4>5</vt:i4>
      </vt:variant>
      <vt:variant>
        <vt:lpwstr/>
      </vt:variant>
      <vt:variant>
        <vt:lpwstr>_Toc194251449</vt:lpwstr>
      </vt:variant>
      <vt:variant>
        <vt:i4>1638452</vt:i4>
      </vt:variant>
      <vt:variant>
        <vt:i4>473</vt:i4>
      </vt:variant>
      <vt:variant>
        <vt:i4>0</vt:i4>
      </vt:variant>
      <vt:variant>
        <vt:i4>5</vt:i4>
      </vt:variant>
      <vt:variant>
        <vt:lpwstr/>
      </vt:variant>
      <vt:variant>
        <vt:lpwstr>_Toc194251448</vt:lpwstr>
      </vt:variant>
      <vt:variant>
        <vt:i4>1638452</vt:i4>
      </vt:variant>
      <vt:variant>
        <vt:i4>467</vt:i4>
      </vt:variant>
      <vt:variant>
        <vt:i4>0</vt:i4>
      </vt:variant>
      <vt:variant>
        <vt:i4>5</vt:i4>
      </vt:variant>
      <vt:variant>
        <vt:lpwstr/>
      </vt:variant>
      <vt:variant>
        <vt:lpwstr>_Toc194251447</vt:lpwstr>
      </vt:variant>
      <vt:variant>
        <vt:i4>1638452</vt:i4>
      </vt:variant>
      <vt:variant>
        <vt:i4>461</vt:i4>
      </vt:variant>
      <vt:variant>
        <vt:i4>0</vt:i4>
      </vt:variant>
      <vt:variant>
        <vt:i4>5</vt:i4>
      </vt:variant>
      <vt:variant>
        <vt:lpwstr/>
      </vt:variant>
      <vt:variant>
        <vt:lpwstr>_Toc194251446</vt:lpwstr>
      </vt:variant>
      <vt:variant>
        <vt:i4>1638452</vt:i4>
      </vt:variant>
      <vt:variant>
        <vt:i4>455</vt:i4>
      </vt:variant>
      <vt:variant>
        <vt:i4>0</vt:i4>
      </vt:variant>
      <vt:variant>
        <vt:i4>5</vt:i4>
      </vt:variant>
      <vt:variant>
        <vt:lpwstr/>
      </vt:variant>
      <vt:variant>
        <vt:lpwstr>_Toc194251445</vt:lpwstr>
      </vt:variant>
      <vt:variant>
        <vt:i4>1638452</vt:i4>
      </vt:variant>
      <vt:variant>
        <vt:i4>449</vt:i4>
      </vt:variant>
      <vt:variant>
        <vt:i4>0</vt:i4>
      </vt:variant>
      <vt:variant>
        <vt:i4>5</vt:i4>
      </vt:variant>
      <vt:variant>
        <vt:lpwstr/>
      </vt:variant>
      <vt:variant>
        <vt:lpwstr>_Toc194251444</vt:lpwstr>
      </vt:variant>
      <vt:variant>
        <vt:i4>1638452</vt:i4>
      </vt:variant>
      <vt:variant>
        <vt:i4>443</vt:i4>
      </vt:variant>
      <vt:variant>
        <vt:i4>0</vt:i4>
      </vt:variant>
      <vt:variant>
        <vt:i4>5</vt:i4>
      </vt:variant>
      <vt:variant>
        <vt:lpwstr/>
      </vt:variant>
      <vt:variant>
        <vt:lpwstr>_Toc194251443</vt:lpwstr>
      </vt:variant>
      <vt:variant>
        <vt:i4>1638452</vt:i4>
      </vt:variant>
      <vt:variant>
        <vt:i4>437</vt:i4>
      </vt:variant>
      <vt:variant>
        <vt:i4>0</vt:i4>
      </vt:variant>
      <vt:variant>
        <vt:i4>5</vt:i4>
      </vt:variant>
      <vt:variant>
        <vt:lpwstr/>
      </vt:variant>
      <vt:variant>
        <vt:lpwstr>_Toc194251442</vt:lpwstr>
      </vt:variant>
      <vt:variant>
        <vt:i4>1638452</vt:i4>
      </vt:variant>
      <vt:variant>
        <vt:i4>431</vt:i4>
      </vt:variant>
      <vt:variant>
        <vt:i4>0</vt:i4>
      </vt:variant>
      <vt:variant>
        <vt:i4>5</vt:i4>
      </vt:variant>
      <vt:variant>
        <vt:lpwstr/>
      </vt:variant>
      <vt:variant>
        <vt:lpwstr>_Toc194251441</vt:lpwstr>
      </vt:variant>
      <vt:variant>
        <vt:i4>1638452</vt:i4>
      </vt:variant>
      <vt:variant>
        <vt:i4>425</vt:i4>
      </vt:variant>
      <vt:variant>
        <vt:i4>0</vt:i4>
      </vt:variant>
      <vt:variant>
        <vt:i4>5</vt:i4>
      </vt:variant>
      <vt:variant>
        <vt:lpwstr/>
      </vt:variant>
      <vt:variant>
        <vt:lpwstr>_Toc194251440</vt:lpwstr>
      </vt:variant>
      <vt:variant>
        <vt:i4>1966132</vt:i4>
      </vt:variant>
      <vt:variant>
        <vt:i4>419</vt:i4>
      </vt:variant>
      <vt:variant>
        <vt:i4>0</vt:i4>
      </vt:variant>
      <vt:variant>
        <vt:i4>5</vt:i4>
      </vt:variant>
      <vt:variant>
        <vt:lpwstr/>
      </vt:variant>
      <vt:variant>
        <vt:lpwstr>_Toc194251439</vt:lpwstr>
      </vt:variant>
      <vt:variant>
        <vt:i4>1966132</vt:i4>
      </vt:variant>
      <vt:variant>
        <vt:i4>413</vt:i4>
      </vt:variant>
      <vt:variant>
        <vt:i4>0</vt:i4>
      </vt:variant>
      <vt:variant>
        <vt:i4>5</vt:i4>
      </vt:variant>
      <vt:variant>
        <vt:lpwstr/>
      </vt:variant>
      <vt:variant>
        <vt:lpwstr>_Toc194251438</vt:lpwstr>
      </vt:variant>
      <vt:variant>
        <vt:i4>1966132</vt:i4>
      </vt:variant>
      <vt:variant>
        <vt:i4>407</vt:i4>
      </vt:variant>
      <vt:variant>
        <vt:i4>0</vt:i4>
      </vt:variant>
      <vt:variant>
        <vt:i4>5</vt:i4>
      </vt:variant>
      <vt:variant>
        <vt:lpwstr/>
      </vt:variant>
      <vt:variant>
        <vt:lpwstr>_Toc194251437</vt:lpwstr>
      </vt:variant>
      <vt:variant>
        <vt:i4>1966132</vt:i4>
      </vt:variant>
      <vt:variant>
        <vt:i4>401</vt:i4>
      </vt:variant>
      <vt:variant>
        <vt:i4>0</vt:i4>
      </vt:variant>
      <vt:variant>
        <vt:i4>5</vt:i4>
      </vt:variant>
      <vt:variant>
        <vt:lpwstr/>
      </vt:variant>
      <vt:variant>
        <vt:lpwstr>_Toc194251436</vt:lpwstr>
      </vt:variant>
      <vt:variant>
        <vt:i4>1966132</vt:i4>
      </vt:variant>
      <vt:variant>
        <vt:i4>395</vt:i4>
      </vt:variant>
      <vt:variant>
        <vt:i4>0</vt:i4>
      </vt:variant>
      <vt:variant>
        <vt:i4>5</vt:i4>
      </vt:variant>
      <vt:variant>
        <vt:lpwstr/>
      </vt:variant>
      <vt:variant>
        <vt:lpwstr>_Toc194251435</vt:lpwstr>
      </vt:variant>
      <vt:variant>
        <vt:i4>1966132</vt:i4>
      </vt:variant>
      <vt:variant>
        <vt:i4>389</vt:i4>
      </vt:variant>
      <vt:variant>
        <vt:i4>0</vt:i4>
      </vt:variant>
      <vt:variant>
        <vt:i4>5</vt:i4>
      </vt:variant>
      <vt:variant>
        <vt:lpwstr/>
      </vt:variant>
      <vt:variant>
        <vt:lpwstr>_Toc194251434</vt:lpwstr>
      </vt:variant>
      <vt:variant>
        <vt:i4>1966132</vt:i4>
      </vt:variant>
      <vt:variant>
        <vt:i4>383</vt:i4>
      </vt:variant>
      <vt:variant>
        <vt:i4>0</vt:i4>
      </vt:variant>
      <vt:variant>
        <vt:i4>5</vt:i4>
      </vt:variant>
      <vt:variant>
        <vt:lpwstr/>
      </vt:variant>
      <vt:variant>
        <vt:lpwstr>_Toc194251433</vt:lpwstr>
      </vt:variant>
      <vt:variant>
        <vt:i4>1966132</vt:i4>
      </vt:variant>
      <vt:variant>
        <vt:i4>377</vt:i4>
      </vt:variant>
      <vt:variant>
        <vt:i4>0</vt:i4>
      </vt:variant>
      <vt:variant>
        <vt:i4>5</vt:i4>
      </vt:variant>
      <vt:variant>
        <vt:lpwstr/>
      </vt:variant>
      <vt:variant>
        <vt:lpwstr>_Toc194251432</vt:lpwstr>
      </vt:variant>
      <vt:variant>
        <vt:i4>1966132</vt:i4>
      </vt:variant>
      <vt:variant>
        <vt:i4>371</vt:i4>
      </vt:variant>
      <vt:variant>
        <vt:i4>0</vt:i4>
      </vt:variant>
      <vt:variant>
        <vt:i4>5</vt:i4>
      </vt:variant>
      <vt:variant>
        <vt:lpwstr/>
      </vt:variant>
      <vt:variant>
        <vt:lpwstr>_Toc194251431</vt:lpwstr>
      </vt:variant>
      <vt:variant>
        <vt:i4>1966132</vt:i4>
      </vt:variant>
      <vt:variant>
        <vt:i4>365</vt:i4>
      </vt:variant>
      <vt:variant>
        <vt:i4>0</vt:i4>
      </vt:variant>
      <vt:variant>
        <vt:i4>5</vt:i4>
      </vt:variant>
      <vt:variant>
        <vt:lpwstr/>
      </vt:variant>
      <vt:variant>
        <vt:lpwstr>_Toc194251430</vt:lpwstr>
      </vt:variant>
      <vt:variant>
        <vt:i4>2031668</vt:i4>
      </vt:variant>
      <vt:variant>
        <vt:i4>359</vt:i4>
      </vt:variant>
      <vt:variant>
        <vt:i4>0</vt:i4>
      </vt:variant>
      <vt:variant>
        <vt:i4>5</vt:i4>
      </vt:variant>
      <vt:variant>
        <vt:lpwstr/>
      </vt:variant>
      <vt:variant>
        <vt:lpwstr>_Toc194251429</vt:lpwstr>
      </vt:variant>
      <vt:variant>
        <vt:i4>2031668</vt:i4>
      </vt:variant>
      <vt:variant>
        <vt:i4>353</vt:i4>
      </vt:variant>
      <vt:variant>
        <vt:i4>0</vt:i4>
      </vt:variant>
      <vt:variant>
        <vt:i4>5</vt:i4>
      </vt:variant>
      <vt:variant>
        <vt:lpwstr/>
      </vt:variant>
      <vt:variant>
        <vt:lpwstr>_Toc194251428</vt:lpwstr>
      </vt:variant>
      <vt:variant>
        <vt:i4>2031668</vt:i4>
      </vt:variant>
      <vt:variant>
        <vt:i4>347</vt:i4>
      </vt:variant>
      <vt:variant>
        <vt:i4>0</vt:i4>
      </vt:variant>
      <vt:variant>
        <vt:i4>5</vt:i4>
      </vt:variant>
      <vt:variant>
        <vt:lpwstr/>
      </vt:variant>
      <vt:variant>
        <vt:lpwstr>_Toc194251427</vt:lpwstr>
      </vt:variant>
      <vt:variant>
        <vt:i4>2031668</vt:i4>
      </vt:variant>
      <vt:variant>
        <vt:i4>341</vt:i4>
      </vt:variant>
      <vt:variant>
        <vt:i4>0</vt:i4>
      </vt:variant>
      <vt:variant>
        <vt:i4>5</vt:i4>
      </vt:variant>
      <vt:variant>
        <vt:lpwstr/>
      </vt:variant>
      <vt:variant>
        <vt:lpwstr>_Toc194251426</vt:lpwstr>
      </vt:variant>
      <vt:variant>
        <vt:i4>2031668</vt:i4>
      </vt:variant>
      <vt:variant>
        <vt:i4>335</vt:i4>
      </vt:variant>
      <vt:variant>
        <vt:i4>0</vt:i4>
      </vt:variant>
      <vt:variant>
        <vt:i4>5</vt:i4>
      </vt:variant>
      <vt:variant>
        <vt:lpwstr/>
      </vt:variant>
      <vt:variant>
        <vt:lpwstr>_Toc194251425</vt:lpwstr>
      </vt:variant>
      <vt:variant>
        <vt:i4>1769520</vt:i4>
      </vt:variant>
      <vt:variant>
        <vt:i4>326</vt:i4>
      </vt:variant>
      <vt:variant>
        <vt:i4>0</vt:i4>
      </vt:variant>
      <vt:variant>
        <vt:i4>5</vt:i4>
      </vt:variant>
      <vt:variant>
        <vt:lpwstr/>
      </vt:variant>
      <vt:variant>
        <vt:lpwstr>_Toc194311478</vt:lpwstr>
      </vt:variant>
      <vt:variant>
        <vt:i4>1769520</vt:i4>
      </vt:variant>
      <vt:variant>
        <vt:i4>320</vt:i4>
      </vt:variant>
      <vt:variant>
        <vt:i4>0</vt:i4>
      </vt:variant>
      <vt:variant>
        <vt:i4>5</vt:i4>
      </vt:variant>
      <vt:variant>
        <vt:lpwstr/>
      </vt:variant>
      <vt:variant>
        <vt:lpwstr>_Toc194311473</vt:lpwstr>
      </vt:variant>
      <vt:variant>
        <vt:i4>1769520</vt:i4>
      </vt:variant>
      <vt:variant>
        <vt:i4>314</vt:i4>
      </vt:variant>
      <vt:variant>
        <vt:i4>0</vt:i4>
      </vt:variant>
      <vt:variant>
        <vt:i4>5</vt:i4>
      </vt:variant>
      <vt:variant>
        <vt:lpwstr/>
      </vt:variant>
      <vt:variant>
        <vt:lpwstr>_Toc194311470</vt:lpwstr>
      </vt:variant>
      <vt:variant>
        <vt:i4>1703984</vt:i4>
      </vt:variant>
      <vt:variant>
        <vt:i4>308</vt:i4>
      </vt:variant>
      <vt:variant>
        <vt:i4>0</vt:i4>
      </vt:variant>
      <vt:variant>
        <vt:i4>5</vt:i4>
      </vt:variant>
      <vt:variant>
        <vt:lpwstr/>
      </vt:variant>
      <vt:variant>
        <vt:lpwstr>_Toc194311468</vt:lpwstr>
      </vt:variant>
      <vt:variant>
        <vt:i4>1703984</vt:i4>
      </vt:variant>
      <vt:variant>
        <vt:i4>302</vt:i4>
      </vt:variant>
      <vt:variant>
        <vt:i4>0</vt:i4>
      </vt:variant>
      <vt:variant>
        <vt:i4>5</vt:i4>
      </vt:variant>
      <vt:variant>
        <vt:lpwstr/>
      </vt:variant>
      <vt:variant>
        <vt:lpwstr>_Toc194311467</vt:lpwstr>
      </vt:variant>
      <vt:variant>
        <vt:i4>1703984</vt:i4>
      </vt:variant>
      <vt:variant>
        <vt:i4>296</vt:i4>
      </vt:variant>
      <vt:variant>
        <vt:i4>0</vt:i4>
      </vt:variant>
      <vt:variant>
        <vt:i4>5</vt:i4>
      </vt:variant>
      <vt:variant>
        <vt:lpwstr/>
      </vt:variant>
      <vt:variant>
        <vt:lpwstr>_Toc194311466</vt:lpwstr>
      </vt:variant>
      <vt:variant>
        <vt:i4>1638448</vt:i4>
      </vt:variant>
      <vt:variant>
        <vt:i4>290</vt:i4>
      </vt:variant>
      <vt:variant>
        <vt:i4>0</vt:i4>
      </vt:variant>
      <vt:variant>
        <vt:i4>5</vt:i4>
      </vt:variant>
      <vt:variant>
        <vt:lpwstr/>
      </vt:variant>
      <vt:variant>
        <vt:lpwstr>_Toc194311459</vt:lpwstr>
      </vt:variant>
      <vt:variant>
        <vt:i4>1638448</vt:i4>
      </vt:variant>
      <vt:variant>
        <vt:i4>284</vt:i4>
      </vt:variant>
      <vt:variant>
        <vt:i4>0</vt:i4>
      </vt:variant>
      <vt:variant>
        <vt:i4>5</vt:i4>
      </vt:variant>
      <vt:variant>
        <vt:lpwstr/>
      </vt:variant>
      <vt:variant>
        <vt:lpwstr>_Toc194311453</vt:lpwstr>
      </vt:variant>
      <vt:variant>
        <vt:i4>1638448</vt:i4>
      </vt:variant>
      <vt:variant>
        <vt:i4>278</vt:i4>
      </vt:variant>
      <vt:variant>
        <vt:i4>0</vt:i4>
      </vt:variant>
      <vt:variant>
        <vt:i4>5</vt:i4>
      </vt:variant>
      <vt:variant>
        <vt:lpwstr/>
      </vt:variant>
      <vt:variant>
        <vt:lpwstr>_Toc194311452</vt:lpwstr>
      </vt:variant>
      <vt:variant>
        <vt:i4>1572912</vt:i4>
      </vt:variant>
      <vt:variant>
        <vt:i4>272</vt:i4>
      </vt:variant>
      <vt:variant>
        <vt:i4>0</vt:i4>
      </vt:variant>
      <vt:variant>
        <vt:i4>5</vt:i4>
      </vt:variant>
      <vt:variant>
        <vt:lpwstr/>
      </vt:variant>
      <vt:variant>
        <vt:lpwstr>_Toc194311448</vt:lpwstr>
      </vt:variant>
      <vt:variant>
        <vt:i4>1572912</vt:i4>
      </vt:variant>
      <vt:variant>
        <vt:i4>266</vt:i4>
      </vt:variant>
      <vt:variant>
        <vt:i4>0</vt:i4>
      </vt:variant>
      <vt:variant>
        <vt:i4>5</vt:i4>
      </vt:variant>
      <vt:variant>
        <vt:lpwstr/>
      </vt:variant>
      <vt:variant>
        <vt:lpwstr>_Toc194311447</vt:lpwstr>
      </vt:variant>
      <vt:variant>
        <vt:i4>1572912</vt:i4>
      </vt:variant>
      <vt:variant>
        <vt:i4>260</vt:i4>
      </vt:variant>
      <vt:variant>
        <vt:i4>0</vt:i4>
      </vt:variant>
      <vt:variant>
        <vt:i4>5</vt:i4>
      </vt:variant>
      <vt:variant>
        <vt:lpwstr/>
      </vt:variant>
      <vt:variant>
        <vt:lpwstr>_Toc194311446</vt:lpwstr>
      </vt:variant>
      <vt:variant>
        <vt:i4>1572912</vt:i4>
      </vt:variant>
      <vt:variant>
        <vt:i4>254</vt:i4>
      </vt:variant>
      <vt:variant>
        <vt:i4>0</vt:i4>
      </vt:variant>
      <vt:variant>
        <vt:i4>5</vt:i4>
      </vt:variant>
      <vt:variant>
        <vt:lpwstr/>
      </vt:variant>
      <vt:variant>
        <vt:lpwstr>_Toc194311445</vt:lpwstr>
      </vt:variant>
      <vt:variant>
        <vt:i4>1572912</vt:i4>
      </vt:variant>
      <vt:variant>
        <vt:i4>248</vt:i4>
      </vt:variant>
      <vt:variant>
        <vt:i4>0</vt:i4>
      </vt:variant>
      <vt:variant>
        <vt:i4>5</vt:i4>
      </vt:variant>
      <vt:variant>
        <vt:lpwstr/>
      </vt:variant>
      <vt:variant>
        <vt:lpwstr>_Toc194311444</vt:lpwstr>
      </vt:variant>
      <vt:variant>
        <vt:i4>1572912</vt:i4>
      </vt:variant>
      <vt:variant>
        <vt:i4>242</vt:i4>
      </vt:variant>
      <vt:variant>
        <vt:i4>0</vt:i4>
      </vt:variant>
      <vt:variant>
        <vt:i4>5</vt:i4>
      </vt:variant>
      <vt:variant>
        <vt:lpwstr/>
      </vt:variant>
      <vt:variant>
        <vt:lpwstr>_Toc194311443</vt:lpwstr>
      </vt:variant>
      <vt:variant>
        <vt:i4>1572912</vt:i4>
      </vt:variant>
      <vt:variant>
        <vt:i4>236</vt:i4>
      </vt:variant>
      <vt:variant>
        <vt:i4>0</vt:i4>
      </vt:variant>
      <vt:variant>
        <vt:i4>5</vt:i4>
      </vt:variant>
      <vt:variant>
        <vt:lpwstr/>
      </vt:variant>
      <vt:variant>
        <vt:lpwstr>_Toc194311442</vt:lpwstr>
      </vt:variant>
      <vt:variant>
        <vt:i4>1572912</vt:i4>
      </vt:variant>
      <vt:variant>
        <vt:i4>230</vt:i4>
      </vt:variant>
      <vt:variant>
        <vt:i4>0</vt:i4>
      </vt:variant>
      <vt:variant>
        <vt:i4>5</vt:i4>
      </vt:variant>
      <vt:variant>
        <vt:lpwstr/>
      </vt:variant>
      <vt:variant>
        <vt:lpwstr>_Toc194311441</vt:lpwstr>
      </vt:variant>
      <vt:variant>
        <vt:i4>1572912</vt:i4>
      </vt:variant>
      <vt:variant>
        <vt:i4>224</vt:i4>
      </vt:variant>
      <vt:variant>
        <vt:i4>0</vt:i4>
      </vt:variant>
      <vt:variant>
        <vt:i4>5</vt:i4>
      </vt:variant>
      <vt:variant>
        <vt:lpwstr/>
      </vt:variant>
      <vt:variant>
        <vt:lpwstr>_Toc194311440</vt:lpwstr>
      </vt:variant>
      <vt:variant>
        <vt:i4>2031664</vt:i4>
      </vt:variant>
      <vt:variant>
        <vt:i4>218</vt:i4>
      </vt:variant>
      <vt:variant>
        <vt:i4>0</vt:i4>
      </vt:variant>
      <vt:variant>
        <vt:i4>5</vt:i4>
      </vt:variant>
      <vt:variant>
        <vt:lpwstr/>
      </vt:variant>
      <vt:variant>
        <vt:lpwstr>_Toc194311439</vt:lpwstr>
      </vt:variant>
      <vt:variant>
        <vt:i4>2031664</vt:i4>
      </vt:variant>
      <vt:variant>
        <vt:i4>212</vt:i4>
      </vt:variant>
      <vt:variant>
        <vt:i4>0</vt:i4>
      </vt:variant>
      <vt:variant>
        <vt:i4>5</vt:i4>
      </vt:variant>
      <vt:variant>
        <vt:lpwstr/>
      </vt:variant>
      <vt:variant>
        <vt:lpwstr>_Toc194311438</vt:lpwstr>
      </vt:variant>
      <vt:variant>
        <vt:i4>2031664</vt:i4>
      </vt:variant>
      <vt:variant>
        <vt:i4>206</vt:i4>
      </vt:variant>
      <vt:variant>
        <vt:i4>0</vt:i4>
      </vt:variant>
      <vt:variant>
        <vt:i4>5</vt:i4>
      </vt:variant>
      <vt:variant>
        <vt:lpwstr/>
      </vt:variant>
      <vt:variant>
        <vt:lpwstr>_Toc194311437</vt:lpwstr>
      </vt:variant>
      <vt:variant>
        <vt:i4>2031664</vt:i4>
      </vt:variant>
      <vt:variant>
        <vt:i4>200</vt:i4>
      </vt:variant>
      <vt:variant>
        <vt:i4>0</vt:i4>
      </vt:variant>
      <vt:variant>
        <vt:i4>5</vt:i4>
      </vt:variant>
      <vt:variant>
        <vt:lpwstr/>
      </vt:variant>
      <vt:variant>
        <vt:lpwstr>_Toc194311436</vt:lpwstr>
      </vt:variant>
      <vt:variant>
        <vt:i4>2031664</vt:i4>
      </vt:variant>
      <vt:variant>
        <vt:i4>194</vt:i4>
      </vt:variant>
      <vt:variant>
        <vt:i4>0</vt:i4>
      </vt:variant>
      <vt:variant>
        <vt:i4>5</vt:i4>
      </vt:variant>
      <vt:variant>
        <vt:lpwstr/>
      </vt:variant>
      <vt:variant>
        <vt:lpwstr>_Toc194311435</vt:lpwstr>
      </vt:variant>
      <vt:variant>
        <vt:i4>2031664</vt:i4>
      </vt:variant>
      <vt:variant>
        <vt:i4>188</vt:i4>
      </vt:variant>
      <vt:variant>
        <vt:i4>0</vt:i4>
      </vt:variant>
      <vt:variant>
        <vt:i4>5</vt:i4>
      </vt:variant>
      <vt:variant>
        <vt:lpwstr/>
      </vt:variant>
      <vt:variant>
        <vt:lpwstr>_Toc194311434</vt:lpwstr>
      </vt:variant>
      <vt:variant>
        <vt:i4>2031664</vt:i4>
      </vt:variant>
      <vt:variant>
        <vt:i4>182</vt:i4>
      </vt:variant>
      <vt:variant>
        <vt:i4>0</vt:i4>
      </vt:variant>
      <vt:variant>
        <vt:i4>5</vt:i4>
      </vt:variant>
      <vt:variant>
        <vt:lpwstr/>
      </vt:variant>
      <vt:variant>
        <vt:lpwstr>_Toc194311433</vt:lpwstr>
      </vt:variant>
      <vt:variant>
        <vt:i4>2031664</vt:i4>
      </vt:variant>
      <vt:variant>
        <vt:i4>176</vt:i4>
      </vt:variant>
      <vt:variant>
        <vt:i4>0</vt:i4>
      </vt:variant>
      <vt:variant>
        <vt:i4>5</vt:i4>
      </vt:variant>
      <vt:variant>
        <vt:lpwstr/>
      </vt:variant>
      <vt:variant>
        <vt:lpwstr>_Toc194311432</vt:lpwstr>
      </vt:variant>
      <vt:variant>
        <vt:i4>2031664</vt:i4>
      </vt:variant>
      <vt:variant>
        <vt:i4>170</vt:i4>
      </vt:variant>
      <vt:variant>
        <vt:i4>0</vt:i4>
      </vt:variant>
      <vt:variant>
        <vt:i4>5</vt:i4>
      </vt:variant>
      <vt:variant>
        <vt:lpwstr/>
      </vt:variant>
      <vt:variant>
        <vt:lpwstr>_Toc194311431</vt:lpwstr>
      </vt:variant>
      <vt:variant>
        <vt:i4>2031664</vt:i4>
      </vt:variant>
      <vt:variant>
        <vt:i4>164</vt:i4>
      </vt:variant>
      <vt:variant>
        <vt:i4>0</vt:i4>
      </vt:variant>
      <vt:variant>
        <vt:i4>5</vt:i4>
      </vt:variant>
      <vt:variant>
        <vt:lpwstr/>
      </vt:variant>
      <vt:variant>
        <vt:lpwstr>_Toc194311430</vt:lpwstr>
      </vt:variant>
      <vt:variant>
        <vt:i4>1966128</vt:i4>
      </vt:variant>
      <vt:variant>
        <vt:i4>158</vt:i4>
      </vt:variant>
      <vt:variant>
        <vt:i4>0</vt:i4>
      </vt:variant>
      <vt:variant>
        <vt:i4>5</vt:i4>
      </vt:variant>
      <vt:variant>
        <vt:lpwstr/>
      </vt:variant>
      <vt:variant>
        <vt:lpwstr>_Toc194311429</vt:lpwstr>
      </vt:variant>
      <vt:variant>
        <vt:i4>1966128</vt:i4>
      </vt:variant>
      <vt:variant>
        <vt:i4>152</vt:i4>
      </vt:variant>
      <vt:variant>
        <vt:i4>0</vt:i4>
      </vt:variant>
      <vt:variant>
        <vt:i4>5</vt:i4>
      </vt:variant>
      <vt:variant>
        <vt:lpwstr/>
      </vt:variant>
      <vt:variant>
        <vt:lpwstr>_Toc194311428</vt:lpwstr>
      </vt:variant>
      <vt:variant>
        <vt:i4>1966128</vt:i4>
      </vt:variant>
      <vt:variant>
        <vt:i4>146</vt:i4>
      </vt:variant>
      <vt:variant>
        <vt:i4>0</vt:i4>
      </vt:variant>
      <vt:variant>
        <vt:i4>5</vt:i4>
      </vt:variant>
      <vt:variant>
        <vt:lpwstr/>
      </vt:variant>
      <vt:variant>
        <vt:lpwstr>_Toc194311427</vt:lpwstr>
      </vt:variant>
      <vt:variant>
        <vt:i4>1966128</vt:i4>
      </vt:variant>
      <vt:variant>
        <vt:i4>140</vt:i4>
      </vt:variant>
      <vt:variant>
        <vt:i4>0</vt:i4>
      </vt:variant>
      <vt:variant>
        <vt:i4>5</vt:i4>
      </vt:variant>
      <vt:variant>
        <vt:lpwstr/>
      </vt:variant>
      <vt:variant>
        <vt:lpwstr>_Toc194311426</vt:lpwstr>
      </vt:variant>
      <vt:variant>
        <vt:i4>1966128</vt:i4>
      </vt:variant>
      <vt:variant>
        <vt:i4>134</vt:i4>
      </vt:variant>
      <vt:variant>
        <vt:i4>0</vt:i4>
      </vt:variant>
      <vt:variant>
        <vt:i4>5</vt:i4>
      </vt:variant>
      <vt:variant>
        <vt:lpwstr/>
      </vt:variant>
      <vt:variant>
        <vt:lpwstr>_Toc194311425</vt:lpwstr>
      </vt:variant>
      <vt:variant>
        <vt:i4>1966128</vt:i4>
      </vt:variant>
      <vt:variant>
        <vt:i4>128</vt:i4>
      </vt:variant>
      <vt:variant>
        <vt:i4>0</vt:i4>
      </vt:variant>
      <vt:variant>
        <vt:i4>5</vt:i4>
      </vt:variant>
      <vt:variant>
        <vt:lpwstr/>
      </vt:variant>
      <vt:variant>
        <vt:lpwstr>_Toc194311424</vt:lpwstr>
      </vt:variant>
      <vt:variant>
        <vt:i4>1966128</vt:i4>
      </vt:variant>
      <vt:variant>
        <vt:i4>122</vt:i4>
      </vt:variant>
      <vt:variant>
        <vt:i4>0</vt:i4>
      </vt:variant>
      <vt:variant>
        <vt:i4>5</vt:i4>
      </vt:variant>
      <vt:variant>
        <vt:lpwstr/>
      </vt:variant>
      <vt:variant>
        <vt:lpwstr>_Toc194311423</vt:lpwstr>
      </vt:variant>
      <vt:variant>
        <vt:i4>1966128</vt:i4>
      </vt:variant>
      <vt:variant>
        <vt:i4>116</vt:i4>
      </vt:variant>
      <vt:variant>
        <vt:i4>0</vt:i4>
      </vt:variant>
      <vt:variant>
        <vt:i4>5</vt:i4>
      </vt:variant>
      <vt:variant>
        <vt:lpwstr/>
      </vt:variant>
      <vt:variant>
        <vt:lpwstr>_Toc194311422</vt:lpwstr>
      </vt:variant>
      <vt:variant>
        <vt:i4>1966128</vt:i4>
      </vt:variant>
      <vt:variant>
        <vt:i4>110</vt:i4>
      </vt:variant>
      <vt:variant>
        <vt:i4>0</vt:i4>
      </vt:variant>
      <vt:variant>
        <vt:i4>5</vt:i4>
      </vt:variant>
      <vt:variant>
        <vt:lpwstr/>
      </vt:variant>
      <vt:variant>
        <vt:lpwstr>_Toc194311421</vt:lpwstr>
      </vt:variant>
      <vt:variant>
        <vt:i4>1966128</vt:i4>
      </vt:variant>
      <vt:variant>
        <vt:i4>104</vt:i4>
      </vt:variant>
      <vt:variant>
        <vt:i4>0</vt:i4>
      </vt:variant>
      <vt:variant>
        <vt:i4>5</vt:i4>
      </vt:variant>
      <vt:variant>
        <vt:lpwstr/>
      </vt:variant>
      <vt:variant>
        <vt:lpwstr>_Toc194311420</vt:lpwstr>
      </vt:variant>
      <vt:variant>
        <vt:i4>1900592</vt:i4>
      </vt:variant>
      <vt:variant>
        <vt:i4>98</vt:i4>
      </vt:variant>
      <vt:variant>
        <vt:i4>0</vt:i4>
      </vt:variant>
      <vt:variant>
        <vt:i4>5</vt:i4>
      </vt:variant>
      <vt:variant>
        <vt:lpwstr/>
      </vt:variant>
      <vt:variant>
        <vt:lpwstr>_Toc194311419</vt:lpwstr>
      </vt:variant>
      <vt:variant>
        <vt:i4>1900592</vt:i4>
      </vt:variant>
      <vt:variant>
        <vt:i4>92</vt:i4>
      </vt:variant>
      <vt:variant>
        <vt:i4>0</vt:i4>
      </vt:variant>
      <vt:variant>
        <vt:i4>5</vt:i4>
      </vt:variant>
      <vt:variant>
        <vt:lpwstr/>
      </vt:variant>
      <vt:variant>
        <vt:lpwstr>_Toc194311418</vt:lpwstr>
      </vt:variant>
      <vt:variant>
        <vt:i4>1900592</vt:i4>
      </vt:variant>
      <vt:variant>
        <vt:i4>86</vt:i4>
      </vt:variant>
      <vt:variant>
        <vt:i4>0</vt:i4>
      </vt:variant>
      <vt:variant>
        <vt:i4>5</vt:i4>
      </vt:variant>
      <vt:variant>
        <vt:lpwstr/>
      </vt:variant>
      <vt:variant>
        <vt:lpwstr>_Toc194311417</vt:lpwstr>
      </vt:variant>
      <vt:variant>
        <vt:i4>1900592</vt:i4>
      </vt:variant>
      <vt:variant>
        <vt:i4>80</vt:i4>
      </vt:variant>
      <vt:variant>
        <vt:i4>0</vt:i4>
      </vt:variant>
      <vt:variant>
        <vt:i4>5</vt:i4>
      </vt:variant>
      <vt:variant>
        <vt:lpwstr/>
      </vt:variant>
      <vt:variant>
        <vt:lpwstr>_Toc194311416</vt:lpwstr>
      </vt:variant>
      <vt:variant>
        <vt:i4>1900592</vt:i4>
      </vt:variant>
      <vt:variant>
        <vt:i4>74</vt:i4>
      </vt:variant>
      <vt:variant>
        <vt:i4>0</vt:i4>
      </vt:variant>
      <vt:variant>
        <vt:i4>5</vt:i4>
      </vt:variant>
      <vt:variant>
        <vt:lpwstr/>
      </vt:variant>
      <vt:variant>
        <vt:lpwstr>_Toc194311415</vt:lpwstr>
      </vt:variant>
      <vt:variant>
        <vt:i4>1900592</vt:i4>
      </vt:variant>
      <vt:variant>
        <vt:i4>68</vt:i4>
      </vt:variant>
      <vt:variant>
        <vt:i4>0</vt:i4>
      </vt:variant>
      <vt:variant>
        <vt:i4>5</vt:i4>
      </vt:variant>
      <vt:variant>
        <vt:lpwstr/>
      </vt:variant>
      <vt:variant>
        <vt:lpwstr>_Toc194311414</vt:lpwstr>
      </vt:variant>
      <vt:variant>
        <vt:i4>1900592</vt:i4>
      </vt:variant>
      <vt:variant>
        <vt:i4>62</vt:i4>
      </vt:variant>
      <vt:variant>
        <vt:i4>0</vt:i4>
      </vt:variant>
      <vt:variant>
        <vt:i4>5</vt:i4>
      </vt:variant>
      <vt:variant>
        <vt:lpwstr/>
      </vt:variant>
      <vt:variant>
        <vt:lpwstr>_Toc194311413</vt:lpwstr>
      </vt:variant>
      <vt:variant>
        <vt:i4>1900592</vt:i4>
      </vt:variant>
      <vt:variant>
        <vt:i4>56</vt:i4>
      </vt:variant>
      <vt:variant>
        <vt:i4>0</vt:i4>
      </vt:variant>
      <vt:variant>
        <vt:i4>5</vt:i4>
      </vt:variant>
      <vt:variant>
        <vt:lpwstr/>
      </vt:variant>
      <vt:variant>
        <vt:lpwstr>_Toc194311412</vt:lpwstr>
      </vt:variant>
      <vt:variant>
        <vt:i4>1900592</vt:i4>
      </vt:variant>
      <vt:variant>
        <vt:i4>50</vt:i4>
      </vt:variant>
      <vt:variant>
        <vt:i4>0</vt:i4>
      </vt:variant>
      <vt:variant>
        <vt:i4>5</vt:i4>
      </vt:variant>
      <vt:variant>
        <vt:lpwstr/>
      </vt:variant>
      <vt:variant>
        <vt:lpwstr>_Toc194311411</vt:lpwstr>
      </vt:variant>
      <vt:variant>
        <vt:i4>1900592</vt:i4>
      </vt:variant>
      <vt:variant>
        <vt:i4>44</vt:i4>
      </vt:variant>
      <vt:variant>
        <vt:i4>0</vt:i4>
      </vt:variant>
      <vt:variant>
        <vt:i4>5</vt:i4>
      </vt:variant>
      <vt:variant>
        <vt:lpwstr/>
      </vt:variant>
      <vt:variant>
        <vt:lpwstr>_Toc194311410</vt:lpwstr>
      </vt:variant>
      <vt:variant>
        <vt:i4>1835056</vt:i4>
      </vt:variant>
      <vt:variant>
        <vt:i4>38</vt:i4>
      </vt:variant>
      <vt:variant>
        <vt:i4>0</vt:i4>
      </vt:variant>
      <vt:variant>
        <vt:i4>5</vt:i4>
      </vt:variant>
      <vt:variant>
        <vt:lpwstr/>
      </vt:variant>
      <vt:variant>
        <vt:lpwstr>_Toc194311409</vt:lpwstr>
      </vt:variant>
      <vt:variant>
        <vt:i4>1835056</vt:i4>
      </vt:variant>
      <vt:variant>
        <vt:i4>32</vt:i4>
      </vt:variant>
      <vt:variant>
        <vt:i4>0</vt:i4>
      </vt:variant>
      <vt:variant>
        <vt:i4>5</vt:i4>
      </vt:variant>
      <vt:variant>
        <vt:lpwstr/>
      </vt:variant>
      <vt:variant>
        <vt:lpwstr>_Toc194311408</vt:lpwstr>
      </vt:variant>
      <vt:variant>
        <vt:i4>1835056</vt:i4>
      </vt:variant>
      <vt:variant>
        <vt:i4>26</vt:i4>
      </vt:variant>
      <vt:variant>
        <vt:i4>0</vt:i4>
      </vt:variant>
      <vt:variant>
        <vt:i4>5</vt:i4>
      </vt:variant>
      <vt:variant>
        <vt:lpwstr/>
      </vt:variant>
      <vt:variant>
        <vt:lpwstr>_Toc194311407</vt:lpwstr>
      </vt:variant>
      <vt:variant>
        <vt:i4>1835056</vt:i4>
      </vt:variant>
      <vt:variant>
        <vt:i4>20</vt:i4>
      </vt:variant>
      <vt:variant>
        <vt:i4>0</vt:i4>
      </vt:variant>
      <vt:variant>
        <vt:i4>5</vt:i4>
      </vt:variant>
      <vt:variant>
        <vt:lpwstr/>
      </vt:variant>
      <vt:variant>
        <vt:lpwstr>_Toc194311406</vt:lpwstr>
      </vt:variant>
      <vt:variant>
        <vt:i4>1835056</vt:i4>
      </vt:variant>
      <vt:variant>
        <vt:i4>14</vt:i4>
      </vt:variant>
      <vt:variant>
        <vt:i4>0</vt:i4>
      </vt:variant>
      <vt:variant>
        <vt:i4>5</vt:i4>
      </vt:variant>
      <vt:variant>
        <vt:lpwstr/>
      </vt:variant>
      <vt:variant>
        <vt:lpwstr>_Toc194311405</vt:lpwstr>
      </vt:variant>
      <vt:variant>
        <vt:i4>1835056</vt:i4>
      </vt:variant>
      <vt:variant>
        <vt:i4>8</vt:i4>
      </vt:variant>
      <vt:variant>
        <vt:i4>0</vt:i4>
      </vt:variant>
      <vt:variant>
        <vt:i4>5</vt:i4>
      </vt:variant>
      <vt:variant>
        <vt:lpwstr/>
      </vt:variant>
      <vt:variant>
        <vt:lpwstr>_Toc194311404</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ariant>
        <vt:i4>3604597</vt:i4>
      </vt:variant>
      <vt:variant>
        <vt:i4>18</vt:i4>
      </vt:variant>
      <vt:variant>
        <vt:i4>0</vt:i4>
      </vt:variant>
      <vt:variant>
        <vt:i4>5</vt:i4>
      </vt:variant>
      <vt:variant>
        <vt:lpwstr>https://library.fairwork.gov.au/viewer/?krn=K700424</vt:lpwstr>
      </vt:variant>
      <vt:variant>
        <vt:lpwstr/>
      </vt:variant>
      <vt:variant>
        <vt:i4>3342445</vt:i4>
      </vt:variant>
      <vt:variant>
        <vt:i4>15</vt:i4>
      </vt:variant>
      <vt:variant>
        <vt:i4>0</vt:i4>
      </vt:variant>
      <vt:variant>
        <vt:i4>5</vt:i4>
      </vt:variant>
      <vt:variant>
        <vt:lpwstr>https://sharedservicescentre.sharepoint.com/sites/DEWR-JointReviews-SJBP-CLWHS/Shared Documents/Background research/For the Reviewers/aHR0cHM6Ly9zYXNyY2RhdGFwcmRhdWVhYS5ibG9iLmNvcmUud2luZG93cy5uZXQvZGVjaXNpb25zLzIwMjQvMDUvUFI3NzQ2MzM0MzE2MTExMjJhM2Q4YTc3LTc1N2QtNGViYy04OWEwLTc3NGE0YzE1MzBiNWZlNjU2MTc1LWM3OTYtNDQ0OS04ZGFmLWViNzQ0OGZjNjhkMi5wZGY1</vt:lpwstr>
      </vt:variant>
      <vt:variant>
        <vt:lpwstr/>
      </vt:variant>
      <vt:variant>
        <vt:i4>3342445</vt:i4>
      </vt:variant>
      <vt:variant>
        <vt:i4>12</vt:i4>
      </vt:variant>
      <vt:variant>
        <vt:i4>0</vt:i4>
      </vt:variant>
      <vt:variant>
        <vt:i4>5</vt:i4>
      </vt:variant>
      <vt:variant>
        <vt:lpwstr>https://sharedservicescentre.sharepoint.com/sites/DEWR-JointReviews-SJBP-CLWHS/Shared Documents/Background research/For the Reviewers/aHR0cHM6Ly9zYXNyY2RhdGFwcmRhdWVhYS5ibG9iLmNvcmUud2luZG93cy5uZXQvZGVjaXNpb25zLzIwMjQvMDUvUFI3NzQ2MzM0MzE2MTExMjJhM2Q4YTc3LTc1N2QtNGViYy04OWEwLTc3NGE0YzE1MzBiNWZlNjU2MTc1LWM3OTYtNDQ0OS04ZGFmLWViNzQ0OGZjNjhkMi5wZGY1</vt:lpwstr>
      </vt:variant>
      <vt:variant>
        <vt:lpwstr/>
      </vt:variant>
      <vt:variant>
        <vt:i4>7405613</vt:i4>
      </vt:variant>
      <vt:variant>
        <vt:i4>9</vt:i4>
      </vt:variant>
      <vt:variant>
        <vt:i4>0</vt:i4>
      </vt:variant>
      <vt:variant>
        <vt:i4>5</vt:i4>
      </vt:variant>
      <vt:variant>
        <vt:lpwstr>https://www.fwc.gov.au/document-search/view/1/aHR0cHM6Ly9zYXNyY2RhdGFwcmRhdWVhYS5ibG9iLmNvcmUud2luZG93cy5uZXQvZGVjaXNpb25zLzIwMjQvMDgvUFI3Nzc4MDM0NTgxNzc2Nzk1NGRhZGQ5LWRiNjctNDNmNy05MjBlLWMyOWZjYTNmZTYxZWQ4NDE3Yjg4LTAwNGMtNDI5ZS1iMTA0LTI0Yjc3NmFjODhjZC5wZGY1?sid=&amp;q=cooperative%24%24workplace%24%24agreement</vt:lpwstr>
      </vt:variant>
      <vt:variant>
        <vt:lpwstr/>
      </vt:variant>
      <vt:variant>
        <vt:i4>7405613</vt:i4>
      </vt:variant>
      <vt:variant>
        <vt:i4>6</vt:i4>
      </vt:variant>
      <vt:variant>
        <vt:i4>0</vt:i4>
      </vt:variant>
      <vt:variant>
        <vt:i4>5</vt:i4>
      </vt:variant>
      <vt:variant>
        <vt:lpwstr>https://www.fwc.gov.au/document-search/view/1/aHR0cHM6Ly9zYXNyY2RhdGFwcmRhdWVhYS5ibG9iLmNvcmUud2luZG93cy5uZXQvZGVjaXNpb25zLzIwMjQvMDgvUFI3Nzc4MDM0NTgxNzc2Nzk1NGRhZGQ5LWRiNjctNDNmNy05MjBlLWMyOWZjYTNmZTYxZWQ4NDE3Yjg4LTAwNGMtNDI5ZS1iMTA0LTI0Yjc3NmFjODhjZC5wZGY1?sid=&amp;q=cooperative%24%24workplace%24%24agreement</vt:lpwstr>
      </vt:variant>
      <vt:variant>
        <vt:lpwstr/>
      </vt:variant>
      <vt:variant>
        <vt:i4>7405613</vt:i4>
      </vt:variant>
      <vt:variant>
        <vt:i4>3</vt:i4>
      </vt:variant>
      <vt:variant>
        <vt:i4>0</vt:i4>
      </vt:variant>
      <vt:variant>
        <vt:i4>5</vt:i4>
      </vt:variant>
      <vt:variant>
        <vt:lpwstr>https://www.fwc.gov.au/document-search/view/1/aHR0cHM6Ly9zYXNyY2RhdGFwcmRhdWVhYS5ibG9iLmNvcmUud2luZG93cy5uZXQvZGVjaXNpb25zLzIwMjQvMDgvUFI3Nzc4MDM0NTgxNzc2Nzk1NGRhZGQ5LWRiNjctNDNmNy05MjBlLWMyOWZjYTNmZTYxZWQ4NDE3Yjg4LTAwNGMtNDI5ZS1iMTA0LTI0Yjc3NmFjODhjZC5wZGY1?sid=&amp;q=cooperative%24%24workplace%24%24agreement</vt:lpwstr>
      </vt:variant>
      <vt:variant>
        <vt:lpwstr/>
      </vt:variant>
      <vt:variant>
        <vt:i4>7405613</vt:i4>
      </vt:variant>
      <vt:variant>
        <vt:i4>0</vt:i4>
      </vt:variant>
      <vt:variant>
        <vt:i4>0</vt:i4>
      </vt:variant>
      <vt:variant>
        <vt:i4>5</vt:i4>
      </vt:variant>
      <vt:variant>
        <vt:lpwstr>https://www.fwc.gov.au/document-search/view/1/aHR0cHM6Ly9zYXNyY2RhdGFwcmRhdWVhYS5ibG9iLmNvcmUud2luZG93cy5uZXQvZGVjaXNpb25zLzIwMjQvMDgvUFI3Nzc4MDM0NTgxNzc2Nzk1NGRhZGQ5LWRiNjctNDNmNy05MjBlLWMyOWZjYTNmZTYxZWQ4NDE3Yjg4LTAwNGMtNDI5ZS1iMTA0LTI0Yjc3NmFjODhjZC5wZGY1?sid=&amp;q=cooperative%24%24workplace%24%24agree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
  <cp:revision>1</cp:revision>
  <dcterms:created xsi:type="dcterms:W3CDTF">2025-08-04T22:36:00Z</dcterms:created>
  <dcterms:modified xsi:type="dcterms:W3CDTF">2025-08-04T22:37:00Z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2025-08-04T22:37:08Z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fe306309-cc98-49a3-ac2e-09e77c28d98e</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